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F11B08" w:rsidRPr="00C16037" w14:paraId="2EA5862F" w14:textId="77777777" w:rsidTr="00F15DE0">
        <w:trPr>
          <w:trHeight w:val="851"/>
        </w:trPr>
        <w:tc>
          <w:tcPr>
            <w:tcW w:w="1259" w:type="dxa"/>
            <w:tcBorders>
              <w:top w:val="nil"/>
              <w:left w:val="nil"/>
              <w:bottom w:val="single" w:sz="4" w:space="0" w:color="auto"/>
              <w:right w:val="nil"/>
            </w:tcBorders>
          </w:tcPr>
          <w:p w14:paraId="2EA5862C" w14:textId="4164D3C1" w:rsidR="00F11B08" w:rsidRPr="00F25617" w:rsidRDefault="00F11B08" w:rsidP="00B210B4">
            <w:pPr>
              <w:tabs>
                <w:tab w:val="right" w:pos="850"/>
                <w:tab w:val="left" w:pos="1134"/>
                <w:tab w:val="right" w:leader="dot" w:pos="8504"/>
              </w:tabs>
              <w:spacing w:before="360" w:after="240"/>
              <w:jc w:val="center"/>
              <w:rPr>
                <w:color w:val="000000" w:themeColor="text1"/>
              </w:rPr>
            </w:pPr>
          </w:p>
        </w:tc>
        <w:tc>
          <w:tcPr>
            <w:tcW w:w="2236" w:type="dxa"/>
            <w:tcBorders>
              <w:top w:val="nil"/>
              <w:left w:val="nil"/>
              <w:bottom w:val="single" w:sz="4" w:space="0" w:color="auto"/>
              <w:right w:val="nil"/>
            </w:tcBorders>
            <w:vAlign w:val="bottom"/>
          </w:tcPr>
          <w:p w14:paraId="2EA5862D" w14:textId="2A04B24B" w:rsidR="00F11B08" w:rsidRPr="00F25617" w:rsidRDefault="00F11B08" w:rsidP="00F15DE0">
            <w:pPr>
              <w:spacing w:after="80" w:line="300" w:lineRule="exact"/>
              <w:rPr>
                <w:color w:val="000000" w:themeColor="text1"/>
                <w:sz w:val="28"/>
                <w:szCs w:val="28"/>
              </w:rPr>
            </w:pPr>
          </w:p>
        </w:tc>
        <w:tc>
          <w:tcPr>
            <w:tcW w:w="6144" w:type="dxa"/>
            <w:gridSpan w:val="2"/>
            <w:tcBorders>
              <w:top w:val="nil"/>
              <w:left w:val="nil"/>
              <w:bottom w:val="single" w:sz="4" w:space="0" w:color="auto"/>
              <w:right w:val="nil"/>
            </w:tcBorders>
            <w:vAlign w:val="bottom"/>
          </w:tcPr>
          <w:p w14:paraId="2EA5862E" w14:textId="4D08D11B" w:rsidR="00F11B08" w:rsidRPr="00C16037" w:rsidRDefault="00D72627" w:rsidP="00CA037F">
            <w:pPr>
              <w:jc w:val="right"/>
              <w:rPr>
                <w:color w:val="000000" w:themeColor="text1"/>
              </w:rPr>
            </w:pPr>
            <w:r>
              <w:rPr>
                <w:sz w:val="40"/>
              </w:rPr>
              <w:t xml:space="preserve"> </w:t>
            </w:r>
            <w:r w:rsidR="004B79B3" w:rsidRPr="006D27E2">
              <w:rPr>
                <w:sz w:val="40"/>
              </w:rPr>
              <w:t>A</w:t>
            </w:r>
            <w:r w:rsidR="004B79B3" w:rsidRPr="006D27E2">
              <w:t>/HRC</w:t>
            </w:r>
            <w:r w:rsidR="00F26B03">
              <w:rPr>
                <w:color w:val="000000" w:themeColor="text1"/>
              </w:rPr>
              <w:t>/40</w:t>
            </w:r>
            <w:r w:rsidR="00F11B08" w:rsidRPr="00C16037">
              <w:rPr>
                <w:color w:val="000000" w:themeColor="text1"/>
              </w:rPr>
              <w:t>/2</w:t>
            </w:r>
          </w:p>
        </w:tc>
      </w:tr>
      <w:tr w:rsidR="00F11B08" w:rsidRPr="00C16037" w14:paraId="2EA58638" w14:textId="77777777" w:rsidTr="00F15DE0">
        <w:trPr>
          <w:trHeight w:val="2835"/>
        </w:trPr>
        <w:tc>
          <w:tcPr>
            <w:tcW w:w="1259" w:type="dxa"/>
            <w:tcBorders>
              <w:top w:val="single" w:sz="4" w:space="0" w:color="auto"/>
              <w:left w:val="nil"/>
              <w:bottom w:val="single" w:sz="12" w:space="0" w:color="auto"/>
              <w:right w:val="nil"/>
            </w:tcBorders>
          </w:tcPr>
          <w:p w14:paraId="2EA58630" w14:textId="57A523DB" w:rsidR="00F11B08" w:rsidRPr="00C16037" w:rsidRDefault="00F11B08" w:rsidP="00F15DE0">
            <w:pPr>
              <w:spacing w:before="120"/>
              <w:jc w:val="center"/>
              <w:rPr>
                <w:color w:val="000000" w:themeColor="text1"/>
              </w:rPr>
            </w:pPr>
          </w:p>
        </w:tc>
        <w:tc>
          <w:tcPr>
            <w:tcW w:w="5450" w:type="dxa"/>
            <w:gridSpan w:val="2"/>
            <w:tcBorders>
              <w:top w:val="single" w:sz="4" w:space="0" w:color="auto"/>
              <w:left w:val="nil"/>
              <w:bottom w:val="single" w:sz="12" w:space="0" w:color="auto"/>
              <w:right w:val="nil"/>
            </w:tcBorders>
          </w:tcPr>
          <w:p w14:paraId="2EA58633" w14:textId="53D8D5A9" w:rsidR="00D34651" w:rsidRPr="00C16037" w:rsidRDefault="00BA0EF8" w:rsidP="00D73F21">
            <w:pPr>
              <w:spacing w:before="120" w:line="420" w:lineRule="exact"/>
              <w:rPr>
                <w:b/>
                <w:color w:val="000000" w:themeColor="text1"/>
                <w:sz w:val="40"/>
                <w:szCs w:val="40"/>
              </w:rPr>
            </w:pPr>
            <w:r w:rsidRPr="00C16037">
              <w:rPr>
                <w:b/>
                <w:color w:val="000000" w:themeColor="text1"/>
                <w:sz w:val="40"/>
                <w:szCs w:val="40"/>
              </w:rPr>
              <w:t>Advance unedited version</w:t>
            </w:r>
          </w:p>
        </w:tc>
        <w:tc>
          <w:tcPr>
            <w:tcW w:w="2930" w:type="dxa"/>
            <w:tcBorders>
              <w:top w:val="single" w:sz="4" w:space="0" w:color="auto"/>
              <w:left w:val="nil"/>
              <w:bottom w:val="single" w:sz="12" w:space="0" w:color="auto"/>
              <w:right w:val="nil"/>
            </w:tcBorders>
          </w:tcPr>
          <w:p w14:paraId="2EA58634" w14:textId="77777777" w:rsidR="00F11B08" w:rsidRPr="00877A7D" w:rsidRDefault="00F11B08" w:rsidP="00F15DE0">
            <w:pPr>
              <w:spacing w:before="240" w:line="240" w:lineRule="exact"/>
              <w:rPr>
                <w:color w:val="000000" w:themeColor="text1"/>
                <w:sz w:val="20"/>
                <w:szCs w:val="20"/>
              </w:rPr>
            </w:pPr>
            <w:r w:rsidRPr="00877A7D">
              <w:rPr>
                <w:color w:val="000000" w:themeColor="text1"/>
                <w:sz w:val="20"/>
                <w:szCs w:val="20"/>
              </w:rPr>
              <w:t>Distr.: General</w:t>
            </w:r>
          </w:p>
          <w:p w14:paraId="2EA58635" w14:textId="600E127A" w:rsidR="00F11B08" w:rsidRPr="00877A7D" w:rsidRDefault="00583EAF" w:rsidP="00F15DE0">
            <w:pPr>
              <w:spacing w:line="240" w:lineRule="exact"/>
              <w:rPr>
                <w:color w:val="000000" w:themeColor="text1"/>
                <w:sz w:val="20"/>
                <w:szCs w:val="20"/>
              </w:rPr>
            </w:pPr>
            <w:r>
              <w:rPr>
                <w:color w:val="000000" w:themeColor="text1"/>
                <w:sz w:val="20"/>
                <w:szCs w:val="20"/>
              </w:rPr>
              <w:t>3</w:t>
            </w:r>
            <w:r w:rsidR="004A57EA">
              <w:rPr>
                <w:color w:val="000000" w:themeColor="text1"/>
                <w:sz w:val="20"/>
                <w:szCs w:val="20"/>
              </w:rPr>
              <w:t xml:space="preserve"> </w:t>
            </w:r>
            <w:r>
              <w:rPr>
                <w:color w:val="000000" w:themeColor="text1"/>
                <w:sz w:val="20"/>
                <w:szCs w:val="20"/>
              </w:rPr>
              <w:t>June</w:t>
            </w:r>
            <w:r w:rsidR="00F26B03">
              <w:rPr>
                <w:color w:val="000000" w:themeColor="text1"/>
                <w:sz w:val="20"/>
                <w:szCs w:val="20"/>
              </w:rPr>
              <w:t xml:space="preserve"> 2019</w:t>
            </w:r>
          </w:p>
          <w:p w14:paraId="2EA58636" w14:textId="77777777" w:rsidR="00F11B08" w:rsidRPr="00877A7D" w:rsidRDefault="00F11B08" w:rsidP="00F15DE0">
            <w:pPr>
              <w:spacing w:line="240" w:lineRule="exact"/>
              <w:rPr>
                <w:color w:val="000000" w:themeColor="text1"/>
                <w:sz w:val="20"/>
                <w:szCs w:val="20"/>
              </w:rPr>
            </w:pPr>
          </w:p>
          <w:p w14:paraId="2C4B010B" w14:textId="47996380" w:rsidR="00F11B08" w:rsidRDefault="00F11B08" w:rsidP="00F15DE0">
            <w:pPr>
              <w:spacing w:line="240" w:lineRule="exact"/>
              <w:rPr>
                <w:color w:val="000000" w:themeColor="text1"/>
                <w:sz w:val="20"/>
                <w:szCs w:val="20"/>
              </w:rPr>
            </w:pPr>
            <w:r w:rsidRPr="00877A7D">
              <w:rPr>
                <w:color w:val="000000" w:themeColor="text1"/>
                <w:sz w:val="20"/>
                <w:szCs w:val="20"/>
              </w:rPr>
              <w:t>Original: English</w:t>
            </w:r>
          </w:p>
          <w:p w14:paraId="628AF419" w14:textId="02784B8A" w:rsidR="00F26B03" w:rsidRDefault="00F26B03" w:rsidP="00F15DE0">
            <w:pPr>
              <w:spacing w:line="240" w:lineRule="exact"/>
              <w:rPr>
                <w:color w:val="000000" w:themeColor="text1"/>
                <w:sz w:val="20"/>
                <w:szCs w:val="20"/>
              </w:rPr>
            </w:pPr>
          </w:p>
          <w:p w14:paraId="5BF6AC39" w14:textId="77777777" w:rsidR="00F26B03" w:rsidRPr="00877A7D" w:rsidRDefault="00F26B03" w:rsidP="00F15DE0">
            <w:pPr>
              <w:spacing w:line="240" w:lineRule="exact"/>
              <w:rPr>
                <w:color w:val="000000" w:themeColor="text1"/>
                <w:sz w:val="20"/>
                <w:szCs w:val="20"/>
              </w:rPr>
            </w:pPr>
          </w:p>
          <w:p w14:paraId="2EA58637" w14:textId="14C32F03" w:rsidR="00D34651" w:rsidRPr="00C16037" w:rsidRDefault="00D34651" w:rsidP="00D34651">
            <w:pPr>
              <w:spacing w:line="240" w:lineRule="exact"/>
              <w:ind w:left="-5434"/>
              <w:jc w:val="both"/>
              <w:rPr>
                <w:color w:val="000000" w:themeColor="text1"/>
              </w:rPr>
            </w:pPr>
            <w:r w:rsidRPr="00C16037">
              <w:rPr>
                <w:b/>
                <w:color w:val="000000" w:themeColor="text1"/>
                <w:u w:val="single"/>
              </w:rPr>
              <w:t>Proceedings up to 6.30 p.m. on 23 March 2016</w:t>
            </w:r>
          </w:p>
        </w:tc>
      </w:tr>
    </w:tbl>
    <w:p w14:paraId="2EA58639" w14:textId="77777777" w:rsidR="00F11B08" w:rsidRPr="00C16037" w:rsidRDefault="00F11B08" w:rsidP="00F11B08">
      <w:pPr>
        <w:spacing w:before="120"/>
        <w:rPr>
          <w:b/>
          <w:color w:val="000000" w:themeColor="text1"/>
        </w:rPr>
      </w:pPr>
      <w:r w:rsidRPr="00C16037">
        <w:rPr>
          <w:b/>
          <w:color w:val="000000" w:themeColor="text1"/>
        </w:rPr>
        <w:t>Human Rights Council</w:t>
      </w:r>
    </w:p>
    <w:p w14:paraId="2EA5863A" w14:textId="47C07BBB" w:rsidR="00F11B08" w:rsidRPr="00116D26" w:rsidRDefault="00F26B03" w:rsidP="00F11B08">
      <w:pPr>
        <w:rPr>
          <w:color w:val="000000" w:themeColor="text1"/>
          <w:sz w:val="20"/>
          <w:szCs w:val="20"/>
        </w:rPr>
      </w:pPr>
      <w:r>
        <w:rPr>
          <w:color w:val="000000" w:themeColor="text1"/>
          <w:sz w:val="20"/>
          <w:szCs w:val="20"/>
        </w:rPr>
        <w:t>Fortieth</w:t>
      </w:r>
      <w:r w:rsidR="00F11B08" w:rsidRPr="00116D26">
        <w:rPr>
          <w:color w:val="000000" w:themeColor="text1"/>
          <w:sz w:val="20"/>
          <w:szCs w:val="20"/>
        </w:rPr>
        <w:t xml:space="preserve"> session</w:t>
      </w:r>
    </w:p>
    <w:p w14:paraId="2EA5863B" w14:textId="77777777" w:rsidR="00F11B08" w:rsidRPr="00116D26" w:rsidRDefault="00F11B08" w:rsidP="00F11B08">
      <w:pPr>
        <w:rPr>
          <w:color w:val="000000" w:themeColor="text1"/>
          <w:sz w:val="20"/>
          <w:szCs w:val="20"/>
        </w:rPr>
      </w:pPr>
      <w:r w:rsidRPr="00116D26">
        <w:rPr>
          <w:color w:val="000000" w:themeColor="text1"/>
          <w:sz w:val="20"/>
          <w:szCs w:val="20"/>
        </w:rPr>
        <w:t>Agenda item 1</w:t>
      </w:r>
    </w:p>
    <w:p w14:paraId="2EA5863C" w14:textId="77777777" w:rsidR="00F11B08" w:rsidRPr="00116D26" w:rsidRDefault="00F11B08" w:rsidP="00F11B08">
      <w:pPr>
        <w:rPr>
          <w:b/>
          <w:color w:val="000000" w:themeColor="text1"/>
          <w:sz w:val="20"/>
          <w:szCs w:val="20"/>
        </w:rPr>
      </w:pPr>
      <w:r w:rsidRPr="00116D26">
        <w:rPr>
          <w:b/>
          <w:color w:val="000000" w:themeColor="text1"/>
          <w:sz w:val="20"/>
          <w:szCs w:val="20"/>
        </w:rPr>
        <w:t>Organizational and procedural matters</w:t>
      </w:r>
    </w:p>
    <w:p w14:paraId="2EA5863D" w14:textId="2F5EB9E7" w:rsidR="00F11B08" w:rsidRPr="00C16037" w:rsidRDefault="00F11B08" w:rsidP="00F11B08">
      <w:pPr>
        <w:pStyle w:val="HMG"/>
        <w:rPr>
          <w:color w:val="000000" w:themeColor="text1"/>
        </w:rPr>
      </w:pPr>
      <w:r w:rsidRPr="00C16037">
        <w:rPr>
          <w:color w:val="000000" w:themeColor="text1"/>
        </w:rPr>
        <w:tab/>
      </w:r>
      <w:r w:rsidRPr="00C16037">
        <w:rPr>
          <w:color w:val="000000" w:themeColor="text1"/>
        </w:rPr>
        <w:tab/>
        <w:t xml:space="preserve">Report of the Human Rights Council on its </w:t>
      </w:r>
      <w:r w:rsidR="00F26B03">
        <w:rPr>
          <w:color w:val="000000" w:themeColor="text1"/>
        </w:rPr>
        <w:t>fortieth</w:t>
      </w:r>
      <w:r w:rsidRPr="00C16037">
        <w:rPr>
          <w:color w:val="000000" w:themeColor="text1"/>
        </w:rPr>
        <w:t xml:space="preserve"> session</w:t>
      </w:r>
    </w:p>
    <w:p w14:paraId="40720A23" w14:textId="77A0D89E" w:rsidR="00805748" w:rsidRPr="00116D26" w:rsidRDefault="00F11B08" w:rsidP="00F11B08">
      <w:pPr>
        <w:pStyle w:val="SingleTxtG"/>
        <w:rPr>
          <w:color w:val="000000" w:themeColor="text1"/>
          <w:sz w:val="20"/>
          <w:szCs w:val="20"/>
        </w:rPr>
      </w:pPr>
      <w:r w:rsidRPr="00116D26">
        <w:rPr>
          <w:i/>
          <w:color w:val="000000" w:themeColor="text1"/>
          <w:sz w:val="20"/>
          <w:szCs w:val="20"/>
        </w:rPr>
        <w:t>Vice-President and Rapporteur</w:t>
      </w:r>
      <w:r w:rsidRPr="00116D26">
        <w:rPr>
          <w:color w:val="000000" w:themeColor="text1"/>
          <w:sz w:val="20"/>
          <w:szCs w:val="20"/>
        </w:rPr>
        <w:t xml:space="preserve">: </w:t>
      </w:r>
      <w:r w:rsidR="00805748" w:rsidRPr="00805366">
        <w:rPr>
          <w:color w:val="000000" w:themeColor="text1"/>
          <w:sz w:val="20"/>
          <w:szCs w:val="20"/>
        </w:rPr>
        <w:t xml:space="preserve">Ms. </w:t>
      </w:r>
      <w:r w:rsidR="00805366" w:rsidRPr="00805366">
        <w:rPr>
          <w:color w:val="000000" w:themeColor="text1"/>
          <w:sz w:val="20"/>
          <w:szCs w:val="20"/>
        </w:rPr>
        <w:t>Vesna Batistić Kos (Croatia)</w:t>
      </w:r>
    </w:p>
    <w:p w14:paraId="2EA5863F" w14:textId="77777777" w:rsidR="00F11B08" w:rsidRPr="00C16037" w:rsidRDefault="00F11B08" w:rsidP="00F11B08">
      <w:pPr>
        <w:spacing w:after="120"/>
        <w:rPr>
          <w:color w:val="000000" w:themeColor="text1"/>
        </w:rPr>
      </w:pPr>
    </w:p>
    <w:p w14:paraId="2EA58640" w14:textId="77777777" w:rsidR="00F11B08" w:rsidRPr="00C16037" w:rsidRDefault="00F11B08" w:rsidP="00F11B08">
      <w:pPr>
        <w:tabs>
          <w:tab w:val="left" w:pos="6208"/>
        </w:tabs>
        <w:spacing w:after="120"/>
        <w:rPr>
          <w:color w:val="000000" w:themeColor="text1"/>
        </w:rPr>
      </w:pPr>
      <w:r w:rsidRPr="00C16037">
        <w:rPr>
          <w:color w:val="000000" w:themeColor="text1"/>
        </w:rPr>
        <w:tab/>
      </w:r>
    </w:p>
    <w:p w14:paraId="2EA58641" w14:textId="77777777" w:rsidR="00F11B08" w:rsidRPr="00116D26" w:rsidRDefault="00F11B08" w:rsidP="00F11B08">
      <w:pPr>
        <w:spacing w:after="120"/>
        <w:rPr>
          <w:color w:val="000000" w:themeColor="text1"/>
          <w:sz w:val="20"/>
          <w:szCs w:val="20"/>
        </w:rPr>
      </w:pPr>
      <w:r w:rsidRPr="00C16037">
        <w:rPr>
          <w:color w:val="000000" w:themeColor="text1"/>
        </w:rPr>
        <w:br w:type="page"/>
      </w:r>
      <w:r w:rsidRPr="00116D26">
        <w:rPr>
          <w:color w:val="000000" w:themeColor="text1"/>
          <w:sz w:val="20"/>
          <w:szCs w:val="20"/>
        </w:rPr>
        <w:lastRenderedPageBreak/>
        <w:t>Contents</w:t>
      </w:r>
    </w:p>
    <w:p w14:paraId="62DBB8F2" w14:textId="77777777" w:rsidR="00B21791" w:rsidRPr="00116D26" w:rsidRDefault="00B21791" w:rsidP="00415787">
      <w:pPr>
        <w:tabs>
          <w:tab w:val="right" w:pos="8929"/>
          <w:tab w:val="right" w:pos="9638"/>
        </w:tabs>
        <w:spacing w:after="120"/>
        <w:ind w:left="283"/>
        <w:rPr>
          <w:color w:val="000000" w:themeColor="text1"/>
          <w:sz w:val="20"/>
          <w:szCs w:val="20"/>
        </w:rPr>
      </w:pPr>
      <w:r w:rsidRPr="00116D26">
        <w:rPr>
          <w:i/>
          <w:color w:val="000000" w:themeColor="text1"/>
          <w:sz w:val="20"/>
          <w:szCs w:val="20"/>
        </w:rPr>
        <w:t>Chapter</w:t>
      </w:r>
      <w:r w:rsidRPr="00116D26">
        <w:rPr>
          <w:i/>
          <w:color w:val="000000" w:themeColor="text1"/>
          <w:sz w:val="20"/>
          <w:szCs w:val="20"/>
        </w:rPr>
        <w:tab/>
      </w:r>
      <w:r w:rsidRPr="00116D26">
        <w:rPr>
          <w:i/>
          <w:color w:val="000000" w:themeColor="text1"/>
          <w:sz w:val="20"/>
          <w:szCs w:val="20"/>
        </w:rPr>
        <w:tab/>
        <w:t>Page</w:t>
      </w:r>
    </w:p>
    <w:p w14:paraId="2EA58643" w14:textId="2A2BA0A3" w:rsidR="00F11B08" w:rsidRPr="00116D26" w:rsidRDefault="00E342D9" w:rsidP="00A078AC">
      <w:pPr>
        <w:tabs>
          <w:tab w:val="right" w:pos="850"/>
          <w:tab w:val="left" w:pos="1134"/>
          <w:tab w:val="left" w:pos="1559"/>
          <w:tab w:val="left" w:pos="1984"/>
          <w:tab w:val="left" w:leader="dot" w:pos="8929"/>
          <w:tab w:val="right" w:pos="9638"/>
        </w:tabs>
        <w:spacing w:after="120"/>
        <w:ind w:left="1423" w:hanging="1140"/>
        <w:rPr>
          <w:color w:val="000000" w:themeColor="text1"/>
          <w:sz w:val="20"/>
          <w:szCs w:val="20"/>
        </w:rPr>
      </w:pPr>
      <w:r w:rsidRPr="00116D26">
        <w:rPr>
          <w:color w:val="000000" w:themeColor="text1"/>
          <w:sz w:val="20"/>
          <w:szCs w:val="20"/>
        </w:rPr>
        <w:t>Part One:</w:t>
      </w:r>
      <w:r w:rsidR="003C20AF" w:rsidRPr="00116D26">
        <w:rPr>
          <w:color w:val="000000" w:themeColor="text1"/>
          <w:sz w:val="20"/>
          <w:szCs w:val="20"/>
        </w:rPr>
        <w:t xml:space="preserve"> </w:t>
      </w:r>
      <w:r w:rsidR="00F11B08" w:rsidRPr="00116D26">
        <w:rPr>
          <w:color w:val="000000" w:themeColor="text1"/>
          <w:sz w:val="20"/>
          <w:szCs w:val="20"/>
        </w:rPr>
        <w:t>Resolutions</w:t>
      </w:r>
      <w:r w:rsidR="00983B76">
        <w:rPr>
          <w:color w:val="000000" w:themeColor="text1"/>
          <w:sz w:val="20"/>
          <w:szCs w:val="20"/>
        </w:rPr>
        <w:t xml:space="preserve"> and</w:t>
      </w:r>
      <w:r w:rsidR="00F11B08" w:rsidRPr="00116D26">
        <w:rPr>
          <w:color w:val="000000" w:themeColor="text1"/>
          <w:sz w:val="20"/>
          <w:szCs w:val="20"/>
        </w:rPr>
        <w:t xml:space="preserve"> decisions adop</w:t>
      </w:r>
      <w:r w:rsidR="00B21791" w:rsidRPr="00116D26">
        <w:rPr>
          <w:color w:val="000000" w:themeColor="text1"/>
          <w:sz w:val="20"/>
          <w:szCs w:val="20"/>
        </w:rPr>
        <w:t>ted by the Human Rights Council</w:t>
      </w:r>
      <w:r w:rsidRPr="00116D26">
        <w:rPr>
          <w:color w:val="000000" w:themeColor="text1"/>
          <w:sz w:val="20"/>
          <w:szCs w:val="20"/>
        </w:rPr>
        <w:t xml:space="preserve"> </w:t>
      </w:r>
      <w:r w:rsidR="00F11B08" w:rsidRPr="00116D26">
        <w:rPr>
          <w:color w:val="000000" w:themeColor="text1"/>
          <w:sz w:val="20"/>
          <w:szCs w:val="20"/>
        </w:rPr>
        <w:t>at its</w:t>
      </w:r>
      <w:r w:rsidR="00BF3449" w:rsidRPr="00116D26">
        <w:rPr>
          <w:color w:val="000000" w:themeColor="text1"/>
          <w:sz w:val="20"/>
          <w:szCs w:val="20"/>
        </w:rPr>
        <w:t xml:space="preserve"> </w:t>
      </w:r>
      <w:r w:rsidR="00F26B03">
        <w:rPr>
          <w:color w:val="000000" w:themeColor="text1"/>
          <w:sz w:val="20"/>
          <w:szCs w:val="20"/>
        </w:rPr>
        <w:t>fortieth</w:t>
      </w:r>
      <w:r w:rsidR="00F11B08" w:rsidRPr="00116D26">
        <w:rPr>
          <w:color w:val="000000" w:themeColor="text1"/>
          <w:sz w:val="20"/>
          <w:szCs w:val="20"/>
        </w:rPr>
        <w:t xml:space="preserve"> session</w:t>
      </w:r>
      <w:r w:rsidR="00680375">
        <w:rPr>
          <w:color w:val="000000" w:themeColor="text1"/>
          <w:sz w:val="20"/>
          <w:szCs w:val="20"/>
        </w:rPr>
        <w:tab/>
      </w:r>
      <w:r w:rsidR="00A078AC">
        <w:rPr>
          <w:color w:val="000000" w:themeColor="text1"/>
          <w:sz w:val="20"/>
          <w:szCs w:val="20"/>
        </w:rPr>
        <w:tab/>
      </w:r>
      <w:r w:rsidR="00AC7782" w:rsidRPr="00116D26">
        <w:rPr>
          <w:color w:val="000000" w:themeColor="text1"/>
          <w:sz w:val="20"/>
          <w:szCs w:val="20"/>
        </w:rPr>
        <w:t>5</w:t>
      </w:r>
    </w:p>
    <w:p w14:paraId="2EA58644" w14:textId="48BEC872"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t>I.</w:t>
      </w:r>
      <w:r w:rsidRPr="00116D26">
        <w:rPr>
          <w:color w:val="000000" w:themeColor="text1"/>
          <w:sz w:val="20"/>
          <w:szCs w:val="20"/>
        </w:rPr>
        <w:tab/>
        <w:t>Resolutions</w:t>
      </w:r>
      <w:r w:rsidRPr="00116D26">
        <w:rPr>
          <w:color w:val="000000" w:themeColor="text1"/>
          <w:sz w:val="20"/>
          <w:szCs w:val="20"/>
        </w:rPr>
        <w:tab/>
      </w:r>
      <w:r w:rsidR="00B21791" w:rsidRPr="00116D26">
        <w:rPr>
          <w:color w:val="000000" w:themeColor="text1"/>
          <w:sz w:val="20"/>
          <w:szCs w:val="20"/>
        </w:rPr>
        <w:tab/>
      </w:r>
      <w:r w:rsidR="00AC7782" w:rsidRPr="00116D26">
        <w:rPr>
          <w:color w:val="000000" w:themeColor="text1"/>
          <w:sz w:val="20"/>
          <w:szCs w:val="20"/>
        </w:rPr>
        <w:t>5</w:t>
      </w:r>
    </w:p>
    <w:p w14:paraId="2EA58645" w14:textId="0C6E753F"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t>II.</w:t>
      </w:r>
      <w:r w:rsidRPr="00116D26">
        <w:rPr>
          <w:color w:val="000000" w:themeColor="text1"/>
          <w:sz w:val="20"/>
          <w:szCs w:val="20"/>
        </w:rPr>
        <w:tab/>
        <w:t>Decisions</w:t>
      </w:r>
      <w:r w:rsidRPr="00116D26">
        <w:rPr>
          <w:color w:val="000000" w:themeColor="text1"/>
          <w:sz w:val="20"/>
          <w:szCs w:val="20"/>
        </w:rPr>
        <w:tab/>
      </w:r>
      <w:r w:rsidR="00B21791" w:rsidRPr="00116D26">
        <w:rPr>
          <w:color w:val="000000" w:themeColor="text1"/>
          <w:sz w:val="20"/>
          <w:szCs w:val="20"/>
        </w:rPr>
        <w:tab/>
      </w:r>
      <w:r w:rsidR="00116D26">
        <w:rPr>
          <w:color w:val="000000" w:themeColor="text1"/>
          <w:sz w:val="20"/>
          <w:szCs w:val="20"/>
        </w:rPr>
        <w:tab/>
      </w:r>
      <w:r w:rsidR="0007301D">
        <w:rPr>
          <w:color w:val="000000" w:themeColor="text1"/>
          <w:sz w:val="20"/>
          <w:szCs w:val="20"/>
        </w:rPr>
        <w:t>6</w:t>
      </w:r>
    </w:p>
    <w:p w14:paraId="2EA58647" w14:textId="5AD5F6DA" w:rsidR="00F11B08" w:rsidRPr="00116D26" w:rsidRDefault="00F11B08" w:rsidP="00AF282C">
      <w:pPr>
        <w:tabs>
          <w:tab w:val="right" w:pos="850"/>
          <w:tab w:val="left" w:pos="1134"/>
          <w:tab w:val="left" w:pos="1559"/>
          <w:tab w:val="left" w:pos="1984"/>
          <w:tab w:val="left" w:leader="dot" w:pos="8929"/>
          <w:tab w:val="right" w:pos="9638"/>
        </w:tabs>
        <w:spacing w:after="120"/>
        <w:ind w:left="284" w:hanging="284"/>
        <w:rPr>
          <w:color w:val="000000" w:themeColor="text1"/>
          <w:sz w:val="20"/>
          <w:szCs w:val="20"/>
        </w:rPr>
      </w:pPr>
      <w:r w:rsidRPr="00116D26">
        <w:rPr>
          <w:color w:val="000000" w:themeColor="text1"/>
          <w:sz w:val="20"/>
          <w:szCs w:val="20"/>
        </w:rPr>
        <w:tab/>
        <w:t>Part Two: Summary of proceedings</w:t>
      </w:r>
      <w:r w:rsidRPr="00116D26">
        <w:rPr>
          <w:color w:val="000000" w:themeColor="text1"/>
          <w:sz w:val="20"/>
          <w:szCs w:val="20"/>
        </w:rPr>
        <w:tab/>
      </w:r>
      <w:r w:rsidR="00B21791" w:rsidRPr="00116D26">
        <w:rPr>
          <w:color w:val="000000" w:themeColor="text1"/>
          <w:sz w:val="20"/>
          <w:szCs w:val="20"/>
        </w:rPr>
        <w:tab/>
      </w:r>
      <w:r w:rsidR="0007301D">
        <w:rPr>
          <w:color w:val="000000" w:themeColor="text1"/>
          <w:sz w:val="20"/>
          <w:szCs w:val="20"/>
        </w:rPr>
        <w:t>8</w:t>
      </w:r>
    </w:p>
    <w:p w14:paraId="2EA58648" w14:textId="097C6448"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t>I.</w:t>
      </w:r>
      <w:r w:rsidRPr="00116D26">
        <w:rPr>
          <w:color w:val="000000" w:themeColor="text1"/>
          <w:sz w:val="20"/>
          <w:szCs w:val="20"/>
        </w:rPr>
        <w:tab/>
        <w:t>Organizational and procedural matters</w:t>
      </w:r>
      <w:r w:rsidRPr="00116D26">
        <w:rPr>
          <w:color w:val="000000" w:themeColor="text1"/>
          <w:sz w:val="20"/>
          <w:szCs w:val="20"/>
        </w:rPr>
        <w:tab/>
      </w:r>
      <w:r w:rsidR="00B21791" w:rsidRPr="00116D26">
        <w:rPr>
          <w:color w:val="000000" w:themeColor="text1"/>
          <w:sz w:val="20"/>
          <w:szCs w:val="20"/>
        </w:rPr>
        <w:tab/>
      </w:r>
      <w:r w:rsidR="0007301D">
        <w:rPr>
          <w:color w:val="000000" w:themeColor="text1"/>
          <w:sz w:val="20"/>
          <w:szCs w:val="20"/>
        </w:rPr>
        <w:t>8</w:t>
      </w:r>
    </w:p>
    <w:p w14:paraId="2EA58649" w14:textId="696230E0"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t>A.</w:t>
      </w:r>
      <w:r w:rsidRPr="00116D26">
        <w:rPr>
          <w:color w:val="000000" w:themeColor="text1"/>
          <w:sz w:val="20"/>
          <w:szCs w:val="20"/>
        </w:rPr>
        <w:tab/>
        <w:t>Opening and duration of the session</w:t>
      </w:r>
      <w:r w:rsidRPr="00116D26">
        <w:rPr>
          <w:color w:val="000000" w:themeColor="text1"/>
          <w:sz w:val="20"/>
          <w:szCs w:val="20"/>
        </w:rPr>
        <w:tab/>
      </w:r>
      <w:r w:rsidR="00B21791" w:rsidRPr="00116D26">
        <w:rPr>
          <w:color w:val="000000" w:themeColor="text1"/>
          <w:sz w:val="20"/>
          <w:szCs w:val="20"/>
        </w:rPr>
        <w:tab/>
      </w:r>
      <w:r w:rsidR="0007301D">
        <w:rPr>
          <w:color w:val="000000" w:themeColor="text1"/>
          <w:sz w:val="20"/>
          <w:szCs w:val="20"/>
        </w:rPr>
        <w:t>8</w:t>
      </w:r>
    </w:p>
    <w:p w14:paraId="2EA5864A" w14:textId="2AEBFDF7"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t>B.</w:t>
      </w:r>
      <w:r w:rsidRPr="00116D26">
        <w:rPr>
          <w:color w:val="000000" w:themeColor="text1"/>
          <w:sz w:val="20"/>
          <w:szCs w:val="20"/>
        </w:rPr>
        <w:tab/>
        <w:t>Attendance</w:t>
      </w:r>
      <w:r w:rsidRPr="00116D26">
        <w:rPr>
          <w:color w:val="000000" w:themeColor="text1"/>
          <w:sz w:val="20"/>
          <w:szCs w:val="20"/>
        </w:rPr>
        <w:tab/>
      </w:r>
      <w:r w:rsidR="00FB4A56" w:rsidRPr="00116D26">
        <w:rPr>
          <w:color w:val="000000" w:themeColor="text1"/>
          <w:sz w:val="20"/>
          <w:szCs w:val="20"/>
        </w:rPr>
        <w:tab/>
      </w:r>
      <w:r w:rsidR="0007301D">
        <w:rPr>
          <w:color w:val="000000" w:themeColor="text1"/>
          <w:sz w:val="20"/>
          <w:szCs w:val="20"/>
        </w:rPr>
        <w:t>8</w:t>
      </w:r>
    </w:p>
    <w:p w14:paraId="2EA5864B" w14:textId="7CB3A143"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t>C.</w:t>
      </w:r>
      <w:r w:rsidRPr="00116D26">
        <w:rPr>
          <w:color w:val="000000" w:themeColor="text1"/>
          <w:sz w:val="20"/>
          <w:szCs w:val="20"/>
        </w:rPr>
        <w:tab/>
        <w:t>High-level segment</w:t>
      </w:r>
      <w:r w:rsidRPr="00116D26">
        <w:rPr>
          <w:color w:val="000000" w:themeColor="text1"/>
          <w:sz w:val="20"/>
          <w:szCs w:val="20"/>
        </w:rPr>
        <w:tab/>
      </w:r>
      <w:r w:rsidR="00FB4A56" w:rsidRPr="00116D26">
        <w:rPr>
          <w:color w:val="000000" w:themeColor="text1"/>
          <w:sz w:val="20"/>
          <w:szCs w:val="20"/>
        </w:rPr>
        <w:tab/>
      </w:r>
      <w:r w:rsidR="0007301D">
        <w:rPr>
          <w:color w:val="000000" w:themeColor="text1"/>
          <w:sz w:val="20"/>
          <w:szCs w:val="20"/>
        </w:rPr>
        <w:t>8</w:t>
      </w:r>
    </w:p>
    <w:p w14:paraId="2EA5864C" w14:textId="4801C6A1"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t>D.</w:t>
      </w:r>
      <w:r w:rsidRPr="00116D26">
        <w:rPr>
          <w:color w:val="000000" w:themeColor="text1"/>
          <w:sz w:val="20"/>
          <w:szCs w:val="20"/>
        </w:rPr>
        <w:tab/>
        <w:t>General segment</w:t>
      </w:r>
      <w:r w:rsidRPr="00116D26">
        <w:rPr>
          <w:color w:val="000000" w:themeColor="text1"/>
          <w:sz w:val="20"/>
          <w:szCs w:val="20"/>
        </w:rPr>
        <w:tab/>
      </w:r>
      <w:r w:rsidR="00FB4A56" w:rsidRPr="00116D26">
        <w:rPr>
          <w:color w:val="000000" w:themeColor="text1"/>
          <w:sz w:val="20"/>
          <w:szCs w:val="20"/>
        </w:rPr>
        <w:tab/>
      </w:r>
      <w:r w:rsidR="0007301D">
        <w:rPr>
          <w:color w:val="000000" w:themeColor="text1"/>
          <w:sz w:val="20"/>
          <w:szCs w:val="20"/>
        </w:rPr>
        <w:t>11</w:t>
      </w:r>
    </w:p>
    <w:p w14:paraId="5B16291E" w14:textId="7FD289F7" w:rsidR="00BF3449" w:rsidRPr="00116D26" w:rsidRDefault="00BF3449" w:rsidP="00BF3449">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t>E.</w:t>
      </w:r>
      <w:r w:rsidRPr="00116D26">
        <w:rPr>
          <w:color w:val="000000" w:themeColor="text1"/>
          <w:sz w:val="20"/>
          <w:szCs w:val="20"/>
        </w:rPr>
        <w:tab/>
        <w:t>Agenda and progr</w:t>
      </w:r>
      <w:r w:rsidR="0007301D">
        <w:rPr>
          <w:color w:val="000000" w:themeColor="text1"/>
          <w:sz w:val="20"/>
          <w:szCs w:val="20"/>
        </w:rPr>
        <w:t>amme of work</w:t>
      </w:r>
      <w:r w:rsidR="0007301D">
        <w:rPr>
          <w:color w:val="000000" w:themeColor="text1"/>
          <w:sz w:val="20"/>
          <w:szCs w:val="20"/>
        </w:rPr>
        <w:tab/>
      </w:r>
      <w:r w:rsidR="0007301D">
        <w:rPr>
          <w:color w:val="000000" w:themeColor="text1"/>
          <w:sz w:val="20"/>
          <w:szCs w:val="20"/>
        </w:rPr>
        <w:tab/>
        <w:t>12</w:t>
      </w:r>
    </w:p>
    <w:p w14:paraId="2EA5864D" w14:textId="7F91AFCD" w:rsidR="00F11B08" w:rsidRPr="00116D26" w:rsidRDefault="00BF3449"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r>
      <w:r w:rsidR="00DE052D" w:rsidRPr="00116D26">
        <w:rPr>
          <w:color w:val="000000" w:themeColor="text1"/>
          <w:sz w:val="20"/>
          <w:szCs w:val="20"/>
        </w:rPr>
        <w:t>F</w:t>
      </w:r>
      <w:r w:rsidR="00F11B08" w:rsidRPr="00116D26">
        <w:rPr>
          <w:color w:val="000000" w:themeColor="text1"/>
          <w:sz w:val="20"/>
          <w:szCs w:val="20"/>
        </w:rPr>
        <w:t>.</w:t>
      </w:r>
      <w:r w:rsidR="00F11B08" w:rsidRPr="00116D26">
        <w:rPr>
          <w:color w:val="000000" w:themeColor="text1"/>
          <w:sz w:val="20"/>
          <w:szCs w:val="20"/>
        </w:rPr>
        <w:tab/>
        <w:t>Organization of work</w:t>
      </w:r>
      <w:r w:rsidR="00F11B08" w:rsidRPr="00116D26">
        <w:rPr>
          <w:color w:val="000000" w:themeColor="text1"/>
          <w:sz w:val="20"/>
          <w:szCs w:val="20"/>
        </w:rPr>
        <w:tab/>
      </w:r>
      <w:r w:rsidR="00FB4A56" w:rsidRPr="00116D26">
        <w:rPr>
          <w:color w:val="000000" w:themeColor="text1"/>
          <w:sz w:val="20"/>
          <w:szCs w:val="20"/>
        </w:rPr>
        <w:tab/>
      </w:r>
      <w:r w:rsidR="0007301D">
        <w:rPr>
          <w:color w:val="000000" w:themeColor="text1"/>
          <w:sz w:val="20"/>
          <w:szCs w:val="20"/>
        </w:rPr>
        <w:t>12</w:t>
      </w:r>
    </w:p>
    <w:p w14:paraId="2EA5864E" w14:textId="478ECAF0"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r>
      <w:r w:rsidR="00DE052D" w:rsidRPr="00116D26">
        <w:rPr>
          <w:color w:val="000000" w:themeColor="text1"/>
          <w:sz w:val="20"/>
          <w:szCs w:val="20"/>
        </w:rPr>
        <w:t>G</w:t>
      </w:r>
      <w:r w:rsidRPr="00116D26">
        <w:rPr>
          <w:color w:val="000000" w:themeColor="text1"/>
          <w:sz w:val="20"/>
          <w:szCs w:val="20"/>
        </w:rPr>
        <w:t>.</w:t>
      </w:r>
      <w:r w:rsidRPr="00116D26">
        <w:rPr>
          <w:color w:val="000000" w:themeColor="text1"/>
          <w:sz w:val="20"/>
          <w:szCs w:val="20"/>
        </w:rPr>
        <w:tab/>
        <w:t>Meetings and documentation</w:t>
      </w:r>
      <w:r w:rsidRPr="00116D26">
        <w:rPr>
          <w:color w:val="000000" w:themeColor="text1"/>
          <w:sz w:val="20"/>
          <w:szCs w:val="20"/>
        </w:rPr>
        <w:tab/>
      </w:r>
      <w:r w:rsidR="00FB4A56" w:rsidRPr="00116D26">
        <w:rPr>
          <w:color w:val="000000" w:themeColor="text1"/>
          <w:sz w:val="20"/>
          <w:szCs w:val="20"/>
        </w:rPr>
        <w:tab/>
      </w:r>
      <w:r w:rsidRPr="00116D26">
        <w:rPr>
          <w:color w:val="000000" w:themeColor="text1"/>
          <w:sz w:val="20"/>
          <w:szCs w:val="20"/>
        </w:rPr>
        <w:t>1</w:t>
      </w:r>
      <w:r w:rsidR="0007301D">
        <w:rPr>
          <w:color w:val="000000" w:themeColor="text1"/>
          <w:sz w:val="20"/>
          <w:szCs w:val="20"/>
        </w:rPr>
        <w:t>3</w:t>
      </w:r>
    </w:p>
    <w:p w14:paraId="2EA5864F" w14:textId="4EC862FF" w:rsidR="00F11B08" w:rsidRDefault="00DE052D"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t>H</w:t>
      </w:r>
      <w:r w:rsidR="00F11B08" w:rsidRPr="00116D26">
        <w:rPr>
          <w:color w:val="000000" w:themeColor="text1"/>
          <w:sz w:val="20"/>
          <w:szCs w:val="20"/>
        </w:rPr>
        <w:t>.</w:t>
      </w:r>
      <w:r w:rsidR="00F11B08" w:rsidRPr="00116D26">
        <w:rPr>
          <w:color w:val="000000" w:themeColor="text1"/>
          <w:sz w:val="20"/>
          <w:szCs w:val="20"/>
        </w:rPr>
        <w:tab/>
        <w:t>Visits</w:t>
      </w:r>
      <w:r w:rsidR="00F11B08" w:rsidRPr="00116D26">
        <w:rPr>
          <w:color w:val="000000" w:themeColor="text1"/>
          <w:sz w:val="20"/>
          <w:szCs w:val="20"/>
        </w:rPr>
        <w:tab/>
      </w:r>
      <w:r w:rsidR="00FB4A56" w:rsidRPr="00116D26">
        <w:rPr>
          <w:color w:val="000000" w:themeColor="text1"/>
          <w:sz w:val="20"/>
          <w:szCs w:val="20"/>
        </w:rPr>
        <w:tab/>
      </w:r>
      <w:r w:rsidR="00F11B08" w:rsidRPr="00116D26">
        <w:rPr>
          <w:color w:val="000000" w:themeColor="text1"/>
          <w:sz w:val="20"/>
          <w:szCs w:val="20"/>
        </w:rPr>
        <w:t>1</w:t>
      </w:r>
      <w:r w:rsidR="0007301D">
        <w:rPr>
          <w:color w:val="000000" w:themeColor="text1"/>
          <w:sz w:val="20"/>
          <w:szCs w:val="20"/>
        </w:rPr>
        <w:t>3</w:t>
      </w:r>
    </w:p>
    <w:p w14:paraId="0F275E04" w14:textId="7FBDE7F9" w:rsidR="00366BCA" w:rsidRPr="00116D26" w:rsidRDefault="00366BCA"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r>
      <w:r>
        <w:rPr>
          <w:color w:val="000000" w:themeColor="text1"/>
          <w:sz w:val="20"/>
          <w:szCs w:val="20"/>
        </w:rPr>
        <w:t>I</w:t>
      </w:r>
      <w:r w:rsidRPr="00116D26">
        <w:rPr>
          <w:color w:val="000000" w:themeColor="text1"/>
          <w:sz w:val="20"/>
          <w:szCs w:val="20"/>
        </w:rPr>
        <w:t>.</w:t>
      </w:r>
      <w:r w:rsidRPr="00116D26">
        <w:rPr>
          <w:color w:val="000000" w:themeColor="text1"/>
          <w:sz w:val="20"/>
          <w:szCs w:val="20"/>
        </w:rPr>
        <w:tab/>
      </w:r>
      <w:r w:rsidRPr="00366BCA">
        <w:rPr>
          <w:color w:val="000000" w:themeColor="text1"/>
          <w:sz w:val="20"/>
          <w:szCs w:val="20"/>
        </w:rPr>
        <w:t>Dialogue with the Deputy Secretary-General of the</w:t>
      </w:r>
      <w:r>
        <w:rPr>
          <w:color w:val="000000" w:themeColor="text1"/>
          <w:sz w:val="20"/>
          <w:szCs w:val="20"/>
        </w:rPr>
        <w:t xml:space="preserve"> United Nations</w:t>
      </w:r>
      <w:r w:rsidRPr="00116D26">
        <w:rPr>
          <w:color w:val="000000" w:themeColor="text1"/>
          <w:sz w:val="20"/>
          <w:szCs w:val="20"/>
        </w:rPr>
        <w:tab/>
      </w:r>
      <w:r w:rsidRPr="00116D26">
        <w:rPr>
          <w:color w:val="000000" w:themeColor="text1"/>
          <w:sz w:val="20"/>
          <w:szCs w:val="20"/>
        </w:rPr>
        <w:tab/>
        <w:t>1</w:t>
      </w:r>
      <w:r w:rsidR="0007301D">
        <w:rPr>
          <w:color w:val="000000" w:themeColor="text1"/>
          <w:sz w:val="20"/>
          <w:szCs w:val="20"/>
        </w:rPr>
        <w:t>3</w:t>
      </w:r>
    </w:p>
    <w:p w14:paraId="2EA58651" w14:textId="6D8C7CCC"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r>
      <w:r w:rsidR="00366BCA">
        <w:rPr>
          <w:color w:val="000000" w:themeColor="text1"/>
          <w:sz w:val="20"/>
          <w:szCs w:val="20"/>
        </w:rPr>
        <w:t>J</w:t>
      </w:r>
      <w:r w:rsidRPr="00116D26">
        <w:rPr>
          <w:color w:val="000000" w:themeColor="text1"/>
          <w:sz w:val="20"/>
          <w:szCs w:val="20"/>
        </w:rPr>
        <w:t>.</w:t>
      </w:r>
      <w:r w:rsidR="0004192C" w:rsidRPr="00116D26">
        <w:rPr>
          <w:color w:val="000000" w:themeColor="text1"/>
          <w:sz w:val="20"/>
          <w:szCs w:val="20"/>
        </w:rPr>
        <w:tab/>
      </w:r>
      <w:r w:rsidRPr="00116D26">
        <w:rPr>
          <w:color w:val="000000" w:themeColor="text1"/>
          <w:sz w:val="20"/>
          <w:szCs w:val="20"/>
        </w:rPr>
        <w:t>Selection and appointment of mandate holders</w:t>
      </w:r>
      <w:r w:rsidRPr="00116D26">
        <w:rPr>
          <w:color w:val="000000" w:themeColor="text1"/>
          <w:sz w:val="20"/>
          <w:szCs w:val="20"/>
        </w:rPr>
        <w:tab/>
      </w:r>
      <w:r w:rsidR="00FB4A56" w:rsidRPr="00116D26">
        <w:rPr>
          <w:color w:val="000000" w:themeColor="text1"/>
          <w:sz w:val="20"/>
          <w:szCs w:val="20"/>
        </w:rPr>
        <w:tab/>
      </w:r>
      <w:r w:rsidRPr="00116D26">
        <w:rPr>
          <w:color w:val="000000" w:themeColor="text1"/>
          <w:sz w:val="20"/>
          <w:szCs w:val="20"/>
        </w:rPr>
        <w:t>1</w:t>
      </w:r>
      <w:r w:rsidR="0007301D">
        <w:rPr>
          <w:color w:val="000000" w:themeColor="text1"/>
          <w:sz w:val="20"/>
          <w:szCs w:val="20"/>
        </w:rPr>
        <w:t>4</w:t>
      </w:r>
    </w:p>
    <w:p w14:paraId="55E0B9E2" w14:textId="14CCD9FF" w:rsidR="00BF3449" w:rsidRPr="00116D26" w:rsidRDefault="00F11B08" w:rsidP="00BF3449">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00366BCA">
        <w:rPr>
          <w:color w:val="000000" w:themeColor="text1"/>
          <w:sz w:val="20"/>
          <w:szCs w:val="20"/>
        </w:rPr>
        <w:tab/>
        <w:t>K</w:t>
      </w:r>
      <w:r w:rsidR="00BF3449" w:rsidRPr="00116D26">
        <w:rPr>
          <w:color w:val="000000" w:themeColor="text1"/>
          <w:sz w:val="20"/>
          <w:szCs w:val="20"/>
        </w:rPr>
        <w:t>.</w:t>
      </w:r>
      <w:r w:rsidR="00BF3449" w:rsidRPr="00116D26">
        <w:rPr>
          <w:color w:val="000000" w:themeColor="text1"/>
          <w:sz w:val="20"/>
          <w:szCs w:val="20"/>
        </w:rPr>
        <w:tab/>
        <w:t xml:space="preserve">Adoption </w:t>
      </w:r>
      <w:r w:rsidR="0007301D">
        <w:rPr>
          <w:color w:val="000000" w:themeColor="text1"/>
          <w:sz w:val="20"/>
          <w:szCs w:val="20"/>
        </w:rPr>
        <w:t>of the report of the session</w:t>
      </w:r>
      <w:r w:rsidR="0007301D">
        <w:rPr>
          <w:color w:val="000000" w:themeColor="text1"/>
          <w:sz w:val="20"/>
          <w:szCs w:val="20"/>
        </w:rPr>
        <w:tab/>
      </w:r>
      <w:r w:rsidR="0007301D">
        <w:rPr>
          <w:color w:val="000000" w:themeColor="text1"/>
          <w:sz w:val="20"/>
          <w:szCs w:val="20"/>
        </w:rPr>
        <w:tab/>
        <w:t>14</w:t>
      </w:r>
    </w:p>
    <w:p w14:paraId="2EA58653" w14:textId="21CBB197" w:rsidR="00F11B08" w:rsidRPr="00116D26" w:rsidRDefault="00F11B08" w:rsidP="0058463C">
      <w:pPr>
        <w:tabs>
          <w:tab w:val="right" w:pos="850"/>
          <w:tab w:val="left" w:pos="1134"/>
          <w:tab w:val="left" w:pos="1559"/>
          <w:tab w:val="left" w:pos="1984"/>
          <w:tab w:val="left" w:leader="dot" w:pos="8929"/>
          <w:tab w:val="right" w:pos="9638"/>
        </w:tabs>
        <w:spacing w:after="120"/>
        <w:ind w:left="1559" w:hanging="1140"/>
        <w:rPr>
          <w:color w:val="000000" w:themeColor="text1"/>
          <w:sz w:val="20"/>
          <w:szCs w:val="20"/>
        </w:rPr>
      </w:pPr>
      <w:r w:rsidRPr="00116D26">
        <w:rPr>
          <w:color w:val="000000" w:themeColor="text1"/>
          <w:sz w:val="20"/>
          <w:szCs w:val="20"/>
        </w:rPr>
        <w:tab/>
        <w:t>II.</w:t>
      </w:r>
      <w:r w:rsidRPr="00116D26">
        <w:rPr>
          <w:color w:val="000000" w:themeColor="text1"/>
          <w:sz w:val="20"/>
          <w:szCs w:val="20"/>
        </w:rPr>
        <w:tab/>
        <w:t>Annual report of the United Nations High Commissioner f</w:t>
      </w:r>
      <w:r w:rsidR="00116D26">
        <w:rPr>
          <w:color w:val="000000" w:themeColor="text1"/>
          <w:sz w:val="20"/>
          <w:szCs w:val="20"/>
        </w:rPr>
        <w:t xml:space="preserve">or Human Rights and reports of </w:t>
      </w:r>
      <w:r w:rsidRPr="00116D26">
        <w:rPr>
          <w:color w:val="000000" w:themeColor="text1"/>
          <w:sz w:val="20"/>
          <w:szCs w:val="20"/>
        </w:rPr>
        <w:t>the Office of the High Commissioner and the Secretary-General</w:t>
      </w:r>
      <w:r w:rsidRPr="00116D26">
        <w:rPr>
          <w:color w:val="000000" w:themeColor="text1"/>
          <w:sz w:val="20"/>
          <w:szCs w:val="20"/>
        </w:rPr>
        <w:tab/>
      </w:r>
      <w:r w:rsidR="00FB4A56" w:rsidRPr="00116D26">
        <w:rPr>
          <w:color w:val="000000" w:themeColor="text1"/>
          <w:sz w:val="20"/>
          <w:szCs w:val="20"/>
        </w:rPr>
        <w:tab/>
      </w:r>
      <w:r w:rsidR="0007301D">
        <w:rPr>
          <w:color w:val="000000" w:themeColor="text1"/>
          <w:sz w:val="20"/>
          <w:szCs w:val="20"/>
        </w:rPr>
        <w:t>15</w:t>
      </w:r>
    </w:p>
    <w:p w14:paraId="2EA58654" w14:textId="54367A16" w:rsidR="00F11B08"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t>A.</w:t>
      </w:r>
      <w:r w:rsidRPr="00116D26">
        <w:rPr>
          <w:color w:val="000000" w:themeColor="text1"/>
          <w:sz w:val="20"/>
          <w:szCs w:val="20"/>
        </w:rPr>
        <w:tab/>
        <w:t>Annual report of the United Nations High Commissioner for Human Rights</w:t>
      </w:r>
      <w:r w:rsidR="00C8569C" w:rsidRPr="00116D26">
        <w:rPr>
          <w:color w:val="000000" w:themeColor="text1"/>
          <w:sz w:val="20"/>
          <w:szCs w:val="20"/>
        </w:rPr>
        <w:t>.</w:t>
      </w:r>
      <w:r w:rsidRPr="00116D26">
        <w:rPr>
          <w:color w:val="000000" w:themeColor="text1"/>
          <w:sz w:val="20"/>
          <w:szCs w:val="20"/>
        </w:rPr>
        <w:tab/>
      </w:r>
      <w:r w:rsidR="00FB4A56" w:rsidRPr="00116D26">
        <w:rPr>
          <w:color w:val="000000" w:themeColor="text1"/>
          <w:sz w:val="20"/>
          <w:szCs w:val="20"/>
        </w:rPr>
        <w:tab/>
      </w:r>
      <w:r w:rsidR="00EA4382">
        <w:rPr>
          <w:color w:val="000000" w:themeColor="text1"/>
          <w:sz w:val="20"/>
          <w:szCs w:val="20"/>
        </w:rPr>
        <w:t>1</w:t>
      </w:r>
      <w:r w:rsidR="0007301D">
        <w:rPr>
          <w:color w:val="000000" w:themeColor="text1"/>
          <w:sz w:val="20"/>
          <w:szCs w:val="20"/>
        </w:rPr>
        <w:t>5</w:t>
      </w:r>
    </w:p>
    <w:p w14:paraId="1F6D4C02" w14:textId="01138319" w:rsidR="0058463C" w:rsidRDefault="0058463C" w:rsidP="00A078AC">
      <w:pPr>
        <w:tabs>
          <w:tab w:val="right" w:pos="850"/>
          <w:tab w:val="left" w:pos="1134"/>
          <w:tab w:val="left" w:pos="1559"/>
          <w:tab w:val="left" w:pos="1984"/>
          <w:tab w:val="left" w:leader="dot" w:pos="8929"/>
          <w:tab w:val="right" w:pos="9638"/>
        </w:tabs>
        <w:spacing w:after="120"/>
        <w:ind w:left="1559" w:hanging="1559"/>
        <w:rPr>
          <w:color w:val="000000" w:themeColor="text1"/>
          <w:sz w:val="20"/>
          <w:szCs w:val="20"/>
        </w:rPr>
      </w:pPr>
      <w:r w:rsidRPr="00116D26">
        <w:rPr>
          <w:color w:val="000000" w:themeColor="text1"/>
          <w:sz w:val="20"/>
          <w:szCs w:val="20"/>
        </w:rPr>
        <w:tab/>
      </w:r>
      <w:r w:rsidRPr="00116D26">
        <w:rPr>
          <w:color w:val="000000" w:themeColor="text1"/>
          <w:sz w:val="20"/>
          <w:szCs w:val="20"/>
        </w:rPr>
        <w:tab/>
      </w:r>
      <w:r w:rsidR="00A078AC">
        <w:rPr>
          <w:color w:val="000000" w:themeColor="text1"/>
          <w:sz w:val="20"/>
          <w:szCs w:val="20"/>
        </w:rPr>
        <w:t>B</w:t>
      </w:r>
      <w:r w:rsidRPr="00116D26">
        <w:rPr>
          <w:color w:val="000000" w:themeColor="text1"/>
          <w:sz w:val="20"/>
          <w:szCs w:val="20"/>
        </w:rPr>
        <w:t>.</w:t>
      </w:r>
      <w:r w:rsidRPr="00116D26">
        <w:rPr>
          <w:color w:val="000000" w:themeColor="text1"/>
          <w:sz w:val="20"/>
          <w:szCs w:val="20"/>
        </w:rPr>
        <w:tab/>
      </w:r>
      <w:r w:rsidRPr="0058463C">
        <w:rPr>
          <w:color w:val="000000" w:themeColor="text1"/>
          <w:sz w:val="20"/>
          <w:szCs w:val="20"/>
        </w:rPr>
        <w:t xml:space="preserve">Interactive dialogue on promoting reconciliation, accountability </w:t>
      </w:r>
      <w:r w:rsidR="00A078AC">
        <w:rPr>
          <w:color w:val="000000" w:themeColor="text1"/>
          <w:sz w:val="20"/>
          <w:szCs w:val="20"/>
        </w:rPr>
        <w:br/>
      </w:r>
      <w:r w:rsidRPr="0058463C">
        <w:rPr>
          <w:color w:val="000000" w:themeColor="text1"/>
          <w:sz w:val="20"/>
          <w:szCs w:val="20"/>
        </w:rPr>
        <w:t>and human rights in Sri Lanka</w:t>
      </w:r>
      <w:r w:rsidRPr="00116D26">
        <w:rPr>
          <w:color w:val="000000" w:themeColor="text1"/>
          <w:sz w:val="20"/>
          <w:szCs w:val="20"/>
        </w:rPr>
        <w:tab/>
      </w:r>
      <w:r w:rsidRPr="00116D26">
        <w:rPr>
          <w:color w:val="000000" w:themeColor="text1"/>
          <w:sz w:val="20"/>
          <w:szCs w:val="20"/>
        </w:rPr>
        <w:tab/>
      </w:r>
      <w:r w:rsidR="0007301D">
        <w:rPr>
          <w:color w:val="000000" w:themeColor="text1"/>
          <w:sz w:val="20"/>
          <w:szCs w:val="20"/>
        </w:rPr>
        <w:t>16</w:t>
      </w:r>
    </w:p>
    <w:p w14:paraId="2EA58656" w14:textId="7F61030B" w:rsidR="00F11B08"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r>
      <w:r w:rsidR="00A078AC">
        <w:rPr>
          <w:color w:val="000000" w:themeColor="text1"/>
          <w:sz w:val="20"/>
          <w:szCs w:val="20"/>
        </w:rPr>
        <w:t>C</w:t>
      </w:r>
      <w:r w:rsidRPr="00116D26">
        <w:rPr>
          <w:color w:val="000000" w:themeColor="text1"/>
          <w:sz w:val="20"/>
          <w:szCs w:val="20"/>
        </w:rPr>
        <w:t>.</w:t>
      </w:r>
      <w:r w:rsidRPr="00116D26">
        <w:rPr>
          <w:color w:val="000000" w:themeColor="text1"/>
          <w:sz w:val="20"/>
          <w:szCs w:val="20"/>
        </w:rPr>
        <w:tab/>
        <w:t>Reports of the Office of the High Commissioner and the Secretary-General</w:t>
      </w:r>
      <w:r w:rsidR="00C711E0" w:rsidRPr="00116D26">
        <w:rPr>
          <w:color w:val="000000" w:themeColor="text1"/>
          <w:sz w:val="20"/>
          <w:szCs w:val="20"/>
        </w:rPr>
        <w:tab/>
      </w:r>
      <w:r w:rsidR="0007301D">
        <w:rPr>
          <w:color w:val="000000" w:themeColor="text1"/>
          <w:sz w:val="20"/>
          <w:szCs w:val="20"/>
        </w:rPr>
        <w:tab/>
        <w:t>17</w:t>
      </w:r>
    </w:p>
    <w:p w14:paraId="38CE0ACC" w14:textId="13CE3B28" w:rsidR="00326BEB" w:rsidRPr="00116D26" w:rsidRDefault="00326BEB"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r>
      <w:r>
        <w:rPr>
          <w:color w:val="000000" w:themeColor="text1"/>
          <w:sz w:val="20"/>
          <w:szCs w:val="20"/>
        </w:rPr>
        <w:t>D</w:t>
      </w:r>
      <w:r w:rsidRPr="00116D26">
        <w:rPr>
          <w:color w:val="000000" w:themeColor="text1"/>
          <w:sz w:val="20"/>
          <w:szCs w:val="20"/>
        </w:rPr>
        <w:t>.</w:t>
      </w:r>
      <w:r w:rsidRPr="00116D26">
        <w:rPr>
          <w:color w:val="000000" w:themeColor="text1"/>
          <w:sz w:val="20"/>
          <w:szCs w:val="20"/>
        </w:rPr>
        <w:tab/>
        <w:t>Consideration of and action on draft proposals</w:t>
      </w:r>
      <w:r w:rsidRPr="00116D26">
        <w:rPr>
          <w:color w:val="000000" w:themeColor="text1"/>
          <w:sz w:val="20"/>
          <w:szCs w:val="20"/>
        </w:rPr>
        <w:tab/>
      </w:r>
      <w:r w:rsidRPr="00116D26">
        <w:rPr>
          <w:color w:val="000000" w:themeColor="text1"/>
          <w:sz w:val="20"/>
          <w:szCs w:val="20"/>
        </w:rPr>
        <w:tab/>
      </w:r>
      <w:r w:rsidR="0007301D">
        <w:rPr>
          <w:color w:val="000000" w:themeColor="text1"/>
          <w:sz w:val="20"/>
          <w:szCs w:val="20"/>
        </w:rPr>
        <w:t>19</w:t>
      </w:r>
    </w:p>
    <w:p w14:paraId="2EA58657" w14:textId="48E1AB34" w:rsidR="00F11B08" w:rsidRPr="00116D26" w:rsidRDefault="00F11B08" w:rsidP="00A078AC">
      <w:pPr>
        <w:tabs>
          <w:tab w:val="right" w:pos="850"/>
          <w:tab w:val="left" w:pos="1134"/>
          <w:tab w:val="left" w:pos="1559"/>
          <w:tab w:val="left" w:pos="1984"/>
          <w:tab w:val="left" w:leader="dot" w:pos="8929"/>
          <w:tab w:val="right" w:pos="9638"/>
        </w:tabs>
        <w:spacing w:after="120"/>
        <w:ind w:left="1559" w:hanging="1559"/>
        <w:rPr>
          <w:color w:val="000000" w:themeColor="text1"/>
          <w:sz w:val="20"/>
          <w:szCs w:val="20"/>
        </w:rPr>
      </w:pPr>
      <w:r w:rsidRPr="00116D26">
        <w:rPr>
          <w:color w:val="000000" w:themeColor="text1"/>
          <w:sz w:val="20"/>
          <w:szCs w:val="20"/>
        </w:rPr>
        <w:tab/>
        <w:t>III.</w:t>
      </w:r>
      <w:r w:rsidRPr="00116D26">
        <w:rPr>
          <w:color w:val="000000" w:themeColor="text1"/>
          <w:sz w:val="20"/>
          <w:szCs w:val="20"/>
        </w:rPr>
        <w:tab/>
        <w:t>Promotion and protection of all human rights, civil, political, economic, social and cultural rights,</w:t>
      </w:r>
      <w:r w:rsidR="00EF290A" w:rsidRPr="00116D26">
        <w:rPr>
          <w:color w:val="000000" w:themeColor="text1"/>
          <w:sz w:val="20"/>
          <w:szCs w:val="20"/>
        </w:rPr>
        <w:t xml:space="preserve"> </w:t>
      </w:r>
      <w:r w:rsidRPr="00116D26">
        <w:rPr>
          <w:color w:val="000000" w:themeColor="text1"/>
          <w:sz w:val="20"/>
          <w:szCs w:val="20"/>
        </w:rPr>
        <w:t>including the right to development</w:t>
      </w:r>
      <w:r w:rsidRPr="00116D26">
        <w:rPr>
          <w:color w:val="000000" w:themeColor="text1"/>
          <w:sz w:val="20"/>
          <w:szCs w:val="20"/>
        </w:rPr>
        <w:tab/>
      </w:r>
      <w:r w:rsidR="00FB4A56" w:rsidRPr="00116D26">
        <w:rPr>
          <w:color w:val="000000" w:themeColor="text1"/>
          <w:sz w:val="20"/>
          <w:szCs w:val="20"/>
        </w:rPr>
        <w:tab/>
      </w:r>
      <w:r w:rsidR="0007301D">
        <w:rPr>
          <w:color w:val="000000" w:themeColor="text1"/>
          <w:sz w:val="20"/>
          <w:szCs w:val="20"/>
        </w:rPr>
        <w:t>22</w:t>
      </w:r>
    </w:p>
    <w:p w14:paraId="2EA58658" w14:textId="31E9F2C3"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t>A.</w:t>
      </w:r>
      <w:r w:rsidRPr="00116D26">
        <w:rPr>
          <w:color w:val="000000" w:themeColor="text1"/>
          <w:sz w:val="20"/>
          <w:szCs w:val="20"/>
        </w:rPr>
        <w:tab/>
        <w:t>Panels</w:t>
      </w:r>
      <w:r w:rsidRPr="00116D26">
        <w:rPr>
          <w:color w:val="000000" w:themeColor="text1"/>
          <w:sz w:val="20"/>
          <w:szCs w:val="20"/>
        </w:rPr>
        <w:tab/>
      </w:r>
      <w:r w:rsidR="00FB4A56" w:rsidRPr="00116D26">
        <w:rPr>
          <w:color w:val="000000" w:themeColor="text1"/>
          <w:sz w:val="20"/>
          <w:szCs w:val="20"/>
        </w:rPr>
        <w:tab/>
      </w:r>
      <w:r w:rsidR="0007301D">
        <w:rPr>
          <w:color w:val="000000" w:themeColor="text1"/>
          <w:sz w:val="20"/>
          <w:szCs w:val="20"/>
        </w:rPr>
        <w:t>22</w:t>
      </w:r>
    </w:p>
    <w:p w14:paraId="2EA5865A" w14:textId="77405E58"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r>
      <w:r w:rsidR="00DE052D" w:rsidRPr="00116D26">
        <w:rPr>
          <w:color w:val="000000" w:themeColor="text1"/>
          <w:sz w:val="20"/>
          <w:szCs w:val="20"/>
        </w:rPr>
        <w:t>B</w:t>
      </w:r>
      <w:r w:rsidRPr="00116D26">
        <w:rPr>
          <w:color w:val="000000" w:themeColor="text1"/>
          <w:sz w:val="20"/>
          <w:szCs w:val="20"/>
        </w:rPr>
        <w:t>.</w:t>
      </w:r>
      <w:r w:rsidRPr="00116D26">
        <w:rPr>
          <w:color w:val="000000" w:themeColor="text1"/>
          <w:sz w:val="20"/>
          <w:szCs w:val="20"/>
        </w:rPr>
        <w:tab/>
        <w:t>Interactive dialogue with special procedures mandate holders</w:t>
      </w:r>
      <w:r w:rsidRPr="00116D26">
        <w:rPr>
          <w:color w:val="000000" w:themeColor="text1"/>
          <w:sz w:val="20"/>
          <w:szCs w:val="20"/>
        </w:rPr>
        <w:tab/>
      </w:r>
      <w:r w:rsidR="005140FD" w:rsidRPr="00116D26">
        <w:rPr>
          <w:color w:val="000000" w:themeColor="text1"/>
          <w:sz w:val="20"/>
          <w:szCs w:val="20"/>
        </w:rPr>
        <w:tab/>
      </w:r>
      <w:r w:rsidR="0007301D">
        <w:rPr>
          <w:color w:val="000000" w:themeColor="text1"/>
          <w:sz w:val="20"/>
          <w:szCs w:val="20"/>
        </w:rPr>
        <w:t>26</w:t>
      </w:r>
    </w:p>
    <w:p w14:paraId="2EA5865B" w14:textId="05AA497A" w:rsidR="00F11B08" w:rsidRPr="00116D26" w:rsidRDefault="00DE052D"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t>C</w:t>
      </w:r>
      <w:r w:rsidR="00F11B08" w:rsidRPr="00116D26">
        <w:rPr>
          <w:color w:val="000000" w:themeColor="text1"/>
          <w:sz w:val="20"/>
          <w:szCs w:val="20"/>
        </w:rPr>
        <w:t>.</w:t>
      </w:r>
      <w:r w:rsidR="00F11B08" w:rsidRPr="00116D26">
        <w:rPr>
          <w:color w:val="000000" w:themeColor="text1"/>
          <w:sz w:val="20"/>
          <w:szCs w:val="20"/>
        </w:rPr>
        <w:tab/>
        <w:t>Interactive dialogue with Special Representatives of the Secretary-General</w:t>
      </w:r>
      <w:r w:rsidR="00F11B08" w:rsidRPr="00116D26">
        <w:rPr>
          <w:color w:val="000000" w:themeColor="text1"/>
          <w:sz w:val="20"/>
          <w:szCs w:val="20"/>
        </w:rPr>
        <w:tab/>
      </w:r>
      <w:r w:rsidR="005140FD" w:rsidRPr="00116D26">
        <w:rPr>
          <w:color w:val="000000" w:themeColor="text1"/>
          <w:sz w:val="20"/>
          <w:szCs w:val="20"/>
        </w:rPr>
        <w:tab/>
      </w:r>
      <w:r w:rsidR="0007301D">
        <w:rPr>
          <w:color w:val="000000" w:themeColor="text1"/>
          <w:sz w:val="20"/>
          <w:szCs w:val="20"/>
        </w:rPr>
        <w:t>35</w:t>
      </w:r>
    </w:p>
    <w:p w14:paraId="2EA5865C" w14:textId="4F65377F" w:rsidR="00F11B08" w:rsidRDefault="00F11B08" w:rsidP="00F11B08">
      <w:pPr>
        <w:tabs>
          <w:tab w:val="right" w:pos="850"/>
          <w:tab w:val="left" w:pos="1134"/>
          <w:tab w:val="left" w:pos="1559"/>
          <w:tab w:val="left" w:pos="1984"/>
          <w:tab w:val="left" w:leader="dot" w:pos="8929"/>
          <w:tab w:val="right" w:pos="9638"/>
        </w:tabs>
        <w:spacing w:after="120"/>
        <w:ind w:left="1559" w:hanging="1559"/>
        <w:rPr>
          <w:color w:val="000000" w:themeColor="text1"/>
          <w:sz w:val="20"/>
          <w:szCs w:val="20"/>
        </w:rPr>
      </w:pPr>
      <w:r w:rsidRPr="00116D26">
        <w:rPr>
          <w:color w:val="000000" w:themeColor="text1"/>
          <w:sz w:val="20"/>
          <w:szCs w:val="20"/>
        </w:rPr>
        <w:tab/>
      </w:r>
      <w:r w:rsidRPr="00116D26">
        <w:rPr>
          <w:color w:val="000000" w:themeColor="text1"/>
          <w:sz w:val="20"/>
          <w:szCs w:val="20"/>
        </w:rPr>
        <w:tab/>
      </w:r>
      <w:r w:rsidR="00EF290A" w:rsidRPr="00116D26">
        <w:rPr>
          <w:color w:val="000000" w:themeColor="text1"/>
          <w:sz w:val="20"/>
          <w:szCs w:val="20"/>
        </w:rPr>
        <w:t>D</w:t>
      </w:r>
      <w:r w:rsidRPr="00116D26">
        <w:rPr>
          <w:color w:val="000000" w:themeColor="text1"/>
          <w:sz w:val="20"/>
          <w:szCs w:val="20"/>
        </w:rPr>
        <w:t>.</w:t>
      </w:r>
      <w:r w:rsidRPr="00116D26">
        <w:rPr>
          <w:color w:val="000000" w:themeColor="text1"/>
          <w:sz w:val="20"/>
          <w:szCs w:val="20"/>
        </w:rPr>
        <w:tab/>
        <w:t>Open-ended intergovernmental working group on transnational corporations and other business enterprises w</w:t>
      </w:r>
      <w:r w:rsidR="005140FD" w:rsidRPr="00116D26">
        <w:rPr>
          <w:color w:val="000000" w:themeColor="text1"/>
          <w:sz w:val="20"/>
          <w:szCs w:val="20"/>
        </w:rPr>
        <w:t xml:space="preserve">ith respect to human rights </w:t>
      </w:r>
      <w:r w:rsidR="005140FD" w:rsidRPr="00116D26">
        <w:rPr>
          <w:color w:val="000000" w:themeColor="text1"/>
          <w:sz w:val="20"/>
          <w:szCs w:val="20"/>
        </w:rPr>
        <w:tab/>
      </w:r>
      <w:r w:rsidR="005140FD" w:rsidRPr="00116D26">
        <w:rPr>
          <w:color w:val="000000" w:themeColor="text1"/>
          <w:sz w:val="20"/>
          <w:szCs w:val="20"/>
        </w:rPr>
        <w:tab/>
      </w:r>
      <w:r w:rsidR="0007301D">
        <w:rPr>
          <w:color w:val="000000" w:themeColor="text1"/>
          <w:sz w:val="20"/>
          <w:szCs w:val="20"/>
        </w:rPr>
        <w:t>37</w:t>
      </w:r>
    </w:p>
    <w:p w14:paraId="6582859B" w14:textId="595BD8CD" w:rsidR="00A078AC" w:rsidRDefault="00A078AC" w:rsidP="00A078AC">
      <w:pPr>
        <w:tabs>
          <w:tab w:val="right" w:pos="850"/>
          <w:tab w:val="left" w:pos="1134"/>
          <w:tab w:val="left" w:pos="1559"/>
          <w:tab w:val="left" w:pos="1984"/>
          <w:tab w:val="left" w:leader="dot" w:pos="8929"/>
          <w:tab w:val="right" w:pos="9638"/>
        </w:tabs>
        <w:spacing w:after="120"/>
        <w:ind w:left="1559" w:hanging="1559"/>
        <w:rPr>
          <w:color w:val="000000" w:themeColor="text1"/>
          <w:sz w:val="20"/>
          <w:szCs w:val="20"/>
        </w:rPr>
      </w:pPr>
      <w:r w:rsidRPr="00116D26">
        <w:rPr>
          <w:color w:val="000000" w:themeColor="text1"/>
          <w:sz w:val="20"/>
          <w:szCs w:val="20"/>
        </w:rPr>
        <w:tab/>
      </w:r>
      <w:r w:rsidRPr="00116D26">
        <w:rPr>
          <w:color w:val="000000" w:themeColor="text1"/>
          <w:sz w:val="20"/>
          <w:szCs w:val="20"/>
        </w:rPr>
        <w:tab/>
      </w:r>
      <w:r>
        <w:rPr>
          <w:color w:val="000000" w:themeColor="text1"/>
          <w:sz w:val="20"/>
          <w:szCs w:val="20"/>
        </w:rPr>
        <w:t>E</w:t>
      </w:r>
      <w:r w:rsidRPr="00116D26">
        <w:rPr>
          <w:color w:val="000000" w:themeColor="text1"/>
          <w:sz w:val="20"/>
          <w:szCs w:val="20"/>
        </w:rPr>
        <w:t>.</w:t>
      </w:r>
      <w:r w:rsidRPr="00116D26">
        <w:rPr>
          <w:color w:val="000000" w:themeColor="text1"/>
          <w:sz w:val="20"/>
          <w:szCs w:val="20"/>
        </w:rPr>
        <w:tab/>
      </w:r>
      <w:r w:rsidRPr="00A078AC">
        <w:rPr>
          <w:color w:val="000000" w:themeColor="text1"/>
          <w:sz w:val="20"/>
          <w:szCs w:val="20"/>
        </w:rPr>
        <w:t>Promotion and protection of human rights and the implementation of the 2030 Agenda for Sustainable Development</w:t>
      </w:r>
      <w:r w:rsidRPr="00116D26">
        <w:rPr>
          <w:color w:val="000000" w:themeColor="text1"/>
          <w:sz w:val="20"/>
          <w:szCs w:val="20"/>
        </w:rPr>
        <w:tab/>
      </w:r>
      <w:r w:rsidRPr="00116D26">
        <w:rPr>
          <w:color w:val="000000" w:themeColor="text1"/>
          <w:sz w:val="20"/>
          <w:szCs w:val="20"/>
        </w:rPr>
        <w:tab/>
      </w:r>
      <w:r w:rsidR="0007301D">
        <w:rPr>
          <w:color w:val="000000" w:themeColor="text1"/>
          <w:sz w:val="20"/>
          <w:szCs w:val="20"/>
        </w:rPr>
        <w:t>37</w:t>
      </w:r>
    </w:p>
    <w:p w14:paraId="2EA5865D" w14:textId="1568B3AB"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r>
      <w:r w:rsidR="00A078AC">
        <w:rPr>
          <w:color w:val="000000" w:themeColor="text1"/>
          <w:sz w:val="20"/>
          <w:szCs w:val="20"/>
        </w:rPr>
        <w:t>F</w:t>
      </w:r>
      <w:r w:rsidRPr="00116D26">
        <w:rPr>
          <w:color w:val="000000" w:themeColor="text1"/>
          <w:sz w:val="20"/>
          <w:szCs w:val="20"/>
        </w:rPr>
        <w:t>.</w:t>
      </w:r>
      <w:r w:rsidRPr="00116D26">
        <w:rPr>
          <w:color w:val="000000" w:themeColor="text1"/>
          <w:sz w:val="20"/>
          <w:szCs w:val="20"/>
        </w:rPr>
        <w:tab/>
        <w:t>General debate on agenda item 3</w:t>
      </w:r>
      <w:r w:rsidRPr="00116D26">
        <w:rPr>
          <w:color w:val="000000" w:themeColor="text1"/>
          <w:sz w:val="20"/>
          <w:szCs w:val="20"/>
        </w:rPr>
        <w:tab/>
      </w:r>
      <w:r w:rsidR="005140FD" w:rsidRPr="00116D26">
        <w:rPr>
          <w:color w:val="000000" w:themeColor="text1"/>
          <w:sz w:val="20"/>
          <w:szCs w:val="20"/>
        </w:rPr>
        <w:tab/>
      </w:r>
      <w:r w:rsidR="0007301D">
        <w:rPr>
          <w:color w:val="000000" w:themeColor="text1"/>
          <w:sz w:val="20"/>
          <w:szCs w:val="20"/>
        </w:rPr>
        <w:t>37</w:t>
      </w:r>
    </w:p>
    <w:p w14:paraId="2EA5865E" w14:textId="5DC5641F"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r>
      <w:r w:rsidR="00A078AC">
        <w:rPr>
          <w:color w:val="000000" w:themeColor="text1"/>
          <w:sz w:val="20"/>
          <w:szCs w:val="20"/>
        </w:rPr>
        <w:t>G</w:t>
      </w:r>
      <w:r w:rsidRPr="00116D26">
        <w:rPr>
          <w:color w:val="000000" w:themeColor="text1"/>
          <w:sz w:val="20"/>
          <w:szCs w:val="20"/>
        </w:rPr>
        <w:t>.</w:t>
      </w:r>
      <w:r w:rsidRPr="00116D26">
        <w:rPr>
          <w:color w:val="000000" w:themeColor="text1"/>
          <w:sz w:val="20"/>
          <w:szCs w:val="20"/>
        </w:rPr>
        <w:tab/>
        <w:t>Consideration of and action on draft proposals</w:t>
      </w:r>
      <w:r w:rsidRPr="00116D26">
        <w:rPr>
          <w:color w:val="000000" w:themeColor="text1"/>
          <w:sz w:val="20"/>
          <w:szCs w:val="20"/>
        </w:rPr>
        <w:tab/>
      </w:r>
      <w:r w:rsidR="005140FD" w:rsidRPr="00116D26">
        <w:rPr>
          <w:color w:val="000000" w:themeColor="text1"/>
          <w:sz w:val="20"/>
          <w:szCs w:val="20"/>
        </w:rPr>
        <w:tab/>
      </w:r>
      <w:r w:rsidR="0007301D">
        <w:rPr>
          <w:color w:val="000000" w:themeColor="text1"/>
          <w:sz w:val="20"/>
          <w:szCs w:val="20"/>
        </w:rPr>
        <w:t>40</w:t>
      </w:r>
    </w:p>
    <w:p w14:paraId="2EA5865F" w14:textId="34B0CDB1"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t>IV.</w:t>
      </w:r>
      <w:r w:rsidRPr="00116D26">
        <w:rPr>
          <w:color w:val="000000" w:themeColor="text1"/>
          <w:sz w:val="20"/>
          <w:szCs w:val="20"/>
        </w:rPr>
        <w:tab/>
        <w:t>Human rights situations that require the Council</w:t>
      </w:r>
      <w:r w:rsidR="00D72627">
        <w:rPr>
          <w:color w:val="000000" w:themeColor="text1"/>
          <w:sz w:val="20"/>
          <w:szCs w:val="20"/>
        </w:rPr>
        <w:t>’</w:t>
      </w:r>
      <w:r w:rsidRPr="00116D26">
        <w:rPr>
          <w:color w:val="000000" w:themeColor="text1"/>
          <w:sz w:val="20"/>
          <w:szCs w:val="20"/>
        </w:rPr>
        <w:t>s attention</w:t>
      </w:r>
      <w:r w:rsidRPr="00116D26">
        <w:rPr>
          <w:color w:val="000000" w:themeColor="text1"/>
          <w:sz w:val="20"/>
          <w:szCs w:val="20"/>
        </w:rPr>
        <w:tab/>
      </w:r>
      <w:r w:rsidR="005140FD" w:rsidRPr="00116D26">
        <w:rPr>
          <w:color w:val="000000" w:themeColor="text1"/>
          <w:sz w:val="20"/>
          <w:szCs w:val="20"/>
        </w:rPr>
        <w:tab/>
      </w:r>
      <w:r w:rsidR="0007301D">
        <w:rPr>
          <w:color w:val="000000" w:themeColor="text1"/>
          <w:sz w:val="20"/>
          <w:szCs w:val="20"/>
        </w:rPr>
        <w:t>47</w:t>
      </w:r>
    </w:p>
    <w:p w14:paraId="3DAF0A04" w14:textId="4A6D19C3" w:rsidR="00EF290A" w:rsidRPr="00116D26" w:rsidRDefault="00EF290A" w:rsidP="00EF290A">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r>
      <w:r w:rsidR="00EA4382">
        <w:rPr>
          <w:color w:val="000000" w:themeColor="text1"/>
          <w:sz w:val="20"/>
          <w:szCs w:val="20"/>
        </w:rPr>
        <w:t>A</w:t>
      </w:r>
      <w:r w:rsidRPr="00116D26">
        <w:rPr>
          <w:color w:val="000000" w:themeColor="text1"/>
          <w:sz w:val="20"/>
          <w:szCs w:val="20"/>
        </w:rPr>
        <w:t>.</w:t>
      </w:r>
      <w:r w:rsidRPr="00116D26">
        <w:rPr>
          <w:color w:val="000000" w:themeColor="text1"/>
          <w:sz w:val="20"/>
          <w:szCs w:val="20"/>
        </w:rPr>
        <w:tab/>
        <w:t>Enhanced interactive dialogue on the human</w:t>
      </w:r>
      <w:r w:rsidR="00647531">
        <w:rPr>
          <w:color w:val="000000" w:themeColor="text1"/>
          <w:sz w:val="20"/>
          <w:szCs w:val="20"/>
        </w:rPr>
        <w:t xml:space="preserve"> rights situation in Eritrea</w:t>
      </w:r>
      <w:r w:rsidR="00647531">
        <w:rPr>
          <w:color w:val="000000" w:themeColor="text1"/>
          <w:sz w:val="20"/>
          <w:szCs w:val="20"/>
        </w:rPr>
        <w:tab/>
      </w:r>
      <w:r w:rsidR="00647531">
        <w:rPr>
          <w:color w:val="000000" w:themeColor="text1"/>
          <w:sz w:val="20"/>
          <w:szCs w:val="20"/>
        </w:rPr>
        <w:tab/>
      </w:r>
      <w:r w:rsidR="0007301D">
        <w:rPr>
          <w:color w:val="000000" w:themeColor="text1"/>
          <w:sz w:val="20"/>
          <w:szCs w:val="20"/>
        </w:rPr>
        <w:t>47</w:t>
      </w:r>
    </w:p>
    <w:p w14:paraId="090419ED" w14:textId="2054F5D0" w:rsidR="00EA4382" w:rsidRPr="00116D26" w:rsidRDefault="00EA4382" w:rsidP="00EA4382">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lastRenderedPageBreak/>
        <w:tab/>
      </w:r>
      <w:r w:rsidRPr="00116D26">
        <w:rPr>
          <w:color w:val="000000" w:themeColor="text1"/>
          <w:sz w:val="20"/>
          <w:szCs w:val="20"/>
        </w:rPr>
        <w:tab/>
      </w:r>
      <w:r>
        <w:rPr>
          <w:color w:val="000000" w:themeColor="text1"/>
          <w:sz w:val="20"/>
          <w:szCs w:val="20"/>
        </w:rPr>
        <w:t>B</w:t>
      </w:r>
      <w:r w:rsidRPr="00116D26">
        <w:rPr>
          <w:color w:val="000000" w:themeColor="text1"/>
          <w:sz w:val="20"/>
          <w:szCs w:val="20"/>
        </w:rPr>
        <w:t>.</w:t>
      </w:r>
      <w:r w:rsidRPr="00116D26">
        <w:rPr>
          <w:color w:val="000000" w:themeColor="text1"/>
          <w:sz w:val="20"/>
          <w:szCs w:val="20"/>
        </w:rPr>
        <w:tab/>
        <w:t xml:space="preserve">Interactive dialogue with </w:t>
      </w:r>
      <w:r>
        <w:rPr>
          <w:color w:val="000000" w:themeColor="text1"/>
          <w:sz w:val="20"/>
          <w:szCs w:val="20"/>
        </w:rPr>
        <w:t xml:space="preserve">the </w:t>
      </w:r>
      <w:r w:rsidRPr="00116D26">
        <w:rPr>
          <w:color w:val="000000" w:themeColor="text1"/>
          <w:sz w:val="20"/>
          <w:szCs w:val="20"/>
        </w:rPr>
        <w:t>Commi</w:t>
      </w:r>
      <w:r>
        <w:rPr>
          <w:color w:val="000000" w:themeColor="text1"/>
          <w:sz w:val="20"/>
          <w:szCs w:val="20"/>
        </w:rPr>
        <w:t>ssion on</w:t>
      </w:r>
      <w:r w:rsidR="00A5298A">
        <w:rPr>
          <w:color w:val="000000" w:themeColor="text1"/>
          <w:sz w:val="20"/>
          <w:szCs w:val="20"/>
        </w:rPr>
        <w:t xml:space="preserve"> Human Rights in South Sudan</w:t>
      </w:r>
      <w:r w:rsidR="00A5298A">
        <w:rPr>
          <w:color w:val="000000" w:themeColor="text1"/>
          <w:sz w:val="20"/>
          <w:szCs w:val="20"/>
        </w:rPr>
        <w:tab/>
      </w:r>
      <w:r w:rsidR="00A5298A">
        <w:rPr>
          <w:color w:val="000000" w:themeColor="text1"/>
          <w:sz w:val="20"/>
          <w:szCs w:val="20"/>
        </w:rPr>
        <w:tab/>
      </w:r>
      <w:r w:rsidR="0007301D">
        <w:rPr>
          <w:color w:val="000000" w:themeColor="text1"/>
          <w:sz w:val="20"/>
          <w:szCs w:val="20"/>
        </w:rPr>
        <w:t>4</w:t>
      </w:r>
      <w:r w:rsidR="00A5298A">
        <w:rPr>
          <w:color w:val="000000" w:themeColor="text1"/>
          <w:sz w:val="20"/>
          <w:szCs w:val="20"/>
        </w:rPr>
        <w:t>7</w:t>
      </w:r>
    </w:p>
    <w:p w14:paraId="2B724C21" w14:textId="1BDE1499" w:rsidR="00EF290A" w:rsidRPr="00116D26" w:rsidRDefault="00F11B08" w:rsidP="00116D26">
      <w:pPr>
        <w:tabs>
          <w:tab w:val="right" w:pos="850"/>
          <w:tab w:val="left" w:pos="1134"/>
          <w:tab w:val="left" w:pos="1559"/>
          <w:tab w:val="left" w:pos="1984"/>
          <w:tab w:val="left" w:leader="dot" w:pos="8929"/>
          <w:tab w:val="right" w:pos="9638"/>
        </w:tabs>
        <w:spacing w:after="120"/>
        <w:ind w:left="1559" w:hanging="1559"/>
        <w:rPr>
          <w:color w:val="000000" w:themeColor="text1"/>
          <w:sz w:val="20"/>
          <w:szCs w:val="20"/>
        </w:rPr>
      </w:pPr>
      <w:r w:rsidRPr="00116D26">
        <w:rPr>
          <w:color w:val="000000" w:themeColor="text1"/>
          <w:sz w:val="20"/>
          <w:szCs w:val="20"/>
        </w:rPr>
        <w:tab/>
      </w:r>
      <w:r w:rsidR="00EF290A" w:rsidRPr="00116D26">
        <w:rPr>
          <w:color w:val="000000" w:themeColor="text1"/>
          <w:sz w:val="20"/>
          <w:szCs w:val="20"/>
        </w:rPr>
        <w:tab/>
        <w:t>C.</w:t>
      </w:r>
      <w:r w:rsidR="00EF290A" w:rsidRPr="00116D26">
        <w:rPr>
          <w:color w:val="000000" w:themeColor="text1"/>
          <w:sz w:val="20"/>
          <w:szCs w:val="20"/>
        </w:rPr>
        <w:tab/>
        <w:t xml:space="preserve">Interactive dialogue with the Independent International Commission of Inquiry </w:t>
      </w:r>
      <w:r w:rsidR="00647531">
        <w:rPr>
          <w:color w:val="000000" w:themeColor="text1"/>
          <w:sz w:val="20"/>
          <w:szCs w:val="20"/>
        </w:rPr>
        <w:t xml:space="preserve">on the Syrian Arab Republic </w:t>
      </w:r>
      <w:r w:rsidR="00647531">
        <w:rPr>
          <w:color w:val="000000" w:themeColor="text1"/>
          <w:sz w:val="20"/>
          <w:szCs w:val="20"/>
        </w:rPr>
        <w:tab/>
      </w:r>
      <w:r w:rsidR="00647531">
        <w:rPr>
          <w:color w:val="000000" w:themeColor="text1"/>
          <w:sz w:val="20"/>
          <w:szCs w:val="20"/>
        </w:rPr>
        <w:tab/>
      </w:r>
      <w:r w:rsidR="0007301D">
        <w:rPr>
          <w:color w:val="000000" w:themeColor="text1"/>
          <w:sz w:val="20"/>
          <w:szCs w:val="20"/>
        </w:rPr>
        <w:t>4</w:t>
      </w:r>
      <w:r w:rsidR="00A5298A">
        <w:rPr>
          <w:color w:val="000000" w:themeColor="text1"/>
          <w:sz w:val="20"/>
          <w:szCs w:val="20"/>
        </w:rPr>
        <w:t>8</w:t>
      </w:r>
    </w:p>
    <w:p w14:paraId="47646C0C" w14:textId="44C89D28" w:rsidR="00EF290A" w:rsidRPr="00116D26" w:rsidRDefault="00EF290A" w:rsidP="00EF290A">
      <w:pPr>
        <w:tabs>
          <w:tab w:val="right" w:pos="850"/>
          <w:tab w:val="left" w:pos="1134"/>
          <w:tab w:val="left" w:pos="1559"/>
          <w:tab w:val="left" w:pos="1984"/>
          <w:tab w:val="left" w:leader="dot" w:pos="8929"/>
          <w:tab w:val="right" w:pos="9638"/>
        </w:tabs>
        <w:spacing w:after="120"/>
        <w:ind w:left="1559" w:hanging="1559"/>
        <w:rPr>
          <w:color w:val="000000" w:themeColor="text1"/>
          <w:sz w:val="20"/>
          <w:szCs w:val="20"/>
        </w:rPr>
      </w:pPr>
      <w:r w:rsidRPr="00116D26">
        <w:rPr>
          <w:color w:val="000000" w:themeColor="text1"/>
          <w:sz w:val="20"/>
          <w:szCs w:val="20"/>
        </w:rPr>
        <w:tab/>
      </w:r>
      <w:r w:rsidRPr="00116D26">
        <w:rPr>
          <w:color w:val="000000" w:themeColor="text1"/>
          <w:sz w:val="20"/>
          <w:szCs w:val="20"/>
        </w:rPr>
        <w:tab/>
      </w:r>
      <w:r w:rsidR="00EA4382">
        <w:rPr>
          <w:color w:val="000000" w:themeColor="text1"/>
          <w:sz w:val="20"/>
          <w:szCs w:val="20"/>
        </w:rPr>
        <w:t>D</w:t>
      </w:r>
      <w:r w:rsidRPr="00116D26">
        <w:rPr>
          <w:color w:val="000000" w:themeColor="text1"/>
          <w:sz w:val="20"/>
          <w:szCs w:val="20"/>
        </w:rPr>
        <w:t>.</w:t>
      </w:r>
      <w:r w:rsidRPr="00116D26">
        <w:rPr>
          <w:color w:val="000000" w:themeColor="text1"/>
          <w:sz w:val="20"/>
          <w:szCs w:val="20"/>
        </w:rPr>
        <w:tab/>
        <w:t>Interactive dialogue with the Comm</w:t>
      </w:r>
      <w:r w:rsidR="00647531">
        <w:rPr>
          <w:color w:val="000000" w:themeColor="text1"/>
          <w:sz w:val="20"/>
          <w:szCs w:val="20"/>
        </w:rPr>
        <w:t>ission of Inquiry on Burundi</w:t>
      </w:r>
      <w:r w:rsidR="00647531">
        <w:rPr>
          <w:color w:val="000000" w:themeColor="text1"/>
          <w:sz w:val="20"/>
          <w:szCs w:val="20"/>
        </w:rPr>
        <w:tab/>
      </w:r>
      <w:r w:rsidR="00647531">
        <w:rPr>
          <w:color w:val="000000" w:themeColor="text1"/>
          <w:sz w:val="20"/>
          <w:szCs w:val="20"/>
        </w:rPr>
        <w:tab/>
      </w:r>
      <w:r w:rsidR="0007301D">
        <w:rPr>
          <w:color w:val="000000" w:themeColor="text1"/>
          <w:sz w:val="20"/>
          <w:szCs w:val="20"/>
        </w:rPr>
        <w:t>4</w:t>
      </w:r>
      <w:r w:rsidR="00A5298A">
        <w:rPr>
          <w:color w:val="000000" w:themeColor="text1"/>
          <w:sz w:val="20"/>
          <w:szCs w:val="20"/>
        </w:rPr>
        <w:t>9</w:t>
      </w:r>
    </w:p>
    <w:p w14:paraId="694DC4BA" w14:textId="145278F2" w:rsidR="00EF290A" w:rsidRPr="00116D26" w:rsidRDefault="00EF290A" w:rsidP="00EF290A">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r>
      <w:r w:rsidR="00EA4382">
        <w:rPr>
          <w:color w:val="000000" w:themeColor="text1"/>
          <w:sz w:val="20"/>
          <w:szCs w:val="20"/>
        </w:rPr>
        <w:t>E</w:t>
      </w:r>
      <w:r w:rsidRPr="00116D26">
        <w:rPr>
          <w:color w:val="000000" w:themeColor="text1"/>
          <w:sz w:val="20"/>
          <w:szCs w:val="20"/>
        </w:rPr>
        <w:t>.</w:t>
      </w:r>
      <w:r w:rsidRPr="00116D26">
        <w:rPr>
          <w:color w:val="000000" w:themeColor="text1"/>
          <w:sz w:val="20"/>
          <w:szCs w:val="20"/>
        </w:rPr>
        <w:tab/>
        <w:t>Interactive dialogue with special</w:t>
      </w:r>
      <w:r w:rsidR="00647531">
        <w:rPr>
          <w:color w:val="000000" w:themeColor="text1"/>
          <w:sz w:val="20"/>
          <w:szCs w:val="20"/>
        </w:rPr>
        <w:t xml:space="preserve"> procedures mandate holders </w:t>
      </w:r>
      <w:r w:rsidR="00647531">
        <w:rPr>
          <w:color w:val="000000" w:themeColor="text1"/>
          <w:sz w:val="20"/>
          <w:szCs w:val="20"/>
        </w:rPr>
        <w:tab/>
      </w:r>
      <w:r w:rsidR="00647531">
        <w:rPr>
          <w:color w:val="000000" w:themeColor="text1"/>
          <w:sz w:val="20"/>
          <w:szCs w:val="20"/>
        </w:rPr>
        <w:tab/>
      </w:r>
      <w:r w:rsidR="0007301D">
        <w:rPr>
          <w:color w:val="000000" w:themeColor="text1"/>
          <w:sz w:val="20"/>
          <w:szCs w:val="20"/>
        </w:rPr>
        <w:t>4</w:t>
      </w:r>
      <w:r w:rsidR="00A5298A">
        <w:rPr>
          <w:color w:val="000000" w:themeColor="text1"/>
          <w:sz w:val="20"/>
          <w:szCs w:val="20"/>
        </w:rPr>
        <w:t>9</w:t>
      </w:r>
    </w:p>
    <w:p w14:paraId="076D1A3F" w14:textId="37432F88" w:rsidR="00EF290A" w:rsidRPr="00116D26" w:rsidRDefault="00DC7C29" w:rsidP="00EF290A">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00EF290A" w:rsidRPr="00116D26">
        <w:rPr>
          <w:color w:val="000000" w:themeColor="text1"/>
          <w:sz w:val="20"/>
          <w:szCs w:val="20"/>
        </w:rPr>
        <w:tab/>
      </w:r>
      <w:r w:rsidR="00EA4382">
        <w:rPr>
          <w:color w:val="000000" w:themeColor="text1"/>
          <w:sz w:val="20"/>
          <w:szCs w:val="20"/>
        </w:rPr>
        <w:t>F</w:t>
      </w:r>
      <w:r w:rsidR="00EF290A" w:rsidRPr="00116D26">
        <w:rPr>
          <w:color w:val="000000" w:themeColor="text1"/>
          <w:sz w:val="20"/>
          <w:szCs w:val="20"/>
        </w:rPr>
        <w:t>.</w:t>
      </w:r>
      <w:r w:rsidR="00EF290A" w:rsidRPr="00116D26">
        <w:rPr>
          <w:color w:val="000000" w:themeColor="text1"/>
          <w:sz w:val="20"/>
          <w:szCs w:val="20"/>
        </w:rPr>
        <w:tab/>
        <w:t>Gen</w:t>
      </w:r>
      <w:r w:rsidR="00647531">
        <w:rPr>
          <w:color w:val="000000" w:themeColor="text1"/>
          <w:sz w:val="20"/>
          <w:szCs w:val="20"/>
        </w:rPr>
        <w:t>eral debate on agenda item 4</w:t>
      </w:r>
      <w:r w:rsidR="00647531">
        <w:rPr>
          <w:color w:val="000000" w:themeColor="text1"/>
          <w:sz w:val="20"/>
          <w:szCs w:val="20"/>
        </w:rPr>
        <w:tab/>
      </w:r>
      <w:r w:rsidR="00647531">
        <w:rPr>
          <w:color w:val="000000" w:themeColor="text1"/>
          <w:sz w:val="20"/>
          <w:szCs w:val="20"/>
        </w:rPr>
        <w:tab/>
      </w:r>
      <w:r w:rsidR="0007301D">
        <w:rPr>
          <w:color w:val="000000" w:themeColor="text1"/>
          <w:sz w:val="20"/>
          <w:szCs w:val="20"/>
        </w:rPr>
        <w:t>5</w:t>
      </w:r>
      <w:r w:rsidR="00A5298A">
        <w:rPr>
          <w:color w:val="000000" w:themeColor="text1"/>
          <w:sz w:val="20"/>
          <w:szCs w:val="20"/>
        </w:rPr>
        <w:t>1</w:t>
      </w:r>
    </w:p>
    <w:p w14:paraId="77798AB1" w14:textId="325F69CE" w:rsidR="00EF290A" w:rsidRPr="00116D26" w:rsidRDefault="00EF290A" w:rsidP="00EF290A">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r>
      <w:r w:rsidR="00EA4382">
        <w:rPr>
          <w:color w:val="000000" w:themeColor="text1"/>
          <w:sz w:val="20"/>
          <w:szCs w:val="20"/>
        </w:rPr>
        <w:t>G</w:t>
      </w:r>
      <w:r w:rsidRPr="00116D26">
        <w:rPr>
          <w:color w:val="000000" w:themeColor="text1"/>
          <w:sz w:val="20"/>
          <w:szCs w:val="20"/>
        </w:rPr>
        <w:t>.</w:t>
      </w:r>
      <w:r w:rsidRPr="00116D26">
        <w:rPr>
          <w:color w:val="000000" w:themeColor="text1"/>
          <w:sz w:val="20"/>
          <w:szCs w:val="20"/>
        </w:rPr>
        <w:tab/>
        <w:t>Consideration of a</w:t>
      </w:r>
      <w:r w:rsidR="00647531">
        <w:rPr>
          <w:color w:val="000000" w:themeColor="text1"/>
          <w:sz w:val="20"/>
          <w:szCs w:val="20"/>
        </w:rPr>
        <w:t>nd action on draft proposals</w:t>
      </w:r>
      <w:r w:rsidR="00647531">
        <w:rPr>
          <w:color w:val="000000" w:themeColor="text1"/>
          <w:sz w:val="20"/>
          <w:szCs w:val="20"/>
        </w:rPr>
        <w:tab/>
      </w:r>
      <w:r w:rsidR="00647531">
        <w:rPr>
          <w:color w:val="000000" w:themeColor="text1"/>
          <w:sz w:val="20"/>
          <w:szCs w:val="20"/>
        </w:rPr>
        <w:tab/>
      </w:r>
      <w:r w:rsidR="0007301D">
        <w:rPr>
          <w:color w:val="000000" w:themeColor="text1"/>
          <w:sz w:val="20"/>
          <w:szCs w:val="20"/>
        </w:rPr>
        <w:t>5</w:t>
      </w:r>
      <w:r w:rsidR="00A5298A">
        <w:rPr>
          <w:color w:val="000000" w:themeColor="text1"/>
          <w:sz w:val="20"/>
          <w:szCs w:val="20"/>
        </w:rPr>
        <w:t>3</w:t>
      </w:r>
    </w:p>
    <w:p w14:paraId="2EA58668" w14:textId="75ABD23A"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t>V.</w:t>
      </w:r>
      <w:r w:rsidRPr="00116D26">
        <w:rPr>
          <w:color w:val="000000" w:themeColor="text1"/>
          <w:sz w:val="20"/>
          <w:szCs w:val="20"/>
        </w:rPr>
        <w:tab/>
        <w:t>Human rights bodies and mechanisms</w:t>
      </w:r>
      <w:r w:rsidR="008E4411" w:rsidRPr="00116D26">
        <w:rPr>
          <w:color w:val="000000" w:themeColor="text1"/>
          <w:sz w:val="20"/>
          <w:szCs w:val="20"/>
        </w:rPr>
        <w:tab/>
      </w:r>
      <w:r w:rsidRPr="00116D26">
        <w:rPr>
          <w:color w:val="000000" w:themeColor="text1"/>
          <w:sz w:val="20"/>
          <w:szCs w:val="20"/>
        </w:rPr>
        <w:tab/>
      </w:r>
      <w:r w:rsidR="00873831">
        <w:rPr>
          <w:color w:val="000000" w:themeColor="text1"/>
          <w:sz w:val="20"/>
          <w:szCs w:val="20"/>
        </w:rPr>
        <w:t>58</w:t>
      </w:r>
    </w:p>
    <w:p w14:paraId="4D9AFBC1" w14:textId="6A2A19AB" w:rsidR="00EF290A" w:rsidRDefault="00F11B08" w:rsidP="00EF290A">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r>
      <w:r w:rsidR="00647531">
        <w:rPr>
          <w:color w:val="000000" w:themeColor="text1"/>
          <w:sz w:val="20"/>
          <w:szCs w:val="20"/>
        </w:rPr>
        <w:t>A.</w:t>
      </w:r>
      <w:r w:rsidR="00647531">
        <w:rPr>
          <w:color w:val="000000" w:themeColor="text1"/>
          <w:sz w:val="20"/>
          <w:szCs w:val="20"/>
        </w:rPr>
        <w:tab/>
        <w:t>Forum on minority issues</w:t>
      </w:r>
      <w:r w:rsidR="00647531">
        <w:rPr>
          <w:color w:val="000000" w:themeColor="text1"/>
          <w:sz w:val="20"/>
          <w:szCs w:val="20"/>
        </w:rPr>
        <w:tab/>
      </w:r>
      <w:r w:rsidR="00647531">
        <w:rPr>
          <w:color w:val="000000" w:themeColor="text1"/>
          <w:sz w:val="20"/>
          <w:szCs w:val="20"/>
        </w:rPr>
        <w:tab/>
      </w:r>
      <w:r w:rsidR="00873831">
        <w:rPr>
          <w:color w:val="000000" w:themeColor="text1"/>
          <w:sz w:val="20"/>
          <w:szCs w:val="20"/>
        </w:rPr>
        <w:t>58</w:t>
      </w:r>
    </w:p>
    <w:p w14:paraId="4D333424" w14:textId="0A36FFD9" w:rsidR="00A5298A" w:rsidRPr="00116D26" w:rsidRDefault="00A5298A" w:rsidP="00A5298A">
      <w:pPr>
        <w:tabs>
          <w:tab w:val="right" w:pos="850"/>
          <w:tab w:val="left" w:pos="1134"/>
          <w:tab w:val="left" w:pos="1559"/>
          <w:tab w:val="left" w:pos="1984"/>
          <w:tab w:val="left" w:leader="dot" w:pos="8929"/>
          <w:tab w:val="right" w:pos="9638"/>
        </w:tabs>
        <w:spacing w:after="120"/>
        <w:rPr>
          <w:color w:val="000000" w:themeColor="text1"/>
          <w:sz w:val="20"/>
          <w:szCs w:val="20"/>
        </w:rPr>
      </w:pPr>
      <w:r>
        <w:rPr>
          <w:color w:val="000000" w:themeColor="text1"/>
          <w:sz w:val="20"/>
          <w:szCs w:val="20"/>
        </w:rPr>
        <w:tab/>
      </w:r>
      <w:r w:rsidRPr="00116D26">
        <w:rPr>
          <w:color w:val="000000" w:themeColor="text1"/>
          <w:sz w:val="20"/>
          <w:szCs w:val="20"/>
        </w:rPr>
        <w:tab/>
      </w:r>
      <w:r>
        <w:rPr>
          <w:color w:val="000000" w:themeColor="text1"/>
          <w:sz w:val="20"/>
          <w:szCs w:val="20"/>
        </w:rPr>
        <w:t>B.</w:t>
      </w:r>
      <w:r>
        <w:rPr>
          <w:color w:val="000000" w:themeColor="text1"/>
          <w:sz w:val="20"/>
          <w:szCs w:val="20"/>
        </w:rPr>
        <w:tab/>
      </w:r>
      <w:r w:rsidRPr="00B168DF">
        <w:rPr>
          <w:color w:val="000000" w:themeColor="text1"/>
          <w:sz w:val="20"/>
          <w:szCs w:val="20"/>
        </w:rPr>
        <w:t>Forum on Human Rights, Democracy and the Rule of Law</w:t>
      </w:r>
      <w:r w:rsidR="00873831">
        <w:rPr>
          <w:color w:val="000000" w:themeColor="text1"/>
          <w:sz w:val="20"/>
          <w:szCs w:val="20"/>
        </w:rPr>
        <w:tab/>
      </w:r>
      <w:r w:rsidR="00873831">
        <w:rPr>
          <w:color w:val="000000" w:themeColor="text1"/>
          <w:sz w:val="20"/>
          <w:szCs w:val="20"/>
        </w:rPr>
        <w:tab/>
        <w:t>58</w:t>
      </w:r>
    </w:p>
    <w:p w14:paraId="6B644F14" w14:textId="49431F24" w:rsidR="00EA4382" w:rsidRPr="00116D26" w:rsidRDefault="00B168DF" w:rsidP="00EA4382">
      <w:pPr>
        <w:tabs>
          <w:tab w:val="right" w:pos="850"/>
          <w:tab w:val="left" w:pos="1134"/>
          <w:tab w:val="left" w:pos="1559"/>
          <w:tab w:val="left" w:pos="1984"/>
          <w:tab w:val="left" w:leader="dot" w:pos="8929"/>
          <w:tab w:val="right" w:pos="9638"/>
        </w:tabs>
        <w:spacing w:after="120"/>
        <w:rPr>
          <w:color w:val="000000" w:themeColor="text1"/>
          <w:sz w:val="20"/>
          <w:szCs w:val="20"/>
        </w:rPr>
      </w:pPr>
      <w:r w:rsidRPr="00C16037">
        <w:rPr>
          <w:color w:val="000000" w:themeColor="text1"/>
        </w:rPr>
        <w:tab/>
      </w:r>
      <w:r w:rsidR="00EA4382" w:rsidRPr="00116D26">
        <w:rPr>
          <w:color w:val="000000" w:themeColor="text1"/>
          <w:sz w:val="20"/>
          <w:szCs w:val="20"/>
        </w:rPr>
        <w:tab/>
      </w:r>
      <w:r w:rsidR="00A5298A">
        <w:rPr>
          <w:color w:val="000000" w:themeColor="text1"/>
          <w:sz w:val="20"/>
          <w:szCs w:val="20"/>
        </w:rPr>
        <w:t>C</w:t>
      </w:r>
      <w:r w:rsidR="00EA4382" w:rsidRPr="00116D26">
        <w:rPr>
          <w:color w:val="000000" w:themeColor="text1"/>
          <w:sz w:val="20"/>
          <w:szCs w:val="20"/>
        </w:rPr>
        <w:t>.</w:t>
      </w:r>
      <w:r w:rsidR="00EA4382" w:rsidRPr="00116D26">
        <w:rPr>
          <w:color w:val="000000" w:themeColor="text1"/>
          <w:sz w:val="20"/>
          <w:szCs w:val="20"/>
        </w:rPr>
        <w:tab/>
        <w:t>S</w:t>
      </w:r>
      <w:r w:rsidR="00EA4382">
        <w:rPr>
          <w:color w:val="000000" w:themeColor="text1"/>
          <w:sz w:val="20"/>
          <w:szCs w:val="20"/>
        </w:rPr>
        <w:t>ocial Forum</w:t>
      </w:r>
      <w:r w:rsidR="00EA4382">
        <w:rPr>
          <w:color w:val="000000" w:themeColor="text1"/>
          <w:sz w:val="20"/>
          <w:szCs w:val="20"/>
        </w:rPr>
        <w:tab/>
      </w:r>
      <w:r w:rsidR="00EA4382">
        <w:rPr>
          <w:color w:val="000000" w:themeColor="text1"/>
          <w:sz w:val="20"/>
          <w:szCs w:val="20"/>
        </w:rPr>
        <w:tab/>
      </w:r>
      <w:r w:rsidR="00873831">
        <w:rPr>
          <w:color w:val="000000" w:themeColor="text1"/>
          <w:sz w:val="20"/>
          <w:szCs w:val="20"/>
        </w:rPr>
        <w:t>58</w:t>
      </w:r>
    </w:p>
    <w:p w14:paraId="40D336AD" w14:textId="3D524633" w:rsidR="00EF290A" w:rsidRPr="00116D26" w:rsidRDefault="00647531" w:rsidP="00EF290A">
      <w:pPr>
        <w:tabs>
          <w:tab w:val="right" w:pos="850"/>
          <w:tab w:val="left" w:pos="1134"/>
          <w:tab w:val="left" w:pos="1559"/>
          <w:tab w:val="left" w:pos="1984"/>
          <w:tab w:val="left" w:leader="dot" w:pos="8929"/>
          <w:tab w:val="right" w:pos="9638"/>
        </w:tabs>
        <w:spacing w:after="120"/>
        <w:rPr>
          <w:color w:val="000000" w:themeColor="text1"/>
          <w:sz w:val="20"/>
          <w:szCs w:val="20"/>
        </w:rPr>
      </w:pPr>
      <w:r>
        <w:rPr>
          <w:color w:val="000000" w:themeColor="text1"/>
          <w:sz w:val="20"/>
          <w:szCs w:val="20"/>
        </w:rPr>
        <w:tab/>
      </w:r>
      <w:r>
        <w:rPr>
          <w:color w:val="000000" w:themeColor="text1"/>
          <w:sz w:val="20"/>
          <w:szCs w:val="20"/>
        </w:rPr>
        <w:tab/>
      </w:r>
      <w:r w:rsidR="00B168DF">
        <w:rPr>
          <w:color w:val="000000" w:themeColor="text1"/>
          <w:sz w:val="20"/>
          <w:szCs w:val="20"/>
        </w:rPr>
        <w:t>D</w:t>
      </w:r>
      <w:r>
        <w:rPr>
          <w:color w:val="000000" w:themeColor="text1"/>
          <w:sz w:val="20"/>
          <w:szCs w:val="20"/>
        </w:rPr>
        <w:t>.</w:t>
      </w:r>
      <w:r>
        <w:rPr>
          <w:color w:val="000000" w:themeColor="text1"/>
          <w:sz w:val="20"/>
          <w:szCs w:val="20"/>
        </w:rPr>
        <w:tab/>
        <w:t>Special Procedures</w:t>
      </w:r>
      <w:r>
        <w:rPr>
          <w:color w:val="000000" w:themeColor="text1"/>
          <w:sz w:val="20"/>
          <w:szCs w:val="20"/>
        </w:rPr>
        <w:tab/>
      </w:r>
      <w:r>
        <w:rPr>
          <w:color w:val="000000" w:themeColor="text1"/>
          <w:sz w:val="20"/>
          <w:szCs w:val="20"/>
        </w:rPr>
        <w:tab/>
      </w:r>
      <w:r w:rsidR="00873831">
        <w:rPr>
          <w:color w:val="000000" w:themeColor="text1"/>
          <w:sz w:val="20"/>
          <w:szCs w:val="20"/>
        </w:rPr>
        <w:t>58</w:t>
      </w:r>
    </w:p>
    <w:p w14:paraId="07D5FCAD" w14:textId="17F0B6DE" w:rsidR="00EF290A" w:rsidRDefault="00A35943" w:rsidP="00EF290A">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00EF290A" w:rsidRPr="00116D26">
        <w:rPr>
          <w:color w:val="000000" w:themeColor="text1"/>
          <w:sz w:val="20"/>
          <w:szCs w:val="20"/>
        </w:rPr>
        <w:tab/>
      </w:r>
      <w:r w:rsidR="00B168DF">
        <w:rPr>
          <w:color w:val="000000" w:themeColor="text1"/>
          <w:sz w:val="20"/>
          <w:szCs w:val="20"/>
        </w:rPr>
        <w:t>E</w:t>
      </w:r>
      <w:r w:rsidR="00EF290A" w:rsidRPr="00116D26">
        <w:rPr>
          <w:color w:val="000000" w:themeColor="text1"/>
          <w:sz w:val="20"/>
          <w:szCs w:val="20"/>
        </w:rPr>
        <w:t>.</w:t>
      </w:r>
      <w:r w:rsidR="00EF290A" w:rsidRPr="00116D26">
        <w:rPr>
          <w:color w:val="000000" w:themeColor="text1"/>
          <w:sz w:val="20"/>
          <w:szCs w:val="20"/>
        </w:rPr>
        <w:tab/>
        <w:t>Gen</w:t>
      </w:r>
      <w:r w:rsidR="00647531">
        <w:rPr>
          <w:color w:val="000000" w:themeColor="text1"/>
          <w:sz w:val="20"/>
          <w:szCs w:val="20"/>
        </w:rPr>
        <w:t>eral debate on agenda item 5</w:t>
      </w:r>
      <w:r w:rsidR="00647531">
        <w:rPr>
          <w:color w:val="000000" w:themeColor="text1"/>
          <w:sz w:val="20"/>
          <w:szCs w:val="20"/>
        </w:rPr>
        <w:tab/>
      </w:r>
      <w:r w:rsidR="00647531">
        <w:rPr>
          <w:color w:val="000000" w:themeColor="text1"/>
          <w:sz w:val="20"/>
          <w:szCs w:val="20"/>
        </w:rPr>
        <w:tab/>
      </w:r>
      <w:r w:rsidR="00873831">
        <w:rPr>
          <w:color w:val="000000" w:themeColor="text1"/>
          <w:sz w:val="20"/>
          <w:szCs w:val="20"/>
        </w:rPr>
        <w:t>58</w:t>
      </w:r>
    </w:p>
    <w:p w14:paraId="2EA5866E" w14:textId="53203884" w:rsidR="00F11B08" w:rsidRPr="00116D26" w:rsidRDefault="00EF290A"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00F11B08" w:rsidRPr="00116D26">
        <w:rPr>
          <w:color w:val="000000" w:themeColor="text1"/>
          <w:sz w:val="20"/>
          <w:szCs w:val="20"/>
        </w:rPr>
        <w:t>VI.</w:t>
      </w:r>
      <w:r w:rsidR="00F11B08" w:rsidRPr="00116D26">
        <w:rPr>
          <w:color w:val="000000" w:themeColor="text1"/>
          <w:sz w:val="20"/>
          <w:szCs w:val="20"/>
        </w:rPr>
        <w:tab/>
        <w:t>Universal periodic review</w:t>
      </w:r>
      <w:r w:rsidR="00F11B08" w:rsidRPr="00116D26">
        <w:rPr>
          <w:color w:val="000000" w:themeColor="text1"/>
          <w:sz w:val="20"/>
          <w:szCs w:val="20"/>
        </w:rPr>
        <w:tab/>
      </w:r>
      <w:r w:rsidR="008E4411" w:rsidRPr="00116D26">
        <w:rPr>
          <w:color w:val="000000" w:themeColor="text1"/>
          <w:sz w:val="20"/>
          <w:szCs w:val="20"/>
        </w:rPr>
        <w:tab/>
      </w:r>
      <w:r w:rsidR="00873831">
        <w:rPr>
          <w:color w:val="000000" w:themeColor="text1"/>
          <w:sz w:val="20"/>
          <w:szCs w:val="20"/>
        </w:rPr>
        <w:t>60</w:t>
      </w:r>
    </w:p>
    <w:p w14:paraId="2EA5866F" w14:textId="7784C069"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t>A.</w:t>
      </w:r>
      <w:r w:rsidRPr="00116D26">
        <w:rPr>
          <w:color w:val="000000" w:themeColor="text1"/>
          <w:sz w:val="20"/>
          <w:szCs w:val="20"/>
        </w:rPr>
        <w:tab/>
        <w:t>Consideration of the universal periodic review outcomes</w:t>
      </w:r>
      <w:r w:rsidR="008E4411" w:rsidRPr="00116D26">
        <w:rPr>
          <w:color w:val="000000" w:themeColor="text1"/>
          <w:sz w:val="20"/>
          <w:szCs w:val="20"/>
        </w:rPr>
        <w:tab/>
      </w:r>
      <w:r w:rsidRPr="00116D26">
        <w:rPr>
          <w:color w:val="000000" w:themeColor="text1"/>
          <w:sz w:val="20"/>
          <w:szCs w:val="20"/>
        </w:rPr>
        <w:tab/>
      </w:r>
      <w:r w:rsidR="00873831">
        <w:rPr>
          <w:color w:val="000000" w:themeColor="text1"/>
          <w:sz w:val="20"/>
          <w:szCs w:val="20"/>
        </w:rPr>
        <w:t>60</w:t>
      </w:r>
    </w:p>
    <w:p w14:paraId="2EA58670" w14:textId="07BB47A2"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t>B.</w:t>
      </w:r>
      <w:r w:rsidRPr="00116D26">
        <w:rPr>
          <w:color w:val="000000" w:themeColor="text1"/>
          <w:sz w:val="20"/>
          <w:szCs w:val="20"/>
        </w:rPr>
        <w:tab/>
        <w:t>General debate on agenda item 6</w:t>
      </w:r>
      <w:r w:rsidR="008E4411" w:rsidRPr="00116D26">
        <w:rPr>
          <w:color w:val="000000" w:themeColor="text1"/>
          <w:sz w:val="20"/>
          <w:szCs w:val="20"/>
        </w:rPr>
        <w:tab/>
      </w:r>
      <w:r w:rsidRPr="00116D26">
        <w:rPr>
          <w:color w:val="000000" w:themeColor="text1"/>
          <w:sz w:val="20"/>
          <w:szCs w:val="20"/>
        </w:rPr>
        <w:tab/>
      </w:r>
      <w:r w:rsidR="0007301D">
        <w:rPr>
          <w:color w:val="000000" w:themeColor="text1"/>
          <w:sz w:val="20"/>
          <w:szCs w:val="20"/>
        </w:rPr>
        <w:t>13</w:t>
      </w:r>
      <w:r w:rsidR="00873831">
        <w:rPr>
          <w:color w:val="000000" w:themeColor="text1"/>
          <w:sz w:val="20"/>
          <w:szCs w:val="20"/>
        </w:rPr>
        <w:t>5</w:t>
      </w:r>
    </w:p>
    <w:p w14:paraId="2EA58671" w14:textId="1AB17116"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t>C.</w:t>
      </w:r>
      <w:r w:rsidRPr="00116D26">
        <w:rPr>
          <w:color w:val="000000" w:themeColor="text1"/>
          <w:sz w:val="20"/>
          <w:szCs w:val="20"/>
        </w:rPr>
        <w:tab/>
        <w:t>Consideration of and action on draft proposals</w:t>
      </w:r>
      <w:r w:rsidR="008E4411" w:rsidRPr="00116D26">
        <w:rPr>
          <w:color w:val="000000" w:themeColor="text1"/>
          <w:sz w:val="20"/>
          <w:szCs w:val="20"/>
        </w:rPr>
        <w:tab/>
      </w:r>
      <w:r w:rsidRPr="00116D26">
        <w:rPr>
          <w:color w:val="000000" w:themeColor="text1"/>
          <w:sz w:val="20"/>
          <w:szCs w:val="20"/>
        </w:rPr>
        <w:tab/>
      </w:r>
      <w:r w:rsidR="00873831">
        <w:rPr>
          <w:color w:val="000000" w:themeColor="text1"/>
          <w:sz w:val="20"/>
          <w:szCs w:val="20"/>
        </w:rPr>
        <w:t>136</w:t>
      </w:r>
    </w:p>
    <w:p w14:paraId="2EA58672" w14:textId="61C8EF1A"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t>VII.</w:t>
      </w:r>
      <w:r w:rsidRPr="00116D26">
        <w:rPr>
          <w:color w:val="000000" w:themeColor="text1"/>
          <w:sz w:val="20"/>
          <w:szCs w:val="20"/>
        </w:rPr>
        <w:tab/>
        <w:t>Human rights situation in Palestine and other occupied Arab territories</w:t>
      </w:r>
      <w:r w:rsidR="008E4411" w:rsidRPr="00116D26">
        <w:rPr>
          <w:color w:val="000000" w:themeColor="text1"/>
          <w:sz w:val="20"/>
          <w:szCs w:val="20"/>
        </w:rPr>
        <w:tab/>
      </w:r>
      <w:r w:rsidRPr="00116D26">
        <w:rPr>
          <w:color w:val="000000" w:themeColor="text1"/>
          <w:sz w:val="20"/>
          <w:szCs w:val="20"/>
        </w:rPr>
        <w:tab/>
      </w:r>
      <w:r w:rsidR="00873831">
        <w:rPr>
          <w:color w:val="000000" w:themeColor="text1"/>
          <w:sz w:val="20"/>
          <w:szCs w:val="20"/>
        </w:rPr>
        <w:t>138</w:t>
      </w:r>
    </w:p>
    <w:p w14:paraId="2EA58673" w14:textId="4D6B1FAB" w:rsidR="00F11B08" w:rsidRDefault="00F11B08" w:rsidP="00EF290A">
      <w:pPr>
        <w:tabs>
          <w:tab w:val="right" w:pos="850"/>
          <w:tab w:val="left" w:pos="1134"/>
          <w:tab w:val="left" w:pos="1559"/>
          <w:tab w:val="left" w:pos="1984"/>
          <w:tab w:val="left" w:leader="dot" w:pos="8929"/>
          <w:tab w:val="right" w:pos="9638"/>
        </w:tabs>
        <w:spacing w:after="120"/>
        <w:ind w:left="1559" w:hanging="1559"/>
        <w:rPr>
          <w:bCs/>
          <w:color w:val="000000" w:themeColor="text1"/>
          <w:sz w:val="20"/>
          <w:szCs w:val="20"/>
        </w:rPr>
      </w:pPr>
      <w:r w:rsidRPr="00116D26">
        <w:rPr>
          <w:color w:val="000000" w:themeColor="text1"/>
          <w:sz w:val="20"/>
          <w:szCs w:val="20"/>
        </w:rPr>
        <w:tab/>
      </w:r>
      <w:r w:rsidRPr="00116D26">
        <w:rPr>
          <w:color w:val="000000" w:themeColor="text1"/>
          <w:sz w:val="20"/>
          <w:szCs w:val="20"/>
        </w:rPr>
        <w:tab/>
        <w:t>A</w:t>
      </w:r>
      <w:r w:rsidRPr="00116D26">
        <w:rPr>
          <w:bCs/>
          <w:color w:val="000000" w:themeColor="text1"/>
          <w:sz w:val="20"/>
          <w:szCs w:val="20"/>
        </w:rPr>
        <w:t>.</w:t>
      </w:r>
      <w:r w:rsidRPr="00116D26">
        <w:rPr>
          <w:bCs/>
          <w:color w:val="000000" w:themeColor="text1"/>
          <w:sz w:val="20"/>
          <w:szCs w:val="20"/>
        </w:rPr>
        <w:tab/>
      </w:r>
      <w:r w:rsidRPr="00116D26">
        <w:rPr>
          <w:color w:val="000000" w:themeColor="text1"/>
          <w:sz w:val="20"/>
          <w:szCs w:val="20"/>
        </w:rPr>
        <w:t>Interactive</w:t>
      </w:r>
      <w:r w:rsidRPr="00116D26">
        <w:rPr>
          <w:bCs/>
          <w:color w:val="000000" w:themeColor="text1"/>
          <w:sz w:val="20"/>
          <w:szCs w:val="20"/>
        </w:rPr>
        <w:t xml:space="preserve"> dialogue with the Special Rapporteur on the situation of human rights in the Palestinian territories since 1967</w:t>
      </w:r>
      <w:r w:rsidR="008E4411" w:rsidRPr="00116D26">
        <w:rPr>
          <w:bCs/>
          <w:color w:val="000000" w:themeColor="text1"/>
          <w:sz w:val="20"/>
          <w:szCs w:val="20"/>
        </w:rPr>
        <w:tab/>
      </w:r>
      <w:r w:rsidRPr="00116D26">
        <w:rPr>
          <w:bCs/>
          <w:color w:val="000000" w:themeColor="text1"/>
          <w:sz w:val="20"/>
          <w:szCs w:val="20"/>
        </w:rPr>
        <w:tab/>
      </w:r>
      <w:r w:rsidR="00A5298A">
        <w:rPr>
          <w:bCs/>
          <w:color w:val="000000" w:themeColor="text1"/>
          <w:sz w:val="20"/>
          <w:szCs w:val="20"/>
        </w:rPr>
        <w:t>1</w:t>
      </w:r>
      <w:r w:rsidR="00873831">
        <w:rPr>
          <w:bCs/>
          <w:color w:val="000000" w:themeColor="text1"/>
          <w:sz w:val="20"/>
          <w:szCs w:val="20"/>
        </w:rPr>
        <w:t>38</w:t>
      </w:r>
    </w:p>
    <w:p w14:paraId="32BC0246" w14:textId="09649114" w:rsidR="00391180" w:rsidRDefault="00391180" w:rsidP="00391180">
      <w:pPr>
        <w:tabs>
          <w:tab w:val="right" w:pos="850"/>
          <w:tab w:val="left" w:pos="1134"/>
          <w:tab w:val="left" w:pos="1559"/>
          <w:tab w:val="left" w:pos="1984"/>
          <w:tab w:val="left" w:leader="dot" w:pos="8929"/>
          <w:tab w:val="right" w:pos="9638"/>
        </w:tabs>
        <w:spacing w:after="120"/>
        <w:ind w:left="1559" w:hanging="1559"/>
        <w:rPr>
          <w:bCs/>
          <w:color w:val="000000" w:themeColor="text1"/>
          <w:sz w:val="20"/>
          <w:szCs w:val="20"/>
        </w:rPr>
      </w:pPr>
      <w:r w:rsidRPr="00116D26">
        <w:rPr>
          <w:color w:val="000000" w:themeColor="text1"/>
          <w:sz w:val="20"/>
          <w:szCs w:val="20"/>
        </w:rPr>
        <w:tab/>
      </w:r>
      <w:r w:rsidRPr="00116D26">
        <w:rPr>
          <w:color w:val="000000" w:themeColor="text1"/>
          <w:sz w:val="20"/>
          <w:szCs w:val="20"/>
        </w:rPr>
        <w:tab/>
      </w:r>
      <w:r>
        <w:rPr>
          <w:color w:val="000000" w:themeColor="text1"/>
          <w:sz w:val="20"/>
          <w:szCs w:val="20"/>
        </w:rPr>
        <w:t>B</w:t>
      </w:r>
      <w:r w:rsidRPr="00116D26">
        <w:rPr>
          <w:bCs/>
          <w:color w:val="000000" w:themeColor="text1"/>
          <w:sz w:val="20"/>
          <w:szCs w:val="20"/>
        </w:rPr>
        <w:t>.</w:t>
      </w:r>
      <w:r w:rsidRPr="00116D26">
        <w:rPr>
          <w:bCs/>
          <w:color w:val="000000" w:themeColor="text1"/>
          <w:sz w:val="20"/>
          <w:szCs w:val="20"/>
        </w:rPr>
        <w:tab/>
      </w:r>
      <w:r w:rsidRPr="00391180">
        <w:rPr>
          <w:bCs/>
          <w:color w:val="000000" w:themeColor="text1"/>
          <w:sz w:val="20"/>
          <w:szCs w:val="20"/>
        </w:rPr>
        <w:t>Interactive dialogue with the Independent Commission of Inquiry on the 2018 protests in the Occupied Palestinian Territory</w:t>
      </w:r>
      <w:r w:rsidRPr="00116D26">
        <w:rPr>
          <w:bCs/>
          <w:color w:val="000000" w:themeColor="text1"/>
          <w:sz w:val="20"/>
          <w:szCs w:val="20"/>
        </w:rPr>
        <w:tab/>
      </w:r>
      <w:r w:rsidRPr="00116D26">
        <w:rPr>
          <w:bCs/>
          <w:color w:val="000000" w:themeColor="text1"/>
          <w:sz w:val="20"/>
          <w:szCs w:val="20"/>
        </w:rPr>
        <w:tab/>
      </w:r>
      <w:r w:rsidR="00873831">
        <w:rPr>
          <w:bCs/>
          <w:color w:val="000000" w:themeColor="text1"/>
          <w:sz w:val="20"/>
          <w:szCs w:val="20"/>
        </w:rPr>
        <w:t>138</w:t>
      </w:r>
    </w:p>
    <w:p w14:paraId="2EA58674" w14:textId="6737462D" w:rsidR="00F11B08" w:rsidRPr="00116D26" w:rsidRDefault="00F11B08" w:rsidP="00F11B08">
      <w:pPr>
        <w:tabs>
          <w:tab w:val="right" w:pos="850"/>
          <w:tab w:val="left" w:pos="1134"/>
          <w:tab w:val="left" w:pos="1559"/>
          <w:tab w:val="left" w:pos="1984"/>
          <w:tab w:val="left" w:leader="dot" w:pos="8929"/>
          <w:tab w:val="right" w:pos="9638"/>
        </w:tabs>
        <w:spacing w:after="120"/>
        <w:ind w:left="1560" w:hanging="1560"/>
        <w:rPr>
          <w:bCs/>
          <w:color w:val="000000" w:themeColor="text1"/>
          <w:sz w:val="20"/>
          <w:szCs w:val="20"/>
        </w:rPr>
      </w:pPr>
      <w:r w:rsidRPr="00116D26">
        <w:rPr>
          <w:bCs/>
          <w:color w:val="000000" w:themeColor="text1"/>
          <w:sz w:val="20"/>
          <w:szCs w:val="20"/>
        </w:rPr>
        <w:tab/>
      </w:r>
      <w:r w:rsidRPr="00116D26">
        <w:rPr>
          <w:bCs/>
          <w:color w:val="000000" w:themeColor="text1"/>
          <w:sz w:val="20"/>
          <w:szCs w:val="20"/>
        </w:rPr>
        <w:tab/>
      </w:r>
      <w:r w:rsidR="000F56AD">
        <w:rPr>
          <w:bCs/>
          <w:color w:val="000000" w:themeColor="text1"/>
          <w:sz w:val="20"/>
          <w:szCs w:val="20"/>
        </w:rPr>
        <w:t>C</w:t>
      </w:r>
      <w:r w:rsidRPr="00116D26">
        <w:rPr>
          <w:bCs/>
          <w:color w:val="000000" w:themeColor="text1"/>
          <w:sz w:val="20"/>
          <w:szCs w:val="20"/>
        </w:rPr>
        <w:t>.</w:t>
      </w:r>
      <w:r w:rsidRPr="00116D26">
        <w:rPr>
          <w:bCs/>
          <w:color w:val="000000" w:themeColor="text1"/>
          <w:sz w:val="20"/>
          <w:szCs w:val="20"/>
        </w:rPr>
        <w:tab/>
        <w:t>Reports of the High Commissioner and the Secretary-General</w:t>
      </w:r>
      <w:r w:rsidR="008E4411" w:rsidRPr="00116D26">
        <w:rPr>
          <w:bCs/>
          <w:color w:val="000000" w:themeColor="text1"/>
          <w:sz w:val="20"/>
          <w:szCs w:val="20"/>
        </w:rPr>
        <w:tab/>
      </w:r>
      <w:r w:rsidRPr="00116D26">
        <w:rPr>
          <w:bCs/>
          <w:color w:val="000000" w:themeColor="text1"/>
          <w:sz w:val="20"/>
          <w:szCs w:val="20"/>
        </w:rPr>
        <w:tab/>
      </w:r>
      <w:r w:rsidR="00873831">
        <w:rPr>
          <w:bCs/>
          <w:color w:val="000000" w:themeColor="text1"/>
          <w:sz w:val="20"/>
          <w:szCs w:val="20"/>
        </w:rPr>
        <w:t>139</w:t>
      </w:r>
    </w:p>
    <w:p w14:paraId="2EA58675" w14:textId="42090746" w:rsidR="00F11B08" w:rsidRPr="00116D26" w:rsidRDefault="00F11B08" w:rsidP="00F11B08">
      <w:pPr>
        <w:tabs>
          <w:tab w:val="right" w:pos="850"/>
          <w:tab w:val="left" w:pos="1134"/>
          <w:tab w:val="left" w:pos="1559"/>
          <w:tab w:val="left" w:pos="1984"/>
          <w:tab w:val="left" w:leader="dot" w:pos="8929"/>
          <w:tab w:val="right" w:pos="9638"/>
        </w:tabs>
        <w:spacing w:after="120"/>
        <w:ind w:left="1560" w:hanging="1560"/>
        <w:rPr>
          <w:bCs/>
          <w:color w:val="000000" w:themeColor="text1"/>
          <w:sz w:val="20"/>
          <w:szCs w:val="20"/>
        </w:rPr>
      </w:pPr>
      <w:r w:rsidRPr="00116D26">
        <w:rPr>
          <w:bCs/>
          <w:color w:val="000000" w:themeColor="text1"/>
          <w:sz w:val="20"/>
          <w:szCs w:val="20"/>
        </w:rPr>
        <w:tab/>
      </w:r>
      <w:r w:rsidRPr="00116D26">
        <w:rPr>
          <w:bCs/>
          <w:color w:val="000000" w:themeColor="text1"/>
          <w:sz w:val="20"/>
          <w:szCs w:val="20"/>
        </w:rPr>
        <w:tab/>
      </w:r>
      <w:r w:rsidR="000F56AD">
        <w:rPr>
          <w:bCs/>
          <w:color w:val="000000" w:themeColor="text1"/>
          <w:sz w:val="20"/>
          <w:szCs w:val="20"/>
        </w:rPr>
        <w:t>D</w:t>
      </w:r>
      <w:r w:rsidRPr="00116D26">
        <w:rPr>
          <w:bCs/>
          <w:color w:val="000000" w:themeColor="text1"/>
          <w:sz w:val="20"/>
          <w:szCs w:val="20"/>
        </w:rPr>
        <w:t>.</w:t>
      </w:r>
      <w:r w:rsidRPr="00116D26">
        <w:rPr>
          <w:bCs/>
          <w:color w:val="000000" w:themeColor="text1"/>
          <w:sz w:val="20"/>
          <w:szCs w:val="20"/>
        </w:rPr>
        <w:tab/>
        <w:t>General debate on agenda item 7</w:t>
      </w:r>
      <w:r w:rsidR="008E4411" w:rsidRPr="00116D26">
        <w:rPr>
          <w:bCs/>
          <w:color w:val="000000" w:themeColor="text1"/>
          <w:sz w:val="20"/>
          <w:szCs w:val="20"/>
        </w:rPr>
        <w:tab/>
      </w:r>
      <w:r w:rsidRPr="00116D26">
        <w:rPr>
          <w:bCs/>
          <w:color w:val="000000" w:themeColor="text1"/>
          <w:sz w:val="20"/>
          <w:szCs w:val="20"/>
        </w:rPr>
        <w:tab/>
      </w:r>
      <w:r w:rsidR="00873831">
        <w:rPr>
          <w:bCs/>
          <w:color w:val="000000" w:themeColor="text1"/>
          <w:sz w:val="20"/>
          <w:szCs w:val="20"/>
        </w:rPr>
        <w:t>140</w:t>
      </w:r>
    </w:p>
    <w:p w14:paraId="2EA58676" w14:textId="7B2095C6" w:rsidR="00F11B08" w:rsidRPr="00116D26" w:rsidRDefault="00F11B08" w:rsidP="00F11B08">
      <w:pPr>
        <w:tabs>
          <w:tab w:val="right" w:pos="850"/>
          <w:tab w:val="left" w:pos="1134"/>
          <w:tab w:val="left" w:pos="1559"/>
          <w:tab w:val="left" w:pos="1984"/>
          <w:tab w:val="left" w:leader="dot" w:pos="8929"/>
          <w:tab w:val="right" w:pos="9638"/>
        </w:tabs>
        <w:spacing w:after="120"/>
        <w:ind w:left="1560" w:hanging="1560"/>
        <w:rPr>
          <w:bCs/>
          <w:color w:val="000000" w:themeColor="text1"/>
          <w:sz w:val="20"/>
          <w:szCs w:val="20"/>
        </w:rPr>
      </w:pPr>
      <w:r w:rsidRPr="00116D26">
        <w:rPr>
          <w:bCs/>
          <w:color w:val="000000" w:themeColor="text1"/>
          <w:sz w:val="20"/>
          <w:szCs w:val="20"/>
        </w:rPr>
        <w:tab/>
      </w:r>
      <w:r w:rsidRPr="00116D26">
        <w:rPr>
          <w:bCs/>
          <w:color w:val="000000" w:themeColor="text1"/>
          <w:sz w:val="20"/>
          <w:szCs w:val="20"/>
        </w:rPr>
        <w:tab/>
      </w:r>
      <w:r w:rsidR="000F56AD">
        <w:rPr>
          <w:bCs/>
          <w:color w:val="000000" w:themeColor="text1"/>
          <w:sz w:val="20"/>
          <w:szCs w:val="20"/>
        </w:rPr>
        <w:t>E</w:t>
      </w:r>
      <w:r w:rsidRPr="00116D26">
        <w:rPr>
          <w:bCs/>
          <w:color w:val="000000" w:themeColor="text1"/>
          <w:sz w:val="20"/>
          <w:szCs w:val="20"/>
        </w:rPr>
        <w:t>.</w:t>
      </w:r>
      <w:r w:rsidRPr="00116D26">
        <w:rPr>
          <w:bCs/>
          <w:color w:val="000000" w:themeColor="text1"/>
          <w:sz w:val="20"/>
          <w:szCs w:val="20"/>
        </w:rPr>
        <w:tab/>
        <w:t>Consideration of and action on draft proposals</w:t>
      </w:r>
      <w:r w:rsidRPr="00116D26">
        <w:rPr>
          <w:bCs/>
          <w:color w:val="000000" w:themeColor="text1"/>
          <w:sz w:val="20"/>
          <w:szCs w:val="20"/>
        </w:rPr>
        <w:tab/>
      </w:r>
      <w:r w:rsidR="008E4411" w:rsidRPr="00116D26">
        <w:rPr>
          <w:bCs/>
          <w:color w:val="000000" w:themeColor="text1"/>
          <w:sz w:val="20"/>
          <w:szCs w:val="20"/>
        </w:rPr>
        <w:tab/>
      </w:r>
      <w:r w:rsidR="00873831">
        <w:rPr>
          <w:bCs/>
          <w:color w:val="000000" w:themeColor="text1"/>
          <w:sz w:val="20"/>
          <w:szCs w:val="20"/>
        </w:rPr>
        <w:t>141</w:t>
      </w:r>
    </w:p>
    <w:p w14:paraId="2EA58677" w14:textId="6917203F" w:rsidR="00F11B08" w:rsidRPr="00116D26" w:rsidRDefault="00F11B08" w:rsidP="00EF290A">
      <w:pPr>
        <w:tabs>
          <w:tab w:val="right" w:pos="850"/>
          <w:tab w:val="left" w:pos="1134"/>
          <w:tab w:val="left" w:pos="1559"/>
          <w:tab w:val="left" w:pos="1984"/>
          <w:tab w:val="left" w:leader="dot" w:pos="8929"/>
          <w:tab w:val="right" w:pos="9638"/>
        </w:tabs>
        <w:spacing w:after="120"/>
        <w:rPr>
          <w:bCs/>
          <w:color w:val="000000" w:themeColor="text1"/>
          <w:sz w:val="20"/>
          <w:szCs w:val="20"/>
        </w:rPr>
      </w:pPr>
      <w:r w:rsidRPr="00116D26">
        <w:rPr>
          <w:bCs/>
          <w:color w:val="000000" w:themeColor="text1"/>
          <w:sz w:val="20"/>
          <w:szCs w:val="20"/>
        </w:rPr>
        <w:tab/>
        <w:t>VIII.</w:t>
      </w:r>
      <w:r w:rsidRPr="00116D26">
        <w:rPr>
          <w:bCs/>
          <w:color w:val="000000" w:themeColor="text1"/>
          <w:sz w:val="20"/>
          <w:szCs w:val="20"/>
        </w:rPr>
        <w:tab/>
      </w:r>
      <w:r w:rsidRPr="00116D26">
        <w:rPr>
          <w:color w:val="000000" w:themeColor="text1"/>
          <w:sz w:val="20"/>
          <w:szCs w:val="20"/>
        </w:rPr>
        <w:t>Follow</w:t>
      </w:r>
      <w:r w:rsidRPr="00116D26">
        <w:rPr>
          <w:bCs/>
          <w:color w:val="000000" w:themeColor="text1"/>
          <w:sz w:val="20"/>
          <w:szCs w:val="20"/>
        </w:rPr>
        <w:t>-up to and implementation of the Vienna Declaration and Programme of Action</w:t>
      </w:r>
      <w:r w:rsidRPr="00116D26">
        <w:rPr>
          <w:bCs/>
          <w:color w:val="000000" w:themeColor="text1"/>
          <w:sz w:val="20"/>
          <w:szCs w:val="20"/>
        </w:rPr>
        <w:tab/>
      </w:r>
      <w:r w:rsidR="008E4411" w:rsidRPr="00116D26">
        <w:rPr>
          <w:bCs/>
          <w:color w:val="000000" w:themeColor="text1"/>
          <w:sz w:val="20"/>
          <w:szCs w:val="20"/>
        </w:rPr>
        <w:tab/>
      </w:r>
      <w:r w:rsidR="00873831">
        <w:rPr>
          <w:bCs/>
          <w:color w:val="000000" w:themeColor="text1"/>
          <w:sz w:val="20"/>
          <w:szCs w:val="20"/>
        </w:rPr>
        <w:t>144</w:t>
      </w:r>
    </w:p>
    <w:p w14:paraId="2EA58678" w14:textId="1DE56B6A" w:rsidR="00F11B08" w:rsidRDefault="00F11B08" w:rsidP="00F11B08">
      <w:pPr>
        <w:tabs>
          <w:tab w:val="right" w:pos="850"/>
          <w:tab w:val="left" w:pos="1134"/>
          <w:tab w:val="left" w:pos="1559"/>
          <w:tab w:val="left" w:pos="1984"/>
          <w:tab w:val="left" w:leader="dot" w:pos="8929"/>
          <w:tab w:val="right" w:pos="9638"/>
        </w:tabs>
        <w:spacing w:after="120"/>
        <w:ind w:left="1560" w:hanging="1560"/>
        <w:rPr>
          <w:bCs/>
          <w:color w:val="000000" w:themeColor="text1"/>
          <w:sz w:val="20"/>
          <w:szCs w:val="20"/>
        </w:rPr>
      </w:pPr>
      <w:r w:rsidRPr="00116D26">
        <w:rPr>
          <w:bCs/>
          <w:color w:val="000000" w:themeColor="text1"/>
          <w:sz w:val="20"/>
          <w:szCs w:val="20"/>
        </w:rPr>
        <w:tab/>
      </w:r>
      <w:r w:rsidRPr="00116D26">
        <w:rPr>
          <w:bCs/>
          <w:color w:val="000000" w:themeColor="text1"/>
          <w:sz w:val="20"/>
          <w:szCs w:val="20"/>
        </w:rPr>
        <w:tab/>
        <w:t>A.</w:t>
      </w:r>
      <w:r w:rsidRPr="00116D26">
        <w:rPr>
          <w:bCs/>
          <w:color w:val="000000" w:themeColor="text1"/>
          <w:sz w:val="20"/>
          <w:szCs w:val="20"/>
        </w:rPr>
        <w:tab/>
        <w:t>General debate on agenda item 8</w:t>
      </w:r>
      <w:r w:rsidR="008E4411" w:rsidRPr="00116D26">
        <w:rPr>
          <w:bCs/>
          <w:color w:val="000000" w:themeColor="text1"/>
          <w:sz w:val="20"/>
          <w:szCs w:val="20"/>
        </w:rPr>
        <w:tab/>
      </w:r>
      <w:r w:rsidRPr="00116D26">
        <w:rPr>
          <w:bCs/>
          <w:color w:val="000000" w:themeColor="text1"/>
          <w:sz w:val="20"/>
          <w:szCs w:val="20"/>
        </w:rPr>
        <w:tab/>
      </w:r>
      <w:r w:rsidR="00873831">
        <w:rPr>
          <w:bCs/>
          <w:color w:val="000000" w:themeColor="text1"/>
          <w:sz w:val="20"/>
          <w:szCs w:val="20"/>
        </w:rPr>
        <w:t>144</w:t>
      </w:r>
    </w:p>
    <w:p w14:paraId="2EA58679" w14:textId="1B32B66F" w:rsidR="00F11B08" w:rsidRPr="00116D26" w:rsidRDefault="00C43406" w:rsidP="00292929">
      <w:pPr>
        <w:tabs>
          <w:tab w:val="right" w:pos="850"/>
          <w:tab w:val="left" w:pos="1134"/>
          <w:tab w:val="left" w:pos="1559"/>
          <w:tab w:val="left" w:pos="1984"/>
          <w:tab w:val="left" w:leader="dot" w:pos="8929"/>
          <w:tab w:val="right" w:pos="9638"/>
        </w:tabs>
        <w:spacing w:after="120"/>
        <w:ind w:left="1560" w:hanging="1560"/>
        <w:rPr>
          <w:color w:val="000000" w:themeColor="text1"/>
          <w:sz w:val="20"/>
          <w:szCs w:val="20"/>
        </w:rPr>
      </w:pPr>
      <w:r w:rsidRPr="00116D26">
        <w:rPr>
          <w:bCs/>
          <w:color w:val="000000" w:themeColor="text1"/>
          <w:sz w:val="20"/>
          <w:szCs w:val="20"/>
        </w:rPr>
        <w:tab/>
      </w:r>
      <w:r w:rsidR="00F11B08" w:rsidRPr="00116D26">
        <w:rPr>
          <w:color w:val="000000" w:themeColor="text1"/>
          <w:sz w:val="20"/>
          <w:szCs w:val="20"/>
        </w:rPr>
        <w:t>IX.</w:t>
      </w:r>
      <w:r w:rsidR="00F11B08" w:rsidRPr="00116D26">
        <w:rPr>
          <w:color w:val="000000" w:themeColor="text1"/>
          <w:sz w:val="20"/>
          <w:szCs w:val="20"/>
        </w:rPr>
        <w:tab/>
        <w:t>Racism, racial discrimination, xenophobia and related forms of intolerance, follow-up to and implementation of the Durban Declaration and Programme of Action</w:t>
      </w:r>
      <w:r w:rsidR="00F11B08" w:rsidRPr="00116D26">
        <w:rPr>
          <w:color w:val="000000" w:themeColor="text1"/>
          <w:sz w:val="20"/>
          <w:szCs w:val="20"/>
        </w:rPr>
        <w:tab/>
      </w:r>
      <w:r w:rsidR="008E4411" w:rsidRPr="00116D26">
        <w:rPr>
          <w:color w:val="000000" w:themeColor="text1"/>
          <w:sz w:val="20"/>
          <w:szCs w:val="20"/>
        </w:rPr>
        <w:tab/>
      </w:r>
      <w:r w:rsidR="00873831">
        <w:rPr>
          <w:color w:val="000000" w:themeColor="text1"/>
          <w:sz w:val="20"/>
          <w:szCs w:val="20"/>
        </w:rPr>
        <w:t>146</w:t>
      </w:r>
    </w:p>
    <w:p w14:paraId="7646F1B1" w14:textId="1AC6B902" w:rsidR="00A35943" w:rsidRDefault="00EF290A" w:rsidP="00EF290A">
      <w:pPr>
        <w:tabs>
          <w:tab w:val="right" w:pos="850"/>
          <w:tab w:val="left" w:pos="1134"/>
          <w:tab w:val="left" w:pos="1559"/>
          <w:tab w:val="left" w:pos="1984"/>
          <w:tab w:val="left" w:leader="dot" w:pos="8929"/>
          <w:tab w:val="right" w:pos="9638"/>
        </w:tabs>
        <w:spacing w:after="120"/>
        <w:ind w:left="1559" w:hanging="1559"/>
        <w:rPr>
          <w:color w:val="000000" w:themeColor="text1"/>
          <w:sz w:val="20"/>
          <w:szCs w:val="20"/>
        </w:rPr>
      </w:pPr>
      <w:r w:rsidRPr="00116D26">
        <w:rPr>
          <w:color w:val="000000" w:themeColor="text1"/>
          <w:sz w:val="20"/>
          <w:szCs w:val="20"/>
        </w:rPr>
        <w:tab/>
      </w:r>
      <w:r w:rsidRPr="00116D26">
        <w:rPr>
          <w:color w:val="000000" w:themeColor="text1"/>
          <w:sz w:val="20"/>
          <w:szCs w:val="20"/>
        </w:rPr>
        <w:tab/>
      </w:r>
      <w:r w:rsidR="00A35943" w:rsidRPr="00116D26">
        <w:rPr>
          <w:color w:val="000000" w:themeColor="text1"/>
          <w:sz w:val="20"/>
          <w:szCs w:val="20"/>
        </w:rPr>
        <w:t>A.</w:t>
      </w:r>
      <w:r w:rsidR="00A35943" w:rsidRPr="00116D26">
        <w:rPr>
          <w:color w:val="000000" w:themeColor="text1"/>
          <w:sz w:val="20"/>
          <w:szCs w:val="20"/>
        </w:rPr>
        <w:tab/>
      </w:r>
      <w:r w:rsidR="00994235" w:rsidRPr="00994235">
        <w:rPr>
          <w:bCs/>
          <w:color w:val="000000" w:themeColor="text1"/>
          <w:sz w:val="20"/>
          <w:szCs w:val="20"/>
        </w:rPr>
        <w:t>Debate on the mitigation and countering of rising nationalist populism and extreme supremacist ideologies</w:t>
      </w:r>
      <w:r w:rsidR="00E14858" w:rsidRPr="00116D26">
        <w:rPr>
          <w:color w:val="000000" w:themeColor="text1"/>
          <w:sz w:val="20"/>
          <w:szCs w:val="20"/>
        </w:rPr>
        <w:tab/>
      </w:r>
      <w:r w:rsidR="00E14858" w:rsidRPr="00116D26">
        <w:rPr>
          <w:color w:val="000000" w:themeColor="text1"/>
          <w:sz w:val="20"/>
          <w:szCs w:val="20"/>
        </w:rPr>
        <w:tab/>
      </w:r>
      <w:r w:rsidR="00873831">
        <w:rPr>
          <w:color w:val="000000" w:themeColor="text1"/>
          <w:sz w:val="20"/>
          <w:szCs w:val="20"/>
        </w:rPr>
        <w:t>146</w:t>
      </w:r>
    </w:p>
    <w:p w14:paraId="2EA5867B" w14:textId="26E16D63"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t>B.</w:t>
      </w:r>
      <w:r w:rsidRPr="00116D26">
        <w:rPr>
          <w:color w:val="000000" w:themeColor="text1"/>
          <w:sz w:val="20"/>
          <w:szCs w:val="20"/>
        </w:rPr>
        <w:tab/>
        <w:t>General debate on agenda item 9</w:t>
      </w:r>
      <w:r w:rsidR="00EC1F8D" w:rsidRPr="00116D26">
        <w:rPr>
          <w:color w:val="000000" w:themeColor="text1"/>
          <w:sz w:val="20"/>
          <w:szCs w:val="20"/>
        </w:rPr>
        <w:tab/>
      </w:r>
      <w:r w:rsidRPr="00116D26">
        <w:rPr>
          <w:color w:val="000000" w:themeColor="text1"/>
          <w:sz w:val="20"/>
          <w:szCs w:val="20"/>
        </w:rPr>
        <w:tab/>
      </w:r>
      <w:r w:rsidR="00873831">
        <w:rPr>
          <w:color w:val="000000" w:themeColor="text1"/>
          <w:sz w:val="20"/>
          <w:szCs w:val="20"/>
        </w:rPr>
        <w:t>147</w:t>
      </w:r>
    </w:p>
    <w:p w14:paraId="2EA5867C" w14:textId="00D8BE1A"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t>C.</w:t>
      </w:r>
      <w:r w:rsidRPr="00116D26">
        <w:rPr>
          <w:color w:val="000000" w:themeColor="text1"/>
          <w:sz w:val="20"/>
          <w:szCs w:val="20"/>
        </w:rPr>
        <w:tab/>
        <w:t>Consideration of and action on draft proposals</w:t>
      </w:r>
      <w:r w:rsidR="00EC1F8D" w:rsidRPr="00116D26">
        <w:rPr>
          <w:color w:val="000000" w:themeColor="text1"/>
          <w:sz w:val="20"/>
          <w:szCs w:val="20"/>
        </w:rPr>
        <w:tab/>
      </w:r>
      <w:r w:rsidRPr="00116D26">
        <w:rPr>
          <w:color w:val="000000" w:themeColor="text1"/>
          <w:sz w:val="20"/>
          <w:szCs w:val="20"/>
        </w:rPr>
        <w:tab/>
      </w:r>
      <w:r w:rsidR="00873831">
        <w:rPr>
          <w:color w:val="000000" w:themeColor="text1"/>
          <w:sz w:val="20"/>
          <w:szCs w:val="20"/>
        </w:rPr>
        <w:t>148</w:t>
      </w:r>
    </w:p>
    <w:p w14:paraId="2EA5867D" w14:textId="229E4257"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t>X.</w:t>
      </w:r>
      <w:r w:rsidRPr="00116D26">
        <w:rPr>
          <w:color w:val="000000" w:themeColor="text1"/>
          <w:sz w:val="20"/>
          <w:szCs w:val="20"/>
        </w:rPr>
        <w:tab/>
        <w:t>Technical assistance and capacity-building</w:t>
      </w:r>
      <w:r w:rsidR="00EC1F8D" w:rsidRPr="00116D26">
        <w:rPr>
          <w:color w:val="000000" w:themeColor="text1"/>
          <w:sz w:val="20"/>
          <w:szCs w:val="20"/>
        </w:rPr>
        <w:tab/>
      </w:r>
      <w:r w:rsidRPr="00116D26">
        <w:rPr>
          <w:color w:val="000000" w:themeColor="text1"/>
          <w:sz w:val="20"/>
          <w:szCs w:val="20"/>
        </w:rPr>
        <w:tab/>
      </w:r>
      <w:r w:rsidR="00873831">
        <w:rPr>
          <w:color w:val="000000" w:themeColor="text1"/>
          <w:sz w:val="20"/>
          <w:szCs w:val="20"/>
        </w:rPr>
        <w:t>150</w:t>
      </w:r>
    </w:p>
    <w:p w14:paraId="4EF54C2F" w14:textId="3EF6CAB9" w:rsidR="000F56AD" w:rsidRPr="00116D26" w:rsidRDefault="000F56AD" w:rsidP="000F56AD">
      <w:pPr>
        <w:tabs>
          <w:tab w:val="right" w:pos="850"/>
          <w:tab w:val="left" w:pos="1134"/>
          <w:tab w:val="left" w:pos="1559"/>
          <w:tab w:val="left" w:pos="1984"/>
          <w:tab w:val="left" w:leader="dot" w:pos="8929"/>
          <w:tab w:val="right" w:pos="9638"/>
        </w:tabs>
        <w:spacing w:after="120"/>
        <w:ind w:left="1559" w:hanging="1559"/>
        <w:rPr>
          <w:color w:val="000000" w:themeColor="text1"/>
          <w:sz w:val="20"/>
          <w:szCs w:val="20"/>
        </w:rPr>
      </w:pPr>
      <w:r w:rsidRPr="00116D26">
        <w:rPr>
          <w:color w:val="000000" w:themeColor="text1"/>
          <w:sz w:val="20"/>
          <w:szCs w:val="20"/>
        </w:rPr>
        <w:tab/>
      </w:r>
      <w:r w:rsidRPr="00116D26">
        <w:rPr>
          <w:color w:val="000000" w:themeColor="text1"/>
          <w:sz w:val="20"/>
          <w:szCs w:val="20"/>
        </w:rPr>
        <w:tab/>
      </w:r>
      <w:r>
        <w:rPr>
          <w:color w:val="000000" w:themeColor="text1"/>
          <w:sz w:val="20"/>
          <w:szCs w:val="20"/>
        </w:rPr>
        <w:t>A</w:t>
      </w:r>
      <w:r w:rsidRPr="00116D26">
        <w:rPr>
          <w:color w:val="000000" w:themeColor="text1"/>
          <w:sz w:val="20"/>
          <w:szCs w:val="20"/>
        </w:rPr>
        <w:t>.</w:t>
      </w:r>
      <w:r w:rsidRPr="00116D26">
        <w:rPr>
          <w:color w:val="000000" w:themeColor="text1"/>
          <w:sz w:val="20"/>
          <w:szCs w:val="20"/>
        </w:rPr>
        <w:tab/>
        <w:t xml:space="preserve">Enhanced interactive dialogue on the situation of human rights in the Democratic Republic of the </w:t>
      </w:r>
      <w:r w:rsidR="00873831">
        <w:rPr>
          <w:color w:val="000000" w:themeColor="text1"/>
          <w:sz w:val="20"/>
          <w:szCs w:val="20"/>
        </w:rPr>
        <w:t xml:space="preserve">Congo </w:t>
      </w:r>
      <w:r w:rsidR="00873831">
        <w:rPr>
          <w:color w:val="000000" w:themeColor="text1"/>
          <w:sz w:val="20"/>
          <w:szCs w:val="20"/>
        </w:rPr>
        <w:tab/>
      </w:r>
      <w:r w:rsidR="00873831">
        <w:rPr>
          <w:color w:val="000000" w:themeColor="text1"/>
          <w:sz w:val="20"/>
          <w:szCs w:val="20"/>
        </w:rPr>
        <w:tab/>
        <w:t>150</w:t>
      </w:r>
    </w:p>
    <w:p w14:paraId="38877EAC" w14:textId="120F9944" w:rsidR="000F56AD" w:rsidRPr="00116D26" w:rsidRDefault="00F11B08" w:rsidP="000F56AD">
      <w:pPr>
        <w:tabs>
          <w:tab w:val="right" w:pos="850"/>
          <w:tab w:val="left" w:pos="1134"/>
          <w:tab w:val="left" w:pos="1559"/>
          <w:tab w:val="left" w:pos="1984"/>
          <w:tab w:val="left" w:leader="dot" w:pos="8929"/>
          <w:tab w:val="right" w:pos="9638"/>
        </w:tabs>
        <w:spacing w:after="120"/>
        <w:ind w:left="1559" w:hanging="1559"/>
        <w:rPr>
          <w:color w:val="000000" w:themeColor="text1"/>
          <w:sz w:val="20"/>
          <w:szCs w:val="20"/>
        </w:rPr>
      </w:pPr>
      <w:r w:rsidRPr="00116D26">
        <w:rPr>
          <w:color w:val="000000" w:themeColor="text1"/>
          <w:sz w:val="20"/>
          <w:szCs w:val="20"/>
        </w:rPr>
        <w:tab/>
      </w:r>
      <w:r w:rsidR="000F56AD" w:rsidRPr="00116D26">
        <w:rPr>
          <w:color w:val="000000" w:themeColor="text1"/>
          <w:sz w:val="20"/>
          <w:szCs w:val="20"/>
        </w:rPr>
        <w:tab/>
      </w:r>
      <w:r w:rsidR="000F56AD">
        <w:rPr>
          <w:color w:val="000000" w:themeColor="text1"/>
          <w:sz w:val="20"/>
          <w:szCs w:val="20"/>
        </w:rPr>
        <w:t>B</w:t>
      </w:r>
      <w:r w:rsidR="000F56AD" w:rsidRPr="00116D26">
        <w:rPr>
          <w:color w:val="000000" w:themeColor="text1"/>
          <w:sz w:val="20"/>
          <w:szCs w:val="20"/>
        </w:rPr>
        <w:t>.</w:t>
      </w:r>
      <w:r w:rsidR="000F56AD" w:rsidRPr="00116D26">
        <w:rPr>
          <w:color w:val="000000" w:themeColor="text1"/>
          <w:sz w:val="20"/>
          <w:szCs w:val="20"/>
        </w:rPr>
        <w:tab/>
        <w:t>Interactive dialogue on cooperation and assistance to Ukraine i</w:t>
      </w:r>
      <w:r w:rsidR="00873831">
        <w:rPr>
          <w:color w:val="000000" w:themeColor="text1"/>
          <w:sz w:val="20"/>
          <w:szCs w:val="20"/>
        </w:rPr>
        <w:t>n the field of human rights</w:t>
      </w:r>
      <w:r w:rsidR="00873831">
        <w:rPr>
          <w:color w:val="000000" w:themeColor="text1"/>
          <w:sz w:val="20"/>
          <w:szCs w:val="20"/>
        </w:rPr>
        <w:tab/>
      </w:r>
      <w:r w:rsidR="00873831">
        <w:rPr>
          <w:color w:val="000000" w:themeColor="text1"/>
          <w:sz w:val="20"/>
          <w:szCs w:val="20"/>
        </w:rPr>
        <w:tab/>
        <w:t>151</w:t>
      </w:r>
    </w:p>
    <w:p w14:paraId="4059CA29" w14:textId="1A997271" w:rsidR="009C7FC2" w:rsidRPr="00116D26" w:rsidRDefault="000F56AD" w:rsidP="009C7FC2">
      <w:pPr>
        <w:tabs>
          <w:tab w:val="right" w:pos="850"/>
          <w:tab w:val="left" w:pos="1134"/>
          <w:tab w:val="left" w:pos="1559"/>
          <w:tab w:val="left" w:pos="1984"/>
          <w:tab w:val="left" w:leader="dot" w:pos="8929"/>
          <w:tab w:val="right" w:pos="9638"/>
        </w:tabs>
        <w:spacing w:after="120"/>
        <w:ind w:left="1559" w:hanging="1559"/>
        <w:rPr>
          <w:color w:val="000000" w:themeColor="text1"/>
          <w:sz w:val="20"/>
          <w:szCs w:val="20"/>
        </w:rPr>
      </w:pPr>
      <w:r>
        <w:rPr>
          <w:color w:val="000000" w:themeColor="text1"/>
          <w:sz w:val="20"/>
          <w:szCs w:val="20"/>
        </w:rPr>
        <w:tab/>
      </w:r>
      <w:r w:rsidR="00F11B08" w:rsidRPr="00116D26">
        <w:rPr>
          <w:color w:val="000000" w:themeColor="text1"/>
          <w:sz w:val="20"/>
          <w:szCs w:val="20"/>
        </w:rPr>
        <w:tab/>
      </w:r>
      <w:r>
        <w:rPr>
          <w:color w:val="000000" w:themeColor="text1"/>
          <w:sz w:val="20"/>
          <w:szCs w:val="20"/>
        </w:rPr>
        <w:t>C</w:t>
      </w:r>
      <w:r w:rsidR="009C7FC2" w:rsidRPr="00116D26">
        <w:rPr>
          <w:color w:val="000000" w:themeColor="text1"/>
          <w:sz w:val="20"/>
          <w:szCs w:val="20"/>
        </w:rPr>
        <w:t>.</w:t>
      </w:r>
      <w:r w:rsidR="009C7FC2" w:rsidRPr="00116D26">
        <w:rPr>
          <w:color w:val="000000" w:themeColor="text1"/>
          <w:sz w:val="20"/>
          <w:szCs w:val="20"/>
        </w:rPr>
        <w:tab/>
        <w:t>High-level interactive dialogue on the situation of human rights in t</w:t>
      </w:r>
      <w:r w:rsidR="00C8569C" w:rsidRPr="00116D26">
        <w:rPr>
          <w:color w:val="000000" w:themeColor="text1"/>
          <w:sz w:val="20"/>
          <w:szCs w:val="20"/>
        </w:rPr>
        <w:t>he Central African Republic</w:t>
      </w:r>
      <w:r w:rsidR="00116D26">
        <w:rPr>
          <w:color w:val="000000" w:themeColor="text1"/>
          <w:sz w:val="20"/>
          <w:szCs w:val="20"/>
        </w:rPr>
        <w:tab/>
      </w:r>
      <w:r w:rsidR="00873831">
        <w:rPr>
          <w:color w:val="000000" w:themeColor="text1"/>
          <w:sz w:val="20"/>
          <w:szCs w:val="20"/>
        </w:rPr>
        <w:t>151</w:t>
      </w:r>
    </w:p>
    <w:p w14:paraId="5BF431B0" w14:textId="1D3B5633" w:rsidR="00D700B5" w:rsidRPr="00116D26" w:rsidRDefault="00D700B5" w:rsidP="00D700B5">
      <w:pPr>
        <w:tabs>
          <w:tab w:val="right" w:pos="850"/>
          <w:tab w:val="left" w:pos="1134"/>
          <w:tab w:val="left" w:pos="1559"/>
          <w:tab w:val="left" w:pos="1984"/>
          <w:tab w:val="left" w:leader="dot" w:pos="8929"/>
          <w:tab w:val="right" w:pos="9638"/>
        </w:tabs>
        <w:spacing w:after="120"/>
        <w:ind w:left="1559" w:hanging="1559"/>
        <w:rPr>
          <w:color w:val="000000" w:themeColor="text1"/>
          <w:sz w:val="20"/>
          <w:szCs w:val="20"/>
        </w:rPr>
      </w:pPr>
      <w:r w:rsidRPr="00116D26">
        <w:rPr>
          <w:color w:val="000000" w:themeColor="text1"/>
          <w:sz w:val="20"/>
          <w:szCs w:val="20"/>
        </w:rPr>
        <w:tab/>
      </w:r>
      <w:r w:rsidRPr="00116D26">
        <w:rPr>
          <w:color w:val="000000" w:themeColor="text1"/>
          <w:sz w:val="20"/>
          <w:szCs w:val="20"/>
        </w:rPr>
        <w:tab/>
      </w:r>
      <w:r w:rsidR="000F56AD">
        <w:rPr>
          <w:color w:val="000000" w:themeColor="text1"/>
          <w:sz w:val="20"/>
          <w:szCs w:val="20"/>
        </w:rPr>
        <w:t>D</w:t>
      </w:r>
      <w:r w:rsidRPr="00116D26">
        <w:rPr>
          <w:color w:val="000000" w:themeColor="text1"/>
          <w:sz w:val="20"/>
          <w:szCs w:val="20"/>
        </w:rPr>
        <w:t>.</w:t>
      </w:r>
      <w:r w:rsidRPr="00116D26">
        <w:rPr>
          <w:color w:val="000000" w:themeColor="text1"/>
          <w:sz w:val="20"/>
          <w:szCs w:val="20"/>
        </w:rPr>
        <w:tab/>
        <w:t xml:space="preserve">Interactive dialogue with </w:t>
      </w:r>
      <w:r w:rsidR="00EE1679">
        <w:rPr>
          <w:color w:val="000000" w:themeColor="text1"/>
          <w:sz w:val="20"/>
          <w:szCs w:val="20"/>
        </w:rPr>
        <w:t xml:space="preserve">a </w:t>
      </w:r>
      <w:r w:rsidRPr="00116D26">
        <w:rPr>
          <w:color w:val="000000" w:themeColor="text1"/>
          <w:sz w:val="20"/>
          <w:szCs w:val="20"/>
        </w:rPr>
        <w:t>special</w:t>
      </w:r>
      <w:r w:rsidR="00EE1679">
        <w:rPr>
          <w:color w:val="000000" w:themeColor="text1"/>
          <w:sz w:val="20"/>
          <w:szCs w:val="20"/>
        </w:rPr>
        <w:t xml:space="preserve"> procedures mandate holder</w:t>
      </w:r>
      <w:r w:rsidR="00873831">
        <w:rPr>
          <w:color w:val="000000" w:themeColor="text1"/>
          <w:sz w:val="20"/>
          <w:szCs w:val="20"/>
        </w:rPr>
        <w:tab/>
      </w:r>
      <w:r w:rsidR="00873831">
        <w:rPr>
          <w:color w:val="000000" w:themeColor="text1"/>
          <w:sz w:val="20"/>
          <w:szCs w:val="20"/>
        </w:rPr>
        <w:tab/>
        <w:t>152</w:t>
      </w:r>
    </w:p>
    <w:p w14:paraId="4F0CA9CC" w14:textId="1A3CE389" w:rsidR="00D700B5" w:rsidRPr="00116D26" w:rsidRDefault="00D700B5" w:rsidP="00D700B5">
      <w:pPr>
        <w:tabs>
          <w:tab w:val="right" w:pos="850"/>
          <w:tab w:val="left" w:pos="1134"/>
          <w:tab w:val="left" w:pos="1559"/>
          <w:tab w:val="left" w:pos="1984"/>
          <w:tab w:val="left" w:leader="dot" w:pos="8929"/>
          <w:tab w:val="right" w:pos="9638"/>
        </w:tabs>
        <w:spacing w:after="120"/>
        <w:ind w:left="1559" w:hanging="1559"/>
        <w:rPr>
          <w:color w:val="000000" w:themeColor="text1"/>
          <w:sz w:val="20"/>
          <w:szCs w:val="20"/>
        </w:rPr>
      </w:pPr>
      <w:r w:rsidRPr="00116D26">
        <w:rPr>
          <w:color w:val="000000" w:themeColor="text1"/>
          <w:sz w:val="20"/>
          <w:szCs w:val="20"/>
        </w:rPr>
        <w:lastRenderedPageBreak/>
        <w:tab/>
      </w:r>
      <w:r w:rsidRPr="00116D26">
        <w:rPr>
          <w:color w:val="000000" w:themeColor="text1"/>
          <w:sz w:val="20"/>
          <w:szCs w:val="20"/>
        </w:rPr>
        <w:tab/>
      </w:r>
      <w:r w:rsidR="000F56AD">
        <w:rPr>
          <w:color w:val="000000" w:themeColor="text1"/>
          <w:sz w:val="20"/>
          <w:szCs w:val="20"/>
        </w:rPr>
        <w:t>E</w:t>
      </w:r>
      <w:r w:rsidRPr="00116D26">
        <w:rPr>
          <w:color w:val="000000" w:themeColor="text1"/>
          <w:sz w:val="20"/>
          <w:szCs w:val="20"/>
        </w:rPr>
        <w:t>.</w:t>
      </w:r>
      <w:r w:rsidRPr="00116D26">
        <w:rPr>
          <w:color w:val="000000" w:themeColor="text1"/>
          <w:sz w:val="20"/>
          <w:szCs w:val="20"/>
        </w:rPr>
        <w:tab/>
        <w:t>Gener</w:t>
      </w:r>
      <w:r w:rsidR="00E14858" w:rsidRPr="00116D26">
        <w:rPr>
          <w:color w:val="000000" w:themeColor="text1"/>
          <w:sz w:val="20"/>
          <w:szCs w:val="20"/>
        </w:rPr>
        <w:t>al debate</w:t>
      </w:r>
      <w:r w:rsidR="0007301D">
        <w:rPr>
          <w:color w:val="000000" w:themeColor="text1"/>
          <w:sz w:val="20"/>
          <w:szCs w:val="20"/>
        </w:rPr>
        <w:t xml:space="preserve"> on agenda item 10</w:t>
      </w:r>
      <w:r w:rsidR="0007301D">
        <w:rPr>
          <w:color w:val="000000" w:themeColor="text1"/>
          <w:sz w:val="20"/>
          <w:szCs w:val="20"/>
        </w:rPr>
        <w:tab/>
      </w:r>
      <w:r w:rsidR="0007301D">
        <w:rPr>
          <w:color w:val="000000" w:themeColor="text1"/>
          <w:sz w:val="20"/>
          <w:szCs w:val="20"/>
        </w:rPr>
        <w:tab/>
        <w:t>1</w:t>
      </w:r>
      <w:r w:rsidR="00873831">
        <w:rPr>
          <w:color w:val="000000" w:themeColor="text1"/>
          <w:sz w:val="20"/>
          <w:szCs w:val="20"/>
        </w:rPr>
        <w:t>52</w:t>
      </w:r>
    </w:p>
    <w:p w14:paraId="1A6D5717" w14:textId="0246ECB2" w:rsidR="00D700B5" w:rsidRPr="00116D26" w:rsidRDefault="00D700B5" w:rsidP="00D700B5">
      <w:pPr>
        <w:tabs>
          <w:tab w:val="right" w:pos="850"/>
          <w:tab w:val="left" w:pos="1134"/>
          <w:tab w:val="left" w:pos="1559"/>
          <w:tab w:val="left" w:pos="1984"/>
          <w:tab w:val="left" w:leader="dot" w:pos="8929"/>
          <w:tab w:val="right" w:pos="9638"/>
        </w:tabs>
        <w:spacing w:after="120"/>
        <w:ind w:left="1559" w:hanging="1559"/>
        <w:rPr>
          <w:color w:val="000000" w:themeColor="text1"/>
          <w:sz w:val="20"/>
          <w:szCs w:val="20"/>
        </w:rPr>
      </w:pPr>
      <w:r w:rsidRPr="00116D26">
        <w:rPr>
          <w:color w:val="000000" w:themeColor="text1"/>
          <w:sz w:val="20"/>
          <w:szCs w:val="20"/>
        </w:rPr>
        <w:tab/>
      </w:r>
      <w:r w:rsidRPr="00116D26">
        <w:rPr>
          <w:color w:val="000000" w:themeColor="text1"/>
          <w:sz w:val="20"/>
          <w:szCs w:val="20"/>
        </w:rPr>
        <w:tab/>
      </w:r>
      <w:r w:rsidR="000F56AD">
        <w:rPr>
          <w:color w:val="000000" w:themeColor="text1"/>
          <w:sz w:val="20"/>
          <w:szCs w:val="20"/>
        </w:rPr>
        <w:t>F</w:t>
      </w:r>
      <w:r w:rsidRPr="00116D26">
        <w:rPr>
          <w:color w:val="000000" w:themeColor="text1"/>
          <w:sz w:val="20"/>
          <w:szCs w:val="20"/>
        </w:rPr>
        <w:t>.</w:t>
      </w:r>
      <w:r w:rsidRPr="00116D26">
        <w:rPr>
          <w:color w:val="000000" w:themeColor="text1"/>
          <w:sz w:val="20"/>
          <w:szCs w:val="20"/>
        </w:rPr>
        <w:tab/>
        <w:t>Consideration of an</w:t>
      </w:r>
      <w:r w:rsidR="00873831">
        <w:rPr>
          <w:color w:val="000000" w:themeColor="text1"/>
          <w:sz w:val="20"/>
          <w:szCs w:val="20"/>
        </w:rPr>
        <w:t>d action on draft proposals</w:t>
      </w:r>
      <w:r w:rsidR="00873831">
        <w:rPr>
          <w:color w:val="000000" w:themeColor="text1"/>
          <w:sz w:val="20"/>
          <w:szCs w:val="20"/>
        </w:rPr>
        <w:tab/>
      </w:r>
      <w:r w:rsidR="00873831">
        <w:rPr>
          <w:color w:val="000000" w:themeColor="text1"/>
          <w:sz w:val="20"/>
          <w:szCs w:val="20"/>
        </w:rPr>
        <w:tab/>
        <w:t>154</w:t>
      </w:r>
    </w:p>
    <w:p w14:paraId="2EA58686" w14:textId="77777777"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lang w:val="fr-CH"/>
        </w:rPr>
      </w:pPr>
      <w:r w:rsidRPr="00116D26">
        <w:rPr>
          <w:color w:val="000000" w:themeColor="text1"/>
          <w:sz w:val="20"/>
          <w:szCs w:val="20"/>
          <w:lang w:val="fr-CH"/>
        </w:rPr>
        <w:t>Annexes</w:t>
      </w:r>
    </w:p>
    <w:p w14:paraId="2EA58687" w14:textId="1619BC8E"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lang w:val="fr-CH"/>
        </w:rPr>
      </w:pPr>
      <w:r w:rsidRPr="00116D26">
        <w:rPr>
          <w:color w:val="000000" w:themeColor="text1"/>
          <w:sz w:val="20"/>
          <w:szCs w:val="20"/>
          <w:lang w:val="fr-CH"/>
        </w:rPr>
        <w:tab/>
        <w:t>I.</w:t>
      </w:r>
      <w:r w:rsidRPr="00116D26">
        <w:rPr>
          <w:color w:val="000000" w:themeColor="text1"/>
          <w:sz w:val="20"/>
          <w:szCs w:val="20"/>
          <w:lang w:val="fr-CH"/>
        </w:rPr>
        <w:tab/>
        <w:t>Attendance</w:t>
      </w:r>
      <w:r w:rsidR="005C32E5" w:rsidRPr="00116D26">
        <w:rPr>
          <w:color w:val="000000" w:themeColor="text1"/>
          <w:sz w:val="20"/>
          <w:szCs w:val="20"/>
          <w:lang w:val="fr-CH"/>
        </w:rPr>
        <w:tab/>
      </w:r>
      <w:r w:rsidRPr="00116D26">
        <w:rPr>
          <w:color w:val="000000" w:themeColor="text1"/>
          <w:sz w:val="20"/>
          <w:szCs w:val="20"/>
          <w:lang w:val="fr-CH"/>
        </w:rPr>
        <w:tab/>
      </w:r>
      <w:r w:rsidR="00873831">
        <w:rPr>
          <w:color w:val="000000" w:themeColor="text1"/>
          <w:sz w:val="20"/>
          <w:szCs w:val="20"/>
          <w:lang w:val="fr-CH"/>
        </w:rPr>
        <w:t>156</w:t>
      </w:r>
    </w:p>
    <w:p w14:paraId="2EA58688" w14:textId="398DC108"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lang w:val="fr-CH"/>
        </w:rPr>
      </w:pPr>
      <w:r w:rsidRPr="00116D26">
        <w:rPr>
          <w:color w:val="000000" w:themeColor="text1"/>
          <w:sz w:val="20"/>
          <w:szCs w:val="20"/>
          <w:lang w:val="fr-CH"/>
        </w:rPr>
        <w:tab/>
        <w:t>II.</w:t>
      </w:r>
      <w:r w:rsidRPr="00116D26">
        <w:rPr>
          <w:color w:val="000000" w:themeColor="text1"/>
          <w:sz w:val="20"/>
          <w:szCs w:val="20"/>
          <w:lang w:val="fr-CH"/>
        </w:rPr>
        <w:tab/>
        <w:t>Agenda</w:t>
      </w:r>
      <w:r w:rsidRPr="00116D26">
        <w:rPr>
          <w:color w:val="000000" w:themeColor="text1"/>
          <w:sz w:val="20"/>
          <w:szCs w:val="20"/>
          <w:lang w:val="fr-CH"/>
        </w:rPr>
        <w:tab/>
      </w:r>
      <w:r w:rsidR="005C32E5" w:rsidRPr="00116D26">
        <w:rPr>
          <w:color w:val="000000" w:themeColor="text1"/>
          <w:sz w:val="20"/>
          <w:szCs w:val="20"/>
          <w:lang w:val="fr-CH"/>
        </w:rPr>
        <w:tab/>
      </w:r>
      <w:r w:rsidRPr="00116D26">
        <w:rPr>
          <w:color w:val="000000" w:themeColor="text1"/>
          <w:sz w:val="20"/>
          <w:szCs w:val="20"/>
          <w:lang w:val="fr-CH"/>
        </w:rPr>
        <w:tab/>
      </w:r>
      <w:r w:rsidR="00873831">
        <w:rPr>
          <w:color w:val="000000" w:themeColor="text1"/>
          <w:sz w:val="20"/>
          <w:szCs w:val="20"/>
          <w:lang w:val="fr-CH"/>
        </w:rPr>
        <w:t>164</w:t>
      </w:r>
    </w:p>
    <w:p w14:paraId="2EA58689" w14:textId="6FECF989"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lang w:val="fr-CH"/>
        </w:rPr>
        <w:tab/>
      </w:r>
      <w:r w:rsidRPr="00116D26">
        <w:rPr>
          <w:color w:val="000000" w:themeColor="text1"/>
          <w:sz w:val="20"/>
          <w:szCs w:val="20"/>
        </w:rPr>
        <w:t>III.</w:t>
      </w:r>
      <w:r w:rsidRPr="00116D26">
        <w:rPr>
          <w:color w:val="000000" w:themeColor="text1"/>
          <w:sz w:val="20"/>
          <w:szCs w:val="20"/>
        </w:rPr>
        <w:tab/>
        <w:t xml:space="preserve">Documents issued for the </w:t>
      </w:r>
      <w:r w:rsidR="00F26B03">
        <w:rPr>
          <w:color w:val="000000" w:themeColor="text1"/>
          <w:sz w:val="20"/>
          <w:szCs w:val="20"/>
        </w:rPr>
        <w:t>fortieth</w:t>
      </w:r>
      <w:r w:rsidRPr="00116D26">
        <w:rPr>
          <w:color w:val="000000" w:themeColor="text1"/>
          <w:sz w:val="20"/>
          <w:szCs w:val="20"/>
        </w:rPr>
        <w:t xml:space="preserve"> session</w:t>
      </w:r>
      <w:r w:rsidRPr="00116D26">
        <w:rPr>
          <w:color w:val="000000" w:themeColor="text1"/>
          <w:sz w:val="20"/>
          <w:szCs w:val="20"/>
        </w:rPr>
        <w:tab/>
      </w:r>
      <w:r w:rsidR="00873831">
        <w:rPr>
          <w:color w:val="000000" w:themeColor="text1"/>
          <w:sz w:val="20"/>
          <w:szCs w:val="20"/>
        </w:rPr>
        <w:tab/>
        <w:t>165</w:t>
      </w:r>
    </w:p>
    <w:p w14:paraId="2EA5868A" w14:textId="17C7CAA0"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t>IV.</w:t>
      </w:r>
      <w:r w:rsidRPr="00116D26">
        <w:rPr>
          <w:color w:val="000000" w:themeColor="text1"/>
          <w:sz w:val="20"/>
          <w:szCs w:val="20"/>
        </w:rPr>
        <w:tab/>
        <w:t xml:space="preserve">Special procedures mandate holders appointed by the Human Rights Council at its </w:t>
      </w:r>
      <w:r w:rsidR="005C32E5" w:rsidRPr="00116D26">
        <w:rPr>
          <w:color w:val="000000" w:themeColor="text1"/>
          <w:sz w:val="20"/>
          <w:szCs w:val="20"/>
        </w:rPr>
        <w:br/>
      </w:r>
      <w:r w:rsidRPr="00116D26">
        <w:rPr>
          <w:color w:val="000000" w:themeColor="text1"/>
          <w:sz w:val="20"/>
          <w:szCs w:val="20"/>
        </w:rPr>
        <w:tab/>
      </w:r>
      <w:r w:rsidRPr="00116D26">
        <w:rPr>
          <w:color w:val="000000" w:themeColor="text1"/>
          <w:sz w:val="20"/>
          <w:szCs w:val="20"/>
        </w:rPr>
        <w:tab/>
      </w:r>
      <w:r w:rsidR="00F26B03">
        <w:rPr>
          <w:color w:val="000000" w:themeColor="text1"/>
          <w:sz w:val="20"/>
          <w:szCs w:val="20"/>
        </w:rPr>
        <w:t>fortieth</w:t>
      </w:r>
      <w:r w:rsidRPr="00116D26">
        <w:rPr>
          <w:color w:val="000000" w:themeColor="text1"/>
          <w:sz w:val="20"/>
          <w:szCs w:val="20"/>
        </w:rPr>
        <w:t xml:space="preserve"> session</w:t>
      </w:r>
      <w:r w:rsidR="005C32E5" w:rsidRPr="00116D26">
        <w:rPr>
          <w:color w:val="000000" w:themeColor="text1"/>
          <w:sz w:val="20"/>
          <w:szCs w:val="20"/>
        </w:rPr>
        <w:tab/>
      </w:r>
      <w:r w:rsidRPr="00116D26">
        <w:rPr>
          <w:color w:val="000000" w:themeColor="text1"/>
          <w:sz w:val="20"/>
          <w:szCs w:val="20"/>
        </w:rPr>
        <w:tab/>
      </w:r>
      <w:r w:rsidR="00873831">
        <w:rPr>
          <w:color w:val="000000" w:themeColor="text1"/>
          <w:sz w:val="20"/>
          <w:szCs w:val="20"/>
        </w:rPr>
        <w:t>21</w:t>
      </w:r>
      <w:r w:rsidR="007969F7">
        <w:rPr>
          <w:color w:val="000000" w:themeColor="text1"/>
          <w:sz w:val="20"/>
          <w:szCs w:val="20"/>
        </w:rPr>
        <w:t>0</w:t>
      </w:r>
    </w:p>
    <w:p w14:paraId="7D0139D9" w14:textId="77777777" w:rsidR="00BC5F31" w:rsidRPr="00C16037" w:rsidRDefault="00F11B08" w:rsidP="00415787">
      <w:pPr>
        <w:pStyle w:val="HChG"/>
        <w:ind w:firstLine="0"/>
        <w:rPr>
          <w:color w:val="000000" w:themeColor="text1"/>
        </w:rPr>
      </w:pPr>
      <w:r w:rsidRPr="00116D26">
        <w:rPr>
          <w:color w:val="000000" w:themeColor="text1"/>
          <w:sz w:val="20"/>
          <w:szCs w:val="20"/>
        </w:rPr>
        <w:br w:type="page"/>
      </w:r>
      <w:r w:rsidRPr="00C16037">
        <w:rPr>
          <w:color w:val="000000" w:themeColor="text1"/>
        </w:rPr>
        <w:lastRenderedPageBreak/>
        <w:t>Part One</w:t>
      </w:r>
    </w:p>
    <w:p w14:paraId="2EA5868C" w14:textId="3CF07210" w:rsidR="00F11B08" w:rsidRPr="00C16037" w:rsidRDefault="00BC5F31" w:rsidP="00415787">
      <w:pPr>
        <w:pStyle w:val="HChG"/>
        <w:rPr>
          <w:color w:val="000000" w:themeColor="text1"/>
        </w:rPr>
      </w:pPr>
      <w:r w:rsidRPr="00C16037">
        <w:rPr>
          <w:color w:val="000000" w:themeColor="text1"/>
        </w:rPr>
        <w:tab/>
      </w:r>
      <w:r w:rsidRPr="00C16037">
        <w:rPr>
          <w:color w:val="000000" w:themeColor="text1"/>
        </w:rPr>
        <w:tab/>
      </w:r>
      <w:r w:rsidR="00F11B08" w:rsidRPr="00C16037">
        <w:rPr>
          <w:color w:val="000000" w:themeColor="text1"/>
        </w:rPr>
        <w:t>Resolutions</w:t>
      </w:r>
      <w:r w:rsidR="00983B76">
        <w:rPr>
          <w:color w:val="000000" w:themeColor="text1"/>
        </w:rPr>
        <w:t xml:space="preserve"> and</w:t>
      </w:r>
      <w:r w:rsidR="00F11B08" w:rsidRPr="00C16037">
        <w:rPr>
          <w:color w:val="000000" w:themeColor="text1"/>
        </w:rPr>
        <w:t xml:space="preserve"> decisions adopted by the Human Rights Council at its </w:t>
      </w:r>
      <w:r w:rsidR="00F26B03">
        <w:rPr>
          <w:color w:val="000000" w:themeColor="text1"/>
        </w:rPr>
        <w:t>fortieth</w:t>
      </w:r>
      <w:r w:rsidR="00F11B08" w:rsidRPr="00C16037">
        <w:rPr>
          <w:color w:val="000000" w:themeColor="text1"/>
        </w:rPr>
        <w:t xml:space="preserve"> session</w:t>
      </w:r>
      <w:bookmarkStart w:id="0" w:name="_Toc207440271"/>
      <w:bookmarkStart w:id="1" w:name="_Toc207516130"/>
      <w:bookmarkStart w:id="2" w:name="_Toc207701471"/>
      <w:bookmarkStart w:id="3" w:name="_Toc306617761"/>
      <w:bookmarkStart w:id="4" w:name="_Toc306693592"/>
      <w:bookmarkStart w:id="5" w:name="_Toc334793474"/>
      <w:bookmarkStart w:id="6" w:name="_Toc365373047"/>
    </w:p>
    <w:p w14:paraId="2EA5868D" w14:textId="208B2A6B" w:rsidR="00F11B08" w:rsidRDefault="00BC5F31" w:rsidP="00415787">
      <w:pPr>
        <w:pStyle w:val="HChG"/>
        <w:rPr>
          <w:color w:val="000000" w:themeColor="text1"/>
        </w:rPr>
      </w:pPr>
      <w:r w:rsidRPr="00C16037">
        <w:rPr>
          <w:color w:val="000000" w:themeColor="text1"/>
        </w:rPr>
        <w:tab/>
        <w:t>I.</w:t>
      </w:r>
      <w:r w:rsidRPr="00C16037">
        <w:rPr>
          <w:color w:val="000000" w:themeColor="text1"/>
        </w:rPr>
        <w:tab/>
      </w:r>
      <w:r w:rsidR="00F11B08" w:rsidRPr="00C16037">
        <w:rPr>
          <w:color w:val="000000" w:themeColor="text1"/>
        </w:rPr>
        <w:t>Resolutions</w:t>
      </w:r>
      <w:bookmarkEnd w:id="0"/>
      <w:bookmarkEnd w:id="1"/>
      <w:bookmarkEnd w:id="2"/>
      <w:bookmarkEnd w:id="3"/>
      <w:bookmarkEnd w:id="4"/>
      <w:bookmarkEnd w:id="5"/>
      <w:bookmarkEnd w:id="6"/>
    </w:p>
    <w:tbl>
      <w:tblPr>
        <w:tblW w:w="808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921"/>
        <w:gridCol w:w="5316"/>
        <w:gridCol w:w="1843"/>
      </w:tblGrid>
      <w:tr w:rsidR="00983B76" w:rsidRPr="009274E0" w14:paraId="598EE0E5" w14:textId="77777777" w:rsidTr="00983B76">
        <w:trPr>
          <w:cantSplit/>
          <w:tblHeader/>
        </w:trPr>
        <w:tc>
          <w:tcPr>
            <w:tcW w:w="921" w:type="dxa"/>
            <w:tcBorders>
              <w:top w:val="single" w:sz="4" w:space="0" w:color="auto"/>
              <w:left w:val="nil"/>
              <w:bottom w:val="single" w:sz="12" w:space="0" w:color="auto"/>
              <w:right w:val="nil"/>
            </w:tcBorders>
            <w:vAlign w:val="bottom"/>
            <w:hideMark/>
          </w:tcPr>
          <w:p w14:paraId="6A190E82" w14:textId="77777777" w:rsidR="00983B76" w:rsidRPr="009274E0" w:rsidRDefault="00983B76" w:rsidP="00983B76">
            <w:pPr>
              <w:spacing w:before="80" w:after="80" w:line="200" w:lineRule="exact"/>
              <w:ind w:right="113"/>
              <w:rPr>
                <w:i/>
                <w:sz w:val="16"/>
              </w:rPr>
            </w:pPr>
            <w:bookmarkStart w:id="7" w:name="_Toc306617762"/>
            <w:bookmarkStart w:id="8" w:name="_Toc306693593"/>
            <w:bookmarkStart w:id="9" w:name="_Toc334793475"/>
            <w:bookmarkStart w:id="10" w:name="_Toc365373048"/>
            <w:r w:rsidRPr="009274E0">
              <w:rPr>
                <w:i/>
                <w:sz w:val="16"/>
              </w:rPr>
              <w:t>Resolution</w:t>
            </w:r>
          </w:p>
        </w:tc>
        <w:tc>
          <w:tcPr>
            <w:tcW w:w="5316" w:type="dxa"/>
            <w:tcBorders>
              <w:top w:val="single" w:sz="4" w:space="0" w:color="auto"/>
              <w:left w:val="nil"/>
              <w:bottom w:val="single" w:sz="12" w:space="0" w:color="auto"/>
              <w:right w:val="nil"/>
            </w:tcBorders>
            <w:vAlign w:val="bottom"/>
            <w:hideMark/>
          </w:tcPr>
          <w:p w14:paraId="5E4E7016" w14:textId="77777777" w:rsidR="00983B76" w:rsidRPr="009274E0" w:rsidRDefault="00983B76" w:rsidP="00983B76">
            <w:pPr>
              <w:spacing w:before="80" w:after="80" w:line="200" w:lineRule="exact"/>
              <w:ind w:right="113"/>
              <w:rPr>
                <w:i/>
                <w:sz w:val="16"/>
              </w:rPr>
            </w:pPr>
            <w:r w:rsidRPr="009274E0">
              <w:rPr>
                <w:i/>
                <w:sz w:val="16"/>
              </w:rPr>
              <w:t>Title</w:t>
            </w:r>
          </w:p>
        </w:tc>
        <w:tc>
          <w:tcPr>
            <w:tcW w:w="1843" w:type="dxa"/>
            <w:tcBorders>
              <w:top w:val="single" w:sz="4" w:space="0" w:color="auto"/>
              <w:left w:val="nil"/>
              <w:bottom w:val="single" w:sz="12" w:space="0" w:color="auto"/>
              <w:right w:val="nil"/>
            </w:tcBorders>
            <w:vAlign w:val="bottom"/>
            <w:hideMark/>
          </w:tcPr>
          <w:p w14:paraId="022ED430" w14:textId="77777777" w:rsidR="00983B76" w:rsidRPr="009274E0" w:rsidRDefault="00983B76" w:rsidP="00983B76">
            <w:pPr>
              <w:spacing w:before="80" w:after="80" w:line="200" w:lineRule="exact"/>
              <w:ind w:right="113"/>
              <w:rPr>
                <w:i/>
                <w:sz w:val="16"/>
              </w:rPr>
            </w:pPr>
            <w:r w:rsidRPr="009274E0">
              <w:rPr>
                <w:i/>
                <w:sz w:val="16"/>
              </w:rPr>
              <w:t>Date of adoption</w:t>
            </w:r>
          </w:p>
        </w:tc>
      </w:tr>
      <w:tr w:rsidR="00983B76" w:rsidRPr="009274E0" w14:paraId="392D93B0" w14:textId="77777777" w:rsidTr="00983B76">
        <w:trPr>
          <w:cantSplit/>
          <w:trHeight w:hRule="exact" w:val="113"/>
          <w:tblHeader/>
        </w:trPr>
        <w:tc>
          <w:tcPr>
            <w:tcW w:w="921" w:type="dxa"/>
            <w:tcBorders>
              <w:top w:val="single" w:sz="12" w:space="0" w:color="auto"/>
              <w:left w:val="nil"/>
              <w:bottom w:val="nil"/>
              <w:right w:val="nil"/>
            </w:tcBorders>
          </w:tcPr>
          <w:p w14:paraId="59569885" w14:textId="77777777" w:rsidR="00983B76" w:rsidRPr="009274E0" w:rsidRDefault="00983B76" w:rsidP="00983B76">
            <w:pPr>
              <w:spacing w:before="40" w:after="120" w:line="220" w:lineRule="exact"/>
              <w:ind w:right="113"/>
            </w:pPr>
          </w:p>
        </w:tc>
        <w:tc>
          <w:tcPr>
            <w:tcW w:w="5316" w:type="dxa"/>
            <w:tcBorders>
              <w:top w:val="single" w:sz="12" w:space="0" w:color="auto"/>
              <w:left w:val="nil"/>
              <w:bottom w:val="nil"/>
              <w:right w:val="nil"/>
            </w:tcBorders>
          </w:tcPr>
          <w:p w14:paraId="6A26034D" w14:textId="77777777" w:rsidR="00983B76" w:rsidRPr="009274E0" w:rsidRDefault="00983B76" w:rsidP="00983B76">
            <w:pPr>
              <w:spacing w:before="40" w:after="120" w:line="220" w:lineRule="exact"/>
              <w:ind w:right="113"/>
            </w:pPr>
          </w:p>
        </w:tc>
        <w:tc>
          <w:tcPr>
            <w:tcW w:w="1843" w:type="dxa"/>
            <w:tcBorders>
              <w:top w:val="single" w:sz="12" w:space="0" w:color="auto"/>
              <w:left w:val="nil"/>
              <w:bottom w:val="nil"/>
              <w:right w:val="nil"/>
            </w:tcBorders>
          </w:tcPr>
          <w:p w14:paraId="4F598AC5" w14:textId="77777777" w:rsidR="00983B76" w:rsidRPr="009274E0" w:rsidRDefault="00983B76" w:rsidP="00983B76">
            <w:pPr>
              <w:spacing w:before="40" w:after="120" w:line="220" w:lineRule="exact"/>
              <w:ind w:right="113"/>
            </w:pPr>
          </w:p>
        </w:tc>
      </w:tr>
      <w:tr w:rsidR="00983B76" w:rsidRPr="009274E0" w14:paraId="0FD912A5" w14:textId="77777777" w:rsidTr="00983B76">
        <w:trPr>
          <w:cantSplit/>
        </w:trPr>
        <w:tc>
          <w:tcPr>
            <w:tcW w:w="921" w:type="dxa"/>
            <w:tcBorders>
              <w:top w:val="nil"/>
              <w:left w:val="nil"/>
              <w:bottom w:val="nil"/>
              <w:right w:val="nil"/>
            </w:tcBorders>
          </w:tcPr>
          <w:p w14:paraId="2487A4E6" w14:textId="533AF861" w:rsidR="00983B76" w:rsidRPr="00983B76" w:rsidRDefault="00983B76" w:rsidP="00983B76">
            <w:pPr>
              <w:spacing w:before="40" w:after="120" w:line="220" w:lineRule="exact"/>
              <w:ind w:right="113"/>
              <w:rPr>
                <w:sz w:val="20"/>
                <w:szCs w:val="20"/>
              </w:rPr>
            </w:pPr>
            <w:r>
              <w:rPr>
                <w:sz w:val="20"/>
                <w:szCs w:val="20"/>
              </w:rPr>
              <w:t>40</w:t>
            </w:r>
            <w:r w:rsidRPr="00983B76">
              <w:rPr>
                <w:sz w:val="20"/>
                <w:szCs w:val="20"/>
              </w:rPr>
              <w:t>/1</w:t>
            </w:r>
          </w:p>
        </w:tc>
        <w:tc>
          <w:tcPr>
            <w:tcW w:w="5316" w:type="dxa"/>
            <w:tcBorders>
              <w:top w:val="nil"/>
              <w:left w:val="nil"/>
              <w:bottom w:val="nil"/>
              <w:right w:val="nil"/>
            </w:tcBorders>
          </w:tcPr>
          <w:p w14:paraId="02CDDCDB" w14:textId="01EBBFA4" w:rsidR="00983B76" w:rsidRPr="00983B76" w:rsidRDefault="00983B76" w:rsidP="00983B76">
            <w:pPr>
              <w:spacing w:before="40" w:after="120" w:line="220" w:lineRule="exact"/>
              <w:ind w:right="113"/>
              <w:rPr>
                <w:sz w:val="20"/>
                <w:szCs w:val="20"/>
              </w:rPr>
            </w:pPr>
            <w:r w:rsidRPr="00983B76">
              <w:rPr>
                <w:sz w:val="20"/>
                <w:szCs w:val="20"/>
              </w:rPr>
              <w:t>Promoting reconciliation, accountability and human rights in Sri Lanka</w:t>
            </w:r>
          </w:p>
        </w:tc>
        <w:tc>
          <w:tcPr>
            <w:tcW w:w="1843" w:type="dxa"/>
            <w:tcBorders>
              <w:top w:val="nil"/>
              <w:left w:val="nil"/>
              <w:bottom w:val="nil"/>
              <w:right w:val="nil"/>
            </w:tcBorders>
          </w:tcPr>
          <w:p w14:paraId="2E9E741C" w14:textId="2A0E4749" w:rsidR="00983B76" w:rsidRPr="00983B76" w:rsidRDefault="00983B76" w:rsidP="00983B76">
            <w:pPr>
              <w:spacing w:before="40" w:after="120" w:line="220" w:lineRule="exact"/>
              <w:ind w:right="113"/>
              <w:rPr>
                <w:sz w:val="20"/>
                <w:szCs w:val="20"/>
              </w:rPr>
            </w:pPr>
            <w:r w:rsidRPr="00983B76">
              <w:rPr>
                <w:sz w:val="20"/>
                <w:szCs w:val="20"/>
              </w:rPr>
              <w:t>2</w:t>
            </w:r>
            <w:r>
              <w:rPr>
                <w:sz w:val="20"/>
                <w:szCs w:val="20"/>
              </w:rPr>
              <w:t>1</w:t>
            </w:r>
            <w:r w:rsidRPr="00983B76">
              <w:rPr>
                <w:sz w:val="20"/>
                <w:szCs w:val="20"/>
              </w:rPr>
              <w:t xml:space="preserve"> </w:t>
            </w:r>
            <w:r>
              <w:rPr>
                <w:sz w:val="20"/>
                <w:szCs w:val="20"/>
              </w:rPr>
              <w:t>March 2019</w:t>
            </w:r>
          </w:p>
        </w:tc>
      </w:tr>
      <w:tr w:rsidR="00983B76" w:rsidRPr="009274E0" w14:paraId="0B101BC1" w14:textId="77777777" w:rsidTr="00983B76">
        <w:trPr>
          <w:cantSplit/>
        </w:trPr>
        <w:tc>
          <w:tcPr>
            <w:tcW w:w="921" w:type="dxa"/>
            <w:tcBorders>
              <w:top w:val="nil"/>
              <w:left w:val="nil"/>
              <w:bottom w:val="nil"/>
              <w:right w:val="nil"/>
            </w:tcBorders>
          </w:tcPr>
          <w:p w14:paraId="15ACFE77" w14:textId="0ABE856E" w:rsidR="00983B76" w:rsidRPr="00983B76" w:rsidRDefault="00983B76" w:rsidP="00983B76">
            <w:pPr>
              <w:spacing w:before="40" w:after="120" w:line="220" w:lineRule="exact"/>
              <w:ind w:right="113"/>
              <w:rPr>
                <w:sz w:val="20"/>
                <w:szCs w:val="20"/>
              </w:rPr>
            </w:pPr>
            <w:r>
              <w:rPr>
                <w:sz w:val="20"/>
                <w:szCs w:val="20"/>
              </w:rPr>
              <w:t>40/2</w:t>
            </w:r>
          </w:p>
        </w:tc>
        <w:tc>
          <w:tcPr>
            <w:tcW w:w="5316" w:type="dxa"/>
            <w:tcBorders>
              <w:top w:val="nil"/>
              <w:left w:val="nil"/>
              <w:bottom w:val="nil"/>
              <w:right w:val="nil"/>
            </w:tcBorders>
          </w:tcPr>
          <w:p w14:paraId="28AAC963" w14:textId="11654BAA" w:rsidR="00983B76" w:rsidRPr="00983B76" w:rsidRDefault="00983B76" w:rsidP="00983B76">
            <w:pPr>
              <w:spacing w:before="40" w:after="120" w:line="220" w:lineRule="exact"/>
              <w:ind w:right="113"/>
              <w:rPr>
                <w:sz w:val="20"/>
                <w:szCs w:val="20"/>
              </w:rPr>
            </w:pPr>
            <w:r w:rsidRPr="00983B76">
              <w:rPr>
                <w:sz w:val="20"/>
                <w:szCs w:val="20"/>
              </w:rPr>
              <w:t>Promotion and protection of human rights in Nicaragua</w:t>
            </w:r>
          </w:p>
        </w:tc>
        <w:tc>
          <w:tcPr>
            <w:tcW w:w="1843" w:type="dxa"/>
            <w:tcBorders>
              <w:top w:val="nil"/>
              <w:left w:val="nil"/>
              <w:bottom w:val="nil"/>
              <w:right w:val="nil"/>
            </w:tcBorders>
          </w:tcPr>
          <w:p w14:paraId="3AFCB09C" w14:textId="19644E72" w:rsidR="00983B76" w:rsidRPr="00983B76" w:rsidRDefault="00983B76" w:rsidP="00983B76">
            <w:pPr>
              <w:spacing w:before="40" w:after="120" w:line="220" w:lineRule="exact"/>
              <w:ind w:right="113"/>
              <w:rPr>
                <w:sz w:val="20"/>
                <w:szCs w:val="20"/>
              </w:rPr>
            </w:pPr>
            <w:r w:rsidRPr="00983B76">
              <w:rPr>
                <w:sz w:val="20"/>
                <w:szCs w:val="20"/>
              </w:rPr>
              <w:t>2</w:t>
            </w:r>
            <w:r>
              <w:rPr>
                <w:sz w:val="20"/>
                <w:szCs w:val="20"/>
              </w:rPr>
              <w:t>1</w:t>
            </w:r>
            <w:r w:rsidRPr="00983B76">
              <w:rPr>
                <w:sz w:val="20"/>
                <w:szCs w:val="20"/>
              </w:rPr>
              <w:t xml:space="preserve"> </w:t>
            </w:r>
            <w:r>
              <w:rPr>
                <w:sz w:val="20"/>
                <w:szCs w:val="20"/>
              </w:rPr>
              <w:t>March 2019</w:t>
            </w:r>
          </w:p>
        </w:tc>
      </w:tr>
      <w:tr w:rsidR="000B3925" w:rsidRPr="009274E0" w14:paraId="69BBFCF4" w14:textId="77777777" w:rsidTr="00983B76">
        <w:trPr>
          <w:cantSplit/>
        </w:trPr>
        <w:tc>
          <w:tcPr>
            <w:tcW w:w="921" w:type="dxa"/>
            <w:tcBorders>
              <w:top w:val="nil"/>
              <w:left w:val="nil"/>
              <w:bottom w:val="nil"/>
              <w:right w:val="nil"/>
            </w:tcBorders>
          </w:tcPr>
          <w:p w14:paraId="04056EBE" w14:textId="72D928B6" w:rsidR="000B3925" w:rsidRPr="00983B76" w:rsidRDefault="000B3925" w:rsidP="000B3925">
            <w:pPr>
              <w:spacing w:before="40" w:after="120" w:line="220" w:lineRule="exact"/>
              <w:ind w:right="113"/>
              <w:rPr>
                <w:sz w:val="20"/>
                <w:szCs w:val="20"/>
              </w:rPr>
            </w:pPr>
            <w:r>
              <w:rPr>
                <w:sz w:val="20"/>
                <w:szCs w:val="20"/>
              </w:rPr>
              <w:t>40/3</w:t>
            </w:r>
          </w:p>
        </w:tc>
        <w:tc>
          <w:tcPr>
            <w:tcW w:w="5316" w:type="dxa"/>
            <w:tcBorders>
              <w:top w:val="nil"/>
              <w:left w:val="nil"/>
              <w:bottom w:val="nil"/>
              <w:right w:val="nil"/>
            </w:tcBorders>
          </w:tcPr>
          <w:p w14:paraId="5F762844" w14:textId="6C665702" w:rsidR="000B3925" w:rsidRPr="00983B76" w:rsidRDefault="000B3925" w:rsidP="000B3925">
            <w:pPr>
              <w:spacing w:before="40" w:after="120" w:line="220" w:lineRule="exact"/>
              <w:ind w:right="113"/>
              <w:rPr>
                <w:sz w:val="20"/>
                <w:szCs w:val="20"/>
              </w:rPr>
            </w:pPr>
            <w:r w:rsidRPr="000B3925">
              <w:rPr>
                <w:sz w:val="20"/>
                <w:szCs w:val="20"/>
              </w:rPr>
              <w:t>The negative impact of unilateral coercive measures on the enjoyment of human rights</w:t>
            </w:r>
          </w:p>
        </w:tc>
        <w:tc>
          <w:tcPr>
            <w:tcW w:w="1843" w:type="dxa"/>
            <w:tcBorders>
              <w:top w:val="nil"/>
              <w:left w:val="nil"/>
              <w:bottom w:val="nil"/>
              <w:right w:val="nil"/>
            </w:tcBorders>
          </w:tcPr>
          <w:p w14:paraId="52F3B037" w14:textId="6A9EFD4B" w:rsidR="000B3925" w:rsidRPr="00983B76" w:rsidRDefault="000B3925" w:rsidP="000B3925">
            <w:pPr>
              <w:spacing w:before="40" w:after="120" w:line="220" w:lineRule="exact"/>
              <w:ind w:right="113"/>
              <w:rPr>
                <w:sz w:val="20"/>
                <w:szCs w:val="20"/>
              </w:rPr>
            </w:pPr>
            <w:r w:rsidRPr="005F4964">
              <w:rPr>
                <w:sz w:val="20"/>
                <w:szCs w:val="20"/>
              </w:rPr>
              <w:t>21 March 2019</w:t>
            </w:r>
          </w:p>
        </w:tc>
      </w:tr>
      <w:tr w:rsidR="000B3925" w:rsidRPr="009274E0" w14:paraId="6C2232A3" w14:textId="77777777" w:rsidTr="00983B76">
        <w:trPr>
          <w:cantSplit/>
        </w:trPr>
        <w:tc>
          <w:tcPr>
            <w:tcW w:w="921" w:type="dxa"/>
            <w:tcBorders>
              <w:top w:val="nil"/>
              <w:left w:val="nil"/>
              <w:bottom w:val="nil"/>
              <w:right w:val="nil"/>
            </w:tcBorders>
          </w:tcPr>
          <w:p w14:paraId="6BE407B6" w14:textId="0050713A" w:rsidR="000B3925" w:rsidRPr="00983B76" w:rsidRDefault="000B3925" w:rsidP="000B3925">
            <w:pPr>
              <w:spacing w:before="40" w:after="120" w:line="220" w:lineRule="exact"/>
              <w:ind w:right="113"/>
              <w:rPr>
                <w:sz w:val="20"/>
                <w:szCs w:val="20"/>
              </w:rPr>
            </w:pPr>
            <w:r>
              <w:rPr>
                <w:sz w:val="20"/>
                <w:szCs w:val="20"/>
              </w:rPr>
              <w:t>40/4</w:t>
            </w:r>
          </w:p>
        </w:tc>
        <w:tc>
          <w:tcPr>
            <w:tcW w:w="5316" w:type="dxa"/>
            <w:tcBorders>
              <w:top w:val="nil"/>
              <w:left w:val="nil"/>
              <w:bottom w:val="nil"/>
              <w:right w:val="nil"/>
            </w:tcBorders>
          </w:tcPr>
          <w:p w14:paraId="2608C09D" w14:textId="59B6EEC6" w:rsidR="000B3925" w:rsidRPr="00983B76" w:rsidRDefault="000B3925" w:rsidP="000B3925">
            <w:pPr>
              <w:spacing w:before="40" w:after="120" w:line="220" w:lineRule="exact"/>
              <w:ind w:right="113"/>
              <w:rPr>
                <w:sz w:val="20"/>
                <w:szCs w:val="20"/>
              </w:rPr>
            </w:pPr>
            <w:r w:rsidRPr="000B3925">
              <w:rPr>
                <w:sz w:val="20"/>
                <w:szCs w:val="20"/>
              </w:rPr>
              <w:t>The negative impact of the non-repatriation of funds of illicit origin to the countries of origin on the enjoyment of human rights, and the importance of improving international cooperation</w:t>
            </w:r>
          </w:p>
        </w:tc>
        <w:tc>
          <w:tcPr>
            <w:tcW w:w="1843" w:type="dxa"/>
            <w:tcBorders>
              <w:top w:val="nil"/>
              <w:left w:val="nil"/>
              <w:bottom w:val="nil"/>
              <w:right w:val="nil"/>
            </w:tcBorders>
          </w:tcPr>
          <w:p w14:paraId="38D2054D" w14:textId="70681E47" w:rsidR="000B3925" w:rsidRPr="00983B76" w:rsidRDefault="000B3925" w:rsidP="000B3925">
            <w:pPr>
              <w:spacing w:before="40" w:after="120" w:line="220" w:lineRule="exact"/>
              <w:ind w:right="113"/>
              <w:rPr>
                <w:sz w:val="20"/>
                <w:szCs w:val="20"/>
              </w:rPr>
            </w:pPr>
            <w:r w:rsidRPr="005F4964">
              <w:rPr>
                <w:sz w:val="20"/>
                <w:szCs w:val="20"/>
              </w:rPr>
              <w:t>21 March 2019</w:t>
            </w:r>
          </w:p>
        </w:tc>
      </w:tr>
      <w:tr w:rsidR="000B3925" w:rsidRPr="009274E0" w14:paraId="5B9200A5" w14:textId="77777777" w:rsidTr="00983B76">
        <w:trPr>
          <w:cantSplit/>
        </w:trPr>
        <w:tc>
          <w:tcPr>
            <w:tcW w:w="921" w:type="dxa"/>
            <w:tcBorders>
              <w:top w:val="nil"/>
              <w:left w:val="nil"/>
              <w:bottom w:val="nil"/>
              <w:right w:val="nil"/>
            </w:tcBorders>
          </w:tcPr>
          <w:p w14:paraId="76FD84FB" w14:textId="221937B3" w:rsidR="000B3925" w:rsidRPr="00983B76" w:rsidRDefault="000B3925" w:rsidP="000B3925">
            <w:pPr>
              <w:spacing w:before="40" w:after="120" w:line="220" w:lineRule="exact"/>
              <w:ind w:right="113"/>
              <w:rPr>
                <w:sz w:val="20"/>
                <w:szCs w:val="20"/>
              </w:rPr>
            </w:pPr>
            <w:r>
              <w:rPr>
                <w:sz w:val="20"/>
                <w:szCs w:val="20"/>
              </w:rPr>
              <w:t>40/5</w:t>
            </w:r>
          </w:p>
        </w:tc>
        <w:tc>
          <w:tcPr>
            <w:tcW w:w="5316" w:type="dxa"/>
            <w:tcBorders>
              <w:top w:val="nil"/>
              <w:left w:val="nil"/>
              <w:bottom w:val="nil"/>
              <w:right w:val="nil"/>
            </w:tcBorders>
          </w:tcPr>
          <w:p w14:paraId="76E3956E" w14:textId="6C9BA1D9" w:rsidR="000B3925" w:rsidRPr="00983B76" w:rsidRDefault="000B3925" w:rsidP="000B3925">
            <w:pPr>
              <w:spacing w:before="40" w:after="120" w:line="220" w:lineRule="exact"/>
              <w:ind w:right="113"/>
              <w:rPr>
                <w:sz w:val="20"/>
                <w:szCs w:val="20"/>
              </w:rPr>
            </w:pPr>
            <w:r w:rsidRPr="000B3925">
              <w:rPr>
                <w:sz w:val="20"/>
                <w:szCs w:val="20"/>
              </w:rPr>
              <w:t>Elimination of discrimination against women and girls in sport</w:t>
            </w:r>
          </w:p>
        </w:tc>
        <w:tc>
          <w:tcPr>
            <w:tcW w:w="1843" w:type="dxa"/>
            <w:tcBorders>
              <w:top w:val="nil"/>
              <w:left w:val="nil"/>
              <w:bottom w:val="nil"/>
              <w:right w:val="nil"/>
            </w:tcBorders>
          </w:tcPr>
          <w:p w14:paraId="13E88DBB" w14:textId="655E898B" w:rsidR="000B3925" w:rsidRPr="00983B76" w:rsidRDefault="000B3925" w:rsidP="000B3925">
            <w:pPr>
              <w:spacing w:before="40" w:after="120" w:line="220" w:lineRule="exact"/>
              <w:ind w:right="113"/>
              <w:rPr>
                <w:sz w:val="20"/>
                <w:szCs w:val="20"/>
              </w:rPr>
            </w:pPr>
            <w:r w:rsidRPr="005F4964">
              <w:rPr>
                <w:sz w:val="20"/>
                <w:szCs w:val="20"/>
              </w:rPr>
              <w:t>21 March 2019</w:t>
            </w:r>
          </w:p>
        </w:tc>
      </w:tr>
      <w:tr w:rsidR="000B3925" w:rsidRPr="009274E0" w14:paraId="60034D87" w14:textId="77777777" w:rsidTr="00983B76">
        <w:trPr>
          <w:cantSplit/>
        </w:trPr>
        <w:tc>
          <w:tcPr>
            <w:tcW w:w="921" w:type="dxa"/>
            <w:tcBorders>
              <w:top w:val="nil"/>
              <w:left w:val="nil"/>
              <w:bottom w:val="nil"/>
              <w:right w:val="nil"/>
            </w:tcBorders>
          </w:tcPr>
          <w:p w14:paraId="0B2F9F3F" w14:textId="13D7A953" w:rsidR="000B3925" w:rsidRPr="00983B76" w:rsidRDefault="000B3925" w:rsidP="000B3925">
            <w:pPr>
              <w:spacing w:before="40" w:after="120" w:line="220" w:lineRule="exact"/>
              <w:ind w:right="113"/>
              <w:rPr>
                <w:sz w:val="20"/>
                <w:szCs w:val="20"/>
              </w:rPr>
            </w:pPr>
            <w:r>
              <w:rPr>
                <w:sz w:val="20"/>
                <w:szCs w:val="20"/>
              </w:rPr>
              <w:t>40/6</w:t>
            </w:r>
          </w:p>
        </w:tc>
        <w:tc>
          <w:tcPr>
            <w:tcW w:w="5316" w:type="dxa"/>
            <w:tcBorders>
              <w:top w:val="nil"/>
              <w:left w:val="nil"/>
              <w:bottom w:val="nil"/>
              <w:right w:val="nil"/>
            </w:tcBorders>
          </w:tcPr>
          <w:p w14:paraId="3CFCFD8B" w14:textId="3F66E348" w:rsidR="000B3925" w:rsidRPr="00983B76" w:rsidRDefault="000B3925" w:rsidP="000B3925">
            <w:pPr>
              <w:spacing w:before="40" w:after="120" w:line="220" w:lineRule="exact"/>
              <w:ind w:right="113"/>
              <w:rPr>
                <w:sz w:val="20"/>
                <w:szCs w:val="20"/>
              </w:rPr>
            </w:pPr>
            <w:r w:rsidRPr="000B3925">
              <w:rPr>
                <w:sz w:val="20"/>
                <w:szCs w:val="20"/>
              </w:rPr>
              <w:t>Promotion of the enjoyment of the cultural rights of everyone and respect for cultural diversity</w:t>
            </w:r>
          </w:p>
        </w:tc>
        <w:tc>
          <w:tcPr>
            <w:tcW w:w="1843" w:type="dxa"/>
            <w:tcBorders>
              <w:top w:val="nil"/>
              <w:left w:val="nil"/>
              <w:bottom w:val="nil"/>
              <w:right w:val="nil"/>
            </w:tcBorders>
          </w:tcPr>
          <w:p w14:paraId="5097862D" w14:textId="76CF8E28" w:rsidR="000B3925" w:rsidRPr="00983B76" w:rsidRDefault="000B3925" w:rsidP="000B3925">
            <w:pPr>
              <w:spacing w:before="40" w:after="120" w:line="220" w:lineRule="exact"/>
              <w:ind w:right="113"/>
              <w:rPr>
                <w:sz w:val="20"/>
                <w:szCs w:val="20"/>
              </w:rPr>
            </w:pPr>
            <w:r w:rsidRPr="005F4964">
              <w:rPr>
                <w:sz w:val="20"/>
                <w:szCs w:val="20"/>
              </w:rPr>
              <w:t>21 March 2019</w:t>
            </w:r>
          </w:p>
        </w:tc>
      </w:tr>
      <w:tr w:rsidR="000B3925" w:rsidRPr="009274E0" w14:paraId="3BD33DEB" w14:textId="77777777" w:rsidTr="00983B76">
        <w:trPr>
          <w:cantSplit/>
        </w:trPr>
        <w:tc>
          <w:tcPr>
            <w:tcW w:w="921" w:type="dxa"/>
            <w:tcBorders>
              <w:top w:val="nil"/>
              <w:left w:val="nil"/>
              <w:bottom w:val="nil"/>
              <w:right w:val="nil"/>
            </w:tcBorders>
          </w:tcPr>
          <w:p w14:paraId="79C2246F" w14:textId="7266E4A6" w:rsidR="000B3925" w:rsidRPr="00983B76" w:rsidRDefault="00550215" w:rsidP="000B3925">
            <w:pPr>
              <w:spacing w:before="40" w:after="120" w:line="220" w:lineRule="exact"/>
              <w:ind w:right="113"/>
              <w:rPr>
                <w:sz w:val="20"/>
                <w:szCs w:val="20"/>
              </w:rPr>
            </w:pPr>
            <w:r>
              <w:rPr>
                <w:sz w:val="20"/>
                <w:szCs w:val="20"/>
              </w:rPr>
              <w:t>40/7</w:t>
            </w:r>
          </w:p>
        </w:tc>
        <w:tc>
          <w:tcPr>
            <w:tcW w:w="5316" w:type="dxa"/>
            <w:tcBorders>
              <w:top w:val="nil"/>
              <w:left w:val="nil"/>
              <w:bottom w:val="nil"/>
              <w:right w:val="nil"/>
            </w:tcBorders>
          </w:tcPr>
          <w:p w14:paraId="27FCA1D9" w14:textId="13E3FF62" w:rsidR="000B3925" w:rsidRPr="00983B76" w:rsidRDefault="00550215" w:rsidP="000B3925">
            <w:pPr>
              <w:spacing w:before="40" w:after="120" w:line="220" w:lineRule="exact"/>
              <w:ind w:right="113"/>
              <w:rPr>
                <w:sz w:val="20"/>
                <w:szCs w:val="20"/>
              </w:rPr>
            </w:pPr>
            <w:r w:rsidRPr="00550215">
              <w:rPr>
                <w:sz w:val="20"/>
                <w:szCs w:val="20"/>
              </w:rPr>
              <w:t>The right to food</w:t>
            </w:r>
          </w:p>
        </w:tc>
        <w:tc>
          <w:tcPr>
            <w:tcW w:w="1843" w:type="dxa"/>
            <w:tcBorders>
              <w:top w:val="nil"/>
              <w:left w:val="nil"/>
              <w:bottom w:val="nil"/>
              <w:right w:val="nil"/>
            </w:tcBorders>
          </w:tcPr>
          <w:p w14:paraId="21D9CE7C" w14:textId="138D8D9E" w:rsidR="000B3925" w:rsidRPr="00983B76" w:rsidRDefault="000B3925" w:rsidP="000B3925">
            <w:pPr>
              <w:spacing w:before="40" w:after="120" w:line="220" w:lineRule="exact"/>
              <w:ind w:right="113"/>
              <w:rPr>
                <w:sz w:val="20"/>
                <w:szCs w:val="20"/>
              </w:rPr>
            </w:pPr>
            <w:r w:rsidRPr="005F4964">
              <w:rPr>
                <w:sz w:val="20"/>
                <w:szCs w:val="20"/>
              </w:rPr>
              <w:t>21 March 2019</w:t>
            </w:r>
          </w:p>
        </w:tc>
      </w:tr>
      <w:tr w:rsidR="000B3925" w:rsidRPr="009274E0" w14:paraId="65F8A3B4" w14:textId="77777777" w:rsidTr="00983B76">
        <w:trPr>
          <w:cantSplit/>
        </w:trPr>
        <w:tc>
          <w:tcPr>
            <w:tcW w:w="921" w:type="dxa"/>
            <w:tcBorders>
              <w:top w:val="nil"/>
              <w:left w:val="nil"/>
              <w:bottom w:val="nil"/>
              <w:right w:val="nil"/>
            </w:tcBorders>
          </w:tcPr>
          <w:p w14:paraId="31FB362A" w14:textId="48E755F0" w:rsidR="000B3925" w:rsidRPr="00983B76" w:rsidRDefault="00550215" w:rsidP="000B3925">
            <w:pPr>
              <w:spacing w:before="40" w:after="120" w:line="220" w:lineRule="exact"/>
              <w:ind w:right="113"/>
              <w:rPr>
                <w:sz w:val="20"/>
                <w:szCs w:val="20"/>
              </w:rPr>
            </w:pPr>
            <w:r>
              <w:rPr>
                <w:sz w:val="20"/>
                <w:szCs w:val="20"/>
              </w:rPr>
              <w:t>40/8</w:t>
            </w:r>
          </w:p>
        </w:tc>
        <w:tc>
          <w:tcPr>
            <w:tcW w:w="5316" w:type="dxa"/>
            <w:tcBorders>
              <w:top w:val="nil"/>
              <w:left w:val="nil"/>
              <w:bottom w:val="nil"/>
              <w:right w:val="nil"/>
            </w:tcBorders>
          </w:tcPr>
          <w:p w14:paraId="0D59C247" w14:textId="6623A3C1" w:rsidR="000B3925" w:rsidRPr="00983B76" w:rsidRDefault="00550215" w:rsidP="000B3925">
            <w:pPr>
              <w:spacing w:before="40" w:after="120" w:line="220" w:lineRule="exact"/>
              <w:ind w:right="113"/>
              <w:rPr>
                <w:sz w:val="20"/>
                <w:szCs w:val="20"/>
              </w:rPr>
            </w:pPr>
            <w:r w:rsidRPr="00550215">
              <w:rPr>
                <w:sz w:val="20"/>
                <w:szCs w:val="20"/>
              </w:rPr>
              <w:t>The effects of foreign debt and other related international financial obligations of States on the full enjoyment of all human rights, particularly economic, social and cultural rights</w:t>
            </w:r>
          </w:p>
        </w:tc>
        <w:tc>
          <w:tcPr>
            <w:tcW w:w="1843" w:type="dxa"/>
            <w:tcBorders>
              <w:top w:val="nil"/>
              <w:left w:val="nil"/>
              <w:bottom w:val="nil"/>
              <w:right w:val="nil"/>
            </w:tcBorders>
          </w:tcPr>
          <w:p w14:paraId="477EC92D" w14:textId="387EAE41" w:rsidR="000B3925" w:rsidRPr="00983B76" w:rsidRDefault="000B3925" w:rsidP="000B3925">
            <w:pPr>
              <w:spacing w:before="40" w:after="120" w:line="220" w:lineRule="exact"/>
              <w:ind w:right="113"/>
              <w:rPr>
                <w:sz w:val="20"/>
                <w:szCs w:val="20"/>
              </w:rPr>
            </w:pPr>
            <w:r w:rsidRPr="005F4964">
              <w:rPr>
                <w:sz w:val="20"/>
                <w:szCs w:val="20"/>
              </w:rPr>
              <w:t>21 March 2019</w:t>
            </w:r>
          </w:p>
        </w:tc>
      </w:tr>
      <w:tr w:rsidR="000B3925" w:rsidRPr="009274E0" w14:paraId="663423FC" w14:textId="77777777" w:rsidTr="00983B76">
        <w:trPr>
          <w:cantSplit/>
        </w:trPr>
        <w:tc>
          <w:tcPr>
            <w:tcW w:w="921" w:type="dxa"/>
            <w:tcBorders>
              <w:top w:val="nil"/>
              <w:left w:val="nil"/>
              <w:bottom w:val="nil"/>
              <w:right w:val="nil"/>
            </w:tcBorders>
          </w:tcPr>
          <w:p w14:paraId="0EAD20DC" w14:textId="670BA2F3" w:rsidR="000B3925" w:rsidRPr="00983B76" w:rsidRDefault="00550215" w:rsidP="000B3925">
            <w:pPr>
              <w:spacing w:before="40" w:after="120" w:line="220" w:lineRule="exact"/>
              <w:ind w:right="113"/>
              <w:rPr>
                <w:sz w:val="20"/>
                <w:szCs w:val="20"/>
              </w:rPr>
            </w:pPr>
            <w:r>
              <w:rPr>
                <w:sz w:val="20"/>
                <w:szCs w:val="20"/>
              </w:rPr>
              <w:t>40/9</w:t>
            </w:r>
          </w:p>
        </w:tc>
        <w:tc>
          <w:tcPr>
            <w:tcW w:w="5316" w:type="dxa"/>
            <w:tcBorders>
              <w:top w:val="nil"/>
              <w:left w:val="nil"/>
              <w:bottom w:val="nil"/>
              <w:right w:val="nil"/>
            </w:tcBorders>
          </w:tcPr>
          <w:p w14:paraId="22D2640D" w14:textId="04FCC674" w:rsidR="000B3925" w:rsidRPr="00983B76" w:rsidRDefault="00550215" w:rsidP="000B3925">
            <w:pPr>
              <w:spacing w:before="40" w:after="120" w:line="220" w:lineRule="exact"/>
              <w:ind w:right="113"/>
              <w:rPr>
                <w:sz w:val="20"/>
                <w:szCs w:val="20"/>
              </w:rPr>
            </w:pPr>
            <w:r w:rsidRPr="00550215">
              <w:rPr>
                <w:sz w:val="20"/>
                <w:szCs w:val="20"/>
              </w:rPr>
              <w:t>Human rights, democracy and the rule of law</w:t>
            </w:r>
          </w:p>
        </w:tc>
        <w:tc>
          <w:tcPr>
            <w:tcW w:w="1843" w:type="dxa"/>
            <w:tcBorders>
              <w:top w:val="nil"/>
              <w:left w:val="nil"/>
              <w:bottom w:val="nil"/>
              <w:right w:val="nil"/>
            </w:tcBorders>
          </w:tcPr>
          <w:p w14:paraId="7C550F2D" w14:textId="6EEFD4DE" w:rsidR="000B3925" w:rsidRPr="00983B76" w:rsidRDefault="000B3925" w:rsidP="000B3925">
            <w:pPr>
              <w:spacing w:before="40" w:after="120" w:line="220" w:lineRule="exact"/>
              <w:ind w:right="113"/>
              <w:rPr>
                <w:sz w:val="20"/>
                <w:szCs w:val="20"/>
              </w:rPr>
            </w:pPr>
            <w:r w:rsidRPr="005F4964">
              <w:rPr>
                <w:sz w:val="20"/>
                <w:szCs w:val="20"/>
              </w:rPr>
              <w:t>21 March 2019</w:t>
            </w:r>
          </w:p>
        </w:tc>
      </w:tr>
      <w:tr w:rsidR="000B3925" w:rsidRPr="009274E0" w14:paraId="17E6982C" w14:textId="77777777" w:rsidTr="00983B76">
        <w:trPr>
          <w:cantSplit/>
        </w:trPr>
        <w:tc>
          <w:tcPr>
            <w:tcW w:w="921" w:type="dxa"/>
            <w:tcBorders>
              <w:top w:val="nil"/>
              <w:left w:val="nil"/>
              <w:bottom w:val="nil"/>
              <w:right w:val="nil"/>
            </w:tcBorders>
          </w:tcPr>
          <w:p w14:paraId="79557773" w14:textId="1A1E8B35" w:rsidR="000B3925" w:rsidRPr="00983B76" w:rsidRDefault="008B2832" w:rsidP="000B3925">
            <w:pPr>
              <w:spacing w:before="40" w:after="120" w:line="220" w:lineRule="exact"/>
              <w:ind w:right="113"/>
              <w:rPr>
                <w:sz w:val="20"/>
                <w:szCs w:val="20"/>
              </w:rPr>
            </w:pPr>
            <w:r>
              <w:rPr>
                <w:sz w:val="20"/>
                <w:szCs w:val="20"/>
              </w:rPr>
              <w:t>40/10</w:t>
            </w:r>
          </w:p>
        </w:tc>
        <w:tc>
          <w:tcPr>
            <w:tcW w:w="5316" w:type="dxa"/>
            <w:tcBorders>
              <w:top w:val="nil"/>
              <w:left w:val="nil"/>
              <w:bottom w:val="nil"/>
              <w:right w:val="nil"/>
            </w:tcBorders>
          </w:tcPr>
          <w:p w14:paraId="5ED46F1C" w14:textId="4A4719BD" w:rsidR="000B3925" w:rsidRPr="00983B76" w:rsidRDefault="008B2832" w:rsidP="000B3925">
            <w:pPr>
              <w:spacing w:before="40" w:after="120" w:line="220" w:lineRule="exact"/>
              <w:ind w:right="113"/>
              <w:rPr>
                <w:sz w:val="20"/>
                <w:szCs w:val="20"/>
              </w:rPr>
            </w:pPr>
            <w:r w:rsidRPr="008B2832">
              <w:rPr>
                <w:sz w:val="20"/>
                <w:szCs w:val="20"/>
              </w:rPr>
              <w:t>Freedom of religion or belief</w:t>
            </w:r>
          </w:p>
        </w:tc>
        <w:tc>
          <w:tcPr>
            <w:tcW w:w="1843" w:type="dxa"/>
            <w:tcBorders>
              <w:top w:val="nil"/>
              <w:left w:val="nil"/>
              <w:bottom w:val="nil"/>
              <w:right w:val="nil"/>
            </w:tcBorders>
          </w:tcPr>
          <w:p w14:paraId="16B77A96" w14:textId="01C64003" w:rsidR="000B3925" w:rsidRPr="00983B76" w:rsidRDefault="000B3925" w:rsidP="000B3925">
            <w:pPr>
              <w:spacing w:before="40" w:after="120" w:line="220" w:lineRule="exact"/>
              <w:ind w:right="113"/>
              <w:rPr>
                <w:sz w:val="20"/>
                <w:szCs w:val="20"/>
              </w:rPr>
            </w:pPr>
            <w:r w:rsidRPr="005F4964">
              <w:rPr>
                <w:sz w:val="20"/>
                <w:szCs w:val="20"/>
              </w:rPr>
              <w:t>21 March 2019</w:t>
            </w:r>
          </w:p>
        </w:tc>
      </w:tr>
      <w:tr w:rsidR="000B3925" w:rsidRPr="009274E0" w14:paraId="78EF4C59" w14:textId="77777777" w:rsidTr="00983B76">
        <w:trPr>
          <w:cantSplit/>
        </w:trPr>
        <w:tc>
          <w:tcPr>
            <w:tcW w:w="921" w:type="dxa"/>
            <w:tcBorders>
              <w:top w:val="nil"/>
              <w:left w:val="nil"/>
              <w:bottom w:val="nil"/>
              <w:right w:val="nil"/>
            </w:tcBorders>
          </w:tcPr>
          <w:p w14:paraId="046894FF" w14:textId="299D5AED" w:rsidR="000B3925" w:rsidRPr="00983B76" w:rsidRDefault="008B2832" w:rsidP="000B3925">
            <w:pPr>
              <w:spacing w:before="40" w:after="120" w:line="220" w:lineRule="exact"/>
              <w:ind w:right="113"/>
              <w:rPr>
                <w:sz w:val="20"/>
                <w:szCs w:val="20"/>
              </w:rPr>
            </w:pPr>
            <w:r>
              <w:rPr>
                <w:sz w:val="20"/>
                <w:szCs w:val="20"/>
              </w:rPr>
              <w:t>40/11</w:t>
            </w:r>
          </w:p>
        </w:tc>
        <w:tc>
          <w:tcPr>
            <w:tcW w:w="5316" w:type="dxa"/>
            <w:tcBorders>
              <w:top w:val="nil"/>
              <w:left w:val="nil"/>
              <w:bottom w:val="nil"/>
              <w:right w:val="nil"/>
            </w:tcBorders>
          </w:tcPr>
          <w:p w14:paraId="3B28B947" w14:textId="52B70BBB" w:rsidR="000B3925" w:rsidRPr="00983B76" w:rsidRDefault="008B2832" w:rsidP="000B3925">
            <w:pPr>
              <w:spacing w:before="40" w:after="120" w:line="220" w:lineRule="exact"/>
              <w:ind w:right="113"/>
              <w:rPr>
                <w:sz w:val="20"/>
                <w:szCs w:val="20"/>
              </w:rPr>
            </w:pPr>
            <w:r w:rsidRPr="008B2832">
              <w:rPr>
                <w:sz w:val="20"/>
                <w:szCs w:val="20"/>
              </w:rPr>
              <w:t>Recognizing the contribution of environmental human rights defenders to the enjoyment of human rights, environmental protection and sustainable development</w:t>
            </w:r>
          </w:p>
        </w:tc>
        <w:tc>
          <w:tcPr>
            <w:tcW w:w="1843" w:type="dxa"/>
            <w:tcBorders>
              <w:top w:val="nil"/>
              <w:left w:val="nil"/>
              <w:bottom w:val="nil"/>
              <w:right w:val="nil"/>
            </w:tcBorders>
          </w:tcPr>
          <w:p w14:paraId="2458ACF1" w14:textId="2D927434" w:rsidR="000B3925" w:rsidRPr="00983B76" w:rsidRDefault="000B3925" w:rsidP="000B3925">
            <w:pPr>
              <w:spacing w:before="40" w:after="120" w:line="220" w:lineRule="exact"/>
              <w:ind w:right="113"/>
              <w:rPr>
                <w:sz w:val="20"/>
                <w:szCs w:val="20"/>
              </w:rPr>
            </w:pPr>
            <w:r w:rsidRPr="005F4964">
              <w:rPr>
                <w:sz w:val="20"/>
                <w:szCs w:val="20"/>
              </w:rPr>
              <w:t>21 March 2019</w:t>
            </w:r>
          </w:p>
        </w:tc>
      </w:tr>
      <w:tr w:rsidR="000B3925" w:rsidRPr="009274E0" w14:paraId="22AED9FC" w14:textId="77777777" w:rsidTr="00983B76">
        <w:trPr>
          <w:cantSplit/>
        </w:trPr>
        <w:tc>
          <w:tcPr>
            <w:tcW w:w="921" w:type="dxa"/>
            <w:tcBorders>
              <w:top w:val="nil"/>
              <w:left w:val="nil"/>
              <w:bottom w:val="nil"/>
              <w:right w:val="nil"/>
            </w:tcBorders>
          </w:tcPr>
          <w:p w14:paraId="0F50F862" w14:textId="62ACB7F0" w:rsidR="000B3925" w:rsidRPr="00983B76" w:rsidRDefault="008B2832" w:rsidP="000B3925">
            <w:pPr>
              <w:spacing w:before="40" w:after="120" w:line="220" w:lineRule="exact"/>
              <w:ind w:right="113"/>
              <w:rPr>
                <w:sz w:val="20"/>
                <w:szCs w:val="20"/>
              </w:rPr>
            </w:pPr>
            <w:r>
              <w:rPr>
                <w:sz w:val="20"/>
                <w:szCs w:val="20"/>
              </w:rPr>
              <w:t>40/12</w:t>
            </w:r>
          </w:p>
        </w:tc>
        <w:tc>
          <w:tcPr>
            <w:tcW w:w="5316" w:type="dxa"/>
            <w:tcBorders>
              <w:top w:val="nil"/>
              <w:left w:val="nil"/>
              <w:bottom w:val="nil"/>
              <w:right w:val="nil"/>
            </w:tcBorders>
          </w:tcPr>
          <w:p w14:paraId="3055796E" w14:textId="50372C73" w:rsidR="000B3925" w:rsidRPr="00983B76" w:rsidRDefault="008B2832" w:rsidP="000B3925">
            <w:pPr>
              <w:spacing w:before="40" w:after="120" w:line="220" w:lineRule="exact"/>
              <w:ind w:right="113"/>
              <w:rPr>
                <w:sz w:val="20"/>
                <w:szCs w:val="20"/>
              </w:rPr>
            </w:pPr>
            <w:r w:rsidRPr="008B2832">
              <w:rPr>
                <w:sz w:val="20"/>
                <w:szCs w:val="20"/>
              </w:rPr>
              <w:t>Question of the realization in all countries of economic, social and cultural rights</w:t>
            </w:r>
          </w:p>
        </w:tc>
        <w:tc>
          <w:tcPr>
            <w:tcW w:w="1843" w:type="dxa"/>
            <w:tcBorders>
              <w:top w:val="nil"/>
              <w:left w:val="nil"/>
              <w:bottom w:val="nil"/>
              <w:right w:val="nil"/>
            </w:tcBorders>
          </w:tcPr>
          <w:p w14:paraId="5A2042C8" w14:textId="6680C2D0" w:rsidR="000B3925" w:rsidRPr="00983B76" w:rsidRDefault="000B3925" w:rsidP="000B3925">
            <w:pPr>
              <w:spacing w:before="40" w:after="120" w:line="220" w:lineRule="exact"/>
              <w:ind w:right="113"/>
              <w:rPr>
                <w:sz w:val="20"/>
                <w:szCs w:val="20"/>
              </w:rPr>
            </w:pPr>
            <w:r w:rsidRPr="005F4964">
              <w:rPr>
                <w:sz w:val="20"/>
                <w:szCs w:val="20"/>
              </w:rPr>
              <w:t>21 March 2019</w:t>
            </w:r>
          </w:p>
        </w:tc>
      </w:tr>
      <w:tr w:rsidR="00983B76" w:rsidRPr="009274E0" w14:paraId="25C7C9CD" w14:textId="77777777" w:rsidTr="00983B76">
        <w:trPr>
          <w:cantSplit/>
        </w:trPr>
        <w:tc>
          <w:tcPr>
            <w:tcW w:w="921" w:type="dxa"/>
            <w:tcBorders>
              <w:top w:val="nil"/>
              <w:left w:val="nil"/>
              <w:bottom w:val="nil"/>
              <w:right w:val="nil"/>
            </w:tcBorders>
          </w:tcPr>
          <w:p w14:paraId="28ED5E88" w14:textId="1D765A34" w:rsidR="00983B76" w:rsidRPr="00983B76" w:rsidRDefault="008B2832" w:rsidP="00983B76">
            <w:pPr>
              <w:spacing w:before="40" w:after="120" w:line="220" w:lineRule="exact"/>
              <w:ind w:right="113"/>
              <w:rPr>
                <w:sz w:val="20"/>
                <w:szCs w:val="20"/>
              </w:rPr>
            </w:pPr>
            <w:r>
              <w:rPr>
                <w:sz w:val="20"/>
                <w:szCs w:val="20"/>
              </w:rPr>
              <w:t>40/13</w:t>
            </w:r>
          </w:p>
        </w:tc>
        <w:tc>
          <w:tcPr>
            <w:tcW w:w="5316" w:type="dxa"/>
            <w:tcBorders>
              <w:top w:val="nil"/>
              <w:left w:val="nil"/>
              <w:bottom w:val="nil"/>
              <w:right w:val="nil"/>
            </w:tcBorders>
          </w:tcPr>
          <w:p w14:paraId="355053E9" w14:textId="29961433" w:rsidR="00983B76" w:rsidRPr="00983B76" w:rsidRDefault="008B2832" w:rsidP="00983B76">
            <w:pPr>
              <w:spacing w:before="40" w:after="120" w:line="220" w:lineRule="exact"/>
              <w:ind w:right="113"/>
              <w:rPr>
                <w:sz w:val="20"/>
                <w:szCs w:val="20"/>
              </w:rPr>
            </w:pPr>
            <w:r w:rsidRPr="008B2832">
              <w:rPr>
                <w:sz w:val="20"/>
                <w:szCs w:val="20"/>
              </w:rPr>
              <w:t>Ensuring accountability and justice for all violations of international law in the Occupied Palestinian Territory, including East Jerusalem</w:t>
            </w:r>
          </w:p>
        </w:tc>
        <w:tc>
          <w:tcPr>
            <w:tcW w:w="1843" w:type="dxa"/>
            <w:tcBorders>
              <w:top w:val="nil"/>
              <w:left w:val="nil"/>
              <w:bottom w:val="nil"/>
              <w:right w:val="nil"/>
            </w:tcBorders>
          </w:tcPr>
          <w:p w14:paraId="65AFD694" w14:textId="0660EFE6" w:rsidR="00983B76" w:rsidRPr="00983B76" w:rsidRDefault="008B2832" w:rsidP="008B2832">
            <w:pPr>
              <w:spacing w:before="40" w:after="120" w:line="220" w:lineRule="exact"/>
              <w:ind w:right="113"/>
              <w:rPr>
                <w:sz w:val="20"/>
                <w:szCs w:val="20"/>
              </w:rPr>
            </w:pPr>
            <w:r w:rsidRPr="005F4964">
              <w:rPr>
                <w:sz w:val="20"/>
                <w:szCs w:val="20"/>
              </w:rPr>
              <w:t>2</w:t>
            </w:r>
            <w:r>
              <w:rPr>
                <w:sz w:val="20"/>
                <w:szCs w:val="20"/>
              </w:rPr>
              <w:t>2</w:t>
            </w:r>
            <w:r w:rsidRPr="005F4964">
              <w:rPr>
                <w:sz w:val="20"/>
                <w:szCs w:val="20"/>
              </w:rPr>
              <w:t xml:space="preserve"> March 2019</w:t>
            </w:r>
          </w:p>
        </w:tc>
      </w:tr>
      <w:tr w:rsidR="008B2832" w:rsidRPr="009274E0" w14:paraId="54FFFBC6" w14:textId="77777777" w:rsidTr="00983B76">
        <w:trPr>
          <w:cantSplit/>
        </w:trPr>
        <w:tc>
          <w:tcPr>
            <w:tcW w:w="921" w:type="dxa"/>
            <w:tcBorders>
              <w:top w:val="nil"/>
              <w:left w:val="nil"/>
              <w:bottom w:val="nil"/>
              <w:right w:val="nil"/>
            </w:tcBorders>
          </w:tcPr>
          <w:p w14:paraId="7C9595BC" w14:textId="319928F9" w:rsidR="008B2832" w:rsidRPr="00983B76" w:rsidRDefault="008B2832" w:rsidP="008B2832">
            <w:pPr>
              <w:spacing w:before="40" w:after="120" w:line="220" w:lineRule="exact"/>
              <w:ind w:right="113"/>
              <w:rPr>
                <w:sz w:val="20"/>
                <w:szCs w:val="20"/>
              </w:rPr>
            </w:pPr>
            <w:r>
              <w:rPr>
                <w:sz w:val="20"/>
                <w:szCs w:val="20"/>
              </w:rPr>
              <w:t>40/14</w:t>
            </w:r>
          </w:p>
        </w:tc>
        <w:tc>
          <w:tcPr>
            <w:tcW w:w="5316" w:type="dxa"/>
            <w:tcBorders>
              <w:top w:val="nil"/>
              <w:left w:val="nil"/>
              <w:bottom w:val="nil"/>
              <w:right w:val="nil"/>
            </w:tcBorders>
          </w:tcPr>
          <w:p w14:paraId="119E4C74" w14:textId="2F72666B" w:rsidR="008B2832" w:rsidRPr="00983B76" w:rsidRDefault="008B2832" w:rsidP="008B2832">
            <w:pPr>
              <w:spacing w:before="40" w:after="120" w:line="220" w:lineRule="exact"/>
              <w:ind w:right="113"/>
              <w:rPr>
                <w:sz w:val="20"/>
                <w:szCs w:val="20"/>
              </w:rPr>
            </w:pPr>
            <w:r w:rsidRPr="008B2832">
              <w:rPr>
                <w:sz w:val="20"/>
                <w:szCs w:val="20"/>
              </w:rPr>
              <w:t>Rights of the child: empowering children with disabilities for the enjoyment of their human rights, including through inclusive education</w:t>
            </w:r>
          </w:p>
        </w:tc>
        <w:tc>
          <w:tcPr>
            <w:tcW w:w="1843" w:type="dxa"/>
            <w:tcBorders>
              <w:top w:val="nil"/>
              <w:left w:val="nil"/>
              <w:bottom w:val="nil"/>
              <w:right w:val="nil"/>
            </w:tcBorders>
          </w:tcPr>
          <w:p w14:paraId="00E7BB10" w14:textId="66CCB9CB" w:rsidR="008B2832" w:rsidRPr="00983B76" w:rsidRDefault="008B2832" w:rsidP="008B2832">
            <w:pPr>
              <w:spacing w:before="40" w:after="120" w:line="220" w:lineRule="exact"/>
              <w:ind w:right="113"/>
              <w:rPr>
                <w:sz w:val="20"/>
                <w:szCs w:val="20"/>
              </w:rPr>
            </w:pPr>
            <w:r w:rsidRPr="003B17AE">
              <w:rPr>
                <w:sz w:val="20"/>
                <w:szCs w:val="20"/>
              </w:rPr>
              <w:t>22 March 2019</w:t>
            </w:r>
          </w:p>
        </w:tc>
      </w:tr>
      <w:tr w:rsidR="008B2832" w:rsidRPr="009274E0" w14:paraId="3C1C83A2" w14:textId="77777777" w:rsidTr="00983B76">
        <w:trPr>
          <w:cantSplit/>
        </w:trPr>
        <w:tc>
          <w:tcPr>
            <w:tcW w:w="921" w:type="dxa"/>
            <w:tcBorders>
              <w:top w:val="nil"/>
              <w:left w:val="nil"/>
              <w:bottom w:val="nil"/>
              <w:right w:val="nil"/>
            </w:tcBorders>
          </w:tcPr>
          <w:p w14:paraId="7B6AC626" w14:textId="05D4CDD0" w:rsidR="008B2832" w:rsidRPr="00983B76" w:rsidRDefault="008B2832" w:rsidP="008B2832">
            <w:pPr>
              <w:spacing w:before="40" w:after="120" w:line="220" w:lineRule="exact"/>
              <w:ind w:right="113"/>
              <w:rPr>
                <w:sz w:val="20"/>
                <w:szCs w:val="20"/>
              </w:rPr>
            </w:pPr>
            <w:r>
              <w:rPr>
                <w:sz w:val="20"/>
                <w:szCs w:val="20"/>
              </w:rPr>
              <w:t>40/15</w:t>
            </w:r>
          </w:p>
        </w:tc>
        <w:tc>
          <w:tcPr>
            <w:tcW w:w="5316" w:type="dxa"/>
            <w:tcBorders>
              <w:top w:val="nil"/>
              <w:left w:val="nil"/>
              <w:bottom w:val="nil"/>
              <w:right w:val="nil"/>
            </w:tcBorders>
          </w:tcPr>
          <w:p w14:paraId="4A40A8B3" w14:textId="1B47834E" w:rsidR="008B2832" w:rsidRPr="00983B76" w:rsidRDefault="008B2832" w:rsidP="008B2832">
            <w:pPr>
              <w:spacing w:before="40" w:after="120" w:line="220" w:lineRule="exact"/>
              <w:ind w:right="113"/>
              <w:rPr>
                <w:sz w:val="20"/>
                <w:szCs w:val="20"/>
                <w:lang w:val="fr-CH"/>
              </w:rPr>
            </w:pPr>
            <w:r w:rsidRPr="008B2832">
              <w:rPr>
                <w:sz w:val="20"/>
                <w:szCs w:val="20"/>
                <w:lang w:val="fr-CH"/>
              </w:rPr>
              <w:t>Thirtieth anniversary of the Convention on the Rights of the Child</w:t>
            </w:r>
          </w:p>
        </w:tc>
        <w:tc>
          <w:tcPr>
            <w:tcW w:w="1843" w:type="dxa"/>
            <w:tcBorders>
              <w:top w:val="nil"/>
              <w:left w:val="nil"/>
              <w:bottom w:val="nil"/>
              <w:right w:val="nil"/>
            </w:tcBorders>
          </w:tcPr>
          <w:p w14:paraId="2D94AF79" w14:textId="5700A166" w:rsidR="008B2832" w:rsidRPr="00983B76" w:rsidRDefault="008B2832" w:rsidP="008B2832">
            <w:pPr>
              <w:spacing w:before="40" w:after="120" w:line="220" w:lineRule="exact"/>
              <w:ind w:right="113"/>
              <w:rPr>
                <w:sz w:val="20"/>
                <w:szCs w:val="20"/>
              </w:rPr>
            </w:pPr>
            <w:r w:rsidRPr="003B17AE">
              <w:rPr>
                <w:sz w:val="20"/>
                <w:szCs w:val="20"/>
              </w:rPr>
              <w:t>22 March 2019</w:t>
            </w:r>
          </w:p>
        </w:tc>
      </w:tr>
      <w:tr w:rsidR="008B2832" w:rsidRPr="009274E0" w14:paraId="34FB9D57" w14:textId="77777777" w:rsidTr="00983B76">
        <w:trPr>
          <w:cantSplit/>
        </w:trPr>
        <w:tc>
          <w:tcPr>
            <w:tcW w:w="921" w:type="dxa"/>
            <w:tcBorders>
              <w:top w:val="nil"/>
              <w:left w:val="nil"/>
              <w:bottom w:val="nil"/>
              <w:right w:val="nil"/>
            </w:tcBorders>
          </w:tcPr>
          <w:p w14:paraId="2CF2AD0D" w14:textId="532CFC08" w:rsidR="008B2832" w:rsidRPr="00983B76" w:rsidRDefault="008B2832" w:rsidP="008B2832">
            <w:pPr>
              <w:spacing w:before="40" w:after="120" w:line="220" w:lineRule="exact"/>
              <w:ind w:right="113"/>
              <w:rPr>
                <w:sz w:val="20"/>
                <w:szCs w:val="20"/>
              </w:rPr>
            </w:pPr>
            <w:r>
              <w:rPr>
                <w:sz w:val="20"/>
                <w:szCs w:val="20"/>
              </w:rPr>
              <w:t>40/16</w:t>
            </w:r>
          </w:p>
        </w:tc>
        <w:tc>
          <w:tcPr>
            <w:tcW w:w="5316" w:type="dxa"/>
            <w:tcBorders>
              <w:top w:val="nil"/>
              <w:left w:val="nil"/>
              <w:bottom w:val="nil"/>
              <w:right w:val="nil"/>
            </w:tcBorders>
          </w:tcPr>
          <w:p w14:paraId="74E5A556" w14:textId="1D7775C4" w:rsidR="008B2832" w:rsidRPr="00983B76" w:rsidRDefault="008B2832" w:rsidP="008B2832">
            <w:pPr>
              <w:spacing w:before="40" w:after="120" w:line="220" w:lineRule="exact"/>
              <w:ind w:right="113"/>
              <w:rPr>
                <w:sz w:val="20"/>
                <w:szCs w:val="20"/>
              </w:rPr>
            </w:pPr>
            <w:r w:rsidRPr="008B2832">
              <w:rPr>
                <w:sz w:val="20"/>
                <w:szCs w:val="20"/>
              </w:rPr>
              <w:t>Mandate of the Special Rapporteur on the promotion and protection of human rights and fundamental freedoms while countering terrorism</w:t>
            </w:r>
          </w:p>
        </w:tc>
        <w:tc>
          <w:tcPr>
            <w:tcW w:w="1843" w:type="dxa"/>
            <w:tcBorders>
              <w:top w:val="nil"/>
              <w:left w:val="nil"/>
              <w:bottom w:val="nil"/>
              <w:right w:val="nil"/>
            </w:tcBorders>
          </w:tcPr>
          <w:p w14:paraId="2904B760" w14:textId="4E3C9B2C" w:rsidR="008B2832" w:rsidRPr="00983B76" w:rsidRDefault="008B2832" w:rsidP="008B2832">
            <w:pPr>
              <w:spacing w:before="40" w:after="120" w:line="220" w:lineRule="exact"/>
              <w:ind w:right="113"/>
              <w:rPr>
                <w:sz w:val="20"/>
                <w:szCs w:val="20"/>
              </w:rPr>
            </w:pPr>
            <w:r w:rsidRPr="003B17AE">
              <w:rPr>
                <w:sz w:val="20"/>
                <w:szCs w:val="20"/>
              </w:rPr>
              <w:t>22 March 2019</w:t>
            </w:r>
          </w:p>
        </w:tc>
      </w:tr>
      <w:tr w:rsidR="008B2832" w:rsidRPr="009274E0" w14:paraId="05F7CA38" w14:textId="77777777" w:rsidTr="00983B76">
        <w:trPr>
          <w:cantSplit/>
        </w:trPr>
        <w:tc>
          <w:tcPr>
            <w:tcW w:w="921" w:type="dxa"/>
            <w:tcBorders>
              <w:top w:val="nil"/>
              <w:left w:val="nil"/>
              <w:bottom w:val="nil"/>
              <w:right w:val="nil"/>
            </w:tcBorders>
          </w:tcPr>
          <w:p w14:paraId="33CFE6AD" w14:textId="3E2981B7" w:rsidR="008B2832" w:rsidRPr="00983B76" w:rsidRDefault="008B2832" w:rsidP="008B2832">
            <w:pPr>
              <w:spacing w:before="40" w:after="120" w:line="220" w:lineRule="exact"/>
              <w:ind w:right="113"/>
              <w:rPr>
                <w:sz w:val="20"/>
                <w:szCs w:val="20"/>
              </w:rPr>
            </w:pPr>
            <w:r>
              <w:rPr>
                <w:sz w:val="20"/>
                <w:szCs w:val="20"/>
              </w:rPr>
              <w:lastRenderedPageBreak/>
              <w:t>40/17</w:t>
            </w:r>
          </w:p>
        </w:tc>
        <w:tc>
          <w:tcPr>
            <w:tcW w:w="5316" w:type="dxa"/>
            <w:tcBorders>
              <w:top w:val="nil"/>
              <w:left w:val="nil"/>
              <w:bottom w:val="nil"/>
              <w:right w:val="nil"/>
            </w:tcBorders>
          </w:tcPr>
          <w:p w14:paraId="49D14D0B" w14:textId="0218E533" w:rsidR="008B2832" w:rsidRPr="00983B76" w:rsidRDefault="008B2832" w:rsidP="008B2832">
            <w:pPr>
              <w:spacing w:before="40" w:after="120" w:line="220" w:lineRule="exact"/>
              <w:ind w:right="113"/>
              <w:rPr>
                <w:sz w:val="20"/>
                <w:szCs w:val="20"/>
              </w:rPr>
            </w:pPr>
            <w:r w:rsidRPr="008B2832">
              <w:rPr>
                <w:sz w:val="20"/>
                <w:szCs w:val="20"/>
              </w:rPr>
              <w:t>The human rights situation in the Syrian Arab Republic</w:t>
            </w:r>
          </w:p>
        </w:tc>
        <w:tc>
          <w:tcPr>
            <w:tcW w:w="1843" w:type="dxa"/>
            <w:tcBorders>
              <w:top w:val="nil"/>
              <w:left w:val="nil"/>
              <w:bottom w:val="nil"/>
              <w:right w:val="nil"/>
            </w:tcBorders>
          </w:tcPr>
          <w:p w14:paraId="7D8582CC" w14:textId="0619CE04" w:rsidR="008B2832" w:rsidRPr="00983B76" w:rsidRDefault="008B2832" w:rsidP="008B2832">
            <w:pPr>
              <w:spacing w:before="40" w:after="120" w:line="220" w:lineRule="exact"/>
              <w:ind w:right="113"/>
              <w:rPr>
                <w:sz w:val="20"/>
                <w:szCs w:val="20"/>
              </w:rPr>
            </w:pPr>
            <w:r w:rsidRPr="003B17AE">
              <w:rPr>
                <w:sz w:val="20"/>
                <w:szCs w:val="20"/>
              </w:rPr>
              <w:t>22 March 2019</w:t>
            </w:r>
          </w:p>
        </w:tc>
      </w:tr>
      <w:tr w:rsidR="008B2832" w:rsidRPr="009274E0" w14:paraId="2E8B0DE2" w14:textId="77777777" w:rsidTr="00983B76">
        <w:trPr>
          <w:cantSplit/>
        </w:trPr>
        <w:tc>
          <w:tcPr>
            <w:tcW w:w="921" w:type="dxa"/>
            <w:tcBorders>
              <w:top w:val="nil"/>
              <w:left w:val="nil"/>
              <w:bottom w:val="nil"/>
              <w:right w:val="nil"/>
            </w:tcBorders>
          </w:tcPr>
          <w:p w14:paraId="0E156E6F" w14:textId="4742A3F7" w:rsidR="008B2832" w:rsidRPr="00983B76" w:rsidRDefault="008B2832" w:rsidP="008B2832">
            <w:pPr>
              <w:spacing w:before="40" w:after="120" w:line="220" w:lineRule="exact"/>
              <w:ind w:right="113"/>
              <w:rPr>
                <w:sz w:val="20"/>
                <w:szCs w:val="20"/>
              </w:rPr>
            </w:pPr>
            <w:r>
              <w:rPr>
                <w:sz w:val="20"/>
                <w:szCs w:val="20"/>
              </w:rPr>
              <w:t>40/18</w:t>
            </w:r>
          </w:p>
        </w:tc>
        <w:tc>
          <w:tcPr>
            <w:tcW w:w="5316" w:type="dxa"/>
            <w:tcBorders>
              <w:top w:val="nil"/>
              <w:left w:val="nil"/>
              <w:bottom w:val="nil"/>
              <w:right w:val="nil"/>
            </w:tcBorders>
          </w:tcPr>
          <w:p w14:paraId="673A529E" w14:textId="2A56C42A" w:rsidR="008B2832" w:rsidRPr="00983B76" w:rsidRDefault="008B2832" w:rsidP="008B2832">
            <w:pPr>
              <w:spacing w:before="40" w:after="120" w:line="220" w:lineRule="exact"/>
              <w:ind w:right="113"/>
              <w:rPr>
                <w:sz w:val="20"/>
                <w:szCs w:val="20"/>
              </w:rPr>
            </w:pPr>
            <w:r w:rsidRPr="008B2832">
              <w:rPr>
                <w:sz w:val="20"/>
                <w:szCs w:val="20"/>
              </w:rPr>
              <w:t>Situation of human rights in the Islamic Republic of Iran</w:t>
            </w:r>
          </w:p>
        </w:tc>
        <w:tc>
          <w:tcPr>
            <w:tcW w:w="1843" w:type="dxa"/>
            <w:tcBorders>
              <w:top w:val="nil"/>
              <w:left w:val="nil"/>
              <w:bottom w:val="nil"/>
              <w:right w:val="nil"/>
            </w:tcBorders>
          </w:tcPr>
          <w:p w14:paraId="43805D60" w14:textId="27011991" w:rsidR="008B2832" w:rsidRPr="00983B76" w:rsidRDefault="008B2832" w:rsidP="008B2832">
            <w:pPr>
              <w:spacing w:before="40" w:after="120" w:line="220" w:lineRule="exact"/>
              <w:ind w:right="113"/>
              <w:rPr>
                <w:sz w:val="20"/>
                <w:szCs w:val="20"/>
              </w:rPr>
            </w:pPr>
            <w:r w:rsidRPr="003B17AE">
              <w:rPr>
                <w:sz w:val="20"/>
                <w:szCs w:val="20"/>
              </w:rPr>
              <w:t>22 March 2019</w:t>
            </w:r>
          </w:p>
        </w:tc>
      </w:tr>
      <w:tr w:rsidR="008B2832" w:rsidRPr="009274E0" w14:paraId="1BFC4D53" w14:textId="77777777" w:rsidTr="00983B76">
        <w:trPr>
          <w:cantSplit/>
        </w:trPr>
        <w:tc>
          <w:tcPr>
            <w:tcW w:w="921" w:type="dxa"/>
            <w:tcBorders>
              <w:top w:val="nil"/>
              <w:left w:val="nil"/>
              <w:bottom w:val="nil"/>
              <w:right w:val="nil"/>
            </w:tcBorders>
          </w:tcPr>
          <w:p w14:paraId="27A0610F" w14:textId="79B069B3" w:rsidR="008B2832" w:rsidRPr="00983B76" w:rsidRDefault="008B2832" w:rsidP="008B2832">
            <w:pPr>
              <w:spacing w:before="40" w:after="120" w:line="220" w:lineRule="exact"/>
              <w:ind w:right="113"/>
              <w:rPr>
                <w:sz w:val="20"/>
                <w:szCs w:val="20"/>
              </w:rPr>
            </w:pPr>
            <w:r>
              <w:rPr>
                <w:sz w:val="20"/>
                <w:szCs w:val="20"/>
              </w:rPr>
              <w:t>40/19</w:t>
            </w:r>
          </w:p>
        </w:tc>
        <w:tc>
          <w:tcPr>
            <w:tcW w:w="5316" w:type="dxa"/>
            <w:tcBorders>
              <w:top w:val="nil"/>
              <w:left w:val="nil"/>
              <w:bottom w:val="nil"/>
              <w:right w:val="nil"/>
            </w:tcBorders>
          </w:tcPr>
          <w:p w14:paraId="4EB83AA4" w14:textId="4D067DB9" w:rsidR="008B2832" w:rsidRPr="00983B76" w:rsidRDefault="008B2832" w:rsidP="008B2832">
            <w:pPr>
              <w:spacing w:before="40" w:after="120" w:line="220" w:lineRule="exact"/>
              <w:ind w:right="113"/>
              <w:rPr>
                <w:sz w:val="20"/>
                <w:szCs w:val="20"/>
              </w:rPr>
            </w:pPr>
            <w:r w:rsidRPr="008B2832">
              <w:rPr>
                <w:sz w:val="20"/>
                <w:szCs w:val="20"/>
              </w:rPr>
              <w:t>Situation of human rights in South Sudan</w:t>
            </w:r>
          </w:p>
        </w:tc>
        <w:tc>
          <w:tcPr>
            <w:tcW w:w="1843" w:type="dxa"/>
            <w:tcBorders>
              <w:top w:val="nil"/>
              <w:left w:val="nil"/>
              <w:bottom w:val="nil"/>
              <w:right w:val="nil"/>
            </w:tcBorders>
          </w:tcPr>
          <w:p w14:paraId="0CAE7648" w14:textId="703E864C" w:rsidR="008B2832" w:rsidRPr="00983B76" w:rsidRDefault="008B2832" w:rsidP="008B2832">
            <w:pPr>
              <w:spacing w:before="40" w:after="120" w:line="220" w:lineRule="exact"/>
              <w:ind w:right="113"/>
              <w:rPr>
                <w:sz w:val="20"/>
                <w:szCs w:val="20"/>
              </w:rPr>
            </w:pPr>
            <w:r w:rsidRPr="003B17AE">
              <w:rPr>
                <w:sz w:val="20"/>
                <w:szCs w:val="20"/>
              </w:rPr>
              <w:t>22 March 2019</w:t>
            </w:r>
          </w:p>
        </w:tc>
      </w:tr>
      <w:tr w:rsidR="008B2832" w:rsidRPr="009274E0" w14:paraId="05789C7B" w14:textId="77777777" w:rsidTr="00983B76">
        <w:trPr>
          <w:cantSplit/>
        </w:trPr>
        <w:tc>
          <w:tcPr>
            <w:tcW w:w="921" w:type="dxa"/>
            <w:tcBorders>
              <w:top w:val="nil"/>
              <w:left w:val="nil"/>
              <w:bottom w:val="nil"/>
              <w:right w:val="nil"/>
            </w:tcBorders>
          </w:tcPr>
          <w:p w14:paraId="392F203A" w14:textId="79810B50" w:rsidR="008B2832" w:rsidRPr="00983B76" w:rsidRDefault="008B2832" w:rsidP="008B2832">
            <w:pPr>
              <w:spacing w:before="40" w:after="120" w:line="220" w:lineRule="exact"/>
              <w:ind w:right="113"/>
              <w:rPr>
                <w:sz w:val="20"/>
                <w:szCs w:val="20"/>
              </w:rPr>
            </w:pPr>
            <w:r>
              <w:rPr>
                <w:sz w:val="20"/>
                <w:szCs w:val="20"/>
              </w:rPr>
              <w:t>40/20</w:t>
            </w:r>
          </w:p>
        </w:tc>
        <w:tc>
          <w:tcPr>
            <w:tcW w:w="5316" w:type="dxa"/>
            <w:tcBorders>
              <w:top w:val="nil"/>
              <w:left w:val="nil"/>
              <w:bottom w:val="nil"/>
              <w:right w:val="nil"/>
            </w:tcBorders>
          </w:tcPr>
          <w:p w14:paraId="5FF417F3" w14:textId="29F809AF" w:rsidR="008B2832" w:rsidRPr="00983B76" w:rsidRDefault="008B2832" w:rsidP="008B2832">
            <w:pPr>
              <w:spacing w:before="40" w:after="120" w:line="220" w:lineRule="exact"/>
              <w:ind w:right="113"/>
              <w:rPr>
                <w:sz w:val="20"/>
                <w:szCs w:val="20"/>
              </w:rPr>
            </w:pPr>
            <w:r w:rsidRPr="008B2832">
              <w:rPr>
                <w:sz w:val="20"/>
                <w:szCs w:val="20"/>
              </w:rPr>
              <w:t>Situation of human rights in the Democratic People</w:t>
            </w:r>
            <w:r w:rsidR="00D72627">
              <w:rPr>
                <w:sz w:val="20"/>
                <w:szCs w:val="20"/>
              </w:rPr>
              <w:t>’</w:t>
            </w:r>
            <w:r w:rsidRPr="008B2832">
              <w:rPr>
                <w:sz w:val="20"/>
                <w:szCs w:val="20"/>
              </w:rPr>
              <w:t>s Republic of Korea</w:t>
            </w:r>
          </w:p>
        </w:tc>
        <w:tc>
          <w:tcPr>
            <w:tcW w:w="1843" w:type="dxa"/>
            <w:tcBorders>
              <w:top w:val="nil"/>
              <w:left w:val="nil"/>
              <w:bottom w:val="nil"/>
              <w:right w:val="nil"/>
            </w:tcBorders>
          </w:tcPr>
          <w:p w14:paraId="3247BF09" w14:textId="29B2FB69" w:rsidR="008B2832" w:rsidRPr="00983B76" w:rsidRDefault="008B2832" w:rsidP="008B2832">
            <w:pPr>
              <w:spacing w:before="40" w:after="120" w:line="220" w:lineRule="exact"/>
              <w:ind w:right="113"/>
              <w:rPr>
                <w:sz w:val="20"/>
                <w:szCs w:val="20"/>
              </w:rPr>
            </w:pPr>
            <w:r w:rsidRPr="003B17AE">
              <w:rPr>
                <w:sz w:val="20"/>
                <w:szCs w:val="20"/>
              </w:rPr>
              <w:t>22 March 2019</w:t>
            </w:r>
          </w:p>
        </w:tc>
      </w:tr>
      <w:tr w:rsidR="008B2832" w:rsidRPr="009274E0" w14:paraId="411961AA" w14:textId="77777777" w:rsidTr="00983B76">
        <w:trPr>
          <w:cantSplit/>
        </w:trPr>
        <w:tc>
          <w:tcPr>
            <w:tcW w:w="921" w:type="dxa"/>
            <w:tcBorders>
              <w:top w:val="nil"/>
              <w:left w:val="nil"/>
              <w:bottom w:val="nil"/>
              <w:right w:val="nil"/>
            </w:tcBorders>
          </w:tcPr>
          <w:p w14:paraId="7F17D6D9" w14:textId="2D5E4C27" w:rsidR="008B2832" w:rsidRPr="00983B76" w:rsidRDefault="008B2832" w:rsidP="008B2832">
            <w:pPr>
              <w:spacing w:before="40" w:after="120" w:line="220" w:lineRule="exact"/>
              <w:ind w:right="113"/>
              <w:rPr>
                <w:sz w:val="20"/>
                <w:szCs w:val="20"/>
              </w:rPr>
            </w:pPr>
            <w:r>
              <w:rPr>
                <w:sz w:val="20"/>
                <w:szCs w:val="20"/>
              </w:rPr>
              <w:t>40/21</w:t>
            </w:r>
          </w:p>
        </w:tc>
        <w:tc>
          <w:tcPr>
            <w:tcW w:w="5316" w:type="dxa"/>
            <w:tcBorders>
              <w:top w:val="nil"/>
              <w:left w:val="nil"/>
              <w:bottom w:val="nil"/>
              <w:right w:val="nil"/>
            </w:tcBorders>
          </w:tcPr>
          <w:p w14:paraId="509A3D90" w14:textId="31129588" w:rsidR="008B2832" w:rsidRPr="00983B76" w:rsidRDefault="008B2832" w:rsidP="008B2832">
            <w:pPr>
              <w:spacing w:before="40" w:after="120" w:line="220" w:lineRule="exact"/>
              <w:ind w:right="113"/>
              <w:rPr>
                <w:sz w:val="20"/>
                <w:szCs w:val="20"/>
              </w:rPr>
            </w:pPr>
            <w:r w:rsidRPr="008B2832">
              <w:rPr>
                <w:sz w:val="20"/>
                <w:szCs w:val="20"/>
              </w:rPr>
              <w:t>Human rights in the occupied Syrian Golan</w:t>
            </w:r>
          </w:p>
        </w:tc>
        <w:tc>
          <w:tcPr>
            <w:tcW w:w="1843" w:type="dxa"/>
            <w:tcBorders>
              <w:top w:val="nil"/>
              <w:left w:val="nil"/>
              <w:bottom w:val="nil"/>
              <w:right w:val="nil"/>
            </w:tcBorders>
          </w:tcPr>
          <w:p w14:paraId="4838AB88" w14:textId="5263B0E7" w:rsidR="008B2832" w:rsidRPr="00983B76" w:rsidRDefault="008B2832" w:rsidP="008B2832">
            <w:pPr>
              <w:spacing w:before="40" w:after="120" w:line="220" w:lineRule="exact"/>
              <w:ind w:right="113"/>
              <w:rPr>
                <w:sz w:val="20"/>
                <w:szCs w:val="20"/>
              </w:rPr>
            </w:pPr>
            <w:r w:rsidRPr="003B17AE">
              <w:rPr>
                <w:sz w:val="20"/>
                <w:szCs w:val="20"/>
              </w:rPr>
              <w:t>22 March 2019</w:t>
            </w:r>
          </w:p>
        </w:tc>
      </w:tr>
      <w:tr w:rsidR="008B2832" w:rsidRPr="009274E0" w14:paraId="66DE6922" w14:textId="77777777" w:rsidTr="00983B76">
        <w:trPr>
          <w:cantSplit/>
        </w:trPr>
        <w:tc>
          <w:tcPr>
            <w:tcW w:w="921" w:type="dxa"/>
            <w:tcBorders>
              <w:top w:val="nil"/>
              <w:left w:val="nil"/>
              <w:bottom w:val="nil"/>
              <w:right w:val="nil"/>
            </w:tcBorders>
          </w:tcPr>
          <w:p w14:paraId="5EEE28DC" w14:textId="5BD1F6E0" w:rsidR="008B2832" w:rsidRPr="00983B76" w:rsidRDefault="008B2832" w:rsidP="008B2832">
            <w:pPr>
              <w:spacing w:before="40" w:after="120" w:line="220" w:lineRule="exact"/>
              <w:ind w:right="113"/>
              <w:rPr>
                <w:sz w:val="20"/>
                <w:szCs w:val="20"/>
              </w:rPr>
            </w:pPr>
            <w:r>
              <w:rPr>
                <w:sz w:val="20"/>
                <w:szCs w:val="20"/>
              </w:rPr>
              <w:t>40/22</w:t>
            </w:r>
          </w:p>
        </w:tc>
        <w:tc>
          <w:tcPr>
            <w:tcW w:w="5316" w:type="dxa"/>
            <w:tcBorders>
              <w:top w:val="nil"/>
              <w:left w:val="nil"/>
              <w:bottom w:val="nil"/>
              <w:right w:val="nil"/>
            </w:tcBorders>
          </w:tcPr>
          <w:p w14:paraId="71A26825" w14:textId="5AD638B7" w:rsidR="008B2832" w:rsidRPr="00983B76" w:rsidRDefault="008B2832" w:rsidP="008B2832">
            <w:pPr>
              <w:spacing w:before="40" w:after="120" w:line="220" w:lineRule="exact"/>
              <w:ind w:right="113"/>
              <w:rPr>
                <w:sz w:val="20"/>
                <w:szCs w:val="20"/>
              </w:rPr>
            </w:pPr>
            <w:r w:rsidRPr="008B2832">
              <w:rPr>
                <w:sz w:val="20"/>
                <w:szCs w:val="20"/>
              </w:rPr>
              <w:t>Right of the Palestinian people to self-determination</w:t>
            </w:r>
          </w:p>
        </w:tc>
        <w:tc>
          <w:tcPr>
            <w:tcW w:w="1843" w:type="dxa"/>
            <w:tcBorders>
              <w:top w:val="nil"/>
              <w:left w:val="nil"/>
              <w:bottom w:val="nil"/>
              <w:right w:val="nil"/>
            </w:tcBorders>
          </w:tcPr>
          <w:p w14:paraId="7E8246AD" w14:textId="0C6AAB01" w:rsidR="008B2832" w:rsidRPr="003B17AE" w:rsidRDefault="008B2832" w:rsidP="008B2832">
            <w:pPr>
              <w:spacing w:before="40" w:after="120" w:line="220" w:lineRule="exact"/>
              <w:ind w:right="113"/>
              <w:rPr>
                <w:sz w:val="20"/>
                <w:szCs w:val="20"/>
              </w:rPr>
            </w:pPr>
            <w:r w:rsidRPr="00AB12AF">
              <w:rPr>
                <w:sz w:val="20"/>
                <w:szCs w:val="20"/>
              </w:rPr>
              <w:t>22 March 2019</w:t>
            </w:r>
          </w:p>
        </w:tc>
      </w:tr>
      <w:tr w:rsidR="008B2832" w:rsidRPr="009274E0" w14:paraId="50B4D1AC" w14:textId="77777777" w:rsidTr="00983B76">
        <w:trPr>
          <w:cantSplit/>
        </w:trPr>
        <w:tc>
          <w:tcPr>
            <w:tcW w:w="921" w:type="dxa"/>
            <w:tcBorders>
              <w:top w:val="nil"/>
              <w:left w:val="nil"/>
              <w:bottom w:val="nil"/>
              <w:right w:val="nil"/>
            </w:tcBorders>
          </w:tcPr>
          <w:p w14:paraId="03F45195" w14:textId="2168DF4A" w:rsidR="008B2832" w:rsidRPr="00983B76" w:rsidRDefault="008B2832" w:rsidP="008B2832">
            <w:pPr>
              <w:spacing w:before="40" w:after="120" w:line="220" w:lineRule="exact"/>
              <w:ind w:right="113"/>
              <w:rPr>
                <w:sz w:val="20"/>
                <w:szCs w:val="20"/>
              </w:rPr>
            </w:pPr>
            <w:r>
              <w:rPr>
                <w:sz w:val="20"/>
                <w:szCs w:val="20"/>
              </w:rPr>
              <w:t>40/23</w:t>
            </w:r>
          </w:p>
        </w:tc>
        <w:tc>
          <w:tcPr>
            <w:tcW w:w="5316" w:type="dxa"/>
            <w:tcBorders>
              <w:top w:val="nil"/>
              <w:left w:val="nil"/>
              <w:bottom w:val="nil"/>
              <w:right w:val="nil"/>
            </w:tcBorders>
          </w:tcPr>
          <w:p w14:paraId="4EEA823E" w14:textId="3A4CB69E" w:rsidR="008B2832" w:rsidRPr="00983B76" w:rsidRDefault="008B2832" w:rsidP="008B2832">
            <w:pPr>
              <w:spacing w:before="40" w:after="120" w:line="220" w:lineRule="exact"/>
              <w:ind w:right="113"/>
              <w:rPr>
                <w:sz w:val="20"/>
                <w:szCs w:val="20"/>
              </w:rPr>
            </w:pPr>
            <w:r w:rsidRPr="008B2832">
              <w:rPr>
                <w:sz w:val="20"/>
                <w:szCs w:val="20"/>
              </w:rPr>
              <w:t>Human rights situation in the Occupied Palestinian Territory, including East Jerusalem</w:t>
            </w:r>
          </w:p>
        </w:tc>
        <w:tc>
          <w:tcPr>
            <w:tcW w:w="1843" w:type="dxa"/>
            <w:tcBorders>
              <w:top w:val="nil"/>
              <w:left w:val="nil"/>
              <w:bottom w:val="nil"/>
              <w:right w:val="nil"/>
            </w:tcBorders>
          </w:tcPr>
          <w:p w14:paraId="15935872" w14:textId="732EEE59" w:rsidR="008B2832" w:rsidRPr="003B17AE" w:rsidRDefault="008B2832" w:rsidP="008B2832">
            <w:pPr>
              <w:spacing w:before="40" w:after="120" w:line="220" w:lineRule="exact"/>
              <w:ind w:right="113"/>
              <w:rPr>
                <w:sz w:val="20"/>
                <w:szCs w:val="20"/>
              </w:rPr>
            </w:pPr>
            <w:r w:rsidRPr="00AB12AF">
              <w:rPr>
                <w:sz w:val="20"/>
                <w:szCs w:val="20"/>
              </w:rPr>
              <w:t>22 March 2019</w:t>
            </w:r>
          </w:p>
        </w:tc>
      </w:tr>
      <w:tr w:rsidR="008B2832" w:rsidRPr="009274E0" w14:paraId="47914AA1" w14:textId="77777777" w:rsidTr="00983B76">
        <w:trPr>
          <w:cantSplit/>
        </w:trPr>
        <w:tc>
          <w:tcPr>
            <w:tcW w:w="921" w:type="dxa"/>
            <w:tcBorders>
              <w:top w:val="nil"/>
              <w:left w:val="nil"/>
              <w:bottom w:val="nil"/>
              <w:right w:val="nil"/>
            </w:tcBorders>
          </w:tcPr>
          <w:p w14:paraId="73048C93" w14:textId="1EE0D94B" w:rsidR="008B2832" w:rsidRPr="00983B76" w:rsidRDefault="008B2832" w:rsidP="008B2832">
            <w:pPr>
              <w:spacing w:before="40" w:after="120" w:line="220" w:lineRule="exact"/>
              <w:ind w:right="113"/>
              <w:rPr>
                <w:sz w:val="20"/>
                <w:szCs w:val="20"/>
              </w:rPr>
            </w:pPr>
            <w:r>
              <w:rPr>
                <w:sz w:val="20"/>
                <w:szCs w:val="20"/>
              </w:rPr>
              <w:t>40/24</w:t>
            </w:r>
          </w:p>
        </w:tc>
        <w:tc>
          <w:tcPr>
            <w:tcW w:w="5316" w:type="dxa"/>
            <w:tcBorders>
              <w:top w:val="nil"/>
              <w:left w:val="nil"/>
              <w:bottom w:val="nil"/>
              <w:right w:val="nil"/>
            </w:tcBorders>
          </w:tcPr>
          <w:p w14:paraId="1091E21C" w14:textId="156C47A4" w:rsidR="008B2832" w:rsidRPr="00983B76" w:rsidRDefault="008B2832" w:rsidP="008B2832">
            <w:pPr>
              <w:spacing w:before="40" w:after="120" w:line="220" w:lineRule="exact"/>
              <w:ind w:right="113"/>
              <w:rPr>
                <w:sz w:val="20"/>
                <w:szCs w:val="20"/>
              </w:rPr>
            </w:pPr>
            <w:r w:rsidRPr="008B2832">
              <w:rPr>
                <w:sz w:val="20"/>
                <w:szCs w:val="20"/>
              </w:rPr>
              <w:t>Israeli settlements in the Occupied Palestinian Territory, including East Jerusalem, and in the occupied Syrian Golan</w:t>
            </w:r>
          </w:p>
        </w:tc>
        <w:tc>
          <w:tcPr>
            <w:tcW w:w="1843" w:type="dxa"/>
            <w:tcBorders>
              <w:top w:val="nil"/>
              <w:left w:val="nil"/>
              <w:bottom w:val="nil"/>
              <w:right w:val="nil"/>
            </w:tcBorders>
          </w:tcPr>
          <w:p w14:paraId="479C05A4" w14:textId="6A7AB3E1" w:rsidR="008B2832" w:rsidRPr="003B17AE" w:rsidRDefault="008B2832" w:rsidP="008B2832">
            <w:pPr>
              <w:spacing w:before="40" w:after="120" w:line="220" w:lineRule="exact"/>
              <w:ind w:right="113"/>
              <w:rPr>
                <w:sz w:val="20"/>
                <w:szCs w:val="20"/>
              </w:rPr>
            </w:pPr>
            <w:r w:rsidRPr="00AB12AF">
              <w:rPr>
                <w:sz w:val="20"/>
                <w:szCs w:val="20"/>
              </w:rPr>
              <w:t>22 March 2019</w:t>
            </w:r>
          </w:p>
        </w:tc>
      </w:tr>
      <w:tr w:rsidR="008B2832" w:rsidRPr="009274E0" w14:paraId="20DBDC62" w14:textId="77777777" w:rsidTr="00983B76">
        <w:trPr>
          <w:cantSplit/>
        </w:trPr>
        <w:tc>
          <w:tcPr>
            <w:tcW w:w="921" w:type="dxa"/>
            <w:tcBorders>
              <w:top w:val="nil"/>
              <w:left w:val="nil"/>
              <w:bottom w:val="nil"/>
              <w:right w:val="nil"/>
            </w:tcBorders>
          </w:tcPr>
          <w:p w14:paraId="2E2A5526" w14:textId="41BE749C" w:rsidR="008B2832" w:rsidRPr="00983B76" w:rsidRDefault="008B2832" w:rsidP="008B2832">
            <w:pPr>
              <w:spacing w:before="40" w:after="120" w:line="220" w:lineRule="exact"/>
              <w:ind w:right="113"/>
              <w:rPr>
                <w:sz w:val="20"/>
                <w:szCs w:val="20"/>
              </w:rPr>
            </w:pPr>
            <w:r>
              <w:rPr>
                <w:sz w:val="20"/>
                <w:szCs w:val="20"/>
              </w:rPr>
              <w:t>40/25</w:t>
            </w:r>
          </w:p>
        </w:tc>
        <w:tc>
          <w:tcPr>
            <w:tcW w:w="5316" w:type="dxa"/>
            <w:tcBorders>
              <w:top w:val="nil"/>
              <w:left w:val="nil"/>
              <w:bottom w:val="nil"/>
              <w:right w:val="nil"/>
            </w:tcBorders>
          </w:tcPr>
          <w:p w14:paraId="29115352" w14:textId="3449DB4C" w:rsidR="008B2832" w:rsidRPr="00983B76" w:rsidRDefault="008B2832" w:rsidP="008B2832">
            <w:pPr>
              <w:spacing w:before="40" w:after="120" w:line="220" w:lineRule="exact"/>
              <w:ind w:right="113"/>
              <w:rPr>
                <w:sz w:val="20"/>
                <w:szCs w:val="20"/>
              </w:rPr>
            </w:pPr>
            <w:r w:rsidRPr="008B2832">
              <w:rPr>
                <w:sz w:val="20"/>
                <w:szCs w:val="20"/>
              </w:rPr>
              <w:t>Combating intolerance, negative stereotyping and stigmatization of, and discrimination, incitement to violence and violence against, persons based on religion or belief</w:t>
            </w:r>
          </w:p>
        </w:tc>
        <w:tc>
          <w:tcPr>
            <w:tcW w:w="1843" w:type="dxa"/>
            <w:tcBorders>
              <w:top w:val="nil"/>
              <w:left w:val="nil"/>
              <w:bottom w:val="nil"/>
              <w:right w:val="nil"/>
            </w:tcBorders>
          </w:tcPr>
          <w:p w14:paraId="18B63354" w14:textId="0053C025" w:rsidR="008B2832" w:rsidRPr="003B17AE" w:rsidRDefault="008B2832" w:rsidP="008B2832">
            <w:pPr>
              <w:spacing w:before="40" w:after="120" w:line="220" w:lineRule="exact"/>
              <w:ind w:right="113"/>
              <w:rPr>
                <w:sz w:val="20"/>
                <w:szCs w:val="20"/>
              </w:rPr>
            </w:pPr>
            <w:r w:rsidRPr="00AB12AF">
              <w:rPr>
                <w:sz w:val="20"/>
                <w:szCs w:val="20"/>
              </w:rPr>
              <w:t>22 March 2019</w:t>
            </w:r>
          </w:p>
        </w:tc>
      </w:tr>
      <w:tr w:rsidR="008B2832" w:rsidRPr="009274E0" w14:paraId="2EF8E42A" w14:textId="77777777" w:rsidTr="00983B76">
        <w:trPr>
          <w:cantSplit/>
        </w:trPr>
        <w:tc>
          <w:tcPr>
            <w:tcW w:w="921" w:type="dxa"/>
            <w:tcBorders>
              <w:top w:val="nil"/>
              <w:left w:val="nil"/>
              <w:bottom w:val="nil"/>
              <w:right w:val="nil"/>
            </w:tcBorders>
          </w:tcPr>
          <w:p w14:paraId="1A0C9BEA" w14:textId="0675A2F9" w:rsidR="008B2832" w:rsidRPr="00983B76" w:rsidRDefault="008B2832" w:rsidP="008B2832">
            <w:pPr>
              <w:spacing w:before="40" w:after="120" w:line="220" w:lineRule="exact"/>
              <w:ind w:right="113"/>
              <w:rPr>
                <w:sz w:val="20"/>
                <w:szCs w:val="20"/>
              </w:rPr>
            </w:pPr>
            <w:r>
              <w:rPr>
                <w:sz w:val="20"/>
                <w:szCs w:val="20"/>
              </w:rPr>
              <w:t>40/26</w:t>
            </w:r>
          </w:p>
        </w:tc>
        <w:tc>
          <w:tcPr>
            <w:tcW w:w="5316" w:type="dxa"/>
            <w:tcBorders>
              <w:top w:val="nil"/>
              <w:left w:val="nil"/>
              <w:bottom w:val="nil"/>
              <w:right w:val="nil"/>
            </w:tcBorders>
          </w:tcPr>
          <w:p w14:paraId="70C60D69" w14:textId="15DF6A0C" w:rsidR="008B2832" w:rsidRPr="00983B76" w:rsidRDefault="008B2832" w:rsidP="008B2832">
            <w:pPr>
              <w:spacing w:before="40" w:after="120" w:line="220" w:lineRule="exact"/>
              <w:ind w:right="113"/>
              <w:rPr>
                <w:sz w:val="20"/>
                <w:szCs w:val="20"/>
              </w:rPr>
            </w:pPr>
            <w:r w:rsidRPr="008B2832">
              <w:rPr>
                <w:sz w:val="20"/>
                <w:szCs w:val="20"/>
              </w:rPr>
              <w:t>Technical assistance and capacity-building for Mali in the field of human rights</w:t>
            </w:r>
          </w:p>
        </w:tc>
        <w:tc>
          <w:tcPr>
            <w:tcW w:w="1843" w:type="dxa"/>
            <w:tcBorders>
              <w:top w:val="nil"/>
              <w:left w:val="nil"/>
              <w:bottom w:val="nil"/>
              <w:right w:val="nil"/>
            </w:tcBorders>
          </w:tcPr>
          <w:p w14:paraId="78FD7831" w14:textId="27FEF328" w:rsidR="008B2832" w:rsidRPr="003B17AE" w:rsidRDefault="008B2832" w:rsidP="008B2832">
            <w:pPr>
              <w:spacing w:before="40" w:after="120" w:line="220" w:lineRule="exact"/>
              <w:ind w:right="113"/>
              <w:rPr>
                <w:sz w:val="20"/>
                <w:szCs w:val="20"/>
              </w:rPr>
            </w:pPr>
            <w:r w:rsidRPr="00AB12AF">
              <w:rPr>
                <w:sz w:val="20"/>
                <w:szCs w:val="20"/>
              </w:rPr>
              <w:t>22 March 2019</w:t>
            </w:r>
          </w:p>
        </w:tc>
      </w:tr>
      <w:tr w:rsidR="008B2832" w:rsidRPr="009274E0" w14:paraId="34ACFEB6" w14:textId="77777777" w:rsidTr="00983B76">
        <w:trPr>
          <w:cantSplit/>
        </w:trPr>
        <w:tc>
          <w:tcPr>
            <w:tcW w:w="921" w:type="dxa"/>
            <w:tcBorders>
              <w:top w:val="nil"/>
              <w:left w:val="nil"/>
              <w:bottom w:val="nil"/>
              <w:right w:val="nil"/>
            </w:tcBorders>
          </w:tcPr>
          <w:p w14:paraId="0FD93A21" w14:textId="1625FC8F" w:rsidR="008B2832" w:rsidRDefault="008B2832" w:rsidP="008B2832">
            <w:pPr>
              <w:spacing w:before="40" w:after="120" w:line="220" w:lineRule="exact"/>
              <w:ind w:right="113"/>
              <w:rPr>
                <w:sz w:val="20"/>
                <w:szCs w:val="20"/>
              </w:rPr>
            </w:pPr>
            <w:r>
              <w:rPr>
                <w:sz w:val="20"/>
                <w:szCs w:val="20"/>
              </w:rPr>
              <w:t>40/27</w:t>
            </w:r>
          </w:p>
        </w:tc>
        <w:tc>
          <w:tcPr>
            <w:tcW w:w="5316" w:type="dxa"/>
            <w:tcBorders>
              <w:top w:val="nil"/>
              <w:left w:val="nil"/>
              <w:bottom w:val="nil"/>
              <w:right w:val="nil"/>
            </w:tcBorders>
          </w:tcPr>
          <w:p w14:paraId="1B97CD1F" w14:textId="403E45EE" w:rsidR="008B2832" w:rsidRPr="00983B76" w:rsidRDefault="008B2832" w:rsidP="008B2832">
            <w:pPr>
              <w:spacing w:before="40" w:after="120" w:line="220" w:lineRule="exact"/>
              <w:ind w:right="113"/>
              <w:rPr>
                <w:sz w:val="20"/>
                <w:szCs w:val="20"/>
              </w:rPr>
            </w:pPr>
            <w:r w:rsidRPr="008B2832">
              <w:rPr>
                <w:sz w:val="20"/>
                <w:szCs w:val="20"/>
              </w:rPr>
              <w:t>Technical assistance and capacity-building to improve human rights in Libya</w:t>
            </w:r>
          </w:p>
        </w:tc>
        <w:tc>
          <w:tcPr>
            <w:tcW w:w="1843" w:type="dxa"/>
            <w:tcBorders>
              <w:top w:val="nil"/>
              <w:left w:val="nil"/>
              <w:bottom w:val="nil"/>
              <w:right w:val="nil"/>
            </w:tcBorders>
          </w:tcPr>
          <w:p w14:paraId="29A4DC87" w14:textId="1532A703" w:rsidR="008B2832" w:rsidRPr="00AB12AF" w:rsidRDefault="008B2832" w:rsidP="008B2832">
            <w:pPr>
              <w:spacing w:before="40" w:after="120" w:line="220" w:lineRule="exact"/>
              <w:ind w:right="113"/>
              <w:rPr>
                <w:sz w:val="20"/>
                <w:szCs w:val="20"/>
              </w:rPr>
            </w:pPr>
            <w:r w:rsidRPr="00AB12AF">
              <w:rPr>
                <w:sz w:val="20"/>
                <w:szCs w:val="20"/>
              </w:rPr>
              <w:t>22 March 2019</w:t>
            </w:r>
          </w:p>
        </w:tc>
      </w:tr>
      <w:tr w:rsidR="008B2832" w:rsidRPr="009274E0" w14:paraId="58E99EA9" w14:textId="77777777" w:rsidTr="00983B76">
        <w:trPr>
          <w:cantSplit/>
        </w:trPr>
        <w:tc>
          <w:tcPr>
            <w:tcW w:w="921" w:type="dxa"/>
            <w:tcBorders>
              <w:top w:val="nil"/>
              <w:left w:val="nil"/>
              <w:bottom w:val="nil"/>
              <w:right w:val="nil"/>
            </w:tcBorders>
          </w:tcPr>
          <w:p w14:paraId="05C487C2" w14:textId="0BB30A8E" w:rsidR="008B2832" w:rsidRPr="00983B76" w:rsidRDefault="008B2832" w:rsidP="008B2832">
            <w:pPr>
              <w:spacing w:before="40" w:after="120" w:line="220" w:lineRule="exact"/>
              <w:ind w:right="113"/>
              <w:rPr>
                <w:sz w:val="20"/>
                <w:szCs w:val="20"/>
              </w:rPr>
            </w:pPr>
            <w:r>
              <w:rPr>
                <w:sz w:val="20"/>
                <w:szCs w:val="20"/>
              </w:rPr>
              <w:t>40/28</w:t>
            </w:r>
          </w:p>
        </w:tc>
        <w:tc>
          <w:tcPr>
            <w:tcW w:w="5316" w:type="dxa"/>
            <w:tcBorders>
              <w:top w:val="nil"/>
              <w:left w:val="nil"/>
              <w:bottom w:val="nil"/>
              <w:right w:val="nil"/>
            </w:tcBorders>
          </w:tcPr>
          <w:p w14:paraId="5F98DE83" w14:textId="55FF45A6" w:rsidR="008B2832" w:rsidRPr="00983B76" w:rsidRDefault="008B2832" w:rsidP="008B2832">
            <w:pPr>
              <w:spacing w:before="40" w:after="120" w:line="220" w:lineRule="exact"/>
              <w:ind w:right="113"/>
              <w:rPr>
                <w:sz w:val="20"/>
                <w:szCs w:val="20"/>
              </w:rPr>
            </w:pPr>
            <w:r w:rsidRPr="008B2832">
              <w:rPr>
                <w:sz w:val="20"/>
                <w:szCs w:val="20"/>
              </w:rPr>
              <w:t>Cooperation with Georgia</w:t>
            </w:r>
          </w:p>
        </w:tc>
        <w:tc>
          <w:tcPr>
            <w:tcW w:w="1843" w:type="dxa"/>
            <w:tcBorders>
              <w:top w:val="nil"/>
              <w:left w:val="nil"/>
              <w:bottom w:val="nil"/>
              <w:right w:val="nil"/>
            </w:tcBorders>
          </w:tcPr>
          <w:p w14:paraId="069D3AE9" w14:textId="55866BE1" w:rsidR="008B2832" w:rsidRPr="00983B76" w:rsidRDefault="008B2832" w:rsidP="008B2832">
            <w:pPr>
              <w:spacing w:before="40" w:after="120" w:line="220" w:lineRule="exact"/>
              <w:ind w:right="113"/>
              <w:rPr>
                <w:sz w:val="20"/>
                <w:szCs w:val="20"/>
              </w:rPr>
            </w:pPr>
            <w:r w:rsidRPr="003B17AE">
              <w:rPr>
                <w:sz w:val="20"/>
                <w:szCs w:val="20"/>
              </w:rPr>
              <w:t>22 March 2019</w:t>
            </w:r>
          </w:p>
        </w:tc>
      </w:tr>
      <w:tr w:rsidR="008B2832" w:rsidRPr="009274E0" w14:paraId="2FF58C08" w14:textId="77777777" w:rsidTr="00983B76">
        <w:trPr>
          <w:cantSplit/>
        </w:trPr>
        <w:tc>
          <w:tcPr>
            <w:tcW w:w="921" w:type="dxa"/>
            <w:tcBorders>
              <w:top w:val="nil"/>
              <w:left w:val="nil"/>
              <w:bottom w:val="single" w:sz="12" w:space="0" w:color="auto"/>
              <w:right w:val="nil"/>
            </w:tcBorders>
          </w:tcPr>
          <w:p w14:paraId="1578A512" w14:textId="106F7FFA" w:rsidR="008B2832" w:rsidRPr="00983B76" w:rsidRDefault="008B2832" w:rsidP="008B2832">
            <w:pPr>
              <w:spacing w:before="40" w:after="120" w:line="220" w:lineRule="exact"/>
              <w:ind w:right="113"/>
              <w:rPr>
                <w:sz w:val="20"/>
                <w:szCs w:val="20"/>
              </w:rPr>
            </w:pPr>
            <w:r>
              <w:rPr>
                <w:sz w:val="20"/>
                <w:szCs w:val="20"/>
              </w:rPr>
              <w:t>40/29</w:t>
            </w:r>
          </w:p>
        </w:tc>
        <w:tc>
          <w:tcPr>
            <w:tcW w:w="5316" w:type="dxa"/>
            <w:tcBorders>
              <w:top w:val="nil"/>
              <w:left w:val="nil"/>
              <w:bottom w:val="single" w:sz="12" w:space="0" w:color="auto"/>
              <w:right w:val="nil"/>
            </w:tcBorders>
          </w:tcPr>
          <w:p w14:paraId="506157B0" w14:textId="317F9318" w:rsidR="008B2832" w:rsidRPr="00983B76" w:rsidRDefault="008B2832" w:rsidP="008B2832">
            <w:pPr>
              <w:spacing w:before="40" w:after="120" w:line="220" w:lineRule="exact"/>
              <w:ind w:right="113"/>
              <w:rPr>
                <w:sz w:val="20"/>
                <w:szCs w:val="20"/>
              </w:rPr>
            </w:pPr>
            <w:r w:rsidRPr="008B2832">
              <w:rPr>
                <w:sz w:val="20"/>
                <w:szCs w:val="20"/>
              </w:rPr>
              <w:t>Situation of human rights in Myanmar</w:t>
            </w:r>
          </w:p>
        </w:tc>
        <w:tc>
          <w:tcPr>
            <w:tcW w:w="1843" w:type="dxa"/>
            <w:tcBorders>
              <w:top w:val="nil"/>
              <w:left w:val="nil"/>
              <w:bottom w:val="single" w:sz="12" w:space="0" w:color="auto"/>
              <w:right w:val="nil"/>
            </w:tcBorders>
          </w:tcPr>
          <w:p w14:paraId="416DE4F6" w14:textId="20E5680A" w:rsidR="008B2832" w:rsidRPr="00983B76" w:rsidRDefault="008B2832" w:rsidP="008B2832">
            <w:pPr>
              <w:spacing w:before="40" w:after="120" w:line="220" w:lineRule="exact"/>
              <w:ind w:right="113"/>
              <w:rPr>
                <w:sz w:val="20"/>
                <w:szCs w:val="20"/>
              </w:rPr>
            </w:pPr>
            <w:r w:rsidRPr="003B17AE">
              <w:rPr>
                <w:sz w:val="20"/>
                <w:szCs w:val="20"/>
              </w:rPr>
              <w:t>22 March 2019</w:t>
            </w:r>
          </w:p>
        </w:tc>
      </w:tr>
    </w:tbl>
    <w:p w14:paraId="2EA58745" w14:textId="420F3730" w:rsidR="00F11B08" w:rsidRPr="00C16037" w:rsidRDefault="006D6131" w:rsidP="00415787">
      <w:pPr>
        <w:pStyle w:val="HChG"/>
        <w:rPr>
          <w:color w:val="000000" w:themeColor="text1"/>
        </w:rPr>
      </w:pPr>
      <w:r w:rsidRPr="00C16037">
        <w:rPr>
          <w:color w:val="000000" w:themeColor="text1"/>
        </w:rPr>
        <w:tab/>
      </w:r>
      <w:r w:rsidR="00F11B08" w:rsidRPr="00C16037">
        <w:rPr>
          <w:color w:val="000000" w:themeColor="text1"/>
        </w:rPr>
        <w:t>II.</w:t>
      </w:r>
      <w:r w:rsidRPr="00C16037">
        <w:rPr>
          <w:color w:val="000000" w:themeColor="text1"/>
        </w:rPr>
        <w:tab/>
      </w:r>
      <w:r w:rsidR="00F11B08" w:rsidRPr="00C16037">
        <w:rPr>
          <w:color w:val="000000" w:themeColor="text1"/>
        </w:rPr>
        <w:t>Decisions</w:t>
      </w:r>
      <w:bookmarkEnd w:id="7"/>
      <w:bookmarkEnd w:id="8"/>
      <w:bookmarkEnd w:id="9"/>
      <w:bookmarkEnd w:id="10"/>
    </w:p>
    <w:tbl>
      <w:tblPr>
        <w:tblW w:w="808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840"/>
        <w:gridCol w:w="11"/>
        <w:gridCol w:w="5386"/>
        <w:gridCol w:w="1843"/>
      </w:tblGrid>
      <w:tr w:rsidR="00983B76" w:rsidRPr="009274E0" w14:paraId="1754BA89" w14:textId="77777777" w:rsidTr="00983B76">
        <w:trPr>
          <w:cantSplit/>
          <w:tblHeader/>
        </w:trPr>
        <w:tc>
          <w:tcPr>
            <w:tcW w:w="851" w:type="dxa"/>
            <w:gridSpan w:val="2"/>
            <w:tcBorders>
              <w:top w:val="single" w:sz="4" w:space="0" w:color="auto"/>
              <w:left w:val="nil"/>
              <w:bottom w:val="single" w:sz="12" w:space="0" w:color="auto"/>
              <w:right w:val="nil"/>
            </w:tcBorders>
            <w:vAlign w:val="bottom"/>
            <w:hideMark/>
          </w:tcPr>
          <w:p w14:paraId="1E2D740D" w14:textId="77777777" w:rsidR="00983B76" w:rsidRPr="009274E0" w:rsidRDefault="00983B76" w:rsidP="00983B76">
            <w:pPr>
              <w:spacing w:before="80" w:after="80" w:line="200" w:lineRule="exact"/>
              <w:ind w:right="113"/>
              <w:rPr>
                <w:i/>
                <w:sz w:val="16"/>
                <w:szCs w:val="16"/>
              </w:rPr>
            </w:pPr>
            <w:bookmarkStart w:id="11" w:name="_Toc306617763"/>
            <w:bookmarkStart w:id="12" w:name="_Toc306693594"/>
            <w:bookmarkStart w:id="13" w:name="_Toc334793476"/>
            <w:bookmarkStart w:id="14" w:name="_Toc365373049"/>
            <w:r w:rsidRPr="009274E0">
              <w:rPr>
                <w:i/>
                <w:sz w:val="16"/>
                <w:szCs w:val="16"/>
              </w:rPr>
              <w:t>Decision</w:t>
            </w:r>
          </w:p>
        </w:tc>
        <w:tc>
          <w:tcPr>
            <w:tcW w:w="5386" w:type="dxa"/>
            <w:tcBorders>
              <w:top w:val="single" w:sz="4" w:space="0" w:color="auto"/>
              <w:left w:val="nil"/>
              <w:bottom w:val="single" w:sz="12" w:space="0" w:color="auto"/>
              <w:right w:val="nil"/>
            </w:tcBorders>
            <w:vAlign w:val="bottom"/>
            <w:hideMark/>
          </w:tcPr>
          <w:p w14:paraId="50C9D61C" w14:textId="77777777" w:rsidR="00983B76" w:rsidRPr="009274E0" w:rsidRDefault="00983B76" w:rsidP="00983B76">
            <w:pPr>
              <w:spacing w:before="80" w:after="80" w:line="200" w:lineRule="exact"/>
              <w:ind w:right="113"/>
              <w:rPr>
                <w:i/>
                <w:sz w:val="16"/>
                <w:szCs w:val="16"/>
              </w:rPr>
            </w:pPr>
            <w:r w:rsidRPr="009274E0">
              <w:rPr>
                <w:i/>
                <w:sz w:val="16"/>
                <w:szCs w:val="16"/>
              </w:rPr>
              <w:t>Title</w:t>
            </w:r>
          </w:p>
        </w:tc>
        <w:tc>
          <w:tcPr>
            <w:tcW w:w="1843" w:type="dxa"/>
            <w:tcBorders>
              <w:top w:val="single" w:sz="4" w:space="0" w:color="auto"/>
              <w:left w:val="nil"/>
              <w:bottom w:val="single" w:sz="12" w:space="0" w:color="auto"/>
              <w:right w:val="nil"/>
            </w:tcBorders>
            <w:vAlign w:val="bottom"/>
            <w:hideMark/>
          </w:tcPr>
          <w:p w14:paraId="6A27E3A2" w14:textId="77777777" w:rsidR="00983B76" w:rsidRPr="009274E0" w:rsidRDefault="00983B76" w:rsidP="00983B76">
            <w:pPr>
              <w:spacing w:before="80" w:after="80" w:line="200" w:lineRule="exact"/>
              <w:ind w:right="113"/>
              <w:rPr>
                <w:i/>
                <w:sz w:val="16"/>
                <w:szCs w:val="16"/>
              </w:rPr>
            </w:pPr>
            <w:r w:rsidRPr="009274E0">
              <w:rPr>
                <w:i/>
                <w:sz w:val="16"/>
                <w:szCs w:val="16"/>
              </w:rPr>
              <w:t>Date of adoption</w:t>
            </w:r>
          </w:p>
        </w:tc>
      </w:tr>
      <w:tr w:rsidR="00983B76" w:rsidRPr="009274E0" w14:paraId="26338FC9" w14:textId="77777777" w:rsidTr="00983B76">
        <w:tc>
          <w:tcPr>
            <w:tcW w:w="851" w:type="dxa"/>
            <w:gridSpan w:val="2"/>
            <w:tcBorders>
              <w:top w:val="single" w:sz="12" w:space="0" w:color="auto"/>
              <w:left w:val="nil"/>
              <w:bottom w:val="nil"/>
              <w:right w:val="nil"/>
            </w:tcBorders>
            <w:vAlign w:val="center"/>
            <w:hideMark/>
          </w:tcPr>
          <w:p w14:paraId="2884D6D6" w14:textId="7129822F" w:rsidR="00983B76" w:rsidRPr="00983B76" w:rsidRDefault="008B2832" w:rsidP="00983B76">
            <w:pPr>
              <w:spacing w:before="40" w:after="120" w:line="220" w:lineRule="exact"/>
              <w:ind w:right="113"/>
              <w:rPr>
                <w:sz w:val="20"/>
                <w:szCs w:val="20"/>
              </w:rPr>
            </w:pPr>
            <w:r>
              <w:rPr>
                <w:sz w:val="20"/>
                <w:szCs w:val="20"/>
              </w:rPr>
              <w:t>40</w:t>
            </w:r>
            <w:r w:rsidR="00983B76" w:rsidRPr="00983B76">
              <w:rPr>
                <w:sz w:val="20"/>
                <w:szCs w:val="20"/>
              </w:rPr>
              <w:t xml:space="preserve">/101 </w:t>
            </w:r>
          </w:p>
        </w:tc>
        <w:tc>
          <w:tcPr>
            <w:tcW w:w="5386" w:type="dxa"/>
            <w:tcBorders>
              <w:top w:val="single" w:sz="12" w:space="0" w:color="auto"/>
              <w:left w:val="nil"/>
              <w:bottom w:val="nil"/>
              <w:right w:val="nil"/>
            </w:tcBorders>
            <w:vAlign w:val="center"/>
            <w:hideMark/>
          </w:tcPr>
          <w:p w14:paraId="0B32AB02" w14:textId="67A5C5C8" w:rsidR="00983B76" w:rsidRPr="00983B76" w:rsidRDefault="00983B76" w:rsidP="00983B76">
            <w:pPr>
              <w:spacing w:before="40" w:after="120" w:line="220" w:lineRule="exact"/>
              <w:ind w:right="227"/>
              <w:rPr>
                <w:sz w:val="20"/>
                <w:szCs w:val="20"/>
              </w:rPr>
            </w:pPr>
            <w:r w:rsidRPr="00983B76">
              <w:rPr>
                <w:sz w:val="20"/>
                <w:szCs w:val="20"/>
              </w:rPr>
              <w:t xml:space="preserve">Outcome of the universal periodic review: </w:t>
            </w:r>
            <w:r w:rsidR="008B2832" w:rsidRPr="008B2832">
              <w:rPr>
                <w:sz w:val="20"/>
                <w:szCs w:val="20"/>
              </w:rPr>
              <w:t>Saudi Arabia</w:t>
            </w:r>
          </w:p>
        </w:tc>
        <w:tc>
          <w:tcPr>
            <w:tcW w:w="1843" w:type="dxa"/>
            <w:tcBorders>
              <w:top w:val="single" w:sz="12" w:space="0" w:color="auto"/>
              <w:left w:val="nil"/>
              <w:bottom w:val="nil"/>
              <w:right w:val="nil"/>
            </w:tcBorders>
          </w:tcPr>
          <w:p w14:paraId="31D72858" w14:textId="65FCA5AA" w:rsidR="00983B76" w:rsidRPr="00983B76" w:rsidRDefault="008B2832" w:rsidP="00983B76">
            <w:pPr>
              <w:rPr>
                <w:sz w:val="20"/>
                <w:szCs w:val="20"/>
              </w:rPr>
            </w:pPr>
            <w:r w:rsidRPr="008B2832">
              <w:rPr>
                <w:sz w:val="20"/>
                <w:szCs w:val="20"/>
              </w:rPr>
              <w:t>14 March 2019</w:t>
            </w:r>
          </w:p>
        </w:tc>
      </w:tr>
      <w:tr w:rsidR="008B2832" w:rsidRPr="009274E0" w14:paraId="6681EABB" w14:textId="77777777" w:rsidTr="00983B76">
        <w:tc>
          <w:tcPr>
            <w:tcW w:w="851" w:type="dxa"/>
            <w:gridSpan w:val="2"/>
            <w:tcBorders>
              <w:top w:val="nil"/>
              <w:left w:val="nil"/>
              <w:bottom w:val="nil"/>
              <w:right w:val="nil"/>
            </w:tcBorders>
            <w:vAlign w:val="center"/>
            <w:hideMark/>
          </w:tcPr>
          <w:p w14:paraId="231FE75D" w14:textId="645C6B86" w:rsidR="008B2832" w:rsidRPr="00983B76" w:rsidRDefault="008B2832" w:rsidP="008B2832">
            <w:pPr>
              <w:spacing w:before="40" w:after="120" w:line="220" w:lineRule="exact"/>
              <w:ind w:right="113"/>
              <w:rPr>
                <w:sz w:val="20"/>
                <w:szCs w:val="20"/>
              </w:rPr>
            </w:pPr>
            <w:r>
              <w:rPr>
                <w:sz w:val="20"/>
                <w:szCs w:val="20"/>
              </w:rPr>
              <w:t>40</w:t>
            </w:r>
            <w:r w:rsidRPr="00983B76">
              <w:rPr>
                <w:sz w:val="20"/>
                <w:szCs w:val="20"/>
              </w:rPr>
              <w:t>/102</w:t>
            </w:r>
          </w:p>
        </w:tc>
        <w:tc>
          <w:tcPr>
            <w:tcW w:w="5386" w:type="dxa"/>
            <w:tcBorders>
              <w:top w:val="nil"/>
              <w:left w:val="nil"/>
              <w:bottom w:val="nil"/>
              <w:right w:val="nil"/>
            </w:tcBorders>
            <w:vAlign w:val="center"/>
            <w:hideMark/>
          </w:tcPr>
          <w:p w14:paraId="19FBB05B" w14:textId="1C6B7806" w:rsidR="008B2832" w:rsidRPr="00983B76" w:rsidRDefault="008B2832" w:rsidP="008B2832">
            <w:pPr>
              <w:rPr>
                <w:sz w:val="20"/>
                <w:szCs w:val="20"/>
              </w:rPr>
            </w:pPr>
            <w:r w:rsidRPr="00983B76">
              <w:rPr>
                <w:sz w:val="20"/>
                <w:szCs w:val="20"/>
              </w:rPr>
              <w:t xml:space="preserve">Outcome of the universal periodic review: </w:t>
            </w:r>
            <w:r w:rsidRPr="008B2832">
              <w:rPr>
                <w:sz w:val="20"/>
                <w:szCs w:val="20"/>
              </w:rPr>
              <w:t>Senegal</w:t>
            </w:r>
          </w:p>
        </w:tc>
        <w:tc>
          <w:tcPr>
            <w:tcW w:w="1843" w:type="dxa"/>
            <w:tcBorders>
              <w:top w:val="nil"/>
              <w:left w:val="nil"/>
              <w:bottom w:val="nil"/>
              <w:right w:val="nil"/>
            </w:tcBorders>
          </w:tcPr>
          <w:p w14:paraId="67A9572B" w14:textId="6442F954" w:rsidR="008B2832" w:rsidRPr="00983B76" w:rsidRDefault="008B2832" w:rsidP="008B2832">
            <w:pPr>
              <w:rPr>
                <w:sz w:val="20"/>
                <w:szCs w:val="20"/>
              </w:rPr>
            </w:pPr>
            <w:r w:rsidRPr="002120A0">
              <w:rPr>
                <w:sz w:val="20"/>
                <w:szCs w:val="20"/>
              </w:rPr>
              <w:t>14 March 2019</w:t>
            </w:r>
          </w:p>
        </w:tc>
      </w:tr>
      <w:tr w:rsidR="008B2832" w:rsidRPr="009274E0" w14:paraId="27AAE311" w14:textId="77777777" w:rsidTr="00983B76">
        <w:tc>
          <w:tcPr>
            <w:tcW w:w="851" w:type="dxa"/>
            <w:gridSpan w:val="2"/>
            <w:tcBorders>
              <w:top w:val="nil"/>
              <w:left w:val="nil"/>
              <w:bottom w:val="nil"/>
              <w:right w:val="nil"/>
            </w:tcBorders>
            <w:vAlign w:val="center"/>
            <w:hideMark/>
          </w:tcPr>
          <w:p w14:paraId="2116E72B" w14:textId="3B1BDDE3" w:rsidR="008B2832" w:rsidRPr="00983B76" w:rsidRDefault="008B2832" w:rsidP="008B2832">
            <w:pPr>
              <w:spacing w:before="40" w:after="120" w:line="220" w:lineRule="exact"/>
              <w:ind w:right="113"/>
              <w:rPr>
                <w:sz w:val="20"/>
                <w:szCs w:val="20"/>
              </w:rPr>
            </w:pPr>
            <w:r>
              <w:rPr>
                <w:sz w:val="20"/>
                <w:szCs w:val="20"/>
              </w:rPr>
              <w:t>40</w:t>
            </w:r>
            <w:r w:rsidRPr="00983B76">
              <w:rPr>
                <w:sz w:val="20"/>
                <w:szCs w:val="20"/>
              </w:rPr>
              <w:t>/103</w:t>
            </w:r>
          </w:p>
        </w:tc>
        <w:tc>
          <w:tcPr>
            <w:tcW w:w="5386" w:type="dxa"/>
            <w:tcBorders>
              <w:top w:val="nil"/>
              <w:left w:val="nil"/>
              <w:bottom w:val="nil"/>
              <w:right w:val="nil"/>
            </w:tcBorders>
            <w:vAlign w:val="center"/>
            <w:hideMark/>
          </w:tcPr>
          <w:p w14:paraId="06AF314B" w14:textId="59839967" w:rsidR="008B2832" w:rsidRPr="00983B76" w:rsidRDefault="008B2832" w:rsidP="008B2832">
            <w:pPr>
              <w:rPr>
                <w:sz w:val="20"/>
                <w:szCs w:val="20"/>
              </w:rPr>
            </w:pPr>
            <w:r w:rsidRPr="00983B76">
              <w:rPr>
                <w:sz w:val="20"/>
                <w:szCs w:val="20"/>
              </w:rPr>
              <w:t xml:space="preserve">Outcome of the universal periodic review: </w:t>
            </w:r>
            <w:r w:rsidRPr="008B2832">
              <w:rPr>
                <w:sz w:val="20"/>
                <w:szCs w:val="20"/>
              </w:rPr>
              <w:t>Congo</w:t>
            </w:r>
          </w:p>
        </w:tc>
        <w:tc>
          <w:tcPr>
            <w:tcW w:w="1843" w:type="dxa"/>
            <w:tcBorders>
              <w:top w:val="nil"/>
              <w:left w:val="nil"/>
              <w:bottom w:val="nil"/>
              <w:right w:val="nil"/>
            </w:tcBorders>
          </w:tcPr>
          <w:p w14:paraId="0A02C777" w14:textId="7863E953" w:rsidR="008B2832" w:rsidRPr="00983B76" w:rsidRDefault="008B2832" w:rsidP="008B2832">
            <w:pPr>
              <w:rPr>
                <w:sz w:val="20"/>
                <w:szCs w:val="20"/>
              </w:rPr>
            </w:pPr>
            <w:r w:rsidRPr="002120A0">
              <w:rPr>
                <w:sz w:val="20"/>
                <w:szCs w:val="20"/>
              </w:rPr>
              <w:t>14 March 2019</w:t>
            </w:r>
          </w:p>
        </w:tc>
      </w:tr>
      <w:tr w:rsidR="008B2832" w:rsidRPr="009274E0" w14:paraId="55E56F1C" w14:textId="77777777" w:rsidTr="00983B76">
        <w:tc>
          <w:tcPr>
            <w:tcW w:w="851" w:type="dxa"/>
            <w:gridSpan w:val="2"/>
            <w:tcBorders>
              <w:top w:val="nil"/>
              <w:left w:val="nil"/>
              <w:bottom w:val="nil"/>
              <w:right w:val="nil"/>
            </w:tcBorders>
            <w:vAlign w:val="center"/>
            <w:hideMark/>
          </w:tcPr>
          <w:p w14:paraId="61D5DDEA" w14:textId="4D8453DD" w:rsidR="008B2832" w:rsidRPr="00983B76" w:rsidRDefault="008B2832" w:rsidP="008B2832">
            <w:pPr>
              <w:spacing w:before="40" w:after="120" w:line="220" w:lineRule="exact"/>
              <w:ind w:right="113"/>
              <w:rPr>
                <w:sz w:val="20"/>
                <w:szCs w:val="20"/>
              </w:rPr>
            </w:pPr>
            <w:r>
              <w:rPr>
                <w:sz w:val="20"/>
                <w:szCs w:val="20"/>
              </w:rPr>
              <w:t>40</w:t>
            </w:r>
            <w:r w:rsidRPr="00983B76">
              <w:rPr>
                <w:sz w:val="20"/>
                <w:szCs w:val="20"/>
              </w:rPr>
              <w:t>/104</w:t>
            </w:r>
          </w:p>
        </w:tc>
        <w:tc>
          <w:tcPr>
            <w:tcW w:w="5386" w:type="dxa"/>
            <w:tcBorders>
              <w:top w:val="nil"/>
              <w:left w:val="nil"/>
              <w:bottom w:val="nil"/>
              <w:right w:val="nil"/>
            </w:tcBorders>
            <w:vAlign w:val="center"/>
            <w:hideMark/>
          </w:tcPr>
          <w:p w14:paraId="64AF3292" w14:textId="41935524" w:rsidR="008B2832" w:rsidRPr="00983B76" w:rsidRDefault="008B2832" w:rsidP="008B2832">
            <w:pPr>
              <w:rPr>
                <w:sz w:val="20"/>
                <w:szCs w:val="20"/>
              </w:rPr>
            </w:pPr>
            <w:r w:rsidRPr="00983B76">
              <w:rPr>
                <w:sz w:val="20"/>
                <w:szCs w:val="20"/>
              </w:rPr>
              <w:t xml:space="preserve">Outcome of the universal periodic review: </w:t>
            </w:r>
            <w:r w:rsidRPr="008B2832">
              <w:rPr>
                <w:sz w:val="20"/>
                <w:szCs w:val="20"/>
              </w:rPr>
              <w:t>Nigeria</w:t>
            </w:r>
          </w:p>
        </w:tc>
        <w:tc>
          <w:tcPr>
            <w:tcW w:w="1843" w:type="dxa"/>
            <w:tcBorders>
              <w:top w:val="nil"/>
              <w:left w:val="nil"/>
              <w:bottom w:val="nil"/>
              <w:right w:val="nil"/>
            </w:tcBorders>
          </w:tcPr>
          <w:p w14:paraId="3033FFB4" w14:textId="2BFAFEE1" w:rsidR="008B2832" w:rsidRPr="00983B76" w:rsidRDefault="008B2832" w:rsidP="008B2832">
            <w:pPr>
              <w:rPr>
                <w:sz w:val="20"/>
                <w:szCs w:val="20"/>
              </w:rPr>
            </w:pPr>
            <w:r w:rsidRPr="002120A0">
              <w:rPr>
                <w:sz w:val="20"/>
                <w:szCs w:val="20"/>
              </w:rPr>
              <w:t>14 March 2019</w:t>
            </w:r>
          </w:p>
        </w:tc>
      </w:tr>
      <w:tr w:rsidR="008B2832" w:rsidRPr="009274E0" w14:paraId="0A6BA5D1" w14:textId="77777777" w:rsidTr="00983B76">
        <w:tc>
          <w:tcPr>
            <w:tcW w:w="851" w:type="dxa"/>
            <w:gridSpan w:val="2"/>
            <w:tcBorders>
              <w:top w:val="nil"/>
              <w:left w:val="nil"/>
              <w:bottom w:val="nil"/>
              <w:right w:val="nil"/>
            </w:tcBorders>
            <w:vAlign w:val="center"/>
            <w:hideMark/>
          </w:tcPr>
          <w:p w14:paraId="5DE47364" w14:textId="46EC5560" w:rsidR="008B2832" w:rsidRPr="00983B76" w:rsidRDefault="008B2832" w:rsidP="008B2832">
            <w:pPr>
              <w:spacing w:before="40" w:after="120" w:line="220" w:lineRule="exact"/>
              <w:ind w:right="113"/>
              <w:rPr>
                <w:sz w:val="20"/>
                <w:szCs w:val="20"/>
              </w:rPr>
            </w:pPr>
            <w:r>
              <w:rPr>
                <w:sz w:val="20"/>
                <w:szCs w:val="20"/>
              </w:rPr>
              <w:t>40</w:t>
            </w:r>
            <w:r w:rsidRPr="00983B76">
              <w:rPr>
                <w:sz w:val="20"/>
                <w:szCs w:val="20"/>
              </w:rPr>
              <w:t>/105</w:t>
            </w:r>
          </w:p>
        </w:tc>
        <w:tc>
          <w:tcPr>
            <w:tcW w:w="5386" w:type="dxa"/>
            <w:tcBorders>
              <w:top w:val="nil"/>
              <w:left w:val="nil"/>
              <w:bottom w:val="nil"/>
              <w:right w:val="nil"/>
            </w:tcBorders>
            <w:vAlign w:val="center"/>
            <w:hideMark/>
          </w:tcPr>
          <w:p w14:paraId="202BA496" w14:textId="7182916C" w:rsidR="008B2832" w:rsidRPr="00983B76" w:rsidRDefault="008B2832" w:rsidP="008B2832">
            <w:pPr>
              <w:rPr>
                <w:sz w:val="20"/>
                <w:szCs w:val="20"/>
              </w:rPr>
            </w:pPr>
            <w:r w:rsidRPr="00983B76">
              <w:rPr>
                <w:sz w:val="20"/>
                <w:szCs w:val="20"/>
              </w:rPr>
              <w:t xml:space="preserve">Outcome of the universal periodic review: </w:t>
            </w:r>
            <w:r w:rsidRPr="008B2832">
              <w:rPr>
                <w:sz w:val="20"/>
                <w:szCs w:val="20"/>
              </w:rPr>
              <w:t>Mexico</w:t>
            </w:r>
          </w:p>
        </w:tc>
        <w:tc>
          <w:tcPr>
            <w:tcW w:w="1843" w:type="dxa"/>
            <w:tcBorders>
              <w:top w:val="nil"/>
              <w:left w:val="nil"/>
              <w:bottom w:val="nil"/>
              <w:right w:val="nil"/>
            </w:tcBorders>
          </w:tcPr>
          <w:p w14:paraId="4555DF7D" w14:textId="5710BC9A" w:rsidR="008B2832" w:rsidRPr="00983B76" w:rsidRDefault="008B2832" w:rsidP="008B2832">
            <w:pPr>
              <w:rPr>
                <w:sz w:val="20"/>
                <w:szCs w:val="20"/>
              </w:rPr>
            </w:pPr>
            <w:r w:rsidRPr="002120A0">
              <w:rPr>
                <w:sz w:val="20"/>
                <w:szCs w:val="20"/>
              </w:rPr>
              <w:t>14 March 2019</w:t>
            </w:r>
          </w:p>
        </w:tc>
      </w:tr>
      <w:tr w:rsidR="008B2832" w:rsidRPr="009274E0" w14:paraId="4425A0BC" w14:textId="77777777" w:rsidTr="00983B76">
        <w:tc>
          <w:tcPr>
            <w:tcW w:w="851" w:type="dxa"/>
            <w:gridSpan w:val="2"/>
            <w:tcBorders>
              <w:top w:val="nil"/>
              <w:left w:val="nil"/>
              <w:bottom w:val="nil"/>
              <w:right w:val="nil"/>
            </w:tcBorders>
            <w:vAlign w:val="center"/>
            <w:hideMark/>
          </w:tcPr>
          <w:p w14:paraId="5EC4E983" w14:textId="1721C62D" w:rsidR="008B2832" w:rsidRPr="00983B76" w:rsidRDefault="008B2832" w:rsidP="008B2832">
            <w:pPr>
              <w:spacing w:before="40" w:after="120" w:line="220" w:lineRule="exact"/>
              <w:ind w:right="113"/>
              <w:rPr>
                <w:sz w:val="20"/>
                <w:szCs w:val="20"/>
              </w:rPr>
            </w:pPr>
            <w:r>
              <w:rPr>
                <w:sz w:val="20"/>
                <w:szCs w:val="20"/>
              </w:rPr>
              <w:t>40</w:t>
            </w:r>
            <w:r w:rsidRPr="00983B76">
              <w:rPr>
                <w:sz w:val="20"/>
                <w:szCs w:val="20"/>
              </w:rPr>
              <w:t>/106</w:t>
            </w:r>
          </w:p>
        </w:tc>
        <w:tc>
          <w:tcPr>
            <w:tcW w:w="5386" w:type="dxa"/>
            <w:tcBorders>
              <w:top w:val="nil"/>
              <w:left w:val="nil"/>
              <w:bottom w:val="nil"/>
              <w:right w:val="nil"/>
            </w:tcBorders>
            <w:vAlign w:val="center"/>
            <w:hideMark/>
          </w:tcPr>
          <w:p w14:paraId="433F3556" w14:textId="5F3046F8" w:rsidR="008B2832" w:rsidRPr="00983B76" w:rsidRDefault="008B2832" w:rsidP="008B2832">
            <w:pPr>
              <w:rPr>
                <w:sz w:val="20"/>
                <w:szCs w:val="20"/>
              </w:rPr>
            </w:pPr>
            <w:r w:rsidRPr="00983B76">
              <w:rPr>
                <w:sz w:val="20"/>
                <w:szCs w:val="20"/>
              </w:rPr>
              <w:t xml:space="preserve">Outcome of the universal periodic review: </w:t>
            </w:r>
            <w:r w:rsidRPr="008B2832">
              <w:rPr>
                <w:sz w:val="20"/>
                <w:szCs w:val="20"/>
              </w:rPr>
              <w:t>Mauritius</w:t>
            </w:r>
          </w:p>
        </w:tc>
        <w:tc>
          <w:tcPr>
            <w:tcW w:w="1843" w:type="dxa"/>
            <w:tcBorders>
              <w:top w:val="nil"/>
              <w:left w:val="nil"/>
              <w:bottom w:val="nil"/>
              <w:right w:val="nil"/>
            </w:tcBorders>
          </w:tcPr>
          <w:p w14:paraId="6AEDE98C" w14:textId="382048FF" w:rsidR="008B2832" w:rsidRPr="00983B76" w:rsidRDefault="008B2832" w:rsidP="008B2832">
            <w:pPr>
              <w:rPr>
                <w:sz w:val="20"/>
                <w:szCs w:val="20"/>
              </w:rPr>
            </w:pPr>
            <w:r w:rsidRPr="002120A0">
              <w:rPr>
                <w:sz w:val="20"/>
                <w:szCs w:val="20"/>
              </w:rPr>
              <w:t>14 March 2019</w:t>
            </w:r>
          </w:p>
        </w:tc>
      </w:tr>
      <w:tr w:rsidR="008B2832" w:rsidRPr="009274E0" w14:paraId="2C1FBDD3" w14:textId="77777777" w:rsidTr="00983B76">
        <w:tc>
          <w:tcPr>
            <w:tcW w:w="851" w:type="dxa"/>
            <w:gridSpan w:val="2"/>
            <w:tcBorders>
              <w:top w:val="nil"/>
              <w:left w:val="nil"/>
              <w:bottom w:val="nil"/>
              <w:right w:val="nil"/>
            </w:tcBorders>
            <w:vAlign w:val="center"/>
            <w:hideMark/>
          </w:tcPr>
          <w:p w14:paraId="72943651" w14:textId="2A248BC1" w:rsidR="008B2832" w:rsidRPr="00983B76" w:rsidRDefault="008B2832" w:rsidP="008B2832">
            <w:pPr>
              <w:spacing w:before="40" w:after="120" w:line="220" w:lineRule="exact"/>
              <w:ind w:right="113"/>
              <w:rPr>
                <w:sz w:val="20"/>
                <w:szCs w:val="20"/>
              </w:rPr>
            </w:pPr>
            <w:r>
              <w:rPr>
                <w:sz w:val="20"/>
                <w:szCs w:val="20"/>
              </w:rPr>
              <w:t>40</w:t>
            </w:r>
            <w:r w:rsidRPr="00983B76">
              <w:rPr>
                <w:sz w:val="20"/>
                <w:szCs w:val="20"/>
              </w:rPr>
              <w:t>/107</w:t>
            </w:r>
          </w:p>
        </w:tc>
        <w:tc>
          <w:tcPr>
            <w:tcW w:w="5386" w:type="dxa"/>
            <w:tcBorders>
              <w:top w:val="nil"/>
              <w:left w:val="nil"/>
              <w:bottom w:val="nil"/>
              <w:right w:val="nil"/>
            </w:tcBorders>
            <w:vAlign w:val="center"/>
            <w:hideMark/>
          </w:tcPr>
          <w:p w14:paraId="3AF4C274" w14:textId="57674B10" w:rsidR="008B2832" w:rsidRPr="00983B76" w:rsidRDefault="008B2832" w:rsidP="008B2832">
            <w:pPr>
              <w:rPr>
                <w:sz w:val="20"/>
                <w:szCs w:val="20"/>
              </w:rPr>
            </w:pPr>
            <w:r w:rsidRPr="00983B76">
              <w:rPr>
                <w:sz w:val="20"/>
                <w:szCs w:val="20"/>
              </w:rPr>
              <w:t xml:space="preserve">Outcome of the universal periodic review: </w:t>
            </w:r>
            <w:r w:rsidRPr="008B2832">
              <w:rPr>
                <w:sz w:val="20"/>
                <w:szCs w:val="20"/>
              </w:rPr>
              <w:t>Jordan</w:t>
            </w:r>
          </w:p>
        </w:tc>
        <w:tc>
          <w:tcPr>
            <w:tcW w:w="1843" w:type="dxa"/>
            <w:tcBorders>
              <w:top w:val="nil"/>
              <w:left w:val="nil"/>
              <w:bottom w:val="nil"/>
              <w:right w:val="nil"/>
            </w:tcBorders>
          </w:tcPr>
          <w:p w14:paraId="5AD4ADE3" w14:textId="499D2B70" w:rsidR="008B2832" w:rsidRPr="00983B76" w:rsidRDefault="008B2832" w:rsidP="008B2832">
            <w:pPr>
              <w:rPr>
                <w:sz w:val="20"/>
                <w:szCs w:val="20"/>
              </w:rPr>
            </w:pPr>
            <w:r w:rsidRPr="002120A0">
              <w:rPr>
                <w:sz w:val="20"/>
                <w:szCs w:val="20"/>
              </w:rPr>
              <w:t>14 March 2019</w:t>
            </w:r>
          </w:p>
        </w:tc>
      </w:tr>
      <w:tr w:rsidR="008B2832" w:rsidRPr="009274E0" w14:paraId="0A62887C" w14:textId="77777777" w:rsidTr="00983B76">
        <w:tc>
          <w:tcPr>
            <w:tcW w:w="851" w:type="dxa"/>
            <w:gridSpan w:val="2"/>
            <w:tcBorders>
              <w:top w:val="nil"/>
              <w:left w:val="nil"/>
              <w:bottom w:val="nil"/>
              <w:right w:val="nil"/>
            </w:tcBorders>
            <w:vAlign w:val="center"/>
            <w:hideMark/>
          </w:tcPr>
          <w:p w14:paraId="58C211C1" w14:textId="6DD8D0C4" w:rsidR="008B2832" w:rsidRPr="00983B76" w:rsidRDefault="008B2832" w:rsidP="008B2832">
            <w:pPr>
              <w:spacing w:before="40" w:after="120" w:line="220" w:lineRule="exact"/>
              <w:ind w:right="113"/>
              <w:rPr>
                <w:sz w:val="20"/>
                <w:szCs w:val="20"/>
              </w:rPr>
            </w:pPr>
            <w:r>
              <w:rPr>
                <w:sz w:val="20"/>
                <w:szCs w:val="20"/>
              </w:rPr>
              <w:t>40</w:t>
            </w:r>
            <w:r w:rsidRPr="00983B76">
              <w:rPr>
                <w:sz w:val="20"/>
                <w:szCs w:val="20"/>
              </w:rPr>
              <w:t>/108</w:t>
            </w:r>
          </w:p>
        </w:tc>
        <w:tc>
          <w:tcPr>
            <w:tcW w:w="5386" w:type="dxa"/>
            <w:tcBorders>
              <w:top w:val="nil"/>
              <w:left w:val="nil"/>
              <w:bottom w:val="nil"/>
              <w:right w:val="nil"/>
            </w:tcBorders>
            <w:vAlign w:val="center"/>
            <w:hideMark/>
          </w:tcPr>
          <w:p w14:paraId="28300B9B" w14:textId="69D86458" w:rsidR="008B2832" w:rsidRPr="00983B76" w:rsidRDefault="008B2832" w:rsidP="008B2832">
            <w:pPr>
              <w:rPr>
                <w:sz w:val="20"/>
                <w:szCs w:val="20"/>
              </w:rPr>
            </w:pPr>
            <w:r w:rsidRPr="00983B76">
              <w:rPr>
                <w:sz w:val="20"/>
                <w:szCs w:val="20"/>
              </w:rPr>
              <w:t xml:space="preserve">Outcome of the universal periodic review: </w:t>
            </w:r>
            <w:r w:rsidRPr="008B2832">
              <w:rPr>
                <w:sz w:val="20"/>
                <w:szCs w:val="20"/>
              </w:rPr>
              <w:t>Malaysia</w:t>
            </w:r>
          </w:p>
        </w:tc>
        <w:tc>
          <w:tcPr>
            <w:tcW w:w="1843" w:type="dxa"/>
            <w:tcBorders>
              <w:top w:val="nil"/>
              <w:left w:val="nil"/>
              <w:bottom w:val="nil"/>
              <w:right w:val="nil"/>
            </w:tcBorders>
          </w:tcPr>
          <w:p w14:paraId="563A01C3" w14:textId="2D98487F" w:rsidR="008B2832" w:rsidRPr="00983B76" w:rsidRDefault="008B2832" w:rsidP="008B2832">
            <w:pPr>
              <w:rPr>
                <w:sz w:val="20"/>
                <w:szCs w:val="20"/>
              </w:rPr>
            </w:pPr>
            <w:r w:rsidRPr="002120A0">
              <w:rPr>
                <w:sz w:val="20"/>
                <w:szCs w:val="20"/>
              </w:rPr>
              <w:t>14 March 2019</w:t>
            </w:r>
          </w:p>
        </w:tc>
      </w:tr>
      <w:tr w:rsidR="008B2832" w:rsidRPr="009274E0" w14:paraId="64570081" w14:textId="77777777" w:rsidTr="00983B76">
        <w:tc>
          <w:tcPr>
            <w:tcW w:w="851" w:type="dxa"/>
            <w:gridSpan w:val="2"/>
            <w:tcBorders>
              <w:top w:val="nil"/>
              <w:left w:val="nil"/>
              <w:bottom w:val="nil"/>
              <w:right w:val="nil"/>
            </w:tcBorders>
            <w:vAlign w:val="center"/>
            <w:hideMark/>
          </w:tcPr>
          <w:p w14:paraId="011AAD15" w14:textId="41C598CA" w:rsidR="008B2832" w:rsidRPr="00983B76" w:rsidRDefault="008B2832" w:rsidP="008B2832">
            <w:pPr>
              <w:spacing w:before="40" w:after="120" w:line="220" w:lineRule="exact"/>
              <w:ind w:right="113"/>
              <w:rPr>
                <w:sz w:val="20"/>
                <w:szCs w:val="20"/>
              </w:rPr>
            </w:pPr>
            <w:r>
              <w:rPr>
                <w:sz w:val="20"/>
                <w:szCs w:val="20"/>
              </w:rPr>
              <w:t>40</w:t>
            </w:r>
            <w:r w:rsidRPr="00983B76">
              <w:rPr>
                <w:sz w:val="20"/>
                <w:szCs w:val="20"/>
              </w:rPr>
              <w:t>/109</w:t>
            </w:r>
          </w:p>
        </w:tc>
        <w:tc>
          <w:tcPr>
            <w:tcW w:w="5386" w:type="dxa"/>
            <w:tcBorders>
              <w:top w:val="nil"/>
              <w:left w:val="nil"/>
              <w:bottom w:val="nil"/>
              <w:right w:val="nil"/>
            </w:tcBorders>
            <w:vAlign w:val="center"/>
            <w:hideMark/>
          </w:tcPr>
          <w:p w14:paraId="776E9C4C" w14:textId="5A73837D" w:rsidR="008B2832" w:rsidRPr="00983B76" w:rsidRDefault="008B2832" w:rsidP="008B2832">
            <w:pPr>
              <w:rPr>
                <w:sz w:val="20"/>
                <w:szCs w:val="20"/>
              </w:rPr>
            </w:pPr>
            <w:r w:rsidRPr="00983B76">
              <w:rPr>
                <w:sz w:val="20"/>
                <w:szCs w:val="20"/>
              </w:rPr>
              <w:t xml:space="preserve">Outcome of the universal periodic review: </w:t>
            </w:r>
            <w:r w:rsidRPr="008B2832">
              <w:rPr>
                <w:sz w:val="20"/>
                <w:szCs w:val="20"/>
              </w:rPr>
              <w:t>Central African Republic</w:t>
            </w:r>
          </w:p>
        </w:tc>
        <w:tc>
          <w:tcPr>
            <w:tcW w:w="1843" w:type="dxa"/>
            <w:tcBorders>
              <w:top w:val="nil"/>
              <w:left w:val="nil"/>
              <w:bottom w:val="nil"/>
              <w:right w:val="nil"/>
            </w:tcBorders>
          </w:tcPr>
          <w:p w14:paraId="696F0D1D" w14:textId="4621FDB0" w:rsidR="008B2832" w:rsidRPr="00983B76" w:rsidRDefault="008B2832" w:rsidP="008B2832">
            <w:pPr>
              <w:rPr>
                <w:sz w:val="20"/>
                <w:szCs w:val="20"/>
              </w:rPr>
            </w:pPr>
            <w:r w:rsidRPr="002120A0">
              <w:rPr>
                <w:sz w:val="20"/>
                <w:szCs w:val="20"/>
              </w:rPr>
              <w:t>14 March 2019</w:t>
            </w:r>
          </w:p>
        </w:tc>
      </w:tr>
      <w:tr w:rsidR="008B2832" w:rsidRPr="009274E0" w14:paraId="6D2E35FF" w14:textId="77777777" w:rsidTr="00983B76">
        <w:tc>
          <w:tcPr>
            <w:tcW w:w="851" w:type="dxa"/>
            <w:gridSpan w:val="2"/>
            <w:tcBorders>
              <w:top w:val="nil"/>
              <w:left w:val="nil"/>
              <w:bottom w:val="nil"/>
              <w:right w:val="nil"/>
            </w:tcBorders>
            <w:vAlign w:val="center"/>
            <w:hideMark/>
          </w:tcPr>
          <w:p w14:paraId="78BB2F13" w14:textId="4F794313" w:rsidR="008B2832" w:rsidRPr="00983B76" w:rsidRDefault="008B2832" w:rsidP="008B2832">
            <w:pPr>
              <w:spacing w:before="40" w:after="120" w:line="220" w:lineRule="exact"/>
              <w:ind w:right="113"/>
              <w:rPr>
                <w:sz w:val="20"/>
                <w:szCs w:val="20"/>
              </w:rPr>
            </w:pPr>
            <w:r>
              <w:rPr>
                <w:sz w:val="20"/>
                <w:szCs w:val="20"/>
              </w:rPr>
              <w:t>40</w:t>
            </w:r>
            <w:r w:rsidRPr="00983B76">
              <w:rPr>
                <w:sz w:val="20"/>
                <w:szCs w:val="20"/>
              </w:rPr>
              <w:t>/110</w:t>
            </w:r>
          </w:p>
        </w:tc>
        <w:tc>
          <w:tcPr>
            <w:tcW w:w="5386" w:type="dxa"/>
            <w:tcBorders>
              <w:top w:val="nil"/>
              <w:left w:val="nil"/>
              <w:bottom w:val="nil"/>
              <w:right w:val="nil"/>
            </w:tcBorders>
            <w:vAlign w:val="center"/>
            <w:hideMark/>
          </w:tcPr>
          <w:p w14:paraId="4009E06B" w14:textId="3759125B" w:rsidR="008B2832" w:rsidRPr="00983B76" w:rsidRDefault="008B2832" w:rsidP="008B2832">
            <w:pPr>
              <w:rPr>
                <w:sz w:val="20"/>
                <w:szCs w:val="20"/>
              </w:rPr>
            </w:pPr>
            <w:r w:rsidRPr="00983B76">
              <w:rPr>
                <w:sz w:val="20"/>
                <w:szCs w:val="20"/>
              </w:rPr>
              <w:t xml:space="preserve">Outcome of the universal periodic review: </w:t>
            </w:r>
            <w:r w:rsidRPr="008B2832">
              <w:rPr>
                <w:sz w:val="20"/>
                <w:szCs w:val="20"/>
              </w:rPr>
              <w:t>Monaco</w:t>
            </w:r>
          </w:p>
        </w:tc>
        <w:tc>
          <w:tcPr>
            <w:tcW w:w="1843" w:type="dxa"/>
            <w:tcBorders>
              <w:top w:val="nil"/>
              <w:left w:val="nil"/>
              <w:bottom w:val="nil"/>
              <w:right w:val="nil"/>
            </w:tcBorders>
          </w:tcPr>
          <w:p w14:paraId="55F32DBB" w14:textId="210E22B4" w:rsidR="008B2832" w:rsidRPr="00983B76" w:rsidRDefault="008B2832" w:rsidP="008B2832">
            <w:pPr>
              <w:rPr>
                <w:sz w:val="20"/>
                <w:szCs w:val="20"/>
              </w:rPr>
            </w:pPr>
            <w:r w:rsidRPr="002120A0">
              <w:rPr>
                <w:sz w:val="20"/>
                <w:szCs w:val="20"/>
              </w:rPr>
              <w:t>14 March 2019</w:t>
            </w:r>
          </w:p>
        </w:tc>
      </w:tr>
      <w:tr w:rsidR="008B2832" w:rsidRPr="009274E0" w14:paraId="60AF9B95" w14:textId="77777777" w:rsidTr="00983B76">
        <w:tc>
          <w:tcPr>
            <w:tcW w:w="851" w:type="dxa"/>
            <w:gridSpan w:val="2"/>
            <w:tcBorders>
              <w:top w:val="nil"/>
              <w:left w:val="nil"/>
              <w:bottom w:val="nil"/>
              <w:right w:val="nil"/>
            </w:tcBorders>
            <w:vAlign w:val="center"/>
            <w:hideMark/>
          </w:tcPr>
          <w:p w14:paraId="20DA7A64" w14:textId="2EAAA78D" w:rsidR="008B2832" w:rsidRPr="00983B76" w:rsidRDefault="008B2832" w:rsidP="008B2832">
            <w:pPr>
              <w:spacing w:before="40" w:after="120" w:line="220" w:lineRule="exact"/>
              <w:ind w:right="113"/>
              <w:rPr>
                <w:sz w:val="20"/>
                <w:szCs w:val="20"/>
              </w:rPr>
            </w:pPr>
            <w:r>
              <w:rPr>
                <w:sz w:val="20"/>
                <w:szCs w:val="20"/>
              </w:rPr>
              <w:t>40</w:t>
            </w:r>
            <w:r w:rsidRPr="00983B76">
              <w:rPr>
                <w:sz w:val="20"/>
                <w:szCs w:val="20"/>
              </w:rPr>
              <w:t>/111</w:t>
            </w:r>
          </w:p>
        </w:tc>
        <w:tc>
          <w:tcPr>
            <w:tcW w:w="5386" w:type="dxa"/>
            <w:tcBorders>
              <w:top w:val="nil"/>
              <w:left w:val="nil"/>
              <w:bottom w:val="nil"/>
              <w:right w:val="nil"/>
            </w:tcBorders>
            <w:vAlign w:val="center"/>
            <w:hideMark/>
          </w:tcPr>
          <w:p w14:paraId="78960074" w14:textId="109D077F" w:rsidR="008B2832" w:rsidRPr="00983B76" w:rsidRDefault="008B2832" w:rsidP="008B2832">
            <w:pPr>
              <w:rPr>
                <w:sz w:val="20"/>
                <w:szCs w:val="20"/>
              </w:rPr>
            </w:pPr>
            <w:r w:rsidRPr="00983B76">
              <w:rPr>
                <w:sz w:val="20"/>
                <w:szCs w:val="20"/>
              </w:rPr>
              <w:t xml:space="preserve">Outcome of the universal periodic review: </w:t>
            </w:r>
            <w:r w:rsidRPr="008B2832">
              <w:rPr>
                <w:sz w:val="20"/>
                <w:szCs w:val="20"/>
              </w:rPr>
              <w:t>Belize</w:t>
            </w:r>
          </w:p>
        </w:tc>
        <w:tc>
          <w:tcPr>
            <w:tcW w:w="1843" w:type="dxa"/>
            <w:tcBorders>
              <w:top w:val="nil"/>
              <w:left w:val="nil"/>
              <w:bottom w:val="nil"/>
              <w:right w:val="nil"/>
            </w:tcBorders>
          </w:tcPr>
          <w:p w14:paraId="2D9C4FD6" w14:textId="0441BC90" w:rsidR="008B2832" w:rsidRPr="00983B76" w:rsidRDefault="008B2832" w:rsidP="008B2832">
            <w:pPr>
              <w:rPr>
                <w:sz w:val="20"/>
                <w:szCs w:val="20"/>
              </w:rPr>
            </w:pPr>
            <w:r w:rsidRPr="002120A0">
              <w:rPr>
                <w:sz w:val="20"/>
                <w:szCs w:val="20"/>
              </w:rPr>
              <w:t>1</w:t>
            </w:r>
            <w:r>
              <w:rPr>
                <w:sz w:val="20"/>
                <w:szCs w:val="20"/>
              </w:rPr>
              <w:t>5</w:t>
            </w:r>
            <w:r w:rsidRPr="002120A0">
              <w:rPr>
                <w:sz w:val="20"/>
                <w:szCs w:val="20"/>
              </w:rPr>
              <w:t xml:space="preserve"> March 2019</w:t>
            </w:r>
          </w:p>
        </w:tc>
      </w:tr>
      <w:tr w:rsidR="008B2832" w:rsidRPr="009274E0" w14:paraId="44811295" w14:textId="77777777" w:rsidTr="00983B76">
        <w:tc>
          <w:tcPr>
            <w:tcW w:w="851" w:type="dxa"/>
            <w:gridSpan w:val="2"/>
            <w:tcBorders>
              <w:top w:val="nil"/>
              <w:left w:val="nil"/>
              <w:bottom w:val="nil"/>
              <w:right w:val="nil"/>
            </w:tcBorders>
            <w:vAlign w:val="center"/>
          </w:tcPr>
          <w:p w14:paraId="4BF090F9" w14:textId="377978F5" w:rsidR="008B2832" w:rsidRPr="00983B76" w:rsidRDefault="008B2832" w:rsidP="008B2832">
            <w:pPr>
              <w:spacing w:before="40" w:after="120" w:line="220" w:lineRule="exact"/>
              <w:ind w:right="113"/>
              <w:rPr>
                <w:sz w:val="20"/>
                <w:szCs w:val="20"/>
              </w:rPr>
            </w:pPr>
            <w:r>
              <w:rPr>
                <w:sz w:val="20"/>
                <w:szCs w:val="20"/>
              </w:rPr>
              <w:lastRenderedPageBreak/>
              <w:t>40</w:t>
            </w:r>
            <w:r w:rsidRPr="00983B76">
              <w:rPr>
                <w:sz w:val="20"/>
                <w:szCs w:val="20"/>
              </w:rPr>
              <w:t>/112</w:t>
            </w:r>
          </w:p>
        </w:tc>
        <w:tc>
          <w:tcPr>
            <w:tcW w:w="5386" w:type="dxa"/>
            <w:tcBorders>
              <w:top w:val="nil"/>
              <w:left w:val="nil"/>
              <w:bottom w:val="nil"/>
              <w:right w:val="nil"/>
            </w:tcBorders>
            <w:vAlign w:val="center"/>
          </w:tcPr>
          <w:p w14:paraId="66F6853C" w14:textId="35ED808B" w:rsidR="008B2832" w:rsidRPr="00983B76" w:rsidRDefault="008B2832" w:rsidP="008B2832">
            <w:pPr>
              <w:rPr>
                <w:sz w:val="20"/>
                <w:szCs w:val="20"/>
              </w:rPr>
            </w:pPr>
            <w:r w:rsidRPr="00983B76">
              <w:rPr>
                <w:sz w:val="20"/>
                <w:szCs w:val="20"/>
              </w:rPr>
              <w:t xml:space="preserve">Outcome of the universal periodic review: </w:t>
            </w:r>
            <w:r w:rsidRPr="008B2832">
              <w:rPr>
                <w:sz w:val="20"/>
                <w:szCs w:val="20"/>
              </w:rPr>
              <w:t>Chad</w:t>
            </w:r>
          </w:p>
        </w:tc>
        <w:tc>
          <w:tcPr>
            <w:tcW w:w="1843" w:type="dxa"/>
            <w:tcBorders>
              <w:top w:val="nil"/>
              <w:left w:val="nil"/>
              <w:bottom w:val="nil"/>
              <w:right w:val="nil"/>
            </w:tcBorders>
          </w:tcPr>
          <w:p w14:paraId="1A623467" w14:textId="6D7B6B6F" w:rsidR="008B2832" w:rsidRPr="00983B76" w:rsidRDefault="008B2832" w:rsidP="008B2832">
            <w:pPr>
              <w:rPr>
                <w:sz w:val="20"/>
                <w:szCs w:val="20"/>
              </w:rPr>
            </w:pPr>
            <w:r w:rsidRPr="00862BC5">
              <w:rPr>
                <w:sz w:val="20"/>
                <w:szCs w:val="20"/>
              </w:rPr>
              <w:t>15 March 2019</w:t>
            </w:r>
          </w:p>
        </w:tc>
      </w:tr>
      <w:tr w:rsidR="008B2832" w:rsidRPr="009274E0" w14:paraId="48945038" w14:textId="77777777" w:rsidTr="00983B76">
        <w:tc>
          <w:tcPr>
            <w:tcW w:w="851" w:type="dxa"/>
            <w:gridSpan w:val="2"/>
            <w:tcBorders>
              <w:top w:val="nil"/>
              <w:left w:val="nil"/>
              <w:bottom w:val="nil"/>
              <w:right w:val="nil"/>
            </w:tcBorders>
            <w:vAlign w:val="center"/>
          </w:tcPr>
          <w:p w14:paraId="26B2BCB1" w14:textId="1A0A4937" w:rsidR="008B2832" w:rsidRPr="00983B76" w:rsidRDefault="008B2832" w:rsidP="008B2832">
            <w:pPr>
              <w:spacing w:before="40" w:after="120" w:line="220" w:lineRule="exact"/>
              <w:ind w:right="113"/>
              <w:rPr>
                <w:sz w:val="20"/>
                <w:szCs w:val="20"/>
              </w:rPr>
            </w:pPr>
            <w:r>
              <w:rPr>
                <w:sz w:val="20"/>
                <w:szCs w:val="20"/>
              </w:rPr>
              <w:t>40</w:t>
            </w:r>
            <w:r w:rsidRPr="00983B76">
              <w:rPr>
                <w:sz w:val="20"/>
                <w:szCs w:val="20"/>
              </w:rPr>
              <w:t>/113</w:t>
            </w:r>
          </w:p>
        </w:tc>
        <w:tc>
          <w:tcPr>
            <w:tcW w:w="5386" w:type="dxa"/>
            <w:tcBorders>
              <w:top w:val="nil"/>
              <w:left w:val="nil"/>
              <w:bottom w:val="nil"/>
              <w:right w:val="nil"/>
            </w:tcBorders>
            <w:vAlign w:val="center"/>
          </w:tcPr>
          <w:p w14:paraId="31FD8E9F" w14:textId="1314B8AD" w:rsidR="008B2832" w:rsidRPr="00983B76" w:rsidRDefault="008B2832" w:rsidP="008B2832">
            <w:pPr>
              <w:rPr>
                <w:sz w:val="20"/>
                <w:szCs w:val="20"/>
              </w:rPr>
            </w:pPr>
            <w:r w:rsidRPr="00983B76">
              <w:rPr>
                <w:sz w:val="20"/>
                <w:szCs w:val="20"/>
              </w:rPr>
              <w:t xml:space="preserve">Outcome of the universal periodic review: </w:t>
            </w:r>
            <w:r w:rsidRPr="008B2832">
              <w:rPr>
                <w:sz w:val="20"/>
                <w:szCs w:val="20"/>
              </w:rPr>
              <w:t>China</w:t>
            </w:r>
          </w:p>
        </w:tc>
        <w:tc>
          <w:tcPr>
            <w:tcW w:w="1843" w:type="dxa"/>
            <w:tcBorders>
              <w:top w:val="nil"/>
              <w:left w:val="nil"/>
              <w:bottom w:val="nil"/>
              <w:right w:val="nil"/>
            </w:tcBorders>
          </w:tcPr>
          <w:p w14:paraId="675525B4" w14:textId="32D57EAE" w:rsidR="008B2832" w:rsidRPr="00983B76" w:rsidRDefault="008B2832" w:rsidP="008B2832">
            <w:pPr>
              <w:rPr>
                <w:sz w:val="20"/>
                <w:szCs w:val="20"/>
              </w:rPr>
            </w:pPr>
            <w:r w:rsidRPr="00862BC5">
              <w:rPr>
                <w:sz w:val="20"/>
                <w:szCs w:val="20"/>
              </w:rPr>
              <w:t>15 March 2019</w:t>
            </w:r>
          </w:p>
        </w:tc>
      </w:tr>
      <w:tr w:rsidR="008B2832" w:rsidRPr="009274E0" w14:paraId="5A3D3AC6" w14:textId="77777777" w:rsidTr="00983B76">
        <w:trPr>
          <w:cantSplit/>
        </w:trPr>
        <w:tc>
          <w:tcPr>
            <w:tcW w:w="840" w:type="dxa"/>
            <w:shd w:val="clear" w:color="auto" w:fill="auto"/>
            <w:vAlign w:val="center"/>
          </w:tcPr>
          <w:p w14:paraId="7CD64869" w14:textId="0F6F6D0F" w:rsidR="008B2832" w:rsidRPr="00983B76" w:rsidRDefault="008B2832" w:rsidP="008B2832">
            <w:pPr>
              <w:spacing w:before="40" w:after="120" w:line="220" w:lineRule="exact"/>
              <w:ind w:right="113"/>
              <w:rPr>
                <w:sz w:val="20"/>
                <w:szCs w:val="20"/>
              </w:rPr>
            </w:pPr>
            <w:r>
              <w:rPr>
                <w:sz w:val="20"/>
                <w:szCs w:val="20"/>
              </w:rPr>
              <w:t>40</w:t>
            </w:r>
            <w:r w:rsidRPr="00983B76">
              <w:rPr>
                <w:sz w:val="20"/>
                <w:szCs w:val="20"/>
              </w:rPr>
              <w:t>/114</w:t>
            </w:r>
          </w:p>
        </w:tc>
        <w:tc>
          <w:tcPr>
            <w:tcW w:w="5397" w:type="dxa"/>
            <w:gridSpan w:val="2"/>
            <w:shd w:val="clear" w:color="auto" w:fill="auto"/>
            <w:vAlign w:val="center"/>
          </w:tcPr>
          <w:p w14:paraId="43A4DCB4" w14:textId="04235C45" w:rsidR="008B2832" w:rsidRPr="00983B76" w:rsidRDefault="008B2832" w:rsidP="008B2832">
            <w:pPr>
              <w:spacing w:before="40" w:after="120" w:line="220" w:lineRule="exact"/>
              <w:ind w:right="113"/>
              <w:rPr>
                <w:sz w:val="20"/>
                <w:szCs w:val="20"/>
              </w:rPr>
            </w:pPr>
            <w:r w:rsidRPr="00983B76">
              <w:rPr>
                <w:sz w:val="20"/>
                <w:szCs w:val="20"/>
              </w:rPr>
              <w:t xml:space="preserve">Outcome of the universal periodic review: </w:t>
            </w:r>
            <w:r w:rsidRPr="008B2832">
              <w:rPr>
                <w:sz w:val="20"/>
                <w:szCs w:val="20"/>
              </w:rPr>
              <w:t>Malta</w:t>
            </w:r>
          </w:p>
        </w:tc>
        <w:tc>
          <w:tcPr>
            <w:tcW w:w="1843" w:type="dxa"/>
            <w:shd w:val="clear" w:color="auto" w:fill="auto"/>
          </w:tcPr>
          <w:p w14:paraId="26B3C946" w14:textId="4369AEB4" w:rsidR="008B2832" w:rsidRPr="00983B76" w:rsidRDefault="008B2832" w:rsidP="008B2832">
            <w:pPr>
              <w:suppressAutoHyphens/>
              <w:spacing w:before="40" w:after="120" w:line="220" w:lineRule="exact"/>
              <w:ind w:right="113"/>
              <w:rPr>
                <w:sz w:val="20"/>
                <w:szCs w:val="20"/>
              </w:rPr>
            </w:pPr>
            <w:r w:rsidRPr="00862BC5">
              <w:rPr>
                <w:sz w:val="20"/>
                <w:szCs w:val="20"/>
              </w:rPr>
              <w:t>15 March 2019</w:t>
            </w:r>
          </w:p>
        </w:tc>
      </w:tr>
      <w:bookmarkEnd w:id="11"/>
      <w:bookmarkEnd w:id="12"/>
      <w:bookmarkEnd w:id="13"/>
      <w:bookmarkEnd w:id="14"/>
    </w:tbl>
    <w:p w14:paraId="06794C50" w14:textId="77777777" w:rsidR="00560881" w:rsidRPr="00C16037" w:rsidRDefault="00560881" w:rsidP="00560881">
      <w:pPr>
        <w:rPr>
          <w:color w:val="000000" w:themeColor="text1"/>
        </w:rPr>
      </w:pPr>
    </w:p>
    <w:p w14:paraId="56A9B4CC" w14:textId="77777777" w:rsidR="005E1188" w:rsidRPr="00C16037" w:rsidRDefault="005E1188">
      <w:pPr>
        <w:spacing w:after="200" w:line="276" w:lineRule="auto"/>
        <w:rPr>
          <w:b/>
          <w:color w:val="000000" w:themeColor="text1"/>
          <w:sz w:val="28"/>
        </w:rPr>
      </w:pPr>
      <w:r w:rsidRPr="00C16037">
        <w:rPr>
          <w:color w:val="000000" w:themeColor="text1"/>
        </w:rPr>
        <w:br w:type="page"/>
      </w:r>
    </w:p>
    <w:p w14:paraId="2EA58780" w14:textId="31778661" w:rsidR="00F11B08" w:rsidRPr="00C16037" w:rsidRDefault="005E1188" w:rsidP="00415787">
      <w:pPr>
        <w:pStyle w:val="HChG"/>
        <w:rPr>
          <w:color w:val="000000" w:themeColor="text1"/>
        </w:rPr>
      </w:pPr>
      <w:r w:rsidRPr="00C16037">
        <w:rPr>
          <w:color w:val="000000" w:themeColor="text1"/>
        </w:rPr>
        <w:lastRenderedPageBreak/>
        <w:tab/>
      </w:r>
      <w:r w:rsidRPr="00C16037">
        <w:rPr>
          <w:color w:val="000000" w:themeColor="text1"/>
        </w:rPr>
        <w:tab/>
      </w:r>
      <w:r w:rsidR="00F11B08" w:rsidRPr="00C16037">
        <w:rPr>
          <w:color w:val="000000" w:themeColor="text1"/>
        </w:rPr>
        <w:t>Part Two</w:t>
      </w:r>
    </w:p>
    <w:p w14:paraId="2EA58781" w14:textId="42078FAA" w:rsidR="00F11B08" w:rsidRPr="00C16037" w:rsidRDefault="00F11B08" w:rsidP="00415787">
      <w:pPr>
        <w:pStyle w:val="HChG"/>
        <w:rPr>
          <w:color w:val="000000" w:themeColor="text1"/>
        </w:rPr>
      </w:pPr>
      <w:r w:rsidRPr="00C16037">
        <w:rPr>
          <w:color w:val="000000" w:themeColor="text1"/>
        </w:rPr>
        <w:tab/>
      </w:r>
      <w:r w:rsidR="00B4697A" w:rsidRPr="00C16037">
        <w:rPr>
          <w:color w:val="000000" w:themeColor="text1"/>
        </w:rPr>
        <w:tab/>
      </w:r>
      <w:r w:rsidRPr="00C16037">
        <w:rPr>
          <w:color w:val="000000" w:themeColor="text1"/>
        </w:rPr>
        <w:t>Summary of proceedings</w:t>
      </w:r>
    </w:p>
    <w:p w14:paraId="2EA58782" w14:textId="77777777" w:rsidR="00F11B08" w:rsidRPr="00C16037" w:rsidRDefault="00F11B08" w:rsidP="00B4697A">
      <w:pPr>
        <w:pStyle w:val="HChG"/>
        <w:rPr>
          <w:color w:val="000000" w:themeColor="text1"/>
        </w:rPr>
      </w:pPr>
      <w:r w:rsidRPr="00C16037">
        <w:rPr>
          <w:color w:val="000000" w:themeColor="text1"/>
        </w:rPr>
        <w:tab/>
        <w:t>I.</w:t>
      </w:r>
      <w:r w:rsidRPr="00C16037">
        <w:rPr>
          <w:color w:val="000000" w:themeColor="text1"/>
        </w:rPr>
        <w:tab/>
        <w:t>Organizational and procedural matters</w:t>
      </w:r>
    </w:p>
    <w:p w14:paraId="2EA58783" w14:textId="77777777" w:rsidR="00F11B08" w:rsidRPr="00C16037" w:rsidRDefault="00F11B08" w:rsidP="0097718C">
      <w:pPr>
        <w:pStyle w:val="H1G"/>
        <w:rPr>
          <w:color w:val="000000" w:themeColor="text1"/>
        </w:rPr>
      </w:pPr>
      <w:r w:rsidRPr="00C16037">
        <w:rPr>
          <w:color w:val="000000" w:themeColor="text1"/>
        </w:rPr>
        <w:tab/>
        <w:t>A.</w:t>
      </w:r>
      <w:r w:rsidRPr="00C16037">
        <w:rPr>
          <w:color w:val="000000" w:themeColor="text1"/>
        </w:rPr>
        <w:tab/>
        <w:t>Opening and duration of the session</w:t>
      </w:r>
    </w:p>
    <w:p w14:paraId="2EA58784" w14:textId="3495AA1E" w:rsidR="00C961C6" w:rsidRPr="0067399B" w:rsidRDefault="00F11B08" w:rsidP="00415787">
      <w:pPr>
        <w:pStyle w:val="SingleTxtG"/>
        <w:tabs>
          <w:tab w:val="left" w:pos="1701"/>
        </w:tabs>
        <w:rPr>
          <w:color w:val="000000" w:themeColor="text1"/>
          <w:sz w:val="20"/>
          <w:szCs w:val="20"/>
        </w:rPr>
      </w:pPr>
      <w:r w:rsidRPr="0067399B">
        <w:rPr>
          <w:color w:val="000000" w:themeColor="text1"/>
          <w:sz w:val="20"/>
          <w:szCs w:val="20"/>
        </w:rPr>
        <w:t>1.</w:t>
      </w:r>
      <w:r w:rsidRPr="0067399B">
        <w:rPr>
          <w:color w:val="000000" w:themeColor="text1"/>
          <w:sz w:val="20"/>
          <w:szCs w:val="20"/>
        </w:rPr>
        <w:tab/>
        <w:t xml:space="preserve">The Human Rights Council held its </w:t>
      </w:r>
      <w:r w:rsidR="00F26B03">
        <w:rPr>
          <w:color w:val="000000" w:themeColor="text1"/>
          <w:sz w:val="20"/>
          <w:szCs w:val="20"/>
        </w:rPr>
        <w:t>fortieth</w:t>
      </w:r>
      <w:r w:rsidRPr="0067399B">
        <w:rPr>
          <w:color w:val="000000" w:themeColor="text1"/>
          <w:sz w:val="20"/>
          <w:szCs w:val="20"/>
        </w:rPr>
        <w:t xml:space="preserve"> session at the United </w:t>
      </w:r>
      <w:r w:rsidR="003C20AF" w:rsidRPr="0067399B">
        <w:rPr>
          <w:color w:val="000000" w:themeColor="text1"/>
          <w:sz w:val="20"/>
          <w:szCs w:val="20"/>
        </w:rPr>
        <w:t>Nations Office at Geneva from 2</w:t>
      </w:r>
      <w:r w:rsidR="00141AFC">
        <w:rPr>
          <w:color w:val="000000" w:themeColor="text1"/>
          <w:sz w:val="20"/>
          <w:szCs w:val="20"/>
        </w:rPr>
        <w:t>5</w:t>
      </w:r>
      <w:r w:rsidR="003C20AF" w:rsidRPr="0067399B">
        <w:rPr>
          <w:color w:val="000000" w:themeColor="text1"/>
          <w:sz w:val="20"/>
          <w:szCs w:val="20"/>
        </w:rPr>
        <w:t xml:space="preserve"> February to 2</w:t>
      </w:r>
      <w:r w:rsidR="00141AFC">
        <w:rPr>
          <w:color w:val="000000" w:themeColor="text1"/>
          <w:sz w:val="20"/>
          <w:szCs w:val="20"/>
        </w:rPr>
        <w:t>2 March 2019</w:t>
      </w:r>
      <w:r w:rsidRPr="0067399B">
        <w:rPr>
          <w:color w:val="000000" w:themeColor="text1"/>
          <w:sz w:val="20"/>
          <w:szCs w:val="20"/>
        </w:rPr>
        <w:t>. The President of the Human Rig</w:t>
      </w:r>
      <w:r w:rsidR="00C961C6" w:rsidRPr="0067399B">
        <w:rPr>
          <w:color w:val="000000" w:themeColor="text1"/>
          <w:sz w:val="20"/>
          <w:szCs w:val="20"/>
        </w:rPr>
        <w:t>hts Council opened the session.</w:t>
      </w:r>
    </w:p>
    <w:p w14:paraId="2EA58785" w14:textId="7D5CAC55" w:rsidR="00F11B08" w:rsidRDefault="00141AFC" w:rsidP="00415787">
      <w:pPr>
        <w:pStyle w:val="SingleTxtG"/>
        <w:tabs>
          <w:tab w:val="left" w:pos="1701"/>
        </w:tabs>
        <w:rPr>
          <w:color w:val="000000" w:themeColor="text1"/>
          <w:sz w:val="20"/>
          <w:szCs w:val="20"/>
        </w:rPr>
      </w:pPr>
      <w:r>
        <w:rPr>
          <w:color w:val="000000" w:themeColor="text1"/>
          <w:sz w:val="20"/>
          <w:szCs w:val="20"/>
        </w:rPr>
        <w:t>2.</w:t>
      </w:r>
      <w:r>
        <w:rPr>
          <w:color w:val="000000" w:themeColor="text1"/>
          <w:sz w:val="20"/>
          <w:szCs w:val="20"/>
        </w:rPr>
        <w:tab/>
        <w:t>At the 1st meeting, on 25 February 2019</w:t>
      </w:r>
      <w:r w:rsidR="00F11B08" w:rsidRPr="0067399B">
        <w:rPr>
          <w:color w:val="000000" w:themeColor="text1"/>
          <w:sz w:val="20"/>
          <w:szCs w:val="20"/>
        </w:rPr>
        <w:t xml:space="preserve">, the Secretary General, the President of the General Assembly, the United Nations High Commissioner for Human Rights, and the Federal Councilor and Head of the Federal Department of Foreign Affairs of Switzerland, </w:t>
      </w:r>
      <w:r w:rsidR="007B6020" w:rsidRPr="0067399B">
        <w:rPr>
          <w:color w:val="000000" w:themeColor="text1"/>
          <w:sz w:val="20"/>
          <w:szCs w:val="20"/>
        </w:rPr>
        <w:t>Ignazio Cassis</w:t>
      </w:r>
      <w:r w:rsidR="00F11B08" w:rsidRPr="0067399B">
        <w:rPr>
          <w:color w:val="000000" w:themeColor="text1"/>
          <w:sz w:val="20"/>
          <w:szCs w:val="20"/>
        </w:rPr>
        <w:t>, addressed the plenary.</w:t>
      </w:r>
    </w:p>
    <w:p w14:paraId="68EB444E" w14:textId="279A58A4" w:rsidR="00A9605E" w:rsidRPr="0067399B" w:rsidRDefault="00F11B08" w:rsidP="00415787">
      <w:pPr>
        <w:pStyle w:val="SingleTxtG"/>
        <w:tabs>
          <w:tab w:val="left" w:pos="1701"/>
        </w:tabs>
        <w:rPr>
          <w:color w:val="000000" w:themeColor="text1"/>
          <w:sz w:val="20"/>
          <w:szCs w:val="20"/>
        </w:rPr>
      </w:pPr>
      <w:r w:rsidRPr="0067399B">
        <w:rPr>
          <w:color w:val="000000" w:themeColor="text1"/>
          <w:sz w:val="20"/>
          <w:szCs w:val="20"/>
        </w:rPr>
        <w:t>3.</w:t>
      </w:r>
      <w:r w:rsidRPr="0067399B">
        <w:rPr>
          <w:color w:val="000000" w:themeColor="text1"/>
          <w:sz w:val="20"/>
          <w:szCs w:val="20"/>
        </w:rPr>
        <w:tab/>
        <w:t xml:space="preserve">At the </w:t>
      </w:r>
      <w:r w:rsidR="002F070E" w:rsidRPr="00113A33">
        <w:rPr>
          <w:color w:val="000000" w:themeColor="text1"/>
          <w:sz w:val="20"/>
          <w:szCs w:val="20"/>
        </w:rPr>
        <w:t>24th</w:t>
      </w:r>
      <w:r w:rsidRPr="00113A33">
        <w:rPr>
          <w:color w:val="000000" w:themeColor="text1"/>
          <w:sz w:val="20"/>
          <w:szCs w:val="20"/>
        </w:rPr>
        <w:t xml:space="preserve"> meeting, on 8 March </w:t>
      </w:r>
      <w:r w:rsidR="00141AFC" w:rsidRPr="00113A33">
        <w:rPr>
          <w:color w:val="000000" w:themeColor="text1"/>
          <w:sz w:val="20"/>
          <w:szCs w:val="20"/>
        </w:rPr>
        <w:t>2019</w:t>
      </w:r>
      <w:r w:rsidRPr="0067399B">
        <w:rPr>
          <w:color w:val="000000" w:themeColor="text1"/>
          <w:sz w:val="20"/>
          <w:szCs w:val="20"/>
        </w:rPr>
        <w:t>, the Human Rights Council observed the International Women</w:t>
      </w:r>
      <w:r w:rsidR="00D72627">
        <w:rPr>
          <w:color w:val="000000" w:themeColor="text1"/>
          <w:sz w:val="20"/>
          <w:szCs w:val="20"/>
        </w:rPr>
        <w:t>’</w:t>
      </w:r>
      <w:r w:rsidRPr="0067399B">
        <w:rPr>
          <w:color w:val="000000" w:themeColor="text1"/>
          <w:sz w:val="20"/>
          <w:szCs w:val="20"/>
        </w:rPr>
        <w:t>s Day</w:t>
      </w:r>
      <w:r w:rsidR="002F070E" w:rsidRPr="0067399B">
        <w:rPr>
          <w:color w:val="000000" w:themeColor="text1"/>
          <w:sz w:val="20"/>
          <w:szCs w:val="20"/>
        </w:rPr>
        <w:t xml:space="preserve">. At the same meeting, </w:t>
      </w:r>
      <w:r w:rsidR="00113A33">
        <w:rPr>
          <w:color w:val="000000" w:themeColor="text1"/>
          <w:sz w:val="20"/>
          <w:szCs w:val="20"/>
        </w:rPr>
        <w:t xml:space="preserve">the </w:t>
      </w:r>
      <w:r w:rsidR="00113A33" w:rsidRPr="0067399B">
        <w:rPr>
          <w:color w:val="000000" w:themeColor="text1"/>
          <w:sz w:val="20"/>
          <w:szCs w:val="20"/>
        </w:rPr>
        <w:t>United Nations High Commissioner for Human Rights</w:t>
      </w:r>
      <w:r w:rsidR="00113A33">
        <w:rPr>
          <w:color w:val="000000" w:themeColor="text1"/>
          <w:sz w:val="20"/>
          <w:szCs w:val="20"/>
        </w:rPr>
        <w:t xml:space="preserve"> made a statement. Also at the same meeting</w:t>
      </w:r>
      <w:r w:rsidR="00A9605E">
        <w:rPr>
          <w:color w:val="000000" w:themeColor="text1"/>
          <w:sz w:val="20"/>
          <w:szCs w:val="20"/>
        </w:rPr>
        <w:t>,</w:t>
      </w:r>
      <w:r w:rsidR="00113A33">
        <w:rPr>
          <w:color w:val="000000" w:themeColor="text1"/>
          <w:sz w:val="20"/>
          <w:szCs w:val="20"/>
        </w:rPr>
        <w:t xml:space="preserve"> </w:t>
      </w:r>
      <w:r w:rsidR="002F070E" w:rsidRPr="0067399B">
        <w:rPr>
          <w:color w:val="000000" w:themeColor="text1"/>
          <w:sz w:val="20"/>
          <w:szCs w:val="20"/>
        </w:rPr>
        <w:t>the r</w:t>
      </w:r>
      <w:r w:rsidRPr="0067399B">
        <w:rPr>
          <w:color w:val="000000" w:themeColor="text1"/>
          <w:sz w:val="20"/>
          <w:szCs w:val="20"/>
        </w:rPr>
        <w:t>epresentative</w:t>
      </w:r>
      <w:r w:rsidR="00DC39BE">
        <w:rPr>
          <w:color w:val="000000" w:themeColor="text1"/>
          <w:sz w:val="20"/>
          <w:szCs w:val="20"/>
        </w:rPr>
        <w:t>s</w:t>
      </w:r>
      <w:r w:rsidR="002F070E" w:rsidRPr="0067399B">
        <w:rPr>
          <w:color w:val="000000" w:themeColor="text1"/>
          <w:sz w:val="20"/>
          <w:szCs w:val="20"/>
        </w:rPr>
        <w:t xml:space="preserve"> </w:t>
      </w:r>
      <w:r w:rsidRPr="0067399B">
        <w:rPr>
          <w:color w:val="000000" w:themeColor="text1"/>
          <w:sz w:val="20"/>
          <w:szCs w:val="20"/>
        </w:rPr>
        <w:t>of</w:t>
      </w:r>
      <w:r w:rsidR="002F070E" w:rsidRPr="0067399B">
        <w:rPr>
          <w:color w:val="000000" w:themeColor="text1"/>
          <w:sz w:val="20"/>
          <w:szCs w:val="20"/>
        </w:rPr>
        <w:t xml:space="preserve"> </w:t>
      </w:r>
      <w:r w:rsidR="001E0940">
        <w:rPr>
          <w:color w:val="000000" w:themeColor="text1"/>
          <w:sz w:val="20"/>
          <w:szCs w:val="20"/>
        </w:rPr>
        <w:t xml:space="preserve">Iraq, </w:t>
      </w:r>
      <w:r w:rsidR="00113A33" w:rsidRPr="00DC39BE">
        <w:rPr>
          <w:color w:val="000000" w:themeColor="text1"/>
          <w:sz w:val="20"/>
          <w:szCs w:val="20"/>
        </w:rPr>
        <w:t>Mexico</w:t>
      </w:r>
      <w:r w:rsidR="002F070E" w:rsidRPr="00DC39BE">
        <w:rPr>
          <w:color w:val="000000" w:themeColor="text1"/>
          <w:sz w:val="20"/>
          <w:szCs w:val="20"/>
        </w:rPr>
        <w:t xml:space="preserve"> (also on behalf of </w:t>
      </w:r>
      <w:r w:rsidR="00DC39BE" w:rsidRPr="00DC39BE">
        <w:rPr>
          <w:color w:val="000000" w:themeColor="text1"/>
          <w:sz w:val="20"/>
          <w:szCs w:val="20"/>
        </w:rPr>
        <w:t>Albania</w:t>
      </w:r>
      <w:r w:rsidR="00DC39BE">
        <w:rPr>
          <w:color w:val="000000" w:themeColor="text1"/>
          <w:sz w:val="20"/>
          <w:szCs w:val="20"/>
        </w:rPr>
        <w:t xml:space="preserve">, </w:t>
      </w:r>
      <w:r w:rsidR="00DC39BE" w:rsidRPr="00DC39BE">
        <w:rPr>
          <w:color w:val="000000" w:themeColor="text1"/>
          <w:sz w:val="20"/>
          <w:szCs w:val="20"/>
        </w:rPr>
        <w:t>Argentina</w:t>
      </w:r>
      <w:r w:rsidR="00DC39BE">
        <w:rPr>
          <w:color w:val="000000" w:themeColor="text1"/>
          <w:sz w:val="20"/>
          <w:szCs w:val="20"/>
        </w:rPr>
        <w:t xml:space="preserve">, </w:t>
      </w:r>
      <w:r w:rsidR="00DC39BE" w:rsidRPr="00DC39BE">
        <w:rPr>
          <w:color w:val="000000" w:themeColor="text1"/>
          <w:sz w:val="20"/>
          <w:szCs w:val="20"/>
        </w:rPr>
        <w:t>Armenia</w:t>
      </w:r>
      <w:r w:rsidR="00DC39BE">
        <w:rPr>
          <w:color w:val="000000" w:themeColor="text1"/>
          <w:sz w:val="20"/>
          <w:szCs w:val="20"/>
        </w:rPr>
        <w:t xml:space="preserve">, </w:t>
      </w:r>
      <w:r w:rsidR="00DC39BE" w:rsidRPr="00DC39BE">
        <w:rPr>
          <w:color w:val="000000" w:themeColor="text1"/>
          <w:sz w:val="20"/>
          <w:szCs w:val="20"/>
        </w:rPr>
        <w:t>Austria</w:t>
      </w:r>
      <w:r w:rsidR="00DC39BE">
        <w:rPr>
          <w:color w:val="000000" w:themeColor="text1"/>
          <w:sz w:val="20"/>
          <w:szCs w:val="20"/>
        </w:rPr>
        <w:t xml:space="preserve">, </w:t>
      </w:r>
      <w:r w:rsidR="00DC39BE" w:rsidRPr="00DC39BE">
        <w:rPr>
          <w:color w:val="000000" w:themeColor="text1"/>
          <w:sz w:val="20"/>
          <w:szCs w:val="20"/>
        </w:rPr>
        <w:t>Belgium</w:t>
      </w:r>
      <w:r w:rsidR="00DC39BE">
        <w:rPr>
          <w:color w:val="000000" w:themeColor="text1"/>
          <w:sz w:val="20"/>
          <w:szCs w:val="20"/>
        </w:rPr>
        <w:t xml:space="preserve">, </w:t>
      </w:r>
      <w:r w:rsidR="00DC39BE" w:rsidRPr="00DC39BE">
        <w:rPr>
          <w:color w:val="000000" w:themeColor="text1"/>
          <w:sz w:val="20"/>
          <w:szCs w:val="20"/>
        </w:rPr>
        <w:t>Bolivia</w:t>
      </w:r>
      <w:r w:rsidR="00DC39BE">
        <w:rPr>
          <w:color w:val="000000" w:themeColor="text1"/>
          <w:sz w:val="20"/>
          <w:szCs w:val="20"/>
        </w:rPr>
        <w:t xml:space="preserve"> (Plurinational State of), </w:t>
      </w:r>
      <w:r w:rsidR="00DC39BE" w:rsidRPr="00DC39BE">
        <w:rPr>
          <w:color w:val="000000" w:themeColor="text1"/>
          <w:sz w:val="20"/>
          <w:szCs w:val="20"/>
        </w:rPr>
        <w:t>Botswana</w:t>
      </w:r>
      <w:r w:rsidR="00DC39BE">
        <w:rPr>
          <w:color w:val="000000" w:themeColor="text1"/>
          <w:sz w:val="20"/>
          <w:szCs w:val="20"/>
        </w:rPr>
        <w:t xml:space="preserve">, Bulgaria, </w:t>
      </w:r>
      <w:r w:rsidR="00DC39BE" w:rsidRPr="00DC39BE">
        <w:rPr>
          <w:color w:val="000000" w:themeColor="text1"/>
          <w:sz w:val="20"/>
          <w:szCs w:val="20"/>
        </w:rPr>
        <w:t>Canada</w:t>
      </w:r>
      <w:r w:rsidR="00DC39BE">
        <w:rPr>
          <w:color w:val="000000" w:themeColor="text1"/>
          <w:sz w:val="20"/>
          <w:szCs w:val="20"/>
        </w:rPr>
        <w:t xml:space="preserve">, Chile, </w:t>
      </w:r>
      <w:r w:rsidR="00DC39BE" w:rsidRPr="00DC39BE">
        <w:rPr>
          <w:color w:val="000000" w:themeColor="text1"/>
          <w:sz w:val="20"/>
          <w:szCs w:val="20"/>
        </w:rPr>
        <w:t>Colombia</w:t>
      </w:r>
      <w:r w:rsidR="00DC39BE">
        <w:rPr>
          <w:color w:val="000000" w:themeColor="text1"/>
          <w:sz w:val="20"/>
          <w:szCs w:val="20"/>
        </w:rPr>
        <w:t xml:space="preserve">, </w:t>
      </w:r>
      <w:r w:rsidR="00DC39BE" w:rsidRPr="00DC39BE">
        <w:rPr>
          <w:color w:val="000000" w:themeColor="text1"/>
          <w:sz w:val="20"/>
          <w:szCs w:val="20"/>
        </w:rPr>
        <w:t>Costa Rica</w:t>
      </w:r>
      <w:r w:rsidR="00DC39BE">
        <w:rPr>
          <w:color w:val="000000" w:themeColor="text1"/>
          <w:sz w:val="20"/>
          <w:szCs w:val="20"/>
        </w:rPr>
        <w:t xml:space="preserve">, </w:t>
      </w:r>
      <w:r w:rsidR="00DC39BE" w:rsidRPr="00DC39BE">
        <w:rPr>
          <w:color w:val="000000" w:themeColor="text1"/>
          <w:sz w:val="20"/>
          <w:szCs w:val="20"/>
        </w:rPr>
        <w:t>Cyprus</w:t>
      </w:r>
      <w:r w:rsidR="00DC39BE">
        <w:rPr>
          <w:color w:val="000000" w:themeColor="text1"/>
          <w:sz w:val="20"/>
          <w:szCs w:val="20"/>
        </w:rPr>
        <w:t xml:space="preserve">, Czechia, </w:t>
      </w:r>
      <w:r w:rsidR="00DC39BE" w:rsidRPr="00DC39BE">
        <w:rPr>
          <w:color w:val="000000" w:themeColor="text1"/>
          <w:sz w:val="20"/>
          <w:szCs w:val="20"/>
        </w:rPr>
        <w:t>Denmark</w:t>
      </w:r>
      <w:r w:rsidR="00DC39BE">
        <w:rPr>
          <w:color w:val="000000" w:themeColor="text1"/>
          <w:sz w:val="20"/>
          <w:szCs w:val="20"/>
        </w:rPr>
        <w:t>,</w:t>
      </w:r>
      <w:r w:rsidR="004123EE">
        <w:rPr>
          <w:color w:val="000000" w:themeColor="text1"/>
          <w:sz w:val="20"/>
          <w:szCs w:val="20"/>
        </w:rPr>
        <w:t xml:space="preserve"> the Dominican Republic,</w:t>
      </w:r>
      <w:r w:rsidR="00DC39BE">
        <w:rPr>
          <w:color w:val="000000" w:themeColor="text1"/>
          <w:sz w:val="20"/>
          <w:szCs w:val="20"/>
        </w:rPr>
        <w:t xml:space="preserve"> </w:t>
      </w:r>
      <w:r w:rsidR="00DC39BE" w:rsidRPr="00DC39BE">
        <w:rPr>
          <w:color w:val="000000" w:themeColor="text1"/>
          <w:sz w:val="20"/>
          <w:szCs w:val="20"/>
        </w:rPr>
        <w:t>Ecuador</w:t>
      </w:r>
      <w:r w:rsidR="00DC39BE">
        <w:rPr>
          <w:color w:val="000000" w:themeColor="text1"/>
          <w:sz w:val="20"/>
          <w:szCs w:val="20"/>
        </w:rPr>
        <w:t xml:space="preserve">, </w:t>
      </w:r>
      <w:r w:rsidR="00DC39BE" w:rsidRPr="00DC39BE">
        <w:rPr>
          <w:color w:val="000000" w:themeColor="text1"/>
          <w:sz w:val="20"/>
          <w:szCs w:val="20"/>
        </w:rPr>
        <w:t>Estonia</w:t>
      </w:r>
      <w:r w:rsidR="00DC39BE">
        <w:rPr>
          <w:color w:val="000000" w:themeColor="text1"/>
          <w:sz w:val="20"/>
          <w:szCs w:val="20"/>
        </w:rPr>
        <w:t xml:space="preserve">, </w:t>
      </w:r>
      <w:r w:rsidR="00DC39BE" w:rsidRPr="00DC39BE">
        <w:rPr>
          <w:color w:val="000000" w:themeColor="text1"/>
          <w:sz w:val="20"/>
          <w:szCs w:val="20"/>
        </w:rPr>
        <w:t>Finland</w:t>
      </w:r>
      <w:r w:rsidR="00DC39BE">
        <w:rPr>
          <w:color w:val="000000" w:themeColor="text1"/>
          <w:sz w:val="20"/>
          <w:szCs w:val="20"/>
        </w:rPr>
        <w:t xml:space="preserve">, </w:t>
      </w:r>
      <w:r w:rsidR="00DC39BE" w:rsidRPr="00DC39BE">
        <w:rPr>
          <w:color w:val="000000" w:themeColor="text1"/>
          <w:sz w:val="20"/>
          <w:szCs w:val="20"/>
        </w:rPr>
        <w:t>France</w:t>
      </w:r>
      <w:r w:rsidR="00DC39BE">
        <w:rPr>
          <w:color w:val="000000" w:themeColor="text1"/>
          <w:sz w:val="20"/>
          <w:szCs w:val="20"/>
        </w:rPr>
        <w:t xml:space="preserve">, </w:t>
      </w:r>
      <w:r w:rsidR="00DC39BE" w:rsidRPr="00DC39BE">
        <w:rPr>
          <w:color w:val="000000" w:themeColor="text1"/>
          <w:sz w:val="20"/>
          <w:szCs w:val="20"/>
        </w:rPr>
        <w:t>Georgia</w:t>
      </w:r>
      <w:r w:rsidR="00DC39BE">
        <w:rPr>
          <w:color w:val="000000" w:themeColor="text1"/>
          <w:sz w:val="20"/>
          <w:szCs w:val="20"/>
        </w:rPr>
        <w:t xml:space="preserve">, </w:t>
      </w:r>
      <w:r w:rsidR="00DC39BE" w:rsidRPr="00DC39BE">
        <w:rPr>
          <w:color w:val="000000" w:themeColor="text1"/>
          <w:sz w:val="20"/>
          <w:szCs w:val="20"/>
        </w:rPr>
        <w:t>Germany</w:t>
      </w:r>
      <w:r w:rsidR="00DC39BE">
        <w:rPr>
          <w:color w:val="000000" w:themeColor="text1"/>
          <w:sz w:val="20"/>
          <w:szCs w:val="20"/>
        </w:rPr>
        <w:t xml:space="preserve">, </w:t>
      </w:r>
      <w:r w:rsidR="00DC39BE" w:rsidRPr="00DC39BE">
        <w:rPr>
          <w:color w:val="000000" w:themeColor="text1"/>
          <w:sz w:val="20"/>
          <w:szCs w:val="20"/>
        </w:rPr>
        <w:t>Greece</w:t>
      </w:r>
      <w:r w:rsidR="00DC39BE">
        <w:rPr>
          <w:color w:val="000000" w:themeColor="text1"/>
          <w:sz w:val="20"/>
          <w:szCs w:val="20"/>
        </w:rPr>
        <w:t xml:space="preserve">, </w:t>
      </w:r>
      <w:r w:rsidR="00DC39BE" w:rsidRPr="00DC39BE">
        <w:rPr>
          <w:color w:val="000000" w:themeColor="text1"/>
          <w:sz w:val="20"/>
          <w:szCs w:val="20"/>
        </w:rPr>
        <w:t>Honduras</w:t>
      </w:r>
      <w:r w:rsidR="00DC39BE">
        <w:rPr>
          <w:color w:val="000000" w:themeColor="text1"/>
          <w:sz w:val="20"/>
          <w:szCs w:val="20"/>
        </w:rPr>
        <w:t xml:space="preserve">, </w:t>
      </w:r>
      <w:r w:rsidR="00DC39BE" w:rsidRPr="00DC39BE">
        <w:rPr>
          <w:color w:val="000000" w:themeColor="text1"/>
          <w:sz w:val="20"/>
          <w:szCs w:val="20"/>
        </w:rPr>
        <w:t>Iceland</w:t>
      </w:r>
      <w:r w:rsidR="00DC39BE">
        <w:rPr>
          <w:color w:val="000000" w:themeColor="text1"/>
          <w:sz w:val="20"/>
          <w:szCs w:val="20"/>
        </w:rPr>
        <w:t xml:space="preserve">, </w:t>
      </w:r>
      <w:r w:rsidR="00DC39BE" w:rsidRPr="00DC39BE">
        <w:rPr>
          <w:color w:val="000000" w:themeColor="text1"/>
          <w:sz w:val="20"/>
          <w:szCs w:val="20"/>
        </w:rPr>
        <w:t>Ireland</w:t>
      </w:r>
      <w:r w:rsidR="00DC39BE">
        <w:rPr>
          <w:color w:val="000000" w:themeColor="text1"/>
          <w:sz w:val="20"/>
          <w:szCs w:val="20"/>
        </w:rPr>
        <w:t xml:space="preserve">, </w:t>
      </w:r>
      <w:r w:rsidR="00DC39BE" w:rsidRPr="00DC39BE">
        <w:rPr>
          <w:color w:val="000000" w:themeColor="text1"/>
          <w:sz w:val="20"/>
          <w:szCs w:val="20"/>
        </w:rPr>
        <w:t>Israel</w:t>
      </w:r>
      <w:r w:rsidR="00DC39BE">
        <w:rPr>
          <w:color w:val="000000" w:themeColor="text1"/>
          <w:sz w:val="20"/>
          <w:szCs w:val="20"/>
        </w:rPr>
        <w:t xml:space="preserve">, </w:t>
      </w:r>
      <w:r w:rsidR="00DC39BE" w:rsidRPr="00DC39BE">
        <w:rPr>
          <w:color w:val="000000" w:themeColor="text1"/>
          <w:sz w:val="20"/>
          <w:szCs w:val="20"/>
        </w:rPr>
        <w:t>Italy</w:t>
      </w:r>
      <w:r w:rsidR="00DC39BE">
        <w:rPr>
          <w:color w:val="000000" w:themeColor="text1"/>
          <w:sz w:val="20"/>
          <w:szCs w:val="20"/>
        </w:rPr>
        <w:t xml:space="preserve">, </w:t>
      </w:r>
      <w:r w:rsidR="00DC39BE" w:rsidRPr="00DC39BE">
        <w:rPr>
          <w:color w:val="000000" w:themeColor="text1"/>
          <w:sz w:val="20"/>
          <w:szCs w:val="20"/>
        </w:rPr>
        <w:t>Japan</w:t>
      </w:r>
      <w:r w:rsidR="00DC39BE">
        <w:rPr>
          <w:color w:val="000000" w:themeColor="text1"/>
          <w:sz w:val="20"/>
          <w:szCs w:val="20"/>
        </w:rPr>
        <w:t xml:space="preserve">, </w:t>
      </w:r>
      <w:r w:rsidR="00DC39BE" w:rsidRPr="00DC39BE">
        <w:rPr>
          <w:color w:val="000000" w:themeColor="text1"/>
          <w:sz w:val="20"/>
          <w:szCs w:val="20"/>
        </w:rPr>
        <w:t>Latvia</w:t>
      </w:r>
      <w:r w:rsidR="00DC39BE">
        <w:rPr>
          <w:color w:val="000000" w:themeColor="text1"/>
          <w:sz w:val="20"/>
          <w:szCs w:val="20"/>
        </w:rPr>
        <w:t xml:space="preserve">, </w:t>
      </w:r>
      <w:r w:rsidR="00DC39BE" w:rsidRPr="00DC39BE">
        <w:rPr>
          <w:color w:val="000000" w:themeColor="text1"/>
          <w:sz w:val="20"/>
          <w:szCs w:val="20"/>
        </w:rPr>
        <w:t>Liechtenstein</w:t>
      </w:r>
      <w:r w:rsidR="00DC39BE">
        <w:rPr>
          <w:color w:val="000000" w:themeColor="text1"/>
          <w:sz w:val="20"/>
          <w:szCs w:val="20"/>
        </w:rPr>
        <w:t xml:space="preserve">, </w:t>
      </w:r>
      <w:r w:rsidR="00DC39BE" w:rsidRPr="00DC39BE">
        <w:rPr>
          <w:color w:val="000000" w:themeColor="text1"/>
          <w:sz w:val="20"/>
          <w:szCs w:val="20"/>
        </w:rPr>
        <w:t>Lithuania</w:t>
      </w:r>
      <w:r w:rsidR="00DC39BE">
        <w:rPr>
          <w:color w:val="000000" w:themeColor="text1"/>
          <w:sz w:val="20"/>
          <w:szCs w:val="20"/>
        </w:rPr>
        <w:t xml:space="preserve">, </w:t>
      </w:r>
      <w:r w:rsidR="00DC39BE" w:rsidRPr="00DC39BE">
        <w:rPr>
          <w:color w:val="000000" w:themeColor="text1"/>
          <w:sz w:val="20"/>
          <w:szCs w:val="20"/>
        </w:rPr>
        <w:t>Luxemb</w:t>
      </w:r>
      <w:r w:rsidR="00DC39BE">
        <w:rPr>
          <w:color w:val="000000" w:themeColor="text1"/>
          <w:sz w:val="20"/>
          <w:szCs w:val="20"/>
        </w:rPr>
        <w:t>o</w:t>
      </w:r>
      <w:r w:rsidR="00DC39BE" w:rsidRPr="00DC39BE">
        <w:rPr>
          <w:color w:val="000000" w:themeColor="text1"/>
          <w:sz w:val="20"/>
          <w:szCs w:val="20"/>
        </w:rPr>
        <w:t>urg</w:t>
      </w:r>
      <w:r w:rsidR="00DC39BE">
        <w:rPr>
          <w:color w:val="000000" w:themeColor="text1"/>
          <w:sz w:val="20"/>
          <w:szCs w:val="20"/>
        </w:rPr>
        <w:t xml:space="preserve">, </w:t>
      </w:r>
      <w:r w:rsidR="00DC39BE" w:rsidRPr="00DC39BE">
        <w:rPr>
          <w:color w:val="000000" w:themeColor="text1"/>
          <w:sz w:val="20"/>
          <w:szCs w:val="20"/>
        </w:rPr>
        <w:t>Mauritius</w:t>
      </w:r>
      <w:r w:rsidR="00DC39BE">
        <w:rPr>
          <w:color w:val="000000" w:themeColor="text1"/>
          <w:sz w:val="20"/>
          <w:szCs w:val="20"/>
        </w:rPr>
        <w:t xml:space="preserve">, </w:t>
      </w:r>
      <w:r w:rsidR="00DC39BE" w:rsidRPr="00DC39BE">
        <w:rPr>
          <w:color w:val="000000" w:themeColor="text1"/>
          <w:sz w:val="20"/>
          <w:szCs w:val="20"/>
        </w:rPr>
        <w:t>Mongolia</w:t>
      </w:r>
      <w:r w:rsidR="00DC39BE">
        <w:rPr>
          <w:color w:val="000000" w:themeColor="text1"/>
          <w:sz w:val="20"/>
          <w:szCs w:val="20"/>
        </w:rPr>
        <w:t xml:space="preserve">, </w:t>
      </w:r>
      <w:r w:rsidR="00DC39BE" w:rsidRPr="00DC39BE">
        <w:rPr>
          <w:color w:val="000000" w:themeColor="text1"/>
          <w:sz w:val="20"/>
          <w:szCs w:val="20"/>
        </w:rPr>
        <w:t>Montenegro</w:t>
      </w:r>
      <w:r w:rsidR="00DC39BE">
        <w:rPr>
          <w:color w:val="000000" w:themeColor="text1"/>
          <w:sz w:val="20"/>
          <w:szCs w:val="20"/>
        </w:rPr>
        <w:t xml:space="preserve">, the </w:t>
      </w:r>
      <w:r w:rsidR="00DC39BE" w:rsidRPr="00DC39BE">
        <w:rPr>
          <w:color w:val="000000" w:themeColor="text1"/>
          <w:sz w:val="20"/>
          <w:szCs w:val="20"/>
        </w:rPr>
        <w:t>Netherlands</w:t>
      </w:r>
      <w:r w:rsidR="00DC39BE">
        <w:rPr>
          <w:color w:val="000000" w:themeColor="text1"/>
          <w:sz w:val="20"/>
          <w:szCs w:val="20"/>
        </w:rPr>
        <w:t xml:space="preserve">, </w:t>
      </w:r>
      <w:r w:rsidR="00DC39BE" w:rsidRPr="00DC39BE">
        <w:rPr>
          <w:color w:val="000000" w:themeColor="text1"/>
          <w:sz w:val="20"/>
          <w:szCs w:val="20"/>
        </w:rPr>
        <w:t>New Zealand</w:t>
      </w:r>
      <w:r w:rsidR="00DC39BE">
        <w:rPr>
          <w:color w:val="000000" w:themeColor="text1"/>
          <w:sz w:val="20"/>
          <w:szCs w:val="20"/>
        </w:rPr>
        <w:t xml:space="preserve">, </w:t>
      </w:r>
      <w:r w:rsidR="00DC39BE" w:rsidRPr="00DC39BE">
        <w:rPr>
          <w:color w:val="000000" w:themeColor="text1"/>
          <w:sz w:val="20"/>
          <w:szCs w:val="20"/>
        </w:rPr>
        <w:t>Norway</w:t>
      </w:r>
      <w:r w:rsidR="00DC39BE">
        <w:rPr>
          <w:color w:val="000000" w:themeColor="text1"/>
          <w:sz w:val="20"/>
          <w:szCs w:val="20"/>
        </w:rPr>
        <w:t xml:space="preserve">, </w:t>
      </w:r>
      <w:r w:rsidR="00DC39BE" w:rsidRPr="00DC39BE">
        <w:rPr>
          <w:color w:val="000000" w:themeColor="text1"/>
          <w:sz w:val="20"/>
          <w:szCs w:val="20"/>
        </w:rPr>
        <w:t>Peru</w:t>
      </w:r>
      <w:r w:rsidR="00DC39BE">
        <w:rPr>
          <w:color w:val="000000" w:themeColor="text1"/>
          <w:sz w:val="20"/>
          <w:szCs w:val="20"/>
        </w:rPr>
        <w:t xml:space="preserve">, </w:t>
      </w:r>
      <w:r w:rsidR="00DC39BE" w:rsidRPr="00DC39BE">
        <w:rPr>
          <w:color w:val="000000" w:themeColor="text1"/>
          <w:sz w:val="20"/>
          <w:szCs w:val="20"/>
        </w:rPr>
        <w:t>Portugal</w:t>
      </w:r>
      <w:r w:rsidR="00DC39BE">
        <w:rPr>
          <w:color w:val="000000" w:themeColor="text1"/>
          <w:sz w:val="20"/>
          <w:szCs w:val="20"/>
        </w:rPr>
        <w:t xml:space="preserve">, the </w:t>
      </w:r>
      <w:r w:rsidR="00DC39BE" w:rsidRPr="00DC39BE">
        <w:rPr>
          <w:color w:val="000000" w:themeColor="text1"/>
          <w:sz w:val="20"/>
          <w:szCs w:val="20"/>
        </w:rPr>
        <w:t>Republic of Korea</w:t>
      </w:r>
      <w:r w:rsidR="00DC39BE">
        <w:rPr>
          <w:color w:val="000000" w:themeColor="text1"/>
          <w:sz w:val="20"/>
          <w:szCs w:val="20"/>
        </w:rPr>
        <w:t xml:space="preserve">, the </w:t>
      </w:r>
      <w:r w:rsidR="00DC39BE" w:rsidRPr="00DC39BE">
        <w:rPr>
          <w:color w:val="000000" w:themeColor="text1"/>
          <w:sz w:val="20"/>
          <w:szCs w:val="20"/>
        </w:rPr>
        <w:t>Republic of Moldova</w:t>
      </w:r>
      <w:r w:rsidR="00DC39BE">
        <w:rPr>
          <w:color w:val="000000" w:themeColor="text1"/>
          <w:sz w:val="20"/>
          <w:szCs w:val="20"/>
        </w:rPr>
        <w:t xml:space="preserve">, </w:t>
      </w:r>
      <w:r w:rsidR="00DC39BE" w:rsidRPr="00DC39BE">
        <w:rPr>
          <w:color w:val="000000" w:themeColor="text1"/>
          <w:sz w:val="20"/>
          <w:szCs w:val="20"/>
        </w:rPr>
        <w:t>Romania</w:t>
      </w:r>
      <w:r w:rsidR="00DC39BE">
        <w:rPr>
          <w:color w:val="000000" w:themeColor="text1"/>
          <w:sz w:val="20"/>
          <w:szCs w:val="20"/>
        </w:rPr>
        <w:t xml:space="preserve">, </w:t>
      </w:r>
      <w:r w:rsidR="00DC39BE" w:rsidRPr="00DC39BE">
        <w:rPr>
          <w:color w:val="000000" w:themeColor="text1"/>
          <w:sz w:val="20"/>
          <w:szCs w:val="20"/>
        </w:rPr>
        <w:t>Rwanda</w:t>
      </w:r>
      <w:r w:rsidR="00DC39BE">
        <w:rPr>
          <w:color w:val="000000" w:themeColor="text1"/>
          <w:sz w:val="20"/>
          <w:szCs w:val="20"/>
        </w:rPr>
        <w:t xml:space="preserve">, </w:t>
      </w:r>
      <w:r w:rsidR="00DC39BE" w:rsidRPr="00DC39BE">
        <w:rPr>
          <w:color w:val="000000" w:themeColor="text1"/>
          <w:sz w:val="20"/>
          <w:szCs w:val="20"/>
        </w:rPr>
        <w:t>San Marino</w:t>
      </w:r>
      <w:r w:rsidR="00DC39BE">
        <w:rPr>
          <w:color w:val="000000" w:themeColor="text1"/>
          <w:sz w:val="20"/>
          <w:szCs w:val="20"/>
        </w:rPr>
        <w:t xml:space="preserve">, </w:t>
      </w:r>
      <w:r w:rsidR="00DC39BE" w:rsidRPr="00DC39BE">
        <w:rPr>
          <w:color w:val="000000" w:themeColor="text1"/>
          <w:sz w:val="20"/>
          <w:szCs w:val="20"/>
        </w:rPr>
        <w:t>Serbia</w:t>
      </w:r>
      <w:r w:rsidR="00DC39BE">
        <w:rPr>
          <w:color w:val="000000" w:themeColor="text1"/>
          <w:sz w:val="20"/>
          <w:szCs w:val="20"/>
        </w:rPr>
        <w:t xml:space="preserve">, </w:t>
      </w:r>
      <w:r w:rsidR="00DC39BE" w:rsidRPr="00DC39BE">
        <w:rPr>
          <w:color w:val="000000" w:themeColor="text1"/>
          <w:sz w:val="20"/>
          <w:szCs w:val="20"/>
        </w:rPr>
        <w:t>Slovakia</w:t>
      </w:r>
      <w:r w:rsidR="00DC39BE">
        <w:rPr>
          <w:color w:val="000000" w:themeColor="text1"/>
          <w:sz w:val="20"/>
          <w:szCs w:val="20"/>
        </w:rPr>
        <w:t xml:space="preserve">, </w:t>
      </w:r>
      <w:r w:rsidR="00DC39BE" w:rsidRPr="00DC39BE">
        <w:rPr>
          <w:color w:val="000000" w:themeColor="text1"/>
          <w:sz w:val="20"/>
          <w:szCs w:val="20"/>
        </w:rPr>
        <w:t>Slovenia</w:t>
      </w:r>
      <w:r w:rsidR="00DC39BE">
        <w:rPr>
          <w:color w:val="000000" w:themeColor="text1"/>
          <w:sz w:val="20"/>
          <w:szCs w:val="20"/>
        </w:rPr>
        <w:t xml:space="preserve">, </w:t>
      </w:r>
      <w:r w:rsidR="00DC39BE" w:rsidRPr="00DC39BE">
        <w:rPr>
          <w:color w:val="000000" w:themeColor="text1"/>
          <w:sz w:val="20"/>
          <w:szCs w:val="20"/>
        </w:rPr>
        <w:t>Spain</w:t>
      </w:r>
      <w:r w:rsidR="00DC39BE">
        <w:rPr>
          <w:color w:val="000000" w:themeColor="text1"/>
          <w:sz w:val="20"/>
          <w:szCs w:val="20"/>
        </w:rPr>
        <w:t xml:space="preserve">, </w:t>
      </w:r>
      <w:r w:rsidR="00DC39BE" w:rsidRPr="00DC39BE">
        <w:rPr>
          <w:color w:val="000000" w:themeColor="text1"/>
          <w:sz w:val="20"/>
          <w:szCs w:val="20"/>
        </w:rPr>
        <w:t>Sweden</w:t>
      </w:r>
      <w:r w:rsidR="00DC39BE">
        <w:rPr>
          <w:color w:val="000000" w:themeColor="text1"/>
          <w:sz w:val="20"/>
          <w:szCs w:val="20"/>
        </w:rPr>
        <w:t xml:space="preserve">, </w:t>
      </w:r>
      <w:r w:rsidR="00DC39BE" w:rsidRPr="00DC39BE">
        <w:rPr>
          <w:color w:val="000000" w:themeColor="text1"/>
          <w:sz w:val="20"/>
          <w:szCs w:val="20"/>
        </w:rPr>
        <w:t>Switzerland</w:t>
      </w:r>
      <w:r w:rsidR="00DC39BE">
        <w:rPr>
          <w:color w:val="000000" w:themeColor="text1"/>
          <w:sz w:val="20"/>
          <w:szCs w:val="20"/>
        </w:rPr>
        <w:t xml:space="preserve">, </w:t>
      </w:r>
      <w:r w:rsidR="00DC39BE" w:rsidRPr="00DC39BE">
        <w:rPr>
          <w:color w:val="000000" w:themeColor="text1"/>
          <w:sz w:val="20"/>
          <w:szCs w:val="20"/>
        </w:rPr>
        <w:t>Tunisia</w:t>
      </w:r>
      <w:r w:rsidR="00DC39BE">
        <w:rPr>
          <w:color w:val="000000" w:themeColor="text1"/>
          <w:sz w:val="20"/>
          <w:szCs w:val="20"/>
        </w:rPr>
        <w:t xml:space="preserve">, </w:t>
      </w:r>
      <w:r w:rsidR="00DC39BE" w:rsidRPr="00DC39BE">
        <w:rPr>
          <w:color w:val="000000" w:themeColor="text1"/>
          <w:sz w:val="20"/>
          <w:szCs w:val="20"/>
        </w:rPr>
        <w:t>Turkey</w:t>
      </w:r>
      <w:r w:rsidR="00DC39BE">
        <w:rPr>
          <w:color w:val="000000" w:themeColor="text1"/>
          <w:sz w:val="20"/>
          <w:szCs w:val="20"/>
        </w:rPr>
        <w:t xml:space="preserve">, </w:t>
      </w:r>
      <w:r w:rsidR="00DC39BE" w:rsidRPr="00DC39BE">
        <w:rPr>
          <w:color w:val="000000" w:themeColor="text1"/>
          <w:sz w:val="20"/>
          <w:szCs w:val="20"/>
        </w:rPr>
        <w:t>Turkmenistan</w:t>
      </w:r>
      <w:r w:rsidR="00DC39BE">
        <w:rPr>
          <w:color w:val="000000" w:themeColor="text1"/>
          <w:sz w:val="20"/>
          <w:szCs w:val="20"/>
        </w:rPr>
        <w:t xml:space="preserve">, </w:t>
      </w:r>
      <w:r w:rsidR="00DC39BE" w:rsidRPr="00DC39BE">
        <w:rPr>
          <w:color w:val="000000" w:themeColor="text1"/>
          <w:sz w:val="20"/>
          <w:szCs w:val="20"/>
        </w:rPr>
        <w:t>Ukraine</w:t>
      </w:r>
      <w:r w:rsidR="00DC39BE">
        <w:rPr>
          <w:color w:val="000000" w:themeColor="text1"/>
          <w:sz w:val="20"/>
          <w:szCs w:val="20"/>
        </w:rPr>
        <w:t xml:space="preserve">, the </w:t>
      </w:r>
      <w:r w:rsidR="00DC39BE" w:rsidRPr="00DC39BE">
        <w:rPr>
          <w:color w:val="000000" w:themeColor="text1"/>
          <w:sz w:val="20"/>
          <w:szCs w:val="20"/>
        </w:rPr>
        <w:t>United Kingdom</w:t>
      </w:r>
      <w:r w:rsidR="00DC39BE">
        <w:rPr>
          <w:color w:val="000000" w:themeColor="text1"/>
          <w:sz w:val="20"/>
          <w:szCs w:val="20"/>
        </w:rPr>
        <w:t xml:space="preserve"> of Great Britain and Northern Ireland, </w:t>
      </w:r>
      <w:r w:rsidR="00DC39BE" w:rsidRPr="00DC39BE">
        <w:rPr>
          <w:color w:val="000000" w:themeColor="text1"/>
          <w:sz w:val="20"/>
          <w:szCs w:val="20"/>
        </w:rPr>
        <w:t>Uruguay</w:t>
      </w:r>
      <w:r w:rsidR="00DC39BE">
        <w:rPr>
          <w:color w:val="000000" w:themeColor="text1"/>
          <w:sz w:val="20"/>
          <w:szCs w:val="20"/>
        </w:rPr>
        <w:t xml:space="preserve"> and the </w:t>
      </w:r>
      <w:r w:rsidR="00DC39BE" w:rsidRPr="00DC39BE">
        <w:rPr>
          <w:color w:val="000000" w:themeColor="text1"/>
          <w:sz w:val="20"/>
          <w:szCs w:val="20"/>
        </w:rPr>
        <w:t>State of Palestine</w:t>
      </w:r>
      <w:r w:rsidR="002F070E" w:rsidRPr="00DC39BE">
        <w:rPr>
          <w:color w:val="000000" w:themeColor="text1"/>
          <w:sz w:val="20"/>
          <w:szCs w:val="20"/>
        </w:rPr>
        <w:t>)</w:t>
      </w:r>
      <w:r w:rsidRPr="0067399B">
        <w:rPr>
          <w:color w:val="000000" w:themeColor="text1"/>
          <w:sz w:val="20"/>
          <w:szCs w:val="20"/>
        </w:rPr>
        <w:t xml:space="preserve"> </w:t>
      </w:r>
      <w:r w:rsidR="00DC39BE">
        <w:rPr>
          <w:color w:val="000000" w:themeColor="text1"/>
          <w:sz w:val="20"/>
          <w:szCs w:val="20"/>
        </w:rPr>
        <w:t xml:space="preserve">and </w:t>
      </w:r>
      <w:r w:rsidR="00A9605E" w:rsidRPr="00A9605E">
        <w:rPr>
          <w:color w:val="000000" w:themeColor="text1"/>
          <w:sz w:val="20"/>
          <w:szCs w:val="20"/>
        </w:rPr>
        <w:t>Women</w:t>
      </w:r>
      <w:r w:rsidR="00D72627">
        <w:rPr>
          <w:color w:val="000000" w:themeColor="text1"/>
          <w:sz w:val="20"/>
          <w:szCs w:val="20"/>
        </w:rPr>
        <w:t>’</w:t>
      </w:r>
      <w:r w:rsidR="00A9605E" w:rsidRPr="00A9605E">
        <w:rPr>
          <w:color w:val="000000" w:themeColor="text1"/>
          <w:sz w:val="20"/>
          <w:szCs w:val="20"/>
        </w:rPr>
        <w:t>s International League for Peace and Freedom</w:t>
      </w:r>
      <w:r w:rsidR="00A9605E">
        <w:rPr>
          <w:color w:val="000000" w:themeColor="text1"/>
          <w:sz w:val="20"/>
          <w:szCs w:val="20"/>
        </w:rPr>
        <w:t xml:space="preserve"> made statement</w:t>
      </w:r>
      <w:r w:rsidR="00DC39BE">
        <w:rPr>
          <w:color w:val="000000" w:themeColor="text1"/>
          <w:sz w:val="20"/>
          <w:szCs w:val="20"/>
        </w:rPr>
        <w:t>s</w:t>
      </w:r>
      <w:r w:rsidR="00A9605E">
        <w:rPr>
          <w:color w:val="000000" w:themeColor="text1"/>
          <w:sz w:val="20"/>
          <w:szCs w:val="20"/>
        </w:rPr>
        <w:t>.</w:t>
      </w:r>
    </w:p>
    <w:p w14:paraId="2EA58787" w14:textId="391A5274" w:rsidR="00F11B08" w:rsidRPr="0067399B" w:rsidRDefault="00F11B08" w:rsidP="00C961C6">
      <w:pPr>
        <w:pStyle w:val="SingleTxtG"/>
        <w:tabs>
          <w:tab w:val="left" w:pos="1701"/>
        </w:tabs>
        <w:rPr>
          <w:color w:val="000000" w:themeColor="text1"/>
          <w:sz w:val="20"/>
          <w:szCs w:val="20"/>
        </w:rPr>
      </w:pPr>
      <w:r w:rsidRPr="0067399B">
        <w:rPr>
          <w:color w:val="000000" w:themeColor="text1"/>
          <w:sz w:val="20"/>
          <w:szCs w:val="20"/>
        </w:rPr>
        <w:t>4.</w:t>
      </w:r>
      <w:r w:rsidRPr="0067399B">
        <w:rPr>
          <w:color w:val="000000" w:themeColor="text1"/>
          <w:sz w:val="20"/>
          <w:szCs w:val="20"/>
        </w:rPr>
        <w:tab/>
        <w:t xml:space="preserve">In accordance with rule 8 (b) of the rules of procedure of the Human Rights Council, as contained in part VII of the annex to Council resolution 5/1, the organizational meeting on the </w:t>
      </w:r>
      <w:r w:rsidR="00F26B03">
        <w:rPr>
          <w:color w:val="000000" w:themeColor="text1"/>
          <w:sz w:val="20"/>
          <w:szCs w:val="20"/>
        </w:rPr>
        <w:t>fortieth</w:t>
      </w:r>
      <w:r w:rsidR="00FA696B" w:rsidRPr="0067399B">
        <w:rPr>
          <w:color w:val="000000" w:themeColor="text1"/>
          <w:sz w:val="20"/>
          <w:szCs w:val="20"/>
        </w:rPr>
        <w:t xml:space="preserve"> session was held on 1</w:t>
      </w:r>
      <w:r w:rsidR="00141AFC">
        <w:rPr>
          <w:color w:val="000000" w:themeColor="text1"/>
          <w:sz w:val="20"/>
          <w:szCs w:val="20"/>
        </w:rPr>
        <w:t>1 February 2019</w:t>
      </w:r>
      <w:r w:rsidRPr="0067399B">
        <w:rPr>
          <w:color w:val="000000" w:themeColor="text1"/>
          <w:sz w:val="20"/>
          <w:szCs w:val="20"/>
        </w:rPr>
        <w:t>.</w:t>
      </w:r>
    </w:p>
    <w:p w14:paraId="40B74172" w14:textId="6CA01524" w:rsidR="005E1188" w:rsidRPr="0067399B" w:rsidRDefault="00F11B08" w:rsidP="005E1188">
      <w:pPr>
        <w:pStyle w:val="SingleTxtG"/>
        <w:rPr>
          <w:color w:val="000000" w:themeColor="text1"/>
          <w:sz w:val="20"/>
          <w:szCs w:val="20"/>
        </w:rPr>
      </w:pPr>
      <w:r w:rsidRPr="0067399B">
        <w:rPr>
          <w:color w:val="000000" w:themeColor="text1"/>
          <w:sz w:val="20"/>
          <w:szCs w:val="20"/>
        </w:rPr>
        <w:t>5.</w:t>
      </w:r>
      <w:r w:rsidR="0097718C" w:rsidRPr="0067399B">
        <w:rPr>
          <w:color w:val="000000" w:themeColor="text1"/>
          <w:sz w:val="20"/>
          <w:szCs w:val="20"/>
        </w:rPr>
        <w:tab/>
      </w:r>
      <w:r w:rsidRPr="0067399B">
        <w:rPr>
          <w:color w:val="000000" w:themeColor="text1"/>
          <w:sz w:val="20"/>
          <w:szCs w:val="20"/>
        </w:rPr>
        <w:t xml:space="preserve">The </w:t>
      </w:r>
      <w:r w:rsidR="00F26B03">
        <w:rPr>
          <w:color w:val="000000" w:themeColor="text1"/>
          <w:sz w:val="20"/>
          <w:szCs w:val="20"/>
        </w:rPr>
        <w:t>fortieth</w:t>
      </w:r>
      <w:r w:rsidRPr="0067399B">
        <w:rPr>
          <w:color w:val="000000" w:themeColor="text1"/>
          <w:sz w:val="20"/>
          <w:szCs w:val="20"/>
        </w:rPr>
        <w:t xml:space="preserve"> session consisted of </w:t>
      </w:r>
      <w:r w:rsidR="00AF2901">
        <w:rPr>
          <w:color w:val="000000" w:themeColor="text1"/>
          <w:sz w:val="20"/>
          <w:szCs w:val="20"/>
        </w:rPr>
        <w:t xml:space="preserve">55 </w:t>
      </w:r>
      <w:r w:rsidR="005E1188" w:rsidRPr="0067399B">
        <w:rPr>
          <w:color w:val="000000" w:themeColor="text1"/>
          <w:sz w:val="20"/>
          <w:szCs w:val="20"/>
        </w:rPr>
        <w:t xml:space="preserve">meetings over </w:t>
      </w:r>
      <w:r w:rsidR="00AF2901">
        <w:rPr>
          <w:color w:val="000000" w:themeColor="text1"/>
          <w:sz w:val="20"/>
          <w:szCs w:val="20"/>
        </w:rPr>
        <w:t>20</w:t>
      </w:r>
      <w:r w:rsidR="00560881">
        <w:rPr>
          <w:color w:val="000000" w:themeColor="text1"/>
          <w:sz w:val="20"/>
          <w:szCs w:val="20"/>
        </w:rPr>
        <w:t xml:space="preserve"> </w:t>
      </w:r>
      <w:r w:rsidR="005E1188" w:rsidRPr="0067399B">
        <w:rPr>
          <w:color w:val="000000" w:themeColor="text1"/>
          <w:sz w:val="20"/>
          <w:szCs w:val="20"/>
        </w:rPr>
        <w:t xml:space="preserve">days (see </w:t>
      </w:r>
      <w:r w:rsidR="005E1188" w:rsidRPr="00BD37A7">
        <w:rPr>
          <w:color w:val="000000" w:themeColor="text1"/>
          <w:sz w:val="20"/>
          <w:szCs w:val="20"/>
        </w:rPr>
        <w:t xml:space="preserve">paragraph </w:t>
      </w:r>
      <w:r w:rsidR="00BD37A7" w:rsidRPr="00BD37A7">
        <w:rPr>
          <w:color w:val="000000" w:themeColor="text1"/>
          <w:sz w:val="20"/>
          <w:szCs w:val="20"/>
        </w:rPr>
        <w:t>27</w:t>
      </w:r>
      <w:r w:rsidR="005E1188" w:rsidRPr="00BD37A7">
        <w:rPr>
          <w:color w:val="000000" w:themeColor="text1"/>
          <w:sz w:val="20"/>
          <w:szCs w:val="20"/>
        </w:rPr>
        <w:t xml:space="preserve"> below</w:t>
      </w:r>
      <w:r w:rsidR="005E1188" w:rsidRPr="0067399B">
        <w:rPr>
          <w:color w:val="000000" w:themeColor="text1"/>
          <w:sz w:val="20"/>
          <w:szCs w:val="20"/>
        </w:rPr>
        <w:t>).</w:t>
      </w:r>
    </w:p>
    <w:p w14:paraId="2EA58789" w14:textId="77777777" w:rsidR="00F11B08" w:rsidRPr="00C16037" w:rsidRDefault="00F11B08" w:rsidP="00F11B08">
      <w:pPr>
        <w:pStyle w:val="H1G"/>
        <w:rPr>
          <w:color w:val="000000" w:themeColor="text1"/>
        </w:rPr>
      </w:pPr>
      <w:r w:rsidRPr="00C16037">
        <w:rPr>
          <w:color w:val="000000" w:themeColor="text1"/>
        </w:rPr>
        <w:tab/>
        <w:t>B.</w:t>
      </w:r>
      <w:r w:rsidRPr="00C16037">
        <w:rPr>
          <w:color w:val="000000" w:themeColor="text1"/>
        </w:rPr>
        <w:tab/>
        <w:t xml:space="preserve">Attendance </w:t>
      </w:r>
    </w:p>
    <w:p w14:paraId="2EA5878A" w14:textId="0A0FFDA9" w:rsidR="00F11B08" w:rsidRPr="0067399B" w:rsidRDefault="00F11B08" w:rsidP="00415787">
      <w:pPr>
        <w:pStyle w:val="SingleTxtG"/>
        <w:tabs>
          <w:tab w:val="left" w:pos="1701"/>
        </w:tabs>
        <w:rPr>
          <w:color w:val="000000" w:themeColor="text1"/>
          <w:sz w:val="20"/>
          <w:szCs w:val="20"/>
        </w:rPr>
      </w:pPr>
      <w:r w:rsidRPr="0067399B">
        <w:rPr>
          <w:color w:val="000000" w:themeColor="text1"/>
          <w:sz w:val="20"/>
          <w:szCs w:val="20"/>
        </w:rPr>
        <w:t>6.</w:t>
      </w:r>
      <w:r w:rsidRPr="0067399B">
        <w:rPr>
          <w:color w:val="000000" w:themeColor="text1"/>
          <w:sz w:val="20"/>
          <w:szCs w:val="20"/>
        </w:rPr>
        <w:tab/>
        <w:t xml:space="preserve">The session was attended by representatives of </w:t>
      </w:r>
      <w:r w:rsidR="005D3E5F">
        <w:rPr>
          <w:color w:val="000000" w:themeColor="text1"/>
          <w:sz w:val="20"/>
          <w:szCs w:val="20"/>
        </w:rPr>
        <w:t>States Members</w:t>
      </w:r>
      <w:r w:rsidRPr="0067399B">
        <w:rPr>
          <w:color w:val="000000" w:themeColor="text1"/>
          <w:sz w:val="20"/>
          <w:szCs w:val="20"/>
        </w:rPr>
        <w:t xml:space="preserve"> of the Human Rights Council, observer States of the Council, observers for non-</w:t>
      </w:r>
      <w:r w:rsidR="005D3E5F">
        <w:rPr>
          <w:color w:val="000000" w:themeColor="text1"/>
          <w:sz w:val="20"/>
          <w:szCs w:val="20"/>
        </w:rPr>
        <w:t>Member State</w:t>
      </w:r>
      <w:r w:rsidRPr="0067399B">
        <w:rPr>
          <w:color w:val="000000" w:themeColor="text1"/>
          <w:sz w:val="20"/>
          <w:szCs w:val="20"/>
        </w:rPr>
        <w:t>s of the United Nations and other observers, as well as observers for United Nations entities, specialized agencies and related organizations, intergovernmental organizations and other entities, national human rights institutions and non-governmental organizations (see annex I).</w:t>
      </w:r>
    </w:p>
    <w:p w14:paraId="2EA5878B" w14:textId="77777777" w:rsidR="00F11B08" w:rsidRPr="00C16037" w:rsidRDefault="00F11B08" w:rsidP="00F11B08">
      <w:pPr>
        <w:pStyle w:val="H1G"/>
        <w:rPr>
          <w:color w:val="000000" w:themeColor="text1"/>
        </w:rPr>
      </w:pPr>
      <w:r w:rsidRPr="00C16037">
        <w:rPr>
          <w:color w:val="000000" w:themeColor="text1"/>
        </w:rPr>
        <w:tab/>
      </w:r>
      <w:r w:rsidRPr="00BD37A7">
        <w:rPr>
          <w:color w:val="000000" w:themeColor="text1"/>
        </w:rPr>
        <w:t>C.</w:t>
      </w:r>
      <w:r w:rsidRPr="00BD37A7">
        <w:rPr>
          <w:color w:val="000000" w:themeColor="text1"/>
        </w:rPr>
        <w:tab/>
        <w:t>High-level segment</w:t>
      </w:r>
      <w:r w:rsidRPr="00C16037">
        <w:rPr>
          <w:color w:val="000000" w:themeColor="text1"/>
        </w:rPr>
        <w:t xml:space="preserve"> </w:t>
      </w:r>
    </w:p>
    <w:p w14:paraId="3D64D9E5" w14:textId="6A8A670E" w:rsidR="00523DB3" w:rsidRPr="0067399B" w:rsidRDefault="00141AFC" w:rsidP="00523DB3">
      <w:pPr>
        <w:pStyle w:val="SingleTxtG"/>
        <w:rPr>
          <w:color w:val="000000" w:themeColor="text1"/>
          <w:sz w:val="20"/>
          <w:szCs w:val="20"/>
        </w:rPr>
      </w:pPr>
      <w:r>
        <w:rPr>
          <w:color w:val="000000" w:themeColor="text1"/>
          <w:sz w:val="20"/>
          <w:szCs w:val="20"/>
        </w:rPr>
        <w:t>7.</w:t>
      </w:r>
      <w:r>
        <w:rPr>
          <w:color w:val="000000" w:themeColor="text1"/>
          <w:sz w:val="20"/>
          <w:szCs w:val="20"/>
        </w:rPr>
        <w:tab/>
        <w:t xml:space="preserve">At its 1st to </w:t>
      </w:r>
      <w:r w:rsidR="00F362AD" w:rsidRPr="0067399B">
        <w:rPr>
          <w:color w:val="000000" w:themeColor="text1"/>
          <w:sz w:val="20"/>
          <w:szCs w:val="20"/>
        </w:rPr>
        <w:t>8</w:t>
      </w:r>
      <w:r w:rsidR="00F11B08" w:rsidRPr="0067399B">
        <w:rPr>
          <w:color w:val="000000" w:themeColor="text1"/>
          <w:sz w:val="20"/>
          <w:szCs w:val="20"/>
        </w:rPr>
        <w:t xml:space="preserve">th meetings, </w:t>
      </w:r>
      <w:r w:rsidR="00FA696B" w:rsidRPr="0067399B">
        <w:rPr>
          <w:color w:val="000000" w:themeColor="text1"/>
          <w:sz w:val="20"/>
          <w:szCs w:val="20"/>
        </w:rPr>
        <w:t>from 2</w:t>
      </w:r>
      <w:r>
        <w:rPr>
          <w:color w:val="000000" w:themeColor="text1"/>
          <w:sz w:val="20"/>
          <w:szCs w:val="20"/>
        </w:rPr>
        <w:t>5</w:t>
      </w:r>
      <w:r w:rsidR="00FA696B" w:rsidRPr="0067399B">
        <w:rPr>
          <w:color w:val="000000" w:themeColor="text1"/>
          <w:sz w:val="20"/>
          <w:szCs w:val="20"/>
        </w:rPr>
        <w:t xml:space="preserve"> </w:t>
      </w:r>
      <w:r w:rsidR="00F362AD" w:rsidRPr="0067399B">
        <w:rPr>
          <w:color w:val="000000" w:themeColor="text1"/>
          <w:sz w:val="20"/>
          <w:szCs w:val="20"/>
        </w:rPr>
        <w:t>to 2</w:t>
      </w:r>
      <w:r>
        <w:rPr>
          <w:color w:val="000000" w:themeColor="text1"/>
          <w:sz w:val="20"/>
          <w:szCs w:val="20"/>
        </w:rPr>
        <w:t>7</w:t>
      </w:r>
      <w:r w:rsidR="00F362AD" w:rsidRPr="0067399B">
        <w:rPr>
          <w:color w:val="000000" w:themeColor="text1"/>
          <w:sz w:val="20"/>
          <w:szCs w:val="20"/>
        </w:rPr>
        <w:t xml:space="preserve"> </w:t>
      </w:r>
      <w:r w:rsidR="00FA696B" w:rsidRPr="0067399B">
        <w:rPr>
          <w:color w:val="000000" w:themeColor="text1"/>
          <w:sz w:val="20"/>
          <w:szCs w:val="20"/>
        </w:rPr>
        <w:t>February 201</w:t>
      </w:r>
      <w:r>
        <w:rPr>
          <w:color w:val="000000" w:themeColor="text1"/>
          <w:sz w:val="20"/>
          <w:szCs w:val="20"/>
        </w:rPr>
        <w:t>9</w:t>
      </w:r>
      <w:r w:rsidR="00F11B08" w:rsidRPr="0067399B">
        <w:rPr>
          <w:color w:val="000000" w:themeColor="text1"/>
          <w:sz w:val="20"/>
          <w:szCs w:val="20"/>
        </w:rPr>
        <w:t xml:space="preserve">, the Council held a high-level segment, at which </w:t>
      </w:r>
      <w:r w:rsidR="00523DB3" w:rsidRPr="003E0CA6">
        <w:rPr>
          <w:color w:val="000000" w:themeColor="text1"/>
          <w:sz w:val="20"/>
          <w:szCs w:val="20"/>
        </w:rPr>
        <w:t>9</w:t>
      </w:r>
      <w:r w:rsidR="002F6435" w:rsidRPr="003E0CA6">
        <w:rPr>
          <w:color w:val="000000" w:themeColor="text1"/>
          <w:sz w:val="20"/>
          <w:szCs w:val="20"/>
        </w:rPr>
        <w:t>5</w:t>
      </w:r>
      <w:r w:rsidR="00523DB3" w:rsidRPr="0067399B">
        <w:rPr>
          <w:color w:val="000000" w:themeColor="text1"/>
          <w:sz w:val="20"/>
          <w:szCs w:val="20"/>
        </w:rPr>
        <w:t xml:space="preserve"> dignitaries addressed the plenary, including </w:t>
      </w:r>
      <w:r w:rsidR="00AF0FC0">
        <w:rPr>
          <w:color w:val="000000" w:themeColor="text1"/>
          <w:sz w:val="20"/>
          <w:szCs w:val="20"/>
        </w:rPr>
        <w:t>1</w:t>
      </w:r>
      <w:r w:rsidR="00523DB3" w:rsidRPr="00AF0FC0">
        <w:rPr>
          <w:color w:val="000000" w:themeColor="text1"/>
          <w:sz w:val="20"/>
          <w:szCs w:val="20"/>
        </w:rPr>
        <w:t xml:space="preserve"> head of state, 1 vice-president, </w:t>
      </w:r>
      <w:r w:rsidR="00AF0FC0">
        <w:rPr>
          <w:color w:val="000000" w:themeColor="text1"/>
          <w:sz w:val="20"/>
          <w:szCs w:val="20"/>
        </w:rPr>
        <w:t>2 prime ministers, 5</w:t>
      </w:r>
      <w:r w:rsidR="00523DB3" w:rsidRPr="00AF0FC0">
        <w:rPr>
          <w:color w:val="000000" w:themeColor="text1"/>
          <w:sz w:val="20"/>
          <w:szCs w:val="20"/>
        </w:rPr>
        <w:t xml:space="preserve"> deputy prime ministers, </w:t>
      </w:r>
      <w:r w:rsidR="00AF0FC0">
        <w:rPr>
          <w:color w:val="000000" w:themeColor="text1"/>
          <w:sz w:val="20"/>
          <w:szCs w:val="20"/>
        </w:rPr>
        <w:t>50</w:t>
      </w:r>
      <w:r w:rsidR="00523DB3" w:rsidRPr="00AF0FC0">
        <w:rPr>
          <w:color w:val="000000" w:themeColor="text1"/>
          <w:sz w:val="20"/>
          <w:szCs w:val="20"/>
        </w:rPr>
        <w:t xml:space="preserve"> ministers, </w:t>
      </w:r>
      <w:r w:rsidR="00AF0FC0">
        <w:rPr>
          <w:color w:val="000000" w:themeColor="text1"/>
          <w:sz w:val="20"/>
          <w:szCs w:val="20"/>
        </w:rPr>
        <w:t>29</w:t>
      </w:r>
      <w:r w:rsidR="00523DB3" w:rsidRPr="00AF0FC0">
        <w:rPr>
          <w:color w:val="000000" w:themeColor="text1"/>
          <w:sz w:val="20"/>
          <w:szCs w:val="20"/>
        </w:rPr>
        <w:t xml:space="preserve"> other dignitaries and 7 representatives of observer organizations.</w:t>
      </w:r>
    </w:p>
    <w:p w14:paraId="2EA5878D" w14:textId="77777777" w:rsidR="00F11B08" w:rsidRPr="0067399B" w:rsidRDefault="00F11B08" w:rsidP="005C07E6">
      <w:pPr>
        <w:pStyle w:val="SingleTxtG"/>
        <w:tabs>
          <w:tab w:val="left" w:pos="1701"/>
        </w:tabs>
        <w:rPr>
          <w:color w:val="000000" w:themeColor="text1"/>
          <w:sz w:val="20"/>
          <w:szCs w:val="20"/>
        </w:rPr>
      </w:pPr>
      <w:r w:rsidRPr="0067399B">
        <w:rPr>
          <w:color w:val="000000" w:themeColor="text1"/>
          <w:sz w:val="20"/>
          <w:szCs w:val="20"/>
        </w:rPr>
        <w:lastRenderedPageBreak/>
        <w:t>8.</w:t>
      </w:r>
      <w:r w:rsidRPr="0067399B">
        <w:rPr>
          <w:color w:val="000000" w:themeColor="text1"/>
          <w:sz w:val="20"/>
          <w:szCs w:val="20"/>
        </w:rPr>
        <w:tab/>
        <w:t>The following dignitaries addressed the Human Rights Council during the high-level segment, in the order that they spoke:</w:t>
      </w:r>
    </w:p>
    <w:p w14:paraId="326E7CBC" w14:textId="01D5417A" w:rsidR="00141AFC" w:rsidRPr="0067399B" w:rsidRDefault="00F11B08" w:rsidP="00451E89">
      <w:pPr>
        <w:pStyle w:val="SingleTxtG"/>
        <w:ind w:firstLine="567"/>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At the </w:t>
      </w:r>
      <w:r w:rsidR="004C689C" w:rsidRPr="0067399B">
        <w:rPr>
          <w:color w:val="000000" w:themeColor="text1"/>
          <w:sz w:val="20"/>
          <w:szCs w:val="20"/>
        </w:rPr>
        <w:t>1st meeting, on 2</w:t>
      </w:r>
      <w:r w:rsidR="00141AFC">
        <w:rPr>
          <w:color w:val="000000" w:themeColor="text1"/>
          <w:sz w:val="20"/>
          <w:szCs w:val="20"/>
        </w:rPr>
        <w:t>5</w:t>
      </w:r>
      <w:r w:rsidR="00FA696B" w:rsidRPr="0067399B">
        <w:rPr>
          <w:color w:val="000000" w:themeColor="text1"/>
          <w:sz w:val="20"/>
          <w:szCs w:val="20"/>
        </w:rPr>
        <w:t xml:space="preserve"> February </w:t>
      </w:r>
      <w:r w:rsidR="00141AFC">
        <w:rPr>
          <w:color w:val="000000" w:themeColor="text1"/>
          <w:sz w:val="20"/>
          <w:szCs w:val="20"/>
        </w:rPr>
        <w:t>2019</w:t>
      </w:r>
      <w:r w:rsidRPr="0067399B">
        <w:rPr>
          <w:color w:val="000000" w:themeColor="text1"/>
          <w:sz w:val="20"/>
          <w:szCs w:val="20"/>
        </w:rPr>
        <w:t xml:space="preserve">: </w:t>
      </w:r>
      <w:r w:rsidR="00141AFC">
        <w:rPr>
          <w:color w:val="000000" w:themeColor="text1"/>
          <w:sz w:val="20"/>
          <w:szCs w:val="20"/>
        </w:rPr>
        <w:t>the</w:t>
      </w:r>
      <w:r w:rsidR="00141AFC" w:rsidRPr="00141AFC">
        <w:rPr>
          <w:color w:val="000000" w:themeColor="text1"/>
          <w:sz w:val="20"/>
          <w:szCs w:val="20"/>
        </w:rPr>
        <w:t xml:space="preserve"> </w:t>
      </w:r>
      <w:r w:rsidR="00141AFC">
        <w:rPr>
          <w:color w:val="000000" w:themeColor="text1"/>
          <w:sz w:val="20"/>
          <w:szCs w:val="20"/>
        </w:rPr>
        <w:t xml:space="preserve">President of </w:t>
      </w:r>
      <w:r w:rsidR="00141AFC" w:rsidRPr="000A2A0B">
        <w:rPr>
          <w:color w:val="000000" w:themeColor="text1"/>
          <w:sz w:val="20"/>
          <w:szCs w:val="20"/>
        </w:rPr>
        <w:t>Tunisia</w:t>
      </w:r>
      <w:r w:rsidR="00141AFC">
        <w:rPr>
          <w:color w:val="000000" w:themeColor="text1"/>
          <w:sz w:val="20"/>
          <w:szCs w:val="20"/>
        </w:rPr>
        <w:t>,</w:t>
      </w:r>
      <w:r w:rsidR="00141AFC" w:rsidRPr="000A2A0B">
        <w:rPr>
          <w:color w:val="000000" w:themeColor="text1"/>
          <w:sz w:val="20"/>
          <w:szCs w:val="20"/>
        </w:rPr>
        <w:t xml:space="preserve"> </w:t>
      </w:r>
      <w:r w:rsidR="00141AFC" w:rsidRPr="00141AFC">
        <w:rPr>
          <w:color w:val="000000" w:themeColor="text1"/>
          <w:sz w:val="20"/>
          <w:szCs w:val="20"/>
        </w:rPr>
        <w:t>Béji Caïd Essebsi</w:t>
      </w:r>
      <w:r w:rsidR="00141AFC">
        <w:rPr>
          <w:color w:val="000000" w:themeColor="text1"/>
          <w:sz w:val="20"/>
          <w:szCs w:val="20"/>
        </w:rPr>
        <w:t xml:space="preserve">; the </w:t>
      </w:r>
      <w:r w:rsidR="00141AFC" w:rsidRPr="00141AFC">
        <w:rPr>
          <w:color w:val="000000" w:themeColor="text1"/>
          <w:sz w:val="20"/>
          <w:szCs w:val="20"/>
        </w:rPr>
        <w:t xml:space="preserve">Chairperson of the </w:t>
      </w:r>
      <w:r w:rsidR="00141AFC" w:rsidRPr="000A2A0B">
        <w:rPr>
          <w:color w:val="000000" w:themeColor="text1"/>
          <w:sz w:val="20"/>
          <w:szCs w:val="20"/>
        </w:rPr>
        <w:t>African Union Commission</w:t>
      </w:r>
      <w:r w:rsidR="00141AFC">
        <w:rPr>
          <w:color w:val="000000" w:themeColor="text1"/>
          <w:sz w:val="20"/>
          <w:szCs w:val="20"/>
        </w:rPr>
        <w:t xml:space="preserve">, Moussa Faki Mahamat; the </w:t>
      </w:r>
      <w:r w:rsidR="00141AFC" w:rsidRPr="00141AFC">
        <w:rPr>
          <w:color w:val="000000" w:themeColor="text1"/>
          <w:sz w:val="20"/>
          <w:szCs w:val="20"/>
        </w:rPr>
        <w:t>Prime Minister of Yemen</w:t>
      </w:r>
      <w:r w:rsidR="00141AFC">
        <w:rPr>
          <w:color w:val="000000" w:themeColor="text1"/>
          <w:sz w:val="20"/>
          <w:szCs w:val="20"/>
        </w:rPr>
        <w:t xml:space="preserve">, </w:t>
      </w:r>
      <w:r w:rsidR="00141AFC" w:rsidRPr="00141AFC">
        <w:rPr>
          <w:color w:val="000000" w:themeColor="text1"/>
          <w:sz w:val="20"/>
          <w:szCs w:val="20"/>
        </w:rPr>
        <w:t>Maeen Abdul</w:t>
      </w:r>
      <w:r w:rsidR="00141AFC">
        <w:rPr>
          <w:color w:val="000000" w:themeColor="text1"/>
          <w:sz w:val="20"/>
          <w:szCs w:val="20"/>
        </w:rPr>
        <w:t xml:space="preserve"> Malek Saeed; the </w:t>
      </w:r>
      <w:r w:rsidR="00141AFC" w:rsidRPr="00141AFC">
        <w:rPr>
          <w:color w:val="000000" w:themeColor="text1"/>
          <w:sz w:val="20"/>
          <w:szCs w:val="20"/>
        </w:rPr>
        <w:t>Prime Minister of Fiji</w:t>
      </w:r>
      <w:r w:rsidR="00141AFC">
        <w:rPr>
          <w:color w:val="000000" w:themeColor="text1"/>
          <w:sz w:val="20"/>
          <w:szCs w:val="20"/>
        </w:rPr>
        <w:t xml:space="preserve">, Josaia Voreqe Bainimarama; the </w:t>
      </w:r>
      <w:r w:rsidR="00141AFC" w:rsidRPr="00141AFC">
        <w:rPr>
          <w:color w:val="000000" w:themeColor="text1"/>
          <w:sz w:val="20"/>
          <w:szCs w:val="20"/>
        </w:rPr>
        <w:t>First Vice-President of Costa Rica</w:t>
      </w:r>
      <w:r w:rsidR="00141AFC">
        <w:rPr>
          <w:color w:val="000000" w:themeColor="text1"/>
          <w:sz w:val="20"/>
          <w:szCs w:val="20"/>
        </w:rPr>
        <w:t xml:space="preserve">, Epsy Campbell Barr; the </w:t>
      </w:r>
      <w:r w:rsidR="00141AFC" w:rsidRPr="00141AFC">
        <w:rPr>
          <w:color w:val="000000" w:themeColor="text1"/>
          <w:sz w:val="20"/>
          <w:szCs w:val="20"/>
        </w:rPr>
        <w:t>Deputy Prime Minister and Minister of Foreign and European Affairs of Croatia</w:t>
      </w:r>
      <w:r w:rsidR="00141AFC">
        <w:rPr>
          <w:color w:val="000000" w:themeColor="text1"/>
          <w:sz w:val="20"/>
          <w:szCs w:val="20"/>
        </w:rPr>
        <w:t xml:space="preserve">, Marija Pejčinović Burić; the </w:t>
      </w:r>
      <w:r w:rsidR="00141AFC" w:rsidRPr="00141AFC">
        <w:rPr>
          <w:color w:val="000000" w:themeColor="text1"/>
          <w:sz w:val="20"/>
          <w:szCs w:val="20"/>
        </w:rPr>
        <w:t>Deputy Prime Minister and Minister for Foreign Affairs of Qatar</w:t>
      </w:r>
      <w:r w:rsidR="00451E89">
        <w:rPr>
          <w:color w:val="000000" w:themeColor="text1"/>
          <w:sz w:val="20"/>
          <w:szCs w:val="20"/>
        </w:rPr>
        <w:t xml:space="preserve">, </w:t>
      </w:r>
      <w:r w:rsidR="00141AFC" w:rsidRPr="00141AFC">
        <w:rPr>
          <w:color w:val="000000" w:themeColor="text1"/>
          <w:sz w:val="20"/>
          <w:szCs w:val="20"/>
        </w:rPr>
        <w:t>Sheikh Mohammed bin A</w:t>
      </w:r>
      <w:r w:rsidR="00451E89">
        <w:rPr>
          <w:color w:val="000000" w:themeColor="text1"/>
          <w:sz w:val="20"/>
          <w:szCs w:val="20"/>
        </w:rPr>
        <w:t xml:space="preserve">bdulrahman bin Jassim Al Thani; the </w:t>
      </w:r>
      <w:r w:rsidR="00451E89" w:rsidRPr="00141AFC">
        <w:rPr>
          <w:color w:val="000000" w:themeColor="text1"/>
          <w:sz w:val="20"/>
          <w:szCs w:val="20"/>
        </w:rPr>
        <w:t>Tánaiste and Minister for Foreign Affairs and Trade of Ireland</w:t>
      </w:r>
      <w:r w:rsidR="00451E89">
        <w:rPr>
          <w:color w:val="000000" w:themeColor="text1"/>
          <w:sz w:val="20"/>
          <w:szCs w:val="20"/>
        </w:rPr>
        <w:t xml:space="preserve">, Simon Coveney; the </w:t>
      </w:r>
      <w:r w:rsidR="00451E89" w:rsidRPr="00141AFC">
        <w:rPr>
          <w:color w:val="000000" w:themeColor="text1"/>
          <w:sz w:val="20"/>
          <w:szCs w:val="20"/>
        </w:rPr>
        <w:t>Minister for Foreign Affairs of Australia</w:t>
      </w:r>
      <w:r w:rsidR="00451E89">
        <w:rPr>
          <w:color w:val="000000" w:themeColor="text1"/>
          <w:sz w:val="20"/>
          <w:szCs w:val="20"/>
        </w:rPr>
        <w:t xml:space="preserve">, Marise Payne; the </w:t>
      </w:r>
      <w:r w:rsidR="00451E89" w:rsidRPr="00141AFC">
        <w:rPr>
          <w:color w:val="000000" w:themeColor="text1"/>
          <w:sz w:val="20"/>
          <w:szCs w:val="20"/>
        </w:rPr>
        <w:t>Minister of Women, Family and Human Rights of Brazil</w:t>
      </w:r>
      <w:r w:rsidR="00451E89">
        <w:rPr>
          <w:color w:val="000000" w:themeColor="text1"/>
          <w:sz w:val="20"/>
          <w:szCs w:val="20"/>
        </w:rPr>
        <w:t>, Damares Regina Alves.</w:t>
      </w:r>
    </w:p>
    <w:p w14:paraId="6257E392" w14:textId="58964176" w:rsidR="00451E89" w:rsidRPr="0067399B" w:rsidRDefault="00F11B08" w:rsidP="00451E89">
      <w:pPr>
        <w:pStyle w:val="SingleTxtG"/>
        <w:ind w:firstLine="567"/>
        <w:rPr>
          <w:color w:val="000000" w:themeColor="text1"/>
          <w:sz w:val="20"/>
          <w:szCs w:val="20"/>
        </w:rPr>
      </w:pPr>
      <w:r w:rsidRPr="0067399B">
        <w:rPr>
          <w:color w:val="000000" w:themeColor="text1"/>
          <w:sz w:val="20"/>
          <w:szCs w:val="20"/>
        </w:rPr>
        <w:t>(b)</w:t>
      </w:r>
      <w:r w:rsidRPr="0067399B">
        <w:rPr>
          <w:color w:val="000000" w:themeColor="text1"/>
          <w:sz w:val="20"/>
          <w:szCs w:val="20"/>
        </w:rPr>
        <w:tab/>
        <w:t xml:space="preserve">At the 2nd meeting, on the same day: </w:t>
      </w:r>
      <w:r w:rsidR="000A2A0B">
        <w:rPr>
          <w:color w:val="000000" w:themeColor="text1"/>
          <w:sz w:val="20"/>
          <w:szCs w:val="20"/>
        </w:rPr>
        <w:t xml:space="preserve">the </w:t>
      </w:r>
      <w:r w:rsidR="000A2A0B" w:rsidRPr="00141AFC">
        <w:rPr>
          <w:color w:val="000000" w:themeColor="text1"/>
          <w:sz w:val="20"/>
          <w:szCs w:val="20"/>
        </w:rPr>
        <w:t>Deputy Prime Minister</w:t>
      </w:r>
      <w:r w:rsidR="000A2A0B">
        <w:rPr>
          <w:color w:val="000000" w:themeColor="text1"/>
          <w:sz w:val="20"/>
          <w:szCs w:val="20"/>
        </w:rPr>
        <w:t xml:space="preserve"> and</w:t>
      </w:r>
      <w:r w:rsidR="000A2A0B" w:rsidRPr="00141AFC">
        <w:rPr>
          <w:color w:val="000000" w:themeColor="text1"/>
          <w:sz w:val="20"/>
          <w:szCs w:val="20"/>
        </w:rPr>
        <w:t xml:space="preserve"> Minister for Foreign Affairs and International Cooperation of Cambodia</w:t>
      </w:r>
      <w:r w:rsidR="000A2A0B">
        <w:rPr>
          <w:color w:val="000000" w:themeColor="text1"/>
          <w:sz w:val="20"/>
          <w:szCs w:val="20"/>
        </w:rPr>
        <w:t xml:space="preserve">, Prak Sokhonn; the Minister of External Relations of Cameroon, Lejeune Mbella Mbella; the </w:t>
      </w:r>
      <w:r w:rsidR="000A2A0B" w:rsidRPr="00141AFC">
        <w:rPr>
          <w:color w:val="000000" w:themeColor="text1"/>
          <w:sz w:val="20"/>
          <w:szCs w:val="20"/>
        </w:rPr>
        <w:t>Minister for Foreign Affairs of Norway</w:t>
      </w:r>
      <w:r w:rsidR="000A2A0B">
        <w:rPr>
          <w:color w:val="000000" w:themeColor="text1"/>
          <w:sz w:val="20"/>
          <w:szCs w:val="20"/>
        </w:rPr>
        <w:t xml:space="preserve">, Ine Eriksen Søreide; the </w:t>
      </w:r>
      <w:r w:rsidR="000A2A0B" w:rsidRPr="00141AFC">
        <w:rPr>
          <w:color w:val="000000" w:themeColor="text1"/>
          <w:sz w:val="20"/>
          <w:szCs w:val="20"/>
        </w:rPr>
        <w:t>Minister for Foreign Affairs of Turkey</w:t>
      </w:r>
      <w:r w:rsidR="000A2A0B">
        <w:rPr>
          <w:color w:val="000000" w:themeColor="text1"/>
          <w:sz w:val="20"/>
          <w:szCs w:val="20"/>
        </w:rPr>
        <w:t xml:space="preserve">, Mevlüt Çavuşoğlu; </w:t>
      </w:r>
      <w:r w:rsidR="00451E89">
        <w:rPr>
          <w:color w:val="000000" w:themeColor="text1"/>
          <w:sz w:val="20"/>
          <w:szCs w:val="20"/>
        </w:rPr>
        <w:t xml:space="preserve">the </w:t>
      </w:r>
      <w:r w:rsidR="00451E89" w:rsidRPr="00451E89">
        <w:rPr>
          <w:color w:val="000000" w:themeColor="text1"/>
          <w:sz w:val="20"/>
          <w:szCs w:val="20"/>
        </w:rPr>
        <w:t>Minister for Foreign Affairs of Denmark</w:t>
      </w:r>
      <w:r w:rsidR="00451E89">
        <w:rPr>
          <w:color w:val="000000" w:themeColor="text1"/>
          <w:sz w:val="20"/>
          <w:szCs w:val="20"/>
        </w:rPr>
        <w:t xml:space="preserve">, Anders Samuelsen; the </w:t>
      </w:r>
      <w:r w:rsidR="00451E89" w:rsidRPr="00451E89">
        <w:rPr>
          <w:color w:val="000000" w:themeColor="text1"/>
          <w:sz w:val="20"/>
          <w:szCs w:val="20"/>
        </w:rPr>
        <w:t>Third Deputy Prime Minister in Charge of Human Rights of Equatorial Guinea</w:t>
      </w:r>
      <w:r w:rsidR="00451E89">
        <w:rPr>
          <w:color w:val="000000" w:themeColor="text1"/>
          <w:sz w:val="20"/>
          <w:szCs w:val="20"/>
        </w:rPr>
        <w:t xml:space="preserve">, Alfonso Nsue Mokuy; the </w:t>
      </w:r>
      <w:r w:rsidR="00451E89" w:rsidRPr="00451E89">
        <w:rPr>
          <w:color w:val="000000" w:themeColor="text1"/>
          <w:sz w:val="20"/>
          <w:szCs w:val="20"/>
        </w:rPr>
        <w:t>Secretary for Relations with States of the Holy See</w:t>
      </w:r>
      <w:r w:rsidR="00451E89">
        <w:rPr>
          <w:color w:val="000000" w:themeColor="text1"/>
          <w:sz w:val="20"/>
          <w:szCs w:val="20"/>
        </w:rPr>
        <w:t xml:space="preserve">, </w:t>
      </w:r>
      <w:r w:rsidR="00451E89" w:rsidRPr="00451E89">
        <w:rPr>
          <w:color w:val="000000" w:themeColor="text1"/>
          <w:sz w:val="20"/>
          <w:szCs w:val="20"/>
        </w:rPr>
        <w:t>Arc</w:t>
      </w:r>
      <w:r w:rsidR="00451E89">
        <w:rPr>
          <w:color w:val="000000" w:themeColor="text1"/>
          <w:sz w:val="20"/>
          <w:szCs w:val="20"/>
        </w:rPr>
        <w:t xml:space="preserve">hbishop Paul Richard Gallagher; the </w:t>
      </w:r>
      <w:r w:rsidR="00451E89" w:rsidRPr="00451E89">
        <w:rPr>
          <w:color w:val="000000" w:themeColor="text1"/>
          <w:sz w:val="20"/>
          <w:szCs w:val="20"/>
        </w:rPr>
        <w:t>Minister for Foreign Affairs of Czech</w:t>
      </w:r>
      <w:r w:rsidR="00451E89">
        <w:rPr>
          <w:color w:val="000000" w:themeColor="text1"/>
          <w:sz w:val="20"/>
          <w:szCs w:val="20"/>
        </w:rPr>
        <w:t xml:space="preserve">ia, </w:t>
      </w:r>
      <w:r w:rsidR="00451E89" w:rsidRPr="00451E89">
        <w:rPr>
          <w:color w:val="000000" w:themeColor="text1"/>
          <w:sz w:val="20"/>
          <w:szCs w:val="20"/>
        </w:rPr>
        <w:t>Tomáš Pet</w:t>
      </w:r>
      <w:r w:rsidR="00451E89">
        <w:rPr>
          <w:color w:val="000000" w:themeColor="text1"/>
          <w:sz w:val="20"/>
          <w:szCs w:val="20"/>
        </w:rPr>
        <w:t xml:space="preserve">říček; the </w:t>
      </w:r>
      <w:r w:rsidR="00451E89" w:rsidRPr="00451E89">
        <w:rPr>
          <w:color w:val="000000" w:themeColor="text1"/>
          <w:sz w:val="20"/>
          <w:szCs w:val="20"/>
        </w:rPr>
        <w:t>Minister for Foreign Affairs of Georgia</w:t>
      </w:r>
      <w:r w:rsidR="00451E89">
        <w:rPr>
          <w:color w:val="000000" w:themeColor="text1"/>
          <w:sz w:val="20"/>
          <w:szCs w:val="20"/>
        </w:rPr>
        <w:t xml:space="preserve">, David Zalkaliani; the </w:t>
      </w:r>
      <w:r w:rsidR="00451E89" w:rsidRPr="00451E89">
        <w:rPr>
          <w:color w:val="000000" w:themeColor="text1"/>
          <w:sz w:val="20"/>
          <w:szCs w:val="20"/>
        </w:rPr>
        <w:t>Minister for Foreign Affairs of Andorra</w:t>
      </w:r>
      <w:r w:rsidR="00451E89">
        <w:rPr>
          <w:color w:val="000000" w:themeColor="text1"/>
          <w:sz w:val="20"/>
          <w:szCs w:val="20"/>
        </w:rPr>
        <w:t xml:space="preserve">, </w:t>
      </w:r>
      <w:r w:rsidR="00451E89" w:rsidRPr="00451E89">
        <w:rPr>
          <w:color w:val="000000" w:themeColor="text1"/>
          <w:sz w:val="20"/>
          <w:szCs w:val="20"/>
        </w:rPr>
        <w:t>Maria Ubach</w:t>
      </w:r>
      <w:r w:rsidR="00451E89">
        <w:rPr>
          <w:color w:val="000000" w:themeColor="text1"/>
          <w:sz w:val="20"/>
          <w:szCs w:val="20"/>
        </w:rPr>
        <w:t xml:space="preserve">; the </w:t>
      </w:r>
      <w:r w:rsidR="000A2A0B">
        <w:rPr>
          <w:color w:val="000000" w:themeColor="text1"/>
          <w:sz w:val="20"/>
          <w:szCs w:val="20"/>
        </w:rPr>
        <w:t>Minister of State in Charge of Human Rights of Morocco</w:t>
      </w:r>
      <w:r w:rsidR="00451E89">
        <w:rPr>
          <w:color w:val="000000" w:themeColor="text1"/>
          <w:sz w:val="20"/>
          <w:szCs w:val="20"/>
        </w:rPr>
        <w:t xml:space="preserve">, Mustapha Ramid; the </w:t>
      </w:r>
      <w:r w:rsidR="000A2A0B">
        <w:rPr>
          <w:color w:val="000000" w:themeColor="text1"/>
          <w:sz w:val="20"/>
          <w:szCs w:val="20"/>
        </w:rPr>
        <w:t>Minister for Foreign Affairs of Uruguay</w:t>
      </w:r>
      <w:r w:rsidR="00451E89">
        <w:rPr>
          <w:color w:val="000000" w:themeColor="text1"/>
          <w:sz w:val="20"/>
          <w:szCs w:val="20"/>
        </w:rPr>
        <w:t xml:space="preserve">, Rodolfo Nin Novoa; the </w:t>
      </w:r>
      <w:r w:rsidR="00451E89" w:rsidRPr="00451E89">
        <w:rPr>
          <w:color w:val="000000" w:themeColor="text1"/>
          <w:sz w:val="20"/>
          <w:szCs w:val="20"/>
        </w:rPr>
        <w:t>Minister for Foreign Affairs of the Republic of Korea</w:t>
      </w:r>
      <w:r w:rsidR="00451E89">
        <w:rPr>
          <w:color w:val="000000" w:themeColor="text1"/>
          <w:sz w:val="20"/>
          <w:szCs w:val="20"/>
        </w:rPr>
        <w:t xml:space="preserve">, Kyung-wha Kang; </w:t>
      </w:r>
      <w:r w:rsidR="006E124E">
        <w:rPr>
          <w:color w:val="000000" w:themeColor="text1"/>
          <w:sz w:val="20"/>
          <w:szCs w:val="20"/>
        </w:rPr>
        <w:t xml:space="preserve">the </w:t>
      </w:r>
      <w:r w:rsidR="00451E89" w:rsidRPr="00451E89">
        <w:rPr>
          <w:color w:val="000000" w:themeColor="text1"/>
          <w:sz w:val="20"/>
          <w:szCs w:val="20"/>
        </w:rPr>
        <w:t>Minister for Foreign Affairs of Iceland</w:t>
      </w:r>
      <w:r w:rsidR="00451E89">
        <w:rPr>
          <w:color w:val="000000" w:themeColor="text1"/>
          <w:sz w:val="20"/>
          <w:szCs w:val="20"/>
        </w:rPr>
        <w:t xml:space="preserve">, Gudlaugur Thór Thórdarson; the </w:t>
      </w:r>
      <w:r w:rsidR="00451E89" w:rsidRPr="00451E89">
        <w:rPr>
          <w:color w:val="000000" w:themeColor="text1"/>
          <w:sz w:val="20"/>
          <w:szCs w:val="20"/>
        </w:rPr>
        <w:t>Minister for Foreign Affairs of Maldives</w:t>
      </w:r>
      <w:r w:rsidR="00451E89">
        <w:rPr>
          <w:color w:val="000000" w:themeColor="text1"/>
          <w:sz w:val="20"/>
          <w:szCs w:val="20"/>
        </w:rPr>
        <w:t xml:space="preserve">, Abdulla Shahid; the </w:t>
      </w:r>
      <w:r w:rsidR="00451E89" w:rsidRPr="00451E89">
        <w:rPr>
          <w:color w:val="000000" w:themeColor="text1"/>
          <w:sz w:val="20"/>
          <w:szCs w:val="20"/>
        </w:rPr>
        <w:t>Minister for Foreign Affairs of Montenegro</w:t>
      </w:r>
      <w:r w:rsidR="00451E89">
        <w:rPr>
          <w:color w:val="000000" w:themeColor="text1"/>
          <w:sz w:val="20"/>
          <w:szCs w:val="20"/>
        </w:rPr>
        <w:t>, Srdjan Darmanović.</w:t>
      </w:r>
    </w:p>
    <w:p w14:paraId="71AD964F" w14:textId="30CA7634" w:rsidR="000A2A0B" w:rsidRDefault="000A2A0B" w:rsidP="00F11B08">
      <w:pPr>
        <w:pStyle w:val="SingleTxtG"/>
        <w:ind w:firstLine="567"/>
        <w:rPr>
          <w:color w:val="000000" w:themeColor="text1"/>
          <w:sz w:val="20"/>
          <w:szCs w:val="20"/>
        </w:rPr>
      </w:pPr>
      <w:r w:rsidRPr="0067399B">
        <w:rPr>
          <w:color w:val="000000" w:themeColor="text1"/>
          <w:sz w:val="20"/>
          <w:szCs w:val="20"/>
        </w:rPr>
        <w:t>(c)</w:t>
      </w:r>
      <w:r w:rsidRPr="0067399B">
        <w:rPr>
          <w:color w:val="000000" w:themeColor="text1"/>
          <w:sz w:val="20"/>
          <w:szCs w:val="20"/>
        </w:rPr>
        <w:tab/>
        <w:t xml:space="preserve">At the </w:t>
      </w:r>
      <w:r>
        <w:rPr>
          <w:color w:val="000000" w:themeColor="text1"/>
          <w:sz w:val="20"/>
          <w:szCs w:val="20"/>
        </w:rPr>
        <w:t>3rd</w:t>
      </w:r>
      <w:r w:rsidRPr="0067399B">
        <w:rPr>
          <w:color w:val="000000" w:themeColor="text1"/>
          <w:sz w:val="20"/>
          <w:szCs w:val="20"/>
        </w:rPr>
        <w:t xml:space="preserve"> meeting, on </w:t>
      </w:r>
      <w:r>
        <w:rPr>
          <w:color w:val="000000" w:themeColor="text1"/>
          <w:sz w:val="20"/>
          <w:szCs w:val="20"/>
        </w:rPr>
        <w:t>the same day</w:t>
      </w:r>
      <w:r w:rsidRPr="0067399B">
        <w:rPr>
          <w:color w:val="000000" w:themeColor="text1"/>
          <w:sz w:val="20"/>
          <w:szCs w:val="20"/>
        </w:rPr>
        <w:t xml:space="preserve">: </w:t>
      </w:r>
      <w:r>
        <w:rPr>
          <w:color w:val="000000" w:themeColor="text1"/>
          <w:sz w:val="20"/>
          <w:szCs w:val="20"/>
        </w:rPr>
        <w:t xml:space="preserve">the </w:t>
      </w:r>
      <w:r w:rsidRPr="00451E89">
        <w:rPr>
          <w:color w:val="000000" w:themeColor="text1"/>
          <w:sz w:val="20"/>
          <w:szCs w:val="20"/>
        </w:rPr>
        <w:t>Deputy Foreign Minister of the Russian Federation</w:t>
      </w:r>
      <w:r>
        <w:rPr>
          <w:color w:val="000000" w:themeColor="text1"/>
          <w:sz w:val="20"/>
          <w:szCs w:val="20"/>
        </w:rPr>
        <w:t>, Sergey Vershinin;</w:t>
      </w:r>
      <w:r w:rsidRPr="000A2A0B">
        <w:rPr>
          <w:color w:val="000000" w:themeColor="text1"/>
          <w:sz w:val="20"/>
          <w:szCs w:val="20"/>
        </w:rPr>
        <w:t xml:space="preserve"> </w:t>
      </w:r>
      <w:r>
        <w:rPr>
          <w:color w:val="000000" w:themeColor="text1"/>
          <w:sz w:val="20"/>
          <w:szCs w:val="20"/>
        </w:rPr>
        <w:t xml:space="preserve">the </w:t>
      </w:r>
      <w:r w:rsidRPr="00451E89">
        <w:rPr>
          <w:color w:val="000000" w:themeColor="text1"/>
          <w:sz w:val="20"/>
          <w:szCs w:val="20"/>
        </w:rPr>
        <w:t>Deputy Minister of Foreign Affairs of Kazakhstan</w:t>
      </w:r>
      <w:r>
        <w:rPr>
          <w:color w:val="000000" w:themeColor="text1"/>
          <w:sz w:val="20"/>
          <w:szCs w:val="20"/>
        </w:rPr>
        <w:t xml:space="preserve">, Yerzhan Ashikbayev; the </w:t>
      </w:r>
      <w:r w:rsidRPr="00451E89">
        <w:rPr>
          <w:color w:val="000000" w:themeColor="text1"/>
          <w:sz w:val="20"/>
          <w:szCs w:val="20"/>
        </w:rPr>
        <w:t>Secretary of Human Rights and Cultural Pluralism of Argentina</w:t>
      </w:r>
      <w:r>
        <w:rPr>
          <w:color w:val="000000" w:themeColor="text1"/>
          <w:sz w:val="20"/>
          <w:szCs w:val="20"/>
        </w:rPr>
        <w:t xml:space="preserve">, </w:t>
      </w:r>
      <w:r w:rsidRPr="00451E89">
        <w:rPr>
          <w:color w:val="000000" w:themeColor="text1"/>
          <w:sz w:val="20"/>
          <w:szCs w:val="20"/>
        </w:rPr>
        <w:t>C</w:t>
      </w:r>
      <w:r>
        <w:rPr>
          <w:color w:val="000000" w:themeColor="text1"/>
          <w:sz w:val="20"/>
          <w:szCs w:val="20"/>
        </w:rPr>
        <w:t xml:space="preserve">laudio Avruj; the </w:t>
      </w:r>
      <w:r w:rsidRPr="00451E89">
        <w:rPr>
          <w:color w:val="000000" w:themeColor="text1"/>
          <w:sz w:val="20"/>
          <w:szCs w:val="20"/>
        </w:rPr>
        <w:t>Minister for Foreign Affairs and Trade of Hungary</w:t>
      </w:r>
      <w:r>
        <w:rPr>
          <w:color w:val="000000" w:themeColor="text1"/>
          <w:sz w:val="20"/>
          <w:szCs w:val="20"/>
        </w:rPr>
        <w:t xml:space="preserve">, Péter Szijjártó; the </w:t>
      </w:r>
      <w:r w:rsidRPr="00451E89">
        <w:rPr>
          <w:color w:val="000000" w:themeColor="text1"/>
          <w:sz w:val="20"/>
          <w:szCs w:val="20"/>
        </w:rPr>
        <w:t>Deputy Minister for International Relations and Cooperation of South Africa</w:t>
      </w:r>
      <w:r>
        <w:rPr>
          <w:color w:val="000000" w:themeColor="text1"/>
          <w:sz w:val="20"/>
          <w:szCs w:val="20"/>
        </w:rPr>
        <w:t xml:space="preserve">, Luwellyn Landers; the </w:t>
      </w:r>
      <w:r w:rsidRPr="00451E89">
        <w:rPr>
          <w:color w:val="000000" w:themeColor="text1"/>
          <w:sz w:val="20"/>
          <w:szCs w:val="20"/>
        </w:rPr>
        <w:t>Minister of State at the Foreign and Commonwealth Office of the United Kingdom of Great Britain and Northern Ireland</w:t>
      </w:r>
      <w:r>
        <w:rPr>
          <w:color w:val="000000" w:themeColor="text1"/>
          <w:sz w:val="20"/>
          <w:szCs w:val="20"/>
        </w:rPr>
        <w:t>, Lord Ahmad of Wimbledon.</w:t>
      </w:r>
    </w:p>
    <w:p w14:paraId="3CC6C046" w14:textId="7A021F67" w:rsidR="004369C9" w:rsidRPr="004369C9" w:rsidRDefault="00F11B08" w:rsidP="004369C9">
      <w:pPr>
        <w:pStyle w:val="SingleTxtG"/>
        <w:ind w:firstLine="567"/>
        <w:rPr>
          <w:color w:val="000000" w:themeColor="text1"/>
          <w:sz w:val="20"/>
          <w:szCs w:val="20"/>
        </w:rPr>
      </w:pPr>
      <w:r w:rsidRPr="0067399B">
        <w:rPr>
          <w:color w:val="000000" w:themeColor="text1"/>
          <w:sz w:val="20"/>
          <w:szCs w:val="20"/>
        </w:rPr>
        <w:t>(</w:t>
      </w:r>
      <w:r w:rsidR="000A2A0B">
        <w:rPr>
          <w:color w:val="000000" w:themeColor="text1"/>
          <w:sz w:val="20"/>
          <w:szCs w:val="20"/>
        </w:rPr>
        <w:t>d</w:t>
      </w:r>
      <w:r w:rsidRPr="0067399B">
        <w:rPr>
          <w:color w:val="000000" w:themeColor="text1"/>
          <w:sz w:val="20"/>
          <w:szCs w:val="20"/>
        </w:rPr>
        <w:t>)</w:t>
      </w:r>
      <w:r w:rsidRPr="0067399B">
        <w:rPr>
          <w:color w:val="000000" w:themeColor="text1"/>
          <w:sz w:val="20"/>
          <w:szCs w:val="20"/>
        </w:rPr>
        <w:tab/>
        <w:t xml:space="preserve">At the </w:t>
      </w:r>
      <w:r w:rsidR="00FA696B" w:rsidRPr="0067399B">
        <w:rPr>
          <w:color w:val="000000" w:themeColor="text1"/>
          <w:sz w:val="20"/>
          <w:szCs w:val="20"/>
        </w:rPr>
        <w:t>4th meeting, on 2</w:t>
      </w:r>
      <w:r w:rsidR="00143189">
        <w:rPr>
          <w:color w:val="000000" w:themeColor="text1"/>
          <w:sz w:val="20"/>
          <w:szCs w:val="20"/>
        </w:rPr>
        <w:t>6</w:t>
      </w:r>
      <w:r w:rsidR="00FA696B" w:rsidRPr="0067399B">
        <w:rPr>
          <w:color w:val="000000" w:themeColor="text1"/>
          <w:sz w:val="20"/>
          <w:szCs w:val="20"/>
        </w:rPr>
        <w:t xml:space="preserve"> February </w:t>
      </w:r>
      <w:r w:rsidR="00141AFC">
        <w:rPr>
          <w:color w:val="000000" w:themeColor="text1"/>
          <w:sz w:val="20"/>
          <w:szCs w:val="20"/>
        </w:rPr>
        <w:t>2019</w:t>
      </w:r>
      <w:r w:rsidRPr="0067399B">
        <w:rPr>
          <w:color w:val="000000" w:themeColor="text1"/>
          <w:sz w:val="20"/>
          <w:szCs w:val="20"/>
        </w:rPr>
        <w:t xml:space="preserve">: </w:t>
      </w:r>
      <w:r w:rsidR="004369C9">
        <w:rPr>
          <w:color w:val="000000" w:themeColor="text1"/>
          <w:sz w:val="20"/>
          <w:szCs w:val="20"/>
        </w:rPr>
        <w:t xml:space="preserve">the </w:t>
      </w:r>
      <w:r w:rsidR="004369C9" w:rsidRPr="004369C9">
        <w:rPr>
          <w:color w:val="000000" w:themeColor="text1"/>
          <w:sz w:val="20"/>
          <w:szCs w:val="20"/>
        </w:rPr>
        <w:t>Deputy Prime Minister and Minister of Foreign and European Affairs</w:t>
      </w:r>
      <w:r w:rsidR="006A5C93">
        <w:rPr>
          <w:color w:val="000000" w:themeColor="text1"/>
          <w:sz w:val="20"/>
          <w:szCs w:val="20"/>
        </w:rPr>
        <w:t>,</w:t>
      </w:r>
      <w:r w:rsidR="004369C9" w:rsidRPr="004369C9">
        <w:rPr>
          <w:color w:val="000000" w:themeColor="text1"/>
          <w:sz w:val="20"/>
          <w:szCs w:val="20"/>
        </w:rPr>
        <w:t xml:space="preserve"> and Defense, in charge of Beliris and the Federal Cultural Institutions</w:t>
      </w:r>
      <w:r w:rsidR="004369C9">
        <w:rPr>
          <w:color w:val="000000" w:themeColor="text1"/>
          <w:sz w:val="20"/>
          <w:szCs w:val="20"/>
        </w:rPr>
        <w:t xml:space="preserve"> of </w:t>
      </w:r>
      <w:r w:rsidR="004369C9" w:rsidRPr="004369C9">
        <w:rPr>
          <w:color w:val="000000" w:themeColor="text1"/>
          <w:sz w:val="20"/>
          <w:szCs w:val="20"/>
        </w:rPr>
        <w:t>Belgium</w:t>
      </w:r>
      <w:r w:rsidR="004369C9">
        <w:rPr>
          <w:color w:val="000000" w:themeColor="text1"/>
          <w:sz w:val="20"/>
          <w:szCs w:val="20"/>
        </w:rPr>
        <w:t xml:space="preserve">, </w:t>
      </w:r>
      <w:r w:rsidR="004369C9" w:rsidRPr="004369C9">
        <w:rPr>
          <w:color w:val="000000" w:themeColor="text1"/>
          <w:sz w:val="20"/>
          <w:szCs w:val="20"/>
        </w:rPr>
        <w:t>Didier Reynders</w:t>
      </w:r>
      <w:r w:rsidR="004369C9">
        <w:rPr>
          <w:color w:val="000000" w:themeColor="text1"/>
          <w:sz w:val="20"/>
          <w:szCs w:val="20"/>
        </w:rPr>
        <w:t xml:space="preserve">; the </w:t>
      </w:r>
      <w:r w:rsidR="004369C9" w:rsidRPr="004369C9">
        <w:rPr>
          <w:color w:val="000000" w:themeColor="text1"/>
          <w:sz w:val="20"/>
          <w:szCs w:val="20"/>
        </w:rPr>
        <w:t>Minister of Foreign and European Affairs of the Grand Duchy</w:t>
      </w:r>
      <w:r w:rsidR="004369C9">
        <w:rPr>
          <w:color w:val="000000" w:themeColor="text1"/>
          <w:sz w:val="20"/>
          <w:szCs w:val="20"/>
        </w:rPr>
        <w:t xml:space="preserve"> of</w:t>
      </w:r>
      <w:r w:rsidR="004369C9" w:rsidRPr="004369C9">
        <w:rPr>
          <w:color w:val="000000" w:themeColor="text1"/>
          <w:sz w:val="20"/>
          <w:szCs w:val="20"/>
        </w:rPr>
        <w:t xml:space="preserve"> Luxembourg</w:t>
      </w:r>
      <w:r w:rsidR="004369C9">
        <w:rPr>
          <w:color w:val="000000" w:themeColor="text1"/>
          <w:sz w:val="20"/>
          <w:szCs w:val="20"/>
        </w:rPr>
        <w:t xml:space="preserve">, </w:t>
      </w:r>
      <w:r w:rsidR="004369C9" w:rsidRPr="004369C9">
        <w:rPr>
          <w:color w:val="000000" w:themeColor="text1"/>
          <w:sz w:val="20"/>
          <w:szCs w:val="20"/>
        </w:rPr>
        <w:t>Jean Asselborn</w:t>
      </w:r>
      <w:r w:rsidR="004369C9">
        <w:rPr>
          <w:color w:val="000000" w:themeColor="text1"/>
          <w:sz w:val="20"/>
          <w:szCs w:val="20"/>
        </w:rPr>
        <w:t>;</w:t>
      </w:r>
      <w:r w:rsidR="004369C9" w:rsidRPr="004369C9">
        <w:rPr>
          <w:color w:val="000000" w:themeColor="text1"/>
          <w:sz w:val="20"/>
          <w:szCs w:val="20"/>
        </w:rPr>
        <w:t xml:space="preserve"> </w:t>
      </w:r>
      <w:r w:rsidR="004369C9">
        <w:rPr>
          <w:color w:val="000000" w:themeColor="text1"/>
          <w:sz w:val="20"/>
          <w:szCs w:val="20"/>
        </w:rPr>
        <w:t xml:space="preserve">the </w:t>
      </w:r>
      <w:r w:rsidR="004369C9" w:rsidRPr="004369C9">
        <w:rPr>
          <w:color w:val="000000" w:themeColor="text1"/>
          <w:sz w:val="20"/>
          <w:szCs w:val="20"/>
        </w:rPr>
        <w:t>Minister for Foreign and European Affairs of Slovakia</w:t>
      </w:r>
      <w:r w:rsidR="004369C9">
        <w:rPr>
          <w:color w:val="000000" w:themeColor="text1"/>
          <w:sz w:val="20"/>
          <w:szCs w:val="20"/>
        </w:rPr>
        <w:t xml:space="preserve">, </w:t>
      </w:r>
      <w:r w:rsidR="004369C9" w:rsidRPr="004369C9">
        <w:rPr>
          <w:color w:val="000000" w:themeColor="text1"/>
          <w:sz w:val="20"/>
          <w:szCs w:val="20"/>
        </w:rPr>
        <w:t>Miroslav Lajčák</w:t>
      </w:r>
      <w:r w:rsidR="004369C9">
        <w:rPr>
          <w:color w:val="000000" w:themeColor="text1"/>
          <w:sz w:val="20"/>
          <w:szCs w:val="20"/>
        </w:rPr>
        <w:t xml:space="preserve">; the </w:t>
      </w:r>
      <w:r w:rsidR="004369C9" w:rsidRPr="004369C9">
        <w:rPr>
          <w:color w:val="000000" w:themeColor="text1"/>
          <w:sz w:val="20"/>
          <w:szCs w:val="20"/>
        </w:rPr>
        <w:t>Vice Minister of Foreign Affairs</w:t>
      </w:r>
      <w:r w:rsidR="004369C9">
        <w:rPr>
          <w:color w:val="000000" w:themeColor="text1"/>
          <w:sz w:val="20"/>
          <w:szCs w:val="20"/>
        </w:rPr>
        <w:t xml:space="preserve"> of </w:t>
      </w:r>
      <w:r w:rsidR="004369C9" w:rsidRPr="004369C9">
        <w:rPr>
          <w:color w:val="000000" w:themeColor="text1"/>
          <w:sz w:val="20"/>
          <w:szCs w:val="20"/>
        </w:rPr>
        <w:t>Algeria</w:t>
      </w:r>
      <w:r w:rsidR="004369C9">
        <w:rPr>
          <w:color w:val="000000" w:themeColor="text1"/>
          <w:sz w:val="20"/>
          <w:szCs w:val="20"/>
        </w:rPr>
        <w:t xml:space="preserve">, </w:t>
      </w:r>
      <w:r w:rsidR="004369C9" w:rsidRPr="004369C9">
        <w:rPr>
          <w:color w:val="000000" w:themeColor="text1"/>
          <w:sz w:val="20"/>
          <w:szCs w:val="20"/>
        </w:rPr>
        <w:t>Nourredine Ayadi</w:t>
      </w:r>
      <w:r w:rsidR="004369C9">
        <w:rPr>
          <w:color w:val="000000" w:themeColor="text1"/>
          <w:sz w:val="20"/>
          <w:szCs w:val="20"/>
        </w:rPr>
        <w:t xml:space="preserve">; the </w:t>
      </w:r>
      <w:r w:rsidR="004369C9" w:rsidRPr="004369C9">
        <w:rPr>
          <w:color w:val="000000" w:themeColor="text1"/>
          <w:sz w:val="20"/>
          <w:szCs w:val="20"/>
        </w:rPr>
        <w:t>Minister for Foreign Trade and Development Cooperation of the Netherlands</w:t>
      </w:r>
      <w:r w:rsidR="004369C9">
        <w:rPr>
          <w:color w:val="000000" w:themeColor="text1"/>
          <w:sz w:val="20"/>
          <w:szCs w:val="20"/>
        </w:rPr>
        <w:t xml:space="preserve">, </w:t>
      </w:r>
      <w:r w:rsidR="004369C9" w:rsidRPr="004369C9">
        <w:rPr>
          <w:color w:val="000000" w:themeColor="text1"/>
          <w:sz w:val="20"/>
          <w:szCs w:val="20"/>
        </w:rPr>
        <w:t>Sigrid Kaag</w:t>
      </w:r>
      <w:r w:rsidR="004369C9">
        <w:rPr>
          <w:color w:val="000000" w:themeColor="text1"/>
          <w:sz w:val="20"/>
          <w:szCs w:val="20"/>
        </w:rPr>
        <w:t xml:space="preserve">; the </w:t>
      </w:r>
      <w:r w:rsidR="004369C9" w:rsidRPr="004369C9">
        <w:rPr>
          <w:color w:val="000000" w:themeColor="text1"/>
          <w:sz w:val="20"/>
          <w:szCs w:val="20"/>
        </w:rPr>
        <w:t>Min</w:t>
      </w:r>
      <w:r w:rsidR="00FC4C7F">
        <w:rPr>
          <w:color w:val="000000" w:themeColor="text1"/>
          <w:sz w:val="20"/>
          <w:szCs w:val="20"/>
        </w:rPr>
        <w:t>i</w:t>
      </w:r>
      <w:r w:rsidR="004369C9" w:rsidRPr="004369C9">
        <w:rPr>
          <w:color w:val="000000" w:themeColor="text1"/>
          <w:sz w:val="20"/>
          <w:szCs w:val="20"/>
        </w:rPr>
        <w:t>ster of Human Rights of Pakistan</w:t>
      </w:r>
      <w:r w:rsidR="004369C9">
        <w:rPr>
          <w:color w:val="000000" w:themeColor="text1"/>
          <w:sz w:val="20"/>
          <w:szCs w:val="20"/>
        </w:rPr>
        <w:t xml:space="preserve">, </w:t>
      </w:r>
      <w:r w:rsidR="004369C9" w:rsidRPr="004369C9">
        <w:rPr>
          <w:color w:val="000000" w:themeColor="text1"/>
          <w:sz w:val="20"/>
          <w:szCs w:val="20"/>
        </w:rPr>
        <w:t>Shireen M. Mazari</w:t>
      </w:r>
      <w:r w:rsidR="004369C9">
        <w:rPr>
          <w:color w:val="000000" w:themeColor="text1"/>
          <w:sz w:val="20"/>
          <w:szCs w:val="20"/>
        </w:rPr>
        <w:t xml:space="preserve">; the </w:t>
      </w:r>
      <w:r w:rsidR="004369C9" w:rsidRPr="004369C9">
        <w:rPr>
          <w:color w:val="000000" w:themeColor="text1"/>
          <w:sz w:val="20"/>
          <w:szCs w:val="20"/>
        </w:rPr>
        <w:t>Minister for Foreign Affairs, the European Union and Cooperation of Spain</w:t>
      </w:r>
      <w:r w:rsidR="004369C9">
        <w:rPr>
          <w:color w:val="000000" w:themeColor="text1"/>
          <w:sz w:val="20"/>
          <w:szCs w:val="20"/>
        </w:rPr>
        <w:t xml:space="preserve">, </w:t>
      </w:r>
      <w:r w:rsidR="004369C9" w:rsidRPr="004369C9">
        <w:rPr>
          <w:color w:val="000000" w:themeColor="text1"/>
          <w:sz w:val="20"/>
          <w:szCs w:val="20"/>
        </w:rPr>
        <w:t>Josep Borrell Fontelles</w:t>
      </w:r>
      <w:r w:rsidR="004369C9">
        <w:rPr>
          <w:color w:val="000000" w:themeColor="text1"/>
          <w:sz w:val="20"/>
          <w:szCs w:val="20"/>
        </w:rPr>
        <w:t>.</w:t>
      </w:r>
    </w:p>
    <w:p w14:paraId="1998C848" w14:textId="3DCC73A5" w:rsidR="00C1769D" w:rsidRPr="00C1769D" w:rsidRDefault="00F11B08" w:rsidP="00C1769D">
      <w:pPr>
        <w:pStyle w:val="SingleTxtG"/>
        <w:ind w:firstLine="567"/>
        <w:rPr>
          <w:color w:val="000000" w:themeColor="text1"/>
          <w:sz w:val="20"/>
          <w:szCs w:val="20"/>
        </w:rPr>
      </w:pPr>
      <w:r w:rsidRPr="0067399B">
        <w:rPr>
          <w:color w:val="000000" w:themeColor="text1"/>
          <w:sz w:val="20"/>
          <w:szCs w:val="20"/>
        </w:rPr>
        <w:t>(</w:t>
      </w:r>
      <w:r w:rsidR="004369C9">
        <w:rPr>
          <w:color w:val="000000" w:themeColor="text1"/>
          <w:sz w:val="20"/>
          <w:szCs w:val="20"/>
        </w:rPr>
        <w:t>e</w:t>
      </w:r>
      <w:r w:rsidRPr="0067399B">
        <w:rPr>
          <w:color w:val="000000" w:themeColor="text1"/>
          <w:sz w:val="20"/>
          <w:szCs w:val="20"/>
        </w:rPr>
        <w:t>)</w:t>
      </w:r>
      <w:r w:rsidRPr="0067399B">
        <w:rPr>
          <w:color w:val="000000" w:themeColor="text1"/>
          <w:sz w:val="20"/>
          <w:szCs w:val="20"/>
        </w:rPr>
        <w:tab/>
        <w:t>At the 5th meeting, on the same day:</w:t>
      </w:r>
      <w:r w:rsidR="00C1769D">
        <w:rPr>
          <w:color w:val="000000" w:themeColor="text1"/>
          <w:sz w:val="20"/>
          <w:szCs w:val="20"/>
        </w:rPr>
        <w:t xml:space="preserve"> the </w:t>
      </w:r>
      <w:r w:rsidR="00C1769D" w:rsidRPr="00C1769D">
        <w:rPr>
          <w:color w:val="000000" w:themeColor="text1"/>
          <w:sz w:val="20"/>
          <w:szCs w:val="20"/>
        </w:rPr>
        <w:t>Minister for Foreign Affairs of Poland</w:t>
      </w:r>
      <w:r w:rsidR="00C1769D">
        <w:rPr>
          <w:color w:val="000000" w:themeColor="text1"/>
          <w:sz w:val="20"/>
          <w:szCs w:val="20"/>
        </w:rPr>
        <w:t xml:space="preserve">, </w:t>
      </w:r>
      <w:r w:rsidR="00C1769D" w:rsidRPr="00C1769D">
        <w:rPr>
          <w:color w:val="000000" w:themeColor="text1"/>
          <w:sz w:val="20"/>
          <w:szCs w:val="20"/>
        </w:rPr>
        <w:t>Jacek Czaputowicz</w:t>
      </w:r>
      <w:r w:rsidR="00C1769D">
        <w:rPr>
          <w:color w:val="000000" w:themeColor="text1"/>
          <w:sz w:val="20"/>
          <w:szCs w:val="20"/>
        </w:rPr>
        <w:t>; the</w:t>
      </w:r>
      <w:r w:rsidR="00C1769D" w:rsidRPr="00C1769D">
        <w:rPr>
          <w:color w:val="000000" w:themeColor="text1"/>
          <w:sz w:val="20"/>
          <w:szCs w:val="20"/>
        </w:rPr>
        <w:t xml:space="preserve"> Minister of Social Services and Urban Development of the Bahamas</w:t>
      </w:r>
      <w:r w:rsidR="00C1769D">
        <w:rPr>
          <w:color w:val="000000" w:themeColor="text1"/>
          <w:sz w:val="20"/>
          <w:szCs w:val="20"/>
        </w:rPr>
        <w:t xml:space="preserve">, </w:t>
      </w:r>
      <w:r w:rsidR="00C1769D" w:rsidRPr="00C1769D">
        <w:rPr>
          <w:color w:val="000000" w:themeColor="text1"/>
          <w:sz w:val="20"/>
          <w:szCs w:val="20"/>
        </w:rPr>
        <w:t>Frankie A. Campbell</w:t>
      </w:r>
      <w:r w:rsidR="00C1769D">
        <w:rPr>
          <w:color w:val="000000" w:themeColor="text1"/>
          <w:sz w:val="20"/>
          <w:szCs w:val="20"/>
        </w:rPr>
        <w:t>;</w:t>
      </w:r>
      <w:r w:rsidR="00C1769D" w:rsidRPr="00C1769D">
        <w:t xml:space="preserve"> </w:t>
      </w:r>
      <w:r w:rsidR="00C1769D">
        <w:t xml:space="preserve">the </w:t>
      </w:r>
      <w:r w:rsidR="00C1769D" w:rsidRPr="00C1769D">
        <w:rPr>
          <w:color w:val="000000" w:themeColor="text1"/>
          <w:sz w:val="20"/>
          <w:szCs w:val="20"/>
        </w:rPr>
        <w:t>Minister of Human Rights and Civic Promotion</w:t>
      </w:r>
      <w:r w:rsidR="00C1769D">
        <w:rPr>
          <w:color w:val="000000" w:themeColor="text1"/>
          <w:sz w:val="20"/>
          <w:szCs w:val="20"/>
        </w:rPr>
        <w:t xml:space="preserve"> of</w:t>
      </w:r>
      <w:r w:rsidR="00C1769D" w:rsidRPr="00C1769D">
        <w:rPr>
          <w:color w:val="000000" w:themeColor="text1"/>
          <w:sz w:val="20"/>
          <w:szCs w:val="20"/>
        </w:rPr>
        <w:t xml:space="preserve"> Burkina Faso</w:t>
      </w:r>
      <w:r w:rsidR="00C1769D">
        <w:rPr>
          <w:color w:val="000000" w:themeColor="text1"/>
          <w:sz w:val="20"/>
          <w:szCs w:val="20"/>
        </w:rPr>
        <w:t xml:space="preserve">, </w:t>
      </w:r>
      <w:r w:rsidR="00C1769D" w:rsidRPr="00C1769D">
        <w:rPr>
          <w:color w:val="000000" w:themeColor="text1"/>
          <w:sz w:val="20"/>
          <w:szCs w:val="20"/>
        </w:rPr>
        <w:t>Maminata Ouattara</w:t>
      </w:r>
      <w:r w:rsidR="00C1769D">
        <w:rPr>
          <w:color w:val="000000" w:themeColor="text1"/>
          <w:sz w:val="20"/>
          <w:szCs w:val="20"/>
        </w:rPr>
        <w:t xml:space="preserve">; the </w:t>
      </w:r>
      <w:r w:rsidR="00C1769D" w:rsidRPr="00C1769D">
        <w:rPr>
          <w:color w:val="000000" w:themeColor="text1"/>
          <w:sz w:val="20"/>
          <w:szCs w:val="20"/>
        </w:rPr>
        <w:t>Minister for Foreign Affairs of Azerbaijan</w:t>
      </w:r>
      <w:r w:rsidR="00C1769D">
        <w:rPr>
          <w:color w:val="000000" w:themeColor="text1"/>
          <w:sz w:val="20"/>
          <w:szCs w:val="20"/>
        </w:rPr>
        <w:t xml:space="preserve">, </w:t>
      </w:r>
      <w:r w:rsidR="00C1769D" w:rsidRPr="00C1769D">
        <w:rPr>
          <w:color w:val="000000" w:themeColor="text1"/>
          <w:sz w:val="20"/>
          <w:szCs w:val="20"/>
        </w:rPr>
        <w:t>Elmar Maharram oglu Mammadyarov</w:t>
      </w:r>
      <w:r w:rsidR="00C1769D">
        <w:rPr>
          <w:color w:val="000000" w:themeColor="text1"/>
          <w:sz w:val="20"/>
          <w:szCs w:val="20"/>
        </w:rPr>
        <w:t xml:space="preserve">; the </w:t>
      </w:r>
      <w:r w:rsidR="00C1769D" w:rsidRPr="00C1769D">
        <w:rPr>
          <w:color w:val="000000" w:themeColor="text1"/>
          <w:sz w:val="20"/>
          <w:szCs w:val="20"/>
        </w:rPr>
        <w:t>Minister for Constitutional and Legal Affairsof the United Republic of Tanzania</w:t>
      </w:r>
      <w:r w:rsidR="00C1769D">
        <w:rPr>
          <w:color w:val="000000" w:themeColor="text1"/>
          <w:sz w:val="20"/>
          <w:szCs w:val="20"/>
        </w:rPr>
        <w:t xml:space="preserve">, </w:t>
      </w:r>
      <w:r w:rsidR="00C1769D" w:rsidRPr="00C1769D">
        <w:rPr>
          <w:color w:val="000000" w:themeColor="text1"/>
          <w:sz w:val="20"/>
          <w:szCs w:val="20"/>
        </w:rPr>
        <w:t>Palamagamba Kabudi</w:t>
      </w:r>
      <w:r w:rsidR="00C1769D">
        <w:rPr>
          <w:color w:val="000000" w:themeColor="text1"/>
          <w:sz w:val="20"/>
          <w:szCs w:val="20"/>
        </w:rPr>
        <w:t xml:space="preserve">; the </w:t>
      </w:r>
      <w:r w:rsidR="00C1769D" w:rsidRPr="00C1769D">
        <w:rPr>
          <w:color w:val="000000" w:themeColor="text1"/>
          <w:sz w:val="20"/>
          <w:szCs w:val="20"/>
        </w:rPr>
        <w:t xml:space="preserve">Executive Secretary of the </w:t>
      </w:r>
      <w:r w:rsidR="00C1769D" w:rsidRPr="00A242A9">
        <w:rPr>
          <w:color w:val="000000" w:themeColor="text1"/>
          <w:sz w:val="20"/>
          <w:szCs w:val="20"/>
        </w:rPr>
        <w:t>Community of Portuguese-speaking Countries</w:t>
      </w:r>
      <w:r w:rsidR="00C1769D">
        <w:rPr>
          <w:color w:val="000000" w:themeColor="text1"/>
          <w:sz w:val="20"/>
          <w:szCs w:val="20"/>
        </w:rPr>
        <w:t xml:space="preserve">, </w:t>
      </w:r>
      <w:r w:rsidR="00C1769D" w:rsidRPr="00C1769D">
        <w:rPr>
          <w:color w:val="000000" w:themeColor="text1"/>
          <w:sz w:val="20"/>
          <w:szCs w:val="20"/>
        </w:rPr>
        <w:t>Francisco Ribeiro Telles</w:t>
      </w:r>
      <w:r w:rsidR="00C1769D">
        <w:rPr>
          <w:color w:val="000000" w:themeColor="text1"/>
          <w:sz w:val="20"/>
          <w:szCs w:val="20"/>
        </w:rPr>
        <w:t xml:space="preserve">; the </w:t>
      </w:r>
      <w:r w:rsidR="00C1769D" w:rsidRPr="00C1769D">
        <w:rPr>
          <w:color w:val="000000" w:themeColor="text1"/>
          <w:sz w:val="20"/>
          <w:szCs w:val="20"/>
        </w:rPr>
        <w:t>Minister of External Relations of Angola</w:t>
      </w:r>
      <w:r w:rsidR="00C1769D">
        <w:rPr>
          <w:color w:val="000000" w:themeColor="text1"/>
          <w:sz w:val="20"/>
          <w:szCs w:val="20"/>
        </w:rPr>
        <w:t xml:space="preserve">, </w:t>
      </w:r>
      <w:r w:rsidR="00C1769D" w:rsidRPr="00C1769D">
        <w:rPr>
          <w:color w:val="000000" w:themeColor="text1"/>
          <w:sz w:val="20"/>
          <w:szCs w:val="20"/>
        </w:rPr>
        <w:t>Manuel Domingos Augusto</w:t>
      </w:r>
      <w:r w:rsidR="00C1769D">
        <w:rPr>
          <w:color w:val="000000" w:themeColor="text1"/>
          <w:sz w:val="20"/>
          <w:szCs w:val="20"/>
        </w:rPr>
        <w:t xml:space="preserve">; the </w:t>
      </w:r>
      <w:r w:rsidR="00C1769D" w:rsidRPr="00C1769D">
        <w:rPr>
          <w:color w:val="000000" w:themeColor="text1"/>
          <w:sz w:val="20"/>
          <w:szCs w:val="20"/>
        </w:rPr>
        <w:t>Minister of Justice of Libya</w:t>
      </w:r>
      <w:r w:rsidR="00C1769D">
        <w:rPr>
          <w:color w:val="000000" w:themeColor="text1"/>
          <w:sz w:val="20"/>
          <w:szCs w:val="20"/>
        </w:rPr>
        <w:t xml:space="preserve">, </w:t>
      </w:r>
      <w:r w:rsidR="00C1769D" w:rsidRPr="00C1769D">
        <w:rPr>
          <w:color w:val="000000" w:themeColor="text1"/>
          <w:sz w:val="20"/>
          <w:szCs w:val="20"/>
        </w:rPr>
        <w:t>Mohammed Mohammed</w:t>
      </w:r>
      <w:r w:rsidR="00C1769D">
        <w:rPr>
          <w:color w:val="000000" w:themeColor="text1"/>
          <w:sz w:val="20"/>
          <w:szCs w:val="20"/>
        </w:rPr>
        <w:t>;</w:t>
      </w:r>
      <w:r w:rsidR="00C1769D" w:rsidRPr="00C1769D">
        <w:rPr>
          <w:color w:val="000000" w:themeColor="text1"/>
          <w:sz w:val="20"/>
          <w:szCs w:val="20"/>
        </w:rPr>
        <w:t xml:space="preserve"> </w:t>
      </w:r>
      <w:r w:rsidR="00C1769D">
        <w:rPr>
          <w:color w:val="000000" w:themeColor="text1"/>
          <w:sz w:val="20"/>
          <w:szCs w:val="20"/>
        </w:rPr>
        <w:t xml:space="preserve">the </w:t>
      </w:r>
      <w:r w:rsidR="00C1769D" w:rsidRPr="00C1769D">
        <w:rPr>
          <w:color w:val="000000" w:themeColor="text1"/>
          <w:sz w:val="20"/>
          <w:szCs w:val="20"/>
        </w:rPr>
        <w:t>Deputy Minister for Foreign Affairs of Slovenia</w:t>
      </w:r>
      <w:r w:rsidR="00C1769D">
        <w:rPr>
          <w:color w:val="000000" w:themeColor="text1"/>
          <w:sz w:val="20"/>
          <w:szCs w:val="20"/>
        </w:rPr>
        <w:t xml:space="preserve">, </w:t>
      </w:r>
      <w:r w:rsidR="00C1769D" w:rsidRPr="00C1769D">
        <w:rPr>
          <w:color w:val="000000" w:themeColor="text1"/>
          <w:sz w:val="20"/>
          <w:szCs w:val="20"/>
        </w:rPr>
        <w:t>Simona Leskovar</w:t>
      </w:r>
      <w:r w:rsidR="00C1769D">
        <w:rPr>
          <w:color w:val="000000" w:themeColor="text1"/>
          <w:sz w:val="20"/>
          <w:szCs w:val="20"/>
        </w:rPr>
        <w:t xml:space="preserve">; the </w:t>
      </w:r>
      <w:r w:rsidR="00C1769D" w:rsidRPr="00C1769D">
        <w:rPr>
          <w:color w:val="000000" w:themeColor="text1"/>
          <w:sz w:val="20"/>
          <w:szCs w:val="20"/>
        </w:rPr>
        <w:t>Deputy Minister of Foreign Affairs of Portugal</w:t>
      </w:r>
      <w:r w:rsidR="00C1769D">
        <w:rPr>
          <w:color w:val="000000" w:themeColor="text1"/>
          <w:sz w:val="20"/>
          <w:szCs w:val="20"/>
        </w:rPr>
        <w:t xml:space="preserve">, </w:t>
      </w:r>
      <w:r w:rsidR="00C1769D" w:rsidRPr="00C1769D">
        <w:rPr>
          <w:color w:val="000000" w:themeColor="text1"/>
          <w:sz w:val="20"/>
          <w:szCs w:val="20"/>
        </w:rPr>
        <w:t>Teresa Ribeiro</w:t>
      </w:r>
      <w:r w:rsidR="00C1769D">
        <w:rPr>
          <w:color w:val="000000" w:themeColor="text1"/>
          <w:sz w:val="20"/>
          <w:szCs w:val="20"/>
        </w:rPr>
        <w:t xml:space="preserve">; the </w:t>
      </w:r>
      <w:r w:rsidR="00C1769D" w:rsidRPr="00C1769D">
        <w:rPr>
          <w:color w:val="000000" w:themeColor="text1"/>
          <w:sz w:val="20"/>
          <w:szCs w:val="20"/>
        </w:rPr>
        <w:t>President of the International Committee of the Red Cross</w:t>
      </w:r>
      <w:r w:rsidR="00C1769D">
        <w:rPr>
          <w:color w:val="000000" w:themeColor="text1"/>
          <w:sz w:val="20"/>
          <w:szCs w:val="20"/>
        </w:rPr>
        <w:t xml:space="preserve">, </w:t>
      </w:r>
      <w:r w:rsidR="00C1769D" w:rsidRPr="00C1769D">
        <w:rPr>
          <w:color w:val="000000" w:themeColor="text1"/>
          <w:sz w:val="20"/>
          <w:szCs w:val="20"/>
        </w:rPr>
        <w:t>Peter Maurer</w:t>
      </w:r>
      <w:r w:rsidR="00C1769D">
        <w:rPr>
          <w:color w:val="000000" w:themeColor="text1"/>
          <w:sz w:val="20"/>
          <w:szCs w:val="20"/>
        </w:rPr>
        <w:t xml:space="preserve">; the </w:t>
      </w:r>
      <w:r w:rsidR="00C1769D" w:rsidRPr="00C1769D">
        <w:rPr>
          <w:color w:val="000000" w:themeColor="text1"/>
          <w:sz w:val="20"/>
          <w:szCs w:val="20"/>
        </w:rPr>
        <w:t>Minister for Foreign Affairs of Egypt</w:t>
      </w:r>
      <w:r w:rsidR="00C1769D">
        <w:rPr>
          <w:color w:val="000000" w:themeColor="text1"/>
          <w:sz w:val="20"/>
          <w:szCs w:val="20"/>
        </w:rPr>
        <w:t xml:space="preserve">, </w:t>
      </w:r>
      <w:r w:rsidR="00C1769D" w:rsidRPr="00C1769D">
        <w:rPr>
          <w:color w:val="000000" w:themeColor="text1"/>
          <w:sz w:val="20"/>
          <w:szCs w:val="20"/>
        </w:rPr>
        <w:t xml:space="preserve">Sameh Hassan </w:t>
      </w:r>
      <w:r w:rsidR="00C1769D" w:rsidRPr="00C1769D">
        <w:rPr>
          <w:color w:val="000000" w:themeColor="text1"/>
          <w:sz w:val="20"/>
          <w:szCs w:val="20"/>
        </w:rPr>
        <w:lastRenderedPageBreak/>
        <w:t>Shokry Selim</w:t>
      </w:r>
      <w:r w:rsidR="00C1769D">
        <w:rPr>
          <w:color w:val="000000" w:themeColor="text1"/>
          <w:sz w:val="20"/>
          <w:szCs w:val="20"/>
        </w:rPr>
        <w:t xml:space="preserve">; the </w:t>
      </w:r>
      <w:r w:rsidR="00C1769D" w:rsidRPr="00C1769D">
        <w:rPr>
          <w:color w:val="000000" w:themeColor="text1"/>
          <w:sz w:val="20"/>
          <w:szCs w:val="20"/>
        </w:rPr>
        <w:t>Commissioner for Humanitarian Aid and Crisis Management</w:t>
      </w:r>
      <w:r w:rsidR="00C1769D">
        <w:rPr>
          <w:color w:val="000000" w:themeColor="text1"/>
          <w:sz w:val="20"/>
          <w:szCs w:val="20"/>
        </w:rPr>
        <w:t xml:space="preserve"> of the</w:t>
      </w:r>
      <w:r w:rsidR="00C1769D" w:rsidRPr="00C1769D">
        <w:rPr>
          <w:color w:val="000000" w:themeColor="text1"/>
          <w:sz w:val="20"/>
          <w:szCs w:val="20"/>
        </w:rPr>
        <w:t xml:space="preserve"> European Union</w:t>
      </w:r>
      <w:r w:rsidR="00C1769D">
        <w:rPr>
          <w:color w:val="000000" w:themeColor="text1"/>
          <w:sz w:val="20"/>
          <w:szCs w:val="20"/>
        </w:rPr>
        <w:t xml:space="preserve">, </w:t>
      </w:r>
      <w:r w:rsidR="00C1769D" w:rsidRPr="00C1769D">
        <w:rPr>
          <w:color w:val="000000" w:themeColor="text1"/>
          <w:sz w:val="20"/>
          <w:szCs w:val="20"/>
        </w:rPr>
        <w:t>Christos Stylianides</w:t>
      </w:r>
      <w:r w:rsidR="00C1769D">
        <w:rPr>
          <w:color w:val="000000" w:themeColor="text1"/>
          <w:sz w:val="20"/>
          <w:szCs w:val="20"/>
        </w:rPr>
        <w:t xml:space="preserve">; the </w:t>
      </w:r>
      <w:r w:rsidR="00C1769D" w:rsidRPr="00C1769D">
        <w:rPr>
          <w:color w:val="000000" w:themeColor="text1"/>
          <w:sz w:val="20"/>
          <w:szCs w:val="20"/>
        </w:rPr>
        <w:t>Deputy Minister for Foreign Affairs of Italy</w:t>
      </w:r>
      <w:r w:rsidR="00C1769D">
        <w:rPr>
          <w:color w:val="000000" w:themeColor="text1"/>
          <w:sz w:val="20"/>
          <w:szCs w:val="20"/>
        </w:rPr>
        <w:t xml:space="preserve">, </w:t>
      </w:r>
      <w:r w:rsidR="00C1769D" w:rsidRPr="00C1769D">
        <w:rPr>
          <w:color w:val="000000" w:themeColor="text1"/>
          <w:sz w:val="20"/>
          <w:szCs w:val="20"/>
        </w:rPr>
        <w:t>Emanuela Claudia Del Re</w:t>
      </w:r>
      <w:r w:rsidR="00C1769D">
        <w:rPr>
          <w:color w:val="000000" w:themeColor="text1"/>
          <w:sz w:val="20"/>
          <w:szCs w:val="20"/>
        </w:rPr>
        <w:t xml:space="preserve">; the </w:t>
      </w:r>
      <w:r w:rsidR="00C1769D" w:rsidRPr="00C1769D">
        <w:rPr>
          <w:color w:val="000000" w:themeColor="text1"/>
          <w:sz w:val="20"/>
          <w:szCs w:val="20"/>
        </w:rPr>
        <w:t>Deputy Minister for Foreign Affairs of North Macedonia</w:t>
      </w:r>
      <w:r w:rsidR="00C1769D">
        <w:rPr>
          <w:color w:val="000000" w:themeColor="text1"/>
          <w:sz w:val="20"/>
          <w:szCs w:val="20"/>
        </w:rPr>
        <w:t xml:space="preserve">, </w:t>
      </w:r>
      <w:r w:rsidR="00C1769D" w:rsidRPr="00C1769D">
        <w:rPr>
          <w:color w:val="000000" w:themeColor="text1"/>
          <w:sz w:val="20"/>
          <w:szCs w:val="20"/>
        </w:rPr>
        <w:t>Andrej Žernovski</w:t>
      </w:r>
      <w:r w:rsidR="00C1769D">
        <w:rPr>
          <w:color w:val="000000" w:themeColor="text1"/>
          <w:sz w:val="20"/>
          <w:szCs w:val="20"/>
        </w:rPr>
        <w:t>.</w:t>
      </w:r>
    </w:p>
    <w:p w14:paraId="01CBA78F" w14:textId="67C66DF0" w:rsidR="00D55EB6" w:rsidRDefault="00F11B08" w:rsidP="00C1769D">
      <w:pPr>
        <w:pStyle w:val="SingleTxtG"/>
        <w:ind w:firstLine="567"/>
        <w:rPr>
          <w:color w:val="000000" w:themeColor="text1"/>
          <w:sz w:val="20"/>
          <w:szCs w:val="20"/>
        </w:rPr>
      </w:pPr>
      <w:r w:rsidRPr="0067399B">
        <w:rPr>
          <w:color w:val="000000" w:themeColor="text1"/>
          <w:sz w:val="20"/>
          <w:szCs w:val="20"/>
        </w:rPr>
        <w:t>(</w:t>
      </w:r>
      <w:r w:rsidR="00C1769D">
        <w:rPr>
          <w:color w:val="000000" w:themeColor="text1"/>
          <w:sz w:val="20"/>
          <w:szCs w:val="20"/>
        </w:rPr>
        <w:t>f</w:t>
      </w:r>
      <w:r w:rsidRPr="0067399B">
        <w:rPr>
          <w:color w:val="000000" w:themeColor="text1"/>
          <w:sz w:val="20"/>
          <w:szCs w:val="20"/>
        </w:rPr>
        <w:t>)</w:t>
      </w:r>
      <w:r w:rsidRPr="0067399B">
        <w:rPr>
          <w:color w:val="000000" w:themeColor="text1"/>
          <w:sz w:val="20"/>
          <w:szCs w:val="20"/>
        </w:rPr>
        <w:tab/>
        <w:t xml:space="preserve">At the 6th meeting, on the same day: </w:t>
      </w:r>
      <w:r w:rsidR="00C1769D">
        <w:rPr>
          <w:color w:val="000000" w:themeColor="text1"/>
          <w:sz w:val="20"/>
          <w:szCs w:val="20"/>
        </w:rPr>
        <w:t xml:space="preserve">the </w:t>
      </w:r>
      <w:r w:rsidR="00C1769D" w:rsidRPr="00C1769D">
        <w:rPr>
          <w:color w:val="000000" w:themeColor="text1"/>
          <w:sz w:val="20"/>
          <w:szCs w:val="20"/>
        </w:rPr>
        <w:t>Minister for Foreign Affairs of the State of Palestine</w:t>
      </w:r>
      <w:r w:rsidR="00C1769D">
        <w:rPr>
          <w:color w:val="000000" w:themeColor="text1"/>
          <w:sz w:val="20"/>
          <w:szCs w:val="20"/>
        </w:rPr>
        <w:t xml:space="preserve">, </w:t>
      </w:r>
      <w:r w:rsidR="00C1769D" w:rsidRPr="00C1769D">
        <w:rPr>
          <w:color w:val="000000" w:themeColor="text1"/>
          <w:sz w:val="20"/>
          <w:szCs w:val="20"/>
        </w:rPr>
        <w:t>Riad Al-Malki</w:t>
      </w:r>
      <w:r w:rsidR="00C1769D">
        <w:rPr>
          <w:color w:val="000000" w:themeColor="text1"/>
          <w:sz w:val="20"/>
          <w:szCs w:val="20"/>
        </w:rPr>
        <w:t xml:space="preserve">; the </w:t>
      </w:r>
      <w:r w:rsidR="00C1769D" w:rsidRPr="00C1769D">
        <w:rPr>
          <w:color w:val="000000" w:themeColor="text1"/>
          <w:sz w:val="20"/>
          <w:szCs w:val="20"/>
        </w:rPr>
        <w:t>Minister for Foreign Affairs of Malaysia</w:t>
      </w:r>
      <w:r w:rsidR="00C1769D">
        <w:rPr>
          <w:color w:val="000000" w:themeColor="text1"/>
          <w:sz w:val="20"/>
          <w:szCs w:val="20"/>
        </w:rPr>
        <w:t xml:space="preserve">, </w:t>
      </w:r>
      <w:r w:rsidR="00C1769D" w:rsidRPr="00C1769D">
        <w:rPr>
          <w:color w:val="000000" w:themeColor="text1"/>
          <w:sz w:val="20"/>
          <w:szCs w:val="20"/>
        </w:rPr>
        <w:t>Dato</w:t>
      </w:r>
      <w:r w:rsidR="00D72627">
        <w:rPr>
          <w:color w:val="000000" w:themeColor="text1"/>
          <w:sz w:val="20"/>
          <w:szCs w:val="20"/>
        </w:rPr>
        <w:t>’</w:t>
      </w:r>
      <w:r w:rsidR="00C1769D" w:rsidRPr="00C1769D">
        <w:rPr>
          <w:color w:val="000000" w:themeColor="text1"/>
          <w:sz w:val="20"/>
          <w:szCs w:val="20"/>
        </w:rPr>
        <w:t xml:space="preserve"> Saifuddin bin Abdullah</w:t>
      </w:r>
      <w:r w:rsidR="00C1769D">
        <w:rPr>
          <w:color w:val="000000" w:themeColor="text1"/>
          <w:sz w:val="20"/>
          <w:szCs w:val="20"/>
        </w:rPr>
        <w:t>;</w:t>
      </w:r>
      <w:r w:rsidR="00C1769D" w:rsidRPr="00C1769D">
        <w:rPr>
          <w:color w:val="000000" w:themeColor="text1"/>
          <w:sz w:val="20"/>
          <w:szCs w:val="20"/>
        </w:rPr>
        <w:t xml:space="preserve"> </w:t>
      </w:r>
      <w:r w:rsidR="00C1769D">
        <w:rPr>
          <w:color w:val="000000" w:themeColor="text1"/>
          <w:sz w:val="20"/>
          <w:szCs w:val="20"/>
        </w:rPr>
        <w:t xml:space="preserve">the </w:t>
      </w:r>
      <w:r w:rsidR="00C1769D" w:rsidRPr="00C1769D">
        <w:rPr>
          <w:color w:val="000000" w:themeColor="text1"/>
          <w:sz w:val="20"/>
          <w:szCs w:val="20"/>
        </w:rPr>
        <w:t>Minister for Foreign Affairs of Latvia</w:t>
      </w:r>
      <w:r w:rsidR="00C1769D">
        <w:rPr>
          <w:color w:val="000000" w:themeColor="text1"/>
          <w:sz w:val="20"/>
          <w:szCs w:val="20"/>
        </w:rPr>
        <w:t xml:space="preserve">, </w:t>
      </w:r>
      <w:r w:rsidR="00C1769D" w:rsidRPr="00C1769D">
        <w:rPr>
          <w:color w:val="000000" w:themeColor="text1"/>
          <w:sz w:val="20"/>
          <w:szCs w:val="20"/>
        </w:rPr>
        <w:t>Edgars Rinkēvičs</w:t>
      </w:r>
      <w:r w:rsidR="00C1769D">
        <w:rPr>
          <w:color w:val="000000" w:themeColor="text1"/>
          <w:sz w:val="20"/>
          <w:szCs w:val="20"/>
        </w:rPr>
        <w:t xml:space="preserve">; the </w:t>
      </w:r>
      <w:r w:rsidR="00C1769D" w:rsidRPr="00C1769D">
        <w:rPr>
          <w:color w:val="000000" w:themeColor="text1"/>
          <w:sz w:val="20"/>
          <w:szCs w:val="20"/>
        </w:rPr>
        <w:t>Minister for Foreign Affairs of Nepal</w:t>
      </w:r>
      <w:r w:rsidR="00C1769D">
        <w:rPr>
          <w:color w:val="000000" w:themeColor="text1"/>
          <w:sz w:val="20"/>
          <w:szCs w:val="20"/>
        </w:rPr>
        <w:t xml:space="preserve">, </w:t>
      </w:r>
      <w:r w:rsidR="00C1769D" w:rsidRPr="00C1769D">
        <w:rPr>
          <w:color w:val="000000" w:themeColor="text1"/>
          <w:sz w:val="20"/>
          <w:szCs w:val="20"/>
        </w:rPr>
        <w:t>Pradeep Kumar Gyawali</w:t>
      </w:r>
      <w:r w:rsidR="00C1769D">
        <w:rPr>
          <w:color w:val="000000" w:themeColor="text1"/>
          <w:sz w:val="20"/>
          <w:szCs w:val="20"/>
        </w:rPr>
        <w:t xml:space="preserve">; the </w:t>
      </w:r>
      <w:r w:rsidR="00C1769D" w:rsidRPr="00C1769D">
        <w:rPr>
          <w:color w:val="000000" w:themeColor="text1"/>
          <w:sz w:val="20"/>
          <w:szCs w:val="20"/>
        </w:rPr>
        <w:t>Minister for Foreign Affairs of Iraq</w:t>
      </w:r>
      <w:r w:rsidR="00C1769D">
        <w:rPr>
          <w:color w:val="000000" w:themeColor="text1"/>
          <w:sz w:val="20"/>
          <w:szCs w:val="20"/>
        </w:rPr>
        <w:t xml:space="preserve">, </w:t>
      </w:r>
      <w:r w:rsidR="00C1769D" w:rsidRPr="00C1769D">
        <w:rPr>
          <w:color w:val="000000" w:themeColor="text1"/>
          <w:sz w:val="20"/>
          <w:szCs w:val="20"/>
        </w:rPr>
        <w:t>Mohamed Ali Alhakim</w:t>
      </w:r>
      <w:r w:rsidR="00C1769D">
        <w:rPr>
          <w:color w:val="000000" w:themeColor="text1"/>
          <w:sz w:val="20"/>
          <w:szCs w:val="20"/>
        </w:rPr>
        <w:t xml:space="preserve">; the </w:t>
      </w:r>
      <w:r w:rsidR="00C1769D" w:rsidRPr="00C1769D">
        <w:rPr>
          <w:color w:val="000000" w:themeColor="text1"/>
          <w:sz w:val="20"/>
          <w:szCs w:val="20"/>
        </w:rPr>
        <w:t>Minister for Foreign Affairs of Indonesia</w:t>
      </w:r>
      <w:r w:rsidR="00C1769D">
        <w:rPr>
          <w:color w:val="000000" w:themeColor="text1"/>
          <w:sz w:val="20"/>
          <w:szCs w:val="20"/>
        </w:rPr>
        <w:t xml:space="preserve">, </w:t>
      </w:r>
      <w:r w:rsidR="00C1769D" w:rsidRPr="00C1769D">
        <w:rPr>
          <w:color w:val="000000" w:themeColor="text1"/>
          <w:sz w:val="20"/>
          <w:szCs w:val="20"/>
        </w:rPr>
        <w:t>Retno Lestari Priansari Marsudi</w:t>
      </w:r>
      <w:r w:rsidR="00C1769D">
        <w:rPr>
          <w:color w:val="000000" w:themeColor="text1"/>
          <w:sz w:val="20"/>
          <w:szCs w:val="20"/>
        </w:rPr>
        <w:t xml:space="preserve">; the </w:t>
      </w:r>
      <w:r w:rsidR="00C1769D" w:rsidRPr="00C1769D">
        <w:rPr>
          <w:color w:val="000000" w:themeColor="text1"/>
          <w:sz w:val="20"/>
          <w:szCs w:val="20"/>
        </w:rPr>
        <w:t>Minister for Foreign Affairs and Trade Promotion of Malta</w:t>
      </w:r>
      <w:r w:rsidR="00C1769D">
        <w:rPr>
          <w:color w:val="000000" w:themeColor="text1"/>
          <w:sz w:val="20"/>
          <w:szCs w:val="20"/>
        </w:rPr>
        <w:t xml:space="preserve">, </w:t>
      </w:r>
      <w:r w:rsidR="00C1769D" w:rsidRPr="00C1769D">
        <w:rPr>
          <w:color w:val="000000" w:themeColor="text1"/>
          <w:sz w:val="20"/>
          <w:szCs w:val="20"/>
        </w:rPr>
        <w:t>Carmelo Abela</w:t>
      </w:r>
      <w:r w:rsidR="00C1769D">
        <w:rPr>
          <w:color w:val="000000" w:themeColor="text1"/>
          <w:sz w:val="20"/>
          <w:szCs w:val="20"/>
        </w:rPr>
        <w:t xml:space="preserve">; the </w:t>
      </w:r>
      <w:r w:rsidR="00C1769D" w:rsidRPr="00C1769D">
        <w:rPr>
          <w:color w:val="000000" w:themeColor="text1"/>
          <w:sz w:val="20"/>
          <w:szCs w:val="20"/>
        </w:rPr>
        <w:t>Union Minister for International Cooperation of Myanmar</w:t>
      </w:r>
      <w:r w:rsidR="00C1769D">
        <w:rPr>
          <w:color w:val="000000" w:themeColor="text1"/>
          <w:sz w:val="20"/>
          <w:szCs w:val="20"/>
        </w:rPr>
        <w:t xml:space="preserve">, </w:t>
      </w:r>
      <w:r w:rsidR="00C1769D" w:rsidRPr="00C1769D">
        <w:rPr>
          <w:color w:val="000000" w:themeColor="text1"/>
          <w:sz w:val="20"/>
          <w:szCs w:val="20"/>
        </w:rPr>
        <w:t>Kyaw Tin</w:t>
      </w:r>
      <w:r w:rsidR="00C1769D">
        <w:rPr>
          <w:color w:val="000000" w:themeColor="text1"/>
          <w:sz w:val="20"/>
          <w:szCs w:val="20"/>
        </w:rPr>
        <w:t xml:space="preserve">; the </w:t>
      </w:r>
      <w:r w:rsidR="00C1769D" w:rsidRPr="00C1769D">
        <w:rPr>
          <w:color w:val="000000" w:themeColor="text1"/>
          <w:sz w:val="20"/>
          <w:szCs w:val="20"/>
        </w:rPr>
        <w:t>Federal Government Commissioner for Human Rights Policy and Humanitarian Aid of Germany</w:t>
      </w:r>
      <w:r w:rsidR="00C1769D">
        <w:rPr>
          <w:color w:val="000000" w:themeColor="text1"/>
          <w:sz w:val="20"/>
          <w:szCs w:val="20"/>
        </w:rPr>
        <w:t xml:space="preserve">, </w:t>
      </w:r>
      <w:r w:rsidR="00C1769D" w:rsidRPr="00C1769D">
        <w:rPr>
          <w:color w:val="000000" w:themeColor="text1"/>
          <w:sz w:val="20"/>
          <w:szCs w:val="20"/>
        </w:rPr>
        <w:t>Bärbel Kofler</w:t>
      </w:r>
      <w:r w:rsidR="00C1769D">
        <w:rPr>
          <w:color w:val="000000" w:themeColor="text1"/>
          <w:sz w:val="20"/>
          <w:szCs w:val="20"/>
        </w:rPr>
        <w:t xml:space="preserve">; the </w:t>
      </w:r>
      <w:r w:rsidR="00C1769D" w:rsidRPr="00C1769D">
        <w:rPr>
          <w:color w:val="000000" w:themeColor="text1"/>
          <w:sz w:val="20"/>
          <w:szCs w:val="20"/>
        </w:rPr>
        <w:t>Minister for Foreign Affairs of Sweden</w:t>
      </w:r>
      <w:r w:rsidR="00C1769D">
        <w:rPr>
          <w:color w:val="000000" w:themeColor="text1"/>
          <w:sz w:val="20"/>
          <w:szCs w:val="20"/>
        </w:rPr>
        <w:t xml:space="preserve">, </w:t>
      </w:r>
      <w:r w:rsidR="00C1769D" w:rsidRPr="00C1769D">
        <w:rPr>
          <w:color w:val="000000" w:themeColor="text1"/>
          <w:sz w:val="20"/>
          <w:szCs w:val="20"/>
        </w:rPr>
        <w:t>Margot Wallström</w:t>
      </w:r>
      <w:r w:rsidR="00C1769D">
        <w:rPr>
          <w:color w:val="000000" w:themeColor="text1"/>
          <w:sz w:val="20"/>
          <w:szCs w:val="20"/>
        </w:rPr>
        <w:t xml:space="preserve">; the </w:t>
      </w:r>
      <w:r w:rsidR="00C1769D" w:rsidRPr="00C1769D">
        <w:rPr>
          <w:color w:val="000000" w:themeColor="text1"/>
          <w:sz w:val="20"/>
          <w:szCs w:val="20"/>
        </w:rPr>
        <w:t>Deputy Minister of Foreign Affairs of Estonia</w:t>
      </w:r>
      <w:r w:rsidR="00C1769D">
        <w:rPr>
          <w:color w:val="000000" w:themeColor="text1"/>
          <w:sz w:val="20"/>
          <w:szCs w:val="20"/>
        </w:rPr>
        <w:t xml:space="preserve">, </w:t>
      </w:r>
      <w:r w:rsidR="00C1769D" w:rsidRPr="00C1769D">
        <w:rPr>
          <w:color w:val="000000" w:themeColor="text1"/>
          <w:sz w:val="20"/>
          <w:szCs w:val="20"/>
        </w:rPr>
        <w:t>Paul Teesalu</w:t>
      </w:r>
      <w:r w:rsidR="00AC2758">
        <w:rPr>
          <w:color w:val="000000" w:themeColor="text1"/>
          <w:sz w:val="20"/>
          <w:szCs w:val="20"/>
        </w:rPr>
        <w:t xml:space="preserve">; the </w:t>
      </w:r>
      <w:r w:rsidR="00AC2758" w:rsidRPr="00C1769D">
        <w:rPr>
          <w:color w:val="000000" w:themeColor="text1"/>
          <w:sz w:val="20"/>
          <w:szCs w:val="20"/>
        </w:rPr>
        <w:t>Vice Minister for Multilateral Affairs and Human Rights of Mexico</w:t>
      </w:r>
      <w:r w:rsidR="00AC2758">
        <w:rPr>
          <w:color w:val="000000" w:themeColor="text1"/>
          <w:sz w:val="20"/>
          <w:szCs w:val="20"/>
        </w:rPr>
        <w:t xml:space="preserve">, </w:t>
      </w:r>
      <w:r w:rsidR="00AC2758" w:rsidRPr="00C1769D">
        <w:rPr>
          <w:color w:val="000000" w:themeColor="text1"/>
          <w:sz w:val="20"/>
          <w:szCs w:val="20"/>
        </w:rPr>
        <w:t>Martha Delgado Peralta</w:t>
      </w:r>
      <w:r w:rsidR="00AC2758">
        <w:rPr>
          <w:color w:val="000000" w:themeColor="text1"/>
          <w:sz w:val="20"/>
          <w:szCs w:val="20"/>
        </w:rPr>
        <w:t xml:space="preserve">; the </w:t>
      </w:r>
      <w:r w:rsidR="00AC2758" w:rsidRPr="00C1769D">
        <w:rPr>
          <w:color w:val="000000" w:themeColor="text1"/>
          <w:sz w:val="20"/>
          <w:szCs w:val="20"/>
        </w:rPr>
        <w:t>Secretary-General of the Commonwealth</w:t>
      </w:r>
      <w:r w:rsidR="00AC2758">
        <w:rPr>
          <w:color w:val="000000" w:themeColor="text1"/>
          <w:sz w:val="20"/>
          <w:szCs w:val="20"/>
        </w:rPr>
        <w:t xml:space="preserve">, </w:t>
      </w:r>
      <w:r w:rsidR="00AC2758" w:rsidRPr="00C1769D">
        <w:rPr>
          <w:color w:val="000000" w:themeColor="text1"/>
          <w:sz w:val="20"/>
          <w:szCs w:val="20"/>
        </w:rPr>
        <w:t>Patricia Scotland</w:t>
      </w:r>
      <w:r w:rsidR="00AC2758">
        <w:rPr>
          <w:color w:val="000000" w:themeColor="text1"/>
          <w:sz w:val="20"/>
          <w:szCs w:val="20"/>
        </w:rPr>
        <w:t xml:space="preserve">; the </w:t>
      </w:r>
      <w:r w:rsidR="00AC2758" w:rsidRPr="00C1769D">
        <w:rPr>
          <w:color w:val="000000" w:themeColor="text1"/>
          <w:sz w:val="20"/>
          <w:szCs w:val="20"/>
        </w:rPr>
        <w:t>Vice-Minister of Foreign Affairs of Guatemala</w:t>
      </w:r>
      <w:r w:rsidR="00AC2758">
        <w:rPr>
          <w:color w:val="000000" w:themeColor="text1"/>
          <w:sz w:val="20"/>
          <w:szCs w:val="20"/>
        </w:rPr>
        <w:t xml:space="preserve">, </w:t>
      </w:r>
      <w:r w:rsidR="00AC2758" w:rsidRPr="00C1769D">
        <w:rPr>
          <w:color w:val="000000" w:themeColor="text1"/>
          <w:sz w:val="20"/>
          <w:szCs w:val="20"/>
        </w:rPr>
        <w:t>Luis Fernando Carranza Cifuentes</w:t>
      </w:r>
      <w:r w:rsidR="00AC2758">
        <w:rPr>
          <w:color w:val="000000" w:themeColor="text1"/>
          <w:sz w:val="20"/>
          <w:szCs w:val="20"/>
        </w:rPr>
        <w:t xml:space="preserve">; the </w:t>
      </w:r>
      <w:r w:rsidR="00AC2758" w:rsidRPr="00C1769D">
        <w:rPr>
          <w:color w:val="000000" w:themeColor="text1"/>
          <w:sz w:val="20"/>
          <w:szCs w:val="20"/>
        </w:rPr>
        <w:t>Parliamentary Vice-Minister for Foreign Affairs of Japan</w:t>
      </w:r>
      <w:r w:rsidR="00AC2758">
        <w:rPr>
          <w:color w:val="000000" w:themeColor="text1"/>
          <w:sz w:val="20"/>
          <w:szCs w:val="20"/>
        </w:rPr>
        <w:t xml:space="preserve">, </w:t>
      </w:r>
      <w:r w:rsidR="00AC2758" w:rsidRPr="00C1769D">
        <w:rPr>
          <w:color w:val="000000" w:themeColor="text1"/>
          <w:sz w:val="20"/>
          <w:szCs w:val="20"/>
        </w:rPr>
        <w:t>Kiyoto Tsuji</w:t>
      </w:r>
      <w:r w:rsidR="00AC2758">
        <w:rPr>
          <w:color w:val="000000" w:themeColor="text1"/>
          <w:sz w:val="20"/>
          <w:szCs w:val="20"/>
        </w:rPr>
        <w:t xml:space="preserve">; the </w:t>
      </w:r>
      <w:r w:rsidR="00AC2758" w:rsidRPr="00C1769D">
        <w:rPr>
          <w:color w:val="000000" w:themeColor="text1"/>
          <w:sz w:val="20"/>
          <w:szCs w:val="20"/>
        </w:rPr>
        <w:t>Deputy Minister for Foreign Affairs of Belarus</w:t>
      </w:r>
      <w:r w:rsidR="00AC2758">
        <w:rPr>
          <w:color w:val="000000" w:themeColor="text1"/>
          <w:sz w:val="20"/>
          <w:szCs w:val="20"/>
        </w:rPr>
        <w:t xml:space="preserve">, </w:t>
      </w:r>
      <w:r w:rsidR="00AC2758" w:rsidRPr="00C1769D">
        <w:rPr>
          <w:color w:val="000000" w:themeColor="text1"/>
          <w:sz w:val="20"/>
          <w:szCs w:val="20"/>
        </w:rPr>
        <w:t>Andrei Dapkiunas</w:t>
      </w:r>
      <w:r w:rsidR="00AC2758">
        <w:rPr>
          <w:color w:val="000000" w:themeColor="text1"/>
          <w:sz w:val="20"/>
          <w:szCs w:val="20"/>
        </w:rPr>
        <w:t xml:space="preserve">; the </w:t>
      </w:r>
      <w:r w:rsidR="00AC2758" w:rsidRPr="00C1769D">
        <w:rPr>
          <w:color w:val="000000" w:themeColor="text1"/>
          <w:sz w:val="20"/>
          <w:szCs w:val="20"/>
        </w:rPr>
        <w:t>Secretary-General of the Organization of Islamic Cooperation</w:t>
      </w:r>
      <w:r w:rsidR="00AC2758">
        <w:rPr>
          <w:color w:val="000000" w:themeColor="text1"/>
          <w:sz w:val="20"/>
          <w:szCs w:val="20"/>
        </w:rPr>
        <w:t xml:space="preserve">, </w:t>
      </w:r>
      <w:r w:rsidR="00AC2758" w:rsidRPr="00C1769D">
        <w:rPr>
          <w:color w:val="000000" w:themeColor="text1"/>
          <w:sz w:val="20"/>
          <w:szCs w:val="20"/>
        </w:rPr>
        <w:t>Yousef A. Al Othaimeen</w:t>
      </w:r>
      <w:r w:rsidR="00AC2758">
        <w:rPr>
          <w:color w:val="000000" w:themeColor="text1"/>
          <w:sz w:val="20"/>
          <w:szCs w:val="20"/>
        </w:rPr>
        <w:t>.</w:t>
      </w:r>
    </w:p>
    <w:p w14:paraId="6B0EF442" w14:textId="5479C399" w:rsidR="00CA3E43" w:rsidRDefault="00F11B08" w:rsidP="00082330">
      <w:pPr>
        <w:pStyle w:val="SingleTxtG"/>
        <w:ind w:firstLine="567"/>
        <w:rPr>
          <w:color w:val="000000" w:themeColor="text1"/>
          <w:sz w:val="20"/>
          <w:szCs w:val="20"/>
        </w:rPr>
      </w:pPr>
      <w:r w:rsidRPr="0067399B">
        <w:rPr>
          <w:color w:val="000000" w:themeColor="text1"/>
          <w:sz w:val="20"/>
          <w:szCs w:val="20"/>
        </w:rPr>
        <w:t>(</w:t>
      </w:r>
      <w:r w:rsidR="00C1769D">
        <w:rPr>
          <w:color w:val="000000" w:themeColor="text1"/>
          <w:sz w:val="20"/>
          <w:szCs w:val="20"/>
        </w:rPr>
        <w:t>g</w:t>
      </w:r>
      <w:r w:rsidRPr="0067399B">
        <w:rPr>
          <w:color w:val="000000" w:themeColor="text1"/>
          <w:sz w:val="20"/>
          <w:szCs w:val="20"/>
        </w:rPr>
        <w:t>)</w:t>
      </w:r>
      <w:r w:rsidRPr="0067399B">
        <w:rPr>
          <w:color w:val="000000" w:themeColor="text1"/>
          <w:sz w:val="20"/>
          <w:szCs w:val="20"/>
        </w:rPr>
        <w:tab/>
        <w:t xml:space="preserve">At </w:t>
      </w:r>
      <w:r w:rsidR="00B038D8" w:rsidRPr="0067399B">
        <w:rPr>
          <w:color w:val="000000" w:themeColor="text1"/>
          <w:sz w:val="20"/>
          <w:szCs w:val="20"/>
        </w:rPr>
        <w:t>the 7th meeting, on 2</w:t>
      </w:r>
      <w:r w:rsidR="00143189">
        <w:rPr>
          <w:color w:val="000000" w:themeColor="text1"/>
          <w:sz w:val="20"/>
          <w:szCs w:val="20"/>
        </w:rPr>
        <w:t>7</w:t>
      </w:r>
      <w:r w:rsidR="00FA696B" w:rsidRPr="0067399B">
        <w:rPr>
          <w:color w:val="000000" w:themeColor="text1"/>
          <w:sz w:val="20"/>
          <w:szCs w:val="20"/>
        </w:rPr>
        <w:t xml:space="preserve"> </w:t>
      </w:r>
      <w:r w:rsidR="00B038D8" w:rsidRPr="0067399B">
        <w:rPr>
          <w:color w:val="000000" w:themeColor="text1"/>
          <w:sz w:val="20"/>
          <w:szCs w:val="20"/>
        </w:rPr>
        <w:t>February</w:t>
      </w:r>
      <w:r w:rsidR="00FA696B" w:rsidRPr="0067399B">
        <w:rPr>
          <w:color w:val="000000" w:themeColor="text1"/>
          <w:sz w:val="20"/>
          <w:szCs w:val="20"/>
        </w:rPr>
        <w:t xml:space="preserve"> </w:t>
      </w:r>
      <w:r w:rsidR="00141AFC">
        <w:rPr>
          <w:color w:val="000000" w:themeColor="text1"/>
          <w:sz w:val="20"/>
          <w:szCs w:val="20"/>
        </w:rPr>
        <w:t>2019</w:t>
      </w:r>
      <w:r w:rsidRPr="0067399B">
        <w:rPr>
          <w:color w:val="000000" w:themeColor="text1"/>
          <w:sz w:val="20"/>
          <w:szCs w:val="20"/>
        </w:rPr>
        <w:t xml:space="preserve">: </w:t>
      </w:r>
      <w:r w:rsidR="00AC2758">
        <w:rPr>
          <w:color w:val="000000" w:themeColor="text1"/>
          <w:sz w:val="20"/>
          <w:szCs w:val="20"/>
        </w:rPr>
        <w:t xml:space="preserve">the </w:t>
      </w:r>
      <w:r w:rsidR="00AC2758" w:rsidRPr="00AC2758">
        <w:rPr>
          <w:color w:val="000000" w:themeColor="text1"/>
          <w:sz w:val="20"/>
          <w:szCs w:val="20"/>
        </w:rPr>
        <w:t>Minister of Justice of Namibia</w:t>
      </w:r>
      <w:r w:rsidR="00AC2758">
        <w:rPr>
          <w:color w:val="000000" w:themeColor="text1"/>
          <w:sz w:val="20"/>
          <w:szCs w:val="20"/>
        </w:rPr>
        <w:t xml:space="preserve">, </w:t>
      </w:r>
      <w:r w:rsidR="00AC2758" w:rsidRPr="00AC2758">
        <w:rPr>
          <w:color w:val="000000" w:themeColor="text1"/>
          <w:sz w:val="20"/>
          <w:szCs w:val="20"/>
        </w:rPr>
        <w:t>Sakeus Shanghala</w:t>
      </w:r>
      <w:r w:rsidR="00AC2758">
        <w:rPr>
          <w:color w:val="000000" w:themeColor="text1"/>
          <w:sz w:val="20"/>
          <w:szCs w:val="20"/>
        </w:rPr>
        <w:t xml:space="preserve">; the </w:t>
      </w:r>
      <w:r w:rsidR="00AC2758" w:rsidRPr="00AC2758">
        <w:rPr>
          <w:color w:val="000000" w:themeColor="text1"/>
          <w:sz w:val="20"/>
          <w:szCs w:val="20"/>
        </w:rPr>
        <w:t>Minister of Justice, Legal and Parliamentary Affairs of Zimbabwe</w:t>
      </w:r>
      <w:r w:rsidR="00AC2758">
        <w:rPr>
          <w:color w:val="000000" w:themeColor="text1"/>
          <w:sz w:val="20"/>
          <w:szCs w:val="20"/>
        </w:rPr>
        <w:t xml:space="preserve">, </w:t>
      </w:r>
      <w:r w:rsidR="00AC2758" w:rsidRPr="00AC2758">
        <w:rPr>
          <w:color w:val="000000" w:themeColor="text1"/>
          <w:sz w:val="20"/>
          <w:szCs w:val="20"/>
        </w:rPr>
        <w:t>Ziyambi Ziyambi</w:t>
      </w:r>
      <w:r w:rsidR="00AC2758">
        <w:rPr>
          <w:color w:val="000000" w:themeColor="text1"/>
          <w:sz w:val="20"/>
          <w:szCs w:val="20"/>
        </w:rPr>
        <w:t xml:space="preserve">; the </w:t>
      </w:r>
      <w:r w:rsidR="00AC2758" w:rsidRPr="00AC2758">
        <w:rPr>
          <w:color w:val="000000" w:themeColor="text1"/>
          <w:sz w:val="20"/>
          <w:szCs w:val="20"/>
        </w:rPr>
        <w:t>Minister of Justice, Constitutional and Religious Affairs of Mozambique</w:t>
      </w:r>
      <w:r w:rsidR="00AC2758">
        <w:rPr>
          <w:color w:val="000000" w:themeColor="text1"/>
          <w:sz w:val="20"/>
          <w:szCs w:val="20"/>
        </w:rPr>
        <w:t xml:space="preserve">, </w:t>
      </w:r>
      <w:r w:rsidR="00AC2758" w:rsidRPr="00AC2758">
        <w:rPr>
          <w:color w:val="000000" w:themeColor="text1"/>
          <w:sz w:val="20"/>
          <w:szCs w:val="20"/>
        </w:rPr>
        <w:t>Joaquim Verissimo</w:t>
      </w:r>
      <w:r w:rsidR="00AC2758">
        <w:rPr>
          <w:color w:val="000000" w:themeColor="text1"/>
          <w:sz w:val="20"/>
          <w:szCs w:val="20"/>
        </w:rPr>
        <w:t xml:space="preserve">; the </w:t>
      </w:r>
      <w:r w:rsidR="00AC2758" w:rsidRPr="00AC2758">
        <w:rPr>
          <w:color w:val="000000" w:themeColor="text1"/>
          <w:sz w:val="20"/>
          <w:szCs w:val="20"/>
        </w:rPr>
        <w:t>Assistant Foreign Minister of Bahrain</w:t>
      </w:r>
      <w:r w:rsidR="00AC2758">
        <w:rPr>
          <w:color w:val="000000" w:themeColor="text1"/>
          <w:sz w:val="20"/>
          <w:szCs w:val="20"/>
        </w:rPr>
        <w:t xml:space="preserve">, </w:t>
      </w:r>
      <w:r w:rsidR="00AC2758" w:rsidRPr="00AC2758">
        <w:rPr>
          <w:color w:val="000000" w:themeColor="text1"/>
          <w:sz w:val="20"/>
          <w:szCs w:val="20"/>
        </w:rPr>
        <w:t>Abdulla Faisal Al-Doseri</w:t>
      </w:r>
      <w:r w:rsidR="00AC2758">
        <w:rPr>
          <w:color w:val="000000" w:themeColor="text1"/>
          <w:sz w:val="20"/>
          <w:szCs w:val="20"/>
        </w:rPr>
        <w:t xml:space="preserve">; the </w:t>
      </w:r>
      <w:r w:rsidR="00AC2758" w:rsidRPr="00AC2758">
        <w:rPr>
          <w:color w:val="000000" w:themeColor="text1"/>
          <w:sz w:val="20"/>
          <w:szCs w:val="20"/>
        </w:rPr>
        <w:t>Presidential Counsellor for Human Rights of Colombia</w:t>
      </w:r>
      <w:r w:rsidR="00AC2758">
        <w:rPr>
          <w:color w:val="000000" w:themeColor="text1"/>
          <w:sz w:val="20"/>
          <w:szCs w:val="20"/>
        </w:rPr>
        <w:t xml:space="preserve">, </w:t>
      </w:r>
      <w:r w:rsidR="00AC2758" w:rsidRPr="00AC2758">
        <w:rPr>
          <w:color w:val="000000" w:themeColor="text1"/>
          <w:sz w:val="20"/>
          <w:szCs w:val="20"/>
        </w:rPr>
        <w:t>Francisco Barbosa Delgado</w:t>
      </w:r>
      <w:r w:rsidR="00AC2758">
        <w:rPr>
          <w:color w:val="000000" w:themeColor="text1"/>
          <w:sz w:val="20"/>
          <w:szCs w:val="20"/>
        </w:rPr>
        <w:t xml:space="preserve">; the </w:t>
      </w:r>
      <w:r w:rsidR="00AC2758" w:rsidRPr="00AC2758">
        <w:rPr>
          <w:color w:val="000000" w:themeColor="text1"/>
          <w:sz w:val="20"/>
          <w:szCs w:val="20"/>
        </w:rPr>
        <w:t>Assistant Minister of Foreign Affairs of Cyprus</w:t>
      </w:r>
      <w:r w:rsidR="00AC2758">
        <w:rPr>
          <w:color w:val="000000" w:themeColor="text1"/>
          <w:sz w:val="20"/>
          <w:szCs w:val="20"/>
        </w:rPr>
        <w:t xml:space="preserve">, </w:t>
      </w:r>
      <w:r w:rsidR="00AC2758" w:rsidRPr="00AC2758">
        <w:rPr>
          <w:color w:val="000000" w:themeColor="text1"/>
          <w:sz w:val="20"/>
          <w:szCs w:val="20"/>
        </w:rPr>
        <w:t>George Chacalli</w:t>
      </w:r>
      <w:r w:rsidR="00AC2758">
        <w:rPr>
          <w:color w:val="000000" w:themeColor="text1"/>
          <w:sz w:val="20"/>
          <w:szCs w:val="20"/>
        </w:rPr>
        <w:t xml:space="preserve">; the </w:t>
      </w:r>
      <w:r w:rsidR="00AC2758" w:rsidRPr="00AC2758">
        <w:rPr>
          <w:color w:val="000000" w:themeColor="text1"/>
          <w:sz w:val="20"/>
          <w:szCs w:val="20"/>
        </w:rPr>
        <w:t>Deputy Minister for Foreign Affairs of Ukraine</w:t>
      </w:r>
      <w:r w:rsidR="00AC2758">
        <w:rPr>
          <w:color w:val="000000" w:themeColor="text1"/>
          <w:sz w:val="20"/>
          <w:szCs w:val="20"/>
        </w:rPr>
        <w:t xml:space="preserve">, </w:t>
      </w:r>
      <w:r w:rsidR="00AC2758" w:rsidRPr="00AC2758">
        <w:rPr>
          <w:color w:val="000000" w:themeColor="text1"/>
          <w:sz w:val="20"/>
          <w:szCs w:val="20"/>
        </w:rPr>
        <w:t>Sergiy Kyslytsya</w:t>
      </w:r>
      <w:r w:rsidR="00AC2758">
        <w:rPr>
          <w:color w:val="000000" w:themeColor="text1"/>
          <w:sz w:val="20"/>
          <w:szCs w:val="20"/>
        </w:rPr>
        <w:t xml:space="preserve">; the </w:t>
      </w:r>
      <w:r w:rsidR="00AC2758" w:rsidRPr="00AC2758">
        <w:rPr>
          <w:color w:val="000000" w:themeColor="text1"/>
          <w:sz w:val="20"/>
          <w:szCs w:val="20"/>
        </w:rPr>
        <w:t>Deputy Minister for Foreign Affairs of Bulgaria</w:t>
      </w:r>
      <w:r w:rsidR="00AC2758">
        <w:rPr>
          <w:color w:val="000000" w:themeColor="text1"/>
          <w:sz w:val="20"/>
          <w:szCs w:val="20"/>
        </w:rPr>
        <w:t xml:space="preserve">, </w:t>
      </w:r>
      <w:r w:rsidR="00AC2758" w:rsidRPr="00AC2758">
        <w:rPr>
          <w:color w:val="000000" w:themeColor="text1"/>
          <w:sz w:val="20"/>
          <w:szCs w:val="20"/>
        </w:rPr>
        <w:t>Yuri Sterk</w:t>
      </w:r>
      <w:r w:rsidR="00AC2758">
        <w:rPr>
          <w:color w:val="000000" w:themeColor="text1"/>
          <w:sz w:val="20"/>
          <w:szCs w:val="20"/>
        </w:rPr>
        <w:t xml:space="preserve">; the </w:t>
      </w:r>
      <w:r w:rsidR="00AC2758" w:rsidRPr="00AC2758">
        <w:rPr>
          <w:color w:val="000000" w:themeColor="text1"/>
          <w:sz w:val="20"/>
          <w:szCs w:val="20"/>
        </w:rPr>
        <w:t>Assistant Minister for Human Rights and International Law at the Ministry of Foreign Affairs of the United Arab Emirates</w:t>
      </w:r>
      <w:r w:rsidR="00AC2758">
        <w:rPr>
          <w:color w:val="000000" w:themeColor="text1"/>
          <w:sz w:val="20"/>
          <w:szCs w:val="20"/>
        </w:rPr>
        <w:t xml:space="preserve">, </w:t>
      </w:r>
      <w:r w:rsidR="00AC2758" w:rsidRPr="00AC2758">
        <w:rPr>
          <w:color w:val="000000" w:themeColor="text1"/>
          <w:sz w:val="20"/>
          <w:szCs w:val="20"/>
        </w:rPr>
        <w:t>Ahmad Abdulrahman Al-Jarman</w:t>
      </w:r>
      <w:r w:rsidR="00AC2758">
        <w:rPr>
          <w:color w:val="000000" w:themeColor="text1"/>
          <w:sz w:val="20"/>
          <w:szCs w:val="20"/>
        </w:rPr>
        <w:t xml:space="preserve">; </w:t>
      </w:r>
      <w:r w:rsidR="00082330">
        <w:rPr>
          <w:color w:val="000000" w:themeColor="text1"/>
          <w:sz w:val="20"/>
          <w:szCs w:val="20"/>
        </w:rPr>
        <w:t xml:space="preserve">the </w:t>
      </w:r>
      <w:r w:rsidR="00082330" w:rsidRPr="00AC2758">
        <w:rPr>
          <w:color w:val="000000" w:themeColor="text1"/>
          <w:sz w:val="20"/>
          <w:szCs w:val="20"/>
        </w:rPr>
        <w:t>Minister of State for Foreign Affairs of Saudi Arabia</w:t>
      </w:r>
      <w:r w:rsidR="00082330">
        <w:rPr>
          <w:color w:val="000000" w:themeColor="text1"/>
          <w:sz w:val="20"/>
          <w:szCs w:val="20"/>
        </w:rPr>
        <w:t xml:space="preserve">, </w:t>
      </w:r>
      <w:r w:rsidR="00082330" w:rsidRPr="00AC2758">
        <w:rPr>
          <w:color w:val="000000" w:themeColor="text1"/>
          <w:sz w:val="20"/>
          <w:szCs w:val="20"/>
        </w:rPr>
        <w:t>Adel bin Ahmed Al-Jubeir</w:t>
      </w:r>
      <w:r w:rsidR="00082330">
        <w:rPr>
          <w:color w:val="000000" w:themeColor="text1"/>
          <w:sz w:val="20"/>
          <w:szCs w:val="20"/>
        </w:rPr>
        <w:t xml:space="preserve">; the </w:t>
      </w:r>
      <w:r w:rsidR="00082330" w:rsidRPr="00AC2758">
        <w:rPr>
          <w:color w:val="000000" w:themeColor="text1"/>
          <w:sz w:val="20"/>
          <w:szCs w:val="20"/>
        </w:rPr>
        <w:t>Political Director of the Ministry of Foreign Affairs of Lithuania</w:t>
      </w:r>
      <w:r w:rsidR="00082330">
        <w:rPr>
          <w:color w:val="000000" w:themeColor="text1"/>
          <w:sz w:val="20"/>
          <w:szCs w:val="20"/>
        </w:rPr>
        <w:t xml:space="preserve">, </w:t>
      </w:r>
      <w:r w:rsidR="00082330" w:rsidRPr="00AC2758">
        <w:rPr>
          <w:color w:val="000000" w:themeColor="text1"/>
          <w:sz w:val="20"/>
          <w:szCs w:val="20"/>
        </w:rPr>
        <w:t>Asta Skaisgiryte</w:t>
      </w:r>
      <w:r w:rsidR="00082330">
        <w:rPr>
          <w:color w:val="000000" w:themeColor="text1"/>
          <w:sz w:val="20"/>
          <w:szCs w:val="20"/>
        </w:rPr>
        <w:t xml:space="preserve">; the </w:t>
      </w:r>
      <w:r w:rsidR="00082330" w:rsidRPr="00AC2758">
        <w:rPr>
          <w:color w:val="000000" w:themeColor="text1"/>
          <w:sz w:val="20"/>
          <w:szCs w:val="20"/>
        </w:rPr>
        <w:t>Deputy Minister for Development Cooperation of Finland</w:t>
      </w:r>
      <w:r w:rsidR="00082330">
        <w:rPr>
          <w:color w:val="000000" w:themeColor="text1"/>
          <w:sz w:val="20"/>
          <w:szCs w:val="20"/>
        </w:rPr>
        <w:t xml:space="preserve">, </w:t>
      </w:r>
      <w:r w:rsidR="00082330" w:rsidRPr="00AC2758">
        <w:rPr>
          <w:color w:val="000000" w:themeColor="text1"/>
          <w:sz w:val="20"/>
          <w:szCs w:val="20"/>
        </w:rPr>
        <w:t>Elina Kalkku</w:t>
      </w:r>
      <w:r w:rsidR="00082330">
        <w:rPr>
          <w:color w:val="000000" w:themeColor="text1"/>
          <w:sz w:val="20"/>
          <w:szCs w:val="20"/>
        </w:rPr>
        <w:t xml:space="preserve">; the </w:t>
      </w:r>
      <w:r w:rsidR="00082330" w:rsidRPr="00AC2758">
        <w:rPr>
          <w:color w:val="000000" w:themeColor="text1"/>
          <w:sz w:val="20"/>
          <w:szCs w:val="20"/>
        </w:rPr>
        <w:t>Deputy Minister of Foreign Affairs of Bosnia and Herzegovina</w:t>
      </w:r>
      <w:r w:rsidR="00082330">
        <w:rPr>
          <w:color w:val="000000" w:themeColor="text1"/>
          <w:sz w:val="20"/>
          <w:szCs w:val="20"/>
        </w:rPr>
        <w:t xml:space="preserve">, </w:t>
      </w:r>
      <w:r w:rsidR="00082330" w:rsidRPr="00AC2758">
        <w:rPr>
          <w:color w:val="000000" w:themeColor="text1"/>
          <w:sz w:val="20"/>
          <w:szCs w:val="20"/>
        </w:rPr>
        <w:t>Josip Brkić</w:t>
      </w:r>
      <w:r w:rsidR="00082330">
        <w:rPr>
          <w:color w:val="000000" w:themeColor="text1"/>
          <w:sz w:val="20"/>
          <w:szCs w:val="20"/>
        </w:rPr>
        <w:t xml:space="preserve">; the </w:t>
      </w:r>
      <w:r w:rsidR="00082330" w:rsidRPr="00AC2758">
        <w:rPr>
          <w:color w:val="000000" w:themeColor="text1"/>
          <w:sz w:val="20"/>
          <w:szCs w:val="20"/>
        </w:rPr>
        <w:t>First Deputy Minister of Foreign Affairs of Cuba</w:t>
      </w:r>
      <w:r w:rsidR="00082330">
        <w:rPr>
          <w:color w:val="000000" w:themeColor="text1"/>
          <w:sz w:val="20"/>
          <w:szCs w:val="20"/>
        </w:rPr>
        <w:t xml:space="preserve">, </w:t>
      </w:r>
      <w:r w:rsidR="00082330" w:rsidRPr="00AC2758">
        <w:rPr>
          <w:color w:val="000000" w:themeColor="text1"/>
          <w:sz w:val="20"/>
          <w:szCs w:val="20"/>
        </w:rPr>
        <w:t>Marcelino Medina González</w:t>
      </w:r>
      <w:r w:rsidR="00082330">
        <w:rPr>
          <w:color w:val="000000" w:themeColor="text1"/>
          <w:sz w:val="20"/>
          <w:szCs w:val="20"/>
        </w:rPr>
        <w:t xml:space="preserve">; the </w:t>
      </w:r>
      <w:r w:rsidR="00082330" w:rsidRPr="00AC2758">
        <w:rPr>
          <w:color w:val="000000" w:themeColor="text1"/>
          <w:sz w:val="20"/>
          <w:szCs w:val="20"/>
        </w:rPr>
        <w:t>Minister of Peoples Power for Foreign Affairs of the Bolivarian Republic of Venezuela</w:t>
      </w:r>
      <w:r w:rsidR="00082330">
        <w:rPr>
          <w:color w:val="000000" w:themeColor="text1"/>
          <w:sz w:val="20"/>
          <w:szCs w:val="20"/>
        </w:rPr>
        <w:t xml:space="preserve">, </w:t>
      </w:r>
      <w:r w:rsidR="00082330" w:rsidRPr="00AC2758">
        <w:rPr>
          <w:color w:val="000000" w:themeColor="text1"/>
          <w:sz w:val="20"/>
          <w:szCs w:val="20"/>
        </w:rPr>
        <w:t>Jorge Arreaza Montserrat</w:t>
      </w:r>
      <w:r w:rsidR="00082330">
        <w:rPr>
          <w:color w:val="000000" w:themeColor="text1"/>
          <w:sz w:val="20"/>
          <w:szCs w:val="20"/>
        </w:rPr>
        <w:t xml:space="preserve">; the </w:t>
      </w:r>
      <w:r w:rsidR="00082330" w:rsidRPr="00AC2758">
        <w:rPr>
          <w:color w:val="000000" w:themeColor="text1"/>
          <w:sz w:val="20"/>
          <w:szCs w:val="20"/>
        </w:rPr>
        <w:t>Minister for European Affairs of Romania</w:t>
      </w:r>
      <w:r w:rsidR="00082330">
        <w:rPr>
          <w:color w:val="000000" w:themeColor="text1"/>
          <w:sz w:val="20"/>
          <w:szCs w:val="20"/>
        </w:rPr>
        <w:t xml:space="preserve">, </w:t>
      </w:r>
      <w:r w:rsidR="00082330" w:rsidRPr="00AC2758">
        <w:rPr>
          <w:color w:val="000000" w:themeColor="text1"/>
          <w:sz w:val="20"/>
          <w:szCs w:val="20"/>
        </w:rPr>
        <w:t>George Ciamba</w:t>
      </w:r>
      <w:r w:rsidR="00082330">
        <w:rPr>
          <w:color w:val="000000" w:themeColor="text1"/>
          <w:sz w:val="20"/>
          <w:szCs w:val="20"/>
        </w:rPr>
        <w:t xml:space="preserve">; the </w:t>
      </w:r>
      <w:r w:rsidR="00082330" w:rsidRPr="00AC2758">
        <w:rPr>
          <w:color w:val="000000" w:themeColor="text1"/>
          <w:sz w:val="20"/>
          <w:szCs w:val="20"/>
        </w:rPr>
        <w:t>Deputy Minister for Europe and Foreign Affairs of Albania</w:t>
      </w:r>
      <w:r w:rsidR="00082330">
        <w:rPr>
          <w:color w:val="000000" w:themeColor="text1"/>
          <w:sz w:val="20"/>
          <w:szCs w:val="20"/>
        </w:rPr>
        <w:t xml:space="preserve">, </w:t>
      </w:r>
      <w:r w:rsidR="00082330" w:rsidRPr="00AC2758">
        <w:rPr>
          <w:color w:val="000000" w:themeColor="text1"/>
          <w:sz w:val="20"/>
          <w:szCs w:val="20"/>
        </w:rPr>
        <w:t>Artemis Dralo</w:t>
      </w:r>
      <w:r w:rsidR="00082330">
        <w:rPr>
          <w:color w:val="000000" w:themeColor="text1"/>
          <w:sz w:val="20"/>
          <w:szCs w:val="20"/>
        </w:rPr>
        <w:t>.</w:t>
      </w:r>
    </w:p>
    <w:p w14:paraId="2EA58793" w14:textId="3876272F" w:rsidR="00F11B08" w:rsidRDefault="00CA3E43" w:rsidP="00F11B08">
      <w:pPr>
        <w:pStyle w:val="SingleTxtG"/>
        <w:ind w:firstLine="567"/>
        <w:rPr>
          <w:color w:val="000000" w:themeColor="text1"/>
          <w:sz w:val="20"/>
          <w:szCs w:val="20"/>
        </w:rPr>
      </w:pPr>
      <w:r w:rsidRPr="0067399B">
        <w:rPr>
          <w:color w:val="000000" w:themeColor="text1"/>
          <w:sz w:val="20"/>
          <w:szCs w:val="20"/>
        </w:rPr>
        <w:t>(</w:t>
      </w:r>
      <w:r w:rsidR="00C1769D">
        <w:rPr>
          <w:color w:val="000000" w:themeColor="text1"/>
          <w:sz w:val="20"/>
          <w:szCs w:val="20"/>
        </w:rPr>
        <w:t>h</w:t>
      </w:r>
      <w:r w:rsidRPr="0067399B">
        <w:rPr>
          <w:color w:val="000000" w:themeColor="text1"/>
          <w:sz w:val="20"/>
          <w:szCs w:val="20"/>
        </w:rPr>
        <w:t>)</w:t>
      </w:r>
      <w:r w:rsidRPr="0067399B">
        <w:rPr>
          <w:color w:val="000000" w:themeColor="text1"/>
          <w:sz w:val="20"/>
          <w:szCs w:val="20"/>
        </w:rPr>
        <w:tab/>
        <w:t xml:space="preserve">At the 8th meeting, </w:t>
      </w:r>
      <w:r w:rsidR="00E14858" w:rsidRPr="0067399B">
        <w:rPr>
          <w:color w:val="000000" w:themeColor="text1"/>
          <w:sz w:val="20"/>
          <w:szCs w:val="20"/>
        </w:rPr>
        <w:t>on the same day</w:t>
      </w:r>
      <w:r w:rsidRPr="0067399B">
        <w:rPr>
          <w:color w:val="000000" w:themeColor="text1"/>
          <w:sz w:val="20"/>
          <w:szCs w:val="20"/>
        </w:rPr>
        <w:t xml:space="preserve">: </w:t>
      </w:r>
      <w:r w:rsidR="00082330">
        <w:rPr>
          <w:color w:val="000000" w:themeColor="text1"/>
          <w:sz w:val="20"/>
          <w:szCs w:val="20"/>
        </w:rPr>
        <w:t xml:space="preserve">the </w:t>
      </w:r>
      <w:r w:rsidR="00082330" w:rsidRPr="00082330">
        <w:rPr>
          <w:color w:val="000000" w:themeColor="text1"/>
          <w:sz w:val="20"/>
          <w:szCs w:val="20"/>
        </w:rPr>
        <w:t>Minister for foreign Affairs and International Cooperation of South Sudan</w:t>
      </w:r>
      <w:r w:rsidR="00082330">
        <w:rPr>
          <w:color w:val="000000" w:themeColor="text1"/>
          <w:sz w:val="20"/>
          <w:szCs w:val="20"/>
        </w:rPr>
        <w:t xml:space="preserve">, </w:t>
      </w:r>
      <w:r w:rsidR="00082330" w:rsidRPr="00082330">
        <w:rPr>
          <w:color w:val="000000" w:themeColor="text1"/>
          <w:sz w:val="20"/>
          <w:szCs w:val="20"/>
        </w:rPr>
        <w:t>Nhial Deng Nhial</w:t>
      </w:r>
      <w:r w:rsidR="00082330">
        <w:rPr>
          <w:color w:val="000000" w:themeColor="text1"/>
          <w:sz w:val="20"/>
          <w:szCs w:val="20"/>
        </w:rPr>
        <w:t xml:space="preserve">; the </w:t>
      </w:r>
      <w:r w:rsidR="00082330" w:rsidRPr="00082330">
        <w:rPr>
          <w:color w:val="000000" w:themeColor="text1"/>
          <w:sz w:val="20"/>
          <w:szCs w:val="20"/>
        </w:rPr>
        <w:t>First Deputy Director of the Human Rights Center of Uzbekistan</w:t>
      </w:r>
      <w:r w:rsidR="00082330">
        <w:rPr>
          <w:color w:val="000000" w:themeColor="text1"/>
          <w:sz w:val="20"/>
          <w:szCs w:val="20"/>
        </w:rPr>
        <w:t xml:space="preserve">, </w:t>
      </w:r>
      <w:r w:rsidR="00082330" w:rsidRPr="00082330">
        <w:rPr>
          <w:color w:val="000000" w:themeColor="text1"/>
          <w:sz w:val="20"/>
          <w:szCs w:val="20"/>
        </w:rPr>
        <w:t>Mirzatillo Tillabaev</w:t>
      </w:r>
      <w:r w:rsidR="00082330">
        <w:rPr>
          <w:color w:val="000000" w:themeColor="text1"/>
          <w:sz w:val="20"/>
          <w:szCs w:val="20"/>
        </w:rPr>
        <w:t xml:space="preserve">; the </w:t>
      </w:r>
      <w:r w:rsidR="00082330" w:rsidRPr="00082330">
        <w:rPr>
          <w:color w:val="000000" w:themeColor="text1"/>
          <w:sz w:val="20"/>
          <w:szCs w:val="20"/>
        </w:rPr>
        <w:t>Minister of Human Rights, Social Affairs and Gender</w:t>
      </w:r>
      <w:r w:rsidR="00082330">
        <w:rPr>
          <w:color w:val="000000" w:themeColor="text1"/>
          <w:sz w:val="20"/>
          <w:szCs w:val="20"/>
        </w:rPr>
        <w:t xml:space="preserve"> of </w:t>
      </w:r>
      <w:r w:rsidR="00082330" w:rsidRPr="00082330">
        <w:rPr>
          <w:color w:val="000000" w:themeColor="text1"/>
          <w:sz w:val="20"/>
          <w:szCs w:val="20"/>
        </w:rPr>
        <w:t>Burundi</w:t>
      </w:r>
      <w:r w:rsidR="00082330">
        <w:rPr>
          <w:color w:val="000000" w:themeColor="text1"/>
          <w:sz w:val="20"/>
          <w:szCs w:val="20"/>
        </w:rPr>
        <w:t xml:space="preserve">, </w:t>
      </w:r>
      <w:r w:rsidR="00082330" w:rsidRPr="00082330">
        <w:rPr>
          <w:color w:val="000000" w:themeColor="text1"/>
          <w:sz w:val="20"/>
          <w:szCs w:val="20"/>
        </w:rPr>
        <w:t>Martin Nivyabandi</w:t>
      </w:r>
      <w:r w:rsidR="00082330">
        <w:rPr>
          <w:color w:val="000000" w:themeColor="text1"/>
          <w:sz w:val="20"/>
          <w:szCs w:val="20"/>
        </w:rPr>
        <w:t xml:space="preserve">; the </w:t>
      </w:r>
      <w:r w:rsidR="00082330" w:rsidRPr="00082330">
        <w:rPr>
          <w:color w:val="000000" w:themeColor="text1"/>
          <w:sz w:val="20"/>
          <w:szCs w:val="20"/>
        </w:rPr>
        <w:t>Human Rights Director of the Ministry of Foreign Affairs</w:t>
      </w:r>
      <w:r w:rsidR="00082330">
        <w:rPr>
          <w:color w:val="000000" w:themeColor="text1"/>
          <w:sz w:val="20"/>
          <w:szCs w:val="20"/>
        </w:rPr>
        <w:t xml:space="preserve"> of</w:t>
      </w:r>
      <w:r w:rsidR="00082330" w:rsidRPr="00082330">
        <w:rPr>
          <w:color w:val="000000" w:themeColor="text1"/>
          <w:sz w:val="20"/>
          <w:szCs w:val="20"/>
        </w:rPr>
        <w:t xml:space="preserve"> Chile</w:t>
      </w:r>
      <w:r w:rsidR="00082330">
        <w:rPr>
          <w:color w:val="000000" w:themeColor="text1"/>
          <w:sz w:val="20"/>
          <w:szCs w:val="20"/>
        </w:rPr>
        <w:t xml:space="preserve">, </w:t>
      </w:r>
      <w:r w:rsidR="00082330" w:rsidRPr="00082330">
        <w:rPr>
          <w:color w:val="000000" w:themeColor="text1"/>
          <w:sz w:val="20"/>
          <w:szCs w:val="20"/>
        </w:rPr>
        <w:t>Juan Pablo Crisostomo</w:t>
      </w:r>
      <w:r w:rsidR="00082330">
        <w:rPr>
          <w:color w:val="000000" w:themeColor="text1"/>
          <w:sz w:val="20"/>
          <w:szCs w:val="20"/>
        </w:rPr>
        <w:t xml:space="preserve">; the </w:t>
      </w:r>
      <w:r w:rsidR="00082330" w:rsidRPr="00082330">
        <w:rPr>
          <w:color w:val="000000" w:themeColor="text1"/>
          <w:sz w:val="20"/>
          <w:szCs w:val="20"/>
        </w:rPr>
        <w:t xml:space="preserve">Undersecretary </w:t>
      </w:r>
      <w:r w:rsidR="00082330">
        <w:rPr>
          <w:color w:val="000000" w:themeColor="text1"/>
          <w:sz w:val="20"/>
          <w:szCs w:val="20"/>
        </w:rPr>
        <w:t xml:space="preserve">of the </w:t>
      </w:r>
      <w:r w:rsidR="00082330" w:rsidRPr="00082330">
        <w:rPr>
          <w:color w:val="000000" w:themeColor="text1"/>
          <w:sz w:val="20"/>
          <w:szCs w:val="20"/>
        </w:rPr>
        <w:t>Presidential Human Rights Committee Secretariat of the Philippines</w:t>
      </w:r>
      <w:r w:rsidR="00082330">
        <w:rPr>
          <w:color w:val="000000" w:themeColor="text1"/>
          <w:sz w:val="20"/>
          <w:szCs w:val="20"/>
        </w:rPr>
        <w:t xml:space="preserve">, </w:t>
      </w:r>
      <w:r w:rsidR="00082330" w:rsidRPr="00082330">
        <w:rPr>
          <w:color w:val="000000" w:themeColor="text1"/>
          <w:sz w:val="20"/>
          <w:szCs w:val="20"/>
        </w:rPr>
        <w:t>Severo S. Catura</w:t>
      </w:r>
      <w:r w:rsidR="00082330">
        <w:rPr>
          <w:color w:val="000000" w:themeColor="text1"/>
          <w:sz w:val="20"/>
          <w:szCs w:val="20"/>
        </w:rPr>
        <w:t xml:space="preserve">; the </w:t>
      </w:r>
      <w:r w:rsidR="00082330" w:rsidRPr="00082330">
        <w:rPr>
          <w:color w:val="000000" w:themeColor="text1"/>
          <w:sz w:val="20"/>
          <w:szCs w:val="20"/>
        </w:rPr>
        <w:t>First Vice-President of the Inter-American Commission on Human Rights</w:t>
      </w:r>
      <w:r w:rsidR="00082330">
        <w:rPr>
          <w:color w:val="000000" w:themeColor="text1"/>
          <w:sz w:val="20"/>
          <w:szCs w:val="20"/>
        </w:rPr>
        <w:t xml:space="preserve">, </w:t>
      </w:r>
      <w:r w:rsidR="00082330" w:rsidRPr="00082330">
        <w:rPr>
          <w:color w:val="000000" w:themeColor="text1"/>
          <w:sz w:val="20"/>
          <w:szCs w:val="20"/>
        </w:rPr>
        <w:t>Joel Hernandez</w:t>
      </w:r>
      <w:r w:rsidR="00082330">
        <w:rPr>
          <w:color w:val="000000" w:themeColor="text1"/>
          <w:sz w:val="20"/>
          <w:szCs w:val="20"/>
        </w:rPr>
        <w:t xml:space="preserve">; the </w:t>
      </w:r>
      <w:r w:rsidR="00082330" w:rsidRPr="00082330">
        <w:rPr>
          <w:color w:val="000000" w:themeColor="text1"/>
          <w:sz w:val="20"/>
          <w:szCs w:val="20"/>
        </w:rPr>
        <w:t>Deputy Commissioner for Human Rights of Nicaragua</w:t>
      </w:r>
      <w:r w:rsidR="00082330">
        <w:rPr>
          <w:color w:val="000000" w:themeColor="text1"/>
          <w:sz w:val="20"/>
          <w:szCs w:val="20"/>
        </w:rPr>
        <w:t xml:space="preserve">, </w:t>
      </w:r>
      <w:r w:rsidR="00082330" w:rsidRPr="00082330">
        <w:rPr>
          <w:color w:val="000000" w:themeColor="text1"/>
          <w:sz w:val="20"/>
          <w:szCs w:val="20"/>
        </w:rPr>
        <w:t>Adolfo Jarquín Ortel</w:t>
      </w:r>
      <w:r w:rsidR="00082330">
        <w:rPr>
          <w:color w:val="000000" w:themeColor="text1"/>
          <w:sz w:val="20"/>
          <w:szCs w:val="20"/>
        </w:rPr>
        <w:t>.</w:t>
      </w:r>
    </w:p>
    <w:p w14:paraId="2EA58796" w14:textId="6D8BC1BC" w:rsidR="00F11B08" w:rsidRPr="00116D26" w:rsidRDefault="00F11B08" w:rsidP="00415787">
      <w:pPr>
        <w:pStyle w:val="H1G"/>
        <w:rPr>
          <w:color w:val="000000" w:themeColor="text1"/>
          <w:sz w:val="20"/>
          <w:szCs w:val="20"/>
        </w:rPr>
      </w:pPr>
      <w:r w:rsidRPr="00116D26">
        <w:rPr>
          <w:color w:val="000000" w:themeColor="text1"/>
          <w:sz w:val="20"/>
          <w:szCs w:val="20"/>
        </w:rPr>
        <w:tab/>
      </w:r>
      <w:r w:rsidR="00C07C59" w:rsidRPr="00116D26">
        <w:rPr>
          <w:color w:val="000000" w:themeColor="text1"/>
          <w:sz w:val="20"/>
          <w:szCs w:val="20"/>
        </w:rPr>
        <w:tab/>
      </w:r>
      <w:r w:rsidRPr="00116D26">
        <w:rPr>
          <w:color w:val="000000" w:themeColor="text1"/>
          <w:sz w:val="20"/>
          <w:szCs w:val="20"/>
        </w:rPr>
        <w:t xml:space="preserve">High-level panel </w:t>
      </w:r>
      <w:r w:rsidR="00805366">
        <w:rPr>
          <w:color w:val="000000" w:themeColor="text1"/>
          <w:sz w:val="20"/>
          <w:szCs w:val="20"/>
        </w:rPr>
        <w:t xml:space="preserve">discussion </w:t>
      </w:r>
      <w:r w:rsidRPr="00116D26">
        <w:rPr>
          <w:color w:val="000000" w:themeColor="text1"/>
          <w:sz w:val="20"/>
          <w:szCs w:val="20"/>
        </w:rPr>
        <w:t xml:space="preserve">on human rights mainstreaming </w:t>
      </w:r>
    </w:p>
    <w:p w14:paraId="179C8EB0" w14:textId="05A60DBE" w:rsidR="00805366" w:rsidRDefault="00CC60C2" w:rsidP="00805366">
      <w:pPr>
        <w:pStyle w:val="SingleTxtG"/>
        <w:tabs>
          <w:tab w:val="left" w:pos="1701"/>
        </w:tabs>
        <w:rPr>
          <w:color w:val="000000" w:themeColor="text1"/>
          <w:sz w:val="20"/>
          <w:szCs w:val="20"/>
        </w:rPr>
      </w:pPr>
      <w:r w:rsidRPr="0067399B">
        <w:rPr>
          <w:color w:val="000000" w:themeColor="text1"/>
          <w:sz w:val="20"/>
          <w:szCs w:val="20"/>
        </w:rPr>
        <w:t>9</w:t>
      </w:r>
      <w:r w:rsidR="00F11B08" w:rsidRPr="0067399B">
        <w:rPr>
          <w:color w:val="000000" w:themeColor="text1"/>
          <w:sz w:val="20"/>
          <w:szCs w:val="20"/>
        </w:rPr>
        <w:t>.</w:t>
      </w:r>
      <w:r w:rsidR="00C07C59" w:rsidRPr="0067399B">
        <w:rPr>
          <w:color w:val="000000" w:themeColor="text1"/>
          <w:sz w:val="20"/>
          <w:szCs w:val="20"/>
        </w:rPr>
        <w:tab/>
      </w:r>
      <w:r w:rsidR="00F11B08" w:rsidRPr="0067399B">
        <w:rPr>
          <w:color w:val="000000" w:themeColor="text1"/>
          <w:sz w:val="20"/>
          <w:szCs w:val="20"/>
        </w:rPr>
        <w:t xml:space="preserve">At the </w:t>
      </w:r>
      <w:r w:rsidR="00125EBB" w:rsidRPr="0067399B">
        <w:rPr>
          <w:color w:val="000000" w:themeColor="text1"/>
          <w:sz w:val="20"/>
          <w:szCs w:val="20"/>
        </w:rPr>
        <w:t>3rd meeting, on 2</w:t>
      </w:r>
      <w:r w:rsidR="00335AC3">
        <w:rPr>
          <w:color w:val="000000" w:themeColor="text1"/>
          <w:sz w:val="20"/>
          <w:szCs w:val="20"/>
        </w:rPr>
        <w:t>5</w:t>
      </w:r>
      <w:r w:rsidR="00125EBB" w:rsidRPr="0067399B">
        <w:rPr>
          <w:color w:val="000000" w:themeColor="text1"/>
          <w:sz w:val="20"/>
          <w:szCs w:val="20"/>
        </w:rPr>
        <w:t xml:space="preserve"> February </w:t>
      </w:r>
      <w:r w:rsidR="00141AFC">
        <w:rPr>
          <w:color w:val="000000" w:themeColor="text1"/>
          <w:sz w:val="20"/>
          <w:szCs w:val="20"/>
        </w:rPr>
        <w:t>2019</w:t>
      </w:r>
      <w:r w:rsidR="00F11B08" w:rsidRPr="0067399B">
        <w:rPr>
          <w:color w:val="000000" w:themeColor="text1"/>
          <w:sz w:val="20"/>
          <w:szCs w:val="20"/>
        </w:rPr>
        <w:t>, pursuant to Human Rights Council resolution 16/21, the Council held a</w:t>
      </w:r>
      <w:r w:rsidR="00805366">
        <w:rPr>
          <w:color w:val="000000" w:themeColor="text1"/>
          <w:sz w:val="20"/>
          <w:szCs w:val="20"/>
        </w:rPr>
        <w:t xml:space="preserve">n annual </w:t>
      </w:r>
      <w:r w:rsidR="00F11B08" w:rsidRPr="0067399B">
        <w:rPr>
          <w:color w:val="000000" w:themeColor="text1"/>
          <w:sz w:val="20"/>
          <w:szCs w:val="20"/>
        </w:rPr>
        <w:t xml:space="preserve">high-level panel discussion to interact with </w:t>
      </w:r>
      <w:r w:rsidR="00F303C0" w:rsidRPr="0067399B">
        <w:rPr>
          <w:color w:val="000000" w:themeColor="text1"/>
          <w:sz w:val="20"/>
          <w:szCs w:val="20"/>
        </w:rPr>
        <w:t xml:space="preserve">heads of governing bodies and secretariats of United Nations agencies within their respective mandates on specific human rights themes with the objective of promoting the mainstreaming </w:t>
      </w:r>
      <w:r w:rsidR="00F303C0" w:rsidRPr="0067399B">
        <w:rPr>
          <w:color w:val="000000" w:themeColor="text1"/>
          <w:sz w:val="20"/>
          <w:szCs w:val="20"/>
        </w:rPr>
        <w:lastRenderedPageBreak/>
        <w:t>of human rights throughout the United Nations system, with a focus on “</w:t>
      </w:r>
      <w:r w:rsidR="00805366">
        <w:rPr>
          <w:color w:val="000000" w:themeColor="text1"/>
          <w:sz w:val="20"/>
          <w:szCs w:val="20"/>
        </w:rPr>
        <w:t>h</w:t>
      </w:r>
      <w:r w:rsidR="00805366" w:rsidRPr="00805366">
        <w:rPr>
          <w:color w:val="000000" w:themeColor="text1"/>
          <w:sz w:val="20"/>
          <w:szCs w:val="20"/>
        </w:rPr>
        <w:t>uman rights in the light of multilateralism: opportunities, challenges and the way forward”.</w:t>
      </w:r>
    </w:p>
    <w:p w14:paraId="2EA58798" w14:textId="2E3588CD" w:rsidR="00F11B08" w:rsidRDefault="00CC60C2" w:rsidP="00415787">
      <w:pPr>
        <w:pStyle w:val="SingleTxtG"/>
        <w:tabs>
          <w:tab w:val="left" w:pos="1701"/>
        </w:tabs>
        <w:rPr>
          <w:color w:val="000000" w:themeColor="text1"/>
          <w:sz w:val="20"/>
          <w:szCs w:val="20"/>
        </w:rPr>
      </w:pPr>
      <w:r w:rsidRPr="0067399B">
        <w:rPr>
          <w:color w:val="000000" w:themeColor="text1"/>
          <w:sz w:val="20"/>
          <w:szCs w:val="20"/>
        </w:rPr>
        <w:t>10</w:t>
      </w:r>
      <w:r w:rsidR="00F11B08" w:rsidRPr="0067399B">
        <w:rPr>
          <w:color w:val="000000" w:themeColor="text1"/>
          <w:sz w:val="20"/>
          <w:szCs w:val="20"/>
        </w:rPr>
        <w:t>.</w:t>
      </w:r>
      <w:r w:rsidR="00C07C59" w:rsidRPr="0067399B">
        <w:rPr>
          <w:color w:val="000000" w:themeColor="text1"/>
          <w:sz w:val="20"/>
          <w:szCs w:val="20"/>
        </w:rPr>
        <w:tab/>
      </w:r>
      <w:r w:rsidR="00F11B08" w:rsidRPr="0067399B">
        <w:rPr>
          <w:color w:val="000000" w:themeColor="text1"/>
          <w:sz w:val="20"/>
          <w:szCs w:val="20"/>
        </w:rPr>
        <w:t>The President of the General Assembly</w:t>
      </w:r>
      <w:r w:rsidR="003D542C" w:rsidRPr="0067399B">
        <w:rPr>
          <w:color w:val="000000" w:themeColor="text1"/>
          <w:sz w:val="20"/>
          <w:szCs w:val="20"/>
        </w:rPr>
        <w:t>,</w:t>
      </w:r>
      <w:r w:rsidR="00F11B08" w:rsidRPr="0067399B">
        <w:rPr>
          <w:color w:val="000000" w:themeColor="text1"/>
          <w:sz w:val="20"/>
          <w:szCs w:val="20"/>
        </w:rPr>
        <w:t xml:space="preserve"> the United Nations High Commissioner for Human Rights </w:t>
      </w:r>
      <w:r w:rsidR="003D542C" w:rsidRPr="0067399B">
        <w:rPr>
          <w:color w:val="000000" w:themeColor="text1"/>
          <w:sz w:val="20"/>
          <w:szCs w:val="20"/>
        </w:rPr>
        <w:t xml:space="preserve">and the </w:t>
      </w:r>
      <w:r w:rsidR="00805366" w:rsidRPr="00805366">
        <w:rPr>
          <w:color w:val="000000" w:themeColor="text1"/>
          <w:sz w:val="20"/>
          <w:szCs w:val="20"/>
        </w:rPr>
        <w:t>Vice-President for Legal Affairs of the Islamic Republic of Iran</w:t>
      </w:r>
      <w:r w:rsidR="00732FEF">
        <w:rPr>
          <w:color w:val="000000" w:themeColor="text1"/>
          <w:sz w:val="20"/>
          <w:szCs w:val="20"/>
        </w:rPr>
        <w:t xml:space="preserve">, </w:t>
      </w:r>
      <w:r w:rsidR="00732FEF" w:rsidRPr="00732FEF">
        <w:rPr>
          <w:color w:val="000000" w:themeColor="text1"/>
          <w:sz w:val="20"/>
          <w:szCs w:val="20"/>
        </w:rPr>
        <w:t>Laya Joneydi</w:t>
      </w:r>
      <w:r w:rsidR="00732FEF">
        <w:rPr>
          <w:color w:val="000000" w:themeColor="text1"/>
          <w:sz w:val="20"/>
          <w:szCs w:val="20"/>
        </w:rPr>
        <w:t>,</w:t>
      </w:r>
      <w:r w:rsidR="00805366" w:rsidRPr="0067399B">
        <w:rPr>
          <w:color w:val="000000" w:themeColor="text1"/>
          <w:sz w:val="20"/>
          <w:szCs w:val="20"/>
        </w:rPr>
        <w:t xml:space="preserve"> </w:t>
      </w:r>
      <w:r w:rsidR="00F11B08" w:rsidRPr="0067399B">
        <w:rPr>
          <w:color w:val="000000" w:themeColor="text1"/>
          <w:sz w:val="20"/>
          <w:szCs w:val="20"/>
        </w:rPr>
        <w:t xml:space="preserve">made opening statements for the panel. The </w:t>
      </w:r>
      <w:r w:rsidR="00805366" w:rsidRPr="00805366">
        <w:rPr>
          <w:color w:val="000000" w:themeColor="text1"/>
          <w:sz w:val="20"/>
          <w:szCs w:val="20"/>
        </w:rPr>
        <w:t>Director of the Thematic Engagement, Special Procedures and Right to Development Division, Office of the United Nations High Commissioner for Human Rights</w:t>
      </w:r>
      <w:r w:rsidR="00805366" w:rsidRPr="0067399B">
        <w:rPr>
          <w:color w:val="000000" w:themeColor="text1"/>
          <w:sz w:val="20"/>
          <w:szCs w:val="20"/>
        </w:rPr>
        <w:t xml:space="preserve"> </w:t>
      </w:r>
      <w:r w:rsidR="00F11B08" w:rsidRPr="0067399B">
        <w:rPr>
          <w:color w:val="000000" w:themeColor="text1"/>
          <w:sz w:val="20"/>
          <w:szCs w:val="20"/>
        </w:rPr>
        <w:t xml:space="preserve">moderated the discussion. </w:t>
      </w:r>
    </w:p>
    <w:p w14:paraId="525C58C1" w14:textId="0CF0DCB6" w:rsidR="001B0569" w:rsidRDefault="006D3AFB" w:rsidP="006D3AFB">
      <w:pPr>
        <w:pStyle w:val="SingleTxtG"/>
        <w:tabs>
          <w:tab w:val="left" w:pos="1701"/>
        </w:tabs>
        <w:rPr>
          <w:color w:val="000000" w:themeColor="text1"/>
          <w:sz w:val="20"/>
          <w:szCs w:val="20"/>
        </w:rPr>
      </w:pPr>
      <w:r w:rsidRPr="0067399B">
        <w:rPr>
          <w:color w:val="000000" w:themeColor="text1"/>
          <w:sz w:val="20"/>
          <w:szCs w:val="20"/>
        </w:rPr>
        <w:t>1</w:t>
      </w:r>
      <w:r w:rsidR="00CC60C2" w:rsidRPr="0067399B">
        <w:rPr>
          <w:color w:val="000000" w:themeColor="text1"/>
          <w:sz w:val="20"/>
          <w:szCs w:val="20"/>
        </w:rPr>
        <w:t>1</w:t>
      </w:r>
      <w:r w:rsidRPr="0067399B">
        <w:rPr>
          <w:color w:val="000000" w:themeColor="text1"/>
          <w:sz w:val="20"/>
          <w:szCs w:val="20"/>
        </w:rPr>
        <w:t>.</w:t>
      </w:r>
      <w:r w:rsidRPr="0067399B">
        <w:rPr>
          <w:color w:val="000000" w:themeColor="text1"/>
          <w:sz w:val="20"/>
          <w:szCs w:val="20"/>
        </w:rPr>
        <w:tab/>
        <w:t xml:space="preserve">At the same meeting, the following panellists made statements: </w:t>
      </w:r>
      <w:r w:rsidR="001B0569">
        <w:rPr>
          <w:color w:val="000000" w:themeColor="text1"/>
          <w:sz w:val="20"/>
          <w:szCs w:val="20"/>
        </w:rPr>
        <w:t xml:space="preserve">the </w:t>
      </w:r>
      <w:r w:rsidR="001B0569" w:rsidRPr="001B0569">
        <w:rPr>
          <w:color w:val="000000" w:themeColor="text1"/>
          <w:sz w:val="20"/>
          <w:szCs w:val="20"/>
        </w:rPr>
        <w:t>Deputy Director-General for Policy of the International Labour Organization</w:t>
      </w:r>
      <w:r w:rsidR="001B0569">
        <w:rPr>
          <w:color w:val="000000" w:themeColor="text1"/>
          <w:sz w:val="20"/>
          <w:szCs w:val="20"/>
        </w:rPr>
        <w:t xml:space="preserve">, </w:t>
      </w:r>
      <w:r w:rsidR="001B0569" w:rsidRPr="001B0569">
        <w:rPr>
          <w:color w:val="000000" w:themeColor="text1"/>
          <w:sz w:val="20"/>
          <w:szCs w:val="20"/>
        </w:rPr>
        <w:t>Deborah Greenfield</w:t>
      </w:r>
      <w:r w:rsidR="001B0569">
        <w:rPr>
          <w:color w:val="000000" w:themeColor="text1"/>
          <w:sz w:val="20"/>
          <w:szCs w:val="20"/>
        </w:rPr>
        <w:t xml:space="preserve">; the </w:t>
      </w:r>
      <w:r w:rsidR="001B0569" w:rsidRPr="001B0569">
        <w:rPr>
          <w:color w:val="000000" w:themeColor="text1"/>
          <w:sz w:val="20"/>
          <w:szCs w:val="20"/>
        </w:rPr>
        <w:t>Special Representative of the Secretary-General for Disaster Risk Reduction and Head of the United Nations Office for Disaster Risk Reduction</w:t>
      </w:r>
      <w:r w:rsidR="001B0569">
        <w:rPr>
          <w:color w:val="000000" w:themeColor="text1"/>
          <w:sz w:val="20"/>
          <w:szCs w:val="20"/>
        </w:rPr>
        <w:t xml:space="preserve">, </w:t>
      </w:r>
      <w:r w:rsidR="001B0569" w:rsidRPr="001B0569">
        <w:rPr>
          <w:color w:val="000000" w:themeColor="text1"/>
          <w:sz w:val="20"/>
          <w:szCs w:val="20"/>
        </w:rPr>
        <w:t>Mami Mizutori</w:t>
      </w:r>
      <w:r w:rsidR="00732FEF">
        <w:rPr>
          <w:color w:val="000000" w:themeColor="text1"/>
          <w:sz w:val="20"/>
          <w:szCs w:val="20"/>
        </w:rPr>
        <w:t xml:space="preserve"> and</w:t>
      </w:r>
      <w:r w:rsidR="001B0569">
        <w:rPr>
          <w:color w:val="000000" w:themeColor="text1"/>
          <w:sz w:val="20"/>
          <w:szCs w:val="20"/>
        </w:rPr>
        <w:t xml:space="preserve"> the </w:t>
      </w:r>
      <w:r w:rsidR="001B0569" w:rsidRPr="001B0569">
        <w:rPr>
          <w:color w:val="000000" w:themeColor="text1"/>
          <w:sz w:val="20"/>
          <w:szCs w:val="20"/>
        </w:rPr>
        <w:t>Executive Director of the Secretariat of the Secretary-General</w:t>
      </w:r>
      <w:r w:rsidR="00D72627">
        <w:rPr>
          <w:color w:val="000000" w:themeColor="text1"/>
          <w:sz w:val="20"/>
          <w:szCs w:val="20"/>
        </w:rPr>
        <w:t>’</w:t>
      </w:r>
      <w:r w:rsidR="001B0569" w:rsidRPr="001B0569">
        <w:rPr>
          <w:color w:val="000000" w:themeColor="text1"/>
          <w:sz w:val="20"/>
          <w:szCs w:val="20"/>
        </w:rPr>
        <w:t>s High-level Panel on Digital Cooperation</w:t>
      </w:r>
      <w:r w:rsidR="001B0569">
        <w:rPr>
          <w:color w:val="000000" w:themeColor="text1"/>
          <w:sz w:val="20"/>
          <w:szCs w:val="20"/>
        </w:rPr>
        <w:t xml:space="preserve">, </w:t>
      </w:r>
      <w:r w:rsidR="001B0569" w:rsidRPr="001B0569">
        <w:rPr>
          <w:color w:val="000000" w:themeColor="text1"/>
          <w:sz w:val="20"/>
          <w:szCs w:val="20"/>
        </w:rPr>
        <w:t>Amandeep Singh Gill</w:t>
      </w:r>
      <w:r w:rsidR="001B0569">
        <w:rPr>
          <w:color w:val="000000" w:themeColor="text1"/>
          <w:sz w:val="20"/>
          <w:szCs w:val="20"/>
        </w:rPr>
        <w:t xml:space="preserve">. </w:t>
      </w:r>
      <w:r w:rsidR="001B0569" w:rsidRPr="001B0569">
        <w:rPr>
          <w:color w:val="000000" w:themeColor="text1"/>
          <w:sz w:val="20"/>
          <w:szCs w:val="20"/>
        </w:rPr>
        <w:t>The Council divided the panel discussion into two slots.</w:t>
      </w:r>
    </w:p>
    <w:p w14:paraId="7953AB87" w14:textId="6404EC6E" w:rsidR="006D3AFB" w:rsidRPr="0067399B" w:rsidRDefault="006D3AFB" w:rsidP="006D3AFB">
      <w:pPr>
        <w:pStyle w:val="SingleTxtG"/>
        <w:tabs>
          <w:tab w:val="left" w:pos="1701"/>
        </w:tabs>
        <w:rPr>
          <w:color w:val="000000" w:themeColor="text1"/>
          <w:sz w:val="20"/>
          <w:szCs w:val="20"/>
        </w:rPr>
      </w:pPr>
      <w:r w:rsidRPr="0067399B">
        <w:rPr>
          <w:color w:val="000000" w:themeColor="text1"/>
          <w:sz w:val="20"/>
          <w:szCs w:val="20"/>
        </w:rPr>
        <w:t>1</w:t>
      </w:r>
      <w:r w:rsidR="00CC60C2" w:rsidRPr="0067399B">
        <w:rPr>
          <w:color w:val="000000" w:themeColor="text1"/>
          <w:sz w:val="20"/>
          <w:szCs w:val="20"/>
        </w:rPr>
        <w:t>2</w:t>
      </w:r>
      <w:r w:rsidRPr="0067399B">
        <w:rPr>
          <w:color w:val="000000" w:themeColor="text1"/>
          <w:sz w:val="20"/>
          <w:szCs w:val="20"/>
        </w:rPr>
        <w:t>.</w:t>
      </w:r>
      <w:r w:rsidRPr="0067399B">
        <w:rPr>
          <w:color w:val="000000" w:themeColor="text1"/>
          <w:sz w:val="20"/>
          <w:szCs w:val="20"/>
        </w:rPr>
        <w:tab/>
        <w:t>During the ensuing panel discussion for the first slot, at the same meeting, the following made statements and asked the panellists questions:</w:t>
      </w:r>
    </w:p>
    <w:p w14:paraId="25370FD5" w14:textId="6DF588AF" w:rsidR="001B0569" w:rsidRDefault="006D3AFB" w:rsidP="001B0569">
      <w:pPr>
        <w:pStyle w:val="SingleTxtG"/>
        <w:ind w:firstLine="567"/>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 </w:t>
      </w:r>
      <w:r w:rsidR="001B0569" w:rsidRPr="001B0569">
        <w:rPr>
          <w:color w:val="000000" w:themeColor="text1"/>
          <w:sz w:val="20"/>
          <w:szCs w:val="20"/>
        </w:rPr>
        <w:t>Angola</w:t>
      </w:r>
      <w:r w:rsidR="00EE58C8">
        <w:rPr>
          <w:color w:val="000000" w:themeColor="text1"/>
          <w:sz w:val="20"/>
          <w:szCs w:val="20"/>
        </w:rPr>
        <w:t xml:space="preserve">, </w:t>
      </w:r>
      <w:r w:rsidR="001B0569" w:rsidRPr="001B0569">
        <w:rPr>
          <w:color w:val="000000" w:themeColor="text1"/>
          <w:sz w:val="20"/>
          <w:szCs w:val="20"/>
        </w:rPr>
        <w:t>Austria (</w:t>
      </w:r>
      <w:r w:rsidR="001B0569" w:rsidRPr="000E5D43">
        <w:rPr>
          <w:color w:val="000000" w:themeColor="text1"/>
          <w:sz w:val="20"/>
          <w:szCs w:val="20"/>
        </w:rPr>
        <w:t>also on behalf of</w:t>
      </w:r>
      <w:r w:rsidR="001B0569">
        <w:rPr>
          <w:color w:val="000000" w:themeColor="text1"/>
          <w:sz w:val="20"/>
          <w:szCs w:val="20"/>
        </w:rPr>
        <w:t xml:space="preserve"> </w:t>
      </w:r>
      <w:r w:rsidR="000E5D43">
        <w:rPr>
          <w:color w:val="000000" w:themeColor="text1"/>
          <w:sz w:val="20"/>
          <w:szCs w:val="20"/>
        </w:rPr>
        <w:t>Liechtenstein, Slovenia and Switzerland</w:t>
      </w:r>
      <w:r w:rsidR="001B0569" w:rsidRPr="001B0569">
        <w:rPr>
          <w:color w:val="000000" w:themeColor="text1"/>
          <w:sz w:val="20"/>
          <w:szCs w:val="20"/>
        </w:rPr>
        <w:t>)</w:t>
      </w:r>
      <w:r w:rsidR="00EE58C8">
        <w:rPr>
          <w:color w:val="000000" w:themeColor="text1"/>
          <w:sz w:val="20"/>
          <w:szCs w:val="20"/>
        </w:rPr>
        <w:t xml:space="preserve">, </w:t>
      </w:r>
      <w:r w:rsidR="001B0569" w:rsidRPr="001B0569">
        <w:rPr>
          <w:color w:val="000000" w:themeColor="text1"/>
          <w:sz w:val="20"/>
          <w:szCs w:val="20"/>
        </w:rPr>
        <w:t>Bahamas</w:t>
      </w:r>
      <w:r w:rsidR="00EE58C8">
        <w:rPr>
          <w:color w:val="000000" w:themeColor="text1"/>
          <w:sz w:val="20"/>
          <w:szCs w:val="20"/>
        </w:rPr>
        <w:t xml:space="preserve">, Brazil, </w:t>
      </w:r>
      <w:r w:rsidR="001B0569" w:rsidRPr="001B0569">
        <w:rPr>
          <w:color w:val="000000" w:themeColor="text1"/>
          <w:sz w:val="20"/>
          <w:szCs w:val="20"/>
        </w:rPr>
        <w:t>Costa Rica</w:t>
      </w:r>
      <w:r w:rsidR="00AB550D">
        <w:rPr>
          <w:rStyle w:val="FootnoteReference"/>
          <w:color w:val="000000" w:themeColor="text1"/>
          <w:szCs w:val="20"/>
        </w:rPr>
        <w:footnoteReference w:id="2"/>
      </w:r>
      <w:r w:rsidR="001B0569" w:rsidRPr="001B0569">
        <w:rPr>
          <w:color w:val="000000" w:themeColor="text1"/>
          <w:sz w:val="20"/>
          <w:szCs w:val="20"/>
        </w:rPr>
        <w:t xml:space="preserve"> </w:t>
      </w:r>
      <w:r w:rsidR="001B0569" w:rsidRPr="00EE58C8">
        <w:rPr>
          <w:color w:val="000000" w:themeColor="text1"/>
          <w:sz w:val="20"/>
          <w:szCs w:val="20"/>
        </w:rPr>
        <w:t xml:space="preserve">(also on behalf of </w:t>
      </w:r>
      <w:r w:rsidR="00EE58C8">
        <w:rPr>
          <w:color w:val="000000" w:themeColor="text1"/>
          <w:sz w:val="20"/>
          <w:szCs w:val="20"/>
        </w:rPr>
        <w:t>Argentina, Brazil, Chile, Colombia, Peru and Uruguay</w:t>
      </w:r>
      <w:r w:rsidR="001B0569" w:rsidRPr="00EE58C8">
        <w:rPr>
          <w:color w:val="000000" w:themeColor="text1"/>
          <w:sz w:val="20"/>
          <w:szCs w:val="20"/>
        </w:rPr>
        <w:t>)</w:t>
      </w:r>
      <w:r w:rsidR="00EE58C8">
        <w:rPr>
          <w:color w:val="000000" w:themeColor="text1"/>
          <w:sz w:val="20"/>
          <w:szCs w:val="20"/>
        </w:rPr>
        <w:t xml:space="preserve">, </w:t>
      </w:r>
      <w:r w:rsidR="001B0569" w:rsidRPr="001B0569">
        <w:rPr>
          <w:color w:val="000000" w:themeColor="text1"/>
          <w:sz w:val="20"/>
          <w:szCs w:val="20"/>
        </w:rPr>
        <w:t>Latvia</w:t>
      </w:r>
      <w:r w:rsidR="00AB550D">
        <w:rPr>
          <w:rStyle w:val="FootnoteReference"/>
          <w:color w:val="000000" w:themeColor="text1"/>
          <w:szCs w:val="20"/>
        </w:rPr>
        <w:footnoteReference w:id="3"/>
      </w:r>
      <w:r w:rsidR="001B0569" w:rsidRPr="001B0569">
        <w:rPr>
          <w:color w:val="000000" w:themeColor="text1"/>
          <w:sz w:val="20"/>
          <w:szCs w:val="20"/>
        </w:rPr>
        <w:t xml:space="preserve"> (</w:t>
      </w:r>
      <w:r w:rsidR="001B0569" w:rsidRPr="00EE58C8">
        <w:rPr>
          <w:color w:val="000000" w:themeColor="text1"/>
          <w:sz w:val="20"/>
          <w:szCs w:val="20"/>
        </w:rPr>
        <w:t>also on behalf of</w:t>
      </w:r>
      <w:r w:rsidR="001B0569">
        <w:rPr>
          <w:color w:val="000000" w:themeColor="text1"/>
          <w:sz w:val="20"/>
          <w:szCs w:val="20"/>
        </w:rPr>
        <w:t xml:space="preserve"> </w:t>
      </w:r>
      <w:r w:rsidR="00EE58C8">
        <w:rPr>
          <w:color w:val="000000" w:themeColor="text1"/>
          <w:sz w:val="20"/>
          <w:szCs w:val="20"/>
        </w:rPr>
        <w:t xml:space="preserve">Denmark, </w:t>
      </w:r>
      <w:r w:rsidR="0035138F">
        <w:rPr>
          <w:color w:val="000000" w:themeColor="text1"/>
          <w:sz w:val="20"/>
          <w:szCs w:val="20"/>
        </w:rPr>
        <w:t xml:space="preserve">Estonia, </w:t>
      </w:r>
      <w:r w:rsidR="00EE58C8">
        <w:rPr>
          <w:color w:val="000000" w:themeColor="text1"/>
          <w:sz w:val="20"/>
          <w:szCs w:val="20"/>
        </w:rPr>
        <w:t>Finland, Iceland, Lithuania, Norway and Sweden</w:t>
      </w:r>
      <w:r w:rsidR="001B0569" w:rsidRPr="001B0569">
        <w:rPr>
          <w:color w:val="000000" w:themeColor="text1"/>
          <w:sz w:val="20"/>
          <w:szCs w:val="20"/>
        </w:rPr>
        <w:t>)</w:t>
      </w:r>
      <w:r w:rsidR="00EE58C8">
        <w:rPr>
          <w:color w:val="000000" w:themeColor="text1"/>
          <w:sz w:val="20"/>
          <w:szCs w:val="20"/>
        </w:rPr>
        <w:t xml:space="preserve">, Mexico, </w:t>
      </w:r>
      <w:r w:rsidR="001B0569" w:rsidRPr="001B0569">
        <w:rPr>
          <w:color w:val="000000" w:themeColor="text1"/>
          <w:sz w:val="20"/>
          <w:szCs w:val="20"/>
        </w:rPr>
        <w:t>South Africa</w:t>
      </w:r>
      <w:r w:rsidR="00EE58C8">
        <w:rPr>
          <w:color w:val="000000" w:themeColor="text1"/>
          <w:sz w:val="20"/>
          <w:szCs w:val="20"/>
        </w:rPr>
        <w:t xml:space="preserve">, </w:t>
      </w:r>
      <w:r w:rsidR="001B0569" w:rsidRPr="001B0569">
        <w:rPr>
          <w:color w:val="000000" w:themeColor="text1"/>
          <w:sz w:val="20"/>
          <w:szCs w:val="20"/>
        </w:rPr>
        <w:t xml:space="preserve">Venezuela </w:t>
      </w:r>
      <w:r w:rsidR="001B0569" w:rsidRPr="0067399B">
        <w:rPr>
          <w:color w:val="000000" w:themeColor="text1"/>
          <w:sz w:val="20"/>
          <w:szCs w:val="20"/>
        </w:rPr>
        <w:t>(Bolivarian Republic of)</w:t>
      </w:r>
      <w:r w:rsidR="00AB550D">
        <w:rPr>
          <w:rStyle w:val="FootnoteReference"/>
          <w:color w:val="000000" w:themeColor="text1"/>
          <w:szCs w:val="20"/>
        </w:rPr>
        <w:footnoteReference w:id="4"/>
      </w:r>
      <w:r w:rsidR="001B0569" w:rsidRPr="0067399B">
        <w:rPr>
          <w:color w:val="000000" w:themeColor="text1"/>
          <w:sz w:val="20"/>
          <w:szCs w:val="20"/>
        </w:rPr>
        <w:t xml:space="preserve"> (on behalf of the </w:t>
      </w:r>
      <w:r w:rsidR="00DB359F" w:rsidRPr="0040040E">
        <w:rPr>
          <w:color w:val="000000" w:themeColor="text1"/>
          <w:sz w:val="20"/>
          <w:szCs w:val="20"/>
        </w:rPr>
        <w:t>Movement of Non-Aligned Countries</w:t>
      </w:r>
      <w:r w:rsidR="00BE3BC7">
        <w:rPr>
          <w:color w:val="000000" w:themeColor="text1"/>
          <w:sz w:val="20"/>
          <w:szCs w:val="20"/>
        </w:rPr>
        <w:t xml:space="preserve"> except </w:t>
      </w:r>
      <w:r w:rsidR="00BE3BC7" w:rsidRPr="00BE3BC7">
        <w:rPr>
          <w:color w:val="000000" w:themeColor="text1"/>
          <w:sz w:val="20"/>
          <w:szCs w:val="20"/>
        </w:rPr>
        <w:t>Colombia, Ecuador and Peru</w:t>
      </w:r>
      <w:r w:rsidR="001B0569" w:rsidRPr="0067399B">
        <w:rPr>
          <w:color w:val="000000" w:themeColor="text1"/>
          <w:sz w:val="20"/>
          <w:szCs w:val="20"/>
        </w:rPr>
        <w:t>)</w:t>
      </w:r>
      <w:r w:rsidR="00EE58C8">
        <w:rPr>
          <w:color w:val="000000" w:themeColor="text1"/>
          <w:sz w:val="20"/>
          <w:szCs w:val="20"/>
        </w:rPr>
        <w:t>;</w:t>
      </w:r>
    </w:p>
    <w:p w14:paraId="02ACCB1F" w14:textId="6C720DFD" w:rsidR="006D3AFB" w:rsidRPr="0067399B" w:rsidRDefault="006D3AFB" w:rsidP="006D3AFB">
      <w:pPr>
        <w:pStyle w:val="SingleTxtG"/>
        <w:ind w:firstLine="567"/>
        <w:rPr>
          <w:color w:val="000000" w:themeColor="text1"/>
          <w:sz w:val="20"/>
          <w:szCs w:val="20"/>
        </w:rPr>
      </w:pPr>
      <w:r w:rsidRPr="0067399B">
        <w:rPr>
          <w:color w:val="000000" w:themeColor="text1"/>
          <w:sz w:val="20"/>
          <w:szCs w:val="20"/>
        </w:rPr>
        <w:t>(b)</w:t>
      </w:r>
      <w:r w:rsidRPr="0067399B">
        <w:rPr>
          <w:color w:val="000000" w:themeColor="text1"/>
          <w:sz w:val="20"/>
          <w:szCs w:val="20"/>
        </w:rPr>
        <w:tab/>
        <w:t>Representatives of observer States:</w:t>
      </w:r>
      <w:r w:rsidR="003F07AE">
        <w:rPr>
          <w:color w:val="000000" w:themeColor="text1"/>
          <w:sz w:val="20"/>
          <w:szCs w:val="20"/>
        </w:rPr>
        <w:t xml:space="preserve"> Fiji,</w:t>
      </w:r>
      <w:r w:rsidRPr="0067399B">
        <w:rPr>
          <w:color w:val="000000" w:themeColor="text1"/>
          <w:sz w:val="20"/>
          <w:szCs w:val="20"/>
        </w:rPr>
        <w:t xml:space="preserve"> </w:t>
      </w:r>
      <w:r w:rsidR="003F07AE" w:rsidRPr="001B0569">
        <w:rPr>
          <w:color w:val="000000" w:themeColor="text1"/>
          <w:sz w:val="20"/>
          <w:szCs w:val="20"/>
        </w:rPr>
        <w:t>Ireland</w:t>
      </w:r>
      <w:r w:rsidR="003F07AE">
        <w:rPr>
          <w:color w:val="000000" w:themeColor="text1"/>
          <w:sz w:val="20"/>
          <w:szCs w:val="20"/>
        </w:rPr>
        <w:t xml:space="preserve">, </w:t>
      </w:r>
      <w:r w:rsidR="003F07AE" w:rsidRPr="001B0569">
        <w:rPr>
          <w:color w:val="000000" w:themeColor="text1"/>
          <w:sz w:val="20"/>
          <w:szCs w:val="20"/>
        </w:rPr>
        <w:t>Namibia</w:t>
      </w:r>
      <w:r w:rsidRPr="0067399B">
        <w:rPr>
          <w:color w:val="000000" w:themeColor="text1"/>
          <w:sz w:val="20"/>
          <w:szCs w:val="20"/>
        </w:rPr>
        <w:t>;</w:t>
      </w:r>
    </w:p>
    <w:p w14:paraId="39F91D5C" w14:textId="46295587" w:rsidR="006D3AFB" w:rsidRPr="0067399B" w:rsidRDefault="006D3AFB" w:rsidP="006D3AFB">
      <w:pPr>
        <w:pStyle w:val="SingleTxtG"/>
        <w:ind w:firstLine="567"/>
        <w:rPr>
          <w:color w:val="000000" w:themeColor="text1"/>
          <w:sz w:val="20"/>
          <w:szCs w:val="20"/>
        </w:rPr>
      </w:pPr>
      <w:r w:rsidRPr="0067399B">
        <w:rPr>
          <w:color w:val="000000" w:themeColor="text1"/>
          <w:sz w:val="20"/>
          <w:szCs w:val="20"/>
        </w:rPr>
        <w:t>(c)</w:t>
      </w:r>
      <w:r w:rsidRPr="0067399B">
        <w:rPr>
          <w:color w:val="000000" w:themeColor="text1"/>
          <w:sz w:val="20"/>
          <w:szCs w:val="20"/>
        </w:rPr>
        <w:tab/>
        <w:t>Observer for an intergovernmental organization: European Union</w:t>
      </w:r>
      <w:r w:rsidR="003D542C" w:rsidRPr="0067399B">
        <w:rPr>
          <w:color w:val="000000" w:themeColor="text1"/>
          <w:sz w:val="20"/>
          <w:szCs w:val="20"/>
        </w:rPr>
        <w:t>;</w:t>
      </w:r>
    </w:p>
    <w:p w14:paraId="153EC4D4" w14:textId="40532B3C" w:rsidR="003F07AE" w:rsidRPr="0067399B" w:rsidRDefault="006D3AFB" w:rsidP="003F07AE">
      <w:pPr>
        <w:pStyle w:val="SingleTxtG"/>
        <w:ind w:firstLine="567"/>
        <w:rPr>
          <w:color w:val="000000" w:themeColor="text1"/>
          <w:sz w:val="20"/>
          <w:szCs w:val="20"/>
        </w:rPr>
      </w:pPr>
      <w:r w:rsidRPr="0067399B">
        <w:rPr>
          <w:color w:val="000000" w:themeColor="text1"/>
          <w:sz w:val="20"/>
          <w:szCs w:val="20"/>
        </w:rPr>
        <w:t>(</w:t>
      </w:r>
      <w:r w:rsidR="003F07AE">
        <w:rPr>
          <w:color w:val="000000" w:themeColor="text1"/>
          <w:sz w:val="20"/>
          <w:szCs w:val="20"/>
        </w:rPr>
        <w:t>d</w:t>
      </w:r>
      <w:r w:rsidRPr="0067399B">
        <w:rPr>
          <w:color w:val="000000" w:themeColor="text1"/>
          <w:sz w:val="20"/>
          <w:szCs w:val="20"/>
        </w:rPr>
        <w:t>)</w:t>
      </w:r>
      <w:r w:rsidRPr="0067399B">
        <w:rPr>
          <w:color w:val="000000" w:themeColor="text1"/>
          <w:sz w:val="20"/>
          <w:szCs w:val="20"/>
        </w:rPr>
        <w:tab/>
        <w:t>Observers for non-governmental organizations:</w:t>
      </w:r>
      <w:r w:rsidRPr="0067399B">
        <w:rPr>
          <w:color w:val="000000" w:themeColor="text1"/>
          <w:sz w:val="20"/>
          <w:szCs w:val="20"/>
          <w:lang w:eastAsia="en-GB"/>
        </w:rPr>
        <w:t xml:space="preserve"> </w:t>
      </w:r>
      <w:r w:rsidR="003F07AE" w:rsidRPr="003F07AE">
        <w:rPr>
          <w:color w:val="000000" w:themeColor="text1"/>
          <w:sz w:val="20"/>
          <w:szCs w:val="20"/>
          <w:lang w:eastAsia="en-GB"/>
        </w:rPr>
        <w:t>Amnesty International</w:t>
      </w:r>
      <w:r w:rsidR="003F07AE">
        <w:rPr>
          <w:color w:val="000000" w:themeColor="text1"/>
          <w:sz w:val="20"/>
          <w:szCs w:val="20"/>
          <w:lang w:eastAsia="en-GB"/>
        </w:rPr>
        <w:t xml:space="preserve">; </w:t>
      </w:r>
      <w:r w:rsidR="003F07AE" w:rsidRPr="003F07AE">
        <w:rPr>
          <w:color w:val="000000" w:themeColor="text1"/>
          <w:sz w:val="20"/>
          <w:szCs w:val="20"/>
          <w:lang w:eastAsia="en-GB"/>
        </w:rPr>
        <w:t>International Service for Human Rights</w:t>
      </w:r>
      <w:r w:rsidR="003F07AE">
        <w:rPr>
          <w:color w:val="000000" w:themeColor="text1"/>
          <w:sz w:val="20"/>
          <w:szCs w:val="20"/>
          <w:lang w:eastAsia="en-GB"/>
        </w:rPr>
        <w:t xml:space="preserve">; </w:t>
      </w:r>
      <w:r w:rsidR="003F07AE" w:rsidRPr="003F07AE">
        <w:rPr>
          <w:color w:val="000000" w:themeColor="text1"/>
          <w:sz w:val="20"/>
          <w:szCs w:val="20"/>
          <w:lang w:eastAsia="en-GB"/>
        </w:rPr>
        <w:t>Verein Sudwind Entwicklungspolitik</w:t>
      </w:r>
      <w:r w:rsidR="003F07AE" w:rsidRPr="0067399B">
        <w:rPr>
          <w:color w:val="000000" w:themeColor="text1"/>
          <w:sz w:val="20"/>
          <w:szCs w:val="20"/>
          <w:lang w:eastAsia="en-GB"/>
        </w:rPr>
        <w:t>.</w:t>
      </w:r>
    </w:p>
    <w:p w14:paraId="7A2B51CB" w14:textId="7844C5A0" w:rsidR="006D3AFB" w:rsidRPr="0067399B" w:rsidRDefault="006D3AFB" w:rsidP="006D3AFB">
      <w:pPr>
        <w:pStyle w:val="SingleTxtG"/>
        <w:tabs>
          <w:tab w:val="left" w:pos="1701"/>
        </w:tabs>
        <w:rPr>
          <w:color w:val="000000" w:themeColor="text1"/>
          <w:sz w:val="20"/>
          <w:szCs w:val="20"/>
        </w:rPr>
      </w:pPr>
      <w:r w:rsidRPr="0067399B">
        <w:rPr>
          <w:color w:val="000000" w:themeColor="text1"/>
          <w:sz w:val="20"/>
          <w:szCs w:val="20"/>
        </w:rPr>
        <w:t>1</w:t>
      </w:r>
      <w:r w:rsidR="00CC60C2" w:rsidRPr="0067399B">
        <w:rPr>
          <w:color w:val="000000" w:themeColor="text1"/>
          <w:sz w:val="20"/>
          <w:szCs w:val="20"/>
        </w:rPr>
        <w:t>3</w:t>
      </w:r>
      <w:r w:rsidRPr="0067399B">
        <w:rPr>
          <w:color w:val="000000" w:themeColor="text1"/>
          <w:sz w:val="20"/>
          <w:szCs w:val="20"/>
        </w:rPr>
        <w:t>.</w:t>
      </w:r>
      <w:r w:rsidRPr="0067399B">
        <w:rPr>
          <w:color w:val="000000" w:themeColor="text1"/>
          <w:sz w:val="20"/>
          <w:szCs w:val="20"/>
        </w:rPr>
        <w:tab/>
        <w:t>During the discussion for the second slot, at the same meeting, the following made statements and asked the panellists questions:</w:t>
      </w:r>
    </w:p>
    <w:p w14:paraId="001A966E" w14:textId="2B50BDBE" w:rsidR="008A3612" w:rsidRPr="003F07AE" w:rsidRDefault="006D3AFB" w:rsidP="008A3612">
      <w:pPr>
        <w:pStyle w:val="SingleTxtG"/>
        <w:ind w:firstLine="567"/>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 </w:t>
      </w:r>
      <w:r w:rsidR="003F07AE" w:rsidRPr="003F07AE">
        <w:rPr>
          <w:color w:val="000000" w:themeColor="text1"/>
          <w:sz w:val="20"/>
          <w:szCs w:val="20"/>
        </w:rPr>
        <w:t>Australia</w:t>
      </w:r>
      <w:r w:rsidR="003F07AE">
        <w:rPr>
          <w:color w:val="000000" w:themeColor="text1"/>
          <w:sz w:val="20"/>
          <w:szCs w:val="20"/>
        </w:rPr>
        <w:t xml:space="preserve">, </w:t>
      </w:r>
      <w:r w:rsidR="008A3612" w:rsidRPr="003F07AE">
        <w:rPr>
          <w:color w:val="000000" w:themeColor="text1"/>
          <w:sz w:val="20"/>
          <w:szCs w:val="20"/>
        </w:rPr>
        <w:t>Qatar</w:t>
      </w:r>
      <w:r w:rsidR="008A3612">
        <w:rPr>
          <w:color w:val="000000" w:themeColor="text1"/>
          <w:sz w:val="20"/>
          <w:szCs w:val="20"/>
        </w:rPr>
        <w:t>,</w:t>
      </w:r>
      <w:r w:rsidR="008A3612" w:rsidRPr="008A3612">
        <w:rPr>
          <w:color w:val="000000" w:themeColor="text1"/>
          <w:sz w:val="20"/>
          <w:szCs w:val="20"/>
        </w:rPr>
        <w:t xml:space="preserve"> </w:t>
      </w:r>
      <w:r w:rsidR="008A3612">
        <w:rPr>
          <w:color w:val="000000" w:themeColor="text1"/>
          <w:sz w:val="20"/>
          <w:szCs w:val="20"/>
        </w:rPr>
        <w:t>Uruguay;</w:t>
      </w:r>
    </w:p>
    <w:p w14:paraId="405B4307" w14:textId="7E3AE63C" w:rsidR="006D3AFB" w:rsidRPr="0067399B" w:rsidRDefault="006D3AFB" w:rsidP="006D3AFB">
      <w:pPr>
        <w:pStyle w:val="SingleTxtG"/>
        <w:ind w:firstLine="567"/>
        <w:rPr>
          <w:color w:val="000000" w:themeColor="text1"/>
          <w:sz w:val="20"/>
          <w:szCs w:val="20"/>
        </w:rPr>
      </w:pPr>
      <w:r w:rsidRPr="0067399B">
        <w:rPr>
          <w:color w:val="000000" w:themeColor="text1"/>
          <w:sz w:val="20"/>
          <w:szCs w:val="20"/>
        </w:rPr>
        <w:t>(b)</w:t>
      </w:r>
      <w:r w:rsidRPr="0067399B">
        <w:rPr>
          <w:color w:val="000000" w:themeColor="text1"/>
          <w:sz w:val="20"/>
          <w:szCs w:val="20"/>
        </w:rPr>
        <w:tab/>
        <w:t xml:space="preserve">Representatives of observer States: </w:t>
      </w:r>
      <w:r w:rsidR="008A3612">
        <w:rPr>
          <w:color w:val="000000" w:themeColor="text1"/>
          <w:sz w:val="20"/>
          <w:szCs w:val="20"/>
        </w:rPr>
        <w:t xml:space="preserve">Botswana, </w:t>
      </w:r>
      <w:r w:rsidR="008A3612" w:rsidRPr="003F07AE">
        <w:rPr>
          <w:color w:val="000000" w:themeColor="text1"/>
          <w:sz w:val="20"/>
          <w:szCs w:val="20"/>
        </w:rPr>
        <w:t>Ecuador</w:t>
      </w:r>
      <w:r w:rsidR="008A3612">
        <w:rPr>
          <w:color w:val="000000" w:themeColor="text1"/>
          <w:sz w:val="20"/>
          <w:szCs w:val="20"/>
        </w:rPr>
        <w:t xml:space="preserve">, France, Greece, Indonesia, </w:t>
      </w:r>
      <w:r w:rsidR="008A3612" w:rsidRPr="003F07AE">
        <w:rPr>
          <w:color w:val="000000" w:themeColor="text1"/>
          <w:sz w:val="20"/>
          <w:szCs w:val="20"/>
        </w:rPr>
        <w:t>Jamaica</w:t>
      </w:r>
      <w:r w:rsidR="008A3612">
        <w:rPr>
          <w:color w:val="000000" w:themeColor="text1"/>
          <w:sz w:val="20"/>
          <w:szCs w:val="20"/>
        </w:rPr>
        <w:t xml:space="preserve">, </w:t>
      </w:r>
      <w:r w:rsidR="008A3612" w:rsidRPr="003F07AE">
        <w:rPr>
          <w:color w:val="000000" w:themeColor="text1"/>
          <w:sz w:val="20"/>
          <w:szCs w:val="20"/>
        </w:rPr>
        <w:t>Maldives</w:t>
      </w:r>
      <w:r w:rsidR="008A3612">
        <w:rPr>
          <w:color w:val="000000" w:themeColor="text1"/>
          <w:sz w:val="20"/>
          <w:szCs w:val="20"/>
        </w:rPr>
        <w:t xml:space="preserve">, </w:t>
      </w:r>
      <w:r w:rsidR="008A3612" w:rsidRPr="003F07AE">
        <w:rPr>
          <w:color w:val="000000" w:themeColor="text1"/>
          <w:sz w:val="20"/>
          <w:szCs w:val="20"/>
        </w:rPr>
        <w:t>Sri Lanka</w:t>
      </w:r>
      <w:r w:rsidR="008A3612">
        <w:rPr>
          <w:color w:val="000000" w:themeColor="text1"/>
          <w:sz w:val="20"/>
          <w:szCs w:val="20"/>
        </w:rPr>
        <w:t xml:space="preserve">, </w:t>
      </w:r>
      <w:r w:rsidR="008A3612" w:rsidRPr="003F07AE">
        <w:rPr>
          <w:color w:val="000000" w:themeColor="text1"/>
          <w:sz w:val="20"/>
          <w:szCs w:val="20"/>
        </w:rPr>
        <w:t>Viet Nam</w:t>
      </w:r>
      <w:r w:rsidRPr="0067399B">
        <w:rPr>
          <w:color w:val="000000" w:themeColor="text1"/>
          <w:sz w:val="20"/>
          <w:szCs w:val="20"/>
        </w:rPr>
        <w:t>;</w:t>
      </w:r>
    </w:p>
    <w:p w14:paraId="00516C73" w14:textId="1B3BA376" w:rsidR="00C607F1" w:rsidRPr="0067399B" w:rsidRDefault="00C607F1" w:rsidP="00732FEF">
      <w:pPr>
        <w:pStyle w:val="SingleTxtG"/>
        <w:ind w:firstLine="567"/>
        <w:rPr>
          <w:color w:val="000000" w:themeColor="text1"/>
          <w:sz w:val="20"/>
          <w:szCs w:val="20"/>
        </w:rPr>
      </w:pPr>
      <w:r w:rsidRPr="0067399B">
        <w:rPr>
          <w:color w:val="000000" w:themeColor="text1"/>
          <w:sz w:val="20"/>
          <w:szCs w:val="20"/>
        </w:rPr>
        <w:t>(</w:t>
      </w:r>
      <w:r w:rsidR="008A3612">
        <w:rPr>
          <w:color w:val="000000" w:themeColor="text1"/>
          <w:sz w:val="20"/>
          <w:szCs w:val="20"/>
        </w:rPr>
        <w:t>c</w:t>
      </w:r>
      <w:r w:rsidRPr="0067399B">
        <w:rPr>
          <w:color w:val="000000" w:themeColor="text1"/>
          <w:sz w:val="20"/>
          <w:szCs w:val="20"/>
        </w:rPr>
        <w:t>)</w:t>
      </w:r>
      <w:r w:rsidRPr="0067399B">
        <w:rPr>
          <w:color w:val="000000" w:themeColor="text1"/>
          <w:sz w:val="20"/>
          <w:szCs w:val="20"/>
        </w:rPr>
        <w:tab/>
        <w:t>Observers for non-governmental organizations:</w:t>
      </w:r>
      <w:r w:rsidRPr="0067399B">
        <w:rPr>
          <w:color w:val="000000" w:themeColor="text1"/>
          <w:sz w:val="20"/>
          <w:szCs w:val="20"/>
          <w:lang w:eastAsia="en-GB"/>
        </w:rPr>
        <w:t xml:space="preserve"> </w:t>
      </w:r>
      <w:r w:rsidR="008A3612" w:rsidRPr="008A3612">
        <w:rPr>
          <w:color w:val="000000" w:themeColor="text1"/>
          <w:sz w:val="20"/>
          <w:szCs w:val="20"/>
        </w:rPr>
        <w:t>iuventum e.V.</w:t>
      </w:r>
      <w:r w:rsidR="008A3612">
        <w:rPr>
          <w:color w:val="000000" w:themeColor="text1"/>
          <w:sz w:val="20"/>
          <w:szCs w:val="20"/>
        </w:rPr>
        <w:t xml:space="preserve">; </w:t>
      </w:r>
      <w:r w:rsidR="008A3612" w:rsidRPr="008A3612">
        <w:rPr>
          <w:color w:val="000000" w:themeColor="text1"/>
          <w:sz w:val="20"/>
          <w:szCs w:val="20"/>
        </w:rPr>
        <w:t xml:space="preserve">Organisation </w:t>
      </w:r>
      <w:proofErr w:type="gramStart"/>
      <w:r w:rsidR="008A3612" w:rsidRPr="008A3612">
        <w:rPr>
          <w:color w:val="000000" w:themeColor="text1"/>
          <w:sz w:val="20"/>
          <w:szCs w:val="20"/>
        </w:rPr>
        <w:t>internationale</w:t>
      </w:r>
      <w:proofErr w:type="gramEnd"/>
      <w:r w:rsidR="008A3612" w:rsidRPr="008A3612">
        <w:rPr>
          <w:color w:val="000000" w:themeColor="text1"/>
          <w:sz w:val="20"/>
          <w:szCs w:val="20"/>
        </w:rPr>
        <w:t xml:space="preserve"> pour les pays les moins avancés (OIPMA)</w:t>
      </w:r>
      <w:r w:rsidR="00732FEF">
        <w:rPr>
          <w:color w:val="000000" w:themeColor="text1"/>
          <w:sz w:val="20"/>
          <w:szCs w:val="20"/>
        </w:rPr>
        <w:t>;</w:t>
      </w:r>
      <w:r w:rsidR="00732FEF" w:rsidRPr="00732FEF">
        <w:rPr>
          <w:color w:val="000000" w:themeColor="text1"/>
          <w:sz w:val="20"/>
          <w:szCs w:val="20"/>
        </w:rPr>
        <w:t xml:space="preserve"> </w:t>
      </w:r>
      <w:r w:rsidR="00732FEF" w:rsidRPr="008A3612">
        <w:rPr>
          <w:color w:val="000000" w:themeColor="text1"/>
          <w:sz w:val="20"/>
          <w:szCs w:val="20"/>
        </w:rPr>
        <w:t>United Nations Watch</w:t>
      </w:r>
      <w:r w:rsidR="00732FEF">
        <w:rPr>
          <w:color w:val="000000" w:themeColor="text1"/>
          <w:sz w:val="20"/>
          <w:szCs w:val="20"/>
        </w:rPr>
        <w:t>.</w:t>
      </w:r>
    </w:p>
    <w:p w14:paraId="02B6EDDE" w14:textId="1FAB1253" w:rsidR="008A3612" w:rsidRPr="0067399B" w:rsidRDefault="00F11B08" w:rsidP="006034DA">
      <w:pPr>
        <w:spacing w:after="120"/>
        <w:ind w:left="1134" w:right="1134"/>
        <w:jc w:val="both"/>
        <w:rPr>
          <w:color w:val="000000" w:themeColor="text1"/>
          <w:sz w:val="20"/>
          <w:szCs w:val="20"/>
        </w:rPr>
      </w:pPr>
      <w:r w:rsidRPr="0067399B">
        <w:rPr>
          <w:color w:val="000000" w:themeColor="text1"/>
          <w:sz w:val="20"/>
          <w:szCs w:val="20"/>
        </w:rPr>
        <w:t>1</w:t>
      </w:r>
      <w:r w:rsidR="00CC60C2" w:rsidRPr="0067399B">
        <w:rPr>
          <w:color w:val="000000" w:themeColor="text1"/>
          <w:sz w:val="20"/>
          <w:szCs w:val="20"/>
        </w:rPr>
        <w:t>4</w:t>
      </w:r>
      <w:r w:rsidRPr="0067399B">
        <w:rPr>
          <w:color w:val="000000" w:themeColor="text1"/>
          <w:sz w:val="20"/>
          <w:szCs w:val="20"/>
        </w:rPr>
        <w:t>.</w:t>
      </w:r>
      <w:r w:rsidRPr="0067399B">
        <w:rPr>
          <w:color w:val="000000" w:themeColor="text1"/>
          <w:sz w:val="20"/>
          <w:szCs w:val="20"/>
        </w:rPr>
        <w:tab/>
        <w:t xml:space="preserve">At the same meeting, the panellists answered questions and made their concluding remarks. </w:t>
      </w:r>
      <w:r w:rsidR="000E5D43">
        <w:rPr>
          <w:color w:val="000000" w:themeColor="text1"/>
          <w:sz w:val="20"/>
          <w:szCs w:val="20"/>
        </w:rPr>
        <w:tab/>
      </w:r>
      <w:r w:rsidR="000E5D43" w:rsidRPr="0067399B">
        <w:rPr>
          <w:color w:val="000000" w:themeColor="text1"/>
          <w:sz w:val="20"/>
          <w:szCs w:val="20"/>
        </w:rPr>
        <w:t xml:space="preserve"> </w:t>
      </w:r>
    </w:p>
    <w:p w14:paraId="2EA587A7" w14:textId="77777777" w:rsidR="00F11B08" w:rsidRPr="00C16037" w:rsidRDefault="00F11B08" w:rsidP="00F11B08">
      <w:pPr>
        <w:pStyle w:val="H1G"/>
        <w:rPr>
          <w:color w:val="000000" w:themeColor="text1"/>
        </w:rPr>
      </w:pPr>
      <w:r w:rsidRPr="00C16037">
        <w:rPr>
          <w:color w:val="000000" w:themeColor="text1"/>
        </w:rPr>
        <w:tab/>
        <w:t>D.</w:t>
      </w:r>
      <w:r w:rsidRPr="00C16037">
        <w:rPr>
          <w:color w:val="000000" w:themeColor="text1"/>
        </w:rPr>
        <w:tab/>
        <w:t>General segment</w:t>
      </w:r>
    </w:p>
    <w:p w14:paraId="2EA587A8" w14:textId="0778AAE8" w:rsidR="00F11B08" w:rsidRPr="0067399B" w:rsidRDefault="00F11B08" w:rsidP="00F11B08">
      <w:pPr>
        <w:ind w:left="1134" w:right="1134"/>
        <w:rPr>
          <w:color w:val="000000" w:themeColor="text1"/>
          <w:sz w:val="20"/>
          <w:szCs w:val="20"/>
        </w:rPr>
      </w:pPr>
      <w:r w:rsidRPr="0067399B">
        <w:rPr>
          <w:color w:val="000000" w:themeColor="text1"/>
          <w:sz w:val="20"/>
          <w:szCs w:val="20"/>
        </w:rPr>
        <w:t>1</w:t>
      </w:r>
      <w:r w:rsidR="00CC60C2" w:rsidRPr="0067399B">
        <w:rPr>
          <w:color w:val="000000" w:themeColor="text1"/>
          <w:sz w:val="20"/>
          <w:szCs w:val="20"/>
        </w:rPr>
        <w:t>5</w:t>
      </w:r>
      <w:r w:rsidRPr="0067399B">
        <w:rPr>
          <w:color w:val="000000" w:themeColor="text1"/>
          <w:sz w:val="20"/>
          <w:szCs w:val="20"/>
        </w:rPr>
        <w:t>.</w:t>
      </w:r>
      <w:r w:rsidRPr="0067399B">
        <w:rPr>
          <w:color w:val="000000" w:themeColor="text1"/>
          <w:sz w:val="20"/>
          <w:szCs w:val="20"/>
        </w:rPr>
        <w:tab/>
        <w:t xml:space="preserve">At </w:t>
      </w:r>
      <w:r w:rsidR="00C607F1" w:rsidRPr="0067399B">
        <w:rPr>
          <w:color w:val="000000" w:themeColor="text1"/>
          <w:sz w:val="20"/>
          <w:szCs w:val="20"/>
        </w:rPr>
        <w:t xml:space="preserve">the </w:t>
      </w:r>
      <w:r w:rsidR="00C607F1" w:rsidRPr="00B6292D">
        <w:rPr>
          <w:color w:val="000000" w:themeColor="text1"/>
          <w:sz w:val="20"/>
          <w:szCs w:val="20"/>
        </w:rPr>
        <w:t xml:space="preserve">8th meeting, on </w:t>
      </w:r>
      <w:r w:rsidR="00B6292D" w:rsidRPr="00B6292D">
        <w:rPr>
          <w:color w:val="000000" w:themeColor="text1"/>
          <w:sz w:val="20"/>
          <w:szCs w:val="20"/>
        </w:rPr>
        <w:t>27</w:t>
      </w:r>
      <w:r w:rsidR="007B6020" w:rsidRPr="00B6292D">
        <w:rPr>
          <w:color w:val="000000" w:themeColor="text1"/>
          <w:sz w:val="20"/>
          <w:szCs w:val="20"/>
        </w:rPr>
        <w:t xml:space="preserve"> February</w:t>
      </w:r>
      <w:r w:rsidR="00C607F1" w:rsidRPr="00B6292D">
        <w:rPr>
          <w:color w:val="000000" w:themeColor="text1"/>
          <w:sz w:val="20"/>
          <w:szCs w:val="20"/>
        </w:rPr>
        <w:t xml:space="preserve"> </w:t>
      </w:r>
      <w:r w:rsidR="00141AFC" w:rsidRPr="00B6292D">
        <w:rPr>
          <w:color w:val="000000" w:themeColor="text1"/>
          <w:sz w:val="20"/>
          <w:szCs w:val="20"/>
        </w:rPr>
        <w:t>2019</w:t>
      </w:r>
      <w:r w:rsidRPr="0067399B">
        <w:rPr>
          <w:color w:val="000000" w:themeColor="text1"/>
          <w:sz w:val="20"/>
          <w:szCs w:val="20"/>
        </w:rPr>
        <w:t>, a general segment was held, during which the following addressed the Human Rights Council:</w:t>
      </w:r>
    </w:p>
    <w:p w14:paraId="2EA587AA" w14:textId="71C565DE" w:rsidR="00F11B08" w:rsidRDefault="00F11B08" w:rsidP="00F11B08">
      <w:pPr>
        <w:pStyle w:val="SingleTxtG"/>
        <w:ind w:firstLine="567"/>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w:t>
      </w:r>
      <w:r w:rsidR="002543C6">
        <w:rPr>
          <w:color w:val="000000" w:themeColor="text1"/>
          <w:sz w:val="20"/>
          <w:szCs w:val="20"/>
        </w:rPr>
        <w:t xml:space="preserve">e Human Rights Council: Austria, China, </w:t>
      </w:r>
      <w:r w:rsidR="002543C6" w:rsidRPr="002543C6">
        <w:rPr>
          <w:color w:val="000000" w:themeColor="text1"/>
          <w:sz w:val="20"/>
          <w:szCs w:val="20"/>
        </w:rPr>
        <w:t>India</w:t>
      </w:r>
      <w:r w:rsidR="002543C6">
        <w:rPr>
          <w:color w:val="000000" w:themeColor="text1"/>
          <w:sz w:val="20"/>
          <w:szCs w:val="20"/>
        </w:rPr>
        <w:t>,</w:t>
      </w:r>
      <w:r w:rsidR="002543C6" w:rsidRPr="002543C6">
        <w:rPr>
          <w:color w:val="000000" w:themeColor="text1"/>
          <w:sz w:val="20"/>
          <w:szCs w:val="20"/>
        </w:rPr>
        <w:t xml:space="preserve"> Nigeria</w:t>
      </w:r>
      <w:r w:rsidR="002543C6">
        <w:rPr>
          <w:color w:val="000000" w:themeColor="text1"/>
          <w:sz w:val="20"/>
          <w:szCs w:val="20"/>
        </w:rPr>
        <w:t>,</w:t>
      </w:r>
      <w:r w:rsidR="002543C6" w:rsidRPr="002543C6">
        <w:rPr>
          <w:color w:val="000000" w:themeColor="text1"/>
          <w:sz w:val="20"/>
          <w:szCs w:val="20"/>
        </w:rPr>
        <w:t xml:space="preserve"> Senegal</w:t>
      </w:r>
      <w:r w:rsidRPr="0067399B">
        <w:rPr>
          <w:color w:val="000000" w:themeColor="text1"/>
          <w:sz w:val="20"/>
          <w:szCs w:val="20"/>
        </w:rPr>
        <w:t>;</w:t>
      </w:r>
    </w:p>
    <w:p w14:paraId="2EA587AB" w14:textId="06A94F96" w:rsidR="00F11B08" w:rsidRDefault="00F11B08" w:rsidP="00F11B08">
      <w:pPr>
        <w:pStyle w:val="SingleTxtG"/>
        <w:ind w:firstLine="567"/>
        <w:rPr>
          <w:color w:val="000000" w:themeColor="text1"/>
          <w:sz w:val="20"/>
          <w:szCs w:val="20"/>
        </w:rPr>
      </w:pPr>
      <w:r w:rsidRPr="0067399B">
        <w:rPr>
          <w:color w:val="000000" w:themeColor="text1"/>
          <w:sz w:val="20"/>
          <w:szCs w:val="20"/>
        </w:rPr>
        <w:lastRenderedPageBreak/>
        <w:t>(b)</w:t>
      </w:r>
      <w:r w:rsidRPr="0067399B">
        <w:rPr>
          <w:color w:val="000000" w:themeColor="text1"/>
          <w:sz w:val="20"/>
          <w:szCs w:val="20"/>
        </w:rPr>
        <w:tab/>
        <w:t>Repr</w:t>
      </w:r>
      <w:r w:rsidR="002543C6">
        <w:rPr>
          <w:color w:val="000000" w:themeColor="text1"/>
          <w:sz w:val="20"/>
          <w:szCs w:val="20"/>
        </w:rPr>
        <w:t xml:space="preserve">esentatives of observer States: </w:t>
      </w:r>
      <w:r w:rsidR="002543C6" w:rsidRPr="002543C6">
        <w:rPr>
          <w:color w:val="000000" w:themeColor="text1"/>
          <w:sz w:val="20"/>
          <w:szCs w:val="20"/>
        </w:rPr>
        <w:t>Côte d</w:t>
      </w:r>
      <w:r w:rsidR="00D72627">
        <w:rPr>
          <w:color w:val="000000" w:themeColor="text1"/>
          <w:sz w:val="20"/>
          <w:szCs w:val="20"/>
        </w:rPr>
        <w:t>’</w:t>
      </w:r>
      <w:r w:rsidR="002543C6" w:rsidRPr="002543C6">
        <w:rPr>
          <w:color w:val="000000" w:themeColor="text1"/>
          <w:sz w:val="20"/>
          <w:szCs w:val="20"/>
        </w:rPr>
        <w:t>Ivoire</w:t>
      </w:r>
      <w:r w:rsidR="002543C6">
        <w:rPr>
          <w:color w:val="000000" w:themeColor="text1"/>
          <w:sz w:val="20"/>
          <w:szCs w:val="20"/>
        </w:rPr>
        <w:t xml:space="preserve">, Greece, </w:t>
      </w:r>
      <w:r w:rsidR="002543C6" w:rsidRPr="002543C6">
        <w:rPr>
          <w:color w:val="000000" w:themeColor="text1"/>
          <w:sz w:val="20"/>
          <w:szCs w:val="20"/>
        </w:rPr>
        <w:t>Iran (Islamic Republic of)</w:t>
      </w:r>
      <w:r w:rsidR="002543C6">
        <w:rPr>
          <w:color w:val="000000" w:themeColor="text1"/>
          <w:sz w:val="20"/>
          <w:szCs w:val="20"/>
        </w:rPr>
        <w:t>,</w:t>
      </w:r>
      <w:r w:rsidR="002543C6" w:rsidRPr="002543C6">
        <w:rPr>
          <w:color w:val="000000" w:themeColor="text1"/>
          <w:sz w:val="20"/>
          <w:szCs w:val="20"/>
        </w:rPr>
        <w:t xml:space="preserve"> Israel</w:t>
      </w:r>
      <w:r w:rsidR="002543C6">
        <w:rPr>
          <w:color w:val="000000" w:themeColor="text1"/>
          <w:sz w:val="20"/>
          <w:szCs w:val="20"/>
        </w:rPr>
        <w:t>,</w:t>
      </w:r>
      <w:r w:rsidR="002543C6" w:rsidRPr="002543C6">
        <w:rPr>
          <w:color w:val="000000" w:themeColor="text1"/>
          <w:sz w:val="20"/>
          <w:szCs w:val="20"/>
        </w:rPr>
        <w:t xml:space="preserve"> Oman</w:t>
      </w:r>
      <w:r w:rsidR="002543C6">
        <w:rPr>
          <w:color w:val="000000" w:themeColor="text1"/>
          <w:sz w:val="20"/>
          <w:szCs w:val="20"/>
        </w:rPr>
        <w:t>,</w:t>
      </w:r>
      <w:r w:rsidR="002543C6" w:rsidRPr="002543C6">
        <w:rPr>
          <w:color w:val="000000" w:themeColor="text1"/>
          <w:sz w:val="20"/>
          <w:szCs w:val="20"/>
        </w:rPr>
        <w:t xml:space="preserve"> Syrian Arab Republic</w:t>
      </w:r>
      <w:r w:rsidR="002543C6">
        <w:rPr>
          <w:color w:val="000000" w:themeColor="text1"/>
          <w:sz w:val="20"/>
          <w:szCs w:val="20"/>
        </w:rPr>
        <w:t>,</w:t>
      </w:r>
      <w:r w:rsidR="002543C6" w:rsidRPr="002543C6">
        <w:rPr>
          <w:color w:val="000000" w:themeColor="text1"/>
          <w:sz w:val="20"/>
          <w:szCs w:val="20"/>
        </w:rPr>
        <w:t xml:space="preserve"> Timor-Leste</w:t>
      </w:r>
      <w:r w:rsidR="002543C6">
        <w:rPr>
          <w:color w:val="000000" w:themeColor="text1"/>
          <w:sz w:val="20"/>
          <w:szCs w:val="20"/>
        </w:rPr>
        <w:t>,</w:t>
      </w:r>
      <w:r w:rsidR="002543C6" w:rsidRPr="002543C6">
        <w:rPr>
          <w:color w:val="000000" w:themeColor="text1"/>
          <w:sz w:val="20"/>
          <w:szCs w:val="20"/>
        </w:rPr>
        <w:t xml:space="preserve"> Viet Nam</w:t>
      </w:r>
      <w:r w:rsidRPr="0067399B">
        <w:rPr>
          <w:color w:val="000000" w:themeColor="text1"/>
          <w:sz w:val="20"/>
          <w:szCs w:val="20"/>
        </w:rPr>
        <w:t>;</w:t>
      </w:r>
    </w:p>
    <w:p w14:paraId="05D2B0A5" w14:textId="07161C13" w:rsidR="002543C6" w:rsidRPr="0067399B" w:rsidRDefault="00117EE3" w:rsidP="00117EE3">
      <w:pPr>
        <w:pStyle w:val="SingleTxtG"/>
        <w:ind w:firstLine="567"/>
        <w:rPr>
          <w:color w:val="000000" w:themeColor="text1"/>
          <w:sz w:val="20"/>
          <w:szCs w:val="20"/>
        </w:rPr>
      </w:pPr>
      <w:r w:rsidRPr="0067399B">
        <w:rPr>
          <w:color w:val="000000" w:themeColor="text1"/>
          <w:sz w:val="20"/>
          <w:szCs w:val="20"/>
        </w:rPr>
        <w:t>(c)</w:t>
      </w:r>
      <w:r w:rsidRPr="0067399B">
        <w:rPr>
          <w:color w:val="000000" w:themeColor="text1"/>
          <w:sz w:val="20"/>
          <w:szCs w:val="20"/>
        </w:rPr>
        <w:tab/>
        <w:t>Observer</w:t>
      </w:r>
      <w:r>
        <w:rPr>
          <w:color w:val="000000" w:themeColor="text1"/>
          <w:sz w:val="20"/>
          <w:szCs w:val="20"/>
        </w:rPr>
        <w:t>s</w:t>
      </w:r>
      <w:r w:rsidRPr="0067399B">
        <w:rPr>
          <w:color w:val="000000" w:themeColor="text1"/>
          <w:sz w:val="20"/>
          <w:szCs w:val="20"/>
        </w:rPr>
        <w:t xml:space="preserve"> for United Nations entities, specialized agencies and related organizations:</w:t>
      </w:r>
      <w:r w:rsidR="00F11B08" w:rsidRPr="0067399B">
        <w:rPr>
          <w:color w:val="000000" w:themeColor="text1"/>
          <w:sz w:val="20"/>
          <w:szCs w:val="20"/>
        </w:rPr>
        <w:t xml:space="preserve"> </w:t>
      </w:r>
      <w:r w:rsidR="002543C6" w:rsidRPr="002543C6">
        <w:rPr>
          <w:color w:val="000000" w:themeColor="text1"/>
          <w:sz w:val="20"/>
          <w:szCs w:val="20"/>
        </w:rPr>
        <w:t>International Development Law Organization</w:t>
      </w:r>
      <w:r w:rsidR="002543C6">
        <w:rPr>
          <w:color w:val="000000" w:themeColor="text1"/>
          <w:sz w:val="20"/>
          <w:szCs w:val="20"/>
        </w:rPr>
        <w:t>,</w:t>
      </w:r>
      <w:r w:rsidR="002543C6" w:rsidRPr="002543C6">
        <w:rPr>
          <w:color w:val="000000" w:themeColor="text1"/>
          <w:sz w:val="20"/>
          <w:szCs w:val="20"/>
        </w:rPr>
        <w:t xml:space="preserve"> United Nations Development Programme</w:t>
      </w:r>
      <w:r w:rsidR="002543C6">
        <w:rPr>
          <w:color w:val="000000" w:themeColor="text1"/>
          <w:sz w:val="20"/>
          <w:szCs w:val="20"/>
        </w:rPr>
        <w:t>;</w:t>
      </w:r>
    </w:p>
    <w:p w14:paraId="2EA587AE" w14:textId="67CFFCF7" w:rsidR="00F11B08" w:rsidRPr="0067399B" w:rsidRDefault="00F11B08" w:rsidP="00F11B08">
      <w:pPr>
        <w:pStyle w:val="SingleTxtG"/>
        <w:ind w:firstLine="567"/>
        <w:rPr>
          <w:color w:val="000000" w:themeColor="text1"/>
          <w:sz w:val="20"/>
          <w:szCs w:val="20"/>
        </w:rPr>
      </w:pPr>
      <w:r w:rsidRPr="0067399B">
        <w:rPr>
          <w:color w:val="000000" w:themeColor="text1"/>
          <w:sz w:val="20"/>
          <w:szCs w:val="20"/>
        </w:rPr>
        <w:t>(</w:t>
      </w:r>
      <w:r w:rsidR="007D02B4" w:rsidRPr="0067399B">
        <w:rPr>
          <w:color w:val="000000" w:themeColor="text1"/>
          <w:sz w:val="20"/>
          <w:szCs w:val="20"/>
        </w:rPr>
        <w:t>d</w:t>
      </w:r>
      <w:r w:rsidRPr="0067399B">
        <w:rPr>
          <w:color w:val="000000" w:themeColor="text1"/>
          <w:sz w:val="20"/>
          <w:szCs w:val="20"/>
        </w:rPr>
        <w:t>)</w:t>
      </w:r>
      <w:r w:rsidRPr="0067399B">
        <w:rPr>
          <w:color w:val="000000" w:themeColor="text1"/>
          <w:sz w:val="20"/>
          <w:szCs w:val="20"/>
        </w:rPr>
        <w:tab/>
        <w:t xml:space="preserve">Observer for a national human rights institution: </w:t>
      </w:r>
      <w:r w:rsidR="007D02B4" w:rsidRPr="0067399B">
        <w:rPr>
          <w:color w:val="000000" w:themeColor="text1"/>
          <w:sz w:val="20"/>
          <w:szCs w:val="20"/>
        </w:rPr>
        <w:t>Global Alliance of National Human Rights Institutions</w:t>
      </w:r>
      <w:r w:rsidRPr="0067399B">
        <w:rPr>
          <w:color w:val="000000" w:themeColor="text1"/>
          <w:sz w:val="20"/>
          <w:szCs w:val="20"/>
        </w:rPr>
        <w:t>;</w:t>
      </w:r>
      <w:r w:rsidR="000F6A28" w:rsidRPr="0067399B">
        <w:rPr>
          <w:color w:val="000000" w:themeColor="text1"/>
          <w:sz w:val="20"/>
          <w:szCs w:val="20"/>
        </w:rPr>
        <w:t xml:space="preserve"> </w:t>
      </w:r>
    </w:p>
    <w:p w14:paraId="7B3CA173" w14:textId="4BEAAD95" w:rsidR="00B6292D" w:rsidRPr="0067399B" w:rsidRDefault="00F11B08" w:rsidP="00B6292D">
      <w:pPr>
        <w:pStyle w:val="SingleTxtG"/>
        <w:ind w:firstLine="567"/>
        <w:rPr>
          <w:color w:val="000000" w:themeColor="text1"/>
          <w:sz w:val="20"/>
          <w:szCs w:val="20"/>
        </w:rPr>
      </w:pPr>
      <w:r w:rsidRPr="002543C6">
        <w:rPr>
          <w:color w:val="000000" w:themeColor="text1"/>
          <w:sz w:val="20"/>
          <w:szCs w:val="20"/>
        </w:rPr>
        <w:t>(</w:t>
      </w:r>
      <w:r w:rsidR="007D02B4" w:rsidRPr="002543C6">
        <w:rPr>
          <w:color w:val="000000" w:themeColor="text1"/>
          <w:sz w:val="20"/>
          <w:szCs w:val="20"/>
        </w:rPr>
        <w:t>e</w:t>
      </w:r>
      <w:r w:rsidRPr="002543C6">
        <w:rPr>
          <w:color w:val="000000" w:themeColor="text1"/>
          <w:sz w:val="20"/>
          <w:szCs w:val="20"/>
        </w:rPr>
        <w:t>)</w:t>
      </w:r>
      <w:r w:rsidRPr="002543C6">
        <w:rPr>
          <w:color w:val="000000" w:themeColor="text1"/>
          <w:sz w:val="20"/>
          <w:szCs w:val="20"/>
        </w:rPr>
        <w:tab/>
        <w:t xml:space="preserve">Invited members of civil society: </w:t>
      </w:r>
      <w:r w:rsidR="00B6292D" w:rsidRPr="002543C6">
        <w:rPr>
          <w:color w:val="000000" w:themeColor="text1"/>
          <w:sz w:val="20"/>
          <w:szCs w:val="20"/>
        </w:rPr>
        <w:t>Paikiasothy Saravanamuttu, Nancy Okoth, Ruth Dearnley, Altinçelep Buket.</w:t>
      </w:r>
    </w:p>
    <w:p w14:paraId="316734A3" w14:textId="5945AEA5" w:rsidR="00894AB1" w:rsidRPr="0067399B" w:rsidRDefault="00CC60C2" w:rsidP="002C447D">
      <w:pPr>
        <w:pStyle w:val="SingleTxtG"/>
        <w:tabs>
          <w:tab w:val="left" w:pos="1701"/>
        </w:tabs>
        <w:rPr>
          <w:color w:val="000000" w:themeColor="text1"/>
          <w:sz w:val="20"/>
          <w:szCs w:val="20"/>
        </w:rPr>
      </w:pPr>
      <w:r w:rsidRPr="0067399B">
        <w:rPr>
          <w:color w:val="000000" w:themeColor="text1"/>
          <w:sz w:val="20"/>
          <w:szCs w:val="20"/>
        </w:rPr>
        <w:t>16</w:t>
      </w:r>
      <w:r w:rsidR="002C447D" w:rsidRPr="0067399B">
        <w:rPr>
          <w:color w:val="000000" w:themeColor="text1"/>
          <w:sz w:val="20"/>
          <w:szCs w:val="20"/>
        </w:rPr>
        <w:t>.</w:t>
      </w:r>
      <w:r w:rsidR="002C447D" w:rsidRPr="0067399B">
        <w:rPr>
          <w:color w:val="000000" w:themeColor="text1"/>
          <w:sz w:val="20"/>
          <w:szCs w:val="20"/>
        </w:rPr>
        <w:tab/>
        <w:t xml:space="preserve">At the </w:t>
      </w:r>
      <w:r w:rsidR="002543C6">
        <w:rPr>
          <w:color w:val="000000" w:themeColor="text1"/>
          <w:sz w:val="20"/>
          <w:szCs w:val="20"/>
        </w:rPr>
        <w:t>9th</w:t>
      </w:r>
      <w:r w:rsidR="002C447D" w:rsidRPr="0067399B">
        <w:rPr>
          <w:color w:val="000000" w:themeColor="text1"/>
          <w:sz w:val="20"/>
          <w:szCs w:val="20"/>
        </w:rPr>
        <w:t xml:space="preserve"> meeting</w:t>
      </w:r>
      <w:r w:rsidR="002543C6">
        <w:rPr>
          <w:color w:val="000000" w:themeColor="text1"/>
          <w:sz w:val="20"/>
          <w:szCs w:val="20"/>
        </w:rPr>
        <w:t xml:space="preserve"> on 28 February 2019</w:t>
      </w:r>
      <w:r w:rsidR="002C447D" w:rsidRPr="0067399B">
        <w:rPr>
          <w:color w:val="000000" w:themeColor="text1"/>
          <w:sz w:val="20"/>
          <w:szCs w:val="20"/>
        </w:rPr>
        <w:t xml:space="preserve">, statements in exercise of the right of reply were made by the representatives of </w:t>
      </w:r>
      <w:r w:rsidR="00894AB1" w:rsidRPr="00894AB1">
        <w:rPr>
          <w:color w:val="000000" w:themeColor="text1"/>
          <w:sz w:val="20"/>
          <w:szCs w:val="20"/>
        </w:rPr>
        <w:t>Armenia</w:t>
      </w:r>
      <w:r w:rsidR="00894AB1">
        <w:rPr>
          <w:color w:val="000000" w:themeColor="text1"/>
          <w:sz w:val="20"/>
          <w:szCs w:val="20"/>
        </w:rPr>
        <w:t xml:space="preserve">, </w:t>
      </w:r>
      <w:r w:rsidR="00894AB1" w:rsidRPr="00894AB1">
        <w:rPr>
          <w:color w:val="000000" w:themeColor="text1"/>
          <w:sz w:val="20"/>
          <w:szCs w:val="20"/>
        </w:rPr>
        <w:t>Azerbaijan</w:t>
      </w:r>
      <w:r w:rsidR="00894AB1">
        <w:rPr>
          <w:color w:val="000000" w:themeColor="text1"/>
          <w:sz w:val="20"/>
          <w:szCs w:val="20"/>
        </w:rPr>
        <w:t xml:space="preserve">, </w:t>
      </w:r>
      <w:r w:rsidR="00894AB1" w:rsidRPr="00894AB1">
        <w:rPr>
          <w:color w:val="000000" w:themeColor="text1"/>
          <w:sz w:val="20"/>
          <w:szCs w:val="20"/>
        </w:rPr>
        <w:t>Bahrain</w:t>
      </w:r>
      <w:r w:rsidR="00894AB1">
        <w:rPr>
          <w:color w:val="000000" w:themeColor="text1"/>
          <w:sz w:val="20"/>
          <w:szCs w:val="20"/>
        </w:rPr>
        <w:t xml:space="preserve">, </w:t>
      </w:r>
      <w:r w:rsidR="00894AB1" w:rsidRPr="00894AB1">
        <w:rPr>
          <w:color w:val="000000" w:themeColor="text1"/>
          <w:sz w:val="20"/>
          <w:szCs w:val="20"/>
        </w:rPr>
        <w:t>Bangladesh</w:t>
      </w:r>
      <w:r w:rsidR="00894AB1">
        <w:rPr>
          <w:color w:val="000000" w:themeColor="text1"/>
          <w:sz w:val="20"/>
          <w:szCs w:val="20"/>
        </w:rPr>
        <w:t xml:space="preserve">, </w:t>
      </w:r>
      <w:r w:rsidR="00894AB1" w:rsidRPr="00894AB1">
        <w:rPr>
          <w:color w:val="000000" w:themeColor="text1"/>
          <w:sz w:val="20"/>
          <w:szCs w:val="20"/>
        </w:rPr>
        <w:t>China</w:t>
      </w:r>
      <w:r w:rsidR="00894AB1">
        <w:rPr>
          <w:color w:val="000000" w:themeColor="text1"/>
          <w:sz w:val="20"/>
          <w:szCs w:val="20"/>
        </w:rPr>
        <w:t xml:space="preserve">, </w:t>
      </w:r>
      <w:r w:rsidR="00894AB1" w:rsidRPr="00894AB1">
        <w:rPr>
          <w:color w:val="000000" w:themeColor="text1"/>
          <w:sz w:val="20"/>
          <w:szCs w:val="20"/>
        </w:rPr>
        <w:t>Cyprus</w:t>
      </w:r>
      <w:r w:rsidR="00894AB1">
        <w:rPr>
          <w:color w:val="000000" w:themeColor="text1"/>
          <w:sz w:val="20"/>
          <w:szCs w:val="20"/>
        </w:rPr>
        <w:t xml:space="preserve">, the </w:t>
      </w:r>
      <w:r w:rsidR="00894AB1" w:rsidRPr="00894AB1">
        <w:rPr>
          <w:color w:val="000000" w:themeColor="text1"/>
          <w:sz w:val="20"/>
          <w:szCs w:val="20"/>
        </w:rPr>
        <w:t>Democratic People</w:t>
      </w:r>
      <w:r w:rsidR="00D72627">
        <w:rPr>
          <w:color w:val="000000" w:themeColor="text1"/>
          <w:sz w:val="20"/>
          <w:szCs w:val="20"/>
        </w:rPr>
        <w:t>’</w:t>
      </w:r>
      <w:r w:rsidR="00894AB1" w:rsidRPr="00894AB1">
        <w:rPr>
          <w:color w:val="000000" w:themeColor="text1"/>
          <w:sz w:val="20"/>
          <w:szCs w:val="20"/>
        </w:rPr>
        <w:t>s Republic of Korea</w:t>
      </w:r>
      <w:r w:rsidR="00894AB1">
        <w:rPr>
          <w:color w:val="000000" w:themeColor="text1"/>
          <w:sz w:val="20"/>
          <w:szCs w:val="20"/>
        </w:rPr>
        <w:t xml:space="preserve">, </w:t>
      </w:r>
      <w:r w:rsidR="00894AB1" w:rsidRPr="00894AB1">
        <w:rPr>
          <w:color w:val="000000" w:themeColor="text1"/>
          <w:sz w:val="20"/>
          <w:szCs w:val="20"/>
        </w:rPr>
        <w:t>India</w:t>
      </w:r>
      <w:r w:rsidR="00894AB1">
        <w:rPr>
          <w:color w:val="000000" w:themeColor="text1"/>
          <w:sz w:val="20"/>
          <w:szCs w:val="20"/>
        </w:rPr>
        <w:t xml:space="preserve">, </w:t>
      </w:r>
      <w:r w:rsidR="00894AB1" w:rsidRPr="00894AB1">
        <w:rPr>
          <w:color w:val="000000" w:themeColor="text1"/>
          <w:sz w:val="20"/>
          <w:szCs w:val="20"/>
        </w:rPr>
        <w:t>Japan</w:t>
      </w:r>
      <w:r w:rsidR="00894AB1">
        <w:rPr>
          <w:color w:val="000000" w:themeColor="text1"/>
          <w:sz w:val="20"/>
          <w:szCs w:val="20"/>
        </w:rPr>
        <w:t xml:space="preserve">, </w:t>
      </w:r>
      <w:r w:rsidR="00894AB1" w:rsidRPr="00894AB1">
        <w:rPr>
          <w:color w:val="000000" w:themeColor="text1"/>
          <w:sz w:val="20"/>
          <w:szCs w:val="20"/>
        </w:rPr>
        <w:t>Lebanon</w:t>
      </w:r>
      <w:r w:rsidR="00894AB1">
        <w:rPr>
          <w:color w:val="000000" w:themeColor="text1"/>
          <w:sz w:val="20"/>
          <w:szCs w:val="20"/>
        </w:rPr>
        <w:t xml:space="preserve">, </w:t>
      </w:r>
      <w:r w:rsidR="00894AB1" w:rsidRPr="00894AB1">
        <w:rPr>
          <w:color w:val="000000" w:themeColor="text1"/>
          <w:sz w:val="20"/>
          <w:szCs w:val="20"/>
        </w:rPr>
        <w:t>Pakistan</w:t>
      </w:r>
      <w:r w:rsidR="00894AB1">
        <w:rPr>
          <w:color w:val="000000" w:themeColor="text1"/>
          <w:sz w:val="20"/>
          <w:szCs w:val="20"/>
        </w:rPr>
        <w:t xml:space="preserve">, the </w:t>
      </w:r>
      <w:r w:rsidR="00894AB1" w:rsidRPr="00894AB1">
        <w:rPr>
          <w:color w:val="000000" w:themeColor="text1"/>
          <w:sz w:val="20"/>
          <w:szCs w:val="20"/>
        </w:rPr>
        <w:t>Republic of Korea</w:t>
      </w:r>
      <w:r w:rsidR="00894AB1">
        <w:rPr>
          <w:color w:val="000000" w:themeColor="text1"/>
          <w:sz w:val="20"/>
          <w:szCs w:val="20"/>
        </w:rPr>
        <w:t xml:space="preserve">, the </w:t>
      </w:r>
      <w:r w:rsidR="00894AB1" w:rsidRPr="00894AB1">
        <w:rPr>
          <w:color w:val="000000" w:themeColor="text1"/>
          <w:sz w:val="20"/>
          <w:szCs w:val="20"/>
        </w:rPr>
        <w:t>Syrian Arab Republic</w:t>
      </w:r>
      <w:r w:rsidR="00894AB1">
        <w:rPr>
          <w:color w:val="000000" w:themeColor="text1"/>
          <w:sz w:val="20"/>
          <w:szCs w:val="20"/>
        </w:rPr>
        <w:t xml:space="preserve"> and </w:t>
      </w:r>
      <w:r w:rsidR="00894AB1" w:rsidRPr="00894AB1">
        <w:rPr>
          <w:color w:val="000000" w:themeColor="text1"/>
          <w:sz w:val="20"/>
          <w:szCs w:val="20"/>
        </w:rPr>
        <w:t>Turkey</w:t>
      </w:r>
      <w:r w:rsidR="00894AB1">
        <w:rPr>
          <w:color w:val="000000" w:themeColor="text1"/>
          <w:sz w:val="20"/>
          <w:szCs w:val="20"/>
        </w:rPr>
        <w:t>.</w:t>
      </w:r>
    </w:p>
    <w:p w14:paraId="4ABE7D0B" w14:textId="6AABA2D6" w:rsidR="002C447D" w:rsidRPr="0067399B" w:rsidRDefault="002C447D" w:rsidP="00465830">
      <w:pPr>
        <w:pStyle w:val="SingleTxtG"/>
        <w:tabs>
          <w:tab w:val="left" w:pos="1701"/>
        </w:tabs>
        <w:rPr>
          <w:color w:val="000000" w:themeColor="text1"/>
          <w:sz w:val="20"/>
          <w:szCs w:val="20"/>
        </w:rPr>
      </w:pPr>
      <w:r w:rsidRPr="0067399B">
        <w:rPr>
          <w:color w:val="000000" w:themeColor="text1"/>
          <w:sz w:val="20"/>
          <w:szCs w:val="20"/>
        </w:rPr>
        <w:t>1</w:t>
      </w:r>
      <w:r w:rsidR="00CC60C2" w:rsidRPr="0067399B">
        <w:rPr>
          <w:color w:val="000000" w:themeColor="text1"/>
          <w:sz w:val="20"/>
          <w:szCs w:val="20"/>
        </w:rPr>
        <w:t>7</w:t>
      </w:r>
      <w:r w:rsidRPr="0067399B">
        <w:rPr>
          <w:color w:val="000000" w:themeColor="text1"/>
          <w:sz w:val="20"/>
          <w:szCs w:val="20"/>
        </w:rPr>
        <w:t>.</w:t>
      </w:r>
      <w:r w:rsidRPr="0067399B">
        <w:rPr>
          <w:color w:val="000000" w:themeColor="text1"/>
          <w:sz w:val="20"/>
          <w:szCs w:val="20"/>
        </w:rPr>
        <w:tab/>
        <w:t>At the same meeting, statements in exercise of a second right of reply were made by the representatives of</w:t>
      </w:r>
      <w:r w:rsidR="000F6A28" w:rsidRPr="0067399B">
        <w:rPr>
          <w:color w:val="000000" w:themeColor="text1"/>
          <w:sz w:val="20"/>
          <w:szCs w:val="20"/>
        </w:rPr>
        <w:t xml:space="preserve"> </w:t>
      </w:r>
      <w:r w:rsidR="00894AB1">
        <w:rPr>
          <w:color w:val="000000" w:themeColor="text1"/>
          <w:sz w:val="20"/>
          <w:szCs w:val="20"/>
        </w:rPr>
        <w:t xml:space="preserve">the </w:t>
      </w:r>
      <w:r w:rsidR="00894AB1" w:rsidRPr="00894AB1">
        <w:rPr>
          <w:color w:val="000000" w:themeColor="text1"/>
          <w:sz w:val="20"/>
          <w:szCs w:val="20"/>
        </w:rPr>
        <w:t>Democratic People</w:t>
      </w:r>
      <w:r w:rsidR="00D72627">
        <w:rPr>
          <w:color w:val="000000" w:themeColor="text1"/>
          <w:sz w:val="20"/>
          <w:szCs w:val="20"/>
        </w:rPr>
        <w:t>’</w:t>
      </w:r>
      <w:r w:rsidR="00894AB1" w:rsidRPr="00894AB1">
        <w:rPr>
          <w:color w:val="000000" w:themeColor="text1"/>
          <w:sz w:val="20"/>
          <w:szCs w:val="20"/>
        </w:rPr>
        <w:t>s Republic of Korea</w:t>
      </w:r>
      <w:r w:rsidR="00894AB1">
        <w:rPr>
          <w:color w:val="000000" w:themeColor="text1"/>
          <w:sz w:val="20"/>
          <w:szCs w:val="20"/>
        </w:rPr>
        <w:t xml:space="preserve">, </w:t>
      </w:r>
      <w:r w:rsidR="00894AB1" w:rsidRPr="00894AB1">
        <w:rPr>
          <w:color w:val="000000" w:themeColor="text1"/>
          <w:sz w:val="20"/>
          <w:szCs w:val="20"/>
        </w:rPr>
        <w:t>India</w:t>
      </w:r>
      <w:r w:rsidR="00894AB1">
        <w:rPr>
          <w:color w:val="000000" w:themeColor="text1"/>
          <w:sz w:val="20"/>
          <w:szCs w:val="20"/>
        </w:rPr>
        <w:t xml:space="preserve">, </w:t>
      </w:r>
      <w:r w:rsidR="00894AB1" w:rsidRPr="00894AB1">
        <w:rPr>
          <w:color w:val="000000" w:themeColor="text1"/>
          <w:sz w:val="20"/>
          <w:szCs w:val="20"/>
        </w:rPr>
        <w:t>Japan</w:t>
      </w:r>
      <w:r w:rsidR="00894AB1">
        <w:rPr>
          <w:color w:val="000000" w:themeColor="text1"/>
          <w:sz w:val="20"/>
          <w:szCs w:val="20"/>
        </w:rPr>
        <w:t xml:space="preserve">, </w:t>
      </w:r>
      <w:r w:rsidR="00894AB1" w:rsidRPr="00894AB1">
        <w:rPr>
          <w:color w:val="000000" w:themeColor="text1"/>
          <w:sz w:val="20"/>
          <w:szCs w:val="20"/>
        </w:rPr>
        <w:t>Myanmar</w:t>
      </w:r>
      <w:r w:rsidR="00894AB1">
        <w:rPr>
          <w:color w:val="000000" w:themeColor="text1"/>
          <w:sz w:val="20"/>
          <w:szCs w:val="20"/>
        </w:rPr>
        <w:t xml:space="preserve">, </w:t>
      </w:r>
      <w:r w:rsidR="00894AB1" w:rsidRPr="00894AB1">
        <w:rPr>
          <w:color w:val="000000" w:themeColor="text1"/>
          <w:sz w:val="20"/>
          <w:szCs w:val="20"/>
        </w:rPr>
        <w:t>Pakistan</w:t>
      </w:r>
      <w:r w:rsidR="00894AB1">
        <w:rPr>
          <w:color w:val="000000" w:themeColor="text1"/>
          <w:sz w:val="20"/>
          <w:szCs w:val="20"/>
        </w:rPr>
        <w:t xml:space="preserve">, </w:t>
      </w:r>
      <w:r w:rsidR="00894AB1" w:rsidRPr="00894AB1">
        <w:rPr>
          <w:color w:val="000000" w:themeColor="text1"/>
          <w:sz w:val="20"/>
          <w:szCs w:val="20"/>
        </w:rPr>
        <w:t>Qatar</w:t>
      </w:r>
      <w:r w:rsidR="00894AB1">
        <w:rPr>
          <w:color w:val="000000" w:themeColor="text1"/>
          <w:sz w:val="20"/>
          <w:szCs w:val="20"/>
        </w:rPr>
        <w:t xml:space="preserve">, the </w:t>
      </w:r>
      <w:r w:rsidR="00894AB1" w:rsidRPr="00894AB1">
        <w:rPr>
          <w:color w:val="000000" w:themeColor="text1"/>
          <w:sz w:val="20"/>
          <w:szCs w:val="20"/>
        </w:rPr>
        <w:t>Republic of Korea</w:t>
      </w:r>
      <w:r w:rsidR="00894AB1">
        <w:rPr>
          <w:color w:val="000000" w:themeColor="text1"/>
          <w:sz w:val="20"/>
          <w:szCs w:val="20"/>
        </w:rPr>
        <w:t xml:space="preserve">, the </w:t>
      </w:r>
      <w:r w:rsidR="00894AB1" w:rsidRPr="00894AB1">
        <w:rPr>
          <w:color w:val="000000" w:themeColor="text1"/>
          <w:sz w:val="20"/>
          <w:szCs w:val="20"/>
        </w:rPr>
        <w:t>Syrian Arab Republic</w:t>
      </w:r>
      <w:r w:rsidR="00894AB1">
        <w:rPr>
          <w:color w:val="000000" w:themeColor="text1"/>
          <w:sz w:val="20"/>
          <w:szCs w:val="20"/>
        </w:rPr>
        <w:t xml:space="preserve"> and </w:t>
      </w:r>
      <w:r w:rsidR="00894AB1" w:rsidRPr="00894AB1">
        <w:rPr>
          <w:color w:val="000000" w:themeColor="text1"/>
          <w:sz w:val="20"/>
          <w:szCs w:val="20"/>
        </w:rPr>
        <w:t>Turkey</w:t>
      </w:r>
      <w:r w:rsidRPr="0067399B">
        <w:rPr>
          <w:color w:val="000000" w:themeColor="text1"/>
          <w:sz w:val="20"/>
          <w:szCs w:val="20"/>
        </w:rPr>
        <w:t>.</w:t>
      </w:r>
    </w:p>
    <w:p w14:paraId="48956D40" w14:textId="12D9D22A" w:rsidR="005E1188" w:rsidRPr="00C16037" w:rsidRDefault="00F11B08" w:rsidP="005E1188">
      <w:pPr>
        <w:pStyle w:val="H1G"/>
        <w:ind w:left="0" w:firstLine="0"/>
        <w:rPr>
          <w:color w:val="000000" w:themeColor="text1"/>
        </w:rPr>
      </w:pPr>
      <w:r w:rsidRPr="00C16037">
        <w:rPr>
          <w:color w:val="000000" w:themeColor="text1"/>
        </w:rPr>
        <w:tab/>
      </w:r>
      <w:bookmarkStart w:id="15" w:name="_Toc244507588"/>
      <w:r w:rsidR="00DE052D" w:rsidRPr="00C16037">
        <w:rPr>
          <w:color w:val="000000" w:themeColor="text1"/>
        </w:rPr>
        <w:t>E</w:t>
      </w:r>
      <w:r w:rsidR="005E1188" w:rsidRPr="00C16037">
        <w:rPr>
          <w:color w:val="000000" w:themeColor="text1"/>
        </w:rPr>
        <w:t>.</w:t>
      </w:r>
      <w:r w:rsidR="005E1188" w:rsidRPr="00C16037">
        <w:rPr>
          <w:color w:val="000000" w:themeColor="text1"/>
        </w:rPr>
        <w:tab/>
        <w:t>Agenda and programme of work</w:t>
      </w:r>
      <w:bookmarkEnd w:id="15"/>
    </w:p>
    <w:p w14:paraId="278D030C" w14:textId="08139B23" w:rsidR="005E1188" w:rsidRDefault="00CC60C2" w:rsidP="005E1188">
      <w:pPr>
        <w:pStyle w:val="SingleTxtG"/>
        <w:rPr>
          <w:color w:val="000000" w:themeColor="text1"/>
          <w:sz w:val="20"/>
          <w:szCs w:val="20"/>
        </w:rPr>
      </w:pPr>
      <w:r w:rsidRPr="0067399B">
        <w:rPr>
          <w:color w:val="000000" w:themeColor="text1"/>
          <w:sz w:val="20"/>
          <w:szCs w:val="20"/>
        </w:rPr>
        <w:t>18</w:t>
      </w:r>
      <w:r w:rsidR="005E1188" w:rsidRPr="0067399B">
        <w:rPr>
          <w:color w:val="000000" w:themeColor="text1"/>
          <w:sz w:val="20"/>
          <w:szCs w:val="20"/>
        </w:rPr>
        <w:t>.</w:t>
      </w:r>
      <w:r w:rsidR="005E1188" w:rsidRPr="0067399B">
        <w:rPr>
          <w:color w:val="000000" w:themeColor="text1"/>
          <w:sz w:val="20"/>
          <w:szCs w:val="20"/>
        </w:rPr>
        <w:tab/>
        <w:t xml:space="preserve">At the 1st meeting, </w:t>
      </w:r>
      <w:r w:rsidR="00246FF0" w:rsidRPr="0067399B">
        <w:rPr>
          <w:color w:val="000000" w:themeColor="text1"/>
          <w:sz w:val="20"/>
          <w:szCs w:val="20"/>
        </w:rPr>
        <w:t>on 2</w:t>
      </w:r>
      <w:r w:rsidR="006D3518">
        <w:rPr>
          <w:color w:val="000000" w:themeColor="text1"/>
          <w:sz w:val="20"/>
          <w:szCs w:val="20"/>
        </w:rPr>
        <w:t xml:space="preserve">5 </w:t>
      </w:r>
      <w:r w:rsidR="00246FF0" w:rsidRPr="0067399B">
        <w:rPr>
          <w:color w:val="000000" w:themeColor="text1"/>
          <w:sz w:val="20"/>
          <w:szCs w:val="20"/>
        </w:rPr>
        <w:t xml:space="preserve">February </w:t>
      </w:r>
      <w:r w:rsidR="00141AFC">
        <w:rPr>
          <w:color w:val="000000" w:themeColor="text1"/>
          <w:sz w:val="20"/>
          <w:szCs w:val="20"/>
        </w:rPr>
        <w:t>2019</w:t>
      </w:r>
      <w:r w:rsidR="005E1188" w:rsidRPr="0067399B">
        <w:rPr>
          <w:color w:val="000000" w:themeColor="text1"/>
          <w:sz w:val="20"/>
          <w:szCs w:val="20"/>
        </w:rPr>
        <w:t xml:space="preserve">, the Human Rights Council adopted the agenda and programme of work of the </w:t>
      </w:r>
      <w:r w:rsidR="00F26B03">
        <w:rPr>
          <w:color w:val="000000" w:themeColor="text1"/>
          <w:sz w:val="20"/>
          <w:szCs w:val="20"/>
        </w:rPr>
        <w:t>fortieth</w:t>
      </w:r>
      <w:r w:rsidR="005E1188" w:rsidRPr="0067399B">
        <w:rPr>
          <w:color w:val="000000" w:themeColor="text1"/>
          <w:sz w:val="20"/>
          <w:szCs w:val="20"/>
        </w:rPr>
        <w:t xml:space="preserve"> session.</w:t>
      </w:r>
    </w:p>
    <w:p w14:paraId="2B463753" w14:textId="4A7A327E" w:rsidR="00894AB1" w:rsidRPr="0067399B" w:rsidRDefault="00894AB1" w:rsidP="005E1188">
      <w:pPr>
        <w:pStyle w:val="SingleTxtG"/>
        <w:rPr>
          <w:color w:val="000000" w:themeColor="text1"/>
          <w:sz w:val="20"/>
          <w:szCs w:val="20"/>
        </w:rPr>
      </w:pPr>
      <w:r>
        <w:rPr>
          <w:color w:val="000000" w:themeColor="text1"/>
          <w:sz w:val="20"/>
          <w:szCs w:val="20"/>
        </w:rPr>
        <w:t>19.</w:t>
      </w:r>
      <w:r>
        <w:rPr>
          <w:color w:val="000000" w:themeColor="text1"/>
          <w:sz w:val="20"/>
          <w:szCs w:val="20"/>
        </w:rPr>
        <w:tab/>
        <w:t>At the 9th</w:t>
      </w:r>
      <w:r w:rsidRPr="0067399B">
        <w:rPr>
          <w:color w:val="000000" w:themeColor="text1"/>
          <w:sz w:val="20"/>
          <w:szCs w:val="20"/>
        </w:rPr>
        <w:t xml:space="preserve"> meeting, on 2</w:t>
      </w:r>
      <w:r>
        <w:rPr>
          <w:color w:val="000000" w:themeColor="text1"/>
          <w:sz w:val="20"/>
          <w:szCs w:val="20"/>
        </w:rPr>
        <w:t xml:space="preserve">8 </w:t>
      </w:r>
      <w:r w:rsidRPr="0067399B">
        <w:rPr>
          <w:color w:val="000000" w:themeColor="text1"/>
          <w:sz w:val="20"/>
          <w:szCs w:val="20"/>
        </w:rPr>
        <w:t xml:space="preserve">February </w:t>
      </w:r>
      <w:r>
        <w:rPr>
          <w:color w:val="000000" w:themeColor="text1"/>
          <w:sz w:val="20"/>
          <w:szCs w:val="20"/>
        </w:rPr>
        <w:t xml:space="preserve">2019, </w:t>
      </w:r>
      <w:r w:rsidRPr="0067399B">
        <w:rPr>
          <w:color w:val="000000" w:themeColor="text1"/>
          <w:sz w:val="20"/>
          <w:szCs w:val="20"/>
        </w:rPr>
        <w:t xml:space="preserve">the Human Rights Council adopted the </w:t>
      </w:r>
      <w:r>
        <w:rPr>
          <w:color w:val="000000" w:themeColor="text1"/>
          <w:sz w:val="20"/>
          <w:szCs w:val="20"/>
        </w:rPr>
        <w:t xml:space="preserve">revised </w:t>
      </w:r>
      <w:r w:rsidRPr="0067399B">
        <w:rPr>
          <w:color w:val="000000" w:themeColor="text1"/>
          <w:sz w:val="20"/>
          <w:szCs w:val="20"/>
        </w:rPr>
        <w:t xml:space="preserve">programme of work of the </w:t>
      </w:r>
      <w:r>
        <w:rPr>
          <w:color w:val="000000" w:themeColor="text1"/>
          <w:sz w:val="20"/>
          <w:szCs w:val="20"/>
        </w:rPr>
        <w:t>fortieth</w:t>
      </w:r>
      <w:r w:rsidRPr="0067399B">
        <w:rPr>
          <w:color w:val="000000" w:themeColor="text1"/>
          <w:sz w:val="20"/>
          <w:szCs w:val="20"/>
        </w:rPr>
        <w:t xml:space="preserve"> session.</w:t>
      </w:r>
    </w:p>
    <w:p w14:paraId="2EA587B0" w14:textId="4A83C2EE" w:rsidR="00F11B08" w:rsidRPr="00C16037" w:rsidRDefault="00246FF0" w:rsidP="00F11B08">
      <w:pPr>
        <w:pStyle w:val="H1G"/>
        <w:rPr>
          <w:color w:val="000000" w:themeColor="text1"/>
        </w:rPr>
      </w:pPr>
      <w:r w:rsidRPr="00C16037">
        <w:rPr>
          <w:color w:val="000000" w:themeColor="text1"/>
        </w:rPr>
        <w:tab/>
      </w:r>
      <w:r w:rsidR="00DE052D" w:rsidRPr="00C16037">
        <w:rPr>
          <w:color w:val="000000" w:themeColor="text1"/>
        </w:rPr>
        <w:t>F</w:t>
      </w:r>
      <w:r w:rsidR="00F11B08" w:rsidRPr="00C16037">
        <w:rPr>
          <w:color w:val="000000" w:themeColor="text1"/>
        </w:rPr>
        <w:t>.</w:t>
      </w:r>
      <w:r w:rsidR="00F11B08" w:rsidRPr="00C16037">
        <w:rPr>
          <w:color w:val="000000" w:themeColor="text1"/>
        </w:rPr>
        <w:tab/>
        <w:t>Organization of work</w:t>
      </w:r>
    </w:p>
    <w:p w14:paraId="748A760F" w14:textId="215FF1EE" w:rsidR="00A6587D" w:rsidRPr="00A6587D" w:rsidRDefault="00BD37A7" w:rsidP="00A6587D">
      <w:pPr>
        <w:pStyle w:val="SingleTxtG"/>
        <w:rPr>
          <w:color w:val="000000" w:themeColor="text1"/>
          <w:sz w:val="20"/>
          <w:szCs w:val="20"/>
        </w:rPr>
      </w:pPr>
      <w:r>
        <w:rPr>
          <w:color w:val="000000" w:themeColor="text1"/>
          <w:sz w:val="20"/>
          <w:szCs w:val="20"/>
        </w:rPr>
        <w:t>20</w:t>
      </w:r>
      <w:r w:rsidR="00A6587D" w:rsidRPr="00A6587D">
        <w:rPr>
          <w:color w:val="000000" w:themeColor="text1"/>
          <w:sz w:val="20"/>
          <w:szCs w:val="20"/>
        </w:rPr>
        <w:t>.</w:t>
      </w:r>
      <w:r w:rsidR="00A6587D" w:rsidRPr="00A6587D">
        <w:rPr>
          <w:color w:val="000000" w:themeColor="text1"/>
          <w:sz w:val="20"/>
          <w:szCs w:val="20"/>
        </w:rPr>
        <w:tab/>
        <w:t>At the 3rd meeting, on 25 February 2019, the President outlined the speaking time modalities for panel discussions, which would be two minutes for States Members of the Council, observer States and other observers.</w:t>
      </w:r>
    </w:p>
    <w:p w14:paraId="2EA587B1" w14:textId="1E3200F8" w:rsidR="00F11B08" w:rsidRPr="00A6587D" w:rsidRDefault="00BD37A7" w:rsidP="00F11B08">
      <w:pPr>
        <w:pStyle w:val="SingleTxtG"/>
        <w:rPr>
          <w:color w:val="000000" w:themeColor="text1"/>
          <w:sz w:val="20"/>
          <w:szCs w:val="20"/>
        </w:rPr>
      </w:pPr>
      <w:r>
        <w:rPr>
          <w:color w:val="000000" w:themeColor="text1"/>
          <w:sz w:val="20"/>
          <w:szCs w:val="20"/>
        </w:rPr>
        <w:t>21</w:t>
      </w:r>
      <w:r w:rsidR="007B6020" w:rsidRPr="00A6587D">
        <w:rPr>
          <w:color w:val="000000" w:themeColor="text1"/>
          <w:sz w:val="20"/>
          <w:szCs w:val="20"/>
        </w:rPr>
        <w:t>.</w:t>
      </w:r>
      <w:r w:rsidR="007B6020" w:rsidRPr="00A6587D">
        <w:rPr>
          <w:color w:val="000000" w:themeColor="text1"/>
          <w:sz w:val="20"/>
          <w:szCs w:val="20"/>
        </w:rPr>
        <w:tab/>
        <w:t xml:space="preserve">At the </w:t>
      </w:r>
      <w:r w:rsidR="00A93886">
        <w:rPr>
          <w:color w:val="000000" w:themeColor="text1"/>
          <w:sz w:val="20"/>
          <w:szCs w:val="20"/>
        </w:rPr>
        <w:t>9</w:t>
      </w:r>
      <w:r w:rsidR="00A93886" w:rsidRPr="00B66F17">
        <w:rPr>
          <w:color w:val="000000" w:themeColor="text1"/>
          <w:sz w:val="20"/>
          <w:szCs w:val="20"/>
        </w:rPr>
        <w:t>th meeting, on 28 February 2019</w:t>
      </w:r>
      <w:r w:rsidR="007B6020" w:rsidRPr="00A6587D">
        <w:rPr>
          <w:color w:val="000000" w:themeColor="text1"/>
          <w:sz w:val="20"/>
          <w:szCs w:val="20"/>
        </w:rPr>
        <w:t>, t</w:t>
      </w:r>
      <w:r w:rsidR="00F11B08" w:rsidRPr="00A6587D">
        <w:rPr>
          <w:color w:val="000000" w:themeColor="text1"/>
          <w:sz w:val="20"/>
          <w:szCs w:val="20"/>
        </w:rPr>
        <w:t xml:space="preserve">he </w:t>
      </w:r>
      <w:r w:rsidR="002A37AB" w:rsidRPr="00A6587D">
        <w:rPr>
          <w:color w:val="000000" w:themeColor="text1"/>
          <w:sz w:val="20"/>
          <w:szCs w:val="20"/>
        </w:rPr>
        <w:t xml:space="preserve">President </w:t>
      </w:r>
      <w:r w:rsidR="00F11B08" w:rsidRPr="00A6587D">
        <w:rPr>
          <w:color w:val="000000" w:themeColor="text1"/>
          <w:sz w:val="20"/>
          <w:szCs w:val="20"/>
        </w:rPr>
        <w:t xml:space="preserve">referred to the introduction of a </w:t>
      </w:r>
      <w:r w:rsidR="00F11B08" w:rsidRPr="00A6587D">
        <w:rPr>
          <w:bCs/>
          <w:color w:val="000000" w:themeColor="text1"/>
          <w:sz w:val="20"/>
          <w:szCs w:val="20"/>
        </w:rPr>
        <w:t xml:space="preserve">web-based online </w:t>
      </w:r>
      <w:r w:rsidR="00F11B08" w:rsidRPr="00A6587D">
        <w:rPr>
          <w:color w:val="000000" w:themeColor="text1"/>
          <w:sz w:val="20"/>
          <w:szCs w:val="20"/>
        </w:rPr>
        <w:t xml:space="preserve">system for inscription to the lists of speakers for all general debates, individual and clustered interactive dialogues at the </w:t>
      </w:r>
      <w:r w:rsidR="00F26B03" w:rsidRPr="00A6587D">
        <w:rPr>
          <w:color w:val="000000" w:themeColor="text1"/>
          <w:sz w:val="20"/>
          <w:szCs w:val="20"/>
        </w:rPr>
        <w:t>fortieth</w:t>
      </w:r>
      <w:r w:rsidR="00F11B08" w:rsidRPr="00A6587D">
        <w:rPr>
          <w:color w:val="000000" w:themeColor="text1"/>
          <w:sz w:val="20"/>
          <w:szCs w:val="20"/>
        </w:rPr>
        <w:t xml:space="preserve"> session of the Human Rights Council. He also referred to the modalities and schedule of the online inscription which was </w:t>
      </w:r>
      <w:r w:rsidR="00F910B6" w:rsidRPr="00A6587D">
        <w:rPr>
          <w:color w:val="000000" w:themeColor="text1"/>
          <w:sz w:val="20"/>
          <w:szCs w:val="20"/>
        </w:rPr>
        <w:t>launched</w:t>
      </w:r>
      <w:r w:rsidR="00F11B08" w:rsidRPr="00A6587D">
        <w:rPr>
          <w:color w:val="000000" w:themeColor="text1"/>
          <w:sz w:val="20"/>
          <w:szCs w:val="20"/>
        </w:rPr>
        <w:t xml:space="preserve"> </w:t>
      </w:r>
      <w:r w:rsidR="007B6020" w:rsidRPr="00A6587D">
        <w:rPr>
          <w:color w:val="000000" w:themeColor="text1"/>
          <w:sz w:val="20"/>
          <w:szCs w:val="20"/>
        </w:rPr>
        <w:t>on 2</w:t>
      </w:r>
      <w:r w:rsidR="00A6587D" w:rsidRPr="00A6587D">
        <w:rPr>
          <w:color w:val="000000" w:themeColor="text1"/>
          <w:sz w:val="20"/>
          <w:szCs w:val="20"/>
        </w:rPr>
        <w:t>0</w:t>
      </w:r>
      <w:r w:rsidR="007B6020" w:rsidRPr="00A6587D">
        <w:rPr>
          <w:color w:val="000000" w:themeColor="text1"/>
          <w:sz w:val="20"/>
          <w:szCs w:val="20"/>
        </w:rPr>
        <w:t xml:space="preserve"> February </w:t>
      </w:r>
      <w:r w:rsidR="00141AFC" w:rsidRPr="00A6587D">
        <w:rPr>
          <w:color w:val="000000" w:themeColor="text1"/>
          <w:sz w:val="20"/>
          <w:szCs w:val="20"/>
        </w:rPr>
        <w:t>2019</w:t>
      </w:r>
      <w:r w:rsidR="00F11B08" w:rsidRPr="00A6587D">
        <w:rPr>
          <w:color w:val="000000" w:themeColor="text1"/>
          <w:sz w:val="20"/>
          <w:szCs w:val="20"/>
        </w:rPr>
        <w:t>.</w:t>
      </w:r>
    </w:p>
    <w:p w14:paraId="1918D408" w14:textId="10FF5FC9" w:rsidR="00456F4D" w:rsidRPr="00B66F17" w:rsidRDefault="00BD37A7" w:rsidP="00456F4D">
      <w:pPr>
        <w:pStyle w:val="SingleTxtG"/>
        <w:rPr>
          <w:color w:val="000000" w:themeColor="text1"/>
          <w:sz w:val="20"/>
          <w:szCs w:val="20"/>
        </w:rPr>
      </w:pPr>
      <w:r>
        <w:rPr>
          <w:color w:val="000000" w:themeColor="text1"/>
          <w:sz w:val="20"/>
          <w:szCs w:val="20"/>
        </w:rPr>
        <w:t>22</w:t>
      </w:r>
      <w:r w:rsidR="00456F4D" w:rsidRPr="00B66F17">
        <w:rPr>
          <w:color w:val="000000" w:themeColor="text1"/>
          <w:sz w:val="20"/>
          <w:szCs w:val="20"/>
        </w:rPr>
        <w:t>.</w:t>
      </w:r>
      <w:r w:rsidR="00456F4D" w:rsidRPr="00B66F17">
        <w:rPr>
          <w:color w:val="000000" w:themeColor="text1"/>
          <w:sz w:val="20"/>
          <w:szCs w:val="20"/>
        </w:rPr>
        <w:tab/>
        <w:t>At the</w:t>
      </w:r>
      <w:r w:rsidR="00B66F17">
        <w:rPr>
          <w:color w:val="000000" w:themeColor="text1"/>
          <w:sz w:val="20"/>
          <w:szCs w:val="20"/>
        </w:rPr>
        <w:t xml:space="preserve"> </w:t>
      </w:r>
      <w:r w:rsidR="00A93886">
        <w:rPr>
          <w:color w:val="000000" w:themeColor="text1"/>
          <w:sz w:val="20"/>
          <w:szCs w:val="20"/>
        </w:rPr>
        <w:t>same meeting</w:t>
      </w:r>
      <w:r w:rsidR="00456F4D" w:rsidRPr="00B66F17">
        <w:rPr>
          <w:color w:val="000000" w:themeColor="text1"/>
          <w:sz w:val="20"/>
          <w:szCs w:val="20"/>
        </w:rPr>
        <w:t xml:space="preserve">, the President outlined the modalities for interactive dialogues with special procedures mandate holders under agenda item 3, which would be two minutes for </w:t>
      </w:r>
      <w:r w:rsidR="005D3E5F" w:rsidRPr="00B66F17">
        <w:rPr>
          <w:color w:val="000000" w:themeColor="text1"/>
          <w:sz w:val="20"/>
          <w:szCs w:val="20"/>
        </w:rPr>
        <w:t>States Members</w:t>
      </w:r>
      <w:r w:rsidR="00456F4D" w:rsidRPr="00B66F17">
        <w:rPr>
          <w:color w:val="000000" w:themeColor="text1"/>
          <w:sz w:val="20"/>
          <w:szCs w:val="20"/>
        </w:rPr>
        <w:t xml:space="preserve"> of the Council, observer States and other observers.</w:t>
      </w:r>
    </w:p>
    <w:p w14:paraId="2EA587B4" w14:textId="5EE2A9D9" w:rsidR="00F11B08" w:rsidRPr="00C34509" w:rsidRDefault="00BD37A7" w:rsidP="00F11B08">
      <w:pPr>
        <w:pStyle w:val="SingleTxtG"/>
        <w:rPr>
          <w:color w:val="000000" w:themeColor="text1"/>
          <w:sz w:val="20"/>
          <w:szCs w:val="20"/>
        </w:rPr>
      </w:pPr>
      <w:r>
        <w:rPr>
          <w:color w:val="000000" w:themeColor="text1"/>
          <w:sz w:val="20"/>
          <w:szCs w:val="20"/>
        </w:rPr>
        <w:t>23</w:t>
      </w:r>
      <w:r w:rsidR="00F11B08" w:rsidRPr="00C34509">
        <w:rPr>
          <w:color w:val="000000" w:themeColor="text1"/>
          <w:sz w:val="20"/>
          <w:szCs w:val="20"/>
        </w:rPr>
        <w:t>.</w:t>
      </w:r>
      <w:r w:rsidR="00F11B08" w:rsidRPr="00C34509">
        <w:rPr>
          <w:color w:val="000000" w:themeColor="text1"/>
          <w:sz w:val="20"/>
          <w:szCs w:val="20"/>
        </w:rPr>
        <w:tab/>
        <w:t>A</w:t>
      </w:r>
      <w:r w:rsidR="00C607F1" w:rsidRPr="00C34509">
        <w:rPr>
          <w:color w:val="000000" w:themeColor="text1"/>
          <w:sz w:val="20"/>
          <w:szCs w:val="20"/>
        </w:rPr>
        <w:t xml:space="preserve">t </w:t>
      </w:r>
      <w:r w:rsidR="00456F4D" w:rsidRPr="00C34509">
        <w:rPr>
          <w:color w:val="000000" w:themeColor="text1"/>
          <w:sz w:val="20"/>
          <w:szCs w:val="20"/>
        </w:rPr>
        <w:t>2</w:t>
      </w:r>
      <w:r w:rsidR="00C34509" w:rsidRPr="00C34509">
        <w:rPr>
          <w:color w:val="000000" w:themeColor="text1"/>
          <w:sz w:val="20"/>
          <w:szCs w:val="20"/>
        </w:rPr>
        <w:t>4</w:t>
      </w:r>
      <w:r w:rsidR="00C607F1" w:rsidRPr="00C34509">
        <w:rPr>
          <w:color w:val="000000" w:themeColor="text1"/>
          <w:sz w:val="20"/>
          <w:szCs w:val="20"/>
        </w:rPr>
        <w:t xml:space="preserve">th meeting, on </w:t>
      </w:r>
      <w:r w:rsidR="00456F4D" w:rsidRPr="00C34509">
        <w:rPr>
          <w:color w:val="000000" w:themeColor="text1"/>
          <w:sz w:val="20"/>
          <w:szCs w:val="20"/>
        </w:rPr>
        <w:t>8</w:t>
      </w:r>
      <w:r w:rsidR="00C607F1" w:rsidRPr="00C34509">
        <w:rPr>
          <w:color w:val="000000" w:themeColor="text1"/>
          <w:sz w:val="20"/>
          <w:szCs w:val="20"/>
        </w:rPr>
        <w:t xml:space="preserve"> March </w:t>
      </w:r>
      <w:r w:rsidR="00141AFC" w:rsidRPr="00C34509">
        <w:rPr>
          <w:color w:val="000000" w:themeColor="text1"/>
          <w:sz w:val="20"/>
          <w:szCs w:val="20"/>
        </w:rPr>
        <w:t>2019</w:t>
      </w:r>
      <w:r w:rsidR="00F11B08" w:rsidRPr="00C34509">
        <w:rPr>
          <w:color w:val="000000" w:themeColor="text1"/>
          <w:sz w:val="20"/>
          <w:szCs w:val="20"/>
        </w:rPr>
        <w:t xml:space="preserve">, the President outlined the speaking time modalities for the general debates, which would be 2 minutes and 30 seconds for </w:t>
      </w:r>
      <w:r w:rsidR="005D3E5F" w:rsidRPr="00C34509">
        <w:rPr>
          <w:color w:val="000000" w:themeColor="text1"/>
          <w:sz w:val="20"/>
          <w:szCs w:val="20"/>
        </w:rPr>
        <w:t>States Members</w:t>
      </w:r>
      <w:r w:rsidR="00F11B08" w:rsidRPr="00C34509">
        <w:rPr>
          <w:color w:val="000000" w:themeColor="text1"/>
          <w:sz w:val="20"/>
          <w:szCs w:val="20"/>
        </w:rPr>
        <w:t xml:space="preserve"> of the Council and 1 minute and 30 seconds for observer States and other observers.</w:t>
      </w:r>
    </w:p>
    <w:p w14:paraId="2EA587B5" w14:textId="6364A7BE" w:rsidR="00F11B08" w:rsidRPr="007E1AC5" w:rsidRDefault="00BD37A7" w:rsidP="00F11B08">
      <w:pPr>
        <w:pStyle w:val="SingleTxtG"/>
        <w:rPr>
          <w:color w:val="000000" w:themeColor="text1"/>
          <w:sz w:val="20"/>
          <w:szCs w:val="20"/>
        </w:rPr>
      </w:pPr>
      <w:r>
        <w:rPr>
          <w:color w:val="000000" w:themeColor="text1"/>
          <w:sz w:val="20"/>
          <w:szCs w:val="20"/>
        </w:rPr>
        <w:t>24</w:t>
      </w:r>
      <w:r w:rsidR="00F11B08" w:rsidRPr="007E1AC5">
        <w:rPr>
          <w:color w:val="000000" w:themeColor="text1"/>
          <w:sz w:val="20"/>
          <w:szCs w:val="20"/>
        </w:rPr>
        <w:t>.</w:t>
      </w:r>
      <w:r w:rsidR="00F11B08" w:rsidRPr="007E1AC5">
        <w:rPr>
          <w:color w:val="000000" w:themeColor="text1"/>
          <w:sz w:val="20"/>
          <w:szCs w:val="20"/>
        </w:rPr>
        <w:tab/>
        <w:t>At th</w:t>
      </w:r>
      <w:r w:rsidR="00C607F1" w:rsidRPr="007E1AC5">
        <w:rPr>
          <w:color w:val="000000" w:themeColor="text1"/>
          <w:sz w:val="20"/>
          <w:szCs w:val="20"/>
        </w:rPr>
        <w:t xml:space="preserve">e </w:t>
      </w:r>
      <w:r w:rsidR="006C4332" w:rsidRPr="007E1AC5">
        <w:rPr>
          <w:color w:val="000000" w:themeColor="text1"/>
          <w:sz w:val="20"/>
          <w:szCs w:val="20"/>
        </w:rPr>
        <w:t>2</w:t>
      </w:r>
      <w:r w:rsidR="007E1AC5" w:rsidRPr="007E1AC5">
        <w:rPr>
          <w:color w:val="000000" w:themeColor="text1"/>
          <w:sz w:val="20"/>
          <w:szCs w:val="20"/>
        </w:rPr>
        <w:t>6</w:t>
      </w:r>
      <w:r w:rsidR="006C4332" w:rsidRPr="007E1AC5">
        <w:rPr>
          <w:color w:val="000000" w:themeColor="text1"/>
          <w:sz w:val="20"/>
          <w:szCs w:val="20"/>
        </w:rPr>
        <w:t>th</w:t>
      </w:r>
      <w:r w:rsidR="00C607F1" w:rsidRPr="007E1AC5">
        <w:rPr>
          <w:color w:val="000000" w:themeColor="text1"/>
          <w:sz w:val="20"/>
          <w:szCs w:val="20"/>
        </w:rPr>
        <w:t xml:space="preserve"> meeting, on 1</w:t>
      </w:r>
      <w:r w:rsidR="007E1AC5" w:rsidRPr="007E1AC5">
        <w:rPr>
          <w:color w:val="000000" w:themeColor="text1"/>
          <w:sz w:val="20"/>
          <w:szCs w:val="20"/>
        </w:rPr>
        <w:t>1</w:t>
      </w:r>
      <w:r w:rsidR="00C607F1" w:rsidRPr="007E1AC5">
        <w:rPr>
          <w:color w:val="000000" w:themeColor="text1"/>
          <w:sz w:val="20"/>
          <w:szCs w:val="20"/>
        </w:rPr>
        <w:t xml:space="preserve"> March </w:t>
      </w:r>
      <w:r w:rsidR="00141AFC" w:rsidRPr="007E1AC5">
        <w:rPr>
          <w:color w:val="000000" w:themeColor="text1"/>
          <w:sz w:val="20"/>
          <w:szCs w:val="20"/>
        </w:rPr>
        <w:t>2019</w:t>
      </w:r>
      <w:r w:rsidR="00F11B08" w:rsidRPr="007E1AC5">
        <w:rPr>
          <w:color w:val="000000" w:themeColor="text1"/>
          <w:sz w:val="20"/>
          <w:szCs w:val="20"/>
        </w:rPr>
        <w:t xml:space="preserve">, the President outlined the modalities for individual interactive dialogues on item 4, with special procedures mandate holders, which would be two minutes for </w:t>
      </w:r>
      <w:r w:rsidR="005D3E5F" w:rsidRPr="007E1AC5">
        <w:rPr>
          <w:color w:val="000000" w:themeColor="text1"/>
          <w:sz w:val="20"/>
          <w:szCs w:val="20"/>
        </w:rPr>
        <w:t>States Members</w:t>
      </w:r>
      <w:r w:rsidR="00F11B08" w:rsidRPr="007E1AC5">
        <w:rPr>
          <w:color w:val="000000" w:themeColor="text1"/>
          <w:sz w:val="20"/>
          <w:szCs w:val="20"/>
        </w:rPr>
        <w:t xml:space="preserve"> of the Council, observer States and other observers.</w:t>
      </w:r>
    </w:p>
    <w:p w14:paraId="7E13B381" w14:textId="64281E43" w:rsidR="003D5A4B" w:rsidRPr="007E1AC5" w:rsidRDefault="00BD37A7" w:rsidP="003D5A4B">
      <w:pPr>
        <w:pStyle w:val="SingleTxtG"/>
        <w:rPr>
          <w:color w:val="000000" w:themeColor="text1"/>
          <w:sz w:val="20"/>
          <w:szCs w:val="20"/>
        </w:rPr>
      </w:pPr>
      <w:r>
        <w:rPr>
          <w:color w:val="000000" w:themeColor="text1"/>
          <w:sz w:val="20"/>
          <w:szCs w:val="20"/>
        </w:rPr>
        <w:t>25</w:t>
      </w:r>
      <w:r w:rsidR="003D5A4B" w:rsidRPr="007E1AC5">
        <w:rPr>
          <w:color w:val="000000" w:themeColor="text1"/>
          <w:sz w:val="20"/>
          <w:szCs w:val="20"/>
        </w:rPr>
        <w:t>.</w:t>
      </w:r>
      <w:r w:rsidR="003D5A4B" w:rsidRPr="007E1AC5">
        <w:rPr>
          <w:color w:val="000000" w:themeColor="text1"/>
          <w:sz w:val="20"/>
          <w:szCs w:val="20"/>
        </w:rPr>
        <w:tab/>
        <w:t xml:space="preserve">At the </w:t>
      </w:r>
      <w:r w:rsidR="007E1AC5">
        <w:rPr>
          <w:color w:val="000000" w:themeColor="text1"/>
          <w:sz w:val="20"/>
          <w:szCs w:val="20"/>
        </w:rPr>
        <w:t>28</w:t>
      </w:r>
      <w:r w:rsidR="003D5A4B" w:rsidRPr="007E1AC5">
        <w:rPr>
          <w:color w:val="000000" w:themeColor="text1"/>
          <w:sz w:val="20"/>
          <w:szCs w:val="20"/>
        </w:rPr>
        <w:t>th meeting, on 1</w:t>
      </w:r>
      <w:r w:rsidR="007E1AC5">
        <w:rPr>
          <w:color w:val="000000" w:themeColor="text1"/>
          <w:sz w:val="20"/>
          <w:szCs w:val="20"/>
        </w:rPr>
        <w:t>1</w:t>
      </w:r>
      <w:r w:rsidR="003D5A4B" w:rsidRPr="007E1AC5">
        <w:rPr>
          <w:color w:val="000000" w:themeColor="text1"/>
          <w:sz w:val="20"/>
          <w:szCs w:val="20"/>
        </w:rPr>
        <w:t xml:space="preserve"> March </w:t>
      </w:r>
      <w:r w:rsidR="00141AFC" w:rsidRPr="007E1AC5">
        <w:rPr>
          <w:color w:val="000000" w:themeColor="text1"/>
          <w:sz w:val="20"/>
          <w:szCs w:val="20"/>
        </w:rPr>
        <w:t>2019</w:t>
      </w:r>
      <w:r w:rsidR="003D5A4B" w:rsidRPr="007E1AC5">
        <w:rPr>
          <w:color w:val="000000" w:themeColor="text1"/>
          <w:sz w:val="20"/>
          <w:szCs w:val="20"/>
        </w:rPr>
        <w:t xml:space="preserve">, the President outlined the modalities for enhanced interactive dialogues on item 4, with special procedures mandate holders, which would be two minutes for </w:t>
      </w:r>
      <w:r w:rsidR="005D3E5F" w:rsidRPr="007E1AC5">
        <w:rPr>
          <w:color w:val="000000" w:themeColor="text1"/>
          <w:sz w:val="20"/>
          <w:szCs w:val="20"/>
        </w:rPr>
        <w:t>States Members</w:t>
      </w:r>
      <w:r w:rsidR="003D5A4B" w:rsidRPr="007E1AC5">
        <w:rPr>
          <w:color w:val="000000" w:themeColor="text1"/>
          <w:sz w:val="20"/>
          <w:szCs w:val="20"/>
        </w:rPr>
        <w:t xml:space="preserve"> of the Council, observer States and other observers.</w:t>
      </w:r>
    </w:p>
    <w:p w14:paraId="38DDA05B" w14:textId="1B5A1C0C" w:rsidR="00DB638D" w:rsidRPr="0067399B" w:rsidRDefault="00BD37A7" w:rsidP="00DB638D">
      <w:pPr>
        <w:pStyle w:val="SingleTxtG"/>
        <w:rPr>
          <w:color w:val="000000" w:themeColor="text1"/>
          <w:sz w:val="20"/>
          <w:szCs w:val="20"/>
        </w:rPr>
      </w:pPr>
      <w:r>
        <w:rPr>
          <w:color w:val="000000" w:themeColor="text1"/>
          <w:sz w:val="20"/>
          <w:szCs w:val="20"/>
        </w:rPr>
        <w:lastRenderedPageBreak/>
        <w:t>26</w:t>
      </w:r>
      <w:r w:rsidR="00C607F1" w:rsidRPr="00117EE3">
        <w:rPr>
          <w:color w:val="000000" w:themeColor="text1"/>
          <w:sz w:val="20"/>
          <w:szCs w:val="20"/>
        </w:rPr>
        <w:t>.</w:t>
      </w:r>
      <w:r w:rsidR="00C607F1" w:rsidRPr="00117EE3">
        <w:rPr>
          <w:color w:val="000000" w:themeColor="text1"/>
          <w:sz w:val="20"/>
          <w:szCs w:val="20"/>
        </w:rPr>
        <w:tab/>
        <w:t xml:space="preserve">At the </w:t>
      </w:r>
      <w:r w:rsidR="00254C82" w:rsidRPr="00117EE3">
        <w:rPr>
          <w:color w:val="000000" w:themeColor="text1"/>
          <w:sz w:val="20"/>
          <w:szCs w:val="20"/>
        </w:rPr>
        <w:t>3</w:t>
      </w:r>
      <w:r w:rsidR="00117EE3" w:rsidRPr="00117EE3">
        <w:rPr>
          <w:color w:val="000000" w:themeColor="text1"/>
          <w:sz w:val="20"/>
          <w:szCs w:val="20"/>
        </w:rPr>
        <w:t>5</w:t>
      </w:r>
      <w:r w:rsidR="00C607F1" w:rsidRPr="00117EE3">
        <w:rPr>
          <w:color w:val="000000" w:themeColor="text1"/>
          <w:sz w:val="20"/>
          <w:szCs w:val="20"/>
        </w:rPr>
        <w:t>th</w:t>
      </w:r>
      <w:r w:rsidR="00F11B08" w:rsidRPr="00117EE3">
        <w:rPr>
          <w:color w:val="000000" w:themeColor="text1"/>
          <w:sz w:val="20"/>
          <w:szCs w:val="20"/>
        </w:rPr>
        <w:t xml:space="preserve"> meeting, on 1</w:t>
      </w:r>
      <w:r w:rsidR="00117EE3" w:rsidRPr="00117EE3">
        <w:rPr>
          <w:color w:val="000000" w:themeColor="text1"/>
          <w:sz w:val="20"/>
          <w:szCs w:val="20"/>
        </w:rPr>
        <w:t>4</w:t>
      </w:r>
      <w:r w:rsidR="00C607F1" w:rsidRPr="00117EE3">
        <w:rPr>
          <w:color w:val="000000" w:themeColor="text1"/>
          <w:sz w:val="20"/>
          <w:szCs w:val="20"/>
        </w:rPr>
        <w:t xml:space="preserve"> March </w:t>
      </w:r>
      <w:r w:rsidR="00141AFC" w:rsidRPr="00117EE3">
        <w:rPr>
          <w:color w:val="000000" w:themeColor="text1"/>
          <w:sz w:val="20"/>
          <w:szCs w:val="20"/>
        </w:rPr>
        <w:t>2019</w:t>
      </w:r>
      <w:r w:rsidR="00F11B08" w:rsidRPr="00117EE3">
        <w:rPr>
          <w:color w:val="000000" w:themeColor="text1"/>
          <w:sz w:val="20"/>
          <w:szCs w:val="20"/>
        </w:rPr>
        <w:t xml:space="preserve">, the President outlined the modalities for the consideration of the outcomes of the universal periodic review under agenda item 6, </w:t>
      </w:r>
      <w:r w:rsidR="00DB638D" w:rsidRPr="00117EE3">
        <w:rPr>
          <w:color w:val="000000" w:themeColor="text1"/>
          <w:sz w:val="20"/>
          <w:szCs w:val="20"/>
        </w:rPr>
        <w:t xml:space="preserve">which would be 20 minutes for the State concerned to present its views; where appropriate, 2 minutes for the national human rights institution with “A” status of the State concerned; up to 20 minutes for </w:t>
      </w:r>
      <w:r w:rsidR="005D3E5F" w:rsidRPr="00117EE3">
        <w:rPr>
          <w:color w:val="000000" w:themeColor="text1"/>
          <w:sz w:val="20"/>
          <w:szCs w:val="20"/>
        </w:rPr>
        <w:t>States Members</w:t>
      </w:r>
      <w:r w:rsidR="00DB638D" w:rsidRPr="00117EE3">
        <w:rPr>
          <w:color w:val="000000" w:themeColor="text1"/>
          <w:sz w:val="20"/>
          <w:szCs w:val="20"/>
        </w:rPr>
        <w:t xml:space="preserve"> of the Human Rights Council, observer States and United Nations agencies to express their views on the outcome of the review, with varying speaking times according to the number of speakers in accordance with the modalities set out in the Appendix to resolution 16/21; and up to 20 minutes for stakeholders with speaking time of 2 minutes for all to make general comments on the outcome of the review.</w:t>
      </w:r>
    </w:p>
    <w:p w14:paraId="2EA587B7" w14:textId="3C6348E0" w:rsidR="00F11B08" w:rsidRPr="00C16037" w:rsidRDefault="00DE052D" w:rsidP="00F11B08">
      <w:pPr>
        <w:pStyle w:val="H1G"/>
        <w:rPr>
          <w:color w:val="000000" w:themeColor="text1"/>
        </w:rPr>
      </w:pPr>
      <w:r w:rsidRPr="00C16037">
        <w:rPr>
          <w:color w:val="000000" w:themeColor="text1"/>
        </w:rPr>
        <w:tab/>
        <w:t>G</w:t>
      </w:r>
      <w:r w:rsidR="00F11B08" w:rsidRPr="00C16037">
        <w:rPr>
          <w:color w:val="000000" w:themeColor="text1"/>
        </w:rPr>
        <w:t>.</w:t>
      </w:r>
      <w:r w:rsidR="00F11B08" w:rsidRPr="00C16037">
        <w:rPr>
          <w:color w:val="000000" w:themeColor="text1"/>
        </w:rPr>
        <w:tab/>
        <w:t>Meetings and documentation</w:t>
      </w:r>
    </w:p>
    <w:p w14:paraId="2EA587B8" w14:textId="6C852344" w:rsidR="00F11B08" w:rsidRPr="0067399B" w:rsidRDefault="00BD37A7" w:rsidP="00F11B08">
      <w:pPr>
        <w:pStyle w:val="SingleTxtG"/>
        <w:rPr>
          <w:color w:val="000000" w:themeColor="text1"/>
          <w:sz w:val="20"/>
          <w:szCs w:val="20"/>
        </w:rPr>
      </w:pPr>
      <w:r>
        <w:rPr>
          <w:color w:val="000000" w:themeColor="text1"/>
          <w:sz w:val="20"/>
          <w:szCs w:val="20"/>
        </w:rPr>
        <w:t>27</w:t>
      </w:r>
      <w:r w:rsidR="00F11B08" w:rsidRPr="0067399B">
        <w:rPr>
          <w:color w:val="000000" w:themeColor="text1"/>
          <w:sz w:val="20"/>
          <w:szCs w:val="20"/>
        </w:rPr>
        <w:t>.</w:t>
      </w:r>
      <w:r w:rsidR="00F11B08" w:rsidRPr="0067399B">
        <w:rPr>
          <w:color w:val="000000" w:themeColor="text1"/>
          <w:sz w:val="20"/>
          <w:szCs w:val="20"/>
        </w:rPr>
        <w:tab/>
        <w:t xml:space="preserve">The Human Rights Council held </w:t>
      </w:r>
      <w:r w:rsidR="00AF2901">
        <w:rPr>
          <w:color w:val="000000" w:themeColor="text1"/>
          <w:sz w:val="20"/>
          <w:szCs w:val="20"/>
        </w:rPr>
        <w:t>55</w:t>
      </w:r>
      <w:r w:rsidR="00246FF0" w:rsidRPr="0067399B">
        <w:rPr>
          <w:color w:val="000000" w:themeColor="text1"/>
          <w:sz w:val="20"/>
          <w:szCs w:val="20"/>
        </w:rPr>
        <w:t xml:space="preserve"> </w:t>
      </w:r>
      <w:r w:rsidR="00F11B08" w:rsidRPr="0067399B">
        <w:rPr>
          <w:color w:val="000000" w:themeColor="text1"/>
          <w:sz w:val="20"/>
          <w:szCs w:val="20"/>
        </w:rPr>
        <w:t xml:space="preserve">fully serviced meetings during its </w:t>
      </w:r>
      <w:r w:rsidR="00F26B03">
        <w:rPr>
          <w:color w:val="000000" w:themeColor="text1"/>
          <w:sz w:val="20"/>
          <w:szCs w:val="20"/>
        </w:rPr>
        <w:t>fortieth</w:t>
      </w:r>
      <w:r w:rsidR="00F11B08" w:rsidRPr="0067399B">
        <w:rPr>
          <w:color w:val="000000" w:themeColor="text1"/>
          <w:sz w:val="20"/>
          <w:szCs w:val="20"/>
        </w:rPr>
        <w:t xml:space="preserve"> session.</w:t>
      </w:r>
      <w:r w:rsidR="00AB550D">
        <w:rPr>
          <w:rStyle w:val="FootnoteReference"/>
          <w:color w:val="000000" w:themeColor="text1"/>
          <w:szCs w:val="20"/>
        </w:rPr>
        <w:footnoteReference w:id="5"/>
      </w:r>
    </w:p>
    <w:p w14:paraId="2EA587B9" w14:textId="00A63243" w:rsidR="00F11B08" w:rsidRPr="0067399B" w:rsidRDefault="00BD37A7" w:rsidP="00F11B08">
      <w:pPr>
        <w:pStyle w:val="SingleTxtG"/>
        <w:rPr>
          <w:color w:val="000000" w:themeColor="text1"/>
          <w:sz w:val="20"/>
          <w:szCs w:val="20"/>
        </w:rPr>
      </w:pPr>
      <w:r>
        <w:rPr>
          <w:color w:val="000000" w:themeColor="text1"/>
          <w:sz w:val="20"/>
          <w:szCs w:val="20"/>
        </w:rPr>
        <w:t>28</w:t>
      </w:r>
      <w:r w:rsidR="00F11B08" w:rsidRPr="0067399B">
        <w:rPr>
          <w:color w:val="000000" w:themeColor="text1"/>
          <w:sz w:val="20"/>
          <w:szCs w:val="20"/>
        </w:rPr>
        <w:t>.</w:t>
      </w:r>
      <w:r w:rsidR="00F11B08" w:rsidRPr="0067399B">
        <w:rPr>
          <w:color w:val="000000" w:themeColor="text1"/>
          <w:sz w:val="20"/>
          <w:szCs w:val="20"/>
        </w:rPr>
        <w:tab/>
        <w:t>The list of the resolutions, deci</w:t>
      </w:r>
      <w:r w:rsidR="00D23B5C" w:rsidRPr="0067399B">
        <w:rPr>
          <w:color w:val="000000" w:themeColor="text1"/>
          <w:sz w:val="20"/>
          <w:szCs w:val="20"/>
        </w:rPr>
        <w:t>sions and President</w:t>
      </w:r>
      <w:r w:rsidR="00D72627">
        <w:rPr>
          <w:color w:val="000000" w:themeColor="text1"/>
          <w:sz w:val="20"/>
          <w:szCs w:val="20"/>
        </w:rPr>
        <w:t>’</w:t>
      </w:r>
      <w:r w:rsidR="00D23B5C" w:rsidRPr="0067399B">
        <w:rPr>
          <w:color w:val="000000" w:themeColor="text1"/>
          <w:sz w:val="20"/>
          <w:szCs w:val="20"/>
        </w:rPr>
        <w:t>s statement</w:t>
      </w:r>
      <w:r w:rsidR="00F11B08" w:rsidRPr="0067399B">
        <w:rPr>
          <w:color w:val="000000" w:themeColor="text1"/>
          <w:sz w:val="20"/>
          <w:szCs w:val="20"/>
        </w:rPr>
        <w:t xml:space="preserve"> adopted by the Human Rights Council is contained in part one of the present report.</w:t>
      </w:r>
    </w:p>
    <w:p w14:paraId="2EA587BA" w14:textId="06AADFD7" w:rsidR="00F11B08" w:rsidRPr="00C16037" w:rsidRDefault="00DE052D" w:rsidP="00F11B08">
      <w:pPr>
        <w:pStyle w:val="H1G"/>
        <w:rPr>
          <w:color w:val="000000" w:themeColor="text1"/>
        </w:rPr>
      </w:pPr>
      <w:r w:rsidRPr="00C16037">
        <w:rPr>
          <w:color w:val="000000" w:themeColor="text1"/>
        </w:rPr>
        <w:tab/>
        <w:t>H</w:t>
      </w:r>
      <w:r w:rsidR="00F11B08" w:rsidRPr="00C16037">
        <w:rPr>
          <w:color w:val="000000" w:themeColor="text1"/>
        </w:rPr>
        <w:t>.</w:t>
      </w:r>
      <w:r w:rsidR="00F11B08" w:rsidRPr="00C16037">
        <w:rPr>
          <w:color w:val="000000" w:themeColor="text1"/>
        </w:rPr>
        <w:tab/>
        <w:t>Visits</w:t>
      </w:r>
    </w:p>
    <w:p w14:paraId="33DB4BEA" w14:textId="5CC0479F" w:rsidR="00BB302D" w:rsidRDefault="00BD37A7" w:rsidP="00BB302D">
      <w:pPr>
        <w:pStyle w:val="SingleTxtG"/>
        <w:rPr>
          <w:color w:val="000000" w:themeColor="text1"/>
          <w:sz w:val="20"/>
          <w:szCs w:val="20"/>
        </w:rPr>
      </w:pPr>
      <w:r>
        <w:rPr>
          <w:color w:val="000000" w:themeColor="text1"/>
          <w:sz w:val="20"/>
          <w:szCs w:val="20"/>
        </w:rPr>
        <w:t>29</w:t>
      </w:r>
      <w:r w:rsidR="00F11B08" w:rsidRPr="00D15C0E">
        <w:rPr>
          <w:color w:val="000000" w:themeColor="text1"/>
          <w:sz w:val="20"/>
          <w:szCs w:val="20"/>
        </w:rPr>
        <w:t>.</w:t>
      </w:r>
      <w:r w:rsidR="00F11B08" w:rsidRPr="00D15C0E">
        <w:rPr>
          <w:color w:val="000000" w:themeColor="text1"/>
          <w:sz w:val="20"/>
          <w:szCs w:val="20"/>
        </w:rPr>
        <w:tab/>
      </w:r>
      <w:r w:rsidR="00BB302D" w:rsidRPr="00D15C0E">
        <w:rPr>
          <w:color w:val="000000" w:themeColor="text1"/>
          <w:sz w:val="20"/>
          <w:szCs w:val="20"/>
        </w:rPr>
        <w:t>At the 1</w:t>
      </w:r>
      <w:r w:rsidR="00D15C0E" w:rsidRPr="00D15C0E">
        <w:rPr>
          <w:color w:val="000000" w:themeColor="text1"/>
          <w:sz w:val="20"/>
          <w:szCs w:val="20"/>
        </w:rPr>
        <w:t>6th meeting, on 4</w:t>
      </w:r>
      <w:r w:rsidR="00BB302D" w:rsidRPr="00D15C0E">
        <w:rPr>
          <w:color w:val="000000" w:themeColor="text1"/>
          <w:sz w:val="20"/>
          <w:szCs w:val="20"/>
        </w:rPr>
        <w:t xml:space="preserve"> March </w:t>
      </w:r>
      <w:r w:rsidR="00141AFC" w:rsidRPr="00D15C0E">
        <w:rPr>
          <w:color w:val="000000" w:themeColor="text1"/>
          <w:sz w:val="20"/>
          <w:szCs w:val="20"/>
        </w:rPr>
        <w:t>2019</w:t>
      </w:r>
      <w:r w:rsidR="00BB302D" w:rsidRPr="00D15C0E">
        <w:rPr>
          <w:color w:val="000000" w:themeColor="text1"/>
          <w:sz w:val="20"/>
          <w:szCs w:val="20"/>
        </w:rPr>
        <w:t xml:space="preserve">, the </w:t>
      </w:r>
      <w:r w:rsidR="00D15C0E" w:rsidRPr="00D15C0E">
        <w:rPr>
          <w:color w:val="000000" w:themeColor="text1"/>
          <w:sz w:val="20"/>
          <w:szCs w:val="20"/>
        </w:rPr>
        <w:t>Prime Minister of Somalia, Hassan Ali Khayre</w:t>
      </w:r>
      <w:r w:rsidR="00C83CE7" w:rsidRPr="00D15C0E">
        <w:rPr>
          <w:color w:val="000000" w:themeColor="text1"/>
          <w:sz w:val="20"/>
          <w:szCs w:val="20"/>
        </w:rPr>
        <w:t xml:space="preserve">, </w:t>
      </w:r>
      <w:r w:rsidR="00BB302D" w:rsidRPr="00D15C0E">
        <w:rPr>
          <w:color w:val="000000" w:themeColor="text1"/>
          <w:sz w:val="20"/>
          <w:szCs w:val="20"/>
        </w:rPr>
        <w:t xml:space="preserve">delivered a statement to the Human Rights Council. </w:t>
      </w:r>
    </w:p>
    <w:p w14:paraId="27435C4E" w14:textId="43954574" w:rsidR="001F267D" w:rsidRDefault="00BD37A7" w:rsidP="001F267D">
      <w:pPr>
        <w:pStyle w:val="SingleTxtG"/>
        <w:rPr>
          <w:color w:val="000000" w:themeColor="text1"/>
          <w:sz w:val="20"/>
          <w:szCs w:val="20"/>
        </w:rPr>
      </w:pPr>
      <w:r>
        <w:rPr>
          <w:color w:val="000000" w:themeColor="text1"/>
          <w:sz w:val="20"/>
          <w:szCs w:val="20"/>
        </w:rPr>
        <w:t>30</w:t>
      </w:r>
      <w:r w:rsidR="001F267D" w:rsidRPr="00D15C0E">
        <w:rPr>
          <w:color w:val="000000" w:themeColor="text1"/>
          <w:sz w:val="20"/>
          <w:szCs w:val="20"/>
        </w:rPr>
        <w:t>.</w:t>
      </w:r>
      <w:r w:rsidR="001F267D" w:rsidRPr="00D15C0E">
        <w:rPr>
          <w:color w:val="000000" w:themeColor="text1"/>
          <w:sz w:val="20"/>
          <w:szCs w:val="20"/>
        </w:rPr>
        <w:tab/>
        <w:t xml:space="preserve">At the </w:t>
      </w:r>
      <w:r w:rsidR="001F267D">
        <w:rPr>
          <w:color w:val="000000" w:themeColor="text1"/>
          <w:sz w:val="20"/>
          <w:szCs w:val="20"/>
        </w:rPr>
        <w:t>25th meeting, on 8</w:t>
      </w:r>
      <w:r w:rsidR="001F267D" w:rsidRPr="00D15C0E">
        <w:rPr>
          <w:color w:val="000000" w:themeColor="text1"/>
          <w:sz w:val="20"/>
          <w:szCs w:val="20"/>
        </w:rPr>
        <w:t xml:space="preserve"> March 2019, the </w:t>
      </w:r>
      <w:r w:rsidR="001F267D" w:rsidRPr="001F267D">
        <w:rPr>
          <w:color w:val="000000" w:themeColor="text1"/>
          <w:sz w:val="20"/>
          <w:szCs w:val="20"/>
        </w:rPr>
        <w:t>Minister for Foreign Affairs of Marshall Islands</w:t>
      </w:r>
      <w:r w:rsidR="001F267D">
        <w:rPr>
          <w:color w:val="000000" w:themeColor="text1"/>
          <w:sz w:val="20"/>
          <w:szCs w:val="20"/>
        </w:rPr>
        <w:t>,</w:t>
      </w:r>
      <w:r w:rsidR="001F267D" w:rsidRPr="001F267D">
        <w:rPr>
          <w:color w:val="000000" w:themeColor="text1"/>
          <w:sz w:val="20"/>
          <w:szCs w:val="20"/>
        </w:rPr>
        <w:t xml:space="preserve"> John M. Silk</w:t>
      </w:r>
      <w:r w:rsidR="001F267D" w:rsidRPr="00D15C0E">
        <w:rPr>
          <w:color w:val="000000" w:themeColor="text1"/>
          <w:sz w:val="20"/>
          <w:szCs w:val="20"/>
        </w:rPr>
        <w:t xml:space="preserve">, delivered a statement to the Human Rights Council. </w:t>
      </w:r>
    </w:p>
    <w:p w14:paraId="380F3D00" w14:textId="4019661E" w:rsidR="001F267D" w:rsidRDefault="00BD37A7" w:rsidP="001F267D">
      <w:pPr>
        <w:pStyle w:val="SingleTxtG"/>
        <w:rPr>
          <w:color w:val="000000" w:themeColor="text1"/>
          <w:sz w:val="20"/>
          <w:szCs w:val="20"/>
        </w:rPr>
      </w:pPr>
      <w:r>
        <w:rPr>
          <w:color w:val="000000" w:themeColor="text1"/>
          <w:sz w:val="20"/>
          <w:szCs w:val="20"/>
        </w:rPr>
        <w:t>31</w:t>
      </w:r>
      <w:r w:rsidR="001F267D" w:rsidRPr="00D15C0E">
        <w:rPr>
          <w:color w:val="000000" w:themeColor="text1"/>
          <w:sz w:val="20"/>
          <w:szCs w:val="20"/>
        </w:rPr>
        <w:t>.</w:t>
      </w:r>
      <w:r w:rsidR="001F267D" w:rsidRPr="00D15C0E">
        <w:rPr>
          <w:color w:val="000000" w:themeColor="text1"/>
          <w:sz w:val="20"/>
          <w:szCs w:val="20"/>
        </w:rPr>
        <w:tab/>
        <w:t xml:space="preserve">At the </w:t>
      </w:r>
      <w:r w:rsidR="001F267D">
        <w:rPr>
          <w:color w:val="000000" w:themeColor="text1"/>
          <w:sz w:val="20"/>
          <w:szCs w:val="20"/>
        </w:rPr>
        <w:t>same meeting, on the same day</w:t>
      </w:r>
      <w:r w:rsidR="001F267D" w:rsidRPr="00D15C0E">
        <w:rPr>
          <w:color w:val="000000" w:themeColor="text1"/>
          <w:sz w:val="20"/>
          <w:szCs w:val="20"/>
        </w:rPr>
        <w:t xml:space="preserve">, the </w:t>
      </w:r>
      <w:r w:rsidR="001F267D" w:rsidRPr="001F267D">
        <w:rPr>
          <w:color w:val="000000" w:themeColor="text1"/>
          <w:sz w:val="20"/>
          <w:szCs w:val="20"/>
        </w:rPr>
        <w:t>Deputy for International Affairs, High Council for Human Rights of the Islamic Republic of Iran</w:t>
      </w:r>
      <w:r w:rsidR="001F267D">
        <w:rPr>
          <w:color w:val="000000" w:themeColor="text1"/>
          <w:sz w:val="20"/>
          <w:szCs w:val="20"/>
        </w:rPr>
        <w:t>,</w:t>
      </w:r>
      <w:r w:rsidR="001F267D" w:rsidRPr="001F267D">
        <w:rPr>
          <w:color w:val="000000" w:themeColor="text1"/>
          <w:sz w:val="20"/>
          <w:szCs w:val="20"/>
        </w:rPr>
        <w:t xml:space="preserve"> Seyed Majid Tafreshi</w:t>
      </w:r>
      <w:r w:rsidR="001F267D" w:rsidRPr="00D15C0E">
        <w:rPr>
          <w:color w:val="000000" w:themeColor="text1"/>
          <w:sz w:val="20"/>
          <w:szCs w:val="20"/>
        </w:rPr>
        <w:t xml:space="preserve">, delivered a statement to the Human Rights Council. </w:t>
      </w:r>
    </w:p>
    <w:p w14:paraId="4E1D1DC1" w14:textId="3931A4C5" w:rsidR="001C58CD" w:rsidRDefault="00BD37A7" w:rsidP="001C58CD">
      <w:pPr>
        <w:pStyle w:val="SingleTxtG"/>
        <w:rPr>
          <w:color w:val="000000" w:themeColor="text1"/>
          <w:sz w:val="20"/>
          <w:szCs w:val="20"/>
        </w:rPr>
      </w:pPr>
      <w:r>
        <w:rPr>
          <w:color w:val="000000" w:themeColor="text1"/>
          <w:sz w:val="20"/>
          <w:szCs w:val="20"/>
        </w:rPr>
        <w:t>32</w:t>
      </w:r>
      <w:r w:rsidR="001C58CD" w:rsidRPr="00D15C0E">
        <w:rPr>
          <w:color w:val="000000" w:themeColor="text1"/>
          <w:sz w:val="20"/>
          <w:szCs w:val="20"/>
        </w:rPr>
        <w:t>.</w:t>
      </w:r>
      <w:r w:rsidR="001C58CD" w:rsidRPr="00D15C0E">
        <w:rPr>
          <w:color w:val="000000" w:themeColor="text1"/>
          <w:sz w:val="20"/>
          <w:szCs w:val="20"/>
        </w:rPr>
        <w:tab/>
        <w:t xml:space="preserve">At the </w:t>
      </w:r>
      <w:r w:rsidR="001C58CD">
        <w:rPr>
          <w:color w:val="000000" w:themeColor="text1"/>
          <w:sz w:val="20"/>
          <w:szCs w:val="20"/>
        </w:rPr>
        <w:t>34th meeting, on 13</w:t>
      </w:r>
      <w:r w:rsidR="001C58CD" w:rsidRPr="00D15C0E">
        <w:rPr>
          <w:color w:val="000000" w:themeColor="text1"/>
          <w:sz w:val="20"/>
          <w:szCs w:val="20"/>
        </w:rPr>
        <w:t xml:space="preserve"> March 2019, the </w:t>
      </w:r>
      <w:r w:rsidR="001C58CD" w:rsidRPr="001F267D">
        <w:rPr>
          <w:color w:val="000000" w:themeColor="text1"/>
          <w:sz w:val="20"/>
          <w:szCs w:val="20"/>
        </w:rPr>
        <w:t xml:space="preserve">Minister for Foreign Affairs of </w:t>
      </w:r>
      <w:r w:rsidR="001C58CD">
        <w:rPr>
          <w:color w:val="000000" w:themeColor="text1"/>
          <w:sz w:val="20"/>
          <w:szCs w:val="20"/>
        </w:rPr>
        <w:t>Haiti,</w:t>
      </w:r>
      <w:r w:rsidR="001C58CD" w:rsidRPr="001F267D">
        <w:rPr>
          <w:color w:val="000000" w:themeColor="text1"/>
          <w:sz w:val="20"/>
          <w:szCs w:val="20"/>
        </w:rPr>
        <w:t xml:space="preserve"> </w:t>
      </w:r>
      <w:r w:rsidR="001C58CD" w:rsidRPr="001C58CD">
        <w:rPr>
          <w:color w:val="000000" w:themeColor="text1"/>
          <w:sz w:val="20"/>
          <w:szCs w:val="20"/>
        </w:rPr>
        <w:t>Bocchit Edmond</w:t>
      </w:r>
      <w:r w:rsidR="001C58CD" w:rsidRPr="00D15C0E">
        <w:rPr>
          <w:color w:val="000000" w:themeColor="text1"/>
          <w:sz w:val="20"/>
          <w:szCs w:val="20"/>
        </w:rPr>
        <w:t xml:space="preserve">, delivered a statement to the Human Rights Council. </w:t>
      </w:r>
    </w:p>
    <w:p w14:paraId="1C472A48" w14:textId="73DDAF6F" w:rsidR="00CE0D4D" w:rsidRPr="00C16037" w:rsidRDefault="00CE0D4D" w:rsidP="00CE0D4D">
      <w:pPr>
        <w:pStyle w:val="H1G"/>
        <w:rPr>
          <w:color w:val="000000" w:themeColor="text1"/>
        </w:rPr>
      </w:pPr>
      <w:r w:rsidRPr="00C16037">
        <w:rPr>
          <w:color w:val="000000" w:themeColor="text1"/>
        </w:rPr>
        <w:tab/>
      </w:r>
      <w:r>
        <w:rPr>
          <w:color w:val="000000" w:themeColor="text1"/>
        </w:rPr>
        <w:t>I</w:t>
      </w:r>
      <w:r w:rsidRPr="00C16037">
        <w:rPr>
          <w:color w:val="000000" w:themeColor="text1"/>
        </w:rPr>
        <w:t>.</w:t>
      </w:r>
      <w:r w:rsidRPr="00C16037">
        <w:rPr>
          <w:color w:val="000000" w:themeColor="text1"/>
        </w:rPr>
        <w:tab/>
      </w:r>
      <w:r w:rsidRPr="00CE0D4D">
        <w:rPr>
          <w:color w:val="000000" w:themeColor="text1"/>
        </w:rPr>
        <w:t xml:space="preserve">Dialogue with </w:t>
      </w:r>
      <w:r>
        <w:rPr>
          <w:color w:val="000000" w:themeColor="text1"/>
        </w:rPr>
        <w:t xml:space="preserve">the </w:t>
      </w:r>
      <w:r w:rsidRPr="00CE0D4D">
        <w:rPr>
          <w:color w:val="000000" w:themeColor="text1"/>
        </w:rPr>
        <w:t>Deputy Secretary-General of the United Nations</w:t>
      </w:r>
    </w:p>
    <w:p w14:paraId="7F18D1A8" w14:textId="087D64B7" w:rsidR="00CE0D4D" w:rsidRDefault="00BD37A7" w:rsidP="00CE0D4D">
      <w:pPr>
        <w:pStyle w:val="SingleTxtG"/>
        <w:rPr>
          <w:color w:val="000000" w:themeColor="text1"/>
          <w:sz w:val="20"/>
          <w:szCs w:val="20"/>
        </w:rPr>
      </w:pPr>
      <w:r>
        <w:rPr>
          <w:color w:val="000000" w:themeColor="text1"/>
          <w:sz w:val="20"/>
          <w:szCs w:val="20"/>
        </w:rPr>
        <w:t>33</w:t>
      </w:r>
      <w:r w:rsidR="00CE0D4D" w:rsidRPr="00D15C0E">
        <w:rPr>
          <w:color w:val="000000" w:themeColor="text1"/>
          <w:sz w:val="20"/>
          <w:szCs w:val="20"/>
        </w:rPr>
        <w:t>.</w:t>
      </w:r>
      <w:r w:rsidR="00CE0D4D" w:rsidRPr="00D15C0E">
        <w:rPr>
          <w:color w:val="000000" w:themeColor="text1"/>
          <w:sz w:val="20"/>
          <w:szCs w:val="20"/>
        </w:rPr>
        <w:tab/>
        <w:t xml:space="preserve">At the </w:t>
      </w:r>
      <w:r w:rsidR="00CE0D4D">
        <w:rPr>
          <w:color w:val="000000" w:themeColor="text1"/>
          <w:sz w:val="20"/>
          <w:szCs w:val="20"/>
        </w:rPr>
        <w:t>22nd</w:t>
      </w:r>
      <w:r w:rsidR="00CE0D4D" w:rsidRPr="00D15C0E">
        <w:rPr>
          <w:color w:val="000000" w:themeColor="text1"/>
          <w:sz w:val="20"/>
          <w:szCs w:val="20"/>
        </w:rPr>
        <w:t xml:space="preserve"> meeting, on </w:t>
      </w:r>
      <w:r w:rsidR="00CE0D4D">
        <w:rPr>
          <w:color w:val="000000" w:themeColor="text1"/>
          <w:sz w:val="20"/>
          <w:szCs w:val="20"/>
        </w:rPr>
        <w:t>7</w:t>
      </w:r>
      <w:r w:rsidR="00CE0D4D" w:rsidRPr="00D15C0E">
        <w:rPr>
          <w:color w:val="000000" w:themeColor="text1"/>
          <w:sz w:val="20"/>
          <w:szCs w:val="20"/>
        </w:rPr>
        <w:t xml:space="preserve"> March 2019, the </w:t>
      </w:r>
      <w:r w:rsidR="00CE0D4D" w:rsidRPr="00CE0D4D">
        <w:rPr>
          <w:color w:val="000000" w:themeColor="text1"/>
          <w:sz w:val="20"/>
          <w:szCs w:val="20"/>
        </w:rPr>
        <w:t>Deputy Secretary-General of the United Nations</w:t>
      </w:r>
      <w:r w:rsidR="00CE0D4D" w:rsidRPr="00D15C0E">
        <w:rPr>
          <w:color w:val="000000" w:themeColor="text1"/>
          <w:sz w:val="20"/>
          <w:szCs w:val="20"/>
        </w:rPr>
        <w:t>, delivered a statement to the Human Rights Council</w:t>
      </w:r>
      <w:r w:rsidR="00CE0D4D">
        <w:rPr>
          <w:color w:val="000000" w:themeColor="text1"/>
          <w:sz w:val="20"/>
          <w:szCs w:val="20"/>
        </w:rPr>
        <w:t>.</w:t>
      </w:r>
    </w:p>
    <w:p w14:paraId="7F420EFE" w14:textId="6E5100A4" w:rsidR="00CE0D4D" w:rsidRPr="0067399B" w:rsidRDefault="00BD37A7" w:rsidP="00CE0D4D">
      <w:pPr>
        <w:pStyle w:val="SingleTxtG"/>
        <w:rPr>
          <w:color w:val="000000" w:themeColor="text1"/>
          <w:sz w:val="20"/>
          <w:szCs w:val="20"/>
        </w:rPr>
      </w:pPr>
      <w:r>
        <w:rPr>
          <w:color w:val="000000" w:themeColor="text1"/>
          <w:sz w:val="20"/>
          <w:szCs w:val="20"/>
        </w:rPr>
        <w:t>34</w:t>
      </w:r>
      <w:r w:rsidR="00CE0D4D" w:rsidRPr="0067399B">
        <w:rPr>
          <w:color w:val="000000" w:themeColor="text1"/>
          <w:sz w:val="20"/>
          <w:szCs w:val="20"/>
        </w:rPr>
        <w:t>.</w:t>
      </w:r>
      <w:r w:rsidR="00CE0D4D" w:rsidRPr="0067399B">
        <w:rPr>
          <w:color w:val="000000" w:themeColor="text1"/>
          <w:sz w:val="20"/>
          <w:szCs w:val="20"/>
        </w:rPr>
        <w:tab/>
        <w:t xml:space="preserve">During the ensuing dialogue, at the </w:t>
      </w:r>
      <w:r w:rsidR="00CE0D4D">
        <w:rPr>
          <w:color w:val="000000" w:themeColor="text1"/>
          <w:sz w:val="20"/>
          <w:szCs w:val="20"/>
        </w:rPr>
        <w:t>same</w:t>
      </w:r>
      <w:r w:rsidR="00CE0D4D" w:rsidRPr="00B67B9F">
        <w:rPr>
          <w:color w:val="000000" w:themeColor="text1"/>
          <w:sz w:val="20"/>
          <w:szCs w:val="20"/>
        </w:rPr>
        <w:t xml:space="preserve"> meeting, on </w:t>
      </w:r>
      <w:r w:rsidR="00CE0D4D">
        <w:rPr>
          <w:color w:val="000000" w:themeColor="text1"/>
          <w:sz w:val="20"/>
          <w:szCs w:val="20"/>
        </w:rPr>
        <w:t>the same day,</w:t>
      </w:r>
      <w:r w:rsidR="00CE0D4D" w:rsidRPr="0067399B">
        <w:rPr>
          <w:color w:val="000000" w:themeColor="text1"/>
          <w:sz w:val="20"/>
          <w:szCs w:val="20"/>
        </w:rPr>
        <w:t xml:space="preserve"> the following made statements and asked the </w:t>
      </w:r>
      <w:r w:rsidR="00CE0D4D" w:rsidRPr="00CE0D4D">
        <w:rPr>
          <w:color w:val="000000" w:themeColor="text1"/>
          <w:sz w:val="20"/>
          <w:szCs w:val="20"/>
        </w:rPr>
        <w:t xml:space="preserve">Deputy Secretary-General </w:t>
      </w:r>
      <w:r w:rsidR="00CE0D4D" w:rsidRPr="0067399B">
        <w:rPr>
          <w:color w:val="000000" w:themeColor="text1"/>
          <w:sz w:val="20"/>
          <w:szCs w:val="20"/>
        </w:rPr>
        <w:t>questions:</w:t>
      </w:r>
    </w:p>
    <w:p w14:paraId="24462820" w14:textId="1703B228" w:rsidR="00CE0D4D" w:rsidRPr="00082330" w:rsidRDefault="00CE0D4D" w:rsidP="00CE0D4D">
      <w:pPr>
        <w:pStyle w:val="SingleTxtG"/>
        <w:ind w:firstLine="567"/>
        <w:rPr>
          <w:color w:val="000000" w:themeColor="text1"/>
          <w:sz w:val="20"/>
          <w:szCs w:val="20"/>
        </w:rPr>
      </w:pPr>
      <w:r w:rsidRPr="00082330">
        <w:rPr>
          <w:color w:val="000000" w:themeColor="text1"/>
          <w:sz w:val="20"/>
          <w:szCs w:val="20"/>
        </w:rPr>
        <w:t>(a)</w:t>
      </w:r>
      <w:r w:rsidRPr="00082330">
        <w:rPr>
          <w:color w:val="000000" w:themeColor="text1"/>
          <w:sz w:val="20"/>
          <w:szCs w:val="20"/>
        </w:rPr>
        <w:tab/>
        <w:t xml:space="preserve">Representatives of States Members of the Human Rights Council: </w:t>
      </w:r>
      <w:r w:rsidR="002B2797" w:rsidRPr="002B2797">
        <w:rPr>
          <w:color w:val="000000" w:themeColor="text1"/>
          <w:sz w:val="20"/>
          <w:szCs w:val="20"/>
        </w:rPr>
        <w:t xml:space="preserve">Angola (on behalf of the Group </w:t>
      </w:r>
      <w:r w:rsidR="002B2797">
        <w:rPr>
          <w:color w:val="000000" w:themeColor="text1"/>
          <w:sz w:val="20"/>
          <w:szCs w:val="20"/>
        </w:rPr>
        <w:t xml:space="preserve">of </w:t>
      </w:r>
      <w:r w:rsidR="002B2797" w:rsidRPr="002B2797">
        <w:rPr>
          <w:color w:val="000000" w:themeColor="text1"/>
          <w:sz w:val="20"/>
          <w:szCs w:val="20"/>
        </w:rPr>
        <w:t>African</w:t>
      </w:r>
      <w:r w:rsidR="002B2797">
        <w:rPr>
          <w:color w:val="000000" w:themeColor="text1"/>
          <w:sz w:val="20"/>
          <w:szCs w:val="20"/>
        </w:rPr>
        <w:t xml:space="preserve"> States</w:t>
      </w:r>
      <w:r w:rsidR="002B2797" w:rsidRPr="002B2797">
        <w:rPr>
          <w:color w:val="000000" w:themeColor="text1"/>
          <w:sz w:val="20"/>
          <w:szCs w:val="20"/>
        </w:rPr>
        <w:t>), Cabo Verde</w:t>
      </w:r>
      <w:r w:rsidR="00AB550D">
        <w:rPr>
          <w:rStyle w:val="FootnoteReference"/>
          <w:color w:val="000000" w:themeColor="text1"/>
          <w:szCs w:val="20"/>
        </w:rPr>
        <w:footnoteReference w:id="6"/>
      </w:r>
      <w:r w:rsidR="002B2797" w:rsidRPr="002B2797">
        <w:rPr>
          <w:color w:val="000000" w:themeColor="text1"/>
          <w:sz w:val="20"/>
          <w:szCs w:val="20"/>
        </w:rPr>
        <w:t xml:space="preserve"> (on behalf of the Community of Portuguese-speaking Countries), Cuba, Denmark, Mexico, Nigeria, Senegal, South Africa, Tunisia, United Kingdom of Great Britain and Northern Ireland</w:t>
      </w:r>
      <w:r w:rsidRPr="00082330">
        <w:rPr>
          <w:color w:val="000000" w:themeColor="text1"/>
          <w:sz w:val="20"/>
          <w:szCs w:val="20"/>
        </w:rPr>
        <w:t>;</w:t>
      </w:r>
    </w:p>
    <w:p w14:paraId="327E2539" w14:textId="60E25F2B" w:rsidR="00CE0D4D" w:rsidRDefault="00CE0D4D" w:rsidP="00CE0D4D">
      <w:pPr>
        <w:pStyle w:val="SingleTxtG"/>
        <w:ind w:firstLine="567"/>
        <w:rPr>
          <w:color w:val="000000" w:themeColor="text1"/>
          <w:sz w:val="20"/>
          <w:szCs w:val="20"/>
        </w:rPr>
      </w:pPr>
      <w:r w:rsidRPr="00082330">
        <w:rPr>
          <w:color w:val="000000" w:themeColor="text1"/>
          <w:sz w:val="20"/>
          <w:szCs w:val="20"/>
        </w:rPr>
        <w:t>(b)</w:t>
      </w:r>
      <w:r w:rsidRPr="00082330">
        <w:rPr>
          <w:color w:val="000000" w:themeColor="text1"/>
          <w:sz w:val="20"/>
          <w:szCs w:val="20"/>
        </w:rPr>
        <w:tab/>
        <w:t xml:space="preserve">Representatives of observer States: </w:t>
      </w:r>
      <w:r w:rsidR="002B2797" w:rsidRPr="002B2797">
        <w:rPr>
          <w:color w:val="000000" w:themeColor="text1"/>
          <w:sz w:val="20"/>
          <w:szCs w:val="20"/>
        </w:rPr>
        <w:t>Costa Rica, Ireland, Sudan, Switzerland, Vanuatu</w:t>
      </w:r>
      <w:r w:rsidRPr="00082330">
        <w:rPr>
          <w:color w:val="000000" w:themeColor="text1"/>
          <w:sz w:val="20"/>
          <w:szCs w:val="20"/>
        </w:rPr>
        <w:t>;</w:t>
      </w:r>
    </w:p>
    <w:p w14:paraId="6769E8C2" w14:textId="4DCFFDFB" w:rsidR="00117EE3" w:rsidRPr="00082330" w:rsidRDefault="00117EE3" w:rsidP="00117EE3">
      <w:pPr>
        <w:pStyle w:val="SingleTxtG"/>
        <w:ind w:firstLine="567"/>
        <w:rPr>
          <w:color w:val="000000" w:themeColor="text1"/>
          <w:sz w:val="20"/>
          <w:szCs w:val="20"/>
        </w:rPr>
      </w:pPr>
      <w:r w:rsidRPr="0067399B">
        <w:rPr>
          <w:color w:val="000000" w:themeColor="text1"/>
          <w:sz w:val="20"/>
          <w:szCs w:val="20"/>
        </w:rPr>
        <w:t>(c)</w:t>
      </w:r>
      <w:r w:rsidRPr="0067399B">
        <w:rPr>
          <w:color w:val="000000" w:themeColor="text1"/>
          <w:sz w:val="20"/>
          <w:szCs w:val="20"/>
        </w:rPr>
        <w:tab/>
        <w:t>Observer for United Nations entities, specialized agencies and related organizations:</w:t>
      </w:r>
      <w:r w:rsidRPr="00117EE3">
        <w:rPr>
          <w:color w:val="000000" w:themeColor="text1"/>
          <w:sz w:val="20"/>
          <w:szCs w:val="20"/>
        </w:rPr>
        <w:t xml:space="preserve"> </w:t>
      </w:r>
      <w:r w:rsidRPr="002B2797">
        <w:rPr>
          <w:color w:val="000000" w:themeColor="text1"/>
          <w:sz w:val="20"/>
          <w:szCs w:val="20"/>
        </w:rPr>
        <w:t>International Law Development Organization;</w:t>
      </w:r>
    </w:p>
    <w:p w14:paraId="2C66CE21" w14:textId="432AE1B3" w:rsidR="00CE0D4D" w:rsidRDefault="00117EE3" w:rsidP="00CE0D4D">
      <w:pPr>
        <w:pStyle w:val="SingleTxtG"/>
        <w:ind w:firstLine="567"/>
        <w:rPr>
          <w:color w:val="000000" w:themeColor="text1"/>
          <w:sz w:val="20"/>
          <w:szCs w:val="20"/>
        </w:rPr>
      </w:pPr>
      <w:r>
        <w:rPr>
          <w:color w:val="000000" w:themeColor="text1"/>
          <w:sz w:val="20"/>
          <w:szCs w:val="20"/>
        </w:rPr>
        <w:t>(d</w:t>
      </w:r>
      <w:r w:rsidR="00CE0D4D" w:rsidRPr="00082330">
        <w:rPr>
          <w:color w:val="000000" w:themeColor="text1"/>
          <w:sz w:val="20"/>
          <w:szCs w:val="20"/>
        </w:rPr>
        <w:t>)</w:t>
      </w:r>
      <w:r w:rsidR="00CE0D4D" w:rsidRPr="00082330">
        <w:rPr>
          <w:color w:val="000000" w:themeColor="text1"/>
          <w:sz w:val="20"/>
          <w:szCs w:val="20"/>
        </w:rPr>
        <w:tab/>
        <w:t>Observer for</w:t>
      </w:r>
      <w:r w:rsidR="00C42BC8">
        <w:rPr>
          <w:color w:val="000000" w:themeColor="text1"/>
          <w:sz w:val="20"/>
          <w:szCs w:val="20"/>
        </w:rPr>
        <w:t xml:space="preserve"> an</w:t>
      </w:r>
      <w:r w:rsidR="00CE0D4D" w:rsidRPr="00082330">
        <w:rPr>
          <w:color w:val="000000" w:themeColor="text1"/>
          <w:sz w:val="20"/>
          <w:szCs w:val="20"/>
        </w:rPr>
        <w:t xml:space="preserve"> intergovernmental organization: </w:t>
      </w:r>
      <w:r w:rsidR="00082330" w:rsidRPr="00082330">
        <w:rPr>
          <w:color w:val="000000" w:themeColor="text1"/>
          <w:sz w:val="20"/>
          <w:szCs w:val="20"/>
        </w:rPr>
        <w:t>European Union</w:t>
      </w:r>
      <w:r>
        <w:rPr>
          <w:color w:val="000000" w:themeColor="text1"/>
          <w:sz w:val="20"/>
          <w:szCs w:val="20"/>
        </w:rPr>
        <w:t>;</w:t>
      </w:r>
    </w:p>
    <w:p w14:paraId="07275FF8" w14:textId="1F3E9FE0" w:rsidR="00D175BA" w:rsidRPr="0067399B" w:rsidRDefault="00D175BA" w:rsidP="00CE0D4D">
      <w:pPr>
        <w:pStyle w:val="SingleTxtG"/>
        <w:ind w:firstLine="567"/>
        <w:rPr>
          <w:color w:val="000000" w:themeColor="text1"/>
          <w:sz w:val="20"/>
          <w:szCs w:val="20"/>
        </w:rPr>
      </w:pPr>
      <w:r w:rsidRPr="0067399B">
        <w:rPr>
          <w:color w:val="000000" w:themeColor="text1"/>
          <w:sz w:val="20"/>
          <w:szCs w:val="20"/>
        </w:rPr>
        <w:lastRenderedPageBreak/>
        <w:t>(</w:t>
      </w:r>
      <w:r w:rsidR="00117EE3">
        <w:rPr>
          <w:color w:val="000000" w:themeColor="text1"/>
          <w:sz w:val="20"/>
          <w:szCs w:val="20"/>
        </w:rPr>
        <w:t>e</w:t>
      </w:r>
      <w:r w:rsidRPr="0067399B">
        <w:rPr>
          <w:color w:val="000000" w:themeColor="text1"/>
          <w:sz w:val="20"/>
          <w:szCs w:val="20"/>
        </w:rPr>
        <w:t>)</w:t>
      </w:r>
      <w:r w:rsidRPr="0067399B">
        <w:rPr>
          <w:color w:val="000000" w:themeColor="text1"/>
          <w:sz w:val="20"/>
          <w:szCs w:val="20"/>
        </w:rPr>
        <w:tab/>
        <w:t xml:space="preserve">Observer for a national human rights institution: </w:t>
      </w:r>
      <w:r w:rsidRPr="00D175BA">
        <w:rPr>
          <w:color w:val="000000" w:themeColor="text1"/>
          <w:sz w:val="20"/>
          <w:szCs w:val="20"/>
        </w:rPr>
        <w:t>Global Alliance of National Human Rights Institutions</w:t>
      </w:r>
      <w:r>
        <w:rPr>
          <w:color w:val="000000" w:themeColor="text1"/>
          <w:sz w:val="20"/>
          <w:szCs w:val="20"/>
        </w:rPr>
        <w:t>;</w:t>
      </w:r>
    </w:p>
    <w:p w14:paraId="0873A0A0" w14:textId="56348AFA" w:rsidR="00CE0D4D" w:rsidRPr="00120FEE" w:rsidRDefault="00CE0D4D" w:rsidP="00CE0D4D">
      <w:pPr>
        <w:pStyle w:val="SingleTxtG"/>
        <w:ind w:firstLine="567"/>
        <w:rPr>
          <w:color w:val="000000" w:themeColor="text1"/>
          <w:sz w:val="20"/>
          <w:szCs w:val="20"/>
          <w:lang w:eastAsia="en-GB"/>
        </w:rPr>
      </w:pPr>
      <w:r w:rsidRPr="00120FEE">
        <w:rPr>
          <w:color w:val="000000" w:themeColor="text1"/>
          <w:sz w:val="20"/>
          <w:szCs w:val="20"/>
        </w:rPr>
        <w:t>(</w:t>
      </w:r>
      <w:r w:rsidR="00117EE3" w:rsidRPr="00120FEE">
        <w:rPr>
          <w:color w:val="000000" w:themeColor="text1"/>
          <w:sz w:val="20"/>
          <w:szCs w:val="20"/>
        </w:rPr>
        <w:t>f</w:t>
      </w:r>
      <w:r w:rsidRPr="00120FEE">
        <w:rPr>
          <w:color w:val="000000" w:themeColor="text1"/>
          <w:sz w:val="20"/>
          <w:szCs w:val="20"/>
        </w:rPr>
        <w:t>)</w:t>
      </w:r>
      <w:r w:rsidRPr="00120FEE">
        <w:rPr>
          <w:color w:val="000000" w:themeColor="text1"/>
          <w:sz w:val="20"/>
          <w:szCs w:val="20"/>
        </w:rPr>
        <w:tab/>
        <w:t>Observers for non-</w:t>
      </w:r>
      <w:r w:rsidRPr="0067399B">
        <w:rPr>
          <w:color w:val="000000" w:themeColor="text1"/>
          <w:sz w:val="20"/>
          <w:szCs w:val="20"/>
          <w:lang w:val="en-GB"/>
        </w:rPr>
        <w:t>governmental</w:t>
      </w:r>
      <w:r w:rsidRPr="00120FEE">
        <w:rPr>
          <w:color w:val="000000" w:themeColor="text1"/>
          <w:sz w:val="20"/>
          <w:szCs w:val="20"/>
        </w:rPr>
        <w:t xml:space="preserve"> organizations:</w:t>
      </w:r>
      <w:r w:rsidR="00D175BA" w:rsidRPr="00120FEE">
        <w:rPr>
          <w:color w:val="000000" w:themeColor="text1"/>
          <w:sz w:val="20"/>
          <w:szCs w:val="20"/>
        </w:rPr>
        <w:t xml:space="preserve"> CIVICUS - World Alliance for Citizen Participation; International Lesbian and Gay Association; Rencontre Africaine pour la defense des droits de l</w:t>
      </w:r>
      <w:r w:rsidR="00D72627">
        <w:rPr>
          <w:color w:val="000000" w:themeColor="text1"/>
          <w:sz w:val="20"/>
          <w:szCs w:val="20"/>
        </w:rPr>
        <w:t>’</w:t>
      </w:r>
      <w:r w:rsidR="00D175BA" w:rsidRPr="00120FEE">
        <w:rPr>
          <w:color w:val="000000" w:themeColor="text1"/>
          <w:sz w:val="20"/>
          <w:szCs w:val="20"/>
        </w:rPr>
        <w:t>homme</w:t>
      </w:r>
      <w:r w:rsidRPr="00120FEE">
        <w:rPr>
          <w:color w:val="000000" w:themeColor="text1"/>
          <w:sz w:val="20"/>
          <w:szCs w:val="20"/>
        </w:rPr>
        <w:t>.</w:t>
      </w:r>
    </w:p>
    <w:p w14:paraId="56E5C369" w14:textId="712B57C9" w:rsidR="00CE0D4D" w:rsidRPr="0067399B" w:rsidRDefault="00BD37A7" w:rsidP="00CE0D4D">
      <w:pPr>
        <w:pStyle w:val="SingleTxtG"/>
        <w:rPr>
          <w:color w:val="000000" w:themeColor="text1"/>
          <w:sz w:val="20"/>
          <w:szCs w:val="20"/>
        </w:rPr>
      </w:pPr>
      <w:r>
        <w:rPr>
          <w:color w:val="000000" w:themeColor="text1"/>
          <w:sz w:val="20"/>
          <w:szCs w:val="20"/>
        </w:rPr>
        <w:t>35</w:t>
      </w:r>
      <w:r w:rsidR="00CE0D4D" w:rsidRPr="0067399B">
        <w:rPr>
          <w:color w:val="000000" w:themeColor="text1"/>
          <w:sz w:val="20"/>
          <w:szCs w:val="20"/>
        </w:rPr>
        <w:t>.</w:t>
      </w:r>
      <w:r w:rsidR="00CE0D4D" w:rsidRPr="0067399B">
        <w:rPr>
          <w:color w:val="000000" w:themeColor="text1"/>
          <w:sz w:val="20"/>
          <w:szCs w:val="20"/>
        </w:rPr>
        <w:tab/>
        <w:t xml:space="preserve">At the </w:t>
      </w:r>
      <w:r w:rsidR="00CE0D4D" w:rsidRPr="00CE0D4D">
        <w:rPr>
          <w:color w:val="000000" w:themeColor="text1"/>
          <w:sz w:val="20"/>
          <w:szCs w:val="20"/>
        </w:rPr>
        <w:t>same meeting, on the same day,</w:t>
      </w:r>
      <w:r w:rsidR="00CE0D4D" w:rsidRPr="0067399B">
        <w:rPr>
          <w:color w:val="000000" w:themeColor="text1"/>
          <w:sz w:val="20"/>
          <w:szCs w:val="20"/>
        </w:rPr>
        <w:t xml:space="preserve"> the </w:t>
      </w:r>
      <w:r w:rsidR="00CE0D4D" w:rsidRPr="00CE0D4D">
        <w:rPr>
          <w:color w:val="000000" w:themeColor="text1"/>
          <w:sz w:val="20"/>
          <w:szCs w:val="20"/>
        </w:rPr>
        <w:t xml:space="preserve">Deputy Secretary-General </w:t>
      </w:r>
      <w:r w:rsidR="00CE0D4D" w:rsidRPr="0067399B">
        <w:rPr>
          <w:color w:val="000000" w:themeColor="text1"/>
          <w:sz w:val="20"/>
          <w:szCs w:val="20"/>
        </w:rPr>
        <w:t xml:space="preserve">answered questions and made comments and made </w:t>
      </w:r>
      <w:r w:rsidR="00CE0D4D">
        <w:rPr>
          <w:color w:val="000000" w:themeColor="text1"/>
          <w:sz w:val="20"/>
          <w:szCs w:val="20"/>
        </w:rPr>
        <w:t>her</w:t>
      </w:r>
      <w:r w:rsidR="00CE0D4D" w:rsidRPr="0067399B">
        <w:rPr>
          <w:color w:val="000000" w:themeColor="text1"/>
          <w:sz w:val="20"/>
          <w:szCs w:val="20"/>
        </w:rPr>
        <w:t xml:space="preserve"> concluding remarks.</w:t>
      </w:r>
    </w:p>
    <w:p w14:paraId="2EA587CB" w14:textId="1FC96836" w:rsidR="00F11B08" w:rsidRPr="00C16037" w:rsidRDefault="00F11B08" w:rsidP="00415787">
      <w:pPr>
        <w:pStyle w:val="H1G"/>
        <w:rPr>
          <w:color w:val="000000" w:themeColor="text1"/>
        </w:rPr>
      </w:pPr>
      <w:r w:rsidRPr="00C16037">
        <w:rPr>
          <w:color w:val="000000" w:themeColor="text1"/>
        </w:rPr>
        <w:tab/>
      </w:r>
      <w:r w:rsidR="00D175BA">
        <w:rPr>
          <w:color w:val="000000" w:themeColor="text1"/>
        </w:rPr>
        <w:t>J</w:t>
      </w:r>
      <w:r w:rsidR="004C702F" w:rsidRPr="00C16037">
        <w:rPr>
          <w:color w:val="000000" w:themeColor="text1"/>
        </w:rPr>
        <w:t>.</w:t>
      </w:r>
      <w:r w:rsidR="00CC0EFD" w:rsidRPr="00C16037">
        <w:rPr>
          <w:color w:val="000000" w:themeColor="text1"/>
        </w:rPr>
        <w:tab/>
      </w:r>
      <w:r w:rsidRPr="00C16037">
        <w:rPr>
          <w:color w:val="000000" w:themeColor="text1"/>
        </w:rPr>
        <w:t>Selection and appointment of mandate holders</w:t>
      </w:r>
    </w:p>
    <w:p w14:paraId="73999D79" w14:textId="7490BF5C" w:rsidR="00720A4A" w:rsidRPr="002C540A" w:rsidRDefault="00BD37A7" w:rsidP="002C540A">
      <w:pPr>
        <w:pStyle w:val="SingleTxtG"/>
        <w:rPr>
          <w:sz w:val="20"/>
          <w:szCs w:val="20"/>
        </w:rPr>
      </w:pPr>
      <w:r>
        <w:rPr>
          <w:sz w:val="20"/>
          <w:szCs w:val="20"/>
        </w:rPr>
        <w:t>36</w:t>
      </w:r>
      <w:r w:rsidR="00184FA1" w:rsidRPr="0067399B">
        <w:rPr>
          <w:sz w:val="20"/>
          <w:szCs w:val="20"/>
        </w:rPr>
        <w:t>.</w:t>
      </w:r>
      <w:r w:rsidR="00184FA1" w:rsidRPr="0067399B">
        <w:rPr>
          <w:sz w:val="20"/>
          <w:szCs w:val="20"/>
        </w:rPr>
        <w:tab/>
        <w:t xml:space="preserve">At </w:t>
      </w:r>
      <w:r w:rsidR="007C1390" w:rsidRPr="0067399B">
        <w:rPr>
          <w:sz w:val="20"/>
          <w:szCs w:val="20"/>
        </w:rPr>
        <w:t>its</w:t>
      </w:r>
      <w:r>
        <w:rPr>
          <w:sz w:val="20"/>
          <w:szCs w:val="20"/>
        </w:rPr>
        <w:t xml:space="preserve"> </w:t>
      </w:r>
      <w:r w:rsidR="00AF2901">
        <w:rPr>
          <w:sz w:val="20"/>
          <w:szCs w:val="20"/>
        </w:rPr>
        <w:t>55th</w:t>
      </w:r>
      <w:r>
        <w:rPr>
          <w:sz w:val="20"/>
          <w:szCs w:val="20"/>
        </w:rPr>
        <w:t xml:space="preserve"> meeting</w:t>
      </w:r>
      <w:r w:rsidR="00184FA1" w:rsidRPr="0067399B">
        <w:rPr>
          <w:sz w:val="20"/>
          <w:szCs w:val="20"/>
        </w:rPr>
        <w:t xml:space="preserve">, the Council appointed </w:t>
      </w:r>
      <w:r w:rsidR="006D3518">
        <w:rPr>
          <w:sz w:val="20"/>
          <w:szCs w:val="20"/>
        </w:rPr>
        <w:t>four</w:t>
      </w:r>
      <w:r w:rsidR="00184FA1" w:rsidRPr="0067399B">
        <w:rPr>
          <w:sz w:val="20"/>
          <w:szCs w:val="20"/>
        </w:rPr>
        <w:t xml:space="preserve"> special procedures mandate holders in accordance with Human Rights Council resolutions 5/1 and 16/21 and its</w:t>
      </w:r>
      <w:r w:rsidR="002C540A">
        <w:rPr>
          <w:sz w:val="20"/>
          <w:szCs w:val="20"/>
        </w:rPr>
        <w:t xml:space="preserve"> decision 6/102 (see annex IV).</w:t>
      </w:r>
      <w:r w:rsidR="00DA4AA6" w:rsidRPr="00C16037">
        <w:rPr>
          <w:color w:val="000000" w:themeColor="text1"/>
        </w:rPr>
        <w:tab/>
      </w:r>
    </w:p>
    <w:p w14:paraId="1B1D8612" w14:textId="3853230A" w:rsidR="00246FF0" w:rsidRPr="00BE5625" w:rsidRDefault="00246FF0" w:rsidP="00246FF0">
      <w:pPr>
        <w:pStyle w:val="H1G"/>
        <w:rPr>
          <w:b w:val="0"/>
          <w:color w:val="000000" w:themeColor="text1"/>
        </w:rPr>
      </w:pPr>
      <w:r w:rsidRPr="00C16037">
        <w:rPr>
          <w:color w:val="000000" w:themeColor="text1"/>
        </w:rPr>
        <w:tab/>
      </w:r>
      <w:r w:rsidR="00D175BA">
        <w:rPr>
          <w:color w:val="000000" w:themeColor="text1"/>
        </w:rPr>
        <w:t>K</w:t>
      </w:r>
      <w:r w:rsidRPr="00BE5625">
        <w:rPr>
          <w:color w:val="000000" w:themeColor="text1"/>
        </w:rPr>
        <w:t>.</w:t>
      </w:r>
      <w:r w:rsidRPr="00BE5625">
        <w:rPr>
          <w:color w:val="000000" w:themeColor="text1"/>
        </w:rPr>
        <w:tab/>
        <w:t>Adoption of the report of the session</w:t>
      </w:r>
    </w:p>
    <w:p w14:paraId="3F38B8EF" w14:textId="68C37D36" w:rsidR="00AF2901" w:rsidRPr="00AF2901" w:rsidRDefault="009B6FCB" w:rsidP="00AF2901">
      <w:pPr>
        <w:pStyle w:val="SingleTxtG"/>
        <w:rPr>
          <w:sz w:val="20"/>
          <w:szCs w:val="20"/>
        </w:rPr>
      </w:pPr>
      <w:r>
        <w:rPr>
          <w:sz w:val="20"/>
          <w:szCs w:val="20"/>
        </w:rPr>
        <w:t>37</w:t>
      </w:r>
      <w:r w:rsidR="00AF2901" w:rsidRPr="00AF2901">
        <w:rPr>
          <w:sz w:val="20"/>
          <w:szCs w:val="20"/>
        </w:rPr>
        <w:t>.</w:t>
      </w:r>
      <w:r w:rsidR="00AF2901" w:rsidRPr="00AF2901">
        <w:rPr>
          <w:sz w:val="20"/>
          <w:szCs w:val="20"/>
        </w:rPr>
        <w:tab/>
        <w:t xml:space="preserve">At the </w:t>
      </w:r>
      <w:r w:rsidR="00AF2901">
        <w:rPr>
          <w:sz w:val="20"/>
          <w:szCs w:val="20"/>
        </w:rPr>
        <w:t>55th</w:t>
      </w:r>
      <w:r w:rsidR="00AF2901" w:rsidRPr="00AF2901">
        <w:rPr>
          <w:sz w:val="20"/>
          <w:szCs w:val="20"/>
        </w:rPr>
        <w:t xml:space="preserve"> meeting, on </w:t>
      </w:r>
      <w:r w:rsidR="00AF2901">
        <w:rPr>
          <w:sz w:val="20"/>
          <w:szCs w:val="20"/>
        </w:rPr>
        <w:t>22 March 2019</w:t>
      </w:r>
      <w:r w:rsidR="00AF2901" w:rsidRPr="00AF2901">
        <w:rPr>
          <w:sz w:val="20"/>
          <w:szCs w:val="20"/>
        </w:rPr>
        <w:t xml:space="preserve">, the Vice-President and Rapporteur of the Human Rights Council made a statement in connection with the draft report of the Council on its </w:t>
      </w:r>
      <w:r w:rsidR="00AF2901">
        <w:rPr>
          <w:sz w:val="20"/>
          <w:szCs w:val="20"/>
        </w:rPr>
        <w:t>fortieth</w:t>
      </w:r>
      <w:r w:rsidR="00AF2901" w:rsidRPr="00AF2901">
        <w:rPr>
          <w:sz w:val="20"/>
          <w:szCs w:val="20"/>
        </w:rPr>
        <w:t xml:space="preserve"> session.</w:t>
      </w:r>
    </w:p>
    <w:p w14:paraId="7E1B6EBB" w14:textId="6D432D30" w:rsidR="00AF2901" w:rsidRPr="00AF2901" w:rsidRDefault="009B6FCB" w:rsidP="00AF2901">
      <w:pPr>
        <w:pStyle w:val="SingleTxtG"/>
        <w:rPr>
          <w:sz w:val="20"/>
          <w:szCs w:val="20"/>
        </w:rPr>
      </w:pPr>
      <w:r>
        <w:rPr>
          <w:sz w:val="20"/>
          <w:szCs w:val="20"/>
        </w:rPr>
        <w:t>38</w:t>
      </w:r>
      <w:r w:rsidR="00AF2901" w:rsidRPr="00AF2901">
        <w:rPr>
          <w:sz w:val="20"/>
          <w:szCs w:val="20"/>
        </w:rPr>
        <w:t>.</w:t>
      </w:r>
      <w:r w:rsidR="00AF2901" w:rsidRPr="00AF2901">
        <w:rPr>
          <w:sz w:val="20"/>
          <w:szCs w:val="20"/>
        </w:rPr>
        <w:tab/>
        <w:t>At the same meeting, the Human Rights Council adopted the draft report (A/HRC/</w:t>
      </w:r>
      <w:r w:rsidR="00AF2901">
        <w:rPr>
          <w:sz w:val="20"/>
          <w:szCs w:val="20"/>
        </w:rPr>
        <w:t>40</w:t>
      </w:r>
      <w:r w:rsidR="00AF2901" w:rsidRPr="00AF2901">
        <w:rPr>
          <w:sz w:val="20"/>
          <w:szCs w:val="20"/>
        </w:rPr>
        <w:t>/2) ad referendum and decided to entrust the Rapporteur with its finalization.</w:t>
      </w:r>
    </w:p>
    <w:p w14:paraId="7D73E7D4" w14:textId="1B2FCBA9" w:rsidR="00AF2901" w:rsidRPr="00AF2901" w:rsidRDefault="009B6FCB" w:rsidP="00AF2901">
      <w:pPr>
        <w:pStyle w:val="SingleTxtG"/>
        <w:rPr>
          <w:sz w:val="20"/>
          <w:szCs w:val="20"/>
        </w:rPr>
      </w:pPr>
      <w:r>
        <w:rPr>
          <w:sz w:val="20"/>
          <w:szCs w:val="20"/>
        </w:rPr>
        <w:t>39</w:t>
      </w:r>
      <w:r w:rsidR="00AF2901" w:rsidRPr="00AF2901">
        <w:rPr>
          <w:sz w:val="20"/>
          <w:szCs w:val="20"/>
        </w:rPr>
        <w:t>.</w:t>
      </w:r>
      <w:r w:rsidR="00AF2901" w:rsidRPr="00AF2901">
        <w:rPr>
          <w:sz w:val="20"/>
          <w:szCs w:val="20"/>
        </w:rPr>
        <w:tab/>
        <w:t xml:space="preserve">Also at the same meeting, the representatives of </w:t>
      </w:r>
      <w:r w:rsidR="00CB22C0" w:rsidRPr="00CB22C0">
        <w:rPr>
          <w:sz w:val="20"/>
          <w:szCs w:val="20"/>
        </w:rPr>
        <w:t>Indonesia</w:t>
      </w:r>
      <w:r w:rsidR="00CB22C0">
        <w:rPr>
          <w:sz w:val="20"/>
          <w:szCs w:val="20"/>
        </w:rPr>
        <w:t xml:space="preserve">, the </w:t>
      </w:r>
      <w:r w:rsidR="00CB22C0" w:rsidRPr="00CB22C0">
        <w:rPr>
          <w:sz w:val="20"/>
          <w:szCs w:val="20"/>
        </w:rPr>
        <w:t>Russian Federation</w:t>
      </w:r>
      <w:r w:rsidR="00CB22C0">
        <w:rPr>
          <w:sz w:val="20"/>
          <w:szCs w:val="20"/>
        </w:rPr>
        <w:t xml:space="preserve">, Sweden (also on behalf of </w:t>
      </w:r>
      <w:r w:rsidR="00CB22C0" w:rsidRPr="00A304F3">
        <w:rPr>
          <w:sz w:val="20"/>
          <w:szCs w:val="20"/>
        </w:rPr>
        <w:t>Canada, Denmark, Estonia, Finland, Germany, I</w:t>
      </w:r>
      <w:r w:rsidR="00CB22C0">
        <w:rPr>
          <w:sz w:val="20"/>
          <w:szCs w:val="20"/>
        </w:rPr>
        <w:t>ce</w:t>
      </w:r>
      <w:r w:rsidR="00CB22C0" w:rsidRPr="00A304F3">
        <w:rPr>
          <w:sz w:val="20"/>
          <w:szCs w:val="20"/>
        </w:rPr>
        <w:t>land, Latvia, Lithuania, the Netherlands</w:t>
      </w:r>
      <w:r w:rsidR="00CB22C0">
        <w:rPr>
          <w:sz w:val="20"/>
          <w:szCs w:val="20"/>
        </w:rPr>
        <w:t xml:space="preserve"> and</w:t>
      </w:r>
      <w:r w:rsidR="00CB22C0" w:rsidRPr="00A304F3">
        <w:rPr>
          <w:sz w:val="20"/>
          <w:szCs w:val="20"/>
        </w:rPr>
        <w:t xml:space="preserve"> Switzerland</w:t>
      </w:r>
      <w:r w:rsidR="00CB22C0">
        <w:rPr>
          <w:sz w:val="20"/>
          <w:szCs w:val="20"/>
        </w:rPr>
        <w:t xml:space="preserve">) and </w:t>
      </w:r>
      <w:r w:rsidR="00CB22C0" w:rsidRPr="00CB22C0">
        <w:rPr>
          <w:sz w:val="20"/>
          <w:szCs w:val="20"/>
        </w:rPr>
        <w:t>Switzerland</w:t>
      </w:r>
      <w:r w:rsidR="00CB22C0">
        <w:rPr>
          <w:sz w:val="20"/>
          <w:szCs w:val="20"/>
        </w:rPr>
        <w:t xml:space="preserve"> </w:t>
      </w:r>
      <w:r w:rsidR="00AF2901" w:rsidRPr="00AF2901">
        <w:rPr>
          <w:sz w:val="20"/>
          <w:szCs w:val="20"/>
        </w:rPr>
        <w:t>made statements</w:t>
      </w:r>
      <w:r w:rsidR="00D45668">
        <w:rPr>
          <w:sz w:val="20"/>
          <w:szCs w:val="20"/>
        </w:rPr>
        <w:t xml:space="preserve"> as observer states with regard to adopted resolutions</w:t>
      </w:r>
      <w:r w:rsidR="00AF2901" w:rsidRPr="00AF2901">
        <w:rPr>
          <w:sz w:val="20"/>
          <w:szCs w:val="20"/>
        </w:rPr>
        <w:t>.</w:t>
      </w:r>
    </w:p>
    <w:p w14:paraId="62919F6F" w14:textId="125A9168" w:rsidR="00AF2901" w:rsidRPr="00AF2901" w:rsidRDefault="009B6FCB" w:rsidP="00AF2901">
      <w:pPr>
        <w:pStyle w:val="SingleTxtG"/>
        <w:rPr>
          <w:sz w:val="20"/>
          <w:szCs w:val="20"/>
        </w:rPr>
      </w:pPr>
      <w:r>
        <w:rPr>
          <w:sz w:val="20"/>
          <w:szCs w:val="20"/>
        </w:rPr>
        <w:t>40</w:t>
      </w:r>
      <w:r w:rsidR="00AF2901" w:rsidRPr="00AF2901">
        <w:rPr>
          <w:sz w:val="20"/>
          <w:szCs w:val="20"/>
        </w:rPr>
        <w:t>.</w:t>
      </w:r>
      <w:r w:rsidR="00AF2901" w:rsidRPr="00AF2901">
        <w:rPr>
          <w:sz w:val="20"/>
          <w:szCs w:val="20"/>
        </w:rPr>
        <w:tab/>
        <w:t xml:space="preserve">At the same meeting, the </w:t>
      </w:r>
      <w:r w:rsidR="00D45668">
        <w:rPr>
          <w:sz w:val="20"/>
          <w:szCs w:val="20"/>
        </w:rPr>
        <w:t xml:space="preserve">representatives of the </w:t>
      </w:r>
      <w:r w:rsidR="00D45668" w:rsidRPr="00D45668">
        <w:rPr>
          <w:sz w:val="20"/>
          <w:szCs w:val="20"/>
        </w:rPr>
        <w:t>Marshall Islands</w:t>
      </w:r>
      <w:r w:rsidR="00D45668">
        <w:rPr>
          <w:sz w:val="20"/>
          <w:szCs w:val="20"/>
        </w:rPr>
        <w:t xml:space="preserve"> and </w:t>
      </w:r>
      <w:r w:rsidR="00D45668" w:rsidRPr="00D45668">
        <w:rPr>
          <w:sz w:val="20"/>
          <w:szCs w:val="20"/>
        </w:rPr>
        <w:t>Mozambique</w:t>
      </w:r>
      <w:r w:rsidR="00D45668">
        <w:rPr>
          <w:sz w:val="20"/>
          <w:szCs w:val="20"/>
        </w:rPr>
        <w:t xml:space="preserve"> and the </w:t>
      </w:r>
      <w:r w:rsidR="00AF2901" w:rsidRPr="00AF2901">
        <w:rPr>
          <w:sz w:val="20"/>
          <w:szCs w:val="20"/>
        </w:rPr>
        <w:t>observer for International Service for Human Rights</w:t>
      </w:r>
      <w:r w:rsidR="00AF2901">
        <w:rPr>
          <w:sz w:val="20"/>
          <w:szCs w:val="20"/>
        </w:rPr>
        <w:t xml:space="preserve"> (also on behalf of </w:t>
      </w:r>
      <w:r w:rsidR="00AF2901" w:rsidRPr="00AF2901">
        <w:rPr>
          <w:sz w:val="20"/>
          <w:szCs w:val="20"/>
        </w:rPr>
        <w:t>CIVICUS - World Alliance for Citizen Participation</w:t>
      </w:r>
      <w:r w:rsidR="00AF2901">
        <w:rPr>
          <w:sz w:val="20"/>
          <w:szCs w:val="20"/>
        </w:rPr>
        <w:t xml:space="preserve">; </w:t>
      </w:r>
      <w:r w:rsidR="00AF2901" w:rsidRPr="00AF2901">
        <w:rPr>
          <w:sz w:val="20"/>
          <w:szCs w:val="20"/>
        </w:rPr>
        <w:t>East and Horn of Africa Human Rights Defenders Project</w:t>
      </w:r>
      <w:r w:rsidR="00AF2901">
        <w:rPr>
          <w:sz w:val="20"/>
          <w:szCs w:val="20"/>
        </w:rPr>
        <w:t xml:space="preserve">; </w:t>
      </w:r>
      <w:r w:rsidR="00AF2901" w:rsidRPr="00AF2901">
        <w:rPr>
          <w:sz w:val="20"/>
          <w:szCs w:val="20"/>
        </w:rPr>
        <w:t>International Commission of Jurists</w:t>
      </w:r>
      <w:r w:rsidR="00AF2901">
        <w:rPr>
          <w:sz w:val="20"/>
          <w:szCs w:val="20"/>
        </w:rPr>
        <w:t xml:space="preserve"> and </w:t>
      </w:r>
      <w:r w:rsidR="00AF2901" w:rsidRPr="00AF2901">
        <w:rPr>
          <w:sz w:val="20"/>
          <w:szCs w:val="20"/>
        </w:rPr>
        <w:t>International Lesbian and Gay Association</w:t>
      </w:r>
      <w:r w:rsidR="00AF2901">
        <w:rPr>
          <w:sz w:val="20"/>
          <w:szCs w:val="20"/>
        </w:rPr>
        <w:t xml:space="preserve">) </w:t>
      </w:r>
      <w:r w:rsidR="00AF2901" w:rsidRPr="00AF2901">
        <w:rPr>
          <w:sz w:val="20"/>
          <w:szCs w:val="20"/>
        </w:rPr>
        <w:t>made statement</w:t>
      </w:r>
      <w:r w:rsidR="00D45668">
        <w:rPr>
          <w:sz w:val="20"/>
          <w:szCs w:val="20"/>
        </w:rPr>
        <w:t>s</w:t>
      </w:r>
      <w:r w:rsidR="00AF2901" w:rsidRPr="00AF2901">
        <w:rPr>
          <w:sz w:val="20"/>
          <w:szCs w:val="20"/>
        </w:rPr>
        <w:t xml:space="preserve"> in connection with the session.</w:t>
      </w:r>
    </w:p>
    <w:p w14:paraId="079E4310" w14:textId="7158908B" w:rsidR="00AF2901" w:rsidRPr="00AF2901" w:rsidRDefault="009B6FCB" w:rsidP="00AF2901">
      <w:pPr>
        <w:pStyle w:val="SingleTxtG"/>
        <w:rPr>
          <w:sz w:val="20"/>
          <w:szCs w:val="20"/>
        </w:rPr>
      </w:pPr>
      <w:r>
        <w:rPr>
          <w:sz w:val="20"/>
          <w:szCs w:val="20"/>
        </w:rPr>
        <w:t>41</w:t>
      </w:r>
      <w:r w:rsidR="00AF2901" w:rsidRPr="00AF2901">
        <w:rPr>
          <w:sz w:val="20"/>
          <w:szCs w:val="20"/>
        </w:rPr>
        <w:t>.</w:t>
      </w:r>
      <w:r w:rsidR="00AF2901" w:rsidRPr="00AF2901">
        <w:rPr>
          <w:sz w:val="20"/>
          <w:szCs w:val="20"/>
        </w:rPr>
        <w:tab/>
        <w:t>Also at the same meeting, the President of the Human Rights Council made a closing statement.</w:t>
      </w:r>
    </w:p>
    <w:p w14:paraId="52DA32B5" w14:textId="77777777" w:rsidR="00CD0E87" w:rsidRDefault="00CD0E87">
      <w:pPr>
        <w:spacing w:after="200" w:line="276" w:lineRule="auto"/>
        <w:rPr>
          <w:b/>
          <w:color w:val="000000" w:themeColor="text1"/>
          <w:sz w:val="28"/>
        </w:rPr>
      </w:pPr>
      <w:r>
        <w:rPr>
          <w:color w:val="000000" w:themeColor="text1"/>
        </w:rPr>
        <w:br w:type="page"/>
      </w:r>
    </w:p>
    <w:p w14:paraId="2EA587D6" w14:textId="6A11DBD0" w:rsidR="00F11B08" w:rsidRPr="00C16037" w:rsidRDefault="00CD0E87" w:rsidP="00415787">
      <w:pPr>
        <w:pStyle w:val="HChG"/>
        <w:rPr>
          <w:color w:val="000000" w:themeColor="text1"/>
        </w:rPr>
      </w:pPr>
      <w:r>
        <w:rPr>
          <w:color w:val="000000" w:themeColor="text1"/>
        </w:rPr>
        <w:lastRenderedPageBreak/>
        <w:tab/>
      </w:r>
      <w:r w:rsidR="00F11B08" w:rsidRPr="00C16037">
        <w:rPr>
          <w:color w:val="000000" w:themeColor="text1"/>
        </w:rPr>
        <w:t>II.</w:t>
      </w:r>
      <w:r w:rsidR="00D23A67" w:rsidRPr="00C16037">
        <w:rPr>
          <w:color w:val="000000" w:themeColor="text1"/>
        </w:rPr>
        <w:tab/>
      </w:r>
      <w:r w:rsidR="00F11B08" w:rsidRPr="00C16037">
        <w:rPr>
          <w:color w:val="000000" w:themeColor="text1"/>
        </w:rPr>
        <w:t xml:space="preserve">Annual report of the United Nations High Commissioner for Human Rights and reports of the Office of the High Commissioner and the Secretary-General </w:t>
      </w:r>
    </w:p>
    <w:p w14:paraId="2EA587D7" w14:textId="77777777" w:rsidR="00F11B08" w:rsidRPr="00C16037" w:rsidRDefault="00F11B08" w:rsidP="00F11B08">
      <w:pPr>
        <w:pStyle w:val="H1G"/>
        <w:rPr>
          <w:color w:val="000000" w:themeColor="text1"/>
        </w:rPr>
      </w:pPr>
      <w:r w:rsidRPr="00C16037">
        <w:rPr>
          <w:color w:val="000000" w:themeColor="text1"/>
        </w:rPr>
        <w:tab/>
      </w:r>
      <w:r w:rsidRPr="0058463C">
        <w:rPr>
          <w:color w:val="000000" w:themeColor="text1"/>
        </w:rPr>
        <w:t>A.</w:t>
      </w:r>
      <w:r w:rsidRPr="0058463C">
        <w:rPr>
          <w:color w:val="000000" w:themeColor="text1"/>
        </w:rPr>
        <w:tab/>
        <w:t>Annual report of the United Nations High Commissioner for Human Rights</w:t>
      </w:r>
    </w:p>
    <w:p w14:paraId="342D771C" w14:textId="654FBEE4" w:rsidR="00D508F9" w:rsidRPr="0067399B" w:rsidRDefault="009B6FCB" w:rsidP="00D508F9">
      <w:pPr>
        <w:pStyle w:val="SingleTxtG"/>
        <w:rPr>
          <w:color w:val="000000" w:themeColor="text1"/>
          <w:sz w:val="20"/>
          <w:szCs w:val="20"/>
        </w:rPr>
      </w:pPr>
      <w:r>
        <w:rPr>
          <w:color w:val="000000" w:themeColor="text1"/>
          <w:sz w:val="20"/>
          <w:szCs w:val="20"/>
        </w:rPr>
        <w:t>42</w:t>
      </w:r>
      <w:r w:rsidR="00F11B08" w:rsidRPr="0067399B">
        <w:rPr>
          <w:color w:val="000000" w:themeColor="text1"/>
          <w:sz w:val="20"/>
          <w:szCs w:val="20"/>
        </w:rPr>
        <w:t>.</w:t>
      </w:r>
      <w:r w:rsidR="00F11B08" w:rsidRPr="0067399B">
        <w:rPr>
          <w:color w:val="000000" w:themeColor="text1"/>
          <w:sz w:val="20"/>
          <w:szCs w:val="20"/>
        </w:rPr>
        <w:tab/>
        <w:t xml:space="preserve">At the </w:t>
      </w:r>
      <w:r w:rsidR="00F11B08" w:rsidRPr="00B67B9F">
        <w:rPr>
          <w:color w:val="000000" w:themeColor="text1"/>
          <w:sz w:val="20"/>
          <w:szCs w:val="20"/>
        </w:rPr>
        <w:t>2</w:t>
      </w:r>
      <w:r w:rsidR="00B67B9F" w:rsidRPr="00B67B9F">
        <w:rPr>
          <w:color w:val="000000" w:themeColor="text1"/>
          <w:sz w:val="20"/>
          <w:szCs w:val="20"/>
        </w:rPr>
        <w:t>0th</w:t>
      </w:r>
      <w:r w:rsidR="00F11B08" w:rsidRPr="00B67B9F">
        <w:rPr>
          <w:color w:val="000000" w:themeColor="text1"/>
          <w:sz w:val="20"/>
          <w:szCs w:val="20"/>
        </w:rPr>
        <w:t xml:space="preserve"> meeting, on </w:t>
      </w:r>
      <w:r w:rsidR="00B67B9F" w:rsidRPr="00B67B9F">
        <w:rPr>
          <w:color w:val="000000" w:themeColor="text1"/>
          <w:sz w:val="20"/>
          <w:szCs w:val="20"/>
        </w:rPr>
        <w:t>6</w:t>
      </w:r>
      <w:r w:rsidR="004F72BF" w:rsidRPr="00B67B9F">
        <w:rPr>
          <w:color w:val="000000" w:themeColor="text1"/>
          <w:sz w:val="20"/>
          <w:szCs w:val="20"/>
        </w:rPr>
        <w:t xml:space="preserve"> </w:t>
      </w:r>
      <w:r w:rsidR="00F11B08" w:rsidRPr="00B67B9F">
        <w:rPr>
          <w:color w:val="000000" w:themeColor="text1"/>
          <w:sz w:val="20"/>
          <w:szCs w:val="20"/>
        </w:rPr>
        <w:t xml:space="preserve">March </w:t>
      </w:r>
      <w:r w:rsidR="00141AFC" w:rsidRPr="00B67B9F">
        <w:rPr>
          <w:color w:val="000000" w:themeColor="text1"/>
          <w:sz w:val="20"/>
          <w:szCs w:val="20"/>
        </w:rPr>
        <w:t>2019</w:t>
      </w:r>
      <w:r w:rsidR="00F11B08" w:rsidRPr="0067399B">
        <w:rPr>
          <w:color w:val="000000" w:themeColor="text1"/>
          <w:sz w:val="20"/>
          <w:szCs w:val="20"/>
        </w:rPr>
        <w:t xml:space="preserve">, the United Nations High Commissioner for Human Rights made a statement in connection with </w:t>
      </w:r>
      <w:r w:rsidR="006D3518">
        <w:rPr>
          <w:color w:val="000000" w:themeColor="text1"/>
          <w:sz w:val="20"/>
          <w:szCs w:val="20"/>
        </w:rPr>
        <w:t>her</w:t>
      </w:r>
      <w:r w:rsidR="00F11B08" w:rsidRPr="0067399B">
        <w:rPr>
          <w:color w:val="000000" w:themeColor="text1"/>
          <w:sz w:val="20"/>
          <w:szCs w:val="20"/>
        </w:rPr>
        <w:t xml:space="preserve"> annual report</w:t>
      </w:r>
      <w:r w:rsidR="00D508F9" w:rsidRPr="0067399B">
        <w:rPr>
          <w:color w:val="000000" w:themeColor="text1"/>
          <w:sz w:val="20"/>
          <w:szCs w:val="20"/>
        </w:rPr>
        <w:t xml:space="preserve"> (A/HRC/</w:t>
      </w:r>
      <w:r w:rsidR="006D3518">
        <w:rPr>
          <w:color w:val="000000" w:themeColor="text1"/>
          <w:sz w:val="20"/>
          <w:szCs w:val="20"/>
        </w:rPr>
        <w:t>40</w:t>
      </w:r>
      <w:r w:rsidR="00D508F9" w:rsidRPr="0067399B">
        <w:rPr>
          <w:color w:val="000000" w:themeColor="text1"/>
          <w:sz w:val="20"/>
          <w:szCs w:val="20"/>
        </w:rPr>
        <w:t>/3).</w:t>
      </w:r>
    </w:p>
    <w:p w14:paraId="2EA587D9" w14:textId="5356877D" w:rsidR="00F11B08" w:rsidRPr="0067399B" w:rsidRDefault="009B6FCB" w:rsidP="00F11B08">
      <w:pPr>
        <w:pStyle w:val="SingleTxtG"/>
        <w:rPr>
          <w:color w:val="000000" w:themeColor="text1"/>
          <w:sz w:val="20"/>
          <w:szCs w:val="20"/>
        </w:rPr>
      </w:pPr>
      <w:r>
        <w:rPr>
          <w:color w:val="000000" w:themeColor="text1"/>
          <w:sz w:val="20"/>
          <w:szCs w:val="20"/>
        </w:rPr>
        <w:t>43</w:t>
      </w:r>
      <w:r w:rsidR="00F11B08" w:rsidRPr="0067399B">
        <w:rPr>
          <w:color w:val="000000" w:themeColor="text1"/>
          <w:sz w:val="20"/>
          <w:szCs w:val="20"/>
        </w:rPr>
        <w:t>.</w:t>
      </w:r>
      <w:r w:rsidR="00F11B08" w:rsidRPr="0067399B">
        <w:rPr>
          <w:color w:val="000000" w:themeColor="text1"/>
          <w:sz w:val="20"/>
          <w:szCs w:val="20"/>
        </w:rPr>
        <w:tab/>
        <w:t xml:space="preserve">During the ensuing interactive dialogue, at the </w:t>
      </w:r>
      <w:r w:rsidR="00F11B08" w:rsidRPr="00B67B9F">
        <w:rPr>
          <w:color w:val="000000" w:themeColor="text1"/>
          <w:sz w:val="20"/>
          <w:szCs w:val="20"/>
        </w:rPr>
        <w:t>2</w:t>
      </w:r>
      <w:r w:rsidR="00B67B9F" w:rsidRPr="00B67B9F">
        <w:rPr>
          <w:color w:val="000000" w:themeColor="text1"/>
          <w:sz w:val="20"/>
          <w:szCs w:val="20"/>
        </w:rPr>
        <w:t>2nd</w:t>
      </w:r>
      <w:r w:rsidR="004F72BF" w:rsidRPr="00B67B9F">
        <w:rPr>
          <w:color w:val="000000" w:themeColor="text1"/>
          <w:sz w:val="20"/>
          <w:szCs w:val="20"/>
        </w:rPr>
        <w:t xml:space="preserve"> </w:t>
      </w:r>
      <w:r w:rsidR="00C11A68" w:rsidRPr="00B67B9F">
        <w:rPr>
          <w:color w:val="000000" w:themeColor="text1"/>
          <w:sz w:val="20"/>
          <w:szCs w:val="20"/>
        </w:rPr>
        <w:t>to</w:t>
      </w:r>
      <w:r w:rsidR="004F72BF" w:rsidRPr="00B67B9F">
        <w:rPr>
          <w:color w:val="000000" w:themeColor="text1"/>
          <w:sz w:val="20"/>
          <w:szCs w:val="20"/>
        </w:rPr>
        <w:t xml:space="preserve"> </w:t>
      </w:r>
      <w:r w:rsidR="00B67B9F" w:rsidRPr="00B67B9F">
        <w:rPr>
          <w:color w:val="000000" w:themeColor="text1"/>
          <w:sz w:val="20"/>
          <w:szCs w:val="20"/>
        </w:rPr>
        <w:t>23rd</w:t>
      </w:r>
      <w:r w:rsidR="004F72BF" w:rsidRPr="00B67B9F">
        <w:rPr>
          <w:color w:val="000000" w:themeColor="text1"/>
          <w:sz w:val="20"/>
          <w:szCs w:val="20"/>
        </w:rPr>
        <w:t xml:space="preserve"> meetings, on </w:t>
      </w:r>
      <w:r w:rsidR="00B67B9F" w:rsidRPr="00B67B9F">
        <w:rPr>
          <w:color w:val="000000" w:themeColor="text1"/>
          <w:sz w:val="20"/>
          <w:szCs w:val="20"/>
        </w:rPr>
        <w:t>7</w:t>
      </w:r>
      <w:r w:rsidR="004F72BF" w:rsidRPr="00B67B9F">
        <w:rPr>
          <w:color w:val="000000" w:themeColor="text1"/>
          <w:sz w:val="20"/>
          <w:szCs w:val="20"/>
        </w:rPr>
        <w:t xml:space="preserve"> March </w:t>
      </w:r>
      <w:r w:rsidR="00141AFC" w:rsidRPr="00B67B9F">
        <w:rPr>
          <w:color w:val="000000" w:themeColor="text1"/>
          <w:sz w:val="20"/>
          <w:szCs w:val="20"/>
        </w:rPr>
        <w:t>2019</w:t>
      </w:r>
      <w:r w:rsidR="00F11B08" w:rsidRPr="0067399B">
        <w:rPr>
          <w:color w:val="000000" w:themeColor="text1"/>
          <w:sz w:val="20"/>
          <w:szCs w:val="20"/>
        </w:rPr>
        <w:t xml:space="preserve">, </w:t>
      </w:r>
      <w:r w:rsidR="000B34DF">
        <w:rPr>
          <w:color w:val="000000" w:themeColor="text1"/>
          <w:sz w:val="20"/>
          <w:szCs w:val="20"/>
        </w:rPr>
        <w:t xml:space="preserve">and at the 24th meeting, on 8 March 2019, </w:t>
      </w:r>
      <w:r w:rsidR="00F11B08" w:rsidRPr="0067399B">
        <w:rPr>
          <w:color w:val="000000" w:themeColor="text1"/>
          <w:sz w:val="20"/>
          <w:szCs w:val="20"/>
        </w:rPr>
        <w:t>the following made statements and asked the High Commissioner questions:</w:t>
      </w:r>
    </w:p>
    <w:p w14:paraId="4F3C6DD9" w14:textId="5A6DEF2C" w:rsidR="00D72DF9" w:rsidRPr="0067399B" w:rsidRDefault="00F11B08" w:rsidP="00D72DF9">
      <w:pPr>
        <w:pStyle w:val="SingleTxtG"/>
        <w:ind w:firstLine="567"/>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w:t>
      </w:r>
      <w:r w:rsidR="006D3518">
        <w:rPr>
          <w:color w:val="000000" w:themeColor="text1"/>
          <w:sz w:val="20"/>
          <w:szCs w:val="20"/>
        </w:rPr>
        <w:t xml:space="preserve"> </w:t>
      </w:r>
      <w:r w:rsidR="0040040E" w:rsidRPr="000B34DF">
        <w:rPr>
          <w:color w:val="000000" w:themeColor="text1"/>
          <w:sz w:val="20"/>
          <w:szCs w:val="20"/>
        </w:rPr>
        <w:t xml:space="preserve">Angola </w:t>
      </w:r>
      <w:r w:rsidR="0040040E">
        <w:rPr>
          <w:color w:val="000000" w:themeColor="text1"/>
          <w:sz w:val="20"/>
          <w:szCs w:val="20"/>
        </w:rPr>
        <w:t>(</w:t>
      </w:r>
      <w:r w:rsidR="0040040E" w:rsidRPr="000B34DF">
        <w:rPr>
          <w:color w:val="000000" w:themeColor="text1"/>
          <w:sz w:val="20"/>
          <w:szCs w:val="20"/>
        </w:rPr>
        <w:t xml:space="preserve">on behalf of the Group </w:t>
      </w:r>
      <w:r w:rsidR="0040040E">
        <w:rPr>
          <w:color w:val="000000" w:themeColor="text1"/>
          <w:sz w:val="20"/>
          <w:szCs w:val="20"/>
        </w:rPr>
        <w:t xml:space="preserve">of </w:t>
      </w:r>
      <w:r w:rsidR="0040040E" w:rsidRPr="000B34DF">
        <w:rPr>
          <w:color w:val="000000" w:themeColor="text1"/>
          <w:sz w:val="20"/>
          <w:szCs w:val="20"/>
        </w:rPr>
        <w:t>African</w:t>
      </w:r>
      <w:r w:rsidR="0040040E">
        <w:rPr>
          <w:color w:val="000000" w:themeColor="text1"/>
          <w:sz w:val="20"/>
          <w:szCs w:val="20"/>
        </w:rPr>
        <w:t xml:space="preserve"> States), </w:t>
      </w:r>
      <w:r w:rsidR="0040040E" w:rsidRPr="000B34DF">
        <w:rPr>
          <w:color w:val="000000" w:themeColor="text1"/>
          <w:sz w:val="20"/>
          <w:szCs w:val="20"/>
        </w:rPr>
        <w:t xml:space="preserve">Argentina </w:t>
      </w:r>
      <w:r w:rsidR="0040040E">
        <w:rPr>
          <w:color w:val="000000" w:themeColor="text1"/>
          <w:sz w:val="20"/>
          <w:szCs w:val="20"/>
        </w:rPr>
        <w:t xml:space="preserve">(also </w:t>
      </w:r>
      <w:r w:rsidR="0040040E" w:rsidRPr="000B34DF">
        <w:rPr>
          <w:color w:val="000000" w:themeColor="text1"/>
          <w:sz w:val="20"/>
          <w:szCs w:val="20"/>
        </w:rPr>
        <w:t>on</w:t>
      </w:r>
      <w:r w:rsidR="0040040E">
        <w:rPr>
          <w:color w:val="000000" w:themeColor="text1"/>
          <w:sz w:val="20"/>
          <w:szCs w:val="20"/>
        </w:rPr>
        <w:t xml:space="preserve"> behalf of Brazil, Canada, Chile, Colombia, Costa Rica, Ecuador, Paraguay and Peru), </w:t>
      </w:r>
      <w:r w:rsidR="0040040E" w:rsidRPr="00334079">
        <w:rPr>
          <w:color w:val="000000" w:themeColor="text1"/>
          <w:sz w:val="20"/>
          <w:szCs w:val="20"/>
        </w:rPr>
        <w:t>Australia</w:t>
      </w:r>
      <w:r w:rsidR="0040040E">
        <w:rPr>
          <w:color w:val="000000" w:themeColor="text1"/>
          <w:sz w:val="20"/>
          <w:szCs w:val="20"/>
        </w:rPr>
        <w:t xml:space="preserve">, </w:t>
      </w:r>
      <w:r w:rsidR="0040040E" w:rsidRPr="00334079">
        <w:rPr>
          <w:color w:val="000000" w:themeColor="text1"/>
          <w:sz w:val="20"/>
          <w:szCs w:val="20"/>
        </w:rPr>
        <w:t>Austria</w:t>
      </w:r>
      <w:r w:rsidR="0040040E">
        <w:rPr>
          <w:color w:val="000000" w:themeColor="text1"/>
          <w:sz w:val="20"/>
          <w:szCs w:val="20"/>
        </w:rPr>
        <w:t xml:space="preserve">, </w:t>
      </w:r>
      <w:r w:rsidR="0040040E" w:rsidRPr="00334079">
        <w:rPr>
          <w:color w:val="000000" w:themeColor="text1"/>
          <w:sz w:val="20"/>
          <w:szCs w:val="20"/>
        </w:rPr>
        <w:t>Bahamas</w:t>
      </w:r>
      <w:r w:rsidR="0040040E">
        <w:rPr>
          <w:color w:val="000000" w:themeColor="text1"/>
          <w:sz w:val="20"/>
          <w:szCs w:val="20"/>
        </w:rPr>
        <w:t xml:space="preserve">, </w:t>
      </w:r>
      <w:r w:rsidR="0040040E" w:rsidRPr="00334079">
        <w:rPr>
          <w:color w:val="000000" w:themeColor="text1"/>
          <w:sz w:val="20"/>
          <w:szCs w:val="20"/>
        </w:rPr>
        <w:t>Bahrain</w:t>
      </w:r>
      <w:r w:rsidR="0040040E" w:rsidRPr="000B34DF">
        <w:rPr>
          <w:color w:val="000000" w:themeColor="text1"/>
          <w:sz w:val="20"/>
          <w:szCs w:val="20"/>
        </w:rPr>
        <w:t xml:space="preserve"> </w:t>
      </w:r>
      <w:r w:rsidR="0040040E">
        <w:rPr>
          <w:color w:val="000000" w:themeColor="text1"/>
          <w:sz w:val="20"/>
          <w:szCs w:val="20"/>
        </w:rPr>
        <w:t xml:space="preserve">(also </w:t>
      </w:r>
      <w:r w:rsidR="0040040E" w:rsidRPr="000B34DF">
        <w:rPr>
          <w:color w:val="000000" w:themeColor="text1"/>
          <w:sz w:val="20"/>
          <w:szCs w:val="20"/>
        </w:rPr>
        <w:t xml:space="preserve">on behalf of the Group </w:t>
      </w:r>
      <w:r w:rsidR="0040040E">
        <w:rPr>
          <w:color w:val="000000" w:themeColor="text1"/>
          <w:sz w:val="20"/>
          <w:szCs w:val="20"/>
        </w:rPr>
        <w:t xml:space="preserve">of </w:t>
      </w:r>
      <w:r w:rsidR="0040040E" w:rsidRPr="000B34DF">
        <w:rPr>
          <w:color w:val="000000" w:themeColor="text1"/>
          <w:sz w:val="20"/>
          <w:szCs w:val="20"/>
        </w:rPr>
        <w:t>Arab</w:t>
      </w:r>
      <w:r w:rsidR="0040040E">
        <w:rPr>
          <w:color w:val="000000" w:themeColor="text1"/>
          <w:sz w:val="20"/>
          <w:szCs w:val="20"/>
        </w:rPr>
        <w:t xml:space="preserve"> States), </w:t>
      </w:r>
      <w:r w:rsidR="0040040E" w:rsidRPr="00334079">
        <w:rPr>
          <w:color w:val="000000" w:themeColor="text1"/>
          <w:sz w:val="20"/>
          <w:szCs w:val="20"/>
        </w:rPr>
        <w:t>Brazil</w:t>
      </w:r>
      <w:r w:rsidR="0040040E">
        <w:rPr>
          <w:color w:val="000000" w:themeColor="text1"/>
          <w:sz w:val="20"/>
          <w:szCs w:val="20"/>
        </w:rPr>
        <w:t xml:space="preserve">, </w:t>
      </w:r>
      <w:r w:rsidR="0040040E" w:rsidRPr="00334079">
        <w:rPr>
          <w:color w:val="000000" w:themeColor="text1"/>
          <w:sz w:val="20"/>
          <w:szCs w:val="20"/>
        </w:rPr>
        <w:t>Burkina Faso</w:t>
      </w:r>
      <w:r w:rsidR="0040040E">
        <w:rPr>
          <w:color w:val="000000" w:themeColor="text1"/>
          <w:sz w:val="20"/>
          <w:szCs w:val="20"/>
        </w:rPr>
        <w:t xml:space="preserve">, </w:t>
      </w:r>
      <w:r w:rsidR="0040040E" w:rsidRPr="00334079">
        <w:rPr>
          <w:color w:val="000000" w:themeColor="text1"/>
          <w:sz w:val="20"/>
          <w:szCs w:val="20"/>
        </w:rPr>
        <w:t>Cameroon</w:t>
      </w:r>
      <w:r w:rsidR="0040040E">
        <w:rPr>
          <w:color w:val="000000" w:themeColor="text1"/>
          <w:sz w:val="20"/>
          <w:szCs w:val="20"/>
        </w:rPr>
        <w:t xml:space="preserve">, </w:t>
      </w:r>
      <w:r w:rsidR="0040040E" w:rsidRPr="00334079">
        <w:rPr>
          <w:color w:val="000000" w:themeColor="text1"/>
          <w:sz w:val="20"/>
          <w:szCs w:val="20"/>
        </w:rPr>
        <w:t>Chile</w:t>
      </w:r>
      <w:r w:rsidR="0040040E">
        <w:rPr>
          <w:color w:val="000000" w:themeColor="text1"/>
          <w:sz w:val="20"/>
          <w:szCs w:val="20"/>
        </w:rPr>
        <w:t xml:space="preserve">, </w:t>
      </w:r>
      <w:r w:rsidR="0040040E" w:rsidRPr="000B34DF">
        <w:rPr>
          <w:color w:val="000000" w:themeColor="text1"/>
          <w:sz w:val="20"/>
          <w:szCs w:val="20"/>
        </w:rPr>
        <w:t xml:space="preserve">China </w:t>
      </w:r>
      <w:r w:rsidR="0040040E">
        <w:rPr>
          <w:color w:val="000000" w:themeColor="text1"/>
          <w:sz w:val="20"/>
          <w:szCs w:val="20"/>
        </w:rPr>
        <w:t xml:space="preserve">(also </w:t>
      </w:r>
      <w:r w:rsidR="0040040E" w:rsidRPr="000B34DF">
        <w:rPr>
          <w:color w:val="000000" w:themeColor="text1"/>
          <w:sz w:val="20"/>
          <w:szCs w:val="20"/>
        </w:rPr>
        <w:t xml:space="preserve">on behalf of </w:t>
      </w:r>
      <w:r w:rsidR="001971FC" w:rsidRPr="001971FC">
        <w:rPr>
          <w:color w:val="000000" w:themeColor="text1"/>
          <w:sz w:val="20"/>
          <w:szCs w:val="20"/>
        </w:rPr>
        <w:t>Algeria, Angola, Bahrain, Bangladesh, Belarus, Bolivia</w:t>
      </w:r>
      <w:r w:rsidR="001971FC">
        <w:rPr>
          <w:color w:val="000000" w:themeColor="text1"/>
          <w:sz w:val="20"/>
          <w:szCs w:val="20"/>
        </w:rPr>
        <w:t xml:space="preserve"> (Plurinational State of)</w:t>
      </w:r>
      <w:r w:rsidR="001971FC" w:rsidRPr="001971FC">
        <w:rPr>
          <w:color w:val="000000" w:themeColor="text1"/>
          <w:sz w:val="20"/>
          <w:szCs w:val="20"/>
        </w:rPr>
        <w:t xml:space="preserve">, Burundi, Cambodia, Cuba, </w:t>
      </w:r>
      <w:r w:rsidR="001971FC">
        <w:rPr>
          <w:color w:val="000000" w:themeColor="text1"/>
          <w:sz w:val="20"/>
          <w:szCs w:val="20"/>
        </w:rPr>
        <w:t>the Democratic People</w:t>
      </w:r>
      <w:r w:rsidR="00D72627">
        <w:rPr>
          <w:color w:val="000000" w:themeColor="text1"/>
          <w:sz w:val="20"/>
          <w:szCs w:val="20"/>
        </w:rPr>
        <w:t>’</w:t>
      </w:r>
      <w:r w:rsidR="001971FC">
        <w:rPr>
          <w:color w:val="000000" w:themeColor="text1"/>
          <w:sz w:val="20"/>
          <w:szCs w:val="20"/>
        </w:rPr>
        <w:t>s Republic of Korea</w:t>
      </w:r>
      <w:r w:rsidR="001971FC" w:rsidRPr="001971FC">
        <w:rPr>
          <w:color w:val="000000" w:themeColor="text1"/>
          <w:sz w:val="20"/>
          <w:szCs w:val="20"/>
        </w:rPr>
        <w:t>, Egypt, Indonesia, Iran</w:t>
      </w:r>
      <w:r w:rsidR="001971FC">
        <w:rPr>
          <w:color w:val="000000" w:themeColor="text1"/>
          <w:sz w:val="20"/>
          <w:szCs w:val="20"/>
        </w:rPr>
        <w:t xml:space="preserve"> (Islamic Republic of)</w:t>
      </w:r>
      <w:r w:rsidR="001971FC" w:rsidRPr="001971FC">
        <w:rPr>
          <w:color w:val="000000" w:themeColor="text1"/>
          <w:sz w:val="20"/>
          <w:szCs w:val="20"/>
        </w:rPr>
        <w:t xml:space="preserve">, </w:t>
      </w:r>
      <w:r w:rsidR="001971FC">
        <w:rPr>
          <w:color w:val="000000" w:themeColor="text1"/>
          <w:sz w:val="20"/>
          <w:szCs w:val="20"/>
        </w:rPr>
        <w:t xml:space="preserve">the </w:t>
      </w:r>
      <w:r w:rsidR="001971FC" w:rsidRPr="001971FC">
        <w:rPr>
          <w:color w:val="000000" w:themeColor="text1"/>
          <w:sz w:val="20"/>
          <w:szCs w:val="20"/>
        </w:rPr>
        <w:t>Lao</w:t>
      </w:r>
      <w:r w:rsidR="001971FC">
        <w:rPr>
          <w:color w:val="000000" w:themeColor="text1"/>
          <w:sz w:val="20"/>
          <w:szCs w:val="20"/>
        </w:rPr>
        <w:t xml:space="preserve"> People</w:t>
      </w:r>
      <w:r w:rsidR="00D72627">
        <w:rPr>
          <w:color w:val="000000" w:themeColor="text1"/>
          <w:sz w:val="20"/>
          <w:szCs w:val="20"/>
        </w:rPr>
        <w:t>’</w:t>
      </w:r>
      <w:r w:rsidR="001971FC">
        <w:rPr>
          <w:color w:val="000000" w:themeColor="text1"/>
          <w:sz w:val="20"/>
          <w:szCs w:val="20"/>
        </w:rPr>
        <w:t>s Democratic Republic,</w:t>
      </w:r>
      <w:r w:rsidR="001971FC" w:rsidRPr="001971FC">
        <w:rPr>
          <w:color w:val="000000" w:themeColor="text1"/>
          <w:sz w:val="20"/>
          <w:szCs w:val="20"/>
        </w:rPr>
        <w:t xml:space="preserve"> Malaysia, Myanmar, Namibia, Nicaragua, Nigeria, Pakistan, </w:t>
      </w:r>
      <w:r w:rsidR="001971FC">
        <w:rPr>
          <w:color w:val="000000" w:themeColor="text1"/>
          <w:sz w:val="20"/>
          <w:szCs w:val="20"/>
        </w:rPr>
        <w:t xml:space="preserve">the </w:t>
      </w:r>
      <w:r w:rsidR="001971FC" w:rsidRPr="001971FC">
        <w:rPr>
          <w:color w:val="000000" w:themeColor="text1"/>
          <w:sz w:val="20"/>
          <w:szCs w:val="20"/>
        </w:rPr>
        <w:t>Philippines</w:t>
      </w:r>
      <w:r w:rsidR="001971FC">
        <w:rPr>
          <w:color w:val="000000" w:themeColor="text1"/>
          <w:sz w:val="20"/>
          <w:szCs w:val="20"/>
        </w:rPr>
        <w:t xml:space="preserve">, the </w:t>
      </w:r>
      <w:r w:rsidR="001971FC" w:rsidRPr="001971FC">
        <w:rPr>
          <w:color w:val="000000" w:themeColor="text1"/>
          <w:sz w:val="20"/>
          <w:szCs w:val="20"/>
        </w:rPr>
        <w:t>Russia</w:t>
      </w:r>
      <w:r w:rsidR="001971FC">
        <w:rPr>
          <w:color w:val="000000" w:themeColor="text1"/>
          <w:sz w:val="20"/>
          <w:szCs w:val="20"/>
        </w:rPr>
        <w:t>n Federation</w:t>
      </w:r>
      <w:r w:rsidR="001971FC" w:rsidRPr="001971FC">
        <w:rPr>
          <w:color w:val="000000" w:themeColor="text1"/>
          <w:sz w:val="20"/>
          <w:szCs w:val="20"/>
        </w:rPr>
        <w:t xml:space="preserve">, Saudi Arabia, </w:t>
      </w:r>
      <w:r w:rsidR="001971FC">
        <w:rPr>
          <w:color w:val="000000" w:themeColor="text1"/>
          <w:sz w:val="20"/>
          <w:szCs w:val="20"/>
        </w:rPr>
        <w:t xml:space="preserve">the </w:t>
      </w:r>
      <w:r w:rsidR="001971FC" w:rsidRPr="001971FC">
        <w:rPr>
          <w:color w:val="000000" w:themeColor="text1"/>
          <w:sz w:val="20"/>
          <w:szCs w:val="20"/>
        </w:rPr>
        <w:t xml:space="preserve">Sudan, </w:t>
      </w:r>
      <w:r w:rsidR="001971FC">
        <w:rPr>
          <w:color w:val="000000" w:themeColor="text1"/>
          <w:sz w:val="20"/>
          <w:szCs w:val="20"/>
        </w:rPr>
        <w:t xml:space="preserve">the </w:t>
      </w:r>
      <w:r w:rsidR="001971FC" w:rsidRPr="001971FC">
        <w:rPr>
          <w:color w:val="000000" w:themeColor="text1"/>
          <w:sz w:val="20"/>
          <w:szCs w:val="20"/>
        </w:rPr>
        <w:t>Syria</w:t>
      </w:r>
      <w:r w:rsidR="001971FC">
        <w:rPr>
          <w:color w:val="000000" w:themeColor="text1"/>
          <w:sz w:val="20"/>
          <w:szCs w:val="20"/>
        </w:rPr>
        <w:t>n Arab Republic</w:t>
      </w:r>
      <w:r w:rsidR="001971FC" w:rsidRPr="001971FC">
        <w:rPr>
          <w:color w:val="000000" w:themeColor="text1"/>
          <w:sz w:val="20"/>
          <w:szCs w:val="20"/>
        </w:rPr>
        <w:t xml:space="preserve">, Thailand, Turkmenistan, </w:t>
      </w:r>
      <w:r w:rsidR="001971FC">
        <w:rPr>
          <w:color w:val="000000" w:themeColor="text1"/>
          <w:sz w:val="20"/>
          <w:szCs w:val="20"/>
        </w:rPr>
        <w:t xml:space="preserve">the </w:t>
      </w:r>
      <w:r w:rsidR="001971FC" w:rsidRPr="001971FC">
        <w:rPr>
          <w:color w:val="000000" w:themeColor="text1"/>
          <w:sz w:val="20"/>
          <w:szCs w:val="20"/>
        </w:rPr>
        <w:t>United Arab Emirates, Venezuela</w:t>
      </w:r>
      <w:r w:rsidR="001971FC">
        <w:rPr>
          <w:color w:val="000000" w:themeColor="text1"/>
          <w:sz w:val="20"/>
          <w:szCs w:val="20"/>
        </w:rPr>
        <w:t xml:space="preserve"> (Bolivarian Republic of)</w:t>
      </w:r>
      <w:r w:rsidR="001971FC" w:rsidRPr="001971FC">
        <w:rPr>
          <w:color w:val="000000" w:themeColor="text1"/>
          <w:sz w:val="20"/>
          <w:szCs w:val="20"/>
        </w:rPr>
        <w:t>, Viet</w:t>
      </w:r>
      <w:r w:rsidR="001971FC">
        <w:rPr>
          <w:color w:val="000000" w:themeColor="text1"/>
          <w:sz w:val="20"/>
          <w:szCs w:val="20"/>
        </w:rPr>
        <w:t xml:space="preserve"> N</w:t>
      </w:r>
      <w:r w:rsidR="001971FC" w:rsidRPr="001971FC">
        <w:rPr>
          <w:color w:val="000000" w:themeColor="text1"/>
          <w:sz w:val="20"/>
          <w:szCs w:val="20"/>
        </w:rPr>
        <w:t>am</w:t>
      </w:r>
      <w:r w:rsidR="001971FC">
        <w:rPr>
          <w:color w:val="000000" w:themeColor="text1"/>
          <w:sz w:val="20"/>
          <w:szCs w:val="20"/>
        </w:rPr>
        <w:t xml:space="preserve"> and </w:t>
      </w:r>
      <w:r w:rsidR="001971FC" w:rsidRPr="001971FC">
        <w:rPr>
          <w:color w:val="000000" w:themeColor="text1"/>
          <w:sz w:val="20"/>
          <w:szCs w:val="20"/>
        </w:rPr>
        <w:t>Zimbabwe</w:t>
      </w:r>
      <w:r w:rsidR="0040040E">
        <w:rPr>
          <w:color w:val="000000" w:themeColor="text1"/>
          <w:sz w:val="20"/>
          <w:szCs w:val="20"/>
        </w:rPr>
        <w:t xml:space="preserve">), </w:t>
      </w:r>
      <w:r w:rsidR="0040040E" w:rsidRPr="00334079">
        <w:rPr>
          <w:color w:val="000000" w:themeColor="text1"/>
          <w:sz w:val="20"/>
          <w:szCs w:val="20"/>
        </w:rPr>
        <w:t>Cuba</w:t>
      </w:r>
      <w:r w:rsidR="0040040E">
        <w:rPr>
          <w:color w:val="000000" w:themeColor="text1"/>
          <w:sz w:val="20"/>
          <w:szCs w:val="20"/>
        </w:rPr>
        <w:t>,</w:t>
      </w:r>
      <w:r w:rsidR="005017BC" w:rsidRPr="005017BC">
        <w:rPr>
          <w:color w:val="000000" w:themeColor="text1"/>
          <w:sz w:val="20"/>
          <w:szCs w:val="20"/>
        </w:rPr>
        <w:t xml:space="preserve"> </w:t>
      </w:r>
      <w:r w:rsidR="005017BC" w:rsidRPr="00334079">
        <w:rPr>
          <w:color w:val="000000" w:themeColor="text1"/>
          <w:sz w:val="20"/>
          <w:szCs w:val="20"/>
        </w:rPr>
        <w:t>Czech</w:t>
      </w:r>
      <w:r w:rsidR="005017BC">
        <w:rPr>
          <w:color w:val="000000" w:themeColor="text1"/>
          <w:sz w:val="20"/>
          <w:szCs w:val="20"/>
        </w:rPr>
        <w:t xml:space="preserve">ia, </w:t>
      </w:r>
      <w:r w:rsidR="0040040E" w:rsidRPr="00334079">
        <w:rPr>
          <w:color w:val="000000" w:themeColor="text1"/>
          <w:sz w:val="20"/>
          <w:szCs w:val="20"/>
        </w:rPr>
        <w:t>Denmark</w:t>
      </w:r>
      <w:r w:rsidR="0040040E">
        <w:rPr>
          <w:color w:val="000000" w:themeColor="text1"/>
          <w:sz w:val="20"/>
          <w:szCs w:val="20"/>
        </w:rPr>
        <w:t xml:space="preserve">, </w:t>
      </w:r>
      <w:r w:rsidR="0040040E" w:rsidRPr="00334079">
        <w:rPr>
          <w:color w:val="000000" w:themeColor="text1"/>
          <w:sz w:val="20"/>
          <w:szCs w:val="20"/>
        </w:rPr>
        <w:t>Egypt</w:t>
      </w:r>
      <w:r w:rsidR="0040040E">
        <w:rPr>
          <w:color w:val="000000" w:themeColor="text1"/>
          <w:sz w:val="20"/>
          <w:szCs w:val="20"/>
        </w:rPr>
        <w:t xml:space="preserve">, </w:t>
      </w:r>
      <w:r w:rsidR="0040040E" w:rsidRPr="000B34DF">
        <w:rPr>
          <w:color w:val="000000" w:themeColor="text1"/>
          <w:sz w:val="20"/>
          <w:szCs w:val="20"/>
        </w:rPr>
        <w:t xml:space="preserve">Fiji </w:t>
      </w:r>
      <w:r w:rsidR="0040040E">
        <w:rPr>
          <w:color w:val="000000" w:themeColor="text1"/>
          <w:sz w:val="20"/>
          <w:szCs w:val="20"/>
        </w:rPr>
        <w:t xml:space="preserve">(also </w:t>
      </w:r>
      <w:r w:rsidR="0040040E" w:rsidRPr="000B34DF">
        <w:rPr>
          <w:color w:val="000000" w:themeColor="text1"/>
          <w:sz w:val="20"/>
          <w:szCs w:val="20"/>
        </w:rPr>
        <w:t xml:space="preserve">on behalf of </w:t>
      </w:r>
      <w:r w:rsidR="0040040E">
        <w:rPr>
          <w:color w:val="000000" w:themeColor="text1"/>
          <w:sz w:val="20"/>
          <w:szCs w:val="20"/>
        </w:rPr>
        <w:t>Argentina, Austria, the Bahamas, Bulgaria, Czechia, Denmark, Italy, Togo and Uruguay)</w:t>
      </w:r>
      <w:r w:rsidR="00FC5BFB">
        <w:rPr>
          <w:color w:val="000000" w:themeColor="text1"/>
          <w:sz w:val="20"/>
          <w:szCs w:val="20"/>
        </w:rPr>
        <w:t xml:space="preserve">, </w:t>
      </w:r>
      <w:r w:rsidR="00FC5BFB" w:rsidRPr="00334079">
        <w:rPr>
          <w:color w:val="000000" w:themeColor="text1"/>
          <w:sz w:val="20"/>
          <w:szCs w:val="20"/>
        </w:rPr>
        <w:t>Hungary</w:t>
      </w:r>
      <w:r w:rsidR="00FC5BFB">
        <w:rPr>
          <w:color w:val="000000" w:themeColor="text1"/>
          <w:sz w:val="20"/>
          <w:szCs w:val="20"/>
        </w:rPr>
        <w:t xml:space="preserve">, </w:t>
      </w:r>
      <w:r w:rsidR="00FC5BFB" w:rsidRPr="000B34DF">
        <w:rPr>
          <w:color w:val="000000" w:themeColor="text1"/>
          <w:sz w:val="20"/>
          <w:szCs w:val="20"/>
        </w:rPr>
        <w:t xml:space="preserve">Iceland </w:t>
      </w:r>
      <w:r w:rsidR="00FC5BFB">
        <w:rPr>
          <w:color w:val="000000" w:themeColor="text1"/>
          <w:sz w:val="20"/>
          <w:szCs w:val="20"/>
        </w:rPr>
        <w:t xml:space="preserve">(also </w:t>
      </w:r>
      <w:r w:rsidR="00FC5BFB" w:rsidRPr="000B34DF">
        <w:rPr>
          <w:color w:val="000000" w:themeColor="text1"/>
          <w:sz w:val="20"/>
          <w:szCs w:val="20"/>
        </w:rPr>
        <w:t xml:space="preserve">on behalf of </w:t>
      </w:r>
      <w:r w:rsidR="00FC5BFB">
        <w:rPr>
          <w:color w:val="000000" w:themeColor="text1"/>
          <w:sz w:val="20"/>
          <w:szCs w:val="20"/>
        </w:rPr>
        <w:t>Australia, Austria, Belgium, Bulgaria, Canada, Croatia, Cyprus, Czechia, Denmark, Estonia, Finland, France, Germany, Greece, Hungary, Ireland, Italy, Latvia, Liechtenstein, Lithuania, Luxembourg, Malta, Monaco, Montenegro, the Netherlands, New Zealand, Norway, Poland, Portugal, Romania, Slovakia, Slovenia, Spain, Sweden and the United</w:t>
      </w:r>
      <w:r w:rsidR="00FC5BFB" w:rsidRPr="000D4B00">
        <w:rPr>
          <w:color w:val="000000" w:themeColor="text1"/>
          <w:sz w:val="20"/>
          <w:szCs w:val="20"/>
        </w:rPr>
        <w:t xml:space="preserve"> </w:t>
      </w:r>
      <w:r w:rsidR="00FC5BFB" w:rsidRPr="002B2797">
        <w:rPr>
          <w:color w:val="000000" w:themeColor="text1"/>
          <w:sz w:val="20"/>
          <w:szCs w:val="20"/>
        </w:rPr>
        <w:t>Kingdom of Great Britain and Northern Ireland</w:t>
      </w:r>
      <w:r w:rsidR="00FC5BFB">
        <w:rPr>
          <w:color w:val="000000" w:themeColor="text1"/>
          <w:sz w:val="20"/>
          <w:szCs w:val="20"/>
        </w:rPr>
        <w:t xml:space="preserve">), </w:t>
      </w:r>
      <w:r w:rsidR="00FC5BFB" w:rsidRPr="00334079">
        <w:rPr>
          <w:color w:val="000000" w:themeColor="text1"/>
          <w:sz w:val="20"/>
          <w:szCs w:val="20"/>
        </w:rPr>
        <w:t>India</w:t>
      </w:r>
      <w:r w:rsidR="00FC5BFB">
        <w:rPr>
          <w:color w:val="000000" w:themeColor="text1"/>
          <w:sz w:val="20"/>
          <w:szCs w:val="20"/>
        </w:rPr>
        <w:t xml:space="preserve">, </w:t>
      </w:r>
      <w:r w:rsidR="00FC5BFB" w:rsidRPr="00334079">
        <w:rPr>
          <w:color w:val="000000" w:themeColor="text1"/>
          <w:sz w:val="20"/>
          <w:szCs w:val="20"/>
        </w:rPr>
        <w:t>Iraq</w:t>
      </w:r>
      <w:r w:rsidR="00FC5BFB">
        <w:rPr>
          <w:color w:val="000000" w:themeColor="text1"/>
          <w:sz w:val="20"/>
          <w:szCs w:val="20"/>
        </w:rPr>
        <w:t xml:space="preserve">, </w:t>
      </w:r>
      <w:r w:rsidR="00FC5BFB" w:rsidRPr="00334079">
        <w:rPr>
          <w:color w:val="000000" w:themeColor="text1"/>
          <w:sz w:val="20"/>
          <w:szCs w:val="20"/>
        </w:rPr>
        <w:t>Italy</w:t>
      </w:r>
      <w:r w:rsidR="00FC5BFB">
        <w:rPr>
          <w:color w:val="000000" w:themeColor="text1"/>
          <w:sz w:val="20"/>
          <w:szCs w:val="20"/>
        </w:rPr>
        <w:t xml:space="preserve">, </w:t>
      </w:r>
      <w:r w:rsidR="00FC5BFB" w:rsidRPr="00334079">
        <w:rPr>
          <w:color w:val="000000" w:themeColor="text1"/>
          <w:sz w:val="20"/>
          <w:szCs w:val="20"/>
        </w:rPr>
        <w:t>Japan</w:t>
      </w:r>
      <w:r w:rsidR="002D7888">
        <w:rPr>
          <w:color w:val="000000" w:themeColor="text1"/>
          <w:sz w:val="20"/>
          <w:szCs w:val="20"/>
        </w:rPr>
        <w:t xml:space="preserve">, </w:t>
      </w:r>
      <w:r w:rsidR="002D7888" w:rsidRPr="00334079">
        <w:rPr>
          <w:color w:val="000000" w:themeColor="text1"/>
          <w:sz w:val="20"/>
          <w:szCs w:val="20"/>
        </w:rPr>
        <w:t>Mexico</w:t>
      </w:r>
      <w:r w:rsidR="002D7888">
        <w:rPr>
          <w:color w:val="000000" w:themeColor="text1"/>
          <w:sz w:val="20"/>
          <w:szCs w:val="20"/>
        </w:rPr>
        <w:t xml:space="preserve">, </w:t>
      </w:r>
      <w:r w:rsidR="002D7888" w:rsidRPr="000B34DF">
        <w:rPr>
          <w:color w:val="000000" w:themeColor="text1"/>
          <w:sz w:val="20"/>
          <w:szCs w:val="20"/>
        </w:rPr>
        <w:t>Morocco</w:t>
      </w:r>
      <w:r w:rsidR="00AB550D">
        <w:rPr>
          <w:rStyle w:val="FootnoteReference"/>
          <w:color w:val="000000" w:themeColor="text1"/>
          <w:szCs w:val="20"/>
        </w:rPr>
        <w:footnoteReference w:id="7"/>
      </w:r>
      <w:r w:rsidR="002D7888" w:rsidRPr="000B34DF">
        <w:rPr>
          <w:color w:val="000000" w:themeColor="text1"/>
          <w:sz w:val="20"/>
          <w:szCs w:val="20"/>
        </w:rPr>
        <w:t xml:space="preserve"> </w:t>
      </w:r>
      <w:r w:rsidR="002D7888">
        <w:rPr>
          <w:color w:val="000000" w:themeColor="text1"/>
          <w:sz w:val="20"/>
          <w:szCs w:val="20"/>
        </w:rPr>
        <w:t xml:space="preserve">(also </w:t>
      </w:r>
      <w:r w:rsidR="002D7888" w:rsidRPr="000B34DF">
        <w:rPr>
          <w:color w:val="000000" w:themeColor="text1"/>
          <w:sz w:val="20"/>
          <w:szCs w:val="20"/>
        </w:rPr>
        <w:t>o</w:t>
      </w:r>
      <w:r w:rsidR="002D7888">
        <w:rPr>
          <w:color w:val="000000" w:themeColor="text1"/>
          <w:sz w:val="20"/>
          <w:szCs w:val="20"/>
        </w:rPr>
        <w:t xml:space="preserve">n behalf of Bahrain, Burkina Faso, Burundi, the Central African Republic, the Comoros, </w:t>
      </w:r>
      <w:r w:rsidR="002D7888" w:rsidRPr="00D9369D">
        <w:rPr>
          <w:color w:val="000000" w:themeColor="text1"/>
          <w:sz w:val="20"/>
          <w:szCs w:val="20"/>
        </w:rPr>
        <w:t>Côte d</w:t>
      </w:r>
      <w:r w:rsidR="00D72627">
        <w:rPr>
          <w:color w:val="000000" w:themeColor="text1"/>
          <w:sz w:val="20"/>
          <w:szCs w:val="20"/>
        </w:rPr>
        <w:t>’</w:t>
      </w:r>
      <w:r w:rsidR="002D7888" w:rsidRPr="00D9369D">
        <w:rPr>
          <w:color w:val="000000" w:themeColor="text1"/>
          <w:sz w:val="20"/>
          <w:szCs w:val="20"/>
        </w:rPr>
        <w:t>Ivoire</w:t>
      </w:r>
      <w:r w:rsidR="002D7888">
        <w:rPr>
          <w:color w:val="000000" w:themeColor="text1"/>
          <w:sz w:val="20"/>
          <w:szCs w:val="20"/>
        </w:rPr>
        <w:t xml:space="preserve">, the Democratic Republic of the Congo, Djibouti, Gabon, Guinea, Jordan, Kuwait, Oman, Paraguay, Qatar, Sao Tome and Principe, Saudi Arabia, Senegal and the United Arab Emirates), </w:t>
      </w:r>
      <w:r w:rsidR="002D7888" w:rsidRPr="00334079">
        <w:rPr>
          <w:color w:val="000000" w:themeColor="text1"/>
          <w:sz w:val="20"/>
          <w:szCs w:val="20"/>
        </w:rPr>
        <w:t>Nepal</w:t>
      </w:r>
      <w:r w:rsidR="002D7888">
        <w:rPr>
          <w:color w:val="000000" w:themeColor="text1"/>
          <w:sz w:val="20"/>
          <w:szCs w:val="20"/>
        </w:rPr>
        <w:t xml:space="preserve">, </w:t>
      </w:r>
      <w:r w:rsidR="002D7888" w:rsidRPr="000B34DF">
        <w:rPr>
          <w:color w:val="000000" w:themeColor="text1"/>
          <w:sz w:val="20"/>
          <w:szCs w:val="20"/>
        </w:rPr>
        <w:t>Netherlands</w:t>
      </w:r>
      <w:r w:rsidR="00AB550D">
        <w:rPr>
          <w:rStyle w:val="FootnoteReference"/>
          <w:color w:val="000000" w:themeColor="text1"/>
          <w:szCs w:val="20"/>
        </w:rPr>
        <w:footnoteReference w:id="8"/>
      </w:r>
      <w:r w:rsidR="002D7888" w:rsidRPr="000B34DF">
        <w:rPr>
          <w:color w:val="000000" w:themeColor="text1"/>
          <w:sz w:val="20"/>
          <w:szCs w:val="20"/>
        </w:rPr>
        <w:t xml:space="preserve"> </w:t>
      </w:r>
      <w:r w:rsidR="002D7888">
        <w:rPr>
          <w:color w:val="000000" w:themeColor="text1"/>
          <w:sz w:val="20"/>
          <w:szCs w:val="20"/>
        </w:rPr>
        <w:t xml:space="preserve">(also </w:t>
      </w:r>
      <w:r w:rsidR="002D7888" w:rsidRPr="000B34DF">
        <w:rPr>
          <w:color w:val="000000" w:themeColor="text1"/>
          <w:sz w:val="20"/>
          <w:szCs w:val="20"/>
        </w:rPr>
        <w:t xml:space="preserve">on behalf of </w:t>
      </w:r>
      <w:r w:rsidR="009203F2">
        <w:rPr>
          <w:color w:val="000000" w:themeColor="text1"/>
          <w:sz w:val="20"/>
          <w:szCs w:val="20"/>
        </w:rPr>
        <w:t xml:space="preserve">the </w:t>
      </w:r>
      <w:r w:rsidR="009203F2" w:rsidRPr="009203F2">
        <w:rPr>
          <w:color w:val="000000" w:themeColor="text1"/>
          <w:sz w:val="20"/>
          <w:szCs w:val="20"/>
        </w:rPr>
        <w:t>European Union</w:t>
      </w:r>
      <w:r w:rsidR="009203F2">
        <w:rPr>
          <w:color w:val="000000" w:themeColor="text1"/>
          <w:sz w:val="20"/>
          <w:szCs w:val="20"/>
        </w:rPr>
        <w:t>,</w:t>
      </w:r>
      <w:r w:rsidR="009203F2" w:rsidRPr="009203F2">
        <w:rPr>
          <w:color w:val="000000" w:themeColor="text1"/>
          <w:sz w:val="20"/>
          <w:szCs w:val="20"/>
        </w:rPr>
        <w:t xml:space="preserve"> Argentina</w:t>
      </w:r>
      <w:r w:rsidR="009203F2">
        <w:rPr>
          <w:color w:val="000000" w:themeColor="text1"/>
          <w:sz w:val="20"/>
          <w:szCs w:val="20"/>
        </w:rPr>
        <w:t xml:space="preserve">, </w:t>
      </w:r>
      <w:r w:rsidR="009203F2" w:rsidRPr="009203F2">
        <w:rPr>
          <w:color w:val="000000" w:themeColor="text1"/>
          <w:sz w:val="20"/>
          <w:szCs w:val="20"/>
        </w:rPr>
        <w:t>Australia</w:t>
      </w:r>
      <w:r w:rsidR="009203F2">
        <w:rPr>
          <w:color w:val="000000" w:themeColor="text1"/>
          <w:sz w:val="20"/>
          <w:szCs w:val="20"/>
        </w:rPr>
        <w:t xml:space="preserve">, </w:t>
      </w:r>
      <w:r w:rsidR="009203F2" w:rsidRPr="009203F2">
        <w:rPr>
          <w:color w:val="000000" w:themeColor="text1"/>
          <w:sz w:val="20"/>
          <w:szCs w:val="20"/>
        </w:rPr>
        <w:t>Bangladesh</w:t>
      </w:r>
      <w:r w:rsidR="009203F2">
        <w:rPr>
          <w:color w:val="000000" w:themeColor="text1"/>
          <w:sz w:val="20"/>
          <w:szCs w:val="20"/>
        </w:rPr>
        <w:t xml:space="preserve">, </w:t>
      </w:r>
      <w:r w:rsidR="009203F2" w:rsidRPr="009203F2">
        <w:rPr>
          <w:color w:val="000000" w:themeColor="text1"/>
          <w:sz w:val="20"/>
          <w:szCs w:val="20"/>
        </w:rPr>
        <w:t>Belgium</w:t>
      </w:r>
      <w:r w:rsidR="009203F2">
        <w:rPr>
          <w:color w:val="000000" w:themeColor="text1"/>
          <w:sz w:val="20"/>
          <w:szCs w:val="20"/>
        </w:rPr>
        <w:t xml:space="preserve">, </w:t>
      </w:r>
      <w:r w:rsidR="009203F2" w:rsidRPr="009203F2">
        <w:rPr>
          <w:color w:val="000000" w:themeColor="text1"/>
          <w:sz w:val="20"/>
          <w:szCs w:val="20"/>
        </w:rPr>
        <w:t>Bosnia</w:t>
      </w:r>
      <w:r w:rsidR="009203F2">
        <w:rPr>
          <w:color w:val="000000" w:themeColor="text1"/>
          <w:sz w:val="20"/>
          <w:szCs w:val="20"/>
        </w:rPr>
        <w:t xml:space="preserve"> and </w:t>
      </w:r>
      <w:r w:rsidR="009203F2" w:rsidRPr="009203F2">
        <w:rPr>
          <w:color w:val="000000" w:themeColor="text1"/>
          <w:sz w:val="20"/>
          <w:szCs w:val="20"/>
        </w:rPr>
        <w:t>Herzegovina</w:t>
      </w:r>
      <w:r w:rsidR="009203F2">
        <w:rPr>
          <w:color w:val="000000" w:themeColor="text1"/>
          <w:sz w:val="20"/>
          <w:szCs w:val="20"/>
        </w:rPr>
        <w:t xml:space="preserve">, </w:t>
      </w:r>
      <w:r w:rsidR="009203F2" w:rsidRPr="009203F2">
        <w:rPr>
          <w:color w:val="000000" w:themeColor="text1"/>
          <w:sz w:val="20"/>
          <w:szCs w:val="20"/>
        </w:rPr>
        <w:t>Botswana</w:t>
      </w:r>
      <w:r w:rsidR="009203F2">
        <w:rPr>
          <w:color w:val="000000" w:themeColor="text1"/>
          <w:sz w:val="20"/>
          <w:szCs w:val="20"/>
        </w:rPr>
        <w:t xml:space="preserve">, </w:t>
      </w:r>
      <w:r w:rsidR="009203F2" w:rsidRPr="009203F2">
        <w:rPr>
          <w:color w:val="000000" w:themeColor="text1"/>
          <w:sz w:val="20"/>
          <w:szCs w:val="20"/>
        </w:rPr>
        <w:t>Canada</w:t>
      </w:r>
      <w:r w:rsidR="009203F2">
        <w:rPr>
          <w:color w:val="000000" w:themeColor="text1"/>
          <w:sz w:val="20"/>
          <w:szCs w:val="20"/>
        </w:rPr>
        <w:t xml:space="preserve">, </w:t>
      </w:r>
      <w:r w:rsidR="009203F2" w:rsidRPr="009203F2">
        <w:rPr>
          <w:color w:val="000000" w:themeColor="text1"/>
          <w:sz w:val="20"/>
          <w:szCs w:val="20"/>
        </w:rPr>
        <w:t>Chile</w:t>
      </w:r>
      <w:r w:rsidR="009203F2">
        <w:rPr>
          <w:color w:val="000000" w:themeColor="text1"/>
          <w:sz w:val="20"/>
          <w:szCs w:val="20"/>
        </w:rPr>
        <w:t xml:space="preserve">, </w:t>
      </w:r>
      <w:r w:rsidR="009203F2" w:rsidRPr="009203F2">
        <w:rPr>
          <w:color w:val="000000" w:themeColor="text1"/>
          <w:sz w:val="20"/>
          <w:szCs w:val="20"/>
        </w:rPr>
        <w:t>Costa Rica</w:t>
      </w:r>
      <w:r w:rsidR="009203F2">
        <w:rPr>
          <w:color w:val="000000" w:themeColor="text1"/>
          <w:sz w:val="20"/>
          <w:szCs w:val="20"/>
        </w:rPr>
        <w:t>, Côte d</w:t>
      </w:r>
      <w:r w:rsidR="00D72627">
        <w:rPr>
          <w:color w:val="000000" w:themeColor="text1"/>
          <w:sz w:val="20"/>
          <w:szCs w:val="20"/>
        </w:rPr>
        <w:t>’</w:t>
      </w:r>
      <w:r w:rsidR="009203F2">
        <w:rPr>
          <w:color w:val="000000" w:themeColor="text1"/>
          <w:sz w:val="20"/>
          <w:szCs w:val="20"/>
        </w:rPr>
        <w:t xml:space="preserve">Ivoire, </w:t>
      </w:r>
      <w:r w:rsidR="009203F2" w:rsidRPr="009203F2">
        <w:rPr>
          <w:color w:val="000000" w:themeColor="text1"/>
          <w:sz w:val="20"/>
          <w:szCs w:val="20"/>
        </w:rPr>
        <w:t>Croatia</w:t>
      </w:r>
      <w:r w:rsidR="009203F2">
        <w:rPr>
          <w:color w:val="000000" w:themeColor="text1"/>
          <w:sz w:val="20"/>
          <w:szCs w:val="20"/>
        </w:rPr>
        <w:t xml:space="preserve">, </w:t>
      </w:r>
      <w:r w:rsidR="009203F2" w:rsidRPr="009203F2">
        <w:rPr>
          <w:color w:val="000000" w:themeColor="text1"/>
          <w:sz w:val="20"/>
          <w:szCs w:val="20"/>
        </w:rPr>
        <w:t>Czech</w:t>
      </w:r>
      <w:r w:rsidR="009203F2">
        <w:rPr>
          <w:color w:val="000000" w:themeColor="text1"/>
          <w:sz w:val="20"/>
          <w:szCs w:val="20"/>
        </w:rPr>
        <w:t xml:space="preserve">ia, </w:t>
      </w:r>
      <w:r w:rsidR="009203F2" w:rsidRPr="009203F2">
        <w:rPr>
          <w:color w:val="000000" w:themeColor="text1"/>
          <w:sz w:val="20"/>
          <w:szCs w:val="20"/>
        </w:rPr>
        <w:t>Denmark</w:t>
      </w:r>
      <w:r w:rsidR="009203F2">
        <w:rPr>
          <w:color w:val="000000" w:themeColor="text1"/>
          <w:sz w:val="20"/>
          <w:szCs w:val="20"/>
        </w:rPr>
        <w:t xml:space="preserve">, </w:t>
      </w:r>
      <w:r w:rsidR="009203F2" w:rsidRPr="009203F2">
        <w:rPr>
          <w:color w:val="000000" w:themeColor="text1"/>
          <w:sz w:val="20"/>
          <w:szCs w:val="20"/>
        </w:rPr>
        <w:t>Finland</w:t>
      </w:r>
      <w:r w:rsidR="009203F2">
        <w:rPr>
          <w:color w:val="000000" w:themeColor="text1"/>
          <w:sz w:val="20"/>
          <w:szCs w:val="20"/>
        </w:rPr>
        <w:t xml:space="preserve">, </w:t>
      </w:r>
      <w:r w:rsidR="009203F2" w:rsidRPr="009203F2">
        <w:rPr>
          <w:color w:val="000000" w:themeColor="text1"/>
          <w:sz w:val="20"/>
          <w:szCs w:val="20"/>
        </w:rPr>
        <w:t>France</w:t>
      </w:r>
      <w:r w:rsidR="009203F2">
        <w:rPr>
          <w:color w:val="000000" w:themeColor="text1"/>
          <w:sz w:val="20"/>
          <w:szCs w:val="20"/>
        </w:rPr>
        <w:t xml:space="preserve">, </w:t>
      </w:r>
      <w:r w:rsidR="009203F2" w:rsidRPr="009203F2">
        <w:rPr>
          <w:color w:val="000000" w:themeColor="text1"/>
          <w:sz w:val="20"/>
          <w:szCs w:val="20"/>
        </w:rPr>
        <w:t>Germany</w:t>
      </w:r>
      <w:r w:rsidR="009203F2">
        <w:rPr>
          <w:color w:val="000000" w:themeColor="text1"/>
          <w:sz w:val="20"/>
          <w:szCs w:val="20"/>
        </w:rPr>
        <w:t xml:space="preserve">, </w:t>
      </w:r>
      <w:r w:rsidR="009203F2" w:rsidRPr="009203F2">
        <w:rPr>
          <w:color w:val="000000" w:themeColor="text1"/>
          <w:sz w:val="20"/>
          <w:szCs w:val="20"/>
        </w:rPr>
        <w:t>Ghana</w:t>
      </w:r>
      <w:r w:rsidR="009203F2">
        <w:rPr>
          <w:color w:val="000000" w:themeColor="text1"/>
          <w:sz w:val="20"/>
          <w:szCs w:val="20"/>
        </w:rPr>
        <w:t xml:space="preserve">, </w:t>
      </w:r>
      <w:r w:rsidR="009203F2" w:rsidRPr="009203F2">
        <w:rPr>
          <w:color w:val="000000" w:themeColor="text1"/>
          <w:sz w:val="20"/>
          <w:szCs w:val="20"/>
        </w:rPr>
        <w:t>Guatemala</w:t>
      </w:r>
      <w:r w:rsidR="009203F2">
        <w:rPr>
          <w:color w:val="000000" w:themeColor="text1"/>
          <w:sz w:val="20"/>
          <w:szCs w:val="20"/>
        </w:rPr>
        <w:t xml:space="preserve">, </w:t>
      </w:r>
      <w:r w:rsidR="009203F2" w:rsidRPr="009203F2">
        <w:rPr>
          <w:color w:val="000000" w:themeColor="text1"/>
          <w:sz w:val="20"/>
          <w:szCs w:val="20"/>
        </w:rPr>
        <w:t>Hungary</w:t>
      </w:r>
      <w:r w:rsidR="009203F2">
        <w:rPr>
          <w:color w:val="000000" w:themeColor="text1"/>
          <w:sz w:val="20"/>
          <w:szCs w:val="20"/>
        </w:rPr>
        <w:t xml:space="preserve">, </w:t>
      </w:r>
      <w:r w:rsidR="009203F2" w:rsidRPr="009203F2">
        <w:rPr>
          <w:color w:val="000000" w:themeColor="text1"/>
          <w:sz w:val="20"/>
          <w:szCs w:val="20"/>
        </w:rPr>
        <w:t>Italy</w:t>
      </w:r>
      <w:r w:rsidR="009203F2">
        <w:rPr>
          <w:color w:val="000000" w:themeColor="text1"/>
          <w:sz w:val="20"/>
          <w:szCs w:val="20"/>
        </w:rPr>
        <w:t xml:space="preserve">, </w:t>
      </w:r>
      <w:r w:rsidR="009203F2" w:rsidRPr="009203F2">
        <w:rPr>
          <w:color w:val="000000" w:themeColor="text1"/>
          <w:sz w:val="20"/>
          <w:szCs w:val="20"/>
        </w:rPr>
        <w:t>Japan</w:t>
      </w:r>
      <w:r w:rsidR="009203F2">
        <w:rPr>
          <w:color w:val="000000" w:themeColor="text1"/>
          <w:sz w:val="20"/>
          <w:szCs w:val="20"/>
        </w:rPr>
        <w:t xml:space="preserve">, </w:t>
      </w:r>
      <w:r w:rsidR="009203F2" w:rsidRPr="009203F2">
        <w:rPr>
          <w:color w:val="000000" w:themeColor="text1"/>
          <w:sz w:val="20"/>
          <w:szCs w:val="20"/>
        </w:rPr>
        <w:t>Liberia</w:t>
      </w:r>
      <w:r w:rsidR="009203F2">
        <w:rPr>
          <w:color w:val="000000" w:themeColor="text1"/>
          <w:sz w:val="20"/>
          <w:szCs w:val="20"/>
        </w:rPr>
        <w:t xml:space="preserve">, </w:t>
      </w:r>
      <w:r w:rsidR="009203F2" w:rsidRPr="009203F2">
        <w:rPr>
          <w:color w:val="000000" w:themeColor="text1"/>
          <w:sz w:val="20"/>
          <w:szCs w:val="20"/>
        </w:rPr>
        <w:t>Liechtenstein</w:t>
      </w:r>
      <w:r w:rsidR="009203F2">
        <w:rPr>
          <w:color w:val="000000" w:themeColor="text1"/>
          <w:sz w:val="20"/>
          <w:szCs w:val="20"/>
        </w:rPr>
        <w:t xml:space="preserve">, </w:t>
      </w:r>
      <w:r w:rsidR="009203F2" w:rsidRPr="009203F2">
        <w:rPr>
          <w:color w:val="000000" w:themeColor="text1"/>
          <w:sz w:val="20"/>
          <w:szCs w:val="20"/>
        </w:rPr>
        <w:t>Luxembourg</w:t>
      </w:r>
      <w:r w:rsidR="009203F2">
        <w:rPr>
          <w:color w:val="000000" w:themeColor="text1"/>
          <w:sz w:val="20"/>
          <w:szCs w:val="20"/>
        </w:rPr>
        <w:t xml:space="preserve">, Mali, </w:t>
      </w:r>
      <w:r w:rsidR="009203F2" w:rsidRPr="009203F2">
        <w:rPr>
          <w:color w:val="000000" w:themeColor="text1"/>
          <w:sz w:val="20"/>
          <w:szCs w:val="20"/>
        </w:rPr>
        <w:t>Mexico</w:t>
      </w:r>
      <w:r w:rsidR="009203F2">
        <w:rPr>
          <w:color w:val="000000" w:themeColor="text1"/>
          <w:sz w:val="20"/>
          <w:szCs w:val="20"/>
        </w:rPr>
        <w:t xml:space="preserve">, </w:t>
      </w:r>
      <w:r w:rsidR="009203F2" w:rsidRPr="009203F2">
        <w:rPr>
          <w:color w:val="000000" w:themeColor="text1"/>
          <w:sz w:val="20"/>
          <w:szCs w:val="20"/>
        </w:rPr>
        <w:t>Morocco</w:t>
      </w:r>
      <w:r w:rsidR="009203F2">
        <w:rPr>
          <w:color w:val="000000" w:themeColor="text1"/>
          <w:sz w:val="20"/>
          <w:szCs w:val="20"/>
        </w:rPr>
        <w:t xml:space="preserve">, </w:t>
      </w:r>
      <w:r w:rsidR="009203F2" w:rsidRPr="009203F2">
        <w:rPr>
          <w:color w:val="000000" w:themeColor="text1"/>
          <w:sz w:val="20"/>
          <w:szCs w:val="20"/>
        </w:rPr>
        <w:t>Mozambique</w:t>
      </w:r>
      <w:r w:rsidR="009203F2">
        <w:rPr>
          <w:color w:val="000000" w:themeColor="text1"/>
          <w:sz w:val="20"/>
          <w:szCs w:val="20"/>
        </w:rPr>
        <w:t xml:space="preserve">, </w:t>
      </w:r>
      <w:r w:rsidR="009203F2" w:rsidRPr="009203F2">
        <w:rPr>
          <w:color w:val="000000" w:themeColor="text1"/>
          <w:sz w:val="20"/>
          <w:szCs w:val="20"/>
        </w:rPr>
        <w:t>New Zealand</w:t>
      </w:r>
      <w:r w:rsidR="009203F2">
        <w:rPr>
          <w:color w:val="000000" w:themeColor="text1"/>
          <w:sz w:val="20"/>
          <w:szCs w:val="20"/>
        </w:rPr>
        <w:t xml:space="preserve">, </w:t>
      </w:r>
      <w:r w:rsidR="009203F2" w:rsidRPr="009203F2">
        <w:rPr>
          <w:color w:val="000000" w:themeColor="text1"/>
          <w:sz w:val="20"/>
          <w:szCs w:val="20"/>
        </w:rPr>
        <w:t>Nigeria</w:t>
      </w:r>
      <w:r w:rsidR="009203F2">
        <w:rPr>
          <w:color w:val="000000" w:themeColor="text1"/>
          <w:sz w:val="20"/>
          <w:szCs w:val="20"/>
        </w:rPr>
        <w:t xml:space="preserve">, </w:t>
      </w:r>
      <w:r w:rsidR="009203F2" w:rsidRPr="009203F2">
        <w:rPr>
          <w:color w:val="000000" w:themeColor="text1"/>
          <w:sz w:val="20"/>
          <w:szCs w:val="20"/>
        </w:rPr>
        <w:t>Norway</w:t>
      </w:r>
      <w:r w:rsidR="009203F2">
        <w:rPr>
          <w:color w:val="000000" w:themeColor="text1"/>
          <w:sz w:val="20"/>
          <w:szCs w:val="20"/>
        </w:rPr>
        <w:t xml:space="preserve">, </w:t>
      </w:r>
      <w:r w:rsidR="009203F2" w:rsidRPr="009203F2">
        <w:rPr>
          <w:color w:val="000000" w:themeColor="text1"/>
          <w:sz w:val="20"/>
          <w:szCs w:val="20"/>
        </w:rPr>
        <w:t>Panama</w:t>
      </w:r>
      <w:r w:rsidR="009203F2">
        <w:rPr>
          <w:color w:val="000000" w:themeColor="text1"/>
          <w:sz w:val="20"/>
          <w:szCs w:val="20"/>
        </w:rPr>
        <w:t xml:space="preserve">, </w:t>
      </w:r>
      <w:r w:rsidR="009203F2" w:rsidRPr="009203F2">
        <w:rPr>
          <w:color w:val="000000" w:themeColor="text1"/>
          <w:sz w:val="20"/>
          <w:szCs w:val="20"/>
        </w:rPr>
        <w:t>Peru</w:t>
      </w:r>
      <w:r w:rsidR="009203F2">
        <w:rPr>
          <w:color w:val="000000" w:themeColor="text1"/>
          <w:sz w:val="20"/>
          <w:szCs w:val="20"/>
        </w:rPr>
        <w:t xml:space="preserve">, </w:t>
      </w:r>
      <w:r w:rsidR="009203F2" w:rsidRPr="009203F2">
        <w:rPr>
          <w:color w:val="000000" w:themeColor="text1"/>
          <w:sz w:val="20"/>
          <w:szCs w:val="20"/>
        </w:rPr>
        <w:t>Qatar</w:t>
      </w:r>
      <w:r w:rsidR="009203F2">
        <w:rPr>
          <w:color w:val="000000" w:themeColor="text1"/>
          <w:sz w:val="20"/>
          <w:szCs w:val="20"/>
        </w:rPr>
        <w:t xml:space="preserve">, the </w:t>
      </w:r>
      <w:r w:rsidR="009203F2" w:rsidRPr="009203F2">
        <w:rPr>
          <w:color w:val="000000" w:themeColor="text1"/>
          <w:sz w:val="20"/>
          <w:szCs w:val="20"/>
        </w:rPr>
        <w:t>Republic of Korea</w:t>
      </w:r>
      <w:r w:rsidR="009203F2">
        <w:rPr>
          <w:color w:val="000000" w:themeColor="text1"/>
          <w:sz w:val="20"/>
          <w:szCs w:val="20"/>
        </w:rPr>
        <w:t xml:space="preserve">, </w:t>
      </w:r>
      <w:r w:rsidR="009203F2" w:rsidRPr="009203F2">
        <w:rPr>
          <w:color w:val="000000" w:themeColor="text1"/>
          <w:sz w:val="20"/>
          <w:szCs w:val="20"/>
        </w:rPr>
        <w:t>Romania</w:t>
      </w:r>
      <w:r w:rsidR="009203F2">
        <w:rPr>
          <w:color w:val="000000" w:themeColor="text1"/>
          <w:sz w:val="20"/>
          <w:szCs w:val="20"/>
        </w:rPr>
        <w:t xml:space="preserve">, </w:t>
      </w:r>
      <w:r w:rsidR="009203F2" w:rsidRPr="009203F2">
        <w:rPr>
          <w:color w:val="000000" w:themeColor="text1"/>
          <w:sz w:val="20"/>
          <w:szCs w:val="20"/>
        </w:rPr>
        <w:t>Rwanda</w:t>
      </w:r>
      <w:r w:rsidR="009203F2">
        <w:rPr>
          <w:color w:val="000000" w:themeColor="text1"/>
          <w:sz w:val="20"/>
          <w:szCs w:val="20"/>
        </w:rPr>
        <w:t xml:space="preserve">, </w:t>
      </w:r>
      <w:r w:rsidR="009203F2" w:rsidRPr="009203F2">
        <w:rPr>
          <w:color w:val="000000" w:themeColor="text1"/>
          <w:sz w:val="20"/>
          <w:szCs w:val="20"/>
        </w:rPr>
        <w:t>Senegal</w:t>
      </w:r>
      <w:r w:rsidR="009203F2">
        <w:rPr>
          <w:color w:val="000000" w:themeColor="text1"/>
          <w:sz w:val="20"/>
          <w:szCs w:val="20"/>
        </w:rPr>
        <w:t xml:space="preserve">, </w:t>
      </w:r>
      <w:r w:rsidR="009203F2" w:rsidRPr="009203F2">
        <w:rPr>
          <w:color w:val="000000" w:themeColor="text1"/>
          <w:sz w:val="20"/>
          <w:szCs w:val="20"/>
        </w:rPr>
        <w:t>Sierra Leone</w:t>
      </w:r>
      <w:r w:rsidR="009203F2">
        <w:rPr>
          <w:color w:val="000000" w:themeColor="text1"/>
          <w:sz w:val="20"/>
          <w:szCs w:val="20"/>
        </w:rPr>
        <w:t xml:space="preserve">, </w:t>
      </w:r>
      <w:r w:rsidR="009203F2" w:rsidRPr="009203F2">
        <w:rPr>
          <w:color w:val="000000" w:themeColor="text1"/>
          <w:sz w:val="20"/>
          <w:szCs w:val="20"/>
        </w:rPr>
        <w:t>Singapore</w:t>
      </w:r>
      <w:r w:rsidR="009203F2">
        <w:rPr>
          <w:color w:val="000000" w:themeColor="text1"/>
          <w:sz w:val="20"/>
          <w:szCs w:val="20"/>
        </w:rPr>
        <w:t xml:space="preserve">, </w:t>
      </w:r>
      <w:r w:rsidR="009203F2" w:rsidRPr="009203F2">
        <w:rPr>
          <w:color w:val="000000" w:themeColor="text1"/>
          <w:sz w:val="20"/>
          <w:szCs w:val="20"/>
        </w:rPr>
        <w:t>Slovakia</w:t>
      </w:r>
      <w:r w:rsidR="009203F2">
        <w:rPr>
          <w:color w:val="000000" w:themeColor="text1"/>
          <w:sz w:val="20"/>
          <w:szCs w:val="20"/>
        </w:rPr>
        <w:t xml:space="preserve">, </w:t>
      </w:r>
      <w:r w:rsidR="009203F2" w:rsidRPr="009203F2">
        <w:rPr>
          <w:color w:val="000000" w:themeColor="text1"/>
          <w:sz w:val="20"/>
          <w:szCs w:val="20"/>
        </w:rPr>
        <w:t>Slovenia</w:t>
      </w:r>
      <w:r w:rsidR="009203F2">
        <w:rPr>
          <w:color w:val="000000" w:themeColor="text1"/>
          <w:sz w:val="20"/>
          <w:szCs w:val="20"/>
        </w:rPr>
        <w:t xml:space="preserve">, </w:t>
      </w:r>
      <w:r w:rsidR="009203F2" w:rsidRPr="009203F2">
        <w:rPr>
          <w:color w:val="000000" w:themeColor="text1"/>
          <w:sz w:val="20"/>
          <w:szCs w:val="20"/>
        </w:rPr>
        <w:t>South Sudan</w:t>
      </w:r>
      <w:r w:rsidR="009203F2">
        <w:rPr>
          <w:color w:val="000000" w:themeColor="text1"/>
          <w:sz w:val="20"/>
          <w:szCs w:val="20"/>
        </w:rPr>
        <w:t xml:space="preserve">, </w:t>
      </w:r>
      <w:r w:rsidR="009203F2" w:rsidRPr="009203F2">
        <w:rPr>
          <w:color w:val="000000" w:themeColor="text1"/>
          <w:sz w:val="20"/>
          <w:szCs w:val="20"/>
        </w:rPr>
        <w:t>Spain</w:t>
      </w:r>
      <w:r w:rsidR="009203F2">
        <w:rPr>
          <w:color w:val="000000" w:themeColor="text1"/>
          <w:sz w:val="20"/>
          <w:szCs w:val="20"/>
        </w:rPr>
        <w:t xml:space="preserve">, </w:t>
      </w:r>
      <w:r w:rsidR="009203F2" w:rsidRPr="009203F2">
        <w:rPr>
          <w:color w:val="000000" w:themeColor="text1"/>
          <w:sz w:val="20"/>
          <w:szCs w:val="20"/>
        </w:rPr>
        <w:t>Sweden</w:t>
      </w:r>
      <w:r w:rsidR="009203F2">
        <w:rPr>
          <w:color w:val="000000" w:themeColor="text1"/>
          <w:sz w:val="20"/>
          <w:szCs w:val="20"/>
        </w:rPr>
        <w:t xml:space="preserve">, </w:t>
      </w:r>
      <w:r w:rsidR="009203F2" w:rsidRPr="009203F2">
        <w:rPr>
          <w:color w:val="000000" w:themeColor="text1"/>
          <w:sz w:val="20"/>
          <w:szCs w:val="20"/>
        </w:rPr>
        <w:t>Switzerland</w:t>
      </w:r>
      <w:r w:rsidR="009203F2">
        <w:rPr>
          <w:color w:val="000000" w:themeColor="text1"/>
          <w:sz w:val="20"/>
          <w:szCs w:val="20"/>
        </w:rPr>
        <w:t xml:space="preserve">, the United Republic of </w:t>
      </w:r>
      <w:r w:rsidR="009203F2" w:rsidRPr="009203F2">
        <w:rPr>
          <w:color w:val="000000" w:themeColor="text1"/>
          <w:sz w:val="20"/>
          <w:szCs w:val="20"/>
        </w:rPr>
        <w:t>Tanzania</w:t>
      </w:r>
      <w:r w:rsidR="009203F2">
        <w:rPr>
          <w:color w:val="000000" w:themeColor="text1"/>
          <w:sz w:val="20"/>
          <w:szCs w:val="20"/>
        </w:rPr>
        <w:t xml:space="preserve">, the </w:t>
      </w:r>
      <w:r w:rsidR="009203F2" w:rsidRPr="002B2797">
        <w:rPr>
          <w:color w:val="000000" w:themeColor="text1"/>
          <w:sz w:val="20"/>
          <w:szCs w:val="20"/>
        </w:rPr>
        <w:t>United Kingdom of Great Britain and Northern Ireland</w:t>
      </w:r>
      <w:r w:rsidR="009203F2">
        <w:rPr>
          <w:color w:val="000000" w:themeColor="text1"/>
          <w:sz w:val="20"/>
          <w:szCs w:val="20"/>
        </w:rPr>
        <w:t xml:space="preserve"> and </w:t>
      </w:r>
      <w:r w:rsidR="009203F2" w:rsidRPr="009203F2">
        <w:rPr>
          <w:color w:val="000000" w:themeColor="text1"/>
          <w:sz w:val="20"/>
          <w:szCs w:val="20"/>
        </w:rPr>
        <w:t>Uruguay</w:t>
      </w:r>
      <w:r w:rsidR="002D7888">
        <w:rPr>
          <w:color w:val="000000" w:themeColor="text1"/>
          <w:sz w:val="20"/>
          <w:szCs w:val="20"/>
        </w:rPr>
        <w:t xml:space="preserve">), </w:t>
      </w:r>
      <w:r w:rsidR="002D7888" w:rsidRPr="00334079">
        <w:rPr>
          <w:color w:val="000000" w:themeColor="text1"/>
          <w:sz w:val="20"/>
          <w:szCs w:val="20"/>
        </w:rPr>
        <w:t>Nigeria</w:t>
      </w:r>
      <w:r w:rsidR="002D7888">
        <w:rPr>
          <w:color w:val="000000" w:themeColor="text1"/>
          <w:sz w:val="20"/>
          <w:szCs w:val="20"/>
        </w:rPr>
        <w:t xml:space="preserve">, </w:t>
      </w:r>
      <w:r w:rsidR="002D7888" w:rsidRPr="000B34DF">
        <w:rPr>
          <w:color w:val="000000" w:themeColor="text1"/>
          <w:sz w:val="20"/>
          <w:szCs w:val="20"/>
        </w:rPr>
        <w:t xml:space="preserve">Pakistan </w:t>
      </w:r>
      <w:r w:rsidR="002D7888">
        <w:rPr>
          <w:color w:val="000000" w:themeColor="text1"/>
          <w:sz w:val="20"/>
          <w:szCs w:val="20"/>
        </w:rPr>
        <w:t xml:space="preserve">(also </w:t>
      </w:r>
      <w:r w:rsidR="002D7888" w:rsidRPr="000B34DF">
        <w:rPr>
          <w:color w:val="000000" w:themeColor="text1"/>
          <w:sz w:val="20"/>
          <w:szCs w:val="20"/>
        </w:rPr>
        <w:t>on behalf of the Organization of Islamic Cooperation</w:t>
      </w:r>
      <w:r w:rsidR="002D7888">
        <w:rPr>
          <w:color w:val="000000" w:themeColor="text1"/>
          <w:sz w:val="20"/>
          <w:szCs w:val="20"/>
        </w:rPr>
        <w:t xml:space="preserve">), </w:t>
      </w:r>
      <w:r w:rsidR="002D7888" w:rsidRPr="000B34DF">
        <w:rPr>
          <w:color w:val="000000" w:themeColor="text1"/>
          <w:sz w:val="20"/>
          <w:szCs w:val="20"/>
        </w:rPr>
        <w:t xml:space="preserve">Peru </w:t>
      </w:r>
      <w:r w:rsidR="002D7888">
        <w:rPr>
          <w:color w:val="000000" w:themeColor="text1"/>
          <w:sz w:val="20"/>
          <w:szCs w:val="20"/>
        </w:rPr>
        <w:t xml:space="preserve">(also </w:t>
      </w:r>
      <w:r w:rsidR="002D7888" w:rsidRPr="000B34DF">
        <w:rPr>
          <w:color w:val="000000" w:themeColor="text1"/>
          <w:sz w:val="20"/>
          <w:szCs w:val="20"/>
        </w:rPr>
        <w:t xml:space="preserve">on behalf of </w:t>
      </w:r>
      <w:r w:rsidR="002D7888" w:rsidRPr="007B2AE3">
        <w:rPr>
          <w:color w:val="000000" w:themeColor="text1"/>
          <w:sz w:val="20"/>
          <w:szCs w:val="20"/>
        </w:rPr>
        <w:t>Argentina, Bra</w:t>
      </w:r>
      <w:r w:rsidR="002D7888">
        <w:rPr>
          <w:color w:val="000000" w:themeColor="text1"/>
          <w:sz w:val="20"/>
          <w:szCs w:val="20"/>
        </w:rPr>
        <w:t>z</w:t>
      </w:r>
      <w:r w:rsidR="002D7888" w:rsidRPr="007B2AE3">
        <w:rPr>
          <w:color w:val="000000" w:themeColor="text1"/>
          <w:sz w:val="20"/>
          <w:szCs w:val="20"/>
        </w:rPr>
        <w:t>il, Canad</w:t>
      </w:r>
      <w:r w:rsidR="002D7888">
        <w:rPr>
          <w:color w:val="000000" w:themeColor="text1"/>
          <w:sz w:val="20"/>
          <w:szCs w:val="20"/>
        </w:rPr>
        <w:t>a</w:t>
      </w:r>
      <w:r w:rsidR="002D7888" w:rsidRPr="007B2AE3">
        <w:rPr>
          <w:color w:val="000000" w:themeColor="text1"/>
          <w:sz w:val="20"/>
          <w:szCs w:val="20"/>
        </w:rPr>
        <w:t>, Chile, Colombia, Costa Rica, Guatemala, Honduras, Panam</w:t>
      </w:r>
      <w:r w:rsidR="002D7888">
        <w:rPr>
          <w:color w:val="000000" w:themeColor="text1"/>
          <w:sz w:val="20"/>
          <w:szCs w:val="20"/>
        </w:rPr>
        <w:t>a</w:t>
      </w:r>
      <w:r w:rsidR="00AF2901">
        <w:rPr>
          <w:color w:val="000000" w:themeColor="text1"/>
          <w:sz w:val="20"/>
          <w:szCs w:val="20"/>
        </w:rPr>
        <w:t>,</w:t>
      </w:r>
      <w:r w:rsidR="002D7888">
        <w:rPr>
          <w:color w:val="000000" w:themeColor="text1"/>
          <w:sz w:val="20"/>
          <w:szCs w:val="20"/>
        </w:rPr>
        <w:t xml:space="preserve"> </w:t>
      </w:r>
      <w:r w:rsidR="002D7888" w:rsidRPr="007B2AE3">
        <w:rPr>
          <w:color w:val="000000" w:themeColor="text1"/>
          <w:sz w:val="20"/>
          <w:szCs w:val="20"/>
        </w:rPr>
        <w:t>Paraguay</w:t>
      </w:r>
      <w:r w:rsidR="00AF2901">
        <w:rPr>
          <w:color w:val="000000" w:themeColor="text1"/>
          <w:sz w:val="20"/>
          <w:szCs w:val="20"/>
        </w:rPr>
        <w:t xml:space="preserve"> and </w:t>
      </w:r>
      <w:r w:rsidR="00AF2901" w:rsidRPr="00AF2901">
        <w:rPr>
          <w:color w:val="000000" w:themeColor="text1"/>
          <w:sz w:val="20"/>
          <w:szCs w:val="20"/>
        </w:rPr>
        <w:t>the Republic of Korea</w:t>
      </w:r>
      <w:r w:rsidR="002D7888">
        <w:rPr>
          <w:color w:val="000000" w:themeColor="text1"/>
          <w:sz w:val="20"/>
          <w:szCs w:val="20"/>
        </w:rPr>
        <w:t xml:space="preserve">), </w:t>
      </w:r>
      <w:r w:rsidR="002D7888" w:rsidRPr="000B34DF">
        <w:rPr>
          <w:color w:val="000000" w:themeColor="text1"/>
          <w:sz w:val="20"/>
          <w:szCs w:val="20"/>
        </w:rPr>
        <w:t xml:space="preserve">Peru </w:t>
      </w:r>
      <w:r w:rsidR="002D7888">
        <w:rPr>
          <w:color w:val="000000" w:themeColor="text1"/>
          <w:sz w:val="20"/>
          <w:szCs w:val="20"/>
        </w:rPr>
        <w:t xml:space="preserve">(also </w:t>
      </w:r>
      <w:r w:rsidR="002D7888" w:rsidRPr="000B34DF">
        <w:rPr>
          <w:color w:val="000000" w:themeColor="text1"/>
          <w:sz w:val="20"/>
          <w:szCs w:val="20"/>
        </w:rPr>
        <w:t>o</w:t>
      </w:r>
      <w:r w:rsidR="002D7888">
        <w:rPr>
          <w:color w:val="000000" w:themeColor="text1"/>
          <w:sz w:val="20"/>
          <w:szCs w:val="20"/>
        </w:rPr>
        <w:t>n behalf of Argentina,</w:t>
      </w:r>
      <w:r w:rsidR="004A5BFE">
        <w:rPr>
          <w:color w:val="000000" w:themeColor="text1"/>
          <w:sz w:val="20"/>
          <w:szCs w:val="20"/>
        </w:rPr>
        <w:t xml:space="preserve"> Brazil,</w:t>
      </w:r>
      <w:r w:rsidR="002D7888">
        <w:rPr>
          <w:color w:val="000000" w:themeColor="text1"/>
          <w:sz w:val="20"/>
          <w:szCs w:val="20"/>
        </w:rPr>
        <w:t xml:space="preserve"> Chile, Colombia, Costa Rica and Mexico), </w:t>
      </w:r>
      <w:r w:rsidR="002D7888" w:rsidRPr="00334079">
        <w:rPr>
          <w:color w:val="000000" w:themeColor="text1"/>
          <w:sz w:val="20"/>
          <w:szCs w:val="20"/>
        </w:rPr>
        <w:t>Philippines</w:t>
      </w:r>
      <w:r w:rsidR="002D7888">
        <w:rPr>
          <w:color w:val="000000" w:themeColor="text1"/>
          <w:sz w:val="20"/>
          <w:szCs w:val="20"/>
        </w:rPr>
        <w:t xml:space="preserve">, </w:t>
      </w:r>
      <w:r w:rsidR="002D7888" w:rsidRPr="00334079">
        <w:rPr>
          <w:color w:val="000000" w:themeColor="text1"/>
          <w:sz w:val="20"/>
          <w:szCs w:val="20"/>
        </w:rPr>
        <w:t>Qatar</w:t>
      </w:r>
      <w:r w:rsidR="002D7888">
        <w:rPr>
          <w:color w:val="000000" w:themeColor="text1"/>
          <w:sz w:val="20"/>
          <w:szCs w:val="20"/>
        </w:rPr>
        <w:t xml:space="preserve">, </w:t>
      </w:r>
      <w:r w:rsidR="002D7888" w:rsidRPr="00334079">
        <w:rPr>
          <w:color w:val="000000" w:themeColor="text1"/>
          <w:sz w:val="20"/>
          <w:szCs w:val="20"/>
        </w:rPr>
        <w:t>Saudi Arabia</w:t>
      </w:r>
      <w:r w:rsidR="002D7888">
        <w:rPr>
          <w:color w:val="000000" w:themeColor="text1"/>
          <w:sz w:val="20"/>
          <w:szCs w:val="20"/>
        </w:rPr>
        <w:t xml:space="preserve">, </w:t>
      </w:r>
      <w:r w:rsidR="002D7888" w:rsidRPr="00334079">
        <w:rPr>
          <w:color w:val="000000" w:themeColor="text1"/>
          <w:sz w:val="20"/>
          <w:szCs w:val="20"/>
        </w:rPr>
        <w:t>Senegal</w:t>
      </w:r>
      <w:r w:rsidR="002D7888">
        <w:rPr>
          <w:color w:val="000000" w:themeColor="text1"/>
          <w:sz w:val="20"/>
          <w:szCs w:val="20"/>
        </w:rPr>
        <w:t xml:space="preserve">, </w:t>
      </w:r>
      <w:r w:rsidR="002D7888" w:rsidRPr="00334079">
        <w:rPr>
          <w:color w:val="000000" w:themeColor="text1"/>
          <w:sz w:val="20"/>
          <w:szCs w:val="20"/>
        </w:rPr>
        <w:t>Slovakia</w:t>
      </w:r>
      <w:r w:rsidR="002D7888">
        <w:rPr>
          <w:color w:val="000000" w:themeColor="text1"/>
          <w:sz w:val="20"/>
          <w:szCs w:val="20"/>
        </w:rPr>
        <w:t xml:space="preserve">, </w:t>
      </w:r>
      <w:r w:rsidR="002D7888" w:rsidRPr="00334079">
        <w:rPr>
          <w:color w:val="000000" w:themeColor="text1"/>
          <w:sz w:val="20"/>
          <w:szCs w:val="20"/>
        </w:rPr>
        <w:t>Somalia</w:t>
      </w:r>
      <w:r w:rsidR="002D7888">
        <w:rPr>
          <w:color w:val="000000" w:themeColor="text1"/>
          <w:sz w:val="20"/>
          <w:szCs w:val="20"/>
        </w:rPr>
        <w:t xml:space="preserve">, </w:t>
      </w:r>
      <w:r w:rsidR="002D7888" w:rsidRPr="00334079">
        <w:rPr>
          <w:color w:val="000000" w:themeColor="text1"/>
          <w:sz w:val="20"/>
          <w:szCs w:val="20"/>
        </w:rPr>
        <w:t>South Africa</w:t>
      </w:r>
      <w:r w:rsidR="002D7888">
        <w:rPr>
          <w:color w:val="000000" w:themeColor="text1"/>
          <w:sz w:val="20"/>
          <w:szCs w:val="20"/>
        </w:rPr>
        <w:t xml:space="preserve">, </w:t>
      </w:r>
      <w:r w:rsidR="002D7888" w:rsidRPr="000B34DF">
        <w:rPr>
          <w:color w:val="000000" w:themeColor="text1"/>
          <w:sz w:val="20"/>
          <w:szCs w:val="20"/>
        </w:rPr>
        <w:t xml:space="preserve">South Africa </w:t>
      </w:r>
      <w:r w:rsidR="002D7888">
        <w:rPr>
          <w:color w:val="000000" w:themeColor="text1"/>
          <w:sz w:val="20"/>
          <w:szCs w:val="20"/>
        </w:rPr>
        <w:t xml:space="preserve">(also </w:t>
      </w:r>
      <w:r w:rsidR="002D7888" w:rsidRPr="000B34DF">
        <w:rPr>
          <w:color w:val="000000" w:themeColor="text1"/>
          <w:sz w:val="20"/>
          <w:szCs w:val="20"/>
        </w:rPr>
        <w:t xml:space="preserve">on behalf of </w:t>
      </w:r>
      <w:r w:rsidR="002D7888">
        <w:rPr>
          <w:color w:val="000000" w:themeColor="text1"/>
          <w:sz w:val="20"/>
          <w:szCs w:val="20"/>
        </w:rPr>
        <w:t xml:space="preserve">Algeria, Angola, Bolivia (Plurinational State of), Botswana, Cuba, Mozambique, Namibia, Nicaragua, Timor-Leste, Uganda, the United Republic of Tanzania, Venezuela (Bolivarian Republic of) and Zimbabwe), </w:t>
      </w:r>
      <w:r w:rsidR="002D7888" w:rsidRPr="00334079">
        <w:rPr>
          <w:color w:val="000000" w:themeColor="text1"/>
          <w:sz w:val="20"/>
          <w:szCs w:val="20"/>
        </w:rPr>
        <w:t>Spain</w:t>
      </w:r>
      <w:r w:rsidR="002D7888">
        <w:rPr>
          <w:color w:val="000000" w:themeColor="text1"/>
          <w:sz w:val="20"/>
          <w:szCs w:val="20"/>
        </w:rPr>
        <w:t xml:space="preserve">, </w:t>
      </w:r>
      <w:r w:rsidR="002D7888" w:rsidRPr="00334079">
        <w:rPr>
          <w:color w:val="000000" w:themeColor="text1"/>
          <w:sz w:val="20"/>
          <w:szCs w:val="20"/>
        </w:rPr>
        <w:t>Tunisia</w:t>
      </w:r>
      <w:r w:rsidR="002D7888">
        <w:rPr>
          <w:color w:val="000000" w:themeColor="text1"/>
          <w:sz w:val="20"/>
          <w:szCs w:val="20"/>
        </w:rPr>
        <w:t xml:space="preserve">, </w:t>
      </w:r>
      <w:r w:rsidR="002D7888" w:rsidRPr="00334079">
        <w:rPr>
          <w:color w:val="000000" w:themeColor="text1"/>
          <w:sz w:val="20"/>
          <w:szCs w:val="20"/>
        </w:rPr>
        <w:t>Ukraine</w:t>
      </w:r>
      <w:r w:rsidR="002D7888">
        <w:rPr>
          <w:color w:val="000000" w:themeColor="text1"/>
          <w:sz w:val="20"/>
          <w:szCs w:val="20"/>
        </w:rPr>
        <w:t xml:space="preserve">, </w:t>
      </w:r>
      <w:r w:rsidR="002D7888" w:rsidRPr="00334079">
        <w:rPr>
          <w:color w:val="000000" w:themeColor="text1"/>
          <w:sz w:val="20"/>
          <w:szCs w:val="20"/>
        </w:rPr>
        <w:t>United Kingdom of Great Britain and Northern Ireland</w:t>
      </w:r>
      <w:r w:rsidR="002D7888">
        <w:rPr>
          <w:color w:val="000000" w:themeColor="text1"/>
          <w:sz w:val="20"/>
          <w:szCs w:val="20"/>
        </w:rPr>
        <w:t xml:space="preserve">, </w:t>
      </w:r>
      <w:r w:rsidR="002D7888" w:rsidRPr="00334079">
        <w:rPr>
          <w:color w:val="000000" w:themeColor="text1"/>
          <w:sz w:val="20"/>
          <w:szCs w:val="20"/>
        </w:rPr>
        <w:t>Uruguay</w:t>
      </w:r>
      <w:r w:rsidR="002D7888">
        <w:rPr>
          <w:color w:val="000000" w:themeColor="text1"/>
          <w:sz w:val="20"/>
          <w:szCs w:val="20"/>
        </w:rPr>
        <w:t xml:space="preserve">, </w:t>
      </w:r>
      <w:r w:rsidR="002D7888" w:rsidRPr="00334079">
        <w:rPr>
          <w:color w:val="000000" w:themeColor="text1"/>
          <w:sz w:val="20"/>
          <w:szCs w:val="20"/>
        </w:rPr>
        <w:t xml:space="preserve">Venezuela (Bolivarian Republic </w:t>
      </w:r>
      <w:r w:rsidR="002D7888" w:rsidRPr="00334079">
        <w:rPr>
          <w:color w:val="000000" w:themeColor="text1"/>
          <w:sz w:val="20"/>
          <w:szCs w:val="20"/>
        </w:rPr>
        <w:lastRenderedPageBreak/>
        <w:t>of)</w:t>
      </w:r>
      <w:r w:rsidR="00AB550D">
        <w:rPr>
          <w:rStyle w:val="FootnoteReference"/>
          <w:color w:val="000000" w:themeColor="text1"/>
          <w:szCs w:val="20"/>
        </w:rPr>
        <w:footnoteReference w:id="9"/>
      </w:r>
      <w:r w:rsidR="002D7888" w:rsidRPr="00334079">
        <w:rPr>
          <w:color w:val="000000" w:themeColor="text1"/>
          <w:sz w:val="20"/>
          <w:szCs w:val="20"/>
        </w:rPr>
        <w:t xml:space="preserve"> </w:t>
      </w:r>
      <w:r w:rsidR="002D7888">
        <w:rPr>
          <w:color w:val="000000" w:themeColor="text1"/>
          <w:sz w:val="20"/>
          <w:szCs w:val="20"/>
        </w:rPr>
        <w:t xml:space="preserve">(on behalf of the </w:t>
      </w:r>
      <w:r w:rsidR="002D7888" w:rsidRPr="0040040E">
        <w:rPr>
          <w:color w:val="000000" w:themeColor="text1"/>
          <w:sz w:val="20"/>
          <w:szCs w:val="20"/>
        </w:rPr>
        <w:t>Movement of Non-Aligned Countries</w:t>
      </w:r>
      <w:r w:rsidR="00BE3BC7" w:rsidRPr="00BE3BC7">
        <w:rPr>
          <w:color w:val="000000" w:themeColor="text1"/>
          <w:sz w:val="20"/>
          <w:szCs w:val="20"/>
        </w:rPr>
        <w:t xml:space="preserve"> </w:t>
      </w:r>
      <w:r w:rsidR="00BE3BC7">
        <w:rPr>
          <w:color w:val="000000" w:themeColor="text1"/>
          <w:sz w:val="20"/>
          <w:szCs w:val="20"/>
        </w:rPr>
        <w:t xml:space="preserve">except </w:t>
      </w:r>
      <w:r w:rsidR="00BE3BC7" w:rsidRPr="00BE3BC7">
        <w:rPr>
          <w:color w:val="000000" w:themeColor="text1"/>
          <w:sz w:val="20"/>
          <w:szCs w:val="20"/>
        </w:rPr>
        <w:t>Colombia, Ecuador and Peru</w:t>
      </w:r>
      <w:r w:rsidR="002D7888">
        <w:rPr>
          <w:color w:val="000000" w:themeColor="text1"/>
          <w:sz w:val="20"/>
          <w:szCs w:val="20"/>
        </w:rPr>
        <w:t>)</w:t>
      </w:r>
      <w:r w:rsidR="00061A18" w:rsidRPr="0067399B">
        <w:rPr>
          <w:color w:val="000000" w:themeColor="text1"/>
          <w:sz w:val="20"/>
          <w:szCs w:val="20"/>
        </w:rPr>
        <w:t>;</w:t>
      </w:r>
    </w:p>
    <w:p w14:paraId="2EA587DB" w14:textId="52DF551F" w:rsidR="00F11B08" w:rsidRDefault="00F11B08" w:rsidP="00F11B08">
      <w:pPr>
        <w:pStyle w:val="SingleTxtG"/>
        <w:ind w:firstLine="567"/>
        <w:rPr>
          <w:color w:val="000000" w:themeColor="text1"/>
          <w:sz w:val="20"/>
          <w:szCs w:val="20"/>
        </w:rPr>
      </w:pPr>
      <w:r w:rsidRPr="0067399B">
        <w:rPr>
          <w:color w:val="000000" w:themeColor="text1"/>
          <w:sz w:val="20"/>
          <w:szCs w:val="20"/>
        </w:rPr>
        <w:t>(b)</w:t>
      </w:r>
      <w:r w:rsidRPr="0067399B">
        <w:rPr>
          <w:color w:val="000000" w:themeColor="text1"/>
          <w:sz w:val="20"/>
          <w:szCs w:val="20"/>
        </w:rPr>
        <w:tab/>
        <w:t xml:space="preserve">Representatives of observer States: </w:t>
      </w:r>
      <w:r w:rsidR="007637E1" w:rsidRPr="00334079">
        <w:rPr>
          <w:color w:val="000000" w:themeColor="text1"/>
          <w:sz w:val="20"/>
          <w:szCs w:val="20"/>
        </w:rPr>
        <w:t>Albania</w:t>
      </w:r>
      <w:r w:rsidR="007637E1">
        <w:rPr>
          <w:color w:val="000000" w:themeColor="text1"/>
          <w:sz w:val="20"/>
          <w:szCs w:val="20"/>
        </w:rPr>
        <w:t xml:space="preserve">, </w:t>
      </w:r>
      <w:r w:rsidR="007637E1" w:rsidRPr="00334079">
        <w:rPr>
          <w:color w:val="000000" w:themeColor="text1"/>
          <w:sz w:val="20"/>
          <w:szCs w:val="20"/>
        </w:rPr>
        <w:t>Algeria</w:t>
      </w:r>
      <w:r w:rsidR="007637E1">
        <w:rPr>
          <w:color w:val="000000" w:themeColor="text1"/>
          <w:sz w:val="20"/>
          <w:szCs w:val="20"/>
        </w:rPr>
        <w:t xml:space="preserve">, </w:t>
      </w:r>
      <w:r w:rsidR="007637E1" w:rsidRPr="00334079">
        <w:rPr>
          <w:color w:val="000000" w:themeColor="text1"/>
          <w:sz w:val="20"/>
          <w:szCs w:val="20"/>
        </w:rPr>
        <w:t>Armenia</w:t>
      </w:r>
      <w:r w:rsidR="007637E1">
        <w:rPr>
          <w:color w:val="000000" w:themeColor="text1"/>
          <w:sz w:val="20"/>
          <w:szCs w:val="20"/>
        </w:rPr>
        <w:t xml:space="preserve">, </w:t>
      </w:r>
      <w:r w:rsidR="007637E1" w:rsidRPr="00334079">
        <w:rPr>
          <w:color w:val="000000" w:themeColor="text1"/>
          <w:sz w:val="20"/>
          <w:szCs w:val="20"/>
        </w:rPr>
        <w:t>Azerbaijan</w:t>
      </w:r>
      <w:r w:rsidR="007637E1">
        <w:rPr>
          <w:color w:val="000000" w:themeColor="text1"/>
          <w:sz w:val="20"/>
          <w:szCs w:val="20"/>
        </w:rPr>
        <w:t xml:space="preserve">, </w:t>
      </w:r>
      <w:r w:rsidR="007637E1" w:rsidRPr="00334079">
        <w:rPr>
          <w:color w:val="000000" w:themeColor="text1"/>
          <w:sz w:val="20"/>
          <w:szCs w:val="20"/>
        </w:rPr>
        <w:t>Belarus</w:t>
      </w:r>
      <w:r w:rsidR="007637E1">
        <w:rPr>
          <w:color w:val="000000" w:themeColor="text1"/>
          <w:sz w:val="20"/>
          <w:szCs w:val="20"/>
        </w:rPr>
        <w:t xml:space="preserve">, </w:t>
      </w:r>
      <w:r w:rsidR="00AB371E" w:rsidRPr="00334079">
        <w:rPr>
          <w:color w:val="000000" w:themeColor="text1"/>
          <w:sz w:val="20"/>
          <w:szCs w:val="20"/>
        </w:rPr>
        <w:t>Belgium</w:t>
      </w:r>
      <w:r w:rsidR="00AB371E">
        <w:rPr>
          <w:color w:val="000000" w:themeColor="text1"/>
          <w:sz w:val="20"/>
          <w:szCs w:val="20"/>
        </w:rPr>
        <w:t xml:space="preserve">, </w:t>
      </w:r>
      <w:r w:rsidR="007637E1" w:rsidRPr="00334079">
        <w:rPr>
          <w:color w:val="000000" w:themeColor="text1"/>
          <w:sz w:val="20"/>
          <w:szCs w:val="20"/>
        </w:rPr>
        <w:t>Bhutan</w:t>
      </w:r>
      <w:r w:rsidR="007637E1">
        <w:rPr>
          <w:color w:val="000000" w:themeColor="text1"/>
          <w:sz w:val="20"/>
          <w:szCs w:val="20"/>
        </w:rPr>
        <w:t xml:space="preserve">, </w:t>
      </w:r>
      <w:r w:rsidR="007637E1" w:rsidRPr="00334079">
        <w:rPr>
          <w:color w:val="000000" w:themeColor="text1"/>
          <w:sz w:val="20"/>
          <w:szCs w:val="20"/>
        </w:rPr>
        <w:t>Bolivia (Plurinational State of)</w:t>
      </w:r>
      <w:r w:rsidR="007637E1">
        <w:rPr>
          <w:color w:val="000000" w:themeColor="text1"/>
          <w:sz w:val="20"/>
          <w:szCs w:val="20"/>
        </w:rPr>
        <w:t xml:space="preserve">, </w:t>
      </w:r>
      <w:r w:rsidR="007637E1" w:rsidRPr="00334079">
        <w:rPr>
          <w:color w:val="000000" w:themeColor="text1"/>
          <w:sz w:val="20"/>
          <w:szCs w:val="20"/>
        </w:rPr>
        <w:t>Botswana</w:t>
      </w:r>
      <w:r w:rsidR="007637E1">
        <w:rPr>
          <w:color w:val="000000" w:themeColor="text1"/>
          <w:sz w:val="20"/>
          <w:szCs w:val="20"/>
        </w:rPr>
        <w:t xml:space="preserve">, </w:t>
      </w:r>
      <w:r w:rsidR="007637E1" w:rsidRPr="00334079">
        <w:rPr>
          <w:color w:val="000000" w:themeColor="text1"/>
          <w:sz w:val="20"/>
          <w:szCs w:val="20"/>
        </w:rPr>
        <w:t>Cambodia</w:t>
      </w:r>
      <w:r w:rsidR="007637E1">
        <w:rPr>
          <w:color w:val="000000" w:themeColor="text1"/>
          <w:sz w:val="20"/>
          <w:szCs w:val="20"/>
        </w:rPr>
        <w:t xml:space="preserve">, </w:t>
      </w:r>
      <w:r w:rsidR="007637E1" w:rsidRPr="00334079">
        <w:rPr>
          <w:color w:val="000000" w:themeColor="text1"/>
          <w:sz w:val="20"/>
          <w:szCs w:val="20"/>
        </w:rPr>
        <w:t>Canada</w:t>
      </w:r>
      <w:r w:rsidR="007637E1">
        <w:rPr>
          <w:color w:val="000000" w:themeColor="text1"/>
          <w:sz w:val="20"/>
          <w:szCs w:val="20"/>
        </w:rPr>
        <w:t xml:space="preserve">, </w:t>
      </w:r>
      <w:r w:rsidR="007637E1" w:rsidRPr="00334079">
        <w:rPr>
          <w:color w:val="000000" w:themeColor="text1"/>
          <w:sz w:val="20"/>
          <w:szCs w:val="20"/>
        </w:rPr>
        <w:t>Colombia</w:t>
      </w:r>
      <w:r w:rsidR="007637E1">
        <w:rPr>
          <w:color w:val="000000" w:themeColor="text1"/>
          <w:sz w:val="20"/>
          <w:szCs w:val="20"/>
        </w:rPr>
        <w:t xml:space="preserve">, </w:t>
      </w:r>
      <w:r w:rsidR="007637E1" w:rsidRPr="00334079">
        <w:rPr>
          <w:color w:val="000000" w:themeColor="text1"/>
          <w:sz w:val="20"/>
          <w:szCs w:val="20"/>
        </w:rPr>
        <w:t>Costa Rica</w:t>
      </w:r>
      <w:r w:rsidR="007637E1">
        <w:rPr>
          <w:color w:val="000000" w:themeColor="text1"/>
          <w:sz w:val="20"/>
          <w:szCs w:val="20"/>
        </w:rPr>
        <w:t xml:space="preserve">, </w:t>
      </w:r>
      <w:r w:rsidR="007637E1" w:rsidRPr="00334079">
        <w:rPr>
          <w:color w:val="000000" w:themeColor="text1"/>
          <w:sz w:val="20"/>
          <w:szCs w:val="20"/>
        </w:rPr>
        <w:t>Democratic People</w:t>
      </w:r>
      <w:r w:rsidR="00D72627">
        <w:rPr>
          <w:color w:val="000000" w:themeColor="text1"/>
          <w:sz w:val="20"/>
          <w:szCs w:val="20"/>
        </w:rPr>
        <w:t>’</w:t>
      </w:r>
      <w:r w:rsidR="007637E1" w:rsidRPr="00334079">
        <w:rPr>
          <w:color w:val="000000" w:themeColor="text1"/>
          <w:sz w:val="20"/>
          <w:szCs w:val="20"/>
        </w:rPr>
        <w:t>s Republic of Korea</w:t>
      </w:r>
      <w:r w:rsidR="007637E1">
        <w:rPr>
          <w:color w:val="000000" w:themeColor="text1"/>
          <w:sz w:val="20"/>
          <w:szCs w:val="20"/>
        </w:rPr>
        <w:t xml:space="preserve">, </w:t>
      </w:r>
      <w:r w:rsidR="007637E1" w:rsidRPr="00334079">
        <w:rPr>
          <w:color w:val="000000" w:themeColor="text1"/>
          <w:sz w:val="20"/>
          <w:szCs w:val="20"/>
        </w:rPr>
        <w:t>Ecuador</w:t>
      </w:r>
      <w:r w:rsidR="007637E1">
        <w:rPr>
          <w:color w:val="000000" w:themeColor="text1"/>
          <w:sz w:val="20"/>
          <w:szCs w:val="20"/>
        </w:rPr>
        <w:t xml:space="preserve">, </w:t>
      </w:r>
      <w:r w:rsidR="007637E1" w:rsidRPr="00334079">
        <w:rPr>
          <w:color w:val="000000" w:themeColor="text1"/>
          <w:sz w:val="20"/>
          <w:szCs w:val="20"/>
        </w:rPr>
        <w:t>El Salvador</w:t>
      </w:r>
      <w:r w:rsidR="007637E1">
        <w:rPr>
          <w:color w:val="000000" w:themeColor="text1"/>
          <w:sz w:val="20"/>
          <w:szCs w:val="20"/>
        </w:rPr>
        <w:t xml:space="preserve">, </w:t>
      </w:r>
      <w:r w:rsidR="007637E1" w:rsidRPr="00334079">
        <w:rPr>
          <w:color w:val="000000" w:themeColor="text1"/>
          <w:sz w:val="20"/>
          <w:szCs w:val="20"/>
        </w:rPr>
        <w:t>Ethiopia</w:t>
      </w:r>
      <w:r w:rsidR="007637E1">
        <w:rPr>
          <w:color w:val="000000" w:themeColor="text1"/>
          <w:sz w:val="20"/>
          <w:szCs w:val="20"/>
        </w:rPr>
        <w:t xml:space="preserve">, </w:t>
      </w:r>
      <w:r w:rsidR="007637E1" w:rsidRPr="00334079">
        <w:rPr>
          <w:color w:val="000000" w:themeColor="text1"/>
          <w:sz w:val="20"/>
          <w:szCs w:val="20"/>
        </w:rPr>
        <w:t>Finland</w:t>
      </w:r>
      <w:r w:rsidR="007637E1">
        <w:rPr>
          <w:color w:val="000000" w:themeColor="text1"/>
          <w:sz w:val="20"/>
          <w:szCs w:val="20"/>
        </w:rPr>
        <w:t xml:space="preserve">, </w:t>
      </w:r>
      <w:r w:rsidR="007637E1" w:rsidRPr="00334079">
        <w:rPr>
          <w:color w:val="000000" w:themeColor="text1"/>
          <w:sz w:val="20"/>
          <w:szCs w:val="20"/>
        </w:rPr>
        <w:t>France</w:t>
      </w:r>
      <w:r w:rsidR="007637E1">
        <w:rPr>
          <w:color w:val="000000" w:themeColor="text1"/>
          <w:sz w:val="20"/>
          <w:szCs w:val="20"/>
        </w:rPr>
        <w:t xml:space="preserve">, </w:t>
      </w:r>
      <w:r w:rsidR="007637E1" w:rsidRPr="00334079">
        <w:rPr>
          <w:color w:val="000000" w:themeColor="text1"/>
          <w:sz w:val="20"/>
          <w:szCs w:val="20"/>
        </w:rPr>
        <w:t>Georgia</w:t>
      </w:r>
      <w:r w:rsidR="007637E1">
        <w:rPr>
          <w:color w:val="000000" w:themeColor="text1"/>
          <w:sz w:val="20"/>
          <w:szCs w:val="20"/>
        </w:rPr>
        <w:t xml:space="preserve">, </w:t>
      </w:r>
      <w:r w:rsidR="007637E1" w:rsidRPr="00334079">
        <w:rPr>
          <w:color w:val="000000" w:themeColor="text1"/>
          <w:sz w:val="20"/>
          <w:szCs w:val="20"/>
        </w:rPr>
        <w:t>Germany</w:t>
      </w:r>
      <w:r w:rsidR="007637E1">
        <w:rPr>
          <w:color w:val="000000" w:themeColor="text1"/>
          <w:sz w:val="20"/>
          <w:szCs w:val="20"/>
        </w:rPr>
        <w:t xml:space="preserve">, </w:t>
      </w:r>
      <w:r w:rsidR="007637E1" w:rsidRPr="00334079">
        <w:rPr>
          <w:color w:val="000000" w:themeColor="text1"/>
          <w:sz w:val="20"/>
          <w:szCs w:val="20"/>
        </w:rPr>
        <w:t>Greece</w:t>
      </w:r>
      <w:r w:rsidR="007637E1">
        <w:rPr>
          <w:color w:val="000000" w:themeColor="text1"/>
          <w:sz w:val="20"/>
          <w:szCs w:val="20"/>
        </w:rPr>
        <w:t xml:space="preserve">, </w:t>
      </w:r>
      <w:r w:rsidR="007637E1" w:rsidRPr="00334079">
        <w:rPr>
          <w:color w:val="000000" w:themeColor="text1"/>
          <w:sz w:val="20"/>
          <w:szCs w:val="20"/>
        </w:rPr>
        <w:t>Haiti</w:t>
      </w:r>
      <w:r w:rsidR="007637E1">
        <w:rPr>
          <w:color w:val="000000" w:themeColor="text1"/>
          <w:sz w:val="20"/>
          <w:szCs w:val="20"/>
        </w:rPr>
        <w:t xml:space="preserve">, </w:t>
      </w:r>
      <w:r w:rsidR="007637E1" w:rsidRPr="00334079">
        <w:rPr>
          <w:color w:val="000000" w:themeColor="text1"/>
          <w:sz w:val="20"/>
          <w:szCs w:val="20"/>
        </w:rPr>
        <w:t>Honduras</w:t>
      </w:r>
      <w:r w:rsidR="007637E1">
        <w:rPr>
          <w:color w:val="000000" w:themeColor="text1"/>
          <w:sz w:val="20"/>
          <w:szCs w:val="20"/>
        </w:rPr>
        <w:t xml:space="preserve">, </w:t>
      </w:r>
      <w:r w:rsidR="007637E1" w:rsidRPr="00334079">
        <w:rPr>
          <w:color w:val="000000" w:themeColor="text1"/>
          <w:sz w:val="20"/>
          <w:szCs w:val="20"/>
        </w:rPr>
        <w:t>Iran (Islamic Republic of)</w:t>
      </w:r>
      <w:r w:rsidR="007637E1">
        <w:rPr>
          <w:color w:val="000000" w:themeColor="text1"/>
          <w:sz w:val="20"/>
          <w:szCs w:val="20"/>
        </w:rPr>
        <w:t xml:space="preserve">, </w:t>
      </w:r>
      <w:r w:rsidR="007637E1" w:rsidRPr="00334079">
        <w:rPr>
          <w:color w:val="000000" w:themeColor="text1"/>
          <w:sz w:val="20"/>
          <w:szCs w:val="20"/>
        </w:rPr>
        <w:t>Ireland</w:t>
      </w:r>
      <w:r w:rsidR="007637E1">
        <w:rPr>
          <w:color w:val="000000" w:themeColor="text1"/>
          <w:sz w:val="20"/>
          <w:szCs w:val="20"/>
        </w:rPr>
        <w:t xml:space="preserve">, </w:t>
      </w:r>
      <w:r w:rsidR="007637E1" w:rsidRPr="00334079">
        <w:rPr>
          <w:color w:val="000000" w:themeColor="text1"/>
          <w:sz w:val="20"/>
          <w:szCs w:val="20"/>
        </w:rPr>
        <w:t>Israel</w:t>
      </w:r>
      <w:r w:rsidR="007637E1">
        <w:rPr>
          <w:color w:val="000000" w:themeColor="text1"/>
          <w:sz w:val="20"/>
          <w:szCs w:val="20"/>
        </w:rPr>
        <w:t xml:space="preserve">, </w:t>
      </w:r>
      <w:r w:rsidR="007637E1" w:rsidRPr="00334079">
        <w:rPr>
          <w:color w:val="000000" w:themeColor="text1"/>
          <w:sz w:val="20"/>
          <w:szCs w:val="20"/>
        </w:rPr>
        <w:t>Jamaica</w:t>
      </w:r>
      <w:r w:rsidR="007637E1">
        <w:rPr>
          <w:color w:val="000000" w:themeColor="text1"/>
          <w:sz w:val="20"/>
          <w:szCs w:val="20"/>
        </w:rPr>
        <w:t xml:space="preserve">, </w:t>
      </w:r>
      <w:r w:rsidR="007637E1" w:rsidRPr="00334079">
        <w:rPr>
          <w:color w:val="000000" w:themeColor="text1"/>
          <w:sz w:val="20"/>
          <w:szCs w:val="20"/>
        </w:rPr>
        <w:t>Jordan</w:t>
      </w:r>
      <w:r w:rsidR="007637E1">
        <w:rPr>
          <w:color w:val="000000" w:themeColor="text1"/>
          <w:sz w:val="20"/>
          <w:szCs w:val="20"/>
        </w:rPr>
        <w:t xml:space="preserve">, </w:t>
      </w:r>
      <w:r w:rsidR="007637E1" w:rsidRPr="00334079">
        <w:rPr>
          <w:color w:val="000000" w:themeColor="text1"/>
          <w:sz w:val="20"/>
          <w:szCs w:val="20"/>
        </w:rPr>
        <w:t>Kuwait</w:t>
      </w:r>
      <w:r w:rsidR="007637E1">
        <w:rPr>
          <w:color w:val="000000" w:themeColor="text1"/>
          <w:sz w:val="20"/>
          <w:szCs w:val="20"/>
        </w:rPr>
        <w:t xml:space="preserve">, </w:t>
      </w:r>
      <w:r w:rsidR="007637E1" w:rsidRPr="00334079">
        <w:rPr>
          <w:color w:val="000000" w:themeColor="text1"/>
          <w:sz w:val="20"/>
          <w:szCs w:val="20"/>
        </w:rPr>
        <w:t>Latvia</w:t>
      </w:r>
      <w:r w:rsidR="007637E1">
        <w:rPr>
          <w:color w:val="000000" w:themeColor="text1"/>
          <w:sz w:val="20"/>
          <w:szCs w:val="20"/>
        </w:rPr>
        <w:t xml:space="preserve">, </w:t>
      </w:r>
      <w:r w:rsidR="007637E1" w:rsidRPr="00334079">
        <w:rPr>
          <w:color w:val="000000" w:themeColor="text1"/>
          <w:sz w:val="20"/>
          <w:szCs w:val="20"/>
        </w:rPr>
        <w:t>Lebanon</w:t>
      </w:r>
      <w:r w:rsidR="007637E1">
        <w:rPr>
          <w:color w:val="000000" w:themeColor="text1"/>
          <w:sz w:val="20"/>
          <w:szCs w:val="20"/>
        </w:rPr>
        <w:t xml:space="preserve">, </w:t>
      </w:r>
      <w:r w:rsidR="007637E1" w:rsidRPr="00334079">
        <w:rPr>
          <w:color w:val="000000" w:themeColor="text1"/>
          <w:sz w:val="20"/>
          <w:szCs w:val="20"/>
        </w:rPr>
        <w:t>Lesotho</w:t>
      </w:r>
      <w:r w:rsidR="007637E1">
        <w:rPr>
          <w:color w:val="000000" w:themeColor="text1"/>
          <w:sz w:val="20"/>
          <w:szCs w:val="20"/>
        </w:rPr>
        <w:t xml:space="preserve">, Libya, </w:t>
      </w:r>
      <w:r w:rsidR="007637E1" w:rsidRPr="00334079">
        <w:rPr>
          <w:color w:val="000000" w:themeColor="text1"/>
          <w:sz w:val="20"/>
          <w:szCs w:val="20"/>
        </w:rPr>
        <w:t>Liechtenstein</w:t>
      </w:r>
      <w:r w:rsidR="007637E1">
        <w:rPr>
          <w:color w:val="000000" w:themeColor="text1"/>
          <w:sz w:val="20"/>
          <w:szCs w:val="20"/>
        </w:rPr>
        <w:t xml:space="preserve">, </w:t>
      </w:r>
      <w:r w:rsidR="007637E1" w:rsidRPr="00334079">
        <w:rPr>
          <w:color w:val="000000" w:themeColor="text1"/>
          <w:sz w:val="20"/>
          <w:szCs w:val="20"/>
        </w:rPr>
        <w:t>Lithuania</w:t>
      </w:r>
      <w:r w:rsidR="007637E1">
        <w:rPr>
          <w:color w:val="000000" w:themeColor="text1"/>
          <w:sz w:val="20"/>
          <w:szCs w:val="20"/>
        </w:rPr>
        <w:t xml:space="preserve">, </w:t>
      </w:r>
      <w:r w:rsidR="007637E1" w:rsidRPr="00334079">
        <w:rPr>
          <w:color w:val="000000" w:themeColor="text1"/>
          <w:sz w:val="20"/>
          <w:szCs w:val="20"/>
        </w:rPr>
        <w:t>Luxembourg</w:t>
      </w:r>
      <w:r w:rsidR="007637E1">
        <w:rPr>
          <w:color w:val="000000" w:themeColor="text1"/>
          <w:sz w:val="20"/>
          <w:szCs w:val="20"/>
        </w:rPr>
        <w:t xml:space="preserve">, </w:t>
      </w:r>
      <w:r w:rsidR="007637E1" w:rsidRPr="00334079">
        <w:rPr>
          <w:color w:val="000000" w:themeColor="text1"/>
          <w:sz w:val="20"/>
          <w:szCs w:val="20"/>
        </w:rPr>
        <w:t>Maldives</w:t>
      </w:r>
      <w:r w:rsidR="007637E1">
        <w:rPr>
          <w:color w:val="000000" w:themeColor="text1"/>
          <w:sz w:val="20"/>
          <w:szCs w:val="20"/>
        </w:rPr>
        <w:t xml:space="preserve">, </w:t>
      </w:r>
      <w:r w:rsidR="007637E1" w:rsidRPr="00334079">
        <w:rPr>
          <w:color w:val="000000" w:themeColor="text1"/>
          <w:sz w:val="20"/>
          <w:szCs w:val="20"/>
        </w:rPr>
        <w:t>Mali</w:t>
      </w:r>
      <w:r w:rsidR="007637E1">
        <w:rPr>
          <w:color w:val="000000" w:themeColor="text1"/>
          <w:sz w:val="20"/>
          <w:szCs w:val="20"/>
        </w:rPr>
        <w:t xml:space="preserve">, </w:t>
      </w:r>
      <w:r w:rsidR="007637E1" w:rsidRPr="00334079">
        <w:rPr>
          <w:color w:val="000000" w:themeColor="text1"/>
          <w:sz w:val="20"/>
          <w:szCs w:val="20"/>
        </w:rPr>
        <w:t>Mongolia</w:t>
      </w:r>
      <w:r w:rsidR="007637E1">
        <w:rPr>
          <w:color w:val="000000" w:themeColor="text1"/>
          <w:sz w:val="20"/>
          <w:szCs w:val="20"/>
        </w:rPr>
        <w:t xml:space="preserve">, </w:t>
      </w:r>
      <w:r w:rsidR="007637E1" w:rsidRPr="00334079">
        <w:rPr>
          <w:color w:val="000000" w:themeColor="text1"/>
          <w:sz w:val="20"/>
          <w:szCs w:val="20"/>
        </w:rPr>
        <w:t>Montenegro</w:t>
      </w:r>
      <w:r w:rsidR="007637E1">
        <w:rPr>
          <w:color w:val="000000" w:themeColor="text1"/>
          <w:sz w:val="20"/>
          <w:szCs w:val="20"/>
        </w:rPr>
        <w:t xml:space="preserve">, </w:t>
      </w:r>
      <w:r w:rsidR="007637E1" w:rsidRPr="00334079">
        <w:rPr>
          <w:color w:val="000000" w:themeColor="text1"/>
          <w:sz w:val="20"/>
          <w:szCs w:val="20"/>
        </w:rPr>
        <w:t>Morocco</w:t>
      </w:r>
      <w:r w:rsidR="007637E1">
        <w:rPr>
          <w:color w:val="000000" w:themeColor="text1"/>
          <w:sz w:val="20"/>
          <w:szCs w:val="20"/>
        </w:rPr>
        <w:t xml:space="preserve">, </w:t>
      </w:r>
      <w:r w:rsidR="007637E1" w:rsidRPr="00334079">
        <w:rPr>
          <w:color w:val="000000" w:themeColor="text1"/>
          <w:sz w:val="20"/>
          <w:szCs w:val="20"/>
        </w:rPr>
        <w:t>Myanmar</w:t>
      </w:r>
      <w:r w:rsidR="007637E1">
        <w:rPr>
          <w:color w:val="000000" w:themeColor="text1"/>
          <w:sz w:val="20"/>
          <w:szCs w:val="20"/>
        </w:rPr>
        <w:t xml:space="preserve">, </w:t>
      </w:r>
      <w:r w:rsidR="007637E1" w:rsidRPr="00334079">
        <w:rPr>
          <w:color w:val="000000" w:themeColor="text1"/>
          <w:sz w:val="20"/>
          <w:szCs w:val="20"/>
        </w:rPr>
        <w:t>Namibia</w:t>
      </w:r>
      <w:r w:rsidR="007637E1">
        <w:rPr>
          <w:color w:val="000000" w:themeColor="text1"/>
          <w:sz w:val="20"/>
          <w:szCs w:val="20"/>
        </w:rPr>
        <w:t xml:space="preserve">, </w:t>
      </w:r>
      <w:r w:rsidR="007637E1" w:rsidRPr="00334079">
        <w:rPr>
          <w:color w:val="000000" w:themeColor="text1"/>
          <w:sz w:val="20"/>
          <w:szCs w:val="20"/>
        </w:rPr>
        <w:t>Netherlands</w:t>
      </w:r>
      <w:r w:rsidR="007637E1">
        <w:rPr>
          <w:color w:val="000000" w:themeColor="text1"/>
          <w:sz w:val="20"/>
          <w:szCs w:val="20"/>
        </w:rPr>
        <w:t xml:space="preserve">, </w:t>
      </w:r>
      <w:r w:rsidR="007637E1" w:rsidRPr="00334079">
        <w:rPr>
          <w:color w:val="000000" w:themeColor="text1"/>
          <w:sz w:val="20"/>
          <w:szCs w:val="20"/>
        </w:rPr>
        <w:t>Nicaragua</w:t>
      </w:r>
      <w:r w:rsidR="007637E1">
        <w:rPr>
          <w:color w:val="000000" w:themeColor="text1"/>
          <w:sz w:val="20"/>
          <w:szCs w:val="20"/>
        </w:rPr>
        <w:t xml:space="preserve">, </w:t>
      </w:r>
      <w:r w:rsidR="007637E1" w:rsidRPr="00334079">
        <w:rPr>
          <w:color w:val="000000" w:themeColor="text1"/>
          <w:sz w:val="20"/>
          <w:szCs w:val="20"/>
        </w:rPr>
        <w:t>North Macedonia</w:t>
      </w:r>
      <w:r w:rsidR="007637E1">
        <w:rPr>
          <w:color w:val="000000" w:themeColor="text1"/>
          <w:sz w:val="20"/>
          <w:szCs w:val="20"/>
        </w:rPr>
        <w:t xml:space="preserve">, </w:t>
      </w:r>
      <w:r w:rsidR="007637E1" w:rsidRPr="00334079">
        <w:rPr>
          <w:color w:val="000000" w:themeColor="text1"/>
          <w:sz w:val="20"/>
          <w:szCs w:val="20"/>
        </w:rPr>
        <w:t>Oman</w:t>
      </w:r>
      <w:r w:rsidR="007637E1">
        <w:rPr>
          <w:color w:val="000000" w:themeColor="text1"/>
          <w:sz w:val="20"/>
          <w:szCs w:val="20"/>
        </w:rPr>
        <w:t xml:space="preserve">, </w:t>
      </w:r>
      <w:r w:rsidR="007637E1" w:rsidRPr="00334079">
        <w:rPr>
          <w:color w:val="000000" w:themeColor="text1"/>
          <w:sz w:val="20"/>
          <w:szCs w:val="20"/>
        </w:rPr>
        <w:t>Paraguay</w:t>
      </w:r>
      <w:r w:rsidR="007637E1">
        <w:rPr>
          <w:color w:val="000000" w:themeColor="text1"/>
          <w:sz w:val="20"/>
          <w:szCs w:val="20"/>
        </w:rPr>
        <w:t xml:space="preserve">, </w:t>
      </w:r>
      <w:r w:rsidR="007637E1" w:rsidRPr="00334079">
        <w:rPr>
          <w:color w:val="000000" w:themeColor="text1"/>
          <w:sz w:val="20"/>
          <w:szCs w:val="20"/>
        </w:rPr>
        <w:t>Poland</w:t>
      </w:r>
      <w:r w:rsidR="007637E1">
        <w:rPr>
          <w:color w:val="000000" w:themeColor="text1"/>
          <w:sz w:val="20"/>
          <w:szCs w:val="20"/>
        </w:rPr>
        <w:t xml:space="preserve">, </w:t>
      </w:r>
      <w:r w:rsidR="007637E1" w:rsidRPr="00334079">
        <w:rPr>
          <w:color w:val="000000" w:themeColor="text1"/>
          <w:sz w:val="20"/>
          <w:szCs w:val="20"/>
        </w:rPr>
        <w:t>Portugal</w:t>
      </w:r>
      <w:r w:rsidR="007637E1">
        <w:rPr>
          <w:color w:val="000000" w:themeColor="text1"/>
          <w:sz w:val="20"/>
          <w:szCs w:val="20"/>
        </w:rPr>
        <w:t xml:space="preserve">, </w:t>
      </w:r>
      <w:r w:rsidR="007637E1" w:rsidRPr="00334079">
        <w:rPr>
          <w:color w:val="000000" w:themeColor="text1"/>
          <w:sz w:val="20"/>
          <w:szCs w:val="20"/>
        </w:rPr>
        <w:t>Republic of Korea</w:t>
      </w:r>
      <w:r w:rsidR="007637E1">
        <w:rPr>
          <w:color w:val="000000" w:themeColor="text1"/>
          <w:sz w:val="20"/>
          <w:szCs w:val="20"/>
        </w:rPr>
        <w:t xml:space="preserve">, </w:t>
      </w:r>
      <w:r w:rsidR="007637E1" w:rsidRPr="00334079">
        <w:rPr>
          <w:color w:val="000000" w:themeColor="text1"/>
          <w:sz w:val="20"/>
          <w:szCs w:val="20"/>
        </w:rPr>
        <w:t>Republic of Moldova</w:t>
      </w:r>
      <w:r w:rsidR="007637E1">
        <w:rPr>
          <w:color w:val="000000" w:themeColor="text1"/>
          <w:sz w:val="20"/>
          <w:szCs w:val="20"/>
        </w:rPr>
        <w:t xml:space="preserve">, </w:t>
      </w:r>
      <w:r w:rsidR="007637E1" w:rsidRPr="00334079">
        <w:rPr>
          <w:color w:val="000000" w:themeColor="text1"/>
          <w:sz w:val="20"/>
          <w:szCs w:val="20"/>
        </w:rPr>
        <w:t>Russian Federation</w:t>
      </w:r>
      <w:r w:rsidR="007637E1">
        <w:rPr>
          <w:color w:val="000000" w:themeColor="text1"/>
          <w:sz w:val="20"/>
          <w:szCs w:val="20"/>
        </w:rPr>
        <w:t xml:space="preserve">, </w:t>
      </w:r>
      <w:r w:rsidR="007637E1" w:rsidRPr="00334079">
        <w:rPr>
          <w:color w:val="000000" w:themeColor="text1"/>
          <w:sz w:val="20"/>
          <w:szCs w:val="20"/>
        </w:rPr>
        <w:t>Sierra Leone</w:t>
      </w:r>
      <w:r w:rsidR="007637E1">
        <w:rPr>
          <w:color w:val="000000" w:themeColor="text1"/>
          <w:sz w:val="20"/>
          <w:szCs w:val="20"/>
        </w:rPr>
        <w:t xml:space="preserve">, </w:t>
      </w:r>
      <w:r w:rsidR="007637E1" w:rsidRPr="00334079">
        <w:rPr>
          <w:color w:val="000000" w:themeColor="text1"/>
          <w:sz w:val="20"/>
          <w:szCs w:val="20"/>
        </w:rPr>
        <w:t>Slovenia</w:t>
      </w:r>
      <w:r w:rsidR="007637E1">
        <w:rPr>
          <w:color w:val="000000" w:themeColor="text1"/>
          <w:sz w:val="20"/>
          <w:szCs w:val="20"/>
        </w:rPr>
        <w:t xml:space="preserve">, </w:t>
      </w:r>
      <w:r w:rsidR="007637E1" w:rsidRPr="00334079">
        <w:rPr>
          <w:color w:val="000000" w:themeColor="text1"/>
          <w:sz w:val="20"/>
          <w:szCs w:val="20"/>
        </w:rPr>
        <w:t>Sudan</w:t>
      </w:r>
      <w:r w:rsidR="007637E1">
        <w:rPr>
          <w:color w:val="000000" w:themeColor="text1"/>
          <w:sz w:val="20"/>
          <w:szCs w:val="20"/>
        </w:rPr>
        <w:t xml:space="preserve">, </w:t>
      </w:r>
      <w:r w:rsidR="007637E1" w:rsidRPr="00334079">
        <w:rPr>
          <w:color w:val="000000" w:themeColor="text1"/>
          <w:sz w:val="20"/>
          <w:szCs w:val="20"/>
        </w:rPr>
        <w:t>Sweden</w:t>
      </w:r>
      <w:r w:rsidR="007637E1">
        <w:rPr>
          <w:color w:val="000000" w:themeColor="text1"/>
          <w:sz w:val="20"/>
          <w:szCs w:val="20"/>
        </w:rPr>
        <w:t xml:space="preserve">, </w:t>
      </w:r>
      <w:r w:rsidR="007637E1" w:rsidRPr="00334079">
        <w:rPr>
          <w:color w:val="000000" w:themeColor="text1"/>
          <w:sz w:val="20"/>
          <w:szCs w:val="20"/>
        </w:rPr>
        <w:t>Switzerland</w:t>
      </w:r>
      <w:r w:rsidR="007637E1">
        <w:rPr>
          <w:color w:val="000000" w:themeColor="text1"/>
          <w:sz w:val="20"/>
          <w:szCs w:val="20"/>
        </w:rPr>
        <w:t xml:space="preserve">, </w:t>
      </w:r>
      <w:r w:rsidR="007637E1" w:rsidRPr="00334079">
        <w:rPr>
          <w:color w:val="000000" w:themeColor="text1"/>
          <w:sz w:val="20"/>
          <w:szCs w:val="20"/>
        </w:rPr>
        <w:t>Syrian Arab Republic</w:t>
      </w:r>
      <w:r w:rsidR="007637E1">
        <w:rPr>
          <w:color w:val="000000" w:themeColor="text1"/>
          <w:sz w:val="20"/>
          <w:szCs w:val="20"/>
        </w:rPr>
        <w:t xml:space="preserve">, </w:t>
      </w:r>
      <w:r w:rsidR="007637E1" w:rsidRPr="00334079">
        <w:rPr>
          <w:color w:val="000000" w:themeColor="text1"/>
          <w:sz w:val="20"/>
          <w:szCs w:val="20"/>
        </w:rPr>
        <w:t>Thailand</w:t>
      </w:r>
      <w:r w:rsidR="007637E1">
        <w:rPr>
          <w:color w:val="000000" w:themeColor="text1"/>
          <w:sz w:val="20"/>
          <w:szCs w:val="20"/>
        </w:rPr>
        <w:t xml:space="preserve">, </w:t>
      </w:r>
      <w:r w:rsidR="007637E1" w:rsidRPr="00334079">
        <w:rPr>
          <w:color w:val="000000" w:themeColor="text1"/>
          <w:sz w:val="20"/>
          <w:szCs w:val="20"/>
        </w:rPr>
        <w:t>Timor-Leste</w:t>
      </w:r>
      <w:r w:rsidR="007637E1">
        <w:rPr>
          <w:color w:val="000000" w:themeColor="text1"/>
          <w:sz w:val="20"/>
          <w:szCs w:val="20"/>
        </w:rPr>
        <w:t xml:space="preserve">, </w:t>
      </w:r>
      <w:r w:rsidR="007637E1" w:rsidRPr="00334079">
        <w:rPr>
          <w:color w:val="000000" w:themeColor="text1"/>
          <w:sz w:val="20"/>
          <w:szCs w:val="20"/>
        </w:rPr>
        <w:t>Turkey</w:t>
      </w:r>
      <w:r w:rsidR="007637E1">
        <w:rPr>
          <w:color w:val="000000" w:themeColor="text1"/>
          <w:sz w:val="20"/>
          <w:szCs w:val="20"/>
        </w:rPr>
        <w:t xml:space="preserve">, </w:t>
      </w:r>
      <w:r w:rsidR="007637E1" w:rsidRPr="00334079">
        <w:rPr>
          <w:color w:val="000000" w:themeColor="text1"/>
          <w:sz w:val="20"/>
          <w:szCs w:val="20"/>
        </w:rPr>
        <w:t>Uganda</w:t>
      </w:r>
      <w:r w:rsidR="007637E1">
        <w:rPr>
          <w:color w:val="000000" w:themeColor="text1"/>
          <w:sz w:val="20"/>
          <w:szCs w:val="20"/>
        </w:rPr>
        <w:t xml:space="preserve">, </w:t>
      </w:r>
      <w:r w:rsidR="007637E1" w:rsidRPr="00334079">
        <w:rPr>
          <w:color w:val="000000" w:themeColor="text1"/>
          <w:sz w:val="20"/>
          <w:szCs w:val="20"/>
        </w:rPr>
        <w:t>Venezuela (Bolivarian Republic of)</w:t>
      </w:r>
      <w:r w:rsidR="007637E1">
        <w:rPr>
          <w:color w:val="000000" w:themeColor="text1"/>
          <w:sz w:val="20"/>
          <w:szCs w:val="20"/>
        </w:rPr>
        <w:t xml:space="preserve">, </w:t>
      </w:r>
      <w:r w:rsidR="007637E1" w:rsidRPr="00334079">
        <w:rPr>
          <w:color w:val="000000" w:themeColor="text1"/>
          <w:sz w:val="20"/>
          <w:szCs w:val="20"/>
        </w:rPr>
        <w:t>Viet Nam</w:t>
      </w:r>
      <w:r w:rsidR="007637E1">
        <w:rPr>
          <w:color w:val="000000" w:themeColor="text1"/>
          <w:sz w:val="20"/>
          <w:szCs w:val="20"/>
        </w:rPr>
        <w:t xml:space="preserve">, </w:t>
      </w:r>
      <w:r w:rsidR="007637E1" w:rsidRPr="00334079">
        <w:rPr>
          <w:color w:val="000000" w:themeColor="text1"/>
          <w:sz w:val="20"/>
          <w:szCs w:val="20"/>
        </w:rPr>
        <w:t>Yemen</w:t>
      </w:r>
      <w:r w:rsidR="007637E1">
        <w:rPr>
          <w:color w:val="000000" w:themeColor="text1"/>
          <w:sz w:val="20"/>
          <w:szCs w:val="20"/>
        </w:rPr>
        <w:t xml:space="preserve">, Zambia, </w:t>
      </w:r>
      <w:r w:rsidR="007637E1" w:rsidRPr="00334079">
        <w:rPr>
          <w:color w:val="000000" w:themeColor="text1"/>
          <w:sz w:val="20"/>
          <w:szCs w:val="20"/>
        </w:rPr>
        <w:t>Zimbabwe</w:t>
      </w:r>
      <w:r w:rsidR="007637E1">
        <w:rPr>
          <w:color w:val="000000" w:themeColor="text1"/>
          <w:sz w:val="20"/>
          <w:szCs w:val="20"/>
        </w:rPr>
        <w:t xml:space="preserve">, </w:t>
      </w:r>
      <w:r w:rsidR="007637E1" w:rsidRPr="00334079">
        <w:rPr>
          <w:color w:val="000000" w:themeColor="text1"/>
          <w:sz w:val="20"/>
          <w:szCs w:val="20"/>
        </w:rPr>
        <w:t>State of Palestine</w:t>
      </w:r>
      <w:r w:rsidR="00061A18" w:rsidRPr="0067399B">
        <w:rPr>
          <w:color w:val="000000" w:themeColor="text1"/>
          <w:sz w:val="20"/>
          <w:szCs w:val="20"/>
        </w:rPr>
        <w:t>;</w:t>
      </w:r>
    </w:p>
    <w:p w14:paraId="1EFF3961" w14:textId="77777777" w:rsidR="007637E1" w:rsidRPr="0067399B" w:rsidRDefault="007637E1" w:rsidP="007637E1">
      <w:pPr>
        <w:spacing w:after="120"/>
        <w:ind w:left="1134" w:right="1134" w:firstLine="567"/>
        <w:jc w:val="both"/>
        <w:rPr>
          <w:color w:val="000000" w:themeColor="text1"/>
          <w:sz w:val="20"/>
          <w:szCs w:val="20"/>
        </w:rPr>
      </w:pPr>
      <w:r w:rsidRPr="0067399B">
        <w:rPr>
          <w:color w:val="000000" w:themeColor="text1"/>
          <w:sz w:val="20"/>
          <w:szCs w:val="20"/>
        </w:rPr>
        <w:t>(c)</w:t>
      </w:r>
      <w:r w:rsidRPr="0067399B">
        <w:rPr>
          <w:color w:val="000000" w:themeColor="text1"/>
          <w:sz w:val="20"/>
          <w:szCs w:val="20"/>
        </w:rPr>
        <w:tab/>
        <w:t>Observer for United Nations entities, specialized agencies and related organizations:</w:t>
      </w:r>
      <w:r w:rsidRPr="00F50A37">
        <w:t xml:space="preserve"> </w:t>
      </w:r>
      <w:r w:rsidRPr="00F50A37">
        <w:rPr>
          <w:color w:val="000000" w:themeColor="text1"/>
          <w:sz w:val="20"/>
          <w:szCs w:val="20"/>
        </w:rPr>
        <w:t>United Nations Entity for Gender Equality and the Empowerment of Women</w:t>
      </w:r>
      <w:r>
        <w:rPr>
          <w:color w:val="000000" w:themeColor="text1"/>
          <w:sz w:val="20"/>
          <w:szCs w:val="20"/>
        </w:rPr>
        <w:t xml:space="preserve"> (</w:t>
      </w:r>
      <w:r w:rsidRPr="00803914">
        <w:rPr>
          <w:color w:val="000000" w:themeColor="text1"/>
          <w:sz w:val="20"/>
          <w:szCs w:val="20"/>
        </w:rPr>
        <w:t>UN Women</w:t>
      </w:r>
      <w:r>
        <w:rPr>
          <w:color w:val="000000" w:themeColor="text1"/>
          <w:sz w:val="20"/>
          <w:szCs w:val="20"/>
        </w:rPr>
        <w:t>);</w:t>
      </w:r>
    </w:p>
    <w:p w14:paraId="2EA587DC" w14:textId="1ADF8541" w:rsidR="00F11B08" w:rsidRPr="0067399B" w:rsidRDefault="00F11B08" w:rsidP="00F11B08">
      <w:pPr>
        <w:pStyle w:val="SingleTxtG"/>
        <w:ind w:firstLine="567"/>
        <w:rPr>
          <w:color w:val="000000" w:themeColor="text1"/>
          <w:sz w:val="20"/>
          <w:szCs w:val="20"/>
        </w:rPr>
      </w:pPr>
      <w:r w:rsidRPr="0067399B">
        <w:rPr>
          <w:color w:val="000000" w:themeColor="text1"/>
          <w:sz w:val="20"/>
          <w:szCs w:val="20"/>
        </w:rPr>
        <w:t>(</w:t>
      </w:r>
      <w:r w:rsidR="007637E1">
        <w:rPr>
          <w:color w:val="000000" w:themeColor="text1"/>
          <w:sz w:val="20"/>
          <w:szCs w:val="20"/>
        </w:rPr>
        <w:t>d</w:t>
      </w:r>
      <w:r w:rsidRPr="0067399B">
        <w:rPr>
          <w:color w:val="000000" w:themeColor="text1"/>
          <w:sz w:val="20"/>
          <w:szCs w:val="20"/>
        </w:rPr>
        <w:t>)</w:t>
      </w:r>
      <w:r w:rsidRPr="0067399B">
        <w:rPr>
          <w:color w:val="000000" w:themeColor="text1"/>
          <w:sz w:val="20"/>
          <w:szCs w:val="20"/>
        </w:rPr>
        <w:tab/>
        <w:t>Observer</w:t>
      </w:r>
      <w:r w:rsidR="007637E1">
        <w:rPr>
          <w:color w:val="000000" w:themeColor="text1"/>
          <w:sz w:val="20"/>
          <w:szCs w:val="20"/>
        </w:rPr>
        <w:t>s</w:t>
      </w:r>
      <w:r w:rsidRPr="0067399B">
        <w:rPr>
          <w:color w:val="000000" w:themeColor="text1"/>
          <w:sz w:val="20"/>
          <w:szCs w:val="20"/>
        </w:rPr>
        <w:t xml:space="preserve"> for </w:t>
      </w:r>
      <w:r w:rsidR="00D94B61" w:rsidRPr="0067399B">
        <w:rPr>
          <w:color w:val="000000" w:themeColor="text1"/>
          <w:sz w:val="20"/>
          <w:szCs w:val="20"/>
        </w:rPr>
        <w:t>intergovernmental organization</w:t>
      </w:r>
      <w:r w:rsidR="007637E1">
        <w:rPr>
          <w:color w:val="000000" w:themeColor="text1"/>
          <w:sz w:val="20"/>
          <w:szCs w:val="20"/>
        </w:rPr>
        <w:t>s</w:t>
      </w:r>
      <w:r w:rsidR="00D94B61" w:rsidRPr="0067399B">
        <w:rPr>
          <w:color w:val="000000" w:themeColor="text1"/>
          <w:sz w:val="20"/>
          <w:szCs w:val="20"/>
        </w:rPr>
        <w:t>:</w:t>
      </w:r>
      <w:r w:rsidR="006D3518">
        <w:rPr>
          <w:color w:val="000000" w:themeColor="text1"/>
          <w:sz w:val="20"/>
          <w:szCs w:val="20"/>
        </w:rPr>
        <w:t xml:space="preserve"> </w:t>
      </w:r>
      <w:r w:rsidR="000B34DF">
        <w:rPr>
          <w:color w:val="000000" w:themeColor="text1"/>
          <w:sz w:val="20"/>
          <w:szCs w:val="20"/>
        </w:rPr>
        <w:t>European Union</w:t>
      </w:r>
      <w:r w:rsidR="007637E1">
        <w:rPr>
          <w:color w:val="000000" w:themeColor="text1"/>
          <w:sz w:val="20"/>
          <w:szCs w:val="20"/>
        </w:rPr>
        <w:t xml:space="preserve">, </w:t>
      </w:r>
      <w:r w:rsidR="002D7888" w:rsidRPr="00334079">
        <w:rPr>
          <w:color w:val="000000" w:themeColor="text1"/>
          <w:sz w:val="20"/>
          <w:szCs w:val="20"/>
        </w:rPr>
        <w:t>Organization of American States (OAS)</w:t>
      </w:r>
      <w:r w:rsidR="00061A18" w:rsidRPr="0067399B">
        <w:rPr>
          <w:color w:val="000000" w:themeColor="text1"/>
          <w:sz w:val="20"/>
          <w:szCs w:val="20"/>
        </w:rPr>
        <w:t>;</w:t>
      </w:r>
    </w:p>
    <w:p w14:paraId="2EA587DD" w14:textId="39309DE0" w:rsidR="00F11B08" w:rsidRPr="0067399B" w:rsidRDefault="00F11B08" w:rsidP="00F11B08">
      <w:pPr>
        <w:spacing w:after="120"/>
        <w:ind w:left="1134" w:right="1134" w:firstLine="567"/>
        <w:jc w:val="both"/>
        <w:rPr>
          <w:color w:val="000000" w:themeColor="text1"/>
          <w:sz w:val="20"/>
          <w:szCs w:val="20"/>
        </w:rPr>
      </w:pPr>
      <w:r w:rsidRPr="0067399B">
        <w:rPr>
          <w:color w:val="000000" w:themeColor="text1"/>
          <w:sz w:val="20"/>
          <w:szCs w:val="20"/>
        </w:rPr>
        <w:t>(</w:t>
      </w:r>
      <w:r w:rsidR="007637E1">
        <w:rPr>
          <w:color w:val="000000" w:themeColor="text1"/>
          <w:sz w:val="20"/>
          <w:szCs w:val="20"/>
        </w:rPr>
        <w:t>e</w:t>
      </w:r>
      <w:r w:rsidRPr="0067399B">
        <w:rPr>
          <w:color w:val="000000" w:themeColor="text1"/>
          <w:sz w:val="20"/>
          <w:szCs w:val="20"/>
        </w:rPr>
        <w:t>)</w:t>
      </w:r>
      <w:r w:rsidRPr="0067399B">
        <w:rPr>
          <w:color w:val="000000" w:themeColor="text1"/>
          <w:sz w:val="20"/>
          <w:szCs w:val="20"/>
        </w:rPr>
        <w:tab/>
        <w:t>Observer for the Sovereign Military Order of Malta;</w:t>
      </w:r>
    </w:p>
    <w:p w14:paraId="42602F70" w14:textId="32170532" w:rsidR="002D5D91" w:rsidRPr="00120FEE" w:rsidRDefault="00F11B08" w:rsidP="00D508F9">
      <w:pPr>
        <w:pStyle w:val="SingleTxtG"/>
        <w:ind w:firstLine="567"/>
        <w:rPr>
          <w:color w:val="000000" w:themeColor="text1"/>
          <w:sz w:val="20"/>
          <w:szCs w:val="20"/>
          <w:lang w:eastAsia="en-GB"/>
        </w:rPr>
      </w:pPr>
      <w:r w:rsidRPr="00120FEE">
        <w:rPr>
          <w:color w:val="000000" w:themeColor="text1"/>
          <w:sz w:val="20"/>
          <w:szCs w:val="20"/>
        </w:rPr>
        <w:t>(</w:t>
      </w:r>
      <w:r w:rsidR="007637E1" w:rsidRPr="00120FEE">
        <w:rPr>
          <w:color w:val="000000" w:themeColor="text1"/>
          <w:sz w:val="20"/>
          <w:szCs w:val="20"/>
        </w:rPr>
        <w:t>f</w:t>
      </w:r>
      <w:r w:rsidRPr="00120FEE">
        <w:rPr>
          <w:color w:val="000000" w:themeColor="text1"/>
          <w:sz w:val="20"/>
          <w:szCs w:val="20"/>
        </w:rPr>
        <w:t>)</w:t>
      </w:r>
      <w:r w:rsidRPr="00120FEE">
        <w:rPr>
          <w:color w:val="000000" w:themeColor="text1"/>
          <w:sz w:val="20"/>
          <w:szCs w:val="20"/>
        </w:rPr>
        <w:tab/>
        <w:t>Observers for non-</w:t>
      </w:r>
      <w:r w:rsidRPr="0067399B">
        <w:rPr>
          <w:color w:val="000000" w:themeColor="text1"/>
          <w:sz w:val="20"/>
          <w:szCs w:val="20"/>
          <w:lang w:val="en-GB"/>
        </w:rPr>
        <w:t>governmental</w:t>
      </w:r>
      <w:r w:rsidRPr="00120FEE">
        <w:rPr>
          <w:color w:val="000000" w:themeColor="text1"/>
          <w:sz w:val="20"/>
          <w:szCs w:val="20"/>
        </w:rPr>
        <w:t xml:space="preserve"> organizations: </w:t>
      </w:r>
      <w:r w:rsidR="007637E1" w:rsidRPr="00120FEE">
        <w:rPr>
          <w:color w:val="000000" w:themeColor="text1"/>
          <w:sz w:val="20"/>
          <w:szCs w:val="20"/>
        </w:rPr>
        <w:t>American Association of Jurists (also on behalf of France Libertes: Fondation Danielle Mitterrand; International Association of Democratic Lawyers (IADL); International-Lawyers.Org; Liberation; Mouvement contre le racisme et pour l</w:t>
      </w:r>
      <w:r w:rsidR="00D72627">
        <w:rPr>
          <w:color w:val="000000" w:themeColor="text1"/>
          <w:sz w:val="20"/>
          <w:szCs w:val="20"/>
        </w:rPr>
        <w:t>’</w:t>
      </w:r>
      <w:r w:rsidR="007637E1" w:rsidRPr="00120FEE">
        <w:rPr>
          <w:color w:val="000000" w:themeColor="text1"/>
          <w:sz w:val="20"/>
          <w:szCs w:val="20"/>
        </w:rPr>
        <w:t>amitié entre les peuples; Réseau Unité pour le Développement de Mauritanie; International Service for Human Rights and Rencontre Africaine pour la defense des droits de l</w:t>
      </w:r>
      <w:r w:rsidR="00D72627">
        <w:rPr>
          <w:color w:val="000000" w:themeColor="text1"/>
          <w:sz w:val="20"/>
          <w:szCs w:val="20"/>
        </w:rPr>
        <w:t>’</w:t>
      </w:r>
      <w:r w:rsidR="007637E1" w:rsidRPr="00120FEE">
        <w:rPr>
          <w:color w:val="000000" w:themeColor="text1"/>
          <w:sz w:val="20"/>
          <w:szCs w:val="20"/>
        </w:rPr>
        <w:t>homme); Amnesty International; Article 19 - International Centre Against Censorship, The; Human Rights Watch; International Commission of Jurists; International Federation for Human Rights Leagues</w:t>
      </w:r>
      <w:r w:rsidR="002D5D91" w:rsidRPr="00120FEE">
        <w:rPr>
          <w:color w:val="000000" w:themeColor="text1"/>
          <w:sz w:val="20"/>
          <w:szCs w:val="20"/>
        </w:rPr>
        <w:t>.</w:t>
      </w:r>
    </w:p>
    <w:p w14:paraId="7FBC698E" w14:textId="6B005202" w:rsidR="00D508F9" w:rsidRPr="0067399B" w:rsidRDefault="009B6FCB" w:rsidP="00D508F9">
      <w:pPr>
        <w:pStyle w:val="SingleTxtG"/>
        <w:rPr>
          <w:color w:val="000000" w:themeColor="text1"/>
          <w:sz w:val="20"/>
          <w:szCs w:val="20"/>
        </w:rPr>
      </w:pPr>
      <w:r>
        <w:rPr>
          <w:color w:val="000000" w:themeColor="text1"/>
          <w:sz w:val="20"/>
          <w:szCs w:val="20"/>
        </w:rPr>
        <w:t>44</w:t>
      </w:r>
      <w:r w:rsidR="00F11B08" w:rsidRPr="0067399B">
        <w:rPr>
          <w:color w:val="000000" w:themeColor="text1"/>
          <w:sz w:val="20"/>
          <w:szCs w:val="20"/>
        </w:rPr>
        <w:t>.</w:t>
      </w:r>
      <w:r w:rsidR="00F11B08" w:rsidRPr="0067399B">
        <w:rPr>
          <w:color w:val="000000" w:themeColor="text1"/>
          <w:sz w:val="20"/>
          <w:szCs w:val="20"/>
        </w:rPr>
        <w:tab/>
        <w:t xml:space="preserve">At the </w:t>
      </w:r>
      <w:r w:rsidR="004F72BF" w:rsidRPr="007637E1">
        <w:rPr>
          <w:color w:val="000000" w:themeColor="text1"/>
          <w:sz w:val="20"/>
          <w:szCs w:val="20"/>
        </w:rPr>
        <w:t>2</w:t>
      </w:r>
      <w:r w:rsidR="007637E1" w:rsidRPr="007637E1">
        <w:rPr>
          <w:color w:val="000000" w:themeColor="text1"/>
          <w:sz w:val="20"/>
          <w:szCs w:val="20"/>
        </w:rPr>
        <w:t>4th</w:t>
      </w:r>
      <w:r w:rsidR="004F72BF" w:rsidRPr="007637E1">
        <w:rPr>
          <w:color w:val="000000" w:themeColor="text1"/>
          <w:sz w:val="20"/>
          <w:szCs w:val="20"/>
        </w:rPr>
        <w:t xml:space="preserve"> meeting, on </w:t>
      </w:r>
      <w:r w:rsidR="007637E1" w:rsidRPr="007637E1">
        <w:rPr>
          <w:color w:val="000000" w:themeColor="text1"/>
          <w:sz w:val="20"/>
          <w:szCs w:val="20"/>
        </w:rPr>
        <w:t>8</w:t>
      </w:r>
      <w:r w:rsidR="00F11B08" w:rsidRPr="007637E1">
        <w:rPr>
          <w:color w:val="000000" w:themeColor="text1"/>
          <w:sz w:val="20"/>
          <w:szCs w:val="20"/>
        </w:rPr>
        <w:t xml:space="preserve"> March </w:t>
      </w:r>
      <w:r w:rsidR="00141AFC" w:rsidRPr="007637E1">
        <w:rPr>
          <w:color w:val="000000" w:themeColor="text1"/>
          <w:sz w:val="20"/>
          <w:szCs w:val="20"/>
        </w:rPr>
        <w:t>2019</w:t>
      </w:r>
      <w:r w:rsidR="00F11B08" w:rsidRPr="007637E1">
        <w:rPr>
          <w:color w:val="000000" w:themeColor="text1"/>
          <w:sz w:val="20"/>
          <w:szCs w:val="20"/>
        </w:rPr>
        <w:t>,</w:t>
      </w:r>
      <w:r w:rsidR="00F11B08" w:rsidRPr="0067399B">
        <w:rPr>
          <w:color w:val="000000" w:themeColor="text1"/>
          <w:sz w:val="20"/>
          <w:szCs w:val="20"/>
        </w:rPr>
        <w:t xml:space="preserve"> the High Commissioner answered questions and made comments and made </w:t>
      </w:r>
      <w:r w:rsidR="006D3518">
        <w:rPr>
          <w:color w:val="000000" w:themeColor="text1"/>
          <w:sz w:val="20"/>
          <w:szCs w:val="20"/>
        </w:rPr>
        <w:t>her</w:t>
      </w:r>
      <w:r w:rsidR="00F11B08" w:rsidRPr="0067399B">
        <w:rPr>
          <w:color w:val="000000" w:themeColor="text1"/>
          <w:sz w:val="20"/>
          <w:szCs w:val="20"/>
        </w:rPr>
        <w:t xml:space="preserve"> concluding remarks.</w:t>
      </w:r>
    </w:p>
    <w:p w14:paraId="11119BE6" w14:textId="70708154" w:rsidR="007637E1" w:rsidRDefault="009B6FCB" w:rsidP="00BD7F18">
      <w:pPr>
        <w:pStyle w:val="SingleTxtG"/>
        <w:rPr>
          <w:color w:val="000000" w:themeColor="text1"/>
          <w:sz w:val="20"/>
          <w:szCs w:val="20"/>
        </w:rPr>
      </w:pPr>
      <w:r>
        <w:rPr>
          <w:color w:val="000000" w:themeColor="text1"/>
          <w:sz w:val="20"/>
          <w:szCs w:val="20"/>
        </w:rPr>
        <w:t>45</w:t>
      </w:r>
      <w:r w:rsidR="007637E1" w:rsidRPr="0067399B">
        <w:rPr>
          <w:color w:val="000000" w:themeColor="text1"/>
          <w:sz w:val="20"/>
          <w:szCs w:val="20"/>
        </w:rPr>
        <w:t>.</w:t>
      </w:r>
      <w:r w:rsidR="007637E1" w:rsidRPr="0067399B">
        <w:rPr>
          <w:color w:val="000000" w:themeColor="text1"/>
          <w:sz w:val="20"/>
          <w:szCs w:val="20"/>
        </w:rPr>
        <w:tab/>
        <w:t xml:space="preserve">At the </w:t>
      </w:r>
      <w:r w:rsidR="00272E5D">
        <w:rPr>
          <w:color w:val="000000" w:themeColor="text1"/>
          <w:sz w:val="20"/>
          <w:szCs w:val="20"/>
        </w:rPr>
        <w:t>same</w:t>
      </w:r>
      <w:r w:rsidR="007637E1" w:rsidRPr="007637E1">
        <w:rPr>
          <w:color w:val="000000" w:themeColor="text1"/>
          <w:sz w:val="20"/>
          <w:szCs w:val="20"/>
        </w:rPr>
        <w:t xml:space="preserve"> meeting, </w:t>
      </w:r>
      <w:r w:rsidR="007637E1" w:rsidRPr="0067399B">
        <w:rPr>
          <w:color w:val="000000" w:themeColor="text1"/>
          <w:sz w:val="20"/>
          <w:szCs w:val="20"/>
        </w:rPr>
        <w:t>statements in exercise of the right of reply were made by the representatives of</w:t>
      </w:r>
      <w:r w:rsidR="007637E1">
        <w:rPr>
          <w:color w:val="000000" w:themeColor="text1"/>
          <w:sz w:val="20"/>
          <w:szCs w:val="20"/>
        </w:rPr>
        <w:t xml:space="preserve"> </w:t>
      </w:r>
      <w:r w:rsidR="006C1D3E">
        <w:rPr>
          <w:color w:val="000000" w:themeColor="text1"/>
          <w:sz w:val="20"/>
          <w:szCs w:val="20"/>
        </w:rPr>
        <w:t xml:space="preserve">Bahrain, </w:t>
      </w:r>
      <w:r w:rsidR="00E67676">
        <w:rPr>
          <w:color w:val="000000" w:themeColor="text1"/>
          <w:sz w:val="20"/>
          <w:szCs w:val="20"/>
        </w:rPr>
        <w:t xml:space="preserve">China, </w:t>
      </w:r>
      <w:r w:rsidR="007637E1">
        <w:rPr>
          <w:color w:val="000000" w:themeColor="text1"/>
          <w:sz w:val="20"/>
          <w:szCs w:val="20"/>
        </w:rPr>
        <w:t>Gabon,</w:t>
      </w:r>
      <w:r w:rsidR="00FC7CF9">
        <w:rPr>
          <w:color w:val="000000" w:themeColor="text1"/>
          <w:sz w:val="20"/>
          <w:szCs w:val="20"/>
        </w:rPr>
        <w:t xml:space="preserve"> India,</w:t>
      </w:r>
      <w:r w:rsidR="007637E1">
        <w:rPr>
          <w:color w:val="000000" w:themeColor="text1"/>
          <w:sz w:val="20"/>
          <w:szCs w:val="20"/>
        </w:rPr>
        <w:t xml:space="preserve"> </w:t>
      </w:r>
      <w:r w:rsidR="005519D5">
        <w:rPr>
          <w:color w:val="000000" w:themeColor="text1"/>
          <w:sz w:val="20"/>
          <w:szCs w:val="20"/>
        </w:rPr>
        <w:t xml:space="preserve">Morocco, </w:t>
      </w:r>
      <w:r w:rsidR="00113A33">
        <w:rPr>
          <w:color w:val="000000" w:themeColor="text1"/>
          <w:sz w:val="20"/>
          <w:szCs w:val="20"/>
        </w:rPr>
        <w:t>Pakistan, the Syrian Arab Republic</w:t>
      </w:r>
      <w:r w:rsidR="005017BC">
        <w:rPr>
          <w:color w:val="000000" w:themeColor="text1"/>
          <w:sz w:val="20"/>
          <w:szCs w:val="20"/>
        </w:rPr>
        <w:t xml:space="preserve"> and</w:t>
      </w:r>
      <w:r w:rsidR="00113A33">
        <w:rPr>
          <w:color w:val="000000" w:themeColor="text1"/>
          <w:sz w:val="20"/>
          <w:szCs w:val="20"/>
        </w:rPr>
        <w:t xml:space="preserve"> </w:t>
      </w:r>
      <w:r w:rsidR="007637E1" w:rsidRPr="00334079">
        <w:rPr>
          <w:color w:val="000000" w:themeColor="text1"/>
          <w:sz w:val="20"/>
          <w:szCs w:val="20"/>
        </w:rPr>
        <w:t>Venezuela (Bolivarian Republic of)</w:t>
      </w:r>
      <w:r w:rsidR="007637E1" w:rsidRPr="0067399B">
        <w:rPr>
          <w:color w:val="000000" w:themeColor="text1"/>
          <w:sz w:val="20"/>
          <w:szCs w:val="20"/>
        </w:rPr>
        <w:t>.</w:t>
      </w:r>
    </w:p>
    <w:p w14:paraId="118EEF33" w14:textId="0844A608" w:rsidR="006C1D3E" w:rsidRDefault="009B6FCB" w:rsidP="00BD7F18">
      <w:pPr>
        <w:pStyle w:val="SingleTxtG"/>
        <w:rPr>
          <w:color w:val="000000" w:themeColor="text1"/>
          <w:sz w:val="20"/>
          <w:szCs w:val="20"/>
        </w:rPr>
      </w:pPr>
      <w:r>
        <w:rPr>
          <w:color w:val="000000" w:themeColor="text1"/>
          <w:sz w:val="20"/>
          <w:szCs w:val="20"/>
        </w:rPr>
        <w:t>46</w:t>
      </w:r>
      <w:r w:rsidR="006C1D3E" w:rsidRPr="00E67676">
        <w:rPr>
          <w:color w:val="000000" w:themeColor="text1"/>
          <w:sz w:val="20"/>
          <w:szCs w:val="20"/>
        </w:rPr>
        <w:t>.</w:t>
      </w:r>
      <w:r w:rsidR="006C1D3E" w:rsidRPr="00E67676">
        <w:rPr>
          <w:color w:val="000000" w:themeColor="text1"/>
          <w:sz w:val="20"/>
          <w:szCs w:val="20"/>
        </w:rPr>
        <w:tab/>
        <w:t>A</w:t>
      </w:r>
      <w:r w:rsidR="00272E5D">
        <w:rPr>
          <w:color w:val="000000" w:themeColor="text1"/>
          <w:sz w:val="20"/>
          <w:szCs w:val="20"/>
        </w:rPr>
        <w:t>lso a</w:t>
      </w:r>
      <w:r w:rsidR="006C1D3E" w:rsidRPr="00E67676">
        <w:rPr>
          <w:color w:val="000000" w:themeColor="text1"/>
          <w:sz w:val="20"/>
          <w:szCs w:val="20"/>
        </w:rPr>
        <w:t xml:space="preserve">t the same meeting, statements in exercise of a second right of reply were made by the representatives of </w:t>
      </w:r>
      <w:r w:rsidR="00E67676" w:rsidRPr="00E67676">
        <w:rPr>
          <w:color w:val="000000" w:themeColor="text1"/>
          <w:sz w:val="20"/>
          <w:szCs w:val="20"/>
        </w:rPr>
        <w:t>India and Pakistan</w:t>
      </w:r>
      <w:r w:rsidR="006C1D3E" w:rsidRPr="00E67676">
        <w:rPr>
          <w:color w:val="000000" w:themeColor="text1"/>
          <w:sz w:val="20"/>
          <w:szCs w:val="20"/>
        </w:rPr>
        <w:t>.</w:t>
      </w:r>
    </w:p>
    <w:p w14:paraId="76A51BC0" w14:textId="5A6AC371" w:rsidR="00272E5D" w:rsidRPr="00C16037" w:rsidRDefault="00272E5D" w:rsidP="00272E5D">
      <w:pPr>
        <w:pStyle w:val="H1G"/>
        <w:rPr>
          <w:color w:val="000000" w:themeColor="text1"/>
        </w:rPr>
      </w:pPr>
      <w:r>
        <w:rPr>
          <w:color w:val="000000" w:themeColor="text1"/>
        </w:rPr>
        <w:tab/>
      </w:r>
      <w:r w:rsidR="00A078AC">
        <w:rPr>
          <w:color w:val="000000" w:themeColor="text1"/>
        </w:rPr>
        <w:t>B</w:t>
      </w:r>
      <w:r w:rsidRPr="0058463C">
        <w:rPr>
          <w:color w:val="000000" w:themeColor="text1"/>
        </w:rPr>
        <w:t>.</w:t>
      </w:r>
      <w:r w:rsidRPr="0058463C">
        <w:rPr>
          <w:color w:val="000000" w:themeColor="text1"/>
        </w:rPr>
        <w:tab/>
        <w:t xml:space="preserve">Interactive dialogue on </w:t>
      </w:r>
      <w:r w:rsidR="00C36085" w:rsidRPr="0058463C">
        <w:rPr>
          <w:color w:val="000000" w:themeColor="text1"/>
        </w:rPr>
        <w:t xml:space="preserve">promoting reconciliation, accountability and human rights in </w:t>
      </w:r>
      <w:r w:rsidRPr="0058463C">
        <w:rPr>
          <w:color w:val="000000" w:themeColor="text1"/>
        </w:rPr>
        <w:t>Sri Lanka</w:t>
      </w:r>
    </w:p>
    <w:p w14:paraId="4018249E" w14:textId="7E94FB3C" w:rsidR="00272E5D" w:rsidRPr="00272E5D" w:rsidRDefault="009B6FCB" w:rsidP="00272E5D">
      <w:pPr>
        <w:pStyle w:val="SingleTxtG"/>
        <w:rPr>
          <w:color w:val="000000" w:themeColor="text1"/>
          <w:sz w:val="20"/>
          <w:szCs w:val="20"/>
        </w:rPr>
      </w:pPr>
      <w:r>
        <w:rPr>
          <w:color w:val="000000" w:themeColor="text1"/>
          <w:sz w:val="20"/>
          <w:szCs w:val="20"/>
        </w:rPr>
        <w:t>47</w:t>
      </w:r>
      <w:r w:rsidR="00272E5D" w:rsidRPr="00113DE2">
        <w:rPr>
          <w:color w:val="000000" w:themeColor="text1"/>
          <w:sz w:val="20"/>
          <w:szCs w:val="20"/>
        </w:rPr>
        <w:t>.</w:t>
      </w:r>
      <w:r w:rsidR="00272E5D" w:rsidRPr="00113DE2">
        <w:rPr>
          <w:color w:val="000000" w:themeColor="text1"/>
          <w:sz w:val="20"/>
          <w:szCs w:val="20"/>
        </w:rPr>
        <w:tab/>
        <w:t xml:space="preserve">At the </w:t>
      </w:r>
      <w:r w:rsidR="00272E5D" w:rsidRPr="00D65B7B">
        <w:rPr>
          <w:color w:val="000000" w:themeColor="text1"/>
          <w:sz w:val="20"/>
          <w:szCs w:val="20"/>
        </w:rPr>
        <w:t>4</w:t>
      </w:r>
      <w:r w:rsidR="00D65B7B" w:rsidRPr="00D65B7B">
        <w:rPr>
          <w:color w:val="000000" w:themeColor="text1"/>
          <w:sz w:val="20"/>
          <w:szCs w:val="20"/>
        </w:rPr>
        <w:t>7</w:t>
      </w:r>
      <w:r w:rsidR="00272E5D" w:rsidRPr="00D65B7B">
        <w:rPr>
          <w:color w:val="000000" w:themeColor="text1"/>
          <w:sz w:val="20"/>
          <w:szCs w:val="20"/>
        </w:rPr>
        <w:t xml:space="preserve">th meeting, on </w:t>
      </w:r>
      <w:r w:rsidR="00D65B7B" w:rsidRPr="00D65B7B">
        <w:rPr>
          <w:color w:val="000000" w:themeColor="text1"/>
          <w:sz w:val="20"/>
          <w:szCs w:val="20"/>
        </w:rPr>
        <w:t>20</w:t>
      </w:r>
      <w:r w:rsidR="00272E5D" w:rsidRPr="00D65B7B">
        <w:rPr>
          <w:color w:val="000000" w:themeColor="text1"/>
          <w:sz w:val="20"/>
          <w:szCs w:val="20"/>
        </w:rPr>
        <w:t xml:space="preserve"> March 2019</w:t>
      </w:r>
      <w:r w:rsidR="00272E5D" w:rsidRPr="00113DE2">
        <w:rPr>
          <w:color w:val="000000" w:themeColor="text1"/>
          <w:sz w:val="20"/>
          <w:szCs w:val="20"/>
        </w:rPr>
        <w:t xml:space="preserve">, </w:t>
      </w:r>
      <w:r w:rsidR="00272E5D" w:rsidRPr="00D65B7B">
        <w:rPr>
          <w:color w:val="000000" w:themeColor="text1"/>
          <w:sz w:val="20"/>
          <w:szCs w:val="20"/>
        </w:rPr>
        <w:t xml:space="preserve">pursuant to Human Rights Council resolution </w:t>
      </w:r>
      <w:r w:rsidR="00272E5D" w:rsidRPr="00C36085">
        <w:rPr>
          <w:color w:val="000000" w:themeColor="text1"/>
          <w:sz w:val="20"/>
          <w:szCs w:val="20"/>
        </w:rPr>
        <w:t>3</w:t>
      </w:r>
      <w:r w:rsidR="00C36085" w:rsidRPr="00C36085">
        <w:rPr>
          <w:color w:val="000000" w:themeColor="text1"/>
          <w:sz w:val="20"/>
          <w:szCs w:val="20"/>
        </w:rPr>
        <w:t>4</w:t>
      </w:r>
      <w:r w:rsidR="00272E5D" w:rsidRPr="00C36085">
        <w:rPr>
          <w:color w:val="000000" w:themeColor="text1"/>
          <w:sz w:val="20"/>
          <w:szCs w:val="20"/>
        </w:rPr>
        <w:t>/1,</w:t>
      </w:r>
      <w:r w:rsidR="00272E5D" w:rsidRPr="00113DE2">
        <w:rPr>
          <w:color w:val="000000" w:themeColor="text1"/>
          <w:sz w:val="20"/>
          <w:szCs w:val="20"/>
        </w:rPr>
        <w:t xml:space="preserve"> the </w:t>
      </w:r>
      <w:r w:rsidR="00272E5D" w:rsidRPr="00D65B7B">
        <w:rPr>
          <w:color w:val="000000" w:themeColor="text1"/>
          <w:sz w:val="20"/>
          <w:szCs w:val="20"/>
        </w:rPr>
        <w:t>High Commissioner for Human Rights</w:t>
      </w:r>
      <w:r w:rsidR="00272E5D" w:rsidRPr="00113DE2">
        <w:rPr>
          <w:color w:val="000000" w:themeColor="text1"/>
          <w:sz w:val="20"/>
          <w:szCs w:val="20"/>
        </w:rPr>
        <w:t xml:space="preserve"> </w:t>
      </w:r>
      <w:r w:rsidR="00C36085">
        <w:rPr>
          <w:color w:val="000000" w:themeColor="text1"/>
          <w:sz w:val="20"/>
          <w:szCs w:val="20"/>
        </w:rPr>
        <w:t xml:space="preserve">presented the report of </w:t>
      </w:r>
      <w:r w:rsidR="00C36085" w:rsidRPr="00C36085">
        <w:rPr>
          <w:color w:val="000000" w:themeColor="text1"/>
          <w:sz w:val="20"/>
          <w:szCs w:val="20"/>
        </w:rPr>
        <w:t>the Office of the United Nations High Commissioner</w:t>
      </w:r>
      <w:r w:rsidR="00C36085">
        <w:rPr>
          <w:color w:val="000000" w:themeColor="text1"/>
          <w:sz w:val="20"/>
          <w:szCs w:val="20"/>
        </w:rPr>
        <w:t xml:space="preserve"> </w:t>
      </w:r>
      <w:r w:rsidR="00C36085" w:rsidRPr="00C36085">
        <w:rPr>
          <w:color w:val="000000" w:themeColor="text1"/>
          <w:sz w:val="20"/>
          <w:szCs w:val="20"/>
        </w:rPr>
        <w:t>for Human Rig</w:t>
      </w:r>
      <w:r w:rsidR="00C36085">
        <w:rPr>
          <w:color w:val="000000" w:themeColor="text1"/>
          <w:sz w:val="20"/>
          <w:szCs w:val="20"/>
        </w:rPr>
        <w:t>hts on p</w:t>
      </w:r>
      <w:r w:rsidR="00272E5D" w:rsidRPr="00272E5D">
        <w:rPr>
          <w:color w:val="000000" w:themeColor="text1"/>
          <w:sz w:val="20"/>
          <w:szCs w:val="20"/>
        </w:rPr>
        <w:t>romoting reconciliation, accountability and human rights in Sri Lanka</w:t>
      </w:r>
      <w:r w:rsidR="00C36085">
        <w:rPr>
          <w:color w:val="000000" w:themeColor="text1"/>
          <w:sz w:val="20"/>
          <w:szCs w:val="20"/>
        </w:rPr>
        <w:t xml:space="preserve"> </w:t>
      </w:r>
      <w:r w:rsidR="00C36085" w:rsidRPr="00272E5D">
        <w:rPr>
          <w:color w:val="000000" w:themeColor="text1"/>
          <w:sz w:val="20"/>
          <w:szCs w:val="20"/>
        </w:rPr>
        <w:t>(A/HRC/40/23), followed by a discussion on the implementation of Council resolution 30/1.</w:t>
      </w:r>
    </w:p>
    <w:p w14:paraId="5A982F91" w14:textId="337AAA47" w:rsidR="00272E5D" w:rsidRPr="00113DE2" w:rsidRDefault="009B6FCB" w:rsidP="00272E5D">
      <w:pPr>
        <w:pStyle w:val="SingleTxtG"/>
        <w:rPr>
          <w:color w:val="000000" w:themeColor="text1"/>
          <w:sz w:val="20"/>
          <w:szCs w:val="20"/>
        </w:rPr>
      </w:pPr>
      <w:r>
        <w:rPr>
          <w:color w:val="000000" w:themeColor="text1"/>
          <w:sz w:val="20"/>
          <w:szCs w:val="20"/>
        </w:rPr>
        <w:t>48</w:t>
      </w:r>
      <w:r w:rsidR="00272E5D" w:rsidRPr="00113DE2">
        <w:rPr>
          <w:color w:val="000000" w:themeColor="text1"/>
          <w:sz w:val="20"/>
          <w:szCs w:val="20"/>
        </w:rPr>
        <w:t>.</w:t>
      </w:r>
      <w:r w:rsidR="00272E5D" w:rsidRPr="00113DE2">
        <w:rPr>
          <w:color w:val="000000" w:themeColor="text1"/>
          <w:sz w:val="20"/>
          <w:szCs w:val="20"/>
        </w:rPr>
        <w:tab/>
        <w:t xml:space="preserve">At the same meeting, the representative of </w:t>
      </w:r>
      <w:r w:rsidR="00C36085" w:rsidRPr="00261D42">
        <w:rPr>
          <w:color w:val="000000" w:themeColor="text1"/>
          <w:sz w:val="20"/>
          <w:szCs w:val="20"/>
        </w:rPr>
        <w:t>Sri Lanka</w:t>
      </w:r>
      <w:r w:rsidR="00272E5D" w:rsidRPr="00113DE2">
        <w:rPr>
          <w:color w:val="000000" w:themeColor="text1"/>
          <w:sz w:val="20"/>
          <w:szCs w:val="20"/>
        </w:rPr>
        <w:t xml:space="preserve"> made a statement as the State concerned.</w:t>
      </w:r>
    </w:p>
    <w:p w14:paraId="1B65B155" w14:textId="463EA263" w:rsidR="00272E5D" w:rsidRPr="00113DE2" w:rsidRDefault="009B6FCB" w:rsidP="00272E5D">
      <w:pPr>
        <w:pStyle w:val="SingleTxtG"/>
        <w:rPr>
          <w:color w:val="000000" w:themeColor="text1"/>
          <w:sz w:val="20"/>
          <w:szCs w:val="20"/>
        </w:rPr>
      </w:pPr>
      <w:r>
        <w:rPr>
          <w:color w:val="000000" w:themeColor="text1"/>
          <w:sz w:val="20"/>
          <w:szCs w:val="20"/>
        </w:rPr>
        <w:t>49</w:t>
      </w:r>
      <w:r w:rsidR="00272E5D" w:rsidRPr="00113DE2">
        <w:rPr>
          <w:color w:val="000000" w:themeColor="text1"/>
          <w:sz w:val="20"/>
          <w:szCs w:val="20"/>
        </w:rPr>
        <w:t>.</w:t>
      </w:r>
      <w:r w:rsidR="00272E5D" w:rsidRPr="00113DE2">
        <w:rPr>
          <w:color w:val="000000" w:themeColor="text1"/>
          <w:sz w:val="20"/>
          <w:szCs w:val="20"/>
        </w:rPr>
        <w:tab/>
        <w:t xml:space="preserve">During the ensuing interactive dialogue, at the same meeting, on the same day, the following made statements and asked the </w:t>
      </w:r>
      <w:r w:rsidR="00272E5D" w:rsidRPr="00D65B7B">
        <w:rPr>
          <w:color w:val="000000" w:themeColor="text1"/>
          <w:sz w:val="20"/>
          <w:szCs w:val="20"/>
        </w:rPr>
        <w:t>High Commissioner</w:t>
      </w:r>
      <w:r w:rsidR="00272E5D" w:rsidRPr="00113DE2">
        <w:rPr>
          <w:color w:val="000000" w:themeColor="text1"/>
          <w:sz w:val="20"/>
          <w:szCs w:val="20"/>
        </w:rPr>
        <w:t xml:space="preserve"> questions:</w:t>
      </w:r>
    </w:p>
    <w:p w14:paraId="2750D3AF" w14:textId="5C7230B6" w:rsidR="00272E5D" w:rsidRPr="00113DE2" w:rsidRDefault="00272E5D" w:rsidP="00272E5D">
      <w:pPr>
        <w:pStyle w:val="SingleTxtG"/>
        <w:ind w:firstLine="567"/>
        <w:rPr>
          <w:color w:val="000000" w:themeColor="text1"/>
          <w:sz w:val="20"/>
          <w:szCs w:val="20"/>
        </w:rPr>
      </w:pPr>
      <w:r w:rsidRPr="00113DE2">
        <w:rPr>
          <w:color w:val="000000" w:themeColor="text1"/>
          <w:sz w:val="20"/>
          <w:szCs w:val="20"/>
        </w:rPr>
        <w:lastRenderedPageBreak/>
        <w:t>(a)</w:t>
      </w:r>
      <w:r w:rsidRPr="00113DE2">
        <w:rPr>
          <w:color w:val="000000" w:themeColor="text1"/>
          <w:sz w:val="20"/>
          <w:szCs w:val="20"/>
        </w:rPr>
        <w:tab/>
        <w:t xml:space="preserve">Representatives of </w:t>
      </w:r>
      <w:r>
        <w:rPr>
          <w:color w:val="000000" w:themeColor="text1"/>
          <w:sz w:val="20"/>
          <w:szCs w:val="20"/>
        </w:rPr>
        <w:t>States Members</w:t>
      </w:r>
      <w:r w:rsidRPr="00113DE2">
        <w:rPr>
          <w:color w:val="000000" w:themeColor="text1"/>
          <w:sz w:val="20"/>
          <w:szCs w:val="20"/>
        </w:rPr>
        <w:t xml:space="preserve"> of the Human Rights Council: </w:t>
      </w:r>
      <w:r w:rsidR="00EE217A" w:rsidRPr="00EE217A">
        <w:rPr>
          <w:color w:val="000000" w:themeColor="text1"/>
          <w:sz w:val="20"/>
          <w:szCs w:val="20"/>
        </w:rPr>
        <w:t>Australia</w:t>
      </w:r>
      <w:r w:rsidR="00EE217A">
        <w:rPr>
          <w:color w:val="000000" w:themeColor="text1"/>
          <w:sz w:val="20"/>
          <w:szCs w:val="20"/>
        </w:rPr>
        <w:t xml:space="preserve">, </w:t>
      </w:r>
      <w:r w:rsidR="00EE217A" w:rsidRPr="00EE217A">
        <w:rPr>
          <w:color w:val="000000" w:themeColor="text1"/>
          <w:sz w:val="20"/>
          <w:szCs w:val="20"/>
        </w:rPr>
        <w:t>Austria</w:t>
      </w:r>
      <w:r w:rsidR="00EE217A">
        <w:rPr>
          <w:color w:val="000000" w:themeColor="text1"/>
          <w:sz w:val="20"/>
          <w:szCs w:val="20"/>
        </w:rPr>
        <w:t>,</w:t>
      </w:r>
      <w:r w:rsidR="00EE217A" w:rsidRPr="00EE217A">
        <w:rPr>
          <w:color w:val="000000" w:themeColor="text1"/>
          <w:sz w:val="20"/>
          <w:szCs w:val="20"/>
        </w:rPr>
        <w:t xml:space="preserve"> China</w:t>
      </w:r>
      <w:r w:rsidR="00EE217A">
        <w:rPr>
          <w:color w:val="000000" w:themeColor="text1"/>
          <w:sz w:val="20"/>
          <w:szCs w:val="20"/>
        </w:rPr>
        <w:t xml:space="preserve">, Croatia, </w:t>
      </w:r>
      <w:r w:rsidR="00EE217A" w:rsidRPr="00EE217A">
        <w:rPr>
          <w:color w:val="000000" w:themeColor="text1"/>
          <w:sz w:val="20"/>
          <w:szCs w:val="20"/>
        </w:rPr>
        <w:t>Denmark</w:t>
      </w:r>
      <w:r w:rsidR="00EE217A">
        <w:rPr>
          <w:color w:val="000000" w:themeColor="text1"/>
          <w:sz w:val="20"/>
          <w:szCs w:val="20"/>
        </w:rPr>
        <w:t xml:space="preserve">, </w:t>
      </w:r>
      <w:r w:rsidR="00EE217A" w:rsidRPr="00EE217A">
        <w:rPr>
          <w:color w:val="000000" w:themeColor="text1"/>
          <w:sz w:val="20"/>
          <w:szCs w:val="20"/>
        </w:rPr>
        <w:t>Iceland</w:t>
      </w:r>
      <w:r w:rsidR="00EE217A">
        <w:rPr>
          <w:color w:val="000000" w:themeColor="text1"/>
          <w:sz w:val="20"/>
          <w:szCs w:val="20"/>
        </w:rPr>
        <w:t xml:space="preserve">, </w:t>
      </w:r>
      <w:r w:rsidR="00EE217A" w:rsidRPr="00EE217A">
        <w:rPr>
          <w:color w:val="000000" w:themeColor="text1"/>
          <w:sz w:val="20"/>
          <w:szCs w:val="20"/>
        </w:rPr>
        <w:t>India</w:t>
      </w:r>
      <w:r w:rsidR="00EE217A">
        <w:rPr>
          <w:color w:val="000000" w:themeColor="text1"/>
          <w:sz w:val="20"/>
          <w:szCs w:val="20"/>
        </w:rPr>
        <w:t xml:space="preserve">, </w:t>
      </w:r>
      <w:r w:rsidR="00EE217A" w:rsidRPr="00EE217A">
        <w:rPr>
          <w:color w:val="000000" w:themeColor="text1"/>
          <w:sz w:val="20"/>
          <w:szCs w:val="20"/>
        </w:rPr>
        <w:t>Pakistan</w:t>
      </w:r>
      <w:r w:rsidR="00EE217A">
        <w:rPr>
          <w:color w:val="000000" w:themeColor="text1"/>
          <w:sz w:val="20"/>
          <w:szCs w:val="20"/>
        </w:rPr>
        <w:t xml:space="preserve">, </w:t>
      </w:r>
      <w:r w:rsidR="00EE217A" w:rsidRPr="00EE217A">
        <w:rPr>
          <w:color w:val="000000" w:themeColor="text1"/>
          <w:sz w:val="20"/>
          <w:szCs w:val="20"/>
        </w:rPr>
        <w:t>United Kingdom of Great Britain and Northern Ireland</w:t>
      </w:r>
      <w:r w:rsidRPr="00113DE2">
        <w:rPr>
          <w:color w:val="000000" w:themeColor="text1"/>
          <w:sz w:val="20"/>
          <w:szCs w:val="20"/>
        </w:rPr>
        <w:t>;</w:t>
      </w:r>
    </w:p>
    <w:p w14:paraId="62D5B731" w14:textId="70FEB126" w:rsidR="00272E5D" w:rsidRDefault="00272E5D" w:rsidP="00272E5D">
      <w:pPr>
        <w:pStyle w:val="SingleTxtG"/>
        <w:ind w:firstLine="567"/>
        <w:rPr>
          <w:color w:val="000000" w:themeColor="text1"/>
          <w:sz w:val="20"/>
          <w:szCs w:val="20"/>
        </w:rPr>
      </w:pPr>
      <w:r w:rsidRPr="00113DE2">
        <w:rPr>
          <w:color w:val="000000" w:themeColor="text1"/>
          <w:sz w:val="20"/>
          <w:szCs w:val="20"/>
        </w:rPr>
        <w:t>(b)</w:t>
      </w:r>
      <w:r w:rsidRPr="00113DE2">
        <w:rPr>
          <w:color w:val="000000" w:themeColor="text1"/>
          <w:sz w:val="20"/>
          <w:szCs w:val="20"/>
        </w:rPr>
        <w:tab/>
        <w:t xml:space="preserve">Representatives of observer States: </w:t>
      </w:r>
      <w:r w:rsidR="00EE217A" w:rsidRPr="00EE217A">
        <w:rPr>
          <w:color w:val="000000" w:themeColor="text1"/>
          <w:sz w:val="20"/>
          <w:szCs w:val="20"/>
        </w:rPr>
        <w:t>Belgium</w:t>
      </w:r>
      <w:r w:rsidR="00EE217A">
        <w:rPr>
          <w:color w:val="000000" w:themeColor="text1"/>
          <w:sz w:val="20"/>
          <w:szCs w:val="20"/>
        </w:rPr>
        <w:t xml:space="preserve">, </w:t>
      </w:r>
      <w:r w:rsidR="00EE217A" w:rsidRPr="00EE217A">
        <w:rPr>
          <w:color w:val="000000" w:themeColor="text1"/>
          <w:sz w:val="20"/>
          <w:szCs w:val="20"/>
        </w:rPr>
        <w:t>Canada</w:t>
      </w:r>
      <w:r w:rsidR="00EE217A">
        <w:rPr>
          <w:color w:val="000000" w:themeColor="text1"/>
          <w:sz w:val="20"/>
          <w:szCs w:val="20"/>
        </w:rPr>
        <w:t xml:space="preserve">, </w:t>
      </w:r>
      <w:r w:rsidR="00EE217A" w:rsidRPr="00EE217A">
        <w:rPr>
          <w:color w:val="000000" w:themeColor="text1"/>
          <w:sz w:val="20"/>
          <w:szCs w:val="20"/>
        </w:rPr>
        <w:t>Germany</w:t>
      </w:r>
      <w:r w:rsidR="00EE217A">
        <w:rPr>
          <w:color w:val="000000" w:themeColor="text1"/>
          <w:sz w:val="20"/>
          <w:szCs w:val="20"/>
        </w:rPr>
        <w:t xml:space="preserve">, </w:t>
      </w:r>
      <w:r w:rsidR="00EE217A" w:rsidRPr="00EE217A">
        <w:rPr>
          <w:color w:val="000000" w:themeColor="text1"/>
          <w:sz w:val="20"/>
          <w:szCs w:val="20"/>
        </w:rPr>
        <w:t>Ireland</w:t>
      </w:r>
      <w:r w:rsidR="00EE217A">
        <w:rPr>
          <w:color w:val="000000" w:themeColor="text1"/>
          <w:sz w:val="20"/>
          <w:szCs w:val="20"/>
        </w:rPr>
        <w:t xml:space="preserve">, </w:t>
      </w:r>
      <w:r w:rsidR="00EE217A" w:rsidRPr="00EE217A">
        <w:rPr>
          <w:color w:val="000000" w:themeColor="text1"/>
          <w:sz w:val="20"/>
          <w:szCs w:val="20"/>
        </w:rPr>
        <w:t>Liechtenstein</w:t>
      </w:r>
      <w:r w:rsidR="00EE217A">
        <w:rPr>
          <w:color w:val="000000" w:themeColor="text1"/>
          <w:sz w:val="20"/>
          <w:szCs w:val="20"/>
        </w:rPr>
        <w:t xml:space="preserve">, </w:t>
      </w:r>
      <w:r w:rsidR="00EE217A" w:rsidRPr="00EE217A">
        <w:rPr>
          <w:color w:val="000000" w:themeColor="text1"/>
          <w:sz w:val="20"/>
          <w:szCs w:val="20"/>
        </w:rPr>
        <w:t>Montenegro</w:t>
      </w:r>
      <w:r w:rsidR="00EE217A">
        <w:rPr>
          <w:color w:val="000000" w:themeColor="text1"/>
          <w:sz w:val="20"/>
          <w:szCs w:val="20"/>
        </w:rPr>
        <w:t xml:space="preserve">, North Macedonia, </w:t>
      </w:r>
      <w:r w:rsidR="00EE217A" w:rsidRPr="00EE217A">
        <w:rPr>
          <w:color w:val="000000" w:themeColor="text1"/>
          <w:sz w:val="20"/>
          <w:szCs w:val="20"/>
        </w:rPr>
        <w:t>Norway</w:t>
      </w:r>
      <w:r w:rsidR="00EE217A">
        <w:rPr>
          <w:color w:val="000000" w:themeColor="text1"/>
          <w:sz w:val="20"/>
          <w:szCs w:val="20"/>
        </w:rPr>
        <w:t xml:space="preserve">, </w:t>
      </w:r>
      <w:r w:rsidR="00EE217A" w:rsidRPr="00EE217A">
        <w:rPr>
          <w:color w:val="000000" w:themeColor="text1"/>
          <w:sz w:val="20"/>
          <w:szCs w:val="20"/>
        </w:rPr>
        <w:t>Switzerland</w:t>
      </w:r>
      <w:r w:rsidRPr="00113DE2">
        <w:rPr>
          <w:color w:val="000000" w:themeColor="text1"/>
          <w:sz w:val="20"/>
          <w:szCs w:val="20"/>
        </w:rPr>
        <w:t>;</w:t>
      </w:r>
    </w:p>
    <w:p w14:paraId="34C33B18" w14:textId="625AB99B" w:rsidR="0089552D" w:rsidRDefault="00272E5D" w:rsidP="0089552D">
      <w:pPr>
        <w:pStyle w:val="SingleTxtG"/>
        <w:ind w:firstLine="567"/>
        <w:rPr>
          <w:color w:val="000000" w:themeColor="text1"/>
          <w:sz w:val="20"/>
          <w:szCs w:val="20"/>
        </w:rPr>
      </w:pPr>
      <w:r w:rsidRPr="00113DE2">
        <w:rPr>
          <w:color w:val="000000" w:themeColor="text1"/>
          <w:sz w:val="20"/>
          <w:szCs w:val="20"/>
        </w:rPr>
        <w:t>(</w:t>
      </w:r>
      <w:r w:rsidR="0089552D">
        <w:rPr>
          <w:color w:val="000000" w:themeColor="text1"/>
          <w:sz w:val="20"/>
          <w:szCs w:val="20"/>
        </w:rPr>
        <w:t>c</w:t>
      </w:r>
      <w:r w:rsidRPr="00113DE2">
        <w:rPr>
          <w:color w:val="000000" w:themeColor="text1"/>
          <w:sz w:val="20"/>
          <w:szCs w:val="20"/>
        </w:rPr>
        <w:t>)</w:t>
      </w:r>
      <w:r w:rsidRPr="00113DE2">
        <w:rPr>
          <w:color w:val="000000" w:themeColor="text1"/>
          <w:sz w:val="20"/>
          <w:szCs w:val="20"/>
        </w:rPr>
        <w:tab/>
        <w:t xml:space="preserve">Observer for </w:t>
      </w:r>
      <w:r w:rsidR="00EE217A">
        <w:rPr>
          <w:color w:val="000000" w:themeColor="text1"/>
          <w:sz w:val="20"/>
          <w:szCs w:val="20"/>
        </w:rPr>
        <w:t xml:space="preserve">an </w:t>
      </w:r>
      <w:r w:rsidRPr="00113DE2">
        <w:rPr>
          <w:color w:val="000000" w:themeColor="text1"/>
          <w:sz w:val="20"/>
          <w:szCs w:val="20"/>
        </w:rPr>
        <w:t>intergovernmental organization: European Union;</w:t>
      </w:r>
      <w:r w:rsidR="0089552D" w:rsidRPr="0089552D">
        <w:rPr>
          <w:color w:val="000000" w:themeColor="text1"/>
          <w:sz w:val="20"/>
          <w:szCs w:val="20"/>
        </w:rPr>
        <w:t xml:space="preserve"> </w:t>
      </w:r>
    </w:p>
    <w:p w14:paraId="3BE1ABBE" w14:textId="72161D48" w:rsidR="00272E5D" w:rsidRPr="00113DE2" w:rsidRDefault="0089552D" w:rsidP="00272E5D">
      <w:pPr>
        <w:pStyle w:val="SingleTxtG"/>
        <w:ind w:firstLine="567"/>
        <w:rPr>
          <w:color w:val="000000" w:themeColor="text1"/>
          <w:sz w:val="20"/>
          <w:szCs w:val="20"/>
        </w:rPr>
      </w:pPr>
      <w:r w:rsidRPr="0067399B">
        <w:rPr>
          <w:color w:val="000000" w:themeColor="text1"/>
          <w:sz w:val="20"/>
          <w:szCs w:val="20"/>
        </w:rPr>
        <w:t>(</w:t>
      </w:r>
      <w:r>
        <w:rPr>
          <w:color w:val="000000" w:themeColor="text1"/>
          <w:sz w:val="20"/>
          <w:szCs w:val="20"/>
        </w:rPr>
        <w:t>d</w:t>
      </w:r>
      <w:r w:rsidRPr="0067399B">
        <w:rPr>
          <w:color w:val="000000" w:themeColor="text1"/>
          <w:sz w:val="20"/>
          <w:szCs w:val="20"/>
        </w:rPr>
        <w:t>)</w:t>
      </w:r>
      <w:r w:rsidRPr="0067399B">
        <w:rPr>
          <w:color w:val="000000" w:themeColor="text1"/>
          <w:sz w:val="20"/>
          <w:szCs w:val="20"/>
        </w:rPr>
        <w:tab/>
        <w:t xml:space="preserve">Observer for a national human rights institution: </w:t>
      </w:r>
      <w:r w:rsidRPr="0089552D">
        <w:rPr>
          <w:color w:val="000000" w:themeColor="text1"/>
          <w:sz w:val="20"/>
          <w:szCs w:val="20"/>
        </w:rPr>
        <w:t>Human Rights Commission of Sri Lanka</w:t>
      </w:r>
      <w:r>
        <w:rPr>
          <w:color w:val="000000" w:themeColor="text1"/>
          <w:sz w:val="20"/>
          <w:szCs w:val="20"/>
        </w:rPr>
        <w:t xml:space="preserve"> </w:t>
      </w:r>
      <w:r w:rsidRPr="008679CD">
        <w:rPr>
          <w:color w:val="000000" w:themeColor="text1"/>
          <w:sz w:val="20"/>
          <w:szCs w:val="20"/>
        </w:rPr>
        <w:t>(by video message)</w:t>
      </w:r>
      <w:r w:rsidRPr="0067399B">
        <w:rPr>
          <w:color w:val="000000" w:themeColor="text1"/>
          <w:sz w:val="20"/>
          <w:szCs w:val="20"/>
        </w:rPr>
        <w:t xml:space="preserve">; </w:t>
      </w:r>
    </w:p>
    <w:p w14:paraId="5B8662CD" w14:textId="044D7CA7" w:rsidR="00272E5D" w:rsidRPr="00113DE2" w:rsidRDefault="00272E5D" w:rsidP="00272E5D">
      <w:pPr>
        <w:pStyle w:val="SingleTxtG"/>
        <w:ind w:firstLine="567"/>
        <w:rPr>
          <w:color w:val="000000" w:themeColor="text1"/>
          <w:sz w:val="20"/>
          <w:szCs w:val="20"/>
        </w:rPr>
      </w:pPr>
      <w:r w:rsidRPr="00113DE2">
        <w:rPr>
          <w:color w:val="000000" w:themeColor="text1"/>
          <w:sz w:val="20"/>
          <w:szCs w:val="20"/>
        </w:rPr>
        <w:t>(</w:t>
      </w:r>
      <w:r w:rsidR="0089552D">
        <w:rPr>
          <w:color w:val="000000" w:themeColor="text1"/>
          <w:sz w:val="20"/>
          <w:szCs w:val="20"/>
        </w:rPr>
        <w:t>e</w:t>
      </w:r>
      <w:r w:rsidRPr="00113DE2">
        <w:rPr>
          <w:color w:val="000000" w:themeColor="text1"/>
          <w:sz w:val="20"/>
          <w:szCs w:val="20"/>
        </w:rPr>
        <w:t>)</w:t>
      </w:r>
      <w:r w:rsidRPr="00113DE2">
        <w:rPr>
          <w:color w:val="000000" w:themeColor="text1"/>
          <w:sz w:val="20"/>
          <w:szCs w:val="20"/>
        </w:rPr>
        <w:tab/>
        <w:t xml:space="preserve">Observers for non-governmental organizations: </w:t>
      </w:r>
      <w:r w:rsidR="00B335E3" w:rsidRPr="00B335E3">
        <w:rPr>
          <w:color w:val="000000" w:themeColor="text1"/>
          <w:sz w:val="20"/>
          <w:szCs w:val="20"/>
        </w:rPr>
        <w:t>Amnesty International</w:t>
      </w:r>
      <w:r w:rsidR="00B335E3">
        <w:rPr>
          <w:color w:val="000000" w:themeColor="text1"/>
          <w:sz w:val="20"/>
          <w:szCs w:val="20"/>
        </w:rPr>
        <w:t xml:space="preserve">; </w:t>
      </w:r>
      <w:r w:rsidR="00B335E3" w:rsidRPr="00B335E3">
        <w:rPr>
          <w:color w:val="000000" w:themeColor="text1"/>
          <w:sz w:val="20"/>
          <w:szCs w:val="20"/>
        </w:rPr>
        <w:t>Asian Forum for Human Rights and Development</w:t>
      </w:r>
      <w:r w:rsidR="00B335E3">
        <w:rPr>
          <w:color w:val="000000" w:themeColor="text1"/>
          <w:sz w:val="20"/>
          <w:szCs w:val="20"/>
        </w:rPr>
        <w:t xml:space="preserve">; </w:t>
      </w:r>
      <w:r w:rsidR="00B335E3" w:rsidRPr="00B335E3">
        <w:rPr>
          <w:color w:val="000000" w:themeColor="text1"/>
          <w:sz w:val="20"/>
          <w:szCs w:val="20"/>
        </w:rPr>
        <w:t>Association Bharathi Centre Culturel Franco-Tamoul</w:t>
      </w:r>
      <w:r w:rsidR="00B335E3">
        <w:rPr>
          <w:color w:val="000000" w:themeColor="text1"/>
          <w:sz w:val="20"/>
          <w:szCs w:val="20"/>
        </w:rPr>
        <w:t xml:space="preserve">; </w:t>
      </w:r>
      <w:r w:rsidR="00B335E3" w:rsidRPr="00B335E3">
        <w:rPr>
          <w:color w:val="000000" w:themeColor="text1"/>
          <w:sz w:val="20"/>
          <w:szCs w:val="20"/>
        </w:rPr>
        <w:t>Human Rights Watch</w:t>
      </w:r>
      <w:r w:rsidR="00B335E3">
        <w:rPr>
          <w:color w:val="000000" w:themeColor="text1"/>
          <w:sz w:val="20"/>
          <w:szCs w:val="20"/>
        </w:rPr>
        <w:t xml:space="preserve">; </w:t>
      </w:r>
      <w:r w:rsidR="00B335E3" w:rsidRPr="00B335E3">
        <w:rPr>
          <w:color w:val="000000" w:themeColor="text1"/>
          <w:sz w:val="20"/>
          <w:szCs w:val="20"/>
        </w:rPr>
        <w:t>International Commission of Jurists</w:t>
      </w:r>
      <w:r w:rsidR="00B335E3">
        <w:rPr>
          <w:color w:val="000000" w:themeColor="text1"/>
          <w:sz w:val="20"/>
          <w:szCs w:val="20"/>
        </w:rPr>
        <w:t xml:space="preserve">; </w:t>
      </w:r>
      <w:r w:rsidR="00B335E3" w:rsidRPr="00B335E3">
        <w:rPr>
          <w:color w:val="000000" w:themeColor="text1"/>
          <w:sz w:val="20"/>
          <w:szCs w:val="20"/>
        </w:rPr>
        <w:t>International Movement against All Forms of Discrimination and Racism (IMADR)</w:t>
      </w:r>
      <w:r w:rsidR="00B335E3">
        <w:rPr>
          <w:color w:val="000000" w:themeColor="text1"/>
          <w:sz w:val="20"/>
          <w:szCs w:val="20"/>
        </w:rPr>
        <w:t xml:space="preserve">; </w:t>
      </w:r>
      <w:r w:rsidR="00B335E3" w:rsidRPr="00B335E3">
        <w:rPr>
          <w:color w:val="000000" w:themeColor="text1"/>
          <w:sz w:val="20"/>
          <w:szCs w:val="20"/>
        </w:rPr>
        <w:t>Lawyers</w:t>
      </w:r>
      <w:r w:rsidR="00D72627">
        <w:rPr>
          <w:color w:val="000000" w:themeColor="text1"/>
          <w:sz w:val="20"/>
          <w:szCs w:val="20"/>
        </w:rPr>
        <w:t>’</w:t>
      </w:r>
      <w:r w:rsidR="00B335E3" w:rsidRPr="00B335E3">
        <w:rPr>
          <w:color w:val="000000" w:themeColor="text1"/>
          <w:sz w:val="20"/>
          <w:szCs w:val="20"/>
        </w:rPr>
        <w:t xml:space="preserve"> Rights Watch Canada</w:t>
      </w:r>
      <w:r w:rsidR="00B335E3">
        <w:rPr>
          <w:color w:val="000000" w:themeColor="text1"/>
          <w:sz w:val="20"/>
          <w:szCs w:val="20"/>
        </w:rPr>
        <w:t xml:space="preserve">; </w:t>
      </w:r>
      <w:r w:rsidR="00B335E3" w:rsidRPr="00B335E3">
        <w:rPr>
          <w:color w:val="000000" w:themeColor="text1"/>
          <w:sz w:val="20"/>
          <w:szCs w:val="20"/>
        </w:rPr>
        <w:t>World Evangelical Alliance</w:t>
      </w:r>
      <w:r w:rsidR="00B335E3">
        <w:rPr>
          <w:color w:val="000000" w:themeColor="text1"/>
          <w:sz w:val="20"/>
          <w:szCs w:val="20"/>
        </w:rPr>
        <w:t xml:space="preserve"> (also on behalf of Christian Solidarity Worldwide)</w:t>
      </w:r>
      <w:r w:rsidRPr="00113DE2">
        <w:rPr>
          <w:color w:val="000000" w:themeColor="text1"/>
          <w:sz w:val="20"/>
          <w:szCs w:val="20"/>
        </w:rPr>
        <w:t>.</w:t>
      </w:r>
    </w:p>
    <w:p w14:paraId="6E28EA08" w14:textId="0A4D0B74" w:rsidR="00272E5D" w:rsidRPr="0067399B" w:rsidRDefault="009B6FCB" w:rsidP="00BD7F18">
      <w:pPr>
        <w:pStyle w:val="SingleTxtG"/>
        <w:rPr>
          <w:color w:val="000000" w:themeColor="text1"/>
          <w:sz w:val="20"/>
          <w:szCs w:val="20"/>
        </w:rPr>
      </w:pPr>
      <w:r>
        <w:rPr>
          <w:color w:val="000000" w:themeColor="text1"/>
          <w:sz w:val="20"/>
          <w:szCs w:val="20"/>
        </w:rPr>
        <w:t>50</w:t>
      </w:r>
      <w:r w:rsidR="00272E5D" w:rsidRPr="00113DE2">
        <w:rPr>
          <w:color w:val="000000" w:themeColor="text1"/>
          <w:sz w:val="20"/>
          <w:szCs w:val="20"/>
        </w:rPr>
        <w:t>.</w:t>
      </w:r>
      <w:r w:rsidR="00272E5D" w:rsidRPr="00113DE2">
        <w:rPr>
          <w:color w:val="000000" w:themeColor="text1"/>
          <w:sz w:val="20"/>
          <w:szCs w:val="20"/>
        </w:rPr>
        <w:tab/>
        <w:t xml:space="preserve">At the same </w:t>
      </w:r>
      <w:r w:rsidR="00272E5D" w:rsidRPr="00D65B7B">
        <w:rPr>
          <w:color w:val="000000" w:themeColor="text1"/>
          <w:sz w:val="20"/>
          <w:szCs w:val="20"/>
        </w:rPr>
        <w:t>meeting, the High Commissioner answered questions</w:t>
      </w:r>
      <w:r w:rsidR="00272E5D" w:rsidRPr="00113DE2">
        <w:rPr>
          <w:color w:val="000000" w:themeColor="text1"/>
          <w:sz w:val="20"/>
          <w:szCs w:val="20"/>
        </w:rPr>
        <w:t xml:space="preserve"> and made her concluding remarks.</w:t>
      </w:r>
    </w:p>
    <w:p w14:paraId="2EA587E3" w14:textId="786F8793" w:rsidR="00F11B08" w:rsidRPr="00C16037" w:rsidRDefault="00F11B08" w:rsidP="00F11B08">
      <w:pPr>
        <w:pStyle w:val="H1G"/>
        <w:rPr>
          <w:color w:val="000000" w:themeColor="text1"/>
        </w:rPr>
      </w:pPr>
      <w:r w:rsidRPr="00C16037">
        <w:rPr>
          <w:color w:val="000000" w:themeColor="text1"/>
        </w:rPr>
        <w:tab/>
      </w:r>
      <w:r w:rsidR="00A078AC" w:rsidRPr="00A078AC">
        <w:rPr>
          <w:color w:val="000000" w:themeColor="text1"/>
        </w:rPr>
        <w:t>C</w:t>
      </w:r>
      <w:r w:rsidRPr="00A078AC">
        <w:rPr>
          <w:color w:val="000000" w:themeColor="text1"/>
        </w:rPr>
        <w:t>.</w:t>
      </w:r>
      <w:r w:rsidRPr="00A078AC">
        <w:rPr>
          <w:color w:val="000000" w:themeColor="text1"/>
        </w:rPr>
        <w:tab/>
        <w:t>Reports of the Office of the High Commissioner and the Secretary-General</w:t>
      </w:r>
      <w:r w:rsidRPr="00C16037">
        <w:rPr>
          <w:color w:val="000000" w:themeColor="text1"/>
        </w:rPr>
        <w:t xml:space="preserve"> </w:t>
      </w:r>
    </w:p>
    <w:p w14:paraId="2EA587E4" w14:textId="4E209C3C" w:rsidR="00F11B08" w:rsidRDefault="009B6FCB" w:rsidP="00F11B08">
      <w:pPr>
        <w:pStyle w:val="SingleTxtG"/>
        <w:rPr>
          <w:color w:val="000000" w:themeColor="text1"/>
          <w:sz w:val="20"/>
          <w:szCs w:val="20"/>
        </w:rPr>
      </w:pPr>
      <w:r>
        <w:rPr>
          <w:color w:val="000000" w:themeColor="text1"/>
          <w:sz w:val="20"/>
          <w:szCs w:val="20"/>
        </w:rPr>
        <w:t>51</w:t>
      </w:r>
      <w:r w:rsidR="00F11B08" w:rsidRPr="005B23E0">
        <w:rPr>
          <w:color w:val="000000" w:themeColor="text1"/>
          <w:sz w:val="20"/>
          <w:szCs w:val="20"/>
        </w:rPr>
        <w:t>.</w:t>
      </w:r>
      <w:r w:rsidR="00F11B08" w:rsidRPr="005B23E0">
        <w:rPr>
          <w:color w:val="000000" w:themeColor="text1"/>
          <w:sz w:val="20"/>
          <w:szCs w:val="20"/>
        </w:rPr>
        <w:tab/>
        <w:t xml:space="preserve">At the </w:t>
      </w:r>
      <w:r w:rsidR="0087300E" w:rsidRPr="005B23E0">
        <w:rPr>
          <w:color w:val="000000" w:themeColor="text1"/>
          <w:sz w:val="20"/>
          <w:szCs w:val="20"/>
        </w:rPr>
        <w:t>2</w:t>
      </w:r>
      <w:r w:rsidR="005B23E0">
        <w:rPr>
          <w:color w:val="000000" w:themeColor="text1"/>
          <w:sz w:val="20"/>
          <w:szCs w:val="20"/>
        </w:rPr>
        <w:t>4</w:t>
      </w:r>
      <w:r w:rsidR="0087300E" w:rsidRPr="005B23E0">
        <w:rPr>
          <w:color w:val="000000" w:themeColor="text1"/>
          <w:sz w:val="20"/>
          <w:szCs w:val="20"/>
        </w:rPr>
        <w:t>th meeting, on 8</w:t>
      </w:r>
      <w:r w:rsidR="00F11B08" w:rsidRPr="005B23E0">
        <w:rPr>
          <w:color w:val="000000" w:themeColor="text1"/>
          <w:sz w:val="20"/>
          <w:szCs w:val="20"/>
        </w:rPr>
        <w:t xml:space="preserve"> March </w:t>
      </w:r>
      <w:r w:rsidR="00141AFC" w:rsidRPr="005B23E0">
        <w:rPr>
          <w:color w:val="000000" w:themeColor="text1"/>
          <w:sz w:val="20"/>
          <w:szCs w:val="20"/>
        </w:rPr>
        <w:t>2019</w:t>
      </w:r>
      <w:r w:rsidR="00F11B08" w:rsidRPr="005B23E0">
        <w:rPr>
          <w:color w:val="000000" w:themeColor="text1"/>
          <w:sz w:val="20"/>
          <w:szCs w:val="20"/>
        </w:rPr>
        <w:t xml:space="preserve">, the </w:t>
      </w:r>
      <w:r w:rsidR="005B23E0" w:rsidRPr="005B23E0">
        <w:rPr>
          <w:color w:val="000000" w:themeColor="text1"/>
          <w:sz w:val="20"/>
          <w:szCs w:val="20"/>
        </w:rPr>
        <w:t xml:space="preserve">Director </w:t>
      </w:r>
      <w:r w:rsidR="005B23E0">
        <w:rPr>
          <w:color w:val="000000" w:themeColor="text1"/>
          <w:sz w:val="20"/>
          <w:szCs w:val="20"/>
        </w:rPr>
        <w:t xml:space="preserve">of the </w:t>
      </w:r>
      <w:r w:rsidR="005B23E0" w:rsidRPr="005B23E0">
        <w:rPr>
          <w:color w:val="000000" w:themeColor="text1"/>
          <w:sz w:val="20"/>
          <w:szCs w:val="20"/>
        </w:rPr>
        <w:t>Human Rights Council and Treaty Mechanisms Division</w:t>
      </w:r>
      <w:r w:rsidR="005B23E0">
        <w:rPr>
          <w:color w:val="000000" w:themeColor="text1"/>
          <w:sz w:val="20"/>
          <w:szCs w:val="20"/>
        </w:rPr>
        <w:t xml:space="preserve"> of the </w:t>
      </w:r>
      <w:r w:rsidR="005B23E0" w:rsidRPr="005B23E0">
        <w:rPr>
          <w:color w:val="000000" w:themeColor="text1"/>
          <w:sz w:val="20"/>
          <w:szCs w:val="20"/>
        </w:rPr>
        <w:t>Office of the United Nations High Commissioner for Human Rights introduced</w:t>
      </w:r>
      <w:r w:rsidR="00F11B08" w:rsidRPr="005B23E0">
        <w:rPr>
          <w:color w:val="000000" w:themeColor="text1"/>
          <w:sz w:val="20"/>
          <w:szCs w:val="20"/>
        </w:rPr>
        <w:t xml:space="preserve"> thematic reports prepared by the High Commissioner for Human Rights, the Office of the United Nations High Commissioner for Human Rights, and the Secretary-General under agenda items 2 and 3</w:t>
      </w:r>
      <w:r w:rsidR="005B670E">
        <w:rPr>
          <w:color w:val="000000" w:themeColor="text1"/>
          <w:sz w:val="20"/>
          <w:szCs w:val="20"/>
        </w:rPr>
        <w:t>, 5 and 6</w:t>
      </w:r>
      <w:r w:rsidR="00F11B08" w:rsidRPr="005B23E0">
        <w:rPr>
          <w:color w:val="000000" w:themeColor="text1"/>
          <w:sz w:val="20"/>
          <w:szCs w:val="20"/>
        </w:rPr>
        <w:t>.</w:t>
      </w:r>
    </w:p>
    <w:p w14:paraId="2EA587E5" w14:textId="0236488D" w:rsidR="00F11B08" w:rsidRPr="00870F77" w:rsidRDefault="009B6FCB" w:rsidP="00F11B08">
      <w:pPr>
        <w:pStyle w:val="SingleTxtG"/>
        <w:rPr>
          <w:color w:val="000000" w:themeColor="text1"/>
          <w:sz w:val="20"/>
          <w:szCs w:val="20"/>
        </w:rPr>
      </w:pPr>
      <w:r>
        <w:rPr>
          <w:color w:val="000000" w:themeColor="text1"/>
          <w:sz w:val="20"/>
          <w:szCs w:val="20"/>
        </w:rPr>
        <w:t>52</w:t>
      </w:r>
      <w:r w:rsidR="005B23E0" w:rsidRPr="0067399B">
        <w:rPr>
          <w:color w:val="000000" w:themeColor="text1"/>
          <w:sz w:val="20"/>
          <w:szCs w:val="20"/>
        </w:rPr>
        <w:t>.</w:t>
      </w:r>
      <w:r w:rsidR="005B23E0" w:rsidRPr="0067399B">
        <w:rPr>
          <w:color w:val="000000" w:themeColor="text1"/>
          <w:sz w:val="20"/>
          <w:szCs w:val="20"/>
        </w:rPr>
        <w:tab/>
        <w:t xml:space="preserve">At its </w:t>
      </w:r>
      <w:r w:rsidR="005B23E0" w:rsidRPr="00C01573">
        <w:rPr>
          <w:color w:val="000000" w:themeColor="text1"/>
          <w:sz w:val="20"/>
          <w:szCs w:val="20"/>
        </w:rPr>
        <w:t>2</w:t>
      </w:r>
      <w:r w:rsidR="005B23E0">
        <w:rPr>
          <w:color w:val="000000" w:themeColor="text1"/>
          <w:sz w:val="20"/>
          <w:szCs w:val="20"/>
        </w:rPr>
        <w:t>4</w:t>
      </w:r>
      <w:r w:rsidR="005B23E0" w:rsidRPr="00C01573">
        <w:rPr>
          <w:color w:val="000000" w:themeColor="text1"/>
          <w:sz w:val="20"/>
          <w:szCs w:val="20"/>
        </w:rPr>
        <w:t xml:space="preserve">th </w:t>
      </w:r>
      <w:r w:rsidR="005B23E0">
        <w:rPr>
          <w:color w:val="000000" w:themeColor="text1"/>
          <w:sz w:val="20"/>
          <w:szCs w:val="20"/>
        </w:rPr>
        <w:t xml:space="preserve">to 25th </w:t>
      </w:r>
      <w:r w:rsidR="005B23E0" w:rsidRPr="00C01573">
        <w:rPr>
          <w:color w:val="000000" w:themeColor="text1"/>
          <w:sz w:val="20"/>
          <w:szCs w:val="20"/>
        </w:rPr>
        <w:t>meeting</w:t>
      </w:r>
      <w:r w:rsidR="005B23E0">
        <w:rPr>
          <w:color w:val="000000" w:themeColor="text1"/>
          <w:sz w:val="20"/>
          <w:szCs w:val="20"/>
        </w:rPr>
        <w:t>s</w:t>
      </w:r>
      <w:r w:rsidR="005B23E0" w:rsidRPr="00C01573">
        <w:rPr>
          <w:color w:val="000000" w:themeColor="text1"/>
          <w:sz w:val="20"/>
          <w:szCs w:val="20"/>
        </w:rPr>
        <w:t xml:space="preserve">, on 8 March 2019, and at the 26th meeting, on </w:t>
      </w:r>
      <w:r w:rsidR="005B23E0">
        <w:rPr>
          <w:color w:val="000000" w:themeColor="text1"/>
          <w:sz w:val="20"/>
          <w:szCs w:val="20"/>
        </w:rPr>
        <w:t>11</w:t>
      </w:r>
      <w:r w:rsidR="005B23E0" w:rsidRPr="00C01573">
        <w:rPr>
          <w:color w:val="000000" w:themeColor="text1"/>
          <w:sz w:val="20"/>
          <w:szCs w:val="20"/>
        </w:rPr>
        <w:t xml:space="preserve"> March 2019</w:t>
      </w:r>
      <w:r w:rsidR="005B23E0" w:rsidRPr="0067399B">
        <w:rPr>
          <w:color w:val="000000" w:themeColor="text1"/>
          <w:sz w:val="20"/>
          <w:szCs w:val="20"/>
        </w:rPr>
        <w:t xml:space="preserve">, the Council held a general debate on thematic reports under agenda items 2 and 3, </w:t>
      </w:r>
      <w:r w:rsidR="00F11B08" w:rsidRPr="005B23E0">
        <w:rPr>
          <w:color w:val="000000" w:themeColor="text1"/>
          <w:sz w:val="20"/>
          <w:szCs w:val="20"/>
        </w:rPr>
        <w:t xml:space="preserve">presented by the </w:t>
      </w:r>
      <w:r w:rsidR="005B23E0" w:rsidRPr="005B23E0">
        <w:rPr>
          <w:color w:val="000000" w:themeColor="text1"/>
          <w:sz w:val="20"/>
          <w:szCs w:val="20"/>
        </w:rPr>
        <w:t>Director Human Rights Council and Treaty Mechanisms Division</w:t>
      </w:r>
      <w:r w:rsidR="005B23E0">
        <w:rPr>
          <w:color w:val="000000" w:themeColor="text1"/>
          <w:sz w:val="20"/>
          <w:szCs w:val="20"/>
        </w:rPr>
        <w:t xml:space="preserve"> of the </w:t>
      </w:r>
      <w:r w:rsidR="005B23E0" w:rsidRPr="005B23E0">
        <w:rPr>
          <w:color w:val="000000" w:themeColor="text1"/>
          <w:sz w:val="20"/>
          <w:szCs w:val="20"/>
        </w:rPr>
        <w:t xml:space="preserve">Office of the United Nations High Commissioner for Human Rights </w:t>
      </w:r>
      <w:r w:rsidR="00F11B08" w:rsidRPr="00B559CE">
        <w:rPr>
          <w:color w:val="000000" w:themeColor="text1"/>
          <w:sz w:val="20"/>
          <w:szCs w:val="20"/>
        </w:rPr>
        <w:t xml:space="preserve">(see chapter III, section </w:t>
      </w:r>
      <w:r w:rsidR="00B559CE">
        <w:rPr>
          <w:color w:val="000000" w:themeColor="text1"/>
          <w:sz w:val="20"/>
          <w:szCs w:val="20"/>
        </w:rPr>
        <w:t>F</w:t>
      </w:r>
      <w:r w:rsidR="00F11B08" w:rsidRPr="00870F77">
        <w:rPr>
          <w:color w:val="000000" w:themeColor="text1"/>
          <w:sz w:val="20"/>
          <w:szCs w:val="20"/>
        </w:rPr>
        <w:t>).</w:t>
      </w:r>
    </w:p>
    <w:p w14:paraId="26F4009E" w14:textId="653B5789" w:rsidR="00870F77" w:rsidRPr="00870F77" w:rsidRDefault="009B6FCB" w:rsidP="00870F77">
      <w:pPr>
        <w:pStyle w:val="SingleTxtG"/>
        <w:rPr>
          <w:color w:val="000000" w:themeColor="text1"/>
          <w:sz w:val="20"/>
          <w:szCs w:val="20"/>
        </w:rPr>
      </w:pPr>
      <w:r>
        <w:rPr>
          <w:color w:val="000000" w:themeColor="text1"/>
          <w:sz w:val="20"/>
          <w:szCs w:val="20"/>
        </w:rPr>
        <w:t>53</w:t>
      </w:r>
      <w:r w:rsidR="00F11B08" w:rsidRPr="00870F77">
        <w:rPr>
          <w:color w:val="000000" w:themeColor="text1"/>
          <w:sz w:val="20"/>
          <w:szCs w:val="20"/>
        </w:rPr>
        <w:t>.</w:t>
      </w:r>
      <w:r w:rsidR="00F11B08" w:rsidRPr="00870F77">
        <w:rPr>
          <w:color w:val="000000" w:themeColor="text1"/>
          <w:sz w:val="20"/>
          <w:szCs w:val="20"/>
        </w:rPr>
        <w:tab/>
        <w:t xml:space="preserve">At the </w:t>
      </w:r>
      <w:r w:rsidR="00870F77" w:rsidRPr="0037538E">
        <w:rPr>
          <w:color w:val="000000" w:themeColor="text1"/>
          <w:sz w:val="20"/>
          <w:szCs w:val="20"/>
        </w:rPr>
        <w:t>4</w:t>
      </w:r>
      <w:r w:rsidR="00870F77">
        <w:rPr>
          <w:color w:val="000000" w:themeColor="text1"/>
          <w:sz w:val="20"/>
          <w:szCs w:val="20"/>
        </w:rPr>
        <w:t>2nd</w:t>
      </w:r>
      <w:r w:rsidR="00870F77" w:rsidRPr="0037538E">
        <w:rPr>
          <w:color w:val="000000" w:themeColor="text1"/>
          <w:sz w:val="20"/>
          <w:szCs w:val="20"/>
        </w:rPr>
        <w:t xml:space="preserve"> meeting, on </w:t>
      </w:r>
      <w:r w:rsidR="00870F77">
        <w:rPr>
          <w:color w:val="000000" w:themeColor="text1"/>
          <w:sz w:val="20"/>
          <w:szCs w:val="20"/>
        </w:rPr>
        <w:t>18</w:t>
      </w:r>
      <w:r w:rsidR="00870F77" w:rsidRPr="0037538E">
        <w:rPr>
          <w:color w:val="000000" w:themeColor="text1"/>
          <w:sz w:val="20"/>
          <w:szCs w:val="20"/>
        </w:rPr>
        <w:t xml:space="preserve"> March </w:t>
      </w:r>
      <w:r w:rsidR="00870F77">
        <w:rPr>
          <w:color w:val="000000" w:themeColor="text1"/>
          <w:sz w:val="20"/>
          <w:szCs w:val="20"/>
        </w:rPr>
        <w:t>2019</w:t>
      </w:r>
      <w:r w:rsidR="00F11B08" w:rsidRPr="00870F77">
        <w:rPr>
          <w:color w:val="000000" w:themeColor="text1"/>
          <w:sz w:val="20"/>
          <w:szCs w:val="20"/>
        </w:rPr>
        <w:t xml:space="preserve">, the </w:t>
      </w:r>
      <w:r w:rsidR="00870F77">
        <w:rPr>
          <w:color w:val="000000" w:themeColor="text1"/>
          <w:sz w:val="20"/>
          <w:szCs w:val="20"/>
        </w:rPr>
        <w:t xml:space="preserve">United Nations Assistant Secretary-General for Human Rights </w:t>
      </w:r>
      <w:r w:rsidR="00F11B08" w:rsidRPr="00870F77">
        <w:rPr>
          <w:color w:val="000000" w:themeColor="text1"/>
          <w:sz w:val="20"/>
          <w:szCs w:val="20"/>
        </w:rPr>
        <w:t>presented reports prepared by the High Commissioner for Human Rights and the Secretary-General under agenda items 2 and 7</w:t>
      </w:r>
      <w:r w:rsidR="00870F77" w:rsidRPr="00870F77">
        <w:rPr>
          <w:color w:val="000000" w:themeColor="text1"/>
          <w:sz w:val="20"/>
          <w:szCs w:val="20"/>
        </w:rPr>
        <w:t xml:space="preserve"> (</w:t>
      </w:r>
      <w:r w:rsidR="00870F77" w:rsidRPr="00B559CE">
        <w:rPr>
          <w:color w:val="000000" w:themeColor="text1"/>
          <w:sz w:val="20"/>
          <w:szCs w:val="20"/>
        </w:rPr>
        <w:t>see chapter VII, section D</w:t>
      </w:r>
      <w:r w:rsidR="00870F77" w:rsidRPr="00870F77">
        <w:rPr>
          <w:color w:val="000000" w:themeColor="text1"/>
          <w:sz w:val="20"/>
          <w:szCs w:val="20"/>
        </w:rPr>
        <w:t>).</w:t>
      </w:r>
    </w:p>
    <w:p w14:paraId="2EA587E7" w14:textId="013937A3" w:rsidR="00F11B08" w:rsidRPr="00F62A16" w:rsidRDefault="009B6FCB" w:rsidP="00F62A16">
      <w:pPr>
        <w:pStyle w:val="SingleTxtG"/>
        <w:rPr>
          <w:color w:val="000000" w:themeColor="text1"/>
          <w:sz w:val="20"/>
          <w:szCs w:val="20"/>
        </w:rPr>
      </w:pPr>
      <w:r>
        <w:rPr>
          <w:color w:val="000000" w:themeColor="text1"/>
          <w:sz w:val="20"/>
          <w:szCs w:val="20"/>
        </w:rPr>
        <w:t>54</w:t>
      </w:r>
      <w:r w:rsidR="00F62A16" w:rsidRPr="002353E3">
        <w:rPr>
          <w:color w:val="000000" w:themeColor="text1"/>
          <w:sz w:val="20"/>
          <w:szCs w:val="20"/>
        </w:rPr>
        <w:t>.</w:t>
      </w:r>
      <w:r w:rsidR="00F62A16" w:rsidRPr="002353E3">
        <w:rPr>
          <w:color w:val="000000" w:themeColor="text1"/>
          <w:sz w:val="20"/>
          <w:szCs w:val="20"/>
        </w:rPr>
        <w:tab/>
        <w:t>At the 44th meeting, on 19 March 2019, the Director of the Thematic Engagement, Special Procedures and Right to Development Division of the Office of the High Commissioner for Human Rights, present</w:t>
      </w:r>
      <w:r w:rsidR="00F62A16">
        <w:rPr>
          <w:color w:val="000000" w:themeColor="text1"/>
          <w:sz w:val="20"/>
          <w:szCs w:val="20"/>
        </w:rPr>
        <w:t xml:space="preserve">ed </w:t>
      </w:r>
      <w:r w:rsidR="00F62A16" w:rsidRPr="002353E3">
        <w:rPr>
          <w:color w:val="000000" w:themeColor="text1"/>
          <w:sz w:val="20"/>
          <w:szCs w:val="20"/>
        </w:rPr>
        <w:t xml:space="preserve">the report of the High Commissioner for Human Rights </w:t>
      </w:r>
      <w:r w:rsidR="00F11B08" w:rsidRPr="00F62A16">
        <w:rPr>
          <w:color w:val="000000" w:themeColor="text1"/>
          <w:sz w:val="20"/>
          <w:szCs w:val="20"/>
        </w:rPr>
        <w:t>under agenda items 2 and 9</w:t>
      </w:r>
      <w:r w:rsidR="00F62A16" w:rsidRPr="00F62A16">
        <w:rPr>
          <w:color w:val="000000" w:themeColor="text1"/>
          <w:sz w:val="20"/>
          <w:szCs w:val="20"/>
        </w:rPr>
        <w:t xml:space="preserve"> </w:t>
      </w:r>
      <w:r w:rsidR="00F62A16" w:rsidRPr="00870F77">
        <w:rPr>
          <w:color w:val="000000" w:themeColor="text1"/>
          <w:sz w:val="20"/>
          <w:szCs w:val="20"/>
        </w:rPr>
        <w:t>(</w:t>
      </w:r>
      <w:r w:rsidR="00F62A16" w:rsidRPr="00F62A16">
        <w:rPr>
          <w:color w:val="000000" w:themeColor="text1"/>
          <w:sz w:val="20"/>
          <w:szCs w:val="20"/>
        </w:rPr>
        <w:t>see</w:t>
      </w:r>
      <w:r w:rsidR="00F62A16" w:rsidRPr="00B559CE">
        <w:rPr>
          <w:color w:val="000000" w:themeColor="text1"/>
          <w:sz w:val="20"/>
          <w:szCs w:val="20"/>
        </w:rPr>
        <w:t xml:space="preserve"> chapter IX, section </w:t>
      </w:r>
      <w:r w:rsidR="00B559CE">
        <w:rPr>
          <w:color w:val="000000" w:themeColor="text1"/>
          <w:sz w:val="20"/>
          <w:szCs w:val="20"/>
        </w:rPr>
        <w:t>B</w:t>
      </w:r>
      <w:r w:rsidR="00F62A16" w:rsidRPr="00870F77">
        <w:rPr>
          <w:color w:val="000000" w:themeColor="text1"/>
          <w:sz w:val="20"/>
          <w:szCs w:val="20"/>
        </w:rPr>
        <w:t>).</w:t>
      </w:r>
      <w:r w:rsidR="00F11B08" w:rsidRPr="00B559CE">
        <w:rPr>
          <w:color w:val="000000" w:themeColor="text1"/>
          <w:sz w:val="20"/>
          <w:szCs w:val="20"/>
        </w:rPr>
        <w:t xml:space="preserve"> </w:t>
      </w:r>
    </w:p>
    <w:p w14:paraId="42270034" w14:textId="79025E9D" w:rsidR="00A55019" w:rsidRPr="0075366D" w:rsidRDefault="009B6FCB" w:rsidP="00A55019">
      <w:pPr>
        <w:pStyle w:val="SingleTxtG"/>
        <w:rPr>
          <w:color w:val="000000" w:themeColor="text1"/>
          <w:sz w:val="20"/>
          <w:szCs w:val="20"/>
        </w:rPr>
      </w:pPr>
      <w:r>
        <w:rPr>
          <w:color w:val="000000" w:themeColor="text1"/>
          <w:sz w:val="20"/>
          <w:szCs w:val="20"/>
        </w:rPr>
        <w:t>55</w:t>
      </w:r>
      <w:r w:rsidR="0091395A" w:rsidRPr="0075366D">
        <w:rPr>
          <w:color w:val="000000" w:themeColor="text1"/>
          <w:sz w:val="20"/>
          <w:szCs w:val="20"/>
        </w:rPr>
        <w:t>.</w:t>
      </w:r>
      <w:r w:rsidR="0091395A" w:rsidRPr="0075366D">
        <w:rPr>
          <w:color w:val="000000" w:themeColor="text1"/>
          <w:sz w:val="20"/>
          <w:szCs w:val="20"/>
        </w:rPr>
        <w:tab/>
        <w:t xml:space="preserve">At the </w:t>
      </w:r>
      <w:r w:rsidR="0075366D" w:rsidRPr="00113DE2">
        <w:rPr>
          <w:color w:val="000000" w:themeColor="text1"/>
          <w:sz w:val="20"/>
          <w:szCs w:val="20"/>
        </w:rPr>
        <w:t>4</w:t>
      </w:r>
      <w:r w:rsidR="0075366D">
        <w:rPr>
          <w:color w:val="000000" w:themeColor="text1"/>
          <w:sz w:val="20"/>
          <w:szCs w:val="20"/>
        </w:rPr>
        <w:t>5</w:t>
      </w:r>
      <w:r w:rsidR="0075366D" w:rsidRPr="00113DE2">
        <w:rPr>
          <w:color w:val="000000" w:themeColor="text1"/>
          <w:sz w:val="20"/>
          <w:szCs w:val="20"/>
        </w:rPr>
        <w:t xml:space="preserve">th meeting, on </w:t>
      </w:r>
      <w:r w:rsidR="0075366D">
        <w:rPr>
          <w:color w:val="000000" w:themeColor="text1"/>
          <w:sz w:val="20"/>
          <w:szCs w:val="20"/>
        </w:rPr>
        <w:t>19</w:t>
      </w:r>
      <w:r w:rsidR="0075366D" w:rsidRPr="00113DE2">
        <w:rPr>
          <w:color w:val="000000" w:themeColor="text1"/>
          <w:sz w:val="20"/>
          <w:szCs w:val="20"/>
        </w:rPr>
        <w:t xml:space="preserve"> March </w:t>
      </w:r>
      <w:r w:rsidR="0075366D">
        <w:rPr>
          <w:color w:val="000000" w:themeColor="text1"/>
          <w:sz w:val="20"/>
          <w:szCs w:val="20"/>
        </w:rPr>
        <w:t>2019,</w:t>
      </w:r>
      <w:r w:rsidR="0091395A" w:rsidRPr="0075366D">
        <w:rPr>
          <w:color w:val="000000" w:themeColor="text1"/>
          <w:sz w:val="20"/>
          <w:szCs w:val="20"/>
        </w:rPr>
        <w:t xml:space="preserve"> the </w:t>
      </w:r>
      <w:r w:rsidR="00B762C3" w:rsidRPr="0075366D">
        <w:rPr>
          <w:color w:val="000000" w:themeColor="text1"/>
          <w:sz w:val="20"/>
          <w:szCs w:val="20"/>
        </w:rPr>
        <w:t>Assistant Secretary-General f</w:t>
      </w:r>
      <w:r w:rsidR="0091395A" w:rsidRPr="0075366D">
        <w:rPr>
          <w:color w:val="000000" w:themeColor="text1"/>
          <w:sz w:val="20"/>
          <w:szCs w:val="20"/>
        </w:rPr>
        <w:t>or Human Rights presented the report of the High Commissioner under items 2 and 10</w:t>
      </w:r>
      <w:r w:rsidR="00A55019" w:rsidRPr="0075366D">
        <w:rPr>
          <w:color w:val="000000" w:themeColor="text1"/>
          <w:sz w:val="20"/>
          <w:szCs w:val="20"/>
        </w:rPr>
        <w:t xml:space="preserve"> (see Chapter X, </w:t>
      </w:r>
      <w:r w:rsidR="00A55019" w:rsidRPr="00B559CE">
        <w:rPr>
          <w:color w:val="000000" w:themeColor="text1"/>
          <w:sz w:val="20"/>
          <w:szCs w:val="20"/>
        </w:rPr>
        <w:t xml:space="preserve">section </w:t>
      </w:r>
      <w:r w:rsidR="00B559CE" w:rsidRPr="00B559CE">
        <w:rPr>
          <w:color w:val="000000" w:themeColor="text1"/>
          <w:sz w:val="20"/>
          <w:szCs w:val="20"/>
        </w:rPr>
        <w:t>E</w:t>
      </w:r>
      <w:r w:rsidR="00A55019" w:rsidRPr="00B559CE">
        <w:rPr>
          <w:color w:val="000000" w:themeColor="text1"/>
          <w:sz w:val="20"/>
          <w:szCs w:val="20"/>
        </w:rPr>
        <w:t>).</w:t>
      </w:r>
    </w:p>
    <w:p w14:paraId="3436A379" w14:textId="434556C4" w:rsidR="00A55019" w:rsidRPr="00B559CE" w:rsidRDefault="009B6FCB" w:rsidP="00A55019">
      <w:pPr>
        <w:pStyle w:val="SingleTxtG"/>
        <w:rPr>
          <w:color w:val="000000" w:themeColor="text1"/>
          <w:sz w:val="20"/>
          <w:szCs w:val="20"/>
        </w:rPr>
      </w:pPr>
      <w:r>
        <w:rPr>
          <w:color w:val="000000" w:themeColor="text1"/>
          <w:sz w:val="20"/>
          <w:szCs w:val="20"/>
        </w:rPr>
        <w:t>56</w:t>
      </w:r>
      <w:r w:rsidR="00B762C3" w:rsidRPr="00B559CE">
        <w:rPr>
          <w:color w:val="000000" w:themeColor="text1"/>
          <w:sz w:val="20"/>
          <w:szCs w:val="20"/>
        </w:rPr>
        <w:t>.</w:t>
      </w:r>
      <w:r w:rsidR="00B762C3" w:rsidRPr="00B559CE">
        <w:rPr>
          <w:color w:val="000000" w:themeColor="text1"/>
          <w:sz w:val="20"/>
          <w:szCs w:val="20"/>
        </w:rPr>
        <w:tab/>
        <w:t>At the 49th meeting, on 2</w:t>
      </w:r>
      <w:r w:rsidR="00564BDD">
        <w:rPr>
          <w:color w:val="000000" w:themeColor="text1"/>
          <w:sz w:val="20"/>
          <w:szCs w:val="20"/>
        </w:rPr>
        <w:t>0</w:t>
      </w:r>
      <w:r w:rsidR="00B762C3" w:rsidRPr="00B559CE">
        <w:rPr>
          <w:color w:val="000000" w:themeColor="text1"/>
          <w:sz w:val="20"/>
          <w:szCs w:val="20"/>
        </w:rPr>
        <w:t xml:space="preserve"> March </w:t>
      </w:r>
      <w:r w:rsidR="00141AFC" w:rsidRPr="00B559CE">
        <w:rPr>
          <w:color w:val="000000" w:themeColor="text1"/>
          <w:sz w:val="20"/>
          <w:szCs w:val="20"/>
        </w:rPr>
        <w:t>2019</w:t>
      </w:r>
      <w:r w:rsidR="00B762C3" w:rsidRPr="00B559CE">
        <w:rPr>
          <w:color w:val="000000" w:themeColor="text1"/>
          <w:sz w:val="20"/>
          <w:szCs w:val="20"/>
        </w:rPr>
        <w:t>, the United Nations High Commissioner for Human Rights presented the report of the High Commissioner under items 2 and 10</w:t>
      </w:r>
      <w:r w:rsidR="00A55019" w:rsidRPr="00B559CE">
        <w:rPr>
          <w:color w:val="000000" w:themeColor="text1"/>
          <w:sz w:val="20"/>
          <w:szCs w:val="20"/>
        </w:rPr>
        <w:t xml:space="preserve"> (see Chapter X, section </w:t>
      </w:r>
      <w:r w:rsidR="00B559CE" w:rsidRPr="00B559CE">
        <w:rPr>
          <w:color w:val="000000" w:themeColor="text1"/>
          <w:sz w:val="20"/>
          <w:szCs w:val="20"/>
        </w:rPr>
        <w:t>E</w:t>
      </w:r>
      <w:r w:rsidR="00A55019" w:rsidRPr="00B559CE">
        <w:rPr>
          <w:color w:val="000000" w:themeColor="text1"/>
          <w:sz w:val="20"/>
          <w:szCs w:val="20"/>
        </w:rPr>
        <w:t>).</w:t>
      </w:r>
    </w:p>
    <w:p w14:paraId="2EA587F2" w14:textId="33A83F88" w:rsidR="00F11B08" w:rsidRDefault="009B6FCB" w:rsidP="00C32152">
      <w:pPr>
        <w:pStyle w:val="SingleTxtG"/>
        <w:rPr>
          <w:color w:val="000000" w:themeColor="text1"/>
          <w:sz w:val="20"/>
          <w:szCs w:val="20"/>
        </w:rPr>
      </w:pPr>
      <w:r>
        <w:rPr>
          <w:color w:val="000000" w:themeColor="text1"/>
          <w:sz w:val="20"/>
          <w:szCs w:val="20"/>
        </w:rPr>
        <w:t>57</w:t>
      </w:r>
      <w:r w:rsidR="00F11B08" w:rsidRPr="00FA40F2">
        <w:rPr>
          <w:color w:val="000000" w:themeColor="text1"/>
          <w:sz w:val="20"/>
          <w:szCs w:val="20"/>
        </w:rPr>
        <w:t>.</w:t>
      </w:r>
      <w:r w:rsidR="00F11B08" w:rsidRPr="00FA40F2">
        <w:rPr>
          <w:color w:val="000000" w:themeColor="text1"/>
          <w:sz w:val="20"/>
          <w:szCs w:val="20"/>
        </w:rPr>
        <w:tab/>
        <w:t xml:space="preserve">At the </w:t>
      </w:r>
      <w:r w:rsidR="00FA40F2" w:rsidRPr="00FA40F2">
        <w:rPr>
          <w:color w:val="000000" w:themeColor="text1"/>
          <w:sz w:val="20"/>
          <w:szCs w:val="20"/>
        </w:rPr>
        <w:t>48</w:t>
      </w:r>
      <w:r w:rsidR="00F11B08" w:rsidRPr="00FA40F2">
        <w:rPr>
          <w:color w:val="000000" w:themeColor="text1"/>
          <w:sz w:val="20"/>
          <w:szCs w:val="20"/>
        </w:rPr>
        <w:t xml:space="preserve">th meeting, on </w:t>
      </w:r>
      <w:r w:rsidR="00FA40F2" w:rsidRPr="00FA40F2">
        <w:rPr>
          <w:color w:val="000000" w:themeColor="text1"/>
          <w:sz w:val="20"/>
          <w:szCs w:val="20"/>
        </w:rPr>
        <w:t>20</w:t>
      </w:r>
      <w:r w:rsidR="00F11B08" w:rsidRPr="00FA40F2">
        <w:rPr>
          <w:color w:val="000000" w:themeColor="text1"/>
          <w:sz w:val="20"/>
          <w:szCs w:val="20"/>
        </w:rPr>
        <w:t xml:space="preserve"> March </w:t>
      </w:r>
      <w:r w:rsidR="00141AFC" w:rsidRPr="00FA40F2">
        <w:rPr>
          <w:color w:val="000000" w:themeColor="text1"/>
          <w:sz w:val="20"/>
          <w:szCs w:val="20"/>
        </w:rPr>
        <w:t>2019</w:t>
      </w:r>
      <w:r w:rsidR="00F11B08" w:rsidRPr="00FA40F2">
        <w:rPr>
          <w:color w:val="000000" w:themeColor="text1"/>
          <w:sz w:val="20"/>
          <w:szCs w:val="20"/>
        </w:rPr>
        <w:t>, the United Nations High Commissioner for Human Rights introduced country-specific reports submitted by the Secretary-General and the United Nations High Commissioner for Human Rights under agenda item 2 (</w:t>
      </w:r>
      <w:r w:rsidR="00C32152" w:rsidRPr="00FA40F2">
        <w:rPr>
          <w:rFonts w:cstheme="minorHAnsi"/>
          <w:color w:val="000000" w:themeColor="text1"/>
          <w:sz w:val="20"/>
          <w:szCs w:val="20"/>
          <w:lang w:eastAsia="es-GT"/>
        </w:rPr>
        <w:t>A/HRC/</w:t>
      </w:r>
      <w:r w:rsidR="00FA40F2">
        <w:rPr>
          <w:rFonts w:cstheme="minorHAnsi"/>
          <w:color w:val="000000" w:themeColor="text1"/>
          <w:sz w:val="20"/>
          <w:szCs w:val="20"/>
          <w:lang w:eastAsia="es-GT"/>
        </w:rPr>
        <w:t>40</w:t>
      </w:r>
      <w:r w:rsidR="00C32152" w:rsidRPr="00FA40F2">
        <w:rPr>
          <w:rFonts w:cstheme="minorHAnsi"/>
          <w:color w:val="000000" w:themeColor="text1"/>
          <w:sz w:val="20"/>
          <w:szCs w:val="20"/>
          <w:lang w:eastAsia="es-GT"/>
        </w:rPr>
        <w:t>/3/Add.</w:t>
      </w:r>
      <w:r w:rsidR="00FA40F2">
        <w:rPr>
          <w:rFonts w:cstheme="minorHAnsi"/>
          <w:color w:val="000000" w:themeColor="text1"/>
          <w:sz w:val="20"/>
          <w:szCs w:val="20"/>
          <w:lang w:eastAsia="es-GT"/>
        </w:rPr>
        <w:t>1-</w:t>
      </w:r>
      <w:r w:rsidR="00C32152" w:rsidRPr="00FA40F2">
        <w:rPr>
          <w:rFonts w:cstheme="minorHAnsi"/>
          <w:color w:val="000000" w:themeColor="text1"/>
          <w:sz w:val="20"/>
          <w:szCs w:val="20"/>
          <w:lang w:eastAsia="es-GT"/>
        </w:rPr>
        <w:t>3,</w:t>
      </w:r>
      <w:r w:rsidR="00FA40F2">
        <w:rPr>
          <w:rFonts w:cstheme="minorHAnsi"/>
          <w:color w:val="000000" w:themeColor="text1"/>
          <w:sz w:val="20"/>
          <w:szCs w:val="20"/>
          <w:lang w:eastAsia="es-GT"/>
        </w:rPr>
        <w:t xml:space="preserve"> </w:t>
      </w:r>
      <w:r w:rsidR="00FA40F2" w:rsidRPr="00FA40F2">
        <w:rPr>
          <w:rFonts w:cstheme="minorHAnsi"/>
          <w:color w:val="000000" w:themeColor="text1"/>
          <w:sz w:val="20"/>
          <w:szCs w:val="20"/>
          <w:lang w:eastAsia="es-GT"/>
        </w:rPr>
        <w:t>A/HRC/</w:t>
      </w:r>
      <w:r w:rsidR="00FA40F2">
        <w:rPr>
          <w:rFonts w:cstheme="minorHAnsi"/>
          <w:color w:val="000000" w:themeColor="text1"/>
          <w:sz w:val="20"/>
          <w:szCs w:val="20"/>
          <w:lang w:eastAsia="es-GT"/>
        </w:rPr>
        <w:t xml:space="preserve">40/22, </w:t>
      </w:r>
      <w:r w:rsidR="00FA40F2" w:rsidRPr="00FA40F2">
        <w:rPr>
          <w:rFonts w:cstheme="minorHAnsi"/>
          <w:color w:val="000000" w:themeColor="text1"/>
          <w:sz w:val="20"/>
          <w:szCs w:val="20"/>
          <w:lang w:eastAsia="es-GT"/>
        </w:rPr>
        <w:t>A/HRC/</w:t>
      </w:r>
      <w:r w:rsidR="00FA40F2">
        <w:rPr>
          <w:rFonts w:cstheme="minorHAnsi"/>
          <w:color w:val="000000" w:themeColor="text1"/>
          <w:sz w:val="20"/>
          <w:szCs w:val="20"/>
          <w:lang w:eastAsia="es-GT"/>
        </w:rPr>
        <w:t xml:space="preserve">40/24, </w:t>
      </w:r>
      <w:r w:rsidR="00FA40F2" w:rsidRPr="00FA40F2">
        <w:rPr>
          <w:rFonts w:cstheme="minorHAnsi"/>
          <w:color w:val="000000" w:themeColor="text1"/>
          <w:sz w:val="20"/>
          <w:szCs w:val="20"/>
          <w:lang w:eastAsia="es-GT"/>
        </w:rPr>
        <w:t>A/HRC/</w:t>
      </w:r>
      <w:r w:rsidR="00FA40F2">
        <w:rPr>
          <w:rFonts w:cstheme="minorHAnsi"/>
          <w:color w:val="000000" w:themeColor="text1"/>
          <w:sz w:val="20"/>
          <w:szCs w:val="20"/>
          <w:lang w:eastAsia="es-GT"/>
        </w:rPr>
        <w:t>40/37</w:t>
      </w:r>
      <w:r w:rsidR="00F11B08" w:rsidRPr="00FA40F2">
        <w:rPr>
          <w:color w:val="000000" w:themeColor="text1"/>
          <w:sz w:val="20"/>
          <w:szCs w:val="20"/>
        </w:rPr>
        <w:t>).</w:t>
      </w:r>
    </w:p>
    <w:p w14:paraId="7C10DEE5" w14:textId="3EBA1FFD" w:rsidR="00F16EE8" w:rsidRDefault="009B6FCB" w:rsidP="00F16EE8">
      <w:pPr>
        <w:pStyle w:val="SingleTxtG"/>
        <w:rPr>
          <w:color w:val="000000" w:themeColor="text1"/>
          <w:sz w:val="20"/>
          <w:szCs w:val="20"/>
        </w:rPr>
      </w:pPr>
      <w:r>
        <w:rPr>
          <w:color w:val="000000" w:themeColor="text1"/>
          <w:sz w:val="20"/>
          <w:szCs w:val="20"/>
        </w:rPr>
        <w:lastRenderedPageBreak/>
        <w:t>58</w:t>
      </w:r>
      <w:r w:rsidR="00F16EE8" w:rsidRPr="00FA40F2">
        <w:rPr>
          <w:color w:val="000000" w:themeColor="text1"/>
          <w:sz w:val="20"/>
          <w:szCs w:val="20"/>
        </w:rPr>
        <w:t>.</w:t>
      </w:r>
      <w:r w:rsidR="00F16EE8" w:rsidRPr="00FA40F2">
        <w:rPr>
          <w:color w:val="000000" w:themeColor="text1"/>
          <w:sz w:val="20"/>
          <w:szCs w:val="20"/>
        </w:rPr>
        <w:tab/>
        <w:t xml:space="preserve">At the </w:t>
      </w:r>
      <w:r w:rsidR="00FD5842">
        <w:rPr>
          <w:color w:val="000000" w:themeColor="text1"/>
          <w:sz w:val="20"/>
          <w:szCs w:val="20"/>
        </w:rPr>
        <w:t>same</w:t>
      </w:r>
      <w:r w:rsidR="00F16EE8" w:rsidRPr="00FA40F2">
        <w:rPr>
          <w:color w:val="000000" w:themeColor="text1"/>
          <w:sz w:val="20"/>
          <w:szCs w:val="20"/>
        </w:rPr>
        <w:t xml:space="preserve"> meeting,</w:t>
      </w:r>
      <w:r w:rsidR="00F16EE8">
        <w:rPr>
          <w:color w:val="000000" w:themeColor="text1"/>
          <w:sz w:val="20"/>
          <w:szCs w:val="20"/>
        </w:rPr>
        <w:t xml:space="preserve"> the </w:t>
      </w:r>
      <w:r w:rsidR="00F16EE8" w:rsidRPr="00FA40F2">
        <w:rPr>
          <w:color w:val="000000" w:themeColor="text1"/>
          <w:sz w:val="20"/>
          <w:szCs w:val="20"/>
        </w:rPr>
        <w:t xml:space="preserve">United Nations High Commissioner for Human Rights </w:t>
      </w:r>
      <w:r w:rsidR="00FD5842">
        <w:rPr>
          <w:color w:val="000000" w:themeColor="text1"/>
          <w:sz w:val="20"/>
          <w:szCs w:val="20"/>
        </w:rPr>
        <w:t xml:space="preserve">presented oral updates on the </w:t>
      </w:r>
      <w:r w:rsidR="00FD5842" w:rsidRPr="00FD5842">
        <w:rPr>
          <w:color w:val="000000" w:themeColor="text1"/>
          <w:sz w:val="20"/>
          <w:szCs w:val="20"/>
        </w:rPr>
        <w:t>situation of human rights in Yemen</w:t>
      </w:r>
      <w:r w:rsidR="00FD5842">
        <w:rPr>
          <w:color w:val="000000" w:themeColor="text1"/>
          <w:sz w:val="20"/>
          <w:szCs w:val="20"/>
        </w:rPr>
        <w:t xml:space="preserve"> and on </w:t>
      </w:r>
      <w:r w:rsidR="00FD5842" w:rsidRPr="00FD5842">
        <w:rPr>
          <w:color w:val="000000" w:themeColor="text1"/>
          <w:sz w:val="20"/>
          <w:szCs w:val="20"/>
        </w:rPr>
        <w:t>the human rights situation in the Bolivarian Republic of Venezuela</w:t>
      </w:r>
      <w:r w:rsidR="00FD5842">
        <w:rPr>
          <w:color w:val="000000" w:themeColor="text1"/>
          <w:sz w:val="20"/>
          <w:szCs w:val="20"/>
        </w:rPr>
        <w:t>.</w:t>
      </w:r>
    </w:p>
    <w:p w14:paraId="600E9116" w14:textId="71860463" w:rsidR="00F16EE8" w:rsidRDefault="009B6FCB" w:rsidP="00261D42">
      <w:pPr>
        <w:pStyle w:val="SingleTxtG"/>
        <w:rPr>
          <w:color w:val="000000" w:themeColor="text1"/>
          <w:sz w:val="20"/>
          <w:szCs w:val="20"/>
        </w:rPr>
      </w:pPr>
      <w:r>
        <w:rPr>
          <w:color w:val="000000" w:themeColor="text1"/>
          <w:sz w:val="20"/>
          <w:szCs w:val="20"/>
        </w:rPr>
        <w:t>59</w:t>
      </w:r>
      <w:r w:rsidR="009C4448" w:rsidRPr="00FA40F2">
        <w:rPr>
          <w:color w:val="000000" w:themeColor="text1"/>
          <w:sz w:val="20"/>
          <w:szCs w:val="20"/>
        </w:rPr>
        <w:t>.</w:t>
      </w:r>
      <w:r w:rsidR="009C4448" w:rsidRPr="00FA40F2">
        <w:rPr>
          <w:color w:val="000000" w:themeColor="text1"/>
          <w:sz w:val="20"/>
          <w:szCs w:val="20"/>
        </w:rPr>
        <w:tab/>
        <w:t xml:space="preserve">At the </w:t>
      </w:r>
      <w:r w:rsidR="009C4448">
        <w:rPr>
          <w:color w:val="000000" w:themeColor="text1"/>
          <w:sz w:val="20"/>
          <w:szCs w:val="20"/>
        </w:rPr>
        <w:t>48th and 49th</w:t>
      </w:r>
      <w:r w:rsidR="009C4448" w:rsidRPr="00FA40F2">
        <w:rPr>
          <w:color w:val="000000" w:themeColor="text1"/>
          <w:sz w:val="20"/>
          <w:szCs w:val="20"/>
        </w:rPr>
        <w:t xml:space="preserve"> meeting</w:t>
      </w:r>
      <w:r w:rsidR="009C4448">
        <w:rPr>
          <w:color w:val="000000" w:themeColor="text1"/>
          <w:sz w:val="20"/>
          <w:szCs w:val="20"/>
        </w:rPr>
        <w:t>s</w:t>
      </w:r>
      <w:r w:rsidR="009C4448" w:rsidRPr="00FA40F2">
        <w:rPr>
          <w:color w:val="000000" w:themeColor="text1"/>
          <w:sz w:val="20"/>
          <w:szCs w:val="20"/>
        </w:rPr>
        <w:t xml:space="preserve">, </w:t>
      </w:r>
      <w:r w:rsidR="009C4448">
        <w:rPr>
          <w:color w:val="000000" w:themeColor="text1"/>
          <w:sz w:val="20"/>
          <w:szCs w:val="20"/>
        </w:rPr>
        <w:t xml:space="preserve">on the same day, </w:t>
      </w:r>
      <w:r w:rsidR="009C4448" w:rsidRPr="00FA40F2">
        <w:rPr>
          <w:color w:val="000000" w:themeColor="text1"/>
          <w:sz w:val="20"/>
          <w:szCs w:val="20"/>
        </w:rPr>
        <w:t>the representatives of Colombia, Cyprus</w:t>
      </w:r>
      <w:r w:rsidR="00025955">
        <w:rPr>
          <w:color w:val="000000" w:themeColor="text1"/>
          <w:sz w:val="20"/>
          <w:szCs w:val="20"/>
        </w:rPr>
        <w:t>,</w:t>
      </w:r>
      <w:r w:rsidR="009C4448">
        <w:rPr>
          <w:color w:val="000000" w:themeColor="text1"/>
          <w:sz w:val="20"/>
          <w:szCs w:val="20"/>
        </w:rPr>
        <w:t xml:space="preserve"> </w:t>
      </w:r>
      <w:r w:rsidR="009C4448" w:rsidRPr="00FA40F2">
        <w:rPr>
          <w:color w:val="000000" w:themeColor="text1"/>
          <w:sz w:val="20"/>
          <w:szCs w:val="20"/>
        </w:rPr>
        <w:t>Guatemala</w:t>
      </w:r>
      <w:r w:rsidR="00F16EE8">
        <w:rPr>
          <w:color w:val="000000" w:themeColor="text1"/>
          <w:sz w:val="20"/>
          <w:szCs w:val="20"/>
        </w:rPr>
        <w:t xml:space="preserve">, </w:t>
      </w:r>
      <w:r w:rsidR="00F16EE8" w:rsidRPr="00FA40F2">
        <w:rPr>
          <w:color w:val="000000" w:themeColor="text1"/>
          <w:sz w:val="20"/>
          <w:szCs w:val="20"/>
        </w:rPr>
        <w:t>Honduras,</w:t>
      </w:r>
      <w:r w:rsidR="00371435">
        <w:rPr>
          <w:color w:val="000000" w:themeColor="text1"/>
          <w:sz w:val="20"/>
          <w:szCs w:val="20"/>
        </w:rPr>
        <w:t xml:space="preserve"> </w:t>
      </w:r>
      <w:r w:rsidR="001D1B52" w:rsidRPr="00FA40F2">
        <w:rPr>
          <w:color w:val="000000" w:themeColor="text1"/>
          <w:sz w:val="20"/>
          <w:szCs w:val="20"/>
        </w:rPr>
        <w:t>Iran (Islamic Republic of)</w:t>
      </w:r>
      <w:r w:rsidR="001D1B52">
        <w:rPr>
          <w:color w:val="000000" w:themeColor="text1"/>
          <w:sz w:val="20"/>
          <w:szCs w:val="20"/>
        </w:rPr>
        <w:t>,</w:t>
      </w:r>
      <w:r w:rsidR="001D1B52" w:rsidRPr="00FA40F2">
        <w:rPr>
          <w:color w:val="000000" w:themeColor="text1"/>
          <w:sz w:val="20"/>
          <w:szCs w:val="20"/>
        </w:rPr>
        <w:t xml:space="preserve"> </w:t>
      </w:r>
      <w:r w:rsidR="00F16EE8">
        <w:rPr>
          <w:color w:val="000000" w:themeColor="text1"/>
          <w:sz w:val="20"/>
          <w:szCs w:val="20"/>
        </w:rPr>
        <w:t>Myanmar</w:t>
      </w:r>
      <w:r w:rsidR="00261D42">
        <w:rPr>
          <w:color w:val="000000" w:themeColor="text1"/>
          <w:sz w:val="20"/>
          <w:szCs w:val="20"/>
        </w:rPr>
        <w:t>,</w:t>
      </w:r>
      <w:r w:rsidR="00261D42" w:rsidRPr="00261D42">
        <w:rPr>
          <w:color w:val="000000" w:themeColor="text1"/>
          <w:sz w:val="20"/>
          <w:szCs w:val="20"/>
        </w:rPr>
        <w:t xml:space="preserve"> </w:t>
      </w:r>
      <w:r w:rsidR="00261D42" w:rsidRPr="00FD5842">
        <w:rPr>
          <w:color w:val="000000" w:themeColor="text1"/>
          <w:sz w:val="20"/>
          <w:szCs w:val="20"/>
        </w:rPr>
        <w:t>Venezuela</w:t>
      </w:r>
      <w:r w:rsidR="00261D42">
        <w:rPr>
          <w:color w:val="000000" w:themeColor="text1"/>
          <w:sz w:val="20"/>
          <w:szCs w:val="20"/>
        </w:rPr>
        <w:t xml:space="preserve"> (</w:t>
      </w:r>
      <w:r w:rsidR="00261D42" w:rsidRPr="00FD5842">
        <w:rPr>
          <w:color w:val="000000" w:themeColor="text1"/>
          <w:sz w:val="20"/>
          <w:szCs w:val="20"/>
        </w:rPr>
        <w:t>Bolivarian Republic of</w:t>
      </w:r>
      <w:r w:rsidR="00261D42">
        <w:rPr>
          <w:color w:val="000000" w:themeColor="text1"/>
          <w:sz w:val="20"/>
          <w:szCs w:val="20"/>
        </w:rPr>
        <w:t>)</w:t>
      </w:r>
      <w:r w:rsidR="005E1983">
        <w:rPr>
          <w:color w:val="000000" w:themeColor="text1"/>
          <w:sz w:val="20"/>
          <w:szCs w:val="20"/>
        </w:rPr>
        <w:t xml:space="preserve"> and Yemen</w:t>
      </w:r>
      <w:r w:rsidR="00960973" w:rsidRPr="00960973">
        <w:rPr>
          <w:color w:val="000000" w:themeColor="text1"/>
          <w:sz w:val="20"/>
          <w:szCs w:val="20"/>
        </w:rPr>
        <w:t xml:space="preserve"> </w:t>
      </w:r>
      <w:r w:rsidR="00960973" w:rsidRPr="00FA40F2">
        <w:rPr>
          <w:color w:val="000000" w:themeColor="text1"/>
          <w:sz w:val="20"/>
          <w:szCs w:val="20"/>
        </w:rPr>
        <w:t>made statements as the States concerned.</w:t>
      </w:r>
    </w:p>
    <w:p w14:paraId="2EA587F4" w14:textId="376E8FC9" w:rsidR="00F11B08" w:rsidRPr="0067399B" w:rsidRDefault="009B6FCB" w:rsidP="00F11B08">
      <w:pPr>
        <w:pStyle w:val="SingleTxtG"/>
        <w:rPr>
          <w:color w:val="000000" w:themeColor="text1"/>
          <w:sz w:val="20"/>
          <w:szCs w:val="20"/>
        </w:rPr>
      </w:pPr>
      <w:r>
        <w:rPr>
          <w:color w:val="000000" w:themeColor="text1"/>
          <w:sz w:val="20"/>
          <w:szCs w:val="20"/>
        </w:rPr>
        <w:t>60</w:t>
      </w:r>
      <w:r w:rsidR="00F11B08" w:rsidRPr="00FA40F2">
        <w:rPr>
          <w:color w:val="000000" w:themeColor="text1"/>
          <w:sz w:val="20"/>
          <w:szCs w:val="20"/>
        </w:rPr>
        <w:t>.</w:t>
      </w:r>
      <w:r w:rsidR="00F11B08" w:rsidRPr="00FA40F2">
        <w:rPr>
          <w:color w:val="000000" w:themeColor="text1"/>
          <w:sz w:val="20"/>
          <w:szCs w:val="20"/>
        </w:rPr>
        <w:tab/>
        <w:t xml:space="preserve">During the ensuing general debate, at the </w:t>
      </w:r>
      <w:r w:rsidR="00FA40F2" w:rsidRPr="00FA40F2">
        <w:rPr>
          <w:color w:val="000000" w:themeColor="text1"/>
          <w:sz w:val="20"/>
          <w:szCs w:val="20"/>
        </w:rPr>
        <w:t>48</w:t>
      </w:r>
      <w:r w:rsidR="00F11B08" w:rsidRPr="00FA40F2">
        <w:rPr>
          <w:color w:val="000000" w:themeColor="text1"/>
          <w:sz w:val="20"/>
          <w:szCs w:val="20"/>
        </w:rPr>
        <w:t xml:space="preserve">th </w:t>
      </w:r>
      <w:r w:rsidR="00FA40F2">
        <w:rPr>
          <w:color w:val="000000" w:themeColor="text1"/>
          <w:sz w:val="20"/>
          <w:szCs w:val="20"/>
        </w:rPr>
        <w:t xml:space="preserve">to 49th </w:t>
      </w:r>
      <w:r w:rsidR="00F11B08" w:rsidRPr="00FA40F2">
        <w:rPr>
          <w:color w:val="000000" w:themeColor="text1"/>
          <w:sz w:val="20"/>
          <w:szCs w:val="20"/>
        </w:rPr>
        <w:t>meeting</w:t>
      </w:r>
      <w:r w:rsidR="00FA40F2">
        <w:rPr>
          <w:color w:val="000000" w:themeColor="text1"/>
          <w:sz w:val="20"/>
          <w:szCs w:val="20"/>
        </w:rPr>
        <w:t>s</w:t>
      </w:r>
      <w:r w:rsidR="00F11B08" w:rsidRPr="00FA40F2">
        <w:rPr>
          <w:color w:val="000000" w:themeColor="text1"/>
          <w:sz w:val="20"/>
          <w:szCs w:val="20"/>
        </w:rPr>
        <w:t>,</w:t>
      </w:r>
      <w:r w:rsidR="00A55019" w:rsidRPr="00FA40F2">
        <w:rPr>
          <w:color w:val="000000" w:themeColor="text1"/>
          <w:sz w:val="20"/>
          <w:szCs w:val="20"/>
        </w:rPr>
        <w:t xml:space="preserve"> on 2</w:t>
      </w:r>
      <w:r w:rsidR="00FA40F2" w:rsidRPr="00FA40F2">
        <w:rPr>
          <w:color w:val="000000" w:themeColor="text1"/>
          <w:sz w:val="20"/>
          <w:szCs w:val="20"/>
        </w:rPr>
        <w:t>0</w:t>
      </w:r>
      <w:r w:rsidR="00F11B08" w:rsidRPr="00FA40F2">
        <w:rPr>
          <w:color w:val="000000" w:themeColor="text1"/>
          <w:sz w:val="20"/>
          <w:szCs w:val="20"/>
        </w:rPr>
        <w:t xml:space="preserve"> March </w:t>
      </w:r>
      <w:r w:rsidR="00141AFC" w:rsidRPr="00FA40F2">
        <w:rPr>
          <w:color w:val="000000" w:themeColor="text1"/>
          <w:sz w:val="20"/>
          <w:szCs w:val="20"/>
        </w:rPr>
        <w:t>2019</w:t>
      </w:r>
      <w:r w:rsidR="00F11B08" w:rsidRPr="00FA40F2">
        <w:rPr>
          <w:color w:val="000000" w:themeColor="text1"/>
          <w:sz w:val="20"/>
          <w:szCs w:val="20"/>
        </w:rPr>
        <w:t>,</w:t>
      </w:r>
      <w:r w:rsidR="005739CF">
        <w:rPr>
          <w:color w:val="000000" w:themeColor="text1"/>
          <w:sz w:val="20"/>
          <w:szCs w:val="20"/>
        </w:rPr>
        <w:t xml:space="preserve"> and at the 50th</w:t>
      </w:r>
      <w:r w:rsidR="00F11B08" w:rsidRPr="00FA40F2">
        <w:rPr>
          <w:color w:val="000000" w:themeColor="text1"/>
          <w:sz w:val="20"/>
          <w:szCs w:val="20"/>
        </w:rPr>
        <w:t xml:space="preserve"> </w:t>
      </w:r>
      <w:r w:rsidR="005739CF">
        <w:rPr>
          <w:color w:val="000000" w:themeColor="text1"/>
          <w:sz w:val="20"/>
          <w:szCs w:val="20"/>
        </w:rPr>
        <w:t xml:space="preserve">meeting, on 21 March 2019, </w:t>
      </w:r>
      <w:r w:rsidR="00FA40F2" w:rsidRPr="00FA40F2">
        <w:rPr>
          <w:color w:val="000000" w:themeColor="text1"/>
          <w:sz w:val="20"/>
          <w:szCs w:val="20"/>
        </w:rPr>
        <w:t>t</w:t>
      </w:r>
      <w:r w:rsidR="00F11B08" w:rsidRPr="00FA40F2">
        <w:rPr>
          <w:color w:val="000000" w:themeColor="text1"/>
          <w:sz w:val="20"/>
          <w:szCs w:val="20"/>
        </w:rPr>
        <w:t>he following made statements:</w:t>
      </w:r>
    </w:p>
    <w:p w14:paraId="2EA587F5" w14:textId="1542EC66" w:rsidR="00F11B08" w:rsidRPr="0067399B" w:rsidRDefault="00F11B08" w:rsidP="00F11B08">
      <w:pPr>
        <w:pStyle w:val="SingleTxtG"/>
        <w:ind w:firstLine="567"/>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w:t>
      </w:r>
      <w:r w:rsidR="006D3518">
        <w:rPr>
          <w:color w:val="000000" w:themeColor="text1"/>
          <w:sz w:val="20"/>
          <w:szCs w:val="20"/>
        </w:rPr>
        <w:t xml:space="preserve"> </w:t>
      </w:r>
      <w:r w:rsidR="00C07DAC" w:rsidRPr="00C07DAC">
        <w:rPr>
          <w:color w:val="000000" w:themeColor="text1"/>
          <w:sz w:val="20"/>
          <w:szCs w:val="20"/>
        </w:rPr>
        <w:t>Australia</w:t>
      </w:r>
      <w:r w:rsidR="00C07DAC">
        <w:rPr>
          <w:color w:val="000000" w:themeColor="text1"/>
          <w:sz w:val="20"/>
          <w:szCs w:val="20"/>
        </w:rPr>
        <w:t xml:space="preserve">, </w:t>
      </w:r>
      <w:r w:rsidR="00C07DAC" w:rsidRPr="00870BA7">
        <w:rPr>
          <w:color w:val="000000" w:themeColor="text1"/>
          <w:sz w:val="20"/>
          <w:szCs w:val="20"/>
        </w:rPr>
        <w:t xml:space="preserve">Bahrain </w:t>
      </w:r>
      <w:r w:rsidR="00C07DAC">
        <w:rPr>
          <w:color w:val="000000" w:themeColor="text1"/>
          <w:sz w:val="20"/>
          <w:szCs w:val="20"/>
        </w:rPr>
        <w:t>(</w:t>
      </w:r>
      <w:r w:rsidR="00C07DAC" w:rsidRPr="00801C50">
        <w:rPr>
          <w:color w:val="000000" w:themeColor="text1"/>
          <w:sz w:val="20"/>
          <w:szCs w:val="20"/>
        </w:rPr>
        <w:t>also on behalf of</w:t>
      </w:r>
      <w:r w:rsidR="00C07DAC">
        <w:rPr>
          <w:color w:val="000000" w:themeColor="text1"/>
          <w:sz w:val="20"/>
          <w:szCs w:val="20"/>
        </w:rPr>
        <w:t xml:space="preserve"> </w:t>
      </w:r>
      <w:r w:rsidR="00801C50">
        <w:rPr>
          <w:color w:val="000000" w:themeColor="text1"/>
          <w:sz w:val="20"/>
          <w:szCs w:val="20"/>
        </w:rPr>
        <w:t>Djibouti, Egypt, Jordan, Kuwait, Pakistan, Saudi Arabia, Senegal, the Sudan, the United Arab Emirates and Yemen</w:t>
      </w:r>
      <w:r w:rsidR="00C07DAC">
        <w:rPr>
          <w:color w:val="000000" w:themeColor="text1"/>
          <w:sz w:val="20"/>
          <w:szCs w:val="20"/>
        </w:rPr>
        <w:t xml:space="preserve">), </w:t>
      </w:r>
      <w:r w:rsidR="00C07DAC" w:rsidRPr="00C07DAC">
        <w:rPr>
          <w:color w:val="000000" w:themeColor="text1"/>
          <w:sz w:val="20"/>
          <w:szCs w:val="20"/>
        </w:rPr>
        <w:t>Bangladesh</w:t>
      </w:r>
      <w:r w:rsidR="00C07DAC">
        <w:rPr>
          <w:color w:val="000000" w:themeColor="text1"/>
          <w:sz w:val="20"/>
          <w:szCs w:val="20"/>
        </w:rPr>
        <w:t xml:space="preserve">, </w:t>
      </w:r>
      <w:r w:rsidR="00C07DAC" w:rsidRPr="00C07DAC">
        <w:rPr>
          <w:color w:val="000000" w:themeColor="text1"/>
          <w:sz w:val="20"/>
          <w:szCs w:val="20"/>
        </w:rPr>
        <w:t>Brazil</w:t>
      </w:r>
      <w:r w:rsidR="00C07DAC">
        <w:rPr>
          <w:color w:val="000000" w:themeColor="text1"/>
          <w:sz w:val="20"/>
          <w:szCs w:val="20"/>
        </w:rPr>
        <w:t xml:space="preserve">, </w:t>
      </w:r>
      <w:r w:rsidR="00C07DAC" w:rsidRPr="00C07DAC">
        <w:rPr>
          <w:color w:val="000000" w:themeColor="text1"/>
          <w:sz w:val="20"/>
          <w:szCs w:val="20"/>
        </w:rPr>
        <w:t>Bulgaria</w:t>
      </w:r>
      <w:r w:rsidR="00C07DAC">
        <w:rPr>
          <w:color w:val="000000" w:themeColor="text1"/>
          <w:sz w:val="20"/>
          <w:szCs w:val="20"/>
        </w:rPr>
        <w:t xml:space="preserve">, </w:t>
      </w:r>
      <w:r w:rsidR="00C07DAC" w:rsidRPr="00C07DAC">
        <w:rPr>
          <w:color w:val="000000" w:themeColor="text1"/>
          <w:sz w:val="20"/>
          <w:szCs w:val="20"/>
        </w:rPr>
        <w:t>China</w:t>
      </w:r>
      <w:r w:rsidR="00C07DAC">
        <w:rPr>
          <w:color w:val="000000" w:themeColor="text1"/>
          <w:sz w:val="20"/>
          <w:szCs w:val="20"/>
        </w:rPr>
        <w:t xml:space="preserve">, </w:t>
      </w:r>
      <w:r w:rsidR="00C07DAC" w:rsidRPr="00C07DAC">
        <w:rPr>
          <w:color w:val="000000" w:themeColor="text1"/>
          <w:sz w:val="20"/>
          <w:szCs w:val="20"/>
        </w:rPr>
        <w:t>Croatia</w:t>
      </w:r>
      <w:r w:rsidR="00C07DAC">
        <w:rPr>
          <w:color w:val="000000" w:themeColor="text1"/>
          <w:sz w:val="20"/>
          <w:szCs w:val="20"/>
        </w:rPr>
        <w:t xml:space="preserve">, </w:t>
      </w:r>
      <w:r w:rsidR="00C07DAC" w:rsidRPr="00C07DAC">
        <w:rPr>
          <w:color w:val="000000" w:themeColor="text1"/>
          <w:sz w:val="20"/>
          <w:szCs w:val="20"/>
        </w:rPr>
        <w:t>Cuba</w:t>
      </w:r>
      <w:r w:rsidR="00C07DAC">
        <w:rPr>
          <w:color w:val="000000" w:themeColor="text1"/>
          <w:sz w:val="20"/>
          <w:szCs w:val="20"/>
        </w:rPr>
        <w:t xml:space="preserve">, </w:t>
      </w:r>
      <w:r w:rsidR="00C07DAC" w:rsidRPr="00870BA7">
        <w:rPr>
          <w:color w:val="000000" w:themeColor="text1"/>
          <w:sz w:val="20"/>
          <w:szCs w:val="20"/>
        </w:rPr>
        <w:t xml:space="preserve">Cuba </w:t>
      </w:r>
      <w:r w:rsidR="00C07DAC">
        <w:rPr>
          <w:color w:val="000000" w:themeColor="text1"/>
          <w:sz w:val="20"/>
          <w:szCs w:val="20"/>
        </w:rPr>
        <w:t xml:space="preserve">(also on behalf </w:t>
      </w:r>
      <w:r w:rsidR="00C07DAC" w:rsidRPr="00870BA7">
        <w:rPr>
          <w:color w:val="000000" w:themeColor="text1"/>
          <w:sz w:val="20"/>
          <w:szCs w:val="20"/>
        </w:rPr>
        <w:t>of Bolivia (Plurinational State of), Nicaragua and Vene</w:t>
      </w:r>
      <w:r w:rsidR="00C07DAC">
        <w:rPr>
          <w:color w:val="000000" w:themeColor="text1"/>
          <w:sz w:val="20"/>
          <w:szCs w:val="20"/>
        </w:rPr>
        <w:t xml:space="preserve">zuela (Bolivarian Republic of)), </w:t>
      </w:r>
      <w:r w:rsidR="00C07DAC" w:rsidRPr="00C07DAC">
        <w:rPr>
          <w:color w:val="000000" w:themeColor="text1"/>
          <w:sz w:val="20"/>
          <w:szCs w:val="20"/>
        </w:rPr>
        <w:t>Japan</w:t>
      </w:r>
      <w:r w:rsidR="00C07DAC">
        <w:rPr>
          <w:color w:val="000000" w:themeColor="text1"/>
          <w:sz w:val="20"/>
          <w:szCs w:val="20"/>
        </w:rPr>
        <w:t xml:space="preserve">, </w:t>
      </w:r>
      <w:r w:rsidR="00C07DAC" w:rsidRPr="00C07DAC">
        <w:rPr>
          <w:color w:val="000000" w:themeColor="text1"/>
          <w:sz w:val="20"/>
          <w:szCs w:val="20"/>
        </w:rPr>
        <w:t>Mexico</w:t>
      </w:r>
      <w:r w:rsidR="00C07DAC">
        <w:rPr>
          <w:color w:val="000000" w:themeColor="text1"/>
          <w:sz w:val="20"/>
          <w:szCs w:val="20"/>
        </w:rPr>
        <w:t xml:space="preserve">, </w:t>
      </w:r>
      <w:r w:rsidR="00C07DAC" w:rsidRPr="00C07DAC">
        <w:rPr>
          <w:color w:val="000000" w:themeColor="text1"/>
          <w:sz w:val="20"/>
          <w:szCs w:val="20"/>
        </w:rPr>
        <w:t>Pakistan</w:t>
      </w:r>
      <w:r w:rsidR="00C07DAC">
        <w:rPr>
          <w:color w:val="000000" w:themeColor="text1"/>
          <w:sz w:val="20"/>
          <w:szCs w:val="20"/>
        </w:rPr>
        <w:t xml:space="preserve"> (also </w:t>
      </w:r>
      <w:r w:rsidR="00C07DAC" w:rsidRPr="00870BA7">
        <w:rPr>
          <w:color w:val="000000" w:themeColor="text1"/>
          <w:sz w:val="20"/>
          <w:szCs w:val="20"/>
        </w:rPr>
        <w:t xml:space="preserve">on behalf of </w:t>
      </w:r>
      <w:r w:rsidR="00C07DAC">
        <w:rPr>
          <w:color w:val="000000" w:themeColor="text1"/>
          <w:sz w:val="20"/>
          <w:szCs w:val="20"/>
        </w:rPr>
        <w:t xml:space="preserve">the </w:t>
      </w:r>
      <w:r w:rsidR="00C07DAC" w:rsidRPr="00870BA7">
        <w:rPr>
          <w:color w:val="000000" w:themeColor="text1"/>
          <w:sz w:val="20"/>
          <w:szCs w:val="20"/>
        </w:rPr>
        <w:t>Organiza</w:t>
      </w:r>
      <w:r w:rsidR="00C07DAC">
        <w:rPr>
          <w:color w:val="000000" w:themeColor="text1"/>
          <w:sz w:val="20"/>
          <w:szCs w:val="20"/>
        </w:rPr>
        <w:t>tion of Islamic Cooperation</w:t>
      </w:r>
      <w:r w:rsidR="00C07DAC" w:rsidRPr="00870BA7">
        <w:rPr>
          <w:color w:val="000000" w:themeColor="text1"/>
          <w:sz w:val="20"/>
          <w:szCs w:val="20"/>
        </w:rPr>
        <w:t>)</w:t>
      </w:r>
      <w:r w:rsidR="00C07DAC">
        <w:rPr>
          <w:color w:val="000000" w:themeColor="text1"/>
          <w:sz w:val="20"/>
          <w:szCs w:val="20"/>
        </w:rPr>
        <w:t xml:space="preserve">, </w:t>
      </w:r>
      <w:r w:rsidR="00C07DAC" w:rsidRPr="00870BA7">
        <w:rPr>
          <w:color w:val="000000" w:themeColor="text1"/>
          <w:sz w:val="20"/>
          <w:szCs w:val="20"/>
        </w:rPr>
        <w:t xml:space="preserve">Peru </w:t>
      </w:r>
      <w:r w:rsidR="00C07DAC">
        <w:rPr>
          <w:color w:val="000000" w:themeColor="text1"/>
          <w:sz w:val="20"/>
          <w:szCs w:val="20"/>
        </w:rPr>
        <w:t>(</w:t>
      </w:r>
      <w:r w:rsidR="00C07DAC" w:rsidRPr="0084045B">
        <w:rPr>
          <w:color w:val="000000" w:themeColor="text1"/>
          <w:sz w:val="20"/>
          <w:szCs w:val="20"/>
        </w:rPr>
        <w:t>also on behalf of</w:t>
      </w:r>
      <w:r w:rsidR="00C07DAC" w:rsidRPr="00870BA7">
        <w:rPr>
          <w:color w:val="000000" w:themeColor="text1"/>
          <w:sz w:val="20"/>
          <w:szCs w:val="20"/>
        </w:rPr>
        <w:t xml:space="preserve"> </w:t>
      </w:r>
      <w:r w:rsidR="00C07DAC">
        <w:rPr>
          <w:color w:val="000000" w:themeColor="text1"/>
          <w:sz w:val="20"/>
          <w:szCs w:val="20"/>
        </w:rPr>
        <w:t xml:space="preserve">Albania, Andorra, Argentina, Australia, Austria, Belgium, Brazil, Bulgaria, Canada, Chile, Colombia, Costa Rica, Croatia, Cyprus, Czechia, Denmark, Estonia, Finland, France, Georgia, Germany, Greece, Guatemala, Guyana, Hunduras, Hungary, Iceland, Ireland, Israel, Italy, Japan, Latvia, Liechtenstein, Lithuania, Luxembourg, Malta, </w:t>
      </w:r>
      <w:r w:rsidR="00F37B19">
        <w:rPr>
          <w:color w:val="000000" w:themeColor="text1"/>
          <w:sz w:val="20"/>
          <w:szCs w:val="20"/>
        </w:rPr>
        <w:t xml:space="preserve">Mexico, </w:t>
      </w:r>
      <w:r w:rsidR="00C07DAC">
        <w:rPr>
          <w:color w:val="000000" w:themeColor="text1"/>
          <w:sz w:val="20"/>
          <w:szCs w:val="20"/>
        </w:rPr>
        <w:t xml:space="preserve">Monaco, Montenegro, the Netherlands, New Zealand, North Macedonia, Norway, Panama, Paraguay, Poland, Portugal, the Republic of Moldova, Romania, Slovakia, Slovenia, Spain, Sweden, Switzerland, Ukraine and the </w:t>
      </w:r>
      <w:r w:rsidR="00C07DAC" w:rsidRPr="00EE217A">
        <w:rPr>
          <w:color w:val="000000" w:themeColor="text1"/>
          <w:sz w:val="20"/>
          <w:szCs w:val="20"/>
        </w:rPr>
        <w:t>United Kingdom of Great Britain and Northern Ireland</w:t>
      </w:r>
      <w:r w:rsidR="00C07DAC">
        <w:rPr>
          <w:color w:val="000000" w:themeColor="text1"/>
          <w:sz w:val="20"/>
          <w:szCs w:val="20"/>
        </w:rPr>
        <w:t xml:space="preserve">), </w:t>
      </w:r>
      <w:r w:rsidR="00C07DAC" w:rsidRPr="00C07DAC">
        <w:rPr>
          <w:color w:val="000000" w:themeColor="text1"/>
          <w:sz w:val="20"/>
          <w:szCs w:val="20"/>
        </w:rPr>
        <w:t>Qatar</w:t>
      </w:r>
      <w:r w:rsidR="00C07DAC">
        <w:rPr>
          <w:color w:val="000000" w:themeColor="text1"/>
          <w:sz w:val="20"/>
          <w:szCs w:val="20"/>
        </w:rPr>
        <w:t xml:space="preserve">, </w:t>
      </w:r>
      <w:r w:rsidR="00C07DAC" w:rsidRPr="00870BA7">
        <w:rPr>
          <w:color w:val="000000" w:themeColor="text1"/>
          <w:sz w:val="20"/>
          <w:szCs w:val="20"/>
        </w:rPr>
        <w:t>Romania</w:t>
      </w:r>
      <w:r w:rsidR="00AB550D">
        <w:rPr>
          <w:rStyle w:val="FootnoteReference"/>
          <w:color w:val="000000" w:themeColor="text1"/>
          <w:szCs w:val="20"/>
        </w:rPr>
        <w:footnoteReference w:id="10"/>
      </w:r>
      <w:r w:rsidR="00C07DAC" w:rsidRPr="00870BA7">
        <w:rPr>
          <w:color w:val="000000" w:themeColor="text1"/>
          <w:sz w:val="20"/>
          <w:szCs w:val="20"/>
        </w:rPr>
        <w:t xml:space="preserve"> </w:t>
      </w:r>
      <w:r w:rsidR="00C07DAC">
        <w:rPr>
          <w:color w:val="000000" w:themeColor="text1"/>
          <w:sz w:val="20"/>
          <w:szCs w:val="20"/>
        </w:rPr>
        <w:t>(</w:t>
      </w:r>
      <w:r w:rsidR="00C07DAC" w:rsidRPr="00870BA7">
        <w:rPr>
          <w:color w:val="000000" w:themeColor="text1"/>
          <w:sz w:val="20"/>
          <w:szCs w:val="20"/>
        </w:rPr>
        <w:t xml:space="preserve">on behalf of </w:t>
      </w:r>
      <w:r w:rsidR="00C07DAC">
        <w:rPr>
          <w:color w:val="000000" w:themeColor="text1"/>
          <w:sz w:val="20"/>
          <w:szCs w:val="20"/>
        </w:rPr>
        <w:t xml:space="preserve">the European Union), </w:t>
      </w:r>
      <w:r w:rsidR="00C07DAC" w:rsidRPr="00C07DAC">
        <w:rPr>
          <w:color w:val="000000" w:themeColor="text1"/>
          <w:sz w:val="20"/>
          <w:szCs w:val="20"/>
        </w:rPr>
        <w:t>Spain</w:t>
      </w:r>
      <w:r w:rsidR="00C07DAC">
        <w:rPr>
          <w:color w:val="000000" w:themeColor="text1"/>
          <w:sz w:val="20"/>
          <w:szCs w:val="20"/>
        </w:rPr>
        <w:t xml:space="preserve">, </w:t>
      </w:r>
      <w:r w:rsidR="00C07DAC" w:rsidRPr="00870BA7">
        <w:rPr>
          <w:color w:val="000000" w:themeColor="text1"/>
          <w:sz w:val="20"/>
          <w:szCs w:val="20"/>
        </w:rPr>
        <w:t>Sweden</w:t>
      </w:r>
      <w:r w:rsidR="00AB550D">
        <w:rPr>
          <w:rStyle w:val="FootnoteReference"/>
          <w:color w:val="000000" w:themeColor="text1"/>
          <w:szCs w:val="20"/>
        </w:rPr>
        <w:footnoteReference w:id="11"/>
      </w:r>
      <w:r w:rsidR="00C07DAC" w:rsidRPr="00870BA7">
        <w:rPr>
          <w:color w:val="000000" w:themeColor="text1"/>
          <w:sz w:val="20"/>
          <w:szCs w:val="20"/>
        </w:rPr>
        <w:t xml:space="preserve"> </w:t>
      </w:r>
      <w:r w:rsidR="00C07DAC">
        <w:rPr>
          <w:color w:val="000000" w:themeColor="text1"/>
          <w:sz w:val="20"/>
          <w:szCs w:val="20"/>
        </w:rPr>
        <w:t xml:space="preserve">(also </w:t>
      </w:r>
      <w:r w:rsidR="00C07DAC" w:rsidRPr="00870BA7">
        <w:rPr>
          <w:color w:val="000000" w:themeColor="text1"/>
          <w:sz w:val="20"/>
          <w:szCs w:val="20"/>
        </w:rPr>
        <w:t xml:space="preserve">on behalf of </w:t>
      </w:r>
      <w:r w:rsidR="00C07DAC">
        <w:rPr>
          <w:color w:val="000000" w:themeColor="text1"/>
          <w:sz w:val="20"/>
          <w:szCs w:val="20"/>
        </w:rPr>
        <w:t xml:space="preserve">Denmark, Finland, Iceland and Norway), </w:t>
      </w:r>
      <w:r w:rsidR="00C07DAC" w:rsidRPr="00C07DAC">
        <w:rPr>
          <w:color w:val="000000" w:themeColor="text1"/>
          <w:sz w:val="20"/>
          <w:szCs w:val="20"/>
        </w:rPr>
        <w:t>United Kingdom of Great Britain and Northern Ireland</w:t>
      </w:r>
      <w:r w:rsidRPr="0067399B">
        <w:rPr>
          <w:color w:val="000000" w:themeColor="text1"/>
          <w:sz w:val="20"/>
          <w:szCs w:val="20"/>
        </w:rPr>
        <w:t>;</w:t>
      </w:r>
    </w:p>
    <w:p w14:paraId="2EA587F6" w14:textId="28D9C13B" w:rsidR="00F11B08" w:rsidRPr="0067399B" w:rsidRDefault="00F11B08" w:rsidP="00F11B08">
      <w:pPr>
        <w:pStyle w:val="SingleTxtG"/>
        <w:ind w:firstLine="567"/>
        <w:rPr>
          <w:color w:val="000000" w:themeColor="text1"/>
          <w:sz w:val="20"/>
          <w:szCs w:val="20"/>
        </w:rPr>
      </w:pPr>
      <w:r w:rsidRPr="0067399B">
        <w:rPr>
          <w:color w:val="000000" w:themeColor="text1"/>
          <w:sz w:val="20"/>
          <w:szCs w:val="20"/>
        </w:rPr>
        <w:t>(b)</w:t>
      </w:r>
      <w:r w:rsidRPr="0067399B">
        <w:rPr>
          <w:color w:val="000000" w:themeColor="text1"/>
          <w:sz w:val="20"/>
          <w:szCs w:val="20"/>
        </w:rPr>
        <w:tab/>
        <w:t xml:space="preserve">Representatives of observer States: </w:t>
      </w:r>
      <w:r w:rsidR="00C07DAC" w:rsidRPr="00C07DAC">
        <w:rPr>
          <w:color w:val="000000" w:themeColor="text1"/>
          <w:sz w:val="20"/>
          <w:szCs w:val="20"/>
        </w:rPr>
        <w:t>Belarus</w:t>
      </w:r>
      <w:r w:rsidR="00C07DAC">
        <w:rPr>
          <w:color w:val="000000" w:themeColor="text1"/>
          <w:sz w:val="20"/>
          <w:szCs w:val="20"/>
        </w:rPr>
        <w:t xml:space="preserve">, </w:t>
      </w:r>
      <w:r w:rsidR="00C07DAC" w:rsidRPr="00C07DAC">
        <w:rPr>
          <w:color w:val="000000" w:themeColor="text1"/>
          <w:sz w:val="20"/>
          <w:szCs w:val="20"/>
        </w:rPr>
        <w:t>Bolivia (Plurinational State of)</w:t>
      </w:r>
      <w:r w:rsidR="00C07DAC">
        <w:rPr>
          <w:color w:val="000000" w:themeColor="text1"/>
          <w:sz w:val="20"/>
          <w:szCs w:val="20"/>
        </w:rPr>
        <w:t xml:space="preserve">, </w:t>
      </w:r>
      <w:r w:rsidR="00C07DAC" w:rsidRPr="00C07DAC">
        <w:rPr>
          <w:color w:val="000000" w:themeColor="text1"/>
          <w:sz w:val="20"/>
          <w:szCs w:val="20"/>
        </w:rPr>
        <w:t>Democratic People</w:t>
      </w:r>
      <w:r w:rsidR="00D72627">
        <w:rPr>
          <w:color w:val="000000" w:themeColor="text1"/>
          <w:sz w:val="20"/>
          <w:szCs w:val="20"/>
        </w:rPr>
        <w:t>’</w:t>
      </w:r>
      <w:r w:rsidR="00C07DAC" w:rsidRPr="00C07DAC">
        <w:rPr>
          <w:color w:val="000000" w:themeColor="text1"/>
          <w:sz w:val="20"/>
          <w:szCs w:val="20"/>
        </w:rPr>
        <w:t>s Republic of Korea</w:t>
      </w:r>
      <w:r w:rsidR="00C07DAC">
        <w:rPr>
          <w:color w:val="000000" w:themeColor="text1"/>
          <w:sz w:val="20"/>
          <w:szCs w:val="20"/>
        </w:rPr>
        <w:t xml:space="preserve">, </w:t>
      </w:r>
      <w:r w:rsidR="00C07DAC" w:rsidRPr="00C07DAC">
        <w:rPr>
          <w:color w:val="000000" w:themeColor="text1"/>
          <w:sz w:val="20"/>
          <w:szCs w:val="20"/>
        </w:rPr>
        <w:t>Ecuador</w:t>
      </w:r>
      <w:r w:rsidR="00C07DAC">
        <w:rPr>
          <w:color w:val="000000" w:themeColor="text1"/>
          <w:sz w:val="20"/>
          <w:szCs w:val="20"/>
        </w:rPr>
        <w:t xml:space="preserve">, </w:t>
      </w:r>
      <w:r w:rsidR="00C07DAC" w:rsidRPr="00C07DAC">
        <w:rPr>
          <w:color w:val="000000" w:themeColor="text1"/>
          <w:sz w:val="20"/>
          <w:szCs w:val="20"/>
        </w:rPr>
        <w:t>Georgia</w:t>
      </w:r>
      <w:r w:rsidR="00C07DAC">
        <w:rPr>
          <w:color w:val="000000" w:themeColor="text1"/>
          <w:sz w:val="20"/>
          <w:szCs w:val="20"/>
        </w:rPr>
        <w:t xml:space="preserve">, </w:t>
      </w:r>
      <w:r w:rsidR="00C07DAC" w:rsidRPr="00C07DAC">
        <w:rPr>
          <w:color w:val="000000" w:themeColor="text1"/>
          <w:sz w:val="20"/>
          <w:szCs w:val="20"/>
        </w:rPr>
        <w:t>Germany</w:t>
      </w:r>
      <w:r w:rsidR="00C07DAC">
        <w:rPr>
          <w:color w:val="000000" w:themeColor="text1"/>
          <w:sz w:val="20"/>
          <w:szCs w:val="20"/>
        </w:rPr>
        <w:t xml:space="preserve">, </w:t>
      </w:r>
      <w:r w:rsidR="00C07DAC" w:rsidRPr="00C07DAC">
        <w:rPr>
          <w:color w:val="000000" w:themeColor="text1"/>
          <w:sz w:val="20"/>
          <w:szCs w:val="20"/>
        </w:rPr>
        <w:t>Greece</w:t>
      </w:r>
      <w:r w:rsidR="00C07DAC">
        <w:rPr>
          <w:color w:val="000000" w:themeColor="text1"/>
          <w:sz w:val="20"/>
          <w:szCs w:val="20"/>
        </w:rPr>
        <w:t xml:space="preserve">, </w:t>
      </w:r>
      <w:r w:rsidR="00C07DAC" w:rsidRPr="00C07DAC">
        <w:rPr>
          <w:color w:val="000000" w:themeColor="text1"/>
          <w:sz w:val="20"/>
          <w:szCs w:val="20"/>
        </w:rPr>
        <w:t>Israel</w:t>
      </w:r>
      <w:r w:rsidR="00C07DAC">
        <w:rPr>
          <w:color w:val="000000" w:themeColor="text1"/>
          <w:sz w:val="20"/>
          <w:szCs w:val="20"/>
        </w:rPr>
        <w:t xml:space="preserve">, </w:t>
      </w:r>
      <w:r w:rsidR="00C07DAC" w:rsidRPr="00C07DAC">
        <w:rPr>
          <w:color w:val="000000" w:themeColor="text1"/>
          <w:sz w:val="20"/>
          <w:szCs w:val="20"/>
        </w:rPr>
        <w:t>Jordan</w:t>
      </w:r>
      <w:r w:rsidR="00C07DAC">
        <w:rPr>
          <w:color w:val="000000" w:themeColor="text1"/>
          <w:sz w:val="20"/>
          <w:szCs w:val="20"/>
        </w:rPr>
        <w:t xml:space="preserve">, </w:t>
      </w:r>
      <w:r w:rsidR="00C07DAC" w:rsidRPr="00C07DAC">
        <w:rPr>
          <w:color w:val="000000" w:themeColor="text1"/>
          <w:sz w:val="20"/>
          <w:szCs w:val="20"/>
        </w:rPr>
        <w:t>Malaysia</w:t>
      </w:r>
      <w:r w:rsidR="00C07DAC">
        <w:rPr>
          <w:color w:val="000000" w:themeColor="text1"/>
          <w:sz w:val="20"/>
          <w:szCs w:val="20"/>
        </w:rPr>
        <w:t xml:space="preserve">, </w:t>
      </w:r>
      <w:r w:rsidR="00C07DAC" w:rsidRPr="00C07DAC">
        <w:rPr>
          <w:color w:val="000000" w:themeColor="text1"/>
          <w:sz w:val="20"/>
          <w:szCs w:val="20"/>
        </w:rPr>
        <w:t>Maldives</w:t>
      </w:r>
      <w:r w:rsidR="00C07DAC">
        <w:rPr>
          <w:color w:val="000000" w:themeColor="text1"/>
          <w:sz w:val="20"/>
          <w:szCs w:val="20"/>
        </w:rPr>
        <w:t xml:space="preserve">, </w:t>
      </w:r>
      <w:r w:rsidR="00C07DAC" w:rsidRPr="00C07DAC">
        <w:rPr>
          <w:color w:val="000000" w:themeColor="text1"/>
          <w:sz w:val="20"/>
          <w:szCs w:val="20"/>
        </w:rPr>
        <w:t>Netherlands</w:t>
      </w:r>
      <w:r w:rsidR="00C07DAC">
        <w:rPr>
          <w:color w:val="000000" w:themeColor="text1"/>
          <w:sz w:val="20"/>
          <w:szCs w:val="20"/>
        </w:rPr>
        <w:t xml:space="preserve">, </w:t>
      </w:r>
      <w:r w:rsidR="00C07DAC" w:rsidRPr="00C07DAC">
        <w:rPr>
          <w:color w:val="000000" w:themeColor="text1"/>
          <w:sz w:val="20"/>
          <w:szCs w:val="20"/>
        </w:rPr>
        <w:t>Norway</w:t>
      </w:r>
      <w:r w:rsidR="00C07DAC">
        <w:rPr>
          <w:color w:val="000000" w:themeColor="text1"/>
          <w:sz w:val="20"/>
          <w:szCs w:val="20"/>
        </w:rPr>
        <w:t xml:space="preserve">, </w:t>
      </w:r>
      <w:r w:rsidR="00C07DAC" w:rsidRPr="00C07DAC">
        <w:rPr>
          <w:color w:val="000000" w:themeColor="text1"/>
          <w:sz w:val="20"/>
          <w:szCs w:val="20"/>
        </w:rPr>
        <w:t>Switzerland</w:t>
      </w:r>
      <w:r w:rsidR="00C07DAC">
        <w:rPr>
          <w:color w:val="000000" w:themeColor="text1"/>
          <w:sz w:val="20"/>
          <w:szCs w:val="20"/>
        </w:rPr>
        <w:t xml:space="preserve">, </w:t>
      </w:r>
      <w:r w:rsidR="00C07DAC" w:rsidRPr="00C07DAC">
        <w:rPr>
          <w:color w:val="000000" w:themeColor="text1"/>
          <w:sz w:val="20"/>
          <w:szCs w:val="20"/>
        </w:rPr>
        <w:t>Syrian Arab Republic</w:t>
      </w:r>
      <w:r w:rsidR="00C07DAC">
        <w:rPr>
          <w:color w:val="000000" w:themeColor="text1"/>
          <w:sz w:val="20"/>
          <w:szCs w:val="20"/>
        </w:rPr>
        <w:t xml:space="preserve">, </w:t>
      </w:r>
      <w:r w:rsidR="00C07DAC" w:rsidRPr="00C07DAC">
        <w:rPr>
          <w:color w:val="000000" w:themeColor="text1"/>
          <w:sz w:val="20"/>
          <w:szCs w:val="20"/>
        </w:rPr>
        <w:t>Turkey</w:t>
      </w:r>
      <w:r w:rsidRPr="0067399B">
        <w:rPr>
          <w:color w:val="000000" w:themeColor="text1"/>
          <w:sz w:val="20"/>
          <w:szCs w:val="20"/>
        </w:rPr>
        <w:t>;</w:t>
      </w:r>
    </w:p>
    <w:p w14:paraId="52695653" w14:textId="5260DC42" w:rsidR="00C07DAC" w:rsidRPr="0067399B" w:rsidRDefault="00C07DAC" w:rsidP="00C07DAC">
      <w:pPr>
        <w:pStyle w:val="SingleTxtG"/>
        <w:ind w:firstLine="567"/>
        <w:rPr>
          <w:color w:val="000000" w:themeColor="text1"/>
          <w:sz w:val="20"/>
          <w:szCs w:val="20"/>
        </w:rPr>
      </w:pPr>
      <w:r w:rsidRPr="0067399B">
        <w:rPr>
          <w:color w:val="000000" w:themeColor="text1"/>
          <w:sz w:val="20"/>
          <w:szCs w:val="20"/>
        </w:rPr>
        <w:t>(</w:t>
      </w:r>
      <w:r>
        <w:rPr>
          <w:color w:val="000000" w:themeColor="text1"/>
          <w:sz w:val="20"/>
          <w:szCs w:val="20"/>
        </w:rPr>
        <w:t>c</w:t>
      </w:r>
      <w:r w:rsidRPr="0067399B">
        <w:rPr>
          <w:color w:val="000000" w:themeColor="text1"/>
          <w:sz w:val="20"/>
          <w:szCs w:val="20"/>
        </w:rPr>
        <w:t>)</w:t>
      </w:r>
      <w:r w:rsidRPr="0067399B">
        <w:rPr>
          <w:color w:val="000000" w:themeColor="text1"/>
          <w:sz w:val="20"/>
          <w:szCs w:val="20"/>
        </w:rPr>
        <w:tab/>
        <w:t xml:space="preserve">Observer for a national human rights institution: </w:t>
      </w:r>
      <w:r w:rsidRPr="00C07DAC">
        <w:rPr>
          <w:color w:val="000000" w:themeColor="text1"/>
          <w:sz w:val="20"/>
          <w:szCs w:val="20"/>
        </w:rPr>
        <w:t>Procuraduria de los Derechos Humanos of Guatemala</w:t>
      </w:r>
      <w:r>
        <w:rPr>
          <w:color w:val="000000" w:themeColor="text1"/>
          <w:sz w:val="20"/>
          <w:szCs w:val="20"/>
        </w:rPr>
        <w:t xml:space="preserve"> </w:t>
      </w:r>
      <w:r w:rsidRPr="008679CD">
        <w:rPr>
          <w:color w:val="000000" w:themeColor="text1"/>
          <w:sz w:val="20"/>
          <w:szCs w:val="20"/>
        </w:rPr>
        <w:t>(by video message)</w:t>
      </w:r>
      <w:r w:rsidRPr="0067399B">
        <w:rPr>
          <w:color w:val="000000" w:themeColor="text1"/>
          <w:sz w:val="20"/>
          <w:szCs w:val="20"/>
        </w:rPr>
        <w:t xml:space="preserve">; </w:t>
      </w:r>
    </w:p>
    <w:p w14:paraId="2EA587F7" w14:textId="2B117773" w:rsidR="00F11B08" w:rsidRPr="0089667E" w:rsidRDefault="00F11B08" w:rsidP="00F11B08">
      <w:pPr>
        <w:pStyle w:val="SingleTxtG"/>
        <w:ind w:firstLine="567"/>
        <w:rPr>
          <w:color w:val="000000" w:themeColor="text1"/>
          <w:sz w:val="20"/>
          <w:szCs w:val="20"/>
          <w:lang w:val="en-GB" w:eastAsia="en-GB"/>
        </w:rPr>
      </w:pPr>
      <w:r w:rsidRPr="00E54C18">
        <w:rPr>
          <w:color w:val="000000" w:themeColor="text1"/>
          <w:sz w:val="20"/>
          <w:szCs w:val="20"/>
          <w:lang w:eastAsia="en-GB"/>
        </w:rPr>
        <w:t>(</w:t>
      </w:r>
      <w:r w:rsidR="005E695B" w:rsidRPr="00E54C18">
        <w:rPr>
          <w:color w:val="000000" w:themeColor="text1"/>
          <w:sz w:val="20"/>
          <w:szCs w:val="20"/>
          <w:lang w:eastAsia="en-GB"/>
        </w:rPr>
        <w:t>d</w:t>
      </w:r>
      <w:r w:rsidRPr="00E54C18">
        <w:rPr>
          <w:color w:val="000000" w:themeColor="text1"/>
          <w:sz w:val="20"/>
          <w:szCs w:val="20"/>
          <w:lang w:eastAsia="en-GB"/>
        </w:rPr>
        <w:t>)</w:t>
      </w:r>
      <w:r w:rsidRPr="00E54C18">
        <w:rPr>
          <w:color w:val="000000" w:themeColor="text1"/>
          <w:sz w:val="20"/>
          <w:szCs w:val="20"/>
          <w:lang w:eastAsia="en-GB"/>
        </w:rPr>
        <w:tab/>
        <w:t>Observers for non-governmental organizations:</w:t>
      </w:r>
      <w:r w:rsidR="00A6215F" w:rsidRPr="00E54C18">
        <w:rPr>
          <w:color w:val="000000" w:themeColor="text1"/>
          <w:sz w:val="20"/>
          <w:szCs w:val="20"/>
          <w:lang w:eastAsia="en-GB"/>
        </w:rPr>
        <w:t xml:space="preserve"> </w:t>
      </w:r>
      <w:r w:rsidR="00C15AF1" w:rsidRPr="00E54C18">
        <w:rPr>
          <w:color w:val="000000" w:themeColor="text1"/>
          <w:sz w:val="20"/>
          <w:szCs w:val="20"/>
          <w:lang w:val="en-GB" w:eastAsia="en-GB"/>
        </w:rPr>
        <w:t>African Agency for Integrated Development (AAID)</w:t>
      </w:r>
      <w:r w:rsidR="00CD653A" w:rsidRPr="00E54C18">
        <w:rPr>
          <w:color w:val="000000" w:themeColor="text1"/>
          <w:sz w:val="20"/>
          <w:szCs w:val="20"/>
          <w:lang w:val="en-GB" w:eastAsia="en-GB"/>
        </w:rPr>
        <w:t xml:space="preserve">; </w:t>
      </w:r>
      <w:r w:rsidR="00C15AF1" w:rsidRPr="00E54C18">
        <w:rPr>
          <w:color w:val="000000" w:themeColor="text1"/>
          <w:sz w:val="20"/>
          <w:szCs w:val="20"/>
          <w:lang w:val="en-GB" w:eastAsia="en-GB"/>
        </w:rPr>
        <w:t>Alsalam Foundation</w:t>
      </w:r>
      <w:r w:rsidR="00CD653A" w:rsidRPr="00E54C18">
        <w:rPr>
          <w:color w:val="000000" w:themeColor="text1"/>
          <w:sz w:val="20"/>
          <w:szCs w:val="20"/>
          <w:lang w:val="en-GB" w:eastAsia="en-GB"/>
        </w:rPr>
        <w:t xml:space="preserve">; </w:t>
      </w:r>
      <w:r w:rsidR="00C15AF1" w:rsidRPr="00E54C18">
        <w:rPr>
          <w:color w:val="000000" w:themeColor="text1"/>
          <w:sz w:val="20"/>
          <w:szCs w:val="20"/>
          <w:lang w:val="en-GB" w:eastAsia="en-GB"/>
        </w:rPr>
        <w:t>American Association of Jurists</w:t>
      </w:r>
      <w:r w:rsidR="00CD653A" w:rsidRPr="00E54C18">
        <w:rPr>
          <w:color w:val="000000" w:themeColor="text1"/>
          <w:sz w:val="20"/>
          <w:szCs w:val="20"/>
          <w:lang w:val="en-GB" w:eastAsia="en-GB"/>
        </w:rPr>
        <w:t xml:space="preserve">; </w:t>
      </w:r>
      <w:r w:rsidR="00C15AF1" w:rsidRPr="00E54C18">
        <w:rPr>
          <w:color w:val="000000" w:themeColor="text1"/>
          <w:sz w:val="20"/>
          <w:szCs w:val="20"/>
          <w:lang w:val="en-GB" w:eastAsia="en-GB"/>
        </w:rPr>
        <w:t>Amman Center for Human Rights Studies</w:t>
      </w:r>
      <w:r w:rsidR="00CD653A" w:rsidRPr="00E54C18">
        <w:rPr>
          <w:color w:val="000000" w:themeColor="text1"/>
          <w:sz w:val="20"/>
          <w:szCs w:val="20"/>
          <w:lang w:val="en-GB" w:eastAsia="en-GB"/>
        </w:rPr>
        <w:t xml:space="preserve">; </w:t>
      </w:r>
      <w:r w:rsidR="00C15AF1" w:rsidRPr="00E54C18">
        <w:rPr>
          <w:color w:val="000000" w:themeColor="text1"/>
          <w:sz w:val="20"/>
          <w:szCs w:val="20"/>
          <w:lang w:val="en-GB" w:eastAsia="en-GB"/>
        </w:rPr>
        <w:t>Amnesty International</w:t>
      </w:r>
      <w:r w:rsidR="00CD653A" w:rsidRPr="00E54C18">
        <w:rPr>
          <w:color w:val="000000" w:themeColor="text1"/>
          <w:sz w:val="20"/>
          <w:szCs w:val="20"/>
          <w:lang w:val="en-GB" w:eastAsia="en-GB"/>
        </w:rPr>
        <w:t xml:space="preserve">; </w:t>
      </w:r>
      <w:r w:rsidR="00C15AF1" w:rsidRPr="00E54C18">
        <w:rPr>
          <w:color w:val="000000" w:themeColor="text1"/>
          <w:sz w:val="20"/>
          <w:szCs w:val="20"/>
          <w:lang w:val="en-GB" w:eastAsia="en-GB"/>
        </w:rPr>
        <w:t>Asian Forum for Human Rights and Development</w:t>
      </w:r>
      <w:r w:rsidR="00CD653A" w:rsidRPr="00E54C18">
        <w:rPr>
          <w:color w:val="000000" w:themeColor="text1"/>
          <w:sz w:val="20"/>
          <w:szCs w:val="20"/>
          <w:lang w:val="en-GB" w:eastAsia="en-GB"/>
        </w:rPr>
        <w:t xml:space="preserve">; </w:t>
      </w:r>
      <w:r w:rsidR="00C15AF1" w:rsidRPr="00E54C18">
        <w:rPr>
          <w:color w:val="000000" w:themeColor="text1"/>
          <w:sz w:val="20"/>
          <w:szCs w:val="20"/>
          <w:lang w:val="en-GB" w:eastAsia="en-GB"/>
        </w:rPr>
        <w:t>Association of World Citizens</w:t>
      </w:r>
      <w:r w:rsidR="00CD653A" w:rsidRPr="00E54C18">
        <w:rPr>
          <w:color w:val="000000" w:themeColor="text1"/>
          <w:sz w:val="20"/>
          <w:szCs w:val="20"/>
          <w:lang w:val="en-GB" w:eastAsia="en-GB"/>
        </w:rPr>
        <w:t xml:space="preserve">; </w:t>
      </w:r>
      <w:r w:rsidR="00C15AF1" w:rsidRPr="00E54C18">
        <w:rPr>
          <w:color w:val="000000" w:themeColor="text1"/>
          <w:sz w:val="20"/>
          <w:szCs w:val="20"/>
          <w:lang w:val="en-GB" w:eastAsia="en-GB"/>
        </w:rPr>
        <w:t>Associazione Comunita Papa Giovanni XXIII</w:t>
      </w:r>
      <w:r w:rsidR="00CD653A" w:rsidRPr="00E54C18">
        <w:rPr>
          <w:color w:val="000000" w:themeColor="text1"/>
          <w:sz w:val="20"/>
          <w:szCs w:val="20"/>
          <w:lang w:val="en-GB" w:eastAsia="en-GB"/>
        </w:rPr>
        <w:t xml:space="preserve">; </w:t>
      </w:r>
      <w:r w:rsidR="00C15AF1" w:rsidRPr="00E54C18">
        <w:rPr>
          <w:color w:val="000000" w:themeColor="text1"/>
          <w:sz w:val="20"/>
          <w:szCs w:val="20"/>
          <w:lang w:val="en-GB" w:eastAsia="en-GB"/>
        </w:rPr>
        <w:t>Baha</w:t>
      </w:r>
      <w:r w:rsidR="00D72627">
        <w:rPr>
          <w:color w:val="000000" w:themeColor="text1"/>
          <w:sz w:val="20"/>
          <w:szCs w:val="20"/>
          <w:lang w:val="en-GB" w:eastAsia="en-GB"/>
        </w:rPr>
        <w:t>’</w:t>
      </w:r>
      <w:r w:rsidR="00C15AF1" w:rsidRPr="00E54C18">
        <w:rPr>
          <w:color w:val="000000" w:themeColor="text1"/>
          <w:sz w:val="20"/>
          <w:szCs w:val="20"/>
          <w:lang w:val="en-GB" w:eastAsia="en-GB"/>
        </w:rPr>
        <w:t>i International Community</w:t>
      </w:r>
      <w:r w:rsidR="00CD653A" w:rsidRPr="00E54C18">
        <w:rPr>
          <w:color w:val="000000" w:themeColor="text1"/>
          <w:sz w:val="20"/>
          <w:szCs w:val="20"/>
          <w:lang w:val="en-GB" w:eastAsia="en-GB"/>
        </w:rPr>
        <w:t xml:space="preserve">; </w:t>
      </w:r>
      <w:r w:rsidR="00C15AF1" w:rsidRPr="00E54C18">
        <w:rPr>
          <w:color w:val="000000" w:themeColor="text1"/>
          <w:sz w:val="20"/>
          <w:szCs w:val="20"/>
          <w:lang w:val="en-GB" w:eastAsia="en-GB"/>
        </w:rPr>
        <w:t>Center for Inquiry</w:t>
      </w:r>
      <w:r w:rsidR="00CD653A" w:rsidRPr="00E54C18">
        <w:rPr>
          <w:color w:val="000000" w:themeColor="text1"/>
          <w:sz w:val="20"/>
          <w:szCs w:val="20"/>
          <w:lang w:val="en-GB" w:eastAsia="en-GB"/>
        </w:rPr>
        <w:t xml:space="preserve">; </w:t>
      </w:r>
      <w:r w:rsidR="00C15AF1" w:rsidRPr="00E54C18">
        <w:rPr>
          <w:color w:val="000000" w:themeColor="text1"/>
          <w:sz w:val="20"/>
          <w:szCs w:val="20"/>
          <w:lang w:val="en-GB" w:eastAsia="en-GB"/>
        </w:rPr>
        <w:t>Centre Europe - tiers monde</w:t>
      </w:r>
      <w:r w:rsidR="00CD653A" w:rsidRPr="00E54C18">
        <w:rPr>
          <w:color w:val="000000" w:themeColor="text1"/>
          <w:sz w:val="20"/>
          <w:szCs w:val="20"/>
          <w:lang w:val="en-GB" w:eastAsia="en-GB"/>
        </w:rPr>
        <w:t xml:space="preserve">; </w:t>
      </w:r>
      <w:r w:rsidR="00C15AF1" w:rsidRPr="00E54C18">
        <w:rPr>
          <w:color w:val="000000" w:themeColor="text1"/>
          <w:sz w:val="20"/>
          <w:szCs w:val="20"/>
          <w:lang w:val="en-GB" w:eastAsia="en-GB"/>
        </w:rPr>
        <w:t>CIVICUS - World Alliance for Citizen Participation</w:t>
      </w:r>
      <w:r w:rsidR="00CD653A" w:rsidRPr="00E54C18">
        <w:rPr>
          <w:color w:val="000000" w:themeColor="text1"/>
          <w:sz w:val="20"/>
          <w:szCs w:val="20"/>
          <w:lang w:val="en-GB" w:eastAsia="en-GB"/>
        </w:rPr>
        <w:t xml:space="preserve">; </w:t>
      </w:r>
      <w:r w:rsidR="00C15AF1" w:rsidRPr="00E54C18">
        <w:rPr>
          <w:color w:val="000000" w:themeColor="text1"/>
          <w:sz w:val="20"/>
          <w:szCs w:val="20"/>
          <w:lang w:val="en-GB" w:eastAsia="en-GB"/>
        </w:rPr>
        <w:t>Colombian Commission of Jurists</w:t>
      </w:r>
      <w:r w:rsidR="00CD653A" w:rsidRPr="00E54C18">
        <w:rPr>
          <w:color w:val="000000" w:themeColor="text1"/>
          <w:sz w:val="20"/>
          <w:szCs w:val="20"/>
          <w:lang w:val="en-GB" w:eastAsia="en-GB"/>
        </w:rPr>
        <w:t xml:space="preserve">; </w:t>
      </w:r>
      <w:r w:rsidR="00C15AF1" w:rsidRPr="00E54C18">
        <w:rPr>
          <w:color w:val="000000" w:themeColor="text1"/>
          <w:sz w:val="20"/>
          <w:szCs w:val="20"/>
          <w:lang w:val="en-GB" w:eastAsia="en-GB"/>
        </w:rPr>
        <w:t>Conseil International pour le soutien à des procès équitables et aux Droits de l</w:t>
      </w:r>
      <w:r w:rsidR="00D72627">
        <w:rPr>
          <w:color w:val="000000" w:themeColor="text1"/>
          <w:sz w:val="20"/>
          <w:szCs w:val="20"/>
          <w:lang w:val="en-GB" w:eastAsia="en-GB"/>
        </w:rPr>
        <w:t>’</w:t>
      </w:r>
      <w:r w:rsidR="00C15AF1" w:rsidRPr="00E54C18">
        <w:rPr>
          <w:color w:val="000000" w:themeColor="text1"/>
          <w:sz w:val="20"/>
          <w:szCs w:val="20"/>
          <w:lang w:val="en-GB" w:eastAsia="en-GB"/>
        </w:rPr>
        <w:t>Homme</w:t>
      </w:r>
      <w:r w:rsidR="00CD653A" w:rsidRPr="00E54C18">
        <w:rPr>
          <w:color w:val="000000" w:themeColor="text1"/>
          <w:sz w:val="20"/>
          <w:szCs w:val="20"/>
          <w:lang w:val="en-GB" w:eastAsia="en-GB"/>
        </w:rPr>
        <w:t xml:space="preserve">; </w:t>
      </w:r>
      <w:r w:rsidR="00C15AF1" w:rsidRPr="00E54C18">
        <w:rPr>
          <w:color w:val="000000" w:themeColor="text1"/>
          <w:sz w:val="20"/>
          <w:szCs w:val="20"/>
          <w:lang w:val="en-GB" w:eastAsia="en-GB"/>
        </w:rPr>
        <w:t>Defence for Children International</w:t>
      </w:r>
      <w:r w:rsidR="00CD653A" w:rsidRPr="00E54C18">
        <w:rPr>
          <w:color w:val="000000" w:themeColor="text1"/>
          <w:sz w:val="20"/>
          <w:szCs w:val="20"/>
          <w:lang w:val="en-GB" w:eastAsia="en-GB"/>
        </w:rPr>
        <w:t xml:space="preserve">; </w:t>
      </w:r>
      <w:r w:rsidR="00C15AF1" w:rsidRPr="00E54C18">
        <w:rPr>
          <w:color w:val="000000" w:themeColor="text1"/>
          <w:sz w:val="20"/>
          <w:szCs w:val="20"/>
          <w:lang w:val="en-GB" w:eastAsia="en-GB"/>
        </w:rPr>
        <w:t>Franciscans International (also on behalf of International Commission of Jurists and Swiss Catholic Lenten Fund)</w:t>
      </w:r>
      <w:r w:rsidR="00CD653A" w:rsidRPr="00E54C18">
        <w:rPr>
          <w:color w:val="000000" w:themeColor="text1"/>
          <w:sz w:val="20"/>
          <w:szCs w:val="20"/>
          <w:lang w:val="en-GB" w:eastAsia="en-GB"/>
        </w:rPr>
        <w:t xml:space="preserve">; </w:t>
      </w:r>
      <w:r w:rsidR="00C15AF1" w:rsidRPr="00E54C18">
        <w:rPr>
          <w:color w:val="000000" w:themeColor="text1"/>
          <w:sz w:val="20"/>
          <w:szCs w:val="20"/>
          <w:lang w:val="en-GB" w:eastAsia="en-GB"/>
        </w:rPr>
        <w:t>Fundación Latinoamericana por los Derechos Humanos y el Desarrollo Social (also on behalf of American Association of Jurists)</w:t>
      </w:r>
      <w:r w:rsidR="00CD653A" w:rsidRPr="00E54C18">
        <w:rPr>
          <w:color w:val="000000" w:themeColor="text1"/>
          <w:sz w:val="20"/>
          <w:szCs w:val="20"/>
          <w:lang w:val="en-GB" w:eastAsia="en-GB"/>
        </w:rPr>
        <w:t xml:space="preserve">; </w:t>
      </w:r>
      <w:r w:rsidR="00C15AF1" w:rsidRPr="00E54C18">
        <w:rPr>
          <w:color w:val="000000" w:themeColor="text1"/>
          <w:sz w:val="20"/>
          <w:szCs w:val="20"/>
          <w:lang w:val="en-GB" w:eastAsia="en-GB"/>
        </w:rPr>
        <w:t>Global Welfare Association</w:t>
      </w:r>
      <w:r w:rsidR="00CD653A" w:rsidRPr="00E54C18">
        <w:rPr>
          <w:color w:val="000000" w:themeColor="text1"/>
          <w:sz w:val="20"/>
          <w:szCs w:val="20"/>
          <w:lang w:val="en-GB" w:eastAsia="en-GB"/>
        </w:rPr>
        <w:t xml:space="preserve">; </w:t>
      </w:r>
      <w:r w:rsidR="00C15AF1" w:rsidRPr="00E54C18">
        <w:rPr>
          <w:color w:val="000000" w:themeColor="text1"/>
          <w:sz w:val="20"/>
          <w:szCs w:val="20"/>
          <w:lang w:val="en-GB" w:eastAsia="en-GB"/>
        </w:rPr>
        <w:t>Health and Environment Program (HEP)</w:t>
      </w:r>
      <w:r w:rsidR="00CD653A" w:rsidRPr="00E54C18">
        <w:rPr>
          <w:color w:val="000000" w:themeColor="text1"/>
          <w:sz w:val="20"/>
          <w:szCs w:val="20"/>
          <w:lang w:val="en-GB" w:eastAsia="en-GB"/>
        </w:rPr>
        <w:t xml:space="preserve">; </w:t>
      </w:r>
      <w:r w:rsidR="00C15AF1" w:rsidRPr="00E54C18">
        <w:rPr>
          <w:color w:val="000000" w:themeColor="text1"/>
          <w:sz w:val="20"/>
          <w:szCs w:val="20"/>
          <w:lang w:val="en-GB" w:eastAsia="en-GB"/>
        </w:rPr>
        <w:t>Human Rights Watch</w:t>
      </w:r>
      <w:r w:rsidR="00CD653A" w:rsidRPr="00E54C18">
        <w:rPr>
          <w:color w:val="000000" w:themeColor="text1"/>
          <w:sz w:val="20"/>
          <w:szCs w:val="20"/>
          <w:lang w:val="en-GB" w:eastAsia="en-GB"/>
        </w:rPr>
        <w:t xml:space="preserve">; </w:t>
      </w:r>
      <w:r w:rsidR="00C15AF1" w:rsidRPr="00E54C18">
        <w:rPr>
          <w:color w:val="000000" w:themeColor="text1"/>
          <w:sz w:val="20"/>
          <w:szCs w:val="20"/>
          <w:lang w:val="en-GB" w:eastAsia="en-GB"/>
        </w:rPr>
        <w:t>Imam Ali</w:t>
      </w:r>
      <w:r w:rsidR="00D72627">
        <w:rPr>
          <w:color w:val="000000" w:themeColor="text1"/>
          <w:sz w:val="20"/>
          <w:szCs w:val="20"/>
          <w:lang w:val="en-GB" w:eastAsia="en-GB"/>
        </w:rPr>
        <w:t>’</w:t>
      </w:r>
      <w:r w:rsidR="00C15AF1" w:rsidRPr="00E54C18">
        <w:rPr>
          <w:color w:val="000000" w:themeColor="text1"/>
          <w:sz w:val="20"/>
          <w:szCs w:val="20"/>
          <w:lang w:val="en-GB" w:eastAsia="en-GB"/>
        </w:rPr>
        <w:t>s Popular Students Relief Society</w:t>
      </w:r>
      <w:r w:rsidR="00CD653A" w:rsidRPr="00E54C18">
        <w:rPr>
          <w:color w:val="000000" w:themeColor="text1"/>
          <w:sz w:val="20"/>
          <w:szCs w:val="20"/>
          <w:lang w:val="en-GB" w:eastAsia="en-GB"/>
        </w:rPr>
        <w:t xml:space="preserve">; </w:t>
      </w:r>
      <w:r w:rsidR="00C15AF1" w:rsidRPr="00E54C18">
        <w:rPr>
          <w:color w:val="000000" w:themeColor="text1"/>
          <w:sz w:val="20"/>
          <w:szCs w:val="20"/>
          <w:lang w:val="en-GB" w:eastAsia="en-GB"/>
        </w:rPr>
        <w:t>Institute for NGO Research</w:t>
      </w:r>
      <w:r w:rsidR="00CD653A" w:rsidRPr="00E54C18">
        <w:rPr>
          <w:color w:val="000000" w:themeColor="text1"/>
          <w:sz w:val="20"/>
          <w:szCs w:val="20"/>
          <w:lang w:val="en-GB" w:eastAsia="en-GB"/>
        </w:rPr>
        <w:t xml:space="preserve">; </w:t>
      </w:r>
      <w:r w:rsidR="00C15AF1" w:rsidRPr="00E54C18">
        <w:rPr>
          <w:color w:val="000000" w:themeColor="text1"/>
          <w:sz w:val="20"/>
          <w:szCs w:val="20"/>
          <w:lang w:val="en-GB" w:eastAsia="en-GB"/>
        </w:rPr>
        <w:t>International Association of Democratic Lawyers (IADL)</w:t>
      </w:r>
      <w:r w:rsidR="00CD653A" w:rsidRPr="00E54C18">
        <w:rPr>
          <w:color w:val="000000" w:themeColor="text1"/>
          <w:sz w:val="20"/>
          <w:szCs w:val="20"/>
          <w:lang w:val="en-GB" w:eastAsia="en-GB"/>
        </w:rPr>
        <w:t xml:space="preserve">; </w:t>
      </w:r>
      <w:r w:rsidR="00C15AF1" w:rsidRPr="00E54C18">
        <w:rPr>
          <w:color w:val="000000" w:themeColor="text1"/>
          <w:sz w:val="20"/>
          <w:szCs w:val="20"/>
          <w:lang w:val="en-GB" w:eastAsia="en-GB"/>
        </w:rPr>
        <w:t>International Association of Jewish Lawyers and Jurists</w:t>
      </w:r>
      <w:r w:rsidR="00CD653A" w:rsidRPr="00E54C18">
        <w:rPr>
          <w:color w:val="000000" w:themeColor="text1"/>
          <w:sz w:val="20"/>
          <w:szCs w:val="20"/>
          <w:lang w:val="en-GB" w:eastAsia="en-GB"/>
        </w:rPr>
        <w:t xml:space="preserve">; </w:t>
      </w:r>
      <w:r w:rsidR="00C15AF1" w:rsidRPr="00E54C18">
        <w:rPr>
          <w:color w:val="000000" w:themeColor="text1"/>
          <w:sz w:val="20"/>
          <w:szCs w:val="20"/>
          <w:lang w:val="en-GB" w:eastAsia="en-GB"/>
        </w:rPr>
        <w:t>International Fellowship of Reconciliation</w:t>
      </w:r>
      <w:r w:rsidR="00CD653A" w:rsidRPr="00E54C18">
        <w:rPr>
          <w:color w:val="000000" w:themeColor="text1"/>
          <w:sz w:val="20"/>
          <w:szCs w:val="20"/>
          <w:lang w:val="en-GB" w:eastAsia="en-GB"/>
        </w:rPr>
        <w:t xml:space="preserve">; </w:t>
      </w:r>
      <w:r w:rsidR="00C15AF1" w:rsidRPr="00E54C18">
        <w:rPr>
          <w:color w:val="000000" w:themeColor="text1"/>
          <w:sz w:val="20"/>
          <w:szCs w:val="20"/>
          <w:lang w:val="en-GB" w:eastAsia="en-GB"/>
        </w:rPr>
        <w:t>International Human Rights Association of American Minorities (IHRAAM)</w:t>
      </w:r>
      <w:r w:rsidR="00CD653A" w:rsidRPr="00E54C18">
        <w:rPr>
          <w:color w:val="000000" w:themeColor="text1"/>
          <w:sz w:val="20"/>
          <w:szCs w:val="20"/>
          <w:lang w:val="en-GB" w:eastAsia="en-GB"/>
        </w:rPr>
        <w:t xml:space="preserve">; </w:t>
      </w:r>
      <w:r w:rsidR="00C15AF1" w:rsidRPr="00E54C18">
        <w:rPr>
          <w:color w:val="000000" w:themeColor="text1"/>
          <w:sz w:val="20"/>
          <w:szCs w:val="20"/>
          <w:lang w:val="en-GB" w:eastAsia="en-GB"/>
        </w:rPr>
        <w:t>International Organization for the Elimination of All Forms of Racial Discrimination</w:t>
      </w:r>
      <w:r w:rsidR="00CD653A" w:rsidRPr="00E54C18">
        <w:rPr>
          <w:color w:val="000000" w:themeColor="text1"/>
          <w:sz w:val="20"/>
          <w:szCs w:val="20"/>
          <w:lang w:val="en-GB" w:eastAsia="en-GB"/>
        </w:rPr>
        <w:t xml:space="preserve">; </w:t>
      </w:r>
      <w:r w:rsidR="00C15AF1" w:rsidRPr="00E54C18">
        <w:rPr>
          <w:color w:val="000000" w:themeColor="text1"/>
          <w:sz w:val="20"/>
          <w:szCs w:val="20"/>
          <w:lang w:val="en-GB" w:eastAsia="en-GB"/>
        </w:rPr>
        <w:t>International Service for Human Rights (also on behalf of Colombian Commission of Jurist)</w:t>
      </w:r>
      <w:r w:rsidR="00CD653A" w:rsidRPr="00E54C18">
        <w:rPr>
          <w:color w:val="000000" w:themeColor="text1"/>
          <w:sz w:val="20"/>
          <w:szCs w:val="20"/>
          <w:lang w:val="en-GB" w:eastAsia="en-GB"/>
        </w:rPr>
        <w:t xml:space="preserve">; </w:t>
      </w:r>
      <w:r w:rsidR="00C15AF1" w:rsidRPr="00E54C18">
        <w:rPr>
          <w:color w:val="000000" w:themeColor="text1"/>
          <w:sz w:val="20"/>
          <w:szCs w:val="20"/>
          <w:lang w:val="en-GB" w:eastAsia="en-GB"/>
        </w:rPr>
        <w:t>International-Lawyers.Org</w:t>
      </w:r>
      <w:r w:rsidR="00CD653A" w:rsidRPr="00E54C18">
        <w:rPr>
          <w:color w:val="000000" w:themeColor="text1"/>
          <w:sz w:val="20"/>
          <w:szCs w:val="20"/>
          <w:lang w:val="en-GB" w:eastAsia="en-GB"/>
        </w:rPr>
        <w:t xml:space="preserve">; </w:t>
      </w:r>
      <w:r w:rsidR="00C15AF1" w:rsidRPr="00E54C18">
        <w:rPr>
          <w:color w:val="000000" w:themeColor="text1"/>
          <w:sz w:val="20"/>
          <w:szCs w:val="20"/>
          <w:lang w:val="en-GB" w:eastAsia="en-GB"/>
        </w:rPr>
        <w:t>Iraqi Development Organization</w:t>
      </w:r>
      <w:r w:rsidR="00CD653A" w:rsidRPr="00E54C18">
        <w:rPr>
          <w:color w:val="000000" w:themeColor="text1"/>
          <w:sz w:val="20"/>
          <w:szCs w:val="20"/>
          <w:lang w:val="en-GB" w:eastAsia="en-GB"/>
        </w:rPr>
        <w:t xml:space="preserve">; </w:t>
      </w:r>
      <w:r w:rsidR="00C15AF1" w:rsidRPr="00E54C18">
        <w:rPr>
          <w:color w:val="000000" w:themeColor="text1"/>
          <w:sz w:val="20"/>
          <w:szCs w:val="20"/>
          <w:lang w:val="en-GB" w:eastAsia="en-GB"/>
        </w:rPr>
        <w:t>Le Pont</w:t>
      </w:r>
      <w:r w:rsidR="00CD653A" w:rsidRPr="00E54C18">
        <w:rPr>
          <w:color w:val="000000" w:themeColor="text1"/>
          <w:sz w:val="20"/>
          <w:szCs w:val="20"/>
          <w:lang w:val="en-GB" w:eastAsia="en-GB"/>
        </w:rPr>
        <w:t xml:space="preserve">; </w:t>
      </w:r>
      <w:r w:rsidR="00C15AF1" w:rsidRPr="00E54C18">
        <w:rPr>
          <w:color w:val="000000" w:themeColor="text1"/>
          <w:sz w:val="20"/>
          <w:szCs w:val="20"/>
          <w:lang w:val="en-GB" w:eastAsia="en-GB"/>
        </w:rPr>
        <w:t>Lutheran World Federation</w:t>
      </w:r>
      <w:r w:rsidR="00CD653A" w:rsidRPr="00E54C18">
        <w:rPr>
          <w:color w:val="000000" w:themeColor="text1"/>
          <w:sz w:val="20"/>
          <w:szCs w:val="20"/>
          <w:lang w:val="en-GB" w:eastAsia="en-GB"/>
        </w:rPr>
        <w:t xml:space="preserve">; </w:t>
      </w:r>
      <w:r w:rsidR="00C15AF1" w:rsidRPr="00E54C18">
        <w:rPr>
          <w:color w:val="000000" w:themeColor="text1"/>
          <w:sz w:val="20"/>
          <w:szCs w:val="20"/>
          <w:lang w:val="en-GB" w:eastAsia="en-GB"/>
        </w:rPr>
        <w:t>Maarij Foundation for Peace and Development</w:t>
      </w:r>
      <w:r w:rsidR="00CD653A" w:rsidRPr="00E54C18">
        <w:rPr>
          <w:color w:val="000000" w:themeColor="text1"/>
          <w:sz w:val="20"/>
          <w:szCs w:val="20"/>
          <w:lang w:val="en-GB" w:eastAsia="en-GB"/>
        </w:rPr>
        <w:t xml:space="preserve">; </w:t>
      </w:r>
      <w:r w:rsidR="00C15AF1" w:rsidRPr="00E54C18">
        <w:rPr>
          <w:color w:val="000000" w:themeColor="text1"/>
          <w:sz w:val="20"/>
          <w:szCs w:val="20"/>
          <w:lang w:val="en-GB" w:eastAsia="en-GB"/>
        </w:rPr>
        <w:t>Oidhaco, Bureau International des Droits Humains - Action Colombie</w:t>
      </w:r>
      <w:r w:rsidR="00CD653A" w:rsidRPr="00E54C18">
        <w:rPr>
          <w:color w:val="000000" w:themeColor="text1"/>
          <w:sz w:val="20"/>
          <w:szCs w:val="20"/>
          <w:lang w:val="en-GB" w:eastAsia="en-GB"/>
        </w:rPr>
        <w:t>; Organisation</w:t>
      </w:r>
      <w:r w:rsidR="00C15AF1" w:rsidRPr="00E54C18">
        <w:rPr>
          <w:color w:val="000000" w:themeColor="text1"/>
          <w:sz w:val="20"/>
          <w:szCs w:val="20"/>
          <w:lang w:val="en-GB" w:eastAsia="en-GB"/>
        </w:rPr>
        <w:t xml:space="preserve"> internationale pour les pays les moins avancés (OIPMA)</w:t>
      </w:r>
      <w:r w:rsidR="00CD653A" w:rsidRPr="00E54C18">
        <w:rPr>
          <w:color w:val="000000" w:themeColor="text1"/>
          <w:sz w:val="20"/>
          <w:szCs w:val="20"/>
          <w:lang w:val="en-GB" w:eastAsia="en-GB"/>
        </w:rPr>
        <w:t xml:space="preserve">; </w:t>
      </w:r>
      <w:r w:rsidR="00C15AF1" w:rsidRPr="00E54C18">
        <w:rPr>
          <w:color w:val="000000" w:themeColor="text1"/>
          <w:sz w:val="20"/>
          <w:szCs w:val="20"/>
          <w:lang w:val="en-GB" w:eastAsia="en-GB"/>
        </w:rPr>
        <w:t>Peace Brigades International Switzerland</w:t>
      </w:r>
      <w:r w:rsidR="00CD653A" w:rsidRPr="00E54C18">
        <w:rPr>
          <w:color w:val="000000" w:themeColor="text1"/>
          <w:sz w:val="20"/>
          <w:szCs w:val="20"/>
          <w:lang w:val="en-GB" w:eastAsia="en-GB"/>
        </w:rPr>
        <w:t xml:space="preserve">; </w:t>
      </w:r>
      <w:r w:rsidR="00C15AF1" w:rsidRPr="00E54C18">
        <w:rPr>
          <w:color w:val="000000" w:themeColor="text1"/>
          <w:sz w:val="20"/>
          <w:szCs w:val="20"/>
          <w:lang w:val="en-GB" w:eastAsia="en-GB"/>
        </w:rPr>
        <w:t>Refugee Council of Australia</w:t>
      </w:r>
      <w:r w:rsidR="00CD653A" w:rsidRPr="00E54C18">
        <w:rPr>
          <w:color w:val="000000" w:themeColor="text1"/>
          <w:sz w:val="20"/>
          <w:szCs w:val="20"/>
          <w:lang w:val="en-GB" w:eastAsia="en-GB"/>
        </w:rPr>
        <w:t xml:space="preserve">; </w:t>
      </w:r>
      <w:r w:rsidR="00C15AF1" w:rsidRPr="00E54C18">
        <w:rPr>
          <w:color w:val="000000" w:themeColor="text1"/>
          <w:sz w:val="20"/>
          <w:szCs w:val="20"/>
          <w:lang w:val="en-GB" w:eastAsia="en-GB"/>
        </w:rPr>
        <w:t xml:space="preserve">Rencontre Africaine pour </w:t>
      </w:r>
      <w:r w:rsidR="00C15AF1" w:rsidRPr="00E54C18">
        <w:rPr>
          <w:color w:val="000000" w:themeColor="text1"/>
          <w:sz w:val="20"/>
          <w:szCs w:val="20"/>
          <w:lang w:val="en-GB" w:eastAsia="en-GB"/>
        </w:rPr>
        <w:lastRenderedPageBreak/>
        <w:t>la defense des droits de l</w:t>
      </w:r>
      <w:r w:rsidR="00D72627">
        <w:rPr>
          <w:color w:val="000000" w:themeColor="text1"/>
          <w:sz w:val="20"/>
          <w:szCs w:val="20"/>
          <w:lang w:val="en-GB" w:eastAsia="en-GB"/>
        </w:rPr>
        <w:t>’</w:t>
      </w:r>
      <w:r w:rsidR="00C15AF1" w:rsidRPr="00E54C18">
        <w:rPr>
          <w:color w:val="000000" w:themeColor="text1"/>
          <w:sz w:val="20"/>
          <w:szCs w:val="20"/>
          <w:lang w:val="en-GB" w:eastAsia="en-GB"/>
        </w:rPr>
        <w:t>homme</w:t>
      </w:r>
      <w:r w:rsidR="00CD653A" w:rsidRPr="00E54C18">
        <w:rPr>
          <w:color w:val="000000" w:themeColor="text1"/>
          <w:sz w:val="20"/>
          <w:szCs w:val="20"/>
          <w:lang w:val="en-GB" w:eastAsia="en-GB"/>
        </w:rPr>
        <w:t xml:space="preserve">; </w:t>
      </w:r>
      <w:r w:rsidR="00C15AF1" w:rsidRPr="00E54C18">
        <w:rPr>
          <w:color w:val="000000" w:themeColor="text1"/>
          <w:sz w:val="20"/>
          <w:szCs w:val="20"/>
          <w:lang w:val="en-GB" w:eastAsia="en-GB"/>
        </w:rPr>
        <w:t>Réseau International des Droits Humains (RIDH)</w:t>
      </w:r>
      <w:r w:rsidR="00CD653A" w:rsidRPr="00E54C18">
        <w:rPr>
          <w:color w:val="000000" w:themeColor="text1"/>
          <w:sz w:val="20"/>
          <w:szCs w:val="20"/>
          <w:lang w:val="en-GB" w:eastAsia="en-GB"/>
        </w:rPr>
        <w:t xml:space="preserve">; </w:t>
      </w:r>
      <w:r w:rsidR="00C15AF1" w:rsidRPr="00E54C18">
        <w:rPr>
          <w:color w:val="000000" w:themeColor="text1"/>
          <w:sz w:val="20"/>
          <w:szCs w:val="20"/>
          <w:lang w:val="en-GB" w:eastAsia="en-GB"/>
        </w:rPr>
        <w:t>Save the Children International</w:t>
      </w:r>
      <w:r w:rsidR="00CD653A" w:rsidRPr="00E54C18">
        <w:rPr>
          <w:color w:val="000000" w:themeColor="text1"/>
          <w:sz w:val="20"/>
          <w:szCs w:val="20"/>
          <w:lang w:val="en-GB" w:eastAsia="en-GB"/>
        </w:rPr>
        <w:t xml:space="preserve">; </w:t>
      </w:r>
      <w:r w:rsidR="00C15AF1" w:rsidRPr="00E54C18">
        <w:rPr>
          <w:color w:val="000000" w:themeColor="text1"/>
          <w:sz w:val="20"/>
          <w:szCs w:val="20"/>
          <w:lang w:val="en-GB" w:eastAsia="en-GB"/>
        </w:rPr>
        <w:t>Tamil Uzhagam</w:t>
      </w:r>
      <w:r w:rsidR="00CD653A" w:rsidRPr="00E54C18">
        <w:rPr>
          <w:color w:val="000000" w:themeColor="text1"/>
          <w:sz w:val="20"/>
          <w:szCs w:val="20"/>
          <w:lang w:val="en-GB" w:eastAsia="en-GB"/>
        </w:rPr>
        <w:t>;</w:t>
      </w:r>
      <w:r w:rsidR="00CD653A" w:rsidRPr="007E1EE4">
        <w:rPr>
          <w:color w:val="000000" w:themeColor="text1"/>
          <w:sz w:val="20"/>
          <w:szCs w:val="20"/>
          <w:lang w:val="en-GB" w:eastAsia="en-GB"/>
        </w:rPr>
        <w:t xml:space="preserve"> </w:t>
      </w:r>
      <w:r w:rsidR="00C15AF1" w:rsidRPr="0089667E">
        <w:rPr>
          <w:color w:val="000000" w:themeColor="text1"/>
          <w:sz w:val="20"/>
          <w:szCs w:val="20"/>
          <w:lang w:val="en-GB" w:eastAsia="en-GB"/>
        </w:rPr>
        <w:t>Union of Arab Jurists</w:t>
      </w:r>
      <w:r w:rsidR="00CD653A" w:rsidRPr="0089667E">
        <w:rPr>
          <w:color w:val="000000" w:themeColor="text1"/>
          <w:sz w:val="20"/>
          <w:szCs w:val="20"/>
          <w:lang w:val="en-GB" w:eastAsia="en-GB"/>
        </w:rPr>
        <w:t xml:space="preserve">; </w:t>
      </w:r>
      <w:r w:rsidR="00C15AF1" w:rsidRPr="0089667E">
        <w:rPr>
          <w:color w:val="000000" w:themeColor="text1"/>
          <w:sz w:val="20"/>
          <w:szCs w:val="20"/>
          <w:lang w:val="en-GB" w:eastAsia="en-GB"/>
        </w:rPr>
        <w:t>Verein Sudwind Entwicklungspolitik</w:t>
      </w:r>
      <w:r w:rsidR="00CD653A" w:rsidRPr="0089667E">
        <w:rPr>
          <w:color w:val="000000" w:themeColor="text1"/>
          <w:sz w:val="20"/>
          <w:szCs w:val="20"/>
          <w:lang w:val="en-GB" w:eastAsia="en-GB"/>
        </w:rPr>
        <w:t xml:space="preserve">; </w:t>
      </w:r>
      <w:r w:rsidR="00C15AF1" w:rsidRPr="0089667E">
        <w:rPr>
          <w:color w:val="000000" w:themeColor="text1"/>
          <w:sz w:val="20"/>
          <w:szCs w:val="20"/>
          <w:lang w:val="en-GB" w:eastAsia="en-GB"/>
        </w:rPr>
        <w:t>World Muslim Congress</w:t>
      </w:r>
      <w:r w:rsidR="00CD653A" w:rsidRPr="0089667E">
        <w:rPr>
          <w:color w:val="000000" w:themeColor="text1"/>
          <w:sz w:val="20"/>
          <w:szCs w:val="20"/>
          <w:lang w:val="en-GB" w:eastAsia="en-GB"/>
        </w:rPr>
        <w:t xml:space="preserve">; </w:t>
      </w:r>
      <w:r w:rsidR="00C15AF1" w:rsidRPr="0089667E">
        <w:rPr>
          <w:color w:val="000000" w:themeColor="text1"/>
          <w:sz w:val="20"/>
          <w:szCs w:val="20"/>
          <w:lang w:val="en-GB" w:eastAsia="en-GB"/>
        </w:rPr>
        <w:t>World Organisation Against Torture</w:t>
      </w:r>
      <w:r w:rsidR="00CD653A" w:rsidRPr="0089667E">
        <w:rPr>
          <w:color w:val="000000" w:themeColor="text1"/>
          <w:sz w:val="20"/>
          <w:szCs w:val="20"/>
          <w:lang w:val="en-GB" w:eastAsia="en-GB"/>
        </w:rPr>
        <w:t xml:space="preserve">; </w:t>
      </w:r>
      <w:r w:rsidR="00C15AF1" w:rsidRPr="0089667E">
        <w:rPr>
          <w:color w:val="000000" w:themeColor="text1"/>
          <w:sz w:val="20"/>
          <w:szCs w:val="20"/>
          <w:lang w:val="en-GB" w:eastAsia="en-GB"/>
        </w:rPr>
        <w:t>World Peace Council</w:t>
      </w:r>
      <w:r w:rsidR="00CD653A" w:rsidRPr="0089667E">
        <w:rPr>
          <w:color w:val="000000" w:themeColor="text1"/>
          <w:sz w:val="20"/>
          <w:szCs w:val="20"/>
          <w:lang w:val="en-GB" w:eastAsia="en-GB"/>
        </w:rPr>
        <w:t>.</w:t>
      </w:r>
    </w:p>
    <w:p w14:paraId="2EA587F8" w14:textId="466DAFCD" w:rsidR="00F11B08" w:rsidRDefault="009B6FCB" w:rsidP="00F11B08">
      <w:pPr>
        <w:autoSpaceDE w:val="0"/>
        <w:autoSpaceDN w:val="0"/>
        <w:adjustRightInd w:val="0"/>
        <w:spacing w:after="120"/>
        <w:ind w:left="1134" w:right="1134"/>
        <w:jc w:val="both"/>
        <w:rPr>
          <w:color w:val="000000" w:themeColor="text1"/>
          <w:sz w:val="20"/>
          <w:szCs w:val="20"/>
        </w:rPr>
      </w:pPr>
      <w:r>
        <w:rPr>
          <w:color w:val="000000" w:themeColor="text1"/>
          <w:sz w:val="20"/>
          <w:szCs w:val="20"/>
        </w:rPr>
        <w:t>61</w:t>
      </w:r>
      <w:r w:rsidR="00F11B08" w:rsidRPr="0067399B">
        <w:rPr>
          <w:color w:val="000000" w:themeColor="text1"/>
          <w:sz w:val="20"/>
          <w:szCs w:val="20"/>
        </w:rPr>
        <w:t>.</w:t>
      </w:r>
      <w:r w:rsidR="00F11B08" w:rsidRPr="0067399B">
        <w:rPr>
          <w:color w:val="000000" w:themeColor="text1"/>
          <w:sz w:val="20"/>
          <w:szCs w:val="20"/>
        </w:rPr>
        <w:tab/>
        <w:t xml:space="preserve">At the </w:t>
      </w:r>
      <w:r w:rsidR="000F56AD">
        <w:rPr>
          <w:color w:val="000000" w:themeColor="text1"/>
          <w:sz w:val="20"/>
          <w:szCs w:val="20"/>
        </w:rPr>
        <w:t>49</w:t>
      </w:r>
      <w:r w:rsidR="00E46864" w:rsidRPr="000F56AD">
        <w:rPr>
          <w:color w:val="000000" w:themeColor="text1"/>
          <w:sz w:val="20"/>
          <w:szCs w:val="20"/>
        </w:rPr>
        <w:t>th meeting, on 2</w:t>
      </w:r>
      <w:r w:rsidR="000F56AD" w:rsidRPr="000F56AD">
        <w:rPr>
          <w:color w:val="000000" w:themeColor="text1"/>
          <w:sz w:val="20"/>
          <w:szCs w:val="20"/>
        </w:rPr>
        <w:t>0</w:t>
      </w:r>
      <w:r w:rsidR="00E46864" w:rsidRPr="000F56AD">
        <w:rPr>
          <w:color w:val="000000" w:themeColor="text1"/>
          <w:sz w:val="20"/>
          <w:szCs w:val="20"/>
        </w:rPr>
        <w:t xml:space="preserve"> March </w:t>
      </w:r>
      <w:r w:rsidR="00141AFC" w:rsidRPr="000F56AD">
        <w:rPr>
          <w:color w:val="000000" w:themeColor="text1"/>
          <w:sz w:val="20"/>
          <w:szCs w:val="20"/>
        </w:rPr>
        <w:t>2019</w:t>
      </w:r>
      <w:r w:rsidR="00F11B08" w:rsidRPr="0067399B">
        <w:rPr>
          <w:color w:val="000000" w:themeColor="text1"/>
          <w:sz w:val="20"/>
          <w:szCs w:val="20"/>
        </w:rPr>
        <w:t xml:space="preserve">, statements in exercise of the right of reply were made by the representatives of </w:t>
      </w:r>
      <w:r w:rsidR="000F56AD" w:rsidRPr="000F56AD">
        <w:rPr>
          <w:color w:val="000000" w:themeColor="text1"/>
          <w:sz w:val="20"/>
          <w:szCs w:val="20"/>
        </w:rPr>
        <w:t>Cyprus</w:t>
      </w:r>
      <w:r w:rsidR="000F56AD">
        <w:rPr>
          <w:color w:val="000000" w:themeColor="text1"/>
          <w:sz w:val="20"/>
          <w:szCs w:val="20"/>
        </w:rPr>
        <w:t xml:space="preserve">, </w:t>
      </w:r>
      <w:r w:rsidR="000F56AD" w:rsidRPr="000F56AD">
        <w:rPr>
          <w:color w:val="000000" w:themeColor="text1"/>
          <w:sz w:val="20"/>
          <w:szCs w:val="20"/>
        </w:rPr>
        <w:t>Guatemala</w:t>
      </w:r>
      <w:r w:rsidR="000F56AD">
        <w:rPr>
          <w:color w:val="000000" w:themeColor="text1"/>
          <w:sz w:val="20"/>
          <w:szCs w:val="20"/>
        </w:rPr>
        <w:t xml:space="preserve">, </w:t>
      </w:r>
      <w:r w:rsidR="000F56AD" w:rsidRPr="000F56AD">
        <w:rPr>
          <w:color w:val="000000" w:themeColor="text1"/>
          <w:sz w:val="20"/>
          <w:szCs w:val="20"/>
        </w:rPr>
        <w:t>Iran (Islamic Republic of)</w:t>
      </w:r>
      <w:r w:rsidR="000F56AD">
        <w:rPr>
          <w:color w:val="000000" w:themeColor="text1"/>
          <w:sz w:val="20"/>
          <w:szCs w:val="20"/>
        </w:rPr>
        <w:t xml:space="preserve"> and </w:t>
      </w:r>
      <w:r w:rsidR="000F56AD" w:rsidRPr="000F56AD">
        <w:rPr>
          <w:color w:val="000000" w:themeColor="text1"/>
          <w:sz w:val="20"/>
          <w:szCs w:val="20"/>
        </w:rPr>
        <w:t xml:space="preserve">Venezuela (Bolivarian </w:t>
      </w:r>
      <w:r w:rsidR="000F56AD">
        <w:rPr>
          <w:color w:val="000000" w:themeColor="text1"/>
          <w:sz w:val="20"/>
          <w:szCs w:val="20"/>
        </w:rPr>
        <w:t>Republic</w:t>
      </w:r>
      <w:r w:rsidR="000F56AD" w:rsidRPr="000F56AD">
        <w:rPr>
          <w:color w:val="000000" w:themeColor="text1"/>
          <w:sz w:val="20"/>
          <w:szCs w:val="20"/>
        </w:rPr>
        <w:t xml:space="preserve"> of)</w:t>
      </w:r>
      <w:r w:rsidR="00F11B08" w:rsidRPr="0067399B">
        <w:rPr>
          <w:color w:val="000000" w:themeColor="text1"/>
          <w:sz w:val="20"/>
          <w:szCs w:val="20"/>
        </w:rPr>
        <w:t>.</w:t>
      </w:r>
    </w:p>
    <w:p w14:paraId="6D1CE9F8" w14:textId="092F0F72" w:rsidR="00326BEB" w:rsidRPr="00C16037" w:rsidRDefault="00326BEB" w:rsidP="00326BEB">
      <w:pPr>
        <w:pStyle w:val="H1G"/>
        <w:rPr>
          <w:b w:val="0"/>
          <w:color w:val="000000" w:themeColor="text1"/>
        </w:rPr>
      </w:pPr>
      <w:r w:rsidRPr="00C16037">
        <w:rPr>
          <w:color w:val="000000" w:themeColor="text1"/>
        </w:rPr>
        <w:tab/>
      </w:r>
      <w:r>
        <w:rPr>
          <w:color w:val="000000" w:themeColor="text1"/>
        </w:rPr>
        <w:t>D</w:t>
      </w:r>
      <w:r w:rsidRPr="00C16037">
        <w:rPr>
          <w:color w:val="000000" w:themeColor="text1"/>
        </w:rPr>
        <w:t>.</w:t>
      </w:r>
      <w:r w:rsidRPr="00C16037">
        <w:rPr>
          <w:color w:val="000000" w:themeColor="text1"/>
        </w:rPr>
        <w:tab/>
        <w:t>Consideration of and action on draft proposals</w:t>
      </w:r>
    </w:p>
    <w:p w14:paraId="291256CF" w14:textId="0C908C58" w:rsidR="00326BEB" w:rsidRPr="00326BEB" w:rsidRDefault="00326BEB" w:rsidP="00326BEB">
      <w:pPr>
        <w:pStyle w:val="H23G"/>
        <w:rPr>
          <w:sz w:val="20"/>
          <w:szCs w:val="20"/>
        </w:rPr>
      </w:pPr>
      <w:r w:rsidRPr="00326BEB">
        <w:rPr>
          <w:sz w:val="20"/>
          <w:szCs w:val="20"/>
        </w:rPr>
        <w:tab/>
      </w:r>
      <w:r w:rsidRPr="00326BEB">
        <w:rPr>
          <w:sz w:val="20"/>
          <w:szCs w:val="20"/>
        </w:rPr>
        <w:tab/>
        <w:t>Promoting reconciliation, accountability and human rights in Sri Lanka</w:t>
      </w:r>
    </w:p>
    <w:p w14:paraId="3F9917B8" w14:textId="65C67FA1" w:rsidR="00326BEB" w:rsidRDefault="009B6FCB" w:rsidP="00326BEB">
      <w:pPr>
        <w:pStyle w:val="SingleTxtG"/>
        <w:rPr>
          <w:sz w:val="20"/>
          <w:szCs w:val="20"/>
        </w:rPr>
      </w:pPr>
      <w:r>
        <w:rPr>
          <w:sz w:val="20"/>
          <w:szCs w:val="20"/>
        </w:rPr>
        <w:t>62</w:t>
      </w:r>
      <w:r w:rsidR="00326BEB" w:rsidRPr="00326BEB">
        <w:rPr>
          <w:sz w:val="20"/>
          <w:szCs w:val="20"/>
        </w:rPr>
        <w:t>.</w:t>
      </w:r>
      <w:r w:rsidR="00326BEB" w:rsidRPr="00326BEB">
        <w:rPr>
          <w:sz w:val="20"/>
          <w:szCs w:val="20"/>
        </w:rPr>
        <w:tab/>
        <w:t xml:space="preserve">At the </w:t>
      </w:r>
      <w:r w:rsidR="00326BEB">
        <w:rPr>
          <w:sz w:val="20"/>
          <w:szCs w:val="20"/>
        </w:rPr>
        <w:t>52nd</w:t>
      </w:r>
      <w:r w:rsidR="00326BEB" w:rsidRPr="00326BEB">
        <w:rPr>
          <w:sz w:val="20"/>
          <w:szCs w:val="20"/>
        </w:rPr>
        <w:t xml:space="preserve"> meeting, on </w:t>
      </w:r>
      <w:r w:rsidR="00326BEB">
        <w:rPr>
          <w:sz w:val="20"/>
          <w:szCs w:val="20"/>
        </w:rPr>
        <w:t>21 March 2019</w:t>
      </w:r>
      <w:r w:rsidR="00326BEB" w:rsidRPr="00326BEB">
        <w:rPr>
          <w:sz w:val="20"/>
          <w:szCs w:val="20"/>
        </w:rPr>
        <w:t>, the representative of the United Kingdom of Great Britain and Northern Ireland</w:t>
      </w:r>
      <w:r w:rsidR="00326BEB">
        <w:rPr>
          <w:sz w:val="20"/>
          <w:szCs w:val="20"/>
        </w:rPr>
        <w:t xml:space="preserve"> </w:t>
      </w:r>
      <w:r w:rsidR="00E86201">
        <w:rPr>
          <w:sz w:val="20"/>
          <w:szCs w:val="20"/>
        </w:rPr>
        <w:t>(</w:t>
      </w:r>
      <w:r w:rsidR="00E86201" w:rsidRPr="00E86201">
        <w:rPr>
          <w:sz w:val="20"/>
          <w:szCs w:val="20"/>
        </w:rPr>
        <w:t>also on behalf of Canada, Germany, Montenegro</w:t>
      </w:r>
      <w:r w:rsidR="00E86201">
        <w:rPr>
          <w:sz w:val="20"/>
          <w:szCs w:val="20"/>
        </w:rPr>
        <w:t xml:space="preserve"> and</w:t>
      </w:r>
      <w:r w:rsidR="00E86201" w:rsidRPr="00E86201">
        <w:rPr>
          <w:sz w:val="20"/>
          <w:szCs w:val="20"/>
        </w:rPr>
        <w:t xml:space="preserve"> North Macedonia)</w:t>
      </w:r>
      <w:r w:rsidR="00E86201">
        <w:rPr>
          <w:sz w:val="20"/>
          <w:szCs w:val="20"/>
        </w:rPr>
        <w:t xml:space="preserve"> </w:t>
      </w:r>
      <w:r w:rsidR="00326BEB" w:rsidRPr="00326BEB">
        <w:rPr>
          <w:sz w:val="20"/>
          <w:szCs w:val="20"/>
        </w:rPr>
        <w:t>introduced draft resolution A/HRC/</w:t>
      </w:r>
      <w:r w:rsidR="00326BEB">
        <w:rPr>
          <w:sz w:val="20"/>
          <w:szCs w:val="20"/>
        </w:rPr>
        <w:t>40</w:t>
      </w:r>
      <w:r w:rsidR="00326BEB" w:rsidRPr="00326BEB">
        <w:rPr>
          <w:sz w:val="20"/>
          <w:szCs w:val="20"/>
        </w:rPr>
        <w:t>/L.</w:t>
      </w:r>
      <w:r w:rsidR="00326BEB">
        <w:rPr>
          <w:sz w:val="20"/>
          <w:szCs w:val="20"/>
        </w:rPr>
        <w:t>1</w:t>
      </w:r>
      <w:r w:rsidR="00326BEB" w:rsidRPr="00326BEB">
        <w:rPr>
          <w:sz w:val="20"/>
          <w:szCs w:val="20"/>
        </w:rPr>
        <w:t>, sponsored by Canada, Germany, Montenegro, North Macedonia and the United Kingdom of Great Britain and Northern Ireland</w:t>
      </w:r>
      <w:r w:rsidR="00326BEB">
        <w:rPr>
          <w:sz w:val="20"/>
          <w:szCs w:val="20"/>
        </w:rPr>
        <w:t xml:space="preserve"> </w:t>
      </w:r>
      <w:r w:rsidR="00326BEB" w:rsidRPr="00326BEB">
        <w:rPr>
          <w:sz w:val="20"/>
          <w:szCs w:val="20"/>
        </w:rPr>
        <w:t xml:space="preserve">and co-sponsored by </w:t>
      </w:r>
      <w:r w:rsidR="00E86201" w:rsidRPr="00E86201">
        <w:rPr>
          <w:sz w:val="20"/>
          <w:szCs w:val="20"/>
        </w:rPr>
        <w:t xml:space="preserve">Albania, Australia, Austria, Belgium, Bulgaria, Croatia, Czechia, Denmark, Finland, France, Georgia, Greece, Iceland, Ireland, Italy, Luxembourg, Malta, </w:t>
      </w:r>
      <w:r w:rsidR="00E86201">
        <w:rPr>
          <w:sz w:val="20"/>
          <w:szCs w:val="20"/>
        </w:rPr>
        <w:t xml:space="preserve">the </w:t>
      </w:r>
      <w:r w:rsidR="00E86201" w:rsidRPr="00E86201">
        <w:rPr>
          <w:sz w:val="20"/>
          <w:szCs w:val="20"/>
        </w:rPr>
        <w:t>Netherlands, New Zealand, Norway, Poland, Romania, San Marino, Slovakia, Sri Lanka</w:t>
      </w:r>
      <w:r w:rsidR="00E86201">
        <w:rPr>
          <w:sz w:val="20"/>
          <w:szCs w:val="20"/>
        </w:rPr>
        <w:t xml:space="preserve"> and</w:t>
      </w:r>
      <w:r w:rsidR="00E86201" w:rsidRPr="00E86201">
        <w:rPr>
          <w:sz w:val="20"/>
          <w:szCs w:val="20"/>
        </w:rPr>
        <w:t xml:space="preserve"> Sweden</w:t>
      </w:r>
      <w:r w:rsidR="00326BEB" w:rsidRPr="00326BEB">
        <w:rPr>
          <w:sz w:val="20"/>
          <w:szCs w:val="20"/>
        </w:rPr>
        <w:t xml:space="preserve">. Subsequently, </w:t>
      </w:r>
      <w:r w:rsidR="00E86201" w:rsidRPr="00E86201">
        <w:rPr>
          <w:sz w:val="20"/>
          <w:szCs w:val="20"/>
        </w:rPr>
        <w:t>Argentina</w:t>
      </w:r>
      <w:r w:rsidR="00E86201">
        <w:rPr>
          <w:sz w:val="20"/>
          <w:szCs w:val="20"/>
        </w:rPr>
        <w:t xml:space="preserve">, </w:t>
      </w:r>
      <w:r w:rsidR="00E86201" w:rsidRPr="00E86201">
        <w:rPr>
          <w:sz w:val="20"/>
          <w:szCs w:val="20"/>
        </w:rPr>
        <w:t>Costa Rica</w:t>
      </w:r>
      <w:r w:rsidR="00E86201">
        <w:rPr>
          <w:sz w:val="20"/>
          <w:szCs w:val="20"/>
        </w:rPr>
        <w:t xml:space="preserve">, </w:t>
      </w:r>
      <w:r w:rsidR="00E86201" w:rsidRPr="00E86201">
        <w:rPr>
          <w:sz w:val="20"/>
          <w:szCs w:val="20"/>
        </w:rPr>
        <w:t>Cyprus</w:t>
      </w:r>
      <w:r w:rsidR="00E86201">
        <w:rPr>
          <w:sz w:val="20"/>
          <w:szCs w:val="20"/>
        </w:rPr>
        <w:t xml:space="preserve">, </w:t>
      </w:r>
      <w:r w:rsidR="00E86201" w:rsidRPr="00E86201">
        <w:rPr>
          <w:sz w:val="20"/>
          <w:szCs w:val="20"/>
        </w:rPr>
        <w:t>Estonia</w:t>
      </w:r>
      <w:r w:rsidR="00E86201">
        <w:rPr>
          <w:sz w:val="20"/>
          <w:szCs w:val="20"/>
        </w:rPr>
        <w:t xml:space="preserve">, </w:t>
      </w:r>
      <w:r w:rsidR="00E86201" w:rsidRPr="00E86201">
        <w:rPr>
          <w:sz w:val="20"/>
          <w:szCs w:val="20"/>
        </w:rPr>
        <w:t>France</w:t>
      </w:r>
      <w:r w:rsidR="00E86201">
        <w:rPr>
          <w:sz w:val="20"/>
          <w:szCs w:val="20"/>
        </w:rPr>
        <w:t xml:space="preserve">, </w:t>
      </w:r>
      <w:r w:rsidR="00E86201" w:rsidRPr="00E86201">
        <w:rPr>
          <w:sz w:val="20"/>
          <w:szCs w:val="20"/>
        </w:rPr>
        <w:t>Hungary</w:t>
      </w:r>
      <w:r w:rsidR="00E86201">
        <w:rPr>
          <w:sz w:val="20"/>
          <w:szCs w:val="20"/>
        </w:rPr>
        <w:t xml:space="preserve">, </w:t>
      </w:r>
      <w:r w:rsidR="00E86201" w:rsidRPr="00E86201">
        <w:rPr>
          <w:sz w:val="20"/>
          <w:szCs w:val="20"/>
        </w:rPr>
        <w:t>Israel</w:t>
      </w:r>
      <w:r w:rsidR="00E86201">
        <w:rPr>
          <w:sz w:val="20"/>
          <w:szCs w:val="20"/>
        </w:rPr>
        <w:t xml:space="preserve">, </w:t>
      </w:r>
      <w:r w:rsidR="00E86201" w:rsidRPr="00E86201">
        <w:rPr>
          <w:sz w:val="20"/>
          <w:szCs w:val="20"/>
        </w:rPr>
        <w:t>Japan</w:t>
      </w:r>
      <w:r w:rsidR="00E86201">
        <w:rPr>
          <w:sz w:val="20"/>
          <w:szCs w:val="20"/>
        </w:rPr>
        <w:t xml:space="preserve">, </w:t>
      </w:r>
      <w:r w:rsidR="00E86201" w:rsidRPr="00E86201">
        <w:rPr>
          <w:sz w:val="20"/>
          <w:szCs w:val="20"/>
        </w:rPr>
        <w:t>Latvia</w:t>
      </w:r>
      <w:r w:rsidR="00E86201">
        <w:rPr>
          <w:sz w:val="20"/>
          <w:szCs w:val="20"/>
        </w:rPr>
        <w:t xml:space="preserve">, Liechtenstein, </w:t>
      </w:r>
      <w:r w:rsidR="00E86201" w:rsidRPr="00E86201">
        <w:rPr>
          <w:sz w:val="20"/>
          <w:szCs w:val="20"/>
        </w:rPr>
        <w:t>Lithuania</w:t>
      </w:r>
      <w:r w:rsidR="00E86201">
        <w:rPr>
          <w:sz w:val="20"/>
          <w:szCs w:val="20"/>
        </w:rPr>
        <w:t xml:space="preserve">, </w:t>
      </w:r>
      <w:r w:rsidR="00E86201" w:rsidRPr="00E86201">
        <w:rPr>
          <w:sz w:val="20"/>
          <w:szCs w:val="20"/>
        </w:rPr>
        <w:t>Maldives</w:t>
      </w:r>
      <w:r w:rsidR="00E86201">
        <w:rPr>
          <w:sz w:val="20"/>
          <w:szCs w:val="20"/>
        </w:rPr>
        <w:t xml:space="preserve">, </w:t>
      </w:r>
      <w:r w:rsidR="00E86201" w:rsidRPr="00E86201">
        <w:rPr>
          <w:sz w:val="20"/>
          <w:szCs w:val="20"/>
        </w:rPr>
        <w:t>Portugal</w:t>
      </w:r>
      <w:r w:rsidR="00E86201">
        <w:rPr>
          <w:sz w:val="20"/>
          <w:szCs w:val="20"/>
        </w:rPr>
        <w:t xml:space="preserve">, the </w:t>
      </w:r>
      <w:r w:rsidR="00E86201" w:rsidRPr="00E86201">
        <w:rPr>
          <w:sz w:val="20"/>
          <w:szCs w:val="20"/>
        </w:rPr>
        <w:t>Republic of Korea</w:t>
      </w:r>
      <w:r w:rsidR="00E86201">
        <w:rPr>
          <w:sz w:val="20"/>
          <w:szCs w:val="20"/>
        </w:rPr>
        <w:t xml:space="preserve">, Slovenia, </w:t>
      </w:r>
      <w:r w:rsidR="00E86201" w:rsidRPr="00E86201">
        <w:rPr>
          <w:sz w:val="20"/>
          <w:szCs w:val="20"/>
        </w:rPr>
        <w:t>Spain</w:t>
      </w:r>
      <w:r w:rsidR="00E86201">
        <w:rPr>
          <w:sz w:val="20"/>
          <w:szCs w:val="20"/>
        </w:rPr>
        <w:t xml:space="preserve"> and </w:t>
      </w:r>
      <w:r w:rsidR="00E86201" w:rsidRPr="00E86201">
        <w:rPr>
          <w:sz w:val="20"/>
          <w:szCs w:val="20"/>
        </w:rPr>
        <w:t>Switzerland</w:t>
      </w:r>
      <w:r w:rsidR="00326BEB" w:rsidRPr="00326BEB">
        <w:rPr>
          <w:sz w:val="20"/>
          <w:szCs w:val="20"/>
        </w:rPr>
        <w:t xml:space="preserve"> joined the sponsors.</w:t>
      </w:r>
    </w:p>
    <w:p w14:paraId="5099EF32" w14:textId="550CF3D6" w:rsidR="00E86201" w:rsidRDefault="009B6FCB" w:rsidP="00E86201">
      <w:pPr>
        <w:spacing w:after="120"/>
        <w:ind w:left="1134" w:right="1134"/>
        <w:jc w:val="both"/>
        <w:rPr>
          <w:sz w:val="20"/>
          <w:szCs w:val="20"/>
        </w:rPr>
      </w:pPr>
      <w:r>
        <w:rPr>
          <w:sz w:val="20"/>
          <w:szCs w:val="20"/>
        </w:rPr>
        <w:t>63</w:t>
      </w:r>
      <w:r w:rsidR="00E86201" w:rsidRPr="00E86201">
        <w:rPr>
          <w:sz w:val="20"/>
          <w:szCs w:val="20"/>
        </w:rPr>
        <w:t>.</w:t>
      </w:r>
      <w:r w:rsidR="00E86201" w:rsidRPr="00E86201">
        <w:rPr>
          <w:sz w:val="20"/>
          <w:szCs w:val="20"/>
        </w:rPr>
        <w:tab/>
        <w:t xml:space="preserve">At the same meeting, the representative of </w:t>
      </w:r>
      <w:r w:rsidR="00E86201">
        <w:rPr>
          <w:sz w:val="20"/>
          <w:szCs w:val="20"/>
        </w:rPr>
        <w:t>Peru</w:t>
      </w:r>
      <w:r w:rsidR="00E86201" w:rsidRPr="00E86201">
        <w:rPr>
          <w:sz w:val="20"/>
          <w:szCs w:val="20"/>
        </w:rPr>
        <w:t xml:space="preserve"> made general comments on the draft resolution.</w:t>
      </w:r>
    </w:p>
    <w:p w14:paraId="77686B2B" w14:textId="535A016A" w:rsidR="00E86201" w:rsidRPr="00326BEB" w:rsidRDefault="009B6FCB" w:rsidP="00E23221">
      <w:pPr>
        <w:spacing w:after="120"/>
        <w:ind w:left="1134" w:right="1134"/>
        <w:jc w:val="both"/>
        <w:rPr>
          <w:sz w:val="20"/>
          <w:szCs w:val="20"/>
        </w:rPr>
      </w:pPr>
      <w:r>
        <w:rPr>
          <w:sz w:val="20"/>
          <w:szCs w:val="20"/>
        </w:rPr>
        <w:t>64</w:t>
      </w:r>
      <w:r w:rsidR="00E23221" w:rsidRPr="00E23221">
        <w:rPr>
          <w:sz w:val="20"/>
          <w:szCs w:val="20"/>
        </w:rPr>
        <w:t>.</w:t>
      </w:r>
      <w:r w:rsidR="00E23221" w:rsidRPr="00E23221">
        <w:rPr>
          <w:sz w:val="20"/>
          <w:szCs w:val="20"/>
        </w:rPr>
        <w:tab/>
        <w:t xml:space="preserve">Also at the same meeting, the representative of </w:t>
      </w:r>
      <w:r w:rsidR="00E23221">
        <w:rPr>
          <w:sz w:val="20"/>
          <w:szCs w:val="20"/>
        </w:rPr>
        <w:t>Sri Lanka</w:t>
      </w:r>
      <w:r w:rsidR="00E23221" w:rsidRPr="00E23221">
        <w:rPr>
          <w:sz w:val="20"/>
          <w:szCs w:val="20"/>
        </w:rPr>
        <w:t xml:space="preserve"> made a statement as the State concerned.</w:t>
      </w:r>
    </w:p>
    <w:p w14:paraId="6F2FC37C" w14:textId="5992BF6D" w:rsidR="00326BEB" w:rsidRPr="00326BEB" w:rsidRDefault="009B6FCB" w:rsidP="00326BEB">
      <w:pPr>
        <w:spacing w:after="120"/>
        <w:ind w:left="1134" w:right="1134"/>
        <w:jc w:val="both"/>
        <w:rPr>
          <w:sz w:val="20"/>
          <w:szCs w:val="20"/>
        </w:rPr>
      </w:pPr>
      <w:r>
        <w:rPr>
          <w:sz w:val="20"/>
          <w:szCs w:val="20"/>
        </w:rPr>
        <w:t>65</w:t>
      </w:r>
      <w:r w:rsidR="00326BEB" w:rsidRPr="00326BEB">
        <w:rPr>
          <w:sz w:val="20"/>
          <w:szCs w:val="20"/>
        </w:rPr>
        <w:t>.</w:t>
      </w:r>
      <w:r w:rsidR="00326BEB" w:rsidRPr="00326BEB">
        <w:rPr>
          <w:sz w:val="20"/>
          <w:szCs w:val="20"/>
        </w:rPr>
        <w:tab/>
        <w:t>In accordance with rule 153 of the rules of procedure of the General Assembly, the attention of the Human Rights Council was drawn to the estimated administrative and programme budget implications of the draft resolution.</w:t>
      </w:r>
    </w:p>
    <w:p w14:paraId="166B5D7E" w14:textId="61AC6670" w:rsidR="00326BEB" w:rsidRPr="00326BEB" w:rsidRDefault="009B6FCB" w:rsidP="00326BEB">
      <w:pPr>
        <w:pStyle w:val="SingleTxtG"/>
        <w:rPr>
          <w:rFonts w:eastAsia="SimSun"/>
          <w:sz w:val="20"/>
          <w:szCs w:val="20"/>
          <w:lang w:eastAsia="ar-SA"/>
        </w:rPr>
      </w:pPr>
      <w:r>
        <w:rPr>
          <w:rFonts w:eastAsia="SimSun"/>
          <w:sz w:val="20"/>
          <w:szCs w:val="20"/>
          <w:lang w:eastAsia="ar-SA"/>
        </w:rPr>
        <w:t>66</w:t>
      </w:r>
      <w:r w:rsidR="00326BEB" w:rsidRPr="00326BEB">
        <w:rPr>
          <w:rFonts w:eastAsia="SimSun"/>
          <w:sz w:val="20"/>
          <w:szCs w:val="20"/>
          <w:lang w:eastAsia="ar-SA"/>
        </w:rPr>
        <w:t>.</w:t>
      </w:r>
      <w:r w:rsidR="00326BEB" w:rsidRPr="00326BEB">
        <w:rPr>
          <w:rFonts w:eastAsia="SimSun"/>
          <w:sz w:val="20"/>
          <w:szCs w:val="20"/>
          <w:lang w:eastAsia="ar-SA"/>
        </w:rPr>
        <w:tab/>
        <w:t xml:space="preserve">At the same meeting, the draft resolution was adopted without a vote (resolution </w:t>
      </w:r>
      <w:r w:rsidR="00E23221">
        <w:rPr>
          <w:rFonts w:eastAsia="SimSun"/>
          <w:sz w:val="20"/>
          <w:szCs w:val="20"/>
          <w:lang w:eastAsia="ar-SA"/>
        </w:rPr>
        <w:t>40</w:t>
      </w:r>
      <w:r w:rsidR="00326BEB" w:rsidRPr="00326BEB">
        <w:rPr>
          <w:rFonts w:eastAsia="SimSun"/>
          <w:sz w:val="20"/>
          <w:szCs w:val="20"/>
          <w:lang w:eastAsia="ar-SA"/>
        </w:rPr>
        <w:t>/</w:t>
      </w:r>
      <w:r w:rsidR="00E23221">
        <w:rPr>
          <w:rFonts w:eastAsia="SimSun"/>
          <w:sz w:val="20"/>
          <w:szCs w:val="20"/>
          <w:lang w:eastAsia="ar-SA"/>
        </w:rPr>
        <w:t>1</w:t>
      </w:r>
      <w:r w:rsidR="00326BEB" w:rsidRPr="00326BEB">
        <w:rPr>
          <w:rFonts w:eastAsia="SimSun"/>
          <w:sz w:val="20"/>
          <w:szCs w:val="20"/>
          <w:lang w:eastAsia="ar-SA"/>
        </w:rPr>
        <w:t>).</w:t>
      </w:r>
    </w:p>
    <w:p w14:paraId="14302187" w14:textId="520CF414" w:rsidR="00E23221" w:rsidRPr="00326BEB" w:rsidRDefault="00E23221" w:rsidP="00E23221">
      <w:pPr>
        <w:pStyle w:val="H23G"/>
        <w:rPr>
          <w:sz w:val="20"/>
          <w:szCs w:val="20"/>
        </w:rPr>
      </w:pPr>
      <w:r w:rsidRPr="00326BEB">
        <w:rPr>
          <w:sz w:val="20"/>
          <w:szCs w:val="20"/>
        </w:rPr>
        <w:tab/>
      </w:r>
      <w:r w:rsidRPr="00326BEB">
        <w:rPr>
          <w:sz w:val="20"/>
          <w:szCs w:val="20"/>
        </w:rPr>
        <w:tab/>
      </w:r>
      <w:r w:rsidRPr="00E23221">
        <w:rPr>
          <w:sz w:val="20"/>
          <w:szCs w:val="20"/>
        </w:rPr>
        <w:t>Promotion and protection of human rights in Nicaragua</w:t>
      </w:r>
    </w:p>
    <w:p w14:paraId="1582EAC6" w14:textId="50288C38" w:rsidR="00E23221" w:rsidRDefault="009B6FCB" w:rsidP="00E23221">
      <w:pPr>
        <w:pStyle w:val="SingleTxtG"/>
        <w:rPr>
          <w:sz w:val="20"/>
          <w:szCs w:val="20"/>
        </w:rPr>
      </w:pPr>
      <w:r>
        <w:rPr>
          <w:sz w:val="20"/>
          <w:szCs w:val="20"/>
        </w:rPr>
        <w:t>67</w:t>
      </w:r>
      <w:r w:rsidR="00E23221" w:rsidRPr="00326BEB">
        <w:rPr>
          <w:sz w:val="20"/>
          <w:szCs w:val="20"/>
        </w:rPr>
        <w:t>.</w:t>
      </w:r>
      <w:r w:rsidR="00E23221" w:rsidRPr="00326BEB">
        <w:rPr>
          <w:sz w:val="20"/>
          <w:szCs w:val="20"/>
        </w:rPr>
        <w:tab/>
        <w:t xml:space="preserve">At the </w:t>
      </w:r>
      <w:r w:rsidR="00E23221">
        <w:rPr>
          <w:sz w:val="20"/>
          <w:szCs w:val="20"/>
        </w:rPr>
        <w:t>52nd</w:t>
      </w:r>
      <w:r w:rsidR="00E23221" w:rsidRPr="00326BEB">
        <w:rPr>
          <w:sz w:val="20"/>
          <w:szCs w:val="20"/>
        </w:rPr>
        <w:t xml:space="preserve"> meeting, on </w:t>
      </w:r>
      <w:r w:rsidR="00E23221">
        <w:rPr>
          <w:sz w:val="20"/>
          <w:szCs w:val="20"/>
        </w:rPr>
        <w:t>21 March 2019</w:t>
      </w:r>
      <w:r w:rsidR="00E23221" w:rsidRPr="00326BEB">
        <w:rPr>
          <w:sz w:val="20"/>
          <w:szCs w:val="20"/>
        </w:rPr>
        <w:t xml:space="preserve">, the representative of </w:t>
      </w:r>
      <w:r w:rsidR="00E45C02">
        <w:rPr>
          <w:sz w:val="20"/>
          <w:szCs w:val="20"/>
        </w:rPr>
        <w:t>Argentina</w:t>
      </w:r>
      <w:r w:rsidR="00E23221">
        <w:rPr>
          <w:sz w:val="20"/>
          <w:szCs w:val="20"/>
        </w:rPr>
        <w:t xml:space="preserve"> (</w:t>
      </w:r>
      <w:r w:rsidR="00E23221" w:rsidRPr="00E86201">
        <w:rPr>
          <w:sz w:val="20"/>
          <w:szCs w:val="20"/>
        </w:rPr>
        <w:t xml:space="preserve">also on behalf of </w:t>
      </w:r>
      <w:r w:rsidR="00E45C02" w:rsidRPr="00E45C02">
        <w:rPr>
          <w:sz w:val="20"/>
          <w:szCs w:val="20"/>
        </w:rPr>
        <w:t>Brazil, Canada, Chile, Colombia, Costa Rica, Ecuador, Paraguay and Peru</w:t>
      </w:r>
      <w:r w:rsidR="00E23221" w:rsidRPr="00E86201">
        <w:rPr>
          <w:sz w:val="20"/>
          <w:szCs w:val="20"/>
        </w:rPr>
        <w:t>)</w:t>
      </w:r>
      <w:r w:rsidR="00E23221">
        <w:rPr>
          <w:sz w:val="20"/>
          <w:szCs w:val="20"/>
        </w:rPr>
        <w:t xml:space="preserve"> </w:t>
      </w:r>
      <w:r w:rsidR="00E23221" w:rsidRPr="00326BEB">
        <w:rPr>
          <w:sz w:val="20"/>
          <w:szCs w:val="20"/>
        </w:rPr>
        <w:t>introduced draft resolution A/HRC/</w:t>
      </w:r>
      <w:r w:rsidR="00E23221">
        <w:rPr>
          <w:sz w:val="20"/>
          <w:szCs w:val="20"/>
        </w:rPr>
        <w:t>40</w:t>
      </w:r>
      <w:r w:rsidR="00E23221" w:rsidRPr="00326BEB">
        <w:rPr>
          <w:sz w:val="20"/>
          <w:szCs w:val="20"/>
        </w:rPr>
        <w:t>/L.</w:t>
      </w:r>
      <w:r w:rsidR="00E45C02">
        <w:rPr>
          <w:sz w:val="20"/>
          <w:szCs w:val="20"/>
        </w:rPr>
        <w:t>8</w:t>
      </w:r>
      <w:r w:rsidR="00E23221" w:rsidRPr="00326BEB">
        <w:rPr>
          <w:sz w:val="20"/>
          <w:szCs w:val="20"/>
        </w:rPr>
        <w:t xml:space="preserve">, sponsored by </w:t>
      </w:r>
      <w:r w:rsidR="00E45C02">
        <w:rPr>
          <w:sz w:val="20"/>
          <w:szCs w:val="20"/>
        </w:rPr>
        <w:t xml:space="preserve">Argentina, </w:t>
      </w:r>
      <w:r w:rsidR="00E45C02" w:rsidRPr="00E45C02">
        <w:rPr>
          <w:sz w:val="20"/>
          <w:szCs w:val="20"/>
        </w:rPr>
        <w:t>Brazil, Canada, Chile, Colombia, Costa Rica, Ecuador, Paraguay and Peru</w:t>
      </w:r>
      <w:r w:rsidR="00E23221">
        <w:rPr>
          <w:sz w:val="20"/>
          <w:szCs w:val="20"/>
        </w:rPr>
        <w:t xml:space="preserve"> </w:t>
      </w:r>
      <w:r w:rsidR="00E23221" w:rsidRPr="00326BEB">
        <w:rPr>
          <w:sz w:val="20"/>
          <w:szCs w:val="20"/>
        </w:rPr>
        <w:t>and co-sponsored by</w:t>
      </w:r>
      <w:r w:rsidR="00E45C02">
        <w:rPr>
          <w:sz w:val="20"/>
          <w:szCs w:val="20"/>
        </w:rPr>
        <w:t xml:space="preserve"> </w:t>
      </w:r>
      <w:r w:rsidR="00E45C02" w:rsidRPr="00E45C02">
        <w:rPr>
          <w:sz w:val="20"/>
          <w:szCs w:val="20"/>
        </w:rPr>
        <w:t xml:space="preserve">Albania, Australia, Austria, Belgium, Bulgaria, Croatia, Cyprus, Czechia, Denmark, Estonia, Finland, France, Georgia, Germany, Iceland, Ireland, Italy, Latvia, Liechtenstein, Lithuania, Luxembourg, Malta, </w:t>
      </w:r>
      <w:r w:rsidR="00E45C02">
        <w:rPr>
          <w:sz w:val="20"/>
          <w:szCs w:val="20"/>
        </w:rPr>
        <w:t xml:space="preserve">the </w:t>
      </w:r>
      <w:r w:rsidR="00E45C02" w:rsidRPr="00E45C02">
        <w:rPr>
          <w:sz w:val="20"/>
          <w:szCs w:val="20"/>
        </w:rPr>
        <w:t>Netherlands, Portugal, Romania, Slovakia, Slovenia, Spain, Sweden</w:t>
      </w:r>
      <w:r w:rsidR="00E45C02">
        <w:rPr>
          <w:sz w:val="20"/>
          <w:szCs w:val="20"/>
        </w:rPr>
        <w:t xml:space="preserve"> and the</w:t>
      </w:r>
      <w:r w:rsidR="00E45C02" w:rsidRPr="00E45C02">
        <w:rPr>
          <w:sz w:val="20"/>
          <w:szCs w:val="20"/>
        </w:rPr>
        <w:t xml:space="preserve"> United Kingdom of Great Britain and Northern Ireland</w:t>
      </w:r>
      <w:r w:rsidR="00E23221" w:rsidRPr="00326BEB">
        <w:rPr>
          <w:sz w:val="20"/>
          <w:szCs w:val="20"/>
        </w:rPr>
        <w:t xml:space="preserve">. </w:t>
      </w:r>
      <w:r w:rsidR="00E45C02" w:rsidRPr="00E45C02">
        <w:rPr>
          <w:sz w:val="20"/>
          <w:szCs w:val="20"/>
        </w:rPr>
        <w:t xml:space="preserve">Subsequently, </w:t>
      </w:r>
      <w:r w:rsidR="00E45C02">
        <w:rPr>
          <w:sz w:val="20"/>
          <w:szCs w:val="20"/>
        </w:rPr>
        <w:t>Czechia</w:t>
      </w:r>
      <w:r w:rsidR="00E45C02" w:rsidRPr="00E45C02">
        <w:rPr>
          <w:sz w:val="20"/>
          <w:szCs w:val="20"/>
        </w:rPr>
        <w:t xml:space="preserve"> and the United Kingdom of Great Britain and Northern Ireland withdrew their original co-sponsorship of the draft resolution.</w:t>
      </w:r>
      <w:r w:rsidR="00E45C02">
        <w:rPr>
          <w:sz w:val="20"/>
          <w:szCs w:val="20"/>
        </w:rPr>
        <w:t xml:space="preserve"> </w:t>
      </w:r>
      <w:r w:rsidR="00E23221" w:rsidRPr="00326BEB">
        <w:rPr>
          <w:sz w:val="20"/>
          <w:szCs w:val="20"/>
        </w:rPr>
        <w:t xml:space="preserve">Subsequently, </w:t>
      </w:r>
      <w:r w:rsidR="00E45C02" w:rsidRPr="00E45C02">
        <w:rPr>
          <w:sz w:val="20"/>
          <w:szCs w:val="20"/>
        </w:rPr>
        <w:t>Czechia</w:t>
      </w:r>
      <w:r w:rsidR="00E45C02">
        <w:rPr>
          <w:sz w:val="20"/>
          <w:szCs w:val="20"/>
        </w:rPr>
        <w:t xml:space="preserve">, Greece, </w:t>
      </w:r>
      <w:r w:rsidR="00E45C02" w:rsidRPr="00E45C02">
        <w:rPr>
          <w:sz w:val="20"/>
          <w:szCs w:val="20"/>
        </w:rPr>
        <w:t>Hungary</w:t>
      </w:r>
      <w:r w:rsidR="00E45C02">
        <w:rPr>
          <w:sz w:val="20"/>
          <w:szCs w:val="20"/>
        </w:rPr>
        <w:t xml:space="preserve">, </w:t>
      </w:r>
      <w:r w:rsidR="00E45C02" w:rsidRPr="00E45C02">
        <w:rPr>
          <w:sz w:val="20"/>
          <w:szCs w:val="20"/>
        </w:rPr>
        <w:t>Japan</w:t>
      </w:r>
      <w:r w:rsidR="00E45C02">
        <w:rPr>
          <w:sz w:val="20"/>
          <w:szCs w:val="20"/>
        </w:rPr>
        <w:t xml:space="preserve">, </w:t>
      </w:r>
      <w:r w:rsidR="00E45C02" w:rsidRPr="00E45C02">
        <w:rPr>
          <w:sz w:val="20"/>
          <w:szCs w:val="20"/>
        </w:rPr>
        <w:t>Montenegro</w:t>
      </w:r>
      <w:r w:rsidR="00E45C02">
        <w:rPr>
          <w:sz w:val="20"/>
          <w:szCs w:val="20"/>
        </w:rPr>
        <w:t xml:space="preserve">, </w:t>
      </w:r>
      <w:r w:rsidR="00E45C02" w:rsidRPr="00E45C02">
        <w:rPr>
          <w:sz w:val="20"/>
          <w:szCs w:val="20"/>
        </w:rPr>
        <w:t>New Zealand</w:t>
      </w:r>
      <w:r w:rsidR="00E45C02">
        <w:rPr>
          <w:sz w:val="20"/>
          <w:szCs w:val="20"/>
        </w:rPr>
        <w:t xml:space="preserve">, North Macedonia, </w:t>
      </w:r>
      <w:r w:rsidR="00E45C02" w:rsidRPr="00E45C02">
        <w:rPr>
          <w:sz w:val="20"/>
          <w:szCs w:val="20"/>
        </w:rPr>
        <w:t>Norway</w:t>
      </w:r>
      <w:r w:rsidR="00E45C02">
        <w:rPr>
          <w:sz w:val="20"/>
          <w:szCs w:val="20"/>
        </w:rPr>
        <w:t xml:space="preserve">, Poland, Switzerland, </w:t>
      </w:r>
      <w:r w:rsidR="00E45C02" w:rsidRPr="00E45C02">
        <w:rPr>
          <w:sz w:val="20"/>
          <w:szCs w:val="20"/>
        </w:rPr>
        <w:t>Ukraine</w:t>
      </w:r>
      <w:r w:rsidR="00E45C02">
        <w:rPr>
          <w:sz w:val="20"/>
          <w:szCs w:val="20"/>
        </w:rPr>
        <w:t xml:space="preserve"> and the </w:t>
      </w:r>
      <w:r w:rsidR="00E45C02" w:rsidRPr="00E45C02">
        <w:rPr>
          <w:sz w:val="20"/>
          <w:szCs w:val="20"/>
        </w:rPr>
        <w:t>United Kingdom of Great Britain and Northern Ireland</w:t>
      </w:r>
      <w:r w:rsidR="00E23221" w:rsidRPr="00326BEB">
        <w:rPr>
          <w:sz w:val="20"/>
          <w:szCs w:val="20"/>
        </w:rPr>
        <w:t xml:space="preserve"> joined the sponsors.</w:t>
      </w:r>
    </w:p>
    <w:p w14:paraId="5A756048" w14:textId="3D3ADAA9" w:rsidR="00E23221" w:rsidRDefault="009B6FCB" w:rsidP="00E23221">
      <w:pPr>
        <w:spacing w:after="120"/>
        <w:ind w:left="1134" w:right="1134"/>
        <w:jc w:val="both"/>
        <w:rPr>
          <w:sz w:val="20"/>
          <w:szCs w:val="20"/>
        </w:rPr>
      </w:pPr>
      <w:r>
        <w:rPr>
          <w:sz w:val="20"/>
          <w:szCs w:val="20"/>
        </w:rPr>
        <w:t>68</w:t>
      </w:r>
      <w:r w:rsidR="00E23221" w:rsidRPr="00E86201">
        <w:rPr>
          <w:sz w:val="20"/>
          <w:szCs w:val="20"/>
        </w:rPr>
        <w:t>.</w:t>
      </w:r>
      <w:r w:rsidR="00E23221" w:rsidRPr="00E86201">
        <w:rPr>
          <w:sz w:val="20"/>
          <w:szCs w:val="20"/>
        </w:rPr>
        <w:tab/>
        <w:t>At the same meeting, the representative</w:t>
      </w:r>
      <w:r w:rsidR="00E45C02">
        <w:rPr>
          <w:sz w:val="20"/>
          <w:szCs w:val="20"/>
        </w:rPr>
        <w:t>s</w:t>
      </w:r>
      <w:r w:rsidR="00E23221" w:rsidRPr="00E86201">
        <w:rPr>
          <w:sz w:val="20"/>
          <w:szCs w:val="20"/>
        </w:rPr>
        <w:t xml:space="preserve"> of </w:t>
      </w:r>
      <w:r w:rsidR="00E45C02" w:rsidRPr="00E45C02">
        <w:rPr>
          <w:sz w:val="20"/>
          <w:szCs w:val="20"/>
        </w:rPr>
        <w:t xml:space="preserve">Bulgaria </w:t>
      </w:r>
      <w:r w:rsidR="00157757" w:rsidRPr="00157757">
        <w:rPr>
          <w:sz w:val="20"/>
          <w:szCs w:val="20"/>
        </w:rPr>
        <w:t>(on behalf of States members of the European Union that are members of the Council)</w:t>
      </w:r>
      <w:r w:rsidR="00E45C02" w:rsidRPr="00E45C02">
        <w:rPr>
          <w:sz w:val="20"/>
          <w:szCs w:val="20"/>
        </w:rPr>
        <w:t>, Cuba</w:t>
      </w:r>
      <w:r w:rsidR="00E45C02">
        <w:rPr>
          <w:sz w:val="20"/>
          <w:szCs w:val="20"/>
        </w:rPr>
        <w:t>,</w:t>
      </w:r>
      <w:r w:rsidR="00E45C02" w:rsidRPr="00E45C02">
        <w:rPr>
          <w:sz w:val="20"/>
          <w:szCs w:val="20"/>
        </w:rPr>
        <w:t xml:space="preserve"> Iceland</w:t>
      </w:r>
      <w:r w:rsidR="00E45C02">
        <w:rPr>
          <w:sz w:val="20"/>
          <w:szCs w:val="20"/>
        </w:rPr>
        <w:t xml:space="preserve"> and</w:t>
      </w:r>
      <w:r w:rsidR="00E45C02" w:rsidRPr="00E45C02">
        <w:rPr>
          <w:sz w:val="20"/>
          <w:szCs w:val="20"/>
        </w:rPr>
        <w:t xml:space="preserve"> Ukraine</w:t>
      </w:r>
      <w:r w:rsidR="00E45C02">
        <w:rPr>
          <w:sz w:val="20"/>
          <w:szCs w:val="20"/>
        </w:rPr>
        <w:t xml:space="preserve"> </w:t>
      </w:r>
      <w:r w:rsidR="00E23221" w:rsidRPr="00E86201">
        <w:rPr>
          <w:sz w:val="20"/>
          <w:szCs w:val="20"/>
        </w:rPr>
        <w:t>made general comments on the draft resolution.</w:t>
      </w:r>
    </w:p>
    <w:p w14:paraId="63FB8664" w14:textId="673B6F23" w:rsidR="00E23221" w:rsidRPr="00326BEB" w:rsidRDefault="009B6FCB" w:rsidP="00E23221">
      <w:pPr>
        <w:spacing w:after="120"/>
        <w:ind w:left="1134" w:right="1134"/>
        <w:jc w:val="both"/>
        <w:rPr>
          <w:sz w:val="20"/>
          <w:szCs w:val="20"/>
        </w:rPr>
      </w:pPr>
      <w:r>
        <w:rPr>
          <w:sz w:val="20"/>
          <w:szCs w:val="20"/>
        </w:rPr>
        <w:t>69</w:t>
      </w:r>
      <w:r w:rsidR="00E23221" w:rsidRPr="00E23221">
        <w:rPr>
          <w:sz w:val="20"/>
          <w:szCs w:val="20"/>
        </w:rPr>
        <w:t>.</w:t>
      </w:r>
      <w:r w:rsidR="00E23221" w:rsidRPr="00E23221">
        <w:rPr>
          <w:sz w:val="20"/>
          <w:szCs w:val="20"/>
        </w:rPr>
        <w:tab/>
        <w:t xml:space="preserve">Also at the same meeting, the representative of </w:t>
      </w:r>
      <w:r w:rsidR="00E45C02">
        <w:rPr>
          <w:sz w:val="20"/>
          <w:szCs w:val="20"/>
        </w:rPr>
        <w:t>Nicaragua</w:t>
      </w:r>
      <w:r w:rsidR="00E23221" w:rsidRPr="00E23221">
        <w:rPr>
          <w:sz w:val="20"/>
          <w:szCs w:val="20"/>
        </w:rPr>
        <w:t xml:space="preserve"> made a statement as the State concerned.</w:t>
      </w:r>
    </w:p>
    <w:p w14:paraId="435F9B2C" w14:textId="2F2EE658" w:rsidR="00E23221" w:rsidRDefault="009B6FCB" w:rsidP="00E23221">
      <w:pPr>
        <w:spacing w:after="120"/>
        <w:ind w:left="1134" w:right="1134"/>
        <w:jc w:val="both"/>
        <w:rPr>
          <w:sz w:val="20"/>
          <w:szCs w:val="20"/>
        </w:rPr>
      </w:pPr>
      <w:r>
        <w:rPr>
          <w:sz w:val="20"/>
          <w:szCs w:val="20"/>
        </w:rPr>
        <w:lastRenderedPageBreak/>
        <w:t>70</w:t>
      </w:r>
      <w:r w:rsidR="00E23221" w:rsidRPr="00326BEB">
        <w:rPr>
          <w:sz w:val="20"/>
          <w:szCs w:val="20"/>
        </w:rPr>
        <w:t>.</w:t>
      </w:r>
      <w:r w:rsidR="00E23221" w:rsidRPr="00326BEB">
        <w:rPr>
          <w:sz w:val="20"/>
          <w:szCs w:val="20"/>
        </w:rPr>
        <w:tab/>
        <w:t>In accordance with rule 153 of the rules of procedure of the General Assembly, the attention of the Human Rights Council was drawn to the estimated administrative and programme budget implications of the draft resolution.</w:t>
      </w:r>
    </w:p>
    <w:p w14:paraId="2EB338C6" w14:textId="1C12A0AF" w:rsidR="0023658A" w:rsidRPr="0023658A" w:rsidRDefault="009B6FCB" w:rsidP="0023658A">
      <w:pPr>
        <w:pStyle w:val="SingleTxtG"/>
        <w:rPr>
          <w:sz w:val="20"/>
          <w:szCs w:val="20"/>
        </w:rPr>
      </w:pPr>
      <w:r>
        <w:rPr>
          <w:sz w:val="20"/>
          <w:szCs w:val="20"/>
        </w:rPr>
        <w:t>71</w:t>
      </w:r>
      <w:r w:rsidR="0023658A" w:rsidRPr="0023658A">
        <w:rPr>
          <w:sz w:val="20"/>
          <w:szCs w:val="20"/>
        </w:rPr>
        <w:t>.</w:t>
      </w:r>
      <w:r w:rsidR="0023658A" w:rsidRPr="0023658A">
        <w:rPr>
          <w:sz w:val="20"/>
          <w:szCs w:val="20"/>
        </w:rPr>
        <w:tab/>
      </w:r>
      <w:r w:rsidR="0023658A" w:rsidRPr="0023658A">
        <w:rPr>
          <w:rFonts w:eastAsia="SimSun"/>
          <w:sz w:val="20"/>
          <w:szCs w:val="20"/>
          <w:lang w:eastAsia="ar-SA"/>
        </w:rPr>
        <w:t>At the same meeting</w:t>
      </w:r>
      <w:r w:rsidR="0023658A" w:rsidRPr="0023658A">
        <w:rPr>
          <w:sz w:val="20"/>
          <w:szCs w:val="20"/>
        </w:rPr>
        <w:t>, the representatives of China</w:t>
      </w:r>
      <w:r w:rsidR="0023658A">
        <w:rPr>
          <w:sz w:val="20"/>
          <w:szCs w:val="20"/>
        </w:rPr>
        <w:t xml:space="preserve">, </w:t>
      </w:r>
      <w:r w:rsidR="0023658A" w:rsidRPr="0023658A">
        <w:rPr>
          <w:sz w:val="20"/>
          <w:szCs w:val="20"/>
        </w:rPr>
        <w:t>Czech</w:t>
      </w:r>
      <w:r w:rsidR="0023658A">
        <w:rPr>
          <w:sz w:val="20"/>
          <w:szCs w:val="20"/>
        </w:rPr>
        <w:t xml:space="preserve">ia, </w:t>
      </w:r>
      <w:r w:rsidR="0023658A" w:rsidRPr="0023658A">
        <w:rPr>
          <w:sz w:val="20"/>
          <w:szCs w:val="20"/>
        </w:rPr>
        <w:t>Egypt,</w:t>
      </w:r>
      <w:r w:rsidR="0023658A">
        <w:rPr>
          <w:sz w:val="20"/>
          <w:szCs w:val="20"/>
        </w:rPr>
        <w:t xml:space="preserve"> the</w:t>
      </w:r>
      <w:r w:rsidR="0023658A" w:rsidRPr="0023658A">
        <w:rPr>
          <w:sz w:val="20"/>
          <w:szCs w:val="20"/>
        </w:rPr>
        <w:t xml:space="preserve"> United Kingdom of Great Britain and Northern Ireland</w:t>
      </w:r>
      <w:r w:rsidR="0023658A">
        <w:rPr>
          <w:sz w:val="20"/>
          <w:szCs w:val="20"/>
        </w:rPr>
        <w:t xml:space="preserve"> and</w:t>
      </w:r>
      <w:r w:rsidR="0023658A" w:rsidRPr="0023658A">
        <w:rPr>
          <w:sz w:val="20"/>
          <w:szCs w:val="20"/>
        </w:rPr>
        <w:t xml:space="preserve"> Uruguay made statements in explanation of vote before the vote.</w:t>
      </w:r>
    </w:p>
    <w:p w14:paraId="2C95D2C1" w14:textId="3C163F54" w:rsidR="0023658A" w:rsidRPr="0023658A" w:rsidRDefault="009B6FCB" w:rsidP="0023658A">
      <w:pPr>
        <w:pStyle w:val="SingleTxtG"/>
        <w:rPr>
          <w:sz w:val="20"/>
          <w:szCs w:val="20"/>
        </w:rPr>
      </w:pPr>
      <w:r>
        <w:rPr>
          <w:sz w:val="20"/>
          <w:szCs w:val="20"/>
        </w:rPr>
        <w:t>72</w:t>
      </w:r>
      <w:r w:rsidR="0023658A" w:rsidRPr="0023658A">
        <w:rPr>
          <w:sz w:val="20"/>
          <w:szCs w:val="20"/>
        </w:rPr>
        <w:t>.</w:t>
      </w:r>
      <w:r w:rsidR="0023658A" w:rsidRPr="0023658A">
        <w:rPr>
          <w:sz w:val="20"/>
          <w:szCs w:val="20"/>
        </w:rPr>
        <w:tab/>
        <w:t xml:space="preserve">Also at the same meeting, at the request of the representative of </w:t>
      </w:r>
      <w:r w:rsidR="0011217F">
        <w:rPr>
          <w:sz w:val="20"/>
          <w:szCs w:val="20"/>
        </w:rPr>
        <w:t>Cuba</w:t>
      </w:r>
      <w:r w:rsidR="0023658A" w:rsidRPr="0023658A">
        <w:rPr>
          <w:sz w:val="20"/>
          <w:szCs w:val="20"/>
        </w:rPr>
        <w:t>, a recorded vote was taken on the draft resolution. The voting was as follows:</w:t>
      </w:r>
    </w:p>
    <w:p w14:paraId="0225C74E" w14:textId="77777777" w:rsidR="0011217F" w:rsidRPr="0011217F" w:rsidRDefault="0011217F" w:rsidP="0011217F">
      <w:pPr>
        <w:keepNext/>
        <w:keepLines/>
        <w:ind w:left="1701" w:right="1134"/>
        <w:jc w:val="both"/>
        <w:rPr>
          <w:rFonts w:eastAsia="SimSun"/>
          <w:i/>
          <w:sz w:val="20"/>
          <w:szCs w:val="20"/>
          <w:lang w:val="en-GB" w:eastAsia="ar-SA"/>
        </w:rPr>
      </w:pPr>
      <w:r w:rsidRPr="0011217F">
        <w:rPr>
          <w:rFonts w:eastAsia="SimSun"/>
          <w:i/>
          <w:sz w:val="20"/>
          <w:szCs w:val="20"/>
          <w:lang w:eastAsia="ar-SA"/>
        </w:rPr>
        <w:t>In favour</w:t>
      </w:r>
      <w:r w:rsidRPr="0011217F">
        <w:rPr>
          <w:rFonts w:eastAsia="SimSun"/>
          <w:sz w:val="20"/>
          <w:szCs w:val="20"/>
          <w:lang w:eastAsia="ar-SA"/>
        </w:rPr>
        <w:t>:</w:t>
      </w:r>
      <w:r w:rsidRPr="0011217F">
        <w:rPr>
          <w:rFonts w:eastAsia="SimSun"/>
          <w:i/>
          <w:sz w:val="20"/>
          <w:szCs w:val="20"/>
          <w:lang w:eastAsia="ar-SA"/>
        </w:rPr>
        <w:t xml:space="preserve"> </w:t>
      </w:r>
    </w:p>
    <w:p w14:paraId="7E5BB9E6" w14:textId="77777777" w:rsidR="0011217F" w:rsidRPr="0011217F" w:rsidRDefault="0011217F" w:rsidP="0011217F">
      <w:pPr>
        <w:spacing w:after="120"/>
        <w:ind w:left="2268" w:right="1134"/>
        <w:jc w:val="both"/>
        <w:rPr>
          <w:rFonts w:eastAsia="SimSun"/>
          <w:sz w:val="20"/>
          <w:szCs w:val="20"/>
          <w:lang w:eastAsia="ar-SA"/>
        </w:rPr>
      </w:pPr>
      <w:r w:rsidRPr="0011217F">
        <w:rPr>
          <w:rFonts w:eastAsia="SimSun"/>
          <w:sz w:val="20"/>
          <w:szCs w:val="20"/>
          <w:lang w:eastAsia="ar-SA"/>
        </w:rPr>
        <w:t>Afghanistan, Argentina, Australia, Austria, Bahamas, Brazil, Bulgaria, Chile, Croatia, Czechia, Denmark, Fiji, Hungary, Iceland, Italy, Japan, Mexico, Peru, Slovakia, Spain, Ukraine, United Kingdom of Great Britain and Northern Ireland, Uruguay</w:t>
      </w:r>
    </w:p>
    <w:p w14:paraId="1FF7A019" w14:textId="77777777" w:rsidR="0011217F" w:rsidRPr="0011217F" w:rsidRDefault="0011217F" w:rsidP="0011217F">
      <w:pPr>
        <w:ind w:left="1701" w:right="1134"/>
        <w:jc w:val="both"/>
        <w:rPr>
          <w:rFonts w:eastAsia="SimSun"/>
          <w:i/>
          <w:sz w:val="20"/>
          <w:szCs w:val="20"/>
          <w:lang w:eastAsia="ar-SA"/>
        </w:rPr>
      </w:pPr>
      <w:r w:rsidRPr="0011217F">
        <w:rPr>
          <w:rFonts w:eastAsia="SimSun"/>
          <w:i/>
          <w:sz w:val="20"/>
          <w:szCs w:val="20"/>
          <w:lang w:eastAsia="ar-SA"/>
        </w:rPr>
        <w:t>Against</w:t>
      </w:r>
      <w:r w:rsidRPr="0011217F">
        <w:rPr>
          <w:rFonts w:eastAsia="SimSun"/>
          <w:sz w:val="20"/>
          <w:szCs w:val="20"/>
          <w:lang w:eastAsia="ar-SA"/>
        </w:rPr>
        <w:t>:</w:t>
      </w:r>
      <w:r w:rsidRPr="0011217F">
        <w:rPr>
          <w:rFonts w:eastAsia="SimSun"/>
          <w:i/>
          <w:sz w:val="20"/>
          <w:szCs w:val="20"/>
          <w:lang w:eastAsia="ar-SA"/>
        </w:rPr>
        <w:t xml:space="preserve"> </w:t>
      </w:r>
    </w:p>
    <w:p w14:paraId="79C5AD14" w14:textId="77777777" w:rsidR="0011217F" w:rsidRPr="0011217F" w:rsidRDefault="0011217F" w:rsidP="0011217F">
      <w:pPr>
        <w:spacing w:after="120"/>
        <w:ind w:left="2268" w:right="1134"/>
        <w:jc w:val="both"/>
        <w:rPr>
          <w:rFonts w:eastAsia="SimSun"/>
          <w:sz w:val="20"/>
          <w:szCs w:val="20"/>
          <w:lang w:eastAsia="ar-SA"/>
        </w:rPr>
      </w:pPr>
      <w:r w:rsidRPr="0011217F">
        <w:rPr>
          <w:rFonts w:eastAsia="SimSun"/>
          <w:sz w:val="20"/>
          <w:szCs w:val="20"/>
          <w:lang w:eastAsia="ar-SA"/>
        </w:rPr>
        <w:t>Cuba, Egypt, Eritrea</w:t>
      </w:r>
    </w:p>
    <w:p w14:paraId="2F8DDBD7" w14:textId="77777777" w:rsidR="0011217F" w:rsidRPr="0011217F" w:rsidRDefault="0011217F" w:rsidP="0011217F">
      <w:pPr>
        <w:ind w:left="1701" w:right="1134"/>
        <w:jc w:val="both"/>
        <w:rPr>
          <w:rFonts w:eastAsia="SimSun"/>
          <w:i/>
          <w:sz w:val="20"/>
          <w:szCs w:val="20"/>
          <w:lang w:eastAsia="ar-SA"/>
        </w:rPr>
      </w:pPr>
      <w:r w:rsidRPr="0011217F">
        <w:rPr>
          <w:rFonts w:eastAsia="SimSun"/>
          <w:i/>
          <w:sz w:val="20"/>
          <w:szCs w:val="20"/>
          <w:lang w:eastAsia="ar-SA"/>
        </w:rPr>
        <w:t>Abstaining</w:t>
      </w:r>
      <w:r w:rsidRPr="0011217F">
        <w:rPr>
          <w:rFonts w:eastAsia="SimSun"/>
          <w:sz w:val="20"/>
          <w:szCs w:val="20"/>
          <w:lang w:eastAsia="ar-SA"/>
        </w:rPr>
        <w:t>:</w:t>
      </w:r>
      <w:r w:rsidRPr="0011217F">
        <w:rPr>
          <w:rFonts w:eastAsia="SimSun"/>
          <w:i/>
          <w:sz w:val="20"/>
          <w:szCs w:val="20"/>
          <w:lang w:eastAsia="ar-SA"/>
        </w:rPr>
        <w:t xml:space="preserve"> </w:t>
      </w:r>
    </w:p>
    <w:p w14:paraId="34B3C426" w14:textId="2AF586CD" w:rsidR="0011217F" w:rsidRPr="0011217F" w:rsidRDefault="0011217F" w:rsidP="0011217F">
      <w:pPr>
        <w:pStyle w:val="SingleTxtG"/>
        <w:ind w:left="2268"/>
        <w:rPr>
          <w:sz w:val="20"/>
          <w:szCs w:val="20"/>
        </w:rPr>
      </w:pPr>
      <w:r w:rsidRPr="0011217F">
        <w:rPr>
          <w:rFonts w:eastAsia="SimSun"/>
          <w:sz w:val="20"/>
          <w:szCs w:val="20"/>
          <w:lang w:eastAsia="ar-SA"/>
        </w:rPr>
        <w:t xml:space="preserve">Angola, Bahrain, Bangladesh, Burkina Faso, Cameroon, China, Democratic Republic of the Congo, India, Iraq, Nepal, Nigeria, Pakistan, Philippines, Qatar, Rwanda, Saudi Arabia, Senegal, Somalia, South </w:t>
      </w:r>
      <w:r>
        <w:rPr>
          <w:rFonts w:eastAsia="SimSun"/>
          <w:sz w:val="20"/>
          <w:szCs w:val="20"/>
          <w:lang w:eastAsia="ar-SA"/>
        </w:rPr>
        <w:t>Africa, Togo, Tunisia</w:t>
      </w:r>
    </w:p>
    <w:p w14:paraId="08BD97F8" w14:textId="70A8A46A" w:rsidR="0023658A" w:rsidRPr="0023658A" w:rsidRDefault="009B6FCB" w:rsidP="0011217F">
      <w:pPr>
        <w:pStyle w:val="SingleTxtG"/>
        <w:rPr>
          <w:rFonts w:eastAsia="SimSun"/>
          <w:sz w:val="20"/>
          <w:szCs w:val="20"/>
          <w:lang w:eastAsia="ar-SA"/>
        </w:rPr>
      </w:pPr>
      <w:r>
        <w:rPr>
          <w:rFonts w:eastAsia="SimSun"/>
          <w:sz w:val="20"/>
          <w:szCs w:val="20"/>
          <w:lang w:eastAsia="ar-SA"/>
        </w:rPr>
        <w:t>73</w:t>
      </w:r>
      <w:r w:rsidR="0023658A" w:rsidRPr="0023658A">
        <w:rPr>
          <w:rFonts w:eastAsia="SimSun"/>
          <w:sz w:val="20"/>
          <w:szCs w:val="20"/>
          <w:lang w:eastAsia="ar-SA"/>
        </w:rPr>
        <w:t>.</w:t>
      </w:r>
      <w:r w:rsidR="0023658A" w:rsidRPr="0023658A">
        <w:rPr>
          <w:rFonts w:eastAsia="SimSun"/>
          <w:sz w:val="20"/>
          <w:szCs w:val="20"/>
          <w:lang w:eastAsia="ar-SA"/>
        </w:rPr>
        <w:tab/>
        <w:t>The draft resolution was adopted by 23</w:t>
      </w:r>
      <w:r w:rsidR="0023658A" w:rsidRPr="0023658A">
        <w:rPr>
          <w:sz w:val="20"/>
          <w:szCs w:val="20"/>
          <w:lang w:eastAsia="ar-SA"/>
        </w:rPr>
        <w:t xml:space="preserve"> votes to </w:t>
      </w:r>
      <w:r w:rsidR="0011217F">
        <w:rPr>
          <w:sz w:val="20"/>
          <w:szCs w:val="20"/>
          <w:lang w:eastAsia="ar-SA"/>
        </w:rPr>
        <w:t>3</w:t>
      </w:r>
      <w:r w:rsidR="0023658A" w:rsidRPr="0023658A">
        <w:rPr>
          <w:sz w:val="20"/>
          <w:szCs w:val="20"/>
          <w:lang w:eastAsia="ar-SA"/>
        </w:rPr>
        <w:t xml:space="preserve">, with </w:t>
      </w:r>
      <w:r w:rsidR="0011217F">
        <w:rPr>
          <w:sz w:val="20"/>
          <w:szCs w:val="20"/>
          <w:lang w:eastAsia="ar-SA"/>
        </w:rPr>
        <w:t>21</w:t>
      </w:r>
      <w:r w:rsidR="0023658A" w:rsidRPr="0023658A">
        <w:rPr>
          <w:sz w:val="20"/>
          <w:szCs w:val="20"/>
          <w:lang w:eastAsia="ar-SA"/>
        </w:rPr>
        <w:t xml:space="preserve"> abstentions</w:t>
      </w:r>
      <w:r w:rsidR="0023658A" w:rsidRPr="0023658A">
        <w:rPr>
          <w:rFonts w:eastAsia="SimSun"/>
          <w:sz w:val="20"/>
          <w:szCs w:val="20"/>
          <w:lang w:eastAsia="ar-SA"/>
        </w:rPr>
        <w:t xml:space="preserve"> (resolution </w:t>
      </w:r>
      <w:r w:rsidR="0011217F">
        <w:rPr>
          <w:rFonts w:eastAsia="SimSun"/>
          <w:sz w:val="20"/>
          <w:szCs w:val="20"/>
          <w:lang w:eastAsia="ar-SA"/>
        </w:rPr>
        <w:t>40/2</w:t>
      </w:r>
      <w:r w:rsidR="0023658A" w:rsidRPr="0023658A">
        <w:rPr>
          <w:rFonts w:eastAsia="SimSun"/>
          <w:sz w:val="20"/>
          <w:szCs w:val="20"/>
          <w:lang w:eastAsia="ar-SA"/>
        </w:rPr>
        <w:t>).</w:t>
      </w:r>
    </w:p>
    <w:p w14:paraId="3C9D6969" w14:textId="34D5C0B4" w:rsidR="00B1610F" w:rsidRPr="00326BEB" w:rsidRDefault="00B1610F" w:rsidP="00B1610F">
      <w:pPr>
        <w:pStyle w:val="H23G"/>
        <w:rPr>
          <w:sz w:val="20"/>
          <w:szCs w:val="20"/>
        </w:rPr>
      </w:pPr>
      <w:r>
        <w:rPr>
          <w:sz w:val="20"/>
          <w:szCs w:val="20"/>
        </w:rPr>
        <w:tab/>
      </w:r>
      <w:r>
        <w:rPr>
          <w:sz w:val="20"/>
          <w:szCs w:val="20"/>
        </w:rPr>
        <w:tab/>
      </w:r>
      <w:r w:rsidRPr="00B1610F">
        <w:rPr>
          <w:sz w:val="20"/>
          <w:szCs w:val="20"/>
        </w:rPr>
        <w:t>Ensuring accountability and justice for all violations of international law in the Occupied Palestinian Territory, including East Jerusalem</w:t>
      </w:r>
    </w:p>
    <w:p w14:paraId="7DE1C6AB" w14:textId="6782D472" w:rsidR="00B1610F" w:rsidRDefault="009B6FCB" w:rsidP="007B723F">
      <w:pPr>
        <w:pStyle w:val="SingleTxtG"/>
        <w:rPr>
          <w:sz w:val="20"/>
          <w:szCs w:val="20"/>
        </w:rPr>
      </w:pPr>
      <w:r>
        <w:rPr>
          <w:sz w:val="20"/>
          <w:szCs w:val="20"/>
        </w:rPr>
        <w:t>74</w:t>
      </w:r>
      <w:r w:rsidR="00B1610F" w:rsidRPr="00326BEB">
        <w:rPr>
          <w:sz w:val="20"/>
          <w:szCs w:val="20"/>
        </w:rPr>
        <w:t>.</w:t>
      </w:r>
      <w:r w:rsidR="00B1610F" w:rsidRPr="00326BEB">
        <w:rPr>
          <w:sz w:val="20"/>
          <w:szCs w:val="20"/>
        </w:rPr>
        <w:tab/>
        <w:t xml:space="preserve">At the </w:t>
      </w:r>
      <w:r w:rsidR="00B1610F">
        <w:rPr>
          <w:sz w:val="20"/>
          <w:szCs w:val="20"/>
        </w:rPr>
        <w:t>5</w:t>
      </w:r>
      <w:r w:rsidR="00E57797">
        <w:rPr>
          <w:sz w:val="20"/>
          <w:szCs w:val="20"/>
        </w:rPr>
        <w:t>3rd</w:t>
      </w:r>
      <w:r w:rsidR="00B1610F" w:rsidRPr="00326BEB">
        <w:rPr>
          <w:sz w:val="20"/>
          <w:szCs w:val="20"/>
        </w:rPr>
        <w:t xml:space="preserve"> meeting, on </w:t>
      </w:r>
      <w:r w:rsidR="00B1610F">
        <w:rPr>
          <w:sz w:val="20"/>
          <w:szCs w:val="20"/>
        </w:rPr>
        <w:t>2</w:t>
      </w:r>
      <w:r w:rsidR="007B723F">
        <w:rPr>
          <w:sz w:val="20"/>
          <w:szCs w:val="20"/>
        </w:rPr>
        <w:t>2</w:t>
      </w:r>
      <w:r w:rsidR="00B1610F">
        <w:rPr>
          <w:sz w:val="20"/>
          <w:szCs w:val="20"/>
        </w:rPr>
        <w:t xml:space="preserve"> March 2019</w:t>
      </w:r>
      <w:r w:rsidR="00B1610F" w:rsidRPr="00326BEB">
        <w:rPr>
          <w:sz w:val="20"/>
          <w:szCs w:val="20"/>
        </w:rPr>
        <w:t xml:space="preserve">, the representative of </w:t>
      </w:r>
      <w:r w:rsidR="007B723F" w:rsidRPr="007B723F">
        <w:rPr>
          <w:sz w:val="20"/>
          <w:szCs w:val="20"/>
        </w:rPr>
        <w:t xml:space="preserve">Pakistan </w:t>
      </w:r>
      <w:r w:rsidR="007B723F">
        <w:rPr>
          <w:sz w:val="20"/>
          <w:szCs w:val="20"/>
        </w:rPr>
        <w:t>(</w:t>
      </w:r>
      <w:r w:rsidR="007B723F" w:rsidRPr="007B723F">
        <w:rPr>
          <w:sz w:val="20"/>
          <w:szCs w:val="20"/>
        </w:rPr>
        <w:t>on behalf of the Organization of Islamic Cooperation</w:t>
      </w:r>
      <w:r w:rsidR="007B723F">
        <w:rPr>
          <w:sz w:val="20"/>
          <w:szCs w:val="20"/>
        </w:rPr>
        <w:t>)</w:t>
      </w:r>
      <w:r w:rsidR="00B1610F">
        <w:rPr>
          <w:sz w:val="20"/>
          <w:szCs w:val="20"/>
        </w:rPr>
        <w:t xml:space="preserve"> </w:t>
      </w:r>
      <w:r w:rsidR="00B1610F" w:rsidRPr="00326BEB">
        <w:rPr>
          <w:sz w:val="20"/>
          <w:szCs w:val="20"/>
        </w:rPr>
        <w:t>introduced draft resolution A/HRC/</w:t>
      </w:r>
      <w:r w:rsidR="00B1610F">
        <w:rPr>
          <w:sz w:val="20"/>
          <w:szCs w:val="20"/>
        </w:rPr>
        <w:t>40</w:t>
      </w:r>
      <w:r w:rsidR="00B1610F" w:rsidRPr="00326BEB">
        <w:rPr>
          <w:sz w:val="20"/>
          <w:szCs w:val="20"/>
        </w:rPr>
        <w:t>/L.</w:t>
      </w:r>
      <w:r w:rsidR="007B723F">
        <w:rPr>
          <w:sz w:val="20"/>
          <w:szCs w:val="20"/>
        </w:rPr>
        <w:t>25</w:t>
      </w:r>
      <w:r w:rsidR="00B1610F" w:rsidRPr="00326BEB">
        <w:rPr>
          <w:sz w:val="20"/>
          <w:szCs w:val="20"/>
        </w:rPr>
        <w:t xml:space="preserve">, sponsored by </w:t>
      </w:r>
      <w:r w:rsidR="007B723F" w:rsidRPr="007B723F">
        <w:rPr>
          <w:sz w:val="20"/>
          <w:szCs w:val="20"/>
        </w:rPr>
        <w:t xml:space="preserve">Pakistan (on behalf of the Organization of Islamic Cooperation), </w:t>
      </w:r>
      <w:r w:rsidR="007B723F" w:rsidRPr="00326BEB">
        <w:rPr>
          <w:sz w:val="20"/>
          <w:szCs w:val="20"/>
        </w:rPr>
        <w:t>and co-sponsored by</w:t>
      </w:r>
      <w:r w:rsidR="007B723F">
        <w:rPr>
          <w:sz w:val="20"/>
          <w:szCs w:val="20"/>
        </w:rPr>
        <w:t xml:space="preserve"> </w:t>
      </w:r>
      <w:r w:rsidR="007B723F" w:rsidRPr="007B723F">
        <w:rPr>
          <w:sz w:val="20"/>
          <w:szCs w:val="20"/>
        </w:rPr>
        <w:t>Bahrain (on behalf of the Group of Arab States), Bolivia (Plurinational State of), Cuba, Venezuela (Bolivarian Republic of)</w:t>
      </w:r>
      <w:r w:rsidR="007B723F">
        <w:rPr>
          <w:sz w:val="20"/>
          <w:szCs w:val="20"/>
        </w:rPr>
        <w:t xml:space="preserve"> and</w:t>
      </w:r>
      <w:r w:rsidR="007B723F" w:rsidRPr="007B723F">
        <w:rPr>
          <w:sz w:val="20"/>
          <w:szCs w:val="20"/>
        </w:rPr>
        <w:t xml:space="preserve"> Zimbabwe</w:t>
      </w:r>
      <w:r w:rsidR="00B1610F" w:rsidRPr="00E45C02">
        <w:rPr>
          <w:sz w:val="20"/>
          <w:szCs w:val="20"/>
        </w:rPr>
        <w:t>.</w:t>
      </w:r>
      <w:r w:rsidR="00B1610F">
        <w:rPr>
          <w:sz w:val="20"/>
          <w:szCs w:val="20"/>
        </w:rPr>
        <w:t xml:space="preserve"> </w:t>
      </w:r>
      <w:r w:rsidR="00B1610F" w:rsidRPr="00326BEB">
        <w:rPr>
          <w:sz w:val="20"/>
          <w:szCs w:val="20"/>
        </w:rPr>
        <w:t xml:space="preserve">Subsequently, </w:t>
      </w:r>
      <w:r w:rsidR="007B723F" w:rsidRPr="007B723F">
        <w:rPr>
          <w:sz w:val="20"/>
          <w:szCs w:val="20"/>
        </w:rPr>
        <w:t>Botswana</w:t>
      </w:r>
      <w:r w:rsidR="007B723F">
        <w:rPr>
          <w:sz w:val="20"/>
          <w:szCs w:val="20"/>
        </w:rPr>
        <w:t xml:space="preserve">, the </w:t>
      </w:r>
      <w:r w:rsidR="007B723F" w:rsidRPr="007B723F">
        <w:rPr>
          <w:sz w:val="20"/>
          <w:szCs w:val="20"/>
        </w:rPr>
        <w:t>Democratic People</w:t>
      </w:r>
      <w:r w:rsidR="00D72627">
        <w:rPr>
          <w:sz w:val="20"/>
          <w:szCs w:val="20"/>
        </w:rPr>
        <w:t>’</w:t>
      </w:r>
      <w:r w:rsidR="007B723F" w:rsidRPr="007B723F">
        <w:rPr>
          <w:sz w:val="20"/>
          <w:szCs w:val="20"/>
        </w:rPr>
        <w:t>s Republic of Korea</w:t>
      </w:r>
      <w:r w:rsidR="007B723F">
        <w:rPr>
          <w:sz w:val="20"/>
          <w:szCs w:val="20"/>
        </w:rPr>
        <w:t xml:space="preserve">, </w:t>
      </w:r>
      <w:r w:rsidR="007B723F" w:rsidRPr="007B723F">
        <w:rPr>
          <w:sz w:val="20"/>
          <w:szCs w:val="20"/>
        </w:rPr>
        <w:t>Ireland</w:t>
      </w:r>
      <w:r w:rsidR="007B723F">
        <w:rPr>
          <w:sz w:val="20"/>
          <w:szCs w:val="20"/>
        </w:rPr>
        <w:t xml:space="preserve">, </w:t>
      </w:r>
      <w:r w:rsidR="007B723F" w:rsidRPr="007B723F">
        <w:rPr>
          <w:sz w:val="20"/>
          <w:szCs w:val="20"/>
        </w:rPr>
        <w:t>Luxembourg</w:t>
      </w:r>
      <w:r w:rsidR="007B723F">
        <w:rPr>
          <w:sz w:val="20"/>
          <w:szCs w:val="20"/>
        </w:rPr>
        <w:t xml:space="preserve">, </w:t>
      </w:r>
      <w:r w:rsidR="007B723F" w:rsidRPr="007B723F">
        <w:rPr>
          <w:sz w:val="20"/>
          <w:szCs w:val="20"/>
        </w:rPr>
        <w:t>Malta</w:t>
      </w:r>
      <w:r w:rsidR="007B723F">
        <w:rPr>
          <w:sz w:val="20"/>
          <w:szCs w:val="20"/>
        </w:rPr>
        <w:t xml:space="preserve">, Namibia, </w:t>
      </w:r>
      <w:r w:rsidR="007B723F" w:rsidRPr="007B723F">
        <w:rPr>
          <w:sz w:val="20"/>
          <w:szCs w:val="20"/>
        </w:rPr>
        <w:t>Portugal</w:t>
      </w:r>
      <w:r w:rsidR="007B723F">
        <w:rPr>
          <w:sz w:val="20"/>
          <w:szCs w:val="20"/>
        </w:rPr>
        <w:t xml:space="preserve">, </w:t>
      </w:r>
      <w:r w:rsidR="007B723F" w:rsidRPr="007B723F">
        <w:rPr>
          <w:sz w:val="20"/>
          <w:szCs w:val="20"/>
        </w:rPr>
        <w:t>Slovenia</w:t>
      </w:r>
      <w:r w:rsidR="007B723F">
        <w:rPr>
          <w:sz w:val="20"/>
          <w:szCs w:val="20"/>
        </w:rPr>
        <w:t xml:space="preserve">, </w:t>
      </w:r>
      <w:r w:rsidR="007B723F" w:rsidRPr="007B723F">
        <w:rPr>
          <w:sz w:val="20"/>
          <w:szCs w:val="20"/>
        </w:rPr>
        <w:t>South Africa</w:t>
      </w:r>
      <w:r w:rsidR="007B723F">
        <w:rPr>
          <w:sz w:val="20"/>
          <w:szCs w:val="20"/>
        </w:rPr>
        <w:t xml:space="preserve">, </w:t>
      </w:r>
      <w:r w:rsidR="007B723F" w:rsidRPr="007B723F">
        <w:rPr>
          <w:sz w:val="20"/>
          <w:szCs w:val="20"/>
        </w:rPr>
        <w:t>Sweden</w:t>
      </w:r>
      <w:r w:rsidR="007B723F">
        <w:rPr>
          <w:sz w:val="20"/>
          <w:szCs w:val="20"/>
        </w:rPr>
        <w:t xml:space="preserve"> and </w:t>
      </w:r>
      <w:r w:rsidR="007B723F" w:rsidRPr="007B723F">
        <w:rPr>
          <w:sz w:val="20"/>
          <w:szCs w:val="20"/>
        </w:rPr>
        <w:t>Switzerland</w:t>
      </w:r>
      <w:r w:rsidR="007B723F" w:rsidRPr="007B723F">
        <w:rPr>
          <w:sz w:val="20"/>
          <w:szCs w:val="20"/>
        </w:rPr>
        <w:tab/>
      </w:r>
      <w:r w:rsidR="00B1610F" w:rsidRPr="00326BEB">
        <w:rPr>
          <w:sz w:val="20"/>
          <w:szCs w:val="20"/>
        </w:rPr>
        <w:t>joined the sponsors.</w:t>
      </w:r>
    </w:p>
    <w:p w14:paraId="598F930B" w14:textId="360EFFD0" w:rsidR="00B1610F" w:rsidRDefault="009B6FCB" w:rsidP="00B1610F">
      <w:pPr>
        <w:spacing w:after="120"/>
        <w:ind w:left="1134" w:right="1134"/>
        <w:jc w:val="both"/>
        <w:rPr>
          <w:sz w:val="20"/>
          <w:szCs w:val="20"/>
        </w:rPr>
      </w:pPr>
      <w:r>
        <w:rPr>
          <w:sz w:val="20"/>
          <w:szCs w:val="20"/>
        </w:rPr>
        <w:t>75</w:t>
      </w:r>
      <w:r w:rsidR="00B1610F" w:rsidRPr="00E86201">
        <w:rPr>
          <w:sz w:val="20"/>
          <w:szCs w:val="20"/>
        </w:rPr>
        <w:t>.</w:t>
      </w:r>
      <w:r w:rsidR="00B1610F" w:rsidRPr="00E86201">
        <w:rPr>
          <w:sz w:val="20"/>
          <w:szCs w:val="20"/>
        </w:rPr>
        <w:tab/>
        <w:t>At the same meeting, the representative</w:t>
      </w:r>
      <w:r w:rsidR="00B1610F">
        <w:rPr>
          <w:sz w:val="20"/>
          <w:szCs w:val="20"/>
        </w:rPr>
        <w:t>s</w:t>
      </w:r>
      <w:r w:rsidR="00B1610F" w:rsidRPr="00E86201">
        <w:rPr>
          <w:sz w:val="20"/>
          <w:szCs w:val="20"/>
        </w:rPr>
        <w:t xml:space="preserve"> of </w:t>
      </w:r>
      <w:r w:rsidR="007B723F">
        <w:rPr>
          <w:sz w:val="20"/>
          <w:szCs w:val="20"/>
        </w:rPr>
        <w:t xml:space="preserve">Tunisia and the Philippines </w:t>
      </w:r>
      <w:r w:rsidR="00B1610F" w:rsidRPr="00E86201">
        <w:rPr>
          <w:sz w:val="20"/>
          <w:szCs w:val="20"/>
        </w:rPr>
        <w:t>made general comments on the draft resolution.</w:t>
      </w:r>
      <w:r w:rsidR="00453656">
        <w:rPr>
          <w:sz w:val="20"/>
          <w:szCs w:val="20"/>
        </w:rPr>
        <w:t xml:space="preserve"> In her </w:t>
      </w:r>
      <w:r w:rsidR="00453656" w:rsidRPr="00453656">
        <w:rPr>
          <w:sz w:val="20"/>
          <w:szCs w:val="20"/>
        </w:rPr>
        <w:t xml:space="preserve">statement, the representative of </w:t>
      </w:r>
      <w:r w:rsidR="00453656">
        <w:rPr>
          <w:sz w:val="20"/>
          <w:szCs w:val="20"/>
        </w:rPr>
        <w:t xml:space="preserve">the Philippines </w:t>
      </w:r>
      <w:r w:rsidR="00453656" w:rsidRPr="00453656">
        <w:rPr>
          <w:sz w:val="20"/>
          <w:szCs w:val="20"/>
        </w:rPr>
        <w:t xml:space="preserve">disassociated the delegation from the consensus on the </w:t>
      </w:r>
      <w:r w:rsidR="00453656">
        <w:rPr>
          <w:sz w:val="20"/>
          <w:szCs w:val="20"/>
        </w:rPr>
        <w:t>operative</w:t>
      </w:r>
      <w:r w:rsidR="00453656" w:rsidRPr="00453656">
        <w:rPr>
          <w:sz w:val="20"/>
          <w:szCs w:val="20"/>
        </w:rPr>
        <w:t xml:space="preserve"> paragraph </w:t>
      </w:r>
      <w:r w:rsidR="00453656">
        <w:rPr>
          <w:sz w:val="20"/>
          <w:szCs w:val="20"/>
        </w:rPr>
        <w:t xml:space="preserve">6 </w:t>
      </w:r>
      <w:r w:rsidR="00453656" w:rsidRPr="00453656">
        <w:rPr>
          <w:sz w:val="20"/>
          <w:szCs w:val="20"/>
        </w:rPr>
        <w:t>of the draft resolution.</w:t>
      </w:r>
    </w:p>
    <w:p w14:paraId="7408EFD3" w14:textId="3480BC9D" w:rsidR="00B1610F" w:rsidRPr="00326BEB" w:rsidRDefault="009B6FCB" w:rsidP="00B1610F">
      <w:pPr>
        <w:spacing w:after="120"/>
        <w:ind w:left="1134" w:right="1134"/>
        <w:jc w:val="both"/>
        <w:rPr>
          <w:sz w:val="20"/>
          <w:szCs w:val="20"/>
        </w:rPr>
      </w:pPr>
      <w:r>
        <w:rPr>
          <w:sz w:val="20"/>
          <w:szCs w:val="20"/>
        </w:rPr>
        <w:t>76</w:t>
      </w:r>
      <w:r w:rsidR="00B1610F" w:rsidRPr="00E23221">
        <w:rPr>
          <w:sz w:val="20"/>
          <w:szCs w:val="20"/>
        </w:rPr>
        <w:t>.</w:t>
      </w:r>
      <w:r w:rsidR="00B1610F" w:rsidRPr="00E23221">
        <w:rPr>
          <w:sz w:val="20"/>
          <w:szCs w:val="20"/>
        </w:rPr>
        <w:tab/>
        <w:t>Also at the same meeting, the representative</w:t>
      </w:r>
      <w:r w:rsidR="007B723F">
        <w:rPr>
          <w:sz w:val="20"/>
          <w:szCs w:val="20"/>
        </w:rPr>
        <w:t>s</w:t>
      </w:r>
      <w:r w:rsidR="00B1610F" w:rsidRPr="00E23221">
        <w:rPr>
          <w:sz w:val="20"/>
          <w:szCs w:val="20"/>
        </w:rPr>
        <w:t xml:space="preserve"> of </w:t>
      </w:r>
      <w:r w:rsidR="007B723F">
        <w:rPr>
          <w:sz w:val="20"/>
          <w:szCs w:val="20"/>
        </w:rPr>
        <w:t>Israel and the State of Palestine</w:t>
      </w:r>
      <w:r w:rsidR="00B1610F" w:rsidRPr="00E23221">
        <w:rPr>
          <w:sz w:val="20"/>
          <w:szCs w:val="20"/>
        </w:rPr>
        <w:t xml:space="preserve"> made statement</w:t>
      </w:r>
      <w:r w:rsidR="007B723F">
        <w:rPr>
          <w:sz w:val="20"/>
          <w:szCs w:val="20"/>
        </w:rPr>
        <w:t>s</w:t>
      </w:r>
      <w:r w:rsidR="00B1610F" w:rsidRPr="00E23221">
        <w:rPr>
          <w:sz w:val="20"/>
          <w:szCs w:val="20"/>
        </w:rPr>
        <w:t xml:space="preserve"> as the State concerned.</w:t>
      </w:r>
    </w:p>
    <w:p w14:paraId="15E561E6" w14:textId="7F1A093C" w:rsidR="00B1610F" w:rsidRDefault="009B6FCB" w:rsidP="00B1610F">
      <w:pPr>
        <w:spacing w:after="120"/>
        <w:ind w:left="1134" w:right="1134"/>
        <w:jc w:val="both"/>
        <w:rPr>
          <w:sz w:val="20"/>
          <w:szCs w:val="20"/>
        </w:rPr>
      </w:pPr>
      <w:r>
        <w:rPr>
          <w:sz w:val="20"/>
          <w:szCs w:val="20"/>
        </w:rPr>
        <w:t>77</w:t>
      </w:r>
      <w:r w:rsidR="00B1610F" w:rsidRPr="00326BEB">
        <w:rPr>
          <w:sz w:val="20"/>
          <w:szCs w:val="20"/>
        </w:rPr>
        <w:t>.</w:t>
      </w:r>
      <w:r w:rsidR="00B1610F" w:rsidRPr="00326BEB">
        <w:rPr>
          <w:sz w:val="20"/>
          <w:szCs w:val="20"/>
        </w:rPr>
        <w:tab/>
        <w:t>In accordance with rule 153 of the rules of procedure of the General Assembly, the attention of the Human Rights Council was drawn to the estimated administrative and programme budget implications of the draft resolution.</w:t>
      </w:r>
    </w:p>
    <w:p w14:paraId="1BE96BEE" w14:textId="3150CA9A" w:rsidR="00B1610F" w:rsidRPr="0023658A" w:rsidRDefault="009B6FCB" w:rsidP="00B1610F">
      <w:pPr>
        <w:pStyle w:val="SingleTxtG"/>
        <w:rPr>
          <w:sz w:val="20"/>
          <w:szCs w:val="20"/>
        </w:rPr>
      </w:pPr>
      <w:r>
        <w:rPr>
          <w:sz w:val="20"/>
          <w:szCs w:val="20"/>
        </w:rPr>
        <w:t>78</w:t>
      </w:r>
      <w:r w:rsidR="00B1610F" w:rsidRPr="0023658A">
        <w:rPr>
          <w:sz w:val="20"/>
          <w:szCs w:val="20"/>
        </w:rPr>
        <w:t>.</w:t>
      </w:r>
      <w:r w:rsidR="00B1610F" w:rsidRPr="0023658A">
        <w:rPr>
          <w:sz w:val="20"/>
          <w:szCs w:val="20"/>
        </w:rPr>
        <w:tab/>
      </w:r>
      <w:r w:rsidR="00B1610F" w:rsidRPr="0023658A">
        <w:rPr>
          <w:rFonts w:eastAsia="SimSun"/>
          <w:sz w:val="20"/>
          <w:szCs w:val="20"/>
          <w:lang w:eastAsia="ar-SA"/>
        </w:rPr>
        <w:t>At the same meeting</w:t>
      </w:r>
      <w:r w:rsidR="00B1610F" w:rsidRPr="0023658A">
        <w:rPr>
          <w:sz w:val="20"/>
          <w:szCs w:val="20"/>
        </w:rPr>
        <w:t xml:space="preserve">, the representatives of </w:t>
      </w:r>
      <w:r w:rsidR="00ED1EFF" w:rsidRPr="00ED1EFF">
        <w:rPr>
          <w:sz w:val="20"/>
          <w:szCs w:val="20"/>
        </w:rPr>
        <w:t>Australia, Austria</w:t>
      </w:r>
      <w:r w:rsidR="00ED1EFF">
        <w:rPr>
          <w:sz w:val="20"/>
          <w:szCs w:val="20"/>
        </w:rPr>
        <w:t xml:space="preserve">, </w:t>
      </w:r>
      <w:r w:rsidR="00ED1EFF" w:rsidRPr="00ED1EFF">
        <w:rPr>
          <w:sz w:val="20"/>
          <w:szCs w:val="20"/>
        </w:rPr>
        <w:t>Brazil</w:t>
      </w:r>
      <w:r w:rsidR="00ED1EFF">
        <w:rPr>
          <w:sz w:val="20"/>
          <w:szCs w:val="20"/>
        </w:rPr>
        <w:t xml:space="preserve">, </w:t>
      </w:r>
      <w:r w:rsidR="00ED1EFF" w:rsidRPr="00ED1EFF">
        <w:rPr>
          <w:sz w:val="20"/>
          <w:szCs w:val="20"/>
        </w:rPr>
        <w:t>Czech</w:t>
      </w:r>
      <w:r w:rsidR="00ED1EFF">
        <w:rPr>
          <w:sz w:val="20"/>
          <w:szCs w:val="20"/>
        </w:rPr>
        <w:t>ia</w:t>
      </w:r>
      <w:r w:rsidR="00ED1EFF" w:rsidRPr="00ED1EFF">
        <w:rPr>
          <w:sz w:val="20"/>
          <w:szCs w:val="20"/>
        </w:rPr>
        <w:t xml:space="preserve">, Iceland, Spain, </w:t>
      </w:r>
      <w:r w:rsidR="00ED1EFF">
        <w:rPr>
          <w:sz w:val="20"/>
          <w:szCs w:val="20"/>
        </w:rPr>
        <w:t xml:space="preserve">the </w:t>
      </w:r>
      <w:r w:rsidR="00ED1EFF" w:rsidRPr="00ED1EFF">
        <w:rPr>
          <w:sz w:val="20"/>
          <w:szCs w:val="20"/>
        </w:rPr>
        <w:t>United Kingdom of Great Britain and Northern Ireland</w:t>
      </w:r>
      <w:r w:rsidR="00ED1EFF">
        <w:rPr>
          <w:sz w:val="20"/>
          <w:szCs w:val="20"/>
        </w:rPr>
        <w:t xml:space="preserve"> and </w:t>
      </w:r>
      <w:r w:rsidR="00ED1EFF" w:rsidRPr="00ED1EFF">
        <w:rPr>
          <w:sz w:val="20"/>
          <w:szCs w:val="20"/>
        </w:rPr>
        <w:t>Uruguay</w:t>
      </w:r>
      <w:r w:rsidR="00ED1EFF">
        <w:rPr>
          <w:sz w:val="20"/>
          <w:szCs w:val="20"/>
        </w:rPr>
        <w:t xml:space="preserve"> </w:t>
      </w:r>
      <w:r w:rsidR="00B1610F" w:rsidRPr="0023658A">
        <w:rPr>
          <w:sz w:val="20"/>
          <w:szCs w:val="20"/>
        </w:rPr>
        <w:t>made statements in explanation of vote before the vote.</w:t>
      </w:r>
    </w:p>
    <w:p w14:paraId="64DE45DA" w14:textId="0D19B5B7" w:rsidR="00B1610F" w:rsidRPr="0023658A" w:rsidRDefault="009B6FCB" w:rsidP="00B1610F">
      <w:pPr>
        <w:pStyle w:val="SingleTxtG"/>
        <w:rPr>
          <w:sz w:val="20"/>
          <w:szCs w:val="20"/>
        </w:rPr>
      </w:pPr>
      <w:r>
        <w:rPr>
          <w:sz w:val="20"/>
          <w:szCs w:val="20"/>
        </w:rPr>
        <w:t>79</w:t>
      </w:r>
      <w:r w:rsidR="00B1610F" w:rsidRPr="0023658A">
        <w:rPr>
          <w:sz w:val="20"/>
          <w:szCs w:val="20"/>
        </w:rPr>
        <w:t>.</w:t>
      </w:r>
      <w:r w:rsidR="00B1610F" w:rsidRPr="0023658A">
        <w:rPr>
          <w:sz w:val="20"/>
          <w:szCs w:val="20"/>
        </w:rPr>
        <w:tab/>
        <w:t xml:space="preserve">Also at the same meeting, at the request of the representative of </w:t>
      </w:r>
      <w:r w:rsidR="00453656">
        <w:rPr>
          <w:sz w:val="20"/>
          <w:szCs w:val="20"/>
        </w:rPr>
        <w:t>Australia</w:t>
      </w:r>
      <w:r w:rsidR="00B1610F" w:rsidRPr="0023658A">
        <w:rPr>
          <w:sz w:val="20"/>
          <w:szCs w:val="20"/>
        </w:rPr>
        <w:t>, a recorded vote was taken on the draft resolution. The voting was as follows:</w:t>
      </w:r>
    </w:p>
    <w:p w14:paraId="5FA3BA91" w14:textId="77777777" w:rsidR="00453656" w:rsidRPr="00453656" w:rsidRDefault="00453656" w:rsidP="00453656">
      <w:pPr>
        <w:keepNext/>
        <w:keepLines/>
        <w:ind w:left="1701" w:right="1134"/>
        <w:jc w:val="both"/>
        <w:rPr>
          <w:rFonts w:eastAsia="SimSun"/>
          <w:i/>
          <w:sz w:val="20"/>
          <w:szCs w:val="20"/>
          <w:lang w:eastAsia="ar-SA"/>
        </w:rPr>
      </w:pPr>
      <w:r w:rsidRPr="00453656">
        <w:rPr>
          <w:rFonts w:eastAsia="SimSun"/>
          <w:i/>
          <w:sz w:val="20"/>
          <w:szCs w:val="20"/>
          <w:lang w:eastAsia="ar-SA"/>
        </w:rPr>
        <w:t>In favour</w:t>
      </w:r>
      <w:r w:rsidRPr="00453656">
        <w:rPr>
          <w:rFonts w:eastAsia="SimSun"/>
          <w:sz w:val="20"/>
          <w:szCs w:val="20"/>
          <w:lang w:eastAsia="ar-SA"/>
        </w:rPr>
        <w:t>:</w:t>
      </w:r>
      <w:r w:rsidRPr="00453656">
        <w:rPr>
          <w:rFonts w:eastAsia="SimSun"/>
          <w:i/>
          <w:sz w:val="20"/>
          <w:szCs w:val="20"/>
          <w:lang w:eastAsia="ar-SA"/>
        </w:rPr>
        <w:t xml:space="preserve"> </w:t>
      </w:r>
    </w:p>
    <w:p w14:paraId="273925EB" w14:textId="77777777" w:rsidR="00453656" w:rsidRPr="00453656" w:rsidRDefault="00453656" w:rsidP="00453656">
      <w:pPr>
        <w:spacing w:after="120"/>
        <w:ind w:left="2268" w:right="1134"/>
        <w:jc w:val="both"/>
        <w:rPr>
          <w:rFonts w:eastAsia="SimSun"/>
          <w:sz w:val="20"/>
          <w:szCs w:val="20"/>
          <w:lang w:eastAsia="ar-SA"/>
        </w:rPr>
      </w:pPr>
      <w:r w:rsidRPr="00453656">
        <w:rPr>
          <w:rFonts w:eastAsia="SimSun"/>
          <w:sz w:val="20"/>
          <w:szCs w:val="20"/>
          <w:lang w:eastAsia="ar-SA"/>
        </w:rPr>
        <w:t>Afghanistan, Angola, Bahrain, Bangladesh, Burkina Faso, Chile, China, Cuba, Egypt, Eritrea, Iraq, Mexico, Nigeria, Pakistan, Peru, Philippines, Qatar, Saudi Arabia, Senegal, Somalia, South Africa, Spain, Tunisia</w:t>
      </w:r>
    </w:p>
    <w:p w14:paraId="567068A9" w14:textId="77777777" w:rsidR="00453656" w:rsidRPr="00453656" w:rsidRDefault="00453656" w:rsidP="00453656">
      <w:pPr>
        <w:ind w:left="1701" w:right="1134"/>
        <w:jc w:val="both"/>
        <w:rPr>
          <w:rFonts w:eastAsia="SimSun"/>
          <w:i/>
          <w:sz w:val="20"/>
          <w:szCs w:val="20"/>
          <w:lang w:eastAsia="ar-SA"/>
        </w:rPr>
      </w:pPr>
      <w:r w:rsidRPr="00453656">
        <w:rPr>
          <w:rFonts w:eastAsia="SimSun"/>
          <w:i/>
          <w:sz w:val="20"/>
          <w:szCs w:val="20"/>
          <w:lang w:eastAsia="ar-SA"/>
        </w:rPr>
        <w:lastRenderedPageBreak/>
        <w:t>Against</w:t>
      </w:r>
      <w:r w:rsidRPr="00453656">
        <w:rPr>
          <w:rFonts w:eastAsia="SimSun"/>
          <w:sz w:val="20"/>
          <w:szCs w:val="20"/>
          <w:lang w:eastAsia="ar-SA"/>
        </w:rPr>
        <w:t>:</w:t>
      </w:r>
      <w:r w:rsidRPr="00453656">
        <w:rPr>
          <w:rFonts w:eastAsia="SimSun"/>
          <w:i/>
          <w:sz w:val="20"/>
          <w:szCs w:val="20"/>
          <w:lang w:eastAsia="ar-SA"/>
        </w:rPr>
        <w:t xml:space="preserve"> </w:t>
      </w:r>
    </w:p>
    <w:p w14:paraId="316BEF64" w14:textId="77777777" w:rsidR="00453656" w:rsidRPr="00453656" w:rsidRDefault="00453656" w:rsidP="00453656">
      <w:pPr>
        <w:spacing w:after="120"/>
        <w:ind w:left="2268" w:right="1134"/>
        <w:jc w:val="both"/>
        <w:rPr>
          <w:rFonts w:eastAsia="SimSun"/>
          <w:sz w:val="20"/>
          <w:szCs w:val="20"/>
          <w:lang w:eastAsia="ar-SA"/>
        </w:rPr>
      </w:pPr>
      <w:r w:rsidRPr="00453656">
        <w:rPr>
          <w:rFonts w:eastAsia="SimSun"/>
          <w:sz w:val="20"/>
          <w:szCs w:val="20"/>
          <w:lang w:eastAsia="ar-SA"/>
        </w:rPr>
        <w:t>Australia, Austria, Brazil, Bulgaria, Czechia, Fiji, Hungary, Ukraine</w:t>
      </w:r>
    </w:p>
    <w:p w14:paraId="14CB9A8F" w14:textId="77777777" w:rsidR="00453656" w:rsidRPr="00453656" w:rsidRDefault="00453656" w:rsidP="00453656">
      <w:pPr>
        <w:ind w:left="1701" w:right="1134"/>
        <w:jc w:val="both"/>
        <w:rPr>
          <w:rFonts w:eastAsia="SimSun"/>
          <w:i/>
          <w:sz w:val="20"/>
          <w:szCs w:val="20"/>
          <w:lang w:eastAsia="ar-SA"/>
        </w:rPr>
      </w:pPr>
      <w:r w:rsidRPr="00453656">
        <w:rPr>
          <w:rFonts w:eastAsia="SimSun"/>
          <w:i/>
          <w:sz w:val="20"/>
          <w:szCs w:val="20"/>
          <w:lang w:eastAsia="ar-SA"/>
        </w:rPr>
        <w:t>Abstaining</w:t>
      </w:r>
      <w:r w:rsidRPr="00453656">
        <w:rPr>
          <w:rFonts w:eastAsia="SimSun"/>
          <w:sz w:val="20"/>
          <w:szCs w:val="20"/>
          <w:lang w:eastAsia="ar-SA"/>
        </w:rPr>
        <w:t>:</w:t>
      </w:r>
      <w:r w:rsidRPr="00453656">
        <w:rPr>
          <w:rFonts w:eastAsia="SimSun"/>
          <w:i/>
          <w:sz w:val="20"/>
          <w:szCs w:val="20"/>
          <w:lang w:eastAsia="ar-SA"/>
        </w:rPr>
        <w:t xml:space="preserve"> </w:t>
      </w:r>
    </w:p>
    <w:p w14:paraId="61F52182" w14:textId="2B0EAAAB" w:rsidR="00453656" w:rsidRPr="00453656" w:rsidRDefault="00453656" w:rsidP="00453656">
      <w:pPr>
        <w:pStyle w:val="SingleTxtG"/>
        <w:ind w:left="2268"/>
        <w:rPr>
          <w:sz w:val="20"/>
          <w:szCs w:val="20"/>
        </w:rPr>
      </w:pPr>
      <w:r w:rsidRPr="00453656">
        <w:rPr>
          <w:rFonts w:eastAsia="SimSun"/>
          <w:sz w:val="20"/>
          <w:szCs w:val="20"/>
          <w:lang w:eastAsia="ar-SA"/>
        </w:rPr>
        <w:t>Argentina, Bahamas, Croatia, Democratic Republic of the Congo, Denmark, Iceland, India, Italy, Japan, Nepal, Rwanda, Slovakia, Togo,</w:t>
      </w:r>
      <w:r w:rsidR="007E79C8">
        <w:rPr>
          <w:rStyle w:val="FootnoteReference"/>
          <w:rFonts w:eastAsia="SimSun"/>
          <w:szCs w:val="20"/>
          <w:lang w:eastAsia="ar-SA"/>
        </w:rPr>
        <w:footnoteReference w:id="12"/>
      </w:r>
      <w:r w:rsidRPr="00453656">
        <w:rPr>
          <w:rFonts w:eastAsia="SimSun"/>
          <w:sz w:val="20"/>
          <w:szCs w:val="20"/>
          <w:lang w:eastAsia="ar-SA"/>
        </w:rPr>
        <w:t xml:space="preserve"> United Kingdom of Great Britain and Northern Ireland, Uruguay</w:t>
      </w:r>
    </w:p>
    <w:p w14:paraId="5DCF72DF" w14:textId="088810EE" w:rsidR="00B1610F" w:rsidRDefault="009B6FCB" w:rsidP="00B1610F">
      <w:pPr>
        <w:pStyle w:val="SingleTxtG"/>
        <w:rPr>
          <w:rFonts w:eastAsia="SimSun"/>
          <w:sz w:val="20"/>
          <w:szCs w:val="20"/>
          <w:lang w:eastAsia="ar-SA"/>
        </w:rPr>
      </w:pPr>
      <w:r>
        <w:rPr>
          <w:rFonts w:eastAsia="SimSun"/>
          <w:sz w:val="20"/>
          <w:szCs w:val="20"/>
          <w:lang w:eastAsia="ar-SA"/>
        </w:rPr>
        <w:t>80</w:t>
      </w:r>
      <w:r w:rsidR="00B1610F" w:rsidRPr="0023658A">
        <w:rPr>
          <w:rFonts w:eastAsia="SimSun"/>
          <w:sz w:val="20"/>
          <w:szCs w:val="20"/>
          <w:lang w:eastAsia="ar-SA"/>
        </w:rPr>
        <w:t>.</w:t>
      </w:r>
      <w:r w:rsidR="00B1610F" w:rsidRPr="0023658A">
        <w:rPr>
          <w:rFonts w:eastAsia="SimSun"/>
          <w:sz w:val="20"/>
          <w:szCs w:val="20"/>
          <w:lang w:eastAsia="ar-SA"/>
        </w:rPr>
        <w:tab/>
        <w:t>The draft resolution was adopted by 23</w:t>
      </w:r>
      <w:r w:rsidR="00B1610F" w:rsidRPr="0023658A">
        <w:rPr>
          <w:sz w:val="20"/>
          <w:szCs w:val="20"/>
          <w:lang w:eastAsia="ar-SA"/>
        </w:rPr>
        <w:t xml:space="preserve"> votes to </w:t>
      </w:r>
      <w:r w:rsidR="00ED1EFF">
        <w:rPr>
          <w:sz w:val="20"/>
          <w:szCs w:val="20"/>
          <w:lang w:eastAsia="ar-SA"/>
        </w:rPr>
        <w:t>8</w:t>
      </w:r>
      <w:r w:rsidR="00B1610F" w:rsidRPr="0023658A">
        <w:rPr>
          <w:sz w:val="20"/>
          <w:szCs w:val="20"/>
          <w:lang w:eastAsia="ar-SA"/>
        </w:rPr>
        <w:t xml:space="preserve">, with </w:t>
      </w:r>
      <w:r w:rsidR="00ED1EFF">
        <w:rPr>
          <w:sz w:val="20"/>
          <w:szCs w:val="20"/>
          <w:lang w:eastAsia="ar-SA"/>
        </w:rPr>
        <w:t>15</w:t>
      </w:r>
      <w:r w:rsidR="00B1610F" w:rsidRPr="0023658A">
        <w:rPr>
          <w:sz w:val="20"/>
          <w:szCs w:val="20"/>
          <w:lang w:eastAsia="ar-SA"/>
        </w:rPr>
        <w:t xml:space="preserve"> abstentions</w:t>
      </w:r>
      <w:r w:rsidR="00B1610F" w:rsidRPr="0023658A">
        <w:rPr>
          <w:rFonts w:eastAsia="SimSun"/>
          <w:sz w:val="20"/>
          <w:szCs w:val="20"/>
          <w:lang w:eastAsia="ar-SA"/>
        </w:rPr>
        <w:t xml:space="preserve"> (resolution </w:t>
      </w:r>
      <w:r w:rsidR="00B1610F">
        <w:rPr>
          <w:rFonts w:eastAsia="SimSun"/>
          <w:sz w:val="20"/>
          <w:szCs w:val="20"/>
          <w:lang w:eastAsia="ar-SA"/>
        </w:rPr>
        <w:t>40/</w:t>
      </w:r>
      <w:r w:rsidR="00ED1EFF">
        <w:rPr>
          <w:rFonts w:eastAsia="SimSun"/>
          <w:sz w:val="20"/>
          <w:szCs w:val="20"/>
          <w:lang w:eastAsia="ar-SA"/>
        </w:rPr>
        <w:t>13</w:t>
      </w:r>
      <w:r w:rsidR="00B1610F" w:rsidRPr="0023658A">
        <w:rPr>
          <w:rFonts w:eastAsia="SimSun"/>
          <w:sz w:val="20"/>
          <w:szCs w:val="20"/>
          <w:lang w:eastAsia="ar-SA"/>
        </w:rPr>
        <w:t>).</w:t>
      </w:r>
      <w:r w:rsidR="007E79C8">
        <w:rPr>
          <w:rStyle w:val="FootnoteReference"/>
          <w:rFonts w:eastAsia="SimSun"/>
          <w:szCs w:val="20"/>
          <w:lang w:eastAsia="ar-SA"/>
        </w:rPr>
        <w:footnoteReference w:id="13"/>
      </w:r>
    </w:p>
    <w:p w14:paraId="6BC935A2" w14:textId="3C2DA0D6" w:rsidR="000B65FE" w:rsidRPr="000B65FE" w:rsidRDefault="009B6FCB" w:rsidP="000B65FE">
      <w:pPr>
        <w:pStyle w:val="SingleTxtG"/>
        <w:rPr>
          <w:rFonts w:eastAsia="SimSun"/>
          <w:sz w:val="20"/>
          <w:szCs w:val="20"/>
          <w:lang w:eastAsia="ar-SA"/>
        </w:rPr>
      </w:pPr>
      <w:r>
        <w:rPr>
          <w:rFonts w:eastAsia="SimSun"/>
          <w:sz w:val="20"/>
          <w:szCs w:val="20"/>
          <w:lang w:eastAsia="ar-SA"/>
        </w:rPr>
        <w:t>81</w:t>
      </w:r>
      <w:r w:rsidR="000B65FE" w:rsidRPr="000B65FE">
        <w:rPr>
          <w:rFonts w:eastAsia="SimSun"/>
          <w:sz w:val="20"/>
          <w:szCs w:val="20"/>
          <w:lang w:eastAsia="ar-SA"/>
        </w:rPr>
        <w:t>.</w:t>
      </w:r>
      <w:r w:rsidR="000B65FE" w:rsidRPr="000B65FE">
        <w:rPr>
          <w:rFonts w:eastAsia="SimSun"/>
          <w:sz w:val="20"/>
          <w:szCs w:val="20"/>
          <w:lang w:eastAsia="ar-SA"/>
        </w:rPr>
        <w:tab/>
        <w:t xml:space="preserve">At the </w:t>
      </w:r>
      <w:r w:rsidR="000B65FE">
        <w:rPr>
          <w:rFonts w:eastAsia="SimSun"/>
          <w:sz w:val="20"/>
          <w:szCs w:val="20"/>
          <w:lang w:eastAsia="ar-SA"/>
        </w:rPr>
        <w:t xml:space="preserve">same </w:t>
      </w:r>
      <w:r w:rsidR="000B65FE" w:rsidRPr="000B65FE">
        <w:rPr>
          <w:rFonts w:eastAsia="SimSun"/>
          <w:sz w:val="20"/>
          <w:szCs w:val="20"/>
          <w:lang w:eastAsia="ar-SA"/>
        </w:rPr>
        <w:t xml:space="preserve">meeting, the representative of </w:t>
      </w:r>
      <w:r w:rsidR="000B65FE">
        <w:rPr>
          <w:rFonts w:eastAsia="SimSun"/>
          <w:sz w:val="20"/>
          <w:szCs w:val="20"/>
          <w:lang w:eastAsia="ar-SA"/>
        </w:rPr>
        <w:t>South Africa</w:t>
      </w:r>
      <w:r w:rsidR="000B65FE" w:rsidRPr="000B65FE">
        <w:rPr>
          <w:rFonts w:eastAsia="SimSun"/>
          <w:sz w:val="20"/>
          <w:szCs w:val="20"/>
          <w:lang w:eastAsia="ar-SA"/>
        </w:rPr>
        <w:t xml:space="preserve"> made a statement in explanation of vote after the vote.</w:t>
      </w:r>
      <w:r w:rsidR="00D72627">
        <w:rPr>
          <w:rFonts w:eastAsia="SimSun"/>
          <w:sz w:val="20"/>
          <w:szCs w:val="20"/>
          <w:lang w:eastAsia="ar-SA"/>
        </w:rPr>
        <w:t xml:space="preserve"> </w:t>
      </w:r>
    </w:p>
    <w:p w14:paraId="7CA379B3" w14:textId="77777777" w:rsidR="00C711E0" w:rsidRDefault="00C711E0">
      <w:pPr>
        <w:spacing w:after="200" w:line="276" w:lineRule="auto"/>
        <w:rPr>
          <w:b/>
          <w:color w:val="000000" w:themeColor="text1"/>
          <w:sz w:val="28"/>
        </w:rPr>
      </w:pPr>
      <w:r>
        <w:rPr>
          <w:color w:val="000000" w:themeColor="text1"/>
        </w:rPr>
        <w:br w:type="page"/>
      </w:r>
    </w:p>
    <w:p w14:paraId="2EA58803" w14:textId="7C76BD63" w:rsidR="00F11B08" w:rsidRPr="00C16037" w:rsidRDefault="00C711E0" w:rsidP="00415787">
      <w:pPr>
        <w:pStyle w:val="HChG"/>
        <w:rPr>
          <w:color w:val="000000" w:themeColor="text1"/>
        </w:rPr>
      </w:pPr>
      <w:r>
        <w:rPr>
          <w:color w:val="000000" w:themeColor="text1"/>
        </w:rPr>
        <w:lastRenderedPageBreak/>
        <w:tab/>
      </w:r>
      <w:r w:rsidR="00F11B08" w:rsidRPr="00C16037">
        <w:rPr>
          <w:color w:val="000000" w:themeColor="text1"/>
        </w:rPr>
        <w:t>III.</w:t>
      </w:r>
      <w:r w:rsidR="00F11B08" w:rsidRPr="00C16037">
        <w:rPr>
          <w:color w:val="000000" w:themeColor="text1"/>
        </w:rPr>
        <w:tab/>
        <w:t>Promotion and protection of all human rights, civil, political, economic, social and cultural rights, including the right to development</w:t>
      </w:r>
    </w:p>
    <w:p w14:paraId="2EA58804" w14:textId="3C423CC7" w:rsidR="00F11B08" w:rsidRPr="00765C40" w:rsidRDefault="00CC0E7F" w:rsidP="00415787">
      <w:pPr>
        <w:pStyle w:val="H1G"/>
        <w:rPr>
          <w:b w:val="0"/>
          <w:color w:val="000000" w:themeColor="text1"/>
        </w:rPr>
      </w:pPr>
      <w:r w:rsidRPr="00C16037">
        <w:rPr>
          <w:color w:val="000000" w:themeColor="text1"/>
        </w:rPr>
        <w:tab/>
      </w:r>
      <w:r w:rsidRPr="00765C40">
        <w:rPr>
          <w:color w:val="000000" w:themeColor="text1"/>
        </w:rPr>
        <w:t>A.</w:t>
      </w:r>
      <w:r w:rsidRPr="00765C40">
        <w:rPr>
          <w:color w:val="000000" w:themeColor="text1"/>
        </w:rPr>
        <w:tab/>
      </w:r>
      <w:r w:rsidR="00F11B08" w:rsidRPr="00765C40">
        <w:rPr>
          <w:color w:val="000000" w:themeColor="text1"/>
        </w:rPr>
        <w:t>Panels</w:t>
      </w:r>
    </w:p>
    <w:p w14:paraId="5F159515" w14:textId="77777777" w:rsidR="006034DA" w:rsidRPr="00116D26" w:rsidRDefault="00E43D4E" w:rsidP="006034DA">
      <w:pPr>
        <w:pStyle w:val="H1G"/>
        <w:rPr>
          <w:color w:val="000000" w:themeColor="text1"/>
          <w:sz w:val="20"/>
          <w:szCs w:val="20"/>
        </w:rPr>
      </w:pPr>
      <w:r w:rsidRPr="00765C40">
        <w:rPr>
          <w:color w:val="000000" w:themeColor="text1"/>
          <w:sz w:val="20"/>
          <w:szCs w:val="20"/>
        </w:rPr>
        <w:tab/>
      </w:r>
      <w:r w:rsidR="006034DA">
        <w:rPr>
          <w:color w:val="000000" w:themeColor="text1"/>
          <w:sz w:val="20"/>
          <w:szCs w:val="20"/>
        </w:rPr>
        <w:tab/>
      </w:r>
      <w:r w:rsidR="006034DA" w:rsidRPr="00A078AC">
        <w:rPr>
          <w:color w:val="000000" w:themeColor="text1"/>
          <w:sz w:val="20"/>
          <w:szCs w:val="20"/>
        </w:rPr>
        <w:t>High-level panel discussion on the question of the death penalty</w:t>
      </w:r>
    </w:p>
    <w:p w14:paraId="5A053034" w14:textId="18C05DBD" w:rsidR="006034DA" w:rsidRDefault="009B6FCB" w:rsidP="006034DA">
      <w:pPr>
        <w:pStyle w:val="SingleTxtG"/>
        <w:tabs>
          <w:tab w:val="left" w:pos="1701"/>
        </w:tabs>
        <w:rPr>
          <w:color w:val="000000" w:themeColor="text1"/>
          <w:sz w:val="20"/>
          <w:szCs w:val="20"/>
        </w:rPr>
      </w:pPr>
      <w:r>
        <w:rPr>
          <w:color w:val="000000" w:themeColor="text1"/>
          <w:sz w:val="20"/>
          <w:szCs w:val="20"/>
        </w:rPr>
        <w:t>82</w:t>
      </w:r>
      <w:r w:rsidR="006034DA" w:rsidRPr="0067399B">
        <w:rPr>
          <w:color w:val="000000" w:themeColor="text1"/>
          <w:sz w:val="20"/>
          <w:szCs w:val="20"/>
        </w:rPr>
        <w:t>.</w:t>
      </w:r>
      <w:r w:rsidR="006034DA" w:rsidRPr="0067399B">
        <w:rPr>
          <w:color w:val="000000" w:themeColor="text1"/>
          <w:sz w:val="20"/>
          <w:szCs w:val="20"/>
        </w:rPr>
        <w:tab/>
        <w:t xml:space="preserve">At the </w:t>
      </w:r>
      <w:r w:rsidR="006034DA">
        <w:rPr>
          <w:color w:val="000000" w:themeColor="text1"/>
          <w:sz w:val="20"/>
          <w:szCs w:val="20"/>
        </w:rPr>
        <w:t>4th</w:t>
      </w:r>
      <w:r w:rsidR="006034DA" w:rsidRPr="0067399B">
        <w:rPr>
          <w:color w:val="000000" w:themeColor="text1"/>
          <w:sz w:val="20"/>
          <w:szCs w:val="20"/>
        </w:rPr>
        <w:t xml:space="preserve"> meeting, on 26 February </w:t>
      </w:r>
      <w:r w:rsidR="006034DA">
        <w:rPr>
          <w:color w:val="000000" w:themeColor="text1"/>
          <w:sz w:val="20"/>
          <w:szCs w:val="20"/>
        </w:rPr>
        <w:t>2019</w:t>
      </w:r>
      <w:r w:rsidR="006034DA" w:rsidRPr="0067399B">
        <w:rPr>
          <w:color w:val="000000" w:themeColor="text1"/>
          <w:sz w:val="20"/>
          <w:szCs w:val="20"/>
        </w:rPr>
        <w:t xml:space="preserve">, pursuant to Human Rights Council resolution </w:t>
      </w:r>
      <w:r w:rsidR="00FB77E1">
        <w:rPr>
          <w:color w:val="000000" w:themeColor="text1"/>
          <w:sz w:val="20"/>
          <w:szCs w:val="20"/>
        </w:rPr>
        <w:t>36/17</w:t>
      </w:r>
      <w:r w:rsidR="006034DA" w:rsidRPr="0067399B">
        <w:rPr>
          <w:color w:val="000000" w:themeColor="text1"/>
          <w:sz w:val="20"/>
          <w:szCs w:val="20"/>
        </w:rPr>
        <w:t>, the Council held a</w:t>
      </w:r>
      <w:r w:rsidR="006034DA">
        <w:rPr>
          <w:color w:val="000000" w:themeColor="text1"/>
          <w:sz w:val="20"/>
          <w:szCs w:val="20"/>
        </w:rPr>
        <w:t xml:space="preserve"> </w:t>
      </w:r>
      <w:r w:rsidR="006034DA" w:rsidRPr="00335AC3">
        <w:rPr>
          <w:color w:val="000000" w:themeColor="text1"/>
          <w:sz w:val="20"/>
          <w:szCs w:val="20"/>
        </w:rPr>
        <w:t>biennial high-level panel discussion to further exchange views on the question of the death penalty</w:t>
      </w:r>
      <w:r w:rsidR="006034DA" w:rsidRPr="0067399B">
        <w:rPr>
          <w:color w:val="000000" w:themeColor="text1"/>
          <w:sz w:val="20"/>
          <w:szCs w:val="20"/>
        </w:rPr>
        <w:t>, with a focus on “</w:t>
      </w:r>
      <w:r w:rsidR="006034DA" w:rsidRPr="00335AC3">
        <w:rPr>
          <w:color w:val="000000" w:themeColor="text1"/>
          <w:sz w:val="20"/>
          <w:szCs w:val="20"/>
        </w:rPr>
        <w:t>human rights violations related to the use of the death penalty, in particular with respect to the rights to non-discrimination and equality</w:t>
      </w:r>
      <w:r w:rsidR="006034DA" w:rsidRPr="00805366">
        <w:rPr>
          <w:color w:val="000000" w:themeColor="text1"/>
          <w:sz w:val="20"/>
          <w:szCs w:val="20"/>
        </w:rPr>
        <w:t>”.</w:t>
      </w:r>
    </w:p>
    <w:p w14:paraId="1417121C" w14:textId="2E57DDC0" w:rsidR="006034DA" w:rsidRDefault="009B6FCB" w:rsidP="006034DA">
      <w:pPr>
        <w:pStyle w:val="SingleTxtG"/>
        <w:tabs>
          <w:tab w:val="left" w:pos="1701"/>
        </w:tabs>
        <w:rPr>
          <w:color w:val="000000" w:themeColor="text1"/>
          <w:sz w:val="20"/>
          <w:szCs w:val="20"/>
        </w:rPr>
      </w:pPr>
      <w:r>
        <w:rPr>
          <w:color w:val="000000" w:themeColor="text1"/>
          <w:sz w:val="20"/>
          <w:szCs w:val="20"/>
        </w:rPr>
        <w:t>83</w:t>
      </w:r>
      <w:r w:rsidR="006034DA" w:rsidRPr="0067399B">
        <w:rPr>
          <w:color w:val="000000" w:themeColor="text1"/>
          <w:sz w:val="20"/>
          <w:szCs w:val="20"/>
        </w:rPr>
        <w:t>.</w:t>
      </w:r>
      <w:r w:rsidR="006034DA" w:rsidRPr="0067399B">
        <w:rPr>
          <w:color w:val="000000" w:themeColor="text1"/>
          <w:sz w:val="20"/>
          <w:szCs w:val="20"/>
        </w:rPr>
        <w:tab/>
        <w:t xml:space="preserve">The </w:t>
      </w:r>
      <w:r w:rsidR="006034DA" w:rsidRPr="00335AC3">
        <w:rPr>
          <w:color w:val="000000" w:themeColor="text1"/>
          <w:sz w:val="20"/>
          <w:szCs w:val="20"/>
        </w:rPr>
        <w:t>United Nations High Commissioner for Human Rights</w:t>
      </w:r>
      <w:r w:rsidR="006034DA">
        <w:rPr>
          <w:color w:val="000000" w:themeColor="text1"/>
          <w:sz w:val="20"/>
          <w:szCs w:val="20"/>
        </w:rPr>
        <w:t xml:space="preserve"> and the </w:t>
      </w:r>
      <w:r w:rsidR="006034DA" w:rsidRPr="00335AC3">
        <w:rPr>
          <w:color w:val="000000" w:themeColor="text1"/>
          <w:sz w:val="20"/>
          <w:szCs w:val="20"/>
        </w:rPr>
        <w:t xml:space="preserve">Deputy Prime Minister and Minister of Foreign Affairs and European Affairs, and of Defense in charge of Beliris and of the </w:t>
      </w:r>
      <w:r w:rsidR="00BB1CE1" w:rsidRPr="00335AC3">
        <w:rPr>
          <w:color w:val="000000" w:themeColor="text1"/>
          <w:sz w:val="20"/>
          <w:szCs w:val="20"/>
        </w:rPr>
        <w:t xml:space="preserve">Federal Cultural Institutions </w:t>
      </w:r>
      <w:r w:rsidR="006034DA" w:rsidRPr="00335AC3">
        <w:rPr>
          <w:color w:val="000000" w:themeColor="text1"/>
          <w:sz w:val="20"/>
          <w:szCs w:val="20"/>
        </w:rPr>
        <w:t>of Belgium</w:t>
      </w:r>
      <w:r w:rsidR="00FB77E1">
        <w:rPr>
          <w:color w:val="000000" w:themeColor="text1"/>
          <w:sz w:val="20"/>
          <w:szCs w:val="20"/>
        </w:rPr>
        <w:t>,</w:t>
      </w:r>
      <w:r w:rsidR="00FB77E1" w:rsidRPr="00FB77E1">
        <w:t xml:space="preserve"> </w:t>
      </w:r>
      <w:r w:rsidR="00FB77E1" w:rsidRPr="00FB77E1">
        <w:rPr>
          <w:color w:val="000000" w:themeColor="text1"/>
          <w:sz w:val="20"/>
          <w:szCs w:val="20"/>
        </w:rPr>
        <w:t>Didier Reynders</w:t>
      </w:r>
      <w:r w:rsidR="00FB77E1">
        <w:rPr>
          <w:color w:val="000000" w:themeColor="text1"/>
          <w:sz w:val="20"/>
          <w:szCs w:val="20"/>
        </w:rPr>
        <w:t>,</w:t>
      </w:r>
      <w:r w:rsidR="006034DA" w:rsidRPr="00335AC3">
        <w:rPr>
          <w:color w:val="000000" w:themeColor="text1"/>
          <w:sz w:val="20"/>
          <w:szCs w:val="20"/>
        </w:rPr>
        <w:t xml:space="preserve"> </w:t>
      </w:r>
      <w:r w:rsidR="006034DA" w:rsidRPr="0067399B">
        <w:rPr>
          <w:color w:val="000000" w:themeColor="text1"/>
          <w:sz w:val="20"/>
          <w:szCs w:val="20"/>
        </w:rPr>
        <w:t xml:space="preserve">made opening statements for the panel. The </w:t>
      </w:r>
      <w:r w:rsidR="006034DA" w:rsidRPr="00335AC3">
        <w:rPr>
          <w:color w:val="000000" w:themeColor="text1"/>
          <w:sz w:val="20"/>
          <w:szCs w:val="20"/>
        </w:rPr>
        <w:t xml:space="preserve">Chair of the </w:t>
      </w:r>
      <w:r w:rsidR="00FB77E1">
        <w:rPr>
          <w:color w:val="000000" w:themeColor="text1"/>
          <w:sz w:val="20"/>
          <w:szCs w:val="20"/>
        </w:rPr>
        <w:t xml:space="preserve">Unite Nations </w:t>
      </w:r>
      <w:r w:rsidR="006034DA" w:rsidRPr="00335AC3">
        <w:rPr>
          <w:color w:val="000000" w:themeColor="text1"/>
          <w:sz w:val="20"/>
          <w:szCs w:val="20"/>
        </w:rPr>
        <w:t>Human Rights Committee</w:t>
      </w:r>
      <w:r w:rsidR="006034DA">
        <w:rPr>
          <w:color w:val="000000" w:themeColor="text1"/>
          <w:sz w:val="20"/>
          <w:szCs w:val="20"/>
        </w:rPr>
        <w:t xml:space="preserve"> </w:t>
      </w:r>
      <w:r w:rsidR="006034DA" w:rsidRPr="0067399B">
        <w:rPr>
          <w:color w:val="000000" w:themeColor="text1"/>
          <w:sz w:val="20"/>
          <w:szCs w:val="20"/>
        </w:rPr>
        <w:t xml:space="preserve">moderated the discussion. </w:t>
      </w:r>
    </w:p>
    <w:p w14:paraId="541E8022" w14:textId="6EDDB416" w:rsidR="006034DA" w:rsidRDefault="009B6FCB" w:rsidP="006034DA">
      <w:pPr>
        <w:pStyle w:val="SingleTxtG"/>
        <w:tabs>
          <w:tab w:val="left" w:pos="1701"/>
        </w:tabs>
        <w:rPr>
          <w:color w:val="000000" w:themeColor="text1"/>
          <w:sz w:val="20"/>
          <w:szCs w:val="20"/>
        </w:rPr>
      </w:pPr>
      <w:r>
        <w:rPr>
          <w:color w:val="000000" w:themeColor="text1"/>
          <w:sz w:val="20"/>
          <w:szCs w:val="20"/>
        </w:rPr>
        <w:t>84</w:t>
      </w:r>
      <w:r w:rsidR="006034DA" w:rsidRPr="0067399B">
        <w:rPr>
          <w:color w:val="000000" w:themeColor="text1"/>
          <w:sz w:val="20"/>
          <w:szCs w:val="20"/>
        </w:rPr>
        <w:t>.</w:t>
      </w:r>
      <w:r w:rsidR="006034DA" w:rsidRPr="0067399B">
        <w:rPr>
          <w:color w:val="000000" w:themeColor="text1"/>
          <w:sz w:val="20"/>
          <w:szCs w:val="20"/>
        </w:rPr>
        <w:tab/>
        <w:t xml:space="preserve">At the same meeting, the following panellists made statements: </w:t>
      </w:r>
      <w:r w:rsidR="006034DA">
        <w:rPr>
          <w:color w:val="000000" w:themeColor="text1"/>
          <w:sz w:val="20"/>
          <w:szCs w:val="20"/>
        </w:rPr>
        <w:t xml:space="preserve">the </w:t>
      </w:r>
      <w:r w:rsidR="006034DA" w:rsidRPr="00335AC3">
        <w:rPr>
          <w:color w:val="000000" w:themeColor="text1"/>
          <w:sz w:val="20"/>
          <w:szCs w:val="20"/>
        </w:rPr>
        <w:t>Minister for Foreign Affairs of Nepal</w:t>
      </w:r>
      <w:r w:rsidR="006034DA">
        <w:rPr>
          <w:color w:val="000000" w:themeColor="text1"/>
          <w:sz w:val="20"/>
          <w:szCs w:val="20"/>
        </w:rPr>
        <w:t xml:space="preserve">, Pradeep Kumar Gyawali; the </w:t>
      </w:r>
      <w:r w:rsidR="006034DA" w:rsidRPr="00335AC3">
        <w:rPr>
          <w:color w:val="000000" w:themeColor="text1"/>
          <w:sz w:val="20"/>
          <w:szCs w:val="20"/>
        </w:rPr>
        <w:t>Director of the Justice Institute Guyana</w:t>
      </w:r>
      <w:r w:rsidR="006034DA">
        <w:rPr>
          <w:color w:val="000000" w:themeColor="text1"/>
          <w:sz w:val="20"/>
          <w:szCs w:val="20"/>
        </w:rPr>
        <w:t xml:space="preserve">, </w:t>
      </w:r>
      <w:r w:rsidR="006034DA" w:rsidRPr="00335AC3">
        <w:rPr>
          <w:color w:val="000000" w:themeColor="text1"/>
          <w:sz w:val="20"/>
          <w:szCs w:val="20"/>
        </w:rPr>
        <w:t>M</w:t>
      </w:r>
      <w:r w:rsidR="006034DA">
        <w:rPr>
          <w:color w:val="000000" w:themeColor="text1"/>
          <w:sz w:val="20"/>
          <w:szCs w:val="20"/>
        </w:rPr>
        <w:t xml:space="preserve">elinda Janki; </w:t>
      </w:r>
      <w:r w:rsidR="006034DA" w:rsidRPr="00335AC3">
        <w:rPr>
          <w:color w:val="000000" w:themeColor="text1"/>
          <w:sz w:val="20"/>
          <w:szCs w:val="20"/>
        </w:rPr>
        <w:t>Lawyer and Co-Founder of the Mauritanian Human Rights Association</w:t>
      </w:r>
      <w:r w:rsidR="006034DA">
        <w:rPr>
          <w:color w:val="000000" w:themeColor="text1"/>
          <w:sz w:val="20"/>
          <w:szCs w:val="20"/>
        </w:rPr>
        <w:t>, Fatimata M</w:t>
      </w:r>
      <w:r w:rsidR="00D72627">
        <w:rPr>
          <w:color w:val="000000" w:themeColor="text1"/>
          <w:sz w:val="20"/>
          <w:szCs w:val="20"/>
        </w:rPr>
        <w:t>’</w:t>
      </w:r>
      <w:r w:rsidR="006034DA">
        <w:rPr>
          <w:color w:val="000000" w:themeColor="text1"/>
          <w:sz w:val="20"/>
          <w:szCs w:val="20"/>
        </w:rPr>
        <w:t xml:space="preserve">Baye. </w:t>
      </w:r>
      <w:r w:rsidR="006034DA" w:rsidRPr="001B0569">
        <w:rPr>
          <w:color w:val="000000" w:themeColor="text1"/>
          <w:sz w:val="20"/>
          <w:szCs w:val="20"/>
        </w:rPr>
        <w:t>The Council divided the panel discussion into two slots.</w:t>
      </w:r>
    </w:p>
    <w:p w14:paraId="31266887" w14:textId="6172A3A8" w:rsidR="006034DA" w:rsidRPr="0067399B" w:rsidRDefault="009B6FCB" w:rsidP="006034DA">
      <w:pPr>
        <w:pStyle w:val="SingleTxtG"/>
        <w:tabs>
          <w:tab w:val="left" w:pos="1701"/>
        </w:tabs>
        <w:rPr>
          <w:color w:val="000000" w:themeColor="text1"/>
          <w:sz w:val="20"/>
          <w:szCs w:val="20"/>
        </w:rPr>
      </w:pPr>
      <w:r>
        <w:rPr>
          <w:color w:val="000000" w:themeColor="text1"/>
          <w:sz w:val="20"/>
          <w:szCs w:val="20"/>
        </w:rPr>
        <w:t>85</w:t>
      </w:r>
      <w:r w:rsidR="006034DA" w:rsidRPr="0067399B">
        <w:rPr>
          <w:color w:val="000000" w:themeColor="text1"/>
          <w:sz w:val="20"/>
          <w:szCs w:val="20"/>
        </w:rPr>
        <w:t>.</w:t>
      </w:r>
      <w:r w:rsidR="006034DA" w:rsidRPr="0067399B">
        <w:rPr>
          <w:color w:val="000000" w:themeColor="text1"/>
          <w:sz w:val="20"/>
          <w:szCs w:val="20"/>
        </w:rPr>
        <w:tab/>
        <w:t>During the ensuing panel discussion for the first slot, at the same meeting, the following made statements and asked the panellists questions:</w:t>
      </w:r>
    </w:p>
    <w:p w14:paraId="2984C428" w14:textId="4A52295F" w:rsidR="006034DA" w:rsidRDefault="006034DA" w:rsidP="006034DA">
      <w:pPr>
        <w:pStyle w:val="SingleTxtG"/>
        <w:ind w:firstLine="567"/>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Pr>
          <w:color w:val="000000" w:themeColor="text1"/>
          <w:sz w:val="20"/>
          <w:szCs w:val="20"/>
        </w:rPr>
        <w:t>States Members</w:t>
      </w:r>
      <w:r w:rsidRPr="0067399B">
        <w:rPr>
          <w:color w:val="000000" w:themeColor="text1"/>
          <w:sz w:val="20"/>
          <w:szCs w:val="20"/>
        </w:rPr>
        <w:t xml:space="preserve"> of the Human Rights Council:</w:t>
      </w:r>
      <w:r>
        <w:rPr>
          <w:color w:val="000000" w:themeColor="text1"/>
          <w:sz w:val="20"/>
          <w:szCs w:val="20"/>
        </w:rPr>
        <w:t xml:space="preserve"> </w:t>
      </w:r>
      <w:r w:rsidRPr="0035138F">
        <w:rPr>
          <w:color w:val="000000" w:themeColor="text1"/>
          <w:sz w:val="20"/>
          <w:szCs w:val="20"/>
        </w:rPr>
        <w:t>Australia</w:t>
      </w:r>
      <w:r>
        <w:rPr>
          <w:color w:val="000000" w:themeColor="text1"/>
          <w:sz w:val="20"/>
          <w:szCs w:val="20"/>
        </w:rPr>
        <w:t xml:space="preserve">, </w:t>
      </w:r>
      <w:r w:rsidRPr="0035138F">
        <w:rPr>
          <w:color w:val="000000" w:themeColor="text1"/>
          <w:sz w:val="20"/>
          <w:szCs w:val="20"/>
        </w:rPr>
        <w:t>Brazil (</w:t>
      </w:r>
      <w:r w:rsidRPr="005664F6">
        <w:rPr>
          <w:color w:val="000000" w:themeColor="text1"/>
          <w:sz w:val="20"/>
          <w:szCs w:val="20"/>
        </w:rPr>
        <w:t>on behalf of</w:t>
      </w:r>
      <w:r w:rsidRPr="0035138F">
        <w:rPr>
          <w:color w:val="000000" w:themeColor="text1"/>
          <w:sz w:val="20"/>
          <w:szCs w:val="20"/>
        </w:rPr>
        <w:t xml:space="preserve"> </w:t>
      </w:r>
      <w:r w:rsidRPr="0067399B">
        <w:rPr>
          <w:color w:val="000000" w:themeColor="text1"/>
          <w:sz w:val="20"/>
          <w:szCs w:val="20"/>
        </w:rPr>
        <w:t xml:space="preserve">the </w:t>
      </w:r>
      <w:r w:rsidR="00C1769D" w:rsidRPr="00A242A9">
        <w:rPr>
          <w:color w:val="000000" w:themeColor="text1"/>
          <w:sz w:val="20"/>
          <w:szCs w:val="20"/>
        </w:rPr>
        <w:t>Community of Portuguese-speaking Countries</w:t>
      </w:r>
      <w:r>
        <w:rPr>
          <w:color w:val="000000" w:themeColor="text1"/>
          <w:sz w:val="20"/>
          <w:szCs w:val="20"/>
        </w:rPr>
        <w:t xml:space="preserve">), </w:t>
      </w:r>
      <w:r w:rsidRPr="0035138F">
        <w:rPr>
          <w:color w:val="000000" w:themeColor="text1"/>
          <w:sz w:val="20"/>
          <w:szCs w:val="20"/>
        </w:rPr>
        <w:t>Chile (</w:t>
      </w:r>
      <w:r w:rsidRPr="00FB2E93">
        <w:rPr>
          <w:color w:val="000000" w:themeColor="text1"/>
          <w:sz w:val="20"/>
          <w:szCs w:val="20"/>
        </w:rPr>
        <w:t>also on behalf of</w:t>
      </w:r>
      <w:r w:rsidRPr="0035138F">
        <w:rPr>
          <w:color w:val="000000" w:themeColor="text1"/>
          <w:sz w:val="20"/>
          <w:szCs w:val="20"/>
        </w:rPr>
        <w:t xml:space="preserve"> </w:t>
      </w:r>
      <w:r>
        <w:rPr>
          <w:color w:val="000000" w:themeColor="text1"/>
          <w:sz w:val="20"/>
          <w:szCs w:val="20"/>
        </w:rPr>
        <w:t>Argentina, Brazil, Mexico, Panama, Paraguay and Uruguay</w:t>
      </w:r>
      <w:r w:rsidRPr="0035138F">
        <w:rPr>
          <w:color w:val="000000" w:themeColor="text1"/>
          <w:sz w:val="20"/>
          <w:szCs w:val="20"/>
        </w:rPr>
        <w:t>)</w:t>
      </w:r>
      <w:r>
        <w:rPr>
          <w:color w:val="000000" w:themeColor="text1"/>
          <w:sz w:val="20"/>
          <w:szCs w:val="20"/>
        </w:rPr>
        <w:t xml:space="preserve">, </w:t>
      </w:r>
      <w:r w:rsidRPr="0035138F">
        <w:rPr>
          <w:color w:val="000000" w:themeColor="text1"/>
          <w:sz w:val="20"/>
          <w:szCs w:val="20"/>
        </w:rPr>
        <w:t>Iceland (</w:t>
      </w:r>
      <w:r>
        <w:rPr>
          <w:color w:val="000000" w:themeColor="text1"/>
          <w:sz w:val="20"/>
          <w:szCs w:val="20"/>
        </w:rPr>
        <w:t xml:space="preserve">also </w:t>
      </w:r>
      <w:r w:rsidRPr="0035138F">
        <w:rPr>
          <w:color w:val="000000" w:themeColor="text1"/>
          <w:sz w:val="20"/>
          <w:szCs w:val="20"/>
        </w:rPr>
        <w:t>on behalf</w:t>
      </w:r>
      <w:r>
        <w:rPr>
          <w:color w:val="000000" w:themeColor="text1"/>
          <w:sz w:val="20"/>
          <w:szCs w:val="20"/>
        </w:rPr>
        <w:t xml:space="preserve"> of Denmark, Estonia, Finland, Latvia, Lithuania, Norway and Sweden</w:t>
      </w:r>
      <w:r w:rsidRPr="0035138F">
        <w:rPr>
          <w:color w:val="000000" w:themeColor="text1"/>
          <w:sz w:val="20"/>
          <w:szCs w:val="20"/>
        </w:rPr>
        <w:t>)</w:t>
      </w:r>
      <w:r>
        <w:rPr>
          <w:color w:val="000000" w:themeColor="text1"/>
          <w:sz w:val="20"/>
          <w:szCs w:val="20"/>
        </w:rPr>
        <w:t xml:space="preserve">, </w:t>
      </w:r>
      <w:r w:rsidRPr="0035138F">
        <w:rPr>
          <w:color w:val="000000" w:themeColor="text1"/>
          <w:sz w:val="20"/>
          <w:szCs w:val="20"/>
        </w:rPr>
        <w:t>Italy</w:t>
      </w:r>
      <w:r>
        <w:rPr>
          <w:color w:val="000000" w:themeColor="text1"/>
          <w:sz w:val="20"/>
          <w:szCs w:val="20"/>
        </w:rPr>
        <w:t>,</w:t>
      </w:r>
      <w:r w:rsidRPr="0035138F">
        <w:rPr>
          <w:color w:val="000000" w:themeColor="text1"/>
          <w:sz w:val="20"/>
          <w:szCs w:val="20"/>
        </w:rPr>
        <w:t xml:space="preserve"> Mexico</w:t>
      </w:r>
      <w:r>
        <w:rPr>
          <w:color w:val="000000" w:themeColor="text1"/>
          <w:sz w:val="20"/>
          <w:szCs w:val="20"/>
        </w:rPr>
        <w:t xml:space="preserve">, </w:t>
      </w:r>
      <w:r w:rsidRPr="0035138F">
        <w:rPr>
          <w:color w:val="000000" w:themeColor="text1"/>
          <w:sz w:val="20"/>
          <w:szCs w:val="20"/>
        </w:rPr>
        <w:t>New Zealand</w:t>
      </w:r>
      <w:r w:rsidR="007E79C8">
        <w:rPr>
          <w:rStyle w:val="FootnoteReference"/>
          <w:color w:val="000000" w:themeColor="text1"/>
          <w:szCs w:val="20"/>
        </w:rPr>
        <w:footnoteReference w:id="14"/>
      </w:r>
      <w:r w:rsidRPr="0035138F">
        <w:rPr>
          <w:color w:val="000000" w:themeColor="text1"/>
          <w:sz w:val="20"/>
          <w:szCs w:val="20"/>
        </w:rPr>
        <w:t xml:space="preserve"> (</w:t>
      </w:r>
      <w:r w:rsidRPr="00FB2E93">
        <w:rPr>
          <w:color w:val="000000" w:themeColor="text1"/>
          <w:sz w:val="20"/>
          <w:szCs w:val="20"/>
        </w:rPr>
        <w:t>also on behalf of</w:t>
      </w:r>
      <w:r>
        <w:rPr>
          <w:color w:val="000000" w:themeColor="text1"/>
          <w:sz w:val="20"/>
          <w:szCs w:val="20"/>
        </w:rPr>
        <w:t xml:space="preserve"> Australia, Liechtenstein and Switzerland</w:t>
      </w:r>
      <w:r w:rsidRPr="0035138F">
        <w:rPr>
          <w:color w:val="000000" w:themeColor="text1"/>
          <w:sz w:val="20"/>
          <w:szCs w:val="20"/>
        </w:rPr>
        <w:t>)</w:t>
      </w:r>
      <w:r>
        <w:rPr>
          <w:color w:val="000000" w:themeColor="text1"/>
          <w:sz w:val="20"/>
          <w:szCs w:val="20"/>
        </w:rPr>
        <w:t xml:space="preserve">, </w:t>
      </w:r>
      <w:r w:rsidRPr="0035138F">
        <w:rPr>
          <w:color w:val="000000" w:themeColor="text1"/>
          <w:sz w:val="20"/>
          <w:szCs w:val="20"/>
        </w:rPr>
        <w:t>Pakistan</w:t>
      </w:r>
      <w:r>
        <w:rPr>
          <w:color w:val="000000" w:themeColor="text1"/>
          <w:sz w:val="20"/>
          <w:szCs w:val="20"/>
        </w:rPr>
        <w:t xml:space="preserve">, </w:t>
      </w:r>
      <w:r w:rsidRPr="0035138F">
        <w:rPr>
          <w:color w:val="000000" w:themeColor="text1"/>
          <w:sz w:val="20"/>
          <w:szCs w:val="20"/>
        </w:rPr>
        <w:t>Singapore</w:t>
      </w:r>
      <w:r w:rsidR="007E79C8">
        <w:rPr>
          <w:rStyle w:val="FootnoteReference"/>
          <w:color w:val="000000" w:themeColor="text1"/>
          <w:szCs w:val="20"/>
        </w:rPr>
        <w:footnoteReference w:id="15"/>
      </w:r>
      <w:r w:rsidRPr="0035138F">
        <w:rPr>
          <w:color w:val="000000" w:themeColor="text1"/>
          <w:sz w:val="20"/>
          <w:szCs w:val="20"/>
        </w:rPr>
        <w:t xml:space="preserve"> (</w:t>
      </w:r>
      <w:r w:rsidRPr="00711189">
        <w:rPr>
          <w:color w:val="000000" w:themeColor="text1"/>
          <w:sz w:val="20"/>
          <w:szCs w:val="20"/>
        </w:rPr>
        <w:t>also on behalf of</w:t>
      </w:r>
      <w:r>
        <w:rPr>
          <w:color w:val="000000" w:themeColor="text1"/>
          <w:sz w:val="20"/>
          <w:szCs w:val="20"/>
        </w:rPr>
        <w:t xml:space="preserve"> Afghanistan, the Bahamas, Bahrain, Bangladesh, Barbados, Botswana, Brunei Darussalam, China, the Democratic People</w:t>
      </w:r>
      <w:r w:rsidR="00D72627">
        <w:rPr>
          <w:color w:val="000000" w:themeColor="text1"/>
          <w:sz w:val="20"/>
          <w:szCs w:val="20"/>
        </w:rPr>
        <w:t>’</w:t>
      </w:r>
      <w:r>
        <w:rPr>
          <w:color w:val="000000" w:themeColor="text1"/>
          <w:sz w:val="20"/>
          <w:szCs w:val="20"/>
        </w:rPr>
        <w:t>s Republic of Korea, Egypt, Ethiopia, Guyana, India, Iran (Islamic Republic of), Iraq, Jamaica,</w:t>
      </w:r>
      <w:r w:rsidR="000B0DF6">
        <w:rPr>
          <w:color w:val="000000" w:themeColor="text1"/>
          <w:sz w:val="20"/>
          <w:szCs w:val="20"/>
        </w:rPr>
        <w:t xml:space="preserve"> Jordan,</w:t>
      </w:r>
      <w:r>
        <w:rPr>
          <w:color w:val="000000" w:themeColor="text1"/>
          <w:sz w:val="20"/>
          <w:szCs w:val="20"/>
        </w:rPr>
        <w:t xml:space="preserve"> Kenya, Kuwait, the Lao People</w:t>
      </w:r>
      <w:r w:rsidR="00D72627">
        <w:rPr>
          <w:color w:val="000000" w:themeColor="text1"/>
          <w:sz w:val="20"/>
          <w:szCs w:val="20"/>
        </w:rPr>
        <w:t>’</w:t>
      </w:r>
      <w:r>
        <w:rPr>
          <w:color w:val="000000" w:themeColor="text1"/>
          <w:sz w:val="20"/>
          <w:szCs w:val="20"/>
        </w:rPr>
        <w:t>s Democratic Republic, Myanmar, Nigeria, Oman, Pakistan, the Philippines, Qatar, Saudi Arabia, the Sudan, the Syrian Arab Republic, Tajikistan, Trinidad and Tobago, Uganda, the United Arab Emirates and Yemen</w:t>
      </w:r>
      <w:r w:rsidRPr="0035138F">
        <w:rPr>
          <w:color w:val="000000" w:themeColor="text1"/>
          <w:sz w:val="20"/>
          <w:szCs w:val="20"/>
        </w:rPr>
        <w:t>)</w:t>
      </w:r>
      <w:r>
        <w:rPr>
          <w:color w:val="000000" w:themeColor="text1"/>
          <w:sz w:val="20"/>
          <w:szCs w:val="20"/>
        </w:rPr>
        <w:t>;</w:t>
      </w:r>
    </w:p>
    <w:p w14:paraId="65660673" w14:textId="77777777" w:rsidR="006034DA" w:rsidRPr="0067399B" w:rsidRDefault="006034DA" w:rsidP="006034DA">
      <w:pPr>
        <w:pStyle w:val="SingleTxtG"/>
        <w:ind w:firstLine="567"/>
        <w:rPr>
          <w:color w:val="000000" w:themeColor="text1"/>
          <w:sz w:val="20"/>
          <w:szCs w:val="20"/>
        </w:rPr>
      </w:pPr>
      <w:r w:rsidRPr="0067399B">
        <w:rPr>
          <w:color w:val="000000" w:themeColor="text1"/>
          <w:sz w:val="20"/>
          <w:szCs w:val="20"/>
        </w:rPr>
        <w:t>(b)</w:t>
      </w:r>
      <w:r w:rsidRPr="0067399B">
        <w:rPr>
          <w:color w:val="000000" w:themeColor="text1"/>
          <w:sz w:val="20"/>
          <w:szCs w:val="20"/>
        </w:rPr>
        <w:tab/>
        <w:t>Representatives of observer States:</w:t>
      </w:r>
      <w:r>
        <w:rPr>
          <w:color w:val="000000" w:themeColor="text1"/>
          <w:sz w:val="20"/>
          <w:szCs w:val="20"/>
        </w:rPr>
        <w:t xml:space="preserve"> </w:t>
      </w:r>
      <w:r w:rsidRPr="0035138F">
        <w:rPr>
          <w:color w:val="000000" w:themeColor="text1"/>
          <w:sz w:val="20"/>
          <w:szCs w:val="20"/>
        </w:rPr>
        <w:t>Luxembourg</w:t>
      </w:r>
      <w:r>
        <w:rPr>
          <w:color w:val="000000" w:themeColor="text1"/>
          <w:sz w:val="20"/>
          <w:szCs w:val="20"/>
        </w:rPr>
        <w:t xml:space="preserve">, </w:t>
      </w:r>
      <w:r w:rsidRPr="0035138F">
        <w:rPr>
          <w:color w:val="000000" w:themeColor="text1"/>
          <w:sz w:val="20"/>
          <w:szCs w:val="20"/>
        </w:rPr>
        <w:t>Montenegro</w:t>
      </w:r>
      <w:r w:rsidRPr="0067399B">
        <w:rPr>
          <w:color w:val="000000" w:themeColor="text1"/>
          <w:sz w:val="20"/>
          <w:szCs w:val="20"/>
        </w:rPr>
        <w:t>;</w:t>
      </w:r>
    </w:p>
    <w:p w14:paraId="16125467" w14:textId="77777777" w:rsidR="006034DA" w:rsidRPr="0067399B" w:rsidRDefault="006034DA" w:rsidP="006034DA">
      <w:pPr>
        <w:pStyle w:val="SingleTxtG"/>
        <w:ind w:firstLine="567"/>
        <w:rPr>
          <w:color w:val="000000" w:themeColor="text1"/>
          <w:sz w:val="20"/>
          <w:szCs w:val="20"/>
        </w:rPr>
      </w:pPr>
      <w:r w:rsidRPr="0067399B">
        <w:rPr>
          <w:color w:val="000000" w:themeColor="text1"/>
          <w:sz w:val="20"/>
          <w:szCs w:val="20"/>
        </w:rPr>
        <w:t>(c)</w:t>
      </w:r>
      <w:r w:rsidRPr="0067399B">
        <w:rPr>
          <w:color w:val="000000" w:themeColor="text1"/>
          <w:sz w:val="20"/>
          <w:szCs w:val="20"/>
        </w:rPr>
        <w:tab/>
        <w:t xml:space="preserve">Observer for an intergovernmental organization: </w:t>
      </w:r>
      <w:r>
        <w:rPr>
          <w:color w:val="000000" w:themeColor="text1"/>
          <w:sz w:val="20"/>
          <w:szCs w:val="20"/>
        </w:rPr>
        <w:t>European Union</w:t>
      </w:r>
      <w:r w:rsidRPr="0067399B">
        <w:rPr>
          <w:color w:val="000000" w:themeColor="text1"/>
          <w:sz w:val="20"/>
          <w:szCs w:val="20"/>
        </w:rPr>
        <w:t>;</w:t>
      </w:r>
    </w:p>
    <w:p w14:paraId="583CB91A" w14:textId="77777777" w:rsidR="006034DA" w:rsidRPr="0067399B" w:rsidRDefault="006034DA" w:rsidP="006034DA">
      <w:pPr>
        <w:pStyle w:val="SingleTxtG"/>
        <w:ind w:firstLine="567"/>
        <w:rPr>
          <w:color w:val="000000" w:themeColor="text1"/>
          <w:sz w:val="20"/>
          <w:szCs w:val="20"/>
        </w:rPr>
      </w:pPr>
      <w:r w:rsidRPr="0067399B">
        <w:rPr>
          <w:color w:val="000000" w:themeColor="text1"/>
          <w:sz w:val="20"/>
          <w:szCs w:val="20"/>
        </w:rPr>
        <w:t>(</w:t>
      </w:r>
      <w:r>
        <w:rPr>
          <w:color w:val="000000" w:themeColor="text1"/>
          <w:sz w:val="20"/>
          <w:szCs w:val="20"/>
        </w:rPr>
        <w:t>d</w:t>
      </w:r>
      <w:r w:rsidRPr="0067399B">
        <w:rPr>
          <w:color w:val="000000" w:themeColor="text1"/>
          <w:sz w:val="20"/>
          <w:szCs w:val="20"/>
        </w:rPr>
        <w:t>)</w:t>
      </w:r>
      <w:r w:rsidRPr="0067399B">
        <w:rPr>
          <w:color w:val="000000" w:themeColor="text1"/>
          <w:sz w:val="20"/>
          <w:szCs w:val="20"/>
        </w:rPr>
        <w:tab/>
        <w:t>Observers for non-governmental organizations:</w:t>
      </w:r>
      <w:r w:rsidRPr="0067399B">
        <w:rPr>
          <w:color w:val="000000" w:themeColor="text1"/>
          <w:sz w:val="20"/>
          <w:szCs w:val="20"/>
          <w:lang w:eastAsia="en-GB"/>
        </w:rPr>
        <w:t xml:space="preserve"> </w:t>
      </w:r>
      <w:r w:rsidRPr="000D375D">
        <w:rPr>
          <w:color w:val="000000" w:themeColor="text1"/>
          <w:sz w:val="20"/>
          <w:szCs w:val="20"/>
          <w:lang w:eastAsia="en-GB"/>
        </w:rPr>
        <w:t>Center for Global Nonkilling</w:t>
      </w:r>
      <w:r>
        <w:rPr>
          <w:color w:val="000000" w:themeColor="text1"/>
          <w:sz w:val="20"/>
          <w:szCs w:val="20"/>
          <w:lang w:eastAsia="en-GB"/>
        </w:rPr>
        <w:t xml:space="preserve">; </w:t>
      </w:r>
      <w:r w:rsidRPr="000D375D">
        <w:rPr>
          <w:color w:val="000000" w:themeColor="text1"/>
          <w:sz w:val="20"/>
          <w:szCs w:val="20"/>
          <w:lang w:eastAsia="en-GB"/>
        </w:rPr>
        <w:t>Friends World Committee for Consultation</w:t>
      </w:r>
      <w:r>
        <w:rPr>
          <w:color w:val="000000" w:themeColor="text1"/>
          <w:sz w:val="20"/>
          <w:szCs w:val="20"/>
          <w:lang w:eastAsia="en-GB"/>
        </w:rPr>
        <w:t xml:space="preserve">; </w:t>
      </w:r>
      <w:r w:rsidRPr="000D375D">
        <w:rPr>
          <w:color w:val="000000" w:themeColor="text1"/>
          <w:sz w:val="20"/>
          <w:szCs w:val="20"/>
          <w:lang w:eastAsia="en-GB"/>
        </w:rPr>
        <w:t>International Lesbian and Gay Association</w:t>
      </w:r>
      <w:r w:rsidRPr="0067399B">
        <w:rPr>
          <w:color w:val="000000" w:themeColor="text1"/>
          <w:sz w:val="20"/>
          <w:szCs w:val="20"/>
          <w:lang w:eastAsia="en-GB"/>
        </w:rPr>
        <w:t>.</w:t>
      </w:r>
    </w:p>
    <w:p w14:paraId="2C95F170" w14:textId="6E1C5F40" w:rsidR="006034DA" w:rsidRPr="0067399B" w:rsidRDefault="009B6FCB" w:rsidP="006034DA">
      <w:pPr>
        <w:pStyle w:val="SingleTxtG"/>
        <w:tabs>
          <w:tab w:val="left" w:pos="1701"/>
        </w:tabs>
        <w:rPr>
          <w:color w:val="000000" w:themeColor="text1"/>
          <w:sz w:val="20"/>
          <w:szCs w:val="20"/>
        </w:rPr>
      </w:pPr>
      <w:r>
        <w:rPr>
          <w:color w:val="000000" w:themeColor="text1"/>
          <w:sz w:val="20"/>
          <w:szCs w:val="20"/>
        </w:rPr>
        <w:t>86</w:t>
      </w:r>
      <w:r w:rsidR="006034DA" w:rsidRPr="0067399B">
        <w:rPr>
          <w:color w:val="000000" w:themeColor="text1"/>
          <w:sz w:val="20"/>
          <w:szCs w:val="20"/>
        </w:rPr>
        <w:t>.</w:t>
      </w:r>
      <w:r w:rsidR="006034DA" w:rsidRPr="0067399B">
        <w:rPr>
          <w:color w:val="000000" w:themeColor="text1"/>
          <w:sz w:val="20"/>
          <w:szCs w:val="20"/>
        </w:rPr>
        <w:tab/>
        <w:t>During the discussion for the second slot, at the same meeting, the following made statements and asked the panellists questions:</w:t>
      </w:r>
    </w:p>
    <w:p w14:paraId="0F5C2B1C" w14:textId="77777777" w:rsidR="006034DA" w:rsidRPr="007B6884" w:rsidRDefault="006034DA" w:rsidP="006034DA">
      <w:pPr>
        <w:pStyle w:val="SingleTxtG"/>
        <w:ind w:firstLine="567"/>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Pr>
          <w:color w:val="000000" w:themeColor="text1"/>
          <w:sz w:val="20"/>
          <w:szCs w:val="20"/>
        </w:rPr>
        <w:t>States Members</w:t>
      </w:r>
      <w:r w:rsidRPr="0067399B">
        <w:rPr>
          <w:color w:val="000000" w:themeColor="text1"/>
          <w:sz w:val="20"/>
          <w:szCs w:val="20"/>
        </w:rPr>
        <w:t xml:space="preserve"> of the Human Rights Council: </w:t>
      </w:r>
      <w:r w:rsidRPr="007B6884">
        <w:rPr>
          <w:color w:val="000000" w:themeColor="text1"/>
          <w:sz w:val="20"/>
          <w:szCs w:val="20"/>
        </w:rPr>
        <w:t>Argentina</w:t>
      </w:r>
      <w:r>
        <w:rPr>
          <w:color w:val="000000" w:themeColor="text1"/>
          <w:sz w:val="20"/>
          <w:szCs w:val="20"/>
        </w:rPr>
        <w:t xml:space="preserve">, </w:t>
      </w:r>
      <w:r w:rsidRPr="007B6884">
        <w:rPr>
          <w:color w:val="000000" w:themeColor="text1"/>
          <w:sz w:val="20"/>
          <w:szCs w:val="20"/>
        </w:rPr>
        <w:t>Bangladesh</w:t>
      </w:r>
      <w:r>
        <w:rPr>
          <w:color w:val="000000" w:themeColor="text1"/>
          <w:sz w:val="20"/>
          <w:szCs w:val="20"/>
        </w:rPr>
        <w:t xml:space="preserve">, </w:t>
      </w:r>
      <w:r w:rsidRPr="007B6884">
        <w:rPr>
          <w:color w:val="000000" w:themeColor="text1"/>
          <w:sz w:val="20"/>
          <w:szCs w:val="20"/>
        </w:rPr>
        <w:t>Fiji</w:t>
      </w:r>
      <w:r>
        <w:rPr>
          <w:color w:val="000000" w:themeColor="text1"/>
          <w:sz w:val="20"/>
          <w:szCs w:val="20"/>
        </w:rPr>
        <w:t>,</w:t>
      </w:r>
      <w:r w:rsidRPr="007B6884">
        <w:rPr>
          <w:color w:val="000000" w:themeColor="text1"/>
          <w:sz w:val="20"/>
          <w:szCs w:val="20"/>
        </w:rPr>
        <w:t xml:space="preserve"> India</w:t>
      </w:r>
      <w:r>
        <w:rPr>
          <w:color w:val="000000" w:themeColor="text1"/>
          <w:sz w:val="20"/>
          <w:szCs w:val="20"/>
        </w:rPr>
        <w:t xml:space="preserve">, </w:t>
      </w:r>
      <w:r w:rsidRPr="007B6884">
        <w:rPr>
          <w:color w:val="000000" w:themeColor="text1"/>
          <w:sz w:val="20"/>
          <w:szCs w:val="20"/>
        </w:rPr>
        <w:t>Iraq</w:t>
      </w:r>
      <w:r>
        <w:rPr>
          <w:color w:val="000000" w:themeColor="text1"/>
          <w:sz w:val="20"/>
          <w:szCs w:val="20"/>
        </w:rPr>
        <w:t xml:space="preserve">, </w:t>
      </w:r>
      <w:r w:rsidRPr="007B6884">
        <w:rPr>
          <w:color w:val="000000" w:themeColor="text1"/>
          <w:sz w:val="20"/>
          <w:szCs w:val="20"/>
        </w:rPr>
        <w:t>Saudi Arabia</w:t>
      </w:r>
      <w:r>
        <w:rPr>
          <w:color w:val="000000" w:themeColor="text1"/>
          <w:sz w:val="20"/>
          <w:szCs w:val="20"/>
        </w:rPr>
        <w:t>;</w:t>
      </w:r>
    </w:p>
    <w:p w14:paraId="5DEE8758" w14:textId="77777777" w:rsidR="006034DA" w:rsidRDefault="006034DA" w:rsidP="006034DA">
      <w:pPr>
        <w:pStyle w:val="SingleTxtG"/>
        <w:ind w:firstLine="567"/>
        <w:rPr>
          <w:color w:val="000000" w:themeColor="text1"/>
          <w:sz w:val="20"/>
          <w:szCs w:val="20"/>
        </w:rPr>
      </w:pPr>
      <w:r w:rsidRPr="0067399B">
        <w:rPr>
          <w:color w:val="000000" w:themeColor="text1"/>
          <w:sz w:val="20"/>
          <w:szCs w:val="20"/>
        </w:rPr>
        <w:lastRenderedPageBreak/>
        <w:t>(b)</w:t>
      </w:r>
      <w:r w:rsidRPr="0067399B">
        <w:rPr>
          <w:color w:val="000000" w:themeColor="text1"/>
          <w:sz w:val="20"/>
          <w:szCs w:val="20"/>
        </w:rPr>
        <w:tab/>
        <w:t xml:space="preserve">Representatives of observer States: </w:t>
      </w:r>
      <w:r w:rsidRPr="007B6884">
        <w:rPr>
          <w:color w:val="000000" w:themeColor="text1"/>
          <w:sz w:val="20"/>
          <w:szCs w:val="20"/>
        </w:rPr>
        <w:t>Ecuador</w:t>
      </w:r>
      <w:r>
        <w:rPr>
          <w:color w:val="000000" w:themeColor="text1"/>
          <w:sz w:val="20"/>
          <w:szCs w:val="20"/>
        </w:rPr>
        <w:t xml:space="preserve">, </w:t>
      </w:r>
      <w:r w:rsidRPr="007B6884">
        <w:rPr>
          <w:color w:val="000000" w:themeColor="text1"/>
          <w:sz w:val="20"/>
          <w:szCs w:val="20"/>
        </w:rPr>
        <w:t>France</w:t>
      </w:r>
      <w:r>
        <w:rPr>
          <w:color w:val="000000" w:themeColor="text1"/>
          <w:sz w:val="20"/>
          <w:szCs w:val="20"/>
        </w:rPr>
        <w:t xml:space="preserve">, </w:t>
      </w:r>
      <w:r w:rsidRPr="007B6884">
        <w:rPr>
          <w:color w:val="000000" w:themeColor="text1"/>
          <w:sz w:val="20"/>
          <w:szCs w:val="20"/>
        </w:rPr>
        <w:t>Greece</w:t>
      </w:r>
      <w:r>
        <w:rPr>
          <w:color w:val="000000" w:themeColor="text1"/>
          <w:sz w:val="20"/>
          <w:szCs w:val="20"/>
        </w:rPr>
        <w:t xml:space="preserve">, </w:t>
      </w:r>
      <w:r w:rsidRPr="007B6884">
        <w:rPr>
          <w:color w:val="000000" w:themeColor="text1"/>
          <w:sz w:val="20"/>
          <w:szCs w:val="20"/>
        </w:rPr>
        <w:t xml:space="preserve">Iran (Islamic Republic </w:t>
      </w:r>
      <w:r>
        <w:rPr>
          <w:color w:val="000000" w:themeColor="text1"/>
          <w:sz w:val="20"/>
          <w:szCs w:val="20"/>
        </w:rPr>
        <w:t>o</w:t>
      </w:r>
      <w:r w:rsidRPr="007B6884">
        <w:rPr>
          <w:color w:val="000000" w:themeColor="text1"/>
          <w:sz w:val="20"/>
          <w:szCs w:val="20"/>
        </w:rPr>
        <w:t>f)</w:t>
      </w:r>
      <w:r>
        <w:rPr>
          <w:color w:val="000000" w:themeColor="text1"/>
          <w:sz w:val="20"/>
          <w:szCs w:val="20"/>
        </w:rPr>
        <w:t xml:space="preserve">, </w:t>
      </w:r>
      <w:r w:rsidRPr="007B6884">
        <w:rPr>
          <w:color w:val="000000" w:themeColor="text1"/>
          <w:sz w:val="20"/>
          <w:szCs w:val="20"/>
        </w:rPr>
        <w:t>Malaysia</w:t>
      </w:r>
      <w:r>
        <w:rPr>
          <w:color w:val="000000" w:themeColor="text1"/>
          <w:sz w:val="20"/>
          <w:szCs w:val="20"/>
        </w:rPr>
        <w:t xml:space="preserve">, </w:t>
      </w:r>
      <w:r w:rsidRPr="007B6884">
        <w:rPr>
          <w:color w:val="000000" w:themeColor="text1"/>
          <w:sz w:val="20"/>
          <w:szCs w:val="20"/>
        </w:rPr>
        <w:t>Slovenia</w:t>
      </w:r>
      <w:r w:rsidRPr="0067399B">
        <w:rPr>
          <w:color w:val="000000" w:themeColor="text1"/>
          <w:sz w:val="20"/>
          <w:szCs w:val="20"/>
        </w:rPr>
        <w:t>;</w:t>
      </w:r>
    </w:p>
    <w:p w14:paraId="22CB2153" w14:textId="77777777" w:rsidR="006034DA" w:rsidRPr="0067399B" w:rsidRDefault="006034DA" w:rsidP="006034DA">
      <w:pPr>
        <w:pStyle w:val="SingleTxtG"/>
        <w:ind w:firstLine="567"/>
        <w:rPr>
          <w:color w:val="000000" w:themeColor="text1"/>
          <w:sz w:val="20"/>
          <w:szCs w:val="20"/>
        </w:rPr>
      </w:pPr>
      <w:r w:rsidRPr="0067399B">
        <w:rPr>
          <w:color w:val="000000" w:themeColor="text1"/>
          <w:sz w:val="20"/>
          <w:szCs w:val="20"/>
        </w:rPr>
        <w:t>(</w:t>
      </w:r>
      <w:r>
        <w:rPr>
          <w:color w:val="000000" w:themeColor="text1"/>
          <w:sz w:val="20"/>
          <w:szCs w:val="20"/>
        </w:rPr>
        <w:t>c</w:t>
      </w:r>
      <w:r w:rsidRPr="0067399B">
        <w:rPr>
          <w:color w:val="000000" w:themeColor="text1"/>
          <w:sz w:val="20"/>
          <w:szCs w:val="20"/>
        </w:rPr>
        <w:t>)</w:t>
      </w:r>
      <w:r w:rsidRPr="0067399B">
        <w:rPr>
          <w:color w:val="000000" w:themeColor="text1"/>
          <w:sz w:val="20"/>
          <w:szCs w:val="20"/>
        </w:rPr>
        <w:tab/>
        <w:t xml:space="preserve">Observer for a national human rights institution: </w:t>
      </w:r>
      <w:r w:rsidRPr="00504A65">
        <w:rPr>
          <w:color w:val="000000" w:themeColor="text1"/>
          <w:sz w:val="20"/>
          <w:szCs w:val="20"/>
        </w:rPr>
        <w:t>Commission on Human Rights of the Philippines</w:t>
      </w:r>
      <w:r>
        <w:rPr>
          <w:color w:val="000000" w:themeColor="text1"/>
          <w:sz w:val="20"/>
          <w:szCs w:val="20"/>
        </w:rPr>
        <w:t xml:space="preserve"> </w:t>
      </w:r>
      <w:r w:rsidRPr="008679CD">
        <w:rPr>
          <w:color w:val="000000" w:themeColor="text1"/>
          <w:sz w:val="20"/>
          <w:szCs w:val="20"/>
        </w:rPr>
        <w:t>(by video message)</w:t>
      </w:r>
      <w:r w:rsidRPr="0067399B">
        <w:rPr>
          <w:color w:val="000000" w:themeColor="text1"/>
          <w:sz w:val="20"/>
          <w:szCs w:val="20"/>
        </w:rPr>
        <w:t xml:space="preserve">; </w:t>
      </w:r>
    </w:p>
    <w:p w14:paraId="65CA2546" w14:textId="77777777" w:rsidR="006034DA" w:rsidRDefault="006034DA" w:rsidP="006034DA">
      <w:pPr>
        <w:pStyle w:val="SingleTxtG"/>
        <w:ind w:firstLine="567"/>
        <w:rPr>
          <w:color w:val="000000" w:themeColor="text1"/>
          <w:sz w:val="20"/>
          <w:szCs w:val="20"/>
        </w:rPr>
      </w:pPr>
      <w:r w:rsidRPr="0067399B">
        <w:rPr>
          <w:color w:val="000000" w:themeColor="text1"/>
          <w:sz w:val="20"/>
          <w:szCs w:val="20"/>
        </w:rPr>
        <w:t>(</w:t>
      </w:r>
      <w:r>
        <w:rPr>
          <w:color w:val="000000" w:themeColor="text1"/>
          <w:sz w:val="20"/>
          <w:szCs w:val="20"/>
        </w:rPr>
        <w:t>d</w:t>
      </w:r>
      <w:r w:rsidRPr="0067399B">
        <w:rPr>
          <w:color w:val="000000" w:themeColor="text1"/>
          <w:sz w:val="20"/>
          <w:szCs w:val="20"/>
        </w:rPr>
        <w:t>)</w:t>
      </w:r>
      <w:r w:rsidRPr="0067399B">
        <w:rPr>
          <w:color w:val="000000" w:themeColor="text1"/>
          <w:sz w:val="20"/>
          <w:szCs w:val="20"/>
        </w:rPr>
        <w:tab/>
        <w:t>Observers for non-governmental organizations:</w:t>
      </w:r>
      <w:r w:rsidRPr="00504A65">
        <w:t xml:space="preserve"> </w:t>
      </w:r>
      <w:r w:rsidRPr="00504A65">
        <w:rPr>
          <w:color w:val="000000" w:themeColor="text1"/>
          <w:sz w:val="20"/>
          <w:szCs w:val="20"/>
        </w:rPr>
        <w:t>Ensemble contre la Peine de Mort</w:t>
      </w:r>
      <w:r>
        <w:rPr>
          <w:color w:val="000000" w:themeColor="text1"/>
          <w:sz w:val="20"/>
          <w:szCs w:val="20"/>
        </w:rPr>
        <w:t xml:space="preserve">; </w:t>
      </w:r>
      <w:r w:rsidRPr="00504A65">
        <w:rPr>
          <w:color w:val="000000" w:themeColor="text1"/>
          <w:sz w:val="20"/>
          <w:szCs w:val="20"/>
        </w:rPr>
        <w:t>International Federation of ACAT (Action by Christians for the Abolition of Torture)</w:t>
      </w:r>
      <w:r>
        <w:rPr>
          <w:color w:val="000000" w:themeColor="text1"/>
          <w:sz w:val="20"/>
          <w:szCs w:val="20"/>
        </w:rPr>
        <w:t>.</w:t>
      </w:r>
    </w:p>
    <w:p w14:paraId="1704CA25" w14:textId="4B22B006" w:rsidR="006034DA" w:rsidRPr="0067399B" w:rsidRDefault="009B6FCB" w:rsidP="009B6FCB">
      <w:pPr>
        <w:pStyle w:val="SingleTxtG"/>
        <w:rPr>
          <w:color w:val="000000" w:themeColor="text1"/>
          <w:sz w:val="20"/>
          <w:szCs w:val="20"/>
        </w:rPr>
      </w:pPr>
      <w:r>
        <w:rPr>
          <w:color w:val="000000" w:themeColor="text1"/>
          <w:sz w:val="20"/>
          <w:szCs w:val="20"/>
        </w:rPr>
        <w:t>87</w:t>
      </w:r>
      <w:r w:rsidR="006034DA" w:rsidRPr="0067399B">
        <w:rPr>
          <w:color w:val="000000" w:themeColor="text1"/>
          <w:sz w:val="20"/>
          <w:szCs w:val="20"/>
        </w:rPr>
        <w:t>.</w:t>
      </w:r>
      <w:r w:rsidR="006034DA" w:rsidRPr="0067399B">
        <w:rPr>
          <w:color w:val="000000" w:themeColor="text1"/>
          <w:sz w:val="20"/>
          <w:szCs w:val="20"/>
        </w:rPr>
        <w:tab/>
        <w:t xml:space="preserve">At the same meeting, the panellists answered questions and made their concluding remarks. </w:t>
      </w:r>
    </w:p>
    <w:p w14:paraId="563E1431" w14:textId="77866018" w:rsidR="00E43D4E" w:rsidRPr="00765C40" w:rsidRDefault="006034DA" w:rsidP="00E43D4E">
      <w:pPr>
        <w:pStyle w:val="H23G"/>
        <w:rPr>
          <w:b w:val="0"/>
          <w:color w:val="000000" w:themeColor="text1"/>
          <w:sz w:val="20"/>
          <w:szCs w:val="20"/>
        </w:rPr>
      </w:pPr>
      <w:r>
        <w:rPr>
          <w:color w:val="000000" w:themeColor="text1"/>
          <w:sz w:val="20"/>
          <w:szCs w:val="20"/>
        </w:rPr>
        <w:tab/>
      </w:r>
      <w:r w:rsidR="00E43D4E" w:rsidRPr="00765C40">
        <w:rPr>
          <w:color w:val="000000" w:themeColor="text1"/>
          <w:sz w:val="20"/>
          <w:szCs w:val="20"/>
        </w:rPr>
        <w:tab/>
      </w:r>
      <w:r w:rsidR="00E43D4E" w:rsidRPr="00A078AC">
        <w:rPr>
          <w:color w:val="000000" w:themeColor="text1"/>
          <w:sz w:val="20"/>
          <w:szCs w:val="20"/>
        </w:rPr>
        <w:t>Annual full-day meeting on the rights of the child</w:t>
      </w:r>
    </w:p>
    <w:p w14:paraId="269986CD" w14:textId="0A8EEEA7" w:rsidR="00E43D4E" w:rsidRPr="00765C40" w:rsidRDefault="009B6FCB" w:rsidP="00E43D4E">
      <w:pPr>
        <w:pStyle w:val="SingleTxtG"/>
        <w:rPr>
          <w:color w:val="000000" w:themeColor="text1"/>
          <w:sz w:val="20"/>
          <w:szCs w:val="20"/>
        </w:rPr>
      </w:pPr>
      <w:r>
        <w:rPr>
          <w:color w:val="000000" w:themeColor="text1"/>
          <w:sz w:val="20"/>
          <w:szCs w:val="20"/>
        </w:rPr>
        <w:t>88</w:t>
      </w:r>
      <w:r w:rsidR="00E43D4E" w:rsidRPr="00765C40">
        <w:rPr>
          <w:color w:val="000000" w:themeColor="text1"/>
          <w:sz w:val="20"/>
          <w:szCs w:val="20"/>
        </w:rPr>
        <w:t>.</w:t>
      </w:r>
      <w:r w:rsidR="00E43D4E" w:rsidRPr="00765C40">
        <w:rPr>
          <w:color w:val="000000" w:themeColor="text1"/>
          <w:sz w:val="20"/>
          <w:szCs w:val="20"/>
        </w:rPr>
        <w:tab/>
        <w:t xml:space="preserve">At its </w:t>
      </w:r>
      <w:r w:rsidR="00C83CE7" w:rsidRPr="00765C40">
        <w:rPr>
          <w:color w:val="000000" w:themeColor="text1"/>
          <w:sz w:val="20"/>
          <w:szCs w:val="20"/>
        </w:rPr>
        <w:t>1</w:t>
      </w:r>
      <w:r w:rsidR="00765C40">
        <w:rPr>
          <w:color w:val="000000" w:themeColor="text1"/>
          <w:sz w:val="20"/>
          <w:szCs w:val="20"/>
        </w:rPr>
        <w:t>4</w:t>
      </w:r>
      <w:r w:rsidR="00C83CE7" w:rsidRPr="00765C40">
        <w:rPr>
          <w:color w:val="000000" w:themeColor="text1"/>
          <w:sz w:val="20"/>
          <w:szCs w:val="20"/>
        </w:rPr>
        <w:t xml:space="preserve">th meeting, on </w:t>
      </w:r>
      <w:r w:rsidR="00765C40">
        <w:rPr>
          <w:color w:val="000000" w:themeColor="text1"/>
          <w:sz w:val="20"/>
          <w:szCs w:val="20"/>
        </w:rPr>
        <w:t>4</w:t>
      </w:r>
      <w:r w:rsidR="00C83CE7" w:rsidRPr="00765C40">
        <w:rPr>
          <w:color w:val="000000" w:themeColor="text1"/>
          <w:sz w:val="20"/>
          <w:szCs w:val="20"/>
        </w:rPr>
        <w:t xml:space="preserve"> March </w:t>
      </w:r>
      <w:r w:rsidR="00141AFC" w:rsidRPr="00765C40">
        <w:rPr>
          <w:color w:val="000000" w:themeColor="text1"/>
          <w:sz w:val="20"/>
          <w:szCs w:val="20"/>
        </w:rPr>
        <w:t>2019</w:t>
      </w:r>
      <w:r w:rsidR="00E43D4E" w:rsidRPr="00765C40">
        <w:rPr>
          <w:color w:val="000000" w:themeColor="text1"/>
          <w:sz w:val="20"/>
          <w:szCs w:val="20"/>
        </w:rPr>
        <w:t xml:space="preserve">, pursuant to Human Rights Council resolution </w:t>
      </w:r>
      <w:r w:rsidR="00765C40">
        <w:rPr>
          <w:color w:val="000000" w:themeColor="text1"/>
          <w:sz w:val="20"/>
          <w:szCs w:val="20"/>
        </w:rPr>
        <w:t>37/20</w:t>
      </w:r>
      <w:r w:rsidR="00E43D4E" w:rsidRPr="00765C40">
        <w:rPr>
          <w:color w:val="000000" w:themeColor="text1"/>
          <w:sz w:val="20"/>
          <w:szCs w:val="20"/>
        </w:rPr>
        <w:t>, the Council held its annual full-day meeting on the rights of the child. The meeting focused on</w:t>
      </w:r>
      <w:r w:rsidR="00C83CE7" w:rsidRPr="00765C40">
        <w:rPr>
          <w:color w:val="000000" w:themeColor="text1"/>
          <w:sz w:val="20"/>
          <w:szCs w:val="20"/>
        </w:rPr>
        <w:t xml:space="preserve"> the theme</w:t>
      </w:r>
      <w:r w:rsidR="007014D7" w:rsidRPr="00765C40">
        <w:rPr>
          <w:color w:val="000000" w:themeColor="text1"/>
          <w:sz w:val="20"/>
          <w:szCs w:val="20"/>
        </w:rPr>
        <w:t xml:space="preserve"> “</w:t>
      </w:r>
      <w:r w:rsidR="00765C40">
        <w:rPr>
          <w:color w:val="000000" w:themeColor="text1"/>
          <w:sz w:val="20"/>
          <w:szCs w:val="20"/>
        </w:rPr>
        <w:t>e</w:t>
      </w:r>
      <w:r w:rsidR="00765C40" w:rsidRPr="00765C40">
        <w:rPr>
          <w:color w:val="000000" w:themeColor="text1"/>
          <w:sz w:val="20"/>
          <w:szCs w:val="20"/>
        </w:rPr>
        <w:t>mpowering children with disabilities for the enjoyment of their human rights, including through inclusive education</w:t>
      </w:r>
      <w:r w:rsidR="007014D7" w:rsidRPr="00765C40">
        <w:rPr>
          <w:color w:val="000000" w:themeColor="text1"/>
          <w:sz w:val="20"/>
          <w:szCs w:val="20"/>
        </w:rPr>
        <w:t>”</w:t>
      </w:r>
      <w:r w:rsidR="002B0A0D" w:rsidRPr="00765C40">
        <w:rPr>
          <w:color w:val="000000" w:themeColor="text1"/>
          <w:sz w:val="20"/>
          <w:szCs w:val="20"/>
        </w:rPr>
        <w:t xml:space="preserve">. </w:t>
      </w:r>
      <w:r w:rsidR="00E43D4E" w:rsidRPr="00765C40">
        <w:rPr>
          <w:color w:val="000000" w:themeColor="text1"/>
          <w:sz w:val="20"/>
          <w:szCs w:val="20"/>
        </w:rPr>
        <w:t>The meeting was divided into two panel discussions: the first panel discussion wa</w:t>
      </w:r>
      <w:r w:rsidR="002B0A0D" w:rsidRPr="00765C40">
        <w:rPr>
          <w:color w:val="000000" w:themeColor="text1"/>
          <w:sz w:val="20"/>
          <w:szCs w:val="20"/>
        </w:rPr>
        <w:t>s held at the 1</w:t>
      </w:r>
      <w:r w:rsidR="00765C40">
        <w:rPr>
          <w:color w:val="000000" w:themeColor="text1"/>
          <w:sz w:val="20"/>
          <w:szCs w:val="20"/>
        </w:rPr>
        <w:t>4th meeting, on 4</w:t>
      </w:r>
      <w:r w:rsidR="00E43D4E" w:rsidRPr="00765C40">
        <w:rPr>
          <w:color w:val="000000" w:themeColor="text1"/>
          <w:sz w:val="20"/>
          <w:szCs w:val="20"/>
        </w:rPr>
        <w:t xml:space="preserve"> March </w:t>
      </w:r>
      <w:r w:rsidR="00141AFC" w:rsidRPr="00765C40">
        <w:rPr>
          <w:color w:val="000000" w:themeColor="text1"/>
          <w:sz w:val="20"/>
          <w:szCs w:val="20"/>
        </w:rPr>
        <w:t>2019</w:t>
      </w:r>
      <w:r w:rsidR="00E43D4E" w:rsidRPr="00765C40">
        <w:rPr>
          <w:color w:val="000000" w:themeColor="text1"/>
          <w:sz w:val="20"/>
          <w:szCs w:val="20"/>
        </w:rPr>
        <w:t>; the second panel discussion was held at the 1</w:t>
      </w:r>
      <w:r w:rsidR="00765C40">
        <w:rPr>
          <w:color w:val="000000" w:themeColor="text1"/>
          <w:sz w:val="20"/>
          <w:szCs w:val="20"/>
        </w:rPr>
        <w:t>6</w:t>
      </w:r>
      <w:r w:rsidR="00E43D4E" w:rsidRPr="00765C40">
        <w:rPr>
          <w:color w:val="000000" w:themeColor="text1"/>
          <w:sz w:val="20"/>
          <w:szCs w:val="20"/>
        </w:rPr>
        <w:t>th meeting, on the same day.</w:t>
      </w:r>
    </w:p>
    <w:p w14:paraId="199AA570" w14:textId="3DDF5246" w:rsidR="002B0A0D" w:rsidRPr="00765C40" w:rsidRDefault="009B6FCB" w:rsidP="002B0A0D">
      <w:pPr>
        <w:spacing w:after="120"/>
        <w:ind w:left="1134" w:right="1134"/>
        <w:jc w:val="both"/>
        <w:rPr>
          <w:color w:val="000000" w:themeColor="text1"/>
          <w:sz w:val="20"/>
          <w:szCs w:val="20"/>
        </w:rPr>
      </w:pPr>
      <w:r>
        <w:rPr>
          <w:color w:val="000000" w:themeColor="text1"/>
          <w:sz w:val="20"/>
          <w:szCs w:val="20"/>
        </w:rPr>
        <w:t>89</w:t>
      </w:r>
      <w:r w:rsidR="00E43D4E" w:rsidRPr="00765C40">
        <w:rPr>
          <w:color w:val="000000" w:themeColor="text1"/>
          <w:sz w:val="20"/>
          <w:szCs w:val="20"/>
        </w:rPr>
        <w:t>.</w:t>
      </w:r>
      <w:r w:rsidR="00E43D4E" w:rsidRPr="00765C40">
        <w:rPr>
          <w:color w:val="000000" w:themeColor="text1"/>
          <w:sz w:val="20"/>
          <w:szCs w:val="20"/>
        </w:rPr>
        <w:tab/>
        <w:t>The first panel discussion was held at the 1</w:t>
      </w:r>
      <w:r w:rsidR="00765C40">
        <w:rPr>
          <w:color w:val="000000" w:themeColor="text1"/>
          <w:sz w:val="20"/>
          <w:szCs w:val="20"/>
        </w:rPr>
        <w:t>4</w:t>
      </w:r>
      <w:r w:rsidR="00E43D4E" w:rsidRPr="00765C40">
        <w:rPr>
          <w:color w:val="000000" w:themeColor="text1"/>
          <w:sz w:val="20"/>
          <w:szCs w:val="20"/>
        </w:rPr>
        <w:t xml:space="preserve">th meeting, on </w:t>
      </w:r>
      <w:r w:rsidR="001F1C89">
        <w:rPr>
          <w:color w:val="000000" w:themeColor="text1"/>
          <w:sz w:val="20"/>
          <w:szCs w:val="20"/>
        </w:rPr>
        <w:t>4</w:t>
      </w:r>
      <w:r w:rsidR="002B0A0D" w:rsidRPr="00765C40">
        <w:rPr>
          <w:color w:val="000000" w:themeColor="text1"/>
          <w:sz w:val="20"/>
          <w:szCs w:val="20"/>
        </w:rPr>
        <w:t xml:space="preserve"> March </w:t>
      </w:r>
      <w:r w:rsidR="00141AFC" w:rsidRPr="00765C40">
        <w:rPr>
          <w:color w:val="000000" w:themeColor="text1"/>
          <w:sz w:val="20"/>
          <w:szCs w:val="20"/>
        </w:rPr>
        <w:t>2019</w:t>
      </w:r>
      <w:r w:rsidR="00E43D4E" w:rsidRPr="00765C40">
        <w:rPr>
          <w:color w:val="000000" w:themeColor="text1"/>
          <w:sz w:val="20"/>
          <w:szCs w:val="20"/>
        </w:rPr>
        <w:t xml:space="preserve">. </w:t>
      </w:r>
      <w:r w:rsidR="007014D7" w:rsidRPr="00765C40">
        <w:rPr>
          <w:color w:val="000000" w:themeColor="text1"/>
          <w:sz w:val="20"/>
          <w:szCs w:val="20"/>
        </w:rPr>
        <w:t>The topic of discussion was “</w:t>
      </w:r>
      <w:r w:rsidR="001F1C89" w:rsidRPr="001F1C89">
        <w:rPr>
          <w:color w:val="000000" w:themeColor="text1"/>
          <w:sz w:val="20"/>
          <w:szCs w:val="20"/>
        </w:rPr>
        <w:t>How children with disabilities can be empowered by realizing their rights, including the right to education</w:t>
      </w:r>
      <w:r w:rsidR="007014D7" w:rsidRPr="00765C40">
        <w:rPr>
          <w:color w:val="000000" w:themeColor="text1"/>
          <w:sz w:val="20"/>
          <w:szCs w:val="20"/>
        </w:rPr>
        <w:t>”</w:t>
      </w:r>
      <w:r w:rsidR="002B0A0D" w:rsidRPr="00765C40">
        <w:rPr>
          <w:color w:val="000000" w:themeColor="text1"/>
          <w:sz w:val="20"/>
          <w:szCs w:val="20"/>
        </w:rPr>
        <w:t xml:space="preserve">. The United Nations High Commissioner for Human Rights made an opening statement for the panel. </w:t>
      </w:r>
      <w:r w:rsidR="00FE6B87" w:rsidRPr="00765C40">
        <w:rPr>
          <w:color w:val="000000" w:themeColor="text1"/>
          <w:sz w:val="20"/>
          <w:szCs w:val="20"/>
        </w:rPr>
        <w:t xml:space="preserve">The </w:t>
      </w:r>
      <w:r w:rsidR="001F1C89" w:rsidRPr="001F1C89">
        <w:rPr>
          <w:color w:val="000000" w:themeColor="text1"/>
          <w:sz w:val="20"/>
          <w:szCs w:val="20"/>
        </w:rPr>
        <w:t>Ambassador and Permanent Representative of Uruguay to the United Nations Office and other international organizations in Geneva</w:t>
      </w:r>
      <w:r w:rsidR="001F1C89">
        <w:rPr>
          <w:color w:val="000000" w:themeColor="text1"/>
          <w:sz w:val="20"/>
          <w:szCs w:val="20"/>
        </w:rPr>
        <w:t xml:space="preserve">, </w:t>
      </w:r>
      <w:r w:rsidR="001F1C89" w:rsidRPr="001F1C89">
        <w:rPr>
          <w:color w:val="000000" w:themeColor="text1"/>
          <w:sz w:val="20"/>
          <w:szCs w:val="20"/>
        </w:rPr>
        <w:t xml:space="preserve">Ricardo González Arenas, </w:t>
      </w:r>
      <w:r w:rsidR="002B0A0D" w:rsidRPr="00765C40">
        <w:rPr>
          <w:color w:val="000000" w:themeColor="text1"/>
          <w:sz w:val="20"/>
          <w:szCs w:val="20"/>
        </w:rPr>
        <w:t>moderated the discussion for the panel.</w:t>
      </w:r>
    </w:p>
    <w:p w14:paraId="3594226B" w14:textId="3EFCC7CE" w:rsidR="00E43D4E" w:rsidRPr="00765C40" w:rsidRDefault="009B6FCB" w:rsidP="00E43D4E">
      <w:pPr>
        <w:spacing w:after="120"/>
        <w:ind w:left="1134" w:right="1134"/>
        <w:jc w:val="both"/>
        <w:rPr>
          <w:color w:val="000000" w:themeColor="text1"/>
          <w:sz w:val="20"/>
          <w:szCs w:val="20"/>
        </w:rPr>
      </w:pPr>
      <w:r>
        <w:rPr>
          <w:color w:val="000000" w:themeColor="text1"/>
          <w:sz w:val="20"/>
          <w:szCs w:val="20"/>
        </w:rPr>
        <w:t>90</w:t>
      </w:r>
      <w:r w:rsidR="00E43D4E" w:rsidRPr="00765C40">
        <w:rPr>
          <w:color w:val="000000" w:themeColor="text1"/>
          <w:sz w:val="20"/>
          <w:szCs w:val="20"/>
        </w:rPr>
        <w:t>.</w:t>
      </w:r>
      <w:r w:rsidR="00E43D4E" w:rsidRPr="00765C40">
        <w:rPr>
          <w:color w:val="000000" w:themeColor="text1"/>
          <w:sz w:val="20"/>
          <w:szCs w:val="20"/>
        </w:rPr>
        <w:tab/>
        <w:t xml:space="preserve">At the same meeting the following panellists made statements: </w:t>
      </w:r>
      <w:r w:rsidR="001F1C89">
        <w:rPr>
          <w:color w:val="000000" w:themeColor="text1"/>
          <w:sz w:val="20"/>
          <w:szCs w:val="20"/>
        </w:rPr>
        <w:t>the m</w:t>
      </w:r>
      <w:r w:rsidR="001F1C89" w:rsidRPr="001F1C89">
        <w:rPr>
          <w:color w:val="000000" w:themeColor="text1"/>
          <w:sz w:val="20"/>
          <w:szCs w:val="20"/>
        </w:rPr>
        <w:t>ember of Committee on the Rights of the Child</w:t>
      </w:r>
      <w:r w:rsidR="001F1C89">
        <w:rPr>
          <w:color w:val="000000" w:themeColor="text1"/>
          <w:sz w:val="20"/>
          <w:szCs w:val="20"/>
        </w:rPr>
        <w:t xml:space="preserve">, Jorge Cardona; the </w:t>
      </w:r>
      <w:r w:rsidR="001F1C89" w:rsidRPr="001F1C89">
        <w:rPr>
          <w:color w:val="000000" w:themeColor="text1"/>
          <w:sz w:val="20"/>
          <w:szCs w:val="20"/>
        </w:rPr>
        <w:t>Special Rapporteur on the rights of persons with disabilities</w:t>
      </w:r>
      <w:r w:rsidR="001F1C89">
        <w:rPr>
          <w:color w:val="000000" w:themeColor="text1"/>
          <w:sz w:val="20"/>
          <w:szCs w:val="20"/>
        </w:rPr>
        <w:t xml:space="preserve">, Catalina Devandas Aguilar and the </w:t>
      </w:r>
      <w:r w:rsidR="001F1C89" w:rsidRPr="001F1C89">
        <w:rPr>
          <w:color w:val="000000" w:themeColor="text1"/>
          <w:sz w:val="20"/>
          <w:szCs w:val="20"/>
        </w:rPr>
        <w:t>children</w:t>
      </w:r>
      <w:r w:rsidR="00D72627">
        <w:rPr>
          <w:color w:val="000000" w:themeColor="text1"/>
          <w:sz w:val="20"/>
          <w:szCs w:val="20"/>
        </w:rPr>
        <w:t>’</w:t>
      </w:r>
      <w:r w:rsidR="001F1C89" w:rsidRPr="001F1C89">
        <w:rPr>
          <w:color w:val="000000" w:themeColor="text1"/>
          <w:sz w:val="20"/>
          <w:szCs w:val="20"/>
        </w:rPr>
        <w:t>s rights advocate</w:t>
      </w:r>
      <w:r w:rsidR="001F1C89">
        <w:rPr>
          <w:color w:val="000000" w:themeColor="text1"/>
          <w:sz w:val="20"/>
          <w:szCs w:val="20"/>
        </w:rPr>
        <w:t xml:space="preserve"> from</w:t>
      </w:r>
      <w:r w:rsidR="001F1C89" w:rsidRPr="001F1C89">
        <w:rPr>
          <w:color w:val="000000" w:themeColor="text1"/>
          <w:sz w:val="20"/>
          <w:szCs w:val="20"/>
        </w:rPr>
        <w:t xml:space="preserve"> Lumos</w:t>
      </w:r>
      <w:r w:rsidR="001F1C89">
        <w:rPr>
          <w:color w:val="000000" w:themeColor="text1"/>
          <w:sz w:val="20"/>
          <w:szCs w:val="20"/>
        </w:rPr>
        <w:t xml:space="preserve">, </w:t>
      </w:r>
      <w:r w:rsidR="001F1C89" w:rsidRPr="001F1C89">
        <w:rPr>
          <w:color w:val="000000" w:themeColor="text1"/>
          <w:sz w:val="20"/>
          <w:szCs w:val="20"/>
        </w:rPr>
        <w:t>Dumitriţa Cropivnitchi</w:t>
      </w:r>
      <w:r w:rsidR="00E43D4E" w:rsidRPr="00765C40">
        <w:rPr>
          <w:color w:val="000000" w:themeColor="text1"/>
          <w:sz w:val="20"/>
          <w:szCs w:val="20"/>
        </w:rPr>
        <w:t xml:space="preserve">. </w:t>
      </w:r>
      <w:r w:rsidR="006F74BD" w:rsidRPr="006F74BD">
        <w:rPr>
          <w:color w:val="000000" w:themeColor="text1"/>
          <w:sz w:val="20"/>
          <w:szCs w:val="20"/>
        </w:rPr>
        <w:t xml:space="preserve">The Council then </w:t>
      </w:r>
      <w:r w:rsidR="005F4C5D">
        <w:rPr>
          <w:color w:val="000000" w:themeColor="text1"/>
          <w:sz w:val="20"/>
          <w:szCs w:val="20"/>
        </w:rPr>
        <w:t>viewed</w:t>
      </w:r>
      <w:r w:rsidR="006F74BD" w:rsidRPr="006F74BD">
        <w:rPr>
          <w:color w:val="000000" w:themeColor="text1"/>
          <w:sz w:val="20"/>
          <w:szCs w:val="20"/>
        </w:rPr>
        <w:t xml:space="preserve"> a video with questions from children with disabilities, produced by the United Nations Children</w:t>
      </w:r>
      <w:r w:rsidR="00D72627">
        <w:rPr>
          <w:color w:val="000000" w:themeColor="text1"/>
          <w:sz w:val="20"/>
          <w:szCs w:val="20"/>
        </w:rPr>
        <w:t>’</w:t>
      </w:r>
      <w:r w:rsidR="006F74BD" w:rsidRPr="006F74BD">
        <w:rPr>
          <w:color w:val="000000" w:themeColor="text1"/>
          <w:sz w:val="20"/>
          <w:szCs w:val="20"/>
        </w:rPr>
        <w:t xml:space="preserve">s Fund. </w:t>
      </w:r>
      <w:r w:rsidR="00E43D4E" w:rsidRPr="00765C40">
        <w:rPr>
          <w:color w:val="000000" w:themeColor="text1"/>
          <w:sz w:val="20"/>
          <w:szCs w:val="20"/>
        </w:rPr>
        <w:t>The Council divided the panel discussion into two slots.</w:t>
      </w:r>
    </w:p>
    <w:p w14:paraId="14846664" w14:textId="6277BD62" w:rsidR="00E43D4E" w:rsidRPr="00765C40" w:rsidRDefault="009B6FCB" w:rsidP="00E43D4E">
      <w:pPr>
        <w:spacing w:after="120"/>
        <w:ind w:left="1134" w:right="1134"/>
        <w:jc w:val="both"/>
        <w:rPr>
          <w:color w:val="000000" w:themeColor="text1"/>
          <w:sz w:val="20"/>
          <w:szCs w:val="20"/>
        </w:rPr>
      </w:pPr>
      <w:r>
        <w:rPr>
          <w:color w:val="000000" w:themeColor="text1"/>
          <w:sz w:val="20"/>
          <w:szCs w:val="20"/>
        </w:rPr>
        <w:t>91</w:t>
      </w:r>
      <w:r w:rsidR="00E43D4E" w:rsidRPr="00765C40">
        <w:rPr>
          <w:color w:val="000000" w:themeColor="text1"/>
          <w:sz w:val="20"/>
          <w:szCs w:val="20"/>
        </w:rPr>
        <w:t>.</w:t>
      </w:r>
      <w:r w:rsidR="00E43D4E" w:rsidRPr="00765C40">
        <w:rPr>
          <w:color w:val="000000" w:themeColor="text1"/>
          <w:sz w:val="20"/>
          <w:szCs w:val="20"/>
        </w:rPr>
        <w:tab/>
        <w:t>During the ensuing panel discussion for the first slot of the first panel, at the same meeting, the following made statements and asked the panellists questions:</w:t>
      </w:r>
    </w:p>
    <w:p w14:paraId="395F3CBD" w14:textId="4538916A" w:rsidR="003762C5" w:rsidRPr="00765C40" w:rsidRDefault="00E43D4E" w:rsidP="007A6680">
      <w:pPr>
        <w:spacing w:after="120"/>
        <w:ind w:left="1134" w:right="1134" w:firstLine="567"/>
        <w:jc w:val="both"/>
        <w:rPr>
          <w:color w:val="000000" w:themeColor="text1"/>
          <w:sz w:val="20"/>
          <w:szCs w:val="20"/>
        </w:rPr>
      </w:pPr>
      <w:r w:rsidRPr="00765C40">
        <w:rPr>
          <w:color w:val="000000" w:themeColor="text1"/>
          <w:sz w:val="20"/>
          <w:szCs w:val="20"/>
        </w:rPr>
        <w:t>(a)</w:t>
      </w:r>
      <w:r w:rsidRPr="00765C40">
        <w:rPr>
          <w:color w:val="000000" w:themeColor="text1"/>
          <w:sz w:val="20"/>
          <w:szCs w:val="20"/>
        </w:rPr>
        <w:tab/>
        <w:t xml:space="preserve">Representatives of </w:t>
      </w:r>
      <w:r w:rsidR="005D3E5F" w:rsidRPr="00765C40">
        <w:rPr>
          <w:color w:val="000000" w:themeColor="text1"/>
          <w:sz w:val="20"/>
          <w:szCs w:val="20"/>
        </w:rPr>
        <w:t>States Members</w:t>
      </w:r>
      <w:r w:rsidRPr="00765C40">
        <w:rPr>
          <w:color w:val="000000" w:themeColor="text1"/>
          <w:sz w:val="20"/>
          <w:szCs w:val="20"/>
        </w:rPr>
        <w:t xml:space="preserve"> of the Human Rights Council: </w:t>
      </w:r>
      <w:r w:rsidR="00A8596E" w:rsidRPr="00A8596E">
        <w:rPr>
          <w:color w:val="000000" w:themeColor="text1"/>
          <w:sz w:val="20"/>
          <w:szCs w:val="20"/>
        </w:rPr>
        <w:t xml:space="preserve">Angola </w:t>
      </w:r>
      <w:r w:rsidR="00A8596E">
        <w:rPr>
          <w:color w:val="000000" w:themeColor="text1"/>
          <w:sz w:val="20"/>
          <w:szCs w:val="20"/>
        </w:rPr>
        <w:t>(</w:t>
      </w:r>
      <w:r w:rsidR="00A8596E" w:rsidRPr="00A8596E">
        <w:rPr>
          <w:color w:val="000000" w:themeColor="text1"/>
          <w:sz w:val="20"/>
          <w:szCs w:val="20"/>
        </w:rPr>
        <w:t xml:space="preserve">on behalf of </w:t>
      </w:r>
      <w:r w:rsidR="00A8596E" w:rsidRPr="00544A55">
        <w:rPr>
          <w:color w:val="000000" w:themeColor="text1"/>
          <w:sz w:val="20"/>
          <w:szCs w:val="20"/>
        </w:rPr>
        <w:t>the Group of African States</w:t>
      </w:r>
      <w:r w:rsidR="00A8596E">
        <w:rPr>
          <w:color w:val="000000" w:themeColor="text1"/>
          <w:sz w:val="20"/>
          <w:szCs w:val="20"/>
        </w:rPr>
        <w:t>)</w:t>
      </w:r>
      <w:r w:rsidR="003F63A6">
        <w:rPr>
          <w:color w:val="000000" w:themeColor="text1"/>
          <w:sz w:val="20"/>
          <w:szCs w:val="20"/>
        </w:rPr>
        <w:t xml:space="preserve">, </w:t>
      </w:r>
      <w:r w:rsidR="00A8596E" w:rsidRPr="00A8596E">
        <w:rPr>
          <w:color w:val="000000" w:themeColor="text1"/>
          <w:sz w:val="20"/>
          <w:szCs w:val="20"/>
        </w:rPr>
        <w:t>Austria</w:t>
      </w:r>
      <w:r w:rsidR="003F63A6">
        <w:rPr>
          <w:color w:val="000000" w:themeColor="text1"/>
          <w:sz w:val="20"/>
          <w:szCs w:val="20"/>
        </w:rPr>
        <w:t xml:space="preserve">, </w:t>
      </w:r>
      <w:r w:rsidR="00A8596E" w:rsidRPr="00A8596E">
        <w:rPr>
          <w:color w:val="000000" w:themeColor="text1"/>
          <w:sz w:val="20"/>
          <w:szCs w:val="20"/>
        </w:rPr>
        <w:t xml:space="preserve">Bahrain </w:t>
      </w:r>
      <w:r w:rsidR="00A8596E">
        <w:rPr>
          <w:color w:val="000000" w:themeColor="text1"/>
          <w:sz w:val="20"/>
          <w:szCs w:val="20"/>
        </w:rPr>
        <w:t>(</w:t>
      </w:r>
      <w:r w:rsidR="00A8596E" w:rsidRPr="00A8596E">
        <w:rPr>
          <w:color w:val="000000" w:themeColor="text1"/>
          <w:sz w:val="20"/>
          <w:szCs w:val="20"/>
        </w:rPr>
        <w:t xml:space="preserve">on behalf of the Group </w:t>
      </w:r>
      <w:r w:rsidR="00A8596E">
        <w:rPr>
          <w:color w:val="000000" w:themeColor="text1"/>
          <w:sz w:val="20"/>
          <w:szCs w:val="20"/>
        </w:rPr>
        <w:t xml:space="preserve">of </w:t>
      </w:r>
      <w:r w:rsidR="00A8596E" w:rsidRPr="00A8596E">
        <w:rPr>
          <w:color w:val="000000" w:themeColor="text1"/>
          <w:sz w:val="20"/>
          <w:szCs w:val="20"/>
        </w:rPr>
        <w:t>Arab</w:t>
      </w:r>
      <w:r w:rsidR="00A8596E">
        <w:rPr>
          <w:color w:val="000000" w:themeColor="text1"/>
          <w:sz w:val="20"/>
          <w:szCs w:val="20"/>
        </w:rPr>
        <w:t xml:space="preserve"> States)</w:t>
      </w:r>
      <w:r w:rsidR="003F63A6">
        <w:rPr>
          <w:color w:val="000000" w:themeColor="text1"/>
          <w:sz w:val="20"/>
          <w:szCs w:val="20"/>
        </w:rPr>
        <w:t xml:space="preserve">, </w:t>
      </w:r>
      <w:r w:rsidR="00A8596E" w:rsidRPr="00A8596E">
        <w:rPr>
          <w:color w:val="000000" w:themeColor="text1"/>
          <w:sz w:val="20"/>
          <w:szCs w:val="20"/>
        </w:rPr>
        <w:t>Barbados</w:t>
      </w:r>
      <w:r w:rsidR="007E79C8">
        <w:rPr>
          <w:rStyle w:val="FootnoteReference"/>
          <w:color w:val="000000" w:themeColor="text1"/>
          <w:szCs w:val="20"/>
        </w:rPr>
        <w:footnoteReference w:id="16"/>
      </w:r>
      <w:r w:rsidR="00A8596E" w:rsidRPr="00A8596E">
        <w:rPr>
          <w:color w:val="000000" w:themeColor="text1"/>
          <w:sz w:val="20"/>
          <w:szCs w:val="20"/>
        </w:rPr>
        <w:t xml:space="preserve"> </w:t>
      </w:r>
      <w:r w:rsidR="00A8596E">
        <w:rPr>
          <w:color w:val="000000" w:themeColor="text1"/>
          <w:sz w:val="20"/>
          <w:szCs w:val="20"/>
        </w:rPr>
        <w:t>(</w:t>
      </w:r>
      <w:r w:rsidR="00A8596E" w:rsidRPr="00157723">
        <w:rPr>
          <w:color w:val="000000" w:themeColor="text1"/>
          <w:sz w:val="20"/>
          <w:szCs w:val="20"/>
        </w:rPr>
        <w:t xml:space="preserve">on behalf of </w:t>
      </w:r>
      <w:r w:rsidR="00157723">
        <w:rPr>
          <w:color w:val="000000" w:themeColor="text1"/>
          <w:sz w:val="20"/>
          <w:szCs w:val="20"/>
        </w:rPr>
        <w:t>the Carribean Community</w:t>
      </w:r>
      <w:r w:rsidR="00A8596E">
        <w:rPr>
          <w:color w:val="000000" w:themeColor="text1"/>
          <w:sz w:val="20"/>
          <w:szCs w:val="20"/>
        </w:rPr>
        <w:t>)</w:t>
      </w:r>
      <w:r w:rsidR="003F63A6">
        <w:rPr>
          <w:color w:val="000000" w:themeColor="text1"/>
          <w:sz w:val="20"/>
          <w:szCs w:val="20"/>
        </w:rPr>
        <w:t xml:space="preserve">, </w:t>
      </w:r>
      <w:r w:rsidR="003F63A6" w:rsidRPr="00A8596E">
        <w:rPr>
          <w:color w:val="000000" w:themeColor="text1"/>
          <w:sz w:val="20"/>
          <w:szCs w:val="20"/>
        </w:rPr>
        <w:t xml:space="preserve">Iceland </w:t>
      </w:r>
      <w:r w:rsidR="003F63A6">
        <w:rPr>
          <w:color w:val="000000" w:themeColor="text1"/>
          <w:sz w:val="20"/>
          <w:szCs w:val="20"/>
        </w:rPr>
        <w:t>(</w:t>
      </w:r>
      <w:r w:rsidR="003F63A6" w:rsidRPr="003762C5">
        <w:rPr>
          <w:color w:val="000000" w:themeColor="text1"/>
          <w:sz w:val="20"/>
          <w:szCs w:val="20"/>
        </w:rPr>
        <w:t>also on behalf of</w:t>
      </w:r>
      <w:r w:rsidR="003F63A6" w:rsidRPr="00A8596E">
        <w:rPr>
          <w:color w:val="000000" w:themeColor="text1"/>
          <w:sz w:val="20"/>
          <w:szCs w:val="20"/>
        </w:rPr>
        <w:t xml:space="preserve"> </w:t>
      </w:r>
      <w:r w:rsidR="003762C5">
        <w:rPr>
          <w:color w:val="000000" w:themeColor="text1"/>
          <w:sz w:val="20"/>
          <w:szCs w:val="20"/>
        </w:rPr>
        <w:t>Denmark, Estonia, Finland, Latvia, Lithuania, Norway and Sweden</w:t>
      </w:r>
      <w:r w:rsidR="003F63A6">
        <w:rPr>
          <w:color w:val="000000" w:themeColor="text1"/>
          <w:sz w:val="20"/>
          <w:szCs w:val="20"/>
        </w:rPr>
        <w:t xml:space="preserve">), </w:t>
      </w:r>
      <w:r w:rsidR="003F63A6" w:rsidRPr="00A8596E">
        <w:rPr>
          <w:color w:val="000000" w:themeColor="text1"/>
          <w:sz w:val="20"/>
          <w:szCs w:val="20"/>
        </w:rPr>
        <w:t>Thailand</w:t>
      </w:r>
      <w:r w:rsidR="007E79C8">
        <w:rPr>
          <w:rStyle w:val="FootnoteReference"/>
          <w:color w:val="000000" w:themeColor="text1"/>
          <w:szCs w:val="20"/>
        </w:rPr>
        <w:footnoteReference w:id="17"/>
      </w:r>
      <w:r w:rsidR="003F63A6" w:rsidRPr="00A8596E">
        <w:rPr>
          <w:color w:val="000000" w:themeColor="text1"/>
          <w:sz w:val="20"/>
          <w:szCs w:val="20"/>
        </w:rPr>
        <w:t xml:space="preserve"> </w:t>
      </w:r>
      <w:r w:rsidR="003F63A6">
        <w:rPr>
          <w:color w:val="000000" w:themeColor="text1"/>
          <w:sz w:val="20"/>
          <w:szCs w:val="20"/>
        </w:rPr>
        <w:t>(</w:t>
      </w:r>
      <w:r w:rsidR="00E432CC" w:rsidRPr="00D15C0E">
        <w:rPr>
          <w:color w:val="000000" w:themeColor="text1"/>
          <w:sz w:val="20"/>
          <w:szCs w:val="20"/>
        </w:rPr>
        <w:t>on behalf of the Association of Southeast Asian Nations</w:t>
      </w:r>
      <w:r w:rsidR="003F63A6">
        <w:rPr>
          <w:color w:val="000000" w:themeColor="text1"/>
          <w:sz w:val="20"/>
          <w:szCs w:val="20"/>
        </w:rPr>
        <w:t>)</w:t>
      </w:r>
      <w:r w:rsidRPr="00765C40">
        <w:rPr>
          <w:color w:val="000000" w:themeColor="text1"/>
          <w:sz w:val="20"/>
          <w:szCs w:val="20"/>
        </w:rPr>
        <w:t>;</w:t>
      </w:r>
    </w:p>
    <w:p w14:paraId="288A8E55" w14:textId="5FA06F49" w:rsidR="00E43D4E" w:rsidRPr="00765C40" w:rsidRDefault="00E43D4E" w:rsidP="007A6680">
      <w:pPr>
        <w:spacing w:after="120"/>
        <w:ind w:left="1134" w:right="1134" w:firstLine="567"/>
        <w:jc w:val="both"/>
        <w:rPr>
          <w:color w:val="000000" w:themeColor="text1"/>
          <w:sz w:val="20"/>
          <w:szCs w:val="20"/>
        </w:rPr>
      </w:pPr>
      <w:r w:rsidRPr="00765C40">
        <w:rPr>
          <w:color w:val="000000" w:themeColor="text1"/>
          <w:sz w:val="20"/>
          <w:szCs w:val="20"/>
        </w:rPr>
        <w:t>(b)</w:t>
      </w:r>
      <w:r w:rsidRPr="00765C40">
        <w:rPr>
          <w:color w:val="000000" w:themeColor="text1"/>
          <w:sz w:val="20"/>
          <w:szCs w:val="20"/>
        </w:rPr>
        <w:tab/>
        <w:t>Representative</w:t>
      </w:r>
      <w:r w:rsidR="00D33062" w:rsidRPr="00765C40">
        <w:rPr>
          <w:color w:val="000000" w:themeColor="text1"/>
          <w:sz w:val="20"/>
          <w:szCs w:val="20"/>
        </w:rPr>
        <w:t>s</w:t>
      </w:r>
      <w:r w:rsidR="003F63A6">
        <w:rPr>
          <w:color w:val="000000" w:themeColor="text1"/>
          <w:sz w:val="20"/>
          <w:szCs w:val="20"/>
        </w:rPr>
        <w:t xml:space="preserve"> of observer States: </w:t>
      </w:r>
      <w:r w:rsidR="003F63A6" w:rsidRPr="00A8596E">
        <w:rPr>
          <w:color w:val="000000" w:themeColor="text1"/>
          <w:sz w:val="20"/>
          <w:szCs w:val="20"/>
        </w:rPr>
        <w:t>Botswana</w:t>
      </w:r>
      <w:r w:rsidR="003F63A6">
        <w:rPr>
          <w:color w:val="000000" w:themeColor="text1"/>
          <w:sz w:val="20"/>
          <w:szCs w:val="20"/>
        </w:rPr>
        <w:t xml:space="preserve">, </w:t>
      </w:r>
      <w:r w:rsidR="003F63A6" w:rsidRPr="00A8596E">
        <w:rPr>
          <w:color w:val="000000" w:themeColor="text1"/>
          <w:sz w:val="20"/>
          <w:szCs w:val="20"/>
        </w:rPr>
        <w:t>France</w:t>
      </w:r>
      <w:r w:rsidR="003F63A6">
        <w:rPr>
          <w:color w:val="000000" w:themeColor="text1"/>
          <w:sz w:val="20"/>
          <w:szCs w:val="20"/>
        </w:rPr>
        <w:t xml:space="preserve">, </w:t>
      </w:r>
      <w:r w:rsidR="003F63A6" w:rsidRPr="00A8596E">
        <w:rPr>
          <w:color w:val="000000" w:themeColor="text1"/>
          <w:sz w:val="20"/>
          <w:szCs w:val="20"/>
        </w:rPr>
        <w:t>Lesotho</w:t>
      </w:r>
      <w:r w:rsidR="003F63A6">
        <w:rPr>
          <w:color w:val="000000" w:themeColor="text1"/>
          <w:sz w:val="20"/>
          <w:szCs w:val="20"/>
        </w:rPr>
        <w:t xml:space="preserve">, </w:t>
      </w:r>
      <w:r w:rsidR="003F63A6" w:rsidRPr="00A8596E">
        <w:rPr>
          <w:color w:val="000000" w:themeColor="text1"/>
          <w:sz w:val="20"/>
          <w:szCs w:val="20"/>
        </w:rPr>
        <w:t>Romania</w:t>
      </w:r>
      <w:r w:rsidR="003F63A6">
        <w:rPr>
          <w:color w:val="000000" w:themeColor="text1"/>
          <w:sz w:val="20"/>
          <w:szCs w:val="20"/>
        </w:rPr>
        <w:t xml:space="preserve">, </w:t>
      </w:r>
      <w:r w:rsidR="003F63A6" w:rsidRPr="00A8596E">
        <w:rPr>
          <w:color w:val="000000" w:themeColor="text1"/>
          <w:sz w:val="20"/>
          <w:szCs w:val="20"/>
        </w:rPr>
        <w:t>Seychelles</w:t>
      </w:r>
      <w:r w:rsidRPr="00765C40">
        <w:rPr>
          <w:color w:val="000000" w:themeColor="text1"/>
          <w:sz w:val="20"/>
          <w:szCs w:val="20"/>
        </w:rPr>
        <w:t xml:space="preserve">; </w:t>
      </w:r>
    </w:p>
    <w:p w14:paraId="66830E85" w14:textId="65126878" w:rsidR="00E43D4E" w:rsidRDefault="00E43D4E" w:rsidP="007A6680">
      <w:pPr>
        <w:spacing w:after="120"/>
        <w:ind w:left="1134" w:right="1134" w:firstLine="567"/>
        <w:jc w:val="both"/>
        <w:rPr>
          <w:color w:val="000000" w:themeColor="text1"/>
          <w:sz w:val="20"/>
          <w:szCs w:val="20"/>
        </w:rPr>
      </w:pPr>
      <w:r w:rsidRPr="00765C40">
        <w:rPr>
          <w:color w:val="000000" w:themeColor="text1"/>
          <w:sz w:val="20"/>
          <w:szCs w:val="20"/>
        </w:rPr>
        <w:t>(c)</w:t>
      </w:r>
      <w:r w:rsidRPr="00765C40">
        <w:rPr>
          <w:color w:val="000000" w:themeColor="text1"/>
          <w:sz w:val="20"/>
          <w:szCs w:val="20"/>
        </w:rPr>
        <w:tab/>
        <w:t>Observer for an intergovernmental organization: European Union;</w:t>
      </w:r>
    </w:p>
    <w:p w14:paraId="21919D88" w14:textId="76184258" w:rsidR="002355F1" w:rsidRPr="0067399B" w:rsidRDefault="002355F1" w:rsidP="002355F1">
      <w:pPr>
        <w:pStyle w:val="SingleTxtG"/>
        <w:ind w:firstLine="567"/>
        <w:rPr>
          <w:color w:val="000000" w:themeColor="text1"/>
          <w:sz w:val="20"/>
          <w:szCs w:val="20"/>
        </w:rPr>
      </w:pPr>
      <w:r w:rsidRPr="0067399B">
        <w:rPr>
          <w:color w:val="000000" w:themeColor="text1"/>
          <w:sz w:val="20"/>
          <w:szCs w:val="20"/>
        </w:rPr>
        <w:t>(</w:t>
      </w:r>
      <w:r>
        <w:rPr>
          <w:color w:val="000000" w:themeColor="text1"/>
          <w:sz w:val="20"/>
          <w:szCs w:val="20"/>
        </w:rPr>
        <w:t>d</w:t>
      </w:r>
      <w:r w:rsidRPr="0067399B">
        <w:rPr>
          <w:color w:val="000000" w:themeColor="text1"/>
          <w:sz w:val="20"/>
          <w:szCs w:val="20"/>
        </w:rPr>
        <w:t>)</w:t>
      </w:r>
      <w:r w:rsidRPr="0067399B">
        <w:rPr>
          <w:color w:val="000000" w:themeColor="text1"/>
          <w:sz w:val="20"/>
          <w:szCs w:val="20"/>
        </w:rPr>
        <w:tab/>
        <w:t xml:space="preserve">Observer for a national human rights institution: </w:t>
      </w:r>
      <w:r w:rsidRPr="002355F1">
        <w:rPr>
          <w:color w:val="000000" w:themeColor="text1"/>
          <w:sz w:val="20"/>
          <w:szCs w:val="20"/>
        </w:rPr>
        <w:t>Australian Human Rights Commission</w:t>
      </w:r>
      <w:r w:rsidRPr="0067399B">
        <w:rPr>
          <w:color w:val="000000" w:themeColor="text1"/>
          <w:sz w:val="20"/>
          <w:szCs w:val="20"/>
        </w:rPr>
        <w:t xml:space="preserve">; </w:t>
      </w:r>
    </w:p>
    <w:p w14:paraId="4CD0F4A2" w14:textId="35B3F3A2" w:rsidR="00E43D4E" w:rsidRPr="00765C40" w:rsidRDefault="00E43D4E" w:rsidP="00E43D4E">
      <w:pPr>
        <w:pStyle w:val="SingleTxtG"/>
        <w:ind w:firstLine="567"/>
        <w:rPr>
          <w:color w:val="000000" w:themeColor="text1"/>
          <w:sz w:val="20"/>
          <w:szCs w:val="20"/>
        </w:rPr>
      </w:pPr>
      <w:r w:rsidRPr="00765C40">
        <w:rPr>
          <w:color w:val="000000" w:themeColor="text1"/>
          <w:sz w:val="20"/>
          <w:szCs w:val="20"/>
        </w:rPr>
        <w:t>(</w:t>
      </w:r>
      <w:r w:rsidR="002355F1">
        <w:rPr>
          <w:color w:val="000000" w:themeColor="text1"/>
          <w:sz w:val="20"/>
          <w:szCs w:val="20"/>
        </w:rPr>
        <w:t>e</w:t>
      </w:r>
      <w:r w:rsidRPr="00765C40">
        <w:rPr>
          <w:color w:val="000000" w:themeColor="text1"/>
          <w:sz w:val="20"/>
          <w:szCs w:val="20"/>
        </w:rPr>
        <w:t>)</w:t>
      </w:r>
      <w:r w:rsidRPr="00765C40">
        <w:rPr>
          <w:color w:val="000000" w:themeColor="text1"/>
          <w:sz w:val="20"/>
          <w:szCs w:val="20"/>
        </w:rPr>
        <w:tab/>
        <w:t xml:space="preserve">Observers for non-governmental organizations: </w:t>
      </w:r>
      <w:r w:rsidR="002355F1" w:rsidRPr="002355F1">
        <w:rPr>
          <w:color w:val="000000" w:themeColor="text1"/>
          <w:sz w:val="20"/>
          <w:szCs w:val="20"/>
        </w:rPr>
        <w:t xml:space="preserve">Center for Reproductive Rights, Inc., </w:t>
      </w:r>
      <w:proofErr w:type="gramStart"/>
      <w:r w:rsidR="002355F1" w:rsidRPr="002355F1">
        <w:rPr>
          <w:color w:val="000000" w:themeColor="text1"/>
          <w:sz w:val="20"/>
          <w:szCs w:val="20"/>
        </w:rPr>
        <w:t>The</w:t>
      </w:r>
      <w:proofErr w:type="gramEnd"/>
      <w:r w:rsidR="002355F1">
        <w:rPr>
          <w:color w:val="000000" w:themeColor="text1"/>
          <w:sz w:val="20"/>
          <w:szCs w:val="20"/>
        </w:rPr>
        <w:t xml:space="preserve">; </w:t>
      </w:r>
      <w:r w:rsidR="002355F1" w:rsidRPr="002355F1">
        <w:rPr>
          <w:color w:val="000000" w:themeColor="text1"/>
          <w:sz w:val="20"/>
          <w:szCs w:val="20"/>
        </w:rPr>
        <w:t>International Organization for the Right to Education and Freedom of Education (OIDEL)</w:t>
      </w:r>
      <w:r w:rsidR="00D33062" w:rsidRPr="00765C40">
        <w:rPr>
          <w:color w:val="000000" w:themeColor="text1"/>
          <w:sz w:val="20"/>
          <w:szCs w:val="20"/>
        </w:rPr>
        <w:t>.</w:t>
      </w:r>
    </w:p>
    <w:p w14:paraId="1C32997B" w14:textId="5D362554" w:rsidR="00E43D4E" w:rsidRPr="00765C40" w:rsidRDefault="009B6FCB" w:rsidP="00E43D4E">
      <w:pPr>
        <w:pStyle w:val="SingleTxtG"/>
        <w:rPr>
          <w:color w:val="000000" w:themeColor="text1"/>
          <w:sz w:val="20"/>
          <w:szCs w:val="20"/>
        </w:rPr>
      </w:pPr>
      <w:r>
        <w:rPr>
          <w:color w:val="000000" w:themeColor="text1"/>
          <w:sz w:val="20"/>
          <w:szCs w:val="20"/>
        </w:rPr>
        <w:t>92</w:t>
      </w:r>
      <w:r w:rsidR="00E43D4E" w:rsidRPr="00765C40">
        <w:rPr>
          <w:color w:val="000000" w:themeColor="text1"/>
          <w:sz w:val="20"/>
          <w:szCs w:val="20"/>
        </w:rPr>
        <w:t>.</w:t>
      </w:r>
      <w:r w:rsidR="00E43D4E" w:rsidRPr="00765C40">
        <w:rPr>
          <w:color w:val="000000" w:themeColor="text1"/>
          <w:sz w:val="20"/>
          <w:szCs w:val="20"/>
        </w:rPr>
        <w:tab/>
        <w:t>During the discussion for the second slot, at the same meeting, the following made statements and asked the panellists questions:</w:t>
      </w:r>
    </w:p>
    <w:p w14:paraId="5C36CF36" w14:textId="7E6316B0" w:rsidR="00E43D4E" w:rsidRPr="00765C40" w:rsidRDefault="00E43D4E" w:rsidP="007A6680">
      <w:pPr>
        <w:pStyle w:val="SingleTxtG"/>
        <w:ind w:firstLine="567"/>
        <w:rPr>
          <w:color w:val="000000" w:themeColor="text1"/>
          <w:sz w:val="20"/>
          <w:szCs w:val="20"/>
          <w:lang w:val="en-GB"/>
        </w:rPr>
      </w:pPr>
      <w:r w:rsidRPr="00765C40">
        <w:rPr>
          <w:color w:val="000000" w:themeColor="text1"/>
          <w:sz w:val="20"/>
          <w:szCs w:val="20"/>
        </w:rPr>
        <w:lastRenderedPageBreak/>
        <w:t>(</w:t>
      </w:r>
      <w:r w:rsidRPr="00765C40">
        <w:rPr>
          <w:iCs/>
          <w:color w:val="000000" w:themeColor="text1"/>
          <w:sz w:val="20"/>
          <w:szCs w:val="20"/>
        </w:rPr>
        <w:t>a</w:t>
      </w:r>
      <w:r w:rsidRPr="00765C40">
        <w:rPr>
          <w:color w:val="000000" w:themeColor="text1"/>
          <w:sz w:val="20"/>
          <w:szCs w:val="20"/>
        </w:rPr>
        <w:t>)</w:t>
      </w:r>
      <w:r w:rsidRPr="00765C40">
        <w:rPr>
          <w:color w:val="000000" w:themeColor="text1"/>
          <w:sz w:val="20"/>
          <w:szCs w:val="20"/>
        </w:rPr>
        <w:tab/>
        <w:t xml:space="preserve">Representatives of </w:t>
      </w:r>
      <w:r w:rsidR="005D3E5F" w:rsidRPr="00765C40">
        <w:rPr>
          <w:color w:val="000000" w:themeColor="text1"/>
          <w:sz w:val="20"/>
          <w:szCs w:val="20"/>
        </w:rPr>
        <w:t>States Members</w:t>
      </w:r>
      <w:r w:rsidRPr="00765C40">
        <w:rPr>
          <w:color w:val="000000" w:themeColor="text1"/>
          <w:sz w:val="20"/>
          <w:szCs w:val="20"/>
        </w:rPr>
        <w:t xml:space="preserve"> of the Human Rights Council: </w:t>
      </w:r>
      <w:r w:rsidR="003F63A6" w:rsidRPr="003F63A6">
        <w:rPr>
          <w:color w:val="000000" w:themeColor="text1"/>
          <w:sz w:val="20"/>
          <w:szCs w:val="20"/>
        </w:rPr>
        <w:t>Australia</w:t>
      </w:r>
      <w:r w:rsidR="003F63A6">
        <w:rPr>
          <w:color w:val="000000" w:themeColor="text1"/>
          <w:sz w:val="20"/>
          <w:szCs w:val="20"/>
        </w:rPr>
        <w:t xml:space="preserve">, </w:t>
      </w:r>
      <w:r w:rsidR="003F63A6" w:rsidRPr="003F63A6">
        <w:rPr>
          <w:color w:val="000000" w:themeColor="text1"/>
          <w:sz w:val="20"/>
          <w:szCs w:val="20"/>
        </w:rPr>
        <w:t xml:space="preserve">Brazil </w:t>
      </w:r>
      <w:r w:rsidR="003F63A6">
        <w:rPr>
          <w:color w:val="000000" w:themeColor="text1"/>
          <w:sz w:val="20"/>
          <w:szCs w:val="20"/>
        </w:rPr>
        <w:t>(</w:t>
      </w:r>
      <w:r w:rsidR="003F63A6" w:rsidRPr="005664F6">
        <w:rPr>
          <w:color w:val="000000" w:themeColor="text1"/>
          <w:sz w:val="20"/>
          <w:szCs w:val="20"/>
        </w:rPr>
        <w:t>on behalf of</w:t>
      </w:r>
      <w:r w:rsidR="003F63A6" w:rsidRPr="0035138F">
        <w:rPr>
          <w:color w:val="000000" w:themeColor="text1"/>
          <w:sz w:val="20"/>
          <w:szCs w:val="20"/>
        </w:rPr>
        <w:t xml:space="preserve"> </w:t>
      </w:r>
      <w:r w:rsidR="003F63A6" w:rsidRPr="0067399B">
        <w:rPr>
          <w:color w:val="000000" w:themeColor="text1"/>
          <w:sz w:val="20"/>
          <w:szCs w:val="20"/>
        </w:rPr>
        <w:t xml:space="preserve">the </w:t>
      </w:r>
      <w:r w:rsidR="00C1769D" w:rsidRPr="00A242A9">
        <w:rPr>
          <w:color w:val="000000" w:themeColor="text1"/>
          <w:sz w:val="20"/>
          <w:szCs w:val="20"/>
        </w:rPr>
        <w:t>Community of Portuguese-speaking Countries</w:t>
      </w:r>
      <w:r w:rsidR="003F63A6">
        <w:rPr>
          <w:color w:val="000000" w:themeColor="text1"/>
          <w:sz w:val="20"/>
          <w:szCs w:val="20"/>
        </w:rPr>
        <w:t xml:space="preserve">), </w:t>
      </w:r>
      <w:r w:rsidR="003F63A6" w:rsidRPr="003F63A6">
        <w:rPr>
          <w:color w:val="000000" w:themeColor="text1"/>
          <w:sz w:val="20"/>
          <w:szCs w:val="20"/>
        </w:rPr>
        <w:t>Bulgaria</w:t>
      </w:r>
      <w:r w:rsidR="003F63A6">
        <w:rPr>
          <w:color w:val="000000" w:themeColor="text1"/>
          <w:sz w:val="20"/>
          <w:szCs w:val="20"/>
        </w:rPr>
        <w:t>,</w:t>
      </w:r>
      <w:r w:rsidR="003F63A6" w:rsidRPr="003F63A6">
        <w:rPr>
          <w:color w:val="000000" w:themeColor="text1"/>
          <w:sz w:val="20"/>
          <w:szCs w:val="20"/>
        </w:rPr>
        <w:t xml:space="preserve"> Iraq</w:t>
      </w:r>
      <w:r w:rsidR="003F63A6">
        <w:rPr>
          <w:color w:val="000000" w:themeColor="text1"/>
          <w:sz w:val="20"/>
          <w:szCs w:val="20"/>
        </w:rPr>
        <w:t xml:space="preserve">, Japan, </w:t>
      </w:r>
      <w:r w:rsidR="003F63A6" w:rsidRPr="003F63A6">
        <w:rPr>
          <w:color w:val="000000" w:themeColor="text1"/>
          <w:sz w:val="20"/>
          <w:szCs w:val="20"/>
        </w:rPr>
        <w:t>Pakistan</w:t>
      </w:r>
      <w:r w:rsidR="003F63A6">
        <w:rPr>
          <w:color w:val="000000" w:themeColor="text1"/>
          <w:sz w:val="20"/>
          <w:szCs w:val="20"/>
        </w:rPr>
        <w:t xml:space="preserve">, </w:t>
      </w:r>
      <w:r w:rsidR="003F63A6" w:rsidRPr="003F63A6">
        <w:rPr>
          <w:color w:val="000000" w:themeColor="text1"/>
          <w:sz w:val="20"/>
          <w:szCs w:val="20"/>
        </w:rPr>
        <w:t xml:space="preserve">United Kingdom </w:t>
      </w:r>
      <w:r w:rsidR="003F63A6">
        <w:rPr>
          <w:color w:val="000000" w:themeColor="text1"/>
          <w:sz w:val="20"/>
          <w:szCs w:val="20"/>
        </w:rPr>
        <w:t>o</w:t>
      </w:r>
      <w:r w:rsidR="003F63A6" w:rsidRPr="003F63A6">
        <w:rPr>
          <w:color w:val="000000" w:themeColor="text1"/>
          <w:sz w:val="20"/>
          <w:szCs w:val="20"/>
        </w:rPr>
        <w:t>f Great Britain and Northern Ireland</w:t>
      </w:r>
      <w:r w:rsidR="003F63A6">
        <w:rPr>
          <w:color w:val="000000" w:themeColor="text1"/>
          <w:sz w:val="20"/>
          <w:szCs w:val="20"/>
        </w:rPr>
        <w:t xml:space="preserve">, </w:t>
      </w:r>
      <w:r w:rsidR="003F63A6" w:rsidRPr="003F63A6">
        <w:rPr>
          <w:color w:val="000000" w:themeColor="text1"/>
          <w:sz w:val="20"/>
          <w:szCs w:val="20"/>
        </w:rPr>
        <w:t>Uruguay</w:t>
      </w:r>
      <w:r w:rsidR="007A6680" w:rsidRPr="00765C40">
        <w:rPr>
          <w:color w:val="000000" w:themeColor="text1"/>
          <w:sz w:val="20"/>
          <w:szCs w:val="20"/>
          <w:lang w:val="en-GB"/>
        </w:rPr>
        <w:t>;</w:t>
      </w:r>
    </w:p>
    <w:p w14:paraId="3DB8280E" w14:textId="4CDAE213" w:rsidR="00E43D4E" w:rsidRDefault="00E43D4E" w:rsidP="00A02396">
      <w:pPr>
        <w:pStyle w:val="SingleTxtG"/>
        <w:ind w:firstLine="567"/>
        <w:rPr>
          <w:color w:val="000000" w:themeColor="text1"/>
          <w:sz w:val="20"/>
          <w:szCs w:val="20"/>
        </w:rPr>
      </w:pPr>
      <w:r w:rsidRPr="00765C40">
        <w:rPr>
          <w:color w:val="000000" w:themeColor="text1"/>
          <w:sz w:val="20"/>
          <w:szCs w:val="20"/>
        </w:rPr>
        <w:t>(b)</w:t>
      </w:r>
      <w:r w:rsidRPr="00765C40">
        <w:rPr>
          <w:color w:val="000000" w:themeColor="text1"/>
          <w:sz w:val="20"/>
          <w:szCs w:val="20"/>
        </w:rPr>
        <w:tab/>
      </w:r>
      <w:r w:rsidRPr="00765C40">
        <w:rPr>
          <w:color w:val="000000" w:themeColor="text1"/>
          <w:sz w:val="20"/>
          <w:szCs w:val="20"/>
          <w:lang w:val="en-GB"/>
        </w:rPr>
        <w:t>Representatives</w:t>
      </w:r>
      <w:r w:rsidRPr="00765C40">
        <w:rPr>
          <w:color w:val="000000" w:themeColor="text1"/>
          <w:sz w:val="20"/>
          <w:szCs w:val="20"/>
        </w:rPr>
        <w:t xml:space="preserve"> of observer States: </w:t>
      </w:r>
      <w:r w:rsidR="003F63A6" w:rsidRPr="003F63A6">
        <w:rPr>
          <w:color w:val="000000" w:themeColor="text1"/>
          <w:sz w:val="20"/>
          <w:szCs w:val="20"/>
        </w:rPr>
        <w:t>El Salvador</w:t>
      </w:r>
      <w:r w:rsidR="003F63A6">
        <w:rPr>
          <w:color w:val="000000" w:themeColor="text1"/>
          <w:sz w:val="20"/>
          <w:szCs w:val="20"/>
        </w:rPr>
        <w:t xml:space="preserve">, Israel, </w:t>
      </w:r>
      <w:r w:rsidR="003F63A6" w:rsidRPr="003F63A6">
        <w:rPr>
          <w:color w:val="000000" w:themeColor="text1"/>
          <w:sz w:val="20"/>
          <w:szCs w:val="20"/>
        </w:rPr>
        <w:t>Montenegro</w:t>
      </w:r>
      <w:r w:rsidR="003F63A6">
        <w:rPr>
          <w:color w:val="000000" w:themeColor="text1"/>
          <w:sz w:val="20"/>
          <w:szCs w:val="20"/>
        </w:rPr>
        <w:t xml:space="preserve">, </w:t>
      </w:r>
      <w:r w:rsidR="003F63A6" w:rsidRPr="003F63A6">
        <w:rPr>
          <w:color w:val="000000" w:themeColor="text1"/>
          <w:sz w:val="20"/>
          <w:szCs w:val="20"/>
        </w:rPr>
        <w:t>Myanmar</w:t>
      </w:r>
      <w:r w:rsidR="00A02396" w:rsidRPr="00765C40">
        <w:rPr>
          <w:color w:val="000000" w:themeColor="text1"/>
          <w:sz w:val="20"/>
          <w:szCs w:val="20"/>
        </w:rPr>
        <w:t>;</w:t>
      </w:r>
    </w:p>
    <w:p w14:paraId="7DDA1F96" w14:textId="3424502A" w:rsidR="002355F1" w:rsidRPr="0067399B" w:rsidRDefault="002355F1" w:rsidP="002355F1">
      <w:pPr>
        <w:pStyle w:val="SingleTxtG"/>
        <w:ind w:firstLine="567"/>
        <w:rPr>
          <w:color w:val="000000" w:themeColor="text1"/>
          <w:sz w:val="20"/>
          <w:szCs w:val="20"/>
        </w:rPr>
      </w:pPr>
      <w:r w:rsidRPr="0067399B">
        <w:rPr>
          <w:color w:val="000000" w:themeColor="text1"/>
          <w:sz w:val="20"/>
          <w:szCs w:val="20"/>
        </w:rPr>
        <w:t>(</w:t>
      </w:r>
      <w:r>
        <w:rPr>
          <w:color w:val="000000" w:themeColor="text1"/>
          <w:sz w:val="20"/>
          <w:szCs w:val="20"/>
        </w:rPr>
        <w:t>c</w:t>
      </w:r>
      <w:r w:rsidRPr="0067399B">
        <w:rPr>
          <w:color w:val="000000" w:themeColor="text1"/>
          <w:sz w:val="20"/>
          <w:szCs w:val="20"/>
        </w:rPr>
        <w:t>)</w:t>
      </w:r>
      <w:r w:rsidRPr="0067399B">
        <w:rPr>
          <w:color w:val="000000" w:themeColor="text1"/>
          <w:sz w:val="20"/>
          <w:szCs w:val="20"/>
        </w:rPr>
        <w:tab/>
        <w:t xml:space="preserve">Observer for a national human rights institution: </w:t>
      </w:r>
      <w:r w:rsidRPr="002355F1">
        <w:rPr>
          <w:color w:val="000000" w:themeColor="text1"/>
          <w:sz w:val="20"/>
          <w:szCs w:val="20"/>
        </w:rPr>
        <w:t xml:space="preserve">Indonesia National Commission on Human Rights </w:t>
      </w:r>
      <w:r w:rsidR="00E6509F">
        <w:rPr>
          <w:color w:val="000000" w:themeColor="text1"/>
          <w:sz w:val="20"/>
          <w:szCs w:val="20"/>
        </w:rPr>
        <w:t>(</w:t>
      </w:r>
      <w:r w:rsidRPr="002355F1">
        <w:rPr>
          <w:color w:val="000000" w:themeColor="text1"/>
          <w:sz w:val="20"/>
          <w:szCs w:val="20"/>
        </w:rPr>
        <w:t>Komnas HAM</w:t>
      </w:r>
      <w:r w:rsidR="00E6509F">
        <w:rPr>
          <w:color w:val="000000" w:themeColor="text1"/>
          <w:sz w:val="20"/>
          <w:szCs w:val="20"/>
        </w:rPr>
        <w:t>)</w:t>
      </w:r>
      <w:r w:rsidRPr="0067399B">
        <w:rPr>
          <w:color w:val="000000" w:themeColor="text1"/>
          <w:sz w:val="20"/>
          <w:szCs w:val="20"/>
        </w:rPr>
        <w:t xml:space="preserve">; </w:t>
      </w:r>
    </w:p>
    <w:p w14:paraId="5CE567F7" w14:textId="22C34CED" w:rsidR="00E43D4E" w:rsidRPr="00765C40" w:rsidRDefault="00E43D4E" w:rsidP="007A6680">
      <w:pPr>
        <w:pStyle w:val="SingleTxtG"/>
        <w:ind w:firstLine="567"/>
        <w:rPr>
          <w:color w:val="000000" w:themeColor="text1"/>
          <w:sz w:val="20"/>
          <w:szCs w:val="20"/>
        </w:rPr>
      </w:pPr>
      <w:r w:rsidRPr="00765C40">
        <w:rPr>
          <w:color w:val="000000" w:themeColor="text1"/>
          <w:sz w:val="20"/>
          <w:szCs w:val="20"/>
        </w:rPr>
        <w:t>(</w:t>
      </w:r>
      <w:r w:rsidR="002355F1">
        <w:rPr>
          <w:color w:val="000000" w:themeColor="text1"/>
          <w:sz w:val="20"/>
          <w:szCs w:val="20"/>
        </w:rPr>
        <w:t>d</w:t>
      </w:r>
      <w:r w:rsidRPr="00765C40">
        <w:rPr>
          <w:color w:val="000000" w:themeColor="text1"/>
          <w:sz w:val="20"/>
          <w:szCs w:val="20"/>
        </w:rPr>
        <w:t>)</w:t>
      </w:r>
      <w:r w:rsidRPr="00765C40">
        <w:rPr>
          <w:color w:val="000000" w:themeColor="text1"/>
          <w:sz w:val="20"/>
          <w:szCs w:val="20"/>
        </w:rPr>
        <w:tab/>
      </w:r>
      <w:r w:rsidRPr="00765C40">
        <w:rPr>
          <w:color w:val="000000" w:themeColor="text1"/>
          <w:sz w:val="20"/>
          <w:szCs w:val="20"/>
          <w:lang w:val="en-GB"/>
        </w:rPr>
        <w:t>Observers</w:t>
      </w:r>
      <w:r w:rsidRPr="00765C40">
        <w:rPr>
          <w:color w:val="000000" w:themeColor="text1"/>
          <w:sz w:val="20"/>
          <w:szCs w:val="20"/>
        </w:rPr>
        <w:t xml:space="preserve"> for non-governmental organizations: </w:t>
      </w:r>
      <w:r w:rsidR="002355F1" w:rsidRPr="002355F1">
        <w:rPr>
          <w:color w:val="000000" w:themeColor="text1"/>
          <w:sz w:val="20"/>
          <w:szCs w:val="20"/>
        </w:rPr>
        <w:t xml:space="preserve">International Volunteerism Organization for Women, Education and Development </w:t>
      </w:r>
      <w:r w:rsidR="002355F1">
        <w:rPr>
          <w:color w:val="000000" w:themeColor="text1"/>
          <w:sz w:val="20"/>
          <w:szCs w:val="20"/>
        </w:rPr>
        <w:t>–</w:t>
      </w:r>
      <w:r w:rsidR="002355F1" w:rsidRPr="002355F1">
        <w:rPr>
          <w:color w:val="000000" w:themeColor="text1"/>
          <w:sz w:val="20"/>
          <w:szCs w:val="20"/>
        </w:rPr>
        <w:t xml:space="preserve"> VIDES</w:t>
      </w:r>
      <w:r w:rsidR="002355F1">
        <w:rPr>
          <w:color w:val="000000" w:themeColor="text1"/>
          <w:sz w:val="20"/>
          <w:szCs w:val="20"/>
        </w:rPr>
        <w:t xml:space="preserve">; </w:t>
      </w:r>
      <w:r w:rsidR="002355F1" w:rsidRPr="002355F1">
        <w:rPr>
          <w:color w:val="000000" w:themeColor="text1"/>
          <w:sz w:val="20"/>
          <w:szCs w:val="20"/>
        </w:rPr>
        <w:t>Plan International, Inc.</w:t>
      </w:r>
      <w:r w:rsidR="002355F1">
        <w:rPr>
          <w:color w:val="000000" w:themeColor="text1"/>
          <w:sz w:val="20"/>
          <w:szCs w:val="20"/>
        </w:rPr>
        <w:t xml:space="preserve"> (also on behalf of </w:t>
      </w:r>
      <w:r w:rsidR="002355F1" w:rsidRPr="002355F1">
        <w:rPr>
          <w:color w:val="000000" w:themeColor="text1"/>
          <w:sz w:val="20"/>
          <w:szCs w:val="20"/>
        </w:rPr>
        <w:t xml:space="preserve">Center for Reproductive Rights, Inc., </w:t>
      </w:r>
      <w:proofErr w:type="gramStart"/>
      <w:r w:rsidR="002355F1" w:rsidRPr="002355F1">
        <w:rPr>
          <w:color w:val="000000" w:themeColor="text1"/>
          <w:sz w:val="20"/>
          <w:szCs w:val="20"/>
        </w:rPr>
        <w:t>The</w:t>
      </w:r>
      <w:proofErr w:type="gramEnd"/>
      <w:r w:rsidR="002355F1">
        <w:rPr>
          <w:color w:val="000000" w:themeColor="text1"/>
          <w:sz w:val="20"/>
          <w:szCs w:val="20"/>
        </w:rPr>
        <w:t xml:space="preserve">; </w:t>
      </w:r>
      <w:r w:rsidR="002355F1" w:rsidRPr="002355F1">
        <w:rPr>
          <w:color w:val="000000" w:themeColor="text1"/>
          <w:sz w:val="20"/>
          <w:szCs w:val="20"/>
        </w:rPr>
        <w:t>Defence for Children International</w:t>
      </w:r>
      <w:r w:rsidR="002355F1">
        <w:rPr>
          <w:color w:val="000000" w:themeColor="text1"/>
          <w:sz w:val="20"/>
          <w:szCs w:val="20"/>
        </w:rPr>
        <w:t xml:space="preserve">; </w:t>
      </w:r>
      <w:r w:rsidR="002355F1" w:rsidRPr="002355F1">
        <w:rPr>
          <w:color w:val="000000" w:themeColor="text1"/>
          <w:sz w:val="20"/>
          <w:szCs w:val="20"/>
        </w:rPr>
        <w:t>International Planned Parenthood Federation</w:t>
      </w:r>
      <w:r w:rsidR="002355F1">
        <w:rPr>
          <w:color w:val="000000" w:themeColor="text1"/>
          <w:sz w:val="20"/>
          <w:szCs w:val="20"/>
        </w:rPr>
        <w:t xml:space="preserve"> and </w:t>
      </w:r>
      <w:r w:rsidR="002355F1" w:rsidRPr="002355F1">
        <w:rPr>
          <w:color w:val="000000" w:themeColor="text1"/>
          <w:sz w:val="20"/>
          <w:szCs w:val="20"/>
        </w:rPr>
        <w:t>Save the Children International</w:t>
      </w:r>
      <w:r w:rsidR="002355F1">
        <w:rPr>
          <w:color w:val="000000" w:themeColor="text1"/>
          <w:sz w:val="20"/>
          <w:szCs w:val="20"/>
        </w:rPr>
        <w:t>)</w:t>
      </w:r>
      <w:r w:rsidRPr="00765C40">
        <w:rPr>
          <w:color w:val="000000" w:themeColor="text1"/>
          <w:sz w:val="20"/>
          <w:szCs w:val="20"/>
        </w:rPr>
        <w:t>.</w:t>
      </w:r>
    </w:p>
    <w:p w14:paraId="67D2687D" w14:textId="6EE44EF6" w:rsidR="00E43D4E" w:rsidRPr="00765C40" w:rsidRDefault="009B6FCB" w:rsidP="00E43D4E">
      <w:pPr>
        <w:pStyle w:val="SingleTxtG"/>
        <w:rPr>
          <w:color w:val="000000" w:themeColor="text1"/>
          <w:sz w:val="20"/>
          <w:szCs w:val="20"/>
        </w:rPr>
      </w:pPr>
      <w:r>
        <w:rPr>
          <w:color w:val="000000" w:themeColor="text1"/>
          <w:sz w:val="20"/>
          <w:szCs w:val="20"/>
        </w:rPr>
        <w:t>93</w:t>
      </w:r>
      <w:r w:rsidR="00E43D4E" w:rsidRPr="00765C40">
        <w:rPr>
          <w:color w:val="000000" w:themeColor="text1"/>
          <w:sz w:val="20"/>
          <w:szCs w:val="20"/>
        </w:rPr>
        <w:t>.</w:t>
      </w:r>
      <w:r w:rsidR="00E43D4E" w:rsidRPr="00765C40">
        <w:rPr>
          <w:color w:val="000000" w:themeColor="text1"/>
          <w:sz w:val="20"/>
          <w:szCs w:val="20"/>
        </w:rPr>
        <w:tab/>
        <w:t>At the same meeting, the panellists answered questions and made their concluding remarks.</w:t>
      </w:r>
    </w:p>
    <w:p w14:paraId="395C174B" w14:textId="795DE2C6" w:rsidR="00E43D4E" w:rsidRPr="00765C40" w:rsidRDefault="009B6FCB" w:rsidP="00E43D4E">
      <w:pPr>
        <w:pStyle w:val="SingleTxtG"/>
        <w:rPr>
          <w:color w:val="000000" w:themeColor="text1"/>
          <w:sz w:val="20"/>
          <w:szCs w:val="20"/>
        </w:rPr>
      </w:pPr>
      <w:r>
        <w:rPr>
          <w:color w:val="000000" w:themeColor="text1"/>
          <w:sz w:val="20"/>
          <w:szCs w:val="20"/>
        </w:rPr>
        <w:t>94</w:t>
      </w:r>
      <w:r w:rsidR="00E43D4E" w:rsidRPr="00765C40">
        <w:rPr>
          <w:color w:val="000000" w:themeColor="text1"/>
          <w:sz w:val="20"/>
          <w:szCs w:val="20"/>
        </w:rPr>
        <w:t>.</w:t>
      </w:r>
      <w:r w:rsidR="00E43D4E" w:rsidRPr="00765C40">
        <w:rPr>
          <w:color w:val="000000" w:themeColor="text1"/>
          <w:sz w:val="20"/>
          <w:szCs w:val="20"/>
        </w:rPr>
        <w:tab/>
        <w:t>The second panel discussion was held at the 1</w:t>
      </w:r>
      <w:r w:rsidR="001F1C89">
        <w:rPr>
          <w:color w:val="000000" w:themeColor="text1"/>
          <w:sz w:val="20"/>
          <w:szCs w:val="20"/>
        </w:rPr>
        <w:t>6</w:t>
      </w:r>
      <w:r w:rsidR="00E43D4E" w:rsidRPr="00765C40">
        <w:rPr>
          <w:color w:val="000000" w:themeColor="text1"/>
          <w:sz w:val="20"/>
          <w:szCs w:val="20"/>
        </w:rPr>
        <w:t>th meeting, on the same day. The topic of discussion was “</w:t>
      </w:r>
      <w:r w:rsidR="009F49C6" w:rsidRPr="009F49C6">
        <w:rPr>
          <w:color w:val="000000" w:themeColor="text1"/>
          <w:sz w:val="20"/>
          <w:szCs w:val="20"/>
        </w:rPr>
        <w:t>Including children with disabilities in education settings: good practices and accountability</w:t>
      </w:r>
      <w:r w:rsidR="009F49C6">
        <w:rPr>
          <w:color w:val="000000" w:themeColor="text1"/>
          <w:sz w:val="20"/>
          <w:szCs w:val="20"/>
        </w:rPr>
        <w:t>.</w:t>
      </w:r>
      <w:r w:rsidR="00E43D4E" w:rsidRPr="00765C40">
        <w:rPr>
          <w:color w:val="000000" w:themeColor="text1"/>
          <w:sz w:val="20"/>
          <w:szCs w:val="20"/>
        </w:rPr>
        <w:t xml:space="preserve">” </w:t>
      </w:r>
      <w:r w:rsidR="009F49C6">
        <w:rPr>
          <w:color w:val="000000" w:themeColor="text1"/>
          <w:sz w:val="20"/>
          <w:szCs w:val="20"/>
        </w:rPr>
        <w:t xml:space="preserve">The </w:t>
      </w:r>
      <w:r w:rsidR="009F49C6" w:rsidRPr="009F49C6">
        <w:rPr>
          <w:color w:val="000000" w:themeColor="text1"/>
          <w:sz w:val="20"/>
          <w:szCs w:val="20"/>
        </w:rPr>
        <w:t>Ambassador and Head of the European Union Delegation to the United Nations Office and other international organizations in Geneva</w:t>
      </w:r>
      <w:r w:rsidR="00E43D4E" w:rsidRPr="00765C40">
        <w:rPr>
          <w:color w:val="000000" w:themeColor="text1"/>
          <w:sz w:val="20"/>
          <w:szCs w:val="20"/>
        </w:rPr>
        <w:t xml:space="preserve">, </w:t>
      </w:r>
      <w:r w:rsidR="009F49C6" w:rsidRPr="009F49C6">
        <w:rPr>
          <w:color w:val="000000" w:themeColor="text1"/>
          <w:sz w:val="20"/>
          <w:szCs w:val="20"/>
        </w:rPr>
        <w:t>Walter Stevens,</w:t>
      </w:r>
      <w:r w:rsidR="009F49C6">
        <w:rPr>
          <w:color w:val="000000" w:themeColor="text1"/>
          <w:sz w:val="20"/>
          <w:szCs w:val="20"/>
        </w:rPr>
        <w:t xml:space="preserve"> </w:t>
      </w:r>
      <w:r w:rsidR="00E43D4E" w:rsidRPr="00765C40">
        <w:rPr>
          <w:color w:val="000000" w:themeColor="text1"/>
          <w:sz w:val="20"/>
          <w:szCs w:val="20"/>
        </w:rPr>
        <w:t>moderated the discussion for the panel.</w:t>
      </w:r>
    </w:p>
    <w:p w14:paraId="1CF66D11" w14:textId="535D2479" w:rsidR="00E43D4E" w:rsidRPr="00765C40" w:rsidRDefault="009B6FCB" w:rsidP="00E43D4E">
      <w:pPr>
        <w:spacing w:after="120"/>
        <w:ind w:left="1134" w:right="1134"/>
        <w:jc w:val="both"/>
        <w:rPr>
          <w:color w:val="000000" w:themeColor="text1"/>
          <w:sz w:val="20"/>
          <w:szCs w:val="20"/>
        </w:rPr>
      </w:pPr>
      <w:r>
        <w:rPr>
          <w:color w:val="000000" w:themeColor="text1"/>
          <w:sz w:val="20"/>
          <w:szCs w:val="20"/>
        </w:rPr>
        <w:t>95</w:t>
      </w:r>
      <w:r w:rsidR="00E43D4E" w:rsidRPr="00765C40">
        <w:rPr>
          <w:color w:val="000000" w:themeColor="text1"/>
          <w:sz w:val="20"/>
          <w:szCs w:val="20"/>
        </w:rPr>
        <w:t>. At the same meeting, the following panellists made statements:</w:t>
      </w:r>
      <w:r w:rsidR="00FE6B87" w:rsidRPr="00765C40">
        <w:rPr>
          <w:color w:val="000000" w:themeColor="text1"/>
          <w:sz w:val="20"/>
          <w:szCs w:val="20"/>
        </w:rPr>
        <w:t xml:space="preserve"> </w:t>
      </w:r>
      <w:r w:rsidR="009F49C6">
        <w:rPr>
          <w:color w:val="000000" w:themeColor="text1"/>
          <w:sz w:val="20"/>
          <w:szCs w:val="20"/>
        </w:rPr>
        <w:t xml:space="preserve">the </w:t>
      </w:r>
      <w:r w:rsidR="009F49C6" w:rsidRPr="009F49C6">
        <w:rPr>
          <w:color w:val="000000" w:themeColor="text1"/>
          <w:sz w:val="20"/>
          <w:szCs w:val="20"/>
        </w:rPr>
        <w:t>Special Envoy of the Secretary-General on Disability and Accessibility</w:t>
      </w:r>
      <w:r w:rsidR="009F49C6">
        <w:rPr>
          <w:color w:val="000000" w:themeColor="text1"/>
          <w:sz w:val="20"/>
          <w:szCs w:val="20"/>
        </w:rPr>
        <w:t xml:space="preserve">, </w:t>
      </w:r>
      <w:r w:rsidR="009F49C6" w:rsidRPr="009F49C6">
        <w:rPr>
          <w:color w:val="000000" w:themeColor="text1"/>
          <w:sz w:val="20"/>
          <w:szCs w:val="20"/>
        </w:rPr>
        <w:t>María Soledad Cisternas Reyes</w:t>
      </w:r>
      <w:r w:rsidR="009F49C6">
        <w:rPr>
          <w:color w:val="000000" w:themeColor="text1"/>
          <w:sz w:val="20"/>
          <w:szCs w:val="20"/>
        </w:rPr>
        <w:t xml:space="preserve">; the </w:t>
      </w:r>
      <w:r w:rsidR="009F49C6" w:rsidRPr="009F49C6">
        <w:rPr>
          <w:color w:val="000000" w:themeColor="text1"/>
          <w:sz w:val="20"/>
          <w:szCs w:val="20"/>
        </w:rPr>
        <w:t>Regional Director for Europe and Central Asia</w:t>
      </w:r>
      <w:r w:rsidR="00A631FA">
        <w:rPr>
          <w:color w:val="000000" w:themeColor="text1"/>
          <w:sz w:val="20"/>
          <w:szCs w:val="20"/>
        </w:rPr>
        <w:t xml:space="preserve"> of the</w:t>
      </w:r>
      <w:r w:rsidR="009F49C6" w:rsidRPr="009F49C6">
        <w:rPr>
          <w:color w:val="000000" w:themeColor="text1"/>
          <w:sz w:val="20"/>
          <w:szCs w:val="20"/>
        </w:rPr>
        <w:t xml:space="preserve"> United Nations Children</w:t>
      </w:r>
      <w:r w:rsidR="00D72627">
        <w:rPr>
          <w:color w:val="000000" w:themeColor="text1"/>
          <w:sz w:val="20"/>
          <w:szCs w:val="20"/>
        </w:rPr>
        <w:t>’</w:t>
      </w:r>
      <w:r w:rsidR="009F49C6" w:rsidRPr="009F49C6">
        <w:rPr>
          <w:color w:val="000000" w:themeColor="text1"/>
          <w:sz w:val="20"/>
          <w:szCs w:val="20"/>
        </w:rPr>
        <w:t>s Fund (UNICEF)</w:t>
      </w:r>
      <w:r w:rsidR="009F49C6">
        <w:rPr>
          <w:color w:val="000000" w:themeColor="text1"/>
          <w:sz w:val="20"/>
          <w:szCs w:val="20"/>
        </w:rPr>
        <w:t xml:space="preserve">, Afshan Khan and the </w:t>
      </w:r>
      <w:r w:rsidR="009F49C6" w:rsidRPr="009F49C6">
        <w:rPr>
          <w:color w:val="000000" w:themeColor="text1"/>
          <w:sz w:val="20"/>
          <w:szCs w:val="20"/>
        </w:rPr>
        <w:t>Education Director</w:t>
      </w:r>
      <w:r w:rsidR="009F49C6">
        <w:rPr>
          <w:color w:val="000000" w:themeColor="text1"/>
          <w:sz w:val="20"/>
          <w:szCs w:val="20"/>
        </w:rPr>
        <w:t xml:space="preserve"> of</w:t>
      </w:r>
      <w:r w:rsidR="009F49C6" w:rsidRPr="009F49C6">
        <w:rPr>
          <w:color w:val="000000" w:themeColor="text1"/>
          <w:sz w:val="20"/>
          <w:szCs w:val="20"/>
        </w:rPr>
        <w:t xml:space="preserve"> Save the Children Bangladesh</w:t>
      </w:r>
      <w:r w:rsidR="009F49C6">
        <w:rPr>
          <w:color w:val="000000" w:themeColor="text1"/>
          <w:sz w:val="20"/>
          <w:szCs w:val="20"/>
        </w:rPr>
        <w:t xml:space="preserve">, </w:t>
      </w:r>
      <w:r w:rsidR="009F49C6" w:rsidRPr="009F49C6">
        <w:rPr>
          <w:color w:val="000000" w:themeColor="text1"/>
          <w:sz w:val="20"/>
          <w:szCs w:val="20"/>
        </w:rPr>
        <w:t>Bushra Zulfiqar</w:t>
      </w:r>
      <w:r w:rsidR="00E43D4E" w:rsidRPr="00765C40">
        <w:rPr>
          <w:color w:val="000000" w:themeColor="text1"/>
          <w:sz w:val="20"/>
          <w:szCs w:val="20"/>
        </w:rPr>
        <w:t xml:space="preserve">. </w:t>
      </w:r>
      <w:r w:rsidR="00AD3E56" w:rsidRPr="006F74BD">
        <w:rPr>
          <w:color w:val="000000" w:themeColor="text1"/>
          <w:sz w:val="20"/>
          <w:szCs w:val="20"/>
        </w:rPr>
        <w:t xml:space="preserve">The Council then </w:t>
      </w:r>
      <w:r w:rsidR="00AD3E56">
        <w:rPr>
          <w:color w:val="000000" w:themeColor="text1"/>
          <w:sz w:val="20"/>
          <w:szCs w:val="20"/>
        </w:rPr>
        <w:t>viewed</w:t>
      </w:r>
      <w:r w:rsidR="00AD3E56" w:rsidRPr="006F74BD">
        <w:rPr>
          <w:color w:val="000000" w:themeColor="text1"/>
          <w:sz w:val="20"/>
          <w:szCs w:val="20"/>
        </w:rPr>
        <w:t xml:space="preserve"> a video with </w:t>
      </w:r>
      <w:r w:rsidR="00AD3E56" w:rsidRPr="00AD3E56">
        <w:rPr>
          <w:color w:val="000000" w:themeColor="text1"/>
          <w:sz w:val="20"/>
          <w:szCs w:val="20"/>
        </w:rPr>
        <w:t>10 Principles of Good Treatment of Children with Disabilitie</w:t>
      </w:r>
      <w:r w:rsidR="00AD3E56">
        <w:rPr>
          <w:color w:val="000000" w:themeColor="text1"/>
          <w:sz w:val="20"/>
          <w:szCs w:val="20"/>
        </w:rPr>
        <w:t>s</w:t>
      </w:r>
      <w:r w:rsidR="00AD3E56" w:rsidRPr="006F74BD">
        <w:rPr>
          <w:color w:val="000000" w:themeColor="text1"/>
          <w:sz w:val="20"/>
          <w:szCs w:val="20"/>
        </w:rPr>
        <w:t>, produced by the United Nations Children</w:t>
      </w:r>
      <w:r w:rsidR="00D72627">
        <w:rPr>
          <w:color w:val="000000" w:themeColor="text1"/>
          <w:sz w:val="20"/>
          <w:szCs w:val="20"/>
        </w:rPr>
        <w:t>’</w:t>
      </w:r>
      <w:r w:rsidR="00AD3E56" w:rsidRPr="006F74BD">
        <w:rPr>
          <w:color w:val="000000" w:themeColor="text1"/>
          <w:sz w:val="20"/>
          <w:szCs w:val="20"/>
        </w:rPr>
        <w:t>s Fund</w:t>
      </w:r>
      <w:r w:rsidR="00AD3E56">
        <w:rPr>
          <w:color w:val="000000" w:themeColor="text1"/>
          <w:sz w:val="20"/>
          <w:szCs w:val="20"/>
        </w:rPr>
        <w:t>.</w:t>
      </w:r>
      <w:r w:rsidR="00AD3E56" w:rsidRPr="00765C40">
        <w:rPr>
          <w:color w:val="000000" w:themeColor="text1"/>
          <w:sz w:val="20"/>
          <w:szCs w:val="20"/>
        </w:rPr>
        <w:t xml:space="preserve"> </w:t>
      </w:r>
      <w:r w:rsidR="00E43D4E" w:rsidRPr="00765C40">
        <w:rPr>
          <w:color w:val="000000" w:themeColor="text1"/>
          <w:sz w:val="20"/>
          <w:szCs w:val="20"/>
        </w:rPr>
        <w:t>The Council divided the second panel discussion into two slots, both held at the 1</w:t>
      </w:r>
      <w:r w:rsidR="009F49C6">
        <w:rPr>
          <w:color w:val="000000" w:themeColor="text1"/>
          <w:sz w:val="20"/>
          <w:szCs w:val="20"/>
        </w:rPr>
        <w:t>6</w:t>
      </w:r>
      <w:r w:rsidR="00E43D4E" w:rsidRPr="00765C40">
        <w:rPr>
          <w:color w:val="000000" w:themeColor="text1"/>
          <w:sz w:val="20"/>
          <w:szCs w:val="20"/>
        </w:rPr>
        <w:t>th meeting, on the same day.</w:t>
      </w:r>
    </w:p>
    <w:p w14:paraId="34C2F054" w14:textId="0707FBD4" w:rsidR="00E43D4E" w:rsidRPr="00765C40" w:rsidRDefault="009B6FCB" w:rsidP="00E43D4E">
      <w:pPr>
        <w:spacing w:after="120"/>
        <w:ind w:left="1134" w:right="1134"/>
        <w:jc w:val="both"/>
        <w:rPr>
          <w:color w:val="000000" w:themeColor="text1"/>
          <w:sz w:val="20"/>
          <w:szCs w:val="20"/>
        </w:rPr>
      </w:pPr>
      <w:r>
        <w:rPr>
          <w:color w:val="000000" w:themeColor="text1"/>
          <w:sz w:val="20"/>
          <w:szCs w:val="20"/>
        </w:rPr>
        <w:t>96</w:t>
      </w:r>
      <w:r w:rsidR="00E43D4E" w:rsidRPr="00765C40">
        <w:rPr>
          <w:color w:val="000000" w:themeColor="text1"/>
          <w:sz w:val="20"/>
          <w:szCs w:val="20"/>
        </w:rPr>
        <w:t>.</w:t>
      </w:r>
      <w:r w:rsidR="00E43D4E" w:rsidRPr="00765C40">
        <w:rPr>
          <w:color w:val="000000" w:themeColor="text1"/>
          <w:sz w:val="20"/>
          <w:szCs w:val="20"/>
        </w:rPr>
        <w:tab/>
        <w:t>During the ensuing panel discussion for the first slot of the second panel, at the same meeting, the following made statements and asked the panellists questions:</w:t>
      </w:r>
    </w:p>
    <w:p w14:paraId="358AA779" w14:textId="49B731C1" w:rsidR="00E43D4E" w:rsidRPr="00765C40" w:rsidRDefault="00E43D4E" w:rsidP="00E43D4E">
      <w:pPr>
        <w:spacing w:after="120"/>
        <w:ind w:left="1134" w:right="1134" w:firstLine="567"/>
        <w:jc w:val="both"/>
        <w:rPr>
          <w:color w:val="000000" w:themeColor="text1"/>
          <w:sz w:val="20"/>
          <w:szCs w:val="20"/>
        </w:rPr>
      </w:pPr>
      <w:r w:rsidRPr="00765C40">
        <w:rPr>
          <w:color w:val="000000" w:themeColor="text1"/>
          <w:sz w:val="20"/>
          <w:szCs w:val="20"/>
        </w:rPr>
        <w:t>(a)</w:t>
      </w:r>
      <w:r w:rsidRPr="00765C40">
        <w:rPr>
          <w:color w:val="000000" w:themeColor="text1"/>
          <w:sz w:val="20"/>
          <w:szCs w:val="20"/>
        </w:rPr>
        <w:tab/>
        <w:t xml:space="preserve">Representatives of </w:t>
      </w:r>
      <w:r w:rsidR="005D3E5F" w:rsidRPr="00765C40">
        <w:rPr>
          <w:color w:val="000000" w:themeColor="text1"/>
          <w:sz w:val="20"/>
          <w:szCs w:val="20"/>
        </w:rPr>
        <w:t>States Members</w:t>
      </w:r>
      <w:r w:rsidRPr="00765C40">
        <w:rPr>
          <w:color w:val="000000" w:themeColor="text1"/>
          <w:sz w:val="20"/>
          <w:szCs w:val="20"/>
        </w:rPr>
        <w:t xml:space="preserve"> of the Human Rights Council: </w:t>
      </w:r>
      <w:r w:rsidR="006B25E1" w:rsidRPr="006B25E1">
        <w:rPr>
          <w:color w:val="000000" w:themeColor="text1"/>
          <w:sz w:val="20"/>
          <w:szCs w:val="20"/>
        </w:rPr>
        <w:t xml:space="preserve">Angola </w:t>
      </w:r>
      <w:r w:rsidR="006B25E1">
        <w:rPr>
          <w:color w:val="000000" w:themeColor="text1"/>
          <w:sz w:val="20"/>
          <w:szCs w:val="20"/>
        </w:rPr>
        <w:t>(</w:t>
      </w:r>
      <w:r w:rsidR="006B25E1" w:rsidRPr="00A8596E">
        <w:rPr>
          <w:color w:val="000000" w:themeColor="text1"/>
          <w:sz w:val="20"/>
          <w:szCs w:val="20"/>
        </w:rPr>
        <w:t xml:space="preserve">on behalf of </w:t>
      </w:r>
      <w:r w:rsidR="006B25E1" w:rsidRPr="00544A55">
        <w:rPr>
          <w:color w:val="000000" w:themeColor="text1"/>
          <w:sz w:val="20"/>
          <w:szCs w:val="20"/>
        </w:rPr>
        <w:t>the Group of African States</w:t>
      </w:r>
      <w:r w:rsidR="006B25E1">
        <w:rPr>
          <w:color w:val="000000" w:themeColor="text1"/>
          <w:sz w:val="20"/>
          <w:szCs w:val="20"/>
        </w:rPr>
        <w:t>),</w:t>
      </w:r>
      <w:r w:rsidR="006B25E1" w:rsidRPr="006B25E1">
        <w:rPr>
          <w:color w:val="000000" w:themeColor="text1"/>
          <w:sz w:val="20"/>
          <w:szCs w:val="20"/>
        </w:rPr>
        <w:t xml:space="preserve"> Italy</w:t>
      </w:r>
      <w:r w:rsidR="006B25E1">
        <w:rPr>
          <w:color w:val="000000" w:themeColor="text1"/>
          <w:sz w:val="20"/>
          <w:szCs w:val="20"/>
        </w:rPr>
        <w:t xml:space="preserve">, </w:t>
      </w:r>
      <w:r w:rsidR="006B25E1" w:rsidRPr="006B25E1">
        <w:rPr>
          <w:color w:val="000000" w:themeColor="text1"/>
          <w:sz w:val="20"/>
          <w:szCs w:val="20"/>
        </w:rPr>
        <w:t>Mexico</w:t>
      </w:r>
      <w:r w:rsidR="006B25E1">
        <w:rPr>
          <w:color w:val="000000" w:themeColor="text1"/>
          <w:sz w:val="20"/>
          <w:szCs w:val="20"/>
        </w:rPr>
        <w:t xml:space="preserve">, </w:t>
      </w:r>
      <w:r w:rsidR="006B25E1" w:rsidRPr="006B25E1">
        <w:rPr>
          <w:color w:val="000000" w:themeColor="text1"/>
          <w:sz w:val="20"/>
          <w:szCs w:val="20"/>
        </w:rPr>
        <w:t>Qatar</w:t>
      </w:r>
      <w:r w:rsidR="006B25E1">
        <w:rPr>
          <w:color w:val="000000" w:themeColor="text1"/>
          <w:sz w:val="20"/>
          <w:szCs w:val="20"/>
        </w:rPr>
        <w:t>,</w:t>
      </w:r>
      <w:r w:rsidR="006B25E1" w:rsidRPr="006B25E1">
        <w:rPr>
          <w:color w:val="000000" w:themeColor="text1"/>
          <w:sz w:val="20"/>
          <w:szCs w:val="20"/>
        </w:rPr>
        <w:t xml:space="preserve"> Saudi Arabia</w:t>
      </w:r>
      <w:r w:rsidRPr="00765C40">
        <w:rPr>
          <w:color w:val="000000" w:themeColor="text1"/>
          <w:sz w:val="20"/>
          <w:szCs w:val="20"/>
        </w:rPr>
        <w:t>;</w:t>
      </w:r>
    </w:p>
    <w:p w14:paraId="2347A872" w14:textId="04471C75" w:rsidR="00E43D4E" w:rsidRPr="00765C40" w:rsidRDefault="00E43D4E" w:rsidP="00E43D4E">
      <w:pPr>
        <w:spacing w:after="120"/>
        <w:ind w:left="1134" w:right="1134" w:firstLine="567"/>
        <w:jc w:val="both"/>
        <w:rPr>
          <w:color w:val="000000" w:themeColor="text1"/>
          <w:sz w:val="20"/>
          <w:szCs w:val="20"/>
        </w:rPr>
      </w:pPr>
      <w:r w:rsidRPr="00765C40">
        <w:rPr>
          <w:color w:val="000000" w:themeColor="text1"/>
          <w:sz w:val="20"/>
          <w:szCs w:val="20"/>
        </w:rPr>
        <w:t>(b)</w:t>
      </w:r>
      <w:r w:rsidRPr="00765C40">
        <w:rPr>
          <w:color w:val="000000" w:themeColor="text1"/>
          <w:sz w:val="20"/>
          <w:szCs w:val="20"/>
        </w:rPr>
        <w:tab/>
        <w:t xml:space="preserve">Representatives of observer States: </w:t>
      </w:r>
      <w:r w:rsidR="006B25E1" w:rsidRPr="006B25E1">
        <w:rPr>
          <w:color w:val="000000" w:themeColor="text1"/>
          <w:sz w:val="20"/>
          <w:szCs w:val="20"/>
        </w:rPr>
        <w:t>Ecuador</w:t>
      </w:r>
      <w:r w:rsidR="006B25E1">
        <w:rPr>
          <w:color w:val="000000" w:themeColor="text1"/>
          <w:sz w:val="20"/>
          <w:szCs w:val="20"/>
        </w:rPr>
        <w:t xml:space="preserve">, </w:t>
      </w:r>
      <w:r w:rsidR="006B25E1" w:rsidRPr="006B25E1">
        <w:rPr>
          <w:color w:val="000000" w:themeColor="text1"/>
          <w:sz w:val="20"/>
          <w:szCs w:val="20"/>
        </w:rPr>
        <w:t>Luxembourg</w:t>
      </w:r>
      <w:r w:rsidR="006B25E1">
        <w:rPr>
          <w:color w:val="000000" w:themeColor="text1"/>
          <w:sz w:val="20"/>
          <w:szCs w:val="20"/>
        </w:rPr>
        <w:t xml:space="preserve">, </w:t>
      </w:r>
      <w:r w:rsidR="006B25E1" w:rsidRPr="006B25E1">
        <w:rPr>
          <w:color w:val="000000" w:themeColor="text1"/>
          <w:sz w:val="20"/>
          <w:szCs w:val="20"/>
        </w:rPr>
        <w:t>Morocco</w:t>
      </w:r>
      <w:r w:rsidR="006B25E1">
        <w:rPr>
          <w:color w:val="000000" w:themeColor="text1"/>
          <w:sz w:val="20"/>
          <w:szCs w:val="20"/>
        </w:rPr>
        <w:t xml:space="preserve">, </w:t>
      </w:r>
      <w:r w:rsidR="006B25E1" w:rsidRPr="006B25E1">
        <w:rPr>
          <w:color w:val="000000" w:themeColor="text1"/>
          <w:sz w:val="20"/>
          <w:szCs w:val="20"/>
        </w:rPr>
        <w:t>Oman</w:t>
      </w:r>
      <w:r w:rsidR="006B25E1">
        <w:rPr>
          <w:color w:val="000000" w:themeColor="text1"/>
          <w:sz w:val="20"/>
          <w:szCs w:val="20"/>
        </w:rPr>
        <w:t xml:space="preserve">, </w:t>
      </w:r>
      <w:r w:rsidR="006B25E1" w:rsidRPr="006B25E1">
        <w:rPr>
          <w:color w:val="000000" w:themeColor="text1"/>
          <w:sz w:val="20"/>
          <w:szCs w:val="20"/>
        </w:rPr>
        <w:t>Russian Federation</w:t>
      </w:r>
      <w:r w:rsidR="006B25E1">
        <w:rPr>
          <w:color w:val="000000" w:themeColor="text1"/>
          <w:sz w:val="20"/>
          <w:szCs w:val="20"/>
        </w:rPr>
        <w:t xml:space="preserve">, </w:t>
      </w:r>
      <w:r w:rsidR="006B25E1" w:rsidRPr="006B25E1">
        <w:rPr>
          <w:color w:val="000000" w:themeColor="text1"/>
          <w:sz w:val="20"/>
          <w:szCs w:val="20"/>
        </w:rPr>
        <w:t>Venezuela (Bolivarian Republic of)</w:t>
      </w:r>
      <w:r w:rsidRPr="00765C40">
        <w:rPr>
          <w:color w:val="000000" w:themeColor="text1"/>
          <w:sz w:val="20"/>
          <w:szCs w:val="20"/>
        </w:rPr>
        <w:t>;</w:t>
      </w:r>
    </w:p>
    <w:p w14:paraId="0F15EEF0" w14:textId="21D89221" w:rsidR="00E43D4E" w:rsidRDefault="00E43D4E" w:rsidP="00E43D4E">
      <w:pPr>
        <w:spacing w:after="120"/>
        <w:ind w:left="1134" w:right="1134" w:firstLine="567"/>
        <w:jc w:val="both"/>
        <w:rPr>
          <w:color w:val="000000" w:themeColor="text1"/>
          <w:sz w:val="20"/>
          <w:szCs w:val="20"/>
        </w:rPr>
      </w:pPr>
      <w:r w:rsidRPr="00765C40">
        <w:rPr>
          <w:color w:val="000000" w:themeColor="text1"/>
          <w:sz w:val="20"/>
          <w:szCs w:val="20"/>
        </w:rPr>
        <w:t>(c)</w:t>
      </w:r>
      <w:r w:rsidRPr="00765C40">
        <w:rPr>
          <w:color w:val="000000" w:themeColor="text1"/>
          <w:sz w:val="20"/>
          <w:szCs w:val="20"/>
        </w:rPr>
        <w:tab/>
        <w:t>Observer for an intergovernmental organization: European Union;</w:t>
      </w:r>
    </w:p>
    <w:p w14:paraId="4F968DC7" w14:textId="38C25557" w:rsidR="005E6E22" w:rsidRPr="00765C40" w:rsidRDefault="005E6E22" w:rsidP="00E43D4E">
      <w:pPr>
        <w:spacing w:after="120"/>
        <w:ind w:left="1134" w:right="1134" w:firstLine="567"/>
        <w:jc w:val="both"/>
        <w:rPr>
          <w:color w:val="000000" w:themeColor="text1"/>
          <w:sz w:val="20"/>
          <w:szCs w:val="20"/>
        </w:rPr>
      </w:pPr>
      <w:r w:rsidRPr="005E6E22">
        <w:rPr>
          <w:color w:val="000000" w:themeColor="text1"/>
          <w:sz w:val="20"/>
          <w:szCs w:val="20"/>
        </w:rPr>
        <w:t>(</w:t>
      </w:r>
      <w:r>
        <w:rPr>
          <w:color w:val="000000" w:themeColor="text1"/>
          <w:sz w:val="20"/>
          <w:szCs w:val="20"/>
        </w:rPr>
        <w:t>d</w:t>
      </w:r>
      <w:r w:rsidRPr="005E6E22">
        <w:rPr>
          <w:color w:val="000000" w:themeColor="text1"/>
          <w:sz w:val="20"/>
          <w:szCs w:val="20"/>
        </w:rPr>
        <w:t>)</w:t>
      </w:r>
      <w:r w:rsidRPr="005E6E22">
        <w:rPr>
          <w:color w:val="000000" w:themeColor="text1"/>
          <w:sz w:val="20"/>
          <w:szCs w:val="20"/>
        </w:rPr>
        <w:tab/>
        <w:t xml:space="preserve">Observer for a national human rights institution: </w:t>
      </w:r>
      <w:r w:rsidR="00A631FA">
        <w:rPr>
          <w:color w:val="000000" w:themeColor="text1"/>
          <w:sz w:val="20"/>
          <w:szCs w:val="20"/>
        </w:rPr>
        <w:t>National Human Rights Council of Morocco</w:t>
      </w:r>
      <w:r>
        <w:rPr>
          <w:color w:val="000000" w:themeColor="text1"/>
          <w:sz w:val="20"/>
          <w:szCs w:val="20"/>
        </w:rPr>
        <w:t>;</w:t>
      </w:r>
    </w:p>
    <w:p w14:paraId="577C38A4" w14:textId="03FFEC91" w:rsidR="00E43D4E" w:rsidRPr="00765C40" w:rsidRDefault="005E6E22" w:rsidP="00E43D4E">
      <w:pPr>
        <w:spacing w:after="120"/>
        <w:ind w:left="1134" w:right="1134" w:firstLine="567"/>
        <w:jc w:val="both"/>
        <w:rPr>
          <w:color w:val="000000" w:themeColor="text1"/>
          <w:sz w:val="20"/>
          <w:szCs w:val="20"/>
        </w:rPr>
      </w:pPr>
      <w:r>
        <w:rPr>
          <w:color w:val="000000" w:themeColor="text1"/>
          <w:sz w:val="20"/>
          <w:szCs w:val="20"/>
        </w:rPr>
        <w:t>(e</w:t>
      </w:r>
      <w:r w:rsidR="00E43D4E" w:rsidRPr="00765C40">
        <w:rPr>
          <w:color w:val="000000" w:themeColor="text1"/>
          <w:sz w:val="20"/>
          <w:szCs w:val="20"/>
        </w:rPr>
        <w:t>)</w:t>
      </w:r>
      <w:r w:rsidR="00E43D4E" w:rsidRPr="00765C40">
        <w:rPr>
          <w:color w:val="000000" w:themeColor="text1"/>
          <w:sz w:val="20"/>
          <w:szCs w:val="20"/>
        </w:rPr>
        <w:tab/>
        <w:t>Observers for non-governmental organizations:</w:t>
      </w:r>
      <w:r>
        <w:rPr>
          <w:color w:val="000000" w:themeColor="text1"/>
          <w:sz w:val="20"/>
          <w:szCs w:val="20"/>
        </w:rPr>
        <w:t xml:space="preserve"> </w:t>
      </w:r>
      <w:r w:rsidRPr="005E6E22">
        <w:rPr>
          <w:color w:val="000000" w:themeColor="text1"/>
          <w:sz w:val="20"/>
          <w:szCs w:val="20"/>
        </w:rPr>
        <w:t>Child Rights Connect</w:t>
      </w:r>
      <w:r>
        <w:rPr>
          <w:color w:val="000000" w:themeColor="text1"/>
          <w:sz w:val="20"/>
          <w:szCs w:val="20"/>
        </w:rPr>
        <w:t xml:space="preserve"> (also on behalf of </w:t>
      </w:r>
      <w:r w:rsidRPr="005E6E22">
        <w:rPr>
          <w:color w:val="000000" w:themeColor="text1"/>
          <w:sz w:val="20"/>
          <w:szCs w:val="20"/>
        </w:rPr>
        <w:t>Internat</w:t>
      </w:r>
      <w:r>
        <w:rPr>
          <w:color w:val="000000" w:themeColor="text1"/>
          <w:sz w:val="20"/>
          <w:szCs w:val="20"/>
        </w:rPr>
        <w:t xml:space="preserve">ional Movement ATD Fourth World; </w:t>
      </w:r>
      <w:r w:rsidRPr="005E6E22">
        <w:rPr>
          <w:color w:val="000000" w:themeColor="text1"/>
          <w:sz w:val="20"/>
          <w:szCs w:val="20"/>
        </w:rPr>
        <w:t>International Catholic Child Bureau</w:t>
      </w:r>
      <w:r>
        <w:rPr>
          <w:color w:val="000000" w:themeColor="text1"/>
          <w:sz w:val="20"/>
          <w:szCs w:val="20"/>
        </w:rPr>
        <w:t xml:space="preserve"> and </w:t>
      </w:r>
      <w:r w:rsidRPr="005E6E22">
        <w:rPr>
          <w:color w:val="000000" w:themeColor="text1"/>
          <w:sz w:val="20"/>
          <w:szCs w:val="20"/>
        </w:rPr>
        <w:t>Save the Children International</w:t>
      </w:r>
      <w:r>
        <w:rPr>
          <w:color w:val="000000" w:themeColor="text1"/>
          <w:sz w:val="20"/>
          <w:szCs w:val="20"/>
        </w:rPr>
        <w:t xml:space="preserve">); </w:t>
      </w:r>
      <w:r w:rsidRPr="005E6E22">
        <w:rPr>
          <w:color w:val="000000" w:themeColor="text1"/>
          <w:sz w:val="20"/>
          <w:szCs w:val="20"/>
        </w:rPr>
        <w:t>International Catholic Child Bureau</w:t>
      </w:r>
      <w:r w:rsidR="00E43D4E" w:rsidRPr="00765C40">
        <w:rPr>
          <w:color w:val="000000" w:themeColor="text1"/>
          <w:sz w:val="20"/>
          <w:szCs w:val="20"/>
        </w:rPr>
        <w:t>.</w:t>
      </w:r>
    </w:p>
    <w:p w14:paraId="3342115D" w14:textId="2EEC6524" w:rsidR="00E43D4E" w:rsidRPr="00765C40" w:rsidRDefault="009B6FCB" w:rsidP="00E43D4E">
      <w:pPr>
        <w:spacing w:after="120"/>
        <w:ind w:left="1134" w:right="1134"/>
        <w:jc w:val="both"/>
        <w:rPr>
          <w:color w:val="000000" w:themeColor="text1"/>
          <w:sz w:val="20"/>
          <w:szCs w:val="20"/>
        </w:rPr>
      </w:pPr>
      <w:r>
        <w:rPr>
          <w:color w:val="000000" w:themeColor="text1"/>
          <w:sz w:val="20"/>
          <w:szCs w:val="20"/>
        </w:rPr>
        <w:t>97</w:t>
      </w:r>
      <w:r w:rsidR="00E43D4E" w:rsidRPr="00765C40">
        <w:rPr>
          <w:color w:val="000000" w:themeColor="text1"/>
          <w:sz w:val="20"/>
          <w:szCs w:val="20"/>
        </w:rPr>
        <w:t>.</w:t>
      </w:r>
      <w:r w:rsidR="00E43D4E" w:rsidRPr="00765C40">
        <w:rPr>
          <w:color w:val="000000" w:themeColor="text1"/>
          <w:sz w:val="20"/>
          <w:szCs w:val="20"/>
        </w:rPr>
        <w:tab/>
        <w:t>During the ensuing panel discussion for the second slot of the second panel, at the same meeting, the following made statements and asked the panellists questions:</w:t>
      </w:r>
    </w:p>
    <w:p w14:paraId="08A0EFCF" w14:textId="10367116" w:rsidR="00E43D4E" w:rsidRPr="00765C40" w:rsidRDefault="00E43D4E" w:rsidP="00E43D4E">
      <w:pPr>
        <w:spacing w:after="120"/>
        <w:ind w:left="1134" w:right="1134" w:firstLine="567"/>
        <w:jc w:val="both"/>
        <w:rPr>
          <w:color w:val="000000" w:themeColor="text1"/>
          <w:sz w:val="20"/>
          <w:szCs w:val="20"/>
        </w:rPr>
      </w:pPr>
      <w:r w:rsidRPr="00765C40">
        <w:rPr>
          <w:color w:val="000000" w:themeColor="text1"/>
          <w:sz w:val="20"/>
          <w:szCs w:val="20"/>
        </w:rPr>
        <w:t>(a)</w:t>
      </w:r>
      <w:r w:rsidRPr="00765C40">
        <w:rPr>
          <w:color w:val="000000" w:themeColor="text1"/>
          <w:sz w:val="20"/>
          <w:szCs w:val="20"/>
        </w:rPr>
        <w:tab/>
        <w:t xml:space="preserve">Representatives of </w:t>
      </w:r>
      <w:r w:rsidR="005D3E5F" w:rsidRPr="00765C40">
        <w:rPr>
          <w:color w:val="000000" w:themeColor="text1"/>
          <w:sz w:val="20"/>
          <w:szCs w:val="20"/>
        </w:rPr>
        <w:t>States Members</w:t>
      </w:r>
      <w:r w:rsidRPr="00765C40">
        <w:rPr>
          <w:color w:val="000000" w:themeColor="text1"/>
          <w:sz w:val="20"/>
          <w:szCs w:val="20"/>
        </w:rPr>
        <w:t xml:space="preserve"> of the Human Rights Council:</w:t>
      </w:r>
      <w:r w:rsidR="00FD7A44">
        <w:rPr>
          <w:color w:val="000000" w:themeColor="text1"/>
          <w:sz w:val="20"/>
          <w:szCs w:val="20"/>
        </w:rPr>
        <w:t xml:space="preserve"> </w:t>
      </w:r>
      <w:r w:rsidR="00FD7A44" w:rsidRPr="00FD7A44">
        <w:rPr>
          <w:color w:val="000000" w:themeColor="text1"/>
          <w:sz w:val="20"/>
          <w:szCs w:val="20"/>
        </w:rPr>
        <w:t>Bahamas</w:t>
      </w:r>
      <w:r w:rsidR="00FD7A44">
        <w:rPr>
          <w:color w:val="000000" w:themeColor="text1"/>
          <w:sz w:val="20"/>
          <w:szCs w:val="20"/>
        </w:rPr>
        <w:t xml:space="preserve">, </w:t>
      </w:r>
      <w:r w:rsidR="00FD7A44" w:rsidRPr="00FD7A44">
        <w:rPr>
          <w:color w:val="000000" w:themeColor="text1"/>
          <w:sz w:val="20"/>
          <w:szCs w:val="20"/>
        </w:rPr>
        <w:t>China</w:t>
      </w:r>
      <w:r w:rsidR="00FD7A44">
        <w:rPr>
          <w:color w:val="000000" w:themeColor="text1"/>
          <w:sz w:val="20"/>
          <w:szCs w:val="20"/>
        </w:rPr>
        <w:t xml:space="preserve">, </w:t>
      </w:r>
      <w:r w:rsidR="00FD7A44" w:rsidRPr="00FD7A44">
        <w:rPr>
          <w:color w:val="000000" w:themeColor="text1"/>
          <w:sz w:val="20"/>
          <w:szCs w:val="20"/>
        </w:rPr>
        <w:t>Egypt</w:t>
      </w:r>
      <w:r w:rsidR="00FD7A44">
        <w:rPr>
          <w:color w:val="000000" w:themeColor="text1"/>
          <w:sz w:val="20"/>
          <w:szCs w:val="20"/>
        </w:rPr>
        <w:t xml:space="preserve">, </w:t>
      </w:r>
      <w:r w:rsidR="00FD7A44" w:rsidRPr="00FD7A44">
        <w:rPr>
          <w:color w:val="000000" w:themeColor="text1"/>
          <w:sz w:val="20"/>
          <w:szCs w:val="20"/>
        </w:rPr>
        <w:t>Fiji</w:t>
      </w:r>
      <w:r w:rsidR="00FD7A44">
        <w:rPr>
          <w:color w:val="000000" w:themeColor="text1"/>
          <w:sz w:val="20"/>
          <w:szCs w:val="20"/>
        </w:rPr>
        <w:t>,</w:t>
      </w:r>
      <w:r w:rsidR="00FD7A44" w:rsidRPr="00FD7A44">
        <w:rPr>
          <w:color w:val="000000" w:themeColor="text1"/>
          <w:sz w:val="20"/>
          <w:szCs w:val="20"/>
        </w:rPr>
        <w:t xml:space="preserve"> South Africa</w:t>
      </w:r>
      <w:r w:rsidRPr="00765C40">
        <w:rPr>
          <w:color w:val="000000" w:themeColor="text1"/>
          <w:sz w:val="20"/>
          <w:szCs w:val="20"/>
        </w:rPr>
        <w:t>;</w:t>
      </w:r>
    </w:p>
    <w:p w14:paraId="211C9591" w14:textId="6E09437D" w:rsidR="00E43D4E" w:rsidRPr="00765C40" w:rsidRDefault="00E43D4E" w:rsidP="00E43D4E">
      <w:pPr>
        <w:spacing w:after="120"/>
        <w:ind w:left="1134" w:right="1134" w:firstLine="567"/>
        <w:jc w:val="both"/>
        <w:rPr>
          <w:color w:val="000000" w:themeColor="text1"/>
          <w:sz w:val="20"/>
          <w:szCs w:val="20"/>
        </w:rPr>
      </w:pPr>
      <w:r w:rsidRPr="00765C40">
        <w:rPr>
          <w:color w:val="000000" w:themeColor="text1"/>
          <w:sz w:val="20"/>
          <w:szCs w:val="20"/>
        </w:rPr>
        <w:t>(b)</w:t>
      </w:r>
      <w:r w:rsidRPr="00765C40">
        <w:rPr>
          <w:color w:val="000000" w:themeColor="text1"/>
          <w:sz w:val="20"/>
          <w:szCs w:val="20"/>
        </w:rPr>
        <w:tab/>
        <w:t xml:space="preserve">Representatives of observer States: </w:t>
      </w:r>
      <w:r w:rsidR="00FD7A44" w:rsidRPr="00FD7A44">
        <w:rPr>
          <w:color w:val="000000" w:themeColor="text1"/>
          <w:sz w:val="20"/>
          <w:szCs w:val="20"/>
        </w:rPr>
        <w:t>Azerbaijan</w:t>
      </w:r>
      <w:r w:rsidR="00FD7A44">
        <w:rPr>
          <w:color w:val="000000" w:themeColor="text1"/>
          <w:sz w:val="20"/>
          <w:szCs w:val="20"/>
        </w:rPr>
        <w:t xml:space="preserve">, </w:t>
      </w:r>
      <w:r w:rsidR="00FD7A44" w:rsidRPr="00FD7A44">
        <w:rPr>
          <w:color w:val="000000" w:themeColor="text1"/>
          <w:sz w:val="20"/>
          <w:szCs w:val="20"/>
        </w:rPr>
        <w:t>Greece</w:t>
      </w:r>
      <w:r w:rsidR="00FD7A44">
        <w:rPr>
          <w:color w:val="000000" w:themeColor="text1"/>
          <w:sz w:val="20"/>
          <w:szCs w:val="20"/>
        </w:rPr>
        <w:t xml:space="preserve">, </w:t>
      </w:r>
      <w:r w:rsidR="00FD7A44" w:rsidRPr="00FD7A44">
        <w:rPr>
          <w:color w:val="000000" w:themeColor="text1"/>
          <w:sz w:val="20"/>
          <w:szCs w:val="20"/>
        </w:rPr>
        <w:t>Maldives</w:t>
      </w:r>
      <w:r w:rsidR="00FD7A44">
        <w:rPr>
          <w:color w:val="000000" w:themeColor="text1"/>
          <w:sz w:val="20"/>
          <w:szCs w:val="20"/>
        </w:rPr>
        <w:t xml:space="preserve">, </w:t>
      </w:r>
      <w:r w:rsidR="00FD7A44" w:rsidRPr="00FD7A44">
        <w:rPr>
          <w:color w:val="000000" w:themeColor="text1"/>
          <w:sz w:val="20"/>
          <w:szCs w:val="20"/>
        </w:rPr>
        <w:t>Monaco</w:t>
      </w:r>
      <w:r w:rsidR="00FD7A44">
        <w:rPr>
          <w:color w:val="000000" w:themeColor="text1"/>
          <w:sz w:val="20"/>
          <w:szCs w:val="20"/>
        </w:rPr>
        <w:t xml:space="preserve">, </w:t>
      </w:r>
      <w:r w:rsidR="00FD7A44" w:rsidRPr="00FD7A44">
        <w:rPr>
          <w:color w:val="000000" w:themeColor="text1"/>
          <w:sz w:val="20"/>
          <w:szCs w:val="20"/>
        </w:rPr>
        <w:t>Republic of Moldova</w:t>
      </w:r>
      <w:r w:rsidR="00FD7A44">
        <w:rPr>
          <w:color w:val="000000" w:themeColor="text1"/>
          <w:sz w:val="20"/>
          <w:szCs w:val="20"/>
        </w:rPr>
        <w:t xml:space="preserve">, </w:t>
      </w:r>
      <w:r w:rsidR="00FD7A44" w:rsidRPr="00FD7A44">
        <w:rPr>
          <w:color w:val="000000" w:themeColor="text1"/>
          <w:sz w:val="20"/>
          <w:szCs w:val="20"/>
        </w:rPr>
        <w:t>Trinidad and Tobago</w:t>
      </w:r>
      <w:r w:rsidR="00FD7A44">
        <w:rPr>
          <w:color w:val="000000" w:themeColor="text1"/>
          <w:sz w:val="20"/>
          <w:szCs w:val="20"/>
        </w:rPr>
        <w:t xml:space="preserve">, </w:t>
      </w:r>
      <w:r w:rsidR="00FD7A44" w:rsidRPr="00FD7A44">
        <w:rPr>
          <w:color w:val="000000" w:themeColor="text1"/>
          <w:sz w:val="20"/>
          <w:szCs w:val="20"/>
        </w:rPr>
        <w:t>United Arab Emirates</w:t>
      </w:r>
      <w:r w:rsidRPr="00765C40">
        <w:rPr>
          <w:color w:val="000000" w:themeColor="text1"/>
          <w:sz w:val="20"/>
          <w:szCs w:val="20"/>
        </w:rPr>
        <w:t>;</w:t>
      </w:r>
    </w:p>
    <w:p w14:paraId="5BBE8A46" w14:textId="70BB8051" w:rsidR="00E43D4E" w:rsidRPr="00765C40" w:rsidRDefault="00E43D4E" w:rsidP="00E43D4E">
      <w:pPr>
        <w:spacing w:after="120"/>
        <w:ind w:left="1134" w:right="1134" w:firstLine="567"/>
        <w:jc w:val="both"/>
        <w:rPr>
          <w:color w:val="000000" w:themeColor="text1"/>
          <w:sz w:val="20"/>
          <w:szCs w:val="20"/>
        </w:rPr>
      </w:pPr>
      <w:r w:rsidRPr="00765C40">
        <w:rPr>
          <w:color w:val="000000" w:themeColor="text1"/>
          <w:sz w:val="20"/>
          <w:szCs w:val="20"/>
        </w:rPr>
        <w:lastRenderedPageBreak/>
        <w:t>(</w:t>
      </w:r>
      <w:r w:rsidR="00FD7A44">
        <w:rPr>
          <w:color w:val="000000" w:themeColor="text1"/>
          <w:sz w:val="20"/>
          <w:szCs w:val="20"/>
        </w:rPr>
        <w:t>c</w:t>
      </w:r>
      <w:r w:rsidRPr="00765C40">
        <w:rPr>
          <w:color w:val="000000" w:themeColor="text1"/>
          <w:sz w:val="20"/>
          <w:szCs w:val="20"/>
        </w:rPr>
        <w:t>)</w:t>
      </w:r>
      <w:r w:rsidRPr="00765C40">
        <w:rPr>
          <w:color w:val="000000" w:themeColor="text1"/>
          <w:sz w:val="20"/>
          <w:szCs w:val="20"/>
        </w:rPr>
        <w:tab/>
        <w:t>Observers for non-governmental organizations:</w:t>
      </w:r>
      <w:r w:rsidR="00F80445">
        <w:rPr>
          <w:color w:val="000000" w:themeColor="text1"/>
          <w:sz w:val="20"/>
          <w:szCs w:val="20"/>
        </w:rPr>
        <w:t xml:space="preserve"> </w:t>
      </w:r>
      <w:r w:rsidR="00F80445" w:rsidRPr="00F80445">
        <w:rPr>
          <w:color w:val="000000" w:themeColor="text1"/>
          <w:sz w:val="20"/>
          <w:szCs w:val="20"/>
        </w:rPr>
        <w:t>Action Canada for Population and Development</w:t>
      </w:r>
      <w:r w:rsidR="00F80445">
        <w:rPr>
          <w:color w:val="000000" w:themeColor="text1"/>
          <w:sz w:val="20"/>
          <w:szCs w:val="20"/>
        </w:rPr>
        <w:t xml:space="preserve">; </w:t>
      </w:r>
      <w:r w:rsidR="00F80445" w:rsidRPr="00F80445">
        <w:rPr>
          <w:color w:val="000000" w:themeColor="text1"/>
          <w:sz w:val="20"/>
          <w:szCs w:val="20"/>
        </w:rPr>
        <w:t>Indigenous People of Africa Coordinating Committee</w:t>
      </w:r>
      <w:r w:rsidR="00F80445">
        <w:rPr>
          <w:color w:val="000000" w:themeColor="text1"/>
          <w:sz w:val="20"/>
          <w:szCs w:val="20"/>
        </w:rPr>
        <w:t xml:space="preserve">; </w:t>
      </w:r>
      <w:r w:rsidR="00F80445" w:rsidRPr="00F80445">
        <w:rPr>
          <w:color w:val="000000" w:themeColor="text1"/>
          <w:sz w:val="20"/>
          <w:szCs w:val="20"/>
        </w:rPr>
        <w:t>Maarij Foundation for Peace and Development</w:t>
      </w:r>
      <w:r w:rsidRPr="00765C40">
        <w:rPr>
          <w:color w:val="000000" w:themeColor="text1"/>
          <w:sz w:val="20"/>
          <w:szCs w:val="20"/>
        </w:rPr>
        <w:t>.</w:t>
      </w:r>
    </w:p>
    <w:p w14:paraId="37CB78BF" w14:textId="2513CF2E" w:rsidR="00E43D4E" w:rsidRPr="00765C40" w:rsidRDefault="009B6FCB" w:rsidP="00E43D4E">
      <w:pPr>
        <w:spacing w:after="120"/>
        <w:ind w:left="1134" w:right="1134"/>
        <w:jc w:val="both"/>
        <w:rPr>
          <w:color w:val="000000" w:themeColor="text1"/>
          <w:sz w:val="20"/>
          <w:szCs w:val="20"/>
        </w:rPr>
      </w:pPr>
      <w:r>
        <w:rPr>
          <w:color w:val="000000" w:themeColor="text1"/>
          <w:sz w:val="20"/>
          <w:szCs w:val="20"/>
        </w:rPr>
        <w:t>98</w:t>
      </w:r>
      <w:r w:rsidR="00E43D4E" w:rsidRPr="00765C40">
        <w:rPr>
          <w:color w:val="000000" w:themeColor="text1"/>
          <w:sz w:val="20"/>
          <w:szCs w:val="20"/>
        </w:rPr>
        <w:t>.</w:t>
      </w:r>
      <w:r w:rsidR="00E43D4E" w:rsidRPr="00765C40">
        <w:rPr>
          <w:color w:val="000000" w:themeColor="text1"/>
          <w:sz w:val="20"/>
          <w:szCs w:val="20"/>
        </w:rPr>
        <w:tab/>
        <w:t>At the same meeting, the panellists of the second panel answered questions and made their concluding remarks.</w:t>
      </w:r>
    </w:p>
    <w:p w14:paraId="2EA58824" w14:textId="77777777" w:rsidR="00F11B08" w:rsidRPr="00372CCE" w:rsidRDefault="00F11B08" w:rsidP="00A84ACE">
      <w:pPr>
        <w:pStyle w:val="H1G"/>
        <w:rPr>
          <w:b w:val="0"/>
          <w:color w:val="000000" w:themeColor="text1"/>
          <w:sz w:val="20"/>
          <w:szCs w:val="20"/>
        </w:rPr>
      </w:pPr>
      <w:r w:rsidRPr="00372CCE">
        <w:rPr>
          <w:color w:val="000000" w:themeColor="text1"/>
          <w:sz w:val="20"/>
          <w:szCs w:val="20"/>
        </w:rPr>
        <w:tab/>
      </w:r>
      <w:r w:rsidRPr="00372CCE">
        <w:rPr>
          <w:color w:val="000000" w:themeColor="text1"/>
          <w:sz w:val="20"/>
          <w:szCs w:val="20"/>
        </w:rPr>
        <w:tab/>
      </w:r>
      <w:r w:rsidRPr="00A078AC">
        <w:rPr>
          <w:color w:val="000000" w:themeColor="text1"/>
          <w:sz w:val="20"/>
          <w:szCs w:val="20"/>
        </w:rPr>
        <w:t>Annual interactive debate on the rights of persons with disabilities</w:t>
      </w:r>
      <w:r w:rsidRPr="00372CCE">
        <w:rPr>
          <w:color w:val="000000" w:themeColor="text1"/>
          <w:sz w:val="20"/>
          <w:szCs w:val="20"/>
        </w:rPr>
        <w:t xml:space="preserve"> </w:t>
      </w:r>
    </w:p>
    <w:p w14:paraId="2EA58825" w14:textId="09886A1D" w:rsidR="00F11B08" w:rsidRDefault="009B6FCB" w:rsidP="00F11B08">
      <w:pPr>
        <w:spacing w:after="120"/>
        <w:ind w:left="1134" w:right="1134"/>
        <w:jc w:val="both"/>
        <w:rPr>
          <w:color w:val="000000" w:themeColor="text1"/>
          <w:sz w:val="20"/>
          <w:szCs w:val="20"/>
        </w:rPr>
      </w:pPr>
      <w:r>
        <w:rPr>
          <w:color w:val="000000" w:themeColor="text1"/>
          <w:sz w:val="20"/>
          <w:szCs w:val="20"/>
        </w:rPr>
        <w:t>99</w:t>
      </w:r>
      <w:r w:rsidR="00F11B08" w:rsidRPr="00372CCE">
        <w:rPr>
          <w:color w:val="000000" w:themeColor="text1"/>
          <w:sz w:val="20"/>
          <w:szCs w:val="20"/>
        </w:rPr>
        <w:t>.</w:t>
      </w:r>
      <w:r w:rsidR="00F11B08" w:rsidRPr="00372CCE">
        <w:rPr>
          <w:color w:val="000000" w:themeColor="text1"/>
          <w:sz w:val="20"/>
          <w:szCs w:val="20"/>
        </w:rPr>
        <w:tab/>
        <w:t xml:space="preserve">At its </w:t>
      </w:r>
      <w:r w:rsidR="00C735E2" w:rsidRPr="00372CCE">
        <w:rPr>
          <w:color w:val="000000" w:themeColor="text1"/>
          <w:sz w:val="20"/>
          <w:szCs w:val="20"/>
        </w:rPr>
        <w:t>2</w:t>
      </w:r>
      <w:r w:rsidR="00B65E4C">
        <w:rPr>
          <w:color w:val="000000" w:themeColor="text1"/>
          <w:sz w:val="20"/>
          <w:szCs w:val="20"/>
        </w:rPr>
        <w:t>1st</w:t>
      </w:r>
      <w:r w:rsidR="00F11B08" w:rsidRPr="00372CCE">
        <w:rPr>
          <w:color w:val="000000" w:themeColor="text1"/>
          <w:sz w:val="20"/>
          <w:szCs w:val="20"/>
        </w:rPr>
        <w:t xml:space="preserve"> meeting, on </w:t>
      </w:r>
      <w:r w:rsidR="00B65E4C">
        <w:rPr>
          <w:color w:val="000000" w:themeColor="text1"/>
          <w:sz w:val="20"/>
          <w:szCs w:val="20"/>
        </w:rPr>
        <w:t>6</w:t>
      </w:r>
      <w:r w:rsidR="00C735E2" w:rsidRPr="00372CCE">
        <w:rPr>
          <w:color w:val="000000" w:themeColor="text1"/>
          <w:sz w:val="20"/>
          <w:szCs w:val="20"/>
        </w:rPr>
        <w:t xml:space="preserve"> March </w:t>
      </w:r>
      <w:r w:rsidR="00141AFC" w:rsidRPr="00372CCE">
        <w:rPr>
          <w:color w:val="000000" w:themeColor="text1"/>
          <w:sz w:val="20"/>
          <w:szCs w:val="20"/>
        </w:rPr>
        <w:t>2019</w:t>
      </w:r>
      <w:r w:rsidR="00F11B08" w:rsidRPr="00372CCE">
        <w:rPr>
          <w:color w:val="000000" w:themeColor="text1"/>
          <w:sz w:val="20"/>
          <w:szCs w:val="20"/>
        </w:rPr>
        <w:t>, pursuant to Human Rights Council resolution 3</w:t>
      </w:r>
      <w:r w:rsidR="00B65E4C">
        <w:rPr>
          <w:color w:val="000000" w:themeColor="text1"/>
          <w:sz w:val="20"/>
          <w:szCs w:val="20"/>
        </w:rPr>
        <w:t>7</w:t>
      </w:r>
      <w:r w:rsidR="00F11B08" w:rsidRPr="00372CCE">
        <w:rPr>
          <w:color w:val="000000" w:themeColor="text1"/>
          <w:sz w:val="20"/>
          <w:szCs w:val="20"/>
        </w:rPr>
        <w:t>/</w:t>
      </w:r>
      <w:r w:rsidR="00B65E4C">
        <w:rPr>
          <w:color w:val="000000" w:themeColor="text1"/>
          <w:sz w:val="20"/>
          <w:szCs w:val="20"/>
        </w:rPr>
        <w:t>22</w:t>
      </w:r>
      <w:r w:rsidR="00F11B08" w:rsidRPr="00372CCE">
        <w:rPr>
          <w:color w:val="000000" w:themeColor="text1"/>
          <w:sz w:val="20"/>
          <w:szCs w:val="20"/>
        </w:rPr>
        <w:t xml:space="preserve">, the Council held its annual interactive debate on the rights of persons with disabilities in the form of a panel discussion. The focus of the discussion was on </w:t>
      </w:r>
      <w:r w:rsidR="00B65E4C" w:rsidRPr="00B65E4C">
        <w:rPr>
          <w:color w:val="000000" w:themeColor="text1"/>
          <w:sz w:val="20"/>
          <w:szCs w:val="20"/>
        </w:rPr>
        <w:t xml:space="preserve">article 26 of the Convention on the Rights of Persons with Disabilities, regarding habilitation and rehabilitation. The debate </w:t>
      </w:r>
      <w:r w:rsidR="00B65E4C">
        <w:rPr>
          <w:color w:val="000000" w:themeColor="text1"/>
          <w:sz w:val="20"/>
          <w:szCs w:val="20"/>
        </w:rPr>
        <w:t>was</w:t>
      </w:r>
      <w:r w:rsidR="00B65E4C" w:rsidRPr="00B65E4C">
        <w:rPr>
          <w:color w:val="000000" w:themeColor="text1"/>
          <w:sz w:val="20"/>
          <w:szCs w:val="20"/>
        </w:rPr>
        <w:t xml:space="preserve"> informed by the report of </w:t>
      </w:r>
      <w:r w:rsidR="00323457" w:rsidRPr="00805366">
        <w:rPr>
          <w:color w:val="000000" w:themeColor="text1"/>
          <w:sz w:val="20"/>
          <w:szCs w:val="20"/>
        </w:rPr>
        <w:t>Office of the United Nations High Commissioner for Human Rights</w:t>
      </w:r>
      <w:r w:rsidR="00323457" w:rsidRPr="00B65E4C">
        <w:rPr>
          <w:color w:val="000000" w:themeColor="text1"/>
          <w:sz w:val="20"/>
          <w:szCs w:val="20"/>
        </w:rPr>
        <w:t xml:space="preserve"> </w:t>
      </w:r>
      <w:r w:rsidR="00B65E4C" w:rsidRPr="00B65E4C">
        <w:rPr>
          <w:color w:val="000000" w:themeColor="text1"/>
          <w:sz w:val="20"/>
          <w:szCs w:val="20"/>
        </w:rPr>
        <w:t>thereon (A/HRC/40/32)</w:t>
      </w:r>
      <w:r w:rsidR="00F11B08" w:rsidRPr="00372CCE">
        <w:rPr>
          <w:color w:val="000000" w:themeColor="text1"/>
          <w:sz w:val="20"/>
          <w:szCs w:val="20"/>
        </w:rPr>
        <w:t>.</w:t>
      </w:r>
    </w:p>
    <w:p w14:paraId="09B3AB8C" w14:textId="7F3CAB15" w:rsidR="00C735E2" w:rsidRPr="00372CCE" w:rsidRDefault="009B6FCB" w:rsidP="00F11B08">
      <w:pPr>
        <w:spacing w:after="120"/>
        <w:ind w:left="1134" w:right="1134"/>
        <w:jc w:val="both"/>
        <w:rPr>
          <w:color w:val="000000" w:themeColor="text1"/>
          <w:sz w:val="20"/>
          <w:szCs w:val="20"/>
        </w:rPr>
      </w:pPr>
      <w:r>
        <w:rPr>
          <w:color w:val="000000" w:themeColor="text1"/>
          <w:sz w:val="20"/>
          <w:szCs w:val="20"/>
        </w:rPr>
        <w:t>100</w:t>
      </w:r>
      <w:r w:rsidR="00F11B08" w:rsidRPr="00372CCE">
        <w:rPr>
          <w:color w:val="000000" w:themeColor="text1"/>
          <w:sz w:val="20"/>
          <w:szCs w:val="20"/>
        </w:rPr>
        <w:t>.</w:t>
      </w:r>
      <w:r w:rsidR="00F11B08" w:rsidRPr="00372CCE">
        <w:rPr>
          <w:color w:val="000000" w:themeColor="text1"/>
          <w:sz w:val="20"/>
          <w:szCs w:val="20"/>
        </w:rPr>
        <w:tab/>
        <w:t xml:space="preserve">The </w:t>
      </w:r>
      <w:r w:rsidR="00C735E2" w:rsidRPr="00372CCE">
        <w:rPr>
          <w:color w:val="000000" w:themeColor="text1"/>
          <w:sz w:val="20"/>
          <w:szCs w:val="20"/>
          <w:lang w:val="en-GB"/>
        </w:rPr>
        <w:t xml:space="preserve">United Nations High Commissioner for Human Rights </w:t>
      </w:r>
      <w:r w:rsidR="00F11B08" w:rsidRPr="00372CCE">
        <w:rPr>
          <w:color w:val="000000" w:themeColor="text1"/>
          <w:sz w:val="20"/>
          <w:szCs w:val="20"/>
        </w:rPr>
        <w:t>made an opening statement for the panel.</w:t>
      </w:r>
      <w:r w:rsidR="00C735E2" w:rsidRPr="00372CCE">
        <w:rPr>
          <w:color w:val="000000" w:themeColor="text1"/>
          <w:sz w:val="20"/>
          <w:szCs w:val="20"/>
        </w:rPr>
        <w:t xml:space="preserve"> </w:t>
      </w:r>
    </w:p>
    <w:p w14:paraId="2EA58827" w14:textId="13AD4CE9" w:rsidR="00F11B08" w:rsidRPr="00372CCE" w:rsidRDefault="009B6FCB" w:rsidP="00F11B08">
      <w:pPr>
        <w:spacing w:after="120"/>
        <w:ind w:left="1134" w:right="1134"/>
        <w:jc w:val="both"/>
        <w:rPr>
          <w:color w:val="000000" w:themeColor="text1"/>
          <w:sz w:val="20"/>
          <w:szCs w:val="20"/>
        </w:rPr>
      </w:pPr>
      <w:r>
        <w:rPr>
          <w:color w:val="000000" w:themeColor="text1"/>
          <w:sz w:val="20"/>
          <w:szCs w:val="20"/>
        </w:rPr>
        <w:t>101</w:t>
      </w:r>
      <w:r w:rsidR="00F11B08" w:rsidRPr="00372CCE">
        <w:rPr>
          <w:color w:val="000000" w:themeColor="text1"/>
          <w:sz w:val="20"/>
          <w:szCs w:val="20"/>
        </w:rPr>
        <w:t>.</w:t>
      </w:r>
      <w:r w:rsidR="00F11B08" w:rsidRPr="00372CCE">
        <w:rPr>
          <w:color w:val="000000" w:themeColor="text1"/>
          <w:sz w:val="20"/>
          <w:szCs w:val="20"/>
        </w:rPr>
        <w:tab/>
        <w:t>At the same meeting, the following panellists made statements:</w:t>
      </w:r>
      <w:r w:rsidR="00C735E2" w:rsidRPr="00372CCE">
        <w:rPr>
          <w:color w:val="000000" w:themeColor="text1"/>
          <w:sz w:val="20"/>
          <w:szCs w:val="20"/>
        </w:rPr>
        <w:t xml:space="preserve"> </w:t>
      </w:r>
      <w:r w:rsidR="00B65E4C">
        <w:rPr>
          <w:color w:val="000000" w:themeColor="text1"/>
          <w:sz w:val="20"/>
          <w:szCs w:val="20"/>
        </w:rPr>
        <w:t xml:space="preserve">the </w:t>
      </w:r>
      <w:r w:rsidR="00B65E4C" w:rsidRPr="00B65E4C">
        <w:rPr>
          <w:color w:val="000000" w:themeColor="text1"/>
          <w:sz w:val="20"/>
          <w:szCs w:val="20"/>
        </w:rPr>
        <w:t>Special Rapporteur on the rights of persons with disabilities</w:t>
      </w:r>
      <w:r w:rsidR="00B65E4C">
        <w:rPr>
          <w:color w:val="000000" w:themeColor="text1"/>
          <w:sz w:val="20"/>
          <w:szCs w:val="20"/>
        </w:rPr>
        <w:t>, Catalina Devandas Aguilar;</w:t>
      </w:r>
      <w:r w:rsidR="00B65E4C" w:rsidRPr="00B65E4C">
        <w:rPr>
          <w:color w:val="000000" w:themeColor="text1"/>
          <w:sz w:val="20"/>
          <w:szCs w:val="20"/>
        </w:rPr>
        <w:t xml:space="preserve"> </w:t>
      </w:r>
      <w:r w:rsidR="00B65E4C">
        <w:rPr>
          <w:color w:val="000000" w:themeColor="text1"/>
          <w:sz w:val="20"/>
          <w:szCs w:val="20"/>
        </w:rPr>
        <w:t xml:space="preserve">the representative of </w:t>
      </w:r>
      <w:r w:rsidR="00B65E4C" w:rsidRPr="00B65E4C">
        <w:rPr>
          <w:color w:val="000000" w:themeColor="text1"/>
          <w:sz w:val="20"/>
          <w:szCs w:val="20"/>
        </w:rPr>
        <w:t>International Disability Alliance</w:t>
      </w:r>
      <w:r w:rsidR="00B65E4C">
        <w:rPr>
          <w:color w:val="000000" w:themeColor="text1"/>
          <w:sz w:val="20"/>
          <w:szCs w:val="20"/>
        </w:rPr>
        <w:t xml:space="preserve">, </w:t>
      </w:r>
      <w:r w:rsidR="00B65E4C" w:rsidRPr="00B65E4C">
        <w:rPr>
          <w:color w:val="000000" w:themeColor="text1"/>
          <w:sz w:val="20"/>
          <w:szCs w:val="20"/>
        </w:rPr>
        <w:t>Laur</w:t>
      </w:r>
      <w:r w:rsidR="006571EF">
        <w:rPr>
          <w:color w:val="000000" w:themeColor="text1"/>
          <w:sz w:val="20"/>
          <w:szCs w:val="20"/>
        </w:rPr>
        <w:t>o Purcil;</w:t>
      </w:r>
      <w:r w:rsidR="00B65E4C" w:rsidRPr="00B65E4C">
        <w:rPr>
          <w:color w:val="000000" w:themeColor="text1"/>
          <w:sz w:val="20"/>
          <w:szCs w:val="20"/>
        </w:rPr>
        <w:t xml:space="preserve"> </w:t>
      </w:r>
      <w:r w:rsidR="00B65E4C">
        <w:rPr>
          <w:color w:val="000000" w:themeColor="text1"/>
          <w:sz w:val="20"/>
          <w:szCs w:val="20"/>
        </w:rPr>
        <w:t xml:space="preserve">the </w:t>
      </w:r>
      <w:r w:rsidR="00B65E4C" w:rsidRPr="00B65E4C">
        <w:rPr>
          <w:color w:val="000000" w:themeColor="text1"/>
          <w:sz w:val="20"/>
          <w:szCs w:val="20"/>
        </w:rPr>
        <w:t>Coordinator of the Disability and Rehabilitation Team</w:t>
      </w:r>
      <w:r w:rsidR="006571EF">
        <w:rPr>
          <w:color w:val="000000" w:themeColor="text1"/>
          <w:sz w:val="20"/>
          <w:szCs w:val="20"/>
        </w:rPr>
        <w:t xml:space="preserve"> of the</w:t>
      </w:r>
      <w:r w:rsidR="00B65E4C" w:rsidRPr="00B65E4C">
        <w:rPr>
          <w:color w:val="000000" w:themeColor="text1"/>
          <w:sz w:val="20"/>
          <w:szCs w:val="20"/>
        </w:rPr>
        <w:t xml:space="preserve"> World Health Organization</w:t>
      </w:r>
      <w:r w:rsidR="00B65E4C">
        <w:rPr>
          <w:color w:val="000000" w:themeColor="text1"/>
          <w:sz w:val="20"/>
          <w:szCs w:val="20"/>
        </w:rPr>
        <w:t xml:space="preserve">, Alarcos Cieza and the </w:t>
      </w:r>
      <w:r w:rsidR="00B65E4C" w:rsidRPr="00B65E4C">
        <w:rPr>
          <w:color w:val="000000" w:themeColor="text1"/>
          <w:sz w:val="20"/>
          <w:szCs w:val="20"/>
        </w:rPr>
        <w:t>Global Advisor</w:t>
      </w:r>
      <w:r w:rsidR="00B65E4C">
        <w:rPr>
          <w:color w:val="000000" w:themeColor="text1"/>
          <w:sz w:val="20"/>
          <w:szCs w:val="20"/>
        </w:rPr>
        <w:t xml:space="preserve"> of</w:t>
      </w:r>
      <w:r w:rsidR="00B65E4C" w:rsidRPr="00B65E4C">
        <w:rPr>
          <w:color w:val="000000" w:themeColor="text1"/>
          <w:sz w:val="20"/>
          <w:szCs w:val="20"/>
        </w:rPr>
        <w:t xml:space="preserve"> CBM International</w:t>
      </w:r>
      <w:r w:rsidR="00B65E4C">
        <w:rPr>
          <w:color w:val="000000" w:themeColor="text1"/>
          <w:sz w:val="20"/>
          <w:szCs w:val="20"/>
        </w:rPr>
        <w:t>, Jörg Weber</w:t>
      </w:r>
      <w:r w:rsidR="00C735E2" w:rsidRPr="00372CCE">
        <w:rPr>
          <w:color w:val="000000" w:themeColor="text1"/>
          <w:sz w:val="20"/>
          <w:szCs w:val="20"/>
        </w:rPr>
        <w:t xml:space="preserve">. </w:t>
      </w:r>
      <w:r w:rsidR="00F11B08" w:rsidRPr="00372CCE">
        <w:rPr>
          <w:color w:val="000000" w:themeColor="text1"/>
          <w:sz w:val="20"/>
          <w:szCs w:val="20"/>
        </w:rPr>
        <w:t>The Council divided the panel discussion into two slots.</w:t>
      </w:r>
    </w:p>
    <w:p w14:paraId="2EA58828" w14:textId="1AF1C0EB" w:rsidR="00F11B08" w:rsidRPr="00372CCE" w:rsidRDefault="009B6FCB" w:rsidP="00F11B08">
      <w:pPr>
        <w:spacing w:after="120"/>
        <w:ind w:left="1134" w:right="1134"/>
        <w:jc w:val="both"/>
        <w:rPr>
          <w:color w:val="000000" w:themeColor="text1"/>
          <w:sz w:val="20"/>
          <w:szCs w:val="20"/>
        </w:rPr>
      </w:pPr>
      <w:r>
        <w:rPr>
          <w:color w:val="000000" w:themeColor="text1"/>
          <w:sz w:val="20"/>
          <w:szCs w:val="20"/>
        </w:rPr>
        <w:t>102</w:t>
      </w:r>
      <w:r w:rsidR="00F11B08" w:rsidRPr="00372CCE">
        <w:rPr>
          <w:color w:val="000000" w:themeColor="text1"/>
          <w:sz w:val="20"/>
          <w:szCs w:val="20"/>
        </w:rPr>
        <w:t>.</w:t>
      </w:r>
      <w:r w:rsidR="00F11B08" w:rsidRPr="00372CCE">
        <w:rPr>
          <w:color w:val="000000" w:themeColor="text1"/>
          <w:sz w:val="20"/>
          <w:szCs w:val="20"/>
        </w:rPr>
        <w:tab/>
        <w:t>During the ensuing panel discussion for the first slot, at the same meeting, the following made statements and asked the panellists questions:</w:t>
      </w:r>
    </w:p>
    <w:p w14:paraId="2EA58829" w14:textId="1EA75E4B" w:rsidR="00F11B08" w:rsidRPr="00372CCE" w:rsidRDefault="00F11B08" w:rsidP="00F11B08">
      <w:pPr>
        <w:spacing w:after="120"/>
        <w:ind w:left="1134" w:right="1134" w:firstLine="567"/>
        <w:jc w:val="both"/>
        <w:rPr>
          <w:color w:val="000000" w:themeColor="text1"/>
          <w:sz w:val="20"/>
          <w:szCs w:val="20"/>
        </w:rPr>
      </w:pPr>
      <w:r w:rsidRPr="00372CCE">
        <w:rPr>
          <w:color w:val="000000" w:themeColor="text1"/>
          <w:sz w:val="20"/>
          <w:szCs w:val="20"/>
        </w:rPr>
        <w:t>(a)</w:t>
      </w:r>
      <w:r w:rsidRPr="00372CCE">
        <w:rPr>
          <w:color w:val="000000" w:themeColor="text1"/>
          <w:sz w:val="20"/>
          <w:szCs w:val="20"/>
        </w:rPr>
        <w:tab/>
        <w:t xml:space="preserve">Representatives of </w:t>
      </w:r>
      <w:r w:rsidR="005D3E5F" w:rsidRPr="00372CCE">
        <w:rPr>
          <w:color w:val="000000" w:themeColor="text1"/>
          <w:sz w:val="20"/>
          <w:szCs w:val="20"/>
        </w:rPr>
        <w:t>States Members</w:t>
      </w:r>
      <w:r w:rsidRPr="00372CCE">
        <w:rPr>
          <w:color w:val="000000" w:themeColor="text1"/>
          <w:sz w:val="20"/>
          <w:szCs w:val="20"/>
        </w:rPr>
        <w:t xml:space="preserve"> of the Human Rights Council:</w:t>
      </w:r>
      <w:r w:rsidR="000F6A28" w:rsidRPr="00372CCE">
        <w:rPr>
          <w:color w:val="000000" w:themeColor="text1"/>
          <w:sz w:val="20"/>
          <w:szCs w:val="20"/>
        </w:rPr>
        <w:t xml:space="preserve"> </w:t>
      </w:r>
      <w:r w:rsidR="00A242A9" w:rsidRPr="00A242A9">
        <w:rPr>
          <w:color w:val="000000" w:themeColor="text1"/>
          <w:sz w:val="20"/>
          <w:szCs w:val="20"/>
        </w:rPr>
        <w:t>Angola (on behalf of the Group of African States)</w:t>
      </w:r>
      <w:r w:rsidR="00A242A9">
        <w:rPr>
          <w:color w:val="000000" w:themeColor="text1"/>
          <w:sz w:val="20"/>
          <w:szCs w:val="20"/>
        </w:rPr>
        <w:t xml:space="preserve">, </w:t>
      </w:r>
      <w:r w:rsidR="00A242A9" w:rsidRPr="00A242A9">
        <w:rPr>
          <w:color w:val="000000" w:themeColor="text1"/>
          <w:sz w:val="20"/>
          <w:szCs w:val="20"/>
        </w:rPr>
        <w:t xml:space="preserve">Bahamas </w:t>
      </w:r>
      <w:r w:rsidR="00A242A9">
        <w:rPr>
          <w:color w:val="000000" w:themeColor="text1"/>
          <w:sz w:val="20"/>
          <w:szCs w:val="20"/>
        </w:rPr>
        <w:t>(</w:t>
      </w:r>
      <w:r w:rsidR="00A242A9" w:rsidRPr="00157723">
        <w:rPr>
          <w:color w:val="000000" w:themeColor="text1"/>
          <w:sz w:val="20"/>
          <w:szCs w:val="20"/>
        </w:rPr>
        <w:t xml:space="preserve">on behalf of </w:t>
      </w:r>
      <w:r w:rsidR="00A242A9">
        <w:rPr>
          <w:color w:val="000000" w:themeColor="text1"/>
          <w:sz w:val="20"/>
          <w:szCs w:val="20"/>
        </w:rPr>
        <w:t xml:space="preserve">the Carribean Community), </w:t>
      </w:r>
      <w:r w:rsidR="00A242A9" w:rsidRPr="00A242A9">
        <w:rPr>
          <w:color w:val="000000" w:themeColor="text1"/>
          <w:sz w:val="20"/>
          <w:szCs w:val="20"/>
        </w:rPr>
        <w:t xml:space="preserve">Bahrain </w:t>
      </w:r>
      <w:r w:rsidR="00A242A9">
        <w:rPr>
          <w:color w:val="000000" w:themeColor="text1"/>
          <w:sz w:val="20"/>
          <w:szCs w:val="20"/>
        </w:rPr>
        <w:t>(</w:t>
      </w:r>
      <w:r w:rsidR="00A242A9" w:rsidRPr="00A242A9">
        <w:rPr>
          <w:color w:val="000000" w:themeColor="text1"/>
          <w:sz w:val="20"/>
          <w:szCs w:val="20"/>
        </w:rPr>
        <w:t xml:space="preserve">on behalf of the Group </w:t>
      </w:r>
      <w:r w:rsidR="00A242A9">
        <w:rPr>
          <w:color w:val="000000" w:themeColor="text1"/>
          <w:sz w:val="20"/>
          <w:szCs w:val="20"/>
        </w:rPr>
        <w:t xml:space="preserve">of </w:t>
      </w:r>
      <w:r w:rsidR="00A242A9" w:rsidRPr="00A242A9">
        <w:rPr>
          <w:color w:val="000000" w:themeColor="text1"/>
          <w:sz w:val="20"/>
          <w:szCs w:val="20"/>
        </w:rPr>
        <w:t>Arab</w:t>
      </w:r>
      <w:r w:rsidR="00A242A9">
        <w:rPr>
          <w:color w:val="000000" w:themeColor="text1"/>
          <w:sz w:val="20"/>
          <w:szCs w:val="20"/>
        </w:rPr>
        <w:t xml:space="preserve"> States), </w:t>
      </w:r>
      <w:r w:rsidR="00A242A9" w:rsidRPr="00A242A9">
        <w:rPr>
          <w:color w:val="000000" w:themeColor="text1"/>
          <w:sz w:val="20"/>
          <w:szCs w:val="20"/>
        </w:rPr>
        <w:t>Brazil (on behalf of the Community of Portuguese-speaking Countries)</w:t>
      </w:r>
      <w:r w:rsidR="00A242A9">
        <w:rPr>
          <w:color w:val="000000" w:themeColor="text1"/>
          <w:sz w:val="20"/>
          <w:szCs w:val="20"/>
        </w:rPr>
        <w:t xml:space="preserve">, </w:t>
      </w:r>
      <w:r w:rsidR="00A242A9" w:rsidRPr="00A242A9">
        <w:rPr>
          <w:color w:val="000000" w:themeColor="text1"/>
          <w:sz w:val="20"/>
          <w:szCs w:val="20"/>
        </w:rPr>
        <w:t>Croatia (also on behalf of Austria and Slovenia)</w:t>
      </w:r>
      <w:r w:rsidR="00A242A9">
        <w:rPr>
          <w:color w:val="000000" w:themeColor="text1"/>
          <w:sz w:val="20"/>
          <w:szCs w:val="20"/>
        </w:rPr>
        <w:t xml:space="preserve">, </w:t>
      </w:r>
      <w:r w:rsidR="00A242A9" w:rsidRPr="00A242A9">
        <w:rPr>
          <w:color w:val="000000" w:themeColor="text1"/>
          <w:sz w:val="20"/>
          <w:szCs w:val="20"/>
        </w:rPr>
        <w:t>Finland</w:t>
      </w:r>
      <w:r w:rsidR="007E79C8">
        <w:rPr>
          <w:rStyle w:val="FootnoteReference"/>
          <w:color w:val="000000" w:themeColor="text1"/>
          <w:szCs w:val="20"/>
        </w:rPr>
        <w:footnoteReference w:id="18"/>
      </w:r>
      <w:r w:rsidR="00A242A9" w:rsidRPr="00A242A9">
        <w:rPr>
          <w:color w:val="000000" w:themeColor="text1"/>
          <w:sz w:val="20"/>
          <w:szCs w:val="20"/>
        </w:rPr>
        <w:t xml:space="preserve"> (also on behalf of Denmark, Estonia, Iceland, Latvia, Lithuania, Norway and Sweden)</w:t>
      </w:r>
      <w:r w:rsidR="00A242A9">
        <w:rPr>
          <w:color w:val="000000" w:themeColor="text1"/>
          <w:sz w:val="20"/>
          <w:szCs w:val="20"/>
        </w:rPr>
        <w:t xml:space="preserve">, </w:t>
      </w:r>
      <w:r w:rsidR="00A242A9" w:rsidRPr="00A242A9">
        <w:rPr>
          <w:color w:val="000000" w:themeColor="text1"/>
          <w:sz w:val="20"/>
          <w:szCs w:val="20"/>
        </w:rPr>
        <w:t>Malaysia</w:t>
      </w:r>
      <w:r w:rsidR="007E79C8">
        <w:rPr>
          <w:rStyle w:val="FootnoteReference"/>
          <w:color w:val="000000" w:themeColor="text1"/>
          <w:szCs w:val="20"/>
        </w:rPr>
        <w:footnoteReference w:id="19"/>
      </w:r>
      <w:r w:rsidR="00A242A9" w:rsidRPr="00A8596E">
        <w:rPr>
          <w:color w:val="000000" w:themeColor="text1"/>
          <w:sz w:val="20"/>
          <w:szCs w:val="20"/>
        </w:rPr>
        <w:t xml:space="preserve"> </w:t>
      </w:r>
      <w:r w:rsidR="00A242A9">
        <w:rPr>
          <w:color w:val="000000" w:themeColor="text1"/>
          <w:sz w:val="20"/>
          <w:szCs w:val="20"/>
        </w:rPr>
        <w:t>(</w:t>
      </w:r>
      <w:r w:rsidR="00A242A9" w:rsidRPr="00D15C0E">
        <w:rPr>
          <w:color w:val="000000" w:themeColor="text1"/>
          <w:sz w:val="20"/>
          <w:szCs w:val="20"/>
        </w:rPr>
        <w:t>on behalf of the Association of Southeast Asian Nations</w:t>
      </w:r>
      <w:r w:rsidR="00A242A9">
        <w:rPr>
          <w:color w:val="000000" w:themeColor="text1"/>
          <w:sz w:val="20"/>
          <w:szCs w:val="20"/>
        </w:rPr>
        <w:t xml:space="preserve">), </w:t>
      </w:r>
      <w:r w:rsidR="00A242A9" w:rsidRPr="00A242A9">
        <w:rPr>
          <w:color w:val="000000" w:themeColor="text1"/>
          <w:sz w:val="20"/>
          <w:szCs w:val="20"/>
        </w:rPr>
        <w:t>Mexico (also on behalf of Australia, Indonesia, the Republic of Korea and Turkey)</w:t>
      </w:r>
      <w:r w:rsidR="00A242A9">
        <w:rPr>
          <w:color w:val="000000" w:themeColor="text1"/>
          <w:sz w:val="20"/>
          <w:szCs w:val="20"/>
        </w:rPr>
        <w:t xml:space="preserve">, </w:t>
      </w:r>
      <w:r w:rsidR="00A242A9" w:rsidRPr="00A242A9">
        <w:rPr>
          <w:color w:val="000000" w:themeColor="text1"/>
          <w:sz w:val="20"/>
          <w:szCs w:val="20"/>
        </w:rPr>
        <w:t>Mozambique</w:t>
      </w:r>
      <w:r w:rsidR="007E79C8">
        <w:rPr>
          <w:rStyle w:val="FootnoteReference"/>
          <w:color w:val="000000" w:themeColor="text1"/>
          <w:szCs w:val="20"/>
        </w:rPr>
        <w:footnoteReference w:id="20"/>
      </w:r>
      <w:r w:rsidR="00A242A9" w:rsidRPr="00A242A9">
        <w:rPr>
          <w:color w:val="000000" w:themeColor="text1"/>
          <w:sz w:val="20"/>
          <w:szCs w:val="20"/>
        </w:rPr>
        <w:t xml:space="preserve"> (also on behalf of Belgium, Chile and Italy)</w:t>
      </w:r>
      <w:r w:rsidR="00A242A9">
        <w:rPr>
          <w:color w:val="000000" w:themeColor="text1"/>
          <w:sz w:val="20"/>
          <w:szCs w:val="20"/>
        </w:rPr>
        <w:t xml:space="preserve">, </w:t>
      </w:r>
      <w:r w:rsidR="00A242A9" w:rsidRPr="00A242A9">
        <w:rPr>
          <w:color w:val="000000" w:themeColor="text1"/>
          <w:sz w:val="20"/>
          <w:szCs w:val="20"/>
        </w:rPr>
        <w:t>Oman</w:t>
      </w:r>
      <w:r w:rsidR="007E79C8">
        <w:rPr>
          <w:rStyle w:val="FootnoteReference"/>
          <w:color w:val="000000" w:themeColor="text1"/>
          <w:szCs w:val="20"/>
        </w:rPr>
        <w:footnoteReference w:id="21"/>
      </w:r>
      <w:r w:rsidR="00A242A9" w:rsidRPr="00A242A9">
        <w:rPr>
          <w:color w:val="000000" w:themeColor="text1"/>
          <w:sz w:val="20"/>
          <w:szCs w:val="20"/>
        </w:rPr>
        <w:t xml:space="preserve"> (on behalf of the Cooperation Council for the Arab States of the Gulf)</w:t>
      </w:r>
      <w:r w:rsidR="00A242A9">
        <w:rPr>
          <w:color w:val="000000" w:themeColor="text1"/>
          <w:sz w:val="20"/>
          <w:szCs w:val="20"/>
        </w:rPr>
        <w:t xml:space="preserve">, </w:t>
      </w:r>
      <w:r w:rsidR="00A242A9" w:rsidRPr="00A242A9">
        <w:rPr>
          <w:color w:val="000000" w:themeColor="text1"/>
          <w:sz w:val="20"/>
          <w:szCs w:val="20"/>
        </w:rPr>
        <w:t>United Kingdom of Great Britain and Northern Ireland</w:t>
      </w:r>
      <w:r w:rsidRPr="00372CCE">
        <w:rPr>
          <w:color w:val="000000" w:themeColor="text1"/>
          <w:sz w:val="20"/>
          <w:szCs w:val="20"/>
        </w:rPr>
        <w:t xml:space="preserve">; </w:t>
      </w:r>
    </w:p>
    <w:p w14:paraId="2EA5882B" w14:textId="4A0103B3" w:rsidR="00F11B08" w:rsidRPr="00372CCE" w:rsidRDefault="00F11B08" w:rsidP="00F11B08">
      <w:pPr>
        <w:spacing w:after="120"/>
        <w:ind w:left="1134" w:right="1134" w:firstLine="567"/>
        <w:jc w:val="both"/>
        <w:rPr>
          <w:color w:val="000000" w:themeColor="text1"/>
          <w:sz w:val="20"/>
          <w:szCs w:val="20"/>
        </w:rPr>
      </w:pPr>
      <w:r w:rsidRPr="00372CCE">
        <w:rPr>
          <w:color w:val="000000" w:themeColor="text1"/>
          <w:sz w:val="20"/>
          <w:szCs w:val="20"/>
        </w:rPr>
        <w:t>(</w:t>
      </w:r>
      <w:r w:rsidR="00A242A9">
        <w:rPr>
          <w:color w:val="000000" w:themeColor="text1"/>
          <w:sz w:val="20"/>
          <w:szCs w:val="20"/>
        </w:rPr>
        <w:t>b</w:t>
      </w:r>
      <w:r w:rsidRPr="00372CCE">
        <w:rPr>
          <w:color w:val="000000" w:themeColor="text1"/>
          <w:sz w:val="20"/>
          <w:szCs w:val="20"/>
        </w:rPr>
        <w:t>)</w:t>
      </w:r>
      <w:r w:rsidRPr="00372CCE">
        <w:rPr>
          <w:color w:val="000000" w:themeColor="text1"/>
          <w:sz w:val="20"/>
          <w:szCs w:val="20"/>
        </w:rPr>
        <w:tab/>
        <w:t>Observer for an intergovernmental organization: European Union;</w:t>
      </w:r>
    </w:p>
    <w:p w14:paraId="2EA5882C" w14:textId="22659624" w:rsidR="00F11B08" w:rsidRPr="00372CCE" w:rsidRDefault="00F11B08" w:rsidP="00F11B08">
      <w:pPr>
        <w:spacing w:after="120"/>
        <w:ind w:left="1134" w:right="1134" w:firstLine="567"/>
        <w:jc w:val="both"/>
        <w:rPr>
          <w:color w:val="000000" w:themeColor="text1"/>
          <w:sz w:val="20"/>
          <w:szCs w:val="20"/>
        </w:rPr>
      </w:pPr>
      <w:r w:rsidRPr="00372CCE">
        <w:rPr>
          <w:color w:val="000000" w:themeColor="text1"/>
          <w:sz w:val="20"/>
          <w:szCs w:val="20"/>
        </w:rPr>
        <w:t>(</w:t>
      </w:r>
      <w:r w:rsidR="00CA7ED3">
        <w:rPr>
          <w:color w:val="000000" w:themeColor="text1"/>
          <w:sz w:val="20"/>
          <w:szCs w:val="20"/>
        </w:rPr>
        <w:t>c</w:t>
      </w:r>
      <w:r w:rsidRPr="00372CCE">
        <w:rPr>
          <w:color w:val="000000" w:themeColor="text1"/>
          <w:sz w:val="20"/>
          <w:szCs w:val="20"/>
        </w:rPr>
        <w:t>)</w:t>
      </w:r>
      <w:r w:rsidRPr="00372CCE">
        <w:rPr>
          <w:color w:val="000000" w:themeColor="text1"/>
          <w:sz w:val="20"/>
          <w:szCs w:val="20"/>
        </w:rPr>
        <w:tab/>
        <w:t xml:space="preserve">Observer for a national human rights institution: </w:t>
      </w:r>
      <w:r w:rsidR="00E6509F" w:rsidRPr="002355F1">
        <w:rPr>
          <w:color w:val="000000" w:themeColor="text1"/>
          <w:sz w:val="20"/>
          <w:szCs w:val="20"/>
        </w:rPr>
        <w:t xml:space="preserve">Indonesia National Commission on Human Rights </w:t>
      </w:r>
      <w:r w:rsidR="00E6509F">
        <w:rPr>
          <w:color w:val="000000" w:themeColor="text1"/>
          <w:sz w:val="20"/>
          <w:szCs w:val="20"/>
        </w:rPr>
        <w:t>(</w:t>
      </w:r>
      <w:r w:rsidR="00E6509F" w:rsidRPr="002355F1">
        <w:rPr>
          <w:color w:val="000000" w:themeColor="text1"/>
          <w:sz w:val="20"/>
          <w:szCs w:val="20"/>
        </w:rPr>
        <w:t>Komnas HAM</w:t>
      </w:r>
      <w:r w:rsidR="00E6509F">
        <w:rPr>
          <w:color w:val="000000" w:themeColor="text1"/>
          <w:sz w:val="20"/>
          <w:szCs w:val="20"/>
        </w:rPr>
        <w:t>)</w:t>
      </w:r>
      <w:r w:rsidRPr="00372CCE">
        <w:rPr>
          <w:color w:val="000000" w:themeColor="text1"/>
          <w:sz w:val="20"/>
          <w:szCs w:val="20"/>
        </w:rPr>
        <w:t>;</w:t>
      </w:r>
    </w:p>
    <w:p w14:paraId="2EA5882D" w14:textId="72D1BB7F" w:rsidR="00F11B08" w:rsidRPr="00120FEE" w:rsidRDefault="00CA7ED3" w:rsidP="00F11B08">
      <w:pPr>
        <w:spacing w:after="120"/>
        <w:ind w:left="1134" w:right="1134" w:firstLine="567"/>
        <w:jc w:val="both"/>
        <w:rPr>
          <w:color w:val="000000" w:themeColor="text1"/>
          <w:sz w:val="20"/>
          <w:szCs w:val="20"/>
          <w:lang w:val="en-GB"/>
        </w:rPr>
      </w:pPr>
      <w:r w:rsidRPr="00120FEE">
        <w:rPr>
          <w:color w:val="000000" w:themeColor="text1"/>
          <w:sz w:val="20"/>
          <w:szCs w:val="20"/>
          <w:lang w:val="en-GB"/>
        </w:rPr>
        <w:t>(d</w:t>
      </w:r>
      <w:r w:rsidR="00F11B08" w:rsidRPr="00120FEE">
        <w:rPr>
          <w:color w:val="000000" w:themeColor="text1"/>
          <w:sz w:val="20"/>
          <w:szCs w:val="20"/>
          <w:lang w:val="en-GB"/>
        </w:rPr>
        <w:t>)</w:t>
      </w:r>
      <w:r w:rsidR="00F11B08" w:rsidRPr="00120FEE">
        <w:rPr>
          <w:color w:val="000000" w:themeColor="text1"/>
          <w:sz w:val="20"/>
          <w:szCs w:val="20"/>
          <w:lang w:val="en-GB"/>
        </w:rPr>
        <w:tab/>
        <w:t xml:space="preserve">Observers for non-governmental organizations: </w:t>
      </w:r>
      <w:r w:rsidR="00A242A9" w:rsidRPr="00120FEE">
        <w:rPr>
          <w:color w:val="000000" w:themeColor="text1"/>
          <w:sz w:val="20"/>
          <w:szCs w:val="20"/>
          <w:lang w:val="en-GB"/>
        </w:rPr>
        <w:t>Americans for Democracy &amp; Human Rights in Bahrain Inc; International Campaign to Ban Landmines</w:t>
      </w:r>
      <w:r w:rsidR="00F11B08" w:rsidRPr="00120FEE">
        <w:rPr>
          <w:color w:val="000000" w:themeColor="text1"/>
          <w:sz w:val="20"/>
          <w:szCs w:val="20"/>
          <w:lang w:val="en-GB"/>
        </w:rPr>
        <w:t>.</w:t>
      </w:r>
    </w:p>
    <w:p w14:paraId="2EA5882F" w14:textId="341BE08A" w:rsidR="00F11B08" w:rsidRPr="00372CCE" w:rsidRDefault="009B6FCB" w:rsidP="00F11B08">
      <w:pPr>
        <w:spacing w:after="120"/>
        <w:ind w:left="1134" w:right="1134"/>
        <w:jc w:val="both"/>
        <w:rPr>
          <w:color w:val="000000" w:themeColor="text1"/>
          <w:sz w:val="20"/>
          <w:szCs w:val="20"/>
        </w:rPr>
      </w:pPr>
      <w:r>
        <w:rPr>
          <w:color w:val="000000" w:themeColor="text1"/>
          <w:sz w:val="20"/>
          <w:szCs w:val="20"/>
        </w:rPr>
        <w:t>103</w:t>
      </w:r>
      <w:r w:rsidR="00F11B08" w:rsidRPr="00372CCE">
        <w:rPr>
          <w:color w:val="000000" w:themeColor="text1"/>
          <w:sz w:val="20"/>
          <w:szCs w:val="20"/>
        </w:rPr>
        <w:t>.</w:t>
      </w:r>
      <w:r w:rsidR="00F11B08" w:rsidRPr="00372CCE">
        <w:rPr>
          <w:color w:val="000000" w:themeColor="text1"/>
          <w:sz w:val="20"/>
          <w:szCs w:val="20"/>
        </w:rPr>
        <w:tab/>
      </w:r>
      <w:r w:rsidR="004B1A4D" w:rsidRPr="00372CCE">
        <w:rPr>
          <w:color w:val="000000" w:themeColor="text1"/>
          <w:sz w:val="20"/>
          <w:szCs w:val="20"/>
        </w:rPr>
        <w:t xml:space="preserve"> </w:t>
      </w:r>
      <w:r w:rsidR="00F11B08" w:rsidRPr="00372CCE">
        <w:rPr>
          <w:color w:val="000000" w:themeColor="text1"/>
          <w:sz w:val="20"/>
          <w:szCs w:val="20"/>
        </w:rPr>
        <w:t>During the discussion for the second slot, at the same meeting, the following made statements and asked the panellists questions:</w:t>
      </w:r>
    </w:p>
    <w:p w14:paraId="2EA58830" w14:textId="25ADD851" w:rsidR="00F11B08" w:rsidRPr="00372CCE" w:rsidRDefault="00F11B08" w:rsidP="00F11B08">
      <w:pPr>
        <w:spacing w:after="120"/>
        <w:ind w:left="1134" w:right="1134" w:firstLine="567"/>
        <w:jc w:val="both"/>
        <w:rPr>
          <w:color w:val="000000" w:themeColor="text1"/>
          <w:sz w:val="20"/>
          <w:szCs w:val="20"/>
        </w:rPr>
      </w:pPr>
      <w:r w:rsidRPr="00372CCE">
        <w:rPr>
          <w:color w:val="000000" w:themeColor="text1"/>
          <w:sz w:val="20"/>
          <w:szCs w:val="20"/>
        </w:rPr>
        <w:t>(a)</w:t>
      </w:r>
      <w:r w:rsidRPr="00372CCE">
        <w:rPr>
          <w:color w:val="000000" w:themeColor="text1"/>
          <w:sz w:val="20"/>
          <w:szCs w:val="20"/>
        </w:rPr>
        <w:tab/>
        <w:t xml:space="preserve">Representatives of </w:t>
      </w:r>
      <w:r w:rsidR="005D3E5F" w:rsidRPr="00372CCE">
        <w:rPr>
          <w:color w:val="000000" w:themeColor="text1"/>
          <w:sz w:val="20"/>
          <w:szCs w:val="20"/>
        </w:rPr>
        <w:t>States Members</w:t>
      </w:r>
      <w:r w:rsidRPr="00372CCE">
        <w:rPr>
          <w:color w:val="000000" w:themeColor="text1"/>
          <w:sz w:val="20"/>
          <w:szCs w:val="20"/>
        </w:rPr>
        <w:t xml:space="preserve"> of the Human Rights Council: </w:t>
      </w:r>
      <w:r w:rsidR="00CA7ED3" w:rsidRPr="00CA7ED3">
        <w:rPr>
          <w:color w:val="000000" w:themeColor="text1"/>
          <w:sz w:val="20"/>
          <w:szCs w:val="20"/>
        </w:rPr>
        <w:t>Brazil</w:t>
      </w:r>
      <w:r w:rsidR="00CA7ED3">
        <w:rPr>
          <w:color w:val="000000" w:themeColor="text1"/>
          <w:sz w:val="20"/>
          <w:szCs w:val="20"/>
        </w:rPr>
        <w:t>,</w:t>
      </w:r>
      <w:r w:rsidR="00CA7ED3" w:rsidRPr="00CA7ED3">
        <w:rPr>
          <w:color w:val="000000" w:themeColor="text1"/>
          <w:sz w:val="20"/>
          <w:szCs w:val="20"/>
        </w:rPr>
        <w:t xml:space="preserve"> Italy</w:t>
      </w:r>
      <w:r w:rsidR="00CA7ED3">
        <w:rPr>
          <w:color w:val="000000" w:themeColor="text1"/>
          <w:sz w:val="20"/>
          <w:szCs w:val="20"/>
        </w:rPr>
        <w:t xml:space="preserve">, Qatar, South Africa, </w:t>
      </w:r>
      <w:r w:rsidR="00CA7ED3" w:rsidRPr="00CA7ED3">
        <w:rPr>
          <w:color w:val="000000" w:themeColor="text1"/>
          <w:sz w:val="20"/>
          <w:szCs w:val="20"/>
        </w:rPr>
        <w:t>Spain</w:t>
      </w:r>
      <w:r w:rsidRPr="00372CCE">
        <w:rPr>
          <w:color w:val="000000" w:themeColor="text1"/>
          <w:sz w:val="20"/>
          <w:szCs w:val="20"/>
        </w:rPr>
        <w:t xml:space="preserve">; </w:t>
      </w:r>
    </w:p>
    <w:p w14:paraId="2EA58831" w14:textId="2FE88612" w:rsidR="00F11B08" w:rsidRDefault="00F11B08" w:rsidP="00F11B08">
      <w:pPr>
        <w:spacing w:after="120"/>
        <w:ind w:left="1134" w:right="1134" w:firstLine="567"/>
        <w:jc w:val="both"/>
        <w:rPr>
          <w:color w:val="000000" w:themeColor="text1"/>
          <w:sz w:val="20"/>
          <w:szCs w:val="20"/>
        </w:rPr>
      </w:pPr>
      <w:r w:rsidRPr="00372CCE">
        <w:rPr>
          <w:color w:val="000000" w:themeColor="text1"/>
          <w:sz w:val="20"/>
          <w:szCs w:val="20"/>
        </w:rPr>
        <w:lastRenderedPageBreak/>
        <w:t>(b)</w:t>
      </w:r>
      <w:r w:rsidRPr="00372CCE">
        <w:rPr>
          <w:color w:val="000000" w:themeColor="text1"/>
          <w:sz w:val="20"/>
          <w:szCs w:val="20"/>
        </w:rPr>
        <w:tab/>
        <w:t xml:space="preserve">Representatives of observer States: </w:t>
      </w:r>
      <w:r w:rsidR="00CA7ED3" w:rsidRPr="00CA7ED3">
        <w:rPr>
          <w:color w:val="000000" w:themeColor="text1"/>
          <w:sz w:val="20"/>
          <w:szCs w:val="20"/>
        </w:rPr>
        <w:t>Greece</w:t>
      </w:r>
      <w:r w:rsidR="00CA7ED3">
        <w:rPr>
          <w:color w:val="000000" w:themeColor="text1"/>
          <w:sz w:val="20"/>
          <w:szCs w:val="20"/>
        </w:rPr>
        <w:t xml:space="preserve">, Indonesia, </w:t>
      </w:r>
      <w:r w:rsidR="00CA7ED3" w:rsidRPr="00CA7ED3">
        <w:rPr>
          <w:color w:val="000000" w:themeColor="text1"/>
          <w:sz w:val="20"/>
          <w:szCs w:val="20"/>
        </w:rPr>
        <w:t xml:space="preserve">Iran (Islamic Republic </w:t>
      </w:r>
      <w:r w:rsidR="00CA7ED3">
        <w:rPr>
          <w:color w:val="000000" w:themeColor="text1"/>
          <w:sz w:val="20"/>
          <w:szCs w:val="20"/>
        </w:rPr>
        <w:t>o</w:t>
      </w:r>
      <w:r w:rsidR="00CA7ED3" w:rsidRPr="00CA7ED3">
        <w:rPr>
          <w:color w:val="000000" w:themeColor="text1"/>
          <w:sz w:val="20"/>
          <w:szCs w:val="20"/>
        </w:rPr>
        <w:t>f)</w:t>
      </w:r>
      <w:r w:rsidR="00CA7ED3">
        <w:rPr>
          <w:color w:val="000000" w:themeColor="text1"/>
          <w:sz w:val="20"/>
          <w:szCs w:val="20"/>
        </w:rPr>
        <w:t xml:space="preserve">, </w:t>
      </w:r>
      <w:r w:rsidR="00CA7ED3" w:rsidRPr="00CA7ED3">
        <w:rPr>
          <w:color w:val="000000" w:themeColor="text1"/>
          <w:sz w:val="20"/>
          <w:szCs w:val="20"/>
        </w:rPr>
        <w:t>Maldives</w:t>
      </w:r>
      <w:r w:rsidR="00CA7ED3">
        <w:rPr>
          <w:color w:val="000000" w:themeColor="text1"/>
          <w:sz w:val="20"/>
          <w:szCs w:val="20"/>
        </w:rPr>
        <w:t xml:space="preserve">, </w:t>
      </w:r>
      <w:r w:rsidR="00CA7ED3" w:rsidRPr="00CA7ED3">
        <w:rPr>
          <w:color w:val="000000" w:themeColor="text1"/>
          <w:sz w:val="20"/>
          <w:szCs w:val="20"/>
        </w:rPr>
        <w:t>Russian Federation</w:t>
      </w:r>
      <w:r w:rsidR="00CA7ED3">
        <w:rPr>
          <w:color w:val="000000" w:themeColor="text1"/>
          <w:sz w:val="20"/>
          <w:szCs w:val="20"/>
        </w:rPr>
        <w:t xml:space="preserve">, </w:t>
      </w:r>
      <w:r w:rsidR="00CA7ED3" w:rsidRPr="00CA7ED3">
        <w:rPr>
          <w:color w:val="000000" w:themeColor="text1"/>
          <w:sz w:val="20"/>
          <w:szCs w:val="20"/>
        </w:rPr>
        <w:t xml:space="preserve">Venezuela (Bolivarian Republic </w:t>
      </w:r>
      <w:r w:rsidR="00CA7ED3">
        <w:rPr>
          <w:color w:val="000000" w:themeColor="text1"/>
          <w:sz w:val="20"/>
          <w:szCs w:val="20"/>
        </w:rPr>
        <w:t>o</w:t>
      </w:r>
      <w:r w:rsidR="00CA7ED3" w:rsidRPr="00CA7ED3">
        <w:rPr>
          <w:color w:val="000000" w:themeColor="text1"/>
          <w:sz w:val="20"/>
          <w:szCs w:val="20"/>
        </w:rPr>
        <w:t>f)</w:t>
      </w:r>
      <w:r w:rsidR="00CA7ED3">
        <w:rPr>
          <w:color w:val="000000" w:themeColor="text1"/>
          <w:sz w:val="20"/>
          <w:szCs w:val="20"/>
        </w:rPr>
        <w:t xml:space="preserve">, </w:t>
      </w:r>
      <w:r w:rsidR="00CA7ED3" w:rsidRPr="00CA7ED3">
        <w:rPr>
          <w:color w:val="000000" w:themeColor="text1"/>
          <w:sz w:val="20"/>
          <w:szCs w:val="20"/>
        </w:rPr>
        <w:t>Viet Nam</w:t>
      </w:r>
      <w:r w:rsidRPr="00372CCE">
        <w:rPr>
          <w:color w:val="000000" w:themeColor="text1"/>
          <w:sz w:val="20"/>
          <w:szCs w:val="20"/>
        </w:rPr>
        <w:t xml:space="preserve">; </w:t>
      </w:r>
    </w:p>
    <w:p w14:paraId="6CA2F952" w14:textId="52A171E8" w:rsidR="00CA7ED3" w:rsidRPr="00372CCE" w:rsidRDefault="00CA7ED3" w:rsidP="00F11B08">
      <w:pPr>
        <w:spacing w:after="120"/>
        <w:ind w:left="1134" w:right="1134" w:firstLine="567"/>
        <w:jc w:val="both"/>
        <w:rPr>
          <w:color w:val="000000" w:themeColor="text1"/>
          <w:sz w:val="20"/>
          <w:szCs w:val="20"/>
        </w:rPr>
      </w:pPr>
      <w:r w:rsidRPr="00372CCE">
        <w:rPr>
          <w:color w:val="000000" w:themeColor="text1"/>
          <w:sz w:val="20"/>
          <w:szCs w:val="20"/>
        </w:rPr>
        <w:t>(</w:t>
      </w:r>
      <w:r>
        <w:rPr>
          <w:color w:val="000000" w:themeColor="text1"/>
          <w:sz w:val="20"/>
          <w:szCs w:val="20"/>
        </w:rPr>
        <w:t>c</w:t>
      </w:r>
      <w:r w:rsidRPr="00372CCE">
        <w:rPr>
          <w:color w:val="000000" w:themeColor="text1"/>
          <w:sz w:val="20"/>
          <w:szCs w:val="20"/>
        </w:rPr>
        <w:t>)</w:t>
      </w:r>
      <w:r w:rsidRPr="00372CCE">
        <w:rPr>
          <w:color w:val="000000" w:themeColor="text1"/>
          <w:sz w:val="20"/>
          <w:szCs w:val="20"/>
        </w:rPr>
        <w:tab/>
        <w:t>Observer for a national human rights institution:</w:t>
      </w:r>
      <w:r>
        <w:rPr>
          <w:color w:val="000000" w:themeColor="text1"/>
          <w:sz w:val="20"/>
          <w:szCs w:val="20"/>
        </w:rPr>
        <w:t xml:space="preserve"> </w:t>
      </w:r>
      <w:r w:rsidRPr="00CA7ED3">
        <w:rPr>
          <w:color w:val="000000" w:themeColor="text1"/>
          <w:sz w:val="20"/>
          <w:szCs w:val="20"/>
        </w:rPr>
        <w:t>Commissioner for Human Rights in the Russian Federation</w:t>
      </w:r>
      <w:r>
        <w:rPr>
          <w:color w:val="000000" w:themeColor="text1"/>
          <w:sz w:val="20"/>
          <w:szCs w:val="20"/>
        </w:rPr>
        <w:t>;</w:t>
      </w:r>
    </w:p>
    <w:p w14:paraId="2EA58833" w14:textId="14CBC8AC" w:rsidR="00F11B08" w:rsidRPr="00372CCE" w:rsidRDefault="00F11B08" w:rsidP="00F11B08">
      <w:pPr>
        <w:spacing w:after="120"/>
        <w:ind w:left="1134" w:right="1134" w:firstLine="567"/>
        <w:jc w:val="both"/>
        <w:rPr>
          <w:color w:val="000000" w:themeColor="text1"/>
          <w:sz w:val="20"/>
          <w:szCs w:val="20"/>
        </w:rPr>
      </w:pPr>
      <w:r w:rsidRPr="00372CCE">
        <w:rPr>
          <w:color w:val="000000" w:themeColor="text1"/>
          <w:sz w:val="20"/>
          <w:szCs w:val="20"/>
        </w:rPr>
        <w:t>(</w:t>
      </w:r>
      <w:r w:rsidR="00CA7ED3">
        <w:rPr>
          <w:color w:val="000000" w:themeColor="text1"/>
          <w:sz w:val="20"/>
          <w:szCs w:val="20"/>
        </w:rPr>
        <w:t>d</w:t>
      </w:r>
      <w:r w:rsidRPr="00372CCE">
        <w:rPr>
          <w:color w:val="000000" w:themeColor="text1"/>
          <w:sz w:val="20"/>
          <w:szCs w:val="20"/>
        </w:rPr>
        <w:t>)</w:t>
      </w:r>
      <w:r w:rsidRPr="00372CCE">
        <w:rPr>
          <w:color w:val="000000" w:themeColor="text1"/>
          <w:sz w:val="20"/>
          <w:szCs w:val="20"/>
        </w:rPr>
        <w:tab/>
        <w:t xml:space="preserve">Observers for non-governmental organizations: </w:t>
      </w:r>
      <w:r w:rsidR="00CA7ED3" w:rsidRPr="00CA7ED3">
        <w:rPr>
          <w:color w:val="000000" w:themeColor="text1"/>
          <w:sz w:val="20"/>
          <w:szCs w:val="20"/>
        </w:rPr>
        <w:t>Iraqi Development Organization</w:t>
      </w:r>
      <w:r w:rsidR="00CA7ED3">
        <w:rPr>
          <w:color w:val="000000" w:themeColor="text1"/>
          <w:sz w:val="20"/>
          <w:szCs w:val="20"/>
        </w:rPr>
        <w:t xml:space="preserve">; </w:t>
      </w:r>
      <w:r w:rsidR="00CA7ED3" w:rsidRPr="00CA7ED3">
        <w:rPr>
          <w:color w:val="000000" w:themeColor="text1"/>
          <w:sz w:val="20"/>
          <w:szCs w:val="20"/>
        </w:rPr>
        <w:t>Maat for Peace, Development and Human Rights Association</w:t>
      </w:r>
      <w:r w:rsidRPr="00372CCE">
        <w:rPr>
          <w:color w:val="000000" w:themeColor="text1"/>
          <w:sz w:val="20"/>
          <w:szCs w:val="20"/>
        </w:rPr>
        <w:t>.</w:t>
      </w:r>
    </w:p>
    <w:p w14:paraId="2EA58834" w14:textId="00E01CDF" w:rsidR="00F11B08" w:rsidRPr="0067399B" w:rsidRDefault="009B6FCB" w:rsidP="00F11B08">
      <w:pPr>
        <w:spacing w:after="120"/>
        <w:ind w:left="1134" w:right="1134"/>
        <w:jc w:val="both"/>
        <w:rPr>
          <w:color w:val="000000" w:themeColor="text1"/>
          <w:sz w:val="20"/>
          <w:szCs w:val="20"/>
        </w:rPr>
      </w:pPr>
      <w:r>
        <w:rPr>
          <w:color w:val="000000" w:themeColor="text1"/>
          <w:sz w:val="20"/>
          <w:szCs w:val="20"/>
        </w:rPr>
        <w:t>104</w:t>
      </w:r>
      <w:r w:rsidR="00F11B08" w:rsidRPr="00372CCE">
        <w:rPr>
          <w:color w:val="000000" w:themeColor="text1"/>
          <w:sz w:val="20"/>
          <w:szCs w:val="20"/>
        </w:rPr>
        <w:t>.</w:t>
      </w:r>
      <w:r w:rsidR="00F11B08" w:rsidRPr="00372CCE">
        <w:rPr>
          <w:color w:val="000000" w:themeColor="text1"/>
          <w:sz w:val="20"/>
          <w:szCs w:val="20"/>
        </w:rPr>
        <w:tab/>
        <w:t>At the same meeting, the panellists answered questions and made their concluding remarks.</w:t>
      </w:r>
    </w:p>
    <w:p w14:paraId="2EA58882" w14:textId="45379EFD" w:rsidR="00F11B08" w:rsidRPr="00C16037" w:rsidRDefault="00F11B08" w:rsidP="00415787">
      <w:pPr>
        <w:pStyle w:val="H1G"/>
        <w:rPr>
          <w:b w:val="0"/>
          <w:color w:val="000000" w:themeColor="text1"/>
        </w:rPr>
      </w:pPr>
      <w:r w:rsidRPr="00C16037">
        <w:rPr>
          <w:color w:val="000000" w:themeColor="text1"/>
        </w:rPr>
        <w:tab/>
      </w:r>
      <w:r w:rsidR="00A078AC">
        <w:rPr>
          <w:color w:val="000000" w:themeColor="text1"/>
        </w:rPr>
        <w:t>B</w:t>
      </w:r>
      <w:r w:rsidRPr="00C16037">
        <w:rPr>
          <w:color w:val="000000" w:themeColor="text1"/>
        </w:rPr>
        <w:t>.</w:t>
      </w:r>
      <w:r w:rsidRPr="00C16037">
        <w:rPr>
          <w:color w:val="000000" w:themeColor="text1"/>
        </w:rPr>
        <w:tab/>
        <w:t xml:space="preserve">Interactive dialogue with special procedures mandate holders </w:t>
      </w:r>
    </w:p>
    <w:p w14:paraId="62169D03" w14:textId="77777777" w:rsidR="00B66F17" w:rsidRPr="0067399B" w:rsidRDefault="00B66F17" w:rsidP="00B66F17">
      <w:pPr>
        <w:pStyle w:val="H1G"/>
        <w:rPr>
          <w:color w:val="000000" w:themeColor="text1"/>
          <w:sz w:val="20"/>
          <w:szCs w:val="20"/>
        </w:rPr>
      </w:pPr>
      <w:r w:rsidRPr="0067399B">
        <w:rPr>
          <w:color w:val="000000" w:themeColor="text1"/>
          <w:sz w:val="20"/>
          <w:szCs w:val="20"/>
        </w:rPr>
        <w:tab/>
      </w:r>
      <w:r w:rsidRPr="0067399B">
        <w:rPr>
          <w:color w:val="000000" w:themeColor="text1"/>
          <w:sz w:val="20"/>
          <w:szCs w:val="20"/>
        </w:rPr>
        <w:tab/>
      </w:r>
      <w:r w:rsidRPr="00A078AC">
        <w:rPr>
          <w:color w:val="000000" w:themeColor="text1"/>
          <w:sz w:val="20"/>
          <w:szCs w:val="20"/>
        </w:rPr>
        <w:t>Special Rapporteur on the right to food</w:t>
      </w:r>
    </w:p>
    <w:p w14:paraId="18925A5A" w14:textId="1653BF7F" w:rsidR="00B66F17" w:rsidRDefault="009B6FCB" w:rsidP="00B66F17">
      <w:pPr>
        <w:pStyle w:val="SingleTxtG"/>
        <w:rPr>
          <w:color w:val="000000" w:themeColor="text1"/>
          <w:sz w:val="20"/>
          <w:szCs w:val="20"/>
        </w:rPr>
      </w:pPr>
      <w:r>
        <w:rPr>
          <w:color w:val="000000" w:themeColor="text1"/>
          <w:sz w:val="20"/>
          <w:szCs w:val="20"/>
        </w:rPr>
        <w:t>105</w:t>
      </w:r>
      <w:r w:rsidR="00B66F17" w:rsidRPr="0067399B">
        <w:rPr>
          <w:color w:val="000000" w:themeColor="text1"/>
          <w:sz w:val="20"/>
          <w:szCs w:val="20"/>
        </w:rPr>
        <w:t>.</w:t>
      </w:r>
      <w:r w:rsidR="00B66F17" w:rsidRPr="0067399B">
        <w:rPr>
          <w:color w:val="000000" w:themeColor="text1"/>
          <w:sz w:val="20"/>
          <w:szCs w:val="20"/>
        </w:rPr>
        <w:tab/>
        <w:t xml:space="preserve">At the </w:t>
      </w:r>
      <w:r w:rsidR="00B66F17">
        <w:rPr>
          <w:color w:val="000000" w:themeColor="text1"/>
          <w:sz w:val="20"/>
          <w:szCs w:val="20"/>
        </w:rPr>
        <w:t>9</w:t>
      </w:r>
      <w:r w:rsidR="00B66F17" w:rsidRPr="0067399B">
        <w:rPr>
          <w:color w:val="000000" w:themeColor="text1"/>
          <w:sz w:val="20"/>
          <w:szCs w:val="20"/>
        </w:rPr>
        <w:t xml:space="preserve">th meeting, on </w:t>
      </w:r>
      <w:r w:rsidR="00B66F17">
        <w:rPr>
          <w:color w:val="000000" w:themeColor="text1"/>
          <w:sz w:val="20"/>
          <w:szCs w:val="20"/>
        </w:rPr>
        <w:t>28 Februar</w:t>
      </w:r>
      <w:r w:rsidR="00B66F17">
        <w:rPr>
          <w:color w:val="000000" w:themeColor="text1"/>
          <w:sz w:val="20"/>
          <w:szCs w:val="20"/>
          <w:lang w:val="en-GB"/>
        </w:rPr>
        <w:t>y</w:t>
      </w:r>
      <w:r w:rsidR="00B66F17" w:rsidRPr="0067399B">
        <w:rPr>
          <w:color w:val="000000" w:themeColor="text1"/>
          <w:sz w:val="20"/>
          <w:szCs w:val="20"/>
        </w:rPr>
        <w:t xml:space="preserve"> </w:t>
      </w:r>
      <w:r w:rsidR="00B66F17">
        <w:rPr>
          <w:color w:val="000000" w:themeColor="text1"/>
          <w:sz w:val="20"/>
          <w:szCs w:val="20"/>
        </w:rPr>
        <w:t>2019</w:t>
      </w:r>
      <w:r w:rsidR="00B66F17" w:rsidRPr="0067399B">
        <w:rPr>
          <w:color w:val="000000" w:themeColor="text1"/>
          <w:sz w:val="20"/>
          <w:szCs w:val="20"/>
        </w:rPr>
        <w:t>, the Special Rapporteur on the right to food, Hilal Elver, presented her reports (</w:t>
      </w:r>
      <w:r w:rsidR="000176F6" w:rsidRPr="000176F6">
        <w:rPr>
          <w:color w:val="000000" w:themeColor="text1"/>
          <w:sz w:val="20"/>
          <w:szCs w:val="20"/>
        </w:rPr>
        <w:t>A/HRC/40/56</w:t>
      </w:r>
      <w:r w:rsidR="00B66F17" w:rsidRPr="000176F6">
        <w:rPr>
          <w:color w:val="000000" w:themeColor="text1"/>
          <w:sz w:val="20"/>
          <w:szCs w:val="20"/>
        </w:rPr>
        <w:t xml:space="preserve"> and Add.1</w:t>
      </w:r>
      <w:r w:rsidR="000176F6" w:rsidRPr="000176F6">
        <w:rPr>
          <w:color w:val="000000" w:themeColor="text1"/>
          <w:sz w:val="20"/>
          <w:szCs w:val="20"/>
        </w:rPr>
        <w:t>-3</w:t>
      </w:r>
      <w:r w:rsidR="00B66F17" w:rsidRPr="000176F6">
        <w:rPr>
          <w:color w:val="000000" w:themeColor="text1"/>
          <w:sz w:val="20"/>
          <w:szCs w:val="20"/>
        </w:rPr>
        <w:t>).</w:t>
      </w:r>
    </w:p>
    <w:p w14:paraId="78ADB4E2" w14:textId="66759820" w:rsidR="000176F6" w:rsidRDefault="009B6FCB" w:rsidP="00A93886">
      <w:pPr>
        <w:pStyle w:val="SingleTxtG"/>
        <w:rPr>
          <w:color w:val="000000" w:themeColor="text1"/>
          <w:sz w:val="20"/>
          <w:szCs w:val="20"/>
        </w:rPr>
      </w:pPr>
      <w:r>
        <w:rPr>
          <w:color w:val="000000" w:themeColor="text1"/>
          <w:sz w:val="20"/>
          <w:szCs w:val="20"/>
        </w:rPr>
        <w:t>106</w:t>
      </w:r>
      <w:r w:rsidR="00A93886" w:rsidRPr="0067399B">
        <w:rPr>
          <w:color w:val="000000" w:themeColor="text1"/>
          <w:sz w:val="20"/>
          <w:szCs w:val="20"/>
        </w:rPr>
        <w:t>.</w:t>
      </w:r>
      <w:r w:rsidR="00A93886" w:rsidRPr="0067399B">
        <w:rPr>
          <w:color w:val="000000" w:themeColor="text1"/>
          <w:sz w:val="20"/>
          <w:szCs w:val="20"/>
        </w:rPr>
        <w:tab/>
        <w:t xml:space="preserve">At the same meeting, the representatives of </w:t>
      </w:r>
      <w:r w:rsidR="000176F6" w:rsidRPr="000176F6">
        <w:rPr>
          <w:color w:val="000000" w:themeColor="text1"/>
          <w:sz w:val="20"/>
          <w:szCs w:val="20"/>
        </w:rPr>
        <w:t>Argentina</w:t>
      </w:r>
      <w:r w:rsidR="000176F6">
        <w:rPr>
          <w:color w:val="000000" w:themeColor="text1"/>
          <w:sz w:val="20"/>
          <w:szCs w:val="20"/>
        </w:rPr>
        <w:t xml:space="preserve">, </w:t>
      </w:r>
      <w:r w:rsidR="000176F6" w:rsidRPr="000176F6">
        <w:rPr>
          <w:color w:val="000000" w:themeColor="text1"/>
          <w:sz w:val="20"/>
          <w:szCs w:val="20"/>
        </w:rPr>
        <w:t>Indonesia</w:t>
      </w:r>
      <w:r w:rsidR="000176F6">
        <w:rPr>
          <w:color w:val="000000" w:themeColor="text1"/>
          <w:sz w:val="20"/>
          <w:szCs w:val="20"/>
        </w:rPr>
        <w:t xml:space="preserve"> and </w:t>
      </w:r>
      <w:r w:rsidR="000176F6" w:rsidRPr="000176F6">
        <w:rPr>
          <w:color w:val="000000" w:themeColor="text1"/>
          <w:sz w:val="20"/>
          <w:szCs w:val="20"/>
        </w:rPr>
        <w:t>Viet Nam</w:t>
      </w:r>
      <w:r w:rsidR="000176F6">
        <w:rPr>
          <w:color w:val="000000" w:themeColor="text1"/>
          <w:sz w:val="20"/>
          <w:szCs w:val="20"/>
        </w:rPr>
        <w:t xml:space="preserve"> </w:t>
      </w:r>
      <w:r w:rsidR="00A93886" w:rsidRPr="0067399B">
        <w:rPr>
          <w:color w:val="000000" w:themeColor="text1"/>
          <w:sz w:val="20"/>
          <w:szCs w:val="20"/>
        </w:rPr>
        <w:t>made statements as the States concerned.</w:t>
      </w:r>
    </w:p>
    <w:p w14:paraId="21EBE3B1" w14:textId="6D526582" w:rsidR="003514FC" w:rsidRPr="0067399B" w:rsidRDefault="009B6FCB" w:rsidP="003514FC">
      <w:pPr>
        <w:pStyle w:val="SingleTxtG"/>
        <w:rPr>
          <w:color w:val="000000" w:themeColor="text1"/>
          <w:sz w:val="20"/>
          <w:szCs w:val="20"/>
        </w:rPr>
      </w:pPr>
      <w:r>
        <w:rPr>
          <w:color w:val="000000" w:themeColor="text1"/>
          <w:sz w:val="20"/>
          <w:szCs w:val="20"/>
        </w:rPr>
        <w:t>107</w:t>
      </w:r>
      <w:r w:rsidR="003514FC" w:rsidRPr="0067399B">
        <w:rPr>
          <w:color w:val="000000" w:themeColor="text1"/>
          <w:sz w:val="20"/>
          <w:szCs w:val="20"/>
        </w:rPr>
        <w:t>.</w:t>
      </w:r>
      <w:r w:rsidR="003514FC" w:rsidRPr="0067399B">
        <w:rPr>
          <w:color w:val="000000" w:themeColor="text1"/>
          <w:sz w:val="20"/>
          <w:szCs w:val="20"/>
        </w:rPr>
        <w:tab/>
        <w:t>Also at the same meeting, the na</w:t>
      </w:r>
      <w:r w:rsidR="003514FC">
        <w:rPr>
          <w:color w:val="000000" w:themeColor="text1"/>
          <w:sz w:val="20"/>
          <w:szCs w:val="20"/>
        </w:rPr>
        <w:t>tional human rights institution</w:t>
      </w:r>
      <w:r w:rsidR="003514FC" w:rsidRPr="0067399B">
        <w:rPr>
          <w:color w:val="000000" w:themeColor="text1"/>
          <w:sz w:val="20"/>
          <w:szCs w:val="20"/>
        </w:rPr>
        <w:t xml:space="preserve">, </w:t>
      </w:r>
      <w:r w:rsidR="003514FC" w:rsidRPr="003514FC">
        <w:rPr>
          <w:color w:val="000000" w:themeColor="text1"/>
          <w:sz w:val="20"/>
          <w:szCs w:val="20"/>
        </w:rPr>
        <w:t xml:space="preserve">National </w:t>
      </w:r>
      <w:r w:rsidR="00603288" w:rsidRPr="003514FC">
        <w:rPr>
          <w:color w:val="000000" w:themeColor="text1"/>
          <w:sz w:val="20"/>
          <w:szCs w:val="20"/>
        </w:rPr>
        <w:t>Human Rights</w:t>
      </w:r>
      <w:r w:rsidR="00603288" w:rsidRPr="0067399B">
        <w:rPr>
          <w:color w:val="000000" w:themeColor="text1"/>
          <w:sz w:val="20"/>
          <w:szCs w:val="20"/>
        </w:rPr>
        <w:t xml:space="preserve"> </w:t>
      </w:r>
      <w:r w:rsidR="003514FC" w:rsidRPr="003514FC">
        <w:rPr>
          <w:color w:val="000000" w:themeColor="text1"/>
          <w:sz w:val="20"/>
          <w:szCs w:val="20"/>
        </w:rPr>
        <w:t xml:space="preserve">Commission </w:t>
      </w:r>
      <w:r w:rsidR="003514FC" w:rsidRPr="0067399B">
        <w:rPr>
          <w:color w:val="000000" w:themeColor="text1"/>
          <w:sz w:val="20"/>
          <w:szCs w:val="20"/>
        </w:rPr>
        <w:t xml:space="preserve">of </w:t>
      </w:r>
      <w:r w:rsidR="003514FC" w:rsidRPr="000176F6">
        <w:rPr>
          <w:color w:val="000000" w:themeColor="text1"/>
          <w:sz w:val="20"/>
          <w:szCs w:val="20"/>
        </w:rPr>
        <w:t>Indonesia</w:t>
      </w:r>
      <w:r w:rsidR="003514FC">
        <w:rPr>
          <w:color w:val="000000" w:themeColor="text1"/>
          <w:sz w:val="20"/>
          <w:szCs w:val="20"/>
        </w:rPr>
        <w:t>, made a statement</w:t>
      </w:r>
      <w:r w:rsidR="003514FC" w:rsidRPr="0067399B">
        <w:rPr>
          <w:color w:val="000000" w:themeColor="text1"/>
          <w:sz w:val="20"/>
          <w:szCs w:val="20"/>
        </w:rPr>
        <w:t xml:space="preserve"> (by video message).</w:t>
      </w:r>
    </w:p>
    <w:p w14:paraId="41A0F581" w14:textId="7643F919" w:rsidR="00B66F17" w:rsidRPr="0067399B" w:rsidRDefault="009B6FCB" w:rsidP="00B66F17">
      <w:pPr>
        <w:pStyle w:val="SingleTxtG"/>
        <w:rPr>
          <w:strike/>
          <w:color w:val="000000" w:themeColor="text1"/>
          <w:sz w:val="20"/>
          <w:szCs w:val="20"/>
        </w:rPr>
      </w:pPr>
      <w:r>
        <w:rPr>
          <w:color w:val="000000" w:themeColor="text1"/>
          <w:sz w:val="20"/>
          <w:szCs w:val="20"/>
        </w:rPr>
        <w:t>108</w:t>
      </w:r>
      <w:r w:rsidR="00B66F17" w:rsidRPr="0067399B">
        <w:rPr>
          <w:color w:val="000000" w:themeColor="text1"/>
          <w:sz w:val="20"/>
          <w:szCs w:val="20"/>
        </w:rPr>
        <w:t>.</w:t>
      </w:r>
      <w:r w:rsidR="00B66F17" w:rsidRPr="0067399B">
        <w:rPr>
          <w:color w:val="000000" w:themeColor="text1"/>
          <w:sz w:val="20"/>
          <w:szCs w:val="20"/>
        </w:rPr>
        <w:tab/>
        <w:t xml:space="preserve">During the ensuing interactive dialogue, at the </w:t>
      </w:r>
      <w:r w:rsidR="00C172A4">
        <w:rPr>
          <w:color w:val="000000" w:themeColor="text1"/>
          <w:sz w:val="20"/>
          <w:szCs w:val="20"/>
        </w:rPr>
        <w:t>9</w:t>
      </w:r>
      <w:r w:rsidR="00C172A4" w:rsidRPr="0067399B">
        <w:rPr>
          <w:color w:val="000000" w:themeColor="text1"/>
          <w:sz w:val="20"/>
          <w:szCs w:val="20"/>
        </w:rPr>
        <w:t xml:space="preserve">th </w:t>
      </w:r>
      <w:r w:rsidR="00C172A4">
        <w:rPr>
          <w:color w:val="000000" w:themeColor="text1"/>
          <w:sz w:val="20"/>
          <w:szCs w:val="20"/>
        </w:rPr>
        <w:t xml:space="preserve">to 10th </w:t>
      </w:r>
      <w:r w:rsidR="00C172A4" w:rsidRPr="0067399B">
        <w:rPr>
          <w:color w:val="000000" w:themeColor="text1"/>
          <w:sz w:val="20"/>
          <w:szCs w:val="20"/>
        </w:rPr>
        <w:t>meeting</w:t>
      </w:r>
      <w:r w:rsidR="00C172A4">
        <w:rPr>
          <w:color w:val="000000" w:themeColor="text1"/>
          <w:sz w:val="20"/>
          <w:szCs w:val="20"/>
        </w:rPr>
        <w:t>s</w:t>
      </w:r>
      <w:r w:rsidR="00B66F17" w:rsidRPr="0067399B">
        <w:rPr>
          <w:color w:val="000000" w:themeColor="text1"/>
          <w:sz w:val="20"/>
          <w:szCs w:val="20"/>
        </w:rPr>
        <w:t xml:space="preserve">, on the same day, the following made statements and asked the Special </w:t>
      </w:r>
      <w:r w:rsidR="00B66F17">
        <w:rPr>
          <w:color w:val="000000" w:themeColor="text1"/>
          <w:sz w:val="20"/>
          <w:szCs w:val="20"/>
        </w:rPr>
        <w:t>R</w:t>
      </w:r>
      <w:r w:rsidR="00B66F17" w:rsidRPr="0067399B">
        <w:rPr>
          <w:color w:val="000000" w:themeColor="text1"/>
          <w:sz w:val="20"/>
          <w:szCs w:val="20"/>
        </w:rPr>
        <w:t>apporteur questions:</w:t>
      </w:r>
    </w:p>
    <w:p w14:paraId="56F7224A" w14:textId="0323315E" w:rsidR="00B66F17" w:rsidRPr="0067399B" w:rsidRDefault="00B66F17" w:rsidP="00B66F17">
      <w:pPr>
        <w:pStyle w:val="SingleTxtG"/>
        <w:ind w:firstLine="567"/>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Pr>
          <w:color w:val="000000" w:themeColor="text1"/>
          <w:sz w:val="20"/>
          <w:szCs w:val="20"/>
        </w:rPr>
        <w:t>States Members</w:t>
      </w:r>
      <w:r w:rsidRPr="0067399B">
        <w:rPr>
          <w:color w:val="000000" w:themeColor="text1"/>
          <w:sz w:val="20"/>
          <w:szCs w:val="20"/>
        </w:rPr>
        <w:t xml:space="preserve"> of the Human Rights Council:</w:t>
      </w:r>
      <w:r w:rsidR="00CB26D0">
        <w:rPr>
          <w:color w:val="000000" w:themeColor="text1"/>
          <w:sz w:val="20"/>
          <w:szCs w:val="20"/>
        </w:rPr>
        <w:t xml:space="preserve"> </w:t>
      </w:r>
      <w:r w:rsidR="00544A55" w:rsidRPr="00E55F94">
        <w:rPr>
          <w:color w:val="000000" w:themeColor="text1"/>
          <w:sz w:val="20"/>
          <w:szCs w:val="20"/>
        </w:rPr>
        <w:t xml:space="preserve">Angola </w:t>
      </w:r>
      <w:r w:rsidR="00544A55">
        <w:rPr>
          <w:color w:val="000000" w:themeColor="text1"/>
          <w:sz w:val="20"/>
          <w:szCs w:val="20"/>
        </w:rPr>
        <w:t>(</w:t>
      </w:r>
      <w:r w:rsidR="00544A55" w:rsidRPr="00544A55">
        <w:rPr>
          <w:color w:val="000000" w:themeColor="text1"/>
          <w:sz w:val="20"/>
          <w:szCs w:val="20"/>
        </w:rPr>
        <w:t>on behalf of the Group of African States</w:t>
      </w:r>
      <w:r w:rsidR="00544A55">
        <w:rPr>
          <w:color w:val="000000" w:themeColor="text1"/>
          <w:sz w:val="20"/>
          <w:szCs w:val="20"/>
        </w:rPr>
        <w:t>),</w:t>
      </w:r>
      <w:r w:rsidR="00544A55" w:rsidRPr="00544A55">
        <w:rPr>
          <w:color w:val="000000" w:themeColor="text1"/>
          <w:sz w:val="20"/>
          <w:szCs w:val="20"/>
        </w:rPr>
        <w:t xml:space="preserve"> </w:t>
      </w:r>
      <w:r w:rsidR="00544A55" w:rsidRPr="00E55F94">
        <w:rPr>
          <w:color w:val="000000" w:themeColor="text1"/>
          <w:sz w:val="20"/>
          <w:szCs w:val="20"/>
        </w:rPr>
        <w:t>Bangladesh</w:t>
      </w:r>
      <w:r w:rsidR="00544A55">
        <w:rPr>
          <w:color w:val="000000" w:themeColor="text1"/>
          <w:sz w:val="20"/>
          <w:szCs w:val="20"/>
        </w:rPr>
        <w:t xml:space="preserve">, </w:t>
      </w:r>
      <w:r w:rsidR="00544A55" w:rsidRPr="00E55F94">
        <w:rPr>
          <w:color w:val="000000" w:themeColor="text1"/>
          <w:sz w:val="20"/>
          <w:szCs w:val="20"/>
        </w:rPr>
        <w:t>Burkina Faso</w:t>
      </w:r>
      <w:r w:rsidR="00544A55">
        <w:rPr>
          <w:color w:val="000000" w:themeColor="text1"/>
          <w:sz w:val="20"/>
          <w:szCs w:val="20"/>
        </w:rPr>
        <w:t xml:space="preserve">, </w:t>
      </w:r>
      <w:r w:rsidR="00544A55" w:rsidRPr="00E55F94">
        <w:rPr>
          <w:color w:val="000000" w:themeColor="text1"/>
          <w:sz w:val="20"/>
          <w:szCs w:val="20"/>
        </w:rPr>
        <w:t>China</w:t>
      </w:r>
      <w:r w:rsidR="00544A55">
        <w:rPr>
          <w:color w:val="000000" w:themeColor="text1"/>
          <w:sz w:val="20"/>
          <w:szCs w:val="20"/>
        </w:rPr>
        <w:t xml:space="preserve">, </w:t>
      </w:r>
      <w:r w:rsidR="00544A55" w:rsidRPr="00E55F94">
        <w:rPr>
          <w:color w:val="000000" w:themeColor="text1"/>
          <w:sz w:val="20"/>
          <w:szCs w:val="20"/>
        </w:rPr>
        <w:t>Cuba</w:t>
      </w:r>
      <w:r w:rsidR="00544A55">
        <w:rPr>
          <w:color w:val="000000" w:themeColor="text1"/>
          <w:sz w:val="20"/>
          <w:szCs w:val="20"/>
        </w:rPr>
        <w:t xml:space="preserve">, </w:t>
      </w:r>
      <w:r w:rsidR="00544A55" w:rsidRPr="00E55F94">
        <w:rPr>
          <w:color w:val="000000" w:themeColor="text1"/>
          <w:sz w:val="20"/>
          <w:szCs w:val="20"/>
        </w:rPr>
        <w:t>Egypt</w:t>
      </w:r>
      <w:r w:rsidR="00544A55">
        <w:rPr>
          <w:color w:val="000000" w:themeColor="text1"/>
          <w:sz w:val="20"/>
          <w:szCs w:val="20"/>
        </w:rPr>
        <w:t xml:space="preserve">, </w:t>
      </w:r>
      <w:r w:rsidR="00544A55" w:rsidRPr="00E55F94">
        <w:rPr>
          <w:color w:val="000000" w:themeColor="text1"/>
          <w:sz w:val="20"/>
          <w:szCs w:val="20"/>
        </w:rPr>
        <w:t>India</w:t>
      </w:r>
      <w:r w:rsidR="00544A55">
        <w:rPr>
          <w:color w:val="000000" w:themeColor="text1"/>
          <w:sz w:val="20"/>
          <w:szCs w:val="20"/>
        </w:rPr>
        <w:t xml:space="preserve">, </w:t>
      </w:r>
      <w:r w:rsidR="00544A55" w:rsidRPr="00E55F94">
        <w:rPr>
          <w:color w:val="000000" w:themeColor="text1"/>
          <w:sz w:val="20"/>
          <w:szCs w:val="20"/>
        </w:rPr>
        <w:t>Iraq</w:t>
      </w:r>
      <w:r w:rsidR="00CB26D0">
        <w:rPr>
          <w:color w:val="000000" w:themeColor="text1"/>
          <w:sz w:val="20"/>
          <w:szCs w:val="20"/>
        </w:rPr>
        <w:t xml:space="preserve">, </w:t>
      </w:r>
      <w:r w:rsidR="00CB26D0" w:rsidRPr="00E55F94">
        <w:rPr>
          <w:color w:val="000000" w:themeColor="text1"/>
          <w:sz w:val="20"/>
          <w:szCs w:val="20"/>
        </w:rPr>
        <w:t>Nepal</w:t>
      </w:r>
      <w:r w:rsidR="00CB26D0">
        <w:rPr>
          <w:color w:val="000000" w:themeColor="text1"/>
          <w:sz w:val="20"/>
          <w:szCs w:val="20"/>
        </w:rPr>
        <w:t xml:space="preserve">, </w:t>
      </w:r>
      <w:r w:rsidR="00CB26D0" w:rsidRPr="00E55F94">
        <w:rPr>
          <w:color w:val="000000" w:themeColor="text1"/>
          <w:sz w:val="20"/>
          <w:szCs w:val="20"/>
        </w:rPr>
        <w:t>Pakistan</w:t>
      </w:r>
      <w:r w:rsidR="00CB26D0">
        <w:rPr>
          <w:color w:val="000000" w:themeColor="text1"/>
          <w:sz w:val="20"/>
          <w:szCs w:val="20"/>
        </w:rPr>
        <w:t xml:space="preserve">, </w:t>
      </w:r>
      <w:r w:rsidR="00CB26D0" w:rsidRPr="00E55F94">
        <w:rPr>
          <w:color w:val="000000" w:themeColor="text1"/>
          <w:sz w:val="20"/>
          <w:szCs w:val="20"/>
        </w:rPr>
        <w:t>South Africa</w:t>
      </w:r>
      <w:r w:rsidR="00CB26D0">
        <w:rPr>
          <w:color w:val="000000" w:themeColor="text1"/>
          <w:sz w:val="20"/>
          <w:szCs w:val="20"/>
        </w:rPr>
        <w:t xml:space="preserve">, </w:t>
      </w:r>
      <w:r w:rsidR="00CB26D0" w:rsidRPr="00E55F94">
        <w:rPr>
          <w:color w:val="000000" w:themeColor="text1"/>
          <w:sz w:val="20"/>
          <w:szCs w:val="20"/>
        </w:rPr>
        <w:t>Spain</w:t>
      </w:r>
      <w:r w:rsidR="00CB26D0">
        <w:rPr>
          <w:color w:val="000000" w:themeColor="text1"/>
          <w:sz w:val="20"/>
          <w:szCs w:val="20"/>
        </w:rPr>
        <w:t xml:space="preserve">, </w:t>
      </w:r>
      <w:r w:rsidR="00CB26D0" w:rsidRPr="00E55F94">
        <w:rPr>
          <w:color w:val="000000" w:themeColor="text1"/>
          <w:sz w:val="20"/>
          <w:szCs w:val="20"/>
        </w:rPr>
        <w:t>Tunisia</w:t>
      </w:r>
      <w:r w:rsidRPr="0067399B">
        <w:rPr>
          <w:color w:val="000000" w:themeColor="text1"/>
          <w:sz w:val="20"/>
          <w:szCs w:val="20"/>
        </w:rPr>
        <w:t>;</w:t>
      </w:r>
    </w:p>
    <w:p w14:paraId="61EB5536" w14:textId="16D69F1E" w:rsidR="00B66F17" w:rsidRPr="0067399B" w:rsidRDefault="00B66F17" w:rsidP="00B66F17">
      <w:pPr>
        <w:pStyle w:val="SingleTxtG"/>
        <w:ind w:firstLine="567"/>
        <w:rPr>
          <w:color w:val="000000" w:themeColor="text1"/>
          <w:sz w:val="20"/>
          <w:szCs w:val="20"/>
        </w:rPr>
      </w:pPr>
      <w:r w:rsidRPr="0067399B">
        <w:rPr>
          <w:color w:val="000000" w:themeColor="text1"/>
          <w:sz w:val="20"/>
          <w:szCs w:val="20"/>
        </w:rPr>
        <w:t>(b)</w:t>
      </w:r>
      <w:r w:rsidRPr="0067399B">
        <w:rPr>
          <w:color w:val="000000" w:themeColor="text1"/>
          <w:sz w:val="20"/>
          <w:szCs w:val="20"/>
        </w:rPr>
        <w:tab/>
        <w:t xml:space="preserve">Representatives of observer States: </w:t>
      </w:r>
      <w:r w:rsidR="00CB26D0" w:rsidRPr="00E55F94">
        <w:rPr>
          <w:color w:val="000000" w:themeColor="text1"/>
          <w:sz w:val="20"/>
          <w:szCs w:val="20"/>
        </w:rPr>
        <w:t>Algeria</w:t>
      </w:r>
      <w:r w:rsidR="00CB26D0">
        <w:rPr>
          <w:color w:val="000000" w:themeColor="text1"/>
          <w:sz w:val="20"/>
          <w:szCs w:val="20"/>
        </w:rPr>
        <w:t xml:space="preserve">, </w:t>
      </w:r>
      <w:r w:rsidR="00CB26D0" w:rsidRPr="00E55F94">
        <w:rPr>
          <w:color w:val="000000" w:themeColor="text1"/>
          <w:sz w:val="20"/>
          <w:szCs w:val="20"/>
        </w:rPr>
        <w:t>Azerbaijan</w:t>
      </w:r>
      <w:r w:rsidR="00CB26D0">
        <w:rPr>
          <w:color w:val="000000" w:themeColor="text1"/>
          <w:sz w:val="20"/>
          <w:szCs w:val="20"/>
        </w:rPr>
        <w:t xml:space="preserve">, </w:t>
      </w:r>
      <w:r w:rsidR="00CB26D0" w:rsidRPr="00E55F94">
        <w:rPr>
          <w:color w:val="000000" w:themeColor="text1"/>
          <w:sz w:val="20"/>
          <w:szCs w:val="20"/>
        </w:rPr>
        <w:t>Bolivia (Plurinational State of)</w:t>
      </w:r>
      <w:r w:rsidR="00CB26D0">
        <w:rPr>
          <w:color w:val="000000" w:themeColor="text1"/>
          <w:sz w:val="20"/>
          <w:szCs w:val="20"/>
        </w:rPr>
        <w:t xml:space="preserve">, </w:t>
      </w:r>
      <w:r w:rsidR="00CB26D0" w:rsidRPr="00E55F94">
        <w:rPr>
          <w:color w:val="000000" w:themeColor="text1"/>
          <w:sz w:val="20"/>
          <w:szCs w:val="20"/>
        </w:rPr>
        <w:t>Djibouti</w:t>
      </w:r>
      <w:r w:rsidR="00CB26D0">
        <w:rPr>
          <w:color w:val="000000" w:themeColor="text1"/>
          <w:sz w:val="20"/>
          <w:szCs w:val="20"/>
        </w:rPr>
        <w:t xml:space="preserve">, </w:t>
      </w:r>
      <w:r w:rsidR="00CB26D0" w:rsidRPr="00E55F94">
        <w:rPr>
          <w:color w:val="000000" w:themeColor="text1"/>
          <w:sz w:val="20"/>
          <w:szCs w:val="20"/>
        </w:rPr>
        <w:t>Ecuador</w:t>
      </w:r>
      <w:r w:rsidR="00CB26D0">
        <w:rPr>
          <w:color w:val="000000" w:themeColor="text1"/>
          <w:sz w:val="20"/>
          <w:szCs w:val="20"/>
        </w:rPr>
        <w:t xml:space="preserve">, </w:t>
      </w:r>
      <w:r w:rsidR="00CB26D0" w:rsidRPr="00E55F94">
        <w:rPr>
          <w:color w:val="000000" w:themeColor="text1"/>
          <w:sz w:val="20"/>
          <w:szCs w:val="20"/>
        </w:rPr>
        <w:t>France</w:t>
      </w:r>
      <w:r w:rsidR="00CB26D0">
        <w:rPr>
          <w:color w:val="000000" w:themeColor="text1"/>
          <w:sz w:val="20"/>
          <w:szCs w:val="20"/>
        </w:rPr>
        <w:t xml:space="preserve">, </w:t>
      </w:r>
      <w:r w:rsidR="00CB26D0" w:rsidRPr="00E55F94">
        <w:rPr>
          <w:color w:val="000000" w:themeColor="text1"/>
          <w:sz w:val="20"/>
          <w:szCs w:val="20"/>
        </w:rPr>
        <w:t>Iran (Islamic Republic of)</w:t>
      </w:r>
      <w:r w:rsidR="00CB26D0">
        <w:rPr>
          <w:color w:val="000000" w:themeColor="text1"/>
          <w:sz w:val="20"/>
          <w:szCs w:val="20"/>
        </w:rPr>
        <w:t xml:space="preserve">, </w:t>
      </w:r>
      <w:r w:rsidR="00CB26D0" w:rsidRPr="00E55F94">
        <w:rPr>
          <w:color w:val="000000" w:themeColor="text1"/>
          <w:sz w:val="20"/>
          <w:szCs w:val="20"/>
        </w:rPr>
        <w:t>Jordan</w:t>
      </w:r>
      <w:r w:rsidR="00CB26D0">
        <w:rPr>
          <w:color w:val="000000" w:themeColor="text1"/>
          <w:sz w:val="20"/>
          <w:szCs w:val="20"/>
        </w:rPr>
        <w:t xml:space="preserve">, </w:t>
      </w:r>
      <w:r w:rsidR="00CB26D0" w:rsidRPr="00E55F94">
        <w:rPr>
          <w:color w:val="000000" w:themeColor="text1"/>
          <w:sz w:val="20"/>
          <w:szCs w:val="20"/>
        </w:rPr>
        <w:t>Lesotho</w:t>
      </w:r>
      <w:r w:rsidR="00CB26D0">
        <w:rPr>
          <w:color w:val="000000" w:themeColor="text1"/>
          <w:sz w:val="20"/>
          <w:szCs w:val="20"/>
        </w:rPr>
        <w:t xml:space="preserve">, </w:t>
      </w:r>
      <w:r w:rsidR="00CB26D0" w:rsidRPr="00E55F94">
        <w:rPr>
          <w:color w:val="000000" w:themeColor="text1"/>
          <w:sz w:val="20"/>
          <w:szCs w:val="20"/>
        </w:rPr>
        <w:t>Morocco</w:t>
      </w:r>
      <w:r w:rsidR="00CB26D0">
        <w:rPr>
          <w:color w:val="000000" w:themeColor="text1"/>
          <w:sz w:val="20"/>
          <w:szCs w:val="20"/>
        </w:rPr>
        <w:t xml:space="preserve">, </w:t>
      </w:r>
      <w:r w:rsidR="00CB26D0" w:rsidRPr="00E55F94">
        <w:rPr>
          <w:color w:val="000000" w:themeColor="text1"/>
          <w:sz w:val="20"/>
          <w:szCs w:val="20"/>
        </w:rPr>
        <w:t>Turkey</w:t>
      </w:r>
      <w:r w:rsidR="00CB26D0">
        <w:rPr>
          <w:color w:val="000000" w:themeColor="text1"/>
          <w:sz w:val="20"/>
          <w:szCs w:val="20"/>
        </w:rPr>
        <w:t xml:space="preserve">, </w:t>
      </w:r>
      <w:r w:rsidR="00CB26D0" w:rsidRPr="00E55F94">
        <w:rPr>
          <w:color w:val="000000" w:themeColor="text1"/>
          <w:sz w:val="20"/>
          <w:szCs w:val="20"/>
        </w:rPr>
        <w:t>Venezuela (Bolivarian Republic of)</w:t>
      </w:r>
      <w:r w:rsidR="00CB26D0">
        <w:rPr>
          <w:color w:val="000000" w:themeColor="text1"/>
          <w:sz w:val="20"/>
          <w:szCs w:val="20"/>
        </w:rPr>
        <w:t xml:space="preserve">, </w:t>
      </w:r>
      <w:r w:rsidR="00CB26D0" w:rsidRPr="00E55F94">
        <w:rPr>
          <w:color w:val="000000" w:themeColor="text1"/>
          <w:sz w:val="20"/>
          <w:szCs w:val="20"/>
        </w:rPr>
        <w:t>State of Palestine</w:t>
      </w:r>
      <w:r w:rsidRPr="0067399B">
        <w:rPr>
          <w:color w:val="000000" w:themeColor="text1"/>
          <w:sz w:val="20"/>
          <w:szCs w:val="20"/>
        </w:rPr>
        <w:t>;</w:t>
      </w:r>
    </w:p>
    <w:p w14:paraId="1C30DAC7" w14:textId="61DFC793" w:rsidR="00B66F17" w:rsidRPr="0067399B" w:rsidRDefault="00B66F17" w:rsidP="00B66F17">
      <w:pPr>
        <w:pStyle w:val="SingleTxtG"/>
        <w:ind w:firstLine="567"/>
        <w:rPr>
          <w:color w:val="000000" w:themeColor="text1"/>
          <w:sz w:val="20"/>
          <w:szCs w:val="20"/>
        </w:rPr>
      </w:pPr>
      <w:r w:rsidRPr="0067399B">
        <w:rPr>
          <w:color w:val="000000" w:themeColor="text1"/>
          <w:sz w:val="20"/>
          <w:szCs w:val="20"/>
        </w:rPr>
        <w:t>(c)</w:t>
      </w:r>
      <w:r w:rsidRPr="0067399B">
        <w:rPr>
          <w:color w:val="000000" w:themeColor="text1"/>
          <w:sz w:val="20"/>
          <w:szCs w:val="20"/>
        </w:rPr>
        <w:tab/>
      </w:r>
      <w:r w:rsidR="006D07E0" w:rsidRPr="006D07E0">
        <w:rPr>
          <w:color w:val="000000" w:themeColor="text1"/>
          <w:sz w:val="20"/>
          <w:szCs w:val="20"/>
        </w:rPr>
        <w:t>Observer</w:t>
      </w:r>
      <w:r w:rsidR="00E83ABA">
        <w:rPr>
          <w:color w:val="000000" w:themeColor="text1"/>
          <w:sz w:val="20"/>
          <w:szCs w:val="20"/>
        </w:rPr>
        <w:t>s</w:t>
      </w:r>
      <w:r w:rsidR="006D07E0" w:rsidRPr="006D07E0">
        <w:rPr>
          <w:color w:val="000000" w:themeColor="text1"/>
          <w:sz w:val="20"/>
          <w:szCs w:val="20"/>
        </w:rPr>
        <w:t xml:space="preserve"> for United Nations entities, specialized agencies and related</w:t>
      </w:r>
      <w:r w:rsidR="006D07E0">
        <w:rPr>
          <w:color w:val="000000" w:themeColor="text1"/>
          <w:sz w:val="20"/>
          <w:szCs w:val="20"/>
        </w:rPr>
        <w:t xml:space="preserve"> </w:t>
      </w:r>
      <w:r w:rsidR="006D07E0" w:rsidRPr="006D07E0">
        <w:rPr>
          <w:color w:val="000000" w:themeColor="text1"/>
          <w:sz w:val="20"/>
          <w:szCs w:val="20"/>
        </w:rPr>
        <w:t>organizations</w:t>
      </w:r>
      <w:r w:rsidRPr="0067399B">
        <w:rPr>
          <w:color w:val="000000" w:themeColor="text1"/>
          <w:sz w:val="20"/>
          <w:szCs w:val="20"/>
        </w:rPr>
        <w:t>: Food and Agriculture Organization of the United Nations</w:t>
      </w:r>
      <w:r w:rsidR="00E83ABA">
        <w:rPr>
          <w:color w:val="000000" w:themeColor="text1"/>
          <w:sz w:val="20"/>
          <w:szCs w:val="20"/>
        </w:rPr>
        <w:t>,</w:t>
      </w:r>
      <w:r w:rsidR="00E83ABA" w:rsidRPr="00E83ABA">
        <w:rPr>
          <w:color w:val="000000" w:themeColor="text1"/>
          <w:sz w:val="20"/>
          <w:szCs w:val="20"/>
        </w:rPr>
        <w:t xml:space="preserve"> </w:t>
      </w:r>
      <w:r w:rsidR="00E83ABA" w:rsidRPr="00E55F94">
        <w:rPr>
          <w:color w:val="000000" w:themeColor="text1"/>
          <w:sz w:val="20"/>
          <w:szCs w:val="20"/>
        </w:rPr>
        <w:t>World Food Programme</w:t>
      </w:r>
      <w:r w:rsidRPr="0067399B">
        <w:rPr>
          <w:color w:val="000000" w:themeColor="text1"/>
          <w:sz w:val="20"/>
          <w:szCs w:val="20"/>
        </w:rPr>
        <w:t>;</w:t>
      </w:r>
    </w:p>
    <w:p w14:paraId="1945B5D3" w14:textId="28052684" w:rsidR="00B66F17" w:rsidRPr="0067399B" w:rsidRDefault="00B66F17" w:rsidP="00B66F17">
      <w:pPr>
        <w:pStyle w:val="SingleTxtG"/>
        <w:ind w:firstLine="567"/>
        <w:rPr>
          <w:color w:val="000000" w:themeColor="text1"/>
          <w:sz w:val="20"/>
          <w:szCs w:val="20"/>
        </w:rPr>
      </w:pPr>
      <w:r w:rsidRPr="0067399B">
        <w:rPr>
          <w:color w:val="000000" w:themeColor="text1"/>
          <w:sz w:val="20"/>
          <w:szCs w:val="20"/>
        </w:rPr>
        <w:t>(d)</w:t>
      </w:r>
      <w:r w:rsidRPr="0067399B">
        <w:rPr>
          <w:color w:val="000000" w:themeColor="text1"/>
          <w:sz w:val="20"/>
          <w:szCs w:val="20"/>
        </w:rPr>
        <w:tab/>
        <w:t>Observer for</w:t>
      </w:r>
      <w:r w:rsidR="00E83ABA">
        <w:rPr>
          <w:color w:val="000000" w:themeColor="text1"/>
          <w:sz w:val="20"/>
          <w:szCs w:val="20"/>
        </w:rPr>
        <w:t xml:space="preserve"> an</w:t>
      </w:r>
      <w:r w:rsidRPr="0067399B">
        <w:rPr>
          <w:color w:val="000000" w:themeColor="text1"/>
          <w:sz w:val="20"/>
          <w:szCs w:val="20"/>
        </w:rPr>
        <w:t xml:space="preserve"> intergovernmental organization: European Union;</w:t>
      </w:r>
    </w:p>
    <w:p w14:paraId="225D159A" w14:textId="208BBB4E" w:rsidR="00B66F17" w:rsidRPr="0067399B" w:rsidRDefault="00B66F17" w:rsidP="00B66F17">
      <w:pPr>
        <w:pStyle w:val="SingleTxtG"/>
        <w:ind w:firstLine="567"/>
        <w:rPr>
          <w:color w:val="000000" w:themeColor="text1"/>
          <w:sz w:val="20"/>
          <w:szCs w:val="20"/>
        </w:rPr>
      </w:pPr>
      <w:r w:rsidRPr="0067399B">
        <w:rPr>
          <w:color w:val="000000" w:themeColor="text1"/>
          <w:sz w:val="20"/>
          <w:szCs w:val="20"/>
        </w:rPr>
        <w:t>(e)</w:t>
      </w:r>
      <w:r w:rsidRPr="0067399B">
        <w:rPr>
          <w:color w:val="000000" w:themeColor="text1"/>
          <w:sz w:val="20"/>
          <w:szCs w:val="20"/>
        </w:rPr>
        <w:tab/>
        <w:t>Observers for non-governmental organizations:</w:t>
      </w:r>
      <w:r w:rsidR="00A93886">
        <w:rPr>
          <w:color w:val="000000" w:themeColor="text1"/>
          <w:sz w:val="20"/>
          <w:szCs w:val="20"/>
        </w:rPr>
        <w:t xml:space="preserve"> </w:t>
      </w:r>
      <w:r w:rsidR="008B7704" w:rsidRPr="008B7704">
        <w:rPr>
          <w:color w:val="000000" w:themeColor="text1"/>
          <w:sz w:val="20"/>
          <w:szCs w:val="20"/>
        </w:rPr>
        <w:t>Americans for Democracy &amp; Human Rights in Bahrain Inc</w:t>
      </w:r>
      <w:r w:rsidR="008B7704">
        <w:rPr>
          <w:color w:val="000000" w:themeColor="text1"/>
          <w:sz w:val="20"/>
          <w:szCs w:val="20"/>
        </w:rPr>
        <w:t xml:space="preserve">; </w:t>
      </w:r>
      <w:r w:rsidR="008B7704" w:rsidRPr="008B7704">
        <w:rPr>
          <w:color w:val="000000" w:themeColor="text1"/>
          <w:sz w:val="20"/>
          <w:szCs w:val="20"/>
        </w:rPr>
        <w:t>Centro de Estudios Legales y Sociales (CELS) Asociación Civil</w:t>
      </w:r>
      <w:r w:rsidR="008B7704">
        <w:rPr>
          <w:color w:val="000000" w:themeColor="text1"/>
          <w:sz w:val="20"/>
          <w:szCs w:val="20"/>
        </w:rPr>
        <w:t xml:space="preserve"> (by video message); </w:t>
      </w:r>
      <w:r w:rsidR="008B7704" w:rsidRPr="008B7704">
        <w:rPr>
          <w:color w:val="000000" w:themeColor="text1"/>
          <w:sz w:val="20"/>
          <w:szCs w:val="20"/>
        </w:rPr>
        <w:t>FIAN International e.V.</w:t>
      </w:r>
      <w:r w:rsidR="008B7704">
        <w:rPr>
          <w:color w:val="000000" w:themeColor="text1"/>
          <w:sz w:val="20"/>
          <w:szCs w:val="20"/>
        </w:rPr>
        <w:t xml:space="preserve">; </w:t>
      </w:r>
      <w:r w:rsidR="008B7704" w:rsidRPr="008B7704">
        <w:rPr>
          <w:color w:val="000000" w:themeColor="text1"/>
          <w:sz w:val="20"/>
          <w:szCs w:val="20"/>
        </w:rPr>
        <w:t>Ingenieurs du Monde</w:t>
      </w:r>
      <w:r w:rsidR="008B7704">
        <w:rPr>
          <w:color w:val="000000" w:themeColor="text1"/>
          <w:sz w:val="20"/>
          <w:szCs w:val="20"/>
        </w:rPr>
        <w:t xml:space="preserve">; </w:t>
      </w:r>
      <w:r w:rsidR="008B7704" w:rsidRPr="008B7704">
        <w:rPr>
          <w:color w:val="000000" w:themeColor="text1"/>
          <w:sz w:val="20"/>
          <w:szCs w:val="20"/>
        </w:rPr>
        <w:t>iuventum e.V.</w:t>
      </w:r>
      <w:r w:rsidR="008B7704">
        <w:rPr>
          <w:color w:val="000000" w:themeColor="text1"/>
          <w:sz w:val="20"/>
          <w:szCs w:val="20"/>
        </w:rPr>
        <w:t xml:space="preserve">; </w:t>
      </w:r>
      <w:r w:rsidR="008B7704" w:rsidRPr="008B7704">
        <w:rPr>
          <w:color w:val="000000" w:themeColor="text1"/>
          <w:sz w:val="20"/>
          <w:szCs w:val="20"/>
        </w:rPr>
        <w:t>Prahar</w:t>
      </w:r>
      <w:r w:rsidR="008B7704">
        <w:rPr>
          <w:color w:val="000000" w:themeColor="text1"/>
          <w:sz w:val="20"/>
          <w:szCs w:val="20"/>
        </w:rPr>
        <w:t xml:space="preserve">; </w:t>
      </w:r>
      <w:r w:rsidR="008B7704" w:rsidRPr="008B7704">
        <w:rPr>
          <w:color w:val="000000" w:themeColor="text1"/>
          <w:sz w:val="20"/>
          <w:szCs w:val="20"/>
        </w:rPr>
        <w:t>United Nations Watch</w:t>
      </w:r>
      <w:r w:rsidR="008B7704">
        <w:rPr>
          <w:color w:val="000000" w:themeColor="text1"/>
          <w:sz w:val="20"/>
          <w:szCs w:val="20"/>
        </w:rPr>
        <w:t xml:space="preserve">; </w:t>
      </w:r>
      <w:r w:rsidR="008B7704" w:rsidRPr="008B7704">
        <w:rPr>
          <w:color w:val="000000" w:themeColor="text1"/>
          <w:sz w:val="20"/>
          <w:szCs w:val="20"/>
        </w:rPr>
        <w:t>Verein Sudwind Entwicklungspolitik</w:t>
      </w:r>
      <w:r w:rsidR="008B7704">
        <w:rPr>
          <w:color w:val="000000" w:themeColor="text1"/>
          <w:sz w:val="20"/>
          <w:szCs w:val="20"/>
        </w:rPr>
        <w:t xml:space="preserve">; </w:t>
      </w:r>
      <w:r w:rsidR="008B7704" w:rsidRPr="008B7704">
        <w:rPr>
          <w:color w:val="000000" w:themeColor="text1"/>
          <w:sz w:val="20"/>
          <w:szCs w:val="20"/>
        </w:rPr>
        <w:t>World Barua Organization (WBO)</w:t>
      </w:r>
      <w:r w:rsidRPr="0067399B">
        <w:rPr>
          <w:color w:val="000000" w:themeColor="text1"/>
          <w:sz w:val="20"/>
          <w:szCs w:val="20"/>
        </w:rPr>
        <w:t>.</w:t>
      </w:r>
    </w:p>
    <w:p w14:paraId="68128664" w14:textId="6520C2EF" w:rsidR="00B66F17" w:rsidRPr="0067399B" w:rsidRDefault="009B6FCB" w:rsidP="00B66F17">
      <w:pPr>
        <w:pStyle w:val="SingleTxtG"/>
        <w:rPr>
          <w:color w:val="000000" w:themeColor="text1"/>
          <w:sz w:val="20"/>
          <w:szCs w:val="20"/>
        </w:rPr>
      </w:pPr>
      <w:r>
        <w:rPr>
          <w:color w:val="000000" w:themeColor="text1"/>
          <w:sz w:val="20"/>
          <w:szCs w:val="20"/>
        </w:rPr>
        <w:t>109</w:t>
      </w:r>
      <w:r w:rsidR="00B66F17" w:rsidRPr="0067399B">
        <w:rPr>
          <w:color w:val="000000" w:themeColor="text1"/>
          <w:sz w:val="20"/>
          <w:szCs w:val="20"/>
        </w:rPr>
        <w:t>.</w:t>
      </w:r>
      <w:r w:rsidR="00B66F17" w:rsidRPr="0067399B">
        <w:rPr>
          <w:color w:val="000000" w:themeColor="text1"/>
          <w:sz w:val="20"/>
          <w:szCs w:val="20"/>
        </w:rPr>
        <w:tab/>
        <w:t xml:space="preserve">At the </w:t>
      </w:r>
      <w:r w:rsidR="00603288">
        <w:rPr>
          <w:color w:val="000000" w:themeColor="text1"/>
          <w:sz w:val="20"/>
          <w:szCs w:val="20"/>
        </w:rPr>
        <w:t>9</w:t>
      </w:r>
      <w:r w:rsidR="00603288" w:rsidRPr="0067399B">
        <w:rPr>
          <w:color w:val="000000" w:themeColor="text1"/>
          <w:sz w:val="20"/>
          <w:szCs w:val="20"/>
        </w:rPr>
        <w:t xml:space="preserve">th </w:t>
      </w:r>
      <w:r w:rsidR="00603288">
        <w:rPr>
          <w:color w:val="000000" w:themeColor="text1"/>
          <w:sz w:val="20"/>
          <w:szCs w:val="20"/>
        </w:rPr>
        <w:t xml:space="preserve">and 10th </w:t>
      </w:r>
      <w:r w:rsidR="00603288" w:rsidRPr="0067399B">
        <w:rPr>
          <w:color w:val="000000" w:themeColor="text1"/>
          <w:sz w:val="20"/>
          <w:szCs w:val="20"/>
        </w:rPr>
        <w:t>meeting</w:t>
      </w:r>
      <w:r w:rsidR="00603288">
        <w:rPr>
          <w:color w:val="000000" w:themeColor="text1"/>
          <w:sz w:val="20"/>
          <w:szCs w:val="20"/>
        </w:rPr>
        <w:t>s</w:t>
      </w:r>
      <w:r w:rsidR="00B66F17" w:rsidRPr="0067399B">
        <w:rPr>
          <w:color w:val="000000" w:themeColor="text1"/>
          <w:sz w:val="20"/>
          <w:szCs w:val="20"/>
        </w:rPr>
        <w:t xml:space="preserve">, </w:t>
      </w:r>
      <w:r w:rsidR="00463F4C" w:rsidRPr="0067399B">
        <w:rPr>
          <w:color w:val="000000" w:themeColor="text1"/>
          <w:sz w:val="20"/>
          <w:szCs w:val="20"/>
        </w:rPr>
        <w:t xml:space="preserve">on the same day, </w:t>
      </w:r>
      <w:r w:rsidR="00B66F17" w:rsidRPr="0067399B">
        <w:rPr>
          <w:color w:val="000000" w:themeColor="text1"/>
          <w:sz w:val="20"/>
          <w:szCs w:val="20"/>
        </w:rPr>
        <w:t>the Special Rapporteur answered questions and made her concluding remarks.</w:t>
      </w:r>
    </w:p>
    <w:p w14:paraId="2B09465B" w14:textId="77777777" w:rsidR="00B66F17" w:rsidRPr="0067399B" w:rsidRDefault="006A29F0" w:rsidP="00B66F17">
      <w:pPr>
        <w:pStyle w:val="H1G"/>
        <w:rPr>
          <w:color w:val="000000" w:themeColor="text1"/>
          <w:sz w:val="20"/>
          <w:szCs w:val="20"/>
        </w:rPr>
      </w:pPr>
      <w:r w:rsidRPr="0067399B">
        <w:rPr>
          <w:color w:val="000000" w:themeColor="text1"/>
          <w:sz w:val="20"/>
          <w:szCs w:val="20"/>
        </w:rPr>
        <w:tab/>
      </w:r>
      <w:r w:rsidR="00B66F17" w:rsidRPr="0067399B">
        <w:rPr>
          <w:color w:val="000000" w:themeColor="text1"/>
          <w:sz w:val="20"/>
          <w:szCs w:val="20"/>
        </w:rPr>
        <w:tab/>
      </w:r>
      <w:r w:rsidR="00B66F17" w:rsidRPr="0067399B">
        <w:rPr>
          <w:color w:val="000000" w:themeColor="text1"/>
          <w:sz w:val="20"/>
          <w:szCs w:val="20"/>
        </w:rPr>
        <w:tab/>
      </w:r>
      <w:r w:rsidR="00B66F17" w:rsidRPr="00A078AC">
        <w:rPr>
          <w:color w:val="000000" w:themeColor="text1"/>
          <w:sz w:val="20"/>
          <w:szCs w:val="20"/>
        </w:rPr>
        <w:t>Independent Expert on the effects of foreign debt and other related international financial obligations of States on the full enjoyment of all human rights, particularly economic, social and cultural rights</w:t>
      </w:r>
    </w:p>
    <w:p w14:paraId="1DDCC97B" w14:textId="14D06C60" w:rsidR="00B66F17" w:rsidRPr="0067399B" w:rsidRDefault="009B6FCB" w:rsidP="00B66F17">
      <w:pPr>
        <w:pStyle w:val="SingleTxtG"/>
        <w:rPr>
          <w:color w:val="000000" w:themeColor="text1"/>
          <w:sz w:val="20"/>
          <w:szCs w:val="20"/>
        </w:rPr>
      </w:pPr>
      <w:r>
        <w:rPr>
          <w:color w:val="000000" w:themeColor="text1"/>
          <w:sz w:val="20"/>
          <w:szCs w:val="20"/>
        </w:rPr>
        <w:t>110</w:t>
      </w:r>
      <w:r w:rsidR="00B66F17" w:rsidRPr="0067399B">
        <w:rPr>
          <w:color w:val="000000" w:themeColor="text1"/>
          <w:sz w:val="20"/>
          <w:szCs w:val="20"/>
        </w:rPr>
        <w:t>.</w:t>
      </w:r>
      <w:r w:rsidR="00B66F17" w:rsidRPr="0067399B">
        <w:rPr>
          <w:color w:val="000000" w:themeColor="text1"/>
          <w:sz w:val="20"/>
          <w:szCs w:val="20"/>
        </w:rPr>
        <w:tab/>
        <w:t xml:space="preserve">At the </w:t>
      </w:r>
      <w:r w:rsidR="00A93886">
        <w:rPr>
          <w:color w:val="000000" w:themeColor="text1"/>
          <w:sz w:val="20"/>
          <w:szCs w:val="20"/>
        </w:rPr>
        <w:t>9</w:t>
      </w:r>
      <w:r w:rsidR="00A93886" w:rsidRPr="0067399B">
        <w:rPr>
          <w:color w:val="000000" w:themeColor="text1"/>
          <w:sz w:val="20"/>
          <w:szCs w:val="20"/>
        </w:rPr>
        <w:t xml:space="preserve">th meeting, on </w:t>
      </w:r>
      <w:r w:rsidR="00A93886">
        <w:rPr>
          <w:color w:val="000000" w:themeColor="text1"/>
          <w:sz w:val="20"/>
          <w:szCs w:val="20"/>
        </w:rPr>
        <w:t>28 Februar</w:t>
      </w:r>
      <w:r w:rsidR="00A93886">
        <w:rPr>
          <w:color w:val="000000" w:themeColor="text1"/>
          <w:sz w:val="20"/>
          <w:szCs w:val="20"/>
          <w:lang w:val="en-GB"/>
        </w:rPr>
        <w:t>y</w:t>
      </w:r>
      <w:r w:rsidR="00A93886" w:rsidRPr="0067399B">
        <w:rPr>
          <w:color w:val="000000" w:themeColor="text1"/>
          <w:sz w:val="20"/>
          <w:szCs w:val="20"/>
        </w:rPr>
        <w:t xml:space="preserve"> </w:t>
      </w:r>
      <w:r w:rsidR="00A93886">
        <w:rPr>
          <w:color w:val="000000" w:themeColor="text1"/>
          <w:sz w:val="20"/>
          <w:szCs w:val="20"/>
        </w:rPr>
        <w:t>2019</w:t>
      </w:r>
      <w:r w:rsidR="00B66F17" w:rsidRPr="0067399B">
        <w:rPr>
          <w:color w:val="000000" w:themeColor="text1"/>
          <w:sz w:val="20"/>
          <w:szCs w:val="20"/>
        </w:rPr>
        <w:t>, the Independent Expert on the effects of foreign debt and other related international financial obligations of States on the full enjoyment of all human rights, particularly economic, social and cultural rights, Juan Pablo Bohoslavsky, presented his reports (</w:t>
      </w:r>
      <w:r w:rsidR="00502A3B" w:rsidRPr="00502A3B">
        <w:rPr>
          <w:color w:val="000000" w:themeColor="text1"/>
          <w:sz w:val="20"/>
          <w:szCs w:val="20"/>
        </w:rPr>
        <w:t>A/HRC/40/57 and Add.1-2</w:t>
      </w:r>
      <w:r w:rsidR="00B66F17" w:rsidRPr="0067399B">
        <w:rPr>
          <w:color w:val="000000" w:themeColor="text1"/>
          <w:sz w:val="20"/>
          <w:szCs w:val="20"/>
        </w:rPr>
        <w:t>).</w:t>
      </w:r>
    </w:p>
    <w:p w14:paraId="3A2A44E8" w14:textId="7F4DBB04" w:rsidR="00B66F17" w:rsidRDefault="009B6FCB" w:rsidP="00B66F17">
      <w:pPr>
        <w:pStyle w:val="SingleTxtG"/>
        <w:rPr>
          <w:color w:val="000000" w:themeColor="text1"/>
          <w:sz w:val="20"/>
          <w:szCs w:val="20"/>
        </w:rPr>
      </w:pPr>
      <w:r>
        <w:rPr>
          <w:color w:val="000000" w:themeColor="text1"/>
          <w:sz w:val="20"/>
          <w:szCs w:val="20"/>
        </w:rPr>
        <w:lastRenderedPageBreak/>
        <w:t>111</w:t>
      </w:r>
      <w:r w:rsidR="00B66F17" w:rsidRPr="0067399B">
        <w:rPr>
          <w:color w:val="000000" w:themeColor="text1"/>
          <w:sz w:val="20"/>
          <w:szCs w:val="20"/>
        </w:rPr>
        <w:t>.</w:t>
      </w:r>
      <w:r w:rsidR="00B66F17" w:rsidRPr="0067399B">
        <w:rPr>
          <w:color w:val="000000" w:themeColor="text1"/>
          <w:sz w:val="20"/>
          <w:szCs w:val="20"/>
        </w:rPr>
        <w:tab/>
        <w:t xml:space="preserve">At the same meeting, the representatives of </w:t>
      </w:r>
      <w:r w:rsidR="00502A3B" w:rsidRPr="00502A3B">
        <w:rPr>
          <w:color w:val="000000" w:themeColor="text1"/>
          <w:sz w:val="20"/>
          <w:szCs w:val="20"/>
        </w:rPr>
        <w:t xml:space="preserve">Sri Lanka </w:t>
      </w:r>
      <w:r w:rsidR="00502A3B">
        <w:rPr>
          <w:color w:val="000000" w:themeColor="text1"/>
          <w:sz w:val="20"/>
          <w:szCs w:val="20"/>
        </w:rPr>
        <w:t xml:space="preserve">and Ukraine </w:t>
      </w:r>
      <w:r w:rsidR="00B66F17" w:rsidRPr="0067399B">
        <w:rPr>
          <w:color w:val="000000" w:themeColor="text1"/>
          <w:sz w:val="20"/>
          <w:szCs w:val="20"/>
        </w:rPr>
        <w:t>made statements as the States concerned.</w:t>
      </w:r>
    </w:p>
    <w:p w14:paraId="7F5210AA" w14:textId="60096BAA" w:rsidR="00502A3B" w:rsidRPr="0067399B" w:rsidRDefault="009B6FCB" w:rsidP="00B66F17">
      <w:pPr>
        <w:pStyle w:val="SingleTxtG"/>
        <w:rPr>
          <w:b/>
          <w:color w:val="000000" w:themeColor="text1"/>
          <w:sz w:val="20"/>
          <w:szCs w:val="20"/>
        </w:rPr>
      </w:pPr>
      <w:r>
        <w:rPr>
          <w:color w:val="000000" w:themeColor="text1"/>
          <w:sz w:val="20"/>
          <w:szCs w:val="20"/>
        </w:rPr>
        <w:t>112</w:t>
      </w:r>
      <w:r w:rsidR="00502A3B" w:rsidRPr="0067399B">
        <w:rPr>
          <w:color w:val="000000" w:themeColor="text1"/>
          <w:sz w:val="20"/>
          <w:szCs w:val="20"/>
        </w:rPr>
        <w:t>.</w:t>
      </w:r>
      <w:r w:rsidR="00502A3B" w:rsidRPr="0067399B">
        <w:rPr>
          <w:color w:val="000000" w:themeColor="text1"/>
          <w:sz w:val="20"/>
          <w:szCs w:val="20"/>
        </w:rPr>
        <w:tab/>
        <w:t>Also at the same meeting, the na</w:t>
      </w:r>
      <w:r w:rsidR="00502A3B">
        <w:rPr>
          <w:color w:val="000000" w:themeColor="text1"/>
          <w:sz w:val="20"/>
          <w:szCs w:val="20"/>
        </w:rPr>
        <w:t>tional human rights institution</w:t>
      </w:r>
      <w:r w:rsidR="00502A3B" w:rsidRPr="0067399B">
        <w:rPr>
          <w:color w:val="000000" w:themeColor="text1"/>
          <w:sz w:val="20"/>
          <w:szCs w:val="20"/>
        </w:rPr>
        <w:t xml:space="preserve">, </w:t>
      </w:r>
      <w:r w:rsidR="00502A3B" w:rsidRPr="00502A3B">
        <w:rPr>
          <w:color w:val="000000" w:themeColor="text1"/>
          <w:sz w:val="20"/>
          <w:szCs w:val="20"/>
        </w:rPr>
        <w:t>Ukrainian Parliament Commissioner for Human Rights</w:t>
      </w:r>
      <w:r w:rsidR="00502A3B">
        <w:rPr>
          <w:color w:val="000000" w:themeColor="text1"/>
          <w:sz w:val="20"/>
          <w:szCs w:val="20"/>
        </w:rPr>
        <w:t>,</w:t>
      </w:r>
      <w:r w:rsidR="00502A3B" w:rsidRPr="00502A3B">
        <w:rPr>
          <w:color w:val="000000" w:themeColor="text1"/>
          <w:sz w:val="20"/>
          <w:szCs w:val="20"/>
        </w:rPr>
        <w:t xml:space="preserve"> </w:t>
      </w:r>
      <w:r w:rsidR="00502A3B">
        <w:rPr>
          <w:color w:val="000000" w:themeColor="text1"/>
          <w:sz w:val="20"/>
          <w:szCs w:val="20"/>
        </w:rPr>
        <w:t>made a statement. T</w:t>
      </w:r>
      <w:r w:rsidR="00502A3B" w:rsidRPr="00502A3B">
        <w:rPr>
          <w:color w:val="000000" w:themeColor="text1"/>
          <w:sz w:val="20"/>
          <w:szCs w:val="20"/>
        </w:rPr>
        <w:t>he Human Rights Commission</w:t>
      </w:r>
      <w:r w:rsidR="00502A3B">
        <w:rPr>
          <w:color w:val="000000" w:themeColor="text1"/>
          <w:sz w:val="20"/>
          <w:szCs w:val="20"/>
        </w:rPr>
        <w:t xml:space="preserve"> of Sri Lanka made a statement</w:t>
      </w:r>
      <w:r w:rsidR="00502A3B" w:rsidRPr="0067399B">
        <w:rPr>
          <w:color w:val="000000" w:themeColor="text1"/>
          <w:sz w:val="20"/>
          <w:szCs w:val="20"/>
        </w:rPr>
        <w:t xml:space="preserve"> (by video message).</w:t>
      </w:r>
      <w:r w:rsidR="00502A3B">
        <w:rPr>
          <w:color w:val="000000" w:themeColor="text1"/>
          <w:sz w:val="20"/>
          <w:szCs w:val="20"/>
        </w:rPr>
        <w:t xml:space="preserve"> </w:t>
      </w:r>
    </w:p>
    <w:p w14:paraId="02A24E3A" w14:textId="3608BD3C" w:rsidR="00B66F17" w:rsidRPr="0067399B" w:rsidRDefault="009B6FCB" w:rsidP="00B66F17">
      <w:pPr>
        <w:pStyle w:val="SingleTxtG"/>
        <w:rPr>
          <w:color w:val="000000" w:themeColor="text1"/>
          <w:sz w:val="20"/>
          <w:szCs w:val="20"/>
        </w:rPr>
      </w:pPr>
      <w:r>
        <w:rPr>
          <w:color w:val="000000" w:themeColor="text1"/>
          <w:sz w:val="20"/>
          <w:szCs w:val="20"/>
        </w:rPr>
        <w:t>113</w:t>
      </w:r>
      <w:r w:rsidR="00B66F17" w:rsidRPr="0067399B">
        <w:rPr>
          <w:color w:val="000000" w:themeColor="text1"/>
          <w:sz w:val="20"/>
          <w:szCs w:val="20"/>
        </w:rPr>
        <w:t>.</w:t>
      </w:r>
      <w:r w:rsidR="00B66F17" w:rsidRPr="0067399B">
        <w:rPr>
          <w:color w:val="000000" w:themeColor="text1"/>
          <w:sz w:val="20"/>
          <w:szCs w:val="20"/>
        </w:rPr>
        <w:tab/>
        <w:t xml:space="preserve">During the ensuing interactive dialogue, at the </w:t>
      </w:r>
      <w:r w:rsidR="00C172A4">
        <w:rPr>
          <w:color w:val="000000" w:themeColor="text1"/>
          <w:sz w:val="20"/>
          <w:szCs w:val="20"/>
        </w:rPr>
        <w:t>9</w:t>
      </w:r>
      <w:r w:rsidR="00C172A4" w:rsidRPr="0067399B">
        <w:rPr>
          <w:color w:val="000000" w:themeColor="text1"/>
          <w:sz w:val="20"/>
          <w:szCs w:val="20"/>
        </w:rPr>
        <w:t xml:space="preserve">th </w:t>
      </w:r>
      <w:r w:rsidR="00C172A4">
        <w:rPr>
          <w:color w:val="000000" w:themeColor="text1"/>
          <w:sz w:val="20"/>
          <w:szCs w:val="20"/>
        </w:rPr>
        <w:t xml:space="preserve">to 10th </w:t>
      </w:r>
      <w:r w:rsidR="00C172A4" w:rsidRPr="0067399B">
        <w:rPr>
          <w:color w:val="000000" w:themeColor="text1"/>
          <w:sz w:val="20"/>
          <w:szCs w:val="20"/>
        </w:rPr>
        <w:t>meeting</w:t>
      </w:r>
      <w:r w:rsidR="00C172A4">
        <w:rPr>
          <w:color w:val="000000" w:themeColor="text1"/>
          <w:sz w:val="20"/>
          <w:szCs w:val="20"/>
        </w:rPr>
        <w:t>s</w:t>
      </w:r>
      <w:r w:rsidR="00C172A4" w:rsidRPr="0067399B">
        <w:rPr>
          <w:color w:val="000000" w:themeColor="text1"/>
          <w:sz w:val="20"/>
          <w:szCs w:val="20"/>
        </w:rPr>
        <w:t>, on the same day</w:t>
      </w:r>
      <w:r w:rsidR="00B66F17" w:rsidRPr="0067399B">
        <w:rPr>
          <w:color w:val="000000" w:themeColor="text1"/>
          <w:sz w:val="20"/>
          <w:szCs w:val="20"/>
        </w:rPr>
        <w:t>, the following made statements and asked the Independent Expert questions:</w:t>
      </w:r>
    </w:p>
    <w:p w14:paraId="279FC7A9" w14:textId="767FF280" w:rsidR="00B66F17" w:rsidRPr="0067399B" w:rsidRDefault="00B66F17" w:rsidP="00B66F17">
      <w:pPr>
        <w:spacing w:after="120"/>
        <w:ind w:left="1134" w:right="1134" w:firstLine="567"/>
        <w:jc w:val="both"/>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Pr>
          <w:color w:val="000000" w:themeColor="text1"/>
          <w:sz w:val="20"/>
          <w:szCs w:val="20"/>
        </w:rPr>
        <w:t>States Members</w:t>
      </w:r>
      <w:r w:rsidRPr="0067399B">
        <w:rPr>
          <w:color w:val="000000" w:themeColor="text1"/>
          <w:sz w:val="20"/>
          <w:szCs w:val="20"/>
        </w:rPr>
        <w:t xml:space="preserve"> of the Human Rights Council:</w:t>
      </w:r>
      <w:r w:rsidR="00A93886">
        <w:rPr>
          <w:color w:val="000000" w:themeColor="text1"/>
          <w:sz w:val="20"/>
          <w:szCs w:val="20"/>
        </w:rPr>
        <w:t xml:space="preserve"> </w:t>
      </w:r>
      <w:r w:rsidR="000552E1" w:rsidRPr="00C70493">
        <w:rPr>
          <w:color w:val="000000" w:themeColor="text1"/>
          <w:sz w:val="20"/>
          <w:szCs w:val="20"/>
        </w:rPr>
        <w:t xml:space="preserve">Angola </w:t>
      </w:r>
      <w:r w:rsidR="000552E1">
        <w:rPr>
          <w:color w:val="000000" w:themeColor="text1"/>
          <w:sz w:val="20"/>
          <w:szCs w:val="20"/>
        </w:rPr>
        <w:t>(</w:t>
      </w:r>
      <w:r w:rsidR="000552E1" w:rsidRPr="00544A55">
        <w:rPr>
          <w:color w:val="000000" w:themeColor="text1"/>
          <w:sz w:val="20"/>
          <w:szCs w:val="20"/>
        </w:rPr>
        <w:t>on behalf of the Group of African States</w:t>
      </w:r>
      <w:r w:rsidR="000552E1">
        <w:rPr>
          <w:color w:val="000000" w:themeColor="text1"/>
          <w:sz w:val="20"/>
          <w:szCs w:val="20"/>
        </w:rPr>
        <w:t xml:space="preserve">), </w:t>
      </w:r>
      <w:r w:rsidR="000552E1" w:rsidRPr="00C70493">
        <w:rPr>
          <w:color w:val="000000" w:themeColor="text1"/>
          <w:sz w:val="20"/>
          <w:szCs w:val="20"/>
        </w:rPr>
        <w:t>Brazil</w:t>
      </w:r>
      <w:r w:rsidR="000552E1">
        <w:rPr>
          <w:color w:val="000000" w:themeColor="text1"/>
          <w:sz w:val="20"/>
          <w:szCs w:val="20"/>
        </w:rPr>
        <w:t xml:space="preserve">, </w:t>
      </w:r>
      <w:r w:rsidR="000552E1" w:rsidRPr="00C70493">
        <w:rPr>
          <w:color w:val="000000" w:themeColor="text1"/>
          <w:sz w:val="20"/>
          <w:szCs w:val="20"/>
        </w:rPr>
        <w:t>Cuba</w:t>
      </w:r>
      <w:r w:rsidR="000552E1">
        <w:rPr>
          <w:color w:val="000000" w:themeColor="text1"/>
          <w:sz w:val="20"/>
          <w:szCs w:val="20"/>
        </w:rPr>
        <w:t xml:space="preserve">, </w:t>
      </w:r>
      <w:r w:rsidR="000552E1" w:rsidRPr="00C70493">
        <w:rPr>
          <w:color w:val="000000" w:themeColor="text1"/>
          <w:sz w:val="20"/>
          <w:szCs w:val="20"/>
        </w:rPr>
        <w:t>Egypt</w:t>
      </w:r>
      <w:r w:rsidR="000552E1">
        <w:rPr>
          <w:color w:val="000000" w:themeColor="text1"/>
          <w:sz w:val="20"/>
          <w:szCs w:val="20"/>
        </w:rPr>
        <w:t xml:space="preserve">, </w:t>
      </w:r>
      <w:r w:rsidR="000552E1" w:rsidRPr="00C70493">
        <w:rPr>
          <w:color w:val="000000" w:themeColor="text1"/>
          <w:sz w:val="20"/>
          <w:szCs w:val="20"/>
        </w:rPr>
        <w:t>Iraq</w:t>
      </w:r>
      <w:r w:rsidR="000552E1">
        <w:rPr>
          <w:color w:val="000000" w:themeColor="text1"/>
          <w:sz w:val="20"/>
          <w:szCs w:val="20"/>
        </w:rPr>
        <w:t xml:space="preserve">, </w:t>
      </w:r>
      <w:r w:rsidR="000552E1" w:rsidRPr="00C70493">
        <w:rPr>
          <w:color w:val="000000" w:themeColor="text1"/>
          <w:sz w:val="20"/>
          <w:szCs w:val="20"/>
        </w:rPr>
        <w:t>Pakistan</w:t>
      </w:r>
      <w:r w:rsidR="000552E1">
        <w:rPr>
          <w:color w:val="000000" w:themeColor="text1"/>
          <w:sz w:val="20"/>
          <w:szCs w:val="20"/>
        </w:rPr>
        <w:t xml:space="preserve">, </w:t>
      </w:r>
      <w:r w:rsidR="000552E1" w:rsidRPr="00C70493">
        <w:rPr>
          <w:color w:val="000000" w:themeColor="text1"/>
          <w:sz w:val="20"/>
          <w:szCs w:val="20"/>
        </w:rPr>
        <w:t>South Africa</w:t>
      </w:r>
      <w:r w:rsidR="000552E1">
        <w:rPr>
          <w:color w:val="000000" w:themeColor="text1"/>
          <w:sz w:val="20"/>
          <w:szCs w:val="20"/>
        </w:rPr>
        <w:t xml:space="preserve">, </w:t>
      </w:r>
      <w:r w:rsidR="000552E1" w:rsidRPr="00C70493">
        <w:rPr>
          <w:color w:val="000000" w:themeColor="text1"/>
          <w:sz w:val="20"/>
          <w:szCs w:val="20"/>
        </w:rPr>
        <w:t>Tunisia</w:t>
      </w:r>
      <w:r w:rsidRPr="0067399B">
        <w:rPr>
          <w:color w:val="000000" w:themeColor="text1"/>
          <w:sz w:val="20"/>
          <w:szCs w:val="20"/>
        </w:rPr>
        <w:t xml:space="preserve">; </w:t>
      </w:r>
    </w:p>
    <w:p w14:paraId="37BB67E7" w14:textId="18F4C9C0" w:rsidR="00B66F17" w:rsidRPr="0067399B" w:rsidRDefault="00B66F17" w:rsidP="00B66F17">
      <w:pPr>
        <w:spacing w:after="120"/>
        <w:ind w:left="1134" w:right="1134" w:firstLine="567"/>
        <w:jc w:val="both"/>
        <w:rPr>
          <w:color w:val="000000" w:themeColor="text1"/>
          <w:sz w:val="20"/>
          <w:szCs w:val="20"/>
        </w:rPr>
      </w:pPr>
      <w:r w:rsidRPr="0067399B">
        <w:rPr>
          <w:color w:val="000000" w:themeColor="text1"/>
          <w:sz w:val="20"/>
          <w:szCs w:val="20"/>
        </w:rPr>
        <w:t>(b)</w:t>
      </w:r>
      <w:r w:rsidRPr="0067399B">
        <w:rPr>
          <w:color w:val="000000" w:themeColor="text1"/>
          <w:sz w:val="20"/>
          <w:szCs w:val="20"/>
        </w:rPr>
        <w:tab/>
        <w:t xml:space="preserve">Representatives of observer States: </w:t>
      </w:r>
      <w:r w:rsidR="000552E1" w:rsidRPr="00C70493">
        <w:rPr>
          <w:color w:val="000000" w:themeColor="text1"/>
          <w:sz w:val="20"/>
          <w:szCs w:val="20"/>
        </w:rPr>
        <w:t>Algeria</w:t>
      </w:r>
      <w:r w:rsidR="000552E1">
        <w:rPr>
          <w:color w:val="000000" w:themeColor="text1"/>
          <w:sz w:val="20"/>
          <w:szCs w:val="20"/>
        </w:rPr>
        <w:t xml:space="preserve">, </w:t>
      </w:r>
      <w:r w:rsidR="000552E1" w:rsidRPr="00C70493">
        <w:rPr>
          <w:color w:val="000000" w:themeColor="text1"/>
          <w:sz w:val="20"/>
          <w:szCs w:val="20"/>
        </w:rPr>
        <w:t>Bolivia (Plurinational State of)</w:t>
      </w:r>
      <w:r w:rsidR="000552E1">
        <w:rPr>
          <w:color w:val="000000" w:themeColor="text1"/>
          <w:sz w:val="20"/>
          <w:szCs w:val="20"/>
        </w:rPr>
        <w:t xml:space="preserve">, </w:t>
      </w:r>
      <w:r w:rsidR="000552E1" w:rsidRPr="00C70493">
        <w:rPr>
          <w:color w:val="000000" w:themeColor="text1"/>
          <w:sz w:val="20"/>
          <w:szCs w:val="20"/>
        </w:rPr>
        <w:t>Ecuador</w:t>
      </w:r>
      <w:r w:rsidR="000552E1">
        <w:rPr>
          <w:color w:val="000000" w:themeColor="text1"/>
          <w:sz w:val="20"/>
          <w:szCs w:val="20"/>
        </w:rPr>
        <w:t xml:space="preserve">, </w:t>
      </w:r>
      <w:r w:rsidR="000552E1" w:rsidRPr="00C70493">
        <w:rPr>
          <w:color w:val="000000" w:themeColor="text1"/>
          <w:sz w:val="20"/>
          <w:szCs w:val="20"/>
        </w:rPr>
        <w:t>Greece</w:t>
      </w:r>
      <w:r w:rsidR="000552E1">
        <w:rPr>
          <w:color w:val="000000" w:themeColor="text1"/>
          <w:sz w:val="20"/>
          <w:szCs w:val="20"/>
        </w:rPr>
        <w:t xml:space="preserve">, </w:t>
      </w:r>
      <w:r w:rsidR="000552E1" w:rsidRPr="00C70493">
        <w:rPr>
          <w:color w:val="000000" w:themeColor="text1"/>
          <w:sz w:val="20"/>
          <w:szCs w:val="20"/>
        </w:rPr>
        <w:t>Jamaica</w:t>
      </w:r>
      <w:r w:rsidR="000552E1">
        <w:rPr>
          <w:color w:val="000000" w:themeColor="text1"/>
          <w:sz w:val="20"/>
          <w:szCs w:val="20"/>
        </w:rPr>
        <w:t xml:space="preserve">, </w:t>
      </w:r>
      <w:r w:rsidR="000552E1" w:rsidRPr="00C70493">
        <w:rPr>
          <w:color w:val="000000" w:themeColor="text1"/>
          <w:sz w:val="20"/>
          <w:szCs w:val="20"/>
        </w:rPr>
        <w:t>Kuwait</w:t>
      </w:r>
      <w:r w:rsidR="000552E1">
        <w:rPr>
          <w:color w:val="000000" w:themeColor="text1"/>
          <w:sz w:val="20"/>
          <w:szCs w:val="20"/>
        </w:rPr>
        <w:t xml:space="preserve">, </w:t>
      </w:r>
      <w:r w:rsidR="000552E1" w:rsidRPr="00C70493">
        <w:rPr>
          <w:color w:val="000000" w:themeColor="text1"/>
          <w:sz w:val="20"/>
          <w:szCs w:val="20"/>
        </w:rPr>
        <w:t>Russian Federation</w:t>
      </w:r>
      <w:r w:rsidR="000552E1">
        <w:rPr>
          <w:color w:val="000000" w:themeColor="text1"/>
          <w:sz w:val="20"/>
          <w:szCs w:val="20"/>
        </w:rPr>
        <w:t xml:space="preserve">, </w:t>
      </w:r>
      <w:r w:rsidR="000552E1" w:rsidRPr="00C70493">
        <w:rPr>
          <w:color w:val="000000" w:themeColor="text1"/>
          <w:sz w:val="20"/>
          <w:szCs w:val="20"/>
        </w:rPr>
        <w:t>Sudan</w:t>
      </w:r>
      <w:r w:rsidR="000552E1">
        <w:rPr>
          <w:color w:val="000000" w:themeColor="text1"/>
          <w:sz w:val="20"/>
          <w:szCs w:val="20"/>
        </w:rPr>
        <w:t xml:space="preserve">, </w:t>
      </w:r>
      <w:r w:rsidR="000552E1" w:rsidRPr="00C70493">
        <w:rPr>
          <w:color w:val="000000" w:themeColor="text1"/>
          <w:sz w:val="20"/>
          <w:szCs w:val="20"/>
        </w:rPr>
        <w:t>Venezuela (Bolivarian Republic of)</w:t>
      </w:r>
      <w:r w:rsidR="000552E1">
        <w:rPr>
          <w:color w:val="000000" w:themeColor="text1"/>
          <w:sz w:val="20"/>
          <w:szCs w:val="20"/>
        </w:rPr>
        <w:t xml:space="preserve">, </w:t>
      </w:r>
      <w:r w:rsidR="000552E1" w:rsidRPr="00C70493">
        <w:rPr>
          <w:color w:val="000000" w:themeColor="text1"/>
          <w:sz w:val="20"/>
          <w:szCs w:val="20"/>
        </w:rPr>
        <w:t>Holy See</w:t>
      </w:r>
      <w:r w:rsidRPr="0067399B">
        <w:rPr>
          <w:color w:val="000000" w:themeColor="text1"/>
          <w:sz w:val="20"/>
          <w:szCs w:val="20"/>
        </w:rPr>
        <w:t>;</w:t>
      </w:r>
    </w:p>
    <w:p w14:paraId="2B8DDAAB" w14:textId="25D92EF3" w:rsidR="00B66F17" w:rsidRPr="0067399B" w:rsidRDefault="00B66F17" w:rsidP="00B66F17">
      <w:pPr>
        <w:spacing w:after="120"/>
        <w:ind w:left="1134" w:right="1134" w:firstLine="567"/>
        <w:jc w:val="both"/>
        <w:rPr>
          <w:color w:val="000000" w:themeColor="text1"/>
          <w:sz w:val="20"/>
          <w:szCs w:val="20"/>
          <w:lang w:eastAsia="ko-KR"/>
        </w:rPr>
      </w:pPr>
      <w:r w:rsidRPr="0067399B">
        <w:rPr>
          <w:color w:val="000000" w:themeColor="text1"/>
          <w:sz w:val="20"/>
          <w:szCs w:val="20"/>
        </w:rPr>
        <w:t>(c)</w:t>
      </w:r>
      <w:r w:rsidRPr="0067399B">
        <w:rPr>
          <w:color w:val="000000" w:themeColor="text1"/>
          <w:sz w:val="20"/>
          <w:szCs w:val="20"/>
        </w:rPr>
        <w:tab/>
        <w:t xml:space="preserve">Observers for non-governmental organizations: </w:t>
      </w:r>
      <w:r w:rsidR="00BE3F3A" w:rsidRPr="008B7704">
        <w:rPr>
          <w:color w:val="000000" w:themeColor="text1"/>
          <w:sz w:val="20"/>
          <w:szCs w:val="20"/>
        </w:rPr>
        <w:t>Action Canada for Population and Development</w:t>
      </w:r>
      <w:r w:rsidR="00BE3F3A">
        <w:rPr>
          <w:color w:val="000000" w:themeColor="text1"/>
          <w:sz w:val="20"/>
          <w:szCs w:val="20"/>
        </w:rPr>
        <w:t xml:space="preserve">; </w:t>
      </w:r>
      <w:r w:rsidR="00BE3F3A" w:rsidRPr="008B7704">
        <w:rPr>
          <w:color w:val="000000" w:themeColor="text1"/>
          <w:sz w:val="20"/>
          <w:szCs w:val="20"/>
        </w:rPr>
        <w:t>Conectas Direitos Humanos</w:t>
      </w:r>
      <w:r w:rsidR="00BE3F3A">
        <w:rPr>
          <w:color w:val="000000" w:themeColor="text1"/>
          <w:sz w:val="20"/>
          <w:szCs w:val="20"/>
        </w:rPr>
        <w:t xml:space="preserve">; </w:t>
      </w:r>
      <w:r w:rsidR="00BE3F3A" w:rsidRPr="008B7704">
        <w:rPr>
          <w:color w:val="000000" w:themeColor="text1"/>
          <w:sz w:val="20"/>
          <w:szCs w:val="20"/>
        </w:rPr>
        <w:t>Iraqi Development Organization</w:t>
      </w:r>
      <w:r w:rsidR="00BE3F3A">
        <w:rPr>
          <w:color w:val="000000" w:themeColor="text1"/>
          <w:sz w:val="20"/>
          <w:szCs w:val="20"/>
        </w:rPr>
        <w:t xml:space="preserve">; </w:t>
      </w:r>
      <w:r w:rsidR="00BE3F3A" w:rsidRPr="008B7704">
        <w:rPr>
          <w:color w:val="000000" w:themeColor="text1"/>
          <w:sz w:val="20"/>
          <w:szCs w:val="20"/>
        </w:rPr>
        <w:t>Make Mothers Matter</w:t>
      </w:r>
      <w:r w:rsidR="00BE3F3A">
        <w:rPr>
          <w:color w:val="000000" w:themeColor="text1"/>
          <w:sz w:val="20"/>
          <w:szCs w:val="20"/>
        </w:rPr>
        <w:t xml:space="preserve">; </w:t>
      </w:r>
      <w:r w:rsidR="00BE3F3A" w:rsidRPr="008B7704">
        <w:rPr>
          <w:color w:val="000000" w:themeColor="text1"/>
          <w:sz w:val="20"/>
          <w:szCs w:val="20"/>
        </w:rPr>
        <w:t>Women</w:t>
      </w:r>
      <w:r w:rsidR="00D72627">
        <w:rPr>
          <w:color w:val="000000" w:themeColor="text1"/>
          <w:sz w:val="20"/>
          <w:szCs w:val="20"/>
        </w:rPr>
        <w:t>’</w:t>
      </w:r>
      <w:r w:rsidR="00BE3F3A" w:rsidRPr="008B7704">
        <w:rPr>
          <w:color w:val="000000" w:themeColor="text1"/>
          <w:sz w:val="20"/>
          <w:szCs w:val="20"/>
        </w:rPr>
        <w:t>s International League for Peace and Freedom</w:t>
      </w:r>
      <w:r w:rsidRPr="0067399B">
        <w:rPr>
          <w:color w:val="000000" w:themeColor="text1"/>
          <w:sz w:val="20"/>
          <w:szCs w:val="20"/>
          <w:lang w:eastAsia="ko-KR"/>
        </w:rPr>
        <w:t>.</w:t>
      </w:r>
    </w:p>
    <w:p w14:paraId="7C0A8C1D" w14:textId="431E9828" w:rsidR="00B66F17" w:rsidRPr="0067399B" w:rsidRDefault="009B6FCB" w:rsidP="00B66F17">
      <w:pPr>
        <w:pStyle w:val="SingleTxtG"/>
        <w:rPr>
          <w:color w:val="000000" w:themeColor="text1"/>
          <w:sz w:val="20"/>
          <w:szCs w:val="20"/>
        </w:rPr>
      </w:pPr>
      <w:r>
        <w:rPr>
          <w:color w:val="000000" w:themeColor="text1"/>
          <w:sz w:val="20"/>
          <w:szCs w:val="20"/>
        </w:rPr>
        <w:t>114</w:t>
      </w:r>
      <w:r w:rsidR="00B66F17" w:rsidRPr="0067399B">
        <w:rPr>
          <w:color w:val="000000" w:themeColor="text1"/>
          <w:sz w:val="20"/>
          <w:szCs w:val="20"/>
        </w:rPr>
        <w:t>.</w:t>
      </w:r>
      <w:r w:rsidR="00B66F17" w:rsidRPr="0067399B">
        <w:rPr>
          <w:color w:val="000000" w:themeColor="text1"/>
          <w:sz w:val="20"/>
          <w:szCs w:val="20"/>
        </w:rPr>
        <w:tab/>
        <w:t xml:space="preserve">At the </w:t>
      </w:r>
      <w:r w:rsidR="00603288">
        <w:rPr>
          <w:color w:val="000000" w:themeColor="text1"/>
          <w:sz w:val="20"/>
          <w:szCs w:val="20"/>
        </w:rPr>
        <w:t>9</w:t>
      </w:r>
      <w:r w:rsidR="00603288" w:rsidRPr="0067399B">
        <w:rPr>
          <w:color w:val="000000" w:themeColor="text1"/>
          <w:sz w:val="20"/>
          <w:szCs w:val="20"/>
        </w:rPr>
        <w:t xml:space="preserve">th </w:t>
      </w:r>
      <w:r w:rsidR="00603288">
        <w:rPr>
          <w:color w:val="000000" w:themeColor="text1"/>
          <w:sz w:val="20"/>
          <w:szCs w:val="20"/>
        </w:rPr>
        <w:t xml:space="preserve">and 10th </w:t>
      </w:r>
      <w:r w:rsidR="00603288" w:rsidRPr="0067399B">
        <w:rPr>
          <w:color w:val="000000" w:themeColor="text1"/>
          <w:sz w:val="20"/>
          <w:szCs w:val="20"/>
        </w:rPr>
        <w:t>meeting</w:t>
      </w:r>
      <w:r w:rsidR="00603288">
        <w:rPr>
          <w:color w:val="000000" w:themeColor="text1"/>
          <w:sz w:val="20"/>
          <w:szCs w:val="20"/>
        </w:rPr>
        <w:t>s</w:t>
      </w:r>
      <w:r w:rsidR="00B66F17" w:rsidRPr="0067399B">
        <w:rPr>
          <w:color w:val="000000" w:themeColor="text1"/>
          <w:sz w:val="20"/>
          <w:szCs w:val="20"/>
        </w:rPr>
        <w:t xml:space="preserve">, </w:t>
      </w:r>
      <w:r w:rsidR="00463F4C" w:rsidRPr="0067399B">
        <w:rPr>
          <w:color w:val="000000" w:themeColor="text1"/>
          <w:sz w:val="20"/>
          <w:szCs w:val="20"/>
        </w:rPr>
        <w:t>on the same day</w:t>
      </w:r>
      <w:r w:rsidR="00463F4C">
        <w:rPr>
          <w:color w:val="000000" w:themeColor="text1"/>
          <w:sz w:val="20"/>
          <w:szCs w:val="20"/>
        </w:rPr>
        <w:t xml:space="preserve">, </w:t>
      </w:r>
      <w:r w:rsidR="00B66F17" w:rsidRPr="0067399B">
        <w:rPr>
          <w:color w:val="000000" w:themeColor="text1"/>
          <w:sz w:val="20"/>
          <w:szCs w:val="20"/>
        </w:rPr>
        <w:t>the Independent Expert answered questions and made his concluding remarks.</w:t>
      </w:r>
    </w:p>
    <w:p w14:paraId="3BAE2501" w14:textId="43769504" w:rsidR="00B66F17" w:rsidRPr="0067399B" w:rsidRDefault="009B6FCB" w:rsidP="00B66F17">
      <w:pPr>
        <w:pStyle w:val="SingleTxtG"/>
        <w:rPr>
          <w:color w:val="000000" w:themeColor="text1"/>
          <w:sz w:val="20"/>
          <w:szCs w:val="20"/>
        </w:rPr>
      </w:pPr>
      <w:r>
        <w:rPr>
          <w:color w:val="000000" w:themeColor="text1"/>
          <w:sz w:val="20"/>
          <w:szCs w:val="20"/>
        </w:rPr>
        <w:t>115</w:t>
      </w:r>
      <w:r w:rsidR="00B66F17" w:rsidRPr="00031F5C">
        <w:rPr>
          <w:color w:val="000000" w:themeColor="text1"/>
          <w:sz w:val="20"/>
          <w:szCs w:val="20"/>
        </w:rPr>
        <w:t>.</w:t>
      </w:r>
      <w:r w:rsidR="00B66F17" w:rsidRPr="00031F5C">
        <w:rPr>
          <w:color w:val="000000" w:themeColor="text1"/>
          <w:sz w:val="20"/>
          <w:szCs w:val="20"/>
        </w:rPr>
        <w:tab/>
        <w:t xml:space="preserve">At the </w:t>
      </w:r>
      <w:r w:rsidR="00B66F17" w:rsidRPr="00E13262">
        <w:rPr>
          <w:color w:val="000000" w:themeColor="text1"/>
          <w:sz w:val="20"/>
          <w:szCs w:val="20"/>
        </w:rPr>
        <w:t>1</w:t>
      </w:r>
      <w:r w:rsidR="00031F5C" w:rsidRPr="00E13262">
        <w:rPr>
          <w:color w:val="000000" w:themeColor="text1"/>
          <w:sz w:val="20"/>
          <w:szCs w:val="20"/>
        </w:rPr>
        <w:t>1</w:t>
      </w:r>
      <w:r w:rsidR="00B66F17" w:rsidRPr="00E13262">
        <w:rPr>
          <w:color w:val="000000" w:themeColor="text1"/>
          <w:sz w:val="20"/>
          <w:szCs w:val="20"/>
        </w:rPr>
        <w:t xml:space="preserve">th meeting, on </w:t>
      </w:r>
      <w:r w:rsidR="00E13262">
        <w:rPr>
          <w:color w:val="000000" w:themeColor="text1"/>
          <w:sz w:val="20"/>
          <w:szCs w:val="20"/>
        </w:rPr>
        <w:t>28 February</w:t>
      </w:r>
      <w:r w:rsidR="00B66F17" w:rsidRPr="00E13262">
        <w:rPr>
          <w:color w:val="000000" w:themeColor="text1"/>
          <w:sz w:val="20"/>
          <w:szCs w:val="20"/>
        </w:rPr>
        <w:t xml:space="preserve"> 2019</w:t>
      </w:r>
      <w:r w:rsidR="00B66F17" w:rsidRPr="00031F5C">
        <w:rPr>
          <w:color w:val="000000" w:themeColor="text1"/>
          <w:sz w:val="20"/>
          <w:szCs w:val="20"/>
        </w:rPr>
        <w:t xml:space="preserve">, </w:t>
      </w:r>
      <w:r w:rsidR="00A73113">
        <w:rPr>
          <w:color w:val="000000" w:themeColor="text1"/>
          <w:sz w:val="20"/>
          <w:szCs w:val="20"/>
        </w:rPr>
        <w:t xml:space="preserve">a </w:t>
      </w:r>
      <w:r w:rsidR="00B66F17" w:rsidRPr="00031F5C">
        <w:rPr>
          <w:color w:val="000000" w:themeColor="text1"/>
          <w:sz w:val="20"/>
          <w:szCs w:val="20"/>
        </w:rPr>
        <w:t xml:space="preserve">statement in exercise of the right of reply was made by the representative of </w:t>
      </w:r>
      <w:r w:rsidR="00031F5C" w:rsidRPr="00031F5C">
        <w:rPr>
          <w:color w:val="000000" w:themeColor="text1"/>
          <w:sz w:val="20"/>
          <w:szCs w:val="20"/>
        </w:rPr>
        <w:t>Ukraine</w:t>
      </w:r>
      <w:r w:rsidR="00B66F17" w:rsidRPr="00031F5C">
        <w:rPr>
          <w:color w:val="000000" w:themeColor="text1"/>
          <w:sz w:val="20"/>
          <w:szCs w:val="20"/>
        </w:rPr>
        <w:t>.</w:t>
      </w:r>
    </w:p>
    <w:p w14:paraId="3FA03B7D" w14:textId="26E7EA80" w:rsidR="007671C5" w:rsidRPr="0067399B" w:rsidRDefault="007671C5" w:rsidP="007671C5">
      <w:pPr>
        <w:pStyle w:val="H1G"/>
        <w:rPr>
          <w:color w:val="000000" w:themeColor="text1"/>
          <w:sz w:val="20"/>
          <w:szCs w:val="20"/>
        </w:rPr>
      </w:pPr>
      <w:r w:rsidRPr="0067399B">
        <w:rPr>
          <w:color w:val="000000" w:themeColor="text1"/>
          <w:sz w:val="20"/>
          <w:szCs w:val="20"/>
        </w:rPr>
        <w:tab/>
      </w:r>
      <w:r>
        <w:rPr>
          <w:color w:val="000000" w:themeColor="text1"/>
          <w:sz w:val="20"/>
          <w:szCs w:val="20"/>
        </w:rPr>
        <w:tab/>
      </w:r>
      <w:r w:rsidRPr="00A078AC">
        <w:rPr>
          <w:color w:val="000000" w:themeColor="text1"/>
          <w:sz w:val="20"/>
          <w:szCs w:val="20"/>
        </w:rPr>
        <w:t>Special Rapporteur on the situation of human rights defenders</w:t>
      </w:r>
    </w:p>
    <w:p w14:paraId="0116FDBC" w14:textId="5F588DDB" w:rsidR="007671C5" w:rsidRPr="0067399B" w:rsidRDefault="009B6FCB" w:rsidP="007671C5">
      <w:pPr>
        <w:pStyle w:val="SingleTxtG"/>
        <w:rPr>
          <w:color w:val="000000" w:themeColor="text1"/>
          <w:sz w:val="20"/>
          <w:szCs w:val="20"/>
          <w:lang w:eastAsia="en-GB"/>
        </w:rPr>
      </w:pPr>
      <w:r>
        <w:rPr>
          <w:color w:val="000000" w:themeColor="text1"/>
          <w:sz w:val="20"/>
          <w:szCs w:val="20"/>
        </w:rPr>
        <w:t>116</w:t>
      </w:r>
      <w:r w:rsidR="007671C5" w:rsidRPr="0067399B">
        <w:rPr>
          <w:color w:val="000000" w:themeColor="text1"/>
          <w:sz w:val="20"/>
          <w:szCs w:val="20"/>
        </w:rPr>
        <w:t>.</w:t>
      </w:r>
      <w:r w:rsidR="007671C5" w:rsidRPr="0067399B">
        <w:rPr>
          <w:color w:val="000000" w:themeColor="text1"/>
          <w:sz w:val="20"/>
          <w:szCs w:val="20"/>
        </w:rPr>
        <w:tab/>
        <w:t xml:space="preserve">At the 10th meeting, on </w:t>
      </w:r>
      <w:r w:rsidR="007671C5">
        <w:rPr>
          <w:color w:val="000000" w:themeColor="text1"/>
          <w:sz w:val="20"/>
          <w:szCs w:val="20"/>
        </w:rPr>
        <w:t>28 February</w:t>
      </w:r>
      <w:r w:rsidR="007671C5" w:rsidRPr="0067399B">
        <w:rPr>
          <w:color w:val="000000" w:themeColor="text1"/>
          <w:sz w:val="20"/>
          <w:szCs w:val="20"/>
        </w:rPr>
        <w:t xml:space="preserve"> </w:t>
      </w:r>
      <w:r w:rsidR="007671C5">
        <w:rPr>
          <w:color w:val="000000" w:themeColor="text1"/>
          <w:sz w:val="20"/>
          <w:szCs w:val="20"/>
        </w:rPr>
        <w:t>2019</w:t>
      </w:r>
      <w:r w:rsidR="007671C5" w:rsidRPr="0067399B">
        <w:rPr>
          <w:color w:val="000000" w:themeColor="text1"/>
          <w:sz w:val="20"/>
          <w:szCs w:val="20"/>
        </w:rPr>
        <w:t xml:space="preserve">, the Special Rapporteur on the situation of human rights defenders, Michel Forst, presented his reports </w:t>
      </w:r>
      <w:r w:rsidR="007671C5" w:rsidRPr="0067399B">
        <w:rPr>
          <w:color w:val="000000" w:themeColor="text1"/>
          <w:sz w:val="20"/>
          <w:szCs w:val="20"/>
          <w:lang w:eastAsia="en-GB"/>
        </w:rPr>
        <w:t>(</w:t>
      </w:r>
      <w:r w:rsidR="007671C5" w:rsidRPr="007671C5">
        <w:rPr>
          <w:color w:val="000000" w:themeColor="text1"/>
          <w:sz w:val="20"/>
          <w:szCs w:val="20"/>
          <w:lang w:eastAsia="en-GB"/>
        </w:rPr>
        <w:t>A/HRC/40/</w:t>
      </w:r>
      <w:r w:rsidR="007671C5" w:rsidRPr="007671C5">
        <w:rPr>
          <w:color w:val="000000" w:themeColor="text1"/>
          <w:sz w:val="20"/>
          <w:szCs w:val="20"/>
        </w:rPr>
        <w:t>60 and Add.2-3</w:t>
      </w:r>
      <w:r w:rsidR="007671C5" w:rsidRPr="0067399B">
        <w:rPr>
          <w:color w:val="000000" w:themeColor="text1"/>
          <w:sz w:val="20"/>
          <w:szCs w:val="20"/>
        </w:rPr>
        <w:t>).</w:t>
      </w:r>
    </w:p>
    <w:p w14:paraId="6A10C82C" w14:textId="3AA02D4D" w:rsidR="007671C5" w:rsidRPr="0067399B" w:rsidRDefault="009B6FCB" w:rsidP="007671C5">
      <w:pPr>
        <w:pStyle w:val="SingleTxtG"/>
        <w:rPr>
          <w:color w:val="000000" w:themeColor="text1"/>
          <w:sz w:val="20"/>
          <w:szCs w:val="20"/>
        </w:rPr>
      </w:pPr>
      <w:r>
        <w:rPr>
          <w:color w:val="000000" w:themeColor="text1"/>
          <w:sz w:val="20"/>
          <w:szCs w:val="20"/>
        </w:rPr>
        <w:t>117</w:t>
      </w:r>
      <w:r w:rsidR="007671C5" w:rsidRPr="0067399B">
        <w:rPr>
          <w:color w:val="000000" w:themeColor="text1"/>
          <w:sz w:val="20"/>
          <w:szCs w:val="20"/>
        </w:rPr>
        <w:t>.</w:t>
      </w:r>
      <w:r w:rsidR="007671C5" w:rsidRPr="0067399B">
        <w:rPr>
          <w:color w:val="000000" w:themeColor="text1"/>
          <w:sz w:val="20"/>
          <w:szCs w:val="20"/>
        </w:rPr>
        <w:tab/>
        <w:t xml:space="preserve">At the same meeting, the representatives of </w:t>
      </w:r>
      <w:r w:rsidR="007671C5">
        <w:rPr>
          <w:color w:val="000000" w:themeColor="text1"/>
          <w:sz w:val="20"/>
          <w:szCs w:val="20"/>
        </w:rPr>
        <w:t>Honduras and the Republic of Moldova</w:t>
      </w:r>
      <w:r w:rsidR="007671C5" w:rsidRPr="0067399B">
        <w:rPr>
          <w:color w:val="000000" w:themeColor="text1"/>
          <w:sz w:val="20"/>
          <w:szCs w:val="20"/>
        </w:rPr>
        <w:t xml:space="preserve"> made statements as the States concerned. </w:t>
      </w:r>
    </w:p>
    <w:p w14:paraId="38C31AAD" w14:textId="4BC834A3" w:rsidR="007671C5" w:rsidRPr="0067399B" w:rsidRDefault="009B6FCB" w:rsidP="007671C5">
      <w:pPr>
        <w:pStyle w:val="SingleTxtG"/>
        <w:rPr>
          <w:color w:val="000000" w:themeColor="text1"/>
          <w:sz w:val="20"/>
          <w:szCs w:val="20"/>
        </w:rPr>
      </w:pPr>
      <w:r>
        <w:rPr>
          <w:color w:val="000000" w:themeColor="text1"/>
          <w:sz w:val="20"/>
          <w:szCs w:val="20"/>
        </w:rPr>
        <w:t>118</w:t>
      </w:r>
      <w:r w:rsidR="007671C5" w:rsidRPr="0067399B">
        <w:rPr>
          <w:color w:val="000000" w:themeColor="text1"/>
          <w:sz w:val="20"/>
          <w:szCs w:val="20"/>
        </w:rPr>
        <w:t>.</w:t>
      </w:r>
      <w:r w:rsidR="007671C5" w:rsidRPr="0067399B">
        <w:rPr>
          <w:color w:val="000000" w:themeColor="text1"/>
          <w:sz w:val="20"/>
          <w:szCs w:val="20"/>
        </w:rPr>
        <w:tab/>
        <w:t xml:space="preserve">During the ensuing interactive dialogue, at the </w:t>
      </w:r>
      <w:r w:rsidR="007671C5">
        <w:rPr>
          <w:color w:val="000000" w:themeColor="text1"/>
          <w:sz w:val="20"/>
          <w:szCs w:val="20"/>
        </w:rPr>
        <w:t>10th to 11th</w:t>
      </w:r>
      <w:r w:rsidR="007671C5" w:rsidRPr="0067399B">
        <w:rPr>
          <w:color w:val="000000" w:themeColor="text1"/>
          <w:sz w:val="20"/>
          <w:szCs w:val="20"/>
        </w:rPr>
        <w:t xml:space="preserve"> meeting</w:t>
      </w:r>
      <w:r w:rsidR="007671C5">
        <w:rPr>
          <w:color w:val="000000" w:themeColor="text1"/>
          <w:sz w:val="20"/>
          <w:szCs w:val="20"/>
        </w:rPr>
        <w:t>s</w:t>
      </w:r>
      <w:r w:rsidR="007671C5" w:rsidRPr="0067399B">
        <w:rPr>
          <w:color w:val="000000" w:themeColor="text1"/>
          <w:sz w:val="20"/>
          <w:szCs w:val="20"/>
        </w:rPr>
        <w:t xml:space="preserve">, on the same day, the following made statements and asked the Special Rapporteur questions: </w:t>
      </w:r>
    </w:p>
    <w:p w14:paraId="7912F859" w14:textId="2743786E" w:rsidR="007833A3" w:rsidRPr="00803914" w:rsidRDefault="007671C5" w:rsidP="007833A3">
      <w:pPr>
        <w:spacing w:after="120"/>
        <w:ind w:left="1134" w:right="1134" w:firstLine="567"/>
        <w:jc w:val="both"/>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Pr>
          <w:color w:val="000000" w:themeColor="text1"/>
          <w:sz w:val="20"/>
          <w:szCs w:val="20"/>
        </w:rPr>
        <w:t>States Members</w:t>
      </w:r>
      <w:r w:rsidRPr="0067399B">
        <w:rPr>
          <w:color w:val="000000" w:themeColor="text1"/>
          <w:sz w:val="20"/>
          <w:szCs w:val="20"/>
        </w:rPr>
        <w:t xml:space="preserve"> of the Human Rights Council:</w:t>
      </w:r>
      <w:r w:rsidR="007833A3">
        <w:rPr>
          <w:color w:val="000000" w:themeColor="text1"/>
          <w:sz w:val="20"/>
          <w:szCs w:val="20"/>
        </w:rPr>
        <w:t xml:space="preserve"> </w:t>
      </w:r>
      <w:r w:rsidR="00031F5C" w:rsidRPr="00803914">
        <w:rPr>
          <w:color w:val="000000" w:themeColor="text1"/>
          <w:sz w:val="20"/>
          <w:szCs w:val="20"/>
        </w:rPr>
        <w:t>Afghanistan</w:t>
      </w:r>
      <w:r w:rsidR="007833A3">
        <w:rPr>
          <w:color w:val="000000" w:themeColor="text1"/>
          <w:sz w:val="20"/>
          <w:szCs w:val="20"/>
        </w:rPr>
        <w:t xml:space="preserve">, </w:t>
      </w:r>
      <w:r w:rsidR="007833A3" w:rsidRPr="00803914">
        <w:rPr>
          <w:color w:val="000000" w:themeColor="text1"/>
          <w:sz w:val="20"/>
          <w:szCs w:val="20"/>
        </w:rPr>
        <w:t xml:space="preserve">Angola </w:t>
      </w:r>
      <w:r w:rsidR="007833A3">
        <w:rPr>
          <w:color w:val="000000" w:themeColor="text1"/>
          <w:sz w:val="20"/>
          <w:szCs w:val="20"/>
        </w:rPr>
        <w:t>(</w:t>
      </w:r>
      <w:r w:rsidR="007833A3" w:rsidRPr="00544A55">
        <w:rPr>
          <w:color w:val="000000" w:themeColor="text1"/>
          <w:sz w:val="20"/>
          <w:szCs w:val="20"/>
        </w:rPr>
        <w:t>on behalf of the Group of African States</w:t>
      </w:r>
      <w:r w:rsidR="007833A3">
        <w:rPr>
          <w:color w:val="000000" w:themeColor="text1"/>
          <w:sz w:val="20"/>
          <w:szCs w:val="20"/>
        </w:rPr>
        <w:t xml:space="preserve">), Australia, </w:t>
      </w:r>
      <w:r w:rsidR="007833A3" w:rsidRPr="00803914">
        <w:rPr>
          <w:color w:val="000000" w:themeColor="text1"/>
          <w:sz w:val="20"/>
          <w:szCs w:val="20"/>
        </w:rPr>
        <w:t>Austria</w:t>
      </w:r>
      <w:r w:rsidR="007833A3">
        <w:rPr>
          <w:color w:val="000000" w:themeColor="text1"/>
          <w:sz w:val="20"/>
          <w:szCs w:val="20"/>
        </w:rPr>
        <w:t xml:space="preserve">, </w:t>
      </w:r>
      <w:r w:rsidR="007833A3" w:rsidRPr="00803914">
        <w:rPr>
          <w:color w:val="000000" w:themeColor="text1"/>
          <w:sz w:val="20"/>
          <w:szCs w:val="20"/>
        </w:rPr>
        <w:t>Bahrain</w:t>
      </w:r>
      <w:r w:rsidR="007833A3">
        <w:rPr>
          <w:color w:val="000000" w:themeColor="text1"/>
          <w:sz w:val="20"/>
          <w:szCs w:val="20"/>
        </w:rPr>
        <w:t>,</w:t>
      </w:r>
      <w:r w:rsidR="007833A3" w:rsidRPr="00803914">
        <w:rPr>
          <w:color w:val="000000" w:themeColor="text1"/>
          <w:sz w:val="20"/>
          <w:szCs w:val="20"/>
        </w:rPr>
        <w:t xml:space="preserve"> </w:t>
      </w:r>
      <w:r w:rsidR="007833A3">
        <w:rPr>
          <w:color w:val="000000" w:themeColor="text1"/>
          <w:sz w:val="20"/>
          <w:szCs w:val="20"/>
        </w:rPr>
        <w:t xml:space="preserve">Brazil, </w:t>
      </w:r>
      <w:r w:rsidR="007833A3" w:rsidRPr="00803914">
        <w:rPr>
          <w:color w:val="000000" w:themeColor="text1"/>
          <w:sz w:val="20"/>
          <w:szCs w:val="20"/>
        </w:rPr>
        <w:t>Burkina Faso</w:t>
      </w:r>
      <w:r w:rsidR="007833A3">
        <w:rPr>
          <w:color w:val="000000" w:themeColor="text1"/>
          <w:sz w:val="20"/>
          <w:szCs w:val="20"/>
        </w:rPr>
        <w:t xml:space="preserve"> (</w:t>
      </w:r>
      <w:r w:rsidR="007833A3" w:rsidRPr="007833A3">
        <w:rPr>
          <w:color w:val="000000" w:themeColor="text1"/>
          <w:sz w:val="20"/>
          <w:szCs w:val="20"/>
        </w:rPr>
        <w:t>also on behalf of the French-speaking States Members and observers</w:t>
      </w:r>
      <w:r w:rsidR="007833A3">
        <w:rPr>
          <w:color w:val="000000" w:themeColor="text1"/>
          <w:sz w:val="20"/>
          <w:szCs w:val="20"/>
        </w:rPr>
        <w:t xml:space="preserve">), </w:t>
      </w:r>
      <w:r w:rsidR="007833A3" w:rsidRPr="00803914">
        <w:rPr>
          <w:color w:val="000000" w:themeColor="text1"/>
          <w:sz w:val="20"/>
          <w:szCs w:val="20"/>
        </w:rPr>
        <w:t>Chile</w:t>
      </w:r>
      <w:r w:rsidR="007833A3">
        <w:rPr>
          <w:color w:val="000000" w:themeColor="text1"/>
          <w:sz w:val="20"/>
          <w:szCs w:val="20"/>
        </w:rPr>
        <w:t xml:space="preserve">, </w:t>
      </w:r>
      <w:r w:rsidR="007833A3" w:rsidRPr="00803914">
        <w:rPr>
          <w:color w:val="000000" w:themeColor="text1"/>
          <w:sz w:val="20"/>
          <w:szCs w:val="20"/>
        </w:rPr>
        <w:t>China</w:t>
      </w:r>
      <w:r w:rsidR="007833A3">
        <w:rPr>
          <w:color w:val="000000" w:themeColor="text1"/>
          <w:sz w:val="20"/>
          <w:szCs w:val="20"/>
        </w:rPr>
        <w:t xml:space="preserve">, </w:t>
      </w:r>
      <w:r w:rsidR="007833A3" w:rsidRPr="00803914">
        <w:rPr>
          <w:color w:val="000000" w:themeColor="text1"/>
          <w:sz w:val="20"/>
          <w:szCs w:val="20"/>
        </w:rPr>
        <w:t>Croatia</w:t>
      </w:r>
      <w:r w:rsidR="007833A3">
        <w:rPr>
          <w:color w:val="000000" w:themeColor="text1"/>
          <w:sz w:val="20"/>
          <w:szCs w:val="20"/>
        </w:rPr>
        <w:t xml:space="preserve">, </w:t>
      </w:r>
      <w:r w:rsidR="007833A3" w:rsidRPr="00803914">
        <w:rPr>
          <w:color w:val="000000" w:themeColor="text1"/>
          <w:sz w:val="20"/>
          <w:szCs w:val="20"/>
        </w:rPr>
        <w:t>Cuba</w:t>
      </w:r>
      <w:r w:rsidR="007833A3">
        <w:rPr>
          <w:color w:val="000000" w:themeColor="text1"/>
          <w:sz w:val="20"/>
          <w:szCs w:val="20"/>
        </w:rPr>
        <w:t xml:space="preserve">, </w:t>
      </w:r>
      <w:r w:rsidR="007833A3" w:rsidRPr="00803914">
        <w:rPr>
          <w:color w:val="000000" w:themeColor="text1"/>
          <w:sz w:val="20"/>
          <w:szCs w:val="20"/>
        </w:rPr>
        <w:t>Czech</w:t>
      </w:r>
      <w:r w:rsidR="007833A3">
        <w:rPr>
          <w:color w:val="000000" w:themeColor="text1"/>
          <w:sz w:val="20"/>
          <w:szCs w:val="20"/>
        </w:rPr>
        <w:t xml:space="preserve">ia, </w:t>
      </w:r>
      <w:r w:rsidR="007833A3" w:rsidRPr="00803914">
        <w:rPr>
          <w:color w:val="000000" w:themeColor="text1"/>
          <w:sz w:val="20"/>
          <w:szCs w:val="20"/>
        </w:rPr>
        <w:t>Denmark</w:t>
      </w:r>
      <w:r w:rsidR="007833A3">
        <w:rPr>
          <w:color w:val="000000" w:themeColor="text1"/>
          <w:sz w:val="20"/>
          <w:szCs w:val="20"/>
        </w:rPr>
        <w:t xml:space="preserve">, </w:t>
      </w:r>
      <w:r w:rsidR="007833A3" w:rsidRPr="00803914">
        <w:rPr>
          <w:color w:val="000000" w:themeColor="text1"/>
          <w:sz w:val="20"/>
          <w:szCs w:val="20"/>
        </w:rPr>
        <w:t>Egypt</w:t>
      </w:r>
      <w:r w:rsidR="007833A3">
        <w:rPr>
          <w:color w:val="000000" w:themeColor="text1"/>
          <w:sz w:val="20"/>
          <w:szCs w:val="20"/>
        </w:rPr>
        <w:t xml:space="preserve">, </w:t>
      </w:r>
      <w:r w:rsidR="007833A3" w:rsidRPr="00803914">
        <w:rPr>
          <w:color w:val="000000" w:themeColor="text1"/>
          <w:sz w:val="20"/>
          <w:szCs w:val="20"/>
        </w:rPr>
        <w:t>Fiji</w:t>
      </w:r>
      <w:r w:rsidR="007833A3">
        <w:rPr>
          <w:color w:val="000000" w:themeColor="text1"/>
          <w:sz w:val="20"/>
          <w:szCs w:val="20"/>
        </w:rPr>
        <w:t xml:space="preserve">, </w:t>
      </w:r>
      <w:r w:rsidR="007833A3" w:rsidRPr="00803914">
        <w:rPr>
          <w:color w:val="000000" w:themeColor="text1"/>
          <w:sz w:val="20"/>
          <w:szCs w:val="20"/>
        </w:rPr>
        <w:t>Iceland</w:t>
      </w:r>
      <w:r w:rsidR="007833A3">
        <w:rPr>
          <w:color w:val="000000" w:themeColor="text1"/>
          <w:sz w:val="20"/>
          <w:szCs w:val="20"/>
        </w:rPr>
        <w:t xml:space="preserve">, </w:t>
      </w:r>
      <w:r w:rsidR="007833A3" w:rsidRPr="00803914">
        <w:rPr>
          <w:color w:val="000000" w:themeColor="text1"/>
          <w:sz w:val="20"/>
          <w:szCs w:val="20"/>
        </w:rPr>
        <w:t>India</w:t>
      </w:r>
      <w:r w:rsidR="007833A3">
        <w:rPr>
          <w:color w:val="000000" w:themeColor="text1"/>
          <w:sz w:val="20"/>
          <w:szCs w:val="20"/>
        </w:rPr>
        <w:t xml:space="preserve">, </w:t>
      </w:r>
      <w:r w:rsidR="007833A3" w:rsidRPr="00803914">
        <w:rPr>
          <w:color w:val="000000" w:themeColor="text1"/>
          <w:sz w:val="20"/>
          <w:szCs w:val="20"/>
        </w:rPr>
        <w:t>Iraq</w:t>
      </w:r>
      <w:r w:rsidR="007833A3">
        <w:rPr>
          <w:color w:val="000000" w:themeColor="text1"/>
          <w:sz w:val="20"/>
          <w:szCs w:val="20"/>
        </w:rPr>
        <w:t xml:space="preserve">, </w:t>
      </w:r>
      <w:r w:rsidR="007833A3" w:rsidRPr="00803914">
        <w:rPr>
          <w:color w:val="000000" w:themeColor="text1"/>
          <w:sz w:val="20"/>
          <w:szCs w:val="20"/>
        </w:rPr>
        <w:t>Italy</w:t>
      </w:r>
      <w:r w:rsidR="007833A3">
        <w:rPr>
          <w:color w:val="000000" w:themeColor="text1"/>
          <w:sz w:val="20"/>
          <w:szCs w:val="20"/>
        </w:rPr>
        <w:t xml:space="preserve">, </w:t>
      </w:r>
      <w:r w:rsidR="007833A3" w:rsidRPr="00803914">
        <w:rPr>
          <w:color w:val="000000" w:themeColor="text1"/>
          <w:sz w:val="20"/>
          <w:szCs w:val="20"/>
        </w:rPr>
        <w:t>Mexico</w:t>
      </w:r>
      <w:r w:rsidR="007833A3">
        <w:rPr>
          <w:color w:val="000000" w:themeColor="text1"/>
          <w:sz w:val="20"/>
          <w:szCs w:val="20"/>
        </w:rPr>
        <w:t xml:space="preserve">, Nepal, </w:t>
      </w:r>
      <w:r w:rsidR="007833A3" w:rsidRPr="00803914">
        <w:rPr>
          <w:color w:val="000000" w:themeColor="text1"/>
          <w:sz w:val="20"/>
          <w:szCs w:val="20"/>
        </w:rPr>
        <w:t>Pakistan</w:t>
      </w:r>
      <w:r w:rsidR="007833A3">
        <w:rPr>
          <w:color w:val="000000" w:themeColor="text1"/>
          <w:sz w:val="20"/>
          <w:szCs w:val="20"/>
        </w:rPr>
        <w:t xml:space="preserve">, </w:t>
      </w:r>
      <w:r w:rsidR="007833A3" w:rsidRPr="00803914">
        <w:rPr>
          <w:color w:val="000000" w:themeColor="text1"/>
          <w:sz w:val="20"/>
          <w:szCs w:val="20"/>
        </w:rPr>
        <w:t>Philippines</w:t>
      </w:r>
      <w:r w:rsidR="007833A3">
        <w:rPr>
          <w:color w:val="000000" w:themeColor="text1"/>
          <w:sz w:val="20"/>
          <w:szCs w:val="20"/>
        </w:rPr>
        <w:t xml:space="preserve">, </w:t>
      </w:r>
      <w:r w:rsidR="007833A3" w:rsidRPr="00803914">
        <w:rPr>
          <w:color w:val="000000" w:themeColor="text1"/>
          <w:sz w:val="20"/>
          <w:szCs w:val="20"/>
        </w:rPr>
        <w:t>Saudi Arabia</w:t>
      </w:r>
      <w:r w:rsidR="007833A3">
        <w:rPr>
          <w:color w:val="000000" w:themeColor="text1"/>
          <w:sz w:val="20"/>
          <w:szCs w:val="20"/>
        </w:rPr>
        <w:t xml:space="preserve">, </w:t>
      </w:r>
      <w:r w:rsidR="007833A3" w:rsidRPr="00803914">
        <w:rPr>
          <w:color w:val="000000" w:themeColor="text1"/>
          <w:sz w:val="20"/>
          <w:szCs w:val="20"/>
        </w:rPr>
        <w:t>South Africa</w:t>
      </w:r>
      <w:r w:rsidR="007833A3">
        <w:rPr>
          <w:color w:val="000000" w:themeColor="text1"/>
          <w:sz w:val="20"/>
          <w:szCs w:val="20"/>
        </w:rPr>
        <w:t>,</w:t>
      </w:r>
      <w:r w:rsidR="007833A3" w:rsidRPr="00803914">
        <w:rPr>
          <w:color w:val="000000" w:themeColor="text1"/>
          <w:sz w:val="20"/>
          <w:szCs w:val="20"/>
        </w:rPr>
        <w:t xml:space="preserve"> Tunisia</w:t>
      </w:r>
      <w:r w:rsidR="007833A3">
        <w:rPr>
          <w:color w:val="000000" w:themeColor="text1"/>
          <w:sz w:val="20"/>
          <w:szCs w:val="20"/>
        </w:rPr>
        <w:t xml:space="preserve">, </w:t>
      </w:r>
      <w:r w:rsidR="007833A3" w:rsidRPr="00803914">
        <w:rPr>
          <w:color w:val="000000" w:themeColor="text1"/>
          <w:sz w:val="20"/>
          <w:szCs w:val="20"/>
        </w:rPr>
        <w:t>United Kingdom of Great Britain and Northern Ireland</w:t>
      </w:r>
      <w:r w:rsidR="00F81B85">
        <w:rPr>
          <w:color w:val="000000" w:themeColor="text1"/>
          <w:sz w:val="20"/>
          <w:szCs w:val="20"/>
        </w:rPr>
        <w:t xml:space="preserve">, </w:t>
      </w:r>
      <w:r w:rsidR="00F81B85" w:rsidRPr="00803914">
        <w:rPr>
          <w:color w:val="000000" w:themeColor="text1"/>
          <w:sz w:val="20"/>
          <w:szCs w:val="20"/>
        </w:rPr>
        <w:t>Uruguay</w:t>
      </w:r>
      <w:r w:rsidR="007833A3">
        <w:rPr>
          <w:color w:val="000000" w:themeColor="text1"/>
          <w:sz w:val="20"/>
          <w:szCs w:val="20"/>
        </w:rPr>
        <w:t>;</w:t>
      </w:r>
    </w:p>
    <w:p w14:paraId="221B5831" w14:textId="34D1460A" w:rsidR="007833A3" w:rsidRDefault="007671C5" w:rsidP="007833A3">
      <w:pPr>
        <w:spacing w:after="120"/>
        <w:ind w:left="1134" w:right="1134" w:firstLine="567"/>
        <w:jc w:val="both"/>
        <w:rPr>
          <w:color w:val="000000" w:themeColor="text1"/>
          <w:sz w:val="20"/>
          <w:szCs w:val="20"/>
        </w:rPr>
      </w:pPr>
      <w:r w:rsidRPr="0067399B">
        <w:rPr>
          <w:color w:val="000000" w:themeColor="text1"/>
          <w:sz w:val="20"/>
          <w:szCs w:val="20"/>
        </w:rPr>
        <w:t>(b)</w:t>
      </w:r>
      <w:r w:rsidRPr="0067399B">
        <w:rPr>
          <w:color w:val="000000" w:themeColor="text1"/>
          <w:sz w:val="20"/>
          <w:szCs w:val="20"/>
        </w:rPr>
        <w:tab/>
        <w:t xml:space="preserve">Representatives of observer States: </w:t>
      </w:r>
      <w:r w:rsidR="007833A3" w:rsidRPr="00803914">
        <w:rPr>
          <w:color w:val="000000" w:themeColor="text1"/>
          <w:sz w:val="20"/>
          <w:szCs w:val="20"/>
        </w:rPr>
        <w:t>Albania</w:t>
      </w:r>
      <w:r w:rsidR="007833A3">
        <w:rPr>
          <w:color w:val="000000" w:themeColor="text1"/>
          <w:sz w:val="20"/>
          <w:szCs w:val="20"/>
        </w:rPr>
        <w:t xml:space="preserve">, Armenia, </w:t>
      </w:r>
      <w:r w:rsidR="007833A3" w:rsidRPr="00803914">
        <w:rPr>
          <w:color w:val="000000" w:themeColor="text1"/>
          <w:sz w:val="20"/>
          <w:szCs w:val="20"/>
        </w:rPr>
        <w:t>Belgium</w:t>
      </w:r>
      <w:r w:rsidR="007833A3">
        <w:rPr>
          <w:color w:val="000000" w:themeColor="text1"/>
          <w:sz w:val="20"/>
          <w:szCs w:val="20"/>
        </w:rPr>
        <w:t xml:space="preserve">, </w:t>
      </w:r>
      <w:r w:rsidR="007833A3" w:rsidRPr="00803914">
        <w:rPr>
          <w:color w:val="000000" w:themeColor="text1"/>
          <w:sz w:val="20"/>
          <w:szCs w:val="20"/>
        </w:rPr>
        <w:t>Bolivia (Plurinational State of)</w:t>
      </w:r>
      <w:r w:rsidR="007833A3">
        <w:rPr>
          <w:color w:val="000000" w:themeColor="text1"/>
          <w:sz w:val="20"/>
          <w:szCs w:val="20"/>
        </w:rPr>
        <w:t xml:space="preserve">, </w:t>
      </w:r>
      <w:r w:rsidR="007833A3" w:rsidRPr="00803914">
        <w:rPr>
          <w:color w:val="000000" w:themeColor="text1"/>
          <w:sz w:val="20"/>
          <w:szCs w:val="20"/>
        </w:rPr>
        <w:t>Botswana</w:t>
      </w:r>
      <w:r w:rsidR="007833A3">
        <w:rPr>
          <w:color w:val="000000" w:themeColor="text1"/>
          <w:sz w:val="20"/>
          <w:szCs w:val="20"/>
        </w:rPr>
        <w:t xml:space="preserve">, </w:t>
      </w:r>
      <w:r w:rsidR="007833A3" w:rsidRPr="00803914">
        <w:rPr>
          <w:color w:val="000000" w:themeColor="text1"/>
          <w:sz w:val="20"/>
          <w:szCs w:val="20"/>
        </w:rPr>
        <w:t>Canada</w:t>
      </w:r>
      <w:r w:rsidR="007833A3">
        <w:rPr>
          <w:color w:val="000000" w:themeColor="text1"/>
          <w:sz w:val="20"/>
          <w:szCs w:val="20"/>
        </w:rPr>
        <w:t xml:space="preserve">, </w:t>
      </w:r>
      <w:r w:rsidR="007833A3" w:rsidRPr="00803914">
        <w:rPr>
          <w:color w:val="000000" w:themeColor="text1"/>
          <w:sz w:val="20"/>
          <w:szCs w:val="20"/>
        </w:rPr>
        <w:t>Costa Rica</w:t>
      </w:r>
      <w:r w:rsidR="007833A3">
        <w:rPr>
          <w:color w:val="000000" w:themeColor="text1"/>
          <w:sz w:val="20"/>
          <w:szCs w:val="20"/>
        </w:rPr>
        <w:t xml:space="preserve">, </w:t>
      </w:r>
      <w:r w:rsidR="007833A3" w:rsidRPr="00803914">
        <w:rPr>
          <w:color w:val="000000" w:themeColor="text1"/>
          <w:sz w:val="20"/>
          <w:szCs w:val="20"/>
        </w:rPr>
        <w:t>Ecuador</w:t>
      </w:r>
      <w:r w:rsidR="007833A3">
        <w:rPr>
          <w:color w:val="000000" w:themeColor="text1"/>
          <w:sz w:val="20"/>
          <w:szCs w:val="20"/>
        </w:rPr>
        <w:t xml:space="preserve">, </w:t>
      </w:r>
      <w:r w:rsidR="007833A3" w:rsidRPr="00803914">
        <w:rPr>
          <w:color w:val="000000" w:themeColor="text1"/>
          <w:sz w:val="20"/>
          <w:szCs w:val="20"/>
        </w:rPr>
        <w:t>Estonia</w:t>
      </w:r>
      <w:r w:rsidR="007833A3">
        <w:rPr>
          <w:color w:val="000000" w:themeColor="text1"/>
          <w:sz w:val="20"/>
          <w:szCs w:val="20"/>
        </w:rPr>
        <w:t xml:space="preserve">, </w:t>
      </w:r>
      <w:r w:rsidR="007833A3" w:rsidRPr="00803914">
        <w:rPr>
          <w:color w:val="000000" w:themeColor="text1"/>
          <w:sz w:val="20"/>
          <w:szCs w:val="20"/>
        </w:rPr>
        <w:t>Finland</w:t>
      </w:r>
      <w:r w:rsidR="007833A3">
        <w:rPr>
          <w:color w:val="000000" w:themeColor="text1"/>
          <w:sz w:val="20"/>
          <w:szCs w:val="20"/>
        </w:rPr>
        <w:t xml:space="preserve">, </w:t>
      </w:r>
      <w:r w:rsidR="007833A3" w:rsidRPr="00803914">
        <w:rPr>
          <w:color w:val="000000" w:themeColor="text1"/>
          <w:sz w:val="20"/>
          <w:szCs w:val="20"/>
        </w:rPr>
        <w:t>France</w:t>
      </w:r>
      <w:r w:rsidR="007833A3">
        <w:rPr>
          <w:color w:val="000000" w:themeColor="text1"/>
          <w:sz w:val="20"/>
          <w:szCs w:val="20"/>
        </w:rPr>
        <w:t xml:space="preserve">, </w:t>
      </w:r>
      <w:r w:rsidR="007833A3" w:rsidRPr="00803914">
        <w:rPr>
          <w:color w:val="000000" w:themeColor="text1"/>
          <w:sz w:val="20"/>
          <w:szCs w:val="20"/>
        </w:rPr>
        <w:t>Georgia</w:t>
      </w:r>
      <w:r w:rsidR="007833A3">
        <w:rPr>
          <w:color w:val="000000" w:themeColor="text1"/>
          <w:sz w:val="20"/>
          <w:szCs w:val="20"/>
        </w:rPr>
        <w:t xml:space="preserve">, </w:t>
      </w:r>
      <w:r w:rsidR="007833A3" w:rsidRPr="00803914">
        <w:rPr>
          <w:color w:val="000000" w:themeColor="text1"/>
          <w:sz w:val="20"/>
          <w:szCs w:val="20"/>
        </w:rPr>
        <w:t>Indonesia</w:t>
      </w:r>
      <w:r w:rsidR="007833A3">
        <w:rPr>
          <w:color w:val="000000" w:themeColor="text1"/>
          <w:sz w:val="20"/>
          <w:szCs w:val="20"/>
        </w:rPr>
        <w:t>,</w:t>
      </w:r>
      <w:r w:rsidR="007833A3" w:rsidRPr="00803914">
        <w:rPr>
          <w:color w:val="000000" w:themeColor="text1"/>
          <w:sz w:val="20"/>
          <w:szCs w:val="20"/>
        </w:rPr>
        <w:t xml:space="preserve"> Ireland</w:t>
      </w:r>
      <w:r w:rsidR="007833A3">
        <w:rPr>
          <w:color w:val="000000" w:themeColor="text1"/>
          <w:sz w:val="20"/>
          <w:szCs w:val="20"/>
        </w:rPr>
        <w:t xml:space="preserve">, </w:t>
      </w:r>
      <w:r w:rsidR="007833A3" w:rsidRPr="00803914">
        <w:rPr>
          <w:color w:val="000000" w:themeColor="text1"/>
          <w:sz w:val="20"/>
          <w:szCs w:val="20"/>
        </w:rPr>
        <w:t>Jordan</w:t>
      </w:r>
      <w:r w:rsidR="007833A3">
        <w:rPr>
          <w:color w:val="000000" w:themeColor="text1"/>
          <w:sz w:val="20"/>
          <w:szCs w:val="20"/>
        </w:rPr>
        <w:t xml:space="preserve">, </w:t>
      </w:r>
      <w:r w:rsidR="007833A3" w:rsidRPr="00803914">
        <w:rPr>
          <w:color w:val="000000" w:themeColor="text1"/>
          <w:sz w:val="20"/>
          <w:szCs w:val="20"/>
        </w:rPr>
        <w:t>Lesotho</w:t>
      </w:r>
      <w:r w:rsidR="007833A3">
        <w:rPr>
          <w:color w:val="000000" w:themeColor="text1"/>
          <w:sz w:val="20"/>
          <w:szCs w:val="20"/>
        </w:rPr>
        <w:t xml:space="preserve">, </w:t>
      </w:r>
      <w:r w:rsidR="007833A3" w:rsidRPr="00803914">
        <w:rPr>
          <w:color w:val="000000" w:themeColor="text1"/>
          <w:sz w:val="20"/>
          <w:szCs w:val="20"/>
        </w:rPr>
        <w:t>Liechtenstein</w:t>
      </w:r>
      <w:r w:rsidR="007833A3">
        <w:rPr>
          <w:color w:val="000000" w:themeColor="text1"/>
          <w:sz w:val="20"/>
          <w:szCs w:val="20"/>
        </w:rPr>
        <w:t xml:space="preserve">, </w:t>
      </w:r>
      <w:r w:rsidR="007833A3" w:rsidRPr="00803914">
        <w:rPr>
          <w:color w:val="000000" w:themeColor="text1"/>
          <w:sz w:val="20"/>
          <w:szCs w:val="20"/>
        </w:rPr>
        <w:t>Luxembourg</w:t>
      </w:r>
      <w:r w:rsidR="007833A3">
        <w:rPr>
          <w:color w:val="000000" w:themeColor="text1"/>
          <w:sz w:val="20"/>
          <w:szCs w:val="20"/>
        </w:rPr>
        <w:t xml:space="preserve">, Maldives, </w:t>
      </w:r>
      <w:r w:rsidR="007833A3" w:rsidRPr="00803914">
        <w:rPr>
          <w:color w:val="000000" w:themeColor="text1"/>
          <w:sz w:val="20"/>
          <w:szCs w:val="20"/>
        </w:rPr>
        <w:t>Malta</w:t>
      </w:r>
      <w:r w:rsidR="007833A3">
        <w:rPr>
          <w:color w:val="000000" w:themeColor="text1"/>
          <w:sz w:val="20"/>
          <w:szCs w:val="20"/>
        </w:rPr>
        <w:t xml:space="preserve">, </w:t>
      </w:r>
      <w:r w:rsidR="007833A3" w:rsidRPr="00803914">
        <w:rPr>
          <w:color w:val="000000" w:themeColor="text1"/>
          <w:sz w:val="20"/>
          <w:szCs w:val="20"/>
        </w:rPr>
        <w:t>Montenegro</w:t>
      </w:r>
      <w:r w:rsidR="007833A3">
        <w:rPr>
          <w:color w:val="000000" w:themeColor="text1"/>
          <w:sz w:val="20"/>
          <w:szCs w:val="20"/>
        </w:rPr>
        <w:t xml:space="preserve">, </w:t>
      </w:r>
      <w:r w:rsidR="007833A3" w:rsidRPr="00803914">
        <w:rPr>
          <w:color w:val="000000" w:themeColor="text1"/>
          <w:sz w:val="20"/>
          <w:szCs w:val="20"/>
        </w:rPr>
        <w:t>Morocco</w:t>
      </w:r>
      <w:r w:rsidR="007833A3">
        <w:rPr>
          <w:color w:val="000000" w:themeColor="text1"/>
          <w:sz w:val="20"/>
          <w:szCs w:val="20"/>
        </w:rPr>
        <w:t xml:space="preserve">, </w:t>
      </w:r>
      <w:r w:rsidR="007833A3" w:rsidRPr="00803914">
        <w:rPr>
          <w:color w:val="000000" w:themeColor="text1"/>
          <w:sz w:val="20"/>
          <w:szCs w:val="20"/>
        </w:rPr>
        <w:t>Netherlands</w:t>
      </w:r>
      <w:r w:rsidR="007833A3">
        <w:rPr>
          <w:color w:val="000000" w:themeColor="text1"/>
          <w:sz w:val="20"/>
          <w:szCs w:val="20"/>
        </w:rPr>
        <w:t xml:space="preserve">, </w:t>
      </w:r>
      <w:r w:rsidR="007833A3" w:rsidRPr="00803914">
        <w:rPr>
          <w:color w:val="000000" w:themeColor="text1"/>
          <w:sz w:val="20"/>
          <w:szCs w:val="20"/>
        </w:rPr>
        <w:t>New Zealand</w:t>
      </w:r>
      <w:r w:rsidR="007833A3">
        <w:rPr>
          <w:color w:val="000000" w:themeColor="text1"/>
          <w:sz w:val="20"/>
          <w:szCs w:val="20"/>
        </w:rPr>
        <w:t xml:space="preserve">, </w:t>
      </w:r>
      <w:r w:rsidR="007833A3" w:rsidRPr="00803914">
        <w:rPr>
          <w:color w:val="000000" w:themeColor="text1"/>
          <w:sz w:val="20"/>
          <w:szCs w:val="20"/>
        </w:rPr>
        <w:t>Norway</w:t>
      </w:r>
      <w:r w:rsidR="007833A3">
        <w:rPr>
          <w:color w:val="000000" w:themeColor="text1"/>
          <w:sz w:val="20"/>
          <w:szCs w:val="20"/>
        </w:rPr>
        <w:t xml:space="preserve">, </w:t>
      </w:r>
      <w:r w:rsidR="007833A3" w:rsidRPr="00803914">
        <w:rPr>
          <w:color w:val="000000" w:themeColor="text1"/>
          <w:sz w:val="20"/>
          <w:szCs w:val="20"/>
        </w:rPr>
        <w:t>Poland</w:t>
      </w:r>
      <w:r w:rsidR="007833A3">
        <w:rPr>
          <w:color w:val="000000" w:themeColor="text1"/>
          <w:sz w:val="20"/>
          <w:szCs w:val="20"/>
        </w:rPr>
        <w:t xml:space="preserve">, </w:t>
      </w:r>
      <w:r w:rsidR="007833A3" w:rsidRPr="00803914">
        <w:rPr>
          <w:color w:val="000000" w:themeColor="text1"/>
          <w:sz w:val="20"/>
          <w:szCs w:val="20"/>
        </w:rPr>
        <w:t>Republic of Korea</w:t>
      </w:r>
      <w:r w:rsidR="007833A3">
        <w:rPr>
          <w:color w:val="000000" w:themeColor="text1"/>
          <w:sz w:val="20"/>
          <w:szCs w:val="20"/>
        </w:rPr>
        <w:t xml:space="preserve">, </w:t>
      </w:r>
      <w:r w:rsidR="007833A3" w:rsidRPr="00803914">
        <w:rPr>
          <w:color w:val="000000" w:themeColor="text1"/>
          <w:sz w:val="20"/>
          <w:szCs w:val="20"/>
        </w:rPr>
        <w:t>Russian Federation</w:t>
      </w:r>
      <w:r w:rsidR="007833A3">
        <w:rPr>
          <w:color w:val="000000" w:themeColor="text1"/>
          <w:sz w:val="20"/>
          <w:szCs w:val="20"/>
        </w:rPr>
        <w:t xml:space="preserve">, </w:t>
      </w:r>
      <w:r w:rsidR="007833A3" w:rsidRPr="00803914">
        <w:rPr>
          <w:color w:val="000000" w:themeColor="text1"/>
          <w:sz w:val="20"/>
          <w:szCs w:val="20"/>
        </w:rPr>
        <w:t>Sierra Leone</w:t>
      </w:r>
      <w:r w:rsidR="007833A3">
        <w:rPr>
          <w:color w:val="000000" w:themeColor="text1"/>
          <w:sz w:val="20"/>
          <w:szCs w:val="20"/>
        </w:rPr>
        <w:t xml:space="preserve">, Slovenia, </w:t>
      </w:r>
      <w:r w:rsidR="007833A3" w:rsidRPr="00803914">
        <w:rPr>
          <w:color w:val="000000" w:themeColor="text1"/>
          <w:sz w:val="20"/>
          <w:szCs w:val="20"/>
        </w:rPr>
        <w:t>Sudan</w:t>
      </w:r>
      <w:r w:rsidR="007833A3">
        <w:rPr>
          <w:color w:val="000000" w:themeColor="text1"/>
          <w:sz w:val="20"/>
          <w:szCs w:val="20"/>
        </w:rPr>
        <w:t xml:space="preserve">, </w:t>
      </w:r>
      <w:r w:rsidR="007833A3" w:rsidRPr="00803914">
        <w:rPr>
          <w:color w:val="000000" w:themeColor="text1"/>
          <w:sz w:val="20"/>
          <w:szCs w:val="20"/>
        </w:rPr>
        <w:t>Sweden</w:t>
      </w:r>
      <w:r w:rsidR="007833A3">
        <w:rPr>
          <w:color w:val="000000" w:themeColor="text1"/>
          <w:sz w:val="20"/>
          <w:szCs w:val="20"/>
        </w:rPr>
        <w:t xml:space="preserve">, Switzerland, </w:t>
      </w:r>
      <w:r w:rsidR="007833A3" w:rsidRPr="00803914">
        <w:rPr>
          <w:color w:val="000000" w:themeColor="text1"/>
          <w:sz w:val="20"/>
          <w:szCs w:val="20"/>
        </w:rPr>
        <w:t>Venezuela (Bolivarian Republic of)</w:t>
      </w:r>
      <w:r w:rsidR="007833A3">
        <w:rPr>
          <w:color w:val="000000" w:themeColor="text1"/>
          <w:sz w:val="20"/>
          <w:szCs w:val="20"/>
        </w:rPr>
        <w:t xml:space="preserve">, </w:t>
      </w:r>
      <w:r w:rsidR="007833A3" w:rsidRPr="00803914">
        <w:rPr>
          <w:color w:val="000000" w:themeColor="text1"/>
          <w:sz w:val="20"/>
          <w:szCs w:val="20"/>
        </w:rPr>
        <w:t>State of Palestine</w:t>
      </w:r>
      <w:r w:rsidR="007833A3" w:rsidRPr="0067399B">
        <w:rPr>
          <w:color w:val="000000" w:themeColor="text1"/>
          <w:sz w:val="20"/>
          <w:szCs w:val="20"/>
        </w:rPr>
        <w:t>;</w:t>
      </w:r>
      <w:r w:rsidR="009907E7">
        <w:rPr>
          <w:color w:val="000000" w:themeColor="text1"/>
          <w:sz w:val="20"/>
          <w:szCs w:val="20"/>
        </w:rPr>
        <w:t xml:space="preserve"> </w:t>
      </w:r>
    </w:p>
    <w:p w14:paraId="379E70AB" w14:textId="177EFFEC" w:rsidR="007671C5" w:rsidRPr="0067399B" w:rsidRDefault="007833A3" w:rsidP="007671C5">
      <w:pPr>
        <w:spacing w:after="120"/>
        <w:ind w:left="1134" w:right="1134" w:firstLine="567"/>
        <w:jc w:val="both"/>
        <w:rPr>
          <w:color w:val="000000" w:themeColor="text1"/>
          <w:sz w:val="20"/>
          <w:szCs w:val="20"/>
        </w:rPr>
      </w:pPr>
      <w:r w:rsidRPr="0067399B">
        <w:rPr>
          <w:color w:val="000000" w:themeColor="text1"/>
          <w:sz w:val="20"/>
          <w:szCs w:val="20"/>
        </w:rPr>
        <w:t>(c)</w:t>
      </w:r>
      <w:r w:rsidRPr="0067399B">
        <w:rPr>
          <w:color w:val="000000" w:themeColor="text1"/>
          <w:sz w:val="20"/>
          <w:szCs w:val="20"/>
        </w:rPr>
        <w:tab/>
        <w:t>Observer for United Nations entities, specialized agencies and related organizations:</w:t>
      </w:r>
      <w:r w:rsidR="00F50A37" w:rsidRPr="00F50A37">
        <w:t xml:space="preserve"> </w:t>
      </w:r>
      <w:r w:rsidR="00F50A37" w:rsidRPr="00F50A37">
        <w:rPr>
          <w:color w:val="000000" w:themeColor="text1"/>
          <w:sz w:val="20"/>
          <w:szCs w:val="20"/>
        </w:rPr>
        <w:t>United Nations Entity for Gender Equality and the Empowerment of Women</w:t>
      </w:r>
      <w:r w:rsidR="00F50A37">
        <w:rPr>
          <w:color w:val="000000" w:themeColor="text1"/>
          <w:sz w:val="20"/>
          <w:szCs w:val="20"/>
        </w:rPr>
        <w:t xml:space="preserve"> (</w:t>
      </w:r>
      <w:r w:rsidRPr="00803914">
        <w:rPr>
          <w:color w:val="000000" w:themeColor="text1"/>
          <w:sz w:val="20"/>
          <w:szCs w:val="20"/>
        </w:rPr>
        <w:t>UN Women</w:t>
      </w:r>
      <w:r w:rsidR="00F50A37">
        <w:rPr>
          <w:color w:val="000000" w:themeColor="text1"/>
          <w:sz w:val="20"/>
          <w:szCs w:val="20"/>
        </w:rPr>
        <w:t>);</w:t>
      </w:r>
    </w:p>
    <w:p w14:paraId="54551415" w14:textId="6F7BFE47" w:rsidR="007671C5" w:rsidRPr="0067399B" w:rsidRDefault="007671C5" w:rsidP="007671C5">
      <w:pPr>
        <w:spacing w:after="120"/>
        <w:ind w:left="1134" w:right="1134" w:firstLine="567"/>
        <w:jc w:val="both"/>
        <w:rPr>
          <w:color w:val="000000" w:themeColor="text1"/>
          <w:sz w:val="20"/>
          <w:szCs w:val="20"/>
        </w:rPr>
      </w:pPr>
      <w:r w:rsidRPr="0067399B">
        <w:rPr>
          <w:color w:val="000000" w:themeColor="text1"/>
          <w:sz w:val="20"/>
          <w:szCs w:val="20"/>
        </w:rPr>
        <w:t>(</w:t>
      </w:r>
      <w:r w:rsidR="00F50A37">
        <w:rPr>
          <w:color w:val="000000" w:themeColor="text1"/>
          <w:sz w:val="20"/>
          <w:szCs w:val="20"/>
        </w:rPr>
        <w:t>d</w:t>
      </w:r>
      <w:r w:rsidRPr="0067399B">
        <w:rPr>
          <w:color w:val="000000" w:themeColor="text1"/>
          <w:sz w:val="20"/>
          <w:szCs w:val="20"/>
        </w:rPr>
        <w:t>)</w:t>
      </w:r>
      <w:r w:rsidRPr="0067399B">
        <w:rPr>
          <w:color w:val="000000" w:themeColor="text1"/>
          <w:sz w:val="20"/>
          <w:szCs w:val="20"/>
        </w:rPr>
        <w:tab/>
        <w:t>Observer for</w:t>
      </w:r>
      <w:r w:rsidR="00925564">
        <w:rPr>
          <w:color w:val="000000" w:themeColor="text1"/>
          <w:sz w:val="20"/>
          <w:szCs w:val="20"/>
        </w:rPr>
        <w:t xml:space="preserve"> an</w:t>
      </w:r>
      <w:r w:rsidRPr="0067399B">
        <w:rPr>
          <w:color w:val="000000" w:themeColor="text1"/>
          <w:sz w:val="20"/>
          <w:szCs w:val="20"/>
        </w:rPr>
        <w:t xml:space="preserve"> intergovernmental organization: European Union; </w:t>
      </w:r>
    </w:p>
    <w:p w14:paraId="5EF039CD" w14:textId="56921FDC" w:rsidR="007671C5" w:rsidRPr="0067399B" w:rsidRDefault="007671C5" w:rsidP="007671C5">
      <w:pPr>
        <w:spacing w:after="120"/>
        <w:ind w:left="1134" w:right="1134" w:firstLine="567"/>
        <w:jc w:val="both"/>
        <w:rPr>
          <w:color w:val="000000" w:themeColor="text1"/>
          <w:sz w:val="20"/>
          <w:szCs w:val="20"/>
        </w:rPr>
      </w:pPr>
      <w:r w:rsidRPr="0067399B">
        <w:rPr>
          <w:color w:val="000000" w:themeColor="text1"/>
          <w:sz w:val="20"/>
          <w:szCs w:val="20"/>
        </w:rPr>
        <w:t>(</w:t>
      </w:r>
      <w:r w:rsidR="002F1FBD">
        <w:rPr>
          <w:color w:val="000000" w:themeColor="text1"/>
          <w:sz w:val="20"/>
          <w:szCs w:val="20"/>
        </w:rPr>
        <w:t>e</w:t>
      </w:r>
      <w:r w:rsidRPr="0067399B">
        <w:rPr>
          <w:color w:val="000000" w:themeColor="text1"/>
          <w:sz w:val="20"/>
          <w:szCs w:val="20"/>
        </w:rPr>
        <w:t>)</w:t>
      </w:r>
      <w:r w:rsidRPr="0067399B">
        <w:rPr>
          <w:color w:val="000000" w:themeColor="text1"/>
          <w:sz w:val="20"/>
          <w:szCs w:val="20"/>
        </w:rPr>
        <w:tab/>
        <w:t xml:space="preserve">Observer for a national human rights institution: Global Alliance of National Human Rights Institutions; </w:t>
      </w:r>
    </w:p>
    <w:p w14:paraId="40E654F3" w14:textId="2BFA690A" w:rsidR="007671C5" w:rsidRPr="0067399B" w:rsidRDefault="002F1FBD" w:rsidP="007671C5">
      <w:pPr>
        <w:spacing w:after="120"/>
        <w:ind w:left="1134" w:right="1134" w:firstLine="567"/>
        <w:jc w:val="both"/>
        <w:rPr>
          <w:color w:val="000000" w:themeColor="text1"/>
          <w:sz w:val="20"/>
          <w:szCs w:val="20"/>
          <w:lang w:eastAsia="ko-KR"/>
        </w:rPr>
      </w:pPr>
      <w:r>
        <w:rPr>
          <w:color w:val="000000" w:themeColor="text1"/>
          <w:sz w:val="20"/>
          <w:szCs w:val="20"/>
        </w:rPr>
        <w:lastRenderedPageBreak/>
        <w:t>(f</w:t>
      </w:r>
      <w:r w:rsidR="007671C5" w:rsidRPr="0067399B">
        <w:rPr>
          <w:color w:val="000000" w:themeColor="text1"/>
          <w:sz w:val="20"/>
          <w:szCs w:val="20"/>
        </w:rPr>
        <w:t>)</w:t>
      </w:r>
      <w:r w:rsidR="007671C5" w:rsidRPr="0067399B">
        <w:rPr>
          <w:color w:val="000000" w:themeColor="text1"/>
          <w:sz w:val="20"/>
          <w:szCs w:val="20"/>
        </w:rPr>
        <w:tab/>
        <w:t xml:space="preserve">Observers for non-governmental organizations: </w:t>
      </w:r>
      <w:r w:rsidR="00F50A37" w:rsidRPr="00F50A37">
        <w:rPr>
          <w:color w:val="000000" w:themeColor="text1"/>
          <w:sz w:val="20"/>
          <w:szCs w:val="20"/>
        </w:rPr>
        <w:t>Action Canada for Population and Development</w:t>
      </w:r>
      <w:r w:rsidR="00F50A37">
        <w:rPr>
          <w:color w:val="000000" w:themeColor="text1"/>
          <w:sz w:val="20"/>
          <w:szCs w:val="20"/>
        </w:rPr>
        <w:t xml:space="preserve">; </w:t>
      </w:r>
      <w:r w:rsidR="00F50A37" w:rsidRPr="00F50A37">
        <w:rPr>
          <w:color w:val="000000" w:themeColor="text1"/>
          <w:sz w:val="20"/>
          <w:szCs w:val="20"/>
        </w:rPr>
        <w:t>Center for Reproductive Rights, Inc., The</w:t>
      </w:r>
      <w:r w:rsidR="00F50A37">
        <w:rPr>
          <w:color w:val="000000" w:themeColor="text1"/>
          <w:sz w:val="20"/>
          <w:szCs w:val="20"/>
        </w:rPr>
        <w:t xml:space="preserve">; </w:t>
      </w:r>
      <w:r w:rsidR="00F50A37" w:rsidRPr="00F50A37">
        <w:rPr>
          <w:color w:val="000000" w:themeColor="text1"/>
          <w:sz w:val="20"/>
          <w:szCs w:val="20"/>
        </w:rPr>
        <w:t>Centre Europe - tiers monde</w:t>
      </w:r>
      <w:r w:rsidR="00F50A37">
        <w:rPr>
          <w:color w:val="000000" w:themeColor="text1"/>
          <w:sz w:val="20"/>
          <w:szCs w:val="20"/>
        </w:rPr>
        <w:t xml:space="preserve">; </w:t>
      </w:r>
      <w:r w:rsidR="00F50A37" w:rsidRPr="00F50A37">
        <w:rPr>
          <w:color w:val="000000" w:themeColor="text1"/>
          <w:sz w:val="20"/>
          <w:szCs w:val="20"/>
        </w:rPr>
        <w:t>Colombian Commission of Jurists</w:t>
      </w:r>
      <w:r w:rsidR="00F50A37">
        <w:rPr>
          <w:color w:val="000000" w:themeColor="text1"/>
          <w:sz w:val="20"/>
          <w:szCs w:val="20"/>
        </w:rPr>
        <w:t xml:space="preserve">; </w:t>
      </w:r>
      <w:r w:rsidR="00F50A37" w:rsidRPr="00F50A37">
        <w:rPr>
          <w:color w:val="000000" w:themeColor="text1"/>
          <w:sz w:val="20"/>
          <w:szCs w:val="20"/>
        </w:rPr>
        <w:t>Federatie van Nederlandse Verenigingen tot Integratie Van Homoseksualiteit - COC Nederland</w:t>
      </w:r>
      <w:r w:rsidR="00F50A37">
        <w:rPr>
          <w:color w:val="000000" w:themeColor="text1"/>
          <w:sz w:val="20"/>
          <w:szCs w:val="20"/>
        </w:rPr>
        <w:t xml:space="preserve">; </w:t>
      </w:r>
      <w:r w:rsidR="00F50A37" w:rsidRPr="00F50A37">
        <w:rPr>
          <w:color w:val="000000" w:themeColor="text1"/>
          <w:sz w:val="20"/>
          <w:szCs w:val="20"/>
        </w:rPr>
        <w:t>Human Rights House Foundation</w:t>
      </w:r>
      <w:r w:rsidR="00F50A37">
        <w:rPr>
          <w:color w:val="000000" w:themeColor="text1"/>
          <w:sz w:val="20"/>
          <w:szCs w:val="20"/>
        </w:rPr>
        <w:t xml:space="preserve">; </w:t>
      </w:r>
      <w:r w:rsidR="00F50A37" w:rsidRPr="00F50A37">
        <w:rPr>
          <w:color w:val="000000" w:themeColor="text1"/>
          <w:sz w:val="20"/>
          <w:szCs w:val="20"/>
        </w:rPr>
        <w:t>Human Rights Law Centre</w:t>
      </w:r>
      <w:r w:rsidR="00F50A37">
        <w:rPr>
          <w:color w:val="000000" w:themeColor="text1"/>
          <w:sz w:val="20"/>
          <w:szCs w:val="20"/>
        </w:rPr>
        <w:t xml:space="preserve">; </w:t>
      </w:r>
      <w:r w:rsidR="00F50A37" w:rsidRPr="00F50A37">
        <w:rPr>
          <w:color w:val="000000" w:themeColor="text1"/>
          <w:sz w:val="20"/>
          <w:szCs w:val="20"/>
        </w:rPr>
        <w:t>International Lesbian and Gay Association</w:t>
      </w:r>
      <w:r w:rsidR="00F50A37">
        <w:rPr>
          <w:color w:val="000000" w:themeColor="text1"/>
          <w:sz w:val="20"/>
          <w:szCs w:val="20"/>
        </w:rPr>
        <w:t xml:space="preserve">; </w:t>
      </w:r>
      <w:r w:rsidR="00F50A37" w:rsidRPr="00F50A37">
        <w:rPr>
          <w:color w:val="000000" w:themeColor="text1"/>
          <w:sz w:val="20"/>
          <w:szCs w:val="20"/>
        </w:rPr>
        <w:t>International Service for Human Rights</w:t>
      </w:r>
      <w:r w:rsidR="00F50A37">
        <w:rPr>
          <w:color w:val="000000" w:themeColor="text1"/>
          <w:sz w:val="20"/>
          <w:szCs w:val="20"/>
        </w:rPr>
        <w:t xml:space="preserve"> (also on behalf of </w:t>
      </w:r>
      <w:r w:rsidR="00F50A37" w:rsidRPr="00F50A37">
        <w:rPr>
          <w:color w:val="000000" w:themeColor="text1"/>
          <w:sz w:val="20"/>
          <w:szCs w:val="20"/>
        </w:rPr>
        <w:t>Amnesty International</w:t>
      </w:r>
      <w:r w:rsidR="00F50A37">
        <w:rPr>
          <w:color w:val="000000" w:themeColor="text1"/>
          <w:sz w:val="20"/>
          <w:szCs w:val="20"/>
        </w:rPr>
        <w:t xml:space="preserve">; </w:t>
      </w:r>
      <w:r w:rsidR="00F50A37" w:rsidRPr="00F50A37">
        <w:rPr>
          <w:color w:val="000000" w:themeColor="text1"/>
          <w:sz w:val="20"/>
          <w:szCs w:val="20"/>
        </w:rPr>
        <w:t>Asian Forum f</w:t>
      </w:r>
      <w:r w:rsidR="00F50A37">
        <w:rPr>
          <w:color w:val="000000" w:themeColor="text1"/>
          <w:sz w:val="20"/>
          <w:szCs w:val="20"/>
        </w:rPr>
        <w:t xml:space="preserve">or Human Rights and Development and </w:t>
      </w:r>
      <w:r w:rsidR="00F50A37" w:rsidRPr="00F50A37">
        <w:rPr>
          <w:color w:val="000000" w:themeColor="text1"/>
          <w:sz w:val="20"/>
          <w:szCs w:val="20"/>
        </w:rPr>
        <w:t>Association for Women</w:t>
      </w:r>
      <w:r w:rsidR="00D72627">
        <w:rPr>
          <w:color w:val="000000" w:themeColor="text1"/>
          <w:sz w:val="20"/>
          <w:szCs w:val="20"/>
        </w:rPr>
        <w:t>’</w:t>
      </w:r>
      <w:r w:rsidR="00F50A37" w:rsidRPr="00F50A37">
        <w:rPr>
          <w:color w:val="000000" w:themeColor="text1"/>
          <w:sz w:val="20"/>
          <w:szCs w:val="20"/>
        </w:rPr>
        <w:t>s Rights in Development</w:t>
      </w:r>
      <w:r w:rsidR="00F50A37">
        <w:rPr>
          <w:color w:val="000000" w:themeColor="text1"/>
          <w:sz w:val="20"/>
          <w:szCs w:val="20"/>
        </w:rPr>
        <w:t xml:space="preserve">); </w:t>
      </w:r>
      <w:r w:rsidR="00F50A37" w:rsidRPr="00F50A37">
        <w:rPr>
          <w:color w:val="000000" w:themeColor="text1"/>
          <w:sz w:val="20"/>
          <w:szCs w:val="20"/>
        </w:rPr>
        <w:t>Peace Brigades International Switzerland</w:t>
      </w:r>
      <w:r w:rsidR="00F50A37">
        <w:rPr>
          <w:color w:val="000000" w:themeColor="text1"/>
          <w:sz w:val="20"/>
          <w:szCs w:val="20"/>
        </w:rPr>
        <w:t xml:space="preserve">; </w:t>
      </w:r>
      <w:r w:rsidR="00F50A37" w:rsidRPr="00F50A37">
        <w:rPr>
          <w:color w:val="000000" w:themeColor="text1"/>
          <w:sz w:val="20"/>
          <w:szCs w:val="20"/>
        </w:rPr>
        <w:t>Right Livelihood Award Foundation</w:t>
      </w:r>
      <w:r w:rsidR="00F50A37">
        <w:rPr>
          <w:color w:val="000000" w:themeColor="text1"/>
          <w:sz w:val="20"/>
          <w:szCs w:val="20"/>
        </w:rPr>
        <w:t xml:space="preserve">; </w:t>
      </w:r>
      <w:r w:rsidR="00F50A37" w:rsidRPr="00F50A37">
        <w:rPr>
          <w:color w:val="000000" w:themeColor="text1"/>
          <w:sz w:val="20"/>
          <w:szCs w:val="20"/>
        </w:rPr>
        <w:t>Terra de Direitos</w:t>
      </w:r>
      <w:r w:rsidR="00F50A37">
        <w:rPr>
          <w:color w:val="000000" w:themeColor="text1"/>
          <w:sz w:val="20"/>
          <w:szCs w:val="20"/>
        </w:rPr>
        <w:t xml:space="preserve">; </w:t>
      </w:r>
      <w:r w:rsidR="00F50A37" w:rsidRPr="00F50A37">
        <w:rPr>
          <w:color w:val="000000" w:themeColor="text1"/>
          <w:sz w:val="20"/>
          <w:szCs w:val="20"/>
        </w:rPr>
        <w:t>World Organisation Against Torture</w:t>
      </w:r>
      <w:r w:rsidR="007671C5" w:rsidRPr="0067399B">
        <w:rPr>
          <w:color w:val="000000" w:themeColor="text1"/>
          <w:sz w:val="20"/>
          <w:szCs w:val="20"/>
          <w:lang w:eastAsia="ko-KR"/>
        </w:rPr>
        <w:t>.</w:t>
      </w:r>
    </w:p>
    <w:p w14:paraId="5F55C232" w14:textId="63E20C93" w:rsidR="007671C5" w:rsidRDefault="009B6FCB" w:rsidP="007671C5">
      <w:pPr>
        <w:pStyle w:val="SingleTxtG"/>
        <w:rPr>
          <w:color w:val="000000" w:themeColor="text1"/>
          <w:sz w:val="20"/>
          <w:szCs w:val="20"/>
        </w:rPr>
      </w:pPr>
      <w:r>
        <w:rPr>
          <w:color w:val="000000" w:themeColor="text1"/>
          <w:sz w:val="20"/>
          <w:szCs w:val="20"/>
        </w:rPr>
        <w:t>119</w:t>
      </w:r>
      <w:r w:rsidR="007671C5" w:rsidRPr="0067399B">
        <w:rPr>
          <w:color w:val="000000" w:themeColor="text1"/>
          <w:sz w:val="20"/>
          <w:szCs w:val="20"/>
        </w:rPr>
        <w:t>.</w:t>
      </w:r>
      <w:r w:rsidR="007671C5" w:rsidRPr="0067399B">
        <w:rPr>
          <w:color w:val="000000" w:themeColor="text1"/>
          <w:sz w:val="20"/>
          <w:szCs w:val="20"/>
        </w:rPr>
        <w:tab/>
        <w:t xml:space="preserve">At the </w:t>
      </w:r>
      <w:r w:rsidR="007671C5">
        <w:rPr>
          <w:color w:val="000000" w:themeColor="text1"/>
          <w:sz w:val="20"/>
          <w:szCs w:val="20"/>
        </w:rPr>
        <w:t>11th</w:t>
      </w:r>
      <w:r w:rsidR="007671C5" w:rsidRPr="0067399B">
        <w:rPr>
          <w:color w:val="000000" w:themeColor="text1"/>
          <w:sz w:val="20"/>
          <w:szCs w:val="20"/>
        </w:rPr>
        <w:t xml:space="preserve"> meeting, on the same day, the Special Rapporteur answered questions and made his concluding remarks.</w:t>
      </w:r>
    </w:p>
    <w:p w14:paraId="2FBC0EE0" w14:textId="56458392" w:rsidR="00031F5C" w:rsidRPr="0067399B" w:rsidRDefault="009B6FCB" w:rsidP="00031F5C">
      <w:pPr>
        <w:pStyle w:val="SingleTxtG"/>
        <w:rPr>
          <w:color w:val="000000" w:themeColor="text1"/>
          <w:sz w:val="20"/>
          <w:szCs w:val="20"/>
        </w:rPr>
      </w:pPr>
      <w:r>
        <w:rPr>
          <w:color w:val="000000" w:themeColor="text1"/>
          <w:sz w:val="20"/>
          <w:szCs w:val="20"/>
        </w:rPr>
        <w:t>120</w:t>
      </w:r>
      <w:r w:rsidR="00031F5C" w:rsidRPr="00031F5C">
        <w:rPr>
          <w:color w:val="000000" w:themeColor="text1"/>
          <w:sz w:val="20"/>
          <w:szCs w:val="20"/>
        </w:rPr>
        <w:t>.</w:t>
      </w:r>
      <w:r w:rsidR="00031F5C" w:rsidRPr="00031F5C">
        <w:rPr>
          <w:color w:val="000000" w:themeColor="text1"/>
          <w:sz w:val="20"/>
          <w:szCs w:val="20"/>
        </w:rPr>
        <w:tab/>
        <w:t xml:space="preserve">At the </w:t>
      </w:r>
      <w:r w:rsidR="00031F5C">
        <w:rPr>
          <w:color w:val="000000" w:themeColor="text1"/>
          <w:sz w:val="20"/>
          <w:szCs w:val="20"/>
        </w:rPr>
        <w:t>same</w:t>
      </w:r>
      <w:r w:rsidR="00031F5C" w:rsidRPr="00031F5C">
        <w:rPr>
          <w:color w:val="000000" w:themeColor="text1"/>
          <w:sz w:val="20"/>
          <w:szCs w:val="20"/>
        </w:rPr>
        <w:t xml:space="preserve"> meeting, </w:t>
      </w:r>
      <w:r w:rsidR="00A73113">
        <w:rPr>
          <w:color w:val="000000" w:themeColor="text1"/>
          <w:sz w:val="20"/>
          <w:szCs w:val="20"/>
        </w:rPr>
        <w:t xml:space="preserve">a </w:t>
      </w:r>
      <w:r w:rsidR="00031F5C" w:rsidRPr="00031F5C">
        <w:rPr>
          <w:color w:val="000000" w:themeColor="text1"/>
          <w:sz w:val="20"/>
          <w:szCs w:val="20"/>
        </w:rPr>
        <w:t>statement in exercise of the right of reply was made by the representative of Ukraine.</w:t>
      </w:r>
    </w:p>
    <w:p w14:paraId="61942510" w14:textId="77777777" w:rsidR="007671C5" w:rsidRPr="0067399B" w:rsidRDefault="007671C5" w:rsidP="007671C5">
      <w:pPr>
        <w:pStyle w:val="H1G"/>
        <w:rPr>
          <w:color w:val="000000" w:themeColor="text1"/>
          <w:sz w:val="20"/>
          <w:szCs w:val="20"/>
        </w:rPr>
      </w:pPr>
      <w:r w:rsidRPr="0067399B">
        <w:rPr>
          <w:color w:val="000000" w:themeColor="text1"/>
          <w:sz w:val="20"/>
          <w:szCs w:val="20"/>
        </w:rPr>
        <w:tab/>
      </w:r>
      <w:r w:rsidRPr="0067399B">
        <w:rPr>
          <w:color w:val="000000" w:themeColor="text1"/>
          <w:sz w:val="20"/>
          <w:szCs w:val="20"/>
        </w:rPr>
        <w:tab/>
      </w:r>
      <w:r w:rsidRPr="00A078AC">
        <w:rPr>
          <w:color w:val="000000" w:themeColor="text1"/>
          <w:sz w:val="20"/>
          <w:szCs w:val="20"/>
        </w:rPr>
        <w:t>Special Rapporteur on torture and other cruel, inhuman or degrading treatment or punishment</w:t>
      </w:r>
    </w:p>
    <w:p w14:paraId="0B5ED452" w14:textId="44009C36" w:rsidR="007671C5" w:rsidRPr="0067399B" w:rsidRDefault="009B6FCB" w:rsidP="007671C5">
      <w:pPr>
        <w:pStyle w:val="SingleTxtG"/>
        <w:rPr>
          <w:color w:val="000000" w:themeColor="text1"/>
          <w:sz w:val="20"/>
          <w:szCs w:val="20"/>
        </w:rPr>
      </w:pPr>
      <w:r>
        <w:rPr>
          <w:color w:val="000000" w:themeColor="text1"/>
          <w:sz w:val="20"/>
          <w:szCs w:val="20"/>
        </w:rPr>
        <w:t>121</w:t>
      </w:r>
      <w:r w:rsidR="007671C5" w:rsidRPr="0067399B">
        <w:rPr>
          <w:color w:val="000000" w:themeColor="text1"/>
          <w:sz w:val="20"/>
          <w:szCs w:val="20"/>
        </w:rPr>
        <w:t>.</w:t>
      </w:r>
      <w:r w:rsidR="007671C5" w:rsidRPr="0067399B">
        <w:rPr>
          <w:color w:val="000000" w:themeColor="text1"/>
          <w:sz w:val="20"/>
          <w:szCs w:val="20"/>
        </w:rPr>
        <w:tab/>
        <w:t xml:space="preserve">At the 10th meeting, on </w:t>
      </w:r>
      <w:r w:rsidR="007671C5">
        <w:rPr>
          <w:color w:val="000000" w:themeColor="text1"/>
          <w:sz w:val="20"/>
          <w:szCs w:val="20"/>
        </w:rPr>
        <w:t>28 February</w:t>
      </w:r>
      <w:r w:rsidR="007671C5" w:rsidRPr="0067399B">
        <w:rPr>
          <w:color w:val="000000" w:themeColor="text1"/>
          <w:sz w:val="20"/>
          <w:szCs w:val="20"/>
        </w:rPr>
        <w:t xml:space="preserve"> </w:t>
      </w:r>
      <w:r w:rsidR="007671C5">
        <w:rPr>
          <w:color w:val="000000" w:themeColor="text1"/>
          <w:sz w:val="20"/>
          <w:szCs w:val="20"/>
        </w:rPr>
        <w:t>2019</w:t>
      </w:r>
      <w:r w:rsidR="007671C5" w:rsidRPr="0067399B">
        <w:rPr>
          <w:color w:val="000000" w:themeColor="text1"/>
          <w:sz w:val="20"/>
          <w:szCs w:val="20"/>
        </w:rPr>
        <w:t xml:space="preserve">, the Special Rapporteur on torture and other cruel, inhuman or degrading treatment or punishment, Nils Melzer, presented his reports </w:t>
      </w:r>
      <w:r w:rsidR="007671C5" w:rsidRPr="007671C5">
        <w:rPr>
          <w:color w:val="000000" w:themeColor="text1"/>
          <w:sz w:val="20"/>
          <w:szCs w:val="20"/>
        </w:rPr>
        <w:t>(A/HRC/40/59 and Add.1-3).</w:t>
      </w:r>
    </w:p>
    <w:p w14:paraId="50040AC8" w14:textId="008F8191" w:rsidR="007671C5" w:rsidRDefault="009B6FCB" w:rsidP="007671C5">
      <w:pPr>
        <w:pStyle w:val="SingleTxtG"/>
        <w:rPr>
          <w:color w:val="000000" w:themeColor="text1"/>
          <w:sz w:val="20"/>
          <w:szCs w:val="20"/>
        </w:rPr>
      </w:pPr>
      <w:r>
        <w:rPr>
          <w:color w:val="000000" w:themeColor="text1"/>
          <w:sz w:val="20"/>
          <w:szCs w:val="20"/>
        </w:rPr>
        <w:t>122</w:t>
      </w:r>
      <w:r w:rsidR="007671C5" w:rsidRPr="0067399B">
        <w:rPr>
          <w:color w:val="000000" w:themeColor="text1"/>
          <w:sz w:val="20"/>
          <w:szCs w:val="20"/>
        </w:rPr>
        <w:t>.</w:t>
      </w:r>
      <w:r w:rsidR="007671C5" w:rsidRPr="0067399B">
        <w:rPr>
          <w:color w:val="000000" w:themeColor="text1"/>
          <w:sz w:val="20"/>
          <w:szCs w:val="20"/>
        </w:rPr>
        <w:tab/>
        <w:t>At the same meeting, the representative</w:t>
      </w:r>
      <w:r w:rsidR="007671C5">
        <w:rPr>
          <w:color w:val="000000" w:themeColor="text1"/>
          <w:sz w:val="20"/>
          <w:szCs w:val="20"/>
        </w:rPr>
        <w:t>s</w:t>
      </w:r>
      <w:r w:rsidR="007671C5" w:rsidRPr="0067399B">
        <w:rPr>
          <w:color w:val="000000" w:themeColor="text1"/>
          <w:sz w:val="20"/>
          <w:szCs w:val="20"/>
        </w:rPr>
        <w:t xml:space="preserve"> of </w:t>
      </w:r>
      <w:r w:rsidR="007671C5">
        <w:rPr>
          <w:color w:val="000000" w:themeColor="text1"/>
          <w:sz w:val="20"/>
          <w:szCs w:val="20"/>
        </w:rPr>
        <w:t>Argentina, Serbia and Ukraine</w:t>
      </w:r>
      <w:r w:rsidR="007671C5" w:rsidRPr="0067399B">
        <w:rPr>
          <w:color w:val="000000" w:themeColor="text1"/>
          <w:sz w:val="20"/>
          <w:szCs w:val="20"/>
        </w:rPr>
        <w:t xml:space="preserve"> made statement</w:t>
      </w:r>
      <w:r w:rsidR="007671C5">
        <w:rPr>
          <w:color w:val="000000" w:themeColor="text1"/>
          <w:sz w:val="20"/>
          <w:szCs w:val="20"/>
        </w:rPr>
        <w:t>s</w:t>
      </w:r>
      <w:r w:rsidR="007671C5" w:rsidRPr="0067399B">
        <w:rPr>
          <w:color w:val="000000" w:themeColor="text1"/>
          <w:sz w:val="20"/>
          <w:szCs w:val="20"/>
        </w:rPr>
        <w:t xml:space="preserve"> as the State</w:t>
      </w:r>
      <w:r w:rsidR="007671C5">
        <w:rPr>
          <w:color w:val="000000" w:themeColor="text1"/>
          <w:sz w:val="20"/>
          <w:szCs w:val="20"/>
        </w:rPr>
        <w:t>s</w:t>
      </w:r>
      <w:r w:rsidR="007671C5" w:rsidRPr="0067399B">
        <w:rPr>
          <w:color w:val="000000" w:themeColor="text1"/>
          <w:sz w:val="20"/>
          <w:szCs w:val="20"/>
        </w:rPr>
        <w:t xml:space="preserve"> concerned.</w:t>
      </w:r>
    </w:p>
    <w:p w14:paraId="33A0F990" w14:textId="40ACE1FC" w:rsidR="007671C5" w:rsidRPr="0067399B" w:rsidRDefault="009B6FCB" w:rsidP="007671C5">
      <w:pPr>
        <w:pStyle w:val="SingleTxtG"/>
        <w:rPr>
          <w:b/>
          <w:color w:val="000000" w:themeColor="text1"/>
          <w:sz w:val="20"/>
          <w:szCs w:val="20"/>
        </w:rPr>
      </w:pPr>
      <w:r>
        <w:rPr>
          <w:color w:val="000000" w:themeColor="text1"/>
          <w:sz w:val="20"/>
          <w:szCs w:val="20"/>
        </w:rPr>
        <w:t>123</w:t>
      </w:r>
      <w:r w:rsidR="007671C5" w:rsidRPr="0067399B">
        <w:rPr>
          <w:color w:val="000000" w:themeColor="text1"/>
          <w:sz w:val="20"/>
          <w:szCs w:val="20"/>
        </w:rPr>
        <w:t>.</w:t>
      </w:r>
      <w:r w:rsidR="007671C5" w:rsidRPr="0067399B">
        <w:rPr>
          <w:color w:val="000000" w:themeColor="text1"/>
          <w:sz w:val="20"/>
          <w:szCs w:val="20"/>
        </w:rPr>
        <w:tab/>
        <w:t>Also at the same meeting, the na</w:t>
      </w:r>
      <w:r w:rsidR="007671C5">
        <w:rPr>
          <w:color w:val="000000" w:themeColor="text1"/>
          <w:sz w:val="20"/>
          <w:szCs w:val="20"/>
        </w:rPr>
        <w:t>tional human rights institution</w:t>
      </w:r>
      <w:r w:rsidR="007671C5" w:rsidRPr="0067399B">
        <w:rPr>
          <w:color w:val="000000" w:themeColor="text1"/>
          <w:sz w:val="20"/>
          <w:szCs w:val="20"/>
        </w:rPr>
        <w:t xml:space="preserve">, </w:t>
      </w:r>
      <w:r w:rsidR="007671C5" w:rsidRPr="00502A3B">
        <w:rPr>
          <w:color w:val="000000" w:themeColor="text1"/>
          <w:sz w:val="20"/>
          <w:szCs w:val="20"/>
        </w:rPr>
        <w:t>Ukrainian Parliament Commissioner for Human Rights</w:t>
      </w:r>
      <w:r w:rsidR="007671C5">
        <w:rPr>
          <w:color w:val="000000" w:themeColor="text1"/>
          <w:sz w:val="20"/>
          <w:szCs w:val="20"/>
        </w:rPr>
        <w:t>,</w:t>
      </w:r>
      <w:r w:rsidR="007671C5" w:rsidRPr="00502A3B">
        <w:rPr>
          <w:color w:val="000000" w:themeColor="text1"/>
          <w:sz w:val="20"/>
          <w:szCs w:val="20"/>
        </w:rPr>
        <w:t xml:space="preserve"> </w:t>
      </w:r>
      <w:r w:rsidR="007671C5">
        <w:rPr>
          <w:color w:val="000000" w:themeColor="text1"/>
          <w:sz w:val="20"/>
          <w:szCs w:val="20"/>
        </w:rPr>
        <w:t xml:space="preserve">made a statement. </w:t>
      </w:r>
    </w:p>
    <w:p w14:paraId="461E6EF3" w14:textId="1BC03D64" w:rsidR="007671C5" w:rsidRPr="0067399B" w:rsidRDefault="009B6FCB" w:rsidP="007671C5">
      <w:pPr>
        <w:pStyle w:val="SingleTxtG"/>
        <w:rPr>
          <w:color w:val="000000" w:themeColor="text1"/>
          <w:sz w:val="20"/>
          <w:szCs w:val="20"/>
        </w:rPr>
      </w:pPr>
      <w:r>
        <w:rPr>
          <w:color w:val="000000" w:themeColor="text1"/>
          <w:sz w:val="20"/>
          <w:szCs w:val="20"/>
        </w:rPr>
        <w:t>124</w:t>
      </w:r>
      <w:r w:rsidR="007671C5" w:rsidRPr="0067399B">
        <w:rPr>
          <w:color w:val="000000" w:themeColor="text1"/>
          <w:sz w:val="20"/>
          <w:szCs w:val="20"/>
        </w:rPr>
        <w:t>.</w:t>
      </w:r>
      <w:r w:rsidR="007671C5" w:rsidRPr="0067399B">
        <w:rPr>
          <w:color w:val="000000" w:themeColor="text1"/>
          <w:sz w:val="20"/>
          <w:szCs w:val="20"/>
        </w:rPr>
        <w:tab/>
        <w:t xml:space="preserve">During the ensuing interactive dialogue, at the </w:t>
      </w:r>
      <w:r w:rsidR="007671C5">
        <w:rPr>
          <w:color w:val="000000" w:themeColor="text1"/>
          <w:sz w:val="20"/>
          <w:szCs w:val="20"/>
        </w:rPr>
        <w:t>10th to 11th</w:t>
      </w:r>
      <w:r w:rsidR="007671C5" w:rsidRPr="0067399B">
        <w:rPr>
          <w:color w:val="000000" w:themeColor="text1"/>
          <w:sz w:val="20"/>
          <w:szCs w:val="20"/>
        </w:rPr>
        <w:t xml:space="preserve"> meeting</w:t>
      </w:r>
      <w:r w:rsidR="007671C5">
        <w:rPr>
          <w:color w:val="000000" w:themeColor="text1"/>
          <w:sz w:val="20"/>
          <w:szCs w:val="20"/>
        </w:rPr>
        <w:t>s</w:t>
      </w:r>
      <w:r w:rsidR="007671C5" w:rsidRPr="0067399B">
        <w:rPr>
          <w:color w:val="000000" w:themeColor="text1"/>
          <w:sz w:val="20"/>
          <w:szCs w:val="20"/>
        </w:rPr>
        <w:t>, on the same day, the following made statements and asked the Special Rapporteur questions:</w:t>
      </w:r>
    </w:p>
    <w:p w14:paraId="0CB58282" w14:textId="7C306707" w:rsidR="00167568" w:rsidRDefault="007671C5" w:rsidP="00803914">
      <w:pPr>
        <w:spacing w:after="120"/>
        <w:ind w:left="1134" w:right="1134" w:firstLine="567"/>
        <w:jc w:val="both"/>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Pr>
          <w:color w:val="000000" w:themeColor="text1"/>
          <w:sz w:val="20"/>
          <w:szCs w:val="20"/>
        </w:rPr>
        <w:t>States Members</w:t>
      </w:r>
      <w:r w:rsidRPr="0067399B">
        <w:rPr>
          <w:color w:val="000000" w:themeColor="text1"/>
          <w:sz w:val="20"/>
          <w:szCs w:val="20"/>
        </w:rPr>
        <w:t xml:space="preserve"> of the Human Rights Council: </w:t>
      </w:r>
      <w:r w:rsidR="002F1FBD" w:rsidRPr="00803914">
        <w:rPr>
          <w:color w:val="000000" w:themeColor="text1"/>
          <w:sz w:val="20"/>
          <w:szCs w:val="20"/>
        </w:rPr>
        <w:t>Afghanistan</w:t>
      </w:r>
      <w:r w:rsidR="00167568">
        <w:rPr>
          <w:color w:val="000000" w:themeColor="text1"/>
          <w:sz w:val="20"/>
          <w:szCs w:val="20"/>
        </w:rPr>
        <w:t xml:space="preserve">, </w:t>
      </w:r>
      <w:r w:rsidR="00167568" w:rsidRPr="00803914">
        <w:rPr>
          <w:color w:val="000000" w:themeColor="text1"/>
          <w:sz w:val="20"/>
          <w:szCs w:val="20"/>
        </w:rPr>
        <w:t xml:space="preserve">Angola </w:t>
      </w:r>
      <w:r w:rsidR="00167568">
        <w:rPr>
          <w:color w:val="000000" w:themeColor="text1"/>
          <w:sz w:val="20"/>
          <w:szCs w:val="20"/>
        </w:rPr>
        <w:t>(</w:t>
      </w:r>
      <w:r w:rsidR="00167568" w:rsidRPr="00544A55">
        <w:rPr>
          <w:color w:val="000000" w:themeColor="text1"/>
          <w:sz w:val="20"/>
          <w:szCs w:val="20"/>
        </w:rPr>
        <w:t>on behalf of the Group of African States</w:t>
      </w:r>
      <w:r w:rsidR="00167568">
        <w:rPr>
          <w:color w:val="000000" w:themeColor="text1"/>
          <w:sz w:val="20"/>
          <w:szCs w:val="20"/>
        </w:rPr>
        <w:t xml:space="preserve">), </w:t>
      </w:r>
      <w:r w:rsidR="00167568" w:rsidRPr="00803914">
        <w:rPr>
          <w:color w:val="000000" w:themeColor="text1"/>
          <w:sz w:val="20"/>
          <w:szCs w:val="20"/>
        </w:rPr>
        <w:t>Austria</w:t>
      </w:r>
      <w:r w:rsidR="00167568">
        <w:rPr>
          <w:color w:val="000000" w:themeColor="text1"/>
          <w:sz w:val="20"/>
          <w:szCs w:val="20"/>
        </w:rPr>
        <w:t xml:space="preserve">, </w:t>
      </w:r>
      <w:r w:rsidR="00167568" w:rsidRPr="00803914">
        <w:rPr>
          <w:color w:val="000000" w:themeColor="text1"/>
          <w:sz w:val="20"/>
          <w:szCs w:val="20"/>
        </w:rPr>
        <w:t>Brazil</w:t>
      </w:r>
      <w:r w:rsidR="00167568">
        <w:rPr>
          <w:color w:val="000000" w:themeColor="text1"/>
          <w:sz w:val="20"/>
          <w:szCs w:val="20"/>
        </w:rPr>
        <w:t xml:space="preserve">, </w:t>
      </w:r>
      <w:r w:rsidR="00167568" w:rsidRPr="00803914">
        <w:rPr>
          <w:color w:val="000000" w:themeColor="text1"/>
          <w:sz w:val="20"/>
          <w:szCs w:val="20"/>
        </w:rPr>
        <w:t>Burkina Faso</w:t>
      </w:r>
      <w:r w:rsidR="00167568">
        <w:rPr>
          <w:color w:val="000000" w:themeColor="text1"/>
          <w:sz w:val="20"/>
          <w:szCs w:val="20"/>
        </w:rPr>
        <w:t xml:space="preserve">, </w:t>
      </w:r>
      <w:r w:rsidR="00167568" w:rsidRPr="00803914">
        <w:rPr>
          <w:color w:val="000000" w:themeColor="text1"/>
          <w:sz w:val="20"/>
          <w:szCs w:val="20"/>
        </w:rPr>
        <w:t>Cameroon</w:t>
      </w:r>
      <w:r w:rsidR="00167568">
        <w:rPr>
          <w:color w:val="000000" w:themeColor="text1"/>
          <w:sz w:val="20"/>
          <w:szCs w:val="20"/>
        </w:rPr>
        <w:t xml:space="preserve">, </w:t>
      </w:r>
      <w:r w:rsidR="00167568" w:rsidRPr="00803914">
        <w:rPr>
          <w:color w:val="000000" w:themeColor="text1"/>
          <w:sz w:val="20"/>
          <w:szCs w:val="20"/>
        </w:rPr>
        <w:t xml:space="preserve">Chile </w:t>
      </w:r>
      <w:r w:rsidR="00167568">
        <w:rPr>
          <w:color w:val="000000" w:themeColor="text1"/>
          <w:sz w:val="20"/>
          <w:szCs w:val="20"/>
        </w:rPr>
        <w:t>(</w:t>
      </w:r>
      <w:r w:rsidR="00167568" w:rsidRPr="00167568">
        <w:rPr>
          <w:color w:val="000000" w:themeColor="text1"/>
          <w:sz w:val="20"/>
          <w:szCs w:val="20"/>
        </w:rPr>
        <w:t>also on behalf of Argentina, Brazil, Costa Rica, Guatemala, Mexico, Panama, Peru and Uruguay</w:t>
      </w:r>
      <w:r w:rsidR="00167568">
        <w:rPr>
          <w:color w:val="000000" w:themeColor="text1"/>
          <w:sz w:val="20"/>
          <w:szCs w:val="20"/>
        </w:rPr>
        <w:t xml:space="preserve">), </w:t>
      </w:r>
      <w:r w:rsidR="00167568" w:rsidRPr="00803914">
        <w:rPr>
          <w:color w:val="000000" w:themeColor="text1"/>
          <w:sz w:val="20"/>
          <w:szCs w:val="20"/>
        </w:rPr>
        <w:t>China</w:t>
      </w:r>
      <w:r w:rsidR="00167568">
        <w:rPr>
          <w:color w:val="000000" w:themeColor="text1"/>
          <w:sz w:val="20"/>
          <w:szCs w:val="20"/>
        </w:rPr>
        <w:t xml:space="preserve">, </w:t>
      </w:r>
      <w:r w:rsidR="00167568" w:rsidRPr="00803914">
        <w:rPr>
          <w:color w:val="000000" w:themeColor="text1"/>
          <w:sz w:val="20"/>
          <w:szCs w:val="20"/>
        </w:rPr>
        <w:t>Cuba</w:t>
      </w:r>
      <w:r w:rsidR="00167568">
        <w:rPr>
          <w:color w:val="000000" w:themeColor="text1"/>
          <w:sz w:val="20"/>
          <w:szCs w:val="20"/>
        </w:rPr>
        <w:t xml:space="preserve">, Czechia, </w:t>
      </w:r>
      <w:r w:rsidR="00167568" w:rsidRPr="00803914">
        <w:rPr>
          <w:color w:val="000000" w:themeColor="text1"/>
          <w:sz w:val="20"/>
          <w:szCs w:val="20"/>
        </w:rPr>
        <w:t>Denmark</w:t>
      </w:r>
      <w:r w:rsidR="00167568">
        <w:rPr>
          <w:color w:val="000000" w:themeColor="text1"/>
          <w:sz w:val="20"/>
          <w:szCs w:val="20"/>
        </w:rPr>
        <w:t>,</w:t>
      </w:r>
      <w:r w:rsidR="00167568" w:rsidRPr="00167568">
        <w:rPr>
          <w:color w:val="000000" w:themeColor="text1"/>
          <w:sz w:val="20"/>
          <w:szCs w:val="20"/>
        </w:rPr>
        <w:t xml:space="preserve"> </w:t>
      </w:r>
      <w:r w:rsidR="00167568" w:rsidRPr="00803914">
        <w:rPr>
          <w:color w:val="000000" w:themeColor="text1"/>
          <w:sz w:val="20"/>
          <w:szCs w:val="20"/>
        </w:rPr>
        <w:t>Egypt</w:t>
      </w:r>
      <w:r w:rsidR="00167568">
        <w:rPr>
          <w:color w:val="000000" w:themeColor="text1"/>
          <w:sz w:val="20"/>
          <w:szCs w:val="20"/>
        </w:rPr>
        <w:t xml:space="preserve">, </w:t>
      </w:r>
      <w:r w:rsidR="00167568" w:rsidRPr="00803914">
        <w:rPr>
          <w:color w:val="000000" w:themeColor="text1"/>
          <w:sz w:val="20"/>
          <w:szCs w:val="20"/>
        </w:rPr>
        <w:t>Iraq</w:t>
      </w:r>
      <w:r w:rsidR="00167568">
        <w:rPr>
          <w:color w:val="000000" w:themeColor="text1"/>
          <w:sz w:val="20"/>
          <w:szCs w:val="20"/>
        </w:rPr>
        <w:t xml:space="preserve">, </w:t>
      </w:r>
      <w:r w:rsidR="00167568" w:rsidRPr="00803914">
        <w:rPr>
          <w:color w:val="000000" w:themeColor="text1"/>
          <w:sz w:val="20"/>
          <w:szCs w:val="20"/>
        </w:rPr>
        <w:t>Italy</w:t>
      </w:r>
      <w:r w:rsidR="00167568">
        <w:rPr>
          <w:color w:val="000000" w:themeColor="text1"/>
          <w:sz w:val="20"/>
          <w:szCs w:val="20"/>
        </w:rPr>
        <w:t xml:space="preserve">, </w:t>
      </w:r>
      <w:r w:rsidR="00167568" w:rsidRPr="00803914">
        <w:rPr>
          <w:color w:val="000000" w:themeColor="text1"/>
          <w:sz w:val="20"/>
          <w:szCs w:val="20"/>
        </w:rPr>
        <w:t>Mexico</w:t>
      </w:r>
      <w:r w:rsidR="00167568">
        <w:rPr>
          <w:color w:val="000000" w:themeColor="text1"/>
          <w:sz w:val="20"/>
          <w:szCs w:val="20"/>
        </w:rPr>
        <w:t xml:space="preserve">, </w:t>
      </w:r>
      <w:r w:rsidR="00167568" w:rsidRPr="00803914">
        <w:rPr>
          <w:color w:val="000000" w:themeColor="text1"/>
          <w:sz w:val="20"/>
          <w:szCs w:val="20"/>
        </w:rPr>
        <w:t>Pakistan</w:t>
      </w:r>
      <w:r w:rsidR="00167568">
        <w:rPr>
          <w:color w:val="000000" w:themeColor="text1"/>
          <w:sz w:val="20"/>
          <w:szCs w:val="20"/>
        </w:rPr>
        <w:t xml:space="preserve">, </w:t>
      </w:r>
      <w:r w:rsidR="00167568" w:rsidRPr="00803914">
        <w:rPr>
          <w:color w:val="000000" w:themeColor="text1"/>
          <w:sz w:val="20"/>
          <w:szCs w:val="20"/>
        </w:rPr>
        <w:t>South Afr</w:t>
      </w:r>
      <w:r w:rsidR="00167568">
        <w:rPr>
          <w:color w:val="000000" w:themeColor="text1"/>
          <w:sz w:val="20"/>
          <w:szCs w:val="20"/>
        </w:rPr>
        <w:t xml:space="preserve">ica, </w:t>
      </w:r>
      <w:r w:rsidR="00167568" w:rsidRPr="00803914">
        <w:rPr>
          <w:color w:val="000000" w:themeColor="text1"/>
          <w:sz w:val="20"/>
          <w:szCs w:val="20"/>
        </w:rPr>
        <w:t>Tunisia</w:t>
      </w:r>
      <w:r w:rsidR="00167568">
        <w:rPr>
          <w:color w:val="000000" w:themeColor="text1"/>
          <w:sz w:val="20"/>
          <w:szCs w:val="20"/>
        </w:rPr>
        <w:t xml:space="preserve">, </w:t>
      </w:r>
      <w:r w:rsidR="00167568" w:rsidRPr="00803914">
        <w:rPr>
          <w:color w:val="000000" w:themeColor="text1"/>
          <w:sz w:val="20"/>
          <w:szCs w:val="20"/>
        </w:rPr>
        <w:t>United Kingdom of Great Britain and Northern Ireland</w:t>
      </w:r>
      <w:r w:rsidR="00AE3F60">
        <w:rPr>
          <w:color w:val="000000" w:themeColor="text1"/>
          <w:sz w:val="20"/>
          <w:szCs w:val="20"/>
        </w:rPr>
        <w:t>,</w:t>
      </w:r>
      <w:r w:rsidR="00AE3F60" w:rsidRPr="00AE3F60">
        <w:rPr>
          <w:color w:val="000000" w:themeColor="text1"/>
          <w:sz w:val="20"/>
          <w:szCs w:val="20"/>
        </w:rPr>
        <w:t xml:space="preserve"> </w:t>
      </w:r>
      <w:r w:rsidR="00AE3F60" w:rsidRPr="00803914">
        <w:rPr>
          <w:color w:val="000000" w:themeColor="text1"/>
          <w:sz w:val="20"/>
          <w:szCs w:val="20"/>
        </w:rPr>
        <w:t>Uruguay</w:t>
      </w:r>
      <w:r w:rsidR="00167568">
        <w:rPr>
          <w:color w:val="000000" w:themeColor="text1"/>
          <w:sz w:val="20"/>
          <w:szCs w:val="20"/>
        </w:rPr>
        <w:t>;</w:t>
      </w:r>
    </w:p>
    <w:p w14:paraId="65262BAD" w14:textId="5807759D" w:rsidR="007671C5" w:rsidRPr="0067399B" w:rsidRDefault="007671C5" w:rsidP="007671C5">
      <w:pPr>
        <w:spacing w:after="120"/>
        <w:ind w:left="1134" w:right="1134" w:firstLine="567"/>
        <w:jc w:val="both"/>
        <w:rPr>
          <w:color w:val="000000" w:themeColor="text1"/>
          <w:sz w:val="20"/>
          <w:szCs w:val="20"/>
        </w:rPr>
      </w:pPr>
      <w:r w:rsidRPr="0067399B">
        <w:rPr>
          <w:color w:val="000000" w:themeColor="text1"/>
          <w:sz w:val="20"/>
          <w:szCs w:val="20"/>
        </w:rPr>
        <w:t>(b)</w:t>
      </w:r>
      <w:r w:rsidRPr="0067399B">
        <w:rPr>
          <w:color w:val="000000" w:themeColor="text1"/>
          <w:sz w:val="20"/>
          <w:szCs w:val="20"/>
        </w:rPr>
        <w:tab/>
        <w:t xml:space="preserve">Representatives of observer States: </w:t>
      </w:r>
      <w:r w:rsidR="00167568" w:rsidRPr="00803914">
        <w:rPr>
          <w:color w:val="000000" w:themeColor="text1"/>
          <w:sz w:val="20"/>
          <w:szCs w:val="20"/>
        </w:rPr>
        <w:t>Albania</w:t>
      </w:r>
      <w:r w:rsidR="00167568">
        <w:rPr>
          <w:color w:val="000000" w:themeColor="text1"/>
          <w:sz w:val="20"/>
          <w:szCs w:val="20"/>
        </w:rPr>
        <w:t xml:space="preserve">, </w:t>
      </w:r>
      <w:r w:rsidR="00167568" w:rsidRPr="00803914">
        <w:rPr>
          <w:color w:val="000000" w:themeColor="text1"/>
          <w:sz w:val="20"/>
          <w:szCs w:val="20"/>
        </w:rPr>
        <w:t>Belgium</w:t>
      </w:r>
      <w:r w:rsidR="00167568">
        <w:rPr>
          <w:color w:val="000000" w:themeColor="text1"/>
          <w:sz w:val="20"/>
          <w:szCs w:val="20"/>
        </w:rPr>
        <w:t xml:space="preserve">, </w:t>
      </w:r>
      <w:r w:rsidR="00167568" w:rsidRPr="00803914">
        <w:rPr>
          <w:color w:val="000000" w:themeColor="text1"/>
          <w:sz w:val="20"/>
          <w:szCs w:val="20"/>
        </w:rPr>
        <w:t>Bolivia (Plurinational State of)</w:t>
      </w:r>
      <w:r w:rsidR="00167568">
        <w:rPr>
          <w:color w:val="000000" w:themeColor="text1"/>
          <w:sz w:val="20"/>
          <w:szCs w:val="20"/>
        </w:rPr>
        <w:t xml:space="preserve">, </w:t>
      </w:r>
      <w:r w:rsidR="00167568" w:rsidRPr="00803914">
        <w:rPr>
          <w:color w:val="000000" w:themeColor="text1"/>
          <w:sz w:val="20"/>
          <w:szCs w:val="20"/>
        </w:rPr>
        <w:t>Ecuador</w:t>
      </w:r>
      <w:r w:rsidR="00167568">
        <w:rPr>
          <w:color w:val="000000" w:themeColor="text1"/>
          <w:sz w:val="20"/>
          <w:szCs w:val="20"/>
        </w:rPr>
        <w:t xml:space="preserve">, </w:t>
      </w:r>
      <w:r w:rsidR="00167568" w:rsidRPr="00803914">
        <w:rPr>
          <w:color w:val="000000" w:themeColor="text1"/>
          <w:sz w:val="20"/>
          <w:szCs w:val="20"/>
        </w:rPr>
        <w:t>Estonia</w:t>
      </w:r>
      <w:r w:rsidR="00167568">
        <w:rPr>
          <w:color w:val="000000" w:themeColor="text1"/>
          <w:sz w:val="20"/>
          <w:szCs w:val="20"/>
        </w:rPr>
        <w:t xml:space="preserve">, </w:t>
      </w:r>
      <w:r w:rsidR="00167568" w:rsidRPr="00803914">
        <w:rPr>
          <w:color w:val="000000" w:themeColor="text1"/>
          <w:sz w:val="20"/>
          <w:szCs w:val="20"/>
        </w:rPr>
        <w:t>France</w:t>
      </w:r>
      <w:r w:rsidR="00167568">
        <w:rPr>
          <w:color w:val="000000" w:themeColor="text1"/>
          <w:sz w:val="20"/>
          <w:szCs w:val="20"/>
        </w:rPr>
        <w:t xml:space="preserve">, </w:t>
      </w:r>
      <w:r w:rsidR="00167568" w:rsidRPr="00803914">
        <w:rPr>
          <w:color w:val="000000" w:themeColor="text1"/>
          <w:sz w:val="20"/>
          <w:szCs w:val="20"/>
        </w:rPr>
        <w:t>Indonesia</w:t>
      </w:r>
      <w:r w:rsidR="00167568">
        <w:rPr>
          <w:color w:val="000000" w:themeColor="text1"/>
          <w:sz w:val="20"/>
          <w:szCs w:val="20"/>
        </w:rPr>
        <w:t xml:space="preserve">, </w:t>
      </w:r>
      <w:r w:rsidR="00167568" w:rsidRPr="00803914">
        <w:rPr>
          <w:color w:val="000000" w:themeColor="text1"/>
          <w:sz w:val="20"/>
          <w:szCs w:val="20"/>
        </w:rPr>
        <w:t>Iran (Islamic Republic of)</w:t>
      </w:r>
      <w:r w:rsidR="00167568">
        <w:rPr>
          <w:color w:val="000000" w:themeColor="text1"/>
          <w:sz w:val="20"/>
          <w:szCs w:val="20"/>
        </w:rPr>
        <w:t xml:space="preserve">, </w:t>
      </w:r>
      <w:r w:rsidR="00167568" w:rsidRPr="00803914">
        <w:rPr>
          <w:color w:val="000000" w:themeColor="text1"/>
          <w:sz w:val="20"/>
          <w:szCs w:val="20"/>
        </w:rPr>
        <w:t>Ireland</w:t>
      </w:r>
      <w:r w:rsidR="00167568">
        <w:rPr>
          <w:color w:val="000000" w:themeColor="text1"/>
          <w:sz w:val="20"/>
          <w:szCs w:val="20"/>
        </w:rPr>
        <w:t xml:space="preserve">, </w:t>
      </w:r>
      <w:r w:rsidR="00167568" w:rsidRPr="00803914">
        <w:rPr>
          <w:color w:val="000000" w:themeColor="text1"/>
          <w:sz w:val="20"/>
          <w:szCs w:val="20"/>
        </w:rPr>
        <w:t>Jordan</w:t>
      </w:r>
      <w:r w:rsidR="00167568">
        <w:rPr>
          <w:color w:val="000000" w:themeColor="text1"/>
          <w:sz w:val="20"/>
          <w:szCs w:val="20"/>
        </w:rPr>
        <w:t xml:space="preserve">, </w:t>
      </w:r>
      <w:r w:rsidR="00167568" w:rsidRPr="00803914">
        <w:rPr>
          <w:color w:val="000000" w:themeColor="text1"/>
          <w:sz w:val="20"/>
          <w:szCs w:val="20"/>
        </w:rPr>
        <w:t>Maldives</w:t>
      </w:r>
      <w:r w:rsidR="00167568">
        <w:rPr>
          <w:color w:val="000000" w:themeColor="text1"/>
          <w:sz w:val="20"/>
          <w:szCs w:val="20"/>
        </w:rPr>
        <w:t xml:space="preserve">, </w:t>
      </w:r>
      <w:r w:rsidR="00167568" w:rsidRPr="00803914">
        <w:rPr>
          <w:color w:val="000000" w:themeColor="text1"/>
          <w:sz w:val="20"/>
          <w:szCs w:val="20"/>
        </w:rPr>
        <w:t>Montenegro</w:t>
      </w:r>
      <w:r w:rsidR="00167568">
        <w:rPr>
          <w:color w:val="000000" w:themeColor="text1"/>
          <w:sz w:val="20"/>
          <w:szCs w:val="20"/>
        </w:rPr>
        <w:t xml:space="preserve">, </w:t>
      </w:r>
      <w:r w:rsidR="00167568" w:rsidRPr="00803914">
        <w:rPr>
          <w:color w:val="000000" w:themeColor="text1"/>
          <w:sz w:val="20"/>
          <w:szCs w:val="20"/>
        </w:rPr>
        <w:t>Morocco</w:t>
      </w:r>
      <w:r w:rsidR="00167568">
        <w:rPr>
          <w:color w:val="000000" w:themeColor="text1"/>
          <w:sz w:val="20"/>
          <w:szCs w:val="20"/>
        </w:rPr>
        <w:t xml:space="preserve">, New Zealand, </w:t>
      </w:r>
      <w:r w:rsidR="00167568" w:rsidRPr="00803914">
        <w:rPr>
          <w:color w:val="000000" w:themeColor="text1"/>
          <w:sz w:val="20"/>
          <w:szCs w:val="20"/>
        </w:rPr>
        <w:t>Paraguay</w:t>
      </w:r>
      <w:r w:rsidR="00167568">
        <w:rPr>
          <w:color w:val="000000" w:themeColor="text1"/>
          <w:sz w:val="20"/>
          <w:szCs w:val="20"/>
        </w:rPr>
        <w:t xml:space="preserve">, </w:t>
      </w:r>
      <w:r w:rsidR="00167568" w:rsidRPr="00803914">
        <w:rPr>
          <w:color w:val="000000" w:themeColor="text1"/>
          <w:sz w:val="20"/>
          <w:szCs w:val="20"/>
        </w:rPr>
        <w:t>Russian Federation</w:t>
      </w:r>
      <w:r w:rsidR="00167568">
        <w:rPr>
          <w:color w:val="000000" w:themeColor="text1"/>
          <w:sz w:val="20"/>
          <w:szCs w:val="20"/>
        </w:rPr>
        <w:t xml:space="preserve">, </w:t>
      </w:r>
      <w:r w:rsidR="00167568" w:rsidRPr="00803914">
        <w:rPr>
          <w:color w:val="000000" w:themeColor="text1"/>
          <w:sz w:val="20"/>
          <w:szCs w:val="20"/>
        </w:rPr>
        <w:t>Samoa</w:t>
      </w:r>
      <w:r w:rsidR="00167568">
        <w:rPr>
          <w:color w:val="000000" w:themeColor="text1"/>
          <w:sz w:val="20"/>
          <w:szCs w:val="20"/>
        </w:rPr>
        <w:t xml:space="preserve">, </w:t>
      </w:r>
      <w:r w:rsidR="00167568" w:rsidRPr="00803914">
        <w:rPr>
          <w:color w:val="000000" w:themeColor="text1"/>
          <w:sz w:val="20"/>
          <w:szCs w:val="20"/>
        </w:rPr>
        <w:t>Sierra Leone</w:t>
      </w:r>
      <w:r w:rsidR="00167568">
        <w:rPr>
          <w:color w:val="000000" w:themeColor="text1"/>
          <w:sz w:val="20"/>
          <w:szCs w:val="20"/>
        </w:rPr>
        <w:t xml:space="preserve">, </w:t>
      </w:r>
      <w:r w:rsidR="00167568" w:rsidRPr="00803914">
        <w:rPr>
          <w:color w:val="000000" w:themeColor="text1"/>
          <w:sz w:val="20"/>
          <w:szCs w:val="20"/>
        </w:rPr>
        <w:t>Sudan</w:t>
      </w:r>
      <w:r w:rsidR="00167568">
        <w:rPr>
          <w:color w:val="000000" w:themeColor="text1"/>
          <w:sz w:val="20"/>
          <w:szCs w:val="20"/>
        </w:rPr>
        <w:t xml:space="preserve">, </w:t>
      </w:r>
      <w:r w:rsidR="00167568" w:rsidRPr="00803914">
        <w:rPr>
          <w:color w:val="000000" w:themeColor="text1"/>
          <w:sz w:val="20"/>
          <w:szCs w:val="20"/>
        </w:rPr>
        <w:t>Switzerland</w:t>
      </w:r>
      <w:r w:rsidR="00167568">
        <w:rPr>
          <w:color w:val="000000" w:themeColor="text1"/>
          <w:sz w:val="20"/>
          <w:szCs w:val="20"/>
        </w:rPr>
        <w:t xml:space="preserve">, </w:t>
      </w:r>
      <w:r w:rsidR="00167568" w:rsidRPr="00803914">
        <w:rPr>
          <w:color w:val="000000" w:themeColor="text1"/>
          <w:sz w:val="20"/>
          <w:szCs w:val="20"/>
        </w:rPr>
        <w:t>Venezuela (Bolivarian Republic of)</w:t>
      </w:r>
      <w:r w:rsidRPr="0067399B">
        <w:rPr>
          <w:color w:val="000000" w:themeColor="text1"/>
          <w:sz w:val="20"/>
          <w:szCs w:val="20"/>
        </w:rPr>
        <w:t xml:space="preserve">; </w:t>
      </w:r>
    </w:p>
    <w:p w14:paraId="04668B14" w14:textId="2CEE07F4" w:rsidR="007671C5" w:rsidRPr="0067399B" w:rsidRDefault="007671C5" w:rsidP="007671C5">
      <w:pPr>
        <w:spacing w:after="120"/>
        <w:ind w:left="1134" w:right="1134" w:firstLine="567"/>
        <w:jc w:val="both"/>
        <w:rPr>
          <w:color w:val="000000" w:themeColor="text1"/>
          <w:sz w:val="20"/>
          <w:szCs w:val="20"/>
        </w:rPr>
      </w:pPr>
      <w:r w:rsidRPr="0067399B">
        <w:rPr>
          <w:color w:val="000000" w:themeColor="text1"/>
          <w:sz w:val="20"/>
          <w:szCs w:val="20"/>
        </w:rPr>
        <w:t>(c)</w:t>
      </w:r>
      <w:r w:rsidRPr="0067399B">
        <w:rPr>
          <w:color w:val="000000" w:themeColor="text1"/>
          <w:sz w:val="20"/>
          <w:szCs w:val="20"/>
        </w:rPr>
        <w:tab/>
        <w:t>Observer</w:t>
      </w:r>
      <w:r w:rsidR="00167568">
        <w:rPr>
          <w:color w:val="000000" w:themeColor="text1"/>
          <w:sz w:val="20"/>
          <w:szCs w:val="20"/>
        </w:rPr>
        <w:t>s</w:t>
      </w:r>
      <w:r w:rsidRPr="0067399B">
        <w:rPr>
          <w:color w:val="000000" w:themeColor="text1"/>
          <w:sz w:val="20"/>
          <w:szCs w:val="20"/>
        </w:rPr>
        <w:t xml:space="preserve"> for intergovernmental organization</w:t>
      </w:r>
      <w:r w:rsidR="00167568">
        <w:rPr>
          <w:color w:val="000000" w:themeColor="text1"/>
          <w:sz w:val="20"/>
          <w:szCs w:val="20"/>
        </w:rPr>
        <w:t>s</w:t>
      </w:r>
      <w:r w:rsidRPr="0067399B">
        <w:rPr>
          <w:color w:val="000000" w:themeColor="text1"/>
          <w:sz w:val="20"/>
          <w:szCs w:val="20"/>
        </w:rPr>
        <w:t xml:space="preserve">: </w:t>
      </w:r>
      <w:r w:rsidR="00167568" w:rsidRPr="00803914">
        <w:rPr>
          <w:color w:val="000000" w:themeColor="text1"/>
          <w:sz w:val="20"/>
          <w:szCs w:val="20"/>
        </w:rPr>
        <w:t>Council of Europe</w:t>
      </w:r>
      <w:r w:rsidR="00167568">
        <w:rPr>
          <w:color w:val="000000" w:themeColor="text1"/>
          <w:sz w:val="20"/>
          <w:szCs w:val="20"/>
        </w:rPr>
        <w:t xml:space="preserve">, </w:t>
      </w:r>
      <w:r w:rsidRPr="0067399B">
        <w:rPr>
          <w:color w:val="000000" w:themeColor="text1"/>
          <w:sz w:val="20"/>
          <w:szCs w:val="20"/>
        </w:rPr>
        <w:t xml:space="preserve">European Union; </w:t>
      </w:r>
    </w:p>
    <w:p w14:paraId="24DDBB81" w14:textId="6A92E3E7" w:rsidR="007671C5" w:rsidRPr="0067399B" w:rsidRDefault="007671C5" w:rsidP="007671C5">
      <w:pPr>
        <w:spacing w:after="120"/>
        <w:ind w:left="1134" w:right="1134" w:firstLine="567"/>
        <w:jc w:val="both"/>
        <w:rPr>
          <w:color w:val="000000" w:themeColor="text1"/>
          <w:sz w:val="20"/>
          <w:szCs w:val="20"/>
          <w:lang w:eastAsia="ko-KR"/>
        </w:rPr>
      </w:pPr>
      <w:r w:rsidRPr="0067399B">
        <w:rPr>
          <w:color w:val="000000" w:themeColor="text1"/>
          <w:sz w:val="20"/>
          <w:szCs w:val="20"/>
        </w:rPr>
        <w:t>(</w:t>
      </w:r>
      <w:r w:rsidR="00167568">
        <w:rPr>
          <w:color w:val="000000" w:themeColor="text1"/>
          <w:sz w:val="20"/>
          <w:szCs w:val="20"/>
        </w:rPr>
        <w:t>d</w:t>
      </w:r>
      <w:r w:rsidRPr="0067399B">
        <w:rPr>
          <w:color w:val="000000" w:themeColor="text1"/>
          <w:sz w:val="20"/>
          <w:szCs w:val="20"/>
        </w:rPr>
        <w:t>)</w:t>
      </w:r>
      <w:r w:rsidRPr="0067399B">
        <w:rPr>
          <w:color w:val="000000" w:themeColor="text1"/>
          <w:sz w:val="20"/>
          <w:szCs w:val="20"/>
        </w:rPr>
        <w:tab/>
        <w:t xml:space="preserve">Observers for non-governmental organizations: </w:t>
      </w:r>
      <w:r w:rsidR="00167568" w:rsidRPr="00F50A37">
        <w:rPr>
          <w:color w:val="000000" w:themeColor="text1"/>
          <w:sz w:val="20"/>
          <w:szCs w:val="20"/>
        </w:rPr>
        <w:t>Khiam Rehabilitation Center for Victims of Torture</w:t>
      </w:r>
      <w:r w:rsidR="00167568">
        <w:rPr>
          <w:color w:val="000000" w:themeColor="text1"/>
          <w:sz w:val="20"/>
          <w:szCs w:val="20"/>
        </w:rPr>
        <w:t xml:space="preserve">; </w:t>
      </w:r>
      <w:r w:rsidR="00167568" w:rsidRPr="00F50A37">
        <w:rPr>
          <w:color w:val="000000" w:themeColor="text1"/>
          <w:sz w:val="20"/>
          <w:szCs w:val="20"/>
        </w:rPr>
        <w:t>Maarij Foundation for Peace and Development</w:t>
      </w:r>
      <w:r w:rsidR="00167568">
        <w:rPr>
          <w:color w:val="000000" w:themeColor="text1"/>
          <w:sz w:val="20"/>
          <w:szCs w:val="20"/>
        </w:rPr>
        <w:t xml:space="preserve">; </w:t>
      </w:r>
      <w:r w:rsidR="00167568" w:rsidRPr="00F50A37">
        <w:rPr>
          <w:color w:val="000000" w:themeColor="text1"/>
          <w:sz w:val="20"/>
          <w:szCs w:val="20"/>
        </w:rPr>
        <w:t xml:space="preserve">World Organisation </w:t>
      </w:r>
      <w:r w:rsidR="00261D42" w:rsidRPr="00F50A37">
        <w:rPr>
          <w:color w:val="000000" w:themeColor="text1"/>
          <w:sz w:val="20"/>
          <w:szCs w:val="20"/>
        </w:rPr>
        <w:t xml:space="preserve">against </w:t>
      </w:r>
      <w:r w:rsidR="00167568" w:rsidRPr="00F50A37">
        <w:rPr>
          <w:color w:val="000000" w:themeColor="text1"/>
          <w:sz w:val="20"/>
          <w:szCs w:val="20"/>
        </w:rPr>
        <w:t>Torture</w:t>
      </w:r>
      <w:r w:rsidRPr="0067399B">
        <w:rPr>
          <w:color w:val="000000" w:themeColor="text1"/>
          <w:sz w:val="20"/>
          <w:szCs w:val="20"/>
        </w:rPr>
        <w:t>.</w:t>
      </w:r>
    </w:p>
    <w:p w14:paraId="696F0D37" w14:textId="68BEBE5B" w:rsidR="007671C5" w:rsidRPr="0067399B" w:rsidRDefault="009B6FCB" w:rsidP="007671C5">
      <w:pPr>
        <w:pStyle w:val="SingleTxtG"/>
        <w:rPr>
          <w:color w:val="000000" w:themeColor="text1"/>
          <w:sz w:val="20"/>
          <w:szCs w:val="20"/>
        </w:rPr>
      </w:pPr>
      <w:r>
        <w:rPr>
          <w:color w:val="000000" w:themeColor="text1"/>
          <w:sz w:val="20"/>
          <w:szCs w:val="20"/>
        </w:rPr>
        <w:t>125</w:t>
      </w:r>
      <w:r w:rsidR="007671C5" w:rsidRPr="0067399B">
        <w:rPr>
          <w:color w:val="000000" w:themeColor="text1"/>
          <w:sz w:val="20"/>
          <w:szCs w:val="20"/>
        </w:rPr>
        <w:t>.</w:t>
      </w:r>
      <w:r w:rsidR="007671C5" w:rsidRPr="0067399B">
        <w:rPr>
          <w:color w:val="000000" w:themeColor="text1"/>
          <w:sz w:val="20"/>
          <w:szCs w:val="20"/>
        </w:rPr>
        <w:tab/>
        <w:t xml:space="preserve">At the </w:t>
      </w:r>
      <w:r w:rsidR="007671C5">
        <w:rPr>
          <w:color w:val="000000" w:themeColor="text1"/>
          <w:sz w:val="20"/>
          <w:szCs w:val="20"/>
        </w:rPr>
        <w:t>11th</w:t>
      </w:r>
      <w:r w:rsidR="007671C5" w:rsidRPr="0067399B">
        <w:rPr>
          <w:color w:val="000000" w:themeColor="text1"/>
          <w:sz w:val="20"/>
          <w:szCs w:val="20"/>
        </w:rPr>
        <w:t xml:space="preserve"> meeting, on the same day, the Special Rapporteur answered questions and made his concluding remarks.</w:t>
      </w:r>
    </w:p>
    <w:p w14:paraId="147435F3" w14:textId="5345EC32" w:rsidR="00031F5C" w:rsidRPr="0067399B" w:rsidRDefault="009B6FCB" w:rsidP="00031F5C">
      <w:pPr>
        <w:pStyle w:val="SingleTxtG"/>
        <w:rPr>
          <w:color w:val="000000" w:themeColor="text1"/>
          <w:sz w:val="20"/>
          <w:szCs w:val="20"/>
        </w:rPr>
      </w:pPr>
      <w:r>
        <w:rPr>
          <w:color w:val="000000" w:themeColor="text1"/>
          <w:sz w:val="20"/>
          <w:szCs w:val="20"/>
        </w:rPr>
        <w:t>126</w:t>
      </w:r>
      <w:r w:rsidR="00031F5C" w:rsidRPr="00031F5C">
        <w:rPr>
          <w:color w:val="000000" w:themeColor="text1"/>
          <w:sz w:val="20"/>
          <w:szCs w:val="20"/>
        </w:rPr>
        <w:t>.</w:t>
      </w:r>
      <w:r w:rsidR="00031F5C" w:rsidRPr="00031F5C">
        <w:rPr>
          <w:color w:val="000000" w:themeColor="text1"/>
          <w:sz w:val="20"/>
          <w:szCs w:val="20"/>
        </w:rPr>
        <w:tab/>
        <w:t xml:space="preserve">At the </w:t>
      </w:r>
      <w:r w:rsidR="00031F5C">
        <w:rPr>
          <w:color w:val="000000" w:themeColor="text1"/>
          <w:sz w:val="20"/>
          <w:szCs w:val="20"/>
        </w:rPr>
        <w:t>same</w:t>
      </w:r>
      <w:r w:rsidR="00031F5C" w:rsidRPr="00031F5C">
        <w:rPr>
          <w:color w:val="000000" w:themeColor="text1"/>
          <w:sz w:val="20"/>
          <w:szCs w:val="20"/>
        </w:rPr>
        <w:t xml:space="preserve"> meeting, </w:t>
      </w:r>
      <w:r w:rsidR="00A73113">
        <w:rPr>
          <w:color w:val="000000" w:themeColor="text1"/>
          <w:sz w:val="20"/>
          <w:szCs w:val="20"/>
        </w:rPr>
        <w:t xml:space="preserve">a </w:t>
      </w:r>
      <w:r w:rsidR="00031F5C" w:rsidRPr="00031F5C">
        <w:rPr>
          <w:color w:val="000000" w:themeColor="text1"/>
          <w:sz w:val="20"/>
          <w:szCs w:val="20"/>
        </w:rPr>
        <w:t>statement in exercise of the right of reply was made by the representative of Ukraine.</w:t>
      </w:r>
    </w:p>
    <w:p w14:paraId="76B3A64C" w14:textId="77777777" w:rsidR="00440F44" w:rsidRPr="0067399B" w:rsidRDefault="00440F44" w:rsidP="00440F44">
      <w:pPr>
        <w:pStyle w:val="H1G"/>
        <w:rPr>
          <w:color w:val="000000" w:themeColor="text1"/>
          <w:sz w:val="20"/>
          <w:szCs w:val="20"/>
        </w:rPr>
      </w:pPr>
      <w:r w:rsidRPr="0067399B">
        <w:rPr>
          <w:color w:val="000000" w:themeColor="text1"/>
          <w:sz w:val="20"/>
          <w:szCs w:val="20"/>
        </w:rPr>
        <w:lastRenderedPageBreak/>
        <w:tab/>
      </w:r>
      <w:r w:rsidRPr="0067399B">
        <w:rPr>
          <w:color w:val="000000" w:themeColor="text1"/>
          <w:sz w:val="20"/>
          <w:szCs w:val="20"/>
        </w:rPr>
        <w:tab/>
      </w:r>
      <w:r w:rsidRPr="00A078AC">
        <w:rPr>
          <w:color w:val="000000" w:themeColor="text1"/>
          <w:sz w:val="20"/>
          <w:szCs w:val="20"/>
        </w:rPr>
        <w:t>Special Rapporteur on the right to privacy</w:t>
      </w:r>
    </w:p>
    <w:p w14:paraId="64FF994F" w14:textId="45140CBE" w:rsidR="00440F44" w:rsidRPr="0067399B" w:rsidRDefault="009B6FCB" w:rsidP="00440F44">
      <w:pPr>
        <w:pStyle w:val="SingleTxtG"/>
        <w:rPr>
          <w:color w:val="000000" w:themeColor="text1"/>
          <w:sz w:val="20"/>
          <w:szCs w:val="20"/>
        </w:rPr>
      </w:pPr>
      <w:r>
        <w:rPr>
          <w:color w:val="000000" w:themeColor="text1"/>
          <w:sz w:val="20"/>
          <w:szCs w:val="20"/>
        </w:rPr>
        <w:t>127</w:t>
      </w:r>
      <w:r w:rsidR="00440F44" w:rsidRPr="0067399B">
        <w:rPr>
          <w:color w:val="000000" w:themeColor="text1"/>
          <w:sz w:val="20"/>
          <w:szCs w:val="20"/>
        </w:rPr>
        <w:t>.</w:t>
      </w:r>
      <w:r w:rsidR="00440F44" w:rsidRPr="0067399B">
        <w:rPr>
          <w:color w:val="000000" w:themeColor="text1"/>
          <w:sz w:val="20"/>
          <w:szCs w:val="20"/>
        </w:rPr>
        <w:tab/>
        <w:t xml:space="preserve">At the </w:t>
      </w:r>
      <w:r w:rsidR="00440F44" w:rsidRPr="00440F44">
        <w:rPr>
          <w:color w:val="000000" w:themeColor="text1"/>
          <w:sz w:val="20"/>
          <w:szCs w:val="20"/>
        </w:rPr>
        <w:t>12th meeting, on 1 March 2019, the Special Rapporteur on the right to privacy, Jo</w:t>
      </w:r>
      <w:r w:rsidR="00275FF4">
        <w:rPr>
          <w:color w:val="000000" w:themeColor="text1"/>
          <w:sz w:val="20"/>
          <w:szCs w:val="20"/>
        </w:rPr>
        <w:t>seph</w:t>
      </w:r>
      <w:r w:rsidR="00440F44" w:rsidRPr="00440F44">
        <w:rPr>
          <w:color w:val="000000" w:themeColor="text1"/>
          <w:sz w:val="20"/>
          <w:szCs w:val="20"/>
        </w:rPr>
        <w:t xml:space="preserve"> Cannataci, presented his report (A/HRC/40/63</w:t>
      </w:r>
      <w:r w:rsidR="00440F44" w:rsidRPr="0067399B">
        <w:rPr>
          <w:color w:val="000000" w:themeColor="text1"/>
          <w:sz w:val="20"/>
          <w:szCs w:val="20"/>
        </w:rPr>
        <w:t>).</w:t>
      </w:r>
    </w:p>
    <w:p w14:paraId="3CA95486" w14:textId="7478BB41" w:rsidR="00440F44" w:rsidRPr="0067399B" w:rsidRDefault="009B6FCB" w:rsidP="00440F44">
      <w:pPr>
        <w:pStyle w:val="SingleTxtG"/>
        <w:rPr>
          <w:color w:val="000000" w:themeColor="text1"/>
          <w:sz w:val="20"/>
          <w:szCs w:val="20"/>
        </w:rPr>
      </w:pPr>
      <w:r>
        <w:rPr>
          <w:color w:val="000000" w:themeColor="text1"/>
          <w:sz w:val="20"/>
          <w:szCs w:val="20"/>
        </w:rPr>
        <w:t>128</w:t>
      </w:r>
      <w:r w:rsidR="00440F44" w:rsidRPr="0067399B">
        <w:rPr>
          <w:color w:val="000000" w:themeColor="text1"/>
          <w:sz w:val="20"/>
          <w:szCs w:val="20"/>
        </w:rPr>
        <w:t>.</w:t>
      </w:r>
      <w:r w:rsidR="00440F44" w:rsidRPr="0067399B">
        <w:rPr>
          <w:color w:val="000000" w:themeColor="text1"/>
          <w:sz w:val="20"/>
          <w:szCs w:val="20"/>
        </w:rPr>
        <w:tab/>
        <w:t xml:space="preserve">During the ensuing interactive dialogue, </w:t>
      </w:r>
      <w:r w:rsidR="00A83386" w:rsidRPr="00A83386">
        <w:rPr>
          <w:color w:val="000000" w:themeColor="text1"/>
          <w:sz w:val="20"/>
          <w:szCs w:val="20"/>
        </w:rPr>
        <w:t xml:space="preserve">at the </w:t>
      </w:r>
      <w:r w:rsidR="004E7295">
        <w:rPr>
          <w:color w:val="000000" w:themeColor="text1"/>
          <w:sz w:val="20"/>
          <w:szCs w:val="20"/>
        </w:rPr>
        <w:t>same meeting</w:t>
      </w:r>
      <w:r w:rsidR="00A83386" w:rsidRPr="00A83386">
        <w:rPr>
          <w:color w:val="000000" w:themeColor="text1"/>
          <w:sz w:val="20"/>
          <w:szCs w:val="20"/>
        </w:rPr>
        <w:t>, on the same day</w:t>
      </w:r>
      <w:r w:rsidR="00A83386" w:rsidRPr="0067399B">
        <w:rPr>
          <w:color w:val="000000" w:themeColor="text1"/>
          <w:sz w:val="20"/>
          <w:szCs w:val="20"/>
        </w:rPr>
        <w:t>,</w:t>
      </w:r>
      <w:r w:rsidR="00A83386">
        <w:rPr>
          <w:color w:val="000000" w:themeColor="text1"/>
          <w:sz w:val="20"/>
          <w:szCs w:val="20"/>
        </w:rPr>
        <w:t xml:space="preserve"> </w:t>
      </w:r>
      <w:r w:rsidR="00440F44" w:rsidRPr="0067399B">
        <w:rPr>
          <w:color w:val="000000" w:themeColor="text1"/>
          <w:sz w:val="20"/>
          <w:szCs w:val="20"/>
        </w:rPr>
        <w:t>the following made statements and asked the Special Rapporteur questions:</w:t>
      </w:r>
    </w:p>
    <w:p w14:paraId="471C76F0" w14:textId="7A96534B" w:rsidR="00440F44" w:rsidRPr="0067399B" w:rsidRDefault="00440F44" w:rsidP="00440F44">
      <w:pPr>
        <w:spacing w:after="120"/>
        <w:ind w:left="1134" w:right="1134" w:firstLine="567"/>
        <w:jc w:val="both"/>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Pr>
          <w:color w:val="000000" w:themeColor="text1"/>
          <w:sz w:val="20"/>
          <w:szCs w:val="20"/>
        </w:rPr>
        <w:t>States Members</w:t>
      </w:r>
      <w:r w:rsidRPr="0067399B">
        <w:rPr>
          <w:color w:val="000000" w:themeColor="text1"/>
          <w:sz w:val="20"/>
          <w:szCs w:val="20"/>
        </w:rPr>
        <w:t xml:space="preserve"> of the Human Rights Council: </w:t>
      </w:r>
      <w:r w:rsidR="00DE39F5" w:rsidRPr="00DE39F5">
        <w:rPr>
          <w:color w:val="000000" w:themeColor="text1"/>
          <w:sz w:val="20"/>
          <w:szCs w:val="20"/>
        </w:rPr>
        <w:t xml:space="preserve">Angola </w:t>
      </w:r>
      <w:r w:rsidR="00DE39F5">
        <w:rPr>
          <w:color w:val="000000" w:themeColor="text1"/>
          <w:sz w:val="20"/>
          <w:szCs w:val="20"/>
        </w:rPr>
        <w:t>(</w:t>
      </w:r>
      <w:r w:rsidR="00DE39F5" w:rsidRPr="00544A55">
        <w:rPr>
          <w:color w:val="000000" w:themeColor="text1"/>
          <w:sz w:val="20"/>
          <w:szCs w:val="20"/>
        </w:rPr>
        <w:t>on behalf of the Group of African States</w:t>
      </w:r>
      <w:r w:rsidR="00DE39F5">
        <w:rPr>
          <w:color w:val="000000" w:themeColor="text1"/>
          <w:sz w:val="20"/>
          <w:szCs w:val="20"/>
        </w:rPr>
        <w:t>),</w:t>
      </w:r>
      <w:r w:rsidR="00DE39F5" w:rsidRPr="00DE39F5">
        <w:rPr>
          <w:color w:val="000000" w:themeColor="text1"/>
          <w:sz w:val="20"/>
          <w:szCs w:val="20"/>
        </w:rPr>
        <w:t xml:space="preserve"> Australia</w:t>
      </w:r>
      <w:r w:rsidR="00DE39F5">
        <w:rPr>
          <w:color w:val="000000" w:themeColor="text1"/>
          <w:sz w:val="20"/>
          <w:szCs w:val="20"/>
        </w:rPr>
        <w:t xml:space="preserve">, </w:t>
      </w:r>
      <w:r w:rsidR="00DE39F5" w:rsidRPr="00DE39F5">
        <w:rPr>
          <w:color w:val="000000" w:themeColor="text1"/>
          <w:sz w:val="20"/>
          <w:szCs w:val="20"/>
        </w:rPr>
        <w:t>Cameroon</w:t>
      </w:r>
      <w:r w:rsidR="00DE39F5">
        <w:rPr>
          <w:color w:val="000000" w:themeColor="text1"/>
          <w:sz w:val="20"/>
          <w:szCs w:val="20"/>
        </w:rPr>
        <w:t xml:space="preserve">, </w:t>
      </w:r>
      <w:r w:rsidR="00DE39F5" w:rsidRPr="00DE39F5">
        <w:rPr>
          <w:color w:val="000000" w:themeColor="text1"/>
          <w:sz w:val="20"/>
          <w:szCs w:val="20"/>
        </w:rPr>
        <w:t>China</w:t>
      </w:r>
      <w:r w:rsidR="00DE39F5">
        <w:rPr>
          <w:color w:val="000000" w:themeColor="text1"/>
          <w:sz w:val="20"/>
          <w:szCs w:val="20"/>
        </w:rPr>
        <w:t xml:space="preserve">, </w:t>
      </w:r>
      <w:r w:rsidR="00DE39F5" w:rsidRPr="00DE39F5">
        <w:rPr>
          <w:color w:val="000000" w:themeColor="text1"/>
          <w:sz w:val="20"/>
          <w:szCs w:val="20"/>
        </w:rPr>
        <w:t>Cuba</w:t>
      </w:r>
      <w:r w:rsidR="00DE39F5">
        <w:rPr>
          <w:color w:val="000000" w:themeColor="text1"/>
          <w:sz w:val="20"/>
          <w:szCs w:val="20"/>
        </w:rPr>
        <w:t xml:space="preserve">, </w:t>
      </w:r>
      <w:r w:rsidR="00DE39F5" w:rsidRPr="00DE39F5">
        <w:rPr>
          <w:color w:val="000000" w:themeColor="text1"/>
          <w:sz w:val="20"/>
          <w:szCs w:val="20"/>
        </w:rPr>
        <w:t>Egypt</w:t>
      </w:r>
      <w:r w:rsidR="00DE39F5">
        <w:rPr>
          <w:color w:val="000000" w:themeColor="text1"/>
          <w:sz w:val="20"/>
          <w:szCs w:val="20"/>
        </w:rPr>
        <w:t>, Germany</w:t>
      </w:r>
      <w:r w:rsidR="007E79C8">
        <w:rPr>
          <w:rStyle w:val="FootnoteReference"/>
          <w:color w:val="000000" w:themeColor="text1"/>
          <w:szCs w:val="20"/>
        </w:rPr>
        <w:footnoteReference w:id="22"/>
      </w:r>
      <w:r w:rsidR="00DE39F5">
        <w:rPr>
          <w:color w:val="000000" w:themeColor="text1"/>
          <w:sz w:val="20"/>
          <w:szCs w:val="20"/>
        </w:rPr>
        <w:t xml:space="preserve"> (also on behalf of Austria, Brazil, Liechtenstein and Mexico), </w:t>
      </w:r>
      <w:r w:rsidR="00DE39F5" w:rsidRPr="00DE39F5">
        <w:rPr>
          <w:color w:val="000000" w:themeColor="text1"/>
          <w:sz w:val="20"/>
          <w:szCs w:val="20"/>
        </w:rPr>
        <w:t>Italy</w:t>
      </w:r>
      <w:r w:rsidR="00DE39F5">
        <w:rPr>
          <w:color w:val="000000" w:themeColor="text1"/>
          <w:sz w:val="20"/>
          <w:szCs w:val="20"/>
        </w:rPr>
        <w:t xml:space="preserve">, </w:t>
      </w:r>
      <w:r w:rsidR="00DE39F5" w:rsidRPr="00DE39F5">
        <w:rPr>
          <w:color w:val="000000" w:themeColor="text1"/>
          <w:sz w:val="20"/>
          <w:szCs w:val="20"/>
        </w:rPr>
        <w:t>Mexico</w:t>
      </w:r>
      <w:r w:rsidR="00DE39F5">
        <w:rPr>
          <w:color w:val="000000" w:themeColor="text1"/>
          <w:sz w:val="20"/>
          <w:szCs w:val="20"/>
        </w:rPr>
        <w:t xml:space="preserve">, </w:t>
      </w:r>
      <w:r w:rsidR="00DE39F5" w:rsidRPr="00DE39F5">
        <w:rPr>
          <w:color w:val="000000" w:themeColor="text1"/>
          <w:sz w:val="20"/>
          <w:szCs w:val="20"/>
        </w:rPr>
        <w:t>Pakistan</w:t>
      </w:r>
      <w:r w:rsidR="00DE39F5">
        <w:rPr>
          <w:color w:val="000000" w:themeColor="text1"/>
          <w:sz w:val="20"/>
          <w:szCs w:val="20"/>
        </w:rPr>
        <w:t xml:space="preserve">, </w:t>
      </w:r>
      <w:r w:rsidR="00DE39F5" w:rsidRPr="00DE39F5">
        <w:rPr>
          <w:color w:val="000000" w:themeColor="text1"/>
          <w:sz w:val="20"/>
          <w:szCs w:val="20"/>
        </w:rPr>
        <w:t>Tunisia</w:t>
      </w:r>
      <w:r w:rsidR="00DE39F5">
        <w:rPr>
          <w:color w:val="000000" w:themeColor="text1"/>
          <w:sz w:val="20"/>
          <w:szCs w:val="20"/>
        </w:rPr>
        <w:t xml:space="preserve">, </w:t>
      </w:r>
      <w:r w:rsidR="00DE39F5" w:rsidRPr="00DE39F5">
        <w:rPr>
          <w:color w:val="000000" w:themeColor="text1"/>
          <w:sz w:val="20"/>
          <w:szCs w:val="20"/>
        </w:rPr>
        <w:t>United Kingdom of Great Britain and Northern Ireland</w:t>
      </w:r>
      <w:r w:rsidRPr="0067399B">
        <w:rPr>
          <w:color w:val="000000" w:themeColor="text1"/>
          <w:sz w:val="20"/>
          <w:szCs w:val="20"/>
        </w:rPr>
        <w:t xml:space="preserve">; </w:t>
      </w:r>
    </w:p>
    <w:p w14:paraId="2A0BC25C" w14:textId="682F5375" w:rsidR="00440F44" w:rsidRPr="0067399B" w:rsidRDefault="00440F44" w:rsidP="00440F44">
      <w:pPr>
        <w:spacing w:after="120"/>
        <w:ind w:left="1134" w:right="1134" w:firstLine="567"/>
        <w:jc w:val="both"/>
        <w:rPr>
          <w:color w:val="000000" w:themeColor="text1"/>
          <w:sz w:val="20"/>
          <w:szCs w:val="20"/>
        </w:rPr>
      </w:pPr>
      <w:r w:rsidRPr="0067399B">
        <w:rPr>
          <w:color w:val="000000" w:themeColor="text1"/>
          <w:sz w:val="20"/>
          <w:szCs w:val="20"/>
        </w:rPr>
        <w:t>(b)</w:t>
      </w:r>
      <w:r w:rsidRPr="0067399B">
        <w:rPr>
          <w:color w:val="000000" w:themeColor="text1"/>
          <w:sz w:val="20"/>
          <w:szCs w:val="20"/>
        </w:rPr>
        <w:tab/>
        <w:t xml:space="preserve">Representatives of observer States: </w:t>
      </w:r>
      <w:r w:rsidR="00DE39F5" w:rsidRPr="00DE39F5">
        <w:rPr>
          <w:color w:val="000000" w:themeColor="text1"/>
          <w:sz w:val="20"/>
          <w:szCs w:val="20"/>
        </w:rPr>
        <w:t>Algeria</w:t>
      </w:r>
      <w:r w:rsidR="00DE39F5">
        <w:rPr>
          <w:color w:val="000000" w:themeColor="text1"/>
          <w:sz w:val="20"/>
          <w:szCs w:val="20"/>
        </w:rPr>
        <w:t xml:space="preserve">, </w:t>
      </w:r>
      <w:r w:rsidR="00DE39F5" w:rsidRPr="00DE39F5">
        <w:rPr>
          <w:color w:val="000000" w:themeColor="text1"/>
          <w:sz w:val="20"/>
          <w:szCs w:val="20"/>
        </w:rPr>
        <w:t>Ecuador</w:t>
      </w:r>
      <w:r w:rsidR="00DE39F5">
        <w:rPr>
          <w:color w:val="000000" w:themeColor="text1"/>
          <w:sz w:val="20"/>
          <w:szCs w:val="20"/>
        </w:rPr>
        <w:t xml:space="preserve">, </w:t>
      </w:r>
      <w:r w:rsidR="00DE39F5" w:rsidRPr="00DE39F5">
        <w:rPr>
          <w:color w:val="000000" w:themeColor="text1"/>
          <w:sz w:val="20"/>
          <w:szCs w:val="20"/>
        </w:rPr>
        <w:t>El Salvador</w:t>
      </w:r>
      <w:r w:rsidR="00DE39F5">
        <w:rPr>
          <w:color w:val="000000" w:themeColor="text1"/>
          <w:sz w:val="20"/>
          <w:szCs w:val="20"/>
        </w:rPr>
        <w:t xml:space="preserve">, </w:t>
      </w:r>
      <w:r w:rsidR="00DE39F5" w:rsidRPr="00DE39F5">
        <w:rPr>
          <w:color w:val="000000" w:themeColor="text1"/>
          <w:sz w:val="20"/>
          <w:szCs w:val="20"/>
        </w:rPr>
        <w:t>France</w:t>
      </w:r>
      <w:r w:rsidR="00DE39F5">
        <w:rPr>
          <w:color w:val="000000" w:themeColor="text1"/>
          <w:sz w:val="20"/>
          <w:szCs w:val="20"/>
        </w:rPr>
        <w:t xml:space="preserve">, </w:t>
      </w:r>
      <w:r w:rsidR="00DE39F5" w:rsidRPr="00DE39F5">
        <w:rPr>
          <w:color w:val="000000" w:themeColor="text1"/>
          <w:sz w:val="20"/>
          <w:szCs w:val="20"/>
        </w:rPr>
        <w:t>Gabon</w:t>
      </w:r>
      <w:r w:rsidR="00DE39F5">
        <w:rPr>
          <w:color w:val="000000" w:themeColor="text1"/>
          <w:sz w:val="20"/>
          <w:szCs w:val="20"/>
        </w:rPr>
        <w:t xml:space="preserve">, </w:t>
      </w:r>
      <w:r w:rsidR="00DE39F5" w:rsidRPr="00DE39F5">
        <w:rPr>
          <w:color w:val="000000" w:themeColor="text1"/>
          <w:sz w:val="20"/>
          <w:szCs w:val="20"/>
        </w:rPr>
        <w:t>Malta</w:t>
      </w:r>
      <w:r w:rsidR="00DE39F5">
        <w:rPr>
          <w:color w:val="000000" w:themeColor="text1"/>
          <w:sz w:val="20"/>
          <w:szCs w:val="20"/>
        </w:rPr>
        <w:t xml:space="preserve">, </w:t>
      </w:r>
      <w:r w:rsidR="00DE39F5" w:rsidRPr="00DE39F5">
        <w:rPr>
          <w:color w:val="000000" w:themeColor="text1"/>
          <w:sz w:val="20"/>
          <w:szCs w:val="20"/>
        </w:rPr>
        <w:t>Morocco</w:t>
      </w:r>
      <w:r w:rsidR="00DE39F5">
        <w:rPr>
          <w:color w:val="000000" w:themeColor="text1"/>
          <w:sz w:val="20"/>
          <w:szCs w:val="20"/>
        </w:rPr>
        <w:t xml:space="preserve">, </w:t>
      </w:r>
      <w:r w:rsidR="00DE39F5" w:rsidRPr="00DE39F5">
        <w:rPr>
          <w:color w:val="000000" w:themeColor="text1"/>
          <w:sz w:val="20"/>
          <w:szCs w:val="20"/>
        </w:rPr>
        <w:t>Republic of Korea</w:t>
      </w:r>
      <w:r w:rsidR="00DE39F5">
        <w:rPr>
          <w:color w:val="000000" w:themeColor="text1"/>
          <w:sz w:val="20"/>
          <w:szCs w:val="20"/>
        </w:rPr>
        <w:t xml:space="preserve">, </w:t>
      </w:r>
      <w:r w:rsidR="00DE39F5" w:rsidRPr="00DE39F5">
        <w:rPr>
          <w:color w:val="000000" w:themeColor="text1"/>
          <w:sz w:val="20"/>
          <w:szCs w:val="20"/>
        </w:rPr>
        <w:t>Russian Federation</w:t>
      </w:r>
      <w:r w:rsidR="00DE39F5">
        <w:rPr>
          <w:color w:val="000000" w:themeColor="text1"/>
          <w:sz w:val="20"/>
          <w:szCs w:val="20"/>
        </w:rPr>
        <w:t xml:space="preserve">, </w:t>
      </w:r>
      <w:r w:rsidR="00DE39F5" w:rsidRPr="00DE39F5">
        <w:rPr>
          <w:color w:val="000000" w:themeColor="text1"/>
          <w:sz w:val="20"/>
          <w:szCs w:val="20"/>
        </w:rPr>
        <w:t>Venezuela (Bolivarian Republic of)</w:t>
      </w:r>
      <w:r w:rsidRPr="0067399B">
        <w:rPr>
          <w:color w:val="000000" w:themeColor="text1"/>
          <w:sz w:val="20"/>
          <w:szCs w:val="20"/>
        </w:rPr>
        <w:t>;</w:t>
      </w:r>
    </w:p>
    <w:p w14:paraId="202C0FDA" w14:textId="77777777" w:rsidR="00440F44" w:rsidRPr="0067399B" w:rsidRDefault="00440F44" w:rsidP="00440F44">
      <w:pPr>
        <w:spacing w:after="120"/>
        <w:ind w:left="1134" w:right="1134" w:firstLine="567"/>
        <w:jc w:val="both"/>
        <w:rPr>
          <w:color w:val="000000" w:themeColor="text1"/>
          <w:sz w:val="20"/>
          <w:szCs w:val="20"/>
        </w:rPr>
      </w:pPr>
      <w:r w:rsidRPr="0067399B">
        <w:rPr>
          <w:color w:val="000000" w:themeColor="text1"/>
          <w:sz w:val="20"/>
          <w:szCs w:val="20"/>
        </w:rPr>
        <w:t>(c)</w:t>
      </w:r>
      <w:r w:rsidRPr="0067399B">
        <w:rPr>
          <w:color w:val="000000" w:themeColor="text1"/>
          <w:sz w:val="20"/>
          <w:szCs w:val="20"/>
        </w:rPr>
        <w:tab/>
        <w:t xml:space="preserve">Observer for an intergovernmental organization: European Union; </w:t>
      </w:r>
    </w:p>
    <w:p w14:paraId="5568DC29" w14:textId="4AFDE40C" w:rsidR="00440F44" w:rsidRPr="0067399B" w:rsidRDefault="00440F44" w:rsidP="00440F44">
      <w:pPr>
        <w:spacing w:after="120"/>
        <w:ind w:left="1134" w:right="1134" w:firstLine="567"/>
        <w:jc w:val="both"/>
        <w:rPr>
          <w:color w:val="000000" w:themeColor="text1"/>
          <w:sz w:val="20"/>
          <w:szCs w:val="20"/>
        </w:rPr>
      </w:pPr>
      <w:r w:rsidRPr="0067399B">
        <w:rPr>
          <w:color w:val="000000" w:themeColor="text1"/>
          <w:sz w:val="20"/>
          <w:szCs w:val="20"/>
        </w:rPr>
        <w:t>(d)</w:t>
      </w:r>
      <w:r w:rsidRPr="0067399B">
        <w:rPr>
          <w:color w:val="000000" w:themeColor="text1"/>
          <w:sz w:val="20"/>
          <w:szCs w:val="20"/>
        </w:rPr>
        <w:tab/>
        <w:t xml:space="preserve">Observers for non-governmental organizations: </w:t>
      </w:r>
      <w:r w:rsidR="008436D1" w:rsidRPr="008436D1">
        <w:rPr>
          <w:color w:val="000000" w:themeColor="text1"/>
          <w:sz w:val="20"/>
          <w:szCs w:val="20"/>
        </w:rPr>
        <w:t>Association for Progressive Communications</w:t>
      </w:r>
      <w:r w:rsidR="008436D1">
        <w:rPr>
          <w:color w:val="000000" w:themeColor="text1"/>
          <w:sz w:val="20"/>
          <w:szCs w:val="20"/>
        </w:rPr>
        <w:t xml:space="preserve"> (also on behalf of </w:t>
      </w:r>
      <w:r w:rsidR="008436D1" w:rsidRPr="008436D1">
        <w:rPr>
          <w:color w:val="000000" w:themeColor="text1"/>
          <w:sz w:val="20"/>
          <w:szCs w:val="20"/>
        </w:rPr>
        <w:t>Association for Wo</w:t>
      </w:r>
      <w:r w:rsidR="008436D1">
        <w:rPr>
          <w:color w:val="000000" w:themeColor="text1"/>
          <w:sz w:val="20"/>
          <w:szCs w:val="20"/>
        </w:rPr>
        <w:t>men</w:t>
      </w:r>
      <w:r w:rsidR="00D72627">
        <w:rPr>
          <w:color w:val="000000" w:themeColor="text1"/>
          <w:sz w:val="20"/>
          <w:szCs w:val="20"/>
        </w:rPr>
        <w:t>’</w:t>
      </w:r>
      <w:r w:rsidR="008436D1">
        <w:rPr>
          <w:color w:val="000000" w:themeColor="text1"/>
          <w:sz w:val="20"/>
          <w:szCs w:val="20"/>
        </w:rPr>
        <w:t xml:space="preserve">s Rights in Development); </w:t>
      </w:r>
      <w:r w:rsidR="008436D1" w:rsidRPr="008436D1">
        <w:rPr>
          <w:color w:val="000000" w:themeColor="text1"/>
          <w:sz w:val="20"/>
          <w:szCs w:val="20"/>
        </w:rPr>
        <w:t>Human Rights Advocates Inc.</w:t>
      </w:r>
      <w:r w:rsidR="008436D1">
        <w:rPr>
          <w:color w:val="000000" w:themeColor="text1"/>
          <w:sz w:val="20"/>
          <w:szCs w:val="20"/>
        </w:rPr>
        <w:t xml:space="preserve">; </w:t>
      </w:r>
      <w:r w:rsidR="008436D1" w:rsidRPr="008436D1">
        <w:rPr>
          <w:color w:val="000000" w:themeColor="text1"/>
          <w:sz w:val="20"/>
          <w:szCs w:val="20"/>
        </w:rPr>
        <w:t>International Lesbian and Gay Association</w:t>
      </w:r>
      <w:r w:rsidR="008436D1">
        <w:rPr>
          <w:color w:val="000000" w:themeColor="text1"/>
          <w:sz w:val="20"/>
          <w:szCs w:val="20"/>
        </w:rPr>
        <w:t xml:space="preserve">; </w:t>
      </w:r>
      <w:r w:rsidR="008436D1" w:rsidRPr="008436D1">
        <w:rPr>
          <w:color w:val="000000" w:themeColor="text1"/>
          <w:sz w:val="20"/>
          <w:szCs w:val="20"/>
        </w:rPr>
        <w:t>iuventum e.V.</w:t>
      </w:r>
      <w:r w:rsidR="008436D1">
        <w:rPr>
          <w:color w:val="000000" w:themeColor="text1"/>
          <w:sz w:val="20"/>
          <w:szCs w:val="20"/>
        </w:rPr>
        <w:t xml:space="preserve">; </w:t>
      </w:r>
      <w:r w:rsidR="008436D1" w:rsidRPr="008436D1">
        <w:rPr>
          <w:color w:val="000000" w:themeColor="text1"/>
          <w:sz w:val="20"/>
          <w:szCs w:val="20"/>
        </w:rPr>
        <w:t>Prahar</w:t>
      </w:r>
      <w:r w:rsidRPr="0067399B">
        <w:rPr>
          <w:color w:val="000000" w:themeColor="text1"/>
          <w:sz w:val="20"/>
          <w:szCs w:val="20"/>
        </w:rPr>
        <w:t>.</w:t>
      </w:r>
    </w:p>
    <w:p w14:paraId="32D2F30D" w14:textId="63997E6B" w:rsidR="00440F44" w:rsidRPr="0067399B" w:rsidRDefault="009B6FCB" w:rsidP="00440F44">
      <w:pPr>
        <w:pStyle w:val="SingleTxtG"/>
        <w:rPr>
          <w:color w:val="000000" w:themeColor="text1"/>
          <w:sz w:val="20"/>
          <w:szCs w:val="20"/>
        </w:rPr>
      </w:pPr>
      <w:r>
        <w:rPr>
          <w:color w:val="000000" w:themeColor="text1"/>
          <w:sz w:val="20"/>
          <w:szCs w:val="20"/>
        </w:rPr>
        <w:t>129</w:t>
      </w:r>
      <w:r w:rsidR="00440F44" w:rsidRPr="0067399B">
        <w:rPr>
          <w:color w:val="000000" w:themeColor="text1"/>
          <w:sz w:val="20"/>
          <w:szCs w:val="20"/>
        </w:rPr>
        <w:t>.</w:t>
      </w:r>
      <w:r w:rsidR="00440F44" w:rsidRPr="0067399B">
        <w:rPr>
          <w:color w:val="000000" w:themeColor="text1"/>
          <w:sz w:val="20"/>
          <w:szCs w:val="20"/>
        </w:rPr>
        <w:tab/>
        <w:t xml:space="preserve">At the </w:t>
      </w:r>
      <w:r w:rsidR="00440F44" w:rsidRPr="004E7295">
        <w:rPr>
          <w:color w:val="000000" w:themeColor="text1"/>
          <w:sz w:val="20"/>
          <w:szCs w:val="20"/>
        </w:rPr>
        <w:t>same meeting</w:t>
      </w:r>
      <w:r w:rsidR="00440F44" w:rsidRPr="0067399B">
        <w:rPr>
          <w:color w:val="000000" w:themeColor="text1"/>
          <w:sz w:val="20"/>
          <w:szCs w:val="20"/>
        </w:rPr>
        <w:t>, the Special Rapporteur answered questions and made his concluding remarks.</w:t>
      </w:r>
    </w:p>
    <w:p w14:paraId="26400E17" w14:textId="77777777" w:rsidR="00440F44" w:rsidRPr="0067399B" w:rsidRDefault="00440F44" w:rsidP="00440F44">
      <w:pPr>
        <w:pStyle w:val="H1G"/>
        <w:rPr>
          <w:color w:val="000000" w:themeColor="text1"/>
          <w:sz w:val="20"/>
          <w:szCs w:val="20"/>
        </w:rPr>
      </w:pPr>
      <w:r w:rsidRPr="0067399B">
        <w:rPr>
          <w:color w:val="000000" w:themeColor="text1"/>
          <w:sz w:val="20"/>
          <w:szCs w:val="20"/>
        </w:rPr>
        <w:tab/>
      </w:r>
      <w:r w:rsidRPr="0067399B">
        <w:rPr>
          <w:color w:val="000000" w:themeColor="text1"/>
          <w:sz w:val="20"/>
          <w:szCs w:val="20"/>
        </w:rPr>
        <w:tab/>
      </w:r>
      <w:r w:rsidRPr="00A078AC">
        <w:rPr>
          <w:color w:val="000000" w:themeColor="text1"/>
          <w:sz w:val="20"/>
          <w:szCs w:val="20"/>
        </w:rPr>
        <w:t>Special Rapporteur in the field of cultural rights</w:t>
      </w:r>
    </w:p>
    <w:p w14:paraId="026941FB" w14:textId="46A88F5D" w:rsidR="00440F44" w:rsidRPr="0067399B" w:rsidRDefault="009B6FCB" w:rsidP="00440F44">
      <w:pPr>
        <w:pStyle w:val="SingleTxtG"/>
        <w:rPr>
          <w:color w:val="000000" w:themeColor="text1"/>
          <w:sz w:val="20"/>
          <w:szCs w:val="20"/>
        </w:rPr>
      </w:pPr>
      <w:r>
        <w:rPr>
          <w:color w:val="000000" w:themeColor="text1"/>
          <w:sz w:val="20"/>
          <w:szCs w:val="20"/>
        </w:rPr>
        <w:t>130</w:t>
      </w:r>
      <w:r w:rsidR="00440F44" w:rsidRPr="00A83386">
        <w:rPr>
          <w:color w:val="000000" w:themeColor="text1"/>
          <w:sz w:val="20"/>
          <w:szCs w:val="20"/>
        </w:rPr>
        <w:t>.</w:t>
      </w:r>
      <w:r w:rsidR="00440F44" w:rsidRPr="00A83386">
        <w:rPr>
          <w:color w:val="000000" w:themeColor="text1"/>
          <w:sz w:val="20"/>
          <w:szCs w:val="20"/>
        </w:rPr>
        <w:tab/>
        <w:t xml:space="preserve">At the </w:t>
      </w:r>
      <w:r w:rsidR="00A83386" w:rsidRPr="00440F44">
        <w:rPr>
          <w:color w:val="000000" w:themeColor="text1"/>
          <w:sz w:val="20"/>
          <w:szCs w:val="20"/>
        </w:rPr>
        <w:t>12th meeting, on 1 March 2019</w:t>
      </w:r>
      <w:r w:rsidR="00440F44" w:rsidRPr="00A83386">
        <w:rPr>
          <w:color w:val="000000" w:themeColor="text1"/>
          <w:sz w:val="20"/>
          <w:szCs w:val="20"/>
        </w:rPr>
        <w:t>, the Special Rapporteur in the field of cultural rights, Karima Bennoune, presented her reports (A/HRC/</w:t>
      </w:r>
      <w:r w:rsidR="00A83386" w:rsidRPr="00A83386">
        <w:rPr>
          <w:color w:val="000000" w:themeColor="text1"/>
          <w:sz w:val="20"/>
          <w:szCs w:val="20"/>
        </w:rPr>
        <w:t>40/53</w:t>
      </w:r>
      <w:r w:rsidR="00A83386">
        <w:rPr>
          <w:color w:val="000000" w:themeColor="text1"/>
          <w:sz w:val="20"/>
          <w:szCs w:val="20"/>
        </w:rPr>
        <w:t xml:space="preserve"> </w:t>
      </w:r>
      <w:r w:rsidR="00440F44" w:rsidRPr="00A83386">
        <w:rPr>
          <w:color w:val="000000" w:themeColor="text1"/>
          <w:sz w:val="20"/>
          <w:szCs w:val="20"/>
        </w:rPr>
        <w:t>and Add.1).</w:t>
      </w:r>
    </w:p>
    <w:p w14:paraId="1B14ECF3" w14:textId="7C06571E" w:rsidR="00440F44" w:rsidRDefault="009B6FCB" w:rsidP="00440F44">
      <w:pPr>
        <w:pStyle w:val="SingleTxtG"/>
        <w:rPr>
          <w:color w:val="000000" w:themeColor="text1"/>
          <w:sz w:val="20"/>
          <w:szCs w:val="20"/>
        </w:rPr>
      </w:pPr>
      <w:r>
        <w:rPr>
          <w:color w:val="000000" w:themeColor="text1"/>
          <w:sz w:val="20"/>
          <w:szCs w:val="20"/>
        </w:rPr>
        <w:t>131</w:t>
      </w:r>
      <w:r w:rsidR="00440F44" w:rsidRPr="0067399B">
        <w:rPr>
          <w:color w:val="000000" w:themeColor="text1"/>
          <w:sz w:val="20"/>
          <w:szCs w:val="20"/>
        </w:rPr>
        <w:t>.</w:t>
      </w:r>
      <w:r w:rsidR="00440F44" w:rsidRPr="0067399B">
        <w:rPr>
          <w:color w:val="000000" w:themeColor="text1"/>
          <w:sz w:val="20"/>
          <w:szCs w:val="20"/>
        </w:rPr>
        <w:tab/>
        <w:t xml:space="preserve">At the same meeting, the representative of </w:t>
      </w:r>
      <w:r w:rsidR="00A83386" w:rsidRPr="00A83386">
        <w:rPr>
          <w:color w:val="000000" w:themeColor="text1"/>
          <w:sz w:val="20"/>
          <w:szCs w:val="20"/>
        </w:rPr>
        <w:t xml:space="preserve">Malaysia </w:t>
      </w:r>
      <w:r w:rsidR="00440F44" w:rsidRPr="0067399B">
        <w:rPr>
          <w:color w:val="000000" w:themeColor="text1"/>
          <w:sz w:val="20"/>
          <w:szCs w:val="20"/>
        </w:rPr>
        <w:t>made a statement as the State concerned.</w:t>
      </w:r>
    </w:p>
    <w:p w14:paraId="71079998" w14:textId="63E00184" w:rsidR="00486770" w:rsidRPr="00486770" w:rsidRDefault="009B6FCB" w:rsidP="00486770">
      <w:pPr>
        <w:pStyle w:val="SingleTxtG"/>
        <w:rPr>
          <w:color w:val="000000" w:themeColor="text1"/>
          <w:sz w:val="20"/>
          <w:szCs w:val="20"/>
        </w:rPr>
      </w:pPr>
      <w:r>
        <w:rPr>
          <w:color w:val="000000" w:themeColor="text1"/>
          <w:sz w:val="20"/>
          <w:szCs w:val="20"/>
        </w:rPr>
        <w:t>132</w:t>
      </w:r>
      <w:r w:rsidR="00486770" w:rsidRPr="0067399B">
        <w:rPr>
          <w:color w:val="000000" w:themeColor="text1"/>
          <w:sz w:val="20"/>
          <w:szCs w:val="20"/>
        </w:rPr>
        <w:t>.</w:t>
      </w:r>
      <w:r w:rsidR="00486770" w:rsidRPr="0067399B">
        <w:rPr>
          <w:color w:val="000000" w:themeColor="text1"/>
          <w:sz w:val="20"/>
          <w:szCs w:val="20"/>
        </w:rPr>
        <w:tab/>
        <w:t>Also at the same meeting, the na</w:t>
      </w:r>
      <w:r w:rsidR="00486770">
        <w:rPr>
          <w:color w:val="000000" w:themeColor="text1"/>
          <w:sz w:val="20"/>
          <w:szCs w:val="20"/>
        </w:rPr>
        <w:t>tional human rights institution</w:t>
      </w:r>
      <w:r w:rsidR="00486770" w:rsidRPr="0067399B">
        <w:rPr>
          <w:color w:val="000000" w:themeColor="text1"/>
          <w:sz w:val="20"/>
          <w:szCs w:val="20"/>
        </w:rPr>
        <w:t xml:space="preserve">, </w:t>
      </w:r>
      <w:r w:rsidR="00486770" w:rsidRPr="00486770">
        <w:rPr>
          <w:color w:val="000000" w:themeColor="text1"/>
          <w:sz w:val="20"/>
          <w:szCs w:val="20"/>
        </w:rPr>
        <w:t>National Human Rights Commission of Malaysia</w:t>
      </w:r>
      <w:r w:rsidR="00486770">
        <w:rPr>
          <w:color w:val="000000" w:themeColor="text1"/>
          <w:sz w:val="20"/>
          <w:szCs w:val="20"/>
        </w:rPr>
        <w:t>,</w:t>
      </w:r>
      <w:r w:rsidR="00486770" w:rsidRPr="00502A3B">
        <w:rPr>
          <w:color w:val="000000" w:themeColor="text1"/>
          <w:sz w:val="20"/>
          <w:szCs w:val="20"/>
        </w:rPr>
        <w:t xml:space="preserve"> </w:t>
      </w:r>
      <w:r w:rsidR="00486770">
        <w:rPr>
          <w:color w:val="000000" w:themeColor="text1"/>
          <w:sz w:val="20"/>
          <w:szCs w:val="20"/>
        </w:rPr>
        <w:t xml:space="preserve">made a statement (by video message). </w:t>
      </w:r>
    </w:p>
    <w:p w14:paraId="0CD2EF4D" w14:textId="30BD41C3" w:rsidR="00440F44" w:rsidRPr="0067399B" w:rsidRDefault="009B6FCB" w:rsidP="00440F44">
      <w:pPr>
        <w:pStyle w:val="SingleTxtG"/>
        <w:rPr>
          <w:color w:val="000000" w:themeColor="text1"/>
          <w:sz w:val="20"/>
          <w:szCs w:val="20"/>
        </w:rPr>
      </w:pPr>
      <w:r>
        <w:rPr>
          <w:color w:val="000000" w:themeColor="text1"/>
          <w:sz w:val="20"/>
          <w:szCs w:val="20"/>
        </w:rPr>
        <w:t>133</w:t>
      </w:r>
      <w:r w:rsidR="00440F44" w:rsidRPr="0067399B">
        <w:rPr>
          <w:color w:val="000000" w:themeColor="text1"/>
          <w:sz w:val="20"/>
          <w:szCs w:val="20"/>
        </w:rPr>
        <w:t>.</w:t>
      </w:r>
      <w:r w:rsidR="00440F44" w:rsidRPr="0067399B">
        <w:rPr>
          <w:color w:val="000000" w:themeColor="text1"/>
          <w:sz w:val="20"/>
          <w:szCs w:val="20"/>
        </w:rPr>
        <w:tab/>
        <w:t xml:space="preserve">During the ensuing interactive dialogue, </w:t>
      </w:r>
      <w:r w:rsidR="00440F44" w:rsidRPr="00A83386">
        <w:rPr>
          <w:color w:val="000000" w:themeColor="text1"/>
          <w:sz w:val="20"/>
          <w:szCs w:val="20"/>
        </w:rPr>
        <w:t xml:space="preserve">at the </w:t>
      </w:r>
      <w:r w:rsidR="004E7295">
        <w:rPr>
          <w:color w:val="000000" w:themeColor="text1"/>
          <w:sz w:val="20"/>
          <w:szCs w:val="20"/>
        </w:rPr>
        <w:t>same</w:t>
      </w:r>
      <w:r w:rsidR="00A83386" w:rsidRPr="00A83386">
        <w:rPr>
          <w:color w:val="000000" w:themeColor="text1"/>
          <w:sz w:val="20"/>
          <w:szCs w:val="20"/>
        </w:rPr>
        <w:t xml:space="preserve"> </w:t>
      </w:r>
      <w:r w:rsidR="00440F44" w:rsidRPr="00A83386">
        <w:rPr>
          <w:color w:val="000000" w:themeColor="text1"/>
          <w:sz w:val="20"/>
          <w:szCs w:val="20"/>
        </w:rPr>
        <w:t>meeting</w:t>
      </w:r>
      <w:r w:rsidR="00A83386" w:rsidRPr="00A83386">
        <w:rPr>
          <w:color w:val="000000" w:themeColor="text1"/>
          <w:sz w:val="20"/>
          <w:szCs w:val="20"/>
        </w:rPr>
        <w:t>s</w:t>
      </w:r>
      <w:r w:rsidR="00440F44" w:rsidRPr="00A83386">
        <w:rPr>
          <w:color w:val="000000" w:themeColor="text1"/>
          <w:sz w:val="20"/>
          <w:szCs w:val="20"/>
        </w:rPr>
        <w:t>, on the same day</w:t>
      </w:r>
      <w:r w:rsidR="00440F44" w:rsidRPr="0067399B">
        <w:rPr>
          <w:color w:val="000000" w:themeColor="text1"/>
          <w:sz w:val="20"/>
          <w:szCs w:val="20"/>
        </w:rPr>
        <w:t>, the following made statements and asked the Special Rapporteur questions:</w:t>
      </w:r>
    </w:p>
    <w:p w14:paraId="1333149C" w14:textId="43B19E3B" w:rsidR="00440F44" w:rsidRPr="0067399B" w:rsidRDefault="00440F44" w:rsidP="00440F44">
      <w:pPr>
        <w:pStyle w:val="SingleTxtG"/>
        <w:ind w:firstLine="567"/>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Pr>
          <w:color w:val="000000" w:themeColor="text1"/>
          <w:sz w:val="20"/>
          <w:szCs w:val="20"/>
        </w:rPr>
        <w:t>States Members</w:t>
      </w:r>
      <w:r w:rsidRPr="0067399B">
        <w:rPr>
          <w:color w:val="000000" w:themeColor="text1"/>
          <w:sz w:val="20"/>
          <w:szCs w:val="20"/>
        </w:rPr>
        <w:t xml:space="preserve"> of the Human Rights Council:</w:t>
      </w:r>
      <w:r w:rsidR="008436D1">
        <w:rPr>
          <w:color w:val="000000" w:themeColor="text1"/>
          <w:sz w:val="20"/>
          <w:szCs w:val="20"/>
        </w:rPr>
        <w:t xml:space="preserve"> </w:t>
      </w:r>
      <w:r w:rsidR="008436D1" w:rsidRPr="00DE39F5">
        <w:rPr>
          <w:color w:val="000000" w:themeColor="text1"/>
          <w:sz w:val="20"/>
          <w:szCs w:val="20"/>
        </w:rPr>
        <w:t>Afghanistan</w:t>
      </w:r>
      <w:r w:rsidR="008436D1">
        <w:rPr>
          <w:color w:val="000000" w:themeColor="text1"/>
          <w:sz w:val="20"/>
          <w:szCs w:val="20"/>
        </w:rPr>
        <w:t xml:space="preserve">, </w:t>
      </w:r>
      <w:r w:rsidR="008436D1" w:rsidRPr="00DE39F5">
        <w:rPr>
          <w:color w:val="000000" w:themeColor="text1"/>
          <w:sz w:val="20"/>
          <w:szCs w:val="20"/>
        </w:rPr>
        <w:t xml:space="preserve">Angola </w:t>
      </w:r>
      <w:r w:rsidR="008436D1">
        <w:rPr>
          <w:color w:val="000000" w:themeColor="text1"/>
          <w:sz w:val="20"/>
          <w:szCs w:val="20"/>
        </w:rPr>
        <w:t>(</w:t>
      </w:r>
      <w:r w:rsidR="008436D1" w:rsidRPr="00544A55">
        <w:rPr>
          <w:color w:val="000000" w:themeColor="text1"/>
          <w:sz w:val="20"/>
          <w:szCs w:val="20"/>
        </w:rPr>
        <w:t>on behalf of the Group of African States</w:t>
      </w:r>
      <w:r w:rsidR="008436D1">
        <w:rPr>
          <w:color w:val="000000" w:themeColor="text1"/>
          <w:sz w:val="20"/>
          <w:szCs w:val="20"/>
        </w:rPr>
        <w:t xml:space="preserve">), </w:t>
      </w:r>
      <w:r w:rsidR="008436D1" w:rsidRPr="00DE39F5">
        <w:rPr>
          <w:color w:val="000000" w:themeColor="text1"/>
          <w:sz w:val="20"/>
          <w:szCs w:val="20"/>
        </w:rPr>
        <w:t xml:space="preserve">Bahrain </w:t>
      </w:r>
      <w:r w:rsidR="008436D1">
        <w:rPr>
          <w:color w:val="000000" w:themeColor="text1"/>
          <w:sz w:val="20"/>
          <w:szCs w:val="20"/>
        </w:rPr>
        <w:t>(</w:t>
      </w:r>
      <w:r w:rsidR="008436D1" w:rsidRPr="00544A55">
        <w:rPr>
          <w:color w:val="000000" w:themeColor="text1"/>
          <w:sz w:val="20"/>
          <w:szCs w:val="20"/>
        </w:rPr>
        <w:t xml:space="preserve">on behalf of the Group of </w:t>
      </w:r>
      <w:r w:rsidR="008436D1">
        <w:rPr>
          <w:color w:val="000000" w:themeColor="text1"/>
          <w:sz w:val="20"/>
          <w:szCs w:val="20"/>
        </w:rPr>
        <w:t>Arab</w:t>
      </w:r>
      <w:r w:rsidR="008436D1" w:rsidRPr="00544A55">
        <w:rPr>
          <w:color w:val="000000" w:themeColor="text1"/>
          <w:sz w:val="20"/>
          <w:szCs w:val="20"/>
        </w:rPr>
        <w:t xml:space="preserve"> States</w:t>
      </w:r>
      <w:r w:rsidR="008436D1">
        <w:rPr>
          <w:color w:val="000000" w:themeColor="text1"/>
          <w:sz w:val="20"/>
          <w:szCs w:val="20"/>
        </w:rPr>
        <w:t xml:space="preserve">), </w:t>
      </w:r>
      <w:r w:rsidR="008436D1" w:rsidRPr="00DE39F5">
        <w:rPr>
          <w:color w:val="000000" w:themeColor="text1"/>
          <w:sz w:val="20"/>
          <w:szCs w:val="20"/>
        </w:rPr>
        <w:t>Bangladesh</w:t>
      </w:r>
      <w:r w:rsidR="008436D1">
        <w:rPr>
          <w:color w:val="000000" w:themeColor="text1"/>
          <w:sz w:val="20"/>
          <w:szCs w:val="20"/>
        </w:rPr>
        <w:t xml:space="preserve">, </w:t>
      </w:r>
      <w:r w:rsidR="008436D1" w:rsidRPr="00DE39F5">
        <w:rPr>
          <w:color w:val="000000" w:themeColor="text1"/>
          <w:sz w:val="20"/>
          <w:szCs w:val="20"/>
        </w:rPr>
        <w:t>China</w:t>
      </w:r>
      <w:r w:rsidR="008436D1">
        <w:rPr>
          <w:color w:val="000000" w:themeColor="text1"/>
          <w:sz w:val="20"/>
          <w:szCs w:val="20"/>
        </w:rPr>
        <w:t xml:space="preserve">, </w:t>
      </w:r>
      <w:r w:rsidR="008436D1" w:rsidRPr="00DE39F5">
        <w:rPr>
          <w:color w:val="000000" w:themeColor="text1"/>
          <w:sz w:val="20"/>
          <w:szCs w:val="20"/>
        </w:rPr>
        <w:t>Croatia</w:t>
      </w:r>
      <w:r w:rsidR="008436D1">
        <w:rPr>
          <w:color w:val="000000" w:themeColor="text1"/>
          <w:sz w:val="20"/>
          <w:szCs w:val="20"/>
        </w:rPr>
        <w:t xml:space="preserve">, </w:t>
      </w:r>
      <w:r w:rsidR="008436D1" w:rsidRPr="00DE39F5">
        <w:rPr>
          <w:color w:val="000000" w:themeColor="text1"/>
          <w:sz w:val="20"/>
          <w:szCs w:val="20"/>
        </w:rPr>
        <w:t>Cuba</w:t>
      </w:r>
      <w:r w:rsidR="008436D1">
        <w:rPr>
          <w:color w:val="000000" w:themeColor="text1"/>
          <w:sz w:val="20"/>
          <w:szCs w:val="20"/>
        </w:rPr>
        <w:t xml:space="preserve">, </w:t>
      </w:r>
      <w:r w:rsidR="008436D1" w:rsidRPr="00DE39F5">
        <w:rPr>
          <w:color w:val="000000" w:themeColor="text1"/>
          <w:sz w:val="20"/>
          <w:szCs w:val="20"/>
        </w:rPr>
        <w:t>Egypt</w:t>
      </w:r>
      <w:r w:rsidR="008436D1">
        <w:rPr>
          <w:color w:val="000000" w:themeColor="text1"/>
          <w:sz w:val="20"/>
          <w:szCs w:val="20"/>
        </w:rPr>
        <w:t xml:space="preserve">, </w:t>
      </w:r>
      <w:r w:rsidR="008436D1" w:rsidRPr="00DE39F5">
        <w:rPr>
          <w:color w:val="000000" w:themeColor="text1"/>
          <w:sz w:val="20"/>
          <w:szCs w:val="20"/>
        </w:rPr>
        <w:t>Fiji</w:t>
      </w:r>
      <w:r w:rsidR="008436D1">
        <w:rPr>
          <w:color w:val="000000" w:themeColor="text1"/>
          <w:sz w:val="20"/>
          <w:szCs w:val="20"/>
        </w:rPr>
        <w:t xml:space="preserve">, </w:t>
      </w:r>
      <w:r w:rsidR="008436D1" w:rsidRPr="00DE39F5">
        <w:rPr>
          <w:color w:val="000000" w:themeColor="text1"/>
          <w:sz w:val="20"/>
          <w:szCs w:val="20"/>
        </w:rPr>
        <w:t>Iraq</w:t>
      </w:r>
      <w:r w:rsidR="008436D1">
        <w:rPr>
          <w:color w:val="000000" w:themeColor="text1"/>
          <w:sz w:val="20"/>
          <w:szCs w:val="20"/>
        </w:rPr>
        <w:t xml:space="preserve">, </w:t>
      </w:r>
      <w:r w:rsidR="008436D1" w:rsidRPr="00DE39F5">
        <w:rPr>
          <w:color w:val="000000" w:themeColor="text1"/>
          <w:sz w:val="20"/>
          <w:szCs w:val="20"/>
        </w:rPr>
        <w:t>Italy</w:t>
      </w:r>
      <w:r w:rsidR="008436D1">
        <w:rPr>
          <w:color w:val="000000" w:themeColor="text1"/>
          <w:sz w:val="20"/>
          <w:szCs w:val="20"/>
        </w:rPr>
        <w:t xml:space="preserve">, </w:t>
      </w:r>
      <w:r w:rsidR="008436D1" w:rsidRPr="00DE39F5">
        <w:rPr>
          <w:color w:val="000000" w:themeColor="text1"/>
          <w:sz w:val="20"/>
          <w:szCs w:val="20"/>
        </w:rPr>
        <w:t>Nepal</w:t>
      </w:r>
      <w:r w:rsidR="008436D1">
        <w:rPr>
          <w:color w:val="000000" w:themeColor="text1"/>
          <w:sz w:val="20"/>
          <w:szCs w:val="20"/>
        </w:rPr>
        <w:t xml:space="preserve">, </w:t>
      </w:r>
      <w:r w:rsidR="008436D1" w:rsidRPr="00DE39F5">
        <w:rPr>
          <w:color w:val="000000" w:themeColor="text1"/>
          <w:sz w:val="20"/>
          <w:szCs w:val="20"/>
        </w:rPr>
        <w:t>Pakistan</w:t>
      </w:r>
      <w:r w:rsidR="008436D1">
        <w:rPr>
          <w:color w:val="000000" w:themeColor="text1"/>
          <w:sz w:val="20"/>
          <w:szCs w:val="20"/>
        </w:rPr>
        <w:t xml:space="preserve">, </w:t>
      </w:r>
      <w:r w:rsidR="008436D1" w:rsidRPr="00DE39F5">
        <w:rPr>
          <w:color w:val="000000" w:themeColor="text1"/>
          <w:sz w:val="20"/>
          <w:szCs w:val="20"/>
        </w:rPr>
        <w:t>Saudi Arabia</w:t>
      </w:r>
      <w:r w:rsidR="008436D1">
        <w:rPr>
          <w:color w:val="000000" w:themeColor="text1"/>
          <w:sz w:val="20"/>
          <w:szCs w:val="20"/>
        </w:rPr>
        <w:t xml:space="preserve">, South Africa, </w:t>
      </w:r>
      <w:r w:rsidR="008436D1" w:rsidRPr="00DE39F5">
        <w:rPr>
          <w:color w:val="000000" w:themeColor="text1"/>
          <w:sz w:val="20"/>
          <w:szCs w:val="20"/>
        </w:rPr>
        <w:t>Ukraine</w:t>
      </w:r>
      <w:r w:rsidRPr="0067399B">
        <w:rPr>
          <w:color w:val="000000" w:themeColor="text1"/>
          <w:sz w:val="20"/>
          <w:szCs w:val="20"/>
        </w:rPr>
        <w:t xml:space="preserve">; </w:t>
      </w:r>
    </w:p>
    <w:p w14:paraId="29AA6646" w14:textId="6618EBE7" w:rsidR="00440F44" w:rsidRPr="0067399B" w:rsidRDefault="00440F44" w:rsidP="008436D1">
      <w:pPr>
        <w:pStyle w:val="SingleTxtG"/>
        <w:ind w:firstLine="567"/>
        <w:rPr>
          <w:color w:val="000000" w:themeColor="text1"/>
          <w:sz w:val="20"/>
          <w:szCs w:val="20"/>
        </w:rPr>
      </w:pPr>
      <w:r w:rsidRPr="0067399B">
        <w:rPr>
          <w:color w:val="000000" w:themeColor="text1"/>
          <w:sz w:val="20"/>
          <w:szCs w:val="20"/>
        </w:rPr>
        <w:t>(b)</w:t>
      </w:r>
      <w:r w:rsidRPr="0067399B">
        <w:rPr>
          <w:color w:val="000000" w:themeColor="text1"/>
          <w:sz w:val="20"/>
          <w:szCs w:val="20"/>
        </w:rPr>
        <w:tab/>
        <w:t xml:space="preserve">Representatives of observer States: </w:t>
      </w:r>
      <w:r w:rsidR="008436D1" w:rsidRPr="00DE39F5">
        <w:rPr>
          <w:color w:val="000000" w:themeColor="text1"/>
          <w:sz w:val="20"/>
          <w:szCs w:val="20"/>
        </w:rPr>
        <w:t>Algeria</w:t>
      </w:r>
      <w:r w:rsidR="008436D1">
        <w:rPr>
          <w:color w:val="000000" w:themeColor="text1"/>
          <w:sz w:val="20"/>
          <w:szCs w:val="20"/>
        </w:rPr>
        <w:t xml:space="preserve">, </w:t>
      </w:r>
      <w:r w:rsidR="008436D1" w:rsidRPr="00DE39F5">
        <w:rPr>
          <w:color w:val="000000" w:themeColor="text1"/>
          <w:sz w:val="20"/>
          <w:szCs w:val="20"/>
        </w:rPr>
        <w:t>Armenia</w:t>
      </w:r>
      <w:r w:rsidR="008436D1">
        <w:rPr>
          <w:color w:val="000000" w:themeColor="text1"/>
          <w:sz w:val="20"/>
          <w:szCs w:val="20"/>
        </w:rPr>
        <w:t xml:space="preserve">, </w:t>
      </w:r>
      <w:r w:rsidR="008436D1" w:rsidRPr="00DE39F5">
        <w:rPr>
          <w:color w:val="000000" w:themeColor="text1"/>
          <w:sz w:val="20"/>
          <w:szCs w:val="20"/>
        </w:rPr>
        <w:t>Azerbaijan</w:t>
      </w:r>
      <w:r w:rsidR="008436D1">
        <w:rPr>
          <w:color w:val="000000" w:themeColor="text1"/>
          <w:sz w:val="20"/>
          <w:szCs w:val="20"/>
        </w:rPr>
        <w:t xml:space="preserve">, </w:t>
      </w:r>
      <w:r w:rsidR="008436D1" w:rsidRPr="00DE39F5">
        <w:rPr>
          <w:color w:val="000000" w:themeColor="text1"/>
          <w:sz w:val="20"/>
          <w:szCs w:val="20"/>
        </w:rPr>
        <w:t>Bolivia (Plurinational State of)</w:t>
      </w:r>
      <w:r w:rsidR="008436D1">
        <w:rPr>
          <w:color w:val="000000" w:themeColor="text1"/>
          <w:sz w:val="20"/>
          <w:szCs w:val="20"/>
        </w:rPr>
        <w:t xml:space="preserve">, </w:t>
      </w:r>
      <w:r w:rsidR="008436D1" w:rsidRPr="00DE39F5">
        <w:rPr>
          <w:color w:val="000000" w:themeColor="text1"/>
          <w:sz w:val="20"/>
          <w:szCs w:val="20"/>
        </w:rPr>
        <w:t>Ecuador</w:t>
      </w:r>
      <w:r w:rsidR="008436D1">
        <w:rPr>
          <w:color w:val="000000" w:themeColor="text1"/>
          <w:sz w:val="20"/>
          <w:szCs w:val="20"/>
        </w:rPr>
        <w:t xml:space="preserve">, </w:t>
      </w:r>
      <w:r w:rsidR="008436D1" w:rsidRPr="00DE39F5">
        <w:rPr>
          <w:color w:val="000000" w:themeColor="text1"/>
          <w:sz w:val="20"/>
          <w:szCs w:val="20"/>
        </w:rPr>
        <w:t>El Salvador</w:t>
      </w:r>
      <w:r w:rsidR="008436D1">
        <w:rPr>
          <w:color w:val="000000" w:themeColor="text1"/>
          <w:sz w:val="20"/>
          <w:szCs w:val="20"/>
        </w:rPr>
        <w:t xml:space="preserve">, </w:t>
      </w:r>
      <w:r w:rsidR="008436D1" w:rsidRPr="00DE39F5">
        <w:rPr>
          <w:color w:val="000000" w:themeColor="text1"/>
          <w:sz w:val="20"/>
          <w:szCs w:val="20"/>
        </w:rPr>
        <w:t>France</w:t>
      </w:r>
      <w:r w:rsidR="008436D1">
        <w:rPr>
          <w:color w:val="000000" w:themeColor="text1"/>
          <w:sz w:val="20"/>
          <w:szCs w:val="20"/>
        </w:rPr>
        <w:t xml:space="preserve">, </w:t>
      </w:r>
      <w:r w:rsidR="008436D1" w:rsidRPr="00DE39F5">
        <w:rPr>
          <w:color w:val="000000" w:themeColor="text1"/>
          <w:sz w:val="20"/>
          <w:szCs w:val="20"/>
        </w:rPr>
        <w:t>Georgia</w:t>
      </w:r>
      <w:r w:rsidR="008436D1">
        <w:rPr>
          <w:color w:val="000000" w:themeColor="text1"/>
          <w:sz w:val="20"/>
          <w:szCs w:val="20"/>
        </w:rPr>
        <w:t xml:space="preserve">, </w:t>
      </w:r>
      <w:r w:rsidR="008436D1" w:rsidRPr="00DE39F5">
        <w:rPr>
          <w:color w:val="000000" w:themeColor="text1"/>
          <w:sz w:val="20"/>
          <w:szCs w:val="20"/>
        </w:rPr>
        <w:t>Greece</w:t>
      </w:r>
      <w:r w:rsidR="008436D1">
        <w:rPr>
          <w:color w:val="000000" w:themeColor="text1"/>
          <w:sz w:val="20"/>
          <w:szCs w:val="20"/>
        </w:rPr>
        <w:t xml:space="preserve">, </w:t>
      </w:r>
      <w:r w:rsidR="008436D1" w:rsidRPr="00DE39F5">
        <w:rPr>
          <w:color w:val="000000" w:themeColor="text1"/>
          <w:sz w:val="20"/>
          <w:szCs w:val="20"/>
        </w:rPr>
        <w:t>Iran (Islamic Republic of)</w:t>
      </w:r>
      <w:r w:rsidR="008436D1">
        <w:rPr>
          <w:color w:val="000000" w:themeColor="text1"/>
          <w:sz w:val="20"/>
          <w:szCs w:val="20"/>
        </w:rPr>
        <w:t xml:space="preserve">, </w:t>
      </w:r>
      <w:r w:rsidR="008436D1" w:rsidRPr="00DE39F5">
        <w:rPr>
          <w:color w:val="000000" w:themeColor="text1"/>
          <w:sz w:val="20"/>
          <w:szCs w:val="20"/>
        </w:rPr>
        <w:t>Israel</w:t>
      </w:r>
      <w:r w:rsidR="008436D1">
        <w:rPr>
          <w:color w:val="000000" w:themeColor="text1"/>
          <w:sz w:val="20"/>
          <w:szCs w:val="20"/>
        </w:rPr>
        <w:t xml:space="preserve">, </w:t>
      </w:r>
      <w:r w:rsidR="008436D1" w:rsidRPr="00DE39F5">
        <w:rPr>
          <w:color w:val="000000" w:themeColor="text1"/>
          <w:sz w:val="20"/>
          <w:szCs w:val="20"/>
        </w:rPr>
        <w:t>Jordan</w:t>
      </w:r>
      <w:r w:rsidR="008436D1">
        <w:rPr>
          <w:color w:val="000000" w:themeColor="text1"/>
          <w:sz w:val="20"/>
          <w:szCs w:val="20"/>
        </w:rPr>
        <w:t xml:space="preserve">, </w:t>
      </w:r>
      <w:r w:rsidR="008436D1" w:rsidRPr="00DE39F5">
        <w:rPr>
          <w:color w:val="000000" w:themeColor="text1"/>
          <w:sz w:val="20"/>
          <w:szCs w:val="20"/>
        </w:rPr>
        <w:t>Morocco</w:t>
      </w:r>
      <w:r w:rsidR="008436D1">
        <w:rPr>
          <w:color w:val="000000" w:themeColor="text1"/>
          <w:sz w:val="20"/>
          <w:szCs w:val="20"/>
        </w:rPr>
        <w:t xml:space="preserve">, </w:t>
      </w:r>
      <w:r w:rsidR="008436D1" w:rsidRPr="00DE39F5">
        <w:rPr>
          <w:color w:val="000000" w:themeColor="text1"/>
          <w:sz w:val="20"/>
          <w:szCs w:val="20"/>
        </w:rPr>
        <w:t>Norway</w:t>
      </w:r>
      <w:r w:rsidR="008436D1">
        <w:rPr>
          <w:color w:val="000000" w:themeColor="text1"/>
          <w:sz w:val="20"/>
          <w:szCs w:val="20"/>
        </w:rPr>
        <w:t xml:space="preserve">, </w:t>
      </w:r>
      <w:r w:rsidR="008436D1" w:rsidRPr="00DE39F5">
        <w:rPr>
          <w:color w:val="000000" w:themeColor="text1"/>
          <w:sz w:val="20"/>
          <w:szCs w:val="20"/>
        </w:rPr>
        <w:t>Poland</w:t>
      </w:r>
      <w:r w:rsidR="008436D1">
        <w:rPr>
          <w:color w:val="000000" w:themeColor="text1"/>
          <w:sz w:val="20"/>
          <w:szCs w:val="20"/>
        </w:rPr>
        <w:t xml:space="preserve">, </w:t>
      </w:r>
      <w:r w:rsidR="008436D1" w:rsidRPr="00DE39F5">
        <w:rPr>
          <w:color w:val="000000" w:themeColor="text1"/>
          <w:sz w:val="20"/>
          <w:szCs w:val="20"/>
        </w:rPr>
        <w:t>Russian Federation</w:t>
      </w:r>
      <w:r w:rsidR="008436D1">
        <w:rPr>
          <w:color w:val="000000" w:themeColor="text1"/>
          <w:sz w:val="20"/>
          <w:szCs w:val="20"/>
        </w:rPr>
        <w:t xml:space="preserve">, </w:t>
      </w:r>
      <w:r w:rsidR="008436D1" w:rsidRPr="00DE39F5">
        <w:rPr>
          <w:color w:val="000000" w:themeColor="text1"/>
          <w:sz w:val="20"/>
          <w:szCs w:val="20"/>
        </w:rPr>
        <w:t>Timor-Leste</w:t>
      </w:r>
      <w:r w:rsidR="008436D1">
        <w:rPr>
          <w:color w:val="000000" w:themeColor="text1"/>
          <w:sz w:val="20"/>
          <w:szCs w:val="20"/>
        </w:rPr>
        <w:t xml:space="preserve">, </w:t>
      </w:r>
      <w:r w:rsidR="008436D1" w:rsidRPr="00DE39F5">
        <w:rPr>
          <w:color w:val="000000" w:themeColor="text1"/>
          <w:sz w:val="20"/>
          <w:szCs w:val="20"/>
        </w:rPr>
        <w:t>Venezuela (Bolivarian Republic of)</w:t>
      </w:r>
      <w:r w:rsidRPr="0067399B">
        <w:rPr>
          <w:color w:val="000000" w:themeColor="text1"/>
          <w:sz w:val="20"/>
          <w:szCs w:val="20"/>
        </w:rPr>
        <w:t xml:space="preserve">; </w:t>
      </w:r>
    </w:p>
    <w:p w14:paraId="0922531A" w14:textId="5DDD0621" w:rsidR="00440F44" w:rsidRPr="0067399B" w:rsidRDefault="00440F44" w:rsidP="00440F44">
      <w:pPr>
        <w:pStyle w:val="SingleTxtG"/>
        <w:ind w:firstLine="567"/>
        <w:rPr>
          <w:color w:val="000000" w:themeColor="text1"/>
          <w:sz w:val="20"/>
          <w:szCs w:val="20"/>
        </w:rPr>
      </w:pPr>
      <w:r w:rsidRPr="0067399B">
        <w:rPr>
          <w:color w:val="000000" w:themeColor="text1"/>
          <w:sz w:val="20"/>
          <w:szCs w:val="20"/>
        </w:rPr>
        <w:t>(c)</w:t>
      </w:r>
      <w:r w:rsidRPr="0067399B">
        <w:rPr>
          <w:color w:val="000000" w:themeColor="text1"/>
          <w:sz w:val="20"/>
          <w:szCs w:val="20"/>
        </w:rPr>
        <w:tab/>
      </w:r>
      <w:r w:rsidR="006D07E0" w:rsidRPr="006D07E0">
        <w:rPr>
          <w:color w:val="000000" w:themeColor="text1"/>
          <w:sz w:val="20"/>
          <w:szCs w:val="20"/>
        </w:rPr>
        <w:t>Observer for United Nations entities, specialized agencies and related</w:t>
      </w:r>
      <w:r w:rsidR="006D07E0">
        <w:rPr>
          <w:color w:val="000000" w:themeColor="text1"/>
          <w:sz w:val="20"/>
          <w:szCs w:val="20"/>
        </w:rPr>
        <w:t xml:space="preserve"> </w:t>
      </w:r>
      <w:r w:rsidR="006D07E0" w:rsidRPr="006D07E0">
        <w:rPr>
          <w:color w:val="000000" w:themeColor="text1"/>
          <w:sz w:val="20"/>
          <w:szCs w:val="20"/>
        </w:rPr>
        <w:t>organizations</w:t>
      </w:r>
      <w:r w:rsidRPr="0067399B">
        <w:rPr>
          <w:color w:val="000000" w:themeColor="text1"/>
          <w:sz w:val="20"/>
          <w:szCs w:val="20"/>
        </w:rPr>
        <w:t>: United Nations Educational, Scientific and Cultural Organization (UNESCO);</w:t>
      </w:r>
    </w:p>
    <w:p w14:paraId="04DAC91B" w14:textId="77777777" w:rsidR="00440F44" w:rsidRPr="0067399B" w:rsidRDefault="00440F44" w:rsidP="00440F44">
      <w:pPr>
        <w:spacing w:after="120"/>
        <w:ind w:left="1134" w:right="1134" w:firstLine="567"/>
        <w:jc w:val="both"/>
        <w:rPr>
          <w:color w:val="000000" w:themeColor="text1"/>
          <w:sz w:val="20"/>
          <w:szCs w:val="20"/>
        </w:rPr>
      </w:pPr>
      <w:r w:rsidRPr="0067399B">
        <w:rPr>
          <w:color w:val="000000" w:themeColor="text1"/>
          <w:sz w:val="20"/>
          <w:szCs w:val="20"/>
        </w:rPr>
        <w:t>(d)</w:t>
      </w:r>
      <w:r w:rsidRPr="0067399B">
        <w:rPr>
          <w:color w:val="000000" w:themeColor="text1"/>
          <w:sz w:val="20"/>
          <w:szCs w:val="20"/>
        </w:rPr>
        <w:tab/>
        <w:t xml:space="preserve">Observer for an intergovernmental organization: European Union; </w:t>
      </w:r>
    </w:p>
    <w:p w14:paraId="5861B290" w14:textId="07562DB7" w:rsidR="00440F44" w:rsidRPr="0067399B" w:rsidRDefault="00440F44" w:rsidP="00440F44">
      <w:pPr>
        <w:spacing w:after="120"/>
        <w:ind w:left="1134" w:right="1134" w:firstLine="567"/>
        <w:jc w:val="both"/>
        <w:rPr>
          <w:color w:val="000000" w:themeColor="text1"/>
          <w:sz w:val="20"/>
          <w:szCs w:val="20"/>
          <w:lang w:eastAsia="ko-KR"/>
        </w:rPr>
      </w:pPr>
      <w:r w:rsidRPr="0067399B">
        <w:rPr>
          <w:color w:val="000000" w:themeColor="text1"/>
          <w:sz w:val="20"/>
          <w:szCs w:val="20"/>
        </w:rPr>
        <w:t>(e)</w:t>
      </w:r>
      <w:r w:rsidRPr="0067399B">
        <w:rPr>
          <w:color w:val="000000" w:themeColor="text1"/>
          <w:sz w:val="20"/>
          <w:szCs w:val="20"/>
        </w:rPr>
        <w:tab/>
        <w:t xml:space="preserve">Observers for non-governmental organizations: </w:t>
      </w:r>
      <w:r w:rsidR="008436D1" w:rsidRPr="008436D1">
        <w:rPr>
          <w:color w:val="000000" w:themeColor="text1"/>
          <w:sz w:val="20"/>
          <w:szCs w:val="20"/>
        </w:rPr>
        <w:t>Action Canada for Population and Development</w:t>
      </w:r>
      <w:r w:rsidR="008436D1">
        <w:rPr>
          <w:color w:val="000000" w:themeColor="text1"/>
          <w:sz w:val="20"/>
          <w:szCs w:val="20"/>
        </w:rPr>
        <w:t xml:space="preserve"> (also on behalf of </w:t>
      </w:r>
      <w:r w:rsidR="008436D1" w:rsidRPr="008436D1">
        <w:rPr>
          <w:color w:val="000000" w:themeColor="text1"/>
          <w:sz w:val="20"/>
          <w:szCs w:val="20"/>
        </w:rPr>
        <w:t>Association fo</w:t>
      </w:r>
      <w:r w:rsidR="008436D1">
        <w:rPr>
          <w:color w:val="000000" w:themeColor="text1"/>
          <w:sz w:val="20"/>
          <w:szCs w:val="20"/>
        </w:rPr>
        <w:t>r Women</w:t>
      </w:r>
      <w:r w:rsidR="00D72627">
        <w:rPr>
          <w:color w:val="000000" w:themeColor="text1"/>
          <w:sz w:val="20"/>
          <w:szCs w:val="20"/>
        </w:rPr>
        <w:t>’</w:t>
      </w:r>
      <w:r w:rsidR="008436D1">
        <w:rPr>
          <w:color w:val="000000" w:themeColor="text1"/>
          <w:sz w:val="20"/>
          <w:szCs w:val="20"/>
        </w:rPr>
        <w:t xml:space="preserve">s Rights in Development); </w:t>
      </w:r>
      <w:r w:rsidR="008436D1" w:rsidRPr="008436D1">
        <w:rPr>
          <w:color w:val="000000" w:themeColor="text1"/>
          <w:sz w:val="20"/>
          <w:szCs w:val="20"/>
        </w:rPr>
        <w:t>Al-khoei Foundation</w:t>
      </w:r>
      <w:r w:rsidR="008436D1">
        <w:rPr>
          <w:color w:val="000000" w:themeColor="text1"/>
          <w:sz w:val="20"/>
          <w:szCs w:val="20"/>
        </w:rPr>
        <w:t xml:space="preserve">; </w:t>
      </w:r>
      <w:r w:rsidR="008436D1" w:rsidRPr="008436D1">
        <w:rPr>
          <w:color w:val="000000" w:themeColor="text1"/>
          <w:sz w:val="20"/>
          <w:szCs w:val="20"/>
        </w:rPr>
        <w:t>Article 19 - International Centre Against Censorship, The</w:t>
      </w:r>
      <w:r w:rsidR="008436D1">
        <w:rPr>
          <w:color w:val="000000" w:themeColor="text1"/>
          <w:sz w:val="20"/>
          <w:szCs w:val="20"/>
        </w:rPr>
        <w:t xml:space="preserve">; </w:t>
      </w:r>
      <w:r w:rsidR="008436D1" w:rsidRPr="008436D1">
        <w:rPr>
          <w:color w:val="000000" w:themeColor="text1"/>
          <w:sz w:val="20"/>
          <w:szCs w:val="20"/>
        </w:rPr>
        <w:t xml:space="preserve">Association for </w:t>
      </w:r>
      <w:r w:rsidR="008436D1" w:rsidRPr="008436D1">
        <w:rPr>
          <w:color w:val="000000" w:themeColor="text1"/>
          <w:sz w:val="20"/>
          <w:szCs w:val="20"/>
        </w:rPr>
        <w:lastRenderedPageBreak/>
        <w:t>Women</w:t>
      </w:r>
      <w:r w:rsidR="00D72627">
        <w:rPr>
          <w:color w:val="000000" w:themeColor="text1"/>
          <w:sz w:val="20"/>
          <w:szCs w:val="20"/>
        </w:rPr>
        <w:t>’</w:t>
      </w:r>
      <w:r w:rsidR="008436D1" w:rsidRPr="008436D1">
        <w:rPr>
          <w:color w:val="000000" w:themeColor="text1"/>
          <w:sz w:val="20"/>
          <w:szCs w:val="20"/>
        </w:rPr>
        <w:t>s Rights in Development</w:t>
      </w:r>
      <w:r w:rsidR="008436D1">
        <w:rPr>
          <w:color w:val="000000" w:themeColor="text1"/>
          <w:sz w:val="20"/>
          <w:szCs w:val="20"/>
        </w:rPr>
        <w:t xml:space="preserve"> (also on behalf of </w:t>
      </w:r>
      <w:r w:rsidR="008436D1" w:rsidRPr="008436D1">
        <w:rPr>
          <w:color w:val="000000" w:themeColor="text1"/>
          <w:sz w:val="20"/>
          <w:szCs w:val="20"/>
        </w:rPr>
        <w:t>Associatio</w:t>
      </w:r>
      <w:r w:rsidR="008436D1">
        <w:rPr>
          <w:color w:val="000000" w:themeColor="text1"/>
          <w:sz w:val="20"/>
          <w:szCs w:val="20"/>
        </w:rPr>
        <w:t xml:space="preserve">n for Progressive Communication); </w:t>
      </w:r>
      <w:r w:rsidR="008436D1" w:rsidRPr="008436D1">
        <w:rPr>
          <w:color w:val="000000" w:themeColor="text1"/>
          <w:sz w:val="20"/>
          <w:szCs w:val="20"/>
        </w:rPr>
        <w:t>British Humanist Association</w:t>
      </w:r>
      <w:r w:rsidR="008436D1">
        <w:rPr>
          <w:color w:val="000000" w:themeColor="text1"/>
          <w:sz w:val="20"/>
          <w:szCs w:val="20"/>
        </w:rPr>
        <w:t xml:space="preserve">; </w:t>
      </w:r>
      <w:r w:rsidR="008436D1" w:rsidRPr="008436D1">
        <w:rPr>
          <w:color w:val="000000" w:themeColor="text1"/>
          <w:sz w:val="20"/>
          <w:szCs w:val="20"/>
        </w:rPr>
        <w:t>Franciscans International</w:t>
      </w:r>
      <w:r w:rsidR="008436D1">
        <w:rPr>
          <w:color w:val="000000" w:themeColor="text1"/>
          <w:sz w:val="20"/>
          <w:szCs w:val="20"/>
        </w:rPr>
        <w:t xml:space="preserve">; </w:t>
      </w:r>
      <w:r w:rsidR="008436D1" w:rsidRPr="008436D1">
        <w:rPr>
          <w:color w:val="000000" w:themeColor="text1"/>
          <w:sz w:val="20"/>
          <w:szCs w:val="20"/>
        </w:rPr>
        <w:t>Freemuse - The World Forum on Music and Censorship</w:t>
      </w:r>
      <w:r w:rsidR="008436D1">
        <w:rPr>
          <w:color w:val="000000" w:themeColor="text1"/>
          <w:sz w:val="20"/>
          <w:szCs w:val="20"/>
        </w:rPr>
        <w:t xml:space="preserve">; </w:t>
      </w:r>
      <w:r w:rsidR="008436D1" w:rsidRPr="008436D1">
        <w:rPr>
          <w:color w:val="000000" w:themeColor="text1"/>
          <w:sz w:val="20"/>
          <w:szCs w:val="20"/>
        </w:rPr>
        <w:t>International Lesbian and Gay Association</w:t>
      </w:r>
      <w:r w:rsidR="008436D1">
        <w:rPr>
          <w:color w:val="000000" w:themeColor="text1"/>
          <w:sz w:val="20"/>
          <w:szCs w:val="20"/>
        </w:rPr>
        <w:t xml:space="preserve">; </w:t>
      </w:r>
      <w:r w:rsidR="008436D1" w:rsidRPr="008436D1">
        <w:rPr>
          <w:color w:val="000000" w:themeColor="text1"/>
          <w:sz w:val="20"/>
          <w:szCs w:val="20"/>
        </w:rPr>
        <w:t>International Organization for the Right to Education and Freedom of Education (OIDEL)</w:t>
      </w:r>
      <w:r w:rsidR="008436D1">
        <w:rPr>
          <w:color w:val="000000" w:themeColor="text1"/>
          <w:sz w:val="20"/>
          <w:szCs w:val="20"/>
        </w:rPr>
        <w:t xml:space="preserve">; </w:t>
      </w:r>
      <w:r w:rsidR="008436D1" w:rsidRPr="008436D1">
        <w:rPr>
          <w:color w:val="000000" w:themeColor="text1"/>
          <w:sz w:val="20"/>
          <w:szCs w:val="20"/>
        </w:rPr>
        <w:t>International PEN</w:t>
      </w:r>
      <w:r w:rsidR="008436D1">
        <w:rPr>
          <w:color w:val="000000" w:themeColor="text1"/>
          <w:sz w:val="20"/>
          <w:szCs w:val="20"/>
        </w:rPr>
        <w:t xml:space="preserve">; </w:t>
      </w:r>
      <w:r w:rsidR="008436D1" w:rsidRPr="008436D1">
        <w:rPr>
          <w:color w:val="000000" w:themeColor="text1"/>
          <w:sz w:val="20"/>
          <w:szCs w:val="20"/>
        </w:rPr>
        <w:t>Khiam Rehabilitation Center for Victims of Torture</w:t>
      </w:r>
      <w:r w:rsidR="008436D1">
        <w:rPr>
          <w:color w:val="000000" w:themeColor="text1"/>
          <w:sz w:val="20"/>
          <w:szCs w:val="20"/>
        </w:rPr>
        <w:t xml:space="preserve">; </w:t>
      </w:r>
      <w:r w:rsidR="008436D1" w:rsidRPr="008436D1">
        <w:rPr>
          <w:color w:val="000000" w:themeColor="text1"/>
          <w:sz w:val="20"/>
          <w:szCs w:val="20"/>
        </w:rPr>
        <w:t>Prahar</w:t>
      </w:r>
      <w:r w:rsidRPr="0067399B">
        <w:rPr>
          <w:color w:val="000000" w:themeColor="text1"/>
          <w:sz w:val="20"/>
          <w:szCs w:val="20"/>
          <w:lang w:eastAsia="ko-KR"/>
        </w:rPr>
        <w:t>.</w:t>
      </w:r>
    </w:p>
    <w:p w14:paraId="370C24C7" w14:textId="14FFF4F6" w:rsidR="00440F44" w:rsidRDefault="009B6FCB" w:rsidP="00440F44">
      <w:pPr>
        <w:pStyle w:val="SingleTxtG"/>
        <w:rPr>
          <w:color w:val="000000" w:themeColor="text1"/>
          <w:sz w:val="20"/>
          <w:szCs w:val="20"/>
        </w:rPr>
      </w:pPr>
      <w:r>
        <w:rPr>
          <w:color w:val="000000" w:themeColor="text1"/>
          <w:sz w:val="20"/>
          <w:szCs w:val="20"/>
        </w:rPr>
        <w:t>134</w:t>
      </w:r>
      <w:r w:rsidR="00440F44" w:rsidRPr="0067399B">
        <w:rPr>
          <w:color w:val="000000" w:themeColor="text1"/>
          <w:sz w:val="20"/>
          <w:szCs w:val="20"/>
        </w:rPr>
        <w:t>.</w:t>
      </w:r>
      <w:r w:rsidR="00440F44" w:rsidRPr="0067399B">
        <w:rPr>
          <w:color w:val="000000" w:themeColor="text1"/>
          <w:sz w:val="20"/>
          <w:szCs w:val="20"/>
        </w:rPr>
        <w:tab/>
        <w:t xml:space="preserve">At the </w:t>
      </w:r>
      <w:r w:rsidR="004E7295">
        <w:rPr>
          <w:color w:val="000000" w:themeColor="text1"/>
          <w:sz w:val="20"/>
          <w:szCs w:val="20"/>
        </w:rPr>
        <w:t>same meeting</w:t>
      </w:r>
      <w:r w:rsidR="00440F44" w:rsidRPr="0067399B">
        <w:rPr>
          <w:color w:val="000000" w:themeColor="text1"/>
          <w:sz w:val="20"/>
          <w:szCs w:val="20"/>
        </w:rPr>
        <w:t>, the Special Rapporteur answered questions and made her concluding remarks.</w:t>
      </w:r>
    </w:p>
    <w:p w14:paraId="1CDEB583" w14:textId="232C062C" w:rsidR="00A017B4" w:rsidRDefault="009B6FCB" w:rsidP="00440F44">
      <w:pPr>
        <w:pStyle w:val="SingleTxtG"/>
        <w:rPr>
          <w:color w:val="000000" w:themeColor="text1"/>
          <w:sz w:val="20"/>
          <w:szCs w:val="20"/>
        </w:rPr>
      </w:pPr>
      <w:r>
        <w:rPr>
          <w:color w:val="000000" w:themeColor="text1"/>
          <w:sz w:val="20"/>
          <w:szCs w:val="20"/>
        </w:rPr>
        <w:t>135</w:t>
      </w:r>
      <w:r w:rsidR="00A017B4" w:rsidRPr="00031F5C">
        <w:rPr>
          <w:color w:val="000000" w:themeColor="text1"/>
          <w:sz w:val="20"/>
          <w:szCs w:val="20"/>
        </w:rPr>
        <w:t>.</w:t>
      </w:r>
      <w:r w:rsidR="00A017B4" w:rsidRPr="00031F5C">
        <w:rPr>
          <w:color w:val="000000" w:themeColor="text1"/>
          <w:sz w:val="20"/>
          <w:szCs w:val="20"/>
        </w:rPr>
        <w:tab/>
        <w:t>A</w:t>
      </w:r>
      <w:r w:rsidR="00A017B4">
        <w:rPr>
          <w:color w:val="000000" w:themeColor="text1"/>
          <w:sz w:val="20"/>
          <w:szCs w:val="20"/>
        </w:rPr>
        <w:t>lso a</w:t>
      </w:r>
      <w:r w:rsidR="00A017B4" w:rsidRPr="00031F5C">
        <w:rPr>
          <w:color w:val="000000" w:themeColor="text1"/>
          <w:sz w:val="20"/>
          <w:szCs w:val="20"/>
        </w:rPr>
        <w:t xml:space="preserve">t the </w:t>
      </w:r>
      <w:r w:rsidR="00A017B4">
        <w:rPr>
          <w:color w:val="000000" w:themeColor="text1"/>
          <w:sz w:val="20"/>
          <w:szCs w:val="20"/>
        </w:rPr>
        <w:t>same</w:t>
      </w:r>
      <w:r w:rsidR="00A017B4" w:rsidRPr="00031F5C">
        <w:rPr>
          <w:color w:val="000000" w:themeColor="text1"/>
          <w:sz w:val="20"/>
          <w:szCs w:val="20"/>
        </w:rPr>
        <w:t xml:space="preserve"> meeting, statement</w:t>
      </w:r>
      <w:r w:rsidR="00A017B4">
        <w:rPr>
          <w:color w:val="000000" w:themeColor="text1"/>
          <w:sz w:val="20"/>
          <w:szCs w:val="20"/>
        </w:rPr>
        <w:t>s</w:t>
      </w:r>
      <w:r w:rsidR="00A017B4" w:rsidRPr="00031F5C">
        <w:rPr>
          <w:color w:val="000000" w:themeColor="text1"/>
          <w:sz w:val="20"/>
          <w:szCs w:val="20"/>
        </w:rPr>
        <w:t xml:space="preserve"> in exercise of the right of reply </w:t>
      </w:r>
      <w:r w:rsidR="00A017B4">
        <w:rPr>
          <w:color w:val="000000" w:themeColor="text1"/>
          <w:sz w:val="20"/>
          <w:szCs w:val="20"/>
        </w:rPr>
        <w:t>were</w:t>
      </w:r>
      <w:r w:rsidR="00A017B4" w:rsidRPr="00031F5C">
        <w:rPr>
          <w:color w:val="000000" w:themeColor="text1"/>
          <w:sz w:val="20"/>
          <w:szCs w:val="20"/>
        </w:rPr>
        <w:t xml:space="preserve"> made by the representative</w:t>
      </w:r>
      <w:r w:rsidR="00A017B4">
        <w:rPr>
          <w:color w:val="000000" w:themeColor="text1"/>
          <w:sz w:val="20"/>
          <w:szCs w:val="20"/>
        </w:rPr>
        <w:t>s</w:t>
      </w:r>
      <w:r w:rsidR="00A017B4" w:rsidRPr="00031F5C">
        <w:rPr>
          <w:color w:val="000000" w:themeColor="text1"/>
          <w:sz w:val="20"/>
          <w:szCs w:val="20"/>
        </w:rPr>
        <w:t xml:space="preserve"> of </w:t>
      </w:r>
      <w:r w:rsidR="00A017B4">
        <w:rPr>
          <w:color w:val="000000" w:themeColor="text1"/>
          <w:sz w:val="20"/>
          <w:szCs w:val="20"/>
        </w:rPr>
        <w:t xml:space="preserve">Armenia, </w:t>
      </w:r>
      <w:r w:rsidR="00A017B4" w:rsidRPr="00A017B4">
        <w:rPr>
          <w:color w:val="000000" w:themeColor="text1"/>
          <w:sz w:val="20"/>
          <w:szCs w:val="20"/>
        </w:rPr>
        <w:t>Azerbaijan</w:t>
      </w:r>
      <w:r w:rsidR="00A017B4">
        <w:rPr>
          <w:color w:val="000000" w:themeColor="text1"/>
          <w:sz w:val="20"/>
          <w:szCs w:val="20"/>
        </w:rPr>
        <w:t xml:space="preserve"> and the State of Palestine</w:t>
      </w:r>
      <w:r w:rsidR="00A017B4" w:rsidRPr="00031F5C">
        <w:rPr>
          <w:color w:val="000000" w:themeColor="text1"/>
          <w:sz w:val="20"/>
          <w:szCs w:val="20"/>
        </w:rPr>
        <w:t>.</w:t>
      </w:r>
    </w:p>
    <w:p w14:paraId="050EED83" w14:textId="717A4835" w:rsidR="00A017B4" w:rsidRPr="0067399B" w:rsidRDefault="009B6FCB" w:rsidP="00A017B4">
      <w:pPr>
        <w:pStyle w:val="SingleTxtG"/>
        <w:rPr>
          <w:color w:val="000000" w:themeColor="text1"/>
          <w:sz w:val="20"/>
          <w:szCs w:val="20"/>
        </w:rPr>
      </w:pPr>
      <w:r>
        <w:rPr>
          <w:color w:val="000000" w:themeColor="text1"/>
          <w:sz w:val="20"/>
          <w:szCs w:val="20"/>
        </w:rPr>
        <w:t>136</w:t>
      </w:r>
      <w:r w:rsidR="00A017B4" w:rsidRPr="00A017B4">
        <w:rPr>
          <w:color w:val="000000" w:themeColor="text1"/>
          <w:sz w:val="20"/>
          <w:szCs w:val="20"/>
        </w:rPr>
        <w:t>.</w:t>
      </w:r>
      <w:r w:rsidR="00A017B4" w:rsidRPr="00A017B4">
        <w:rPr>
          <w:color w:val="000000" w:themeColor="text1"/>
          <w:sz w:val="20"/>
          <w:szCs w:val="20"/>
        </w:rPr>
        <w:tab/>
        <w:t>At the same meeting, statements in exercise of a second right of reply were made by the representatives of Armenia and Azerbaijan.</w:t>
      </w:r>
    </w:p>
    <w:p w14:paraId="6F9CA43E" w14:textId="222824F9" w:rsidR="00A83386" w:rsidRPr="0067399B" w:rsidRDefault="00A83386" w:rsidP="00A83386">
      <w:pPr>
        <w:pStyle w:val="H1G"/>
        <w:rPr>
          <w:color w:val="000000" w:themeColor="text1"/>
          <w:sz w:val="20"/>
          <w:szCs w:val="20"/>
        </w:rPr>
      </w:pPr>
      <w:r w:rsidRPr="0067399B">
        <w:rPr>
          <w:color w:val="000000" w:themeColor="text1"/>
          <w:sz w:val="20"/>
          <w:szCs w:val="20"/>
        </w:rPr>
        <w:tab/>
      </w:r>
      <w:r>
        <w:rPr>
          <w:color w:val="000000" w:themeColor="text1"/>
          <w:sz w:val="20"/>
          <w:szCs w:val="20"/>
        </w:rPr>
        <w:tab/>
      </w:r>
      <w:r w:rsidRPr="00A078AC">
        <w:rPr>
          <w:color w:val="000000" w:themeColor="text1"/>
          <w:sz w:val="20"/>
          <w:szCs w:val="20"/>
        </w:rPr>
        <w:t>Special Rapporteur on the promotion and protection of human rights and fundamental freedoms while countering terrorism</w:t>
      </w:r>
    </w:p>
    <w:p w14:paraId="6755E072" w14:textId="23AC516B" w:rsidR="00A83386" w:rsidRDefault="009B6FCB" w:rsidP="00A83386">
      <w:pPr>
        <w:pStyle w:val="SingleTxtG"/>
        <w:rPr>
          <w:color w:val="000000" w:themeColor="text1"/>
          <w:sz w:val="20"/>
          <w:szCs w:val="20"/>
          <w:lang w:eastAsia="en-GB"/>
        </w:rPr>
      </w:pPr>
      <w:r>
        <w:rPr>
          <w:color w:val="000000" w:themeColor="text1"/>
          <w:sz w:val="20"/>
          <w:szCs w:val="20"/>
        </w:rPr>
        <w:t>137</w:t>
      </w:r>
      <w:r w:rsidR="00A83386" w:rsidRPr="0067399B">
        <w:rPr>
          <w:color w:val="000000" w:themeColor="text1"/>
          <w:sz w:val="20"/>
          <w:szCs w:val="20"/>
        </w:rPr>
        <w:t>.</w:t>
      </w:r>
      <w:r w:rsidR="00A83386" w:rsidRPr="0067399B">
        <w:rPr>
          <w:color w:val="000000" w:themeColor="text1"/>
          <w:sz w:val="20"/>
          <w:szCs w:val="20"/>
        </w:rPr>
        <w:tab/>
        <w:t>At the 1</w:t>
      </w:r>
      <w:r w:rsidR="00A83386">
        <w:rPr>
          <w:color w:val="000000" w:themeColor="text1"/>
          <w:sz w:val="20"/>
          <w:szCs w:val="20"/>
        </w:rPr>
        <w:t>3</w:t>
      </w:r>
      <w:r w:rsidR="00A83386" w:rsidRPr="0067399B">
        <w:rPr>
          <w:color w:val="000000" w:themeColor="text1"/>
          <w:sz w:val="20"/>
          <w:szCs w:val="20"/>
        </w:rPr>
        <w:t xml:space="preserve">th meeting, on 1 March </w:t>
      </w:r>
      <w:r w:rsidR="00A83386">
        <w:rPr>
          <w:color w:val="000000" w:themeColor="text1"/>
          <w:sz w:val="20"/>
          <w:szCs w:val="20"/>
        </w:rPr>
        <w:t>2019</w:t>
      </w:r>
      <w:r w:rsidR="00A83386" w:rsidRPr="0067399B">
        <w:rPr>
          <w:color w:val="000000" w:themeColor="text1"/>
          <w:sz w:val="20"/>
          <w:szCs w:val="20"/>
        </w:rPr>
        <w:t>, the Special Rapporteur on the promotion and protection of human rights and fundamental freedoms while countering terrorism, Fionnuala Ní Aoláin, presented her report</w:t>
      </w:r>
      <w:r w:rsidR="00A83386">
        <w:rPr>
          <w:color w:val="000000" w:themeColor="text1"/>
          <w:sz w:val="20"/>
          <w:szCs w:val="20"/>
        </w:rPr>
        <w:t>s</w:t>
      </w:r>
      <w:r w:rsidR="00A83386" w:rsidRPr="0067399B">
        <w:rPr>
          <w:color w:val="000000" w:themeColor="text1"/>
          <w:sz w:val="20"/>
          <w:szCs w:val="20"/>
        </w:rPr>
        <w:t xml:space="preserve"> </w:t>
      </w:r>
      <w:r w:rsidR="00A83386" w:rsidRPr="0067399B">
        <w:rPr>
          <w:color w:val="000000" w:themeColor="text1"/>
          <w:sz w:val="20"/>
          <w:szCs w:val="20"/>
          <w:lang w:eastAsia="en-GB"/>
        </w:rPr>
        <w:t>(A/HRC/</w:t>
      </w:r>
      <w:r w:rsidR="00A83386" w:rsidRPr="00A83386">
        <w:rPr>
          <w:color w:val="000000" w:themeColor="text1"/>
          <w:sz w:val="20"/>
          <w:szCs w:val="20"/>
          <w:lang w:eastAsia="en-GB"/>
        </w:rPr>
        <w:t>40/52</w:t>
      </w:r>
      <w:r w:rsidR="00A83386">
        <w:rPr>
          <w:color w:val="000000" w:themeColor="text1"/>
          <w:sz w:val="20"/>
          <w:szCs w:val="20"/>
          <w:lang w:eastAsia="en-GB"/>
        </w:rPr>
        <w:t xml:space="preserve"> and Add.1-5</w:t>
      </w:r>
      <w:r w:rsidR="00A83386" w:rsidRPr="0067399B">
        <w:rPr>
          <w:color w:val="000000" w:themeColor="text1"/>
          <w:sz w:val="20"/>
          <w:szCs w:val="20"/>
          <w:lang w:eastAsia="en-GB"/>
        </w:rPr>
        <w:t>).</w:t>
      </w:r>
    </w:p>
    <w:p w14:paraId="0E6F3C44" w14:textId="5048B4EA" w:rsidR="00A83386" w:rsidRDefault="009B6FCB" w:rsidP="00A83386">
      <w:pPr>
        <w:pStyle w:val="SingleTxtG"/>
        <w:rPr>
          <w:color w:val="000000" w:themeColor="text1"/>
          <w:sz w:val="20"/>
          <w:szCs w:val="20"/>
        </w:rPr>
      </w:pPr>
      <w:r>
        <w:rPr>
          <w:color w:val="000000" w:themeColor="text1"/>
          <w:sz w:val="20"/>
          <w:szCs w:val="20"/>
        </w:rPr>
        <w:t>138</w:t>
      </w:r>
      <w:r w:rsidR="00A83386" w:rsidRPr="0067399B">
        <w:rPr>
          <w:color w:val="000000" w:themeColor="text1"/>
          <w:sz w:val="20"/>
          <w:szCs w:val="20"/>
        </w:rPr>
        <w:t>.</w:t>
      </w:r>
      <w:r w:rsidR="00A83386" w:rsidRPr="0067399B">
        <w:rPr>
          <w:color w:val="000000" w:themeColor="text1"/>
          <w:sz w:val="20"/>
          <w:szCs w:val="20"/>
        </w:rPr>
        <w:tab/>
        <w:t>At the same meeting, the representative</w:t>
      </w:r>
      <w:r w:rsidR="00A83386">
        <w:rPr>
          <w:color w:val="000000" w:themeColor="text1"/>
          <w:sz w:val="20"/>
          <w:szCs w:val="20"/>
        </w:rPr>
        <w:t>s</w:t>
      </w:r>
      <w:r w:rsidR="00A83386" w:rsidRPr="0067399B">
        <w:rPr>
          <w:color w:val="000000" w:themeColor="text1"/>
          <w:sz w:val="20"/>
          <w:szCs w:val="20"/>
        </w:rPr>
        <w:t xml:space="preserve"> of </w:t>
      </w:r>
      <w:r w:rsidR="004D07DF">
        <w:rPr>
          <w:color w:val="000000" w:themeColor="text1"/>
          <w:sz w:val="20"/>
          <w:szCs w:val="20"/>
        </w:rPr>
        <w:t xml:space="preserve">Belgium, </w:t>
      </w:r>
      <w:r w:rsidR="00A83386" w:rsidRPr="00A83386">
        <w:rPr>
          <w:color w:val="000000" w:themeColor="text1"/>
          <w:sz w:val="20"/>
          <w:szCs w:val="20"/>
        </w:rPr>
        <w:t>France</w:t>
      </w:r>
      <w:r w:rsidR="00A83386">
        <w:rPr>
          <w:color w:val="000000" w:themeColor="text1"/>
          <w:sz w:val="20"/>
          <w:szCs w:val="20"/>
        </w:rPr>
        <w:t xml:space="preserve">, </w:t>
      </w:r>
      <w:r w:rsidR="00A83386" w:rsidRPr="00A83386">
        <w:rPr>
          <w:color w:val="000000" w:themeColor="text1"/>
          <w:sz w:val="20"/>
          <w:szCs w:val="20"/>
        </w:rPr>
        <w:t>Saudi Arabia</w:t>
      </w:r>
      <w:r w:rsidR="00A83386">
        <w:rPr>
          <w:color w:val="000000" w:themeColor="text1"/>
          <w:sz w:val="20"/>
          <w:szCs w:val="20"/>
        </w:rPr>
        <w:t xml:space="preserve">, </w:t>
      </w:r>
      <w:r w:rsidR="00A83386" w:rsidRPr="00A83386">
        <w:rPr>
          <w:color w:val="000000" w:themeColor="text1"/>
          <w:sz w:val="20"/>
          <w:szCs w:val="20"/>
        </w:rPr>
        <w:t>Sri Lanka</w:t>
      </w:r>
      <w:r w:rsidR="00A83386">
        <w:rPr>
          <w:color w:val="000000" w:themeColor="text1"/>
          <w:sz w:val="20"/>
          <w:szCs w:val="20"/>
        </w:rPr>
        <w:t xml:space="preserve"> and </w:t>
      </w:r>
      <w:r w:rsidR="00A83386" w:rsidRPr="00A83386">
        <w:rPr>
          <w:color w:val="000000" w:themeColor="text1"/>
          <w:sz w:val="20"/>
          <w:szCs w:val="20"/>
        </w:rPr>
        <w:t xml:space="preserve">Tunisia </w:t>
      </w:r>
      <w:r w:rsidR="00A83386" w:rsidRPr="0067399B">
        <w:rPr>
          <w:color w:val="000000" w:themeColor="text1"/>
          <w:sz w:val="20"/>
          <w:szCs w:val="20"/>
        </w:rPr>
        <w:t>made statement</w:t>
      </w:r>
      <w:r w:rsidR="00A83386">
        <w:rPr>
          <w:color w:val="000000" w:themeColor="text1"/>
          <w:sz w:val="20"/>
          <w:szCs w:val="20"/>
        </w:rPr>
        <w:t>s</w:t>
      </w:r>
      <w:r w:rsidR="00A83386" w:rsidRPr="0067399B">
        <w:rPr>
          <w:color w:val="000000" w:themeColor="text1"/>
          <w:sz w:val="20"/>
          <w:szCs w:val="20"/>
        </w:rPr>
        <w:t xml:space="preserve"> as the State</w:t>
      </w:r>
      <w:r w:rsidR="00A83386">
        <w:rPr>
          <w:color w:val="000000" w:themeColor="text1"/>
          <w:sz w:val="20"/>
          <w:szCs w:val="20"/>
        </w:rPr>
        <w:t>s</w:t>
      </w:r>
      <w:r w:rsidR="00A83386" w:rsidRPr="0067399B">
        <w:rPr>
          <w:color w:val="000000" w:themeColor="text1"/>
          <w:sz w:val="20"/>
          <w:szCs w:val="20"/>
        </w:rPr>
        <w:t xml:space="preserve"> concerned.</w:t>
      </w:r>
    </w:p>
    <w:p w14:paraId="154D49D2" w14:textId="6EF5251F" w:rsidR="004D07DF" w:rsidRDefault="009B6FCB" w:rsidP="00A83386">
      <w:pPr>
        <w:pStyle w:val="SingleTxtG"/>
        <w:rPr>
          <w:color w:val="000000" w:themeColor="text1"/>
          <w:sz w:val="20"/>
          <w:szCs w:val="20"/>
        </w:rPr>
      </w:pPr>
      <w:r>
        <w:rPr>
          <w:color w:val="000000" w:themeColor="text1"/>
          <w:sz w:val="20"/>
          <w:szCs w:val="20"/>
        </w:rPr>
        <w:t>139</w:t>
      </w:r>
      <w:r w:rsidR="004D07DF" w:rsidRPr="0067399B">
        <w:rPr>
          <w:color w:val="000000" w:themeColor="text1"/>
          <w:sz w:val="20"/>
          <w:szCs w:val="20"/>
        </w:rPr>
        <w:t>.</w:t>
      </w:r>
      <w:r w:rsidR="004D07DF" w:rsidRPr="0067399B">
        <w:rPr>
          <w:color w:val="000000" w:themeColor="text1"/>
          <w:sz w:val="20"/>
          <w:szCs w:val="20"/>
        </w:rPr>
        <w:tab/>
        <w:t>Also at the same meeting, the na</w:t>
      </w:r>
      <w:r w:rsidR="004D07DF">
        <w:rPr>
          <w:color w:val="000000" w:themeColor="text1"/>
          <w:sz w:val="20"/>
          <w:szCs w:val="20"/>
        </w:rPr>
        <w:t>tional human rights institution</w:t>
      </w:r>
      <w:r w:rsidR="004D07DF" w:rsidRPr="0067399B">
        <w:rPr>
          <w:color w:val="000000" w:themeColor="text1"/>
          <w:sz w:val="20"/>
          <w:szCs w:val="20"/>
        </w:rPr>
        <w:t xml:space="preserve">, </w:t>
      </w:r>
      <w:r w:rsidR="004D07DF" w:rsidRPr="004D07DF">
        <w:rPr>
          <w:color w:val="000000" w:themeColor="text1"/>
          <w:sz w:val="20"/>
          <w:szCs w:val="20"/>
        </w:rPr>
        <w:t>National Consultative Commission on Human Rights of France</w:t>
      </w:r>
      <w:r w:rsidR="004D07DF">
        <w:rPr>
          <w:color w:val="000000" w:themeColor="text1"/>
          <w:sz w:val="20"/>
          <w:szCs w:val="20"/>
        </w:rPr>
        <w:t>,</w:t>
      </w:r>
      <w:r w:rsidR="004D07DF" w:rsidRPr="00502A3B">
        <w:rPr>
          <w:color w:val="000000" w:themeColor="text1"/>
          <w:sz w:val="20"/>
          <w:szCs w:val="20"/>
        </w:rPr>
        <w:t xml:space="preserve"> </w:t>
      </w:r>
      <w:r w:rsidR="004D07DF">
        <w:rPr>
          <w:color w:val="000000" w:themeColor="text1"/>
          <w:sz w:val="20"/>
          <w:szCs w:val="20"/>
        </w:rPr>
        <w:t xml:space="preserve">made a statement. The </w:t>
      </w:r>
      <w:r w:rsidR="004D07DF" w:rsidRPr="004D07DF">
        <w:rPr>
          <w:color w:val="000000" w:themeColor="text1"/>
          <w:sz w:val="20"/>
          <w:szCs w:val="20"/>
        </w:rPr>
        <w:t>Human Rights Commission of Sri Lanka</w:t>
      </w:r>
      <w:r w:rsidR="004D07DF">
        <w:rPr>
          <w:color w:val="000000" w:themeColor="text1"/>
          <w:sz w:val="20"/>
          <w:szCs w:val="20"/>
        </w:rPr>
        <w:t xml:space="preserve"> made a statement</w:t>
      </w:r>
      <w:r w:rsidR="004D07DF" w:rsidRPr="0067399B">
        <w:rPr>
          <w:color w:val="000000" w:themeColor="text1"/>
          <w:sz w:val="20"/>
          <w:szCs w:val="20"/>
        </w:rPr>
        <w:t xml:space="preserve"> (by video message).</w:t>
      </w:r>
      <w:r w:rsidR="004D07DF">
        <w:rPr>
          <w:color w:val="000000" w:themeColor="text1"/>
          <w:sz w:val="20"/>
          <w:szCs w:val="20"/>
        </w:rPr>
        <w:t xml:space="preserve"> </w:t>
      </w:r>
    </w:p>
    <w:p w14:paraId="6490746A" w14:textId="72DE46B7" w:rsidR="00A83386" w:rsidRPr="0067399B" w:rsidRDefault="009B6FCB" w:rsidP="00A83386">
      <w:pPr>
        <w:pStyle w:val="SingleTxtG"/>
        <w:rPr>
          <w:color w:val="000000" w:themeColor="text1"/>
          <w:sz w:val="20"/>
          <w:szCs w:val="20"/>
        </w:rPr>
      </w:pPr>
      <w:r>
        <w:rPr>
          <w:color w:val="000000" w:themeColor="text1"/>
          <w:sz w:val="20"/>
          <w:szCs w:val="20"/>
        </w:rPr>
        <w:t>140</w:t>
      </w:r>
      <w:r w:rsidR="00A83386" w:rsidRPr="0067399B">
        <w:rPr>
          <w:color w:val="000000" w:themeColor="text1"/>
          <w:sz w:val="20"/>
          <w:szCs w:val="20"/>
        </w:rPr>
        <w:t>.</w:t>
      </w:r>
      <w:r w:rsidR="00A83386" w:rsidRPr="0067399B">
        <w:rPr>
          <w:color w:val="000000" w:themeColor="text1"/>
          <w:sz w:val="20"/>
          <w:szCs w:val="20"/>
        </w:rPr>
        <w:tab/>
        <w:t xml:space="preserve">During the ensuing interactive dialogue, at the same meeting, on the same day, the following made statements and asked the Special Rapporteur questions: </w:t>
      </w:r>
    </w:p>
    <w:p w14:paraId="14CF0224" w14:textId="51764348" w:rsidR="00A83386" w:rsidRPr="0067399B" w:rsidRDefault="00A83386" w:rsidP="00A83386">
      <w:pPr>
        <w:spacing w:after="120"/>
        <w:ind w:left="1134" w:right="1134" w:firstLine="567"/>
        <w:jc w:val="both"/>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Pr>
          <w:color w:val="000000" w:themeColor="text1"/>
          <w:sz w:val="20"/>
          <w:szCs w:val="20"/>
        </w:rPr>
        <w:t>States Members</w:t>
      </w:r>
      <w:r w:rsidRPr="0067399B">
        <w:rPr>
          <w:color w:val="000000" w:themeColor="text1"/>
          <w:sz w:val="20"/>
          <w:szCs w:val="20"/>
        </w:rPr>
        <w:t xml:space="preserve"> of the Human Rights Council:</w:t>
      </w:r>
      <w:r w:rsidR="009907E7">
        <w:rPr>
          <w:color w:val="000000" w:themeColor="text1"/>
          <w:sz w:val="20"/>
          <w:szCs w:val="20"/>
        </w:rPr>
        <w:t xml:space="preserve"> </w:t>
      </w:r>
      <w:r w:rsidR="00C571EB" w:rsidRPr="00C571EB">
        <w:rPr>
          <w:color w:val="000000" w:themeColor="text1"/>
          <w:sz w:val="20"/>
          <w:szCs w:val="20"/>
        </w:rPr>
        <w:t>Afghanistan</w:t>
      </w:r>
      <w:r w:rsidR="00C571EB">
        <w:rPr>
          <w:color w:val="000000" w:themeColor="text1"/>
          <w:sz w:val="20"/>
          <w:szCs w:val="20"/>
        </w:rPr>
        <w:t xml:space="preserve">, </w:t>
      </w:r>
      <w:r w:rsidR="00C571EB" w:rsidRPr="00DE39F5">
        <w:rPr>
          <w:color w:val="000000" w:themeColor="text1"/>
          <w:sz w:val="20"/>
          <w:szCs w:val="20"/>
        </w:rPr>
        <w:t xml:space="preserve">Angola </w:t>
      </w:r>
      <w:r w:rsidR="00C571EB">
        <w:rPr>
          <w:color w:val="000000" w:themeColor="text1"/>
          <w:sz w:val="20"/>
          <w:szCs w:val="20"/>
        </w:rPr>
        <w:t>(</w:t>
      </w:r>
      <w:r w:rsidR="00C571EB" w:rsidRPr="00544A55">
        <w:rPr>
          <w:color w:val="000000" w:themeColor="text1"/>
          <w:sz w:val="20"/>
          <w:szCs w:val="20"/>
        </w:rPr>
        <w:t>on behalf of the Group of African States</w:t>
      </w:r>
      <w:r w:rsidR="00C571EB">
        <w:rPr>
          <w:color w:val="000000" w:themeColor="text1"/>
          <w:sz w:val="20"/>
          <w:szCs w:val="20"/>
        </w:rPr>
        <w:t xml:space="preserve">), </w:t>
      </w:r>
      <w:r w:rsidR="00C571EB" w:rsidRPr="00C571EB">
        <w:rPr>
          <w:color w:val="000000" w:themeColor="text1"/>
          <w:sz w:val="20"/>
          <w:szCs w:val="20"/>
        </w:rPr>
        <w:t>Australia</w:t>
      </w:r>
      <w:r w:rsidR="00C571EB">
        <w:rPr>
          <w:color w:val="000000" w:themeColor="text1"/>
          <w:sz w:val="20"/>
          <w:szCs w:val="20"/>
        </w:rPr>
        <w:t xml:space="preserve">, </w:t>
      </w:r>
      <w:r w:rsidR="00C571EB" w:rsidRPr="00DE39F5">
        <w:rPr>
          <w:color w:val="000000" w:themeColor="text1"/>
          <w:sz w:val="20"/>
          <w:szCs w:val="20"/>
        </w:rPr>
        <w:t xml:space="preserve">Bahrain </w:t>
      </w:r>
      <w:r w:rsidR="00C571EB">
        <w:rPr>
          <w:color w:val="000000" w:themeColor="text1"/>
          <w:sz w:val="20"/>
          <w:szCs w:val="20"/>
        </w:rPr>
        <w:t xml:space="preserve">(also </w:t>
      </w:r>
      <w:r w:rsidR="00C571EB" w:rsidRPr="00544A55">
        <w:rPr>
          <w:color w:val="000000" w:themeColor="text1"/>
          <w:sz w:val="20"/>
          <w:szCs w:val="20"/>
        </w:rPr>
        <w:t xml:space="preserve">on behalf of the Group of </w:t>
      </w:r>
      <w:r w:rsidR="00C571EB">
        <w:rPr>
          <w:color w:val="000000" w:themeColor="text1"/>
          <w:sz w:val="20"/>
          <w:szCs w:val="20"/>
        </w:rPr>
        <w:t>Arab</w:t>
      </w:r>
      <w:r w:rsidR="00C571EB" w:rsidRPr="00544A55">
        <w:rPr>
          <w:color w:val="000000" w:themeColor="text1"/>
          <w:sz w:val="20"/>
          <w:szCs w:val="20"/>
        </w:rPr>
        <w:t xml:space="preserve"> States</w:t>
      </w:r>
      <w:r w:rsidR="00C571EB">
        <w:rPr>
          <w:color w:val="000000" w:themeColor="text1"/>
          <w:sz w:val="20"/>
          <w:szCs w:val="20"/>
        </w:rPr>
        <w:t xml:space="preserve">), </w:t>
      </w:r>
      <w:r w:rsidR="00C571EB" w:rsidRPr="00C571EB">
        <w:rPr>
          <w:color w:val="000000" w:themeColor="text1"/>
          <w:sz w:val="20"/>
          <w:szCs w:val="20"/>
        </w:rPr>
        <w:t>Bangladesh</w:t>
      </w:r>
      <w:r w:rsidR="00C571EB">
        <w:rPr>
          <w:color w:val="000000" w:themeColor="text1"/>
          <w:sz w:val="20"/>
          <w:szCs w:val="20"/>
        </w:rPr>
        <w:t xml:space="preserve">, </w:t>
      </w:r>
      <w:r w:rsidR="00C571EB" w:rsidRPr="00C571EB">
        <w:rPr>
          <w:color w:val="000000" w:themeColor="text1"/>
          <w:sz w:val="20"/>
          <w:szCs w:val="20"/>
        </w:rPr>
        <w:t>Burkina Faso</w:t>
      </w:r>
      <w:r w:rsidR="00C571EB">
        <w:rPr>
          <w:color w:val="000000" w:themeColor="text1"/>
          <w:sz w:val="20"/>
          <w:szCs w:val="20"/>
        </w:rPr>
        <w:t xml:space="preserve">, </w:t>
      </w:r>
      <w:r w:rsidR="00C571EB" w:rsidRPr="00C571EB">
        <w:rPr>
          <w:color w:val="000000" w:themeColor="text1"/>
          <w:sz w:val="20"/>
          <w:szCs w:val="20"/>
        </w:rPr>
        <w:t>Cameroon</w:t>
      </w:r>
      <w:r w:rsidR="00C571EB">
        <w:rPr>
          <w:color w:val="000000" w:themeColor="text1"/>
          <w:sz w:val="20"/>
          <w:szCs w:val="20"/>
        </w:rPr>
        <w:t xml:space="preserve">, </w:t>
      </w:r>
      <w:r w:rsidR="00C571EB" w:rsidRPr="00C571EB">
        <w:rPr>
          <w:color w:val="000000" w:themeColor="text1"/>
          <w:sz w:val="20"/>
          <w:szCs w:val="20"/>
        </w:rPr>
        <w:t>China</w:t>
      </w:r>
      <w:r w:rsidR="00C571EB">
        <w:rPr>
          <w:color w:val="000000" w:themeColor="text1"/>
          <w:sz w:val="20"/>
          <w:szCs w:val="20"/>
        </w:rPr>
        <w:t xml:space="preserve">, </w:t>
      </w:r>
      <w:r w:rsidR="00C571EB" w:rsidRPr="00C571EB">
        <w:rPr>
          <w:color w:val="000000" w:themeColor="text1"/>
          <w:sz w:val="20"/>
          <w:szCs w:val="20"/>
        </w:rPr>
        <w:t>Cuba</w:t>
      </w:r>
      <w:r w:rsidR="00C571EB">
        <w:rPr>
          <w:color w:val="000000" w:themeColor="text1"/>
          <w:sz w:val="20"/>
          <w:szCs w:val="20"/>
        </w:rPr>
        <w:t xml:space="preserve">, </w:t>
      </w:r>
      <w:r w:rsidR="00C571EB" w:rsidRPr="00C571EB">
        <w:rPr>
          <w:color w:val="000000" w:themeColor="text1"/>
          <w:sz w:val="20"/>
          <w:szCs w:val="20"/>
        </w:rPr>
        <w:t>Egypt</w:t>
      </w:r>
      <w:r w:rsidR="00C571EB">
        <w:rPr>
          <w:color w:val="000000" w:themeColor="text1"/>
          <w:sz w:val="20"/>
          <w:szCs w:val="20"/>
        </w:rPr>
        <w:t xml:space="preserve">, </w:t>
      </w:r>
      <w:r w:rsidR="00C571EB" w:rsidRPr="00C571EB">
        <w:rPr>
          <w:color w:val="000000" w:themeColor="text1"/>
          <w:sz w:val="20"/>
          <w:szCs w:val="20"/>
        </w:rPr>
        <w:t>Iceland</w:t>
      </w:r>
      <w:r w:rsidR="00C571EB">
        <w:rPr>
          <w:color w:val="000000" w:themeColor="text1"/>
          <w:sz w:val="20"/>
          <w:szCs w:val="20"/>
        </w:rPr>
        <w:t xml:space="preserve">, </w:t>
      </w:r>
      <w:r w:rsidR="00C571EB" w:rsidRPr="00C571EB">
        <w:rPr>
          <w:color w:val="000000" w:themeColor="text1"/>
          <w:sz w:val="20"/>
          <w:szCs w:val="20"/>
        </w:rPr>
        <w:t>India</w:t>
      </w:r>
      <w:r w:rsidR="00C571EB">
        <w:rPr>
          <w:color w:val="000000" w:themeColor="text1"/>
          <w:sz w:val="20"/>
          <w:szCs w:val="20"/>
        </w:rPr>
        <w:t xml:space="preserve">, </w:t>
      </w:r>
      <w:r w:rsidR="00C571EB" w:rsidRPr="00C571EB">
        <w:rPr>
          <w:color w:val="000000" w:themeColor="text1"/>
          <w:sz w:val="20"/>
          <w:szCs w:val="20"/>
        </w:rPr>
        <w:t>Iraq</w:t>
      </w:r>
      <w:r w:rsidR="00C571EB">
        <w:rPr>
          <w:color w:val="000000" w:themeColor="text1"/>
          <w:sz w:val="20"/>
          <w:szCs w:val="20"/>
        </w:rPr>
        <w:t>,</w:t>
      </w:r>
      <w:r w:rsidR="00C571EB" w:rsidRPr="00C571EB">
        <w:rPr>
          <w:color w:val="000000" w:themeColor="text1"/>
          <w:sz w:val="20"/>
          <w:szCs w:val="20"/>
        </w:rPr>
        <w:t xml:space="preserve"> Mexico</w:t>
      </w:r>
      <w:r w:rsidR="00C571EB">
        <w:rPr>
          <w:color w:val="000000" w:themeColor="text1"/>
          <w:sz w:val="20"/>
          <w:szCs w:val="20"/>
        </w:rPr>
        <w:t xml:space="preserve">, </w:t>
      </w:r>
      <w:r w:rsidR="00C571EB" w:rsidRPr="00C571EB">
        <w:rPr>
          <w:color w:val="000000" w:themeColor="text1"/>
          <w:sz w:val="20"/>
          <w:szCs w:val="20"/>
        </w:rPr>
        <w:t>Nigeria</w:t>
      </w:r>
      <w:r w:rsidR="00C571EB">
        <w:rPr>
          <w:color w:val="000000" w:themeColor="text1"/>
          <w:sz w:val="20"/>
          <w:szCs w:val="20"/>
        </w:rPr>
        <w:t xml:space="preserve">, </w:t>
      </w:r>
      <w:r w:rsidR="00C571EB" w:rsidRPr="00C571EB">
        <w:rPr>
          <w:color w:val="000000" w:themeColor="text1"/>
          <w:sz w:val="20"/>
          <w:szCs w:val="20"/>
        </w:rPr>
        <w:t>Pakistan</w:t>
      </w:r>
      <w:r w:rsidR="00C571EB">
        <w:rPr>
          <w:color w:val="000000" w:themeColor="text1"/>
          <w:sz w:val="20"/>
          <w:szCs w:val="20"/>
        </w:rPr>
        <w:t xml:space="preserve">, </w:t>
      </w:r>
      <w:r w:rsidR="00C571EB" w:rsidRPr="00C571EB">
        <w:rPr>
          <w:color w:val="000000" w:themeColor="text1"/>
          <w:sz w:val="20"/>
          <w:szCs w:val="20"/>
        </w:rPr>
        <w:t>Philippines</w:t>
      </w:r>
      <w:r w:rsidR="00C571EB">
        <w:rPr>
          <w:color w:val="000000" w:themeColor="text1"/>
          <w:sz w:val="20"/>
          <w:szCs w:val="20"/>
        </w:rPr>
        <w:t xml:space="preserve">, </w:t>
      </w:r>
      <w:r w:rsidR="00C571EB" w:rsidRPr="00C571EB">
        <w:rPr>
          <w:color w:val="000000" w:themeColor="text1"/>
          <w:sz w:val="20"/>
          <w:szCs w:val="20"/>
        </w:rPr>
        <w:t>Qatar</w:t>
      </w:r>
      <w:r w:rsidR="00C571EB">
        <w:rPr>
          <w:color w:val="000000" w:themeColor="text1"/>
          <w:sz w:val="20"/>
          <w:szCs w:val="20"/>
        </w:rPr>
        <w:t xml:space="preserve">, </w:t>
      </w:r>
      <w:r w:rsidR="00C571EB" w:rsidRPr="00C571EB">
        <w:rPr>
          <w:color w:val="000000" w:themeColor="text1"/>
          <w:sz w:val="20"/>
          <w:szCs w:val="20"/>
        </w:rPr>
        <w:t>Senegal</w:t>
      </w:r>
      <w:r w:rsidR="00C571EB">
        <w:rPr>
          <w:color w:val="000000" w:themeColor="text1"/>
          <w:sz w:val="20"/>
          <w:szCs w:val="20"/>
        </w:rPr>
        <w:t xml:space="preserve">, </w:t>
      </w:r>
      <w:r w:rsidR="00C571EB" w:rsidRPr="00C571EB">
        <w:rPr>
          <w:color w:val="000000" w:themeColor="text1"/>
          <w:sz w:val="20"/>
          <w:szCs w:val="20"/>
        </w:rPr>
        <w:t>United Kingdom of Great Britain and Northern Ireland</w:t>
      </w:r>
      <w:r w:rsidR="00D66B45">
        <w:rPr>
          <w:color w:val="000000" w:themeColor="text1"/>
          <w:sz w:val="20"/>
          <w:szCs w:val="20"/>
        </w:rPr>
        <w:t>,</w:t>
      </w:r>
      <w:r w:rsidR="00147C0B" w:rsidRPr="00147C0B">
        <w:rPr>
          <w:color w:val="000000" w:themeColor="text1"/>
          <w:sz w:val="20"/>
          <w:szCs w:val="20"/>
        </w:rPr>
        <w:t xml:space="preserve"> </w:t>
      </w:r>
      <w:r w:rsidR="00147C0B" w:rsidRPr="00C571EB">
        <w:rPr>
          <w:color w:val="000000" w:themeColor="text1"/>
          <w:sz w:val="20"/>
          <w:szCs w:val="20"/>
        </w:rPr>
        <w:t>Uruguay</w:t>
      </w:r>
      <w:r w:rsidRPr="0067399B">
        <w:rPr>
          <w:color w:val="000000" w:themeColor="text1"/>
          <w:sz w:val="20"/>
          <w:szCs w:val="20"/>
        </w:rPr>
        <w:t>;</w:t>
      </w:r>
    </w:p>
    <w:p w14:paraId="6491EDAD" w14:textId="29856F98" w:rsidR="00A83386" w:rsidRPr="0067399B" w:rsidRDefault="00A83386" w:rsidP="00A83386">
      <w:pPr>
        <w:spacing w:after="120"/>
        <w:ind w:left="1134" w:right="1134" w:firstLine="567"/>
        <w:jc w:val="both"/>
        <w:rPr>
          <w:color w:val="000000" w:themeColor="text1"/>
          <w:sz w:val="20"/>
          <w:szCs w:val="20"/>
        </w:rPr>
      </w:pPr>
      <w:r w:rsidRPr="0067399B">
        <w:rPr>
          <w:color w:val="000000" w:themeColor="text1"/>
          <w:sz w:val="20"/>
          <w:szCs w:val="20"/>
        </w:rPr>
        <w:t>(b)</w:t>
      </w:r>
      <w:r w:rsidRPr="0067399B">
        <w:rPr>
          <w:color w:val="000000" w:themeColor="text1"/>
          <w:sz w:val="20"/>
          <w:szCs w:val="20"/>
        </w:rPr>
        <w:tab/>
        <w:t>Repr</w:t>
      </w:r>
      <w:r w:rsidR="00C571EB">
        <w:rPr>
          <w:color w:val="000000" w:themeColor="text1"/>
          <w:sz w:val="20"/>
          <w:szCs w:val="20"/>
        </w:rPr>
        <w:t xml:space="preserve">esentatives of observer States: </w:t>
      </w:r>
      <w:r w:rsidR="00C571EB" w:rsidRPr="00C571EB">
        <w:rPr>
          <w:color w:val="000000" w:themeColor="text1"/>
          <w:sz w:val="20"/>
          <w:szCs w:val="20"/>
        </w:rPr>
        <w:t>Albania</w:t>
      </w:r>
      <w:r w:rsidR="00C571EB">
        <w:rPr>
          <w:color w:val="000000" w:themeColor="text1"/>
          <w:sz w:val="20"/>
          <w:szCs w:val="20"/>
        </w:rPr>
        <w:t xml:space="preserve">, </w:t>
      </w:r>
      <w:r w:rsidR="00C571EB" w:rsidRPr="00C571EB">
        <w:rPr>
          <w:color w:val="000000" w:themeColor="text1"/>
          <w:sz w:val="20"/>
          <w:szCs w:val="20"/>
        </w:rPr>
        <w:t>Algeria</w:t>
      </w:r>
      <w:r w:rsidR="00C571EB">
        <w:rPr>
          <w:color w:val="000000" w:themeColor="text1"/>
          <w:sz w:val="20"/>
          <w:szCs w:val="20"/>
        </w:rPr>
        <w:t xml:space="preserve">, </w:t>
      </w:r>
      <w:r w:rsidR="00C571EB" w:rsidRPr="00C571EB">
        <w:rPr>
          <w:color w:val="000000" w:themeColor="text1"/>
          <w:sz w:val="20"/>
          <w:szCs w:val="20"/>
        </w:rPr>
        <w:t>Chad</w:t>
      </w:r>
      <w:r w:rsidR="00C571EB">
        <w:rPr>
          <w:color w:val="000000" w:themeColor="text1"/>
          <w:sz w:val="20"/>
          <w:szCs w:val="20"/>
        </w:rPr>
        <w:t xml:space="preserve">, </w:t>
      </w:r>
      <w:r w:rsidR="00C571EB" w:rsidRPr="00C571EB">
        <w:rPr>
          <w:color w:val="000000" w:themeColor="text1"/>
          <w:sz w:val="20"/>
          <w:szCs w:val="20"/>
        </w:rPr>
        <w:t>Ecuador</w:t>
      </w:r>
      <w:r w:rsidR="00C571EB">
        <w:rPr>
          <w:color w:val="000000" w:themeColor="text1"/>
          <w:sz w:val="20"/>
          <w:szCs w:val="20"/>
        </w:rPr>
        <w:t xml:space="preserve">, </w:t>
      </w:r>
      <w:r w:rsidR="00C571EB" w:rsidRPr="00C571EB">
        <w:rPr>
          <w:color w:val="000000" w:themeColor="text1"/>
          <w:sz w:val="20"/>
          <w:szCs w:val="20"/>
        </w:rPr>
        <w:t>Estonia</w:t>
      </w:r>
      <w:r w:rsidR="00C571EB">
        <w:rPr>
          <w:color w:val="000000" w:themeColor="text1"/>
          <w:sz w:val="20"/>
          <w:szCs w:val="20"/>
        </w:rPr>
        <w:t xml:space="preserve">, </w:t>
      </w:r>
      <w:r w:rsidR="00C571EB" w:rsidRPr="00C571EB">
        <w:rPr>
          <w:color w:val="000000" w:themeColor="text1"/>
          <w:sz w:val="20"/>
          <w:szCs w:val="20"/>
        </w:rPr>
        <w:t>Iran (Islamic Republic of)</w:t>
      </w:r>
      <w:r w:rsidR="00C571EB">
        <w:rPr>
          <w:color w:val="000000" w:themeColor="text1"/>
          <w:sz w:val="20"/>
          <w:szCs w:val="20"/>
        </w:rPr>
        <w:t xml:space="preserve">, </w:t>
      </w:r>
      <w:r w:rsidR="00C571EB" w:rsidRPr="00C571EB">
        <w:rPr>
          <w:color w:val="000000" w:themeColor="text1"/>
          <w:sz w:val="20"/>
          <w:szCs w:val="20"/>
        </w:rPr>
        <w:t>Ireland</w:t>
      </w:r>
      <w:r w:rsidR="00C571EB">
        <w:rPr>
          <w:color w:val="000000" w:themeColor="text1"/>
          <w:sz w:val="20"/>
          <w:szCs w:val="20"/>
        </w:rPr>
        <w:t xml:space="preserve">, </w:t>
      </w:r>
      <w:r w:rsidR="00C571EB" w:rsidRPr="00C571EB">
        <w:rPr>
          <w:color w:val="000000" w:themeColor="text1"/>
          <w:sz w:val="20"/>
          <w:szCs w:val="20"/>
        </w:rPr>
        <w:t>Israel</w:t>
      </w:r>
      <w:r w:rsidR="00C571EB">
        <w:rPr>
          <w:color w:val="000000" w:themeColor="text1"/>
          <w:sz w:val="20"/>
          <w:szCs w:val="20"/>
        </w:rPr>
        <w:t xml:space="preserve">, </w:t>
      </w:r>
      <w:r w:rsidR="00C571EB" w:rsidRPr="00C571EB">
        <w:rPr>
          <w:color w:val="000000" w:themeColor="text1"/>
          <w:sz w:val="20"/>
          <w:szCs w:val="20"/>
        </w:rPr>
        <w:t>Jordan</w:t>
      </w:r>
      <w:r w:rsidR="00C571EB">
        <w:rPr>
          <w:color w:val="000000" w:themeColor="text1"/>
          <w:sz w:val="20"/>
          <w:szCs w:val="20"/>
        </w:rPr>
        <w:t xml:space="preserve">, </w:t>
      </w:r>
      <w:r w:rsidR="00C571EB" w:rsidRPr="00C571EB">
        <w:rPr>
          <w:color w:val="000000" w:themeColor="text1"/>
          <w:sz w:val="20"/>
          <w:szCs w:val="20"/>
        </w:rPr>
        <w:t>Lebanon</w:t>
      </w:r>
      <w:r w:rsidR="00C571EB">
        <w:rPr>
          <w:color w:val="000000" w:themeColor="text1"/>
          <w:sz w:val="20"/>
          <w:szCs w:val="20"/>
        </w:rPr>
        <w:t xml:space="preserve">, </w:t>
      </w:r>
      <w:r w:rsidR="00C571EB" w:rsidRPr="00C571EB">
        <w:rPr>
          <w:color w:val="000000" w:themeColor="text1"/>
          <w:sz w:val="20"/>
          <w:szCs w:val="20"/>
        </w:rPr>
        <w:t>Libya</w:t>
      </w:r>
      <w:r w:rsidR="00C571EB">
        <w:rPr>
          <w:color w:val="000000" w:themeColor="text1"/>
          <w:sz w:val="20"/>
          <w:szCs w:val="20"/>
        </w:rPr>
        <w:t xml:space="preserve">, </w:t>
      </w:r>
      <w:r w:rsidR="00C571EB" w:rsidRPr="00C571EB">
        <w:rPr>
          <w:color w:val="000000" w:themeColor="text1"/>
          <w:sz w:val="20"/>
          <w:szCs w:val="20"/>
        </w:rPr>
        <w:t>Maldives</w:t>
      </w:r>
      <w:r w:rsidR="00C571EB">
        <w:rPr>
          <w:color w:val="000000" w:themeColor="text1"/>
          <w:sz w:val="20"/>
          <w:szCs w:val="20"/>
        </w:rPr>
        <w:t xml:space="preserve">, </w:t>
      </w:r>
      <w:r w:rsidR="00C571EB" w:rsidRPr="00C571EB">
        <w:rPr>
          <w:color w:val="000000" w:themeColor="text1"/>
          <w:sz w:val="20"/>
          <w:szCs w:val="20"/>
        </w:rPr>
        <w:t>Morocco</w:t>
      </w:r>
      <w:r w:rsidR="00C571EB">
        <w:rPr>
          <w:color w:val="000000" w:themeColor="text1"/>
          <w:sz w:val="20"/>
          <w:szCs w:val="20"/>
        </w:rPr>
        <w:t xml:space="preserve">, </w:t>
      </w:r>
      <w:r w:rsidR="00C571EB" w:rsidRPr="00C571EB">
        <w:rPr>
          <w:color w:val="000000" w:themeColor="text1"/>
          <w:sz w:val="20"/>
          <w:szCs w:val="20"/>
        </w:rPr>
        <w:t>Myanmar</w:t>
      </w:r>
      <w:r w:rsidR="00C571EB">
        <w:rPr>
          <w:color w:val="000000" w:themeColor="text1"/>
          <w:sz w:val="20"/>
          <w:szCs w:val="20"/>
        </w:rPr>
        <w:t xml:space="preserve">, </w:t>
      </w:r>
      <w:r w:rsidR="00C571EB" w:rsidRPr="00C571EB">
        <w:rPr>
          <w:color w:val="000000" w:themeColor="text1"/>
          <w:sz w:val="20"/>
          <w:szCs w:val="20"/>
        </w:rPr>
        <w:t>Russian Federation</w:t>
      </w:r>
      <w:r w:rsidR="00C571EB">
        <w:rPr>
          <w:color w:val="000000" w:themeColor="text1"/>
          <w:sz w:val="20"/>
          <w:szCs w:val="20"/>
        </w:rPr>
        <w:t xml:space="preserve">, </w:t>
      </w:r>
      <w:r w:rsidR="00C571EB" w:rsidRPr="00C571EB">
        <w:rPr>
          <w:color w:val="000000" w:themeColor="text1"/>
          <w:sz w:val="20"/>
          <w:szCs w:val="20"/>
        </w:rPr>
        <w:t>Sudan</w:t>
      </w:r>
      <w:r w:rsidR="00C571EB">
        <w:rPr>
          <w:color w:val="000000" w:themeColor="text1"/>
          <w:sz w:val="20"/>
          <w:szCs w:val="20"/>
        </w:rPr>
        <w:t xml:space="preserve">, </w:t>
      </w:r>
      <w:r w:rsidR="00C571EB" w:rsidRPr="00C571EB">
        <w:rPr>
          <w:color w:val="000000" w:themeColor="text1"/>
          <w:sz w:val="20"/>
          <w:szCs w:val="20"/>
        </w:rPr>
        <w:t>Switzerland</w:t>
      </w:r>
      <w:r w:rsidR="00C571EB">
        <w:rPr>
          <w:color w:val="000000" w:themeColor="text1"/>
          <w:sz w:val="20"/>
          <w:szCs w:val="20"/>
        </w:rPr>
        <w:t xml:space="preserve">, </w:t>
      </w:r>
      <w:r w:rsidR="00C571EB" w:rsidRPr="00C571EB">
        <w:rPr>
          <w:color w:val="000000" w:themeColor="text1"/>
          <w:sz w:val="20"/>
          <w:szCs w:val="20"/>
        </w:rPr>
        <w:t>Syrian Arab Republic</w:t>
      </w:r>
      <w:r w:rsidR="00C571EB">
        <w:rPr>
          <w:color w:val="000000" w:themeColor="text1"/>
          <w:sz w:val="20"/>
          <w:szCs w:val="20"/>
        </w:rPr>
        <w:t xml:space="preserve">, </w:t>
      </w:r>
      <w:r w:rsidR="00C571EB" w:rsidRPr="00C571EB">
        <w:rPr>
          <w:color w:val="000000" w:themeColor="text1"/>
          <w:sz w:val="20"/>
          <w:szCs w:val="20"/>
        </w:rPr>
        <w:t>Trinidad and Tobago</w:t>
      </w:r>
      <w:r w:rsidR="00C571EB">
        <w:rPr>
          <w:color w:val="000000" w:themeColor="text1"/>
          <w:sz w:val="20"/>
          <w:szCs w:val="20"/>
        </w:rPr>
        <w:t xml:space="preserve">, </w:t>
      </w:r>
      <w:r w:rsidR="00C571EB" w:rsidRPr="00C571EB">
        <w:rPr>
          <w:color w:val="000000" w:themeColor="text1"/>
          <w:sz w:val="20"/>
          <w:szCs w:val="20"/>
        </w:rPr>
        <w:t>United Arab Emirates</w:t>
      </w:r>
      <w:r w:rsidR="00C571EB">
        <w:rPr>
          <w:color w:val="000000" w:themeColor="text1"/>
          <w:sz w:val="20"/>
          <w:szCs w:val="20"/>
        </w:rPr>
        <w:t xml:space="preserve">, </w:t>
      </w:r>
      <w:r w:rsidR="00C571EB" w:rsidRPr="00C571EB">
        <w:rPr>
          <w:color w:val="000000" w:themeColor="text1"/>
          <w:sz w:val="20"/>
          <w:szCs w:val="20"/>
        </w:rPr>
        <w:t>State of Palestine</w:t>
      </w:r>
      <w:r w:rsidRPr="0067399B">
        <w:rPr>
          <w:color w:val="000000" w:themeColor="text1"/>
          <w:sz w:val="20"/>
          <w:szCs w:val="20"/>
        </w:rPr>
        <w:t xml:space="preserve">; </w:t>
      </w:r>
    </w:p>
    <w:p w14:paraId="4D57F471" w14:textId="77777777" w:rsidR="00A83386" w:rsidRPr="0067399B" w:rsidRDefault="00A83386" w:rsidP="00A83386">
      <w:pPr>
        <w:spacing w:after="120"/>
        <w:ind w:left="1134" w:right="1134" w:firstLine="567"/>
        <w:jc w:val="both"/>
        <w:rPr>
          <w:color w:val="000000" w:themeColor="text1"/>
          <w:sz w:val="20"/>
          <w:szCs w:val="20"/>
        </w:rPr>
      </w:pPr>
      <w:r w:rsidRPr="0067399B">
        <w:rPr>
          <w:color w:val="000000" w:themeColor="text1"/>
          <w:sz w:val="20"/>
          <w:szCs w:val="20"/>
        </w:rPr>
        <w:t>(c)</w:t>
      </w:r>
      <w:r w:rsidRPr="0067399B">
        <w:rPr>
          <w:color w:val="000000" w:themeColor="text1"/>
          <w:sz w:val="20"/>
          <w:szCs w:val="20"/>
        </w:rPr>
        <w:tab/>
        <w:t xml:space="preserve">Observer for an intergovernmental organization: European Union; </w:t>
      </w:r>
    </w:p>
    <w:p w14:paraId="424970C9" w14:textId="390CDD6B" w:rsidR="00A83386" w:rsidRPr="0067399B" w:rsidRDefault="00A83386" w:rsidP="00A83386">
      <w:pPr>
        <w:spacing w:after="120"/>
        <w:ind w:left="1134" w:right="1134" w:firstLine="567"/>
        <w:jc w:val="both"/>
        <w:rPr>
          <w:color w:val="000000" w:themeColor="text1"/>
          <w:sz w:val="20"/>
          <w:szCs w:val="20"/>
        </w:rPr>
      </w:pPr>
      <w:r w:rsidRPr="0067399B">
        <w:rPr>
          <w:color w:val="000000" w:themeColor="text1"/>
          <w:sz w:val="20"/>
          <w:szCs w:val="20"/>
        </w:rPr>
        <w:t>(d)</w:t>
      </w:r>
      <w:r w:rsidRPr="0067399B">
        <w:rPr>
          <w:color w:val="000000" w:themeColor="text1"/>
          <w:sz w:val="20"/>
          <w:szCs w:val="20"/>
        </w:rPr>
        <w:tab/>
        <w:t xml:space="preserve">Observers for non-governmental organizations: </w:t>
      </w:r>
      <w:r w:rsidR="0083259D" w:rsidRPr="0083259D">
        <w:rPr>
          <w:color w:val="000000" w:themeColor="text1"/>
          <w:sz w:val="20"/>
          <w:szCs w:val="20"/>
        </w:rPr>
        <w:t>China Society for Human Rights Studies (CSHRS)</w:t>
      </w:r>
      <w:r w:rsidR="0083259D">
        <w:rPr>
          <w:color w:val="000000" w:themeColor="text1"/>
          <w:sz w:val="20"/>
          <w:szCs w:val="20"/>
        </w:rPr>
        <w:t xml:space="preserve">; </w:t>
      </w:r>
      <w:r w:rsidR="0083259D" w:rsidRPr="0083259D">
        <w:rPr>
          <w:color w:val="000000" w:themeColor="text1"/>
          <w:sz w:val="20"/>
          <w:szCs w:val="20"/>
        </w:rPr>
        <w:t>Franciscans International</w:t>
      </w:r>
      <w:r w:rsidR="0083259D">
        <w:rPr>
          <w:color w:val="000000" w:themeColor="text1"/>
          <w:sz w:val="20"/>
          <w:szCs w:val="20"/>
        </w:rPr>
        <w:t xml:space="preserve"> </w:t>
      </w:r>
      <w:r w:rsidR="0083259D">
        <w:rPr>
          <w:color w:val="000000" w:themeColor="text1"/>
          <w:sz w:val="20"/>
          <w:szCs w:val="20"/>
          <w:lang w:val="en-GB"/>
        </w:rPr>
        <w:t xml:space="preserve">(also on behalf of </w:t>
      </w:r>
      <w:r w:rsidR="0083259D">
        <w:rPr>
          <w:color w:val="000000" w:themeColor="text1"/>
          <w:sz w:val="20"/>
          <w:szCs w:val="20"/>
        </w:rPr>
        <w:t xml:space="preserve">Amnesty International); </w:t>
      </w:r>
      <w:r w:rsidR="001763E0" w:rsidRPr="0083259D">
        <w:rPr>
          <w:color w:val="000000" w:themeColor="text1"/>
          <w:sz w:val="20"/>
          <w:szCs w:val="20"/>
        </w:rPr>
        <w:t>Humanist Institute for Co-operation with Developing Countries</w:t>
      </w:r>
      <w:r w:rsidR="001763E0">
        <w:rPr>
          <w:color w:val="000000" w:themeColor="text1"/>
          <w:sz w:val="20"/>
          <w:szCs w:val="20"/>
        </w:rPr>
        <w:t xml:space="preserve">; </w:t>
      </w:r>
      <w:r w:rsidR="001763E0" w:rsidRPr="0083259D">
        <w:rPr>
          <w:color w:val="000000" w:themeColor="text1"/>
          <w:sz w:val="20"/>
          <w:szCs w:val="20"/>
        </w:rPr>
        <w:t>Human Rights Advocates Inc.</w:t>
      </w:r>
      <w:r w:rsidR="001763E0">
        <w:rPr>
          <w:color w:val="000000" w:themeColor="text1"/>
          <w:sz w:val="20"/>
          <w:szCs w:val="20"/>
        </w:rPr>
        <w:t xml:space="preserve">; </w:t>
      </w:r>
      <w:r w:rsidR="0083259D" w:rsidRPr="0083259D">
        <w:rPr>
          <w:color w:val="000000" w:themeColor="text1"/>
          <w:sz w:val="20"/>
          <w:szCs w:val="20"/>
        </w:rPr>
        <w:t>International Commission of Jurists</w:t>
      </w:r>
      <w:r w:rsidR="0083259D">
        <w:rPr>
          <w:color w:val="000000" w:themeColor="text1"/>
          <w:sz w:val="20"/>
          <w:szCs w:val="20"/>
        </w:rPr>
        <w:t xml:space="preserve"> (also on behalf of </w:t>
      </w:r>
      <w:r w:rsidR="0083259D" w:rsidRPr="0083259D">
        <w:rPr>
          <w:color w:val="000000" w:themeColor="text1"/>
          <w:sz w:val="20"/>
          <w:szCs w:val="20"/>
        </w:rPr>
        <w:t>Amnesty International</w:t>
      </w:r>
      <w:r w:rsidR="0083259D">
        <w:rPr>
          <w:color w:val="000000" w:themeColor="text1"/>
          <w:sz w:val="20"/>
          <w:szCs w:val="20"/>
        </w:rPr>
        <w:t xml:space="preserve">; </w:t>
      </w:r>
      <w:r w:rsidR="0083259D" w:rsidRPr="0083259D">
        <w:rPr>
          <w:color w:val="000000" w:themeColor="text1"/>
          <w:sz w:val="20"/>
          <w:szCs w:val="20"/>
        </w:rPr>
        <w:t>Article 19 - International Centre Against Censorship, The</w:t>
      </w:r>
      <w:r w:rsidR="0083259D">
        <w:rPr>
          <w:color w:val="000000" w:themeColor="text1"/>
          <w:sz w:val="20"/>
          <w:szCs w:val="20"/>
        </w:rPr>
        <w:t xml:space="preserve"> and </w:t>
      </w:r>
      <w:r w:rsidR="0083259D" w:rsidRPr="0083259D">
        <w:rPr>
          <w:color w:val="000000" w:themeColor="text1"/>
          <w:sz w:val="20"/>
          <w:szCs w:val="20"/>
        </w:rPr>
        <w:t>International Fede</w:t>
      </w:r>
      <w:r w:rsidR="0083259D">
        <w:rPr>
          <w:color w:val="000000" w:themeColor="text1"/>
          <w:sz w:val="20"/>
          <w:szCs w:val="20"/>
        </w:rPr>
        <w:t xml:space="preserve">ration for Human Rights Leagues); </w:t>
      </w:r>
      <w:r w:rsidR="0083259D" w:rsidRPr="0083259D">
        <w:rPr>
          <w:color w:val="000000" w:themeColor="text1"/>
          <w:sz w:val="20"/>
          <w:szCs w:val="20"/>
        </w:rPr>
        <w:t>Iraqi Development Organization</w:t>
      </w:r>
      <w:r w:rsidR="0083259D">
        <w:rPr>
          <w:color w:val="000000" w:themeColor="text1"/>
          <w:sz w:val="20"/>
          <w:szCs w:val="20"/>
        </w:rPr>
        <w:t xml:space="preserve">; </w:t>
      </w:r>
      <w:r w:rsidR="0083259D" w:rsidRPr="0083259D">
        <w:rPr>
          <w:color w:val="000000" w:themeColor="text1"/>
          <w:sz w:val="20"/>
          <w:szCs w:val="20"/>
        </w:rPr>
        <w:t>Open Society Institute</w:t>
      </w:r>
      <w:r w:rsidR="0083259D">
        <w:rPr>
          <w:color w:val="000000" w:themeColor="text1"/>
          <w:sz w:val="20"/>
          <w:szCs w:val="20"/>
        </w:rPr>
        <w:t xml:space="preserve">; </w:t>
      </w:r>
      <w:r w:rsidR="0083259D" w:rsidRPr="0083259D">
        <w:rPr>
          <w:color w:val="000000" w:themeColor="text1"/>
          <w:sz w:val="20"/>
          <w:szCs w:val="20"/>
        </w:rPr>
        <w:t>Right Livelihood Award Foundation</w:t>
      </w:r>
      <w:r w:rsidRPr="0067399B">
        <w:rPr>
          <w:color w:val="000000" w:themeColor="text1"/>
          <w:sz w:val="20"/>
          <w:szCs w:val="20"/>
        </w:rPr>
        <w:t>.</w:t>
      </w:r>
    </w:p>
    <w:p w14:paraId="1678B1C7" w14:textId="4BBCCD0B" w:rsidR="00A83386" w:rsidRDefault="009B6FCB" w:rsidP="00A83386">
      <w:pPr>
        <w:pStyle w:val="SingleTxtG"/>
        <w:rPr>
          <w:color w:val="000000" w:themeColor="text1"/>
          <w:sz w:val="20"/>
          <w:szCs w:val="20"/>
        </w:rPr>
      </w:pPr>
      <w:r>
        <w:rPr>
          <w:color w:val="000000" w:themeColor="text1"/>
          <w:sz w:val="20"/>
          <w:szCs w:val="20"/>
        </w:rPr>
        <w:t>141</w:t>
      </w:r>
      <w:r w:rsidR="00A83386" w:rsidRPr="0067399B">
        <w:rPr>
          <w:color w:val="000000" w:themeColor="text1"/>
          <w:sz w:val="20"/>
          <w:szCs w:val="20"/>
        </w:rPr>
        <w:t>.</w:t>
      </w:r>
      <w:r w:rsidR="00A83386" w:rsidRPr="0067399B">
        <w:rPr>
          <w:color w:val="000000" w:themeColor="text1"/>
          <w:sz w:val="20"/>
          <w:szCs w:val="20"/>
        </w:rPr>
        <w:tab/>
        <w:t xml:space="preserve">At the </w:t>
      </w:r>
      <w:r w:rsidR="00560E2F" w:rsidRPr="0067399B">
        <w:rPr>
          <w:color w:val="000000" w:themeColor="text1"/>
          <w:sz w:val="20"/>
          <w:szCs w:val="20"/>
        </w:rPr>
        <w:t>same meeting, on the same day</w:t>
      </w:r>
      <w:r w:rsidR="00A83386" w:rsidRPr="0067399B">
        <w:rPr>
          <w:color w:val="000000" w:themeColor="text1"/>
          <w:sz w:val="20"/>
          <w:szCs w:val="20"/>
        </w:rPr>
        <w:t>, the Special Rapporteur answered questions and made her concluding remarks.</w:t>
      </w:r>
    </w:p>
    <w:p w14:paraId="0728BF1C" w14:textId="3B9EBD24" w:rsidR="00A017B4" w:rsidRDefault="009B6FCB" w:rsidP="00A017B4">
      <w:pPr>
        <w:pStyle w:val="SingleTxtG"/>
        <w:rPr>
          <w:color w:val="000000" w:themeColor="text1"/>
          <w:sz w:val="20"/>
          <w:szCs w:val="20"/>
        </w:rPr>
      </w:pPr>
      <w:r>
        <w:rPr>
          <w:color w:val="000000" w:themeColor="text1"/>
          <w:sz w:val="20"/>
          <w:szCs w:val="20"/>
        </w:rPr>
        <w:t>142</w:t>
      </w:r>
      <w:r w:rsidR="00A017B4" w:rsidRPr="00031F5C">
        <w:rPr>
          <w:color w:val="000000" w:themeColor="text1"/>
          <w:sz w:val="20"/>
          <w:szCs w:val="20"/>
        </w:rPr>
        <w:t>.</w:t>
      </w:r>
      <w:r w:rsidR="00A017B4" w:rsidRPr="00031F5C">
        <w:rPr>
          <w:color w:val="000000" w:themeColor="text1"/>
          <w:sz w:val="20"/>
          <w:szCs w:val="20"/>
        </w:rPr>
        <w:tab/>
        <w:t>A</w:t>
      </w:r>
      <w:r w:rsidR="00A017B4">
        <w:rPr>
          <w:color w:val="000000" w:themeColor="text1"/>
          <w:sz w:val="20"/>
          <w:szCs w:val="20"/>
        </w:rPr>
        <w:t>lso a</w:t>
      </w:r>
      <w:r w:rsidR="00A017B4" w:rsidRPr="00031F5C">
        <w:rPr>
          <w:color w:val="000000" w:themeColor="text1"/>
          <w:sz w:val="20"/>
          <w:szCs w:val="20"/>
        </w:rPr>
        <w:t xml:space="preserve">t the </w:t>
      </w:r>
      <w:r w:rsidR="00A017B4">
        <w:rPr>
          <w:color w:val="000000" w:themeColor="text1"/>
          <w:sz w:val="20"/>
          <w:szCs w:val="20"/>
        </w:rPr>
        <w:t>same</w:t>
      </w:r>
      <w:r w:rsidR="00A017B4" w:rsidRPr="00031F5C">
        <w:rPr>
          <w:color w:val="000000" w:themeColor="text1"/>
          <w:sz w:val="20"/>
          <w:szCs w:val="20"/>
        </w:rPr>
        <w:t xml:space="preserve"> meeting, statement</w:t>
      </w:r>
      <w:r w:rsidR="00A017B4">
        <w:rPr>
          <w:color w:val="000000" w:themeColor="text1"/>
          <w:sz w:val="20"/>
          <w:szCs w:val="20"/>
        </w:rPr>
        <w:t>s</w:t>
      </w:r>
      <w:r w:rsidR="00A017B4" w:rsidRPr="00031F5C">
        <w:rPr>
          <w:color w:val="000000" w:themeColor="text1"/>
          <w:sz w:val="20"/>
          <w:szCs w:val="20"/>
        </w:rPr>
        <w:t xml:space="preserve"> in exercise of the right of reply </w:t>
      </w:r>
      <w:r w:rsidR="00A017B4">
        <w:rPr>
          <w:color w:val="000000" w:themeColor="text1"/>
          <w:sz w:val="20"/>
          <w:szCs w:val="20"/>
        </w:rPr>
        <w:t>were</w:t>
      </w:r>
      <w:r w:rsidR="00A017B4" w:rsidRPr="00031F5C">
        <w:rPr>
          <w:color w:val="000000" w:themeColor="text1"/>
          <w:sz w:val="20"/>
          <w:szCs w:val="20"/>
        </w:rPr>
        <w:t xml:space="preserve"> made by the representative</w:t>
      </w:r>
      <w:r w:rsidR="00A017B4">
        <w:rPr>
          <w:color w:val="000000" w:themeColor="text1"/>
          <w:sz w:val="20"/>
          <w:szCs w:val="20"/>
        </w:rPr>
        <w:t>s</w:t>
      </w:r>
      <w:r w:rsidR="00A017B4" w:rsidRPr="00031F5C">
        <w:rPr>
          <w:color w:val="000000" w:themeColor="text1"/>
          <w:sz w:val="20"/>
          <w:szCs w:val="20"/>
        </w:rPr>
        <w:t xml:space="preserve"> of </w:t>
      </w:r>
      <w:r w:rsidR="00A017B4">
        <w:rPr>
          <w:color w:val="000000" w:themeColor="text1"/>
          <w:sz w:val="20"/>
          <w:szCs w:val="20"/>
        </w:rPr>
        <w:t>Qatar and Saudi Arabia</w:t>
      </w:r>
      <w:r w:rsidR="00A017B4" w:rsidRPr="00031F5C">
        <w:rPr>
          <w:color w:val="000000" w:themeColor="text1"/>
          <w:sz w:val="20"/>
          <w:szCs w:val="20"/>
        </w:rPr>
        <w:t>.</w:t>
      </w:r>
    </w:p>
    <w:p w14:paraId="6C43558B" w14:textId="123BAFF5" w:rsidR="002A1030" w:rsidRPr="0067399B" w:rsidRDefault="009B6FCB" w:rsidP="002A1030">
      <w:pPr>
        <w:pStyle w:val="SingleTxtG"/>
        <w:rPr>
          <w:color w:val="000000" w:themeColor="text1"/>
          <w:sz w:val="20"/>
          <w:szCs w:val="20"/>
        </w:rPr>
      </w:pPr>
      <w:r>
        <w:rPr>
          <w:color w:val="000000" w:themeColor="text1"/>
          <w:sz w:val="20"/>
          <w:szCs w:val="20"/>
        </w:rPr>
        <w:t>143</w:t>
      </w:r>
      <w:r w:rsidR="002A1030" w:rsidRPr="00A017B4">
        <w:rPr>
          <w:color w:val="000000" w:themeColor="text1"/>
          <w:sz w:val="20"/>
          <w:szCs w:val="20"/>
        </w:rPr>
        <w:t>.</w:t>
      </w:r>
      <w:r w:rsidR="002A1030" w:rsidRPr="00A017B4">
        <w:rPr>
          <w:color w:val="000000" w:themeColor="text1"/>
          <w:sz w:val="20"/>
          <w:szCs w:val="20"/>
        </w:rPr>
        <w:tab/>
        <w:t>At the same meeting, statements in exercise of a second right of reply were made by the representatives of</w:t>
      </w:r>
      <w:r w:rsidR="002A1030">
        <w:rPr>
          <w:color w:val="000000" w:themeColor="text1"/>
          <w:sz w:val="20"/>
          <w:szCs w:val="20"/>
        </w:rPr>
        <w:t xml:space="preserve"> </w:t>
      </w:r>
      <w:r w:rsidR="002A1030" w:rsidRPr="002A1030">
        <w:rPr>
          <w:color w:val="000000" w:themeColor="text1"/>
          <w:sz w:val="20"/>
          <w:szCs w:val="20"/>
        </w:rPr>
        <w:t>Qatar and Saudi Arabia</w:t>
      </w:r>
      <w:r w:rsidR="002A1030" w:rsidRPr="00A017B4">
        <w:rPr>
          <w:color w:val="000000" w:themeColor="text1"/>
          <w:sz w:val="20"/>
          <w:szCs w:val="20"/>
        </w:rPr>
        <w:t>.</w:t>
      </w:r>
    </w:p>
    <w:p w14:paraId="7AA00A5A" w14:textId="39512521" w:rsidR="009B441F" w:rsidRPr="0067399B" w:rsidRDefault="009B441F" w:rsidP="009B441F">
      <w:pPr>
        <w:pStyle w:val="H1G"/>
        <w:rPr>
          <w:color w:val="000000" w:themeColor="text1"/>
          <w:sz w:val="20"/>
          <w:szCs w:val="20"/>
        </w:rPr>
      </w:pPr>
      <w:r w:rsidRPr="0067399B">
        <w:rPr>
          <w:color w:val="000000" w:themeColor="text1"/>
          <w:sz w:val="20"/>
          <w:szCs w:val="20"/>
        </w:rPr>
        <w:lastRenderedPageBreak/>
        <w:tab/>
      </w:r>
      <w:r>
        <w:rPr>
          <w:color w:val="000000" w:themeColor="text1"/>
          <w:sz w:val="20"/>
          <w:szCs w:val="20"/>
        </w:rPr>
        <w:tab/>
      </w:r>
      <w:r w:rsidRPr="00A078AC">
        <w:rPr>
          <w:color w:val="000000" w:themeColor="text1"/>
          <w:sz w:val="20"/>
          <w:szCs w:val="20"/>
        </w:rPr>
        <w:t>Special Rapporteur on the issue of human rights obligations relating to the enjoyment of a safe, clean, healthy and sustainable environment</w:t>
      </w:r>
    </w:p>
    <w:p w14:paraId="68BA1C33" w14:textId="78217FC4" w:rsidR="009B441F" w:rsidRPr="0067399B" w:rsidRDefault="009B6FCB" w:rsidP="009B441F">
      <w:pPr>
        <w:pStyle w:val="SingleTxtG"/>
        <w:rPr>
          <w:color w:val="000000" w:themeColor="text1"/>
          <w:sz w:val="20"/>
          <w:szCs w:val="20"/>
        </w:rPr>
      </w:pPr>
      <w:r>
        <w:rPr>
          <w:color w:val="000000" w:themeColor="text1"/>
          <w:sz w:val="20"/>
          <w:szCs w:val="20"/>
        </w:rPr>
        <w:t>144</w:t>
      </w:r>
      <w:r w:rsidR="009B441F" w:rsidRPr="0067399B">
        <w:rPr>
          <w:color w:val="000000" w:themeColor="text1"/>
          <w:sz w:val="20"/>
          <w:szCs w:val="20"/>
        </w:rPr>
        <w:t>.</w:t>
      </w:r>
      <w:r w:rsidR="009B441F" w:rsidRPr="0067399B">
        <w:rPr>
          <w:color w:val="000000" w:themeColor="text1"/>
          <w:sz w:val="20"/>
          <w:szCs w:val="20"/>
        </w:rPr>
        <w:tab/>
        <w:t>At the 1</w:t>
      </w:r>
      <w:r w:rsidR="001813D2">
        <w:rPr>
          <w:color w:val="000000" w:themeColor="text1"/>
          <w:sz w:val="20"/>
          <w:szCs w:val="20"/>
        </w:rPr>
        <w:t>4</w:t>
      </w:r>
      <w:r w:rsidR="009B441F" w:rsidRPr="0067399B">
        <w:rPr>
          <w:color w:val="000000" w:themeColor="text1"/>
          <w:sz w:val="20"/>
          <w:szCs w:val="20"/>
        </w:rPr>
        <w:t xml:space="preserve">th meeting, on </w:t>
      </w:r>
      <w:r w:rsidR="009B441F">
        <w:rPr>
          <w:color w:val="000000" w:themeColor="text1"/>
          <w:sz w:val="20"/>
          <w:szCs w:val="20"/>
        </w:rPr>
        <w:t>4</w:t>
      </w:r>
      <w:r w:rsidR="009B441F" w:rsidRPr="0067399B">
        <w:rPr>
          <w:color w:val="000000" w:themeColor="text1"/>
          <w:sz w:val="20"/>
          <w:szCs w:val="20"/>
        </w:rPr>
        <w:t xml:space="preserve"> March </w:t>
      </w:r>
      <w:r w:rsidR="009B441F">
        <w:rPr>
          <w:color w:val="000000" w:themeColor="text1"/>
          <w:sz w:val="20"/>
          <w:szCs w:val="20"/>
        </w:rPr>
        <w:t>2019</w:t>
      </w:r>
      <w:r w:rsidR="009B441F" w:rsidRPr="0067399B">
        <w:rPr>
          <w:color w:val="000000" w:themeColor="text1"/>
          <w:sz w:val="20"/>
          <w:szCs w:val="20"/>
        </w:rPr>
        <w:t xml:space="preserve">, the Special Rapporteur on the issue of human rights obligations relating to the enjoyment of a safe, clean, healthy and sustainable environment, </w:t>
      </w:r>
      <w:r w:rsidR="009B441F" w:rsidRPr="009B441F">
        <w:rPr>
          <w:color w:val="000000" w:themeColor="text1"/>
          <w:sz w:val="20"/>
          <w:szCs w:val="20"/>
        </w:rPr>
        <w:t>David R. Boyd</w:t>
      </w:r>
      <w:r w:rsidR="009B441F" w:rsidRPr="0067399B">
        <w:rPr>
          <w:color w:val="000000" w:themeColor="text1"/>
          <w:sz w:val="20"/>
          <w:szCs w:val="20"/>
        </w:rPr>
        <w:t>, presented his report (A/HRC/</w:t>
      </w:r>
      <w:r w:rsidR="0033063E" w:rsidRPr="0033063E">
        <w:rPr>
          <w:color w:val="000000" w:themeColor="text1"/>
          <w:sz w:val="20"/>
          <w:szCs w:val="20"/>
        </w:rPr>
        <w:t>40/55</w:t>
      </w:r>
      <w:r w:rsidR="009B441F" w:rsidRPr="0067399B">
        <w:rPr>
          <w:color w:val="000000" w:themeColor="text1"/>
          <w:sz w:val="20"/>
          <w:szCs w:val="20"/>
        </w:rPr>
        <w:t>).</w:t>
      </w:r>
    </w:p>
    <w:p w14:paraId="027C9945" w14:textId="0D282FF3" w:rsidR="009B441F" w:rsidRPr="0067399B" w:rsidRDefault="009B6FCB" w:rsidP="009B441F">
      <w:pPr>
        <w:pStyle w:val="SingleTxtG"/>
        <w:rPr>
          <w:strike/>
          <w:color w:val="000000" w:themeColor="text1"/>
          <w:sz w:val="20"/>
          <w:szCs w:val="20"/>
        </w:rPr>
      </w:pPr>
      <w:r>
        <w:rPr>
          <w:color w:val="000000" w:themeColor="text1"/>
          <w:sz w:val="20"/>
          <w:szCs w:val="20"/>
        </w:rPr>
        <w:t>145</w:t>
      </w:r>
      <w:r w:rsidR="009B441F" w:rsidRPr="0067399B">
        <w:rPr>
          <w:color w:val="000000" w:themeColor="text1"/>
          <w:sz w:val="20"/>
          <w:szCs w:val="20"/>
        </w:rPr>
        <w:t>.</w:t>
      </w:r>
      <w:r w:rsidR="009B441F" w:rsidRPr="0067399B">
        <w:rPr>
          <w:color w:val="000000" w:themeColor="text1"/>
          <w:sz w:val="20"/>
          <w:szCs w:val="20"/>
        </w:rPr>
        <w:tab/>
        <w:t xml:space="preserve">During the ensuing interactive dialogue, at the </w:t>
      </w:r>
      <w:r w:rsidR="0033063E">
        <w:rPr>
          <w:color w:val="000000" w:themeColor="text1"/>
          <w:sz w:val="20"/>
          <w:szCs w:val="20"/>
        </w:rPr>
        <w:t xml:space="preserve">15th </w:t>
      </w:r>
      <w:r w:rsidR="009B441F" w:rsidRPr="0067399B">
        <w:rPr>
          <w:color w:val="000000" w:themeColor="text1"/>
          <w:sz w:val="20"/>
          <w:szCs w:val="20"/>
        </w:rPr>
        <w:t>meeting, on the same day, the following made statements and asked the Special Rapporteur questions:</w:t>
      </w:r>
    </w:p>
    <w:p w14:paraId="0110A8B0" w14:textId="4F13C882" w:rsidR="009B441F" w:rsidRPr="0067399B" w:rsidRDefault="009B441F" w:rsidP="009B441F">
      <w:pPr>
        <w:pStyle w:val="SingleTxtG"/>
        <w:ind w:firstLine="567"/>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Pr>
          <w:color w:val="000000" w:themeColor="text1"/>
          <w:sz w:val="20"/>
          <w:szCs w:val="20"/>
        </w:rPr>
        <w:t>States Members</w:t>
      </w:r>
      <w:r w:rsidRPr="0067399B">
        <w:rPr>
          <w:color w:val="000000" w:themeColor="text1"/>
          <w:sz w:val="20"/>
          <w:szCs w:val="20"/>
        </w:rPr>
        <w:t xml:space="preserve"> of the Human Rights Council:</w:t>
      </w:r>
      <w:r w:rsidR="00954C07">
        <w:rPr>
          <w:color w:val="000000" w:themeColor="text1"/>
          <w:sz w:val="20"/>
          <w:szCs w:val="20"/>
        </w:rPr>
        <w:t xml:space="preserve"> </w:t>
      </w:r>
      <w:r w:rsidR="00954C07" w:rsidRPr="00DE39F5">
        <w:rPr>
          <w:color w:val="000000" w:themeColor="text1"/>
          <w:sz w:val="20"/>
          <w:szCs w:val="20"/>
        </w:rPr>
        <w:t xml:space="preserve">Angola </w:t>
      </w:r>
      <w:r w:rsidR="00954C07">
        <w:rPr>
          <w:color w:val="000000" w:themeColor="text1"/>
          <w:sz w:val="20"/>
          <w:szCs w:val="20"/>
        </w:rPr>
        <w:t>(</w:t>
      </w:r>
      <w:r w:rsidR="00954C07" w:rsidRPr="00544A55">
        <w:rPr>
          <w:color w:val="000000" w:themeColor="text1"/>
          <w:sz w:val="20"/>
          <w:szCs w:val="20"/>
        </w:rPr>
        <w:t>on behalf of the Group of African States</w:t>
      </w:r>
      <w:r w:rsidR="00954C07">
        <w:rPr>
          <w:color w:val="000000" w:themeColor="text1"/>
          <w:sz w:val="20"/>
          <w:szCs w:val="20"/>
        </w:rPr>
        <w:t xml:space="preserve">), </w:t>
      </w:r>
      <w:r w:rsidR="00954C07" w:rsidRPr="00954C07">
        <w:rPr>
          <w:color w:val="000000" w:themeColor="text1"/>
          <w:sz w:val="20"/>
          <w:szCs w:val="20"/>
        </w:rPr>
        <w:t>Bangladesh</w:t>
      </w:r>
      <w:r w:rsidR="00954C07">
        <w:rPr>
          <w:color w:val="000000" w:themeColor="text1"/>
          <w:sz w:val="20"/>
          <w:szCs w:val="20"/>
        </w:rPr>
        <w:t xml:space="preserve">, </w:t>
      </w:r>
      <w:r w:rsidR="00954C07" w:rsidRPr="00954C07">
        <w:rPr>
          <w:color w:val="000000" w:themeColor="text1"/>
          <w:sz w:val="20"/>
          <w:szCs w:val="20"/>
        </w:rPr>
        <w:t>China</w:t>
      </w:r>
      <w:r w:rsidR="00954C07">
        <w:rPr>
          <w:color w:val="000000" w:themeColor="text1"/>
          <w:sz w:val="20"/>
          <w:szCs w:val="20"/>
        </w:rPr>
        <w:t xml:space="preserve">, </w:t>
      </w:r>
      <w:r w:rsidR="00954C07" w:rsidRPr="00954C07">
        <w:rPr>
          <w:color w:val="000000" w:themeColor="text1"/>
          <w:sz w:val="20"/>
          <w:szCs w:val="20"/>
        </w:rPr>
        <w:t>Cuba</w:t>
      </w:r>
      <w:r w:rsidR="00954C07">
        <w:rPr>
          <w:color w:val="000000" w:themeColor="text1"/>
          <w:sz w:val="20"/>
          <w:szCs w:val="20"/>
        </w:rPr>
        <w:t xml:space="preserve">, </w:t>
      </w:r>
      <w:r w:rsidR="00954C07" w:rsidRPr="00954C07">
        <w:rPr>
          <w:color w:val="000000" w:themeColor="text1"/>
          <w:sz w:val="20"/>
          <w:szCs w:val="20"/>
        </w:rPr>
        <w:t>Fiji</w:t>
      </w:r>
      <w:r w:rsidR="00954C07">
        <w:rPr>
          <w:color w:val="000000" w:themeColor="text1"/>
          <w:sz w:val="20"/>
          <w:szCs w:val="20"/>
        </w:rPr>
        <w:t xml:space="preserve">, </w:t>
      </w:r>
      <w:r w:rsidR="00954C07" w:rsidRPr="00954C07">
        <w:rPr>
          <w:color w:val="000000" w:themeColor="text1"/>
          <w:sz w:val="20"/>
          <w:szCs w:val="20"/>
        </w:rPr>
        <w:t>Iceland</w:t>
      </w:r>
      <w:r w:rsidR="00954C07">
        <w:rPr>
          <w:color w:val="000000" w:themeColor="text1"/>
          <w:sz w:val="20"/>
          <w:szCs w:val="20"/>
        </w:rPr>
        <w:t xml:space="preserve">, </w:t>
      </w:r>
      <w:r w:rsidR="00954C07" w:rsidRPr="00954C07">
        <w:rPr>
          <w:color w:val="000000" w:themeColor="text1"/>
          <w:sz w:val="20"/>
          <w:szCs w:val="20"/>
        </w:rPr>
        <w:t>India</w:t>
      </w:r>
      <w:r w:rsidR="00954C07">
        <w:rPr>
          <w:color w:val="000000" w:themeColor="text1"/>
          <w:sz w:val="20"/>
          <w:szCs w:val="20"/>
        </w:rPr>
        <w:t xml:space="preserve">, </w:t>
      </w:r>
      <w:r w:rsidR="00954C07" w:rsidRPr="00954C07">
        <w:rPr>
          <w:color w:val="000000" w:themeColor="text1"/>
          <w:sz w:val="20"/>
          <w:szCs w:val="20"/>
        </w:rPr>
        <w:t>Iraq</w:t>
      </w:r>
      <w:r w:rsidR="00954C07">
        <w:rPr>
          <w:color w:val="000000" w:themeColor="text1"/>
          <w:sz w:val="20"/>
          <w:szCs w:val="20"/>
        </w:rPr>
        <w:t xml:space="preserve">, </w:t>
      </w:r>
      <w:r w:rsidR="00954C07" w:rsidRPr="00954C07">
        <w:rPr>
          <w:color w:val="000000" w:themeColor="text1"/>
          <w:sz w:val="20"/>
          <w:szCs w:val="20"/>
        </w:rPr>
        <w:t>Nepal</w:t>
      </w:r>
      <w:r w:rsidR="00954C07">
        <w:rPr>
          <w:color w:val="000000" w:themeColor="text1"/>
          <w:sz w:val="20"/>
          <w:szCs w:val="20"/>
        </w:rPr>
        <w:t xml:space="preserve">, </w:t>
      </w:r>
      <w:r w:rsidR="00954C07" w:rsidRPr="00954C07">
        <w:rPr>
          <w:color w:val="000000" w:themeColor="text1"/>
          <w:sz w:val="20"/>
          <w:szCs w:val="20"/>
        </w:rPr>
        <w:t>Pakistan</w:t>
      </w:r>
      <w:r w:rsidR="00954C07">
        <w:rPr>
          <w:color w:val="000000" w:themeColor="text1"/>
          <w:sz w:val="20"/>
          <w:szCs w:val="20"/>
        </w:rPr>
        <w:t xml:space="preserve">, </w:t>
      </w:r>
      <w:r w:rsidR="00954C07" w:rsidRPr="00954C07">
        <w:rPr>
          <w:color w:val="000000" w:themeColor="text1"/>
          <w:sz w:val="20"/>
          <w:szCs w:val="20"/>
        </w:rPr>
        <w:t xml:space="preserve">Peru </w:t>
      </w:r>
      <w:r w:rsidR="00954C07" w:rsidRPr="00D15C0E">
        <w:rPr>
          <w:color w:val="000000" w:themeColor="text1"/>
          <w:sz w:val="20"/>
          <w:szCs w:val="20"/>
        </w:rPr>
        <w:t>(</w:t>
      </w:r>
      <w:r w:rsidR="00E432CC">
        <w:rPr>
          <w:color w:val="000000" w:themeColor="text1"/>
          <w:sz w:val="20"/>
          <w:szCs w:val="20"/>
        </w:rPr>
        <w:t>also on behalf of Argentina, Brazil, Chile, Colombia,</w:t>
      </w:r>
      <w:r w:rsidR="004A5BFE">
        <w:rPr>
          <w:color w:val="000000" w:themeColor="text1"/>
          <w:sz w:val="20"/>
          <w:szCs w:val="20"/>
        </w:rPr>
        <w:t xml:space="preserve"> Costa Rica,</w:t>
      </w:r>
      <w:r w:rsidR="00E432CC">
        <w:rPr>
          <w:color w:val="000000" w:themeColor="text1"/>
          <w:sz w:val="20"/>
          <w:szCs w:val="20"/>
        </w:rPr>
        <w:t xml:space="preserve"> Guatemala</w:t>
      </w:r>
      <w:r w:rsidR="004A5BFE">
        <w:rPr>
          <w:color w:val="000000" w:themeColor="text1"/>
          <w:sz w:val="20"/>
          <w:szCs w:val="20"/>
        </w:rPr>
        <w:t>, Mexico</w:t>
      </w:r>
      <w:r w:rsidR="00E432CC">
        <w:rPr>
          <w:color w:val="000000" w:themeColor="text1"/>
          <w:sz w:val="20"/>
          <w:szCs w:val="20"/>
        </w:rPr>
        <w:t xml:space="preserve"> and Uruguay</w:t>
      </w:r>
      <w:r w:rsidR="00954C07" w:rsidRPr="00D15C0E">
        <w:rPr>
          <w:color w:val="000000" w:themeColor="text1"/>
          <w:sz w:val="20"/>
          <w:szCs w:val="20"/>
        </w:rPr>
        <w:t>),</w:t>
      </w:r>
      <w:r w:rsidR="00954C07" w:rsidRPr="00954C07">
        <w:rPr>
          <w:color w:val="000000" w:themeColor="text1"/>
          <w:sz w:val="20"/>
          <w:szCs w:val="20"/>
        </w:rPr>
        <w:t xml:space="preserve"> South Africa</w:t>
      </w:r>
      <w:r w:rsidR="00954C07">
        <w:rPr>
          <w:color w:val="000000" w:themeColor="text1"/>
          <w:sz w:val="20"/>
          <w:szCs w:val="20"/>
        </w:rPr>
        <w:t xml:space="preserve">, </w:t>
      </w:r>
      <w:r w:rsidR="00954C07" w:rsidRPr="00954C07">
        <w:rPr>
          <w:color w:val="000000" w:themeColor="text1"/>
          <w:sz w:val="20"/>
          <w:szCs w:val="20"/>
        </w:rPr>
        <w:t>Togo</w:t>
      </w:r>
      <w:r w:rsidR="00954C07">
        <w:rPr>
          <w:color w:val="000000" w:themeColor="text1"/>
          <w:sz w:val="20"/>
          <w:szCs w:val="20"/>
        </w:rPr>
        <w:t xml:space="preserve">, </w:t>
      </w:r>
      <w:r w:rsidR="00954C07" w:rsidRPr="00954C07">
        <w:rPr>
          <w:color w:val="000000" w:themeColor="text1"/>
          <w:sz w:val="20"/>
          <w:szCs w:val="20"/>
        </w:rPr>
        <w:t>Tunisia</w:t>
      </w:r>
      <w:r w:rsidR="00954C07">
        <w:rPr>
          <w:color w:val="000000" w:themeColor="text1"/>
          <w:sz w:val="20"/>
          <w:szCs w:val="20"/>
        </w:rPr>
        <w:t xml:space="preserve">, </w:t>
      </w:r>
      <w:r w:rsidR="00954C07" w:rsidRPr="00954C07">
        <w:rPr>
          <w:color w:val="000000" w:themeColor="text1"/>
          <w:sz w:val="20"/>
          <w:szCs w:val="20"/>
        </w:rPr>
        <w:t>Uruguay</w:t>
      </w:r>
      <w:r w:rsidRPr="0067399B">
        <w:rPr>
          <w:color w:val="000000" w:themeColor="text1"/>
          <w:sz w:val="20"/>
          <w:szCs w:val="20"/>
        </w:rPr>
        <w:t xml:space="preserve">; </w:t>
      </w:r>
    </w:p>
    <w:p w14:paraId="77241964" w14:textId="659E1F66" w:rsidR="009B441F" w:rsidRPr="0067399B" w:rsidRDefault="009B441F" w:rsidP="009B441F">
      <w:pPr>
        <w:pStyle w:val="SingleTxtG"/>
        <w:ind w:firstLine="567"/>
        <w:rPr>
          <w:color w:val="000000" w:themeColor="text1"/>
          <w:sz w:val="20"/>
          <w:szCs w:val="20"/>
        </w:rPr>
      </w:pPr>
      <w:r w:rsidRPr="0067399B">
        <w:rPr>
          <w:color w:val="000000" w:themeColor="text1"/>
          <w:sz w:val="20"/>
          <w:szCs w:val="20"/>
        </w:rPr>
        <w:t>(b)</w:t>
      </w:r>
      <w:r w:rsidRPr="0067399B">
        <w:rPr>
          <w:color w:val="000000" w:themeColor="text1"/>
          <w:sz w:val="20"/>
          <w:szCs w:val="20"/>
        </w:rPr>
        <w:tab/>
        <w:t xml:space="preserve">Representatives of observer States: </w:t>
      </w:r>
      <w:r w:rsidR="00954C07" w:rsidRPr="00954C07">
        <w:rPr>
          <w:color w:val="000000" w:themeColor="text1"/>
          <w:sz w:val="20"/>
          <w:szCs w:val="20"/>
        </w:rPr>
        <w:t>Algeria</w:t>
      </w:r>
      <w:r w:rsidR="00954C07">
        <w:rPr>
          <w:color w:val="000000" w:themeColor="text1"/>
          <w:sz w:val="20"/>
          <w:szCs w:val="20"/>
        </w:rPr>
        <w:t xml:space="preserve">, </w:t>
      </w:r>
      <w:r w:rsidR="00954C07" w:rsidRPr="00954C07">
        <w:rPr>
          <w:color w:val="000000" w:themeColor="text1"/>
          <w:sz w:val="20"/>
          <w:szCs w:val="20"/>
        </w:rPr>
        <w:t>Azerbaijan</w:t>
      </w:r>
      <w:r w:rsidR="00954C07">
        <w:rPr>
          <w:color w:val="000000" w:themeColor="text1"/>
          <w:sz w:val="20"/>
          <w:szCs w:val="20"/>
        </w:rPr>
        <w:t xml:space="preserve">, </w:t>
      </w:r>
      <w:r w:rsidR="00954C07" w:rsidRPr="00954C07">
        <w:rPr>
          <w:color w:val="000000" w:themeColor="text1"/>
          <w:sz w:val="20"/>
          <w:szCs w:val="20"/>
        </w:rPr>
        <w:t>Benin</w:t>
      </w:r>
      <w:r w:rsidR="00954C07">
        <w:rPr>
          <w:color w:val="000000" w:themeColor="text1"/>
          <w:sz w:val="20"/>
          <w:szCs w:val="20"/>
        </w:rPr>
        <w:t xml:space="preserve">, </w:t>
      </w:r>
      <w:r w:rsidR="00954C07" w:rsidRPr="00954C07">
        <w:rPr>
          <w:color w:val="000000" w:themeColor="text1"/>
          <w:sz w:val="20"/>
          <w:szCs w:val="20"/>
        </w:rPr>
        <w:t>Bolivia (Plurinational State of)</w:t>
      </w:r>
      <w:r w:rsidR="00954C07">
        <w:rPr>
          <w:color w:val="000000" w:themeColor="text1"/>
          <w:sz w:val="20"/>
          <w:szCs w:val="20"/>
        </w:rPr>
        <w:t xml:space="preserve">, </w:t>
      </w:r>
      <w:r w:rsidR="00954C07" w:rsidRPr="00954C07">
        <w:rPr>
          <w:color w:val="000000" w:themeColor="text1"/>
          <w:sz w:val="20"/>
          <w:szCs w:val="20"/>
        </w:rPr>
        <w:t>Botswana</w:t>
      </w:r>
      <w:r w:rsidR="00954C07">
        <w:rPr>
          <w:color w:val="000000" w:themeColor="text1"/>
          <w:sz w:val="20"/>
          <w:szCs w:val="20"/>
        </w:rPr>
        <w:t xml:space="preserve">, </w:t>
      </w:r>
      <w:r w:rsidR="00954C07" w:rsidRPr="00954C07">
        <w:rPr>
          <w:color w:val="000000" w:themeColor="text1"/>
          <w:sz w:val="20"/>
          <w:szCs w:val="20"/>
        </w:rPr>
        <w:t>Costa Rica</w:t>
      </w:r>
      <w:r w:rsidR="00954C07">
        <w:rPr>
          <w:color w:val="000000" w:themeColor="text1"/>
          <w:sz w:val="20"/>
          <w:szCs w:val="20"/>
        </w:rPr>
        <w:t xml:space="preserve">, </w:t>
      </w:r>
      <w:r w:rsidR="00954C07" w:rsidRPr="00954C07">
        <w:rPr>
          <w:color w:val="000000" w:themeColor="text1"/>
          <w:sz w:val="20"/>
          <w:szCs w:val="20"/>
        </w:rPr>
        <w:t>Djibouti</w:t>
      </w:r>
      <w:r w:rsidR="00954C07">
        <w:rPr>
          <w:color w:val="000000" w:themeColor="text1"/>
          <w:sz w:val="20"/>
          <w:szCs w:val="20"/>
        </w:rPr>
        <w:t xml:space="preserve">, </w:t>
      </w:r>
      <w:r w:rsidR="00954C07" w:rsidRPr="00954C07">
        <w:rPr>
          <w:color w:val="000000" w:themeColor="text1"/>
          <w:sz w:val="20"/>
          <w:szCs w:val="20"/>
        </w:rPr>
        <w:t>Ecuador</w:t>
      </w:r>
      <w:r w:rsidR="00954C07">
        <w:rPr>
          <w:color w:val="000000" w:themeColor="text1"/>
          <w:sz w:val="20"/>
          <w:szCs w:val="20"/>
        </w:rPr>
        <w:t xml:space="preserve">, </w:t>
      </w:r>
      <w:r w:rsidR="00954C07" w:rsidRPr="00954C07">
        <w:rPr>
          <w:color w:val="000000" w:themeColor="text1"/>
          <w:sz w:val="20"/>
          <w:szCs w:val="20"/>
        </w:rPr>
        <w:t>El Salvador</w:t>
      </w:r>
      <w:r w:rsidR="00954C07">
        <w:rPr>
          <w:color w:val="000000" w:themeColor="text1"/>
          <w:sz w:val="20"/>
          <w:szCs w:val="20"/>
        </w:rPr>
        <w:t xml:space="preserve">, </w:t>
      </w:r>
      <w:r w:rsidR="00954C07" w:rsidRPr="00954C07">
        <w:rPr>
          <w:color w:val="000000" w:themeColor="text1"/>
          <w:sz w:val="20"/>
          <w:szCs w:val="20"/>
        </w:rPr>
        <w:t>Ethiopia</w:t>
      </w:r>
      <w:r w:rsidR="00954C07">
        <w:rPr>
          <w:color w:val="000000" w:themeColor="text1"/>
          <w:sz w:val="20"/>
          <w:szCs w:val="20"/>
        </w:rPr>
        <w:t xml:space="preserve">, </w:t>
      </w:r>
      <w:r w:rsidR="00954C07" w:rsidRPr="00954C07">
        <w:rPr>
          <w:color w:val="000000" w:themeColor="text1"/>
          <w:sz w:val="20"/>
          <w:szCs w:val="20"/>
        </w:rPr>
        <w:t>France</w:t>
      </w:r>
      <w:r w:rsidR="00954C07">
        <w:rPr>
          <w:color w:val="000000" w:themeColor="text1"/>
          <w:sz w:val="20"/>
          <w:szCs w:val="20"/>
        </w:rPr>
        <w:t xml:space="preserve">, </w:t>
      </w:r>
      <w:r w:rsidR="00954C07" w:rsidRPr="00954C07">
        <w:rPr>
          <w:color w:val="000000" w:themeColor="text1"/>
          <w:sz w:val="20"/>
          <w:szCs w:val="20"/>
        </w:rPr>
        <w:t>Gabon</w:t>
      </w:r>
      <w:r w:rsidR="00954C07">
        <w:rPr>
          <w:color w:val="000000" w:themeColor="text1"/>
          <w:sz w:val="20"/>
          <w:szCs w:val="20"/>
        </w:rPr>
        <w:t xml:space="preserve">, </w:t>
      </w:r>
      <w:r w:rsidR="00954C07" w:rsidRPr="00954C07">
        <w:rPr>
          <w:color w:val="000000" w:themeColor="text1"/>
          <w:sz w:val="20"/>
          <w:szCs w:val="20"/>
        </w:rPr>
        <w:t>Georgia</w:t>
      </w:r>
      <w:r w:rsidR="00954C07">
        <w:rPr>
          <w:color w:val="000000" w:themeColor="text1"/>
          <w:sz w:val="20"/>
          <w:szCs w:val="20"/>
        </w:rPr>
        <w:t xml:space="preserve">, </w:t>
      </w:r>
      <w:r w:rsidR="00954C07" w:rsidRPr="00954C07">
        <w:rPr>
          <w:color w:val="000000" w:themeColor="text1"/>
          <w:sz w:val="20"/>
          <w:szCs w:val="20"/>
        </w:rPr>
        <w:t>Greece</w:t>
      </w:r>
      <w:r w:rsidR="00954C07">
        <w:rPr>
          <w:color w:val="000000" w:themeColor="text1"/>
          <w:sz w:val="20"/>
          <w:szCs w:val="20"/>
        </w:rPr>
        <w:t xml:space="preserve">, </w:t>
      </w:r>
      <w:r w:rsidR="00954C07" w:rsidRPr="00954C07">
        <w:rPr>
          <w:color w:val="000000" w:themeColor="text1"/>
          <w:sz w:val="20"/>
          <w:szCs w:val="20"/>
        </w:rPr>
        <w:t>Indonesia</w:t>
      </w:r>
      <w:r w:rsidR="00954C07">
        <w:rPr>
          <w:color w:val="000000" w:themeColor="text1"/>
          <w:sz w:val="20"/>
          <w:szCs w:val="20"/>
        </w:rPr>
        <w:t xml:space="preserve">, </w:t>
      </w:r>
      <w:r w:rsidR="00954C07" w:rsidRPr="00954C07">
        <w:rPr>
          <w:color w:val="000000" w:themeColor="text1"/>
          <w:sz w:val="20"/>
          <w:szCs w:val="20"/>
        </w:rPr>
        <w:t>Iran (Islamic Republic of)</w:t>
      </w:r>
      <w:r w:rsidR="00954C07">
        <w:rPr>
          <w:color w:val="000000" w:themeColor="text1"/>
          <w:sz w:val="20"/>
          <w:szCs w:val="20"/>
        </w:rPr>
        <w:t xml:space="preserve">, </w:t>
      </w:r>
      <w:r w:rsidR="00954C07" w:rsidRPr="00954C07">
        <w:rPr>
          <w:color w:val="000000" w:themeColor="text1"/>
          <w:sz w:val="20"/>
          <w:szCs w:val="20"/>
        </w:rPr>
        <w:t>Jamaica</w:t>
      </w:r>
      <w:r w:rsidR="00954C07">
        <w:rPr>
          <w:color w:val="000000" w:themeColor="text1"/>
          <w:sz w:val="20"/>
          <w:szCs w:val="20"/>
        </w:rPr>
        <w:t xml:space="preserve">, </w:t>
      </w:r>
      <w:r w:rsidR="00954C07" w:rsidRPr="00954C07">
        <w:rPr>
          <w:color w:val="000000" w:themeColor="text1"/>
          <w:sz w:val="20"/>
          <w:szCs w:val="20"/>
        </w:rPr>
        <w:t>Jordan</w:t>
      </w:r>
      <w:r w:rsidR="00954C07">
        <w:rPr>
          <w:color w:val="000000" w:themeColor="text1"/>
          <w:sz w:val="20"/>
          <w:szCs w:val="20"/>
        </w:rPr>
        <w:t xml:space="preserve">, </w:t>
      </w:r>
      <w:r w:rsidR="00954C07" w:rsidRPr="00954C07">
        <w:rPr>
          <w:color w:val="000000" w:themeColor="text1"/>
          <w:sz w:val="20"/>
          <w:szCs w:val="20"/>
        </w:rPr>
        <w:t>Lebanon</w:t>
      </w:r>
      <w:r w:rsidR="00954C07">
        <w:rPr>
          <w:color w:val="000000" w:themeColor="text1"/>
          <w:sz w:val="20"/>
          <w:szCs w:val="20"/>
        </w:rPr>
        <w:t xml:space="preserve">, Malaysia, </w:t>
      </w:r>
      <w:r w:rsidR="00954C07" w:rsidRPr="00954C07">
        <w:rPr>
          <w:color w:val="000000" w:themeColor="text1"/>
          <w:sz w:val="20"/>
          <w:szCs w:val="20"/>
        </w:rPr>
        <w:t>Maldives</w:t>
      </w:r>
      <w:r w:rsidR="00954C07">
        <w:rPr>
          <w:color w:val="000000" w:themeColor="text1"/>
          <w:sz w:val="20"/>
          <w:szCs w:val="20"/>
        </w:rPr>
        <w:t xml:space="preserve">, </w:t>
      </w:r>
      <w:r w:rsidR="00954C07" w:rsidRPr="00954C07">
        <w:rPr>
          <w:color w:val="000000" w:themeColor="text1"/>
          <w:sz w:val="20"/>
          <w:szCs w:val="20"/>
        </w:rPr>
        <w:t>Marshall Islands</w:t>
      </w:r>
      <w:r w:rsidR="00954C07">
        <w:rPr>
          <w:color w:val="000000" w:themeColor="text1"/>
          <w:sz w:val="20"/>
          <w:szCs w:val="20"/>
        </w:rPr>
        <w:t xml:space="preserve">, </w:t>
      </w:r>
      <w:r w:rsidR="00954C07" w:rsidRPr="00954C07">
        <w:rPr>
          <w:color w:val="000000" w:themeColor="text1"/>
          <w:sz w:val="20"/>
          <w:szCs w:val="20"/>
        </w:rPr>
        <w:t>Monaco</w:t>
      </w:r>
      <w:r w:rsidR="00954C07">
        <w:rPr>
          <w:color w:val="000000" w:themeColor="text1"/>
          <w:sz w:val="20"/>
          <w:szCs w:val="20"/>
        </w:rPr>
        <w:t xml:space="preserve">, </w:t>
      </w:r>
      <w:r w:rsidR="00954C07" w:rsidRPr="00954C07">
        <w:rPr>
          <w:color w:val="000000" w:themeColor="text1"/>
          <w:sz w:val="20"/>
          <w:szCs w:val="20"/>
        </w:rPr>
        <w:t>Morocco</w:t>
      </w:r>
      <w:r w:rsidR="00954C07">
        <w:rPr>
          <w:color w:val="000000" w:themeColor="text1"/>
          <w:sz w:val="20"/>
          <w:szCs w:val="20"/>
        </w:rPr>
        <w:t xml:space="preserve">, </w:t>
      </w:r>
      <w:r w:rsidR="00954C07" w:rsidRPr="00954C07">
        <w:rPr>
          <w:color w:val="000000" w:themeColor="text1"/>
          <w:sz w:val="20"/>
          <w:szCs w:val="20"/>
        </w:rPr>
        <w:t>Russian Federation</w:t>
      </w:r>
      <w:r w:rsidR="00954C07">
        <w:rPr>
          <w:color w:val="000000" w:themeColor="text1"/>
          <w:sz w:val="20"/>
          <w:szCs w:val="20"/>
        </w:rPr>
        <w:t xml:space="preserve">, Singapore, </w:t>
      </w:r>
      <w:r w:rsidR="00954C07" w:rsidRPr="00954C07">
        <w:rPr>
          <w:color w:val="000000" w:themeColor="text1"/>
          <w:sz w:val="20"/>
          <w:szCs w:val="20"/>
        </w:rPr>
        <w:t>Slovenia</w:t>
      </w:r>
      <w:r w:rsidR="00954C07">
        <w:rPr>
          <w:color w:val="000000" w:themeColor="text1"/>
          <w:sz w:val="20"/>
          <w:szCs w:val="20"/>
        </w:rPr>
        <w:t xml:space="preserve">, </w:t>
      </w:r>
      <w:r w:rsidR="00954C07" w:rsidRPr="00954C07">
        <w:rPr>
          <w:color w:val="000000" w:themeColor="text1"/>
          <w:sz w:val="20"/>
          <w:szCs w:val="20"/>
        </w:rPr>
        <w:t>Switzerland</w:t>
      </w:r>
      <w:r w:rsidR="00954C07">
        <w:rPr>
          <w:color w:val="000000" w:themeColor="text1"/>
          <w:sz w:val="20"/>
          <w:szCs w:val="20"/>
        </w:rPr>
        <w:t xml:space="preserve">, </w:t>
      </w:r>
      <w:r w:rsidR="00954C07" w:rsidRPr="00954C07">
        <w:rPr>
          <w:color w:val="000000" w:themeColor="text1"/>
          <w:sz w:val="20"/>
          <w:szCs w:val="20"/>
        </w:rPr>
        <w:t>Syrian Arab Republic</w:t>
      </w:r>
      <w:r w:rsidR="00954C07">
        <w:rPr>
          <w:color w:val="000000" w:themeColor="text1"/>
          <w:sz w:val="20"/>
          <w:szCs w:val="20"/>
        </w:rPr>
        <w:t xml:space="preserve">, </w:t>
      </w:r>
      <w:r w:rsidR="00954C07" w:rsidRPr="00954C07">
        <w:rPr>
          <w:color w:val="000000" w:themeColor="text1"/>
          <w:sz w:val="20"/>
          <w:szCs w:val="20"/>
        </w:rPr>
        <w:t>Venezuela (Bolivarian Republic of)</w:t>
      </w:r>
      <w:r w:rsidR="00954C07">
        <w:rPr>
          <w:color w:val="000000" w:themeColor="text1"/>
          <w:sz w:val="20"/>
          <w:szCs w:val="20"/>
        </w:rPr>
        <w:t xml:space="preserve">, </w:t>
      </w:r>
      <w:r w:rsidR="00954C07" w:rsidRPr="00954C07">
        <w:rPr>
          <w:color w:val="000000" w:themeColor="text1"/>
          <w:sz w:val="20"/>
          <w:szCs w:val="20"/>
        </w:rPr>
        <w:t>Holy See</w:t>
      </w:r>
      <w:r w:rsidR="00954C07">
        <w:rPr>
          <w:color w:val="000000" w:themeColor="text1"/>
          <w:sz w:val="20"/>
          <w:szCs w:val="20"/>
        </w:rPr>
        <w:t>,</w:t>
      </w:r>
      <w:r w:rsidR="00954C07" w:rsidRPr="00954C07">
        <w:rPr>
          <w:color w:val="000000" w:themeColor="text1"/>
          <w:sz w:val="20"/>
          <w:szCs w:val="20"/>
        </w:rPr>
        <w:t xml:space="preserve"> State of Palestine</w:t>
      </w:r>
      <w:r w:rsidRPr="0067399B">
        <w:rPr>
          <w:color w:val="000000" w:themeColor="text1"/>
          <w:sz w:val="20"/>
          <w:szCs w:val="20"/>
        </w:rPr>
        <w:t>;</w:t>
      </w:r>
    </w:p>
    <w:p w14:paraId="6EB39692" w14:textId="6338558D" w:rsidR="00954C07" w:rsidRPr="0067399B" w:rsidRDefault="009B441F" w:rsidP="00500D23">
      <w:pPr>
        <w:pStyle w:val="SingleTxtG"/>
        <w:ind w:firstLine="567"/>
        <w:rPr>
          <w:color w:val="000000" w:themeColor="text1"/>
          <w:sz w:val="20"/>
          <w:szCs w:val="20"/>
        </w:rPr>
      </w:pPr>
      <w:r w:rsidRPr="0067399B">
        <w:rPr>
          <w:color w:val="000000" w:themeColor="text1"/>
          <w:sz w:val="20"/>
          <w:szCs w:val="20"/>
        </w:rPr>
        <w:t>(c)</w:t>
      </w:r>
      <w:r w:rsidRPr="0067399B">
        <w:rPr>
          <w:color w:val="000000" w:themeColor="text1"/>
          <w:sz w:val="20"/>
          <w:szCs w:val="20"/>
        </w:rPr>
        <w:tab/>
        <w:t xml:space="preserve">Observers for United Nations entities, specialized agencies and related organizations: </w:t>
      </w:r>
      <w:r w:rsidR="00954C07" w:rsidRPr="00954C07">
        <w:rPr>
          <w:color w:val="000000" w:themeColor="text1"/>
          <w:sz w:val="20"/>
          <w:szCs w:val="20"/>
        </w:rPr>
        <w:t>United Nations Children</w:t>
      </w:r>
      <w:r w:rsidR="00D72627">
        <w:rPr>
          <w:color w:val="000000" w:themeColor="text1"/>
          <w:sz w:val="20"/>
          <w:szCs w:val="20"/>
        </w:rPr>
        <w:t>’</w:t>
      </w:r>
      <w:r w:rsidR="00954C07" w:rsidRPr="00954C07">
        <w:rPr>
          <w:color w:val="000000" w:themeColor="text1"/>
          <w:sz w:val="20"/>
          <w:szCs w:val="20"/>
        </w:rPr>
        <w:t>s Fund</w:t>
      </w:r>
      <w:r w:rsidR="00954C07">
        <w:rPr>
          <w:color w:val="000000" w:themeColor="text1"/>
          <w:sz w:val="20"/>
          <w:szCs w:val="20"/>
        </w:rPr>
        <w:t xml:space="preserve"> (UNICEF), </w:t>
      </w:r>
      <w:r w:rsidRPr="0067399B">
        <w:rPr>
          <w:color w:val="000000" w:themeColor="text1"/>
          <w:sz w:val="20"/>
          <w:szCs w:val="20"/>
        </w:rPr>
        <w:t>United Nations Economic Commission for Europe</w:t>
      </w:r>
      <w:r>
        <w:rPr>
          <w:color w:val="000000" w:themeColor="text1"/>
          <w:sz w:val="20"/>
          <w:szCs w:val="20"/>
        </w:rPr>
        <w:t xml:space="preserve"> (UNECE)</w:t>
      </w:r>
      <w:r w:rsidRPr="0067399B">
        <w:rPr>
          <w:color w:val="000000" w:themeColor="text1"/>
          <w:sz w:val="20"/>
          <w:szCs w:val="20"/>
        </w:rPr>
        <w:t xml:space="preserve">, </w:t>
      </w:r>
      <w:r w:rsidR="00954C07" w:rsidRPr="00653202">
        <w:rPr>
          <w:color w:val="000000" w:themeColor="text1"/>
          <w:sz w:val="20"/>
          <w:szCs w:val="20"/>
        </w:rPr>
        <w:t>United Nations Economic Commission for Latin America and the Caribbean</w:t>
      </w:r>
      <w:r w:rsidR="00954C07">
        <w:rPr>
          <w:color w:val="000000" w:themeColor="text1"/>
          <w:sz w:val="20"/>
          <w:szCs w:val="20"/>
        </w:rPr>
        <w:t xml:space="preserve"> (UN </w:t>
      </w:r>
      <w:r w:rsidR="00954C07" w:rsidRPr="00954C07">
        <w:rPr>
          <w:color w:val="000000" w:themeColor="text1"/>
          <w:sz w:val="20"/>
          <w:szCs w:val="20"/>
        </w:rPr>
        <w:t>ECLAC</w:t>
      </w:r>
      <w:r w:rsidR="00954C07">
        <w:rPr>
          <w:color w:val="000000" w:themeColor="text1"/>
          <w:sz w:val="20"/>
          <w:szCs w:val="20"/>
        </w:rPr>
        <w:t>)</w:t>
      </w:r>
      <w:r w:rsidR="00500D23">
        <w:rPr>
          <w:color w:val="000000" w:themeColor="text1"/>
          <w:sz w:val="20"/>
          <w:szCs w:val="20"/>
        </w:rPr>
        <w:t>,</w:t>
      </w:r>
      <w:r w:rsidR="00500D23" w:rsidRPr="00500D23">
        <w:rPr>
          <w:color w:val="000000" w:themeColor="text1"/>
          <w:sz w:val="20"/>
          <w:szCs w:val="20"/>
        </w:rPr>
        <w:t xml:space="preserve"> </w:t>
      </w:r>
      <w:r w:rsidR="00500D23" w:rsidRPr="0067399B">
        <w:rPr>
          <w:color w:val="000000" w:themeColor="text1"/>
          <w:sz w:val="20"/>
          <w:szCs w:val="20"/>
        </w:rPr>
        <w:t>United Nations Environment Programme</w:t>
      </w:r>
      <w:r w:rsidR="00500D23">
        <w:rPr>
          <w:color w:val="000000" w:themeColor="text1"/>
          <w:sz w:val="20"/>
          <w:szCs w:val="20"/>
        </w:rPr>
        <w:t xml:space="preserve"> (UNEP)</w:t>
      </w:r>
      <w:r w:rsidR="00500D23" w:rsidRPr="0067399B">
        <w:rPr>
          <w:color w:val="000000" w:themeColor="text1"/>
          <w:sz w:val="20"/>
          <w:szCs w:val="20"/>
        </w:rPr>
        <w:t>;</w:t>
      </w:r>
    </w:p>
    <w:p w14:paraId="718668F4" w14:textId="77777777" w:rsidR="009B441F" w:rsidRPr="0067399B" w:rsidRDefault="009B441F" w:rsidP="009B441F">
      <w:pPr>
        <w:pStyle w:val="SingleTxtG"/>
        <w:ind w:firstLine="567"/>
        <w:rPr>
          <w:color w:val="000000" w:themeColor="text1"/>
          <w:sz w:val="20"/>
          <w:szCs w:val="20"/>
        </w:rPr>
      </w:pPr>
      <w:r w:rsidRPr="0067399B">
        <w:rPr>
          <w:color w:val="000000" w:themeColor="text1"/>
          <w:sz w:val="20"/>
          <w:szCs w:val="20"/>
        </w:rPr>
        <w:t>(d)</w:t>
      </w:r>
      <w:r w:rsidRPr="0067399B">
        <w:rPr>
          <w:color w:val="000000" w:themeColor="text1"/>
          <w:sz w:val="20"/>
          <w:szCs w:val="20"/>
        </w:rPr>
        <w:tab/>
        <w:t>Observer for an intergovernmental organization: European Union;</w:t>
      </w:r>
    </w:p>
    <w:p w14:paraId="4C753EB1" w14:textId="1338F38D" w:rsidR="009B441F" w:rsidRPr="0067399B" w:rsidRDefault="009B441F" w:rsidP="009B441F">
      <w:pPr>
        <w:pStyle w:val="SingleTxtG"/>
        <w:ind w:firstLine="567"/>
        <w:rPr>
          <w:color w:val="000000" w:themeColor="text1"/>
          <w:sz w:val="20"/>
          <w:szCs w:val="20"/>
        </w:rPr>
      </w:pPr>
      <w:r w:rsidRPr="0067399B">
        <w:rPr>
          <w:color w:val="000000" w:themeColor="text1"/>
          <w:sz w:val="20"/>
          <w:szCs w:val="20"/>
        </w:rPr>
        <w:t>(e)</w:t>
      </w:r>
      <w:r w:rsidRPr="0067399B">
        <w:rPr>
          <w:color w:val="000000" w:themeColor="text1"/>
          <w:sz w:val="20"/>
          <w:szCs w:val="20"/>
        </w:rPr>
        <w:tab/>
        <w:t xml:space="preserve">Observers for non-governmental organizations: </w:t>
      </w:r>
      <w:r w:rsidR="00FB0E7B" w:rsidRPr="00FB0E7B">
        <w:rPr>
          <w:color w:val="000000" w:themeColor="text1"/>
          <w:sz w:val="20"/>
          <w:szCs w:val="20"/>
        </w:rPr>
        <w:t>Conselho Indigenista Missionário CIMI</w:t>
      </w:r>
      <w:r w:rsidR="00FB0E7B">
        <w:rPr>
          <w:color w:val="000000" w:themeColor="text1"/>
          <w:sz w:val="20"/>
          <w:szCs w:val="20"/>
        </w:rPr>
        <w:t xml:space="preserve">; </w:t>
      </w:r>
      <w:r w:rsidR="00FB0E7B" w:rsidRPr="00FB0E7B">
        <w:rPr>
          <w:color w:val="000000" w:themeColor="text1"/>
          <w:sz w:val="20"/>
          <w:szCs w:val="20"/>
        </w:rPr>
        <w:t>Earthjustice</w:t>
      </w:r>
      <w:r w:rsidR="00FB0E7B">
        <w:rPr>
          <w:color w:val="000000" w:themeColor="text1"/>
          <w:sz w:val="20"/>
          <w:szCs w:val="20"/>
        </w:rPr>
        <w:t xml:space="preserve">; </w:t>
      </w:r>
      <w:r w:rsidR="00FB0E7B" w:rsidRPr="00FB0E7B">
        <w:rPr>
          <w:color w:val="000000" w:themeColor="text1"/>
          <w:sz w:val="20"/>
          <w:szCs w:val="20"/>
        </w:rPr>
        <w:t>Friends World Committee for Consultation</w:t>
      </w:r>
      <w:r w:rsidR="00FB0E7B">
        <w:rPr>
          <w:color w:val="000000" w:themeColor="text1"/>
          <w:sz w:val="20"/>
          <w:szCs w:val="20"/>
        </w:rPr>
        <w:t xml:space="preserve">; </w:t>
      </w:r>
      <w:r w:rsidR="00FB0E7B" w:rsidRPr="00FB0E7B">
        <w:rPr>
          <w:color w:val="000000" w:themeColor="text1"/>
          <w:sz w:val="20"/>
          <w:szCs w:val="20"/>
        </w:rPr>
        <w:t>Human Rights Advocates Inc.</w:t>
      </w:r>
      <w:r w:rsidR="00FB0E7B">
        <w:rPr>
          <w:color w:val="000000" w:themeColor="text1"/>
          <w:sz w:val="20"/>
          <w:szCs w:val="20"/>
        </w:rPr>
        <w:t xml:space="preserve">; </w:t>
      </w:r>
      <w:r w:rsidR="00FB0E7B" w:rsidRPr="00FB0E7B">
        <w:rPr>
          <w:color w:val="000000" w:themeColor="text1"/>
          <w:sz w:val="20"/>
          <w:szCs w:val="20"/>
        </w:rPr>
        <w:t>Human Rights Now</w:t>
      </w:r>
      <w:r w:rsidR="00FB0E7B">
        <w:rPr>
          <w:color w:val="000000" w:themeColor="text1"/>
          <w:sz w:val="20"/>
          <w:szCs w:val="20"/>
        </w:rPr>
        <w:t xml:space="preserve">; </w:t>
      </w:r>
      <w:r w:rsidR="00FB0E7B" w:rsidRPr="00FB0E7B">
        <w:rPr>
          <w:color w:val="000000" w:themeColor="text1"/>
          <w:sz w:val="20"/>
          <w:szCs w:val="20"/>
        </w:rPr>
        <w:t>International-Lawyers.Org</w:t>
      </w:r>
      <w:r w:rsidR="00FB0E7B">
        <w:rPr>
          <w:color w:val="000000" w:themeColor="text1"/>
          <w:sz w:val="20"/>
          <w:szCs w:val="20"/>
        </w:rPr>
        <w:t xml:space="preserve">; </w:t>
      </w:r>
      <w:r w:rsidR="00FB0E7B" w:rsidRPr="00FB0E7B">
        <w:rPr>
          <w:color w:val="000000" w:themeColor="text1"/>
          <w:sz w:val="20"/>
          <w:szCs w:val="20"/>
        </w:rPr>
        <w:t>iuventum e.V.</w:t>
      </w:r>
      <w:r w:rsidR="00FB0E7B">
        <w:rPr>
          <w:color w:val="000000" w:themeColor="text1"/>
          <w:sz w:val="20"/>
          <w:szCs w:val="20"/>
        </w:rPr>
        <w:t xml:space="preserve">; </w:t>
      </w:r>
      <w:r w:rsidR="00FB0E7B" w:rsidRPr="00FB0E7B">
        <w:rPr>
          <w:color w:val="000000" w:themeColor="text1"/>
          <w:sz w:val="20"/>
          <w:szCs w:val="20"/>
        </w:rPr>
        <w:t>Make Mothers Matter</w:t>
      </w:r>
      <w:r w:rsidR="00FB0E7B">
        <w:rPr>
          <w:color w:val="000000" w:themeColor="text1"/>
          <w:sz w:val="20"/>
          <w:szCs w:val="20"/>
        </w:rPr>
        <w:t xml:space="preserve">; </w:t>
      </w:r>
      <w:r w:rsidR="00FB0E7B" w:rsidRPr="00FB0E7B">
        <w:rPr>
          <w:color w:val="000000" w:themeColor="text1"/>
          <w:sz w:val="20"/>
          <w:szCs w:val="20"/>
        </w:rPr>
        <w:t>Terre Des Hommes Federation Internationale</w:t>
      </w:r>
      <w:r w:rsidRPr="0067399B">
        <w:rPr>
          <w:color w:val="000000" w:themeColor="text1"/>
          <w:sz w:val="20"/>
          <w:szCs w:val="20"/>
        </w:rPr>
        <w:t>.</w:t>
      </w:r>
    </w:p>
    <w:p w14:paraId="56DD06B6" w14:textId="4AEA96C9" w:rsidR="00D15C0E" w:rsidRDefault="009B6FCB" w:rsidP="00D15C0E">
      <w:pPr>
        <w:pStyle w:val="SingleTxtG"/>
        <w:rPr>
          <w:color w:val="000000" w:themeColor="text1"/>
          <w:sz w:val="20"/>
          <w:szCs w:val="20"/>
        </w:rPr>
      </w:pPr>
      <w:r>
        <w:rPr>
          <w:color w:val="000000" w:themeColor="text1"/>
          <w:sz w:val="20"/>
          <w:szCs w:val="20"/>
        </w:rPr>
        <w:t>146</w:t>
      </w:r>
      <w:r w:rsidR="009B441F" w:rsidRPr="0067399B">
        <w:rPr>
          <w:color w:val="000000" w:themeColor="text1"/>
          <w:sz w:val="20"/>
          <w:szCs w:val="20"/>
        </w:rPr>
        <w:t>.</w:t>
      </w:r>
      <w:r w:rsidR="009B441F" w:rsidRPr="0067399B">
        <w:rPr>
          <w:color w:val="000000" w:themeColor="text1"/>
          <w:sz w:val="20"/>
          <w:szCs w:val="20"/>
        </w:rPr>
        <w:tab/>
        <w:t xml:space="preserve">At the </w:t>
      </w:r>
      <w:r w:rsidR="0033063E">
        <w:rPr>
          <w:color w:val="000000" w:themeColor="text1"/>
          <w:sz w:val="20"/>
          <w:szCs w:val="20"/>
        </w:rPr>
        <w:t>15th</w:t>
      </w:r>
      <w:r w:rsidR="009B441F" w:rsidRPr="0067399B">
        <w:rPr>
          <w:color w:val="000000" w:themeColor="text1"/>
          <w:sz w:val="20"/>
          <w:szCs w:val="20"/>
        </w:rPr>
        <w:t xml:space="preserve"> meeting, the Special Rapporteur answered questions and made his concluding remarks.</w:t>
      </w:r>
    </w:p>
    <w:p w14:paraId="1C16AF26" w14:textId="68978CFC" w:rsidR="0013453E" w:rsidRPr="0067399B" w:rsidRDefault="009B6FCB" w:rsidP="00D15C0E">
      <w:pPr>
        <w:pStyle w:val="SingleTxtG"/>
        <w:rPr>
          <w:color w:val="000000" w:themeColor="text1"/>
          <w:sz w:val="20"/>
          <w:szCs w:val="20"/>
        </w:rPr>
      </w:pPr>
      <w:r>
        <w:rPr>
          <w:color w:val="000000" w:themeColor="text1"/>
          <w:sz w:val="20"/>
          <w:szCs w:val="20"/>
        </w:rPr>
        <w:t>147</w:t>
      </w:r>
      <w:r w:rsidR="0013453E" w:rsidRPr="00031F5C">
        <w:rPr>
          <w:color w:val="000000" w:themeColor="text1"/>
          <w:sz w:val="20"/>
          <w:szCs w:val="20"/>
        </w:rPr>
        <w:t>.</w:t>
      </w:r>
      <w:r w:rsidR="0013453E" w:rsidRPr="00031F5C">
        <w:rPr>
          <w:color w:val="000000" w:themeColor="text1"/>
          <w:sz w:val="20"/>
          <w:szCs w:val="20"/>
        </w:rPr>
        <w:tab/>
        <w:t xml:space="preserve">At the </w:t>
      </w:r>
      <w:r w:rsidR="0013453E">
        <w:rPr>
          <w:color w:val="000000" w:themeColor="text1"/>
          <w:sz w:val="20"/>
          <w:szCs w:val="20"/>
        </w:rPr>
        <w:t>same</w:t>
      </w:r>
      <w:r w:rsidR="0013453E" w:rsidRPr="00031F5C">
        <w:rPr>
          <w:color w:val="000000" w:themeColor="text1"/>
          <w:sz w:val="20"/>
          <w:szCs w:val="20"/>
        </w:rPr>
        <w:t xml:space="preserve"> meeting, </w:t>
      </w:r>
      <w:r w:rsidR="0013453E">
        <w:rPr>
          <w:color w:val="000000" w:themeColor="text1"/>
          <w:sz w:val="20"/>
          <w:szCs w:val="20"/>
        </w:rPr>
        <w:t xml:space="preserve">a </w:t>
      </w:r>
      <w:r w:rsidR="0013453E" w:rsidRPr="00031F5C">
        <w:rPr>
          <w:color w:val="000000" w:themeColor="text1"/>
          <w:sz w:val="20"/>
          <w:szCs w:val="20"/>
        </w:rPr>
        <w:t xml:space="preserve">statement in exercise of the right of reply </w:t>
      </w:r>
      <w:r w:rsidR="0013453E">
        <w:rPr>
          <w:color w:val="000000" w:themeColor="text1"/>
          <w:sz w:val="20"/>
          <w:szCs w:val="20"/>
        </w:rPr>
        <w:t>was</w:t>
      </w:r>
      <w:r w:rsidR="0013453E" w:rsidRPr="00031F5C">
        <w:rPr>
          <w:color w:val="000000" w:themeColor="text1"/>
          <w:sz w:val="20"/>
          <w:szCs w:val="20"/>
        </w:rPr>
        <w:t xml:space="preserve"> made by the representative of </w:t>
      </w:r>
      <w:r w:rsidR="0013453E">
        <w:rPr>
          <w:color w:val="000000" w:themeColor="text1"/>
          <w:sz w:val="20"/>
          <w:szCs w:val="20"/>
        </w:rPr>
        <w:t>Brazil</w:t>
      </w:r>
      <w:r w:rsidR="0013453E" w:rsidRPr="00031F5C">
        <w:rPr>
          <w:color w:val="000000" w:themeColor="text1"/>
          <w:sz w:val="20"/>
          <w:szCs w:val="20"/>
        </w:rPr>
        <w:t>.</w:t>
      </w:r>
    </w:p>
    <w:p w14:paraId="1EFF2659" w14:textId="54599EBC" w:rsidR="006A29F0" w:rsidRPr="0067399B" w:rsidRDefault="0033063E" w:rsidP="009D3CF6">
      <w:pPr>
        <w:pStyle w:val="H1G"/>
        <w:rPr>
          <w:color w:val="000000" w:themeColor="text1"/>
          <w:sz w:val="20"/>
          <w:szCs w:val="20"/>
        </w:rPr>
      </w:pPr>
      <w:r>
        <w:rPr>
          <w:color w:val="000000" w:themeColor="text1"/>
          <w:sz w:val="20"/>
          <w:szCs w:val="20"/>
        </w:rPr>
        <w:tab/>
      </w:r>
      <w:r w:rsidR="006A29F0" w:rsidRPr="0067399B">
        <w:rPr>
          <w:color w:val="000000" w:themeColor="text1"/>
          <w:sz w:val="20"/>
          <w:szCs w:val="20"/>
        </w:rPr>
        <w:tab/>
      </w:r>
      <w:r w:rsidR="006A29F0" w:rsidRPr="00A078AC">
        <w:rPr>
          <w:color w:val="000000" w:themeColor="text1"/>
          <w:sz w:val="20"/>
          <w:szCs w:val="20"/>
        </w:rPr>
        <w:t>Special Rapporteur on adequate housing as a component of the right to an adequate standard of living</w:t>
      </w:r>
    </w:p>
    <w:p w14:paraId="302B4245" w14:textId="1D0C3051" w:rsidR="005D0594" w:rsidRPr="0067399B" w:rsidRDefault="009B6FCB" w:rsidP="005D0594">
      <w:pPr>
        <w:pStyle w:val="SingleTxtG"/>
        <w:rPr>
          <w:color w:val="000000" w:themeColor="text1"/>
          <w:sz w:val="20"/>
          <w:szCs w:val="20"/>
        </w:rPr>
      </w:pPr>
      <w:r>
        <w:rPr>
          <w:color w:val="000000" w:themeColor="text1"/>
          <w:sz w:val="20"/>
          <w:szCs w:val="20"/>
        </w:rPr>
        <w:t>148</w:t>
      </w:r>
      <w:r w:rsidR="005D0594" w:rsidRPr="0067399B">
        <w:rPr>
          <w:color w:val="000000" w:themeColor="text1"/>
          <w:sz w:val="20"/>
          <w:szCs w:val="20"/>
        </w:rPr>
        <w:t>.</w:t>
      </w:r>
      <w:r w:rsidR="005D0594" w:rsidRPr="0067399B">
        <w:rPr>
          <w:color w:val="000000" w:themeColor="text1"/>
          <w:sz w:val="20"/>
          <w:szCs w:val="20"/>
        </w:rPr>
        <w:tab/>
        <w:t xml:space="preserve">At the </w:t>
      </w:r>
      <w:r w:rsidR="0033063E">
        <w:rPr>
          <w:color w:val="000000" w:themeColor="text1"/>
          <w:sz w:val="20"/>
          <w:szCs w:val="20"/>
        </w:rPr>
        <w:t>1</w:t>
      </w:r>
      <w:r w:rsidR="00216F3E">
        <w:rPr>
          <w:color w:val="000000" w:themeColor="text1"/>
          <w:sz w:val="20"/>
          <w:szCs w:val="20"/>
        </w:rPr>
        <w:t>4</w:t>
      </w:r>
      <w:r w:rsidR="005D0594" w:rsidRPr="0067399B">
        <w:rPr>
          <w:color w:val="000000" w:themeColor="text1"/>
          <w:sz w:val="20"/>
          <w:szCs w:val="20"/>
        </w:rPr>
        <w:t xml:space="preserve">th meeting, on </w:t>
      </w:r>
      <w:r w:rsidR="0033063E">
        <w:rPr>
          <w:color w:val="000000" w:themeColor="text1"/>
          <w:sz w:val="20"/>
          <w:szCs w:val="20"/>
        </w:rPr>
        <w:t>4 March</w:t>
      </w:r>
      <w:r w:rsidR="005D0594" w:rsidRPr="0067399B">
        <w:rPr>
          <w:color w:val="000000" w:themeColor="text1"/>
          <w:sz w:val="20"/>
          <w:szCs w:val="20"/>
        </w:rPr>
        <w:t xml:space="preserve"> </w:t>
      </w:r>
      <w:r w:rsidR="00141AFC">
        <w:rPr>
          <w:color w:val="000000" w:themeColor="text1"/>
          <w:sz w:val="20"/>
          <w:szCs w:val="20"/>
        </w:rPr>
        <w:t>2019</w:t>
      </w:r>
      <w:r w:rsidR="005D0594" w:rsidRPr="0067399B">
        <w:rPr>
          <w:color w:val="000000" w:themeColor="text1"/>
          <w:sz w:val="20"/>
          <w:szCs w:val="20"/>
        </w:rPr>
        <w:t xml:space="preserve">, the Special Rapporteur on adequate housing as a component of the right to an adequate standard of living, and on the right to non-discrimination in this context, Leilani Farha, presented her reports </w:t>
      </w:r>
      <w:r w:rsidR="005D0594" w:rsidRPr="0067399B">
        <w:rPr>
          <w:color w:val="000000" w:themeColor="text1"/>
          <w:sz w:val="20"/>
          <w:szCs w:val="20"/>
          <w:lang w:eastAsia="en-GB"/>
        </w:rPr>
        <w:t>(A/HRC/</w:t>
      </w:r>
      <w:r w:rsidR="0033063E" w:rsidRPr="0033063E">
        <w:rPr>
          <w:color w:val="000000" w:themeColor="text1"/>
          <w:sz w:val="20"/>
          <w:szCs w:val="20"/>
          <w:lang w:eastAsia="en-GB"/>
        </w:rPr>
        <w:t>40/61</w:t>
      </w:r>
      <w:r w:rsidR="005D0594" w:rsidRPr="0067399B">
        <w:rPr>
          <w:color w:val="000000" w:themeColor="text1"/>
          <w:sz w:val="20"/>
          <w:szCs w:val="20"/>
          <w:lang w:eastAsia="en-GB"/>
        </w:rPr>
        <w:t xml:space="preserve"> and Add.1</w:t>
      </w:r>
      <w:r w:rsidR="0033063E">
        <w:rPr>
          <w:color w:val="000000" w:themeColor="text1"/>
          <w:sz w:val="20"/>
          <w:szCs w:val="20"/>
          <w:lang w:eastAsia="en-GB"/>
        </w:rPr>
        <w:t>-2</w:t>
      </w:r>
      <w:r w:rsidR="005D0594" w:rsidRPr="0067399B">
        <w:rPr>
          <w:color w:val="000000" w:themeColor="text1"/>
          <w:sz w:val="20"/>
          <w:szCs w:val="20"/>
          <w:lang w:eastAsia="en-GB"/>
        </w:rPr>
        <w:t>).</w:t>
      </w:r>
    </w:p>
    <w:p w14:paraId="069A3014" w14:textId="0E36B820" w:rsidR="005D0594" w:rsidRDefault="009B6FCB" w:rsidP="005D0594">
      <w:pPr>
        <w:pStyle w:val="SingleTxtG"/>
        <w:rPr>
          <w:color w:val="000000" w:themeColor="text1"/>
          <w:sz w:val="20"/>
          <w:szCs w:val="20"/>
        </w:rPr>
      </w:pPr>
      <w:r>
        <w:rPr>
          <w:color w:val="000000" w:themeColor="text1"/>
          <w:sz w:val="20"/>
          <w:szCs w:val="20"/>
        </w:rPr>
        <w:t>149</w:t>
      </w:r>
      <w:r w:rsidR="005D0594" w:rsidRPr="0067399B">
        <w:rPr>
          <w:color w:val="000000" w:themeColor="text1"/>
          <w:sz w:val="20"/>
          <w:szCs w:val="20"/>
        </w:rPr>
        <w:t>.</w:t>
      </w:r>
      <w:r w:rsidR="005D0594" w:rsidRPr="0067399B">
        <w:rPr>
          <w:color w:val="000000" w:themeColor="text1"/>
          <w:sz w:val="20"/>
          <w:szCs w:val="20"/>
        </w:rPr>
        <w:tab/>
        <w:t>At the same meeting, the representative</w:t>
      </w:r>
      <w:r w:rsidR="0033063E">
        <w:rPr>
          <w:color w:val="000000" w:themeColor="text1"/>
          <w:sz w:val="20"/>
          <w:szCs w:val="20"/>
        </w:rPr>
        <w:t>s</w:t>
      </w:r>
      <w:r w:rsidR="005D0594" w:rsidRPr="0067399B">
        <w:rPr>
          <w:color w:val="000000" w:themeColor="text1"/>
          <w:sz w:val="20"/>
          <w:szCs w:val="20"/>
        </w:rPr>
        <w:t xml:space="preserve"> of </w:t>
      </w:r>
      <w:r w:rsidR="0033063E">
        <w:rPr>
          <w:color w:val="000000" w:themeColor="text1"/>
          <w:sz w:val="20"/>
          <w:szCs w:val="20"/>
        </w:rPr>
        <w:t xml:space="preserve">Egypt and the </w:t>
      </w:r>
      <w:r w:rsidR="0033063E" w:rsidRPr="0033063E">
        <w:rPr>
          <w:color w:val="000000" w:themeColor="text1"/>
          <w:sz w:val="20"/>
          <w:szCs w:val="20"/>
        </w:rPr>
        <w:t>Republic of Korea</w:t>
      </w:r>
      <w:r w:rsidR="005D0594" w:rsidRPr="0067399B">
        <w:rPr>
          <w:color w:val="000000" w:themeColor="text1"/>
          <w:sz w:val="20"/>
          <w:szCs w:val="20"/>
        </w:rPr>
        <w:t>, made statement</w:t>
      </w:r>
      <w:r w:rsidR="0033063E">
        <w:rPr>
          <w:color w:val="000000" w:themeColor="text1"/>
          <w:sz w:val="20"/>
          <w:szCs w:val="20"/>
        </w:rPr>
        <w:t>s</w:t>
      </w:r>
      <w:r w:rsidR="005D0594" w:rsidRPr="0067399B">
        <w:rPr>
          <w:color w:val="000000" w:themeColor="text1"/>
          <w:sz w:val="20"/>
          <w:szCs w:val="20"/>
        </w:rPr>
        <w:t xml:space="preserve"> as the State</w:t>
      </w:r>
      <w:r w:rsidR="0033063E">
        <w:rPr>
          <w:color w:val="000000" w:themeColor="text1"/>
          <w:sz w:val="20"/>
          <w:szCs w:val="20"/>
        </w:rPr>
        <w:t>s</w:t>
      </w:r>
      <w:r w:rsidR="005D0594" w:rsidRPr="0067399B">
        <w:rPr>
          <w:color w:val="000000" w:themeColor="text1"/>
          <w:sz w:val="20"/>
          <w:szCs w:val="20"/>
        </w:rPr>
        <w:t xml:space="preserve"> concerned. </w:t>
      </w:r>
    </w:p>
    <w:p w14:paraId="279E01C2" w14:textId="70C3DD7A" w:rsidR="00216F3E" w:rsidRDefault="009B6FCB" w:rsidP="005D0594">
      <w:pPr>
        <w:pStyle w:val="SingleTxtG"/>
        <w:rPr>
          <w:color w:val="000000" w:themeColor="text1"/>
          <w:sz w:val="20"/>
          <w:szCs w:val="20"/>
        </w:rPr>
      </w:pPr>
      <w:r>
        <w:rPr>
          <w:color w:val="000000" w:themeColor="text1"/>
          <w:sz w:val="20"/>
          <w:szCs w:val="20"/>
        </w:rPr>
        <w:t>150</w:t>
      </w:r>
      <w:r w:rsidR="00216F3E" w:rsidRPr="0067399B">
        <w:rPr>
          <w:color w:val="000000" w:themeColor="text1"/>
          <w:sz w:val="20"/>
          <w:szCs w:val="20"/>
        </w:rPr>
        <w:t>.</w:t>
      </w:r>
      <w:r w:rsidR="00216F3E" w:rsidRPr="0067399B">
        <w:rPr>
          <w:color w:val="000000" w:themeColor="text1"/>
          <w:sz w:val="20"/>
          <w:szCs w:val="20"/>
        </w:rPr>
        <w:tab/>
        <w:t>Also at the same meeting, the na</w:t>
      </w:r>
      <w:r w:rsidR="00216F3E">
        <w:rPr>
          <w:color w:val="000000" w:themeColor="text1"/>
          <w:sz w:val="20"/>
          <w:szCs w:val="20"/>
        </w:rPr>
        <w:t>tional human rights institutions</w:t>
      </w:r>
      <w:r w:rsidR="00216F3E" w:rsidRPr="0067399B">
        <w:rPr>
          <w:color w:val="000000" w:themeColor="text1"/>
          <w:sz w:val="20"/>
          <w:szCs w:val="20"/>
        </w:rPr>
        <w:t xml:space="preserve">, </w:t>
      </w:r>
      <w:r w:rsidR="00216F3E" w:rsidRPr="00216F3E">
        <w:rPr>
          <w:color w:val="000000" w:themeColor="text1"/>
          <w:sz w:val="20"/>
          <w:szCs w:val="20"/>
        </w:rPr>
        <w:t>National Council on Human Rights of Egypt</w:t>
      </w:r>
      <w:r w:rsidR="00216F3E">
        <w:rPr>
          <w:color w:val="000000" w:themeColor="text1"/>
          <w:sz w:val="20"/>
          <w:szCs w:val="20"/>
        </w:rPr>
        <w:t xml:space="preserve"> and </w:t>
      </w:r>
      <w:r w:rsidR="00216F3E" w:rsidRPr="00216F3E">
        <w:rPr>
          <w:color w:val="000000" w:themeColor="text1"/>
          <w:sz w:val="20"/>
          <w:szCs w:val="20"/>
        </w:rPr>
        <w:t>National Human Rights Commission of the Republic of Korea</w:t>
      </w:r>
      <w:r w:rsidR="00216F3E">
        <w:rPr>
          <w:color w:val="000000" w:themeColor="text1"/>
          <w:sz w:val="20"/>
          <w:szCs w:val="20"/>
        </w:rPr>
        <w:t>,</w:t>
      </w:r>
      <w:r w:rsidR="00216F3E" w:rsidRPr="00502A3B">
        <w:rPr>
          <w:color w:val="000000" w:themeColor="text1"/>
          <w:sz w:val="20"/>
          <w:szCs w:val="20"/>
        </w:rPr>
        <w:t xml:space="preserve"> </w:t>
      </w:r>
      <w:r w:rsidR="00216F3E">
        <w:rPr>
          <w:color w:val="000000" w:themeColor="text1"/>
          <w:sz w:val="20"/>
          <w:szCs w:val="20"/>
        </w:rPr>
        <w:t xml:space="preserve">made statements. </w:t>
      </w:r>
    </w:p>
    <w:p w14:paraId="64332F07" w14:textId="24056485" w:rsidR="005D0594" w:rsidRPr="0067399B" w:rsidRDefault="009B6FCB" w:rsidP="005D0594">
      <w:pPr>
        <w:pStyle w:val="SingleTxtG"/>
        <w:rPr>
          <w:color w:val="000000" w:themeColor="text1"/>
          <w:sz w:val="20"/>
          <w:szCs w:val="20"/>
        </w:rPr>
      </w:pPr>
      <w:r>
        <w:rPr>
          <w:color w:val="000000" w:themeColor="text1"/>
          <w:sz w:val="20"/>
          <w:szCs w:val="20"/>
        </w:rPr>
        <w:t>151</w:t>
      </w:r>
      <w:r w:rsidR="005D0594" w:rsidRPr="0067399B">
        <w:rPr>
          <w:color w:val="000000" w:themeColor="text1"/>
          <w:sz w:val="20"/>
          <w:szCs w:val="20"/>
        </w:rPr>
        <w:t>.</w:t>
      </w:r>
      <w:r w:rsidR="005D0594" w:rsidRPr="0067399B">
        <w:rPr>
          <w:color w:val="000000" w:themeColor="text1"/>
          <w:sz w:val="20"/>
          <w:szCs w:val="20"/>
        </w:rPr>
        <w:tab/>
        <w:t>During the ensuing interactive dialogue, at</w:t>
      </w:r>
      <w:r w:rsidR="0033063E">
        <w:rPr>
          <w:color w:val="000000" w:themeColor="text1"/>
          <w:sz w:val="20"/>
          <w:szCs w:val="20"/>
        </w:rPr>
        <w:t xml:space="preserve"> the</w:t>
      </w:r>
      <w:r w:rsidR="005D0594" w:rsidRPr="0067399B">
        <w:rPr>
          <w:color w:val="000000" w:themeColor="text1"/>
          <w:sz w:val="20"/>
          <w:szCs w:val="20"/>
        </w:rPr>
        <w:t xml:space="preserve"> </w:t>
      </w:r>
      <w:r w:rsidR="0033063E">
        <w:rPr>
          <w:color w:val="000000" w:themeColor="text1"/>
          <w:sz w:val="20"/>
          <w:szCs w:val="20"/>
        </w:rPr>
        <w:t xml:space="preserve">15th </w:t>
      </w:r>
      <w:r w:rsidR="0033063E" w:rsidRPr="0067399B">
        <w:rPr>
          <w:color w:val="000000" w:themeColor="text1"/>
          <w:sz w:val="20"/>
          <w:szCs w:val="20"/>
        </w:rPr>
        <w:t>meeting</w:t>
      </w:r>
      <w:r w:rsidR="005D0594" w:rsidRPr="0067399B">
        <w:rPr>
          <w:color w:val="000000" w:themeColor="text1"/>
          <w:sz w:val="20"/>
          <w:szCs w:val="20"/>
        </w:rPr>
        <w:t xml:space="preserve">, </w:t>
      </w:r>
      <w:r w:rsidR="0033063E">
        <w:rPr>
          <w:color w:val="000000" w:themeColor="text1"/>
          <w:sz w:val="20"/>
          <w:szCs w:val="20"/>
        </w:rPr>
        <w:t xml:space="preserve">on the same day, </w:t>
      </w:r>
      <w:r w:rsidR="005D0594" w:rsidRPr="0067399B">
        <w:rPr>
          <w:color w:val="000000" w:themeColor="text1"/>
          <w:sz w:val="20"/>
          <w:szCs w:val="20"/>
        </w:rPr>
        <w:t xml:space="preserve">the following made statements and asked the Special Rapporteur questions: </w:t>
      </w:r>
    </w:p>
    <w:p w14:paraId="1AA00F7D" w14:textId="26A2F676" w:rsidR="005D0594" w:rsidRPr="0067399B" w:rsidRDefault="005D0594" w:rsidP="005D0594">
      <w:pPr>
        <w:spacing w:after="120"/>
        <w:ind w:left="1134" w:right="1134" w:firstLine="567"/>
        <w:jc w:val="both"/>
        <w:rPr>
          <w:color w:val="000000" w:themeColor="text1"/>
          <w:sz w:val="20"/>
          <w:szCs w:val="20"/>
        </w:rPr>
      </w:pPr>
      <w:r w:rsidRPr="0067399B">
        <w:rPr>
          <w:color w:val="000000" w:themeColor="text1"/>
          <w:sz w:val="20"/>
          <w:szCs w:val="20"/>
        </w:rPr>
        <w:lastRenderedPageBreak/>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 </w:t>
      </w:r>
      <w:r w:rsidR="00157723" w:rsidRPr="00DE39F5">
        <w:rPr>
          <w:color w:val="000000" w:themeColor="text1"/>
          <w:sz w:val="20"/>
          <w:szCs w:val="20"/>
        </w:rPr>
        <w:t xml:space="preserve">Angola </w:t>
      </w:r>
      <w:r w:rsidR="00157723">
        <w:rPr>
          <w:color w:val="000000" w:themeColor="text1"/>
          <w:sz w:val="20"/>
          <w:szCs w:val="20"/>
        </w:rPr>
        <w:t>(</w:t>
      </w:r>
      <w:r w:rsidR="00157723" w:rsidRPr="00544A55">
        <w:rPr>
          <w:color w:val="000000" w:themeColor="text1"/>
          <w:sz w:val="20"/>
          <w:szCs w:val="20"/>
        </w:rPr>
        <w:t>on behalf of the Group of African States</w:t>
      </w:r>
      <w:r w:rsidR="00157723">
        <w:rPr>
          <w:color w:val="000000" w:themeColor="text1"/>
          <w:sz w:val="20"/>
          <w:szCs w:val="20"/>
        </w:rPr>
        <w:t>),</w:t>
      </w:r>
      <w:r w:rsidR="00157723" w:rsidRPr="00157723">
        <w:rPr>
          <w:color w:val="000000" w:themeColor="text1"/>
          <w:sz w:val="20"/>
          <w:szCs w:val="20"/>
        </w:rPr>
        <w:t xml:space="preserve"> </w:t>
      </w:r>
      <w:r w:rsidR="00157723" w:rsidRPr="00954C07">
        <w:rPr>
          <w:color w:val="000000" w:themeColor="text1"/>
          <w:sz w:val="20"/>
          <w:szCs w:val="20"/>
        </w:rPr>
        <w:t>Bahrain</w:t>
      </w:r>
      <w:r w:rsidR="00157723">
        <w:rPr>
          <w:color w:val="000000" w:themeColor="text1"/>
          <w:sz w:val="20"/>
          <w:szCs w:val="20"/>
        </w:rPr>
        <w:t xml:space="preserve">, </w:t>
      </w:r>
      <w:r w:rsidR="00157723" w:rsidRPr="00954C07">
        <w:rPr>
          <w:color w:val="000000" w:themeColor="text1"/>
          <w:sz w:val="20"/>
          <w:szCs w:val="20"/>
        </w:rPr>
        <w:t>Bangladesh</w:t>
      </w:r>
      <w:r w:rsidR="00157723">
        <w:rPr>
          <w:color w:val="000000" w:themeColor="text1"/>
          <w:sz w:val="20"/>
          <w:szCs w:val="20"/>
        </w:rPr>
        <w:t>,</w:t>
      </w:r>
      <w:r w:rsidR="00157723" w:rsidRPr="00157723">
        <w:rPr>
          <w:color w:val="000000" w:themeColor="text1"/>
          <w:sz w:val="20"/>
          <w:szCs w:val="20"/>
        </w:rPr>
        <w:t xml:space="preserve"> </w:t>
      </w:r>
      <w:r w:rsidR="00157723" w:rsidRPr="00954C07">
        <w:rPr>
          <w:color w:val="000000" w:themeColor="text1"/>
          <w:sz w:val="20"/>
          <w:szCs w:val="20"/>
        </w:rPr>
        <w:t>Cuba</w:t>
      </w:r>
      <w:r w:rsidR="00157723">
        <w:rPr>
          <w:color w:val="000000" w:themeColor="text1"/>
          <w:sz w:val="20"/>
          <w:szCs w:val="20"/>
        </w:rPr>
        <w:t>,</w:t>
      </w:r>
      <w:r w:rsidR="00157723" w:rsidRPr="00157723">
        <w:rPr>
          <w:color w:val="000000" w:themeColor="text1"/>
          <w:sz w:val="20"/>
          <w:szCs w:val="20"/>
        </w:rPr>
        <w:t xml:space="preserve"> </w:t>
      </w:r>
      <w:r w:rsidR="00157723" w:rsidRPr="00954C07">
        <w:rPr>
          <w:color w:val="000000" w:themeColor="text1"/>
          <w:sz w:val="20"/>
          <w:szCs w:val="20"/>
        </w:rPr>
        <w:t>India</w:t>
      </w:r>
      <w:r w:rsidR="00157723">
        <w:rPr>
          <w:color w:val="000000" w:themeColor="text1"/>
          <w:sz w:val="20"/>
          <w:szCs w:val="20"/>
        </w:rPr>
        <w:t>,</w:t>
      </w:r>
      <w:r w:rsidR="00157723" w:rsidRPr="00157723">
        <w:rPr>
          <w:color w:val="000000" w:themeColor="text1"/>
          <w:sz w:val="20"/>
          <w:szCs w:val="20"/>
        </w:rPr>
        <w:t xml:space="preserve"> </w:t>
      </w:r>
      <w:r w:rsidR="00157723" w:rsidRPr="00954C07">
        <w:rPr>
          <w:color w:val="000000" w:themeColor="text1"/>
          <w:sz w:val="20"/>
          <w:szCs w:val="20"/>
        </w:rPr>
        <w:t>Iraq</w:t>
      </w:r>
      <w:r w:rsidR="00157723">
        <w:rPr>
          <w:color w:val="000000" w:themeColor="text1"/>
          <w:sz w:val="20"/>
          <w:szCs w:val="20"/>
        </w:rPr>
        <w:t xml:space="preserve">, </w:t>
      </w:r>
      <w:r w:rsidR="00157723" w:rsidRPr="00954C07">
        <w:rPr>
          <w:color w:val="000000" w:themeColor="text1"/>
          <w:sz w:val="20"/>
          <w:szCs w:val="20"/>
        </w:rPr>
        <w:t>Pakistan</w:t>
      </w:r>
      <w:r w:rsidR="00157723">
        <w:rPr>
          <w:color w:val="000000" w:themeColor="text1"/>
          <w:sz w:val="20"/>
          <w:szCs w:val="20"/>
        </w:rPr>
        <w:t xml:space="preserve">, </w:t>
      </w:r>
      <w:r w:rsidR="00157723" w:rsidRPr="00954C07">
        <w:rPr>
          <w:color w:val="000000" w:themeColor="text1"/>
          <w:sz w:val="20"/>
          <w:szCs w:val="20"/>
        </w:rPr>
        <w:t>Saudi Arabia</w:t>
      </w:r>
      <w:r w:rsidR="00157723">
        <w:rPr>
          <w:color w:val="000000" w:themeColor="text1"/>
          <w:sz w:val="20"/>
          <w:szCs w:val="20"/>
        </w:rPr>
        <w:t xml:space="preserve">, </w:t>
      </w:r>
      <w:r w:rsidR="00157723" w:rsidRPr="00954C07">
        <w:rPr>
          <w:color w:val="000000" w:themeColor="text1"/>
          <w:sz w:val="20"/>
          <w:szCs w:val="20"/>
        </w:rPr>
        <w:t>South Africa</w:t>
      </w:r>
      <w:r w:rsidR="00157723">
        <w:rPr>
          <w:color w:val="000000" w:themeColor="text1"/>
          <w:sz w:val="20"/>
          <w:szCs w:val="20"/>
        </w:rPr>
        <w:t xml:space="preserve">, </w:t>
      </w:r>
      <w:r w:rsidR="00157723" w:rsidRPr="00954C07">
        <w:rPr>
          <w:color w:val="000000" w:themeColor="text1"/>
          <w:sz w:val="20"/>
          <w:szCs w:val="20"/>
        </w:rPr>
        <w:t>Spain</w:t>
      </w:r>
      <w:r w:rsidR="00157723">
        <w:rPr>
          <w:color w:val="000000" w:themeColor="text1"/>
          <w:sz w:val="20"/>
          <w:szCs w:val="20"/>
        </w:rPr>
        <w:t xml:space="preserve">, </w:t>
      </w:r>
      <w:r w:rsidR="00157723" w:rsidRPr="00954C07">
        <w:rPr>
          <w:color w:val="000000" w:themeColor="text1"/>
          <w:sz w:val="20"/>
          <w:szCs w:val="20"/>
        </w:rPr>
        <w:t>Togo</w:t>
      </w:r>
      <w:r w:rsidR="00157723">
        <w:rPr>
          <w:color w:val="000000" w:themeColor="text1"/>
          <w:sz w:val="20"/>
          <w:szCs w:val="20"/>
        </w:rPr>
        <w:t xml:space="preserve">, </w:t>
      </w:r>
      <w:r w:rsidR="00157723" w:rsidRPr="00954C07">
        <w:rPr>
          <w:color w:val="000000" w:themeColor="text1"/>
          <w:sz w:val="20"/>
          <w:szCs w:val="20"/>
        </w:rPr>
        <w:t>Tunisia</w:t>
      </w:r>
      <w:r w:rsidRPr="0067399B">
        <w:rPr>
          <w:color w:val="000000" w:themeColor="text1"/>
          <w:sz w:val="20"/>
          <w:szCs w:val="20"/>
        </w:rPr>
        <w:t>;</w:t>
      </w:r>
    </w:p>
    <w:p w14:paraId="097EF020" w14:textId="771B16A6" w:rsidR="005D0594" w:rsidRDefault="005D0594" w:rsidP="005D0594">
      <w:pPr>
        <w:spacing w:after="120"/>
        <w:ind w:left="1134" w:right="1134" w:firstLine="567"/>
        <w:jc w:val="both"/>
        <w:rPr>
          <w:color w:val="000000" w:themeColor="text1"/>
          <w:sz w:val="20"/>
          <w:szCs w:val="20"/>
        </w:rPr>
      </w:pPr>
      <w:r w:rsidRPr="0067399B">
        <w:rPr>
          <w:color w:val="000000" w:themeColor="text1"/>
          <w:sz w:val="20"/>
          <w:szCs w:val="20"/>
        </w:rPr>
        <w:t>(b)</w:t>
      </w:r>
      <w:r w:rsidRPr="0067399B">
        <w:rPr>
          <w:color w:val="000000" w:themeColor="text1"/>
          <w:sz w:val="20"/>
          <w:szCs w:val="20"/>
        </w:rPr>
        <w:tab/>
        <w:t xml:space="preserve">Representatives of observer States: </w:t>
      </w:r>
      <w:r w:rsidR="00157723" w:rsidRPr="00954C07">
        <w:rPr>
          <w:color w:val="000000" w:themeColor="text1"/>
          <w:sz w:val="20"/>
          <w:szCs w:val="20"/>
        </w:rPr>
        <w:t>Algeria</w:t>
      </w:r>
      <w:r w:rsidR="00157723">
        <w:rPr>
          <w:color w:val="000000" w:themeColor="text1"/>
          <w:sz w:val="20"/>
          <w:szCs w:val="20"/>
        </w:rPr>
        <w:t xml:space="preserve">, </w:t>
      </w:r>
      <w:r w:rsidR="00157723" w:rsidRPr="00954C07">
        <w:rPr>
          <w:color w:val="000000" w:themeColor="text1"/>
          <w:sz w:val="20"/>
          <w:szCs w:val="20"/>
        </w:rPr>
        <w:t>Benin</w:t>
      </w:r>
      <w:r w:rsidR="00157723">
        <w:rPr>
          <w:color w:val="000000" w:themeColor="text1"/>
          <w:sz w:val="20"/>
          <w:szCs w:val="20"/>
        </w:rPr>
        <w:t xml:space="preserve">, </w:t>
      </w:r>
      <w:r w:rsidR="00157723" w:rsidRPr="00954C07">
        <w:rPr>
          <w:color w:val="000000" w:themeColor="text1"/>
          <w:sz w:val="20"/>
          <w:szCs w:val="20"/>
        </w:rPr>
        <w:t>Bolivia (Plurinational State of)</w:t>
      </w:r>
      <w:r w:rsidR="00157723">
        <w:rPr>
          <w:color w:val="000000" w:themeColor="text1"/>
          <w:sz w:val="20"/>
          <w:szCs w:val="20"/>
        </w:rPr>
        <w:t xml:space="preserve">, </w:t>
      </w:r>
      <w:r w:rsidR="00157723" w:rsidRPr="00954C07">
        <w:rPr>
          <w:color w:val="000000" w:themeColor="text1"/>
          <w:sz w:val="20"/>
          <w:szCs w:val="20"/>
        </w:rPr>
        <w:t>Ecuador</w:t>
      </w:r>
      <w:r w:rsidR="00157723">
        <w:rPr>
          <w:color w:val="000000" w:themeColor="text1"/>
          <w:sz w:val="20"/>
          <w:szCs w:val="20"/>
        </w:rPr>
        <w:t xml:space="preserve">, </w:t>
      </w:r>
      <w:r w:rsidR="00157723" w:rsidRPr="00954C07">
        <w:rPr>
          <w:color w:val="000000" w:themeColor="text1"/>
          <w:sz w:val="20"/>
          <w:szCs w:val="20"/>
        </w:rPr>
        <w:t>El Salvador</w:t>
      </w:r>
      <w:r w:rsidR="00157723">
        <w:rPr>
          <w:color w:val="000000" w:themeColor="text1"/>
          <w:sz w:val="20"/>
          <w:szCs w:val="20"/>
        </w:rPr>
        <w:t xml:space="preserve">, </w:t>
      </w:r>
      <w:r w:rsidR="00157723" w:rsidRPr="00954C07">
        <w:rPr>
          <w:color w:val="000000" w:themeColor="text1"/>
          <w:sz w:val="20"/>
          <w:szCs w:val="20"/>
        </w:rPr>
        <w:t>Finland</w:t>
      </w:r>
      <w:r w:rsidR="00157723">
        <w:rPr>
          <w:color w:val="000000" w:themeColor="text1"/>
          <w:sz w:val="20"/>
          <w:szCs w:val="20"/>
        </w:rPr>
        <w:t xml:space="preserve">, </w:t>
      </w:r>
      <w:r w:rsidR="00157723" w:rsidRPr="00954C07">
        <w:rPr>
          <w:color w:val="000000" w:themeColor="text1"/>
          <w:sz w:val="20"/>
          <w:szCs w:val="20"/>
        </w:rPr>
        <w:t>France</w:t>
      </w:r>
      <w:r w:rsidR="00157723">
        <w:rPr>
          <w:color w:val="000000" w:themeColor="text1"/>
          <w:sz w:val="20"/>
          <w:szCs w:val="20"/>
        </w:rPr>
        <w:t xml:space="preserve">, </w:t>
      </w:r>
      <w:r w:rsidR="00157723" w:rsidRPr="00954C07">
        <w:rPr>
          <w:color w:val="000000" w:themeColor="text1"/>
          <w:sz w:val="20"/>
          <w:szCs w:val="20"/>
        </w:rPr>
        <w:t>Germany</w:t>
      </w:r>
      <w:r w:rsidR="00157723">
        <w:rPr>
          <w:color w:val="000000" w:themeColor="text1"/>
          <w:sz w:val="20"/>
          <w:szCs w:val="20"/>
        </w:rPr>
        <w:t xml:space="preserve">, </w:t>
      </w:r>
      <w:r w:rsidR="00157723" w:rsidRPr="00954C07">
        <w:rPr>
          <w:color w:val="000000" w:themeColor="text1"/>
          <w:sz w:val="20"/>
          <w:szCs w:val="20"/>
        </w:rPr>
        <w:t>Indonesia</w:t>
      </w:r>
      <w:r w:rsidR="00157723">
        <w:rPr>
          <w:color w:val="000000" w:themeColor="text1"/>
          <w:sz w:val="20"/>
          <w:szCs w:val="20"/>
        </w:rPr>
        <w:t xml:space="preserve">, </w:t>
      </w:r>
      <w:r w:rsidR="00157723" w:rsidRPr="00954C07">
        <w:rPr>
          <w:color w:val="000000" w:themeColor="text1"/>
          <w:sz w:val="20"/>
          <w:szCs w:val="20"/>
        </w:rPr>
        <w:t>Iran (Islamic Republic of)</w:t>
      </w:r>
      <w:r w:rsidR="00157723">
        <w:rPr>
          <w:color w:val="000000" w:themeColor="text1"/>
          <w:sz w:val="20"/>
          <w:szCs w:val="20"/>
        </w:rPr>
        <w:t xml:space="preserve">, </w:t>
      </w:r>
      <w:r w:rsidR="00157723" w:rsidRPr="00954C07">
        <w:rPr>
          <w:color w:val="000000" w:themeColor="text1"/>
          <w:sz w:val="20"/>
          <w:szCs w:val="20"/>
        </w:rPr>
        <w:t>Jordan</w:t>
      </w:r>
      <w:r w:rsidR="00157723">
        <w:rPr>
          <w:color w:val="000000" w:themeColor="text1"/>
          <w:sz w:val="20"/>
          <w:szCs w:val="20"/>
        </w:rPr>
        <w:t xml:space="preserve">, </w:t>
      </w:r>
      <w:r w:rsidR="00157723" w:rsidRPr="00954C07">
        <w:rPr>
          <w:color w:val="000000" w:themeColor="text1"/>
          <w:sz w:val="20"/>
          <w:szCs w:val="20"/>
        </w:rPr>
        <w:t>Kuwait</w:t>
      </w:r>
      <w:r w:rsidR="00157723">
        <w:rPr>
          <w:color w:val="000000" w:themeColor="text1"/>
          <w:sz w:val="20"/>
          <w:szCs w:val="20"/>
        </w:rPr>
        <w:t xml:space="preserve">, </w:t>
      </w:r>
      <w:r w:rsidR="00157723" w:rsidRPr="00954C07">
        <w:rPr>
          <w:color w:val="000000" w:themeColor="text1"/>
          <w:sz w:val="20"/>
          <w:szCs w:val="20"/>
        </w:rPr>
        <w:t>Malaysia</w:t>
      </w:r>
      <w:r w:rsidR="00157723">
        <w:rPr>
          <w:color w:val="000000" w:themeColor="text1"/>
          <w:sz w:val="20"/>
          <w:szCs w:val="20"/>
        </w:rPr>
        <w:t xml:space="preserve">, </w:t>
      </w:r>
      <w:r w:rsidR="00157723" w:rsidRPr="00954C07">
        <w:rPr>
          <w:color w:val="000000" w:themeColor="text1"/>
          <w:sz w:val="20"/>
          <w:szCs w:val="20"/>
        </w:rPr>
        <w:t>Maldives</w:t>
      </w:r>
      <w:r w:rsidR="00157723">
        <w:rPr>
          <w:color w:val="000000" w:themeColor="text1"/>
          <w:sz w:val="20"/>
          <w:szCs w:val="20"/>
        </w:rPr>
        <w:t xml:space="preserve">, </w:t>
      </w:r>
      <w:r w:rsidR="00157723" w:rsidRPr="00954C07">
        <w:rPr>
          <w:color w:val="000000" w:themeColor="text1"/>
          <w:sz w:val="20"/>
          <w:szCs w:val="20"/>
        </w:rPr>
        <w:t>Paraguay</w:t>
      </w:r>
      <w:r w:rsidR="00157723">
        <w:rPr>
          <w:color w:val="000000" w:themeColor="text1"/>
          <w:sz w:val="20"/>
          <w:szCs w:val="20"/>
        </w:rPr>
        <w:t xml:space="preserve">, </w:t>
      </w:r>
      <w:r w:rsidR="00157723" w:rsidRPr="00954C07">
        <w:rPr>
          <w:color w:val="000000" w:themeColor="text1"/>
          <w:sz w:val="20"/>
          <w:szCs w:val="20"/>
        </w:rPr>
        <w:t>Russian Federation</w:t>
      </w:r>
      <w:r w:rsidR="00157723">
        <w:rPr>
          <w:color w:val="000000" w:themeColor="text1"/>
          <w:sz w:val="20"/>
          <w:szCs w:val="20"/>
        </w:rPr>
        <w:t xml:space="preserve">, </w:t>
      </w:r>
      <w:r w:rsidR="00157723" w:rsidRPr="00954C07">
        <w:rPr>
          <w:color w:val="000000" w:themeColor="text1"/>
          <w:sz w:val="20"/>
          <w:szCs w:val="20"/>
        </w:rPr>
        <w:t>Venezuela (Bolivarian Republic of)</w:t>
      </w:r>
      <w:r w:rsidR="00157723">
        <w:rPr>
          <w:color w:val="000000" w:themeColor="text1"/>
          <w:sz w:val="20"/>
          <w:szCs w:val="20"/>
        </w:rPr>
        <w:t xml:space="preserve">, </w:t>
      </w:r>
      <w:r w:rsidR="00157723" w:rsidRPr="00954C07">
        <w:rPr>
          <w:color w:val="000000" w:themeColor="text1"/>
          <w:sz w:val="20"/>
          <w:szCs w:val="20"/>
        </w:rPr>
        <w:t>State of Palestine</w:t>
      </w:r>
      <w:r w:rsidRPr="0067399B">
        <w:rPr>
          <w:color w:val="000000" w:themeColor="text1"/>
          <w:sz w:val="20"/>
          <w:szCs w:val="20"/>
        </w:rPr>
        <w:t xml:space="preserve">; </w:t>
      </w:r>
    </w:p>
    <w:p w14:paraId="65CEBA90" w14:textId="62EAE29F" w:rsidR="005D0594" w:rsidRPr="0067399B" w:rsidRDefault="005D0594" w:rsidP="005D0594">
      <w:pPr>
        <w:spacing w:after="120"/>
        <w:ind w:left="1134" w:right="1134" w:firstLine="567"/>
        <w:jc w:val="both"/>
        <w:rPr>
          <w:color w:val="000000" w:themeColor="text1"/>
          <w:sz w:val="20"/>
          <w:szCs w:val="20"/>
        </w:rPr>
      </w:pPr>
      <w:r w:rsidRPr="0067399B">
        <w:rPr>
          <w:color w:val="000000" w:themeColor="text1"/>
          <w:sz w:val="20"/>
          <w:szCs w:val="20"/>
        </w:rPr>
        <w:t>(c)</w:t>
      </w:r>
      <w:r w:rsidRPr="0067399B">
        <w:rPr>
          <w:color w:val="000000" w:themeColor="text1"/>
          <w:sz w:val="20"/>
          <w:szCs w:val="20"/>
        </w:rPr>
        <w:tab/>
        <w:t xml:space="preserve">Observer for an intergovernmental organization: European Union; </w:t>
      </w:r>
    </w:p>
    <w:p w14:paraId="46D81655" w14:textId="1C7C4ADA" w:rsidR="005D0594" w:rsidRPr="0067399B" w:rsidRDefault="005D0594" w:rsidP="005D0594">
      <w:pPr>
        <w:spacing w:after="120"/>
        <w:ind w:left="1134" w:right="1134" w:firstLine="567"/>
        <w:jc w:val="both"/>
        <w:rPr>
          <w:color w:val="000000" w:themeColor="text1"/>
          <w:sz w:val="20"/>
          <w:szCs w:val="20"/>
        </w:rPr>
      </w:pPr>
      <w:r w:rsidRPr="0067399B">
        <w:rPr>
          <w:color w:val="000000" w:themeColor="text1"/>
          <w:sz w:val="20"/>
          <w:szCs w:val="20"/>
        </w:rPr>
        <w:t>(d)</w:t>
      </w:r>
      <w:r w:rsidRPr="0067399B">
        <w:rPr>
          <w:color w:val="000000" w:themeColor="text1"/>
          <w:sz w:val="20"/>
          <w:szCs w:val="20"/>
        </w:rPr>
        <w:tab/>
        <w:t xml:space="preserve">Observers for non-governmental organizations: </w:t>
      </w:r>
      <w:r w:rsidR="00FB0E7B" w:rsidRPr="00FB0E7B">
        <w:rPr>
          <w:color w:val="000000" w:themeColor="text1"/>
          <w:sz w:val="20"/>
          <w:szCs w:val="20"/>
        </w:rPr>
        <w:t>Cairo Institute for Human Rights Studies</w:t>
      </w:r>
      <w:r w:rsidR="00FB0E7B">
        <w:rPr>
          <w:color w:val="000000" w:themeColor="text1"/>
          <w:sz w:val="20"/>
          <w:szCs w:val="20"/>
        </w:rPr>
        <w:t xml:space="preserve"> (also on behalf of </w:t>
      </w:r>
      <w:r w:rsidR="00FB0E7B" w:rsidRPr="00FB0E7B">
        <w:rPr>
          <w:color w:val="000000" w:themeColor="text1"/>
          <w:sz w:val="20"/>
          <w:szCs w:val="20"/>
        </w:rPr>
        <w:t>Interna</w:t>
      </w:r>
      <w:r w:rsidR="00FB0E7B">
        <w:rPr>
          <w:color w:val="000000" w:themeColor="text1"/>
          <w:sz w:val="20"/>
          <w:szCs w:val="20"/>
        </w:rPr>
        <w:t xml:space="preserve">tional Service for Human Rights); </w:t>
      </w:r>
      <w:r w:rsidR="00FB0E7B" w:rsidRPr="00FB0E7B">
        <w:rPr>
          <w:color w:val="000000" w:themeColor="text1"/>
          <w:sz w:val="20"/>
          <w:szCs w:val="20"/>
        </w:rPr>
        <w:t>Franciscans International</w:t>
      </w:r>
      <w:r w:rsidR="00FB0E7B">
        <w:rPr>
          <w:color w:val="000000" w:themeColor="text1"/>
          <w:sz w:val="20"/>
          <w:szCs w:val="20"/>
        </w:rPr>
        <w:t xml:space="preserve">; </w:t>
      </w:r>
      <w:r w:rsidR="00FB0E7B" w:rsidRPr="00FB0E7B">
        <w:rPr>
          <w:color w:val="000000" w:themeColor="text1"/>
          <w:sz w:val="20"/>
          <w:szCs w:val="20"/>
        </w:rPr>
        <w:t>Global Initiative for Economic, Social and Cultural Rights</w:t>
      </w:r>
      <w:r w:rsidR="00FB0E7B">
        <w:rPr>
          <w:color w:val="000000" w:themeColor="text1"/>
          <w:sz w:val="20"/>
          <w:szCs w:val="20"/>
        </w:rPr>
        <w:t xml:space="preserve">; </w:t>
      </w:r>
      <w:r w:rsidR="00FB0E7B" w:rsidRPr="00FB0E7B">
        <w:rPr>
          <w:color w:val="000000" w:themeColor="text1"/>
          <w:sz w:val="20"/>
          <w:szCs w:val="20"/>
        </w:rPr>
        <w:t>Human Rights Advocates Inc.</w:t>
      </w:r>
      <w:r w:rsidR="00FB0E7B">
        <w:rPr>
          <w:color w:val="000000" w:themeColor="text1"/>
          <w:sz w:val="20"/>
          <w:szCs w:val="20"/>
        </w:rPr>
        <w:t xml:space="preserve">; </w:t>
      </w:r>
      <w:r w:rsidR="00FB0E7B" w:rsidRPr="00FB0E7B">
        <w:rPr>
          <w:color w:val="000000" w:themeColor="text1"/>
          <w:sz w:val="20"/>
          <w:szCs w:val="20"/>
        </w:rPr>
        <w:t>International Lesbian and Gay Association</w:t>
      </w:r>
      <w:r w:rsidR="00FB0E7B">
        <w:rPr>
          <w:color w:val="000000" w:themeColor="text1"/>
          <w:sz w:val="20"/>
          <w:szCs w:val="20"/>
        </w:rPr>
        <w:t xml:space="preserve">; </w:t>
      </w:r>
      <w:r w:rsidR="00FB0E7B" w:rsidRPr="00FB0E7B">
        <w:rPr>
          <w:color w:val="000000" w:themeColor="text1"/>
          <w:sz w:val="20"/>
          <w:szCs w:val="20"/>
        </w:rPr>
        <w:t>Maat for Peace, Development and Human Rights Association</w:t>
      </w:r>
      <w:r w:rsidR="00FB0E7B">
        <w:rPr>
          <w:color w:val="000000" w:themeColor="text1"/>
          <w:sz w:val="20"/>
          <w:szCs w:val="20"/>
        </w:rPr>
        <w:t xml:space="preserve">; </w:t>
      </w:r>
      <w:r w:rsidR="00FB0E7B" w:rsidRPr="00FB0E7B">
        <w:rPr>
          <w:color w:val="000000" w:themeColor="text1"/>
          <w:sz w:val="20"/>
          <w:szCs w:val="20"/>
        </w:rPr>
        <w:t>Minority Rights Group</w:t>
      </w:r>
      <w:r w:rsidRPr="0067399B">
        <w:rPr>
          <w:color w:val="000000" w:themeColor="text1"/>
          <w:sz w:val="20"/>
          <w:szCs w:val="20"/>
        </w:rPr>
        <w:t xml:space="preserve">. </w:t>
      </w:r>
    </w:p>
    <w:p w14:paraId="6ADD838F" w14:textId="2072F750" w:rsidR="005D0594" w:rsidRDefault="009B6FCB" w:rsidP="005D0594">
      <w:pPr>
        <w:pStyle w:val="SingleTxtG"/>
        <w:rPr>
          <w:color w:val="000000" w:themeColor="text1"/>
          <w:sz w:val="20"/>
          <w:szCs w:val="20"/>
        </w:rPr>
      </w:pPr>
      <w:r>
        <w:rPr>
          <w:color w:val="000000" w:themeColor="text1"/>
          <w:sz w:val="20"/>
          <w:szCs w:val="20"/>
        </w:rPr>
        <w:t>152</w:t>
      </w:r>
      <w:r w:rsidR="005D0594" w:rsidRPr="0067399B">
        <w:rPr>
          <w:color w:val="000000" w:themeColor="text1"/>
          <w:sz w:val="20"/>
          <w:szCs w:val="20"/>
        </w:rPr>
        <w:t>.</w:t>
      </w:r>
      <w:r w:rsidR="005D0594" w:rsidRPr="0067399B">
        <w:rPr>
          <w:color w:val="000000" w:themeColor="text1"/>
          <w:sz w:val="20"/>
          <w:szCs w:val="20"/>
        </w:rPr>
        <w:tab/>
        <w:t xml:space="preserve">At the </w:t>
      </w:r>
      <w:r w:rsidR="0033063E">
        <w:rPr>
          <w:color w:val="000000" w:themeColor="text1"/>
          <w:sz w:val="20"/>
          <w:szCs w:val="20"/>
        </w:rPr>
        <w:t>15th</w:t>
      </w:r>
      <w:r w:rsidR="005D0594" w:rsidRPr="0067399B">
        <w:rPr>
          <w:color w:val="000000" w:themeColor="text1"/>
          <w:sz w:val="20"/>
          <w:szCs w:val="20"/>
        </w:rPr>
        <w:t xml:space="preserve"> meeting, the Special Rapporteur answered questions and made her concluding remarks.</w:t>
      </w:r>
    </w:p>
    <w:p w14:paraId="6DC2BB3D" w14:textId="2ADD40FD" w:rsidR="006122AD" w:rsidRPr="0067399B" w:rsidRDefault="00465830" w:rsidP="009D3CF6">
      <w:pPr>
        <w:pStyle w:val="H1G"/>
        <w:rPr>
          <w:color w:val="000000" w:themeColor="text1"/>
          <w:sz w:val="20"/>
          <w:szCs w:val="20"/>
        </w:rPr>
      </w:pPr>
      <w:r w:rsidRPr="0067399B">
        <w:rPr>
          <w:color w:val="000000" w:themeColor="text1"/>
          <w:sz w:val="20"/>
          <w:szCs w:val="20"/>
        </w:rPr>
        <w:tab/>
      </w:r>
      <w:r w:rsidR="006122AD" w:rsidRPr="0067399B">
        <w:rPr>
          <w:color w:val="000000" w:themeColor="text1"/>
          <w:sz w:val="20"/>
          <w:szCs w:val="20"/>
        </w:rPr>
        <w:tab/>
      </w:r>
      <w:r w:rsidR="006122AD" w:rsidRPr="0067399B">
        <w:rPr>
          <w:color w:val="000000" w:themeColor="text1"/>
          <w:sz w:val="20"/>
          <w:szCs w:val="20"/>
        </w:rPr>
        <w:tab/>
      </w:r>
      <w:r w:rsidR="006122AD" w:rsidRPr="00A078AC">
        <w:rPr>
          <w:color w:val="000000" w:themeColor="text1"/>
          <w:sz w:val="20"/>
          <w:szCs w:val="20"/>
        </w:rPr>
        <w:t>Special Rapporteur on freedom of religion or belief</w:t>
      </w:r>
    </w:p>
    <w:p w14:paraId="6295FD8E" w14:textId="131F41E4" w:rsidR="006122AD" w:rsidRPr="0067399B" w:rsidRDefault="009B6FCB" w:rsidP="006122AD">
      <w:pPr>
        <w:pStyle w:val="SingleTxtG"/>
        <w:rPr>
          <w:color w:val="000000" w:themeColor="text1"/>
          <w:sz w:val="20"/>
          <w:szCs w:val="20"/>
        </w:rPr>
      </w:pPr>
      <w:r>
        <w:rPr>
          <w:color w:val="000000" w:themeColor="text1"/>
          <w:sz w:val="20"/>
          <w:szCs w:val="20"/>
        </w:rPr>
        <w:t>153</w:t>
      </w:r>
      <w:r w:rsidR="006122AD" w:rsidRPr="0067399B">
        <w:rPr>
          <w:color w:val="000000" w:themeColor="text1"/>
          <w:sz w:val="20"/>
          <w:szCs w:val="20"/>
        </w:rPr>
        <w:t>.</w:t>
      </w:r>
      <w:r w:rsidR="006122AD" w:rsidRPr="0067399B">
        <w:rPr>
          <w:color w:val="000000" w:themeColor="text1"/>
          <w:sz w:val="20"/>
          <w:szCs w:val="20"/>
        </w:rPr>
        <w:tab/>
        <w:t>At the 1</w:t>
      </w:r>
      <w:r w:rsidR="0033063E">
        <w:rPr>
          <w:color w:val="000000" w:themeColor="text1"/>
          <w:sz w:val="20"/>
          <w:szCs w:val="20"/>
        </w:rPr>
        <w:t>7</w:t>
      </w:r>
      <w:r w:rsidR="006122AD" w:rsidRPr="0067399B">
        <w:rPr>
          <w:color w:val="000000" w:themeColor="text1"/>
          <w:sz w:val="20"/>
          <w:szCs w:val="20"/>
        </w:rPr>
        <w:t xml:space="preserve">th meeting, on </w:t>
      </w:r>
      <w:r w:rsidR="0033063E">
        <w:rPr>
          <w:color w:val="000000" w:themeColor="text1"/>
          <w:sz w:val="20"/>
          <w:szCs w:val="20"/>
        </w:rPr>
        <w:t>5</w:t>
      </w:r>
      <w:r w:rsidR="006122AD" w:rsidRPr="0067399B">
        <w:rPr>
          <w:color w:val="000000" w:themeColor="text1"/>
          <w:sz w:val="20"/>
          <w:szCs w:val="20"/>
        </w:rPr>
        <w:t xml:space="preserve"> March </w:t>
      </w:r>
      <w:r w:rsidR="00141AFC">
        <w:rPr>
          <w:color w:val="000000" w:themeColor="text1"/>
          <w:sz w:val="20"/>
          <w:szCs w:val="20"/>
        </w:rPr>
        <w:t>2019</w:t>
      </w:r>
      <w:r w:rsidR="006122AD" w:rsidRPr="0067399B">
        <w:rPr>
          <w:color w:val="000000" w:themeColor="text1"/>
          <w:sz w:val="20"/>
          <w:szCs w:val="20"/>
        </w:rPr>
        <w:t>, the Special Rapporteur on freedom of religion or belief, Ahmed Shaheed, presented his reports (A/HRC/</w:t>
      </w:r>
      <w:r w:rsidR="0033063E" w:rsidRPr="0033063E">
        <w:rPr>
          <w:color w:val="000000" w:themeColor="text1"/>
          <w:sz w:val="20"/>
          <w:szCs w:val="20"/>
        </w:rPr>
        <w:t xml:space="preserve">40/58 </w:t>
      </w:r>
      <w:r w:rsidR="0033063E">
        <w:rPr>
          <w:color w:val="000000" w:themeColor="text1"/>
          <w:sz w:val="20"/>
          <w:szCs w:val="20"/>
        </w:rPr>
        <w:t>and Add.1</w:t>
      </w:r>
      <w:r w:rsidR="006122AD" w:rsidRPr="0067399B">
        <w:rPr>
          <w:color w:val="000000" w:themeColor="text1"/>
          <w:sz w:val="20"/>
          <w:szCs w:val="20"/>
        </w:rPr>
        <w:t>).</w:t>
      </w:r>
    </w:p>
    <w:p w14:paraId="2F2D2E18" w14:textId="63F0D39F" w:rsidR="006122AD" w:rsidRPr="0067399B" w:rsidRDefault="009B6FCB" w:rsidP="006122AD">
      <w:pPr>
        <w:pStyle w:val="SingleTxtG"/>
        <w:rPr>
          <w:color w:val="000000" w:themeColor="text1"/>
          <w:sz w:val="20"/>
          <w:szCs w:val="20"/>
        </w:rPr>
      </w:pPr>
      <w:r>
        <w:rPr>
          <w:color w:val="000000" w:themeColor="text1"/>
          <w:sz w:val="20"/>
          <w:szCs w:val="20"/>
        </w:rPr>
        <w:t>154</w:t>
      </w:r>
      <w:r w:rsidR="006122AD" w:rsidRPr="0067399B">
        <w:rPr>
          <w:color w:val="000000" w:themeColor="text1"/>
          <w:sz w:val="20"/>
          <w:szCs w:val="20"/>
        </w:rPr>
        <w:t>.</w:t>
      </w:r>
      <w:r w:rsidR="006122AD" w:rsidRPr="0067399B">
        <w:rPr>
          <w:color w:val="000000" w:themeColor="text1"/>
          <w:sz w:val="20"/>
          <w:szCs w:val="20"/>
        </w:rPr>
        <w:tab/>
        <w:t xml:space="preserve">At the same meeting, the representative of </w:t>
      </w:r>
      <w:r w:rsidR="0033063E" w:rsidRPr="0033063E">
        <w:rPr>
          <w:color w:val="000000" w:themeColor="text1"/>
          <w:sz w:val="20"/>
          <w:szCs w:val="20"/>
        </w:rPr>
        <w:t xml:space="preserve">Tunisia </w:t>
      </w:r>
      <w:r w:rsidR="006122AD" w:rsidRPr="0067399B">
        <w:rPr>
          <w:color w:val="000000" w:themeColor="text1"/>
          <w:sz w:val="20"/>
          <w:szCs w:val="20"/>
        </w:rPr>
        <w:t xml:space="preserve">made </w:t>
      </w:r>
      <w:r w:rsidR="0033063E">
        <w:rPr>
          <w:color w:val="000000" w:themeColor="text1"/>
          <w:sz w:val="20"/>
          <w:szCs w:val="20"/>
        </w:rPr>
        <w:t xml:space="preserve">a </w:t>
      </w:r>
      <w:r w:rsidR="006122AD" w:rsidRPr="0067399B">
        <w:rPr>
          <w:color w:val="000000" w:themeColor="text1"/>
          <w:sz w:val="20"/>
          <w:szCs w:val="20"/>
        </w:rPr>
        <w:t>statement as the State concerned.</w:t>
      </w:r>
    </w:p>
    <w:p w14:paraId="734E0BB5" w14:textId="1C587267" w:rsidR="006122AD" w:rsidRPr="0067399B" w:rsidRDefault="009B6FCB" w:rsidP="006122AD">
      <w:pPr>
        <w:pStyle w:val="SingleTxtG"/>
        <w:rPr>
          <w:color w:val="000000" w:themeColor="text1"/>
          <w:sz w:val="20"/>
          <w:szCs w:val="20"/>
        </w:rPr>
      </w:pPr>
      <w:r>
        <w:rPr>
          <w:color w:val="000000" w:themeColor="text1"/>
          <w:sz w:val="20"/>
          <w:szCs w:val="20"/>
        </w:rPr>
        <w:t>155</w:t>
      </w:r>
      <w:r w:rsidR="006122AD" w:rsidRPr="0067399B">
        <w:rPr>
          <w:color w:val="000000" w:themeColor="text1"/>
          <w:sz w:val="20"/>
          <w:szCs w:val="20"/>
        </w:rPr>
        <w:t>.</w:t>
      </w:r>
      <w:r w:rsidR="006122AD" w:rsidRPr="0067399B">
        <w:rPr>
          <w:color w:val="000000" w:themeColor="text1"/>
          <w:sz w:val="20"/>
          <w:szCs w:val="20"/>
        </w:rPr>
        <w:tab/>
        <w:t xml:space="preserve">During the ensuing interactive dialogue, at the </w:t>
      </w:r>
      <w:r w:rsidR="003B568F">
        <w:rPr>
          <w:color w:val="000000" w:themeColor="text1"/>
          <w:sz w:val="20"/>
          <w:szCs w:val="20"/>
        </w:rPr>
        <w:t>17th</w:t>
      </w:r>
      <w:r w:rsidR="006122AD" w:rsidRPr="0067399B">
        <w:rPr>
          <w:color w:val="000000" w:themeColor="text1"/>
          <w:sz w:val="20"/>
          <w:szCs w:val="20"/>
        </w:rPr>
        <w:t xml:space="preserve"> </w:t>
      </w:r>
      <w:r w:rsidR="003B568F">
        <w:rPr>
          <w:color w:val="000000" w:themeColor="text1"/>
          <w:sz w:val="20"/>
          <w:szCs w:val="20"/>
        </w:rPr>
        <w:t xml:space="preserve">to 18th </w:t>
      </w:r>
      <w:r w:rsidR="006122AD" w:rsidRPr="0067399B">
        <w:rPr>
          <w:color w:val="000000" w:themeColor="text1"/>
          <w:sz w:val="20"/>
          <w:szCs w:val="20"/>
        </w:rPr>
        <w:t>meeting</w:t>
      </w:r>
      <w:r w:rsidR="003B568F">
        <w:rPr>
          <w:color w:val="000000" w:themeColor="text1"/>
          <w:sz w:val="20"/>
          <w:szCs w:val="20"/>
        </w:rPr>
        <w:t>s</w:t>
      </w:r>
      <w:r w:rsidR="006122AD" w:rsidRPr="0067399B">
        <w:rPr>
          <w:color w:val="000000" w:themeColor="text1"/>
          <w:sz w:val="20"/>
          <w:szCs w:val="20"/>
        </w:rPr>
        <w:t>, on the same day,</w:t>
      </w:r>
      <w:r w:rsidR="005E4C78" w:rsidRPr="0067399B">
        <w:rPr>
          <w:color w:val="000000" w:themeColor="text1"/>
          <w:sz w:val="20"/>
          <w:szCs w:val="20"/>
        </w:rPr>
        <w:t xml:space="preserve"> </w:t>
      </w:r>
      <w:r w:rsidR="006122AD" w:rsidRPr="0067399B">
        <w:rPr>
          <w:color w:val="000000" w:themeColor="text1"/>
          <w:sz w:val="20"/>
          <w:szCs w:val="20"/>
        </w:rPr>
        <w:t>the following made statements and asked the Special Rapporteur questions:</w:t>
      </w:r>
    </w:p>
    <w:p w14:paraId="1424196A" w14:textId="0CC284F6" w:rsidR="006122AD" w:rsidRPr="0067399B" w:rsidRDefault="006122AD" w:rsidP="006122AD">
      <w:pPr>
        <w:spacing w:after="120"/>
        <w:ind w:left="1134" w:right="1134" w:firstLine="567"/>
        <w:jc w:val="both"/>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w:t>
      </w:r>
      <w:r w:rsidR="0033063E">
        <w:rPr>
          <w:color w:val="000000" w:themeColor="text1"/>
          <w:sz w:val="20"/>
          <w:szCs w:val="20"/>
        </w:rPr>
        <w:t xml:space="preserve"> </w:t>
      </w:r>
      <w:r w:rsidR="00D6586B" w:rsidRPr="00DE39F5">
        <w:rPr>
          <w:color w:val="000000" w:themeColor="text1"/>
          <w:sz w:val="20"/>
          <w:szCs w:val="20"/>
        </w:rPr>
        <w:t xml:space="preserve">Angola </w:t>
      </w:r>
      <w:r w:rsidR="00D6586B">
        <w:rPr>
          <w:color w:val="000000" w:themeColor="text1"/>
          <w:sz w:val="20"/>
          <w:szCs w:val="20"/>
        </w:rPr>
        <w:t>(</w:t>
      </w:r>
      <w:r w:rsidR="00D6586B" w:rsidRPr="00544A55">
        <w:rPr>
          <w:color w:val="000000" w:themeColor="text1"/>
          <w:sz w:val="20"/>
          <w:szCs w:val="20"/>
        </w:rPr>
        <w:t>on behalf of the Group of African States</w:t>
      </w:r>
      <w:r w:rsidR="00D6586B">
        <w:rPr>
          <w:color w:val="000000" w:themeColor="text1"/>
          <w:sz w:val="20"/>
          <w:szCs w:val="20"/>
        </w:rPr>
        <w:t xml:space="preserve">), </w:t>
      </w:r>
      <w:r w:rsidR="00D6586B" w:rsidRPr="00D6586B">
        <w:rPr>
          <w:color w:val="000000" w:themeColor="text1"/>
          <w:sz w:val="20"/>
          <w:szCs w:val="20"/>
        </w:rPr>
        <w:t>Australia</w:t>
      </w:r>
      <w:r w:rsidR="00D6586B">
        <w:rPr>
          <w:color w:val="000000" w:themeColor="text1"/>
          <w:sz w:val="20"/>
          <w:szCs w:val="20"/>
        </w:rPr>
        <w:t xml:space="preserve">, </w:t>
      </w:r>
      <w:r w:rsidR="00D6586B" w:rsidRPr="00D6586B">
        <w:rPr>
          <w:color w:val="000000" w:themeColor="text1"/>
          <w:sz w:val="20"/>
          <w:szCs w:val="20"/>
        </w:rPr>
        <w:t>Austria</w:t>
      </w:r>
      <w:r w:rsidR="00D6586B">
        <w:rPr>
          <w:color w:val="000000" w:themeColor="text1"/>
          <w:sz w:val="20"/>
          <w:szCs w:val="20"/>
        </w:rPr>
        <w:t xml:space="preserve">, </w:t>
      </w:r>
      <w:r w:rsidR="00D6586B" w:rsidRPr="00D6586B">
        <w:rPr>
          <w:color w:val="000000" w:themeColor="text1"/>
          <w:sz w:val="20"/>
          <w:szCs w:val="20"/>
        </w:rPr>
        <w:t>Bahrain</w:t>
      </w:r>
      <w:r w:rsidR="00D6586B">
        <w:rPr>
          <w:color w:val="000000" w:themeColor="text1"/>
          <w:sz w:val="20"/>
          <w:szCs w:val="20"/>
        </w:rPr>
        <w:t xml:space="preserve">, </w:t>
      </w:r>
      <w:r w:rsidR="00D6586B" w:rsidRPr="00D6586B">
        <w:rPr>
          <w:color w:val="000000" w:themeColor="text1"/>
          <w:sz w:val="20"/>
          <w:szCs w:val="20"/>
        </w:rPr>
        <w:t>Bangladesh</w:t>
      </w:r>
      <w:r w:rsidR="00D6586B">
        <w:rPr>
          <w:color w:val="000000" w:themeColor="text1"/>
          <w:sz w:val="20"/>
          <w:szCs w:val="20"/>
        </w:rPr>
        <w:t xml:space="preserve">, </w:t>
      </w:r>
      <w:r w:rsidR="00D6586B" w:rsidRPr="00D6586B">
        <w:rPr>
          <w:color w:val="000000" w:themeColor="text1"/>
          <w:sz w:val="20"/>
          <w:szCs w:val="20"/>
        </w:rPr>
        <w:t>Brazil</w:t>
      </w:r>
      <w:r w:rsidR="00D6586B">
        <w:rPr>
          <w:color w:val="000000" w:themeColor="text1"/>
          <w:sz w:val="20"/>
          <w:szCs w:val="20"/>
        </w:rPr>
        <w:t xml:space="preserve">, </w:t>
      </w:r>
      <w:r w:rsidR="00D6586B" w:rsidRPr="00D6586B">
        <w:rPr>
          <w:color w:val="000000" w:themeColor="text1"/>
          <w:sz w:val="20"/>
          <w:szCs w:val="20"/>
        </w:rPr>
        <w:t>Burkina Faso</w:t>
      </w:r>
      <w:r w:rsidR="00D6586B">
        <w:rPr>
          <w:color w:val="000000" w:themeColor="text1"/>
          <w:sz w:val="20"/>
          <w:szCs w:val="20"/>
        </w:rPr>
        <w:t xml:space="preserve">, </w:t>
      </w:r>
      <w:r w:rsidR="00D6586B" w:rsidRPr="00D6586B">
        <w:rPr>
          <w:color w:val="000000" w:themeColor="text1"/>
          <w:sz w:val="20"/>
          <w:szCs w:val="20"/>
        </w:rPr>
        <w:t>China</w:t>
      </w:r>
      <w:r w:rsidR="00D6586B">
        <w:rPr>
          <w:color w:val="000000" w:themeColor="text1"/>
          <w:sz w:val="20"/>
          <w:szCs w:val="20"/>
        </w:rPr>
        <w:t xml:space="preserve">, </w:t>
      </w:r>
      <w:r w:rsidR="00D6586B" w:rsidRPr="00D6586B">
        <w:rPr>
          <w:color w:val="000000" w:themeColor="text1"/>
          <w:sz w:val="20"/>
          <w:szCs w:val="20"/>
        </w:rPr>
        <w:t>Croatia</w:t>
      </w:r>
      <w:r w:rsidR="00D6586B">
        <w:rPr>
          <w:color w:val="000000" w:themeColor="text1"/>
          <w:sz w:val="20"/>
          <w:szCs w:val="20"/>
        </w:rPr>
        <w:t xml:space="preserve">, </w:t>
      </w:r>
      <w:r w:rsidR="00D6586B" w:rsidRPr="00D6586B">
        <w:rPr>
          <w:color w:val="000000" w:themeColor="text1"/>
          <w:sz w:val="20"/>
          <w:szCs w:val="20"/>
        </w:rPr>
        <w:t>Cuba</w:t>
      </w:r>
      <w:r w:rsidR="00D6586B">
        <w:rPr>
          <w:color w:val="000000" w:themeColor="text1"/>
          <w:sz w:val="20"/>
          <w:szCs w:val="20"/>
        </w:rPr>
        <w:t xml:space="preserve">, </w:t>
      </w:r>
      <w:r w:rsidR="00D6586B" w:rsidRPr="00D6586B">
        <w:rPr>
          <w:color w:val="000000" w:themeColor="text1"/>
          <w:sz w:val="20"/>
          <w:szCs w:val="20"/>
        </w:rPr>
        <w:t>Czech</w:t>
      </w:r>
      <w:r w:rsidR="00D6586B">
        <w:rPr>
          <w:color w:val="000000" w:themeColor="text1"/>
          <w:sz w:val="20"/>
          <w:szCs w:val="20"/>
        </w:rPr>
        <w:t xml:space="preserve">ia, Denmark, </w:t>
      </w:r>
      <w:r w:rsidR="00D6586B" w:rsidRPr="00D6586B">
        <w:rPr>
          <w:color w:val="000000" w:themeColor="text1"/>
          <w:sz w:val="20"/>
          <w:szCs w:val="20"/>
        </w:rPr>
        <w:t>Egypt</w:t>
      </w:r>
      <w:r w:rsidR="00D6586B">
        <w:rPr>
          <w:color w:val="000000" w:themeColor="text1"/>
          <w:sz w:val="20"/>
          <w:szCs w:val="20"/>
        </w:rPr>
        <w:t xml:space="preserve">, Iceland, </w:t>
      </w:r>
      <w:r w:rsidR="00D6586B" w:rsidRPr="00D6586B">
        <w:rPr>
          <w:color w:val="000000" w:themeColor="text1"/>
          <w:sz w:val="20"/>
          <w:szCs w:val="20"/>
        </w:rPr>
        <w:t>Iraq</w:t>
      </w:r>
      <w:r w:rsidR="00D6586B">
        <w:rPr>
          <w:color w:val="000000" w:themeColor="text1"/>
          <w:sz w:val="20"/>
          <w:szCs w:val="20"/>
        </w:rPr>
        <w:t xml:space="preserve">, </w:t>
      </w:r>
      <w:r w:rsidR="00D6586B" w:rsidRPr="00D6586B">
        <w:rPr>
          <w:color w:val="000000" w:themeColor="text1"/>
          <w:sz w:val="20"/>
          <w:szCs w:val="20"/>
        </w:rPr>
        <w:t>Italy</w:t>
      </w:r>
      <w:r w:rsidR="00D6586B">
        <w:rPr>
          <w:color w:val="000000" w:themeColor="text1"/>
          <w:sz w:val="20"/>
          <w:szCs w:val="20"/>
        </w:rPr>
        <w:t xml:space="preserve">, </w:t>
      </w:r>
      <w:r w:rsidR="00D6586B" w:rsidRPr="00D6586B">
        <w:rPr>
          <w:color w:val="000000" w:themeColor="text1"/>
          <w:sz w:val="20"/>
          <w:szCs w:val="20"/>
        </w:rPr>
        <w:t>Nepal</w:t>
      </w:r>
      <w:r w:rsidR="00D6586B">
        <w:rPr>
          <w:color w:val="000000" w:themeColor="text1"/>
          <w:sz w:val="20"/>
          <w:szCs w:val="20"/>
        </w:rPr>
        <w:t xml:space="preserve">, </w:t>
      </w:r>
      <w:r w:rsidR="00D6586B" w:rsidRPr="00D6586B">
        <w:rPr>
          <w:color w:val="000000" w:themeColor="text1"/>
          <w:sz w:val="20"/>
          <w:szCs w:val="20"/>
        </w:rPr>
        <w:t>Pakistan</w:t>
      </w:r>
      <w:r w:rsidR="00D6586B">
        <w:rPr>
          <w:color w:val="000000" w:themeColor="text1"/>
          <w:sz w:val="20"/>
          <w:szCs w:val="20"/>
        </w:rPr>
        <w:t xml:space="preserve">, </w:t>
      </w:r>
      <w:r w:rsidR="00D6586B" w:rsidRPr="00D6586B">
        <w:rPr>
          <w:color w:val="000000" w:themeColor="text1"/>
          <w:sz w:val="20"/>
          <w:szCs w:val="20"/>
        </w:rPr>
        <w:t>Slovakia</w:t>
      </w:r>
      <w:r w:rsidR="00D6586B">
        <w:rPr>
          <w:color w:val="000000" w:themeColor="text1"/>
          <w:sz w:val="20"/>
          <w:szCs w:val="20"/>
        </w:rPr>
        <w:t xml:space="preserve">, </w:t>
      </w:r>
      <w:r w:rsidR="00D6586B" w:rsidRPr="00D6586B">
        <w:rPr>
          <w:color w:val="000000" w:themeColor="text1"/>
          <w:sz w:val="20"/>
          <w:szCs w:val="20"/>
        </w:rPr>
        <w:t>Spain</w:t>
      </w:r>
      <w:r w:rsidR="00D6586B">
        <w:rPr>
          <w:color w:val="000000" w:themeColor="text1"/>
          <w:sz w:val="20"/>
          <w:szCs w:val="20"/>
        </w:rPr>
        <w:t xml:space="preserve">, </w:t>
      </w:r>
      <w:r w:rsidR="00D6586B" w:rsidRPr="00D6586B">
        <w:rPr>
          <w:color w:val="000000" w:themeColor="text1"/>
          <w:sz w:val="20"/>
          <w:szCs w:val="20"/>
        </w:rPr>
        <w:t>Tunisia</w:t>
      </w:r>
      <w:r w:rsidR="00D6586B">
        <w:rPr>
          <w:color w:val="000000" w:themeColor="text1"/>
          <w:sz w:val="20"/>
          <w:szCs w:val="20"/>
        </w:rPr>
        <w:t xml:space="preserve">, </w:t>
      </w:r>
      <w:r w:rsidR="00D6586B" w:rsidRPr="00D6586B">
        <w:rPr>
          <w:color w:val="000000" w:themeColor="text1"/>
          <w:sz w:val="20"/>
          <w:szCs w:val="20"/>
        </w:rPr>
        <w:t>Ukraine</w:t>
      </w:r>
      <w:r w:rsidR="00D6586B">
        <w:rPr>
          <w:color w:val="000000" w:themeColor="text1"/>
          <w:sz w:val="20"/>
          <w:szCs w:val="20"/>
        </w:rPr>
        <w:t xml:space="preserve">, </w:t>
      </w:r>
      <w:r w:rsidR="00D6586B" w:rsidRPr="00D6586B">
        <w:rPr>
          <w:color w:val="000000" w:themeColor="text1"/>
          <w:sz w:val="20"/>
          <w:szCs w:val="20"/>
        </w:rPr>
        <w:t>United Kingdom of Great Britain and Northern Ireland</w:t>
      </w:r>
      <w:r w:rsidR="00EA1DAC" w:rsidRPr="0067399B">
        <w:rPr>
          <w:color w:val="000000" w:themeColor="text1"/>
          <w:sz w:val="20"/>
          <w:szCs w:val="20"/>
        </w:rPr>
        <w:t>;</w:t>
      </w:r>
      <w:r w:rsidRPr="0067399B">
        <w:rPr>
          <w:color w:val="000000" w:themeColor="text1"/>
          <w:sz w:val="20"/>
          <w:szCs w:val="20"/>
        </w:rPr>
        <w:t xml:space="preserve"> </w:t>
      </w:r>
    </w:p>
    <w:p w14:paraId="7C27AFD4" w14:textId="2FB4C5B1" w:rsidR="00EA1DAC" w:rsidRPr="0067399B" w:rsidRDefault="006122AD" w:rsidP="006122AD">
      <w:pPr>
        <w:spacing w:after="120"/>
        <w:ind w:left="1134" w:right="1134" w:firstLine="567"/>
        <w:jc w:val="both"/>
        <w:rPr>
          <w:color w:val="000000" w:themeColor="text1"/>
          <w:sz w:val="20"/>
          <w:szCs w:val="20"/>
        </w:rPr>
      </w:pPr>
      <w:r w:rsidRPr="0067399B">
        <w:rPr>
          <w:color w:val="000000" w:themeColor="text1"/>
          <w:sz w:val="20"/>
          <w:szCs w:val="20"/>
        </w:rPr>
        <w:t>(b)</w:t>
      </w:r>
      <w:r w:rsidRPr="0067399B">
        <w:rPr>
          <w:color w:val="000000" w:themeColor="text1"/>
          <w:sz w:val="20"/>
          <w:szCs w:val="20"/>
        </w:rPr>
        <w:tab/>
        <w:t>Representatives of observer States:</w:t>
      </w:r>
      <w:r w:rsidR="00D6586B">
        <w:rPr>
          <w:color w:val="000000" w:themeColor="text1"/>
          <w:sz w:val="20"/>
          <w:szCs w:val="20"/>
        </w:rPr>
        <w:t xml:space="preserve"> </w:t>
      </w:r>
      <w:r w:rsidR="00D6586B" w:rsidRPr="00D6586B">
        <w:rPr>
          <w:color w:val="000000" w:themeColor="text1"/>
          <w:sz w:val="20"/>
          <w:szCs w:val="20"/>
        </w:rPr>
        <w:t>Albania</w:t>
      </w:r>
      <w:r w:rsidR="00D6586B">
        <w:rPr>
          <w:color w:val="000000" w:themeColor="text1"/>
          <w:sz w:val="20"/>
          <w:szCs w:val="20"/>
        </w:rPr>
        <w:t xml:space="preserve">, </w:t>
      </w:r>
      <w:r w:rsidR="00D6586B" w:rsidRPr="00D6586B">
        <w:rPr>
          <w:color w:val="000000" w:themeColor="text1"/>
          <w:sz w:val="20"/>
          <w:szCs w:val="20"/>
        </w:rPr>
        <w:t>Algeria</w:t>
      </w:r>
      <w:r w:rsidR="00D6586B">
        <w:rPr>
          <w:color w:val="000000" w:themeColor="text1"/>
          <w:sz w:val="20"/>
          <w:szCs w:val="20"/>
        </w:rPr>
        <w:t xml:space="preserve">, </w:t>
      </w:r>
      <w:r w:rsidR="00D6586B" w:rsidRPr="00D6586B">
        <w:rPr>
          <w:color w:val="000000" w:themeColor="text1"/>
          <w:sz w:val="20"/>
          <w:szCs w:val="20"/>
        </w:rPr>
        <w:t>Armenia</w:t>
      </w:r>
      <w:r w:rsidR="00D6586B">
        <w:rPr>
          <w:color w:val="000000" w:themeColor="text1"/>
          <w:sz w:val="20"/>
          <w:szCs w:val="20"/>
        </w:rPr>
        <w:t xml:space="preserve">, </w:t>
      </w:r>
      <w:r w:rsidR="00D6586B" w:rsidRPr="00D6586B">
        <w:rPr>
          <w:color w:val="000000" w:themeColor="text1"/>
          <w:sz w:val="20"/>
          <w:szCs w:val="20"/>
        </w:rPr>
        <w:t>Azerbaijan</w:t>
      </w:r>
      <w:r w:rsidR="00D6586B">
        <w:rPr>
          <w:color w:val="000000" w:themeColor="text1"/>
          <w:sz w:val="20"/>
          <w:szCs w:val="20"/>
        </w:rPr>
        <w:t xml:space="preserve">, </w:t>
      </w:r>
      <w:r w:rsidR="00D6586B" w:rsidRPr="00D6586B">
        <w:rPr>
          <w:color w:val="000000" w:themeColor="text1"/>
          <w:sz w:val="20"/>
          <w:szCs w:val="20"/>
        </w:rPr>
        <w:t>Belarus</w:t>
      </w:r>
      <w:r w:rsidR="00D6586B">
        <w:rPr>
          <w:color w:val="000000" w:themeColor="text1"/>
          <w:sz w:val="20"/>
          <w:szCs w:val="20"/>
        </w:rPr>
        <w:t xml:space="preserve">, </w:t>
      </w:r>
      <w:r w:rsidR="00D6586B" w:rsidRPr="00D6586B">
        <w:rPr>
          <w:color w:val="000000" w:themeColor="text1"/>
          <w:sz w:val="20"/>
          <w:szCs w:val="20"/>
        </w:rPr>
        <w:t>Belgium</w:t>
      </w:r>
      <w:r w:rsidR="00D6586B">
        <w:rPr>
          <w:color w:val="000000" w:themeColor="text1"/>
          <w:sz w:val="20"/>
          <w:szCs w:val="20"/>
        </w:rPr>
        <w:t xml:space="preserve">, </w:t>
      </w:r>
      <w:r w:rsidR="00D6586B" w:rsidRPr="00D6586B">
        <w:rPr>
          <w:color w:val="000000" w:themeColor="text1"/>
          <w:sz w:val="20"/>
          <w:szCs w:val="20"/>
        </w:rPr>
        <w:t>Canada</w:t>
      </w:r>
      <w:r w:rsidR="00D6586B">
        <w:rPr>
          <w:color w:val="000000" w:themeColor="text1"/>
          <w:sz w:val="20"/>
          <w:szCs w:val="20"/>
        </w:rPr>
        <w:t xml:space="preserve">, </w:t>
      </w:r>
      <w:r w:rsidR="00D6586B" w:rsidRPr="00D6586B">
        <w:rPr>
          <w:color w:val="000000" w:themeColor="text1"/>
          <w:sz w:val="20"/>
          <w:szCs w:val="20"/>
        </w:rPr>
        <w:t>Cyprus</w:t>
      </w:r>
      <w:r w:rsidR="00D6586B">
        <w:rPr>
          <w:color w:val="000000" w:themeColor="text1"/>
          <w:sz w:val="20"/>
          <w:szCs w:val="20"/>
        </w:rPr>
        <w:t xml:space="preserve">, </w:t>
      </w:r>
      <w:r w:rsidR="00D6586B" w:rsidRPr="00D6586B">
        <w:rPr>
          <w:color w:val="000000" w:themeColor="text1"/>
          <w:sz w:val="20"/>
          <w:szCs w:val="20"/>
        </w:rPr>
        <w:t>Ecuador</w:t>
      </w:r>
      <w:r w:rsidR="00D6586B">
        <w:rPr>
          <w:color w:val="000000" w:themeColor="text1"/>
          <w:sz w:val="20"/>
          <w:szCs w:val="20"/>
        </w:rPr>
        <w:t xml:space="preserve">, </w:t>
      </w:r>
      <w:r w:rsidR="00D6586B" w:rsidRPr="00D6586B">
        <w:rPr>
          <w:color w:val="000000" w:themeColor="text1"/>
          <w:sz w:val="20"/>
          <w:szCs w:val="20"/>
        </w:rPr>
        <w:t>France</w:t>
      </w:r>
      <w:r w:rsidR="00D6586B">
        <w:rPr>
          <w:color w:val="000000" w:themeColor="text1"/>
          <w:sz w:val="20"/>
          <w:szCs w:val="20"/>
        </w:rPr>
        <w:t xml:space="preserve">, </w:t>
      </w:r>
      <w:r w:rsidR="00D6586B" w:rsidRPr="00D6586B">
        <w:rPr>
          <w:color w:val="000000" w:themeColor="text1"/>
          <w:sz w:val="20"/>
          <w:szCs w:val="20"/>
        </w:rPr>
        <w:t>Georgia</w:t>
      </w:r>
      <w:r w:rsidR="00D6586B">
        <w:rPr>
          <w:color w:val="000000" w:themeColor="text1"/>
          <w:sz w:val="20"/>
          <w:szCs w:val="20"/>
        </w:rPr>
        <w:t xml:space="preserve">, </w:t>
      </w:r>
      <w:r w:rsidR="00D6586B" w:rsidRPr="00D6586B">
        <w:rPr>
          <w:color w:val="000000" w:themeColor="text1"/>
          <w:sz w:val="20"/>
          <w:szCs w:val="20"/>
        </w:rPr>
        <w:t>Greece</w:t>
      </w:r>
      <w:r w:rsidR="00D6586B">
        <w:rPr>
          <w:color w:val="000000" w:themeColor="text1"/>
          <w:sz w:val="20"/>
          <w:szCs w:val="20"/>
        </w:rPr>
        <w:t xml:space="preserve">, </w:t>
      </w:r>
      <w:r w:rsidR="00D6586B" w:rsidRPr="00D6586B">
        <w:rPr>
          <w:color w:val="000000" w:themeColor="text1"/>
          <w:sz w:val="20"/>
          <w:szCs w:val="20"/>
        </w:rPr>
        <w:t>Indonesia</w:t>
      </w:r>
      <w:r w:rsidR="00D6586B">
        <w:rPr>
          <w:color w:val="000000" w:themeColor="text1"/>
          <w:sz w:val="20"/>
          <w:szCs w:val="20"/>
        </w:rPr>
        <w:t xml:space="preserve">, </w:t>
      </w:r>
      <w:r w:rsidR="00D6586B" w:rsidRPr="00D6586B">
        <w:rPr>
          <w:color w:val="000000" w:themeColor="text1"/>
          <w:sz w:val="20"/>
          <w:szCs w:val="20"/>
        </w:rPr>
        <w:t>Iran (Islamic Republic of)</w:t>
      </w:r>
      <w:r w:rsidR="00D6586B">
        <w:rPr>
          <w:color w:val="000000" w:themeColor="text1"/>
          <w:sz w:val="20"/>
          <w:szCs w:val="20"/>
        </w:rPr>
        <w:t xml:space="preserve">, </w:t>
      </w:r>
      <w:r w:rsidR="00D6586B" w:rsidRPr="00D6586B">
        <w:rPr>
          <w:color w:val="000000" w:themeColor="text1"/>
          <w:sz w:val="20"/>
          <w:szCs w:val="20"/>
        </w:rPr>
        <w:t>Ireland</w:t>
      </w:r>
      <w:r w:rsidR="00D6586B">
        <w:rPr>
          <w:color w:val="000000" w:themeColor="text1"/>
          <w:sz w:val="20"/>
          <w:szCs w:val="20"/>
        </w:rPr>
        <w:t xml:space="preserve">, </w:t>
      </w:r>
      <w:r w:rsidR="00D6586B" w:rsidRPr="00D6586B">
        <w:rPr>
          <w:color w:val="000000" w:themeColor="text1"/>
          <w:sz w:val="20"/>
          <w:szCs w:val="20"/>
        </w:rPr>
        <w:t>Israel</w:t>
      </w:r>
      <w:r w:rsidR="00D6586B">
        <w:rPr>
          <w:color w:val="000000" w:themeColor="text1"/>
          <w:sz w:val="20"/>
          <w:szCs w:val="20"/>
        </w:rPr>
        <w:t xml:space="preserve">, </w:t>
      </w:r>
      <w:r w:rsidR="00D6586B" w:rsidRPr="00D6586B">
        <w:rPr>
          <w:color w:val="000000" w:themeColor="text1"/>
          <w:sz w:val="20"/>
          <w:szCs w:val="20"/>
        </w:rPr>
        <w:t>Jordan</w:t>
      </w:r>
      <w:r w:rsidR="00D6586B">
        <w:rPr>
          <w:color w:val="000000" w:themeColor="text1"/>
          <w:sz w:val="20"/>
          <w:szCs w:val="20"/>
        </w:rPr>
        <w:t xml:space="preserve">, </w:t>
      </w:r>
      <w:r w:rsidR="00D6586B" w:rsidRPr="00D6586B">
        <w:rPr>
          <w:color w:val="000000" w:themeColor="text1"/>
          <w:sz w:val="20"/>
          <w:szCs w:val="20"/>
        </w:rPr>
        <w:t>Malta</w:t>
      </w:r>
      <w:r w:rsidR="00D6586B">
        <w:rPr>
          <w:color w:val="000000" w:themeColor="text1"/>
          <w:sz w:val="20"/>
          <w:szCs w:val="20"/>
        </w:rPr>
        <w:t xml:space="preserve">, </w:t>
      </w:r>
      <w:r w:rsidR="00D6586B" w:rsidRPr="00D6586B">
        <w:rPr>
          <w:color w:val="000000" w:themeColor="text1"/>
          <w:sz w:val="20"/>
          <w:szCs w:val="20"/>
        </w:rPr>
        <w:t>Montenegro</w:t>
      </w:r>
      <w:r w:rsidR="00D6586B">
        <w:rPr>
          <w:color w:val="000000" w:themeColor="text1"/>
          <w:sz w:val="20"/>
          <w:szCs w:val="20"/>
        </w:rPr>
        <w:t xml:space="preserve">, </w:t>
      </w:r>
      <w:r w:rsidR="00D6586B" w:rsidRPr="00D6586B">
        <w:rPr>
          <w:color w:val="000000" w:themeColor="text1"/>
          <w:sz w:val="20"/>
          <w:szCs w:val="20"/>
        </w:rPr>
        <w:t>Netherlands</w:t>
      </w:r>
      <w:r w:rsidR="00D6586B">
        <w:rPr>
          <w:color w:val="000000" w:themeColor="text1"/>
          <w:sz w:val="20"/>
          <w:szCs w:val="20"/>
        </w:rPr>
        <w:t xml:space="preserve">, </w:t>
      </w:r>
      <w:r w:rsidR="00D6586B" w:rsidRPr="00D6586B">
        <w:rPr>
          <w:color w:val="000000" w:themeColor="text1"/>
          <w:sz w:val="20"/>
          <w:szCs w:val="20"/>
        </w:rPr>
        <w:t>Norway</w:t>
      </w:r>
      <w:r w:rsidR="00D6586B">
        <w:rPr>
          <w:color w:val="000000" w:themeColor="text1"/>
          <w:sz w:val="20"/>
          <w:szCs w:val="20"/>
        </w:rPr>
        <w:t xml:space="preserve">, </w:t>
      </w:r>
      <w:r w:rsidR="00D6586B" w:rsidRPr="00D6586B">
        <w:rPr>
          <w:color w:val="000000" w:themeColor="text1"/>
          <w:sz w:val="20"/>
          <w:szCs w:val="20"/>
        </w:rPr>
        <w:t>Poland</w:t>
      </w:r>
      <w:r w:rsidR="00D6586B">
        <w:rPr>
          <w:color w:val="000000" w:themeColor="text1"/>
          <w:sz w:val="20"/>
          <w:szCs w:val="20"/>
        </w:rPr>
        <w:t xml:space="preserve">, </w:t>
      </w:r>
      <w:r w:rsidR="00D6586B" w:rsidRPr="00D6586B">
        <w:rPr>
          <w:color w:val="000000" w:themeColor="text1"/>
          <w:sz w:val="20"/>
          <w:szCs w:val="20"/>
        </w:rPr>
        <w:t>Russian Federation</w:t>
      </w:r>
      <w:r w:rsidR="00D6586B">
        <w:rPr>
          <w:color w:val="000000" w:themeColor="text1"/>
          <w:sz w:val="20"/>
          <w:szCs w:val="20"/>
        </w:rPr>
        <w:t xml:space="preserve">, </w:t>
      </w:r>
      <w:r w:rsidR="00D6586B" w:rsidRPr="00D6586B">
        <w:rPr>
          <w:color w:val="000000" w:themeColor="text1"/>
          <w:sz w:val="20"/>
          <w:szCs w:val="20"/>
        </w:rPr>
        <w:t>Sierra Leone</w:t>
      </w:r>
      <w:r w:rsidR="00D6586B">
        <w:rPr>
          <w:color w:val="000000" w:themeColor="text1"/>
          <w:sz w:val="20"/>
          <w:szCs w:val="20"/>
        </w:rPr>
        <w:t xml:space="preserve">, </w:t>
      </w:r>
      <w:r w:rsidR="00D6586B" w:rsidRPr="00D6586B">
        <w:rPr>
          <w:color w:val="000000" w:themeColor="text1"/>
          <w:sz w:val="20"/>
          <w:szCs w:val="20"/>
        </w:rPr>
        <w:t>United Arab Emirates</w:t>
      </w:r>
      <w:r w:rsidR="00D6586B">
        <w:rPr>
          <w:color w:val="000000" w:themeColor="text1"/>
          <w:sz w:val="20"/>
          <w:szCs w:val="20"/>
        </w:rPr>
        <w:t xml:space="preserve">, </w:t>
      </w:r>
      <w:r w:rsidR="00D6586B" w:rsidRPr="00D6586B">
        <w:rPr>
          <w:color w:val="000000" w:themeColor="text1"/>
          <w:sz w:val="20"/>
          <w:szCs w:val="20"/>
        </w:rPr>
        <w:t>Venezuela (Bolivarian Republic of)</w:t>
      </w:r>
      <w:r w:rsidR="00D6586B">
        <w:rPr>
          <w:color w:val="000000" w:themeColor="text1"/>
          <w:sz w:val="20"/>
          <w:szCs w:val="20"/>
        </w:rPr>
        <w:t>,</w:t>
      </w:r>
      <w:r w:rsidR="00D6586B" w:rsidRPr="00D6586B">
        <w:rPr>
          <w:color w:val="000000" w:themeColor="text1"/>
          <w:sz w:val="20"/>
          <w:szCs w:val="20"/>
        </w:rPr>
        <w:t xml:space="preserve"> </w:t>
      </w:r>
      <w:r w:rsidR="00D6586B">
        <w:rPr>
          <w:color w:val="000000" w:themeColor="text1"/>
          <w:sz w:val="20"/>
          <w:szCs w:val="20"/>
        </w:rPr>
        <w:t xml:space="preserve">Holy See, </w:t>
      </w:r>
      <w:r w:rsidR="00D6586B" w:rsidRPr="00D6586B">
        <w:rPr>
          <w:color w:val="000000" w:themeColor="text1"/>
          <w:sz w:val="20"/>
          <w:szCs w:val="20"/>
        </w:rPr>
        <w:t>State of Palestine</w:t>
      </w:r>
      <w:r w:rsidR="00EA1DAC" w:rsidRPr="0067399B">
        <w:rPr>
          <w:color w:val="000000" w:themeColor="text1"/>
          <w:sz w:val="20"/>
          <w:szCs w:val="20"/>
        </w:rPr>
        <w:t>;</w:t>
      </w:r>
    </w:p>
    <w:p w14:paraId="527F0033" w14:textId="779C2D89" w:rsidR="006122AD" w:rsidRPr="0067399B" w:rsidRDefault="006122AD" w:rsidP="006122AD">
      <w:pPr>
        <w:spacing w:after="120"/>
        <w:ind w:left="1134" w:right="1134" w:firstLine="567"/>
        <w:jc w:val="both"/>
        <w:rPr>
          <w:color w:val="000000" w:themeColor="text1"/>
          <w:sz w:val="20"/>
          <w:szCs w:val="20"/>
        </w:rPr>
      </w:pPr>
      <w:r w:rsidRPr="0067399B">
        <w:rPr>
          <w:color w:val="000000" w:themeColor="text1"/>
          <w:sz w:val="20"/>
          <w:szCs w:val="20"/>
        </w:rPr>
        <w:t>(c)</w:t>
      </w:r>
      <w:r w:rsidRPr="0067399B">
        <w:rPr>
          <w:color w:val="000000" w:themeColor="text1"/>
          <w:sz w:val="20"/>
          <w:szCs w:val="20"/>
        </w:rPr>
        <w:tab/>
        <w:t xml:space="preserve">Observer for an intergovernmental organization: European Union; </w:t>
      </w:r>
    </w:p>
    <w:p w14:paraId="485D576B" w14:textId="3EC55A47" w:rsidR="005E4C78" w:rsidRPr="0067399B" w:rsidRDefault="005E4C78" w:rsidP="005E4C78">
      <w:pPr>
        <w:spacing w:after="120"/>
        <w:ind w:left="1134" w:right="1134" w:firstLine="567"/>
        <w:jc w:val="both"/>
        <w:rPr>
          <w:color w:val="000000" w:themeColor="text1"/>
          <w:sz w:val="20"/>
          <w:szCs w:val="20"/>
        </w:rPr>
      </w:pPr>
      <w:r w:rsidRPr="0067399B">
        <w:rPr>
          <w:color w:val="000000" w:themeColor="text1"/>
          <w:sz w:val="20"/>
          <w:szCs w:val="20"/>
        </w:rPr>
        <w:t>(d)</w:t>
      </w:r>
      <w:r w:rsidRPr="0067399B">
        <w:rPr>
          <w:color w:val="000000" w:themeColor="text1"/>
          <w:sz w:val="20"/>
          <w:szCs w:val="20"/>
        </w:rPr>
        <w:tab/>
        <w:t>Observer for the Sovereign Military Order of Malta;</w:t>
      </w:r>
    </w:p>
    <w:p w14:paraId="2E2D1627" w14:textId="4C35237B" w:rsidR="005E4C78" w:rsidRPr="0067399B" w:rsidRDefault="006122AD" w:rsidP="006122AD">
      <w:pPr>
        <w:spacing w:after="120"/>
        <w:ind w:left="1134" w:right="1134" w:firstLine="567"/>
        <w:jc w:val="both"/>
        <w:rPr>
          <w:color w:val="000000" w:themeColor="text1"/>
          <w:sz w:val="20"/>
          <w:szCs w:val="20"/>
        </w:rPr>
      </w:pPr>
      <w:r w:rsidRPr="0067399B">
        <w:rPr>
          <w:color w:val="000000" w:themeColor="text1"/>
          <w:sz w:val="20"/>
          <w:szCs w:val="20"/>
        </w:rPr>
        <w:t>(</w:t>
      </w:r>
      <w:r w:rsidR="005E4C78" w:rsidRPr="0067399B">
        <w:rPr>
          <w:color w:val="000000" w:themeColor="text1"/>
          <w:sz w:val="20"/>
          <w:szCs w:val="20"/>
        </w:rPr>
        <w:t>e</w:t>
      </w:r>
      <w:r w:rsidRPr="0067399B">
        <w:rPr>
          <w:color w:val="000000" w:themeColor="text1"/>
          <w:sz w:val="20"/>
          <w:szCs w:val="20"/>
        </w:rPr>
        <w:t>)</w:t>
      </w:r>
      <w:r w:rsidRPr="0067399B">
        <w:rPr>
          <w:color w:val="000000" w:themeColor="text1"/>
          <w:sz w:val="20"/>
          <w:szCs w:val="20"/>
        </w:rPr>
        <w:tab/>
        <w:t>Observers for non-governmental organizations:</w:t>
      </w:r>
      <w:r w:rsidR="0033063E">
        <w:rPr>
          <w:color w:val="000000" w:themeColor="text1"/>
          <w:sz w:val="20"/>
          <w:szCs w:val="20"/>
        </w:rPr>
        <w:t xml:space="preserve"> </w:t>
      </w:r>
      <w:r w:rsidR="008B467F" w:rsidRPr="008B467F">
        <w:rPr>
          <w:color w:val="000000" w:themeColor="text1"/>
          <w:sz w:val="20"/>
          <w:szCs w:val="20"/>
        </w:rPr>
        <w:t>Alliance Defending Freedom</w:t>
      </w:r>
      <w:r w:rsidR="008B467F">
        <w:rPr>
          <w:color w:val="000000" w:themeColor="text1"/>
          <w:sz w:val="20"/>
          <w:szCs w:val="20"/>
        </w:rPr>
        <w:t xml:space="preserve">; </w:t>
      </w:r>
      <w:r w:rsidR="008B467F" w:rsidRPr="008B467F">
        <w:rPr>
          <w:color w:val="000000" w:themeColor="text1"/>
          <w:sz w:val="20"/>
          <w:szCs w:val="20"/>
        </w:rPr>
        <w:t>Americans for Democracy &amp; Human Rights in Bahrain Inc</w:t>
      </w:r>
      <w:r w:rsidR="008B467F">
        <w:rPr>
          <w:color w:val="000000" w:themeColor="text1"/>
          <w:sz w:val="20"/>
          <w:szCs w:val="20"/>
        </w:rPr>
        <w:t xml:space="preserve">; </w:t>
      </w:r>
      <w:r w:rsidR="008B467F" w:rsidRPr="008B467F">
        <w:rPr>
          <w:color w:val="000000" w:themeColor="text1"/>
          <w:sz w:val="20"/>
          <w:szCs w:val="20"/>
        </w:rPr>
        <w:t>Article 19 - International Centre Against Censorship, The</w:t>
      </w:r>
      <w:r w:rsidR="008B467F">
        <w:rPr>
          <w:color w:val="000000" w:themeColor="text1"/>
          <w:sz w:val="20"/>
          <w:szCs w:val="20"/>
        </w:rPr>
        <w:t xml:space="preserve">; </w:t>
      </w:r>
      <w:r w:rsidR="008B467F" w:rsidRPr="008B467F">
        <w:rPr>
          <w:color w:val="000000" w:themeColor="text1"/>
          <w:sz w:val="20"/>
          <w:szCs w:val="20"/>
        </w:rPr>
        <w:t>Association for Progressive Communications</w:t>
      </w:r>
      <w:r w:rsidR="008B467F">
        <w:rPr>
          <w:color w:val="000000" w:themeColor="text1"/>
          <w:sz w:val="20"/>
          <w:szCs w:val="20"/>
        </w:rPr>
        <w:t xml:space="preserve">; </w:t>
      </w:r>
      <w:r w:rsidR="008B467F" w:rsidRPr="008B467F">
        <w:rPr>
          <w:color w:val="000000" w:themeColor="text1"/>
          <w:sz w:val="20"/>
          <w:szCs w:val="20"/>
        </w:rPr>
        <w:t>British Humanist Association</w:t>
      </w:r>
      <w:r w:rsidR="008B467F">
        <w:rPr>
          <w:color w:val="000000" w:themeColor="text1"/>
          <w:sz w:val="20"/>
          <w:szCs w:val="20"/>
        </w:rPr>
        <w:t xml:space="preserve">; </w:t>
      </w:r>
      <w:r w:rsidR="008B467F" w:rsidRPr="008B467F">
        <w:rPr>
          <w:color w:val="000000" w:themeColor="text1"/>
          <w:sz w:val="20"/>
          <w:szCs w:val="20"/>
        </w:rPr>
        <w:t>Christian Solidarity Worldwide</w:t>
      </w:r>
      <w:r w:rsidR="008B467F">
        <w:rPr>
          <w:color w:val="000000" w:themeColor="text1"/>
          <w:sz w:val="20"/>
          <w:szCs w:val="20"/>
        </w:rPr>
        <w:t xml:space="preserve">; </w:t>
      </w:r>
      <w:r w:rsidR="008B467F" w:rsidRPr="008B467F">
        <w:rPr>
          <w:color w:val="000000" w:themeColor="text1"/>
          <w:sz w:val="20"/>
          <w:szCs w:val="20"/>
        </w:rPr>
        <w:t>Coordination des Associations et des Particuliers pour la Liberté de Conscience</w:t>
      </w:r>
      <w:r w:rsidR="008B467F">
        <w:rPr>
          <w:color w:val="000000" w:themeColor="text1"/>
          <w:sz w:val="20"/>
          <w:szCs w:val="20"/>
        </w:rPr>
        <w:t xml:space="preserve">; </w:t>
      </w:r>
      <w:r w:rsidR="008B467F" w:rsidRPr="008B467F">
        <w:rPr>
          <w:color w:val="000000" w:themeColor="text1"/>
          <w:sz w:val="20"/>
          <w:szCs w:val="20"/>
        </w:rPr>
        <w:t>International Association for Democracy in Africa</w:t>
      </w:r>
      <w:r w:rsidR="008B467F">
        <w:rPr>
          <w:color w:val="000000" w:themeColor="text1"/>
          <w:sz w:val="20"/>
          <w:szCs w:val="20"/>
        </w:rPr>
        <w:t xml:space="preserve">; </w:t>
      </w:r>
      <w:r w:rsidR="008B467F" w:rsidRPr="008B467F">
        <w:rPr>
          <w:color w:val="000000" w:themeColor="text1"/>
          <w:sz w:val="20"/>
          <w:szCs w:val="20"/>
        </w:rPr>
        <w:t>International Fellowship of Reconciliation</w:t>
      </w:r>
      <w:r w:rsidR="008B467F">
        <w:rPr>
          <w:color w:val="000000" w:themeColor="text1"/>
          <w:sz w:val="20"/>
          <w:szCs w:val="20"/>
        </w:rPr>
        <w:t xml:space="preserve">; </w:t>
      </w:r>
      <w:r w:rsidR="008B467F" w:rsidRPr="008B467F">
        <w:rPr>
          <w:color w:val="000000" w:themeColor="text1"/>
          <w:sz w:val="20"/>
          <w:szCs w:val="20"/>
        </w:rPr>
        <w:t>International Humanist and Ethical Union</w:t>
      </w:r>
      <w:r w:rsidR="008B467F">
        <w:rPr>
          <w:color w:val="000000" w:themeColor="text1"/>
          <w:sz w:val="20"/>
          <w:szCs w:val="20"/>
        </w:rPr>
        <w:t xml:space="preserve">; </w:t>
      </w:r>
      <w:r w:rsidR="008B467F" w:rsidRPr="008B467F">
        <w:rPr>
          <w:color w:val="000000" w:themeColor="text1"/>
          <w:sz w:val="20"/>
          <w:szCs w:val="20"/>
        </w:rPr>
        <w:t>Maarij Foundation for Peace and Development</w:t>
      </w:r>
      <w:r w:rsidR="008B467F">
        <w:rPr>
          <w:color w:val="000000" w:themeColor="text1"/>
          <w:sz w:val="20"/>
          <w:szCs w:val="20"/>
        </w:rPr>
        <w:t xml:space="preserve">; </w:t>
      </w:r>
      <w:r w:rsidR="008B467F" w:rsidRPr="008B467F">
        <w:rPr>
          <w:color w:val="000000" w:themeColor="text1"/>
          <w:sz w:val="20"/>
          <w:szCs w:val="20"/>
        </w:rPr>
        <w:t>Pan African Union for Science and Technology</w:t>
      </w:r>
      <w:r w:rsidR="008B467F">
        <w:rPr>
          <w:color w:val="000000" w:themeColor="text1"/>
          <w:sz w:val="20"/>
          <w:szCs w:val="20"/>
        </w:rPr>
        <w:t xml:space="preserve">; </w:t>
      </w:r>
      <w:r w:rsidR="008B467F" w:rsidRPr="008B467F">
        <w:rPr>
          <w:color w:val="000000" w:themeColor="text1"/>
          <w:sz w:val="20"/>
          <w:szCs w:val="20"/>
        </w:rPr>
        <w:t>Verein Sudwind Entwicklungspolitik</w:t>
      </w:r>
      <w:r w:rsidR="008B467F">
        <w:rPr>
          <w:color w:val="000000" w:themeColor="text1"/>
          <w:sz w:val="20"/>
          <w:szCs w:val="20"/>
        </w:rPr>
        <w:t xml:space="preserve">; </w:t>
      </w:r>
      <w:r w:rsidR="008B467F" w:rsidRPr="008B467F">
        <w:rPr>
          <w:color w:val="000000" w:themeColor="text1"/>
          <w:sz w:val="20"/>
          <w:szCs w:val="20"/>
        </w:rPr>
        <w:t>World Evangelical Alliance</w:t>
      </w:r>
      <w:r w:rsidR="00200C13" w:rsidRPr="0067399B">
        <w:rPr>
          <w:color w:val="000000" w:themeColor="text1"/>
          <w:sz w:val="20"/>
          <w:szCs w:val="20"/>
        </w:rPr>
        <w:t>.</w:t>
      </w:r>
    </w:p>
    <w:p w14:paraId="0E872104" w14:textId="22EDFBD3" w:rsidR="00A94BA8" w:rsidRDefault="009B6FCB" w:rsidP="00A94BA8">
      <w:pPr>
        <w:pStyle w:val="SingleTxtG"/>
        <w:rPr>
          <w:color w:val="000000" w:themeColor="text1"/>
          <w:sz w:val="20"/>
          <w:szCs w:val="20"/>
        </w:rPr>
      </w:pPr>
      <w:r>
        <w:rPr>
          <w:color w:val="000000" w:themeColor="text1"/>
          <w:sz w:val="20"/>
          <w:szCs w:val="20"/>
        </w:rPr>
        <w:t>156</w:t>
      </w:r>
      <w:r w:rsidR="00A94BA8" w:rsidRPr="0067399B">
        <w:rPr>
          <w:color w:val="000000" w:themeColor="text1"/>
          <w:sz w:val="20"/>
          <w:szCs w:val="20"/>
        </w:rPr>
        <w:t>.</w:t>
      </w:r>
      <w:r w:rsidR="00A94BA8" w:rsidRPr="0067399B">
        <w:rPr>
          <w:color w:val="000000" w:themeColor="text1"/>
          <w:sz w:val="20"/>
          <w:szCs w:val="20"/>
        </w:rPr>
        <w:tab/>
        <w:t xml:space="preserve">At the </w:t>
      </w:r>
      <w:r w:rsidR="008B467F">
        <w:rPr>
          <w:color w:val="000000" w:themeColor="text1"/>
          <w:sz w:val="20"/>
          <w:szCs w:val="20"/>
        </w:rPr>
        <w:t xml:space="preserve">17th and </w:t>
      </w:r>
      <w:r w:rsidR="003B568F">
        <w:rPr>
          <w:color w:val="000000" w:themeColor="text1"/>
          <w:sz w:val="20"/>
          <w:szCs w:val="20"/>
        </w:rPr>
        <w:t xml:space="preserve">18th </w:t>
      </w:r>
      <w:r w:rsidR="0033063E">
        <w:rPr>
          <w:color w:val="000000" w:themeColor="text1"/>
          <w:sz w:val="20"/>
          <w:szCs w:val="20"/>
        </w:rPr>
        <w:t>meeting</w:t>
      </w:r>
      <w:r w:rsidR="008B467F">
        <w:rPr>
          <w:color w:val="000000" w:themeColor="text1"/>
          <w:sz w:val="20"/>
          <w:szCs w:val="20"/>
        </w:rPr>
        <w:t>s</w:t>
      </w:r>
      <w:r w:rsidR="0033063E">
        <w:rPr>
          <w:color w:val="000000" w:themeColor="text1"/>
          <w:sz w:val="20"/>
          <w:szCs w:val="20"/>
        </w:rPr>
        <w:t>, on the same day</w:t>
      </w:r>
      <w:r w:rsidR="00A94BA8" w:rsidRPr="0067399B">
        <w:rPr>
          <w:color w:val="000000" w:themeColor="text1"/>
          <w:sz w:val="20"/>
          <w:szCs w:val="20"/>
        </w:rPr>
        <w:t>, the Special Rapporteur answered questions and made his concluding remarks.</w:t>
      </w:r>
    </w:p>
    <w:p w14:paraId="5D3E267D" w14:textId="4FD2F55D" w:rsidR="00E869B2" w:rsidRPr="0067399B" w:rsidRDefault="009B6FCB" w:rsidP="00E869B2">
      <w:pPr>
        <w:pStyle w:val="SingleTxtG"/>
        <w:rPr>
          <w:color w:val="000000" w:themeColor="text1"/>
          <w:sz w:val="20"/>
          <w:szCs w:val="20"/>
        </w:rPr>
      </w:pPr>
      <w:r>
        <w:rPr>
          <w:color w:val="000000" w:themeColor="text1"/>
          <w:sz w:val="20"/>
          <w:szCs w:val="20"/>
        </w:rPr>
        <w:t>157</w:t>
      </w:r>
      <w:r w:rsidR="00E869B2" w:rsidRPr="00031F5C">
        <w:rPr>
          <w:color w:val="000000" w:themeColor="text1"/>
          <w:sz w:val="20"/>
          <w:szCs w:val="20"/>
        </w:rPr>
        <w:t>.</w:t>
      </w:r>
      <w:r w:rsidR="00E869B2" w:rsidRPr="00031F5C">
        <w:rPr>
          <w:color w:val="000000" w:themeColor="text1"/>
          <w:sz w:val="20"/>
          <w:szCs w:val="20"/>
        </w:rPr>
        <w:tab/>
        <w:t xml:space="preserve">At the </w:t>
      </w:r>
      <w:r w:rsidR="00E869B2">
        <w:rPr>
          <w:color w:val="000000" w:themeColor="text1"/>
          <w:sz w:val="20"/>
          <w:szCs w:val="20"/>
        </w:rPr>
        <w:t>19th</w:t>
      </w:r>
      <w:r w:rsidR="00E869B2" w:rsidRPr="00031F5C">
        <w:rPr>
          <w:color w:val="000000" w:themeColor="text1"/>
          <w:sz w:val="20"/>
          <w:szCs w:val="20"/>
        </w:rPr>
        <w:t xml:space="preserve"> meeting, statement</w:t>
      </w:r>
      <w:r w:rsidR="00E869B2">
        <w:rPr>
          <w:color w:val="000000" w:themeColor="text1"/>
          <w:sz w:val="20"/>
          <w:szCs w:val="20"/>
        </w:rPr>
        <w:t>s</w:t>
      </w:r>
      <w:r w:rsidR="00E869B2" w:rsidRPr="00031F5C">
        <w:rPr>
          <w:color w:val="000000" w:themeColor="text1"/>
          <w:sz w:val="20"/>
          <w:szCs w:val="20"/>
        </w:rPr>
        <w:t xml:space="preserve"> in exercise of the right of reply </w:t>
      </w:r>
      <w:r w:rsidR="00E869B2">
        <w:rPr>
          <w:color w:val="000000" w:themeColor="text1"/>
          <w:sz w:val="20"/>
          <w:szCs w:val="20"/>
        </w:rPr>
        <w:t>were</w:t>
      </w:r>
      <w:r w:rsidR="00E869B2" w:rsidRPr="00031F5C">
        <w:rPr>
          <w:color w:val="000000" w:themeColor="text1"/>
          <w:sz w:val="20"/>
          <w:szCs w:val="20"/>
        </w:rPr>
        <w:t xml:space="preserve"> made by the representative</w:t>
      </w:r>
      <w:r w:rsidR="00E869B2">
        <w:rPr>
          <w:color w:val="000000" w:themeColor="text1"/>
          <w:sz w:val="20"/>
          <w:szCs w:val="20"/>
        </w:rPr>
        <w:t>s</w:t>
      </w:r>
      <w:r w:rsidR="00E869B2" w:rsidRPr="00031F5C">
        <w:rPr>
          <w:color w:val="000000" w:themeColor="text1"/>
          <w:sz w:val="20"/>
          <w:szCs w:val="20"/>
        </w:rPr>
        <w:t xml:space="preserve"> of </w:t>
      </w:r>
      <w:r w:rsidR="00E869B2">
        <w:rPr>
          <w:color w:val="000000" w:themeColor="text1"/>
          <w:sz w:val="20"/>
          <w:szCs w:val="20"/>
        </w:rPr>
        <w:t>Azerbaijan, China and Israel</w:t>
      </w:r>
      <w:r w:rsidR="00E869B2" w:rsidRPr="00031F5C">
        <w:rPr>
          <w:color w:val="000000" w:themeColor="text1"/>
          <w:sz w:val="20"/>
          <w:szCs w:val="20"/>
        </w:rPr>
        <w:t>.</w:t>
      </w:r>
    </w:p>
    <w:p w14:paraId="45E43522" w14:textId="350DAB4A" w:rsidR="0033063E" w:rsidRPr="0033063E" w:rsidRDefault="0033063E" w:rsidP="0033063E">
      <w:pPr>
        <w:pStyle w:val="H1G"/>
        <w:rPr>
          <w:color w:val="000000" w:themeColor="text1"/>
          <w:sz w:val="20"/>
          <w:szCs w:val="20"/>
        </w:rPr>
      </w:pPr>
      <w:r w:rsidRPr="0067399B">
        <w:rPr>
          <w:color w:val="000000" w:themeColor="text1"/>
          <w:sz w:val="20"/>
          <w:szCs w:val="20"/>
        </w:rPr>
        <w:lastRenderedPageBreak/>
        <w:tab/>
      </w:r>
      <w:r w:rsidRPr="0067399B">
        <w:rPr>
          <w:color w:val="000000" w:themeColor="text1"/>
          <w:sz w:val="20"/>
          <w:szCs w:val="20"/>
        </w:rPr>
        <w:tab/>
      </w:r>
      <w:r w:rsidRPr="00A078AC">
        <w:rPr>
          <w:color w:val="000000" w:themeColor="text1"/>
          <w:sz w:val="20"/>
          <w:szCs w:val="20"/>
        </w:rPr>
        <w:t>Special Rapporteur on the sale and sexual exploitation of children, including child prostitution, child pornography and other child sexual abuse material</w:t>
      </w:r>
    </w:p>
    <w:p w14:paraId="5ED72FE4" w14:textId="6D022896" w:rsidR="0033063E" w:rsidRPr="0067399B" w:rsidRDefault="002B4AE4" w:rsidP="0033063E">
      <w:pPr>
        <w:pStyle w:val="SingleTxtG"/>
        <w:rPr>
          <w:color w:val="000000" w:themeColor="text1"/>
          <w:sz w:val="20"/>
          <w:szCs w:val="20"/>
        </w:rPr>
      </w:pPr>
      <w:r>
        <w:rPr>
          <w:color w:val="000000" w:themeColor="text1"/>
          <w:sz w:val="20"/>
          <w:szCs w:val="20"/>
        </w:rPr>
        <w:t>158</w:t>
      </w:r>
      <w:r w:rsidR="0033063E" w:rsidRPr="0067399B">
        <w:rPr>
          <w:color w:val="000000" w:themeColor="text1"/>
          <w:sz w:val="20"/>
          <w:szCs w:val="20"/>
        </w:rPr>
        <w:t>.</w:t>
      </w:r>
      <w:r w:rsidR="0033063E" w:rsidRPr="0067399B">
        <w:rPr>
          <w:color w:val="000000" w:themeColor="text1"/>
          <w:sz w:val="20"/>
          <w:szCs w:val="20"/>
        </w:rPr>
        <w:tab/>
        <w:t>At the 1</w:t>
      </w:r>
      <w:r w:rsidR="0033063E">
        <w:rPr>
          <w:color w:val="000000" w:themeColor="text1"/>
          <w:sz w:val="20"/>
          <w:szCs w:val="20"/>
        </w:rPr>
        <w:t>7</w:t>
      </w:r>
      <w:r w:rsidR="0033063E" w:rsidRPr="0067399B">
        <w:rPr>
          <w:color w:val="000000" w:themeColor="text1"/>
          <w:sz w:val="20"/>
          <w:szCs w:val="20"/>
        </w:rPr>
        <w:t xml:space="preserve">th meeting, on </w:t>
      </w:r>
      <w:r w:rsidR="0033063E">
        <w:rPr>
          <w:color w:val="000000" w:themeColor="text1"/>
          <w:sz w:val="20"/>
          <w:szCs w:val="20"/>
        </w:rPr>
        <w:t>5</w:t>
      </w:r>
      <w:r w:rsidR="0033063E" w:rsidRPr="0067399B">
        <w:rPr>
          <w:color w:val="000000" w:themeColor="text1"/>
          <w:sz w:val="20"/>
          <w:szCs w:val="20"/>
        </w:rPr>
        <w:t xml:space="preserve"> March </w:t>
      </w:r>
      <w:r w:rsidR="0033063E">
        <w:rPr>
          <w:color w:val="000000" w:themeColor="text1"/>
          <w:sz w:val="20"/>
          <w:szCs w:val="20"/>
        </w:rPr>
        <w:t>2019</w:t>
      </w:r>
      <w:r w:rsidR="0033063E" w:rsidRPr="0067399B">
        <w:rPr>
          <w:color w:val="000000" w:themeColor="text1"/>
          <w:sz w:val="20"/>
          <w:szCs w:val="20"/>
        </w:rPr>
        <w:t xml:space="preserve">, the </w:t>
      </w:r>
      <w:r w:rsidR="0033063E" w:rsidRPr="0033063E">
        <w:rPr>
          <w:color w:val="000000" w:themeColor="text1"/>
          <w:sz w:val="20"/>
          <w:szCs w:val="20"/>
        </w:rPr>
        <w:t>Special Rapporteur on the sale and sexual exploitation of children, including child prostitution, child pornography and other child sexual abuse material,</w:t>
      </w:r>
      <w:r w:rsidR="0033063E" w:rsidRPr="0067399B">
        <w:rPr>
          <w:color w:val="000000" w:themeColor="text1"/>
          <w:sz w:val="20"/>
          <w:szCs w:val="20"/>
        </w:rPr>
        <w:t xml:space="preserve"> </w:t>
      </w:r>
      <w:r w:rsidR="00E275AF" w:rsidRPr="00E275AF">
        <w:rPr>
          <w:color w:val="000000" w:themeColor="text1"/>
          <w:sz w:val="20"/>
          <w:szCs w:val="20"/>
        </w:rPr>
        <w:t>Maud de Boer-Buquicchio</w:t>
      </w:r>
      <w:r w:rsidR="0033063E" w:rsidRPr="0067399B">
        <w:rPr>
          <w:color w:val="000000" w:themeColor="text1"/>
          <w:sz w:val="20"/>
          <w:szCs w:val="20"/>
        </w:rPr>
        <w:t xml:space="preserve">, presented </w:t>
      </w:r>
      <w:r w:rsidR="00E717E1">
        <w:rPr>
          <w:color w:val="000000" w:themeColor="text1"/>
          <w:sz w:val="20"/>
          <w:szCs w:val="20"/>
        </w:rPr>
        <w:t>her</w:t>
      </w:r>
      <w:r w:rsidR="0033063E" w:rsidRPr="0067399B">
        <w:rPr>
          <w:color w:val="000000" w:themeColor="text1"/>
          <w:sz w:val="20"/>
          <w:szCs w:val="20"/>
        </w:rPr>
        <w:t xml:space="preserve"> reports (A/HRC/</w:t>
      </w:r>
      <w:r w:rsidR="0033063E" w:rsidRPr="0033063E">
        <w:rPr>
          <w:color w:val="000000" w:themeColor="text1"/>
          <w:sz w:val="20"/>
          <w:szCs w:val="20"/>
        </w:rPr>
        <w:t>40/51</w:t>
      </w:r>
      <w:r w:rsidR="0033063E">
        <w:rPr>
          <w:color w:val="000000" w:themeColor="text1"/>
          <w:sz w:val="20"/>
          <w:szCs w:val="20"/>
        </w:rPr>
        <w:t xml:space="preserve"> and Add.1-3</w:t>
      </w:r>
      <w:r w:rsidR="0033063E" w:rsidRPr="0067399B">
        <w:rPr>
          <w:color w:val="000000" w:themeColor="text1"/>
          <w:sz w:val="20"/>
          <w:szCs w:val="20"/>
        </w:rPr>
        <w:t>).</w:t>
      </w:r>
    </w:p>
    <w:p w14:paraId="0055362B" w14:textId="6EF4F1D2" w:rsidR="0033063E" w:rsidRPr="0067399B" w:rsidRDefault="002B4AE4" w:rsidP="0033063E">
      <w:pPr>
        <w:pStyle w:val="SingleTxtG"/>
        <w:rPr>
          <w:color w:val="000000" w:themeColor="text1"/>
          <w:sz w:val="20"/>
          <w:szCs w:val="20"/>
        </w:rPr>
      </w:pPr>
      <w:r>
        <w:rPr>
          <w:color w:val="000000" w:themeColor="text1"/>
          <w:sz w:val="20"/>
          <w:szCs w:val="20"/>
        </w:rPr>
        <w:t>159</w:t>
      </w:r>
      <w:r w:rsidR="0033063E" w:rsidRPr="0067399B">
        <w:rPr>
          <w:color w:val="000000" w:themeColor="text1"/>
          <w:sz w:val="20"/>
          <w:szCs w:val="20"/>
        </w:rPr>
        <w:t>.</w:t>
      </w:r>
      <w:r w:rsidR="0033063E" w:rsidRPr="0067399B">
        <w:rPr>
          <w:color w:val="000000" w:themeColor="text1"/>
          <w:sz w:val="20"/>
          <w:szCs w:val="20"/>
        </w:rPr>
        <w:tab/>
        <w:t>At the same meeting, the representative</w:t>
      </w:r>
      <w:r w:rsidR="0033063E">
        <w:rPr>
          <w:color w:val="000000" w:themeColor="text1"/>
          <w:sz w:val="20"/>
          <w:szCs w:val="20"/>
        </w:rPr>
        <w:t>s</w:t>
      </w:r>
      <w:r w:rsidR="0033063E" w:rsidRPr="0067399B">
        <w:rPr>
          <w:color w:val="000000" w:themeColor="text1"/>
          <w:sz w:val="20"/>
          <w:szCs w:val="20"/>
        </w:rPr>
        <w:t xml:space="preserve"> of </w:t>
      </w:r>
      <w:r w:rsidR="0033063E" w:rsidRPr="0033063E">
        <w:rPr>
          <w:color w:val="000000" w:themeColor="text1"/>
          <w:sz w:val="20"/>
          <w:szCs w:val="20"/>
        </w:rPr>
        <w:t>Ireland</w:t>
      </w:r>
      <w:r w:rsidR="0033063E">
        <w:rPr>
          <w:color w:val="000000" w:themeColor="text1"/>
          <w:sz w:val="20"/>
          <w:szCs w:val="20"/>
        </w:rPr>
        <w:t>,</w:t>
      </w:r>
      <w:r w:rsidR="0033063E" w:rsidRPr="0033063E">
        <w:rPr>
          <w:color w:val="000000" w:themeColor="text1"/>
          <w:sz w:val="20"/>
          <w:szCs w:val="20"/>
        </w:rPr>
        <w:t xml:space="preserve"> </w:t>
      </w:r>
      <w:r w:rsidR="00BF1933">
        <w:rPr>
          <w:color w:val="000000" w:themeColor="text1"/>
          <w:sz w:val="20"/>
          <w:szCs w:val="20"/>
        </w:rPr>
        <w:t xml:space="preserve">the </w:t>
      </w:r>
      <w:r w:rsidR="0033063E" w:rsidRPr="0033063E">
        <w:rPr>
          <w:color w:val="000000" w:themeColor="text1"/>
          <w:sz w:val="20"/>
          <w:szCs w:val="20"/>
        </w:rPr>
        <w:t>Lao People</w:t>
      </w:r>
      <w:r w:rsidR="00D72627">
        <w:rPr>
          <w:color w:val="000000" w:themeColor="text1"/>
          <w:sz w:val="20"/>
          <w:szCs w:val="20"/>
        </w:rPr>
        <w:t>’</w:t>
      </w:r>
      <w:r w:rsidR="0033063E" w:rsidRPr="0033063E">
        <w:rPr>
          <w:color w:val="000000" w:themeColor="text1"/>
          <w:sz w:val="20"/>
          <w:szCs w:val="20"/>
        </w:rPr>
        <w:t>s Democratic Republic</w:t>
      </w:r>
      <w:r w:rsidR="0033063E">
        <w:rPr>
          <w:color w:val="000000" w:themeColor="text1"/>
          <w:sz w:val="20"/>
          <w:szCs w:val="20"/>
        </w:rPr>
        <w:t xml:space="preserve"> and </w:t>
      </w:r>
      <w:r w:rsidR="0033063E" w:rsidRPr="0033063E">
        <w:rPr>
          <w:color w:val="000000" w:themeColor="text1"/>
          <w:sz w:val="20"/>
          <w:szCs w:val="20"/>
        </w:rPr>
        <w:t xml:space="preserve">Malaysia </w:t>
      </w:r>
      <w:r w:rsidR="0033063E" w:rsidRPr="0067399B">
        <w:rPr>
          <w:color w:val="000000" w:themeColor="text1"/>
          <w:sz w:val="20"/>
          <w:szCs w:val="20"/>
        </w:rPr>
        <w:t>made statement</w:t>
      </w:r>
      <w:r w:rsidR="0033063E">
        <w:rPr>
          <w:color w:val="000000" w:themeColor="text1"/>
          <w:sz w:val="20"/>
          <w:szCs w:val="20"/>
        </w:rPr>
        <w:t>s</w:t>
      </w:r>
      <w:r w:rsidR="0033063E" w:rsidRPr="0067399B">
        <w:rPr>
          <w:color w:val="000000" w:themeColor="text1"/>
          <w:sz w:val="20"/>
          <w:szCs w:val="20"/>
        </w:rPr>
        <w:t xml:space="preserve"> as the State</w:t>
      </w:r>
      <w:r w:rsidR="0033063E">
        <w:rPr>
          <w:color w:val="000000" w:themeColor="text1"/>
          <w:sz w:val="20"/>
          <w:szCs w:val="20"/>
        </w:rPr>
        <w:t>s</w:t>
      </w:r>
      <w:r w:rsidR="0033063E" w:rsidRPr="0067399B">
        <w:rPr>
          <w:color w:val="000000" w:themeColor="text1"/>
          <w:sz w:val="20"/>
          <w:szCs w:val="20"/>
        </w:rPr>
        <w:t xml:space="preserve"> concerned.</w:t>
      </w:r>
    </w:p>
    <w:p w14:paraId="600BB828" w14:textId="393B6A51" w:rsidR="0033063E" w:rsidRDefault="002B4AE4" w:rsidP="0033063E">
      <w:pPr>
        <w:pStyle w:val="SingleTxtG"/>
        <w:rPr>
          <w:color w:val="000000" w:themeColor="text1"/>
          <w:sz w:val="20"/>
          <w:szCs w:val="20"/>
        </w:rPr>
      </w:pPr>
      <w:r>
        <w:rPr>
          <w:color w:val="000000" w:themeColor="text1"/>
          <w:sz w:val="20"/>
          <w:szCs w:val="20"/>
        </w:rPr>
        <w:t>160</w:t>
      </w:r>
      <w:r w:rsidR="0033063E" w:rsidRPr="00B84B3A">
        <w:rPr>
          <w:color w:val="000000" w:themeColor="text1"/>
          <w:sz w:val="20"/>
          <w:szCs w:val="20"/>
        </w:rPr>
        <w:t>.</w:t>
      </w:r>
      <w:r w:rsidR="0033063E" w:rsidRPr="00B84B3A">
        <w:rPr>
          <w:color w:val="000000" w:themeColor="text1"/>
          <w:sz w:val="20"/>
          <w:szCs w:val="20"/>
        </w:rPr>
        <w:tab/>
        <w:t xml:space="preserve">Also at the same meeting, the national human rights institution, </w:t>
      </w:r>
      <w:r w:rsidR="00B84B3A" w:rsidRPr="00B84B3A">
        <w:rPr>
          <w:color w:val="000000" w:themeColor="text1"/>
          <w:sz w:val="20"/>
          <w:szCs w:val="20"/>
        </w:rPr>
        <w:t>the National Human Rights Commission of Malaysia</w:t>
      </w:r>
      <w:r w:rsidR="00F725B0">
        <w:rPr>
          <w:color w:val="000000" w:themeColor="text1"/>
          <w:sz w:val="20"/>
          <w:szCs w:val="20"/>
        </w:rPr>
        <w:t>,</w:t>
      </w:r>
      <w:r w:rsidR="00B84B3A" w:rsidRPr="00B84B3A">
        <w:rPr>
          <w:color w:val="000000" w:themeColor="text1"/>
          <w:sz w:val="20"/>
          <w:szCs w:val="20"/>
        </w:rPr>
        <w:t xml:space="preserve"> </w:t>
      </w:r>
      <w:r w:rsidR="0033063E" w:rsidRPr="00B84B3A">
        <w:rPr>
          <w:color w:val="000000" w:themeColor="text1"/>
          <w:sz w:val="20"/>
          <w:szCs w:val="20"/>
        </w:rPr>
        <w:t xml:space="preserve">made </w:t>
      </w:r>
      <w:r w:rsidR="00F725B0">
        <w:rPr>
          <w:color w:val="000000" w:themeColor="text1"/>
          <w:sz w:val="20"/>
          <w:szCs w:val="20"/>
        </w:rPr>
        <w:t xml:space="preserve">a </w:t>
      </w:r>
      <w:r w:rsidR="0033063E" w:rsidRPr="00B84B3A">
        <w:rPr>
          <w:color w:val="000000" w:themeColor="text1"/>
          <w:sz w:val="20"/>
          <w:szCs w:val="20"/>
        </w:rPr>
        <w:t>statement.</w:t>
      </w:r>
    </w:p>
    <w:p w14:paraId="41E8C23A" w14:textId="236A8AD0" w:rsidR="00B071DD" w:rsidRDefault="002B4AE4" w:rsidP="0033063E">
      <w:pPr>
        <w:pStyle w:val="SingleTxtG"/>
        <w:rPr>
          <w:color w:val="000000" w:themeColor="text1"/>
          <w:sz w:val="20"/>
          <w:szCs w:val="20"/>
        </w:rPr>
      </w:pPr>
      <w:r>
        <w:rPr>
          <w:color w:val="000000" w:themeColor="text1"/>
          <w:sz w:val="20"/>
          <w:szCs w:val="20"/>
        </w:rPr>
        <w:t>161</w:t>
      </w:r>
      <w:r w:rsidR="00B071DD" w:rsidRPr="00B84B3A">
        <w:rPr>
          <w:color w:val="000000" w:themeColor="text1"/>
          <w:sz w:val="20"/>
          <w:szCs w:val="20"/>
        </w:rPr>
        <w:t>.</w:t>
      </w:r>
      <w:r w:rsidR="00B071DD" w:rsidRPr="00B84B3A">
        <w:rPr>
          <w:color w:val="000000" w:themeColor="text1"/>
          <w:sz w:val="20"/>
          <w:szCs w:val="20"/>
        </w:rPr>
        <w:tab/>
      </w:r>
      <w:r w:rsidR="00B071DD">
        <w:rPr>
          <w:color w:val="000000" w:themeColor="text1"/>
          <w:sz w:val="20"/>
          <w:szCs w:val="20"/>
        </w:rPr>
        <w:t>A</w:t>
      </w:r>
      <w:r w:rsidR="00B071DD" w:rsidRPr="00B84B3A">
        <w:rPr>
          <w:color w:val="000000" w:themeColor="text1"/>
          <w:sz w:val="20"/>
          <w:szCs w:val="20"/>
        </w:rPr>
        <w:t xml:space="preserve">t the </w:t>
      </w:r>
      <w:r w:rsidR="00B071DD">
        <w:rPr>
          <w:color w:val="000000" w:themeColor="text1"/>
          <w:sz w:val="20"/>
          <w:szCs w:val="20"/>
        </w:rPr>
        <w:t>18th</w:t>
      </w:r>
      <w:r w:rsidR="00B071DD" w:rsidRPr="00B84B3A">
        <w:rPr>
          <w:color w:val="000000" w:themeColor="text1"/>
          <w:sz w:val="20"/>
          <w:szCs w:val="20"/>
        </w:rPr>
        <w:t xml:space="preserve"> meeting, the national human rights institution, </w:t>
      </w:r>
      <w:r w:rsidR="00B071DD" w:rsidRPr="00B071DD">
        <w:rPr>
          <w:color w:val="000000" w:themeColor="text1"/>
          <w:sz w:val="20"/>
          <w:szCs w:val="20"/>
        </w:rPr>
        <w:t>the Irish Human Rights and Equality Commission</w:t>
      </w:r>
      <w:r w:rsidR="00B071DD">
        <w:rPr>
          <w:color w:val="000000" w:themeColor="text1"/>
          <w:sz w:val="20"/>
          <w:szCs w:val="20"/>
        </w:rPr>
        <w:t>,</w:t>
      </w:r>
      <w:r w:rsidR="00B071DD" w:rsidRPr="00B84B3A">
        <w:rPr>
          <w:color w:val="000000" w:themeColor="text1"/>
          <w:sz w:val="20"/>
          <w:szCs w:val="20"/>
        </w:rPr>
        <w:t xml:space="preserve"> made </w:t>
      </w:r>
      <w:r w:rsidR="00B071DD">
        <w:rPr>
          <w:color w:val="000000" w:themeColor="text1"/>
          <w:sz w:val="20"/>
          <w:szCs w:val="20"/>
        </w:rPr>
        <w:t xml:space="preserve">a </w:t>
      </w:r>
      <w:r w:rsidR="00B071DD" w:rsidRPr="00B84B3A">
        <w:rPr>
          <w:color w:val="000000" w:themeColor="text1"/>
          <w:sz w:val="20"/>
          <w:szCs w:val="20"/>
        </w:rPr>
        <w:t>statement.</w:t>
      </w:r>
    </w:p>
    <w:p w14:paraId="3CA4BAA3" w14:textId="74521215" w:rsidR="0033063E" w:rsidRPr="0067399B" w:rsidRDefault="002B4AE4" w:rsidP="0033063E">
      <w:pPr>
        <w:pStyle w:val="SingleTxtG"/>
        <w:rPr>
          <w:color w:val="000000" w:themeColor="text1"/>
          <w:sz w:val="20"/>
          <w:szCs w:val="20"/>
        </w:rPr>
      </w:pPr>
      <w:r>
        <w:rPr>
          <w:color w:val="000000" w:themeColor="text1"/>
          <w:sz w:val="20"/>
          <w:szCs w:val="20"/>
        </w:rPr>
        <w:t>162</w:t>
      </w:r>
      <w:r w:rsidR="0033063E" w:rsidRPr="0067399B">
        <w:rPr>
          <w:color w:val="000000" w:themeColor="text1"/>
          <w:sz w:val="20"/>
          <w:szCs w:val="20"/>
        </w:rPr>
        <w:t>.</w:t>
      </w:r>
      <w:r w:rsidR="0033063E" w:rsidRPr="0067399B">
        <w:rPr>
          <w:color w:val="000000" w:themeColor="text1"/>
          <w:sz w:val="20"/>
          <w:szCs w:val="20"/>
        </w:rPr>
        <w:tab/>
        <w:t xml:space="preserve">During the ensuing interactive dialogue, at the </w:t>
      </w:r>
      <w:r w:rsidR="00B071DD">
        <w:rPr>
          <w:color w:val="000000" w:themeColor="text1"/>
          <w:sz w:val="20"/>
          <w:szCs w:val="20"/>
        </w:rPr>
        <w:t xml:space="preserve">17th to 18th </w:t>
      </w:r>
      <w:r w:rsidR="0033063E" w:rsidRPr="0067399B">
        <w:rPr>
          <w:color w:val="000000" w:themeColor="text1"/>
          <w:sz w:val="20"/>
          <w:szCs w:val="20"/>
        </w:rPr>
        <w:t>meeting</w:t>
      </w:r>
      <w:r w:rsidR="00B071DD">
        <w:rPr>
          <w:color w:val="000000" w:themeColor="text1"/>
          <w:sz w:val="20"/>
          <w:szCs w:val="20"/>
        </w:rPr>
        <w:t>s</w:t>
      </w:r>
      <w:r w:rsidR="0033063E" w:rsidRPr="0067399B">
        <w:rPr>
          <w:color w:val="000000" w:themeColor="text1"/>
          <w:sz w:val="20"/>
          <w:szCs w:val="20"/>
        </w:rPr>
        <w:t>, on the same day, the following made statements and asked the Special Rapporteur questions:</w:t>
      </w:r>
    </w:p>
    <w:p w14:paraId="1698DADB" w14:textId="2FAD67D8" w:rsidR="0033063E" w:rsidRPr="0067399B" w:rsidRDefault="0033063E" w:rsidP="0033063E">
      <w:pPr>
        <w:spacing w:after="120"/>
        <w:ind w:left="1134" w:right="1134" w:firstLine="567"/>
        <w:jc w:val="both"/>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Pr>
          <w:color w:val="000000" w:themeColor="text1"/>
          <w:sz w:val="20"/>
          <w:szCs w:val="20"/>
        </w:rPr>
        <w:t>States Members</w:t>
      </w:r>
      <w:r w:rsidRPr="0067399B">
        <w:rPr>
          <w:color w:val="000000" w:themeColor="text1"/>
          <w:sz w:val="20"/>
          <w:szCs w:val="20"/>
        </w:rPr>
        <w:t xml:space="preserve"> of the Human Rights Council:</w:t>
      </w:r>
      <w:r w:rsidR="00F0225C">
        <w:rPr>
          <w:color w:val="000000" w:themeColor="text1"/>
          <w:sz w:val="20"/>
          <w:szCs w:val="20"/>
        </w:rPr>
        <w:t xml:space="preserve"> </w:t>
      </w:r>
      <w:r w:rsidR="00F0225C" w:rsidRPr="00DE39F5">
        <w:rPr>
          <w:color w:val="000000" w:themeColor="text1"/>
          <w:sz w:val="20"/>
          <w:szCs w:val="20"/>
        </w:rPr>
        <w:t xml:space="preserve">Angola </w:t>
      </w:r>
      <w:r w:rsidR="00F0225C">
        <w:rPr>
          <w:color w:val="000000" w:themeColor="text1"/>
          <w:sz w:val="20"/>
          <w:szCs w:val="20"/>
        </w:rPr>
        <w:t>(</w:t>
      </w:r>
      <w:r w:rsidR="00F0225C" w:rsidRPr="00544A55">
        <w:rPr>
          <w:color w:val="000000" w:themeColor="text1"/>
          <w:sz w:val="20"/>
          <w:szCs w:val="20"/>
        </w:rPr>
        <w:t>on behalf of the Group of African States</w:t>
      </w:r>
      <w:r w:rsidR="00F0225C">
        <w:rPr>
          <w:color w:val="000000" w:themeColor="text1"/>
          <w:sz w:val="20"/>
          <w:szCs w:val="20"/>
        </w:rPr>
        <w:t xml:space="preserve">), </w:t>
      </w:r>
      <w:r w:rsidR="00F0225C" w:rsidRPr="00D55565">
        <w:rPr>
          <w:color w:val="000000" w:themeColor="text1"/>
          <w:sz w:val="20"/>
          <w:szCs w:val="20"/>
        </w:rPr>
        <w:t>Australia</w:t>
      </w:r>
      <w:r w:rsidR="00F0225C">
        <w:rPr>
          <w:color w:val="000000" w:themeColor="text1"/>
          <w:sz w:val="20"/>
          <w:szCs w:val="20"/>
        </w:rPr>
        <w:t xml:space="preserve">, </w:t>
      </w:r>
      <w:r w:rsidR="00F0225C" w:rsidRPr="00D55565">
        <w:rPr>
          <w:color w:val="000000" w:themeColor="text1"/>
          <w:sz w:val="20"/>
          <w:szCs w:val="20"/>
        </w:rPr>
        <w:t>Cameroon</w:t>
      </w:r>
      <w:r w:rsidR="00F0225C">
        <w:rPr>
          <w:color w:val="000000" w:themeColor="text1"/>
          <w:sz w:val="20"/>
          <w:szCs w:val="20"/>
        </w:rPr>
        <w:t xml:space="preserve">, </w:t>
      </w:r>
      <w:r w:rsidR="00F0225C" w:rsidRPr="00D55565">
        <w:rPr>
          <w:color w:val="000000" w:themeColor="text1"/>
          <w:sz w:val="20"/>
          <w:szCs w:val="20"/>
        </w:rPr>
        <w:t>China</w:t>
      </w:r>
      <w:r w:rsidR="00F0225C">
        <w:rPr>
          <w:color w:val="000000" w:themeColor="text1"/>
          <w:sz w:val="20"/>
          <w:szCs w:val="20"/>
        </w:rPr>
        <w:t xml:space="preserve">, </w:t>
      </w:r>
      <w:r w:rsidR="00F0225C" w:rsidRPr="00D55565">
        <w:rPr>
          <w:color w:val="000000" w:themeColor="text1"/>
          <w:sz w:val="20"/>
          <w:szCs w:val="20"/>
        </w:rPr>
        <w:t>Denmark</w:t>
      </w:r>
      <w:r w:rsidR="00F0225C">
        <w:rPr>
          <w:color w:val="000000" w:themeColor="text1"/>
          <w:sz w:val="20"/>
          <w:szCs w:val="20"/>
        </w:rPr>
        <w:t xml:space="preserve">, </w:t>
      </w:r>
      <w:r w:rsidR="00F0225C" w:rsidRPr="00D55565">
        <w:rPr>
          <w:color w:val="000000" w:themeColor="text1"/>
          <w:sz w:val="20"/>
          <w:szCs w:val="20"/>
        </w:rPr>
        <w:t>Egypt</w:t>
      </w:r>
      <w:r w:rsidR="00F0225C">
        <w:rPr>
          <w:color w:val="000000" w:themeColor="text1"/>
          <w:sz w:val="20"/>
          <w:szCs w:val="20"/>
        </w:rPr>
        <w:t xml:space="preserve">, </w:t>
      </w:r>
      <w:r w:rsidR="00F0225C" w:rsidRPr="00D55565">
        <w:rPr>
          <w:color w:val="000000" w:themeColor="text1"/>
          <w:sz w:val="20"/>
          <w:szCs w:val="20"/>
        </w:rPr>
        <w:t>Iraq</w:t>
      </w:r>
      <w:r w:rsidR="00F0225C">
        <w:rPr>
          <w:color w:val="000000" w:themeColor="text1"/>
          <w:sz w:val="20"/>
          <w:szCs w:val="20"/>
        </w:rPr>
        <w:t xml:space="preserve">, </w:t>
      </w:r>
      <w:r w:rsidR="00F0225C" w:rsidRPr="00D55565">
        <w:rPr>
          <w:color w:val="000000" w:themeColor="text1"/>
          <w:sz w:val="20"/>
          <w:szCs w:val="20"/>
        </w:rPr>
        <w:t>Italy</w:t>
      </w:r>
      <w:r w:rsidR="00F0225C">
        <w:rPr>
          <w:color w:val="000000" w:themeColor="text1"/>
          <w:sz w:val="20"/>
          <w:szCs w:val="20"/>
        </w:rPr>
        <w:t xml:space="preserve">, </w:t>
      </w:r>
      <w:r w:rsidR="00F0225C" w:rsidRPr="00D55565">
        <w:rPr>
          <w:color w:val="000000" w:themeColor="text1"/>
          <w:sz w:val="20"/>
          <w:szCs w:val="20"/>
        </w:rPr>
        <w:t>Mexico</w:t>
      </w:r>
      <w:r w:rsidR="00F0225C">
        <w:rPr>
          <w:color w:val="000000" w:themeColor="text1"/>
          <w:sz w:val="20"/>
          <w:szCs w:val="20"/>
        </w:rPr>
        <w:t xml:space="preserve">, </w:t>
      </w:r>
      <w:r w:rsidR="00F0225C" w:rsidRPr="00D55565">
        <w:rPr>
          <w:color w:val="000000" w:themeColor="text1"/>
          <w:sz w:val="20"/>
          <w:szCs w:val="20"/>
        </w:rPr>
        <w:t>Philippines</w:t>
      </w:r>
      <w:r w:rsidR="00F0225C">
        <w:rPr>
          <w:color w:val="000000" w:themeColor="text1"/>
          <w:sz w:val="20"/>
          <w:szCs w:val="20"/>
        </w:rPr>
        <w:t xml:space="preserve">, </w:t>
      </w:r>
      <w:r w:rsidR="00F0225C" w:rsidRPr="00D55565">
        <w:rPr>
          <w:color w:val="000000" w:themeColor="text1"/>
          <w:sz w:val="20"/>
          <w:szCs w:val="20"/>
        </w:rPr>
        <w:t>South Africa</w:t>
      </w:r>
      <w:r w:rsidR="00F0225C">
        <w:rPr>
          <w:color w:val="000000" w:themeColor="text1"/>
          <w:sz w:val="20"/>
          <w:szCs w:val="20"/>
        </w:rPr>
        <w:t xml:space="preserve">, </w:t>
      </w:r>
      <w:r w:rsidR="00F0225C" w:rsidRPr="00D55565">
        <w:rPr>
          <w:color w:val="000000" w:themeColor="text1"/>
          <w:sz w:val="20"/>
          <w:szCs w:val="20"/>
        </w:rPr>
        <w:t>Spain</w:t>
      </w:r>
      <w:r w:rsidR="00F0225C">
        <w:rPr>
          <w:color w:val="000000" w:themeColor="text1"/>
          <w:sz w:val="20"/>
          <w:szCs w:val="20"/>
        </w:rPr>
        <w:t xml:space="preserve">, </w:t>
      </w:r>
      <w:r w:rsidR="00F0225C" w:rsidRPr="00D55565">
        <w:rPr>
          <w:color w:val="000000" w:themeColor="text1"/>
          <w:sz w:val="20"/>
          <w:szCs w:val="20"/>
        </w:rPr>
        <w:t>Togo</w:t>
      </w:r>
      <w:r w:rsidR="00F0225C">
        <w:rPr>
          <w:color w:val="000000" w:themeColor="text1"/>
          <w:sz w:val="20"/>
          <w:szCs w:val="20"/>
        </w:rPr>
        <w:t xml:space="preserve">, </w:t>
      </w:r>
      <w:r w:rsidR="00F0225C" w:rsidRPr="00D55565">
        <w:rPr>
          <w:color w:val="000000" w:themeColor="text1"/>
          <w:sz w:val="20"/>
          <w:szCs w:val="20"/>
        </w:rPr>
        <w:t>Tunisia</w:t>
      </w:r>
      <w:r w:rsidR="00F0225C">
        <w:rPr>
          <w:color w:val="000000" w:themeColor="text1"/>
          <w:sz w:val="20"/>
          <w:szCs w:val="20"/>
        </w:rPr>
        <w:t xml:space="preserve">, </w:t>
      </w:r>
      <w:r w:rsidR="00F0225C" w:rsidRPr="00D55565">
        <w:rPr>
          <w:color w:val="000000" w:themeColor="text1"/>
          <w:sz w:val="20"/>
          <w:szCs w:val="20"/>
        </w:rPr>
        <w:t>United Kingdom of Great Britain and Northern Ireland</w:t>
      </w:r>
      <w:r w:rsidR="00F0225C">
        <w:rPr>
          <w:color w:val="000000" w:themeColor="text1"/>
          <w:sz w:val="20"/>
          <w:szCs w:val="20"/>
        </w:rPr>
        <w:t xml:space="preserve">, </w:t>
      </w:r>
      <w:r w:rsidR="00F0225C" w:rsidRPr="00D55565">
        <w:rPr>
          <w:color w:val="000000" w:themeColor="text1"/>
          <w:sz w:val="20"/>
          <w:szCs w:val="20"/>
        </w:rPr>
        <w:t xml:space="preserve">Uruguay </w:t>
      </w:r>
      <w:r w:rsidR="00F0225C">
        <w:rPr>
          <w:color w:val="000000" w:themeColor="text1"/>
          <w:sz w:val="20"/>
          <w:szCs w:val="20"/>
        </w:rPr>
        <w:t xml:space="preserve">(also </w:t>
      </w:r>
      <w:r w:rsidR="00F0225C" w:rsidRPr="00D55565">
        <w:rPr>
          <w:color w:val="000000" w:themeColor="text1"/>
          <w:sz w:val="20"/>
          <w:szCs w:val="20"/>
        </w:rPr>
        <w:t xml:space="preserve">on behalf of </w:t>
      </w:r>
      <w:r w:rsidR="00F0225C">
        <w:rPr>
          <w:color w:val="000000" w:themeColor="text1"/>
          <w:sz w:val="20"/>
          <w:szCs w:val="20"/>
        </w:rPr>
        <w:t>Argentina, Brazil, Chile, Guatemala, Mexico and Peru)</w:t>
      </w:r>
      <w:r w:rsidRPr="0067399B">
        <w:rPr>
          <w:color w:val="000000" w:themeColor="text1"/>
          <w:sz w:val="20"/>
          <w:szCs w:val="20"/>
        </w:rPr>
        <w:t xml:space="preserve">; </w:t>
      </w:r>
    </w:p>
    <w:p w14:paraId="0110BCA8" w14:textId="5E47944B" w:rsidR="0033063E" w:rsidRDefault="0033063E" w:rsidP="0033063E">
      <w:pPr>
        <w:spacing w:after="120"/>
        <w:ind w:left="1134" w:right="1134" w:firstLine="567"/>
        <w:jc w:val="both"/>
        <w:rPr>
          <w:color w:val="000000" w:themeColor="text1"/>
          <w:sz w:val="20"/>
          <w:szCs w:val="20"/>
        </w:rPr>
      </w:pPr>
      <w:r w:rsidRPr="0067399B">
        <w:rPr>
          <w:color w:val="000000" w:themeColor="text1"/>
          <w:sz w:val="20"/>
          <w:szCs w:val="20"/>
        </w:rPr>
        <w:t>(b)</w:t>
      </w:r>
      <w:r w:rsidRPr="0067399B">
        <w:rPr>
          <w:color w:val="000000" w:themeColor="text1"/>
          <w:sz w:val="20"/>
          <w:szCs w:val="20"/>
        </w:rPr>
        <w:tab/>
        <w:t>Representatives of observer States:</w:t>
      </w:r>
      <w:r w:rsidR="00F0225C">
        <w:rPr>
          <w:color w:val="000000" w:themeColor="text1"/>
          <w:sz w:val="20"/>
          <w:szCs w:val="20"/>
        </w:rPr>
        <w:t xml:space="preserve"> </w:t>
      </w:r>
      <w:r w:rsidR="00F0225C" w:rsidRPr="00D55565">
        <w:rPr>
          <w:color w:val="000000" w:themeColor="text1"/>
          <w:sz w:val="20"/>
          <w:szCs w:val="20"/>
        </w:rPr>
        <w:t>Albania</w:t>
      </w:r>
      <w:r w:rsidR="00F0225C">
        <w:rPr>
          <w:color w:val="000000" w:themeColor="text1"/>
          <w:sz w:val="20"/>
          <w:szCs w:val="20"/>
        </w:rPr>
        <w:t xml:space="preserve">, </w:t>
      </w:r>
      <w:r w:rsidR="00F0225C" w:rsidRPr="00D55565">
        <w:rPr>
          <w:color w:val="000000" w:themeColor="text1"/>
          <w:sz w:val="20"/>
          <w:szCs w:val="20"/>
        </w:rPr>
        <w:t>Algeria</w:t>
      </w:r>
      <w:r w:rsidR="00F0225C">
        <w:rPr>
          <w:color w:val="000000" w:themeColor="text1"/>
          <w:sz w:val="20"/>
          <w:szCs w:val="20"/>
        </w:rPr>
        <w:t xml:space="preserve">, </w:t>
      </w:r>
      <w:r w:rsidR="00F0225C" w:rsidRPr="00D55565">
        <w:rPr>
          <w:color w:val="000000" w:themeColor="text1"/>
          <w:sz w:val="20"/>
          <w:szCs w:val="20"/>
        </w:rPr>
        <w:t>Belarus</w:t>
      </w:r>
      <w:r w:rsidR="00F0225C">
        <w:rPr>
          <w:color w:val="000000" w:themeColor="text1"/>
          <w:sz w:val="20"/>
          <w:szCs w:val="20"/>
        </w:rPr>
        <w:t xml:space="preserve">, </w:t>
      </w:r>
      <w:r w:rsidR="00F0225C" w:rsidRPr="00D55565">
        <w:rPr>
          <w:color w:val="000000" w:themeColor="text1"/>
          <w:sz w:val="20"/>
          <w:szCs w:val="20"/>
        </w:rPr>
        <w:t>Belgium</w:t>
      </w:r>
      <w:r w:rsidR="00F0225C">
        <w:rPr>
          <w:color w:val="000000" w:themeColor="text1"/>
          <w:sz w:val="20"/>
          <w:szCs w:val="20"/>
        </w:rPr>
        <w:t xml:space="preserve">, </w:t>
      </w:r>
      <w:r w:rsidR="00F0225C" w:rsidRPr="00D55565">
        <w:rPr>
          <w:color w:val="000000" w:themeColor="text1"/>
          <w:sz w:val="20"/>
          <w:szCs w:val="20"/>
        </w:rPr>
        <w:t>Ecuador</w:t>
      </w:r>
      <w:r w:rsidR="00F0225C">
        <w:rPr>
          <w:color w:val="000000" w:themeColor="text1"/>
          <w:sz w:val="20"/>
          <w:szCs w:val="20"/>
        </w:rPr>
        <w:t xml:space="preserve">, </w:t>
      </w:r>
      <w:r w:rsidR="00F0225C" w:rsidRPr="00D55565">
        <w:rPr>
          <w:color w:val="000000" w:themeColor="text1"/>
          <w:sz w:val="20"/>
          <w:szCs w:val="20"/>
        </w:rPr>
        <w:t>France</w:t>
      </w:r>
      <w:r w:rsidR="00F0225C">
        <w:rPr>
          <w:color w:val="000000" w:themeColor="text1"/>
          <w:sz w:val="20"/>
          <w:szCs w:val="20"/>
        </w:rPr>
        <w:t xml:space="preserve">, </w:t>
      </w:r>
      <w:r w:rsidR="00F0225C" w:rsidRPr="00D55565">
        <w:rPr>
          <w:color w:val="000000" w:themeColor="text1"/>
          <w:sz w:val="20"/>
          <w:szCs w:val="20"/>
        </w:rPr>
        <w:t>Greece</w:t>
      </w:r>
      <w:r w:rsidR="00F0225C">
        <w:rPr>
          <w:color w:val="000000" w:themeColor="text1"/>
          <w:sz w:val="20"/>
          <w:szCs w:val="20"/>
        </w:rPr>
        <w:t xml:space="preserve">, </w:t>
      </w:r>
      <w:r w:rsidR="00F0225C" w:rsidRPr="00D55565">
        <w:rPr>
          <w:color w:val="000000" w:themeColor="text1"/>
          <w:sz w:val="20"/>
          <w:szCs w:val="20"/>
        </w:rPr>
        <w:t>Iran (Islamic Republic of)</w:t>
      </w:r>
      <w:r w:rsidR="00F0225C">
        <w:rPr>
          <w:color w:val="000000" w:themeColor="text1"/>
          <w:sz w:val="20"/>
          <w:szCs w:val="20"/>
        </w:rPr>
        <w:t xml:space="preserve">, </w:t>
      </w:r>
      <w:r w:rsidR="00F0225C" w:rsidRPr="00D55565">
        <w:rPr>
          <w:color w:val="000000" w:themeColor="text1"/>
          <w:sz w:val="20"/>
          <w:szCs w:val="20"/>
        </w:rPr>
        <w:t>Israel</w:t>
      </w:r>
      <w:r w:rsidR="00F0225C">
        <w:rPr>
          <w:color w:val="000000" w:themeColor="text1"/>
          <w:sz w:val="20"/>
          <w:szCs w:val="20"/>
        </w:rPr>
        <w:t xml:space="preserve">, </w:t>
      </w:r>
      <w:r w:rsidR="00F0225C" w:rsidRPr="00D55565">
        <w:rPr>
          <w:color w:val="000000" w:themeColor="text1"/>
          <w:sz w:val="20"/>
          <w:szCs w:val="20"/>
        </w:rPr>
        <w:t>Jordan</w:t>
      </w:r>
      <w:r w:rsidR="00F0225C">
        <w:rPr>
          <w:color w:val="000000" w:themeColor="text1"/>
          <w:sz w:val="20"/>
          <w:szCs w:val="20"/>
        </w:rPr>
        <w:t xml:space="preserve">, </w:t>
      </w:r>
      <w:r w:rsidR="00F0225C" w:rsidRPr="00D55565">
        <w:rPr>
          <w:color w:val="000000" w:themeColor="text1"/>
          <w:sz w:val="20"/>
          <w:szCs w:val="20"/>
        </w:rPr>
        <w:t>Libya</w:t>
      </w:r>
      <w:r w:rsidR="00F0225C">
        <w:rPr>
          <w:color w:val="000000" w:themeColor="text1"/>
          <w:sz w:val="20"/>
          <w:szCs w:val="20"/>
        </w:rPr>
        <w:t xml:space="preserve">, </w:t>
      </w:r>
      <w:r w:rsidR="00F0225C" w:rsidRPr="00D55565">
        <w:rPr>
          <w:color w:val="000000" w:themeColor="text1"/>
          <w:sz w:val="20"/>
          <w:szCs w:val="20"/>
        </w:rPr>
        <w:t>Liechtenstein</w:t>
      </w:r>
      <w:r w:rsidR="00F0225C">
        <w:rPr>
          <w:color w:val="000000" w:themeColor="text1"/>
          <w:sz w:val="20"/>
          <w:szCs w:val="20"/>
        </w:rPr>
        <w:t xml:space="preserve">, </w:t>
      </w:r>
      <w:r w:rsidR="00F0225C" w:rsidRPr="00D55565">
        <w:rPr>
          <w:color w:val="000000" w:themeColor="text1"/>
          <w:sz w:val="20"/>
          <w:szCs w:val="20"/>
        </w:rPr>
        <w:t>Russian Federation</w:t>
      </w:r>
      <w:r w:rsidR="00F0225C">
        <w:rPr>
          <w:color w:val="000000" w:themeColor="text1"/>
          <w:sz w:val="20"/>
          <w:szCs w:val="20"/>
        </w:rPr>
        <w:t xml:space="preserve">, </w:t>
      </w:r>
      <w:r w:rsidR="00F0225C" w:rsidRPr="00D55565">
        <w:rPr>
          <w:color w:val="000000" w:themeColor="text1"/>
          <w:sz w:val="20"/>
          <w:szCs w:val="20"/>
        </w:rPr>
        <w:t>Sierra Leone</w:t>
      </w:r>
      <w:r w:rsidR="00F0225C">
        <w:rPr>
          <w:color w:val="000000" w:themeColor="text1"/>
          <w:sz w:val="20"/>
          <w:szCs w:val="20"/>
        </w:rPr>
        <w:t xml:space="preserve">, </w:t>
      </w:r>
      <w:r w:rsidR="00F0225C" w:rsidRPr="00D55565">
        <w:rPr>
          <w:color w:val="000000" w:themeColor="text1"/>
          <w:sz w:val="20"/>
          <w:szCs w:val="20"/>
        </w:rPr>
        <w:t>Thailand</w:t>
      </w:r>
      <w:r w:rsidR="00F0225C">
        <w:rPr>
          <w:color w:val="000000" w:themeColor="text1"/>
          <w:sz w:val="20"/>
          <w:szCs w:val="20"/>
        </w:rPr>
        <w:t xml:space="preserve">, </w:t>
      </w:r>
      <w:r w:rsidR="00F0225C" w:rsidRPr="00D55565">
        <w:rPr>
          <w:color w:val="000000" w:themeColor="text1"/>
          <w:sz w:val="20"/>
          <w:szCs w:val="20"/>
        </w:rPr>
        <w:t>Venezuela (Bolivarian Republic of)</w:t>
      </w:r>
      <w:r w:rsidRPr="0067399B">
        <w:rPr>
          <w:color w:val="000000" w:themeColor="text1"/>
          <w:sz w:val="20"/>
          <w:szCs w:val="20"/>
        </w:rPr>
        <w:t>;</w:t>
      </w:r>
    </w:p>
    <w:p w14:paraId="364AF71B" w14:textId="55D46CC7" w:rsidR="00BE0EC8" w:rsidRPr="0067399B" w:rsidRDefault="00BE0EC8" w:rsidP="00BE0EC8">
      <w:pPr>
        <w:spacing w:after="120"/>
        <w:ind w:left="1134" w:right="1134" w:firstLine="567"/>
        <w:jc w:val="both"/>
        <w:rPr>
          <w:color w:val="000000" w:themeColor="text1"/>
          <w:sz w:val="20"/>
          <w:szCs w:val="20"/>
        </w:rPr>
      </w:pPr>
      <w:r w:rsidRPr="0067399B">
        <w:rPr>
          <w:color w:val="000000" w:themeColor="text1"/>
          <w:sz w:val="20"/>
          <w:szCs w:val="20"/>
        </w:rPr>
        <w:t>(c)</w:t>
      </w:r>
      <w:r w:rsidRPr="0067399B">
        <w:rPr>
          <w:color w:val="000000" w:themeColor="text1"/>
          <w:sz w:val="20"/>
          <w:szCs w:val="20"/>
        </w:rPr>
        <w:tab/>
      </w:r>
      <w:r w:rsidR="006D07E0" w:rsidRPr="006D07E0">
        <w:rPr>
          <w:color w:val="000000" w:themeColor="text1"/>
          <w:sz w:val="20"/>
          <w:szCs w:val="20"/>
        </w:rPr>
        <w:t>Observer for United Nations entities, specialized agencies and related</w:t>
      </w:r>
      <w:r w:rsidR="006D07E0">
        <w:rPr>
          <w:color w:val="000000" w:themeColor="text1"/>
          <w:sz w:val="20"/>
          <w:szCs w:val="20"/>
        </w:rPr>
        <w:t xml:space="preserve"> </w:t>
      </w:r>
      <w:r w:rsidR="006D07E0" w:rsidRPr="006D07E0">
        <w:rPr>
          <w:color w:val="000000" w:themeColor="text1"/>
          <w:sz w:val="20"/>
          <w:szCs w:val="20"/>
        </w:rPr>
        <w:t>organizations</w:t>
      </w:r>
      <w:r w:rsidRPr="0067399B">
        <w:rPr>
          <w:color w:val="000000" w:themeColor="text1"/>
          <w:sz w:val="20"/>
          <w:szCs w:val="20"/>
        </w:rPr>
        <w:t xml:space="preserve">: </w:t>
      </w:r>
      <w:r w:rsidRPr="0067399B">
        <w:rPr>
          <w:color w:val="000000" w:themeColor="text1"/>
          <w:sz w:val="20"/>
          <w:szCs w:val="20"/>
          <w:lang w:eastAsia="ko-KR"/>
        </w:rPr>
        <w:t>United Nations Children</w:t>
      </w:r>
      <w:r w:rsidR="00D72627">
        <w:rPr>
          <w:color w:val="000000" w:themeColor="text1"/>
          <w:sz w:val="20"/>
          <w:szCs w:val="20"/>
          <w:lang w:eastAsia="ko-KR"/>
        </w:rPr>
        <w:t>’</w:t>
      </w:r>
      <w:r w:rsidRPr="0067399B">
        <w:rPr>
          <w:color w:val="000000" w:themeColor="text1"/>
          <w:sz w:val="20"/>
          <w:szCs w:val="20"/>
          <w:lang w:eastAsia="ko-KR"/>
        </w:rPr>
        <w:t>s Fund (</w:t>
      </w:r>
      <w:r w:rsidRPr="0067399B">
        <w:rPr>
          <w:color w:val="000000" w:themeColor="text1"/>
          <w:sz w:val="20"/>
          <w:szCs w:val="20"/>
        </w:rPr>
        <w:t>UNICEF</w:t>
      </w:r>
      <w:r w:rsidRPr="0067399B">
        <w:rPr>
          <w:color w:val="000000" w:themeColor="text1"/>
          <w:sz w:val="20"/>
          <w:szCs w:val="20"/>
          <w:lang w:eastAsia="ko-KR"/>
        </w:rPr>
        <w:t xml:space="preserve">); </w:t>
      </w:r>
    </w:p>
    <w:p w14:paraId="7A223C3D" w14:textId="30ED9CAC" w:rsidR="0033063E" w:rsidRPr="0067399B" w:rsidRDefault="0033063E" w:rsidP="0033063E">
      <w:pPr>
        <w:spacing w:after="120"/>
        <w:ind w:left="1134" w:right="1134" w:firstLine="567"/>
        <w:jc w:val="both"/>
        <w:rPr>
          <w:color w:val="000000" w:themeColor="text1"/>
          <w:sz w:val="20"/>
          <w:szCs w:val="20"/>
        </w:rPr>
      </w:pPr>
      <w:r w:rsidRPr="0067399B">
        <w:rPr>
          <w:color w:val="000000" w:themeColor="text1"/>
          <w:sz w:val="20"/>
          <w:szCs w:val="20"/>
        </w:rPr>
        <w:t>(</w:t>
      </w:r>
      <w:r w:rsidR="00BE0EC8">
        <w:rPr>
          <w:color w:val="000000" w:themeColor="text1"/>
          <w:sz w:val="20"/>
          <w:szCs w:val="20"/>
        </w:rPr>
        <w:t>d</w:t>
      </w:r>
      <w:r w:rsidRPr="0067399B">
        <w:rPr>
          <w:color w:val="000000" w:themeColor="text1"/>
          <w:sz w:val="20"/>
          <w:szCs w:val="20"/>
        </w:rPr>
        <w:t>)</w:t>
      </w:r>
      <w:r w:rsidRPr="0067399B">
        <w:rPr>
          <w:color w:val="000000" w:themeColor="text1"/>
          <w:sz w:val="20"/>
          <w:szCs w:val="20"/>
        </w:rPr>
        <w:tab/>
        <w:t xml:space="preserve">Observer for an intergovernmental organization: European Union; </w:t>
      </w:r>
    </w:p>
    <w:p w14:paraId="0E6DEDBF" w14:textId="3A411173" w:rsidR="0033063E" w:rsidRPr="0067399B" w:rsidRDefault="0033063E" w:rsidP="0033063E">
      <w:pPr>
        <w:spacing w:after="120"/>
        <w:ind w:left="1134" w:right="1134" w:firstLine="567"/>
        <w:jc w:val="both"/>
        <w:rPr>
          <w:color w:val="000000" w:themeColor="text1"/>
          <w:sz w:val="20"/>
          <w:szCs w:val="20"/>
        </w:rPr>
      </w:pPr>
      <w:r w:rsidRPr="0067399B">
        <w:rPr>
          <w:color w:val="000000" w:themeColor="text1"/>
          <w:sz w:val="20"/>
          <w:szCs w:val="20"/>
        </w:rPr>
        <w:t>(</w:t>
      </w:r>
      <w:r w:rsidR="00BE0EC8">
        <w:rPr>
          <w:color w:val="000000" w:themeColor="text1"/>
          <w:sz w:val="20"/>
          <w:szCs w:val="20"/>
        </w:rPr>
        <w:t>e</w:t>
      </w:r>
      <w:r w:rsidRPr="0067399B">
        <w:rPr>
          <w:color w:val="000000" w:themeColor="text1"/>
          <w:sz w:val="20"/>
          <w:szCs w:val="20"/>
        </w:rPr>
        <w:t>)</w:t>
      </w:r>
      <w:r w:rsidRPr="0067399B">
        <w:rPr>
          <w:color w:val="000000" w:themeColor="text1"/>
          <w:sz w:val="20"/>
          <w:szCs w:val="20"/>
        </w:rPr>
        <w:tab/>
        <w:t>Observer for the Sovereign Military Order of Malta;</w:t>
      </w:r>
    </w:p>
    <w:p w14:paraId="2A466186" w14:textId="2046A782" w:rsidR="0033063E" w:rsidRPr="0067399B" w:rsidRDefault="0033063E" w:rsidP="0033063E">
      <w:pPr>
        <w:spacing w:after="120"/>
        <w:ind w:left="1134" w:right="1134" w:firstLine="567"/>
        <w:jc w:val="both"/>
        <w:rPr>
          <w:color w:val="000000" w:themeColor="text1"/>
          <w:sz w:val="20"/>
          <w:szCs w:val="20"/>
        </w:rPr>
      </w:pPr>
      <w:r w:rsidRPr="0067399B">
        <w:rPr>
          <w:color w:val="000000" w:themeColor="text1"/>
          <w:sz w:val="20"/>
          <w:szCs w:val="20"/>
        </w:rPr>
        <w:t>(</w:t>
      </w:r>
      <w:r w:rsidR="00974409">
        <w:rPr>
          <w:color w:val="000000" w:themeColor="text1"/>
          <w:sz w:val="20"/>
          <w:szCs w:val="20"/>
        </w:rPr>
        <w:t>f</w:t>
      </w:r>
      <w:r w:rsidRPr="0067399B">
        <w:rPr>
          <w:color w:val="000000" w:themeColor="text1"/>
          <w:sz w:val="20"/>
          <w:szCs w:val="20"/>
        </w:rPr>
        <w:t>)</w:t>
      </w:r>
      <w:r w:rsidRPr="0067399B">
        <w:rPr>
          <w:color w:val="000000" w:themeColor="text1"/>
          <w:sz w:val="20"/>
          <w:szCs w:val="20"/>
        </w:rPr>
        <w:tab/>
        <w:t>Observers for non-governmental organizations:</w:t>
      </w:r>
      <w:r>
        <w:rPr>
          <w:color w:val="000000" w:themeColor="text1"/>
          <w:sz w:val="20"/>
          <w:szCs w:val="20"/>
        </w:rPr>
        <w:t xml:space="preserve"> </w:t>
      </w:r>
      <w:r w:rsidR="008B467F" w:rsidRPr="008B467F">
        <w:rPr>
          <w:color w:val="000000" w:themeColor="text1"/>
          <w:sz w:val="20"/>
          <w:szCs w:val="20"/>
        </w:rPr>
        <w:t>Commission to Study the Organization of Peace</w:t>
      </w:r>
      <w:r w:rsidR="008B467F">
        <w:rPr>
          <w:color w:val="000000" w:themeColor="text1"/>
          <w:sz w:val="20"/>
          <w:szCs w:val="20"/>
        </w:rPr>
        <w:t xml:space="preserve">; </w:t>
      </w:r>
      <w:r w:rsidR="008B467F" w:rsidRPr="008B467F">
        <w:rPr>
          <w:color w:val="000000" w:themeColor="text1"/>
          <w:sz w:val="20"/>
          <w:szCs w:val="20"/>
        </w:rPr>
        <w:t>Verein Sudwind Entwicklungspolitik</w:t>
      </w:r>
      <w:r w:rsidRPr="0067399B">
        <w:rPr>
          <w:color w:val="000000" w:themeColor="text1"/>
          <w:sz w:val="20"/>
          <w:szCs w:val="20"/>
        </w:rPr>
        <w:t>.</w:t>
      </w:r>
    </w:p>
    <w:p w14:paraId="22178AFA" w14:textId="77777777" w:rsidR="00DB482B" w:rsidRPr="0067399B" w:rsidRDefault="00DB482B" w:rsidP="00DB482B">
      <w:pPr>
        <w:pStyle w:val="H23G"/>
        <w:rPr>
          <w:color w:val="000000" w:themeColor="text1"/>
          <w:sz w:val="20"/>
          <w:szCs w:val="20"/>
        </w:rPr>
      </w:pPr>
      <w:r w:rsidRPr="0067399B">
        <w:rPr>
          <w:color w:val="000000" w:themeColor="text1"/>
          <w:sz w:val="20"/>
          <w:szCs w:val="20"/>
        </w:rPr>
        <w:tab/>
      </w:r>
      <w:r w:rsidRPr="0067399B">
        <w:rPr>
          <w:color w:val="000000" w:themeColor="text1"/>
          <w:sz w:val="20"/>
          <w:szCs w:val="20"/>
        </w:rPr>
        <w:tab/>
      </w:r>
      <w:r w:rsidRPr="00A078AC">
        <w:rPr>
          <w:color w:val="000000" w:themeColor="text1"/>
          <w:sz w:val="20"/>
          <w:szCs w:val="20"/>
        </w:rPr>
        <w:t>Special Rapporteur on the rights of persons with disabilities</w:t>
      </w:r>
    </w:p>
    <w:p w14:paraId="7C3B58E1" w14:textId="36562A51" w:rsidR="00DB482B" w:rsidRPr="0067399B" w:rsidRDefault="002B4AE4" w:rsidP="00DB482B">
      <w:pPr>
        <w:pStyle w:val="SingleTxtG"/>
        <w:rPr>
          <w:color w:val="000000" w:themeColor="text1"/>
          <w:sz w:val="20"/>
          <w:szCs w:val="20"/>
        </w:rPr>
      </w:pPr>
      <w:r>
        <w:rPr>
          <w:color w:val="000000" w:themeColor="text1"/>
          <w:sz w:val="20"/>
          <w:szCs w:val="20"/>
        </w:rPr>
        <w:t>163</w:t>
      </w:r>
      <w:r w:rsidR="00DB482B" w:rsidRPr="0067399B">
        <w:rPr>
          <w:color w:val="000000" w:themeColor="text1"/>
          <w:sz w:val="20"/>
          <w:szCs w:val="20"/>
        </w:rPr>
        <w:t>.</w:t>
      </w:r>
      <w:r w:rsidR="00DB482B" w:rsidRPr="0067399B">
        <w:rPr>
          <w:color w:val="000000" w:themeColor="text1"/>
          <w:sz w:val="20"/>
          <w:szCs w:val="20"/>
        </w:rPr>
        <w:tab/>
        <w:t xml:space="preserve">At the </w:t>
      </w:r>
      <w:r w:rsidR="00DB482B">
        <w:rPr>
          <w:color w:val="000000" w:themeColor="text1"/>
          <w:sz w:val="20"/>
          <w:szCs w:val="20"/>
        </w:rPr>
        <w:t>19th</w:t>
      </w:r>
      <w:r w:rsidR="00DB482B" w:rsidRPr="0067399B">
        <w:rPr>
          <w:color w:val="000000" w:themeColor="text1"/>
          <w:sz w:val="20"/>
          <w:szCs w:val="20"/>
        </w:rPr>
        <w:t xml:space="preserve"> meeting, on </w:t>
      </w:r>
      <w:r w:rsidR="00DB482B">
        <w:rPr>
          <w:color w:val="000000" w:themeColor="text1"/>
          <w:sz w:val="20"/>
          <w:szCs w:val="20"/>
        </w:rPr>
        <w:t>5</w:t>
      </w:r>
      <w:r w:rsidR="00DB482B" w:rsidRPr="0067399B">
        <w:rPr>
          <w:color w:val="000000" w:themeColor="text1"/>
          <w:sz w:val="20"/>
          <w:szCs w:val="20"/>
        </w:rPr>
        <w:t xml:space="preserve"> March </w:t>
      </w:r>
      <w:r w:rsidR="00DB482B">
        <w:rPr>
          <w:color w:val="000000" w:themeColor="text1"/>
          <w:sz w:val="20"/>
          <w:szCs w:val="20"/>
        </w:rPr>
        <w:t>2019</w:t>
      </w:r>
      <w:r w:rsidR="00DB482B" w:rsidRPr="0067399B">
        <w:rPr>
          <w:color w:val="000000" w:themeColor="text1"/>
          <w:sz w:val="20"/>
          <w:szCs w:val="20"/>
        </w:rPr>
        <w:t>, the Special Rapporteur on the rights of persons with disabilities, Catalina Devandas-Aguilar, presented her reports (A/HRC/</w:t>
      </w:r>
      <w:r w:rsidR="00DB482B" w:rsidRPr="00DB482B">
        <w:rPr>
          <w:color w:val="000000" w:themeColor="text1"/>
          <w:sz w:val="20"/>
          <w:szCs w:val="20"/>
        </w:rPr>
        <w:t>40/54</w:t>
      </w:r>
      <w:r w:rsidR="00DB482B" w:rsidRPr="0067399B">
        <w:rPr>
          <w:color w:val="000000" w:themeColor="text1"/>
          <w:sz w:val="20"/>
          <w:szCs w:val="20"/>
        </w:rPr>
        <w:t xml:space="preserve"> and Add.1).</w:t>
      </w:r>
    </w:p>
    <w:p w14:paraId="0BCDBB8F" w14:textId="05CA547E" w:rsidR="00DB482B" w:rsidRDefault="002B4AE4" w:rsidP="00DB482B">
      <w:pPr>
        <w:pStyle w:val="SingleTxtG"/>
        <w:rPr>
          <w:color w:val="000000" w:themeColor="text1"/>
          <w:sz w:val="20"/>
          <w:szCs w:val="20"/>
        </w:rPr>
      </w:pPr>
      <w:r>
        <w:rPr>
          <w:color w:val="000000" w:themeColor="text1"/>
          <w:sz w:val="20"/>
          <w:szCs w:val="20"/>
        </w:rPr>
        <w:t>164</w:t>
      </w:r>
      <w:r w:rsidR="00DB482B" w:rsidRPr="0067399B">
        <w:rPr>
          <w:color w:val="000000" w:themeColor="text1"/>
          <w:sz w:val="20"/>
          <w:szCs w:val="20"/>
        </w:rPr>
        <w:t>.</w:t>
      </w:r>
      <w:r w:rsidR="00DB482B" w:rsidRPr="0067399B">
        <w:rPr>
          <w:color w:val="000000" w:themeColor="text1"/>
          <w:sz w:val="20"/>
          <w:szCs w:val="20"/>
        </w:rPr>
        <w:tab/>
        <w:t xml:space="preserve">At the same meeting, the representative of </w:t>
      </w:r>
      <w:r w:rsidR="00DB482B">
        <w:rPr>
          <w:color w:val="000000" w:themeColor="text1"/>
          <w:sz w:val="20"/>
          <w:szCs w:val="20"/>
        </w:rPr>
        <w:t>France</w:t>
      </w:r>
      <w:r w:rsidR="00DB482B" w:rsidRPr="0067399B">
        <w:rPr>
          <w:color w:val="000000" w:themeColor="text1"/>
          <w:sz w:val="20"/>
          <w:szCs w:val="20"/>
        </w:rPr>
        <w:t xml:space="preserve"> made</w:t>
      </w:r>
      <w:r w:rsidR="00DB482B">
        <w:rPr>
          <w:color w:val="000000" w:themeColor="text1"/>
          <w:sz w:val="20"/>
          <w:szCs w:val="20"/>
        </w:rPr>
        <w:t xml:space="preserve"> a</w:t>
      </w:r>
      <w:r w:rsidR="00DB482B" w:rsidRPr="0067399B">
        <w:rPr>
          <w:color w:val="000000" w:themeColor="text1"/>
          <w:sz w:val="20"/>
          <w:szCs w:val="20"/>
        </w:rPr>
        <w:t xml:space="preserve"> statement as the State concerned.</w:t>
      </w:r>
    </w:p>
    <w:p w14:paraId="7F13C213" w14:textId="25E70D8F" w:rsidR="00FF6BA7" w:rsidRPr="0067399B" w:rsidRDefault="002B4AE4" w:rsidP="00DB482B">
      <w:pPr>
        <w:pStyle w:val="SingleTxtG"/>
        <w:rPr>
          <w:color w:val="000000" w:themeColor="text1"/>
          <w:sz w:val="20"/>
          <w:szCs w:val="20"/>
        </w:rPr>
      </w:pPr>
      <w:r>
        <w:rPr>
          <w:color w:val="000000" w:themeColor="text1"/>
          <w:sz w:val="20"/>
          <w:szCs w:val="20"/>
        </w:rPr>
        <w:t>165</w:t>
      </w:r>
      <w:r w:rsidR="00FF6BA7" w:rsidRPr="00FF6BA7">
        <w:rPr>
          <w:color w:val="000000" w:themeColor="text1"/>
          <w:sz w:val="20"/>
          <w:szCs w:val="20"/>
        </w:rPr>
        <w:t>.</w:t>
      </w:r>
      <w:r w:rsidR="00FF6BA7" w:rsidRPr="00FF6BA7">
        <w:rPr>
          <w:color w:val="000000" w:themeColor="text1"/>
          <w:sz w:val="20"/>
          <w:szCs w:val="20"/>
        </w:rPr>
        <w:tab/>
        <w:t xml:space="preserve">Also at the same meeting, the national human rights institution, the National </w:t>
      </w:r>
      <w:r w:rsidR="00FF6BA7">
        <w:rPr>
          <w:color w:val="000000" w:themeColor="text1"/>
          <w:sz w:val="20"/>
          <w:szCs w:val="20"/>
        </w:rPr>
        <w:t xml:space="preserve">Consultative </w:t>
      </w:r>
      <w:r w:rsidR="00FF6BA7" w:rsidRPr="00FF6BA7">
        <w:rPr>
          <w:color w:val="000000" w:themeColor="text1"/>
          <w:sz w:val="20"/>
          <w:szCs w:val="20"/>
        </w:rPr>
        <w:t xml:space="preserve">Commission </w:t>
      </w:r>
      <w:r w:rsidR="00FF6BA7">
        <w:rPr>
          <w:color w:val="000000" w:themeColor="text1"/>
          <w:sz w:val="20"/>
          <w:szCs w:val="20"/>
        </w:rPr>
        <w:t xml:space="preserve">on </w:t>
      </w:r>
      <w:r w:rsidR="00FF6BA7" w:rsidRPr="00FF6BA7">
        <w:rPr>
          <w:color w:val="000000" w:themeColor="text1"/>
          <w:sz w:val="20"/>
          <w:szCs w:val="20"/>
        </w:rPr>
        <w:t xml:space="preserve">Human Rights of </w:t>
      </w:r>
      <w:r w:rsidR="00FF6BA7">
        <w:rPr>
          <w:color w:val="000000" w:themeColor="text1"/>
          <w:sz w:val="20"/>
          <w:szCs w:val="20"/>
        </w:rPr>
        <w:t>France</w:t>
      </w:r>
      <w:r w:rsidR="00FF6BA7" w:rsidRPr="00FF6BA7">
        <w:rPr>
          <w:color w:val="000000" w:themeColor="text1"/>
          <w:sz w:val="20"/>
          <w:szCs w:val="20"/>
        </w:rPr>
        <w:t>, made a statement.</w:t>
      </w:r>
    </w:p>
    <w:p w14:paraId="6EA10E53" w14:textId="58A9B26E" w:rsidR="00DB482B" w:rsidRPr="0067399B" w:rsidRDefault="002B4AE4" w:rsidP="00DB482B">
      <w:pPr>
        <w:pStyle w:val="SingleTxtG"/>
        <w:rPr>
          <w:color w:val="000000" w:themeColor="text1"/>
          <w:sz w:val="20"/>
          <w:szCs w:val="20"/>
        </w:rPr>
      </w:pPr>
      <w:r>
        <w:rPr>
          <w:color w:val="000000" w:themeColor="text1"/>
          <w:sz w:val="20"/>
          <w:szCs w:val="20"/>
        </w:rPr>
        <w:t>166</w:t>
      </w:r>
      <w:r w:rsidR="00DB482B" w:rsidRPr="0067399B">
        <w:rPr>
          <w:color w:val="000000" w:themeColor="text1"/>
          <w:sz w:val="20"/>
          <w:szCs w:val="20"/>
        </w:rPr>
        <w:t>.</w:t>
      </w:r>
      <w:r w:rsidR="00DB482B" w:rsidRPr="0067399B">
        <w:rPr>
          <w:color w:val="000000" w:themeColor="text1"/>
          <w:sz w:val="20"/>
          <w:szCs w:val="20"/>
        </w:rPr>
        <w:tab/>
        <w:t xml:space="preserve">During the ensuing interactive dialogue, at </w:t>
      </w:r>
      <w:r w:rsidR="00DB482B" w:rsidRPr="00463AE3">
        <w:rPr>
          <w:color w:val="000000" w:themeColor="text1"/>
          <w:sz w:val="20"/>
          <w:szCs w:val="20"/>
        </w:rPr>
        <w:t xml:space="preserve">the </w:t>
      </w:r>
      <w:r w:rsidR="00463AE3" w:rsidRPr="00463AE3">
        <w:rPr>
          <w:color w:val="000000" w:themeColor="text1"/>
          <w:sz w:val="20"/>
          <w:szCs w:val="20"/>
        </w:rPr>
        <w:t>20</w:t>
      </w:r>
      <w:r w:rsidR="001F3103" w:rsidRPr="00463AE3">
        <w:rPr>
          <w:color w:val="000000" w:themeColor="text1"/>
          <w:sz w:val="20"/>
          <w:szCs w:val="20"/>
        </w:rPr>
        <w:t>th</w:t>
      </w:r>
      <w:r w:rsidR="00DB482B" w:rsidRPr="00463AE3">
        <w:rPr>
          <w:color w:val="000000" w:themeColor="text1"/>
          <w:sz w:val="20"/>
          <w:szCs w:val="20"/>
        </w:rPr>
        <w:t xml:space="preserve"> </w:t>
      </w:r>
      <w:r w:rsidR="00463AE3" w:rsidRPr="00463AE3">
        <w:rPr>
          <w:color w:val="000000" w:themeColor="text1"/>
          <w:sz w:val="20"/>
          <w:szCs w:val="20"/>
        </w:rPr>
        <w:t xml:space="preserve">to 21st </w:t>
      </w:r>
      <w:r w:rsidR="00DB482B" w:rsidRPr="00463AE3">
        <w:rPr>
          <w:color w:val="000000" w:themeColor="text1"/>
          <w:sz w:val="20"/>
          <w:szCs w:val="20"/>
        </w:rPr>
        <w:t>meeting</w:t>
      </w:r>
      <w:r w:rsidR="00463AE3" w:rsidRPr="00463AE3">
        <w:rPr>
          <w:color w:val="000000" w:themeColor="text1"/>
          <w:sz w:val="20"/>
          <w:szCs w:val="20"/>
        </w:rPr>
        <w:t>s</w:t>
      </w:r>
      <w:r w:rsidR="00DB482B" w:rsidRPr="00463AE3">
        <w:rPr>
          <w:color w:val="000000" w:themeColor="text1"/>
          <w:sz w:val="20"/>
          <w:szCs w:val="20"/>
        </w:rPr>
        <w:t xml:space="preserve">, on </w:t>
      </w:r>
      <w:r w:rsidR="00463AE3" w:rsidRPr="00463AE3">
        <w:rPr>
          <w:color w:val="000000" w:themeColor="text1"/>
          <w:sz w:val="20"/>
          <w:szCs w:val="20"/>
        </w:rPr>
        <w:t>6</w:t>
      </w:r>
      <w:r w:rsidR="00DB482B" w:rsidRPr="00463AE3">
        <w:rPr>
          <w:color w:val="000000" w:themeColor="text1"/>
          <w:sz w:val="20"/>
          <w:szCs w:val="20"/>
        </w:rPr>
        <w:t xml:space="preserve"> March 2019, </w:t>
      </w:r>
      <w:r w:rsidR="00DB482B" w:rsidRPr="0067399B">
        <w:rPr>
          <w:color w:val="000000" w:themeColor="text1"/>
          <w:sz w:val="20"/>
          <w:szCs w:val="20"/>
        </w:rPr>
        <w:t>the following made statements and asked the Special Rapporteur questions:</w:t>
      </w:r>
    </w:p>
    <w:p w14:paraId="33AF7AE4" w14:textId="5CC9E158" w:rsidR="00DB482B" w:rsidRPr="0067399B" w:rsidRDefault="00DB482B" w:rsidP="00DB482B">
      <w:pPr>
        <w:spacing w:after="120"/>
        <w:ind w:left="1134" w:right="1134" w:firstLine="567"/>
        <w:jc w:val="both"/>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Pr>
          <w:color w:val="000000" w:themeColor="text1"/>
          <w:sz w:val="20"/>
          <w:szCs w:val="20"/>
        </w:rPr>
        <w:t>States Members</w:t>
      </w:r>
      <w:r w:rsidRPr="0067399B">
        <w:rPr>
          <w:color w:val="000000" w:themeColor="text1"/>
          <w:sz w:val="20"/>
          <w:szCs w:val="20"/>
        </w:rPr>
        <w:t xml:space="preserve"> of the Human Rights Council:</w:t>
      </w:r>
      <w:r w:rsidR="00BE5C95">
        <w:rPr>
          <w:color w:val="000000" w:themeColor="text1"/>
          <w:sz w:val="20"/>
          <w:szCs w:val="20"/>
        </w:rPr>
        <w:t xml:space="preserve"> </w:t>
      </w:r>
      <w:r w:rsidR="00BE5C95" w:rsidRPr="00BE5C95">
        <w:rPr>
          <w:color w:val="000000" w:themeColor="text1"/>
          <w:sz w:val="20"/>
          <w:szCs w:val="20"/>
        </w:rPr>
        <w:t>Afghanistan</w:t>
      </w:r>
      <w:r w:rsidR="00BE5C95">
        <w:rPr>
          <w:color w:val="000000" w:themeColor="text1"/>
          <w:sz w:val="20"/>
          <w:szCs w:val="20"/>
        </w:rPr>
        <w:t xml:space="preserve">, </w:t>
      </w:r>
      <w:r w:rsidR="00BE5C95" w:rsidRPr="00DE39F5">
        <w:rPr>
          <w:color w:val="000000" w:themeColor="text1"/>
          <w:sz w:val="20"/>
          <w:szCs w:val="20"/>
        </w:rPr>
        <w:t xml:space="preserve">Angola </w:t>
      </w:r>
      <w:r w:rsidR="00BE5C95">
        <w:rPr>
          <w:color w:val="000000" w:themeColor="text1"/>
          <w:sz w:val="20"/>
          <w:szCs w:val="20"/>
        </w:rPr>
        <w:t>(</w:t>
      </w:r>
      <w:r w:rsidR="00BE5C95" w:rsidRPr="00544A55">
        <w:rPr>
          <w:color w:val="000000" w:themeColor="text1"/>
          <w:sz w:val="20"/>
          <w:szCs w:val="20"/>
        </w:rPr>
        <w:t>on behalf of the Group of African States</w:t>
      </w:r>
      <w:r w:rsidR="00BE5C95">
        <w:rPr>
          <w:color w:val="000000" w:themeColor="text1"/>
          <w:sz w:val="20"/>
          <w:szCs w:val="20"/>
        </w:rPr>
        <w:t xml:space="preserve">), </w:t>
      </w:r>
      <w:r w:rsidR="00BE5C95" w:rsidRPr="00BE5C95">
        <w:rPr>
          <w:color w:val="000000" w:themeColor="text1"/>
          <w:sz w:val="20"/>
          <w:szCs w:val="20"/>
        </w:rPr>
        <w:t>Australia</w:t>
      </w:r>
      <w:r w:rsidR="00BE5C95">
        <w:rPr>
          <w:color w:val="000000" w:themeColor="text1"/>
          <w:sz w:val="20"/>
          <w:szCs w:val="20"/>
        </w:rPr>
        <w:t xml:space="preserve">, </w:t>
      </w:r>
      <w:r w:rsidR="00BE5C95" w:rsidRPr="00BE5C95">
        <w:rPr>
          <w:color w:val="000000" w:themeColor="text1"/>
          <w:sz w:val="20"/>
          <w:szCs w:val="20"/>
        </w:rPr>
        <w:t>Bangladesh</w:t>
      </w:r>
      <w:r w:rsidR="00BE5C95">
        <w:rPr>
          <w:color w:val="000000" w:themeColor="text1"/>
          <w:sz w:val="20"/>
          <w:szCs w:val="20"/>
        </w:rPr>
        <w:t xml:space="preserve">, </w:t>
      </w:r>
      <w:r w:rsidR="00BE5C95" w:rsidRPr="00BE5C95">
        <w:rPr>
          <w:color w:val="000000" w:themeColor="text1"/>
          <w:sz w:val="20"/>
          <w:szCs w:val="20"/>
        </w:rPr>
        <w:t>Brazil</w:t>
      </w:r>
      <w:r w:rsidR="00BE5C95">
        <w:rPr>
          <w:color w:val="000000" w:themeColor="text1"/>
          <w:sz w:val="20"/>
          <w:szCs w:val="20"/>
        </w:rPr>
        <w:t xml:space="preserve">, </w:t>
      </w:r>
      <w:r w:rsidR="00BE5C95" w:rsidRPr="00BE5C95">
        <w:rPr>
          <w:color w:val="000000" w:themeColor="text1"/>
          <w:sz w:val="20"/>
          <w:szCs w:val="20"/>
        </w:rPr>
        <w:t>Bulgaria</w:t>
      </w:r>
      <w:r w:rsidR="00BE5C95">
        <w:rPr>
          <w:color w:val="000000" w:themeColor="text1"/>
          <w:sz w:val="20"/>
          <w:szCs w:val="20"/>
        </w:rPr>
        <w:t xml:space="preserve">, </w:t>
      </w:r>
      <w:r w:rsidR="00BE5C95" w:rsidRPr="00BE5C95">
        <w:rPr>
          <w:color w:val="000000" w:themeColor="text1"/>
          <w:sz w:val="20"/>
          <w:szCs w:val="20"/>
        </w:rPr>
        <w:t>Burkina Faso</w:t>
      </w:r>
      <w:r w:rsidR="00BE5C95">
        <w:rPr>
          <w:color w:val="000000" w:themeColor="text1"/>
          <w:sz w:val="20"/>
          <w:szCs w:val="20"/>
        </w:rPr>
        <w:t xml:space="preserve">, </w:t>
      </w:r>
      <w:r w:rsidR="00BE5C95" w:rsidRPr="00BE5C95">
        <w:rPr>
          <w:color w:val="000000" w:themeColor="text1"/>
          <w:sz w:val="20"/>
          <w:szCs w:val="20"/>
        </w:rPr>
        <w:t>Cameroon</w:t>
      </w:r>
      <w:r w:rsidR="00BE5C95">
        <w:rPr>
          <w:color w:val="000000" w:themeColor="text1"/>
          <w:sz w:val="20"/>
          <w:szCs w:val="20"/>
        </w:rPr>
        <w:t xml:space="preserve">, </w:t>
      </w:r>
      <w:r w:rsidR="00BE5C95" w:rsidRPr="00BE5C95">
        <w:rPr>
          <w:color w:val="000000" w:themeColor="text1"/>
          <w:sz w:val="20"/>
          <w:szCs w:val="20"/>
        </w:rPr>
        <w:t>Chile</w:t>
      </w:r>
      <w:r w:rsidR="00BE5C95">
        <w:rPr>
          <w:color w:val="000000" w:themeColor="text1"/>
          <w:sz w:val="20"/>
          <w:szCs w:val="20"/>
        </w:rPr>
        <w:t xml:space="preserve">, </w:t>
      </w:r>
      <w:r w:rsidR="00BE5C95" w:rsidRPr="00BE5C95">
        <w:rPr>
          <w:color w:val="000000" w:themeColor="text1"/>
          <w:sz w:val="20"/>
          <w:szCs w:val="20"/>
        </w:rPr>
        <w:t>China</w:t>
      </w:r>
      <w:r w:rsidR="00BE5C95">
        <w:rPr>
          <w:color w:val="000000" w:themeColor="text1"/>
          <w:sz w:val="20"/>
          <w:szCs w:val="20"/>
        </w:rPr>
        <w:t xml:space="preserve">, </w:t>
      </w:r>
      <w:r w:rsidR="00BE5C95" w:rsidRPr="00BE5C95">
        <w:rPr>
          <w:color w:val="000000" w:themeColor="text1"/>
          <w:sz w:val="20"/>
          <w:szCs w:val="20"/>
        </w:rPr>
        <w:t>Croatia</w:t>
      </w:r>
      <w:r w:rsidR="00BE5C95">
        <w:rPr>
          <w:color w:val="000000" w:themeColor="text1"/>
          <w:sz w:val="20"/>
          <w:szCs w:val="20"/>
        </w:rPr>
        <w:t xml:space="preserve">, </w:t>
      </w:r>
      <w:r w:rsidR="00BE5C95" w:rsidRPr="00BE5C95">
        <w:rPr>
          <w:color w:val="000000" w:themeColor="text1"/>
          <w:sz w:val="20"/>
          <w:szCs w:val="20"/>
        </w:rPr>
        <w:t>Cuba</w:t>
      </w:r>
      <w:r w:rsidR="00BE5C95">
        <w:rPr>
          <w:color w:val="000000" w:themeColor="text1"/>
          <w:sz w:val="20"/>
          <w:szCs w:val="20"/>
        </w:rPr>
        <w:t xml:space="preserve">, </w:t>
      </w:r>
      <w:r w:rsidR="00BE5C95" w:rsidRPr="00BE5C95">
        <w:rPr>
          <w:color w:val="000000" w:themeColor="text1"/>
          <w:sz w:val="20"/>
          <w:szCs w:val="20"/>
        </w:rPr>
        <w:t>Egypt</w:t>
      </w:r>
      <w:r w:rsidR="00BE5C95">
        <w:rPr>
          <w:color w:val="000000" w:themeColor="text1"/>
          <w:sz w:val="20"/>
          <w:szCs w:val="20"/>
        </w:rPr>
        <w:t xml:space="preserve">, </w:t>
      </w:r>
      <w:r w:rsidR="00BE5C95" w:rsidRPr="00BE5C95">
        <w:rPr>
          <w:color w:val="000000" w:themeColor="text1"/>
          <w:sz w:val="20"/>
          <w:szCs w:val="20"/>
        </w:rPr>
        <w:t>Hungary</w:t>
      </w:r>
      <w:r w:rsidR="00BE5C95">
        <w:rPr>
          <w:color w:val="000000" w:themeColor="text1"/>
          <w:sz w:val="20"/>
          <w:szCs w:val="20"/>
        </w:rPr>
        <w:t xml:space="preserve">, </w:t>
      </w:r>
      <w:r w:rsidR="00BE5C95" w:rsidRPr="00BE5C95">
        <w:rPr>
          <w:color w:val="000000" w:themeColor="text1"/>
          <w:sz w:val="20"/>
          <w:szCs w:val="20"/>
        </w:rPr>
        <w:t>Iceland</w:t>
      </w:r>
      <w:r w:rsidR="00BE5C95">
        <w:rPr>
          <w:color w:val="000000" w:themeColor="text1"/>
          <w:sz w:val="20"/>
          <w:szCs w:val="20"/>
        </w:rPr>
        <w:t xml:space="preserve">, </w:t>
      </w:r>
      <w:r w:rsidR="00BE5C95" w:rsidRPr="00BE5C95">
        <w:rPr>
          <w:color w:val="000000" w:themeColor="text1"/>
          <w:sz w:val="20"/>
          <w:szCs w:val="20"/>
        </w:rPr>
        <w:t>India</w:t>
      </w:r>
      <w:r w:rsidR="00BE5C95">
        <w:rPr>
          <w:color w:val="000000" w:themeColor="text1"/>
          <w:sz w:val="20"/>
          <w:szCs w:val="20"/>
        </w:rPr>
        <w:t xml:space="preserve">, </w:t>
      </w:r>
      <w:r w:rsidR="00BE5C95" w:rsidRPr="00BE5C95">
        <w:rPr>
          <w:color w:val="000000" w:themeColor="text1"/>
          <w:sz w:val="20"/>
          <w:szCs w:val="20"/>
        </w:rPr>
        <w:t>Iraq</w:t>
      </w:r>
      <w:r w:rsidR="00BE5C95">
        <w:rPr>
          <w:color w:val="000000" w:themeColor="text1"/>
          <w:sz w:val="20"/>
          <w:szCs w:val="20"/>
        </w:rPr>
        <w:t xml:space="preserve">, </w:t>
      </w:r>
      <w:r w:rsidR="00BE5C95" w:rsidRPr="00BE5C95">
        <w:rPr>
          <w:color w:val="000000" w:themeColor="text1"/>
          <w:sz w:val="20"/>
          <w:szCs w:val="20"/>
        </w:rPr>
        <w:t>Italy</w:t>
      </w:r>
      <w:r w:rsidR="00BE5C95">
        <w:rPr>
          <w:color w:val="000000" w:themeColor="text1"/>
          <w:sz w:val="20"/>
          <w:szCs w:val="20"/>
        </w:rPr>
        <w:t xml:space="preserve">, </w:t>
      </w:r>
      <w:r w:rsidR="00BE5C95" w:rsidRPr="00BE5C95">
        <w:rPr>
          <w:color w:val="000000" w:themeColor="text1"/>
          <w:sz w:val="20"/>
          <w:szCs w:val="20"/>
        </w:rPr>
        <w:t>Japan</w:t>
      </w:r>
      <w:r w:rsidR="00BE5C95">
        <w:rPr>
          <w:color w:val="000000" w:themeColor="text1"/>
          <w:sz w:val="20"/>
          <w:szCs w:val="20"/>
        </w:rPr>
        <w:t xml:space="preserve">, </w:t>
      </w:r>
      <w:r w:rsidR="00BE5C95" w:rsidRPr="00BE5C95">
        <w:rPr>
          <w:color w:val="000000" w:themeColor="text1"/>
          <w:sz w:val="20"/>
          <w:szCs w:val="20"/>
        </w:rPr>
        <w:t xml:space="preserve">Mexico </w:t>
      </w:r>
      <w:r w:rsidR="00BE5C95">
        <w:rPr>
          <w:color w:val="000000" w:themeColor="text1"/>
          <w:sz w:val="20"/>
          <w:szCs w:val="20"/>
        </w:rPr>
        <w:t xml:space="preserve">(also </w:t>
      </w:r>
      <w:r w:rsidR="00BE5C95" w:rsidRPr="00BE5C95">
        <w:rPr>
          <w:color w:val="000000" w:themeColor="text1"/>
          <w:sz w:val="20"/>
          <w:szCs w:val="20"/>
        </w:rPr>
        <w:t xml:space="preserve">on behalf of </w:t>
      </w:r>
      <w:r w:rsidR="00BE5C95">
        <w:rPr>
          <w:color w:val="000000" w:themeColor="text1"/>
          <w:sz w:val="20"/>
          <w:szCs w:val="20"/>
        </w:rPr>
        <w:t xml:space="preserve">Argentina, Chile, Colombia, Costa Rica, Peru and Uruguay), </w:t>
      </w:r>
      <w:r w:rsidR="00BE5C95" w:rsidRPr="00BE5C95">
        <w:rPr>
          <w:color w:val="000000" w:themeColor="text1"/>
          <w:sz w:val="20"/>
          <w:szCs w:val="20"/>
        </w:rPr>
        <w:t>Nepal</w:t>
      </w:r>
      <w:r w:rsidR="00BE5C95">
        <w:rPr>
          <w:color w:val="000000" w:themeColor="text1"/>
          <w:sz w:val="20"/>
          <w:szCs w:val="20"/>
        </w:rPr>
        <w:t xml:space="preserve">, </w:t>
      </w:r>
      <w:r w:rsidR="00BE5C95" w:rsidRPr="00BE5C95">
        <w:rPr>
          <w:color w:val="000000" w:themeColor="text1"/>
          <w:sz w:val="20"/>
          <w:szCs w:val="20"/>
        </w:rPr>
        <w:t>Nigeria</w:t>
      </w:r>
      <w:r w:rsidR="00BE5C95">
        <w:rPr>
          <w:color w:val="000000" w:themeColor="text1"/>
          <w:sz w:val="20"/>
          <w:szCs w:val="20"/>
        </w:rPr>
        <w:t xml:space="preserve">, </w:t>
      </w:r>
      <w:r w:rsidR="00BE5C95" w:rsidRPr="00BE5C95">
        <w:rPr>
          <w:color w:val="000000" w:themeColor="text1"/>
          <w:sz w:val="20"/>
          <w:szCs w:val="20"/>
        </w:rPr>
        <w:t>Pakistan</w:t>
      </w:r>
      <w:r w:rsidR="00BE5C95">
        <w:rPr>
          <w:color w:val="000000" w:themeColor="text1"/>
          <w:sz w:val="20"/>
          <w:szCs w:val="20"/>
        </w:rPr>
        <w:t xml:space="preserve">, </w:t>
      </w:r>
      <w:r w:rsidR="00BE5C95" w:rsidRPr="00BE5C95">
        <w:rPr>
          <w:color w:val="000000" w:themeColor="text1"/>
          <w:sz w:val="20"/>
          <w:szCs w:val="20"/>
        </w:rPr>
        <w:t>Philippines</w:t>
      </w:r>
      <w:r w:rsidR="00BE5C95">
        <w:rPr>
          <w:color w:val="000000" w:themeColor="text1"/>
          <w:sz w:val="20"/>
          <w:szCs w:val="20"/>
        </w:rPr>
        <w:t xml:space="preserve">, </w:t>
      </w:r>
      <w:r w:rsidR="00BE5C95" w:rsidRPr="00BE5C95">
        <w:rPr>
          <w:color w:val="000000" w:themeColor="text1"/>
          <w:sz w:val="20"/>
          <w:szCs w:val="20"/>
        </w:rPr>
        <w:t>Somalia</w:t>
      </w:r>
      <w:r w:rsidR="00BE5C95">
        <w:rPr>
          <w:color w:val="000000" w:themeColor="text1"/>
          <w:sz w:val="20"/>
          <w:szCs w:val="20"/>
        </w:rPr>
        <w:t xml:space="preserve">, </w:t>
      </w:r>
      <w:r w:rsidR="00BE5C95" w:rsidRPr="00BE5C95">
        <w:rPr>
          <w:color w:val="000000" w:themeColor="text1"/>
          <w:sz w:val="20"/>
          <w:szCs w:val="20"/>
        </w:rPr>
        <w:t>South Africa</w:t>
      </w:r>
      <w:r w:rsidR="00BE5C95">
        <w:rPr>
          <w:color w:val="000000" w:themeColor="text1"/>
          <w:sz w:val="20"/>
          <w:szCs w:val="20"/>
        </w:rPr>
        <w:t xml:space="preserve">, </w:t>
      </w:r>
      <w:r w:rsidR="00BE5C95" w:rsidRPr="00BE5C95">
        <w:rPr>
          <w:color w:val="000000" w:themeColor="text1"/>
          <w:sz w:val="20"/>
          <w:szCs w:val="20"/>
        </w:rPr>
        <w:t>Togo</w:t>
      </w:r>
      <w:r w:rsidR="00BE5C95">
        <w:rPr>
          <w:color w:val="000000" w:themeColor="text1"/>
          <w:sz w:val="20"/>
          <w:szCs w:val="20"/>
        </w:rPr>
        <w:t xml:space="preserve">, </w:t>
      </w:r>
      <w:r w:rsidR="00BE5C95" w:rsidRPr="00BE5C95">
        <w:rPr>
          <w:color w:val="000000" w:themeColor="text1"/>
          <w:sz w:val="20"/>
          <w:szCs w:val="20"/>
        </w:rPr>
        <w:t>Tunisia</w:t>
      </w:r>
      <w:r w:rsidR="00BE5C95">
        <w:rPr>
          <w:color w:val="000000" w:themeColor="text1"/>
          <w:sz w:val="20"/>
          <w:szCs w:val="20"/>
        </w:rPr>
        <w:t xml:space="preserve">, </w:t>
      </w:r>
      <w:r w:rsidR="00BE5C95" w:rsidRPr="00BE5C95">
        <w:rPr>
          <w:color w:val="000000" w:themeColor="text1"/>
          <w:sz w:val="20"/>
          <w:szCs w:val="20"/>
        </w:rPr>
        <w:t>United Kingdom of Great Britain and Northern Ireland</w:t>
      </w:r>
      <w:r w:rsidR="00BE5C95">
        <w:rPr>
          <w:color w:val="000000" w:themeColor="text1"/>
          <w:sz w:val="20"/>
          <w:szCs w:val="20"/>
        </w:rPr>
        <w:t xml:space="preserve">, </w:t>
      </w:r>
      <w:r w:rsidR="00BE5C95" w:rsidRPr="00BE5C95">
        <w:rPr>
          <w:color w:val="000000" w:themeColor="text1"/>
          <w:sz w:val="20"/>
          <w:szCs w:val="20"/>
        </w:rPr>
        <w:t>Uruguay</w:t>
      </w:r>
      <w:r w:rsidRPr="0067399B">
        <w:rPr>
          <w:color w:val="000000" w:themeColor="text1"/>
          <w:sz w:val="20"/>
          <w:szCs w:val="20"/>
        </w:rPr>
        <w:t>;</w:t>
      </w:r>
    </w:p>
    <w:p w14:paraId="6E0A56AA" w14:textId="70EE89CB" w:rsidR="00DB482B" w:rsidRPr="0067399B" w:rsidRDefault="00DB482B" w:rsidP="00DB482B">
      <w:pPr>
        <w:spacing w:after="120"/>
        <w:ind w:left="1134" w:right="1134" w:firstLine="567"/>
        <w:jc w:val="both"/>
        <w:rPr>
          <w:color w:val="000000" w:themeColor="text1"/>
          <w:sz w:val="20"/>
          <w:szCs w:val="20"/>
        </w:rPr>
      </w:pPr>
      <w:r w:rsidRPr="0067399B">
        <w:rPr>
          <w:color w:val="000000" w:themeColor="text1"/>
          <w:sz w:val="20"/>
          <w:szCs w:val="20"/>
        </w:rPr>
        <w:lastRenderedPageBreak/>
        <w:t>(b)</w:t>
      </w:r>
      <w:r w:rsidRPr="0067399B">
        <w:rPr>
          <w:color w:val="000000" w:themeColor="text1"/>
          <w:sz w:val="20"/>
          <w:szCs w:val="20"/>
        </w:rPr>
        <w:tab/>
        <w:t>Repr</w:t>
      </w:r>
      <w:r w:rsidR="00BE5C95">
        <w:rPr>
          <w:color w:val="000000" w:themeColor="text1"/>
          <w:sz w:val="20"/>
          <w:szCs w:val="20"/>
        </w:rPr>
        <w:t xml:space="preserve">esentatives of observer States: </w:t>
      </w:r>
      <w:r w:rsidR="00BE5C95" w:rsidRPr="00BE5C95">
        <w:rPr>
          <w:color w:val="000000" w:themeColor="text1"/>
          <w:sz w:val="20"/>
          <w:szCs w:val="20"/>
        </w:rPr>
        <w:t>Algeria</w:t>
      </w:r>
      <w:r w:rsidR="00BE5C95">
        <w:rPr>
          <w:color w:val="000000" w:themeColor="text1"/>
          <w:sz w:val="20"/>
          <w:szCs w:val="20"/>
        </w:rPr>
        <w:t xml:space="preserve">, </w:t>
      </w:r>
      <w:r w:rsidR="00BE5C95" w:rsidRPr="00BE5C95">
        <w:rPr>
          <w:color w:val="000000" w:themeColor="text1"/>
          <w:sz w:val="20"/>
          <w:szCs w:val="20"/>
        </w:rPr>
        <w:t>Azerbaijan</w:t>
      </w:r>
      <w:r w:rsidR="00BE5C95">
        <w:rPr>
          <w:color w:val="000000" w:themeColor="text1"/>
          <w:sz w:val="20"/>
          <w:szCs w:val="20"/>
        </w:rPr>
        <w:t>,</w:t>
      </w:r>
      <w:r w:rsidR="00BE5C95" w:rsidRPr="00BE5C95">
        <w:rPr>
          <w:color w:val="000000" w:themeColor="text1"/>
          <w:sz w:val="20"/>
          <w:szCs w:val="20"/>
        </w:rPr>
        <w:t xml:space="preserve"> Botswana</w:t>
      </w:r>
      <w:r w:rsidR="00BE5C95">
        <w:rPr>
          <w:color w:val="000000" w:themeColor="text1"/>
          <w:sz w:val="20"/>
          <w:szCs w:val="20"/>
        </w:rPr>
        <w:t>,</w:t>
      </w:r>
      <w:r w:rsidR="00BE5C95" w:rsidRPr="00BE5C95">
        <w:rPr>
          <w:color w:val="000000" w:themeColor="text1"/>
          <w:sz w:val="20"/>
          <w:szCs w:val="20"/>
        </w:rPr>
        <w:t xml:space="preserve"> Costa Rica</w:t>
      </w:r>
      <w:r w:rsidR="00BE5C95">
        <w:rPr>
          <w:color w:val="000000" w:themeColor="text1"/>
          <w:sz w:val="20"/>
          <w:szCs w:val="20"/>
        </w:rPr>
        <w:t xml:space="preserve">, </w:t>
      </w:r>
      <w:r w:rsidR="00BE5C95" w:rsidRPr="00BE5C95">
        <w:rPr>
          <w:color w:val="000000" w:themeColor="text1"/>
          <w:sz w:val="20"/>
          <w:szCs w:val="20"/>
        </w:rPr>
        <w:t>Djibouti</w:t>
      </w:r>
      <w:r w:rsidR="00BE5C95">
        <w:rPr>
          <w:color w:val="000000" w:themeColor="text1"/>
          <w:sz w:val="20"/>
          <w:szCs w:val="20"/>
        </w:rPr>
        <w:t xml:space="preserve">, </w:t>
      </w:r>
      <w:r w:rsidR="00BE5C95" w:rsidRPr="00BE5C95">
        <w:rPr>
          <w:color w:val="000000" w:themeColor="text1"/>
          <w:sz w:val="20"/>
          <w:szCs w:val="20"/>
        </w:rPr>
        <w:t>El Salvador</w:t>
      </w:r>
      <w:r w:rsidR="00BE5C95">
        <w:rPr>
          <w:color w:val="000000" w:themeColor="text1"/>
          <w:sz w:val="20"/>
          <w:szCs w:val="20"/>
        </w:rPr>
        <w:t xml:space="preserve">, </w:t>
      </w:r>
      <w:r w:rsidR="00BE5C95" w:rsidRPr="00BE5C95">
        <w:rPr>
          <w:color w:val="000000" w:themeColor="text1"/>
          <w:sz w:val="20"/>
          <w:szCs w:val="20"/>
        </w:rPr>
        <w:t>Estonia</w:t>
      </w:r>
      <w:r w:rsidR="00BE5C95">
        <w:rPr>
          <w:color w:val="000000" w:themeColor="text1"/>
          <w:sz w:val="20"/>
          <w:szCs w:val="20"/>
        </w:rPr>
        <w:t xml:space="preserve">, </w:t>
      </w:r>
      <w:r w:rsidR="00BE5C95" w:rsidRPr="00BE5C95">
        <w:rPr>
          <w:color w:val="000000" w:themeColor="text1"/>
          <w:sz w:val="20"/>
          <w:szCs w:val="20"/>
        </w:rPr>
        <w:t>Finland</w:t>
      </w:r>
      <w:r w:rsidR="00BE5C95">
        <w:rPr>
          <w:color w:val="000000" w:themeColor="text1"/>
          <w:sz w:val="20"/>
          <w:szCs w:val="20"/>
        </w:rPr>
        <w:t xml:space="preserve">, </w:t>
      </w:r>
      <w:r w:rsidR="00BE5C95" w:rsidRPr="00BE5C95">
        <w:rPr>
          <w:color w:val="000000" w:themeColor="text1"/>
          <w:sz w:val="20"/>
          <w:szCs w:val="20"/>
        </w:rPr>
        <w:t>Georgia</w:t>
      </w:r>
      <w:r w:rsidR="00BE5C95">
        <w:rPr>
          <w:color w:val="000000" w:themeColor="text1"/>
          <w:sz w:val="20"/>
          <w:szCs w:val="20"/>
        </w:rPr>
        <w:t xml:space="preserve">, </w:t>
      </w:r>
      <w:r w:rsidR="00BE5C95" w:rsidRPr="00BE5C95">
        <w:rPr>
          <w:color w:val="000000" w:themeColor="text1"/>
          <w:sz w:val="20"/>
          <w:szCs w:val="20"/>
        </w:rPr>
        <w:t>Indonesia</w:t>
      </w:r>
      <w:r w:rsidR="00BE5C95">
        <w:rPr>
          <w:color w:val="000000" w:themeColor="text1"/>
          <w:sz w:val="20"/>
          <w:szCs w:val="20"/>
        </w:rPr>
        <w:t xml:space="preserve">, </w:t>
      </w:r>
      <w:r w:rsidR="00BE5C95" w:rsidRPr="00BE5C95">
        <w:rPr>
          <w:color w:val="000000" w:themeColor="text1"/>
          <w:sz w:val="20"/>
          <w:szCs w:val="20"/>
        </w:rPr>
        <w:t>Iran (Islamic Republic of)</w:t>
      </w:r>
      <w:r w:rsidR="00BE5C95">
        <w:rPr>
          <w:color w:val="000000" w:themeColor="text1"/>
          <w:sz w:val="20"/>
          <w:szCs w:val="20"/>
        </w:rPr>
        <w:t xml:space="preserve">, </w:t>
      </w:r>
      <w:r w:rsidR="00BE5C95" w:rsidRPr="00BE5C95">
        <w:rPr>
          <w:color w:val="000000" w:themeColor="text1"/>
          <w:sz w:val="20"/>
          <w:szCs w:val="20"/>
        </w:rPr>
        <w:t>Israel</w:t>
      </w:r>
      <w:r w:rsidR="00BE5C95">
        <w:rPr>
          <w:color w:val="000000" w:themeColor="text1"/>
          <w:sz w:val="20"/>
          <w:szCs w:val="20"/>
        </w:rPr>
        <w:t xml:space="preserve">, </w:t>
      </w:r>
      <w:r w:rsidR="00BE5C95" w:rsidRPr="00BE5C95">
        <w:rPr>
          <w:color w:val="000000" w:themeColor="text1"/>
          <w:sz w:val="20"/>
          <w:szCs w:val="20"/>
        </w:rPr>
        <w:t>Jordan</w:t>
      </w:r>
      <w:r w:rsidR="00BE5C95">
        <w:rPr>
          <w:color w:val="000000" w:themeColor="text1"/>
          <w:sz w:val="20"/>
          <w:szCs w:val="20"/>
        </w:rPr>
        <w:t xml:space="preserve">, </w:t>
      </w:r>
      <w:r w:rsidR="00BE5C95" w:rsidRPr="00BE5C95">
        <w:rPr>
          <w:color w:val="000000" w:themeColor="text1"/>
          <w:sz w:val="20"/>
          <w:szCs w:val="20"/>
        </w:rPr>
        <w:t>Libya</w:t>
      </w:r>
      <w:r w:rsidR="00BE5C95">
        <w:rPr>
          <w:color w:val="000000" w:themeColor="text1"/>
          <w:sz w:val="20"/>
          <w:szCs w:val="20"/>
        </w:rPr>
        <w:t xml:space="preserve">, </w:t>
      </w:r>
      <w:r w:rsidR="00BE5C95" w:rsidRPr="00BE5C95">
        <w:rPr>
          <w:color w:val="000000" w:themeColor="text1"/>
          <w:sz w:val="20"/>
          <w:szCs w:val="20"/>
        </w:rPr>
        <w:t>Malaysia</w:t>
      </w:r>
      <w:r w:rsidR="00BE5C95">
        <w:rPr>
          <w:color w:val="000000" w:themeColor="text1"/>
          <w:sz w:val="20"/>
          <w:szCs w:val="20"/>
        </w:rPr>
        <w:t xml:space="preserve">, </w:t>
      </w:r>
      <w:r w:rsidR="00BE5C95" w:rsidRPr="00BE5C95">
        <w:rPr>
          <w:color w:val="000000" w:themeColor="text1"/>
          <w:sz w:val="20"/>
          <w:szCs w:val="20"/>
        </w:rPr>
        <w:t>Malta</w:t>
      </w:r>
      <w:r w:rsidR="00BE5C95">
        <w:rPr>
          <w:color w:val="000000" w:themeColor="text1"/>
          <w:sz w:val="20"/>
          <w:szCs w:val="20"/>
        </w:rPr>
        <w:t xml:space="preserve">, </w:t>
      </w:r>
      <w:r w:rsidR="00BE5C95" w:rsidRPr="00BE5C95">
        <w:rPr>
          <w:color w:val="000000" w:themeColor="text1"/>
          <w:sz w:val="20"/>
          <w:szCs w:val="20"/>
        </w:rPr>
        <w:t>Morocco</w:t>
      </w:r>
      <w:r w:rsidR="00BE5C95">
        <w:rPr>
          <w:color w:val="000000" w:themeColor="text1"/>
          <w:sz w:val="20"/>
          <w:szCs w:val="20"/>
        </w:rPr>
        <w:t xml:space="preserve">, </w:t>
      </w:r>
      <w:r w:rsidR="00BE5C95" w:rsidRPr="00BE5C95">
        <w:rPr>
          <w:color w:val="000000" w:themeColor="text1"/>
          <w:sz w:val="20"/>
          <w:szCs w:val="20"/>
        </w:rPr>
        <w:t>New Zealand</w:t>
      </w:r>
      <w:r w:rsidR="00BE5C95">
        <w:rPr>
          <w:color w:val="000000" w:themeColor="text1"/>
          <w:sz w:val="20"/>
          <w:szCs w:val="20"/>
        </w:rPr>
        <w:t xml:space="preserve">, </w:t>
      </w:r>
      <w:r w:rsidR="00BE5C95" w:rsidRPr="00BE5C95">
        <w:rPr>
          <w:color w:val="000000" w:themeColor="text1"/>
          <w:sz w:val="20"/>
          <w:szCs w:val="20"/>
        </w:rPr>
        <w:t>Paraguay</w:t>
      </w:r>
      <w:r w:rsidR="00BE5C95">
        <w:rPr>
          <w:color w:val="000000" w:themeColor="text1"/>
          <w:sz w:val="20"/>
          <w:szCs w:val="20"/>
        </w:rPr>
        <w:t xml:space="preserve">, </w:t>
      </w:r>
      <w:r w:rsidR="00BE5C95" w:rsidRPr="00BE5C95">
        <w:rPr>
          <w:color w:val="000000" w:themeColor="text1"/>
          <w:sz w:val="20"/>
          <w:szCs w:val="20"/>
        </w:rPr>
        <w:t>Portugal</w:t>
      </w:r>
      <w:r w:rsidR="00BE5C95">
        <w:rPr>
          <w:color w:val="000000" w:themeColor="text1"/>
          <w:sz w:val="20"/>
          <w:szCs w:val="20"/>
        </w:rPr>
        <w:t xml:space="preserve">, </w:t>
      </w:r>
      <w:r w:rsidR="00BE5C95" w:rsidRPr="00BE5C95">
        <w:rPr>
          <w:color w:val="000000" w:themeColor="text1"/>
          <w:sz w:val="20"/>
          <w:szCs w:val="20"/>
        </w:rPr>
        <w:t>Sudan</w:t>
      </w:r>
      <w:r w:rsidR="00BE5C95">
        <w:rPr>
          <w:color w:val="000000" w:themeColor="text1"/>
          <w:sz w:val="20"/>
          <w:szCs w:val="20"/>
        </w:rPr>
        <w:t xml:space="preserve">, </w:t>
      </w:r>
      <w:r w:rsidR="00BE5C95" w:rsidRPr="00BE5C95">
        <w:rPr>
          <w:color w:val="000000" w:themeColor="text1"/>
          <w:sz w:val="20"/>
          <w:szCs w:val="20"/>
        </w:rPr>
        <w:t>Thailand</w:t>
      </w:r>
      <w:r w:rsidR="00BE5C95">
        <w:rPr>
          <w:color w:val="000000" w:themeColor="text1"/>
          <w:sz w:val="20"/>
          <w:szCs w:val="20"/>
        </w:rPr>
        <w:t xml:space="preserve">, </w:t>
      </w:r>
      <w:r w:rsidR="00BE5C95" w:rsidRPr="00BE5C95">
        <w:rPr>
          <w:color w:val="000000" w:themeColor="text1"/>
          <w:sz w:val="20"/>
          <w:szCs w:val="20"/>
        </w:rPr>
        <w:t>United Republic of Tanzania</w:t>
      </w:r>
      <w:r w:rsidR="00BE5C95">
        <w:rPr>
          <w:color w:val="000000" w:themeColor="text1"/>
          <w:sz w:val="20"/>
          <w:szCs w:val="20"/>
        </w:rPr>
        <w:t xml:space="preserve">, </w:t>
      </w:r>
      <w:r w:rsidR="00BE5C95" w:rsidRPr="00BE5C95">
        <w:rPr>
          <w:color w:val="000000" w:themeColor="text1"/>
          <w:sz w:val="20"/>
          <w:szCs w:val="20"/>
        </w:rPr>
        <w:t>Venezuela (Bolivarian Republic of)</w:t>
      </w:r>
      <w:r w:rsidRPr="0067399B">
        <w:rPr>
          <w:color w:val="000000" w:themeColor="text1"/>
          <w:sz w:val="20"/>
          <w:szCs w:val="20"/>
        </w:rPr>
        <w:t>;</w:t>
      </w:r>
    </w:p>
    <w:p w14:paraId="1DABAFCC" w14:textId="1B76C854" w:rsidR="00DB482B" w:rsidRPr="0067399B" w:rsidRDefault="00DB482B" w:rsidP="00DB482B">
      <w:pPr>
        <w:spacing w:after="120"/>
        <w:ind w:left="1134" w:right="1134" w:firstLine="567"/>
        <w:jc w:val="both"/>
        <w:rPr>
          <w:color w:val="000000" w:themeColor="text1"/>
          <w:sz w:val="20"/>
          <w:szCs w:val="20"/>
        </w:rPr>
      </w:pPr>
      <w:r w:rsidRPr="0067399B">
        <w:rPr>
          <w:color w:val="000000" w:themeColor="text1"/>
          <w:sz w:val="20"/>
          <w:szCs w:val="20"/>
        </w:rPr>
        <w:t>(c)</w:t>
      </w:r>
      <w:r w:rsidRPr="0067399B">
        <w:rPr>
          <w:color w:val="000000" w:themeColor="text1"/>
          <w:sz w:val="20"/>
          <w:szCs w:val="20"/>
        </w:rPr>
        <w:tab/>
      </w:r>
      <w:r w:rsidR="006D07E0" w:rsidRPr="006D07E0">
        <w:rPr>
          <w:color w:val="000000" w:themeColor="text1"/>
          <w:sz w:val="20"/>
          <w:szCs w:val="20"/>
        </w:rPr>
        <w:t>Observer for United Nations entities, specialized agencies and related</w:t>
      </w:r>
      <w:r w:rsidR="006D07E0">
        <w:rPr>
          <w:color w:val="000000" w:themeColor="text1"/>
          <w:sz w:val="20"/>
          <w:szCs w:val="20"/>
        </w:rPr>
        <w:t xml:space="preserve"> </w:t>
      </w:r>
      <w:r w:rsidR="006D07E0" w:rsidRPr="006D07E0">
        <w:rPr>
          <w:color w:val="000000" w:themeColor="text1"/>
          <w:sz w:val="20"/>
          <w:szCs w:val="20"/>
        </w:rPr>
        <w:t>organizations</w:t>
      </w:r>
      <w:r w:rsidRPr="0067399B">
        <w:rPr>
          <w:color w:val="000000" w:themeColor="text1"/>
          <w:sz w:val="20"/>
          <w:szCs w:val="20"/>
        </w:rPr>
        <w:t>: United Nations Children</w:t>
      </w:r>
      <w:r w:rsidR="00D72627">
        <w:rPr>
          <w:color w:val="000000" w:themeColor="text1"/>
          <w:sz w:val="20"/>
          <w:szCs w:val="20"/>
        </w:rPr>
        <w:t>’</w:t>
      </w:r>
      <w:r w:rsidRPr="0067399B">
        <w:rPr>
          <w:color w:val="000000" w:themeColor="text1"/>
          <w:sz w:val="20"/>
          <w:szCs w:val="20"/>
        </w:rPr>
        <w:t>s Fund (UNICEF);</w:t>
      </w:r>
    </w:p>
    <w:p w14:paraId="5E83D849" w14:textId="1DB4CDB5" w:rsidR="00DB482B" w:rsidRDefault="00DB482B" w:rsidP="00DB482B">
      <w:pPr>
        <w:spacing w:after="120"/>
        <w:ind w:left="1134" w:right="1134" w:firstLine="567"/>
        <w:jc w:val="both"/>
        <w:rPr>
          <w:color w:val="000000" w:themeColor="text1"/>
          <w:sz w:val="20"/>
          <w:szCs w:val="20"/>
        </w:rPr>
      </w:pPr>
      <w:r w:rsidRPr="0067399B">
        <w:rPr>
          <w:color w:val="000000" w:themeColor="text1"/>
          <w:sz w:val="20"/>
          <w:szCs w:val="20"/>
        </w:rPr>
        <w:t>(d)</w:t>
      </w:r>
      <w:r w:rsidRPr="0067399B">
        <w:rPr>
          <w:color w:val="000000" w:themeColor="text1"/>
          <w:sz w:val="20"/>
          <w:szCs w:val="20"/>
        </w:rPr>
        <w:tab/>
        <w:t>Observer for an intergovernmental organization: European Union;</w:t>
      </w:r>
    </w:p>
    <w:p w14:paraId="7F42E530" w14:textId="7903E08A" w:rsidR="00DA700C" w:rsidRPr="0067399B" w:rsidRDefault="00DA700C" w:rsidP="00DA700C">
      <w:pPr>
        <w:pStyle w:val="SingleTxtG"/>
        <w:ind w:firstLine="567"/>
        <w:rPr>
          <w:color w:val="000000" w:themeColor="text1"/>
          <w:sz w:val="20"/>
          <w:szCs w:val="20"/>
        </w:rPr>
      </w:pPr>
      <w:r w:rsidRPr="0067399B">
        <w:rPr>
          <w:color w:val="000000" w:themeColor="text1"/>
          <w:sz w:val="20"/>
          <w:szCs w:val="20"/>
        </w:rPr>
        <w:t>(</w:t>
      </w:r>
      <w:r>
        <w:rPr>
          <w:color w:val="000000" w:themeColor="text1"/>
          <w:sz w:val="20"/>
          <w:szCs w:val="20"/>
        </w:rPr>
        <w:t>e</w:t>
      </w:r>
      <w:r w:rsidRPr="0067399B">
        <w:rPr>
          <w:color w:val="000000" w:themeColor="text1"/>
          <w:sz w:val="20"/>
          <w:szCs w:val="20"/>
        </w:rPr>
        <w:t>)</w:t>
      </w:r>
      <w:r w:rsidRPr="0067399B">
        <w:rPr>
          <w:color w:val="000000" w:themeColor="text1"/>
          <w:sz w:val="20"/>
          <w:szCs w:val="20"/>
        </w:rPr>
        <w:tab/>
        <w:t>Observer for a national human rights institution:</w:t>
      </w:r>
      <w:r w:rsidR="00644A7F">
        <w:rPr>
          <w:color w:val="000000" w:themeColor="text1"/>
          <w:sz w:val="20"/>
          <w:szCs w:val="20"/>
        </w:rPr>
        <w:t xml:space="preserve"> </w:t>
      </w:r>
      <w:r w:rsidR="00644A7F" w:rsidRPr="00644A7F">
        <w:rPr>
          <w:color w:val="000000" w:themeColor="text1"/>
          <w:sz w:val="20"/>
          <w:szCs w:val="20"/>
        </w:rPr>
        <w:t>Office for the Protection of Citizens</w:t>
      </w:r>
      <w:r w:rsidR="00644A7F">
        <w:rPr>
          <w:color w:val="000000" w:themeColor="text1"/>
          <w:sz w:val="20"/>
          <w:szCs w:val="20"/>
        </w:rPr>
        <w:t xml:space="preserve"> of Haiti</w:t>
      </w:r>
      <w:r w:rsidRPr="00644A7F">
        <w:rPr>
          <w:color w:val="000000" w:themeColor="text1"/>
          <w:sz w:val="20"/>
          <w:szCs w:val="20"/>
        </w:rPr>
        <w:t>;</w:t>
      </w:r>
      <w:r w:rsidRPr="0067399B">
        <w:rPr>
          <w:color w:val="000000" w:themeColor="text1"/>
          <w:sz w:val="20"/>
          <w:szCs w:val="20"/>
        </w:rPr>
        <w:t xml:space="preserve"> </w:t>
      </w:r>
    </w:p>
    <w:p w14:paraId="030D44AF" w14:textId="2DBED379" w:rsidR="00DB482B" w:rsidRPr="0067399B" w:rsidRDefault="00DA700C" w:rsidP="00DB482B">
      <w:pPr>
        <w:spacing w:after="120"/>
        <w:ind w:left="1134" w:right="1134" w:firstLine="567"/>
        <w:jc w:val="both"/>
        <w:rPr>
          <w:color w:val="000000" w:themeColor="text1"/>
          <w:sz w:val="20"/>
          <w:szCs w:val="20"/>
        </w:rPr>
      </w:pPr>
      <w:r>
        <w:rPr>
          <w:color w:val="000000" w:themeColor="text1"/>
          <w:sz w:val="20"/>
          <w:szCs w:val="20"/>
        </w:rPr>
        <w:t>(f</w:t>
      </w:r>
      <w:r w:rsidR="00DB482B" w:rsidRPr="0067399B">
        <w:rPr>
          <w:color w:val="000000" w:themeColor="text1"/>
          <w:sz w:val="20"/>
          <w:szCs w:val="20"/>
        </w:rPr>
        <w:t>)</w:t>
      </w:r>
      <w:r w:rsidR="00DB482B" w:rsidRPr="0067399B">
        <w:rPr>
          <w:color w:val="000000" w:themeColor="text1"/>
          <w:sz w:val="20"/>
          <w:szCs w:val="20"/>
        </w:rPr>
        <w:tab/>
        <w:t xml:space="preserve">Observers for non-governmental organizations: </w:t>
      </w:r>
      <w:r w:rsidR="004A7D74" w:rsidRPr="004A7D74">
        <w:rPr>
          <w:color w:val="000000" w:themeColor="text1"/>
          <w:sz w:val="20"/>
          <w:szCs w:val="20"/>
        </w:rPr>
        <w:t>Action Canada for Population and Development</w:t>
      </w:r>
      <w:r w:rsidR="004A7D74">
        <w:rPr>
          <w:color w:val="000000" w:themeColor="text1"/>
          <w:sz w:val="20"/>
          <w:szCs w:val="20"/>
        </w:rPr>
        <w:t xml:space="preserve">; </w:t>
      </w:r>
      <w:r w:rsidR="004A7D74" w:rsidRPr="004A7D74">
        <w:rPr>
          <w:color w:val="000000" w:themeColor="text1"/>
          <w:sz w:val="20"/>
          <w:szCs w:val="20"/>
        </w:rPr>
        <w:t>Alsalam Foundation</w:t>
      </w:r>
      <w:r w:rsidR="004A7D74">
        <w:rPr>
          <w:color w:val="000000" w:themeColor="text1"/>
          <w:sz w:val="20"/>
          <w:szCs w:val="20"/>
        </w:rPr>
        <w:t xml:space="preserve">; </w:t>
      </w:r>
      <w:r w:rsidR="004A7D74" w:rsidRPr="004A7D74">
        <w:rPr>
          <w:color w:val="000000" w:themeColor="text1"/>
          <w:sz w:val="20"/>
          <w:szCs w:val="20"/>
        </w:rPr>
        <w:t>Americans for Democracy &amp; Human Rights in Bahrain Inc</w:t>
      </w:r>
      <w:r w:rsidR="004A7D74">
        <w:rPr>
          <w:color w:val="000000" w:themeColor="text1"/>
          <w:sz w:val="20"/>
          <w:szCs w:val="20"/>
        </w:rPr>
        <w:t xml:space="preserve">; </w:t>
      </w:r>
      <w:r w:rsidR="004A7D74" w:rsidRPr="004A7D74">
        <w:rPr>
          <w:color w:val="000000" w:themeColor="text1"/>
          <w:sz w:val="20"/>
          <w:szCs w:val="20"/>
        </w:rPr>
        <w:t>Asociacion Cubana de las Naciones Unidas (Cuban United Nations Association)</w:t>
      </w:r>
      <w:r w:rsidR="004A7D74">
        <w:rPr>
          <w:color w:val="000000" w:themeColor="text1"/>
          <w:sz w:val="20"/>
          <w:szCs w:val="20"/>
        </w:rPr>
        <w:t xml:space="preserve">; </w:t>
      </w:r>
      <w:r w:rsidR="004A7D74" w:rsidRPr="004A7D74">
        <w:rPr>
          <w:color w:val="000000" w:themeColor="text1"/>
          <w:sz w:val="20"/>
          <w:szCs w:val="20"/>
        </w:rPr>
        <w:t>China Society for Human Rights Studies (CSHRS)</w:t>
      </w:r>
      <w:r w:rsidR="004A7D74">
        <w:rPr>
          <w:color w:val="000000" w:themeColor="text1"/>
          <w:sz w:val="20"/>
          <w:szCs w:val="20"/>
        </w:rPr>
        <w:t xml:space="preserve">; </w:t>
      </w:r>
      <w:r w:rsidR="004A7D74" w:rsidRPr="004A7D74">
        <w:rPr>
          <w:color w:val="000000" w:themeColor="text1"/>
          <w:sz w:val="20"/>
          <w:szCs w:val="20"/>
        </w:rPr>
        <w:t>Indigenous People of Africa Coordinating Committee</w:t>
      </w:r>
      <w:r w:rsidR="004A7D74">
        <w:rPr>
          <w:color w:val="000000" w:themeColor="text1"/>
          <w:sz w:val="20"/>
          <w:szCs w:val="20"/>
        </w:rPr>
        <w:t xml:space="preserve">; </w:t>
      </w:r>
      <w:r w:rsidR="004A7D74" w:rsidRPr="004A7D74">
        <w:rPr>
          <w:color w:val="000000" w:themeColor="text1"/>
          <w:sz w:val="20"/>
          <w:szCs w:val="20"/>
        </w:rPr>
        <w:t>Iraqi Development Organization</w:t>
      </w:r>
      <w:r w:rsidR="004A7D74">
        <w:rPr>
          <w:color w:val="000000" w:themeColor="text1"/>
          <w:sz w:val="20"/>
          <w:szCs w:val="20"/>
        </w:rPr>
        <w:t xml:space="preserve">; </w:t>
      </w:r>
      <w:r w:rsidR="004A7D74" w:rsidRPr="004A7D74">
        <w:rPr>
          <w:color w:val="000000" w:themeColor="text1"/>
          <w:sz w:val="20"/>
          <w:szCs w:val="20"/>
        </w:rPr>
        <w:t>Mbororo Social and Cultural Development Association</w:t>
      </w:r>
      <w:r w:rsidR="004A7D74">
        <w:rPr>
          <w:color w:val="000000" w:themeColor="text1"/>
          <w:sz w:val="20"/>
          <w:szCs w:val="20"/>
        </w:rPr>
        <w:t xml:space="preserve">; </w:t>
      </w:r>
      <w:r w:rsidR="004A7D74" w:rsidRPr="004A7D74">
        <w:rPr>
          <w:color w:val="000000" w:themeColor="text1"/>
          <w:sz w:val="20"/>
          <w:szCs w:val="20"/>
        </w:rPr>
        <w:t>Prahar</w:t>
      </w:r>
      <w:r w:rsidR="004A7D74">
        <w:rPr>
          <w:color w:val="000000" w:themeColor="text1"/>
          <w:sz w:val="20"/>
          <w:szCs w:val="20"/>
        </w:rPr>
        <w:t xml:space="preserve">; </w:t>
      </w:r>
      <w:r w:rsidR="004A7D74" w:rsidRPr="004A7D74">
        <w:rPr>
          <w:color w:val="000000" w:themeColor="text1"/>
          <w:sz w:val="20"/>
          <w:szCs w:val="20"/>
        </w:rPr>
        <w:t>Rencontre Africaine pour la defense des droits de l</w:t>
      </w:r>
      <w:r w:rsidR="00D72627">
        <w:rPr>
          <w:color w:val="000000" w:themeColor="text1"/>
          <w:sz w:val="20"/>
          <w:szCs w:val="20"/>
        </w:rPr>
        <w:t>’</w:t>
      </w:r>
      <w:r w:rsidR="004A7D74" w:rsidRPr="004A7D74">
        <w:rPr>
          <w:color w:val="000000" w:themeColor="text1"/>
          <w:sz w:val="20"/>
          <w:szCs w:val="20"/>
        </w:rPr>
        <w:t>homme</w:t>
      </w:r>
      <w:r w:rsidR="004A7D74">
        <w:rPr>
          <w:color w:val="000000" w:themeColor="text1"/>
          <w:sz w:val="20"/>
          <w:szCs w:val="20"/>
        </w:rPr>
        <w:t xml:space="preserve">; </w:t>
      </w:r>
      <w:r w:rsidR="004A7D74" w:rsidRPr="004A7D74">
        <w:rPr>
          <w:color w:val="000000" w:themeColor="text1"/>
          <w:sz w:val="20"/>
          <w:szCs w:val="20"/>
        </w:rPr>
        <w:t>World Barua Organization (WBO)</w:t>
      </w:r>
      <w:r w:rsidR="00DB482B" w:rsidRPr="0067399B">
        <w:rPr>
          <w:color w:val="000000" w:themeColor="text1"/>
          <w:sz w:val="20"/>
          <w:szCs w:val="20"/>
        </w:rPr>
        <w:t xml:space="preserve">. </w:t>
      </w:r>
    </w:p>
    <w:p w14:paraId="2F10B116" w14:textId="23CEB30A" w:rsidR="00DB482B" w:rsidRPr="0067399B" w:rsidRDefault="002B4AE4" w:rsidP="00DB482B">
      <w:pPr>
        <w:pStyle w:val="SingleTxtG"/>
        <w:rPr>
          <w:color w:val="000000" w:themeColor="text1"/>
          <w:sz w:val="20"/>
          <w:szCs w:val="20"/>
        </w:rPr>
      </w:pPr>
      <w:r>
        <w:rPr>
          <w:color w:val="000000" w:themeColor="text1"/>
          <w:sz w:val="20"/>
          <w:szCs w:val="20"/>
        </w:rPr>
        <w:t>167</w:t>
      </w:r>
      <w:r w:rsidR="00DB482B" w:rsidRPr="0067399B">
        <w:rPr>
          <w:color w:val="000000" w:themeColor="text1"/>
          <w:sz w:val="20"/>
          <w:szCs w:val="20"/>
        </w:rPr>
        <w:t>.</w:t>
      </w:r>
      <w:r w:rsidR="00DB482B" w:rsidRPr="0067399B">
        <w:rPr>
          <w:color w:val="000000" w:themeColor="text1"/>
          <w:sz w:val="20"/>
          <w:szCs w:val="20"/>
        </w:rPr>
        <w:tab/>
        <w:t xml:space="preserve">At the </w:t>
      </w:r>
      <w:r w:rsidR="006E69BF">
        <w:rPr>
          <w:color w:val="000000" w:themeColor="text1"/>
          <w:sz w:val="20"/>
          <w:szCs w:val="20"/>
        </w:rPr>
        <w:t>20th</w:t>
      </w:r>
      <w:r w:rsidR="00DB482B" w:rsidRPr="0067399B">
        <w:rPr>
          <w:color w:val="000000" w:themeColor="text1"/>
          <w:sz w:val="20"/>
          <w:szCs w:val="20"/>
        </w:rPr>
        <w:t xml:space="preserve"> </w:t>
      </w:r>
      <w:r w:rsidR="006E69BF">
        <w:rPr>
          <w:color w:val="000000" w:themeColor="text1"/>
          <w:sz w:val="20"/>
          <w:szCs w:val="20"/>
        </w:rPr>
        <w:t xml:space="preserve">and 21st </w:t>
      </w:r>
      <w:r w:rsidR="00DB482B" w:rsidRPr="0067399B">
        <w:rPr>
          <w:color w:val="000000" w:themeColor="text1"/>
          <w:sz w:val="20"/>
          <w:szCs w:val="20"/>
        </w:rPr>
        <w:t>meeting</w:t>
      </w:r>
      <w:r w:rsidR="006E69BF">
        <w:rPr>
          <w:color w:val="000000" w:themeColor="text1"/>
          <w:sz w:val="20"/>
          <w:szCs w:val="20"/>
        </w:rPr>
        <w:t>s</w:t>
      </w:r>
      <w:r w:rsidR="00DB482B" w:rsidRPr="0067399B">
        <w:rPr>
          <w:color w:val="000000" w:themeColor="text1"/>
          <w:sz w:val="20"/>
          <w:szCs w:val="20"/>
        </w:rPr>
        <w:t xml:space="preserve">, </w:t>
      </w:r>
      <w:r w:rsidR="006E69BF">
        <w:rPr>
          <w:color w:val="000000" w:themeColor="text1"/>
          <w:sz w:val="20"/>
          <w:szCs w:val="20"/>
        </w:rPr>
        <w:t xml:space="preserve">on the same day, </w:t>
      </w:r>
      <w:r w:rsidR="00DB482B" w:rsidRPr="0067399B">
        <w:rPr>
          <w:color w:val="000000" w:themeColor="text1"/>
          <w:sz w:val="20"/>
          <w:szCs w:val="20"/>
        </w:rPr>
        <w:t>the Special Rapporteur answered questions and made her concluding remarks.</w:t>
      </w:r>
    </w:p>
    <w:p w14:paraId="2E6665B9" w14:textId="77777777" w:rsidR="00DB482B" w:rsidRPr="0067399B" w:rsidRDefault="00DB482B" w:rsidP="00DB482B">
      <w:pPr>
        <w:pStyle w:val="H23G"/>
        <w:rPr>
          <w:color w:val="000000" w:themeColor="text1"/>
          <w:sz w:val="20"/>
          <w:szCs w:val="20"/>
        </w:rPr>
      </w:pPr>
      <w:r w:rsidRPr="0067399B">
        <w:rPr>
          <w:color w:val="000000" w:themeColor="text1"/>
          <w:sz w:val="20"/>
          <w:szCs w:val="20"/>
        </w:rPr>
        <w:tab/>
      </w:r>
      <w:r w:rsidRPr="0067399B">
        <w:rPr>
          <w:color w:val="000000" w:themeColor="text1"/>
          <w:sz w:val="20"/>
          <w:szCs w:val="20"/>
        </w:rPr>
        <w:tab/>
      </w:r>
      <w:r w:rsidRPr="00A078AC">
        <w:rPr>
          <w:color w:val="000000" w:themeColor="text1"/>
          <w:sz w:val="20"/>
          <w:szCs w:val="20"/>
        </w:rPr>
        <w:t>Independent Expert on the enjoyment of human rights by persons with albinism</w:t>
      </w:r>
    </w:p>
    <w:p w14:paraId="295934B0" w14:textId="574A6174" w:rsidR="00DB482B" w:rsidRPr="0067399B" w:rsidRDefault="002B4AE4" w:rsidP="00DB482B">
      <w:pPr>
        <w:pStyle w:val="SingleTxtG"/>
        <w:rPr>
          <w:color w:val="000000" w:themeColor="text1"/>
          <w:sz w:val="20"/>
          <w:szCs w:val="20"/>
        </w:rPr>
      </w:pPr>
      <w:r>
        <w:rPr>
          <w:color w:val="000000" w:themeColor="text1"/>
          <w:sz w:val="20"/>
          <w:szCs w:val="20"/>
        </w:rPr>
        <w:t>168</w:t>
      </w:r>
      <w:r w:rsidR="00DB482B" w:rsidRPr="0067399B">
        <w:rPr>
          <w:color w:val="000000" w:themeColor="text1"/>
          <w:sz w:val="20"/>
          <w:szCs w:val="20"/>
        </w:rPr>
        <w:t>.</w:t>
      </w:r>
      <w:r w:rsidR="00DB482B" w:rsidRPr="0067399B">
        <w:rPr>
          <w:color w:val="000000" w:themeColor="text1"/>
          <w:sz w:val="20"/>
          <w:szCs w:val="20"/>
        </w:rPr>
        <w:tab/>
        <w:t xml:space="preserve">At the </w:t>
      </w:r>
      <w:r w:rsidR="00DB482B">
        <w:rPr>
          <w:color w:val="000000" w:themeColor="text1"/>
          <w:sz w:val="20"/>
          <w:szCs w:val="20"/>
        </w:rPr>
        <w:t>19th</w:t>
      </w:r>
      <w:r w:rsidR="00DB482B" w:rsidRPr="0067399B">
        <w:rPr>
          <w:color w:val="000000" w:themeColor="text1"/>
          <w:sz w:val="20"/>
          <w:szCs w:val="20"/>
        </w:rPr>
        <w:t xml:space="preserve"> meeting, on </w:t>
      </w:r>
      <w:r w:rsidR="00DB482B">
        <w:rPr>
          <w:color w:val="000000" w:themeColor="text1"/>
          <w:sz w:val="20"/>
          <w:szCs w:val="20"/>
        </w:rPr>
        <w:t>5</w:t>
      </w:r>
      <w:r w:rsidR="00DB482B" w:rsidRPr="0067399B">
        <w:rPr>
          <w:color w:val="000000" w:themeColor="text1"/>
          <w:sz w:val="20"/>
          <w:szCs w:val="20"/>
        </w:rPr>
        <w:t xml:space="preserve"> March </w:t>
      </w:r>
      <w:r w:rsidR="00DB482B">
        <w:rPr>
          <w:color w:val="000000" w:themeColor="text1"/>
          <w:sz w:val="20"/>
          <w:szCs w:val="20"/>
        </w:rPr>
        <w:t>2019</w:t>
      </w:r>
      <w:r w:rsidR="00DB482B" w:rsidRPr="0067399B">
        <w:rPr>
          <w:color w:val="000000" w:themeColor="text1"/>
          <w:sz w:val="20"/>
          <w:szCs w:val="20"/>
        </w:rPr>
        <w:t>, the Independent Expert on the enjoyment of human rights by persons with albinism, Ikponwosa Ero, presented her reports (A/HRC/</w:t>
      </w:r>
      <w:r w:rsidR="00DB482B" w:rsidRPr="00DB482B">
        <w:rPr>
          <w:color w:val="000000" w:themeColor="text1"/>
          <w:sz w:val="20"/>
          <w:szCs w:val="20"/>
        </w:rPr>
        <w:t>40/62</w:t>
      </w:r>
      <w:r w:rsidR="00DB482B">
        <w:rPr>
          <w:color w:val="000000" w:themeColor="text1"/>
          <w:sz w:val="20"/>
          <w:szCs w:val="20"/>
        </w:rPr>
        <w:t xml:space="preserve"> </w:t>
      </w:r>
      <w:r w:rsidR="00DB482B" w:rsidRPr="0067399B">
        <w:rPr>
          <w:color w:val="000000" w:themeColor="text1"/>
          <w:sz w:val="20"/>
          <w:szCs w:val="20"/>
        </w:rPr>
        <w:t>and Add.1</w:t>
      </w:r>
      <w:r w:rsidR="00DB482B">
        <w:rPr>
          <w:color w:val="000000" w:themeColor="text1"/>
          <w:sz w:val="20"/>
          <w:szCs w:val="20"/>
        </w:rPr>
        <w:t xml:space="preserve"> and 3</w:t>
      </w:r>
      <w:r w:rsidR="00DB482B" w:rsidRPr="0067399B">
        <w:rPr>
          <w:color w:val="000000" w:themeColor="text1"/>
          <w:sz w:val="20"/>
          <w:szCs w:val="20"/>
        </w:rPr>
        <w:t>).</w:t>
      </w:r>
    </w:p>
    <w:p w14:paraId="5E470C8B" w14:textId="0DCB4FBC" w:rsidR="00DB482B" w:rsidRPr="0067399B" w:rsidRDefault="002B4AE4" w:rsidP="00DB482B">
      <w:pPr>
        <w:pStyle w:val="SingleTxtG"/>
        <w:rPr>
          <w:color w:val="000000" w:themeColor="text1"/>
          <w:sz w:val="20"/>
          <w:szCs w:val="20"/>
        </w:rPr>
      </w:pPr>
      <w:r>
        <w:rPr>
          <w:color w:val="000000" w:themeColor="text1"/>
          <w:sz w:val="20"/>
          <w:szCs w:val="20"/>
        </w:rPr>
        <w:t>169</w:t>
      </w:r>
      <w:r w:rsidR="00DB482B" w:rsidRPr="0067399B">
        <w:rPr>
          <w:color w:val="000000" w:themeColor="text1"/>
          <w:sz w:val="20"/>
          <w:szCs w:val="20"/>
        </w:rPr>
        <w:t>.</w:t>
      </w:r>
      <w:r w:rsidR="00DB482B" w:rsidRPr="0067399B">
        <w:rPr>
          <w:color w:val="000000" w:themeColor="text1"/>
          <w:sz w:val="20"/>
          <w:szCs w:val="20"/>
        </w:rPr>
        <w:tab/>
        <w:t>At the same meeting, the representative</w:t>
      </w:r>
      <w:r w:rsidR="00DB482B">
        <w:rPr>
          <w:color w:val="000000" w:themeColor="text1"/>
          <w:sz w:val="20"/>
          <w:szCs w:val="20"/>
        </w:rPr>
        <w:t>s</w:t>
      </w:r>
      <w:r w:rsidR="00DB482B" w:rsidRPr="0067399B">
        <w:rPr>
          <w:color w:val="000000" w:themeColor="text1"/>
          <w:sz w:val="20"/>
          <w:szCs w:val="20"/>
        </w:rPr>
        <w:t xml:space="preserve"> of </w:t>
      </w:r>
      <w:r w:rsidR="00DB482B" w:rsidRPr="00DB482B">
        <w:rPr>
          <w:color w:val="000000" w:themeColor="text1"/>
          <w:sz w:val="20"/>
          <w:szCs w:val="20"/>
        </w:rPr>
        <w:t xml:space="preserve">Fiji </w:t>
      </w:r>
      <w:r w:rsidR="00DB482B">
        <w:rPr>
          <w:color w:val="000000" w:themeColor="text1"/>
          <w:sz w:val="20"/>
          <w:szCs w:val="20"/>
        </w:rPr>
        <w:t xml:space="preserve">and </w:t>
      </w:r>
      <w:r w:rsidR="00DB482B" w:rsidRPr="00DB482B">
        <w:rPr>
          <w:color w:val="000000" w:themeColor="text1"/>
          <w:sz w:val="20"/>
          <w:szCs w:val="20"/>
        </w:rPr>
        <w:t xml:space="preserve">Kenya </w:t>
      </w:r>
      <w:r w:rsidR="00DB482B" w:rsidRPr="0067399B">
        <w:rPr>
          <w:color w:val="000000" w:themeColor="text1"/>
          <w:sz w:val="20"/>
          <w:szCs w:val="20"/>
        </w:rPr>
        <w:t>made statement</w:t>
      </w:r>
      <w:r w:rsidR="00DB482B">
        <w:rPr>
          <w:color w:val="000000" w:themeColor="text1"/>
          <w:sz w:val="20"/>
          <w:szCs w:val="20"/>
        </w:rPr>
        <w:t>s</w:t>
      </w:r>
      <w:r w:rsidR="00DB482B" w:rsidRPr="0067399B">
        <w:rPr>
          <w:color w:val="000000" w:themeColor="text1"/>
          <w:sz w:val="20"/>
          <w:szCs w:val="20"/>
        </w:rPr>
        <w:t xml:space="preserve"> as the State</w:t>
      </w:r>
      <w:r w:rsidR="00DB482B">
        <w:rPr>
          <w:color w:val="000000" w:themeColor="text1"/>
          <w:sz w:val="20"/>
          <w:szCs w:val="20"/>
        </w:rPr>
        <w:t>s</w:t>
      </w:r>
      <w:r w:rsidR="00DB482B" w:rsidRPr="0067399B">
        <w:rPr>
          <w:color w:val="000000" w:themeColor="text1"/>
          <w:sz w:val="20"/>
          <w:szCs w:val="20"/>
        </w:rPr>
        <w:t xml:space="preserve"> concerned.</w:t>
      </w:r>
    </w:p>
    <w:p w14:paraId="66B90AB5" w14:textId="5CE5DD25" w:rsidR="00DB482B" w:rsidRPr="0067399B" w:rsidRDefault="002B4AE4" w:rsidP="00DB482B">
      <w:pPr>
        <w:pStyle w:val="SingleTxtG"/>
        <w:rPr>
          <w:color w:val="000000" w:themeColor="text1"/>
          <w:sz w:val="20"/>
          <w:szCs w:val="20"/>
        </w:rPr>
      </w:pPr>
      <w:r>
        <w:rPr>
          <w:color w:val="000000" w:themeColor="text1"/>
          <w:sz w:val="20"/>
          <w:szCs w:val="20"/>
        </w:rPr>
        <w:t>170</w:t>
      </w:r>
      <w:r w:rsidR="00DB482B" w:rsidRPr="0067399B">
        <w:rPr>
          <w:color w:val="000000" w:themeColor="text1"/>
          <w:sz w:val="20"/>
          <w:szCs w:val="20"/>
        </w:rPr>
        <w:t>.</w:t>
      </w:r>
      <w:r w:rsidR="00DB482B" w:rsidRPr="0067399B">
        <w:rPr>
          <w:color w:val="000000" w:themeColor="text1"/>
          <w:sz w:val="20"/>
          <w:szCs w:val="20"/>
        </w:rPr>
        <w:tab/>
        <w:t xml:space="preserve">During the ensuing interactive dialogue, </w:t>
      </w:r>
      <w:r w:rsidR="001F3103" w:rsidRPr="0067399B">
        <w:rPr>
          <w:color w:val="000000" w:themeColor="text1"/>
          <w:sz w:val="20"/>
          <w:szCs w:val="20"/>
        </w:rPr>
        <w:t xml:space="preserve">at </w:t>
      </w:r>
      <w:r w:rsidR="001F3103" w:rsidRPr="00463AE3">
        <w:rPr>
          <w:color w:val="000000" w:themeColor="text1"/>
          <w:sz w:val="20"/>
          <w:szCs w:val="20"/>
        </w:rPr>
        <w:t>the 20th to 21st meetings, on 6 March 2019</w:t>
      </w:r>
      <w:r w:rsidR="00DB482B" w:rsidRPr="00463AE3">
        <w:rPr>
          <w:color w:val="000000" w:themeColor="text1"/>
          <w:sz w:val="20"/>
          <w:szCs w:val="20"/>
        </w:rPr>
        <w:t>,</w:t>
      </w:r>
      <w:r w:rsidR="00DB482B" w:rsidRPr="0067399B">
        <w:rPr>
          <w:color w:val="000000" w:themeColor="text1"/>
          <w:sz w:val="20"/>
          <w:szCs w:val="20"/>
        </w:rPr>
        <w:t xml:space="preserve"> the following made statements and asked the Independent Expert questions:</w:t>
      </w:r>
    </w:p>
    <w:p w14:paraId="63DCB644" w14:textId="084917A8" w:rsidR="00DB482B" w:rsidRPr="0067399B" w:rsidRDefault="00DB482B" w:rsidP="00DB482B">
      <w:pPr>
        <w:spacing w:after="120"/>
        <w:ind w:left="1134" w:right="1134" w:firstLine="567"/>
        <w:jc w:val="both"/>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Pr>
          <w:color w:val="000000" w:themeColor="text1"/>
          <w:sz w:val="20"/>
          <w:szCs w:val="20"/>
        </w:rPr>
        <w:t>States Members</w:t>
      </w:r>
      <w:r w:rsidRPr="0067399B">
        <w:rPr>
          <w:color w:val="000000" w:themeColor="text1"/>
          <w:sz w:val="20"/>
          <w:szCs w:val="20"/>
        </w:rPr>
        <w:t xml:space="preserve"> of the Human Rights Council:</w:t>
      </w:r>
      <w:r>
        <w:rPr>
          <w:color w:val="000000" w:themeColor="text1"/>
          <w:sz w:val="20"/>
          <w:szCs w:val="20"/>
        </w:rPr>
        <w:t xml:space="preserve"> </w:t>
      </w:r>
      <w:r w:rsidR="00DA700C" w:rsidRPr="00DE39F5">
        <w:rPr>
          <w:color w:val="000000" w:themeColor="text1"/>
          <w:sz w:val="20"/>
          <w:szCs w:val="20"/>
        </w:rPr>
        <w:t xml:space="preserve">Angola </w:t>
      </w:r>
      <w:r w:rsidR="00DA700C">
        <w:rPr>
          <w:color w:val="000000" w:themeColor="text1"/>
          <w:sz w:val="20"/>
          <w:szCs w:val="20"/>
        </w:rPr>
        <w:t>(</w:t>
      </w:r>
      <w:r w:rsidR="00DA700C" w:rsidRPr="00544A55">
        <w:rPr>
          <w:color w:val="000000" w:themeColor="text1"/>
          <w:sz w:val="20"/>
          <w:szCs w:val="20"/>
        </w:rPr>
        <w:t>on behalf of the Group of African States</w:t>
      </w:r>
      <w:r w:rsidR="00DA700C">
        <w:rPr>
          <w:color w:val="000000" w:themeColor="text1"/>
          <w:sz w:val="20"/>
          <w:szCs w:val="20"/>
        </w:rPr>
        <w:t xml:space="preserve">), </w:t>
      </w:r>
      <w:r w:rsidR="00DA700C" w:rsidRPr="00BE5C95">
        <w:rPr>
          <w:color w:val="000000" w:themeColor="text1"/>
          <w:sz w:val="20"/>
          <w:szCs w:val="20"/>
        </w:rPr>
        <w:t>Bangladesh</w:t>
      </w:r>
      <w:r w:rsidR="00DA700C">
        <w:rPr>
          <w:color w:val="000000" w:themeColor="text1"/>
          <w:sz w:val="20"/>
          <w:szCs w:val="20"/>
        </w:rPr>
        <w:t xml:space="preserve">, </w:t>
      </w:r>
      <w:r w:rsidR="00DA700C" w:rsidRPr="00BE5C95">
        <w:rPr>
          <w:color w:val="000000" w:themeColor="text1"/>
          <w:sz w:val="20"/>
          <w:szCs w:val="20"/>
        </w:rPr>
        <w:t>Burkina Faso</w:t>
      </w:r>
      <w:r w:rsidR="00DA700C">
        <w:rPr>
          <w:color w:val="000000" w:themeColor="text1"/>
          <w:sz w:val="20"/>
          <w:szCs w:val="20"/>
        </w:rPr>
        <w:t xml:space="preserve">, </w:t>
      </w:r>
      <w:r w:rsidR="00DA700C" w:rsidRPr="00BE5C95">
        <w:rPr>
          <w:color w:val="000000" w:themeColor="text1"/>
          <w:sz w:val="20"/>
          <w:szCs w:val="20"/>
        </w:rPr>
        <w:t>Egypt</w:t>
      </w:r>
      <w:r w:rsidR="00DA700C">
        <w:rPr>
          <w:color w:val="000000" w:themeColor="text1"/>
          <w:sz w:val="20"/>
          <w:szCs w:val="20"/>
        </w:rPr>
        <w:t xml:space="preserve">, </w:t>
      </w:r>
      <w:r w:rsidR="00DA700C" w:rsidRPr="00BE5C95">
        <w:rPr>
          <w:color w:val="000000" w:themeColor="text1"/>
          <w:sz w:val="20"/>
          <w:szCs w:val="20"/>
        </w:rPr>
        <w:t>Iraq</w:t>
      </w:r>
      <w:r w:rsidR="00DA700C">
        <w:rPr>
          <w:color w:val="000000" w:themeColor="text1"/>
          <w:sz w:val="20"/>
          <w:szCs w:val="20"/>
        </w:rPr>
        <w:t xml:space="preserve">, </w:t>
      </w:r>
      <w:r w:rsidR="00DA700C" w:rsidRPr="00BE5C95">
        <w:rPr>
          <w:color w:val="000000" w:themeColor="text1"/>
          <w:sz w:val="20"/>
          <w:szCs w:val="20"/>
        </w:rPr>
        <w:t>Italy</w:t>
      </w:r>
      <w:r w:rsidR="00DA700C">
        <w:rPr>
          <w:color w:val="000000" w:themeColor="text1"/>
          <w:sz w:val="20"/>
          <w:szCs w:val="20"/>
        </w:rPr>
        <w:t xml:space="preserve">, </w:t>
      </w:r>
      <w:r w:rsidR="00DA700C" w:rsidRPr="00BE5C95">
        <w:rPr>
          <w:color w:val="000000" w:themeColor="text1"/>
          <w:sz w:val="20"/>
          <w:szCs w:val="20"/>
        </w:rPr>
        <w:t>Japan</w:t>
      </w:r>
      <w:r w:rsidR="00DA700C">
        <w:rPr>
          <w:color w:val="000000" w:themeColor="text1"/>
          <w:sz w:val="20"/>
          <w:szCs w:val="20"/>
        </w:rPr>
        <w:t xml:space="preserve">, </w:t>
      </w:r>
      <w:r w:rsidR="00DA700C" w:rsidRPr="00BE5C95">
        <w:rPr>
          <w:color w:val="000000" w:themeColor="text1"/>
          <w:sz w:val="20"/>
          <w:szCs w:val="20"/>
        </w:rPr>
        <w:t>Nigeria</w:t>
      </w:r>
      <w:r w:rsidR="00DA700C">
        <w:rPr>
          <w:color w:val="000000" w:themeColor="text1"/>
          <w:sz w:val="20"/>
          <w:szCs w:val="20"/>
        </w:rPr>
        <w:t xml:space="preserve">, </w:t>
      </w:r>
      <w:r w:rsidR="00DA700C" w:rsidRPr="00BE5C95">
        <w:rPr>
          <w:color w:val="000000" w:themeColor="text1"/>
          <w:sz w:val="20"/>
          <w:szCs w:val="20"/>
        </w:rPr>
        <w:t>Pakistan</w:t>
      </w:r>
      <w:r w:rsidR="00DA700C">
        <w:rPr>
          <w:color w:val="000000" w:themeColor="text1"/>
          <w:sz w:val="20"/>
          <w:szCs w:val="20"/>
        </w:rPr>
        <w:t xml:space="preserve">, </w:t>
      </w:r>
      <w:r w:rsidR="00DA700C" w:rsidRPr="00BE5C95">
        <w:rPr>
          <w:color w:val="000000" w:themeColor="text1"/>
          <w:sz w:val="20"/>
          <w:szCs w:val="20"/>
        </w:rPr>
        <w:t>Somalia</w:t>
      </w:r>
      <w:r w:rsidR="00DA700C">
        <w:rPr>
          <w:color w:val="000000" w:themeColor="text1"/>
          <w:sz w:val="20"/>
          <w:szCs w:val="20"/>
        </w:rPr>
        <w:t xml:space="preserve">, </w:t>
      </w:r>
      <w:r w:rsidR="00DA700C" w:rsidRPr="00BE5C95">
        <w:rPr>
          <w:color w:val="000000" w:themeColor="text1"/>
          <w:sz w:val="20"/>
          <w:szCs w:val="20"/>
        </w:rPr>
        <w:t>South Africa</w:t>
      </w:r>
      <w:r w:rsidR="00DA700C">
        <w:rPr>
          <w:color w:val="000000" w:themeColor="text1"/>
          <w:sz w:val="20"/>
          <w:szCs w:val="20"/>
        </w:rPr>
        <w:t xml:space="preserve">, </w:t>
      </w:r>
      <w:r w:rsidR="00DA700C" w:rsidRPr="00BE5C95">
        <w:rPr>
          <w:color w:val="000000" w:themeColor="text1"/>
          <w:sz w:val="20"/>
          <w:szCs w:val="20"/>
        </w:rPr>
        <w:t>Togo</w:t>
      </w:r>
      <w:r w:rsidRPr="0067399B">
        <w:rPr>
          <w:color w:val="000000" w:themeColor="text1"/>
          <w:sz w:val="20"/>
          <w:szCs w:val="20"/>
        </w:rPr>
        <w:t xml:space="preserve">; </w:t>
      </w:r>
    </w:p>
    <w:p w14:paraId="254939DA" w14:textId="3FF0A131" w:rsidR="00DB482B" w:rsidRPr="0067399B" w:rsidRDefault="00463AE3" w:rsidP="00DB482B">
      <w:pPr>
        <w:spacing w:after="120"/>
        <w:ind w:left="1134" w:right="1134" w:firstLine="567"/>
        <w:jc w:val="both"/>
        <w:rPr>
          <w:color w:val="000000" w:themeColor="text1"/>
          <w:sz w:val="20"/>
          <w:szCs w:val="20"/>
        </w:rPr>
      </w:pPr>
      <w:r>
        <w:rPr>
          <w:color w:val="000000" w:themeColor="text1"/>
          <w:sz w:val="20"/>
          <w:szCs w:val="20"/>
        </w:rPr>
        <w:t>(b)</w:t>
      </w:r>
      <w:r>
        <w:rPr>
          <w:color w:val="000000" w:themeColor="text1"/>
          <w:sz w:val="20"/>
          <w:szCs w:val="20"/>
        </w:rPr>
        <w:tab/>
      </w:r>
      <w:r w:rsidR="00DB482B" w:rsidRPr="0067399B">
        <w:rPr>
          <w:color w:val="000000" w:themeColor="text1"/>
          <w:sz w:val="20"/>
          <w:szCs w:val="20"/>
        </w:rPr>
        <w:t>Repr</w:t>
      </w:r>
      <w:r w:rsidR="00DA700C">
        <w:rPr>
          <w:color w:val="000000" w:themeColor="text1"/>
          <w:sz w:val="20"/>
          <w:szCs w:val="20"/>
        </w:rPr>
        <w:t xml:space="preserve">esentatives of observer States: </w:t>
      </w:r>
      <w:r w:rsidR="00DA700C" w:rsidRPr="00BE5C95">
        <w:rPr>
          <w:color w:val="000000" w:themeColor="text1"/>
          <w:sz w:val="20"/>
          <w:szCs w:val="20"/>
        </w:rPr>
        <w:t>Algeria</w:t>
      </w:r>
      <w:r w:rsidR="00DA700C">
        <w:rPr>
          <w:color w:val="000000" w:themeColor="text1"/>
          <w:sz w:val="20"/>
          <w:szCs w:val="20"/>
        </w:rPr>
        <w:t xml:space="preserve">, </w:t>
      </w:r>
      <w:r w:rsidR="00DA700C" w:rsidRPr="00BE5C95">
        <w:rPr>
          <w:color w:val="000000" w:themeColor="text1"/>
          <w:sz w:val="20"/>
          <w:szCs w:val="20"/>
        </w:rPr>
        <w:t>Djibouti</w:t>
      </w:r>
      <w:r w:rsidR="00DA700C">
        <w:rPr>
          <w:color w:val="000000" w:themeColor="text1"/>
          <w:sz w:val="20"/>
          <w:szCs w:val="20"/>
        </w:rPr>
        <w:t xml:space="preserve">, </w:t>
      </w:r>
      <w:r w:rsidR="00DA700C" w:rsidRPr="00BE5C95">
        <w:rPr>
          <w:color w:val="000000" w:themeColor="text1"/>
          <w:sz w:val="20"/>
          <w:szCs w:val="20"/>
        </w:rPr>
        <w:t>Israel</w:t>
      </w:r>
      <w:r w:rsidR="00DA700C">
        <w:rPr>
          <w:color w:val="000000" w:themeColor="text1"/>
          <w:sz w:val="20"/>
          <w:szCs w:val="20"/>
        </w:rPr>
        <w:t xml:space="preserve">, Malawi, </w:t>
      </w:r>
      <w:r w:rsidR="00DA700C" w:rsidRPr="00BE5C95">
        <w:rPr>
          <w:color w:val="000000" w:themeColor="text1"/>
          <w:sz w:val="20"/>
          <w:szCs w:val="20"/>
        </w:rPr>
        <w:t>Malaysia</w:t>
      </w:r>
      <w:r w:rsidR="00DA700C">
        <w:rPr>
          <w:color w:val="000000" w:themeColor="text1"/>
          <w:sz w:val="20"/>
          <w:szCs w:val="20"/>
        </w:rPr>
        <w:t xml:space="preserve">, </w:t>
      </w:r>
      <w:r w:rsidR="00DA700C" w:rsidRPr="00BE5C95">
        <w:rPr>
          <w:color w:val="000000" w:themeColor="text1"/>
          <w:sz w:val="20"/>
          <w:szCs w:val="20"/>
        </w:rPr>
        <w:t>Portugal</w:t>
      </w:r>
      <w:r w:rsidR="00DA700C">
        <w:rPr>
          <w:color w:val="000000" w:themeColor="text1"/>
          <w:sz w:val="20"/>
          <w:szCs w:val="20"/>
        </w:rPr>
        <w:t xml:space="preserve">, </w:t>
      </w:r>
      <w:r w:rsidR="00DA700C" w:rsidRPr="00BE5C95">
        <w:rPr>
          <w:color w:val="000000" w:themeColor="text1"/>
          <w:sz w:val="20"/>
          <w:szCs w:val="20"/>
        </w:rPr>
        <w:t>Sierra Leone</w:t>
      </w:r>
      <w:r w:rsidR="00DA700C">
        <w:rPr>
          <w:color w:val="000000" w:themeColor="text1"/>
          <w:sz w:val="20"/>
          <w:szCs w:val="20"/>
        </w:rPr>
        <w:t xml:space="preserve">, </w:t>
      </w:r>
      <w:r w:rsidR="00DA700C" w:rsidRPr="00BE5C95">
        <w:rPr>
          <w:color w:val="000000" w:themeColor="text1"/>
          <w:sz w:val="20"/>
          <w:szCs w:val="20"/>
        </w:rPr>
        <w:t>United Republic of Tanzania</w:t>
      </w:r>
      <w:r w:rsidR="00DB482B" w:rsidRPr="0067399B">
        <w:rPr>
          <w:color w:val="000000" w:themeColor="text1"/>
          <w:sz w:val="20"/>
          <w:szCs w:val="20"/>
        </w:rPr>
        <w:t xml:space="preserve">; </w:t>
      </w:r>
    </w:p>
    <w:p w14:paraId="053D304C" w14:textId="46D66E77" w:rsidR="00DB482B" w:rsidRPr="0067399B" w:rsidRDefault="00DB482B" w:rsidP="00DB482B">
      <w:pPr>
        <w:spacing w:after="120"/>
        <w:ind w:left="1134" w:right="1134" w:firstLine="567"/>
        <w:jc w:val="both"/>
        <w:rPr>
          <w:color w:val="000000" w:themeColor="text1"/>
          <w:sz w:val="20"/>
          <w:szCs w:val="20"/>
        </w:rPr>
      </w:pPr>
      <w:r w:rsidRPr="0067399B">
        <w:rPr>
          <w:color w:val="000000" w:themeColor="text1"/>
          <w:sz w:val="20"/>
          <w:szCs w:val="20"/>
        </w:rPr>
        <w:t>(c)</w:t>
      </w:r>
      <w:r w:rsidRPr="0067399B">
        <w:rPr>
          <w:color w:val="000000" w:themeColor="text1"/>
          <w:sz w:val="20"/>
          <w:szCs w:val="20"/>
        </w:rPr>
        <w:tab/>
      </w:r>
      <w:r w:rsidR="006D07E0" w:rsidRPr="006D07E0">
        <w:rPr>
          <w:color w:val="000000" w:themeColor="text1"/>
          <w:sz w:val="20"/>
          <w:szCs w:val="20"/>
        </w:rPr>
        <w:t>Observer for United Nations entities, specialized agencies and related</w:t>
      </w:r>
      <w:r w:rsidR="006D07E0">
        <w:rPr>
          <w:color w:val="000000" w:themeColor="text1"/>
          <w:sz w:val="20"/>
          <w:szCs w:val="20"/>
        </w:rPr>
        <w:t xml:space="preserve"> </w:t>
      </w:r>
      <w:r w:rsidR="006D07E0" w:rsidRPr="006D07E0">
        <w:rPr>
          <w:color w:val="000000" w:themeColor="text1"/>
          <w:sz w:val="20"/>
          <w:szCs w:val="20"/>
        </w:rPr>
        <w:t>organizations</w:t>
      </w:r>
      <w:r w:rsidRPr="0067399B">
        <w:rPr>
          <w:color w:val="000000" w:themeColor="text1"/>
          <w:sz w:val="20"/>
          <w:szCs w:val="20"/>
        </w:rPr>
        <w:t>: United Nations Children</w:t>
      </w:r>
      <w:r w:rsidR="00D72627">
        <w:rPr>
          <w:color w:val="000000" w:themeColor="text1"/>
          <w:sz w:val="20"/>
          <w:szCs w:val="20"/>
        </w:rPr>
        <w:t>’</w:t>
      </w:r>
      <w:r w:rsidRPr="0067399B">
        <w:rPr>
          <w:color w:val="000000" w:themeColor="text1"/>
          <w:sz w:val="20"/>
          <w:szCs w:val="20"/>
        </w:rPr>
        <w:t>s Fund (UNICEF);</w:t>
      </w:r>
    </w:p>
    <w:p w14:paraId="17728DC2" w14:textId="5FE4B303" w:rsidR="00DB482B" w:rsidRPr="0067399B" w:rsidRDefault="00DB482B" w:rsidP="00DB482B">
      <w:pPr>
        <w:spacing w:after="120"/>
        <w:ind w:left="1134" w:right="1134" w:firstLine="567"/>
        <w:jc w:val="both"/>
        <w:rPr>
          <w:color w:val="000000" w:themeColor="text1"/>
          <w:sz w:val="20"/>
          <w:szCs w:val="20"/>
        </w:rPr>
      </w:pPr>
      <w:r w:rsidRPr="0067399B">
        <w:rPr>
          <w:color w:val="000000" w:themeColor="text1"/>
          <w:sz w:val="20"/>
          <w:szCs w:val="20"/>
        </w:rPr>
        <w:t>(d)</w:t>
      </w:r>
      <w:r w:rsidRPr="0067399B">
        <w:rPr>
          <w:color w:val="000000" w:themeColor="text1"/>
          <w:sz w:val="20"/>
          <w:szCs w:val="20"/>
        </w:rPr>
        <w:tab/>
        <w:t>Observer for an intergovernmental organization: European Union;</w:t>
      </w:r>
    </w:p>
    <w:p w14:paraId="20B4FD28" w14:textId="01DE5F6F" w:rsidR="00DB482B" w:rsidRPr="0067399B" w:rsidRDefault="00DB482B" w:rsidP="00DB482B">
      <w:pPr>
        <w:spacing w:after="120"/>
        <w:ind w:left="1134" w:right="1134" w:firstLine="567"/>
        <w:jc w:val="both"/>
        <w:rPr>
          <w:color w:val="000000" w:themeColor="text1"/>
          <w:sz w:val="20"/>
          <w:szCs w:val="20"/>
        </w:rPr>
      </w:pPr>
      <w:r w:rsidRPr="0067399B">
        <w:rPr>
          <w:color w:val="000000" w:themeColor="text1"/>
          <w:sz w:val="20"/>
          <w:szCs w:val="20"/>
        </w:rPr>
        <w:t>(e)</w:t>
      </w:r>
      <w:r w:rsidRPr="0067399B">
        <w:rPr>
          <w:color w:val="000000" w:themeColor="text1"/>
          <w:sz w:val="20"/>
          <w:szCs w:val="20"/>
        </w:rPr>
        <w:tab/>
        <w:t>Observers for non-governmental organizations:</w:t>
      </w:r>
      <w:r w:rsidR="004A7D74">
        <w:rPr>
          <w:color w:val="000000" w:themeColor="text1"/>
          <w:sz w:val="20"/>
          <w:szCs w:val="20"/>
        </w:rPr>
        <w:t xml:space="preserve"> </w:t>
      </w:r>
      <w:r w:rsidR="004A7D74" w:rsidRPr="004A7D74">
        <w:rPr>
          <w:color w:val="000000" w:themeColor="text1"/>
          <w:sz w:val="20"/>
          <w:szCs w:val="20"/>
        </w:rPr>
        <w:t>Amnesty International</w:t>
      </w:r>
      <w:r w:rsidR="004A7D74">
        <w:rPr>
          <w:color w:val="000000" w:themeColor="text1"/>
          <w:sz w:val="20"/>
          <w:szCs w:val="20"/>
        </w:rPr>
        <w:t xml:space="preserve">; </w:t>
      </w:r>
      <w:r w:rsidR="004A7D74" w:rsidRPr="004A7D74">
        <w:rPr>
          <w:color w:val="000000" w:themeColor="text1"/>
          <w:sz w:val="20"/>
          <w:szCs w:val="20"/>
        </w:rPr>
        <w:t>International Bar Association</w:t>
      </w:r>
      <w:r w:rsidR="004A7D74">
        <w:rPr>
          <w:color w:val="000000" w:themeColor="text1"/>
          <w:sz w:val="20"/>
          <w:szCs w:val="20"/>
        </w:rPr>
        <w:t xml:space="preserve">; </w:t>
      </w:r>
      <w:r w:rsidR="004A7D74" w:rsidRPr="004A7D74">
        <w:rPr>
          <w:color w:val="000000" w:themeColor="text1"/>
          <w:sz w:val="20"/>
          <w:szCs w:val="20"/>
        </w:rPr>
        <w:t>Lutheran World Federation</w:t>
      </w:r>
      <w:r w:rsidR="004A7D74">
        <w:rPr>
          <w:color w:val="000000" w:themeColor="text1"/>
          <w:sz w:val="20"/>
          <w:szCs w:val="20"/>
        </w:rPr>
        <w:t xml:space="preserve">; </w:t>
      </w:r>
      <w:r w:rsidR="004A7D74" w:rsidRPr="004A7D74">
        <w:rPr>
          <w:color w:val="000000" w:themeColor="text1"/>
          <w:sz w:val="20"/>
          <w:szCs w:val="20"/>
        </w:rPr>
        <w:t>Rencontre Africaine pour la defense des droits de l</w:t>
      </w:r>
      <w:r w:rsidR="00D72627">
        <w:rPr>
          <w:color w:val="000000" w:themeColor="text1"/>
          <w:sz w:val="20"/>
          <w:szCs w:val="20"/>
        </w:rPr>
        <w:t>’</w:t>
      </w:r>
      <w:r w:rsidR="004A7D74" w:rsidRPr="004A7D74">
        <w:rPr>
          <w:color w:val="000000" w:themeColor="text1"/>
          <w:sz w:val="20"/>
          <w:szCs w:val="20"/>
        </w:rPr>
        <w:t>homme</w:t>
      </w:r>
      <w:r w:rsidR="004A7D74">
        <w:rPr>
          <w:color w:val="000000" w:themeColor="text1"/>
          <w:sz w:val="20"/>
          <w:szCs w:val="20"/>
        </w:rPr>
        <w:t xml:space="preserve">; </w:t>
      </w:r>
      <w:r w:rsidR="004A7D74" w:rsidRPr="004A7D74">
        <w:rPr>
          <w:color w:val="000000" w:themeColor="text1"/>
          <w:sz w:val="20"/>
          <w:szCs w:val="20"/>
        </w:rPr>
        <w:t>World Jewish Congress</w:t>
      </w:r>
      <w:r w:rsidRPr="0067399B">
        <w:rPr>
          <w:color w:val="000000" w:themeColor="text1"/>
          <w:sz w:val="20"/>
          <w:szCs w:val="20"/>
        </w:rPr>
        <w:t xml:space="preserve">. </w:t>
      </w:r>
    </w:p>
    <w:p w14:paraId="5A60AB6A" w14:textId="060CCFFE" w:rsidR="00DB482B" w:rsidRPr="0067399B" w:rsidRDefault="002B4AE4" w:rsidP="00DB482B">
      <w:pPr>
        <w:pStyle w:val="SingleTxtG"/>
        <w:rPr>
          <w:color w:val="000000" w:themeColor="text1"/>
          <w:sz w:val="20"/>
          <w:szCs w:val="20"/>
        </w:rPr>
      </w:pPr>
      <w:r>
        <w:rPr>
          <w:color w:val="000000" w:themeColor="text1"/>
          <w:sz w:val="20"/>
          <w:szCs w:val="20"/>
        </w:rPr>
        <w:t>171</w:t>
      </w:r>
      <w:r w:rsidR="00DB482B" w:rsidRPr="0067399B">
        <w:rPr>
          <w:color w:val="000000" w:themeColor="text1"/>
          <w:sz w:val="20"/>
          <w:szCs w:val="20"/>
        </w:rPr>
        <w:t>.</w:t>
      </w:r>
      <w:r w:rsidR="00DB482B" w:rsidRPr="0067399B">
        <w:rPr>
          <w:color w:val="000000" w:themeColor="text1"/>
          <w:sz w:val="20"/>
          <w:szCs w:val="20"/>
        </w:rPr>
        <w:tab/>
        <w:t xml:space="preserve">At the </w:t>
      </w:r>
      <w:r w:rsidR="006E69BF">
        <w:rPr>
          <w:color w:val="000000" w:themeColor="text1"/>
          <w:sz w:val="20"/>
          <w:szCs w:val="20"/>
        </w:rPr>
        <w:t>20th</w:t>
      </w:r>
      <w:r w:rsidR="006E69BF" w:rsidRPr="0067399B">
        <w:rPr>
          <w:color w:val="000000" w:themeColor="text1"/>
          <w:sz w:val="20"/>
          <w:szCs w:val="20"/>
        </w:rPr>
        <w:t xml:space="preserve"> </w:t>
      </w:r>
      <w:r w:rsidR="006E69BF">
        <w:rPr>
          <w:color w:val="000000" w:themeColor="text1"/>
          <w:sz w:val="20"/>
          <w:szCs w:val="20"/>
        </w:rPr>
        <w:t xml:space="preserve">and 21st </w:t>
      </w:r>
      <w:r w:rsidR="006E69BF" w:rsidRPr="0067399B">
        <w:rPr>
          <w:color w:val="000000" w:themeColor="text1"/>
          <w:sz w:val="20"/>
          <w:szCs w:val="20"/>
        </w:rPr>
        <w:t>meeting</w:t>
      </w:r>
      <w:r w:rsidR="006E69BF">
        <w:rPr>
          <w:color w:val="000000" w:themeColor="text1"/>
          <w:sz w:val="20"/>
          <w:szCs w:val="20"/>
        </w:rPr>
        <w:t>s</w:t>
      </w:r>
      <w:r w:rsidR="006E69BF" w:rsidRPr="0067399B">
        <w:rPr>
          <w:color w:val="000000" w:themeColor="text1"/>
          <w:sz w:val="20"/>
          <w:szCs w:val="20"/>
        </w:rPr>
        <w:t xml:space="preserve">, </w:t>
      </w:r>
      <w:r w:rsidR="006E69BF">
        <w:rPr>
          <w:color w:val="000000" w:themeColor="text1"/>
          <w:sz w:val="20"/>
          <w:szCs w:val="20"/>
        </w:rPr>
        <w:t>on the same day</w:t>
      </w:r>
      <w:r w:rsidR="00DB482B" w:rsidRPr="0067399B">
        <w:rPr>
          <w:color w:val="000000" w:themeColor="text1"/>
          <w:sz w:val="20"/>
          <w:szCs w:val="20"/>
        </w:rPr>
        <w:t>, the Independent Expert answered questions and made her concluding remarks.</w:t>
      </w:r>
    </w:p>
    <w:p w14:paraId="2EA58914" w14:textId="078A2B9E" w:rsidR="00F11B08" w:rsidRPr="00C16037" w:rsidRDefault="00F11B08" w:rsidP="00415787">
      <w:pPr>
        <w:pStyle w:val="H1G"/>
        <w:rPr>
          <w:color w:val="000000" w:themeColor="text1"/>
        </w:rPr>
      </w:pPr>
      <w:r w:rsidRPr="00C16037">
        <w:rPr>
          <w:color w:val="000000" w:themeColor="text1"/>
        </w:rPr>
        <w:lastRenderedPageBreak/>
        <w:tab/>
      </w:r>
      <w:r w:rsidR="00A078AC">
        <w:rPr>
          <w:color w:val="000000" w:themeColor="text1"/>
        </w:rPr>
        <w:t>C</w:t>
      </w:r>
      <w:r w:rsidRPr="00C16037">
        <w:rPr>
          <w:color w:val="000000" w:themeColor="text1"/>
        </w:rPr>
        <w:t>.</w:t>
      </w:r>
      <w:r w:rsidRPr="00C16037">
        <w:rPr>
          <w:color w:val="000000" w:themeColor="text1"/>
        </w:rPr>
        <w:tab/>
        <w:t>Interactive dialogue with Special Representatives of the Secretary-General</w:t>
      </w:r>
    </w:p>
    <w:p w14:paraId="35BEBF4E" w14:textId="77777777" w:rsidR="0092083E" w:rsidRPr="0067399B" w:rsidRDefault="0092083E" w:rsidP="0092083E">
      <w:pPr>
        <w:pStyle w:val="H23G"/>
        <w:rPr>
          <w:color w:val="000000" w:themeColor="text1"/>
          <w:sz w:val="20"/>
          <w:szCs w:val="20"/>
        </w:rPr>
      </w:pPr>
      <w:r w:rsidRPr="00C16037">
        <w:rPr>
          <w:color w:val="000000" w:themeColor="text1"/>
        </w:rPr>
        <w:tab/>
      </w:r>
      <w:r w:rsidRPr="0067399B">
        <w:rPr>
          <w:color w:val="000000" w:themeColor="text1"/>
          <w:sz w:val="20"/>
          <w:szCs w:val="20"/>
        </w:rPr>
        <w:tab/>
      </w:r>
      <w:r w:rsidRPr="00A078AC">
        <w:rPr>
          <w:color w:val="000000" w:themeColor="text1"/>
          <w:sz w:val="20"/>
          <w:szCs w:val="20"/>
        </w:rPr>
        <w:t>Special Representative of the Secretary-General on violence against children</w:t>
      </w:r>
    </w:p>
    <w:p w14:paraId="71BDD712" w14:textId="74662679" w:rsidR="0092083E" w:rsidRPr="0067399B" w:rsidRDefault="002B4AE4" w:rsidP="0092083E">
      <w:pPr>
        <w:pStyle w:val="SingleTxtG"/>
        <w:rPr>
          <w:color w:val="000000" w:themeColor="text1"/>
          <w:sz w:val="20"/>
          <w:szCs w:val="20"/>
        </w:rPr>
      </w:pPr>
      <w:r>
        <w:rPr>
          <w:color w:val="000000" w:themeColor="text1"/>
          <w:sz w:val="20"/>
          <w:szCs w:val="20"/>
        </w:rPr>
        <w:t>172</w:t>
      </w:r>
      <w:r w:rsidR="0092083E" w:rsidRPr="0067399B">
        <w:rPr>
          <w:color w:val="000000" w:themeColor="text1"/>
          <w:sz w:val="20"/>
          <w:szCs w:val="20"/>
        </w:rPr>
        <w:t>.</w:t>
      </w:r>
      <w:r w:rsidR="0092083E" w:rsidRPr="0067399B">
        <w:rPr>
          <w:color w:val="000000" w:themeColor="text1"/>
          <w:sz w:val="20"/>
          <w:szCs w:val="20"/>
        </w:rPr>
        <w:tab/>
        <w:t xml:space="preserve">At the </w:t>
      </w:r>
      <w:r w:rsidR="000554F1">
        <w:rPr>
          <w:color w:val="000000" w:themeColor="text1"/>
          <w:sz w:val="20"/>
          <w:szCs w:val="20"/>
        </w:rPr>
        <w:t>18</w:t>
      </w:r>
      <w:r w:rsidR="0092083E" w:rsidRPr="0067399B">
        <w:rPr>
          <w:color w:val="000000" w:themeColor="text1"/>
          <w:sz w:val="20"/>
          <w:szCs w:val="20"/>
        </w:rPr>
        <w:t xml:space="preserve">th meeting, on </w:t>
      </w:r>
      <w:r w:rsidR="004E4B39">
        <w:rPr>
          <w:color w:val="000000" w:themeColor="text1"/>
          <w:sz w:val="20"/>
          <w:szCs w:val="20"/>
        </w:rPr>
        <w:t>5</w:t>
      </w:r>
      <w:r w:rsidR="0092083E" w:rsidRPr="0067399B">
        <w:rPr>
          <w:color w:val="000000" w:themeColor="text1"/>
          <w:sz w:val="20"/>
          <w:szCs w:val="20"/>
        </w:rPr>
        <w:t xml:space="preserve"> March </w:t>
      </w:r>
      <w:r w:rsidR="00141AFC">
        <w:rPr>
          <w:color w:val="000000" w:themeColor="text1"/>
          <w:sz w:val="20"/>
          <w:szCs w:val="20"/>
        </w:rPr>
        <w:t>2019</w:t>
      </w:r>
      <w:r w:rsidR="0092083E" w:rsidRPr="0067399B">
        <w:rPr>
          <w:color w:val="000000" w:themeColor="text1"/>
          <w:sz w:val="20"/>
          <w:szCs w:val="20"/>
        </w:rPr>
        <w:t>, the Special Representative of the Secretary-General on violence against children, Marta Santos Pais, presented her report (A/HRC/</w:t>
      </w:r>
      <w:r w:rsidR="004E4B39" w:rsidRPr="004E4B39">
        <w:rPr>
          <w:color w:val="000000" w:themeColor="text1"/>
          <w:sz w:val="20"/>
          <w:szCs w:val="20"/>
        </w:rPr>
        <w:t>40/50</w:t>
      </w:r>
      <w:r w:rsidR="0092083E" w:rsidRPr="0067399B">
        <w:rPr>
          <w:color w:val="000000" w:themeColor="text1"/>
          <w:sz w:val="20"/>
          <w:szCs w:val="20"/>
        </w:rPr>
        <w:t>).</w:t>
      </w:r>
    </w:p>
    <w:p w14:paraId="1AF0AF2C" w14:textId="0F7D8157" w:rsidR="0092083E" w:rsidRPr="0067399B" w:rsidRDefault="002B4AE4" w:rsidP="0092083E">
      <w:pPr>
        <w:pStyle w:val="SingleTxtG"/>
        <w:rPr>
          <w:color w:val="000000" w:themeColor="text1"/>
          <w:sz w:val="20"/>
          <w:szCs w:val="20"/>
        </w:rPr>
      </w:pPr>
      <w:r>
        <w:rPr>
          <w:color w:val="000000" w:themeColor="text1"/>
          <w:sz w:val="20"/>
          <w:szCs w:val="20"/>
        </w:rPr>
        <w:t>173</w:t>
      </w:r>
      <w:r w:rsidR="0092083E" w:rsidRPr="0067399B">
        <w:rPr>
          <w:color w:val="000000" w:themeColor="text1"/>
          <w:sz w:val="20"/>
          <w:szCs w:val="20"/>
        </w:rPr>
        <w:t>.</w:t>
      </w:r>
      <w:r w:rsidR="0092083E" w:rsidRPr="0067399B">
        <w:rPr>
          <w:color w:val="000000" w:themeColor="text1"/>
          <w:sz w:val="20"/>
          <w:szCs w:val="20"/>
        </w:rPr>
        <w:tab/>
        <w:t xml:space="preserve">During the ensuing interactive dialogue, at the </w:t>
      </w:r>
      <w:r w:rsidR="00D66805">
        <w:rPr>
          <w:color w:val="000000" w:themeColor="text1"/>
          <w:sz w:val="20"/>
          <w:szCs w:val="20"/>
        </w:rPr>
        <w:t>18th to 19th meetings</w:t>
      </w:r>
      <w:r w:rsidR="0092083E" w:rsidRPr="0067399B">
        <w:rPr>
          <w:color w:val="000000" w:themeColor="text1"/>
          <w:sz w:val="20"/>
          <w:szCs w:val="20"/>
        </w:rPr>
        <w:t xml:space="preserve">, </w:t>
      </w:r>
      <w:r w:rsidR="004E4B39">
        <w:rPr>
          <w:color w:val="000000" w:themeColor="text1"/>
          <w:sz w:val="20"/>
          <w:szCs w:val="20"/>
        </w:rPr>
        <w:t>on the same day</w:t>
      </w:r>
      <w:r w:rsidR="0092083E" w:rsidRPr="0067399B">
        <w:rPr>
          <w:color w:val="000000" w:themeColor="text1"/>
          <w:sz w:val="20"/>
          <w:szCs w:val="20"/>
        </w:rPr>
        <w:t xml:space="preserve">, </w:t>
      </w:r>
      <w:r w:rsidR="00632581">
        <w:rPr>
          <w:color w:val="000000" w:themeColor="text1"/>
          <w:sz w:val="20"/>
          <w:szCs w:val="20"/>
        </w:rPr>
        <w:t xml:space="preserve">the </w:t>
      </w:r>
      <w:r w:rsidR="0092083E" w:rsidRPr="0067399B">
        <w:rPr>
          <w:color w:val="000000" w:themeColor="text1"/>
          <w:sz w:val="20"/>
          <w:szCs w:val="20"/>
        </w:rPr>
        <w:t>following made statements and asked the Special Representative questions:</w:t>
      </w:r>
    </w:p>
    <w:p w14:paraId="56B8F5D9" w14:textId="4DD09546" w:rsidR="0025196A" w:rsidRPr="0067399B" w:rsidRDefault="0092083E" w:rsidP="0092083E">
      <w:pPr>
        <w:spacing w:after="120"/>
        <w:ind w:left="1134" w:right="1134" w:firstLine="567"/>
        <w:jc w:val="both"/>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 </w:t>
      </w:r>
      <w:r w:rsidR="0025196A" w:rsidRPr="0025196A">
        <w:rPr>
          <w:color w:val="000000" w:themeColor="text1"/>
          <w:sz w:val="20"/>
          <w:szCs w:val="20"/>
        </w:rPr>
        <w:t>Afghanistan</w:t>
      </w:r>
      <w:r w:rsidR="0025196A">
        <w:rPr>
          <w:color w:val="000000" w:themeColor="text1"/>
          <w:sz w:val="20"/>
          <w:szCs w:val="20"/>
        </w:rPr>
        <w:t xml:space="preserve">, </w:t>
      </w:r>
      <w:r w:rsidR="0025196A" w:rsidRPr="00DE39F5">
        <w:rPr>
          <w:color w:val="000000" w:themeColor="text1"/>
          <w:sz w:val="20"/>
          <w:szCs w:val="20"/>
        </w:rPr>
        <w:t xml:space="preserve">Angola </w:t>
      </w:r>
      <w:r w:rsidR="0025196A">
        <w:rPr>
          <w:color w:val="000000" w:themeColor="text1"/>
          <w:sz w:val="20"/>
          <w:szCs w:val="20"/>
        </w:rPr>
        <w:t xml:space="preserve">(also </w:t>
      </w:r>
      <w:r w:rsidR="0025196A" w:rsidRPr="00544A55">
        <w:rPr>
          <w:color w:val="000000" w:themeColor="text1"/>
          <w:sz w:val="20"/>
          <w:szCs w:val="20"/>
        </w:rPr>
        <w:t>on behalf of the Group of African States</w:t>
      </w:r>
      <w:r w:rsidR="0025196A">
        <w:rPr>
          <w:color w:val="000000" w:themeColor="text1"/>
          <w:sz w:val="20"/>
          <w:szCs w:val="20"/>
        </w:rPr>
        <w:t xml:space="preserve">), </w:t>
      </w:r>
      <w:r w:rsidR="0025196A" w:rsidRPr="0025196A">
        <w:rPr>
          <w:color w:val="000000" w:themeColor="text1"/>
          <w:sz w:val="20"/>
          <w:szCs w:val="20"/>
        </w:rPr>
        <w:t>Austria</w:t>
      </w:r>
      <w:r w:rsidR="0025196A">
        <w:rPr>
          <w:color w:val="000000" w:themeColor="text1"/>
          <w:sz w:val="20"/>
          <w:szCs w:val="20"/>
        </w:rPr>
        <w:t xml:space="preserve">, </w:t>
      </w:r>
      <w:r w:rsidR="0025196A" w:rsidRPr="0025196A">
        <w:rPr>
          <w:color w:val="000000" w:themeColor="text1"/>
          <w:sz w:val="20"/>
          <w:szCs w:val="20"/>
        </w:rPr>
        <w:t xml:space="preserve">Bahrain </w:t>
      </w:r>
      <w:r w:rsidR="0025196A">
        <w:rPr>
          <w:color w:val="000000" w:themeColor="text1"/>
          <w:sz w:val="20"/>
          <w:szCs w:val="20"/>
        </w:rPr>
        <w:t>(</w:t>
      </w:r>
      <w:r w:rsidR="0025196A" w:rsidRPr="0025196A">
        <w:rPr>
          <w:color w:val="000000" w:themeColor="text1"/>
          <w:sz w:val="20"/>
          <w:szCs w:val="20"/>
        </w:rPr>
        <w:t xml:space="preserve">on behalf of the Group </w:t>
      </w:r>
      <w:r w:rsidR="0025196A">
        <w:rPr>
          <w:color w:val="000000" w:themeColor="text1"/>
          <w:sz w:val="20"/>
          <w:szCs w:val="20"/>
        </w:rPr>
        <w:t xml:space="preserve">of </w:t>
      </w:r>
      <w:r w:rsidR="0025196A" w:rsidRPr="0025196A">
        <w:rPr>
          <w:color w:val="000000" w:themeColor="text1"/>
          <w:sz w:val="20"/>
          <w:szCs w:val="20"/>
        </w:rPr>
        <w:t>Arab</w:t>
      </w:r>
      <w:r w:rsidR="0025196A">
        <w:rPr>
          <w:color w:val="000000" w:themeColor="text1"/>
          <w:sz w:val="20"/>
          <w:szCs w:val="20"/>
        </w:rPr>
        <w:t xml:space="preserve"> States), </w:t>
      </w:r>
      <w:r w:rsidR="0025196A" w:rsidRPr="0025196A">
        <w:rPr>
          <w:color w:val="000000" w:themeColor="text1"/>
          <w:sz w:val="20"/>
          <w:szCs w:val="20"/>
        </w:rPr>
        <w:t>Bangladesh</w:t>
      </w:r>
      <w:r w:rsidR="0025196A">
        <w:rPr>
          <w:color w:val="000000" w:themeColor="text1"/>
          <w:sz w:val="20"/>
          <w:szCs w:val="20"/>
        </w:rPr>
        <w:t xml:space="preserve">, </w:t>
      </w:r>
      <w:r w:rsidR="0025196A" w:rsidRPr="0025196A">
        <w:rPr>
          <w:color w:val="000000" w:themeColor="text1"/>
          <w:sz w:val="20"/>
          <w:szCs w:val="20"/>
        </w:rPr>
        <w:t>Bulgaria</w:t>
      </w:r>
      <w:r w:rsidR="0025196A">
        <w:rPr>
          <w:color w:val="000000" w:themeColor="text1"/>
          <w:sz w:val="20"/>
          <w:szCs w:val="20"/>
        </w:rPr>
        <w:t xml:space="preserve">, </w:t>
      </w:r>
      <w:r w:rsidR="0025196A" w:rsidRPr="0025196A">
        <w:rPr>
          <w:color w:val="000000" w:themeColor="text1"/>
          <w:sz w:val="20"/>
          <w:szCs w:val="20"/>
        </w:rPr>
        <w:t>Canada</w:t>
      </w:r>
      <w:r w:rsidR="007E79C8">
        <w:rPr>
          <w:rStyle w:val="FootnoteReference"/>
          <w:color w:val="000000" w:themeColor="text1"/>
          <w:szCs w:val="20"/>
        </w:rPr>
        <w:footnoteReference w:id="23"/>
      </w:r>
      <w:r w:rsidR="0025196A" w:rsidRPr="0025196A">
        <w:rPr>
          <w:color w:val="000000" w:themeColor="text1"/>
          <w:sz w:val="20"/>
          <w:szCs w:val="20"/>
        </w:rPr>
        <w:t xml:space="preserve"> </w:t>
      </w:r>
      <w:r w:rsidR="0025196A">
        <w:rPr>
          <w:color w:val="000000" w:themeColor="text1"/>
          <w:sz w:val="20"/>
          <w:szCs w:val="20"/>
        </w:rPr>
        <w:t>(</w:t>
      </w:r>
      <w:r w:rsidR="0025196A" w:rsidRPr="007833A3">
        <w:rPr>
          <w:color w:val="000000" w:themeColor="text1"/>
          <w:sz w:val="20"/>
          <w:szCs w:val="20"/>
        </w:rPr>
        <w:t>on behalf of the French-speaking States Members and observers</w:t>
      </w:r>
      <w:r w:rsidR="0025196A">
        <w:rPr>
          <w:color w:val="000000" w:themeColor="text1"/>
          <w:sz w:val="20"/>
          <w:szCs w:val="20"/>
        </w:rPr>
        <w:t>),</w:t>
      </w:r>
      <w:r w:rsidR="0025196A" w:rsidRPr="0025196A">
        <w:rPr>
          <w:color w:val="000000" w:themeColor="text1"/>
          <w:sz w:val="20"/>
          <w:szCs w:val="20"/>
        </w:rPr>
        <w:t xml:space="preserve"> China</w:t>
      </w:r>
      <w:r w:rsidR="0025196A">
        <w:rPr>
          <w:color w:val="000000" w:themeColor="text1"/>
          <w:sz w:val="20"/>
          <w:szCs w:val="20"/>
        </w:rPr>
        <w:t xml:space="preserve">, </w:t>
      </w:r>
      <w:r w:rsidR="0025196A" w:rsidRPr="0025196A">
        <w:rPr>
          <w:color w:val="000000" w:themeColor="text1"/>
          <w:sz w:val="20"/>
          <w:szCs w:val="20"/>
        </w:rPr>
        <w:t>Egypt</w:t>
      </w:r>
      <w:r w:rsidR="0025196A">
        <w:rPr>
          <w:color w:val="000000" w:themeColor="text1"/>
          <w:sz w:val="20"/>
          <w:szCs w:val="20"/>
        </w:rPr>
        <w:t xml:space="preserve">, </w:t>
      </w:r>
      <w:r w:rsidR="0025196A" w:rsidRPr="0025196A">
        <w:rPr>
          <w:color w:val="000000" w:themeColor="text1"/>
          <w:sz w:val="20"/>
          <w:szCs w:val="20"/>
        </w:rPr>
        <w:t>Fiji</w:t>
      </w:r>
      <w:r w:rsidR="0025196A">
        <w:rPr>
          <w:color w:val="000000" w:themeColor="text1"/>
          <w:sz w:val="20"/>
          <w:szCs w:val="20"/>
        </w:rPr>
        <w:t xml:space="preserve">, </w:t>
      </w:r>
      <w:r w:rsidR="0025196A" w:rsidRPr="0025196A">
        <w:rPr>
          <w:color w:val="000000" w:themeColor="text1"/>
          <w:sz w:val="20"/>
          <w:szCs w:val="20"/>
        </w:rPr>
        <w:t>Italy</w:t>
      </w:r>
      <w:r w:rsidR="0025196A">
        <w:rPr>
          <w:color w:val="000000" w:themeColor="text1"/>
          <w:sz w:val="20"/>
          <w:szCs w:val="20"/>
        </w:rPr>
        <w:t>, Latvia</w:t>
      </w:r>
      <w:r w:rsidR="007E79C8">
        <w:rPr>
          <w:rStyle w:val="FootnoteReference"/>
          <w:color w:val="000000" w:themeColor="text1"/>
          <w:szCs w:val="20"/>
        </w:rPr>
        <w:footnoteReference w:id="24"/>
      </w:r>
      <w:r w:rsidR="0025196A">
        <w:rPr>
          <w:color w:val="000000" w:themeColor="text1"/>
          <w:sz w:val="20"/>
          <w:szCs w:val="20"/>
        </w:rPr>
        <w:t xml:space="preserve"> (also on behalf of Denmark, Estonia, Finland, Iceland, Lithuania, Norway and Sweden), </w:t>
      </w:r>
      <w:r w:rsidR="0025196A" w:rsidRPr="0025196A">
        <w:rPr>
          <w:color w:val="000000" w:themeColor="text1"/>
          <w:sz w:val="20"/>
          <w:szCs w:val="20"/>
        </w:rPr>
        <w:t>Mexico</w:t>
      </w:r>
      <w:r w:rsidR="0025196A">
        <w:rPr>
          <w:color w:val="000000" w:themeColor="text1"/>
          <w:sz w:val="20"/>
          <w:szCs w:val="20"/>
        </w:rPr>
        <w:t xml:space="preserve">, </w:t>
      </w:r>
      <w:r w:rsidR="0025196A" w:rsidRPr="0025196A">
        <w:rPr>
          <w:color w:val="000000" w:themeColor="text1"/>
          <w:sz w:val="20"/>
          <w:szCs w:val="20"/>
        </w:rPr>
        <w:t>Nepal</w:t>
      </w:r>
      <w:r w:rsidR="0025196A">
        <w:rPr>
          <w:color w:val="000000" w:themeColor="text1"/>
          <w:sz w:val="20"/>
          <w:szCs w:val="20"/>
        </w:rPr>
        <w:t xml:space="preserve">, </w:t>
      </w:r>
      <w:r w:rsidR="0025196A" w:rsidRPr="0025196A">
        <w:rPr>
          <w:color w:val="000000" w:themeColor="text1"/>
          <w:sz w:val="20"/>
          <w:szCs w:val="20"/>
        </w:rPr>
        <w:t>Nigeria</w:t>
      </w:r>
      <w:r w:rsidR="0025196A">
        <w:rPr>
          <w:color w:val="000000" w:themeColor="text1"/>
          <w:sz w:val="20"/>
          <w:szCs w:val="20"/>
        </w:rPr>
        <w:t>,</w:t>
      </w:r>
      <w:r w:rsidR="0025196A" w:rsidRPr="0025196A">
        <w:rPr>
          <w:color w:val="000000" w:themeColor="text1"/>
          <w:sz w:val="20"/>
          <w:szCs w:val="20"/>
        </w:rPr>
        <w:t xml:space="preserve"> Pakistan</w:t>
      </w:r>
      <w:r w:rsidR="00734D23">
        <w:rPr>
          <w:color w:val="000000" w:themeColor="text1"/>
          <w:sz w:val="20"/>
          <w:szCs w:val="20"/>
        </w:rPr>
        <w:t xml:space="preserve">, Qatar, </w:t>
      </w:r>
      <w:r w:rsidR="00734D23" w:rsidRPr="0025196A">
        <w:rPr>
          <w:color w:val="000000" w:themeColor="text1"/>
          <w:sz w:val="20"/>
          <w:szCs w:val="20"/>
        </w:rPr>
        <w:t>South Africa</w:t>
      </w:r>
      <w:r w:rsidR="00734D23">
        <w:rPr>
          <w:color w:val="000000" w:themeColor="text1"/>
          <w:sz w:val="20"/>
          <w:szCs w:val="20"/>
        </w:rPr>
        <w:t xml:space="preserve">, </w:t>
      </w:r>
      <w:r w:rsidR="00734D23" w:rsidRPr="0025196A">
        <w:rPr>
          <w:color w:val="000000" w:themeColor="text1"/>
          <w:sz w:val="20"/>
          <w:szCs w:val="20"/>
        </w:rPr>
        <w:t>Spain</w:t>
      </w:r>
      <w:r w:rsidR="00734D23">
        <w:rPr>
          <w:color w:val="000000" w:themeColor="text1"/>
          <w:sz w:val="20"/>
          <w:szCs w:val="20"/>
        </w:rPr>
        <w:t xml:space="preserve">, </w:t>
      </w:r>
      <w:r w:rsidR="00734D23" w:rsidRPr="0025196A">
        <w:rPr>
          <w:color w:val="000000" w:themeColor="text1"/>
          <w:sz w:val="20"/>
          <w:szCs w:val="20"/>
        </w:rPr>
        <w:t>Tunisia</w:t>
      </w:r>
      <w:r w:rsidR="00734D23">
        <w:rPr>
          <w:color w:val="000000" w:themeColor="text1"/>
          <w:sz w:val="20"/>
          <w:szCs w:val="20"/>
        </w:rPr>
        <w:t xml:space="preserve">, </w:t>
      </w:r>
      <w:r w:rsidR="00734D23" w:rsidRPr="0025196A">
        <w:rPr>
          <w:color w:val="000000" w:themeColor="text1"/>
          <w:sz w:val="20"/>
          <w:szCs w:val="20"/>
        </w:rPr>
        <w:t>Ukraine</w:t>
      </w:r>
      <w:r w:rsidR="00734D23">
        <w:rPr>
          <w:color w:val="000000" w:themeColor="text1"/>
          <w:sz w:val="20"/>
          <w:szCs w:val="20"/>
        </w:rPr>
        <w:t xml:space="preserve">, </w:t>
      </w:r>
      <w:r w:rsidR="00734D23" w:rsidRPr="0025196A">
        <w:rPr>
          <w:color w:val="000000" w:themeColor="text1"/>
          <w:sz w:val="20"/>
          <w:szCs w:val="20"/>
        </w:rPr>
        <w:t>Uruguay</w:t>
      </w:r>
      <w:r w:rsidR="00734D23">
        <w:rPr>
          <w:color w:val="000000" w:themeColor="text1"/>
          <w:sz w:val="20"/>
          <w:szCs w:val="20"/>
        </w:rPr>
        <w:t>;</w:t>
      </w:r>
    </w:p>
    <w:p w14:paraId="3B577989" w14:textId="27836C9E" w:rsidR="0092083E" w:rsidRPr="0067399B" w:rsidRDefault="0092083E" w:rsidP="0092083E">
      <w:pPr>
        <w:spacing w:after="120"/>
        <w:ind w:left="1134" w:right="1134" w:firstLine="567"/>
        <w:jc w:val="both"/>
        <w:rPr>
          <w:color w:val="000000" w:themeColor="text1"/>
          <w:sz w:val="20"/>
          <w:szCs w:val="20"/>
        </w:rPr>
      </w:pPr>
      <w:r w:rsidRPr="0067399B">
        <w:rPr>
          <w:color w:val="000000" w:themeColor="text1"/>
          <w:sz w:val="20"/>
          <w:szCs w:val="20"/>
        </w:rPr>
        <w:t>(b)</w:t>
      </w:r>
      <w:r w:rsidRPr="0067399B">
        <w:rPr>
          <w:color w:val="000000" w:themeColor="text1"/>
          <w:sz w:val="20"/>
          <w:szCs w:val="20"/>
        </w:rPr>
        <w:tab/>
        <w:t>Repr</w:t>
      </w:r>
      <w:r w:rsidR="00734D23">
        <w:rPr>
          <w:color w:val="000000" w:themeColor="text1"/>
          <w:sz w:val="20"/>
          <w:szCs w:val="20"/>
        </w:rPr>
        <w:t xml:space="preserve">esentatives of observer States: </w:t>
      </w:r>
      <w:r w:rsidR="00734D23" w:rsidRPr="0025196A">
        <w:rPr>
          <w:color w:val="000000" w:themeColor="text1"/>
          <w:sz w:val="20"/>
          <w:szCs w:val="20"/>
        </w:rPr>
        <w:t>Algeria</w:t>
      </w:r>
      <w:r w:rsidR="00734D23">
        <w:rPr>
          <w:color w:val="000000" w:themeColor="text1"/>
          <w:sz w:val="20"/>
          <w:szCs w:val="20"/>
        </w:rPr>
        <w:t xml:space="preserve">, </w:t>
      </w:r>
      <w:r w:rsidR="00734D23" w:rsidRPr="0025196A">
        <w:rPr>
          <w:color w:val="000000" w:themeColor="text1"/>
          <w:sz w:val="20"/>
          <w:szCs w:val="20"/>
        </w:rPr>
        <w:t>Belarus</w:t>
      </w:r>
      <w:r w:rsidR="00734D23">
        <w:rPr>
          <w:color w:val="000000" w:themeColor="text1"/>
          <w:sz w:val="20"/>
          <w:szCs w:val="20"/>
        </w:rPr>
        <w:t xml:space="preserve">, </w:t>
      </w:r>
      <w:r w:rsidR="00734D23" w:rsidRPr="0025196A">
        <w:rPr>
          <w:color w:val="000000" w:themeColor="text1"/>
          <w:sz w:val="20"/>
          <w:szCs w:val="20"/>
        </w:rPr>
        <w:t>Belgium</w:t>
      </w:r>
      <w:r w:rsidR="00734D23">
        <w:rPr>
          <w:color w:val="000000" w:themeColor="text1"/>
          <w:sz w:val="20"/>
          <w:szCs w:val="20"/>
        </w:rPr>
        <w:t xml:space="preserve">, </w:t>
      </w:r>
      <w:r w:rsidR="00734D23" w:rsidRPr="0025196A">
        <w:rPr>
          <w:color w:val="000000" w:themeColor="text1"/>
          <w:sz w:val="20"/>
          <w:szCs w:val="20"/>
        </w:rPr>
        <w:t>Botswana</w:t>
      </w:r>
      <w:r w:rsidR="00734D23">
        <w:rPr>
          <w:color w:val="000000" w:themeColor="text1"/>
          <w:sz w:val="20"/>
          <w:szCs w:val="20"/>
        </w:rPr>
        <w:t xml:space="preserve">, </w:t>
      </w:r>
      <w:r w:rsidR="00734D23" w:rsidRPr="0025196A">
        <w:rPr>
          <w:color w:val="000000" w:themeColor="text1"/>
          <w:sz w:val="20"/>
          <w:szCs w:val="20"/>
        </w:rPr>
        <w:t>Djibouti</w:t>
      </w:r>
      <w:r w:rsidR="00734D23">
        <w:rPr>
          <w:color w:val="000000" w:themeColor="text1"/>
          <w:sz w:val="20"/>
          <w:szCs w:val="20"/>
        </w:rPr>
        <w:t xml:space="preserve">, </w:t>
      </w:r>
      <w:r w:rsidR="00734D23" w:rsidRPr="0025196A">
        <w:rPr>
          <w:color w:val="000000" w:themeColor="text1"/>
          <w:sz w:val="20"/>
          <w:szCs w:val="20"/>
        </w:rPr>
        <w:t>Ecuador</w:t>
      </w:r>
      <w:r w:rsidR="00734D23">
        <w:rPr>
          <w:color w:val="000000" w:themeColor="text1"/>
          <w:sz w:val="20"/>
          <w:szCs w:val="20"/>
        </w:rPr>
        <w:t xml:space="preserve">, </w:t>
      </w:r>
      <w:r w:rsidR="00734D23" w:rsidRPr="0025196A">
        <w:rPr>
          <w:color w:val="000000" w:themeColor="text1"/>
          <w:sz w:val="20"/>
          <w:szCs w:val="20"/>
        </w:rPr>
        <w:t>El Salvador</w:t>
      </w:r>
      <w:r w:rsidR="00734D23">
        <w:rPr>
          <w:color w:val="000000" w:themeColor="text1"/>
          <w:sz w:val="20"/>
          <w:szCs w:val="20"/>
        </w:rPr>
        <w:t xml:space="preserve">, </w:t>
      </w:r>
      <w:r w:rsidR="00734D23" w:rsidRPr="0025196A">
        <w:rPr>
          <w:color w:val="000000" w:themeColor="text1"/>
          <w:sz w:val="20"/>
          <w:szCs w:val="20"/>
        </w:rPr>
        <w:t>France</w:t>
      </w:r>
      <w:r w:rsidR="00734D23">
        <w:rPr>
          <w:color w:val="000000" w:themeColor="text1"/>
          <w:sz w:val="20"/>
          <w:szCs w:val="20"/>
        </w:rPr>
        <w:t xml:space="preserve">, </w:t>
      </w:r>
      <w:r w:rsidR="00734D23" w:rsidRPr="0025196A">
        <w:rPr>
          <w:color w:val="000000" w:themeColor="text1"/>
          <w:sz w:val="20"/>
          <w:szCs w:val="20"/>
        </w:rPr>
        <w:t>Georgia</w:t>
      </w:r>
      <w:r w:rsidR="00734D23">
        <w:rPr>
          <w:color w:val="000000" w:themeColor="text1"/>
          <w:sz w:val="20"/>
          <w:szCs w:val="20"/>
        </w:rPr>
        <w:t xml:space="preserve">, </w:t>
      </w:r>
      <w:r w:rsidR="00734D23" w:rsidRPr="0025196A">
        <w:rPr>
          <w:color w:val="000000" w:themeColor="text1"/>
          <w:sz w:val="20"/>
          <w:szCs w:val="20"/>
        </w:rPr>
        <w:t>Greece</w:t>
      </w:r>
      <w:r w:rsidR="00734D23">
        <w:rPr>
          <w:color w:val="000000" w:themeColor="text1"/>
          <w:sz w:val="20"/>
          <w:szCs w:val="20"/>
        </w:rPr>
        <w:t xml:space="preserve">, </w:t>
      </w:r>
      <w:r w:rsidR="00734D23" w:rsidRPr="0025196A">
        <w:rPr>
          <w:color w:val="000000" w:themeColor="text1"/>
          <w:sz w:val="20"/>
          <w:szCs w:val="20"/>
        </w:rPr>
        <w:t>Iran (Islamic Republic of)</w:t>
      </w:r>
      <w:r w:rsidR="00734D23">
        <w:rPr>
          <w:color w:val="000000" w:themeColor="text1"/>
          <w:sz w:val="20"/>
          <w:szCs w:val="20"/>
        </w:rPr>
        <w:t xml:space="preserve">, </w:t>
      </w:r>
      <w:r w:rsidR="00734D23" w:rsidRPr="0025196A">
        <w:rPr>
          <w:color w:val="000000" w:themeColor="text1"/>
          <w:sz w:val="20"/>
          <w:szCs w:val="20"/>
        </w:rPr>
        <w:t>Israel</w:t>
      </w:r>
      <w:r w:rsidR="00734D23">
        <w:rPr>
          <w:color w:val="000000" w:themeColor="text1"/>
          <w:sz w:val="20"/>
          <w:szCs w:val="20"/>
        </w:rPr>
        <w:t xml:space="preserve">, </w:t>
      </w:r>
      <w:r w:rsidR="00734D23" w:rsidRPr="0025196A">
        <w:rPr>
          <w:color w:val="000000" w:themeColor="text1"/>
          <w:sz w:val="20"/>
          <w:szCs w:val="20"/>
        </w:rPr>
        <w:t>Jordan</w:t>
      </w:r>
      <w:r w:rsidR="00734D23">
        <w:rPr>
          <w:color w:val="000000" w:themeColor="text1"/>
          <w:sz w:val="20"/>
          <w:szCs w:val="20"/>
        </w:rPr>
        <w:t xml:space="preserve">, </w:t>
      </w:r>
      <w:r w:rsidR="00734D23" w:rsidRPr="0025196A">
        <w:rPr>
          <w:color w:val="000000" w:themeColor="text1"/>
          <w:sz w:val="20"/>
          <w:szCs w:val="20"/>
        </w:rPr>
        <w:t>Kuwait</w:t>
      </w:r>
      <w:r w:rsidR="00734D23">
        <w:rPr>
          <w:color w:val="000000" w:themeColor="text1"/>
          <w:sz w:val="20"/>
          <w:szCs w:val="20"/>
        </w:rPr>
        <w:t xml:space="preserve">, </w:t>
      </w:r>
      <w:r w:rsidR="00734D23" w:rsidRPr="0025196A">
        <w:rPr>
          <w:color w:val="000000" w:themeColor="text1"/>
          <w:sz w:val="20"/>
          <w:szCs w:val="20"/>
        </w:rPr>
        <w:t>Lebanon</w:t>
      </w:r>
      <w:r w:rsidR="00734D23">
        <w:rPr>
          <w:color w:val="000000" w:themeColor="text1"/>
          <w:sz w:val="20"/>
          <w:szCs w:val="20"/>
        </w:rPr>
        <w:t xml:space="preserve">, </w:t>
      </w:r>
      <w:r w:rsidR="00734D23" w:rsidRPr="0025196A">
        <w:rPr>
          <w:color w:val="000000" w:themeColor="text1"/>
          <w:sz w:val="20"/>
          <w:szCs w:val="20"/>
        </w:rPr>
        <w:t>Lesotho</w:t>
      </w:r>
      <w:r w:rsidR="00734D23">
        <w:rPr>
          <w:color w:val="000000" w:themeColor="text1"/>
          <w:sz w:val="20"/>
          <w:szCs w:val="20"/>
        </w:rPr>
        <w:t xml:space="preserve">, </w:t>
      </w:r>
      <w:r w:rsidR="00734D23" w:rsidRPr="0025196A">
        <w:rPr>
          <w:color w:val="000000" w:themeColor="text1"/>
          <w:sz w:val="20"/>
          <w:szCs w:val="20"/>
        </w:rPr>
        <w:t>Libya</w:t>
      </w:r>
      <w:r w:rsidR="00734D23">
        <w:rPr>
          <w:color w:val="000000" w:themeColor="text1"/>
          <w:sz w:val="20"/>
          <w:szCs w:val="20"/>
        </w:rPr>
        <w:t xml:space="preserve">, </w:t>
      </w:r>
      <w:r w:rsidR="00734D23" w:rsidRPr="0025196A">
        <w:rPr>
          <w:color w:val="000000" w:themeColor="text1"/>
          <w:sz w:val="20"/>
          <w:szCs w:val="20"/>
        </w:rPr>
        <w:t>Maldives</w:t>
      </w:r>
      <w:r w:rsidR="00734D23">
        <w:rPr>
          <w:color w:val="000000" w:themeColor="text1"/>
          <w:sz w:val="20"/>
          <w:szCs w:val="20"/>
        </w:rPr>
        <w:t xml:space="preserve">, </w:t>
      </w:r>
      <w:r w:rsidR="00734D23" w:rsidRPr="0025196A">
        <w:rPr>
          <w:color w:val="000000" w:themeColor="text1"/>
          <w:sz w:val="20"/>
          <w:szCs w:val="20"/>
        </w:rPr>
        <w:t>Montenegro</w:t>
      </w:r>
      <w:r w:rsidR="00734D23">
        <w:rPr>
          <w:color w:val="000000" w:themeColor="text1"/>
          <w:sz w:val="20"/>
          <w:szCs w:val="20"/>
        </w:rPr>
        <w:t xml:space="preserve">, Morocco, </w:t>
      </w:r>
      <w:r w:rsidR="00734D23" w:rsidRPr="0025196A">
        <w:rPr>
          <w:color w:val="000000" w:themeColor="text1"/>
          <w:sz w:val="20"/>
          <w:szCs w:val="20"/>
        </w:rPr>
        <w:t>Myanmar</w:t>
      </w:r>
      <w:r w:rsidR="00734D23">
        <w:rPr>
          <w:color w:val="000000" w:themeColor="text1"/>
          <w:sz w:val="20"/>
          <w:szCs w:val="20"/>
        </w:rPr>
        <w:t>,</w:t>
      </w:r>
      <w:r w:rsidR="00734D23" w:rsidRPr="0025196A">
        <w:rPr>
          <w:color w:val="000000" w:themeColor="text1"/>
          <w:sz w:val="20"/>
          <w:szCs w:val="20"/>
        </w:rPr>
        <w:t xml:space="preserve"> Paraguay</w:t>
      </w:r>
      <w:r w:rsidR="00734D23">
        <w:rPr>
          <w:color w:val="000000" w:themeColor="text1"/>
          <w:sz w:val="20"/>
          <w:szCs w:val="20"/>
        </w:rPr>
        <w:t xml:space="preserve">, </w:t>
      </w:r>
      <w:r w:rsidR="00734D23" w:rsidRPr="0025196A">
        <w:rPr>
          <w:color w:val="000000" w:themeColor="text1"/>
          <w:sz w:val="20"/>
          <w:szCs w:val="20"/>
        </w:rPr>
        <w:t>Portugal</w:t>
      </w:r>
      <w:r w:rsidR="00734D23">
        <w:rPr>
          <w:color w:val="000000" w:themeColor="text1"/>
          <w:sz w:val="20"/>
          <w:szCs w:val="20"/>
        </w:rPr>
        <w:t xml:space="preserve">, </w:t>
      </w:r>
      <w:r w:rsidR="00734D23" w:rsidRPr="0025196A">
        <w:rPr>
          <w:color w:val="000000" w:themeColor="text1"/>
          <w:sz w:val="20"/>
          <w:szCs w:val="20"/>
        </w:rPr>
        <w:t>Slovenia</w:t>
      </w:r>
      <w:r w:rsidR="00734D23">
        <w:rPr>
          <w:color w:val="000000" w:themeColor="text1"/>
          <w:sz w:val="20"/>
          <w:szCs w:val="20"/>
        </w:rPr>
        <w:t xml:space="preserve">, </w:t>
      </w:r>
      <w:r w:rsidR="00734D23" w:rsidRPr="0025196A">
        <w:rPr>
          <w:color w:val="000000" w:themeColor="text1"/>
          <w:sz w:val="20"/>
          <w:szCs w:val="20"/>
        </w:rPr>
        <w:t>Switzerland</w:t>
      </w:r>
      <w:r w:rsidR="00734D23">
        <w:rPr>
          <w:color w:val="000000" w:themeColor="text1"/>
          <w:sz w:val="20"/>
          <w:szCs w:val="20"/>
        </w:rPr>
        <w:t xml:space="preserve">, </w:t>
      </w:r>
      <w:r w:rsidR="00734D23" w:rsidRPr="0025196A">
        <w:rPr>
          <w:color w:val="000000" w:themeColor="text1"/>
          <w:sz w:val="20"/>
          <w:szCs w:val="20"/>
        </w:rPr>
        <w:t>Thailand</w:t>
      </w:r>
      <w:r w:rsidR="00734D23">
        <w:rPr>
          <w:color w:val="000000" w:themeColor="text1"/>
          <w:sz w:val="20"/>
          <w:szCs w:val="20"/>
        </w:rPr>
        <w:t xml:space="preserve">, </w:t>
      </w:r>
      <w:r w:rsidR="00734D23" w:rsidRPr="0025196A">
        <w:rPr>
          <w:color w:val="000000" w:themeColor="text1"/>
          <w:sz w:val="20"/>
          <w:szCs w:val="20"/>
        </w:rPr>
        <w:t>Venezuela (Bolivarian Republic of)</w:t>
      </w:r>
      <w:r w:rsidR="00734D23">
        <w:rPr>
          <w:color w:val="000000" w:themeColor="text1"/>
          <w:sz w:val="20"/>
          <w:szCs w:val="20"/>
        </w:rPr>
        <w:t xml:space="preserve">, </w:t>
      </w:r>
      <w:r w:rsidR="00734D23" w:rsidRPr="0025196A">
        <w:rPr>
          <w:color w:val="000000" w:themeColor="text1"/>
          <w:sz w:val="20"/>
          <w:szCs w:val="20"/>
        </w:rPr>
        <w:t>State of Palestine</w:t>
      </w:r>
      <w:r w:rsidRPr="0067399B">
        <w:rPr>
          <w:color w:val="000000" w:themeColor="text1"/>
          <w:sz w:val="20"/>
          <w:szCs w:val="20"/>
        </w:rPr>
        <w:t>;</w:t>
      </w:r>
    </w:p>
    <w:p w14:paraId="25DE477A" w14:textId="5127C4EF" w:rsidR="0092083E" w:rsidRPr="0067399B" w:rsidRDefault="0092083E" w:rsidP="0092083E">
      <w:pPr>
        <w:spacing w:after="120"/>
        <w:ind w:left="1134" w:right="1134" w:firstLine="567"/>
        <w:jc w:val="both"/>
        <w:rPr>
          <w:color w:val="000000" w:themeColor="text1"/>
          <w:sz w:val="20"/>
          <w:szCs w:val="20"/>
        </w:rPr>
      </w:pPr>
      <w:r w:rsidRPr="0067399B">
        <w:rPr>
          <w:color w:val="000000" w:themeColor="text1"/>
          <w:sz w:val="20"/>
          <w:szCs w:val="20"/>
        </w:rPr>
        <w:t>(c)</w:t>
      </w:r>
      <w:r w:rsidRPr="0067399B">
        <w:rPr>
          <w:color w:val="000000" w:themeColor="text1"/>
          <w:sz w:val="20"/>
          <w:szCs w:val="20"/>
        </w:rPr>
        <w:tab/>
      </w:r>
      <w:r w:rsidR="006D07E0" w:rsidRPr="006D07E0">
        <w:rPr>
          <w:color w:val="000000" w:themeColor="text1"/>
          <w:sz w:val="20"/>
          <w:szCs w:val="20"/>
        </w:rPr>
        <w:t>Observer for United Nations entities, specialized agencies and related</w:t>
      </w:r>
      <w:r w:rsidR="006D07E0">
        <w:rPr>
          <w:color w:val="000000" w:themeColor="text1"/>
          <w:sz w:val="20"/>
          <w:szCs w:val="20"/>
        </w:rPr>
        <w:t xml:space="preserve"> </w:t>
      </w:r>
      <w:r w:rsidR="006D07E0" w:rsidRPr="006D07E0">
        <w:rPr>
          <w:color w:val="000000" w:themeColor="text1"/>
          <w:sz w:val="20"/>
          <w:szCs w:val="20"/>
        </w:rPr>
        <w:t>organizations</w:t>
      </w:r>
      <w:r w:rsidRPr="0067399B">
        <w:rPr>
          <w:color w:val="000000" w:themeColor="text1"/>
          <w:sz w:val="20"/>
          <w:szCs w:val="20"/>
        </w:rPr>
        <w:t>: United Nations Children</w:t>
      </w:r>
      <w:r w:rsidR="00D72627">
        <w:rPr>
          <w:color w:val="000000" w:themeColor="text1"/>
          <w:sz w:val="20"/>
          <w:szCs w:val="20"/>
        </w:rPr>
        <w:t>’</w:t>
      </w:r>
      <w:r w:rsidRPr="0067399B">
        <w:rPr>
          <w:color w:val="000000" w:themeColor="text1"/>
          <w:sz w:val="20"/>
          <w:szCs w:val="20"/>
        </w:rPr>
        <w:t>s Fund (UNICEF);</w:t>
      </w:r>
    </w:p>
    <w:p w14:paraId="5B68CA77" w14:textId="113B338F" w:rsidR="0092083E" w:rsidRPr="0067399B" w:rsidRDefault="0092083E" w:rsidP="0092083E">
      <w:pPr>
        <w:spacing w:after="120"/>
        <w:ind w:left="1134" w:right="1134" w:firstLine="567"/>
        <w:jc w:val="both"/>
        <w:rPr>
          <w:color w:val="000000" w:themeColor="text1"/>
          <w:sz w:val="20"/>
          <w:szCs w:val="20"/>
        </w:rPr>
      </w:pPr>
      <w:r w:rsidRPr="0067399B">
        <w:rPr>
          <w:color w:val="000000" w:themeColor="text1"/>
          <w:sz w:val="20"/>
          <w:szCs w:val="20"/>
        </w:rPr>
        <w:t>(d)</w:t>
      </w:r>
      <w:r w:rsidRPr="0067399B">
        <w:rPr>
          <w:color w:val="000000" w:themeColor="text1"/>
          <w:sz w:val="20"/>
          <w:szCs w:val="20"/>
        </w:rPr>
        <w:tab/>
        <w:t>Observer for</w:t>
      </w:r>
      <w:r w:rsidR="00AB413C">
        <w:rPr>
          <w:color w:val="000000" w:themeColor="text1"/>
          <w:sz w:val="20"/>
          <w:szCs w:val="20"/>
        </w:rPr>
        <w:t xml:space="preserve"> an </w:t>
      </w:r>
      <w:r w:rsidRPr="0067399B">
        <w:rPr>
          <w:color w:val="000000" w:themeColor="text1"/>
          <w:sz w:val="20"/>
          <w:szCs w:val="20"/>
        </w:rPr>
        <w:t xml:space="preserve">intergovernmental organization: European Union; </w:t>
      </w:r>
    </w:p>
    <w:p w14:paraId="5E2C2B71" w14:textId="05C8550F" w:rsidR="0092083E" w:rsidRDefault="0092083E" w:rsidP="0092083E">
      <w:pPr>
        <w:spacing w:after="120"/>
        <w:ind w:left="1134" w:right="1134" w:firstLine="567"/>
        <w:jc w:val="both"/>
        <w:rPr>
          <w:color w:val="000000" w:themeColor="text1"/>
          <w:sz w:val="20"/>
          <w:szCs w:val="20"/>
        </w:rPr>
      </w:pPr>
      <w:r w:rsidRPr="0067399B">
        <w:rPr>
          <w:color w:val="000000" w:themeColor="text1"/>
          <w:sz w:val="20"/>
          <w:szCs w:val="20"/>
        </w:rPr>
        <w:t>(e)</w:t>
      </w:r>
      <w:r w:rsidRPr="0067399B">
        <w:rPr>
          <w:color w:val="000000" w:themeColor="text1"/>
          <w:sz w:val="20"/>
          <w:szCs w:val="20"/>
        </w:rPr>
        <w:tab/>
        <w:t>Observer for the Sovereign Military Order of Malta;</w:t>
      </w:r>
    </w:p>
    <w:p w14:paraId="5F8B83B0" w14:textId="07C5D15C" w:rsidR="0092083E" w:rsidRPr="0067399B" w:rsidRDefault="0092083E" w:rsidP="0092083E">
      <w:pPr>
        <w:spacing w:after="120"/>
        <w:ind w:left="1134" w:right="1134" w:firstLine="567"/>
        <w:jc w:val="both"/>
        <w:rPr>
          <w:color w:val="000000" w:themeColor="text1"/>
          <w:sz w:val="20"/>
          <w:szCs w:val="20"/>
        </w:rPr>
      </w:pPr>
      <w:r w:rsidRPr="0067399B">
        <w:rPr>
          <w:color w:val="000000" w:themeColor="text1"/>
          <w:sz w:val="20"/>
          <w:szCs w:val="20"/>
        </w:rPr>
        <w:t>(</w:t>
      </w:r>
      <w:r w:rsidR="00DD3118">
        <w:rPr>
          <w:color w:val="000000" w:themeColor="text1"/>
          <w:sz w:val="20"/>
          <w:szCs w:val="20"/>
        </w:rPr>
        <w:t>f</w:t>
      </w:r>
      <w:r w:rsidRPr="0067399B">
        <w:rPr>
          <w:color w:val="000000" w:themeColor="text1"/>
          <w:sz w:val="20"/>
          <w:szCs w:val="20"/>
        </w:rPr>
        <w:t>)</w:t>
      </w:r>
      <w:r w:rsidRPr="0067399B">
        <w:rPr>
          <w:color w:val="000000" w:themeColor="text1"/>
          <w:sz w:val="20"/>
          <w:szCs w:val="20"/>
        </w:rPr>
        <w:tab/>
        <w:t xml:space="preserve">Observers for non-governmental organizations: </w:t>
      </w:r>
      <w:r w:rsidR="006B1D4F" w:rsidRPr="006B1D4F">
        <w:rPr>
          <w:color w:val="000000" w:themeColor="text1"/>
          <w:sz w:val="20"/>
          <w:szCs w:val="20"/>
        </w:rPr>
        <w:t>Foundation ECPAT International (End Child Prostitution, Child Pornography and Trafficking in Children for Sexual Purposes)</w:t>
      </w:r>
      <w:r w:rsidR="006B1D4F">
        <w:rPr>
          <w:color w:val="000000" w:themeColor="text1"/>
          <w:sz w:val="20"/>
          <w:szCs w:val="20"/>
        </w:rPr>
        <w:t xml:space="preserve"> (also on behalf of Stichting War Child); </w:t>
      </w:r>
      <w:r w:rsidR="006B1D4F" w:rsidRPr="006B1D4F">
        <w:rPr>
          <w:color w:val="000000" w:themeColor="text1"/>
          <w:sz w:val="20"/>
          <w:szCs w:val="20"/>
        </w:rPr>
        <w:t>International Catholic Child Bureau</w:t>
      </w:r>
      <w:r w:rsidR="006B1D4F">
        <w:rPr>
          <w:color w:val="000000" w:themeColor="text1"/>
          <w:sz w:val="20"/>
          <w:szCs w:val="20"/>
        </w:rPr>
        <w:t xml:space="preserve">; </w:t>
      </w:r>
      <w:r w:rsidR="006B1D4F" w:rsidRPr="006B1D4F">
        <w:rPr>
          <w:color w:val="000000" w:themeColor="text1"/>
          <w:sz w:val="20"/>
          <w:szCs w:val="20"/>
        </w:rPr>
        <w:t>Terre Des Hommes Federation Internationale</w:t>
      </w:r>
      <w:r w:rsidR="006B1D4F">
        <w:rPr>
          <w:color w:val="000000" w:themeColor="text1"/>
          <w:sz w:val="20"/>
          <w:szCs w:val="20"/>
        </w:rPr>
        <w:t xml:space="preserve"> (also on behalf of </w:t>
      </w:r>
      <w:r w:rsidR="006B1D4F" w:rsidRPr="006B1D4F">
        <w:rPr>
          <w:color w:val="000000" w:themeColor="text1"/>
          <w:sz w:val="20"/>
          <w:szCs w:val="20"/>
        </w:rPr>
        <w:t>Defence for Children International</w:t>
      </w:r>
      <w:r w:rsidR="006B1D4F">
        <w:rPr>
          <w:color w:val="000000" w:themeColor="text1"/>
          <w:sz w:val="20"/>
          <w:szCs w:val="20"/>
        </w:rPr>
        <w:t xml:space="preserve">; </w:t>
      </w:r>
      <w:r w:rsidR="006B1D4F" w:rsidRPr="006B1D4F">
        <w:rPr>
          <w:color w:val="000000" w:themeColor="text1"/>
          <w:sz w:val="20"/>
          <w:szCs w:val="20"/>
        </w:rPr>
        <w:t>Foundation ECPAT International (End Child Prostitution, Child Pornography and Trafficking in Children for Sexual Purposes)</w:t>
      </w:r>
      <w:r w:rsidR="006B1D4F">
        <w:rPr>
          <w:color w:val="000000" w:themeColor="text1"/>
          <w:sz w:val="20"/>
          <w:szCs w:val="20"/>
        </w:rPr>
        <w:t xml:space="preserve"> and </w:t>
      </w:r>
      <w:r w:rsidR="006B1D4F" w:rsidRPr="006B1D4F">
        <w:rPr>
          <w:color w:val="000000" w:themeColor="text1"/>
          <w:sz w:val="20"/>
          <w:szCs w:val="20"/>
        </w:rPr>
        <w:t>Plan International, Inc.</w:t>
      </w:r>
      <w:r w:rsidR="006B1D4F">
        <w:rPr>
          <w:color w:val="000000" w:themeColor="text1"/>
          <w:sz w:val="20"/>
          <w:szCs w:val="20"/>
        </w:rPr>
        <w:t xml:space="preserve">); </w:t>
      </w:r>
      <w:r w:rsidR="006B1D4F" w:rsidRPr="006B1D4F">
        <w:rPr>
          <w:color w:val="000000" w:themeColor="text1"/>
          <w:sz w:val="20"/>
          <w:szCs w:val="20"/>
        </w:rPr>
        <w:t>Women</w:t>
      </w:r>
      <w:r w:rsidR="00D72627">
        <w:rPr>
          <w:color w:val="000000" w:themeColor="text1"/>
          <w:sz w:val="20"/>
          <w:szCs w:val="20"/>
        </w:rPr>
        <w:t>’</w:t>
      </w:r>
      <w:r w:rsidR="006B1D4F" w:rsidRPr="006B1D4F">
        <w:rPr>
          <w:color w:val="000000" w:themeColor="text1"/>
          <w:sz w:val="20"/>
          <w:szCs w:val="20"/>
        </w:rPr>
        <w:t>s Human Rights International Association</w:t>
      </w:r>
      <w:r w:rsidRPr="0067399B">
        <w:rPr>
          <w:color w:val="000000" w:themeColor="text1"/>
          <w:sz w:val="20"/>
          <w:szCs w:val="20"/>
        </w:rPr>
        <w:t>.</w:t>
      </w:r>
    </w:p>
    <w:p w14:paraId="0647D786" w14:textId="5FAE85F0" w:rsidR="0092083E" w:rsidRPr="0067399B" w:rsidRDefault="002B4AE4" w:rsidP="0092083E">
      <w:pPr>
        <w:pStyle w:val="SingleTxtG"/>
        <w:rPr>
          <w:color w:val="000000" w:themeColor="text1"/>
          <w:sz w:val="20"/>
          <w:szCs w:val="20"/>
        </w:rPr>
      </w:pPr>
      <w:r>
        <w:rPr>
          <w:color w:val="000000" w:themeColor="text1"/>
          <w:sz w:val="20"/>
          <w:szCs w:val="20"/>
        </w:rPr>
        <w:t>174</w:t>
      </w:r>
      <w:r w:rsidR="0092083E" w:rsidRPr="0067399B">
        <w:rPr>
          <w:color w:val="000000" w:themeColor="text1"/>
          <w:sz w:val="20"/>
          <w:szCs w:val="20"/>
        </w:rPr>
        <w:t>.</w:t>
      </w:r>
      <w:r w:rsidR="0092083E" w:rsidRPr="0067399B">
        <w:rPr>
          <w:color w:val="000000" w:themeColor="text1"/>
          <w:sz w:val="20"/>
          <w:szCs w:val="20"/>
        </w:rPr>
        <w:tab/>
        <w:t xml:space="preserve">At the </w:t>
      </w:r>
      <w:r w:rsidR="00D66805">
        <w:rPr>
          <w:color w:val="000000" w:themeColor="text1"/>
          <w:sz w:val="20"/>
          <w:szCs w:val="20"/>
        </w:rPr>
        <w:t>18th and 19th meetings</w:t>
      </w:r>
      <w:r w:rsidR="004E4B39">
        <w:rPr>
          <w:color w:val="000000" w:themeColor="text1"/>
          <w:sz w:val="20"/>
          <w:szCs w:val="20"/>
        </w:rPr>
        <w:t>, on the same day</w:t>
      </w:r>
      <w:r w:rsidR="0092083E" w:rsidRPr="0067399B">
        <w:rPr>
          <w:color w:val="000000" w:themeColor="text1"/>
          <w:sz w:val="20"/>
          <w:szCs w:val="20"/>
        </w:rPr>
        <w:t>, the Special Representative answered questions and made her concluding remarks.</w:t>
      </w:r>
    </w:p>
    <w:p w14:paraId="4D5FE6D0" w14:textId="77777777" w:rsidR="0092083E" w:rsidRPr="0067399B" w:rsidRDefault="0092083E" w:rsidP="0092083E">
      <w:pPr>
        <w:pStyle w:val="H23G"/>
        <w:rPr>
          <w:color w:val="000000" w:themeColor="text1"/>
          <w:sz w:val="20"/>
          <w:szCs w:val="20"/>
        </w:rPr>
      </w:pPr>
      <w:r w:rsidRPr="0067399B">
        <w:rPr>
          <w:color w:val="000000" w:themeColor="text1"/>
          <w:sz w:val="20"/>
          <w:szCs w:val="20"/>
        </w:rPr>
        <w:tab/>
      </w:r>
      <w:r w:rsidRPr="0067399B">
        <w:rPr>
          <w:color w:val="000000" w:themeColor="text1"/>
          <w:sz w:val="20"/>
          <w:szCs w:val="20"/>
        </w:rPr>
        <w:tab/>
      </w:r>
      <w:r w:rsidRPr="00A078AC">
        <w:rPr>
          <w:color w:val="000000" w:themeColor="text1"/>
          <w:sz w:val="20"/>
          <w:szCs w:val="20"/>
        </w:rPr>
        <w:t>Special Representative of the Secretary-General for children and armed conflict</w:t>
      </w:r>
    </w:p>
    <w:p w14:paraId="2D4481D0" w14:textId="5BE28A3C" w:rsidR="0092083E" w:rsidRPr="0067399B" w:rsidRDefault="002B4AE4" w:rsidP="0092083E">
      <w:pPr>
        <w:pStyle w:val="SingleTxtG"/>
        <w:rPr>
          <w:color w:val="000000" w:themeColor="text1"/>
          <w:sz w:val="20"/>
          <w:szCs w:val="20"/>
        </w:rPr>
      </w:pPr>
      <w:r>
        <w:rPr>
          <w:color w:val="000000" w:themeColor="text1"/>
          <w:sz w:val="20"/>
          <w:szCs w:val="20"/>
        </w:rPr>
        <w:t>175</w:t>
      </w:r>
      <w:r w:rsidR="0092083E" w:rsidRPr="0067399B">
        <w:rPr>
          <w:color w:val="000000" w:themeColor="text1"/>
          <w:sz w:val="20"/>
          <w:szCs w:val="20"/>
        </w:rPr>
        <w:t>.</w:t>
      </w:r>
      <w:r w:rsidR="0092083E" w:rsidRPr="0067399B">
        <w:rPr>
          <w:color w:val="000000" w:themeColor="text1"/>
          <w:sz w:val="20"/>
          <w:szCs w:val="20"/>
        </w:rPr>
        <w:tab/>
        <w:t xml:space="preserve">At the </w:t>
      </w:r>
      <w:r w:rsidR="004E4B39">
        <w:rPr>
          <w:color w:val="000000" w:themeColor="text1"/>
          <w:sz w:val="20"/>
          <w:szCs w:val="20"/>
        </w:rPr>
        <w:t>18</w:t>
      </w:r>
      <w:r w:rsidR="0092083E" w:rsidRPr="0067399B">
        <w:rPr>
          <w:color w:val="000000" w:themeColor="text1"/>
          <w:sz w:val="20"/>
          <w:szCs w:val="20"/>
        </w:rPr>
        <w:t xml:space="preserve">th meeting, on </w:t>
      </w:r>
      <w:r w:rsidR="004E4B39">
        <w:rPr>
          <w:color w:val="000000" w:themeColor="text1"/>
          <w:sz w:val="20"/>
          <w:szCs w:val="20"/>
        </w:rPr>
        <w:t>5</w:t>
      </w:r>
      <w:r w:rsidR="0092083E" w:rsidRPr="0067399B">
        <w:rPr>
          <w:color w:val="000000" w:themeColor="text1"/>
          <w:sz w:val="20"/>
          <w:szCs w:val="20"/>
        </w:rPr>
        <w:t xml:space="preserve"> March </w:t>
      </w:r>
      <w:r w:rsidR="00141AFC">
        <w:rPr>
          <w:color w:val="000000" w:themeColor="text1"/>
          <w:sz w:val="20"/>
          <w:szCs w:val="20"/>
        </w:rPr>
        <w:t>2019</w:t>
      </w:r>
      <w:r w:rsidR="0092083E" w:rsidRPr="0067399B">
        <w:rPr>
          <w:color w:val="000000" w:themeColor="text1"/>
          <w:sz w:val="20"/>
          <w:szCs w:val="20"/>
        </w:rPr>
        <w:t>, the Special Representative of the Secretary-General for children and armed conflict, Virginia Gamba, presented her report (A/HRC</w:t>
      </w:r>
      <w:r w:rsidR="004E4B39">
        <w:rPr>
          <w:color w:val="000000" w:themeColor="text1"/>
          <w:sz w:val="20"/>
          <w:szCs w:val="20"/>
        </w:rPr>
        <w:t>/</w:t>
      </w:r>
      <w:r w:rsidR="004E4B39" w:rsidRPr="004E4B39">
        <w:rPr>
          <w:color w:val="000000" w:themeColor="text1"/>
          <w:sz w:val="20"/>
          <w:szCs w:val="20"/>
        </w:rPr>
        <w:t>40/49</w:t>
      </w:r>
      <w:r w:rsidR="0092083E" w:rsidRPr="0067399B">
        <w:rPr>
          <w:color w:val="000000" w:themeColor="text1"/>
          <w:sz w:val="20"/>
          <w:szCs w:val="20"/>
        </w:rPr>
        <w:t>).</w:t>
      </w:r>
    </w:p>
    <w:p w14:paraId="3834C388" w14:textId="21210DB0" w:rsidR="0092083E" w:rsidRPr="0067399B" w:rsidRDefault="002B4AE4" w:rsidP="0092083E">
      <w:pPr>
        <w:pStyle w:val="SingleTxtG"/>
        <w:rPr>
          <w:color w:val="000000" w:themeColor="text1"/>
          <w:sz w:val="20"/>
          <w:szCs w:val="20"/>
        </w:rPr>
      </w:pPr>
      <w:r>
        <w:rPr>
          <w:color w:val="000000" w:themeColor="text1"/>
          <w:sz w:val="20"/>
          <w:szCs w:val="20"/>
        </w:rPr>
        <w:t>176</w:t>
      </w:r>
      <w:r w:rsidR="0092083E" w:rsidRPr="0067399B">
        <w:rPr>
          <w:color w:val="000000" w:themeColor="text1"/>
          <w:sz w:val="20"/>
          <w:szCs w:val="20"/>
        </w:rPr>
        <w:t>.</w:t>
      </w:r>
      <w:r w:rsidR="0092083E" w:rsidRPr="0067399B">
        <w:rPr>
          <w:color w:val="000000" w:themeColor="text1"/>
          <w:sz w:val="20"/>
          <w:szCs w:val="20"/>
        </w:rPr>
        <w:tab/>
        <w:t xml:space="preserve">During the ensuing interactive dialogue, at the </w:t>
      </w:r>
      <w:r w:rsidR="00903F0B">
        <w:rPr>
          <w:color w:val="000000" w:themeColor="text1"/>
          <w:sz w:val="20"/>
          <w:szCs w:val="20"/>
        </w:rPr>
        <w:t>18th</w:t>
      </w:r>
      <w:r w:rsidR="004E4B39">
        <w:rPr>
          <w:color w:val="000000" w:themeColor="text1"/>
          <w:sz w:val="20"/>
          <w:szCs w:val="20"/>
        </w:rPr>
        <w:t xml:space="preserve"> </w:t>
      </w:r>
      <w:r w:rsidR="00903F0B">
        <w:rPr>
          <w:color w:val="000000" w:themeColor="text1"/>
          <w:sz w:val="20"/>
          <w:szCs w:val="20"/>
        </w:rPr>
        <w:t xml:space="preserve">to 19th </w:t>
      </w:r>
      <w:r w:rsidR="004E4B39">
        <w:rPr>
          <w:color w:val="000000" w:themeColor="text1"/>
          <w:sz w:val="20"/>
          <w:szCs w:val="20"/>
        </w:rPr>
        <w:t>meeting</w:t>
      </w:r>
      <w:r w:rsidR="00903F0B">
        <w:rPr>
          <w:color w:val="000000" w:themeColor="text1"/>
          <w:sz w:val="20"/>
          <w:szCs w:val="20"/>
        </w:rPr>
        <w:t>s</w:t>
      </w:r>
      <w:r w:rsidR="004E4B39">
        <w:rPr>
          <w:color w:val="000000" w:themeColor="text1"/>
          <w:sz w:val="20"/>
          <w:szCs w:val="20"/>
        </w:rPr>
        <w:t>, on the same day</w:t>
      </w:r>
      <w:r w:rsidR="0092083E" w:rsidRPr="0067399B">
        <w:rPr>
          <w:color w:val="000000" w:themeColor="text1"/>
          <w:sz w:val="20"/>
          <w:szCs w:val="20"/>
        </w:rPr>
        <w:t xml:space="preserve">, </w:t>
      </w:r>
      <w:r w:rsidR="00632581">
        <w:rPr>
          <w:color w:val="000000" w:themeColor="text1"/>
          <w:sz w:val="20"/>
          <w:szCs w:val="20"/>
        </w:rPr>
        <w:t xml:space="preserve">the </w:t>
      </w:r>
      <w:r w:rsidR="0092083E" w:rsidRPr="0067399B">
        <w:rPr>
          <w:color w:val="000000" w:themeColor="text1"/>
          <w:sz w:val="20"/>
          <w:szCs w:val="20"/>
        </w:rPr>
        <w:t>following made statements and asked the Special Representative questions:</w:t>
      </w:r>
    </w:p>
    <w:p w14:paraId="5B3E105F" w14:textId="64276C51" w:rsidR="0092083E" w:rsidRPr="0067399B" w:rsidRDefault="0092083E" w:rsidP="0092083E">
      <w:pPr>
        <w:spacing w:after="120"/>
        <w:ind w:left="1134" w:right="1134" w:firstLine="567"/>
        <w:jc w:val="both"/>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w:t>
      </w:r>
      <w:r w:rsidR="00DD3118">
        <w:rPr>
          <w:color w:val="000000" w:themeColor="text1"/>
          <w:sz w:val="20"/>
          <w:szCs w:val="20"/>
        </w:rPr>
        <w:t xml:space="preserve"> </w:t>
      </w:r>
      <w:r w:rsidR="00B753CF" w:rsidRPr="001F3103">
        <w:rPr>
          <w:color w:val="000000" w:themeColor="text1"/>
          <w:sz w:val="20"/>
          <w:szCs w:val="20"/>
        </w:rPr>
        <w:t>Afghanistan</w:t>
      </w:r>
      <w:r w:rsidR="00B753CF">
        <w:rPr>
          <w:color w:val="000000" w:themeColor="text1"/>
          <w:sz w:val="20"/>
          <w:szCs w:val="20"/>
        </w:rPr>
        <w:t xml:space="preserve">, </w:t>
      </w:r>
      <w:r w:rsidR="00B753CF" w:rsidRPr="00DE39F5">
        <w:rPr>
          <w:color w:val="000000" w:themeColor="text1"/>
          <w:sz w:val="20"/>
          <w:szCs w:val="20"/>
        </w:rPr>
        <w:t xml:space="preserve">Angola </w:t>
      </w:r>
      <w:r w:rsidR="00B753CF">
        <w:rPr>
          <w:color w:val="000000" w:themeColor="text1"/>
          <w:sz w:val="20"/>
          <w:szCs w:val="20"/>
        </w:rPr>
        <w:t>(</w:t>
      </w:r>
      <w:r w:rsidR="00B753CF" w:rsidRPr="00544A55">
        <w:rPr>
          <w:color w:val="000000" w:themeColor="text1"/>
          <w:sz w:val="20"/>
          <w:szCs w:val="20"/>
        </w:rPr>
        <w:t>on behalf of the Group of African States</w:t>
      </w:r>
      <w:r w:rsidR="00B753CF">
        <w:rPr>
          <w:color w:val="000000" w:themeColor="text1"/>
          <w:sz w:val="20"/>
          <w:szCs w:val="20"/>
        </w:rPr>
        <w:t xml:space="preserve">), </w:t>
      </w:r>
      <w:r w:rsidR="00B753CF" w:rsidRPr="001F3103">
        <w:rPr>
          <w:color w:val="000000" w:themeColor="text1"/>
          <w:sz w:val="20"/>
          <w:szCs w:val="20"/>
        </w:rPr>
        <w:t>Argentina</w:t>
      </w:r>
      <w:r w:rsidR="00B753CF">
        <w:rPr>
          <w:color w:val="000000" w:themeColor="text1"/>
          <w:sz w:val="20"/>
          <w:szCs w:val="20"/>
        </w:rPr>
        <w:t xml:space="preserve">, </w:t>
      </w:r>
      <w:r w:rsidR="00B753CF" w:rsidRPr="001F3103">
        <w:rPr>
          <w:color w:val="000000" w:themeColor="text1"/>
          <w:sz w:val="20"/>
          <w:szCs w:val="20"/>
        </w:rPr>
        <w:t>Austria</w:t>
      </w:r>
      <w:r w:rsidR="00B753CF">
        <w:rPr>
          <w:color w:val="000000" w:themeColor="text1"/>
          <w:sz w:val="20"/>
          <w:szCs w:val="20"/>
        </w:rPr>
        <w:t xml:space="preserve">, </w:t>
      </w:r>
      <w:r w:rsidR="00DD3118" w:rsidRPr="0025196A">
        <w:rPr>
          <w:color w:val="000000" w:themeColor="text1"/>
          <w:sz w:val="20"/>
          <w:szCs w:val="20"/>
        </w:rPr>
        <w:t xml:space="preserve">Bahrain </w:t>
      </w:r>
      <w:r w:rsidR="00DD3118">
        <w:rPr>
          <w:color w:val="000000" w:themeColor="text1"/>
          <w:sz w:val="20"/>
          <w:szCs w:val="20"/>
        </w:rPr>
        <w:t>(</w:t>
      </w:r>
      <w:r w:rsidR="00DD3118" w:rsidRPr="0025196A">
        <w:rPr>
          <w:color w:val="000000" w:themeColor="text1"/>
          <w:sz w:val="20"/>
          <w:szCs w:val="20"/>
        </w:rPr>
        <w:t xml:space="preserve">on behalf of the Group </w:t>
      </w:r>
      <w:r w:rsidR="00DD3118">
        <w:rPr>
          <w:color w:val="000000" w:themeColor="text1"/>
          <w:sz w:val="20"/>
          <w:szCs w:val="20"/>
        </w:rPr>
        <w:t xml:space="preserve">of </w:t>
      </w:r>
      <w:r w:rsidR="00DD3118" w:rsidRPr="0025196A">
        <w:rPr>
          <w:color w:val="000000" w:themeColor="text1"/>
          <w:sz w:val="20"/>
          <w:szCs w:val="20"/>
        </w:rPr>
        <w:t>Arab</w:t>
      </w:r>
      <w:r w:rsidR="00DD3118">
        <w:rPr>
          <w:color w:val="000000" w:themeColor="text1"/>
          <w:sz w:val="20"/>
          <w:szCs w:val="20"/>
        </w:rPr>
        <w:t xml:space="preserve"> States), </w:t>
      </w:r>
      <w:r w:rsidR="00DD3118" w:rsidRPr="001F3103">
        <w:rPr>
          <w:color w:val="000000" w:themeColor="text1"/>
          <w:sz w:val="20"/>
          <w:szCs w:val="20"/>
        </w:rPr>
        <w:t>Bangladesh</w:t>
      </w:r>
      <w:r w:rsidR="00DD3118">
        <w:rPr>
          <w:color w:val="000000" w:themeColor="text1"/>
          <w:sz w:val="20"/>
          <w:szCs w:val="20"/>
        </w:rPr>
        <w:t xml:space="preserve">, </w:t>
      </w:r>
      <w:r w:rsidR="00DD3118" w:rsidRPr="001F3103">
        <w:rPr>
          <w:color w:val="000000" w:themeColor="text1"/>
          <w:sz w:val="20"/>
          <w:szCs w:val="20"/>
        </w:rPr>
        <w:t>Cameroon</w:t>
      </w:r>
      <w:r w:rsidR="00DD3118">
        <w:rPr>
          <w:color w:val="000000" w:themeColor="text1"/>
          <w:sz w:val="20"/>
          <w:szCs w:val="20"/>
        </w:rPr>
        <w:t xml:space="preserve">, </w:t>
      </w:r>
      <w:r w:rsidR="00DD3118" w:rsidRPr="0025196A">
        <w:rPr>
          <w:color w:val="000000" w:themeColor="text1"/>
          <w:sz w:val="20"/>
          <w:szCs w:val="20"/>
        </w:rPr>
        <w:t>Canada</w:t>
      </w:r>
      <w:r w:rsidR="007E79C8">
        <w:rPr>
          <w:rStyle w:val="FootnoteReference"/>
          <w:color w:val="000000" w:themeColor="text1"/>
          <w:szCs w:val="20"/>
        </w:rPr>
        <w:footnoteReference w:id="25"/>
      </w:r>
      <w:r w:rsidR="00DD3118" w:rsidRPr="0025196A">
        <w:rPr>
          <w:color w:val="000000" w:themeColor="text1"/>
          <w:sz w:val="20"/>
          <w:szCs w:val="20"/>
        </w:rPr>
        <w:t xml:space="preserve"> </w:t>
      </w:r>
      <w:r w:rsidR="00DD3118">
        <w:rPr>
          <w:color w:val="000000" w:themeColor="text1"/>
          <w:sz w:val="20"/>
          <w:szCs w:val="20"/>
        </w:rPr>
        <w:t>(</w:t>
      </w:r>
      <w:r w:rsidR="00DD3118" w:rsidRPr="007833A3">
        <w:rPr>
          <w:color w:val="000000" w:themeColor="text1"/>
          <w:sz w:val="20"/>
          <w:szCs w:val="20"/>
        </w:rPr>
        <w:t>on behalf of the French-speaking States Members and observers</w:t>
      </w:r>
      <w:r w:rsidR="00DD3118">
        <w:rPr>
          <w:color w:val="000000" w:themeColor="text1"/>
          <w:sz w:val="20"/>
          <w:szCs w:val="20"/>
        </w:rPr>
        <w:t>),</w:t>
      </w:r>
      <w:r w:rsidR="00DD3118" w:rsidRPr="0025196A">
        <w:rPr>
          <w:color w:val="000000" w:themeColor="text1"/>
          <w:sz w:val="20"/>
          <w:szCs w:val="20"/>
        </w:rPr>
        <w:t xml:space="preserve"> </w:t>
      </w:r>
      <w:r w:rsidR="00DD3118" w:rsidRPr="001F3103">
        <w:rPr>
          <w:color w:val="000000" w:themeColor="text1"/>
          <w:sz w:val="20"/>
          <w:szCs w:val="20"/>
        </w:rPr>
        <w:t>China</w:t>
      </w:r>
      <w:r w:rsidR="00DD3118">
        <w:rPr>
          <w:color w:val="000000" w:themeColor="text1"/>
          <w:sz w:val="20"/>
          <w:szCs w:val="20"/>
        </w:rPr>
        <w:t xml:space="preserve">, </w:t>
      </w:r>
      <w:r w:rsidR="00DD3118" w:rsidRPr="001F3103">
        <w:rPr>
          <w:color w:val="000000" w:themeColor="text1"/>
          <w:sz w:val="20"/>
          <w:szCs w:val="20"/>
        </w:rPr>
        <w:t>Croatia</w:t>
      </w:r>
      <w:r w:rsidR="00DD3118">
        <w:rPr>
          <w:color w:val="000000" w:themeColor="text1"/>
          <w:sz w:val="20"/>
          <w:szCs w:val="20"/>
        </w:rPr>
        <w:t xml:space="preserve">, </w:t>
      </w:r>
      <w:r w:rsidR="00DD3118" w:rsidRPr="001F3103">
        <w:rPr>
          <w:color w:val="000000" w:themeColor="text1"/>
          <w:sz w:val="20"/>
          <w:szCs w:val="20"/>
        </w:rPr>
        <w:t>Egypt</w:t>
      </w:r>
      <w:r w:rsidR="00DD3118">
        <w:rPr>
          <w:color w:val="000000" w:themeColor="text1"/>
          <w:sz w:val="20"/>
          <w:szCs w:val="20"/>
        </w:rPr>
        <w:t xml:space="preserve">, Fiji (also on behalf of </w:t>
      </w:r>
      <w:r w:rsidR="00DD3118" w:rsidRPr="001F3103">
        <w:rPr>
          <w:color w:val="000000" w:themeColor="text1"/>
          <w:sz w:val="20"/>
          <w:szCs w:val="20"/>
        </w:rPr>
        <w:t xml:space="preserve">Afghanistan, Albania, Andorra, Angola, Argentina, Armenia, Austria, Belgium, </w:t>
      </w:r>
      <w:r w:rsidR="00DD3118" w:rsidRPr="001F3103">
        <w:rPr>
          <w:color w:val="000000" w:themeColor="text1"/>
          <w:sz w:val="20"/>
          <w:szCs w:val="20"/>
        </w:rPr>
        <w:lastRenderedPageBreak/>
        <w:t xml:space="preserve">Botswana, Brazil, Bulgaria, Burkina Faso, Canada, </w:t>
      </w:r>
      <w:r w:rsidR="00DD3118">
        <w:rPr>
          <w:color w:val="000000" w:themeColor="text1"/>
          <w:sz w:val="20"/>
          <w:szCs w:val="20"/>
        </w:rPr>
        <w:t xml:space="preserve">the </w:t>
      </w:r>
      <w:r w:rsidR="00DD3118" w:rsidRPr="001F3103">
        <w:rPr>
          <w:color w:val="000000" w:themeColor="text1"/>
          <w:sz w:val="20"/>
          <w:szCs w:val="20"/>
        </w:rPr>
        <w:t>Central African Republic, Chad, Chile, Cyprus, Czech</w:t>
      </w:r>
      <w:r w:rsidR="00DD3118">
        <w:rPr>
          <w:color w:val="000000" w:themeColor="text1"/>
          <w:sz w:val="20"/>
          <w:szCs w:val="20"/>
        </w:rPr>
        <w:t>ia</w:t>
      </w:r>
      <w:r w:rsidR="00DD3118" w:rsidRPr="001F3103">
        <w:rPr>
          <w:color w:val="000000" w:themeColor="text1"/>
          <w:sz w:val="20"/>
          <w:szCs w:val="20"/>
        </w:rPr>
        <w:t xml:space="preserve">, </w:t>
      </w:r>
      <w:r w:rsidR="00DD3118">
        <w:rPr>
          <w:color w:val="000000" w:themeColor="text1"/>
          <w:sz w:val="20"/>
          <w:szCs w:val="20"/>
        </w:rPr>
        <w:t xml:space="preserve">the </w:t>
      </w:r>
      <w:r w:rsidR="00DD3118" w:rsidRPr="001F3103">
        <w:rPr>
          <w:color w:val="000000" w:themeColor="text1"/>
          <w:sz w:val="20"/>
          <w:szCs w:val="20"/>
        </w:rPr>
        <w:t>Democratic Republic of the Congo, Denmark, Djibouti, the Dominican Republic, Ecuador, El Salvador, Finland, Georgia, Germany, Greece, Haiti, Honduras, Iceland, Ireland, Italy, Jamaica, Jordan, Kazakhstan, Lebanon, Li</w:t>
      </w:r>
      <w:r w:rsidR="00DD3118">
        <w:rPr>
          <w:color w:val="000000" w:themeColor="text1"/>
          <w:sz w:val="20"/>
          <w:szCs w:val="20"/>
        </w:rPr>
        <w:t>e</w:t>
      </w:r>
      <w:r w:rsidR="00DD3118" w:rsidRPr="001F3103">
        <w:rPr>
          <w:color w:val="000000" w:themeColor="text1"/>
          <w:sz w:val="20"/>
          <w:szCs w:val="20"/>
        </w:rPr>
        <w:t xml:space="preserve">chtenstein, Luxembourg, Malaysia, Malta, Monaco, Montenegro, Mozambique, the Netherlands, New Zealand, </w:t>
      </w:r>
      <w:r w:rsidR="00DD3118">
        <w:rPr>
          <w:color w:val="000000" w:themeColor="text1"/>
          <w:sz w:val="20"/>
          <w:szCs w:val="20"/>
        </w:rPr>
        <w:t xml:space="preserve">the </w:t>
      </w:r>
      <w:r w:rsidR="00DD3118" w:rsidRPr="001F3103">
        <w:rPr>
          <w:color w:val="000000" w:themeColor="text1"/>
          <w:sz w:val="20"/>
          <w:szCs w:val="20"/>
        </w:rPr>
        <w:t>Niger, Nigeria, North Macedonia, Norway, Panama, Poland, Portugal, Qatar, Romania, San Marino, Serbia, Sierra Leone, Slovakia, Slovenia, Spain, Somalia,</w:t>
      </w:r>
      <w:r w:rsidR="00B67B9F">
        <w:rPr>
          <w:color w:val="000000" w:themeColor="text1"/>
          <w:sz w:val="20"/>
          <w:szCs w:val="20"/>
        </w:rPr>
        <w:t xml:space="preserve"> the</w:t>
      </w:r>
      <w:r w:rsidR="00DD3118" w:rsidRPr="001F3103">
        <w:rPr>
          <w:color w:val="000000" w:themeColor="text1"/>
          <w:sz w:val="20"/>
          <w:szCs w:val="20"/>
        </w:rPr>
        <w:t xml:space="preserve"> Sudan, Sweden, Switzerland, </w:t>
      </w:r>
      <w:r w:rsidR="00DD3118">
        <w:rPr>
          <w:color w:val="000000" w:themeColor="text1"/>
          <w:sz w:val="20"/>
          <w:szCs w:val="20"/>
        </w:rPr>
        <w:t xml:space="preserve">the </w:t>
      </w:r>
      <w:r w:rsidR="00DD3118" w:rsidRPr="001F3103">
        <w:rPr>
          <w:color w:val="000000" w:themeColor="text1"/>
          <w:sz w:val="20"/>
          <w:szCs w:val="20"/>
        </w:rPr>
        <w:t>United Kingdom</w:t>
      </w:r>
      <w:r w:rsidR="00DD3118">
        <w:rPr>
          <w:color w:val="000000" w:themeColor="text1"/>
          <w:sz w:val="20"/>
          <w:szCs w:val="20"/>
        </w:rPr>
        <w:t xml:space="preserve"> </w:t>
      </w:r>
      <w:r w:rsidR="00DD3118" w:rsidRPr="00D55565">
        <w:rPr>
          <w:color w:val="000000" w:themeColor="text1"/>
          <w:sz w:val="20"/>
          <w:szCs w:val="20"/>
        </w:rPr>
        <w:t>of Great Britain and Northern Ireland</w:t>
      </w:r>
      <w:r w:rsidR="00DD3118" w:rsidRPr="001F3103">
        <w:rPr>
          <w:color w:val="000000" w:themeColor="text1"/>
          <w:sz w:val="20"/>
          <w:szCs w:val="20"/>
        </w:rPr>
        <w:t>, Uruguay, Yemen</w:t>
      </w:r>
      <w:r w:rsidR="00DD3118">
        <w:rPr>
          <w:color w:val="000000" w:themeColor="text1"/>
          <w:sz w:val="20"/>
          <w:szCs w:val="20"/>
        </w:rPr>
        <w:t xml:space="preserve"> and the State of Palestine), </w:t>
      </w:r>
      <w:r w:rsidR="00DD3118" w:rsidRPr="001F3103">
        <w:rPr>
          <w:color w:val="000000" w:themeColor="text1"/>
          <w:sz w:val="20"/>
          <w:szCs w:val="20"/>
        </w:rPr>
        <w:t>Iraq</w:t>
      </w:r>
      <w:r w:rsidR="00DD3118">
        <w:rPr>
          <w:color w:val="000000" w:themeColor="text1"/>
          <w:sz w:val="20"/>
          <w:szCs w:val="20"/>
        </w:rPr>
        <w:t xml:space="preserve">, </w:t>
      </w:r>
      <w:r w:rsidR="00DD3118" w:rsidRPr="001F3103">
        <w:rPr>
          <w:color w:val="000000" w:themeColor="text1"/>
          <w:sz w:val="20"/>
          <w:szCs w:val="20"/>
        </w:rPr>
        <w:t>Italy</w:t>
      </w:r>
      <w:r w:rsidR="00DD3118">
        <w:rPr>
          <w:color w:val="000000" w:themeColor="text1"/>
          <w:sz w:val="20"/>
          <w:szCs w:val="20"/>
        </w:rPr>
        <w:t>, Latvia</w:t>
      </w:r>
      <w:r w:rsidR="007E79C8">
        <w:rPr>
          <w:rStyle w:val="FootnoteReference"/>
          <w:color w:val="000000" w:themeColor="text1"/>
          <w:szCs w:val="20"/>
        </w:rPr>
        <w:footnoteReference w:id="26"/>
      </w:r>
      <w:r w:rsidR="00DD3118">
        <w:rPr>
          <w:color w:val="000000" w:themeColor="text1"/>
          <w:sz w:val="20"/>
          <w:szCs w:val="20"/>
        </w:rPr>
        <w:t xml:space="preserve"> (also on behalf of Denmark, Estonia, Finland, Iceland, Lithuania, Norway and Sweden), </w:t>
      </w:r>
      <w:r w:rsidR="00DD3118" w:rsidRPr="001F3103">
        <w:rPr>
          <w:color w:val="000000" w:themeColor="text1"/>
          <w:sz w:val="20"/>
          <w:szCs w:val="20"/>
        </w:rPr>
        <w:t>Mexico</w:t>
      </w:r>
      <w:r w:rsidR="00DD3118">
        <w:rPr>
          <w:color w:val="000000" w:themeColor="text1"/>
          <w:sz w:val="20"/>
          <w:szCs w:val="20"/>
        </w:rPr>
        <w:t xml:space="preserve">, </w:t>
      </w:r>
      <w:r w:rsidR="00DD3118" w:rsidRPr="001F3103">
        <w:rPr>
          <w:color w:val="000000" w:themeColor="text1"/>
          <w:sz w:val="20"/>
          <w:szCs w:val="20"/>
        </w:rPr>
        <w:t>Nigeria</w:t>
      </w:r>
      <w:r w:rsidR="00DD3118">
        <w:rPr>
          <w:color w:val="000000" w:themeColor="text1"/>
          <w:sz w:val="20"/>
          <w:szCs w:val="20"/>
        </w:rPr>
        <w:t xml:space="preserve">, </w:t>
      </w:r>
      <w:r w:rsidR="00DD3118" w:rsidRPr="001F3103">
        <w:rPr>
          <w:color w:val="000000" w:themeColor="text1"/>
          <w:sz w:val="20"/>
          <w:szCs w:val="20"/>
        </w:rPr>
        <w:t>Pakistan</w:t>
      </w:r>
      <w:r w:rsidR="00DD3118">
        <w:rPr>
          <w:color w:val="000000" w:themeColor="text1"/>
          <w:sz w:val="20"/>
          <w:szCs w:val="20"/>
        </w:rPr>
        <w:t xml:space="preserve">, </w:t>
      </w:r>
      <w:r w:rsidR="00DD3118" w:rsidRPr="001F3103">
        <w:rPr>
          <w:color w:val="000000" w:themeColor="text1"/>
          <w:sz w:val="20"/>
          <w:szCs w:val="20"/>
        </w:rPr>
        <w:t>Philippines</w:t>
      </w:r>
      <w:r w:rsidR="00DD3118">
        <w:rPr>
          <w:color w:val="000000" w:themeColor="text1"/>
          <w:sz w:val="20"/>
          <w:szCs w:val="20"/>
        </w:rPr>
        <w:t xml:space="preserve">, </w:t>
      </w:r>
      <w:r w:rsidR="00DD3118" w:rsidRPr="001F3103">
        <w:rPr>
          <w:color w:val="000000" w:themeColor="text1"/>
          <w:sz w:val="20"/>
          <w:szCs w:val="20"/>
        </w:rPr>
        <w:t>Qatar</w:t>
      </w:r>
      <w:r w:rsidR="00DD3118">
        <w:rPr>
          <w:color w:val="000000" w:themeColor="text1"/>
          <w:sz w:val="20"/>
          <w:szCs w:val="20"/>
        </w:rPr>
        <w:t xml:space="preserve">, </w:t>
      </w:r>
      <w:r w:rsidR="00DD3118" w:rsidRPr="001F3103">
        <w:rPr>
          <w:color w:val="000000" w:themeColor="text1"/>
          <w:sz w:val="20"/>
          <w:szCs w:val="20"/>
        </w:rPr>
        <w:t>Saudi Arabia</w:t>
      </w:r>
      <w:r w:rsidR="00DD3118">
        <w:rPr>
          <w:color w:val="000000" w:themeColor="text1"/>
          <w:sz w:val="20"/>
          <w:szCs w:val="20"/>
        </w:rPr>
        <w:t xml:space="preserve">, </w:t>
      </w:r>
      <w:r w:rsidR="00DD3118" w:rsidRPr="001F3103">
        <w:rPr>
          <w:color w:val="000000" w:themeColor="text1"/>
          <w:sz w:val="20"/>
          <w:szCs w:val="20"/>
        </w:rPr>
        <w:t>Somalia</w:t>
      </w:r>
      <w:r w:rsidR="00DD3118">
        <w:rPr>
          <w:color w:val="000000" w:themeColor="text1"/>
          <w:sz w:val="20"/>
          <w:szCs w:val="20"/>
        </w:rPr>
        <w:t xml:space="preserve">, </w:t>
      </w:r>
      <w:r w:rsidR="00DD3118" w:rsidRPr="001F3103">
        <w:rPr>
          <w:color w:val="000000" w:themeColor="text1"/>
          <w:sz w:val="20"/>
          <w:szCs w:val="20"/>
        </w:rPr>
        <w:t>South Africa</w:t>
      </w:r>
      <w:r w:rsidR="00DD3118">
        <w:rPr>
          <w:color w:val="000000" w:themeColor="text1"/>
          <w:sz w:val="20"/>
          <w:szCs w:val="20"/>
        </w:rPr>
        <w:t xml:space="preserve">, </w:t>
      </w:r>
      <w:r w:rsidR="00DD3118" w:rsidRPr="001F3103">
        <w:rPr>
          <w:color w:val="000000" w:themeColor="text1"/>
          <w:sz w:val="20"/>
          <w:szCs w:val="20"/>
        </w:rPr>
        <w:t>Spain</w:t>
      </w:r>
      <w:r w:rsidR="00DD3118">
        <w:rPr>
          <w:color w:val="000000" w:themeColor="text1"/>
          <w:sz w:val="20"/>
          <w:szCs w:val="20"/>
        </w:rPr>
        <w:t xml:space="preserve">, </w:t>
      </w:r>
      <w:r w:rsidR="00DD3118" w:rsidRPr="001F3103">
        <w:rPr>
          <w:color w:val="000000" w:themeColor="text1"/>
          <w:sz w:val="20"/>
          <w:szCs w:val="20"/>
        </w:rPr>
        <w:t>Tunisia</w:t>
      </w:r>
      <w:r w:rsidR="00DD3118">
        <w:rPr>
          <w:color w:val="000000" w:themeColor="text1"/>
          <w:sz w:val="20"/>
          <w:szCs w:val="20"/>
        </w:rPr>
        <w:t xml:space="preserve">, </w:t>
      </w:r>
      <w:r w:rsidR="00DD3118" w:rsidRPr="001F3103">
        <w:rPr>
          <w:color w:val="000000" w:themeColor="text1"/>
          <w:sz w:val="20"/>
          <w:szCs w:val="20"/>
        </w:rPr>
        <w:t>Ukraine</w:t>
      </w:r>
      <w:r w:rsidR="00DD3118">
        <w:rPr>
          <w:color w:val="000000" w:themeColor="text1"/>
          <w:sz w:val="20"/>
          <w:szCs w:val="20"/>
        </w:rPr>
        <w:t xml:space="preserve">, </w:t>
      </w:r>
      <w:r w:rsidR="00DD3118" w:rsidRPr="001F3103">
        <w:rPr>
          <w:color w:val="000000" w:themeColor="text1"/>
          <w:sz w:val="20"/>
          <w:szCs w:val="20"/>
        </w:rPr>
        <w:t>United Kingdom of Great Britain and Northern Ireland</w:t>
      </w:r>
      <w:r w:rsidR="00DD3118">
        <w:rPr>
          <w:color w:val="000000" w:themeColor="text1"/>
          <w:sz w:val="20"/>
          <w:szCs w:val="20"/>
        </w:rPr>
        <w:t xml:space="preserve">, </w:t>
      </w:r>
      <w:r w:rsidR="00DD3118" w:rsidRPr="001F3103">
        <w:rPr>
          <w:color w:val="000000" w:themeColor="text1"/>
          <w:sz w:val="20"/>
          <w:szCs w:val="20"/>
        </w:rPr>
        <w:t>Uruguay</w:t>
      </w:r>
      <w:r w:rsidR="00DD3118">
        <w:rPr>
          <w:color w:val="000000" w:themeColor="text1"/>
          <w:sz w:val="20"/>
          <w:szCs w:val="20"/>
        </w:rPr>
        <w:t xml:space="preserve">, Uruguay (also on behalf of </w:t>
      </w:r>
      <w:r w:rsidR="00DD3118" w:rsidRPr="00A630C2">
        <w:rPr>
          <w:color w:val="000000" w:themeColor="text1"/>
          <w:sz w:val="20"/>
          <w:szCs w:val="20"/>
        </w:rPr>
        <w:t xml:space="preserve">Australia, Austria, Belgium, Canada, Chile, Croatia, Czechia, Estonia, France, Germany, Guatemala, Hungary, Italy, Jordan, Liechtenstein, Luxemburg, Morocco, </w:t>
      </w:r>
      <w:r w:rsidR="00DD3118">
        <w:rPr>
          <w:color w:val="000000" w:themeColor="text1"/>
          <w:sz w:val="20"/>
          <w:szCs w:val="20"/>
        </w:rPr>
        <w:t xml:space="preserve">the </w:t>
      </w:r>
      <w:r w:rsidR="00DD3118" w:rsidRPr="00A630C2">
        <w:rPr>
          <w:color w:val="000000" w:themeColor="text1"/>
          <w:sz w:val="20"/>
          <w:szCs w:val="20"/>
        </w:rPr>
        <w:t>Netherlands, Norway, Portugal, Slovenia, Sweden, Switzerland</w:t>
      </w:r>
      <w:r w:rsidR="00DD3118">
        <w:rPr>
          <w:color w:val="000000" w:themeColor="text1"/>
          <w:sz w:val="20"/>
          <w:szCs w:val="20"/>
        </w:rPr>
        <w:t xml:space="preserve"> and</w:t>
      </w:r>
      <w:r w:rsidR="00DD3118" w:rsidRPr="00A630C2">
        <w:rPr>
          <w:color w:val="000000" w:themeColor="text1"/>
          <w:sz w:val="20"/>
          <w:szCs w:val="20"/>
        </w:rPr>
        <w:t xml:space="preserve"> </w:t>
      </w:r>
      <w:r w:rsidR="00DD3118">
        <w:rPr>
          <w:color w:val="000000" w:themeColor="text1"/>
          <w:sz w:val="20"/>
          <w:szCs w:val="20"/>
        </w:rPr>
        <w:t xml:space="preserve">the </w:t>
      </w:r>
      <w:r w:rsidR="00DD3118" w:rsidRPr="00D55565">
        <w:rPr>
          <w:color w:val="000000" w:themeColor="text1"/>
          <w:sz w:val="20"/>
          <w:szCs w:val="20"/>
        </w:rPr>
        <w:t>United Kingdom of Great Britain and Northern Ireland</w:t>
      </w:r>
      <w:r w:rsidR="00DD3118">
        <w:rPr>
          <w:color w:val="000000" w:themeColor="text1"/>
          <w:sz w:val="20"/>
          <w:szCs w:val="20"/>
        </w:rPr>
        <w:t>)</w:t>
      </w:r>
      <w:r w:rsidRPr="0067399B">
        <w:rPr>
          <w:color w:val="000000" w:themeColor="text1"/>
          <w:sz w:val="20"/>
          <w:szCs w:val="20"/>
        </w:rPr>
        <w:t xml:space="preserve">; </w:t>
      </w:r>
    </w:p>
    <w:p w14:paraId="7706EFCA" w14:textId="42FFD941" w:rsidR="0092083E" w:rsidRPr="0067399B" w:rsidRDefault="0092083E" w:rsidP="0092083E">
      <w:pPr>
        <w:spacing w:after="120"/>
        <w:ind w:left="1134" w:right="1134" w:firstLine="567"/>
        <w:jc w:val="both"/>
        <w:rPr>
          <w:color w:val="000000" w:themeColor="text1"/>
          <w:sz w:val="20"/>
          <w:szCs w:val="20"/>
        </w:rPr>
      </w:pPr>
      <w:r w:rsidRPr="0067399B">
        <w:rPr>
          <w:color w:val="000000" w:themeColor="text1"/>
          <w:sz w:val="20"/>
          <w:szCs w:val="20"/>
        </w:rPr>
        <w:t>(b)</w:t>
      </w:r>
      <w:r w:rsidRPr="0067399B">
        <w:rPr>
          <w:color w:val="000000" w:themeColor="text1"/>
          <w:sz w:val="20"/>
          <w:szCs w:val="20"/>
        </w:rPr>
        <w:tab/>
        <w:t xml:space="preserve">Representatives of observer States: </w:t>
      </w:r>
      <w:r w:rsidR="00DD3118" w:rsidRPr="001F3103">
        <w:rPr>
          <w:color w:val="000000" w:themeColor="text1"/>
          <w:sz w:val="20"/>
          <w:szCs w:val="20"/>
        </w:rPr>
        <w:t>Algeria</w:t>
      </w:r>
      <w:r w:rsidR="00DD3118">
        <w:rPr>
          <w:color w:val="000000" w:themeColor="text1"/>
          <w:sz w:val="20"/>
          <w:szCs w:val="20"/>
        </w:rPr>
        <w:t xml:space="preserve">, </w:t>
      </w:r>
      <w:r w:rsidR="00DD3118" w:rsidRPr="001F3103">
        <w:rPr>
          <w:color w:val="000000" w:themeColor="text1"/>
          <w:sz w:val="20"/>
          <w:szCs w:val="20"/>
        </w:rPr>
        <w:t>Azerbaijan</w:t>
      </w:r>
      <w:r w:rsidR="00DD3118">
        <w:rPr>
          <w:color w:val="000000" w:themeColor="text1"/>
          <w:sz w:val="20"/>
          <w:szCs w:val="20"/>
        </w:rPr>
        <w:t xml:space="preserve">, </w:t>
      </w:r>
      <w:r w:rsidR="00DD3118" w:rsidRPr="001F3103">
        <w:rPr>
          <w:color w:val="000000" w:themeColor="text1"/>
          <w:sz w:val="20"/>
          <w:szCs w:val="20"/>
        </w:rPr>
        <w:t>Belgium</w:t>
      </w:r>
      <w:r w:rsidR="00DD3118">
        <w:rPr>
          <w:color w:val="000000" w:themeColor="text1"/>
          <w:sz w:val="20"/>
          <w:szCs w:val="20"/>
        </w:rPr>
        <w:t xml:space="preserve">, </w:t>
      </w:r>
      <w:r w:rsidR="00DD3118" w:rsidRPr="001F3103">
        <w:rPr>
          <w:color w:val="000000" w:themeColor="text1"/>
          <w:sz w:val="20"/>
          <w:szCs w:val="20"/>
        </w:rPr>
        <w:t>Botswana</w:t>
      </w:r>
      <w:r w:rsidR="00DD3118">
        <w:rPr>
          <w:color w:val="000000" w:themeColor="text1"/>
          <w:sz w:val="20"/>
          <w:szCs w:val="20"/>
        </w:rPr>
        <w:t xml:space="preserve">, </w:t>
      </w:r>
      <w:r w:rsidR="00DD3118" w:rsidRPr="001F3103">
        <w:rPr>
          <w:color w:val="000000" w:themeColor="text1"/>
          <w:sz w:val="20"/>
          <w:szCs w:val="20"/>
        </w:rPr>
        <w:t>Canada</w:t>
      </w:r>
      <w:r w:rsidR="00DD3118">
        <w:rPr>
          <w:color w:val="000000" w:themeColor="text1"/>
          <w:sz w:val="20"/>
          <w:szCs w:val="20"/>
        </w:rPr>
        <w:t xml:space="preserve">, </w:t>
      </w:r>
      <w:r w:rsidR="00DD3118" w:rsidRPr="001F3103">
        <w:rPr>
          <w:color w:val="000000" w:themeColor="text1"/>
          <w:sz w:val="20"/>
          <w:szCs w:val="20"/>
        </w:rPr>
        <w:t>Chad</w:t>
      </w:r>
      <w:r w:rsidR="00DD3118">
        <w:rPr>
          <w:color w:val="000000" w:themeColor="text1"/>
          <w:sz w:val="20"/>
          <w:szCs w:val="20"/>
        </w:rPr>
        <w:t xml:space="preserve">, </w:t>
      </w:r>
      <w:r w:rsidR="00DD3118" w:rsidRPr="001F3103">
        <w:rPr>
          <w:color w:val="000000" w:themeColor="text1"/>
          <w:sz w:val="20"/>
          <w:szCs w:val="20"/>
        </w:rPr>
        <w:t>Colombia</w:t>
      </w:r>
      <w:r w:rsidR="00DD3118">
        <w:rPr>
          <w:color w:val="000000" w:themeColor="text1"/>
          <w:sz w:val="20"/>
          <w:szCs w:val="20"/>
        </w:rPr>
        <w:t xml:space="preserve">, </w:t>
      </w:r>
      <w:r w:rsidR="00DD3118" w:rsidRPr="001F3103">
        <w:rPr>
          <w:color w:val="000000" w:themeColor="text1"/>
          <w:sz w:val="20"/>
          <w:szCs w:val="20"/>
        </w:rPr>
        <w:t>Costa Rica</w:t>
      </w:r>
      <w:r w:rsidR="00DD3118">
        <w:rPr>
          <w:color w:val="000000" w:themeColor="text1"/>
          <w:sz w:val="20"/>
          <w:szCs w:val="20"/>
        </w:rPr>
        <w:t xml:space="preserve">, </w:t>
      </w:r>
      <w:r w:rsidR="00DD3118" w:rsidRPr="001F3103">
        <w:rPr>
          <w:color w:val="000000" w:themeColor="text1"/>
          <w:sz w:val="20"/>
          <w:szCs w:val="20"/>
        </w:rPr>
        <w:t>Djibouti</w:t>
      </w:r>
      <w:r w:rsidR="00DD3118">
        <w:rPr>
          <w:color w:val="000000" w:themeColor="text1"/>
          <w:sz w:val="20"/>
          <w:szCs w:val="20"/>
        </w:rPr>
        <w:t xml:space="preserve">, </w:t>
      </w:r>
      <w:r w:rsidR="00DD3118" w:rsidRPr="001F3103">
        <w:rPr>
          <w:color w:val="000000" w:themeColor="text1"/>
          <w:sz w:val="20"/>
          <w:szCs w:val="20"/>
        </w:rPr>
        <w:t>Ecuador</w:t>
      </w:r>
      <w:r w:rsidR="00DD3118">
        <w:rPr>
          <w:color w:val="000000" w:themeColor="text1"/>
          <w:sz w:val="20"/>
          <w:szCs w:val="20"/>
        </w:rPr>
        <w:t xml:space="preserve">, </w:t>
      </w:r>
      <w:r w:rsidR="00DD3118" w:rsidRPr="001F3103">
        <w:rPr>
          <w:color w:val="000000" w:themeColor="text1"/>
          <w:sz w:val="20"/>
          <w:szCs w:val="20"/>
        </w:rPr>
        <w:t>El Salvador</w:t>
      </w:r>
      <w:r w:rsidR="00DD3118">
        <w:rPr>
          <w:color w:val="000000" w:themeColor="text1"/>
          <w:sz w:val="20"/>
          <w:szCs w:val="20"/>
        </w:rPr>
        <w:t xml:space="preserve">, </w:t>
      </w:r>
      <w:r w:rsidR="00DD3118" w:rsidRPr="001F3103">
        <w:rPr>
          <w:color w:val="000000" w:themeColor="text1"/>
          <w:sz w:val="20"/>
          <w:szCs w:val="20"/>
        </w:rPr>
        <w:t>France</w:t>
      </w:r>
      <w:r w:rsidR="00DD3118">
        <w:rPr>
          <w:color w:val="000000" w:themeColor="text1"/>
          <w:sz w:val="20"/>
          <w:szCs w:val="20"/>
        </w:rPr>
        <w:t xml:space="preserve">, </w:t>
      </w:r>
      <w:r w:rsidR="00DD3118" w:rsidRPr="001F3103">
        <w:rPr>
          <w:color w:val="000000" w:themeColor="text1"/>
          <w:sz w:val="20"/>
          <w:szCs w:val="20"/>
        </w:rPr>
        <w:t>Georgia</w:t>
      </w:r>
      <w:r w:rsidR="00DD3118">
        <w:rPr>
          <w:color w:val="000000" w:themeColor="text1"/>
          <w:sz w:val="20"/>
          <w:szCs w:val="20"/>
        </w:rPr>
        <w:t xml:space="preserve">, </w:t>
      </w:r>
      <w:r w:rsidR="00DD3118" w:rsidRPr="001F3103">
        <w:rPr>
          <w:color w:val="000000" w:themeColor="text1"/>
          <w:sz w:val="20"/>
          <w:szCs w:val="20"/>
        </w:rPr>
        <w:t>Germany</w:t>
      </w:r>
      <w:r w:rsidR="00DD3118">
        <w:rPr>
          <w:color w:val="000000" w:themeColor="text1"/>
          <w:sz w:val="20"/>
          <w:szCs w:val="20"/>
        </w:rPr>
        <w:t xml:space="preserve">, </w:t>
      </w:r>
      <w:r w:rsidR="00DD3118" w:rsidRPr="001F3103">
        <w:rPr>
          <w:color w:val="000000" w:themeColor="text1"/>
          <w:sz w:val="20"/>
          <w:szCs w:val="20"/>
        </w:rPr>
        <w:t>Greece</w:t>
      </w:r>
      <w:r w:rsidR="00DD3118">
        <w:rPr>
          <w:color w:val="000000" w:themeColor="text1"/>
          <w:sz w:val="20"/>
          <w:szCs w:val="20"/>
        </w:rPr>
        <w:t xml:space="preserve">, </w:t>
      </w:r>
      <w:r w:rsidR="00DD3118" w:rsidRPr="001F3103">
        <w:rPr>
          <w:color w:val="000000" w:themeColor="text1"/>
          <w:sz w:val="20"/>
          <w:szCs w:val="20"/>
        </w:rPr>
        <w:t>Iran (Islamic Republic of)</w:t>
      </w:r>
      <w:r w:rsidR="00DD3118">
        <w:rPr>
          <w:color w:val="000000" w:themeColor="text1"/>
          <w:sz w:val="20"/>
          <w:szCs w:val="20"/>
        </w:rPr>
        <w:t xml:space="preserve">, </w:t>
      </w:r>
      <w:r w:rsidR="00DD3118" w:rsidRPr="001F3103">
        <w:rPr>
          <w:color w:val="000000" w:themeColor="text1"/>
          <w:sz w:val="20"/>
          <w:szCs w:val="20"/>
        </w:rPr>
        <w:t>Israel</w:t>
      </w:r>
      <w:r w:rsidR="00DD3118">
        <w:rPr>
          <w:color w:val="000000" w:themeColor="text1"/>
          <w:sz w:val="20"/>
          <w:szCs w:val="20"/>
        </w:rPr>
        <w:t xml:space="preserve">, </w:t>
      </w:r>
      <w:r w:rsidR="00DD3118" w:rsidRPr="001F3103">
        <w:rPr>
          <w:color w:val="000000" w:themeColor="text1"/>
          <w:sz w:val="20"/>
          <w:szCs w:val="20"/>
        </w:rPr>
        <w:t>Jordan</w:t>
      </w:r>
      <w:r w:rsidR="00DD3118">
        <w:rPr>
          <w:color w:val="000000" w:themeColor="text1"/>
          <w:sz w:val="20"/>
          <w:szCs w:val="20"/>
        </w:rPr>
        <w:t xml:space="preserve">, </w:t>
      </w:r>
      <w:r w:rsidR="00DD3118" w:rsidRPr="001F3103">
        <w:rPr>
          <w:color w:val="000000" w:themeColor="text1"/>
          <w:sz w:val="20"/>
          <w:szCs w:val="20"/>
        </w:rPr>
        <w:t>Kuwait</w:t>
      </w:r>
      <w:r w:rsidR="00DD3118">
        <w:rPr>
          <w:color w:val="000000" w:themeColor="text1"/>
          <w:sz w:val="20"/>
          <w:szCs w:val="20"/>
        </w:rPr>
        <w:t xml:space="preserve">, </w:t>
      </w:r>
      <w:r w:rsidR="00DD3118" w:rsidRPr="001F3103">
        <w:rPr>
          <w:color w:val="000000" w:themeColor="text1"/>
          <w:sz w:val="20"/>
          <w:szCs w:val="20"/>
        </w:rPr>
        <w:t>Lebanon</w:t>
      </w:r>
      <w:r w:rsidR="00DD3118">
        <w:rPr>
          <w:color w:val="000000" w:themeColor="text1"/>
          <w:sz w:val="20"/>
          <w:szCs w:val="20"/>
        </w:rPr>
        <w:t xml:space="preserve">, </w:t>
      </w:r>
      <w:r w:rsidR="00DD3118" w:rsidRPr="001F3103">
        <w:rPr>
          <w:color w:val="000000" w:themeColor="text1"/>
          <w:sz w:val="20"/>
          <w:szCs w:val="20"/>
        </w:rPr>
        <w:t>Libya</w:t>
      </w:r>
      <w:r w:rsidR="00DD3118">
        <w:rPr>
          <w:color w:val="000000" w:themeColor="text1"/>
          <w:sz w:val="20"/>
          <w:szCs w:val="20"/>
        </w:rPr>
        <w:t xml:space="preserve">, </w:t>
      </w:r>
      <w:r w:rsidR="00DD3118" w:rsidRPr="001F3103">
        <w:rPr>
          <w:color w:val="000000" w:themeColor="text1"/>
          <w:sz w:val="20"/>
          <w:szCs w:val="20"/>
        </w:rPr>
        <w:t>Luxembourg</w:t>
      </w:r>
      <w:r w:rsidR="00DD3118">
        <w:rPr>
          <w:color w:val="000000" w:themeColor="text1"/>
          <w:sz w:val="20"/>
          <w:szCs w:val="20"/>
        </w:rPr>
        <w:t xml:space="preserve">, </w:t>
      </w:r>
      <w:r w:rsidR="00DD3118" w:rsidRPr="001F3103">
        <w:rPr>
          <w:color w:val="000000" w:themeColor="text1"/>
          <w:sz w:val="20"/>
          <w:szCs w:val="20"/>
        </w:rPr>
        <w:t>Maldives</w:t>
      </w:r>
      <w:r w:rsidR="00DD3118">
        <w:rPr>
          <w:color w:val="000000" w:themeColor="text1"/>
          <w:sz w:val="20"/>
          <w:szCs w:val="20"/>
        </w:rPr>
        <w:t xml:space="preserve">, Morocco, </w:t>
      </w:r>
      <w:r w:rsidR="00DD3118" w:rsidRPr="001F3103">
        <w:rPr>
          <w:color w:val="000000" w:themeColor="text1"/>
          <w:sz w:val="20"/>
          <w:szCs w:val="20"/>
        </w:rPr>
        <w:t>Myanmar</w:t>
      </w:r>
      <w:r w:rsidR="00DD3118">
        <w:rPr>
          <w:color w:val="000000" w:themeColor="text1"/>
          <w:sz w:val="20"/>
          <w:szCs w:val="20"/>
        </w:rPr>
        <w:t xml:space="preserve">, </w:t>
      </w:r>
      <w:r w:rsidR="00DD3118" w:rsidRPr="001F3103">
        <w:rPr>
          <w:color w:val="000000" w:themeColor="text1"/>
          <w:sz w:val="20"/>
          <w:szCs w:val="20"/>
        </w:rPr>
        <w:t>North Macedonia</w:t>
      </w:r>
      <w:r w:rsidR="00DD3118">
        <w:rPr>
          <w:color w:val="000000" w:themeColor="text1"/>
          <w:sz w:val="20"/>
          <w:szCs w:val="20"/>
        </w:rPr>
        <w:t xml:space="preserve">, </w:t>
      </w:r>
      <w:r w:rsidR="00DD3118" w:rsidRPr="001F3103">
        <w:rPr>
          <w:color w:val="000000" w:themeColor="text1"/>
          <w:sz w:val="20"/>
          <w:szCs w:val="20"/>
        </w:rPr>
        <w:t>Portugal</w:t>
      </w:r>
      <w:r w:rsidR="00DD3118">
        <w:rPr>
          <w:color w:val="000000" w:themeColor="text1"/>
          <w:sz w:val="20"/>
          <w:szCs w:val="20"/>
        </w:rPr>
        <w:t xml:space="preserve">, </w:t>
      </w:r>
      <w:r w:rsidR="00DD3118" w:rsidRPr="001F3103">
        <w:rPr>
          <w:color w:val="000000" w:themeColor="text1"/>
          <w:sz w:val="20"/>
          <w:szCs w:val="20"/>
        </w:rPr>
        <w:t>Russian Federation</w:t>
      </w:r>
      <w:r w:rsidR="00DD3118">
        <w:rPr>
          <w:color w:val="000000" w:themeColor="text1"/>
          <w:sz w:val="20"/>
          <w:szCs w:val="20"/>
        </w:rPr>
        <w:t xml:space="preserve">, </w:t>
      </w:r>
      <w:r w:rsidR="00DD3118" w:rsidRPr="001F3103">
        <w:rPr>
          <w:color w:val="000000" w:themeColor="text1"/>
          <w:sz w:val="20"/>
          <w:szCs w:val="20"/>
        </w:rPr>
        <w:t>Slovenia</w:t>
      </w:r>
      <w:r w:rsidR="00DD3118">
        <w:rPr>
          <w:color w:val="000000" w:themeColor="text1"/>
          <w:sz w:val="20"/>
          <w:szCs w:val="20"/>
        </w:rPr>
        <w:t xml:space="preserve">, </w:t>
      </w:r>
      <w:r w:rsidR="00DD3118" w:rsidRPr="001F3103">
        <w:rPr>
          <w:color w:val="000000" w:themeColor="text1"/>
          <w:sz w:val="20"/>
          <w:szCs w:val="20"/>
        </w:rPr>
        <w:t>Sudan</w:t>
      </w:r>
      <w:r w:rsidR="00DD3118">
        <w:rPr>
          <w:color w:val="000000" w:themeColor="text1"/>
          <w:sz w:val="20"/>
          <w:szCs w:val="20"/>
        </w:rPr>
        <w:t xml:space="preserve">, </w:t>
      </w:r>
      <w:r w:rsidR="00DD3118" w:rsidRPr="001F3103">
        <w:rPr>
          <w:color w:val="000000" w:themeColor="text1"/>
          <w:sz w:val="20"/>
          <w:szCs w:val="20"/>
        </w:rPr>
        <w:t>Switzerland</w:t>
      </w:r>
      <w:r w:rsidR="00DD3118">
        <w:rPr>
          <w:color w:val="000000" w:themeColor="text1"/>
          <w:sz w:val="20"/>
          <w:szCs w:val="20"/>
        </w:rPr>
        <w:t xml:space="preserve">, </w:t>
      </w:r>
      <w:r w:rsidR="00DD3118" w:rsidRPr="001F3103">
        <w:rPr>
          <w:color w:val="000000" w:themeColor="text1"/>
          <w:sz w:val="20"/>
          <w:szCs w:val="20"/>
        </w:rPr>
        <w:t>Syrian Arab Republic</w:t>
      </w:r>
      <w:r w:rsidR="00DD3118">
        <w:rPr>
          <w:color w:val="000000" w:themeColor="text1"/>
          <w:sz w:val="20"/>
          <w:szCs w:val="20"/>
        </w:rPr>
        <w:t xml:space="preserve">, </w:t>
      </w:r>
      <w:r w:rsidR="00DD3118" w:rsidRPr="001F3103">
        <w:rPr>
          <w:color w:val="000000" w:themeColor="text1"/>
          <w:sz w:val="20"/>
          <w:szCs w:val="20"/>
        </w:rPr>
        <w:t>Thailand</w:t>
      </w:r>
      <w:r w:rsidR="00DD3118">
        <w:rPr>
          <w:color w:val="000000" w:themeColor="text1"/>
          <w:sz w:val="20"/>
          <w:szCs w:val="20"/>
        </w:rPr>
        <w:t xml:space="preserve">, </w:t>
      </w:r>
      <w:r w:rsidR="00DD3118" w:rsidRPr="001F3103">
        <w:rPr>
          <w:color w:val="000000" w:themeColor="text1"/>
          <w:sz w:val="20"/>
          <w:szCs w:val="20"/>
        </w:rPr>
        <w:t>Venezuela (Bolivarian Republic of)</w:t>
      </w:r>
      <w:r w:rsidR="00DD3118">
        <w:rPr>
          <w:color w:val="000000" w:themeColor="text1"/>
          <w:sz w:val="20"/>
          <w:szCs w:val="20"/>
        </w:rPr>
        <w:t xml:space="preserve">, </w:t>
      </w:r>
      <w:r w:rsidR="00DD3118" w:rsidRPr="001F3103">
        <w:rPr>
          <w:color w:val="000000" w:themeColor="text1"/>
          <w:sz w:val="20"/>
          <w:szCs w:val="20"/>
        </w:rPr>
        <w:t>State of Palestine</w:t>
      </w:r>
      <w:r w:rsidRPr="0067399B">
        <w:rPr>
          <w:color w:val="000000" w:themeColor="text1"/>
          <w:sz w:val="20"/>
          <w:szCs w:val="20"/>
        </w:rPr>
        <w:t>;</w:t>
      </w:r>
    </w:p>
    <w:p w14:paraId="602A0C12" w14:textId="78D9D6F2" w:rsidR="0092083E" w:rsidRPr="0067399B" w:rsidRDefault="0092083E" w:rsidP="0092083E">
      <w:pPr>
        <w:spacing w:after="120"/>
        <w:ind w:left="1134" w:right="1134" w:firstLine="567"/>
        <w:jc w:val="both"/>
        <w:rPr>
          <w:color w:val="000000" w:themeColor="text1"/>
          <w:sz w:val="20"/>
          <w:szCs w:val="20"/>
        </w:rPr>
      </w:pPr>
      <w:r w:rsidRPr="0067399B">
        <w:rPr>
          <w:color w:val="000000" w:themeColor="text1"/>
          <w:sz w:val="20"/>
          <w:szCs w:val="20"/>
        </w:rPr>
        <w:t>(c)</w:t>
      </w:r>
      <w:r w:rsidRPr="0067399B">
        <w:rPr>
          <w:color w:val="000000" w:themeColor="text1"/>
          <w:sz w:val="20"/>
          <w:szCs w:val="20"/>
        </w:rPr>
        <w:tab/>
      </w:r>
      <w:r w:rsidR="006D07E0" w:rsidRPr="006D07E0">
        <w:rPr>
          <w:color w:val="000000" w:themeColor="text1"/>
          <w:sz w:val="20"/>
          <w:szCs w:val="20"/>
        </w:rPr>
        <w:t>Observer for United Nations entities, specialized agencies and related</w:t>
      </w:r>
      <w:r w:rsidR="006D07E0">
        <w:rPr>
          <w:color w:val="000000" w:themeColor="text1"/>
          <w:sz w:val="20"/>
          <w:szCs w:val="20"/>
        </w:rPr>
        <w:t xml:space="preserve"> </w:t>
      </w:r>
      <w:r w:rsidR="006D07E0" w:rsidRPr="006D07E0">
        <w:rPr>
          <w:color w:val="000000" w:themeColor="text1"/>
          <w:sz w:val="20"/>
          <w:szCs w:val="20"/>
        </w:rPr>
        <w:t>organizations</w:t>
      </w:r>
      <w:r w:rsidRPr="0067399B">
        <w:rPr>
          <w:color w:val="000000" w:themeColor="text1"/>
          <w:sz w:val="20"/>
          <w:szCs w:val="20"/>
        </w:rPr>
        <w:t>: United Nations Children</w:t>
      </w:r>
      <w:r w:rsidR="00D72627">
        <w:rPr>
          <w:color w:val="000000" w:themeColor="text1"/>
          <w:sz w:val="20"/>
          <w:szCs w:val="20"/>
        </w:rPr>
        <w:t>’</w:t>
      </w:r>
      <w:r w:rsidRPr="0067399B">
        <w:rPr>
          <w:color w:val="000000" w:themeColor="text1"/>
          <w:sz w:val="20"/>
          <w:szCs w:val="20"/>
        </w:rPr>
        <w:t>s Fund (UNICEF);</w:t>
      </w:r>
    </w:p>
    <w:p w14:paraId="481DF9C3" w14:textId="77777777" w:rsidR="0092083E" w:rsidRPr="0067399B" w:rsidRDefault="0092083E" w:rsidP="0092083E">
      <w:pPr>
        <w:spacing w:after="120"/>
        <w:ind w:left="1134" w:right="1134" w:firstLine="567"/>
        <w:jc w:val="both"/>
        <w:rPr>
          <w:color w:val="000000" w:themeColor="text1"/>
          <w:sz w:val="20"/>
          <w:szCs w:val="20"/>
        </w:rPr>
      </w:pPr>
      <w:r w:rsidRPr="0067399B">
        <w:rPr>
          <w:color w:val="000000" w:themeColor="text1"/>
          <w:sz w:val="20"/>
          <w:szCs w:val="20"/>
        </w:rPr>
        <w:t>(d)</w:t>
      </w:r>
      <w:r w:rsidRPr="0067399B">
        <w:rPr>
          <w:color w:val="000000" w:themeColor="text1"/>
          <w:sz w:val="20"/>
          <w:szCs w:val="20"/>
        </w:rPr>
        <w:tab/>
        <w:t xml:space="preserve">Observer for an intergovernmental organization: European Union; </w:t>
      </w:r>
    </w:p>
    <w:p w14:paraId="410384E8" w14:textId="135042C5" w:rsidR="0092083E" w:rsidRDefault="0092083E" w:rsidP="0092083E">
      <w:pPr>
        <w:spacing w:after="120"/>
        <w:ind w:left="1134" w:right="1134" w:firstLine="567"/>
        <w:jc w:val="both"/>
        <w:rPr>
          <w:color w:val="000000" w:themeColor="text1"/>
          <w:sz w:val="20"/>
          <w:szCs w:val="20"/>
        </w:rPr>
      </w:pPr>
      <w:r w:rsidRPr="0067399B">
        <w:rPr>
          <w:color w:val="000000" w:themeColor="text1"/>
          <w:sz w:val="20"/>
          <w:szCs w:val="20"/>
        </w:rPr>
        <w:t>(e)</w:t>
      </w:r>
      <w:r w:rsidRPr="0067399B">
        <w:rPr>
          <w:color w:val="000000" w:themeColor="text1"/>
          <w:sz w:val="20"/>
          <w:szCs w:val="20"/>
        </w:rPr>
        <w:tab/>
        <w:t>Observer for the Sovereign Military Order of Malta;</w:t>
      </w:r>
    </w:p>
    <w:p w14:paraId="1883F508" w14:textId="77777777" w:rsidR="0025196A" w:rsidRPr="00AF6BFF" w:rsidRDefault="0025196A" w:rsidP="0025196A">
      <w:pPr>
        <w:spacing w:after="120"/>
        <w:ind w:left="1134" w:right="1134" w:firstLine="567"/>
        <w:jc w:val="both"/>
        <w:rPr>
          <w:color w:val="000000" w:themeColor="text1"/>
          <w:sz w:val="20"/>
          <w:szCs w:val="20"/>
        </w:rPr>
      </w:pPr>
      <w:r w:rsidRPr="00AF6BFF">
        <w:rPr>
          <w:color w:val="000000" w:themeColor="text1"/>
          <w:sz w:val="20"/>
          <w:szCs w:val="20"/>
        </w:rPr>
        <w:t xml:space="preserve">(f) </w:t>
      </w:r>
      <w:r w:rsidRPr="00AF6BFF">
        <w:rPr>
          <w:color w:val="000000" w:themeColor="text1"/>
          <w:sz w:val="20"/>
          <w:szCs w:val="20"/>
        </w:rPr>
        <w:tab/>
        <w:t xml:space="preserve">Observer for the International Committee of the Red Cross; </w:t>
      </w:r>
    </w:p>
    <w:p w14:paraId="3F0E94AB" w14:textId="2A1661AB" w:rsidR="0092083E" w:rsidRPr="0067399B" w:rsidRDefault="0092083E" w:rsidP="0092083E">
      <w:pPr>
        <w:spacing w:after="120"/>
        <w:ind w:left="1134" w:right="1134" w:firstLine="567"/>
        <w:jc w:val="both"/>
        <w:rPr>
          <w:color w:val="000000" w:themeColor="text1"/>
          <w:sz w:val="20"/>
          <w:szCs w:val="20"/>
        </w:rPr>
      </w:pPr>
      <w:r w:rsidRPr="0067399B">
        <w:rPr>
          <w:color w:val="000000" w:themeColor="text1"/>
          <w:sz w:val="20"/>
          <w:szCs w:val="20"/>
        </w:rPr>
        <w:t>(</w:t>
      </w:r>
      <w:r w:rsidR="00DD3118">
        <w:rPr>
          <w:color w:val="000000" w:themeColor="text1"/>
          <w:sz w:val="20"/>
          <w:szCs w:val="20"/>
        </w:rPr>
        <w:t>g</w:t>
      </w:r>
      <w:r w:rsidRPr="0067399B">
        <w:rPr>
          <w:color w:val="000000" w:themeColor="text1"/>
          <w:sz w:val="20"/>
          <w:szCs w:val="20"/>
        </w:rPr>
        <w:t>)</w:t>
      </w:r>
      <w:r w:rsidRPr="0067399B">
        <w:rPr>
          <w:color w:val="000000" w:themeColor="text1"/>
          <w:sz w:val="20"/>
          <w:szCs w:val="20"/>
        </w:rPr>
        <w:tab/>
        <w:t>Observers for non-governmental organizations:</w:t>
      </w:r>
      <w:r w:rsidR="00BD7339">
        <w:rPr>
          <w:color w:val="000000" w:themeColor="text1"/>
          <w:sz w:val="20"/>
          <w:szCs w:val="20"/>
        </w:rPr>
        <w:t xml:space="preserve"> </w:t>
      </w:r>
      <w:r w:rsidR="00BD7339" w:rsidRPr="006B1D4F">
        <w:rPr>
          <w:color w:val="000000" w:themeColor="text1"/>
          <w:sz w:val="20"/>
          <w:szCs w:val="20"/>
        </w:rPr>
        <w:t>Center for Reproductive Rights, Inc., The</w:t>
      </w:r>
      <w:r w:rsidR="00BD7339">
        <w:rPr>
          <w:color w:val="000000" w:themeColor="text1"/>
          <w:sz w:val="20"/>
          <w:szCs w:val="20"/>
        </w:rPr>
        <w:t xml:space="preserve">; </w:t>
      </w:r>
      <w:r w:rsidR="00BD7339" w:rsidRPr="006B1D4F">
        <w:rPr>
          <w:color w:val="000000" w:themeColor="text1"/>
          <w:sz w:val="20"/>
          <w:szCs w:val="20"/>
        </w:rPr>
        <w:t>Colombian Commission of Jurists</w:t>
      </w:r>
      <w:r w:rsidR="00BD7339">
        <w:rPr>
          <w:color w:val="000000" w:themeColor="text1"/>
          <w:sz w:val="20"/>
          <w:szCs w:val="20"/>
        </w:rPr>
        <w:t xml:space="preserve">; </w:t>
      </w:r>
      <w:r w:rsidR="00BD7339" w:rsidRPr="006B1D4F">
        <w:rPr>
          <w:color w:val="000000" w:themeColor="text1"/>
          <w:sz w:val="20"/>
          <w:szCs w:val="20"/>
        </w:rPr>
        <w:t>Defence for Children International</w:t>
      </w:r>
      <w:r w:rsidR="00BD7339">
        <w:rPr>
          <w:color w:val="000000" w:themeColor="text1"/>
          <w:sz w:val="20"/>
          <w:szCs w:val="20"/>
        </w:rPr>
        <w:t xml:space="preserve">; </w:t>
      </w:r>
      <w:r w:rsidR="00BD7339" w:rsidRPr="006B1D4F">
        <w:rPr>
          <w:color w:val="000000" w:themeColor="text1"/>
          <w:sz w:val="20"/>
          <w:szCs w:val="20"/>
        </w:rPr>
        <w:t>European Centre for Law and Justice, The / Centre Europeen pour le droit, les Justice et les droits de l</w:t>
      </w:r>
      <w:r w:rsidR="00D72627">
        <w:rPr>
          <w:color w:val="000000" w:themeColor="text1"/>
          <w:sz w:val="20"/>
          <w:szCs w:val="20"/>
        </w:rPr>
        <w:t>’</w:t>
      </w:r>
      <w:r w:rsidR="00BD7339" w:rsidRPr="006B1D4F">
        <w:rPr>
          <w:color w:val="000000" w:themeColor="text1"/>
          <w:sz w:val="20"/>
          <w:szCs w:val="20"/>
        </w:rPr>
        <w:t>homme</w:t>
      </w:r>
      <w:r w:rsidR="00BD7339">
        <w:rPr>
          <w:color w:val="000000" w:themeColor="text1"/>
          <w:sz w:val="20"/>
          <w:szCs w:val="20"/>
        </w:rPr>
        <w:t xml:space="preserve">; </w:t>
      </w:r>
      <w:r w:rsidR="00BD7339" w:rsidRPr="006B1D4F">
        <w:rPr>
          <w:color w:val="000000" w:themeColor="text1"/>
          <w:sz w:val="20"/>
          <w:szCs w:val="20"/>
        </w:rPr>
        <w:t>Foundation ECPAT International (End Child Prostitution, Child Pornography and Trafficking in Children for Sexual Purposes)</w:t>
      </w:r>
      <w:r w:rsidR="00BD7339">
        <w:rPr>
          <w:color w:val="000000" w:themeColor="text1"/>
          <w:sz w:val="20"/>
          <w:szCs w:val="20"/>
        </w:rPr>
        <w:t xml:space="preserve"> (also on behalf of Stichting War Child); </w:t>
      </w:r>
      <w:r w:rsidR="00BD7339" w:rsidRPr="006B1D4F">
        <w:rPr>
          <w:color w:val="000000" w:themeColor="text1"/>
          <w:sz w:val="20"/>
          <w:szCs w:val="20"/>
        </w:rPr>
        <w:t>International Committee for the Indigenous Peoples of the Americas</w:t>
      </w:r>
      <w:r w:rsidR="00BD7339">
        <w:rPr>
          <w:color w:val="000000" w:themeColor="text1"/>
          <w:sz w:val="20"/>
          <w:szCs w:val="20"/>
        </w:rPr>
        <w:t xml:space="preserve">; </w:t>
      </w:r>
      <w:r w:rsidR="00BD7339" w:rsidRPr="006B1D4F">
        <w:rPr>
          <w:color w:val="000000" w:themeColor="text1"/>
          <w:sz w:val="20"/>
          <w:szCs w:val="20"/>
        </w:rPr>
        <w:t>International Fellowship of Reconciliation</w:t>
      </w:r>
      <w:r w:rsidR="00BD7339">
        <w:rPr>
          <w:color w:val="000000" w:themeColor="text1"/>
          <w:sz w:val="20"/>
          <w:szCs w:val="20"/>
        </w:rPr>
        <w:t xml:space="preserve">; </w:t>
      </w:r>
      <w:r w:rsidR="00BD7339" w:rsidRPr="006B1D4F">
        <w:rPr>
          <w:color w:val="000000" w:themeColor="text1"/>
          <w:sz w:val="20"/>
          <w:szCs w:val="20"/>
        </w:rPr>
        <w:t>Organisation internationale pour les pays les moins avancés (OIPMA)</w:t>
      </w:r>
      <w:r w:rsidR="00BD7339">
        <w:rPr>
          <w:color w:val="000000" w:themeColor="text1"/>
          <w:sz w:val="20"/>
          <w:szCs w:val="20"/>
        </w:rPr>
        <w:t xml:space="preserve">; </w:t>
      </w:r>
      <w:r w:rsidR="00BD7339" w:rsidRPr="006B1D4F">
        <w:rPr>
          <w:color w:val="000000" w:themeColor="text1"/>
          <w:sz w:val="20"/>
          <w:szCs w:val="20"/>
        </w:rPr>
        <w:t>Organisation pour la Communication en Afrique et de Promotion de la Cooperation Economique Internationale - OCAPROCE Internationale</w:t>
      </w:r>
      <w:r w:rsidR="00BD7339">
        <w:rPr>
          <w:color w:val="000000" w:themeColor="text1"/>
          <w:sz w:val="20"/>
          <w:szCs w:val="20"/>
        </w:rPr>
        <w:t xml:space="preserve">; </w:t>
      </w:r>
      <w:r w:rsidR="00BD7339" w:rsidRPr="006B1D4F">
        <w:rPr>
          <w:color w:val="000000" w:themeColor="text1"/>
          <w:sz w:val="20"/>
          <w:szCs w:val="20"/>
        </w:rPr>
        <w:t>Plan International, Inc.</w:t>
      </w:r>
      <w:r w:rsidR="00BD7339">
        <w:rPr>
          <w:color w:val="000000" w:themeColor="text1"/>
          <w:sz w:val="20"/>
          <w:szCs w:val="20"/>
        </w:rPr>
        <w:t xml:space="preserve">; </w:t>
      </w:r>
      <w:r w:rsidR="00BD7339" w:rsidRPr="006B1D4F">
        <w:rPr>
          <w:color w:val="000000" w:themeColor="text1"/>
          <w:sz w:val="20"/>
          <w:szCs w:val="20"/>
        </w:rPr>
        <w:t>Save the Children International</w:t>
      </w:r>
      <w:r w:rsidR="00BD7339">
        <w:rPr>
          <w:color w:val="000000" w:themeColor="text1"/>
          <w:sz w:val="20"/>
          <w:szCs w:val="20"/>
        </w:rPr>
        <w:t xml:space="preserve">; </w:t>
      </w:r>
      <w:r w:rsidR="00BD7339" w:rsidRPr="006B1D4F">
        <w:rPr>
          <w:color w:val="000000" w:themeColor="text1"/>
          <w:sz w:val="20"/>
          <w:szCs w:val="20"/>
        </w:rPr>
        <w:t>Society for Threatened Peoples</w:t>
      </w:r>
      <w:r w:rsidRPr="0067399B">
        <w:rPr>
          <w:color w:val="000000" w:themeColor="text1"/>
          <w:sz w:val="20"/>
          <w:szCs w:val="20"/>
        </w:rPr>
        <w:t>.</w:t>
      </w:r>
    </w:p>
    <w:p w14:paraId="2D6A3C8A" w14:textId="25A95EFE" w:rsidR="0092083E" w:rsidRDefault="002B4AE4" w:rsidP="0092083E">
      <w:pPr>
        <w:pStyle w:val="SingleTxtG"/>
        <w:rPr>
          <w:color w:val="000000" w:themeColor="text1"/>
          <w:sz w:val="20"/>
          <w:szCs w:val="20"/>
        </w:rPr>
      </w:pPr>
      <w:r>
        <w:rPr>
          <w:color w:val="000000" w:themeColor="text1"/>
          <w:sz w:val="20"/>
          <w:szCs w:val="20"/>
        </w:rPr>
        <w:t>177</w:t>
      </w:r>
      <w:r w:rsidR="0092083E" w:rsidRPr="0067399B">
        <w:rPr>
          <w:color w:val="000000" w:themeColor="text1"/>
          <w:sz w:val="20"/>
          <w:szCs w:val="20"/>
        </w:rPr>
        <w:t>.</w:t>
      </w:r>
      <w:r w:rsidR="0092083E" w:rsidRPr="0067399B">
        <w:rPr>
          <w:color w:val="000000" w:themeColor="text1"/>
          <w:sz w:val="20"/>
          <w:szCs w:val="20"/>
        </w:rPr>
        <w:tab/>
        <w:t xml:space="preserve">At the </w:t>
      </w:r>
      <w:r w:rsidR="00903F0B" w:rsidRPr="00903F0B">
        <w:rPr>
          <w:color w:val="000000" w:themeColor="text1"/>
          <w:sz w:val="20"/>
          <w:szCs w:val="20"/>
        </w:rPr>
        <w:t xml:space="preserve">18th </w:t>
      </w:r>
      <w:r w:rsidR="00903F0B">
        <w:rPr>
          <w:color w:val="000000" w:themeColor="text1"/>
          <w:sz w:val="20"/>
          <w:szCs w:val="20"/>
        </w:rPr>
        <w:t>and</w:t>
      </w:r>
      <w:r w:rsidR="00903F0B" w:rsidRPr="00903F0B">
        <w:rPr>
          <w:color w:val="000000" w:themeColor="text1"/>
          <w:sz w:val="20"/>
          <w:szCs w:val="20"/>
        </w:rPr>
        <w:t xml:space="preserve"> 19th meetings</w:t>
      </w:r>
      <w:r w:rsidR="00255F99">
        <w:rPr>
          <w:color w:val="000000" w:themeColor="text1"/>
          <w:sz w:val="20"/>
          <w:szCs w:val="20"/>
        </w:rPr>
        <w:t>, on the same day</w:t>
      </w:r>
      <w:r w:rsidR="0092083E" w:rsidRPr="0067399B">
        <w:rPr>
          <w:color w:val="000000" w:themeColor="text1"/>
          <w:sz w:val="20"/>
          <w:szCs w:val="20"/>
        </w:rPr>
        <w:t xml:space="preserve">, the Special Representative answered </w:t>
      </w:r>
      <w:proofErr w:type="gramStart"/>
      <w:r w:rsidR="0092083E" w:rsidRPr="0067399B">
        <w:rPr>
          <w:color w:val="000000" w:themeColor="text1"/>
          <w:sz w:val="20"/>
          <w:szCs w:val="20"/>
        </w:rPr>
        <w:t>questions</w:t>
      </w:r>
      <w:proofErr w:type="gramEnd"/>
      <w:r w:rsidR="0092083E" w:rsidRPr="0067399B">
        <w:rPr>
          <w:color w:val="000000" w:themeColor="text1"/>
          <w:sz w:val="20"/>
          <w:szCs w:val="20"/>
        </w:rPr>
        <w:t xml:space="preserve"> and made her concluding remarks.</w:t>
      </w:r>
    </w:p>
    <w:p w14:paraId="0F02275E" w14:textId="77777777" w:rsidR="009C4DB7" w:rsidRPr="0067399B" w:rsidRDefault="009C4DB7" w:rsidP="009C4DB7">
      <w:pPr>
        <w:pStyle w:val="H23G"/>
        <w:rPr>
          <w:color w:val="000000" w:themeColor="text1"/>
          <w:sz w:val="20"/>
          <w:szCs w:val="20"/>
        </w:rPr>
      </w:pPr>
      <w:r w:rsidRPr="0067399B">
        <w:rPr>
          <w:color w:val="000000" w:themeColor="text1"/>
          <w:sz w:val="20"/>
          <w:szCs w:val="20"/>
        </w:rPr>
        <w:tab/>
      </w:r>
      <w:r w:rsidRPr="0067399B">
        <w:rPr>
          <w:color w:val="000000" w:themeColor="text1"/>
          <w:sz w:val="20"/>
          <w:szCs w:val="20"/>
        </w:rPr>
        <w:tab/>
      </w:r>
      <w:r w:rsidRPr="00A078AC">
        <w:rPr>
          <w:color w:val="000000" w:themeColor="text1"/>
          <w:sz w:val="20"/>
          <w:szCs w:val="20"/>
        </w:rPr>
        <w:t>Special Rapporteur on minority issues</w:t>
      </w:r>
    </w:p>
    <w:p w14:paraId="60ACFA18" w14:textId="654DA749" w:rsidR="009C4DB7" w:rsidRDefault="002B4AE4" w:rsidP="009C4DB7">
      <w:pPr>
        <w:pStyle w:val="SingleTxtG"/>
        <w:rPr>
          <w:color w:val="000000" w:themeColor="text1"/>
          <w:sz w:val="20"/>
          <w:szCs w:val="20"/>
        </w:rPr>
      </w:pPr>
      <w:r>
        <w:rPr>
          <w:color w:val="000000" w:themeColor="text1"/>
          <w:sz w:val="20"/>
          <w:szCs w:val="20"/>
        </w:rPr>
        <w:t>178</w:t>
      </w:r>
      <w:r w:rsidR="009C4DB7" w:rsidRPr="0067399B">
        <w:rPr>
          <w:color w:val="000000" w:themeColor="text1"/>
          <w:sz w:val="20"/>
          <w:szCs w:val="20"/>
        </w:rPr>
        <w:t>.</w:t>
      </w:r>
      <w:r w:rsidR="009C4DB7" w:rsidRPr="0067399B">
        <w:rPr>
          <w:color w:val="000000" w:themeColor="text1"/>
          <w:sz w:val="20"/>
          <w:szCs w:val="20"/>
        </w:rPr>
        <w:tab/>
        <w:t>At the 3</w:t>
      </w:r>
      <w:r w:rsidR="009C4DB7">
        <w:rPr>
          <w:color w:val="000000" w:themeColor="text1"/>
          <w:sz w:val="20"/>
          <w:szCs w:val="20"/>
        </w:rPr>
        <w:t>3rd meeting, on 13</w:t>
      </w:r>
      <w:r w:rsidR="009C4DB7" w:rsidRPr="0067399B">
        <w:rPr>
          <w:color w:val="000000" w:themeColor="text1"/>
          <w:sz w:val="20"/>
          <w:szCs w:val="20"/>
        </w:rPr>
        <w:t xml:space="preserve"> March 201</w:t>
      </w:r>
      <w:r w:rsidR="009C4DB7">
        <w:rPr>
          <w:color w:val="000000" w:themeColor="text1"/>
          <w:sz w:val="20"/>
          <w:szCs w:val="20"/>
        </w:rPr>
        <w:t>9</w:t>
      </w:r>
      <w:r w:rsidR="009C4DB7" w:rsidRPr="0067399B">
        <w:rPr>
          <w:color w:val="000000" w:themeColor="text1"/>
          <w:sz w:val="20"/>
          <w:szCs w:val="20"/>
        </w:rPr>
        <w:t>, the Special Rapporteur on minority issues, Fernand de Varennes, presented his report</w:t>
      </w:r>
      <w:r w:rsidR="009C4DB7">
        <w:rPr>
          <w:color w:val="000000" w:themeColor="text1"/>
          <w:sz w:val="20"/>
          <w:szCs w:val="20"/>
        </w:rPr>
        <w:t>s</w:t>
      </w:r>
      <w:r w:rsidR="009C4DB7" w:rsidRPr="0067399B">
        <w:rPr>
          <w:color w:val="000000" w:themeColor="text1"/>
          <w:sz w:val="20"/>
          <w:szCs w:val="20"/>
        </w:rPr>
        <w:t xml:space="preserve"> (</w:t>
      </w:r>
      <w:r w:rsidR="009C4DB7" w:rsidRPr="009C4DB7">
        <w:rPr>
          <w:color w:val="000000" w:themeColor="text1"/>
          <w:sz w:val="20"/>
          <w:szCs w:val="20"/>
        </w:rPr>
        <w:t>A/HRC/40/64 and Add.1–2</w:t>
      </w:r>
      <w:r w:rsidR="009C4DB7" w:rsidRPr="0067399B">
        <w:rPr>
          <w:color w:val="000000" w:themeColor="text1"/>
          <w:sz w:val="20"/>
          <w:szCs w:val="20"/>
        </w:rPr>
        <w:t>).</w:t>
      </w:r>
    </w:p>
    <w:p w14:paraId="54DE8B54" w14:textId="5650EBFD" w:rsidR="009C4DB7" w:rsidRPr="0067399B" w:rsidRDefault="002B4AE4" w:rsidP="009C4DB7">
      <w:pPr>
        <w:pStyle w:val="SingleTxtG"/>
        <w:rPr>
          <w:color w:val="000000" w:themeColor="text1"/>
          <w:sz w:val="20"/>
          <w:szCs w:val="20"/>
        </w:rPr>
      </w:pPr>
      <w:r>
        <w:rPr>
          <w:color w:val="000000" w:themeColor="text1"/>
          <w:sz w:val="20"/>
          <w:szCs w:val="20"/>
        </w:rPr>
        <w:t>179</w:t>
      </w:r>
      <w:r w:rsidR="009C4DB7" w:rsidRPr="0067399B">
        <w:rPr>
          <w:color w:val="000000" w:themeColor="text1"/>
          <w:sz w:val="20"/>
          <w:szCs w:val="20"/>
        </w:rPr>
        <w:t>.</w:t>
      </w:r>
      <w:r w:rsidR="009C4DB7" w:rsidRPr="0067399B">
        <w:rPr>
          <w:color w:val="000000" w:themeColor="text1"/>
          <w:sz w:val="20"/>
          <w:szCs w:val="20"/>
        </w:rPr>
        <w:tab/>
        <w:t>At the same meeting, the representative</w:t>
      </w:r>
      <w:r w:rsidR="009C4DB7">
        <w:rPr>
          <w:color w:val="000000" w:themeColor="text1"/>
          <w:sz w:val="20"/>
          <w:szCs w:val="20"/>
        </w:rPr>
        <w:t>s</w:t>
      </w:r>
      <w:r w:rsidR="009C4DB7" w:rsidRPr="0067399B">
        <w:rPr>
          <w:color w:val="000000" w:themeColor="text1"/>
          <w:sz w:val="20"/>
          <w:szCs w:val="20"/>
        </w:rPr>
        <w:t xml:space="preserve"> of </w:t>
      </w:r>
      <w:r w:rsidR="009C4DB7" w:rsidRPr="009C4DB7">
        <w:rPr>
          <w:color w:val="000000" w:themeColor="text1"/>
          <w:sz w:val="20"/>
          <w:szCs w:val="20"/>
        </w:rPr>
        <w:t xml:space="preserve">Botswana </w:t>
      </w:r>
      <w:r w:rsidR="009C4DB7">
        <w:rPr>
          <w:color w:val="000000" w:themeColor="text1"/>
          <w:sz w:val="20"/>
          <w:szCs w:val="20"/>
        </w:rPr>
        <w:t>and Slovenia</w:t>
      </w:r>
      <w:r w:rsidR="009C4DB7" w:rsidRPr="00DB482B">
        <w:rPr>
          <w:color w:val="000000" w:themeColor="text1"/>
          <w:sz w:val="20"/>
          <w:szCs w:val="20"/>
        </w:rPr>
        <w:t xml:space="preserve"> </w:t>
      </w:r>
      <w:r w:rsidR="009C4DB7" w:rsidRPr="0067399B">
        <w:rPr>
          <w:color w:val="000000" w:themeColor="text1"/>
          <w:sz w:val="20"/>
          <w:szCs w:val="20"/>
        </w:rPr>
        <w:t>made statement</w:t>
      </w:r>
      <w:r w:rsidR="009C4DB7">
        <w:rPr>
          <w:color w:val="000000" w:themeColor="text1"/>
          <w:sz w:val="20"/>
          <w:szCs w:val="20"/>
        </w:rPr>
        <w:t>s</w:t>
      </w:r>
      <w:r w:rsidR="009C4DB7" w:rsidRPr="0067399B">
        <w:rPr>
          <w:color w:val="000000" w:themeColor="text1"/>
          <w:sz w:val="20"/>
          <w:szCs w:val="20"/>
        </w:rPr>
        <w:t xml:space="preserve"> as the State</w:t>
      </w:r>
      <w:r w:rsidR="009C4DB7">
        <w:rPr>
          <w:color w:val="000000" w:themeColor="text1"/>
          <w:sz w:val="20"/>
          <w:szCs w:val="20"/>
        </w:rPr>
        <w:t>s</w:t>
      </w:r>
      <w:r w:rsidR="009C4DB7" w:rsidRPr="0067399B">
        <w:rPr>
          <w:color w:val="000000" w:themeColor="text1"/>
          <w:sz w:val="20"/>
          <w:szCs w:val="20"/>
        </w:rPr>
        <w:t xml:space="preserve"> concerned.</w:t>
      </w:r>
    </w:p>
    <w:p w14:paraId="6703465B" w14:textId="379CC516" w:rsidR="009C4DB7" w:rsidRPr="0067399B" w:rsidRDefault="002B4AE4" w:rsidP="009C4DB7">
      <w:pPr>
        <w:pStyle w:val="SingleTxtG"/>
        <w:rPr>
          <w:color w:val="000000" w:themeColor="text1"/>
          <w:sz w:val="20"/>
          <w:szCs w:val="20"/>
        </w:rPr>
      </w:pPr>
      <w:r>
        <w:rPr>
          <w:color w:val="000000" w:themeColor="text1"/>
          <w:sz w:val="20"/>
          <w:szCs w:val="20"/>
        </w:rPr>
        <w:t>180</w:t>
      </w:r>
      <w:r w:rsidR="009C4DB7" w:rsidRPr="0067399B">
        <w:rPr>
          <w:color w:val="000000" w:themeColor="text1"/>
          <w:sz w:val="20"/>
          <w:szCs w:val="20"/>
        </w:rPr>
        <w:t>.</w:t>
      </w:r>
      <w:r w:rsidR="009C4DB7" w:rsidRPr="0067399B">
        <w:rPr>
          <w:color w:val="000000" w:themeColor="text1"/>
          <w:sz w:val="20"/>
          <w:szCs w:val="20"/>
        </w:rPr>
        <w:tab/>
        <w:t>During the ensuing interactive dialogue, at the same meeting, on the same day, the following made statements and asked the Special Rapporteur questions:</w:t>
      </w:r>
    </w:p>
    <w:p w14:paraId="03AEF085" w14:textId="7A4451B2" w:rsidR="009C4DB7" w:rsidRPr="0067399B" w:rsidRDefault="009C4DB7" w:rsidP="009C4DB7">
      <w:pPr>
        <w:spacing w:after="120"/>
        <w:ind w:left="1134" w:right="1134" w:firstLine="567"/>
        <w:jc w:val="both"/>
        <w:rPr>
          <w:color w:val="000000" w:themeColor="text1"/>
          <w:sz w:val="20"/>
          <w:szCs w:val="20"/>
        </w:rPr>
      </w:pPr>
      <w:r w:rsidRPr="0067399B">
        <w:rPr>
          <w:color w:val="000000" w:themeColor="text1"/>
          <w:sz w:val="20"/>
          <w:szCs w:val="20"/>
        </w:rPr>
        <w:lastRenderedPageBreak/>
        <w:t>(a)</w:t>
      </w:r>
      <w:r w:rsidR="00060DD4">
        <w:rPr>
          <w:color w:val="000000" w:themeColor="text1"/>
          <w:sz w:val="20"/>
          <w:szCs w:val="20"/>
        </w:rPr>
        <w:tab/>
      </w:r>
      <w:r w:rsidRPr="0067399B">
        <w:rPr>
          <w:color w:val="000000" w:themeColor="text1"/>
          <w:sz w:val="20"/>
          <w:szCs w:val="20"/>
        </w:rPr>
        <w:t xml:space="preserve">Representatives of </w:t>
      </w:r>
      <w:r>
        <w:rPr>
          <w:color w:val="000000" w:themeColor="text1"/>
          <w:sz w:val="20"/>
          <w:szCs w:val="20"/>
        </w:rPr>
        <w:t>States Members</w:t>
      </w:r>
      <w:r w:rsidRPr="0067399B">
        <w:rPr>
          <w:color w:val="000000" w:themeColor="text1"/>
          <w:sz w:val="20"/>
          <w:szCs w:val="20"/>
        </w:rPr>
        <w:t xml:space="preserve"> of the Human Rights Council:</w:t>
      </w:r>
      <w:r w:rsidR="00060DD4">
        <w:rPr>
          <w:color w:val="000000" w:themeColor="text1"/>
          <w:sz w:val="20"/>
          <w:szCs w:val="20"/>
        </w:rPr>
        <w:t xml:space="preserve"> </w:t>
      </w:r>
      <w:r w:rsidR="00060DD4" w:rsidRPr="00060DD4">
        <w:rPr>
          <w:color w:val="000000" w:themeColor="text1"/>
          <w:sz w:val="20"/>
          <w:szCs w:val="20"/>
        </w:rPr>
        <w:t>Austria</w:t>
      </w:r>
      <w:r w:rsidR="00060DD4">
        <w:rPr>
          <w:color w:val="000000" w:themeColor="text1"/>
          <w:sz w:val="20"/>
          <w:szCs w:val="20"/>
        </w:rPr>
        <w:t xml:space="preserve">, </w:t>
      </w:r>
      <w:r w:rsidR="00060DD4" w:rsidRPr="00060DD4">
        <w:rPr>
          <w:color w:val="000000" w:themeColor="text1"/>
          <w:sz w:val="20"/>
          <w:szCs w:val="20"/>
        </w:rPr>
        <w:t xml:space="preserve">Bahrain </w:t>
      </w:r>
      <w:r w:rsidR="00060DD4">
        <w:rPr>
          <w:color w:val="000000" w:themeColor="text1"/>
          <w:sz w:val="20"/>
          <w:szCs w:val="20"/>
        </w:rPr>
        <w:t>(</w:t>
      </w:r>
      <w:r w:rsidR="00060DD4" w:rsidRPr="00060DD4">
        <w:rPr>
          <w:color w:val="000000" w:themeColor="text1"/>
          <w:sz w:val="20"/>
          <w:szCs w:val="20"/>
        </w:rPr>
        <w:t xml:space="preserve">on behalf of the Group </w:t>
      </w:r>
      <w:r w:rsidR="00060DD4">
        <w:rPr>
          <w:color w:val="000000" w:themeColor="text1"/>
          <w:sz w:val="20"/>
          <w:szCs w:val="20"/>
        </w:rPr>
        <w:t xml:space="preserve">of </w:t>
      </w:r>
      <w:r w:rsidR="00060DD4" w:rsidRPr="00060DD4">
        <w:rPr>
          <w:color w:val="000000" w:themeColor="text1"/>
          <w:sz w:val="20"/>
          <w:szCs w:val="20"/>
        </w:rPr>
        <w:t>Arab</w:t>
      </w:r>
      <w:r w:rsidR="00060DD4">
        <w:rPr>
          <w:color w:val="000000" w:themeColor="text1"/>
          <w:sz w:val="20"/>
          <w:szCs w:val="20"/>
        </w:rPr>
        <w:t xml:space="preserve"> States), </w:t>
      </w:r>
      <w:r w:rsidR="00060DD4" w:rsidRPr="00060DD4">
        <w:rPr>
          <w:color w:val="000000" w:themeColor="text1"/>
          <w:sz w:val="20"/>
          <w:szCs w:val="20"/>
        </w:rPr>
        <w:t>Bangladesh</w:t>
      </w:r>
      <w:r w:rsidR="00060DD4">
        <w:rPr>
          <w:color w:val="000000" w:themeColor="text1"/>
          <w:sz w:val="20"/>
          <w:szCs w:val="20"/>
        </w:rPr>
        <w:t xml:space="preserve">, </w:t>
      </w:r>
      <w:r w:rsidR="00060DD4" w:rsidRPr="00060DD4">
        <w:rPr>
          <w:color w:val="000000" w:themeColor="text1"/>
          <w:sz w:val="20"/>
          <w:szCs w:val="20"/>
        </w:rPr>
        <w:t>Cameroon</w:t>
      </w:r>
      <w:r w:rsidR="00060DD4">
        <w:rPr>
          <w:color w:val="000000" w:themeColor="text1"/>
          <w:sz w:val="20"/>
          <w:szCs w:val="20"/>
        </w:rPr>
        <w:t xml:space="preserve">, </w:t>
      </w:r>
      <w:r w:rsidR="00060DD4" w:rsidRPr="00060DD4">
        <w:rPr>
          <w:color w:val="000000" w:themeColor="text1"/>
          <w:sz w:val="20"/>
          <w:szCs w:val="20"/>
        </w:rPr>
        <w:t>China</w:t>
      </w:r>
      <w:r w:rsidR="00060DD4">
        <w:rPr>
          <w:color w:val="000000" w:themeColor="text1"/>
          <w:sz w:val="20"/>
          <w:szCs w:val="20"/>
        </w:rPr>
        <w:t xml:space="preserve">, </w:t>
      </w:r>
      <w:r w:rsidR="00060DD4" w:rsidRPr="00060DD4">
        <w:rPr>
          <w:color w:val="000000" w:themeColor="text1"/>
          <w:sz w:val="20"/>
          <w:szCs w:val="20"/>
        </w:rPr>
        <w:t>Croatia</w:t>
      </w:r>
      <w:r w:rsidR="00060DD4">
        <w:rPr>
          <w:color w:val="000000" w:themeColor="text1"/>
          <w:sz w:val="20"/>
          <w:szCs w:val="20"/>
        </w:rPr>
        <w:t xml:space="preserve">, </w:t>
      </w:r>
      <w:r w:rsidR="00060DD4" w:rsidRPr="00060DD4">
        <w:rPr>
          <w:color w:val="000000" w:themeColor="text1"/>
          <w:sz w:val="20"/>
          <w:szCs w:val="20"/>
        </w:rPr>
        <w:t>Hungary</w:t>
      </w:r>
      <w:r w:rsidR="00060DD4">
        <w:rPr>
          <w:color w:val="000000" w:themeColor="text1"/>
          <w:sz w:val="20"/>
          <w:szCs w:val="20"/>
        </w:rPr>
        <w:t xml:space="preserve">, </w:t>
      </w:r>
      <w:r w:rsidR="00060DD4" w:rsidRPr="00060DD4">
        <w:rPr>
          <w:color w:val="000000" w:themeColor="text1"/>
          <w:sz w:val="20"/>
          <w:szCs w:val="20"/>
        </w:rPr>
        <w:t>India</w:t>
      </w:r>
      <w:r w:rsidR="00060DD4">
        <w:rPr>
          <w:color w:val="000000" w:themeColor="text1"/>
          <w:sz w:val="20"/>
          <w:szCs w:val="20"/>
        </w:rPr>
        <w:t xml:space="preserve">, </w:t>
      </w:r>
      <w:r w:rsidR="00060DD4" w:rsidRPr="00060DD4">
        <w:rPr>
          <w:color w:val="000000" w:themeColor="text1"/>
          <w:sz w:val="20"/>
          <w:szCs w:val="20"/>
        </w:rPr>
        <w:t>Iraq</w:t>
      </w:r>
      <w:r w:rsidR="00060DD4">
        <w:rPr>
          <w:color w:val="000000" w:themeColor="text1"/>
          <w:sz w:val="20"/>
          <w:szCs w:val="20"/>
        </w:rPr>
        <w:t xml:space="preserve">, </w:t>
      </w:r>
      <w:r w:rsidR="00060DD4" w:rsidRPr="00060DD4">
        <w:rPr>
          <w:color w:val="000000" w:themeColor="text1"/>
          <w:sz w:val="20"/>
          <w:szCs w:val="20"/>
        </w:rPr>
        <w:t>Mexico</w:t>
      </w:r>
      <w:r w:rsidR="00060DD4">
        <w:rPr>
          <w:color w:val="000000" w:themeColor="text1"/>
          <w:sz w:val="20"/>
          <w:szCs w:val="20"/>
        </w:rPr>
        <w:t xml:space="preserve">, </w:t>
      </w:r>
      <w:r w:rsidR="00060DD4" w:rsidRPr="00060DD4">
        <w:rPr>
          <w:color w:val="000000" w:themeColor="text1"/>
          <w:sz w:val="20"/>
          <w:szCs w:val="20"/>
        </w:rPr>
        <w:t>Pakistan</w:t>
      </w:r>
      <w:r w:rsidR="00060DD4">
        <w:rPr>
          <w:color w:val="000000" w:themeColor="text1"/>
          <w:sz w:val="20"/>
          <w:szCs w:val="20"/>
        </w:rPr>
        <w:t xml:space="preserve">, </w:t>
      </w:r>
      <w:r w:rsidR="00060DD4" w:rsidRPr="00060DD4">
        <w:rPr>
          <w:color w:val="000000" w:themeColor="text1"/>
          <w:sz w:val="20"/>
          <w:szCs w:val="20"/>
        </w:rPr>
        <w:t>Philippines</w:t>
      </w:r>
      <w:r w:rsidR="00060DD4">
        <w:rPr>
          <w:color w:val="000000" w:themeColor="text1"/>
          <w:sz w:val="20"/>
          <w:szCs w:val="20"/>
        </w:rPr>
        <w:t xml:space="preserve">, </w:t>
      </w:r>
      <w:r w:rsidR="00060DD4" w:rsidRPr="00060DD4">
        <w:rPr>
          <w:color w:val="000000" w:themeColor="text1"/>
          <w:sz w:val="20"/>
          <w:szCs w:val="20"/>
        </w:rPr>
        <w:t>Tunisia</w:t>
      </w:r>
      <w:r w:rsidR="00060DD4">
        <w:rPr>
          <w:color w:val="000000" w:themeColor="text1"/>
          <w:sz w:val="20"/>
          <w:szCs w:val="20"/>
        </w:rPr>
        <w:t xml:space="preserve">, </w:t>
      </w:r>
      <w:r w:rsidR="00060DD4" w:rsidRPr="00060DD4">
        <w:rPr>
          <w:color w:val="000000" w:themeColor="text1"/>
          <w:sz w:val="20"/>
          <w:szCs w:val="20"/>
        </w:rPr>
        <w:t>Ukraine</w:t>
      </w:r>
      <w:r w:rsidRPr="0067399B">
        <w:rPr>
          <w:color w:val="000000" w:themeColor="text1"/>
          <w:sz w:val="20"/>
          <w:szCs w:val="20"/>
        </w:rPr>
        <w:t>;</w:t>
      </w:r>
    </w:p>
    <w:p w14:paraId="694DE186" w14:textId="70749919" w:rsidR="009C4DB7" w:rsidRDefault="009C4DB7" w:rsidP="009C4DB7">
      <w:pPr>
        <w:spacing w:after="120"/>
        <w:ind w:left="1134" w:right="1134" w:firstLine="567"/>
        <w:jc w:val="both"/>
        <w:rPr>
          <w:color w:val="000000" w:themeColor="text1"/>
          <w:sz w:val="20"/>
          <w:szCs w:val="20"/>
        </w:rPr>
      </w:pPr>
      <w:r w:rsidRPr="0067399B">
        <w:rPr>
          <w:color w:val="000000" w:themeColor="text1"/>
          <w:sz w:val="20"/>
          <w:szCs w:val="20"/>
        </w:rPr>
        <w:t>(b)</w:t>
      </w:r>
      <w:r w:rsidRPr="0067399B">
        <w:rPr>
          <w:color w:val="000000" w:themeColor="text1"/>
          <w:sz w:val="20"/>
          <w:szCs w:val="20"/>
        </w:rPr>
        <w:tab/>
        <w:t>Repre</w:t>
      </w:r>
      <w:r w:rsidR="00060DD4">
        <w:rPr>
          <w:color w:val="000000" w:themeColor="text1"/>
          <w:sz w:val="20"/>
          <w:szCs w:val="20"/>
        </w:rPr>
        <w:t xml:space="preserve">sentatives of observer States: </w:t>
      </w:r>
      <w:r w:rsidR="00060DD4" w:rsidRPr="00060DD4">
        <w:rPr>
          <w:color w:val="000000" w:themeColor="text1"/>
          <w:sz w:val="20"/>
          <w:szCs w:val="20"/>
        </w:rPr>
        <w:t>Albania</w:t>
      </w:r>
      <w:r w:rsidR="00060DD4">
        <w:rPr>
          <w:color w:val="000000" w:themeColor="text1"/>
          <w:sz w:val="20"/>
          <w:szCs w:val="20"/>
        </w:rPr>
        <w:t xml:space="preserve">, </w:t>
      </w:r>
      <w:r w:rsidR="00060DD4" w:rsidRPr="00060DD4">
        <w:rPr>
          <w:color w:val="000000" w:themeColor="text1"/>
          <w:sz w:val="20"/>
          <w:szCs w:val="20"/>
        </w:rPr>
        <w:t>Colombia</w:t>
      </w:r>
      <w:r w:rsidR="00060DD4">
        <w:rPr>
          <w:color w:val="000000" w:themeColor="text1"/>
          <w:sz w:val="20"/>
          <w:szCs w:val="20"/>
        </w:rPr>
        <w:t xml:space="preserve">, </w:t>
      </w:r>
      <w:r w:rsidR="00060DD4" w:rsidRPr="00060DD4">
        <w:rPr>
          <w:color w:val="000000" w:themeColor="text1"/>
          <w:sz w:val="20"/>
          <w:szCs w:val="20"/>
        </w:rPr>
        <w:t>Cyprus</w:t>
      </w:r>
      <w:r w:rsidR="00060DD4">
        <w:rPr>
          <w:color w:val="000000" w:themeColor="text1"/>
          <w:sz w:val="20"/>
          <w:szCs w:val="20"/>
        </w:rPr>
        <w:t xml:space="preserve">, </w:t>
      </w:r>
      <w:r w:rsidR="00060DD4" w:rsidRPr="00060DD4">
        <w:rPr>
          <w:color w:val="000000" w:themeColor="text1"/>
          <w:sz w:val="20"/>
          <w:szCs w:val="20"/>
        </w:rPr>
        <w:t>Ecuador</w:t>
      </w:r>
      <w:r w:rsidR="00060DD4">
        <w:rPr>
          <w:color w:val="000000" w:themeColor="text1"/>
          <w:sz w:val="20"/>
          <w:szCs w:val="20"/>
        </w:rPr>
        <w:t xml:space="preserve">, </w:t>
      </w:r>
      <w:r w:rsidR="00060DD4" w:rsidRPr="00060DD4">
        <w:rPr>
          <w:color w:val="000000" w:themeColor="text1"/>
          <w:sz w:val="20"/>
          <w:szCs w:val="20"/>
        </w:rPr>
        <w:t>Georgia</w:t>
      </w:r>
      <w:r w:rsidR="00060DD4">
        <w:rPr>
          <w:color w:val="000000" w:themeColor="text1"/>
          <w:sz w:val="20"/>
          <w:szCs w:val="20"/>
        </w:rPr>
        <w:t xml:space="preserve">, </w:t>
      </w:r>
      <w:r w:rsidR="00060DD4" w:rsidRPr="00060DD4">
        <w:rPr>
          <w:color w:val="000000" w:themeColor="text1"/>
          <w:sz w:val="20"/>
          <w:szCs w:val="20"/>
        </w:rPr>
        <w:t>Jordan</w:t>
      </w:r>
      <w:r w:rsidR="00060DD4">
        <w:rPr>
          <w:color w:val="000000" w:themeColor="text1"/>
          <w:sz w:val="20"/>
          <w:szCs w:val="20"/>
        </w:rPr>
        <w:t xml:space="preserve">, </w:t>
      </w:r>
      <w:r w:rsidR="00060DD4" w:rsidRPr="00060DD4">
        <w:rPr>
          <w:color w:val="000000" w:themeColor="text1"/>
          <w:sz w:val="20"/>
          <w:szCs w:val="20"/>
        </w:rPr>
        <w:t>Latvia</w:t>
      </w:r>
      <w:r w:rsidR="00060DD4">
        <w:rPr>
          <w:color w:val="000000" w:themeColor="text1"/>
          <w:sz w:val="20"/>
          <w:szCs w:val="20"/>
        </w:rPr>
        <w:t xml:space="preserve">, </w:t>
      </w:r>
      <w:r w:rsidR="00060DD4" w:rsidRPr="00060DD4">
        <w:rPr>
          <w:color w:val="000000" w:themeColor="text1"/>
          <w:sz w:val="20"/>
          <w:szCs w:val="20"/>
        </w:rPr>
        <w:t>Myanmar</w:t>
      </w:r>
      <w:r w:rsidR="00060DD4">
        <w:rPr>
          <w:color w:val="000000" w:themeColor="text1"/>
          <w:sz w:val="20"/>
          <w:szCs w:val="20"/>
        </w:rPr>
        <w:t xml:space="preserve">, </w:t>
      </w:r>
      <w:r w:rsidR="00060DD4" w:rsidRPr="00060DD4">
        <w:rPr>
          <w:color w:val="000000" w:themeColor="text1"/>
          <w:sz w:val="20"/>
          <w:szCs w:val="20"/>
        </w:rPr>
        <w:t>Republic of Moldova</w:t>
      </w:r>
      <w:r w:rsidR="00060DD4">
        <w:rPr>
          <w:color w:val="000000" w:themeColor="text1"/>
          <w:sz w:val="20"/>
          <w:szCs w:val="20"/>
        </w:rPr>
        <w:t xml:space="preserve">, </w:t>
      </w:r>
      <w:r w:rsidR="00060DD4" w:rsidRPr="00060DD4">
        <w:rPr>
          <w:color w:val="000000" w:themeColor="text1"/>
          <w:sz w:val="20"/>
          <w:szCs w:val="20"/>
        </w:rPr>
        <w:t>Russian Federation</w:t>
      </w:r>
      <w:r w:rsidR="00060DD4">
        <w:rPr>
          <w:color w:val="000000" w:themeColor="text1"/>
          <w:sz w:val="20"/>
          <w:szCs w:val="20"/>
        </w:rPr>
        <w:t xml:space="preserve">, </w:t>
      </w:r>
      <w:r w:rsidR="00060DD4" w:rsidRPr="00060DD4">
        <w:rPr>
          <w:color w:val="000000" w:themeColor="text1"/>
          <w:sz w:val="20"/>
          <w:szCs w:val="20"/>
        </w:rPr>
        <w:t>Sweden</w:t>
      </w:r>
      <w:r w:rsidR="00060DD4">
        <w:rPr>
          <w:color w:val="000000" w:themeColor="text1"/>
          <w:sz w:val="20"/>
          <w:szCs w:val="20"/>
        </w:rPr>
        <w:t xml:space="preserve">, </w:t>
      </w:r>
      <w:r w:rsidR="00060DD4" w:rsidRPr="00060DD4">
        <w:rPr>
          <w:color w:val="000000" w:themeColor="text1"/>
          <w:sz w:val="20"/>
          <w:szCs w:val="20"/>
        </w:rPr>
        <w:t>Venezuela (Bolivarian Republic of)</w:t>
      </w:r>
      <w:r w:rsidRPr="0067399B">
        <w:rPr>
          <w:color w:val="000000" w:themeColor="text1"/>
          <w:sz w:val="20"/>
          <w:szCs w:val="20"/>
        </w:rPr>
        <w:t>;</w:t>
      </w:r>
    </w:p>
    <w:p w14:paraId="26FC75CE" w14:textId="1A3D5BFD" w:rsidR="00060DD4" w:rsidRPr="0067399B" w:rsidRDefault="00060DD4" w:rsidP="009C4DB7">
      <w:pPr>
        <w:spacing w:after="120"/>
        <w:ind w:left="1134" w:right="1134" w:firstLine="567"/>
        <w:jc w:val="both"/>
        <w:rPr>
          <w:color w:val="000000" w:themeColor="text1"/>
          <w:sz w:val="20"/>
          <w:szCs w:val="20"/>
        </w:rPr>
      </w:pPr>
      <w:r w:rsidRPr="0067399B">
        <w:rPr>
          <w:color w:val="000000" w:themeColor="text1"/>
          <w:sz w:val="20"/>
          <w:szCs w:val="20"/>
        </w:rPr>
        <w:t>(c)</w:t>
      </w:r>
      <w:r w:rsidRPr="0067399B">
        <w:rPr>
          <w:color w:val="000000" w:themeColor="text1"/>
          <w:sz w:val="20"/>
          <w:szCs w:val="20"/>
        </w:rPr>
        <w:tab/>
      </w:r>
      <w:r w:rsidRPr="006D07E0">
        <w:rPr>
          <w:color w:val="000000" w:themeColor="text1"/>
          <w:sz w:val="20"/>
          <w:szCs w:val="20"/>
        </w:rPr>
        <w:t>Observer</w:t>
      </w:r>
      <w:r>
        <w:rPr>
          <w:color w:val="000000" w:themeColor="text1"/>
          <w:sz w:val="20"/>
          <w:szCs w:val="20"/>
        </w:rPr>
        <w:t>s</w:t>
      </w:r>
      <w:r w:rsidRPr="006D07E0">
        <w:rPr>
          <w:color w:val="000000" w:themeColor="text1"/>
          <w:sz w:val="20"/>
          <w:szCs w:val="20"/>
        </w:rPr>
        <w:t xml:space="preserve"> for United Nations entities, specialized agencies and related</w:t>
      </w:r>
      <w:r>
        <w:rPr>
          <w:color w:val="000000" w:themeColor="text1"/>
          <w:sz w:val="20"/>
          <w:szCs w:val="20"/>
        </w:rPr>
        <w:t xml:space="preserve"> </w:t>
      </w:r>
      <w:r w:rsidRPr="006D07E0">
        <w:rPr>
          <w:color w:val="000000" w:themeColor="text1"/>
          <w:sz w:val="20"/>
          <w:szCs w:val="20"/>
        </w:rPr>
        <w:t>organizations</w:t>
      </w:r>
      <w:r w:rsidRPr="0067399B">
        <w:rPr>
          <w:color w:val="000000" w:themeColor="text1"/>
          <w:sz w:val="20"/>
          <w:szCs w:val="20"/>
        </w:rPr>
        <w:t>:</w:t>
      </w:r>
      <w:r>
        <w:rPr>
          <w:color w:val="000000" w:themeColor="text1"/>
          <w:sz w:val="20"/>
          <w:szCs w:val="20"/>
        </w:rPr>
        <w:t xml:space="preserve"> </w:t>
      </w:r>
      <w:r w:rsidRPr="00060DD4">
        <w:rPr>
          <w:color w:val="000000" w:themeColor="text1"/>
          <w:sz w:val="20"/>
          <w:szCs w:val="20"/>
        </w:rPr>
        <w:t>Office of the United Nations High Commissioner for Refugees</w:t>
      </w:r>
      <w:r>
        <w:rPr>
          <w:color w:val="000000" w:themeColor="text1"/>
          <w:sz w:val="20"/>
          <w:szCs w:val="20"/>
        </w:rPr>
        <w:t xml:space="preserve">, </w:t>
      </w:r>
      <w:r w:rsidRPr="00060DD4">
        <w:rPr>
          <w:color w:val="000000" w:themeColor="text1"/>
          <w:sz w:val="20"/>
          <w:szCs w:val="20"/>
        </w:rPr>
        <w:t>United Nations Children</w:t>
      </w:r>
      <w:r w:rsidR="00D72627">
        <w:rPr>
          <w:color w:val="000000" w:themeColor="text1"/>
          <w:sz w:val="20"/>
          <w:szCs w:val="20"/>
        </w:rPr>
        <w:t>’</w:t>
      </w:r>
      <w:r w:rsidRPr="00060DD4">
        <w:rPr>
          <w:color w:val="000000" w:themeColor="text1"/>
          <w:sz w:val="20"/>
          <w:szCs w:val="20"/>
        </w:rPr>
        <w:t>s Fund</w:t>
      </w:r>
      <w:r>
        <w:rPr>
          <w:color w:val="000000" w:themeColor="text1"/>
          <w:sz w:val="20"/>
          <w:szCs w:val="20"/>
        </w:rPr>
        <w:t xml:space="preserve"> (UNICEF);</w:t>
      </w:r>
    </w:p>
    <w:p w14:paraId="6BD1CF42" w14:textId="764C188F" w:rsidR="009C4DB7" w:rsidRPr="0067399B" w:rsidRDefault="009C4DB7" w:rsidP="009C4DB7">
      <w:pPr>
        <w:spacing w:after="120"/>
        <w:ind w:left="1134" w:right="1134" w:firstLine="567"/>
        <w:jc w:val="both"/>
        <w:rPr>
          <w:color w:val="000000" w:themeColor="text1"/>
          <w:sz w:val="20"/>
          <w:szCs w:val="20"/>
        </w:rPr>
      </w:pPr>
      <w:r w:rsidRPr="0067399B">
        <w:rPr>
          <w:color w:val="000000" w:themeColor="text1"/>
          <w:sz w:val="20"/>
          <w:szCs w:val="20"/>
        </w:rPr>
        <w:t>(</w:t>
      </w:r>
      <w:r w:rsidR="00060DD4">
        <w:rPr>
          <w:color w:val="000000" w:themeColor="text1"/>
          <w:sz w:val="20"/>
          <w:szCs w:val="20"/>
        </w:rPr>
        <w:t>d</w:t>
      </w:r>
      <w:r w:rsidRPr="0067399B">
        <w:rPr>
          <w:color w:val="000000" w:themeColor="text1"/>
          <w:sz w:val="20"/>
          <w:szCs w:val="20"/>
        </w:rPr>
        <w:t>)</w:t>
      </w:r>
      <w:r w:rsidRPr="0067399B">
        <w:rPr>
          <w:color w:val="000000" w:themeColor="text1"/>
          <w:sz w:val="20"/>
          <w:szCs w:val="20"/>
        </w:rPr>
        <w:tab/>
        <w:t>Observers for intergovernmental organizations: European Union, Organization of Islamic Cooperation;</w:t>
      </w:r>
    </w:p>
    <w:p w14:paraId="6B09014C" w14:textId="31A2FCA6" w:rsidR="009C4DB7" w:rsidRPr="0067399B" w:rsidRDefault="009C4DB7" w:rsidP="009C4DB7">
      <w:pPr>
        <w:spacing w:after="120"/>
        <w:ind w:left="1134" w:right="1134" w:firstLine="567"/>
        <w:jc w:val="both"/>
        <w:rPr>
          <w:color w:val="000000" w:themeColor="text1"/>
          <w:sz w:val="20"/>
          <w:szCs w:val="20"/>
        </w:rPr>
      </w:pPr>
      <w:r w:rsidRPr="0067399B">
        <w:rPr>
          <w:color w:val="000000" w:themeColor="text1"/>
          <w:sz w:val="20"/>
          <w:szCs w:val="20"/>
        </w:rPr>
        <w:t>(</w:t>
      </w:r>
      <w:r w:rsidR="00060DD4">
        <w:rPr>
          <w:color w:val="000000" w:themeColor="text1"/>
          <w:sz w:val="20"/>
          <w:szCs w:val="20"/>
        </w:rPr>
        <w:t>e</w:t>
      </w:r>
      <w:r w:rsidRPr="0067399B">
        <w:rPr>
          <w:color w:val="000000" w:themeColor="text1"/>
          <w:sz w:val="20"/>
          <w:szCs w:val="20"/>
        </w:rPr>
        <w:t>)</w:t>
      </w:r>
      <w:r w:rsidRPr="0067399B">
        <w:rPr>
          <w:color w:val="000000" w:themeColor="text1"/>
          <w:sz w:val="20"/>
          <w:szCs w:val="20"/>
        </w:rPr>
        <w:tab/>
        <w:t xml:space="preserve">Observers for non-governmental organizations: </w:t>
      </w:r>
      <w:r w:rsidR="00060DD4" w:rsidRPr="00060DD4">
        <w:rPr>
          <w:color w:val="000000" w:themeColor="text1"/>
          <w:sz w:val="20"/>
          <w:szCs w:val="20"/>
        </w:rPr>
        <w:t>ADALAH - Legal Center for Arab Minority Rights in Israel</w:t>
      </w:r>
      <w:r w:rsidR="00060DD4">
        <w:rPr>
          <w:color w:val="000000" w:themeColor="text1"/>
          <w:sz w:val="20"/>
          <w:szCs w:val="20"/>
        </w:rPr>
        <w:t xml:space="preserve">; </w:t>
      </w:r>
      <w:r w:rsidR="00060DD4" w:rsidRPr="00060DD4">
        <w:rPr>
          <w:color w:val="000000" w:themeColor="text1"/>
          <w:sz w:val="20"/>
          <w:szCs w:val="20"/>
        </w:rPr>
        <w:t>Advocates for Human Rights</w:t>
      </w:r>
      <w:r w:rsidR="00060DD4">
        <w:rPr>
          <w:color w:val="000000" w:themeColor="text1"/>
          <w:sz w:val="20"/>
          <w:szCs w:val="20"/>
        </w:rPr>
        <w:t xml:space="preserve">; </w:t>
      </w:r>
      <w:r w:rsidR="00060DD4" w:rsidRPr="00060DD4">
        <w:rPr>
          <w:color w:val="000000" w:themeColor="text1"/>
          <w:sz w:val="20"/>
          <w:szCs w:val="20"/>
        </w:rPr>
        <w:t>China Society for Human Rights Studies (CSHRS)</w:t>
      </w:r>
      <w:r w:rsidR="00060DD4">
        <w:rPr>
          <w:color w:val="000000" w:themeColor="text1"/>
          <w:sz w:val="20"/>
          <w:szCs w:val="20"/>
        </w:rPr>
        <w:t xml:space="preserve">; </w:t>
      </w:r>
      <w:r w:rsidR="00060DD4" w:rsidRPr="00060DD4">
        <w:rPr>
          <w:color w:val="000000" w:themeColor="text1"/>
          <w:sz w:val="20"/>
          <w:szCs w:val="20"/>
        </w:rPr>
        <w:t>International Movement Against All Forms of Discrimination and Racism (IMADR)</w:t>
      </w:r>
      <w:r w:rsidR="00060DD4">
        <w:rPr>
          <w:color w:val="000000" w:themeColor="text1"/>
          <w:sz w:val="20"/>
          <w:szCs w:val="20"/>
        </w:rPr>
        <w:t xml:space="preserve">; </w:t>
      </w:r>
      <w:r w:rsidR="00060DD4" w:rsidRPr="00060DD4">
        <w:rPr>
          <w:color w:val="000000" w:themeColor="text1"/>
          <w:sz w:val="20"/>
          <w:szCs w:val="20"/>
        </w:rPr>
        <w:t>Jubilee Campaign</w:t>
      </w:r>
      <w:r w:rsidR="00060DD4">
        <w:rPr>
          <w:color w:val="000000" w:themeColor="text1"/>
          <w:sz w:val="20"/>
          <w:szCs w:val="20"/>
        </w:rPr>
        <w:t xml:space="preserve">; </w:t>
      </w:r>
      <w:r w:rsidR="00060DD4" w:rsidRPr="00060DD4">
        <w:rPr>
          <w:color w:val="000000" w:themeColor="text1"/>
          <w:sz w:val="20"/>
          <w:szCs w:val="20"/>
        </w:rPr>
        <w:t>Liberation</w:t>
      </w:r>
      <w:r w:rsidR="00060DD4">
        <w:rPr>
          <w:color w:val="000000" w:themeColor="text1"/>
          <w:sz w:val="20"/>
          <w:szCs w:val="20"/>
        </w:rPr>
        <w:t xml:space="preserve">; </w:t>
      </w:r>
      <w:r w:rsidR="00060DD4" w:rsidRPr="00060DD4">
        <w:rPr>
          <w:color w:val="000000" w:themeColor="text1"/>
          <w:sz w:val="20"/>
          <w:szCs w:val="20"/>
        </w:rPr>
        <w:t>Minority Rights Group</w:t>
      </w:r>
      <w:r w:rsidR="00060DD4">
        <w:rPr>
          <w:color w:val="000000" w:themeColor="text1"/>
          <w:sz w:val="20"/>
          <w:szCs w:val="20"/>
        </w:rPr>
        <w:t xml:space="preserve">; </w:t>
      </w:r>
      <w:r w:rsidR="00060DD4" w:rsidRPr="00060DD4">
        <w:rPr>
          <w:color w:val="000000" w:themeColor="text1"/>
          <w:sz w:val="20"/>
          <w:szCs w:val="20"/>
        </w:rPr>
        <w:t>Refugee Council of Australia</w:t>
      </w:r>
      <w:r w:rsidRPr="0067399B">
        <w:rPr>
          <w:color w:val="000000" w:themeColor="text1"/>
          <w:sz w:val="20"/>
          <w:szCs w:val="20"/>
        </w:rPr>
        <w:t xml:space="preserve">. </w:t>
      </w:r>
    </w:p>
    <w:p w14:paraId="5C87A026" w14:textId="0A595DAC" w:rsidR="009C4DB7" w:rsidRDefault="002B4AE4" w:rsidP="0092083E">
      <w:pPr>
        <w:pStyle w:val="SingleTxtG"/>
        <w:rPr>
          <w:color w:val="000000" w:themeColor="text1"/>
          <w:sz w:val="20"/>
          <w:szCs w:val="20"/>
        </w:rPr>
      </w:pPr>
      <w:r>
        <w:rPr>
          <w:color w:val="000000" w:themeColor="text1"/>
          <w:sz w:val="20"/>
          <w:szCs w:val="20"/>
        </w:rPr>
        <w:t>181</w:t>
      </w:r>
      <w:r w:rsidR="009C4DB7" w:rsidRPr="0067399B">
        <w:rPr>
          <w:color w:val="000000" w:themeColor="text1"/>
          <w:sz w:val="20"/>
          <w:szCs w:val="20"/>
        </w:rPr>
        <w:t>.</w:t>
      </w:r>
      <w:r w:rsidR="009C4DB7" w:rsidRPr="0067399B">
        <w:rPr>
          <w:color w:val="000000" w:themeColor="text1"/>
          <w:sz w:val="20"/>
          <w:szCs w:val="20"/>
        </w:rPr>
        <w:tab/>
        <w:t xml:space="preserve">At the same meeting, </w:t>
      </w:r>
      <w:r w:rsidR="00060DD4">
        <w:rPr>
          <w:color w:val="000000" w:themeColor="text1"/>
          <w:sz w:val="20"/>
          <w:szCs w:val="20"/>
        </w:rPr>
        <w:t xml:space="preserve">on the same day, </w:t>
      </w:r>
      <w:r w:rsidR="009C4DB7" w:rsidRPr="0067399B">
        <w:rPr>
          <w:color w:val="000000" w:themeColor="text1"/>
          <w:sz w:val="20"/>
          <w:szCs w:val="20"/>
        </w:rPr>
        <w:t>the Special Rapporteur answered questions and made his concluding remarks.</w:t>
      </w:r>
    </w:p>
    <w:p w14:paraId="5A182F4C" w14:textId="38F30013" w:rsidR="00060DD4" w:rsidRPr="0067399B" w:rsidRDefault="002B4AE4" w:rsidP="0092083E">
      <w:pPr>
        <w:pStyle w:val="SingleTxtG"/>
        <w:rPr>
          <w:color w:val="000000" w:themeColor="text1"/>
          <w:sz w:val="20"/>
          <w:szCs w:val="20"/>
        </w:rPr>
      </w:pPr>
      <w:r>
        <w:rPr>
          <w:color w:val="000000" w:themeColor="text1"/>
          <w:sz w:val="20"/>
          <w:szCs w:val="20"/>
        </w:rPr>
        <w:t>182</w:t>
      </w:r>
      <w:r w:rsidR="00060DD4" w:rsidRPr="007C176F">
        <w:rPr>
          <w:color w:val="000000" w:themeColor="text1"/>
          <w:sz w:val="20"/>
          <w:szCs w:val="20"/>
        </w:rPr>
        <w:t>.</w:t>
      </w:r>
      <w:r w:rsidR="00060DD4" w:rsidRPr="007C176F">
        <w:rPr>
          <w:color w:val="000000" w:themeColor="text1"/>
          <w:sz w:val="20"/>
          <w:szCs w:val="20"/>
        </w:rPr>
        <w:tab/>
        <w:t>A</w:t>
      </w:r>
      <w:r w:rsidR="00060DD4">
        <w:rPr>
          <w:color w:val="000000" w:themeColor="text1"/>
          <w:sz w:val="20"/>
          <w:szCs w:val="20"/>
        </w:rPr>
        <w:t>lso a</w:t>
      </w:r>
      <w:r w:rsidR="00060DD4" w:rsidRPr="007C176F">
        <w:rPr>
          <w:color w:val="000000" w:themeColor="text1"/>
          <w:sz w:val="20"/>
          <w:szCs w:val="20"/>
        </w:rPr>
        <w:t>t the</w:t>
      </w:r>
      <w:r w:rsidR="00060DD4">
        <w:rPr>
          <w:color w:val="000000" w:themeColor="text1"/>
          <w:sz w:val="20"/>
          <w:szCs w:val="20"/>
        </w:rPr>
        <w:t xml:space="preserve"> same meeting, </w:t>
      </w:r>
      <w:r w:rsidR="00060DD4" w:rsidRPr="007C176F">
        <w:rPr>
          <w:color w:val="000000" w:themeColor="text1"/>
          <w:sz w:val="20"/>
          <w:szCs w:val="20"/>
        </w:rPr>
        <w:t xml:space="preserve">statements in exercise of the right of reply were made by the representatives of </w:t>
      </w:r>
      <w:r w:rsidR="00060DD4">
        <w:rPr>
          <w:color w:val="000000" w:themeColor="text1"/>
          <w:sz w:val="20"/>
          <w:szCs w:val="20"/>
        </w:rPr>
        <w:t>China and Latvia</w:t>
      </w:r>
      <w:r w:rsidR="00060DD4" w:rsidRPr="007C176F">
        <w:rPr>
          <w:color w:val="000000" w:themeColor="text1"/>
          <w:sz w:val="20"/>
          <w:szCs w:val="20"/>
        </w:rPr>
        <w:t>.</w:t>
      </w:r>
    </w:p>
    <w:p w14:paraId="2EA58934" w14:textId="71F7BED1" w:rsidR="00F11B08" w:rsidRPr="00C16037" w:rsidRDefault="00F11B08" w:rsidP="00415787">
      <w:pPr>
        <w:pStyle w:val="H1G"/>
        <w:rPr>
          <w:b w:val="0"/>
          <w:color w:val="000000" w:themeColor="text1"/>
        </w:rPr>
      </w:pPr>
      <w:r w:rsidRPr="00C16037">
        <w:rPr>
          <w:color w:val="000000" w:themeColor="text1"/>
        </w:rPr>
        <w:tab/>
      </w:r>
      <w:r w:rsidR="00DE052D" w:rsidRPr="00A078AC">
        <w:rPr>
          <w:color w:val="000000" w:themeColor="text1"/>
        </w:rPr>
        <w:t>D</w:t>
      </w:r>
      <w:r w:rsidRPr="00A078AC">
        <w:rPr>
          <w:color w:val="000000" w:themeColor="text1"/>
        </w:rPr>
        <w:t>.</w:t>
      </w:r>
      <w:r w:rsidRPr="00A078AC">
        <w:rPr>
          <w:color w:val="000000" w:themeColor="text1"/>
        </w:rPr>
        <w:tab/>
        <w:t>Open-ended intergovernmental working group on transnational corporations and other business enterprises with respect to human rights</w:t>
      </w:r>
    </w:p>
    <w:p w14:paraId="2EA58935" w14:textId="2E144AAD" w:rsidR="00F11B08" w:rsidRDefault="002B4AE4" w:rsidP="00415787">
      <w:pPr>
        <w:pStyle w:val="SingleTxtG"/>
        <w:rPr>
          <w:color w:val="000000" w:themeColor="text1"/>
          <w:sz w:val="20"/>
          <w:szCs w:val="20"/>
        </w:rPr>
      </w:pPr>
      <w:r>
        <w:rPr>
          <w:color w:val="000000" w:themeColor="text1"/>
          <w:sz w:val="20"/>
          <w:szCs w:val="20"/>
        </w:rPr>
        <w:t>183</w:t>
      </w:r>
      <w:r w:rsidR="000F0B93" w:rsidRPr="0067399B">
        <w:rPr>
          <w:color w:val="000000" w:themeColor="text1"/>
          <w:sz w:val="20"/>
          <w:szCs w:val="20"/>
        </w:rPr>
        <w:t>.</w:t>
      </w:r>
      <w:r w:rsidR="0066004D" w:rsidRPr="0067399B">
        <w:rPr>
          <w:color w:val="000000" w:themeColor="text1"/>
          <w:sz w:val="20"/>
          <w:szCs w:val="20"/>
        </w:rPr>
        <w:tab/>
      </w:r>
      <w:r w:rsidR="00F11B08" w:rsidRPr="0067399B">
        <w:rPr>
          <w:color w:val="000000" w:themeColor="text1"/>
          <w:sz w:val="20"/>
          <w:szCs w:val="20"/>
        </w:rPr>
        <w:t>At the 2</w:t>
      </w:r>
      <w:r w:rsidR="00E67676">
        <w:rPr>
          <w:color w:val="000000" w:themeColor="text1"/>
          <w:sz w:val="20"/>
          <w:szCs w:val="20"/>
        </w:rPr>
        <w:t>4th</w:t>
      </w:r>
      <w:r w:rsidR="00F11B08" w:rsidRPr="0067399B">
        <w:rPr>
          <w:color w:val="000000" w:themeColor="text1"/>
          <w:sz w:val="20"/>
          <w:szCs w:val="20"/>
        </w:rPr>
        <w:t xml:space="preserve"> meeting, on </w:t>
      </w:r>
      <w:r w:rsidR="00E67676">
        <w:rPr>
          <w:color w:val="000000" w:themeColor="text1"/>
          <w:sz w:val="20"/>
          <w:szCs w:val="20"/>
        </w:rPr>
        <w:t>8</w:t>
      </w:r>
      <w:r w:rsidR="004F72BF" w:rsidRPr="0067399B">
        <w:rPr>
          <w:color w:val="000000" w:themeColor="text1"/>
          <w:sz w:val="20"/>
          <w:szCs w:val="20"/>
        </w:rPr>
        <w:t xml:space="preserve"> March </w:t>
      </w:r>
      <w:r w:rsidR="00141AFC">
        <w:rPr>
          <w:color w:val="000000" w:themeColor="text1"/>
          <w:sz w:val="20"/>
          <w:szCs w:val="20"/>
        </w:rPr>
        <w:t>2019</w:t>
      </w:r>
      <w:r w:rsidR="00F11B08" w:rsidRPr="0067399B">
        <w:rPr>
          <w:color w:val="000000" w:themeColor="text1"/>
          <w:sz w:val="20"/>
          <w:szCs w:val="20"/>
        </w:rPr>
        <w:t xml:space="preserve">, pursuant to Human Rights Council resolution 26/9, the </w:t>
      </w:r>
      <w:r w:rsidR="004B493B" w:rsidRPr="0067399B">
        <w:rPr>
          <w:color w:val="000000" w:themeColor="text1"/>
          <w:sz w:val="20"/>
          <w:szCs w:val="20"/>
        </w:rPr>
        <w:t xml:space="preserve">Ambassador and Permanent Representative of Ecuador, </w:t>
      </w:r>
      <w:r w:rsidR="00E67676" w:rsidRPr="00E67676">
        <w:rPr>
          <w:color w:val="000000" w:themeColor="text1"/>
          <w:sz w:val="20"/>
          <w:szCs w:val="20"/>
        </w:rPr>
        <w:t>Emilio Izquierdo</w:t>
      </w:r>
      <w:r w:rsidR="004B493B" w:rsidRPr="0067399B">
        <w:rPr>
          <w:color w:val="000000" w:themeColor="text1"/>
          <w:sz w:val="20"/>
          <w:szCs w:val="20"/>
        </w:rPr>
        <w:t xml:space="preserve">, </w:t>
      </w:r>
      <w:r w:rsidR="00255F99">
        <w:rPr>
          <w:color w:val="000000" w:themeColor="text1"/>
          <w:sz w:val="20"/>
          <w:szCs w:val="20"/>
        </w:rPr>
        <w:t xml:space="preserve">as </w:t>
      </w:r>
      <w:r w:rsidR="000B5C00">
        <w:rPr>
          <w:color w:val="000000" w:themeColor="text1"/>
          <w:sz w:val="20"/>
          <w:szCs w:val="20"/>
        </w:rPr>
        <w:t>the</w:t>
      </w:r>
      <w:r w:rsidR="004B493B" w:rsidRPr="0067399B">
        <w:rPr>
          <w:color w:val="000000" w:themeColor="text1"/>
          <w:sz w:val="20"/>
          <w:szCs w:val="20"/>
        </w:rPr>
        <w:t xml:space="preserve"> </w:t>
      </w:r>
      <w:r w:rsidR="00F11B08" w:rsidRPr="0067399B">
        <w:rPr>
          <w:color w:val="000000" w:themeColor="text1"/>
          <w:sz w:val="20"/>
          <w:szCs w:val="20"/>
        </w:rPr>
        <w:t>Chairperson-Rapporteur of the open-ended intergovernmental working group on transnational corporations and other business enterprises with respect to human rights, with the mandate of elaborating an international legally binding instrument, presented the report on the working group</w:t>
      </w:r>
      <w:r w:rsidR="00D72627">
        <w:rPr>
          <w:color w:val="000000" w:themeColor="text1"/>
          <w:sz w:val="20"/>
          <w:szCs w:val="20"/>
        </w:rPr>
        <w:t>’</w:t>
      </w:r>
      <w:r w:rsidR="00F11B08" w:rsidRPr="0067399B">
        <w:rPr>
          <w:color w:val="000000" w:themeColor="text1"/>
          <w:sz w:val="20"/>
          <w:szCs w:val="20"/>
        </w:rPr>
        <w:t xml:space="preserve">s </w:t>
      </w:r>
      <w:r w:rsidR="00255F99">
        <w:rPr>
          <w:color w:val="000000" w:themeColor="text1"/>
          <w:sz w:val="20"/>
          <w:szCs w:val="20"/>
        </w:rPr>
        <w:t>fourth</w:t>
      </w:r>
      <w:r w:rsidR="004F72BF" w:rsidRPr="0067399B">
        <w:rPr>
          <w:color w:val="000000" w:themeColor="text1"/>
          <w:sz w:val="20"/>
          <w:szCs w:val="20"/>
        </w:rPr>
        <w:t xml:space="preserve"> session, held from </w:t>
      </w:r>
      <w:r w:rsidR="00255F99" w:rsidRPr="00255F99">
        <w:rPr>
          <w:color w:val="000000" w:themeColor="text1"/>
          <w:sz w:val="20"/>
          <w:szCs w:val="20"/>
        </w:rPr>
        <w:t>15 to 19 October 2018 (A/HRC/40/48).</w:t>
      </w:r>
    </w:p>
    <w:p w14:paraId="7D55D7CB" w14:textId="7C18F4F6" w:rsidR="00E67676" w:rsidRPr="000B5C00" w:rsidRDefault="000B5C00" w:rsidP="000B5C00">
      <w:pPr>
        <w:pStyle w:val="H1G"/>
        <w:rPr>
          <w:color w:val="000000" w:themeColor="text1"/>
        </w:rPr>
      </w:pPr>
      <w:r>
        <w:rPr>
          <w:color w:val="000000" w:themeColor="text1"/>
        </w:rPr>
        <w:tab/>
      </w:r>
      <w:r w:rsidRPr="00A078AC">
        <w:rPr>
          <w:color w:val="000000" w:themeColor="text1"/>
        </w:rPr>
        <w:t>E.</w:t>
      </w:r>
      <w:r w:rsidRPr="00A078AC">
        <w:rPr>
          <w:color w:val="000000" w:themeColor="text1"/>
        </w:rPr>
        <w:tab/>
      </w:r>
      <w:r w:rsidR="00E67676" w:rsidRPr="00A078AC">
        <w:rPr>
          <w:color w:val="000000" w:themeColor="text1"/>
        </w:rPr>
        <w:t>Promotion and protection of human rights and the implementation of the 2030 Agenda for Sustainable Development</w:t>
      </w:r>
    </w:p>
    <w:p w14:paraId="5FC7FCFB" w14:textId="0EF196C8" w:rsidR="00E67676" w:rsidRPr="0067399B" w:rsidRDefault="002B4AE4" w:rsidP="00415787">
      <w:pPr>
        <w:pStyle w:val="SingleTxtG"/>
        <w:rPr>
          <w:color w:val="000000" w:themeColor="text1"/>
          <w:sz w:val="20"/>
          <w:szCs w:val="20"/>
        </w:rPr>
      </w:pPr>
      <w:r>
        <w:rPr>
          <w:color w:val="000000" w:themeColor="text1"/>
          <w:sz w:val="20"/>
          <w:szCs w:val="20"/>
        </w:rPr>
        <w:t>184</w:t>
      </w:r>
      <w:r w:rsidR="000B5C00">
        <w:rPr>
          <w:color w:val="000000" w:themeColor="text1"/>
          <w:sz w:val="20"/>
          <w:szCs w:val="20"/>
        </w:rPr>
        <w:t>.</w:t>
      </w:r>
      <w:r w:rsidR="000B5C00">
        <w:rPr>
          <w:color w:val="000000" w:themeColor="text1"/>
          <w:sz w:val="20"/>
          <w:szCs w:val="20"/>
        </w:rPr>
        <w:tab/>
      </w:r>
      <w:r w:rsidR="000B5C00" w:rsidRPr="0067399B">
        <w:rPr>
          <w:color w:val="000000" w:themeColor="text1"/>
          <w:sz w:val="20"/>
          <w:szCs w:val="20"/>
        </w:rPr>
        <w:t>At the 2</w:t>
      </w:r>
      <w:r w:rsidR="000B5C00">
        <w:rPr>
          <w:color w:val="000000" w:themeColor="text1"/>
          <w:sz w:val="20"/>
          <w:szCs w:val="20"/>
        </w:rPr>
        <w:t>4th</w:t>
      </w:r>
      <w:r w:rsidR="000B5C00" w:rsidRPr="0067399B">
        <w:rPr>
          <w:color w:val="000000" w:themeColor="text1"/>
          <w:sz w:val="20"/>
          <w:szCs w:val="20"/>
        </w:rPr>
        <w:t xml:space="preserve"> meeting, on </w:t>
      </w:r>
      <w:r w:rsidR="000B5C00">
        <w:rPr>
          <w:color w:val="000000" w:themeColor="text1"/>
          <w:sz w:val="20"/>
          <w:szCs w:val="20"/>
        </w:rPr>
        <w:t>8</w:t>
      </w:r>
      <w:r w:rsidR="000B5C00" w:rsidRPr="0067399B">
        <w:rPr>
          <w:color w:val="000000" w:themeColor="text1"/>
          <w:sz w:val="20"/>
          <w:szCs w:val="20"/>
        </w:rPr>
        <w:t xml:space="preserve"> March </w:t>
      </w:r>
      <w:r w:rsidR="000B5C00">
        <w:rPr>
          <w:color w:val="000000" w:themeColor="text1"/>
          <w:sz w:val="20"/>
          <w:szCs w:val="20"/>
        </w:rPr>
        <w:t>2019</w:t>
      </w:r>
      <w:r w:rsidR="000B5C00" w:rsidRPr="0067399B">
        <w:rPr>
          <w:color w:val="000000" w:themeColor="text1"/>
          <w:sz w:val="20"/>
          <w:szCs w:val="20"/>
        </w:rPr>
        <w:t xml:space="preserve">, pursuant to Human Rights Council resolution </w:t>
      </w:r>
      <w:r w:rsidR="00E67676" w:rsidRPr="000B5C00">
        <w:rPr>
          <w:color w:val="000000" w:themeColor="text1"/>
          <w:sz w:val="20"/>
          <w:szCs w:val="20"/>
        </w:rPr>
        <w:t xml:space="preserve">37/24, </w:t>
      </w:r>
      <w:r w:rsidR="000B5C00">
        <w:rPr>
          <w:color w:val="000000" w:themeColor="text1"/>
          <w:sz w:val="20"/>
          <w:szCs w:val="20"/>
        </w:rPr>
        <w:t>the</w:t>
      </w:r>
      <w:r w:rsidR="00C34509">
        <w:rPr>
          <w:color w:val="000000" w:themeColor="text1"/>
          <w:sz w:val="20"/>
          <w:szCs w:val="20"/>
        </w:rPr>
        <w:t xml:space="preserve"> Ambassador and</w:t>
      </w:r>
      <w:r w:rsidR="000B5C00">
        <w:rPr>
          <w:color w:val="000000" w:themeColor="text1"/>
          <w:sz w:val="20"/>
          <w:szCs w:val="20"/>
        </w:rPr>
        <w:t xml:space="preserve"> </w:t>
      </w:r>
      <w:r w:rsidR="000B5C00" w:rsidRPr="000B5C00">
        <w:rPr>
          <w:color w:val="000000" w:themeColor="text1"/>
          <w:sz w:val="20"/>
          <w:szCs w:val="20"/>
        </w:rPr>
        <w:t>Permanent Representative</w:t>
      </w:r>
      <w:r w:rsidR="000B5C00">
        <w:rPr>
          <w:color w:val="000000" w:themeColor="text1"/>
          <w:sz w:val="20"/>
          <w:szCs w:val="20"/>
        </w:rPr>
        <w:t xml:space="preserve"> of Denmark, </w:t>
      </w:r>
      <w:r w:rsidR="000B5C00" w:rsidRPr="000B5C00">
        <w:rPr>
          <w:color w:val="000000" w:themeColor="text1"/>
          <w:sz w:val="20"/>
          <w:szCs w:val="20"/>
        </w:rPr>
        <w:t>Morten Jespersen</w:t>
      </w:r>
      <w:r w:rsidR="000B5C00">
        <w:rPr>
          <w:color w:val="000000" w:themeColor="text1"/>
          <w:sz w:val="20"/>
          <w:szCs w:val="20"/>
        </w:rPr>
        <w:t xml:space="preserve">, as the </w:t>
      </w:r>
      <w:r w:rsidR="000B5C00" w:rsidRPr="000B5C00">
        <w:rPr>
          <w:color w:val="000000" w:themeColor="text1"/>
          <w:sz w:val="20"/>
          <w:szCs w:val="20"/>
        </w:rPr>
        <w:t>Chair on the intersessional meeting for dialogue and cooperation on human rights and the 2030 Agenda for Sustainable Development,</w:t>
      </w:r>
      <w:r w:rsidR="000B5C00">
        <w:rPr>
          <w:color w:val="000000" w:themeColor="text1"/>
          <w:sz w:val="20"/>
          <w:szCs w:val="20"/>
        </w:rPr>
        <w:t xml:space="preserve"> presented the report of the </w:t>
      </w:r>
      <w:r w:rsidR="000B5C00" w:rsidRPr="000B5C00">
        <w:rPr>
          <w:color w:val="000000" w:themeColor="text1"/>
          <w:sz w:val="20"/>
          <w:szCs w:val="20"/>
        </w:rPr>
        <w:t>intersessional meeting</w:t>
      </w:r>
      <w:r w:rsidR="000B5C00">
        <w:rPr>
          <w:color w:val="000000" w:themeColor="text1"/>
          <w:sz w:val="20"/>
          <w:szCs w:val="20"/>
        </w:rPr>
        <w:t>,</w:t>
      </w:r>
      <w:r w:rsidR="00E67676" w:rsidRPr="000B5C00">
        <w:rPr>
          <w:color w:val="000000" w:themeColor="text1"/>
          <w:sz w:val="20"/>
          <w:szCs w:val="20"/>
        </w:rPr>
        <w:t xml:space="preserve"> held on 16 January 2019 (A/HRC/40/34).</w:t>
      </w:r>
    </w:p>
    <w:p w14:paraId="2EA58938" w14:textId="410D7252" w:rsidR="00F11B08" w:rsidRPr="00C16037" w:rsidRDefault="00C71A74" w:rsidP="00415787">
      <w:pPr>
        <w:pStyle w:val="H1G"/>
        <w:rPr>
          <w:b w:val="0"/>
          <w:color w:val="000000" w:themeColor="text1"/>
        </w:rPr>
      </w:pPr>
      <w:r w:rsidRPr="00C16037">
        <w:rPr>
          <w:color w:val="000000" w:themeColor="text1"/>
        </w:rPr>
        <w:tab/>
      </w:r>
      <w:r w:rsidR="00A078AC">
        <w:rPr>
          <w:color w:val="000000" w:themeColor="text1"/>
        </w:rPr>
        <w:t>F</w:t>
      </w:r>
      <w:r w:rsidR="000F0B93" w:rsidRPr="00A078AC">
        <w:rPr>
          <w:color w:val="000000" w:themeColor="text1"/>
        </w:rPr>
        <w:t>.</w:t>
      </w:r>
      <w:r w:rsidRPr="00A078AC">
        <w:rPr>
          <w:color w:val="000000" w:themeColor="text1"/>
        </w:rPr>
        <w:tab/>
      </w:r>
      <w:r w:rsidR="00F11B08" w:rsidRPr="00A078AC">
        <w:rPr>
          <w:color w:val="000000" w:themeColor="text1"/>
        </w:rPr>
        <w:t>General debate on agenda item 3</w:t>
      </w:r>
    </w:p>
    <w:p w14:paraId="2EA58939" w14:textId="7D2B7152" w:rsidR="00F11B08" w:rsidRPr="0067399B" w:rsidRDefault="002B4AE4" w:rsidP="00415787">
      <w:pPr>
        <w:pStyle w:val="SingleTxtG"/>
        <w:rPr>
          <w:color w:val="000000" w:themeColor="text1"/>
          <w:sz w:val="20"/>
          <w:szCs w:val="20"/>
        </w:rPr>
      </w:pPr>
      <w:r>
        <w:rPr>
          <w:color w:val="000000" w:themeColor="text1"/>
          <w:sz w:val="20"/>
          <w:szCs w:val="20"/>
        </w:rPr>
        <w:t>185</w:t>
      </w:r>
      <w:r w:rsidR="000F0B93" w:rsidRPr="0067399B">
        <w:rPr>
          <w:color w:val="000000" w:themeColor="text1"/>
          <w:sz w:val="20"/>
          <w:szCs w:val="20"/>
        </w:rPr>
        <w:t>.</w:t>
      </w:r>
      <w:r w:rsidR="00C71A74" w:rsidRPr="0067399B">
        <w:rPr>
          <w:color w:val="000000" w:themeColor="text1"/>
          <w:sz w:val="20"/>
          <w:szCs w:val="20"/>
        </w:rPr>
        <w:tab/>
      </w:r>
      <w:r w:rsidR="00265671" w:rsidRPr="0067399B">
        <w:rPr>
          <w:color w:val="000000" w:themeColor="text1"/>
          <w:sz w:val="20"/>
          <w:szCs w:val="20"/>
        </w:rPr>
        <w:t xml:space="preserve">At its </w:t>
      </w:r>
      <w:r w:rsidR="00265671" w:rsidRPr="00C01573">
        <w:rPr>
          <w:color w:val="000000" w:themeColor="text1"/>
          <w:sz w:val="20"/>
          <w:szCs w:val="20"/>
        </w:rPr>
        <w:t>2</w:t>
      </w:r>
      <w:r w:rsidR="00C01573">
        <w:rPr>
          <w:color w:val="000000" w:themeColor="text1"/>
          <w:sz w:val="20"/>
          <w:szCs w:val="20"/>
        </w:rPr>
        <w:t>4</w:t>
      </w:r>
      <w:r w:rsidR="00265671" w:rsidRPr="00C01573">
        <w:rPr>
          <w:color w:val="000000" w:themeColor="text1"/>
          <w:sz w:val="20"/>
          <w:szCs w:val="20"/>
        </w:rPr>
        <w:t xml:space="preserve">th </w:t>
      </w:r>
      <w:r w:rsidR="00C01573">
        <w:rPr>
          <w:color w:val="000000" w:themeColor="text1"/>
          <w:sz w:val="20"/>
          <w:szCs w:val="20"/>
        </w:rPr>
        <w:t xml:space="preserve">to 25th </w:t>
      </w:r>
      <w:r w:rsidR="00F11B08" w:rsidRPr="00C01573">
        <w:rPr>
          <w:color w:val="000000" w:themeColor="text1"/>
          <w:sz w:val="20"/>
          <w:szCs w:val="20"/>
        </w:rPr>
        <w:t>meeting</w:t>
      </w:r>
      <w:r w:rsidR="00C01573">
        <w:rPr>
          <w:color w:val="000000" w:themeColor="text1"/>
          <w:sz w:val="20"/>
          <w:szCs w:val="20"/>
        </w:rPr>
        <w:t>s</w:t>
      </w:r>
      <w:r w:rsidR="00F11B08" w:rsidRPr="00C01573">
        <w:rPr>
          <w:color w:val="000000" w:themeColor="text1"/>
          <w:sz w:val="20"/>
          <w:szCs w:val="20"/>
        </w:rPr>
        <w:t xml:space="preserve">, on </w:t>
      </w:r>
      <w:r w:rsidR="00265671" w:rsidRPr="00C01573">
        <w:rPr>
          <w:color w:val="000000" w:themeColor="text1"/>
          <w:sz w:val="20"/>
          <w:szCs w:val="20"/>
        </w:rPr>
        <w:t>8</w:t>
      </w:r>
      <w:r w:rsidR="00F11B08" w:rsidRPr="00C01573">
        <w:rPr>
          <w:color w:val="000000" w:themeColor="text1"/>
          <w:sz w:val="20"/>
          <w:szCs w:val="20"/>
        </w:rPr>
        <w:t xml:space="preserve"> March </w:t>
      </w:r>
      <w:r w:rsidR="00141AFC" w:rsidRPr="00C01573">
        <w:rPr>
          <w:color w:val="000000" w:themeColor="text1"/>
          <w:sz w:val="20"/>
          <w:szCs w:val="20"/>
        </w:rPr>
        <w:t>2019</w:t>
      </w:r>
      <w:r w:rsidR="00F11B08" w:rsidRPr="00C01573">
        <w:rPr>
          <w:color w:val="000000" w:themeColor="text1"/>
          <w:sz w:val="20"/>
          <w:szCs w:val="20"/>
        </w:rPr>
        <w:t>,</w:t>
      </w:r>
      <w:r w:rsidR="00265671" w:rsidRPr="00C01573">
        <w:rPr>
          <w:color w:val="000000" w:themeColor="text1"/>
          <w:sz w:val="20"/>
          <w:szCs w:val="20"/>
        </w:rPr>
        <w:t xml:space="preserve"> and at the 26th meeting, on </w:t>
      </w:r>
      <w:r w:rsidR="00C01573">
        <w:rPr>
          <w:color w:val="000000" w:themeColor="text1"/>
          <w:sz w:val="20"/>
          <w:szCs w:val="20"/>
        </w:rPr>
        <w:t>11</w:t>
      </w:r>
      <w:r w:rsidR="00265671" w:rsidRPr="00C01573">
        <w:rPr>
          <w:color w:val="000000" w:themeColor="text1"/>
          <w:sz w:val="20"/>
          <w:szCs w:val="20"/>
        </w:rPr>
        <w:t xml:space="preserve"> March </w:t>
      </w:r>
      <w:r w:rsidR="00141AFC" w:rsidRPr="00C01573">
        <w:rPr>
          <w:color w:val="000000" w:themeColor="text1"/>
          <w:sz w:val="20"/>
          <w:szCs w:val="20"/>
        </w:rPr>
        <w:t>2019</w:t>
      </w:r>
      <w:r w:rsidR="00265671" w:rsidRPr="0067399B">
        <w:rPr>
          <w:color w:val="000000" w:themeColor="text1"/>
          <w:sz w:val="20"/>
          <w:szCs w:val="20"/>
        </w:rPr>
        <w:t>,</w:t>
      </w:r>
      <w:r w:rsidR="00F11B08" w:rsidRPr="0067399B">
        <w:rPr>
          <w:color w:val="000000" w:themeColor="text1"/>
          <w:sz w:val="20"/>
          <w:szCs w:val="20"/>
        </w:rPr>
        <w:t xml:space="preserve"> the Council held a general debate on thematic reports under agenda items 2 and 3, during which the following made statements:</w:t>
      </w:r>
    </w:p>
    <w:p w14:paraId="2EA5893A" w14:textId="3786906E" w:rsidR="00F11B08" w:rsidRPr="0067399B" w:rsidRDefault="00F11B08" w:rsidP="00F11B08">
      <w:pPr>
        <w:spacing w:after="120"/>
        <w:ind w:left="1134" w:right="1134" w:firstLine="567"/>
        <w:jc w:val="both"/>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 </w:t>
      </w:r>
      <w:r w:rsidR="005770BD" w:rsidRPr="00D065DD">
        <w:rPr>
          <w:color w:val="000000" w:themeColor="text1"/>
          <w:sz w:val="20"/>
          <w:szCs w:val="20"/>
        </w:rPr>
        <w:t xml:space="preserve">Angola </w:t>
      </w:r>
      <w:r w:rsidR="005770BD">
        <w:rPr>
          <w:color w:val="000000" w:themeColor="text1"/>
          <w:sz w:val="20"/>
          <w:szCs w:val="20"/>
        </w:rPr>
        <w:t>(</w:t>
      </w:r>
      <w:r w:rsidR="005770BD" w:rsidRPr="00D065DD">
        <w:rPr>
          <w:color w:val="000000" w:themeColor="text1"/>
          <w:sz w:val="20"/>
          <w:szCs w:val="20"/>
        </w:rPr>
        <w:t>on behalf of the Group</w:t>
      </w:r>
      <w:r w:rsidR="005770BD" w:rsidRPr="005F6804">
        <w:rPr>
          <w:color w:val="000000" w:themeColor="text1"/>
          <w:sz w:val="20"/>
          <w:szCs w:val="20"/>
        </w:rPr>
        <w:t xml:space="preserve"> </w:t>
      </w:r>
      <w:r w:rsidR="005770BD">
        <w:rPr>
          <w:color w:val="000000" w:themeColor="text1"/>
          <w:sz w:val="20"/>
          <w:szCs w:val="20"/>
        </w:rPr>
        <w:t xml:space="preserve">of </w:t>
      </w:r>
      <w:r w:rsidR="005770BD" w:rsidRPr="00D065DD">
        <w:rPr>
          <w:color w:val="000000" w:themeColor="text1"/>
          <w:sz w:val="20"/>
          <w:szCs w:val="20"/>
        </w:rPr>
        <w:t>African</w:t>
      </w:r>
      <w:r w:rsidR="005770BD">
        <w:rPr>
          <w:color w:val="000000" w:themeColor="text1"/>
          <w:sz w:val="20"/>
          <w:szCs w:val="20"/>
        </w:rPr>
        <w:t xml:space="preserve"> States), </w:t>
      </w:r>
      <w:r w:rsidR="005770BD" w:rsidRPr="00D065DD">
        <w:rPr>
          <w:color w:val="000000" w:themeColor="text1"/>
          <w:sz w:val="20"/>
          <w:szCs w:val="20"/>
        </w:rPr>
        <w:t xml:space="preserve">Bahrain </w:t>
      </w:r>
      <w:r w:rsidR="005770BD">
        <w:rPr>
          <w:color w:val="000000" w:themeColor="text1"/>
          <w:sz w:val="20"/>
          <w:szCs w:val="20"/>
        </w:rPr>
        <w:t>(</w:t>
      </w:r>
      <w:r w:rsidR="005770BD" w:rsidRPr="00D065DD">
        <w:rPr>
          <w:color w:val="000000" w:themeColor="text1"/>
          <w:sz w:val="20"/>
          <w:szCs w:val="20"/>
        </w:rPr>
        <w:t xml:space="preserve">on behalf of the Group </w:t>
      </w:r>
      <w:r w:rsidR="005770BD">
        <w:rPr>
          <w:color w:val="000000" w:themeColor="text1"/>
          <w:sz w:val="20"/>
          <w:szCs w:val="20"/>
        </w:rPr>
        <w:t xml:space="preserve">of </w:t>
      </w:r>
      <w:r w:rsidR="005770BD" w:rsidRPr="00D065DD">
        <w:rPr>
          <w:color w:val="000000" w:themeColor="text1"/>
          <w:sz w:val="20"/>
          <w:szCs w:val="20"/>
        </w:rPr>
        <w:t>Arab</w:t>
      </w:r>
      <w:r w:rsidR="005770BD">
        <w:rPr>
          <w:color w:val="000000" w:themeColor="text1"/>
          <w:sz w:val="20"/>
          <w:szCs w:val="20"/>
        </w:rPr>
        <w:t xml:space="preserve"> States), </w:t>
      </w:r>
      <w:r w:rsidR="005770BD" w:rsidRPr="005770BD">
        <w:rPr>
          <w:color w:val="000000" w:themeColor="text1"/>
          <w:sz w:val="20"/>
          <w:szCs w:val="20"/>
        </w:rPr>
        <w:lastRenderedPageBreak/>
        <w:t>Brazil</w:t>
      </w:r>
      <w:r w:rsidR="005770BD">
        <w:rPr>
          <w:color w:val="000000" w:themeColor="text1"/>
          <w:sz w:val="20"/>
          <w:szCs w:val="20"/>
        </w:rPr>
        <w:t xml:space="preserve">, </w:t>
      </w:r>
      <w:r w:rsidR="005770BD" w:rsidRPr="00D065DD">
        <w:rPr>
          <w:color w:val="000000" w:themeColor="text1"/>
          <w:sz w:val="20"/>
          <w:szCs w:val="20"/>
        </w:rPr>
        <w:t>Canada</w:t>
      </w:r>
      <w:r w:rsidR="007E79C8">
        <w:rPr>
          <w:rStyle w:val="FootnoteReference"/>
          <w:color w:val="000000" w:themeColor="text1"/>
          <w:szCs w:val="20"/>
        </w:rPr>
        <w:footnoteReference w:id="27"/>
      </w:r>
      <w:r w:rsidR="005770BD" w:rsidRPr="00D065DD">
        <w:rPr>
          <w:color w:val="000000" w:themeColor="text1"/>
          <w:sz w:val="20"/>
          <w:szCs w:val="20"/>
        </w:rPr>
        <w:t xml:space="preserve"> </w:t>
      </w:r>
      <w:r w:rsidR="005770BD">
        <w:rPr>
          <w:color w:val="000000" w:themeColor="text1"/>
          <w:sz w:val="20"/>
          <w:szCs w:val="20"/>
        </w:rPr>
        <w:t>(</w:t>
      </w:r>
      <w:r w:rsidR="005770BD" w:rsidRPr="00F21454">
        <w:rPr>
          <w:color w:val="000000" w:themeColor="text1"/>
          <w:sz w:val="20"/>
          <w:szCs w:val="20"/>
        </w:rPr>
        <w:t>also on behalf of</w:t>
      </w:r>
      <w:r w:rsidR="005770BD" w:rsidRPr="00D065DD">
        <w:rPr>
          <w:color w:val="000000" w:themeColor="text1"/>
          <w:sz w:val="20"/>
          <w:szCs w:val="20"/>
        </w:rPr>
        <w:t xml:space="preserve"> </w:t>
      </w:r>
      <w:r w:rsidR="00F21454" w:rsidRPr="00F21454">
        <w:rPr>
          <w:color w:val="000000" w:themeColor="text1"/>
          <w:sz w:val="20"/>
          <w:szCs w:val="20"/>
        </w:rPr>
        <w:t>Afghanistan, Albania, Andorra,</w:t>
      </w:r>
      <w:r w:rsidR="00F21454">
        <w:rPr>
          <w:color w:val="000000" w:themeColor="text1"/>
          <w:sz w:val="20"/>
          <w:szCs w:val="20"/>
        </w:rPr>
        <w:t xml:space="preserve"> </w:t>
      </w:r>
      <w:r w:rsidR="00F21454" w:rsidRPr="00F21454">
        <w:rPr>
          <w:color w:val="000000" w:themeColor="text1"/>
          <w:sz w:val="20"/>
          <w:szCs w:val="20"/>
        </w:rPr>
        <w:t xml:space="preserve">Argentina, Armenia, Australia, Austria, Belgium, Bulgaria, Chile, Costa Rica, Croatia, Cyprus, Czechia, Denmark, Ecuador, Estonia, Fiji, Finland, France, </w:t>
      </w:r>
      <w:r w:rsidR="00F21454">
        <w:rPr>
          <w:color w:val="000000" w:themeColor="text1"/>
          <w:sz w:val="20"/>
          <w:szCs w:val="20"/>
        </w:rPr>
        <w:t xml:space="preserve">the </w:t>
      </w:r>
      <w:r w:rsidR="00F21454" w:rsidRPr="00F21454">
        <w:rPr>
          <w:color w:val="000000" w:themeColor="text1"/>
          <w:sz w:val="20"/>
          <w:szCs w:val="20"/>
        </w:rPr>
        <w:t xml:space="preserve">Gambia, Georgia, Germany, Ghana, Greece, Guatemala, Hungary, Iceland, Ireland, Israel, Italy, Japan, Latvia, Liechtenstein, Lithuania, Luxembourg, Malta, Mexico, Monaco, Mongolia, Montenegro, </w:t>
      </w:r>
      <w:r w:rsidR="00F21454">
        <w:rPr>
          <w:color w:val="000000" w:themeColor="text1"/>
          <w:sz w:val="20"/>
          <w:szCs w:val="20"/>
        </w:rPr>
        <w:t xml:space="preserve">the </w:t>
      </w:r>
      <w:r w:rsidR="00F21454" w:rsidRPr="00F21454">
        <w:rPr>
          <w:color w:val="000000" w:themeColor="text1"/>
          <w:sz w:val="20"/>
          <w:szCs w:val="20"/>
        </w:rPr>
        <w:t>Netherlands, New Zealand</w:t>
      </w:r>
      <w:r w:rsidR="00F21454">
        <w:rPr>
          <w:color w:val="000000" w:themeColor="text1"/>
          <w:sz w:val="20"/>
          <w:szCs w:val="20"/>
        </w:rPr>
        <w:t xml:space="preserve">, </w:t>
      </w:r>
      <w:r w:rsidR="00F21454" w:rsidRPr="00F21454">
        <w:rPr>
          <w:color w:val="000000" w:themeColor="text1"/>
          <w:sz w:val="20"/>
          <w:szCs w:val="20"/>
        </w:rPr>
        <w:t xml:space="preserve">North Macedonia, Norway, Peru, Poland, Portugal, </w:t>
      </w:r>
      <w:r w:rsidR="00F21454">
        <w:rPr>
          <w:color w:val="000000" w:themeColor="text1"/>
          <w:sz w:val="20"/>
          <w:szCs w:val="20"/>
        </w:rPr>
        <w:t xml:space="preserve">the </w:t>
      </w:r>
      <w:r w:rsidR="00F21454" w:rsidRPr="00F21454">
        <w:rPr>
          <w:color w:val="000000" w:themeColor="text1"/>
          <w:sz w:val="20"/>
          <w:szCs w:val="20"/>
        </w:rPr>
        <w:t>Republic of Korea, Romania, San Marino, Serbia, Slovakia, Slovenia, Spain, Sweden, Switzerland, Tunisia, Turkey, Ukraine</w:t>
      </w:r>
      <w:r w:rsidR="00F21454">
        <w:rPr>
          <w:color w:val="000000" w:themeColor="text1"/>
          <w:sz w:val="20"/>
          <w:szCs w:val="20"/>
        </w:rPr>
        <w:t xml:space="preserve"> and the </w:t>
      </w:r>
      <w:r w:rsidR="00F21454" w:rsidRPr="00F21454">
        <w:rPr>
          <w:color w:val="000000" w:themeColor="text1"/>
          <w:sz w:val="20"/>
          <w:szCs w:val="20"/>
        </w:rPr>
        <w:t>United Kingdom of Great Britain and Northern Ireland</w:t>
      </w:r>
      <w:r w:rsidR="005770BD">
        <w:rPr>
          <w:color w:val="000000" w:themeColor="text1"/>
          <w:sz w:val="20"/>
          <w:szCs w:val="20"/>
        </w:rPr>
        <w:t xml:space="preserve">), </w:t>
      </w:r>
      <w:r w:rsidR="005770BD" w:rsidRPr="005770BD">
        <w:rPr>
          <w:color w:val="000000" w:themeColor="text1"/>
          <w:sz w:val="20"/>
          <w:szCs w:val="20"/>
        </w:rPr>
        <w:t>China</w:t>
      </w:r>
      <w:r w:rsidR="005770BD">
        <w:rPr>
          <w:color w:val="000000" w:themeColor="text1"/>
          <w:sz w:val="20"/>
          <w:szCs w:val="20"/>
        </w:rPr>
        <w:t xml:space="preserve">, </w:t>
      </w:r>
      <w:r w:rsidR="005770BD" w:rsidRPr="005770BD">
        <w:rPr>
          <w:color w:val="000000" w:themeColor="text1"/>
          <w:sz w:val="20"/>
          <w:szCs w:val="20"/>
        </w:rPr>
        <w:t>Cuba</w:t>
      </w:r>
      <w:r w:rsidR="005770BD">
        <w:rPr>
          <w:color w:val="000000" w:themeColor="text1"/>
          <w:sz w:val="20"/>
          <w:szCs w:val="20"/>
        </w:rPr>
        <w:t xml:space="preserve">, </w:t>
      </w:r>
      <w:r w:rsidR="005770BD" w:rsidRPr="00D065DD">
        <w:rPr>
          <w:color w:val="000000" w:themeColor="text1"/>
          <w:sz w:val="20"/>
          <w:szCs w:val="20"/>
        </w:rPr>
        <w:t xml:space="preserve">Denmark </w:t>
      </w:r>
      <w:r w:rsidR="005770BD">
        <w:rPr>
          <w:color w:val="000000" w:themeColor="text1"/>
          <w:sz w:val="20"/>
          <w:szCs w:val="20"/>
        </w:rPr>
        <w:t xml:space="preserve">(also </w:t>
      </w:r>
      <w:r w:rsidR="005770BD" w:rsidRPr="00D065DD">
        <w:rPr>
          <w:color w:val="000000" w:themeColor="text1"/>
          <w:sz w:val="20"/>
          <w:szCs w:val="20"/>
        </w:rPr>
        <w:t xml:space="preserve">on behalf of </w:t>
      </w:r>
      <w:r w:rsidR="005770BD">
        <w:rPr>
          <w:color w:val="000000" w:themeColor="text1"/>
          <w:sz w:val="20"/>
          <w:szCs w:val="20"/>
        </w:rPr>
        <w:t xml:space="preserve">Chile, Fiji, Ghana, Morocco and Indonesia), </w:t>
      </w:r>
      <w:r w:rsidR="005770BD" w:rsidRPr="00D065DD">
        <w:rPr>
          <w:color w:val="000000" w:themeColor="text1"/>
          <w:sz w:val="20"/>
          <w:szCs w:val="20"/>
        </w:rPr>
        <w:t>Estonia</w:t>
      </w:r>
      <w:r w:rsidR="007E79C8">
        <w:rPr>
          <w:rStyle w:val="FootnoteReference"/>
          <w:color w:val="000000" w:themeColor="text1"/>
          <w:szCs w:val="20"/>
        </w:rPr>
        <w:footnoteReference w:id="28"/>
      </w:r>
      <w:r w:rsidR="005770BD" w:rsidRPr="00D065DD">
        <w:rPr>
          <w:color w:val="000000" w:themeColor="text1"/>
          <w:sz w:val="20"/>
          <w:szCs w:val="20"/>
        </w:rPr>
        <w:t xml:space="preserve"> </w:t>
      </w:r>
      <w:r w:rsidR="005770BD">
        <w:rPr>
          <w:color w:val="000000" w:themeColor="text1"/>
          <w:sz w:val="20"/>
          <w:szCs w:val="20"/>
        </w:rPr>
        <w:t xml:space="preserve">(also on behalf of Denmark, Finland, Iceland, Latvia, Lithuania, Norway and Sweden), India, </w:t>
      </w:r>
      <w:r w:rsidR="005770BD" w:rsidRPr="005770BD">
        <w:rPr>
          <w:color w:val="000000" w:themeColor="text1"/>
          <w:sz w:val="20"/>
          <w:szCs w:val="20"/>
        </w:rPr>
        <w:t>Iraq</w:t>
      </w:r>
      <w:r w:rsidR="005770BD">
        <w:rPr>
          <w:color w:val="000000" w:themeColor="text1"/>
          <w:sz w:val="20"/>
          <w:szCs w:val="20"/>
        </w:rPr>
        <w:t xml:space="preserve">, </w:t>
      </w:r>
      <w:r w:rsidR="005770BD" w:rsidRPr="00D065DD">
        <w:rPr>
          <w:color w:val="000000" w:themeColor="text1"/>
          <w:sz w:val="20"/>
          <w:szCs w:val="20"/>
        </w:rPr>
        <w:t>Maldives</w:t>
      </w:r>
      <w:r w:rsidR="007E79C8">
        <w:rPr>
          <w:rStyle w:val="FootnoteReference"/>
          <w:color w:val="000000" w:themeColor="text1"/>
          <w:szCs w:val="20"/>
        </w:rPr>
        <w:footnoteReference w:id="29"/>
      </w:r>
      <w:r w:rsidR="005770BD" w:rsidRPr="00D065DD">
        <w:rPr>
          <w:color w:val="000000" w:themeColor="text1"/>
          <w:sz w:val="20"/>
          <w:szCs w:val="20"/>
        </w:rPr>
        <w:t xml:space="preserve"> </w:t>
      </w:r>
      <w:r w:rsidR="005770BD">
        <w:rPr>
          <w:color w:val="000000" w:themeColor="text1"/>
          <w:sz w:val="20"/>
          <w:szCs w:val="20"/>
        </w:rPr>
        <w:t>(</w:t>
      </w:r>
      <w:r w:rsidR="005770BD" w:rsidRPr="00C43406">
        <w:rPr>
          <w:color w:val="000000" w:themeColor="text1"/>
          <w:sz w:val="20"/>
          <w:szCs w:val="20"/>
        </w:rPr>
        <w:t>also on behalf of</w:t>
      </w:r>
      <w:r w:rsidR="0018478D">
        <w:rPr>
          <w:color w:val="000000" w:themeColor="text1"/>
          <w:sz w:val="20"/>
          <w:szCs w:val="20"/>
        </w:rPr>
        <w:t xml:space="preserve"> the </w:t>
      </w:r>
      <w:r w:rsidR="0018478D" w:rsidRPr="00C43406">
        <w:rPr>
          <w:color w:val="000000" w:themeColor="text1"/>
          <w:sz w:val="20"/>
          <w:szCs w:val="20"/>
        </w:rPr>
        <w:t>Bahamas</w:t>
      </w:r>
      <w:r w:rsidR="0018478D">
        <w:rPr>
          <w:color w:val="000000" w:themeColor="text1"/>
          <w:sz w:val="20"/>
          <w:szCs w:val="20"/>
        </w:rPr>
        <w:t xml:space="preserve">, </w:t>
      </w:r>
      <w:r w:rsidR="0018478D" w:rsidRPr="00C43406">
        <w:rPr>
          <w:color w:val="000000" w:themeColor="text1"/>
          <w:sz w:val="20"/>
          <w:szCs w:val="20"/>
        </w:rPr>
        <w:t>Cuba</w:t>
      </w:r>
      <w:r w:rsidR="0018478D">
        <w:rPr>
          <w:color w:val="000000" w:themeColor="text1"/>
          <w:sz w:val="20"/>
          <w:szCs w:val="20"/>
        </w:rPr>
        <w:t xml:space="preserve">, </w:t>
      </w:r>
      <w:r w:rsidR="0018478D" w:rsidRPr="00C43406">
        <w:rPr>
          <w:color w:val="000000" w:themeColor="text1"/>
          <w:sz w:val="20"/>
          <w:szCs w:val="20"/>
        </w:rPr>
        <w:t>Fiji</w:t>
      </w:r>
      <w:r w:rsidR="0018478D">
        <w:rPr>
          <w:color w:val="000000" w:themeColor="text1"/>
          <w:sz w:val="20"/>
          <w:szCs w:val="20"/>
        </w:rPr>
        <w:t xml:space="preserve">, </w:t>
      </w:r>
      <w:r w:rsidR="0018478D" w:rsidRPr="00C43406">
        <w:rPr>
          <w:color w:val="000000" w:themeColor="text1"/>
          <w:sz w:val="20"/>
          <w:szCs w:val="20"/>
        </w:rPr>
        <w:t>Guyana</w:t>
      </w:r>
      <w:r w:rsidR="0018478D">
        <w:rPr>
          <w:color w:val="000000" w:themeColor="text1"/>
          <w:sz w:val="20"/>
          <w:szCs w:val="20"/>
        </w:rPr>
        <w:t xml:space="preserve">, </w:t>
      </w:r>
      <w:r w:rsidR="0018478D" w:rsidRPr="00C43406">
        <w:rPr>
          <w:color w:val="000000" w:themeColor="text1"/>
          <w:sz w:val="20"/>
          <w:szCs w:val="20"/>
        </w:rPr>
        <w:t>Haiti</w:t>
      </w:r>
      <w:r w:rsidR="0018478D">
        <w:rPr>
          <w:color w:val="000000" w:themeColor="text1"/>
          <w:sz w:val="20"/>
          <w:szCs w:val="20"/>
        </w:rPr>
        <w:t xml:space="preserve">, </w:t>
      </w:r>
      <w:r w:rsidR="0018478D" w:rsidRPr="00C43406">
        <w:rPr>
          <w:color w:val="000000" w:themeColor="text1"/>
          <w:sz w:val="20"/>
          <w:szCs w:val="20"/>
        </w:rPr>
        <w:t>Jamaica</w:t>
      </w:r>
      <w:r w:rsidR="0018478D">
        <w:rPr>
          <w:color w:val="000000" w:themeColor="text1"/>
          <w:sz w:val="20"/>
          <w:szCs w:val="20"/>
        </w:rPr>
        <w:t xml:space="preserve">, </w:t>
      </w:r>
      <w:r w:rsidR="0018478D" w:rsidRPr="00C43406">
        <w:rPr>
          <w:color w:val="000000" w:themeColor="text1"/>
          <w:sz w:val="20"/>
          <w:szCs w:val="20"/>
        </w:rPr>
        <w:t>Maldives</w:t>
      </w:r>
      <w:r w:rsidR="0018478D">
        <w:rPr>
          <w:color w:val="000000" w:themeColor="text1"/>
          <w:sz w:val="20"/>
          <w:szCs w:val="20"/>
        </w:rPr>
        <w:t xml:space="preserve">, the </w:t>
      </w:r>
      <w:r w:rsidR="0018478D" w:rsidRPr="00C43406">
        <w:rPr>
          <w:color w:val="000000" w:themeColor="text1"/>
          <w:sz w:val="20"/>
          <w:szCs w:val="20"/>
        </w:rPr>
        <w:t>Marshall Islands</w:t>
      </w:r>
      <w:r w:rsidR="0018478D">
        <w:rPr>
          <w:color w:val="000000" w:themeColor="text1"/>
          <w:sz w:val="20"/>
          <w:szCs w:val="20"/>
        </w:rPr>
        <w:t xml:space="preserve">, Mauritius, Samoa, </w:t>
      </w:r>
      <w:r w:rsidR="0018478D" w:rsidRPr="00C43406">
        <w:rPr>
          <w:color w:val="000000" w:themeColor="text1"/>
          <w:sz w:val="20"/>
          <w:szCs w:val="20"/>
        </w:rPr>
        <w:t>Singapore</w:t>
      </w:r>
      <w:r w:rsidR="0018478D">
        <w:rPr>
          <w:color w:val="000000" w:themeColor="text1"/>
          <w:sz w:val="20"/>
          <w:szCs w:val="20"/>
        </w:rPr>
        <w:t xml:space="preserve"> and </w:t>
      </w:r>
      <w:r w:rsidR="0018478D" w:rsidRPr="00C43406">
        <w:rPr>
          <w:color w:val="000000" w:themeColor="text1"/>
          <w:sz w:val="20"/>
          <w:szCs w:val="20"/>
        </w:rPr>
        <w:t>Timor</w:t>
      </w:r>
      <w:r w:rsidR="0018478D">
        <w:rPr>
          <w:color w:val="000000" w:themeColor="text1"/>
          <w:sz w:val="20"/>
          <w:szCs w:val="20"/>
        </w:rPr>
        <w:t>-</w:t>
      </w:r>
      <w:r w:rsidR="0018478D" w:rsidRPr="00C43406">
        <w:rPr>
          <w:color w:val="000000" w:themeColor="text1"/>
          <w:sz w:val="20"/>
          <w:szCs w:val="20"/>
        </w:rPr>
        <w:t>Leste</w:t>
      </w:r>
      <w:r w:rsidR="005770BD">
        <w:rPr>
          <w:color w:val="000000" w:themeColor="text1"/>
          <w:sz w:val="20"/>
          <w:szCs w:val="20"/>
        </w:rPr>
        <w:t xml:space="preserve">), </w:t>
      </w:r>
      <w:r w:rsidR="005770BD" w:rsidRPr="00D065DD">
        <w:rPr>
          <w:color w:val="000000" w:themeColor="text1"/>
          <w:sz w:val="20"/>
          <w:szCs w:val="20"/>
        </w:rPr>
        <w:t>Marshall Islands</w:t>
      </w:r>
      <w:r w:rsidR="007E79C8">
        <w:rPr>
          <w:rStyle w:val="FootnoteReference"/>
          <w:color w:val="000000" w:themeColor="text1"/>
          <w:szCs w:val="20"/>
        </w:rPr>
        <w:footnoteReference w:id="30"/>
      </w:r>
      <w:r w:rsidR="005770BD" w:rsidRPr="00D065DD">
        <w:rPr>
          <w:color w:val="000000" w:themeColor="text1"/>
          <w:sz w:val="20"/>
          <w:szCs w:val="20"/>
        </w:rPr>
        <w:t xml:space="preserve"> </w:t>
      </w:r>
      <w:r w:rsidR="005770BD">
        <w:rPr>
          <w:color w:val="000000" w:themeColor="text1"/>
          <w:sz w:val="20"/>
          <w:szCs w:val="20"/>
        </w:rPr>
        <w:t xml:space="preserve">(also </w:t>
      </w:r>
      <w:r w:rsidR="005770BD" w:rsidRPr="00D065DD">
        <w:rPr>
          <w:color w:val="000000" w:themeColor="text1"/>
          <w:sz w:val="20"/>
          <w:szCs w:val="20"/>
        </w:rPr>
        <w:t xml:space="preserve">on behalf of </w:t>
      </w:r>
      <w:r w:rsidR="005770BD">
        <w:rPr>
          <w:color w:val="000000" w:themeColor="text1"/>
          <w:sz w:val="20"/>
          <w:szCs w:val="20"/>
        </w:rPr>
        <w:t xml:space="preserve">Australia, </w:t>
      </w:r>
      <w:r w:rsidR="005770BD" w:rsidRPr="00A67438">
        <w:rPr>
          <w:color w:val="000000" w:themeColor="text1"/>
          <w:sz w:val="20"/>
          <w:szCs w:val="20"/>
        </w:rPr>
        <w:t>Fiji, Kiribati, Micronesia (Federated States of), Nauru, New Zealand, Papua New Guinea, Samoa, Tonga, Tuvalu, Vanuatu, the Cook Islands and Niue</w:t>
      </w:r>
      <w:r w:rsidR="005770BD">
        <w:rPr>
          <w:color w:val="000000" w:themeColor="text1"/>
          <w:sz w:val="20"/>
          <w:szCs w:val="20"/>
        </w:rPr>
        <w:t xml:space="preserve">), </w:t>
      </w:r>
      <w:r w:rsidR="005770BD" w:rsidRPr="005770BD">
        <w:rPr>
          <w:color w:val="000000" w:themeColor="text1"/>
          <w:sz w:val="20"/>
          <w:szCs w:val="20"/>
        </w:rPr>
        <w:t>Nepal</w:t>
      </w:r>
      <w:r w:rsidR="005770BD">
        <w:rPr>
          <w:color w:val="000000" w:themeColor="text1"/>
          <w:sz w:val="20"/>
          <w:szCs w:val="20"/>
        </w:rPr>
        <w:t xml:space="preserve">, </w:t>
      </w:r>
      <w:r w:rsidR="005770BD" w:rsidRPr="005770BD">
        <w:rPr>
          <w:color w:val="000000" w:themeColor="text1"/>
          <w:sz w:val="20"/>
          <w:szCs w:val="20"/>
        </w:rPr>
        <w:t>Nigeria</w:t>
      </w:r>
      <w:r w:rsidR="005770BD">
        <w:rPr>
          <w:color w:val="000000" w:themeColor="text1"/>
          <w:sz w:val="20"/>
          <w:szCs w:val="20"/>
        </w:rPr>
        <w:t xml:space="preserve">, </w:t>
      </w:r>
      <w:r w:rsidR="005770BD" w:rsidRPr="00D065DD">
        <w:rPr>
          <w:color w:val="000000" w:themeColor="text1"/>
          <w:sz w:val="20"/>
          <w:szCs w:val="20"/>
        </w:rPr>
        <w:t>Oman</w:t>
      </w:r>
      <w:r w:rsidR="007E79C8">
        <w:rPr>
          <w:rStyle w:val="FootnoteReference"/>
          <w:color w:val="000000" w:themeColor="text1"/>
          <w:szCs w:val="20"/>
        </w:rPr>
        <w:footnoteReference w:id="31"/>
      </w:r>
      <w:r w:rsidR="005770BD" w:rsidRPr="00D065DD">
        <w:rPr>
          <w:color w:val="000000" w:themeColor="text1"/>
          <w:sz w:val="20"/>
          <w:szCs w:val="20"/>
        </w:rPr>
        <w:t xml:space="preserve"> </w:t>
      </w:r>
      <w:r w:rsidR="005770BD">
        <w:rPr>
          <w:color w:val="000000" w:themeColor="text1"/>
          <w:sz w:val="20"/>
          <w:szCs w:val="20"/>
        </w:rPr>
        <w:t>(</w:t>
      </w:r>
      <w:r w:rsidR="005770BD" w:rsidRPr="00D065DD">
        <w:rPr>
          <w:color w:val="000000" w:themeColor="text1"/>
          <w:sz w:val="20"/>
          <w:szCs w:val="20"/>
        </w:rPr>
        <w:t xml:space="preserve">on behalf of </w:t>
      </w:r>
      <w:r w:rsidR="005770BD">
        <w:rPr>
          <w:color w:val="000000" w:themeColor="text1"/>
          <w:sz w:val="20"/>
          <w:szCs w:val="20"/>
        </w:rPr>
        <w:t xml:space="preserve">the </w:t>
      </w:r>
      <w:r w:rsidR="005770BD" w:rsidRPr="0067399B">
        <w:rPr>
          <w:color w:val="000000" w:themeColor="text1"/>
          <w:sz w:val="20"/>
          <w:szCs w:val="20"/>
        </w:rPr>
        <w:t>Cooperation Council for the Arab States of the Gulf</w:t>
      </w:r>
      <w:r w:rsidR="005770BD">
        <w:rPr>
          <w:color w:val="000000" w:themeColor="text1"/>
          <w:sz w:val="20"/>
          <w:szCs w:val="20"/>
        </w:rPr>
        <w:t xml:space="preserve">), </w:t>
      </w:r>
      <w:r w:rsidR="005770BD" w:rsidRPr="005770BD">
        <w:rPr>
          <w:color w:val="000000" w:themeColor="text1"/>
          <w:sz w:val="20"/>
          <w:szCs w:val="20"/>
        </w:rPr>
        <w:t>Pakistan</w:t>
      </w:r>
      <w:r w:rsidR="005770BD">
        <w:rPr>
          <w:color w:val="000000" w:themeColor="text1"/>
          <w:sz w:val="20"/>
          <w:szCs w:val="20"/>
        </w:rPr>
        <w:t xml:space="preserve"> (also on behalf of the </w:t>
      </w:r>
      <w:r w:rsidR="005770BD" w:rsidRPr="0067399B">
        <w:rPr>
          <w:color w:val="000000" w:themeColor="text1"/>
          <w:sz w:val="20"/>
          <w:szCs w:val="20"/>
        </w:rPr>
        <w:t>Organization of Islamic Cooperation</w:t>
      </w:r>
      <w:r w:rsidR="005770BD">
        <w:rPr>
          <w:color w:val="000000" w:themeColor="text1"/>
          <w:sz w:val="20"/>
          <w:szCs w:val="20"/>
        </w:rPr>
        <w:t xml:space="preserve">), </w:t>
      </w:r>
      <w:r w:rsidR="005770BD" w:rsidRPr="005770BD">
        <w:rPr>
          <w:color w:val="000000" w:themeColor="text1"/>
          <w:sz w:val="20"/>
          <w:szCs w:val="20"/>
        </w:rPr>
        <w:t>Philippines</w:t>
      </w:r>
      <w:r w:rsidR="005770BD">
        <w:rPr>
          <w:color w:val="000000" w:themeColor="text1"/>
          <w:sz w:val="20"/>
          <w:szCs w:val="20"/>
        </w:rPr>
        <w:t xml:space="preserve">, </w:t>
      </w:r>
      <w:r w:rsidR="005770BD" w:rsidRPr="005770BD">
        <w:rPr>
          <w:color w:val="000000" w:themeColor="text1"/>
          <w:sz w:val="20"/>
          <w:szCs w:val="20"/>
        </w:rPr>
        <w:t>Qatar</w:t>
      </w:r>
      <w:r w:rsidR="005770BD">
        <w:rPr>
          <w:color w:val="000000" w:themeColor="text1"/>
          <w:sz w:val="20"/>
          <w:szCs w:val="20"/>
        </w:rPr>
        <w:t xml:space="preserve">, </w:t>
      </w:r>
      <w:r w:rsidR="005770BD" w:rsidRPr="00D065DD">
        <w:rPr>
          <w:color w:val="000000" w:themeColor="text1"/>
          <w:sz w:val="20"/>
          <w:szCs w:val="20"/>
        </w:rPr>
        <w:t>Republic of Korea</w:t>
      </w:r>
      <w:r w:rsidR="007E79C8">
        <w:rPr>
          <w:rStyle w:val="FootnoteReference"/>
          <w:color w:val="000000" w:themeColor="text1"/>
          <w:szCs w:val="20"/>
        </w:rPr>
        <w:footnoteReference w:id="32"/>
      </w:r>
      <w:r w:rsidR="005770BD" w:rsidRPr="00D065DD">
        <w:rPr>
          <w:color w:val="000000" w:themeColor="text1"/>
          <w:sz w:val="20"/>
          <w:szCs w:val="20"/>
        </w:rPr>
        <w:t xml:space="preserve"> </w:t>
      </w:r>
      <w:r w:rsidR="005770BD">
        <w:rPr>
          <w:color w:val="000000" w:themeColor="text1"/>
          <w:sz w:val="20"/>
          <w:szCs w:val="20"/>
        </w:rPr>
        <w:t>(</w:t>
      </w:r>
      <w:r w:rsidR="005770BD" w:rsidRPr="007241B0">
        <w:rPr>
          <w:color w:val="000000" w:themeColor="text1"/>
          <w:sz w:val="20"/>
          <w:szCs w:val="20"/>
        </w:rPr>
        <w:t>also on behalf of</w:t>
      </w:r>
      <w:r w:rsidR="005770BD" w:rsidRPr="00D065DD">
        <w:rPr>
          <w:color w:val="000000" w:themeColor="text1"/>
          <w:sz w:val="20"/>
          <w:szCs w:val="20"/>
        </w:rPr>
        <w:t xml:space="preserve"> </w:t>
      </w:r>
      <w:r w:rsidR="007241B0" w:rsidRPr="007241B0">
        <w:rPr>
          <w:color w:val="000000" w:themeColor="text1"/>
          <w:sz w:val="20"/>
          <w:szCs w:val="20"/>
        </w:rPr>
        <w:t>Andorra</w:t>
      </w:r>
      <w:r w:rsidR="007241B0">
        <w:rPr>
          <w:color w:val="000000" w:themeColor="text1"/>
          <w:sz w:val="20"/>
          <w:szCs w:val="20"/>
        </w:rPr>
        <w:t xml:space="preserve">, </w:t>
      </w:r>
      <w:r w:rsidR="007241B0" w:rsidRPr="007241B0">
        <w:rPr>
          <w:color w:val="000000" w:themeColor="text1"/>
          <w:sz w:val="20"/>
          <w:szCs w:val="20"/>
        </w:rPr>
        <w:t>Angola</w:t>
      </w:r>
      <w:r w:rsidR="007241B0">
        <w:rPr>
          <w:color w:val="000000" w:themeColor="text1"/>
          <w:sz w:val="20"/>
          <w:szCs w:val="20"/>
        </w:rPr>
        <w:t xml:space="preserve">, </w:t>
      </w:r>
      <w:r w:rsidR="007241B0" w:rsidRPr="007241B0">
        <w:rPr>
          <w:color w:val="000000" w:themeColor="text1"/>
          <w:sz w:val="20"/>
          <w:szCs w:val="20"/>
        </w:rPr>
        <w:t>Argentina</w:t>
      </w:r>
      <w:r w:rsidR="007241B0">
        <w:rPr>
          <w:color w:val="000000" w:themeColor="text1"/>
          <w:sz w:val="20"/>
          <w:szCs w:val="20"/>
        </w:rPr>
        <w:t xml:space="preserve">, </w:t>
      </w:r>
      <w:r w:rsidR="007241B0" w:rsidRPr="007241B0">
        <w:rPr>
          <w:color w:val="000000" w:themeColor="text1"/>
          <w:sz w:val="20"/>
          <w:szCs w:val="20"/>
        </w:rPr>
        <w:t>Australia</w:t>
      </w:r>
      <w:r w:rsidR="007241B0">
        <w:rPr>
          <w:color w:val="000000" w:themeColor="text1"/>
          <w:sz w:val="20"/>
          <w:szCs w:val="20"/>
        </w:rPr>
        <w:t xml:space="preserve">, </w:t>
      </w:r>
      <w:r w:rsidR="007241B0" w:rsidRPr="00E02F0D">
        <w:rPr>
          <w:color w:val="000000" w:themeColor="text1"/>
          <w:sz w:val="20"/>
          <w:szCs w:val="20"/>
        </w:rPr>
        <w:t xml:space="preserve">Austria, </w:t>
      </w:r>
      <w:r w:rsidR="007241B0" w:rsidRPr="007241B0">
        <w:rPr>
          <w:color w:val="000000" w:themeColor="text1"/>
          <w:sz w:val="20"/>
          <w:szCs w:val="20"/>
        </w:rPr>
        <w:t>Azerbaijan</w:t>
      </w:r>
      <w:r w:rsidR="007241B0">
        <w:rPr>
          <w:color w:val="000000" w:themeColor="text1"/>
          <w:sz w:val="20"/>
          <w:szCs w:val="20"/>
        </w:rPr>
        <w:t xml:space="preserve">, </w:t>
      </w:r>
      <w:r w:rsidR="007241B0" w:rsidRPr="007241B0">
        <w:rPr>
          <w:color w:val="000000" w:themeColor="text1"/>
          <w:sz w:val="20"/>
          <w:szCs w:val="20"/>
        </w:rPr>
        <w:t>Bahamas</w:t>
      </w:r>
      <w:r w:rsidR="007241B0">
        <w:rPr>
          <w:color w:val="000000" w:themeColor="text1"/>
          <w:sz w:val="20"/>
          <w:szCs w:val="20"/>
        </w:rPr>
        <w:t xml:space="preserve">, </w:t>
      </w:r>
      <w:r w:rsidR="007241B0" w:rsidRPr="007241B0">
        <w:rPr>
          <w:color w:val="000000" w:themeColor="text1"/>
          <w:sz w:val="20"/>
          <w:szCs w:val="20"/>
        </w:rPr>
        <w:t>Belgium</w:t>
      </w:r>
      <w:r w:rsidR="007241B0">
        <w:rPr>
          <w:color w:val="000000" w:themeColor="text1"/>
          <w:sz w:val="20"/>
          <w:szCs w:val="20"/>
        </w:rPr>
        <w:t xml:space="preserve">, </w:t>
      </w:r>
      <w:r w:rsidR="007241B0" w:rsidRPr="007241B0">
        <w:rPr>
          <w:color w:val="000000" w:themeColor="text1"/>
          <w:sz w:val="20"/>
          <w:szCs w:val="20"/>
        </w:rPr>
        <w:t>Bhutan</w:t>
      </w:r>
      <w:r w:rsidR="007241B0">
        <w:rPr>
          <w:color w:val="000000" w:themeColor="text1"/>
          <w:sz w:val="20"/>
          <w:szCs w:val="20"/>
        </w:rPr>
        <w:t xml:space="preserve">, </w:t>
      </w:r>
      <w:r w:rsidR="007241B0" w:rsidRPr="007241B0">
        <w:rPr>
          <w:color w:val="000000" w:themeColor="text1"/>
          <w:sz w:val="20"/>
          <w:szCs w:val="20"/>
        </w:rPr>
        <w:t>Brazil</w:t>
      </w:r>
      <w:r w:rsidR="007241B0">
        <w:rPr>
          <w:color w:val="000000" w:themeColor="text1"/>
          <w:sz w:val="20"/>
          <w:szCs w:val="20"/>
        </w:rPr>
        <w:t xml:space="preserve">, </w:t>
      </w:r>
      <w:r w:rsidR="007241B0" w:rsidRPr="007241B0">
        <w:rPr>
          <w:color w:val="000000" w:themeColor="text1"/>
          <w:sz w:val="20"/>
          <w:szCs w:val="20"/>
        </w:rPr>
        <w:t>Bulgaria</w:t>
      </w:r>
      <w:r w:rsidR="007241B0">
        <w:rPr>
          <w:color w:val="000000" w:themeColor="text1"/>
          <w:sz w:val="20"/>
          <w:szCs w:val="20"/>
        </w:rPr>
        <w:t xml:space="preserve">, </w:t>
      </w:r>
      <w:r w:rsidR="007241B0" w:rsidRPr="007241B0">
        <w:rPr>
          <w:color w:val="000000" w:themeColor="text1"/>
          <w:sz w:val="20"/>
          <w:szCs w:val="20"/>
        </w:rPr>
        <w:t>Canada</w:t>
      </w:r>
      <w:r w:rsidR="007241B0">
        <w:rPr>
          <w:color w:val="000000" w:themeColor="text1"/>
          <w:sz w:val="20"/>
          <w:szCs w:val="20"/>
        </w:rPr>
        <w:t xml:space="preserve">, </w:t>
      </w:r>
      <w:r w:rsidR="007241B0" w:rsidRPr="007241B0">
        <w:rPr>
          <w:color w:val="000000" w:themeColor="text1"/>
          <w:sz w:val="20"/>
          <w:szCs w:val="20"/>
        </w:rPr>
        <w:t>Costa Rica</w:t>
      </w:r>
      <w:r w:rsidR="007241B0">
        <w:rPr>
          <w:color w:val="000000" w:themeColor="text1"/>
          <w:sz w:val="20"/>
          <w:szCs w:val="20"/>
        </w:rPr>
        <w:t xml:space="preserve">, </w:t>
      </w:r>
      <w:r w:rsidR="007241B0" w:rsidRPr="007241B0">
        <w:rPr>
          <w:color w:val="000000" w:themeColor="text1"/>
          <w:sz w:val="20"/>
          <w:szCs w:val="20"/>
        </w:rPr>
        <w:t>Croatia</w:t>
      </w:r>
      <w:r w:rsidR="007241B0">
        <w:rPr>
          <w:color w:val="000000" w:themeColor="text1"/>
          <w:sz w:val="20"/>
          <w:szCs w:val="20"/>
        </w:rPr>
        <w:t xml:space="preserve">, </w:t>
      </w:r>
      <w:r w:rsidR="007241B0" w:rsidRPr="007241B0">
        <w:rPr>
          <w:color w:val="000000" w:themeColor="text1"/>
          <w:sz w:val="20"/>
          <w:szCs w:val="20"/>
        </w:rPr>
        <w:t>Cyprus</w:t>
      </w:r>
      <w:r w:rsidR="007241B0">
        <w:rPr>
          <w:color w:val="000000" w:themeColor="text1"/>
          <w:sz w:val="20"/>
          <w:szCs w:val="20"/>
        </w:rPr>
        <w:t xml:space="preserve">, Czechia, </w:t>
      </w:r>
      <w:r w:rsidR="007241B0" w:rsidRPr="00E02F0D">
        <w:rPr>
          <w:color w:val="000000" w:themeColor="text1"/>
          <w:sz w:val="20"/>
          <w:szCs w:val="20"/>
        </w:rPr>
        <w:t xml:space="preserve">Denmark, </w:t>
      </w:r>
      <w:r w:rsidR="004123EE">
        <w:rPr>
          <w:color w:val="000000" w:themeColor="text1"/>
          <w:sz w:val="20"/>
          <w:szCs w:val="20"/>
        </w:rPr>
        <w:t xml:space="preserve">the Dominican Republic, </w:t>
      </w:r>
      <w:r w:rsidR="007241B0" w:rsidRPr="007241B0">
        <w:rPr>
          <w:color w:val="000000" w:themeColor="text1"/>
          <w:sz w:val="20"/>
          <w:szCs w:val="20"/>
        </w:rPr>
        <w:t>Estonia</w:t>
      </w:r>
      <w:r w:rsidR="007241B0">
        <w:rPr>
          <w:color w:val="000000" w:themeColor="text1"/>
          <w:sz w:val="20"/>
          <w:szCs w:val="20"/>
        </w:rPr>
        <w:t xml:space="preserve">, </w:t>
      </w:r>
      <w:r w:rsidR="007241B0" w:rsidRPr="007241B0">
        <w:rPr>
          <w:color w:val="000000" w:themeColor="text1"/>
          <w:sz w:val="20"/>
          <w:szCs w:val="20"/>
        </w:rPr>
        <w:t>Fiji</w:t>
      </w:r>
      <w:r w:rsidR="007241B0">
        <w:rPr>
          <w:color w:val="000000" w:themeColor="text1"/>
          <w:sz w:val="20"/>
          <w:szCs w:val="20"/>
        </w:rPr>
        <w:t xml:space="preserve">, </w:t>
      </w:r>
      <w:r w:rsidR="007241B0" w:rsidRPr="007241B0">
        <w:rPr>
          <w:color w:val="000000" w:themeColor="text1"/>
          <w:sz w:val="20"/>
          <w:szCs w:val="20"/>
        </w:rPr>
        <w:t>Finland</w:t>
      </w:r>
      <w:r w:rsidR="007241B0">
        <w:rPr>
          <w:color w:val="000000" w:themeColor="text1"/>
          <w:sz w:val="20"/>
          <w:szCs w:val="20"/>
        </w:rPr>
        <w:t xml:space="preserve">, </w:t>
      </w:r>
      <w:r w:rsidR="007241B0" w:rsidRPr="007241B0">
        <w:rPr>
          <w:color w:val="000000" w:themeColor="text1"/>
          <w:sz w:val="20"/>
          <w:szCs w:val="20"/>
        </w:rPr>
        <w:t>France</w:t>
      </w:r>
      <w:r w:rsidR="007241B0">
        <w:rPr>
          <w:color w:val="000000" w:themeColor="text1"/>
          <w:sz w:val="20"/>
          <w:szCs w:val="20"/>
        </w:rPr>
        <w:t xml:space="preserve">, </w:t>
      </w:r>
      <w:r w:rsidR="007241B0" w:rsidRPr="007241B0">
        <w:rPr>
          <w:color w:val="000000" w:themeColor="text1"/>
          <w:sz w:val="20"/>
          <w:szCs w:val="20"/>
        </w:rPr>
        <w:t>Georgia</w:t>
      </w:r>
      <w:r w:rsidR="007241B0">
        <w:rPr>
          <w:color w:val="000000" w:themeColor="text1"/>
          <w:sz w:val="20"/>
          <w:szCs w:val="20"/>
        </w:rPr>
        <w:t xml:space="preserve">, </w:t>
      </w:r>
      <w:r w:rsidR="007241B0" w:rsidRPr="007241B0">
        <w:rPr>
          <w:color w:val="000000" w:themeColor="text1"/>
          <w:sz w:val="20"/>
          <w:szCs w:val="20"/>
        </w:rPr>
        <w:t>Germany</w:t>
      </w:r>
      <w:r w:rsidR="007241B0">
        <w:rPr>
          <w:color w:val="000000" w:themeColor="text1"/>
          <w:sz w:val="20"/>
          <w:szCs w:val="20"/>
        </w:rPr>
        <w:t xml:space="preserve">, </w:t>
      </w:r>
      <w:r w:rsidR="007241B0" w:rsidRPr="007241B0">
        <w:rPr>
          <w:color w:val="000000" w:themeColor="text1"/>
          <w:sz w:val="20"/>
          <w:szCs w:val="20"/>
        </w:rPr>
        <w:t>Greece</w:t>
      </w:r>
      <w:r w:rsidR="007241B0">
        <w:rPr>
          <w:color w:val="000000" w:themeColor="text1"/>
          <w:sz w:val="20"/>
          <w:szCs w:val="20"/>
        </w:rPr>
        <w:t xml:space="preserve">, </w:t>
      </w:r>
      <w:r w:rsidR="007241B0" w:rsidRPr="007241B0">
        <w:rPr>
          <w:color w:val="000000" w:themeColor="text1"/>
          <w:sz w:val="20"/>
          <w:szCs w:val="20"/>
        </w:rPr>
        <w:t>Guatemala</w:t>
      </w:r>
      <w:r w:rsidR="007241B0">
        <w:rPr>
          <w:color w:val="000000" w:themeColor="text1"/>
          <w:sz w:val="20"/>
          <w:szCs w:val="20"/>
        </w:rPr>
        <w:t xml:space="preserve">, </w:t>
      </w:r>
      <w:r w:rsidR="007241B0" w:rsidRPr="007241B0">
        <w:rPr>
          <w:color w:val="000000" w:themeColor="text1"/>
          <w:sz w:val="20"/>
          <w:szCs w:val="20"/>
        </w:rPr>
        <w:t>Haiti</w:t>
      </w:r>
      <w:r w:rsidR="007241B0">
        <w:rPr>
          <w:color w:val="000000" w:themeColor="text1"/>
          <w:sz w:val="20"/>
          <w:szCs w:val="20"/>
        </w:rPr>
        <w:t xml:space="preserve">, </w:t>
      </w:r>
      <w:r w:rsidR="007241B0" w:rsidRPr="007241B0">
        <w:rPr>
          <w:color w:val="000000" w:themeColor="text1"/>
          <w:sz w:val="20"/>
          <w:szCs w:val="20"/>
        </w:rPr>
        <w:t>Hungary</w:t>
      </w:r>
      <w:r w:rsidR="007241B0">
        <w:rPr>
          <w:color w:val="000000" w:themeColor="text1"/>
          <w:sz w:val="20"/>
          <w:szCs w:val="20"/>
        </w:rPr>
        <w:t xml:space="preserve">, </w:t>
      </w:r>
      <w:r w:rsidR="007241B0" w:rsidRPr="007241B0">
        <w:rPr>
          <w:color w:val="000000" w:themeColor="text1"/>
          <w:sz w:val="20"/>
          <w:szCs w:val="20"/>
        </w:rPr>
        <w:t>Iceland</w:t>
      </w:r>
      <w:r w:rsidR="007241B0">
        <w:rPr>
          <w:color w:val="000000" w:themeColor="text1"/>
          <w:sz w:val="20"/>
          <w:szCs w:val="20"/>
        </w:rPr>
        <w:t xml:space="preserve">, India, </w:t>
      </w:r>
      <w:r w:rsidR="007241B0" w:rsidRPr="007241B0">
        <w:rPr>
          <w:color w:val="000000" w:themeColor="text1"/>
          <w:sz w:val="20"/>
          <w:szCs w:val="20"/>
        </w:rPr>
        <w:t>Ireland</w:t>
      </w:r>
      <w:r w:rsidR="007241B0">
        <w:rPr>
          <w:color w:val="000000" w:themeColor="text1"/>
          <w:sz w:val="20"/>
          <w:szCs w:val="20"/>
        </w:rPr>
        <w:t xml:space="preserve">, </w:t>
      </w:r>
      <w:r w:rsidR="007241B0" w:rsidRPr="007241B0">
        <w:rPr>
          <w:color w:val="000000" w:themeColor="text1"/>
          <w:sz w:val="20"/>
          <w:szCs w:val="20"/>
        </w:rPr>
        <w:t>Israel</w:t>
      </w:r>
      <w:r w:rsidR="007241B0">
        <w:rPr>
          <w:color w:val="000000" w:themeColor="text1"/>
          <w:sz w:val="20"/>
          <w:szCs w:val="20"/>
        </w:rPr>
        <w:t xml:space="preserve">, </w:t>
      </w:r>
      <w:r w:rsidR="007241B0" w:rsidRPr="007241B0">
        <w:rPr>
          <w:color w:val="000000" w:themeColor="text1"/>
          <w:sz w:val="20"/>
          <w:szCs w:val="20"/>
        </w:rPr>
        <w:t>Italy</w:t>
      </w:r>
      <w:r w:rsidR="007241B0">
        <w:rPr>
          <w:color w:val="000000" w:themeColor="text1"/>
          <w:sz w:val="20"/>
          <w:szCs w:val="20"/>
        </w:rPr>
        <w:t xml:space="preserve">, </w:t>
      </w:r>
      <w:r w:rsidR="007241B0" w:rsidRPr="007241B0">
        <w:rPr>
          <w:color w:val="000000" w:themeColor="text1"/>
          <w:sz w:val="20"/>
          <w:szCs w:val="20"/>
        </w:rPr>
        <w:t>Japan</w:t>
      </w:r>
      <w:r w:rsidR="007241B0">
        <w:rPr>
          <w:color w:val="000000" w:themeColor="text1"/>
          <w:sz w:val="20"/>
          <w:szCs w:val="20"/>
        </w:rPr>
        <w:t xml:space="preserve">, </w:t>
      </w:r>
      <w:r w:rsidR="007241B0" w:rsidRPr="007241B0">
        <w:rPr>
          <w:color w:val="000000" w:themeColor="text1"/>
          <w:sz w:val="20"/>
          <w:szCs w:val="20"/>
        </w:rPr>
        <w:t>Latvia</w:t>
      </w:r>
      <w:r w:rsidR="007241B0">
        <w:rPr>
          <w:color w:val="000000" w:themeColor="text1"/>
          <w:sz w:val="20"/>
          <w:szCs w:val="20"/>
        </w:rPr>
        <w:t xml:space="preserve">, </w:t>
      </w:r>
      <w:r w:rsidR="007241B0" w:rsidRPr="007241B0">
        <w:rPr>
          <w:color w:val="000000" w:themeColor="text1"/>
          <w:sz w:val="20"/>
          <w:szCs w:val="20"/>
        </w:rPr>
        <w:t>Liechtenstein</w:t>
      </w:r>
      <w:r w:rsidR="007241B0">
        <w:rPr>
          <w:color w:val="000000" w:themeColor="text1"/>
          <w:sz w:val="20"/>
          <w:szCs w:val="20"/>
        </w:rPr>
        <w:t xml:space="preserve">, Lithuania, Luxembourg, </w:t>
      </w:r>
      <w:r w:rsidR="007241B0" w:rsidRPr="007241B0">
        <w:rPr>
          <w:color w:val="000000" w:themeColor="text1"/>
          <w:sz w:val="20"/>
          <w:szCs w:val="20"/>
        </w:rPr>
        <w:t>Maldives</w:t>
      </w:r>
      <w:r w:rsidR="007241B0">
        <w:rPr>
          <w:color w:val="000000" w:themeColor="text1"/>
          <w:sz w:val="20"/>
          <w:szCs w:val="20"/>
        </w:rPr>
        <w:t xml:space="preserve">, </w:t>
      </w:r>
      <w:r w:rsidR="007241B0" w:rsidRPr="007241B0">
        <w:rPr>
          <w:color w:val="000000" w:themeColor="text1"/>
          <w:sz w:val="20"/>
          <w:szCs w:val="20"/>
        </w:rPr>
        <w:t>Malta</w:t>
      </w:r>
      <w:r w:rsidR="007241B0">
        <w:rPr>
          <w:color w:val="000000" w:themeColor="text1"/>
          <w:sz w:val="20"/>
          <w:szCs w:val="20"/>
        </w:rPr>
        <w:t xml:space="preserve">, the </w:t>
      </w:r>
      <w:r w:rsidR="007241B0" w:rsidRPr="007241B0">
        <w:rPr>
          <w:color w:val="000000" w:themeColor="text1"/>
          <w:sz w:val="20"/>
          <w:szCs w:val="20"/>
        </w:rPr>
        <w:t>Marshall Islands</w:t>
      </w:r>
      <w:r w:rsidR="007241B0">
        <w:rPr>
          <w:color w:val="000000" w:themeColor="text1"/>
          <w:sz w:val="20"/>
          <w:szCs w:val="20"/>
        </w:rPr>
        <w:t xml:space="preserve">, </w:t>
      </w:r>
      <w:r w:rsidR="007241B0" w:rsidRPr="007241B0">
        <w:rPr>
          <w:color w:val="000000" w:themeColor="text1"/>
          <w:sz w:val="20"/>
          <w:szCs w:val="20"/>
        </w:rPr>
        <w:t>Mongolia</w:t>
      </w:r>
      <w:r w:rsidR="007241B0">
        <w:rPr>
          <w:color w:val="000000" w:themeColor="text1"/>
          <w:sz w:val="20"/>
          <w:szCs w:val="20"/>
        </w:rPr>
        <w:t xml:space="preserve">, </w:t>
      </w:r>
      <w:r w:rsidR="007241B0" w:rsidRPr="007241B0">
        <w:rPr>
          <w:color w:val="000000" w:themeColor="text1"/>
          <w:sz w:val="20"/>
          <w:szCs w:val="20"/>
        </w:rPr>
        <w:t>Montenegro</w:t>
      </w:r>
      <w:r w:rsidR="007241B0">
        <w:rPr>
          <w:color w:val="000000" w:themeColor="text1"/>
          <w:sz w:val="20"/>
          <w:szCs w:val="20"/>
        </w:rPr>
        <w:t xml:space="preserve">, </w:t>
      </w:r>
      <w:r w:rsidR="007241B0" w:rsidRPr="007241B0">
        <w:rPr>
          <w:color w:val="000000" w:themeColor="text1"/>
          <w:sz w:val="20"/>
          <w:szCs w:val="20"/>
        </w:rPr>
        <w:t>Nepal</w:t>
      </w:r>
      <w:r w:rsidR="007241B0">
        <w:rPr>
          <w:color w:val="000000" w:themeColor="text1"/>
          <w:sz w:val="20"/>
          <w:szCs w:val="20"/>
        </w:rPr>
        <w:t xml:space="preserve">, the </w:t>
      </w:r>
      <w:r w:rsidR="007241B0" w:rsidRPr="007241B0">
        <w:rPr>
          <w:color w:val="000000" w:themeColor="text1"/>
          <w:sz w:val="20"/>
          <w:szCs w:val="20"/>
        </w:rPr>
        <w:t>Netherlands</w:t>
      </w:r>
      <w:r w:rsidR="007241B0">
        <w:rPr>
          <w:color w:val="000000" w:themeColor="text1"/>
          <w:sz w:val="20"/>
          <w:szCs w:val="20"/>
        </w:rPr>
        <w:t xml:space="preserve">, </w:t>
      </w:r>
      <w:r w:rsidR="007241B0" w:rsidRPr="007241B0">
        <w:rPr>
          <w:color w:val="000000" w:themeColor="text1"/>
          <w:sz w:val="20"/>
          <w:szCs w:val="20"/>
        </w:rPr>
        <w:t>Norway</w:t>
      </w:r>
      <w:r w:rsidR="007241B0">
        <w:rPr>
          <w:color w:val="000000" w:themeColor="text1"/>
          <w:sz w:val="20"/>
          <w:szCs w:val="20"/>
        </w:rPr>
        <w:t xml:space="preserve">, </w:t>
      </w:r>
      <w:r w:rsidR="007241B0" w:rsidRPr="007241B0">
        <w:rPr>
          <w:color w:val="000000" w:themeColor="text1"/>
          <w:sz w:val="20"/>
          <w:szCs w:val="20"/>
        </w:rPr>
        <w:t>Pakistan</w:t>
      </w:r>
      <w:r w:rsidR="007241B0">
        <w:rPr>
          <w:color w:val="000000" w:themeColor="text1"/>
          <w:sz w:val="20"/>
          <w:szCs w:val="20"/>
        </w:rPr>
        <w:t xml:space="preserve">, </w:t>
      </w:r>
      <w:r w:rsidR="007241B0" w:rsidRPr="007241B0">
        <w:rPr>
          <w:color w:val="000000" w:themeColor="text1"/>
          <w:sz w:val="20"/>
          <w:szCs w:val="20"/>
        </w:rPr>
        <w:t>Panama</w:t>
      </w:r>
      <w:r w:rsidR="007241B0">
        <w:rPr>
          <w:color w:val="000000" w:themeColor="text1"/>
          <w:sz w:val="20"/>
          <w:szCs w:val="20"/>
        </w:rPr>
        <w:t xml:space="preserve">, the Philippines, </w:t>
      </w:r>
      <w:r w:rsidR="007241B0" w:rsidRPr="007241B0">
        <w:rPr>
          <w:color w:val="000000" w:themeColor="text1"/>
          <w:sz w:val="20"/>
          <w:szCs w:val="20"/>
        </w:rPr>
        <w:t>Poland</w:t>
      </w:r>
      <w:r w:rsidR="007241B0">
        <w:rPr>
          <w:color w:val="000000" w:themeColor="text1"/>
          <w:sz w:val="20"/>
          <w:szCs w:val="20"/>
        </w:rPr>
        <w:t xml:space="preserve">, </w:t>
      </w:r>
      <w:r w:rsidR="007241B0" w:rsidRPr="007241B0">
        <w:rPr>
          <w:color w:val="000000" w:themeColor="text1"/>
          <w:sz w:val="20"/>
          <w:szCs w:val="20"/>
        </w:rPr>
        <w:t>Portugal</w:t>
      </w:r>
      <w:r w:rsidR="007241B0">
        <w:rPr>
          <w:color w:val="000000" w:themeColor="text1"/>
          <w:sz w:val="20"/>
          <w:szCs w:val="20"/>
        </w:rPr>
        <w:t xml:space="preserve">, </w:t>
      </w:r>
      <w:r w:rsidR="007241B0" w:rsidRPr="007241B0">
        <w:rPr>
          <w:color w:val="000000" w:themeColor="text1"/>
          <w:sz w:val="20"/>
          <w:szCs w:val="20"/>
        </w:rPr>
        <w:t>Qatar</w:t>
      </w:r>
      <w:r w:rsidR="007241B0">
        <w:rPr>
          <w:color w:val="000000" w:themeColor="text1"/>
          <w:sz w:val="20"/>
          <w:szCs w:val="20"/>
        </w:rPr>
        <w:t xml:space="preserve">, the Republic of </w:t>
      </w:r>
      <w:r w:rsidR="007241B0" w:rsidRPr="007241B0">
        <w:rPr>
          <w:color w:val="000000" w:themeColor="text1"/>
          <w:sz w:val="20"/>
          <w:szCs w:val="20"/>
        </w:rPr>
        <w:t>Moldova</w:t>
      </w:r>
      <w:r w:rsidR="007241B0">
        <w:rPr>
          <w:color w:val="000000" w:themeColor="text1"/>
          <w:sz w:val="20"/>
          <w:szCs w:val="20"/>
        </w:rPr>
        <w:t xml:space="preserve">, </w:t>
      </w:r>
      <w:r w:rsidR="007241B0" w:rsidRPr="007241B0">
        <w:rPr>
          <w:color w:val="000000" w:themeColor="text1"/>
          <w:sz w:val="20"/>
          <w:szCs w:val="20"/>
        </w:rPr>
        <w:t>Romania</w:t>
      </w:r>
      <w:r w:rsidR="007241B0">
        <w:rPr>
          <w:color w:val="000000" w:themeColor="text1"/>
          <w:sz w:val="20"/>
          <w:szCs w:val="20"/>
        </w:rPr>
        <w:t xml:space="preserve">, </w:t>
      </w:r>
      <w:r w:rsidR="007241B0" w:rsidRPr="007241B0">
        <w:rPr>
          <w:color w:val="000000" w:themeColor="text1"/>
          <w:sz w:val="20"/>
          <w:szCs w:val="20"/>
        </w:rPr>
        <w:t>Rwanda</w:t>
      </w:r>
      <w:r w:rsidR="007241B0">
        <w:rPr>
          <w:color w:val="000000" w:themeColor="text1"/>
          <w:sz w:val="20"/>
          <w:szCs w:val="20"/>
        </w:rPr>
        <w:t xml:space="preserve">, </w:t>
      </w:r>
      <w:r w:rsidR="007241B0" w:rsidRPr="007241B0">
        <w:rPr>
          <w:color w:val="000000" w:themeColor="text1"/>
          <w:sz w:val="20"/>
          <w:szCs w:val="20"/>
        </w:rPr>
        <w:t>San Marino</w:t>
      </w:r>
      <w:r w:rsidR="007241B0">
        <w:rPr>
          <w:color w:val="000000" w:themeColor="text1"/>
          <w:sz w:val="20"/>
          <w:szCs w:val="20"/>
        </w:rPr>
        <w:t xml:space="preserve">, </w:t>
      </w:r>
      <w:r w:rsidR="007241B0" w:rsidRPr="00E02F0D">
        <w:rPr>
          <w:color w:val="000000" w:themeColor="text1"/>
          <w:sz w:val="20"/>
          <w:szCs w:val="20"/>
        </w:rPr>
        <w:t>Singapore</w:t>
      </w:r>
      <w:r w:rsidR="007241B0">
        <w:rPr>
          <w:color w:val="000000" w:themeColor="text1"/>
          <w:sz w:val="20"/>
          <w:szCs w:val="20"/>
        </w:rPr>
        <w:t xml:space="preserve">, </w:t>
      </w:r>
      <w:r w:rsidR="007241B0" w:rsidRPr="007241B0">
        <w:rPr>
          <w:color w:val="000000" w:themeColor="text1"/>
          <w:sz w:val="20"/>
          <w:szCs w:val="20"/>
        </w:rPr>
        <w:t>Slovakia</w:t>
      </w:r>
      <w:r w:rsidR="007241B0">
        <w:rPr>
          <w:color w:val="000000" w:themeColor="text1"/>
          <w:sz w:val="20"/>
          <w:szCs w:val="20"/>
        </w:rPr>
        <w:t xml:space="preserve">, </w:t>
      </w:r>
      <w:r w:rsidR="007241B0" w:rsidRPr="007241B0">
        <w:rPr>
          <w:color w:val="000000" w:themeColor="text1"/>
          <w:sz w:val="20"/>
          <w:szCs w:val="20"/>
        </w:rPr>
        <w:t>Slovenia</w:t>
      </w:r>
      <w:r w:rsidR="007241B0">
        <w:rPr>
          <w:color w:val="000000" w:themeColor="text1"/>
          <w:sz w:val="20"/>
          <w:szCs w:val="20"/>
        </w:rPr>
        <w:t xml:space="preserve">, </w:t>
      </w:r>
      <w:r w:rsidR="007241B0" w:rsidRPr="007241B0">
        <w:rPr>
          <w:color w:val="000000" w:themeColor="text1"/>
          <w:sz w:val="20"/>
          <w:szCs w:val="20"/>
        </w:rPr>
        <w:t>Spain</w:t>
      </w:r>
      <w:r w:rsidR="007241B0">
        <w:rPr>
          <w:color w:val="000000" w:themeColor="text1"/>
          <w:sz w:val="20"/>
          <w:szCs w:val="20"/>
        </w:rPr>
        <w:t xml:space="preserve">, </w:t>
      </w:r>
      <w:r w:rsidR="007241B0" w:rsidRPr="007241B0">
        <w:rPr>
          <w:color w:val="000000" w:themeColor="text1"/>
          <w:sz w:val="20"/>
          <w:szCs w:val="20"/>
        </w:rPr>
        <w:t>Sri Lanka</w:t>
      </w:r>
      <w:r w:rsidR="007241B0">
        <w:rPr>
          <w:color w:val="000000" w:themeColor="text1"/>
          <w:sz w:val="20"/>
          <w:szCs w:val="20"/>
        </w:rPr>
        <w:t xml:space="preserve">, </w:t>
      </w:r>
      <w:r w:rsidR="007241B0" w:rsidRPr="007241B0">
        <w:rPr>
          <w:color w:val="000000" w:themeColor="text1"/>
          <w:sz w:val="20"/>
          <w:szCs w:val="20"/>
        </w:rPr>
        <w:t>Sweden</w:t>
      </w:r>
      <w:r w:rsidR="007241B0">
        <w:rPr>
          <w:color w:val="000000" w:themeColor="text1"/>
          <w:sz w:val="20"/>
          <w:szCs w:val="20"/>
        </w:rPr>
        <w:t xml:space="preserve">, </w:t>
      </w:r>
      <w:r w:rsidR="007241B0" w:rsidRPr="007241B0">
        <w:rPr>
          <w:color w:val="000000" w:themeColor="text1"/>
          <w:sz w:val="20"/>
          <w:szCs w:val="20"/>
        </w:rPr>
        <w:t>Switzerland</w:t>
      </w:r>
      <w:r w:rsidR="007241B0">
        <w:rPr>
          <w:color w:val="000000" w:themeColor="text1"/>
          <w:sz w:val="20"/>
          <w:szCs w:val="20"/>
        </w:rPr>
        <w:t xml:space="preserve">, </w:t>
      </w:r>
      <w:r w:rsidR="007241B0" w:rsidRPr="007241B0">
        <w:rPr>
          <w:color w:val="000000" w:themeColor="text1"/>
          <w:sz w:val="20"/>
          <w:szCs w:val="20"/>
        </w:rPr>
        <w:t>Tunisia</w:t>
      </w:r>
      <w:r w:rsidR="007241B0">
        <w:rPr>
          <w:color w:val="000000" w:themeColor="text1"/>
          <w:sz w:val="20"/>
          <w:szCs w:val="20"/>
        </w:rPr>
        <w:t xml:space="preserve">, </w:t>
      </w:r>
      <w:r w:rsidR="007241B0" w:rsidRPr="007241B0">
        <w:rPr>
          <w:color w:val="000000" w:themeColor="text1"/>
          <w:sz w:val="20"/>
          <w:szCs w:val="20"/>
        </w:rPr>
        <w:t>Turkey</w:t>
      </w:r>
      <w:r w:rsidR="007241B0">
        <w:rPr>
          <w:color w:val="000000" w:themeColor="text1"/>
          <w:sz w:val="20"/>
          <w:szCs w:val="20"/>
        </w:rPr>
        <w:t xml:space="preserve">, </w:t>
      </w:r>
      <w:r w:rsidR="007241B0" w:rsidRPr="007241B0">
        <w:rPr>
          <w:color w:val="000000" w:themeColor="text1"/>
          <w:sz w:val="20"/>
          <w:szCs w:val="20"/>
        </w:rPr>
        <w:t>Ukraine</w:t>
      </w:r>
      <w:r w:rsidR="007241B0">
        <w:rPr>
          <w:color w:val="000000" w:themeColor="text1"/>
          <w:sz w:val="20"/>
          <w:szCs w:val="20"/>
        </w:rPr>
        <w:t xml:space="preserve"> and the </w:t>
      </w:r>
      <w:r w:rsidR="007241B0" w:rsidRPr="007241B0">
        <w:rPr>
          <w:color w:val="000000" w:themeColor="text1"/>
          <w:sz w:val="20"/>
          <w:szCs w:val="20"/>
        </w:rPr>
        <w:t xml:space="preserve">United Kingdom </w:t>
      </w:r>
      <w:r w:rsidR="007241B0" w:rsidRPr="005770BD">
        <w:rPr>
          <w:color w:val="000000" w:themeColor="text1"/>
          <w:sz w:val="20"/>
          <w:szCs w:val="20"/>
        </w:rPr>
        <w:t>of Great Britain and Northern Ireland</w:t>
      </w:r>
      <w:r w:rsidR="005770BD">
        <w:rPr>
          <w:color w:val="000000" w:themeColor="text1"/>
          <w:sz w:val="20"/>
          <w:szCs w:val="20"/>
        </w:rPr>
        <w:t xml:space="preserve">), </w:t>
      </w:r>
      <w:r w:rsidR="005770BD" w:rsidRPr="00D065DD">
        <w:rPr>
          <w:color w:val="000000" w:themeColor="text1"/>
          <w:sz w:val="20"/>
          <w:szCs w:val="20"/>
        </w:rPr>
        <w:t>Romania</w:t>
      </w:r>
      <w:r w:rsidR="007E79C8">
        <w:rPr>
          <w:rStyle w:val="FootnoteReference"/>
          <w:color w:val="000000" w:themeColor="text1"/>
          <w:szCs w:val="20"/>
        </w:rPr>
        <w:footnoteReference w:id="33"/>
      </w:r>
      <w:r w:rsidR="005770BD" w:rsidRPr="00D065DD">
        <w:rPr>
          <w:color w:val="000000" w:themeColor="text1"/>
          <w:sz w:val="20"/>
          <w:szCs w:val="20"/>
        </w:rPr>
        <w:t xml:space="preserve"> </w:t>
      </w:r>
      <w:r w:rsidR="005770BD">
        <w:rPr>
          <w:color w:val="000000" w:themeColor="text1"/>
          <w:sz w:val="20"/>
          <w:szCs w:val="20"/>
        </w:rPr>
        <w:t>(</w:t>
      </w:r>
      <w:r w:rsidR="005770BD" w:rsidRPr="00D065DD">
        <w:rPr>
          <w:color w:val="000000" w:themeColor="text1"/>
          <w:sz w:val="20"/>
          <w:szCs w:val="20"/>
        </w:rPr>
        <w:t xml:space="preserve">on behalf of </w:t>
      </w:r>
      <w:r w:rsidR="005770BD">
        <w:rPr>
          <w:color w:val="000000" w:themeColor="text1"/>
          <w:sz w:val="20"/>
          <w:szCs w:val="20"/>
        </w:rPr>
        <w:t xml:space="preserve">the </w:t>
      </w:r>
      <w:r w:rsidR="005770BD" w:rsidRPr="00D065DD">
        <w:rPr>
          <w:color w:val="000000" w:themeColor="text1"/>
          <w:sz w:val="20"/>
          <w:szCs w:val="20"/>
        </w:rPr>
        <w:t>European Union</w:t>
      </w:r>
      <w:r w:rsidR="005770BD">
        <w:rPr>
          <w:color w:val="000000" w:themeColor="text1"/>
          <w:sz w:val="20"/>
          <w:szCs w:val="20"/>
        </w:rPr>
        <w:t xml:space="preserve">), </w:t>
      </w:r>
      <w:r w:rsidR="005770BD" w:rsidRPr="00D065DD">
        <w:rPr>
          <w:color w:val="000000" w:themeColor="text1"/>
          <w:sz w:val="20"/>
          <w:szCs w:val="20"/>
        </w:rPr>
        <w:t>Russian Federation</w:t>
      </w:r>
      <w:r w:rsidR="007E79C8">
        <w:rPr>
          <w:rStyle w:val="FootnoteReference"/>
          <w:color w:val="000000" w:themeColor="text1"/>
          <w:szCs w:val="20"/>
        </w:rPr>
        <w:footnoteReference w:id="34"/>
      </w:r>
      <w:r w:rsidR="005770BD" w:rsidRPr="00D065DD">
        <w:rPr>
          <w:color w:val="000000" w:themeColor="text1"/>
          <w:sz w:val="20"/>
          <w:szCs w:val="20"/>
        </w:rPr>
        <w:t xml:space="preserve"> </w:t>
      </w:r>
      <w:r w:rsidR="005770BD">
        <w:rPr>
          <w:color w:val="000000" w:themeColor="text1"/>
          <w:sz w:val="20"/>
          <w:szCs w:val="20"/>
        </w:rPr>
        <w:t>(</w:t>
      </w:r>
      <w:r w:rsidR="005770BD" w:rsidRPr="00981FA3">
        <w:rPr>
          <w:color w:val="000000" w:themeColor="text1"/>
          <w:sz w:val="20"/>
          <w:szCs w:val="20"/>
        </w:rPr>
        <w:t>also on behalf of</w:t>
      </w:r>
      <w:r w:rsidR="005770BD" w:rsidRPr="00D065DD">
        <w:rPr>
          <w:color w:val="000000" w:themeColor="text1"/>
          <w:sz w:val="20"/>
          <w:szCs w:val="20"/>
        </w:rPr>
        <w:t xml:space="preserve"> </w:t>
      </w:r>
      <w:r w:rsidR="00981FA3" w:rsidRPr="00981FA3">
        <w:rPr>
          <w:color w:val="000000" w:themeColor="text1"/>
          <w:sz w:val="20"/>
          <w:szCs w:val="20"/>
        </w:rPr>
        <w:t>Algeria, Angola, Argentina, Armenia, Bahrain, Belarus, Burundi, Cambodia,</w:t>
      </w:r>
      <w:r w:rsidR="00981FA3">
        <w:rPr>
          <w:color w:val="000000" w:themeColor="text1"/>
          <w:sz w:val="20"/>
          <w:szCs w:val="20"/>
        </w:rPr>
        <w:t xml:space="preserve"> </w:t>
      </w:r>
      <w:r w:rsidR="00981FA3" w:rsidRPr="00981FA3">
        <w:rPr>
          <w:color w:val="000000" w:themeColor="text1"/>
          <w:sz w:val="20"/>
          <w:szCs w:val="20"/>
        </w:rPr>
        <w:t xml:space="preserve">Cyprus, </w:t>
      </w:r>
      <w:r w:rsidR="00981FA3">
        <w:rPr>
          <w:color w:val="000000" w:themeColor="text1"/>
          <w:sz w:val="20"/>
          <w:szCs w:val="20"/>
        </w:rPr>
        <w:t xml:space="preserve">the </w:t>
      </w:r>
      <w:r w:rsidR="00981FA3" w:rsidRPr="00894AB1">
        <w:rPr>
          <w:color w:val="000000" w:themeColor="text1"/>
          <w:sz w:val="20"/>
          <w:szCs w:val="20"/>
        </w:rPr>
        <w:t>Democratic People</w:t>
      </w:r>
      <w:r w:rsidR="00D72627">
        <w:rPr>
          <w:color w:val="000000" w:themeColor="text1"/>
          <w:sz w:val="20"/>
          <w:szCs w:val="20"/>
        </w:rPr>
        <w:t>’</w:t>
      </w:r>
      <w:r w:rsidR="00981FA3" w:rsidRPr="00894AB1">
        <w:rPr>
          <w:color w:val="000000" w:themeColor="text1"/>
          <w:sz w:val="20"/>
          <w:szCs w:val="20"/>
        </w:rPr>
        <w:t>s Republic of Korea</w:t>
      </w:r>
      <w:r w:rsidR="00981FA3" w:rsidRPr="00981FA3">
        <w:rPr>
          <w:color w:val="000000" w:themeColor="text1"/>
          <w:sz w:val="20"/>
          <w:szCs w:val="20"/>
        </w:rPr>
        <w:t xml:space="preserve">, Ecuador, El Salvador, Ethiopia, Iraq, Jordan, Kazakhstan, Maldives, Nicaragua, Pakistan, Panama, Peru, Qatar, Rwanda, Serbia, </w:t>
      </w:r>
      <w:r w:rsidR="00981FA3">
        <w:rPr>
          <w:color w:val="000000" w:themeColor="text1"/>
          <w:sz w:val="20"/>
          <w:szCs w:val="20"/>
        </w:rPr>
        <w:t xml:space="preserve">the </w:t>
      </w:r>
      <w:r w:rsidR="00981FA3" w:rsidRPr="00981FA3">
        <w:rPr>
          <w:color w:val="000000" w:themeColor="text1"/>
          <w:sz w:val="20"/>
          <w:szCs w:val="20"/>
        </w:rPr>
        <w:t xml:space="preserve">Sudan, </w:t>
      </w:r>
      <w:r w:rsidR="00981FA3">
        <w:rPr>
          <w:color w:val="000000" w:themeColor="text1"/>
          <w:sz w:val="20"/>
          <w:szCs w:val="20"/>
        </w:rPr>
        <w:t xml:space="preserve">the </w:t>
      </w:r>
      <w:r w:rsidR="00981FA3" w:rsidRPr="00981FA3">
        <w:rPr>
          <w:color w:val="000000" w:themeColor="text1"/>
          <w:sz w:val="20"/>
          <w:szCs w:val="20"/>
        </w:rPr>
        <w:t>Syria</w:t>
      </w:r>
      <w:r w:rsidR="00981FA3">
        <w:rPr>
          <w:color w:val="000000" w:themeColor="text1"/>
          <w:sz w:val="20"/>
          <w:szCs w:val="20"/>
        </w:rPr>
        <w:t>n Arab Republic</w:t>
      </w:r>
      <w:r w:rsidR="00981FA3" w:rsidRPr="00981FA3">
        <w:rPr>
          <w:color w:val="000000" w:themeColor="text1"/>
          <w:sz w:val="20"/>
          <w:szCs w:val="20"/>
        </w:rPr>
        <w:t>, Venezuela</w:t>
      </w:r>
      <w:r w:rsidR="00981FA3">
        <w:rPr>
          <w:color w:val="000000" w:themeColor="text1"/>
          <w:sz w:val="20"/>
          <w:szCs w:val="20"/>
        </w:rPr>
        <w:t xml:space="preserve"> </w:t>
      </w:r>
      <w:r w:rsidR="00981FA3" w:rsidRPr="0067399B">
        <w:rPr>
          <w:color w:val="000000" w:themeColor="text1"/>
          <w:sz w:val="20"/>
          <w:szCs w:val="20"/>
        </w:rPr>
        <w:t>(Bolivarian Republic of)</w:t>
      </w:r>
      <w:r w:rsidR="00981FA3" w:rsidRPr="00981FA3">
        <w:rPr>
          <w:color w:val="000000" w:themeColor="text1"/>
          <w:sz w:val="20"/>
          <w:szCs w:val="20"/>
        </w:rPr>
        <w:t>, Viet Nam</w:t>
      </w:r>
      <w:r w:rsidR="00981FA3">
        <w:rPr>
          <w:color w:val="000000" w:themeColor="text1"/>
          <w:sz w:val="20"/>
          <w:szCs w:val="20"/>
        </w:rPr>
        <w:t xml:space="preserve"> and </w:t>
      </w:r>
      <w:r w:rsidR="00981FA3" w:rsidRPr="00981FA3">
        <w:rPr>
          <w:color w:val="000000" w:themeColor="text1"/>
          <w:sz w:val="20"/>
          <w:szCs w:val="20"/>
        </w:rPr>
        <w:t>Zimbabwe</w:t>
      </w:r>
      <w:r w:rsidR="005770BD">
        <w:rPr>
          <w:color w:val="000000" w:themeColor="text1"/>
          <w:sz w:val="20"/>
          <w:szCs w:val="20"/>
        </w:rPr>
        <w:t xml:space="preserve">), </w:t>
      </w:r>
      <w:r w:rsidR="005770BD" w:rsidRPr="005770BD">
        <w:rPr>
          <w:color w:val="000000" w:themeColor="text1"/>
          <w:sz w:val="20"/>
          <w:szCs w:val="20"/>
        </w:rPr>
        <w:t>South Africa</w:t>
      </w:r>
      <w:r w:rsidR="005770BD">
        <w:rPr>
          <w:color w:val="000000" w:themeColor="text1"/>
          <w:sz w:val="20"/>
          <w:szCs w:val="20"/>
        </w:rPr>
        <w:t xml:space="preserve">, </w:t>
      </w:r>
      <w:r w:rsidR="005770BD" w:rsidRPr="005770BD">
        <w:rPr>
          <w:color w:val="000000" w:themeColor="text1"/>
          <w:sz w:val="20"/>
          <w:szCs w:val="20"/>
        </w:rPr>
        <w:t>Togo</w:t>
      </w:r>
      <w:r w:rsidR="005770BD">
        <w:rPr>
          <w:color w:val="000000" w:themeColor="text1"/>
          <w:sz w:val="20"/>
          <w:szCs w:val="20"/>
        </w:rPr>
        <w:t xml:space="preserve">, </w:t>
      </w:r>
      <w:r w:rsidR="005770BD" w:rsidRPr="005770BD">
        <w:rPr>
          <w:color w:val="000000" w:themeColor="text1"/>
          <w:sz w:val="20"/>
          <w:szCs w:val="20"/>
        </w:rPr>
        <w:t>Tunisia</w:t>
      </w:r>
      <w:r w:rsidR="005770BD">
        <w:rPr>
          <w:color w:val="000000" w:themeColor="text1"/>
          <w:sz w:val="20"/>
          <w:szCs w:val="20"/>
        </w:rPr>
        <w:t xml:space="preserve">, </w:t>
      </w:r>
      <w:r w:rsidR="005770BD" w:rsidRPr="005770BD">
        <w:rPr>
          <w:color w:val="000000" w:themeColor="text1"/>
          <w:sz w:val="20"/>
          <w:szCs w:val="20"/>
        </w:rPr>
        <w:t>Ukraine</w:t>
      </w:r>
      <w:r w:rsidR="005770BD">
        <w:rPr>
          <w:color w:val="000000" w:themeColor="text1"/>
          <w:sz w:val="20"/>
          <w:szCs w:val="20"/>
        </w:rPr>
        <w:t xml:space="preserve">, </w:t>
      </w:r>
      <w:r w:rsidR="005770BD" w:rsidRPr="005770BD">
        <w:rPr>
          <w:color w:val="000000" w:themeColor="text1"/>
          <w:sz w:val="20"/>
          <w:szCs w:val="20"/>
        </w:rPr>
        <w:t>United Kingdom of Great Britain and Northern Ireland</w:t>
      </w:r>
      <w:r w:rsidR="005770BD">
        <w:rPr>
          <w:color w:val="000000" w:themeColor="text1"/>
          <w:sz w:val="20"/>
          <w:szCs w:val="20"/>
        </w:rPr>
        <w:t xml:space="preserve">, Uruguay, </w:t>
      </w:r>
      <w:r w:rsidR="005770BD" w:rsidRPr="001B0569">
        <w:rPr>
          <w:color w:val="000000" w:themeColor="text1"/>
          <w:sz w:val="20"/>
          <w:szCs w:val="20"/>
        </w:rPr>
        <w:t xml:space="preserve">Venezuela </w:t>
      </w:r>
      <w:r w:rsidR="005770BD" w:rsidRPr="0067399B">
        <w:rPr>
          <w:color w:val="000000" w:themeColor="text1"/>
          <w:sz w:val="20"/>
          <w:szCs w:val="20"/>
        </w:rPr>
        <w:t>(Bolivarian Republic of)</w:t>
      </w:r>
      <w:r w:rsidR="007E79C8">
        <w:rPr>
          <w:rStyle w:val="FootnoteReference"/>
          <w:color w:val="000000" w:themeColor="text1"/>
          <w:szCs w:val="20"/>
        </w:rPr>
        <w:footnoteReference w:id="35"/>
      </w:r>
      <w:r w:rsidR="005770BD" w:rsidRPr="0067399B">
        <w:rPr>
          <w:color w:val="000000" w:themeColor="text1"/>
          <w:sz w:val="20"/>
          <w:szCs w:val="20"/>
        </w:rPr>
        <w:t xml:space="preserve"> (on behalf of the </w:t>
      </w:r>
      <w:r w:rsidR="00DB359F" w:rsidRPr="0040040E">
        <w:rPr>
          <w:color w:val="000000" w:themeColor="text1"/>
          <w:sz w:val="20"/>
          <w:szCs w:val="20"/>
        </w:rPr>
        <w:t>Movement of Non-Aligned Countries</w:t>
      </w:r>
      <w:r w:rsidR="00BE3BC7" w:rsidRPr="00BE3BC7">
        <w:rPr>
          <w:color w:val="000000" w:themeColor="text1"/>
          <w:sz w:val="20"/>
          <w:szCs w:val="20"/>
        </w:rPr>
        <w:t xml:space="preserve"> </w:t>
      </w:r>
      <w:r w:rsidR="00BE3BC7">
        <w:rPr>
          <w:color w:val="000000" w:themeColor="text1"/>
          <w:sz w:val="20"/>
          <w:szCs w:val="20"/>
        </w:rPr>
        <w:t xml:space="preserve">except </w:t>
      </w:r>
      <w:r w:rsidR="00BE3BC7" w:rsidRPr="00BE3BC7">
        <w:rPr>
          <w:color w:val="000000" w:themeColor="text1"/>
          <w:sz w:val="20"/>
          <w:szCs w:val="20"/>
        </w:rPr>
        <w:t>Colombia, Ecuador and Peru</w:t>
      </w:r>
      <w:r w:rsidR="005770BD" w:rsidRPr="0067399B">
        <w:rPr>
          <w:color w:val="000000" w:themeColor="text1"/>
          <w:sz w:val="20"/>
          <w:szCs w:val="20"/>
        </w:rPr>
        <w:t>)</w:t>
      </w:r>
      <w:r w:rsidRPr="0067399B">
        <w:rPr>
          <w:color w:val="000000" w:themeColor="text1"/>
          <w:sz w:val="20"/>
          <w:szCs w:val="20"/>
        </w:rPr>
        <w:t xml:space="preserve">; </w:t>
      </w:r>
    </w:p>
    <w:p w14:paraId="2EA5893B" w14:textId="4E0E0882" w:rsidR="00F11B08" w:rsidRPr="0067399B" w:rsidRDefault="00F11B08" w:rsidP="00F11B08">
      <w:pPr>
        <w:spacing w:after="120"/>
        <w:ind w:left="1134" w:right="1134" w:firstLine="567"/>
        <w:jc w:val="both"/>
        <w:rPr>
          <w:color w:val="000000" w:themeColor="text1"/>
          <w:sz w:val="20"/>
          <w:szCs w:val="20"/>
        </w:rPr>
      </w:pPr>
      <w:r w:rsidRPr="0067399B">
        <w:rPr>
          <w:color w:val="000000" w:themeColor="text1"/>
          <w:sz w:val="20"/>
          <w:szCs w:val="20"/>
        </w:rPr>
        <w:t>(b)</w:t>
      </w:r>
      <w:r w:rsidRPr="0067399B">
        <w:rPr>
          <w:color w:val="000000" w:themeColor="text1"/>
          <w:sz w:val="20"/>
          <w:szCs w:val="20"/>
        </w:rPr>
        <w:tab/>
        <w:t xml:space="preserve">Representatives of observer States: </w:t>
      </w:r>
      <w:r w:rsidR="00F042EE" w:rsidRPr="00F042EE">
        <w:rPr>
          <w:color w:val="000000" w:themeColor="text1"/>
          <w:sz w:val="20"/>
          <w:szCs w:val="20"/>
        </w:rPr>
        <w:t>Algeria</w:t>
      </w:r>
      <w:r w:rsidR="00F042EE">
        <w:rPr>
          <w:color w:val="000000" w:themeColor="text1"/>
          <w:sz w:val="20"/>
          <w:szCs w:val="20"/>
        </w:rPr>
        <w:t xml:space="preserve">, </w:t>
      </w:r>
      <w:r w:rsidR="00F042EE" w:rsidRPr="00F042EE">
        <w:rPr>
          <w:color w:val="000000" w:themeColor="text1"/>
          <w:sz w:val="20"/>
          <w:szCs w:val="20"/>
        </w:rPr>
        <w:t>Armenia</w:t>
      </w:r>
      <w:r w:rsidR="00F042EE">
        <w:rPr>
          <w:color w:val="000000" w:themeColor="text1"/>
          <w:sz w:val="20"/>
          <w:szCs w:val="20"/>
        </w:rPr>
        <w:t xml:space="preserve">, </w:t>
      </w:r>
      <w:r w:rsidR="00F042EE" w:rsidRPr="00F042EE">
        <w:rPr>
          <w:color w:val="000000" w:themeColor="text1"/>
          <w:sz w:val="20"/>
          <w:szCs w:val="20"/>
        </w:rPr>
        <w:t>Azerbaijan</w:t>
      </w:r>
      <w:r w:rsidR="00F042EE">
        <w:rPr>
          <w:color w:val="000000" w:themeColor="text1"/>
          <w:sz w:val="20"/>
          <w:szCs w:val="20"/>
        </w:rPr>
        <w:t xml:space="preserve">, </w:t>
      </w:r>
      <w:r w:rsidR="00F042EE" w:rsidRPr="00F042EE">
        <w:rPr>
          <w:color w:val="000000" w:themeColor="text1"/>
          <w:sz w:val="20"/>
          <w:szCs w:val="20"/>
        </w:rPr>
        <w:t>Bolivia (Plurinational State of)</w:t>
      </w:r>
      <w:r w:rsidR="00F042EE">
        <w:rPr>
          <w:color w:val="000000" w:themeColor="text1"/>
          <w:sz w:val="20"/>
          <w:szCs w:val="20"/>
        </w:rPr>
        <w:t xml:space="preserve">, </w:t>
      </w:r>
      <w:r w:rsidR="00F042EE" w:rsidRPr="00F042EE">
        <w:rPr>
          <w:color w:val="000000" w:themeColor="text1"/>
          <w:sz w:val="20"/>
          <w:szCs w:val="20"/>
        </w:rPr>
        <w:t>Botswana</w:t>
      </w:r>
      <w:r w:rsidR="00F042EE">
        <w:rPr>
          <w:color w:val="000000" w:themeColor="text1"/>
          <w:sz w:val="20"/>
          <w:szCs w:val="20"/>
        </w:rPr>
        <w:t xml:space="preserve">, </w:t>
      </w:r>
      <w:r w:rsidR="00F042EE" w:rsidRPr="00F042EE">
        <w:rPr>
          <w:color w:val="000000" w:themeColor="text1"/>
          <w:sz w:val="20"/>
          <w:szCs w:val="20"/>
        </w:rPr>
        <w:t>Canada</w:t>
      </w:r>
      <w:r w:rsidR="00F042EE">
        <w:rPr>
          <w:color w:val="000000" w:themeColor="text1"/>
          <w:sz w:val="20"/>
          <w:szCs w:val="20"/>
        </w:rPr>
        <w:t xml:space="preserve">, </w:t>
      </w:r>
      <w:r w:rsidR="00F042EE" w:rsidRPr="00F042EE">
        <w:rPr>
          <w:color w:val="000000" w:themeColor="text1"/>
          <w:sz w:val="20"/>
          <w:szCs w:val="20"/>
        </w:rPr>
        <w:t>Costa Rica</w:t>
      </w:r>
      <w:r w:rsidR="00F042EE">
        <w:rPr>
          <w:color w:val="000000" w:themeColor="text1"/>
          <w:sz w:val="20"/>
          <w:szCs w:val="20"/>
        </w:rPr>
        <w:t xml:space="preserve">, Georgia, </w:t>
      </w:r>
      <w:r w:rsidR="00F042EE" w:rsidRPr="00F042EE">
        <w:rPr>
          <w:color w:val="000000" w:themeColor="text1"/>
          <w:sz w:val="20"/>
          <w:szCs w:val="20"/>
        </w:rPr>
        <w:t>Greece</w:t>
      </w:r>
      <w:r w:rsidR="00F042EE">
        <w:rPr>
          <w:color w:val="000000" w:themeColor="text1"/>
          <w:sz w:val="20"/>
          <w:szCs w:val="20"/>
        </w:rPr>
        <w:t xml:space="preserve">, Indonesia, </w:t>
      </w:r>
      <w:r w:rsidR="00F042EE" w:rsidRPr="00F042EE">
        <w:rPr>
          <w:color w:val="000000" w:themeColor="text1"/>
          <w:sz w:val="20"/>
          <w:szCs w:val="20"/>
        </w:rPr>
        <w:t>Iran (Islamic Republic of)</w:t>
      </w:r>
      <w:r w:rsidR="00F042EE">
        <w:rPr>
          <w:color w:val="000000" w:themeColor="text1"/>
          <w:sz w:val="20"/>
          <w:szCs w:val="20"/>
        </w:rPr>
        <w:t xml:space="preserve">, </w:t>
      </w:r>
      <w:r w:rsidR="00F042EE" w:rsidRPr="00F042EE">
        <w:rPr>
          <w:color w:val="000000" w:themeColor="text1"/>
          <w:sz w:val="20"/>
          <w:szCs w:val="20"/>
        </w:rPr>
        <w:t>Ireland</w:t>
      </w:r>
      <w:r w:rsidR="00F042EE">
        <w:rPr>
          <w:color w:val="000000" w:themeColor="text1"/>
          <w:sz w:val="20"/>
          <w:szCs w:val="20"/>
        </w:rPr>
        <w:t xml:space="preserve">, </w:t>
      </w:r>
      <w:r w:rsidR="00F042EE" w:rsidRPr="00F042EE">
        <w:rPr>
          <w:color w:val="000000" w:themeColor="text1"/>
          <w:sz w:val="20"/>
          <w:szCs w:val="20"/>
        </w:rPr>
        <w:t>Israel</w:t>
      </w:r>
      <w:r w:rsidR="00F042EE">
        <w:rPr>
          <w:color w:val="000000" w:themeColor="text1"/>
          <w:sz w:val="20"/>
          <w:szCs w:val="20"/>
        </w:rPr>
        <w:t xml:space="preserve">, </w:t>
      </w:r>
      <w:r w:rsidR="00F042EE" w:rsidRPr="00F042EE">
        <w:rPr>
          <w:color w:val="000000" w:themeColor="text1"/>
          <w:sz w:val="20"/>
          <w:szCs w:val="20"/>
        </w:rPr>
        <w:t>Lebanon</w:t>
      </w:r>
      <w:r w:rsidR="00F042EE">
        <w:rPr>
          <w:color w:val="000000" w:themeColor="text1"/>
          <w:sz w:val="20"/>
          <w:szCs w:val="20"/>
        </w:rPr>
        <w:t xml:space="preserve">, </w:t>
      </w:r>
      <w:r w:rsidR="00F042EE" w:rsidRPr="00F042EE">
        <w:rPr>
          <w:color w:val="000000" w:themeColor="text1"/>
          <w:sz w:val="20"/>
          <w:szCs w:val="20"/>
        </w:rPr>
        <w:t>Libya</w:t>
      </w:r>
      <w:r w:rsidR="00F042EE">
        <w:rPr>
          <w:color w:val="000000" w:themeColor="text1"/>
          <w:sz w:val="20"/>
          <w:szCs w:val="20"/>
        </w:rPr>
        <w:t xml:space="preserve">, </w:t>
      </w:r>
      <w:r w:rsidR="00F042EE" w:rsidRPr="00F042EE">
        <w:rPr>
          <w:color w:val="000000" w:themeColor="text1"/>
          <w:sz w:val="20"/>
          <w:szCs w:val="20"/>
        </w:rPr>
        <w:t>Montenegro</w:t>
      </w:r>
      <w:r w:rsidR="00F042EE">
        <w:rPr>
          <w:color w:val="000000" w:themeColor="text1"/>
          <w:sz w:val="20"/>
          <w:szCs w:val="20"/>
        </w:rPr>
        <w:t xml:space="preserve">, </w:t>
      </w:r>
      <w:r w:rsidR="00F042EE" w:rsidRPr="00F042EE">
        <w:rPr>
          <w:color w:val="000000" w:themeColor="text1"/>
          <w:sz w:val="20"/>
          <w:szCs w:val="20"/>
        </w:rPr>
        <w:t>Mozambique</w:t>
      </w:r>
      <w:r w:rsidR="00F042EE">
        <w:rPr>
          <w:color w:val="000000" w:themeColor="text1"/>
          <w:sz w:val="20"/>
          <w:szCs w:val="20"/>
        </w:rPr>
        <w:t xml:space="preserve">, </w:t>
      </w:r>
      <w:r w:rsidR="00F042EE" w:rsidRPr="00F042EE">
        <w:rPr>
          <w:color w:val="000000" w:themeColor="text1"/>
          <w:sz w:val="20"/>
          <w:szCs w:val="20"/>
        </w:rPr>
        <w:t>Namibia</w:t>
      </w:r>
      <w:r w:rsidR="00F042EE">
        <w:rPr>
          <w:color w:val="000000" w:themeColor="text1"/>
          <w:sz w:val="20"/>
          <w:szCs w:val="20"/>
        </w:rPr>
        <w:t xml:space="preserve">, </w:t>
      </w:r>
      <w:r w:rsidR="00F042EE" w:rsidRPr="00F042EE">
        <w:rPr>
          <w:color w:val="000000" w:themeColor="text1"/>
          <w:sz w:val="20"/>
          <w:szCs w:val="20"/>
        </w:rPr>
        <w:t>Netherlands</w:t>
      </w:r>
      <w:r w:rsidR="00F042EE">
        <w:rPr>
          <w:color w:val="000000" w:themeColor="text1"/>
          <w:sz w:val="20"/>
          <w:szCs w:val="20"/>
        </w:rPr>
        <w:t xml:space="preserve">, </w:t>
      </w:r>
      <w:r w:rsidR="00F042EE" w:rsidRPr="00F042EE">
        <w:rPr>
          <w:color w:val="000000" w:themeColor="text1"/>
          <w:sz w:val="20"/>
          <w:szCs w:val="20"/>
        </w:rPr>
        <w:t>Paraguay</w:t>
      </w:r>
      <w:r w:rsidR="00F042EE">
        <w:rPr>
          <w:color w:val="000000" w:themeColor="text1"/>
          <w:sz w:val="20"/>
          <w:szCs w:val="20"/>
        </w:rPr>
        <w:t xml:space="preserve">, </w:t>
      </w:r>
      <w:r w:rsidR="00F042EE" w:rsidRPr="00F042EE">
        <w:rPr>
          <w:color w:val="000000" w:themeColor="text1"/>
          <w:sz w:val="20"/>
          <w:szCs w:val="20"/>
        </w:rPr>
        <w:t>Russian Federation</w:t>
      </w:r>
      <w:r w:rsidR="00F042EE">
        <w:rPr>
          <w:color w:val="000000" w:themeColor="text1"/>
          <w:sz w:val="20"/>
          <w:szCs w:val="20"/>
        </w:rPr>
        <w:t xml:space="preserve">, </w:t>
      </w:r>
      <w:r w:rsidR="00F042EE" w:rsidRPr="00F042EE">
        <w:rPr>
          <w:color w:val="000000" w:themeColor="text1"/>
          <w:sz w:val="20"/>
          <w:szCs w:val="20"/>
        </w:rPr>
        <w:t>Samoa</w:t>
      </w:r>
      <w:r w:rsidR="00F042EE">
        <w:rPr>
          <w:color w:val="000000" w:themeColor="text1"/>
          <w:sz w:val="20"/>
          <w:szCs w:val="20"/>
        </w:rPr>
        <w:t xml:space="preserve">, </w:t>
      </w:r>
      <w:r w:rsidR="00F042EE" w:rsidRPr="00F042EE">
        <w:rPr>
          <w:color w:val="000000" w:themeColor="text1"/>
          <w:sz w:val="20"/>
          <w:szCs w:val="20"/>
        </w:rPr>
        <w:t>Singapore</w:t>
      </w:r>
      <w:r w:rsidR="00F042EE">
        <w:rPr>
          <w:color w:val="000000" w:themeColor="text1"/>
          <w:sz w:val="20"/>
          <w:szCs w:val="20"/>
        </w:rPr>
        <w:t xml:space="preserve">, </w:t>
      </w:r>
      <w:r w:rsidR="00F042EE" w:rsidRPr="00F042EE">
        <w:rPr>
          <w:color w:val="000000" w:themeColor="text1"/>
          <w:sz w:val="20"/>
          <w:szCs w:val="20"/>
        </w:rPr>
        <w:t>State of Palestine</w:t>
      </w:r>
      <w:r w:rsidR="00F042EE">
        <w:rPr>
          <w:color w:val="000000" w:themeColor="text1"/>
          <w:sz w:val="20"/>
          <w:szCs w:val="20"/>
        </w:rPr>
        <w:t xml:space="preserve">, </w:t>
      </w:r>
      <w:r w:rsidR="00F042EE" w:rsidRPr="00F042EE">
        <w:rPr>
          <w:color w:val="000000" w:themeColor="text1"/>
          <w:sz w:val="20"/>
          <w:szCs w:val="20"/>
        </w:rPr>
        <w:t>Sudan</w:t>
      </w:r>
      <w:r w:rsidR="00F042EE">
        <w:rPr>
          <w:color w:val="000000" w:themeColor="text1"/>
          <w:sz w:val="20"/>
          <w:szCs w:val="20"/>
        </w:rPr>
        <w:t xml:space="preserve">, </w:t>
      </w:r>
      <w:r w:rsidR="00F042EE" w:rsidRPr="00F042EE">
        <w:rPr>
          <w:color w:val="000000" w:themeColor="text1"/>
          <w:sz w:val="20"/>
          <w:szCs w:val="20"/>
        </w:rPr>
        <w:t>Thailand</w:t>
      </w:r>
      <w:r w:rsidR="00F042EE">
        <w:rPr>
          <w:color w:val="000000" w:themeColor="text1"/>
          <w:sz w:val="20"/>
          <w:szCs w:val="20"/>
        </w:rPr>
        <w:t xml:space="preserve">, </w:t>
      </w:r>
      <w:r w:rsidR="00F042EE" w:rsidRPr="00F042EE">
        <w:rPr>
          <w:color w:val="000000" w:themeColor="text1"/>
          <w:sz w:val="20"/>
          <w:szCs w:val="20"/>
        </w:rPr>
        <w:t>United Republic of Tanzania</w:t>
      </w:r>
      <w:r w:rsidR="00F042EE">
        <w:rPr>
          <w:color w:val="000000" w:themeColor="text1"/>
          <w:sz w:val="20"/>
          <w:szCs w:val="20"/>
        </w:rPr>
        <w:t xml:space="preserve">, </w:t>
      </w:r>
      <w:r w:rsidR="00F042EE" w:rsidRPr="00F042EE">
        <w:rPr>
          <w:color w:val="000000" w:themeColor="text1"/>
          <w:sz w:val="20"/>
          <w:szCs w:val="20"/>
        </w:rPr>
        <w:t>Venezuela (Bolivarian Republic of)</w:t>
      </w:r>
      <w:r w:rsidRPr="0067399B">
        <w:rPr>
          <w:color w:val="000000" w:themeColor="text1"/>
          <w:sz w:val="20"/>
          <w:szCs w:val="20"/>
        </w:rPr>
        <w:t>;</w:t>
      </w:r>
    </w:p>
    <w:p w14:paraId="5F05DC58" w14:textId="4191232C" w:rsidR="007F4D11" w:rsidRPr="0067399B" w:rsidRDefault="007F4D11" w:rsidP="007F4D11">
      <w:pPr>
        <w:spacing w:after="120"/>
        <w:ind w:left="1134" w:right="1134" w:firstLine="567"/>
        <w:jc w:val="both"/>
        <w:rPr>
          <w:color w:val="000000" w:themeColor="text1"/>
          <w:sz w:val="20"/>
          <w:szCs w:val="20"/>
        </w:rPr>
      </w:pPr>
      <w:r w:rsidRPr="0067399B">
        <w:rPr>
          <w:color w:val="000000" w:themeColor="text1"/>
          <w:sz w:val="20"/>
          <w:szCs w:val="20"/>
        </w:rPr>
        <w:t>(c)</w:t>
      </w:r>
      <w:r w:rsidRPr="0067399B">
        <w:rPr>
          <w:color w:val="000000" w:themeColor="text1"/>
          <w:sz w:val="20"/>
          <w:szCs w:val="20"/>
        </w:rPr>
        <w:tab/>
      </w:r>
      <w:r w:rsidR="006D07E0" w:rsidRPr="006D07E0">
        <w:rPr>
          <w:color w:val="000000" w:themeColor="text1"/>
          <w:sz w:val="20"/>
          <w:szCs w:val="20"/>
        </w:rPr>
        <w:t>Observer for United Nations entities, specialized agencies and related</w:t>
      </w:r>
      <w:r w:rsidR="006D07E0">
        <w:rPr>
          <w:color w:val="000000" w:themeColor="text1"/>
          <w:sz w:val="20"/>
          <w:szCs w:val="20"/>
        </w:rPr>
        <w:t xml:space="preserve"> </w:t>
      </w:r>
      <w:r w:rsidR="006D07E0" w:rsidRPr="006D07E0">
        <w:rPr>
          <w:color w:val="000000" w:themeColor="text1"/>
          <w:sz w:val="20"/>
          <w:szCs w:val="20"/>
        </w:rPr>
        <w:t>organizations</w:t>
      </w:r>
      <w:r w:rsidRPr="0067399B">
        <w:rPr>
          <w:color w:val="000000" w:themeColor="text1"/>
          <w:sz w:val="20"/>
          <w:szCs w:val="20"/>
        </w:rPr>
        <w:t xml:space="preserve">: </w:t>
      </w:r>
      <w:r w:rsidR="00F042EE" w:rsidRPr="00F042EE">
        <w:rPr>
          <w:color w:val="000000" w:themeColor="text1"/>
          <w:sz w:val="20"/>
          <w:szCs w:val="20"/>
        </w:rPr>
        <w:t>Food and Agriculture Organization of the United Nations</w:t>
      </w:r>
      <w:r w:rsidR="00F042EE">
        <w:rPr>
          <w:color w:val="000000" w:themeColor="text1"/>
          <w:sz w:val="20"/>
          <w:szCs w:val="20"/>
        </w:rPr>
        <w:t xml:space="preserve">, </w:t>
      </w:r>
      <w:r w:rsidR="00F042EE" w:rsidRPr="00F50A37">
        <w:rPr>
          <w:color w:val="000000" w:themeColor="text1"/>
          <w:sz w:val="20"/>
          <w:szCs w:val="20"/>
        </w:rPr>
        <w:t>United Nations Entity for Gender Equality and the Empowerment of Women</w:t>
      </w:r>
      <w:r w:rsidR="00F042EE">
        <w:rPr>
          <w:color w:val="000000" w:themeColor="text1"/>
          <w:sz w:val="20"/>
          <w:szCs w:val="20"/>
        </w:rPr>
        <w:t xml:space="preserve"> (</w:t>
      </w:r>
      <w:r w:rsidR="00F042EE" w:rsidRPr="00803914">
        <w:rPr>
          <w:color w:val="000000" w:themeColor="text1"/>
          <w:sz w:val="20"/>
          <w:szCs w:val="20"/>
        </w:rPr>
        <w:t>UN Women</w:t>
      </w:r>
      <w:r w:rsidR="00F042EE">
        <w:rPr>
          <w:color w:val="000000" w:themeColor="text1"/>
          <w:sz w:val="20"/>
          <w:szCs w:val="20"/>
        </w:rPr>
        <w:t>);</w:t>
      </w:r>
    </w:p>
    <w:p w14:paraId="2EA5893D" w14:textId="1813CFC9" w:rsidR="00F11B08" w:rsidRDefault="00F11B08" w:rsidP="00415787">
      <w:pPr>
        <w:pStyle w:val="SingleTxtG"/>
        <w:ind w:firstLine="567"/>
        <w:rPr>
          <w:color w:val="000000" w:themeColor="text1"/>
          <w:sz w:val="20"/>
          <w:szCs w:val="20"/>
        </w:rPr>
      </w:pPr>
      <w:r w:rsidRPr="0067399B">
        <w:rPr>
          <w:color w:val="000000" w:themeColor="text1"/>
          <w:sz w:val="20"/>
          <w:szCs w:val="20"/>
        </w:rPr>
        <w:t xml:space="preserve">(d) </w:t>
      </w:r>
      <w:r w:rsidRPr="0067399B">
        <w:rPr>
          <w:color w:val="000000" w:themeColor="text1"/>
          <w:sz w:val="20"/>
          <w:szCs w:val="20"/>
        </w:rPr>
        <w:tab/>
        <w:t>Observer</w:t>
      </w:r>
      <w:r w:rsidR="00265671" w:rsidRPr="0067399B">
        <w:rPr>
          <w:color w:val="000000" w:themeColor="text1"/>
          <w:sz w:val="20"/>
          <w:szCs w:val="20"/>
        </w:rPr>
        <w:t>s</w:t>
      </w:r>
      <w:r w:rsidRPr="0067399B">
        <w:rPr>
          <w:color w:val="000000" w:themeColor="text1"/>
          <w:sz w:val="20"/>
          <w:szCs w:val="20"/>
        </w:rPr>
        <w:t xml:space="preserve"> for non-governmental organizations: </w:t>
      </w:r>
      <w:r w:rsidR="004D49B9" w:rsidRPr="004D49B9">
        <w:rPr>
          <w:color w:val="000000" w:themeColor="text1"/>
          <w:sz w:val="20"/>
          <w:szCs w:val="20"/>
        </w:rPr>
        <w:t>Action Canada for Population and Development</w:t>
      </w:r>
      <w:r w:rsidR="004D49B9">
        <w:rPr>
          <w:color w:val="000000" w:themeColor="text1"/>
          <w:sz w:val="20"/>
          <w:szCs w:val="20"/>
        </w:rPr>
        <w:t xml:space="preserve">; </w:t>
      </w:r>
      <w:r w:rsidR="004D49B9" w:rsidRPr="004D49B9">
        <w:rPr>
          <w:color w:val="000000" w:themeColor="text1"/>
          <w:sz w:val="20"/>
          <w:szCs w:val="20"/>
        </w:rPr>
        <w:t>African Agency for Integrated Development (AAID)</w:t>
      </w:r>
      <w:r w:rsidR="004D49B9">
        <w:rPr>
          <w:color w:val="000000" w:themeColor="text1"/>
          <w:sz w:val="20"/>
          <w:szCs w:val="20"/>
        </w:rPr>
        <w:t xml:space="preserve">; </w:t>
      </w:r>
      <w:r w:rsidR="004D49B9" w:rsidRPr="004D49B9">
        <w:rPr>
          <w:color w:val="000000" w:themeColor="text1"/>
          <w:sz w:val="20"/>
          <w:szCs w:val="20"/>
        </w:rPr>
        <w:t>African Development Association</w:t>
      </w:r>
      <w:r w:rsidR="004D49B9">
        <w:rPr>
          <w:color w:val="000000" w:themeColor="text1"/>
          <w:sz w:val="20"/>
          <w:szCs w:val="20"/>
        </w:rPr>
        <w:t xml:space="preserve">; </w:t>
      </w:r>
      <w:r w:rsidR="004D49B9" w:rsidRPr="004D49B9">
        <w:rPr>
          <w:color w:val="000000" w:themeColor="text1"/>
          <w:sz w:val="20"/>
          <w:szCs w:val="20"/>
        </w:rPr>
        <w:t>African Regional Agricultural Credit Association</w:t>
      </w:r>
      <w:r w:rsidR="004D49B9">
        <w:rPr>
          <w:color w:val="000000" w:themeColor="text1"/>
          <w:sz w:val="20"/>
          <w:szCs w:val="20"/>
        </w:rPr>
        <w:t xml:space="preserve">; </w:t>
      </w:r>
      <w:r w:rsidR="004D49B9" w:rsidRPr="004D49B9">
        <w:rPr>
          <w:color w:val="000000" w:themeColor="text1"/>
          <w:sz w:val="20"/>
          <w:szCs w:val="20"/>
        </w:rPr>
        <w:t xml:space="preserve">Afro-European </w:t>
      </w:r>
      <w:r w:rsidR="004D49B9" w:rsidRPr="004D49B9">
        <w:rPr>
          <w:color w:val="000000" w:themeColor="text1"/>
          <w:sz w:val="20"/>
          <w:szCs w:val="20"/>
        </w:rPr>
        <w:lastRenderedPageBreak/>
        <w:t>Medical and Research Network</w:t>
      </w:r>
      <w:r w:rsidR="004D49B9">
        <w:rPr>
          <w:color w:val="000000" w:themeColor="text1"/>
          <w:sz w:val="20"/>
          <w:szCs w:val="20"/>
        </w:rPr>
        <w:t xml:space="preserve">; </w:t>
      </w:r>
      <w:r w:rsidR="004D49B9" w:rsidRPr="004D49B9">
        <w:rPr>
          <w:color w:val="000000" w:themeColor="text1"/>
          <w:sz w:val="20"/>
          <w:szCs w:val="20"/>
        </w:rPr>
        <w:t>Alsalam Foundation</w:t>
      </w:r>
      <w:r w:rsidR="004D49B9">
        <w:rPr>
          <w:color w:val="000000" w:themeColor="text1"/>
          <w:sz w:val="20"/>
          <w:szCs w:val="20"/>
        </w:rPr>
        <w:t xml:space="preserve">; </w:t>
      </w:r>
      <w:r w:rsidR="004D49B9" w:rsidRPr="004D49B9">
        <w:rPr>
          <w:color w:val="000000" w:themeColor="text1"/>
          <w:sz w:val="20"/>
          <w:szCs w:val="20"/>
        </w:rPr>
        <w:t>American Association of Jurists</w:t>
      </w:r>
      <w:r w:rsidR="004D49B9">
        <w:rPr>
          <w:color w:val="000000" w:themeColor="text1"/>
          <w:sz w:val="20"/>
          <w:szCs w:val="20"/>
        </w:rPr>
        <w:t xml:space="preserve">; </w:t>
      </w:r>
      <w:r w:rsidR="004D49B9" w:rsidRPr="004D49B9">
        <w:rPr>
          <w:color w:val="000000" w:themeColor="text1"/>
          <w:sz w:val="20"/>
          <w:szCs w:val="20"/>
        </w:rPr>
        <w:t>Americans for Democracy &amp; Human Rights in Bahrain Inc</w:t>
      </w:r>
      <w:r w:rsidR="004D49B9">
        <w:rPr>
          <w:color w:val="000000" w:themeColor="text1"/>
          <w:sz w:val="20"/>
          <w:szCs w:val="20"/>
        </w:rPr>
        <w:t xml:space="preserve">; </w:t>
      </w:r>
      <w:r w:rsidR="004D49B9" w:rsidRPr="004D49B9">
        <w:rPr>
          <w:color w:val="000000" w:themeColor="text1"/>
          <w:sz w:val="20"/>
          <w:szCs w:val="20"/>
        </w:rPr>
        <w:t>Article 19 - International Centre Against Censorship, The</w:t>
      </w:r>
      <w:r w:rsidR="004D49B9">
        <w:rPr>
          <w:color w:val="000000" w:themeColor="text1"/>
          <w:sz w:val="20"/>
          <w:szCs w:val="20"/>
        </w:rPr>
        <w:t xml:space="preserve">; </w:t>
      </w:r>
      <w:r w:rsidR="004D49B9" w:rsidRPr="004D49B9">
        <w:rPr>
          <w:color w:val="000000" w:themeColor="text1"/>
          <w:sz w:val="20"/>
          <w:szCs w:val="20"/>
        </w:rPr>
        <w:t>Asian Forum for Human Rights and Development</w:t>
      </w:r>
      <w:r w:rsidR="004D49B9">
        <w:rPr>
          <w:color w:val="000000" w:themeColor="text1"/>
          <w:sz w:val="20"/>
          <w:szCs w:val="20"/>
        </w:rPr>
        <w:t xml:space="preserve">; </w:t>
      </w:r>
      <w:r w:rsidR="004D49B9" w:rsidRPr="004D49B9">
        <w:rPr>
          <w:color w:val="000000" w:themeColor="text1"/>
          <w:sz w:val="20"/>
          <w:szCs w:val="20"/>
        </w:rPr>
        <w:t>Asian-Eurasian Human Rights Forum</w:t>
      </w:r>
      <w:r w:rsidR="004D49B9">
        <w:rPr>
          <w:color w:val="000000" w:themeColor="text1"/>
          <w:sz w:val="20"/>
          <w:szCs w:val="20"/>
        </w:rPr>
        <w:t xml:space="preserve">; </w:t>
      </w:r>
      <w:r w:rsidR="004D49B9" w:rsidRPr="004D49B9">
        <w:rPr>
          <w:color w:val="000000" w:themeColor="text1"/>
          <w:sz w:val="20"/>
          <w:szCs w:val="20"/>
        </w:rPr>
        <w:t>Asociacion Cubana de las Naciones Unidas (Cuban United Nations Association)</w:t>
      </w:r>
      <w:r w:rsidR="004D49B9">
        <w:rPr>
          <w:color w:val="000000" w:themeColor="text1"/>
          <w:sz w:val="20"/>
          <w:szCs w:val="20"/>
        </w:rPr>
        <w:t xml:space="preserve">; </w:t>
      </w:r>
      <w:r w:rsidR="004D49B9" w:rsidRPr="004D49B9">
        <w:rPr>
          <w:color w:val="000000" w:themeColor="text1"/>
          <w:sz w:val="20"/>
          <w:szCs w:val="20"/>
        </w:rPr>
        <w:t>Asociacion HazteOir.org</w:t>
      </w:r>
      <w:r w:rsidR="004D49B9">
        <w:rPr>
          <w:color w:val="000000" w:themeColor="text1"/>
          <w:sz w:val="20"/>
          <w:szCs w:val="20"/>
        </w:rPr>
        <w:t xml:space="preserve">; </w:t>
      </w:r>
      <w:r w:rsidR="004D49B9" w:rsidRPr="004D49B9">
        <w:rPr>
          <w:color w:val="000000" w:themeColor="text1"/>
          <w:sz w:val="20"/>
          <w:szCs w:val="20"/>
        </w:rPr>
        <w:t>Association for Defending Victims of Terrorism</w:t>
      </w:r>
      <w:r w:rsidR="004D49B9">
        <w:rPr>
          <w:color w:val="000000" w:themeColor="text1"/>
          <w:sz w:val="20"/>
          <w:szCs w:val="20"/>
        </w:rPr>
        <w:t xml:space="preserve">; </w:t>
      </w:r>
      <w:r w:rsidR="004D49B9" w:rsidRPr="004D49B9">
        <w:rPr>
          <w:color w:val="000000" w:themeColor="text1"/>
          <w:sz w:val="20"/>
          <w:szCs w:val="20"/>
        </w:rPr>
        <w:t>Association for Progressive Communications</w:t>
      </w:r>
      <w:r w:rsidR="004D49B9">
        <w:rPr>
          <w:color w:val="000000" w:themeColor="text1"/>
          <w:sz w:val="20"/>
          <w:szCs w:val="20"/>
        </w:rPr>
        <w:t xml:space="preserve">; </w:t>
      </w:r>
      <w:r w:rsidR="004D49B9" w:rsidRPr="004D49B9">
        <w:rPr>
          <w:color w:val="000000" w:themeColor="text1"/>
          <w:sz w:val="20"/>
          <w:szCs w:val="20"/>
        </w:rPr>
        <w:t>Association for the Protection of Women and Children</w:t>
      </w:r>
      <w:r w:rsidR="00D72627">
        <w:rPr>
          <w:color w:val="000000" w:themeColor="text1"/>
          <w:sz w:val="20"/>
          <w:szCs w:val="20"/>
        </w:rPr>
        <w:t>’</w:t>
      </w:r>
      <w:r w:rsidR="004D49B9" w:rsidRPr="004D49B9">
        <w:rPr>
          <w:color w:val="000000" w:themeColor="text1"/>
          <w:sz w:val="20"/>
          <w:szCs w:val="20"/>
        </w:rPr>
        <w:t>s Rights (APWCR)</w:t>
      </w:r>
      <w:r w:rsidR="004D49B9">
        <w:rPr>
          <w:color w:val="000000" w:themeColor="text1"/>
          <w:sz w:val="20"/>
          <w:szCs w:val="20"/>
        </w:rPr>
        <w:t xml:space="preserve">; </w:t>
      </w:r>
      <w:r w:rsidR="004D49B9" w:rsidRPr="004D49B9">
        <w:rPr>
          <w:color w:val="000000" w:themeColor="text1"/>
          <w:sz w:val="20"/>
          <w:szCs w:val="20"/>
        </w:rPr>
        <w:t>Association Internationale pour l</w:t>
      </w:r>
      <w:r w:rsidR="00D72627">
        <w:rPr>
          <w:color w:val="000000" w:themeColor="text1"/>
          <w:sz w:val="20"/>
          <w:szCs w:val="20"/>
        </w:rPr>
        <w:t>’</w:t>
      </w:r>
      <w:r w:rsidR="004D49B9" w:rsidRPr="004D49B9">
        <w:rPr>
          <w:color w:val="000000" w:themeColor="text1"/>
          <w:sz w:val="20"/>
          <w:szCs w:val="20"/>
        </w:rPr>
        <w:t>égalité des femmes</w:t>
      </w:r>
      <w:r w:rsidR="004D49B9">
        <w:rPr>
          <w:color w:val="000000" w:themeColor="text1"/>
          <w:sz w:val="20"/>
          <w:szCs w:val="20"/>
        </w:rPr>
        <w:t xml:space="preserve">; </w:t>
      </w:r>
      <w:r w:rsidR="004D49B9" w:rsidRPr="004D49B9">
        <w:rPr>
          <w:color w:val="000000" w:themeColor="text1"/>
          <w:sz w:val="20"/>
          <w:szCs w:val="20"/>
        </w:rPr>
        <w:t>Association of World Citizens</w:t>
      </w:r>
      <w:r w:rsidR="004D49B9">
        <w:rPr>
          <w:color w:val="000000" w:themeColor="text1"/>
          <w:sz w:val="20"/>
          <w:szCs w:val="20"/>
        </w:rPr>
        <w:t xml:space="preserve">; </w:t>
      </w:r>
      <w:r w:rsidR="004D49B9" w:rsidRPr="004D49B9">
        <w:rPr>
          <w:color w:val="000000" w:themeColor="text1"/>
          <w:sz w:val="20"/>
          <w:szCs w:val="20"/>
        </w:rPr>
        <w:t>Association pour l</w:t>
      </w:r>
      <w:r w:rsidR="00D72627">
        <w:rPr>
          <w:color w:val="000000" w:themeColor="text1"/>
          <w:sz w:val="20"/>
          <w:szCs w:val="20"/>
        </w:rPr>
        <w:t>’</w:t>
      </w:r>
      <w:r w:rsidR="004D49B9" w:rsidRPr="004D49B9">
        <w:rPr>
          <w:color w:val="000000" w:themeColor="text1"/>
          <w:sz w:val="20"/>
          <w:szCs w:val="20"/>
        </w:rPr>
        <w:t>Intégration et le Développement Durable au Burundi</w:t>
      </w:r>
      <w:r w:rsidR="004D49B9">
        <w:rPr>
          <w:color w:val="000000" w:themeColor="text1"/>
          <w:sz w:val="20"/>
          <w:szCs w:val="20"/>
        </w:rPr>
        <w:t xml:space="preserve">; </w:t>
      </w:r>
      <w:r w:rsidR="004D49B9" w:rsidRPr="004D49B9">
        <w:rPr>
          <w:color w:val="000000" w:themeColor="text1"/>
          <w:sz w:val="20"/>
          <w:szCs w:val="20"/>
        </w:rPr>
        <w:t>Associazione Comunita Papa Giovanni XXIII</w:t>
      </w:r>
      <w:r w:rsidR="004D49B9">
        <w:rPr>
          <w:color w:val="000000" w:themeColor="text1"/>
          <w:sz w:val="20"/>
          <w:szCs w:val="20"/>
        </w:rPr>
        <w:t xml:space="preserve"> (also on behalf of </w:t>
      </w:r>
      <w:r w:rsidR="004D49B9" w:rsidRPr="004D49B9">
        <w:rPr>
          <w:color w:val="000000" w:themeColor="text1"/>
          <w:sz w:val="20"/>
          <w:szCs w:val="20"/>
        </w:rPr>
        <w:t>Association Points-Coeur</w:t>
      </w:r>
      <w:r w:rsidR="004D49B9">
        <w:rPr>
          <w:color w:val="000000" w:themeColor="text1"/>
          <w:sz w:val="20"/>
          <w:szCs w:val="20"/>
        </w:rPr>
        <w:t xml:space="preserve">; </w:t>
      </w:r>
      <w:r w:rsidR="004D49B9" w:rsidRPr="004D49B9">
        <w:rPr>
          <w:color w:val="000000" w:themeColor="text1"/>
          <w:sz w:val="20"/>
          <w:szCs w:val="20"/>
        </w:rPr>
        <w:t>Caritas Internationalis</w:t>
      </w:r>
      <w:r w:rsidR="004D49B9">
        <w:rPr>
          <w:color w:val="000000" w:themeColor="text1"/>
          <w:sz w:val="20"/>
          <w:szCs w:val="20"/>
        </w:rPr>
        <w:t xml:space="preserve">; </w:t>
      </w:r>
      <w:r w:rsidR="004D49B9" w:rsidRPr="004D49B9">
        <w:rPr>
          <w:color w:val="000000" w:themeColor="text1"/>
          <w:sz w:val="20"/>
          <w:szCs w:val="20"/>
        </w:rPr>
        <w:t>Company of the Daughters of Charity of St. Vincent de Paul</w:t>
      </w:r>
      <w:r w:rsidR="004D49B9">
        <w:rPr>
          <w:color w:val="000000" w:themeColor="text1"/>
          <w:sz w:val="20"/>
          <w:szCs w:val="20"/>
        </w:rPr>
        <w:t xml:space="preserve">; </w:t>
      </w:r>
      <w:r w:rsidR="004D49B9" w:rsidRPr="004D49B9">
        <w:rPr>
          <w:color w:val="000000" w:themeColor="text1"/>
          <w:sz w:val="20"/>
          <w:szCs w:val="20"/>
        </w:rPr>
        <w:t>Dominicans for Justice and Peace - Order of Preachers</w:t>
      </w:r>
      <w:r w:rsidR="004D49B9">
        <w:rPr>
          <w:color w:val="000000" w:themeColor="text1"/>
          <w:sz w:val="20"/>
          <w:szCs w:val="20"/>
        </w:rPr>
        <w:t xml:space="preserve">; </w:t>
      </w:r>
      <w:r w:rsidR="004D49B9" w:rsidRPr="004D49B9">
        <w:rPr>
          <w:color w:val="000000" w:themeColor="text1"/>
          <w:sz w:val="20"/>
          <w:szCs w:val="20"/>
        </w:rPr>
        <w:t>Dominicans for Justice and Peace - Order of Preachers</w:t>
      </w:r>
      <w:r w:rsidR="004D49B9">
        <w:rPr>
          <w:color w:val="000000" w:themeColor="text1"/>
          <w:sz w:val="20"/>
          <w:szCs w:val="20"/>
        </w:rPr>
        <w:t xml:space="preserve">; </w:t>
      </w:r>
      <w:r w:rsidR="004D49B9" w:rsidRPr="004D49B9">
        <w:rPr>
          <w:color w:val="000000" w:themeColor="text1"/>
          <w:sz w:val="20"/>
          <w:szCs w:val="20"/>
        </w:rPr>
        <w:t>International Confederation of the Society of St. Vincent de Paul</w:t>
      </w:r>
      <w:r w:rsidR="004D49B9">
        <w:rPr>
          <w:color w:val="000000" w:themeColor="text1"/>
          <w:sz w:val="20"/>
          <w:szCs w:val="20"/>
        </w:rPr>
        <w:t xml:space="preserve">; </w:t>
      </w:r>
      <w:r w:rsidR="004D49B9" w:rsidRPr="004D49B9">
        <w:rPr>
          <w:color w:val="000000" w:themeColor="text1"/>
          <w:sz w:val="20"/>
          <w:szCs w:val="20"/>
        </w:rPr>
        <w:t xml:space="preserve">International Volunteerism Organization for Women, Education and Development </w:t>
      </w:r>
      <w:r w:rsidR="004D49B9">
        <w:rPr>
          <w:color w:val="000000" w:themeColor="text1"/>
          <w:sz w:val="20"/>
          <w:szCs w:val="20"/>
        </w:rPr>
        <w:t>–</w:t>
      </w:r>
      <w:r w:rsidR="004D49B9" w:rsidRPr="004D49B9">
        <w:rPr>
          <w:color w:val="000000" w:themeColor="text1"/>
          <w:sz w:val="20"/>
          <w:szCs w:val="20"/>
        </w:rPr>
        <w:t xml:space="preserve"> VIDES</w:t>
      </w:r>
      <w:r w:rsidR="004D49B9">
        <w:rPr>
          <w:color w:val="000000" w:themeColor="text1"/>
          <w:sz w:val="20"/>
          <w:szCs w:val="20"/>
        </w:rPr>
        <w:t xml:space="preserve">; </w:t>
      </w:r>
      <w:r w:rsidR="004D49B9" w:rsidRPr="004D49B9">
        <w:rPr>
          <w:color w:val="000000" w:themeColor="text1"/>
          <w:sz w:val="20"/>
          <w:szCs w:val="20"/>
        </w:rPr>
        <w:t>International-Lawyers.Org</w:t>
      </w:r>
      <w:r w:rsidR="004D49B9">
        <w:rPr>
          <w:color w:val="000000" w:themeColor="text1"/>
          <w:sz w:val="20"/>
          <w:szCs w:val="20"/>
        </w:rPr>
        <w:t xml:space="preserve">; </w:t>
      </w:r>
      <w:r w:rsidR="004D49B9" w:rsidRPr="004D49B9">
        <w:rPr>
          <w:color w:val="000000" w:themeColor="text1"/>
          <w:sz w:val="20"/>
          <w:szCs w:val="20"/>
        </w:rPr>
        <w:t>Istituto Internazionale Maria Ausiliatrice delle Salesiane di Don Bosco</w:t>
      </w:r>
      <w:r w:rsidR="004D49B9">
        <w:rPr>
          <w:color w:val="000000" w:themeColor="text1"/>
          <w:sz w:val="20"/>
          <w:szCs w:val="20"/>
        </w:rPr>
        <w:t xml:space="preserve">; </w:t>
      </w:r>
      <w:r w:rsidR="004D49B9" w:rsidRPr="004D49B9">
        <w:rPr>
          <w:color w:val="000000" w:themeColor="text1"/>
          <w:sz w:val="20"/>
          <w:szCs w:val="20"/>
        </w:rPr>
        <w:t>Mouvement International d</w:t>
      </w:r>
      <w:r w:rsidR="00D72627">
        <w:rPr>
          <w:color w:val="000000" w:themeColor="text1"/>
          <w:sz w:val="20"/>
          <w:szCs w:val="20"/>
        </w:rPr>
        <w:t>’</w:t>
      </w:r>
      <w:r w:rsidR="004D49B9" w:rsidRPr="004D49B9">
        <w:rPr>
          <w:color w:val="000000" w:themeColor="text1"/>
          <w:sz w:val="20"/>
          <w:szCs w:val="20"/>
        </w:rPr>
        <w:t>Apostolate des Milieux Sociaux Independants</w:t>
      </w:r>
      <w:r w:rsidR="004D49B9">
        <w:rPr>
          <w:color w:val="000000" w:themeColor="text1"/>
          <w:sz w:val="20"/>
          <w:szCs w:val="20"/>
        </w:rPr>
        <w:t xml:space="preserve">; </w:t>
      </w:r>
      <w:r w:rsidR="004D49B9" w:rsidRPr="004D49B9">
        <w:rPr>
          <w:color w:val="000000" w:themeColor="text1"/>
          <w:sz w:val="20"/>
          <w:szCs w:val="20"/>
        </w:rPr>
        <w:t>New Humanity</w:t>
      </w:r>
      <w:r w:rsidR="004D49B9">
        <w:rPr>
          <w:color w:val="000000" w:themeColor="text1"/>
          <w:sz w:val="20"/>
          <w:szCs w:val="20"/>
        </w:rPr>
        <w:t xml:space="preserve">; </w:t>
      </w:r>
      <w:r w:rsidR="004D49B9" w:rsidRPr="004D49B9">
        <w:rPr>
          <w:color w:val="000000" w:themeColor="text1"/>
          <w:sz w:val="20"/>
          <w:szCs w:val="20"/>
        </w:rPr>
        <w:t>Passionists International</w:t>
      </w:r>
      <w:r w:rsidR="004D49B9">
        <w:rPr>
          <w:color w:val="000000" w:themeColor="text1"/>
          <w:sz w:val="20"/>
          <w:szCs w:val="20"/>
        </w:rPr>
        <w:t xml:space="preserve"> and </w:t>
      </w:r>
      <w:r w:rsidR="004D49B9" w:rsidRPr="004D49B9">
        <w:rPr>
          <w:color w:val="000000" w:themeColor="text1"/>
          <w:sz w:val="20"/>
          <w:szCs w:val="20"/>
        </w:rPr>
        <w:t>World Union of Catholic Women</w:t>
      </w:r>
      <w:r w:rsidR="00D72627">
        <w:rPr>
          <w:color w:val="000000" w:themeColor="text1"/>
          <w:sz w:val="20"/>
          <w:szCs w:val="20"/>
        </w:rPr>
        <w:t>’</w:t>
      </w:r>
      <w:r w:rsidR="004D49B9" w:rsidRPr="004D49B9">
        <w:rPr>
          <w:color w:val="000000" w:themeColor="text1"/>
          <w:sz w:val="20"/>
          <w:szCs w:val="20"/>
        </w:rPr>
        <w:t>s Organizations</w:t>
      </w:r>
      <w:r w:rsidR="004D49B9">
        <w:rPr>
          <w:color w:val="000000" w:themeColor="text1"/>
          <w:sz w:val="20"/>
          <w:szCs w:val="20"/>
        </w:rPr>
        <w:t xml:space="preserve">); </w:t>
      </w:r>
      <w:r w:rsidR="004D49B9" w:rsidRPr="004D49B9">
        <w:rPr>
          <w:color w:val="000000" w:themeColor="text1"/>
          <w:sz w:val="20"/>
          <w:szCs w:val="20"/>
        </w:rPr>
        <w:t>BADIL Resource Center for Palestinian Residency and Refugee Rights</w:t>
      </w:r>
      <w:r w:rsidR="004D49B9">
        <w:rPr>
          <w:color w:val="000000" w:themeColor="text1"/>
          <w:sz w:val="20"/>
          <w:szCs w:val="20"/>
        </w:rPr>
        <w:t xml:space="preserve">; </w:t>
      </w:r>
      <w:r w:rsidR="004D49B9" w:rsidRPr="004D49B9">
        <w:rPr>
          <w:color w:val="000000" w:themeColor="text1"/>
          <w:sz w:val="20"/>
          <w:szCs w:val="20"/>
        </w:rPr>
        <w:t>British Humanist Association</w:t>
      </w:r>
      <w:r w:rsidR="004D49B9">
        <w:rPr>
          <w:color w:val="000000" w:themeColor="text1"/>
          <w:sz w:val="20"/>
          <w:szCs w:val="20"/>
        </w:rPr>
        <w:t xml:space="preserve">; </w:t>
      </w:r>
      <w:r w:rsidR="004D49B9" w:rsidRPr="004D49B9">
        <w:rPr>
          <w:color w:val="000000" w:themeColor="text1"/>
          <w:sz w:val="20"/>
          <w:szCs w:val="20"/>
        </w:rPr>
        <w:t>Cairo Institute for Human Rights Studies</w:t>
      </w:r>
      <w:r w:rsidR="004D49B9">
        <w:rPr>
          <w:color w:val="000000" w:themeColor="text1"/>
          <w:sz w:val="20"/>
          <w:szCs w:val="20"/>
        </w:rPr>
        <w:t xml:space="preserve">; </w:t>
      </w:r>
      <w:r w:rsidR="004D49B9" w:rsidRPr="004D49B9">
        <w:rPr>
          <w:color w:val="000000" w:themeColor="text1"/>
          <w:sz w:val="20"/>
          <w:szCs w:val="20"/>
        </w:rPr>
        <w:t>Canners International Permanent Committee</w:t>
      </w:r>
      <w:r w:rsidR="004D49B9">
        <w:rPr>
          <w:color w:val="000000" w:themeColor="text1"/>
          <w:sz w:val="20"/>
          <w:szCs w:val="20"/>
        </w:rPr>
        <w:t xml:space="preserve">; </w:t>
      </w:r>
      <w:r w:rsidR="004D49B9" w:rsidRPr="004D49B9">
        <w:rPr>
          <w:color w:val="000000" w:themeColor="text1"/>
          <w:sz w:val="20"/>
          <w:szCs w:val="20"/>
        </w:rPr>
        <w:t>Center for Environmental and Management Studies</w:t>
      </w:r>
      <w:r w:rsidR="004D49B9">
        <w:rPr>
          <w:color w:val="000000" w:themeColor="text1"/>
          <w:sz w:val="20"/>
          <w:szCs w:val="20"/>
        </w:rPr>
        <w:t xml:space="preserve">; </w:t>
      </w:r>
      <w:r w:rsidR="004D49B9" w:rsidRPr="004D49B9">
        <w:rPr>
          <w:color w:val="000000" w:themeColor="text1"/>
          <w:sz w:val="20"/>
          <w:szCs w:val="20"/>
        </w:rPr>
        <w:t>Centre Europe - tiers monde</w:t>
      </w:r>
      <w:r w:rsidR="004D49B9">
        <w:rPr>
          <w:color w:val="000000" w:themeColor="text1"/>
          <w:sz w:val="20"/>
          <w:szCs w:val="20"/>
        </w:rPr>
        <w:t xml:space="preserve">; </w:t>
      </w:r>
      <w:r w:rsidR="004D49B9" w:rsidRPr="004D49B9">
        <w:rPr>
          <w:color w:val="000000" w:themeColor="text1"/>
          <w:sz w:val="20"/>
          <w:szCs w:val="20"/>
        </w:rPr>
        <w:t>Centre for Human Rights and Peace Advocacy</w:t>
      </w:r>
      <w:r w:rsidR="004D49B9">
        <w:rPr>
          <w:color w:val="000000" w:themeColor="text1"/>
          <w:sz w:val="20"/>
          <w:szCs w:val="20"/>
        </w:rPr>
        <w:t xml:space="preserve">; </w:t>
      </w:r>
      <w:r w:rsidR="004D49B9" w:rsidRPr="004D49B9">
        <w:rPr>
          <w:color w:val="000000" w:themeColor="text1"/>
          <w:sz w:val="20"/>
          <w:szCs w:val="20"/>
        </w:rPr>
        <w:t>Charitable Institute for Protecting Social Victims, The</w:t>
      </w:r>
      <w:r w:rsidR="004D49B9">
        <w:rPr>
          <w:color w:val="000000" w:themeColor="text1"/>
          <w:sz w:val="20"/>
          <w:szCs w:val="20"/>
        </w:rPr>
        <w:t xml:space="preserve">; </w:t>
      </w:r>
      <w:r w:rsidR="004D49B9" w:rsidRPr="004D49B9">
        <w:rPr>
          <w:color w:val="000000" w:themeColor="text1"/>
          <w:sz w:val="20"/>
          <w:szCs w:val="20"/>
        </w:rPr>
        <w:t>China Society for Human Rights Studies (CSHRS)</w:t>
      </w:r>
      <w:r w:rsidR="004D49B9">
        <w:rPr>
          <w:color w:val="000000" w:themeColor="text1"/>
          <w:sz w:val="20"/>
          <w:szCs w:val="20"/>
        </w:rPr>
        <w:t xml:space="preserve">; </w:t>
      </w:r>
      <w:r w:rsidR="004D49B9" w:rsidRPr="004D49B9">
        <w:rPr>
          <w:color w:val="000000" w:themeColor="text1"/>
          <w:sz w:val="20"/>
          <w:szCs w:val="20"/>
        </w:rPr>
        <w:t>CIVICUS - World Alliance for Citizen Participation</w:t>
      </w:r>
      <w:r w:rsidR="004D49B9">
        <w:rPr>
          <w:color w:val="000000" w:themeColor="text1"/>
          <w:sz w:val="20"/>
          <w:szCs w:val="20"/>
        </w:rPr>
        <w:t xml:space="preserve">; </w:t>
      </w:r>
      <w:r w:rsidR="004D49B9" w:rsidRPr="004D49B9">
        <w:rPr>
          <w:color w:val="000000" w:themeColor="text1"/>
          <w:sz w:val="20"/>
          <w:szCs w:val="20"/>
        </w:rPr>
        <w:t>Commission africaine des promoteurs de la santé et des droits de l</w:t>
      </w:r>
      <w:r w:rsidR="00D72627">
        <w:rPr>
          <w:color w:val="000000" w:themeColor="text1"/>
          <w:sz w:val="20"/>
          <w:szCs w:val="20"/>
        </w:rPr>
        <w:t>’</w:t>
      </w:r>
      <w:r w:rsidR="004D49B9" w:rsidRPr="004D49B9">
        <w:rPr>
          <w:color w:val="000000" w:themeColor="text1"/>
          <w:sz w:val="20"/>
          <w:szCs w:val="20"/>
        </w:rPr>
        <w:t>homme</w:t>
      </w:r>
      <w:r w:rsidR="004D49B9">
        <w:rPr>
          <w:color w:val="000000" w:themeColor="text1"/>
          <w:sz w:val="20"/>
          <w:szCs w:val="20"/>
        </w:rPr>
        <w:t xml:space="preserve">; </w:t>
      </w:r>
      <w:r w:rsidR="004D49B9" w:rsidRPr="004D49B9">
        <w:rPr>
          <w:color w:val="000000" w:themeColor="text1"/>
          <w:sz w:val="20"/>
          <w:szCs w:val="20"/>
        </w:rPr>
        <w:t>Commission to Study the Organization of Peace</w:t>
      </w:r>
      <w:r w:rsidR="004D49B9">
        <w:rPr>
          <w:color w:val="000000" w:themeColor="text1"/>
          <w:sz w:val="20"/>
          <w:szCs w:val="20"/>
        </w:rPr>
        <w:t xml:space="preserve">; </w:t>
      </w:r>
      <w:r w:rsidR="004D49B9" w:rsidRPr="004D49B9">
        <w:rPr>
          <w:color w:val="000000" w:themeColor="text1"/>
          <w:sz w:val="20"/>
          <w:szCs w:val="20"/>
        </w:rPr>
        <w:t>Conectas Direitos Humanos</w:t>
      </w:r>
      <w:r w:rsidR="004D49B9">
        <w:rPr>
          <w:color w:val="000000" w:themeColor="text1"/>
          <w:sz w:val="20"/>
          <w:szCs w:val="20"/>
        </w:rPr>
        <w:t xml:space="preserve">; </w:t>
      </w:r>
      <w:r w:rsidR="004D49B9" w:rsidRPr="004D49B9">
        <w:rPr>
          <w:color w:val="000000" w:themeColor="text1"/>
          <w:sz w:val="20"/>
          <w:szCs w:val="20"/>
        </w:rPr>
        <w:t>Congregation of Our Lady of Charity of the Good Shepherd</w:t>
      </w:r>
      <w:r w:rsidR="004D49B9">
        <w:rPr>
          <w:color w:val="000000" w:themeColor="text1"/>
          <w:sz w:val="20"/>
          <w:szCs w:val="20"/>
        </w:rPr>
        <w:t xml:space="preserve"> (also on behalf of </w:t>
      </w:r>
      <w:r w:rsidR="004D49B9" w:rsidRPr="004D49B9">
        <w:rPr>
          <w:color w:val="000000" w:themeColor="text1"/>
          <w:sz w:val="20"/>
          <w:szCs w:val="20"/>
        </w:rPr>
        <w:t>Dominicans for Justice and Peace - Order of Preachers</w:t>
      </w:r>
      <w:r w:rsidR="004D49B9">
        <w:rPr>
          <w:color w:val="000000" w:themeColor="text1"/>
          <w:sz w:val="20"/>
          <w:szCs w:val="20"/>
        </w:rPr>
        <w:t xml:space="preserve"> and </w:t>
      </w:r>
      <w:r w:rsidR="004D49B9" w:rsidRPr="004D49B9">
        <w:rPr>
          <w:color w:val="000000" w:themeColor="text1"/>
          <w:sz w:val="20"/>
          <w:szCs w:val="20"/>
        </w:rPr>
        <w:t>Ed</w:t>
      </w:r>
      <w:r w:rsidR="004D49B9">
        <w:rPr>
          <w:color w:val="000000" w:themeColor="text1"/>
          <w:sz w:val="20"/>
          <w:szCs w:val="20"/>
        </w:rPr>
        <w:t xml:space="preserve">mund Rice International Limited); </w:t>
      </w:r>
      <w:r w:rsidR="004D49B9" w:rsidRPr="004D49B9">
        <w:rPr>
          <w:color w:val="000000" w:themeColor="text1"/>
          <w:sz w:val="20"/>
          <w:szCs w:val="20"/>
        </w:rPr>
        <w:t>Conseil International pour le soutien à des procès équitables et aux Droits de l</w:t>
      </w:r>
      <w:r w:rsidR="00D72627">
        <w:rPr>
          <w:color w:val="000000" w:themeColor="text1"/>
          <w:sz w:val="20"/>
          <w:szCs w:val="20"/>
        </w:rPr>
        <w:t>’</w:t>
      </w:r>
      <w:r w:rsidR="004D49B9" w:rsidRPr="004D49B9">
        <w:rPr>
          <w:color w:val="000000" w:themeColor="text1"/>
          <w:sz w:val="20"/>
          <w:szCs w:val="20"/>
        </w:rPr>
        <w:t>Homme</w:t>
      </w:r>
      <w:r w:rsidR="004D49B9">
        <w:rPr>
          <w:color w:val="000000" w:themeColor="text1"/>
          <w:sz w:val="20"/>
          <w:szCs w:val="20"/>
        </w:rPr>
        <w:t xml:space="preserve">; </w:t>
      </w:r>
      <w:r w:rsidR="004D49B9" w:rsidRPr="004D49B9">
        <w:rPr>
          <w:color w:val="000000" w:themeColor="text1"/>
          <w:sz w:val="20"/>
          <w:szCs w:val="20"/>
        </w:rPr>
        <w:t>Corporate Accountability International</w:t>
      </w:r>
      <w:r w:rsidR="004D49B9">
        <w:rPr>
          <w:color w:val="000000" w:themeColor="text1"/>
          <w:sz w:val="20"/>
          <w:szCs w:val="20"/>
        </w:rPr>
        <w:t xml:space="preserve">; </w:t>
      </w:r>
      <w:r w:rsidR="004D49B9" w:rsidRPr="004D49B9">
        <w:rPr>
          <w:color w:val="000000" w:themeColor="text1"/>
          <w:sz w:val="20"/>
          <w:szCs w:val="20"/>
        </w:rPr>
        <w:t>East and Horn of Africa Human Rights Defenders Project</w:t>
      </w:r>
      <w:r w:rsidR="004D49B9">
        <w:rPr>
          <w:color w:val="000000" w:themeColor="text1"/>
          <w:sz w:val="20"/>
          <w:szCs w:val="20"/>
        </w:rPr>
        <w:t xml:space="preserve">; </w:t>
      </w:r>
      <w:r w:rsidR="004D49B9" w:rsidRPr="004D49B9">
        <w:rPr>
          <w:color w:val="000000" w:themeColor="text1"/>
          <w:sz w:val="20"/>
          <w:szCs w:val="20"/>
        </w:rPr>
        <w:t>Eastern Sudan Women Development Organization</w:t>
      </w:r>
      <w:r w:rsidR="004D49B9">
        <w:rPr>
          <w:color w:val="000000" w:themeColor="text1"/>
          <w:sz w:val="20"/>
          <w:szCs w:val="20"/>
        </w:rPr>
        <w:t xml:space="preserve">; </w:t>
      </w:r>
      <w:r w:rsidR="004D49B9" w:rsidRPr="004D49B9">
        <w:rPr>
          <w:color w:val="000000" w:themeColor="text1"/>
          <w:sz w:val="20"/>
          <w:szCs w:val="20"/>
        </w:rPr>
        <w:t>Edmund Rice International Limited</w:t>
      </w:r>
      <w:r w:rsidR="004D49B9">
        <w:rPr>
          <w:color w:val="000000" w:themeColor="text1"/>
          <w:sz w:val="20"/>
          <w:szCs w:val="20"/>
        </w:rPr>
        <w:t xml:space="preserve">; </w:t>
      </w:r>
      <w:r w:rsidR="004D49B9" w:rsidRPr="004D49B9">
        <w:rPr>
          <w:color w:val="000000" w:themeColor="text1"/>
          <w:sz w:val="20"/>
          <w:szCs w:val="20"/>
        </w:rPr>
        <w:t>Egyptian Organization for Human Rights</w:t>
      </w:r>
      <w:r w:rsidR="004D49B9">
        <w:rPr>
          <w:color w:val="000000" w:themeColor="text1"/>
          <w:sz w:val="20"/>
          <w:szCs w:val="20"/>
        </w:rPr>
        <w:t xml:space="preserve">; </w:t>
      </w:r>
      <w:r w:rsidR="004D49B9" w:rsidRPr="004D49B9">
        <w:rPr>
          <w:color w:val="000000" w:themeColor="text1"/>
          <w:sz w:val="20"/>
          <w:szCs w:val="20"/>
        </w:rPr>
        <w:t>Ertegha Keyfiat Zendegi Iranian Charitable Institute</w:t>
      </w:r>
      <w:r w:rsidR="004D49B9">
        <w:rPr>
          <w:color w:val="000000" w:themeColor="text1"/>
          <w:sz w:val="20"/>
          <w:szCs w:val="20"/>
        </w:rPr>
        <w:t xml:space="preserve"> (also on behalf of </w:t>
      </w:r>
      <w:r w:rsidR="004D49B9" w:rsidRPr="004D49B9">
        <w:rPr>
          <w:color w:val="000000" w:themeColor="text1"/>
          <w:sz w:val="20"/>
          <w:szCs w:val="20"/>
        </w:rPr>
        <w:t>Charitable Institute for</w:t>
      </w:r>
      <w:r w:rsidR="004D49B9">
        <w:rPr>
          <w:color w:val="000000" w:themeColor="text1"/>
          <w:sz w:val="20"/>
          <w:szCs w:val="20"/>
        </w:rPr>
        <w:t xml:space="preserve"> Protecting Social Victims, The); </w:t>
      </w:r>
      <w:r w:rsidR="004D49B9" w:rsidRPr="004D49B9">
        <w:rPr>
          <w:color w:val="000000" w:themeColor="text1"/>
          <w:sz w:val="20"/>
          <w:szCs w:val="20"/>
        </w:rPr>
        <w:t>European Centre for Law and Justice, The / Centre Europeen pour le droit, les Justice et les droits de l</w:t>
      </w:r>
      <w:r w:rsidR="00D72627">
        <w:rPr>
          <w:color w:val="000000" w:themeColor="text1"/>
          <w:sz w:val="20"/>
          <w:szCs w:val="20"/>
        </w:rPr>
        <w:t>’</w:t>
      </w:r>
      <w:r w:rsidR="004D49B9" w:rsidRPr="004D49B9">
        <w:rPr>
          <w:color w:val="000000" w:themeColor="text1"/>
          <w:sz w:val="20"/>
          <w:szCs w:val="20"/>
        </w:rPr>
        <w:t>homme</w:t>
      </w:r>
      <w:r w:rsidR="004D49B9">
        <w:rPr>
          <w:color w:val="000000" w:themeColor="text1"/>
          <w:sz w:val="20"/>
          <w:szCs w:val="20"/>
        </w:rPr>
        <w:t xml:space="preserve">; </w:t>
      </w:r>
      <w:r w:rsidR="004D49B9" w:rsidRPr="004D49B9">
        <w:rPr>
          <w:color w:val="000000" w:themeColor="text1"/>
          <w:sz w:val="20"/>
          <w:szCs w:val="20"/>
        </w:rPr>
        <w:t>European Union of Public Relations</w:t>
      </w:r>
      <w:r w:rsidR="004D49B9">
        <w:rPr>
          <w:color w:val="000000" w:themeColor="text1"/>
          <w:sz w:val="20"/>
          <w:szCs w:val="20"/>
        </w:rPr>
        <w:t xml:space="preserve">; </w:t>
      </w:r>
      <w:r w:rsidR="004D49B9" w:rsidRPr="004D49B9">
        <w:rPr>
          <w:color w:val="000000" w:themeColor="text1"/>
          <w:sz w:val="20"/>
          <w:szCs w:val="20"/>
        </w:rPr>
        <w:t>FIAN International e.V.</w:t>
      </w:r>
      <w:r w:rsidR="004D49B9">
        <w:rPr>
          <w:color w:val="000000" w:themeColor="text1"/>
          <w:sz w:val="20"/>
          <w:szCs w:val="20"/>
        </w:rPr>
        <w:t xml:space="preserve">; </w:t>
      </w:r>
      <w:r w:rsidR="004D49B9" w:rsidRPr="004D49B9">
        <w:rPr>
          <w:color w:val="000000" w:themeColor="text1"/>
          <w:sz w:val="20"/>
          <w:szCs w:val="20"/>
        </w:rPr>
        <w:t>France Libertes : Fondation Danielle Mitterrand</w:t>
      </w:r>
      <w:r w:rsidR="004D49B9">
        <w:rPr>
          <w:color w:val="000000" w:themeColor="text1"/>
          <w:sz w:val="20"/>
          <w:szCs w:val="20"/>
        </w:rPr>
        <w:t xml:space="preserve">; </w:t>
      </w:r>
      <w:r w:rsidR="004D49B9" w:rsidRPr="004D49B9">
        <w:rPr>
          <w:color w:val="000000" w:themeColor="text1"/>
          <w:sz w:val="20"/>
          <w:szCs w:val="20"/>
        </w:rPr>
        <w:t>Franciscans International</w:t>
      </w:r>
      <w:r w:rsidR="004D49B9">
        <w:rPr>
          <w:color w:val="000000" w:themeColor="text1"/>
          <w:sz w:val="20"/>
          <w:szCs w:val="20"/>
        </w:rPr>
        <w:t xml:space="preserve">; </w:t>
      </w:r>
      <w:r w:rsidR="004D49B9" w:rsidRPr="004D49B9">
        <w:rPr>
          <w:color w:val="000000" w:themeColor="text1"/>
          <w:sz w:val="20"/>
          <w:szCs w:val="20"/>
        </w:rPr>
        <w:t>Godwin Osung International Foundation, Inc. (The African Project)</w:t>
      </w:r>
      <w:r w:rsidR="004D49B9">
        <w:rPr>
          <w:color w:val="000000" w:themeColor="text1"/>
          <w:sz w:val="20"/>
          <w:szCs w:val="20"/>
        </w:rPr>
        <w:t xml:space="preserve">; </w:t>
      </w:r>
      <w:r w:rsidR="004D49B9" w:rsidRPr="004D49B9">
        <w:rPr>
          <w:color w:val="000000" w:themeColor="text1"/>
          <w:sz w:val="20"/>
          <w:szCs w:val="20"/>
        </w:rPr>
        <w:t>Human Rights Advocates Inc.</w:t>
      </w:r>
      <w:r w:rsidR="004D49B9">
        <w:rPr>
          <w:color w:val="000000" w:themeColor="text1"/>
          <w:sz w:val="20"/>
          <w:szCs w:val="20"/>
        </w:rPr>
        <w:t xml:space="preserve">; </w:t>
      </w:r>
      <w:r w:rsidR="004D49B9" w:rsidRPr="004D49B9">
        <w:rPr>
          <w:color w:val="000000" w:themeColor="text1"/>
          <w:sz w:val="20"/>
          <w:szCs w:val="20"/>
        </w:rPr>
        <w:t>Human Rights Law Centre</w:t>
      </w:r>
      <w:r w:rsidR="004D49B9">
        <w:rPr>
          <w:color w:val="000000" w:themeColor="text1"/>
          <w:sz w:val="20"/>
          <w:szCs w:val="20"/>
        </w:rPr>
        <w:t xml:space="preserve">; </w:t>
      </w:r>
      <w:r w:rsidR="004D49B9" w:rsidRPr="004D49B9">
        <w:rPr>
          <w:color w:val="000000" w:themeColor="text1"/>
          <w:sz w:val="20"/>
          <w:szCs w:val="20"/>
        </w:rPr>
        <w:t>Il Cenacolo</w:t>
      </w:r>
      <w:r w:rsidR="004D49B9">
        <w:rPr>
          <w:color w:val="000000" w:themeColor="text1"/>
          <w:sz w:val="20"/>
          <w:szCs w:val="20"/>
        </w:rPr>
        <w:t xml:space="preserve">; </w:t>
      </w:r>
      <w:r w:rsidR="004D49B9" w:rsidRPr="004D49B9">
        <w:rPr>
          <w:color w:val="000000" w:themeColor="text1"/>
          <w:sz w:val="20"/>
          <w:szCs w:val="20"/>
        </w:rPr>
        <w:t xml:space="preserve">Indian Movement </w:t>
      </w:r>
      <w:r w:rsidR="004D49B9">
        <w:rPr>
          <w:color w:val="000000" w:themeColor="text1"/>
          <w:sz w:val="20"/>
          <w:szCs w:val="20"/>
        </w:rPr>
        <w:t xml:space="preserve">“Tupaj Amaru”; </w:t>
      </w:r>
      <w:r w:rsidR="004D49B9" w:rsidRPr="004D49B9">
        <w:rPr>
          <w:color w:val="000000" w:themeColor="text1"/>
          <w:sz w:val="20"/>
          <w:szCs w:val="20"/>
        </w:rPr>
        <w:t>Indigenous People of Africa Coordinating Committee</w:t>
      </w:r>
      <w:r w:rsidR="004D49B9">
        <w:rPr>
          <w:color w:val="000000" w:themeColor="text1"/>
          <w:sz w:val="20"/>
          <w:szCs w:val="20"/>
        </w:rPr>
        <w:t xml:space="preserve">; </w:t>
      </w:r>
      <w:r w:rsidR="004D49B9" w:rsidRPr="004D49B9">
        <w:rPr>
          <w:color w:val="000000" w:themeColor="text1"/>
          <w:sz w:val="20"/>
          <w:szCs w:val="20"/>
        </w:rPr>
        <w:t>Ingenieurs du Monde</w:t>
      </w:r>
      <w:r w:rsidR="004D49B9">
        <w:rPr>
          <w:color w:val="000000" w:themeColor="text1"/>
          <w:sz w:val="20"/>
          <w:szCs w:val="20"/>
        </w:rPr>
        <w:t xml:space="preserve">; </w:t>
      </w:r>
      <w:r w:rsidR="004D49B9" w:rsidRPr="004D49B9">
        <w:rPr>
          <w:color w:val="000000" w:themeColor="text1"/>
          <w:sz w:val="20"/>
          <w:szCs w:val="20"/>
        </w:rPr>
        <w:t>Institute for Policy Studies</w:t>
      </w:r>
      <w:r w:rsidR="004D49B9">
        <w:rPr>
          <w:color w:val="000000" w:themeColor="text1"/>
          <w:sz w:val="20"/>
          <w:szCs w:val="20"/>
        </w:rPr>
        <w:t xml:space="preserve">; </w:t>
      </w:r>
      <w:r w:rsidR="004D49B9" w:rsidRPr="004D49B9">
        <w:rPr>
          <w:color w:val="000000" w:themeColor="text1"/>
          <w:sz w:val="20"/>
          <w:szCs w:val="20"/>
        </w:rPr>
        <w:t>International Association for Democracy in Africa</w:t>
      </w:r>
      <w:r w:rsidR="004D49B9">
        <w:rPr>
          <w:color w:val="000000" w:themeColor="text1"/>
          <w:sz w:val="20"/>
          <w:szCs w:val="20"/>
        </w:rPr>
        <w:t xml:space="preserve">; </w:t>
      </w:r>
      <w:r w:rsidR="004D49B9" w:rsidRPr="004D49B9">
        <w:rPr>
          <w:color w:val="000000" w:themeColor="text1"/>
          <w:sz w:val="20"/>
          <w:szCs w:val="20"/>
        </w:rPr>
        <w:t>International Association of Jewish Lawyers and Jurists</w:t>
      </w:r>
      <w:r w:rsidR="004D49B9">
        <w:rPr>
          <w:color w:val="000000" w:themeColor="text1"/>
          <w:sz w:val="20"/>
          <w:szCs w:val="20"/>
        </w:rPr>
        <w:t xml:space="preserve">; </w:t>
      </w:r>
      <w:r w:rsidR="004D49B9" w:rsidRPr="004D49B9">
        <w:rPr>
          <w:color w:val="000000" w:themeColor="text1"/>
          <w:sz w:val="20"/>
          <w:szCs w:val="20"/>
        </w:rPr>
        <w:t>International Career Support Association</w:t>
      </w:r>
      <w:r w:rsidR="004D49B9">
        <w:rPr>
          <w:color w:val="000000" w:themeColor="text1"/>
          <w:sz w:val="20"/>
          <w:szCs w:val="20"/>
        </w:rPr>
        <w:t xml:space="preserve">; </w:t>
      </w:r>
      <w:r w:rsidR="004D49B9" w:rsidRPr="004D49B9">
        <w:rPr>
          <w:color w:val="000000" w:themeColor="text1"/>
          <w:sz w:val="20"/>
          <w:szCs w:val="20"/>
        </w:rPr>
        <w:t>International Commission of Jurists</w:t>
      </w:r>
      <w:r w:rsidR="004D49B9">
        <w:rPr>
          <w:color w:val="000000" w:themeColor="text1"/>
          <w:sz w:val="20"/>
          <w:szCs w:val="20"/>
        </w:rPr>
        <w:t xml:space="preserve">; </w:t>
      </w:r>
      <w:r w:rsidR="004D49B9" w:rsidRPr="004D49B9">
        <w:rPr>
          <w:color w:val="000000" w:themeColor="text1"/>
          <w:sz w:val="20"/>
          <w:szCs w:val="20"/>
        </w:rPr>
        <w:t>International Educational Development, Inc.</w:t>
      </w:r>
      <w:r w:rsidR="004D49B9">
        <w:rPr>
          <w:color w:val="000000" w:themeColor="text1"/>
          <w:sz w:val="20"/>
          <w:szCs w:val="20"/>
        </w:rPr>
        <w:t xml:space="preserve">; </w:t>
      </w:r>
      <w:r w:rsidR="004D49B9" w:rsidRPr="004D49B9">
        <w:rPr>
          <w:color w:val="000000" w:themeColor="text1"/>
          <w:sz w:val="20"/>
          <w:szCs w:val="20"/>
        </w:rPr>
        <w:t>International Federation for Human Rights Leagues</w:t>
      </w:r>
      <w:r w:rsidR="004D49B9">
        <w:rPr>
          <w:color w:val="000000" w:themeColor="text1"/>
          <w:sz w:val="20"/>
          <w:szCs w:val="20"/>
        </w:rPr>
        <w:t xml:space="preserve">; </w:t>
      </w:r>
      <w:r w:rsidR="004D49B9" w:rsidRPr="004D49B9">
        <w:rPr>
          <w:color w:val="000000" w:themeColor="text1"/>
          <w:sz w:val="20"/>
          <w:szCs w:val="20"/>
        </w:rPr>
        <w:t>International Human Rights Association of American Minorities (IHRAAM)</w:t>
      </w:r>
      <w:r w:rsidR="004D49B9">
        <w:rPr>
          <w:color w:val="000000" w:themeColor="text1"/>
          <w:sz w:val="20"/>
          <w:szCs w:val="20"/>
        </w:rPr>
        <w:t xml:space="preserve">; </w:t>
      </w:r>
      <w:r w:rsidR="004D49B9" w:rsidRPr="004D49B9">
        <w:rPr>
          <w:color w:val="000000" w:themeColor="text1"/>
          <w:sz w:val="20"/>
          <w:szCs w:val="20"/>
        </w:rPr>
        <w:t>International Movement Against All Forms of Discrimination and Racism (IMADR)</w:t>
      </w:r>
      <w:r w:rsidR="004D49B9">
        <w:rPr>
          <w:color w:val="000000" w:themeColor="text1"/>
          <w:sz w:val="20"/>
          <w:szCs w:val="20"/>
        </w:rPr>
        <w:t xml:space="preserve"> (also on behalf of </w:t>
      </w:r>
      <w:r w:rsidR="004D49B9" w:rsidRPr="004D49B9">
        <w:rPr>
          <w:color w:val="000000" w:themeColor="text1"/>
          <w:sz w:val="20"/>
          <w:szCs w:val="20"/>
        </w:rPr>
        <w:t>Ri</w:t>
      </w:r>
      <w:r w:rsidR="004D49B9">
        <w:rPr>
          <w:color w:val="000000" w:themeColor="text1"/>
          <w:sz w:val="20"/>
          <w:szCs w:val="20"/>
        </w:rPr>
        <w:t xml:space="preserve">ght Livelihood Award Foundation); </w:t>
      </w:r>
      <w:r w:rsidR="004D49B9" w:rsidRPr="004D49B9">
        <w:rPr>
          <w:color w:val="000000" w:themeColor="text1"/>
          <w:sz w:val="20"/>
          <w:szCs w:val="20"/>
        </w:rPr>
        <w:t>International Muslim Women</w:t>
      </w:r>
      <w:r w:rsidR="00D72627">
        <w:rPr>
          <w:color w:val="000000" w:themeColor="text1"/>
          <w:sz w:val="20"/>
          <w:szCs w:val="20"/>
        </w:rPr>
        <w:t>’</w:t>
      </w:r>
      <w:r w:rsidR="004D49B9" w:rsidRPr="004D49B9">
        <w:rPr>
          <w:color w:val="000000" w:themeColor="text1"/>
          <w:sz w:val="20"/>
          <w:szCs w:val="20"/>
        </w:rPr>
        <w:t>s Union</w:t>
      </w:r>
      <w:r w:rsidR="004D49B9">
        <w:rPr>
          <w:color w:val="000000" w:themeColor="text1"/>
          <w:sz w:val="20"/>
          <w:szCs w:val="20"/>
        </w:rPr>
        <w:t xml:space="preserve">; </w:t>
      </w:r>
      <w:r w:rsidR="004D49B9" w:rsidRPr="004D49B9">
        <w:rPr>
          <w:color w:val="000000" w:themeColor="text1"/>
          <w:sz w:val="20"/>
          <w:szCs w:val="20"/>
        </w:rPr>
        <w:t>International Organization for the Elimination of All Forms of Racial Discrimination</w:t>
      </w:r>
      <w:r w:rsidR="004D49B9">
        <w:rPr>
          <w:color w:val="000000" w:themeColor="text1"/>
          <w:sz w:val="20"/>
          <w:szCs w:val="20"/>
        </w:rPr>
        <w:t xml:space="preserve">; </w:t>
      </w:r>
      <w:r w:rsidR="004D49B9" w:rsidRPr="004D49B9">
        <w:rPr>
          <w:color w:val="000000" w:themeColor="text1"/>
          <w:sz w:val="20"/>
          <w:szCs w:val="20"/>
        </w:rPr>
        <w:t>International Service for Human Rights</w:t>
      </w:r>
      <w:r w:rsidR="004D49B9">
        <w:rPr>
          <w:color w:val="000000" w:themeColor="text1"/>
          <w:sz w:val="20"/>
          <w:szCs w:val="20"/>
        </w:rPr>
        <w:t xml:space="preserve"> (also on behalf of Amnesty International); </w:t>
      </w:r>
      <w:r w:rsidR="004D49B9" w:rsidRPr="004D49B9">
        <w:rPr>
          <w:color w:val="000000" w:themeColor="text1"/>
          <w:sz w:val="20"/>
          <w:szCs w:val="20"/>
        </w:rPr>
        <w:t xml:space="preserve">International Volunteerism Organization for Women, Education and Development </w:t>
      </w:r>
      <w:r w:rsidR="004D49B9">
        <w:rPr>
          <w:color w:val="000000" w:themeColor="text1"/>
          <w:sz w:val="20"/>
          <w:szCs w:val="20"/>
        </w:rPr>
        <w:t>–</w:t>
      </w:r>
      <w:r w:rsidR="004D49B9" w:rsidRPr="004D49B9">
        <w:rPr>
          <w:color w:val="000000" w:themeColor="text1"/>
          <w:sz w:val="20"/>
          <w:szCs w:val="20"/>
        </w:rPr>
        <w:t xml:space="preserve"> VIDES</w:t>
      </w:r>
      <w:r w:rsidR="004D49B9">
        <w:rPr>
          <w:color w:val="000000" w:themeColor="text1"/>
          <w:sz w:val="20"/>
          <w:szCs w:val="20"/>
        </w:rPr>
        <w:t xml:space="preserve"> (also on behalf of </w:t>
      </w:r>
      <w:r w:rsidR="004D49B9" w:rsidRPr="004D49B9">
        <w:rPr>
          <w:color w:val="000000" w:themeColor="text1"/>
          <w:sz w:val="20"/>
          <w:szCs w:val="20"/>
        </w:rPr>
        <w:t>European Youth Forum</w:t>
      </w:r>
      <w:r w:rsidR="004D49B9">
        <w:rPr>
          <w:color w:val="000000" w:themeColor="text1"/>
          <w:sz w:val="20"/>
          <w:szCs w:val="20"/>
        </w:rPr>
        <w:t xml:space="preserve"> and </w:t>
      </w:r>
      <w:r w:rsidR="004D49B9" w:rsidRPr="004D49B9">
        <w:rPr>
          <w:color w:val="000000" w:themeColor="text1"/>
          <w:sz w:val="20"/>
          <w:szCs w:val="20"/>
        </w:rPr>
        <w:t>Istituto Internazionale Maria Ausiliatrice delle Salesiane di Don Bosco</w:t>
      </w:r>
      <w:r w:rsidR="004D49B9">
        <w:rPr>
          <w:color w:val="000000" w:themeColor="text1"/>
          <w:sz w:val="20"/>
          <w:szCs w:val="20"/>
        </w:rPr>
        <w:t xml:space="preserve">); </w:t>
      </w:r>
      <w:r w:rsidR="004D49B9" w:rsidRPr="004D49B9">
        <w:rPr>
          <w:color w:val="000000" w:themeColor="text1"/>
          <w:sz w:val="20"/>
          <w:szCs w:val="20"/>
        </w:rPr>
        <w:t>International Youth and Student Movement for the United Nations</w:t>
      </w:r>
      <w:r w:rsidR="004D49B9">
        <w:rPr>
          <w:color w:val="000000" w:themeColor="text1"/>
          <w:sz w:val="20"/>
          <w:szCs w:val="20"/>
        </w:rPr>
        <w:t xml:space="preserve">; </w:t>
      </w:r>
      <w:r w:rsidR="004D49B9" w:rsidRPr="004D49B9">
        <w:rPr>
          <w:color w:val="000000" w:themeColor="text1"/>
          <w:sz w:val="20"/>
          <w:szCs w:val="20"/>
        </w:rPr>
        <w:t>International-Lawyers.Org</w:t>
      </w:r>
      <w:r w:rsidR="004D49B9">
        <w:rPr>
          <w:color w:val="000000" w:themeColor="text1"/>
          <w:sz w:val="20"/>
          <w:szCs w:val="20"/>
        </w:rPr>
        <w:t xml:space="preserve">; </w:t>
      </w:r>
      <w:r w:rsidR="004D49B9" w:rsidRPr="004D49B9">
        <w:rPr>
          <w:color w:val="000000" w:themeColor="text1"/>
          <w:sz w:val="20"/>
          <w:szCs w:val="20"/>
        </w:rPr>
        <w:t>Iraqi Development Organization</w:t>
      </w:r>
      <w:r w:rsidR="004D49B9">
        <w:rPr>
          <w:color w:val="000000" w:themeColor="text1"/>
          <w:sz w:val="20"/>
          <w:szCs w:val="20"/>
        </w:rPr>
        <w:t xml:space="preserve">; </w:t>
      </w:r>
      <w:r w:rsidR="004D49B9" w:rsidRPr="004D49B9">
        <w:rPr>
          <w:color w:val="000000" w:themeColor="text1"/>
          <w:sz w:val="20"/>
          <w:szCs w:val="20"/>
        </w:rPr>
        <w:t>iuventum e.V.</w:t>
      </w:r>
      <w:r w:rsidR="004D49B9">
        <w:rPr>
          <w:color w:val="000000" w:themeColor="text1"/>
          <w:sz w:val="20"/>
          <w:szCs w:val="20"/>
        </w:rPr>
        <w:t xml:space="preserve">; </w:t>
      </w:r>
      <w:r w:rsidR="004D49B9" w:rsidRPr="004D49B9">
        <w:rPr>
          <w:color w:val="000000" w:themeColor="text1"/>
          <w:sz w:val="20"/>
          <w:szCs w:val="20"/>
        </w:rPr>
        <w:t>Japanese Workers</w:t>
      </w:r>
      <w:r w:rsidR="00D72627">
        <w:rPr>
          <w:color w:val="000000" w:themeColor="text1"/>
          <w:sz w:val="20"/>
          <w:szCs w:val="20"/>
        </w:rPr>
        <w:t>’</w:t>
      </w:r>
      <w:r w:rsidR="004D49B9" w:rsidRPr="004D49B9">
        <w:rPr>
          <w:color w:val="000000" w:themeColor="text1"/>
          <w:sz w:val="20"/>
          <w:szCs w:val="20"/>
        </w:rPr>
        <w:t xml:space="preserve"> Committee for Human Rights</w:t>
      </w:r>
      <w:r w:rsidR="004D49B9">
        <w:rPr>
          <w:color w:val="000000" w:themeColor="text1"/>
          <w:sz w:val="20"/>
          <w:szCs w:val="20"/>
        </w:rPr>
        <w:t xml:space="preserve">; </w:t>
      </w:r>
      <w:r w:rsidR="004D49B9" w:rsidRPr="004D49B9">
        <w:rPr>
          <w:color w:val="000000" w:themeColor="text1"/>
          <w:sz w:val="20"/>
          <w:szCs w:val="20"/>
        </w:rPr>
        <w:t>Khiam Rehabilitation Center for Victims of Torture</w:t>
      </w:r>
      <w:r w:rsidR="004D49B9">
        <w:rPr>
          <w:color w:val="000000" w:themeColor="text1"/>
          <w:sz w:val="20"/>
          <w:szCs w:val="20"/>
        </w:rPr>
        <w:t xml:space="preserve">; </w:t>
      </w:r>
      <w:r w:rsidR="004D49B9" w:rsidRPr="004D49B9">
        <w:rPr>
          <w:color w:val="000000" w:themeColor="text1"/>
          <w:sz w:val="20"/>
          <w:szCs w:val="20"/>
        </w:rPr>
        <w:t>Liberation</w:t>
      </w:r>
      <w:r w:rsidR="004D49B9">
        <w:rPr>
          <w:color w:val="000000" w:themeColor="text1"/>
          <w:sz w:val="20"/>
          <w:szCs w:val="20"/>
        </w:rPr>
        <w:t xml:space="preserve">; </w:t>
      </w:r>
      <w:r w:rsidR="004D49B9" w:rsidRPr="004D49B9">
        <w:rPr>
          <w:color w:val="000000" w:themeColor="text1"/>
          <w:sz w:val="20"/>
          <w:szCs w:val="20"/>
        </w:rPr>
        <w:t>L</w:t>
      </w:r>
      <w:r w:rsidR="00D72627">
        <w:rPr>
          <w:color w:val="000000" w:themeColor="text1"/>
          <w:sz w:val="20"/>
          <w:szCs w:val="20"/>
        </w:rPr>
        <w:t>’</w:t>
      </w:r>
      <w:r w:rsidR="004D49B9" w:rsidRPr="004D49B9">
        <w:rPr>
          <w:color w:val="000000" w:themeColor="text1"/>
          <w:sz w:val="20"/>
          <w:szCs w:val="20"/>
        </w:rPr>
        <w:t>observatoire mauritanien des droits de l</w:t>
      </w:r>
      <w:r w:rsidR="00D72627">
        <w:rPr>
          <w:color w:val="000000" w:themeColor="text1"/>
          <w:sz w:val="20"/>
          <w:szCs w:val="20"/>
        </w:rPr>
        <w:t>’</w:t>
      </w:r>
      <w:r w:rsidR="004D49B9" w:rsidRPr="004D49B9">
        <w:rPr>
          <w:color w:val="000000" w:themeColor="text1"/>
          <w:sz w:val="20"/>
          <w:szCs w:val="20"/>
        </w:rPr>
        <w:t>homme et de la démocratie</w:t>
      </w:r>
      <w:r w:rsidR="004D49B9">
        <w:rPr>
          <w:color w:val="000000" w:themeColor="text1"/>
          <w:sz w:val="20"/>
          <w:szCs w:val="20"/>
        </w:rPr>
        <w:t xml:space="preserve">; </w:t>
      </w:r>
      <w:r w:rsidR="004D49B9" w:rsidRPr="004D49B9">
        <w:rPr>
          <w:color w:val="000000" w:themeColor="text1"/>
          <w:sz w:val="20"/>
          <w:szCs w:val="20"/>
        </w:rPr>
        <w:t>Maarij Foundation for Peace and Development</w:t>
      </w:r>
      <w:r w:rsidR="004D49B9">
        <w:rPr>
          <w:color w:val="000000" w:themeColor="text1"/>
          <w:sz w:val="20"/>
          <w:szCs w:val="20"/>
        </w:rPr>
        <w:t xml:space="preserve">; </w:t>
      </w:r>
      <w:r w:rsidR="004D49B9" w:rsidRPr="004D49B9">
        <w:rPr>
          <w:color w:val="000000" w:themeColor="text1"/>
          <w:sz w:val="20"/>
          <w:szCs w:val="20"/>
        </w:rPr>
        <w:t>Make Mothers Matter</w:t>
      </w:r>
      <w:r w:rsidR="004D49B9">
        <w:rPr>
          <w:color w:val="000000" w:themeColor="text1"/>
          <w:sz w:val="20"/>
          <w:szCs w:val="20"/>
        </w:rPr>
        <w:t xml:space="preserve"> (also on behalf of </w:t>
      </w:r>
      <w:r w:rsidR="004D49B9" w:rsidRPr="004D49B9">
        <w:rPr>
          <w:color w:val="000000" w:themeColor="text1"/>
          <w:sz w:val="20"/>
          <w:szCs w:val="20"/>
        </w:rPr>
        <w:t>Gra</w:t>
      </w:r>
      <w:r w:rsidR="004D49B9">
        <w:rPr>
          <w:color w:val="000000" w:themeColor="text1"/>
          <w:sz w:val="20"/>
          <w:szCs w:val="20"/>
        </w:rPr>
        <w:t xml:space="preserve">duate Women International (GWI)); </w:t>
      </w:r>
      <w:r w:rsidR="004D49B9" w:rsidRPr="004D49B9">
        <w:rPr>
          <w:color w:val="000000" w:themeColor="text1"/>
          <w:sz w:val="20"/>
          <w:szCs w:val="20"/>
        </w:rPr>
        <w:t>Mbororo Social and Cultural Development Association</w:t>
      </w:r>
      <w:r w:rsidR="004D49B9">
        <w:rPr>
          <w:color w:val="000000" w:themeColor="text1"/>
          <w:sz w:val="20"/>
          <w:szCs w:val="20"/>
        </w:rPr>
        <w:t xml:space="preserve">; </w:t>
      </w:r>
      <w:r w:rsidR="004D49B9" w:rsidRPr="004D49B9">
        <w:rPr>
          <w:color w:val="000000" w:themeColor="text1"/>
          <w:sz w:val="20"/>
          <w:szCs w:val="20"/>
        </w:rPr>
        <w:t>Mouvement contre le racisme et pour l</w:t>
      </w:r>
      <w:r w:rsidR="00D72627">
        <w:rPr>
          <w:color w:val="000000" w:themeColor="text1"/>
          <w:sz w:val="20"/>
          <w:szCs w:val="20"/>
        </w:rPr>
        <w:t>’</w:t>
      </w:r>
      <w:r w:rsidR="004D49B9" w:rsidRPr="004D49B9">
        <w:rPr>
          <w:color w:val="000000" w:themeColor="text1"/>
          <w:sz w:val="20"/>
          <w:szCs w:val="20"/>
        </w:rPr>
        <w:t xml:space="preserve">amitié entre les </w:t>
      </w:r>
      <w:r w:rsidR="004D49B9">
        <w:rPr>
          <w:color w:val="000000" w:themeColor="text1"/>
          <w:sz w:val="20"/>
          <w:szCs w:val="20"/>
        </w:rPr>
        <w:t xml:space="preserve">peoples; </w:t>
      </w:r>
      <w:r w:rsidR="004D49B9" w:rsidRPr="004D49B9">
        <w:rPr>
          <w:color w:val="000000" w:themeColor="text1"/>
          <w:sz w:val="20"/>
          <w:szCs w:val="20"/>
        </w:rPr>
        <w:t>Organisation internationale pour les pays les moins avancés (OIPMA)</w:t>
      </w:r>
      <w:r w:rsidR="004D49B9">
        <w:rPr>
          <w:color w:val="000000" w:themeColor="text1"/>
          <w:sz w:val="20"/>
          <w:szCs w:val="20"/>
        </w:rPr>
        <w:t xml:space="preserve">; </w:t>
      </w:r>
      <w:r w:rsidR="004D49B9" w:rsidRPr="004D49B9">
        <w:rPr>
          <w:color w:val="000000" w:themeColor="text1"/>
          <w:sz w:val="20"/>
          <w:szCs w:val="20"/>
        </w:rPr>
        <w:t>Pan African Union for Science and Technology</w:t>
      </w:r>
      <w:r w:rsidR="004D49B9">
        <w:rPr>
          <w:color w:val="000000" w:themeColor="text1"/>
          <w:sz w:val="20"/>
          <w:szCs w:val="20"/>
        </w:rPr>
        <w:t xml:space="preserve">; </w:t>
      </w:r>
      <w:r w:rsidR="004D49B9" w:rsidRPr="004D49B9">
        <w:rPr>
          <w:color w:val="000000" w:themeColor="text1"/>
          <w:sz w:val="20"/>
          <w:szCs w:val="20"/>
        </w:rPr>
        <w:t>Peace Brigades International Switzerland</w:t>
      </w:r>
      <w:r w:rsidR="004D49B9">
        <w:rPr>
          <w:color w:val="000000" w:themeColor="text1"/>
          <w:sz w:val="20"/>
          <w:szCs w:val="20"/>
        </w:rPr>
        <w:t xml:space="preserve">; </w:t>
      </w:r>
      <w:r w:rsidR="004D49B9" w:rsidRPr="004D49B9">
        <w:rPr>
          <w:color w:val="000000" w:themeColor="text1"/>
          <w:sz w:val="20"/>
          <w:szCs w:val="20"/>
        </w:rPr>
        <w:t xml:space="preserve">Presse </w:t>
      </w:r>
      <w:r w:rsidR="004D49B9" w:rsidRPr="004D49B9">
        <w:rPr>
          <w:color w:val="000000" w:themeColor="text1"/>
          <w:sz w:val="20"/>
          <w:szCs w:val="20"/>
        </w:rPr>
        <w:lastRenderedPageBreak/>
        <w:t>Embleme Campagne</w:t>
      </w:r>
      <w:r w:rsidR="004D49B9">
        <w:rPr>
          <w:color w:val="000000" w:themeColor="text1"/>
          <w:sz w:val="20"/>
          <w:szCs w:val="20"/>
        </w:rPr>
        <w:t xml:space="preserve">; </w:t>
      </w:r>
      <w:r w:rsidR="004D49B9" w:rsidRPr="004D49B9">
        <w:rPr>
          <w:color w:val="000000" w:themeColor="text1"/>
          <w:sz w:val="20"/>
          <w:szCs w:val="20"/>
        </w:rPr>
        <w:t>Prevention Association of Social Harms (PASH)</w:t>
      </w:r>
      <w:r w:rsidR="004D49B9">
        <w:rPr>
          <w:color w:val="000000" w:themeColor="text1"/>
          <w:sz w:val="20"/>
          <w:szCs w:val="20"/>
        </w:rPr>
        <w:t xml:space="preserve">; </w:t>
      </w:r>
      <w:r w:rsidR="004D49B9" w:rsidRPr="004D49B9">
        <w:rPr>
          <w:color w:val="000000" w:themeColor="text1"/>
          <w:sz w:val="20"/>
          <w:szCs w:val="20"/>
        </w:rPr>
        <w:t>Rencontre Africaine pour la defense des droits de l</w:t>
      </w:r>
      <w:r w:rsidR="00D72627">
        <w:rPr>
          <w:color w:val="000000" w:themeColor="text1"/>
          <w:sz w:val="20"/>
          <w:szCs w:val="20"/>
        </w:rPr>
        <w:t>’</w:t>
      </w:r>
      <w:r w:rsidR="004D49B9" w:rsidRPr="004D49B9">
        <w:rPr>
          <w:color w:val="000000" w:themeColor="text1"/>
          <w:sz w:val="20"/>
          <w:szCs w:val="20"/>
        </w:rPr>
        <w:t>homme</w:t>
      </w:r>
      <w:r w:rsidR="004D49B9">
        <w:rPr>
          <w:color w:val="000000" w:themeColor="text1"/>
          <w:sz w:val="20"/>
          <w:szCs w:val="20"/>
        </w:rPr>
        <w:t xml:space="preserve">; </w:t>
      </w:r>
      <w:r w:rsidR="004D49B9" w:rsidRPr="004D49B9">
        <w:rPr>
          <w:color w:val="000000" w:themeColor="text1"/>
          <w:sz w:val="20"/>
          <w:szCs w:val="20"/>
        </w:rPr>
        <w:t>Servas International</w:t>
      </w:r>
      <w:r w:rsidR="004D49B9">
        <w:rPr>
          <w:color w:val="000000" w:themeColor="text1"/>
          <w:sz w:val="20"/>
          <w:szCs w:val="20"/>
        </w:rPr>
        <w:t xml:space="preserve">; </w:t>
      </w:r>
      <w:r w:rsidR="004D49B9" w:rsidRPr="004D49B9">
        <w:rPr>
          <w:color w:val="000000" w:themeColor="text1"/>
          <w:sz w:val="20"/>
          <w:szCs w:val="20"/>
        </w:rPr>
        <w:t>Shivi Development Society</w:t>
      </w:r>
      <w:r w:rsidR="004D49B9">
        <w:rPr>
          <w:color w:val="000000" w:themeColor="text1"/>
          <w:sz w:val="20"/>
          <w:szCs w:val="20"/>
        </w:rPr>
        <w:t xml:space="preserve">; </w:t>
      </w:r>
      <w:r w:rsidR="004D49B9" w:rsidRPr="004D49B9">
        <w:rPr>
          <w:color w:val="000000" w:themeColor="text1"/>
          <w:sz w:val="20"/>
          <w:szCs w:val="20"/>
        </w:rPr>
        <w:t>Sikh Human Rights Group</w:t>
      </w:r>
      <w:r w:rsidR="004D49B9">
        <w:rPr>
          <w:color w:val="000000" w:themeColor="text1"/>
          <w:sz w:val="20"/>
          <w:szCs w:val="20"/>
        </w:rPr>
        <w:t xml:space="preserve">; </w:t>
      </w:r>
      <w:r w:rsidR="004D49B9" w:rsidRPr="004D49B9">
        <w:rPr>
          <w:color w:val="000000" w:themeColor="text1"/>
          <w:sz w:val="20"/>
          <w:szCs w:val="20"/>
        </w:rPr>
        <w:t>Society for Threatened Peoples</w:t>
      </w:r>
      <w:r w:rsidR="004D49B9">
        <w:rPr>
          <w:color w:val="000000" w:themeColor="text1"/>
          <w:sz w:val="20"/>
          <w:szCs w:val="20"/>
        </w:rPr>
        <w:t xml:space="preserve">; </w:t>
      </w:r>
      <w:r w:rsidR="004D49B9" w:rsidRPr="004D49B9">
        <w:rPr>
          <w:color w:val="000000" w:themeColor="text1"/>
          <w:sz w:val="20"/>
          <w:szCs w:val="20"/>
        </w:rPr>
        <w:t>Society of Iranian Women Advocating Sustainable Development of Environment</w:t>
      </w:r>
      <w:r w:rsidR="004D49B9">
        <w:rPr>
          <w:color w:val="000000" w:themeColor="text1"/>
          <w:sz w:val="20"/>
          <w:szCs w:val="20"/>
        </w:rPr>
        <w:t xml:space="preserve"> (also on behalf of </w:t>
      </w:r>
      <w:r w:rsidR="004D49B9" w:rsidRPr="004D49B9">
        <w:rPr>
          <w:color w:val="000000" w:themeColor="text1"/>
          <w:sz w:val="20"/>
          <w:szCs w:val="20"/>
        </w:rPr>
        <w:t>Organization fo</w:t>
      </w:r>
      <w:r w:rsidR="004D49B9">
        <w:rPr>
          <w:color w:val="000000" w:themeColor="text1"/>
          <w:sz w:val="20"/>
          <w:szCs w:val="20"/>
        </w:rPr>
        <w:t xml:space="preserve">r Defending Victims of Violence); </w:t>
      </w:r>
      <w:r w:rsidR="004D49B9" w:rsidRPr="004D49B9">
        <w:rPr>
          <w:color w:val="000000" w:themeColor="text1"/>
          <w:sz w:val="20"/>
          <w:szCs w:val="20"/>
        </w:rPr>
        <w:t>Soka Gakkai International</w:t>
      </w:r>
      <w:r w:rsidR="004D49B9">
        <w:rPr>
          <w:color w:val="000000" w:themeColor="text1"/>
          <w:sz w:val="20"/>
          <w:szCs w:val="20"/>
        </w:rPr>
        <w:t xml:space="preserve"> (also on behalf of </w:t>
      </w:r>
      <w:r w:rsidR="004D49B9" w:rsidRPr="004D49B9">
        <w:rPr>
          <w:color w:val="000000" w:themeColor="text1"/>
          <w:sz w:val="20"/>
          <w:szCs w:val="20"/>
        </w:rPr>
        <w:t>Associazione Comunita Papa Giovanni XXIII</w:t>
      </w:r>
      <w:r w:rsidR="004D49B9">
        <w:rPr>
          <w:color w:val="000000" w:themeColor="text1"/>
          <w:sz w:val="20"/>
          <w:szCs w:val="20"/>
        </w:rPr>
        <w:t xml:space="preserve">; </w:t>
      </w:r>
      <w:r w:rsidR="004D49B9" w:rsidRPr="004D49B9">
        <w:rPr>
          <w:color w:val="000000" w:themeColor="text1"/>
          <w:sz w:val="20"/>
          <w:szCs w:val="20"/>
        </w:rPr>
        <w:t>Foundation for GAIA</w:t>
      </w:r>
      <w:r w:rsidR="004D49B9">
        <w:rPr>
          <w:color w:val="000000" w:themeColor="text1"/>
          <w:sz w:val="20"/>
          <w:szCs w:val="20"/>
        </w:rPr>
        <w:t xml:space="preserve">; </w:t>
      </w:r>
      <w:r w:rsidR="004D49B9" w:rsidRPr="004D49B9">
        <w:rPr>
          <w:color w:val="000000" w:themeColor="text1"/>
          <w:sz w:val="20"/>
          <w:szCs w:val="20"/>
        </w:rPr>
        <w:t>Globethics.net</w:t>
      </w:r>
      <w:r w:rsidR="004D49B9">
        <w:rPr>
          <w:color w:val="000000" w:themeColor="text1"/>
          <w:sz w:val="20"/>
          <w:szCs w:val="20"/>
        </w:rPr>
        <w:t xml:space="preserve">; </w:t>
      </w:r>
      <w:r w:rsidR="004D49B9" w:rsidRPr="004D49B9">
        <w:rPr>
          <w:color w:val="000000" w:themeColor="text1"/>
          <w:sz w:val="20"/>
          <w:szCs w:val="20"/>
        </w:rPr>
        <w:t>Graduate Women International (GWI)</w:t>
      </w:r>
      <w:r w:rsidR="004D49B9">
        <w:rPr>
          <w:color w:val="000000" w:themeColor="text1"/>
          <w:sz w:val="20"/>
          <w:szCs w:val="20"/>
        </w:rPr>
        <w:t xml:space="preserve">; </w:t>
      </w:r>
      <w:r w:rsidR="004D49B9" w:rsidRPr="004D49B9">
        <w:rPr>
          <w:color w:val="000000" w:themeColor="text1"/>
          <w:sz w:val="20"/>
          <w:szCs w:val="20"/>
        </w:rPr>
        <w:t xml:space="preserve">Instituto de Desenvolvimento e Direitos Humanos </w:t>
      </w:r>
      <w:r w:rsidR="004D49B9">
        <w:rPr>
          <w:color w:val="000000" w:themeColor="text1"/>
          <w:sz w:val="20"/>
          <w:szCs w:val="20"/>
        </w:rPr>
        <w:t>–</w:t>
      </w:r>
      <w:r w:rsidR="004D49B9" w:rsidRPr="004D49B9">
        <w:rPr>
          <w:color w:val="000000" w:themeColor="text1"/>
          <w:sz w:val="20"/>
          <w:szCs w:val="20"/>
        </w:rPr>
        <w:t xml:space="preserve"> IDDH</w:t>
      </w:r>
      <w:r w:rsidR="004D49B9">
        <w:rPr>
          <w:color w:val="000000" w:themeColor="text1"/>
          <w:sz w:val="20"/>
          <w:szCs w:val="20"/>
        </w:rPr>
        <w:t xml:space="preserve">; </w:t>
      </w:r>
      <w:r w:rsidR="004D49B9" w:rsidRPr="004D49B9">
        <w:rPr>
          <w:color w:val="000000" w:themeColor="text1"/>
          <w:sz w:val="20"/>
          <w:szCs w:val="20"/>
        </w:rPr>
        <w:t>International Catholic Child Bureau</w:t>
      </w:r>
      <w:r w:rsidR="004D49B9">
        <w:rPr>
          <w:color w:val="000000" w:themeColor="text1"/>
          <w:sz w:val="20"/>
          <w:szCs w:val="20"/>
        </w:rPr>
        <w:t xml:space="preserve">; </w:t>
      </w:r>
      <w:r w:rsidR="004D49B9" w:rsidRPr="004D49B9">
        <w:rPr>
          <w:color w:val="000000" w:themeColor="text1"/>
          <w:sz w:val="20"/>
          <w:szCs w:val="20"/>
        </w:rPr>
        <w:t>International Council of Jewish Women</w:t>
      </w:r>
      <w:r w:rsidR="004D49B9">
        <w:rPr>
          <w:color w:val="000000" w:themeColor="text1"/>
          <w:sz w:val="20"/>
          <w:szCs w:val="20"/>
        </w:rPr>
        <w:t xml:space="preserve">; </w:t>
      </w:r>
      <w:r w:rsidR="004D49B9" w:rsidRPr="004D49B9">
        <w:rPr>
          <w:color w:val="000000" w:themeColor="text1"/>
          <w:sz w:val="20"/>
          <w:szCs w:val="20"/>
        </w:rPr>
        <w:t>International Movement Against All Forms of Discrimination and Racism (IMADR)</w:t>
      </w:r>
      <w:r w:rsidR="004D49B9">
        <w:rPr>
          <w:color w:val="000000" w:themeColor="text1"/>
          <w:sz w:val="20"/>
          <w:szCs w:val="20"/>
        </w:rPr>
        <w:t xml:space="preserve">; </w:t>
      </w:r>
      <w:r w:rsidR="004D49B9" w:rsidRPr="004D49B9">
        <w:rPr>
          <w:color w:val="000000" w:themeColor="text1"/>
          <w:sz w:val="20"/>
          <w:szCs w:val="20"/>
        </w:rPr>
        <w:t>International Organization for the Elimination of All Forms of Racial Discrimination</w:t>
      </w:r>
      <w:r w:rsidR="004D49B9">
        <w:rPr>
          <w:color w:val="000000" w:themeColor="text1"/>
          <w:sz w:val="20"/>
          <w:szCs w:val="20"/>
        </w:rPr>
        <w:t xml:space="preserve">; </w:t>
      </w:r>
      <w:r w:rsidR="004D49B9" w:rsidRPr="004D49B9">
        <w:rPr>
          <w:color w:val="000000" w:themeColor="text1"/>
          <w:sz w:val="20"/>
          <w:szCs w:val="20"/>
        </w:rPr>
        <w:t>International Organization for the Right to Education and Freedom of Education (OIDEL)</w:t>
      </w:r>
      <w:r w:rsidR="004D49B9">
        <w:rPr>
          <w:color w:val="000000" w:themeColor="text1"/>
          <w:sz w:val="20"/>
          <w:szCs w:val="20"/>
        </w:rPr>
        <w:t xml:space="preserve">; </w:t>
      </w:r>
      <w:r w:rsidR="004D49B9" w:rsidRPr="004D49B9">
        <w:rPr>
          <w:color w:val="000000" w:themeColor="text1"/>
          <w:sz w:val="20"/>
          <w:szCs w:val="20"/>
        </w:rPr>
        <w:t>ONG Hope International</w:t>
      </w:r>
      <w:r w:rsidR="004D49B9">
        <w:rPr>
          <w:color w:val="000000" w:themeColor="text1"/>
          <w:sz w:val="20"/>
          <w:szCs w:val="20"/>
        </w:rPr>
        <w:t xml:space="preserve">; </w:t>
      </w:r>
      <w:r w:rsidR="004D49B9" w:rsidRPr="004D49B9">
        <w:rPr>
          <w:color w:val="000000" w:themeColor="text1"/>
          <w:sz w:val="20"/>
          <w:szCs w:val="20"/>
        </w:rPr>
        <w:t>Organisation pour la Communication en Afrique et de Promotion de la Cooperation Economique Internationale - OCAPR</w:t>
      </w:r>
      <w:r w:rsidR="004D49B9">
        <w:rPr>
          <w:color w:val="000000" w:themeColor="text1"/>
          <w:sz w:val="20"/>
          <w:szCs w:val="20"/>
        </w:rPr>
        <w:t xml:space="preserve">OCE Internationale; </w:t>
      </w:r>
      <w:r w:rsidR="004D49B9" w:rsidRPr="004D49B9">
        <w:rPr>
          <w:color w:val="000000" w:themeColor="text1"/>
          <w:sz w:val="20"/>
          <w:szCs w:val="20"/>
        </w:rPr>
        <w:t>Planetary Association for Clean Energy, Inc., The</w:t>
      </w:r>
      <w:r w:rsidR="004D49B9">
        <w:rPr>
          <w:color w:val="000000" w:themeColor="text1"/>
          <w:sz w:val="20"/>
          <w:szCs w:val="20"/>
        </w:rPr>
        <w:t xml:space="preserve">; </w:t>
      </w:r>
      <w:r w:rsidR="004D49B9" w:rsidRPr="004D49B9">
        <w:rPr>
          <w:color w:val="000000" w:themeColor="text1"/>
          <w:sz w:val="20"/>
          <w:szCs w:val="20"/>
        </w:rPr>
        <w:t>Refugee Council of Australia</w:t>
      </w:r>
      <w:r w:rsidR="004D49B9">
        <w:rPr>
          <w:color w:val="000000" w:themeColor="text1"/>
          <w:sz w:val="20"/>
          <w:szCs w:val="20"/>
        </w:rPr>
        <w:t xml:space="preserve">; </w:t>
      </w:r>
      <w:r w:rsidR="004D49B9" w:rsidRPr="004D49B9">
        <w:rPr>
          <w:color w:val="000000" w:themeColor="text1"/>
          <w:sz w:val="20"/>
          <w:szCs w:val="20"/>
        </w:rPr>
        <w:t>Teresian Association</w:t>
      </w:r>
      <w:r w:rsidR="004D49B9">
        <w:rPr>
          <w:color w:val="000000" w:themeColor="text1"/>
          <w:sz w:val="20"/>
          <w:szCs w:val="20"/>
        </w:rPr>
        <w:t xml:space="preserve"> and </w:t>
      </w:r>
      <w:r w:rsidR="004D49B9" w:rsidRPr="004D49B9">
        <w:rPr>
          <w:color w:val="000000" w:themeColor="text1"/>
          <w:sz w:val="20"/>
          <w:szCs w:val="20"/>
        </w:rPr>
        <w:t>UPR Info</w:t>
      </w:r>
      <w:r w:rsidR="004D49B9">
        <w:rPr>
          <w:color w:val="000000" w:themeColor="text1"/>
          <w:sz w:val="20"/>
          <w:szCs w:val="20"/>
        </w:rPr>
        <w:t xml:space="preserve">); </w:t>
      </w:r>
      <w:r w:rsidR="004D49B9" w:rsidRPr="004D49B9">
        <w:rPr>
          <w:color w:val="000000" w:themeColor="text1"/>
          <w:sz w:val="20"/>
          <w:szCs w:val="20"/>
        </w:rPr>
        <w:t>Solidarité Suisse-Guinée</w:t>
      </w:r>
      <w:r w:rsidR="004D49B9">
        <w:rPr>
          <w:color w:val="000000" w:themeColor="text1"/>
          <w:sz w:val="20"/>
          <w:szCs w:val="20"/>
        </w:rPr>
        <w:t xml:space="preserve">; </w:t>
      </w:r>
      <w:r w:rsidR="004D49B9" w:rsidRPr="004D49B9">
        <w:rPr>
          <w:color w:val="000000" w:themeColor="text1"/>
          <w:sz w:val="20"/>
          <w:szCs w:val="20"/>
        </w:rPr>
        <w:t>Union of Arab Jurists</w:t>
      </w:r>
      <w:r w:rsidR="004D49B9">
        <w:rPr>
          <w:color w:val="000000" w:themeColor="text1"/>
          <w:sz w:val="20"/>
          <w:szCs w:val="20"/>
        </w:rPr>
        <w:t xml:space="preserve">; </w:t>
      </w:r>
      <w:r w:rsidR="004D49B9" w:rsidRPr="004D49B9">
        <w:rPr>
          <w:color w:val="000000" w:themeColor="text1"/>
          <w:sz w:val="20"/>
          <w:szCs w:val="20"/>
        </w:rPr>
        <w:t>United Nations Watch</w:t>
      </w:r>
      <w:r w:rsidR="004D49B9">
        <w:rPr>
          <w:color w:val="000000" w:themeColor="text1"/>
          <w:sz w:val="20"/>
          <w:szCs w:val="20"/>
        </w:rPr>
        <w:t xml:space="preserve">; </w:t>
      </w:r>
      <w:r w:rsidR="004D49B9" w:rsidRPr="004D49B9">
        <w:rPr>
          <w:color w:val="000000" w:themeColor="text1"/>
          <w:sz w:val="20"/>
          <w:szCs w:val="20"/>
        </w:rPr>
        <w:t>United Schools International</w:t>
      </w:r>
      <w:r w:rsidR="004D49B9">
        <w:rPr>
          <w:color w:val="000000" w:themeColor="text1"/>
          <w:sz w:val="20"/>
          <w:szCs w:val="20"/>
        </w:rPr>
        <w:t xml:space="preserve">; </w:t>
      </w:r>
      <w:r w:rsidR="004D49B9" w:rsidRPr="004D49B9">
        <w:rPr>
          <w:color w:val="000000" w:themeColor="text1"/>
          <w:sz w:val="20"/>
          <w:szCs w:val="20"/>
        </w:rPr>
        <w:t>United Towns Agency for North-South Cooperation</w:t>
      </w:r>
      <w:r w:rsidR="004D49B9">
        <w:rPr>
          <w:color w:val="000000" w:themeColor="text1"/>
          <w:sz w:val="20"/>
          <w:szCs w:val="20"/>
        </w:rPr>
        <w:t xml:space="preserve">; </w:t>
      </w:r>
      <w:r w:rsidR="004D49B9" w:rsidRPr="004D49B9">
        <w:rPr>
          <w:color w:val="000000" w:themeColor="text1"/>
          <w:sz w:val="20"/>
          <w:szCs w:val="20"/>
        </w:rPr>
        <w:t>Verein Sudwind Entwicklungspolitik</w:t>
      </w:r>
      <w:r w:rsidR="004D49B9">
        <w:rPr>
          <w:color w:val="000000" w:themeColor="text1"/>
          <w:sz w:val="20"/>
          <w:szCs w:val="20"/>
        </w:rPr>
        <w:t xml:space="preserve">; </w:t>
      </w:r>
      <w:r w:rsidR="004D49B9" w:rsidRPr="004D49B9">
        <w:rPr>
          <w:color w:val="000000" w:themeColor="text1"/>
          <w:sz w:val="20"/>
          <w:szCs w:val="20"/>
        </w:rPr>
        <w:t>Villages Unis (United Villages)</w:t>
      </w:r>
      <w:r w:rsidR="004D49B9">
        <w:rPr>
          <w:color w:val="000000" w:themeColor="text1"/>
          <w:sz w:val="20"/>
          <w:szCs w:val="20"/>
        </w:rPr>
        <w:t xml:space="preserve">; </w:t>
      </w:r>
      <w:r w:rsidR="004D49B9" w:rsidRPr="004D49B9">
        <w:rPr>
          <w:color w:val="000000" w:themeColor="text1"/>
          <w:sz w:val="20"/>
          <w:szCs w:val="20"/>
        </w:rPr>
        <w:t>VIVAT International</w:t>
      </w:r>
      <w:r w:rsidR="004D49B9">
        <w:rPr>
          <w:color w:val="000000" w:themeColor="text1"/>
          <w:sz w:val="20"/>
          <w:szCs w:val="20"/>
        </w:rPr>
        <w:t xml:space="preserve">; </w:t>
      </w:r>
      <w:r w:rsidR="004D49B9" w:rsidRPr="004D49B9">
        <w:rPr>
          <w:color w:val="000000" w:themeColor="text1"/>
          <w:sz w:val="20"/>
          <w:szCs w:val="20"/>
        </w:rPr>
        <w:t>World Environment and Resources Council (WERC)</w:t>
      </w:r>
      <w:r w:rsidR="004D49B9">
        <w:rPr>
          <w:color w:val="000000" w:themeColor="text1"/>
          <w:sz w:val="20"/>
          <w:szCs w:val="20"/>
        </w:rPr>
        <w:t xml:space="preserve">; </w:t>
      </w:r>
      <w:r w:rsidR="004D49B9" w:rsidRPr="004D49B9">
        <w:rPr>
          <w:color w:val="000000" w:themeColor="text1"/>
          <w:sz w:val="20"/>
          <w:szCs w:val="20"/>
        </w:rPr>
        <w:t>World Evangelical Alliance</w:t>
      </w:r>
      <w:r w:rsidR="004D49B9">
        <w:rPr>
          <w:color w:val="000000" w:themeColor="text1"/>
          <w:sz w:val="20"/>
          <w:szCs w:val="20"/>
        </w:rPr>
        <w:t xml:space="preserve">; </w:t>
      </w:r>
      <w:r w:rsidR="004D49B9" w:rsidRPr="004D49B9">
        <w:rPr>
          <w:color w:val="000000" w:themeColor="text1"/>
          <w:sz w:val="20"/>
          <w:szCs w:val="20"/>
        </w:rPr>
        <w:t>World Jewish Congress</w:t>
      </w:r>
      <w:r w:rsidR="004D49B9">
        <w:rPr>
          <w:color w:val="000000" w:themeColor="text1"/>
          <w:sz w:val="20"/>
          <w:szCs w:val="20"/>
        </w:rPr>
        <w:t xml:space="preserve">; </w:t>
      </w:r>
      <w:r w:rsidR="004D49B9" w:rsidRPr="004D49B9">
        <w:rPr>
          <w:color w:val="000000" w:themeColor="text1"/>
          <w:sz w:val="20"/>
          <w:szCs w:val="20"/>
        </w:rPr>
        <w:t>World Muslim Congress</w:t>
      </w:r>
      <w:r w:rsidR="004D49B9">
        <w:rPr>
          <w:color w:val="000000" w:themeColor="text1"/>
          <w:sz w:val="20"/>
          <w:szCs w:val="20"/>
        </w:rPr>
        <w:t xml:space="preserve">; </w:t>
      </w:r>
      <w:r w:rsidR="004D49B9" w:rsidRPr="004D49B9">
        <w:rPr>
          <w:color w:val="000000" w:themeColor="text1"/>
          <w:sz w:val="20"/>
          <w:szCs w:val="20"/>
        </w:rPr>
        <w:t>World Russian People</w:t>
      </w:r>
      <w:r w:rsidR="00D72627">
        <w:rPr>
          <w:color w:val="000000" w:themeColor="text1"/>
          <w:sz w:val="20"/>
          <w:szCs w:val="20"/>
        </w:rPr>
        <w:t>’</w:t>
      </w:r>
      <w:r w:rsidR="004D49B9" w:rsidRPr="004D49B9">
        <w:rPr>
          <w:color w:val="000000" w:themeColor="text1"/>
          <w:sz w:val="20"/>
          <w:szCs w:val="20"/>
        </w:rPr>
        <w:t>s Council</w:t>
      </w:r>
      <w:r w:rsidRPr="0067399B">
        <w:rPr>
          <w:color w:val="000000" w:themeColor="text1"/>
          <w:sz w:val="20"/>
          <w:szCs w:val="20"/>
        </w:rPr>
        <w:t>.</w:t>
      </w:r>
    </w:p>
    <w:p w14:paraId="34747FF7" w14:textId="7A353387" w:rsidR="005B670E" w:rsidRDefault="002B4AE4" w:rsidP="005B670E">
      <w:pPr>
        <w:pStyle w:val="SingleTxtG"/>
        <w:rPr>
          <w:color w:val="000000" w:themeColor="text1"/>
          <w:sz w:val="20"/>
          <w:szCs w:val="20"/>
        </w:rPr>
      </w:pPr>
      <w:r>
        <w:rPr>
          <w:rFonts w:eastAsia="Malgun Gothic"/>
          <w:color w:val="000000" w:themeColor="text1"/>
          <w:sz w:val="20"/>
          <w:szCs w:val="20"/>
        </w:rPr>
        <w:t>186</w:t>
      </w:r>
      <w:r w:rsidR="005B670E" w:rsidRPr="0067399B">
        <w:rPr>
          <w:rFonts w:eastAsia="Malgun Gothic"/>
          <w:color w:val="000000" w:themeColor="text1"/>
          <w:sz w:val="20"/>
          <w:szCs w:val="20"/>
        </w:rPr>
        <w:t>.</w:t>
      </w:r>
      <w:r w:rsidR="005B670E" w:rsidRPr="0067399B">
        <w:rPr>
          <w:rFonts w:eastAsia="Malgun Gothic"/>
          <w:color w:val="000000" w:themeColor="text1"/>
          <w:sz w:val="20"/>
          <w:szCs w:val="20"/>
        </w:rPr>
        <w:tab/>
        <w:t xml:space="preserve">At the </w:t>
      </w:r>
      <w:r w:rsidR="005B670E">
        <w:rPr>
          <w:rFonts w:eastAsia="Malgun Gothic"/>
          <w:color w:val="000000" w:themeColor="text1"/>
          <w:sz w:val="20"/>
          <w:szCs w:val="20"/>
        </w:rPr>
        <w:t>24th</w:t>
      </w:r>
      <w:r w:rsidR="005B670E" w:rsidRPr="0067399B">
        <w:rPr>
          <w:rFonts w:eastAsia="Malgun Gothic"/>
          <w:color w:val="000000" w:themeColor="text1"/>
          <w:sz w:val="20"/>
          <w:szCs w:val="20"/>
        </w:rPr>
        <w:t xml:space="preserve"> meeting, on </w:t>
      </w:r>
      <w:r w:rsidR="005B670E">
        <w:rPr>
          <w:rFonts w:eastAsia="Malgun Gothic"/>
          <w:color w:val="000000" w:themeColor="text1"/>
          <w:sz w:val="20"/>
          <w:szCs w:val="20"/>
        </w:rPr>
        <w:t>8 March 2019</w:t>
      </w:r>
      <w:r w:rsidR="005B670E" w:rsidRPr="0067399B">
        <w:rPr>
          <w:rFonts w:eastAsia="Malgun Gothic"/>
          <w:color w:val="000000" w:themeColor="text1"/>
          <w:sz w:val="20"/>
          <w:szCs w:val="20"/>
        </w:rPr>
        <w:t xml:space="preserve">, the </w:t>
      </w:r>
      <w:r w:rsidR="005B670E" w:rsidRPr="0067399B">
        <w:rPr>
          <w:color w:val="000000" w:themeColor="text1"/>
          <w:sz w:val="20"/>
          <w:szCs w:val="20"/>
        </w:rPr>
        <w:t>Chairperson-Rapporteur of the open-ended intergovernmental working group on transnational corporations and other business enterprises with respect to human rights, with the mandate of elaborating an international legally binding instrument</w:t>
      </w:r>
      <w:r w:rsidR="005B670E">
        <w:rPr>
          <w:color w:val="000000" w:themeColor="text1"/>
          <w:sz w:val="20"/>
          <w:szCs w:val="20"/>
        </w:rPr>
        <w:t xml:space="preserve">, </w:t>
      </w:r>
      <w:r w:rsidR="005B670E" w:rsidRPr="00E67676">
        <w:rPr>
          <w:color w:val="000000" w:themeColor="text1"/>
          <w:sz w:val="20"/>
          <w:szCs w:val="20"/>
        </w:rPr>
        <w:t>Emilio Izquierdo</w:t>
      </w:r>
      <w:r w:rsidR="005B670E">
        <w:rPr>
          <w:color w:val="000000" w:themeColor="text1"/>
          <w:sz w:val="20"/>
          <w:szCs w:val="20"/>
        </w:rPr>
        <w:t xml:space="preserve">, </w:t>
      </w:r>
      <w:r w:rsidR="005B670E" w:rsidRPr="0067399B">
        <w:rPr>
          <w:color w:val="000000" w:themeColor="text1"/>
          <w:sz w:val="20"/>
          <w:szCs w:val="20"/>
        </w:rPr>
        <w:t xml:space="preserve">made </w:t>
      </w:r>
      <w:r w:rsidR="005B670E">
        <w:rPr>
          <w:color w:val="000000" w:themeColor="text1"/>
          <w:sz w:val="20"/>
          <w:szCs w:val="20"/>
        </w:rPr>
        <w:t xml:space="preserve">his </w:t>
      </w:r>
      <w:r w:rsidR="005B670E" w:rsidRPr="0067399B">
        <w:rPr>
          <w:color w:val="000000" w:themeColor="text1"/>
          <w:sz w:val="20"/>
          <w:szCs w:val="20"/>
        </w:rPr>
        <w:t>concluding remarks.</w:t>
      </w:r>
    </w:p>
    <w:p w14:paraId="1DBD4C97" w14:textId="18B477F6" w:rsidR="00673A36" w:rsidRDefault="002B4AE4" w:rsidP="00673A36">
      <w:pPr>
        <w:pStyle w:val="SingleTxtG"/>
        <w:rPr>
          <w:color w:val="000000" w:themeColor="text1"/>
          <w:sz w:val="20"/>
          <w:szCs w:val="20"/>
        </w:rPr>
      </w:pPr>
      <w:r>
        <w:rPr>
          <w:color w:val="000000" w:themeColor="text1"/>
          <w:sz w:val="20"/>
          <w:szCs w:val="20"/>
        </w:rPr>
        <w:t>187</w:t>
      </w:r>
      <w:r w:rsidR="00673A36" w:rsidRPr="007C176F">
        <w:rPr>
          <w:color w:val="000000" w:themeColor="text1"/>
          <w:sz w:val="20"/>
          <w:szCs w:val="20"/>
        </w:rPr>
        <w:t>.</w:t>
      </w:r>
      <w:r w:rsidR="009B2DFF" w:rsidRPr="007C176F">
        <w:rPr>
          <w:color w:val="000000" w:themeColor="text1"/>
          <w:sz w:val="20"/>
          <w:szCs w:val="20"/>
        </w:rPr>
        <w:tab/>
      </w:r>
      <w:r w:rsidR="00673A36" w:rsidRPr="007C176F">
        <w:rPr>
          <w:color w:val="000000" w:themeColor="text1"/>
          <w:sz w:val="20"/>
          <w:szCs w:val="20"/>
        </w:rPr>
        <w:t>At the 2</w:t>
      </w:r>
      <w:r w:rsidR="007C176F" w:rsidRPr="007C176F">
        <w:rPr>
          <w:color w:val="000000" w:themeColor="text1"/>
          <w:sz w:val="20"/>
          <w:szCs w:val="20"/>
        </w:rPr>
        <w:t>5</w:t>
      </w:r>
      <w:r w:rsidR="00673A36" w:rsidRPr="007C176F">
        <w:rPr>
          <w:color w:val="000000" w:themeColor="text1"/>
          <w:sz w:val="20"/>
          <w:szCs w:val="20"/>
        </w:rPr>
        <w:t xml:space="preserve">th meeting, on </w:t>
      </w:r>
      <w:r w:rsidR="007C176F" w:rsidRPr="007C176F">
        <w:rPr>
          <w:color w:val="000000" w:themeColor="text1"/>
          <w:sz w:val="20"/>
          <w:szCs w:val="20"/>
        </w:rPr>
        <w:t>8</w:t>
      </w:r>
      <w:r w:rsidR="00673A36" w:rsidRPr="007C176F">
        <w:rPr>
          <w:color w:val="000000" w:themeColor="text1"/>
          <w:sz w:val="20"/>
          <w:szCs w:val="20"/>
        </w:rPr>
        <w:t xml:space="preserve"> March 201</w:t>
      </w:r>
      <w:r w:rsidR="005B0D1B">
        <w:rPr>
          <w:color w:val="000000" w:themeColor="text1"/>
          <w:sz w:val="20"/>
          <w:szCs w:val="20"/>
        </w:rPr>
        <w:t>9</w:t>
      </w:r>
      <w:r w:rsidR="00673A36" w:rsidRPr="007C176F">
        <w:rPr>
          <w:color w:val="000000" w:themeColor="text1"/>
          <w:sz w:val="20"/>
          <w:szCs w:val="20"/>
        </w:rPr>
        <w:t xml:space="preserve">, statements in exercise of the right of reply were made by the representatives of </w:t>
      </w:r>
      <w:r w:rsidR="007C176F">
        <w:rPr>
          <w:color w:val="000000" w:themeColor="text1"/>
          <w:sz w:val="20"/>
          <w:szCs w:val="20"/>
        </w:rPr>
        <w:t xml:space="preserve">Brazil, </w:t>
      </w:r>
      <w:r w:rsidR="007C176F" w:rsidRPr="007C176F">
        <w:rPr>
          <w:color w:val="000000" w:themeColor="text1"/>
          <w:sz w:val="20"/>
          <w:szCs w:val="20"/>
        </w:rPr>
        <w:t>Cuba</w:t>
      </w:r>
      <w:r w:rsidR="00041FE8">
        <w:rPr>
          <w:color w:val="000000" w:themeColor="text1"/>
          <w:sz w:val="20"/>
          <w:szCs w:val="20"/>
        </w:rPr>
        <w:t>,</w:t>
      </w:r>
      <w:r w:rsidR="007C176F">
        <w:rPr>
          <w:color w:val="000000" w:themeColor="text1"/>
          <w:sz w:val="20"/>
          <w:szCs w:val="20"/>
        </w:rPr>
        <w:t xml:space="preserve"> </w:t>
      </w:r>
      <w:r w:rsidR="00041FE8">
        <w:rPr>
          <w:color w:val="000000" w:themeColor="text1"/>
          <w:sz w:val="20"/>
          <w:szCs w:val="20"/>
        </w:rPr>
        <w:t>India and Pakistan</w:t>
      </w:r>
      <w:r w:rsidR="00673A36" w:rsidRPr="007C176F">
        <w:rPr>
          <w:color w:val="000000" w:themeColor="text1"/>
          <w:sz w:val="20"/>
          <w:szCs w:val="20"/>
        </w:rPr>
        <w:t>.</w:t>
      </w:r>
    </w:p>
    <w:p w14:paraId="51B34A38" w14:textId="61729CCD" w:rsidR="002023F5" w:rsidRDefault="002B4AE4" w:rsidP="00673A36">
      <w:pPr>
        <w:pStyle w:val="SingleTxtG"/>
        <w:rPr>
          <w:color w:val="000000" w:themeColor="text1"/>
          <w:sz w:val="20"/>
          <w:szCs w:val="20"/>
        </w:rPr>
      </w:pPr>
      <w:r>
        <w:rPr>
          <w:color w:val="000000" w:themeColor="text1"/>
          <w:sz w:val="20"/>
          <w:szCs w:val="20"/>
        </w:rPr>
        <w:t>188</w:t>
      </w:r>
      <w:r w:rsidR="002023F5" w:rsidRPr="007C176F">
        <w:rPr>
          <w:color w:val="000000" w:themeColor="text1"/>
          <w:sz w:val="20"/>
          <w:szCs w:val="20"/>
        </w:rPr>
        <w:t>.</w:t>
      </w:r>
      <w:r w:rsidR="002023F5" w:rsidRPr="007C176F">
        <w:rPr>
          <w:color w:val="000000" w:themeColor="text1"/>
          <w:sz w:val="20"/>
          <w:szCs w:val="20"/>
        </w:rPr>
        <w:tab/>
        <w:t xml:space="preserve">At the </w:t>
      </w:r>
      <w:r w:rsidR="002023F5">
        <w:rPr>
          <w:color w:val="000000" w:themeColor="text1"/>
          <w:sz w:val="20"/>
          <w:szCs w:val="20"/>
        </w:rPr>
        <w:t>same</w:t>
      </w:r>
      <w:r w:rsidR="002023F5" w:rsidRPr="007C176F">
        <w:rPr>
          <w:color w:val="000000" w:themeColor="text1"/>
          <w:sz w:val="20"/>
          <w:szCs w:val="20"/>
        </w:rPr>
        <w:t xml:space="preserve"> meeting, statements in exercise of the </w:t>
      </w:r>
      <w:r w:rsidR="002023F5">
        <w:rPr>
          <w:color w:val="000000" w:themeColor="text1"/>
          <w:sz w:val="20"/>
          <w:szCs w:val="20"/>
        </w:rPr>
        <w:t xml:space="preserve">second </w:t>
      </w:r>
      <w:r w:rsidR="002023F5" w:rsidRPr="007C176F">
        <w:rPr>
          <w:color w:val="000000" w:themeColor="text1"/>
          <w:sz w:val="20"/>
          <w:szCs w:val="20"/>
        </w:rPr>
        <w:t xml:space="preserve">right of reply were made by the representatives of </w:t>
      </w:r>
      <w:r w:rsidR="002023F5">
        <w:rPr>
          <w:color w:val="000000" w:themeColor="text1"/>
          <w:sz w:val="20"/>
          <w:szCs w:val="20"/>
        </w:rPr>
        <w:t xml:space="preserve">India and </w:t>
      </w:r>
      <w:r w:rsidR="002023F5" w:rsidRPr="002023F5">
        <w:rPr>
          <w:color w:val="000000" w:themeColor="text1"/>
          <w:sz w:val="20"/>
          <w:szCs w:val="20"/>
        </w:rPr>
        <w:t>Pakistan</w:t>
      </w:r>
      <w:r w:rsidR="002023F5" w:rsidRPr="007C176F">
        <w:rPr>
          <w:color w:val="000000" w:themeColor="text1"/>
          <w:sz w:val="20"/>
          <w:szCs w:val="20"/>
        </w:rPr>
        <w:t>.</w:t>
      </w:r>
    </w:p>
    <w:p w14:paraId="16F1FF75" w14:textId="3F487417" w:rsidR="005B0D1B" w:rsidRPr="002023F5" w:rsidRDefault="002B4AE4" w:rsidP="00673A36">
      <w:pPr>
        <w:pStyle w:val="SingleTxtG"/>
        <w:rPr>
          <w:color w:val="000000" w:themeColor="text1"/>
          <w:sz w:val="20"/>
          <w:szCs w:val="20"/>
        </w:rPr>
      </w:pPr>
      <w:r>
        <w:rPr>
          <w:color w:val="000000" w:themeColor="text1"/>
          <w:sz w:val="20"/>
          <w:szCs w:val="20"/>
        </w:rPr>
        <w:t>189</w:t>
      </w:r>
      <w:r w:rsidR="005B0D1B" w:rsidRPr="007C176F">
        <w:rPr>
          <w:color w:val="000000" w:themeColor="text1"/>
          <w:sz w:val="20"/>
          <w:szCs w:val="20"/>
        </w:rPr>
        <w:t>.</w:t>
      </w:r>
      <w:r w:rsidR="005B0D1B" w:rsidRPr="007C176F">
        <w:rPr>
          <w:color w:val="000000" w:themeColor="text1"/>
          <w:sz w:val="20"/>
          <w:szCs w:val="20"/>
        </w:rPr>
        <w:tab/>
        <w:t>At the 2</w:t>
      </w:r>
      <w:r w:rsidR="005B0D1B">
        <w:rPr>
          <w:color w:val="000000" w:themeColor="text1"/>
          <w:sz w:val="20"/>
          <w:szCs w:val="20"/>
        </w:rPr>
        <w:t>6</w:t>
      </w:r>
      <w:r w:rsidR="005B0D1B" w:rsidRPr="007C176F">
        <w:rPr>
          <w:color w:val="000000" w:themeColor="text1"/>
          <w:sz w:val="20"/>
          <w:szCs w:val="20"/>
        </w:rPr>
        <w:t xml:space="preserve">th meeting, on </w:t>
      </w:r>
      <w:r w:rsidR="005B0D1B">
        <w:rPr>
          <w:color w:val="000000" w:themeColor="text1"/>
          <w:sz w:val="20"/>
          <w:szCs w:val="20"/>
        </w:rPr>
        <w:t>11</w:t>
      </w:r>
      <w:r w:rsidR="005B0D1B" w:rsidRPr="007C176F">
        <w:rPr>
          <w:color w:val="000000" w:themeColor="text1"/>
          <w:sz w:val="20"/>
          <w:szCs w:val="20"/>
        </w:rPr>
        <w:t xml:space="preserve"> March 201</w:t>
      </w:r>
      <w:r w:rsidR="005B0D1B">
        <w:rPr>
          <w:color w:val="000000" w:themeColor="text1"/>
          <w:sz w:val="20"/>
          <w:szCs w:val="20"/>
        </w:rPr>
        <w:t>9</w:t>
      </w:r>
      <w:r w:rsidR="005B0D1B" w:rsidRPr="007C176F">
        <w:rPr>
          <w:color w:val="000000" w:themeColor="text1"/>
          <w:sz w:val="20"/>
          <w:szCs w:val="20"/>
        </w:rPr>
        <w:t xml:space="preserve">, </w:t>
      </w:r>
      <w:r w:rsidR="005B0D1B">
        <w:rPr>
          <w:color w:val="000000" w:themeColor="text1"/>
          <w:sz w:val="20"/>
          <w:szCs w:val="20"/>
        </w:rPr>
        <w:t xml:space="preserve">a </w:t>
      </w:r>
      <w:r w:rsidR="005B0D1B" w:rsidRPr="007C176F">
        <w:rPr>
          <w:color w:val="000000" w:themeColor="text1"/>
          <w:sz w:val="20"/>
          <w:szCs w:val="20"/>
        </w:rPr>
        <w:t xml:space="preserve">statement in exercise of the right of reply </w:t>
      </w:r>
      <w:r w:rsidR="005B0D1B">
        <w:rPr>
          <w:color w:val="000000" w:themeColor="text1"/>
          <w:sz w:val="20"/>
          <w:szCs w:val="20"/>
        </w:rPr>
        <w:t>was</w:t>
      </w:r>
      <w:r w:rsidR="005B0D1B" w:rsidRPr="007C176F">
        <w:rPr>
          <w:color w:val="000000" w:themeColor="text1"/>
          <w:sz w:val="20"/>
          <w:szCs w:val="20"/>
        </w:rPr>
        <w:t xml:space="preserve"> made by the representatives of </w:t>
      </w:r>
      <w:r w:rsidR="005B0D1B">
        <w:rPr>
          <w:color w:val="000000" w:themeColor="text1"/>
          <w:sz w:val="20"/>
          <w:szCs w:val="20"/>
        </w:rPr>
        <w:t>China</w:t>
      </w:r>
      <w:r w:rsidR="005B0D1B" w:rsidRPr="007C176F">
        <w:rPr>
          <w:color w:val="000000" w:themeColor="text1"/>
          <w:sz w:val="20"/>
          <w:szCs w:val="20"/>
        </w:rPr>
        <w:t>.</w:t>
      </w:r>
    </w:p>
    <w:p w14:paraId="2EA5893F" w14:textId="064E7559" w:rsidR="00F11B08" w:rsidRPr="00C16037" w:rsidRDefault="00F11B08" w:rsidP="00415787">
      <w:pPr>
        <w:pStyle w:val="H1G"/>
        <w:rPr>
          <w:b w:val="0"/>
          <w:color w:val="000000" w:themeColor="text1"/>
        </w:rPr>
      </w:pPr>
      <w:r w:rsidRPr="00C16037">
        <w:rPr>
          <w:color w:val="000000" w:themeColor="text1"/>
        </w:rPr>
        <w:tab/>
      </w:r>
      <w:r w:rsidR="00A078AC">
        <w:rPr>
          <w:color w:val="000000" w:themeColor="text1"/>
        </w:rPr>
        <w:t>G</w:t>
      </w:r>
      <w:r w:rsidRPr="00C16037">
        <w:rPr>
          <w:color w:val="000000" w:themeColor="text1"/>
        </w:rPr>
        <w:t>.</w:t>
      </w:r>
      <w:r w:rsidRPr="00C16037">
        <w:rPr>
          <w:color w:val="000000" w:themeColor="text1"/>
        </w:rPr>
        <w:tab/>
        <w:t>Consideration of and action on draft proposals</w:t>
      </w:r>
    </w:p>
    <w:p w14:paraId="5EA072C8" w14:textId="189F901D" w:rsidR="007B2C0A" w:rsidRPr="00326BEB" w:rsidRDefault="007B2C0A" w:rsidP="007B2C0A">
      <w:pPr>
        <w:pStyle w:val="H23G"/>
        <w:rPr>
          <w:sz w:val="20"/>
          <w:szCs w:val="20"/>
        </w:rPr>
      </w:pPr>
      <w:r>
        <w:rPr>
          <w:sz w:val="20"/>
          <w:szCs w:val="20"/>
        </w:rPr>
        <w:tab/>
      </w:r>
      <w:r>
        <w:rPr>
          <w:sz w:val="20"/>
          <w:szCs w:val="20"/>
        </w:rPr>
        <w:tab/>
      </w:r>
      <w:r w:rsidRPr="007B2C0A">
        <w:rPr>
          <w:sz w:val="20"/>
          <w:szCs w:val="20"/>
        </w:rPr>
        <w:t>The negative impact of unilateral coercive measures on the enjoyment of human rights</w:t>
      </w:r>
    </w:p>
    <w:p w14:paraId="4C604988" w14:textId="2E3722C2" w:rsidR="007B2C0A" w:rsidRDefault="002B4AE4" w:rsidP="007B2C0A">
      <w:pPr>
        <w:pStyle w:val="SingleTxtG"/>
        <w:rPr>
          <w:sz w:val="20"/>
          <w:szCs w:val="20"/>
        </w:rPr>
      </w:pPr>
      <w:r>
        <w:rPr>
          <w:sz w:val="20"/>
          <w:szCs w:val="20"/>
        </w:rPr>
        <w:t>190</w:t>
      </w:r>
      <w:r w:rsidR="007B2C0A" w:rsidRPr="00326BEB">
        <w:rPr>
          <w:sz w:val="20"/>
          <w:szCs w:val="20"/>
        </w:rPr>
        <w:t>.</w:t>
      </w:r>
      <w:r w:rsidR="007B2C0A" w:rsidRPr="00326BEB">
        <w:rPr>
          <w:sz w:val="20"/>
          <w:szCs w:val="20"/>
        </w:rPr>
        <w:tab/>
        <w:t xml:space="preserve">At the </w:t>
      </w:r>
      <w:r w:rsidR="007B2C0A">
        <w:rPr>
          <w:sz w:val="20"/>
          <w:szCs w:val="20"/>
        </w:rPr>
        <w:t>52nd</w:t>
      </w:r>
      <w:r w:rsidR="007B2C0A" w:rsidRPr="00326BEB">
        <w:rPr>
          <w:sz w:val="20"/>
          <w:szCs w:val="20"/>
        </w:rPr>
        <w:t xml:space="preserve"> meeting, on </w:t>
      </w:r>
      <w:r w:rsidR="007B2C0A">
        <w:rPr>
          <w:sz w:val="20"/>
          <w:szCs w:val="20"/>
        </w:rPr>
        <w:t>21 March 2019</w:t>
      </w:r>
      <w:r w:rsidR="007B2C0A" w:rsidRPr="00326BEB">
        <w:rPr>
          <w:sz w:val="20"/>
          <w:szCs w:val="20"/>
        </w:rPr>
        <w:t xml:space="preserve">, the representative of </w:t>
      </w:r>
      <w:r w:rsidR="007B2C0A">
        <w:rPr>
          <w:sz w:val="20"/>
          <w:szCs w:val="20"/>
        </w:rPr>
        <w:t xml:space="preserve">the </w:t>
      </w:r>
      <w:r w:rsidR="007B2C0A" w:rsidRPr="007B2C0A">
        <w:rPr>
          <w:sz w:val="20"/>
          <w:szCs w:val="20"/>
        </w:rPr>
        <w:t>Bolivarian Republic of Venezuela (on behalf of the Non-Aligned Movement, except Colombia, Ecuador</w:t>
      </w:r>
      <w:r w:rsidR="007B2C0A">
        <w:rPr>
          <w:sz w:val="20"/>
          <w:szCs w:val="20"/>
        </w:rPr>
        <w:t xml:space="preserve"> and Peru) </w:t>
      </w:r>
      <w:r w:rsidR="007B2C0A" w:rsidRPr="00326BEB">
        <w:rPr>
          <w:sz w:val="20"/>
          <w:szCs w:val="20"/>
        </w:rPr>
        <w:t>introduced draft resolution A/HRC/</w:t>
      </w:r>
      <w:r w:rsidR="007B2C0A">
        <w:rPr>
          <w:sz w:val="20"/>
          <w:szCs w:val="20"/>
        </w:rPr>
        <w:t>40</w:t>
      </w:r>
      <w:r w:rsidR="007B2C0A" w:rsidRPr="00326BEB">
        <w:rPr>
          <w:sz w:val="20"/>
          <w:szCs w:val="20"/>
        </w:rPr>
        <w:t>/L.</w:t>
      </w:r>
      <w:r w:rsidR="007B2C0A">
        <w:rPr>
          <w:sz w:val="20"/>
          <w:szCs w:val="20"/>
        </w:rPr>
        <w:t>5</w:t>
      </w:r>
      <w:r w:rsidR="007B2C0A" w:rsidRPr="00326BEB">
        <w:rPr>
          <w:sz w:val="20"/>
          <w:szCs w:val="20"/>
        </w:rPr>
        <w:t xml:space="preserve">, sponsored by </w:t>
      </w:r>
      <w:r w:rsidR="007B2C0A">
        <w:rPr>
          <w:sz w:val="20"/>
          <w:szCs w:val="20"/>
        </w:rPr>
        <w:t xml:space="preserve">the </w:t>
      </w:r>
      <w:r w:rsidR="007B2C0A" w:rsidRPr="007B2C0A">
        <w:rPr>
          <w:sz w:val="20"/>
          <w:szCs w:val="20"/>
        </w:rPr>
        <w:t>Bolivarian Republic of Venezuela (on behalf of the Non-Aligned Movement, except Colombia, Ecuador</w:t>
      </w:r>
      <w:r w:rsidR="007B2C0A">
        <w:rPr>
          <w:sz w:val="20"/>
          <w:szCs w:val="20"/>
        </w:rPr>
        <w:t xml:space="preserve"> and Peru)</w:t>
      </w:r>
      <w:r w:rsidR="007B2C0A" w:rsidRPr="00326BEB">
        <w:rPr>
          <w:sz w:val="20"/>
          <w:szCs w:val="20"/>
        </w:rPr>
        <w:t xml:space="preserve">. </w:t>
      </w:r>
      <w:r w:rsidR="007B2C0A" w:rsidRPr="00E45C02">
        <w:rPr>
          <w:sz w:val="20"/>
          <w:szCs w:val="20"/>
        </w:rPr>
        <w:t xml:space="preserve">Subsequently, </w:t>
      </w:r>
      <w:r w:rsidR="007B2C0A" w:rsidRPr="007B2C0A">
        <w:rPr>
          <w:sz w:val="20"/>
          <w:szCs w:val="20"/>
        </w:rPr>
        <w:t>Chile</w:t>
      </w:r>
      <w:r w:rsidR="007B2C0A">
        <w:rPr>
          <w:sz w:val="20"/>
          <w:szCs w:val="20"/>
        </w:rPr>
        <w:t xml:space="preserve">, </w:t>
      </w:r>
      <w:r w:rsidR="007B2C0A" w:rsidRPr="007B2C0A">
        <w:rPr>
          <w:sz w:val="20"/>
          <w:szCs w:val="20"/>
        </w:rPr>
        <w:t xml:space="preserve">Honduras </w:t>
      </w:r>
      <w:r w:rsidR="007B2C0A">
        <w:rPr>
          <w:sz w:val="20"/>
          <w:szCs w:val="20"/>
        </w:rPr>
        <w:t xml:space="preserve">and </w:t>
      </w:r>
      <w:r w:rsidR="007B2C0A" w:rsidRPr="007B2C0A">
        <w:rPr>
          <w:sz w:val="20"/>
          <w:szCs w:val="20"/>
        </w:rPr>
        <w:t>Panama</w:t>
      </w:r>
      <w:r w:rsidR="007B2C0A">
        <w:rPr>
          <w:sz w:val="20"/>
          <w:szCs w:val="20"/>
        </w:rPr>
        <w:t xml:space="preserve"> </w:t>
      </w:r>
      <w:r w:rsidR="007B2C0A" w:rsidRPr="00E45C02">
        <w:rPr>
          <w:sz w:val="20"/>
          <w:szCs w:val="20"/>
        </w:rPr>
        <w:t>withdrew their original co-sponsorship of the draft resolution.</w:t>
      </w:r>
      <w:r w:rsidR="007B2C0A">
        <w:rPr>
          <w:sz w:val="20"/>
          <w:szCs w:val="20"/>
        </w:rPr>
        <w:t xml:space="preserve"> </w:t>
      </w:r>
      <w:r w:rsidR="007B2C0A" w:rsidRPr="00326BEB">
        <w:rPr>
          <w:sz w:val="20"/>
          <w:szCs w:val="20"/>
        </w:rPr>
        <w:t xml:space="preserve">Subsequently, </w:t>
      </w:r>
      <w:r w:rsidR="007B2C0A" w:rsidRPr="007B2C0A">
        <w:rPr>
          <w:sz w:val="20"/>
          <w:szCs w:val="20"/>
        </w:rPr>
        <w:t>Angola (on behalf of the Group of African States)</w:t>
      </w:r>
      <w:r w:rsidR="007B2C0A">
        <w:rPr>
          <w:sz w:val="20"/>
          <w:szCs w:val="20"/>
        </w:rPr>
        <w:t xml:space="preserve"> and </w:t>
      </w:r>
      <w:r w:rsidR="007B2C0A" w:rsidRPr="007B2C0A">
        <w:rPr>
          <w:sz w:val="20"/>
          <w:szCs w:val="20"/>
        </w:rPr>
        <w:t>Bahrain (on behalf of the Group of Arab States)</w:t>
      </w:r>
      <w:r w:rsidR="007B2C0A">
        <w:rPr>
          <w:sz w:val="20"/>
          <w:szCs w:val="20"/>
        </w:rPr>
        <w:t xml:space="preserve"> </w:t>
      </w:r>
      <w:r w:rsidR="007B2C0A" w:rsidRPr="00326BEB">
        <w:rPr>
          <w:sz w:val="20"/>
          <w:szCs w:val="20"/>
        </w:rPr>
        <w:t>joined the sponsors.</w:t>
      </w:r>
    </w:p>
    <w:p w14:paraId="24F1CF4F" w14:textId="7583ED70" w:rsidR="007B2C0A" w:rsidRDefault="002B4AE4" w:rsidP="007B2C0A">
      <w:pPr>
        <w:spacing w:after="120"/>
        <w:ind w:left="1134" w:right="1134"/>
        <w:jc w:val="both"/>
        <w:rPr>
          <w:sz w:val="20"/>
          <w:szCs w:val="20"/>
        </w:rPr>
      </w:pPr>
      <w:r>
        <w:rPr>
          <w:sz w:val="20"/>
          <w:szCs w:val="20"/>
        </w:rPr>
        <w:t>191</w:t>
      </w:r>
      <w:r w:rsidR="007B2C0A" w:rsidRPr="00E86201">
        <w:rPr>
          <w:sz w:val="20"/>
          <w:szCs w:val="20"/>
        </w:rPr>
        <w:t>.</w:t>
      </w:r>
      <w:r w:rsidR="007B2C0A" w:rsidRPr="00E86201">
        <w:rPr>
          <w:sz w:val="20"/>
          <w:szCs w:val="20"/>
        </w:rPr>
        <w:tab/>
        <w:t xml:space="preserve">At the same meeting, the representative of </w:t>
      </w:r>
      <w:r w:rsidR="007B2C0A">
        <w:rPr>
          <w:sz w:val="20"/>
          <w:szCs w:val="20"/>
        </w:rPr>
        <w:t xml:space="preserve">Cuba </w:t>
      </w:r>
      <w:r w:rsidR="007B2C0A" w:rsidRPr="00E86201">
        <w:rPr>
          <w:sz w:val="20"/>
          <w:szCs w:val="20"/>
        </w:rPr>
        <w:t>made general comments on the draft resolution.</w:t>
      </w:r>
    </w:p>
    <w:p w14:paraId="6BEF2DBC" w14:textId="36EE46DC" w:rsidR="007B2C0A" w:rsidRPr="0023658A" w:rsidRDefault="002B4AE4" w:rsidP="007B2C0A">
      <w:pPr>
        <w:pStyle w:val="SingleTxtG"/>
        <w:rPr>
          <w:sz w:val="20"/>
          <w:szCs w:val="20"/>
        </w:rPr>
      </w:pPr>
      <w:r>
        <w:rPr>
          <w:sz w:val="20"/>
          <w:szCs w:val="20"/>
        </w:rPr>
        <w:t>192</w:t>
      </w:r>
      <w:r w:rsidR="007B2C0A" w:rsidRPr="0023658A">
        <w:rPr>
          <w:sz w:val="20"/>
          <w:szCs w:val="20"/>
        </w:rPr>
        <w:t>.</w:t>
      </w:r>
      <w:r w:rsidR="007B2C0A" w:rsidRPr="0023658A">
        <w:rPr>
          <w:sz w:val="20"/>
          <w:szCs w:val="20"/>
        </w:rPr>
        <w:tab/>
      </w:r>
      <w:r w:rsidR="00292834" w:rsidRPr="0023658A">
        <w:rPr>
          <w:sz w:val="20"/>
          <w:szCs w:val="20"/>
        </w:rPr>
        <w:t xml:space="preserve">Also at </w:t>
      </w:r>
      <w:r w:rsidR="007B2C0A" w:rsidRPr="0023658A">
        <w:rPr>
          <w:rFonts w:eastAsia="SimSun"/>
          <w:sz w:val="20"/>
          <w:szCs w:val="20"/>
          <w:lang w:eastAsia="ar-SA"/>
        </w:rPr>
        <w:t>same meeting</w:t>
      </w:r>
      <w:r w:rsidR="007B2C0A" w:rsidRPr="0023658A">
        <w:rPr>
          <w:sz w:val="20"/>
          <w:szCs w:val="20"/>
        </w:rPr>
        <w:t xml:space="preserve">, the representatives of </w:t>
      </w:r>
      <w:r w:rsidR="007B2C0A" w:rsidRPr="007B2C0A">
        <w:rPr>
          <w:sz w:val="20"/>
          <w:szCs w:val="20"/>
        </w:rPr>
        <w:t>Australia</w:t>
      </w:r>
      <w:r w:rsidR="007B2C0A">
        <w:rPr>
          <w:sz w:val="20"/>
          <w:szCs w:val="20"/>
        </w:rPr>
        <w:t xml:space="preserve">, </w:t>
      </w:r>
      <w:r w:rsidR="007B2C0A" w:rsidRPr="007B2C0A">
        <w:rPr>
          <w:sz w:val="20"/>
          <w:szCs w:val="20"/>
        </w:rPr>
        <w:t xml:space="preserve">Brazil and Bulgaria </w:t>
      </w:r>
      <w:r w:rsidR="00157757" w:rsidRPr="00157757">
        <w:rPr>
          <w:sz w:val="20"/>
          <w:szCs w:val="20"/>
        </w:rPr>
        <w:t>(on behalf of States members of the European Union that are members of the Council)</w:t>
      </w:r>
      <w:r w:rsidR="007B2C0A">
        <w:rPr>
          <w:sz w:val="20"/>
          <w:szCs w:val="20"/>
        </w:rPr>
        <w:t xml:space="preserve"> </w:t>
      </w:r>
      <w:r w:rsidR="007B2C0A" w:rsidRPr="0023658A">
        <w:rPr>
          <w:sz w:val="20"/>
          <w:szCs w:val="20"/>
        </w:rPr>
        <w:t>made statements in explanation of vote before the vote.</w:t>
      </w:r>
    </w:p>
    <w:p w14:paraId="51BA740A" w14:textId="04633F74" w:rsidR="007B2C0A" w:rsidRPr="0023658A" w:rsidRDefault="002B4AE4" w:rsidP="007B2C0A">
      <w:pPr>
        <w:pStyle w:val="SingleTxtG"/>
        <w:rPr>
          <w:sz w:val="20"/>
          <w:szCs w:val="20"/>
        </w:rPr>
      </w:pPr>
      <w:r>
        <w:rPr>
          <w:sz w:val="20"/>
          <w:szCs w:val="20"/>
        </w:rPr>
        <w:t>193</w:t>
      </w:r>
      <w:r w:rsidR="007B2C0A" w:rsidRPr="0023658A">
        <w:rPr>
          <w:sz w:val="20"/>
          <w:szCs w:val="20"/>
        </w:rPr>
        <w:t>.</w:t>
      </w:r>
      <w:r w:rsidR="007B2C0A" w:rsidRPr="0023658A">
        <w:rPr>
          <w:sz w:val="20"/>
          <w:szCs w:val="20"/>
        </w:rPr>
        <w:tab/>
      </w:r>
      <w:r w:rsidR="00292834" w:rsidRPr="0023658A">
        <w:rPr>
          <w:rFonts w:eastAsia="SimSun"/>
          <w:sz w:val="20"/>
          <w:szCs w:val="20"/>
          <w:lang w:eastAsia="ar-SA"/>
        </w:rPr>
        <w:t xml:space="preserve">At the </w:t>
      </w:r>
      <w:r w:rsidR="007B2C0A" w:rsidRPr="0023658A">
        <w:rPr>
          <w:sz w:val="20"/>
          <w:szCs w:val="20"/>
        </w:rPr>
        <w:t xml:space="preserve">the same meeting, at the request of the representative of </w:t>
      </w:r>
      <w:r w:rsidR="00157757" w:rsidRPr="007B2C0A">
        <w:rPr>
          <w:sz w:val="20"/>
          <w:szCs w:val="20"/>
        </w:rPr>
        <w:t xml:space="preserve">Bulgaria </w:t>
      </w:r>
      <w:r w:rsidR="00157757" w:rsidRPr="00157757">
        <w:rPr>
          <w:sz w:val="20"/>
          <w:szCs w:val="20"/>
        </w:rPr>
        <w:t>(on behalf of States members of the European Union that are members of the Council)</w:t>
      </w:r>
      <w:r w:rsidR="007B2C0A" w:rsidRPr="0023658A">
        <w:rPr>
          <w:sz w:val="20"/>
          <w:szCs w:val="20"/>
        </w:rPr>
        <w:t>, a recorded vote was taken on the draft resolution. The voting was as follows:</w:t>
      </w:r>
    </w:p>
    <w:p w14:paraId="5D007432" w14:textId="77777777" w:rsidR="00157757" w:rsidRPr="00157757" w:rsidRDefault="00157757" w:rsidP="00157757">
      <w:pPr>
        <w:keepNext/>
        <w:keepLines/>
        <w:ind w:left="1701" w:right="1134"/>
        <w:jc w:val="both"/>
        <w:rPr>
          <w:rFonts w:eastAsia="SimSun"/>
          <w:i/>
          <w:sz w:val="20"/>
          <w:szCs w:val="20"/>
          <w:lang w:eastAsia="ar-SA"/>
        </w:rPr>
      </w:pPr>
      <w:r w:rsidRPr="00157757">
        <w:rPr>
          <w:rFonts w:eastAsia="SimSun"/>
          <w:i/>
          <w:sz w:val="20"/>
          <w:szCs w:val="20"/>
          <w:lang w:eastAsia="ar-SA"/>
        </w:rPr>
        <w:lastRenderedPageBreak/>
        <w:t>In favour</w:t>
      </w:r>
      <w:r w:rsidRPr="00157757">
        <w:rPr>
          <w:rFonts w:eastAsia="SimSun"/>
          <w:sz w:val="20"/>
          <w:szCs w:val="20"/>
          <w:lang w:eastAsia="ar-SA"/>
        </w:rPr>
        <w:t>:</w:t>
      </w:r>
      <w:r w:rsidRPr="00157757">
        <w:rPr>
          <w:rFonts w:eastAsia="SimSun"/>
          <w:i/>
          <w:sz w:val="20"/>
          <w:szCs w:val="20"/>
          <w:lang w:eastAsia="ar-SA"/>
        </w:rPr>
        <w:t xml:space="preserve"> </w:t>
      </w:r>
    </w:p>
    <w:p w14:paraId="75768DE8" w14:textId="77777777" w:rsidR="00157757" w:rsidRPr="00157757" w:rsidRDefault="00157757" w:rsidP="00157757">
      <w:pPr>
        <w:spacing w:after="120"/>
        <w:ind w:left="2268" w:right="1134"/>
        <w:jc w:val="both"/>
        <w:rPr>
          <w:rFonts w:eastAsia="SimSun"/>
          <w:sz w:val="20"/>
          <w:szCs w:val="20"/>
          <w:lang w:eastAsia="ar-SA"/>
        </w:rPr>
      </w:pPr>
      <w:r w:rsidRPr="00157757">
        <w:rPr>
          <w:rFonts w:eastAsia="SimSun"/>
          <w:sz w:val="20"/>
          <w:szCs w:val="20"/>
          <w:lang w:eastAsia="ar-SA"/>
        </w:rPr>
        <w:t>Angola, Bahamas, Bahrain, Bangladesh, Burkina Faso, Cameroon, Chile, China, Cuba, Democratic Republic of the Congo, Egypt, Eritrea, Fiji, India, Iraq, Nepal, Nigeria, Pakistan, Philippines, Qatar, Rwanda, Saudi Arabia, Somalia, South Africa, Togo, Tunisia, Uruguay</w:t>
      </w:r>
    </w:p>
    <w:p w14:paraId="602F0520" w14:textId="77777777" w:rsidR="00157757" w:rsidRPr="00157757" w:rsidRDefault="00157757" w:rsidP="00157757">
      <w:pPr>
        <w:ind w:left="1701" w:right="1134"/>
        <w:jc w:val="both"/>
        <w:rPr>
          <w:rFonts w:eastAsia="SimSun"/>
          <w:i/>
          <w:sz w:val="20"/>
          <w:szCs w:val="20"/>
          <w:lang w:eastAsia="ar-SA"/>
        </w:rPr>
      </w:pPr>
      <w:r w:rsidRPr="00157757">
        <w:rPr>
          <w:rFonts w:eastAsia="SimSun"/>
          <w:i/>
          <w:sz w:val="20"/>
          <w:szCs w:val="20"/>
          <w:lang w:eastAsia="ar-SA"/>
        </w:rPr>
        <w:t>Against</w:t>
      </w:r>
      <w:r w:rsidRPr="00157757">
        <w:rPr>
          <w:rFonts w:eastAsia="SimSun"/>
          <w:sz w:val="20"/>
          <w:szCs w:val="20"/>
          <w:lang w:eastAsia="ar-SA"/>
        </w:rPr>
        <w:t>:</w:t>
      </w:r>
      <w:r w:rsidRPr="00157757">
        <w:rPr>
          <w:rFonts w:eastAsia="SimSun"/>
          <w:i/>
          <w:sz w:val="20"/>
          <w:szCs w:val="20"/>
          <w:lang w:eastAsia="ar-SA"/>
        </w:rPr>
        <w:t xml:space="preserve"> </w:t>
      </w:r>
    </w:p>
    <w:p w14:paraId="06E4829B" w14:textId="77777777" w:rsidR="00157757" w:rsidRPr="00157757" w:rsidRDefault="00157757" w:rsidP="00157757">
      <w:pPr>
        <w:spacing w:after="120"/>
        <w:ind w:left="2268" w:right="1134"/>
        <w:jc w:val="both"/>
        <w:rPr>
          <w:rFonts w:eastAsia="SimSun"/>
          <w:sz w:val="20"/>
          <w:szCs w:val="20"/>
          <w:lang w:eastAsia="ar-SA"/>
        </w:rPr>
      </w:pPr>
      <w:r w:rsidRPr="00157757">
        <w:rPr>
          <w:rFonts w:eastAsia="SimSun"/>
          <w:sz w:val="20"/>
          <w:szCs w:val="20"/>
          <w:lang w:eastAsia="ar-SA"/>
        </w:rPr>
        <w:t>Australia, Austria, Brazil, Bulgaria, Croatia, Czechia, Denmark, Hungary, Iceland, Italy, Japan, Slovakia, Spain, Ukraine, United Kingdom of Great Britain and Northern Ireland</w:t>
      </w:r>
    </w:p>
    <w:p w14:paraId="07732FF5" w14:textId="77777777" w:rsidR="00157757" w:rsidRPr="00157757" w:rsidRDefault="00157757" w:rsidP="00157757">
      <w:pPr>
        <w:ind w:left="1701" w:right="1134"/>
        <w:jc w:val="both"/>
        <w:rPr>
          <w:rFonts w:eastAsia="SimSun"/>
          <w:i/>
          <w:sz w:val="20"/>
          <w:szCs w:val="20"/>
          <w:lang w:eastAsia="ar-SA"/>
        </w:rPr>
      </w:pPr>
      <w:r w:rsidRPr="00157757">
        <w:rPr>
          <w:rFonts w:eastAsia="SimSun"/>
          <w:i/>
          <w:sz w:val="20"/>
          <w:szCs w:val="20"/>
          <w:lang w:eastAsia="ar-SA"/>
        </w:rPr>
        <w:t>Abstaining</w:t>
      </w:r>
      <w:r w:rsidRPr="00157757">
        <w:rPr>
          <w:rFonts w:eastAsia="SimSun"/>
          <w:sz w:val="20"/>
          <w:szCs w:val="20"/>
          <w:lang w:eastAsia="ar-SA"/>
        </w:rPr>
        <w:t>:</w:t>
      </w:r>
      <w:r w:rsidRPr="00157757">
        <w:rPr>
          <w:rFonts w:eastAsia="SimSun"/>
          <w:i/>
          <w:sz w:val="20"/>
          <w:szCs w:val="20"/>
          <w:lang w:eastAsia="ar-SA"/>
        </w:rPr>
        <w:t xml:space="preserve"> </w:t>
      </w:r>
    </w:p>
    <w:p w14:paraId="510CF025" w14:textId="77777777" w:rsidR="00157757" w:rsidRPr="00157757" w:rsidRDefault="00157757" w:rsidP="00157757">
      <w:pPr>
        <w:spacing w:after="120"/>
        <w:ind w:left="2268" w:right="1134"/>
        <w:jc w:val="both"/>
        <w:rPr>
          <w:rFonts w:eastAsia="SimSun"/>
          <w:sz w:val="20"/>
          <w:szCs w:val="20"/>
          <w:lang w:eastAsia="ar-SA"/>
        </w:rPr>
      </w:pPr>
      <w:r w:rsidRPr="00157757">
        <w:rPr>
          <w:rFonts w:eastAsia="SimSun"/>
          <w:sz w:val="20"/>
          <w:szCs w:val="20"/>
          <w:lang w:eastAsia="ar-SA"/>
        </w:rPr>
        <w:t>Afghanistan, Argentina, Mexico, Peru, Senegal</w:t>
      </w:r>
    </w:p>
    <w:p w14:paraId="12E2BD13" w14:textId="4D032158" w:rsidR="007B2C0A" w:rsidRDefault="002B4AE4" w:rsidP="00157757">
      <w:pPr>
        <w:pStyle w:val="SingleTxtG"/>
        <w:rPr>
          <w:rFonts w:eastAsia="SimSun"/>
          <w:sz w:val="20"/>
          <w:szCs w:val="20"/>
          <w:lang w:eastAsia="ar-SA"/>
        </w:rPr>
      </w:pPr>
      <w:r>
        <w:rPr>
          <w:rFonts w:eastAsia="SimSun"/>
          <w:sz w:val="20"/>
          <w:szCs w:val="20"/>
          <w:lang w:eastAsia="ar-SA"/>
        </w:rPr>
        <w:t>194</w:t>
      </w:r>
      <w:r w:rsidR="007B2C0A" w:rsidRPr="0023658A">
        <w:rPr>
          <w:rFonts w:eastAsia="SimSun"/>
          <w:sz w:val="20"/>
          <w:szCs w:val="20"/>
          <w:lang w:eastAsia="ar-SA"/>
        </w:rPr>
        <w:t>.</w:t>
      </w:r>
      <w:r w:rsidR="007B2C0A" w:rsidRPr="0023658A">
        <w:rPr>
          <w:rFonts w:eastAsia="SimSun"/>
          <w:sz w:val="20"/>
          <w:szCs w:val="20"/>
          <w:lang w:eastAsia="ar-SA"/>
        </w:rPr>
        <w:tab/>
        <w:t>The draft resolution was adopted by 2</w:t>
      </w:r>
      <w:r w:rsidR="00157757">
        <w:rPr>
          <w:rFonts w:eastAsia="SimSun"/>
          <w:sz w:val="20"/>
          <w:szCs w:val="20"/>
          <w:lang w:eastAsia="ar-SA"/>
        </w:rPr>
        <w:t>7</w:t>
      </w:r>
      <w:r w:rsidR="007B2C0A" w:rsidRPr="0023658A">
        <w:rPr>
          <w:sz w:val="20"/>
          <w:szCs w:val="20"/>
          <w:lang w:eastAsia="ar-SA"/>
        </w:rPr>
        <w:t xml:space="preserve"> votes to </w:t>
      </w:r>
      <w:r w:rsidR="00157757">
        <w:rPr>
          <w:sz w:val="20"/>
          <w:szCs w:val="20"/>
          <w:lang w:eastAsia="ar-SA"/>
        </w:rPr>
        <w:t>15</w:t>
      </w:r>
      <w:r w:rsidR="007B2C0A" w:rsidRPr="0023658A">
        <w:rPr>
          <w:sz w:val="20"/>
          <w:szCs w:val="20"/>
          <w:lang w:eastAsia="ar-SA"/>
        </w:rPr>
        <w:t xml:space="preserve">, with </w:t>
      </w:r>
      <w:r w:rsidR="00157757">
        <w:rPr>
          <w:sz w:val="20"/>
          <w:szCs w:val="20"/>
          <w:lang w:eastAsia="ar-SA"/>
        </w:rPr>
        <w:t>5</w:t>
      </w:r>
      <w:r w:rsidR="007B2C0A" w:rsidRPr="0023658A">
        <w:rPr>
          <w:sz w:val="20"/>
          <w:szCs w:val="20"/>
          <w:lang w:eastAsia="ar-SA"/>
        </w:rPr>
        <w:t xml:space="preserve"> abstentions</w:t>
      </w:r>
      <w:r w:rsidR="007B2C0A" w:rsidRPr="0023658A">
        <w:rPr>
          <w:rFonts w:eastAsia="SimSun"/>
          <w:sz w:val="20"/>
          <w:szCs w:val="20"/>
          <w:lang w:eastAsia="ar-SA"/>
        </w:rPr>
        <w:t xml:space="preserve"> (resolution </w:t>
      </w:r>
      <w:r w:rsidR="007B2C0A">
        <w:rPr>
          <w:rFonts w:eastAsia="SimSun"/>
          <w:sz w:val="20"/>
          <w:szCs w:val="20"/>
          <w:lang w:eastAsia="ar-SA"/>
        </w:rPr>
        <w:t>40/</w:t>
      </w:r>
      <w:r w:rsidR="00157757">
        <w:rPr>
          <w:rFonts w:eastAsia="SimSun"/>
          <w:sz w:val="20"/>
          <w:szCs w:val="20"/>
          <w:lang w:eastAsia="ar-SA"/>
        </w:rPr>
        <w:t>3</w:t>
      </w:r>
      <w:r w:rsidR="007B2C0A" w:rsidRPr="0023658A">
        <w:rPr>
          <w:rFonts w:eastAsia="SimSun"/>
          <w:sz w:val="20"/>
          <w:szCs w:val="20"/>
          <w:lang w:eastAsia="ar-SA"/>
        </w:rPr>
        <w:t>).</w:t>
      </w:r>
    </w:p>
    <w:p w14:paraId="6486942C" w14:textId="7E95D057" w:rsidR="003049B0" w:rsidRPr="0023658A" w:rsidRDefault="002B4AE4" w:rsidP="00157757">
      <w:pPr>
        <w:pStyle w:val="SingleTxtG"/>
        <w:rPr>
          <w:rFonts w:eastAsia="SimSun"/>
          <w:sz w:val="20"/>
          <w:szCs w:val="20"/>
          <w:lang w:eastAsia="ar-SA"/>
        </w:rPr>
      </w:pPr>
      <w:r>
        <w:rPr>
          <w:rFonts w:eastAsia="SimSun"/>
          <w:sz w:val="20"/>
          <w:szCs w:val="20"/>
          <w:lang w:eastAsia="ar-SA"/>
        </w:rPr>
        <w:t>195</w:t>
      </w:r>
      <w:r w:rsidR="003049B0" w:rsidRPr="000B65FE">
        <w:rPr>
          <w:rFonts w:eastAsia="SimSun"/>
          <w:sz w:val="20"/>
          <w:szCs w:val="20"/>
          <w:lang w:eastAsia="ar-SA"/>
        </w:rPr>
        <w:t>.</w:t>
      </w:r>
      <w:r w:rsidR="003049B0" w:rsidRPr="000B65FE">
        <w:rPr>
          <w:rFonts w:eastAsia="SimSun"/>
          <w:sz w:val="20"/>
          <w:szCs w:val="20"/>
          <w:lang w:eastAsia="ar-SA"/>
        </w:rPr>
        <w:tab/>
        <w:t xml:space="preserve">At the </w:t>
      </w:r>
      <w:r w:rsidR="003049B0">
        <w:rPr>
          <w:rFonts w:eastAsia="SimSun"/>
          <w:sz w:val="20"/>
          <w:szCs w:val="20"/>
          <w:lang w:eastAsia="ar-SA"/>
        </w:rPr>
        <w:t xml:space="preserve">53rd </w:t>
      </w:r>
      <w:r w:rsidR="003049B0" w:rsidRPr="000B65FE">
        <w:rPr>
          <w:rFonts w:eastAsia="SimSun"/>
          <w:sz w:val="20"/>
          <w:szCs w:val="20"/>
          <w:lang w:eastAsia="ar-SA"/>
        </w:rPr>
        <w:t xml:space="preserve">meeting, </w:t>
      </w:r>
      <w:r w:rsidR="003049B0">
        <w:rPr>
          <w:rFonts w:eastAsia="SimSun"/>
          <w:sz w:val="20"/>
          <w:szCs w:val="20"/>
          <w:lang w:eastAsia="ar-SA"/>
        </w:rPr>
        <w:t xml:space="preserve">on 22 March 2019, </w:t>
      </w:r>
      <w:r w:rsidR="003049B0" w:rsidRPr="000B65FE">
        <w:rPr>
          <w:rFonts w:eastAsia="SimSun"/>
          <w:sz w:val="20"/>
          <w:szCs w:val="20"/>
          <w:lang w:eastAsia="ar-SA"/>
        </w:rPr>
        <w:t xml:space="preserve">the representative of </w:t>
      </w:r>
      <w:r w:rsidR="003049B0">
        <w:rPr>
          <w:rFonts w:eastAsia="SimSun"/>
          <w:sz w:val="20"/>
          <w:szCs w:val="20"/>
          <w:lang w:eastAsia="ar-SA"/>
        </w:rPr>
        <w:t>Chile</w:t>
      </w:r>
      <w:r w:rsidR="003049B0" w:rsidRPr="000B65FE">
        <w:rPr>
          <w:rFonts w:eastAsia="SimSun"/>
          <w:sz w:val="20"/>
          <w:szCs w:val="20"/>
          <w:lang w:eastAsia="ar-SA"/>
        </w:rPr>
        <w:t xml:space="preserve"> made a statement in explanation of vote after the vote. </w:t>
      </w:r>
      <w:r w:rsidR="00D25225" w:rsidRPr="00D25225">
        <w:rPr>
          <w:rFonts w:eastAsia="SimSun"/>
          <w:sz w:val="20"/>
          <w:szCs w:val="20"/>
          <w:lang w:eastAsia="ar-SA"/>
        </w:rPr>
        <w:t xml:space="preserve">In </w:t>
      </w:r>
      <w:r w:rsidR="00D25225">
        <w:rPr>
          <w:rFonts w:eastAsia="SimSun"/>
          <w:sz w:val="20"/>
          <w:szCs w:val="20"/>
          <w:lang w:eastAsia="ar-SA"/>
        </w:rPr>
        <w:t>his</w:t>
      </w:r>
      <w:r w:rsidR="00D25225" w:rsidRPr="00D25225">
        <w:rPr>
          <w:rFonts w:eastAsia="SimSun"/>
          <w:sz w:val="20"/>
          <w:szCs w:val="20"/>
          <w:lang w:eastAsia="ar-SA"/>
        </w:rPr>
        <w:t xml:space="preserve"> statement, the representative of </w:t>
      </w:r>
      <w:r w:rsidR="00D25225">
        <w:rPr>
          <w:rFonts w:eastAsia="SimSun"/>
          <w:sz w:val="20"/>
          <w:szCs w:val="20"/>
          <w:lang w:eastAsia="ar-SA"/>
        </w:rPr>
        <w:t>Chile</w:t>
      </w:r>
      <w:r w:rsidR="00D25225" w:rsidRPr="00D25225">
        <w:rPr>
          <w:rFonts w:eastAsia="SimSun"/>
          <w:sz w:val="20"/>
          <w:szCs w:val="20"/>
          <w:lang w:eastAsia="ar-SA"/>
        </w:rPr>
        <w:t xml:space="preserve"> disassociated the delegation from the consensus on the draft resolution</w:t>
      </w:r>
      <w:r w:rsidR="00D25225">
        <w:rPr>
          <w:rFonts w:eastAsia="SimSun"/>
          <w:sz w:val="20"/>
          <w:szCs w:val="20"/>
          <w:lang w:eastAsia="ar-SA"/>
        </w:rPr>
        <w:t>.</w:t>
      </w:r>
    </w:p>
    <w:p w14:paraId="5752C8C4" w14:textId="1CA409AE" w:rsidR="00157757" w:rsidRPr="00326BEB" w:rsidRDefault="00157757" w:rsidP="00157757">
      <w:pPr>
        <w:pStyle w:val="H23G"/>
        <w:rPr>
          <w:sz w:val="20"/>
          <w:szCs w:val="20"/>
        </w:rPr>
      </w:pPr>
      <w:r>
        <w:rPr>
          <w:sz w:val="20"/>
          <w:szCs w:val="20"/>
        </w:rPr>
        <w:tab/>
      </w:r>
      <w:r>
        <w:rPr>
          <w:sz w:val="20"/>
          <w:szCs w:val="20"/>
        </w:rPr>
        <w:tab/>
      </w:r>
      <w:r w:rsidRPr="00157757">
        <w:rPr>
          <w:sz w:val="20"/>
          <w:szCs w:val="20"/>
        </w:rPr>
        <w:t>The negative impact of the non-repatriation of funds of illicit origin to the countries of origin on the enjoyment of human rights, and the importance of improving international cooperation</w:t>
      </w:r>
    </w:p>
    <w:p w14:paraId="1DECE76A" w14:textId="7C1E5351" w:rsidR="00157757" w:rsidRDefault="002B4AE4" w:rsidP="00157757">
      <w:pPr>
        <w:pStyle w:val="SingleTxtG"/>
        <w:rPr>
          <w:sz w:val="20"/>
          <w:szCs w:val="20"/>
        </w:rPr>
      </w:pPr>
      <w:r>
        <w:rPr>
          <w:sz w:val="20"/>
          <w:szCs w:val="20"/>
        </w:rPr>
        <w:t>196</w:t>
      </w:r>
      <w:r w:rsidR="00157757" w:rsidRPr="00326BEB">
        <w:rPr>
          <w:sz w:val="20"/>
          <w:szCs w:val="20"/>
        </w:rPr>
        <w:t>.</w:t>
      </w:r>
      <w:r w:rsidR="00157757" w:rsidRPr="00326BEB">
        <w:rPr>
          <w:sz w:val="20"/>
          <w:szCs w:val="20"/>
        </w:rPr>
        <w:tab/>
        <w:t xml:space="preserve">At the </w:t>
      </w:r>
      <w:r w:rsidR="00157757">
        <w:rPr>
          <w:sz w:val="20"/>
          <w:szCs w:val="20"/>
        </w:rPr>
        <w:t>52nd</w:t>
      </w:r>
      <w:r w:rsidR="00157757" w:rsidRPr="00326BEB">
        <w:rPr>
          <w:sz w:val="20"/>
          <w:szCs w:val="20"/>
        </w:rPr>
        <w:t xml:space="preserve"> meeting, on </w:t>
      </w:r>
      <w:r w:rsidR="00157757">
        <w:rPr>
          <w:sz w:val="20"/>
          <w:szCs w:val="20"/>
        </w:rPr>
        <w:t>21 March 2019</w:t>
      </w:r>
      <w:r w:rsidR="00157757" w:rsidRPr="00326BEB">
        <w:rPr>
          <w:sz w:val="20"/>
          <w:szCs w:val="20"/>
        </w:rPr>
        <w:t xml:space="preserve">, the representative of </w:t>
      </w:r>
      <w:r w:rsidR="006E1F57" w:rsidRPr="006E1F57">
        <w:rPr>
          <w:sz w:val="20"/>
          <w:szCs w:val="20"/>
        </w:rPr>
        <w:t>Angola (on behalf of the Group of African States)</w:t>
      </w:r>
      <w:r w:rsidR="00157757">
        <w:rPr>
          <w:sz w:val="20"/>
          <w:szCs w:val="20"/>
        </w:rPr>
        <w:t xml:space="preserve"> </w:t>
      </w:r>
      <w:r w:rsidR="00157757" w:rsidRPr="00326BEB">
        <w:rPr>
          <w:sz w:val="20"/>
          <w:szCs w:val="20"/>
        </w:rPr>
        <w:t>introduced draft resolution A/HRC/</w:t>
      </w:r>
      <w:r w:rsidR="00157757">
        <w:rPr>
          <w:sz w:val="20"/>
          <w:szCs w:val="20"/>
        </w:rPr>
        <w:t>40</w:t>
      </w:r>
      <w:r w:rsidR="00157757" w:rsidRPr="00326BEB">
        <w:rPr>
          <w:sz w:val="20"/>
          <w:szCs w:val="20"/>
        </w:rPr>
        <w:t>/L.</w:t>
      </w:r>
      <w:r w:rsidR="006E1F57">
        <w:rPr>
          <w:sz w:val="20"/>
          <w:szCs w:val="20"/>
        </w:rPr>
        <w:t>9</w:t>
      </w:r>
      <w:r w:rsidR="00157757" w:rsidRPr="00326BEB">
        <w:rPr>
          <w:sz w:val="20"/>
          <w:szCs w:val="20"/>
        </w:rPr>
        <w:t xml:space="preserve">, sponsored by </w:t>
      </w:r>
      <w:r w:rsidR="006E1F57" w:rsidRPr="006E1F57">
        <w:rPr>
          <w:sz w:val="20"/>
          <w:szCs w:val="20"/>
        </w:rPr>
        <w:t>Angola (on behalf of the Group of African States)</w:t>
      </w:r>
      <w:r w:rsidR="006E1F57">
        <w:rPr>
          <w:sz w:val="20"/>
          <w:szCs w:val="20"/>
        </w:rPr>
        <w:t xml:space="preserve"> and co-sponsored by </w:t>
      </w:r>
      <w:r w:rsidR="006E1F57" w:rsidRPr="006E1F57">
        <w:rPr>
          <w:sz w:val="20"/>
          <w:szCs w:val="20"/>
        </w:rPr>
        <w:t>Bahrain (on behalf of the Group of Arab States)</w:t>
      </w:r>
      <w:r w:rsidR="00157757" w:rsidRPr="00326BEB">
        <w:rPr>
          <w:sz w:val="20"/>
          <w:szCs w:val="20"/>
        </w:rPr>
        <w:t xml:space="preserve">. Subsequently, </w:t>
      </w:r>
      <w:r w:rsidR="006E1F57" w:rsidRPr="006E1F57">
        <w:rPr>
          <w:sz w:val="20"/>
          <w:szCs w:val="20"/>
        </w:rPr>
        <w:t>Bangladesh</w:t>
      </w:r>
      <w:r w:rsidR="006E1F57">
        <w:rPr>
          <w:sz w:val="20"/>
          <w:szCs w:val="20"/>
        </w:rPr>
        <w:t xml:space="preserve">, </w:t>
      </w:r>
      <w:r w:rsidR="006E1F57" w:rsidRPr="006E1F57">
        <w:rPr>
          <w:sz w:val="20"/>
          <w:szCs w:val="20"/>
        </w:rPr>
        <w:t>Ecuador</w:t>
      </w:r>
      <w:r w:rsidR="006E1F57">
        <w:rPr>
          <w:sz w:val="20"/>
          <w:szCs w:val="20"/>
        </w:rPr>
        <w:t xml:space="preserve">, El Salvador, </w:t>
      </w:r>
      <w:r w:rsidR="006E1F57" w:rsidRPr="006E1F57">
        <w:rPr>
          <w:sz w:val="20"/>
          <w:szCs w:val="20"/>
        </w:rPr>
        <w:t>Indonesia</w:t>
      </w:r>
      <w:r w:rsidR="006E1F57">
        <w:rPr>
          <w:sz w:val="20"/>
          <w:szCs w:val="20"/>
        </w:rPr>
        <w:t xml:space="preserve"> and Maldives </w:t>
      </w:r>
      <w:r w:rsidR="00157757" w:rsidRPr="00326BEB">
        <w:rPr>
          <w:sz w:val="20"/>
          <w:szCs w:val="20"/>
        </w:rPr>
        <w:t>joined the sponsors.</w:t>
      </w:r>
    </w:p>
    <w:p w14:paraId="247689AD" w14:textId="6B426C28" w:rsidR="00157757" w:rsidRDefault="002B4AE4" w:rsidP="00157757">
      <w:pPr>
        <w:spacing w:after="120"/>
        <w:ind w:left="1134" w:right="1134"/>
        <w:jc w:val="both"/>
        <w:rPr>
          <w:sz w:val="20"/>
          <w:szCs w:val="20"/>
        </w:rPr>
      </w:pPr>
      <w:r>
        <w:rPr>
          <w:sz w:val="20"/>
          <w:szCs w:val="20"/>
        </w:rPr>
        <w:t>197</w:t>
      </w:r>
      <w:r w:rsidR="00157757" w:rsidRPr="00E86201">
        <w:rPr>
          <w:sz w:val="20"/>
          <w:szCs w:val="20"/>
        </w:rPr>
        <w:t>.</w:t>
      </w:r>
      <w:r w:rsidR="00157757" w:rsidRPr="00E86201">
        <w:rPr>
          <w:sz w:val="20"/>
          <w:szCs w:val="20"/>
        </w:rPr>
        <w:tab/>
        <w:t xml:space="preserve">At the same meeting, the representative of </w:t>
      </w:r>
      <w:r w:rsidR="00292834" w:rsidRPr="00292834">
        <w:rPr>
          <w:sz w:val="20"/>
          <w:szCs w:val="20"/>
        </w:rPr>
        <w:t>Tunisia (</w:t>
      </w:r>
      <w:r w:rsidR="00292834">
        <w:rPr>
          <w:sz w:val="20"/>
          <w:szCs w:val="20"/>
        </w:rPr>
        <w:t xml:space="preserve">also </w:t>
      </w:r>
      <w:r w:rsidR="00292834" w:rsidRPr="00292834">
        <w:rPr>
          <w:sz w:val="20"/>
          <w:szCs w:val="20"/>
        </w:rPr>
        <w:t>on behalf of Egypt and Libya)</w:t>
      </w:r>
      <w:r w:rsidR="00292834">
        <w:rPr>
          <w:sz w:val="20"/>
          <w:szCs w:val="20"/>
        </w:rPr>
        <w:t xml:space="preserve"> </w:t>
      </w:r>
      <w:r w:rsidR="00157757" w:rsidRPr="00E86201">
        <w:rPr>
          <w:sz w:val="20"/>
          <w:szCs w:val="20"/>
        </w:rPr>
        <w:t>made general comments on the draft resolution.</w:t>
      </w:r>
    </w:p>
    <w:p w14:paraId="7FFA5989" w14:textId="077A916F" w:rsidR="00292834" w:rsidRPr="00326BEB" w:rsidRDefault="002B4AE4" w:rsidP="00292834">
      <w:pPr>
        <w:spacing w:after="120"/>
        <w:ind w:left="1134" w:right="1134"/>
        <w:jc w:val="both"/>
        <w:rPr>
          <w:sz w:val="20"/>
          <w:szCs w:val="20"/>
        </w:rPr>
      </w:pPr>
      <w:r>
        <w:rPr>
          <w:sz w:val="20"/>
          <w:szCs w:val="20"/>
        </w:rPr>
        <w:t>198</w:t>
      </w:r>
      <w:r w:rsidR="00292834" w:rsidRPr="00326BEB">
        <w:rPr>
          <w:sz w:val="20"/>
          <w:szCs w:val="20"/>
        </w:rPr>
        <w:t>.</w:t>
      </w:r>
      <w:r w:rsidR="00292834" w:rsidRPr="00326BEB">
        <w:rPr>
          <w:sz w:val="20"/>
          <w:szCs w:val="20"/>
        </w:rPr>
        <w:tab/>
        <w:t>In accordance with rule 153 of the rules of procedure of the General Assembly, the attention of the Human Rights Council was drawn to the estimated administrative and programme budget implications of the draft resolution.</w:t>
      </w:r>
    </w:p>
    <w:p w14:paraId="728C8637" w14:textId="537B68FC" w:rsidR="00157757" w:rsidRPr="0023658A" w:rsidRDefault="002B4AE4" w:rsidP="00157757">
      <w:pPr>
        <w:pStyle w:val="SingleTxtG"/>
        <w:rPr>
          <w:sz w:val="20"/>
          <w:szCs w:val="20"/>
        </w:rPr>
      </w:pPr>
      <w:r>
        <w:rPr>
          <w:sz w:val="20"/>
          <w:szCs w:val="20"/>
        </w:rPr>
        <w:t>199</w:t>
      </w:r>
      <w:r w:rsidR="00157757" w:rsidRPr="0023658A">
        <w:rPr>
          <w:sz w:val="20"/>
          <w:szCs w:val="20"/>
        </w:rPr>
        <w:t>.</w:t>
      </w:r>
      <w:r w:rsidR="00157757" w:rsidRPr="0023658A">
        <w:rPr>
          <w:sz w:val="20"/>
          <w:szCs w:val="20"/>
        </w:rPr>
        <w:tab/>
      </w:r>
      <w:r w:rsidR="00157757" w:rsidRPr="0023658A">
        <w:rPr>
          <w:rFonts w:eastAsia="SimSun"/>
          <w:sz w:val="20"/>
          <w:szCs w:val="20"/>
          <w:lang w:eastAsia="ar-SA"/>
        </w:rPr>
        <w:t>At the same meeting</w:t>
      </w:r>
      <w:r w:rsidR="00157757" w:rsidRPr="0023658A">
        <w:rPr>
          <w:sz w:val="20"/>
          <w:szCs w:val="20"/>
        </w:rPr>
        <w:t xml:space="preserve">, the representatives of </w:t>
      </w:r>
      <w:r w:rsidR="00292834" w:rsidRPr="00292834">
        <w:rPr>
          <w:sz w:val="20"/>
          <w:szCs w:val="20"/>
        </w:rPr>
        <w:t>Argentina</w:t>
      </w:r>
      <w:r w:rsidR="00292834">
        <w:rPr>
          <w:sz w:val="20"/>
          <w:szCs w:val="20"/>
        </w:rPr>
        <w:t xml:space="preserve">, </w:t>
      </w:r>
      <w:r w:rsidR="00292834" w:rsidRPr="00292834">
        <w:rPr>
          <w:sz w:val="20"/>
          <w:szCs w:val="20"/>
        </w:rPr>
        <w:t>Australia</w:t>
      </w:r>
      <w:r w:rsidR="00292834">
        <w:rPr>
          <w:sz w:val="20"/>
          <w:szCs w:val="20"/>
        </w:rPr>
        <w:t>,</w:t>
      </w:r>
      <w:r w:rsidR="00292834" w:rsidRPr="00292834">
        <w:rPr>
          <w:sz w:val="20"/>
          <w:szCs w:val="20"/>
        </w:rPr>
        <w:t xml:space="preserve"> </w:t>
      </w:r>
      <w:r w:rsidR="00292834" w:rsidRPr="007B2C0A">
        <w:rPr>
          <w:sz w:val="20"/>
          <w:szCs w:val="20"/>
        </w:rPr>
        <w:t xml:space="preserve">Bulgaria </w:t>
      </w:r>
      <w:r w:rsidR="00292834" w:rsidRPr="00157757">
        <w:rPr>
          <w:sz w:val="20"/>
          <w:szCs w:val="20"/>
        </w:rPr>
        <w:t>(on behalf of States members of the European Union that are members of the Council)</w:t>
      </w:r>
      <w:r w:rsidR="00292834">
        <w:rPr>
          <w:sz w:val="20"/>
          <w:szCs w:val="20"/>
        </w:rPr>
        <w:t xml:space="preserve"> and </w:t>
      </w:r>
      <w:r w:rsidR="00292834" w:rsidRPr="00292834">
        <w:rPr>
          <w:sz w:val="20"/>
          <w:szCs w:val="20"/>
        </w:rPr>
        <w:t>Japan</w:t>
      </w:r>
      <w:r w:rsidR="00292834">
        <w:rPr>
          <w:sz w:val="20"/>
          <w:szCs w:val="20"/>
        </w:rPr>
        <w:t xml:space="preserve"> </w:t>
      </w:r>
      <w:r w:rsidR="00157757" w:rsidRPr="0023658A">
        <w:rPr>
          <w:sz w:val="20"/>
          <w:szCs w:val="20"/>
        </w:rPr>
        <w:t>made statements in explanation of vote before the vote.</w:t>
      </w:r>
    </w:p>
    <w:p w14:paraId="1405DA0E" w14:textId="0CE00C60" w:rsidR="00157757" w:rsidRPr="0023658A" w:rsidRDefault="002B4AE4" w:rsidP="00157757">
      <w:pPr>
        <w:pStyle w:val="SingleTxtG"/>
        <w:rPr>
          <w:sz w:val="20"/>
          <w:szCs w:val="20"/>
        </w:rPr>
      </w:pPr>
      <w:r>
        <w:rPr>
          <w:sz w:val="20"/>
          <w:szCs w:val="20"/>
        </w:rPr>
        <w:t>200</w:t>
      </w:r>
      <w:r w:rsidR="00157757" w:rsidRPr="0023658A">
        <w:rPr>
          <w:sz w:val="20"/>
          <w:szCs w:val="20"/>
        </w:rPr>
        <w:t>.</w:t>
      </w:r>
      <w:r w:rsidR="00157757" w:rsidRPr="0023658A">
        <w:rPr>
          <w:sz w:val="20"/>
          <w:szCs w:val="20"/>
        </w:rPr>
        <w:tab/>
        <w:t xml:space="preserve">Also at the same meeting, at the request of the representative of </w:t>
      </w:r>
      <w:r w:rsidR="001325A3">
        <w:rPr>
          <w:sz w:val="20"/>
          <w:szCs w:val="20"/>
        </w:rPr>
        <w:t>Japan</w:t>
      </w:r>
      <w:r w:rsidR="00157757" w:rsidRPr="0023658A">
        <w:rPr>
          <w:sz w:val="20"/>
          <w:szCs w:val="20"/>
        </w:rPr>
        <w:t>, a recorded vote was taken on the draft resolution. The voting was as follows:</w:t>
      </w:r>
    </w:p>
    <w:p w14:paraId="33C4958E" w14:textId="77777777" w:rsidR="001325A3" w:rsidRPr="001325A3" w:rsidRDefault="001325A3" w:rsidP="001325A3">
      <w:pPr>
        <w:keepNext/>
        <w:keepLines/>
        <w:ind w:left="1701" w:right="1134"/>
        <w:jc w:val="both"/>
        <w:rPr>
          <w:rFonts w:eastAsia="SimSun"/>
          <w:i/>
          <w:sz w:val="20"/>
          <w:szCs w:val="20"/>
          <w:lang w:eastAsia="ar-SA"/>
        </w:rPr>
      </w:pPr>
      <w:r w:rsidRPr="001325A3">
        <w:rPr>
          <w:rFonts w:eastAsia="SimSun"/>
          <w:i/>
          <w:sz w:val="20"/>
          <w:szCs w:val="20"/>
          <w:lang w:eastAsia="ar-SA"/>
        </w:rPr>
        <w:t>In favour</w:t>
      </w:r>
      <w:r w:rsidRPr="001325A3">
        <w:rPr>
          <w:rFonts w:eastAsia="SimSun"/>
          <w:sz w:val="20"/>
          <w:szCs w:val="20"/>
          <w:lang w:eastAsia="ar-SA"/>
        </w:rPr>
        <w:t>:</w:t>
      </w:r>
      <w:r w:rsidRPr="001325A3">
        <w:rPr>
          <w:rFonts w:eastAsia="SimSun"/>
          <w:i/>
          <w:sz w:val="20"/>
          <w:szCs w:val="20"/>
          <w:lang w:eastAsia="ar-SA"/>
        </w:rPr>
        <w:t xml:space="preserve"> </w:t>
      </w:r>
    </w:p>
    <w:p w14:paraId="17AA2A00" w14:textId="77777777" w:rsidR="001325A3" w:rsidRPr="001325A3" w:rsidRDefault="001325A3" w:rsidP="001325A3">
      <w:pPr>
        <w:spacing w:after="120"/>
        <w:ind w:left="2268" w:right="1134"/>
        <w:jc w:val="both"/>
        <w:rPr>
          <w:rFonts w:eastAsia="SimSun"/>
          <w:sz w:val="20"/>
          <w:szCs w:val="20"/>
          <w:lang w:eastAsia="ar-SA"/>
        </w:rPr>
      </w:pPr>
      <w:r w:rsidRPr="001325A3">
        <w:rPr>
          <w:rFonts w:eastAsia="SimSun"/>
          <w:sz w:val="20"/>
          <w:szCs w:val="20"/>
          <w:lang w:eastAsia="ar-SA"/>
        </w:rPr>
        <w:t>Afghanistan, Angola, Argentina, Bahrain, Bangladesh, Brazil, Burkina Faso, Cameroon, Chile, China, Cuba, Democratic Republic of the Congo, Egypt, Eritrea, Fiji, India, Iraq, Nepal, Nigeria, Pakistan, Peru, Philippines, Qatar, Rwanda, Saudi Arabia, Senegal, Somalia, South Africa, Togo, Tunisia, Uruguay</w:t>
      </w:r>
    </w:p>
    <w:p w14:paraId="761A0B6D" w14:textId="77777777" w:rsidR="001325A3" w:rsidRPr="001325A3" w:rsidRDefault="001325A3" w:rsidP="001325A3">
      <w:pPr>
        <w:ind w:left="1701" w:right="1134"/>
        <w:jc w:val="both"/>
        <w:rPr>
          <w:rFonts w:eastAsia="SimSun"/>
          <w:i/>
          <w:sz w:val="20"/>
          <w:szCs w:val="20"/>
          <w:lang w:eastAsia="ar-SA"/>
        </w:rPr>
      </w:pPr>
      <w:r w:rsidRPr="001325A3">
        <w:rPr>
          <w:rFonts w:eastAsia="SimSun"/>
          <w:i/>
          <w:sz w:val="20"/>
          <w:szCs w:val="20"/>
          <w:lang w:eastAsia="ar-SA"/>
        </w:rPr>
        <w:t>Against</w:t>
      </w:r>
      <w:r w:rsidRPr="001325A3">
        <w:rPr>
          <w:rFonts w:eastAsia="SimSun"/>
          <w:sz w:val="20"/>
          <w:szCs w:val="20"/>
          <w:lang w:eastAsia="ar-SA"/>
        </w:rPr>
        <w:t>:</w:t>
      </w:r>
      <w:r w:rsidRPr="001325A3">
        <w:rPr>
          <w:rFonts w:eastAsia="SimSun"/>
          <w:i/>
          <w:sz w:val="20"/>
          <w:szCs w:val="20"/>
          <w:lang w:eastAsia="ar-SA"/>
        </w:rPr>
        <w:t xml:space="preserve"> </w:t>
      </w:r>
    </w:p>
    <w:p w14:paraId="60355519" w14:textId="77777777" w:rsidR="001325A3" w:rsidRPr="001325A3" w:rsidRDefault="001325A3" w:rsidP="001325A3">
      <w:pPr>
        <w:spacing w:after="120"/>
        <w:ind w:left="2268" w:right="1134"/>
        <w:jc w:val="both"/>
        <w:rPr>
          <w:rFonts w:eastAsia="SimSun"/>
          <w:sz w:val="20"/>
          <w:szCs w:val="20"/>
          <w:lang w:eastAsia="ar-SA"/>
        </w:rPr>
      </w:pPr>
      <w:r w:rsidRPr="001325A3">
        <w:rPr>
          <w:rFonts w:eastAsia="SimSun"/>
          <w:sz w:val="20"/>
          <w:szCs w:val="20"/>
          <w:lang w:eastAsia="ar-SA"/>
        </w:rPr>
        <w:t>Japan, Ukraine</w:t>
      </w:r>
    </w:p>
    <w:p w14:paraId="790E8DB3" w14:textId="77777777" w:rsidR="001325A3" w:rsidRPr="001325A3" w:rsidRDefault="001325A3" w:rsidP="001325A3">
      <w:pPr>
        <w:ind w:left="1701" w:right="1134"/>
        <w:jc w:val="both"/>
        <w:rPr>
          <w:rFonts w:eastAsia="SimSun"/>
          <w:i/>
          <w:sz w:val="20"/>
          <w:szCs w:val="20"/>
          <w:lang w:eastAsia="ar-SA"/>
        </w:rPr>
      </w:pPr>
      <w:r w:rsidRPr="001325A3">
        <w:rPr>
          <w:rFonts w:eastAsia="SimSun"/>
          <w:i/>
          <w:sz w:val="20"/>
          <w:szCs w:val="20"/>
          <w:lang w:eastAsia="ar-SA"/>
        </w:rPr>
        <w:t>Abstaining</w:t>
      </w:r>
      <w:r w:rsidRPr="001325A3">
        <w:rPr>
          <w:rFonts w:eastAsia="SimSun"/>
          <w:sz w:val="20"/>
          <w:szCs w:val="20"/>
          <w:lang w:eastAsia="ar-SA"/>
        </w:rPr>
        <w:t>:</w:t>
      </w:r>
      <w:r w:rsidRPr="001325A3">
        <w:rPr>
          <w:rFonts w:eastAsia="SimSun"/>
          <w:i/>
          <w:sz w:val="20"/>
          <w:szCs w:val="20"/>
          <w:lang w:eastAsia="ar-SA"/>
        </w:rPr>
        <w:t xml:space="preserve"> </w:t>
      </w:r>
    </w:p>
    <w:p w14:paraId="39450086" w14:textId="77777777" w:rsidR="001325A3" w:rsidRPr="001325A3" w:rsidRDefault="001325A3" w:rsidP="001325A3">
      <w:pPr>
        <w:spacing w:after="120"/>
        <w:ind w:left="2268" w:right="1134"/>
        <w:jc w:val="both"/>
        <w:rPr>
          <w:rFonts w:eastAsia="SimSun"/>
          <w:sz w:val="20"/>
          <w:szCs w:val="20"/>
          <w:lang w:eastAsia="ar-SA"/>
        </w:rPr>
      </w:pPr>
      <w:r w:rsidRPr="001325A3">
        <w:rPr>
          <w:rFonts w:eastAsia="SimSun"/>
          <w:sz w:val="20"/>
          <w:szCs w:val="20"/>
          <w:lang w:eastAsia="ar-SA"/>
        </w:rPr>
        <w:t>Australia, Austria, Bahamas, Bulgaria, Croatia, Czechia, Denmark, Hungary, Iceland, Italy, Mexico, Slovakia, Spain, United Kingdom of Great Britain and Northern Ireland</w:t>
      </w:r>
    </w:p>
    <w:p w14:paraId="77125706" w14:textId="2A7A9DBA" w:rsidR="00157757" w:rsidRDefault="002B4AE4" w:rsidP="001325A3">
      <w:pPr>
        <w:pStyle w:val="SingleTxtG"/>
        <w:rPr>
          <w:rFonts w:eastAsia="SimSun"/>
          <w:sz w:val="20"/>
          <w:szCs w:val="20"/>
          <w:lang w:eastAsia="ar-SA"/>
        </w:rPr>
      </w:pPr>
      <w:r>
        <w:rPr>
          <w:rFonts w:eastAsia="SimSun"/>
          <w:sz w:val="20"/>
          <w:szCs w:val="20"/>
          <w:lang w:eastAsia="ar-SA"/>
        </w:rPr>
        <w:lastRenderedPageBreak/>
        <w:t>201</w:t>
      </w:r>
      <w:r w:rsidR="00157757" w:rsidRPr="0023658A">
        <w:rPr>
          <w:rFonts w:eastAsia="SimSun"/>
          <w:sz w:val="20"/>
          <w:szCs w:val="20"/>
          <w:lang w:eastAsia="ar-SA"/>
        </w:rPr>
        <w:t>.</w:t>
      </w:r>
      <w:r w:rsidR="00157757" w:rsidRPr="0023658A">
        <w:rPr>
          <w:rFonts w:eastAsia="SimSun"/>
          <w:sz w:val="20"/>
          <w:szCs w:val="20"/>
          <w:lang w:eastAsia="ar-SA"/>
        </w:rPr>
        <w:tab/>
        <w:t xml:space="preserve">The draft resolution was adopted by </w:t>
      </w:r>
      <w:r w:rsidR="006917EC">
        <w:rPr>
          <w:rFonts w:eastAsia="SimSun"/>
          <w:sz w:val="20"/>
          <w:szCs w:val="20"/>
          <w:lang w:eastAsia="ar-SA"/>
        </w:rPr>
        <w:t>31</w:t>
      </w:r>
      <w:r w:rsidR="00157757" w:rsidRPr="0023658A">
        <w:rPr>
          <w:sz w:val="20"/>
          <w:szCs w:val="20"/>
          <w:lang w:eastAsia="ar-SA"/>
        </w:rPr>
        <w:t xml:space="preserve"> votes to </w:t>
      </w:r>
      <w:r w:rsidR="006917EC">
        <w:rPr>
          <w:sz w:val="20"/>
          <w:szCs w:val="20"/>
          <w:lang w:eastAsia="ar-SA"/>
        </w:rPr>
        <w:t>2</w:t>
      </w:r>
      <w:r w:rsidR="00157757" w:rsidRPr="0023658A">
        <w:rPr>
          <w:sz w:val="20"/>
          <w:szCs w:val="20"/>
          <w:lang w:eastAsia="ar-SA"/>
        </w:rPr>
        <w:t xml:space="preserve">, with </w:t>
      </w:r>
      <w:r w:rsidR="006917EC">
        <w:rPr>
          <w:sz w:val="20"/>
          <w:szCs w:val="20"/>
          <w:lang w:eastAsia="ar-SA"/>
        </w:rPr>
        <w:t>14</w:t>
      </w:r>
      <w:r w:rsidR="00157757" w:rsidRPr="0023658A">
        <w:rPr>
          <w:sz w:val="20"/>
          <w:szCs w:val="20"/>
          <w:lang w:eastAsia="ar-SA"/>
        </w:rPr>
        <w:t xml:space="preserve"> abstentions</w:t>
      </w:r>
      <w:r w:rsidR="00157757" w:rsidRPr="0023658A">
        <w:rPr>
          <w:rFonts w:eastAsia="SimSun"/>
          <w:sz w:val="20"/>
          <w:szCs w:val="20"/>
          <w:lang w:eastAsia="ar-SA"/>
        </w:rPr>
        <w:t xml:space="preserve"> (resolution </w:t>
      </w:r>
      <w:r w:rsidR="00157757">
        <w:rPr>
          <w:rFonts w:eastAsia="SimSun"/>
          <w:sz w:val="20"/>
          <w:szCs w:val="20"/>
          <w:lang w:eastAsia="ar-SA"/>
        </w:rPr>
        <w:t>40/</w:t>
      </w:r>
      <w:r w:rsidR="006917EC">
        <w:rPr>
          <w:rFonts w:eastAsia="SimSun"/>
          <w:sz w:val="20"/>
          <w:szCs w:val="20"/>
          <w:lang w:eastAsia="ar-SA"/>
        </w:rPr>
        <w:t>4</w:t>
      </w:r>
      <w:r w:rsidR="00157757" w:rsidRPr="0023658A">
        <w:rPr>
          <w:rFonts w:eastAsia="SimSun"/>
          <w:sz w:val="20"/>
          <w:szCs w:val="20"/>
          <w:lang w:eastAsia="ar-SA"/>
        </w:rPr>
        <w:t>).</w:t>
      </w:r>
    </w:p>
    <w:p w14:paraId="7341F495" w14:textId="609ED7EE" w:rsidR="00144118" w:rsidRPr="00326BEB" w:rsidRDefault="00144118" w:rsidP="00144118">
      <w:pPr>
        <w:pStyle w:val="H23G"/>
        <w:rPr>
          <w:sz w:val="20"/>
          <w:szCs w:val="20"/>
        </w:rPr>
      </w:pPr>
      <w:r>
        <w:rPr>
          <w:sz w:val="20"/>
          <w:szCs w:val="20"/>
        </w:rPr>
        <w:tab/>
      </w:r>
      <w:r>
        <w:rPr>
          <w:sz w:val="20"/>
          <w:szCs w:val="20"/>
        </w:rPr>
        <w:tab/>
      </w:r>
      <w:r w:rsidRPr="00144118">
        <w:rPr>
          <w:sz w:val="20"/>
          <w:szCs w:val="20"/>
        </w:rPr>
        <w:t>Elimination of discrimination against women and girls in sport</w:t>
      </w:r>
    </w:p>
    <w:p w14:paraId="4450E274" w14:textId="20B64152" w:rsidR="00144118" w:rsidRDefault="002B4AE4" w:rsidP="00144118">
      <w:pPr>
        <w:pStyle w:val="SingleTxtG"/>
        <w:rPr>
          <w:sz w:val="20"/>
          <w:szCs w:val="20"/>
        </w:rPr>
      </w:pPr>
      <w:r>
        <w:rPr>
          <w:sz w:val="20"/>
          <w:szCs w:val="20"/>
        </w:rPr>
        <w:t>202</w:t>
      </w:r>
      <w:r w:rsidR="00144118" w:rsidRPr="00326BEB">
        <w:rPr>
          <w:sz w:val="20"/>
          <w:szCs w:val="20"/>
        </w:rPr>
        <w:t>.</w:t>
      </w:r>
      <w:r w:rsidR="00144118" w:rsidRPr="00326BEB">
        <w:rPr>
          <w:sz w:val="20"/>
          <w:szCs w:val="20"/>
        </w:rPr>
        <w:tab/>
        <w:t xml:space="preserve">At the </w:t>
      </w:r>
      <w:r w:rsidR="00144118">
        <w:rPr>
          <w:sz w:val="20"/>
          <w:szCs w:val="20"/>
        </w:rPr>
        <w:t>52nd</w:t>
      </w:r>
      <w:r w:rsidR="00144118" w:rsidRPr="00326BEB">
        <w:rPr>
          <w:sz w:val="20"/>
          <w:szCs w:val="20"/>
        </w:rPr>
        <w:t xml:space="preserve"> meeting, on </w:t>
      </w:r>
      <w:r w:rsidR="00144118">
        <w:rPr>
          <w:sz w:val="20"/>
          <w:szCs w:val="20"/>
        </w:rPr>
        <w:t>21 March 2019</w:t>
      </w:r>
      <w:r w:rsidR="00144118" w:rsidRPr="00326BEB">
        <w:rPr>
          <w:sz w:val="20"/>
          <w:szCs w:val="20"/>
        </w:rPr>
        <w:t xml:space="preserve">, the representative of </w:t>
      </w:r>
      <w:r w:rsidR="00144118">
        <w:rPr>
          <w:sz w:val="20"/>
          <w:szCs w:val="20"/>
        </w:rPr>
        <w:t xml:space="preserve">South Africa </w:t>
      </w:r>
      <w:r w:rsidR="00144118" w:rsidRPr="00326BEB">
        <w:rPr>
          <w:sz w:val="20"/>
          <w:szCs w:val="20"/>
        </w:rPr>
        <w:t>introduced draft resolution A/HRC/</w:t>
      </w:r>
      <w:r w:rsidR="00144118">
        <w:rPr>
          <w:sz w:val="20"/>
          <w:szCs w:val="20"/>
        </w:rPr>
        <w:t>40</w:t>
      </w:r>
      <w:r w:rsidR="00144118" w:rsidRPr="00326BEB">
        <w:rPr>
          <w:sz w:val="20"/>
          <w:szCs w:val="20"/>
        </w:rPr>
        <w:t>/L.</w:t>
      </w:r>
      <w:r w:rsidR="00144118">
        <w:rPr>
          <w:sz w:val="20"/>
          <w:szCs w:val="20"/>
        </w:rPr>
        <w:t>10/Rev.1</w:t>
      </w:r>
      <w:r w:rsidR="00144118" w:rsidRPr="00326BEB">
        <w:rPr>
          <w:sz w:val="20"/>
          <w:szCs w:val="20"/>
        </w:rPr>
        <w:t xml:space="preserve">, sponsored by </w:t>
      </w:r>
      <w:r w:rsidR="00144118">
        <w:rPr>
          <w:sz w:val="20"/>
          <w:szCs w:val="20"/>
        </w:rPr>
        <w:t xml:space="preserve">South Africa </w:t>
      </w:r>
      <w:r w:rsidR="00144118" w:rsidRPr="00326BEB">
        <w:rPr>
          <w:sz w:val="20"/>
          <w:szCs w:val="20"/>
        </w:rPr>
        <w:t xml:space="preserve">and co-sponsored by </w:t>
      </w:r>
      <w:r w:rsidR="00144118" w:rsidRPr="00144118">
        <w:rPr>
          <w:sz w:val="20"/>
          <w:szCs w:val="20"/>
        </w:rPr>
        <w:t>Eswatini, Mozambique,</w:t>
      </w:r>
      <w:r w:rsidR="00144118">
        <w:rPr>
          <w:sz w:val="20"/>
          <w:szCs w:val="20"/>
        </w:rPr>
        <w:t xml:space="preserve"> Zambia and</w:t>
      </w:r>
      <w:r w:rsidR="00144118" w:rsidRPr="00144118">
        <w:rPr>
          <w:sz w:val="20"/>
          <w:szCs w:val="20"/>
        </w:rPr>
        <w:t xml:space="preserve"> Zimbabwe</w:t>
      </w:r>
      <w:r w:rsidR="00144118" w:rsidRPr="00326BEB">
        <w:rPr>
          <w:sz w:val="20"/>
          <w:szCs w:val="20"/>
        </w:rPr>
        <w:t xml:space="preserve">. Subsequently, </w:t>
      </w:r>
      <w:r w:rsidR="00144118" w:rsidRPr="00144118">
        <w:rPr>
          <w:sz w:val="20"/>
          <w:szCs w:val="20"/>
        </w:rPr>
        <w:t>Algeria</w:t>
      </w:r>
      <w:r w:rsidR="00144118">
        <w:rPr>
          <w:sz w:val="20"/>
          <w:szCs w:val="20"/>
        </w:rPr>
        <w:t xml:space="preserve">, </w:t>
      </w:r>
      <w:r w:rsidR="00144118" w:rsidRPr="00144118">
        <w:rPr>
          <w:sz w:val="20"/>
          <w:szCs w:val="20"/>
        </w:rPr>
        <w:t>Burundi</w:t>
      </w:r>
      <w:r w:rsidR="00144118">
        <w:rPr>
          <w:sz w:val="20"/>
          <w:szCs w:val="20"/>
        </w:rPr>
        <w:t xml:space="preserve">, Canada, Ecuador, </w:t>
      </w:r>
      <w:r w:rsidR="00144118" w:rsidRPr="00144118">
        <w:rPr>
          <w:sz w:val="20"/>
          <w:szCs w:val="20"/>
        </w:rPr>
        <w:t>Iceland</w:t>
      </w:r>
      <w:r w:rsidR="00144118">
        <w:rPr>
          <w:sz w:val="20"/>
          <w:szCs w:val="20"/>
        </w:rPr>
        <w:t xml:space="preserve">, </w:t>
      </w:r>
      <w:r w:rsidR="00144118" w:rsidRPr="00144118">
        <w:rPr>
          <w:sz w:val="20"/>
          <w:szCs w:val="20"/>
        </w:rPr>
        <w:t>India</w:t>
      </w:r>
      <w:r w:rsidR="00144118">
        <w:rPr>
          <w:sz w:val="20"/>
          <w:szCs w:val="20"/>
        </w:rPr>
        <w:t xml:space="preserve"> and </w:t>
      </w:r>
      <w:r w:rsidR="00144118" w:rsidRPr="00144118">
        <w:rPr>
          <w:sz w:val="20"/>
          <w:szCs w:val="20"/>
        </w:rPr>
        <w:t xml:space="preserve">Namibia </w:t>
      </w:r>
      <w:r w:rsidR="00144118" w:rsidRPr="00326BEB">
        <w:rPr>
          <w:sz w:val="20"/>
          <w:szCs w:val="20"/>
        </w:rPr>
        <w:t>joined the sponsors.</w:t>
      </w:r>
    </w:p>
    <w:p w14:paraId="09CA1248" w14:textId="100056CB" w:rsidR="00144118" w:rsidRDefault="002B4AE4" w:rsidP="00144118">
      <w:pPr>
        <w:pStyle w:val="SingleTxtG"/>
        <w:rPr>
          <w:sz w:val="20"/>
          <w:szCs w:val="20"/>
        </w:rPr>
      </w:pPr>
      <w:r>
        <w:rPr>
          <w:sz w:val="20"/>
          <w:szCs w:val="20"/>
        </w:rPr>
        <w:t>203</w:t>
      </w:r>
      <w:r w:rsidR="00433D0F" w:rsidRPr="00433D0F">
        <w:rPr>
          <w:sz w:val="20"/>
          <w:szCs w:val="20"/>
        </w:rPr>
        <w:t>.</w:t>
      </w:r>
      <w:r w:rsidR="00433D0F" w:rsidRPr="00433D0F">
        <w:rPr>
          <w:sz w:val="20"/>
          <w:szCs w:val="20"/>
        </w:rPr>
        <w:tab/>
        <w:t xml:space="preserve">At the same meeting, the President of the Council announced that </w:t>
      </w:r>
      <w:r w:rsidR="00433D0F">
        <w:rPr>
          <w:sz w:val="20"/>
          <w:szCs w:val="20"/>
        </w:rPr>
        <w:t>draft resolution</w:t>
      </w:r>
      <w:r w:rsidR="00433D0F" w:rsidRPr="00433D0F">
        <w:rPr>
          <w:sz w:val="20"/>
          <w:szCs w:val="20"/>
        </w:rPr>
        <w:t xml:space="preserve"> A/HRC/</w:t>
      </w:r>
      <w:r w:rsidR="00433D0F">
        <w:rPr>
          <w:sz w:val="20"/>
          <w:szCs w:val="20"/>
        </w:rPr>
        <w:t>40</w:t>
      </w:r>
      <w:r w:rsidR="00433D0F" w:rsidRPr="00433D0F">
        <w:rPr>
          <w:sz w:val="20"/>
          <w:szCs w:val="20"/>
        </w:rPr>
        <w:t>/L.</w:t>
      </w:r>
      <w:r w:rsidR="00433D0F">
        <w:rPr>
          <w:sz w:val="20"/>
          <w:szCs w:val="20"/>
        </w:rPr>
        <w:t>10/Rev.1</w:t>
      </w:r>
      <w:r w:rsidR="00433D0F" w:rsidRPr="00433D0F">
        <w:rPr>
          <w:sz w:val="20"/>
          <w:szCs w:val="20"/>
        </w:rPr>
        <w:t xml:space="preserve"> had been orally revised.</w:t>
      </w:r>
    </w:p>
    <w:p w14:paraId="6E0C4C63" w14:textId="61AF879B" w:rsidR="00144118" w:rsidRDefault="002B4AE4" w:rsidP="00144118">
      <w:pPr>
        <w:spacing w:after="120"/>
        <w:ind w:left="1134" w:right="1134"/>
        <w:jc w:val="both"/>
        <w:rPr>
          <w:sz w:val="20"/>
          <w:szCs w:val="20"/>
        </w:rPr>
      </w:pPr>
      <w:r>
        <w:rPr>
          <w:sz w:val="20"/>
          <w:szCs w:val="20"/>
        </w:rPr>
        <w:t>204</w:t>
      </w:r>
      <w:r w:rsidR="00144118" w:rsidRPr="00E86201">
        <w:rPr>
          <w:sz w:val="20"/>
          <w:szCs w:val="20"/>
        </w:rPr>
        <w:t>.</w:t>
      </w:r>
      <w:r w:rsidR="00144118" w:rsidRPr="00E86201">
        <w:rPr>
          <w:sz w:val="20"/>
          <w:szCs w:val="20"/>
        </w:rPr>
        <w:tab/>
        <w:t>A</w:t>
      </w:r>
      <w:r w:rsidR="00433D0F">
        <w:rPr>
          <w:sz w:val="20"/>
          <w:szCs w:val="20"/>
        </w:rPr>
        <w:t>lso a</w:t>
      </w:r>
      <w:r w:rsidR="00144118" w:rsidRPr="00E86201">
        <w:rPr>
          <w:sz w:val="20"/>
          <w:szCs w:val="20"/>
        </w:rPr>
        <w:t>t the same meeting, the representative</w:t>
      </w:r>
      <w:r w:rsidR="00144118">
        <w:rPr>
          <w:sz w:val="20"/>
          <w:szCs w:val="20"/>
        </w:rPr>
        <w:t>s</w:t>
      </w:r>
      <w:r w:rsidR="00144118" w:rsidRPr="00E86201">
        <w:rPr>
          <w:sz w:val="20"/>
          <w:szCs w:val="20"/>
        </w:rPr>
        <w:t xml:space="preserve"> of </w:t>
      </w:r>
      <w:r w:rsidR="00144118" w:rsidRPr="007B2C0A">
        <w:rPr>
          <w:sz w:val="20"/>
          <w:szCs w:val="20"/>
        </w:rPr>
        <w:t xml:space="preserve">Bulgaria </w:t>
      </w:r>
      <w:r w:rsidR="00144118" w:rsidRPr="00157757">
        <w:rPr>
          <w:sz w:val="20"/>
          <w:szCs w:val="20"/>
        </w:rPr>
        <w:t>(on behalf of States members of the European Union that are members of the Council)</w:t>
      </w:r>
      <w:r w:rsidR="00144118">
        <w:rPr>
          <w:sz w:val="20"/>
          <w:szCs w:val="20"/>
        </w:rPr>
        <w:t xml:space="preserve"> and India </w:t>
      </w:r>
      <w:r w:rsidR="00144118" w:rsidRPr="00E86201">
        <w:rPr>
          <w:sz w:val="20"/>
          <w:szCs w:val="20"/>
        </w:rPr>
        <w:t>made general comments on the draft resolution</w:t>
      </w:r>
      <w:r w:rsidR="00433D0F">
        <w:rPr>
          <w:sz w:val="20"/>
          <w:szCs w:val="20"/>
        </w:rPr>
        <w:t xml:space="preserve"> as orally revised</w:t>
      </w:r>
      <w:r w:rsidR="00144118" w:rsidRPr="00E86201">
        <w:rPr>
          <w:sz w:val="20"/>
          <w:szCs w:val="20"/>
        </w:rPr>
        <w:t>.</w:t>
      </w:r>
    </w:p>
    <w:p w14:paraId="430E6C18" w14:textId="4B3FE2BC" w:rsidR="00144118" w:rsidRDefault="002B4AE4" w:rsidP="00144118">
      <w:pPr>
        <w:spacing w:after="120"/>
        <w:ind w:left="1134" w:right="1134"/>
        <w:jc w:val="both"/>
        <w:rPr>
          <w:sz w:val="20"/>
          <w:szCs w:val="20"/>
        </w:rPr>
      </w:pPr>
      <w:r>
        <w:rPr>
          <w:sz w:val="20"/>
          <w:szCs w:val="20"/>
        </w:rPr>
        <w:t>205</w:t>
      </w:r>
      <w:r w:rsidR="00144118" w:rsidRPr="00326BEB">
        <w:rPr>
          <w:sz w:val="20"/>
          <w:szCs w:val="20"/>
        </w:rPr>
        <w:t>.</w:t>
      </w:r>
      <w:r w:rsidR="00144118" w:rsidRPr="00326BEB">
        <w:rPr>
          <w:sz w:val="20"/>
          <w:szCs w:val="20"/>
        </w:rPr>
        <w:tab/>
        <w:t>In accordance with rule 153 of the rules of procedure of the General Assembly, the attention of the Human Rights Council was drawn to the estimated administrative and programme budget implications of the draft resolution</w:t>
      </w:r>
      <w:r w:rsidR="00433D0F" w:rsidRPr="00433D0F">
        <w:rPr>
          <w:sz w:val="20"/>
          <w:szCs w:val="20"/>
        </w:rPr>
        <w:t xml:space="preserve"> </w:t>
      </w:r>
      <w:r w:rsidR="00433D0F">
        <w:rPr>
          <w:sz w:val="20"/>
          <w:szCs w:val="20"/>
        </w:rPr>
        <w:t>as orally revised</w:t>
      </w:r>
      <w:r w:rsidR="00144118" w:rsidRPr="00326BEB">
        <w:rPr>
          <w:sz w:val="20"/>
          <w:szCs w:val="20"/>
        </w:rPr>
        <w:t>.</w:t>
      </w:r>
    </w:p>
    <w:p w14:paraId="5FD0945C" w14:textId="3F5ECD31" w:rsidR="00144118" w:rsidRPr="00326BEB" w:rsidRDefault="002B4AE4" w:rsidP="0003085D">
      <w:pPr>
        <w:pStyle w:val="SingleTxtG"/>
        <w:rPr>
          <w:sz w:val="20"/>
          <w:szCs w:val="20"/>
        </w:rPr>
      </w:pPr>
      <w:bookmarkStart w:id="16" w:name="_GoBack"/>
      <w:r>
        <w:rPr>
          <w:sz w:val="20"/>
          <w:szCs w:val="20"/>
        </w:rPr>
        <w:t>206</w:t>
      </w:r>
      <w:bookmarkEnd w:id="16"/>
      <w:r w:rsidR="00144118" w:rsidRPr="0023658A">
        <w:rPr>
          <w:sz w:val="20"/>
          <w:szCs w:val="20"/>
        </w:rPr>
        <w:t>.</w:t>
      </w:r>
      <w:r w:rsidR="00144118" w:rsidRPr="0023658A">
        <w:rPr>
          <w:sz w:val="20"/>
          <w:szCs w:val="20"/>
        </w:rPr>
        <w:tab/>
      </w:r>
      <w:r w:rsidR="00144118" w:rsidRPr="0023658A">
        <w:rPr>
          <w:rFonts w:eastAsia="SimSun"/>
          <w:sz w:val="20"/>
          <w:szCs w:val="20"/>
          <w:lang w:eastAsia="ar-SA"/>
        </w:rPr>
        <w:t>At the same meeting</w:t>
      </w:r>
      <w:r w:rsidR="00144118" w:rsidRPr="0023658A">
        <w:rPr>
          <w:sz w:val="20"/>
          <w:szCs w:val="20"/>
        </w:rPr>
        <w:t xml:space="preserve">, the representative of </w:t>
      </w:r>
      <w:r w:rsidR="00144118">
        <w:rPr>
          <w:sz w:val="20"/>
          <w:szCs w:val="20"/>
        </w:rPr>
        <w:t xml:space="preserve">Bahrain (also on behalf of </w:t>
      </w:r>
      <w:r w:rsidR="0058419B" w:rsidRPr="0058419B">
        <w:rPr>
          <w:sz w:val="20"/>
          <w:szCs w:val="20"/>
        </w:rPr>
        <w:t xml:space="preserve">Afghanistan, </w:t>
      </w:r>
      <w:r w:rsidR="0058419B">
        <w:rPr>
          <w:sz w:val="20"/>
          <w:szCs w:val="20"/>
        </w:rPr>
        <w:t xml:space="preserve">the </w:t>
      </w:r>
      <w:r w:rsidR="0058419B" w:rsidRPr="0058419B">
        <w:rPr>
          <w:sz w:val="20"/>
          <w:szCs w:val="20"/>
        </w:rPr>
        <w:t>Bahamas, Bangladesh, Cameroon, Egypt, Eritrea,</w:t>
      </w:r>
      <w:r w:rsidR="0058419B">
        <w:rPr>
          <w:sz w:val="20"/>
          <w:szCs w:val="20"/>
        </w:rPr>
        <w:t xml:space="preserve"> </w:t>
      </w:r>
      <w:r w:rsidR="0058419B" w:rsidRPr="0058419B">
        <w:rPr>
          <w:sz w:val="20"/>
          <w:szCs w:val="20"/>
        </w:rPr>
        <w:t xml:space="preserve">Ethiopia, Iraq, Nigeria, Pakistan, Qatar, </w:t>
      </w:r>
      <w:r w:rsidR="0058419B">
        <w:rPr>
          <w:sz w:val="20"/>
          <w:szCs w:val="20"/>
        </w:rPr>
        <w:t xml:space="preserve">the </w:t>
      </w:r>
      <w:r w:rsidR="0058419B" w:rsidRPr="0058419B">
        <w:rPr>
          <w:sz w:val="20"/>
          <w:szCs w:val="20"/>
        </w:rPr>
        <w:t>Russian Federation, Rwanda, Saudi Arabia, Senegal</w:t>
      </w:r>
      <w:r w:rsidR="0058419B">
        <w:rPr>
          <w:sz w:val="20"/>
          <w:szCs w:val="20"/>
        </w:rPr>
        <w:t>,</w:t>
      </w:r>
      <w:r w:rsidR="0058419B" w:rsidRPr="0058419B">
        <w:rPr>
          <w:sz w:val="20"/>
          <w:szCs w:val="20"/>
        </w:rPr>
        <w:t xml:space="preserve"> Somalia, Togo</w:t>
      </w:r>
      <w:r w:rsidR="0058419B">
        <w:rPr>
          <w:sz w:val="20"/>
          <w:szCs w:val="20"/>
        </w:rPr>
        <w:t xml:space="preserve">, the United Arab Emirates and </w:t>
      </w:r>
      <w:r w:rsidR="0058419B" w:rsidRPr="0058419B">
        <w:rPr>
          <w:sz w:val="20"/>
          <w:szCs w:val="20"/>
        </w:rPr>
        <w:t>Yemen</w:t>
      </w:r>
      <w:r w:rsidR="0003085D">
        <w:rPr>
          <w:sz w:val="20"/>
          <w:szCs w:val="20"/>
        </w:rPr>
        <w:t xml:space="preserve">) </w:t>
      </w:r>
      <w:r w:rsidR="00144118" w:rsidRPr="0023658A">
        <w:rPr>
          <w:sz w:val="20"/>
          <w:szCs w:val="20"/>
        </w:rPr>
        <w:t xml:space="preserve">made </w:t>
      </w:r>
      <w:r w:rsidR="00144118">
        <w:rPr>
          <w:sz w:val="20"/>
          <w:szCs w:val="20"/>
        </w:rPr>
        <w:t xml:space="preserve">a </w:t>
      </w:r>
      <w:r w:rsidR="00144118" w:rsidRPr="0023658A">
        <w:rPr>
          <w:sz w:val="20"/>
          <w:szCs w:val="20"/>
        </w:rPr>
        <w:t>statement in explanation of vote before the vote.</w:t>
      </w:r>
      <w:r w:rsidR="0003085D">
        <w:rPr>
          <w:sz w:val="20"/>
          <w:szCs w:val="20"/>
        </w:rPr>
        <w:t xml:space="preserve"> </w:t>
      </w:r>
      <w:r w:rsidR="0003085D" w:rsidRPr="0003085D">
        <w:rPr>
          <w:sz w:val="20"/>
          <w:szCs w:val="20"/>
        </w:rPr>
        <w:t xml:space="preserve">In </w:t>
      </w:r>
      <w:r w:rsidR="0003085D">
        <w:rPr>
          <w:sz w:val="20"/>
          <w:szCs w:val="20"/>
        </w:rPr>
        <w:t>her</w:t>
      </w:r>
      <w:r w:rsidR="0003085D" w:rsidRPr="0003085D">
        <w:rPr>
          <w:sz w:val="20"/>
          <w:szCs w:val="20"/>
        </w:rPr>
        <w:t xml:space="preserve"> statement, the representative of </w:t>
      </w:r>
      <w:r w:rsidR="0003085D">
        <w:rPr>
          <w:sz w:val="20"/>
          <w:szCs w:val="20"/>
        </w:rPr>
        <w:t>Bahrain (</w:t>
      </w:r>
      <w:r w:rsidR="0058419B">
        <w:rPr>
          <w:sz w:val="20"/>
          <w:szCs w:val="20"/>
        </w:rPr>
        <w:t xml:space="preserve">also on behalf of </w:t>
      </w:r>
      <w:r w:rsidR="0058419B" w:rsidRPr="0058419B">
        <w:rPr>
          <w:sz w:val="20"/>
          <w:szCs w:val="20"/>
        </w:rPr>
        <w:t xml:space="preserve">Afghanistan, </w:t>
      </w:r>
      <w:r w:rsidR="0058419B">
        <w:rPr>
          <w:sz w:val="20"/>
          <w:szCs w:val="20"/>
        </w:rPr>
        <w:t xml:space="preserve">the </w:t>
      </w:r>
      <w:r w:rsidR="0058419B" w:rsidRPr="0058419B">
        <w:rPr>
          <w:sz w:val="20"/>
          <w:szCs w:val="20"/>
        </w:rPr>
        <w:t>Bahamas, Bangladesh, Cameroon, Egypt, Eritrea,</w:t>
      </w:r>
      <w:r w:rsidR="0058419B">
        <w:rPr>
          <w:sz w:val="20"/>
          <w:szCs w:val="20"/>
        </w:rPr>
        <w:t xml:space="preserve"> </w:t>
      </w:r>
      <w:r w:rsidR="0058419B" w:rsidRPr="0058419B">
        <w:rPr>
          <w:sz w:val="20"/>
          <w:szCs w:val="20"/>
        </w:rPr>
        <w:t xml:space="preserve">Ethiopia, Iraq, Nigeria, Pakistan, Qatar, </w:t>
      </w:r>
      <w:r w:rsidR="0058419B">
        <w:rPr>
          <w:sz w:val="20"/>
          <w:szCs w:val="20"/>
        </w:rPr>
        <w:t xml:space="preserve">the </w:t>
      </w:r>
      <w:r w:rsidR="0058419B" w:rsidRPr="0058419B">
        <w:rPr>
          <w:sz w:val="20"/>
          <w:szCs w:val="20"/>
        </w:rPr>
        <w:t>Russian Federation, Rwanda, Saudi Arabia, Senegal</w:t>
      </w:r>
      <w:r w:rsidR="0058419B">
        <w:rPr>
          <w:sz w:val="20"/>
          <w:szCs w:val="20"/>
        </w:rPr>
        <w:t>,</w:t>
      </w:r>
      <w:r w:rsidR="0058419B" w:rsidRPr="0058419B">
        <w:rPr>
          <w:sz w:val="20"/>
          <w:szCs w:val="20"/>
        </w:rPr>
        <w:t xml:space="preserve"> Somalia, Togo</w:t>
      </w:r>
      <w:r w:rsidR="0058419B">
        <w:rPr>
          <w:sz w:val="20"/>
          <w:szCs w:val="20"/>
        </w:rPr>
        <w:t xml:space="preserve">, the United Arab Emirates and </w:t>
      </w:r>
      <w:r w:rsidR="0058419B" w:rsidRPr="0058419B">
        <w:rPr>
          <w:sz w:val="20"/>
          <w:szCs w:val="20"/>
        </w:rPr>
        <w:t>Yemen</w:t>
      </w:r>
      <w:r w:rsidR="0003085D">
        <w:rPr>
          <w:sz w:val="20"/>
          <w:szCs w:val="20"/>
        </w:rPr>
        <w:t xml:space="preserve">) </w:t>
      </w:r>
      <w:r w:rsidR="0003085D" w:rsidRPr="0003085D">
        <w:rPr>
          <w:sz w:val="20"/>
          <w:szCs w:val="20"/>
        </w:rPr>
        <w:t xml:space="preserve">disassociated the </w:t>
      </w:r>
      <w:r w:rsidR="0058419B">
        <w:rPr>
          <w:sz w:val="20"/>
          <w:szCs w:val="20"/>
        </w:rPr>
        <w:t xml:space="preserve">respective </w:t>
      </w:r>
      <w:r w:rsidR="0003085D" w:rsidRPr="0003085D">
        <w:rPr>
          <w:sz w:val="20"/>
          <w:szCs w:val="20"/>
        </w:rPr>
        <w:t>delegation</w:t>
      </w:r>
      <w:r w:rsidR="0003085D">
        <w:rPr>
          <w:sz w:val="20"/>
          <w:szCs w:val="20"/>
        </w:rPr>
        <w:t>s</w:t>
      </w:r>
      <w:r w:rsidR="0003085D" w:rsidRPr="0003085D">
        <w:rPr>
          <w:sz w:val="20"/>
          <w:szCs w:val="20"/>
        </w:rPr>
        <w:t xml:space="preserve"> from the consensus on the draft resolution.</w:t>
      </w:r>
    </w:p>
    <w:p w14:paraId="1B55A74B" w14:textId="6E58ACC9" w:rsidR="00144118" w:rsidRDefault="002B4AE4" w:rsidP="00144118">
      <w:pPr>
        <w:pStyle w:val="SingleTxtG"/>
        <w:rPr>
          <w:rFonts w:eastAsia="SimSun"/>
          <w:sz w:val="20"/>
          <w:szCs w:val="20"/>
          <w:lang w:eastAsia="ar-SA"/>
        </w:rPr>
      </w:pPr>
      <w:r>
        <w:rPr>
          <w:rFonts w:eastAsia="SimSun"/>
          <w:sz w:val="20"/>
          <w:szCs w:val="20"/>
          <w:lang w:eastAsia="ar-SA"/>
        </w:rPr>
        <w:t>207</w:t>
      </w:r>
      <w:r w:rsidR="00144118" w:rsidRPr="00326BEB">
        <w:rPr>
          <w:rFonts w:eastAsia="SimSun"/>
          <w:sz w:val="20"/>
          <w:szCs w:val="20"/>
          <w:lang w:eastAsia="ar-SA"/>
        </w:rPr>
        <w:t>.</w:t>
      </w:r>
      <w:r w:rsidR="00144118" w:rsidRPr="00326BEB">
        <w:rPr>
          <w:rFonts w:eastAsia="SimSun"/>
          <w:sz w:val="20"/>
          <w:szCs w:val="20"/>
          <w:lang w:eastAsia="ar-SA"/>
        </w:rPr>
        <w:tab/>
        <w:t xml:space="preserve">At the same meeting, the draft resolution </w:t>
      </w:r>
      <w:r w:rsidR="00433D0F">
        <w:rPr>
          <w:sz w:val="20"/>
          <w:szCs w:val="20"/>
        </w:rPr>
        <w:t>as orally revised</w:t>
      </w:r>
      <w:r w:rsidR="00433D0F" w:rsidRPr="00326BEB">
        <w:rPr>
          <w:rFonts w:eastAsia="SimSun"/>
          <w:sz w:val="20"/>
          <w:szCs w:val="20"/>
          <w:lang w:eastAsia="ar-SA"/>
        </w:rPr>
        <w:t xml:space="preserve"> </w:t>
      </w:r>
      <w:r w:rsidR="00144118" w:rsidRPr="00326BEB">
        <w:rPr>
          <w:rFonts w:eastAsia="SimSun"/>
          <w:sz w:val="20"/>
          <w:szCs w:val="20"/>
          <w:lang w:eastAsia="ar-SA"/>
        </w:rPr>
        <w:t xml:space="preserve">was adopted without a vote (resolution </w:t>
      </w:r>
      <w:r w:rsidR="00144118">
        <w:rPr>
          <w:rFonts w:eastAsia="SimSun"/>
          <w:sz w:val="20"/>
          <w:szCs w:val="20"/>
          <w:lang w:eastAsia="ar-SA"/>
        </w:rPr>
        <w:t>40</w:t>
      </w:r>
      <w:r w:rsidR="00144118" w:rsidRPr="00326BEB">
        <w:rPr>
          <w:rFonts w:eastAsia="SimSun"/>
          <w:sz w:val="20"/>
          <w:szCs w:val="20"/>
          <w:lang w:eastAsia="ar-SA"/>
        </w:rPr>
        <w:t>/</w:t>
      </w:r>
      <w:r w:rsidR="00144118">
        <w:rPr>
          <w:rFonts w:eastAsia="SimSun"/>
          <w:sz w:val="20"/>
          <w:szCs w:val="20"/>
          <w:lang w:eastAsia="ar-SA"/>
        </w:rPr>
        <w:t>5</w:t>
      </w:r>
      <w:r w:rsidR="00144118" w:rsidRPr="00326BEB">
        <w:rPr>
          <w:rFonts w:eastAsia="SimSun"/>
          <w:sz w:val="20"/>
          <w:szCs w:val="20"/>
          <w:lang w:eastAsia="ar-SA"/>
        </w:rPr>
        <w:t>).</w:t>
      </w:r>
    </w:p>
    <w:p w14:paraId="5EE77CDD" w14:textId="6EA56E1E" w:rsidR="00041A36" w:rsidRPr="00326BEB" w:rsidRDefault="002B4AE4" w:rsidP="00144118">
      <w:pPr>
        <w:pStyle w:val="SingleTxtG"/>
        <w:rPr>
          <w:rFonts w:eastAsia="SimSun"/>
          <w:sz w:val="20"/>
          <w:szCs w:val="20"/>
          <w:lang w:eastAsia="ar-SA"/>
        </w:rPr>
      </w:pPr>
      <w:r>
        <w:rPr>
          <w:rFonts w:eastAsia="SimSun"/>
          <w:sz w:val="20"/>
          <w:szCs w:val="20"/>
          <w:lang w:eastAsia="ar-SA"/>
        </w:rPr>
        <w:t>208</w:t>
      </w:r>
      <w:r w:rsidR="00041A36" w:rsidRPr="000B65FE">
        <w:rPr>
          <w:rFonts w:eastAsia="SimSun"/>
          <w:sz w:val="20"/>
          <w:szCs w:val="20"/>
          <w:lang w:eastAsia="ar-SA"/>
        </w:rPr>
        <w:t>.</w:t>
      </w:r>
      <w:r w:rsidR="00041A36" w:rsidRPr="000B65FE">
        <w:rPr>
          <w:rFonts w:eastAsia="SimSun"/>
          <w:sz w:val="20"/>
          <w:szCs w:val="20"/>
          <w:lang w:eastAsia="ar-SA"/>
        </w:rPr>
        <w:tab/>
        <w:t xml:space="preserve">At the </w:t>
      </w:r>
      <w:r w:rsidR="00041A36">
        <w:rPr>
          <w:rFonts w:eastAsia="SimSun"/>
          <w:sz w:val="20"/>
          <w:szCs w:val="20"/>
          <w:lang w:eastAsia="ar-SA"/>
        </w:rPr>
        <w:t xml:space="preserve">53rd </w:t>
      </w:r>
      <w:r w:rsidR="00041A36" w:rsidRPr="000B65FE">
        <w:rPr>
          <w:rFonts w:eastAsia="SimSun"/>
          <w:sz w:val="20"/>
          <w:szCs w:val="20"/>
          <w:lang w:eastAsia="ar-SA"/>
        </w:rPr>
        <w:t xml:space="preserve">meeting, </w:t>
      </w:r>
      <w:r w:rsidR="00041A36">
        <w:rPr>
          <w:rFonts w:eastAsia="SimSun"/>
          <w:sz w:val="20"/>
          <w:szCs w:val="20"/>
          <w:lang w:eastAsia="ar-SA"/>
        </w:rPr>
        <w:t xml:space="preserve">on 22 March 2019, </w:t>
      </w:r>
      <w:r w:rsidR="00041A36" w:rsidRPr="000B65FE">
        <w:rPr>
          <w:rFonts w:eastAsia="SimSun"/>
          <w:sz w:val="20"/>
          <w:szCs w:val="20"/>
          <w:lang w:eastAsia="ar-SA"/>
        </w:rPr>
        <w:t xml:space="preserve">the representative of </w:t>
      </w:r>
      <w:r w:rsidR="00041A36">
        <w:rPr>
          <w:rFonts w:eastAsia="SimSun"/>
          <w:sz w:val="20"/>
          <w:szCs w:val="20"/>
          <w:lang w:eastAsia="ar-SA"/>
        </w:rPr>
        <w:t>Tunisia</w:t>
      </w:r>
      <w:r w:rsidR="00041A36" w:rsidRPr="000B65FE">
        <w:rPr>
          <w:rFonts w:eastAsia="SimSun"/>
          <w:sz w:val="20"/>
          <w:szCs w:val="20"/>
          <w:lang w:eastAsia="ar-SA"/>
        </w:rPr>
        <w:t xml:space="preserve"> made a statement in explanation of vote after the vote.</w:t>
      </w:r>
      <w:r w:rsidR="00D72627">
        <w:rPr>
          <w:rFonts w:eastAsia="SimSun"/>
          <w:sz w:val="20"/>
          <w:szCs w:val="20"/>
          <w:lang w:eastAsia="ar-SA"/>
        </w:rPr>
        <w:t xml:space="preserve"> </w:t>
      </w:r>
    </w:p>
    <w:p w14:paraId="53CA27DE" w14:textId="77777777" w:rsidR="009539C3" w:rsidRDefault="009539C3" w:rsidP="009539C3">
      <w:pPr>
        <w:pStyle w:val="SingleTxtG"/>
        <w:rPr>
          <w:b/>
          <w:sz w:val="20"/>
          <w:szCs w:val="20"/>
        </w:rPr>
      </w:pPr>
      <w:r w:rsidRPr="009539C3">
        <w:rPr>
          <w:b/>
          <w:sz w:val="20"/>
          <w:szCs w:val="20"/>
        </w:rPr>
        <w:t>Promotion of the enjoyment of the cultural rights of everyone and respect for cultural diversity</w:t>
      </w:r>
    </w:p>
    <w:p w14:paraId="221A5AC9" w14:textId="4C6E93FE" w:rsidR="009539C3" w:rsidRDefault="002B4AE4" w:rsidP="009539C3">
      <w:pPr>
        <w:pStyle w:val="SingleTxtG"/>
        <w:rPr>
          <w:sz w:val="20"/>
          <w:szCs w:val="20"/>
        </w:rPr>
      </w:pPr>
      <w:r>
        <w:rPr>
          <w:sz w:val="20"/>
          <w:szCs w:val="20"/>
        </w:rPr>
        <w:t>209</w:t>
      </w:r>
      <w:r w:rsidR="009539C3" w:rsidRPr="00326BEB">
        <w:rPr>
          <w:sz w:val="20"/>
          <w:szCs w:val="20"/>
        </w:rPr>
        <w:t>.</w:t>
      </w:r>
      <w:r w:rsidR="009539C3" w:rsidRPr="00326BEB">
        <w:rPr>
          <w:sz w:val="20"/>
          <w:szCs w:val="20"/>
        </w:rPr>
        <w:tab/>
        <w:t xml:space="preserve">At the </w:t>
      </w:r>
      <w:r w:rsidR="009539C3">
        <w:rPr>
          <w:sz w:val="20"/>
          <w:szCs w:val="20"/>
        </w:rPr>
        <w:t>52nd</w:t>
      </w:r>
      <w:r w:rsidR="009539C3" w:rsidRPr="00326BEB">
        <w:rPr>
          <w:sz w:val="20"/>
          <w:szCs w:val="20"/>
        </w:rPr>
        <w:t xml:space="preserve"> meeting, on </w:t>
      </w:r>
      <w:r w:rsidR="009539C3">
        <w:rPr>
          <w:sz w:val="20"/>
          <w:szCs w:val="20"/>
        </w:rPr>
        <w:t>21 March 2019</w:t>
      </w:r>
      <w:r w:rsidR="009539C3" w:rsidRPr="00326BEB">
        <w:rPr>
          <w:sz w:val="20"/>
          <w:szCs w:val="20"/>
        </w:rPr>
        <w:t xml:space="preserve">, the representative of </w:t>
      </w:r>
      <w:r w:rsidR="009539C3">
        <w:rPr>
          <w:sz w:val="20"/>
          <w:szCs w:val="20"/>
        </w:rPr>
        <w:t xml:space="preserve">Cuba </w:t>
      </w:r>
      <w:r w:rsidR="009539C3" w:rsidRPr="00326BEB">
        <w:rPr>
          <w:sz w:val="20"/>
          <w:szCs w:val="20"/>
        </w:rPr>
        <w:t>introduced draft resolution A/HRC/</w:t>
      </w:r>
      <w:r w:rsidR="009539C3">
        <w:rPr>
          <w:sz w:val="20"/>
          <w:szCs w:val="20"/>
        </w:rPr>
        <w:t>40</w:t>
      </w:r>
      <w:r w:rsidR="009539C3" w:rsidRPr="00326BEB">
        <w:rPr>
          <w:sz w:val="20"/>
          <w:szCs w:val="20"/>
        </w:rPr>
        <w:t>/L.</w:t>
      </w:r>
      <w:r w:rsidR="009539C3">
        <w:rPr>
          <w:sz w:val="20"/>
          <w:szCs w:val="20"/>
        </w:rPr>
        <w:t>11</w:t>
      </w:r>
      <w:r w:rsidR="009539C3" w:rsidRPr="00326BEB">
        <w:rPr>
          <w:sz w:val="20"/>
          <w:szCs w:val="20"/>
        </w:rPr>
        <w:t xml:space="preserve">, sponsored by </w:t>
      </w:r>
      <w:r w:rsidR="009539C3">
        <w:rPr>
          <w:sz w:val="20"/>
          <w:szCs w:val="20"/>
        </w:rPr>
        <w:t xml:space="preserve">Cuba and co-sponsored by </w:t>
      </w:r>
      <w:r w:rsidR="009539C3" w:rsidRPr="009539C3">
        <w:rPr>
          <w:sz w:val="20"/>
          <w:szCs w:val="20"/>
        </w:rPr>
        <w:t xml:space="preserve">Austria, Bolivia (Plurinational State of), Chile, Cyprus, Egypt, France, Greece, Haiti, Italy, Mexico, Nicaragua, </w:t>
      </w:r>
      <w:r w:rsidR="009539C3">
        <w:rPr>
          <w:sz w:val="20"/>
          <w:szCs w:val="20"/>
        </w:rPr>
        <w:t xml:space="preserve">the </w:t>
      </w:r>
      <w:r w:rsidR="009539C3" w:rsidRPr="009539C3">
        <w:rPr>
          <w:sz w:val="20"/>
          <w:szCs w:val="20"/>
        </w:rPr>
        <w:t>Philippines, Portugal, Spain, Uruguay, Venezuela (Bolivarian Republic of)</w:t>
      </w:r>
      <w:r w:rsidR="009539C3">
        <w:rPr>
          <w:sz w:val="20"/>
          <w:szCs w:val="20"/>
        </w:rPr>
        <w:t xml:space="preserve"> and the</w:t>
      </w:r>
      <w:r w:rsidR="009539C3" w:rsidRPr="009539C3">
        <w:rPr>
          <w:sz w:val="20"/>
          <w:szCs w:val="20"/>
        </w:rPr>
        <w:t xml:space="preserve"> State of Palestine</w:t>
      </w:r>
      <w:r w:rsidR="009539C3" w:rsidRPr="00326BEB">
        <w:rPr>
          <w:sz w:val="20"/>
          <w:szCs w:val="20"/>
        </w:rPr>
        <w:t xml:space="preserve">. Subsequently, </w:t>
      </w:r>
      <w:r w:rsidR="009539C3" w:rsidRPr="009539C3">
        <w:rPr>
          <w:sz w:val="20"/>
          <w:szCs w:val="20"/>
        </w:rPr>
        <w:t>Azerbaijan</w:t>
      </w:r>
      <w:r w:rsidR="009539C3">
        <w:rPr>
          <w:sz w:val="20"/>
          <w:szCs w:val="20"/>
        </w:rPr>
        <w:t xml:space="preserve">, </w:t>
      </w:r>
      <w:r w:rsidR="009539C3" w:rsidRPr="009539C3">
        <w:rPr>
          <w:sz w:val="20"/>
          <w:szCs w:val="20"/>
        </w:rPr>
        <w:t>Bahrain (on behalf of the Group of Arab States)</w:t>
      </w:r>
      <w:r w:rsidR="009539C3">
        <w:rPr>
          <w:sz w:val="20"/>
          <w:szCs w:val="20"/>
        </w:rPr>
        <w:t xml:space="preserve">, </w:t>
      </w:r>
      <w:r w:rsidR="009539C3" w:rsidRPr="009539C3">
        <w:rPr>
          <w:sz w:val="20"/>
          <w:szCs w:val="20"/>
        </w:rPr>
        <w:t>Bangladesh</w:t>
      </w:r>
      <w:r w:rsidR="009539C3">
        <w:rPr>
          <w:sz w:val="20"/>
          <w:szCs w:val="20"/>
        </w:rPr>
        <w:t xml:space="preserve">, </w:t>
      </w:r>
      <w:r w:rsidR="009539C3" w:rsidRPr="009539C3">
        <w:rPr>
          <w:sz w:val="20"/>
          <w:szCs w:val="20"/>
        </w:rPr>
        <w:t>Belarus</w:t>
      </w:r>
      <w:r w:rsidR="009539C3">
        <w:rPr>
          <w:sz w:val="20"/>
          <w:szCs w:val="20"/>
        </w:rPr>
        <w:t xml:space="preserve">, </w:t>
      </w:r>
      <w:r w:rsidR="009539C3" w:rsidRPr="009539C3">
        <w:rPr>
          <w:sz w:val="20"/>
          <w:szCs w:val="20"/>
        </w:rPr>
        <w:t>Burkina Faso</w:t>
      </w:r>
      <w:r w:rsidR="009539C3">
        <w:rPr>
          <w:sz w:val="20"/>
          <w:szCs w:val="20"/>
        </w:rPr>
        <w:t xml:space="preserve">, </w:t>
      </w:r>
      <w:r w:rsidR="009539C3" w:rsidRPr="009539C3">
        <w:rPr>
          <w:sz w:val="20"/>
          <w:szCs w:val="20"/>
        </w:rPr>
        <w:t>Canada</w:t>
      </w:r>
      <w:r w:rsidR="009539C3">
        <w:rPr>
          <w:sz w:val="20"/>
          <w:szCs w:val="20"/>
        </w:rPr>
        <w:t xml:space="preserve">, the </w:t>
      </w:r>
      <w:r w:rsidR="009539C3" w:rsidRPr="009539C3">
        <w:rPr>
          <w:sz w:val="20"/>
          <w:szCs w:val="20"/>
        </w:rPr>
        <w:t>Democratic People</w:t>
      </w:r>
      <w:r w:rsidR="00D72627">
        <w:rPr>
          <w:sz w:val="20"/>
          <w:szCs w:val="20"/>
        </w:rPr>
        <w:t>’</w:t>
      </w:r>
      <w:r w:rsidR="009539C3" w:rsidRPr="009539C3">
        <w:rPr>
          <w:sz w:val="20"/>
          <w:szCs w:val="20"/>
        </w:rPr>
        <w:t>s Republic of Korea</w:t>
      </w:r>
      <w:r w:rsidR="009539C3">
        <w:rPr>
          <w:sz w:val="20"/>
          <w:szCs w:val="20"/>
        </w:rPr>
        <w:t xml:space="preserve">, </w:t>
      </w:r>
      <w:r w:rsidR="009539C3" w:rsidRPr="009539C3">
        <w:rPr>
          <w:sz w:val="20"/>
          <w:szCs w:val="20"/>
        </w:rPr>
        <w:t>Ecuador</w:t>
      </w:r>
      <w:r w:rsidR="009539C3">
        <w:rPr>
          <w:sz w:val="20"/>
          <w:szCs w:val="20"/>
        </w:rPr>
        <w:t xml:space="preserve">, </w:t>
      </w:r>
      <w:r w:rsidR="009539C3" w:rsidRPr="009539C3">
        <w:rPr>
          <w:sz w:val="20"/>
          <w:szCs w:val="20"/>
        </w:rPr>
        <w:t>Guatemala</w:t>
      </w:r>
      <w:r w:rsidR="009539C3">
        <w:rPr>
          <w:sz w:val="20"/>
          <w:szCs w:val="20"/>
        </w:rPr>
        <w:t xml:space="preserve">, </w:t>
      </w:r>
      <w:r w:rsidR="009539C3" w:rsidRPr="009539C3">
        <w:rPr>
          <w:sz w:val="20"/>
          <w:szCs w:val="20"/>
        </w:rPr>
        <w:t>Indonesia</w:t>
      </w:r>
      <w:r w:rsidR="009539C3">
        <w:rPr>
          <w:sz w:val="20"/>
          <w:szCs w:val="20"/>
        </w:rPr>
        <w:t xml:space="preserve">, </w:t>
      </w:r>
      <w:r w:rsidR="009539C3" w:rsidRPr="009539C3">
        <w:rPr>
          <w:sz w:val="20"/>
          <w:szCs w:val="20"/>
        </w:rPr>
        <w:t>Iran (Islamic Republic of)</w:t>
      </w:r>
      <w:r w:rsidR="009539C3">
        <w:rPr>
          <w:sz w:val="20"/>
          <w:szCs w:val="20"/>
        </w:rPr>
        <w:t xml:space="preserve">, </w:t>
      </w:r>
      <w:r w:rsidR="009539C3" w:rsidRPr="009539C3">
        <w:rPr>
          <w:sz w:val="20"/>
          <w:szCs w:val="20"/>
        </w:rPr>
        <w:t>Malaysia</w:t>
      </w:r>
      <w:r w:rsidR="009539C3">
        <w:rPr>
          <w:sz w:val="20"/>
          <w:szCs w:val="20"/>
        </w:rPr>
        <w:t xml:space="preserve">, </w:t>
      </w:r>
      <w:r w:rsidR="009539C3" w:rsidRPr="009539C3">
        <w:rPr>
          <w:sz w:val="20"/>
          <w:szCs w:val="20"/>
        </w:rPr>
        <w:t>Norway</w:t>
      </w:r>
      <w:r w:rsidR="009539C3">
        <w:rPr>
          <w:sz w:val="20"/>
          <w:szCs w:val="20"/>
        </w:rPr>
        <w:t xml:space="preserve">, </w:t>
      </w:r>
      <w:r w:rsidR="009539C3" w:rsidRPr="009539C3">
        <w:rPr>
          <w:sz w:val="20"/>
          <w:szCs w:val="20"/>
        </w:rPr>
        <w:t>Pakistan</w:t>
      </w:r>
      <w:r w:rsidR="009539C3">
        <w:rPr>
          <w:sz w:val="20"/>
          <w:szCs w:val="20"/>
        </w:rPr>
        <w:t xml:space="preserve">, </w:t>
      </w:r>
      <w:r w:rsidR="009539C3" w:rsidRPr="009539C3">
        <w:rPr>
          <w:sz w:val="20"/>
          <w:szCs w:val="20"/>
        </w:rPr>
        <w:t>Panama</w:t>
      </w:r>
      <w:r w:rsidR="009539C3">
        <w:rPr>
          <w:sz w:val="20"/>
          <w:szCs w:val="20"/>
        </w:rPr>
        <w:t xml:space="preserve">, the </w:t>
      </w:r>
      <w:r w:rsidR="009539C3" w:rsidRPr="009539C3">
        <w:rPr>
          <w:sz w:val="20"/>
          <w:szCs w:val="20"/>
        </w:rPr>
        <w:t>Republic of Korea</w:t>
      </w:r>
      <w:r w:rsidR="009539C3">
        <w:rPr>
          <w:sz w:val="20"/>
          <w:szCs w:val="20"/>
        </w:rPr>
        <w:t xml:space="preserve">, </w:t>
      </w:r>
      <w:r w:rsidR="009539C3" w:rsidRPr="009539C3">
        <w:rPr>
          <w:sz w:val="20"/>
          <w:szCs w:val="20"/>
        </w:rPr>
        <w:t>Sri Lanka</w:t>
      </w:r>
      <w:r w:rsidR="009539C3">
        <w:rPr>
          <w:sz w:val="20"/>
          <w:szCs w:val="20"/>
        </w:rPr>
        <w:t xml:space="preserve">, </w:t>
      </w:r>
      <w:r w:rsidR="009539C3" w:rsidRPr="009539C3">
        <w:rPr>
          <w:sz w:val="20"/>
          <w:szCs w:val="20"/>
        </w:rPr>
        <w:t>Switzerland</w:t>
      </w:r>
      <w:r w:rsidR="009539C3">
        <w:rPr>
          <w:sz w:val="20"/>
          <w:szCs w:val="20"/>
        </w:rPr>
        <w:t xml:space="preserve">, the Syrian Arab Republic, </w:t>
      </w:r>
      <w:r w:rsidR="009539C3" w:rsidRPr="009539C3">
        <w:rPr>
          <w:sz w:val="20"/>
          <w:szCs w:val="20"/>
        </w:rPr>
        <w:t>Thailand</w:t>
      </w:r>
      <w:r w:rsidR="009539C3">
        <w:rPr>
          <w:sz w:val="20"/>
          <w:szCs w:val="20"/>
        </w:rPr>
        <w:t xml:space="preserve">, </w:t>
      </w:r>
      <w:r w:rsidR="009539C3" w:rsidRPr="009539C3">
        <w:rPr>
          <w:sz w:val="20"/>
          <w:szCs w:val="20"/>
        </w:rPr>
        <w:t>Timor-Leste</w:t>
      </w:r>
      <w:r w:rsidR="009539C3">
        <w:rPr>
          <w:sz w:val="20"/>
          <w:szCs w:val="20"/>
        </w:rPr>
        <w:t xml:space="preserve"> and </w:t>
      </w:r>
      <w:r w:rsidR="009539C3" w:rsidRPr="009539C3">
        <w:rPr>
          <w:sz w:val="20"/>
          <w:szCs w:val="20"/>
        </w:rPr>
        <w:t>Viet Nam</w:t>
      </w:r>
      <w:r w:rsidR="009539C3">
        <w:rPr>
          <w:sz w:val="20"/>
          <w:szCs w:val="20"/>
        </w:rPr>
        <w:t xml:space="preserve"> </w:t>
      </w:r>
      <w:r w:rsidR="009539C3" w:rsidRPr="00326BEB">
        <w:rPr>
          <w:sz w:val="20"/>
          <w:szCs w:val="20"/>
        </w:rPr>
        <w:t>joined the sponsors.</w:t>
      </w:r>
    </w:p>
    <w:p w14:paraId="0D8B2860" w14:textId="044086E5" w:rsidR="009539C3" w:rsidRDefault="002B4AE4" w:rsidP="009539C3">
      <w:pPr>
        <w:pStyle w:val="SingleTxtG"/>
        <w:rPr>
          <w:rFonts w:eastAsia="SimSun"/>
          <w:sz w:val="20"/>
          <w:szCs w:val="20"/>
          <w:lang w:eastAsia="ar-SA"/>
        </w:rPr>
      </w:pPr>
      <w:r>
        <w:rPr>
          <w:rFonts w:eastAsia="SimSun"/>
          <w:sz w:val="20"/>
          <w:szCs w:val="20"/>
          <w:lang w:eastAsia="ar-SA"/>
        </w:rPr>
        <w:t>210</w:t>
      </w:r>
      <w:r w:rsidR="009539C3" w:rsidRPr="00326BEB">
        <w:rPr>
          <w:rFonts w:eastAsia="SimSun"/>
          <w:sz w:val="20"/>
          <w:szCs w:val="20"/>
          <w:lang w:eastAsia="ar-SA"/>
        </w:rPr>
        <w:t>.</w:t>
      </w:r>
      <w:r w:rsidR="009539C3" w:rsidRPr="00326BEB">
        <w:rPr>
          <w:rFonts w:eastAsia="SimSun"/>
          <w:sz w:val="20"/>
          <w:szCs w:val="20"/>
          <w:lang w:eastAsia="ar-SA"/>
        </w:rPr>
        <w:tab/>
        <w:t xml:space="preserve">At the same meeting, the draft resolution was adopted without a vote (resolution </w:t>
      </w:r>
      <w:r w:rsidR="009539C3">
        <w:rPr>
          <w:rFonts w:eastAsia="SimSun"/>
          <w:sz w:val="20"/>
          <w:szCs w:val="20"/>
          <w:lang w:eastAsia="ar-SA"/>
        </w:rPr>
        <w:t>40</w:t>
      </w:r>
      <w:r w:rsidR="009539C3" w:rsidRPr="00326BEB">
        <w:rPr>
          <w:rFonts w:eastAsia="SimSun"/>
          <w:sz w:val="20"/>
          <w:szCs w:val="20"/>
          <w:lang w:eastAsia="ar-SA"/>
        </w:rPr>
        <w:t>/</w:t>
      </w:r>
      <w:r w:rsidR="009539C3">
        <w:rPr>
          <w:rFonts w:eastAsia="SimSun"/>
          <w:sz w:val="20"/>
          <w:szCs w:val="20"/>
          <w:lang w:eastAsia="ar-SA"/>
        </w:rPr>
        <w:t>6</w:t>
      </w:r>
      <w:r w:rsidR="009539C3" w:rsidRPr="00326BEB">
        <w:rPr>
          <w:rFonts w:eastAsia="SimSun"/>
          <w:sz w:val="20"/>
          <w:szCs w:val="20"/>
          <w:lang w:eastAsia="ar-SA"/>
        </w:rPr>
        <w:t>).</w:t>
      </w:r>
    </w:p>
    <w:p w14:paraId="67FE250B" w14:textId="7AD2245F" w:rsidR="009539C3" w:rsidRDefault="009539C3" w:rsidP="009539C3">
      <w:pPr>
        <w:pStyle w:val="SingleTxtG"/>
        <w:rPr>
          <w:b/>
          <w:sz w:val="20"/>
          <w:szCs w:val="20"/>
        </w:rPr>
      </w:pPr>
      <w:r w:rsidRPr="009539C3">
        <w:rPr>
          <w:b/>
          <w:sz w:val="20"/>
          <w:szCs w:val="20"/>
        </w:rPr>
        <w:t>The right to food</w:t>
      </w:r>
    </w:p>
    <w:p w14:paraId="1BE00C09" w14:textId="5B6E50AF" w:rsidR="009539C3" w:rsidRDefault="002B4AE4" w:rsidP="009539C3">
      <w:pPr>
        <w:pStyle w:val="SingleTxtG"/>
        <w:rPr>
          <w:sz w:val="20"/>
          <w:szCs w:val="20"/>
        </w:rPr>
      </w:pPr>
      <w:r>
        <w:rPr>
          <w:sz w:val="20"/>
          <w:szCs w:val="20"/>
        </w:rPr>
        <w:t>211</w:t>
      </w:r>
      <w:r w:rsidR="009539C3" w:rsidRPr="00326BEB">
        <w:rPr>
          <w:sz w:val="20"/>
          <w:szCs w:val="20"/>
        </w:rPr>
        <w:t>.</w:t>
      </w:r>
      <w:r w:rsidR="009539C3" w:rsidRPr="00326BEB">
        <w:rPr>
          <w:sz w:val="20"/>
          <w:szCs w:val="20"/>
        </w:rPr>
        <w:tab/>
        <w:t xml:space="preserve">At the </w:t>
      </w:r>
      <w:r w:rsidR="009539C3">
        <w:rPr>
          <w:sz w:val="20"/>
          <w:szCs w:val="20"/>
        </w:rPr>
        <w:t>52nd</w:t>
      </w:r>
      <w:r w:rsidR="009539C3" w:rsidRPr="00326BEB">
        <w:rPr>
          <w:sz w:val="20"/>
          <w:szCs w:val="20"/>
        </w:rPr>
        <w:t xml:space="preserve"> meeting, on </w:t>
      </w:r>
      <w:r w:rsidR="009539C3">
        <w:rPr>
          <w:sz w:val="20"/>
          <w:szCs w:val="20"/>
        </w:rPr>
        <w:t>21 March 2019</w:t>
      </w:r>
      <w:r w:rsidR="009539C3" w:rsidRPr="00326BEB">
        <w:rPr>
          <w:sz w:val="20"/>
          <w:szCs w:val="20"/>
        </w:rPr>
        <w:t xml:space="preserve">, the representative of </w:t>
      </w:r>
      <w:r w:rsidR="009539C3">
        <w:rPr>
          <w:sz w:val="20"/>
          <w:szCs w:val="20"/>
        </w:rPr>
        <w:t xml:space="preserve">Cuba </w:t>
      </w:r>
      <w:r w:rsidR="009539C3" w:rsidRPr="00326BEB">
        <w:rPr>
          <w:sz w:val="20"/>
          <w:szCs w:val="20"/>
        </w:rPr>
        <w:t>introduced draft resolution A/HRC/</w:t>
      </w:r>
      <w:r w:rsidR="009539C3">
        <w:rPr>
          <w:sz w:val="20"/>
          <w:szCs w:val="20"/>
        </w:rPr>
        <w:t>40</w:t>
      </w:r>
      <w:r w:rsidR="009539C3" w:rsidRPr="00326BEB">
        <w:rPr>
          <w:sz w:val="20"/>
          <w:szCs w:val="20"/>
        </w:rPr>
        <w:t>/L.</w:t>
      </w:r>
      <w:r w:rsidR="009539C3">
        <w:rPr>
          <w:sz w:val="20"/>
          <w:szCs w:val="20"/>
        </w:rPr>
        <w:t>1</w:t>
      </w:r>
      <w:r w:rsidR="00832D53">
        <w:rPr>
          <w:sz w:val="20"/>
          <w:szCs w:val="20"/>
        </w:rPr>
        <w:t>2</w:t>
      </w:r>
      <w:r w:rsidR="009539C3" w:rsidRPr="00326BEB">
        <w:rPr>
          <w:sz w:val="20"/>
          <w:szCs w:val="20"/>
        </w:rPr>
        <w:t xml:space="preserve">, sponsored by </w:t>
      </w:r>
      <w:r w:rsidR="009539C3">
        <w:rPr>
          <w:sz w:val="20"/>
          <w:szCs w:val="20"/>
        </w:rPr>
        <w:t xml:space="preserve">Cuba and co-sponsored by </w:t>
      </w:r>
      <w:r w:rsidR="00832D53" w:rsidRPr="00832D53">
        <w:rPr>
          <w:sz w:val="20"/>
          <w:szCs w:val="20"/>
        </w:rPr>
        <w:t xml:space="preserve">Bolivia (Plurinational State of), Egypt, Haiti, Mexico, Nicaragua, Peru, </w:t>
      </w:r>
      <w:r w:rsidR="00832D53">
        <w:rPr>
          <w:sz w:val="20"/>
          <w:szCs w:val="20"/>
        </w:rPr>
        <w:t xml:space="preserve">the </w:t>
      </w:r>
      <w:r w:rsidR="00832D53" w:rsidRPr="00832D53">
        <w:rPr>
          <w:sz w:val="20"/>
          <w:szCs w:val="20"/>
        </w:rPr>
        <w:t>Philippines, Turkey, Venezuela (Bolivarian Republic of)</w:t>
      </w:r>
      <w:r w:rsidR="00832D53">
        <w:rPr>
          <w:sz w:val="20"/>
          <w:szCs w:val="20"/>
        </w:rPr>
        <w:t xml:space="preserve"> and the</w:t>
      </w:r>
      <w:r w:rsidR="00832D53" w:rsidRPr="00832D53">
        <w:rPr>
          <w:sz w:val="20"/>
          <w:szCs w:val="20"/>
        </w:rPr>
        <w:t xml:space="preserve"> State of Palestine</w:t>
      </w:r>
      <w:r w:rsidR="009539C3" w:rsidRPr="00326BEB">
        <w:rPr>
          <w:sz w:val="20"/>
          <w:szCs w:val="20"/>
        </w:rPr>
        <w:t xml:space="preserve">. Subsequently, </w:t>
      </w:r>
      <w:r w:rsidR="00832D53" w:rsidRPr="00832D53">
        <w:rPr>
          <w:sz w:val="20"/>
          <w:szCs w:val="20"/>
        </w:rPr>
        <w:t>Albania</w:t>
      </w:r>
      <w:r w:rsidR="00832D53">
        <w:rPr>
          <w:sz w:val="20"/>
          <w:szCs w:val="20"/>
        </w:rPr>
        <w:t xml:space="preserve">, </w:t>
      </w:r>
      <w:r w:rsidR="00832D53" w:rsidRPr="00832D53">
        <w:rPr>
          <w:sz w:val="20"/>
          <w:szCs w:val="20"/>
        </w:rPr>
        <w:t>Andorra</w:t>
      </w:r>
      <w:r w:rsidR="00832D53">
        <w:rPr>
          <w:sz w:val="20"/>
          <w:szCs w:val="20"/>
        </w:rPr>
        <w:t xml:space="preserve">, </w:t>
      </w:r>
      <w:r w:rsidR="00832D53" w:rsidRPr="00832D53">
        <w:rPr>
          <w:sz w:val="20"/>
          <w:szCs w:val="20"/>
        </w:rPr>
        <w:t>Austria</w:t>
      </w:r>
      <w:r w:rsidR="00832D53">
        <w:rPr>
          <w:sz w:val="20"/>
          <w:szCs w:val="20"/>
        </w:rPr>
        <w:t xml:space="preserve">, </w:t>
      </w:r>
      <w:r w:rsidR="00832D53" w:rsidRPr="00832D53">
        <w:rPr>
          <w:sz w:val="20"/>
          <w:szCs w:val="20"/>
        </w:rPr>
        <w:t>Azerbaijan</w:t>
      </w:r>
      <w:r w:rsidR="00832D53">
        <w:rPr>
          <w:sz w:val="20"/>
          <w:szCs w:val="20"/>
        </w:rPr>
        <w:t xml:space="preserve">, </w:t>
      </w:r>
      <w:r w:rsidR="00832D53" w:rsidRPr="00832D53">
        <w:rPr>
          <w:sz w:val="20"/>
          <w:szCs w:val="20"/>
        </w:rPr>
        <w:t>Bahrain (on behalf of the Group of Arab States)</w:t>
      </w:r>
      <w:r w:rsidR="00832D53">
        <w:rPr>
          <w:sz w:val="20"/>
          <w:szCs w:val="20"/>
        </w:rPr>
        <w:t xml:space="preserve">, </w:t>
      </w:r>
      <w:r w:rsidR="00832D53" w:rsidRPr="00832D53">
        <w:rPr>
          <w:sz w:val="20"/>
          <w:szCs w:val="20"/>
        </w:rPr>
        <w:t>Bangladesh</w:t>
      </w:r>
      <w:r w:rsidR="00832D53">
        <w:rPr>
          <w:sz w:val="20"/>
          <w:szCs w:val="20"/>
        </w:rPr>
        <w:t xml:space="preserve">, </w:t>
      </w:r>
      <w:r w:rsidR="00832D53" w:rsidRPr="00832D53">
        <w:rPr>
          <w:sz w:val="20"/>
          <w:szCs w:val="20"/>
        </w:rPr>
        <w:t>Belarus</w:t>
      </w:r>
      <w:r w:rsidR="00832D53">
        <w:rPr>
          <w:sz w:val="20"/>
          <w:szCs w:val="20"/>
        </w:rPr>
        <w:t xml:space="preserve">, </w:t>
      </w:r>
      <w:r w:rsidR="00832D53" w:rsidRPr="00832D53">
        <w:rPr>
          <w:sz w:val="20"/>
          <w:szCs w:val="20"/>
        </w:rPr>
        <w:t>Burkina Faso</w:t>
      </w:r>
      <w:r w:rsidR="00832D53">
        <w:rPr>
          <w:sz w:val="20"/>
          <w:szCs w:val="20"/>
        </w:rPr>
        <w:t xml:space="preserve">, </w:t>
      </w:r>
      <w:r w:rsidR="00832D53" w:rsidRPr="00832D53">
        <w:rPr>
          <w:sz w:val="20"/>
          <w:szCs w:val="20"/>
        </w:rPr>
        <w:t>China</w:t>
      </w:r>
      <w:r w:rsidR="00832D53">
        <w:rPr>
          <w:sz w:val="20"/>
          <w:szCs w:val="20"/>
        </w:rPr>
        <w:t xml:space="preserve">, </w:t>
      </w:r>
      <w:r w:rsidR="00832D53" w:rsidRPr="00832D53">
        <w:rPr>
          <w:sz w:val="20"/>
          <w:szCs w:val="20"/>
        </w:rPr>
        <w:t>Cyprus</w:t>
      </w:r>
      <w:r w:rsidR="00832D53">
        <w:rPr>
          <w:sz w:val="20"/>
          <w:szCs w:val="20"/>
        </w:rPr>
        <w:t xml:space="preserve">, the </w:t>
      </w:r>
      <w:r w:rsidR="00832D53" w:rsidRPr="00832D53">
        <w:rPr>
          <w:sz w:val="20"/>
          <w:szCs w:val="20"/>
        </w:rPr>
        <w:t>Democratic People</w:t>
      </w:r>
      <w:r w:rsidR="00D72627">
        <w:rPr>
          <w:sz w:val="20"/>
          <w:szCs w:val="20"/>
        </w:rPr>
        <w:t>’</w:t>
      </w:r>
      <w:r w:rsidR="00832D53" w:rsidRPr="00832D53">
        <w:rPr>
          <w:sz w:val="20"/>
          <w:szCs w:val="20"/>
        </w:rPr>
        <w:t>s Republic of Korea</w:t>
      </w:r>
      <w:r w:rsidR="00832D53">
        <w:rPr>
          <w:sz w:val="20"/>
          <w:szCs w:val="20"/>
        </w:rPr>
        <w:t xml:space="preserve">, </w:t>
      </w:r>
      <w:r w:rsidR="00832D53" w:rsidRPr="00832D53">
        <w:rPr>
          <w:sz w:val="20"/>
          <w:szCs w:val="20"/>
        </w:rPr>
        <w:t>Ecuador</w:t>
      </w:r>
      <w:r w:rsidR="00832D53">
        <w:rPr>
          <w:sz w:val="20"/>
          <w:szCs w:val="20"/>
        </w:rPr>
        <w:t xml:space="preserve">, </w:t>
      </w:r>
      <w:r w:rsidR="00832D53" w:rsidRPr="00832D53">
        <w:rPr>
          <w:sz w:val="20"/>
          <w:szCs w:val="20"/>
        </w:rPr>
        <w:t>Greece</w:t>
      </w:r>
      <w:r w:rsidR="00832D53">
        <w:rPr>
          <w:sz w:val="20"/>
          <w:szCs w:val="20"/>
        </w:rPr>
        <w:t xml:space="preserve">, </w:t>
      </w:r>
      <w:r w:rsidR="00832D53" w:rsidRPr="00832D53">
        <w:rPr>
          <w:sz w:val="20"/>
          <w:szCs w:val="20"/>
        </w:rPr>
        <w:t>Guyana</w:t>
      </w:r>
      <w:r w:rsidR="00832D53">
        <w:rPr>
          <w:sz w:val="20"/>
          <w:szCs w:val="20"/>
        </w:rPr>
        <w:t xml:space="preserve">, Hungary, </w:t>
      </w:r>
      <w:r w:rsidR="00832D53" w:rsidRPr="00832D53">
        <w:rPr>
          <w:sz w:val="20"/>
          <w:szCs w:val="20"/>
        </w:rPr>
        <w:t>Iran</w:t>
      </w:r>
      <w:r w:rsidR="00832D53">
        <w:rPr>
          <w:sz w:val="20"/>
          <w:szCs w:val="20"/>
        </w:rPr>
        <w:t xml:space="preserve"> (Islamic Republic of), </w:t>
      </w:r>
      <w:r w:rsidR="00832D53" w:rsidRPr="00832D53">
        <w:rPr>
          <w:sz w:val="20"/>
          <w:szCs w:val="20"/>
        </w:rPr>
        <w:t>Italy</w:t>
      </w:r>
      <w:r w:rsidR="00832D53">
        <w:rPr>
          <w:sz w:val="20"/>
          <w:szCs w:val="20"/>
        </w:rPr>
        <w:t xml:space="preserve">, </w:t>
      </w:r>
      <w:r w:rsidR="00832D53" w:rsidRPr="00832D53">
        <w:rPr>
          <w:sz w:val="20"/>
          <w:szCs w:val="20"/>
        </w:rPr>
        <w:t>Japan</w:t>
      </w:r>
      <w:r w:rsidR="00832D53">
        <w:rPr>
          <w:sz w:val="20"/>
          <w:szCs w:val="20"/>
        </w:rPr>
        <w:t xml:space="preserve">, </w:t>
      </w:r>
      <w:r w:rsidR="00832D53" w:rsidRPr="00832D53">
        <w:rPr>
          <w:sz w:val="20"/>
          <w:szCs w:val="20"/>
        </w:rPr>
        <w:t>Malaysia</w:t>
      </w:r>
      <w:r w:rsidR="00832D53">
        <w:rPr>
          <w:sz w:val="20"/>
          <w:szCs w:val="20"/>
        </w:rPr>
        <w:t xml:space="preserve">, Maldives, </w:t>
      </w:r>
      <w:r w:rsidR="00832D53" w:rsidRPr="00832D53">
        <w:rPr>
          <w:sz w:val="20"/>
          <w:szCs w:val="20"/>
        </w:rPr>
        <w:t>Malta</w:t>
      </w:r>
      <w:r w:rsidR="00832D53">
        <w:rPr>
          <w:sz w:val="20"/>
          <w:szCs w:val="20"/>
        </w:rPr>
        <w:t xml:space="preserve">, </w:t>
      </w:r>
      <w:r w:rsidR="00832D53" w:rsidRPr="00832D53">
        <w:rPr>
          <w:sz w:val="20"/>
          <w:szCs w:val="20"/>
        </w:rPr>
        <w:t>Monaco</w:t>
      </w:r>
      <w:r w:rsidR="00832D53">
        <w:rPr>
          <w:sz w:val="20"/>
          <w:szCs w:val="20"/>
        </w:rPr>
        <w:t xml:space="preserve">, </w:t>
      </w:r>
      <w:r w:rsidR="00832D53" w:rsidRPr="00832D53">
        <w:rPr>
          <w:sz w:val="20"/>
          <w:szCs w:val="20"/>
        </w:rPr>
        <w:lastRenderedPageBreak/>
        <w:t>Mongolia</w:t>
      </w:r>
      <w:r w:rsidR="00832D53">
        <w:rPr>
          <w:sz w:val="20"/>
          <w:szCs w:val="20"/>
        </w:rPr>
        <w:t xml:space="preserve">, </w:t>
      </w:r>
      <w:r w:rsidR="00832D53" w:rsidRPr="00832D53">
        <w:rPr>
          <w:sz w:val="20"/>
          <w:szCs w:val="20"/>
        </w:rPr>
        <w:t>Nepal</w:t>
      </w:r>
      <w:r w:rsidR="00832D53">
        <w:rPr>
          <w:sz w:val="20"/>
          <w:szCs w:val="20"/>
        </w:rPr>
        <w:t xml:space="preserve">, </w:t>
      </w:r>
      <w:r w:rsidR="00832D53" w:rsidRPr="00832D53">
        <w:rPr>
          <w:sz w:val="20"/>
          <w:szCs w:val="20"/>
        </w:rPr>
        <w:t>Panama</w:t>
      </w:r>
      <w:r w:rsidR="00832D53">
        <w:rPr>
          <w:sz w:val="20"/>
          <w:szCs w:val="20"/>
        </w:rPr>
        <w:t xml:space="preserve">, </w:t>
      </w:r>
      <w:r w:rsidR="00832D53" w:rsidRPr="00832D53">
        <w:rPr>
          <w:sz w:val="20"/>
          <w:szCs w:val="20"/>
        </w:rPr>
        <w:t>Paraguay</w:t>
      </w:r>
      <w:r w:rsidR="00832D53">
        <w:rPr>
          <w:sz w:val="20"/>
          <w:szCs w:val="20"/>
        </w:rPr>
        <w:t xml:space="preserve">, </w:t>
      </w:r>
      <w:r w:rsidR="00832D53" w:rsidRPr="00832D53">
        <w:rPr>
          <w:sz w:val="20"/>
          <w:szCs w:val="20"/>
        </w:rPr>
        <w:t>Portugal</w:t>
      </w:r>
      <w:r w:rsidR="00832D53">
        <w:rPr>
          <w:sz w:val="20"/>
          <w:szCs w:val="20"/>
        </w:rPr>
        <w:t xml:space="preserve">, </w:t>
      </w:r>
      <w:r w:rsidR="00832D53" w:rsidRPr="00832D53">
        <w:rPr>
          <w:sz w:val="20"/>
          <w:szCs w:val="20"/>
        </w:rPr>
        <w:t>Slovenia</w:t>
      </w:r>
      <w:r w:rsidR="00832D53">
        <w:rPr>
          <w:sz w:val="20"/>
          <w:szCs w:val="20"/>
        </w:rPr>
        <w:t xml:space="preserve">, </w:t>
      </w:r>
      <w:r w:rsidR="00832D53" w:rsidRPr="00832D53">
        <w:rPr>
          <w:sz w:val="20"/>
          <w:szCs w:val="20"/>
        </w:rPr>
        <w:t>Spain</w:t>
      </w:r>
      <w:r w:rsidR="00832D53">
        <w:rPr>
          <w:sz w:val="20"/>
          <w:szCs w:val="20"/>
        </w:rPr>
        <w:t xml:space="preserve">, Switzerland, the </w:t>
      </w:r>
      <w:r w:rsidR="00832D53" w:rsidRPr="00832D53">
        <w:rPr>
          <w:sz w:val="20"/>
          <w:szCs w:val="20"/>
        </w:rPr>
        <w:t>Syrian Arab Republic</w:t>
      </w:r>
      <w:r w:rsidR="00832D53">
        <w:rPr>
          <w:sz w:val="20"/>
          <w:szCs w:val="20"/>
        </w:rPr>
        <w:t xml:space="preserve">, </w:t>
      </w:r>
      <w:r w:rsidR="00832D53" w:rsidRPr="00832D53">
        <w:rPr>
          <w:sz w:val="20"/>
          <w:szCs w:val="20"/>
        </w:rPr>
        <w:t>Thailand</w:t>
      </w:r>
      <w:r w:rsidR="00832D53">
        <w:rPr>
          <w:sz w:val="20"/>
          <w:szCs w:val="20"/>
        </w:rPr>
        <w:t xml:space="preserve"> and </w:t>
      </w:r>
      <w:r w:rsidR="00832D53" w:rsidRPr="00832D53">
        <w:rPr>
          <w:sz w:val="20"/>
          <w:szCs w:val="20"/>
        </w:rPr>
        <w:t>Viet Nam</w:t>
      </w:r>
      <w:r w:rsidR="00832D53">
        <w:rPr>
          <w:sz w:val="20"/>
          <w:szCs w:val="20"/>
        </w:rPr>
        <w:t xml:space="preserve"> </w:t>
      </w:r>
      <w:r w:rsidR="009539C3" w:rsidRPr="00326BEB">
        <w:rPr>
          <w:sz w:val="20"/>
          <w:szCs w:val="20"/>
        </w:rPr>
        <w:t>joined the sponsors.</w:t>
      </w:r>
    </w:p>
    <w:p w14:paraId="714EE835" w14:textId="7D6B65A3" w:rsidR="00832D53" w:rsidRDefault="002B4AE4" w:rsidP="00832D53">
      <w:pPr>
        <w:spacing w:after="120"/>
        <w:ind w:left="1134" w:right="1134"/>
        <w:jc w:val="both"/>
        <w:rPr>
          <w:sz w:val="20"/>
          <w:szCs w:val="20"/>
        </w:rPr>
      </w:pPr>
      <w:r>
        <w:rPr>
          <w:sz w:val="20"/>
          <w:szCs w:val="20"/>
        </w:rPr>
        <w:t>212</w:t>
      </w:r>
      <w:r w:rsidR="00832D53" w:rsidRPr="00326BEB">
        <w:rPr>
          <w:sz w:val="20"/>
          <w:szCs w:val="20"/>
        </w:rPr>
        <w:t>.</w:t>
      </w:r>
      <w:r w:rsidR="00832D53" w:rsidRPr="00326BEB">
        <w:rPr>
          <w:sz w:val="20"/>
          <w:szCs w:val="20"/>
        </w:rPr>
        <w:tab/>
        <w:t>In accordance with rule 153 of the rules of procedure of the General Assembly, the attention of the Human Rights Council was drawn to the estimated administrative and programme budget implications of the draft resolution.</w:t>
      </w:r>
    </w:p>
    <w:p w14:paraId="59F04BB6" w14:textId="0FEE0CDB" w:rsidR="00832D53" w:rsidRPr="0023658A" w:rsidRDefault="002B4AE4" w:rsidP="00832D53">
      <w:pPr>
        <w:pStyle w:val="SingleTxtG"/>
        <w:rPr>
          <w:sz w:val="20"/>
          <w:szCs w:val="20"/>
        </w:rPr>
      </w:pPr>
      <w:r>
        <w:rPr>
          <w:sz w:val="20"/>
          <w:szCs w:val="20"/>
        </w:rPr>
        <w:t>213</w:t>
      </w:r>
      <w:r w:rsidR="00832D53" w:rsidRPr="0023658A">
        <w:rPr>
          <w:sz w:val="20"/>
          <w:szCs w:val="20"/>
        </w:rPr>
        <w:t>.</w:t>
      </w:r>
      <w:r w:rsidR="00832D53" w:rsidRPr="0023658A">
        <w:rPr>
          <w:sz w:val="20"/>
          <w:szCs w:val="20"/>
        </w:rPr>
        <w:tab/>
      </w:r>
      <w:r w:rsidR="00832D53" w:rsidRPr="0023658A">
        <w:rPr>
          <w:rFonts w:eastAsia="SimSun"/>
          <w:sz w:val="20"/>
          <w:szCs w:val="20"/>
          <w:lang w:eastAsia="ar-SA"/>
        </w:rPr>
        <w:t>At the same meeting</w:t>
      </w:r>
      <w:r w:rsidR="00832D53" w:rsidRPr="0023658A">
        <w:rPr>
          <w:sz w:val="20"/>
          <w:szCs w:val="20"/>
        </w:rPr>
        <w:t xml:space="preserve">, the representative of </w:t>
      </w:r>
      <w:r w:rsidR="00832D53">
        <w:rPr>
          <w:sz w:val="20"/>
          <w:szCs w:val="20"/>
        </w:rPr>
        <w:t xml:space="preserve">the </w:t>
      </w:r>
      <w:r w:rsidR="00832D53" w:rsidRPr="00832D53">
        <w:rPr>
          <w:sz w:val="20"/>
          <w:szCs w:val="20"/>
        </w:rPr>
        <w:t>United Kingdom of Great Britain and Northern Ireland</w:t>
      </w:r>
      <w:r w:rsidR="00832D53">
        <w:rPr>
          <w:sz w:val="20"/>
          <w:szCs w:val="20"/>
        </w:rPr>
        <w:t xml:space="preserve"> </w:t>
      </w:r>
      <w:r w:rsidR="00832D53" w:rsidRPr="0023658A">
        <w:rPr>
          <w:sz w:val="20"/>
          <w:szCs w:val="20"/>
        </w:rPr>
        <w:t xml:space="preserve">made </w:t>
      </w:r>
      <w:r w:rsidR="00832D53">
        <w:rPr>
          <w:sz w:val="20"/>
          <w:szCs w:val="20"/>
        </w:rPr>
        <w:t xml:space="preserve">a </w:t>
      </w:r>
      <w:r w:rsidR="00832D53" w:rsidRPr="0023658A">
        <w:rPr>
          <w:sz w:val="20"/>
          <w:szCs w:val="20"/>
        </w:rPr>
        <w:t>statement in explanation of vote before the vote.</w:t>
      </w:r>
    </w:p>
    <w:p w14:paraId="7D3A8477" w14:textId="0A129D59" w:rsidR="009539C3" w:rsidRPr="00326BEB" w:rsidRDefault="002B4AE4" w:rsidP="009539C3">
      <w:pPr>
        <w:pStyle w:val="SingleTxtG"/>
        <w:rPr>
          <w:rFonts w:eastAsia="SimSun"/>
          <w:sz w:val="20"/>
          <w:szCs w:val="20"/>
          <w:lang w:eastAsia="ar-SA"/>
        </w:rPr>
      </w:pPr>
      <w:r>
        <w:rPr>
          <w:rFonts w:eastAsia="SimSun"/>
          <w:sz w:val="20"/>
          <w:szCs w:val="20"/>
          <w:lang w:eastAsia="ar-SA"/>
        </w:rPr>
        <w:t>214</w:t>
      </w:r>
      <w:r w:rsidR="009539C3" w:rsidRPr="00326BEB">
        <w:rPr>
          <w:rFonts w:eastAsia="SimSun"/>
          <w:sz w:val="20"/>
          <w:szCs w:val="20"/>
          <w:lang w:eastAsia="ar-SA"/>
        </w:rPr>
        <w:t>.</w:t>
      </w:r>
      <w:r w:rsidR="009539C3" w:rsidRPr="00326BEB">
        <w:rPr>
          <w:rFonts w:eastAsia="SimSun"/>
          <w:sz w:val="20"/>
          <w:szCs w:val="20"/>
          <w:lang w:eastAsia="ar-SA"/>
        </w:rPr>
        <w:tab/>
        <w:t>A</w:t>
      </w:r>
      <w:r w:rsidR="00832D53">
        <w:rPr>
          <w:rFonts w:eastAsia="SimSun"/>
          <w:sz w:val="20"/>
          <w:szCs w:val="20"/>
          <w:lang w:eastAsia="ar-SA"/>
        </w:rPr>
        <w:t>lso a</w:t>
      </w:r>
      <w:r w:rsidR="009539C3" w:rsidRPr="00326BEB">
        <w:rPr>
          <w:rFonts w:eastAsia="SimSun"/>
          <w:sz w:val="20"/>
          <w:szCs w:val="20"/>
          <w:lang w:eastAsia="ar-SA"/>
        </w:rPr>
        <w:t xml:space="preserve">t the same meeting, the draft resolution was adopted without a vote (resolution </w:t>
      </w:r>
      <w:r w:rsidR="009539C3">
        <w:rPr>
          <w:rFonts w:eastAsia="SimSun"/>
          <w:sz w:val="20"/>
          <w:szCs w:val="20"/>
          <w:lang w:eastAsia="ar-SA"/>
        </w:rPr>
        <w:t>40</w:t>
      </w:r>
      <w:r w:rsidR="009539C3" w:rsidRPr="00326BEB">
        <w:rPr>
          <w:rFonts w:eastAsia="SimSun"/>
          <w:sz w:val="20"/>
          <w:szCs w:val="20"/>
          <w:lang w:eastAsia="ar-SA"/>
        </w:rPr>
        <w:t>/</w:t>
      </w:r>
      <w:r w:rsidR="00832D53">
        <w:rPr>
          <w:rFonts w:eastAsia="SimSun"/>
          <w:sz w:val="20"/>
          <w:szCs w:val="20"/>
          <w:lang w:eastAsia="ar-SA"/>
        </w:rPr>
        <w:t>7</w:t>
      </w:r>
      <w:r w:rsidR="009539C3" w:rsidRPr="00326BEB">
        <w:rPr>
          <w:rFonts w:eastAsia="SimSun"/>
          <w:sz w:val="20"/>
          <w:szCs w:val="20"/>
          <w:lang w:eastAsia="ar-SA"/>
        </w:rPr>
        <w:t>).</w:t>
      </w:r>
    </w:p>
    <w:p w14:paraId="5244B0E4" w14:textId="1F5FEFB8" w:rsidR="00832D53" w:rsidRPr="00326BEB" w:rsidRDefault="00832D53" w:rsidP="00832D53">
      <w:pPr>
        <w:pStyle w:val="H23G"/>
        <w:rPr>
          <w:sz w:val="20"/>
          <w:szCs w:val="20"/>
        </w:rPr>
      </w:pPr>
      <w:r>
        <w:rPr>
          <w:sz w:val="20"/>
          <w:szCs w:val="20"/>
        </w:rPr>
        <w:tab/>
      </w:r>
      <w:r>
        <w:rPr>
          <w:sz w:val="20"/>
          <w:szCs w:val="20"/>
        </w:rPr>
        <w:tab/>
      </w:r>
      <w:r w:rsidRPr="00832D53">
        <w:rPr>
          <w:sz w:val="20"/>
          <w:szCs w:val="20"/>
        </w:rPr>
        <w:t>The effects of foreign debt and other related international financial obligations of States on the full enjoyment of all human rights, particularly economic, social and cultural rights</w:t>
      </w:r>
    </w:p>
    <w:p w14:paraId="304301A2" w14:textId="30AAC139" w:rsidR="00832D53" w:rsidRDefault="002B4AE4" w:rsidP="00832D53">
      <w:pPr>
        <w:pStyle w:val="SingleTxtG"/>
        <w:rPr>
          <w:sz w:val="20"/>
          <w:szCs w:val="20"/>
        </w:rPr>
      </w:pPr>
      <w:r>
        <w:rPr>
          <w:sz w:val="20"/>
          <w:szCs w:val="20"/>
        </w:rPr>
        <w:t>215</w:t>
      </w:r>
      <w:r w:rsidR="00832D53" w:rsidRPr="00326BEB">
        <w:rPr>
          <w:sz w:val="20"/>
          <w:szCs w:val="20"/>
        </w:rPr>
        <w:t>.</w:t>
      </w:r>
      <w:r w:rsidR="00832D53" w:rsidRPr="00326BEB">
        <w:rPr>
          <w:sz w:val="20"/>
          <w:szCs w:val="20"/>
        </w:rPr>
        <w:tab/>
        <w:t xml:space="preserve">At the </w:t>
      </w:r>
      <w:r w:rsidR="00832D53">
        <w:rPr>
          <w:sz w:val="20"/>
          <w:szCs w:val="20"/>
        </w:rPr>
        <w:t>52nd</w:t>
      </w:r>
      <w:r w:rsidR="00832D53" w:rsidRPr="00326BEB">
        <w:rPr>
          <w:sz w:val="20"/>
          <w:szCs w:val="20"/>
        </w:rPr>
        <w:t xml:space="preserve"> meeting, on </w:t>
      </w:r>
      <w:r w:rsidR="00832D53">
        <w:rPr>
          <w:sz w:val="20"/>
          <w:szCs w:val="20"/>
        </w:rPr>
        <w:t>21 March 2019</w:t>
      </w:r>
      <w:r w:rsidR="00832D53" w:rsidRPr="00326BEB">
        <w:rPr>
          <w:sz w:val="20"/>
          <w:szCs w:val="20"/>
        </w:rPr>
        <w:t xml:space="preserve">, the representative of </w:t>
      </w:r>
      <w:r w:rsidR="00832D53">
        <w:rPr>
          <w:sz w:val="20"/>
          <w:szCs w:val="20"/>
        </w:rPr>
        <w:t xml:space="preserve">Cuba </w:t>
      </w:r>
      <w:r w:rsidR="00832D53" w:rsidRPr="00326BEB">
        <w:rPr>
          <w:sz w:val="20"/>
          <w:szCs w:val="20"/>
        </w:rPr>
        <w:t>introduced draft resolution A/HRC/</w:t>
      </w:r>
      <w:r w:rsidR="00832D53">
        <w:rPr>
          <w:sz w:val="20"/>
          <w:szCs w:val="20"/>
        </w:rPr>
        <w:t>40</w:t>
      </w:r>
      <w:r w:rsidR="00832D53" w:rsidRPr="00326BEB">
        <w:rPr>
          <w:sz w:val="20"/>
          <w:szCs w:val="20"/>
        </w:rPr>
        <w:t>/L.</w:t>
      </w:r>
      <w:r w:rsidR="00832D53">
        <w:rPr>
          <w:sz w:val="20"/>
          <w:szCs w:val="20"/>
        </w:rPr>
        <w:t>13</w:t>
      </w:r>
      <w:r w:rsidR="00832D53" w:rsidRPr="00326BEB">
        <w:rPr>
          <w:sz w:val="20"/>
          <w:szCs w:val="20"/>
        </w:rPr>
        <w:t xml:space="preserve">, sponsored by </w:t>
      </w:r>
      <w:r w:rsidR="00832D53">
        <w:rPr>
          <w:sz w:val="20"/>
          <w:szCs w:val="20"/>
        </w:rPr>
        <w:t xml:space="preserve">Cuba and co-sponsored by </w:t>
      </w:r>
      <w:r w:rsidR="004E1542" w:rsidRPr="004E1542">
        <w:rPr>
          <w:sz w:val="20"/>
          <w:szCs w:val="20"/>
        </w:rPr>
        <w:t>Bolivia (Plurinational State of),</w:t>
      </w:r>
      <w:r w:rsidR="004E1542">
        <w:rPr>
          <w:sz w:val="20"/>
          <w:szCs w:val="20"/>
        </w:rPr>
        <w:t xml:space="preserve"> </w:t>
      </w:r>
      <w:r w:rsidR="004E1542" w:rsidRPr="004E1542">
        <w:rPr>
          <w:sz w:val="20"/>
          <w:szCs w:val="20"/>
        </w:rPr>
        <w:t>Egypt, Haiti, Nicaragua,</w:t>
      </w:r>
      <w:r w:rsidR="004E1542">
        <w:rPr>
          <w:sz w:val="20"/>
          <w:szCs w:val="20"/>
        </w:rPr>
        <w:t xml:space="preserve"> the</w:t>
      </w:r>
      <w:r w:rsidR="004E1542" w:rsidRPr="004E1542">
        <w:rPr>
          <w:sz w:val="20"/>
          <w:szCs w:val="20"/>
        </w:rPr>
        <w:t xml:space="preserve"> Philippines, Venezuela (Bolivarian Republic of)</w:t>
      </w:r>
      <w:r w:rsidR="004E1542">
        <w:rPr>
          <w:sz w:val="20"/>
          <w:szCs w:val="20"/>
        </w:rPr>
        <w:t xml:space="preserve"> and the </w:t>
      </w:r>
      <w:r w:rsidR="004E1542" w:rsidRPr="004E1542">
        <w:rPr>
          <w:sz w:val="20"/>
          <w:szCs w:val="20"/>
        </w:rPr>
        <w:t>State of Palestine</w:t>
      </w:r>
      <w:r w:rsidR="00832D53" w:rsidRPr="00326BEB">
        <w:rPr>
          <w:sz w:val="20"/>
          <w:szCs w:val="20"/>
        </w:rPr>
        <w:t xml:space="preserve">. Subsequently, </w:t>
      </w:r>
      <w:r w:rsidR="004E1542" w:rsidRPr="004E1542">
        <w:rPr>
          <w:sz w:val="20"/>
          <w:szCs w:val="20"/>
        </w:rPr>
        <w:t>Bahrain (on behalf of Group of Arab States)</w:t>
      </w:r>
      <w:r w:rsidR="004E1542">
        <w:rPr>
          <w:sz w:val="20"/>
          <w:szCs w:val="20"/>
        </w:rPr>
        <w:t xml:space="preserve">, </w:t>
      </w:r>
      <w:r w:rsidR="004E1542" w:rsidRPr="004E1542">
        <w:rPr>
          <w:sz w:val="20"/>
          <w:szCs w:val="20"/>
        </w:rPr>
        <w:t>Bangladesh</w:t>
      </w:r>
      <w:r w:rsidR="004E1542">
        <w:rPr>
          <w:sz w:val="20"/>
          <w:szCs w:val="20"/>
        </w:rPr>
        <w:t xml:space="preserve">, </w:t>
      </w:r>
      <w:r w:rsidR="004E1542" w:rsidRPr="004E1542">
        <w:rPr>
          <w:sz w:val="20"/>
          <w:szCs w:val="20"/>
        </w:rPr>
        <w:t>Belarus</w:t>
      </w:r>
      <w:r w:rsidR="004E1542">
        <w:rPr>
          <w:sz w:val="20"/>
          <w:szCs w:val="20"/>
        </w:rPr>
        <w:t xml:space="preserve">, </w:t>
      </w:r>
      <w:r w:rsidR="004E1542" w:rsidRPr="004E1542">
        <w:rPr>
          <w:sz w:val="20"/>
          <w:szCs w:val="20"/>
        </w:rPr>
        <w:t>Botswana</w:t>
      </w:r>
      <w:r w:rsidR="004E1542">
        <w:rPr>
          <w:sz w:val="20"/>
          <w:szCs w:val="20"/>
        </w:rPr>
        <w:t xml:space="preserve">, </w:t>
      </w:r>
      <w:r w:rsidR="004E1542" w:rsidRPr="004E1542">
        <w:rPr>
          <w:sz w:val="20"/>
          <w:szCs w:val="20"/>
        </w:rPr>
        <w:t>Burkina Faso</w:t>
      </w:r>
      <w:r w:rsidR="004E1542">
        <w:rPr>
          <w:sz w:val="20"/>
          <w:szCs w:val="20"/>
        </w:rPr>
        <w:t xml:space="preserve">, the </w:t>
      </w:r>
      <w:r w:rsidR="004E1542" w:rsidRPr="004E1542">
        <w:rPr>
          <w:sz w:val="20"/>
          <w:szCs w:val="20"/>
        </w:rPr>
        <w:t>Democratic People</w:t>
      </w:r>
      <w:r w:rsidR="00D72627">
        <w:rPr>
          <w:sz w:val="20"/>
          <w:szCs w:val="20"/>
        </w:rPr>
        <w:t>’</w:t>
      </w:r>
      <w:r w:rsidR="004E1542" w:rsidRPr="004E1542">
        <w:rPr>
          <w:sz w:val="20"/>
          <w:szCs w:val="20"/>
        </w:rPr>
        <w:t>s Republic of Korea</w:t>
      </w:r>
      <w:r w:rsidR="004E1542">
        <w:rPr>
          <w:sz w:val="20"/>
          <w:szCs w:val="20"/>
        </w:rPr>
        <w:t xml:space="preserve">, </w:t>
      </w:r>
      <w:r w:rsidR="004E1542" w:rsidRPr="004E1542">
        <w:rPr>
          <w:sz w:val="20"/>
          <w:szCs w:val="20"/>
        </w:rPr>
        <w:t>Ecuador</w:t>
      </w:r>
      <w:r w:rsidR="004E1542">
        <w:rPr>
          <w:sz w:val="20"/>
          <w:szCs w:val="20"/>
        </w:rPr>
        <w:t xml:space="preserve">, </w:t>
      </w:r>
      <w:r w:rsidR="004E1542" w:rsidRPr="004E1542">
        <w:rPr>
          <w:sz w:val="20"/>
          <w:szCs w:val="20"/>
        </w:rPr>
        <w:t>Greece</w:t>
      </w:r>
      <w:r w:rsidR="004E1542">
        <w:rPr>
          <w:sz w:val="20"/>
          <w:szCs w:val="20"/>
        </w:rPr>
        <w:t xml:space="preserve">, </w:t>
      </w:r>
      <w:r w:rsidR="004E1542" w:rsidRPr="004E1542">
        <w:rPr>
          <w:sz w:val="20"/>
          <w:szCs w:val="20"/>
        </w:rPr>
        <w:t>Indonesia</w:t>
      </w:r>
      <w:r w:rsidR="004E1542">
        <w:rPr>
          <w:sz w:val="20"/>
          <w:szCs w:val="20"/>
        </w:rPr>
        <w:t xml:space="preserve">, </w:t>
      </w:r>
      <w:r w:rsidR="004E1542" w:rsidRPr="004E1542">
        <w:rPr>
          <w:sz w:val="20"/>
          <w:szCs w:val="20"/>
        </w:rPr>
        <w:t>Malaysia</w:t>
      </w:r>
      <w:r w:rsidR="004E1542">
        <w:rPr>
          <w:sz w:val="20"/>
          <w:szCs w:val="20"/>
        </w:rPr>
        <w:t xml:space="preserve">, </w:t>
      </w:r>
      <w:r w:rsidR="004E1542" w:rsidRPr="004E1542">
        <w:rPr>
          <w:sz w:val="20"/>
          <w:szCs w:val="20"/>
        </w:rPr>
        <w:t>Maldives</w:t>
      </w:r>
      <w:r w:rsidR="004E1542">
        <w:rPr>
          <w:sz w:val="20"/>
          <w:szCs w:val="20"/>
        </w:rPr>
        <w:t xml:space="preserve">, the </w:t>
      </w:r>
      <w:r w:rsidR="004E1542" w:rsidRPr="004E1542">
        <w:rPr>
          <w:sz w:val="20"/>
          <w:szCs w:val="20"/>
        </w:rPr>
        <w:t>Syrian Arab Republic</w:t>
      </w:r>
      <w:r w:rsidR="004E1542">
        <w:rPr>
          <w:sz w:val="20"/>
          <w:szCs w:val="20"/>
        </w:rPr>
        <w:t xml:space="preserve"> and </w:t>
      </w:r>
      <w:r w:rsidR="004E1542" w:rsidRPr="004E1542">
        <w:rPr>
          <w:sz w:val="20"/>
          <w:szCs w:val="20"/>
        </w:rPr>
        <w:t>Viet Nam</w:t>
      </w:r>
      <w:r w:rsidR="004E1542">
        <w:rPr>
          <w:sz w:val="20"/>
          <w:szCs w:val="20"/>
        </w:rPr>
        <w:t xml:space="preserve"> </w:t>
      </w:r>
      <w:r w:rsidR="00832D53" w:rsidRPr="00326BEB">
        <w:rPr>
          <w:sz w:val="20"/>
          <w:szCs w:val="20"/>
        </w:rPr>
        <w:t>joined the sponsors.</w:t>
      </w:r>
    </w:p>
    <w:p w14:paraId="3C95CA74" w14:textId="0FE37D8E" w:rsidR="00832D53" w:rsidRPr="0023658A" w:rsidRDefault="002B4AE4" w:rsidP="00832D53">
      <w:pPr>
        <w:pStyle w:val="SingleTxtG"/>
        <w:rPr>
          <w:sz w:val="20"/>
          <w:szCs w:val="20"/>
        </w:rPr>
      </w:pPr>
      <w:r>
        <w:rPr>
          <w:sz w:val="20"/>
          <w:szCs w:val="20"/>
        </w:rPr>
        <w:t>216</w:t>
      </w:r>
      <w:r w:rsidR="00832D53" w:rsidRPr="0023658A">
        <w:rPr>
          <w:sz w:val="20"/>
          <w:szCs w:val="20"/>
        </w:rPr>
        <w:t>.</w:t>
      </w:r>
      <w:r w:rsidR="00832D53" w:rsidRPr="0023658A">
        <w:rPr>
          <w:sz w:val="20"/>
          <w:szCs w:val="20"/>
        </w:rPr>
        <w:tab/>
      </w:r>
      <w:r w:rsidR="00832D53" w:rsidRPr="0023658A">
        <w:rPr>
          <w:rFonts w:eastAsia="SimSun"/>
          <w:sz w:val="20"/>
          <w:szCs w:val="20"/>
          <w:lang w:eastAsia="ar-SA"/>
        </w:rPr>
        <w:t>At the same meeting</w:t>
      </w:r>
      <w:r w:rsidR="00832D53" w:rsidRPr="0023658A">
        <w:rPr>
          <w:sz w:val="20"/>
          <w:szCs w:val="20"/>
        </w:rPr>
        <w:t xml:space="preserve">, the representatives of </w:t>
      </w:r>
      <w:r w:rsidR="0076770C" w:rsidRPr="0076770C">
        <w:rPr>
          <w:sz w:val="20"/>
          <w:szCs w:val="20"/>
        </w:rPr>
        <w:t>Australia</w:t>
      </w:r>
      <w:r w:rsidR="0076770C">
        <w:rPr>
          <w:sz w:val="20"/>
          <w:szCs w:val="20"/>
        </w:rPr>
        <w:t xml:space="preserve">, </w:t>
      </w:r>
      <w:r w:rsidR="0076770C" w:rsidRPr="0076770C">
        <w:rPr>
          <w:sz w:val="20"/>
          <w:szCs w:val="20"/>
        </w:rPr>
        <w:t>Brazil, Iceland and</w:t>
      </w:r>
      <w:r w:rsidR="0076770C">
        <w:rPr>
          <w:sz w:val="20"/>
          <w:szCs w:val="20"/>
        </w:rPr>
        <w:t xml:space="preserve"> the </w:t>
      </w:r>
      <w:r w:rsidR="0076770C" w:rsidRPr="0076770C">
        <w:rPr>
          <w:sz w:val="20"/>
          <w:szCs w:val="20"/>
        </w:rPr>
        <w:t xml:space="preserve">United </w:t>
      </w:r>
      <w:r w:rsidR="00373711" w:rsidRPr="0076770C">
        <w:rPr>
          <w:sz w:val="20"/>
          <w:szCs w:val="20"/>
        </w:rPr>
        <w:t xml:space="preserve">Kingdom </w:t>
      </w:r>
      <w:r w:rsidR="0076770C" w:rsidRPr="0076770C">
        <w:rPr>
          <w:sz w:val="20"/>
          <w:szCs w:val="20"/>
        </w:rPr>
        <w:t>of Great Britain and Northern Ireland</w:t>
      </w:r>
      <w:r w:rsidR="0076770C">
        <w:rPr>
          <w:sz w:val="20"/>
          <w:szCs w:val="20"/>
        </w:rPr>
        <w:t xml:space="preserve"> </w:t>
      </w:r>
      <w:r w:rsidR="00832D53" w:rsidRPr="0023658A">
        <w:rPr>
          <w:sz w:val="20"/>
          <w:szCs w:val="20"/>
        </w:rPr>
        <w:t>made statements in explanation of vote before the vote.</w:t>
      </w:r>
    </w:p>
    <w:p w14:paraId="59849463" w14:textId="53C10124" w:rsidR="00832D53" w:rsidRPr="0023658A" w:rsidRDefault="002B4AE4" w:rsidP="00832D53">
      <w:pPr>
        <w:pStyle w:val="SingleTxtG"/>
        <w:rPr>
          <w:sz w:val="20"/>
          <w:szCs w:val="20"/>
        </w:rPr>
      </w:pPr>
      <w:r>
        <w:rPr>
          <w:sz w:val="20"/>
          <w:szCs w:val="20"/>
        </w:rPr>
        <w:t>217</w:t>
      </w:r>
      <w:r w:rsidR="00832D53" w:rsidRPr="0023658A">
        <w:rPr>
          <w:sz w:val="20"/>
          <w:szCs w:val="20"/>
        </w:rPr>
        <w:t>.</w:t>
      </w:r>
      <w:r w:rsidR="00832D53" w:rsidRPr="0023658A">
        <w:rPr>
          <w:sz w:val="20"/>
          <w:szCs w:val="20"/>
        </w:rPr>
        <w:tab/>
        <w:t xml:space="preserve">Also at the same meeting, at the request of the representative of </w:t>
      </w:r>
      <w:r w:rsidR="00373711">
        <w:rPr>
          <w:sz w:val="20"/>
          <w:szCs w:val="20"/>
        </w:rPr>
        <w:t xml:space="preserve">the </w:t>
      </w:r>
      <w:r w:rsidR="00373711" w:rsidRPr="0076770C">
        <w:rPr>
          <w:sz w:val="20"/>
          <w:szCs w:val="20"/>
        </w:rPr>
        <w:t>United Kingdom of Great Britain and Northern Ireland</w:t>
      </w:r>
      <w:r w:rsidR="00832D53" w:rsidRPr="0023658A">
        <w:rPr>
          <w:sz w:val="20"/>
          <w:szCs w:val="20"/>
        </w:rPr>
        <w:t>, a recorded vote was taken on the draft resolution. The voting was as follows:</w:t>
      </w:r>
    </w:p>
    <w:p w14:paraId="39CDDD6F" w14:textId="77777777" w:rsidR="00373711" w:rsidRPr="004A7964" w:rsidRDefault="00373711" w:rsidP="00373711">
      <w:pPr>
        <w:keepNext/>
        <w:keepLines/>
        <w:ind w:left="1701" w:right="1134"/>
        <w:jc w:val="both"/>
        <w:rPr>
          <w:rFonts w:eastAsia="SimSun"/>
          <w:i/>
          <w:sz w:val="20"/>
          <w:szCs w:val="20"/>
          <w:lang w:val="en-GB" w:eastAsia="ar-SA"/>
        </w:rPr>
      </w:pPr>
      <w:r w:rsidRPr="004A7964">
        <w:rPr>
          <w:rFonts w:eastAsia="SimSun"/>
          <w:i/>
          <w:sz w:val="20"/>
          <w:szCs w:val="20"/>
          <w:lang w:eastAsia="ar-SA"/>
        </w:rPr>
        <w:t>In favour</w:t>
      </w:r>
      <w:r w:rsidRPr="004A7964">
        <w:rPr>
          <w:rFonts w:eastAsia="SimSun"/>
          <w:sz w:val="20"/>
          <w:szCs w:val="20"/>
          <w:lang w:eastAsia="ar-SA"/>
        </w:rPr>
        <w:t>:</w:t>
      </w:r>
      <w:r w:rsidRPr="004A7964">
        <w:rPr>
          <w:rFonts w:eastAsia="SimSun"/>
          <w:i/>
          <w:sz w:val="20"/>
          <w:szCs w:val="20"/>
          <w:lang w:eastAsia="ar-SA"/>
        </w:rPr>
        <w:t xml:space="preserve"> </w:t>
      </w:r>
    </w:p>
    <w:p w14:paraId="29B4B4FB" w14:textId="77777777" w:rsidR="00373711" w:rsidRPr="004A7964" w:rsidRDefault="00373711" w:rsidP="00373711">
      <w:pPr>
        <w:spacing w:after="120"/>
        <w:ind w:left="2268" w:right="1134"/>
        <w:jc w:val="both"/>
        <w:rPr>
          <w:rFonts w:eastAsia="SimSun"/>
          <w:sz w:val="20"/>
          <w:szCs w:val="20"/>
          <w:lang w:eastAsia="ar-SA"/>
        </w:rPr>
      </w:pPr>
      <w:r w:rsidRPr="004A7964">
        <w:rPr>
          <w:rFonts w:eastAsia="SimSun"/>
          <w:sz w:val="20"/>
          <w:szCs w:val="20"/>
          <w:lang w:eastAsia="ar-SA"/>
        </w:rPr>
        <w:t>Angola, Bahrain, Bangladesh, Burkina Faso, Cameroon, Chile, China, Cuba, Democratic Republic of the Congo, Egypt, Eritrea, Fiji, India, Iraq, Nepal, Nigeria, Pakistan, Philippines, Qatar, Rwanda, Saudi Arabia, Senegal, Somalia, South Africa, Togo, Tunisia, Uruguay</w:t>
      </w:r>
    </w:p>
    <w:p w14:paraId="148FC9DE" w14:textId="77777777" w:rsidR="00373711" w:rsidRPr="004A7964" w:rsidRDefault="00373711" w:rsidP="00373711">
      <w:pPr>
        <w:ind w:left="1701" w:right="1134"/>
        <w:jc w:val="both"/>
        <w:rPr>
          <w:rFonts w:eastAsia="SimSun"/>
          <w:i/>
          <w:sz w:val="20"/>
          <w:szCs w:val="20"/>
          <w:lang w:eastAsia="ar-SA"/>
        </w:rPr>
      </w:pPr>
      <w:r w:rsidRPr="004A7964">
        <w:rPr>
          <w:rFonts w:eastAsia="SimSun"/>
          <w:i/>
          <w:sz w:val="20"/>
          <w:szCs w:val="20"/>
          <w:lang w:eastAsia="ar-SA"/>
        </w:rPr>
        <w:t>Against</w:t>
      </w:r>
      <w:r w:rsidRPr="004A7964">
        <w:rPr>
          <w:rFonts w:eastAsia="SimSun"/>
          <w:sz w:val="20"/>
          <w:szCs w:val="20"/>
          <w:lang w:eastAsia="ar-SA"/>
        </w:rPr>
        <w:t>:</w:t>
      </w:r>
      <w:r w:rsidRPr="004A7964">
        <w:rPr>
          <w:rFonts w:eastAsia="SimSun"/>
          <w:i/>
          <w:sz w:val="20"/>
          <w:szCs w:val="20"/>
          <w:lang w:eastAsia="ar-SA"/>
        </w:rPr>
        <w:t xml:space="preserve"> </w:t>
      </w:r>
    </w:p>
    <w:p w14:paraId="6B400477" w14:textId="77777777" w:rsidR="00373711" w:rsidRPr="004A7964" w:rsidRDefault="00373711" w:rsidP="00373711">
      <w:pPr>
        <w:spacing w:after="120"/>
        <w:ind w:left="2268" w:right="1134"/>
        <w:jc w:val="both"/>
        <w:rPr>
          <w:rFonts w:eastAsia="SimSun"/>
          <w:sz w:val="20"/>
          <w:szCs w:val="20"/>
          <w:lang w:eastAsia="ar-SA"/>
        </w:rPr>
      </w:pPr>
      <w:r w:rsidRPr="004A7964">
        <w:rPr>
          <w:rFonts w:eastAsia="SimSun"/>
          <w:sz w:val="20"/>
          <w:szCs w:val="20"/>
          <w:lang w:eastAsia="ar-SA"/>
        </w:rPr>
        <w:t>Australia, Austria, Brazil, Bulgaria, Croatia, Czechia, Denmark, Hungary, Italy, Japan, Slovakia, Spain, Ukraine, United Kingdom of Great Britain and Northern Ireland</w:t>
      </w:r>
    </w:p>
    <w:p w14:paraId="11F839A0" w14:textId="77777777" w:rsidR="00373711" w:rsidRPr="004A7964" w:rsidRDefault="00373711" w:rsidP="00373711">
      <w:pPr>
        <w:ind w:left="1701" w:right="1134"/>
        <w:jc w:val="both"/>
        <w:rPr>
          <w:rFonts w:eastAsia="SimSun"/>
          <w:i/>
          <w:sz w:val="20"/>
          <w:szCs w:val="20"/>
          <w:lang w:eastAsia="ar-SA"/>
        </w:rPr>
      </w:pPr>
      <w:r w:rsidRPr="004A7964">
        <w:rPr>
          <w:rFonts w:eastAsia="SimSun"/>
          <w:i/>
          <w:sz w:val="20"/>
          <w:szCs w:val="20"/>
          <w:lang w:eastAsia="ar-SA"/>
        </w:rPr>
        <w:t>Abstaining</w:t>
      </w:r>
      <w:r w:rsidRPr="004A7964">
        <w:rPr>
          <w:rFonts w:eastAsia="SimSun"/>
          <w:sz w:val="20"/>
          <w:szCs w:val="20"/>
          <w:lang w:eastAsia="ar-SA"/>
        </w:rPr>
        <w:t>:</w:t>
      </w:r>
      <w:r w:rsidRPr="004A7964">
        <w:rPr>
          <w:rFonts w:eastAsia="SimSun"/>
          <w:i/>
          <w:sz w:val="20"/>
          <w:szCs w:val="20"/>
          <w:lang w:eastAsia="ar-SA"/>
        </w:rPr>
        <w:t xml:space="preserve"> </w:t>
      </w:r>
    </w:p>
    <w:p w14:paraId="7AC77448" w14:textId="1D11C376" w:rsidR="00373711" w:rsidRPr="004A7964" w:rsidRDefault="00373711" w:rsidP="00373711">
      <w:pPr>
        <w:pStyle w:val="SingleTxtG"/>
        <w:ind w:left="1701" w:firstLine="567"/>
        <w:rPr>
          <w:sz w:val="20"/>
          <w:szCs w:val="20"/>
        </w:rPr>
      </w:pPr>
      <w:r w:rsidRPr="004A7964">
        <w:rPr>
          <w:rFonts w:eastAsia="SimSun"/>
          <w:sz w:val="20"/>
          <w:szCs w:val="20"/>
          <w:lang w:eastAsia="ar-SA"/>
        </w:rPr>
        <w:t>Afghanistan, Argentina, Bahamas, Iceland, Mexico, Peru</w:t>
      </w:r>
    </w:p>
    <w:p w14:paraId="473B21D7" w14:textId="1CB96BC4" w:rsidR="00832D53" w:rsidRDefault="002B4AE4" w:rsidP="00832D53">
      <w:pPr>
        <w:pStyle w:val="SingleTxtG"/>
        <w:rPr>
          <w:rFonts w:eastAsia="SimSun"/>
          <w:sz w:val="20"/>
          <w:szCs w:val="20"/>
          <w:lang w:eastAsia="ar-SA"/>
        </w:rPr>
      </w:pPr>
      <w:r>
        <w:rPr>
          <w:rFonts w:eastAsia="SimSun"/>
          <w:sz w:val="20"/>
          <w:szCs w:val="20"/>
          <w:lang w:eastAsia="ar-SA"/>
        </w:rPr>
        <w:t>218</w:t>
      </w:r>
      <w:r w:rsidR="00832D53" w:rsidRPr="0023658A">
        <w:rPr>
          <w:rFonts w:eastAsia="SimSun"/>
          <w:sz w:val="20"/>
          <w:szCs w:val="20"/>
          <w:lang w:eastAsia="ar-SA"/>
        </w:rPr>
        <w:t>.</w:t>
      </w:r>
      <w:r w:rsidR="00832D53" w:rsidRPr="0023658A">
        <w:rPr>
          <w:rFonts w:eastAsia="SimSun"/>
          <w:sz w:val="20"/>
          <w:szCs w:val="20"/>
          <w:lang w:eastAsia="ar-SA"/>
        </w:rPr>
        <w:tab/>
        <w:t xml:space="preserve">The draft resolution was adopted by </w:t>
      </w:r>
      <w:r w:rsidR="00373711">
        <w:rPr>
          <w:rFonts w:eastAsia="SimSun"/>
          <w:sz w:val="20"/>
          <w:szCs w:val="20"/>
          <w:lang w:eastAsia="ar-SA"/>
        </w:rPr>
        <w:t>27</w:t>
      </w:r>
      <w:r w:rsidR="00832D53" w:rsidRPr="0023658A">
        <w:rPr>
          <w:sz w:val="20"/>
          <w:szCs w:val="20"/>
          <w:lang w:eastAsia="ar-SA"/>
        </w:rPr>
        <w:t xml:space="preserve"> votes to </w:t>
      </w:r>
      <w:r w:rsidR="00373711">
        <w:rPr>
          <w:sz w:val="20"/>
          <w:szCs w:val="20"/>
          <w:lang w:eastAsia="ar-SA"/>
        </w:rPr>
        <w:t>14</w:t>
      </w:r>
      <w:r w:rsidR="00832D53" w:rsidRPr="0023658A">
        <w:rPr>
          <w:sz w:val="20"/>
          <w:szCs w:val="20"/>
          <w:lang w:eastAsia="ar-SA"/>
        </w:rPr>
        <w:t xml:space="preserve">, with </w:t>
      </w:r>
      <w:r w:rsidR="00373711">
        <w:rPr>
          <w:sz w:val="20"/>
          <w:szCs w:val="20"/>
          <w:lang w:eastAsia="ar-SA"/>
        </w:rPr>
        <w:t>6</w:t>
      </w:r>
      <w:r w:rsidR="00832D53" w:rsidRPr="0023658A">
        <w:rPr>
          <w:sz w:val="20"/>
          <w:szCs w:val="20"/>
          <w:lang w:eastAsia="ar-SA"/>
        </w:rPr>
        <w:t xml:space="preserve"> abstentions</w:t>
      </w:r>
      <w:r w:rsidR="00832D53" w:rsidRPr="0023658A">
        <w:rPr>
          <w:rFonts w:eastAsia="SimSun"/>
          <w:sz w:val="20"/>
          <w:szCs w:val="20"/>
          <w:lang w:eastAsia="ar-SA"/>
        </w:rPr>
        <w:t xml:space="preserve"> (resolution </w:t>
      </w:r>
      <w:r w:rsidR="00832D53">
        <w:rPr>
          <w:rFonts w:eastAsia="SimSun"/>
          <w:sz w:val="20"/>
          <w:szCs w:val="20"/>
          <w:lang w:eastAsia="ar-SA"/>
        </w:rPr>
        <w:t>40/</w:t>
      </w:r>
      <w:r w:rsidR="00373711">
        <w:rPr>
          <w:rFonts w:eastAsia="SimSun"/>
          <w:sz w:val="20"/>
          <w:szCs w:val="20"/>
          <w:lang w:eastAsia="ar-SA"/>
        </w:rPr>
        <w:t>8</w:t>
      </w:r>
      <w:r w:rsidR="00832D53" w:rsidRPr="0023658A">
        <w:rPr>
          <w:rFonts w:eastAsia="SimSun"/>
          <w:sz w:val="20"/>
          <w:szCs w:val="20"/>
          <w:lang w:eastAsia="ar-SA"/>
        </w:rPr>
        <w:t>).</w:t>
      </w:r>
    </w:p>
    <w:p w14:paraId="1BD25DAD" w14:textId="77777777" w:rsidR="008F2E17" w:rsidRDefault="008F2E17" w:rsidP="008F2E17">
      <w:pPr>
        <w:pStyle w:val="SingleTxtG"/>
        <w:rPr>
          <w:b/>
          <w:sz w:val="20"/>
          <w:szCs w:val="20"/>
        </w:rPr>
      </w:pPr>
      <w:r w:rsidRPr="008F2E17">
        <w:rPr>
          <w:b/>
          <w:sz w:val="20"/>
          <w:szCs w:val="20"/>
        </w:rPr>
        <w:t xml:space="preserve">Human rights, democracy and the rule of law </w:t>
      </w:r>
    </w:p>
    <w:p w14:paraId="67D3FC06" w14:textId="3DD5990D" w:rsidR="008F2E17" w:rsidRDefault="002B4AE4" w:rsidP="008F2E17">
      <w:pPr>
        <w:pStyle w:val="SingleTxtG"/>
        <w:rPr>
          <w:sz w:val="20"/>
          <w:szCs w:val="20"/>
        </w:rPr>
      </w:pPr>
      <w:r>
        <w:rPr>
          <w:sz w:val="20"/>
          <w:szCs w:val="20"/>
        </w:rPr>
        <w:t>219</w:t>
      </w:r>
      <w:r w:rsidR="008F2E17" w:rsidRPr="00326BEB">
        <w:rPr>
          <w:sz w:val="20"/>
          <w:szCs w:val="20"/>
        </w:rPr>
        <w:t>.</w:t>
      </w:r>
      <w:r w:rsidR="008F2E17" w:rsidRPr="00326BEB">
        <w:rPr>
          <w:sz w:val="20"/>
          <w:szCs w:val="20"/>
        </w:rPr>
        <w:tab/>
        <w:t xml:space="preserve">At the </w:t>
      </w:r>
      <w:r w:rsidR="008F2E17">
        <w:rPr>
          <w:sz w:val="20"/>
          <w:szCs w:val="20"/>
        </w:rPr>
        <w:t>52nd</w:t>
      </w:r>
      <w:r w:rsidR="008F2E17" w:rsidRPr="00326BEB">
        <w:rPr>
          <w:sz w:val="20"/>
          <w:szCs w:val="20"/>
        </w:rPr>
        <w:t xml:space="preserve"> meeting, on </w:t>
      </w:r>
      <w:r w:rsidR="008F2E17">
        <w:rPr>
          <w:sz w:val="20"/>
          <w:szCs w:val="20"/>
        </w:rPr>
        <w:t>21 March 2019</w:t>
      </w:r>
      <w:r w:rsidR="008F2E17" w:rsidRPr="00326BEB">
        <w:rPr>
          <w:sz w:val="20"/>
          <w:szCs w:val="20"/>
        </w:rPr>
        <w:t xml:space="preserve">, the representative of </w:t>
      </w:r>
      <w:r w:rsidR="008F2E17">
        <w:rPr>
          <w:sz w:val="20"/>
          <w:szCs w:val="20"/>
        </w:rPr>
        <w:t xml:space="preserve">Romania (also on behalf of </w:t>
      </w:r>
      <w:r w:rsidR="008F2E17" w:rsidRPr="008F2E17">
        <w:rPr>
          <w:sz w:val="20"/>
          <w:szCs w:val="20"/>
        </w:rPr>
        <w:t xml:space="preserve">Morocco, Norway, Peru, </w:t>
      </w:r>
      <w:r w:rsidR="008F2E17">
        <w:rPr>
          <w:sz w:val="20"/>
          <w:szCs w:val="20"/>
        </w:rPr>
        <w:t xml:space="preserve">the </w:t>
      </w:r>
      <w:r w:rsidR="008F2E17" w:rsidRPr="008F2E17">
        <w:rPr>
          <w:sz w:val="20"/>
          <w:szCs w:val="20"/>
        </w:rPr>
        <w:t>Republic of Korea and Tunisia</w:t>
      </w:r>
      <w:r w:rsidR="008F2E17">
        <w:rPr>
          <w:sz w:val="20"/>
          <w:szCs w:val="20"/>
        </w:rPr>
        <w:t xml:space="preserve">) </w:t>
      </w:r>
      <w:r w:rsidR="008F2E17" w:rsidRPr="00326BEB">
        <w:rPr>
          <w:sz w:val="20"/>
          <w:szCs w:val="20"/>
        </w:rPr>
        <w:t>introduced draft resolution A/HRC/</w:t>
      </w:r>
      <w:r w:rsidR="008F2E17">
        <w:rPr>
          <w:sz w:val="20"/>
          <w:szCs w:val="20"/>
        </w:rPr>
        <w:t>40</w:t>
      </w:r>
      <w:r w:rsidR="008F2E17" w:rsidRPr="00326BEB">
        <w:rPr>
          <w:sz w:val="20"/>
          <w:szCs w:val="20"/>
        </w:rPr>
        <w:t>/L.</w:t>
      </w:r>
      <w:r w:rsidR="008F2E17">
        <w:rPr>
          <w:sz w:val="20"/>
          <w:szCs w:val="20"/>
        </w:rPr>
        <w:t>14</w:t>
      </w:r>
      <w:r w:rsidR="008F2E17" w:rsidRPr="00326BEB">
        <w:rPr>
          <w:sz w:val="20"/>
          <w:szCs w:val="20"/>
        </w:rPr>
        <w:t xml:space="preserve">, sponsored by </w:t>
      </w:r>
      <w:r w:rsidR="008F2E17" w:rsidRPr="008F2E17">
        <w:rPr>
          <w:sz w:val="20"/>
          <w:szCs w:val="20"/>
        </w:rPr>
        <w:t xml:space="preserve">Morocco, Norway, Peru, </w:t>
      </w:r>
      <w:r w:rsidR="008F2E17">
        <w:rPr>
          <w:sz w:val="20"/>
          <w:szCs w:val="20"/>
        </w:rPr>
        <w:t xml:space="preserve">the </w:t>
      </w:r>
      <w:r w:rsidR="008F2E17" w:rsidRPr="008F2E17">
        <w:rPr>
          <w:sz w:val="20"/>
          <w:szCs w:val="20"/>
        </w:rPr>
        <w:t>Republic of Korea, Romania and Tunisia</w:t>
      </w:r>
      <w:r w:rsidR="008F2E17">
        <w:rPr>
          <w:sz w:val="20"/>
          <w:szCs w:val="20"/>
        </w:rPr>
        <w:t xml:space="preserve"> and co-sponsored by </w:t>
      </w:r>
      <w:r w:rsidR="008F2E17" w:rsidRPr="008F2E17">
        <w:rPr>
          <w:sz w:val="20"/>
          <w:szCs w:val="20"/>
        </w:rPr>
        <w:t>Afghanistan, Albania, Armenia,</w:t>
      </w:r>
      <w:r w:rsidR="008F2E17">
        <w:rPr>
          <w:sz w:val="20"/>
          <w:szCs w:val="20"/>
        </w:rPr>
        <w:t xml:space="preserve"> </w:t>
      </w:r>
      <w:r w:rsidR="008F2E17" w:rsidRPr="008F2E17">
        <w:rPr>
          <w:sz w:val="20"/>
          <w:szCs w:val="20"/>
        </w:rPr>
        <w:t xml:space="preserve">Australia, Austria, Belgium, Bulgaria, Chile, Colombia, Costa Rica, Croatia, Cyprus, Czechia, Denmark, Estonia, Finland, France, Georgia, Germany, Greece, Haiti, Honduras, Hungary, Iceland, Ireland, Italy, Latvia, Liechtenstein, Lithuania, Luxembourg, Malta, Mexico, Monaco, Montenegro, </w:t>
      </w:r>
      <w:r w:rsidR="008F2E17">
        <w:rPr>
          <w:sz w:val="20"/>
          <w:szCs w:val="20"/>
        </w:rPr>
        <w:t xml:space="preserve">the </w:t>
      </w:r>
      <w:r w:rsidR="008F2E17" w:rsidRPr="008F2E17">
        <w:rPr>
          <w:sz w:val="20"/>
          <w:szCs w:val="20"/>
        </w:rPr>
        <w:t xml:space="preserve">Netherlands, New Zealand, </w:t>
      </w:r>
      <w:r w:rsidR="008F2E17">
        <w:rPr>
          <w:sz w:val="20"/>
          <w:szCs w:val="20"/>
        </w:rPr>
        <w:t xml:space="preserve">the </w:t>
      </w:r>
      <w:r w:rsidR="008F2E17" w:rsidRPr="008F2E17">
        <w:rPr>
          <w:sz w:val="20"/>
          <w:szCs w:val="20"/>
        </w:rPr>
        <w:t xml:space="preserve">Philippines, Poland, Portugal, </w:t>
      </w:r>
      <w:r w:rsidR="008F2E17">
        <w:rPr>
          <w:sz w:val="20"/>
          <w:szCs w:val="20"/>
        </w:rPr>
        <w:t xml:space="preserve">the </w:t>
      </w:r>
      <w:r w:rsidR="008F2E17" w:rsidRPr="008F2E17">
        <w:rPr>
          <w:sz w:val="20"/>
          <w:szCs w:val="20"/>
        </w:rPr>
        <w:t xml:space="preserve">Republic of Moldova, San Marino, Serbia, Slovenia, Spain, Sweden, Ukraine, </w:t>
      </w:r>
      <w:r w:rsidR="008F2E17">
        <w:rPr>
          <w:sz w:val="20"/>
          <w:szCs w:val="20"/>
        </w:rPr>
        <w:t xml:space="preserve">the </w:t>
      </w:r>
      <w:r w:rsidR="008F2E17" w:rsidRPr="008F2E17">
        <w:rPr>
          <w:sz w:val="20"/>
          <w:szCs w:val="20"/>
        </w:rPr>
        <w:t>United Kingdom of Gre</w:t>
      </w:r>
      <w:r w:rsidR="008F2E17">
        <w:rPr>
          <w:sz w:val="20"/>
          <w:szCs w:val="20"/>
        </w:rPr>
        <w:t xml:space="preserve">at Britain </w:t>
      </w:r>
      <w:r w:rsidR="008F2E17">
        <w:rPr>
          <w:sz w:val="20"/>
          <w:szCs w:val="20"/>
        </w:rPr>
        <w:lastRenderedPageBreak/>
        <w:t>and Northern Ireland and</w:t>
      </w:r>
      <w:r w:rsidR="008F2E17" w:rsidRPr="008F2E17">
        <w:rPr>
          <w:sz w:val="20"/>
          <w:szCs w:val="20"/>
        </w:rPr>
        <w:t xml:space="preserve"> Uruguay</w:t>
      </w:r>
      <w:r w:rsidR="008F2E17" w:rsidRPr="00326BEB">
        <w:rPr>
          <w:sz w:val="20"/>
          <w:szCs w:val="20"/>
        </w:rPr>
        <w:t xml:space="preserve">. Subsequently, </w:t>
      </w:r>
      <w:r w:rsidR="008F2E17" w:rsidRPr="008F2E17">
        <w:rPr>
          <w:sz w:val="20"/>
          <w:szCs w:val="20"/>
        </w:rPr>
        <w:t>Algeria</w:t>
      </w:r>
      <w:r w:rsidR="008F2E17">
        <w:rPr>
          <w:sz w:val="20"/>
          <w:szCs w:val="20"/>
        </w:rPr>
        <w:t xml:space="preserve">, </w:t>
      </w:r>
      <w:r w:rsidR="008F2E17" w:rsidRPr="008F2E17">
        <w:rPr>
          <w:sz w:val="20"/>
          <w:szCs w:val="20"/>
        </w:rPr>
        <w:t>Azerbaijan</w:t>
      </w:r>
      <w:r w:rsidR="008F2E17">
        <w:rPr>
          <w:sz w:val="20"/>
          <w:szCs w:val="20"/>
        </w:rPr>
        <w:t xml:space="preserve">, the </w:t>
      </w:r>
      <w:r w:rsidR="008F2E17" w:rsidRPr="008F2E17">
        <w:rPr>
          <w:sz w:val="20"/>
          <w:szCs w:val="20"/>
        </w:rPr>
        <w:t>Bahamas</w:t>
      </w:r>
      <w:r w:rsidR="008F2E17">
        <w:rPr>
          <w:sz w:val="20"/>
          <w:szCs w:val="20"/>
        </w:rPr>
        <w:t xml:space="preserve">, </w:t>
      </w:r>
      <w:r w:rsidR="008F2E17" w:rsidRPr="008F2E17">
        <w:rPr>
          <w:sz w:val="20"/>
          <w:szCs w:val="20"/>
        </w:rPr>
        <w:t>Botswana</w:t>
      </w:r>
      <w:r w:rsidR="008F2E17">
        <w:rPr>
          <w:sz w:val="20"/>
          <w:szCs w:val="20"/>
        </w:rPr>
        <w:t xml:space="preserve">, </w:t>
      </w:r>
      <w:r w:rsidR="008F2E17" w:rsidRPr="008F2E17">
        <w:rPr>
          <w:sz w:val="20"/>
          <w:szCs w:val="20"/>
        </w:rPr>
        <w:t>Canada</w:t>
      </w:r>
      <w:r w:rsidR="008F2E17">
        <w:rPr>
          <w:sz w:val="20"/>
          <w:szCs w:val="20"/>
        </w:rPr>
        <w:t xml:space="preserve">, the </w:t>
      </w:r>
      <w:r w:rsidR="008F2E17" w:rsidRPr="008F2E17">
        <w:rPr>
          <w:sz w:val="20"/>
          <w:szCs w:val="20"/>
        </w:rPr>
        <w:t>Dominican Republic</w:t>
      </w:r>
      <w:r w:rsidR="008F2E17">
        <w:rPr>
          <w:sz w:val="20"/>
          <w:szCs w:val="20"/>
        </w:rPr>
        <w:t xml:space="preserve">, </w:t>
      </w:r>
      <w:r w:rsidR="008F2E17" w:rsidRPr="008F2E17">
        <w:rPr>
          <w:sz w:val="20"/>
          <w:szCs w:val="20"/>
        </w:rPr>
        <w:t>Ecuador</w:t>
      </w:r>
      <w:r w:rsidR="008F2E17">
        <w:rPr>
          <w:sz w:val="20"/>
          <w:szCs w:val="20"/>
        </w:rPr>
        <w:t xml:space="preserve">, El Salvador, </w:t>
      </w:r>
      <w:r w:rsidR="008F2E17" w:rsidRPr="008F2E17">
        <w:rPr>
          <w:sz w:val="20"/>
          <w:szCs w:val="20"/>
        </w:rPr>
        <w:t>Fiji</w:t>
      </w:r>
      <w:r w:rsidR="008F2E17">
        <w:rPr>
          <w:sz w:val="20"/>
          <w:szCs w:val="20"/>
        </w:rPr>
        <w:t xml:space="preserve">, </w:t>
      </w:r>
      <w:r w:rsidR="008F2E17" w:rsidRPr="008F2E17">
        <w:rPr>
          <w:sz w:val="20"/>
          <w:szCs w:val="20"/>
        </w:rPr>
        <w:t>Ghana</w:t>
      </w:r>
      <w:r w:rsidR="008F2E17">
        <w:rPr>
          <w:sz w:val="20"/>
          <w:szCs w:val="20"/>
        </w:rPr>
        <w:t xml:space="preserve">, </w:t>
      </w:r>
      <w:r w:rsidR="008F2E17" w:rsidRPr="008F2E17">
        <w:rPr>
          <w:sz w:val="20"/>
          <w:szCs w:val="20"/>
        </w:rPr>
        <w:t>Guatemala</w:t>
      </w:r>
      <w:r w:rsidR="008F2E17">
        <w:rPr>
          <w:sz w:val="20"/>
          <w:szCs w:val="20"/>
        </w:rPr>
        <w:t xml:space="preserve">, </w:t>
      </w:r>
      <w:r w:rsidR="008F2E17" w:rsidRPr="008F2E17">
        <w:rPr>
          <w:sz w:val="20"/>
          <w:szCs w:val="20"/>
        </w:rPr>
        <w:t>Guyana</w:t>
      </w:r>
      <w:r w:rsidR="008F2E17">
        <w:rPr>
          <w:sz w:val="20"/>
          <w:szCs w:val="20"/>
        </w:rPr>
        <w:t xml:space="preserve">, </w:t>
      </w:r>
      <w:r w:rsidR="008F2E17" w:rsidRPr="008F2E17">
        <w:rPr>
          <w:sz w:val="20"/>
          <w:szCs w:val="20"/>
        </w:rPr>
        <w:t>Israel</w:t>
      </w:r>
      <w:r w:rsidR="008F2E17">
        <w:rPr>
          <w:sz w:val="20"/>
          <w:szCs w:val="20"/>
        </w:rPr>
        <w:t xml:space="preserve">, </w:t>
      </w:r>
      <w:r w:rsidR="008F2E17" w:rsidRPr="008F2E17">
        <w:rPr>
          <w:sz w:val="20"/>
          <w:szCs w:val="20"/>
        </w:rPr>
        <w:t>Japan</w:t>
      </w:r>
      <w:r w:rsidR="008F2E17">
        <w:rPr>
          <w:sz w:val="20"/>
          <w:szCs w:val="20"/>
        </w:rPr>
        <w:t xml:space="preserve">, </w:t>
      </w:r>
      <w:r w:rsidR="008F2E17" w:rsidRPr="008F2E17">
        <w:rPr>
          <w:sz w:val="20"/>
          <w:szCs w:val="20"/>
        </w:rPr>
        <w:t>Maldives</w:t>
      </w:r>
      <w:r w:rsidR="008F2E17">
        <w:rPr>
          <w:sz w:val="20"/>
          <w:szCs w:val="20"/>
        </w:rPr>
        <w:t xml:space="preserve">, </w:t>
      </w:r>
      <w:r w:rsidR="008F2E17" w:rsidRPr="008F2E17">
        <w:rPr>
          <w:sz w:val="20"/>
          <w:szCs w:val="20"/>
        </w:rPr>
        <w:t>Mongolia</w:t>
      </w:r>
      <w:r w:rsidR="008F2E17">
        <w:rPr>
          <w:sz w:val="20"/>
          <w:szCs w:val="20"/>
        </w:rPr>
        <w:t xml:space="preserve">, </w:t>
      </w:r>
      <w:r w:rsidR="008F2E17" w:rsidRPr="008F2E17">
        <w:rPr>
          <w:sz w:val="20"/>
          <w:szCs w:val="20"/>
        </w:rPr>
        <w:t>Panama</w:t>
      </w:r>
      <w:r w:rsidR="008F2E17">
        <w:rPr>
          <w:sz w:val="20"/>
          <w:szCs w:val="20"/>
        </w:rPr>
        <w:t xml:space="preserve">, </w:t>
      </w:r>
      <w:r w:rsidR="008F2E17" w:rsidRPr="008F2E17">
        <w:rPr>
          <w:sz w:val="20"/>
          <w:szCs w:val="20"/>
        </w:rPr>
        <w:t>Paraguay</w:t>
      </w:r>
      <w:r w:rsidR="008F2E17">
        <w:rPr>
          <w:sz w:val="20"/>
          <w:szCs w:val="20"/>
        </w:rPr>
        <w:t xml:space="preserve">, </w:t>
      </w:r>
      <w:r w:rsidR="008F2E17" w:rsidRPr="008F2E17">
        <w:rPr>
          <w:sz w:val="20"/>
          <w:szCs w:val="20"/>
        </w:rPr>
        <w:t>Slovakia</w:t>
      </w:r>
      <w:r w:rsidR="008F2E17">
        <w:rPr>
          <w:sz w:val="20"/>
          <w:szCs w:val="20"/>
        </w:rPr>
        <w:t xml:space="preserve">, Sri Lanka, Switzerland, </w:t>
      </w:r>
      <w:r w:rsidR="008F2E17" w:rsidRPr="008F2E17">
        <w:rPr>
          <w:sz w:val="20"/>
          <w:szCs w:val="20"/>
        </w:rPr>
        <w:t>Thailand</w:t>
      </w:r>
      <w:r w:rsidR="008F2E17">
        <w:rPr>
          <w:sz w:val="20"/>
          <w:szCs w:val="20"/>
        </w:rPr>
        <w:t xml:space="preserve"> and </w:t>
      </w:r>
      <w:r w:rsidR="008F2E17" w:rsidRPr="008F2E17">
        <w:rPr>
          <w:sz w:val="20"/>
          <w:szCs w:val="20"/>
        </w:rPr>
        <w:t>Timor-Leste</w:t>
      </w:r>
      <w:r w:rsidR="008F2E17">
        <w:rPr>
          <w:sz w:val="20"/>
          <w:szCs w:val="20"/>
        </w:rPr>
        <w:t xml:space="preserve"> </w:t>
      </w:r>
      <w:r w:rsidR="008F2E17" w:rsidRPr="00326BEB">
        <w:rPr>
          <w:sz w:val="20"/>
          <w:szCs w:val="20"/>
        </w:rPr>
        <w:t>joined the sponsors.</w:t>
      </w:r>
    </w:p>
    <w:p w14:paraId="7C9D0F54" w14:textId="6491C102" w:rsidR="00E51A54" w:rsidRDefault="002B4AE4" w:rsidP="00E51A54">
      <w:pPr>
        <w:spacing w:after="120"/>
        <w:ind w:left="1134" w:right="1134"/>
        <w:jc w:val="both"/>
        <w:rPr>
          <w:sz w:val="20"/>
          <w:szCs w:val="20"/>
        </w:rPr>
      </w:pPr>
      <w:r>
        <w:rPr>
          <w:sz w:val="20"/>
          <w:szCs w:val="20"/>
        </w:rPr>
        <w:t>220</w:t>
      </w:r>
      <w:r w:rsidR="00E51A54" w:rsidRPr="00E86201">
        <w:rPr>
          <w:sz w:val="20"/>
          <w:szCs w:val="20"/>
        </w:rPr>
        <w:t>.</w:t>
      </w:r>
      <w:r w:rsidR="00E51A54" w:rsidRPr="00E86201">
        <w:rPr>
          <w:sz w:val="20"/>
          <w:szCs w:val="20"/>
        </w:rPr>
        <w:tab/>
        <w:t>At the same meeting, the representative</w:t>
      </w:r>
      <w:r w:rsidR="00E51A54">
        <w:rPr>
          <w:sz w:val="20"/>
          <w:szCs w:val="20"/>
        </w:rPr>
        <w:t>s</w:t>
      </w:r>
      <w:r w:rsidR="00E51A54" w:rsidRPr="00E86201">
        <w:rPr>
          <w:sz w:val="20"/>
          <w:szCs w:val="20"/>
        </w:rPr>
        <w:t xml:space="preserve"> of </w:t>
      </w:r>
      <w:r w:rsidR="00E51A54" w:rsidRPr="00E51A54">
        <w:rPr>
          <w:sz w:val="20"/>
          <w:szCs w:val="20"/>
        </w:rPr>
        <w:t>Bulgaria (</w:t>
      </w:r>
      <w:r w:rsidR="00E51A54" w:rsidRPr="00157757">
        <w:rPr>
          <w:sz w:val="20"/>
          <w:szCs w:val="20"/>
        </w:rPr>
        <w:t>on behalf of States members of the European Union that are members of the Council</w:t>
      </w:r>
      <w:r w:rsidR="00E51A54" w:rsidRPr="00E51A54">
        <w:rPr>
          <w:sz w:val="20"/>
          <w:szCs w:val="20"/>
        </w:rPr>
        <w:t xml:space="preserve">), Chile, Iceland </w:t>
      </w:r>
      <w:r w:rsidR="00E51A54">
        <w:rPr>
          <w:sz w:val="20"/>
          <w:szCs w:val="20"/>
        </w:rPr>
        <w:t xml:space="preserve">and Tunisia </w:t>
      </w:r>
      <w:r w:rsidR="00E51A54" w:rsidRPr="00E86201">
        <w:rPr>
          <w:sz w:val="20"/>
          <w:szCs w:val="20"/>
        </w:rPr>
        <w:t>made general comments on the draft resolution.</w:t>
      </w:r>
    </w:p>
    <w:p w14:paraId="4F011548" w14:textId="534FB8F5" w:rsidR="008F2E17" w:rsidRDefault="002B4AE4" w:rsidP="008F2E17">
      <w:pPr>
        <w:pStyle w:val="SingleTxtG"/>
        <w:rPr>
          <w:rFonts w:eastAsia="SimSun"/>
          <w:sz w:val="20"/>
          <w:szCs w:val="20"/>
          <w:lang w:eastAsia="ar-SA"/>
        </w:rPr>
      </w:pPr>
      <w:r>
        <w:rPr>
          <w:rFonts w:eastAsia="SimSun"/>
          <w:sz w:val="20"/>
          <w:szCs w:val="20"/>
          <w:lang w:eastAsia="ar-SA"/>
        </w:rPr>
        <w:t>221</w:t>
      </w:r>
      <w:r w:rsidR="008F2E17" w:rsidRPr="00326BEB">
        <w:rPr>
          <w:rFonts w:eastAsia="SimSun"/>
          <w:sz w:val="20"/>
          <w:szCs w:val="20"/>
          <w:lang w:eastAsia="ar-SA"/>
        </w:rPr>
        <w:t>.</w:t>
      </w:r>
      <w:r w:rsidR="008F2E17" w:rsidRPr="00326BEB">
        <w:rPr>
          <w:rFonts w:eastAsia="SimSun"/>
          <w:sz w:val="20"/>
          <w:szCs w:val="20"/>
          <w:lang w:eastAsia="ar-SA"/>
        </w:rPr>
        <w:tab/>
        <w:t>A</w:t>
      </w:r>
      <w:r w:rsidR="008F2E17">
        <w:rPr>
          <w:rFonts w:eastAsia="SimSun"/>
          <w:sz w:val="20"/>
          <w:szCs w:val="20"/>
          <w:lang w:eastAsia="ar-SA"/>
        </w:rPr>
        <w:t>lso a</w:t>
      </w:r>
      <w:r w:rsidR="008F2E17" w:rsidRPr="00326BEB">
        <w:rPr>
          <w:rFonts w:eastAsia="SimSun"/>
          <w:sz w:val="20"/>
          <w:szCs w:val="20"/>
          <w:lang w:eastAsia="ar-SA"/>
        </w:rPr>
        <w:t xml:space="preserve">t the same meeting, the draft resolution was adopted without a vote (resolution </w:t>
      </w:r>
      <w:r w:rsidR="008F2E17">
        <w:rPr>
          <w:rFonts w:eastAsia="SimSun"/>
          <w:sz w:val="20"/>
          <w:szCs w:val="20"/>
          <w:lang w:eastAsia="ar-SA"/>
        </w:rPr>
        <w:t>40</w:t>
      </w:r>
      <w:r w:rsidR="008F2E17" w:rsidRPr="00326BEB">
        <w:rPr>
          <w:rFonts w:eastAsia="SimSun"/>
          <w:sz w:val="20"/>
          <w:szCs w:val="20"/>
          <w:lang w:eastAsia="ar-SA"/>
        </w:rPr>
        <w:t>/</w:t>
      </w:r>
      <w:r w:rsidR="00861B84">
        <w:rPr>
          <w:rFonts w:eastAsia="SimSun"/>
          <w:sz w:val="20"/>
          <w:szCs w:val="20"/>
          <w:lang w:eastAsia="ar-SA"/>
        </w:rPr>
        <w:t>9</w:t>
      </w:r>
      <w:r w:rsidR="008F2E17" w:rsidRPr="00326BEB">
        <w:rPr>
          <w:rFonts w:eastAsia="SimSun"/>
          <w:sz w:val="20"/>
          <w:szCs w:val="20"/>
          <w:lang w:eastAsia="ar-SA"/>
        </w:rPr>
        <w:t>).</w:t>
      </w:r>
    </w:p>
    <w:p w14:paraId="26DD6FF4" w14:textId="605A2FB2" w:rsidR="00861B84" w:rsidRDefault="00861B84" w:rsidP="00861B84">
      <w:pPr>
        <w:pStyle w:val="SingleTxtG"/>
        <w:rPr>
          <w:b/>
          <w:sz w:val="20"/>
          <w:szCs w:val="20"/>
        </w:rPr>
      </w:pPr>
      <w:r w:rsidRPr="00861B84">
        <w:rPr>
          <w:b/>
          <w:sz w:val="20"/>
          <w:szCs w:val="20"/>
        </w:rPr>
        <w:t>Freedom of religion or belief</w:t>
      </w:r>
    </w:p>
    <w:p w14:paraId="181CAF05" w14:textId="2D8EFCF2" w:rsidR="00861B84" w:rsidRDefault="002B4AE4" w:rsidP="00861B84">
      <w:pPr>
        <w:pStyle w:val="SingleTxtG"/>
        <w:rPr>
          <w:sz w:val="20"/>
          <w:szCs w:val="20"/>
        </w:rPr>
      </w:pPr>
      <w:r>
        <w:rPr>
          <w:sz w:val="20"/>
          <w:szCs w:val="20"/>
        </w:rPr>
        <w:t>222</w:t>
      </w:r>
      <w:r w:rsidR="00861B84" w:rsidRPr="00326BEB">
        <w:rPr>
          <w:sz w:val="20"/>
          <w:szCs w:val="20"/>
        </w:rPr>
        <w:t>.</w:t>
      </w:r>
      <w:r w:rsidR="00861B84" w:rsidRPr="00326BEB">
        <w:rPr>
          <w:sz w:val="20"/>
          <w:szCs w:val="20"/>
        </w:rPr>
        <w:tab/>
        <w:t xml:space="preserve">At the </w:t>
      </w:r>
      <w:r w:rsidR="00861B84">
        <w:rPr>
          <w:sz w:val="20"/>
          <w:szCs w:val="20"/>
        </w:rPr>
        <w:t>52nd</w:t>
      </w:r>
      <w:r w:rsidR="00861B84" w:rsidRPr="00326BEB">
        <w:rPr>
          <w:sz w:val="20"/>
          <w:szCs w:val="20"/>
        </w:rPr>
        <w:t xml:space="preserve"> meeting, on </w:t>
      </w:r>
      <w:r w:rsidR="00861B84">
        <w:rPr>
          <w:sz w:val="20"/>
          <w:szCs w:val="20"/>
        </w:rPr>
        <w:t>21 March 2019</w:t>
      </w:r>
      <w:r w:rsidR="00861B84" w:rsidRPr="00326BEB">
        <w:rPr>
          <w:sz w:val="20"/>
          <w:szCs w:val="20"/>
        </w:rPr>
        <w:t xml:space="preserve">, the representative of </w:t>
      </w:r>
      <w:r w:rsidR="00861B84">
        <w:rPr>
          <w:sz w:val="20"/>
          <w:szCs w:val="20"/>
        </w:rPr>
        <w:t xml:space="preserve">Romania </w:t>
      </w:r>
      <w:r w:rsidR="00861B84" w:rsidRPr="00861B84">
        <w:rPr>
          <w:sz w:val="20"/>
          <w:szCs w:val="20"/>
        </w:rPr>
        <w:t>(on behalf of the European Union</w:t>
      </w:r>
      <w:r w:rsidR="00861B84">
        <w:rPr>
          <w:sz w:val="20"/>
          <w:szCs w:val="20"/>
        </w:rPr>
        <w:t xml:space="preserve">) </w:t>
      </w:r>
      <w:r w:rsidR="00861B84" w:rsidRPr="00326BEB">
        <w:rPr>
          <w:sz w:val="20"/>
          <w:szCs w:val="20"/>
        </w:rPr>
        <w:t>introduced draft resolution A/HRC/</w:t>
      </w:r>
      <w:r w:rsidR="00861B84">
        <w:rPr>
          <w:sz w:val="20"/>
          <w:szCs w:val="20"/>
        </w:rPr>
        <w:t>40</w:t>
      </w:r>
      <w:r w:rsidR="00861B84" w:rsidRPr="00326BEB">
        <w:rPr>
          <w:sz w:val="20"/>
          <w:szCs w:val="20"/>
        </w:rPr>
        <w:t>/L.</w:t>
      </w:r>
      <w:r w:rsidR="00861B84">
        <w:rPr>
          <w:sz w:val="20"/>
          <w:szCs w:val="20"/>
        </w:rPr>
        <w:t>17</w:t>
      </w:r>
      <w:r w:rsidR="00861B84" w:rsidRPr="00326BEB">
        <w:rPr>
          <w:sz w:val="20"/>
          <w:szCs w:val="20"/>
        </w:rPr>
        <w:t xml:space="preserve">, sponsored by </w:t>
      </w:r>
      <w:r w:rsidR="007C6517" w:rsidRPr="007C6517">
        <w:rPr>
          <w:sz w:val="20"/>
          <w:szCs w:val="20"/>
        </w:rPr>
        <w:t xml:space="preserve">Austria, Belgium, Bulgaria, Croatia, Cyprus, Czechia, Denmark, Estonia, Finland, France, Germany, Greece, Hungary, Ireland, Italy, Latvia, Lithuania, Luxembourg, Malta, the Netherlands, Poland, Portugal, Romania, Slovakia, Slovenia, Spain, Sweden and the United Kingdom of Great Britain and Northern Ireland </w:t>
      </w:r>
      <w:r w:rsidR="007C6517">
        <w:rPr>
          <w:sz w:val="20"/>
          <w:szCs w:val="20"/>
        </w:rPr>
        <w:t xml:space="preserve">and co-sponsored by </w:t>
      </w:r>
      <w:r w:rsidR="00861B84" w:rsidRPr="00861B84">
        <w:rPr>
          <w:sz w:val="20"/>
          <w:szCs w:val="20"/>
        </w:rPr>
        <w:t>Albania, Argentina, Australia, Brazil, Canada, Chile, Georgia, Honduras, Iceland, Liechtenstein, Monaco, Montenegro, New Zealand, North Macedonia, Norway, Peru, Philippines, Republic of Moldova, San Marino, Serbia, Tunisia, Turkey, Ukraine</w:t>
      </w:r>
      <w:r w:rsidR="007C6517">
        <w:rPr>
          <w:sz w:val="20"/>
          <w:szCs w:val="20"/>
        </w:rPr>
        <w:t xml:space="preserve"> and</w:t>
      </w:r>
      <w:r w:rsidR="00861B84" w:rsidRPr="00861B84">
        <w:rPr>
          <w:sz w:val="20"/>
          <w:szCs w:val="20"/>
        </w:rPr>
        <w:t xml:space="preserve"> Uruguay</w:t>
      </w:r>
      <w:r w:rsidR="007C6517">
        <w:rPr>
          <w:sz w:val="20"/>
          <w:szCs w:val="20"/>
        </w:rPr>
        <w:t>.</w:t>
      </w:r>
      <w:r w:rsidR="00861B84" w:rsidRPr="00326BEB">
        <w:rPr>
          <w:sz w:val="20"/>
          <w:szCs w:val="20"/>
        </w:rPr>
        <w:t xml:space="preserve"> Subsequently, </w:t>
      </w:r>
      <w:r w:rsidR="007C6517" w:rsidRPr="007C6517">
        <w:rPr>
          <w:sz w:val="20"/>
          <w:szCs w:val="20"/>
        </w:rPr>
        <w:t>Andorra</w:t>
      </w:r>
      <w:r w:rsidR="007C6517">
        <w:rPr>
          <w:sz w:val="20"/>
          <w:szCs w:val="20"/>
        </w:rPr>
        <w:t xml:space="preserve">, Armenia, </w:t>
      </w:r>
      <w:r w:rsidR="007C6517" w:rsidRPr="007C6517">
        <w:rPr>
          <w:sz w:val="20"/>
          <w:szCs w:val="20"/>
        </w:rPr>
        <w:t>Costa Rica</w:t>
      </w:r>
      <w:r w:rsidR="007C6517">
        <w:rPr>
          <w:sz w:val="20"/>
          <w:szCs w:val="20"/>
        </w:rPr>
        <w:t xml:space="preserve">, the Dominican Republic, </w:t>
      </w:r>
      <w:r w:rsidR="007C6517" w:rsidRPr="007C6517">
        <w:rPr>
          <w:sz w:val="20"/>
          <w:szCs w:val="20"/>
        </w:rPr>
        <w:t>Ecuador</w:t>
      </w:r>
      <w:r w:rsidR="007C6517">
        <w:rPr>
          <w:sz w:val="20"/>
          <w:szCs w:val="20"/>
        </w:rPr>
        <w:t xml:space="preserve">, </w:t>
      </w:r>
      <w:r w:rsidR="007C6517" w:rsidRPr="007C6517">
        <w:rPr>
          <w:sz w:val="20"/>
          <w:szCs w:val="20"/>
        </w:rPr>
        <w:t>F</w:t>
      </w:r>
      <w:r w:rsidR="007C6517">
        <w:rPr>
          <w:sz w:val="20"/>
          <w:szCs w:val="20"/>
        </w:rPr>
        <w:t xml:space="preserve">iji, </w:t>
      </w:r>
      <w:r w:rsidR="007C6517" w:rsidRPr="007C6517">
        <w:rPr>
          <w:sz w:val="20"/>
          <w:szCs w:val="20"/>
        </w:rPr>
        <w:t>Ghana</w:t>
      </w:r>
      <w:r w:rsidR="007C6517">
        <w:rPr>
          <w:sz w:val="20"/>
          <w:szCs w:val="20"/>
        </w:rPr>
        <w:t xml:space="preserve">, </w:t>
      </w:r>
      <w:r w:rsidR="007C6517" w:rsidRPr="007C6517">
        <w:rPr>
          <w:sz w:val="20"/>
          <w:szCs w:val="20"/>
        </w:rPr>
        <w:t>Guatemala</w:t>
      </w:r>
      <w:r w:rsidR="007C6517">
        <w:rPr>
          <w:sz w:val="20"/>
          <w:szCs w:val="20"/>
        </w:rPr>
        <w:t xml:space="preserve">, </w:t>
      </w:r>
      <w:r w:rsidR="007C6517" w:rsidRPr="007C6517">
        <w:rPr>
          <w:sz w:val="20"/>
          <w:szCs w:val="20"/>
        </w:rPr>
        <w:t>Israel</w:t>
      </w:r>
      <w:r w:rsidR="007C6517">
        <w:rPr>
          <w:sz w:val="20"/>
          <w:szCs w:val="20"/>
        </w:rPr>
        <w:t xml:space="preserve">, </w:t>
      </w:r>
      <w:r w:rsidR="007C6517" w:rsidRPr="007C6517">
        <w:rPr>
          <w:sz w:val="20"/>
          <w:szCs w:val="20"/>
        </w:rPr>
        <w:t>Japan</w:t>
      </w:r>
      <w:r w:rsidR="007C6517">
        <w:rPr>
          <w:sz w:val="20"/>
          <w:szCs w:val="20"/>
        </w:rPr>
        <w:t xml:space="preserve">, </w:t>
      </w:r>
      <w:r w:rsidR="007C6517" w:rsidRPr="007C6517">
        <w:rPr>
          <w:sz w:val="20"/>
          <w:szCs w:val="20"/>
        </w:rPr>
        <w:t>Paraguay</w:t>
      </w:r>
      <w:r w:rsidR="007C6517">
        <w:rPr>
          <w:sz w:val="20"/>
          <w:szCs w:val="20"/>
        </w:rPr>
        <w:t xml:space="preserve">, the </w:t>
      </w:r>
      <w:r w:rsidR="007C6517" w:rsidRPr="007C6517">
        <w:rPr>
          <w:sz w:val="20"/>
          <w:szCs w:val="20"/>
        </w:rPr>
        <w:t>Republic of Korea</w:t>
      </w:r>
      <w:r w:rsidR="007C6517">
        <w:rPr>
          <w:sz w:val="20"/>
          <w:szCs w:val="20"/>
        </w:rPr>
        <w:t xml:space="preserve">, </w:t>
      </w:r>
      <w:r w:rsidR="007C6517" w:rsidRPr="007C6517">
        <w:rPr>
          <w:sz w:val="20"/>
          <w:szCs w:val="20"/>
        </w:rPr>
        <w:t>Sri Lanka</w:t>
      </w:r>
      <w:r w:rsidR="007C6517">
        <w:rPr>
          <w:sz w:val="20"/>
          <w:szCs w:val="20"/>
        </w:rPr>
        <w:t xml:space="preserve">, </w:t>
      </w:r>
      <w:r w:rsidR="007C6517" w:rsidRPr="007C6517">
        <w:rPr>
          <w:sz w:val="20"/>
          <w:szCs w:val="20"/>
        </w:rPr>
        <w:t>Switzerland</w:t>
      </w:r>
      <w:r w:rsidR="007C6517">
        <w:rPr>
          <w:sz w:val="20"/>
          <w:szCs w:val="20"/>
        </w:rPr>
        <w:t xml:space="preserve"> and </w:t>
      </w:r>
      <w:r w:rsidR="007C6517" w:rsidRPr="007C6517">
        <w:rPr>
          <w:sz w:val="20"/>
          <w:szCs w:val="20"/>
        </w:rPr>
        <w:t>Thailand</w:t>
      </w:r>
      <w:r w:rsidR="007C6517">
        <w:rPr>
          <w:sz w:val="20"/>
          <w:szCs w:val="20"/>
        </w:rPr>
        <w:t xml:space="preserve"> </w:t>
      </w:r>
      <w:r w:rsidR="00861B84" w:rsidRPr="00326BEB">
        <w:rPr>
          <w:sz w:val="20"/>
          <w:szCs w:val="20"/>
        </w:rPr>
        <w:t>joined the sponsors.</w:t>
      </w:r>
    </w:p>
    <w:p w14:paraId="1E0333A6" w14:textId="600C702F" w:rsidR="007C6517" w:rsidRDefault="002B4AE4" w:rsidP="007C6517">
      <w:pPr>
        <w:spacing w:after="120"/>
        <w:ind w:left="1134" w:right="1134"/>
        <w:jc w:val="both"/>
        <w:rPr>
          <w:sz w:val="20"/>
          <w:szCs w:val="20"/>
        </w:rPr>
      </w:pPr>
      <w:r>
        <w:rPr>
          <w:sz w:val="20"/>
          <w:szCs w:val="20"/>
        </w:rPr>
        <w:t>223</w:t>
      </w:r>
      <w:r w:rsidR="007C6517" w:rsidRPr="00326BEB">
        <w:rPr>
          <w:sz w:val="20"/>
          <w:szCs w:val="20"/>
        </w:rPr>
        <w:t>.</w:t>
      </w:r>
      <w:r w:rsidR="007C6517" w:rsidRPr="00326BEB">
        <w:rPr>
          <w:sz w:val="20"/>
          <w:szCs w:val="20"/>
        </w:rPr>
        <w:tab/>
        <w:t>In accordance with rule 153 of the rules of procedure of the General Assembly, the attention of the Human Rights Council was drawn to the estimated administrative and programme budget implications of the draft resolution.</w:t>
      </w:r>
    </w:p>
    <w:p w14:paraId="1EF84C8D" w14:textId="4230E472" w:rsidR="00861B84" w:rsidRDefault="002B4AE4" w:rsidP="007C6517">
      <w:pPr>
        <w:spacing w:after="120"/>
        <w:ind w:left="1134" w:right="1134"/>
        <w:jc w:val="both"/>
        <w:rPr>
          <w:rFonts w:eastAsia="SimSun"/>
          <w:sz w:val="20"/>
          <w:szCs w:val="20"/>
          <w:lang w:eastAsia="ar-SA"/>
        </w:rPr>
      </w:pPr>
      <w:r>
        <w:rPr>
          <w:sz w:val="20"/>
          <w:szCs w:val="20"/>
        </w:rPr>
        <w:t>224</w:t>
      </w:r>
      <w:r w:rsidR="00861B84" w:rsidRPr="00E86201">
        <w:rPr>
          <w:sz w:val="20"/>
          <w:szCs w:val="20"/>
        </w:rPr>
        <w:t>.</w:t>
      </w:r>
      <w:r w:rsidR="00861B84" w:rsidRPr="00E86201">
        <w:rPr>
          <w:sz w:val="20"/>
          <w:szCs w:val="20"/>
        </w:rPr>
        <w:tab/>
        <w:t xml:space="preserve">At the same meeting, </w:t>
      </w:r>
      <w:r w:rsidR="00861B84" w:rsidRPr="00326BEB">
        <w:rPr>
          <w:rFonts w:eastAsia="SimSun"/>
          <w:sz w:val="20"/>
          <w:szCs w:val="20"/>
          <w:lang w:eastAsia="ar-SA"/>
        </w:rPr>
        <w:t xml:space="preserve">the draft resolution was adopted without a vote (resolution </w:t>
      </w:r>
      <w:r w:rsidR="00861B84">
        <w:rPr>
          <w:rFonts w:eastAsia="SimSun"/>
          <w:sz w:val="20"/>
          <w:szCs w:val="20"/>
          <w:lang w:eastAsia="ar-SA"/>
        </w:rPr>
        <w:t>40</w:t>
      </w:r>
      <w:r w:rsidR="00861B84" w:rsidRPr="00326BEB">
        <w:rPr>
          <w:rFonts w:eastAsia="SimSun"/>
          <w:sz w:val="20"/>
          <w:szCs w:val="20"/>
          <w:lang w:eastAsia="ar-SA"/>
        </w:rPr>
        <w:t>/</w:t>
      </w:r>
      <w:r w:rsidR="00997D1B">
        <w:rPr>
          <w:rFonts w:eastAsia="SimSun"/>
          <w:sz w:val="20"/>
          <w:szCs w:val="20"/>
          <w:lang w:eastAsia="ar-SA"/>
        </w:rPr>
        <w:t>10</w:t>
      </w:r>
      <w:r w:rsidR="00861B84" w:rsidRPr="00326BEB">
        <w:rPr>
          <w:rFonts w:eastAsia="SimSun"/>
          <w:sz w:val="20"/>
          <w:szCs w:val="20"/>
          <w:lang w:eastAsia="ar-SA"/>
        </w:rPr>
        <w:t>).</w:t>
      </w:r>
    </w:p>
    <w:p w14:paraId="38CCA963" w14:textId="0E169DE8" w:rsidR="00041A36" w:rsidRPr="00326BEB" w:rsidRDefault="002B4AE4" w:rsidP="00041A36">
      <w:pPr>
        <w:pStyle w:val="SingleTxtG"/>
        <w:rPr>
          <w:rFonts w:eastAsia="SimSun"/>
          <w:sz w:val="20"/>
          <w:szCs w:val="20"/>
          <w:lang w:eastAsia="ar-SA"/>
        </w:rPr>
      </w:pPr>
      <w:r>
        <w:rPr>
          <w:rFonts w:eastAsia="SimSun"/>
          <w:sz w:val="20"/>
          <w:szCs w:val="20"/>
          <w:lang w:eastAsia="ar-SA"/>
        </w:rPr>
        <w:t>225</w:t>
      </w:r>
      <w:r w:rsidR="00041A36" w:rsidRPr="000B65FE">
        <w:rPr>
          <w:rFonts w:eastAsia="SimSun"/>
          <w:sz w:val="20"/>
          <w:szCs w:val="20"/>
          <w:lang w:eastAsia="ar-SA"/>
        </w:rPr>
        <w:t>.</w:t>
      </w:r>
      <w:r w:rsidR="00041A36" w:rsidRPr="000B65FE">
        <w:rPr>
          <w:rFonts w:eastAsia="SimSun"/>
          <w:sz w:val="20"/>
          <w:szCs w:val="20"/>
          <w:lang w:eastAsia="ar-SA"/>
        </w:rPr>
        <w:tab/>
        <w:t xml:space="preserve">At the </w:t>
      </w:r>
      <w:r w:rsidR="00041A36">
        <w:rPr>
          <w:rFonts w:eastAsia="SimSun"/>
          <w:sz w:val="20"/>
          <w:szCs w:val="20"/>
          <w:lang w:eastAsia="ar-SA"/>
        </w:rPr>
        <w:t xml:space="preserve">53rd </w:t>
      </w:r>
      <w:r w:rsidR="00041A36" w:rsidRPr="000B65FE">
        <w:rPr>
          <w:rFonts w:eastAsia="SimSun"/>
          <w:sz w:val="20"/>
          <w:szCs w:val="20"/>
          <w:lang w:eastAsia="ar-SA"/>
        </w:rPr>
        <w:t xml:space="preserve">meeting, </w:t>
      </w:r>
      <w:r w:rsidR="00041A36">
        <w:rPr>
          <w:rFonts w:eastAsia="SimSun"/>
          <w:sz w:val="20"/>
          <w:szCs w:val="20"/>
          <w:lang w:eastAsia="ar-SA"/>
        </w:rPr>
        <w:t xml:space="preserve">on 22 March 2019, </w:t>
      </w:r>
      <w:r w:rsidR="00041A36" w:rsidRPr="000B65FE">
        <w:rPr>
          <w:rFonts w:eastAsia="SimSun"/>
          <w:sz w:val="20"/>
          <w:szCs w:val="20"/>
          <w:lang w:eastAsia="ar-SA"/>
        </w:rPr>
        <w:t xml:space="preserve">the representative of </w:t>
      </w:r>
      <w:r w:rsidR="00041A36">
        <w:rPr>
          <w:rFonts w:eastAsia="SimSun"/>
          <w:sz w:val="20"/>
          <w:szCs w:val="20"/>
          <w:lang w:eastAsia="ar-SA"/>
        </w:rPr>
        <w:t>Tunisia</w:t>
      </w:r>
      <w:r w:rsidR="00041A36" w:rsidRPr="000B65FE">
        <w:rPr>
          <w:rFonts w:eastAsia="SimSun"/>
          <w:sz w:val="20"/>
          <w:szCs w:val="20"/>
          <w:lang w:eastAsia="ar-SA"/>
        </w:rPr>
        <w:t xml:space="preserve"> made a statement in explanation of vote after the vote.</w:t>
      </w:r>
      <w:r w:rsidR="00D72627">
        <w:rPr>
          <w:rFonts w:eastAsia="SimSun"/>
          <w:sz w:val="20"/>
          <w:szCs w:val="20"/>
          <w:lang w:eastAsia="ar-SA"/>
        </w:rPr>
        <w:t xml:space="preserve"> </w:t>
      </w:r>
    </w:p>
    <w:p w14:paraId="4A7CB64D" w14:textId="4CBF9A49" w:rsidR="007C6517" w:rsidRDefault="007C6517" w:rsidP="007C6517">
      <w:pPr>
        <w:pStyle w:val="SingleTxtG"/>
        <w:rPr>
          <w:b/>
          <w:sz w:val="20"/>
          <w:szCs w:val="20"/>
        </w:rPr>
      </w:pPr>
      <w:r w:rsidRPr="007C6517">
        <w:rPr>
          <w:b/>
          <w:sz w:val="20"/>
          <w:szCs w:val="20"/>
        </w:rPr>
        <w:t>Recognizing the contribution of environmental human rights defenders to the enjoyment of human rights, environmental protection and sustainable development</w:t>
      </w:r>
    </w:p>
    <w:p w14:paraId="2D6A778C" w14:textId="45BF0547" w:rsidR="007C6517" w:rsidRDefault="002B4AE4" w:rsidP="007C6517">
      <w:pPr>
        <w:pStyle w:val="SingleTxtG"/>
        <w:rPr>
          <w:sz w:val="20"/>
          <w:szCs w:val="20"/>
        </w:rPr>
      </w:pPr>
      <w:r>
        <w:rPr>
          <w:sz w:val="20"/>
          <w:szCs w:val="20"/>
        </w:rPr>
        <w:t>226</w:t>
      </w:r>
      <w:r w:rsidR="007C6517" w:rsidRPr="00326BEB">
        <w:rPr>
          <w:sz w:val="20"/>
          <w:szCs w:val="20"/>
        </w:rPr>
        <w:t>.</w:t>
      </w:r>
      <w:r w:rsidR="007C6517" w:rsidRPr="00326BEB">
        <w:rPr>
          <w:sz w:val="20"/>
          <w:szCs w:val="20"/>
        </w:rPr>
        <w:tab/>
        <w:t xml:space="preserve">At the </w:t>
      </w:r>
      <w:r w:rsidR="007C6517">
        <w:rPr>
          <w:sz w:val="20"/>
          <w:szCs w:val="20"/>
        </w:rPr>
        <w:t>52nd</w:t>
      </w:r>
      <w:r w:rsidR="007C6517" w:rsidRPr="00326BEB">
        <w:rPr>
          <w:sz w:val="20"/>
          <w:szCs w:val="20"/>
        </w:rPr>
        <w:t xml:space="preserve"> meeting, on </w:t>
      </w:r>
      <w:r w:rsidR="007C6517">
        <w:rPr>
          <w:sz w:val="20"/>
          <w:szCs w:val="20"/>
        </w:rPr>
        <w:t>21 March 2019</w:t>
      </w:r>
      <w:r w:rsidR="007C6517" w:rsidRPr="00326BEB">
        <w:rPr>
          <w:sz w:val="20"/>
          <w:szCs w:val="20"/>
        </w:rPr>
        <w:t xml:space="preserve">, the representative of </w:t>
      </w:r>
      <w:r w:rsidR="007C6517">
        <w:rPr>
          <w:sz w:val="20"/>
          <w:szCs w:val="20"/>
        </w:rPr>
        <w:t xml:space="preserve">Norway </w:t>
      </w:r>
      <w:r w:rsidR="007C6517" w:rsidRPr="00326BEB">
        <w:rPr>
          <w:sz w:val="20"/>
          <w:szCs w:val="20"/>
        </w:rPr>
        <w:t>introduced draft resolution A/HRC/</w:t>
      </w:r>
      <w:r w:rsidR="007C6517">
        <w:rPr>
          <w:sz w:val="20"/>
          <w:szCs w:val="20"/>
        </w:rPr>
        <w:t>40</w:t>
      </w:r>
      <w:r w:rsidR="007C6517" w:rsidRPr="00326BEB">
        <w:rPr>
          <w:sz w:val="20"/>
          <w:szCs w:val="20"/>
        </w:rPr>
        <w:t>/L.</w:t>
      </w:r>
      <w:r w:rsidR="007C6517">
        <w:rPr>
          <w:sz w:val="20"/>
          <w:szCs w:val="20"/>
        </w:rPr>
        <w:t>22/Rev.1</w:t>
      </w:r>
      <w:r w:rsidR="007C6517" w:rsidRPr="00326BEB">
        <w:rPr>
          <w:sz w:val="20"/>
          <w:szCs w:val="20"/>
        </w:rPr>
        <w:t xml:space="preserve">, sponsored by </w:t>
      </w:r>
      <w:r w:rsidR="007C6517">
        <w:rPr>
          <w:sz w:val="20"/>
          <w:szCs w:val="20"/>
        </w:rPr>
        <w:t xml:space="preserve">Norway and co-sponsored by </w:t>
      </w:r>
      <w:r w:rsidR="007C6517" w:rsidRPr="007C6517">
        <w:rPr>
          <w:sz w:val="20"/>
          <w:szCs w:val="20"/>
        </w:rPr>
        <w:t xml:space="preserve">Albania, Argentina, Australia, Austria, Belgium, Bosnia and Herzegovina, Brazil, Bulgaria, Canada, Croatia, Cyprus, Czechia, Denmark, Estonia, Fiji, Finland, France, Germany, Ghana, Greece, Haiti, Honduras, Hungary, Ireland, Italy, Latvia, Liechtenstein, Lithuania, Luxembourg, Malawi, Malta, Mexico, Mongolia, Montenegro, Mozambique, </w:t>
      </w:r>
      <w:r w:rsidR="007C6517">
        <w:rPr>
          <w:sz w:val="20"/>
          <w:szCs w:val="20"/>
        </w:rPr>
        <w:t xml:space="preserve">the </w:t>
      </w:r>
      <w:r w:rsidR="007C6517" w:rsidRPr="007C6517">
        <w:rPr>
          <w:sz w:val="20"/>
          <w:szCs w:val="20"/>
        </w:rPr>
        <w:t xml:space="preserve">Netherlands, New Zealand, Paraguay, Peru, Poland, Portugal, </w:t>
      </w:r>
      <w:r w:rsidR="007C6517">
        <w:rPr>
          <w:sz w:val="20"/>
          <w:szCs w:val="20"/>
        </w:rPr>
        <w:t xml:space="preserve">the </w:t>
      </w:r>
      <w:r w:rsidR="007C6517" w:rsidRPr="007C6517">
        <w:rPr>
          <w:sz w:val="20"/>
          <w:szCs w:val="20"/>
        </w:rPr>
        <w:t xml:space="preserve">Republic of Moldova, Romania, Slovakia, Slovenia, Spain, Sweden, Switzerland, Tunisia, Ukraine, </w:t>
      </w:r>
      <w:r w:rsidR="007C6517">
        <w:rPr>
          <w:sz w:val="20"/>
          <w:szCs w:val="20"/>
        </w:rPr>
        <w:t xml:space="preserve">the </w:t>
      </w:r>
      <w:r w:rsidR="007C6517" w:rsidRPr="007C6517">
        <w:rPr>
          <w:sz w:val="20"/>
          <w:szCs w:val="20"/>
        </w:rPr>
        <w:t>United Kingdom of Great Britain and Northern Ireland, Uruguay</w:t>
      </w:r>
      <w:r w:rsidR="007C6517">
        <w:rPr>
          <w:sz w:val="20"/>
          <w:szCs w:val="20"/>
        </w:rPr>
        <w:t xml:space="preserve"> and the</w:t>
      </w:r>
      <w:r w:rsidR="007C6517" w:rsidRPr="007C6517">
        <w:rPr>
          <w:sz w:val="20"/>
          <w:szCs w:val="20"/>
        </w:rPr>
        <w:t xml:space="preserve"> State of Palestine</w:t>
      </w:r>
      <w:r w:rsidR="007C6517">
        <w:rPr>
          <w:sz w:val="20"/>
          <w:szCs w:val="20"/>
        </w:rPr>
        <w:t xml:space="preserve">. </w:t>
      </w:r>
      <w:r w:rsidR="007C6517" w:rsidRPr="00E45C02">
        <w:rPr>
          <w:sz w:val="20"/>
          <w:szCs w:val="20"/>
        </w:rPr>
        <w:t xml:space="preserve">Subsequently, </w:t>
      </w:r>
      <w:r w:rsidR="007C6517" w:rsidRPr="007C6517">
        <w:rPr>
          <w:sz w:val="20"/>
          <w:szCs w:val="20"/>
        </w:rPr>
        <w:t xml:space="preserve">Peru withdrew its original </w:t>
      </w:r>
      <w:r w:rsidR="007C6517" w:rsidRPr="00E45C02">
        <w:rPr>
          <w:sz w:val="20"/>
          <w:szCs w:val="20"/>
        </w:rPr>
        <w:t>co-sponsorship of the draft resolution.</w:t>
      </w:r>
      <w:r w:rsidR="007C6517" w:rsidRPr="00326BEB">
        <w:rPr>
          <w:sz w:val="20"/>
          <w:szCs w:val="20"/>
        </w:rPr>
        <w:t xml:space="preserve"> Subsequently, </w:t>
      </w:r>
      <w:r w:rsidR="002E4B83" w:rsidRPr="002E4B83">
        <w:rPr>
          <w:sz w:val="20"/>
          <w:szCs w:val="20"/>
        </w:rPr>
        <w:t>Andorra</w:t>
      </w:r>
      <w:r w:rsidR="002E4B83">
        <w:rPr>
          <w:sz w:val="20"/>
          <w:szCs w:val="20"/>
        </w:rPr>
        <w:t xml:space="preserve">, </w:t>
      </w:r>
      <w:r w:rsidR="002E4B83" w:rsidRPr="002E4B83">
        <w:rPr>
          <w:sz w:val="20"/>
          <w:szCs w:val="20"/>
        </w:rPr>
        <w:t>Angola</w:t>
      </w:r>
      <w:r w:rsidR="002E4B83">
        <w:rPr>
          <w:sz w:val="20"/>
          <w:szCs w:val="20"/>
        </w:rPr>
        <w:t xml:space="preserve">, </w:t>
      </w:r>
      <w:r w:rsidR="002E4B83" w:rsidRPr="002E4B83">
        <w:rPr>
          <w:sz w:val="20"/>
          <w:szCs w:val="20"/>
        </w:rPr>
        <w:t>Armenia</w:t>
      </w:r>
      <w:r w:rsidR="002E4B83">
        <w:rPr>
          <w:sz w:val="20"/>
          <w:szCs w:val="20"/>
        </w:rPr>
        <w:t xml:space="preserve">, the </w:t>
      </w:r>
      <w:r w:rsidR="002E4B83" w:rsidRPr="002E4B83">
        <w:rPr>
          <w:sz w:val="20"/>
          <w:szCs w:val="20"/>
        </w:rPr>
        <w:t>Bahamas</w:t>
      </w:r>
      <w:r w:rsidR="002E4B83">
        <w:rPr>
          <w:sz w:val="20"/>
          <w:szCs w:val="20"/>
        </w:rPr>
        <w:t xml:space="preserve">, </w:t>
      </w:r>
      <w:r w:rsidR="002E4B83" w:rsidRPr="002E4B83">
        <w:rPr>
          <w:sz w:val="20"/>
          <w:szCs w:val="20"/>
        </w:rPr>
        <w:t>Botswana</w:t>
      </w:r>
      <w:r w:rsidR="002E4B83">
        <w:rPr>
          <w:sz w:val="20"/>
          <w:szCs w:val="20"/>
        </w:rPr>
        <w:t xml:space="preserve">, </w:t>
      </w:r>
      <w:r w:rsidR="002E4B83" w:rsidRPr="002E4B83">
        <w:rPr>
          <w:sz w:val="20"/>
          <w:szCs w:val="20"/>
        </w:rPr>
        <w:t>Burkina Faso</w:t>
      </w:r>
      <w:r w:rsidR="002E4B83">
        <w:rPr>
          <w:sz w:val="20"/>
          <w:szCs w:val="20"/>
        </w:rPr>
        <w:t xml:space="preserve">, </w:t>
      </w:r>
      <w:r w:rsidR="002E4B83" w:rsidRPr="002E4B83">
        <w:rPr>
          <w:sz w:val="20"/>
          <w:szCs w:val="20"/>
        </w:rPr>
        <w:t>Costa Rica</w:t>
      </w:r>
      <w:r w:rsidR="002E4B83">
        <w:rPr>
          <w:sz w:val="20"/>
          <w:szCs w:val="20"/>
        </w:rPr>
        <w:t xml:space="preserve">, </w:t>
      </w:r>
      <w:r w:rsidR="002E4B83" w:rsidRPr="002E4B83">
        <w:rPr>
          <w:sz w:val="20"/>
          <w:szCs w:val="20"/>
        </w:rPr>
        <w:t>El Salvador</w:t>
      </w:r>
      <w:r w:rsidR="002E4B83">
        <w:rPr>
          <w:sz w:val="20"/>
          <w:szCs w:val="20"/>
        </w:rPr>
        <w:t xml:space="preserve">, Georgia, </w:t>
      </w:r>
      <w:r w:rsidR="002E4B83" w:rsidRPr="002E4B83">
        <w:rPr>
          <w:sz w:val="20"/>
          <w:szCs w:val="20"/>
        </w:rPr>
        <w:t>Guatemala</w:t>
      </w:r>
      <w:r w:rsidR="002E4B83">
        <w:rPr>
          <w:sz w:val="20"/>
          <w:szCs w:val="20"/>
        </w:rPr>
        <w:t xml:space="preserve">, </w:t>
      </w:r>
      <w:r w:rsidR="002E4B83" w:rsidRPr="002E4B83">
        <w:rPr>
          <w:sz w:val="20"/>
          <w:szCs w:val="20"/>
        </w:rPr>
        <w:t>Iceland</w:t>
      </w:r>
      <w:r w:rsidR="002E4B83">
        <w:rPr>
          <w:sz w:val="20"/>
          <w:szCs w:val="20"/>
        </w:rPr>
        <w:t xml:space="preserve">, Indonesia, </w:t>
      </w:r>
      <w:r w:rsidR="002E4B83" w:rsidRPr="002E4B83">
        <w:rPr>
          <w:sz w:val="20"/>
          <w:szCs w:val="20"/>
        </w:rPr>
        <w:t>Maldives</w:t>
      </w:r>
      <w:r w:rsidR="002E4B83">
        <w:rPr>
          <w:sz w:val="20"/>
          <w:szCs w:val="20"/>
        </w:rPr>
        <w:t xml:space="preserve">, the </w:t>
      </w:r>
      <w:r w:rsidR="002E4B83" w:rsidRPr="002E4B83">
        <w:rPr>
          <w:sz w:val="20"/>
          <w:szCs w:val="20"/>
        </w:rPr>
        <w:t>Marshall Islands</w:t>
      </w:r>
      <w:r w:rsidR="002E4B83">
        <w:rPr>
          <w:sz w:val="20"/>
          <w:szCs w:val="20"/>
        </w:rPr>
        <w:t xml:space="preserve">, </w:t>
      </w:r>
      <w:r w:rsidR="002E4B83" w:rsidRPr="002E4B83">
        <w:rPr>
          <w:sz w:val="20"/>
          <w:szCs w:val="20"/>
        </w:rPr>
        <w:t>Panama</w:t>
      </w:r>
      <w:r w:rsidR="002E4B83">
        <w:rPr>
          <w:sz w:val="20"/>
          <w:szCs w:val="20"/>
        </w:rPr>
        <w:t xml:space="preserve">, </w:t>
      </w:r>
      <w:r w:rsidR="002E4B83" w:rsidRPr="002E4B83">
        <w:rPr>
          <w:sz w:val="20"/>
          <w:szCs w:val="20"/>
        </w:rPr>
        <w:t>Peru</w:t>
      </w:r>
      <w:r w:rsidR="002E4B83">
        <w:rPr>
          <w:sz w:val="20"/>
          <w:szCs w:val="20"/>
        </w:rPr>
        <w:t xml:space="preserve">, the Republic of Korea, </w:t>
      </w:r>
      <w:r w:rsidR="002E4B83" w:rsidRPr="002E4B83">
        <w:rPr>
          <w:sz w:val="20"/>
          <w:szCs w:val="20"/>
        </w:rPr>
        <w:t>Senegal</w:t>
      </w:r>
      <w:r w:rsidR="002E4B83">
        <w:rPr>
          <w:sz w:val="20"/>
          <w:szCs w:val="20"/>
        </w:rPr>
        <w:t xml:space="preserve"> and Timor-Leste </w:t>
      </w:r>
      <w:r w:rsidR="007C6517" w:rsidRPr="00326BEB">
        <w:rPr>
          <w:sz w:val="20"/>
          <w:szCs w:val="20"/>
        </w:rPr>
        <w:t>joined the sponsors.</w:t>
      </w:r>
    </w:p>
    <w:p w14:paraId="13FA1743" w14:textId="1C1AA1A1" w:rsidR="002E4B83" w:rsidRDefault="002B4AE4" w:rsidP="002E4B83">
      <w:pPr>
        <w:pStyle w:val="SingleTxtG"/>
        <w:rPr>
          <w:sz w:val="20"/>
          <w:szCs w:val="20"/>
        </w:rPr>
      </w:pPr>
      <w:r>
        <w:rPr>
          <w:sz w:val="20"/>
          <w:szCs w:val="20"/>
        </w:rPr>
        <w:t>227</w:t>
      </w:r>
      <w:r w:rsidR="002E4B83" w:rsidRPr="00433D0F">
        <w:rPr>
          <w:sz w:val="20"/>
          <w:szCs w:val="20"/>
        </w:rPr>
        <w:t>.</w:t>
      </w:r>
      <w:r w:rsidR="002E4B83" w:rsidRPr="00433D0F">
        <w:rPr>
          <w:sz w:val="20"/>
          <w:szCs w:val="20"/>
        </w:rPr>
        <w:tab/>
        <w:t xml:space="preserve">At the same meeting, the President of the Council announced that </w:t>
      </w:r>
      <w:r w:rsidR="002E4B83">
        <w:rPr>
          <w:sz w:val="20"/>
          <w:szCs w:val="20"/>
        </w:rPr>
        <w:t>draft resolution</w:t>
      </w:r>
      <w:r w:rsidR="002E4B83" w:rsidRPr="00433D0F">
        <w:rPr>
          <w:sz w:val="20"/>
          <w:szCs w:val="20"/>
        </w:rPr>
        <w:t xml:space="preserve"> A/HRC/</w:t>
      </w:r>
      <w:r w:rsidR="002E4B83">
        <w:rPr>
          <w:sz w:val="20"/>
          <w:szCs w:val="20"/>
        </w:rPr>
        <w:t>40</w:t>
      </w:r>
      <w:r w:rsidR="002E4B83" w:rsidRPr="00433D0F">
        <w:rPr>
          <w:sz w:val="20"/>
          <w:szCs w:val="20"/>
        </w:rPr>
        <w:t>/L.</w:t>
      </w:r>
      <w:r w:rsidR="002E4B83">
        <w:rPr>
          <w:sz w:val="20"/>
          <w:szCs w:val="20"/>
        </w:rPr>
        <w:t>22/Rev.1</w:t>
      </w:r>
      <w:r w:rsidR="002E4B83" w:rsidRPr="00433D0F">
        <w:rPr>
          <w:sz w:val="20"/>
          <w:szCs w:val="20"/>
        </w:rPr>
        <w:t xml:space="preserve"> had been orally revised.</w:t>
      </w:r>
    </w:p>
    <w:p w14:paraId="6399D460" w14:textId="7413D339" w:rsidR="002E4B83" w:rsidRDefault="002B4AE4" w:rsidP="002E4B83">
      <w:pPr>
        <w:pStyle w:val="SingleTxtG"/>
        <w:rPr>
          <w:sz w:val="20"/>
          <w:szCs w:val="20"/>
        </w:rPr>
      </w:pPr>
      <w:r>
        <w:rPr>
          <w:sz w:val="20"/>
          <w:szCs w:val="20"/>
        </w:rPr>
        <w:t>228</w:t>
      </w:r>
      <w:r w:rsidR="002E4B83" w:rsidRPr="002E4B83">
        <w:rPr>
          <w:sz w:val="20"/>
          <w:szCs w:val="20"/>
        </w:rPr>
        <w:t>.</w:t>
      </w:r>
      <w:r w:rsidR="002E4B83" w:rsidRPr="002E4B83">
        <w:rPr>
          <w:sz w:val="20"/>
          <w:szCs w:val="20"/>
        </w:rPr>
        <w:tab/>
        <w:t>A</w:t>
      </w:r>
      <w:r w:rsidR="002E4B83">
        <w:rPr>
          <w:sz w:val="20"/>
          <w:szCs w:val="20"/>
        </w:rPr>
        <w:t>lso a</w:t>
      </w:r>
      <w:r w:rsidR="002E4B83" w:rsidRPr="002E4B83">
        <w:rPr>
          <w:sz w:val="20"/>
          <w:szCs w:val="20"/>
        </w:rPr>
        <w:t>t the same meeting, the President of the Council announced that amendment A/HRC/</w:t>
      </w:r>
      <w:r w:rsidR="002E4B83">
        <w:rPr>
          <w:sz w:val="20"/>
          <w:szCs w:val="20"/>
        </w:rPr>
        <w:t>40</w:t>
      </w:r>
      <w:r w:rsidR="002E4B83" w:rsidRPr="002E4B83">
        <w:rPr>
          <w:sz w:val="20"/>
          <w:szCs w:val="20"/>
        </w:rPr>
        <w:t>/L.</w:t>
      </w:r>
      <w:r w:rsidR="002E4B83">
        <w:rPr>
          <w:sz w:val="20"/>
          <w:szCs w:val="20"/>
        </w:rPr>
        <w:t>30</w:t>
      </w:r>
      <w:r w:rsidR="002E4B83" w:rsidRPr="002E4B83">
        <w:rPr>
          <w:sz w:val="20"/>
          <w:szCs w:val="20"/>
        </w:rPr>
        <w:t xml:space="preserve"> to draft resolution </w:t>
      </w:r>
      <w:r w:rsidR="002E4B83" w:rsidRPr="00433D0F">
        <w:rPr>
          <w:sz w:val="20"/>
          <w:szCs w:val="20"/>
        </w:rPr>
        <w:t>A/HRC/</w:t>
      </w:r>
      <w:r w:rsidR="002E4B83">
        <w:rPr>
          <w:sz w:val="20"/>
          <w:szCs w:val="20"/>
        </w:rPr>
        <w:t>40</w:t>
      </w:r>
      <w:r w:rsidR="002E4B83" w:rsidRPr="00433D0F">
        <w:rPr>
          <w:sz w:val="20"/>
          <w:szCs w:val="20"/>
        </w:rPr>
        <w:t>/L.</w:t>
      </w:r>
      <w:r w:rsidR="002E4B83">
        <w:rPr>
          <w:sz w:val="20"/>
          <w:szCs w:val="20"/>
        </w:rPr>
        <w:t xml:space="preserve">22/Rev.1 as orally revised </w:t>
      </w:r>
      <w:r w:rsidR="002E4B83" w:rsidRPr="002E4B83">
        <w:rPr>
          <w:sz w:val="20"/>
          <w:szCs w:val="20"/>
        </w:rPr>
        <w:t>had been withdrawn by its sponsor.</w:t>
      </w:r>
    </w:p>
    <w:p w14:paraId="37EB8F06" w14:textId="43F19F90" w:rsidR="002E4B83" w:rsidRDefault="002B4AE4" w:rsidP="002E4B83">
      <w:pPr>
        <w:spacing w:after="120"/>
        <w:ind w:left="1134" w:right="1134"/>
        <w:jc w:val="both"/>
        <w:rPr>
          <w:sz w:val="20"/>
          <w:szCs w:val="20"/>
        </w:rPr>
      </w:pPr>
      <w:r>
        <w:rPr>
          <w:sz w:val="20"/>
          <w:szCs w:val="20"/>
        </w:rPr>
        <w:lastRenderedPageBreak/>
        <w:t>229</w:t>
      </w:r>
      <w:r w:rsidR="002E4B83" w:rsidRPr="00E86201">
        <w:rPr>
          <w:sz w:val="20"/>
          <w:szCs w:val="20"/>
        </w:rPr>
        <w:t>.</w:t>
      </w:r>
      <w:r w:rsidR="002E4B83" w:rsidRPr="00E86201">
        <w:rPr>
          <w:sz w:val="20"/>
          <w:szCs w:val="20"/>
        </w:rPr>
        <w:tab/>
        <w:t>At the same meeting, the representative</w:t>
      </w:r>
      <w:r w:rsidR="002E4B83">
        <w:rPr>
          <w:sz w:val="20"/>
          <w:szCs w:val="20"/>
        </w:rPr>
        <w:t>s</w:t>
      </w:r>
      <w:r w:rsidR="002E4B83" w:rsidRPr="00E86201">
        <w:rPr>
          <w:sz w:val="20"/>
          <w:szCs w:val="20"/>
        </w:rPr>
        <w:t xml:space="preserve"> of </w:t>
      </w:r>
      <w:r w:rsidR="002E4B83" w:rsidRPr="002E4B83">
        <w:rPr>
          <w:sz w:val="20"/>
          <w:szCs w:val="20"/>
        </w:rPr>
        <w:t>A</w:t>
      </w:r>
      <w:r w:rsidR="002E4B83">
        <w:rPr>
          <w:sz w:val="20"/>
          <w:szCs w:val="20"/>
        </w:rPr>
        <w:t xml:space="preserve">ustralia, </w:t>
      </w:r>
      <w:r w:rsidR="002E4B83" w:rsidRPr="002E4B83">
        <w:rPr>
          <w:sz w:val="20"/>
          <w:szCs w:val="20"/>
        </w:rPr>
        <w:t>Bulgaria (</w:t>
      </w:r>
      <w:r w:rsidR="002E4B83" w:rsidRPr="00861B84">
        <w:rPr>
          <w:sz w:val="20"/>
          <w:szCs w:val="20"/>
        </w:rPr>
        <w:t>on behalf of States members of the European Union t</w:t>
      </w:r>
      <w:r w:rsidR="002E4B83">
        <w:rPr>
          <w:sz w:val="20"/>
          <w:szCs w:val="20"/>
        </w:rPr>
        <w:t>hat are members of the Council</w:t>
      </w:r>
      <w:r w:rsidR="002E4B83" w:rsidRPr="002E4B83">
        <w:rPr>
          <w:sz w:val="20"/>
          <w:szCs w:val="20"/>
        </w:rPr>
        <w:t>), Egypt</w:t>
      </w:r>
      <w:r w:rsidR="00C6340D">
        <w:rPr>
          <w:sz w:val="20"/>
          <w:szCs w:val="20"/>
        </w:rPr>
        <w:t xml:space="preserve">, </w:t>
      </w:r>
      <w:r w:rsidR="002E4B83" w:rsidRPr="002E4B83">
        <w:rPr>
          <w:sz w:val="20"/>
          <w:szCs w:val="20"/>
        </w:rPr>
        <w:t>Fiji, Iceland, Iraq, Tunisia</w:t>
      </w:r>
      <w:r w:rsidR="00C6340D">
        <w:rPr>
          <w:sz w:val="20"/>
          <w:szCs w:val="20"/>
        </w:rPr>
        <w:t xml:space="preserve"> and </w:t>
      </w:r>
      <w:r w:rsidR="002E4B83" w:rsidRPr="002E4B83">
        <w:rPr>
          <w:sz w:val="20"/>
          <w:szCs w:val="20"/>
        </w:rPr>
        <w:t>Uruguay</w:t>
      </w:r>
      <w:r w:rsidR="00C6340D">
        <w:rPr>
          <w:sz w:val="20"/>
          <w:szCs w:val="20"/>
        </w:rPr>
        <w:t xml:space="preserve"> </w:t>
      </w:r>
      <w:r w:rsidR="002E4B83" w:rsidRPr="00E86201">
        <w:rPr>
          <w:sz w:val="20"/>
          <w:szCs w:val="20"/>
        </w:rPr>
        <w:t>made general comments on the draft resolution</w:t>
      </w:r>
      <w:r w:rsidR="002E4B83">
        <w:rPr>
          <w:sz w:val="20"/>
          <w:szCs w:val="20"/>
        </w:rPr>
        <w:t xml:space="preserve"> as </w:t>
      </w:r>
      <w:r w:rsidR="002E4B83" w:rsidRPr="00433D0F">
        <w:rPr>
          <w:sz w:val="20"/>
          <w:szCs w:val="20"/>
        </w:rPr>
        <w:t>orally revised</w:t>
      </w:r>
      <w:r w:rsidR="002E4B83" w:rsidRPr="00E86201">
        <w:rPr>
          <w:sz w:val="20"/>
          <w:szCs w:val="20"/>
        </w:rPr>
        <w:t>.</w:t>
      </w:r>
    </w:p>
    <w:p w14:paraId="794C6CEB" w14:textId="3BC47D34" w:rsidR="002E4B83" w:rsidRPr="0023658A" w:rsidRDefault="002B4AE4" w:rsidP="002E4B83">
      <w:pPr>
        <w:pStyle w:val="SingleTxtG"/>
        <w:rPr>
          <w:sz w:val="20"/>
          <w:szCs w:val="20"/>
        </w:rPr>
      </w:pPr>
      <w:r>
        <w:rPr>
          <w:sz w:val="20"/>
          <w:szCs w:val="20"/>
        </w:rPr>
        <w:t>230</w:t>
      </w:r>
      <w:r w:rsidR="002E4B83" w:rsidRPr="0023658A">
        <w:rPr>
          <w:sz w:val="20"/>
          <w:szCs w:val="20"/>
        </w:rPr>
        <w:t>.</w:t>
      </w:r>
      <w:r w:rsidR="002E4B83" w:rsidRPr="0023658A">
        <w:rPr>
          <w:sz w:val="20"/>
          <w:szCs w:val="20"/>
        </w:rPr>
        <w:tab/>
      </w:r>
      <w:r w:rsidR="002E4B83" w:rsidRPr="0023658A">
        <w:rPr>
          <w:rFonts w:eastAsia="SimSun"/>
          <w:sz w:val="20"/>
          <w:szCs w:val="20"/>
          <w:lang w:eastAsia="ar-SA"/>
        </w:rPr>
        <w:t>At the same meeting</w:t>
      </w:r>
      <w:r w:rsidR="002E4B83" w:rsidRPr="0023658A">
        <w:rPr>
          <w:sz w:val="20"/>
          <w:szCs w:val="20"/>
        </w:rPr>
        <w:t xml:space="preserve">, the representatives of </w:t>
      </w:r>
      <w:r w:rsidR="00B62BA0" w:rsidRPr="00B62BA0">
        <w:rPr>
          <w:sz w:val="20"/>
          <w:szCs w:val="20"/>
        </w:rPr>
        <w:t>China and</w:t>
      </w:r>
      <w:r w:rsidR="00B62BA0">
        <w:rPr>
          <w:sz w:val="20"/>
          <w:szCs w:val="20"/>
        </w:rPr>
        <w:t xml:space="preserve"> </w:t>
      </w:r>
      <w:r w:rsidR="00B62BA0" w:rsidRPr="00B62BA0">
        <w:rPr>
          <w:sz w:val="20"/>
          <w:szCs w:val="20"/>
        </w:rPr>
        <w:t xml:space="preserve">Pakistan </w:t>
      </w:r>
      <w:r w:rsidR="002E4B83" w:rsidRPr="0023658A">
        <w:rPr>
          <w:sz w:val="20"/>
          <w:szCs w:val="20"/>
        </w:rPr>
        <w:t>made statements in explanation of vote before the vote.</w:t>
      </w:r>
    </w:p>
    <w:p w14:paraId="06CC5E2B" w14:textId="74375C01" w:rsidR="007C6517" w:rsidRDefault="002B4AE4" w:rsidP="007C6517">
      <w:pPr>
        <w:spacing w:after="120"/>
        <w:ind w:left="1134" w:right="1134"/>
        <w:jc w:val="both"/>
        <w:rPr>
          <w:rFonts w:eastAsia="SimSun"/>
          <w:sz w:val="20"/>
          <w:szCs w:val="20"/>
          <w:lang w:eastAsia="ar-SA"/>
        </w:rPr>
      </w:pPr>
      <w:r>
        <w:rPr>
          <w:sz w:val="20"/>
          <w:szCs w:val="20"/>
        </w:rPr>
        <w:t>231</w:t>
      </w:r>
      <w:r w:rsidR="007C6517" w:rsidRPr="00E86201">
        <w:rPr>
          <w:sz w:val="20"/>
          <w:szCs w:val="20"/>
        </w:rPr>
        <w:t>.</w:t>
      </w:r>
      <w:r w:rsidR="007C6517" w:rsidRPr="00E86201">
        <w:rPr>
          <w:sz w:val="20"/>
          <w:szCs w:val="20"/>
        </w:rPr>
        <w:tab/>
        <w:t xml:space="preserve">At the same meeting, </w:t>
      </w:r>
      <w:r w:rsidR="007C6517" w:rsidRPr="00326BEB">
        <w:rPr>
          <w:rFonts w:eastAsia="SimSun"/>
          <w:sz w:val="20"/>
          <w:szCs w:val="20"/>
          <w:lang w:eastAsia="ar-SA"/>
        </w:rPr>
        <w:t xml:space="preserve">the draft resolution </w:t>
      </w:r>
      <w:r w:rsidR="002E4B83">
        <w:rPr>
          <w:rFonts w:eastAsia="SimSun"/>
          <w:sz w:val="20"/>
          <w:szCs w:val="20"/>
          <w:lang w:eastAsia="ar-SA"/>
        </w:rPr>
        <w:t xml:space="preserve">as </w:t>
      </w:r>
      <w:r w:rsidR="002E4B83" w:rsidRPr="00433D0F">
        <w:rPr>
          <w:sz w:val="20"/>
          <w:szCs w:val="20"/>
        </w:rPr>
        <w:t>orally revised</w:t>
      </w:r>
      <w:r w:rsidR="002E4B83" w:rsidRPr="00326BEB">
        <w:rPr>
          <w:rFonts w:eastAsia="SimSun"/>
          <w:sz w:val="20"/>
          <w:szCs w:val="20"/>
          <w:lang w:eastAsia="ar-SA"/>
        </w:rPr>
        <w:t xml:space="preserve"> </w:t>
      </w:r>
      <w:r w:rsidR="007C6517" w:rsidRPr="00326BEB">
        <w:rPr>
          <w:rFonts w:eastAsia="SimSun"/>
          <w:sz w:val="20"/>
          <w:szCs w:val="20"/>
          <w:lang w:eastAsia="ar-SA"/>
        </w:rPr>
        <w:t xml:space="preserve">was adopted without a vote (resolution </w:t>
      </w:r>
      <w:r w:rsidR="007C6517">
        <w:rPr>
          <w:rFonts w:eastAsia="SimSun"/>
          <w:sz w:val="20"/>
          <w:szCs w:val="20"/>
          <w:lang w:eastAsia="ar-SA"/>
        </w:rPr>
        <w:t>40</w:t>
      </w:r>
      <w:r w:rsidR="007C6517" w:rsidRPr="00326BEB">
        <w:rPr>
          <w:rFonts w:eastAsia="SimSun"/>
          <w:sz w:val="20"/>
          <w:szCs w:val="20"/>
          <w:lang w:eastAsia="ar-SA"/>
        </w:rPr>
        <w:t>/</w:t>
      </w:r>
      <w:r w:rsidR="002E4B83">
        <w:rPr>
          <w:rFonts w:eastAsia="SimSun"/>
          <w:sz w:val="20"/>
          <w:szCs w:val="20"/>
          <w:lang w:eastAsia="ar-SA"/>
        </w:rPr>
        <w:t>11</w:t>
      </w:r>
      <w:r w:rsidR="007C6517" w:rsidRPr="00326BEB">
        <w:rPr>
          <w:rFonts w:eastAsia="SimSun"/>
          <w:sz w:val="20"/>
          <w:szCs w:val="20"/>
          <w:lang w:eastAsia="ar-SA"/>
        </w:rPr>
        <w:t>).</w:t>
      </w:r>
    </w:p>
    <w:p w14:paraId="16CC9CAC" w14:textId="142A2D81" w:rsidR="003049B0" w:rsidRPr="00326BEB" w:rsidRDefault="002B4AE4" w:rsidP="003049B0">
      <w:pPr>
        <w:pStyle w:val="SingleTxtG"/>
        <w:rPr>
          <w:rFonts w:eastAsia="SimSun"/>
          <w:sz w:val="20"/>
          <w:szCs w:val="20"/>
          <w:lang w:eastAsia="ar-SA"/>
        </w:rPr>
      </w:pPr>
      <w:r>
        <w:rPr>
          <w:rFonts w:eastAsia="SimSun"/>
          <w:sz w:val="20"/>
          <w:szCs w:val="20"/>
          <w:lang w:eastAsia="ar-SA"/>
        </w:rPr>
        <w:t>232</w:t>
      </w:r>
      <w:r w:rsidR="003049B0" w:rsidRPr="000B65FE">
        <w:rPr>
          <w:rFonts w:eastAsia="SimSun"/>
          <w:sz w:val="20"/>
          <w:szCs w:val="20"/>
          <w:lang w:eastAsia="ar-SA"/>
        </w:rPr>
        <w:t>.</w:t>
      </w:r>
      <w:r w:rsidR="003049B0" w:rsidRPr="000B65FE">
        <w:rPr>
          <w:rFonts w:eastAsia="SimSun"/>
          <w:sz w:val="20"/>
          <w:szCs w:val="20"/>
          <w:lang w:eastAsia="ar-SA"/>
        </w:rPr>
        <w:tab/>
        <w:t xml:space="preserve">At the </w:t>
      </w:r>
      <w:r w:rsidR="003049B0">
        <w:rPr>
          <w:rFonts w:eastAsia="SimSun"/>
          <w:sz w:val="20"/>
          <w:szCs w:val="20"/>
          <w:lang w:eastAsia="ar-SA"/>
        </w:rPr>
        <w:t xml:space="preserve">53rd </w:t>
      </w:r>
      <w:r w:rsidR="003049B0" w:rsidRPr="000B65FE">
        <w:rPr>
          <w:rFonts w:eastAsia="SimSun"/>
          <w:sz w:val="20"/>
          <w:szCs w:val="20"/>
          <w:lang w:eastAsia="ar-SA"/>
        </w:rPr>
        <w:t xml:space="preserve">meeting, </w:t>
      </w:r>
      <w:r w:rsidR="003049B0">
        <w:rPr>
          <w:rFonts w:eastAsia="SimSun"/>
          <w:sz w:val="20"/>
          <w:szCs w:val="20"/>
          <w:lang w:eastAsia="ar-SA"/>
        </w:rPr>
        <w:t xml:space="preserve">on 22 March 2019, </w:t>
      </w:r>
      <w:r w:rsidR="003049B0" w:rsidRPr="000B65FE">
        <w:rPr>
          <w:rFonts w:eastAsia="SimSun"/>
          <w:sz w:val="20"/>
          <w:szCs w:val="20"/>
          <w:lang w:eastAsia="ar-SA"/>
        </w:rPr>
        <w:t>the representative</w:t>
      </w:r>
      <w:r w:rsidR="00041A36">
        <w:rPr>
          <w:rFonts w:eastAsia="SimSun"/>
          <w:sz w:val="20"/>
          <w:szCs w:val="20"/>
          <w:lang w:eastAsia="ar-SA"/>
        </w:rPr>
        <w:t>s</w:t>
      </w:r>
      <w:r w:rsidR="003049B0" w:rsidRPr="000B65FE">
        <w:rPr>
          <w:rFonts w:eastAsia="SimSun"/>
          <w:sz w:val="20"/>
          <w:szCs w:val="20"/>
          <w:lang w:eastAsia="ar-SA"/>
        </w:rPr>
        <w:t xml:space="preserve"> of </w:t>
      </w:r>
      <w:r w:rsidR="003049B0">
        <w:rPr>
          <w:rFonts w:eastAsia="SimSun"/>
          <w:sz w:val="20"/>
          <w:szCs w:val="20"/>
          <w:lang w:eastAsia="ar-SA"/>
        </w:rPr>
        <w:t>Chile</w:t>
      </w:r>
      <w:r w:rsidR="00041A36">
        <w:rPr>
          <w:rFonts w:eastAsia="SimSun"/>
          <w:sz w:val="20"/>
          <w:szCs w:val="20"/>
          <w:lang w:eastAsia="ar-SA"/>
        </w:rPr>
        <w:t xml:space="preserve"> and Tunisia</w:t>
      </w:r>
      <w:r w:rsidR="003049B0" w:rsidRPr="000B65FE">
        <w:rPr>
          <w:rFonts w:eastAsia="SimSun"/>
          <w:sz w:val="20"/>
          <w:szCs w:val="20"/>
          <w:lang w:eastAsia="ar-SA"/>
        </w:rPr>
        <w:t xml:space="preserve"> made statement</w:t>
      </w:r>
      <w:r w:rsidR="00041A36">
        <w:rPr>
          <w:rFonts w:eastAsia="SimSun"/>
          <w:sz w:val="20"/>
          <w:szCs w:val="20"/>
          <w:lang w:eastAsia="ar-SA"/>
        </w:rPr>
        <w:t>s</w:t>
      </w:r>
      <w:r w:rsidR="003049B0" w:rsidRPr="000B65FE">
        <w:rPr>
          <w:rFonts w:eastAsia="SimSun"/>
          <w:sz w:val="20"/>
          <w:szCs w:val="20"/>
          <w:lang w:eastAsia="ar-SA"/>
        </w:rPr>
        <w:t xml:space="preserve"> in explanation of vote after the vote.</w:t>
      </w:r>
      <w:r w:rsidR="00D72627">
        <w:rPr>
          <w:rFonts w:eastAsia="SimSun"/>
          <w:sz w:val="20"/>
          <w:szCs w:val="20"/>
          <w:lang w:eastAsia="ar-SA"/>
        </w:rPr>
        <w:t xml:space="preserve"> </w:t>
      </w:r>
    </w:p>
    <w:p w14:paraId="5E36E31C" w14:textId="27063328" w:rsidR="00B54BF2" w:rsidRDefault="00B54BF2" w:rsidP="00B54BF2">
      <w:pPr>
        <w:pStyle w:val="SingleTxtG"/>
        <w:rPr>
          <w:b/>
          <w:sz w:val="20"/>
          <w:szCs w:val="20"/>
        </w:rPr>
      </w:pPr>
      <w:r w:rsidRPr="00B54BF2">
        <w:rPr>
          <w:b/>
          <w:sz w:val="20"/>
          <w:szCs w:val="20"/>
        </w:rPr>
        <w:t>Question of the realization in all countries of economic, social and cultural rights</w:t>
      </w:r>
    </w:p>
    <w:p w14:paraId="7AB39BD9" w14:textId="33711E50" w:rsidR="00B54BF2" w:rsidRDefault="002B4AE4" w:rsidP="00B54BF2">
      <w:pPr>
        <w:pStyle w:val="SingleTxtG"/>
        <w:rPr>
          <w:sz w:val="20"/>
          <w:szCs w:val="20"/>
        </w:rPr>
      </w:pPr>
      <w:r>
        <w:rPr>
          <w:sz w:val="20"/>
          <w:szCs w:val="20"/>
        </w:rPr>
        <w:t>233</w:t>
      </w:r>
      <w:r w:rsidR="00B54BF2" w:rsidRPr="00326BEB">
        <w:rPr>
          <w:sz w:val="20"/>
          <w:szCs w:val="20"/>
        </w:rPr>
        <w:t>.</w:t>
      </w:r>
      <w:r w:rsidR="00B54BF2" w:rsidRPr="00326BEB">
        <w:rPr>
          <w:sz w:val="20"/>
          <w:szCs w:val="20"/>
        </w:rPr>
        <w:tab/>
        <w:t xml:space="preserve">At the </w:t>
      </w:r>
      <w:r w:rsidR="00B54BF2">
        <w:rPr>
          <w:sz w:val="20"/>
          <w:szCs w:val="20"/>
        </w:rPr>
        <w:t>52nd</w:t>
      </w:r>
      <w:r w:rsidR="00B54BF2" w:rsidRPr="00326BEB">
        <w:rPr>
          <w:sz w:val="20"/>
          <w:szCs w:val="20"/>
        </w:rPr>
        <w:t xml:space="preserve"> meeting, on </w:t>
      </w:r>
      <w:r w:rsidR="00B54BF2">
        <w:rPr>
          <w:sz w:val="20"/>
          <w:szCs w:val="20"/>
        </w:rPr>
        <w:t>21 March 2019</w:t>
      </w:r>
      <w:r w:rsidR="00B54BF2" w:rsidRPr="00326BEB">
        <w:rPr>
          <w:sz w:val="20"/>
          <w:szCs w:val="20"/>
        </w:rPr>
        <w:t xml:space="preserve">, the representative of </w:t>
      </w:r>
      <w:r w:rsidR="00B54BF2">
        <w:rPr>
          <w:sz w:val="20"/>
          <w:szCs w:val="20"/>
        </w:rPr>
        <w:t xml:space="preserve">Portugal </w:t>
      </w:r>
      <w:r w:rsidR="00B54BF2" w:rsidRPr="00326BEB">
        <w:rPr>
          <w:sz w:val="20"/>
          <w:szCs w:val="20"/>
        </w:rPr>
        <w:t>introduced draft resolution A/HRC/</w:t>
      </w:r>
      <w:r w:rsidR="00B54BF2">
        <w:rPr>
          <w:sz w:val="20"/>
          <w:szCs w:val="20"/>
        </w:rPr>
        <w:t>40</w:t>
      </w:r>
      <w:r w:rsidR="00B54BF2" w:rsidRPr="00326BEB">
        <w:rPr>
          <w:sz w:val="20"/>
          <w:szCs w:val="20"/>
        </w:rPr>
        <w:t>/L.</w:t>
      </w:r>
      <w:r w:rsidR="00B54BF2">
        <w:rPr>
          <w:sz w:val="20"/>
          <w:szCs w:val="20"/>
        </w:rPr>
        <w:t>23</w:t>
      </w:r>
      <w:r w:rsidR="00B54BF2" w:rsidRPr="00326BEB">
        <w:rPr>
          <w:sz w:val="20"/>
          <w:szCs w:val="20"/>
        </w:rPr>
        <w:t xml:space="preserve">, sponsored by </w:t>
      </w:r>
      <w:r w:rsidR="00B54BF2">
        <w:rPr>
          <w:sz w:val="20"/>
          <w:szCs w:val="20"/>
        </w:rPr>
        <w:t xml:space="preserve">Portugal and co-sponsored by </w:t>
      </w:r>
      <w:r w:rsidR="00B54BF2" w:rsidRPr="00B54BF2">
        <w:rPr>
          <w:sz w:val="20"/>
          <w:szCs w:val="20"/>
        </w:rPr>
        <w:t>Afghanistan, Albania, Angola, Argentina, Armenia, Austria, Bolivia (Plurinational State of), Bulgaria, Cabo Verde, Canada, Croatia, Cyprus, Fiji, France, Greece, Haiti, Iraq, Ireland, Luxembourg, Malta, Mexico, Montenegro, Peru, Romania, San Marino, Slovenia, Thailand, Timor-Leste, Tunisia, Ukraine</w:t>
      </w:r>
      <w:r w:rsidR="00B54BF2">
        <w:rPr>
          <w:sz w:val="20"/>
          <w:szCs w:val="20"/>
        </w:rPr>
        <w:t xml:space="preserve"> and </w:t>
      </w:r>
      <w:r w:rsidR="00B54BF2" w:rsidRPr="00B54BF2">
        <w:rPr>
          <w:sz w:val="20"/>
          <w:szCs w:val="20"/>
        </w:rPr>
        <w:t>Uruguay</w:t>
      </w:r>
      <w:r w:rsidR="00B54BF2">
        <w:rPr>
          <w:sz w:val="20"/>
          <w:szCs w:val="20"/>
        </w:rPr>
        <w:t>.</w:t>
      </w:r>
      <w:r w:rsidR="00B54BF2" w:rsidRPr="00326BEB">
        <w:rPr>
          <w:sz w:val="20"/>
          <w:szCs w:val="20"/>
        </w:rPr>
        <w:t xml:space="preserve"> Subsequently, </w:t>
      </w:r>
      <w:r w:rsidR="00B54BF2" w:rsidRPr="00B54BF2">
        <w:rPr>
          <w:sz w:val="20"/>
          <w:szCs w:val="20"/>
        </w:rPr>
        <w:t>Algeria</w:t>
      </w:r>
      <w:r w:rsidR="00B54BF2">
        <w:rPr>
          <w:sz w:val="20"/>
          <w:szCs w:val="20"/>
        </w:rPr>
        <w:t xml:space="preserve">, </w:t>
      </w:r>
      <w:r w:rsidR="00B54BF2" w:rsidRPr="00B54BF2">
        <w:rPr>
          <w:sz w:val="20"/>
          <w:szCs w:val="20"/>
        </w:rPr>
        <w:t>Azerbaijan</w:t>
      </w:r>
      <w:r w:rsidR="00B54BF2">
        <w:rPr>
          <w:sz w:val="20"/>
          <w:szCs w:val="20"/>
        </w:rPr>
        <w:t xml:space="preserve">, </w:t>
      </w:r>
      <w:r w:rsidR="00B54BF2" w:rsidRPr="00B54BF2">
        <w:rPr>
          <w:sz w:val="20"/>
          <w:szCs w:val="20"/>
        </w:rPr>
        <w:t>Bosnia and Herzegovina</w:t>
      </w:r>
      <w:r w:rsidR="00B54BF2">
        <w:rPr>
          <w:sz w:val="20"/>
          <w:szCs w:val="20"/>
        </w:rPr>
        <w:t xml:space="preserve">, </w:t>
      </w:r>
      <w:r w:rsidR="00B54BF2" w:rsidRPr="00B54BF2">
        <w:rPr>
          <w:sz w:val="20"/>
          <w:szCs w:val="20"/>
        </w:rPr>
        <w:t>China</w:t>
      </w:r>
      <w:r w:rsidR="00B54BF2">
        <w:rPr>
          <w:sz w:val="20"/>
          <w:szCs w:val="20"/>
        </w:rPr>
        <w:t xml:space="preserve">, </w:t>
      </w:r>
      <w:r w:rsidR="00B54BF2" w:rsidRPr="00B54BF2">
        <w:rPr>
          <w:sz w:val="20"/>
          <w:szCs w:val="20"/>
        </w:rPr>
        <w:t>Costa Rica</w:t>
      </w:r>
      <w:r w:rsidR="00B54BF2">
        <w:rPr>
          <w:sz w:val="20"/>
          <w:szCs w:val="20"/>
        </w:rPr>
        <w:t xml:space="preserve">, </w:t>
      </w:r>
      <w:r w:rsidR="00B54BF2" w:rsidRPr="00B54BF2">
        <w:rPr>
          <w:sz w:val="20"/>
          <w:szCs w:val="20"/>
        </w:rPr>
        <w:t>Czechia</w:t>
      </w:r>
      <w:r w:rsidR="00B54BF2">
        <w:rPr>
          <w:sz w:val="20"/>
          <w:szCs w:val="20"/>
        </w:rPr>
        <w:t xml:space="preserve">, </w:t>
      </w:r>
      <w:r w:rsidR="00B54BF2" w:rsidRPr="00B54BF2">
        <w:rPr>
          <w:sz w:val="20"/>
          <w:szCs w:val="20"/>
        </w:rPr>
        <w:t>Denmark</w:t>
      </w:r>
      <w:r w:rsidR="00B54BF2">
        <w:rPr>
          <w:sz w:val="20"/>
          <w:szCs w:val="20"/>
        </w:rPr>
        <w:t xml:space="preserve">, </w:t>
      </w:r>
      <w:r w:rsidR="00B54BF2" w:rsidRPr="00B54BF2">
        <w:rPr>
          <w:sz w:val="20"/>
          <w:szCs w:val="20"/>
        </w:rPr>
        <w:t>Ecuador</w:t>
      </w:r>
      <w:r w:rsidR="00B54BF2">
        <w:rPr>
          <w:sz w:val="20"/>
          <w:szCs w:val="20"/>
        </w:rPr>
        <w:t xml:space="preserve">, El Salvador, </w:t>
      </w:r>
      <w:r w:rsidR="00B54BF2" w:rsidRPr="00B54BF2">
        <w:rPr>
          <w:sz w:val="20"/>
          <w:szCs w:val="20"/>
        </w:rPr>
        <w:t>Estonia</w:t>
      </w:r>
      <w:r w:rsidR="00B54BF2">
        <w:rPr>
          <w:sz w:val="20"/>
          <w:szCs w:val="20"/>
        </w:rPr>
        <w:t xml:space="preserve">, </w:t>
      </w:r>
      <w:r w:rsidR="00B54BF2" w:rsidRPr="00B54BF2">
        <w:rPr>
          <w:sz w:val="20"/>
          <w:szCs w:val="20"/>
        </w:rPr>
        <w:t>Finland</w:t>
      </w:r>
      <w:r w:rsidR="00B54BF2">
        <w:rPr>
          <w:sz w:val="20"/>
          <w:szCs w:val="20"/>
        </w:rPr>
        <w:t xml:space="preserve">, </w:t>
      </w:r>
      <w:r w:rsidR="00B54BF2" w:rsidRPr="00B54BF2">
        <w:rPr>
          <w:sz w:val="20"/>
          <w:szCs w:val="20"/>
        </w:rPr>
        <w:t>Germany</w:t>
      </w:r>
      <w:r w:rsidR="00B54BF2">
        <w:rPr>
          <w:sz w:val="20"/>
          <w:szCs w:val="20"/>
        </w:rPr>
        <w:t xml:space="preserve">, </w:t>
      </w:r>
      <w:r w:rsidR="00B54BF2" w:rsidRPr="00B54BF2">
        <w:rPr>
          <w:sz w:val="20"/>
          <w:szCs w:val="20"/>
        </w:rPr>
        <w:t>Honduras</w:t>
      </w:r>
      <w:r w:rsidR="00B54BF2">
        <w:rPr>
          <w:sz w:val="20"/>
          <w:szCs w:val="20"/>
        </w:rPr>
        <w:t xml:space="preserve">, </w:t>
      </w:r>
      <w:r w:rsidR="00B54BF2" w:rsidRPr="00B54BF2">
        <w:rPr>
          <w:sz w:val="20"/>
          <w:szCs w:val="20"/>
        </w:rPr>
        <w:t>Iceland</w:t>
      </w:r>
      <w:r w:rsidR="00B54BF2">
        <w:rPr>
          <w:sz w:val="20"/>
          <w:szCs w:val="20"/>
        </w:rPr>
        <w:t xml:space="preserve">, </w:t>
      </w:r>
      <w:r w:rsidR="00B54BF2" w:rsidRPr="00B54BF2">
        <w:rPr>
          <w:sz w:val="20"/>
          <w:szCs w:val="20"/>
        </w:rPr>
        <w:t>Indonesia</w:t>
      </w:r>
      <w:r w:rsidR="00B54BF2">
        <w:rPr>
          <w:sz w:val="20"/>
          <w:szCs w:val="20"/>
        </w:rPr>
        <w:t xml:space="preserve">, </w:t>
      </w:r>
      <w:r w:rsidR="00B54BF2" w:rsidRPr="00B54BF2">
        <w:rPr>
          <w:sz w:val="20"/>
          <w:szCs w:val="20"/>
        </w:rPr>
        <w:t>Latvia</w:t>
      </w:r>
      <w:r w:rsidR="00B54BF2">
        <w:rPr>
          <w:sz w:val="20"/>
          <w:szCs w:val="20"/>
        </w:rPr>
        <w:t xml:space="preserve">, </w:t>
      </w:r>
      <w:r w:rsidR="00B54BF2" w:rsidRPr="00B54BF2">
        <w:rPr>
          <w:sz w:val="20"/>
          <w:szCs w:val="20"/>
        </w:rPr>
        <w:t>Lithuania</w:t>
      </w:r>
      <w:r w:rsidR="00B54BF2">
        <w:rPr>
          <w:sz w:val="20"/>
          <w:szCs w:val="20"/>
        </w:rPr>
        <w:t xml:space="preserve">, </w:t>
      </w:r>
      <w:r w:rsidR="00B54BF2" w:rsidRPr="00B54BF2">
        <w:rPr>
          <w:sz w:val="20"/>
          <w:szCs w:val="20"/>
        </w:rPr>
        <w:t>Maldives</w:t>
      </w:r>
      <w:r w:rsidR="00B54BF2">
        <w:rPr>
          <w:sz w:val="20"/>
          <w:szCs w:val="20"/>
        </w:rPr>
        <w:t xml:space="preserve">, </w:t>
      </w:r>
      <w:r w:rsidR="00B54BF2" w:rsidRPr="00B54BF2">
        <w:rPr>
          <w:sz w:val="20"/>
          <w:szCs w:val="20"/>
        </w:rPr>
        <w:t>Mongolia</w:t>
      </w:r>
      <w:r w:rsidR="00B54BF2">
        <w:rPr>
          <w:sz w:val="20"/>
          <w:szCs w:val="20"/>
        </w:rPr>
        <w:t xml:space="preserve">, </w:t>
      </w:r>
      <w:r w:rsidR="00B54BF2" w:rsidRPr="00B54BF2">
        <w:rPr>
          <w:sz w:val="20"/>
          <w:szCs w:val="20"/>
        </w:rPr>
        <w:t>Mozambique</w:t>
      </w:r>
      <w:r w:rsidR="00B54BF2">
        <w:rPr>
          <w:sz w:val="20"/>
          <w:szCs w:val="20"/>
        </w:rPr>
        <w:t xml:space="preserve">, the </w:t>
      </w:r>
      <w:r w:rsidR="00B54BF2" w:rsidRPr="00B54BF2">
        <w:rPr>
          <w:sz w:val="20"/>
          <w:szCs w:val="20"/>
        </w:rPr>
        <w:t>Netherlands</w:t>
      </w:r>
      <w:r w:rsidR="00B54BF2">
        <w:rPr>
          <w:sz w:val="20"/>
          <w:szCs w:val="20"/>
        </w:rPr>
        <w:t xml:space="preserve">, </w:t>
      </w:r>
      <w:r w:rsidR="00B54BF2" w:rsidRPr="00B54BF2">
        <w:rPr>
          <w:sz w:val="20"/>
          <w:szCs w:val="20"/>
        </w:rPr>
        <w:t>Panama</w:t>
      </w:r>
      <w:r w:rsidR="00B54BF2">
        <w:rPr>
          <w:sz w:val="20"/>
          <w:szCs w:val="20"/>
        </w:rPr>
        <w:t xml:space="preserve">, Paraguay, the </w:t>
      </w:r>
      <w:r w:rsidR="00B54BF2" w:rsidRPr="00B54BF2">
        <w:rPr>
          <w:sz w:val="20"/>
          <w:szCs w:val="20"/>
        </w:rPr>
        <w:t>Republic of Moldova</w:t>
      </w:r>
      <w:r w:rsidR="00B54BF2">
        <w:rPr>
          <w:sz w:val="20"/>
          <w:szCs w:val="20"/>
        </w:rPr>
        <w:t xml:space="preserve">, </w:t>
      </w:r>
      <w:r w:rsidR="00B54BF2" w:rsidRPr="00B54BF2">
        <w:rPr>
          <w:sz w:val="20"/>
          <w:szCs w:val="20"/>
        </w:rPr>
        <w:t>Sweden</w:t>
      </w:r>
      <w:r w:rsidR="00B54BF2">
        <w:rPr>
          <w:sz w:val="20"/>
          <w:szCs w:val="20"/>
        </w:rPr>
        <w:t xml:space="preserve"> and </w:t>
      </w:r>
      <w:r w:rsidR="00B54BF2" w:rsidRPr="00B54BF2">
        <w:rPr>
          <w:sz w:val="20"/>
          <w:szCs w:val="20"/>
        </w:rPr>
        <w:t>Switzerland</w:t>
      </w:r>
      <w:r w:rsidR="00B54BF2">
        <w:rPr>
          <w:sz w:val="20"/>
          <w:szCs w:val="20"/>
        </w:rPr>
        <w:t xml:space="preserve"> </w:t>
      </w:r>
      <w:r w:rsidR="00B54BF2" w:rsidRPr="00326BEB">
        <w:rPr>
          <w:sz w:val="20"/>
          <w:szCs w:val="20"/>
        </w:rPr>
        <w:t>joined the sponsors.</w:t>
      </w:r>
    </w:p>
    <w:p w14:paraId="03200E91" w14:textId="13C86EBA" w:rsidR="00B54BF2" w:rsidRPr="00B54BF2" w:rsidRDefault="002B4AE4" w:rsidP="00B54BF2">
      <w:pPr>
        <w:pStyle w:val="SingleTxtG"/>
        <w:rPr>
          <w:rFonts w:eastAsia="SimSun"/>
          <w:sz w:val="20"/>
          <w:szCs w:val="20"/>
          <w:lang w:eastAsia="ar-SA"/>
        </w:rPr>
      </w:pPr>
      <w:r>
        <w:rPr>
          <w:sz w:val="20"/>
          <w:szCs w:val="20"/>
        </w:rPr>
        <w:t>234</w:t>
      </w:r>
      <w:r w:rsidR="00B54BF2" w:rsidRPr="0023658A">
        <w:rPr>
          <w:sz w:val="20"/>
          <w:szCs w:val="20"/>
        </w:rPr>
        <w:t>.</w:t>
      </w:r>
      <w:r w:rsidR="00B54BF2" w:rsidRPr="0023658A">
        <w:rPr>
          <w:sz w:val="20"/>
          <w:szCs w:val="20"/>
        </w:rPr>
        <w:tab/>
      </w:r>
      <w:r w:rsidR="00B54BF2" w:rsidRPr="0023658A">
        <w:rPr>
          <w:rFonts w:eastAsia="SimSun"/>
          <w:sz w:val="20"/>
          <w:szCs w:val="20"/>
          <w:lang w:eastAsia="ar-SA"/>
        </w:rPr>
        <w:t>At the same meeting</w:t>
      </w:r>
      <w:r w:rsidR="00B54BF2" w:rsidRPr="0023658A">
        <w:rPr>
          <w:sz w:val="20"/>
          <w:szCs w:val="20"/>
        </w:rPr>
        <w:t xml:space="preserve">, the representatives of </w:t>
      </w:r>
      <w:r w:rsidR="00B54BF2">
        <w:rPr>
          <w:sz w:val="20"/>
          <w:szCs w:val="20"/>
        </w:rPr>
        <w:t>Hungary, Italy</w:t>
      </w:r>
      <w:r w:rsidR="00B54BF2" w:rsidRPr="0076770C">
        <w:rPr>
          <w:sz w:val="20"/>
          <w:szCs w:val="20"/>
        </w:rPr>
        <w:t xml:space="preserve"> and</w:t>
      </w:r>
      <w:r w:rsidR="00B54BF2">
        <w:rPr>
          <w:sz w:val="20"/>
          <w:szCs w:val="20"/>
        </w:rPr>
        <w:t xml:space="preserve"> the </w:t>
      </w:r>
      <w:r w:rsidR="00B54BF2" w:rsidRPr="0076770C">
        <w:rPr>
          <w:sz w:val="20"/>
          <w:szCs w:val="20"/>
        </w:rPr>
        <w:t>United Kingdom of Great Britain and Northern Ireland</w:t>
      </w:r>
      <w:r w:rsidR="00B54BF2">
        <w:rPr>
          <w:sz w:val="20"/>
          <w:szCs w:val="20"/>
        </w:rPr>
        <w:t xml:space="preserve"> </w:t>
      </w:r>
      <w:r w:rsidR="00B54BF2" w:rsidRPr="0023658A">
        <w:rPr>
          <w:sz w:val="20"/>
          <w:szCs w:val="20"/>
        </w:rPr>
        <w:t>made statements in explanation of vote before the vote.</w:t>
      </w:r>
      <w:r w:rsidR="00B54BF2">
        <w:rPr>
          <w:sz w:val="20"/>
          <w:szCs w:val="20"/>
        </w:rPr>
        <w:t xml:space="preserve"> </w:t>
      </w:r>
      <w:r w:rsidR="00B54BF2" w:rsidRPr="00B54BF2">
        <w:rPr>
          <w:rFonts w:eastAsia="SimSun"/>
          <w:sz w:val="20"/>
          <w:szCs w:val="20"/>
          <w:lang w:eastAsia="ar-SA"/>
        </w:rPr>
        <w:t xml:space="preserve">In </w:t>
      </w:r>
      <w:r w:rsidR="00B54BF2">
        <w:rPr>
          <w:rFonts w:eastAsia="SimSun"/>
          <w:sz w:val="20"/>
          <w:szCs w:val="20"/>
          <w:lang w:eastAsia="ar-SA"/>
        </w:rPr>
        <w:t>their</w:t>
      </w:r>
      <w:r w:rsidR="00B54BF2" w:rsidRPr="00B54BF2">
        <w:rPr>
          <w:rFonts w:eastAsia="SimSun"/>
          <w:sz w:val="20"/>
          <w:szCs w:val="20"/>
          <w:lang w:eastAsia="ar-SA"/>
        </w:rPr>
        <w:t xml:space="preserve"> statement</w:t>
      </w:r>
      <w:r w:rsidR="00B54BF2">
        <w:rPr>
          <w:rFonts w:eastAsia="SimSun"/>
          <w:sz w:val="20"/>
          <w:szCs w:val="20"/>
          <w:lang w:eastAsia="ar-SA"/>
        </w:rPr>
        <w:t>s</w:t>
      </w:r>
      <w:r w:rsidR="00B54BF2" w:rsidRPr="00B54BF2">
        <w:rPr>
          <w:rFonts w:eastAsia="SimSun"/>
          <w:sz w:val="20"/>
          <w:szCs w:val="20"/>
          <w:lang w:eastAsia="ar-SA"/>
        </w:rPr>
        <w:t>, the representative</w:t>
      </w:r>
      <w:r w:rsidR="00B54BF2">
        <w:rPr>
          <w:rFonts w:eastAsia="SimSun"/>
          <w:sz w:val="20"/>
          <w:szCs w:val="20"/>
          <w:lang w:eastAsia="ar-SA"/>
        </w:rPr>
        <w:t>s</w:t>
      </w:r>
      <w:r w:rsidR="00B54BF2" w:rsidRPr="00B54BF2">
        <w:rPr>
          <w:rFonts w:eastAsia="SimSun"/>
          <w:sz w:val="20"/>
          <w:szCs w:val="20"/>
          <w:lang w:eastAsia="ar-SA"/>
        </w:rPr>
        <w:t xml:space="preserve"> of </w:t>
      </w:r>
      <w:r w:rsidR="00B54BF2">
        <w:rPr>
          <w:sz w:val="20"/>
          <w:szCs w:val="20"/>
        </w:rPr>
        <w:t>Hungary and Italy</w:t>
      </w:r>
      <w:r w:rsidR="00B54BF2" w:rsidRPr="0076770C">
        <w:rPr>
          <w:sz w:val="20"/>
          <w:szCs w:val="20"/>
        </w:rPr>
        <w:t xml:space="preserve"> </w:t>
      </w:r>
      <w:r w:rsidR="00B54BF2" w:rsidRPr="00B54BF2">
        <w:rPr>
          <w:rFonts w:eastAsia="SimSun"/>
          <w:sz w:val="20"/>
          <w:szCs w:val="20"/>
          <w:lang w:eastAsia="ar-SA"/>
        </w:rPr>
        <w:t>disassociated the delegation</w:t>
      </w:r>
      <w:r w:rsidR="00B54BF2">
        <w:rPr>
          <w:rFonts w:eastAsia="SimSun"/>
          <w:sz w:val="20"/>
          <w:szCs w:val="20"/>
          <w:lang w:eastAsia="ar-SA"/>
        </w:rPr>
        <w:t>s</w:t>
      </w:r>
      <w:r w:rsidR="00B54BF2" w:rsidRPr="00B54BF2">
        <w:rPr>
          <w:rFonts w:eastAsia="SimSun"/>
          <w:sz w:val="20"/>
          <w:szCs w:val="20"/>
          <w:lang w:eastAsia="ar-SA"/>
        </w:rPr>
        <w:t xml:space="preserve"> from the consensus on the sixth preambular paragraph of the draft resolution.</w:t>
      </w:r>
    </w:p>
    <w:p w14:paraId="4EEC2FEB" w14:textId="23127F01" w:rsidR="00B54BF2" w:rsidRDefault="002B4AE4" w:rsidP="00B54BF2">
      <w:pPr>
        <w:spacing w:after="120"/>
        <w:ind w:left="1134" w:right="1134"/>
        <w:jc w:val="both"/>
        <w:rPr>
          <w:rFonts w:eastAsia="SimSun"/>
          <w:sz w:val="20"/>
          <w:szCs w:val="20"/>
          <w:lang w:eastAsia="ar-SA"/>
        </w:rPr>
      </w:pPr>
      <w:r>
        <w:rPr>
          <w:sz w:val="20"/>
          <w:szCs w:val="20"/>
        </w:rPr>
        <w:t>235</w:t>
      </w:r>
      <w:r w:rsidR="00B54BF2" w:rsidRPr="00E86201">
        <w:rPr>
          <w:sz w:val="20"/>
          <w:szCs w:val="20"/>
        </w:rPr>
        <w:t>.</w:t>
      </w:r>
      <w:r w:rsidR="00B54BF2" w:rsidRPr="00E86201">
        <w:rPr>
          <w:sz w:val="20"/>
          <w:szCs w:val="20"/>
        </w:rPr>
        <w:tab/>
        <w:t xml:space="preserve">At the same meeting, </w:t>
      </w:r>
      <w:r w:rsidR="00B54BF2" w:rsidRPr="00326BEB">
        <w:rPr>
          <w:rFonts w:eastAsia="SimSun"/>
          <w:sz w:val="20"/>
          <w:szCs w:val="20"/>
          <w:lang w:eastAsia="ar-SA"/>
        </w:rPr>
        <w:t xml:space="preserve">the draft resolution was adopted without a vote (resolution </w:t>
      </w:r>
      <w:r w:rsidR="00B54BF2">
        <w:rPr>
          <w:rFonts w:eastAsia="SimSun"/>
          <w:sz w:val="20"/>
          <w:szCs w:val="20"/>
          <w:lang w:eastAsia="ar-SA"/>
        </w:rPr>
        <w:t>40</w:t>
      </w:r>
      <w:r w:rsidR="00B54BF2" w:rsidRPr="00326BEB">
        <w:rPr>
          <w:rFonts w:eastAsia="SimSun"/>
          <w:sz w:val="20"/>
          <w:szCs w:val="20"/>
          <w:lang w:eastAsia="ar-SA"/>
        </w:rPr>
        <w:t>/</w:t>
      </w:r>
      <w:r w:rsidR="00B54BF2">
        <w:rPr>
          <w:rFonts w:eastAsia="SimSun"/>
          <w:sz w:val="20"/>
          <w:szCs w:val="20"/>
          <w:lang w:eastAsia="ar-SA"/>
        </w:rPr>
        <w:t>12</w:t>
      </w:r>
      <w:r w:rsidR="00B54BF2" w:rsidRPr="00326BEB">
        <w:rPr>
          <w:rFonts w:eastAsia="SimSun"/>
          <w:sz w:val="20"/>
          <w:szCs w:val="20"/>
          <w:lang w:eastAsia="ar-SA"/>
        </w:rPr>
        <w:t>).</w:t>
      </w:r>
    </w:p>
    <w:p w14:paraId="0CE7C49F" w14:textId="61F22472" w:rsidR="003049B0" w:rsidRPr="00326BEB" w:rsidRDefault="002B4AE4" w:rsidP="003049B0">
      <w:pPr>
        <w:pStyle w:val="SingleTxtG"/>
        <w:rPr>
          <w:rFonts w:eastAsia="SimSun"/>
          <w:sz w:val="20"/>
          <w:szCs w:val="20"/>
          <w:lang w:eastAsia="ar-SA"/>
        </w:rPr>
      </w:pPr>
      <w:r>
        <w:rPr>
          <w:rFonts w:eastAsia="SimSun"/>
          <w:sz w:val="20"/>
          <w:szCs w:val="20"/>
          <w:lang w:eastAsia="ar-SA"/>
        </w:rPr>
        <w:t>236</w:t>
      </w:r>
      <w:r w:rsidR="003049B0" w:rsidRPr="000B65FE">
        <w:rPr>
          <w:rFonts w:eastAsia="SimSun"/>
          <w:sz w:val="20"/>
          <w:szCs w:val="20"/>
          <w:lang w:eastAsia="ar-SA"/>
        </w:rPr>
        <w:t>.</w:t>
      </w:r>
      <w:r w:rsidR="003049B0" w:rsidRPr="000B65FE">
        <w:rPr>
          <w:rFonts w:eastAsia="SimSun"/>
          <w:sz w:val="20"/>
          <w:szCs w:val="20"/>
          <w:lang w:eastAsia="ar-SA"/>
        </w:rPr>
        <w:tab/>
        <w:t xml:space="preserve">At the </w:t>
      </w:r>
      <w:r w:rsidR="003049B0">
        <w:rPr>
          <w:rFonts w:eastAsia="SimSun"/>
          <w:sz w:val="20"/>
          <w:szCs w:val="20"/>
          <w:lang w:eastAsia="ar-SA"/>
        </w:rPr>
        <w:t xml:space="preserve">53rd </w:t>
      </w:r>
      <w:r w:rsidR="003049B0" w:rsidRPr="000B65FE">
        <w:rPr>
          <w:rFonts w:eastAsia="SimSun"/>
          <w:sz w:val="20"/>
          <w:szCs w:val="20"/>
          <w:lang w:eastAsia="ar-SA"/>
        </w:rPr>
        <w:t xml:space="preserve">meeting, </w:t>
      </w:r>
      <w:r w:rsidR="003049B0">
        <w:rPr>
          <w:rFonts w:eastAsia="SimSun"/>
          <w:sz w:val="20"/>
          <w:szCs w:val="20"/>
          <w:lang w:eastAsia="ar-SA"/>
        </w:rPr>
        <w:t xml:space="preserve">on 22 March 2019, </w:t>
      </w:r>
      <w:r w:rsidR="003049B0" w:rsidRPr="000B65FE">
        <w:rPr>
          <w:rFonts w:eastAsia="SimSun"/>
          <w:sz w:val="20"/>
          <w:szCs w:val="20"/>
          <w:lang w:eastAsia="ar-SA"/>
        </w:rPr>
        <w:t>the representative</w:t>
      </w:r>
      <w:r w:rsidR="00041A36">
        <w:rPr>
          <w:rFonts w:eastAsia="SimSun"/>
          <w:sz w:val="20"/>
          <w:szCs w:val="20"/>
          <w:lang w:eastAsia="ar-SA"/>
        </w:rPr>
        <w:t>s</w:t>
      </w:r>
      <w:r w:rsidR="003049B0" w:rsidRPr="000B65FE">
        <w:rPr>
          <w:rFonts w:eastAsia="SimSun"/>
          <w:sz w:val="20"/>
          <w:szCs w:val="20"/>
          <w:lang w:eastAsia="ar-SA"/>
        </w:rPr>
        <w:t xml:space="preserve"> of </w:t>
      </w:r>
      <w:r w:rsidR="00041A36">
        <w:rPr>
          <w:rFonts w:eastAsia="SimSun"/>
          <w:sz w:val="20"/>
          <w:szCs w:val="20"/>
          <w:lang w:eastAsia="ar-SA"/>
        </w:rPr>
        <w:t xml:space="preserve">Australia, </w:t>
      </w:r>
      <w:r w:rsidR="003049B0">
        <w:rPr>
          <w:rFonts w:eastAsia="SimSun"/>
          <w:sz w:val="20"/>
          <w:szCs w:val="20"/>
          <w:lang w:eastAsia="ar-SA"/>
        </w:rPr>
        <w:t>Chile</w:t>
      </w:r>
      <w:r w:rsidR="00041A36">
        <w:rPr>
          <w:rFonts w:eastAsia="SimSun"/>
          <w:sz w:val="20"/>
          <w:szCs w:val="20"/>
          <w:lang w:eastAsia="ar-SA"/>
        </w:rPr>
        <w:t xml:space="preserve"> and Tunisia made </w:t>
      </w:r>
      <w:r w:rsidR="003049B0" w:rsidRPr="000B65FE">
        <w:rPr>
          <w:rFonts w:eastAsia="SimSun"/>
          <w:sz w:val="20"/>
          <w:szCs w:val="20"/>
          <w:lang w:eastAsia="ar-SA"/>
        </w:rPr>
        <w:t>statement</w:t>
      </w:r>
      <w:r w:rsidR="00041A36">
        <w:rPr>
          <w:rFonts w:eastAsia="SimSun"/>
          <w:sz w:val="20"/>
          <w:szCs w:val="20"/>
          <w:lang w:eastAsia="ar-SA"/>
        </w:rPr>
        <w:t>s</w:t>
      </w:r>
      <w:r w:rsidR="003049B0" w:rsidRPr="000B65FE">
        <w:rPr>
          <w:rFonts w:eastAsia="SimSun"/>
          <w:sz w:val="20"/>
          <w:szCs w:val="20"/>
          <w:lang w:eastAsia="ar-SA"/>
        </w:rPr>
        <w:t xml:space="preserve"> in explanation of vote after the vote.</w:t>
      </w:r>
      <w:r w:rsidR="00D72627">
        <w:rPr>
          <w:rFonts w:eastAsia="SimSun"/>
          <w:sz w:val="20"/>
          <w:szCs w:val="20"/>
          <w:lang w:eastAsia="ar-SA"/>
        </w:rPr>
        <w:t xml:space="preserve"> </w:t>
      </w:r>
    </w:p>
    <w:p w14:paraId="2BEC0743" w14:textId="1306DCE4" w:rsidR="00050288" w:rsidRDefault="00050288" w:rsidP="00050288">
      <w:pPr>
        <w:pStyle w:val="SingleTxtG"/>
        <w:rPr>
          <w:b/>
          <w:sz w:val="20"/>
          <w:szCs w:val="20"/>
        </w:rPr>
      </w:pPr>
      <w:r w:rsidRPr="00050288">
        <w:rPr>
          <w:b/>
          <w:sz w:val="20"/>
          <w:szCs w:val="20"/>
        </w:rPr>
        <w:t>Rights of the child: empowering children with disabilities for the enjoyment of their human rights, including through inclusive education</w:t>
      </w:r>
    </w:p>
    <w:p w14:paraId="18DF5854" w14:textId="7C365811" w:rsidR="00050288" w:rsidRDefault="002B4AE4" w:rsidP="00050288">
      <w:pPr>
        <w:pStyle w:val="SingleTxtG"/>
        <w:rPr>
          <w:sz w:val="20"/>
          <w:szCs w:val="20"/>
        </w:rPr>
      </w:pPr>
      <w:r>
        <w:rPr>
          <w:sz w:val="20"/>
          <w:szCs w:val="20"/>
        </w:rPr>
        <w:t>237</w:t>
      </w:r>
      <w:r w:rsidR="00050288" w:rsidRPr="00326BEB">
        <w:rPr>
          <w:sz w:val="20"/>
          <w:szCs w:val="20"/>
        </w:rPr>
        <w:t>.</w:t>
      </w:r>
      <w:r w:rsidR="00050288" w:rsidRPr="00326BEB">
        <w:rPr>
          <w:sz w:val="20"/>
          <w:szCs w:val="20"/>
        </w:rPr>
        <w:tab/>
        <w:t xml:space="preserve">At the </w:t>
      </w:r>
      <w:r w:rsidR="00050288">
        <w:rPr>
          <w:sz w:val="20"/>
          <w:szCs w:val="20"/>
        </w:rPr>
        <w:t>53rd</w:t>
      </w:r>
      <w:r w:rsidR="00050288" w:rsidRPr="00326BEB">
        <w:rPr>
          <w:sz w:val="20"/>
          <w:szCs w:val="20"/>
        </w:rPr>
        <w:t xml:space="preserve"> meeting, on </w:t>
      </w:r>
      <w:r w:rsidR="00050288">
        <w:rPr>
          <w:sz w:val="20"/>
          <w:szCs w:val="20"/>
        </w:rPr>
        <w:t>22 March 2019</w:t>
      </w:r>
      <w:r w:rsidR="00050288" w:rsidRPr="00326BEB">
        <w:rPr>
          <w:sz w:val="20"/>
          <w:szCs w:val="20"/>
        </w:rPr>
        <w:t>, the representative</w:t>
      </w:r>
      <w:r w:rsidR="0069030E">
        <w:rPr>
          <w:sz w:val="20"/>
          <w:szCs w:val="20"/>
        </w:rPr>
        <w:t>s</w:t>
      </w:r>
      <w:r w:rsidR="00050288" w:rsidRPr="00326BEB">
        <w:rPr>
          <w:sz w:val="20"/>
          <w:szCs w:val="20"/>
        </w:rPr>
        <w:t xml:space="preserve"> of </w:t>
      </w:r>
      <w:r w:rsidR="00DD057C">
        <w:rPr>
          <w:sz w:val="20"/>
          <w:szCs w:val="20"/>
        </w:rPr>
        <w:t>Uruguay (</w:t>
      </w:r>
      <w:r w:rsidR="00DD057C" w:rsidRPr="0069030E">
        <w:rPr>
          <w:sz w:val="20"/>
          <w:szCs w:val="20"/>
        </w:rPr>
        <w:t xml:space="preserve">on behalf of </w:t>
      </w:r>
      <w:r w:rsidR="0025788C">
        <w:rPr>
          <w:sz w:val="20"/>
          <w:szCs w:val="20"/>
        </w:rPr>
        <w:t>a</w:t>
      </w:r>
      <w:r w:rsidR="00DD057C" w:rsidRPr="0069030E">
        <w:rPr>
          <w:sz w:val="20"/>
          <w:szCs w:val="20"/>
        </w:rPr>
        <w:t xml:space="preserve"> </w:t>
      </w:r>
      <w:r w:rsidR="0025788C">
        <w:rPr>
          <w:sz w:val="20"/>
          <w:szCs w:val="20"/>
        </w:rPr>
        <w:t>g</w:t>
      </w:r>
      <w:r w:rsidR="00DD057C" w:rsidRPr="0069030E">
        <w:rPr>
          <w:sz w:val="20"/>
          <w:szCs w:val="20"/>
        </w:rPr>
        <w:t>roup of Latin American and Carribean States</w:t>
      </w:r>
      <w:r w:rsidR="00DD057C">
        <w:rPr>
          <w:sz w:val="20"/>
          <w:szCs w:val="20"/>
        </w:rPr>
        <w:t xml:space="preserve">) and </w:t>
      </w:r>
      <w:r w:rsidR="00FD5395">
        <w:rPr>
          <w:sz w:val="20"/>
          <w:szCs w:val="20"/>
        </w:rPr>
        <w:t>Romania</w:t>
      </w:r>
      <w:r w:rsidR="0069030E" w:rsidRPr="002E4B83">
        <w:rPr>
          <w:sz w:val="20"/>
          <w:szCs w:val="20"/>
        </w:rPr>
        <w:t xml:space="preserve"> (</w:t>
      </w:r>
      <w:r w:rsidR="0069030E" w:rsidRPr="00861B84">
        <w:rPr>
          <w:sz w:val="20"/>
          <w:szCs w:val="20"/>
        </w:rPr>
        <w:t>on behalf of the European Union</w:t>
      </w:r>
      <w:r w:rsidR="0069030E">
        <w:rPr>
          <w:sz w:val="20"/>
          <w:szCs w:val="20"/>
        </w:rPr>
        <w:t xml:space="preserve">) </w:t>
      </w:r>
      <w:r w:rsidR="00050288" w:rsidRPr="00326BEB">
        <w:rPr>
          <w:sz w:val="20"/>
          <w:szCs w:val="20"/>
        </w:rPr>
        <w:t>introduced draft resolution A/HRC/</w:t>
      </w:r>
      <w:r w:rsidR="00050288">
        <w:rPr>
          <w:sz w:val="20"/>
          <w:szCs w:val="20"/>
        </w:rPr>
        <w:t>40</w:t>
      </w:r>
      <w:r w:rsidR="00050288" w:rsidRPr="00326BEB">
        <w:rPr>
          <w:sz w:val="20"/>
          <w:szCs w:val="20"/>
        </w:rPr>
        <w:t>/L.</w:t>
      </w:r>
      <w:r w:rsidR="0069030E">
        <w:rPr>
          <w:sz w:val="20"/>
          <w:szCs w:val="20"/>
        </w:rPr>
        <w:t>20/Rev.1</w:t>
      </w:r>
      <w:r w:rsidR="00050288" w:rsidRPr="00326BEB">
        <w:rPr>
          <w:sz w:val="20"/>
          <w:szCs w:val="20"/>
        </w:rPr>
        <w:t xml:space="preserve">, sponsored by </w:t>
      </w:r>
      <w:r w:rsidR="0069030E" w:rsidRPr="0069030E">
        <w:rPr>
          <w:sz w:val="20"/>
          <w:szCs w:val="20"/>
        </w:rPr>
        <w:t xml:space="preserve">Argentina, Austria, Belgium, Bolivia (Plurinational State of), Brazil, Bulgaria, Chile, Colombia, Costa Rica, Croatia, Cuba, Cyprus, Czechia, Denmark, </w:t>
      </w:r>
      <w:r w:rsidR="00AD0246">
        <w:rPr>
          <w:sz w:val="20"/>
          <w:szCs w:val="20"/>
        </w:rPr>
        <w:t xml:space="preserve">the </w:t>
      </w:r>
      <w:r w:rsidR="0069030E" w:rsidRPr="0069030E">
        <w:rPr>
          <w:sz w:val="20"/>
          <w:szCs w:val="20"/>
        </w:rPr>
        <w:t>Dominican Republic, Ecuador, El Salvador, Estonia, Finland, France, Germany, Greece, Guatemala, Honduras, Hungary, Ireland, Italy, Latvia, Lithuania, Luxembourg, Malta, Mexico,</w:t>
      </w:r>
      <w:r w:rsidR="00AD0246">
        <w:rPr>
          <w:sz w:val="20"/>
          <w:szCs w:val="20"/>
        </w:rPr>
        <w:t xml:space="preserve"> the</w:t>
      </w:r>
      <w:r w:rsidR="0069030E" w:rsidRPr="0069030E">
        <w:rPr>
          <w:sz w:val="20"/>
          <w:szCs w:val="20"/>
        </w:rPr>
        <w:t xml:space="preserve"> Netherlands, Nicaragua, Panama, Paraguay, Peru, Poland, Portugal, Romania, Slovakia, Slovenia, Spain, Sweden, </w:t>
      </w:r>
      <w:r w:rsidR="00AD0246">
        <w:rPr>
          <w:sz w:val="20"/>
          <w:szCs w:val="20"/>
        </w:rPr>
        <w:t xml:space="preserve">the </w:t>
      </w:r>
      <w:r w:rsidR="0069030E" w:rsidRPr="0069030E">
        <w:rPr>
          <w:sz w:val="20"/>
          <w:szCs w:val="20"/>
        </w:rPr>
        <w:t>United Kingdom of Great Britain and Northern Ireland, Uruguay</w:t>
      </w:r>
      <w:r w:rsidR="00AD0246">
        <w:rPr>
          <w:sz w:val="20"/>
          <w:szCs w:val="20"/>
        </w:rPr>
        <w:t xml:space="preserve"> and</w:t>
      </w:r>
      <w:r w:rsidR="0069030E" w:rsidRPr="0069030E">
        <w:rPr>
          <w:sz w:val="20"/>
          <w:szCs w:val="20"/>
        </w:rPr>
        <w:t xml:space="preserve"> Venezuela (Bolivarian Republic of)</w:t>
      </w:r>
      <w:r w:rsidR="00AD0246">
        <w:rPr>
          <w:sz w:val="20"/>
          <w:szCs w:val="20"/>
        </w:rPr>
        <w:t xml:space="preserve"> </w:t>
      </w:r>
      <w:r w:rsidR="00050288">
        <w:rPr>
          <w:sz w:val="20"/>
          <w:szCs w:val="20"/>
        </w:rPr>
        <w:t xml:space="preserve">and co-sponsored by </w:t>
      </w:r>
      <w:r w:rsidR="0069030E" w:rsidRPr="0069030E">
        <w:rPr>
          <w:sz w:val="20"/>
          <w:szCs w:val="20"/>
        </w:rPr>
        <w:t xml:space="preserve">Albania, Armenia, Cabo Verde, Egypt, Fiji, Georgia, Israel, Monaco, Mongolia, Montenegro, </w:t>
      </w:r>
      <w:r w:rsidR="00AD0246">
        <w:rPr>
          <w:sz w:val="20"/>
          <w:szCs w:val="20"/>
        </w:rPr>
        <w:t xml:space="preserve">the </w:t>
      </w:r>
      <w:r w:rsidR="0069030E" w:rsidRPr="0069030E">
        <w:rPr>
          <w:sz w:val="20"/>
          <w:szCs w:val="20"/>
        </w:rPr>
        <w:t xml:space="preserve">Philippines, </w:t>
      </w:r>
      <w:r w:rsidR="00AD0246">
        <w:rPr>
          <w:sz w:val="20"/>
          <w:szCs w:val="20"/>
        </w:rPr>
        <w:t xml:space="preserve">the </w:t>
      </w:r>
      <w:r w:rsidR="0069030E" w:rsidRPr="0069030E">
        <w:rPr>
          <w:sz w:val="20"/>
          <w:szCs w:val="20"/>
        </w:rPr>
        <w:t>Republic of Moldova, San Marino, Thailand, Timor-Leste, Tunisia, Turkey,</w:t>
      </w:r>
      <w:r w:rsidR="00AD0246">
        <w:rPr>
          <w:sz w:val="20"/>
          <w:szCs w:val="20"/>
        </w:rPr>
        <w:t xml:space="preserve"> Ukraine and the </w:t>
      </w:r>
      <w:r w:rsidR="0069030E" w:rsidRPr="0069030E">
        <w:rPr>
          <w:sz w:val="20"/>
          <w:szCs w:val="20"/>
        </w:rPr>
        <w:t>State of Palestine</w:t>
      </w:r>
      <w:r w:rsidR="00AD0246">
        <w:rPr>
          <w:sz w:val="20"/>
          <w:szCs w:val="20"/>
        </w:rPr>
        <w:t>.</w:t>
      </w:r>
      <w:r w:rsidR="00050288" w:rsidRPr="00326BEB">
        <w:rPr>
          <w:sz w:val="20"/>
          <w:szCs w:val="20"/>
        </w:rPr>
        <w:t xml:space="preserve"> Subsequently, </w:t>
      </w:r>
      <w:r w:rsidR="00AD0246" w:rsidRPr="00AD0246">
        <w:rPr>
          <w:sz w:val="20"/>
          <w:szCs w:val="20"/>
        </w:rPr>
        <w:t>Algeria</w:t>
      </w:r>
      <w:r w:rsidR="00AD0246">
        <w:rPr>
          <w:sz w:val="20"/>
          <w:szCs w:val="20"/>
        </w:rPr>
        <w:t xml:space="preserve">, </w:t>
      </w:r>
      <w:r w:rsidR="00AD0246" w:rsidRPr="00AD0246">
        <w:rPr>
          <w:sz w:val="20"/>
          <w:szCs w:val="20"/>
        </w:rPr>
        <w:t>Andorra</w:t>
      </w:r>
      <w:r w:rsidR="00FD5395">
        <w:rPr>
          <w:sz w:val="20"/>
          <w:szCs w:val="20"/>
        </w:rPr>
        <w:t xml:space="preserve">, </w:t>
      </w:r>
      <w:r w:rsidR="00AD0246" w:rsidRPr="00AD0246">
        <w:rPr>
          <w:sz w:val="20"/>
          <w:szCs w:val="20"/>
        </w:rPr>
        <w:t>Australia</w:t>
      </w:r>
      <w:r w:rsidR="00FD5395">
        <w:rPr>
          <w:sz w:val="20"/>
          <w:szCs w:val="20"/>
        </w:rPr>
        <w:t xml:space="preserve">, </w:t>
      </w:r>
      <w:r w:rsidR="00AD0246" w:rsidRPr="00AD0246">
        <w:rPr>
          <w:sz w:val="20"/>
          <w:szCs w:val="20"/>
        </w:rPr>
        <w:t>Azerbaijan</w:t>
      </w:r>
      <w:r w:rsidR="00FD5395">
        <w:rPr>
          <w:sz w:val="20"/>
          <w:szCs w:val="20"/>
        </w:rPr>
        <w:t xml:space="preserve">, </w:t>
      </w:r>
      <w:r w:rsidR="00AD0246" w:rsidRPr="00AD0246">
        <w:rPr>
          <w:sz w:val="20"/>
          <w:szCs w:val="20"/>
        </w:rPr>
        <w:t>Botswana</w:t>
      </w:r>
      <w:r w:rsidR="00FD5395">
        <w:rPr>
          <w:sz w:val="20"/>
          <w:szCs w:val="20"/>
        </w:rPr>
        <w:t xml:space="preserve">, </w:t>
      </w:r>
      <w:r w:rsidR="00AD0246" w:rsidRPr="00AD0246">
        <w:rPr>
          <w:sz w:val="20"/>
          <w:szCs w:val="20"/>
        </w:rPr>
        <w:t>Canada</w:t>
      </w:r>
      <w:r w:rsidR="00FD5395">
        <w:rPr>
          <w:sz w:val="20"/>
          <w:szCs w:val="20"/>
        </w:rPr>
        <w:t xml:space="preserve">, </w:t>
      </w:r>
      <w:r w:rsidR="00AD0246" w:rsidRPr="00AD0246">
        <w:rPr>
          <w:sz w:val="20"/>
          <w:szCs w:val="20"/>
        </w:rPr>
        <w:t>Guyana</w:t>
      </w:r>
      <w:r w:rsidR="00FD5395">
        <w:rPr>
          <w:sz w:val="20"/>
          <w:szCs w:val="20"/>
        </w:rPr>
        <w:t xml:space="preserve">, </w:t>
      </w:r>
      <w:r w:rsidR="00AD0246" w:rsidRPr="00AD0246">
        <w:rPr>
          <w:sz w:val="20"/>
          <w:szCs w:val="20"/>
        </w:rPr>
        <w:t>Iceland</w:t>
      </w:r>
      <w:r w:rsidR="00FD5395">
        <w:rPr>
          <w:sz w:val="20"/>
          <w:szCs w:val="20"/>
        </w:rPr>
        <w:t xml:space="preserve">, </w:t>
      </w:r>
      <w:r w:rsidR="00AD0246" w:rsidRPr="00AD0246">
        <w:rPr>
          <w:sz w:val="20"/>
          <w:szCs w:val="20"/>
        </w:rPr>
        <w:t>Japan</w:t>
      </w:r>
      <w:r w:rsidR="00FD5395">
        <w:rPr>
          <w:sz w:val="20"/>
          <w:szCs w:val="20"/>
        </w:rPr>
        <w:t xml:space="preserve">, </w:t>
      </w:r>
      <w:r w:rsidR="00AD0246" w:rsidRPr="00AD0246">
        <w:rPr>
          <w:sz w:val="20"/>
          <w:szCs w:val="20"/>
        </w:rPr>
        <w:t>Kazakhstan</w:t>
      </w:r>
      <w:r w:rsidR="00FD5395">
        <w:rPr>
          <w:sz w:val="20"/>
          <w:szCs w:val="20"/>
        </w:rPr>
        <w:t xml:space="preserve">, </w:t>
      </w:r>
      <w:r w:rsidR="00AD0246" w:rsidRPr="00AD0246">
        <w:rPr>
          <w:sz w:val="20"/>
          <w:szCs w:val="20"/>
        </w:rPr>
        <w:t>Maldives</w:t>
      </w:r>
      <w:r w:rsidR="00FD5395">
        <w:rPr>
          <w:sz w:val="20"/>
          <w:szCs w:val="20"/>
        </w:rPr>
        <w:t xml:space="preserve">, </w:t>
      </w:r>
      <w:r w:rsidR="00AD0246" w:rsidRPr="00AD0246">
        <w:rPr>
          <w:sz w:val="20"/>
          <w:szCs w:val="20"/>
        </w:rPr>
        <w:t>Nepal</w:t>
      </w:r>
      <w:r w:rsidR="00FD5395">
        <w:rPr>
          <w:sz w:val="20"/>
          <w:szCs w:val="20"/>
        </w:rPr>
        <w:t xml:space="preserve">, </w:t>
      </w:r>
      <w:r w:rsidR="00AD0246" w:rsidRPr="00AD0246">
        <w:rPr>
          <w:sz w:val="20"/>
          <w:szCs w:val="20"/>
        </w:rPr>
        <w:t>New Zealand</w:t>
      </w:r>
      <w:r w:rsidR="00FD5395">
        <w:rPr>
          <w:sz w:val="20"/>
          <w:szCs w:val="20"/>
        </w:rPr>
        <w:t xml:space="preserve">, </w:t>
      </w:r>
      <w:r w:rsidR="00AD0246" w:rsidRPr="00AD0246">
        <w:rPr>
          <w:sz w:val="20"/>
          <w:szCs w:val="20"/>
        </w:rPr>
        <w:t>Norway</w:t>
      </w:r>
      <w:r w:rsidR="00FD5395">
        <w:rPr>
          <w:sz w:val="20"/>
          <w:szCs w:val="20"/>
        </w:rPr>
        <w:t xml:space="preserve">, </w:t>
      </w:r>
      <w:r w:rsidR="00AD0246" w:rsidRPr="00AD0246">
        <w:rPr>
          <w:sz w:val="20"/>
          <w:szCs w:val="20"/>
        </w:rPr>
        <w:t>Pakistan</w:t>
      </w:r>
      <w:r w:rsidR="00FD5395">
        <w:rPr>
          <w:sz w:val="20"/>
          <w:szCs w:val="20"/>
        </w:rPr>
        <w:t xml:space="preserve">, the </w:t>
      </w:r>
      <w:r w:rsidR="00AD0246" w:rsidRPr="00AD0246">
        <w:rPr>
          <w:sz w:val="20"/>
          <w:szCs w:val="20"/>
        </w:rPr>
        <w:t>Republic of Korea</w:t>
      </w:r>
      <w:r w:rsidR="00FD5395">
        <w:rPr>
          <w:sz w:val="20"/>
          <w:szCs w:val="20"/>
        </w:rPr>
        <w:t xml:space="preserve">, </w:t>
      </w:r>
      <w:r w:rsidR="00AD0246" w:rsidRPr="00AD0246">
        <w:rPr>
          <w:sz w:val="20"/>
          <w:szCs w:val="20"/>
        </w:rPr>
        <w:t>Rwanda</w:t>
      </w:r>
      <w:r w:rsidR="00FD5395">
        <w:rPr>
          <w:sz w:val="20"/>
          <w:szCs w:val="20"/>
        </w:rPr>
        <w:t xml:space="preserve">, </w:t>
      </w:r>
      <w:r w:rsidR="00AD0246" w:rsidRPr="00AD0246">
        <w:rPr>
          <w:sz w:val="20"/>
          <w:szCs w:val="20"/>
        </w:rPr>
        <w:t>Senegal</w:t>
      </w:r>
      <w:r w:rsidR="00FD5395">
        <w:rPr>
          <w:sz w:val="20"/>
          <w:szCs w:val="20"/>
        </w:rPr>
        <w:t>,</w:t>
      </w:r>
      <w:r w:rsidR="00B058D6">
        <w:rPr>
          <w:sz w:val="20"/>
          <w:szCs w:val="20"/>
        </w:rPr>
        <w:t xml:space="preserve"> Serbia,</w:t>
      </w:r>
      <w:r w:rsidR="00FD5395">
        <w:rPr>
          <w:sz w:val="20"/>
          <w:szCs w:val="20"/>
        </w:rPr>
        <w:t xml:space="preserve"> </w:t>
      </w:r>
      <w:r w:rsidR="00AD0246" w:rsidRPr="00AD0246">
        <w:rPr>
          <w:sz w:val="20"/>
          <w:szCs w:val="20"/>
        </w:rPr>
        <w:t>South Africa</w:t>
      </w:r>
      <w:r w:rsidR="00FD5395">
        <w:rPr>
          <w:sz w:val="20"/>
          <w:szCs w:val="20"/>
        </w:rPr>
        <w:t xml:space="preserve">, </w:t>
      </w:r>
      <w:r w:rsidR="00AD0246" w:rsidRPr="00AD0246">
        <w:rPr>
          <w:sz w:val="20"/>
          <w:szCs w:val="20"/>
        </w:rPr>
        <w:t xml:space="preserve">Switzerland </w:t>
      </w:r>
      <w:r w:rsidR="00FD5395">
        <w:rPr>
          <w:sz w:val="20"/>
          <w:szCs w:val="20"/>
        </w:rPr>
        <w:t xml:space="preserve">and Uganda </w:t>
      </w:r>
      <w:r w:rsidR="00050288" w:rsidRPr="00326BEB">
        <w:rPr>
          <w:sz w:val="20"/>
          <w:szCs w:val="20"/>
        </w:rPr>
        <w:t>joined the sponsors.</w:t>
      </w:r>
    </w:p>
    <w:p w14:paraId="49C5A557" w14:textId="05AF7020" w:rsidR="00050288" w:rsidRPr="00326BEB" w:rsidRDefault="002B4AE4" w:rsidP="00FD5395">
      <w:pPr>
        <w:pStyle w:val="SingleTxtG"/>
        <w:rPr>
          <w:rFonts w:eastAsia="SimSun"/>
          <w:sz w:val="20"/>
          <w:szCs w:val="20"/>
          <w:lang w:eastAsia="ar-SA"/>
        </w:rPr>
      </w:pPr>
      <w:r>
        <w:rPr>
          <w:sz w:val="20"/>
          <w:szCs w:val="20"/>
        </w:rPr>
        <w:t>238</w:t>
      </w:r>
      <w:r w:rsidR="00050288" w:rsidRPr="00E86201">
        <w:rPr>
          <w:sz w:val="20"/>
          <w:szCs w:val="20"/>
        </w:rPr>
        <w:t>.</w:t>
      </w:r>
      <w:r w:rsidR="00050288" w:rsidRPr="00E86201">
        <w:rPr>
          <w:sz w:val="20"/>
          <w:szCs w:val="20"/>
        </w:rPr>
        <w:tab/>
        <w:t xml:space="preserve">At the same meeting, </w:t>
      </w:r>
      <w:r w:rsidR="00050288" w:rsidRPr="00326BEB">
        <w:rPr>
          <w:rFonts w:eastAsia="SimSun"/>
          <w:sz w:val="20"/>
          <w:szCs w:val="20"/>
          <w:lang w:eastAsia="ar-SA"/>
        </w:rPr>
        <w:t xml:space="preserve">the draft resolution was adopted without a vote (resolution </w:t>
      </w:r>
      <w:r w:rsidR="00050288">
        <w:rPr>
          <w:rFonts w:eastAsia="SimSun"/>
          <w:sz w:val="20"/>
          <w:szCs w:val="20"/>
          <w:lang w:eastAsia="ar-SA"/>
        </w:rPr>
        <w:t>40</w:t>
      </w:r>
      <w:r w:rsidR="00050288" w:rsidRPr="00326BEB">
        <w:rPr>
          <w:rFonts w:eastAsia="SimSun"/>
          <w:sz w:val="20"/>
          <w:szCs w:val="20"/>
          <w:lang w:eastAsia="ar-SA"/>
        </w:rPr>
        <w:t>/</w:t>
      </w:r>
      <w:r w:rsidR="00050288">
        <w:rPr>
          <w:rFonts w:eastAsia="SimSun"/>
          <w:sz w:val="20"/>
          <w:szCs w:val="20"/>
          <w:lang w:eastAsia="ar-SA"/>
        </w:rPr>
        <w:t>1</w:t>
      </w:r>
      <w:r w:rsidR="00FD5395">
        <w:rPr>
          <w:rFonts w:eastAsia="SimSun"/>
          <w:sz w:val="20"/>
          <w:szCs w:val="20"/>
          <w:lang w:eastAsia="ar-SA"/>
        </w:rPr>
        <w:t>4</w:t>
      </w:r>
      <w:r w:rsidR="00050288" w:rsidRPr="00326BEB">
        <w:rPr>
          <w:rFonts w:eastAsia="SimSun"/>
          <w:sz w:val="20"/>
          <w:szCs w:val="20"/>
          <w:lang w:eastAsia="ar-SA"/>
        </w:rPr>
        <w:t>).</w:t>
      </w:r>
    </w:p>
    <w:p w14:paraId="6F8D9E7A" w14:textId="7F87D9F4" w:rsidR="00FD5395" w:rsidRDefault="00FD5395" w:rsidP="00FD5395">
      <w:pPr>
        <w:pStyle w:val="SingleTxtG"/>
        <w:rPr>
          <w:b/>
          <w:sz w:val="20"/>
          <w:szCs w:val="20"/>
        </w:rPr>
      </w:pPr>
      <w:r w:rsidRPr="00FD5395">
        <w:rPr>
          <w:b/>
          <w:sz w:val="20"/>
          <w:szCs w:val="20"/>
        </w:rPr>
        <w:t>Thirtieth anniversary of the Convention on the Rights of the Child</w:t>
      </w:r>
    </w:p>
    <w:p w14:paraId="2705A8E8" w14:textId="183B892B" w:rsidR="00FD5395" w:rsidRDefault="002B4AE4" w:rsidP="00FD5395">
      <w:pPr>
        <w:pStyle w:val="SingleTxtG"/>
        <w:rPr>
          <w:sz w:val="20"/>
          <w:szCs w:val="20"/>
        </w:rPr>
      </w:pPr>
      <w:r>
        <w:rPr>
          <w:sz w:val="20"/>
          <w:szCs w:val="20"/>
        </w:rPr>
        <w:lastRenderedPageBreak/>
        <w:t>239</w:t>
      </w:r>
      <w:r w:rsidR="00FD5395" w:rsidRPr="00326BEB">
        <w:rPr>
          <w:sz w:val="20"/>
          <w:szCs w:val="20"/>
        </w:rPr>
        <w:t>.</w:t>
      </w:r>
      <w:r w:rsidR="00FD5395" w:rsidRPr="00326BEB">
        <w:rPr>
          <w:sz w:val="20"/>
          <w:szCs w:val="20"/>
        </w:rPr>
        <w:tab/>
        <w:t xml:space="preserve">At the </w:t>
      </w:r>
      <w:r w:rsidR="00FD5395">
        <w:rPr>
          <w:sz w:val="20"/>
          <w:szCs w:val="20"/>
        </w:rPr>
        <w:t>53rd</w:t>
      </w:r>
      <w:r w:rsidR="00FD5395" w:rsidRPr="00326BEB">
        <w:rPr>
          <w:sz w:val="20"/>
          <w:szCs w:val="20"/>
        </w:rPr>
        <w:t xml:space="preserve"> meeting, on </w:t>
      </w:r>
      <w:r w:rsidR="00FD5395">
        <w:rPr>
          <w:sz w:val="20"/>
          <w:szCs w:val="20"/>
        </w:rPr>
        <w:t>22 March 2019</w:t>
      </w:r>
      <w:r w:rsidR="00FD5395" w:rsidRPr="00326BEB">
        <w:rPr>
          <w:sz w:val="20"/>
          <w:szCs w:val="20"/>
        </w:rPr>
        <w:t>, the representative</w:t>
      </w:r>
      <w:r w:rsidR="00FD5395">
        <w:rPr>
          <w:sz w:val="20"/>
          <w:szCs w:val="20"/>
        </w:rPr>
        <w:t>s</w:t>
      </w:r>
      <w:r w:rsidR="00FD5395" w:rsidRPr="00326BEB">
        <w:rPr>
          <w:sz w:val="20"/>
          <w:szCs w:val="20"/>
        </w:rPr>
        <w:t xml:space="preserve"> of </w:t>
      </w:r>
      <w:r w:rsidR="0025788C">
        <w:rPr>
          <w:sz w:val="20"/>
          <w:szCs w:val="20"/>
        </w:rPr>
        <w:t>Uruguay (</w:t>
      </w:r>
      <w:r w:rsidR="0025788C" w:rsidRPr="0069030E">
        <w:rPr>
          <w:sz w:val="20"/>
          <w:szCs w:val="20"/>
        </w:rPr>
        <w:t xml:space="preserve">on behalf of </w:t>
      </w:r>
      <w:r w:rsidR="0025788C">
        <w:rPr>
          <w:sz w:val="20"/>
          <w:szCs w:val="20"/>
        </w:rPr>
        <w:t>a</w:t>
      </w:r>
      <w:r w:rsidR="0025788C" w:rsidRPr="0069030E">
        <w:rPr>
          <w:sz w:val="20"/>
          <w:szCs w:val="20"/>
        </w:rPr>
        <w:t xml:space="preserve"> </w:t>
      </w:r>
      <w:r w:rsidR="0025788C">
        <w:rPr>
          <w:sz w:val="20"/>
          <w:szCs w:val="20"/>
        </w:rPr>
        <w:t>g</w:t>
      </w:r>
      <w:r w:rsidR="0025788C" w:rsidRPr="0069030E">
        <w:rPr>
          <w:sz w:val="20"/>
          <w:szCs w:val="20"/>
        </w:rPr>
        <w:t>roup of Latin American and Carribean States</w:t>
      </w:r>
      <w:r w:rsidR="0025788C">
        <w:rPr>
          <w:sz w:val="20"/>
          <w:szCs w:val="20"/>
        </w:rPr>
        <w:t>) and Romania</w:t>
      </w:r>
      <w:r w:rsidR="0025788C" w:rsidRPr="002E4B83">
        <w:rPr>
          <w:sz w:val="20"/>
          <w:szCs w:val="20"/>
        </w:rPr>
        <w:t xml:space="preserve"> (</w:t>
      </w:r>
      <w:r w:rsidR="0025788C" w:rsidRPr="00861B84">
        <w:rPr>
          <w:sz w:val="20"/>
          <w:szCs w:val="20"/>
        </w:rPr>
        <w:t>on behalf of the European Union</w:t>
      </w:r>
      <w:r w:rsidR="0025788C">
        <w:rPr>
          <w:sz w:val="20"/>
          <w:szCs w:val="20"/>
        </w:rPr>
        <w:t>)</w:t>
      </w:r>
      <w:r w:rsidR="00FD5395">
        <w:rPr>
          <w:sz w:val="20"/>
          <w:szCs w:val="20"/>
        </w:rPr>
        <w:t xml:space="preserve"> </w:t>
      </w:r>
      <w:r w:rsidR="00FD5395" w:rsidRPr="00326BEB">
        <w:rPr>
          <w:sz w:val="20"/>
          <w:szCs w:val="20"/>
        </w:rPr>
        <w:t>introduced draft resolution A/HRC/</w:t>
      </w:r>
      <w:r w:rsidR="00FD5395">
        <w:rPr>
          <w:sz w:val="20"/>
          <w:szCs w:val="20"/>
        </w:rPr>
        <w:t>40</w:t>
      </w:r>
      <w:r w:rsidR="00FD5395" w:rsidRPr="00326BEB">
        <w:rPr>
          <w:sz w:val="20"/>
          <w:szCs w:val="20"/>
        </w:rPr>
        <w:t>/L.</w:t>
      </w:r>
      <w:r w:rsidR="00FD5395">
        <w:rPr>
          <w:sz w:val="20"/>
          <w:szCs w:val="20"/>
        </w:rPr>
        <w:t>21</w:t>
      </w:r>
      <w:r w:rsidR="00FD5395" w:rsidRPr="00326BEB">
        <w:rPr>
          <w:sz w:val="20"/>
          <w:szCs w:val="20"/>
        </w:rPr>
        <w:t xml:space="preserve">, sponsored by </w:t>
      </w:r>
      <w:r w:rsidR="0025788C" w:rsidRPr="0025788C">
        <w:rPr>
          <w:sz w:val="20"/>
          <w:szCs w:val="20"/>
        </w:rPr>
        <w:t xml:space="preserve">Argentina, Austria, </w:t>
      </w:r>
      <w:r w:rsidR="006A32CD">
        <w:rPr>
          <w:sz w:val="20"/>
          <w:szCs w:val="20"/>
        </w:rPr>
        <w:t xml:space="preserve">the </w:t>
      </w:r>
      <w:r w:rsidR="0025788C" w:rsidRPr="0025788C">
        <w:rPr>
          <w:sz w:val="20"/>
          <w:szCs w:val="20"/>
        </w:rPr>
        <w:t>Bahamas, Belgium, Bolivia (Plurinational State of), Bulgaria, Chile, Colombia, Costa Rica, Croatia, Cyprus, Czechia, Denmark,</w:t>
      </w:r>
      <w:r w:rsidR="006A32CD">
        <w:rPr>
          <w:sz w:val="20"/>
          <w:szCs w:val="20"/>
        </w:rPr>
        <w:t xml:space="preserve"> the</w:t>
      </w:r>
      <w:r w:rsidR="0025788C" w:rsidRPr="0025788C">
        <w:rPr>
          <w:sz w:val="20"/>
          <w:szCs w:val="20"/>
        </w:rPr>
        <w:t xml:space="preserve"> Dominican Republic, Ecuador, El Salvador, Estonia, Finland, France, Germany, Greece, Guatemala, Haiti, Honduras, Hungary, Ireland,</w:t>
      </w:r>
      <w:r w:rsidR="006A32CD" w:rsidRPr="006A32CD">
        <w:rPr>
          <w:sz w:val="20"/>
          <w:szCs w:val="20"/>
        </w:rPr>
        <w:t xml:space="preserve"> </w:t>
      </w:r>
      <w:r w:rsidR="006A32CD" w:rsidRPr="0025788C">
        <w:rPr>
          <w:sz w:val="20"/>
          <w:szCs w:val="20"/>
        </w:rPr>
        <w:t>Italy, Latvia,</w:t>
      </w:r>
      <w:r w:rsidR="006A32CD" w:rsidRPr="006A32CD">
        <w:rPr>
          <w:sz w:val="20"/>
          <w:szCs w:val="20"/>
        </w:rPr>
        <w:t xml:space="preserve"> </w:t>
      </w:r>
      <w:r w:rsidR="006A32CD" w:rsidRPr="0025788C">
        <w:rPr>
          <w:sz w:val="20"/>
          <w:szCs w:val="20"/>
        </w:rPr>
        <w:t>Lithuania, Luxembourg, Malta,</w:t>
      </w:r>
      <w:r w:rsidR="006A32CD" w:rsidRPr="006A32CD">
        <w:rPr>
          <w:sz w:val="20"/>
          <w:szCs w:val="20"/>
        </w:rPr>
        <w:t xml:space="preserve"> </w:t>
      </w:r>
      <w:r w:rsidR="006A32CD" w:rsidRPr="0025788C">
        <w:rPr>
          <w:sz w:val="20"/>
          <w:szCs w:val="20"/>
        </w:rPr>
        <w:t>Mexico,</w:t>
      </w:r>
      <w:r w:rsidR="006A32CD" w:rsidRPr="006A32CD">
        <w:rPr>
          <w:sz w:val="20"/>
          <w:szCs w:val="20"/>
        </w:rPr>
        <w:t xml:space="preserve"> </w:t>
      </w:r>
      <w:r w:rsidR="006A32CD">
        <w:rPr>
          <w:sz w:val="20"/>
          <w:szCs w:val="20"/>
        </w:rPr>
        <w:t xml:space="preserve">the </w:t>
      </w:r>
      <w:r w:rsidR="006A32CD" w:rsidRPr="0025788C">
        <w:rPr>
          <w:sz w:val="20"/>
          <w:szCs w:val="20"/>
        </w:rPr>
        <w:t>Netherlands, Nicaragua,</w:t>
      </w:r>
      <w:r w:rsidR="006A32CD" w:rsidRPr="006A32CD">
        <w:rPr>
          <w:sz w:val="20"/>
          <w:szCs w:val="20"/>
        </w:rPr>
        <w:t xml:space="preserve"> </w:t>
      </w:r>
      <w:r w:rsidR="006A32CD" w:rsidRPr="0025788C">
        <w:rPr>
          <w:sz w:val="20"/>
          <w:szCs w:val="20"/>
        </w:rPr>
        <w:t>Panama, Paraguay, Peru,</w:t>
      </w:r>
      <w:r w:rsidR="006A32CD" w:rsidRPr="006A32CD">
        <w:rPr>
          <w:sz w:val="20"/>
          <w:szCs w:val="20"/>
        </w:rPr>
        <w:t xml:space="preserve"> </w:t>
      </w:r>
      <w:r w:rsidR="006A32CD" w:rsidRPr="0025788C">
        <w:rPr>
          <w:sz w:val="20"/>
          <w:szCs w:val="20"/>
        </w:rPr>
        <w:t>Poland, Portugal,</w:t>
      </w:r>
      <w:r w:rsidR="006A32CD" w:rsidRPr="006A32CD">
        <w:rPr>
          <w:sz w:val="20"/>
          <w:szCs w:val="20"/>
        </w:rPr>
        <w:t xml:space="preserve"> </w:t>
      </w:r>
      <w:r w:rsidR="006A32CD" w:rsidRPr="0025788C">
        <w:rPr>
          <w:sz w:val="20"/>
          <w:szCs w:val="20"/>
        </w:rPr>
        <w:t>Romania,</w:t>
      </w:r>
      <w:r w:rsidR="006A32CD" w:rsidRPr="006A32CD">
        <w:rPr>
          <w:sz w:val="20"/>
          <w:szCs w:val="20"/>
        </w:rPr>
        <w:t xml:space="preserve"> </w:t>
      </w:r>
      <w:r w:rsidR="006A32CD" w:rsidRPr="0025788C">
        <w:rPr>
          <w:sz w:val="20"/>
          <w:szCs w:val="20"/>
        </w:rPr>
        <w:t>Slovakia, Slovenia, Spain,</w:t>
      </w:r>
      <w:r w:rsidR="006A32CD" w:rsidRPr="006A32CD">
        <w:rPr>
          <w:sz w:val="20"/>
          <w:szCs w:val="20"/>
        </w:rPr>
        <w:t xml:space="preserve"> </w:t>
      </w:r>
      <w:r w:rsidR="006A32CD" w:rsidRPr="0025788C">
        <w:rPr>
          <w:sz w:val="20"/>
          <w:szCs w:val="20"/>
        </w:rPr>
        <w:t>Sweden,</w:t>
      </w:r>
      <w:r w:rsidR="006A32CD" w:rsidRPr="006A32CD">
        <w:rPr>
          <w:sz w:val="20"/>
          <w:szCs w:val="20"/>
        </w:rPr>
        <w:t xml:space="preserve"> </w:t>
      </w:r>
      <w:r w:rsidR="006A32CD">
        <w:rPr>
          <w:sz w:val="20"/>
          <w:szCs w:val="20"/>
        </w:rPr>
        <w:t xml:space="preserve">the </w:t>
      </w:r>
      <w:r w:rsidR="006A32CD" w:rsidRPr="0025788C">
        <w:rPr>
          <w:sz w:val="20"/>
          <w:szCs w:val="20"/>
        </w:rPr>
        <w:t>United Kingdom of Great Britai</w:t>
      </w:r>
      <w:r w:rsidR="006A32CD">
        <w:rPr>
          <w:sz w:val="20"/>
          <w:szCs w:val="20"/>
        </w:rPr>
        <w:t>n and Northern Ireland, Uruguay and</w:t>
      </w:r>
      <w:r w:rsidR="006A32CD" w:rsidRPr="0025788C">
        <w:rPr>
          <w:sz w:val="20"/>
          <w:szCs w:val="20"/>
        </w:rPr>
        <w:t xml:space="preserve"> Venezuela (Bolivarian Republic of)</w:t>
      </w:r>
      <w:r w:rsidR="006A32CD">
        <w:rPr>
          <w:sz w:val="20"/>
          <w:szCs w:val="20"/>
        </w:rPr>
        <w:t xml:space="preserve"> </w:t>
      </w:r>
      <w:r w:rsidR="00FD5395">
        <w:rPr>
          <w:sz w:val="20"/>
          <w:szCs w:val="20"/>
        </w:rPr>
        <w:t xml:space="preserve">and co-sponsored </w:t>
      </w:r>
      <w:r w:rsidR="006A32CD">
        <w:rPr>
          <w:sz w:val="20"/>
          <w:szCs w:val="20"/>
        </w:rPr>
        <w:t xml:space="preserve">by </w:t>
      </w:r>
      <w:r w:rsidR="0025788C" w:rsidRPr="0025788C">
        <w:rPr>
          <w:sz w:val="20"/>
          <w:szCs w:val="20"/>
        </w:rPr>
        <w:t xml:space="preserve">Afghanistan, Albania, Australia, Cabo Verde, Canada, Egypt, Fiji, Georgia, Iceland, Israel, Liechtenstein, Monaco, Mongolia, Montenegro, Norway, Pakistan, </w:t>
      </w:r>
      <w:r w:rsidR="006A32CD">
        <w:rPr>
          <w:sz w:val="20"/>
          <w:szCs w:val="20"/>
        </w:rPr>
        <w:t xml:space="preserve">the </w:t>
      </w:r>
      <w:r w:rsidR="0025788C" w:rsidRPr="0025788C">
        <w:rPr>
          <w:sz w:val="20"/>
          <w:szCs w:val="20"/>
        </w:rPr>
        <w:t xml:space="preserve">Philippines, </w:t>
      </w:r>
      <w:r w:rsidR="006A32CD">
        <w:rPr>
          <w:sz w:val="20"/>
          <w:szCs w:val="20"/>
        </w:rPr>
        <w:t xml:space="preserve">the </w:t>
      </w:r>
      <w:r w:rsidR="0025788C" w:rsidRPr="0025788C">
        <w:rPr>
          <w:sz w:val="20"/>
          <w:szCs w:val="20"/>
        </w:rPr>
        <w:t xml:space="preserve">Republic of Moldova, </w:t>
      </w:r>
      <w:r w:rsidR="006A32CD">
        <w:rPr>
          <w:sz w:val="20"/>
          <w:szCs w:val="20"/>
        </w:rPr>
        <w:t xml:space="preserve">the </w:t>
      </w:r>
      <w:r w:rsidR="0025788C" w:rsidRPr="0025788C">
        <w:rPr>
          <w:sz w:val="20"/>
          <w:szCs w:val="20"/>
        </w:rPr>
        <w:t>Russian Federation, Sri Lanka, Switzerland, Thailand, Tunisia, Turkey</w:t>
      </w:r>
      <w:r w:rsidR="006A32CD">
        <w:rPr>
          <w:sz w:val="20"/>
          <w:szCs w:val="20"/>
        </w:rPr>
        <w:t xml:space="preserve"> and</w:t>
      </w:r>
      <w:r w:rsidR="0025788C" w:rsidRPr="0025788C">
        <w:rPr>
          <w:sz w:val="20"/>
          <w:szCs w:val="20"/>
        </w:rPr>
        <w:t xml:space="preserve"> Ukraine</w:t>
      </w:r>
      <w:r w:rsidR="00FD5395">
        <w:rPr>
          <w:sz w:val="20"/>
          <w:szCs w:val="20"/>
        </w:rPr>
        <w:t>.</w:t>
      </w:r>
      <w:r w:rsidR="00FD5395" w:rsidRPr="00326BEB">
        <w:rPr>
          <w:sz w:val="20"/>
          <w:szCs w:val="20"/>
        </w:rPr>
        <w:t xml:space="preserve"> Subsequently, </w:t>
      </w:r>
      <w:r w:rsidR="006A32CD" w:rsidRPr="006A32CD">
        <w:rPr>
          <w:sz w:val="20"/>
          <w:szCs w:val="20"/>
        </w:rPr>
        <w:t>Andorra</w:t>
      </w:r>
      <w:r w:rsidR="006A32CD">
        <w:rPr>
          <w:sz w:val="20"/>
          <w:szCs w:val="20"/>
        </w:rPr>
        <w:t xml:space="preserve">, </w:t>
      </w:r>
      <w:r w:rsidR="006A32CD" w:rsidRPr="006A32CD">
        <w:rPr>
          <w:sz w:val="20"/>
          <w:szCs w:val="20"/>
        </w:rPr>
        <w:t>Angola (on behalf of the Group of African States)</w:t>
      </w:r>
      <w:r w:rsidR="006A32CD">
        <w:rPr>
          <w:sz w:val="20"/>
          <w:szCs w:val="20"/>
        </w:rPr>
        <w:t xml:space="preserve">, </w:t>
      </w:r>
      <w:r w:rsidR="006A32CD" w:rsidRPr="006A32CD">
        <w:rPr>
          <w:sz w:val="20"/>
          <w:szCs w:val="20"/>
        </w:rPr>
        <w:t>Armenia</w:t>
      </w:r>
      <w:r w:rsidR="006A32CD">
        <w:rPr>
          <w:sz w:val="20"/>
          <w:szCs w:val="20"/>
        </w:rPr>
        <w:t xml:space="preserve">, Azerbaijan, </w:t>
      </w:r>
      <w:r w:rsidR="006A32CD" w:rsidRPr="006A32CD">
        <w:rPr>
          <w:sz w:val="20"/>
          <w:szCs w:val="20"/>
        </w:rPr>
        <w:t>Bahrain (on behalf of the Group of Arab States)</w:t>
      </w:r>
      <w:r w:rsidR="006A32CD">
        <w:rPr>
          <w:sz w:val="20"/>
          <w:szCs w:val="20"/>
        </w:rPr>
        <w:t xml:space="preserve">, </w:t>
      </w:r>
      <w:r w:rsidR="006A32CD" w:rsidRPr="006A32CD">
        <w:rPr>
          <w:sz w:val="20"/>
          <w:szCs w:val="20"/>
        </w:rPr>
        <w:t>Bangladesh</w:t>
      </w:r>
      <w:r w:rsidR="006A32CD">
        <w:rPr>
          <w:sz w:val="20"/>
          <w:szCs w:val="20"/>
        </w:rPr>
        <w:t xml:space="preserve">, </w:t>
      </w:r>
      <w:r w:rsidR="006A32CD" w:rsidRPr="006A32CD">
        <w:rPr>
          <w:sz w:val="20"/>
          <w:szCs w:val="20"/>
        </w:rPr>
        <w:t>Belarus</w:t>
      </w:r>
      <w:r w:rsidR="006A32CD">
        <w:rPr>
          <w:sz w:val="20"/>
          <w:szCs w:val="20"/>
        </w:rPr>
        <w:t xml:space="preserve">, </w:t>
      </w:r>
      <w:r w:rsidR="006A32CD" w:rsidRPr="006A32CD">
        <w:rPr>
          <w:sz w:val="20"/>
          <w:szCs w:val="20"/>
        </w:rPr>
        <w:t>Brazil</w:t>
      </w:r>
      <w:r w:rsidR="006A32CD">
        <w:rPr>
          <w:sz w:val="20"/>
          <w:szCs w:val="20"/>
        </w:rPr>
        <w:t xml:space="preserve">, </w:t>
      </w:r>
      <w:r w:rsidR="006A32CD" w:rsidRPr="006A32CD">
        <w:rPr>
          <w:sz w:val="20"/>
          <w:szCs w:val="20"/>
        </w:rPr>
        <w:t>China</w:t>
      </w:r>
      <w:r w:rsidR="006A32CD">
        <w:rPr>
          <w:sz w:val="20"/>
          <w:szCs w:val="20"/>
        </w:rPr>
        <w:t xml:space="preserve">, </w:t>
      </w:r>
      <w:r w:rsidR="006A32CD" w:rsidRPr="006A32CD">
        <w:rPr>
          <w:sz w:val="20"/>
          <w:szCs w:val="20"/>
        </w:rPr>
        <w:t>Cuba</w:t>
      </w:r>
      <w:r w:rsidR="006A32CD">
        <w:rPr>
          <w:sz w:val="20"/>
          <w:szCs w:val="20"/>
        </w:rPr>
        <w:t xml:space="preserve">, </w:t>
      </w:r>
      <w:r w:rsidR="006A32CD" w:rsidRPr="006A32CD">
        <w:rPr>
          <w:sz w:val="20"/>
          <w:szCs w:val="20"/>
        </w:rPr>
        <w:t>Guyana</w:t>
      </w:r>
      <w:r w:rsidR="006A32CD">
        <w:rPr>
          <w:sz w:val="20"/>
          <w:szCs w:val="20"/>
        </w:rPr>
        <w:t xml:space="preserve">, </w:t>
      </w:r>
      <w:r w:rsidR="006A32CD" w:rsidRPr="006A32CD">
        <w:rPr>
          <w:sz w:val="20"/>
          <w:szCs w:val="20"/>
        </w:rPr>
        <w:t>India</w:t>
      </w:r>
      <w:r w:rsidR="006A32CD">
        <w:rPr>
          <w:sz w:val="20"/>
          <w:szCs w:val="20"/>
        </w:rPr>
        <w:t xml:space="preserve">, </w:t>
      </w:r>
      <w:r w:rsidR="006A32CD" w:rsidRPr="006A32CD">
        <w:rPr>
          <w:sz w:val="20"/>
          <w:szCs w:val="20"/>
        </w:rPr>
        <w:t>Indonesia</w:t>
      </w:r>
      <w:r w:rsidR="006A32CD">
        <w:rPr>
          <w:sz w:val="20"/>
          <w:szCs w:val="20"/>
        </w:rPr>
        <w:t xml:space="preserve">, Jamaica, </w:t>
      </w:r>
      <w:r w:rsidR="006A32CD" w:rsidRPr="006A32CD">
        <w:rPr>
          <w:sz w:val="20"/>
          <w:szCs w:val="20"/>
        </w:rPr>
        <w:t>Japan</w:t>
      </w:r>
      <w:r w:rsidR="006A32CD">
        <w:rPr>
          <w:sz w:val="20"/>
          <w:szCs w:val="20"/>
        </w:rPr>
        <w:t xml:space="preserve">, Kazakhstan, </w:t>
      </w:r>
      <w:r w:rsidR="006A32CD" w:rsidRPr="006A32CD">
        <w:rPr>
          <w:sz w:val="20"/>
          <w:szCs w:val="20"/>
        </w:rPr>
        <w:t>Malaysia</w:t>
      </w:r>
      <w:r w:rsidR="006A32CD">
        <w:rPr>
          <w:sz w:val="20"/>
          <w:szCs w:val="20"/>
        </w:rPr>
        <w:t xml:space="preserve">, </w:t>
      </w:r>
      <w:r w:rsidR="006A32CD" w:rsidRPr="006A32CD">
        <w:rPr>
          <w:sz w:val="20"/>
          <w:szCs w:val="20"/>
        </w:rPr>
        <w:t>Maldives</w:t>
      </w:r>
      <w:r w:rsidR="006A32CD">
        <w:rPr>
          <w:sz w:val="20"/>
          <w:szCs w:val="20"/>
        </w:rPr>
        <w:t xml:space="preserve">, </w:t>
      </w:r>
      <w:r w:rsidR="006A32CD" w:rsidRPr="006A32CD">
        <w:rPr>
          <w:sz w:val="20"/>
          <w:szCs w:val="20"/>
        </w:rPr>
        <w:t>Nepal</w:t>
      </w:r>
      <w:r w:rsidR="006A32CD">
        <w:rPr>
          <w:sz w:val="20"/>
          <w:szCs w:val="20"/>
        </w:rPr>
        <w:t xml:space="preserve">, New Zealand, the </w:t>
      </w:r>
      <w:r w:rsidR="006A32CD" w:rsidRPr="006A32CD">
        <w:rPr>
          <w:sz w:val="20"/>
          <w:szCs w:val="20"/>
        </w:rPr>
        <w:t>Republic of Korea</w:t>
      </w:r>
      <w:r w:rsidR="006A32CD">
        <w:rPr>
          <w:sz w:val="20"/>
          <w:szCs w:val="20"/>
        </w:rPr>
        <w:t xml:space="preserve">, </w:t>
      </w:r>
      <w:r w:rsidR="00B058D6">
        <w:rPr>
          <w:sz w:val="20"/>
          <w:szCs w:val="20"/>
        </w:rPr>
        <w:t xml:space="preserve">Serbia, </w:t>
      </w:r>
      <w:r w:rsidR="006A32CD">
        <w:rPr>
          <w:sz w:val="20"/>
          <w:szCs w:val="20"/>
        </w:rPr>
        <w:t xml:space="preserve">Sri Lanka, </w:t>
      </w:r>
      <w:r w:rsidR="006A32CD" w:rsidRPr="006A32CD">
        <w:rPr>
          <w:sz w:val="20"/>
          <w:szCs w:val="20"/>
        </w:rPr>
        <w:t>Timor-Leste</w:t>
      </w:r>
      <w:r w:rsidR="006A32CD">
        <w:rPr>
          <w:sz w:val="20"/>
          <w:szCs w:val="20"/>
        </w:rPr>
        <w:t xml:space="preserve"> and Trinidad and Tobago </w:t>
      </w:r>
      <w:r w:rsidR="00FD5395" w:rsidRPr="00326BEB">
        <w:rPr>
          <w:sz w:val="20"/>
          <w:szCs w:val="20"/>
        </w:rPr>
        <w:t>joined the sponsors.</w:t>
      </w:r>
    </w:p>
    <w:p w14:paraId="7E798761" w14:textId="399C6061" w:rsidR="006A32CD" w:rsidRPr="00B54BF2" w:rsidRDefault="002B4AE4" w:rsidP="006A32CD">
      <w:pPr>
        <w:pStyle w:val="SingleTxtG"/>
        <w:rPr>
          <w:rFonts w:eastAsia="SimSun"/>
          <w:sz w:val="20"/>
          <w:szCs w:val="20"/>
          <w:lang w:eastAsia="ar-SA"/>
        </w:rPr>
      </w:pPr>
      <w:r>
        <w:rPr>
          <w:sz w:val="20"/>
          <w:szCs w:val="20"/>
        </w:rPr>
        <w:t>240</w:t>
      </w:r>
      <w:r w:rsidR="006A32CD" w:rsidRPr="0023658A">
        <w:rPr>
          <w:sz w:val="20"/>
          <w:szCs w:val="20"/>
        </w:rPr>
        <w:t>.</w:t>
      </w:r>
      <w:r w:rsidR="006A32CD" w:rsidRPr="0023658A">
        <w:rPr>
          <w:sz w:val="20"/>
          <w:szCs w:val="20"/>
        </w:rPr>
        <w:tab/>
      </w:r>
      <w:r w:rsidR="006A32CD" w:rsidRPr="0023658A">
        <w:rPr>
          <w:rFonts w:eastAsia="SimSun"/>
          <w:sz w:val="20"/>
          <w:szCs w:val="20"/>
          <w:lang w:eastAsia="ar-SA"/>
        </w:rPr>
        <w:t>At the same meeting</w:t>
      </w:r>
      <w:r w:rsidR="006A32CD">
        <w:rPr>
          <w:sz w:val="20"/>
          <w:szCs w:val="20"/>
        </w:rPr>
        <w:t>, the representative</w:t>
      </w:r>
      <w:r w:rsidR="006A32CD" w:rsidRPr="0023658A">
        <w:rPr>
          <w:sz w:val="20"/>
          <w:szCs w:val="20"/>
        </w:rPr>
        <w:t xml:space="preserve"> of </w:t>
      </w:r>
      <w:r w:rsidR="006A32CD">
        <w:rPr>
          <w:sz w:val="20"/>
          <w:szCs w:val="20"/>
        </w:rPr>
        <w:t xml:space="preserve">Tunisia </w:t>
      </w:r>
      <w:r w:rsidR="006A32CD" w:rsidRPr="0023658A">
        <w:rPr>
          <w:sz w:val="20"/>
          <w:szCs w:val="20"/>
        </w:rPr>
        <w:t xml:space="preserve">made </w:t>
      </w:r>
      <w:r w:rsidR="006A32CD">
        <w:rPr>
          <w:sz w:val="20"/>
          <w:szCs w:val="20"/>
        </w:rPr>
        <w:t xml:space="preserve">a </w:t>
      </w:r>
      <w:r w:rsidR="006A32CD" w:rsidRPr="0023658A">
        <w:rPr>
          <w:sz w:val="20"/>
          <w:szCs w:val="20"/>
        </w:rPr>
        <w:t>statement in explanation of vote before the vote.</w:t>
      </w:r>
      <w:r w:rsidR="006A32CD">
        <w:rPr>
          <w:sz w:val="20"/>
          <w:szCs w:val="20"/>
        </w:rPr>
        <w:t xml:space="preserve"> </w:t>
      </w:r>
    </w:p>
    <w:p w14:paraId="1F2D860E" w14:textId="452D83F1" w:rsidR="00FD5395" w:rsidRPr="00326BEB" w:rsidRDefault="002B4AE4" w:rsidP="00FD5395">
      <w:pPr>
        <w:pStyle w:val="SingleTxtG"/>
        <w:rPr>
          <w:rFonts w:eastAsia="SimSun"/>
          <w:sz w:val="20"/>
          <w:szCs w:val="20"/>
          <w:lang w:eastAsia="ar-SA"/>
        </w:rPr>
      </w:pPr>
      <w:r>
        <w:rPr>
          <w:sz w:val="20"/>
          <w:szCs w:val="20"/>
        </w:rPr>
        <w:t>241</w:t>
      </w:r>
      <w:r w:rsidR="00FD5395" w:rsidRPr="00E86201">
        <w:rPr>
          <w:sz w:val="20"/>
          <w:szCs w:val="20"/>
        </w:rPr>
        <w:t>.</w:t>
      </w:r>
      <w:r w:rsidR="00FD5395" w:rsidRPr="00E86201">
        <w:rPr>
          <w:sz w:val="20"/>
          <w:szCs w:val="20"/>
        </w:rPr>
        <w:tab/>
        <w:t xml:space="preserve">At the same meeting, </w:t>
      </w:r>
      <w:r w:rsidR="00FD5395" w:rsidRPr="00326BEB">
        <w:rPr>
          <w:rFonts w:eastAsia="SimSun"/>
          <w:sz w:val="20"/>
          <w:szCs w:val="20"/>
          <w:lang w:eastAsia="ar-SA"/>
        </w:rPr>
        <w:t xml:space="preserve">the draft resolution was adopted without a vote (resolution </w:t>
      </w:r>
      <w:r w:rsidR="00FD5395">
        <w:rPr>
          <w:rFonts w:eastAsia="SimSun"/>
          <w:sz w:val="20"/>
          <w:szCs w:val="20"/>
          <w:lang w:eastAsia="ar-SA"/>
        </w:rPr>
        <w:t>40</w:t>
      </w:r>
      <w:r w:rsidR="00FD5395" w:rsidRPr="00326BEB">
        <w:rPr>
          <w:rFonts w:eastAsia="SimSun"/>
          <w:sz w:val="20"/>
          <w:szCs w:val="20"/>
          <w:lang w:eastAsia="ar-SA"/>
        </w:rPr>
        <w:t>/</w:t>
      </w:r>
      <w:r w:rsidR="00FD5395">
        <w:rPr>
          <w:rFonts w:eastAsia="SimSun"/>
          <w:sz w:val="20"/>
          <w:szCs w:val="20"/>
          <w:lang w:eastAsia="ar-SA"/>
        </w:rPr>
        <w:t>1</w:t>
      </w:r>
      <w:r w:rsidR="006A32CD">
        <w:rPr>
          <w:rFonts w:eastAsia="SimSun"/>
          <w:sz w:val="20"/>
          <w:szCs w:val="20"/>
          <w:lang w:eastAsia="ar-SA"/>
        </w:rPr>
        <w:t>5</w:t>
      </w:r>
      <w:r w:rsidR="00FD5395" w:rsidRPr="00326BEB">
        <w:rPr>
          <w:rFonts w:eastAsia="SimSun"/>
          <w:sz w:val="20"/>
          <w:szCs w:val="20"/>
          <w:lang w:eastAsia="ar-SA"/>
        </w:rPr>
        <w:t>).</w:t>
      </w:r>
    </w:p>
    <w:p w14:paraId="25F382F9" w14:textId="43130473" w:rsidR="001130FB" w:rsidRDefault="001130FB" w:rsidP="001130FB">
      <w:pPr>
        <w:pStyle w:val="SingleTxtG"/>
        <w:rPr>
          <w:b/>
          <w:sz w:val="20"/>
          <w:szCs w:val="20"/>
        </w:rPr>
      </w:pPr>
      <w:r w:rsidRPr="001130FB">
        <w:rPr>
          <w:b/>
          <w:sz w:val="20"/>
          <w:szCs w:val="20"/>
        </w:rPr>
        <w:t>Mandate of the Special Rapporteur on the promotion and protection of human rights and fundamental freedoms while countering terrorism</w:t>
      </w:r>
    </w:p>
    <w:p w14:paraId="09F446EE" w14:textId="503FB238" w:rsidR="001130FB" w:rsidRDefault="002B4AE4" w:rsidP="001130FB">
      <w:pPr>
        <w:pStyle w:val="SingleTxtG"/>
        <w:rPr>
          <w:sz w:val="20"/>
          <w:szCs w:val="20"/>
        </w:rPr>
      </w:pPr>
      <w:r>
        <w:rPr>
          <w:sz w:val="20"/>
          <w:szCs w:val="20"/>
        </w:rPr>
        <w:t>242</w:t>
      </w:r>
      <w:r w:rsidR="001130FB" w:rsidRPr="00326BEB">
        <w:rPr>
          <w:sz w:val="20"/>
          <w:szCs w:val="20"/>
        </w:rPr>
        <w:t>.</w:t>
      </w:r>
      <w:r w:rsidR="001130FB" w:rsidRPr="00326BEB">
        <w:rPr>
          <w:sz w:val="20"/>
          <w:szCs w:val="20"/>
        </w:rPr>
        <w:tab/>
        <w:t xml:space="preserve">At the </w:t>
      </w:r>
      <w:r w:rsidR="001130FB">
        <w:rPr>
          <w:sz w:val="20"/>
          <w:szCs w:val="20"/>
        </w:rPr>
        <w:t>53rd</w:t>
      </w:r>
      <w:r w:rsidR="001130FB" w:rsidRPr="00326BEB">
        <w:rPr>
          <w:sz w:val="20"/>
          <w:szCs w:val="20"/>
        </w:rPr>
        <w:t xml:space="preserve"> meeting, on </w:t>
      </w:r>
      <w:r w:rsidR="001130FB">
        <w:rPr>
          <w:sz w:val="20"/>
          <w:szCs w:val="20"/>
        </w:rPr>
        <w:t>22 March 2019</w:t>
      </w:r>
      <w:r w:rsidR="001130FB" w:rsidRPr="00326BEB">
        <w:rPr>
          <w:sz w:val="20"/>
          <w:szCs w:val="20"/>
        </w:rPr>
        <w:t xml:space="preserve">, the representative of </w:t>
      </w:r>
      <w:r w:rsidR="001130FB">
        <w:rPr>
          <w:sz w:val="20"/>
          <w:szCs w:val="20"/>
        </w:rPr>
        <w:t xml:space="preserve">Mexico </w:t>
      </w:r>
      <w:r w:rsidR="001130FB" w:rsidRPr="00326BEB">
        <w:rPr>
          <w:sz w:val="20"/>
          <w:szCs w:val="20"/>
        </w:rPr>
        <w:t>introduced draft resolution A/HRC/</w:t>
      </w:r>
      <w:r w:rsidR="001130FB">
        <w:rPr>
          <w:sz w:val="20"/>
          <w:szCs w:val="20"/>
        </w:rPr>
        <w:t>40</w:t>
      </w:r>
      <w:r w:rsidR="001130FB" w:rsidRPr="00326BEB">
        <w:rPr>
          <w:sz w:val="20"/>
          <w:szCs w:val="20"/>
        </w:rPr>
        <w:t>/L.</w:t>
      </w:r>
      <w:r w:rsidR="001130FB">
        <w:rPr>
          <w:sz w:val="20"/>
          <w:szCs w:val="20"/>
        </w:rPr>
        <w:t>29</w:t>
      </w:r>
      <w:r w:rsidR="001130FB" w:rsidRPr="00326BEB">
        <w:rPr>
          <w:sz w:val="20"/>
          <w:szCs w:val="20"/>
        </w:rPr>
        <w:t xml:space="preserve">, sponsored by </w:t>
      </w:r>
      <w:r w:rsidR="001130FB">
        <w:rPr>
          <w:sz w:val="20"/>
          <w:szCs w:val="20"/>
        </w:rPr>
        <w:t xml:space="preserve">Mexico and co-sponsored by </w:t>
      </w:r>
      <w:r w:rsidR="001130FB" w:rsidRPr="001130FB">
        <w:rPr>
          <w:sz w:val="20"/>
          <w:szCs w:val="20"/>
        </w:rPr>
        <w:t>Austria, Belgium, Bulgaria, Croatia, Czechia, Denmark, Estonia, Finland, Georgia, Germany, Iceland, Ireland, Italy, Latvia, Liechtenstein, Lithuania, Luxembourg, Malta,</w:t>
      </w:r>
      <w:r w:rsidR="001130FB">
        <w:rPr>
          <w:sz w:val="20"/>
          <w:szCs w:val="20"/>
        </w:rPr>
        <w:t xml:space="preserve"> </w:t>
      </w:r>
      <w:r w:rsidR="001130FB" w:rsidRPr="001130FB">
        <w:rPr>
          <w:sz w:val="20"/>
          <w:szCs w:val="20"/>
        </w:rPr>
        <w:t xml:space="preserve">Monaco, </w:t>
      </w:r>
      <w:r w:rsidR="001130FB">
        <w:rPr>
          <w:sz w:val="20"/>
          <w:szCs w:val="20"/>
        </w:rPr>
        <w:t xml:space="preserve">the </w:t>
      </w:r>
      <w:r w:rsidR="001130FB" w:rsidRPr="001130FB">
        <w:rPr>
          <w:sz w:val="20"/>
          <w:szCs w:val="20"/>
        </w:rPr>
        <w:t xml:space="preserve">Netherlands, Norway, Peru, </w:t>
      </w:r>
      <w:r w:rsidR="001130FB">
        <w:rPr>
          <w:sz w:val="20"/>
          <w:szCs w:val="20"/>
        </w:rPr>
        <w:t xml:space="preserve">the </w:t>
      </w:r>
      <w:r w:rsidR="001130FB" w:rsidRPr="001130FB">
        <w:rPr>
          <w:sz w:val="20"/>
          <w:szCs w:val="20"/>
        </w:rPr>
        <w:t>Philippines, Portugal, Romania, Slovakia, Slovenia, Spain, Sweden, Turkey</w:t>
      </w:r>
      <w:r w:rsidR="001130FB">
        <w:rPr>
          <w:sz w:val="20"/>
          <w:szCs w:val="20"/>
        </w:rPr>
        <w:t xml:space="preserve"> and the</w:t>
      </w:r>
      <w:r w:rsidR="001130FB" w:rsidRPr="001130FB">
        <w:rPr>
          <w:sz w:val="20"/>
          <w:szCs w:val="20"/>
        </w:rPr>
        <w:t xml:space="preserve"> United Kingdom of Great Britain and Northern Ireland</w:t>
      </w:r>
      <w:r w:rsidR="001130FB">
        <w:rPr>
          <w:sz w:val="20"/>
          <w:szCs w:val="20"/>
        </w:rPr>
        <w:t>.</w:t>
      </w:r>
      <w:r w:rsidR="001130FB" w:rsidRPr="00326BEB">
        <w:rPr>
          <w:sz w:val="20"/>
          <w:szCs w:val="20"/>
        </w:rPr>
        <w:t xml:space="preserve"> Subsequently, </w:t>
      </w:r>
      <w:r w:rsidR="001130FB" w:rsidRPr="001130FB">
        <w:rPr>
          <w:sz w:val="20"/>
          <w:szCs w:val="20"/>
        </w:rPr>
        <w:t>Albania</w:t>
      </w:r>
      <w:r w:rsidR="001130FB">
        <w:rPr>
          <w:sz w:val="20"/>
          <w:szCs w:val="20"/>
        </w:rPr>
        <w:t xml:space="preserve">, </w:t>
      </w:r>
      <w:r w:rsidR="001130FB" w:rsidRPr="001130FB">
        <w:rPr>
          <w:sz w:val="20"/>
          <w:szCs w:val="20"/>
        </w:rPr>
        <w:t>Andorra</w:t>
      </w:r>
      <w:r w:rsidR="001130FB">
        <w:rPr>
          <w:sz w:val="20"/>
          <w:szCs w:val="20"/>
        </w:rPr>
        <w:t xml:space="preserve">, </w:t>
      </w:r>
      <w:r w:rsidR="001130FB" w:rsidRPr="001130FB">
        <w:rPr>
          <w:sz w:val="20"/>
          <w:szCs w:val="20"/>
        </w:rPr>
        <w:t>Argentina</w:t>
      </w:r>
      <w:r w:rsidR="001130FB">
        <w:rPr>
          <w:sz w:val="20"/>
          <w:szCs w:val="20"/>
        </w:rPr>
        <w:t xml:space="preserve">, </w:t>
      </w:r>
      <w:r w:rsidR="001130FB" w:rsidRPr="001130FB">
        <w:rPr>
          <w:sz w:val="20"/>
          <w:szCs w:val="20"/>
        </w:rPr>
        <w:t>Armenia</w:t>
      </w:r>
      <w:r w:rsidR="001130FB">
        <w:rPr>
          <w:sz w:val="20"/>
          <w:szCs w:val="20"/>
        </w:rPr>
        <w:t xml:space="preserve">, </w:t>
      </w:r>
      <w:r w:rsidR="001130FB" w:rsidRPr="001130FB">
        <w:rPr>
          <w:sz w:val="20"/>
          <w:szCs w:val="20"/>
        </w:rPr>
        <w:t>Australia</w:t>
      </w:r>
      <w:r w:rsidR="001130FB">
        <w:rPr>
          <w:sz w:val="20"/>
          <w:szCs w:val="20"/>
        </w:rPr>
        <w:t xml:space="preserve">, </w:t>
      </w:r>
      <w:r w:rsidR="001130FB" w:rsidRPr="001130FB">
        <w:rPr>
          <w:sz w:val="20"/>
          <w:szCs w:val="20"/>
        </w:rPr>
        <w:t>Botswana</w:t>
      </w:r>
      <w:r w:rsidR="001130FB">
        <w:rPr>
          <w:sz w:val="20"/>
          <w:szCs w:val="20"/>
        </w:rPr>
        <w:t xml:space="preserve">, </w:t>
      </w:r>
      <w:r w:rsidR="001130FB" w:rsidRPr="001130FB">
        <w:rPr>
          <w:sz w:val="20"/>
          <w:szCs w:val="20"/>
        </w:rPr>
        <w:t>Burkina Faso</w:t>
      </w:r>
      <w:r w:rsidR="001130FB">
        <w:rPr>
          <w:sz w:val="20"/>
          <w:szCs w:val="20"/>
        </w:rPr>
        <w:t xml:space="preserve">, </w:t>
      </w:r>
      <w:r w:rsidR="001130FB" w:rsidRPr="001130FB">
        <w:rPr>
          <w:sz w:val="20"/>
          <w:szCs w:val="20"/>
        </w:rPr>
        <w:t>Canada</w:t>
      </w:r>
      <w:r w:rsidR="001130FB">
        <w:rPr>
          <w:sz w:val="20"/>
          <w:szCs w:val="20"/>
        </w:rPr>
        <w:t xml:space="preserve">, Costa Rica, </w:t>
      </w:r>
      <w:r w:rsidR="001130FB" w:rsidRPr="001130FB">
        <w:rPr>
          <w:sz w:val="20"/>
          <w:szCs w:val="20"/>
        </w:rPr>
        <w:t>Cyprus</w:t>
      </w:r>
      <w:r w:rsidR="001130FB">
        <w:rPr>
          <w:sz w:val="20"/>
          <w:szCs w:val="20"/>
        </w:rPr>
        <w:t xml:space="preserve">, </w:t>
      </w:r>
      <w:r w:rsidR="001130FB" w:rsidRPr="001130FB">
        <w:rPr>
          <w:sz w:val="20"/>
          <w:szCs w:val="20"/>
        </w:rPr>
        <w:t>Ecuador</w:t>
      </w:r>
      <w:r w:rsidR="001130FB">
        <w:rPr>
          <w:sz w:val="20"/>
          <w:szCs w:val="20"/>
        </w:rPr>
        <w:t xml:space="preserve">, </w:t>
      </w:r>
      <w:r w:rsidR="001130FB" w:rsidRPr="001130FB">
        <w:rPr>
          <w:sz w:val="20"/>
          <w:szCs w:val="20"/>
        </w:rPr>
        <w:t>France</w:t>
      </w:r>
      <w:r w:rsidR="001130FB">
        <w:rPr>
          <w:sz w:val="20"/>
          <w:szCs w:val="20"/>
        </w:rPr>
        <w:t xml:space="preserve">, </w:t>
      </w:r>
      <w:r w:rsidR="001130FB" w:rsidRPr="001130FB">
        <w:rPr>
          <w:sz w:val="20"/>
          <w:szCs w:val="20"/>
        </w:rPr>
        <w:t>Greece</w:t>
      </w:r>
      <w:r w:rsidR="001130FB">
        <w:rPr>
          <w:sz w:val="20"/>
          <w:szCs w:val="20"/>
        </w:rPr>
        <w:t xml:space="preserve">, </w:t>
      </w:r>
      <w:r w:rsidR="001130FB" w:rsidRPr="001130FB">
        <w:rPr>
          <w:sz w:val="20"/>
          <w:szCs w:val="20"/>
        </w:rPr>
        <w:t>Hungary</w:t>
      </w:r>
      <w:r w:rsidR="001130FB">
        <w:rPr>
          <w:sz w:val="20"/>
          <w:szCs w:val="20"/>
        </w:rPr>
        <w:t xml:space="preserve">, </w:t>
      </w:r>
      <w:r w:rsidR="001130FB" w:rsidRPr="001130FB">
        <w:rPr>
          <w:sz w:val="20"/>
          <w:szCs w:val="20"/>
        </w:rPr>
        <w:t>Israel</w:t>
      </w:r>
      <w:r w:rsidR="001130FB">
        <w:rPr>
          <w:sz w:val="20"/>
          <w:szCs w:val="20"/>
        </w:rPr>
        <w:t xml:space="preserve">, </w:t>
      </w:r>
      <w:r w:rsidR="001130FB" w:rsidRPr="001130FB">
        <w:rPr>
          <w:sz w:val="20"/>
          <w:szCs w:val="20"/>
        </w:rPr>
        <w:t>Japan</w:t>
      </w:r>
      <w:r w:rsidR="001130FB">
        <w:rPr>
          <w:sz w:val="20"/>
          <w:szCs w:val="20"/>
        </w:rPr>
        <w:t xml:space="preserve">, </w:t>
      </w:r>
      <w:r w:rsidR="001130FB" w:rsidRPr="001130FB">
        <w:rPr>
          <w:sz w:val="20"/>
          <w:szCs w:val="20"/>
        </w:rPr>
        <w:t>Maldives</w:t>
      </w:r>
      <w:r w:rsidR="001130FB">
        <w:rPr>
          <w:sz w:val="20"/>
          <w:szCs w:val="20"/>
        </w:rPr>
        <w:t xml:space="preserve">, </w:t>
      </w:r>
      <w:r w:rsidR="001130FB" w:rsidRPr="001130FB">
        <w:rPr>
          <w:sz w:val="20"/>
          <w:szCs w:val="20"/>
        </w:rPr>
        <w:t>Montenegro</w:t>
      </w:r>
      <w:r w:rsidR="001130FB">
        <w:rPr>
          <w:sz w:val="20"/>
          <w:szCs w:val="20"/>
        </w:rPr>
        <w:t xml:space="preserve">, </w:t>
      </w:r>
      <w:r w:rsidR="001130FB" w:rsidRPr="001130FB">
        <w:rPr>
          <w:sz w:val="20"/>
          <w:szCs w:val="20"/>
        </w:rPr>
        <w:t>New Zealand</w:t>
      </w:r>
      <w:r w:rsidR="001130FB">
        <w:rPr>
          <w:sz w:val="20"/>
          <w:szCs w:val="20"/>
        </w:rPr>
        <w:t xml:space="preserve">, </w:t>
      </w:r>
      <w:r w:rsidR="001130FB" w:rsidRPr="001130FB">
        <w:rPr>
          <w:sz w:val="20"/>
          <w:szCs w:val="20"/>
        </w:rPr>
        <w:t>Panama</w:t>
      </w:r>
      <w:r w:rsidR="001130FB">
        <w:rPr>
          <w:sz w:val="20"/>
          <w:szCs w:val="20"/>
        </w:rPr>
        <w:t xml:space="preserve">, </w:t>
      </w:r>
      <w:r w:rsidR="001130FB" w:rsidRPr="001130FB">
        <w:rPr>
          <w:sz w:val="20"/>
          <w:szCs w:val="20"/>
        </w:rPr>
        <w:t>Poland</w:t>
      </w:r>
      <w:r w:rsidR="001130FB">
        <w:rPr>
          <w:sz w:val="20"/>
          <w:szCs w:val="20"/>
        </w:rPr>
        <w:t xml:space="preserve">, </w:t>
      </w:r>
      <w:r w:rsidR="001130FB" w:rsidRPr="001130FB">
        <w:rPr>
          <w:sz w:val="20"/>
          <w:szCs w:val="20"/>
        </w:rPr>
        <w:t>Qatar</w:t>
      </w:r>
      <w:r w:rsidR="001130FB">
        <w:rPr>
          <w:sz w:val="20"/>
          <w:szCs w:val="20"/>
        </w:rPr>
        <w:t xml:space="preserve">, the </w:t>
      </w:r>
      <w:r w:rsidR="001130FB" w:rsidRPr="001130FB">
        <w:rPr>
          <w:sz w:val="20"/>
          <w:szCs w:val="20"/>
        </w:rPr>
        <w:t>Republic of Korea</w:t>
      </w:r>
      <w:r w:rsidR="001130FB">
        <w:rPr>
          <w:sz w:val="20"/>
          <w:szCs w:val="20"/>
        </w:rPr>
        <w:t xml:space="preserve">, </w:t>
      </w:r>
      <w:r w:rsidR="001130FB" w:rsidRPr="001130FB">
        <w:rPr>
          <w:sz w:val="20"/>
          <w:szCs w:val="20"/>
        </w:rPr>
        <w:t>Switzerland</w:t>
      </w:r>
      <w:r w:rsidR="001130FB">
        <w:rPr>
          <w:sz w:val="20"/>
          <w:szCs w:val="20"/>
        </w:rPr>
        <w:t xml:space="preserve">, </w:t>
      </w:r>
      <w:r w:rsidR="001130FB" w:rsidRPr="001130FB">
        <w:rPr>
          <w:sz w:val="20"/>
          <w:szCs w:val="20"/>
        </w:rPr>
        <w:t>Tunisia</w:t>
      </w:r>
      <w:r w:rsidR="001130FB">
        <w:rPr>
          <w:sz w:val="20"/>
          <w:szCs w:val="20"/>
        </w:rPr>
        <w:t xml:space="preserve"> and </w:t>
      </w:r>
      <w:r w:rsidR="001130FB" w:rsidRPr="001130FB">
        <w:rPr>
          <w:sz w:val="20"/>
          <w:szCs w:val="20"/>
        </w:rPr>
        <w:t>Uruguay</w:t>
      </w:r>
      <w:r w:rsidR="001130FB">
        <w:rPr>
          <w:sz w:val="20"/>
          <w:szCs w:val="20"/>
        </w:rPr>
        <w:t xml:space="preserve"> </w:t>
      </w:r>
      <w:r w:rsidR="001130FB" w:rsidRPr="00326BEB">
        <w:rPr>
          <w:sz w:val="20"/>
          <w:szCs w:val="20"/>
        </w:rPr>
        <w:t>joined the sponsors.</w:t>
      </w:r>
    </w:p>
    <w:p w14:paraId="1421BFD9" w14:textId="65A40EF1" w:rsidR="001130FB" w:rsidRDefault="002B4AE4" w:rsidP="001130FB">
      <w:pPr>
        <w:spacing w:after="120"/>
        <w:ind w:left="1134" w:right="1134"/>
        <w:jc w:val="both"/>
        <w:rPr>
          <w:sz w:val="20"/>
          <w:szCs w:val="20"/>
        </w:rPr>
      </w:pPr>
      <w:r>
        <w:rPr>
          <w:sz w:val="20"/>
          <w:szCs w:val="20"/>
        </w:rPr>
        <w:t>243</w:t>
      </w:r>
      <w:r w:rsidR="001130FB" w:rsidRPr="00E86201">
        <w:rPr>
          <w:sz w:val="20"/>
          <w:szCs w:val="20"/>
        </w:rPr>
        <w:t>.</w:t>
      </w:r>
      <w:r w:rsidR="001130FB" w:rsidRPr="00E86201">
        <w:rPr>
          <w:sz w:val="20"/>
          <w:szCs w:val="20"/>
        </w:rPr>
        <w:tab/>
        <w:t>At the same meeting, the representative</w:t>
      </w:r>
      <w:r w:rsidR="001130FB">
        <w:rPr>
          <w:sz w:val="20"/>
          <w:szCs w:val="20"/>
        </w:rPr>
        <w:t>s</w:t>
      </w:r>
      <w:r w:rsidR="001130FB" w:rsidRPr="00E86201">
        <w:rPr>
          <w:sz w:val="20"/>
          <w:szCs w:val="20"/>
        </w:rPr>
        <w:t xml:space="preserve"> of </w:t>
      </w:r>
      <w:r w:rsidR="001130FB" w:rsidRPr="001130FB">
        <w:rPr>
          <w:sz w:val="20"/>
          <w:szCs w:val="20"/>
        </w:rPr>
        <w:t xml:space="preserve">Australia, </w:t>
      </w:r>
      <w:r w:rsidR="001130FB" w:rsidRPr="007B2C0A">
        <w:rPr>
          <w:sz w:val="20"/>
          <w:szCs w:val="20"/>
        </w:rPr>
        <w:t xml:space="preserve">Bulgaria </w:t>
      </w:r>
      <w:r w:rsidR="001130FB" w:rsidRPr="00157757">
        <w:rPr>
          <w:sz w:val="20"/>
          <w:szCs w:val="20"/>
        </w:rPr>
        <w:t>(on behalf of States members of the European Union that are members of the Council)</w:t>
      </w:r>
      <w:r w:rsidR="001130FB">
        <w:rPr>
          <w:sz w:val="20"/>
          <w:szCs w:val="20"/>
        </w:rPr>
        <w:t xml:space="preserve">, </w:t>
      </w:r>
      <w:r w:rsidR="001130FB" w:rsidRPr="001130FB">
        <w:rPr>
          <w:sz w:val="20"/>
          <w:szCs w:val="20"/>
        </w:rPr>
        <w:t>Egypt (</w:t>
      </w:r>
      <w:r w:rsidR="001130FB">
        <w:rPr>
          <w:sz w:val="20"/>
          <w:szCs w:val="20"/>
        </w:rPr>
        <w:t xml:space="preserve">also </w:t>
      </w:r>
      <w:r w:rsidR="001130FB" w:rsidRPr="001130FB">
        <w:rPr>
          <w:sz w:val="20"/>
          <w:szCs w:val="20"/>
        </w:rPr>
        <w:t xml:space="preserve">on behalf of </w:t>
      </w:r>
      <w:r w:rsidR="001130FB">
        <w:rPr>
          <w:sz w:val="20"/>
          <w:szCs w:val="20"/>
        </w:rPr>
        <w:t xml:space="preserve">Algeria, Jordan, Morocco and Saudi Arabia) and the </w:t>
      </w:r>
      <w:r w:rsidR="001130FB" w:rsidRPr="001130FB">
        <w:rPr>
          <w:sz w:val="20"/>
          <w:szCs w:val="20"/>
        </w:rPr>
        <w:t>United Kingdom of Great Britain and Northern Ireland</w:t>
      </w:r>
      <w:r w:rsidR="001130FB">
        <w:rPr>
          <w:sz w:val="20"/>
          <w:szCs w:val="20"/>
        </w:rPr>
        <w:t xml:space="preserve"> </w:t>
      </w:r>
      <w:r w:rsidR="001130FB" w:rsidRPr="00E86201">
        <w:rPr>
          <w:sz w:val="20"/>
          <w:szCs w:val="20"/>
        </w:rPr>
        <w:t>made general comments on the draft resolution.</w:t>
      </w:r>
    </w:p>
    <w:p w14:paraId="6DC9B275" w14:textId="7CB47CD8" w:rsidR="001130FB" w:rsidRPr="00326BEB" w:rsidRDefault="002B4AE4" w:rsidP="001130FB">
      <w:pPr>
        <w:spacing w:after="120"/>
        <w:ind w:left="1134" w:right="1134"/>
        <w:jc w:val="both"/>
        <w:rPr>
          <w:sz w:val="20"/>
          <w:szCs w:val="20"/>
        </w:rPr>
      </w:pPr>
      <w:r>
        <w:rPr>
          <w:sz w:val="20"/>
          <w:szCs w:val="20"/>
        </w:rPr>
        <w:t>244</w:t>
      </w:r>
      <w:r w:rsidR="001130FB" w:rsidRPr="00326BEB">
        <w:rPr>
          <w:sz w:val="20"/>
          <w:szCs w:val="20"/>
        </w:rPr>
        <w:t>.</w:t>
      </w:r>
      <w:r w:rsidR="001130FB" w:rsidRPr="00326BEB">
        <w:rPr>
          <w:sz w:val="20"/>
          <w:szCs w:val="20"/>
        </w:rPr>
        <w:tab/>
        <w:t>In accordance with rule 153 of the rules of procedure of the General Assembly, the attention of the Human Rights Council was drawn to the estimated administrative and programme budget implications of the draft resolution.</w:t>
      </w:r>
    </w:p>
    <w:p w14:paraId="09A54369" w14:textId="5C22316D" w:rsidR="001130FB" w:rsidRPr="00326BEB" w:rsidRDefault="002B4AE4" w:rsidP="001130FB">
      <w:pPr>
        <w:pStyle w:val="SingleTxtG"/>
        <w:rPr>
          <w:rFonts w:eastAsia="SimSun"/>
          <w:sz w:val="20"/>
          <w:szCs w:val="20"/>
          <w:lang w:eastAsia="ar-SA"/>
        </w:rPr>
      </w:pPr>
      <w:r>
        <w:rPr>
          <w:sz w:val="20"/>
          <w:szCs w:val="20"/>
        </w:rPr>
        <w:t>245</w:t>
      </w:r>
      <w:r w:rsidR="001130FB" w:rsidRPr="00E86201">
        <w:rPr>
          <w:sz w:val="20"/>
          <w:szCs w:val="20"/>
        </w:rPr>
        <w:t>.</w:t>
      </w:r>
      <w:r w:rsidR="001130FB" w:rsidRPr="00E86201">
        <w:rPr>
          <w:sz w:val="20"/>
          <w:szCs w:val="20"/>
        </w:rPr>
        <w:tab/>
        <w:t xml:space="preserve">At the same meeting, </w:t>
      </w:r>
      <w:r w:rsidR="001130FB" w:rsidRPr="00326BEB">
        <w:rPr>
          <w:rFonts w:eastAsia="SimSun"/>
          <w:sz w:val="20"/>
          <w:szCs w:val="20"/>
          <w:lang w:eastAsia="ar-SA"/>
        </w:rPr>
        <w:t xml:space="preserve">the draft resolution was adopted without a vote (resolution </w:t>
      </w:r>
      <w:r w:rsidR="001130FB">
        <w:rPr>
          <w:rFonts w:eastAsia="SimSun"/>
          <w:sz w:val="20"/>
          <w:szCs w:val="20"/>
          <w:lang w:eastAsia="ar-SA"/>
        </w:rPr>
        <w:t>40</w:t>
      </w:r>
      <w:r w:rsidR="001130FB" w:rsidRPr="00326BEB">
        <w:rPr>
          <w:rFonts w:eastAsia="SimSun"/>
          <w:sz w:val="20"/>
          <w:szCs w:val="20"/>
          <w:lang w:eastAsia="ar-SA"/>
        </w:rPr>
        <w:t>/</w:t>
      </w:r>
      <w:r w:rsidR="001130FB">
        <w:rPr>
          <w:rFonts w:eastAsia="SimSun"/>
          <w:sz w:val="20"/>
          <w:szCs w:val="20"/>
          <w:lang w:eastAsia="ar-SA"/>
        </w:rPr>
        <w:t>16</w:t>
      </w:r>
      <w:r w:rsidR="001130FB" w:rsidRPr="00326BEB">
        <w:rPr>
          <w:rFonts w:eastAsia="SimSun"/>
          <w:sz w:val="20"/>
          <w:szCs w:val="20"/>
          <w:lang w:eastAsia="ar-SA"/>
        </w:rPr>
        <w:t>).</w:t>
      </w:r>
    </w:p>
    <w:p w14:paraId="3823392F" w14:textId="2B606BB7" w:rsidR="00680375" w:rsidRDefault="002B4AE4" w:rsidP="002B4AE4">
      <w:pPr>
        <w:pStyle w:val="SingleTxtG"/>
        <w:rPr>
          <w:rFonts w:eastAsia="SimSun"/>
          <w:b/>
          <w:color w:val="000000" w:themeColor="text1"/>
          <w:sz w:val="28"/>
          <w:lang w:eastAsia="ar-SA"/>
        </w:rPr>
      </w:pPr>
      <w:r>
        <w:rPr>
          <w:rFonts w:eastAsia="SimSun"/>
          <w:sz w:val="20"/>
          <w:szCs w:val="20"/>
          <w:lang w:eastAsia="ar-SA"/>
        </w:rPr>
        <w:t>246</w:t>
      </w:r>
      <w:r w:rsidR="00041A36" w:rsidRPr="000B65FE">
        <w:rPr>
          <w:rFonts w:eastAsia="SimSun"/>
          <w:sz w:val="20"/>
          <w:szCs w:val="20"/>
          <w:lang w:eastAsia="ar-SA"/>
        </w:rPr>
        <w:t>.</w:t>
      </w:r>
      <w:r w:rsidR="00041A36" w:rsidRPr="000B65FE">
        <w:rPr>
          <w:rFonts w:eastAsia="SimSun"/>
          <w:sz w:val="20"/>
          <w:szCs w:val="20"/>
          <w:lang w:eastAsia="ar-SA"/>
        </w:rPr>
        <w:tab/>
        <w:t>A</w:t>
      </w:r>
      <w:r w:rsidR="00041A36">
        <w:rPr>
          <w:rFonts w:eastAsia="SimSun"/>
          <w:sz w:val="20"/>
          <w:szCs w:val="20"/>
          <w:lang w:eastAsia="ar-SA"/>
        </w:rPr>
        <w:t>lso a</w:t>
      </w:r>
      <w:r w:rsidR="00041A36" w:rsidRPr="000B65FE">
        <w:rPr>
          <w:rFonts w:eastAsia="SimSun"/>
          <w:sz w:val="20"/>
          <w:szCs w:val="20"/>
          <w:lang w:eastAsia="ar-SA"/>
        </w:rPr>
        <w:t xml:space="preserve">t the </w:t>
      </w:r>
      <w:r w:rsidR="00041A36">
        <w:rPr>
          <w:rFonts w:eastAsia="SimSun"/>
          <w:sz w:val="20"/>
          <w:szCs w:val="20"/>
          <w:lang w:eastAsia="ar-SA"/>
        </w:rPr>
        <w:t xml:space="preserve">same </w:t>
      </w:r>
      <w:r w:rsidR="00041A36" w:rsidRPr="000B65FE">
        <w:rPr>
          <w:rFonts w:eastAsia="SimSun"/>
          <w:sz w:val="20"/>
          <w:szCs w:val="20"/>
          <w:lang w:eastAsia="ar-SA"/>
        </w:rPr>
        <w:t xml:space="preserve">meeting, the representative of </w:t>
      </w:r>
      <w:r w:rsidR="00041A36">
        <w:rPr>
          <w:rFonts w:eastAsia="SimSun"/>
          <w:sz w:val="20"/>
          <w:szCs w:val="20"/>
          <w:lang w:eastAsia="ar-SA"/>
        </w:rPr>
        <w:t>Tunisia</w:t>
      </w:r>
      <w:r w:rsidR="00041A36" w:rsidRPr="000B65FE">
        <w:rPr>
          <w:rFonts w:eastAsia="SimSun"/>
          <w:sz w:val="20"/>
          <w:szCs w:val="20"/>
          <w:lang w:eastAsia="ar-SA"/>
        </w:rPr>
        <w:t xml:space="preserve"> made a statement in explanation of vote after the vote.</w:t>
      </w:r>
      <w:r w:rsidR="00D72627">
        <w:rPr>
          <w:rFonts w:eastAsia="SimSun"/>
          <w:sz w:val="20"/>
          <w:szCs w:val="20"/>
          <w:lang w:eastAsia="ar-SA"/>
        </w:rPr>
        <w:t xml:space="preserve"> </w:t>
      </w:r>
    </w:p>
    <w:p w14:paraId="5A7979F3" w14:textId="77777777" w:rsidR="002B4AE4" w:rsidRDefault="002B4AE4">
      <w:pPr>
        <w:spacing w:after="200" w:line="276" w:lineRule="auto"/>
        <w:rPr>
          <w:rFonts w:eastAsia="SimSun"/>
          <w:b/>
          <w:color w:val="000000" w:themeColor="text1"/>
          <w:sz w:val="28"/>
          <w:lang w:eastAsia="ar-SA"/>
        </w:rPr>
      </w:pPr>
      <w:r>
        <w:rPr>
          <w:rFonts w:eastAsia="SimSun"/>
          <w:color w:val="000000" w:themeColor="text1"/>
          <w:lang w:eastAsia="ar-SA"/>
        </w:rPr>
        <w:br w:type="page"/>
      </w:r>
    </w:p>
    <w:p w14:paraId="2EA58A1D" w14:textId="62ACDC48" w:rsidR="00F11B08" w:rsidRPr="00C16037" w:rsidRDefault="00680375" w:rsidP="00250AFB">
      <w:pPr>
        <w:pStyle w:val="HChG"/>
        <w:rPr>
          <w:color w:val="000000" w:themeColor="text1"/>
        </w:rPr>
      </w:pPr>
      <w:r>
        <w:rPr>
          <w:rFonts w:eastAsia="SimSun"/>
          <w:color w:val="000000" w:themeColor="text1"/>
          <w:lang w:eastAsia="ar-SA"/>
        </w:rPr>
        <w:lastRenderedPageBreak/>
        <w:tab/>
      </w:r>
      <w:r w:rsidR="00F11B08" w:rsidRPr="00C16037">
        <w:rPr>
          <w:rFonts w:eastAsia="SimSun"/>
          <w:color w:val="000000" w:themeColor="text1"/>
          <w:lang w:eastAsia="ar-SA"/>
        </w:rPr>
        <w:t>IV.</w:t>
      </w:r>
      <w:r w:rsidR="00F11B08" w:rsidRPr="00C16037">
        <w:rPr>
          <w:rFonts w:eastAsia="SimSun"/>
          <w:color w:val="000000" w:themeColor="text1"/>
          <w:lang w:eastAsia="ar-SA"/>
        </w:rPr>
        <w:tab/>
      </w:r>
      <w:r w:rsidR="00F11B08" w:rsidRPr="00C16037">
        <w:rPr>
          <w:color w:val="000000" w:themeColor="text1"/>
        </w:rPr>
        <w:t>Human rights situations that require the Council</w:t>
      </w:r>
      <w:r w:rsidR="00D72627">
        <w:rPr>
          <w:color w:val="000000" w:themeColor="text1"/>
        </w:rPr>
        <w:t>’</w:t>
      </w:r>
      <w:r w:rsidR="00F11B08" w:rsidRPr="00C16037">
        <w:rPr>
          <w:color w:val="000000" w:themeColor="text1"/>
        </w:rPr>
        <w:t>s attention</w:t>
      </w:r>
    </w:p>
    <w:p w14:paraId="660C560D" w14:textId="03A68B8C" w:rsidR="009A3ED6" w:rsidRPr="00C16037" w:rsidRDefault="009A3ED6" w:rsidP="009A3ED6">
      <w:pPr>
        <w:pStyle w:val="H1G"/>
        <w:rPr>
          <w:color w:val="000000" w:themeColor="text1"/>
        </w:rPr>
      </w:pPr>
      <w:r w:rsidRPr="00C16037">
        <w:rPr>
          <w:color w:val="000000" w:themeColor="text1"/>
        </w:rPr>
        <w:tab/>
      </w:r>
      <w:r w:rsidR="003F1329" w:rsidRPr="00A078AC">
        <w:rPr>
          <w:color w:val="000000" w:themeColor="text1"/>
        </w:rPr>
        <w:t>A</w:t>
      </w:r>
      <w:r w:rsidRPr="00A078AC">
        <w:rPr>
          <w:color w:val="000000" w:themeColor="text1"/>
        </w:rPr>
        <w:t>.</w:t>
      </w:r>
      <w:r w:rsidRPr="00A078AC">
        <w:rPr>
          <w:color w:val="000000" w:themeColor="text1"/>
        </w:rPr>
        <w:tab/>
        <w:t xml:space="preserve">Enhanced interactive dialogue on </w:t>
      </w:r>
      <w:r w:rsidR="00635C12" w:rsidRPr="00A078AC">
        <w:rPr>
          <w:color w:val="000000" w:themeColor="text1"/>
        </w:rPr>
        <w:t>the human rights situation in Eritrea</w:t>
      </w:r>
    </w:p>
    <w:p w14:paraId="024E29BC" w14:textId="1D0A1E5D" w:rsidR="009A3ED6" w:rsidRPr="0067399B" w:rsidRDefault="002B4AE4" w:rsidP="009A3ED6">
      <w:pPr>
        <w:pStyle w:val="SingleTxtG"/>
        <w:rPr>
          <w:color w:val="000000" w:themeColor="text1"/>
          <w:sz w:val="20"/>
          <w:szCs w:val="20"/>
        </w:rPr>
      </w:pPr>
      <w:r>
        <w:rPr>
          <w:color w:val="000000" w:themeColor="text1"/>
          <w:sz w:val="20"/>
          <w:szCs w:val="20"/>
        </w:rPr>
        <w:t>247</w:t>
      </w:r>
      <w:r w:rsidR="009A3ED6" w:rsidRPr="0067399B">
        <w:rPr>
          <w:color w:val="000000" w:themeColor="text1"/>
          <w:sz w:val="20"/>
          <w:szCs w:val="20"/>
        </w:rPr>
        <w:t>.</w:t>
      </w:r>
      <w:r w:rsidR="009A3ED6" w:rsidRPr="0067399B">
        <w:rPr>
          <w:color w:val="000000" w:themeColor="text1"/>
          <w:sz w:val="20"/>
          <w:szCs w:val="20"/>
        </w:rPr>
        <w:tab/>
        <w:t xml:space="preserve">At its </w:t>
      </w:r>
      <w:r w:rsidR="003F1329">
        <w:rPr>
          <w:color w:val="000000" w:themeColor="text1"/>
          <w:sz w:val="20"/>
          <w:szCs w:val="20"/>
        </w:rPr>
        <w:t>28</w:t>
      </w:r>
      <w:r w:rsidR="009A3ED6" w:rsidRPr="0067399B">
        <w:rPr>
          <w:color w:val="000000" w:themeColor="text1"/>
          <w:sz w:val="20"/>
          <w:szCs w:val="20"/>
        </w:rPr>
        <w:t xml:space="preserve">th </w:t>
      </w:r>
      <w:r w:rsidR="00635C12" w:rsidRPr="0067399B">
        <w:rPr>
          <w:color w:val="000000" w:themeColor="text1"/>
          <w:sz w:val="20"/>
          <w:szCs w:val="20"/>
        </w:rPr>
        <w:t>meeting</w:t>
      </w:r>
      <w:r w:rsidR="009A3ED6" w:rsidRPr="0067399B">
        <w:rPr>
          <w:color w:val="000000" w:themeColor="text1"/>
          <w:sz w:val="20"/>
          <w:szCs w:val="20"/>
        </w:rPr>
        <w:t xml:space="preserve">, on </w:t>
      </w:r>
      <w:r w:rsidR="00635C12" w:rsidRPr="0067399B">
        <w:rPr>
          <w:color w:val="000000" w:themeColor="text1"/>
          <w:sz w:val="20"/>
          <w:szCs w:val="20"/>
        </w:rPr>
        <w:t>1</w:t>
      </w:r>
      <w:r w:rsidR="003F1329">
        <w:rPr>
          <w:color w:val="000000" w:themeColor="text1"/>
          <w:sz w:val="20"/>
          <w:szCs w:val="20"/>
        </w:rPr>
        <w:t>1</w:t>
      </w:r>
      <w:r w:rsidR="00635C12" w:rsidRPr="0067399B">
        <w:rPr>
          <w:color w:val="000000" w:themeColor="text1"/>
          <w:sz w:val="20"/>
          <w:szCs w:val="20"/>
        </w:rPr>
        <w:t xml:space="preserve"> March </w:t>
      </w:r>
      <w:r w:rsidR="00141AFC">
        <w:rPr>
          <w:color w:val="000000" w:themeColor="text1"/>
          <w:sz w:val="20"/>
          <w:szCs w:val="20"/>
        </w:rPr>
        <w:t>2019</w:t>
      </w:r>
      <w:r w:rsidR="009A3ED6" w:rsidRPr="0067399B">
        <w:rPr>
          <w:color w:val="000000" w:themeColor="text1"/>
          <w:sz w:val="20"/>
          <w:szCs w:val="20"/>
        </w:rPr>
        <w:t xml:space="preserve">, pursuant to Human Rights Council </w:t>
      </w:r>
      <w:r w:rsidR="00C71D8A">
        <w:rPr>
          <w:color w:val="000000" w:themeColor="text1"/>
          <w:sz w:val="20"/>
          <w:szCs w:val="20"/>
        </w:rPr>
        <w:t>r</w:t>
      </w:r>
      <w:r w:rsidR="009A3ED6" w:rsidRPr="0067399B">
        <w:rPr>
          <w:color w:val="000000" w:themeColor="text1"/>
          <w:sz w:val="20"/>
          <w:szCs w:val="20"/>
        </w:rPr>
        <w:t xml:space="preserve">esolution </w:t>
      </w:r>
      <w:r w:rsidR="003F1329" w:rsidRPr="003F1329">
        <w:rPr>
          <w:color w:val="000000" w:themeColor="text1"/>
          <w:sz w:val="20"/>
          <w:szCs w:val="20"/>
        </w:rPr>
        <w:t>38/15</w:t>
      </w:r>
      <w:r w:rsidR="009A3ED6" w:rsidRPr="0067399B">
        <w:rPr>
          <w:color w:val="000000" w:themeColor="text1"/>
          <w:sz w:val="20"/>
          <w:szCs w:val="20"/>
        </w:rPr>
        <w:t xml:space="preserve">, the Council held an </w:t>
      </w:r>
      <w:r w:rsidR="00635C12" w:rsidRPr="0067399B">
        <w:rPr>
          <w:color w:val="000000" w:themeColor="text1"/>
          <w:sz w:val="20"/>
          <w:szCs w:val="20"/>
        </w:rPr>
        <w:t>enhanced interactive dialogue on the human rights situation in Eritrea</w:t>
      </w:r>
      <w:r w:rsidR="009A3ED6" w:rsidRPr="0067399B">
        <w:rPr>
          <w:color w:val="000000" w:themeColor="text1"/>
          <w:sz w:val="20"/>
          <w:szCs w:val="20"/>
        </w:rPr>
        <w:t>.</w:t>
      </w:r>
    </w:p>
    <w:p w14:paraId="1AB6A752" w14:textId="4751A24C" w:rsidR="002B317C" w:rsidRPr="0067399B" w:rsidRDefault="002B4AE4" w:rsidP="002B317C">
      <w:pPr>
        <w:pStyle w:val="SingleTxtG"/>
        <w:rPr>
          <w:color w:val="000000" w:themeColor="text1"/>
          <w:sz w:val="20"/>
          <w:szCs w:val="20"/>
        </w:rPr>
      </w:pPr>
      <w:r>
        <w:rPr>
          <w:color w:val="000000" w:themeColor="text1"/>
          <w:sz w:val="20"/>
          <w:szCs w:val="20"/>
        </w:rPr>
        <w:t>248</w:t>
      </w:r>
      <w:r w:rsidR="009A3ED6" w:rsidRPr="0067399B">
        <w:rPr>
          <w:color w:val="000000" w:themeColor="text1"/>
          <w:sz w:val="20"/>
          <w:szCs w:val="20"/>
        </w:rPr>
        <w:t>.</w:t>
      </w:r>
      <w:r w:rsidR="009A3ED6" w:rsidRPr="0067399B">
        <w:rPr>
          <w:color w:val="000000" w:themeColor="text1"/>
          <w:sz w:val="20"/>
          <w:szCs w:val="20"/>
        </w:rPr>
        <w:tab/>
      </w:r>
      <w:r w:rsidR="002B317C" w:rsidRPr="0067399B">
        <w:rPr>
          <w:rFonts w:eastAsia="Malgun Gothic"/>
          <w:color w:val="000000" w:themeColor="text1"/>
          <w:sz w:val="20"/>
          <w:szCs w:val="20"/>
        </w:rPr>
        <w:t xml:space="preserve">At the same meeting, </w:t>
      </w:r>
      <w:r w:rsidR="002D2AE3">
        <w:rPr>
          <w:rFonts w:eastAsia="Malgun Gothic"/>
          <w:color w:val="000000" w:themeColor="text1"/>
          <w:sz w:val="20"/>
          <w:szCs w:val="20"/>
        </w:rPr>
        <w:t xml:space="preserve">the </w:t>
      </w:r>
      <w:r w:rsidR="002B317C" w:rsidRPr="0067399B">
        <w:rPr>
          <w:color w:val="000000" w:themeColor="text1"/>
          <w:sz w:val="20"/>
          <w:szCs w:val="20"/>
        </w:rPr>
        <w:t>Deputy High Commissioner for Human Rights</w:t>
      </w:r>
      <w:r w:rsidR="009A3ED6" w:rsidRPr="0067399B">
        <w:rPr>
          <w:color w:val="000000" w:themeColor="text1"/>
          <w:sz w:val="20"/>
          <w:szCs w:val="20"/>
        </w:rPr>
        <w:t xml:space="preserve"> made an opening statement for the enhanced interactive dialogue, on behalf of the High Commissioner for Human Rights. </w:t>
      </w:r>
    </w:p>
    <w:p w14:paraId="649F0D6C" w14:textId="42A41831" w:rsidR="001D04D2" w:rsidRPr="0067399B" w:rsidRDefault="002B4AE4" w:rsidP="001D04D2">
      <w:pPr>
        <w:pStyle w:val="SingleTxtG"/>
        <w:rPr>
          <w:color w:val="000000" w:themeColor="text1"/>
          <w:sz w:val="20"/>
          <w:szCs w:val="20"/>
        </w:rPr>
      </w:pPr>
      <w:r>
        <w:rPr>
          <w:rFonts w:eastAsia="Malgun Gothic"/>
          <w:color w:val="000000" w:themeColor="text1"/>
          <w:sz w:val="20"/>
          <w:szCs w:val="20"/>
        </w:rPr>
        <w:t>249</w:t>
      </w:r>
      <w:r w:rsidR="009A3ED6" w:rsidRPr="0067399B">
        <w:rPr>
          <w:rFonts w:eastAsia="Malgun Gothic"/>
          <w:color w:val="000000" w:themeColor="text1"/>
          <w:sz w:val="20"/>
          <w:szCs w:val="20"/>
        </w:rPr>
        <w:t>.</w:t>
      </w:r>
      <w:r w:rsidR="009A3ED6" w:rsidRPr="0067399B">
        <w:rPr>
          <w:rFonts w:eastAsia="Malgun Gothic"/>
          <w:color w:val="000000" w:themeColor="text1"/>
          <w:sz w:val="20"/>
          <w:szCs w:val="20"/>
        </w:rPr>
        <w:tab/>
        <w:t>A</w:t>
      </w:r>
      <w:r w:rsidR="002B317C" w:rsidRPr="0067399B">
        <w:rPr>
          <w:rFonts w:eastAsia="Malgun Gothic"/>
          <w:color w:val="000000" w:themeColor="text1"/>
          <w:sz w:val="20"/>
          <w:szCs w:val="20"/>
        </w:rPr>
        <w:t>lso a</w:t>
      </w:r>
      <w:r w:rsidR="009A3ED6" w:rsidRPr="0067399B">
        <w:rPr>
          <w:rFonts w:eastAsia="Malgun Gothic"/>
          <w:color w:val="000000" w:themeColor="text1"/>
          <w:sz w:val="20"/>
          <w:szCs w:val="20"/>
        </w:rPr>
        <w:t>t the same meeting</w:t>
      </w:r>
      <w:r w:rsidR="001B7147" w:rsidRPr="0067399B">
        <w:rPr>
          <w:rFonts w:eastAsia="Malgun Gothic"/>
          <w:color w:val="000000" w:themeColor="text1"/>
          <w:sz w:val="20"/>
          <w:szCs w:val="20"/>
        </w:rPr>
        <w:t>,</w:t>
      </w:r>
      <w:r w:rsidR="009A3ED6" w:rsidRPr="0067399B">
        <w:rPr>
          <w:rFonts w:eastAsia="Malgun Gothic"/>
          <w:color w:val="000000" w:themeColor="text1"/>
          <w:sz w:val="20"/>
          <w:szCs w:val="20"/>
        </w:rPr>
        <w:t xml:space="preserve"> </w:t>
      </w:r>
      <w:r w:rsidR="002B317C" w:rsidRPr="0067399B">
        <w:rPr>
          <w:rFonts w:eastAsia="Malgun Gothic"/>
          <w:color w:val="000000" w:themeColor="text1"/>
          <w:sz w:val="20"/>
          <w:szCs w:val="20"/>
        </w:rPr>
        <w:t xml:space="preserve">the </w:t>
      </w:r>
      <w:r w:rsidR="009A3ED6" w:rsidRPr="0067399B">
        <w:rPr>
          <w:rFonts w:eastAsia="Malgun Gothic"/>
          <w:color w:val="000000" w:themeColor="text1"/>
          <w:sz w:val="20"/>
          <w:szCs w:val="20"/>
        </w:rPr>
        <w:t xml:space="preserve">following made their statements: </w:t>
      </w:r>
      <w:r w:rsidR="001D04D2">
        <w:rPr>
          <w:rFonts w:eastAsia="Malgun Gothic"/>
          <w:color w:val="000000" w:themeColor="text1"/>
          <w:sz w:val="20"/>
          <w:szCs w:val="20"/>
        </w:rPr>
        <w:t xml:space="preserve">the </w:t>
      </w:r>
      <w:r w:rsidR="003F1329" w:rsidRPr="003F1329">
        <w:rPr>
          <w:color w:val="000000" w:themeColor="text1"/>
          <w:sz w:val="20"/>
          <w:szCs w:val="20"/>
        </w:rPr>
        <w:t>Special Rapporteur on the situation of human rights in Eritrea</w:t>
      </w:r>
      <w:r w:rsidR="003F1329">
        <w:rPr>
          <w:color w:val="000000" w:themeColor="text1"/>
          <w:sz w:val="20"/>
          <w:szCs w:val="20"/>
        </w:rPr>
        <w:t xml:space="preserve">, </w:t>
      </w:r>
      <w:r w:rsidR="003F1329" w:rsidRPr="003F1329">
        <w:rPr>
          <w:color w:val="000000" w:themeColor="text1"/>
          <w:sz w:val="20"/>
          <w:szCs w:val="20"/>
        </w:rPr>
        <w:t xml:space="preserve">Daniela Kravetz; </w:t>
      </w:r>
      <w:r w:rsidR="001D04D2">
        <w:rPr>
          <w:color w:val="000000" w:themeColor="text1"/>
          <w:sz w:val="20"/>
          <w:szCs w:val="20"/>
        </w:rPr>
        <w:t xml:space="preserve">Ambassador and the Head of Delegation of Eritrea to the fortieth session of the Human Rights Council, </w:t>
      </w:r>
      <w:r w:rsidR="001D04D2" w:rsidRPr="001D04D2">
        <w:rPr>
          <w:color w:val="000000" w:themeColor="text1"/>
          <w:sz w:val="20"/>
          <w:szCs w:val="20"/>
        </w:rPr>
        <w:t>Tesfamicael Gerahtu</w:t>
      </w:r>
      <w:r w:rsidR="001D04D2">
        <w:rPr>
          <w:color w:val="000000" w:themeColor="text1"/>
          <w:sz w:val="20"/>
          <w:szCs w:val="20"/>
        </w:rPr>
        <w:t xml:space="preserve">; the founder of the organization </w:t>
      </w:r>
      <w:r w:rsidR="001D04D2" w:rsidRPr="001D04D2">
        <w:rPr>
          <w:color w:val="000000" w:themeColor="text1"/>
          <w:sz w:val="20"/>
          <w:szCs w:val="20"/>
        </w:rPr>
        <w:t>One Day Seyoum</w:t>
      </w:r>
      <w:r w:rsidR="001D04D2">
        <w:rPr>
          <w:color w:val="000000" w:themeColor="text1"/>
          <w:sz w:val="20"/>
          <w:szCs w:val="20"/>
        </w:rPr>
        <w:t xml:space="preserve">, </w:t>
      </w:r>
      <w:r w:rsidR="001D04D2" w:rsidRPr="001D04D2">
        <w:rPr>
          <w:color w:val="000000" w:themeColor="text1"/>
          <w:sz w:val="20"/>
          <w:szCs w:val="20"/>
        </w:rPr>
        <w:t xml:space="preserve">Vanessa </w:t>
      </w:r>
      <w:r w:rsidR="001D04D2" w:rsidRPr="009A36A7">
        <w:rPr>
          <w:color w:val="000000" w:themeColor="text1"/>
          <w:sz w:val="20"/>
          <w:szCs w:val="20"/>
        </w:rPr>
        <w:t>Berhe; the Head of Cooperation and International Relations of the National Union of Eritrean Students</w:t>
      </w:r>
      <w:r w:rsidR="009A36A7" w:rsidRPr="009A36A7">
        <w:rPr>
          <w:color w:val="000000" w:themeColor="text1"/>
          <w:sz w:val="20"/>
          <w:szCs w:val="20"/>
        </w:rPr>
        <w:t xml:space="preserve"> and Young People</w:t>
      </w:r>
      <w:r w:rsidR="001D04D2" w:rsidRPr="009A36A7">
        <w:rPr>
          <w:color w:val="000000" w:themeColor="text1"/>
          <w:sz w:val="20"/>
          <w:szCs w:val="20"/>
        </w:rPr>
        <w:t>, Daniel Eyasu.</w:t>
      </w:r>
    </w:p>
    <w:p w14:paraId="2AA65BC2" w14:textId="03C77441" w:rsidR="009A3ED6" w:rsidRPr="0067399B" w:rsidRDefault="002B4AE4" w:rsidP="009A3ED6">
      <w:pPr>
        <w:pStyle w:val="SingleTxtG"/>
        <w:rPr>
          <w:rFonts w:eastAsia="Malgun Gothic"/>
          <w:color w:val="000000" w:themeColor="text1"/>
          <w:sz w:val="20"/>
          <w:szCs w:val="20"/>
        </w:rPr>
      </w:pPr>
      <w:r>
        <w:rPr>
          <w:rFonts w:eastAsia="Malgun Gothic"/>
          <w:color w:val="000000" w:themeColor="text1"/>
          <w:sz w:val="20"/>
          <w:szCs w:val="20"/>
        </w:rPr>
        <w:t>250</w:t>
      </w:r>
      <w:r w:rsidR="009A3ED6" w:rsidRPr="0067399B">
        <w:rPr>
          <w:rFonts w:eastAsia="Malgun Gothic"/>
          <w:color w:val="000000" w:themeColor="text1"/>
          <w:sz w:val="20"/>
          <w:szCs w:val="20"/>
        </w:rPr>
        <w:t>.</w:t>
      </w:r>
      <w:r w:rsidR="009A3ED6" w:rsidRPr="0067399B">
        <w:rPr>
          <w:rFonts w:eastAsia="Malgun Gothic"/>
          <w:color w:val="000000" w:themeColor="text1"/>
          <w:sz w:val="20"/>
          <w:szCs w:val="20"/>
        </w:rPr>
        <w:tab/>
        <w:t>During the ensuing discussion</w:t>
      </w:r>
      <w:r w:rsidR="00A70E38">
        <w:rPr>
          <w:rFonts w:eastAsia="Malgun Gothic"/>
          <w:color w:val="000000" w:themeColor="text1"/>
          <w:sz w:val="20"/>
          <w:szCs w:val="20"/>
        </w:rPr>
        <w:t>,</w:t>
      </w:r>
      <w:r w:rsidR="009A3ED6" w:rsidRPr="0067399B">
        <w:rPr>
          <w:rFonts w:eastAsia="Malgun Gothic"/>
          <w:color w:val="000000" w:themeColor="text1"/>
          <w:sz w:val="20"/>
          <w:szCs w:val="20"/>
        </w:rPr>
        <w:t xml:space="preserve"> at the </w:t>
      </w:r>
      <w:r w:rsidR="002B317C" w:rsidRPr="0067399B">
        <w:rPr>
          <w:rFonts w:eastAsia="Malgun Gothic"/>
          <w:color w:val="000000" w:themeColor="text1"/>
          <w:sz w:val="20"/>
          <w:szCs w:val="20"/>
        </w:rPr>
        <w:t>same</w:t>
      </w:r>
      <w:r w:rsidR="009A3ED6" w:rsidRPr="0067399B">
        <w:rPr>
          <w:rFonts w:eastAsia="Malgun Gothic"/>
          <w:color w:val="000000" w:themeColor="text1"/>
          <w:sz w:val="20"/>
          <w:szCs w:val="20"/>
        </w:rPr>
        <w:t xml:space="preserve"> meeting, on </w:t>
      </w:r>
      <w:r w:rsidR="002B317C" w:rsidRPr="0067399B">
        <w:rPr>
          <w:rFonts w:eastAsia="Malgun Gothic"/>
          <w:color w:val="000000" w:themeColor="text1"/>
          <w:sz w:val="20"/>
          <w:szCs w:val="20"/>
        </w:rPr>
        <w:t>the same day</w:t>
      </w:r>
      <w:r w:rsidR="009A3ED6" w:rsidRPr="0067399B">
        <w:rPr>
          <w:rFonts w:eastAsia="Malgun Gothic"/>
          <w:color w:val="000000" w:themeColor="text1"/>
          <w:sz w:val="20"/>
          <w:szCs w:val="20"/>
        </w:rPr>
        <w:t>, the following made statements:</w:t>
      </w:r>
    </w:p>
    <w:p w14:paraId="4B1AF416" w14:textId="4D015EA3" w:rsidR="009A3ED6" w:rsidRPr="0067399B" w:rsidRDefault="009A3ED6" w:rsidP="00AF4882">
      <w:pPr>
        <w:pStyle w:val="SingleTxtG"/>
        <w:ind w:firstLine="567"/>
        <w:rPr>
          <w:rFonts w:eastAsia="Malgun Gothic"/>
          <w:color w:val="000000" w:themeColor="text1"/>
          <w:sz w:val="20"/>
          <w:szCs w:val="20"/>
        </w:rPr>
      </w:pPr>
      <w:r w:rsidRPr="0067399B">
        <w:rPr>
          <w:rFonts w:eastAsia="Malgun Gothic"/>
          <w:color w:val="000000" w:themeColor="text1"/>
          <w:sz w:val="20"/>
          <w:szCs w:val="20"/>
        </w:rPr>
        <w:t>(a)</w:t>
      </w:r>
      <w:r w:rsidRPr="0067399B">
        <w:rPr>
          <w:rFonts w:eastAsia="Malgun Gothic"/>
          <w:color w:val="000000" w:themeColor="text1"/>
          <w:sz w:val="20"/>
          <w:szCs w:val="20"/>
        </w:rPr>
        <w:tab/>
        <w:t xml:space="preserve">Representatives of </w:t>
      </w:r>
      <w:r w:rsidR="005D3E5F">
        <w:rPr>
          <w:rFonts w:eastAsia="Malgun Gothic"/>
          <w:color w:val="000000" w:themeColor="text1"/>
          <w:sz w:val="20"/>
          <w:szCs w:val="20"/>
        </w:rPr>
        <w:t>States Members</w:t>
      </w:r>
      <w:r w:rsidR="00AF4882" w:rsidRPr="0067399B">
        <w:rPr>
          <w:rFonts w:eastAsia="Malgun Gothic"/>
          <w:color w:val="000000" w:themeColor="text1"/>
          <w:sz w:val="20"/>
          <w:szCs w:val="20"/>
        </w:rPr>
        <w:t xml:space="preserve"> of the Human Rights Council: </w:t>
      </w:r>
      <w:r w:rsidR="003E07B3" w:rsidRPr="003E07B3">
        <w:rPr>
          <w:rFonts w:eastAsia="Malgun Gothic"/>
          <w:color w:val="000000" w:themeColor="text1"/>
          <w:sz w:val="20"/>
          <w:szCs w:val="20"/>
        </w:rPr>
        <w:t xml:space="preserve">Angola </w:t>
      </w:r>
      <w:r w:rsidR="003E07B3">
        <w:rPr>
          <w:rFonts w:eastAsia="Malgun Gothic"/>
          <w:color w:val="000000" w:themeColor="text1"/>
          <w:sz w:val="20"/>
          <w:szCs w:val="20"/>
        </w:rPr>
        <w:t>(</w:t>
      </w:r>
      <w:r w:rsidR="003E07B3" w:rsidRPr="003E07B3">
        <w:rPr>
          <w:rFonts w:eastAsia="Malgun Gothic"/>
          <w:color w:val="000000" w:themeColor="text1"/>
          <w:sz w:val="20"/>
          <w:szCs w:val="20"/>
        </w:rPr>
        <w:t xml:space="preserve">on behalf of the Group </w:t>
      </w:r>
      <w:r w:rsidR="003E07B3">
        <w:rPr>
          <w:rFonts w:eastAsia="Malgun Gothic"/>
          <w:color w:val="000000" w:themeColor="text1"/>
          <w:sz w:val="20"/>
          <w:szCs w:val="20"/>
        </w:rPr>
        <w:t xml:space="preserve">of </w:t>
      </w:r>
      <w:r w:rsidR="003E07B3" w:rsidRPr="003E07B3">
        <w:rPr>
          <w:rFonts w:eastAsia="Malgun Gothic"/>
          <w:color w:val="000000" w:themeColor="text1"/>
          <w:sz w:val="20"/>
          <w:szCs w:val="20"/>
        </w:rPr>
        <w:t>African</w:t>
      </w:r>
      <w:r w:rsidR="003E07B3">
        <w:rPr>
          <w:rFonts w:eastAsia="Malgun Gothic"/>
          <w:color w:val="000000" w:themeColor="text1"/>
          <w:sz w:val="20"/>
          <w:szCs w:val="20"/>
        </w:rPr>
        <w:t xml:space="preserve"> States), </w:t>
      </w:r>
      <w:r w:rsidR="003E07B3" w:rsidRPr="003E07B3">
        <w:rPr>
          <w:rFonts w:eastAsia="Malgun Gothic"/>
          <w:color w:val="000000" w:themeColor="text1"/>
          <w:sz w:val="20"/>
          <w:szCs w:val="20"/>
        </w:rPr>
        <w:t>Australia</w:t>
      </w:r>
      <w:r w:rsidR="00C973B6">
        <w:rPr>
          <w:rFonts w:eastAsia="Malgun Gothic"/>
          <w:color w:val="000000" w:themeColor="text1"/>
          <w:sz w:val="20"/>
          <w:szCs w:val="20"/>
        </w:rPr>
        <w:t>,</w:t>
      </w:r>
      <w:r w:rsidR="00C973B6" w:rsidRPr="00C973B6">
        <w:rPr>
          <w:rFonts w:eastAsia="Malgun Gothic"/>
          <w:color w:val="000000" w:themeColor="text1"/>
          <w:sz w:val="20"/>
          <w:szCs w:val="20"/>
        </w:rPr>
        <w:t xml:space="preserve"> </w:t>
      </w:r>
      <w:r w:rsidR="00C973B6" w:rsidRPr="003E07B3">
        <w:rPr>
          <w:rFonts w:eastAsia="Malgun Gothic"/>
          <w:color w:val="000000" w:themeColor="text1"/>
          <w:sz w:val="20"/>
          <w:szCs w:val="20"/>
        </w:rPr>
        <w:t>China</w:t>
      </w:r>
      <w:r w:rsidR="00C973B6">
        <w:rPr>
          <w:rFonts w:eastAsia="Malgun Gothic"/>
          <w:color w:val="000000" w:themeColor="text1"/>
          <w:sz w:val="20"/>
          <w:szCs w:val="20"/>
        </w:rPr>
        <w:t xml:space="preserve">, </w:t>
      </w:r>
      <w:r w:rsidR="00C973B6" w:rsidRPr="003E07B3">
        <w:rPr>
          <w:rFonts w:eastAsia="Malgun Gothic"/>
          <w:color w:val="000000" w:themeColor="text1"/>
          <w:sz w:val="20"/>
          <w:szCs w:val="20"/>
        </w:rPr>
        <w:t>Croatia</w:t>
      </w:r>
      <w:r w:rsidR="00C973B6">
        <w:rPr>
          <w:rFonts w:eastAsia="Malgun Gothic"/>
          <w:color w:val="000000" w:themeColor="text1"/>
          <w:sz w:val="20"/>
          <w:szCs w:val="20"/>
        </w:rPr>
        <w:t xml:space="preserve">, </w:t>
      </w:r>
      <w:r w:rsidR="00C973B6" w:rsidRPr="003E07B3">
        <w:rPr>
          <w:rFonts w:eastAsia="Malgun Gothic"/>
          <w:color w:val="000000" w:themeColor="text1"/>
          <w:sz w:val="20"/>
          <w:szCs w:val="20"/>
        </w:rPr>
        <w:t>Czech</w:t>
      </w:r>
      <w:r w:rsidR="00C973B6">
        <w:rPr>
          <w:rFonts w:eastAsia="Malgun Gothic"/>
          <w:color w:val="000000" w:themeColor="text1"/>
          <w:sz w:val="20"/>
          <w:szCs w:val="20"/>
        </w:rPr>
        <w:t xml:space="preserve">ia, </w:t>
      </w:r>
      <w:r w:rsidR="00C973B6" w:rsidRPr="003E07B3">
        <w:rPr>
          <w:rFonts w:eastAsia="Malgun Gothic"/>
          <w:color w:val="000000" w:themeColor="text1"/>
          <w:sz w:val="20"/>
          <w:szCs w:val="20"/>
        </w:rPr>
        <w:t>Hungary</w:t>
      </w:r>
      <w:r w:rsidR="00C973B6">
        <w:rPr>
          <w:rFonts w:eastAsia="Malgun Gothic"/>
          <w:color w:val="000000" w:themeColor="text1"/>
          <w:sz w:val="20"/>
          <w:szCs w:val="20"/>
        </w:rPr>
        <w:t xml:space="preserve">, </w:t>
      </w:r>
      <w:r w:rsidR="00C973B6" w:rsidRPr="003E07B3">
        <w:rPr>
          <w:rFonts w:eastAsia="Malgun Gothic"/>
          <w:color w:val="000000" w:themeColor="text1"/>
          <w:sz w:val="20"/>
          <w:szCs w:val="20"/>
        </w:rPr>
        <w:t>Iceland</w:t>
      </w:r>
      <w:r w:rsidR="00C973B6">
        <w:rPr>
          <w:rFonts w:eastAsia="Malgun Gothic"/>
          <w:color w:val="000000" w:themeColor="text1"/>
          <w:sz w:val="20"/>
          <w:szCs w:val="20"/>
        </w:rPr>
        <w:t xml:space="preserve">, </w:t>
      </w:r>
      <w:r w:rsidR="00C973B6" w:rsidRPr="003E07B3">
        <w:rPr>
          <w:rFonts w:eastAsia="Malgun Gothic"/>
          <w:color w:val="000000" w:themeColor="text1"/>
          <w:sz w:val="20"/>
          <w:szCs w:val="20"/>
        </w:rPr>
        <w:t>Saudi Arabia</w:t>
      </w:r>
      <w:r w:rsidR="00C973B6">
        <w:rPr>
          <w:rFonts w:eastAsia="Malgun Gothic"/>
          <w:color w:val="000000" w:themeColor="text1"/>
          <w:sz w:val="20"/>
          <w:szCs w:val="20"/>
        </w:rPr>
        <w:t xml:space="preserve">, </w:t>
      </w:r>
      <w:r w:rsidR="00C973B6" w:rsidRPr="003E07B3">
        <w:rPr>
          <w:rFonts w:eastAsia="Malgun Gothic"/>
          <w:color w:val="000000" w:themeColor="text1"/>
          <w:sz w:val="20"/>
          <w:szCs w:val="20"/>
        </w:rPr>
        <w:t>Somalia</w:t>
      </w:r>
      <w:r w:rsidR="00C973B6">
        <w:rPr>
          <w:rFonts w:eastAsia="Malgun Gothic"/>
          <w:color w:val="000000" w:themeColor="text1"/>
          <w:sz w:val="20"/>
          <w:szCs w:val="20"/>
        </w:rPr>
        <w:t xml:space="preserve">, </w:t>
      </w:r>
      <w:r w:rsidR="00C973B6" w:rsidRPr="003E07B3">
        <w:rPr>
          <w:rFonts w:eastAsia="Malgun Gothic"/>
          <w:color w:val="000000" w:themeColor="text1"/>
          <w:sz w:val="20"/>
          <w:szCs w:val="20"/>
        </w:rPr>
        <w:t>United Kingdom of Great Britain and Northern Ireland</w:t>
      </w:r>
      <w:r w:rsidRPr="0067399B">
        <w:rPr>
          <w:rFonts w:eastAsia="Malgun Gothic"/>
          <w:color w:val="000000" w:themeColor="text1"/>
          <w:sz w:val="20"/>
          <w:szCs w:val="20"/>
        </w:rPr>
        <w:t>;</w:t>
      </w:r>
    </w:p>
    <w:p w14:paraId="6412C093" w14:textId="2C6BA59B" w:rsidR="009A3ED6" w:rsidRPr="0067399B" w:rsidRDefault="009A3ED6" w:rsidP="00AF4882">
      <w:pPr>
        <w:pStyle w:val="SingleTxtG"/>
        <w:ind w:firstLine="567"/>
        <w:rPr>
          <w:rFonts w:eastAsia="Malgun Gothic"/>
          <w:color w:val="000000" w:themeColor="text1"/>
          <w:sz w:val="20"/>
          <w:szCs w:val="20"/>
        </w:rPr>
      </w:pPr>
      <w:r w:rsidRPr="0067399B">
        <w:rPr>
          <w:rFonts w:eastAsia="Malgun Gothic"/>
          <w:color w:val="000000" w:themeColor="text1"/>
          <w:sz w:val="20"/>
          <w:szCs w:val="20"/>
        </w:rPr>
        <w:t>(b)</w:t>
      </w:r>
      <w:r w:rsidRPr="0067399B">
        <w:rPr>
          <w:rFonts w:eastAsia="Malgun Gothic"/>
          <w:color w:val="000000" w:themeColor="text1"/>
          <w:sz w:val="20"/>
          <w:szCs w:val="20"/>
        </w:rPr>
        <w:tab/>
        <w:t>Representatives of observer States:</w:t>
      </w:r>
      <w:r w:rsidR="000F6A28" w:rsidRPr="0067399B">
        <w:rPr>
          <w:rFonts w:eastAsia="Malgun Gothic"/>
          <w:color w:val="000000" w:themeColor="text1"/>
          <w:sz w:val="20"/>
          <w:szCs w:val="20"/>
        </w:rPr>
        <w:t xml:space="preserve"> </w:t>
      </w:r>
      <w:r w:rsidR="00C973B6" w:rsidRPr="003E07B3">
        <w:rPr>
          <w:rFonts w:eastAsia="Malgun Gothic"/>
          <w:color w:val="000000" w:themeColor="text1"/>
          <w:sz w:val="20"/>
          <w:szCs w:val="20"/>
        </w:rPr>
        <w:t>Algeria</w:t>
      </w:r>
      <w:r w:rsidR="00C973B6">
        <w:rPr>
          <w:rFonts w:eastAsia="Malgun Gothic"/>
          <w:color w:val="000000" w:themeColor="text1"/>
          <w:sz w:val="20"/>
          <w:szCs w:val="20"/>
        </w:rPr>
        <w:t xml:space="preserve">, </w:t>
      </w:r>
      <w:r w:rsidR="00C973B6" w:rsidRPr="003E07B3">
        <w:rPr>
          <w:rFonts w:eastAsia="Malgun Gothic"/>
          <w:color w:val="000000" w:themeColor="text1"/>
          <w:sz w:val="20"/>
          <w:szCs w:val="20"/>
        </w:rPr>
        <w:t>Belgium</w:t>
      </w:r>
      <w:r w:rsidR="00C973B6">
        <w:rPr>
          <w:rFonts w:eastAsia="Malgun Gothic"/>
          <w:color w:val="000000" w:themeColor="text1"/>
          <w:sz w:val="20"/>
          <w:szCs w:val="20"/>
        </w:rPr>
        <w:t xml:space="preserve">, </w:t>
      </w:r>
      <w:r w:rsidR="00C973B6" w:rsidRPr="003E07B3">
        <w:rPr>
          <w:rFonts w:eastAsia="Malgun Gothic"/>
          <w:color w:val="000000" w:themeColor="text1"/>
          <w:sz w:val="20"/>
          <w:szCs w:val="20"/>
        </w:rPr>
        <w:t>Djibouti</w:t>
      </w:r>
      <w:r w:rsidR="00C973B6">
        <w:rPr>
          <w:rFonts w:eastAsia="Malgun Gothic"/>
          <w:color w:val="000000" w:themeColor="text1"/>
          <w:sz w:val="20"/>
          <w:szCs w:val="20"/>
        </w:rPr>
        <w:t xml:space="preserve">, </w:t>
      </w:r>
      <w:r w:rsidR="00C973B6" w:rsidRPr="003E07B3">
        <w:rPr>
          <w:rFonts w:eastAsia="Malgun Gothic"/>
          <w:color w:val="000000" w:themeColor="text1"/>
          <w:sz w:val="20"/>
          <w:szCs w:val="20"/>
        </w:rPr>
        <w:t>Ethiopia</w:t>
      </w:r>
      <w:r w:rsidR="00C973B6">
        <w:rPr>
          <w:rFonts w:eastAsia="Malgun Gothic"/>
          <w:color w:val="000000" w:themeColor="text1"/>
          <w:sz w:val="20"/>
          <w:szCs w:val="20"/>
        </w:rPr>
        <w:t xml:space="preserve">, </w:t>
      </w:r>
      <w:r w:rsidR="00C973B6" w:rsidRPr="003E07B3">
        <w:rPr>
          <w:rFonts w:eastAsia="Malgun Gothic"/>
          <w:color w:val="000000" w:themeColor="text1"/>
          <w:sz w:val="20"/>
          <w:szCs w:val="20"/>
        </w:rPr>
        <w:t>France</w:t>
      </w:r>
      <w:r w:rsidR="00C973B6">
        <w:rPr>
          <w:rFonts w:eastAsia="Malgun Gothic"/>
          <w:color w:val="000000" w:themeColor="text1"/>
          <w:sz w:val="20"/>
          <w:szCs w:val="20"/>
        </w:rPr>
        <w:t xml:space="preserve">, </w:t>
      </w:r>
      <w:r w:rsidR="00C973B6" w:rsidRPr="003E07B3">
        <w:rPr>
          <w:rFonts w:eastAsia="Malgun Gothic"/>
          <w:color w:val="000000" w:themeColor="text1"/>
          <w:sz w:val="20"/>
          <w:szCs w:val="20"/>
        </w:rPr>
        <w:t>Germany</w:t>
      </w:r>
      <w:r w:rsidR="00C973B6">
        <w:rPr>
          <w:rFonts w:eastAsia="Malgun Gothic"/>
          <w:color w:val="000000" w:themeColor="text1"/>
          <w:sz w:val="20"/>
          <w:szCs w:val="20"/>
        </w:rPr>
        <w:t xml:space="preserve">, </w:t>
      </w:r>
      <w:r w:rsidR="00C973B6" w:rsidRPr="003E07B3">
        <w:rPr>
          <w:rFonts w:eastAsia="Malgun Gothic"/>
          <w:color w:val="000000" w:themeColor="text1"/>
          <w:sz w:val="20"/>
          <w:szCs w:val="20"/>
        </w:rPr>
        <w:t>Greece</w:t>
      </w:r>
      <w:r w:rsidR="00C973B6">
        <w:rPr>
          <w:rFonts w:eastAsia="Malgun Gothic"/>
          <w:color w:val="000000" w:themeColor="text1"/>
          <w:sz w:val="20"/>
          <w:szCs w:val="20"/>
        </w:rPr>
        <w:t xml:space="preserve">, </w:t>
      </w:r>
      <w:r w:rsidR="00C973B6" w:rsidRPr="003E07B3">
        <w:rPr>
          <w:rFonts w:eastAsia="Malgun Gothic"/>
          <w:color w:val="000000" w:themeColor="text1"/>
          <w:sz w:val="20"/>
          <w:szCs w:val="20"/>
        </w:rPr>
        <w:t>Iran (Islamic Republic of)</w:t>
      </w:r>
      <w:r w:rsidR="00C973B6">
        <w:rPr>
          <w:rFonts w:eastAsia="Malgun Gothic"/>
          <w:color w:val="000000" w:themeColor="text1"/>
          <w:sz w:val="20"/>
          <w:szCs w:val="20"/>
        </w:rPr>
        <w:t xml:space="preserve">, </w:t>
      </w:r>
      <w:r w:rsidR="00C973B6" w:rsidRPr="003E07B3">
        <w:rPr>
          <w:rFonts w:eastAsia="Malgun Gothic"/>
          <w:color w:val="000000" w:themeColor="text1"/>
          <w:sz w:val="20"/>
          <w:szCs w:val="20"/>
        </w:rPr>
        <w:t>Luxembourg</w:t>
      </w:r>
      <w:r w:rsidR="00C973B6">
        <w:rPr>
          <w:rFonts w:eastAsia="Malgun Gothic"/>
          <w:color w:val="000000" w:themeColor="text1"/>
          <w:sz w:val="20"/>
          <w:szCs w:val="20"/>
        </w:rPr>
        <w:t xml:space="preserve">, </w:t>
      </w:r>
      <w:r w:rsidR="00C973B6" w:rsidRPr="003E07B3">
        <w:rPr>
          <w:rFonts w:eastAsia="Malgun Gothic"/>
          <w:color w:val="000000" w:themeColor="text1"/>
          <w:sz w:val="20"/>
          <w:szCs w:val="20"/>
        </w:rPr>
        <w:t>Netherlands</w:t>
      </w:r>
      <w:r w:rsidR="00C973B6">
        <w:rPr>
          <w:rFonts w:eastAsia="Malgun Gothic"/>
          <w:color w:val="000000" w:themeColor="text1"/>
          <w:sz w:val="20"/>
          <w:szCs w:val="20"/>
        </w:rPr>
        <w:t xml:space="preserve">, </w:t>
      </w:r>
      <w:r w:rsidR="00C973B6" w:rsidRPr="003E07B3">
        <w:rPr>
          <w:rFonts w:eastAsia="Malgun Gothic"/>
          <w:color w:val="000000" w:themeColor="text1"/>
          <w:sz w:val="20"/>
          <w:szCs w:val="20"/>
        </w:rPr>
        <w:t>Norway</w:t>
      </w:r>
      <w:r w:rsidR="00C973B6">
        <w:rPr>
          <w:rFonts w:eastAsia="Malgun Gothic"/>
          <w:color w:val="000000" w:themeColor="text1"/>
          <w:sz w:val="20"/>
          <w:szCs w:val="20"/>
        </w:rPr>
        <w:t xml:space="preserve">, </w:t>
      </w:r>
      <w:r w:rsidR="00C973B6" w:rsidRPr="003E07B3">
        <w:rPr>
          <w:rFonts w:eastAsia="Malgun Gothic"/>
          <w:color w:val="000000" w:themeColor="text1"/>
          <w:sz w:val="20"/>
          <w:szCs w:val="20"/>
        </w:rPr>
        <w:t>Russian Federation</w:t>
      </w:r>
      <w:r w:rsidR="00C973B6">
        <w:rPr>
          <w:rFonts w:eastAsia="Malgun Gothic"/>
          <w:color w:val="000000" w:themeColor="text1"/>
          <w:sz w:val="20"/>
          <w:szCs w:val="20"/>
        </w:rPr>
        <w:t xml:space="preserve">, </w:t>
      </w:r>
      <w:r w:rsidR="00C973B6" w:rsidRPr="003E07B3">
        <w:rPr>
          <w:rFonts w:eastAsia="Malgun Gothic"/>
          <w:color w:val="000000" w:themeColor="text1"/>
          <w:sz w:val="20"/>
          <w:szCs w:val="20"/>
        </w:rPr>
        <w:t>Sudan</w:t>
      </w:r>
      <w:r w:rsidR="00C973B6">
        <w:rPr>
          <w:rFonts w:eastAsia="Malgun Gothic"/>
          <w:color w:val="000000" w:themeColor="text1"/>
          <w:sz w:val="20"/>
          <w:szCs w:val="20"/>
        </w:rPr>
        <w:t xml:space="preserve">, </w:t>
      </w:r>
      <w:r w:rsidR="00C973B6" w:rsidRPr="003E07B3">
        <w:rPr>
          <w:rFonts w:eastAsia="Malgun Gothic"/>
          <w:color w:val="000000" w:themeColor="text1"/>
          <w:sz w:val="20"/>
          <w:szCs w:val="20"/>
        </w:rPr>
        <w:t>Switzerland</w:t>
      </w:r>
      <w:r w:rsidR="00C973B6">
        <w:rPr>
          <w:rFonts w:eastAsia="Malgun Gothic"/>
          <w:color w:val="000000" w:themeColor="text1"/>
          <w:sz w:val="20"/>
          <w:szCs w:val="20"/>
        </w:rPr>
        <w:t xml:space="preserve">, </w:t>
      </w:r>
      <w:r w:rsidR="00C973B6" w:rsidRPr="003E07B3">
        <w:rPr>
          <w:rFonts w:eastAsia="Malgun Gothic"/>
          <w:color w:val="000000" w:themeColor="text1"/>
          <w:sz w:val="20"/>
          <w:szCs w:val="20"/>
        </w:rPr>
        <w:t>Venezuela (Bolivarian Republic of)</w:t>
      </w:r>
      <w:r w:rsidRPr="0067399B">
        <w:rPr>
          <w:rFonts w:eastAsia="Malgun Gothic"/>
          <w:color w:val="000000" w:themeColor="text1"/>
          <w:sz w:val="20"/>
          <w:szCs w:val="20"/>
        </w:rPr>
        <w:t>;</w:t>
      </w:r>
    </w:p>
    <w:p w14:paraId="5388C0AE" w14:textId="1E612608" w:rsidR="009A3ED6" w:rsidRPr="0067399B" w:rsidRDefault="009A3ED6" w:rsidP="00AF4882">
      <w:pPr>
        <w:pStyle w:val="SingleTxtG"/>
        <w:ind w:firstLine="567"/>
        <w:rPr>
          <w:rFonts w:eastAsia="Malgun Gothic"/>
          <w:color w:val="000000" w:themeColor="text1"/>
          <w:sz w:val="20"/>
          <w:szCs w:val="20"/>
        </w:rPr>
      </w:pPr>
      <w:r w:rsidRPr="0067399B">
        <w:rPr>
          <w:rFonts w:eastAsia="Malgun Gothic"/>
          <w:color w:val="000000" w:themeColor="text1"/>
          <w:sz w:val="20"/>
          <w:szCs w:val="20"/>
        </w:rPr>
        <w:t>(</w:t>
      </w:r>
      <w:r w:rsidR="00AF4882" w:rsidRPr="0067399B">
        <w:rPr>
          <w:rFonts w:eastAsia="Malgun Gothic"/>
          <w:color w:val="000000" w:themeColor="text1"/>
          <w:sz w:val="20"/>
          <w:szCs w:val="20"/>
        </w:rPr>
        <w:t>c</w:t>
      </w:r>
      <w:r w:rsidR="00901E97" w:rsidRPr="0067399B">
        <w:rPr>
          <w:rFonts w:eastAsia="Malgun Gothic"/>
          <w:color w:val="000000" w:themeColor="text1"/>
          <w:sz w:val="20"/>
          <w:szCs w:val="20"/>
        </w:rPr>
        <w:t>)</w:t>
      </w:r>
      <w:r w:rsidR="00901E97" w:rsidRPr="0067399B">
        <w:rPr>
          <w:rFonts w:eastAsia="Malgun Gothic"/>
          <w:color w:val="000000" w:themeColor="text1"/>
          <w:sz w:val="20"/>
          <w:szCs w:val="20"/>
        </w:rPr>
        <w:tab/>
        <w:t>Observer</w:t>
      </w:r>
      <w:r w:rsidRPr="0067399B">
        <w:rPr>
          <w:rFonts w:eastAsia="Malgun Gothic"/>
          <w:color w:val="000000" w:themeColor="text1"/>
          <w:sz w:val="20"/>
          <w:szCs w:val="20"/>
        </w:rPr>
        <w:t xml:space="preserve"> for </w:t>
      </w:r>
      <w:r w:rsidR="00901E97" w:rsidRPr="0067399B">
        <w:rPr>
          <w:rFonts w:eastAsia="Malgun Gothic"/>
          <w:color w:val="000000" w:themeColor="text1"/>
          <w:sz w:val="20"/>
          <w:szCs w:val="20"/>
        </w:rPr>
        <w:t>an intergovernmental organization</w:t>
      </w:r>
      <w:r w:rsidRPr="0067399B">
        <w:rPr>
          <w:rFonts w:eastAsia="Malgun Gothic"/>
          <w:color w:val="000000" w:themeColor="text1"/>
          <w:sz w:val="20"/>
          <w:szCs w:val="20"/>
        </w:rPr>
        <w:t>: European Union;</w:t>
      </w:r>
    </w:p>
    <w:p w14:paraId="0BC1BA6C" w14:textId="5E27AFC8" w:rsidR="009A3ED6" w:rsidRPr="0067399B" w:rsidRDefault="00AF4882" w:rsidP="00AF4882">
      <w:pPr>
        <w:pStyle w:val="SingleTxtG"/>
        <w:ind w:firstLine="567"/>
        <w:rPr>
          <w:rFonts w:eastAsia="Malgun Gothic"/>
          <w:color w:val="000000" w:themeColor="text1"/>
          <w:sz w:val="20"/>
          <w:szCs w:val="20"/>
        </w:rPr>
      </w:pPr>
      <w:r w:rsidRPr="0067399B">
        <w:rPr>
          <w:rFonts w:eastAsia="Malgun Gothic"/>
          <w:color w:val="000000" w:themeColor="text1"/>
          <w:sz w:val="20"/>
          <w:szCs w:val="20"/>
        </w:rPr>
        <w:t>(d</w:t>
      </w:r>
      <w:r w:rsidR="009A3ED6" w:rsidRPr="0067399B">
        <w:rPr>
          <w:rFonts w:eastAsia="Malgun Gothic"/>
          <w:color w:val="000000" w:themeColor="text1"/>
          <w:sz w:val="20"/>
          <w:szCs w:val="20"/>
        </w:rPr>
        <w:t>)</w:t>
      </w:r>
      <w:r w:rsidR="009A3ED6" w:rsidRPr="0067399B">
        <w:rPr>
          <w:rFonts w:eastAsia="Malgun Gothic"/>
          <w:color w:val="000000" w:themeColor="text1"/>
          <w:sz w:val="20"/>
          <w:szCs w:val="20"/>
        </w:rPr>
        <w:tab/>
        <w:t xml:space="preserve">Observers for non-governmental organizations: </w:t>
      </w:r>
      <w:r w:rsidR="00C80499" w:rsidRPr="00C80499">
        <w:rPr>
          <w:rFonts w:eastAsia="Malgun Gothic"/>
          <w:color w:val="000000" w:themeColor="text1"/>
          <w:sz w:val="20"/>
          <w:szCs w:val="20"/>
        </w:rPr>
        <w:t>Advocates for Human Rights</w:t>
      </w:r>
      <w:r w:rsidR="00C80499">
        <w:rPr>
          <w:rFonts w:eastAsia="Malgun Gothic"/>
          <w:color w:val="000000" w:themeColor="text1"/>
          <w:sz w:val="20"/>
          <w:szCs w:val="20"/>
        </w:rPr>
        <w:t xml:space="preserve">; </w:t>
      </w:r>
      <w:r w:rsidR="00C80499" w:rsidRPr="00C80499">
        <w:rPr>
          <w:rFonts w:eastAsia="Malgun Gothic"/>
          <w:color w:val="000000" w:themeColor="text1"/>
          <w:sz w:val="20"/>
          <w:szCs w:val="20"/>
        </w:rPr>
        <w:t>Christian Solidarity Worldwide</w:t>
      </w:r>
      <w:r w:rsidR="00C80499">
        <w:rPr>
          <w:rFonts w:eastAsia="Malgun Gothic"/>
          <w:color w:val="000000" w:themeColor="text1"/>
          <w:sz w:val="20"/>
          <w:szCs w:val="20"/>
        </w:rPr>
        <w:t xml:space="preserve">; </w:t>
      </w:r>
      <w:r w:rsidR="00C80499" w:rsidRPr="00C80499">
        <w:rPr>
          <w:rFonts w:eastAsia="Malgun Gothic"/>
          <w:color w:val="000000" w:themeColor="text1"/>
          <w:sz w:val="20"/>
          <w:szCs w:val="20"/>
        </w:rPr>
        <w:t>East and Horn of Africa Human Rights Defenders Project</w:t>
      </w:r>
      <w:r w:rsidR="00C80499">
        <w:rPr>
          <w:rFonts w:eastAsia="Malgun Gothic"/>
          <w:color w:val="000000" w:themeColor="text1"/>
          <w:sz w:val="20"/>
          <w:szCs w:val="20"/>
        </w:rPr>
        <w:t xml:space="preserve">; </w:t>
      </w:r>
      <w:r w:rsidR="00C80499" w:rsidRPr="00C80499">
        <w:rPr>
          <w:rFonts w:eastAsia="Malgun Gothic"/>
          <w:color w:val="000000" w:themeColor="text1"/>
          <w:sz w:val="20"/>
          <w:szCs w:val="20"/>
        </w:rPr>
        <w:t>Europe External Programme for Africa</w:t>
      </w:r>
      <w:r w:rsidR="00C80499">
        <w:rPr>
          <w:rFonts w:eastAsia="Malgun Gothic"/>
          <w:color w:val="000000" w:themeColor="text1"/>
          <w:sz w:val="20"/>
          <w:szCs w:val="20"/>
        </w:rPr>
        <w:t xml:space="preserve">; </w:t>
      </w:r>
      <w:r w:rsidR="00C80499" w:rsidRPr="00C80499">
        <w:rPr>
          <w:rFonts w:eastAsia="Malgun Gothic"/>
          <w:color w:val="000000" w:themeColor="text1"/>
          <w:sz w:val="20"/>
          <w:szCs w:val="20"/>
        </w:rPr>
        <w:t>Human Rights Watch</w:t>
      </w:r>
      <w:r w:rsidR="00C80499">
        <w:rPr>
          <w:rFonts w:eastAsia="Malgun Gothic"/>
          <w:color w:val="000000" w:themeColor="text1"/>
          <w:sz w:val="20"/>
          <w:szCs w:val="20"/>
        </w:rPr>
        <w:t xml:space="preserve">; </w:t>
      </w:r>
      <w:r w:rsidR="00C80499" w:rsidRPr="00C80499">
        <w:rPr>
          <w:rFonts w:eastAsia="Malgun Gothic"/>
          <w:color w:val="000000" w:themeColor="text1"/>
          <w:sz w:val="20"/>
          <w:szCs w:val="20"/>
        </w:rPr>
        <w:t>International Fellowship of Reconciliation</w:t>
      </w:r>
      <w:r w:rsidR="00C80499">
        <w:rPr>
          <w:rFonts w:eastAsia="Malgun Gothic"/>
          <w:color w:val="000000" w:themeColor="text1"/>
          <w:sz w:val="20"/>
          <w:szCs w:val="20"/>
        </w:rPr>
        <w:t xml:space="preserve">; </w:t>
      </w:r>
      <w:r w:rsidR="00C80499" w:rsidRPr="00C80499">
        <w:rPr>
          <w:rFonts w:eastAsia="Malgun Gothic"/>
          <w:color w:val="000000" w:themeColor="text1"/>
          <w:sz w:val="20"/>
          <w:szCs w:val="20"/>
        </w:rPr>
        <w:t>Jubilee Campaign</w:t>
      </w:r>
      <w:r w:rsidR="00C80499">
        <w:rPr>
          <w:rFonts w:eastAsia="Malgun Gothic"/>
          <w:color w:val="000000" w:themeColor="text1"/>
          <w:sz w:val="20"/>
          <w:szCs w:val="20"/>
        </w:rPr>
        <w:t xml:space="preserve">; </w:t>
      </w:r>
      <w:r w:rsidR="00C80499" w:rsidRPr="00C80499">
        <w:rPr>
          <w:rFonts w:eastAsia="Malgun Gothic"/>
          <w:color w:val="000000" w:themeColor="text1"/>
          <w:sz w:val="20"/>
          <w:szCs w:val="20"/>
        </w:rPr>
        <w:t>Maat for Peace, Development and Human Rights Association</w:t>
      </w:r>
      <w:r w:rsidR="009A3ED6" w:rsidRPr="0067399B">
        <w:rPr>
          <w:rFonts w:eastAsia="Malgun Gothic"/>
          <w:color w:val="000000" w:themeColor="text1"/>
          <w:sz w:val="20"/>
          <w:szCs w:val="20"/>
        </w:rPr>
        <w:t>.</w:t>
      </w:r>
    </w:p>
    <w:p w14:paraId="1137B5B5" w14:textId="4A97B479" w:rsidR="003E07B3" w:rsidRDefault="002B4AE4" w:rsidP="009A3ED6">
      <w:pPr>
        <w:pStyle w:val="SingleTxtG"/>
        <w:rPr>
          <w:color w:val="000000" w:themeColor="text1"/>
          <w:sz w:val="20"/>
          <w:szCs w:val="20"/>
        </w:rPr>
      </w:pPr>
      <w:r>
        <w:rPr>
          <w:rFonts w:eastAsia="Malgun Gothic"/>
          <w:color w:val="000000" w:themeColor="text1"/>
          <w:sz w:val="20"/>
          <w:szCs w:val="20"/>
        </w:rPr>
        <w:t>251</w:t>
      </w:r>
      <w:r w:rsidR="009A3ED6" w:rsidRPr="0067399B">
        <w:rPr>
          <w:rFonts w:eastAsia="Malgun Gothic"/>
          <w:color w:val="000000" w:themeColor="text1"/>
          <w:sz w:val="20"/>
          <w:szCs w:val="20"/>
        </w:rPr>
        <w:t>.</w:t>
      </w:r>
      <w:r w:rsidR="00022BB9" w:rsidRPr="0067399B">
        <w:rPr>
          <w:rFonts w:eastAsia="Malgun Gothic"/>
          <w:color w:val="000000" w:themeColor="text1"/>
          <w:sz w:val="20"/>
          <w:szCs w:val="20"/>
        </w:rPr>
        <w:tab/>
      </w:r>
      <w:r w:rsidR="009A3ED6" w:rsidRPr="0067399B">
        <w:rPr>
          <w:rFonts w:eastAsia="Malgun Gothic"/>
          <w:color w:val="000000" w:themeColor="text1"/>
          <w:sz w:val="20"/>
          <w:szCs w:val="20"/>
        </w:rPr>
        <w:t xml:space="preserve">At </w:t>
      </w:r>
      <w:r w:rsidR="002B317C" w:rsidRPr="0067399B">
        <w:rPr>
          <w:rFonts w:eastAsia="Malgun Gothic"/>
          <w:color w:val="000000" w:themeColor="text1"/>
          <w:sz w:val="20"/>
          <w:szCs w:val="20"/>
        </w:rPr>
        <w:t>the</w:t>
      </w:r>
      <w:r w:rsidR="009A3ED6" w:rsidRPr="0067399B">
        <w:rPr>
          <w:rFonts w:eastAsia="Malgun Gothic"/>
          <w:color w:val="000000" w:themeColor="text1"/>
          <w:sz w:val="20"/>
          <w:szCs w:val="20"/>
        </w:rPr>
        <w:t xml:space="preserve"> </w:t>
      </w:r>
      <w:r w:rsidR="002B317C" w:rsidRPr="0067399B">
        <w:rPr>
          <w:rFonts w:eastAsia="Malgun Gothic"/>
          <w:color w:val="000000" w:themeColor="text1"/>
          <w:sz w:val="20"/>
          <w:szCs w:val="20"/>
        </w:rPr>
        <w:t>same meeting</w:t>
      </w:r>
      <w:r w:rsidR="009A3ED6" w:rsidRPr="0067399B">
        <w:rPr>
          <w:rFonts w:eastAsia="Malgun Gothic"/>
          <w:color w:val="000000" w:themeColor="text1"/>
          <w:sz w:val="20"/>
          <w:szCs w:val="20"/>
        </w:rPr>
        <w:t xml:space="preserve">, on </w:t>
      </w:r>
      <w:r w:rsidR="002B317C" w:rsidRPr="0067399B">
        <w:rPr>
          <w:rFonts w:eastAsia="Malgun Gothic"/>
          <w:color w:val="000000" w:themeColor="text1"/>
          <w:sz w:val="20"/>
          <w:szCs w:val="20"/>
        </w:rPr>
        <w:t>the same day</w:t>
      </w:r>
      <w:r w:rsidR="009A3ED6" w:rsidRPr="0067399B">
        <w:rPr>
          <w:rFonts w:eastAsia="Malgun Gothic"/>
          <w:color w:val="000000" w:themeColor="text1"/>
          <w:sz w:val="20"/>
          <w:szCs w:val="20"/>
        </w:rPr>
        <w:t>, the presenters answered</w:t>
      </w:r>
      <w:r w:rsidR="009A3ED6" w:rsidRPr="0067399B">
        <w:rPr>
          <w:color w:val="000000" w:themeColor="text1"/>
          <w:sz w:val="20"/>
          <w:szCs w:val="20"/>
        </w:rPr>
        <w:t xml:space="preserve"> questions and made concluding remarks.</w:t>
      </w:r>
    </w:p>
    <w:p w14:paraId="3955C32C" w14:textId="4409C428" w:rsidR="00EB13FD" w:rsidRPr="00C16037" w:rsidRDefault="00EB13FD" w:rsidP="00EB13FD">
      <w:pPr>
        <w:pStyle w:val="H1G"/>
        <w:rPr>
          <w:color w:val="000000" w:themeColor="text1"/>
        </w:rPr>
      </w:pPr>
      <w:r w:rsidRPr="00C16037">
        <w:rPr>
          <w:color w:val="000000" w:themeColor="text1"/>
        </w:rPr>
        <w:tab/>
      </w:r>
      <w:r w:rsidR="00B168DF">
        <w:rPr>
          <w:color w:val="000000" w:themeColor="text1"/>
        </w:rPr>
        <w:t>B</w:t>
      </w:r>
      <w:r w:rsidRPr="00A078AC">
        <w:rPr>
          <w:color w:val="000000" w:themeColor="text1"/>
        </w:rPr>
        <w:t>.</w:t>
      </w:r>
      <w:r w:rsidRPr="00A078AC">
        <w:rPr>
          <w:color w:val="000000" w:themeColor="text1"/>
        </w:rPr>
        <w:tab/>
        <w:t xml:space="preserve">Interactive dialogue with the Commission </w:t>
      </w:r>
      <w:r w:rsidRPr="00A078AC">
        <w:t>on Human Rights in</w:t>
      </w:r>
      <w:r w:rsidRPr="00A078AC">
        <w:rPr>
          <w:color w:val="000000" w:themeColor="text1"/>
        </w:rPr>
        <w:t xml:space="preserve"> South Sudan</w:t>
      </w:r>
    </w:p>
    <w:p w14:paraId="2A2D521E" w14:textId="345EB5EF" w:rsidR="00EB13FD" w:rsidRPr="0067399B" w:rsidRDefault="002B4AE4" w:rsidP="00EB13FD">
      <w:pPr>
        <w:pStyle w:val="SingleTxtG"/>
        <w:tabs>
          <w:tab w:val="left" w:pos="1701"/>
        </w:tabs>
        <w:rPr>
          <w:color w:val="000000" w:themeColor="text1"/>
          <w:sz w:val="20"/>
          <w:szCs w:val="20"/>
        </w:rPr>
      </w:pPr>
      <w:r>
        <w:rPr>
          <w:color w:val="000000" w:themeColor="text1"/>
          <w:sz w:val="20"/>
          <w:szCs w:val="20"/>
        </w:rPr>
        <w:t>252</w:t>
      </w:r>
      <w:r w:rsidR="00EB13FD" w:rsidRPr="0067399B">
        <w:rPr>
          <w:color w:val="000000" w:themeColor="text1"/>
          <w:sz w:val="20"/>
          <w:szCs w:val="20"/>
        </w:rPr>
        <w:t>.</w:t>
      </w:r>
      <w:r w:rsidR="00EB13FD" w:rsidRPr="0067399B">
        <w:rPr>
          <w:color w:val="000000" w:themeColor="text1"/>
          <w:sz w:val="20"/>
          <w:szCs w:val="20"/>
        </w:rPr>
        <w:tab/>
        <w:t xml:space="preserve">At the </w:t>
      </w:r>
      <w:r w:rsidR="00A70E38">
        <w:rPr>
          <w:color w:val="000000" w:themeColor="text1"/>
          <w:sz w:val="20"/>
          <w:szCs w:val="20"/>
        </w:rPr>
        <w:t>29th</w:t>
      </w:r>
      <w:r w:rsidR="00EB13FD" w:rsidRPr="0067399B">
        <w:rPr>
          <w:color w:val="000000" w:themeColor="text1"/>
          <w:sz w:val="20"/>
          <w:szCs w:val="20"/>
        </w:rPr>
        <w:t xml:space="preserve"> meeting, on 1</w:t>
      </w:r>
      <w:r w:rsidR="00A70E38">
        <w:rPr>
          <w:color w:val="000000" w:themeColor="text1"/>
          <w:sz w:val="20"/>
          <w:szCs w:val="20"/>
        </w:rPr>
        <w:t>2</w:t>
      </w:r>
      <w:r w:rsidR="00EB13FD" w:rsidRPr="0067399B">
        <w:rPr>
          <w:color w:val="000000" w:themeColor="text1"/>
          <w:sz w:val="20"/>
          <w:szCs w:val="20"/>
        </w:rPr>
        <w:t xml:space="preserve"> March </w:t>
      </w:r>
      <w:r w:rsidR="00EB13FD">
        <w:rPr>
          <w:color w:val="000000" w:themeColor="text1"/>
          <w:sz w:val="20"/>
          <w:szCs w:val="20"/>
        </w:rPr>
        <w:t>2019</w:t>
      </w:r>
      <w:r w:rsidR="00EB13FD" w:rsidRPr="0067399B">
        <w:rPr>
          <w:color w:val="000000" w:themeColor="text1"/>
          <w:sz w:val="20"/>
          <w:szCs w:val="20"/>
        </w:rPr>
        <w:t xml:space="preserve">, </w:t>
      </w:r>
      <w:r w:rsidR="00EF7B6D">
        <w:rPr>
          <w:color w:val="000000" w:themeColor="text1"/>
          <w:sz w:val="20"/>
          <w:szCs w:val="20"/>
        </w:rPr>
        <w:t xml:space="preserve">the </w:t>
      </w:r>
      <w:r w:rsidR="00EB13FD" w:rsidRPr="0067399B">
        <w:rPr>
          <w:color w:val="000000" w:themeColor="text1"/>
          <w:sz w:val="20"/>
          <w:szCs w:val="20"/>
        </w:rPr>
        <w:t>Chairperson of the Commission for Human Rights in South Sudan, Yasmin Sooka, presented the Commission</w:t>
      </w:r>
      <w:r w:rsidR="00D72627">
        <w:rPr>
          <w:color w:val="000000" w:themeColor="text1"/>
          <w:sz w:val="20"/>
          <w:szCs w:val="20"/>
        </w:rPr>
        <w:t>’</w:t>
      </w:r>
      <w:r w:rsidR="00EB13FD" w:rsidRPr="0067399B">
        <w:rPr>
          <w:color w:val="000000" w:themeColor="text1"/>
          <w:sz w:val="20"/>
          <w:szCs w:val="20"/>
        </w:rPr>
        <w:t>s report (A/HRC/</w:t>
      </w:r>
      <w:r w:rsidR="00A70E38">
        <w:rPr>
          <w:color w:val="000000" w:themeColor="text1"/>
          <w:sz w:val="20"/>
          <w:szCs w:val="20"/>
        </w:rPr>
        <w:t>40/69</w:t>
      </w:r>
      <w:r w:rsidR="00EB13FD" w:rsidRPr="0067399B">
        <w:rPr>
          <w:color w:val="000000" w:themeColor="text1"/>
          <w:sz w:val="20"/>
          <w:szCs w:val="20"/>
        </w:rPr>
        <w:t>).</w:t>
      </w:r>
    </w:p>
    <w:p w14:paraId="45577909" w14:textId="7B64E728" w:rsidR="005103AA" w:rsidRDefault="002B4AE4" w:rsidP="005103AA">
      <w:pPr>
        <w:pStyle w:val="SingleTxtG"/>
        <w:rPr>
          <w:rFonts w:eastAsia="Malgun Gothic"/>
          <w:color w:val="000000" w:themeColor="text1"/>
          <w:sz w:val="20"/>
          <w:szCs w:val="20"/>
        </w:rPr>
      </w:pPr>
      <w:r>
        <w:rPr>
          <w:rFonts w:eastAsia="Malgun Gothic"/>
          <w:color w:val="000000" w:themeColor="text1"/>
          <w:sz w:val="20"/>
          <w:szCs w:val="20"/>
        </w:rPr>
        <w:t>253</w:t>
      </w:r>
      <w:r w:rsidR="005103AA" w:rsidRPr="0067399B">
        <w:rPr>
          <w:rFonts w:eastAsia="Malgun Gothic"/>
          <w:color w:val="000000" w:themeColor="text1"/>
          <w:sz w:val="20"/>
          <w:szCs w:val="20"/>
        </w:rPr>
        <w:t>.</w:t>
      </w:r>
      <w:r w:rsidR="005103AA" w:rsidRPr="0067399B">
        <w:rPr>
          <w:rFonts w:eastAsia="Malgun Gothic"/>
          <w:color w:val="000000" w:themeColor="text1"/>
          <w:sz w:val="20"/>
          <w:szCs w:val="20"/>
        </w:rPr>
        <w:tab/>
        <w:t xml:space="preserve">At the same meeting, the </w:t>
      </w:r>
      <w:r w:rsidR="005103AA">
        <w:rPr>
          <w:rFonts w:eastAsia="Malgun Gothic"/>
          <w:color w:val="000000" w:themeColor="text1"/>
          <w:sz w:val="20"/>
          <w:szCs w:val="20"/>
        </w:rPr>
        <w:t>m</w:t>
      </w:r>
      <w:r w:rsidR="005103AA" w:rsidRPr="005103AA">
        <w:rPr>
          <w:rFonts w:eastAsia="Malgun Gothic"/>
          <w:color w:val="000000" w:themeColor="text1"/>
          <w:sz w:val="20"/>
          <w:szCs w:val="20"/>
        </w:rPr>
        <w:t>ember</w:t>
      </w:r>
      <w:r w:rsidR="005103AA">
        <w:rPr>
          <w:rFonts w:eastAsia="Malgun Gothic"/>
          <w:color w:val="000000" w:themeColor="text1"/>
          <w:sz w:val="20"/>
          <w:szCs w:val="20"/>
        </w:rPr>
        <w:t>s</w:t>
      </w:r>
      <w:r w:rsidR="005103AA" w:rsidRPr="005103AA">
        <w:rPr>
          <w:rFonts w:eastAsia="Malgun Gothic"/>
          <w:color w:val="000000" w:themeColor="text1"/>
          <w:sz w:val="20"/>
          <w:szCs w:val="20"/>
        </w:rPr>
        <w:t xml:space="preserve"> of the Commission on Human Rights in South Sudan</w:t>
      </w:r>
      <w:r w:rsidR="005103AA">
        <w:rPr>
          <w:rFonts w:eastAsia="Malgun Gothic"/>
          <w:color w:val="000000" w:themeColor="text1"/>
          <w:sz w:val="20"/>
          <w:szCs w:val="20"/>
        </w:rPr>
        <w:t xml:space="preserve">, Barney Afako and </w:t>
      </w:r>
      <w:r w:rsidR="005103AA" w:rsidRPr="005103AA">
        <w:rPr>
          <w:rFonts w:eastAsia="Malgun Gothic"/>
          <w:color w:val="000000" w:themeColor="text1"/>
          <w:sz w:val="20"/>
          <w:szCs w:val="20"/>
        </w:rPr>
        <w:t>Andrew Clapham</w:t>
      </w:r>
      <w:r w:rsidR="005103AA">
        <w:rPr>
          <w:rFonts w:eastAsia="Malgun Gothic"/>
          <w:color w:val="000000" w:themeColor="text1"/>
          <w:sz w:val="20"/>
          <w:szCs w:val="20"/>
        </w:rPr>
        <w:t xml:space="preserve"> made statements.</w:t>
      </w:r>
    </w:p>
    <w:p w14:paraId="79B7F4DF" w14:textId="2D60BBE2" w:rsidR="005103AA" w:rsidRPr="0067399B" w:rsidRDefault="002B4AE4" w:rsidP="005103AA">
      <w:pPr>
        <w:pStyle w:val="SingleTxtG"/>
        <w:rPr>
          <w:color w:val="000000" w:themeColor="text1"/>
          <w:sz w:val="20"/>
          <w:szCs w:val="20"/>
        </w:rPr>
      </w:pPr>
      <w:r>
        <w:rPr>
          <w:color w:val="000000" w:themeColor="text1"/>
          <w:sz w:val="20"/>
          <w:szCs w:val="20"/>
        </w:rPr>
        <w:t>254</w:t>
      </w:r>
      <w:r w:rsidR="005103AA" w:rsidRPr="0067399B">
        <w:rPr>
          <w:color w:val="000000" w:themeColor="text1"/>
          <w:sz w:val="20"/>
          <w:szCs w:val="20"/>
        </w:rPr>
        <w:t>.</w:t>
      </w:r>
      <w:r w:rsidR="005103AA" w:rsidRPr="0067399B">
        <w:rPr>
          <w:color w:val="000000" w:themeColor="text1"/>
          <w:sz w:val="20"/>
          <w:szCs w:val="20"/>
        </w:rPr>
        <w:tab/>
      </w:r>
      <w:r w:rsidR="005103AA">
        <w:rPr>
          <w:color w:val="000000" w:themeColor="text1"/>
          <w:sz w:val="20"/>
          <w:szCs w:val="20"/>
        </w:rPr>
        <w:t>Also at the same</w:t>
      </w:r>
      <w:r w:rsidR="005103AA" w:rsidRPr="0067399B">
        <w:rPr>
          <w:color w:val="000000" w:themeColor="text1"/>
          <w:sz w:val="20"/>
          <w:szCs w:val="20"/>
        </w:rPr>
        <w:t xml:space="preserve"> meeting, the representative of </w:t>
      </w:r>
      <w:r w:rsidR="005103AA">
        <w:rPr>
          <w:color w:val="000000" w:themeColor="text1"/>
          <w:sz w:val="20"/>
          <w:szCs w:val="20"/>
        </w:rPr>
        <w:t>South Sudan</w:t>
      </w:r>
      <w:r w:rsidR="005103AA" w:rsidRPr="0067399B">
        <w:rPr>
          <w:color w:val="000000" w:themeColor="text1"/>
          <w:sz w:val="20"/>
          <w:szCs w:val="20"/>
        </w:rPr>
        <w:t xml:space="preserve"> made a statement as the State concerned.</w:t>
      </w:r>
    </w:p>
    <w:p w14:paraId="40AECBFC" w14:textId="5C47E6A1" w:rsidR="00EB13FD" w:rsidRPr="0067399B" w:rsidRDefault="002B4AE4" w:rsidP="00EB13FD">
      <w:pPr>
        <w:pStyle w:val="SingleTxtG"/>
        <w:tabs>
          <w:tab w:val="left" w:pos="1701"/>
        </w:tabs>
        <w:rPr>
          <w:color w:val="000000" w:themeColor="text1"/>
          <w:sz w:val="20"/>
          <w:szCs w:val="20"/>
        </w:rPr>
      </w:pPr>
      <w:r>
        <w:rPr>
          <w:color w:val="000000" w:themeColor="text1"/>
          <w:sz w:val="20"/>
          <w:szCs w:val="20"/>
        </w:rPr>
        <w:t>255</w:t>
      </w:r>
      <w:r w:rsidR="00EB13FD" w:rsidRPr="0067399B">
        <w:rPr>
          <w:color w:val="000000" w:themeColor="text1"/>
          <w:sz w:val="20"/>
          <w:szCs w:val="20"/>
        </w:rPr>
        <w:t>.</w:t>
      </w:r>
      <w:r w:rsidR="00EB13FD" w:rsidRPr="0067399B">
        <w:rPr>
          <w:color w:val="000000" w:themeColor="text1"/>
          <w:sz w:val="20"/>
          <w:szCs w:val="20"/>
        </w:rPr>
        <w:tab/>
        <w:t xml:space="preserve">During the ensuing interactive dialogue, at the same meeting, on the same day, the following made statements and asked </w:t>
      </w:r>
      <w:r w:rsidR="00EF7B6D">
        <w:rPr>
          <w:color w:val="000000" w:themeColor="text1"/>
          <w:sz w:val="20"/>
          <w:szCs w:val="20"/>
        </w:rPr>
        <w:t xml:space="preserve">the </w:t>
      </w:r>
      <w:r w:rsidR="00EB13FD" w:rsidRPr="0067399B">
        <w:rPr>
          <w:color w:val="000000" w:themeColor="text1"/>
          <w:sz w:val="20"/>
          <w:szCs w:val="20"/>
        </w:rPr>
        <w:t xml:space="preserve">Chairperson </w:t>
      </w:r>
      <w:r w:rsidR="00345E62">
        <w:rPr>
          <w:color w:val="000000" w:themeColor="text1"/>
          <w:sz w:val="20"/>
          <w:szCs w:val="20"/>
        </w:rPr>
        <w:t xml:space="preserve">and the members </w:t>
      </w:r>
      <w:r w:rsidR="00EB13FD" w:rsidRPr="0067399B">
        <w:rPr>
          <w:color w:val="000000" w:themeColor="text1"/>
          <w:sz w:val="20"/>
          <w:szCs w:val="20"/>
        </w:rPr>
        <w:t>of the Commission questions:</w:t>
      </w:r>
    </w:p>
    <w:p w14:paraId="0CD458DE" w14:textId="1A1A247D" w:rsidR="00EB13FD" w:rsidRPr="0067399B" w:rsidRDefault="00EB13FD" w:rsidP="00EB13FD">
      <w:pPr>
        <w:pStyle w:val="SingleTxtG"/>
        <w:ind w:firstLine="567"/>
        <w:rPr>
          <w:color w:val="000000" w:themeColor="text1"/>
          <w:sz w:val="20"/>
          <w:szCs w:val="20"/>
        </w:rPr>
      </w:pPr>
      <w:r w:rsidRPr="0067399B">
        <w:rPr>
          <w:color w:val="000000" w:themeColor="text1"/>
          <w:sz w:val="20"/>
          <w:szCs w:val="20"/>
        </w:rPr>
        <w:lastRenderedPageBreak/>
        <w:t>(a)</w:t>
      </w:r>
      <w:r w:rsidRPr="0067399B">
        <w:rPr>
          <w:color w:val="000000" w:themeColor="text1"/>
          <w:sz w:val="20"/>
          <w:szCs w:val="20"/>
        </w:rPr>
        <w:tab/>
        <w:t xml:space="preserve">Representatives of </w:t>
      </w:r>
      <w:r>
        <w:rPr>
          <w:color w:val="000000" w:themeColor="text1"/>
          <w:sz w:val="20"/>
          <w:szCs w:val="20"/>
        </w:rPr>
        <w:t>States Members</w:t>
      </w:r>
      <w:r w:rsidRPr="0067399B">
        <w:rPr>
          <w:color w:val="000000" w:themeColor="text1"/>
          <w:sz w:val="20"/>
          <w:szCs w:val="20"/>
        </w:rPr>
        <w:t xml:space="preserve"> of the Human Rights Council: </w:t>
      </w:r>
      <w:r w:rsidR="00900210" w:rsidRPr="00900210">
        <w:rPr>
          <w:color w:val="000000" w:themeColor="text1"/>
          <w:sz w:val="20"/>
          <w:szCs w:val="20"/>
        </w:rPr>
        <w:t>Australia</w:t>
      </w:r>
      <w:r w:rsidR="00900210">
        <w:rPr>
          <w:color w:val="000000" w:themeColor="text1"/>
          <w:sz w:val="20"/>
          <w:szCs w:val="20"/>
        </w:rPr>
        <w:t xml:space="preserve">, </w:t>
      </w:r>
      <w:r w:rsidR="00900210" w:rsidRPr="00900210">
        <w:rPr>
          <w:color w:val="000000" w:themeColor="text1"/>
          <w:sz w:val="20"/>
          <w:szCs w:val="20"/>
        </w:rPr>
        <w:t>Bulgaria</w:t>
      </w:r>
      <w:r w:rsidR="00900210">
        <w:rPr>
          <w:color w:val="000000" w:themeColor="text1"/>
          <w:sz w:val="20"/>
          <w:szCs w:val="20"/>
        </w:rPr>
        <w:t xml:space="preserve">, </w:t>
      </w:r>
      <w:r w:rsidR="00900210" w:rsidRPr="00900210">
        <w:rPr>
          <w:color w:val="000000" w:themeColor="text1"/>
          <w:sz w:val="20"/>
          <w:szCs w:val="20"/>
        </w:rPr>
        <w:t>China</w:t>
      </w:r>
      <w:r w:rsidR="00900210">
        <w:rPr>
          <w:color w:val="000000" w:themeColor="text1"/>
          <w:sz w:val="20"/>
          <w:szCs w:val="20"/>
        </w:rPr>
        <w:t xml:space="preserve">, </w:t>
      </w:r>
      <w:r w:rsidR="00900210" w:rsidRPr="00900210">
        <w:rPr>
          <w:color w:val="000000" w:themeColor="text1"/>
          <w:sz w:val="20"/>
          <w:szCs w:val="20"/>
        </w:rPr>
        <w:t>Denmark</w:t>
      </w:r>
      <w:r w:rsidR="00900210">
        <w:rPr>
          <w:color w:val="000000" w:themeColor="text1"/>
          <w:sz w:val="20"/>
          <w:szCs w:val="20"/>
        </w:rPr>
        <w:t xml:space="preserve">, </w:t>
      </w:r>
      <w:r w:rsidR="00900210" w:rsidRPr="00900210">
        <w:rPr>
          <w:color w:val="000000" w:themeColor="text1"/>
          <w:sz w:val="20"/>
          <w:szCs w:val="20"/>
        </w:rPr>
        <w:t>Iceland</w:t>
      </w:r>
      <w:r w:rsidR="00900210">
        <w:rPr>
          <w:color w:val="000000" w:themeColor="text1"/>
          <w:sz w:val="20"/>
          <w:szCs w:val="20"/>
        </w:rPr>
        <w:t xml:space="preserve">, </w:t>
      </w:r>
      <w:r w:rsidR="00900210" w:rsidRPr="00900210">
        <w:rPr>
          <w:color w:val="000000" w:themeColor="text1"/>
          <w:sz w:val="20"/>
          <w:szCs w:val="20"/>
        </w:rPr>
        <w:t>Japan</w:t>
      </w:r>
      <w:r w:rsidR="00900210">
        <w:rPr>
          <w:color w:val="000000" w:themeColor="text1"/>
          <w:sz w:val="20"/>
          <w:szCs w:val="20"/>
        </w:rPr>
        <w:t xml:space="preserve">, </w:t>
      </w:r>
      <w:r w:rsidR="00900210" w:rsidRPr="00900210">
        <w:rPr>
          <w:color w:val="000000" w:themeColor="text1"/>
          <w:sz w:val="20"/>
          <w:szCs w:val="20"/>
        </w:rPr>
        <w:t>Slovakia</w:t>
      </w:r>
      <w:r w:rsidR="00900210">
        <w:rPr>
          <w:color w:val="000000" w:themeColor="text1"/>
          <w:sz w:val="20"/>
          <w:szCs w:val="20"/>
        </w:rPr>
        <w:t xml:space="preserve">, </w:t>
      </w:r>
      <w:r w:rsidR="00900210" w:rsidRPr="00900210">
        <w:rPr>
          <w:color w:val="000000" w:themeColor="text1"/>
          <w:sz w:val="20"/>
          <w:szCs w:val="20"/>
        </w:rPr>
        <w:t>Spain</w:t>
      </w:r>
      <w:r w:rsidR="00900210">
        <w:rPr>
          <w:color w:val="000000" w:themeColor="text1"/>
          <w:sz w:val="20"/>
          <w:szCs w:val="20"/>
        </w:rPr>
        <w:t xml:space="preserve">, </w:t>
      </w:r>
      <w:r w:rsidR="00900210" w:rsidRPr="00900210">
        <w:rPr>
          <w:color w:val="000000" w:themeColor="text1"/>
          <w:sz w:val="20"/>
          <w:szCs w:val="20"/>
        </w:rPr>
        <w:t>Ukraine</w:t>
      </w:r>
      <w:r w:rsidR="00900210">
        <w:rPr>
          <w:color w:val="000000" w:themeColor="text1"/>
          <w:sz w:val="20"/>
          <w:szCs w:val="20"/>
        </w:rPr>
        <w:t xml:space="preserve">, </w:t>
      </w:r>
      <w:r w:rsidR="00900210" w:rsidRPr="00900210">
        <w:rPr>
          <w:color w:val="000000" w:themeColor="text1"/>
          <w:sz w:val="20"/>
          <w:szCs w:val="20"/>
        </w:rPr>
        <w:t>United Kingdom of Great Britain and Northern Ireland</w:t>
      </w:r>
      <w:r w:rsidRPr="0067399B">
        <w:rPr>
          <w:color w:val="000000" w:themeColor="text1"/>
          <w:sz w:val="20"/>
          <w:szCs w:val="20"/>
        </w:rPr>
        <w:t>;</w:t>
      </w:r>
    </w:p>
    <w:p w14:paraId="4961F9B7" w14:textId="42D8C78C" w:rsidR="00EB13FD" w:rsidRPr="0067399B" w:rsidRDefault="00EB13FD" w:rsidP="00EB13FD">
      <w:pPr>
        <w:pStyle w:val="SingleTxtG"/>
        <w:ind w:firstLine="567"/>
        <w:rPr>
          <w:color w:val="000000" w:themeColor="text1"/>
          <w:sz w:val="20"/>
          <w:szCs w:val="20"/>
        </w:rPr>
      </w:pPr>
      <w:r w:rsidRPr="0067399B">
        <w:rPr>
          <w:color w:val="000000" w:themeColor="text1"/>
          <w:sz w:val="20"/>
          <w:szCs w:val="20"/>
        </w:rPr>
        <w:t>(b)</w:t>
      </w:r>
      <w:r w:rsidRPr="0067399B">
        <w:rPr>
          <w:color w:val="000000" w:themeColor="text1"/>
          <w:sz w:val="20"/>
          <w:szCs w:val="20"/>
        </w:rPr>
        <w:tab/>
        <w:t>Repr</w:t>
      </w:r>
      <w:r w:rsidR="00900210">
        <w:rPr>
          <w:color w:val="000000" w:themeColor="text1"/>
          <w:sz w:val="20"/>
          <w:szCs w:val="20"/>
        </w:rPr>
        <w:t xml:space="preserve">esentatives of observer States: </w:t>
      </w:r>
      <w:r w:rsidR="00900210" w:rsidRPr="00900210">
        <w:rPr>
          <w:color w:val="000000" w:themeColor="text1"/>
          <w:sz w:val="20"/>
          <w:szCs w:val="20"/>
        </w:rPr>
        <w:t>Albania</w:t>
      </w:r>
      <w:r w:rsidR="00900210">
        <w:rPr>
          <w:color w:val="000000" w:themeColor="text1"/>
          <w:sz w:val="20"/>
          <w:szCs w:val="20"/>
        </w:rPr>
        <w:t xml:space="preserve">, </w:t>
      </w:r>
      <w:r w:rsidR="00900210" w:rsidRPr="00900210">
        <w:rPr>
          <w:color w:val="000000" w:themeColor="text1"/>
          <w:sz w:val="20"/>
          <w:szCs w:val="20"/>
        </w:rPr>
        <w:t>Belgium</w:t>
      </w:r>
      <w:r w:rsidR="00900210">
        <w:rPr>
          <w:color w:val="000000" w:themeColor="text1"/>
          <w:sz w:val="20"/>
          <w:szCs w:val="20"/>
        </w:rPr>
        <w:t xml:space="preserve">, </w:t>
      </w:r>
      <w:r w:rsidR="00900210" w:rsidRPr="00900210">
        <w:rPr>
          <w:color w:val="000000" w:themeColor="text1"/>
          <w:sz w:val="20"/>
          <w:szCs w:val="20"/>
        </w:rPr>
        <w:t>Botswana</w:t>
      </w:r>
      <w:r w:rsidR="00900210">
        <w:rPr>
          <w:color w:val="000000" w:themeColor="text1"/>
          <w:sz w:val="20"/>
          <w:szCs w:val="20"/>
        </w:rPr>
        <w:t xml:space="preserve">, </w:t>
      </w:r>
      <w:r w:rsidR="00900210" w:rsidRPr="00900210">
        <w:rPr>
          <w:color w:val="000000" w:themeColor="text1"/>
          <w:sz w:val="20"/>
          <w:szCs w:val="20"/>
        </w:rPr>
        <w:t>France</w:t>
      </w:r>
      <w:r w:rsidR="00900210">
        <w:rPr>
          <w:color w:val="000000" w:themeColor="text1"/>
          <w:sz w:val="20"/>
          <w:szCs w:val="20"/>
        </w:rPr>
        <w:t xml:space="preserve">, </w:t>
      </w:r>
      <w:r w:rsidR="00900210" w:rsidRPr="00900210">
        <w:rPr>
          <w:color w:val="000000" w:themeColor="text1"/>
          <w:sz w:val="20"/>
          <w:szCs w:val="20"/>
        </w:rPr>
        <w:t>Germany</w:t>
      </w:r>
      <w:r w:rsidR="00900210">
        <w:rPr>
          <w:color w:val="000000" w:themeColor="text1"/>
          <w:sz w:val="20"/>
          <w:szCs w:val="20"/>
        </w:rPr>
        <w:t xml:space="preserve">, </w:t>
      </w:r>
      <w:r w:rsidR="00900210" w:rsidRPr="00900210">
        <w:rPr>
          <w:color w:val="000000" w:themeColor="text1"/>
          <w:sz w:val="20"/>
          <w:szCs w:val="20"/>
        </w:rPr>
        <w:t>Ireland</w:t>
      </w:r>
      <w:r w:rsidR="00900210">
        <w:rPr>
          <w:color w:val="000000" w:themeColor="text1"/>
          <w:sz w:val="20"/>
          <w:szCs w:val="20"/>
        </w:rPr>
        <w:t xml:space="preserve">, </w:t>
      </w:r>
      <w:r w:rsidR="00900210" w:rsidRPr="00900210">
        <w:rPr>
          <w:color w:val="000000" w:themeColor="text1"/>
          <w:sz w:val="20"/>
          <w:szCs w:val="20"/>
        </w:rPr>
        <w:t>Netherlands</w:t>
      </w:r>
      <w:r w:rsidR="00900210">
        <w:rPr>
          <w:color w:val="000000" w:themeColor="text1"/>
          <w:sz w:val="20"/>
          <w:szCs w:val="20"/>
        </w:rPr>
        <w:t xml:space="preserve">, </w:t>
      </w:r>
      <w:r w:rsidR="00900210" w:rsidRPr="00900210">
        <w:rPr>
          <w:color w:val="000000" w:themeColor="text1"/>
          <w:sz w:val="20"/>
          <w:szCs w:val="20"/>
        </w:rPr>
        <w:t>New Zealand</w:t>
      </w:r>
      <w:r w:rsidR="00900210">
        <w:rPr>
          <w:color w:val="000000" w:themeColor="text1"/>
          <w:sz w:val="20"/>
          <w:szCs w:val="20"/>
        </w:rPr>
        <w:t xml:space="preserve">, </w:t>
      </w:r>
      <w:r w:rsidR="00900210" w:rsidRPr="00900210">
        <w:rPr>
          <w:color w:val="000000" w:themeColor="text1"/>
          <w:sz w:val="20"/>
          <w:szCs w:val="20"/>
        </w:rPr>
        <w:t>Norway</w:t>
      </w:r>
      <w:r w:rsidR="00900210">
        <w:rPr>
          <w:color w:val="000000" w:themeColor="text1"/>
          <w:sz w:val="20"/>
          <w:szCs w:val="20"/>
        </w:rPr>
        <w:t xml:space="preserve">, </w:t>
      </w:r>
      <w:r w:rsidR="00900210" w:rsidRPr="00900210">
        <w:rPr>
          <w:color w:val="000000" w:themeColor="text1"/>
          <w:sz w:val="20"/>
          <w:szCs w:val="20"/>
        </w:rPr>
        <w:t>Russian Federation</w:t>
      </w:r>
      <w:r w:rsidR="00900210">
        <w:rPr>
          <w:color w:val="000000" w:themeColor="text1"/>
          <w:sz w:val="20"/>
          <w:szCs w:val="20"/>
        </w:rPr>
        <w:t xml:space="preserve">, </w:t>
      </w:r>
      <w:r w:rsidR="00900210" w:rsidRPr="00900210">
        <w:rPr>
          <w:color w:val="000000" w:themeColor="text1"/>
          <w:sz w:val="20"/>
          <w:szCs w:val="20"/>
        </w:rPr>
        <w:t>Sudan</w:t>
      </w:r>
      <w:r w:rsidR="00900210">
        <w:rPr>
          <w:color w:val="000000" w:themeColor="text1"/>
          <w:sz w:val="20"/>
          <w:szCs w:val="20"/>
        </w:rPr>
        <w:t xml:space="preserve">, </w:t>
      </w:r>
      <w:r w:rsidR="00900210" w:rsidRPr="00900210">
        <w:rPr>
          <w:color w:val="000000" w:themeColor="text1"/>
          <w:sz w:val="20"/>
          <w:szCs w:val="20"/>
        </w:rPr>
        <w:t>Switzerland</w:t>
      </w:r>
      <w:r w:rsidRPr="0067399B">
        <w:rPr>
          <w:color w:val="000000" w:themeColor="text1"/>
          <w:sz w:val="20"/>
          <w:szCs w:val="20"/>
        </w:rPr>
        <w:t>;</w:t>
      </w:r>
    </w:p>
    <w:p w14:paraId="4EB5BCBE" w14:textId="77777777" w:rsidR="00EB13FD" w:rsidRPr="0067399B" w:rsidRDefault="00EB13FD" w:rsidP="00EB13FD">
      <w:pPr>
        <w:pStyle w:val="SingleTxtG"/>
        <w:ind w:firstLine="567"/>
        <w:rPr>
          <w:color w:val="000000" w:themeColor="text1"/>
          <w:sz w:val="20"/>
          <w:szCs w:val="20"/>
        </w:rPr>
      </w:pPr>
      <w:r w:rsidRPr="0067399B">
        <w:rPr>
          <w:color w:val="000000" w:themeColor="text1"/>
          <w:sz w:val="20"/>
          <w:szCs w:val="20"/>
        </w:rPr>
        <w:t>(c)</w:t>
      </w:r>
      <w:r w:rsidRPr="0067399B">
        <w:rPr>
          <w:color w:val="000000" w:themeColor="text1"/>
          <w:sz w:val="20"/>
          <w:szCs w:val="20"/>
        </w:rPr>
        <w:tab/>
        <w:t>Observer for an intergovernmental organization: European Union;</w:t>
      </w:r>
    </w:p>
    <w:p w14:paraId="2D16A801" w14:textId="49B9CE2E" w:rsidR="00EB13FD" w:rsidRPr="0067399B" w:rsidRDefault="00EB13FD" w:rsidP="00EB13FD">
      <w:pPr>
        <w:pStyle w:val="SingleTxtG"/>
        <w:ind w:firstLine="567"/>
        <w:rPr>
          <w:color w:val="000000" w:themeColor="text1"/>
          <w:sz w:val="20"/>
          <w:szCs w:val="20"/>
        </w:rPr>
      </w:pPr>
      <w:r w:rsidRPr="0067399B">
        <w:rPr>
          <w:color w:val="000000" w:themeColor="text1"/>
          <w:sz w:val="20"/>
          <w:szCs w:val="20"/>
        </w:rPr>
        <w:t>(d)</w:t>
      </w:r>
      <w:r w:rsidRPr="0067399B">
        <w:rPr>
          <w:color w:val="000000" w:themeColor="text1"/>
          <w:sz w:val="20"/>
          <w:szCs w:val="20"/>
        </w:rPr>
        <w:tab/>
        <w:t xml:space="preserve">Observers for non-governmental organizations: </w:t>
      </w:r>
      <w:r w:rsidR="001A380F" w:rsidRPr="001A380F">
        <w:rPr>
          <w:color w:val="000000" w:themeColor="text1"/>
          <w:sz w:val="20"/>
          <w:szCs w:val="20"/>
        </w:rPr>
        <w:t>Amnesty International</w:t>
      </w:r>
      <w:r w:rsidR="001A380F">
        <w:rPr>
          <w:color w:val="000000" w:themeColor="text1"/>
          <w:sz w:val="20"/>
          <w:szCs w:val="20"/>
        </w:rPr>
        <w:t xml:space="preserve">; </w:t>
      </w:r>
      <w:r w:rsidR="001A380F" w:rsidRPr="001A380F">
        <w:rPr>
          <w:color w:val="000000" w:themeColor="text1"/>
          <w:sz w:val="20"/>
          <w:szCs w:val="20"/>
        </w:rPr>
        <w:t>East and Horn of Africa Human Rights Defenders Project</w:t>
      </w:r>
      <w:r w:rsidR="001A380F">
        <w:rPr>
          <w:color w:val="000000" w:themeColor="text1"/>
          <w:sz w:val="20"/>
          <w:szCs w:val="20"/>
        </w:rPr>
        <w:t xml:space="preserve">; </w:t>
      </w:r>
      <w:r w:rsidR="001A380F" w:rsidRPr="001A380F">
        <w:rPr>
          <w:color w:val="000000" w:themeColor="text1"/>
          <w:sz w:val="20"/>
          <w:szCs w:val="20"/>
        </w:rPr>
        <w:t>Human Rights Watch</w:t>
      </w:r>
      <w:r w:rsidR="001A380F">
        <w:rPr>
          <w:color w:val="000000" w:themeColor="text1"/>
          <w:sz w:val="20"/>
          <w:szCs w:val="20"/>
        </w:rPr>
        <w:t xml:space="preserve">; </w:t>
      </w:r>
      <w:r w:rsidR="001A380F" w:rsidRPr="001A380F">
        <w:rPr>
          <w:color w:val="000000" w:themeColor="text1"/>
          <w:sz w:val="20"/>
          <w:szCs w:val="20"/>
        </w:rPr>
        <w:t>International Organization for the Elimination of All Forms of Racial Discrimination</w:t>
      </w:r>
      <w:r w:rsidR="001A380F">
        <w:rPr>
          <w:color w:val="000000" w:themeColor="text1"/>
          <w:sz w:val="20"/>
          <w:szCs w:val="20"/>
        </w:rPr>
        <w:t xml:space="preserve">; </w:t>
      </w:r>
      <w:r w:rsidR="001A380F" w:rsidRPr="001A380F">
        <w:rPr>
          <w:color w:val="000000" w:themeColor="text1"/>
          <w:sz w:val="20"/>
          <w:szCs w:val="20"/>
        </w:rPr>
        <w:t>Lutheran World Federation</w:t>
      </w:r>
      <w:r w:rsidR="001A380F">
        <w:rPr>
          <w:color w:val="000000" w:themeColor="text1"/>
          <w:sz w:val="20"/>
          <w:szCs w:val="20"/>
        </w:rPr>
        <w:t xml:space="preserve">; </w:t>
      </w:r>
      <w:r w:rsidR="001A380F" w:rsidRPr="001A380F">
        <w:rPr>
          <w:color w:val="000000" w:themeColor="text1"/>
          <w:sz w:val="20"/>
          <w:szCs w:val="20"/>
        </w:rPr>
        <w:t>Rencontre Africaine pour la defense des droits de l</w:t>
      </w:r>
      <w:r w:rsidR="00D72627">
        <w:rPr>
          <w:color w:val="000000" w:themeColor="text1"/>
          <w:sz w:val="20"/>
          <w:szCs w:val="20"/>
        </w:rPr>
        <w:t>’</w:t>
      </w:r>
      <w:r w:rsidR="001A380F" w:rsidRPr="001A380F">
        <w:rPr>
          <w:color w:val="000000" w:themeColor="text1"/>
          <w:sz w:val="20"/>
          <w:szCs w:val="20"/>
        </w:rPr>
        <w:t>homme</w:t>
      </w:r>
      <w:r w:rsidRPr="0067399B">
        <w:rPr>
          <w:color w:val="000000" w:themeColor="text1"/>
          <w:sz w:val="20"/>
          <w:szCs w:val="20"/>
        </w:rPr>
        <w:t>.</w:t>
      </w:r>
    </w:p>
    <w:p w14:paraId="5551E80E" w14:textId="7E36E5DF" w:rsidR="00EB13FD" w:rsidRPr="0067399B" w:rsidRDefault="002B4AE4" w:rsidP="00EB13FD">
      <w:pPr>
        <w:pStyle w:val="SingleTxtG"/>
        <w:rPr>
          <w:b/>
          <w:color w:val="000000" w:themeColor="text1"/>
          <w:sz w:val="20"/>
          <w:szCs w:val="20"/>
        </w:rPr>
      </w:pPr>
      <w:r>
        <w:rPr>
          <w:color w:val="000000" w:themeColor="text1"/>
          <w:sz w:val="20"/>
          <w:szCs w:val="20"/>
        </w:rPr>
        <w:t>256</w:t>
      </w:r>
      <w:r w:rsidR="00EB13FD" w:rsidRPr="0067399B">
        <w:rPr>
          <w:color w:val="000000" w:themeColor="text1"/>
          <w:sz w:val="20"/>
          <w:szCs w:val="20"/>
        </w:rPr>
        <w:t>.</w:t>
      </w:r>
      <w:r w:rsidR="00EB13FD" w:rsidRPr="0067399B">
        <w:rPr>
          <w:color w:val="000000" w:themeColor="text1"/>
          <w:sz w:val="20"/>
          <w:szCs w:val="20"/>
        </w:rPr>
        <w:tab/>
        <w:t>At the same meeting, the Chairperson and the member</w:t>
      </w:r>
      <w:r w:rsidR="001A380F">
        <w:rPr>
          <w:color w:val="000000" w:themeColor="text1"/>
          <w:sz w:val="20"/>
          <w:szCs w:val="20"/>
        </w:rPr>
        <w:t>s</w:t>
      </w:r>
      <w:r w:rsidR="00EB13FD" w:rsidRPr="0067399B">
        <w:rPr>
          <w:color w:val="000000" w:themeColor="text1"/>
          <w:sz w:val="20"/>
          <w:szCs w:val="20"/>
        </w:rPr>
        <w:t xml:space="preserve"> of the Commission answered questions and made their concluding remarks.</w:t>
      </w:r>
    </w:p>
    <w:p w14:paraId="51F445A7" w14:textId="77777777" w:rsidR="006339E6" w:rsidRPr="00C16037" w:rsidRDefault="006339E6" w:rsidP="006339E6">
      <w:pPr>
        <w:pStyle w:val="H1G"/>
        <w:rPr>
          <w:strike/>
          <w:color w:val="000000" w:themeColor="text1"/>
        </w:rPr>
      </w:pPr>
      <w:r w:rsidRPr="00C16037">
        <w:rPr>
          <w:color w:val="000000" w:themeColor="text1"/>
        </w:rPr>
        <w:tab/>
      </w:r>
      <w:r w:rsidRPr="00B168DF">
        <w:rPr>
          <w:color w:val="000000" w:themeColor="text1"/>
        </w:rPr>
        <w:t>C.</w:t>
      </w:r>
      <w:r w:rsidRPr="00B168DF">
        <w:rPr>
          <w:color w:val="000000" w:themeColor="text1"/>
        </w:rPr>
        <w:tab/>
      </w:r>
      <w:r w:rsidRPr="00B168DF">
        <w:rPr>
          <w:color w:val="000000" w:themeColor="text1"/>
          <w:lang w:eastAsia="fr-FR"/>
        </w:rPr>
        <w:t>Interactive dialogue with the Independent International Commission of Inquiry on the Syrian Arab Republic</w:t>
      </w:r>
      <w:r w:rsidRPr="00C16037">
        <w:rPr>
          <w:color w:val="000000" w:themeColor="text1"/>
          <w:lang w:eastAsia="fr-FR"/>
        </w:rPr>
        <w:t xml:space="preserve"> </w:t>
      </w:r>
    </w:p>
    <w:p w14:paraId="232107EA" w14:textId="78CBA203" w:rsidR="006339E6" w:rsidRPr="0067399B" w:rsidRDefault="002B4AE4" w:rsidP="006339E6">
      <w:pPr>
        <w:pStyle w:val="SingleTxtG"/>
        <w:rPr>
          <w:color w:val="000000" w:themeColor="text1"/>
          <w:sz w:val="20"/>
          <w:szCs w:val="20"/>
        </w:rPr>
      </w:pPr>
      <w:r>
        <w:rPr>
          <w:color w:val="000000" w:themeColor="text1"/>
          <w:sz w:val="20"/>
          <w:szCs w:val="20"/>
        </w:rPr>
        <w:t>257</w:t>
      </w:r>
      <w:r w:rsidR="006339E6" w:rsidRPr="0067399B">
        <w:rPr>
          <w:color w:val="000000" w:themeColor="text1"/>
          <w:sz w:val="20"/>
          <w:szCs w:val="20"/>
        </w:rPr>
        <w:t>.</w:t>
      </w:r>
      <w:r w:rsidR="006339E6" w:rsidRPr="0067399B">
        <w:rPr>
          <w:color w:val="000000" w:themeColor="text1"/>
          <w:sz w:val="20"/>
          <w:szCs w:val="20"/>
        </w:rPr>
        <w:tab/>
        <w:t xml:space="preserve">At the </w:t>
      </w:r>
      <w:r w:rsidR="00A70E38">
        <w:rPr>
          <w:color w:val="000000" w:themeColor="text1"/>
          <w:sz w:val="20"/>
          <w:szCs w:val="20"/>
        </w:rPr>
        <w:t>29th</w:t>
      </w:r>
      <w:r w:rsidR="006339E6" w:rsidRPr="0067399B">
        <w:rPr>
          <w:color w:val="000000" w:themeColor="text1"/>
          <w:sz w:val="20"/>
          <w:szCs w:val="20"/>
        </w:rPr>
        <w:t xml:space="preserve"> meeting, on 1</w:t>
      </w:r>
      <w:r w:rsidR="00A70E38">
        <w:rPr>
          <w:color w:val="000000" w:themeColor="text1"/>
          <w:sz w:val="20"/>
          <w:szCs w:val="20"/>
        </w:rPr>
        <w:t>2</w:t>
      </w:r>
      <w:r w:rsidR="006339E6" w:rsidRPr="0067399B">
        <w:rPr>
          <w:color w:val="000000" w:themeColor="text1"/>
          <w:sz w:val="20"/>
          <w:szCs w:val="20"/>
        </w:rPr>
        <w:t xml:space="preserve"> March </w:t>
      </w:r>
      <w:r w:rsidR="00141AFC">
        <w:rPr>
          <w:color w:val="000000" w:themeColor="text1"/>
          <w:sz w:val="20"/>
          <w:szCs w:val="20"/>
        </w:rPr>
        <w:t>2019</w:t>
      </w:r>
      <w:r w:rsidR="006339E6" w:rsidRPr="0067399B">
        <w:rPr>
          <w:color w:val="000000" w:themeColor="text1"/>
          <w:sz w:val="20"/>
          <w:szCs w:val="20"/>
        </w:rPr>
        <w:t xml:space="preserve">, pursuant to Human Rights Council resolution </w:t>
      </w:r>
      <w:r w:rsidR="00A70E38">
        <w:rPr>
          <w:color w:val="000000" w:themeColor="text1"/>
          <w:sz w:val="20"/>
          <w:szCs w:val="20"/>
        </w:rPr>
        <w:t>37/29</w:t>
      </w:r>
      <w:r w:rsidR="006339E6" w:rsidRPr="0067399B">
        <w:rPr>
          <w:color w:val="000000" w:themeColor="text1"/>
          <w:sz w:val="20"/>
          <w:szCs w:val="20"/>
        </w:rPr>
        <w:t>, the Chairperson of the Independent International Commission of Inquiry on the Syrian Arab Republic, Paulo Sérgio Pinheiro, presented the report of the Commission (A/HRC/</w:t>
      </w:r>
      <w:r w:rsidR="00A70E38">
        <w:rPr>
          <w:color w:val="000000" w:themeColor="text1"/>
          <w:sz w:val="20"/>
          <w:szCs w:val="20"/>
        </w:rPr>
        <w:t>40/70</w:t>
      </w:r>
      <w:r w:rsidR="006339E6" w:rsidRPr="0067399B">
        <w:rPr>
          <w:color w:val="000000" w:themeColor="text1"/>
          <w:sz w:val="20"/>
          <w:szCs w:val="20"/>
        </w:rPr>
        <w:t>).</w:t>
      </w:r>
    </w:p>
    <w:p w14:paraId="4539533B" w14:textId="4B8F439E" w:rsidR="006339E6" w:rsidRPr="0067399B" w:rsidRDefault="002B4AE4" w:rsidP="006339E6">
      <w:pPr>
        <w:pStyle w:val="SingleTxtG"/>
        <w:rPr>
          <w:color w:val="000000" w:themeColor="text1"/>
          <w:sz w:val="20"/>
          <w:szCs w:val="20"/>
        </w:rPr>
      </w:pPr>
      <w:r>
        <w:rPr>
          <w:color w:val="000000" w:themeColor="text1"/>
          <w:sz w:val="20"/>
          <w:szCs w:val="20"/>
        </w:rPr>
        <w:t>258</w:t>
      </w:r>
      <w:r w:rsidR="006339E6" w:rsidRPr="0067399B">
        <w:rPr>
          <w:color w:val="000000" w:themeColor="text1"/>
          <w:sz w:val="20"/>
          <w:szCs w:val="20"/>
        </w:rPr>
        <w:t>.</w:t>
      </w:r>
      <w:r w:rsidR="006339E6" w:rsidRPr="0067399B">
        <w:rPr>
          <w:color w:val="000000" w:themeColor="text1"/>
          <w:sz w:val="20"/>
          <w:szCs w:val="20"/>
        </w:rPr>
        <w:tab/>
        <w:t xml:space="preserve">At the </w:t>
      </w:r>
      <w:r w:rsidR="00194177">
        <w:rPr>
          <w:color w:val="000000" w:themeColor="text1"/>
          <w:sz w:val="20"/>
          <w:szCs w:val="20"/>
        </w:rPr>
        <w:t>30th</w:t>
      </w:r>
      <w:r w:rsidR="006339E6" w:rsidRPr="0067399B">
        <w:rPr>
          <w:color w:val="000000" w:themeColor="text1"/>
          <w:sz w:val="20"/>
          <w:szCs w:val="20"/>
        </w:rPr>
        <w:t xml:space="preserve"> meeting, the representative of the Syrian Arab Republic made a statement as the State concerned.</w:t>
      </w:r>
    </w:p>
    <w:p w14:paraId="433AD341" w14:textId="2A36869F" w:rsidR="006339E6" w:rsidRPr="0067399B" w:rsidRDefault="002B4AE4" w:rsidP="006339E6">
      <w:pPr>
        <w:pStyle w:val="SingleTxtG"/>
        <w:rPr>
          <w:color w:val="000000" w:themeColor="text1"/>
          <w:sz w:val="20"/>
          <w:szCs w:val="20"/>
        </w:rPr>
      </w:pPr>
      <w:r>
        <w:rPr>
          <w:color w:val="000000" w:themeColor="text1"/>
          <w:sz w:val="20"/>
          <w:szCs w:val="20"/>
        </w:rPr>
        <w:t>259</w:t>
      </w:r>
      <w:r w:rsidR="006339E6" w:rsidRPr="0067399B">
        <w:rPr>
          <w:color w:val="000000" w:themeColor="text1"/>
          <w:sz w:val="20"/>
          <w:szCs w:val="20"/>
        </w:rPr>
        <w:t>.</w:t>
      </w:r>
      <w:r w:rsidR="006339E6" w:rsidRPr="0067399B">
        <w:rPr>
          <w:color w:val="000000" w:themeColor="text1"/>
          <w:sz w:val="20"/>
          <w:szCs w:val="20"/>
        </w:rPr>
        <w:tab/>
        <w:t xml:space="preserve">During the ensuing interactive dialogue, </w:t>
      </w:r>
      <w:r w:rsidR="00194177">
        <w:rPr>
          <w:color w:val="000000" w:themeColor="text1"/>
          <w:sz w:val="20"/>
          <w:szCs w:val="20"/>
        </w:rPr>
        <w:t>at the 29th to 30th meetings, on the same day</w:t>
      </w:r>
      <w:r w:rsidR="006339E6" w:rsidRPr="0067399B">
        <w:rPr>
          <w:color w:val="000000" w:themeColor="text1"/>
          <w:sz w:val="20"/>
          <w:szCs w:val="20"/>
        </w:rPr>
        <w:t xml:space="preserve">, the following made statements and asked the Chairperson </w:t>
      </w:r>
      <w:r w:rsidR="00345E62">
        <w:rPr>
          <w:color w:val="000000" w:themeColor="text1"/>
          <w:sz w:val="20"/>
          <w:szCs w:val="20"/>
        </w:rPr>
        <w:t xml:space="preserve">and the members of the Commission </w:t>
      </w:r>
      <w:r w:rsidR="00D56F36">
        <w:rPr>
          <w:color w:val="000000" w:themeColor="text1"/>
          <w:sz w:val="20"/>
          <w:szCs w:val="20"/>
        </w:rPr>
        <w:t xml:space="preserve">of Inquiry </w:t>
      </w:r>
      <w:r w:rsidR="006339E6" w:rsidRPr="0067399B">
        <w:rPr>
          <w:color w:val="000000" w:themeColor="text1"/>
          <w:sz w:val="20"/>
          <w:szCs w:val="20"/>
        </w:rPr>
        <w:t>questions:</w:t>
      </w:r>
    </w:p>
    <w:p w14:paraId="252C6D88" w14:textId="69FA0495" w:rsidR="00B77837" w:rsidRPr="0067399B" w:rsidRDefault="006339E6" w:rsidP="00B77837">
      <w:pPr>
        <w:pStyle w:val="SingleTxtG"/>
        <w:ind w:firstLine="567"/>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00237DB0" w:rsidRPr="0067399B">
        <w:rPr>
          <w:color w:val="000000" w:themeColor="text1"/>
          <w:sz w:val="20"/>
          <w:szCs w:val="20"/>
        </w:rPr>
        <w:t xml:space="preserve"> of the Human Rights Council: </w:t>
      </w:r>
      <w:r w:rsidR="00345E62" w:rsidRPr="00345E62">
        <w:rPr>
          <w:color w:val="000000" w:themeColor="text1"/>
          <w:sz w:val="20"/>
          <w:szCs w:val="20"/>
        </w:rPr>
        <w:t>Australia</w:t>
      </w:r>
      <w:r w:rsidR="00345E62">
        <w:rPr>
          <w:color w:val="000000" w:themeColor="text1"/>
          <w:sz w:val="20"/>
          <w:szCs w:val="20"/>
        </w:rPr>
        <w:t xml:space="preserve">, </w:t>
      </w:r>
      <w:r w:rsidR="00345E62" w:rsidRPr="00345E62">
        <w:rPr>
          <w:color w:val="000000" w:themeColor="text1"/>
          <w:sz w:val="20"/>
          <w:szCs w:val="20"/>
        </w:rPr>
        <w:t>Bahrain</w:t>
      </w:r>
      <w:r w:rsidR="00345E62">
        <w:rPr>
          <w:color w:val="000000" w:themeColor="text1"/>
          <w:sz w:val="20"/>
          <w:szCs w:val="20"/>
        </w:rPr>
        <w:t xml:space="preserve">, </w:t>
      </w:r>
      <w:r w:rsidR="00345E62" w:rsidRPr="00345E62">
        <w:rPr>
          <w:color w:val="000000" w:themeColor="text1"/>
          <w:sz w:val="20"/>
          <w:szCs w:val="20"/>
        </w:rPr>
        <w:t>Brazil</w:t>
      </w:r>
      <w:r w:rsidR="00345E62">
        <w:rPr>
          <w:color w:val="000000" w:themeColor="text1"/>
          <w:sz w:val="20"/>
          <w:szCs w:val="20"/>
        </w:rPr>
        <w:t xml:space="preserve">, </w:t>
      </w:r>
      <w:r w:rsidR="00345E62" w:rsidRPr="00345E62">
        <w:rPr>
          <w:color w:val="000000" w:themeColor="text1"/>
          <w:sz w:val="20"/>
          <w:szCs w:val="20"/>
        </w:rPr>
        <w:t>Chile</w:t>
      </w:r>
      <w:r w:rsidR="00345E62">
        <w:rPr>
          <w:color w:val="000000" w:themeColor="text1"/>
          <w:sz w:val="20"/>
          <w:szCs w:val="20"/>
        </w:rPr>
        <w:t xml:space="preserve">, </w:t>
      </w:r>
      <w:r w:rsidR="00345E62" w:rsidRPr="00345E62">
        <w:rPr>
          <w:color w:val="000000" w:themeColor="text1"/>
          <w:sz w:val="20"/>
          <w:szCs w:val="20"/>
        </w:rPr>
        <w:t>China</w:t>
      </w:r>
      <w:r w:rsidR="00345E62">
        <w:rPr>
          <w:color w:val="000000" w:themeColor="text1"/>
          <w:sz w:val="20"/>
          <w:szCs w:val="20"/>
        </w:rPr>
        <w:t xml:space="preserve">, </w:t>
      </w:r>
      <w:r w:rsidR="00345E62" w:rsidRPr="00345E62">
        <w:rPr>
          <w:color w:val="000000" w:themeColor="text1"/>
          <w:sz w:val="20"/>
          <w:szCs w:val="20"/>
        </w:rPr>
        <w:t>Croatia</w:t>
      </w:r>
      <w:r w:rsidR="00345E62">
        <w:rPr>
          <w:color w:val="000000" w:themeColor="text1"/>
          <w:sz w:val="20"/>
          <w:szCs w:val="20"/>
        </w:rPr>
        <w:t xml:space="preserve">, </w:t>
      </w:r>
      <w:r w:rsidR="00345E62" w:rsidRPr="00345E62">
        <w:rPr>
          <w:color w:val="000000" w:themeColor="text1"/>
          <w:sz w:val="20"/>
          <w:szCs w:val="20"/>
        </w:rPr>
        <w:t>Cuba</w:t>
      </w:r>
      <w:r w:rsidR="00345E62">
        <w:rPr>
          <w:color w:val="000000" w:themeColor="text1"/>
          <w:sz w:val="20"/>
          <w:szCs w:val="20"/>
        </w:rPr>
        <w:t xml:space="preserve">, Czechia, </w:t>
      </w:r>
      <w:r w:rsidR="00345E62" w:rsidRPr="00345E62">
        <w:rPr>
          <w:color w:val="000000" w:themeColor="text1"/>
          <w:sz w:val="20"/>
          <w:szCs w:val="20"/>
        </w:rPr>
        <w:t>Egypt</w:t>
      </w:r>
      <w:r w:rsidR="00345E62">
        <w:rPr>
          <w:color w:val="000000" w:themeColor="text1"/>
          <w:sz w:val="20"/>
          <w:szCs w:val="20"/>
        </w:rPr>
        <w:t xml:space="preserve">, </w:t>
      </w:r>
      <w:r w:rsidR="00345E62" w:rsidRPr="00345E62">
        <w:rPr>
          <w:color w:val="000000" w:themeColor="text1"/>
          <w:sz w:val="20"/>
          <w:szCs w:val="20"/>
        </w:rPr>
        <w:t>Finland</w:t>
      </w:r>
      <w:r w:rsidR="007E79C8">
        <w:rPr>
          <w:rStyle w:val="FootnoteReference"/>
          <w:color w:val="000000" w:themeColor="text1"/>
          <w:szCs w:val="20"/>
        </w:rPr>
        <w:footnoteReference w:id="36"/>
      </w:r>
      <w:r w:rsidR="00345E62" w:rsidRPr="001B0569">
        <w:rPr>
          <w:color w:val="000000" w:themeColor="text1"/>
          <w:sz w:val="20"/>
          <w:szCs w:val="20"/>
        </w:rPr>
        <w:t xml:space="preserve"> (</w:t>
      </w:r>
      <w:r w:rsidR="00345E62" w:rsidRPr="00EE58C8">
        <w:rPr>
          <w:color w:val="000000" w:themeColor="text1"/>
          <w:sz w:val="20"/>
          <w:szCs w:val="20"/>
        </w:rPr>
        <w:t>also on behalf of</w:t>
      </w:r>
      <w:r w:rsidR="00345E62">
        <w:rPr>
          <w:color w:val="000000" w:themeColor="text1"/>
          <w:sz w:val="20"/>
          <w:szCs w:val="20"/>
        </w:rPr>
        <w:t xml:space="preserve"> </w:t>
      </w:r>
      <w:r w:rsidR="000A34A4" w:rsidRPr="000A34A4">
        <w:rPr>
          <w:color w:val="000000" w:themeColor="text1"/>
          <w:sz w:val="20"/>
          <w:szCs w:val="20"/>
        </w:rPr>
        <w:t>Denmark, Iceland, Norway and Sweden</w:t>
      </w:r>
      <w:r w:rsidR="00345E62">
        <w:rPr>
          <w:color w:val="000000" w:themeColor="text1"/>
          <w:sz w:val="20"/>
          <w:szCs w:val="20"/>
        </w:rPr>
        <w:t xml:space="preserve">), </w:t>
      </w:r>
      <w:r w:rsidR="00345E62" w:rsidRPr="00345E62">
        <w:rPr>
          <w:color w:val="000000" w:themeColor="text1"/>
          <w:sz w:val="20"/>
          <w:szCs w:val="20"/>
        </w:rPr>
        <w:t>Iraq</w:t>
      </w:r>
      <w:r w:rsidR="00345E62">
        <w:rPr>
          <w:color w:val="000000" w:themeColor="text1"/>
          <w:sz w:val="20"/>
          <w:szCs w:val="20"/>
        </w:rPr>
        <w:t xml:space="preserve">, </w:t>
      </w:r>
      <w:r w:rsidR="00345E62" w:rsidRPr="00345E62">
        <w:rPr>
          <w:color w:val="000000" w:themeColor="text1"/>
          <w:sz w:val="20"/>
          <w:szCs w:val="20"/>
        </w:rPr>
        <w:t>Italy</w:t>
      </w:r>
      <w:r w:rsidR="00345E62">
        <w:rPr>
          <w:color w:val="000000" w:themeColor="text1"/>
          <w:sz w:val="20"/>
          <w:szCs w:val="20"/>
        </w:rPr>
        <w:t xml:space="preserve">, </w:t>
      </w:r>
      <w:r w:rsidR="00345E62" w:rsidRPr="00345E62">
        <w:rPr>
          <w:color w:val="000000" w:themeColor="text1"/>
          <w:sz w:val="20"/>
          <w:szCs w:val="20"/>
        </w:rPr>
        <w:t>Japan</w:t>
      </w:r>
      <w:r w:rsidR="00345E62">
        <w:rPr>
          <w:color w:val="000000" w:themeColor="text1"/>
          <w:sz w:val="20"/>
          <w:szCs w:val="20"/>
        </w:rPr>
        <w:t xml:space="preserve">, </w:t>
      </w:r>
      <w:r w:rsidR="00345E62" w:rsidRPr="00345E62">
        <w:rPr>
          <w:color w:val="000000" w:themeColor="text1"/>
          <w:sz w:val="20"/>
          <w:szCs w:val="20"/>
        </w:rPr>
        <w:t>Qatar</w:t>
      </w:r>
      <w:r w:rsidR="00345E62">
        <w:rPr>
          <w:color w:val="000000" w:themeColor="text1"/>
          <w:sz w:val="20"/>
          <w:szCs w:val="20"/>
        </w:rPr>
        <w:t xml:space="preserve">, </w:t>
      </w:r>
      <w:r w:rsidR="00345E62" w:rsidRPr="00345E62">
        <w:rPr>
          <w:color w:val="000000" w:themeColor="text1"/>
          <w:sz w:val="20"/>
          <w:szCs w:val="20"/>
        </w:rPr>
        <w:t>Saudi Arabia</w:t>
      </w:r>
      <w:r w:rsidR="00345E62">
        <w:rPr>
          <w:color w:val="000000" w:themeColor="text1"/>
          <w:sz w:val="20"/>
          <w:szCs w:val="20"/>
        </w:rPr>
        <w:t xml:space="preserve">, </w:t>
      </w:r>
      <w:r w:rsidR="00345E62" w:rsidRPr="00345E62">
        <w:rPr>
          <w:color w:val="000000" w:themeColor="text1"/>
          <w:sz w:val="20"/>
          <w:szCs w:val="20"/>
        </w:rPr>
        <w:t>Slovakia</w:t>
      </w:r>
      <w:r w:rsidR="00345E62">
        <w:rPr>
          <w:color w:val="000000" w:themeColor="text1"/>
          <w:sz w:val="20"/>
          <w:szCs w:val="20"/>
        </w:rPr>
        <w:t xml:space="preserve">, </w:t>
      </w:r>
      <w:r w:rsidR="00345E62" w:rsidRPr="00345E62">
        <w:rPr>
          <w:color w:val="000000" w:themeColor="text1"/>
          <w:sz w:val="20"/>
          <w:szCs w:val="20"/>
        </w:rPr>
        <w:t>Spain</w:t>
      </w:r>
      <w:r w:rsidR="00345E62">
        <w:rPr>
          <w:color w:val="000000" w:themeColor="text1"/>
          <w:sz w:val="20"/>
          <w:szCs w:val="20"/>
        </w:rPr>
        <w:t xml:space="preserve">, </w:t>
      </w:r>
      <w:r w:rsidR="00345E62" w:rsidRPr="00345E62">
        <w:rPr>
          <w:color w:val="000000" w:themeColor="text1"/>
          <w:sz w:val="20"/>
          <w:szCs w:val="20"/>
        </w:rPr>
        <w:t>United Kingdom of Great Britain and Northern Ireland</w:t>
      </w:r>
      <w:r w:rsidR="00B77837" w:rsidRPr="0067399B">
        <w:rPr>
          <w:color w:val="000000" w:themeColor="text1"/>
          <w:sz w:val="20"/>
          <w:szCs w:val="20"/>
        </w:rPr>
        <w:t xml:space="preserve">; </w:t>
      </w:r>
    </w:p>
    <w:p w14:paraId="243C27F1" w14:textId="2213100B" w:rsidR="00345E62" w:rsidRDefault="006339E6" w:rsidP="00345E62">
      <w:pPr>
        <w:pStyle w:val="SingleTxtG"/>
        <w:ind w:firstLine="567"/>
        <w:rPr>
          <w:color w:val="000000" w:themeColor="text1"/>
          <w:sz w:val="20"/>
          <w:szCs w:val="20"/>
        </w:rPr>
      </w:pPr>
      <w:r w:rsidRPr="0067399B">
        <w:rPr>
          <w:color w:val="000000" w:themeColor="text1"/>
          <w:sz w:val="20"/>
          <w:szCs w:val="20"/>
        </w:rPr>
        <w:t>(b)</w:t>
      </w:r>
      <w:r w:rsidRPr="0067399B">
        <w:rPr>
          <w:color w:val="000000" w:themeColor="text1"/>
          <w:sz w:val="20"/>
          <w:szCs w:val="20"/>
        </w:rPr>
        <w:tab/>
        <w:t xml:space="preserve">Representatives of observer States: </w:t>
      </w:r>
      <w:r w:rsidR="00345E62" w:rsidRPr="00345E62">
        <w:rPr>
          <w:color w:val="000000" w:themeColor="text1"/>
          <w:sz w:val="20"/>
          <w:szCs w:val="20"/>
        </w:rPr>
        <w:t>Albania</w:t>
      </w:r>
      <w:r w:rsidR="00345E62">
        <w:rPr>
          <w:color w:val="000000" w:themeColor="text1"/>
          <w:sz w:val="20"/>
          <w:szCs w:val="20"/>
        </w:rPr>
        <w:t xml:space="preserve">, </w:t>
      </w:r>
      <w:r w:rsidR="00345E62" w:rsidRPr="00345E62">
        <w:rPr>
          <w:color w:val="000000" w:themeColor="text1"/>
          <w:sz w:val="20"/>
          <w:szCs w:val="20"/>
        </w:rPr>
        <w:t>Algeria</w:t>
      </w:r>
      <w:r w:rsidR="00345E62">
        <w:rPr>
          <w:color w:val="000000" w:themeColor="text1"/>
          <w:sz w:val="20"/>
          <w:szCs w:val="20"/>
        </w:rPr>
        <w:t xml:space="preserve">, </w:t>
      </w:r>
      <w:r w:rsidR="00345E62" w:rsidRPr="00345E62">
        <w:rPr>
          <w:color w:val="000000" w:themeColor="text1"/>
          <w:sz w:val="20"/>
          <w:szCs w:val="20"/>
        </w:rPr>
        <w:t>Belarus</w:t>
      </w:r>
      <w:r w:rsidR="00345E62">
        <w:rPr>
          <w:color w:val="000000" w:themeColor="text1"/>
          <w:sz w:val="20"/>
          <w:szCs w:val="20"/>
        </w:rPr>
        <w:t xml:space="preserve">, </w:t>
      </w:r>
      <w:r w:rsidR="00345E62" w:rsidRPr="00345E62">
        <w:rPr>
          <w:color w:val="000000" w:themeColor="text1"/>
          <w:sz w:val="20"/>
          <w:szCs w:val="20"/>
        </w:rPr>
        <w:t>Belgium</w:t>
      </w:r>
      <w:r w:rsidR="00345E62">
        <w:rPr>
          <w:color w:val="000000" w:themeColor="text1"/>
          <w:sz w:val="20"/>
          <w:szCs w:val="20"/>
        </w:rPr>
        <w:t xml:space="preserve">, </w:t>
      </w:r>
      <w:r w:rsidR="00345E62" w:rsidRPr="00345E62">
        <w:rPr>
          <w:color w:val="000000" w:themeColor="text1"/>
          <w:sz w:val="20"/>
          <w:szCs w:val="20"/>
        </w:rPr>
        <w:t>Cyprus</w:t>
      </w:r>
      <w:r w:rsidR="00345E62">
        <w:rPr>
          <w:color w:val="000000" w:themeColor="text1"/>
          <w:sz w:val="20"/>
          <w:szCs w:val="20"/>
        </w:rPr>
        <w:t xml:space="preserve">, </w:t>
      </w:r>
      <w:r w:rsidR="00345E62" w:rsidRPr="00345E62">
        <w:rPr>
          <w:color w:val="000000" w:themeColor="text1"/>
          <w:sz w:val="20"/>
          <w:szCs w:val="20"/>
        </w:rPr>
        <w:t>Democratic People</w:t>
      </w:r>
      <w:r w:rsidR="00D72627">
        <w:rPr>
          <w:color w:val="000000" w:themeColor="text1"/>
          <w:sz w:val="20"/>
          <w:szCs w:val="20"/>
        </w:rPr>
        <w:t>’</w:t>
      </w:r>
      <w:r w:rsidR="00345E62" w:rsidRPr="00345E62">
        <w:rPr>
          <w:color w:val="000000" w:themeColor="text1"/>
          <w:sz w:val="20"/>
          <w:szCs w:val="20"/>
        </w:rPr>
        <w:t>s Republic of Korea</w:t>
      </w:r>
      <w:r w:rsidR="00345E62">
        <w:rPr>
          <w:color w:val="000000" w:themeColor="text1"/>
          <w:sz w:val="20"/>
          <w:szCs w:val="20"/>
        </w:rPr>
        <w:t xml:space="preserve">, </w:t>
      </w:r>
      <w:r w:rsidR="00345E62" w:rsidRPr="00345E62">
        <w:rPr>
          <w:color w:val="000000" w:themeColor="text1"/>
          <w:sz w:val="20"/>
          <w:szCs w:val="20"/>
        </w:rPr>
        <w:t>Ecuador</w:t>
      </w:r>
      <w:r w:rsidR="00345E62">
        <w:rPr>
          <w:color w:val="000000" w:themeColor="text1"/>
          <w:sz w:val="20"/>
          <w:szCs w:val="20"/>
        </w:rPr>
        <w:t xml:space="preserve">, </w:t>
      </w:r>
      <w:r w:rsidR="00345E62" w:rsidRPr="00345E62">
        <w:rPr>
          <w:color w:val="000000" w:themeColor="text1"/>
          <w:sz w:val="20"/>
          <w:szCs w:val="20"/>
        </w:rPr>
        <w:t>Estonia</w:t>
      </w:r>
      <w:r w:rsidR="00345E62">
        <w:rPr>
          <w:color w:val="000000" w:themeColor="text1"/>
          <w:sz w:val="20"/>
          <w:szCs w:val="20"/>
        </w:rPr>
        <w:t xml:space="preserve">, </w:t>
      </w:r>
      <w:r w:rsidR="00345E62" w:rsidRPr="00345E62">
        <w:rPr>
          <w:color w:val="000000" w:themeColor="text1"/>
          <w:sz w:val="20"/>
          <w:szCs w:val="20"/>
        </w:rPr>
        <w:t>France</w:t>
      </w:r>
      <w:r w:rsidR="00345E62">
        <w:rPr>
          <w:color w:val="000000" w:themeColor="text1"/>
          <w:sz w:val="20"/>
          <w:szCs w:val="20"/>
        </w:rPr>
        <w:t xml:space="preserve">, </w:t>
      </w:r>
      <w:r w:rsidR="00345E62" w:rsidRPr="00345E62">
        <w:rPr>
          <w:color w:val="000000" w:themeColor="text1"/>
          <w:sz w:val="20"/>
          <w:szCs w:val="20"/>
        </w:rPr>
        <w:t>Georgia</w:t>
      </w:r>
      <w:r w:rsidR="00345E62">
        <w:rPr>
          <w:color w:val="000000" w:themeColor="text1"/>
          <w:sz w:val="20"/>
          <w:szCs w:val="20"/>
        </w:rPr>
        <w:t xml:space="preserve">, </w:t>
      </w:r>
      <w:r w:rsidR="00345E62" w:rsidRPr="00345E62">
        <w:rPr>
          <w:color w:val="000000" w:themeColor="text1"/>
          <w:sz w:val="20"/>
          <w:szCs w:val="20"/>
        </w:rPr>
        <w:t>Germany</w:t>
      </w:r>
      <w:r w:rsidR="00345E62">
        <w:rPr>
          <w:color w:val="000000" w:themeColor="text1"/>
          <w:sz w:val="20"/>
          <w:szCs w:val="20"/>
        </w:rPr>
        <w:t xml:space="preserve">, </w:t>
      </w:r>
      <w:r w:rsidR="00345E62" w:rsidRPr="00345E62">
        <w:rPr>
          <w:color w:val="000000" w:themeColor="text1"/>
          <w:sz w:val="20"/>
          <w:szCs w:val="20"/>
        </w:rPr>
        <w:t>Greece</w:t>
      </w:r>
      <w:r w:rsidR="00345E62">
        <w:rPr>
          <w:color w:val="000000" w:themeColor="text1"/>
          <w:sz w:val="20"/>
          <w:szCs w:val="20"/>
        </w:rPr>
        <w:t xml:space="preserve">, </w:t>
      </w:r>
      <w:r w:rsidR="00345E62" w:rsidRPr="00345E62">
        <w:rPr>
          <w:color w:val="000000" w:themeColor="text1"/>
          <w:sz w:val="20"/>
          <w:szCs w:val="20"/>
        </w:rPr>
        <w:t>Iran (Islamic Republic of)</w:t>
      </w:r>
      <w:r w:rsidR="00345E62">
        <w:rPr>
          <w:color w:val="000000" w:themeColor="text1"/>
          <w:sz w:val="20"/>
          <w:szCs w:val="20"/>
        </w:rPr>
        <w:t xml:space="preserve">, </w:t>
      </w:r>
      <w:r w:rsidR="00345E62" w:rsidRPr="00345E62">
        <w:rPr>
          <w:color w:val="000000" w:themeColor="text1"/>
          <w:sz w:val="20"/>
          <w:szCs w:val="20"/>
        </w:rPr>
        <w:t>Ireland</w:t>
      </w:r>
      <w:r w:rsidR="00345E62">
        <w:rPr>
          <w:color w:val="000000" w:themeColor="text1"/>
          <w:sz w:val="20"/>
          <w:szCs w:val="20"/>
        </w:rPr>
        <w:t xml:space="preserve">, </w:t>
      </w:r>
      <w:r w:rsidR="00345E62" w:rsidRPr="00345E62">
        <w:rPr>
          <w:color w:val="000000" w:themeColor="text1"/>
          <w:sz w:val="20"/>
          <w:szCs w:val="20"/>
        </w:rPr>
        <w:t>Israel</w:t>
      </w:r>
      <w:r w:rsidR="00345E62">
        <w:rPr>
          <w:color w:val="000000" w:themeColor="text1"/>
          <w:sz w:val="20"/>
          <w:szCs w:val="20"/>
        </w:rPr>
        <w:t xml:space="preserve">, </w:t>
      </w:r>
      <w:r w:rsidR="00345E62" w:rsidRPr="00345E62">
        <w:rPr>
          <w:color w:val="000000" w:themeColor="text1"/>
          <w:sz w:val="20"/>
          <w:szCs w:val="20"/>
        </w:rPr>
        <w:t>Jordan</w:t>
      </w:r>
      <w:r w:rsidR="00345E62">
        <w:rPr>
          <w:color w:val="000000" w:themeColor="text1"/>
          <w:sz w:val="20"/>
          <w:szCs w:val="20"/>
        </w:rPr>
        <w:t xml:space="preserve">, </w:t>
      </w:r>
      <w:r w:rsidR="00345E62" w:rsidRPr="00345E62">
        <w:rPr>
          <w:color w:val="000000" w:themeColor="text1"/>
          <w:sz w:val="20"/>
          <w:szCs w:val="20"/>
        </w:rPr>
        <w:t>Kuwait</w:t>
      </w:r>
      <w:r w:rsidR="00345E62">
        <w:rPr>
          <w:color w:val="000000" w:themeColor="text1"/>
          <w:sz w:val="20"/>
          <w:szCs w:val="20"/>
        </w:rPr>
        <w:t xml:space="preserve">, </w:t>
      </w:r>
      <w:r w:rsidR="00345E62" w:rsidRPr="00345E62">
        <w:rPr>
          <w:color w:val="000000" w:themeColor="text1"/>
          <w:sz w:val="20"/>
          <w:szCs w:val="20"/>
        </w:rPr>
        <w:t>Liechtenstein</w:t>
      </w:r>
      <w:r w:rsidR="00345E62">
        <w:rPr>
          <w:color w:val="000000" w:themeColor="text1"/>
          <w:sz w:val="20"/>
          <w:szCs w:val="20"/>
        </w:rPr>
        <w:t xml:space="preserve">, </w:t>
      </w:r>
      <w:r w:rsidR="00345E62" w:rsidRPr="00345E62">
        <w:rPr>
          <w:color w:val="000000" w:themeColor="text1"/>
          <w:sz w:val="20"/>
          <w:szCs w:val="20"/>
        </w:rPr>
        <w:t>Maldives</w:t>
      </w:r>
      <w:r w:rsidR="00345E62">
        <w:rPr>
          <w:color w:val="000000" w:themeColor="text1"/>
          <w:sz w:val="20"/>
          <w:szCs w:val="20"/>
        </w:rPr>
        <w:t xml:space="preserve">, </w:t>
      </w:r>
      <w:r w:rsidR="00345E62" w:rsidRPr="00345E62">
        <w:rPr>
          <w:color w:val="000000" w:themeColor="text1"/>
          <w:sz w:val="20"/>
          <w:szCs w:val="20"/>
        </w:rPr>
        <w:t>Malta</w:t>
      </w:r>
      <w:r w:rsidR="00345E62">
        <w:rPr>
          <w:color w:val="000000" w:themeColor="text1"/>
          <w:sz w:val="20"/>
          <w:szCs w:val="20"/>
        </w:rPr>
        <w:t xml:space="preserve">, </w:t>
      </w:r>
      <w:r w:rsidR="00345E62" w:rsidRPr="00345E62">
        <w:rPr>
          <w:color w:val="000000" w:themeColor="text1"/>
          <w:sz w:val="20"/>
          <w:szCs w:val="20"/>
        </w:rPr>
        <w:t>Netherlands</w:t>
      </w:r>
      <w:r w:rsidR="00345E62">
        <w:rPr>
          <w:color w:val="000000" w:themeColor="text1"/>
          <w:sz w:val="20"/>
          <w:szCs w:val="20"/>
        </w:rPr>
        <w:t xml:space="preserve">, </w:t>
      </w:r>
      <w:r w:rsidR="00345E62" w:rsidRPr="00345E62">
        <w:rPr>
          <w:color w:val="000000" w:themeColor="text1"/>
          <w:sz w:val="20"/>
          <w:szCs w:val="20"/>
        </w:rPr>
        <w:t>Romania</w:t>
      </w:r>
      <w:r w:rsidR="00345E62">
        <w:rPr>
          <w:color w:val="000000" w:themeColor="text1"/>
          <w:sz w:val="20"/>
          <w:szCs w:val="20"/>
        </w:rPr>
        <w:t xml:space="preserve">, </w:t>
      </w:r>
      <w:r w:rsidR="00345E62" w:rsidRPr="00345E62">
        <w:rPr>
          <w:color w:val="000000" w:themeColor="text1"/>
          <w:sz w:val="20"/>
          <w:szCs w:val="20"/>
        </w:rPr>
        <w:t>Russian Federation</w:t>
      </w:r>
      <w:r w:rsidR="00345E62">
        <w:rPr>
          <w:color w:val="000000" w:themeColor="text1"/>
          <w:sz w:val="20"/>
          <w:szCs w:val="20"/>
        </w:rPr>
        <w:t xml:space="preserve">, </w:t>
      </w:r>
      <w:r w:rsidR="00345E62" w:rsidRPr="00345E62">
        <w:rPr>
          <w:color w:val="000000" w:themeColor="text1"/>
          <w:sz w:val="20"/>
          <w:szCs w:val="20"/>
        </w:rPr>
        <w:t>Sudan</w:t>
      </w:r>
      <w:r w:rsidR="00345E62">
        <w:rPr>
          <w:color w:val="000000" w:themeColor="text1"/>
          <w:sz w:val="20"/>
          <w:szCs w:val="20"/>
        </w:rPr>
        <w:t xml:space="preserve">, </w:t>
      </w:r>
      <w:r w:rsidR="00345E62" w:rsidRPr="00345E62">
        <w:rPr>
          <w:color w:val="000000" w:themeColor="text1"/>
          <w:sz w:val="20"/>
          <w:szCs w:val="20"/>
        </w:rPr>
        <w:t>Switzerland</w:t>
      </w:r>
      <w:r w:rsidR="00345E62">
        <w:rPr>
          <w:color w:val="000000" w:themeColor="text1"/>
          <w:sz w:val="20"/>
          <w:szCs w:val="20"/>
        </w:rPr>
        <w:t xml:space="preserve">, </w:t>
      </w:r>
      <w:r w:rsidR="00345E62" w:rsidRPr="00345E62">
        <w:rPr>
          <w:color w:val="000000" w:themeColor="text1"/>
          <w:sz w:val="20"/>
          <w:szCs w:val="20"/>
        </w:rPr>
        <w:t>Turkey</w:t>
      </w:r>
      <w:r w:rsidR="00345E62">
        <w:rPr>
          <w:color w:val="000000" w:themeColor="text1"/>
          <w:sz w:val="20"/>
          <w:szCs w:val="20"/>
        </w:rPr>
        <w:t xml:space="preserve">, </w:t>
      </w:r>
      <w:r w:rsidR="00345E62" w:rsidRPr="00345E62">
        <w:rPr>
          <w:color w:val="000000" w:themeColor="text1"/>
          <w:sz w:val="20"/>
          <w:szCs w:val="20"/>
        </w:rPr>
        <w:t>United Arab Emirates</w:t>
      </w:r>
      <w:r w:rsidR="00345E62">
        <w:rPr>
          <w:color w:val="000000" w:themeColor="text1"/>
          <w:sz w:val="20"/>
          <w:szCs w:val="20"/>
        </w:rPr>
        <w:t xml:space="preserve">, </w:t>
      </w:r>
      <w:r w:rsidR="00345E62" w:rsidRPr="00345E62">
        <w:rPr>
          <w:color w:val="000000" w:themeColor="text1"/>
          <w:sz w:val="20"/>
          <w:szCs w:val="20"/>
        </w:rPr>
        <w:t>Venezuela (Bolivarian Republic of)</w:t>
      </w:r>
      <w:r w:rsidRPr="0067399B">
        <w:rPr>
          <w:color w:val="000000" w:themeColor="text1"/>
          <w:sz w:val="20"/>
          <w:szCs w:val="20"/>
        </w:rPr>
        <w:t>;</w:t>
      </w:r>
      <w:r w:rsidR="00345E62" w:rsidRPr="00345E62">
        <w:rPr>
          <w:color w:val="000000" w:themeColor="text1"/>
          <w:sz w:val="20"/>
          <w:szCs w:val="20"/>
        </w:rPr>
        <w:t xml:space="preserve"> </w:t>
      </w:r>
    </w:p>
    <w:p w14:paraId="0E2D6657" w14:textId="77777777" w:rsidR="00345E62" w:rsidRPr="0067399B" w:rsidRDefault="00345E62" w:rsidP="00345E62">
      <w:pPr>
        <w:spacing w:after="120"/>
        <w:ind w:left="1134" w:right="1134" w:firstLine="567"/>
        <w:jc w:val="both"/>
        <w:rPr>
          <w:color w:val="000000" w:themeColor="text1"/>
          <w:sz w:val="20"/>
          <w:szCs w:val="20"/>
        </w:rPr>
      </w:pPr>
      <w:r w:rsidRPr="0067399B">
        <w:rPr>
          <w:color w:val="000000" w:themeColor="text1"/>
          <w:sz w:val="20"/>
          <w:szCs w:val="20"/>
        </w:rPr>
        <w:t>(c)</w:t>
      </w:r>
      <w:r w:rsidRPr="0067399B">
        <w:rPr>
          <w:color w:val="000000" w:themeColor="text1"/>
          <w:sz w:val="20"/>
          <w:szCs w:val="20"/>
        </w:rPr>
        <w:tab/>
        <w:t>Observer for United Nations entities, specialized agencies and related organizations:</w:t>
      </w:r>
      <w:r w:rsidRPr="00F50A37">
        <w:t xml:space="preserve"> </w:t>
      </w:r>
      <w:r w:rsidRPr="00F50A37">
        <w:rPr>
          <w:color w:val="000000" w:themeColor="text1"/>
          <w:sz w:val="20"/>
          <w:szCs w:val="20"/>
        </w:rPr>
        <w:t>United Nations Entity for Gender Equality and the Empowerment of Women</w:t>
      </w:r>
      <w:r>
        <w:rPr>
          <w:color w:val="000000" w:themeColor="text1"/>
          <w:sz w:val="20"/>
          <w:szCs w:val="20"/>
        </w:rPr>
        <w:t xml:space="preserve"> (</w:t>
      </w:r>
      <w:r w:rsidRPr="00803914">
        <w:rPr>
          <w:color w:val="000000" w:themeColor="text1"/>
          <w:sz w:val="20"/>
          <w:szCs w:val="20"/>
        </w:rPr>
        <w:t>UN Women</w:t>
      </w:r>
      <w:r>
        <w:rPr>
          <w:color w:val="000000" w:themeColor="text1"/>
          <w:sz w:val="20"/>
          <w:szCs w:val="20"/>
        </w:rPr>
        <w:t>);</w:t>
      </w:r>
    </w:p>
    <w:p w14:paraId="4C032762" w14:textId="4EBEE8B7" w:rsidR="006339E6" w:rsidRPr="0067399B" w:rsidRDefault="006339E6" w:rsidP="006339E6">
      <w:pPr>
        <w:pStyle w:val="SingleTxtG"/>
        <w:ind w:firstLine="567"/>
        <w:rPr>
          <w:color w:val="000000" w:themeColor="text1"/>
          <w:sz w:val="20"/>
          <w:szCs w:val="20"/>
        </w:rPr>
      </w:pPr>
      <w:r w:rsidRPr="0067399B">
        <w:rPr>
          <w:color w:val="000000" w:themeColor="text1"/>
          <w:sz w:val="20"/>
          <w:szCs w:val="20"/>
        </w:rPr>
        <w:t>(</w:t>
      </w:r>
      <w:r w:rsidR="00345E62">
        <w:rPr>
          <w:color w:val="000000" w:themeColor="text1"/>
          <w:sz w:val="20"/>
          <w:szCs w:val="20"/>
        </w:rPr>
        <w:t>d</w:t>
      </w:r>
      <w:r w:rsidRPr="0067399B">
        <w:rPr>
          <w:color w:val="000000" w:themeColor="text1"/>
          <w:sz w:val="20"/>
          <w:szCs w:val="20"/>
        </w:rPr>
        <w:t>)</w:t>
      </w:r>
      <w:r w:rsidRPr="0067399B">
        <w:rPr>
          <w:color w:val="000000" w:themeColor="text1"/>
          <w:sz w:val="20"/>
          <w:szCs w:val="20"/>
        </w:rPr>
        <w:tab/>
        <w:t xml:space="preserve">Observer for an intergovernmental organization: European Union; </w:t>
      </w:r>
    </w:p>
    <w:p w14:paraId="300AAC33" w14:textId="706631C8" w:rsidR="006339E6" w:rsidRPr="0067399B" w:rsidRDefault="006339E6" w:rsidP="006339E6">
      <w:pPr>
        <w:pStyle w:val="SingleTxtG"/>
        <w:ind w:firstLine="567"/>
        <w:rPr>
          <w:color w:val="000000" w:themeColor="text1"/>
          <w:sz w:val="20"/>
          <w:szCs w:val="20"/>
        </w:rPr>
      </w:pPr>
      <w:r w:rsidRPr="0067399B">
        <w:rPr>
          <w:color w:val="000000" w:themeColor="text1"/>
          <w:sz w:val="20"/>
          <w:szCs w:val="20"/>
        </w:rPr>
        <w:t>(</w:t>
      </w:r>
      <w:r w:rsidR="00345E62">
        <w:rPr>
          <w:color w:val="000000" w:themeColor="text1"/>
          <w:sz w:val="20"/>
          <w:szCs w:val="20"/>
        </w:rPr>
        <w:t>e</w:t>
      </w:r>
      <w:r w:rsidRPr="0067399B">
        <w:rPr>
          <w:color w:val="000000" w:themeColor="text1"/>
          <w:sz w:val="20"/>
          <w:szCs w:val="20"/>
        </w:rPr>
        <w:t>)</w:t>
      </w:r>
      <w:r w:rsidRPr="0067399B">
        <w:rPr>
          <w:color w:val="000000" w:themeColor="text1"/>
          <w:sz w:val="20"/>
          <w:szCs w:val="20"/>
        </w:rPr>
        <w:tab/>
        <w:t>Observers for non-governmental organizations:</w:t>
      </w:r>
      <w:r w:rsidR="00B77837" w:rsidRPr="0067399B">
        <w:rPr>
          <w:color w:val="000000" w:themeColor="text1"/>
          <w:sz w:val="20"/>
          <w:szCs w:val="20"/>
        </w:rPr>
        <w:t xml:space="preserve"> </w:t>
      </w:r>
      <w:r w:rsidR="00162F52" w:rsidRPr="00162F52">
        <w:rPr>
          <w:color w:val="000000" w:themeColor="text1"/>
          <w:sz w:val="20"/>
          <w:szCs w:val="20"/>
        </w:rPr>
        <w:t>Conseil International pour le soutien à des procès équitables et aux Droits de l</w:t>
      </w:r>
      <w:r w:rsidR="00D72627">
        <w:rPr>
          <w:color w:val="000000" w:themeColor="text1"/>
          <w:sz w:val="20"/>
          <w:szCs w:val="20"/>
        </w:rPr>
        <w:t>’</w:t>
      </w:r>
      <w:r w:rsidR="00162F52" w:rsidRPr="00162F52">
        <w:rPr>
          <w:color w:val="000000" w:themeColor="text1"/>
          <w:sz w:val="20"/>
          <w:szCs w:val="20"/>
        </w:rPr>
        <w:t>Homme</w:t>
      </w:r>
      <w:r w:rsidR="00162F52">
        <w:rPr>
          <w:color w:val="000000" w:themeColor="text1"/>
          <w:sz w:val="20"/>
          <w:szCs w:val="20"/>
        </w:rPr>
        <w:t xml:space="preserve">; Indian Movement “Tupaj Amaru”; </w:t>
      </w:r>
      <w:r w:rsidR="00162F52" w:rsidRPr="00162F52">
        <w:rPr>
          <w:color w:val="000000" w:themeColor="text1"/>
          <w:sz w:val="20"/>
          <w:szCs w:val="20"/>
        </w:rPr>
        <w:t>International Federation for Human Rights Leagues</w:t>
      </w:r>
      <w:r w:rsidR="00162F52">
        <w:rPr>
          <w:color w:val="000000" w:themeColor="text1"/>
          <w:sz w:val="20"/>
          <w:szCs w:val="20"/>
        </w:rPr>
        <w:t xml:space="preserve">; </w:t>
      </w:r>
      <w:r w:rsidR="00162F52" w:rsidRPr="00162F52">
        <w:rPr>
          <w:color w:val="000000" w:themeColor="text1"/>
          <w:sz w:val="20"/>
          <w:szCs w:val="20"/>
        </w:rPr>
        <w:t>Khiam Rehabilitation Center for Victims of Torture</w:t>
      </w:r>
      <w:r w:rsidR="00162F52">
        <w:rPr>
          <w:color w:val="000000" w:themeColor="text1"/>
          <w:sz w:val="20"/>
          <w:szCs w:val="20"/>
        </w:rPr>
        <w:t xml:space="preserve">; </w:t>
      </w:r>
      <w:r w:rsidR="00162F52" w:rsidRPr="00162F52">
        <w:rPr>
          <w:color w:val="000000" w:themeColor="text1"/>
          <w:sz w:val="20"/>
          <w:szCs w:val="20"/>
        </w:rPr>
        <w:t>Physicians for Human Rights</w:t>
      </w:r>
      <w:r w:rsidR="00162F52">
        <w:rPr>
          <w:color w:val="000000" w:themeColor="text1"/>
          <w:sz w:val="20"/>
          <w:szCs w:val="20"/>
        </w:rPr>
        <w:t xml:space="preserve">; </w:t>
      </w:r>
      <w:r w:rsidR="00162F52" w:rsidRPr="00162F52">
        <w:rPr>
          <w:color w:val="000000" w:themeColor="text1"/>
          <w:sz w:val="20"/>
          <w:szCs w:val="20"/>
        </w:rPr>
        <w:t>The Palestinian Return Centre Ltd</w:t>
      </w:r>
      <w:r w:rsidR="00162F52">
        <w:rPr>
          <w:color w:val="000000" w:themeColor="text1"/>
          <w:sz w:val="20"/>
          <w:szCs w:val="20"/>
        </w:rPr>
        <w:t xml:space="preserve">; </w:t>
      </w:r>
      <w:r w:rsidR="00162F52" w:rsidRPr="00162F52">
        <w:rPr>
          <w:color w:val="000000" w:themeColor="text1"/>
          <w:sz w:val="20"/>
          <w:szCs w:val="20"/>
        </w:rPr>
        <w:t>Union of Arab Jurists</w:t>
      </w:r>
      <w:r w:rsidR="00162F52">
        <w:rPr>
          <w:color w:val="000000" w:themeColor="text1"/>
          <w:sz w:val="20"/>
          <w:szCs w:val="20"/>
        </w:rPr>
        <w:t xml:space="preserve">; </w:t>
      </w:r>
      <w:r w:rsidR="00162F52" w:rsidRPr="00162F52">
        <w:rPr>
          <w:color w:val="000000" w:themeColor="text1"/>
          <w:sz w:val="20"/>
          <w:szCs w:val="20"/>
        </w:rPr>
        <w:t>Women</w:t>
      </w:r>
      <w:r w:rsidR="00D72627">
        <w:rPr>
          <w:color w:val="000000" w:themeColor="text1"/>
          <w:sz w:val="20"/>
          <w:szCs w:val="20"/>
        </w:rPr>
        <w:t>’</w:t>
      </w:r>
      <w:r w:rsidR="00162F52" w:rsidRPr="00162F52">
        <w:rPr>
          <w:color w:val="000000" w:themeColor="text1"/>
          <w:sz w:val="20"/>
          <w:szCs w:val="20"/>
        </w:rPr>
        <w:t>s International League for Peace and Freedom</w:t>
      </w:r>
      <w:r w:rsidR="00B77837" w:rsidRPr="0067399B">
        <w:rPr>
          <w:color w:val="000000" w:themeColor="text1"/>
          <w:sz w:val="20"/>
          <w:szCs w:val="20"/>
        </w:rPr>
        <w:t>.</w:t>
      </w:r>
    </w:p>
    <w:p w14:paraId="247CF2F3" w14:textId="0B56F56D" w:rsidR="006339E6" w:rsidRDefault="002B4AE4" w:rsidP="006339E6">
      <w:pPr>
        <w:pStyle w:val="SingleTxtG"/>
        <w:rPr>
          <w:color w:val="000000" w:themeColor="text1"/>
          <w:sz w:val="20"/>
          <w:szCs w:val="20"/>
        </w:rPr>
      </w:pPr>
      <w:r>
        <w:rPr>
          <w:color w:val="000000" w:themeColor="text1"/>
          <w:sz w:val="20"/>
          <w:szCs w:val="20"/>
        </w:rPr>
        <w:lastRenderedPageBreak/>
        <w:t>260</w:t>
      </w:r>
      <w:r w:rsidR="006339E6" w:rsidRPr="0067399B">
        <w:rPr>
          <w:color w:val="000000" w:themeColor="text1"/>
          <w:sz w:val="20"/>
          <w:szCs w:val="20"/>
        </w:rPr>
        <w:t>.</w:t>
      </w:r>
      <w:r w:rsidR="006339E6" w:rsidRPr="0067399B">
        <w:rPr>
          <w:color w:val="000000" w:themeColor="text1"/>
          <w:sz w:val="20"/>
          <w:szCs w:val="20"/>
        </w:rPr>
        <w:tab/>
        <w:t xml:space="preserve">At the </w:t>
      </w:r>
      <w:r w:rsidR="00194177">
        <w:rPr>
          <w:color w:val="000000" w:themeColor="text1"/>
          <w:sz w:val="20"/>
          <w:szCs w:val="20"/>
        </w:rPr>
        <w:t xml:space="preserve">30th </w:t>
      </w:r>
      <w:r w:rsidR="006339E6" w:rsidRPr="0067399B">
        <w:rPr>
          <w:color w:val="000000" w:themeColor="text1"/>
          <w:sz w:val="20"/>
          <w:szCs w:val="20"/>
        </w:rPr>
        <w:t xml:space="preserve">meeting, </w:t>
      </w:r>
      <w:r w:rsidR="007E4640">
        <w:rPr>
          <w:color w:val="000000" w:themeColor="text1"/>
          <w:sz w:val="20"/>
          <w:szCs w:val="20"/>
        </w:rPr>
        <w:t xml:space="preserve">on the same day, </w:t>
      </w:r>
      <w:r w:rsidR="006339E6" w:rsidRPr="0067399B">
        <w:rPr>
          <w:color w:val="000000" w:themeColor="text1"/>
          <w:sz w:val="20"/>
          <w:szCs w:val="20"/>
        </w:rPr>
        <w:t xml:space="preserve">the Chairperson </w:t>
      </w:r>
      <w:r w:rsidR="006339E6" w:rsidRPr="00430E53">
        <w:rPr>
          <w:color w:val="000000" w:themeColor="text1"/>
          <w:sz w:val="20"/>
          <w:szCs w:val="20"/>
        </w:rPr>
        <w:t>and members</w:t>
      </w:r>
      <w:r w:rsidR="006339E6" w:rsidRPr="0067399B">
        <w:rPr>
          <w:color w:val="000000" w:themeColor="text1"/>
          <w:sz w:val="20"/>
          <w:szCs w:val="20"/>
        </w:rPr>
        <w:t xml:space="preserve"> of the Commission</w:t>
      </w:r>
      <w:r w:rsidR="00430E53">
        <w:rPr>
          <w:color w:val="000000" w:themeColor="text1"/>
          <w:sz w:val="20"/>
          <w:szCs w:val="20"/>
        </w:rPr>
        <w:t xml:space="preserve">, </w:t>
      </w:r>
      <w:r w:rsidR="00430E53" w:rsidRPr="00430E53">
        <w:rPr>
          <w:color w:val="000000" w:themeColor="text1"/>
          <w:sz w:val="20"/>
          <w:szCs w:val="20"/>
        </w:rPr>
        <w:t>Koning AbuZayd and</w:t>
      </w:r>
      <w:r w:rsidR="00430E53">
        <w:rPr>
          <w:color w:val="000000" w:themeColor="text1"/>
          <w:sz w:val="20"/>
          <w:szCs w:val="20"/>
        </w:rPr>
        <w:t xml:space="preserve"> </w:t>
      </w:r>
      <w:r w:rsidR="00430E53" w:rsidRPr="00430E53">
        <w:rPr>
          <w:color w:val="000000" w:themeColor="text1"/>
          <w:sz w:val="20"/>
          <w:szCs w:val="20"/>
        </w:rPr>
        <w:t>Hanny Megally</w:t>
      </w:r>
      <w:r w:rsidR="00430E53">
        <w:rPr>
          <w:color w:val="000000" w:themeColor="text1"/>
          <w:sz w:val="20"/>
          <w:szCs w:val="20"/>
        </w:rPr>
        <w:t xml:space="preserve">, </w:t>
      </w:r>
      <w:r w:rsidR="006339E6" w:rsidRPr="0067399B">
        <w:rPr>
          <w:color w:val="000000" w:themeColor="text1"/>
          <w:sz w:val="20"/>
          <w:szCs w:val="20"/>
        </w:rPr>
        <w:t xml:space="preserve">answered questions and made their concluding remarks. </w:t>
      </w:r>
    </w:p>
    <w:p w14:paraId="6ACABEE2" w14:textId="07221EA1" w:rsidR="007E4640" w:rsidRPr="0067399B" w:rsidRDefault="002B4AE4" w:rsidP="007E4640">
      <w:pPr>
        <w:pStyle w:val="SingleTxtG"/>
        <w:rPr>
          <w:color w:val="000000" w:themeColor="text1"/>
          <w:sz w:val="20"/>
          <w:szCs w:val="20"/>
        </w:rPr>
      </w:pPr>
      <w:r>
        <w:rPr>
          <w:color w:val="000000" w:themeColor="text1"/>
          <w:sz w:val="20"/>
          <w:szCs w:val="20"/>
        </w:rPr>
        <w:t>261</w:t>
      </w:r>
      <w:r w:rsidR="007E4640" w:rsidRPr="007C176F">
        <w:rPr>
          <w:color w:val="000000" w:themeColor="text1"/>
          <w:sz w:val="20"/>
          <w:szCs w:val="20"/>
        </w:rPr>
        <w:t>.</w:t>
      </w:r>
      <w:r w:rsidR="007E4640" w:rsidRPr="007C176F">
        <w:rPr>
          <w:color w:val="000000" w:themeColor="text1"/>
          <w:sz w:val="20"/>
          <w:szCs w:val="20"/>
        </w:rPr>
        <w:tab/>
        <w:t xml:space="preserve">At the </w:t>
      </w:r>
      <w:r w:rsidR="007E4640">
        <w:rPr>
          <w:color w:val="000000" w:themeColor="text1"/>
          <w:sz w:val="20"/>
          <w:szCs w:val="20"/>
        </w:rPr>
        <w:t>31st meeting</w:t>
      </w:r>
      <w:r w:rsidR="007E4640" w:rsidRPr="007C176F">
        <w:rPr>
          <w:color w:val="000000" w:themeColor="text1"/>
          <w:sz w:val="20"/>
          <w:szCs w:val="20"/>
        </w:rPr>
        <w:t xml:space="preserve">, </w:t>
      </w:r>
      <w:r w:rsidR="007E4640">
        <w:rPr>
          <w:color w:val="000000" w:themeColor="text1"/>
          <w:sz w:val="20"/>
          <w:szCs w:val="20"/>
        </w:rPr>
        <w:t xml:space="preserve">on 12 March 2019, a </w:t>
      </w:r>
      <w:r w:rsidR="007E4640" w:rsidRPr="007C176F">
        <w:rPr>
          <w:color w:val="000000" w:themeColor="text1"/>
          <w:sz w:val="20"/>
          <w:szCs w:val="20"/>
        </w:rPr>
        <w:t xml:space="preserve">statement in exercise of the right of reply </w:t>
      </w:r>
      <w:r w:rsidR="007E4640">
        <w:rPr>
          <w:color w:val="000000" w:themeColor="text1"/>
          <w:sz w:val="20"/>
          <w:szCs w:val="20"/>
        </w:rPr>
        <w:t>was</w:t>
      </w:r>
      <w:r w:rsidR="007E4640" w:rsidRPr="007C176F">
        <w:rPr>
          <w:color w:val="000000" w:themeColor="text1"/>
          <w:sz w:val="20"/>
          <w:szCs w:val="20"/>
        </w:rPr>
        <w:t xml:space="preserve"> made by the representative</w:t>
      </w:r>
      <w:r w:rsidR="007E4640">
        <w:rPr>
          <w:color w:val="000000" w:themeColor="text1"/>
          <w:sz w:val="20"/>
          <w:szCs w:val="20"/>
        </w:rPr>
        <w:t xml:space="preserve"> of Lebanon.</w:t>
      </w:r>
    </w:p>
    <w:p w14:paraId="2EA58A34" w14:textId="68F35D0B" w:rsidR="00F11B08" w:rsidRPr="00C16037" w:rsidRDefault="00F11B08" w:rsidP="00415787">
      <w:pPr>
        <w:pStyle w:val="H1G"/>
        <w:rPr>
          <w:color w:val="000000" w:themeColor="text1"/>
        </w:rPr>
      </w:pPr>
      <w:r w:rsidRPr="00C16037">
        <w:rPr>
          <w:color w:val="000000" w:themeColor="text1"/>
        </w:rPr>
        <w:tab/>
      </w:r>
      <w:r w:rsidR="00B168DF">
        <w:rPr>
          <w:color w:val="000000" w:themeColor="text1"/>
        </w:rPr>
        <w:t>D</w:t>
      </w:r>
      <w:r w:rsidRPr="00B168DF">
        <w:rPr>
          <w:color w:val="000000" w:themeColor="text1"/>
        </w:rPr>
        <w:t>.</w:t>
      </w:r>
      <w:r w:rsidRPr="00B168DF">
        <w:rPr>
          <w:color w:val="000000" w:themeColor="text1"/>
        </w:rPr>
        <w:tab/>
        <w:t>Interactive dialogue with the Commission of Inquiry on Burundi</w:t>
      </w:r>
    </w:p>
    <w:p w14:paraId="5A18625D" w14:textId="7A520A68" w:rsidR="00460B3A" w:rsidRPr="0067399B" w:rsidRDefault="002B4AE4" w:rsidP="00460B3A">
      <w:pPr>
        <w:pStyle w:val="SingleTxtG"/>
        <w:rPr>
          <w:color w:val="000000" w:themeColor="text1"/>
          <w:sz w:val="20"/>
          <w:szCs w:val="20"/>
        </w:rPr>
      </w:pPr>
      <w:r>
        <w:rPr>
          <w:color w:val="000000" w:themeColor="text1"/>
          <w:sz w:val="20"/>
          <w:szCs w:val="20"/>
        </w:rPr>
        <w:t>262</w:t>
      </w:r>
      <w:r w:rsidR="00460B3A" w:rsidRPr="0067399B">
        <w:rPr>
          <w:color w:val="000000" w:themeColor="text1"/>
          <w:sz w:val="20"/>
          <w:szCs w:val="20"/>
        </w:rPr>
        <w:t>.</w:t>
      </w:r>
      <w:r w:rsidR="00460B3A" w:rsidRPr="0067399B">
        <w:rPr>
          <w:color w:val="000000" w:themeColor="text1"/>
          <w:sz w:val="20"/>
          <w:szCs w:val="20"/>
        </w:rPr>
        <w:tab/>
        <w:t xml:space="preserve">At the </w:t>
      </w:r>
      <w:r w:rsidR="00A70E38">
        <w:rPr>
          <w:color w:val="000000" w:themeColor="text1"/>
          <w:sz w:val="20"/>
          <w:szCs w:val="20"/>
        </w:rPr>
        <w:t>30th</w:t>
      </w:r>
      <w:r w:rsidR="00460B3A" w:rsidRPr="0067399B">
        <w:rPr>
          <w:color w:val="000000" w:themeColor="text1"/>
          <w:sz w:val="20"/>
          <w:szCs w:val="20"/>
        </w:rPr>
        <w:t xml:space="preserve"> meeting, on 1</w:t>
      </w:r>
      <w:r w:rsidR="00A70E38">
        <w:rPr>
          <w:color w:val="000000" w:themeColor="text1"/>
          <w:sz w:val="20"/>
          <w:szCs w:val="20"/>
        </w:rPr>
        <w:t>2</w:t>
      </w:r>
      <w:r w:rsidR="00460B3A" w:rsidRPr="0067399B">
        <w:rPr>
          <w:color w:val="000000" w:themeColor="text1"/>
          <w:sz w:val="20"/>
          <w:szCs w:val="20"/>
        </w:rPr>
        <w:t xml:space="preserve"> March </w:t>
      </w:r>
      <w:r w:rsidR="00141AFC">
        <w:rPr>
          <w:color w:val="000000" w:themeColor="text1"/>
          <w:sz w:val="20"/>
          <w:szCs w:val="20"/>
        </w:rPr>
        <w:t>2019</w:t>
      </w:r>
      <w:r w:rsidR="00460B3A" w:rsidRPr="0067399B">
        <w:rPr>
          <w:color w:val="000000" w:themeColor="text1"/>
          <w:sz w:val="20"/>
          <w:szCs w:val="20"/>
        </w:rPr>
        <w:t xml:space="preserve">, the </w:t>
      </w:r>
      <w:r w:rsidR="008C4F95">
        <w:rPr>
          <w:color w:val="000000" w:themeColor="text1"/>
          <w:sz w:val="20"/>
          <w:szCs w:val="20"/>
        </w:rPr>
        <w:t>Chairman</w:t>
      </w:r>
      <w:r w:rsidR="00460B3A" w:rsidRPr="0067399B">
        <w:rPr>
          <w:color w:val="000000" w:themeColor="text1"/>
          <w:sz w:val="20"/>
          <w:szCs w:val="20"/>
        </w:rPr>
        <w:t xml:space="preserve"> of the Commission of Inquiry on Burundi, Doudou Diène, </w:t>
      </w:r>
      <w:r w:rsidR="008C4F95">
        <w:rPr>
          <w:color w:val="000000" w:themeColor="text1"/>
          <w:sz w:val="20"/>
          <w:szCs w:val="20"/>
        </w:rPr>
        <w:t xml:space="preserve">and the members of the Commission, </w:t>
      </w:r>
      <w:r w:rsidR="00460B3A" w:rsidRPr="0067399B">
        <w:rPr>
          <w:color w:val="000000" w:themeColor="text1"/>
          <w:sz w:val="20"/>
          <w:szCs w:val="20"/>
        </w:rPr>
        <w:t xml:space="preserve">Francoise Hampson and Lucy Asuagbor, gave an oral briefing, pursuant to Human Rights Council resolution </w:t>
      </w:r>
      <w:r w:rsidR="00A70E38">
        <w:rPr>
          <w:color w:val="000000" w:themeColor="text1"/>
          <w:sz w:val="20"/>
          <w:szCs w:val="20"/>
        </w:rPr>
        <w:t>39/14</w:t>
      </w:r>
      <w:r w:rsidR="00460B3A" w:rsidRPr="0067399B">
        <w:rPr>
          <w:color w:val="000000" w:themeColor="text1"/>
          <w:sz w:val="20"/>
          <w:szCs w:val="20"/>
        </w:rPr>
        <w:t>.</w:t>
      </w:r>
    </w:p>
    <w:p w14:paraId="7482651F" w14:textId="606146F0" w:rsidR="00460B3A" w:rsidRPr="0067399B" w:rsidRDefault="002B4AE4" w:rsidP="00460B3A">
      <w:pPr>
        <w:pStyle w:val="SingleTxtG"/>
        <w:rPr>
          <w:color w:val="000000" w:themeColor="text1"/>
          <w:sz w:val="20"/>
          <w:szCs w:val="20"/>
        </w:rPr>
      </w:pPr>
      <w:r>
        <w:rPr>
          <w:color w:val="000000" w:themeColor="text1"/>
          <w:sz w:val="20"/>
          <w:szCs w:val="20"/>
        </w:rPr>
        <w:t>263</w:t>
      </w:r>
      <w:r w:rsidR="00460B3A" w:rsidRPr="0067399B">
        <w:rPr>
          <w:color w:val="000000" w:themeColor="text1"/>
          <w:sz w:val="20"/>
          <w:szCs w:val="20"/>
        </w:rPr>
        <w:t>.</w:t>
      </w:r>
      <w:r w:rsidR="00460B3A" w:rsidRPr="0067399B">
        <w:rPr>
          <w:color w:val="000000" w:themeColor="text1"/>
          <w:sz w:val="20"/>
          <w:szCs w:val="20"/>
        </w:rPr>
        <w:tab/>
        <w:t>At the same meeting, the representative of Burundi made a statement as the State concerned.</w:t>
      </w:r>
    </w:p>
    <w:p w14:paraId="496E4036" w14:textId="7AE5710D" w:rsidR="00460B3A" w:rsidRPr="0067399B" w:rsidRDefault="002B4AE4" w:rsidP="00460B3A">
      <w:pPr>
        <w:pStyle w:val="SingleTxtG"/>
        <w:rPr>
          <w:color w:val="000000" w:themeColor="text1"/>
          <w:sz w:val="20"/>
          <w:szCs w:val="20"/>
        </w:rPr>
      </w:pPr>
      <w:r>
        <w:rPr>
          <w:color w:val="000000" w:themeColor="text1"/>
          <w:sz w:val="20"/>
          <w:szCs w:val="20"/>
        </w:rPr>
        <w:t>264</w:t>
      </w:r>
      <w:r w:rsidR="00460B3A" w:rsidRPr="0067399B">
        <w:rPr>
          <w:color w:val="000000" w:themeColor="text1"/>
          <w:sz w:val="20"/>
          <w:szCs w:val="20"/>
        </w:rPr>
        <w:t>.</w:t>
      </w:r>
      <w:r w:rsidR="00460B3A" w:rsidRPr="0067399B">
        <w:rPr>
          <w:color w:val="000000" w:themeColor="text1"/>
          <w:sz w:val="20"/>
          <w:szCs w:val="20"/>
        </w:rPr>
        <w:tab/>
        <w:t xml:space="preserve">During the ensuing interactive dialogue, </w:t>
      </w:r>
      <w:r w:rsidR="004D264F" w:rsidRPr="0067399B">
        <w:rPr>
          <w:color w:val="000000" w:themeColor="text1"/>
          <w:sz w:val="20"/>
          <w:szCs w:val="20"/>
        </w:rPr>
        <w:t xml:space="preserve">at the </w:t>
      </w:r>
      <w:r w:rsidR="00346463">
        <w:rPr>
          <w:color w:val="000000" w:themeColor="text1"/>
          <w:sz w:val="20"/>
          <w:szCs w:val="20"/>
        </w:rPr>
        <w:t>same meeting</w:t>
      </w:r>
      <w:r w:rsidR="004D264F" w:rsidRPr="0067399B">
        <w:rPr>
          <w:color w:val="000000" w:themeColor="text1"/>
          <w:sz w:val="20"/>
          <w:szCs w:val="20"/>
        </w:rPr>
        <w:t xml:space="preserve">, on </w:t>
      </w:r>
      <w:r w:rsidR="00346463">
        <w:rPr>
          <w:color w:val="000000" w:themeColor="text1"/>
          <w:sz w:val="20"/>
          <w:szCs w:val="20"/>
        </w:rPr>
        <w:t>the same day</w:t>
      </w:r>
      <w:r w:rsidR="004D264F" w:rsidRPr="0067399B">
        <w:rPr>
          <w:color w:val="000000" w:themeColor="text1"/>
          <w:sz w:val="20"/>
          <w:szCs w:val="20"/>
        </w:rPr>
        <w:t>,</w:t>
      </w:r>
      <w:r w:rsidR="00460B3A" w:rsidRPr="0067399B">
        <w:rPr>
          <w:color w:val="000000" w:themeColor="text1"/>
          <w:sz w:val="20"/>
          <w:szCs w:val="20"/>
        </w:rPr>
        <w:t xml:space="preserve"> the following made statements and asked the members of the Commission of Inquiry questions:</w:t>
      </w:r>
    </w:p>
    <w:p w14:paraId="25A22B77" w14:textId="6FE03718" w:rsidR="00460B3A" w:rsidRPr="0067399B" w:rsidRDefault="00460B3A" w:rsidP="00460B3A">
      <w:pPr>
        <w:pStyle w:val="SingleTxtG"/>
        <w:ind w:firstLine="567"/>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 </w:t>
      </w:r>
      <w:r w:rsidR="00DB66C3" w:rsidRPr="00DB66C3">
        <w:rPr>
          <w:color w:val="000000" w:themeColor="text1"/>
          <w:sz w:val="20"/>
          <w:szCs w:val="20"/>
        </w:rPr>
        <w:t>Australia</w:t>
      </w:r>
      <w:r w:rsidR="00DB66C3">
        <w:rPr>
          <w:color w:val="000000" w:themeColor="text1"/>
          <w:sz w:val="20"/>
          <w:szCs w:val="20"/>
        </w:rPr>
        <w:t xml:space="preserve">, </w:t>
      </w:r>
      <w:r w:rsidR="00DB66C3" w:rsidRPr="00DB66C3">
        <w:rPr>
          <w:color w:val="000000" w:themeColor="text1"/>
          <w:sz w:val="20"/>
          <w:szCs w:val="20"/>
        </w:rPr>
        <w:t>Cameroon</w:t>
      </w:r>
      <w:r w:rsidR="00DB66C3">
        <w:rPr>
          <w:color w:val="000000" w:themeColor="text1"/>
          <w:sz w:val="20"/>
          <w:szCs w:val="20"/>
        </w:rPr>
        <w:t xml:space="preserve">, </w:t>
      </w:r>
      <w:r w:rsidR="00DB66C3" w:rsidRPr="00DB66C3">
        <w:rPr>
          <w:color w:val="000000" w:themeColor="text1"/>
          <w:sz w:val="20"/>
          <w:szCs w:val="20"/>
        </w:rPr>
        <w:t>China</w:t>
      </w:r>
      <w:r w:rsidR="00DB66C3">
        <w:rPr>
          <w:color w:val="000000" w:themeColor="text1"/>
          <w:sz w:val="20"/>
          <w:szCs w:val="20"/>
        </w:rPr>
        <w:t xml:space="preserve">, </w:t>
      </w:r>
      <w:r w:rsidR="00DB66C3" w:rsidRPr="00DB66C3">
        <w:rPr>
          <w:color w:val="000000" w:themeColor="text1"/>
          <w:sz w:val="20"/>
          <w:szCs w:val="20"/>
        </w:rPr>
        <w:t>Denmark</w:t>
      </w:r>
      <w:r w:rsidR="00DB66C3">
        <w:rPr>
          <w:color w:val="000000" w:themeColor="text1"/>
          <w:sz w:val="20"/>
          <w:szCs w:val="20"/>
        </w:rPr>
        <w:t xml:space="preserve">, </w:t>
      </w:r>
      <w:r w:rsidR="00DB66C3" w:rsidRPr="00DB66C3">
        <w:rPr>
          <w:color w:val="000000" w:themeColor="text1"/>
          <w:sz w:val="20"/>
          <w:szCs w:val="20"/>
        </w:rPr>
        <w:t>Ukraine</w:t>
      </w:r>
      <w:r w:rsidR="00DB66C3">
        <w:rPr>
          <w:color w:val="000000" w:themeColor="text1"/>
          <w:sz w:val="20"/>
          <w:szCs w:val="20"/>
        </w:rPr>
        <w:t xml:space="preserve">, </w:t>
      </w:r>
      <w:r w:rsidR="00DB66C3" w:rsidRPr="00DB66C3">
        <w:rPr>
          <w:color w:val="000000" w:themeColor="text1"/>
          <w:sz w:val="20"/>
          <w:szCs w:val="20"/>
        </w:rPr>
        <w:t>United Kingdom of Great Britain and Northern Ireland</w:t>
      </w:r>
      <w:r w:rsidRPr="0067399B">
        <w:rPr>
          <w:color w:val="000000" w:themeColor="text1"/>
          <w:sz w:val="20"/>
          <w:szCs w:val="20"/>
        </w:rPr>
        <w:t>;</w:t>
      </w:r>
    </w:p>
    <w:p w14:paraId="596A3185" w14:textId="13FDC79E" w:rsidR="00460B3A" w:rsidRPr="0067399B" w:rsidRDefault="00460B3A" w:rsidP="00460B3A">
      <w:pPr>
        <w:pStyle w:val="SingleTxtG"/>
        <w:ind w:firstLine="567"/>
        <w:rPr>
          <w:color w:val="000000" w:themeColor="text1"/>
          <w:sz w:val="20"/>
          <w:szCs w:val="20"/>
        </w:rPr>
      </w:pPr>
      <w:r w:rsidRPr="0067399B">
        <w:rPr>
          <w:color w:val="000000" w:themeColor="text1"/>
          <w:sz w:val="20"/>
          <w:szCs w:val="20"/>
        </w:rPr>
        <w:t>(b)</w:t>
      </w:r>
      <w:r w:rsidRPr="0067399B">
        <w:rPr>
          <w:color w:val="000000" w:themeColor="text1"/>
          <w:sz w:val="20"/>
          <w:szCs w:val="20"/>
        </w:rPr>
        <w:tab/>
        <w:t xml:space="preserve">Representatives of observer States: </w:t>
      </w:r>
      <w:r w:rsidR="00DB66C3" w:rsidRPr="00DB66C3">
        <w:rPr>
          <w:color w:val="000000" w:themeColor="text1"/>
          <w:sz w:val="20"/>
          <w:szCs w:val="20"/>
        </w:rPr>
        <w:t>Belgium</w:t>
      </w:r>
      <w:r w:rsidR="00DB66C3">
        <w:rPr>
          <w:color w:val="000000" w:themeColor="text1"/>
          <w:sz w:val="20"/>
          <w:szCs w:val="20"/>
        </w:rPr>
        <w:t xml:space="preserve">, </w:t>
      </w:r>
      <w:r w:rsidR="00DB66C3" w:rsidRPr="00DB66C3">
        <w:rPr>
          <w:color w:val="000000" w:themeColor="text1"/>
          <w:sz w:val="20"/>
          <w:szCs w:val="20"/>
        </w:rPr>
        <w:t>Chad</w:t>
      </w:r>
      <w:r w:rsidR="00DB66C3">
        <w:rPr>
          <w:color w:val="000000" w:themeColor="text1"/>
          <w:sz w:val="20"/>
          <w:szCs w:val="20"/>
        </w:rPr>
        <w:t xml:space="preserve">, </w:t>
      </w:r>
      <w:r w:rsidR="00DB66C3" w:rsidRPr="00DB66C3">
        <w:rPr>
          <w:color w:val="000000" w:themeColor="text1"/>
          <w:sz w:val="20"/>
          <w:szCs w:val="20"/>
        </w:rPr>
        <w:t>France</w:t>
      </w:r>
      <w:r w:rsidR="00DB66C3">
        <w:rPr>
          <w:color w:val="000000" w:themeColor="text1"/>
          <w:sz w:val="20"/>
          <w:szCs w:val="20"/>
        </w:rPr>
        <w:t xml:space="preserve">, </w:t>
      </w:r>
      <w:r w:rsidR="00DB66C3" w:rsidRPr="00DB66C3">
        <w:rPr>
          <w:color w:val="000000" w:themeColor="text1"/>
          <w:sz w:val="20"/>
          <w:szCs w:val="20"/>
        </w:rPr>
        <w:t>Germany</w:t>
      </w:r>
      <w:r w:rsidR="00DB66C3">
        <w:rPr>
          <w:color w:val="000000" w:themeColor="text1"/>
          <w:sz w:val="20"/>
          <w:szCs w:val="20"/>
        </w:rPr>
        <w:t xml:space="preserve">, </w:t>
      </w:r>
      <w:r w:rsidR="00DB66C3" w:rsidRPr="00DB66C3">
        <w:rPr>
          <w:color w:val="000000" w:themeColor="text1"/>
          <w:sz w:val="20"/>
          <w:szCs w:val="20"/>
        </w:rPr>
        <w:t>Ireland</w:t>
      </w:r>
      <w:r w:rsidR="00DB66C3">
        <w:rPr>
          <w:color w:val="000000" w:themeColor="text1"/>
          <w:sz w:val="20"/>
          <w:szCs w:val="20"/>
        </w:rPr>
        <w:t xml:space="preserve">, </w:t>
      </w:r>
      <w:r w:rsidR="00DB66C3" w:rsidRPr="00DB66C3">
        <w:rPr>
          <w:color w:val="000000" w:themeColor="text1"/>
          <w:sz w:val="20"/>
          <w:szCs w:val="20"/>
        </w:rPr>
        <w:t>Luxembourg</w:t>
      </w:r>
      <w:r w:rsidR="00DB66C3">
        <w:rPr>
          <w:color w:val="000000" w:themeColor="text1"/>
          <w:sz w:val="20"/>
          <w:szCs w:val="20"/>
        </w:rPr>
        <w:t xml:space="preserve">, </w:t>
      </w:r>
      <w:r w:rsidR="00DB66C3" w:rsidRPr="00DB66C3">
        <w:rPr>
          <w:color w:val="000000" w:themeColor="text1"/>
          <w:sz w:val="20"/>
          <w:szCs w:val="20"/>
        </w:rPr>
        <w:t>Myanmar</w:t>
      </w:r>
      <w:r w:rsidR="00DB66C3">
        <w:rPr>
          <w:color w:val="000000" w:themeColor="text1"/>
          <w:sz w:val="20"/>
          <w:szCs w:val="20"/>
        </w:rPr>
        <w:t xml:space="preserve">, </w:t>
      </w:r>
      <w:r w:rsidR="00DB66C3" w:rsidRPr="00DB66C3">
        <w:rPr>
          <w:color w:val="000000" w:themeColor="text1"/>
          <w:sz w:val="20"/>
          <w:szCs w:val="20"/>
        </w:rPr>
        <w:t>Netherlands</w:t>
      </w:r>
      <w:r w:rsidR="00DB66C3">
        <w:rPr>
          <w:color w:val="000000" w:themeColor="text1"/>
          <w:sz w:val="20"/>
          <w:szCs w:val="20"/>
        </w:rPr>
        <w:t xml:space="preserve">, </w:t>
      </w:r>
      <w:r w:rsidR="00DB66C3" w:rsidRPr="00DB66C3">
        <w:rPr>
          <w:color w:val="000000" w:themeColor="text1"/>
          <w:sz w:val="20"/>
          <w:szCs w:val="20"/>
        </w:rPr>
        <w:t>Norway</w:t>
      </w:r>
      <w:r w:rsidR="00DB66C3">
        <w:rPr>
          <w:color w:val="000000" w:themeColor="text1"/>
          <w:sz w:val="20"/>
          <w:szCs w:val="20"/>
        </w:rPr>
        <w:t xml:space="preserve">, </w:t>
      </w:r>
      <w:r w:rsidR="00DB66C3" w:rsidRPr="00DB66C3">
        <w:rPr>
          <w:color w:val="000000" w:themeColor="text1"/>
          <w:sz w:val="20"/>
          <w:szCs w:val="20"/>
        </w:rPr>
        <w:t>Russian Federation</w:t>
      </w:r>
      <w:r w:rsidR="00DB66C3">
        <w:rPr>
          <w:color w:val="000000" w:themeColor="text1"/>
          <w:sz w:val="20"/>
          <w:szCs w:val="20"/>
        </w:rPr>
        <w:t xml:space="preserve">, </w:t>
      </w:r>
      <w:r w:rsidR="00DB66C3" w:rsidRPr="00DB66C3">
        <w:rPr>
          <w:color w:val="000000" w:themeColor="text1"/>
          <w:sz w:val="20"/>
          <w:szCs w:val="20"/>
        </w:rPr>
        <w:t>Sudan</w:t>
      </w:r>
      <w:r w:rsidR="00DB66C3">
        <w:rPr>
          <w:color w:val="000000" w:themeColor="text1"/>
          <w:sz w:val="20"/>
          <w:szCs w:val="20"/>
        </w:rPr>
        <w:t xml:space="preserve">, </w:t>
      </w:r>
      <w:r w:rsidR="00DB66C3" w:rsidRPr="00DB66C3">
        <w:rPr>
          <w:color w:val="000000" w:themeColor="text1"/>
          <w:sz w:val="20"/>
          <w:szCs w:val="20"/>
        </w:rPr>
        <w:t>Switzerland</w:t>
      </w:r>
      <w:r w:rsidR="00DB66C3">
        <w:rPr>
          <w:color w:val="000000" w:themeColor="text1"/>
          <w:sz w:val="20"/>
          <w:szCs w:val="20"/>
        </w:rPr>
        <w:t xml:space="preserve">, </w:t>
      </w:r>
      <w:r w:rsidR="00DB66C3" w:rsidRPr="00DB66C3">
        <w:rPr>
          <w:color w:val="000000" w:themeColor="text1"/>
          <w:sz w:val="20"/>
          <w:szCs w:val="20"/>
        </w:rPr>
        <w:t>United Republic of Tanzania</w:t>
      </w:r>
      <w:r w:rsidR="00DB66C3">
        <w:rPr>
          <w:color w:val="000000" w:themeColor="text1"/>
          <w:sz w:val="20"/>
          <w:szCs w:val="20"/>
        </w:rPr>
        <w:t xml:space="preserve">, </w:t>
      </w:r>
      <w:r w:rsidR="00DB66C3" w:rsidRPr="00DB66C3">
        <w:rPr>
          <w:color w:val="000000" w:themeColor="text1"/>
          <w:sz w:val="20"/>
          <w:szCs w:val="20"/>
        </w:rPr>
        <w:t>Venezuela (Bolivarian Republic of)</w:t>
      </w:r>
      <w:r w:rsidRPr="0067399B">
        <w:rPr>
          <w:color w:val="000000" w:themeColor="text1"/>
          <w:sz w:val="20"/>
          <w:szCs w:val="20"/>
        </w:rPr>
        <w:t>;</w:t>
      </w:r>
    </w:p>
    <w:p w14:paraId="59FAAB7C" w14:textId="77777777" w:rsidR="00460B3A" w:rsidRPr="0067399B" w:rsidRDefault="00460B3A" w:rsidP="00460B3A">
      <w:pPr>
        <w:pStyle w:val="SingleTxtG"/>
        <w:ind w:firstLine="567"/>
        <w:rPr>
          <w:color w:val="000000" w:themeColor="text1"/>
          <w:sz w:val="20"/>
          <w:szCs w:val="20"/>
        </w:rPr>
      </w:pPr>
      <w:r w:rsidRPr="0067399B">
        <w:rPr>
          <w:color w:val="000000" w:themeColor="text1"/>
          <w:sz w:val="20"/>
          <w:szCs w:val="20"/>
        </w:rPr>
        <w:t>(c)</w:t>
      </w:r>
      <w:r w:rsidRPr="0067399B">
        <w:rPr>
          <w:color w:val="000000" w:themeColor="text1"/>
          <w:sz w:val="20"/>
          <w:szCs w:val="20"/>
        </w:rPr>
        <w:tab/>
        <w:t>Observer for an intergovernmental organization: European Union;</w:t>
      </w:r>
    </w:p>
    <w:p w14:paraId="00918AAB" w14:textId="1A2C06CF" w:rsidR="00460B3A" w:rsidRPr="0067399B" w:rsidRDefault="00460B3A" w:rsidP="00460B3A">
      <w:pPr>
        <w:pStyle w:val="SingleTxtG"/>
        <w:ind w:firstLine="567"/>
        <w:rPr>
          <w:color w:val="000000" w:themeColor="text1"/>
          <w:sz w:val="20"/>
          <w:szCs w:val="20"/>
        </w:rPr>
      </w:pPr>
      <w:r w:rsidRPr="0067399B">
        <w:rPr>
          <w:color w:val="000000" w:themeColor="text1"/>
          <w:sz w:val="20"/>
          <w:szCs w:val="20"/>
        </w:rPr>
        <w:t>(d)</w:t>
      </w:r>
      <w:r w:rsidRPr="0067399B">
        <w:rPr>
          <w:color w:val="000000" w:themeColor="text1"/>
          <w:sz w:val="20"/>
          <w:szCs w:val="20"/>
        </w:rPr>
        <w:tab/>
        <w:t xml:space="preserve">Observers for non-governmental organizations: </w:t>
      </w:r>
      <w:r w:rsidR="002853ED" w:rsidRPr="00DB66C3">
        <w:rPr>
          <w:color w:val="000000" w:themeColor="text1"/>
          <w:sz w:val="20"/>
          <w:szCs w:val="20"/>
        </w:rPr>
        <w:t>Advocates for Human Rights</w:t>
      </w:r>
      <w:r w:rsidR="002853ED">
        <w:rPr>
          <w:color w:val="000000" w:themeColor="text1"/>
          <w:sz w:val="20"/>
          <w:szCs w:val="20"/>
        </w:rPr>
        <w:t xml:space="preserve">; </w:t>
      </w:r>
      <w:r w:rsidR="002853ED" w:rsidRPr="00DB66C3">
        <w:rPr>
          <w:color w:val="000000" w:themeColor="text1"/>
          <w:sz w:val="20"/>
          <w:szCs w:val="20"/>
        </w:rPr>
        <w:t>Article 19 - International Centre Against Censorship, The</w:t>
      </w:r>
      <w:r w:rsidR="002853ED">
        <w:rPr>
          <w:color w:val="000000" w:themeColor="text1"/>
          <w:sz w:val="20"/>
          <w:szCs w:val="20"/>
        </w:rPr>
        <w:t xml:space="preserve">; </w:t>
      </w:r>
      <w:r w:rsidR="002853ED" w:rsidRPr="00DB66C3">
        <w:rPr>
          <w:color w:val="000000" w:themeColor="text1"/>
          <w:sz w:val="20"/>
          <w:szCs w:val="20"/>
        </w:rPr>
        <w:t>CIVICUS - World Alliance for Citizen Participation</w:t>
      </w:r>
      <w:r w:rsidR="002853ED">
        <w:rPr>
          <w:color w:val="000000" w:themeColor="text1"/>
          <w:sz w:val="20"/>
          <w:szCs w:val="20"/>
        </w:rPr>
        <w:t xml:space="preserve">; </w:t>
      </w:r>
      <w:r w:rsidR="002853ED" w:rsidRPr="00DB66C3">
        <w:rPr>
          <w:color w:val="000000" w:themeColor="text1"/>
          <w:sz w:val="20"/>
          <w:szCs w:val="20"/>
        </w:rPr>
        <w:t>East and Horn of Africa Human Rights Defenders Project</w:t>
      </w:r>
      <w:r w:rsidR="002853ED">
        <w:rPr>
          <w:color w:val="000000" w:themeColor="text1"/>
          <w:sz w:val="20"/>
          <w:szCs w:val="20"/>
        </w:rPr>
        <w:t xml:space="preserve">; </w:t>
      </w:r>
      <w:r w:rsidR="002853ED" w:rsidRPr="00DB66C3">
        <w:rPr>
          <w:color w:val="000000" w:themeColor="text1"/>
          <w:sz w:val="20"/>
          <w:szCs w:val="20"/>
        </w:rPr>
        <w:t>International Federation for Human Rights Leagues</w:t>
      </w:r>
      <w:r w:rsidR="002853ED">
        <w:rPr>
          <w:color w:val="000000" w:themeColor="text1"/>
          <w:sz w:val="20"/>
          <w:szCs w:val="20"/>
        </w:rPr>
        <w:t xml:space="preserve">; </w:t>
      </w:r>
      <w:r w:rsidR="002853ED" w:rsidRPr="00DB66C3">
        <w:rPr>
          <w:color w:val="000000" w:themeColor="text1"/>
          <w:sz w:val="20"/>
          <w:szCs w:val="20"/>
        </w:rPr>
        <w:t>International Federation of ACAT (Action by Christians for the Abolition of Torture)</w:t>
      </w:r>
      <w:r w:rsidR="002853ED">
        <w:rPr>
          <w:color w:val="000000" w:themeColor="text1"/>
          <w:sz w:val="20"/>
          <w:szCs w:val="20"/>
        </w:rPr>
        <w:t xml:space="preserve"> (also on behalf of </w:t>
      </w:r>
      <w:r w:rsidR="002853ED" w:rsidRPr="00DB66C3">
        <w:rPr>
          <w:color w:val="000000" w:themeColor="text1"/>
          <w:sz w:val="20"/>
          <w:szCs w:val="20"/>
        </w:rPr>
        <w:t>Centre pour les Droits Civils et Politiques - Centre CCPR</w:t>
      </w:r>
      <w:r w:rsidR="002853ED">
        <w:rPr>
          <w:color w:val="000000" w:themeColor="text1"/>
          <w:sz w:val="20"/>
          <w:szCs w:val="20"/>
        </w:rPr>
        <w:t xml:space="preserve">; </w:t>
      </w:r>
      <w:r w:rsidR="002853ED" w:rsidRPr="00DB66C3">
        <w:rPr>
          <w:color w:val="000000" w:themeColor="text1"/>
          <w:sz w:val="20"/>
          <w:szCs w:val="20"/>
        </w:rPr>
        <w:t>East and Horn of Africa Human Rights Defenders Project</w:t>
      </w:r>
      <w:r w:rsidR="002853ED">
        <w:rPr>
          <w:color w:val="000000" w:themeColor="text1"/>
          <w:sz w:val="20"/>
          <w:szCs w:val="20"/>
        </w:rPr>
        <w:t xml:space="preserve"> and </w:t>
      </w:r>
      <w:r w:rsidR="002853ED" w:rsidRPr="00DB66C3">
        <w:rPr>
          <w:color w:val="000000" w:themeColor="text1"/>
          <w:sz w:val="20"/>
          <w:szCs w:val="20"/>
        </w:rPr>
        <w:t>TRIAL International</w:t>
      </w:r>
      <w:r w:rsidR="002853ED">
        <w:rPr>
          <w:color w:val="000000" w:themeColor="text1"/>
          <w:sz w:val="20"/>
          <w:szCs w:val="20"/>
        </w:rPr>
        <w:t xml:space="preserve">); </w:t>
      </w:r>
      <w:r w:rsidR="002853ED" w:rsidRPr="00DB66C3">
        <w:rPr>
          <w:color w:val="000000" w:themeColor="text1"/>
          <w:sz w:val="20"/>
          <w:szCs w:val="20"/>
        </w:rPr>
        <w:t>International Service for Human Rights</w:t>
      </w:r>
      <w:r w:rsidR="002853ED">
        <w:rPr>
          <w:color w:val="000000" w:themeColor="text1"/>
          <w:sz w:val="20"/>
          <w:szCs w:val="20"/>
        </w:rPr>
        <w:t xml:space="preserve">; </w:t>
      </w:r>
      <w:r w:rsidR="002853ED" w:rsidRPr="00DB66C3">
        <w:rPr>
          <w:color w:val="000000" w:themeColor="text1"/>
          <w:sz w:val="20"/>
          <w:szCs w:val="20"/>
        </w:rPr>
        <w:t>Rencontre Africaine pour la defense des droits de l</w:t>
      </w:r>
      <w:r w:rsidR="00D72627">
        <w:rPr>
          <w:color w:val="000000" w:themeColor="text1"/>
          <w:sz w:val="20"/>
          <w:szCs w:val="20"/>
        </w:rPr>
        <w:t>’</w:t>
      </w:r>
      <w:r w:rsidR="002853ED" w:rsidRPr="00DB66C3">
        <w:rPr>
          <w:color w:val="000000" w:themeColor="text1"/>
          <w:sz w:val="20"/>
          <w:szCs w:val="20"/>
        </w:rPr>
        <w:t>homme</w:t>
      </w:r>
      <w:r w:rsidRPr="0067399B">
        <w:rPr>
          <w:color w:val="000000" w:themeColor="text1"/>
          <w:sz w:val="20"/>
          <w:szCs w:val="20"/>
        </w:rPr>
        <w:t>.</w:t>
      </w:r>
    </w:p>
    <w:p w14:paraId="0366C1D0" w14:textId="4DD8CBF2" w:rsidR="00460B3A" w:rsidRDefault="002B4AE4" w:rsidP="00460B3A">
      <w:pPr>
        <w:pStyle w:val="SingleTxtG"/>
        <w:rPr>
          <w:color w:val="000000" w:themeColor="text1"/>
          <w:sz w:val="20"/>
          <w:szCs w:val="20"/>
        </w:rPr>
      </w:pPr>
      <w:r>
        <w:rPr>
          <w:color w:val="000000" w:themeColor="text1"/>
          <w:sz w:val="20"/>
          <w:szCs w:val="20"/>
        </w:rPr>
        <w:t>265</w:t>
      </w:r>
      <w:r w:rsidR="00460B3A" w:rsidRPr="0067399B">
        <w:rPr>
          <w:color w:val="000000" w:themeColor="text1"/>
          <w:sz w:val="20"/>
          <w:szCs w:val="20"/>
        </w:rPr>
        <w:t>.</w:t>
      </w:r>
      <w:r w:rsidR="00460B3A" w:rsidRPr="0067399B">
        <w:rPr>
          <w:color w:val="000000" w:themeColor="text1"/>
          <w:sz w:val="20"/>
          <w:szCs w:val="20"/>
        </w:rPr>
        <w:tab/>
        <w:t xml:space="preserve">At the </w:t>
      </w:r>
      <w:r w:rsidR="00346463">
        <w:rPr>
          <w:color w:val="000000" w:themeColor="text1"/>
          <w:sz w:val="20"/>
          <w:szCs w:val="20"/>
        </w:rPr>
        <w:t>same</w:t>
      </w:r>
      <w:r w:rsidR="00460B3A" w:rsidRPr="0067399B">
        <w:rPr>
          <w:color w:val="000000" w:themeColor="text1"/>
          <w:sz w:val="20"/>
          <w:szCs w:val="20"/>
        </w:rPr>
        <w:t xml:space="preserve"> meeting, the members of the Commission of Inquiry answered questions and made concluding remarks.</w:t>
      </w:r>
    </w:p>
    <w:p w14:paraId="2EA58A54" w14:textId="35BD90F8" w:rsidR="00F11B08" w:rsidRPr="00C16037" w:rsidRDefault="00DC7C29" w:rsidP="002D20B3">
      <w:pPr>
        <w:pStyle w:val="H1G"/>
        <w:rPr>
          <w:color w:val="000000" w:themeColor="text1"/>
        </w:rPr>
      </w:pPr>
      <w:r w:rsidRPr="00C16037">
        <w:rPr>
          <w:color w:val="000000" w:themeColor="text1"/>
        </w:rPr>
        <w:tab/>
      </w:r>
      <w:r w:rsidR="00B168DF">
        <w:rPr>
          <w:color w:val="000000" w:themeColor="text1"/>
        </w:rPr>
        <w:t>E</w:t>
      </w:r>
      <w:r w:rsidR="00F11B08" w:rsidRPr="00C16037">
        <w:rPr>
          <w:color w:val="000000" w:themeColor="text1"/>
        </w:rPr>
        <w:t>.</w:t>
      </w:r>
      <w:r w:rsidR="00F11B08" w:rsidRPr="00C16037">
        <w:rPr>
          <w:color w:val="000000" w:themeColor="text1"/>
        </w:rPr>
        <w:tab/>
        <w:t>Interactive dialogue with special procedures mandate holders</w:t>
      </w:r>
    </w:p>
    <w:p w14:paraId="3E530181" w14:textId="77777777" w:rsidR="00462CCA" w:rsidRPr="0067399B" w:rsidRDefault="00462CCA" w:rsidP="00462CCA">
      <w:pPr>
        <w:pStyle w:val="H1G"/>
        <w:rPr>
          <w:b w:val="0"/>
          <w:color w:val="000000" w:themeColor="text1"/>
          <w:sz w:val="20"/>
          <w:szCs w:val="20"/>
        </w:rPr>
      </w:pPr>
      <w:r w:rsidRPr="0067399B">
        <w:rPr>
          <w:color w:val="000000" w:themeColor="text1"/>
          <w:sz w:val="20"/>
          <w:szCs w:val="20"/>
        </w:rPr>
        <w:tab/>
      </w:r>
      <w:r w:rsidRPr="0067399B">
        <w:rPr>
          <w:color w:val="000000" w:themeColor="text1"/>
          <w:sz w:val="20"/>
          <w:szCs w:val="20"/>
        </w:rPr>
        <w:tab/>
      </w:r>
      <w:r w:rsidRPr="00B168DF">
        <w:rPr>
          <w:color w:val="000000" w:themeColor="text1"/>
          <w:sz w:val="20"/>
          <w:szCs w:val="20"/>
        </w:rPr>
        <w:t>Special Rapporteur on the situation of human rights in Myanmar</w:t>
      </w:r>
    </w:p>
    <w:p w14:paraId="116D7501" w14:textId="1B2871D4" w:rsidR="00462CCA" w:rsidRPr="0067399B" w:rsidRDefault="002B4AE4" w:rsidP="00462CCA">
      <w:pPr>
        <w:spacing w:after="120"/>
        <w:ind w:left="1134" w:right="1134"/>
        <w:jc w:val="both"/>
        <w:rPr>
          <w:color w:val="000000" w:themeColor="text1"/>
          <w:sz w:val="20"/>
          <w:szCs w:val="20"/>
        </w:rPr>
      </w:pPr>
      <w:r>
        <w:rPr>
          <w:color w:val="000000" w:themeColor="text1"/>
          <w:sz w:val="20"/>
          <w:szCs w:val="20"/>
        </w:rPr>
        <w:t>266</w:t>
      </w:r>
      <w:r w:rsidR="00462CCA" w:rsidRPr="0067399B">
        <w:rPr>
          <w:color w:val="000000" w:themeColor="text1"/>
          <w:sz w:val="20"/>
          <w:szCs w:val="20"/>
        </w:rPr>
        <w:t>.</w:t>
      </w:r>
      <w:r w:rsidR="00462CCA" w:rsidRPr="0067399B">
        <w:rPr>
          <w:color w:val="000000" w:themeColor="text1"/>
          <w:sz w:val="20"/>
          <w:szCs w:val="20"/>
        </w:rPr>
        <w:tab/>
        <w:t>At the 2</w:t>
      </w:r>
      <w:r w:rsidR="00462CCA">
        <w:rPr>
          <w:color w:val="000000" w:themeColor="text1"/>
          <w:sz w:val="20"/>
          <w:szCs w:val="20"/>
        </w:rPr>
        <w:t>6</w:t>
      </w:r>
      <w:r w:rsidR="00462CCA" w:rsidRPr="0067399B">
        <w:rPr>
          <w:color w:val="000000" w:themeColor="text1"/>
          <w:sz w:val="20"/>
          <w:szCs w:val="20"/>
        </w:rPr>
        <w:t>th meeting, on 1</w:t>
      </w:r>
      <w:r w:rsidR="00462CCA">
        <w:rPr>
          <w:color w:val="000000" w:themeColor="text1"/>
          <w:sz w:val="20"/>
          <w:szCs w:val="20"/>
        </w:rPr>
        <w:t>1</w:t>
      </w:r>
      <w:r w:rsidR="00462CCA" w:rsidRPr="0067399B">
        <w:rPr>
          <w:color w:val="000000" w:themeColor="text1"/>
          <w:sz w:val="20"/>
          <w:szCs w:val="20"/>
          <w:vertAlign w:val="superscript"/>
        </w:rPr>
        <w:t xml:space="preserve"> </w:t>
      </w:r>
      <w:r w:rsidR="00462CCA" w:rsidRPr="0067399B">
        <w:rPr>
          <w:color w:val="000000" w:themeColor="text1"/>
          <w:sz w:val="20"/>
          <w:szCs w:val="20"/>
        </w:rPr>
        <w:t xml:space="preserve">March </w:t>
      </w:r>
      <w:r w:rsidR="00462CCA">
        <w:rPr>
          <w:color w:val="000000" w:themeColor="text1"/>
          <w:sz w:val="20"/>
          <w:szCs w:val="20"/>
        </w:rPr>
        <w:t>2019</w:t>
      </w:r>
      <w:r w:rsidR="00462CCA" w:rsidRPr="0067399B">
        <w:rPr>
          <w:color w:val="000000" w:themeColor="text1"/>
          <w:sz w:val="20"/>
          <w:szCs w:val="20"/>
        </w:rPr>
        <w:t>, the Special Rapporteur on the situation of human rights in Myanmar, Yanghee Lee, presented her report (A/HRC/</w:t>
      </w:r>
      <w:r w:rsidR="00462CCA" w:rsidRPr="00462CCA">
        <w:rPr>
          <w:color w:val="000000" w:themeColor="text1"/>
          <w:sz w:val="20"/>
          <w:szCs w:val="20"/>
        </w:rPr>
        <w:t>40/68</w:t>
      </w:r>
      <w:r w:rsidR="00462CCA" w:rsidRPr="0067399B">
        <w:rPr>
          <w:color w:val="000000" w:themeColor="text1"/>
          <w:sz w:val="20"/>
          <w:szCs w:val="20"/>
        </w:rPr>
        <w:t>).</w:t>
      </w:r>
    </w:p>
    <w:p w14:paraId="2F2E5140" w14:textId="4EED03B5" w:rsidR="00462CCA" w:rsidRPr="0067399B" w:rsidRDefault="002B4AE4" w:rsidP="00462CCA">
      <w:pPr>
        <w:spacing w:after="120"/>
        <w:ind w:left="1134" w:right="1134"/>
        <w:jc w:val="both"/>
        <w:rPr>
          <w:color w:val="000000" w:themeColor="text1"/>
          <w:sz w:val="20"/>
          <w:szCs w:val="20"/>
        </w:rPr>
      </w:pPr>
      <w:r>
        <w:rPr>
          <w:color w:val="000000" w:themeColor="text1"/>
          <w:sz w:val="20"/>
          <w:szCs w:val="20"/>
        </w:rPr>
        <w:t>267</w:t>
      </w:r>
      <w:r w:rsidR="00462CCA" w:rsidRPr="0067399B">
        <w:rPr>
          <w:color w:val="000000" w:themeColor="text1"/>
          <w:sz w:val="20"/>
          <w:szCs w:val="20"/>
        </w:rPr>
        <w:t>.</w:t>
      </w:r>
      <w:r w:rsidR="00462CCA" w:rsidRPr="0067399B">
        <w:rPr>
          <w:color w:val="000000" w:themeColor="text1"/>
          <w:sz w:val="20"/>
          <w:szCs w:val="20"/>
        </w:rPr>
        <w:tab/>
        <w:t>At the same meeting, the representative of Myanmar made a statement as the State concerned.</w:t>
      </w:r>
    </w:p>
    <w:p w14:paraId="1EEFCC55" w14:textId="064ABD4C" w:rsidR="00462CCA" w:rsidRPr="0067399B" w:rsidRDefault="002B4AE4" w:rsidP="00462CCA">
      <w:pPr>
        <w:spacing w:after="120"/>
        <w:ind w:left="1134" w:right="1134"/>
        <w:jc w:val="both"/>
        <w:rPr>
          <w:color w:val="000000" w:themeColor="text1"/>
          <w:sz w:val="20"/>
          <w:szCs w:val="20"/>
        </w:rPr>
      </w:pPr>
      <w:r>
        <w:rPr>
          <w:color w:val="000000" w:themeColor="text1"/>
          <w:sz w:val="20"/>
          <w:szCs w:val="20"/>
        </w:rPr>
        <w:t>268</w:t>
      </w:r>
      <w:r w:rsidR="00462CCA" w:rsidRPr="0067399B">
        <w:rPr>
          <w:color w:val="000000" w:themeColor="text1"/>
          <w:sz w:val="20"/>
          <w:szCs w:val="20"/>
        </w:rPr>
        <w:t>.</w:t>
      </w:r>
      <w:r w:rsidR="00462CCA" w:rsidRPr="0067399B">
        <w:rPr>
          <w:color w:val="000000" w:themeColor="text1"/>
          <w:sz w:val="20"/>
          <w:szCs w:val="20"/>
        </w:rPr>
        <w:tab/>
        <w:t>During the ensuing interactive dialogue, at the 2</w:t>
      </w:r>
      <w:r w:rsidR="00462CCA">
        <w:rPr>
          <w:color w:val="000000" w:themeColor="text1"/>
          <w:sz w:val="20"/>
          <w:szCs w:val="20"/>
        </w:rPr>
        <w:t>6</w:t>
      </w:r>
      <w:r w:rsidR="00462CCA" w:rsidRPr="0067399B">
        <w:rPr>
          <w:color w:val="000000" w:themeColor="text1"/>
          <w:sz w:val="20"/>
          <w:szCs w:val="20"/>
        </w:rPr>
        <w:t xml:space="preserve">th </w:t>
      </w:r>
      <w:r w:rsidR="00462CCA">
        <w:rPr>
          <w:color w:val="000000" w:themeColor="text1"/>
          <w:sz w:val="20"/>
          <w:szCs w:val="20"/>
        </w:rPr>
        <w:t>to 27</w:t>
      </w:r>
      <w:r w:rsidR="00462CCA" w:rsidRPr="0067399B">
        <w:rPr>
          <w:color w:val="000000" w:themeColor="text1"/>
          <w:sz w:val="20"/>
          <w:szCs w:val="20"/>
        </w:rPr>
        <w:t>th meetings, on 1</w:t>
      </w:r>
      <w:r w:rsidR="00462CCA">
        <w:rPr>
          <w:color w:val="000000" w:themeColor="text1"/>
          <w:sz w:val="20"/>
          <w:szCs w:val="20"/>
        </w:rPr>
        <w:t>1</w:t>
      </w:r>
      <w:r w:rsidR="00462CCA" w:rsidRPr="0067399B">
        <w:rPr>
          <w:color w:val="000000" w:themeColor="text1"/>
          <w:sz w:val="20"/>
          <w:szCs w:val="20"/>
          <w:vertAlign w:val="superscript"/>
        </w:rPr>
        <w:t xml:space="preserve"> </w:t>
      </w:r>
      <w:r w:rsidR="00462CCA" w:rsidRPr="0067399B">
        <w:rPr>
          <w:color w:val="000000" w:themeColor="text1"/>
          <w:sz w:val="20"/>
          <w:szCs w:val="20"/>
        </w:rPr>
        <w:t xml:space="preserve">March </w:t>
      </w:r>
      <w:r w:rsidR="00462CCA">
        <w:rPr>
          <w:color w:val="000000" w:themeColor="text1"/>
          <w:sz w:val="20"/>
          <w:szCs w:val="20"/>
        </w:rPr>
        <w:t>2019</w:t>
      </w:r>
      <w:r w:rsidR="00462CCA" w:rsidRPr="0067399B">
        <w:rPr>
          <w:color w:val="000000" w:themeColor="text1"/>
          <w:sz w:val="20"/>
          <w:szCs w:val="20"/>
        </w:rPr>
        <w:t>, the following made statements and asked the Special Rapporteur questions:</w:t>
      </w:r>
    </w:p>
    <w:p w14:paraId="707EA8AD" w14:textId="1B2CF069" w:rsidR="00462CCA" w:rsidRPr="0067399B" w:rsidRDefault="00462CCA" w:rsidP="00462CCA">
      <w:pPr>
        <w:pStyle w:val="SingleTxtG"/>
        <w:ind w:firstLine="567"/>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Pr>
          <w:color w:val="000000" w:themeColor="text1"/>
          <w:sz w:val="20"/>
          <w:szCs w:val="20"/>
        </w:rPr>
        <w:t>States Members</w:t>
      </w:r>
      <w:r w:rsidRPr="0067399B">
        <w:rPr>
          <w:color w:val="000000" w:themeColor="text1"/>
          <w:sz w:val="20"/>
          <w:szCs w:val="20"/>
        </w:rPr>
        <w:t xml:space="preserve"> of the Human Rights Council: </w:t>
      </w:r>
      <w:r w:rsidR="00E24067" w:rsidRPr="00E24067">
        <w:rPr>
          <w:color w:val="000000" w:themeColor="text1"/>
          <w:sz w:val="20"/>
          <w:szCs w:val="20"/>
        </w:rPr>
        <w:t>Afghanistan</w:t>
      </w:r>
      <w:r w:rsidR="00E24067">
        <w:rPr>
          <w:color w:val="000000" w:themeColor="text1"/>
          <w:sz w:val="20"/>
          <w:szCs w:val="20"/>
        </w:rPr>
        <w:t xml:space="preserve">, </w:t>
      </w:r>
      <w:r w:rsidR="00E24067" w:rsidRPr="00E24067">
        <w:rPr>
          <w:color w:val="000000" w:themeColor="text1"/>
          <w:sz w:val="20"/>
          <w:szCs w:val="20"/>
        </w:rPr>
        <w:t>Australia</w:t>
      </w:r>
      <w:r w:rsidR="00E24067">
        <w:rPr>
          <w:color w:val="000000" w:themeColor="text1"/>
          <w:sz w:val="20"/>
          <w:szCs w:val="20"/>
        </w:rPr>
        <w:t xml:space="preserve">, </w:t>
      </w:r>
      <w:r w:rsidR="00E24067" w:rsidRPr="00E24067">
        <w:rPr>
          <w:color w:val="000000" w:themeColor="text1"/>
          <w:sz w:val="20"/>
          <w:szCs w:val="20"/>
        </w:rPr>
        <w:t>Bangladesh</w:t>
      </w:r>
      <w:r w:rsidR="00E24067">
        <w:rPr>
          <w:color w:val="000000" w:themeColor="text1"/>
          <w:sz w:val="20"/>
          <w:szCs w:val="20"/>
        </w:rPr>
        <w:t>,</w:t>
      </w:r>
      <w:r w:rsidR="00E24067" w:rsidRPr="00E24067">
        <w:rPr>
          <w:color w:val="000000" w:themeColor="text1"/>
          <w:sz w:val="20"/>
          <w:szCs w:val="20"/>
        </w:rPr>
        <w:t xml:space="preserve"> China</w:t>
      </w:r>
      <w:r w:rsidR="00E24067">
        <w:rPr>
          <w:color w:val="000000" w:themeColor="text1"/>
          <w:sz w:val="20"/>
          <w:szCs w:val="20"/>
        </w:rPr>
        <w:t xml:space="preserve">, </w:t>
      </w:r>
      <w:r w:rsidR="00E24067" w:rsidRPr="00E24067">
        <w:rPr>
          <w:color w:val="000000" w:themeColor="text1"/>
          <w:sz w:val="20"/>
          <w:szCs w:val="20"/>
        </w:rPr>
        <w:t>Croatia</w:t>
      </w:r>
      <w:r w:rsidR="00E24067">
        <w:rPr>
          <w:color w:val="000000" w:themeColor="text1"/>
          <w:sz w:val="20"/>
          <w:szCs w:val="20"/>
        </w:rPr>
        <w:t xml:space="preserve">, </w:t>
      </w:r>
      <w:r w:rsidR="00E24067" w:rsidRPr="00E24067">
        <w:rPr>
          <w:color w:val="000000" w:themeColor="text1"/>
          <w:sz w:val="20"/>
          <w:szCs w:val="20"/>
        </w:rPr>
        <w:t>Czech</w:t>
      </w:r>
      <w:r w:rsidR="00E24067">
        <w:rPr>
          <w:color w:val="000000" w:themeColor="text1"/>
          <w:sz w:val="20"/>
          <w:szCs w:val="20"/>
        </w:rPr>
        <w:t xml:space="preserve">ia, </w:t>
      </w:r>
      <w:r w:rsidR="00E24067" w:rsidRPr="00E24067">
        <w:rPr>
          <w:color w:val="000000" w:themeColor="text1"/>
          <w:sz w:val="20"/>
          <w:szCs w:val="20"/>
        </w:rPr>
        <w:t>Denmark</w:t>
      </w:r>
      <w:r w:rsidR="00E24067">
        <w:rPr>
          <w:color w:val="000000" w:themeColor="text1"/>
          <w:sz w:val="20"/>
          <w:szCs w:val="20"/>
        </w:rPr>
        <w:t xml:space="preserve">, </w:t>
      </w:r>
      <w:r w:rsidR="00E24067" w:rsidRPr="00E24067">
        <w:rPr>
          <w:color w:val="000000" w:themeColor="text1"/>
          <w:sz w:val="20"/>
          <w:szCs w:val="20"/>
        </w:rPr>
        <w:t>Iceland</w:t>
      </w:r>
      <w:r w:rsidR="00E24067">
        <w:rPr>
          <w:color w:val="000000" w:themeColor="text1"/>
          <w:sz w:val="20"/>
          <w:szCs w:val="20"/>
        </w:rPr>
        <w:t xml:space="preserve">, </w:t>
      </w:r>
      <w:r w:rsidR="00E24067" w:rsidRPr="00E24067">
        <w:rPr>
          <w:color w:val="000000" w:themeColor="text1"/>
          <w:sz w:val="20"/>
          <w:szCs w:val="20"/>
        </w:rPr>
        <w:t>India</w:t>
      </w:r>
      <w:r w:rsidR="00E24067">
        <w:rPr>
          <w:color w:val="000000" w:themeColor="text1"/>
          <w:sz w:val="20"/>
          <w:szCs w:val="20"/>
        </w:rPr>
        <w:t xml:space="preserve">, </w:t>
      </w:r>
      <w:r w:rsidR="00E24067" w:rsidRPr="00E24067">
        <w:rPr>
          <w:color w:val="000000" w:themeColor="text1"/>
          <w:sz w:val="20"/>
          <w:szCs w:val="20"/>
        </w:rPr>
        <w:t>Iraq</w:t>
      </w:r>
      <w:r w:rsidR="00E24067">
        <w:rPr>
          <w:color w:val="000000" w:themeColor="text1"/>
          <w:sz w:val="20"/>
          <w:szCs w:val="20"/>
        </w:rPr>
        <w:t>,</w:t>
      </w:r>
      <w:r w:rsidR="00E24067" w:rsidRPr="00E24067">
        <w:rPr>
          <w:color w:val="000000" w:themeColor="text1"/>
          <w:sz w:val="20"/>
          <w:szCs w:val="20"/>
        </w:rPr>
        <w:t xml:space="preserve"> </w:t>
      </w:r>
      <w:r w:rsidR="00E24067" w:rsidRPr="00E24067">
        <w:rPr>
          <w:color w:val="000000" w:themeColor="text1"/>
          <w:sz w:val="20"/>
          <w:szCs w:val="20"/>
        </w:rPr>
        <w:lastRenderedPageBreak/>
        <w:t>Japan</w:t>
      </w:r>
      <w:r w:rsidR="00E24067">
        <w:rPr>
          <w:color w:val="000000" w:themeColor="text1"/>
          <w:sz w:val="20"/>
          <w:szCs w:val="20"/>
        </w:rPr>
        <w:t xml:space="preserve">, </w:t>
      </w:r>
      <w:r w:rsidR="00E24067" w:rsidRPr="00E24067">
        <w:rPr>
          <w:color w:val="000000" w:themeColor="text1"/>
          <w:sz w:val="20"/>
          <w:szCs w:val="20"/>
        </w:rPr>
        <w:t>Philippines</w:t>
      </w:r>
      <w:r w:rsidR="00E24067">
        <w:rPr>
          <w:color w:val="000000" w:themeColor="text1"/>
          <w:sz w:val="20"/>
          <w:szCs w:val="20"/>
        </w:rPr>
        <w:t xml:space="preserve">, </w:t>
      </w:r>
      <w:r w:rsidR="00E24067" w:rsidRPr="00E24067">
        <w:rPr>
          <w:color w:val="000000" w:themeColor="text1"/>
          <w:sz w:val="20"/>
          <w:szCs w:val="20"/>
        </w:rPr>
        <w:t>Saudi Arabia</w:t>
      </w:r>
      <w:r w:rsidR="00E24067">
        <w:rPr>
          <w:color w:val="000000" w:themeColor="text1"/>
          <w:sz w:val="20"/>
          <w:szCs w:val="20"/>
        </w:rPr>
        <w:t xml:space="preserve">, </w:t>
      </w:r>
      <w:r w:rsidR="00E24067" w:rsidRPr="00E24067">
        <w:rPr>
          <w:color w:val="000000" w:themeColor="text1"/>
          <w:sz w:val="20"/>
          <w:szCs w:val="20"/>
        </w:rPr>
        <w:t>Slovakia</w:t>
      </w:r>
      <w:r w:rsidR="00E24067">
        <w:rPr>
          <w:color w:val="000000" w:themeColor="text1"/>
          <w:sz w:val="20"/>
          <w:szCs w:val="20"/>
        </w:rPr>
        <w:t xml:space="preserve">, </w:t>
      </w:r>
      <w:r w:rsidR="00E24067" w:rsidRPr="00E24067">
        <w:rPr>
          <w:color w:val="000000" w:themeColor="text1"/>
          <w:sz w:val="20"/>
          <w:szCs w:val="20"/>
        </w:rPr>
        <w:t>Somalia</w:t>
      </w:r>
      <w:r w:rsidR="00E24067">
        <w:rPr>
          <w:color w:val="000000" w:themeColor="text1"/>
          <w:sz w:val="20"/>
          <w:szCs w:val="20"/>
        </w:rPr>
        <w:t xml:space="preserve">, </w:t>
      </w:r>
      <w:r w:rsidR="00E24067" w:rsidRPr="00E24067">
        <w:rPr>
          <w:color w:val="000000" w:themeColor="text1"/>
          <w:sz w:val="20"/>
          <w:szCs w:val="20"/>
        </w:rPr>
        <w:t>Spain</w:t>
      </w:r>
      <w:r w:rsidR="00E24067">
        <w:rPr>
          <w:color w:val="000000" w:themeColor="text1"/>
          <w:sz w:val="20"/>
          <w:szCs w:val="20"/>
        </w:rPr>
        <w:t xml:space="preserve">, </w:t>
      </w:r>
      <w:r w:rsidR="00E24067" w:rsidRPr="00A8596E">
        <w:rPr>
          <w:color w:val="000000" w:themeColor="text1"/>
          <w:sz w:val="20"/>
          <w:szCs w:val="20"/>
        </w:rPr>
        <w:t>Thailand</w:t>
      </w:r>
      <w:r w:rsidR="00D62E23">
        <w:rPr>
          <w:rStyle w:val="FootnoteReference"/>
          <w:color w:val="000000" w:themeColor="text1"/>
          <w:szCs w:val="20"/>
        </w:rPr>
        <w:footnoteReference w:id="37"/>
      </w:r>
      <w:r w:rsidR="00E24067" w:rsidRPr="00A8596E">
        <w:rPr>
          <w:color w:val="000000" w:themeColor="text1"/>
          <w:sz w:val="20"/>
          <w:szCs w:val="20"/>
        </w:rPr>
        <w:t xml:space="preserve"> </w:t>
      </w:r>
      <w:r w:rsidR="00E24067">
        <w:rPr>
          <w:color w:val="000000" w:themeColor="text1"/>
          <w:sz w:val="20"/>
          <w:szCs w:val="20"/>
        </w:rPr>
        <w:t>(</w:t>
      </w:r>
      <w:r w:rsidR="00E24067" w:rsidRPr="00D15C0E">
        <w:rPr>
          <w:color w:val="000000" w:themeColor="text1"/>
          <w:sz w:val="20"/>
          <w:szCs w:val="20"/>
        </w:rPr>
        <w:t>on behalf of the Association of Southeast Asian Nations</w:t>
      </w:r>
      <w:r w:rsidR="00E24067">
        <w:rPr>
          <w:color w:val="000000" w:themeColor="text1"/>
          <w:sz w:val="20"/>
          <w:szCs w:val="20"/>
        </w:rPr>
        <w:t xml:space="preserve">), </w:t>
      </w:r>
      <w:r w:rsidR="00E24067" w:rsidRPr="00E24067">
        <w:rPr>
          <w:color w:val="000000" w:themeColor="text1"/>
          <w:sz w:val="20"/>
          <w:szCs w:val="20"/>
        </w:rPr>
        <w:t>United Kingdom of Great Britain and Northern Ireland</w:t>
      </w:r>
      <w:r w:rsidRPr="0067399B">
        <w:rPr>
          <w:color w:val="000000" w:themeColor="text1"/>
          <w:sz w:val="20"/>
          <w:szCs w:val="20"/>
        </w:rPr>
        <w:t>;</w:t>
      </w:r>
    </w:p>
    <w:p w14:paraId="4619DFD8" w14:textId="1C981B4E" w:rsidR="00462CCA" w:rsidRPr="0067399B" w:rsidRDefault="00462CCA" w:rsidP="00462CCA">
      <w:pPr>
        <w:pStyle w:val="SingleTxtG"/>
        <w:ind w:firstLine="567"/>
        <w:rPr>
          <w:color w:val="000000" w:themeColor="text1"/>
          <w:sz w:val="20"/>
          <w:szCs w:val="20"/>
        </w:rPr>
      </w:pPr>
      <w:r w:rsidRPr="0067399B">
        <w:rPr>
          <w:color w:val="000000" w:themeColor="text1"/>
          <w:sz w:val="20"/>
          <w:szCs w:val="20"/>
        </w:rPr>
        <w:t>(b)</w:t>
      </w:r>
      <w:r w:rsidRPr="0067399B">
        <w:rPr>
          <w:color w:val="000000" w:themeColor="text1"/>
          <w:sz w:val="20"/>
          <w:szCs w:val="20"/>
        </w:rPr>
        <w:tab/>
        <w:t>Representatives of observer States:</w:t>
      </w:r>
      <w:r w:rsidR="00E24067">
        <w:rPr>
          <w:color w:val="000000" w:themeColor="text1"/>
          <w:sz w:val="20"/>
          <w:szCs w:val="20"/>
        </w:rPr>
        <w:t xml:space="preserve"> </w:t>
      </w:r>
      <w:r w:rsidR="00E24067" w:rsidRPr="00E24067">
        <w:rPr>
          <w:color w:val="000000" w:themeColor="text1"/>
          <w:sz w:val="20"/>
          <w:szCs w:val="20"/>
        </w:rPr>
        <w:t>Belarus</w:t>
      </w:r>
      <w:r w:rsidR="00E24067">
        <w:rPr>
          <w:color w:val="000000" w:themeColor="text1"/>
          <w:sz w:val="20"/>
          <w:szCs w:val="20"/>
        </w:rPr>
        <w:t xml:space="preserve">, </w:t>
      </w:r>
      <w:r w:rsidR="00E24067" w:rsidRPr="00E24067">
        <w:rPr>
          <w:color w:val="000000" w:themeColor="text1"/>
          <w:sz w:val="20"/>
          <w:szCs w:val="20"/>
        </w:rPr>
        <w:t>Belgium</w:t>
      </w:r>
      <w:r w:rsidR="00E24067">
        <w:rPr>
          <w:color w:val="000000" w:themeColor="text1"/>
          <w:sz w:val="20"/>
          <w:szCs w:val="20"/>
        </w:rPr>
        <w:t xml:space="preserve">, </w:t>
      </w:r>
      <w:r w:rsidR="00E24067" w:rsidRPr="00E24067">
        <w:rPr>
          <w:color w:val="000000" w:themeColor="text1"/>
          <w:sz w:val="20"/>
          <w:szCs w:val="20"/>
        </w:rPr>
        <w:t>Canada</w:t>
      </w:r>
      <w:r w:rsidR="00E24067">
        <w:rPr>
          <w:color w:val="000000" w:themeColor="text1"/>
          <w:sz w:val="20"/>
          <w:szCs w:val="20"/>
        </w:rPr>
        <w:t xml:space="preserve">, </w:t>
      </w:r>
      <w:r w:rsidR="00E24067" w:rsidRPr="00E24067">
        <w:rPr>
          <w:color w:val="000000" w:themeColor="text1"/>
          <w:sz w:val="20"/>
          <w:szCs w:val="20"/>
        </w:rPr>
        <w:t>Costa Rica</w:t>
      </w:r>
      <w:r w:rsidR="00E24067">
        <w:rPr>
          <w:color w:val="000000" w:themeColor="text1"/>
          <w:sz w:val="20"/>
          <w:szCs w:val="20"/>
        </w:rPr>
        <w:t xml:space="preserve">, </w:t>
      </w:r>
      <w:r w:rsidR="00E24067" w:rsidRPr="00E24067">
        <w:rPr>
          <w:color w:val="000000" w:themeColor="text1"/>
          <w:sz w:val="20"/>
          <w:szCs w:val="20"/>
        </w:rPr>
        <w:t>Democratic People</w:t>
      </w:r>
      <w:r w:rsidR="00D72627">
        <w:rPr>
          <w:color w:val="000000" w:themeColor="text1"/>
          <w:sz w:val="20"/>
          <w:szCs w:val="20"/>
        </w:rPr>
        <w:t>’</w:t>
      </w:r>
      <w:r w:rsidR="00E24067" w:rsidRPr="00E24067">
        <w:rPr>
          <w:color w:val="000000" w:themeColor="text1"/>
          <w:sz w:val="20"/>
          <w:szCs w:val="20"/>
        </w:rPr>
        <w:t>s Republic of Korea</w:t>
      </w:r>
      <w:r w:rsidR="00E24067">
        <w:rPr>
          <w:color w:val="000000" w:themeColor="text1"/>
          <w:sz w:val="20"/>
          <w:szCs w:val="20"/>
        </w:rPr>
        <w:t xml:space="preserve">, </w:t>
      </w:r>
      <w:r w:rsidR="00E24067" w:rsidRPr="00E24067">
        <w:rPr>
          <w:color w:val="000000" w:themeColor="text1"/>
          <w:sz w:val="20"/>
          <w:szCs w:val="20"/>
        </w:rPr>
        <w:t>Estonia</w:t>
      </w:r>
      <w:r w:rsidR="00E24067">
        <w:rPr>
          <w:color w:val="000000" w:themeColor="text1"/>
          <w:sz w:val="20"/>
          <w:szCs w:val="20"/>
        </w:rPr>
        <w:t xml:space="preserve">, </w:t>
      </w:r>
      <w:r w:rsidR="00E24067" w:rsidRPr="00E24067">
        <w:rPr>
          <w:color w:val="000000" w:themeColor="text1"/>
          <w:sz w:val="20"/>
          <w:szCs w:val="20"/>
        </w:rPr>
        <w:t>Finland</w:t>
      </w:r>
      <w:r w:rsidR="00E24067">
        <w:rPr>
          <w:color w:val="000000" w:themeColor="text1"/>
          <w:sz w:val="20"/>
          <w:szCs w:val="20"/>
        </w:rPr>
        <w:t xml:space="preserve">, </w:t>
      </w:r>
      <w:r w:rsidR="00E24067" w:rsidRPr="00E24067">
        <w:rPr>
          <w:color w:val="000000" w:themeColor="text1"/>
          <w:sz w:val="20"/>
          <w:szCs w:val="20"/>
        </w:rPr>
        <w:t>France</w:t>
      </w:r>
      <w:r w:rsidR="00E24067">
        <w:rPr>
          <w:color w:val="000000" w:themeColor="text1"/>
          <w:sz w:val="20"/>
          <w:szCs w:val="20"/>
        </w:rPr>
        <w:t xml:space="preserve">, </w:t>
      </w:r>
      <w:r w:rsidR="00E24067" w:rsidRPr="00E24067">
        <w:rPr>
          <w:color w:val="000000" w:themeColor="text1"/>
          <w:sz w:val="20"/>
          <w:szCs w:val="20"/>
        </w:rPr>
        <w:t>Germany</w:t>
      </w:r>
      <w:r w:rsidR="00E24067">
        <w:rPr>
          <w:color w:val="000000" w:themeColor="text1"/>
          <w:sz w:val="20"/>
          <w:szCs w:val="20"/>
        </w:rPr>
        <w:t xml:space="preserve">, </w:t>
      </w:r>
      <w:r w:rsidR="00E24067" w:rsidRPr="00E24067">
        <w:rPr>
          <w:color w:val="000000" w:themeColor="text1"/>
          <w:sz w:val="20"/>
          <w:szCs w:val="20"/>
        </w:rPr>
        <w:t>Greece</w:t>
      </w:r>
      <w:r w:rsidR="00E24067">
        <w:rPr>
          <w:color w:val="000000" w:themeColor="text1"/>
          <w:sz w:val="20"/>
          <w:szCs w:val="20"/>
        </w:rPr>
        <w:t xml:space="preserve">, </w:t>
      </w:r>
      <w:r w:rsidR="00E24067" w:rsidRPr="00E24067">
        <w:rPr>
          <w:color w:val="000000" w:themeColor="text1"/>
          <w:sz w:val="20"/>
          <w:szCs w:val="20"/>
        </w:rPr>
        <w:t>Iran (Islamic Republic of)</w:t>
      </w:r>
      <w:r w:rsidR="00E24067">
        <w:rPr>
          <w:color w:val="000000" w:themeColor="text1"/>
          <w:sz w:val="20"/>
          <w:szCs w:val="20"/>
        </w:rPr>
        <w:t xml:space="preserve">, </w:t>
      </w:r>
      <w:r w:rsidR="00E24067" w:rsidRPr="00E24067">
        <w:rPr>
          <w:color w:val="000000" w:themeColor="text1"/>
          <w:sz w:val="20"/>
          <w:szCs w:val="20"/>
        </w:rPr>
        <w:t>Ireland</w:t>
      </w:r>
      <w:r w:rsidR="00E24067">
        <w:rPr>
          <w:color w:val="000000" w:themeColor="text1"/>
          <w:sz w:val="20"/>
          <w:szCs w:val="20"/>
        </w:rPr>
        <w:t xml:space="preserve">, </w:t>
      </w:r>
      <w:r w:rsidR="00E24067" w:rsidRPr="00E24067">
        <w:rPr>
          <w:color w:val="000000" w:themeColor="text1"/>
          <w:sz w:val="20"/>
          <w:szCs w:val="20"/>
        </w:rPr>
        <w:t>Lao People</w:t>
      </w:r>
      <w:r w:rsidR="00D72627">
        <w:rPr>
          <w:color w:val="000000" w:themeColor="text1"/>
          <w:sz w:val="20"/>
          <w:szCs w:val="20"/>
        </w:rPr>
        <w:t>’</w:t>
      </w:r>
      <w:r w:rsidR="00E24067" w:rsidRPr="00E24067">
        <w:rPr>
          <w:color w:val="000000" w:themeColor="text1"/>
          <w:sz w:val="20"/>
          <w:szCs w:val="20"/>
        </w:rPr>
        <w:t>s Democratic Republic</w:t>
      </w:r>
      <w:r w:rsidR="00E24067">
        <w:rPr>
          <w:color w:val="000000" w:themeColor="text1"/>
          <w:sz w:val="20"/>
          <w:szCs w:val="20"/>
        </w:rPr>
        <w:t xml:space="preserve">, </w:t>
      </w:r>
      <w:r w:rsidR="00E24067" w:rsidRPr="00E24067">
        <w:rPr>
          <w:color w:val="000000" w:themeColor="text1"/>
          <w:sz w:val="20"/>
          <w:szCs w:val="20"/>
        </w:rPr>
        <w:t>Liechtenstein</w:t>
      </w:r>
      <w:r w:rsidR="00E24067">
        <w:rPr>
          <w:color w:val="000000" w:themeColor="text1"/>
          <w:sz w:val="20"/>
          <w:szCs w:val="20"/>
        </w:rPr>
        <w:t xml:space="preserve">, </w:t>
      </w:r>
      <w:r w:rsidR="00E24067" w:rsidRPr="00E24067">
        <w:rPr>
          <w:color w:val="000000" w:themeColor="text1"/>
          <w:sz w:val="20"/>
          <w:szCs w:val="20"/>
        </w:rPr>
        <w:t>Lithuania</w:t>
      </w:r>
      <w:r w:rsidR="00E24067">
        <w:rPr>
          <w:color w:val="000000" w:themeColor="text1"/>
          <w:sz w:val="20"/>
          <w:szCs w:val="20"/>
        </w:rPr>
        <w:t xml:space="preserve">, </w:t>
      </w:r>
      <w:r w:rsidR="00E24067" w:rsidRPr="00E24067">
        <w:rPr>
          <w:color w:val="000000" w:themeColor="text1"/>
          <w:sz w:val="20"/>
          <w:szCs w:val="20"/>
        </w:rPr>
        <w:t>Luxembourg</w:t>
      </w:r>
      <w:r w:rsidR="00E24067">
        <w:rPr>
          <w:color w:val="000000" w:themeColor="text1"/>
          <w:sz w:val="20"/>
          <w:szCs w:val="20"/>
        </w:rPr>
        <w:t xml:space="preserve">, </w:t>
      </w:r>
      <w:r w:rsidR="00E24067" w:rsidRPr="00E24067">
        <w:rPr>
          <w:color w:val="000000" w:themeColor="text1"/>
          <w:sz w:val="20"/>
          <w:szCs w:val="20"/>
        </w:rPr>
        <w:t>Maldives</w:t>
      </w:r>
      <w:r w:rsidR="00E24067">
        <w:rPr>
          <w:color w:val="000000" w:themeColor="text1"/>
          <w:sz w:val="20"/>
          <w:szCs w:val="20"/>
        </w:rPr>
        <w:t xml:space="preserve">, </w:t>
      </w:r>
      <w:r w:rsidR="00E24067" w:rsidRPr="00E24067">
        <w:rPr>
          <w:color w:val="000000" w:themeColor="text1"/>
          <w:sz w:val="20"/>
          <w:szCs w:val="20"/>
        </w:rPr>
        <w:t>Netherlands</w:t>
      </w:r>
      <w:r w:rsidR="00E24067">
        <w:rPr>
          <w:color w:val="000000" w:themeColor="text1"/>
          <w:sz w:val="20"/>
          <w:szCs w:val="20"/>
        </w:rPr>
        <w:t xml:space="preserve">, </w:t>
      </w:r>
      <w:r w:rsidR="00E24067" w:rsidRPr="00E24067">
        <w:rPr>
          <w:color w:val="000000" w:themeColor="text1"/>
          <w:sz w:val="20"/>
          <w:szCs w:val="20"/>
        </w:rPr>
        <w:t>New Zealand</w:t>
      </w:r>
      <w:r w:rsidR="00E24067">
        <w:rPr>
          <w:color w:val="000000" w:themeColor="text1"/>
          <w:sz w:val="20"/>
          <w:szCs w:val="20"/>
        </w:rPr>
        <w:t xml:space="preserve">, </w:t>
      </w:r>
      <w:r w:rsidR="00E24067" w:rsidRPr="00E24067">
        <w:rPr>
          <w:color w:val="000000" w:themeColor="text1"/>
          <w:sz w:val="20"/>
          <w:szCs w:val="20"/>
        </w:rPr>
        <w:t>Norway</w:t>
      </w:r>
      <w:r w:rsidR="00E24067">
        <w:rPr>
          <w:color w:val="000000" w:themeColor="text1"/>
          <w:sz w:val="20"/>
          <w:szCs w:val="20"/>
        </w:rPr>
        <w:t xml:space="preserve">, </w:t>
      </w:r>
      <w:r w:rsidR="00E24067" w:rsidRPr="00E24067">
        <w:rPr>
          <w:color w:val="000000" w:themeColor="text1"/>
          <w:sz w:val="20"/>
          <w:szCs w:val="20"/>
        </w:rPr>
        <w:t>Republic of Korea</w:t>
      </w:r>
      <w:r w:rsidR="00E24067">
        <w:rPr>
          <w:color w:val="000000" w:themeColor="text1"/>
          <w:sz w:val="20"/>
          <w:szCs w:val="20"/>
        </w:rPr>
        <w:t xml:space="preserve">, </w:t>
      </w:r>
      <w:r w:rsidR="00E24067" w:rsidRPr="00E24067">
        <w:rPr>
          <w:color w:val="000000" w:themeColor="text1"/>
          <w:sz w:val="20"/>
          <w:szCs w:val="20"/>
        </w:rPr>
        <w:t>Russian Federation</w:t>
      </w:r>
      <w:r w:rsidR="00E24067">
        <w:rPr>
          <w:color w:val="000000" w:themeColor="text1"/>
          <w:sz w:val="20"/>
          <w:szCs w:val="20"/>
        </w:rPr>
        <w:t xml:space="preserve">, </w:t>
      </w:r>
      <w:r w:rsidR="00E24067" w:rsidRPr="00E24067">
        <w:rPr>
          <w:color w:val="000000" w:themeColor="text1"/>
          <w:sz w:val="20"/>
          <w:szCs w:val="20"/>
        </w:rPr>
        <w:t>Sweden</w:t>
      </w:r>
      <w:r w:rsidR="00E24067">
        <w:rPr>
          <w:color w:val="000000" w:themeColor="text1"/>
          <w:sz w:val="20"/>
          <w:szCs w:val="20"/>
        </w:rPr>
        <w:t xml:space="preserve">, </w:t>
      </w:r>
      <w:r w:rsidR="00E24067" w:rsidRPr="00E24067">
        <w:rPr>
          <w:color w:val="000000" w:themeColor="text1"/>
          <w:sz w:val="20"/>
          <w:szCs w:val="20"/>
        </w:rPr>
        <w:t>Switzerland</w:t>
      </w:r>
      <w:r w:rsidR="00E24067">
        <w:rPr>
          <w:color w:val="000000" w:themeColor="text1"/>
          <w:sz w:val="20"/>
          <w:szCs w:val="20"/>
        </w:rPr>
        <w:t xml:space="preserve">, </w:t>
      </w:r>
      <w:r w:rsidR="00E24067" w:rsidRPr="00E24067">
        <w:rPr>
          <w:color w:val="000000" w:themeColor="text1"/>
          <w:sz w:val="20"/>
          <w:szCs w:val="20"/>
        </w:rPr>
        <w:t>Thailand</w:t>
      </w:r>
      <w:r w:rsidR="00E24067">
        <w:rPr>
          <w:color w:val="000000" w:themeColor="text1"/>
          <w:sz w:val="20"/>
          <w:szCs w:val="20"/>
        </w:rPr>
        <w:t xml:space="preserve">, </w:t>
      </w:r>
      <w:r w:rsidR="00E24067" w:rsidRPr="00E24067">
        <w:rPr>
          <w:color w:val="000000" w:themeColor="text1"/>
          <w:sz w:val="20"/>
          <w:szCs w:val="20"/>
        </w:rPr>
        <w:t>Turkey</w:t>
      </w:r>
      <w:r w:rsidR="00E24067">
        <w:rPr>
          <w:color w:val="000000" w:themeColor="text1"/>
          <w:sz w:val="20"/>
          <w:szCs w:val="20"/>
        </w:rPr>
        <w:t xml:space="preserve">, </w:t>
      </w:r>
      <w:r w:rsidR="00E24067" w:rsidRPr="00E24067">
        <w:rPr>
          <w:color w:val="000000" w:themeColor="text1"/>
          <w:sz w:val="20"/>
          <w:szCs w:val="20"/>
        </w:rPr>
        <w:t>Venezuela (Bolivarian Republic of)</w:t>
      </w:r>
      <w:r w:rsidR="00E24067">
        <w:rPr>
          <w:color w:val="000000" w:themeColor="text1"/>
          <w:sz w:val="20"/>
          <w:szCs w:val="20"/>
        </w:rPr>
        <w:t xml:space="preserve">, </w:t>
      </w:r>
      <w:r w:rsidR="00E24067" w:rsidRPr="00E24067">
        <w:rPr>
          <w:color w:val="000000" w:themeColor="text1"/>
          <w:sz w:val="20"/>
          <w:szCs w:val="20"/>
        </w:rPr>
        <w:t>Viet Nam</w:t>
      </w:r>
      <w:r w:rsidRPr="0067399B">
        <w:rPr>
          <w:color w:val="000000" w:themeColor="text1"/>
          <w:sz w:val="20"/>
          <w:szCs w:val="20"/>
        </w:rPr>
        <w:t>;</w:t>
      </w:r>
    </w:p>
    <w:p w14:paraId="69AD49FE" w14:textId="77777777" w:rsidR="00462CCA" w:rsidRPr="0067399B" w:rsidRDefault="00462CCA" w:rsidP="00462CCA">
      <w:pPr>
        <w:pStyle w:val="SingleTxtG"/>
        <w:ind w:firstLine="567"/>
        <w:rPr>
          <w:color w:val="000000" w:themeColor="text1"/>
          <w:sz w:val="20"/>
          <w:szCs w:val="20"/>
        </w:rPr>
      </w:pPr>
      <w:r w:rsidRPr="0067399B">
        <w:rPr>
          <w:color w:val="000000" w:themeColor="text1"/>
          <w:sz w:val="20"/>
          <w:szCs w:val="20"/>
        </w:rPr>
        <w:t>(c)</w:t>
      </w:r>
      <w:r w:rsidRPr="0067399B">
        <w:rPr>
          <w:color w:val="000000" w:themeColor="text1"/>
          <w:sz w:val="20"/>
          <w:szCs w:val="20"/>
        </w:rPr>
        <w:tab/>
        <w:t>Observers for intergovernmental organizations: European Union, Organization of Islamic Cooperation;</w:t>
      </w:r>
    </w:p>
    <w:p w14:paraId="37FC7E06" w14:textId="31F2162A" w:rsidR="00462CCA" w:rsidRPr="0067399B" w:rsidRDefault="00462CCA" w:rsidP="00462CCA">
      <w:pPr>
        <w:pStyle w:val="SingleTxtG"/>
        <w:ind w:firstLine="567"/>
        <w:rPr>
          <w:color w:val="000000" w:themeColor="text1"/>
          <w:sz w:val="20"/>
          <w:szCs w:val="20"/>
        </w:rPr>
      </w:pPr>
      <w:r w:rsidRPr="0067399B">
        <w:rPr>
          <w:color w:val="000000" w:themeColor="text1"/>
          <w:sz w:val="20"/>
          <w:szCs w:val="20"/>
        </w:rPr>
        <w:t>(d)</w:t>
      </w:r>
      <w:r w:rsidRPr="0067399B">
        <w:rPr>
          <w:color w:val="000000" w:themeColor="text1"/>
          <w:sz w:val="20"/>
          <w:szCs w:val="20"/>
        </w:rPr>
        <w:tab/>
        <w:t xml:space="preserve">Observers for non-governmental organizations: </w:t>
      </w:r>
      <w:r w:rsidR="00BE174B" w:rsidRPr="00BE174B">
        <w:rPr>
          <w:color w:val="000000" w:themeColor="text1"/>
          <w:sz w:val="20"/>
          <w:szCs w:val="20"/>
        </w:rPr>
        <w:t>Asian Forum for Human Rights and Development</w:t>
      </w:r>
      <w:r w:rsidR="00BE174B">
        <w:rPr>
          <w:color w:val="000000" w:themeColor="text1"/>
          <w:sz w:val="20"/>
          <w:szCs w:val="20"/>
        </w:rPr>
        <w:t xml:space="preserve">; </w:t>
      </w:r>
      <w:r w:rsidR="00BE174B" w:rsidRPr="00BE174B">
        <w:rPr>
          <w:color w:val="000000" w:themeColor="text1"/>
          <w:sz w:val="20"/>
          <w:szCs w:val="20"/>
        </w:rPr>
        <w:t>Christian Solidarity Worldwide</w:t>
      </w:r>
      <w:r w:rsidR="00BE174B">
        <w:rPr>
          <w:color w:val="000000" w:themeColor="text1"/>
          <w:sz w:val="20"/>
          <w:szCs w:val="20"/>
        </w:rPr>
        <w:t xml:space="preserve">; </w:t>
      </w:r>
      <w:r w:rsidR="00BE174B" w:rsidRPr="00BE174B">
        <w:rPr>
          <w:color w:val="000000" w:themeColor="text1"/>
          <w:sz w:val="20"/>
          <w:szCs w:val="20"/>
        </w:rPr>
        <w:t>European Centre for Law and Justice, The / Centre Europeen pour le droit, les Justice et les droits de l</w:t>
      </w:r>
      <w:r w:rsidR="00D72627">
        <w:rPr>
          <w:color w:val="000000" w:themeColor="text1"/>
          <w:sz w:val="20"/>
          <w:szCs w:val="20"/>
        </w:rPr>
        <w:t>’</w:t>
      </w:r>
      <w:r w:rsidR="00BE174B" w:rsidRPr="00BE174B">
        <w:rPr>
          <w:color w:val="000000" w:themeColor="text1"/>
          <w:sz w:val="20"/>
          <w:szCs w:val="20"/>
        </w:rPr>
        <w:t>homme</w:t>
      </w:r>
      <w:r w:rsidR="00BE174B">
        <w:rPr>
          <w:color w:val="000000" w:themeColor="text1"/>
          <w:sz w:val="20"/>
          <w:szCs w:val="20"/>
        </w:rPr>
        <w:t xml:space="preserve">; </w:t>
      </w:r>
      <w:r w:rsidR="00BE174B" w:rsidRPr="00BE174B">
        <w:rPr>
          <w:color w:val="000000" w:themeColor="text1"/>
          <w:sz w:val="20"/>
          <w:szCs w:val="20"/>
        </w:rPr>
        <w:t>Human Rights Now</w:t>
      </w:r>
      <w:r w:rsidR="00BE174B">
        <w:rPr>
          <w:color w:val="000000" w:themeColor="text1"/>
          <w:sz w:val="20"/>
          <w:szCs w:val="20"/>
        </w:rPr>
        <w:t xml:space="preserve">; </w:t>
      </w:r>
      <w:r w:rsidR="00BE174B" w:rsidRPr="00BE174B">
        <w:rPr>
          <w:color w:val="000000" w:themeColor="text1"/>
          <w:sz w:val="20"/>
          <w:szCs w:val="20"/>
        </w:rPr>
        <w:t>International Educational Development, Inc.</w:t>
      </w:r>
      <w:r w:rsidR="00BE174B">
        <w:rPr>
          <w:color w:val="000000" w:themeColor="text1"/>
          <w:sz w:val="20"/>
          <w:szCs w:val="20"/>
        </w:rPr>
        <w:t xml:space="preserve">; </w:t>
      </w:r>
      <w:r w:rsidR="00BE174B" w:rsidRPr="00BE174B">
        <w:rPr>
          <w:color w:val="000000" w:themeColor="text1"/>
          <w:sz w:val="20"/>
          <w:szCs w:val="20"/>
        </w:rPr>
        <w:t>International Federation for Human Rights Leagues</w:t>
      </w:r>
      <w:r w:rsidR="00BE174B">
        <w:rPr>
          <w:color w:val="000000" w:themeColor="text1"/>
          <w:sz w:val="20"/>
          <w:szCs w:val="20"/>
        </w:rPr>
        <w:t xml:space="preserve">; </w:t>
      </w:r>
      <w:r w:rsidR="00BE174B" w:rsidRPr="00BE174B">
        <w:rPr>
          <w:color w:val="000000" w:themeColor="text1"/>
          <w:sz w:val="20"/>
          <w:szCs w:val="20"/>
        </w:rPr>
        <w:t>Lawyers</w:t>
      </w:r>
      <w:r w:rsidR="00D72627">
        <w:rPr>
          <w:color w:val="000000" w:themeColor="text1"/>
          <w:sz w:val="20"/>
          <w:szCs w:val="20"/>
        </w:rPr>
        <w:t>’</w:t>
      </w:r>
      <w:r w:rsidR="00BE174B" w:rsidRPr="00BE174B">
        <w:rPr>
          <w:color w:val="000000" w:themeColor="text1"/>
          <w:sz w:val="20"/>
          <w:szCs w:val="20"/>
        </w:rPr>
        <w:t xml:space="preserve"> Rights Watch Canada</w:t>
      </w:r>
      <w:r w:rsidR="00BE174B">
        <w:rPr>
          <w:color w:val="000000" w:themeColor="text1"/>
          <w:sz w:val="20"/>
          <w:szCs w:val="20"/>
        </w:rPr>
        <w:t xml:space="preserve"> (also on behalf of </w:t>
      </w:r>
      <w:r w:rsidR="00BE174B" w:rsidRPr="00BE174B">
        <w:rPr>
          <w:color w:val="000000" w:themeColor="text1"/>
          <w:sz w:val="20"/>
          <w:szCs w:val="20"/>
        </w:rPr>
        <w:t>Interna</w:t>
      </w:r>
      <w:r w:rsidR="00BE174B">
        <w:rPr>
          <w:color w:val="000000" w:themeColor="text1"/>
          <w:sz w:val="20"/>
          <w:szCs w:val="20"/>
        </w:rPr>
        <w:t xml:space="preserve">tional Service for Human Rights); </w:t>
      </w:r>
      <w:r w:rsidR="00BE174B" w:rsidRPr="00BE174B">
        <w:rPr>
          <w:color w:val="000000" w:themeColor="text1"/>
          <w:sz w:val="20"/>
          <w:szCs w:val="20"/>
        </w:rPr>
        <w:t>Refugee Council of Australia</w:t>
      </w:r>
      <w:r w:rsidRPr="0067399B">
        <w:rPr>
          <w:color w:val="000000" w:themeColor="text1"/>
          <w:sz w:val="20"/>
          <w:szCs w:val="20"/>
        </w:rPr>
        <w:t>.</w:t>
      </w:r>
    </w:p>
    <w:p w14:paraId="596F83E2" w14:textId="7B57B8B2" w:rsidR="00462CCA" w:rsidRPr="0067399B" w:rsidRDefault="002B4AE4" w:rsidP="00462CCA">
      <w:pPr>
        <w:spacing w:after="120"/>
        <w:ind w:left="1134" w:right="1134"/>
        <w:jc w:val="both"/>
        <w:rPr>
          <w:color w:val="000000" w:themeColor="text1"/>
          <w:sz w:val="20"/>
          <w:szCs w:val="20"/>
        </w:rPr>
      </w:pPr>
      <w:r>
        <w:rPr>
          <w:color w:val="000000" w:themeColor="text1"/>
          <w:sz w:val="20"/>
          <w:szCs w:val="20"/>
        </w:rPr>
        <w:t>269</w:t>
      </w:r>
      <w:r w:rsidR="00462CCA" w:rsidRPr="0067399B">
        <w:rPr>
          <w:color w:val="000000" w:themeColor="text1"/>
          <w:sz w:val="20"/>
          <w:szCs w:val="20"/>
        </w:rPr>
        <w:t>.</w:t>
      </w:r>
      <w:r w:rsidR="00462CCA" w:rsidRPr="0067399B">
        <w:rPr>
          <w:color w:val="000000" w:themeColor="text1"/>
          <w:sz w:val="20"/>
          <w:szCs w:val="20"/>
        </w:rPr>
        <w:tab/>
      </w:r>
      <w:r w:rsidR="00943432" w:rsidRPr="00172A87">
        <w:rPr>
          <w:color w:val="000000" w:themeColor="text1"/>
          <w:sz w:val="20"/>
          <w:szCs w:val="20"/>
        </w:rPr>
        <w:t>At the 26th and 27th meetings, on 11 March 2019</w:t>
      </w:r>
      <w:r w:rsidR="00462CCA" w:rsidRPr="0067399B">
        <w:rPr>
          <w:color w:val="000000" w:themeColor="text1"/>
          <w:sz w:val="20"/>
          <w:szCs w:val="20"/>
        </w:rPr>
        <w:t>, the Special Rapporteur answered questions and made her concluding remarks.</w:t>
      </w:r>
    </w:p>
    <w:p w14:paraId="17C822D1" w14:textId="20B80B94" w:rsidR="00456A1D" w:rsidRPr="0067399B" w:rsidRDefault="002D20B3" w:rsidP="001B7147">
      <w:pPr>
        <w:pStyle w:val="H1G"/>
        <w:rPr>
          <w:b w:val="0"/>
          <w:color w:val="000000" w:themeColor="text1"/>
          <w:sz w:val="20"/>
          <w:szCs w:val="20"/>
        </w:rPr>
      </w:pPr>
      <w:r w:rsidRPr="00C16037">
        <w:rPr>
          <w:color w:val="000000" w:themeColor="text1"/>
        </w:rPr>
        <w:tab/>
      </w:r>
      <w:r w:rsidR="00456A1D" w:rsidRPr="00C16037">
        <w:rPr>
          <w:color w:val="000000" w:themeColor="text1"/>
        </w:rPr>
        <w:tab/>
      </w:r>
      <w:r w:rsidR="00456A1D" w:rsidRPr="0067399B">
        <w:rPr>
          <w:color w:val="000000" w:themeColor="text1"/>
          <w:sz w:val="20"/>
          <w:szCs w:val="20"/>
        </w:rPr>
        <w:tab/>
      </w:r>
      <w:r w:rsidR="00456A1D" w:rsidRPr="00B168DF">
        <w:rPr>
          <w:color w:val="000000" w:themeColor="text1"/>
          <w:sz w:val="20"/>
          <w:szCs w:val="20"/>
        </w:rPr>
        <w:t>Special Rapporteur on the situation of human rights in the Democratic People</w:t>
      </w:r>
      <w:r w:rsidR="00D72627">
        <w:rPr>
          <w:color w:val="000000" w:themeColor="text1"/>
          <w:sz w:val="20"/>
          <w:szCs w:val="20"/>
        </w:rPr>
        <w:t>’</w:t>
      </w:r>
      <w:r w:rsidR="00456A1D" w:rsidRPr="00B168DF">
        <w:rPr>
          <w:color w:val="000000" w:themeColor="text1"/>
          <w:sz w:val="20"/>
          <w:szCs w:val="20"/>
        </w:rPr>
        <w:t>s Republic of Korea</w:t>
      </w:r>
    </w:p>
    <w:p w14:paraId="73EC76F7" w14:textId="6E0EAAEB" w:rsidR="00456A1D" w:rsidRDefault="002B4AE4" w:rsidP="00456A1D">
      <w:pPr>
        <w:pStyle w:val="SingleTxtG"/>
        <w:tabs>
          <w:tab w:val="left" w:pos="1701"/>
        </w:tabs>
        <w:rPr>
          <w:color w:val="000000" w:themeColor="text1"/>
          <w:sz w:val="20"/>
          <w:szCs w:val="20"/>
        </w:rPr>
      </w:pPr>
      <w:r>
        <w:rPr>
          <w:color w:val="000000" w:themeColor="text1"/>
          <w:sz w:val="20"/>
          <w:szCs w:val="20"/>
        </w:rPr>
        <w:t>270</w:t>
      </w:r>
      <w:r w:rsidR="00456A1D" w:rsidRPr="0067399B">
        <w:rPr>
          <w:color w:val="000000" w:themeColor="text1"/>
          <w:sz w:val="20"/>
          <w:szCs w:val="20"/>
        </w:rPr>
        <w:t>.</w:t>
      </w:r>
      <w:r w:rsidR="00456A1D" w:rsidRPr="0067399B">
        <w:rPr>
          <w:color w:val="000000" w:themeColor="text1"/>
          <w:sz w:val="20"/>
          <w:szCs w:val="20"/>
        </w:rPr>
        <w:tab/>
        <w:t>At the 2</w:t>
      </w:r>
      <w:r w:rsidR="00E24190">
        <w:rPr>
          <w:color w:val="000000" w:themeColor="text1"/>
          <w:sz w:val="20"/>
          <w:szCs w:val="20"/>
        </w:rPr>
        <w:t>7</w:t>
      </w:r>
      <w:r w:rsidR="00456A1D" w:rsidRPr="0067399B">
        <w:rPr>
          <w:color w:val="000000" w:themeColor="text1"/>
          <w:sz w:val="20"/>
          <w:szCs w:val="20"/>
        </w:rPr>
        <w:t>th meeting, on 1</w:t>
      </w:r>
      <w:r w:rsidR="00E24190">
        <w:rPr>
          <w:color w:val="000000" w:themeColor="text1"/>
          <w:sz w:val="20"/>
          <w:szCs w:val="20"/>
        </w:rPr>
        <w:t>1</w:t>
      </w:r>
      <w:r w:rsidR="00456A1D" w:rsidRPr="0067399B">
        <w:rPr>
          <w:color w:val="000000" w:themeColor="text1"/>
          <w:sz w:val="20"/>
          <w:szCs w:val="20"/>
        </w:rPr>
        <w:t xml:space="preserve"> March </w:t>
      </w:r>
      <w:r w:rsidR="00141AFC">
        <w:rPr>
          <w:color w:val="000000" w:themeColor="text1"/>
          <w:sz w:val="20"/>
          <w:szCs w:val="20"/>
        </w:rPr>
        <w:t>2019</w:t>
      </w:r>
      <w:r w:rsidR="00456A1D" w:rsidRPr="0067399B">
        <w:rPr>
          <w:color w:val="000000" w:themeColor="text1"/>
          <w:sz w:val="20"/>
          <w:szCs w:val="20"/>
        </w:rPr>
        <w:t>, the Special Rapporteur on the situation of human rights in the Democratic People</w:t>
      </w:r>
      <w:r w:rsidR="00D72627">
        <w:rPr>
          <w:color w:val="000000" w:themeColor="text1"/>
          <w:sz w:val="20"/>
          <w:szCs w:val="20"/>
        </w:rPr>
        <w:t>’</w:t>
      </w:r>
      <w:r w:rsidR="00456A1D" w:rsidRPr="0067399B">
        <w:rPr>
          <w:color w:val="000000" w:themeColor="text1"/>
          <w:sz w:val="20"/>
          <w:szCs w:val="20"/>
        </w:rPr>
        <w:t>s Republic of Korea, Tomás Ojea Quintana, presented his report (A/HRC/</w:t>
      </w:r>
      <w:r w:rsidR="00E24190" w:rsidRPr="00E24190">
        <w:rPr>
          <w:color w:val="000000" w:themeColor="text1"/>
          <w:sz w:val="20"/>
          <w:szCs w:val="20"/>
        </w:rPr>
        <w:t>40/66</w:t>
      </w:r>
      <w:r w:rsidR="00456A1D" w:rsidRPr="0067399B">
        <w:rPr>
          <w:color w:val="000000" w:themeColor="text1"/>
          <w:sz w:val="20"/>
          <w:szCs w:val="20"/>
        </w:rPr>
        <w:t>)</w:t>
      </w:r>
      <w:r w:rsidR="00E24190">
        <w:rPr>
          <w:color w:val="000000" w:themeColor="text1"/>
          <w:sz w:val="20"/>
          <w:szCs w:val="20"/>
        </w:rPr>
        <w:t xml:space="preserve"> (by video message)</w:t>
      </w:r>
      <w:r w:rsidR="00456A1D" w:rsidRPr="0067399B">
        <w:rPr>
          <w:color w:val="000000" w:themeColor="text1"/>
          <w:sz w:val="20"/>
          <w:szCs w:val="20"/>
        </w:rPr>
        <w:t xml:space="preserve">. </w:t>
      </w:r>
    </w:p>
    <w:p w14:paraId="519CCB6B" w14:textId="1A8C117C" w:rsidR="00456A1D" w:rsidRPr="0067399B" w:rsidRDefault="002B4AE4" w:rsidP="00456A1D">
      <w:pPr>
        <w:pStyle w:val="SingleTxtG"/>
        <w:rPr>
          <w:color w:val="000000" w:themeColor="text1"/>
          <w:sz w:val="20"/>
          <w:szCs w:val="20"/>
        </w:rPr>
      </w:pPr>
      <w:r>
        <w:rPr>
          <w:color w:val="000000" w:themeColor="text1"/>
          <w:sz w:val="20"/>
          <w:szCs w:val="20"/>
        </w:rPr>
        <w:t>271</w:t>
      </w:r>
      <w:r w:rsidR="00456A1D" w:rsidRPr="0067399B">
        <w:rPr>
          <w:color w:val="000000" w:themeColor="text1"/>
          <w:sz w:val="20"/>
          <w:szCs w:val="20"/>
        </w:rPr>
        <w:t>.</w:t>
      </w:r>
      <w:r w:rsidR="00456A1D" w:rsidRPr="0067399B">
        <w:rPr>
          <w:color w:val="000000" w:themeColor="text1"/>
          <w:sz w:val="20"/>
          <w:szCs w:val="20"/>
        </w:rPr>
        <w:tab/>
        <w:t>During the ensuing interactive dialogue, at the same meeting, the following made statements and asked the Special Rapporteur questions:</w:t>
      </w:r>
    </w:p>
    <w:p w14:paraId="0734967A" w14:textId="4FD7E512" w:rsidR="00456A1D" w:rsidRPr="0067399B" w:rsidRDefault="00456A1D" w:rsidP="00456A1D">
      <w:pPr>
        <w:pStyle w:val="SingleTxtG"/>
        <w:ind w:firstLine="567"/>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 </w:t>
      </w:r>
      <w:r w:rsidR="003F1329" w:rsidRPr="003F1329">
        <w:rPr>
          <w:color w:val="000000" w:themeColor="text1"/>
          <w:sz w:val="20"/>
          <w:szCs w:val="20"/>
        </w:rPr>
        <w:t>Australia</w:t>
      </w:r>
      <w:r w:rsidR="003F1329">
        <w:rPr>
          <w:color w:val="000000" w:themeColor="text1"/>
          <w:sz w:val="20"/>
          <w:szCs w:val="20"/>
        </w:rPr>
        <w:t xml:space="preserve">, </w:t>
      </w:r>
      <w:r w:rsidR="003F1329" w:rsidRPr="003F1329">
        <w:rPr>
          <w:color w:val="000000" w:themeColor="text1"/>
          <w:sz w:val="20"/>
          <w:szCs w:val="20"/>
        </w:rPr>
        <w:t>Bulgaria</w:t>
      </w:r>
      <w:r w:rsidR="003F1329">
        <w:rPr>
          <w:color w:val="000000" w:themeColor="text1"/>
          <w:sz w:val="20"/>
          <w:szCs w:val="20"/>
        </w:rPr>
        <w:t xml:space="preserve">, </w:t>
      </w:r>
      <w:r w:rsidR="003F1329" w:rsidRPr="003F1329">
        <w:rPr>
          <w:color w:val="000000" w:themeColor="text1"/>
          <w:sz w:val="20"/>
          <w:szCs w:val="20"/>
        </w:rPr>
        <w:t>China</w:t>
      </w:r>
      <w:r w:rsidR="003F1329">
        <w:rPr>
          <w:color w:val="000000" w:themeColor="text1"/>
          <w:sz w:val="20"/>
          <w:szCs w:val="20"/>
        </w:rPr>
        <w:t xml:space="preserve">, </w:t>
      </w:r>
      <w:r w:rsidR="003F1329" w:rsidRPr="003F1329">
        <w:rPr>
          <w:color w:val="000000" w:themeColor="text1"/>
          <w:sz w:val="20"/>
          <w:szCs w:val="20"/>
        </w:rPr>
        <w:t>Cuba</w:t>
      </w:r>
      <w:r w:rsidR="003F1329">
        <w:rPr>
          <w:color w:val="000000" w:themeColor="text1"/>
          <w:sz w:val="20"/>
          <w:szCs w:val="20"/>
        </w:rPr>
        <w:t xml:space="preserve">, </w:t>
      </w:r>
      <w:r w:rsidR="003F1329" w:rsidRPr="003F1329">
        <w:rPr>
          <w:color w:val="000000" w:themeColor="text1"/>
          <w:sz w:val="20"/>
          <w:szCs w:val="20"/>
        </w:rPr>
        <w:t>Czechi</w:t>
      </w:r>
      <w:r w:rsidR="003F1329">
        <w:rPr>
          <w:color w:val="000000" w:themeColor="text1"/>
          <w:sz w:val="20"/>
          <w:szCs w:val="20"/>
        </w:rPr>
        <w:t xml:space="preserve">a, </w:t>
      </w:r>
      <w:r w:rsidR="003F1329" w:rsidRPr="003F1329">
        <w:rPr>
          <w:color w:val="000000" w:themeColor="text1"/>
          <w:sz w:val="20"/>
          <w:szCs w:val="20"/>
        </w:rPr>
        <w:t>Iceland</w:t>
      </w:r>
      <w:r w:rsidR="003F1329">
        <w:rPr>
          <w:color w:val="000000" w:themeColor="text1"/>
          <w:sz w:val="20"/>
          <w:szCs w:val="20"/>
        </w:rPr>
        <w:t xml:space="preserve">, </w:t>
      </w:r>
      <w:r w:rsidR="003F1329" w:rsidRPr="003F1329">
        <w:rPr>
          <w:color w:val="000000" w:themeColor="text1"/>
          <w:sz w:val="20"/>
          <w:szCs w:val="20"/>
        </w:rPr>
        <w:t>Japan</w:t>
      </w:r>
      <w:r w:rsidR="003F1329">
        <w:rPr>
          <w:color w:val="000000" w:themeColor="text1"/>
          <w:sz w:val="20"/>
          <w:szCs w:val="20"/>
        </w:rPr>
        <w:t xml:space="preserve">, </w:t>
      </w:r>
      <w:r w:rsidR="003F1329" w:rsidRPr="003F1329">
        <w:rPr>
          <w:color w:val="000000" w:themeColor="text1"/>
          <w:sz w:val="20"/>
          <w:szCs w:val="20"/>
        </w:rPr>
        <w:t>Spain</w:t>
      </w:r>
      <w:r w:rsidR="003F1329">
        <w:rPr>
          <w:color w:val="000000" w:themeColor="text1"/>
          <w:sz w:val="20"/>
          <w:szCs w:val="20"/>
        </w:rPr>
        <w:t xml:space="preserve">, </w:t>
      </w:r>
      <w:r w:rsidR="003F1329" w:rsidRPr="003F1329">
        <w:rPr>
          <w:color w:val="000000" w:themeColor="text1"/>
          <w:sz w:val="20"/>
          <w:szCs w:val="20"/>
        </w:rPr>
        <w:t>Ukraine</w:t>
      </w:r>
      <w:r w:rsidR="003F1329">
        <w:rPr>
          <w:color w:val="000000" w:themeColor="text1"/>
          <w:sz w:val="20"/>
          <w:szCs w:val="20"/>
        </w:rPr>
        <w:t xml:space="preserve">, </w:t>
      </w:r>
      <w:r w:rsidR="003F1329" w:rsidRPr="003F1329">
        <w:rPr>
          <w:color w:val="000000" w:themeColor="text1"/>
          <w:sz w:val="20"/>
          <w:szCs w:val="20"/>
        </w:rPr>
        <w:t>United Kingdom of Great Britain and Northern Ireland</w:t>
      </w:r>
      <w:r w:rsidRPr="0067399B">
        <w:rPr>
          <w:color w:val="000000" w:themeColor="text1"/>
          <w:sz w:val="20"/>
          <w:szCs w:val="20"/>
        </w:rPr>
        <w:t>;</w:t>
      </w:r>
    </w:p>
    <w:p w14:paraId="077D6831" w14:textId="12A31A59" w:rsidR="00456A1D" w:rsidRPr="0067399B" w:rsidRDefault="00456A1D" w:rsidP="00456A1D">
      <w:pPr>
        <w:pStyle w:val="SingleTxtG"/>
        <w:ind w:firstLine="567"/>
        <w:rPr>
          <w:color w:val="000000" w:themeColor="text1"/>
          <w:sz w:val="20"/>
          <w:szCs w:val="20"/>
        </w:rPr>
      </w:pPr>
      <w:r w:rsidRPr="0067399B">
        <w:rPr>
          <w:color w:val="000000" w:themeColor="text1"/>
          <w:sz w:val="20"/>
          <w:szCs w:val="20"/>
        </w:rPr>
        <w:t>(b)</w:t>
      </w:r>
      <w:r w:rsidRPr="0067399B">
        <w:rPr>
          <w:color w:val="000000" w:themeColor="text1"/>
          <w:sz w:val="20"/>
          <w:szCs w:val="20"/>
        </w:rPr>
        <w:tab/>
        <w:t xml:space="preserve">Representatives of observer States: </w:t>
      </w:r>
      <w:r w:rsidR="003F1329" w:rsidRPr="003F1329">
        <w:rPr>
          <w:color w:val="000000" w:themeColor="text1"/>
          <w:sz w:val="20"/>
          <w:szCs w:val="20"/>
        </w:rPr>
        <w:t>Belarus</w:t>
      </w:r>
      <w:r w:rsidR="003F1329">
        <w:rPr>
          <w:color w:val="000000" w:themeColor="text1"/>
          <w:sz w:val="20"/>
          <w:szCs w:val="20"/>
        </w:rPr>
        <w:t xml:space="preserve">, </w:t>
      </w:r>
      <w:r w:rsidR="003F1329" w:rsidRPr="003F1329">
        <w:rPr>
          <w:color w:val="000000" w:themeColor="text1"/>
          <w:sz w:val="20"/>
          <w:szCs w:val="20"/>
        </w:rPr>
        <w:t>Canada</w:t>
      </w:r>
      <w:r w:rsidR="003F1329">
        <w:rPr>
          <w:color w:val="000000" w:themeColor="text1"/>
          <w:sz w:val="20"/>
          <w:szCs w:val="20"/>
        </w:rPr>
        <w:t xml:space="preserve">, </w:t>
      </w:r>
      <w:r w:rsidR="003F1329" w:rsidRPr="003F1329">
        <w:rPr>
          <w:color w:val="000000" w:themeColor="text1"/>
          <w:sz w:val="20"/>
          <w:szCs w:val="20"/>
        </w:rPr>
        <w:t>France</w:t>
      </w:r>
      <w:r w:rsidR="003F1329">
        <w:rPr>
          <w:color w:val="000000" w:themeColor="text1"/>
          <w:sz w:val="20"/>
          <w:szCs w:val="20"/>
        </w:rPr>
        <w:t xml:space="preserve">, </w:t>
      </w:r>
      <w:r w:rsidR="003F1329" w:rsidRPr="003F1329">
        <w:rPr>
          <w:color w:val="000000" w:themeColor="text1"/>
          <w:sz w:val="20"/>
          <w:szCs w:val="20"/>
        </w:rPr>
        <w:t>Germany</w:t>
      </w:r>
      <w:r w:rsidR="003F1329">
        <w:rPr>
          <w:color w:val="000000" w:themeColor="text1"/>
          <w:sz w:val="20"/>
          <w:szCs w:val="20"/>
        </w:rPr>
        <w:t xml:space="preserve">, </w:t>
      </w:r>
      <w:r w:rsidR="003F1329" w:rsidRPr="003F1329">
        <w:rPr>
          <w:color w:val="000000" w:themeColor="text1"/>
          <w:sz w:val="20"/>
          <w:szCs w:val="20"/>
        </w:rPr>
        <w:t>Greece</w:t>
      </w:r>
      <w:r w:rsidR="003F1329">
        <w:rPr>
          <w:color w:val="000000" w:themeColor="text1"/>
          <w:sz w:val="20"/>
          <w:szCs w:val="20"/>
        </w:rPr>
        <w:t xml:space="preserve">, </w:t>
      </w:r>
      <w:r w:rsidR="003F1329" w:rsidRPr="003F1329">
        <w:rPr>
          <w:color w:val="000000" w:themeColor="text1"/>
          <w:sz w:val="20"/>
          <w:szCs w:val="20"/>
        </w:rPr>
        <w:t>Iran (Islamic Republic of)</w:t>
      </w:r>
      <w:r w:rsidR="003F1329">
        <w:rPr>
          <w:color w:val="000000" w:themeColor="text1"/>
          <w:sz w:val="20"/>
          <w:szCs w:val="20"/>
        </w:rPr>
        <w:t xml:space="preserve">, </w:t>
      </w:r>
      <w:r w:rsidR="003F1329" w:rsidRPr="003F1329">
        <w:rPr>
          <w:color w:val="000000" w:themeColor="text1"/>
          <w:sz w:val="20"/>
          <w:szCs w:val="20"/>
        </w:rPr>
        <w:t>Ireland</w:t>
      </w:r>
      <w:r w:rsidR="003F1329">
        <w:rPr>
          <w:color w:val="000000" w:themeColor="text1"/>
          <w:sz w:val="20"/>
          <w:szCs w:val="20"/>
        </w:rPr>
        <w:t xml:space="preserve">, </w:t>
      </w:r>
      <w:r w:rsidR="003F1329" w:rsidRPr="003F1329">
        <w:rPr>
          <w:color w:val="000000" w:themeColor="text1"/>
          <w:sz w:val="20"/>
          <w:szCs w:val="20"/>
        </w:rPr>
        <w:t>Myanmar</w:t>
      </w:r>
      <w:r w:rsidR="003F1329">
        <w:rPr>
          <w:color w:val="000000" w:themeColor="text1"/>
          <w:sz w:val="20"/>
          <w:szCs w:val="20"/>
        </w:rPr>
        <w:t xml:space="preserve">, </w:t>
      </w:r>
      <w:r w:rsidR="003F1329" w:rsidRPr="003F1329">
        <w:rPr>
          <w:color w:val="000000" w:themeColor="text1"/>
          <w:sz w:val="20"/>
          <w:szCs w:val="20"/>
        </w:rPr>
        <w:t>New Zealand</w:t>
      </w:r>
      <w:r w:rsidR="003F1329">
        <w:rPr>
          <w:color w:val="000000" w:themeColor="text1"/>
          <w:sz w:val="20"/>
          <w:szCs w:val="20"/>
        </w:rPr>
        <w:t xml:space="preserve">, </w:t>
      </w:r>
      <w:r w:rsidR="003F1329" w:rsidRPr="003F1329">
        <w:rPr>
          <w:color w:val="000000" w:themeColor="text1"/>
          <w:sz w:val="20"/>
          <w:szCs w:val="20"/>
        </w:rPr>
        <w:t>Norway</w:t>
      </w:r>
      <w:r w:rsidR="003F1329">
        <w:rPr>
          <w:color w:val="000000" w:themeColor="text1"/>
          <w:sz w:val="20"/>
          <w:szCs w:val="20"/>
        </w:rPr>
        <w:t xml:space="preserve">, </w:t>
      </w:r>
      <w:r w:rsidR="003F1329" w:rsidRPr="003F1329">
        <w:rPr>
          <w:color w:val="000000" w:themeColor="text1"/>
          <w:sz w:val="20"/>
          <w:szCs w:val="20"/>
        </w:rPr>
        <w:t>Republic of Korea</w:t>
      </w:r>
      <w:r w:rsidR="003F1329">
        <w:rPr>
          <w:color w:val="000000" w:themeColor="text1"/>
          <w:sz w:val="20"/>
          <w:szCs w:val="20"/>
        </w:rPr>
        <w:t xml:space="preserve">, </w:t>
      </w:r>
      <w:r w:rsidR="003F1329" w:rsidRPr="003F1329">
        <w:rPr>
          <w:color w:val="000000" w:themeColor="text1"/>
          <w:sz w:val="20"/>
          <w:szCs w:val="20"/>
        </w:rPr>
        <w:t>Russian Federation</w:t>
      </w:r>
      <w:r w:rsidR="003F1329">
        <w:rPr>
          <w:color w:val="000000" w:themeColor="text1"/>
          <w:sz w:val="20"/>
          <w:szCs w:val="20"/>
        </w:rPr>
        <w:t xml:space="preserve">, </w:t>
      </w:r>
      <w:r w:rsidR="003F1329" w:rsidRPr="003F1329">
        <w:rPr>
          <w:color w:val="000000" w:themeColor="text1"/>
          <w:sz w:val="20"/>
          <w:szCs w:val="20"/>
        </w:rPr>
        <w:t>Syrian Arab Republic</w:t>
      </w:r>
      <w:r w:rsidR="003F1329">
        <w:rPr>
          <w:color w:val="000000" w:themeColor="text1"/>
          <w:sz w:val="20"/>
          <w:szCs w:val="20"/>
        </w:rPr>
        <w:t xml:space="preserve">, </w:t>
      </w:r>
      <w:r w:rsidR="003F1329" w:rsidRPr="003F1329">
        <w:rPr>
          <w:color w:val="000000" w:themeColor="text1"/>
          <w:sz w:val="20"/>
          <w:szCs w:val="20"/>
        </w:rPr>
        <w:t>Venezuela (Bolivarian Republic of)</w:t>
      </w:r>
      <w:r w:rsidRPr="0067399B">
        <w:rPr>
          <w:color w:val="000000" w:themeColor="text1"/>
          <w:sz w:val="20"/>
          <w:szCs w:val="20"/>
        </w:rPr>
        <w:t>;</w:t>
      </w:r>
    </w:p>
    <w:p w14:paraId="7112D72C" w14:textId="5947E3BF" w:rsidR="00456A1D" w:rsidRPr="0067399B" w:rsidRDefault="00456A1D" w:rsidP="00456A1D">
      <w:pPr>
        <w:pStyle w:val="SingleTxtG"/>
        <w:ind w:firstLine="567"/>
        <w:rPr>
          <w:color w:val="000000" w:themeColor="text1"/>
          <w:sz w:val="20"/>
          <w:szCs w:val="20"/>
        </w:rPr>
      </w:pPr>
      <w:r w:rsidRPr="0067399B">
        <w:rPr>
          <w:color w:val="000000" w:themeColor="text1"/>
          <w:sz w:val="20"/>
          <w:szCs w:val="20"/>
        </w:rPr>
        <w:t>(c)</w:t>
      </w:r>
      <w:r w:rsidRPr="0067399B">
        <w:rPr>
          <w:color w:val="000000" w:themeColor="text1"/>
          <w:sz w:val="20"/>
          <w:szCs w:val="20"/>
        </w:rPr>
        <w:tab/>
        <w:t>Observer for an intergovernmental organization: European Union;</w:t>
      </w:r>
    </w:p>
    <w:p w14:paraId="7AD595BD" w14:textId="1D2FAEC7" w:rsidR="00456A1D" w:rsidRDefault="00456A1D" w:rsidP="00456A1D">
      <w:pPr>
        <w:pStyle w:val="SingleTxtG"/>
        <w:ind w:firstLine="567"/>
        <w:rPr>
          <w:color w:val="000000" w:themeColor="text1"/>
          <w:sz w:val="20"/>
          <w:szCs w:val="20"/>
        </w:rPr>
      </w:pPr>
      <w:r w:rsidRPr="0067399B">
        <w:rPr>
          <w:color w:val="000000" w:themeColor="text1"/>
          <w:sz w:val="20"/>
          <w:szCs w:val="20"/>
        </w:rPr>
        <w:t>(d)</w:t>
      </w:r>
      <w:r w:rsidRPr="0067399B">
        <w:rPr>
          <w:color w:val="000000" w:themeColor="text1"/>
          <w:sz w:val="20"/>
          <w:szCs w:val="20"/>
        </w:rPr>
        <w:tab/>
        <w:t xml:space="preserve">Observers for non-governmental organizations: </w:t>
      </w:r>
      <w:r w:rsidR="003F1329" w:rsidRPr="003F1329">
        <w:rPr>
          <w:color w:val="000000" w:themeColor="text1"/>
          <w:sz w:val="20"/>
          <w:szCs w:val="20"/>
        </w:rPr>
        <w:t>Amnesty International</w:t>
      </w:r>
      <w:r w:rsidR="003F1329">
        <w:rPr>
          <w:color w:val="000000" w:themeColor="text1"/>
          <w:sz w:val="20"/>
          <w:szCs w:val="20"/>
        </w:rPr>
        <w:t xml:space="preserve">; </w:t>
      </w:r>
      <w:r w:rsidR="003F1329" w:rsidRPr="003F1329">
        <w:rPr>
          <w:color w:val="000000" w:themeColor="text1"/>
          <w:sz w:val="20"/>
          <w:szCs w:val="20"/>
        </w:rPr>
        <w:t>Christian Solidarity Worldwide</w:t>
      </w:r>
      <w:r w:rsidR="003F1329">
        <w:rPr>
          <w:color w:val="000000" w:themeColor="text1"/>
          <w:sz w:val="20"/>
          <w:szCs w:val="20"/>
        </w:rPr>
        <w:t xml:space="preserve">; </w:t>
      </w:r>
      <w:r w:rsidR="003F1329" w:rsidRPr="003F1329">
        <w:rPr>
          <w:color w:val="000000" w:themeColor="text1"/>
          <w:sz w:val="20"/>
          <w:szCs w:val="20"/>
        </w:rPr>
        <w:t>Human Rights Watch</w:t>
      </w:r>
      <w:r w:rsidR="003F1329">
        <w:rPr>
          <w:color w:val="000000" w:themeColor="text1"/>
          <w:sz w:val="20"/>
          <w:szCs w:val="20"/>
        </w:rPr>
        <w:t xml:space="preserve">; </w:t>
      </w:r>
      <w:r w:rsidR="003F1329" w:rsidRPr="003F1329">
        <w:rPr>
          <w:color w:val="000000" w:themeColor="text1"/>
          <w:sz w:val="20"/>
          <w:szCs w:val="20"/>
        </w:rPr>
        <w:t xml:space="preserve">Indian Movement </w:t>
      </w:r>
      <w:r w:rsidR="003F1329">
        <w:rPr>
          <w:color w:val="000000" w:themeColor="text1"/>
          <w:sz w:val="20"/>
          <w:szCs w:val="20"/>
        </w:rPr>
        <w:t xml:space="preserve">“Tupaj Amaru”; </w:t>
      </w:r>
      <w:r w:rsidR="003F1329" w:rsidRPr="003F1329">
        <w:rPr>
          <w:color w:val="000000" w:themeColor="text1"/>
          <w:sz w:val="20"/>
          <w:szCs w:val="20"/>
        </w:rPr>
        <w:t>International Association of Democratic Lawyers (IADL)</w:t>
      </w:r>
      <w:r w:rsidR="003F1329">
        <w:rPr>
          <w:color w:val="000000" w:themeColor="text1"/>
          <w:sz w:val="20"/>
          <w:szCs w:val="20"/>
        </w:rPr>
        <w:t xml:space="preserve">; </w:t>
      </w:r>
      <w:r w:rsidR="003F1329" w:rsidRPr="003F1329">
        <w:rPr>
          <w:color w:val="000000" w:themeColor="text1"/>
          <w:sz w:val="20"/>
          <w:szCs w:val="20"/>
        </w:rPr>
        <w:t>International Bar Association</w:t>
      </w:r>
      <w:r w:rsidR="003F1329">
        <w:rPr>
          <w:color w:val="000000" w:themeColor="text1"/>
          <w:sz w:val="20"/>
          <w:szCs w:val="20"/>
        </w:rPr>
        <w:t xml:space="preserve">; </w:t>
      </w:r>
      <w:r w:rsidR="003F1329" w:rsidRPr="003F1329">
        <w:rPr>
          <w:color w:val="000000" w:themeColor="text1"/>
          <w:sz w:val="20"/>
          <w:szCs w:val="20"/>
        </w:rPr>
        <w:t>People for Successful Corean Reunification</w:t>
      </w:r>
      <w:r w:rsidR="003F1329">
        <w:rPr>
          <w:color w:val="000000" w:themeColor="text1"/>
          <w:sz w:val="20"/>
          <w:szCs w:val="20"/>
        </w:rPr>
        <w:t xml:space="preserve">; </w:t>
      </w:r>
      <w:r w:rsidR="003F1329" w:rsidRPr="003F1329">
        <w:rPr>
          <w:color w:val="000000" w:themeColor="text1"/>
          <w:sz w:val="20"/>
          <w:szCs w:val="20"/>
        </w:rPr>
        <w:t>World Jewish Congress</w:t>
      </w:r>
      <w:r w:rsidRPr="0067399B">
        <w:rPr>
          <w:color w:val="000000" w:themeColor="text1"/>
          <w:sz w:val="20"/>
          <w:szCs w:val="20"/>
        </w:rPr>
        <w:t>.</w:t>
      </w:r>
    </w:p>
    <w:p w14:paraId="1FF63456" w14:textId="3B11499A" w:rsidR="00E24190" w:rsidRPr="0067399B" w:rsidRDefault="00E24190" w:rsidP="00E24190">
      <w:pPr>
        <w:pStyle w:val="H1G"/>
        <w:rPr>
          <w:b w:val="0"/>
          <w:color w:val="000000" w:themeColor="text1"/>
          <w:sz w:val="20"/>
          <w:szCs w:val="20"/>
        </w:rPr>
      </w:pPr>
      <w:r w:rsidRPr="00C16037">
        <w:rPr>
          <w:color w:val="000000" w:themeColor="text1"/>
        </w:rPr>
        <w:tab/>
      </w:r>
      <w:r w:rsidRPr="0067399B">
        <w:rPr>
          <w:color w:val="000000" w:themeColor="text1"/>
          <w:sz w:val="20"/>
          <w:szCs w:val="20"/>
        </w:rPr>
        <w:tab/>
      </w:r>
      <w:r w:rsidRPr="00B168DF">
        <w:rPr>
          <w:color w:val="000000" w:themeColor="text1"/>
          <w:sz w:val="20"/>
          <w:szCs w:val="20"/>
        </w:rPr>
        <w:t>Special Rapporteur on the situation of human rights in the Islamic Republic of Iran</w:t>
      </w:r>
    </w:p>
    <w:p w14:paraId="43428A4E" w14:textId="03DD69B8" w:rsidR="00E24190" w:rsidRDefault="002B4AE4" w:rsidP="00E24190">
      <w:pPr>
        <w:pStyle w:val="SingleTxtG"/>
        <w:tabs>
          <w:tab w:val="left" w:pos="1701"/>
        </w:tabs>
        <w:rPr>
          <w:color w:val="000000" w:themeColor="text1"/>
          <w:sz w:val="20"/>
          <w:szCs w:val="20"/>
        </w:rPr>
      </w:pPr>
      <w:r>
        <w:rPr>
          <w:color w:val="000000" w:themeColor="text1"/>
          <w:sz w:val="20"/>
          <w:szCs w:val="20"/>
        </w:rPr>
        <w:t>272</w:t>
      </w:r>
      <w:r w:rsidR="00E24190" w:rsidRPr="0067399B">
        <w:rPr>
          <w:color w:val="000000" w:themeColor="text1"/>
          <w:sz w:val="20"/>
          <w:szCs w:val="20"/>
        </w:rPr>
        <w:t>.</w:t>
      </w:r>
      <w:r w:rsidR="00E24190" w:rsidRPr="0067399B">
        <w:rPr>
          <w:color w:val="000000" w:themeColor="text1"/>
          <w:sz w:val="20"/>
          <w:szCs w:val="20"/>
        </w:rPr>
        <w:tab/>
        <w:t xml:space="preserve">At the </w:t>
      </w:r>
      <w:r w:rsidR="00E24190" w:rsidRPr="007E63EF">
        <w:rPr>
          <w:color w:val="000000" w:themeColor="text1"/>
          <w:sz w:val="20"/>
          <w:szCs w:val="20"/>
        </w:rPr>
        <w:t>27th meeting, on 11 March 2019</w:t>
      </w:r>
      <w:r w:rsidR="00E24190" w:rsidRPr="0067399B">
        <w:rPr>
          <w:color w:val="000000" w:themeColor="text1"/>
          <w:sz w:val="20"/>
          <w:szCs w:val="20"/>
        </w:rPr>
        <w:t xml:space="preserve">, the Special Rapporteur on the situation of human rights in the </w:t>
      </w:r>
      <w:r w:rsidR="00E24190" w:rsidRPr="00E24190">
        <w:rPr>
          <w:color w:val="000000" w:themeColor="text1"/>
          <w:sz w:val="20"/>
          <w:szCs w:val="20"/>
        </w:rPr>
        <w:t>Islamic Republic of Iran</w:t>
      </w:r>
      <w:r w:rsidR="00E24190" w:rsidRPr="0067399B">
        <w:rPr>
          <w:color w:val="000000" w:themeColor="text1"/>
          <w:sz w:val="20"/>
          <w:szCs w:val="20"/>
        </w:rPr>
        <w:t xml:space="preserve">, </w:t>
      </w:r>
      <w:r w:rsidR="00E24190" w:rsidRPr="00E24190">
        <w:rPr>
          <w:color w:val="000000" w:themeColor="text1"/>
          <w:sz w:val="20"/>
          <w:szCs w:val="20"/>
        </w:rPr>
        <w:t>Javaid Rehman</w:t>
      </w:r>
      <w:r w:rsidR="00E24190" w:rsidRPr="0067399B">
        <w:rPr>
          <w:color w:val="000000" w:themeColor="text1"/>
          <w:sz w:val="20"/>
          <w:szCs w:val="20"/>
        </w:rPr>
        <w:t>, presented his report (A/HRC/</w:t>
      </w:r>
      <w:r w:rsidR="00E24190">
        <w:rPr>
          <w:color w:val="000000" w:themeColor="text1"/>
          <w:sz w:val="20"/>
          <w:szCs w:val="20"/>
        </w:rPr>
        <w:t>40/67</w:t>
      </w:r>
      <w:r w:rsidR="00E24190" w:rsidRPr="0067399B">
        <w:rPr>
          <w:color w:val="000000" w:themeColor="text1"/>
          <w:sz w:val="20"/>
          <w:szCs w:val="20"/>
        </w:rPr>
        <w:t xml:space="preserve">). </w:t>
      </w:r>
    </w:p>
    <w:p w14:paraId="6AC09B9D" w14:textId="1846761C" w:rsidR="00E24190" w:rsidRPr="0067399B" w:rsidRDefault="002B4AE4" w:rsidP="004F0C5E">
      <w:pPr>
        <w:pStyle w:val="SingleTxtG"/>
        <w:tabs>
          <w:tab w:val="left" w:pos="1701"/>
        </w:tabs>
        <w:rPr>
          <w:color w:val="000000" w:themeColor="text1"/>
          <w:sz w:val="20"/>
          <w:szCs w:val="20"/>
        </w:rPr>
      </w:pPr>
      <w:r>
        <w:rPr>
          <w:color w:val="000000" w:themeColor="text1"/>
          <w:sz w:val="20"/>
          <w:szCs w:val="20"/>
        </w:rPr>
        <w:lastRenderedPageBreak/>
        <w:t>273</w:t>
      </w:r>
      <w:r w:rsidR="00E24190" w:rsidRPr="004F0C5E">
        <w:rPr>
          <w:color w:val="000000" w:themeColor="text1"/>
          <w:sz w:val="20"/>
          <w:szCs w:val="20"/>
        </w:rPr>
        <w:t>.</w:t>
      </w:r>
      <w:r w:rsidR="00E24190" w:rsidRPr="004F0C5E">
        <w:rPr>
          <w:color w:val="000000" w:themeColor="text1"/>
          <w:sz w:val="20"/>
          <w:szCs w:val="20"/>
        </w:rPr>
        <w:tab/>
        <w:t xml:space="preserve">At the </w:t>
      </w:r>
      <w:r w:rsidR="007E63EF" w:rsidRPr="004F0C5E">
        <w:rPr>
          <w:color w:val="000000" w:themeColor="text1"/>
          <w:sz w:val="20"/>
          <w:szCs w:val="20"/>
        </w:rPr>
        <w:t>same meeting</w:t>
      </w:r>
      <w:r w:rsidR="00E24190" w:rsidRPr="004F0C5E">
        <w:rPr>
          <w:color w:val="000000" w:themeColor="text1"/>
          <w:sz w:val="20"/>
          <w:szCs w:val="20"/>
        </w:rPr>
        <w:t xml:space="preserve">, the representative of </w:t>
      </w:r>
      <w:r w:rsidR="000903E6" w:rsidRPr="004F0C5E">
        <w:rPr>
          <w:color w:val="000000" w:themeColor="text1"/>
          <w:sz w:val="20"/>
          <w:szCs w:val="20"/>
        </w:rPr>
        <w:t xml:space="preserve">the Islamic Republic of Iran </w:t>
      </w:r>
      <w:r w:rsidR="00E24190" w:rsidRPr="004F0C5E">
        <w:rPr>
          <w:color w:val="000000" w:themeColor="text1"/>
          <w:sz w:val="20"/>
          <w:szCs w:val="20"/>
        </w:rPr>
        <w:t>made a statement as the State concerned.</w:t>
      </w:r>
    </w:p>
    <w:p w14:paraId="7A1EC899" w14:textId="1B620227" w:rsidR="00E24190" w:rsidRPr="0067399B" w:rsidRDefault="002B4AE4" w:rsidP="00E24190">
      <w:pPr>
        <w:pStyle w:val="SingleTxtG"/>
        <w:rPr>
          <w:color w:val="000000" w:themeColor="text1"/>
          <w:sz w:val="20"/>
          <w:szCs w:val="20"/>
        </w:rPr>
      </w:pPr>
      <w:r>
        <w:rPr>
          <w:color w:val="000000" w:themeColor="text1"/>
          <w:sz w:val="20"/>
          <w:szCs w:val="20"/>
        </w:rPr>
        <w:t>274</w:t>
      </w:r>
      <w:r w:rsidR="00E24190" w:rsidRPr="0067399B">
        <w:rPr>
          <w:color w:val="000000" w:themeColor="text1"/>
          <w:sz w:val="20"/>
          <w:szCs w:val="20"/>
        </w:rPr>
        <w:t>.</w:t>
      </w:r>
      <w:r w:rsidR="00E24190" w:rsidRPr="0067399B">
        <w:rPr>
          <w:color w:val="000000" w:themeColor="text1"/>
          <w:sz w:val="20"/>
          <w:szCs w:val="20"/>
        </w:rPr>
        <w:tab/>
        <w:t xml:space="preserve">During the ensuing interactive dialogue, at the </w:t>
      </w:r>
      <w:r w:rsidR="007E63EF" w:rsidRPr="007E63EF">
        <w:rPr>
          <w:color w:val="000000" w:themeColor="text1"/>
          <w:sz w:val="20"/>
          <w:szCs w:val="20"/>
        </w:rPr>
        <w:t>27th and 28th meetings</w:t>
      </w:r>
      <w:r w:rsidR="00E24190" w:rsidRPr="0067399B">
        <w:rPr>
          <w:color w:val="000000" w:themeColor="text1"/>
          <w:sz w:val="20"/>
          <w:szCs w:val="20"/>
        </w:rPr>
        <w:t>,</w:t>
      </w:r>
      <w:r w:rsidR="007E63EF">
        <w:rPr>
          <w:color w:val="000000" w:themeColor="text1"/>
          <w:sz w:val="20"/>
          <w:szCs w:val="20"/>
        </w:rPr>
        <w:t xml:space="preserve"> on the same day,</w:t>
      </w:r>
      <w:r w:rsidR="00E24190" w:rsidRPr="0067399B">
        <w:rPr>
          <w:color w:val="000000" w:themeColor="text1"/>
          <w:sz w:val="20"/>
          <w:szCs w:val="20"/>
        </w:rPr>
        <w:t xml:space="preserve"> the following made statements and asked the Special Rapporteur questions:</w:t>
      </w:r>
    </w:p>
    <w:p w14:paraId="55C43A60" w14:textId="77777777" w:rsidR="00281FDC" w:rsidRDefault="00E24190" w:rsidP="00E24190">
      <w:pPr>
        <w:pStyle w:val="SingleTxtG"/>
        <w:ind w:firstLine="567"/>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Pr>
          <w:color w:val="000000" w:themeColor="text1"/>
          <w:sz w:val="20"/>
          <w:szCs w:val="20"/>
        </w:rPr>
        <w:t>States Members</w:t>
      </w:r>
      <w:r w:rsidRPr="0067399B">
        <w:rPr>
          <w:color w:val="000000" w:themeColor="text1"/>
          <w:sz w:val="20"/>
          <w:szCs w:val="20"/>
        </w:rPr>
        <w:t xml:space="preserve"> of the Human Rights Council: </w:t>
      </w:r>
      <w:r w:rsidR="00281FDC" w:rsidRPr="00DC1BB5">
        <w:rPr>
          <w:color w:val="000000" w:themeColor="text1"/>
          <w:sz w:val="20"/>
          <w:szCs w:val="20"/>
        </w:rPr>
        <w:t>China</w:t>
      </w:r>
      <w:r w:rsidR="00281FDC">
        <w:rPr>
          <w:color w:val="000000" w:themeColor="text1"/>
          <w:sz w:val="20"/>
          <w:szCs w:val="20"/>
        </w:rPr>
        <w:t xml:space="preserve">, </w:t>
      </w:r>
      <w:r w:rsidR="00281FDC" w:rsidRPr="00DC1BB5">
        <w:rPr>
          <w:color w:val="000000" w:themeColor="text1"/>
          <w:sz w:val="20"/>
          <w:szCs w:val="20"/>
        </w:rPr>
        <w:t>Cuba</w:t>
      </w:r>
      <w:r w:rsidR="00281FDC">
        <w:rPr>
          <w:color w:val="000000" w:themeColor="text1"/>
          <w:sz w:val="20"/>
          <w:szCs w:val="20"/>
        </w:rPr>
        <w:t xml:space="preserve">, </w:t>
      </w:r>
      <w:r w:rsidR="00281FDC" w:rsidRPr="00DC1BB5">
        <w:rPr>
          <w:color w:val="000000" w:themeColor="text1"/>
          <w:sz w:val="20"/>
          <w:szCs w:val="20"/>
        </w:rPr>
        <w:t>Czechi</w:t>
      </w:r>
      <w:r w:rsidR="00281FDC">
        <w:rPr>
          <w:color w:val="000000" w:themeColor="text1"/>
          <w:sz w:val="20"/>
          <w:szCs w:val="20"/>
        </w:rPr>
        <w:t xml:space="preserve">a, </w:t>
      </w:r>
      <w:r w:rsidR="00281FDC" w:rsidRPr="00DC1BB5">
        <w:rPr>
          <w:color w:val="000000" w:themeColor="text1"/>
          <w:sz w:val="20"/>
          <w:szCs w:val="20"/>
        </w:rPr>
        <w:t>Denmark</w:t>
      </w:r>
      <w:r w:rsidR="00281FDC">
        <w:rPr>
          <w:color w:val="000000" w:themeColor="text1"/>
          <w:sz w:val="20"/>
          <w:szCs w:val="20"/>
        </w:rPr>
        <w:t xml:space="preserve">, </w:t>
      </w:r>
      <w:r w:rsidR="00281FDC" w:rsidRPr="00DC1BB5">
        <w:rPr>
          <w:color w:val="000000" w:themeColor="text1"/>
          <w:sz w:val="20"/>
          <w:szCs w:val="20"/>
        </w:rPr>
        <w:t>Iceland</w:t>
      </w:r>
      <w:r w:rsidR="00281FDC">
        <w:rPr>
          <w:color w:val="000000" w:themeColor="text1"/>
          <w:sz w:val="20"/>
          <w:szCs w:val="20"/>
        </w:rPr>
        <w:t xml:space="preserve">, </w:t>
      </w:r>
      <w:r w:rsidR="00281FDC" w:rsidRPr="00DC1BB5">
        <w:rPr>
          <w:color w:val="000000" w:themeColor="text1"/>
          <w:sz w:val="20"/>
          <w:szCs w:val="20"/>
        </w:rPr>
        <w:t>United Kingdom of Great Britain and Northern Ireland</w:t>
      </w:r>
      <w:r w:rsidR="00281FDC">
        <w:rPr>
          <w:color w:val="000000" w:themeColor="text1"/>
          <w:sz w:val="20"/>
          <w:szCs w:val="20"/>
        </w:rPr>
        <w:t xml:space="preserve">; </w:t>
      </w:r>
    </w:p>
    <w:p w14:paraId="1EA983AC" w14:textId="372F6A37" w:rsidR="00E24190" w:rsidRPr="0067399B" w:rsidRDefault="00E24190" w:rsidP="00E24190">
      <w:pPr>
        <w:pStyle w:val="SingleTxtG"/>
        <w:ind w:firstLine="567"/>
        <w:rPr>
          <w:color w:val="000000" w:themeColor="text1"/>
          <w:sz w:val="20"/>
          <w:szCs w:val="20"/>
        </w:rPr>
      </w:pPr>
      <w:r w:rsidRPr="0067399B">
        <w:rPr>
          <w:color w:val="000000" w:themeColor="text1"/>
          <w:sz w:val="20"/>
          <w:szCs w:val="20"/>
        </w:rPr>
        <w:t>(b)</w:t>
      </w:r>
      <w:r w:rsidRPr="0067399B">
        <w:rPr>
          <w:color w:val="000000" w:themeColor="text1"/>
          <w:sz w:val="20"/>
          <w:szCs w:val="20"/>
        </w:rPr>
        <w:tab/>
        <w:t>Repr</w:t>
      </w:r>
      <w:r w:rsidR="00281FDC">
        <w:rPr>
          <w:color w:val="000000" w:themeColor="text1"/>
          <w:sz w:val="20"/>
          <w:szCs w:val="20"/>
        </w:rPr>
        <w:t xml:space="preserve">esentatives of observer States: </w:t>
      </w:r>
      <w:r w:rsidR="00281FDC" w:rsidRPr="00DC1BB5">
        <w:rPr>
          <w:color w:val="000000" w:themeColor="text1"/>
          <w:sz w:val="20"/>
          <w:szCs w:val="20"/>
        </w:rPr>
        <w:t>Belarus</w:t>
      </w:r>
      <w:r w:rsidR="00281FDC">
        <w:rPr>
          <w:color w:val="000000" w:themeColor="text1"/>
          <w:sz w:val="20"/>
          <w:szCs w:val="20"/>
        </w:rPr>
        <w:t xml:space="preserve">, </w:t>
      </w:r>
      <w:r w:rsidR="00281FDC" w:rsidRPr="00DC1BB5">
        <w:rPr>
          <w:color w:val="000000" w:themeColor="text1"/>
          <w:sz w:val="20"/>
          <w:szCs w:val="20"/>
        </w:rPr>
        <w:t>Belgium</w:t>
      </w:r>
      <w:r w:rsidR="00281FDC">
        <w:rPr>
          <w:color w:val="000000" w:themeColor="text1"/>
          <w:sz w:val="20"/>
          <w:szCs w:val="20"/>
        </w:rPr>
        <w:t xml:space="preserve">, </w:t>
      </w:r>
      <w:r w:rsidR="00281FDC" w:rsidRPr="00DC1BB5">
        <w:rPr>
          <w:color w:val="000000" w:themeColor="text1"/>
          <w:sz w:val="20"/>
          <w:szCs w:val="20"/>
        </w:rPr>
        <w:t>Democratic People</w:t>
      </w:r>
      <w:r w:rsidR="00D72627">
        <w:rPr>
          <w:color w:val="000000" w:themeColor="text1"/>
          <w:sz w:val="20"/>
          <w:szCs w:val="20"/>
        </w:rPr>
        <w:t>’</w:t>
      </w:r>
      <w:r w:rsidR="00281FDC" w:rsidRPr="00DC1BB5">
        <w:rPr>
          <w:color w:val="000000" w:themeColor="text1"/>
          <w:sz w:val="20"/>
          <w:szCs w:val="20"/>
        </w:rPr>
        <w:t>s Republic of Korea</w:t>
      </w:r>
      <w:r w:rsidR="00281FDC">
        <w:rPr>
          <w:color w:val="000000" w:themeColor="text1"/>
          <w:sz w:val="20"/>
          <w:szCs w:val="20"/>
        </w:rPr>
        <w:t xml:space="preserve">, </w:t>
      </w:r>
      <w:r w:rsidR="00281FDC" w:rsidRPr="00DC1BB5">
        <w:rPr>
          <w:color w:val="000000" w:themeColor="text1"/>
          <w:sz w:val="20"/>
          <w:szCs w:val="20"/>
        </w:rPr>
        <w:t>France</w:t>
      </w:r>
      <w:r w:rsidR="00281FDC">
        <w:rPr>
          <w:color w:val="000000" w:themeColor="text1"/>
          <w:sz w:val="20"/>
          <w:szCs w:val="20"/>
        </w:rPr>
        <w:t xml:space="preserve">, </w:t>
      </w:r>
      <w:r w:rsidR="00281FDC" w:rsidRPr="00DC1BB5">
        <w:rPr>
          <w:color w:val="000000" w:themeColor="text1"/>
          <w:sz w:val="20"/>
          <w:szCs w:val="20"/>
        </w:rPr>
        <w:t>Germany</w:t>
      </w:r>
      <w:r w:rsidR="00281FDC">
        <w:rPr>
          <w:color w:val="000000" w:themeColor="text1"/>
          <w:sz w:val="20"/>
          <w:szCs w:val="20"/>
        </w:rPr>
        <w:t xml:space="preserve">, </w:t>
      </w:r>
      <w:r w:rsidR="00281FDC" w:rsidRPr="00DC1BB5">
        <w:rPr>
          <w:color w:val="000000" w:themeColor="text1"/>
          <w:sz w:val="20"/>
          <w:szCs w:val="20"/>
        </w:rPr>
        <w:t>Ireland</w:t>
      </w:r>
      <w:r w:rsidR="00281FDC">
        <w:rPr>
          <w:color w:val="000000" w:themeColor="text1"/>
          <w:sz w:val="20"/>
          <w:szCs w:val="20"/>
        </w:rPr>
        <w:t xml:space="preserve">, </w:t>
      </w:r>
      <w:r w:rsidR="00281FDC" w:rsidRPr="00DC1BB5">
        <w:rPr>
          <w:color w:val="000000" w:themeColor="text1"/>
          <w:sz w:val="20"/>
          <w:szCs w:val="20"/>
        </w:rPr>
        <w:t>Israel</w:t>
      </w:r>
      <w:r w:rsidR="00281FDC">
        <w:rPr>
          <w:color w:val="000000" w:themeColor="text1"/>
          <w:sz w:val="20"/>
          <w:szCs w:val="20"/>
        </w:rPr>
        <w:t xml:space="preserve">, </w:t>
      </w:r>
      <w:r w:rsidR="00281FDC" w:rsidRPr="00DC1BB5">
        <w:rPr>
          <w:color w:val="000000" w:themeColor="text1"/>
          <w:sz w:val="20"/>
          <w:szCs w:val="20"/>
        </w:rPr>
        <w:t>Luxembourg</w:t>
      </w:r>
      <w:r w:rsidR="00281FDC">
        <w:rPr>
          <w:color w:val="000000" w:themeColor="text1"/>
          <w:sz w:val="20"/>
          <w:szCs w:val="20"/>
        </w:rPr>
        <w:t xml:space="preserve">, </w:t>
      </w:r>
      <w:r w:rsidR="00281FDC" w:rsidRPr="00DC1BB5">
        <w:rPr>
          <w:color w:val="000000" w:themeColor="text1"/>
          <w:sz w:val="20"/>
          <w:szCs w:val="20"/>
        </w:rPr>
        <w:t>Netherlands</w:t>
      </w:r>
      <w:r w:rsidR="00281FDC">
        <w:rPr>
          <w:color w:val="000000" w:themeColor="text1"/>
          <w:sz w:val="20"/>
          <w:szCs w:val="20"/>
        </w:rPr>
        <w:t xml:space="preserve">, </w:t>
      </w:r>
      <w:r w:rsidR="00281FDC" w:rsidRPr="00DC1BB5">
        <w:rPr>
          <w:color w:val="000000" w:themeColor="text1"/>
          <w:sz w:val="20"/>
          <w:szCs w:val="20"/>
        </w:rPr>
        <w:t>New Zealand</w:t>
      </w:r>
      <w:r w:rsidR="00281FDC">
        <w:rPr>
          <w:color w:val="000000" w:themeColor="text1"/>
          <w:sz w:val="20"/>
          <w:szCs w:val="20"/>
        </w:rPr>
        <w:t xml:space="preserve">, </w:t>
      </w:r>
      <w:r w:rsidR="00281FDC" w:rsidRPr="00DC1BB5">
        <w:rPr>
          <w:color w:val="000000" w:themeColor="text1"/>
          <w:sz w:val="20"/>
          <w:szCs w:val="20"/>
        </w:rPr>
        <w:t>North Macedonia</w:t>
      </w:r>
      <w:r w:rsidR="00281FDC">
        <w:rPr>
          <w:color w:val="000000" w:themeColor="text1"/>
          <w:sz w:val="20"/>
          <w:szCs w:val="20"/>
        </w:rPr>
        <w:t xml:space="preserve">, </w:t>
      </w:r>
      <w:r w:rsidR="00281FDC" w:rsidRPr="00DC1BB5">
        <w:rPr>
          <w:color w:val="000000" w:themeColor="text1"/>
          <w:sz w:val="20"/>
          <w:szCs w:val="20"/>
        </w:rPr>
        <w:t>Norway</w:t>
      </w:r>
      <w:r w:rsidR="00281FDC">
        <w:rPr>
          <w:color w:val="000000" w:themeColor="text1"/>
          <w:sz w:val="20"/>
          <w:szCs w:val="20"/>
        </w:rPr>
        <w:t xml:space="preserve">, </w:t>
      </w:r>
      <w:r w:rsidR="00281FDC" w:rsidRPr="00DC1BB5">
        <w:rPr>
          <w:color w:val="000000" w:themeColor="text1"/>
          <w:sz w:val="20"/>
          <w:szCs w:val="20"/>
        </w:rPr>
        <w:t>Russian Federation</w:t>
      </w:r>
      <w:r w:rsidR="00281FDC">
        <w:rPr>
          <w:color w:val="000000" w:themeColor="text1"/>
          <w:sz w:val="20"/>
          <w:szCs w:val="20"/>
        </w:rPr>
        <w:t xml:space="preserve">, Seychelles, </w:t>
      </w:r>
      <w:r w:rsidR="00281FDC" w:rsidRPr="00DC1BB5">
        <w:rPr>
          <w:color w:val="000000" w:themeColor="text1"/>
          <w:sz w:val="20"/>
          <w:szCs w:val="20"/>
        </w:rPr>
        <w:t>Switzerland</w:t>
      </w:r>
      <w:r w:rsidR="00281FDC">
        <w:rPr>
          <w:color w:val="000000" w:themeColor="text1"/>
          <w:sz w:val="20"/>
          <w:szCs w:val="20"/>
        </w:rPr>
        <w:t xml:space="preserve">, </w:t>
      </w:r>
      <w:r w:rsidR="00281FDC" w:rsidRPr="00DC1BB5">
        <w:rPr>
          <w:color w:val="000000" w:themeColor="text1"/>
          <w:sz w:val="20"/>
          <w:szCs w:val="20"/>
        </w:rPr>
        <w:t>Syrian Arab Republic</w:t>
      </w:r>
      <w:r w:rsidR="00281FDC">
        <w:rPr>
          <w:color w:val="000000" w:themeColor="text1"/>
          <w:sz w:val="20"/>
          <w:szCs w:val="20"/>
        </w:rPr>
        <w:t xml:space="preserve">, </w:t>
      </w:r>
      <w:r w:rsidR="00281FDC" w:rsidRPr="00DC1BB5">
        <w:rPr>
          <w:color w:val="000000" w:themeColor="text1"/>
          <w:sz w:val="20"/>
          <w:szCs w:val="20"/>
        </w:rPr>
        <w:t>Venezuela (Bolivarian Republic of)</w:t>
      </w:r>
      <w:r w:rsidRPr="0067399B">
        <w:rPr>
          <w:color w:val="000000" w:themeColor="text1"/>
          <w:sz w:val="20"/>
          <w:szCs w:val="20"/>
        </w:rPr>
        <w:t>;</w:t>
      </w:r>
    </w:p>
    <w:p w14:paraId="682D0DE3" w14:textId="77777777" w:rsidR="00E24190" w:rsidRPr="0067399B" w:rsidRDefault="00E24190" w:rsidP="00E24190">
      <w:pPr>
        <w:pStyle w:val="SingleTxtG"/>
        <w:ind w:firstLine="567"/>
        <w:rPr>
          <w:color w:val="000000" w:themeColor="text1"/>
          <w:sz w:val="20"/>
          <w:szCs w:val="20"/>
        </w:rPr>
      </w:pPr>
      <w:r w:rsidRPr="0067399B">
        <w:rPr>
          <w:color w:val="000000" w:themeColor="text1"/>
          <w:sz w:val="20"/>
          <w:szCs w:val="20"/>
        </w:rPr>
        <w:t>(c)</w:t>
      </w:r>
      <w:r w:rsidRPr="0067399B">
        <w:rPr>
          <w:color w:val="000000" w:themeColor="text1"/>
          <w:sz w:val="20"/>
          <w:szCs w:val="20"/>
        </w:rPr>
        <w:tab/>
        <w:t>Observer for an intergovernmental organization: European Union;</w:t>
      </w:r>
    </w:p>
    <w:p w14:paraId="237AA458" w14:textId="57EBBEEE" w:rsidR="00E24190" w:rsidRPr="0067399B" w:rsidRDefault="00E24190" w:rsidP="00E24190">
      <w:pPr>
        <w:pStyle w:val="SingleTxtG"/>
        <w:ind w:firstLine="567"/>
        <w:rPr>
          <w:color w:val="000000" w:themeColor="text1"/>
          <w:sz w:val="20"/>
          <w:szCs w:val="20"/>
        </w:rPr>
      </w:pPr>
      <w:r w:rsidRPr="0067399B">
        <w:rPr>
          <w:color w:val="000000" w:themeColor="text1"/>
          <w:sz w:val="20"/>
          <w:szCs w:val="20"/>
        </w:rPr>
        <w:t>(d)</w:t>
      </w:r>
      <w:r w:rsidRPr="0067399B">
        <w:rPr>
          <w:color w:val="000000" w:themeColor="text1"/>
          <w:sz w:val="20"/>
          <w:szCs w:val="20"/>
        </w:rPr>
        <w:tab/>
        <w:t xml:space="preserve">Observers for non-governmental organizations: </w:t>
      </w:r>
      <w:r w:rsidR="009A36A7" w:rsidRPr="009A36A7">
        <w:rPr>
          <w:color w:val="000000" w:themeColor="text1"/>
          <w:sz w:val="20"/>
          <w:szCs w:val="20"/>
        </w:rPr>
        <w:t>Baha</w:t>
      </w:r>
      <w:r w:rsidR="00D72627">
        <w:rPr>
          <w:color w:val="000000" w:themeColor="text1"/>
          <w:sz w:val="20"/>
          <w:szCs w:val="20"/>
        </w:rPr>
        <w:t>’</w:t>
      </w:r>
      <w:r w:rsidR="009A36A7" w:rsidRPr="009A36A7">
        <w:rPr>
          <w:color w:val="000000" w:themeColor="text1"/>
          <w:sz w:val="20"/>
          <w:szCs w:val="20"/>
        </w:rPr>
        <w:t>i International Community</w:t>
      </w:r>
      <w:r w:rsidR="009A36A7">
        <w:rPr>
          <w:color w:val="000000" w:themeColor="text1"/>
          <w:sz w:val="20"/>
          <w:szCs w:val="20"/>
        </w:rPr>
        <w:t xml:space="preserve">; </w:t>
      </w:r>
      <w:r w:rsidR="009A36A7" w:rsidRPr="009A36A7">
        <w:rPr>
          <w:color w:val="000000" w:themeColor="text1"/>
          <w:sz w:val="20"/>
          <w:szCs w:val="20"/>
        </w:rPr>
        <w:t>British Humanist Association</w:t>
      </w:r>
      <w:r w:rsidR="009A36A7">
        <w:rPr>
          <w:color w:val="000000" w:themeColor="text1"/>
          <w:sz w:val="20"/>
          <w:szCs w:val="20"/>
        </w:rPr>
        <w:t xml:space="preserve">; </w:t>
      </w:r>
      <w:r w:rsidR="009A36A7" w:rsidRPr="009A36A7">
        <w:rPr>
          <w:color w:val="000000" w:themeColor="text1"/>
          <w:sz w:val="20"/>
          <w:szCs w:val="20"/>
        </w:rPr>
        <w:t>Charitable Institute for Protecting Social Victims, The</w:t>
      </w:r>
      <w:r w:rsidR="009A36A7">
        <w:rPr>
          <w:color w:val="000000" w:themeColor="text1"/>
          <w:sz w:val="20"/>
          <w:szCs w:val="20"/>
        </w:rPr>
        <w:t xml:space="preserve"> (also on behalf of </w:t>
      </w:r>
      <w:r w:rsidR="009A36A7" w:rsidRPr="009A36A7">
        <w:rPr>
          <w:color w:val="000000" w:themeColor="text1"/>
          <w:sz w:val="20"/>
          <w:szCs w:val="20"/>
        </w:rPr>
        <w:t>Ertegha Keyfiat Zendegi Iranian Charitable Institute</w:t>
      </w:r>
      <w:r w:rsidR="009A36A7">
        <w:rPr>
          <w:color w:val="000000" w:themeColor="text1"/>
          <w:sz w:val="20"/>
          <w:szCs w:val="20"/>
        </w:rPr>
        <w:t xml:space="preserve">; </w:t>
      </w:r>
      <w:r w:rsidR="009A36A7" w:rsidRPr="009A36A7">
        <w:rPr>
          <w:color w:val="000000" w:themeColor="text1"/>
          <w:sz w:val="20"/>
          <w:szCs w:val="20"/>
        </w:rPr>
        <w:t>Organization for Defending Victims of Violence</w:t>
      </w:r>
      <w:r w:rsidR="009A36A7">
        <w:rPr>
          <w:color w:val="000000" w:themeColor="text1"/>
          <w:sz w:val="20"/>
          <w:szCs w:val="20"/>
        </w:rPr>
        <w:t xml:space="preserve">; </w:t>
      </w:r>
      <w:r w:rsidR="009A36A7" w:rsidRPr="009A36A7">
        <w:rPr>
          <w:color w:val="000000" w:themeColor="text1"/>
          <w:sz w:val="20"/>
          <w:szCs w:val="20"/>
        </w:rPr>
        <w:t>Society of Iranian Women Advocating Sustainable Development of Environment</w:t>
      </w:r>
      <w:r w:rsidR="009A36A7">
        <w:rPr>
          <w:color w:val="000000" w:themeColor="text1"/>
          <w:sz w:val="20"/>
          <w:szCs w:val="20"/>
        </w:rPr>
        <w:t xml:space="preserve">; </w:t>
      </w:r>
      <w:r w:rsidR="009A36A7" w:rsidRPr="009A36A7">
        <w:rPr>
          <w:color w:val="000000" w:themeColor="text1"/>
          <w:sz w:val="20"/>
          <w:szCs w:val="20"/>
        </w:rPr>
        <w:t>Prevention Ass</w:t>
      </w:r>
      <w:r w:rsidR="009A36A7">
        <w:rPr>
          <w:color w:val="000000" w:themeColor="text1"/>
          <w:sz w:val="20"/>
          <w:szCs w:val="20"/>
        </w:rPr>
        <w:t xml:space="preserve">ociation of Social Harms (PASH)); </w:t>
      </w:r>
      <w:r w:rsidR="009A36A7" w:rsidRPr="009A36A7">
        <w:rPr>
          <w:color w:val="000000" w:themeColor="text1"/>
          <w:sz w:val="20"/>
          <w:szCs w:val="20"/>
        </w:rPr>
        <w:t>Family Health Association of Iran</w:t>
      </w:r>
      <w:r w:rsidR="009A36A7">
        <w:rPr>
          <w:color w:val="000000" w:themeColor="text1"/>
          <w:sz w:val="20"/>
          <w:szCs w:val="20"/>
        </w:rPr>
        <w:t xml:space="preserve">; </w:t>
      </w:r>
      <w:r w:rsidR="009A36A7" w:rsidRPr="009A36A7">
        <w:rPr>
          <w:color w:val="000000" w:themeColor="text1"/>
          <w:sz w:val="20"/>
          <w:szCs w:val="20"/>
        </w:rPr>
        <w:t>International Educational Development, Inc.</w:t>
      </w:r>
      <w:r w:rsidR="009A36A7">
        <w:rPr>
          <w:color w:val="000000" w:themeColor="text1"/>
          <w:sz w:val="20"/>
          <w:szCs w:val="20"/>
        </w:rPr>
        <w:t xml:space="preserve">; </w:t>
      </w:r>
      <w:r w:rsidR="009A36A7" w:rsidRPr="009A36A7">
        <w:rPr>
          <w:color w:val="000000" w:themeColor="text1"/>
          <w:sz w:val="20"/>
          <w:szCs w:val="20"/>
        </w:rPr>
        <w:t>International Federation of Journalists</w:t>
      </w:r>
      <w:r w:rsidR="009A36A7">
        <w:rPr>
          <w:color w:val="000000" w:themeColor="text1"/>
          <w:sz w:val="20"/>
          <w:szCs w:val="20"/>
        </w:rPr>
        <w:t xml:space="preserve">; </w:t>
      </w:r>
      <w:r w:rsidR="009A36A7" w:rsidRPr="009A36A7">
        <w:rPr>
          <w:color w:val="000000" w:themeColor="text1"/>
          <w:sz w:val="20"/>
          <w:szCs w:val="20"/>
        </w:rPr>
        <w:t>Lawyers</w:t>
      </w:r>
      <w:r w:rsidR="00D72627">
        <w:rPr>
          <w:color w:val="000000" w:themeColor="text1"/>
          <w:sz w:val="20"/>
          <w:szCs w:val="20"/>
        </w:rPr>
        <w:t>’</w:t>
      </w:r>
      <w:r w:rsidR="009A36A7" w:rsidRPr="009A36A7">
        <w:rPr>
          <w:color w:val="000000" w:themeColor="text1"/>
          <w:sz w:val="20"/>
          <w:szCs w:val="20"/>
        </w:rPr>
        <w:t xml:space="preserve"> Rights Watch Canada</w:t>
      </w:r>
      <w:r w:rsidR="009A36A7">
        <w:rPr>
          <w:color w:val="000000" w:themeColor="text1"/>
          <w:sz w:val="20"/>
          <w:szCs w:val="20"/>
        </w:rPr>
        <w:t xml:space="preserve">; </w:t>
      </w:r>
      <w:r w:rsidR="009A36A7" w:rsidRPr="009A36A7">
        <w:rPr>
          <w:color w:val="000000" w:themeColor="text1"/>
          <w:sz w:val="20"/>
          <w:szCs w:val="20"/>
        </w:rPr>
        <w:t>Verein Sudwind Entwicklungspolitik</w:t>
      </w:r>
      <w:r w:rsidRPr="0067399B">
        <w:rPr>
          <w:color w:val="000000" w:themeColor="text1"/>
          <w:sz w:val="20"/>
          <w:szCs w:val="20"/>
        </w:rPr>
        <w:t>.</w:t>
      </w:r>
    </w:p>
    <w:p w14:paraId="2D25689A" w14:textId="777378A7" w:rsidR="00E24190" w:rsidRDefault="002B4AE4" w:rsidP="000903E6">
      <w:pPr>
        <w:spacing w:after="120"/>
        <w:ind w:left="1134" w:right="1134"/>
        <w:jc w:val="both"/>
        <w:rPr>
          <w:color w:val="000000" w:themeColor="text1"/>
          <w:sz w:val="20"/>
          <w:szCs w:val="20"/>
        </w:rPr>
      </w:pPr>
      <w:r>
        <w:rPr>
          <w:color w:val="000000" w:themeColor="text1"/>
          <w:sz w:val="20"/>
          <w:szCs w:val="20"/>
        </w:rPr>
        <w:t>275</w:t>
      </w:r>
      <w:r w:rsidR="000903E6" w:rsidRPr="0067399B">
        <w:rPr>
          <w:color w:val="000000" w:themeColor="text1"/>
          <w:sz w:val="20"/>
          <w:szCs w:val="20"/>
        </w:rPr>
        <w:t>.</w:t>
      </w:r>
      <w:r w:rsidR="000903E6" w:rsidRPr="0067399B">
        <w:rPr>
          <w:color w:val="000000" w:themeColor="text1"/>
          <w:sz w:val="20"/>
          <w:szCs w:val="20"/>
        </w:rPr>
        <w:tab/>
      </w:r>
      <w:r w:rsidR="000903E6" w:rsidRPr="00172A87">
        <w:rPr>
          <w:color w:val="000000" w:themeColor="text1"/>
          <w:sz w:val="20"/>
          <w:szCs w:val="20"/>
        </w:rPr>
        <w:t xml:space="preserve">At the </w:t>
      </w:r>
      <w:r w:rsidR="000903E6" w:rsidRPr="004F0C5E">
        <w:rPr>
          <w:color w:val="000000" w:themeColor="text1"/>
          <w:sz w:val="20"/>
          <w:szCs w:val="20"/>
        </w:rPr>
        <w:t>28th meeting, on 11 March 2019,</w:t>
      </w:r>
      <w:r w:rsidR="000903E6" w:rsidRPr="0067399B">
        <w:rPr>
          <w:color w:val="000000" w:themeColor="text1"/>
          <w:sz w:val="20"/>
          <w:szCs w:val="20"/>
        </w:rPr>
        <w:t xml:space="preserve"> the Specia</w:t>
      </w:r>
      <w:r w:rsidR="004F0C5E">
        <w:rPr>
          <w:color w:val="000000" w:themeColor="text1"/>
          <w:sz w:val="20"/>
          <w:szCs w:val="20"/>
        </w:rPr>
        <w:t xml:space="preserve">l Rapporteur answered questions </w:t>
      </w:r>
      <w:r w:rsidR="000903E6" w:rsidRPr="0067399B">
        <w:rPr>
          <w:color w:val="000000" w:themeColor="text1"/>
          <w:sz w:val="20"/>
          <w:szCs w:val="20"/>
        </w:rPr>
        <w:t xml:space="preserve">and made </w:t>
      </w:r>
      <w:r w:rsidR="000903E6">
        <w:rPr>
          <w:color w:val="000000" w:themeColor="text1"/>
          <w:sz w:val="20"/>
          <w:szCs w:val="20"/>
        </w:rPr>
        <w:t>his</w:t>
      </w:r>
      <w:r w:rsidR="000903E6" w:rsidRPr="0067399B">
        <w:rPr>
          <w:color w:val="000000" w:themeColor="text1"/>
          <w:sz w:val="20"/>
          <w:szCs w:val="20"/>
        </w:rPr>
        <w:t xml:space="preserve"> concluding remarks.</w:t>
      </w:r>
    </w:p>
    <w:p w14:paraId="5FB5BEAD" w14:textId="3C2E7F65" w:rsidR="003E07B3" w:rsidRDefault="002B4AE4" w:rsidP="003E07B3">
      <w:pPr>
        <w:pStyle w:val="SingleTxtG"/>
        <w:rPr>
          <w:color w:val="000000" w:themeColor="text1"/>
          <w:sz w:val="20"/>
          <w:szCs w:val="20"/>
        </w:rPr>
      </w:pPr>
      <w:r>
        <w:rPr>
          <w:color w:val="000000" w:themeColor="text1"/>
          <w:sz w:val="20"/>
          <w:szCs w:val="20"/>
        </w:rPr>
        <w:t>276</w:t>
      </w:r>
      <w:r w:rsidR="003E07B3" w:rsidRPr="007C176F">
        <w:rPr>
          <w:color w:val="000000" w:themeColor="text1"/>
          <w:sz w:val="20"/>
          <w:szCs w:val="20"/>
        </w:rPr>
        <w:t>.</w:t>
      </w:r>
      <w:r w:rsidR="003E07B3" w:rsidRPr="007C176F">
        <w:rPr>
          <w:color w:val="000000" w:themeColor="text1"/>
          <w:sz w:val="20"/>
          <w:szCs w:val="20"/>
        </w:rPr>
        <w:tab/>
        <w:t xml:space="preserve">At the </w:t>
      </w:r>
      <w:r w:rsidR="004F0C5E">
        <w:rPr>
          <w:color w:val="000000" w:themeColor="text1"/>
          <w:sz w:val="20"/>
          <w:szCs w:val="20"/>
        </w:rPr>
        <w:t>same meeting</w:t>
      </w:r>
      <w:r w:rsidR="003E07B3" w:rsidRPr="007C176F">
        <w:rPr>
          <w:color w:val="000000" w:themeColor="text1"/>
          <w:sz w:val="20"/>
          <w:szCs w:val="20"/>
        </w:rPr>
        <w:t xml:space="preserve">, </w:t>
      </w:r>
      <w:r w:rsidR="003E07B3">
        <w:rPr>
          <w:color w:val="000000" w:themeColor="text1"/>
          <w:sz w:val="20"/>
          <w:szCs w:val="20"/>
        </w:rPr>
        <w:t xml:space="preserve">a </w:t>
      </w:r>
      <w:r w:rsidR="003E07B3" w:rsidRPr="007C176F">
        <w:rPr>
          <w:color w:val="000000" w:themeColor="text1"/>
          <w:sz w:val="20"/>
          <w:szCs w:val="20"/>
        </w:rPr>
        <w:t xml:space="preserve">statement in exercise of the right of reply </w:t>
      </w:r>
      <w:r w:rsidR="003E07B3">
        <w:rPr>
          <w:color w:val="000000" w:themeColor="text1"/>
          <w:sz w:val="20"/>
          <w:szCs w:val="20"/>
        </w:rPr>
        <w:t>was</w:t>
      </w:r>
      <w:r w:rsidR="003E07B3" w:rsidRPr="007C176F">
        <w:rPr>
          <w:color w:val="000000" w:themeColor="text1"/>
          <w:sz w:val="20"/>
          <w:szCs w:val="20"/>
        </w:rPr>
        <w:t xml:space="preserve"> made by the representative of </w:t>
      </w:r>
      <w:r w:rsidR="003E07B3">
        <w:rPr>
          <w:color w:val="000000" w:themeColor="text1"/>
          <w:sz w:val="20"/>
          <w:szCs w:val="20"/>
        </w:rPr>
        <w:t>Lebanon</w:t>
      </w:r>
      <w:r w:rsidR="003E07B3" w:rsidRPr="007C176F">
        <w:rPr>
          <w:color w:val="000000" w:themeColor="text1"/>
          <w:sz w:val="20"/>
          <w:szCs w:val="20"/>
        </w:rPr>
        <w:t>.</w:t>
      </w:r>
    </w:p>
    <w:p w14:paraId="4BC30D91" w14:textId="49F499F5" w:rsidR="007E4640" w:rsidRDefault="002B4AE4" w:rsidP="003E07B3">
      <w:pPr>
        <w:pStyle w:val="SingleTxtG"/>
        <w:rPr>
          <w:color w:val="000000" w:themeColor="text1"/>
          <w:sz w:val="20"/>
          <w:szCs w:val="20"/>
        </w:rPr>
      </w:pPr>
      <w:r>
        <w:rPr>
          <w:color w:val="000000" w:themeColor="text1"/>
          <w:sz w:val="20"/>
          <w:szCs w:val="20"/>
        </w:rPr>
        <w:t>277</w:t>
      </w:r>
      <w:r w:rsidR="007E4640" w:rsidRPr="007C176F">
        <w:rPr>
          <w:color w:val="000000" w:themeColor="text1"/>
          <w:sz w:val="20"/>
          <w:szCs w:val="20"/>
        </w:rPr>
        <w:t>.</w:t>
      </w:r>
      <w:r w:rsidR="007E4640" w:rsidRPr="007C176F">
        <w:rPr>
          <w:color w:val="000000" w:themeColor="text1"/>
          <w:sz w:val="20"/>
          <w:szCs w:val="20"/>
        </w:rPr>
        <w:tab/>
        <w:t xml:space="preserve">At the </w:t>
      </w:r>
      <w:r w:rsidR="007E4640">
        <w:rPr>
          <w:color w:val="000000" w:themeColor="text1"/>
          <w:sz w:val="20"/>
          <w:szCs w:val="20"/>
        </w:rPr>
        <w:t>31st meeting</w:t>
      </w:r>
      <w:r w:rsidR="007E4640" w:rsidRPr="007C176F">
        <w:rPr>
          <w:color w:val="000000" w:themeColor="text1"/>
          <w:sz w:val="20"/>
          <w:szCs w:val="20"/>
        </w:rPr>
        <w:t xml:space="preserve">, </w:t>
      </w:r>
      <w:r w:rsidR="007E4640">
        <w:rPr>
          <w:color w:val="000000" w:themeColor="text1"/>
          <w:sz w:val="20"/>
          <w:szCs w:val="20"/>
        </w:rPr>
        <w:t xml:space="preserve">on 12 March 2019, a </w:t>
      </w:r>
      <w:r w:rsidR="007E4640" w:rsidRPr="007C176F">
        <w:rPr>
          <w:color w:val="000000" w:themeColor="text1"/>
          <w:sz w:val="20"/>
          <w:szCs w:val="20"/>
        </w:rPr>
        <w:t xml:space="preserve">statement in exercise of the right of reply </w:t>
      </w:r>
      <w:r w:rsidR="007E4640">
        <w:rPr>
          <w:color w:val="000000" w:themeColor="text1"/>
          <w:sz w:val="20"/>
          <w:szCs w:val="20"/>
        </w:rPr>
        <w:t>was</w:t>
      </w:r>
      <w:r w:rsidR="007E4640" w:rsidRPr="007C176F">
        <w:rPr>
          <w:color w:val="000000" w:themeColor="text1"/>
          <w:sz w:val="20"/>
          <w:szCs w:val="20"/>
        </w:rPr>
        <w:t xml:space="preserve"> made by the representative of </w:t>
      </w:r>
      <w:r w:rsidR="007E4640">
        <w:rPr>
          <w:color w:val="000000" w:themeColor="text1"/>
          <w:sz w:val="20"/>
          <w:szCs w:val="20"/>
        </w:rPr>
        <w:t xml:space="preserve">the </w:t>
      </w:r>
      <w:r w:rsidR="007E4640" w:rsidRPr="007E4640">
        <w:rPr>
          <w:color w:val="000000" w:themeColor="text1"/>
          <w:sz w:val="20"/>
          <w:szCs w:val="20"/>
        </w:rPr>
        <w:t>Islamic Republic of Iran</w:t>
      </w:r>
      <w:r w:rsidR="007E4640">
        <w:rPr>
          <w:color w:val="000000" w:themeColor="text1"/>
          <w:sz w:val="20"/>
          <w:szCs w:val="20"/>
        </w:rPr>
        <w:t>.</w:t>
      </w:r>
    </w:p>
    <w:p w14:paraId="2EA58A7C" w14:textId="192EF597" w:rsidR="00F11B08" w:rsidRPr="00C16037" w:rsidRDefault="00452565" w:rsidP="00F11B08">
      <w:pPr>
        <w:pStyle w:val="H1G"/>
        <w:ind w:left="0" w:firstLine="0"/>
        <w:rPr>
          <w:color w:val="000000" w:themeColor="text1"/>
        </w:rPr>
      </w:pPr>
      <w:r w:rsidRPr="00C16037">
        <w:rPr>
          <w:color w:val="000000" w:themeColor="text1"/>
        </w:rPr>
        <w:tab/>
      </w:r>
      <w:r w:rsidR="00B168DF" w:rsidRPr="00B168DF">
        <w:rPr>
          <w:color w:val="000000" w:themeColor="text1"/>
        </w:rPr>
        <w:t>F</w:t>
      </w:r>
      <w:r w:rsidR="00BD5212" w:rsidRPr="00B168DF">
        <w:rPr>
          <w:color w:val="000000" w:themeColor="text1"/>
        </w:rPr>
        <w:t>.</w:t>
      </w:r>
      <w:r w:rsidRPr="00B168DF">
        <w:rPr>
          <w:color w:val="000000" w:themeColor="text1"/>
        </w:rPr>
        <w:tab/>
      </w:r>
      <w:r w:rsidR="00F11B08" w:rsidRPr="00B168DF">
        <w:rPr>
          <w:color w:val="000000" w:themeColor="text1"/>
        </w:rPr>
        <w:t>General debate on agenda item 4</w:t>
      </w:r>
    </w:p>
    <w:p w14:paraId="521EF403" w14:textId="08437465" w:rsidR="00C829A9" w:rsidRDefault="002B4AE4" w:rsidP="00EB51B5">
      <w:pPr>
        <w:pStyle w:val="SingleTxtG"/>
        <w:tabs>
          <w:tab w:val="left" w:pos="1701"/>
        </w:tabs>
        <w:rPr>
          <w:color w:val="000000" w:themeColor="text1"/>
          <w:sz w:val="20"/>
          <w:szCs w:val="20"/>
        </w:rPr>
      </w:pPr>
      <w:r>
        <w:rPr>
          <w:color w:val="000000" w:themeColor="text1"/>
          <w:sz w:val="20"/>
          <w:szCs w:val="20"/>
        </w:rPr>
        <w:t>278</w:t>
      </w:r>
      <w:r w:rsidR="00460B3A" w:rsidRPr="0067399B">
        <w:rPr>
          <w:color w:val="000000" w:themeColor="text1"/>
          <w:sz w:val="20"/>
          <w:szCs w:val="20"/>
        </w:rPr>
        <w:t>.</w:t>
      </w:r>
      <w:r w:rsidR="00460B3A" w:rsidRPr="0067399B">
        <w:rPr>
          <w:color w:val="000000" w:themeColor="text1"/>
          <w:sz w:val="20"/>
          <w:szCs w:val="20"/>
        </w:rPr>
        <w:tab/>
        <w:t xml:space="preserve">At the </w:t>
      </w:r>
      <w:r w:rsidR="00460B3A" w:rsidRPr="00966B03">
        <w:rPr>
          <w:color w:val="000000" w:themeColor="text1"/>
          <w:sz w:val="20"/>
          <w:szCs w:val="20"/>
        </w:rPr>
        <w:t>3</w:t>
      </w:r>
      <w:r w:rsidR="00966B03">
        <w:rPr>
          <w:color w:val="000000" w:themeColor="text1"/>
          <w:sz w:val="20"/>
          <w:szCs w:val="20"/>
        </w:rPr>
        <w:t>1st</w:t>
      </w:r>
      <w:r w:rsidR="00460B3A" w:rsidRPr="00966B03">
        <w:rPr>
          <w:color w:val="000000" w:themeColor="text1"/>
          <w:sz w:val="20"/>
          <w:szCs w:val="20"/>
        </w:rPr>
        <w:t xml:space="preserve"> meeting, on 1</w:t>
      </w:r>
      <w:r w:rsidR="00966B03" w:rsidRPr="00966B03">
        <w:rPr>
          <w:color w:val="000000" w:themeColor="text1"/>
          <w:sz w:val="20"/>
          <w:szCs w:val="20"/>
        </w:rPr>
        <w:t>2</w:t>
      </w:r>
      <w:r w:rsidR="00460B3A" w:rsidRPr="00966B03">
        <w:rPr>
          <w:color w:val="000000" w:themeColor="text1"/>
          <w:sz w:val="20"/>
          <w:szCs w:val="20"/>
        </w:rPr>
        <w:t xml:space="preserve"> March </w:t>
      </w:r>
      <w:r w:rsidR="00141AFC" w:rsidRPr="00966B03">
        <w:rPr>
          <w:color w:val="000000" w:themeColor="text1"/>
          <w:sz w:val="20"/>
          <w:szCs w:val="20"/>
        </w:rPr>
        <w:t>2019</w:t>
      </w:r>
      <w:r w:rsidR="00460B3A" w:rsidRPr="0067399B">
        <w:rPr>
          <w:color w:val="000000" w:themeColor="text1"/>
          <w:sz w:val="20"/>
          <w:szCs w:val="20"/>
        </w:rPr>
        <w:t>,</w:t>
      </w:r>
      <w:r w:rsidR="00EB51B5" w:rsidRPr="00EB51B5">
        <w:rPr>
          <w:color w:val="000000" w:themeColor="text1"/>
          <w:sz w:val="20"/>
          <w:szCs w:val="20"/>
        </w:rPr>
        <w:t xml:space="preserve"> </w:t>
      </w:r>
      <w:r w:rsidR="00EB51B5" w:rsidRPr="0067399B">
        <w:rPr>
          <w:color w:val="000000" w:themeColor="text1"/>
          <w:sz w:val="20"/>
          <w:szCs w:val="20"/>
        </w:rPr>
        <w:t xml:space="preserve">pursuant to Human Rights Council resolution </w:t>
      </w:r>
      <w:r w:rsidR="00EB51B5">
        <w:rPr>
          <w:color w:val="000000" w:themeColor="text1"/>
          <w:sz w:val="20"/>
          <w:szCs w:val="20"/>
        </w:rPr>
        <w:t xml:space="preserve">37/28, </w:t>
      </w:r>
      <w:r w:rsidR="00460B3A" w:rsidRPr="0067399B">
        <w:rPr>
          <w:color w:val="000000" w:themeColor="text1"/>
          <w:sz w:val="20"/>
          <w:szCs w:val="20"/>
        </w:rPr>
        <w:t xml:space="preserve">the </w:t>
      </w:r>
      <w:r w:rsidR="00460B3A" w:rsidRPr="00966B03">
        <w:rPr>
          <w:color w:val="000000" w:themeColor="text1"/>
          <w:sz w:val="20"/>
          <w:szCs w:val="20"/>
        </w:rPr>
        <w:t>Deputy</w:t>
      </w:r>
      <w:r w:rsidR="00460B3A" w:rsidRPr="0067399B">
        <w:rPr>
          <w:color w:val="000000" w:themeColor="text1"/>
          <w:sz w:val="20"/>
          <w:szCs w:val="20"/>
        </w:rPr>
        <w:t xml:space="preserve"> High Commissioner for Human Rights presented </w:t>
      </w:r>
      <w:r w:rsidR="00C829A9">
        <w:rPr>
          <w:color w:val="000000" w:themeColor="text1"/>
          <w:sz w:val="20"/>
          <w:szCs w:val="20"/>
        </w:rPr>
        <w:t xml:space="preserve">a </w:t>
      </w:r>
      <w:r w:rsidR="00C829A9" w:rsidRPr="00C829A9">
        <w:rPr>
          <w:color w:val="000000" w:themeColor="text1"/>
          <w:sz w:val="20"/>
          <w:szCs w:val="20"/>
        </w:rPr>
        <w:t>report on the implementation of the recommendations made by the group of independent experts on the situation of human rights in the Democratic People</w:t>
      </w:r>
      <w:r w:rsidR="00D72627">
        <w:rPr>
          <w:color w:val="000000" w:themeColor="text1"/>
          <w:sz w:val="20"/>
          <w:szCs w:val="20"/>
        </w:rPr>
        <w:t>’</w:t>
      </w:r>
      <w:r w:rsidR="00C829A9" w:rsidRPr="00C829A9">
        <w:rPr>
          <w:color w:val="000000" w:themeColor="text1"/>
          <w:sz w:val="20"/>
          <w:szCs w:val="20"/>
        </w:rPr>
        <w:t>s Republic of Korea</w:t>
      </w:r>
      <w:r w:rsidR="00EB51B5">
        <w:rPr>
          <w:color w:val="000000" w:themeColor="text1"/>
          <w:sz w:val="20"/>
          <w:szCs w:val="20"/>
        </w:rPr>
        <w:t xml:space="preserve"> </w:t>
      </w:r>
      <w:r w:rsidR="00EB51B5" w:rsidRPr="0067399B">
        <w:rPr>
          <w:color w:val="000000" w:themeColor="text1"/>
          <w:sz w:val="20"/>
          <w:szCs w:val="20"/>
        </w:rPr>
        <w:t>(A/HRC/</w:t>
      </w:r>
      <w:r w:rsidR="00EB51B5">
        <w:rPr>
          <w:color w:val="000000" w:themeColor="text1"/>
          <w:sz w:val="20"/>
          <w:szCs w:val="20"/>
        </w:rPr>
        <w:t>40/36</w:t>
      </w:r>
      <w:r w:rsidR="00EB51B5" w:rsidRPr="0067399B">
        <w:rPr>
          <w:color w:val="000000" w:themeColor="text1"/>
          <w:sz w:val="20"/>
          <w:szCs w:val="20"/>
        </w:rPr>
        <w:t xml:space="preserve">). </w:t>
      </w:r>
    </w:p>
    <w:p w14:paraId="75089CB5" w14:textId="4E2FDD1E" w:rsidR="00460B3A" w:rsidRPr="0067399B" w:rsidRDefault="002B4AE4" w:rsidP="00460B3A">
      <w:pPr>
        <w:pStyle w:val="SingleTxtG"/>
        <w:rPr>
          <w:color w:val="000000" w:themeColor="text1"/>
          <w:sz w:val="20"/>
          <w:szCs w:val="20"/>
        </w:rPr>
      </w:pPr>
      <w:r>
        <w:rPr>
          <w:color w:val="000000" w:themeColor="text1"/>
          <w:sz w:val="20"/>
          <w:szCs w:val="20"/>
        </w:rPr>
        <w:t>279</w:t>
      </w:r>
      <w:r w:rsidR="00460B3A" w:rsidRPr="0067399B">
        <w:rPr>
          <w:color w:val="000000" w:themeColor="text1"/>
          <w:sz w:val="20"/>
          <w:szCs w:val="20"/>
        </w:rPr>
        <w:t>.</w:t>
      </w:r>
      <w:r w:rsidR="00460B3A" w:rsidRPr="0067399B">
        <w:rPr>
          <w:color w:val="000000" w:themeColor="text1"/>
          <w:sz w:val="20"/>
          <w:szCs w:val="20"/>
        </w:rPr>
        <w:tab/>
      </w:r>
      <w:r w:rsidR="009F18EB">
        <w:rPr>
          <w:color w:val="000000" w:themeColor="text1"/>
          <w:sz w:val="20"/>
          <w:szCs w:val="20"/>
        </w:rPr>
        <w:t>At the 31st meeting, on 12 March 2019</w:t>
      </w:r>
      <w:r w:rsidR="00460B3A" w:rsidRPr="0067399B">
        <w:rPr>
          <w:color w:val="000000" w:themeColor="text1"/>
          <w:sz w:val="20"/>
          <w:szCs w:val="20"/>
        </w:rPr>
        <w:t>,</w:t>
      </w:r>
      <w:r w:rsidR="009F18EB">
        <w:rPr>
          <w:color w:val="000000" w:themeColor="text1"/>
          <w:sz w:val="20"/>
          <w:szCs w:val="20"/>
        </w:rPr>
        <w:t xml:space="preserve"> and at the 32nd</w:t>
      </w:r>
      <w:r w:rsidR="00460B3A" w:rsidRPr="0067399B">
        <w:rPr>
          <w:color w:val="000000" w:themeColor="text1"/>
          <w:sz w:val="20"/>
          <w:szCs w:val="20"/>
        </w:rPr>
        <w:t xml:space="preserve"> </w:t>
      </w:r>
      <w:r w:rsidR="009F18EB">
        <w:rPr>
          <w:color w:val="000000" w:themeColor="text1"/>
          <w:sz w:val="20"/>
          <w:szCs w:val="20"/>
        </w:rPr>
        <w:t xml:space="preserve">meeting, on 13 March 2019, </w:t>
      </w:r>
      <w:r w:rsidR="00460B3A" w:rsidRPr="0067399B">
        <w:rPr>
          <w:color w:val="000000" w:themeColor="text1"/>
          <w:sz w:val="20"/>
          <w:szCs w:val="20"/>
        </w:rPr>
        <w:t>the Council held a general debate on agenda item 4, during which the following made statements:</w:t>
      </w:r>
    </w:p>
    <w:p w14:paraId="6670B1F4" w14:textId="69F307C9" w:rsidR="00460B3A" w:rsidRPr="0067399B" w:rsidRDefault="00460B3A" w:rsidP="00460B3A">
      <w:pPr>
        <w:pStyle w:val="SingleTxtG"/>
        <w:ind w:firstLine="567"/>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 </w:t>
      </w:r>
      <w:r w:rsidR="00DB359F" w:rsidRPr="00DB359F">
        <w:rPr>
          <w:color w:val="000000" w:themeColor="text1"/>
          <w:sz w:val="20"/>
          <w:szCs w:val="20"/>
        </w:rPr>
        <w:t>Australia</w:t>
      </w:r>
      <w:r w:rsidR="00DB359F">
        <w:rPr>
          <w:color w:val="000000" w:themeColor="text1"/>
          <w:sz w:val="20"/>
          <w:szCs w:val="20"/>
        </w:rPr>
        <w:t xml:space="preserve">, </w:t>
      </w:r>
      <w:r w:rsidR="00DB359F" w:rsidRPr="00DB359F">
        <w:rPr>
          <w:color w:val="000000" w:themeColor="text1"/>
          <w:sz w:val="20"/>
          <w:szCs w:val="20"/>
        </w:rPr>
        <w:t>Austria</w:t>
      </w:r>
      <w:r w:rsidR="00DB359F">
        <w:rPr>
          <w:color w:val="000000" w:themeColor="text1"/>
          <w:sz w:val="20"/>
          <w:szCs w:val="20"/>
        </w:rPr>
        <w:t xml:space="preserve">, </w:t>
      </w:r>
      <w:r w:rsidR="00DB359F" w:rsidRPr="00DB359F">
        <w:rPr>
          <w:color w:val="000000" w:themeColor="text1"/>
          <w:sz w:val="20"/>
          <w:szCs w:val="20"/>
        </w:rPr>
        <w:t>Cameroon</w:t>
      </w:r>
      <w:r w:rsidR="00DB359F">
        <w:rPr>
          <w:color w:val="000000" w:themeColor="text1"/>
          <w:sz w:val="20"/>
          <w:szCs w:val="20"/>
        </w:rPr>
        <w:t xml:space="preserve">, </w:t>
      </w:r>
      <w:r w:rsidR="00DB359F" w:rsidRPr="00DB359F">
        <w:rPr>
          <w:color w:val="000000" w:themeColor="text1"/>
          <w:sz w:val="20"/>
          <w:szCs w:val="20"/>
        </w:rPr>
        <w:t>China</w:t>
      </w:r>
      <w:r w:rsidR="00DB359F">
        <w:rPr>
          <w:color w:val="000000" w:themeColor="text1"/>
          <w:sz w:val="20"/>
          <w:szCs w:val="20"/>
        </w:rPr>
        <w:t xml:space="preserve">, </w:t>
      </w:r>
      <w:r w:rsidR="00DB359F" w:rsidRPr="00DB359F">
        <w:rPr>
          <w:color w:val="000000" w:themeColor="text1"/>
          <w:sz w:val="20"/>
          <w:szCs w:val="20"/>
        </w:rPr>
        <w:t>Cuba</w:t>
      </w:r>
      <w:r w:rsidR="00DB359F">
        <w:rPr>
          <w:color w:val="000000" w:themeColor="text1"/>
          <w:sz w:val="20"/>
          <w:szCs w:val="20"/>
        </w:rPr>
        <w:t xml:space="preserve">, </w:t>
      </w:r>
      <w:r w:rsidR="00DB359F" w:rsidRPr="00DB359F">
        <w:rPr>
          <w:color w:val="000000" w:themeColor="text1"/>
          <w:sz w:val="20"/>
          <w:szCs w:val="20"/>
        </w:rPr>
        <w:t>Czech</w:t>
      </w:r>
      <w:r w:rsidR="00DB359F">
        <w:rPr>
          <w:color w:val="000000" w:themeColor="text1"/>
          <w:sz w:val="20"/>
          <w:szCs w:val="20"/>
        </w:rPr>
        <w:t xml:space="preserve">ia, </w:t>
      </w:r>
      <w:r w:rsidR="00DB359F" w:rsidRPr="00DB359F">
        <w:rPr>
          <w:color w:val="000000" w:themeColor="text1"/>
          <w:sz w:val="20"/>
          <w:szCs w:val="20"/>
        </w:rPr>
        <w:t>Denmark</w:t>
      </w:r>
      <w:r w:rsidR="00DB359F">
        <w:rPr>
          <w:color w:val="000000" w:themeColor="text1"/>
          <w:sz w:val="20"/>
          <w:szCs w:val="20"/>
        </w:rPr>
        <w:t xml:space="preserve">, </w:t>
      </w:r>
      <w:r w:rsidR="00DB359F" w:rsidRPr="00DB359F">
        <w:rPr>
          <w:color w:val="000000" w:themeColor="text1"/>
          <w:sz w:val="20"/>
          <w:szCs w:val="20"/>
        </w:rPr>
        <w:t>Iceland</w:t>
      </w:r>
      <w:r w:rsidR="00DB359F">
        <w:rPr>
          <w:color w:val="000000" w:themeColor="text1"/>
          <w:sz w:val="20"/>
          <w:szCs w:val="20"/>
        </w:rPr>
        <w:t xml:space="preserve">, </w:t>
      </w:r>
      <w:r w:rsidR="00DB359F" w:rsidRPr="00DB359F">
        <w:rPr>
          <w:color w:val="000000" w:themeColor="text1"/>
          <w:sz w:val="20"/>
          <w:szCs w:val="20"/>
        </w:rPr>
        <w:t>Japan</w:t>
      </w:r>
      <w:r w:rsidR="00DB359F">
        <w:rPr>
          <w:color w:val="000000" w:themeColor="text1"/>
          <w:sz w:val="20"/>
          <w:szCs w:val="20"/>
        </w:rPr>
        <w:t xml:space="preserve">, </w:t>
      </w:r>
      <w:r w:rsidR="00DB359F" w:rsidRPr="00DB359F">
        <w:rPr>
          <w:color w:val="000000" w:themeColor="text1"/>
          <w:sz w:val="20"/>
          <w:szCs w:val="20"/>
        </w:rPr>
        <w:t>Pakistan</w:t>
      </w:r>
      <w:r w:rsidR="00DB359F">
        <w:rPr>
          <w:color w:val="000000" w:themeColor="text1"/>
          <w:sz w:val="20"/>
          <w:szCs w:val="20"/>
        </w:rPr>
        <w:t xml:space="preserve"> (also </w:t>
      </w:r>
      <w:r w:rsidR="00DB359F" w:rsidRPr="00DB359F">
        <w:rPr>
          <w:color w:val="000000" w:themeColor="text1"/>
          <w:sz w:val="20"/>
          <w:szCs w:val="20"/>
        </w:rPr>
        <w:t xml:space="preserve">on behalf of </w:t>
      </w:r>
      <w:r w:rsidR="00DB359F">
        <w:rPr>
          <w:color w:val="000000" w:themeColor="text1"/>
          <w:sz w:val="20"/>
          <w:szCs w:val="20"/>
        </w:rPr>
        <w:t xml:space="preserve">the Organization of Islamic Cooperation), </w:t>
      </w:r>
      <w:r w:rsidR="00DB359F" w:rsidRPr="00DB359F">
        <w:rPr>
          <w:color w:val="000000" w:themeColor="text1"/>
          <w:sz w:val="20"/>
          <w:szCs w:val="20"/>
        </w:rPr>
        <w:t>Peru</w:t>
      </w:r>
      <w:r w:rsidR="00DB359F">
        <w:rPr>
          <w:color w:val="000000" w:themeColor="text1"/>
          <w:sz w:val="20"/>
          <w:szCs w:val="20"/>
        </w:rPr>
        <w:t xml:space="preserve">, </w:t>
      </w:r>
      <w:r w:rsidR="00DB359F" w:rsidRPr="00DB359F">
        <w:rPr>
          <w:color w:val="000000" w:themeColor="text1"/>
          <w:sz w:val="20"/>
          <w:szCs w:val="20"/>
        </w:rPr>
        <w:t>Romania</w:t>
      </w:r>
      <w:r w:rsidR="00CC5A8D">
        <w:rPr>
          <w:rStyle w:val="FootnoteReference"/>
          <w:color w:val="000000" w:themeColor="text1"/>
          <w:szCs w:val="20"/>
        </w:rPr>
        <w:footnoteReference w:id="38"/>
      </w:r>
      <w:r w:rsidR="00DB359F" w:rsidRPr="00DB359F">
        <w:rPr>
          <w:color w:val="000000" w:themeColor="text1"/>
          <w:sz w:val="20"/>
          <w:szCs w:val="20"/>
        </w:rPr>
        <w:t xml:space="preserve"> </w:t>
      </w:r>
      <w:r w:rsidR="00DB359F">
        <w:rPr>
          <w:color w:val="000000" w:themeColor="text1"/>
          <w:sz w:val="20"/>
          <w:szCs w:val="20"/>
        </w:rPr>
        <w:t>(</w:t>
      </w:r>
      <w:r w:rsidR="00DB359F" w:rsidRPr="00DB359F">
        <w:rPr>
          <w:color w:val="000000" w:themeColor="text1"/>
          <w:sz w:val="20"/>
          <w:szCs w:val="20"/>
        </w:rPr>
        <w:t>on behalf of the European Union</w:t>
      </w:r>
      <w:r w:rsidR="00DB359F">
        <w:rPr>
          <w:color w:val="000000" w:themeColor="text1"/>
          <w:sz w:val="20"/>
          <w:szCs w:val="20"/>
        </w:rPr>
        <w:t xml:space="preserve">), </w:t>
      </w:r>
      <w:r w:rsidR="00DB359F" w:rsidRPr="00DB359F">
        <w:rPr>
          <w:color w:val="000000" w:themeColor="text1"/>
          <w:sz w:val="20"/>
          <w:szCs w:val="20"/>
        </w:rPr>
        <w:t>Spain</w:t>
      </w:r>
      <w:r w:rsidR="00DB359F">
        <w:rPr>
          <w:color w:val="000000" w:themeColor="text1"/>
          <w:sz w:val="20"/>
          <w:szCs w:val="20"/>
        </w:rPr>
        <w:t xml:space="preserve">, </w:t>
      </w:r>
      <w:r w:rsidR="00DB359F" w:rsidRPr="00DB359F">
        <w:rPr>
          <w:color w:val="000000" w:themeColor="text1"/>
          <w:sz w:val="20"/>
          <w:szCs w:val="20"/>
        </w:rPr>
        <w:t>Ukraine</w:t>
      </w:r>
      <w:r w:rsidR="00DB359F">
        <w:rPr>
          <w:color w:val="000000" w:themeColor="text1"/>
          <w:sz w:val="20"/>
          <w:szCs w:val="20"/>
        </w:rPr>
        <w:t xml:space="preserve">, </w:t>
      </w:r>
      <w:r w:rsidR="00DB359F" w:rsidRPr="00DB359F">
        <w:rPr>
          <w:color w:val="000000" w:themeColor="text1"/>
          <w:sz w:val="20"/>
          <w:szCs w:val="20"/>
        </w:rPr>
        <w:t>United Kingdom of Great Britain and Northern Ireland</w:t>
      </w:r>
      <w:r w:rsidR="00DB359F">
        <w:rPr>
          <w:color w:val="000000" w:themeColor="text1"/>
          <w:sz w:val="20"/>
          <w:szCs w:val="20"/>
        </w:rPr>
        <w:t xml:space="preserve">, </w:t>
      </w:r>
      <w:r w:rsidR="00DB359F" w:rsidRPr="00DB359F">
        <w:rPr>
          <w:color w:val="000000" w:themeColor="text1"/>
          <w:sz w:val="20"/>
          <w:szCs w:val="20"/>
        </w:rPr>
        <w:t>Uruguay</w:t>
      </w:r>
      <w:r w:rsidR="00DB359F">
        <w:rPr>
          <w:color w:val="000000" w:themeColor="text1"/>
          <w:sz w:val="20"/>
          <w:szCs w:val="20"/>
        </w:rPr>
        <w:t xml:space="preserve">, </w:t>
      </w:r>
      <w:r w:rsidR="00DB359F" w:rsidRPr="00DB359F">
        <w:rPr>
          <w:color w:val="000000" w:themeColor="text1"/>
          <w:sz w:val="20"/>
          <w:szCs w:val="20"/>
        </w:rPr>
        <w:t>Venezuela (Bolivarian Republic of)</w:t>
      </w:r>
      <w:r w:rsidR="00CC5A8D">
        <w:rPr>
          <w:rStyle w:val="FootnoteReference"/>
          <w:color w:val="000000" w:themeColor="text1"/>
          <w:szCs w:val="20"/>
        </w:rPr>
        <w:footnoteReference w:id="39"/>
      </w:r>
      <w:r w:rsidR="00DB359F" w:rsidRPr="00DB359F">
        <w:rPr>
          <w:color w:val="000000" w:themeColor="text1"/>
          <w:sz w:val="20"/>
          <w:szCs w:val="20"/>
        </w:rPr>
        <w:t xml:space="preserve"> </w:t>
      </w:r>
      <w:r w:rsidR="00DB359F">
        <w:rPr>
          <w:color w:val="000000" w:themeColor="text1"/>
          <w:sz w:val="20"/>
          <w:szCs w:val="20"/>
        </w:rPr>
        <w:t>(</w:t>
      </w:r>
      <w:r w:rsidR="00DB359F" w:rsidRPr="00FF6781">
        <w:rPr>
          <w:color w:val="000000" w:themeColor="text1"/>
          <w:sz w:val="20"/>
          <w:szCs w:val="20"/>
        </w:rPr>
        <w:t>also of behalf of</w:t>
      </w:r>
      <w:r w:rsidR="00DB359F" w:rsidRPr="00DB359F">
        <w:rPr>
          <w:color w:val="000000" w:themeColor="text1"/>
          <w:sz w:val="20"/>
          <w:szCs w:val="20"/>
        </w:rPr>
        <w:t xml:space="preserve"> </w:t>
      </w:r>
      <w:r w:rsidR="00FF6781" w:rsidRPr="00FF6781">
        <w:rPr>
          <w:color w:val="000000" w:themeColor="text1"/>
          <w:sz w:val="20"/>
          <w:szCs w:val="20"/>
        </w:rPr>
        <w:t>Algeria</w:t>
      </w:r>
      <w:r w:rsidR="00FF6781">
        <w:rPr>
          <w:color w:val="000000" w:themeColor="text1"/>
          <w:sz w:val="20"/>
          <w:szCs w:val="20"/>
        </w:rPr>
        <w:t xml:space="preserve">, </w:t>
      </w:r>
      <w:r w:rsidR="00FF6781" w:rsidRPr="00FF6781">
        <w:rPr>
          <w:color w:val="000000" w:themeColor="text1"/>
          <w:sz w:val="20"/>
          <w:szCs w:val="20"/>
        </w:rPr>
        <w:t>Belarus</w:t>
      </w:r>
      <w:r w:rsidR="00FF6781">
        <w:rPr>
          <w:color w:val="000000" w:themeColor="text1"/>
          <w:sz w:val="20"/>
          <w:szCs w:val="20"/>
        </w:rPr>
        <w:t xml:space="preserve">, </w:t>
      </w:r>
      <w:r w:rsidR="005B722A">
        <w:rPr>
          <w:color w:val="000000" w:themeColor="text1"/>
          <w:sz w:val="20"/>
          <w:szCs w:val="20"/>
        </w:rPr>
        <w:t xml:space="preserve">Bolivia (Plurinational State of), </w:t>
      </w:r>
      <w:r w:rsidR="00FF6781" w:rsidRPr="00FF6781">
        <w:rPr>
          <w:color w:val="000000" w:themeColor="text1"/>
          <w:sz w:val="20"/>
          <w:szCs w:val="20"/>
        </w:rPr>
        <w:t>China</w:t>
      </w:r>
      <w:r w:rsidR="00FF6781">
        <w:rPr>
          <w:color w:val="000000" w:themeColor="text1"/>
          <w:sz w:val="20"/>
          <w:szCs w:val="20"/>
        </w:rPr>
        <w:t xml:space="preserve">, </w:t>
      </w:r>
      <w:r w:rsidR="00FF6781" w:rsidRPr="00FF6781">
        <w:rPr>
          <w:color w:val="000000" w:themeColor="text1"/>
          <w:sz w:val="20"/>
          <w:szCs w:val="20"/>
        </w:rPr>
        <w:t>India</w:t>
      </w:r>
      <w:r w:rsidR="00FF6781">
        <w:rPr>
          <w:color w:val="000000" w:themeColor="text1"/>
          <w:sz w:val="20"/>
          <w:szCs w:val="20"/>
        </w:rPr>
        <w:t xml:space="preserve">, </w:t>
      </w:r>
      <w:r w:rsidR="00FF6781" w:rsidRPr="00FF6781">
        <w:rPr>
          <w:color w:val="000000" w:themeColor="text1"/>
          <w:sz w:val="20"/>
          <w:szCs w:val="20"/>
        </w:rPr>
        <w:t>Iran</w:t>
      </w:r>
      <w:r w:rsidR="00FF6781">
        <w:rPr>
          <w:color w:val="000000" w:themeColor="text1"/>
          <w:sz w:val="20"/>
          <w:szCs w:val="20"/>
        </w:rPr>
        <w:t xml:space="preserve"> (Islamic Republic of), the Lao People</w:t>
      </w:r>
      <w:r w:rsidR="00D72627">
        <w:rPr>
          <w:color w:val="000000" w:themeColor="text1"/>
          <w:sz w:val="20"/>
          <w:szCs w:val="20"/>
        </w:rPr>
        <w:t>’</w:t>
      </w:r>
      <w:r w:rsidR="00FF6781">
        <w:rPr>
          <w:color w:val="000000" w:themeColor="text1"/>
          <w:sz w:val="20"/>
          <w:szCs w:val="20"/>
        </w:rPr>
        <w:t xml:space="preserve">s Democratic Republic, </w:t>
      </w:r>
      <w:r w:rsidR="00FF6781" w:rsidRPr="00FF6781">
        <w:rPr>
          <w:color w:val="000000" w:themeColor="text1"/>
          <w:sz w:val="20"/>
          <w:szCs w:val="20"/>
        </w:rPr>
        <w:t>Myanmar</w:t>
      </w:r>
      <w:r w:rsidR="00FF6781">
        <w:rPr>
          <w:color w:val="000000" w:themeColor="text1"/>
          <w:sz w:val="20"/>
          <w:szCs w:val="20"/>
        </w:rPr>
        <w:t xml:space="preserve">, the </w:t>
      </w:r>
      <w:r w:rsidR="00FF6781" w:rsidRPr="00FF6781">
        <w:rPr>
          <w:color w:val="000000" w:themeColor="text1"/>
          <w:sz w:val="20"/>
          <w:szCs w:val="20"/>
        </w:rPr>
        <w:t>PhiIlipines</w:t>
      </w:r>
      <w:r w:rsidR="00FF6781">
        <w:rPr>
          <w:color w:val="000000" w:themeColor="text1"/>
          <w:sz w:val="20"/>
          <w:szCs w:val="20"/>
        </w:rPr>
        <w:t xml:space="preserve">, the </w:t>
      </w:r>
      <w:r w:rsidR="00FF6781" w:rsidRPr="00FF6781">
        <w:rPr>
          <w:color w:val="000000" w:themeColor="text1"/>
          <w:sz w:val="20"/>
          <w:szCs w:val="20"/>
        </w:rPr>
        <w:t>Russia</w:t>
      </w:r>
      <w:r w:rsidR="00FF6781">
        <w:rPr>
          <w:color w:val="000000" w:themeColor="text1"/>
          <w:sz w:val="20"/>
          <w:szCs w:val="20"/>
        </w:rPr>
        <w:t xml:space="preserve">n Federation and the </w:t>
      </w:r>
      <w:r w:rsidR="00FF6781" w:rsidRPr="00FF6781">
        <w:rPr>
          <w:color w:val="000000" w:themeColor="text1"/>
          <w:sz w:val="20"/>
          <w:szCs w:val="20"/>
        </w:rPr>
        <w:t>Syria</w:t>
      </w:r>
      <w:r w:rsidR="00FF6781">
        <w:rPr>
          <w:color w:val="000000" w:themeColor="text1"/>
          <w:sz w:val="20"/>
          <w:szCs w:val="20"/>
        </w:rPr>
        <w:t>n Arab Republic</w:t>
      </w:r>
      <w:r w:rsidR="00DB359F">
        <w:rPr>
          <w:color w:val="000000" w:themeColor="text1"/>
          <w:sz w:val="20"/>
          <w:szCs w:val="20"/>
        </w:rPr>
        <w:t xml:space="preserve">), </w:t>
      </w:r>
      <w:r w:rsidR="00DB359F" w:rsidRPr="00DB359F">
        <w:rPr>
          <w:color w:val="000000" w:themeColor="text1"/>
          <w:sz w:val="20"/>
          <w:szCs w:val="20"/>
        </w:rPr>
        <w:t>Venezuela (Bolivarian Republic of)</w:t>
      </w:r>
      <w:r w:rsidR="00CC5A8D">
        <w:rPr>
          <w:rStyle w:val="FootnoteReference"/>
          <w:color w:val="000000" w:themeColor="text1"/>
          <w:szCs w:val="20"/>
        </w:rPr>
        <w:footnoteReference w:id="40"/>
      </w:r>
      <w:r w:rsidR="00DB359F" w:rsidRPr="00DB359F">
        <w:rPr>
          <w:color w:val="000000" w:themeColor="text1"/>
          <w:sz w:val="20"/>
          <w:szCs w:val="20"/>
        </w:rPr>
        <w:t xml:space="preserve"> </w:t>
      </w:r>
      <w:r w:rsidR="00DB359F">
        <w:rPr>
          <w:color w:val="000000" w:themeColor="text1"/>
          <w:sz w:val="20"/>
          <w:szCs w:val="20"/>
        </w:rPr>
        <w:t>(</w:t>
      </w:r>
      <w:r w:rsidR="00DB359F" w:rsidRPr="00DB359F">
        <w:rPr>
          <w:color w:val="000000" w:themeColor="text1"/>
          <w:sz w:val="20"/>
          <w:szCs w:val="20"/>
        </w:rPr>
        <w:t xml:space="preserve">on behalf of </w:t>
      </w:r>
      <w:r w:rsidR="00DB359F">
        <w:rPr>
          <w:color w:val="000000" w:themeColor="text1"/>
          <w:sz w:val="20"/>
          <w:szCs w:val="20"/>
        </w:rPr>
        <w:t xml:space="preserve">the </w:t>
      </w:r>
      <w:r w:rsidR="00DB359F" w:rsidRPr="0040040E">
        <w:rPr>
          <w:color w:val="000000" w:themeColor="text1"/>
          <w:sz w:val="20"/>
          <w:szCs w:val="20"/>
        </w:rPr>
        <w:t>Movement of Non-Aligned Countries</w:t>
      </w:r>
      <w:r w:rsidR="00BE3BC7" w:rsidRPr="00BE3BC7">
        <w:rPr>
          <w:color w:val="000000" w:themeColor="text1"/>
          <w:sz w:val="20"/>
          <w:szCs w:val="20"/>
        </w:rPr>
        <w:t xml:space="preserve"> </w:t>
      </w:r>
      <w:r w:rsidR="00BE3BC7">
        <w:rPr>
          <w:color w:val="000000" w:themeColor="text1"/>
          <w:sz w:val="20"/>
          <w:szCs w:val="20"/>
        </w:rPr>
        <w:t xml:space="preserve">except </w:t>
      </w:r>
      <w:r w:rsidR="00BE3BC7" w:rsidRPr="00BE3BC7">
        <w:rPr>
          <w:color w:val="000000" w:themeColor="text1"/>
          <w:sz w:val="20"/>
          <w:szCs w:val="20"/>
        </w:rPr>
        <w:t>Colombia, Ecuador and Peru</w:t>
      </w:r>
      <w:r w:rsidR="00DB359F">
        <w:rPr>
          <w:color w:val="000000" w:themeColor="text1"/>
          <w:sz w:val="20"/>
          <w:szCs w:val="20"/>
        </w:rPr>
        <w:t>)</w:t>
      </w:r>
      <w:r w:rsidRPr="0067399B">
        <w:rPr>
          <w:color w:val="000000" w:themeColor="text1"/>
          <w:sz w:val="20"/>
          <w:szCs w:val="20"/>
        </w:rPr>
        <w:t>;</w:t>
      </w:r>
    </w:p>
    <w:p w14:paraId="0C67D48E" w14:textId="3197E972" w:rsidR="00460B3A" w:rsidRPr="0067399B" w:rsidRDefault="00460B3A" w:rsidP="00460B3A">
      <w:pPr>
        <w:pStyle w:val="SingleTxtG"/>
        <w:ind w:firstLine="567"/>
        <w:rPr>
          <w:color w:val="000000" w:themeColor="text1"/>
          <w:sz w:val="20"/>
          <w:szCs w:val="20"/>
        </w:rPr>
      </w:pPr>
      <w:r w:rsidRPr="0067399B">
        <w:rPr>
          <w:color w:val="000000" w:themeColor="text1"/>
          <w:sz w:val="20"/>
          <w:szCs w:val="20"/>
        </w:rPr>
        <w:lastRenderedPageBreak/>
        <w:t>(</w:t>
      </w:r>
      <w:r w:rsidRPr="0067399B">
        <w:rPr>
          <w:iCs/>
          <w:color w:val="000000" w:themeColor="text1"/>
          <w:sz w:val="20"/>
          <w:szCs w:val="20"/>
        </w:rPr>
        <w:t>b</w:t>
      </w:r>
      <w:r w:rsidRPr="0067399B">
        <w:rPr>
          <w:color w:val="000000" w:themeColor="text1"/>
          <w:sz w:val="20"/>
          <w:szCs w:val="20"/>
        </w:rPr>
        <w:t>)</w:t>
      </w:r>
      <w:r w:rsidRPr="0067399B">
        <w:rPr>
          <w:i/>
          <w:iCs/>
          <w:color w:val="000000" w:themeColor="text1"/>
          <w:sz w:val="20"/>
          <w:szCs w:val="20"/>
        </w:rPr>
        <w:tab/>
      </w:r>
      <w:r w:rsidRPr="0067399B">
        <w:rPr>
          <w:color w:val="000000" w:themeColor="text1"/>
          <w:sz w:val="20"/>
          <w:szCs w:val="20"/>
        </w:rPr>
        <w:t xml:space="preserve">Representatives of observer States: </w:t>
      </w:r>
      <w:r w:rsidR="00DB359F" w:rsidRPr="00DB359F">
        <w:rPr>
          <w:color w:val="000000" w:themeColor="text1"/>
          <w:sz w:val="20"/>
          <w:szCs w:val="20"/>
        </w:rPr>
        <w:t>Belarus</w:t>
      </w:r>
      <w:r w:rsidR="00DB359F">
        <w:rPr>
          <w:color w:val="000000" w:themeColor="text1"/>
          <w:sz w:val="20"/>
          <w:szCs w:val="20"/>
        </w:rPr>
        <w:t xml:space="preserve">, </w:t>
      </w:r>
      <w:r w:rsidR="00DB359F" w:rsidRPr="00DB359F">
        <w:rPr>
          <w:color w:val="000000" w:themeColor="text1"/>
          <w:sz w:val="20"/>
          <w:szCs w:val="20"/>
        </w:rPr>
        <w:t>Belgium</w:t>
      </w:r>
      <w:r w:rsidR="00DB359F">
        <w:rPr>
          <w:color w:val="000000" w:themeColor="text1"/>
          <w:sz w:val="20"/>
          <w:szCs w:val="20"/>
        </w:rPr>
        <w:t xml:space="preserve">, </w:t>
      </w:r>
      <w:r w:rsidR="00DB359F" w:rsidRPr="00DB359F">
        <w:rPr>
          <w:color w:val="000000" w:themeColor="text1"/>
          <w:sz w:val="20"/>
          <w:szCs w:val="20"/>
        </w:rPr>
        <w:t>Bolivia (Plurinational State of)</w:t>
      </w:r>
      <w:r w:rsidR="00DB359F">
        <w:rPr>
          <w:color w:val="000000" w:themeColor="text1"/>
          <w:sz w:val="20"/>
          <w:szCs w:val="20"/>
        </w:rPr>
        <w:t xml:space="preserve">, </w:t>
      </w:r>
      <w:r w:rsidR="00DB359F" w:rsidRPr="00DB359F">
        <w:rPr>
          <w:color w:val="000000" w:themeColor="text1"/>
          <w:sz w:val="20"/>
          <w:szCs w:val="20"/>
        </w:rPr>
        <w:t>Canada</w:t>
      </w:r>
      <w:r w:rsidR="00DB359F">
        <w:rPr>
          <w:color w:val="000000" w:themeColor="text1"/>
          <w:sz w:val="20"/>
          <w:szCs w:val="20"/>
        </w:rPr>
        <w:t xml:space="preserve">, </w:t>
      </w:r>
      <w:r w:rsidR="00DB359F" w:rsidRPr="00DB359F">
        <w:rPr>
          <w:color w:val="000000" w:themeColor="text1"/>
          <w:sz w:val="20"/>
          <w:szCs w:val="20"/>
        </w:rPr>
        <w:t>Democratic People</w:t>
      </w:r>
      <w:r w:rsidR="00D72627">
        <w:rPr>
          <w:color w:val="000000" w:themeColor="text1"/>
          <w:sz w:val="20"/>
          <w:szCs w:val="20"/>
        </w:rPr>
        <w:t>’</w:t>
      </w:r>
      <w:r w:rsidR="00DB359F" w:rsidRPr="00DB359F">
        <w:rPr>
          <w:color w:val="000000" w:themeColor="text1"/>
          <w:sz w:val="20"/>
          <w:szCs w:val="20"/>
        </w:rPr>
        <w:t>s Republic of Korea</w:t>
      </w:r>
      <w:r w:rsidR="00DB359F">
        <w:rPr>
          <w:color w:val="000000" w:themeColor="text1"/>
          <w:sz w:val="20"/>
          <w:szCs w:val="20"/>
        </w:rPr>
        <w:t xml:space="preserve">, </w:t>
      </w:r>
      <w:r w:rsidR="00DB359F" w:rsidRPr="00DB359F">
        <w:rPr>
          <w:color w:val="000000" w:themeColor="text1"/>
          <w:sz w:val="20"/>
          <w:szCs w:val="20"/>
        </w:rPr>
        <w:t>Finland</w:t>
      </w:r>
      <w:r w:rsidR="00DB359F">
        <w:rPr>
          <w:color w:val="000000" w:themeColor="text1"/>
          <w:sz w:val="20"/>
          <w:szCs w:val="20"/>
        </w:rPr>
        <w:t xml:space="preserve">, </w:t>
      </w:r>
      <w:r w:rsidR="00DB359F" w:rsidRPr="00DB359F">
        <w:rPr>
          <w:color w:val="000000" w:themeColor="text1"/>
          <w:sz w:val="20"/>
          <w:szCs w:val="20"/>
        </w:rPr>
        <w:t>France</w:t>
      </w:r>
      <w:r w:rsidR="00DB359F">
        <w:rPr>
          <w:color w:val="000000" w:themeColor="text1"/>
          <w:sz w:val="20"/>
          <w:szCs w:val="20"/>
        </w:rPr>
        <w:t xml:space="preserve">, </w:t>
      </w:r>
      <w:r w:rsidR="00DB359F" w:rsidRPr="00DB359F">
        <w:rPr>
          <w:color w:val="000000" w:themeColor="text1"/>
          <w:sz w:val="20"/>
          <w:szCs w:val="20"/>
        </w:rPr>
        <w:t>Georgia</w:t>
      </w:r>
      <w:r w:rsidR="00DB359F">
        <w:rPr>
          <w:color w:val="000000" w:themeColor="text1"/>
          <w:sz w:val="20"/>
          <w:szCs w:val="20"/>
        </w:rPr>
        <w:t xml:space="preserve">, </w:t>
      </w:r>
      <w:r w:rsidR="00DB359F" w:rsidRPr="00DB359F">
        <w:rPr>
          <w:color w:val="000000" w:themeColor="text1"/>
          <w:sz w:val="20"/>
          <w:szCs w:val="20"/>
        </w:rPr>
        <w:t>Germany</w:t>
      </w:r>
      <w:r w:rsidR="00DB359F">
        <w:rPr>
          <w:color w:val="000000" w:themeColor="text1"/>
          <w:sz w:val="20"/>
          <w:szCs w:val="20"/>
        </w:rPr>
        <w:t xml:space="preserve">, </w:t>
      </w:r>
      <w:r w:rsidR="00DB359F" w:rsidRPr="00DB359F">
        <w:rPr>
          <w:color w:val="000000" w:themeColor="text1"/>
          <w:sz w:val="20"/>
          <w:szCs w:val="20"/>
        </w:rPr>
        <w:t>Iran (Islamic Republic of)</w:t>
      </w:r>
      <w:r w:rsidR="00DB359F">
        <w:rPr>
          <w:color w:val="000000" w:themeColor="text1"/>
          <w:sz w:val="20"/>
          <w:szCs w:val="20"/>
        </w:rPr>
        <w:t xml:space="preserve">, </w:t>
      </w:r>
      <w:r w:rsidR="00DB359F" w:rsidRPr="00DB359F">
        <w:rPr>
          <w:color w:val="000000" w:themeColor="text1"/>
          <w:sz w:val="20"/>
          <w:szCs w:val="20"/>
        </w:rPr>
        <w:t>Ireland</w:t>
      </w:r>
      <w:r w:rsidR="00DB359F">
        <w:rPr>
          <w:color w:val="000000" w:themeColor="text1"/>
          <w:sz w:val="20"/>
          <w:szCs w:val="20"/>
        </w:rPr>
        <w:t xml:space="preserve">, </w:t>
      </w:r>
      <w:r w:rsidR="00DB359F" w:rsidRPr="00DB359F">
        <w:rPr>
          <w:color w:val="000000" w:themeColor="text1"/>
          <w:sz w:val="20"/>
          <w:szCs w:val="20"/>
        </w:rPr>
        <w:t>Israel</w:t>
      </w:r>
      <w:r w:rsidR="00DB359F">
        <w:rPr>
          <w:color w:val="000000" w:themeColor="text1"/>
          <w:sz w:val="20"/>
          <w:szCs w:val="20"/>
        </w:rPr>
        <w:t xml:space="preserve">, </w:t>
      </w:r>
      <w:r w:rsidR="00DB359F" w:rsidRPr="00DB359F">
        <w:rPr>
          <w:color w:val="000000" w:themeColor="text1"/>
          <w:sz w:val="20"/>
          <w:szCs w:val="20"/>
        </w:rPr>
        <w:t>Luxembourg</w:t>
      </w:r>
      <w:r w:rsidR="00DB359F">
        <w:rPr>
          <w:color w:val="000000" w:themeColor="text1"/>
          <w:sz w:val="20"/>
          <w:szCs w:val="20"/>
        </w:rPr>
        <w:t xml:space="preserve">, </w:t>
      </w:r>
      <w:r w:rsidR="00DB359F" w:rsidRPr="00DB359F">
        <w:rPr>
          <w:color w:val="000000" w:themeColor="text1"/>
          <w:sz w:val="20"/>
          <w:szCs w:val="20"/>
        </w:rPr>
        <w:t>Myanmar</w:t>
      </w:r>
      <w:r w:rsidR="00DB359F">
        <w:rPr>
          <w:color w:val="000000" w:themeColor="text1"/>
          <w:sz w:val="20"/>
          <w:szCs w:val="20"/>
        </w:rPr>
        <w:t xml:space="preserve">, </w:t>
      </w:r>
      <w:r w:rsidR="00DB359F" w:rsidRPr="00DB359F">
        <w:rPr>
          <w:color w:val="000000" w:themeColor="text1"/>
          <w:sz w:val="20"/>
          <w:szCs w:val="20"/>
        </w:rPr>
        <w:t>Netherlands</w:t>
      </w:r>
      <w:r w:rsidR="00DB359F">
        <w:rPr>
          <w:color w:val="000000" w:themeColor="text1"/>
          <w:sz w:val="20"/>
          <w:szCs w:val="20"/>
        </w:rPr>
        <w:t xml:space="preserve">, </w:t>
      </w:r>
      <w:r w:rsidR="00DB359F" w:rsidRPr="00DB359F">
        <w:rPr>
          <w:color w:val="000000" w:themeColor="text1"/>
          <w:sz w:val="20"/>
          <w:szCs w:val="20"/>
        </w:rPr>
        <w:t>New Zealand</w:t>
      </w:r>
      <w:r w:rsidR="00DB359F">
        <w:rPr>
          <w:color w:val="000000" w:themeColor="text1"/>
          <w:sz w:val="20"/>
          <w:szCs w:val="20"/>
        </w:rPr>
        <w:t xml:space="preserve">, </w:t>
      </w:r>
      <w:r w:rsidR="00DB359F" w:rsidRPr="00DB359F">
        <w:rPr>
          <w:color w:val="000000" w:themeColor="text1"/>
          <w:sz w:val="20"/>
          <w:szCs w:val="20"/>
        </w:rPr>
        <w:t>Nicaragua</w:t>
      </w:r>
      <w:r w:rsidR="00DB359F">
        <w:rPr>
          <w:color w:val="000000" w:themeColor="text1"/>
          <w:sz w:val="20"/>
          <w:szCs w:val="20"/>
        </w:rPr>
        <w:t xml:space="preserve">, Norway, </w:t>
      </w:r>
      <w:r w:rsidR="00DB359F" w:rsidRPr="00DB359F">
        <w:rPr>
          <w:color w:val="000000" w:themeColor="text1"/>
          <w:sz w:val="20"/>
          <w:szCs w:val="20"/>
        </w:rPr>
        <w:t>Republic of Korea</w:t>
      </w:r>
      <w:r w:rsidR="00DB359F">
        <w:rPr>
          <w:color w:val="000000" w:themeColor="text1"/>
          <w:sz w:val="20"/>
          <w:szCs w:val="20"/>
        </w:rPr>
        <w:t xml:space="preserve">, </w:t>
      </w:r>
      <w:r w:rsidR="00DB359F" w:rsidRPr="00DB359F">
        <w:rPr>
          <w:color w:val="000000" w:themeColor="text1"/>
          <w:sz w:val="20"/>
          <w:szCs w:val="20"/>
        </w:rPr>
        <w:t>Russian Federation</w:t>
      </w:r>
      <w:r w:rsidR="00DB359F">
        <w:rPr>
          <w:color w:val="000000" w:themeColor="text1"/>
          <w:sz w:val="20"/>
          <w:szCs w:val="20"/>
        </w:rPr>
        <w:t xml:space="preserve">, </w:t>
      </w:r>
      <w:r w:rsidR="00DB359F" w:rsidRPr="00DB359F">
        <w:rPr>
          <w:color w:val="000000" w:themeColor="text1"/>
          <w:sz w:val="20"/>
          <w:szCs w:val="20"/>
        </w:rPr>
        <w:t>Slovenia</w:t>
      </w:r>
      <w:r w:rsidR="00DB359F">
        <w:rPr>
          <w:color w:val="000000" w:themeColor="text1"/>
          <w:sz w:val="20"/>
          <w:szCs w:val="20"/>
        </w:rPr>
        <w:t xml:space="preserve">, </w:t>
      </w:r>
      <w:r w:rsidR="00DB359F" w:rsidRPr="00DB359F">
        <w:rPr>
          <w:color w:val="000000" w:themeColor="text1"/>
          <w:sz w:val="20"/>
          <w:szCs w:val="20"/>
        </w:rPr>
        <w:t>Sudan</w:t>
      </w:r>
      <w:r w:rsidR="00DB359F">
        <w:rPr>
          <w:color w:val="000000" w:themeColor="text1"/>
          <w:sz w:val="20"/>
          <w:szCs w:val="20"/>
        </w:rPr>
        <w:t xml:space="preserve">, </w:t>
      </w:r>
      <w:r w:rsidR="00DB359F" w:rsidRPr="00DB359F">
        <w:rPr>
          <w:color w:val="000000" w:themeColor="text1"/>
          <w:sz w:val="20"/>
          <w:szCs w:val="20"/>
        </w:rPr>
        <w:t>Switzerland</w:t>
      </w:r>
      <w:r w:rsidR="00DB359F">
        <w:rPr>
          <w:color w:val="000000" w:themeColor="text1"/>
          <w:sz w:val="20"/>
          <w:szCs w:val="20"/>
        </w:rPr>
        <w:t xml:space="preserve">, </w:t>
      </w:r>
      <w:r w:rsidR="00DB359F" w:rsidRPr="00DB359F">
        <w:rPr>
          <w:color w:val="000000" w:themeColor="text1"/>
          <w:sz w:val="20"/>
          <w:szCs w:val="20"/>
        </w:rPr>
        <w:t>Syrian Arab Republic</w:t>
      </w:r>
      <w:r w:rsidR="00DB359F">
        <w:rPr>
          <w:color w:val="000000" w:themeColor="text1"/>
          <w:sz w:val="20"/>
          <w:szCs w:val="20"/>
        </w:rPr>
        <w:t xml:space="preserve">, </w:t>
      </w:r>
      <w:r w:rsidR="00DB359F" w:rsidRPr="00DB359F">
        <w:rPr>
          <w:color w:val="000000" w:themeColor="text1"/>
          <w:sz w:val="20"/>
          <w:szCs w:val="20"/>
        </w:rPr>
        <w:t>Venezuela (Bolivarian Republic of)</w:t>
      </w:r>
      <w:r w:rsidRPr="0067399B">
        <w:rPr>
          <w:color w:val="000000" w:themeColor="text1"/>
          <w:sz w:val="20"/>
          <w:szCs w:val="20"/>
        </w:rPr>
        <w:t xml:space="preserve">; </w:t>
      </w:r>
    </w:p>
    <w:p w14:paraId="0652092E" w14:textId="6CA61039" w:rsidR="00460B3A" w:rsidRPr="0067399B" w:rsidRDefault="00460B3A" w:rsidP="00460B3A">
      <w:pPr>
        <w:pStyle w:val="SingleTxtG"/>
        <w:ind w:firstLine="567"/>
        <w:rPr>
          <w:color w:val="000000" w:themeColor="text1"/>
          <w:sz w:val="20"/>
          <w:szCs w:val="20"/>
        </w:rPr>
      </w:pPr>
      <w:r w:rsidRPr="0067399B">
        <w:rPr>
          <w:color w:val="000000" w:themeColor="text1"/>
          <w:sz w:val="20"/>
          <w:szCs w:val="20"/>
        </w:rPr>
        <w:t>(</w:t>
      </w:r>
      <w:r w:rsidRPr="0067399B">
        <w:rPr>
          <w:iCs/>
          <w:color w:val="000000" w:themeColor="text1"/>
          <w:sz w:val="20"/>
          <w:szCs w:val="20"/>
        </w:rPr>
        <w:t>c</w:t>
      </w:r>
      <w:r w:rsidRPr="0067399B">
        <w:rPr>
          <w:color w:val="000000" w:themeColor="text1"/>
          <w:sz w:val="20"/>
          <w:szCs w:val="20"/>
        </w:rPr>
        <w:t>)</w:t>
      </w:r>
      <w:r w:rsidRPr="0067399B">
        <w:rPr>
          <w:i/>
          <w:iCs/>
          <w:color w:val="000000" w:themeColor="text1"/>
          <w:sz w:val="20"/>
          <w:szCs w:val="20"/>
        </w:rPr>
        <w:tab/>
      </w:r>
      <w:r w:rsidRPr="0067399B">
        <w:rPr>
          <w:color w:val="000000" w:themeColor="text1"/>
          <w:sz w:val="20"/>
          <w:szCs w:val="20"/>
        </w:rPr>
        <w:t>Observers for non-governmental organizations:</w:t>
      </w:r>
      <w:r w:rsidR="00F3511E">
        <w:rPr>
          <w:color w:val="000000" w:themeColor="text1"/>
          <w:sz w:val="20"/>
          <w:szCs w:val="20"/>
        </w:rPr>
        <w:t xml:space="preserve"> </w:t>
      </w:r>
      <w:r w:rsidR="00756041" w:rsidRPr="00756041">
        <w:rPr>
          <w:color w:val="000000" w:themeColor="text1"/>
          <w:sz w:val="20"/>
          <w:szCs w:val="20"/>
        </w:rPr>
        <w:t>Action internationale pour la paix et le développement dans la région des Grands Lacs</w:t>
      </w:r>
      <w:r w:rsidR="00756041">
        <w:rPr>
          <w:color w:val="000000" w:themeColor="text1"/>
          <w:sz w:val="20"/>
          <w:szCs w:val="20"/>
        </w:rPr>
        <w:t xml:space="preserve">; </w:t>
      </w:r>
      <w:r w:rsidR="00756041" w:rsidRPr="00756041">
        <w:rPr>
          <w:color w:val="000000" w:themeColor="text1"/>
          <w:sz w:val="20"/>
          <w:szCs w:val="20"/>
        </w:rPr>
        <w:t>Advocates for Human Rights</w:t>
      </w:r>
      <w:r w:rsidR="00756041">
        <w:rPr>
          <w:color w:val="000000" w:themeColor="text1"/>
          <w:sz w:val="20"/>
          <w:szCs w:val="20"/>
        </w:rPr>
        <w:t xml:space="preserve">; </w:t>
      </w:r>
      <w:r w:rsidR="00756041" w:rsidRPr="00756041">
        <w:rPr>
          <w:color w:val="000000" w:themeColor="text1"/>
          <w:sz w:val="20"/>
          <w:szCs w:val="20"/>
        </w:rPr>
        <w:t>Africa Culture Internationale</w:t>
      </w:r>
      <w:r w:rsidR="00756041">
        <w:rPr>
          <w:color w:val="000000" w:themeColor="text1"/>
          <w:sz w:val="20"/>
          <w:szCs w:val="20"/>
        </w:rPr>
        <w:t xml:space="preserve">; </w:t>
      </w:r>
      <w:r w:rsidR="00756041" w:rsidRPr="00756041">
        <w:rPr>
          <w:color w:val="000000" w:themeColor="text1"/>
          <w:sz w:val="20"/>
          <w:szCs w:val="20"/>
        </w:rPr>
        <w:t>African Agency for Integrated Development (AAID)</w:t>
      </w:r>
      <w:r w:rsidR="00756041">
        <w:rPr>
          <w:color w:val="000000" w:themeColor="text1"/>
          <w:sz w:val="20"/>
          <w:szCs w:val="20"/>
        </w:rPr>
        <w:t xml:space="preserve">; </w:t>
      </w:r>
      <w:r w:rsidR="00756041" w:rsidRPr="00756041">
        <w:rPr>
          <w:color w:val="000000" w:themeColor="text1"/>
          <w:sz w:val="20"/>
          <w:szCs w:val="20"/>
        </w:rPr>
        <w:t>African Development Association</w:t>
      </w:r>
      <w:r w:rsidR="00756041">
        <w:rPr>
          <w:color w:val="000000" w:themeColor="text1"/>
          <w:sz w:val="20"/>
          <w:szCs w:val="20"/>
        </w:rPr>
        <w:t xml:space="preserve">; </w:t>
      </w:r>
      <w:r w:rsidR="00756041" w:rsidRPr="00756041">
        <w:rPr>
          <w:color w:val="000000" w:themeColor="text1"/>
          <w:sz w:val="20"/>
          <w:szCs w:val="20"/>
        </w:rPr>
        <w:t>African Regional Agricultural Credit Association</w:t>
      </w:r>
      <w:r w:rsidR="00756041">
        <w:rPr>
          <w:color w:val="000000" w:themeColor="text1"/>
          <w:sz w:val="20"/>
          <w:szCs w:val="20"/>
        </w:rPr>
        <w:t xml:space="preserve">; </w:t>
      </w:r>
      <w:r w:rsidR="00756041" w:rsidRPr="00756041">
        <w:rPr>
          <w:color w:val="000000" w:themeColor="text1"/>
          <w:sz w:val="20"/>
          <w:szCs w:val="20"/>
        </w:rPr>
        <w:t>Agence pour les droits de l</w:t>
      </w:r>
      <w:r w:rsidR="00D72627">
        <w:rPr>
          <w:color w:val="000000" w:themeColor="text1"/>
          <w:sz w:val="20"/>
          <w:szCs w:val="20"/>
        </w:rPr>
        <w:t>’</w:t>
      </w:r>
      <w:r w:rsidR="00756041" w:rsidRPr="00756041">
        <w:rPr>
          <w:color w:val="000000" w:themeColor="text1"/>
          <w:sz w:val="20"/>
          <w:szCs w:val="20"/>
        </w:rPr>
        <w:t>homme</w:t>
      </w:r>
      <w:r w:rsidR="00756041">
        <w:rPr>
          <w:color w:val="000000" w:themeColor="text1"/>
          <w:sz w:val="20"/>
          <w:szCs w:val="20"/>
        </w:rPr>
        <w:t xml:space="preserve">; </w:t>
      </w:r>
      <w:r w:rsidR="00756041" w:rsidRPr="00756041">
        <w:rPr>
          <w:color w:val="000000" w:themeColor="text1"/>
          <w:sz w:val="20"/>
          <w:szCs w:val="20"/>
        </w:rPr>
        <w:t>Alsalam Foundation</w:t>
      </w:r>
      <w:r w:rsidR="00756041">
        <w:rPr>
          <w:color w:val="000000" w:themeColor="text1"/>
          <w:sz w:val="20"/>
          <w:szCs w:val="20"/>
        </w:rPr>
        <w:t xml:space="preserve">; </w:t>
      </w:r>
      <w:r w:rsidR="00756041" w:rsidRPr="00756041">
        <w:rPr>
          <w:color w:val="000000" w:themeColor="text1"/>
          <w:sz w:val="20"/>
          <w:szCs w:val="20"/>
        </w:rPr>
        <w:t>American Association of Jurists</w:t>
      </w:r>
      <w:r w:rsidR="00756041">
        <w:rPr>
          <w:color w:val="000000" w:themeColor="text1"/>
          <w:sz w:val="20"/>
          <w:szCs w:val="20"/>
        </w:rPr>
        <w:t xml:space="preserve"> (also on behalf of </w:t>
      </w:r>
      <w:r w:rsidR="00756041" w:rsidRPr="00756041">
        <w:rPr>
          <w:color w:val="000000" w:themeColor="text1"/>
          <w:sz w:val="20"/>
          <w:szCs w:val="20"/>
        </w:rPr>
        <w:t>International Association of Dem</w:t>
      </w:r>
      <w:r w:rsidR="00756041">
        <w:rPr>
          <w:color w:val="000000" w:themeColor="text1"/>
          <w:sz w:val="20"/>
          <w:szCs w:val="20"/>
        </w:rPr>
        <w:t xml:space="preserve">ocratic Lawyers (IADL)); </w:t>
      </w:r>
      <w:r w:rsidR="00756041" w:rsidRPr="00756041">
        <w:rPr>
          <w:color w:val="000000" w:themeColor="text1"/>
          <w:sz w:val="20"/>
          <w:szCs w:val="20"/>
        </w:rPr>
        <w:t>Americans for Democracy &amp; Human Rights in Bahrain Inc</w:t>
      </w:r>
      <w:r w:rsidR="00756041">
        <w:rPr>
          <w:color w:val="000000" w:themeColor="text1"/>
          <w:sz w:val="20"/>
          <w:szCs w:val="20"/>
        </w:rPr>
        <w:t xml:space="preserve">; </w:t>
      </w:r>
      <w:r w:rsidR="00756041" w:rsidRPr="00756041">
        <w:rPr>
          <w:color w:val="000000" w:themeColor="text1"/>
          <w:sz w:val="20"/>
          <w:szCs w:val="20"/>
        </w:rPr>
        <w:t>Amnesty International</w:t>
      </w:r>
      <w:r w:rsidR="00756041">
        <w:rPr>
          <w:color w:val="000000" w:themeColor="text1"/>
          <w:sz w:val="20"/>
          <w:szCs w:val="20"/>
        </w:rPr>
        <w:t xml:space="preserve">; </w:t>
      </w:r>
      <w:r w:rsidR="00756041" w:rsidRPr="00756041">
        <w:rPr>
          <w:color w:val="000000" w:themeColor="text1"/>
          <w:sz w:val="20"/>
          <w:szCs w:val="20"/>
        </w:rPr>
        <w:t>Article 19 - International Centre Against Censorship, The</w:t>
      </w:r>
      <w:r w:rsidR="00756041">
        <w:rPr>
          <w:color w:val="000000" w:themeColor="text1"/>
          <w:sz w:val="20"/>
          <w:szCs w:val="20"/>
        </w:rPr>
        <w:t xml:space="preserve">; </w:t>
      </w:r>
      <w:r w:rsidR="00756041" w:rsidRPr="00756041">
        <w:rPr>
          <w:color w:val="000000" w:themeColor="text1"/>
          <w:sz w:val="20"/>
          <w:szCs w:val="20"/>
        </w:rPr>
        <w:t>Asian Forum for Human Rights and Development</w:t>
      </w:r>
      <w:r w:rsidR="00756041">
        <w:rPr>
          <w:color w:val="000000" w:themeColor="text1"/>
          <w:sz w:val="20"/>
          <w:szCs w:val="20"/>
        </w:rPr>
        <w:t xml:space="preserve">; </w:t>
      </w:r>
      <w:r w:rsidR="00756041" w:rsidRPr="00756041">
        <w:rPr>
          <w:color w:val="000000" w:themeColor="text1"/>
          <w:sz w:val="20"/>
          <w:szCs w:val="20"/>
        </w:rPr>
        <w:t>Asociacion Cubana de las Naciones Unidas (Cuban United Nations Association)</w:t>
      </w:r>
      <w:r w:rsidR="00756041">
        <w:rPr>
          <w:color w:val="000000" w:themeColor="text1"/>
          <w:sz w:val="20"/>
          <w:szCs w:val="20"/>
        </w:rPr>
        <w:t xml:space="preserve">; </w:t>
      </w:r>
      <w:r w:rsidR="00756041" w:rsidRPr="00756041">
        <w:rPr>
          <w:color w:val="000000" w:themeColor="text1"/>
          <w:sz w:val="20"/>
          <w:szCs w:val="20"/>
        </w:rPr>
        <w:t>Association Bharathi Centre Culturel Franco-Tamoul</w:t>
      </w:r>
      <w:r w:rsidR="00756041">
        <w:rPr>
          <w:color w:val="000000" w:themeColor="text1"/>
          <w:sz w:val="20"/>
          <w:szCs w:val="20"/>
        </w:rPr>
        <w:t xml:space="preserve">; </w:t>
      </w:r>
      <w:r w:rsidR="00756041" w:rsidRPr="00756041">
        <w:rPr>
          <w:color w:val="000000" w:themeColor="text1"/>
          <w:sz w:val="20"/>
          <w:szCs w:val="20"/>
        </w:rPr>
        <w:t>Association Dunenyo</w:t>
      </w:r>
      <w:r w:rsidR="00756041">
        <w:rPr>
          <w:color w:val="000000" w:themeColor="text1"/>
          <w:sz w:val="20"/>
          <w:szCs w:val="20"/>
        </w:rPr>
        <w:t xml:space="preserve">; </w:t>
      </w:r>
      <w:r w:rsidR="00756041" w:rsidRPr="00756041">
        <w:rPr>
          <w:color w:val="000000" w:themeColor="text1"/>
          <w:sz w:val="20"/>
          <w:szCs w:val="20"/>
        </w:rPr>
        <w:t>Association for Defending Victims of Terrorism</w:t>
      </w:r>
      <w:r w:rsidR="00756041">
        <w:rPr>
          <w:color w:val="000000" w:themeColor="text1"/>
          <w:sz w:val="20"/>
          <w:szCs w:val="20"/>
        </w:rPr>
        <w:t xml:space="preserve">; </w:t>
      </w:r>
      <w:r w:rsidR="00756041" w:rsidRPr="00756041">
        <w:rPr>
          <w:color w:val="000000" w:themeColor="text1"/>
          <w:sz w:val="20"/>
          <w:szCs w:val="20"/>
        </w:rPr>
        <w:t>Association for the Protection of Women and Children</w:t>
      </w:r>
      <w:r w:rsidR="00D72627">
        <w:rPr>
          <w:color w:val="000000" w:themeColor="text1"/>
          <w:sz w:val="20"/>
          <w:szCs w:val="20"/>
        </w:rPr>
        <w:t>’</w:t>
      </w:r>
      <w:r w:rsidR="00756041" w:rsidRPr="00756041">
        <w:rPr>
          <w:color w:val="000000" w:themeColor="text1"/>
          <w:sz w:val="20"/>
          <w:szCs w:val="20"/>
        </w:rPr>
        <w:t>s Rights (APWCR)</w:t>
      </w:r>
      <w:r w:rsidR="00756041">
        <w:rPr>
          <w:color w:val="000000" w:themeColor="text1"/>
          <w:sz w:val="20"/>
          <w:szCs w:val="20"/>
        </w:rPr>
        <w:t xml:space="preserve">; </w:t>
      </w:r>
      <w:r w:rsidR="00756041" w:rsidRPr="00756041">
        <w:rPr>
          <w:color w:val="000000" w:themeColor="text1"/>
          <w:sz w:val="20"/>
          <w:szCs w:val="20"/>
        </w:rPr>
        <w:t>Association Internationale pour l</w:t>
      </w:r>
      <w:r w:rsidR="00D72627">
        <w:rPr>
          <w:color w:val="000000" w:themeColor="text1"/>
          <w:sz w:val="20"/>
          <w:szCs w:val="20"/>
        </w:rPr>
        <w:t>’</w:t>
      </w:r>
      <w:r w:rsidR="00756041" w:rsidRPr="00756041">
        <w:rPr>
          <w:color w:val="000000" w:themeColor="text1"/>
          <w:sz w:val="20"/>
          <w:szCs w:val="20"/>
        </w:rPr>
        <w:t>égalité des femmes</w:t>
      </w:r>
      <w:r w:rsidR="00756041">
        <w:rPr>
          <w:color w:val="000000" w:themeColor="text1"/>
          <w:sz w:val="20"/>
          <w:szCs w:val="20"/>
        </w:rPr>
        <w:t xml:space="preserve">; </w:t>
      </w:r>
      <w:r w:rsidR="00756041" w:rsidRPr="00756041">
        <w:rPr>
          <w:color w:val="000000" w:themeColor="text1"/>
          <w:sz w:val="20"/>
          <w:szCs w:val="20"/>
        </w:rPr>
        <w:t>Association pour l</w:t>
      </w:r>
      <w:r w:rsidR="00D72627">
        <w:rPr>
          <w:color w:val="000000" w:themeColor="text1"/>
          <w:sz w:val="20"/>
          <w:szCs w:val="20"/>
        </w:rPr>
        <w:t>’</w:t>
      </w:r>
      <w:r w:rsidR="00756041" w:rsidRPr="00756041">
        <w:rPr>
          <w:color w:val="000000" w:themeColor="text1"/>
          <w:sz w:val="20"/>
          <w:szCs w:val="20"/>
        </w:rPr>
        <w:t>Intégration et le Développement Durable au Burundi</w:t>
      </w:r>
      <w:r w:rsidR="00756041">
        <w:rPr>
          <w:color w:val="000000" w:themeColor="text1"/>
          <w:sz w:val="20"/>
          <w:szCs w:val="20"/>
        </w:rPr>
        <w:t xml:space="preserve">; </w:t>
      </w:r>
      <w:r w:rsidR="00756041" w:rsidRPr="00756041">
        <w:rPr>
          <w:color w:val="000000" w:themeColor="text1"/>
          <w:sz w:val="20"/>
          <w:szCs w:val="20"/>
        </w:rPr>
        <w:t>Baha</w:t>
      </w:r>
      <w:r w:rsidR="00D72627">
        <w:rPr>
          <w:color w:val="000000" w:themeColor="text1"/>
          <w:sz w:val="20"/>
          <w:szCs w:val="20"/>
        </w:rPr>
        <w:t>’</w:t>
      </w:r>
      <w:r w:rsidR="00756041" w:rsidRPr="00756041">
        <w:rPr>
          <w:color w:val="000000" w:themeColor="text1"/>
          <w:sz w:val="20"/>
          <w:szCs w:val="20"/>
        </w:rPr>
        <w:t>i International Community</w:t>
      </w:r>
      <w:r w:rsidR="00756041">
        <w:rPr>
          <w:color w:val="000000" w:themeColor="text1"/>
          <w:sz w:val="20"/>
          <w:szCs w:val="20"/>
        </w:rPr>
        <w:t xml:space="preserve">; </w:t>
      </w:r>
      <w:r w:rsidR="00756041" w:rsidRPr="00756041">
        <w:rPr>
          <w:color w:val="000000" w:themeColor="text1"/>
          <w:sz w:val="20"/>
          <w:szCs w:val="20"/>
        </w:rPr>
        <w:t>British Humanist Association</w:t>
      </w:r>
      <w:r w:rsidR="00756041">
        <w:rPr>
          <w:color w:val="000000" w:themeColor="text1"/>
          <w:sz w:val="20"/>
          <w:szCs w:val="20"/>
        </w:rPr>
        <w:t xml:space="preserve">; </w:t>
      </w:r>
      <w:r w:rsidR="00756041" w:rsidRPr="00756041">
        <w:rPr>
          <w:color w:val="000000" w:themeColor="text1"/>
          <w:sz w:val="20"/>
          <w:szCs w:val="20"/>
        </w:rPr>
        <w:t>Canners International Permanent Committee</w:t>
      </w:r>
      <w:r w:rsidR="00756041">
        <w:rPr>
          <w:color w:val="000000" w:themeColor="text1"/>
          <w:sz w:val="20"/>
          <w:szCs w:val="20"/>
        </w:rPr>
        <w:t xml:space="preserve">; </w:t>
      </w:r>
      <w:r w:rsidR="00756041" w:rsidRPr="00756041">
        <w:rPr>
          <w:color w:val="000000" w:themeColor="text1"/>
          <w:sz w:val="20"/>
          <w:szCs w:val="20"/>
        </w:rPr>
        <w:t>Center for Africa Development and Progress</w:t>
      </w:r>
      <w:r w:rsidR="00756041">
        <w:rPr>
          <w:color w:val="000000" w:themeColor="text1"/>
          <w:sz w:val="20"/>
          <w:szCs w:val="20"/>
        </w:rPr>
        <w:t xml:space="preserve">; </w:t>
      </w:r>
      <w:r w:rsidR="00756041" w:rsidRPr="00756041">
        <w:rPr>
          <w:color w:val="000000" w:themeColor="text1"/>
          <w:sz w:val="20"/>
          <w:szCs w:val="20"/>
        </w:rPr>
        <w:t>Centre for Gender Justice and Women Empowerment</w:t>
      </w:r>
      <w:r w:rsidR="00756041">
        <w:rPr>
          <w:color w:val="000000" w:themeColor="text1"/>
          <w:sz w:val="20"/>
          <w:szCs w:val="20"/>
        </w:rPr>
        <w:t xml:space="preserve">; </w:t>
      </w:r>
      <w:r w:rsidR="00756041" w:rsidRPr="00756041">
        <w:rPr>
          <w:color w:val="000000" w:themeColor="text1"/>
          <w:sz w:val="20"/>
          <w:szCs w:val="20"/>
        </w:rPr>
        <w:t>Centre for Human Rights and Peace Advocacy</w:t>
      </w:r>
      <w:r w:rsidR="00756041">
        <w:rPr>
          <w:color w:val="000000" w:themeColor="text1"/>
          <w:sz w:val="20"/>
          <w:szCs w:val="20"/>
        </w:rPr>
        <w:t xml:space="preserve">; </w:t>
      </w:r>
      <w:r w:rsidR="00756041" w:rsidRPr="00756041">
        <w:rPr>
          <w:color w:val="000000" w:themeColor="text1"/>
          <w:sz w:val="20"/>
          <w:szCs w:val="20"/>
        </w:rPr>
        <w:t>Charitable Institute for Protecting Social Victims, The</w:t>
      </w:r>
      <w:r w:rsidR="00756041">
        <w:rPr>
          <w:color w:val="000000" w:themeColor="text1"/>
          <w:sz w:val="20"/>
          <w:szCs w:val="20"/>
        </w:rPr>
        <w:t xml:space="preserve">; </w:t>
      </w:r>
      <w:r w:rsidR="00756041" w:rsidRPr="00756041">
        <w:rPr>
          <w:color w:val="000000" w:themeColor="text1"/>
          <w:sz w:val="20"/>
          <w:szCs w:val="20"/>
        </w:rPr>
        <w:t>Child Foundation</w:t>
      </w:r>
      <w:r w:rsidR="00756041">
        <w:rPr>
          <w:color w:val="000000" w:themeColor="text1"/>
          <w:sz w:val="20"/>
          <w:szCs w:val="20"/>
        </w:rPr>
        <w:t xml:space="preserve">; </w:t>
      </w:r>
      <w:r w:rsidR="00756041" w:rsidRPr="00756041">
        <w:rPr>
          <w:color w:val="000000" w:themeColor="text1"/>
          <w:sz w:val="20"/>
          <w:szCs w:val="20"/>
        </w:rPr>
        <w:t>China Society for Human Rights Studies (CSHRS)</w:t>
      </w:r>
      <w:r w:rsidR="00756041">
        <w:rPr>
          <w:color w:val="000000" w:themeColor="text1"/>
          <w:sz w:val="20"/>
          <w:szCs w:val="20"/>
        </w:rPr>
        <w:t xml:space="preserve">; </w:t>
      </w:r>
      <w:r w:rsidR="00756041" w:rsidRPr="00756041">
        <w:rPr>
          <w:color w:val="000000" w:themeColor="text1"/>
          <w:sz w:val="20"/>
          <w:szCs w:val="20"/>
        </w:rPr>
        <w:t>Christian Solidarity Worldwide</w:t>
      </w:r>
      <w:r w:rsidR="00756041">
        <w:rPr>
          <w:color w:val="000000" w:themeColor="text1"/>
          <w:sz w:val="20"/>
          <w:szCs w:val="20"/>
        </w:rPr>
        <w:t xml:space="preserve">; </w:t>
      </w:r>
      <w:r w:rsidR="00756041" w:rsidRPr="00756041">
        <w:rPr>
          <w:color w:val="000000" w:themeColor="text1"/>
          <w:sz w:val="20"/>
          <w:szCs w:val="20"/>
        </w:rPr>
        <w:t>CIVICUS - World Alliance for Citiz</w:t>
      </w:r>
      <w:r w:rsidR="00756041" w:rsidRPr="00B66D2B">
        <w:rPr>
          <w:color w:val="000000" w:themeColor="text1"/>
          <w:sz w:val="20"/>
          <w:szCs w:val="20"/>
          <w:lang w:val="fr-CH"/>
        </w:rPr>
        <w:t>en Participation; Comisión Mexicana de Defensa y Promoción de los Derechos Humanos, Asociación Civil; Comité International pour le Respect et l</w:t>
      </w:r>
      <w:r w:rsidR="00D72627">
        <w:rPr>
          <w:color w:val="000000" w:themeColor="text1"/>
          <w:sz w:val="20"/>
          <w:szCs w:val="20"/>
          <w:lang w:val="fr-CH"/>
        </w:rPr>
        <w:t>’</w:t>
      </w:r>
      <w:r w:rsidR="00756041" w:rsidRPr="00B66D2B">
        <w:rPr>
          <w:color w:val="000000" w:themeColor="text1"/>
          <w:sz w:val="20"/>
          <w:szCs w:val="20"/>
          <w:lang w:val="fr-CH"/>
        </w:rPr>
        <w:t>Application de la Charte Africaine des Droits de l</w:t>
      </w:r>
      <w:r w:rsidR="00D72627">
        <w:rPr>
          <w:color w:val="000000" w:themeColor="text1"/>
          <w:sz w:val="20"/>
          <w:szCs w:val="20"/>
          <w:lang w:val="fr-CH"/>
        </w:rPr>
        <w:t>’</w:t>
      </w:r>
      <w:r w:rsidR="00756041" w:rsidRPr="00B66D2B">
        <w:rPr>
          <w:color w:val="000000" w:themeColor="text1"/>
          <w:sz w:val="20"/>
          <w:szCs w:val="20"/>
          <w:lang w:val="fr-CH"/>
        </w:rPr>
        <w:t>Homme et des Peuples (CIRAC); Commission africaine des promoteurs de la santé et des droits de l</w:t>
      </w:r>
      <w:r w:rsidR="00D72627">
        <w:rPr>
          <w:color w:val="000000" w:themeColor="text1"/>
          <w:sz w:val="20"/>
          <w:szCs w:val="20"/>
          <w:lang w:val="fr-CH"/>
        </w:rPr>
        <w:t>’</w:t>
      </w:r>
      <w:r w:rsidR="00756041" w:rsidRPr="00B66D2B">
        <w:rPr>
          <w:color w:val="000000" w:themeColor="text1"/>
          <w:sz w:val="20"/>
          <w:szCs w:val="20"/>
          <w:lang w:val="fr-CH"/>
        </w:rPr>
        <w:t>homme; Commission to Study the Organization of Peace; Commonwealth Human Rights Initiative; Conectas Direitos Humanos (also on behalf of CIVICUS - World Alliance for Citizen Participation; Réseau International des Droits Humains (RIDH) and World Organisation Against Torture); Conseil International pour le soutien à des procès équitables et aux Droits de l</w:t>
      </w:r>
      <w:r w:rsidR="00D72627">
        <w:rPr>
          <w:color w:val="000000" w:themeColor="text1"/>
          <w:sz w:val="20"/>
          <w:szCs w:val="20"/>
          <w:lang w:val="fr-CH"/>
        </w:rPr>
        <w:t>’</w:t>
      </w:r>
      <w:r w:rsidR="00756041" w:rsidRPr="00B66D2B">
        <w:rPr>
          <w:color w:val="000000" w:themeColor="text1"/>
          <w:sz w:val="20"/>
          <w:szCs w:val="20"/>
          <w:lang w:val="fr-CH"/>
        </w:rPr>
        <w:t xml:space="preserve">Homme; Conselho Indigenista Missionário CIMI; Coordinating Board of Jewish Organizations; Coordination des Associations et des Particuliers pour la Liberté de Conscience; </w:t>
      </w:r>
      <w:r w:rsidR="007B1949" w:rsidRPr="00B66D2B">
        <w:rPr>
          <w:color w:val="000000" w:themeColor="text1"/>
          <w:sz w:val="20"/>
          <w:szCs w:val="20"/>
          <w:lang w:val="fr-CH"/>
        </w:rPr>
        <w:t>“</w:t>
      </w:r>
      <w:r w:rsidR="00756041" w:rsidRPr="00B66D2B">
        <w:rPr>
          <w:color w:val="000000" w:themeColor="text1"/>
          <w:sz w:val="20"/>
          <w:szCs w:val="20"/>
          <w:lang w:val="fr-CH"/>
        </w:rPr>
        <w:t>Coup de Pousse” Chaîne de l</w:t>
      </w:r>
      <w:r w:rsidR="00D72627">
        <w:rPr>
          <w:color w:val="000000" w:themeColor="text1"/>
          <w:sz w:val="20"/>
          <w:szCs w:val="20"/>
          <w:lang w:val="fr-CH"/>
        </w:rPr>
        <w:t>’</w:t>
      </w:r>
      <w:r w:rsidR="00756041" w:rsidRPr="00B66D2B">
        <w:rPr>
          <w:color w:val="000000" w:themeColor="text1"/>
          <w:sz w:val="20"/>
          <w:szCs w:val="20"/>
          <w:lang w:val="fr-CH"/>
        </w:rPr>
        <w:t>Espoir Nord-Sud ( C.D.P-C.E.N.S); East and Horn of Africa Human Rights Defenders Project</w:t>
      </w:r>
      <w:r w:rsidR="007B1949" w:rsidRPr="00B66D2B">
        <w:rPr>
          <w:color w:val="000000" w:themeColor="text1"/>
          <w:sz w:val="20"/>
          <w:szCs w:val="20"/>
          <w:lang w:val="fr-CH"/>
        </w:rPr>
        <w:t xml:space="preserve">; </w:t>
      </w:r>
      <w:r w:rsidR="00756041" w:rsidRPr="00B66D2B">
        <w:rPr>
          <w:color w:val="000000" w:themeColor="text1"/>
          <w:sz w:val="20"/>
          <w:szCs w:val="20"/>
          <w:lang w:val="fr-CH"/>
        </w:rPr>
        <w:t>Edmund Rice International Limited</w:t>
      </w:r>
      <w:r w:rsidR="007B1949" w:rsidRPr="00B66D2B">
        <w:rPr>
          <w:color w:val="000000" w:themeColor="text1"/>
          <w:sz w:val="20"/>
          <w:szCs w:val="20"/>
          <w:lang w:val="fr-CH"/>
        </w:rPr>
        <w:t xml:space="preserve">; </w:t>
      </w:r>
      <w:r w:rsidR="00756041" w:rsidRPr="00B66D2B">
        <w:rPr>
          <w:color w:val="000000" w:themeColor="text1"/>
          <w:sz w:val="20"/>
          <w:szCs w:val="20"/>
          <w:lang w:val="fr-CH"/>
        </w:rPr>
        <w:t>Ensemble contre la Peine de Mort</w:t>
      </w:r>
      <w:r w:rsidR="007B1949" w:rsidRPr="00B66D2B">
        <w:rPr>
          <w:color w:val="000000" w:themeColor="text1"/>
          <w:sz w:val="20"/>
          <w:szCs w:val="20"/>
          <w:lang w:val="fr-CH"/>
        </w:rPr>
        <w:t xml:space="preserve">; </w:t>
      </w:r>
      <w:r w:rsidR="00756041" w:rsidRPr="00B66D2B">
        <w:rPr>
          <w:color w:val="000000" w:themeColor="text1"/>
          <w:sz w:val="20"/>
          <w:szCs w:val="20"/>
          <w:lang w:val="fr-CH"/>
        </w:rPr>
        <w:t>Ertegha Keyfiat Zendegi Iranian Charitable Institute</w:t>
      </w:r>
      <w:r w:rsidR="007B1949" w:rsidRPr="00B66D2B">
        <w:rPr>
          <w:color w:val="000000" w:themeColor="text1"/>
          <w:sz w:val="20"/>
          <w:szCs w:val="20"/>
          <w:lang w:val="fr-CH"/>
        </w:rPr>
        <w:t xml:space="preserve">; </w:t>
      </w:r>
      <w:r w:rsidR="00756041" w:rsidRPr="00B66D2B">
        <w:rPr>
          <w:color w:val="000000" w:themeColor="text1"/>
          <w:sz w:val="20"/>
          <w:szCs w:val="20"/>
          <w:lang w:val="fr-CH"/>
        </w:rPr>
        <w:t>European Centre for Law and Justice, The / Centre Europeen pour le droit, les Justice et les droits de l</w:t>
      </w:r>
      <w:r w:rsidR="00D72627">
        <w:rPr>
          <w:color w:val="000000" w:themeColor="text1"/>
          <w:sz w:val="20"/>
          <w:szCs w:val="20"/>
          <w:lang w:val="fr-CH"/>
        </w:rPr>
        <w:t>’</w:t>
      </w:r>
      <w:r w:rsidR="00756041" w:rsidRPr="00B66D2B">
        <w:rPr>
          <w:color w:val="000000" w:themeColor="text1"/>
          <w:sz w:val="20"/>
          <w:szCs w:val="20"/>
          <w:lang w:val="fr-CH"/>
        </w:rPr>
        <w:t>homme</w:t>
      </w:r>
      <w:r w:rsidR="007B1949" w:rsidRPr="00B66D2B">
        <w:rPr>
          <w:color w:val="000000" w:themeColor="text1"/>
          <w:sz w:val="20"/>
          <w:szCs w:val="20"/>
          <w:lang w:val="fr-CH"/>
        </w:rPr>
        <w:t xml:space="preserve">; </w:t>
      </w:r>
      <w:r w:rsidR="00756041" w:rsidRPr="00B66D2B">
        <w:rPr>
          <w:color w:val="000000" w:themeColor="text1"/>
          <w:sz w:val="20"/>
          <w:szCs w:val="20"/>
          <w:lang w:val="fr-CH"/>
        </w:rPr>
        <w:t>European Humanist Federation</w:t>
      </w:r>
      <w:r w:rsidR="007B1949" w:rsidRPr="00B66D2B">
        <w:rPr>
          <w:color w:val="000000" w:themeColor="text1"/>
          <w:sz w:val="20"/>
          <w:szCs w:val="20"/>
          <w:lang w:val="fr-CH"/>
        </w:rPr>
        <w:t xml:space="preserve">; </w:t>
      </w:r>
      <w:r w:rsidR="00756041" w:rsidRPr="00B66D2B">
        <w:rPr>
          <w:color w:val="000000" w:themeColor="text1"/>
          <w:sz w:val="20"/>
          <w:szCs w:val="20"/>
          <w:lang w:val="fr-CH"/>
        </w:rPr>
        <w:t>European Union of Public Relations</w:t>
      </w:r>
      <w:r w:rsidR="007B1949" w:rsidRPr="00B66D2B">
        <w:rPr>
          <w:color w:val="000000" w:themeColor="text1"/>
          <w:sz w:val="20"/>
          <w:szCs w:val="20"/>
          <w:lang w:val="fr-CH"/>
        </w:rPr>
        <w:t xml:space="preserve">; </w:t>
      </w:r>
      <w:r w:rsidR="00756041" w:rsidRPr="00B66D2B">
        <w:rPr>
          <w:color w:val="000000" w:themeColor="text1"/>
          <w:sz w:val="20"/>
          <w:szCs w:val="20"/>
          <w:lang w:val="fr-CH"/>
        </w:rPr>
        <w:t>Family Health Association of Iran (also on behalf of Child Foundation)</w:t>
      </w:r>
      <w:r w:rsidR="007B1949" w:rsidRPr="00B66D2B">
        <w:rPr>
          <w:color w:val="000000" w:themeColor="text1"/>
          <w:sz w:val="20"/>
          <w:szCs w:val="20"/>
          <w:lang w:val="fr-CH"/>
        </w:rPr>
        <w:t xml:space="preserve">; </w:t>
      </w:r>
      <w:r w:rsidR="00756041" w:rsidRPr="00B66D2B">
        <w:rPr>
          <w:color w:val="000000" w:themeColor="text1"/>
          <w:sz w:val="20"/>
          <w:szCs w:val="20"/>
          <w:lang w:val="fr-CH"/>
        </w:rPr>
        <w:t>France Libertes: Fondation Danielle Mitterrand</w:t>
      </w:r>
      <w:r w:rsidR="007B1949" w:rsidRPr="00B66D2B">
        <w:rPr>
          <w:color w:val="000000" w:themeColor="text1"/>
          <w:sz w:val="20"/>
          <w:szCs w:val="20"/>
          <w:lang w:val="fr-CH"/>
        </w:rPr>
        <w:t xml:space="preserve">; </w:t>
      </w:r>
      <w:r w:rsidR="00756041" w:rsidRPr="00B66D2B">
        <w:rPr>
          <w:color w:val="000000" w:themeColor="text1"/>
          <w:sz w:val="20"/>
          <w:szCs w:val="20"/>
          <w:lang w:val="fr-CH"/>
        </w:rPr>
        <w:t>Franciscans International (also on behalf of VIVAT International)</w:t>
      </w:r>
      <w:r w:rsidR="007B1949" w:rsidRPr="00B66D2B">
        <w:rPr>
          <w:color w:val="000000" w:themeColor="text1"/>
          <w:sz w:val="20"/>
          <w:szCs w:val="20"/>
          <w:lang w:val="fr-CH"/>
        </w:rPr>
        <w:t xml:space="preserve">; </w:t>
      </w:r>
      <w:r w:rsidR="00756041" w:rsidRPr="00B66D2B">
        <w:rPr>
          <w:color w:val="000000" w:themeColor="text1"/>
          <w:sz w:val="20"/>
          <w:szCs w:val="20"/>
          <w:lang w:val="fr-CH"/>
        </w:rPr>
        <w:t>GAHT-US Corporation</w:t>
      </w:r>
      <w:r w:rsidR="007B1949" w:rsidRPr="00B66D2B">
        <w:rPr>
          <w:color w:val="000000" w:themeColor="text1"/>
          <w:sz w:val="20"/>
          <w:szCs w:val="20"/>
          <w:lang w:val="fr-CH"/>
        </w:rPr>
        <w:t xml:space="preserve">; </w:t>
      </w:r>
      <w:r w:rsidR="00756041" w:rsidRPr="00B66D2B">
        <w:rPr>
          <w:color w:val="000000" w:themeColor="text1"/>
          <w:sz w:val="20"/>
          <w:szCs w:val="20"/>
          <w:lang w:val="fr-CH"/>
        </w:rPr>
        <w:t>Genève pour les droits de l</w:t>
      </w:r>
      <w:r w:rsidR="00D72627">
        <w:rPr>
          <w:color w:val="000000" w:themeColor="text1"/>
          <w:sz w:val="20"/>
          <w:szCs w:val="20"/>
          <w:lang w:val="fr-CH"/>
        </w:rPr>
        <w:t>’</w:t>
      </w:r>
      <w:r w:rsidR="00756041" w:rsidRPr="00B66D2B">
        <w:rPr>
          <w:color w:val="000000" w:themeColor="text1"/>
          <w:sz w:val="20"/>
          <w:szCs w:val="20"/>
          <w:lang w:val="fr-CH"/>
        </w:rPr>
        <w:t xml:space="preserve">homme: formation </w:t>
      </w:r>
      <w:r w:rsidR="007B1949" w:rsidRPr="00B66D2B">
        <w:rPr>
          <w:color w:val="000000" w:themeColor="text1"/>
          <w:sz w:val="20"/>
          <w:szCs w:val="20"/>
          <w:lang w:val="fr-CH"/>
        </w:rPr>
        <w:t>intern</w:t>
      </w:r>
      <w:r w:rsidR="007B1949" w:rsidRPr="00120FEE">
        <w:rPr>
          <w:color w:val="000000" w:themeColor="text1"/>
          <w:sz w:val="20"/>
          <w:szCs w:val="20"/>
          <w:lang w:val="fr-CH"/>
        </w:rPr>
        <w:t xml:space="preserve">ational; </w:t>
      </w:r>
      <w:r w:rsidR="00756041" w:rsidRPr="00120FEE">
        <w:rPr>
          <w:color w:val="000000" w:themeColor="text1"/>
          <w:sz w:val="20"/>
          <w:szCs w:val="20"/>
          <w:lang w:val="fr-CH"/>
        </w:rPr>
        <w:t xml:space="preserve">Godwin Osung International Foundation, Inc. </w:t>
      </w:r>
      <w:r w:rsidR="00756041" w:rsidRPr="00756041">
        <w:rPr>
          <w:color w:val="000000" w:themeColor="text1"/>
          <w:sz w:val="20"/>
          <w:szCs w:val="20"/>
        </w:rPr>
        <w:t>(The African Project)</w:t>
      </w:r>
      <w:r w:rsidR="007B1949">
        <w:rPr>
          <w:color w:val="000000" w:themeColor="text1"/>
          <w:sz w:val="20"/>
          <w:szCs w:val="20"/>
        </w:rPr>
        <w:t xml:space="preserve">; </w:t>
      </w:r>
      <w:r w:rsidR="00756041" w:rsidRPr="00756041">
        <w:rPr>
          <w:color w:val="000000" w:themeColor="text1"/>
          <w:sz w:val="20"/>
          <w:szCs w:val="20"/>
        </w:rPr>
        <w:t>Helsinki Foundation for Human Rights</w:t>
      </w:r>
      <w:r w:rsidR="007B1949">
        <w:rPr>
          <w:color w:val="000000" w:themeColor="text1"/>
          <w:sz w:val="20"/>
          <w:szCs w:val="20"/>
        </w:rPr>
        <w:t xml:space="preserve">; </w:t>
      </w:r>
      <w:r w:rsidR="00756041" w:rsidRPr="00756041">
        <w:rPr>
          <w:color w:val="000000" w:themeColor="text1"/>
          <w:sz w:val="20"/>
          <w:szCs w:val="20"/>
        </w:rPr>
        <w:t>Human Rights Watch</w:t>
      </w:r>
      <w:r w:rsidR="007B1949">
        <w:rPr>
          <w:color w:val="000000" w:themeColor="text1"/>
          <w:sz w:val="20"/>
          <w:szCs w:val="20"/>
        </w:rPr>
        <w:t xml:space="preserve">; </w:t>
      </w:r>
      <w:r w:rsidR="00756041" w:rsidRPr="00756041">
        <w:rPr>
          <w:color w:val="000000" w:themeColor="text1"/>
          <w:sz w:val="20"/>
          <w:szCs w:val="20"/>
        </w:rPr>
        <w:t>Il Cenacolo</w:t>
      </w:r>
      <w:r w:rsidR="007B1949">
        <w:rPr>
          <w:color w:val="000000" w:themeColor="text1"/>
          <w:sz w:val="20"/>
          <w:szCs w:val="20"/>
        </w:rPr>
        <w:t xml:space="preserve">; </w:t>
      </w:r>
      <w:r w:rsidR="00756041" w:rsidRPr="00756041">
        <w:rPr>
          <w:color w:val="000000" w:themeColor="text1"/>
          <w:sz w:val="20"/>
          <w:szCs w:val="20"/>
        </w:rPr>
        <w:t>Imam Ali</w:t>
      </w:r>
      <w:r w:rsidR="00D72627">
        <w:rPr>
          <w:color w:val="000000" w:themeColor="text1"/>
          <w:sz w:val="20"/>
          <w:szCs w:val="20"/>
        </w:rPr>
        <w:t>’</w:t>
      </w:r>
      <w:r w:rsidR="00756041" w:rsidRPr="00756041">
        <w:rPr>
          <w:color w:val="000000" w:themeColor="text1"/>
          <w:sz w:val="20"/>
          <w:szCs w:val="20"/>
        </w:rPr>
        <w:t>s Popular Students Relief Society</w:t>
      </w:r>
      <w:r w:rsidR="007B1949">
        <w:rPr>
          <w:color w:val="000000" w:themeColor="text1"/>
          <w:sz w:val="20"/>
          <w:szCs w:val="20"/>
        </w:rPr>
        <w:t xml:space="preserve">; </w:t>
      </w:r>
      <w:r w:rsidR="00756041" w:rsidRPr="00756041">
        <w:rPr>
          <w:color w:val="000000" w:themeColor="text1"/>
          <w:sz w:val="20"/>
          <w:szCs w:val="20"/>
        </w:rPr>
        <w:t>Indian Council of Education</w:t>
      </w:r>
      <w:r w:rsidR="007B1949">
        <w:rPr>
          <w:color w:val="000000" w:themeColor="text1"/>
          <w:sz w:val="20"/>
          <w:szCs w:val="20"/>
        </w:rPr>
        <w:t xml:space="preserve">; </w:t>
      </w:r>
      <w:r w:rsidR="00756041" w:rsidRPr="00756041">
        <w:rPr>
          <w:color w:val="000000" w:themeColor="text1"/>
          <w:sz w:val="20"/>
          <w:szCs w:val="20"/>
        </w:rPr>
        <w:t xml:space="preserve">Indian Movement </w:t>
      </w:r>
      <w:r w:rsidR="00756041">
        <w:rPr>
          <w:color w:val="000000" w:themeColor="text1"/>
          <w:sz w:val="20"/>
          <w:szCs w:val="20"/>
        </w:rPr>
        <w:t>“Tupaj Amaru”</w:t>
      </w:r>
      <w:r w:rsidR="007B1949">
        <w:rPr>
          <w:color w:val="000000" w:themeColor="text1"/>
          <w:sz w:val="20"/>
          <w:szCs w:val="20"/>
        </w:rPr>
        <w:t xml:space="preserve">; </w:t>
      </w:r>
      <w:r w:rsidR="00756041" w:rsidRPr="00756041">
        <w:rPr>
          <w:color w:val="000000" w:themeColor="text1"/>
          <w:sz w:val="20"/>
          <w:szCs w:val="20"/>
        </w:rPr>
        <w:t>Indigenous People of Africa Coordinating Committee</w:t>
      </w:r>
      <w:r w:rsidR="007B1949">
        <w:rPr>
          <w:color w:val="000000" w:themeColor="text1"/>
          <w:sz w:val="20"/>
          <w:szCs w:val="20"/>
        </w:rPr>
        <w:t xml:space="preserve">; </w:t>
      </w:r>
      <w:r w:rsidR="00756041" w:rsidRPr="00756041">
        <w:rPr>
          <w:color w:val="000000" w:themeColor="text1"/>
          <w:sz w:val="20"/>
          <w:szCs w:val="20"/>
        </w:rPr>
        <w:t>Ingenieurs du Monde</w:t>
      </w:r>
      <w:r w:rsidR="007B1949">
        <w:rPr>
          <w:color w:val="000000" w:themeColor="text1"/>
          <w:sz w:val="20"/>
          <w:szCs w:val="20"/>
        </w:rPr>
        <w:t xml:space="preserve">; </w:t>
      </w:r>
      <w:r w:rsidR="00756041" w:rsidRPr="00756041">
        <w:rPr>
          <w:color w:val="000000" w:themeColor="text1"/>
          <w:sz w:val="20"/>
          <w:szCs w:val="20"/>
        </w:rPr>
        <w:t>Institut International pour les Droits et le Développement</w:t>
      </w:r>
      <w:r w:rsidR="007B1949">
        <w:rPr>
          <w:color w:val="000000" w:themeColor="text1"/>
          <w:sz w:val="20"/>
          <w:szCs w:val="20"/>
        </w:rPr>
        <w:t xml:space="preserve">; </w:t>
      </w:r>
      <w:r w:rsidR="00756041" w:rsidRPr="00756041">
        <w:rPr>
          <w:color w:val="000000" w:themeColor="text1"/>
          <w:sz w:val="20"/>
          <w:szCs w:val="20"/>
        </w:rPr>
        <w:t>International Association for Democracy in Africa</w:t>
      </w:r>
      <w:r w:rsidR="007B1949">
        <w:rPr>
          <w:color w:val="000000" w:themeColor="text1"/>
          <w:sz w:val="20"/>
          <w:szCs w:val="20"/>
        </w:rPr>
        <w:t xml:space="preserve">; </w:t>
      </w:r>
      <w:r w:rsidR="00756041" w:rsidRPr="00756041">
        <w:rPr>
          <w:color w:val="000000" w:themeColor="text1"/>
          <w:sz w:val="20"/>
          <w:szCs w:val="20"/>
        </w:rPr>
        <w:t>International Association of Democratic Lawyers (IADL)</w:t>
      </w:r>
      <w:r w:rsidR="007B1949">
        <w:rPr>
          <w:color w:val="000000" w:themeColor="text1"/>
          <w:sz w:val="20"/>
          <w:szCs w:val="20"/>
        </w:rPr>
        <w:t xml:space="preserve">; </w:t>
      </w:r>
      <w:r w:rsidR="00756041" w:rsidRPr="00756041">
        <w:rPr>
          <w:color w:val="000000" w:themeColor="text1"/>
          <w:sz w:val="20"/>
          <w:szCs w:val="20"/>
        </w:rPr>
        <w:t>International Career Support Association</w:t>
      </w:r>
      <w:r w:rsidR="007B1949">
        <w:rPr>
          <w:color w:val="000000" w:themeColor="text1"/>
          <w:sz w:val="20"/>
          <w:szCs w:val="20"/>
        </w:rPr>
        <w:t xml:space="preserve">; </w:t>
      </w:r>
      <w:r w:rsidR="00756041" w:rsidRPr="00756041">
        <w:rPr>
          <w:color w:val="000000" w:themeColor="text1"/>
          <w:sz w:val="20"/>
          <w:szCs w:val="20"/>
        </w:rPr>
        <w:t>International Commission of Jurists</w:t>
      </w:r>
      <w:r w:rsidR="007B1949">
        <w:rPr>
          <w:color w:val="000000" w:themeColor="text1"/>
          <w:sz w:val="20"/>
          <w:szCs w:val="20"/>
        </w:rPr>
        <w:t xml:space="preserve">; </w:t>
      </w:r>
      <w:r w:rsidR="00756041" w:rsidRPr="00756041">
        <w:rPr>
          <w:color w:val="000000" w:themeColor="text1"/>
          <w:sz w:val="20"/>
          <w:szCs w:val="20"/>
        </w:rPr>
        <w:t>International Educational Development, Inc.</w:t>
      </w:r>
      <w:r w:rsidR="007B1949">
        <w:rPr>
          <w:color w:val="000000" w:themeColor="text1"/>
          <w:sz w:val="20"/>
          <w:szCs w:val="20"/>
        </w:rPr>
        <w:t xml:space="preserve">; </w:t>
      </w:r>
      <w:r w:rsidR="00756041" w:rsidRPr="00756041">
        <w:rPr>
          <w:color w:val="000000" w:themeColor="text1"/>
          <w:sz w:val="20"/>
          <w:szCs w:val="20"/>
        </w:rPr>
        <w:t>International Federation for Human Rights Leagues</w:t>
      </w:r>
      <w:r w:rsidR="007B1949">
        <w:rPr>
          <w:color w:val="000000" w:themeColor="text1"/>
          <w:sz w:val="20"/>
          <w:szCs w:val="20"/>
        </w:rPr>
        <w:t xml:space="preserve">; </w:t>
      </w:r>
      <w:r w:rsidR="00756041" w:rsidRPr="00756041">
        <w:rPr>
          <w:color w:val="000000" w:themeColor="text1"/>
          <w:sz w:val="20"/>
          <w:szCs w:val="20"/>
        </w:rPr>
        <w:t>International Fellowship of Reconciliation</w:t>
      </w:r>
      <w:r w:rsidR="007B1949">
        <w:rPr>
          <w:color w:val="000000" w:themeColor="text1"/>
          <w:sz w:val="20"/>
          <w:szCs w:val="20"/>
        </w:rPr>
        <w:t xml:space="preserve">; </w:t>
      </w:r>
      <w:r w:rsidR="00756041" w:rsidRPr="00756041">
        <w:rPr>
          <w:color w:val="000000" w:themeColor="text1"/>
          <w:sz w:val="20"/>
          <w:szCs w:val="20"/>
        </w:rPr>
        <w:t>International Human Rights Association of American Minorities (IHRAAM)</w:t>
      </w:r>
      <w:r w:rsidR="007B1949">
        <w:rPr>
          <w:color w:val="000000" w:themeColor="text1"/>
          <w:sz w:val="20"/>
          <w:szCs w:val="20"/>
        </w:rPr>
        <w:t xml:space="preserve">; </w:t>
      </w:r>
      <w:r w:rsidR="00756041" w:rsidRPr="00756041">
        <w:rPr>
          <w:color w:val="000000" w:themeColor="text1"/>
          <w:sz w:val="20"/>
          <w:szCs w:val="20"/>
        </w:rPr>
        <w:t>International Humanist and Ethical Union</w:t>
      </w:r>
      <w:r w:rsidR="007B1949">
        <w:rPr>
          <w:color w:val="000000" w:themeColor="text1"/>
          <w:sz w:val="20"/>
          <w:szCs w:val="20"/>
        </w:rPr>
        <w:t xml:space="preserve">; </w:t>
      </w:r>
      <w:r w:rsidR="00756041" w:rsidRPr="00756041">
        <w:rPr>
          <w:color w:val="000000" w:themeColor="text1"/>
          <w:sz w:val="20"/>
          <w:szCs w:val="20"/>
        </w:rPr>
        <w:t>International Institute for Non-Aligned Studies</w:t>
      </w:r>
      <w:r w:rsidR="007B1949">
        <w:rPr>
          <w:color w:val="000000" w:themeColor="text1"/>
          <w:sz w:val="20"/>
          <w:szCs w:val="20"/>
        </w:rPr>
        <w:t xml:space="preserve">; </w:t>
      </w:r>
      <w:r w:rsidR="00756041" w:rsidRPr="00756041">
        <w:rPr>
          <w:color w:val="000000" w:themeColor="text1"/>
          <w:sz w:val="20"/>
          <w:szCs w:val="20"/>
        </w:rPr>
        <w:t>International Muslim Women</w:t>
      </w:r>
      <w:r w:rsidR="00D72627">
        <w:rPr>
          <w:color w:val="000000" w:themeColor="text1"/>
          <w:sz w:val="20"/>
          <w:szCs w:val="20"/>
        </w:rPr>
        <w:t>’</w:t>
      </w:r>
      <w:r w:rsidR="00756041" w:rsidRPr="00756041">
        <w:rPr>
          <w:color w:val="000000" w:themeColor="text1"/>
          <w:sz w:val="20"/>
          <w:szCs w:val="20"/>
        </w:rPr>
        <w:t>s Union</w:t>
      </w:r>
      <w:r w:rsidR="007B1949">
        <w:rPr>
          <w:color w:val="000000" w:themeColor="text1"/>
          <w:sz w:val="20"/>
          <w:szCs w:val="20"/>
        </w:rPr>
        <w:t xml:space="preserve">; </w:t>
      </w:r>
      <w:r w:rsidR="00756041" w:rsidRPr="00756041">
        <w:rPr>
          <w:color w:val="000000" w:themeColor="text1"/>
          <w:sz w:val="20"/>
          <w:szCs w:val="20"/>
        </w:rPr>
        <w:t>International Organization for the Elimination of All Forms of Racial Discrimination</w:t>
      </w:r>
      <w:r w:rsidR="007B1949">
        <w:rPr>
          <w:color w:val="000000" w:themeColor="text1"/>
          <w:sz w:val="20"/>
          <w:szCs w:val="20"/>
        </w:rPr>
        <w:t xml:space="preserve">; </w:t>
      </w:r>
      <w:r w:rsidR="00756041" w:rsidRPr="00756041">
        <w:rPr>
          <w:color w:val="000000" w:themeColor="text1"/>
          <w:sz w:val="20"/>
          <w:szCs w:val="20"/>
        </w:rPr>
        <w:t>International Service for Human Rights</w:t>
      </w:r>
      <w:r w:rsidR="007B1949">
        <w:rPr>
          <w:color w:val="000000" w:themeColor="text1"/>
          <w:sz w:val="20"/>
          <w:szCs w:val="20"/>
        </w:rPr>
        <w:t xml:space="preserve">; </w:t>
      </w:r>
      <w:r w:rsidR="00756041" w:rsidRPr="00756041">
        <w:rPr>
          <w:color w:val="000000" w:themeColor="text1"/>
          <w:sz w:val="20"/>
          <w:szCs w:val="20"/>
        </w:rPr>
        <w:t>International Youth and Student Movement for the United Nations</w:t>
      </w:r>
      <w:r w:rsidR="007B1949">
        <w:rPr>
          <w:color w:val="000000" w:themeColor="text1"/>
          <w:sz w:val="20"/>
          <w:szCs w:val="20"/>
        </w:rPr>
        <w:t xml:space="preserve">; </w:t>
      </w:r>
      <w:r w:rsidR="00756041" w:rsidRPr="00756041">
        <w:rPr>
          <w:color w:val="000000" w:themeColor="text1"/>
          <w:sz w:val="20"/>
          <w:szCs w:val="20"/>
        </w:rPr>
        <w:t>International-Lawyers.Org</w:t>
      </w:r>
      <w:r w:rsidR="007B1949">
        <w:rPr>
          <w:color w:val="000000" w:themeColor="text1"/>
          <w:sz w:val="20"/>
          <w:szCs w:val="20"/>
        </w:rPr>
        <w:t xml:space="preserve">; </w:t>
      </w:r>
      <w:r w:rsidR="00756041" w:rsidRPr="00756041">
        <w:rPr>
          <w:color w:val="000000" w:themeColor="text1"/>
          <w:sz w:val="20"/>
          <w:szCs w:val="20"/>
        </w:rPr>
        <w:t>Iran Human Rights Documentation Center</w:t>
      </w:r>
      <w:r w:rsidR="007B1949">
        <w:rPr>
          <w:color w:val="000000" w:themeColor="text1"/>
          <w:sz w:val="20"/>
          <w:szCs w:val="20"/>
        </w:rPr>
        <w:t xml:space="preserve">; </w:t>
      </w:r>
      <w:r w:rsidR="00756041" w:rsidRPr="00756041">
        <w:rPr>
          <w:color w:val="000000" w:themeColor="text1"/>
          <w:sz w:val="20"/>
          <w:szCs w:val="20"/>
        </w:rPr>
        <w:t>Iraqi Development Organization</w:t>
      </w:r>
      <w:r w:rsidR="007B1949">
        <w:rPr>
          <w:color w:val="000000" w:themeColor="text1"/>
          <w:sz w:val="20"/>
          <w:szCs w:val="20"/>
        </w:rPr>
        <w:t xml:space="preserve">; </w:t>
      </w:r>
      <w:r w:rsidR="00756041" w:rsidRPr="00756041">
        <w:rPr>
          <w:color w:val="000000" w:themeColor="text1"/>
          <w:sz w:val="20"/>
          <w:szCs w:val="20"/>
        </w:rPr>
        <w:t>iuventum e.V.</w:t>
      </w:r>
      <w:r w:rsidR="007B1949">
        <w:rPr>
          <w:color w:val="000000" w:themeColor="text1"/>
          <w:sz w:val="20"/>
          <w:szCs w:val="20"/>
        </w:rPr>
        <w:t xml:space="preserve">; </w:t>
      </w:r>
      <w:r w:rsidR="00756041" w:rsidRPr="00756041">
        <w:rPr>
          <w:color w:val="000000" w:themeColor="text1"/>
          <w:sz w:val="20"/>
          <w:szCs w:val="20"/>
        </w:rPr>
        <w:t>Japanese Workers</w:t>
      </w:r>
      <w:r w:rsidR="00D72627">
        <w:rPr>
          <w:color w:val="000000" w:themeColor="text1"/>
          <w:sz w:val="20"/>
          <w:szCs w:val="20"/>
        </w:rPr>
        <w:t>’</w:t>
      </w:r>
      <w:r w:rsidR="00756041" w:rsidRPr="00756041">
        <w:rPr>
          <w:color w:val="000000" w:themeColor="text1"/>
          <w:sz w:val="20"/>
          <w:szCs w:val="20"/>
        </w:rPr>
        <w:t xml:space="preserve"> Committee for Human Rights</w:t>
      </w:r>
      <w:r w:rsidR="007B1949">
        <w:rPr>
          <w:color w:val="000000" w:themeColor="text1"/>
          <w:sz w:val="20"/>
          <w:szCs w:val="20"/>
        </w:rPr>
        <w:t xml:space="preserve">; </w:t>
      </w:r>
      <w:r w:rsidR="00756041" w:rsidRPr="00756041">
        <w:rPr>
          <w:color w:val="000000" w:themeColor="text1"/>
          <w:sz w:val="20"/>
          <w:szCs w:val="20"/>
        </w:rPr>
        <w:t xml:space="preserve">Khiam Rehabilitation </w:t>
      </w:r>
      <w:r w:rsidR="00756041" w:rsidRPr="00756041">
        <w:rPr>
          <w:color w:val="000000" w:themeColor="text1"/>
          <w:sz w:val="20"/>
          <w:szCs w:val="20"/>
        </w:rPr>
        <w:lastRenderedPageBreak/>
        <w:t>Center for Victims of Torture</w:t>
      </w:r>
      <w:r w:rsidR="007B1949">
        <w:rPr>
          <w:color w:val="000000" w:themeColor="text1"/>
          <w:sz w:val="20"/>
          <w:szCs w:val="20"/>
        </w:rPr>
        <w:t xml:space="preserve">; </w:t>
      </w:r>
      <w:r w:rsidR="00756041" w:rsidRPr="00756041">
        <w:rPr>
          <w:color w:val="000000" w:themeColor="text1"/>
          <w:sz w:val="20"/>
          <w:szCs w:val="20"/>
        </w:rPr>
        <w:t>Lawyers</w:t>
      </w:r>
      <w:r w:rsidR="00D72627">
        <w:rPr>
          <w:color w:val="000000" w:themeColor="text1"/>
          <w:sz w:val="20"/>
          <w:szCs w:val="20"/>
        </w:rPr>
        <w:t>’</w:t>
      </w:r>
      <w:r w:rsidR="00756041" w:rsidRPr="00756041">
        <w:rPr>
          <w:color w:val="000000" w:themeColor="text1"/>
          <w:sz w:val="20"/>
          <w:szCs w:val="20"/>
        </w:rPr>
        <w:t xml:space="preserve"> Rights Watch Canada</w:t>
      </w:r>
      <w:r w:rsidR="007B1949">
        <w:rPr>
          <w:color w:val="000000" w:themeColor="text1"/>
          <w:sz w:val="20"/>
          <w:szCs w:val="20"/>
        </w:rPr>
        <w:t xml:space="preserve">; </w:t>
      </w:r>
      <w:r w:rsidR="00756041" w:rsidRPr="00756041">
        <w:rPr>
          <w:color w:val="000000" w:themeColor="text1"/>
          <w:sz w:val="20"/>
          <w:szCs w:val="20"/>
        </w:rPr>
        <w:t>Le Pont</w:t>
      </w:r>
      <w:r w:rsidR="007B1949">
        <w:rPr>
          <w:color w:val="000000" w:themeColor="text1"/>
          <w:sz w:val="20"/>
          <w:szCs w:val="20"/>
        </w:rPr>
        <w:t xml:space="preserve">; </w:t>
      </w:r>
      <w:r w:rsidR="00756041" w:rsidRPr="00756041">
        <w:rPr>
          <w:color w:val="000000" w:themeColor="text1"/>
          <w:sz w:val="20"/>
          <w:szCs w:val="20"/>
        </w:rPr>
        <w:t>Liberation</w:t>
      </w:r>
      <w:r w:rsidR="007B1949">
        <w:rPr>
          <w:color w:val="000000" w:themeColor="text1"/>
          <w:sz w:val="20"/>
          <w:szCs w:val="20"/>
        </w:rPr>
        <w:t xml:space="preserve">; </w:t>
      </w:r>
      <w:r w:rsidR="00756041" w:rsidRPr="00756041">
        <w:rPr>
          <w:color w:val="000000" w:themeColor="text1"/>
          <w:sz w:val="20"/>
          <w:szCs w:val="20"/>
        </w:rPr>
        <w:t>L</w:t>
      </w:r>
      <w:r w:rsidR="00D72627">
        <w:rPr>
          <w:color w:val="000000" w:themeColor="text1"/>
          <w:sz w:val="20"/>
          <w:szCs w:val="20"/>
        </w:rPr>
        <w:t>’</w:t>
      </w:r>
      <w:r w:rsidR="00756041" w:rsidRPr="00756041">
        <w:rPr>
          <w:color w:val="000000" w:themeColor="text1"/>
          <w:sz w:val="20"/>
          <w:szCs w:val="20"/>
        </w:rPr>
        <w:t>observatoire mauritanien des droits de l</w:t>
      </w:r>
      <w:r w:rsidR="00D72627">
        <w:rPr>
          <w:color w:val="000000" w:themeColor="text1"/>
          <w:sz w:val="20"/>
          <w:szCs w:val="20"/>
        </w:rPr>
        <w:t>’</w:t>
      </w:r>
      <w:r w:rsidR="00756041" w:rsidRPr="00756041">
        <w:rPr>
          <w:color w:val="000000" w:themeColor="text1"/>
          <w:sz w:val="20"/>
          <w:szCs w:val="20"/>
        </w:rPr>
        <w:t>homme et de la démocratie</w:t>
      </w:r>
      <w:r w:rsidR="007B1949">
        <w:rPr>
          <w:color w:val="000000" w:themeColor="text1"/>
          <w:sz w:val="20"/>
          <w:szCs w:val="20"/>
        </w:rPr>
        <w:t xml:space="preserve">; </w:t>
      </w:r>
      <w:r w:rsidR="00756041" w:rsidRPr="00756041">
        <w:rPr>
          <w:color w:val="000000" w:themeColor="text1"/>
          <w:sz w:val="20"/>
          <w:szCs w:val="20"/>
        </w:rPr>
        <w:t>Maarij Foundation for Peace and Development</w:t>
      </w:r>
      <w:r w:rsidR="007B1949">
        <w:rPr>
          <w:color w:val="000000" w:themeColor="text1"/>
          <w:sz w:val="20"/>
          <w:szCs w:val="20"/>
        </w:rPr>
        <w:t xml:space="preserve">; </w:t>
      </w:r>
      <w:r w:rsidR="00756041" w:rsidRPr="00756041">
        <w:rPr>
          <w:color w:val="000000" w:themeColor="text1"/>
          <w:sz w:val="20"/>
          <w:szCs w:val="20"/>
        </w:rPr>
        <w:t>Mbororo Social and Cultural Development Association</w:t>
      </w:r>
      <w:r w:rsidR="007B1949">
        <w:rPr>
          <w:color w:val="000000" w:themeColor="text1"/>
          <w:sz w:val="20"/>
          <w:szCs w:val="20"/>
        </w:rPr>
        <w:t xml:space="preserve">; </w:t>
      </w:r>
      <w:r w:rsidR="00756041" w:rsidRPr="00756041">
        <w:rPr>
          <w:color w:val="000000" w:themeColor="text1"/>
          <w:sz w:val="20"/>
          <w:szCs w:val="20"/>
        </w:rPr>
        <w:t>Minority Rights Group</w:t>
      </w:r>
      <w:r w:rsidR="007B1949">
        <w:rPr>
          <w:color w:val="000000" w:themeColor="text1"/>
          <w:sz w:val="20"/>
          <w:szCs w:val="20"/>
        </w:rPr>
        <w:t xml:space="preserve">; </w:t>
      </w:r>
      <w:r w:rsidR="00756041" w:rsidRPr="00756041">
        <w:rPr>
          <w:color w:val="000000" w:themeColor="text1"/>
          <w:sz w:val="20"/>
          <w:szCs w:val="20"/>
        </w:rPr>
        <w:t>Mouvement contre le racisme et pour l</w:t>
      </w:r>
      <w:r w:rsidR="00D72627">
        <w:rPr>
          <w:color w:val="000000" w:themeColor="text1"/>
          <w:sz w:val="20"/>
          <w:szCs w:val="20"/>
        </w:rPr>
        <w:t>’</w:t>
      </w:r>
      <w:r w:rsidR="00756041" w:rsidRPr="00756041">
        <w:rPr>
          <w:color w:val="000000" w:themeColor="text1"/>
          <w:sz w:val="20"/>
          <w:szCs w:val="20"/>
        </w:rPr>
        <w:t xml:space="preserve">amitié entre les </w:t>
      </w:r>
      <w:r w:rsidR="007B1949">
        <w:rPr>
          <w:color w:val="000000" w:themeColor="text1"/>
          <w:sz w:val="20"/>
          <w:szCs w:val="20"/>
        </w:rPr>
        <w:t xml:space="preserve">peoples; </w:t>
      </w:r>
      <w:r w:rsidR="00756041" w:rsidRPr="00756041">
        <w:rPr>
          <w:color w:val="000000" w:themeColor="text1"/>
          <w:sz w:val="20"/>
          <w:szCs w:val="20"/>
        </w:rPr>
        <w:t>National Association of Cuban Economists</w:t>
      </w:r>
      <w:r w:rsidR="007B1949">
        <w:rPr>
          <w:color w:val="000000" w:themeColor="text1"/>
          <w:sz w:val="20"/>
          <w:szCs w:val="20"/>
        </w:rPr>
        <w:t xml:space="preserve">; </w:t>
      </w:r>
      <w:r w:rsidR="00756041" w:rsidRPr="00756041">
        <w:rPr>
          <w:color w:val="000000" w:themeColor="text1"/>
          <w:sz w:val="20"/>
          <w:szCs w:val="20"/>
        </w:rPr>
        <w:t>National Union of Jurists of Cuba, The</w:t>
      </w:r>
      <w:r w:rsidR="007B1949">
        <w:rPr>
          <w:color w:val="000000" w:themeColor="text1"/>
          <w:sz w:val="20"/>
          <w:szCs w:val="20"/>
        </w:rPr>
        <w:t xml:space="preserve">; </w:t>
      </w:r>
      <w:r w:rsidR="00756041" w:rsidRPr="00756041">
        <w:rPr>
          <w:color w:val="000000" w:themeColor="text1"/>
          <w:sz w:val="20"/>
          <w:szCs w:val="20"/>
        </w:rPr>
        <w:t>Network of Women</w:t>
      </w:r>
      <w:r w:rsidR="00D72627">
        <w:rPr>
          <w:color w:val="000000" w:themeColor="text1"/>
          <w:sz w:val="20"/>
          <w:szCs w:val="20"/>
        </w:rPr>
        <w:t>’</w:t>
      </w:r>
      <w:r w:rsidR="00756041" w:rsidRPr="00756041">
        <w:rPr>
          <w:color w:val="000000" w:themeColor="text1"/>
          <w:sz w:val="20"/>
          <w:szCs w:val="20"/>
        </w:rPr>
        <w:t>s Non-governmental Organizations in the Islamic Republic of Iran</w:t>
      </w:r>
      <w:r w:rsidR="007B1949">
        <w:rPr>
          <w:color w:val="000000" w:themeColor="text1"/>
          <w:sz w:val="20"/>
          <w:szCs w:val="20"/>
        </w:rPr>
        <w:t xml:space="preserve">; </w:t>
      </w:r>
      <w:r w:rsidR="00756041" w:rsidRPr="00756041">
        <w:rPr>
          <w:color w:val="000000" w:themeColor="text1"/>
          <w:sz w:val="20"/>
          <w:szCs w:val="20"/>
        </w:rPr>
        <w:t>Organisation pour la Communication en Afrique et de Promotion de la Cooperation Economique Internationale - OCAPROCE Internationale</w:t>
      </w:r>
      <w:r w:rsidR="007B1949">
        <w:rPr>
          <w:color w:val="000000" w:themeColor="text1"/>
          <w:sz w:val="20"/>
          <w:szCs w:val="20"/>
        </w:rPr>
        <w:t xml:space="preserve">; </w:t>
      </w:r>
      <w:r w:rsidR="00756041" w:rsidRPr="00756041">
        <w:rPr>
          <w:color w:val="000000" w:themeColor="text1"/>
          <w:sz w:val="20"/>
          <w:szCs w:val="20"/>
        </w:rPr>
        <w:t>Organization for Defending Victims of Violence</w:t>
      </w:r>
      <w:r w:rsidR="007B1949">
        <w:rPr>
          <w:color w:val="000000" w:themeColor="text1"/>
          <w:sz w:val="20"/>
          <w:szCs w:val="20"/>
        </w:rPr>
        <w:t xml:space="preserve">; </w:t>
      </w:r>
      <w:r w:rsidR="00756041" w:rsidRPr="00756041">
        <w:rPr>
          <w:color w:val="000000" w:themeColor="text1"/>
          <w:sz w:val="20"/>
          <w:szCs w:val="20"/>
        </w:rPr>
        <w:t>Pan African Union for Science and Technology</w:t>
      </w:r>
      <w:r w:rsidR="007B1949">
        <w:rPr>
          <w:color w:val="000000" w:themeColor="text1"/>
          <w:sz w:val="20"/>
          <w:szCs w:val="20"/>
        </w:rPr>
        <w:t xml:space="preserve">; </w:t>
      </w:r>
      <w:r w:rsidR="00756041" w:rsidRPr="00756041">
        <w:rPr>
          <w:color w:val="000000" w:themeColor="text1"/>
          <w:sz w:val="20"/>
          <w:szCs w:val="20"/>
        </w:rPr>
        <w:t>Pasumai Thaayagam Foundation</w:t>
      </w:r>
      <w:r w:rsidR="007B1949">
        <w:rPr>
          <w:color w:val="000000" w:themeColor="text1"/>
          <w:sz w:val="20"/>
          <w:szCs w:val="20"/>
        </w:rPr>
        <w:t xml:space="preserve">; </w:t>
      </w:r>
      <w:r w:rsidR="00756041" w:rsidRPr="00756041">
        <w:rPr>
          <w:color w:val="000000" w:themeColor="text1"/>
          <w:sz w:val="20"/>
          <w:szCs w:val="20"/>
        </w:rPr>
        <w:t>Peace Brigades International Switzerland</w:t>
      </w:r>
      <w:r w:rsidR="007B1949">
        <w:rPr>
          <w:color w:val="000000" w:themeColor="text1"/>
          <w:sz w:val="20"/>
          <w:szCs w:val="20"/>
        </w:rPr>
        <w:t xml:space="preserve">; </w:t>
      </w:r>
      <w:r w:rsidR="00756041" w:rsidRPr="00756041">
        <w:rPr>
          <w:color w:val="000000" w:themeColor="text1"/>
          <w:sz w:val="20"/>
          <w:szCs w:val="20"/>
        </w:rPr>
        <w:t>People for Successful Corean Reunification</w:t>
      </w:r>
      <w:r w:rsidR="007B1949">
        <w:rPr>
          <w:color w:val="000000" w:themeColor="text1"/>
          <w:sz w:val="20"/>
          <w:szCs w:val="20"/>
        </w:rPr>
        <w:t xml:space="preserve">; </w:t>
      </w:r>
      <w:r w:rsidR="00756041" w:rsidRPr="00756041">
        <w:rPr>
          <w:color w:val="000000" w:themeColor="text1"/>
          <w:sz w:val="20"/>
          <w:szCs w:val="20"/>
        </w:rPr>
        <w:t>Physicians for Human Rights</w:t>
      </w:r>
      <w:r w:rsidR="007B1949">
        <w:rPr>
          <w:color w:val="000000" w:themeColor="text1"/>
          <w:sz w:val="20"/>
          <w:szCs w:val="20"/>
        </w:rPr>
        <w:t xml:space="preserve">; </w:t>
      </w:r>
      <w:r w:rsidR="00756041" w:rsidRPr="00756041">
        <w:rPr>
          <w:color w:val="000000" w:themeColor="text1"/>
          <w:sz w:val="20"/>
          <w:szCs w:val="20"/>
        </w:rPr>
        <w:t>Prahar</w:t>
      </w:r>
      <w:r w:rsidR="007B1949">
        <w:rPr>
          <w:color w:val="000000" w:themeColor="text1"/>
          <w:sz w:val="20"/>
          <w:szCs w:val="20"/>
        </w:rPr>
        <w:t xml:space="preserve">; </w:t>
      </w:r>
      <w:r w:rsidR="00756041" w:rsidRPr="00756041">
        <w:rPr>
          <w:color w:val="000000" w:themeColor="text1"/>
          <w:sz w:val="20"/>
          <w:szCs w:val="20"/>
        </w:rPr>
        <w:t>Presse Embleme Campagne</w:t>
      </w:r>
      <w:r w:rsidR="007B1949">
        <w:rPr>
          <w:color w:val="000000" w:themeColor="text1"/>
          <w:sz w:val="20"/>
          <w:szCs w:val="20"/>
        </w:rPr>
        <w:t xml:space="preserve">; </w:t>
      </w:r>
      <w:r w:rsidR="00756041" w:rsidRPr="00756041">
        <w:rPr>
          <w:color w:val="000000" w:themeColor="text1"/>
          <w:sz w:val="20"/>
          <w:szCs w:val="20"/>
        </w:rPr>
        <w:t>Prevention Association of Social Harms (PASH)</w:t>
      </w:r>
      <w:r w:rsidR="007B1949">
        <w:rPr>
          <w:color w:val="000000" w:themeColor="text1"/>
          <w:sz w:val="20"/>
          <w:szCs w:val="20"/>
        </w:rPr>
        <w:t xml:space="preserve">; </w:t>
      </w:r>
      <w:r w:rsidR="00756041" w:rsidRPr="00756041">
        <w:rPr>
          <w:color w:val="000000" w:themeColor="text1"/>
          <w:sz w:val="20"/>
          <w:szCs w:val="20"/>
        </w:rPr>
        <w:t>Rencontre Africaine pour la defense des droits de l</w:t>
      </w:r>
      <w:r w:rsidR="00D72627">
        <w:rPr>
          <w:color w:val="000000" w:themeColor="text1"/>
          <w:sz w:val="20"/>
          <w:szCs w:val="20"/>
        </w:rPr>
        <w:t>’</w:t>
      </w:r>
      <w:r w:rsidR="00756041" w:rsidRPr="00756041">
        <w:rPr>
          <w:color w:val="000000" w:themeColor="text1"/>
          <w:sz w:val="20"/>
          <w:szCs w:val="20"/>
        </w:rPr>
        <w:t>homme</w:t>
      </w:r>
      <w:r w:rsidR="007B1949">
        <w:rPr>
          <w:color w:val="000000" w:themeColor="text1"/>
          <w:sz w:val="20"/>
          <w:szCs w:val="20"/>
        </w:rPr>
        <w:t xml:space="preserve">; </w:t>
      </w:r>
      <w:r w:rsidR="00756041" w:rsidRPr="00756041">
        <w:rPr>
          <w:color w:val="000000" w:themeColor="text1"/>
          <w:sz w:val="20"/>
          <w:szCs w:val="20"/>
        </w:rPr>
        <w:t>Reporters Sans Frontiers International - Reporters Without Borders International</w:t>
      </w:r>
      <w:r w:rsidR="007B1949">
        <w:rPr>
          <w:color w:val="000000" w:themeColor="text1"/>
          <w:sz w:val="20"/>
          <w:szCs w:val="20"/>
        </w:rPr>
        <w:t xml:space="preserve">; </w:t>
      </w:r>
      <w:r w:rsidR="00756041" w:rsidRPr="00756041">
        <w:rPr>
          <w:color w:val="000000" w:themeColor="text1"/>
          <w:sz w:val="20"/>
          <w:szCs w:val="20"/>
        </w:rPr>
        <w:t>Réseau International des Droits Humains (RIDH)</w:t>
      </w:r>
      <w:r w:rsidR="007B1949">
        <w:rPr>
          <w:color w:val="000000" w:themeColor="text1"/>
          <w:sz w:val="20"/>
          <w:szCs w:val="20"/>
        </w:rPr>
        <w:t xml:space="preserve">; </w:t>
      </w:r>
      <w:r w:rsidR="00756041" w:rsidRPr="00756041">
        <w:rPr>
          <w:color w:val="000000" w:themeColor="text1"/>
          <w:sz w:val="20"/>
          <w:szCs w:val="20"/>
        </w:rPr>
        <w:t>Right Livelihood Award Foundation</w:t>
      </w:r>
      <w:r w:rsidR="007B1949">
        <w:rPr>
          <w:color w:val="000000" w:themeColor="text1"/>
          <w:sz w:val="20"/>
          <w:szCs w:val="20"/>
        </w:rPr>
        <w:t xml:space="preserve">; </w:t>
      </w:r>
      <w:r w:rsidR="00756041" w:rsidRPr="00756041">
        <w:rPr>
          <w:color w:val="000000" w:themeColor="text1"/>
          <w:sz w:val="20"/>
          <w:szCs w:val="20"/>
        </w:rPr>
        <w:t>Society for Threatened Peoples</w:t>
      </w:r>
      <w:r w:rsidR="007B1949">
        <w:rPr>
          <w:color w:val="000000" w:themeColor="text1"/>
          <w:sz w:val="20"/>
          <w:szCs w:val="20"/>
        </w:rPr>
        <w:t xml:space="preserve">; </w:t>
      </w:r>
      <w:r w:rsidR="00756041" w:rsidRPr="00756041">
        <w:rPr>
          <w:color w:val="000000" w:themeColor="text1"/>
          <w:sz w:val="20"/>
          <w:szCs w:val="20"/>
        </w:rPr>
        <w:t>Solidarité Suisse-Guinée</w:t>
      </w:r>
      <w:r w:rsidR="007B1949">
        <w:rPr>
          <w:color w:val="000000" w:themeColor="text1"/>
          <w:sz w:val="20"/>
          <w:szCs w:val="20"/>
        </w:rPr>
        <w:t xml:space="preserve">; </w:t>
      </w:r>
      <w:r w:rsidR="00756041" w:rsidRPr="00756041">
        <w:rPr>
          <w:color w:val="000000" w:themeColor="text1"/>
          <w:sz w:val="20"/>
          <w:szCs w:val="20"/>
        </w:rPr>
        <w:t>The Palestinian Return Centre Ltd</w:t>
      </w:r>
      <w:r w:rsidR="007B1949">
        <w:rPr>
          <w:color w:val="000000" w:themeColor="text1"/>
          <w:sz w:val="20"/>
          <w:szCs w:val="20"/>
        </w:rPr>
        <w:t xml:space="preserve">; </w:t>
      </w:r>
      <w:r w:rsidR="00756041" w:rsidRPr="00756041">
        <w:rPr>
          <w:color w:val="000000" w:themeColor="text1"/>
          <w:sz w:val="20"/>
          <w:szCs w:val="20"/>
        </w:rPr>
        <w:t>Union of Arab Jurists</w:t>
      </w:r>
      <w:r w:rsidR="007B1949">
        <w:rPr>
          <w:color w:val="000000" w:themeColor="text1"/>
          <w:sz w:val="20"/>
          <w:szCs w:val="20"/>
        </w:rPr>
        <w:t xml:space="preserve">; </w:t>
      </w:r>
      <w:r w:rsidR="00756041" w:rsidRPr="00756041">
        <w:rPr>
          <w:color w:val="000000" w:themeColor="text1"/>
          <w:sz w:val="20"/>
          <w:szCs w:val="20"/>
        </w:rPr>
        <w:t>United Nations Watch</w:t>
      </w:r>
      <w:r w:rsidR="007B1949">
        <w:rPr>
          <w:color w:val="000000" w:themeColor="text1"/>
          <w:sz w:val="20"/>
          <w:szCs w:val="20"/>
        </w:rPr>
        <w:t xml:space="preserve">; </w:t>
      </w:r>
      <w:r w:rsidR="00756041" w:rsidRPr="00756041">
        <w:rPr>
          <w:color w:val="000000" w:themeColor="text1"/>
          <w:sz w:val="20"/>
          <w:szCs w:val="20"/>
        </w:rPr>
        <w:t>United Schools International</w:t>
      </w:r>
      <w:r w:rsidR="007B1949">
        <w:rPr>
          <w:color w:val="000000" w:themeColor="text1"/>
          <w:sz w:val="20"/>
          <w:szCs w:val="20"/>
        </w:rPr>
        <w:t xml:space="preserve">; </w:t>
      </w:r>
      <w:r w:rsidR="00756041" w:rsidRPr="00756041">
        <w:rPr>
          <w:color w:val="000000" w:themeColor="text1"/>
          <w:sz w:val="20"/>
          <w:szCs w:val="20"/>
        </w:rPr>
        <w:t>Villages Unis (United Villages)</w:t>
      </w:r>
      <w:r w:rsidR="007B1949">
        <w:rPr>
          <w:color w:val="000000" w:themeColor="text1"/>
          <w:sz w:val="20"/>
          <w:szCs w:val="20"/>
        </w:rPr>
        <w:t xml:space="preserve">; </w:t>
      </w:r>
      <w:r w:rsidR="00756041" w:rsidRPr="00756041">
        <w:rPr>
          <w:color w:val="000000" w:themeColor="text1"/>
          <w:sz w:val="20"/>
          <w:szCs w:val="20"/>
        </w:rPr>
        <w:t>VIVAT International</w:t>
      </w:r>
      <w:r w:rsidR="007B1949">
        <w:rPr>
          <w:color w:val="000000" w:themeColor="text1"/>
          <w:sz w:val="20"/>
          <w:szCs w:val="20"/>
        </w:rPr>
        <w:t xml:space="preserve">; </w:t>
      </w:r>
      <w:r w:rsidR="00756041" w:rsidRPr="00756041">
        <w:rPr>
          <w:color w:val="000000" w:themeColor="text1"/>
          <w:sz w:val="20"/>
          <w:szCs w:val="20"/>
        </w:rPr>
        <w:t>Women</w:t>
      </w:r>
      <w:r w:rsidR="00D72627">
        <w:rPr>
          <w:color w:val="000000" w:themeColor="text1"/>
          <w:sz w:val="20"/>
          <w:szCs w:val="20"/>
        </w:rPr>
        <w:t>’</w:t>
      </w:r>
      <w:r w:rsidR="00756041" w:rsidRPr="00756041">
        <w:rPr>
          <w:color w:val="000000" w:themeColor="text1"/>
          <w:sz w:val="20"/>
          <w:szCs w:val="20"/>
        </w:rPr>
        <w:t>s Human Rights International Association</w:t>
      </w:r>
      <w:r w:rsidR="007B1949">
        <w:rPr>
          <w:color w:val="000000" w:themeColor="text1"/>
          <w:sz w:val="20"/>
          <w:szCs w:val="20"/>
        </w:rPr>
        <w:t xml:space="preserve">; </w:t>
      </w:r>
      <w:r w:rsidR="00756041" w:rsidRPr="00756041">
        <w:rPr>
          <w:color w:val="000000" w:themeColor="text1"/>
          <w:sz w:val="20"/>
          <w:szCs w:val="20"/>
        </w:rPr>
        <w:t>World Barua Organization (WBO)</w:t>
      </w:r>
      <w:r w:rsidR="007B1949">
        <w:rPr>
          <w:color w:val="000000" w:themeColor="text1"/>
          <w:sz w:val="20"/>
          <w:szCs w:val="20"/>
        </w:rPr>
        <w:t xml:space="preserve">; </w:t>
      </w:r>
      <w:r w:rsidR="00756041" w:rsidRPr="00756041">
        <w:rPr>
          <w:color w:val="000000" w:themeColor="text1"/>
          <w:sz w:val="20"/>
          <w:szCs w:val="20"/>
        </w:rPr>
        <w:t>World Environment and Resources Council (WERC)</w:t>
      </w:r>
      <w:r w:rsidR="007B1949">
        <w:rPr>
          <w:color w:val="000000" w:themeColor="text1"/>
          <w:sz w:val="20"/>
          <w:szCs w:val="20"/>
        </w:rPr>
        <w:t xml:space="preserve">; </w:t>
      </w:r>
      <w:r w:rsidR="00756041" w:rsidRPr="00756041">
        <w:rPr>
          <w:color w:val="000000" w:themeColor="text1"/>
          <w:sz w:val="20"/>
          <w:szCs w:val="20"/>
        </w:rPr>
        <w:t>World Evangelical Alliance</w:t>
      </w:r>
      <w:r w:rsidR="007B1949">
        <w:rPr>
          <w:color w:val="000000" w:themeColor="text1"/>
          <w:sz w:val="20"/>
          <w:szCs w:val="20"/>
        </w:rPr>
        <w:t xml:space="preserve">; </w:t>
      </w:r>
      <w:r w:rsidR="00756041" w:rsidRPr="00756041">
        <w:rPr>
          <w:color w:val="000000" w:themeColor="text1"/>
          <w:sz w:val="20"/>
          <w:szCs w:val="20"/>
        </w:rPr>
        <w:t>World Jewish Congress</w:t>
      </w:r>
      <w:r w:rsidR="007B1949">
        <w:rPr>
          <w:color w:val="000000" w:themeColor="text1"/>
          <w:sz w:val="20"/>
          <w:szCs w:val="20"/>
        </w:rPr>
        <w:t xml:space="preserve">; </w:t>
      </w:r>
      <w:r w:rsidR="00756041" w:rsidRPr="00756041">
        <w:rPr>
          <w:color w:val="000000" w:themeColor="text1"/>
          <w:sz w:val="20"/>
          <w:szCs w:val="20"/>
        </w:rPr>
        <w:t>World Muslim Congress</w:t>
      </w:r>
      <w:r w:rsidRPr="0067399B">
        <w:rPr>
          <w:color w:val="000000" w:themeColor="text1"/>
          <w:sz w:val="20"/>
          <w:szCs w:val="20"/>
        </w:rPr>
        <w:t>.</w:t>
      </w:r>
    </w:p>
    <w:p w14:paraId="199677AE" w14:textId="7AF6C24E" w:rsidR="00460B3A" w:rsidRDefault="00A962FF" w:rsidP="00460B3A">
      <w:pPr>
        <w:pStyle w:val="SingleTxtG"/>
        <w:rPr>
          <w:color w:val="000000" w:themeColor="text1"/>
          <w:sz w:val="20"/>
          <w:szCs w:val="20"/>
        </w:rPr>
      </w:pPr>
      <w:r>
        <w:rPr>
          <w:color w:val="000000" w:themeColor="text1"/>
          <w:sz w:val="20"/>
          <w:szCs w:val="20"/>
        </w:rPr>
        <w:t>280</w:t>
      </w:r>
      <w:r w:rsidR="00460B3A" w:rsidRPr="0067399B">
        <w:rPr>
          <w:color w:val="000000" w:themeColor="text1"/>
          <w:sz w:val="20"/>
          <w:szCs w:val="20"/>
        </w:rPr>
        <w:t>.</w:t>
      </w:r>
      <w:r w:rsidR="00460B3A" w:rsidRPr="0067399B">
        <w:rPr>
          <w:color w:val="000000" w:themeColor="text1"/>
          <w:sz w:val="20"/>
          <w:szCs w:val="20"/>
        </w:rPr>
        <w:tab/>
        <w:t xml:space="preserve">At the </w:t>
      </w:r>
      <w:r w:rsidR="007E4640" w:rsidRPr="007E4640">
        <w:rPr>
          <w:color w:val="000000" w:themeColor="text1"/>
          <w:sz w:val="20"/>
          <w:szCs w:val="20"/>
        </w:rPr>
        <w:t>31st</w:t>
      </w:r>
      <w:r w:rsidR="00460B3A" w:rsidRPr="007E4640">
        <w:rPr>
          <w:color w:val="000000" w:themeColor="text1"/>
          <w:sz w:val="20"/>
          <w:szCs w:val="20"/>
        </w:rPr>
        <w:t xml:space="preserve"> meeting, on 1</w:t>
      </w:r>
      <w:r w:rsidR="007E4640" w:rsidRPr="007E4640">
        <w:rPr>
          <w:color w:val="000000" w:themeColor="text1"/>
          <w:sz w:val="20"/>
          <w:szCs w:val="20"/>
        </w:rPr>
        <w:t>2</w:t>
      </w:r>
      <w:r w:rsidR="00460B3A" w:rsidRPr="007E4640">
        <w:rPr>
          <w:color w:val="000000" w:themeColor="text1"/>
          <w:sz w:val="20"/>
          <w:szCs w:val="20"/>
        </w:rPr>
        <w:t xml:space="preserve"> March </w:t>
      </w:r>
      <w:r w:rsidR="00141AFC" w:rsidRPr="007E4640">
        <w:rPr>
          <w:color w:val="000000" w:themeColor="text1"/>
          <w:sz w:val="20"/>
          <w:szCs w:val="20"/>
        </w:rPr>
        <w:t>2019</w:t>
      </w:r>
      <w:r w:rsidR="00460B3A" w:rsidRPr="007E4640">
        <w:rPr>
          <w:color w:val="000000" w:themeColor="text1"/>
          <w:sz w:val="20"/>
          <w:szCs w:val="20"/>
        </w:rPr>
        <w:t>,</w:t>
      </w:r>
      <w:r w:rsidR="00460B3A" w:rsidRPr="0067399B">
        <w:rPr>
          <w:color w:val="000000" w:themeColor="text1"/>
          <w:sz w:val="20"/>
          <w:szCs w:val="20"/>
        </w:rPr>
        <w:t xml:space="preserve"> statements in exercise of the right of reply were made by the representatives of </w:t>
      </w:r>
      <w:r w:rsidR="007E4640">
        <w:rPr>
          <w:color w:val="000000" w:themeColor="text1"/>
          <w:sz w:val="20"/>
          <w:szCs w:val="20"/>
        </w:rPr>
        <w:t xml:space="preserve">Bahrain, </w:t>
      </w:r>
      <w:r w:rsidR="007E4640" w:rsidRPr="007E4640">
        <w:rPr>
          <w:color w:val="000000" w:themeColor="text1"/>
          <w:sz w:val="20"/>
          <w:szCs w:val="20"/>
        </w:rPr>
        <w:t>C</w:t>
      </w:r>
      <w:r w:rsidR="007E4640">
        <w:rPr>
          <w:color w:val="000000" w:themeColor="text1"/>
          <w:sz w:val="20"/>
          <w:szCs w:val="20"/>
        </w:rPr>
        <w:t xml:space="preserve">hina, </w:t>
      </w:r>
      <w:r w:rsidR="007E4640" w:rsidRPr="00C829A9">
        <w:rPr>
          <w:color w:val="000000" w:themeColor="text1"/>
          <w:sz w:val="20"/>
          <w:szCs w:val="20"/>
        </w:rPr>
        <w:t>the Democratic People</w:t>
      </w:r>
      <w:r w:rsidR="00D72627">
        <w:rPr>
          <w:color w:val="000000" w:themeColor="text1"/>
          <w:sz w:val="20"/>
          <w:szCs w:val="20"/>
        </w:rPr>
        <w:t>’</w:t>
      </w:r>
      <w:r w:rsidR="007E4640" w:rsidRPr="00C829A9">
        <w:rPr>
          <w:color w:val="000000" w:themeColor="text1"/>
          <w:sz w:val="20"/>
          <w:szCs w:val="20"/>
        </w:rPr>
        <w:t>s Republic of Korea</w:t>
      </w:r>
      <w:r w:rsidR="007E4640">
        <w:rPr>
          <w:color w:val="000000" w:themeColor="text1"/>
          <w:sz w:val="20"/>
          <w:szCs w:val="20"/>
        </w:rPr>
        <w:t xml:space="preserve">, </w:t>
      </w:r>
      <w:r w:rsidR="007E4640" w:rsidRPr="007E4640">
        <w:rPr>
          <w:color w:val="000000" w:themeColor="text1"/>
          <w:sz w:val="20"/>
          <w:szCs w:val="20"/>
        </w:rPr>
        <w:t>Egypt</w:t>
      </w:r>
      <w:r w:rsidR="007E4640">
        <w:rPr>
          <w:color w:val="000000" w:themeColor="text1"/>
          <w:sz w:val="20"/>
          <w:szCs w:val="20"/>
        </w:rPr>
        <w:t xml:space="preserve">, </w:t>
      </w:r>
      <w:r w:rsidR="007E4640" w:rsidRPr="007E4640">
        <w:rPr>
          <w:color w:val="000000" w:themeColor="text1"/>
          <w:sz w:val="20"/>
          <w:szCs w:val="20"/>
        </w:rPr>
        <w:t>Georgia</w:t>
      </w:r>
      <w:r w:rsidR="007E4640">
        <w:rPr>
          <w:color w:val="000000" w:themeColor="text1"/>
          <w:sz w:val="20"/>
          <w:szCs w:val="20"/>
        </w:rPr>
        <w:t xml:space="preserve">, </w:t>
      </w:r>
      <w:r w:rsidR="007E4640" w:rsidRPr="007E4640">
        <w:rPr>
          <w:color w:val="000000" w:themeColor="text1"/>
          <w:sz w:val="20"/>
          <w:szCs w:val="20"/>
        </w:rPr>
        <w:t>India</w:t>
      </w:r>
      <w:r w:rsidR="007E4640">
        <w:rPr>
          <w:color w:val="000000" w:themeColor="text1"/>
          <w:sz w:val="20"/>
          <w:szCs w:val="20"/>
        </w:rPr>
        <w:t xml:space="preserve">, </w:t>
      </w:r>
      <w:r w:rsidR="007E4640" w:rsidRPr="007E4640">
        <w:rPr>
          <w:color w:val="000000" w:themeColor="text1"/>
          <w:sz w:val="20"/>
          <w:szCs w:val="20"/>
        </w:rPr>
        <w:t xml:space="preserve">Iran (Islamic Republic of), </w:t>
      </w:r>
      <w:r w:rsidR="007E4640">
        <w:rPr>
          <w:color w:val="000000" w:themeColor="text1"/>
          <w:sz w:val="20"/>
          <w:szCs w:val="20"/>
        </w:rPr>
        <w:t xml:space="preserve">Japan, </w:t>
      </w:r>
      <w:r w:rsidR="007E4640" w:rsidRPr="007E4640">
        <w:rPr>
          <w:color w:val="000000" w:themeColor="text1"/>
          <w:sz w:val="20"/>
          <w:szCs w:val="20"/>
        </w:rPr>
        <w:t>Lebanon</w:t>
      </w:r>
      <w:r w:rsidR="007E4640">
        <w:rPr>
          <w:color w:val="000000" w:themeColor="text1"/>
          <w:sz w:val="20"/>
          <w:szCs w:val="20"/>
        </w:rPr>
        <w:t xml:space="preserve">, </w:t>
      </w:r>
      <w:r w:rsidR="007E4640" w:rsidRPr="007E4640">
        <w:rPr>
          <w:color w:val="000000" w:themeColor="text1"/>
          <w:sz w:val="20"/>
          <w:szCs w:val="20"/>
        </w:rPr>
        <w:t>Pakistan</w:t>
      </w:r>
      <w:r w:rsidR="007E4640">
        <w:rPr>
          <w:color w:val="000000" w:themeColor="text1"/>
          <w:sz w:val="20"/>
          <w:szCs w:val="20"/>
        </w:rPr>
        <w:t xml:space="preserve">, the </w:t>
      </w:r>
      <w:r w:rsidR="007E4640" w:rsidRPr="007E4640">
        <w:rPr>
          <w:color w:val="000000" w:themeColor="text1"/>
          <w:sz w:val="20"/>
          <w:szCs w:val="20"/>
        </w:rPr>
        <w:t>Philippines</w:t>
      </w:r>
      <w:r w:rsidR="007E4640">
        <w:rPr>
          <w:color w:val="000000" w:themeColor="text1"/>
          <w:sz w:val="20"/>
          <w:szCs w:val="20"/>
        </w:rPr>
        <w:t xml:space="preserve">, the </w:t>
      </w:r>
      <w:r w:rsidR="007E4640" w:rsidRPr="007E4640">
        <w:rPr>
          <w:color w:val="000000" w:themeColor="text1"/>
          <w:sz w:val="20"/>
          <w:szCs w:val="20"/>
        </w:rPr>
        <w:t>Russian Federation</w:t>
      </w:r>
      <w:r w:rsidR="007E4640">
        <w:rPr>
          <w:color w:val="000000" w:themeColor="text1"/>
          <w:sz w:val="20"/>
          <w:szCs w:val="20"/>
        </w:rPr>
        <w:t xml:space="preserve">, </w:t>
      </w:r>
      <w:r w:rsidR="007E4640" w:rsidRPr="007E4640">
        <w:rPr>
          <w:color w:val="000000" w:themeColor="text1"/>
          <w:sz w:val="20"/>
          <w:szCs w:val="20"/>
        </w:rPr>
        <w:t>Turkey</w:t>
      </w:r>
      <w:r w:rsidR="007E4640">
        <w:rPr>
          <w:color w:val="000000" w:themeColor="text1"/>
          <w:sz w:val="20"/>
          <w:szCs w:val="20"/>
        </w:rPr>
        <w:t xml:space="preserve">, </w:t>
      </w:r>
      <w:r w:rsidR="007E4640" w:rsidRPr="007E4640">
        <w:rPr>
          <w:color w:val="000000" w:themeColor="text1"/>
          <w:sz w:val="20"/>
          <w:szCs w:val="20"/>
        </w:rPr>
        <w:t>Ukraine</w:t>
      </w:r>
      <w:r w:rsidR="007E4640">
        <w:rPr>
          <w:color w:val="000000" w:themeColor="text1"/>
          <w:sz w:val="20"/>
          <w:szCs w:val="20"/>
        </w:rPr>
        <w:t xml:space="preserve"> and </w:t>
      </w:r>
      <w:r w:rsidR="007E4640" w:rsidRPr="007E4640">
        <w:rPr>
          <w:color w:val="000000" w:themeColor="text1"/>
          <w:sz w:val="20"/>
          <w:szCs w:val="20"/>
        </w:rPr>
        <w:t>Venezuel</w:t>
      </w:r>
      <w:r w:rsidR="007E4640">
        <w:rPr>
          <w:color w:val="000000" w:themeColor="text1"/>
          <w:sz w:val="20"/>
          <w:szCs w:val="20"/>
        </w:rPr>
        <w:t>a (Bolivarian Republic of)</w:t>
      </w:r>
      <w:r w:rsidR="00460B3A" w:rsidRPr="0067399B">
        <w:rPr>
          <w:color w:val="000000" w:themeColor="text1"/>
          <w:sz w:val="20"/>
          <w:szCs w:val="20"/>
        </w:rPr>
        <w:t>.</w:t>
      </w:r>
    </w:p>
    <w:p w14:paraId="48A85BB7" w14:textId="58CEB930" w:rsidR="007E4640" w:rsidRDefault="00A962FF" w:rsidP="007E4640">
      <w:pPr>
        <w:pStyle w:val="SingleTxtG"/>
        <w:rPr>
          <w:color w:val="000000" w:themeColor="text1"/>
          <w:sz w:val="20"/>
          <w:szCs w:val="20"/>
        </w:rPr>
      </w:pPr>
      <w:r>
        <w:rPr>
          <w:color w:val="000000" w:themeColor="text1"/>
          <w:sz w:val="20"/>
          <w:szCs w:val="20"/>
        </w:rPr>
        <w:t>281</w:t>
      </w:r>
      <w:r w:rsidR="007E4640" w:rsidRPr="007C176F">
        <w:rPr>
          <w:color w:val="000000" w:themeColor="text1"/>
          <w:sz w:val="20"/>
          <w:szCs w:val="20"/>
        </w:rPr>
        <w:t>.</w:t>
      </w:r>
      <w:r w:rsidR="007E4640" w:rsidRPr="007C176F">
        <w:rPr>
          <w:color w:val="000000" w:themeColor="text1"/>
          <w:sz w:val="20"/>
          <w:szCs w:val="20"/>
        </w:rPr>
        <w:tab/>
        <w:t xml:space="preserve">At the </w:t>
      </w:r>
      <w:r w:rsidR="007E4640">
        <w:rPr>
          <w:color w:val="000000" w:themeColor="text1"/>
          <w:sz w:val="20"/>
          <w:szCs w:val="20"/>
        </w:rPr>
        <w:t>same meeting</w:t>
      </w:r>
      <w:r w:rsidR="007E4640" w:rsidRPr="007C176F">
        <w:rPr>
          <w:color w:val="000000" w:themeColor="text1"/>
          <w:sz w:val="20"/>
          <w:szCs w:val="20"/>
        </w:rPr>
        <w:t>, statement</w:t>
      </w:r>
      <w:r w:rsidR="007E4640">
        <w:rPr>
          <w:color w:val="000000" w:themeColor="text1"/>
          <w:sz w:val="20"/>
          <w:szCs w:val="20"/>
        </w:rPr>
        <w:t>s</w:t>
      </w:r>
      <w:r w:rsidR="007E4640" w:rsidRPr="007C176F">
        <w:rPr>
          <w:color w:val="000000" w:themeColor="text1"/>
          <w:sz w:val="20"/>
          <w:szCs w:val="20"/>
        </w:rPr>
        <w:t xml:space="preserve"> in exercise of the </w:t>
      </w:r>
      <w:r w:rsidR="007E4640">
        <w:rPr>
          <w:color w:val="000000" w:themeColor="text1"/>
          <w:sz w:val="20"/>
          <w:szCs w:val="20"/>
        </w:rPr>
        <w:t xml:space="preserve">second </w:t>
      </w:r>
      <w:r w:rsidR="007E4640" w:rsidRPr="007C176F">
        <w:rPr>
          <w:color w:val="000000" w:themeColor="text1"/>
          <w:sz w:val="20"/>
          <w:szCs w:val="20"/>
        </w:rPr>
        <w:t xml:space="preserve">right of reply </w:t>
      </w:r>
      <w:r w:rsidR="007E4640">
        <w:rPr>
          <w:color w:val="000000" w:themeColor="text1"/>
          <w:sz w:val="20"/>
          <w:szCs w:val="20"/>
        </w:rPr>
        <w:t>were</w:t>
      </w:r>
      <w:r w:rsidR="007E4640" w:rsidRPr="007C176F">
        <w:rPr>
          <w:color w:val="000000" w:themeColor="text1"/>
          <w:sz w:val="20"/>
          <w:szCs w:val="20"/>
        </w:rPr>
        <w:t xml:space="preserve"> made by the representative</w:t>
      </w:r>
      <w:r w:rsidR="007E4640">
        <w:rPr>
          <w:color w:val="000000" w:themeColor="text1"/>
          <w:sz w:val="20"/>
          <w:szCs w:val="20"/>
        </w:rPr>
        <w:t>s</w:t>
      </w:r>
      <w:r w:rsidR="007E4640" w:rsidRPr="007C176F">
        <w:rPr>
          <w:color w:val="000000" w:themeColor="text1"/>
          <w:sz w:val="20"/>
          <w:szCs w:val="20"/>
        </w:rPr>
        <w:t xml:space="preserve"> of </w:t>
      </w:r>
      <w:r w:rsidR="007E4640" w:rsidRPr="007E4640">
        <w:rPr>
          <w:color w:val="000000" w:themeColor="text1"/>
          <w:sz w:val="20"/>
          <w:szCs w:val="20"/>
        </w:rPr>
        <w:t>India</w:t>
      </w:r>
      <w:r w:rsidR="007E4640">
        <w:rPr>
          <w:color w:val="000000" w:themeColor="text1"/>
          <w:sz w:val="20"/>
          <w:szCs w:val="20"/>
        </w:rPr>
        <w:t xml:space="preserve">, </w:t>
      </w:r>
      <w:r w:rsidR="007E4640" w:rsidRPr="007E4640">
        <w:rPr>
          <w:color w:val="000000" w:themeColor="text1"/>
          <w:sz w:val="20"/>
          <w:szCs w:val="20"/>
        </w:rPr>
        <w:t>Japan</w:t>
      </w:r>
      <w:r w:rsidR="007E4640">
        <w:rPr>
          <w:color w:val="000000" w:themeColor="text1"/>
          <w:sz w:val="20"/>
          <w:szCs w:val="20"/>
        </w:rPr>
        <w:t xml:space="preserve"> and </w:t>
      </w:r>
      <w:r w:rsidR="007E4640" w:rsidRPr="007E4640">
        <w:rPr>
          <w:color w:val="000000" w:themeColor="text1"/>
          <w:sz w:val="20"/>
          <w:szCs w:val="20"/>
        </w:rPr>
        <w:t>Pakistan</w:t>
      </w:r>
      <w:r w:rsidR="007E4640" w:rsidRPr="007C176F">
        <w:rPr>
          <w:color w:val="000000" w:themeColor="text1"/>
          <w:sz w:val="20"/>
          <w:szCs w:val="20"/>
        </w:rPr>
        <w:t>.</w:t>
      </w:r>
    </w:p>
    <w:p w14:paraId="700AB703" w14:textId="128B34D2" w:rsidR="006C3846" w:rsidRDefault="00A962FF" w:rsidP="006C3846">
      <w:pPr>
        <w:pStyle w:val="SingleTxtG"/>
        <w:rPr>
          <w:color w:val="000000" w:themeColor="text1"/>
          <w:sz w:val="20"/>
          <w:szCs w:val="20"/>
        </w:rPr>
      </w:pPr>
      <w:r>
        <w:rPr>
          <w:color w:val="000000" w:themeColor="text1"/>
          <w:sz w:val="20"/>
          <w:szCs w:val="20"/>
        </w:rPr>
        <w:t>282</w:t>
      </w:r>
      <w:r w:rsidR="006C3846" w:rsidRPr="0067399B">
        <w:rPr>
          <w:color w:val="000000" w:themeColor="text1"/>
          <w:sz w:val="20"/>
          <w:szCs w:val="20"/>
        </w:rPr>
        <w:t>.</w:t>
      </w:r>
      <w:r w:rsidR="006C3846" w:rsidRPr="0067399B">
        <w:rPr>
          <w:color w:val="000000" w:themeColor="text1"/>
          <w:sz w:val="20"/>
          <w:szCs w:val="20"/>
        </w:rPr>
        <w:tab/>
        <w:t xml:space="preserve">At the </w:t>
      </w:r>
      <w:r w:rsidR="006C3846" w:rsidRPr="007E4640">
        <w:rPr>
          <w:color w:val="000000" w:themeColor="text1"/>
          <w:sz w:val="20"/>
          <w:szCs w:val="20"/>
        </w:rPr>
        <w:t>3</w:t>
      </w:r>
      <w:r w:rsidR="006C3846">
        <w:rPr>
          <w:color w:val="000000" w:themeColor="text1"/>
          <w:sz w:val="20"/>
          <w:szCs w:val="20"/>
        </w:rPr>
        <w:t>2nd</w:t>
      </w:r>
      <w:r w:rsidR="006C3846" w:rsidRPr="007E4640">
        <w:rPr>
          <w:color w:val="000000" w:themeColor="text1"/>
          <w:sz w:val="20"/>
          <w:szCs w:val="20"/>
        </w:rPr>
        <w:t xml:space="preserve"> meeting, on 1</w:t>
      </w:r>
      <w:r w:rsidR="006C3846">
        <w:rPr>
          <w:color w:val="000000" w:themeColor="text1"/>
          <w:sz w:val="20"/>
          <w:szCs w:val="20"/>
        </w:rPr>
        <w:t>3</w:t>
      </w:r>
      <w:r w:rsidR="006C3846" w:rsidRPr="007E4640">
        <w:rPr>
          <w:color w:val="000000" w:themeColor="text1"/>
          <w:sz w:val="20"/>
          <w:szCs w:val="20"/>
        </w:rPr>
        <w:t xml:space="preserve"> March 2019,</w:t>
      </w:r>
      <w:r w:rsidR="006C3846" w:rsidRPr="0067399B">
        <w:rPr>
          <w:color w:val="000000" w:themeColor="text1"/>
          <w:sz w:val="20"/>
          <w:szCs w:val="20"/>
        </w:rPr>
        <w:t xml:space="preserve"> statements in exercise of the right of reply were made by the representatives of </w:t>
      </w:r>
      <w:r w:rsidR="006C3846" w:rsidRPr="006C3846">
        <w:rPr>
          <w:color w:val="000000" w:themeColor="text1"/>
          <w:sz w:val="20"/>
          <w:szCs w:val="20"/>
        </w:rPr>
        <w:t>Brazil</w:t>
      </w:r>
      <w:r w:rsidR="006C3846">
        <w:rPr>
          <w:color w:val="000000" w:themeColor="text1"/>
          <w:sz w:val="20"/>
          <w:szCs w:val="20"/>
        </w:rPr>
        <w:t xml:space="preserve">, </w:t>
      </w:r>
      <w:r w:rsidR="006C3846" w:rsidRPr="006C3846">
        <w:rPr>
          <w:color w:val="000000" w:themeColor="text1"/>
          <w:sz w:val="20"/>
          <w:szCs w:val="20"/>
        </w:rPr>
        <w:t>China</w:t>
      </w:r>
      <w:r w:rsidR="006C3846">
        <w:rPr>
          <w:color w:val="000000" w:themeColor="text1"/>
          <w:sz w:val="20"/>
          <w:szCs w:val="20"/>
        </w:rPr>
        <w:t xml:space="preserve">, </w:t>
      </w:r>
      <w:r w:rsidR="006C3846" w:rsidRPr="006C3846">
        <w:rPr>
          <w:color w:val="000000" w:themeColor="text1"/>
          <w:sz w:val="20"/>
          <w:szCs w:val="20"/>
        </w:rPr>
        <w:t>Indonesia</w:t>
      </w:r>
      <w:r w:rsidR="006C3846">
        <w:rPr>
          <w:color w:val="000000" w:themeColor="text1"/>
          <w:sz w:val="20"/>
          <w:szCs w:val="20"/>
        </w:rPr>
        <w:t>, the Lao People</w:t>
      </w:r>
      <w:r w:rsidR="00D72627">
        <w:rPr>
          <w:color w:val="000000" w:themeColor="text1"/>
          <w:sz w:val="20"/>
          <w:szCs w:val="20"/>
        </w:rPr>
        <w:t>’</w:t>
      </w:r>
      <w:r w:rsidR="006C3846">
        <w:rPr>
          <w:color w:val="000000" w:themeColor="text1"/>
          <w:sz w:val="20"/>
          <w:szCs w:val="20"/>
        </w:rPr>
        <w:t xml:space="preserve">s Democratic Republic and </w:t>
      </w:r>
      <w:r w:rsidR="006C3846" w:rsidRPr="006C3846">
        <w:rPr>
          <w:color w:val="000000" w:themeColor="text1"/>
          <w:sz w:val="20"/>
          <w:szCs w:val="20"/>
        </w:rPr>
        <w:t>Spain</w:t>
      </w:r>
      <w:r w:rsidR="006C3846" w:rsidRPr="0067399B">
        <w:rPr>
          <w:color w:val="000000" w:themeColor="text1"/>
          <w:sz w:val="20"/>
          <w:szCs w:val="20"/>
        </w:rPr>
        <w:t>.</w:t>
      </w:r>
    </w:p>
    <w:p w14:paraId="2EA58A86" w14:textId="53BEB823" w:rsidR="00F11B08" w:rsidRPr="00C16037" w:rsidRDefault="00B168DF" w:rsidP="00F11B08">
      <w:pPr>
        <w:pStyle w:val="H1G"/>
        <w:rPr>
          <w:color w:val="000000" w:themeColor="text1"/>
        </w:rPr>
      </w:pPr>
      <w:r>
        <w:rPr>
          <w:color w:val="000000" w:themeColor="text1"/>
        </w:rPr>
        <w:tab/>
        <w:t>G</w:t>
      </w:r>
      <w:r w:rsidR="00F11B08" w:rsidRPr="00C16037">
        <w:rPr>
          <w:color w:val="000000" w:themeColor="text1"/>
        </w:rPr>
        <w:t>.</w:t>
      </w:r>
      <w:r w:rsidR="00F11B08" w:rsidRPr="00C16037">
        <w:rPr>
          <w:color w:val="000000" w:themeColor="text1"/>
        </w:rPr>
        <w:tab/>
        <w:t>Consideration of and action on draft proposals</w:t>
      </w:r>
    </w:p>
    <w:p w14:paraId="7B98E667" w14:textId="2F39E291" w:rsidR="006F178E" w:rsidRDefault="006F178E" w:rsidP="006F178E">
      <w:pPr>
        <w:pStyle w:val="SingleTxtG"/>
        <w:rPr>
          <w:b/>
          <w:sz w:val="20"/>
          <w:szCs w:val="20"/>
        </w:rPr>
      </w:pPr>
      <w:r w:rsidRPr="006F178E">
        <w:rPr>
          <w:b/>
          <w:sz w:val="20"/>
          <w:szCs w:val="20"/>
        </w:rPr>
        <w:t>The human rights situation in the Syrian Arab Republic</w:t>
      </w:r>
    </w:p>
    <w:p w14:paraId="33CBE5DE" w14:textId="65780613" w:rsidR="006F178E" w:rsidRDefault="00A962FF" w:rsidP="006F178E">
      <w:pPr>
        <w:pStyle w:val="SingleTxtG"/>
        <w:rPr>
          <w:sz w:val="20"/>
          <w:szCs w:val="20"/>
        </w:rPr>
      </w:pPr>
      <w:r>
        <w:rPr>
          <w:sz w:val="20"/>
          <w:szCs w:val="20"/>
        </w:rPr>
        <w:t>283</w:t>
      </w:r>
      <w:r w:rsidR="006F178E" w:rsidRPr="00326BEB">
        <w:rPr>
          <w:sz w:val="20"/>
          <w:szCs w:val="20"/>
        </w:rPr>
        <w:t>.</w:t>
      </w:r>
      <w:r w:rsidR="006F178E" w:rsidRPr="00326BEB">
        <w:rPr>
          <w:sz w:val="20"/>
          <w:szCs w:val="20"/>
        </w:rPr>
        <w:tab/>
        <w:t xml:space="preserve">At the </w:t>
      </w:r>
      <w:r w:rsidR="006F178E">
        <w:rPr>
          <w:sz w:val="20"/>
          <w:szCs w:val="20"/>
        </w:rPr>
        <w:t>53rd</w:t>
      </w:r>
      <w:r w:rsidR="006F178E" w:rsidRPr="00326BEB">
        <w:rPr>
          <w:sz w:val="20"/>
          <w:szCs w:val="20"/>
        </w:rPr>
        <w:t xml:space="preserve"> meeting, on </w:t>
      </w:r>
      <w:r w:rsidR="006F178E">
        <w:rPr>
          <w:sz w:val="20"/>
          <w:szCs w:val="20"/>
        </w:rPr>
        <w:t>22 March 2019</w:t>
      </w:r>
      <w:r w:rsidR="006F178E" w:rsidRPr="00326BEB">
        <w:rPr>
          <w:sz w:val="20"/>
          <w:szCs w:val="20"/>
        </w:rPr>
        <w:t>, the representative</w:t>
      </w:r>
      <w:r w:rsidR="006F178E">
        <w:rPr>
          <w:sz w:val="20"/>
          <w:szCs w:val="20"/>
        </w:rPr>
        <w:t>s</w:t>
      </w:r>
      <w:r w:rsidR="006F178E" w:rsidRPr="00326BEB">
        <w:rPr>
          <w:sz w:val="20"/>
          <w:szCs w:val="20"/>
        </w:rPr>
        <w:t xml:space="preserve"> of </w:t>
      </w:r>
      <w:r w:rsidR="006F178E">
        <w:rPr>
          <w:sz w:val="20"/>
          <w:szCs w:val="20"/>
        </w:rPr>
        <w:t>the</w:t>
      </w:r>
      <w:r w:rsidR="006F178E" w:rsidRPr="001130FB">
        <w:rPr>
          <w:sz w:val="20"/>
          <w:szCs w:val="20"/>
        </w:rPr>
        <w:t xml:space="preserve"> United Kingdom of Great Britain and Northern Ireland</w:t>
      </w:r>
      <w:r w:rsidR="006F178E">
        <w:rPr>
          <w:sz w:val="20"/>
          <w:szCs w:val="20"/>
        </w:rPr>
        <w:t xml:space="preserve"> (also on behalf of </w:t>
      </w:r>
      <w:r w:rsidR="006F178E" w:rsidRPr="006F178E">
        <w:rPr>
          <w:sz w:val="20"/>
          <w:szCs w:val="20"/>
        </w:rPr>
        <w:t xml:space="preserve">France, Germany, Italy, Jordan, Kuwait, Morocco, </w:t>
      </w:r>
      <w:r w:rsidR="006F178E">
        <w:rPr>
          <w:sz w:val="20"/>
          <w:szCs w:val="20"/>
        </w:rPr>
        <w:t xml:space="preserve">the </w:t>
      </w:r>
      <w:r w:rsidR="006F178E" w:rsidRPr="006F178E">
        <w:rPr>
          <w:sz w:val="20"/>
          <w:szCs w:val="20"/>
        </w:rPr>
        <w:t>Netherlands, Qatar</w:t>
      </w:r>
      <w:r w:rsidR="006F178E">
        <w:rPr>
          <w:sz w:val="20"/>
          <w:szCs w:val="20"/>
        </w:rPr>
        <w:t xml:space="preserve"> and</w:t>
      </w:r>
      <w:r w:rsidR="006F178E" w:rsidRPr="006F178E">
        <w:rPr>
          <w:sz w:val="20"/>
          <w:szCs w:val="20"/>
        </w:rPr>
        <w:t xml:space="preserve"> Turkey</w:t>
      </w:r>
      <w:r w:rsidR="006F178E">
        <w:rPr>
          <w:sz w:val="20"/>
          <w:szCs w:val="20"/>
        </w:rPr>
        <w:t>)</w:t>
      </w:r>
      <w:r w:rsidR="006F178E" w:rsidRPr="00326BEB">
        <w:rPr>
          <w:sz w:val="20"/>
          <w:szCs w:val="20"/>
        </w:rPr>
        <w:t xml:space="preserve"> </w:t>
      </w:r>
      <w:r w:rsidR="006F178E">
        <w:rPr>
          <w:sz w:val="20"/>
          <w:szCs w:val="20"/>
        </w:rPr>
        <w:t xml:space="preserve">and Qatar </w:t>
      </w:r>
      <w:r w:rsidR="006F178E" w:rsidRPr="00326BEB">
        <w:rPr>
          <w:sz w:val="20"/>
          <w:szCs w:val="20"/>
        </w:rPr>
        <w:t>introduced draft resolution A/HRC/</w:t>
      </w:r>
      <w:r w:rsidR="006F178E">
        <w:rPr>
          <w:sz w:val="20"/>
          <w:szCs w:val="20"/>
        </w:rPr>
        <w:t>40</w:t>
      </w:r>
      <w:r w:rsidR="006F178E" w:rsidRPr="00326BEB">
        <w:rPr>
          <w:sz w:val="20"/>
          <w:szCs w:val="20"/>
        </w:rPr>
        <w:t>/L.</w:t>
      </w:r>
      <w:r w:rsidR="006F178E">
        <w:rPr>
          <w:sz w:val="20"/>
          <w:szCs w:val="20"/>
        </w:rPr>
        <w:t>7</w:t>
      </w:r>
      <w:r w:rsidR="006F178E" w:rsidRPr="00326BEB">
        <w:rPr>
          <w:sz w:val="20"/>
          <w:szCs w:val="20"/>
        </w:rPr>
        <w:t xml:space="preserve">, sponsored by </w:t>
      </w:r>
      <w:r w:rsidR="006F178E" w:rsidRPr="006F178E">
        <w:rPr>
          <w:sz w:val="20"/>
          <w:szCs w:val="20"/>
        </w:rPr>
        <w:t xml:space="preserve">France, Germany, Italy, Jordan, Kuwait, Morocco, </w:t>
      </w:r>
      <w:r w:rsidR="006F178E">
        <w:rPr>
          <w:sz w:val="20"/>
          <w:szCs w:val="20"/>
        </w:rPr>
        <w:t xml:space="preserve">the </w:t>
      </w:r>
      <w:r w:rsidR="006F178E" w:rsidRPr="006F178E">
        <w:rPr>
          <w:sz w:val="20"/>
          <w:szCs w:val="20"/>
        </w:rPr>
        <w:t>Netherlands, Qatar, Turkey and the United Kingdom of Great Britain and Northern Ireland</w:t>
      </w:r>
      <w:r w:rsidR="006F178E">
        <w:rPr>
          <w:sz w:val="20"/>
          <w:szCs w:val="20"/>
        </w:rPr>
        <w:t xml:space="preserve"> and co-sponsored by </w:t>
      </w:r>
      <w:r w:rsidR="006F178E" w:rsidRPr="006F178E">
        <w:rPr>
          <w:sz w:val="20"/>
          <w:szCs w:val="20"/>
        </w:rPr>
        <w:t>Albania, Australia, Austria, Belgium, Bulgaria, Canada, Croatia, Czechia, Denmark, Estonia, Finland, Georgia, Iceland, Ireland, Latvia, Liechtenstein, Lithuania, Luxembourg, Maldives, Malta, Montenegro, Romania, San Marino, Slovenia, Spain, Sweden</w:t>
      </w:r>
      <w:r w:rsidR="006F178E">
        <w:rPr>
          <w:sz w:val="20"/>
          <w:szCs w:val="20"/>
        </w:rPr>
        <w:t xml:space="preserve"> and</w:t>
      </w:r>
      <w:r w:rsidR="006F178E" w:rsidRPr="006F178E">
        <w:rPr>
          <w:sz w:val="20"/>
          <w:szCs w:val="20"/>
        </w:rPr>
        <w:t xml:space="preserve"> Ukraine</w:t>
      </w:r>
      <w:r w:rsidR="006F178E">
        <w:rPr>
          <w:sz w:val="20"/>
          <w:szCs w:val="20"/>
        </w:rPr>
        <w:t>.</w:t>
      </w:r>
      <w:r w:rsidR="006F178E" w:rsidRPr="00326BEB">
        <w:rPr>
          <w:sz w:val="20"/>
          <w:szCs w:val="20"/>
        </w:rPr>
        <w:t xml:space="preserve"> Subsequently, </w:t>
      </w:r>
      <w:r w:rsidR="006F178E" w:rsidRPr="006F178E">
        <w:rPr>
          <w:sz w:val="20"/>
          <w:szCs w:val="20"/>
        </w:rPr>
        <w:t>Andorra</w:t>
      </w:r>
      <w:r w:rsidR="006F178E">
        <w:rPr>
          <w:sz w:val="20"/>
          <w:szCs w:val="20"/>
        </w:rPr>
        <w:t xml:space="preserve">, </w:t>
      </w:r>
      <w:r w:rsidR="006F178E" w:rsidRPr="006F178E">
        <w:rPr>
          <w:sz w:val="20"/>
          <w:szCs w:val="20"/>
        </w:rPr>
        <w:t>Botswana</w:t>
      </w:r>
      <w:r w:rsidR="006F178E">
        <w:rPr>
          <w:sz w:val="20"/>
          <w:szCs w:val="20"/>
        </w:rPr>
        <w:t xml:space="preserve">, Costa Rica, </w:t>
      </w:r>
      <w:r w:rsidR="006F178E" w:rsidRPr="006F178E">
        <w:rPr>
          <w:sz w:val="20"/>
          <w:szCs w:val="20"/>
        </w:rPr>
        <w:t>Japan</w:t>
      </w:r>
      <w:r w:rsidR="006F178E">
        <w:rPr>
          <w:sz w:val="20"/>
          <w:szCs w:val="20"/>
        </w:rPr>
        <w:t xml:space="preserve">, </w:t>
      </w:r>
      <w:r w:rsidR="006F178E" w:rsidRPr="006F178E">
        <w:rPr>
          <w:sz w:val="20"/>
          <w:szCs w:val="20"/>
        </w:rPr>
        <w:t>Monaco</w:t>
      </w:r>
      <w:r w:rsidR="006F178E">
        <w:rPr>
          <w:sz w:val="20"/>
          <w:szCs w:val="20"/>
        </w:rPr>
        <w:t xml:space="preserve">, </w:t>
      </w:r>
      <w:r w:rsidR="006F178E" w:rsidRPr="006F178E">
        <w:rPr>
          <w:sz w:val="20"/>
          <w:szCs w:val="20"/>
        </w:rPr>
        <w:t>New Zealand</w:t>
      </w:r>
      <w:r w:rsidR="006F178E">
        <w:rPr>
          <w:sz w:val="20"/>
          <w:szCs w:val="20"/>
        </w:rPr>
        <w:t xml:space="preserve">, </w:t>
      </w:r>
      <w:r w:rsidR="006F178E" w:rsidRPr="006F178E">
        <w:rPr>
          <w:sz w:val="20"/>
          <w:szCs w:val="20"/>
        </w:rPr>
        <w:t>Norway</w:t>
      </w:r>
      <w:r w:rsidR="006F178E">
        <w:rPr>
          <w:sz w:val="20"/>
          <w:szCs w:val="20"/>
        </w:rPr>
        <w:t xml:space="preserve">, </w:t>
      </w:r>
      <w:r w:rsidR="006F178E" w:rsidRPr="006F178E">
        <w:rPr>
          <w:sz w:val="20"/>
          <w:szCs w:val="20"/>
        </w:rPr>
        <w:t>Poland</w:t>
      </w:r>
      <w:r w:rsidR="006F178E">
        <w:rPr>
          <w:sz w:val="20"/>
          <w:szCs w:val="20"/>
        </w:rPr>
        <w:t xml:space="preserve">, </w:t>
      </w:r>
      <w:r w:rsidR="006F178E" w:rsidRPr="006F178E">
        <w:rPr>
          <w:sz w:val="20"/>
          <w:szCs w:val="20"/>
        </w:rPr>
        <w:t>Portugal</w:t>
      </w:r>
      <w:r w:rsidR="006F178E">
        <w:rPr>
          <w:sz w:val="20"/>
          <w:szCs w:val="20"/>
        </w:rPr>
        <w:t xml:space="preserve">, the </w:t>
      </w:r>
      <w:r w:rsidR="006F178E" w:rsidRPr="006F178E">
        <w:rPr>
          <w:sz w:val="20"/>
          <w:szCs w:val="20"/>
        </w:rPr>
        <w:t>Republic of Korea</w:t>
      </w:r>
      <w:r w:rsidR="006F178E">
        <w:rPr>
          <w:sz w:val="20"/>
          <w:szCs w:val="20"/>
        </w:rPr>
        <w:t xml:space="preserve"> and </w:t>
      </w:r>
      <w:r w:rsidR="006F178E" w:rsidRPr="006F178E">
        <w:rPr>
          <w:sz w:val="20"/>
          <w:szCs w:val="20"/>
        </w:rPr>
        <w:t>Switzerland</w:t>
      </w:r>
      <w:r w:rsidR="006F178E">
        <w:rPr>
          <w:sz w:val="20"/>
          <w:szCs w:val="20"/>
        </w:rPr>
        <w:t xml:space="preserve"> </w:t>
      </w:r>
      <w:r w:rsidR="006F178E" w:rsidRPr="00326BEB">
        <w:rPr>
          <w:sz w:val="20"/>
          <w:szCs w:val="20"/>
        </w:rPr>
        <w:t>joined the sponsors.</w:t>
      </w:r>
    </w:p>
    <w:p w14:paraId="303E5795" w14:textId="737566F6" w:rsidR="006F178E" w:rsidRDefault="00A962FF" w:rsidP="006F178E">
      <w:pPr>
        <w:spacing w:after="120"/>
        <w:ind w:left="1134" w:right="1134"/>
        <w:jc w:val="both"/>
        <w:rPr>
          <w:sz w:val="20"/>
          <w:szCs w:val="20"/>
        </w:rPr>
      </w:pPr>
      <w:r>
        <w:rPr>
          <w:sz w:val="20"/>
          <w:szCs w:val="20"/>
        </w:rPr>
        <w:t>284</w:t>
      </w:r>
      <w:r w:rsidR="006F178E" w:rsidRPr="00E86201">
        <w:rPr>
          <w:sz w:val="20"/>
          <w:szCs w:val="20"/>
        </w:rPr>
        <w:t>.</w:t>
      </w:r>
      <w:r w:rsidR="006F178E" w:rsidRPr="00E86201">
        <w:rPr>
          <w:sz w:val="20"/>
          <w:szCs w:val="20"/>
        </w:rPr>
        <w:tab/>
        <w:t>At the same meeting, the representative</w:t>
      </w:r>
      <w:r w:rsidR="006F178E">
        <w:rPr>
          <w:sz w:val="20"/>
          <w:szCs w:val="20"/>
        </w:rPr>
        <w:t>s</w:t>
      </w:r>
      <w:r w:rsidR="006F178E" w:rsidRPr="00E86201">
        <w:rPr>
          <w:sz w:val="20"/>
          <w:szCs w:val="20"/>
        </w:rPr>
        <w:t xml:space="preserve"> of </w:t>
      </w:r>
      <w:r w:rsidR="006F178E" w:rsidRPr="006F178E">
        <w:rPr>
          <w:sz w:val="20"/>
          <w:szCs w:val="20"/>
        </w:rPr>
        <w:t>Australia, Bulgaria (</w:t>
      </w:r>
      <w:r w:rsidR="006F178E" w:rsidRPr="00157757">
        <w:rPr>
          <w:sz w:val="20"/>
          <w:szCs w:val="20"/>
        </w:rPr>
        <w:t>on behalf of States members of the European Union that are members of the Council</w:t>
      </w:r>
      <w:r w:rsidR="006F178E" w:rsidRPr="006F178E">
        <w:rPr>
          <w:sz w:val="20"/>
          <w:szCs w:val="20"/>
        </w:rPr>
        <w:t>), Cuba, Iraq</w:t>
      </w:r>
      <w:r w:rsidR="006F178E">
        <w:rPr>
          <w:sz w:val="20"/>
          <w:szCs w:val="20"/>
        </w:rPr>
        <w:t xml:space="preserve"> and </w:t>
      </w:r>
      <w:r w:rsidR="006F178E" w:rsidRPr="006F178E">
        <w:rPr>
          <w:sz w:val="20"/>
          <w:szCs w:val="20"/>
        </w:rPr>
        <w:t xml:space="preserve">Peru </w:t>
      </w:r>
      <w:r w:rsidR="00CB6130">
        <w:rPr>
          <w:sz w:val="20"/>
          <w:szCs w:val="20"/>
        </w:rPr>
        <w:t xml:space="preserve">(also on behalf of Brazil, Mexico and Panama) </w:t>
      </w:r>
      <w:r w:rsidR="006F178E" w:rsidRPr="00E86201">
        <w:rPr>
          <w:sz w:val="20"/>
          <w:szCs w:val="20"/>
        </w:rPr>
        <w:t>made general comments on the draft resolution.</w:t>
      </w:r>
    </w:p>
    <w:p w14:paraId="41B97CE0" w14:textId="43788EB0" w:rsidR="0079113D" w:rsidRDefault="00A962FF" w:rsidP="0079113D">
      <w:pPr>
        <w:spacing w:after="120"/>
        <w:ind w:left="1134" w:right="1134"/>
        <w:jc w:val="both"/>
        <w:rPr>
          <w:sz w:val="20"/>
          <w:szCs w:val="20"/>
        </w:rPr>
      </w:pPr>
      <w:r>
        <w:rPr>
          <w:sz w:val="20"/>
          <w:szCs w:val="20"/>
        </w:rPr>
        <w:t>285</w:t>
      </w:r>
      <w:r w:rsidR="006F178E" w:rsidRPr="00326BEB">
        <w:rPr>
          <w:sz w:val="20"/>
          <w:szCs w:val="20"/>
        </w:rPr>
        <w:t>.</w:t>
      </w:r>
      <w:r w:rsidR="006F178E" w:rsidRPr="00326BEB">
        <w:rPr>
          <w:sz w:val="20"/>
          <w:szCs w:val="20"/>
        </w:rPr>
        <w:tab/>
        <w:t>In accordance with rule 153 of the rules of procedure of the General Assembly, the attention of the Human Rights Council was drawn to the estimated administrative and programme budget implications of the draft resolution.</w:t>
      </w:r>
    </w:p>
    <w:p w14:paraId="1D58844B" w14:textId="2B66D292" w:rsidR="00CB6130" w:rsidRDefault="00A962FF" w:rsidP="0079113D">
      <w:pPr>
        <w:spacing w:after="120"/>
        <w:ind w:left="1134" w:right="1134"/>
        <w:jc w:val="both"/>
        <w:rPr>
          <w:sz w:val="20"/>
          <w:szCs w:val="20"/>
        </w:rPr>
      </w:pPr>
      <w:r>
        <w:rPr>
          <w:sz w:val="20"/>
          <w:szCs w:val="20"/>
        </w:rPr>
        <w:lastRenderedPageBreak/>
        <w:t>286</w:t>
      </w:r>
      <w:r w:rsidR="00CB6130" w:rsidRPr="00E23221">
        <w:rPr>
          <w:sz w:val="20"/>
          <w:szCs w:val="20"/>
        </w:rPr>
        <w:t>.</w:t>
      </w:r>
      <w:r w:rsidR="00CB6130" w:rsidRPr="00E23221">
        <w:rPr>
          <w:sz w:val="20"/>
          <w:szCs w:val="20"/>
        </w:rPr>
        <w:tab/>
        <w:t xml:space="preserve">Also at the same meeting, the representative of </w:t>
      </w:r>
      <w:r w:rsidR="00CB6130">
        <w:rPr>
          <w:sz w:val="20"/>
          <w:szCs w:val="20"/>
        </w:rPr>
        <w:t xml:space="preserve">the </w:t>
      </w:r>
      <w:r w:rsidR="00CB6130" w:rsidRPr="00CB6130">
        <w:rPr>
          <w:sz w:val="20"/>
          <w:szCs w:val="20"/>
        </w:rPr>
        <w:t>Syrian Arab Republic</w:t>
      </w:r>
      <w:r w:rsidR="00CB6130" w:rsidRPr="00E23221">
        <w:rPr>
          <w:sz w:val="20"/>
          <w:szCs w:val="20"/>
        </w:rPr>
        <w:t xml:space="preserve"> made a statement as the State concerned.</w:t>
      </w:r>
    </w:p>
    <w:p w14:paraId="12CC9405" w14:textId="53ADC2CF" w:rsidR="0079113D" w:rsidRPr="0023658A" w:rsidRDefault="00A962FF" w:rsidP="0079113D">
      <w:pPr>
        <w:spacing w:after="120"/>
        <w:ind w:left="1134" w:right="1134"/>
        <w:jc w:val="both"/>
        <w:rPr>
          <w:sz w:val="20"/>
          <w:szCs w:val="20"/>
        </w:rPr>
      </w:pPr>
      <w:r>
        <w:rPr>
          <w:sz w:val="20"/>
          <w:szCs w:val="20"/>
        </w:rPr>
        <w:t>287</w:t>
      </w:r>
      <w:r w:rsidR="0079113D" w:rsidRPr="0023658A">
        <w:rPr>
          <w:sz w:val="20"/>
          <w:szCs w:val="20"/>
        </w:rPr>
        <w:t>.</w:t>
      </w:r>
      <w:r w:rsidR="0079113D" w:rsidRPr="0023658A">
        <w:rPr>
          <w:sz w:val="20"/>
          <w:szCs w:val="20"/>
        </w:rPr>
        <w:tab/>
      </w:r>
      <w:r w:rsidR="0079113D" w:rsidRPr="0023658A">
        <w:rPr>
          <w:rFonts w:eastAsia="SimSun"/>
          <w:sz w:val="20"/>
          <w:szCs w:val="20"/>
          <w:lang w:eastAsia="ar-SA"/>
        </w:rPr>
        <w:t>At the same meeting</w:t>
      </w:r>
      <w:r w:rsidR="0079113D" w:rsidRPr="0023658A">
        <w:rPr>
          <w:sz w:val="20"/>
          <w:szCs w:val="20"/>
        </w:rPr>
        <w:t xml:space="preserve">, the representatives of </w:t>
      </w:r>
      <w:r w:rsidR="0079113D" w:rsidRPr="0079113D">
        <w:rPr>
          <w:sz w:val="20"/>
          <w:szCs w:val="20"/>
        </w:rPr>
        <w:t>China</w:t>
      </w:r>
      <w:r w:rsidR="0079113D">
        <w:rPr>
          <w:sz w:val="20"/>
          <w:szCs w:val="20"/>
        </w:rPr>
        <w:t>,</w:t>
      </w:r>
      <w:r w:rsidR="0079113D" w:rsidRPr="0079113D">
        <w:rPr>
          <w:sz w:val="20"/>
          <w:szCs w:val="20"/>
        </w:rPr>
        <w:t xml:space="preserve"> Egypt and Uruguay</w:t>
      </w:r>
      <w:r w:rsidR="0079113D">
        <w:rPr>
          <w:sz w:val="20"/>
          <w:szCs w:val="20"/>
        </w:rPr>
        <w:t xml:space="preserve"> </w:t>
      </w:r>
      <w:r w:rsidR="0079113D" w:rsidRPr="0023658A">
        <w:rPr>
          <w:sz w:val="20"/>
          <w:szCs w:val="20"/>
        </w:rPr>
        <w:t>made statements in explanation of vote before the vote.</w:t>
      </w:r>
    </w:p>
    <w:p w14:paraId="4D574E5F" w14:textId="1DD261CE" w:rsidR="0079113D" w:rsidRPr="0023658A" w:rsidRDefault="00A962FF" w:rsidP="0079113D">
      <w:pPr>
        <w:pStyle w:val="SingleTxtG"/>
        <w:rPr>
          <w:sz w:val="20"/>
          <w:szCs w:val="20"/>
        </w:rPr>
      </w:pPr>
      <w:r>
        <w:rPr>
          <w:sz w:val="20"/>
          <w:szCs w:val="20"/>
        </w:rPr>
        <w:t>288</w:t>
      </w:r>
      <w:r w:rsidR="0079113D" w:rsidRPr="0023658A">
        <w:rPr>
          <w:sz w:val="20"/>
          <w:szCs w:val="20"/>
        </w:rPr>
        <w:t>.</w:t>
      </w:r>
      <w:r w:rsidR="0079113D" w:rsidRPr="0023658A">
        <w:rPr>
          <w:sz w:val="20"/>
          <w:szCs w:val="20"/>
        </w:rPr>
        <w:tab/>
        <w:t xml:space="preserve">Also at the same meeting, at the request of the representative of </w:t>
      </w:r>
      <w:r w:rsidR="0079113D">
        <w:rPr>
          <w:sz w:val="20"/>
          <w:szCs w:val="20"/>
        </w:rPr>
        <w:t>Cuba</w:t>
      </w:r>
      <w:r w:rsidR="0079113D" w:rsidRPr="0023658A">
        <w:rPr>
          <w:sz w:val="20"/>
          <w:szCs w:val="20"/>
        </w:rPr>
        <w:t>, a recorded vote was taken on the draft resolution. The voting was as follows:</w:t>
      </w:r>
    </w:p>
    <w:p w14:paraId="2E8DB47A" w14:textId="77777777" w:rsidR="0079113D" w:rsidRPr="0079113D" w:rsidRDefault="0079113D" w:rsidP="0079113D">
      <w:pPr>
        <w:pStyle w:val="SingleTxtG"/>
        <w:spacing w:after="0"/>
        <w:ind w:left="1701"/>
        <w:rPr>
          <w:sz w:val="20"/>
          <w:szCs w:val="20"/>
        </w:rPr>
      </w:pPr>
      <w:r w:rsidRPr="0079113D">
        <w:rPr>
          <w:i/>
          <w:iCs/>
          <w:sz w:val="20"/>
          <w:szCs w:val="20"/>
        </w:rPr>
        <w:t>In favour</w:t>
      </w:r>
      <w:r w:rsidRPr="0079113D">
        <w:rPr>
          <w:sz w:val="20"/>
          <w:szCs w:val="20"/>
        </w:rPr>
        <w:t xml:space="preserve">: </w:t>
      </w:r>
    </w:p>
    <w:p w14:paraId="0D517D8C" w14:textId="77777777" w:rsidR="0079113D" w:rsidRPr="0079113D" w:rsidRDefault="0079113D" w:rsidP="0079113D">
      <w:pPr>
        <w:pStyle w:val="SingleTxtG"/>
        <w:ind w:left="2268"/>
        <w:rPr>
          <w:sz w:val="20"/>
          <w:szCs w:val="20"/>
        </w:rPr>
      </w:pPr>
      <w:r w:rsidRPr="0079113D">
        <w:rPr>
          <w:sz w:val="20"/>
          <w:szCs w:val="20"/>
        </w:rPr>
        <w:t>Afghanistan, Argentina, Australia, Austria, Bahamas, Brazil, Bulgaria, Burkina Faso, Chile, Croatia, Czechia, Denmark, Fiji, Hungary, Iceland, Italy, Japan, Mexico, Peru, Qatar, Rwanda, Saudi Arabia, Slovakia, Spain, Togo, Ukraine, United Kingdom of Great Britain and Northern Ireland, Uruguay</w:t>
      </w:r>
    </w:p>
    <w:p w14:paraId="0A4A1371" w14:textId="77777777" w:rsidR="0079113D" w:rsidRPr="0079113D" w:rsidRDefault="0079113D" w:rsidP="0079113D">
      <w:pPr>
        <w:pStyle w:val="SingleTxtG"/>
        <w:spacing w:after="0"/>
        <w:ind w:left="1701"/>
        <w:rPr>
          <w:sz w:val="20"/>
          <w:szCs w:val="20"/>
        </w:rPr>
      </w:pPr>
      <w:r w:rsidRPr="0079113D">
        <w:rPr>
          <w:i/>
          <w:iCs/>
          <w:sz w:val="20"/>
          <w:szCs w:val="20"/>
        </w:rPr>
        <w:t>Against</w:t>
      </w:r>
      <w:r w:rsidRPr="0079113D">
        <w:rPr>
          <w:sz w:val="20"/>
          <w:szCs w:val="20"/>
        </w:rPr>
        <w:t xml:space="preserve">: </w:t>
      </w:r>
    </w:p>
    <w:p w14:paraId="56D896A3" w14:textId="77777777" w:rsidR="0079113D" w:rsidRPr="0079113D" w:rsidRDefault="0079113D" w:rsidP="0079113D">
      <w:pPr>
        <w:pStyle w:val="SingleTxtG"/>
        <w:ind w:left="2268"/>
        <w:rPr>
          <w:sz w:val="20"/>
          <w:szCs w:val="20"/>
        </w:rPr>
      </w:pPr>
      <w:r w:rsidRPr="0079113D">
        <w:rPr>
          <w:sz w:val="20"/>
          <w:szCs w:val="20"/>
        </w:rPr>
        <w:t>China, Cuba, Egypt, Eritrea, Iraq</w:t>
      </w:r>
    </w:p>
    <w:p w14:paraId="4E17DB15" w14:textId="77777777" w:rsidR="0079113D" w:rsidRPr="0079113D" w:rsidRDefault="0079113D" w:rsidP="0079113D">
      <w:pPr>
        <w:pStyle w:val="SingleTxtG"/>
        <w:spacing w:after="0"/>
        <w:ind w:left="1701"/>
        <w:rPr>
          <w:sz w:val="20"/>
          <w:szCs w:val="20"/>
        </w:rPr>
      </w:pPr>
      <w:r w:rsidRPr="0079113D">
        <w:rPr>
          <w:i/>
          <w:iCs/>
          <w:sz w:val="20"/>
          <w:szCs w:val="20"/>
        </w:rPr>
        <w:t>Abstaining</w:t>
      </w:r>
      <w:r w:rsidRPr="0079113D">
        <w:rPr>
          <w:sz w:val="20"/>
          <w:szCs w:val="20"/>
        </w:rPr>
        <w:t xml:space="preserve">: </w:t>
      </w:r>
    </w:p>
    <w:p w14:paraId="043C95BD" w14:textId="40E480FB" w:rsidR="0079113D" w:rsidRPr="0079113D" w:rsidRDefault="0079113D" w:rsidP="0079113D">
      <w:pPr>
        <w:pStyle w:val="SingleTxtG"/>
        <w:ind w:left="2268"/>
        <w:rPr>
          <w:sz w:val="20"/>
          <w:szCs w:val="20"/>
        </w:rPr>
      </w:pPr>
      <w:r w:rsidRPr="0079113D">
        <w:rPr>
          <w:sz w:val="20"/>
          <w:szCs w:val="20"/>
        </w:rPr>
        <w:t>Angola, Bahrain, Bangladesh, Cameroon, Democratic Republic of the Congo, India, Nepal, Nigeria, Pakistan, Philippines, Senegal, Somalia, South Africa, Tunisia</w:t>
      </w:r>
    </w:p>
    <w:p w14:paraId="78388A34" w14:textId="5379F0CD" w:rsidR="00FB3393" w:rsidRDefault="00A962FF" w:rsidP="004443C8">
      <w:pPr>
        <w:pStyle w:val="SingleTxtG"/>
        <w:rPr>
          <w:rFonts w:eastAsia="SimSun"/>
          <w:sz w:val="20"/>
          <w:szCs w:val="20"/>
          <w:lang w:eastAsia="ar-SA"/>
        </w:rPr>
      </w:pPr>
      <w:r>
        <w:rPr>
          <w:rFonts w:eastAsia="SimSun"/>
          <w:sz w:val="20"/>
          <w:szCs w:val="20"/>
          <w:lang w:eastAsia="ar-SA"/>
        </w:rPr>
        <w:t>289</w:t>
      </w:r>
      <w:r w:rsidR="0079113D" w:rsidRPr="0023658A">
        <w:rPr>
          <w:rFonts w:eastAsia="SimSun"/>
          <w:sz w:val="20"/>
          <w:szCs w:val="20"/>
          <w:lang w:eastAsia="ar-SA"/>
        </w:rPr>
        <w:t>.</w:t>
      </w:r>
      <w:r w:rsidR="0079113D" w:rsidRPr="0023658A">
        <w:rPr>
          <w:rFonts w:eastAsia="SimSun"/>
          <w:sz w:val="20"/>
          <w:szCs w:val="20"/>
          <w:lang w:eastAsia="ar-SA"/>
        </w:rPr>
        <w:tab/>
        <w:t xml:space="preserve">The draft resolution was adopted by </w:t>
      </w:r>
      <w:r w:rsidR="0079113D">
        <w:rPr>
          <w:rFonts w:eastAsia="SimSun"/>
          <w:sz w:val="20"/>
          <w:szCs w:val="20"/>
          <w:lang w:eastAsia="ar-SA"/>
        </w:rPr>
        <w:t>28</w:t>
      </w:r>
      <w:r w:rsidR="0079113D" w:rsidRPr="0023658A">
        <w:rPr>
          <w:sz w:val="20"/>
          <w:szCs w:val="20"/>
          <w:lang w:eastAsia="ar-SA"/>
        </w:rPr>
        <w:t xml:space="preserve"> votes to </w:t>
      </w:r>
      <w:r w:rsidR="0079113D">
        <w:rPr>
          <w:sz w:val="20"/>
          <w:szCs w:val="20"/>
          <w:lang w:eastAsia="ar-SA"/>
        </w:rPr>
        <w:t>5</w:t>
      </w:r>
      <w:r w:rsidR="0079113D" w:rsidRPr="0023658A">
        <w:rPr>
          <w:sz w:val="20"/>
          <w:szCs w:val="20"/>
          <w:lang w:eastAsia="ar-SA"/>
        </w:rPr>
        <w:t xml:space="preserve">, with </w:t>
      </w:r>
      <w:r w:rsidR="0079113D">
        <w:rPr>
          <w:sz w:val="20"/>
          <w:szCs w:val="20"/>
          <w:lang w:eastAsia="ar-SA"/>
        </w:rPr>
        <w:t>14</w:t>
      </w:r>
      <w:r w:rsidR="0079113D" w:rsidRPr="0023658A">
        <w:rPr>
          <w:sz w:val="20"/>
          <w:szCs w:val="20"/>
          <w:lang w:eastAsia="ar-SA"/>
        </w:rPr>
        <w:t xml:space="preserve"> abstentions</w:t>
      </w:r>
      <w:r w:rsidR="0079113D" w:rsidRPr="0023658A">
        <w:rPr>
          <w:rFonts w:eastAsia="SimSun"/>
          <w:sz w:val="20"/>
          <w:szCs w:val="20"/>
          <w:lang w:eastAsia="ar-SA"/>
        </w:rPr>
        <w:t xml:space="preserve"> (resolution </w:t>
      </w:r>
      <w:r w:rsidR="0079113D">
        <w:rPr>
          <w:rFonts w:eastAsia="SimSun"/>
          <w:sz w:val="20"/>
          <w:szCs w:val="20"/>
          <w:lang w:eastAsia="ar-SA"/>
        </w:rPr>
        <w:t>40/17</w:t>
      </w:r>
      <w:r w:rsidR="0079113D" w:rsidRPr="0023658A">
        <w:rPr>
          <w:rFonts w:eastAsia="SimSun"/>
          <w:sz w:val="20"/>
          <w:szCs w:val="20"/>
          <w:lang w:eastAsia="ar-SA"/>
        </w:rPr>
        <w:t>).</w:t>
      </w:r>
    </w:p>
    <w:p w14:paraId="40D78731" w14:textId="2F7B4BB9" w:rsidR="006B4EE1" w:rsidRDefault="00583EAF" w:rsidP="006B4EE1">
      <w:pPr>
        <w:pStyle w:val="SingleTxtG"/>
        <w:rPr>
          <w:rFonts w:eastAsia="SimSun"/>
          <w:sz w:val="20"/>
          <w:szCs w:val="20"/>
          <w:lang w:eastAsia="ar-SA"/>
        </w:rPr>
      </w:pPr>
      <w:r>
        <w:rPr>
          <w:rFonts w:eastAsia="SimSun"/>
          <w:sz w:val="20"/>
          <w:szCs w:val="20"/>
          <w:lang w:eastAsia="ar-SA"/>
        </w:rPr>
        <w:t>290</w:t>
      </w:r>
      <w:r w:rsidR="006B4EE1" w:rsidRPr="000B65FE">
        <w:rPr>
          <w:rFonts w:eastAsia="SimSun"/>
          <w:sz w:val="20"/>
          <w:szCs w:val="20"/>
          <w:lang w:eastAsia="ar-SA"/>
        </w:rPr>
        <w:t>.</w:t>
      </w:r>
      <w:r w:rsidR="006B4EE1" w:rsidRPr="000B65FE">
        <w:rPr>
          <w:rFonts w:eastAsia="SimSun"/>
          <w:sz w:val="20"/>
          <w:szCs w:val="20"/>
          <w:lang w:eastAsia="ar-SA"/>
        </w:rPr>
        <w:tab/>
        <w:t xml:space="preserve">At the </w:t>
      </w:r>
      <w:r w:rsidR="006B4EE1">
        <w:rPr>
          <w:rFonts w:eastAsia="SimSun"/>
          <w:sz w:val="20"/>
          <w:szCs w:val="20"/>
          <w:lang w:eastAsia="ar-SA"/>
        </w:rPr>
        <w:t xml:space="preserve">55th </w:t>
      </w:r>
      <w:r w:rsidR="006B4EE1" w:rsidRPr="000B65FE">
        <w:rPr>
          <w:rFonts w:eastAsia="SimSun"/>
          <w:sz w:val="20"/>
          <w:szCs w:val="20"/>
          <w:lang w:eastAsia="ar-SA"/>
        </w:rPr>
        <w:t xml:space="preserve">meeting, </w:t>
      </w:r>
      <w:r w:rsidR="006B4EE1" w:rsidRPr="00326BEB">
        <w:rPr>
          <w:sz w:val="20"/>
          <w:szCs w:val="20"/>
        </w:rPr>
        <w:t xml:space="preserve">on </w:t>
      </w:r>
      <w:r w:rsidR="006B4EE1">
        <w:rPr>
          <w:sz w:val="20"/>
          <w:szCs w:val="20"/>
        </w:rPr>
        <w:t xml:space="preserve">22 March 2019, </w:t>
      </w:r>
      <w:r w:rsidR="006B4EE1" w:rsidRPr="000B65FE">
        <w:rPr>
          <w:rFonts w:eastAsia="SimSun"/>
          <w:sz w:val="20"/>
          <w:szCs w:val="20"/>
          <w:lang w:eastAsia="ar-SA"/>
        </w:rPr>
        <w:t>the representative</w:t>
      </w:r>
      <w:r w:rsidR="006B4EE1">
        <w:rPr>
          <w:rFonts w:eastAsia="SimSun"/>
          <w:sz w:val="20"/>
          <w:szCs w:val="20"/>
          <w:lang w:eastAsia="ar-SA"/>
        </w:rPr>
        <w:t>s</w:t>
      </w:r>
      <w:r w:rsidR="006B4EE1" w:rsidRPr="000B65FE">
        <w:rPr>
          <w:rFonts w:eastAsia="SimSun"/>
          <w:sz w:val="20"/>
          <w:szCs w:val="20"/>
          <w:lang w:eastAsia="ar-SA"/>
        </w:rPr>
        <w:t xml:space="preserve"> of </w:t>
      </w:r>
      <w:r w:rsidR="006B4EE1" w:rsidRPr="006607E1">
        <w:rPr>
          <w:rFonts w:eastAsia="SimSun"/>
          <w:sz w:val="20"/>
          <w:szCs w:val="20"/>
          <w:lang w:eastAsia="ar-SA"/>
        </w:rPr>
        <w:t xml:space="preserve">Chile </w:t>
      </w:r>
      <w:r w:rsidR="006B4EE1">
        <w:rPr>
          <w:sz w:val="20"/>
          <w:szCs w:val="20"/>
        </w:rPr>
        <w:t xml:space="preserve">and </w:t>
      </w:r>
      <w:r w:rsidR="006B4EE1" w:rsidRPr="006607E1">
        <w:rPr>
          <w:rFonts w:eastAsia="SimSun"/>
          <w:sz w:val="20"/>
          <w:szCs w:val="20"/>
          <w:lang w:eastAsia="ar-SA"/>
        </w:rPr>
        <w:t>Eritrea</w:t>
      </w:r>
      <w:r w:rsidR="006B4EE1">
        <w:rPr>
          <w:rFonts w:eastAsia="SimSun"/>
          <w:sz w:val="20"/>
          <w:szCs w:val="20"/>
          <w:lang w:eastAsia="ar-SA"/>
        </w:rPr>
        <w:t xml:space="preserve"> made</w:t>
      </w:r>
      <w:r w:rsidR="006B4EE1" w:rsidRPr="000B65FE">
        <w:rPr>
          <w:rFonts w:eastAsia="SimSun"/>
          <w:sz w:val="20"/>
          <w:szCs w:val="20"/>
          <w:lang w:eastAsia="ar-SA"/>
        </w:rPr>
        <w:t xml:space="preserve"> statement</w:t>
      </w:r>
      <w:r w:rsidR="006B4EE1">
        <w:rPr>
          <w:rFonts w:eastAsia="SimSun"/>
          <w:sz w:val="20"/>
          <w:szCs w:val="20"/>
          <w:lang w:eastAsia="ar-SA"/>
        </w:rPr>
        <w:t>s</w:t>
      </w:r>
      <w:r w:rsidR="006B4EE1" w:rsidRPr="000B65FE">
        <w:rPr>
          <w:rFonts w:eastAsia="SimSun"/>
          <w:sz w:val="20"/>
          <w:szCs w:val="20"/>
          <w:lang w:eastAsia="ar-SA"/>
        </w:rPr>
        <w:t xml:space="preserve"> in explanation of vote after the vote.</w:t>
      </w:r>
      <w:r w:rsidR="006B4EE1">
        <w:rPr>
          <w:rFonts w:eastAsia="SimSun"/>
          <w:sz w:val="20"/>
          <w:szCs w:val="20"/>
          <w:lang w:eastAsia="ar-SA"/>
        </w:rPr>
        <w:t xml:space="preserve"> </w:t>
      </w:r>
    </w:p>
    <w:p w14:paraId="6F57C20E" w14:textId="6871FE60" w:rsidR="004443C8" w:rsidRDefault="006E030F" w:rsidP="004443C8">
      <w:pPr>
        <w:pStyle w:val="SingleTxtG"/>
        <w:rPr>
          <w:b/>
          <w:sz w:val="20"/>
          <w:szCs w:val="20"/>
        </w:rPr>
      </w:pPr>
      <w:r w:rsidRPr="006E030F">
        <w:rPr>
          <w:b/>
          <w:sz w:val="20"/>
          <w:szCs w:val="20"/>
        </w:rPr>
        <w:t>Situation of human rights in the Islamic Republic of Iran</w:t>
      </w:r>
    </w:p>
    <w:p w14:paraId="14BC946A" w14:textId="3A49E399" w:rsidR="004443C8" w:rsidRDefault="00583EAF" w:rsidP="004443C8">
      <w:pPr>
        <w:pStyle w:val="SingleTxtG"/>
        <w:rPr>
          <w:sz w:val="20"/>
          <w:szCs w:val="20"/>
        </w:rPr>
      </w:pPr>
      <w:r>
        <w:rPr>
          <w:sz w:val="20"/>
          <w:szCs w:val="20"/>
        </w:rPr>
        <w:t>291</w:t>
      </w:r>
      <w:r w:rsidR="004443C8" w:rsidRPr="00326BEB">
        <w:rPr>
          <w:sz w:val="20"/>
          <w:szCs w:val="20"/>
        </w:rPr>
        <w:t>.</w:t>
      </w:r>
      <w:r w:rsidR="004443C8" w:rsidRPr="00326BEB">
        <w:rPr>
          <w:sz w:val="20"/>
          <w:szCs w:val="20"/>
        </w:rPr>
        <w:tab/>
        <w:t xml:space="preserve">At the </w:t>
      </w:r>
      <w:r w:rsidR="004443C8">
        <w:rPr>
          <w:sz w:val="20"/>
          <w:szCs w:val="20"/>
        </w:rPr>
        <w:t>53rd</w:t>
      </w:r>
      <w:r w:rsidR="004443C8" w:rsidRPr="00326BEB">
        <w:rPr>
          <w:sz w:val="20"/>
          <w:szCs w:val="20"/>
        </w:rPr>
        <w:t xml:space="preserve"> meeting, on </w:t>
      </w:r>
      <w:r w:rsidR="004443C8">
        <w:rPr>
          <w:sz w:val="20"/>
          <w:szCs w:val="20"/>
        </w:rPr>
        <w:t>22 March 2019</w:t>
      </w:r>
      <w:r w:rsidR="004443C8" w:rsidRPr="00326BEB">
        <w:rPr>
          <w:sz w:val="20"/>
          <w:szCs w:val="20"/>
        </w:rPr>
        <w:t xml:space="preserve">, the representative of </w:t>
      </w:r>
      <w:r w:rsidR="006E030F">
        <w:rPr>
          <w:sz w:val="20"/>
          <w:szCs w:val="20"/>
        </w:rPr>
        <w:t xml:space="preserve">Sweden (also on behalf of </w:t>
      </w:r>
      <w:r w:rsidR="006E030F" w:rsidRPr="006E030F">
        <w:rPr>
          <w:sz w:val="20"/>
          <w:szCs w:val="20"/>
        </w:rPr>
        <w:t>North Macedon</w:t>
      </w:r>
      <w:r w:rsidR="006E030F">
        <w:rPr>
          <w:sz w:val="20"/>
          <w:szCs w:val="20"/>
        </w:rPr>
        <w:t xml:space="preserve">ia, the Republic of Moldova </w:t>
      </w:r>
      <w:r w:rsidR="006E030F" w:rsidRPr="006E030F">
        <w:rPr>
          <w:sz w:val="20"/>
          <w:szCs w:val="20"/>
        </w:rPr>
        <w:t xml:space="preserve">and </w:t>
      </w:r>
      <w:r w:rsidR="006E030F">
        <w:rPr>
          <w:sz w:val="20"/>
          <w:szCs w:val="20"/>
        </w:rPr>
        <w:t xml:space="preserve">the </w:t>
      </w:r>
      <w:r w:rsidR="006E030F" w:rsidRPr="006E030F">
        <w:rPr>
          <w:sz w:val="20"/>
          <w:szCs w:val="20"/>
        </w:rPr>
        <w:t>United Kingdom of Great Britain and Northern Ireland</w:t>
      </w:r>
      <w:r w:rsidR="006E030F">
        <w:rPr>
          <w:sz w:val="20"/>
          <w:szCs w:val="20"/>
        </w:rPr>
        <w:t xml:space="preserve">) </w:t>
      </w:r>
      <w:r w:rsidR="004443C8" w:rsidRPr="00326BEB">
        <w:rPr>
          <w:sz w:val="20"/>
          <w:szCs w:val="20"/>
        </w:rPr>
        <w:t>introduced draft resolution A/HRC/</w:t>
      </w:r>
      <w:r w:rsidR="004443C8">
        <w:rPr>
          <w:sz w:val="20"/>
          <w:szCs w:val="20"/>
        </w:rPr>
        <w:t>40</w:t>
      </w:r>
      <w:r w:rsidR="004443C8" w:rsidRPr="00326BEB">
        <w:rPr>
          <w:sz w:val="20"/>
          <w:szCs w:val="20"/>
        </w:rPr>
        <w:t>/L.</w:t>
      </w:r>
      <w:r w:rsidR="006E030F">
        <w:rPr>
          <w:sz w:val="20"/>
          <w:szCs w:val="20"/>
        </w:rPr>
        <w:t>15</w:t>
      </w:r>
      <w:r w:rsidR="004443C8" w:rsidRPr="00326BEB">
        <w:rPr>
          <w:sz w:val="20"/>
          <w:szCs w:val="20"/>
        </w:rPr>
        <w:t xml:space="preserve">, sponsored by </w:t>
      </w:r>
      <w:r w:rsidR="006E030F" w:rsidRPr="006E030F">
        <w:rPr>
          <w:sz w:val="20"/>
          <w:szCs w:val="20"/>
        </w:rPr>
        <w:t xml:space="preserve">North Macedonia, </w:t>
      </w:r>
      <w:r w:rsidR="006E030F">
        <w:rPr>
          <w:sz w:val="20"/>
          <w:szCs w:val="20"/>
        </w:rPr>
        <w:t xml:space="preserve">the </w:t>
      </w:r>
      <w:r w:rsidR="006E030F" w:rsidRPr="006E030F">
        <w:rPr>
          <w:sz w:val="20"/>
          <w:szCs w:val="20"/>
        </w:rPr>
        <w:t>Republic of Moldova, Sweden and the United Kingdom of Great Britain and Northern Ireland</w:t>
      </w:r>
      <w:r w:rsidR="006E030F">
        <w:rPr>
          <w:sz w:val="20"/>
          <w:szCs w:val="20"/>
        </w:rPr>
        <w:t xml:space="preserve"> </w:t>
      </w:r>
      <w:r w:rsidR="004443C8">
        <w:rPr>
          <w:sz w:val="20"/>
          <w:szCs w:val="20"/>
        </w:rPr>
        <w:t xml:space="preserve">and co-sponsored by </w:t>
      </w:r>
      <w:r w:rsidR="006E030F" w:rsidRPr="006E030F">
        <w:rPr>
          <w:sz w:val="20"/>
          <w:szCs w:val="20"/>
        </w:rPr>
        <w:t xml:space="preserve">Albania, Australia, Austria, Belgium, Bulgaria, Canada, Croatia, Cyprus, Czechia, Denmark, Estonia, Finland, France, Germany, Iceland, Ireland, Israel, Italy, Latvia, Liechtenstein, Lithuania, Luxembourg, Malta, Monaco, Montenegro, </w:t>
      </w:r>
      <w:r w:rsidR="006E030F">
        <w:rPr>
          <w:sz w:val="20"/>
          <w:szCs w:val="20"/>
        </w:rPr>
        <w:t xml:space="preserve">the </w:t>
      </w:r>
      <w:r w:rsidR="006E030F" w:rsidRPr="006E030F">
        <w:rPr>
          <w:sz w:val="20"/>
          <w:szCs w:val="20"/>
        </w:rPr>
        <w:t>Netherlands, Norway, Poland, Portugal, Romania, Slovakia, Slovenia, Spain</w:t>
      </w:r>
      <w:r w:rsidR="004443C8">
        <w:rPr>
          <w:sz w:val="20"/>
          <w:szCs w:val="20"/>
        </w:rPr>
        <w:t>.</w:t>
      </w:r>
      <w:r w:rsidR="004443C8" w:rsidRPr="00326BEB">
        <w:rPr>
          <w:sz w:val="20"/>
          <w:szCs w:val="20"/>
        </w:rPr>
        <w:t xml:space="preserve"> Subsequently, </w:t>
      </w:r>
      <w:r w:rsidR="006E030F" w:rsidRPr="006E030F">
        <w:rPr>
          <w:sz w:val="20"/>
          <w:szCs w:val="20"/>
        </w:rPr>
        <w:t>Andorra</w:t>
      </w:r>
      <w:r w:rsidR="006E030F">
        <w:rPr>
          <w:sz w:val="20"/>
          <w:szCs w:val="20"/>
        </w:rPr>
        <w:t xml:space="preserve">, </w:t>
      </w:r>
      <w:r w:rsidR="006E030F" w:rsidRPr="006E030F">
        <w:rPr>
          <w:sz w:val="20"/>
          <w:szCs w:val="20"/>
        </w:rPr>
        <w:t>Costa Rica</w:t>
      </w:r>
      <w:r w:rsidR="006E030F">
        <w:rPr>
          <w:sz w:val="20"/>
          <w:szCs w:val="20"/>
        </w:rPr>
        <w:t xml:space="preserve">, </w:t>
      </w:r>
      <w:r w:rsidR="006E030F" w:rsidRPr="006E030F">
        <w:rPr>
          <w:sz w:val="20"/>
          <w:szCs w:val="20"/>
        </w:rPr>
        <w:t>Greece</w:t>
      </w:r>
      <w:r w:rsidR="006E030F">
        <w:rPr>
          <w:sz w:val="20"/>
          <w:szCs w:val="20"/>
        </w:rPr>
        <w:t xml:space="preserve">, New Zealand, San Marino and </w:t>
      </w:r>
      <w:r w:rsidR="006E030F" w:rsidRPr="006E030F">
        <w:rPr>
          <w:sz w:val="20"/>
          <w:szCs w:val="20"/>
        </w:rPr>
        <w:t>Ukraine</w:t>
      </w:r>
      <w:r w:rsidR="006E030F">
        <w:rPr>
          <w:sz w:val="20"/>
          <w:szCs w:val="20"/>
        </w:rPr>
        <w:t xml:space="preserve"> </w:t>
      </w:r>
      <w:r w:rsidR="004443C8" w:rsidRPr="00326BEB">
        <w:rPr>
          <w:sz w:val="20"/>
          <w:szCs w:val="20"/>
        </w:rPr>
        <w:t>joined the sponsors.</w:t>
      </w:r>
    </w:p>
    <w:p w14:paraId="21966DC4" w14:textId="3E91CC7A" w:rsidR="004443C8" w:rsidRDefault="00583EAF" w:rsidP="004443C8">
      <w:pPr>
        <w:spacing w:after="120"/>
        <w:ind w:left="1134" w:right="1134"/>
        <w:jc w:val="both"/>
        <w:rPr>
          <w:sz w:val="20"/>
          <w:szCs w:val="20"/>
        </w:rPr>
      </w:pPr>
      <w:r>
        <w:rPr>
          <w:sz w:val="20"/>
          <w:szCs w:val="20"/>
        </w:rPr>
        <w:t>292</w:t>
      </w:r>
      <w:r w:rsidR="004443C8" w:rsidRPr="00E86201">
        <w:rPr>
          <w:sz w:val="20"/>
          <w:szCs w:val="20"/>
        </w:rPr>
        <w:t>.</w:t>
      </w:r>
      <w:r w:rsidR="004443C8" w:rsidRPr="00E86201">
        <w:rPr>
          <w:sz w:val="20"/>
          <w:szCs w:val="20"/>
        </w:rPr>
        <w:tab/>
        <w:t>At the same meeting, the representative of</w:t>
      </w:r>
      <w:r w:rsidR="004443C8" w:rsidRPr="006F178E">
        <w:rPr>
          <w:sz w:val="20"/>
          <w:szCs w:val="20"/>
        </w:rPr>
        <w:t xml:space="preserve"> Bulgaria (</w:t>
      </w:r>
      <w:r w:rsidR="004443C8" w:rsidRPr="00157757">
        <w:rPr>
          <w:sz w:val="20"/>
          <w:szCs w:val="20"/>
        </w:rPr>
        <w:t>on behalf of States members of the European Union that are members of the Council</w:t>
      </w:r>
      <w:r w:rsidR="004443C8" w:rsidRPr="006F178E">
        <w:rPr>
          <w:sz w:val="20"/>
          <w:szCs w:val="20"/>
        </w:rPr>
        <w:t xml:space="preserve">) </w:t>
      </w:r>
      <w:r w:rsidR="004443C8" w:rsidRPr="00E86201">
        <w:rPr>
          <w:sz w:val="20"/>
          <w:szCs w:val="20"/>
        </w:rPr>
        <w:t>made general comments on the draft resolution.</w:t>
      </w:r>
    </w:p>
    <w:p w14:paraId="4627DAC3" w14:textId="61D161BC" w:rsidR="006E030F" w:rsidRDefault="00583EAF" w:rsidP="006E030F">
      <w:pPr>
        <w:spacing w:after="120"/>
        <w:ind w:left="1134" w:right="1134"/>
        <w:jc w:val="both"/>
        <w:rPr>
          <w:sz w:val="20"/>
          <w:szCs w:val="20"/>
        </w:rPr>
      </w:pPr>
      <w:r>
        <w:rPr>
          <w:sz w:val="20"/>
          <w:szCs w:val="20"/>
        </w:rPr>
        <w:t>293</w:t>
      </w:r>
      <w:r w:rsidR="006E030F" w:rsidRPr="00E23221">
        <w:rPr>
          <w:sz w:val="20"/>
          <w:szCs w:val="20"/>
        </w:rPr>
        <w:t>.</w:t>
      </w:r>
      <w:r w:rsidR="006E030F" w:rsidRPr="00E23221">
        <w:rPr>
          <w:sz w:val="20"/>
          <w:szCs w:val="20"/>
        </w:rPr>
        <w:tab/>
        <w:t xml:space="preserve">Also at the same meeting, the representative of </w:t>
      </w:r>
      <w:r w:rsidR="006E030F">
        <w:rPr>
          <w:sz w:val="20"/>
          <w:szCs w:val="20"/>
        </w:rPr>
        <w:t xml:space="preserve">the </w:t>
      </w:r>
      <w:r w:rsidR="006E030F" w:rsidRPr="006E030F">
        <w:rPr>
          <w:sz w:val="20"/>
          <w:szCs w:val="20"/>
        </w:rPr>
        <w:t xml:space="preserve">Islamic Republic of Iran </w:t>
      </w:r>
      <w:r w:rsidR="006E030F" w:rsidRPr="00E23221">
        <w:rPr>
          <w:sz w:val="20"/>
          <w:szCs w:val="20"/>
        </w:rPr>
        <w:t>made a statement as the State concerned.</w:t>
      </w:r>
    </w:p>
    <w:p w14:paraId="22FDC814" w14:textId="34C053A9" w:rsidR="004443C8" w:rsidRDefault="00583EAF" w:rsidP="004443C8">
      <w:pPr>
        <w:spacing w:after="120"/>
        <w:ind w:left="1134" w:right="1134"/>
        <w:jc w:val="both"/>
        <w:rPr>
          <w:sz w:val="20"/>
          <w:szCs w:val="20"/>
        </w:rPr>
      </w:pPr>
      <w:r>
        <w:rPr>
          <w:sz w:val="20"/>
          <w:szCs w:val="20"/>
        </w:rPr>
        <w:t>294</w:t>
      </w:r>
      <w:r w:rsidR="004443C8" w:rsidRPr="00326BEB">
        <w:rPr>
          <w:sz w:val="20"/>
          <w:szCs w:val="20"/>
        </w:rPr>
        <w:t>.</w:t>
      </w:r>
      <w:r w:rsidR="004443C8" w:rsidRPr="00326BEB">
        <w:rPr>
          <w:sz w:val="20"/>
          <w:szCs w:val="20"/>
        </w:rPr>
        <w:tab/>
        <w:t>In accordance with rule 153 of the rules of procedure of the General Assembly, the attention of the Human Rights Council was drawn to the estimated administrative and programme budget implications of the draft resolution.</w:t>
      </w:r>
    </w:p>
    <w:p w14:paraId="55D0930D" w14:textId="6B238D72" w:rsidR="004443C8" w:rsidRPr="0023658A" w:rsidRDefault="00583EAF" w:rsidP="004443C8">
      <w:pPr>
        <w:spacing w:after="120"/>
        <w:ind w:left="1134" w:right="1134"/>
        <w:jc w:val="both"/>
        <w:rPr>
          <w:sz w:val="20"/>
          <w:szCs w:val="20"/>
        </w:rPr>
      </w:pPr>
      <w:r>
        <w:rPr>
          <w:sz w:val="20"/>
          <w:szCs w:val="20"/>
        </w:rPr>
        <w:t>295</w:t>
      </w:r>
      <w:r w:rsidR="004443C8" w:rsidRPr="0023658A">
        <w:rPr>
          <w:sz w:val="20"/>
          <w:szCs w:val="20"/>
        </w:rPr>
        <w:t>.</w:t>
      </w:r>
      <w:r w:rsidR="004443C8" w:rsidRPr="0023658A">
        <w:rPr>
          <w:sz w:val="20"/>
          <w:szCs w:val="20"/>
        </w:rPr>
        <w:tab/>
      </w:r>
      <w:r w:rsidR="004443C8" w:rsidRPr="0023658A">
        <w:rPr>
          <w:rFonts w:eastAsia="SimSun"/>
          <w:sz w:val="20"/>
          <w:szCs w:val="20"/>
          <w:lang w:eastAsia="ar-SA"/>
        </w:rPr>
        <w:t>At the same meeting</w:t>
      </w:r>
      <w:r w:rsidR="004443C8" w:rsidRPr="0023658A">
        <w:rPr>
          <w:sz w:val="20"/>
          <w:szCs w:val="20"/>
        </w:rPr>
        <w:t xml:space="preserve">, the representatives of </w:t>
      </w:r>
      <w:r w:rsidR="006E030F" w:rsidRPr="006E030F">
        <w:rPr>
          <w:sz w:val="20"/>
          <w:szCs w:val="20"/>
        </w:rPr>
        <w:t>Brazil, Cuba</w:t>
      </w:r>
      <w:r w:rsidR="006E030F">
        <w:rPr>
          <w:sz w:val="20"/>
          <w:szCs w:val="20"/>
        </w:rPr>
        <w:t>,</w:t>
      </w:r>
      <w:r w:rsidR="006E030F" w:rsidRPr="006E030F">
        <w:rPr>
          <w:sz w:val="20"/>
          <w:szCs w:val="20"/>
        </w:rPr>
        <w:t xml:space="preserve"> Iraq</w:t>
      </w:r>
      <w:r w:rsidR="006E030F">
        <w:rPr>
          <w:sz w:val="20"/>
          <w:szCs w:val="20"/>
        </w:rPr>
        <w:t xml:space="preserve">, </w:t>
      </w:r>
      <w:r w:rsidR="006E030F" w:rsidRPr="006E030F">
        <w:rPr>
          <w:sz w:val="20"/>
          <w:szCs w:val="20"/>
        </w:rPr>
        <w:t>Pakistan</w:t>
      </w:r>
      <w:r w:rsidR="006E030F">
        <w:rPr>
          <w:sz w:val="20"/>
          <w:szCs w:val="20"/>
        </w:rPr>
        <w:t xml:space="preserve"> and</w:t>
      </w:r>
      <w:r w:rsidR="006E030F" w:rsidRPr="006E030F">
        <w:rPr>
          <w:sz w:val="20"/>
          <w:szCs w:val="20"/>
        </w:rPr>
        <w:t xml:space="preserve"> Uruguay</w:t>
      </w:r>
      <w:r w:rsidR="006E030F">
        <w:rPr>
          <w:sz w:val="20"/>
          <w:szCs w:val="20"/>
        </w:rPr>
        <w:t xml:space="preserve"> </w:t>
      </w:r>
      <w:r w:rsidR="004443C8" w:rsidRPr="0023658A">
        <w:rPr>
          <w:sz w:val="20"/>
          <w:szCs w:val="20"/>
        </w:rPr>
        <w:t>made statements in explanation of vote before the vote.</w:t>
      </w:r>
    </w:p>
    <w:p w14:paraId="3DA642D9" w14:textId="3D06C44B" w:rsidR="004443C8" w:rsidRPr="0023658A" w:rsidRDefault="00583EAF" w:rsidP="004443C8">
      <w:pPr>
        <w:pStyle w:val="SingleTxtG"/>
        <w:rPr>
          <w:sz w:val="20"/>
          <w:szCs w:val="20"/>
        </w:rPr>
      </w:pPr>
      <w:r>
        <w:rPr>
          <w:sz w:val="20"/>
          <w:szCs w:val="20"/>
        </w:rPr>
        <w:t>296</w:t>
      </w:r>
      <w:r w:rsidR="004443C8" w:rsidRPr="0023658A">
        <w:rPr>
          <w:sz w:val="20"/>
          <w:szCs w:val="20"/>
        </w:rPr>
        <w:t>.</w:t>
      </w:r>
      <w:r w:rsidR="004443C8" w:rsidRPr="0023658A">
        <w:rPr>
          <w:sz w:val="20"/>
          <w:szCs w:val="20"/>
        </w:rPr>
        <w:tab/>
        <w:t xml:space="preserve">Also at the same meeting, at the request of the representative of </w:t>
      </w:r>
      <w:r w:rsidR="006E030F" w:rsidRPr="006E030F">
        <w:rPr>
          <w:sz w:val="20"/>
          <w:szCs w:val="20"/>
        </w:rPr>
        <w:t>Pakistan</w:t>
      </w:r>
      <w:r w:rsidR="004443C8" w:rsidRPr="0023658A">
        <w:rPr>
          <w:sz w:val="20"/>
          <w:szCs w:val="20"/>
        </w:rPr>
        <w:t>, a recorded vote was taken on the draft resolution. The voting was as follows:</w:t>
      </w:r>
    </w:p>
    <w:p w14:paraId="6DB8D0AE" w14:textId="77777777" w:rsidR="00442F49" w:rsidRPr="00442F49" w:rsidRDefault="00442F49" w:rsidP="00442F49">
      <w:pPr>
        <w:keepNext/>
        <w:keepLines/>
        <w:ind w:left="1701" w:right="1134"/>
        <w:jc w:val="both"/>
        <w:rPr>
          <w:rFonts w:eastAsia="SimSun"/>
          <w:i/>
          <w:sz w:val="20"/>
          <w:szCs w:val="20"/>
          <w:lang w:eastAsia="ar-SA"/>
        </w:rPr>
      </w:pPr>
      <w:r w:rsidRPr="00442F49">
        <w:rPr>
          <w:rFonts w:eastAsia="SimSun"/>
          <w:i/>
          <w:sz w:val="20"/>
          <w:szCs w:val="20"/>
          <w:lang w:eastAsia="ar-SA"/>
        </w:rPr>
        <w:lastRenderedPageBreak/>
        <w:t>In favour</w:t>
      </w:r>
      <w:r w:rsidRPr="00442F49">
        <w:rPr>
          <w:rFonts w:eastAsia="SimSun"/>
          <w:sz w:val="20"/>
          <w:szCs w:val="20"/>
          <w:lang w:eastAsia="ar-SA"/>
        </w:rPr>
        <w:t>:</w:t>
      </w:r>
      <w:r w:rsidRPr="00442F49">
        <w:rPr>
          <w:rFonts w:eastAsia="SimSun"/>
          <w:i/>
          <w:sz w:val="20"/>
          <w:szCs w:val="20"/>
          <w:lang w:eastAsia="ar-SA"/>
        </w:rPr>
        <w:t xml:space="preserve"> </w:t>
      </w:r>
    </w:p>
    <w:p w14:paraId="662A90FB" w14:textId="1FC4B152" w:rsidR="00442F49" w:rsidRPr="00442F49" w:rsidRDefault="00442F49" w:rsidP="00442F49">
      <w:pPr>
        <w:spacing w:after="120"/>
        <w:ind w:left="2268" w:right="1134"/>
        <w:jc w:val="both"/>
        <w:rPr>
          <w:rFonts w:eastAsia="SimSun"/>
          <w:sz w:val="20"/>
          <w:szCs w:val="20"/>
          <w:lang w:eastAsia="ar-SA"/>
        </w:rPr>
      </w:pPr>
      <w:r w:rsidRPr="00442F49">
        <w:rPr>
          <w:rFonts w:eastAsia="SimSun"/>
          <w:sz w:val="20"/>
          <w:szCs w:val="20"/>
          <w:lang w:eastAsia="ar-SA"/>
        </w:rPr>
        <w:t>Argentina, Australia, Austria, Bahamas, Bahrain,</w:t>
      </w:r>
      <w:r w:rsidR="00CC5A8D">
        <w:rPr>
          <w:rStyle w:val="FootnoteReference"/>
          <w:rFonts w:eastAsia="SimSun"/>
          <w:szCs w:val="20"/>
          <w:lang w:eastAsia="ar-SA"/>
        </w:rPr>
        <w:footnoteReference w:id="41"/>
      </w:r>
      <w:r w:rsidRPr="00442F49">
        <w:rPr>
          <w:rFonts w:eastAsia="SimSun"/>
          <w:sz w:val="20"/>
          <w:szCs w:val="20"/>
          <w:lang w:eastAsia="ar-SA"/>
        </w:rPr>
        <w:t xml:space="preserve"> Bulgaria, Chile, Croatia, Czechia, Denmark, Fiji, Hungary, Iceland, Italy, Japan, Mexico, Peru, Saudi Arabia, Slovakia, Spain, Ukraine, United Kingdom of Great Britain and Northern Ireland</w:t>
      </w:r>
    </w:p>
    <w:p w14:paraId="0A08CB13" w14:textId="77777777" w:rsidR="00442F49" w:rsidRPr="00442F49" w:rsidRDefault="00442F49" w:rsidP="00442F49">
      <w:pPr>
        <w:ind w:left="1701" w:right="1134"/>
        <w:jc w:val="both"/>
        <w:rPr>
          <w:rFonts w:eastAsia="SimSun"/>
          <w:i/>
          <w:sz w:val="20"/>
          <w:szCs w:val="20"/>
          <w:lang w:eastAsia="ar-SA"/>
        </w:rPr>
      </w:pPr>
      <w:r w:rsidRPr="00442F49">
        <w:rPr>
          <w:rFonts w:eastAsia="SimSun"/>
          <w:i/>
          <w:sz w:val="20"/>
          <w:szCs w:val="20"/>
          <w:lang w:eastAsia="ar-SA"/>
        </w:rPr>
        <w:t>Against</w:t>
      </w:r>
      <w:r w:rsidRPr="00442F49">
        <w:rPr>
          <w:rFonts w:eastAsia="SimSun"/>
          <w:sz w:val="20"/>
          <w:szCs w:val="20"/>
          <w:lang w:eastAsia="ar-SA"/>
        </w:rPr>
        <w:t>:</w:t>
      </w:r>
      <w:r w:rsidRPr="00442F49">
        <w:rPr>
          <w:rFonts w:eastAsia="SimSun"/>
          <w:i/>
          <w:sz w:val="20"/>
          <w:szCs w:val="20"/>
          <w:lang w:eastAsia="ar-SA"/>
        </w:rPr>
        <w:t xml:space="preserve"> </w:t>
      </w:r>
    </w:p>
    <w:p w14:paraId="0E633BDF" w14:textId="77777777" w:rsidR="00442F49" w:rsidRPr="00442F49" w:rsidRDefault="00442F49" w:rsidP="00442F49">
      <w:pPr>
        <w:spacing w:after="120"/>
        <w:ind w:left="2268" w:right="1134"/>
        <w:jc w:val="both"/>
        <w:rPr>
          <w:rFonts w:eastAsia="SimSun"/>
          <w:sz w:val="20"/>
          <w:szCs w:val="20"/>
          <w:lang w:eastAsia="ar-SA"/>
        </w:rPr>
      </w:pPr>
      <w:r w:rsidRPr="00442F49">
        <w:rPr>
          <w:rFonts w:eastAsia="SimSun"/>
          <w:sz w:val="20"/>
          <w:szCs w:val="20"/>
          <w:lang w:eastAsia="ar-SA"/>
        </w:rPr>
        <w:t>Afghanistan, China, Cuba, Eritrea, India, Iraq, Pakistan</w:t>
      </w:r>
    </w:p>
    <w:p w14:paraId="0FFC94AF" w14:textId="77777777" w:rsidR="00442F49" w:rsidRPr="00442F49" w:rsidRDefault="00442F49" w:rsidP="00442F49">
      <w:pPr>
        <w:ind w:left="1701" w:right="1134"/>
        <w:jc w:val="both"/>
        <w:rPr>
          <w:rFonts w:eastAsia="SimSun"/>
          <w:i/>
          <w:sz w:val="20"/>
          <w:szCs w:val="20"/>
          <w:lang w:eastAsia="ar-SA"/>
        </w:rPr>
      </w:pPr>
      <w:r w:rsidRPr="00442F49">
        <w:rPr>
          <w:rFonts w:eastAsia="SimSun"/>
          <w:i/>
          <w:sz w:val="20"/>
          <w:szCs w:val="20"/>
          <w:lang w:eastAsia="ar-SA"/>
        </w:rPr>
        <w:t>Abstaining</w:t>
      </w:r>
      <w:r w:rsidRPr="00442F49">
        <w:rPr>
          <w:rFonts w:eastAsia="SimSun"/>
          <w:sz w:val="20"/>
          <w:szCs w:val="20"/>
          <w:lang w:eastAsia="ar-SA"/>
        </w:rPr>
        <w:t>:</w:t>
      </w:r>
      <w:r w:rsidRPr="00442F49">
        <w:rPr>
          <w:rFonts w:eastAsia="SimSun"/>
          <w:i/>
          <w:sz w:val="20"/>
          <w:szCs w:val="20"/>
          <w:lang w:eastAsia="ar-SA"/>
        </w:rPr>
        <w:t xml:space="preserve"> </w:t>
      </w:r>
    </w:p>
    <w:p w14:paraId="67E0B9AA" w14:textId="68FCA2F8" w:rsidR="00442F49" w:rsidRPr="00442F49" w:rsidRDefault="00442F49" w:rsidP="00442F49">
      <w:pPr>
        <w:pStyle w:val="SingleTxtG"/>
        <w:ind w:left="2268"/>
        <w:rPr>
          <w:sz w:val="20"/>
          <w:szCs w:val="20"/>
        </w:rPr>
      </w:pPr>
      <w:r w:rsidRPr="00442F49">
        <w:rPr>
          <w:rFonts w:eastAsia="SimSun"/>
          <w:sz w:val="20"/>
          <w:szCs w:val="20"/>
          <w:lang w:eastAsia="ar-SA"/>
        </w:rPr>
        <w:t>Angola, Bangladesh, Brazil, Burkina Faso, Cameroon, Democratic Republic of the Congo, Egypt, Nepal, Nigeria, Philippines, Qatar, Rwanda, Senegal, Somalia, South Africa, Togo, Tunisia, Uruguay</w:t>
      </w:r>
    </w:p>
    <w:p w14:paraId="5AF9A488" w14:textId="28C94303" w:rsidR="004443C8" w:rsidRDefault="00583EAF" w:rsidP="004443C8">
      <w:pPr>
        <w:pStyle w:val="SingleTxtG"/>
        <w:rPr>
          <w:rFonts w:eastAsia="SimSun"/>
          <w:sz w:val="20"/>
          <w:szCs w:val="20"/>
          <w:lang w:eastAsia="ar-SA"/>
        </w:rPr>
      </w:pPr>
      <w:r>
        <w:rPr>
          <w:rFonts w:eastAsia="SimSun"/>
          <w:sz w:val="20"/>
          <w:szCs w:val="20"/>
          <w:lang w:eastAsia="ar-SA"/>
        </w:rPr>
        <w:t>297</w:t>
      </w:r>
      <w:r w:rsidR="004443C8" w:rsidRPr="0023658A">
        <w:rPr>
          <w:rFonts w:eastAsia="SimSun"/>
          <w:sz w:val="20"/>
          <w:szCs w:val="20"/>
          <w:lang w:eastAsia="ar-SA"/>
        </w:rPr>
        <w:t>.</w:t>
      </w:r>
      <w:r w:rsidR="004443C8" w:rsidRPr="0023658A">
        <w:rPr>
          <w:rFonts w:eastAsia="SimSun"/>
          <w:sz w:val="20"/>
          <w:szCs w:val="20"/>
          <w:lang w:eastAsia="ar-SA"/>
        </w:rPr>
        <w:tab/>
        <w:t xml:space="preserve">The draft resolution was adopted by </w:t>
      </w:r>
      <w:r w:rsidR="004443C8">
        <w:rPr>
          <w:rFonts w:eastAsia="SimSun"/>
          <w:sz w:val="20"/>
          <w:szCs w:val="20"/>
          <w:lang w:eastAsia="ar-SA"/>
        </w:rPr>
        <w:t>2</w:t>
      </w:r>
      <w:r w:rsidR="00531FE0">
        <w:rPr>
          <w:rFonts w:eastAsia="SimSun"/>
          <w:sz w:val="20"/>
          <w:szCs w:val="20"/>
          <w:lang w:eastAsia="ar-SA"/>
        </w:rPr>
        <w:t>2</w:t>
      </w:r>
      <w:r w:rsidR="004443C8" w:rsidRPr="0023658A">
        <w:rPr>
          <w:sz w:val="20"/>
          <w:szCs w:val="20"/>
          <w:lang w:eastAsia="ar-SA"/>
        </w:rPr>
        <w:t xml:space="preserve"> votes to </w:t>
      </w:r>
      <w:r w:rsidR="00531FE0">
        <w:rPr>
          <w:sz w:val="20"/>
          <w:szCs w:val="20"/>
          <w:lang w:eastAsia="ar-SA"/>
        </w:rPr>
        <w:t>7</w:t>
      </w:r>
      <w:r w:rsidR="004443C8" w:rsidRPr="0023658A">
        <w:rPr>
          <w:sz w:val="20"/>
          <w:szCs w:val="20"/>
          <w:lang w:eastAsia="ar-SA"/>
        </w:rPr>
        <w:t xml:space="preserve">, with </w:t>
      </w:r>
      <w:r w:rsidR="00531FE0">
        <w:rPr>
          <w:sz w:val="20"/>
          <w:szCs w:val="20"/>
          <w:lang w:eastAsia="ar-SA"/>
        </w:rPr>
        <w:t>18</w:t>
      </w:r>
      <w:r w:rsidR="004443C8" w:rsidRPr="0023658A">
        <w:rPr>
          <w:sz w:val="20"/>
          <w:szCs w:val="20"/>
          <w:lang w:eastAsia="ar-SA"/>
        </w:rPr>
        <w:t xml:space="preserve"> abstentions</w:t>
      </w:r>
      <w:r w:rsidR="004443C8" w:rsidRPr="0023658A">
        <w:rPr>
          <w:rFonts w:eastAsia="SimSun"/>
          <w:sz w:val="20"/>
          <w:szCs w:val="20"/>
          <w:lang w:eastAsia="ar-SA"/>
        </w:rPr>
        <w:t xml:space="preserve"> (resolution </w:t>
      </w:r>
      <w:r w:rsidR="004443C8">
        <w:rPr>
          <w:rFonts w:eastAsia="SimSun"/>
          <w:sz w:val="20"/>
          <w:szCs w:val="20"/>
          <w:lang w:eastAsia="ar-SA"/>
        </w:rPr>
        <w:t>40/1</w:t>
      </w:r>
      <w:r w:rsidR="00531FE0">
        <w:rPr>
          <w:rFonts w:eastAsia="SimSun"/>
          <w:sz w:val="20"/>
          <w:szCs w:val="20"/>
          <w:lang w:eastAsia="ar-SA"/>
        </w:rPr>
        <w:t>8</w:t>
      </w:r>
      <w:r w:rsidR="004443C8" w:rsidRPr="0023658A">
        <w:rPr>
          <w:rFonts w:eastAsia="SimSun"/>
          <w:sz w:val="20"/>
          <w:szCs w:val="20"/>
          <w:lang w:eastAsia="ar-SA"/>
        </w:rPr>
        <w:t>).</w:t>
      </w:r>
    </w:p>
    <w:p w14:paraId="457A7BFA" w14:textId="6C6C9FF4" w:rsidR="006B4EE1" w:rsidRDefault="00583EAF" w:rsidP="004443C8">
      <w:pPr>
        <w:pStyle w:val="SingleTxtG"/>
        <w:rPr>
          <w:rFonts w:eastAsia="SimSun"/>
          <w:sz w:val="20"/>
          <w:szCs w:val="20"/>
          <w:lang w:eastAsia="ar-SA"/>
        </w:rPr>
      </w:pPr>
      <w:r>
        <w:rPr>
          <w:rFonts w:eastAsia="SimSun"/>
          <w:sz w:val="20"/>
          <w:szCs w:val="20"/>
          <w:lang w:eastAsia="ar-SA"/>
        </w:rPr>
        <w:t>298</w:t>
      </w:r>
      <w:r w:rsidR="006B4EE1" w:rsidRPr="000B65FE">
        <w:rPr>
          <w:rFonts w:eastAsia="SimSun"/>
          <w:sz w:val="20"/>
          <w:szCs w:val="20"/>
          <w:lang w:eastAsia="ar-SA"/>
        </w:rPr>
        <w:t>.</w:t>
      </w:r>
      <w:r w:rsidR="006B4EE1" w:rsidRPr="000B65FE">
        <w:rPr>
          <w:rFonts w:eastAsia="SimSun"/>
          <w:sz w:val="20"/>
          <w:szCs w:val="20"/>
          <w:lang w:eastAsia="ar-SA"/>
        </w:rPr>
        <w:tab/>
        <w:t xml:space="preserve">At the </w:t>
      </w:r>
      <w:r w:rsidR="006B4EE1">
        <w:rPr>
          <w:rFonts w:eastAsia="SimSun"/>
          <w:sz w:val="20"/>
          <w:szCs w:val="20"/>
          <w:lang w:eastAsia="ar-SA"/>
        </w:rPr>
        <w:t xml:space="preserve">55th </w:t>
      </w:r>
      <w:r w:rsidR="006B4EE1" w:rsidRPr="000B65FE">
        <w:rPr>
          <w:rFonts w:eastAsia="SimSun"/>
          <w:sz w:val="20"/>
          <w:szCs w:val="20"/>
          <w:lang w:eastAsia="ar-SA"/>
        </w:rPr>
        <w:t xml:space="preserve">meeting, </w:t>
      </w:r>
      <w:r w:rsidR="006B4EE1" w:rsidRPr="00326BEB">
        <w:rPr>
          <w:sz w:val="20"/>
          <w:szCs w:val="20"/>
        </w:rPr>
        <w:t xml:space="preserve">on </w:t>
      </w:r>
      <w:r w:rsidR="006B4EE1">
        <w:rPr>
          <w:sz w:val="20"/>
          <w:szCs w:val="20"/>
        </w:rPr>
        <w:t xml:space="preserve">22 March 2019, </w:t>
      </w:r>
      <w:r w:rsidR="006B4EE1" w:rsidRPr="000B65FE">
        <w:rPr>
          <w:rFonts w:eastAsia="SimSun"/>
          <w:sz w:val="20"/>
          <w:szCs w:val="20"/>
          <w:lang w:eastAsia="ar-SA"/>
        </w:rPr>
        <w:t xml:space="preserve">the representative of </w:t>
      </w:r>
      <w:r w:rsidR="006B4EE1" w:rsidRPr="006607E1">
        <w:rPr>
          <w:rFonts w:eastAsia="SimSun"/>
          <w:sz w:val="20"/>
          <w:szCs w:val="20"/>
          <w:lang w:eastAsia="ar-SA"/>
        </w:rPr>
        <w:t>Eritrea</w:t>
      </w:r>
      <w:r w:rsidR="006B4EE1">
        <w:rPr>
          <w:rFonts w:eastAsia="SimSun"/>
          <w:sz w:val="20"/>
          <w:szCs w:val="20"/>
          <w:lang w:eastAsia="ar-SA"/>
        </w:rPr>
        <w:t xml:space="preserve"> made a</w:t>
      </w:r>
      <w:r w:rsidR="006B4EE1" w:rsidRPr="000B65FE">
        <w:rPr>
          <w:rFonts w:eastAsia="SimSun"/>
          <w:sz w:val="20"/>
          <w:szCs w:val="20"/>
          <w:lang w:eastAsia="ar-SA"/>
        </w:rPr>
        <w:t xml:space="preserve"> statement in explanation of vote after the vote.</w:t>
      </w:r>
      <w:r w:rsidR="006B4EE1">
        <w:rPr>
          <w:rFonts w:eastAsia="SimSun"/>
          <w:sz w:val="20"/>
          <w:szCs w:val="20"/>
          <w:lang w:eastAsia="ar-SA"/>
        </w:rPr>
        <w:t xml:space="preserve"> </w:t>
      </w:r>
    </w:p>
    <w:p w14:paraId="6C8F686E" w14:textId="44997242" w:rsidR="00F86404" w:rsidRDefault="00F86404" w:rsidP="00F86404">
      <w:pPr>
        <w:pStyle w:val="SingleTxtG"/>
        <w:rPr>
          <w:b/>
          <w:sz w:val="20"/>
          <w:szCs w:val="20"/>
        </w:rPr>
      </w:pPr>
      <w:r w:rsidRPr="00F86404">
        <w:rPr>
          <w:b/>
          <w:sz w:val="20"/>
          <w:szCs w:val="20"/>
        </w:rPr>
        <w:t>Situation of human rights in South Sudan</w:t>
      </w:r>
    </w:p>
    <w:p w14:paraId="54A62C1C" w14:textId="2A344EDD" w:rsidR="00F86404" w:rsidRDefault="00583EAF" w:rsidP="00F86404">
      <w:pPr>
        <w:pStyle w:val="SingleTxtG"/>
        <w:rPr>
          <w:sz w:val="20"/>
          <w:szCs w:val="20"/>
        </w:rPr>
      </w:pPr>
      <w:r>
        <w:rPr>
          <w:sz w:val="20"/>
          <w:szCs w:val="20"/>
        </w:rPr>
        <w:t>299</w:t>
      </w:r>
      <w:r w:rsidR="00F86404" w:rsidRPr="00326BEB">
        <w:rPr>
          <w:sz w:val="20"/>
          <w:szCs w:val="20"/>
        </w:rPr>
        <w:t>.</w:t>
      </w:r>
      <w:r w:rsidR="00F86404" w:rsidRPr="00326BEB">
        <w:rPr>
          <w:sz w:val="20"/>
          <w:szCs w:val="20"/>
        </w:rPr>
        <w:tab/>
        <w:t xml:space="preserve">At the </w:t>
      </w:r>
      <w:r w:rsidR="00F86404">
        <w:rPr>
          <w:sz w:val="20"/>
          <w:szCs w:val="20"/>
        </w:rPr>
        <w:t>53rd</w:t>
      </w:r>
      <w:r w:rsidR="00F86404" w:rsidRPr="00326BEB">
        <w:rPr>
          <w:sz w:val="20"/>
          <w:szCs w:val="20"/>
        </w:rPr>
        <w:t xml:space="preserve"> meeting, on </w:t>
      </w:r>
      <w:r w:rsidR="00F86404">
        <w:rPr>
          <w:sz w:val="20"/>
          <w:szCs w:val="20"/>
        </w:rPr>
        <w:t>22 March 2019</w:t>
      </w:r>
      <w:r w:rsidR="00F86404" w:rsidRPr="00326BEB">
        <w:rPr>
          <w:sz w:val="20"/>
          <w:szCs w:val="20"/>
        </w:rPr>
        <w:t xml:space="preserve">, the representative of </w:t>
      </w:r>
      <w:r w:rsidR="00F86404">
        <w:rPr>
          <w:sz w:val="20"/>
          <w:szCs w:val="20"/>
        </w:rPr>
        <w:t xml:space="preserve">the </w:t>
      </w:r>
      <w:r w:rsidR="00F86404" w:rsidRPr="006E030F">
        <w:rPr>
          <w:sz w:val="20"/>
          <w:szCs w:val="20"/>
        </w:rPr>
        <w:t>United Kingdom of Great Britain and Northern Ireland</w:t>
      </w:r>
      <w:r w:rsidR="00F86404">
        <w:rPr>
          <w:sz w:val="20"/>
          <w:szCs w:val="20"/>
        </w:rPr>
        <w:t xml:space="preserve"> </w:t>
      </w:r>
      <w:r w:rsidR="00F86404" w:rsidRPr="00326BEB">
        <w:rPr>
          <w:sz w:val="20"/>
          <w:szCs w:val="20"/>
        </w:rPr>
        <w:t>introduced draft resolution A/HRC/</w:t>
      </w:r>
      <w:r w:rsidR="00F86404">
        <w:rPr>
          <w:sz w:val="20"/>
          <w:szCs w:val="20"/>
        </w:rPr>
        <w:t>40</w:t>
      </w:r>
      <w:r w:rsidR="00F86404" w:rsidRPr="00326BEB">
        <w:rPr>
          <w:sz w:val="20"/>
          <w:szCs w:val="20"/>
        </w:rPr>
        <w:t>/L.</w:t>
      </w:r>
      <w:r w:rsidR="00F86404">
        <w:rPr>
          <w:sz w:val="20"/>
          <w:szCs w:val="20"/>
        </w:rPr>
        <w:t>16/Rev.1</w:t>
      </w:r>
      <w:r w:rsidR="00F86404" w:rsidRPr="00326BEB">
        <w:rPr>
          <w:sz w:val="20"/>
          <w:szCs w:val="20"/>
        </w:rPr>
        <w:t xml:space="preserve">, sponsored by </w:t>
      </w:r>
      <w:r w:rsidR="00F86404" w:rsidRPr="00F86404">
        <w:rPr>
          <w:sz w:val="20"/>
          <w:szCs w:val="20"/>
        </w:rPr>
        <w:t>Albania, Norway and the United Kingdom of Great Britain and Northern Ireland</w:t>
      </w:r>
      <w:r w:rsidR="00F86404">
        <w:rPr>
          <w:sz w:val="20"/>
          <w:szCs w:val="20"/>
        </w:rPr>
        <w:t xml:space="preserve"> and co-sponsored by </w:t>
      </w:r>
      <w:r w:rsidR="00F86404" w:rsidRPr="00F86404">
        <w:rPr>
          <w:sz w:val="20"/>
          <w:szCs w:val="20"/>
        </w:rPr>
        <w:t xml:space="preserve">Argentina, Australia, Austria, Belgium, Bulgaria, Canada, Chile, Croatia, Cyprus, Denmark, Estonia, Finland, Georgia, Germany, Greece, Guatemala, Iceland, Ireland, Italy, Liechtenstein, Lithuania, Luxembourg, Malta, Monaco, Montenegro, </w:t>
      </w:r>
      <w:r w:rsidR="00F86404">
        <w:rPr>
          <w:sz w:val="20"/>
          <w:szCs w:val="20"/>
        </w:rPr>
        <w:t xml:space="preserve">the </w:t>
      </w:r>
      <w:r w:rsidR="00F86404" w:rsidRPr="00F86404">
        <w:rPr>
          <w:sz w:val="20"/>
          <w:szCs w:val="20"/>
        </w:rPr>
        <w:t>Netherlands, Romania, Spain, Sweden</w:t>
      </w:r>
      <w:r w:rsidR="00F86404">
        <w:rPr>
          <w:sz w:val="20"/>
          <w:szCs w:val="20"/>
        </w:rPr>
        <w:t xml:space="preserve"> and</w:t>
      </w:r>
      <w:r w:rsidR="00F86404" w:rsidRPr="00F86404">
        <w:rPr>
          <w:sz w:val="20"/>
          <w:szCs w:val="20"/>
        </w:rPr>
        <w:t xml:space="preserve"> Switzerland</w:t>
      </w:r>
      <w:r w:rsidR="00F86404">
        <w:rPr>
          <w:sz w:val="20"/>
          <w:szCs w:val="20"/>
        </w:rPr>
        <w:t>.</w:t>
      </w:r>
      <w:r w:rsidR="00F86404" w:rsidRPr="00326BEB">
        <w:rPr>
          <w:sz w:val="20"/>
          <w:szCs w:val="20"/>
        </w:rPr>
        <w:t xml:space="preserve"> Subsequently, </w:t>
      </w:r>
      <w:r w:rsidR="00F86404" w:rsidRPr="00F86404">
        <w:rPr>
          <w:sz w:val="20"/>
          <w:szCs w:val="20"/>
        </w:rPr>
        <w:t>Andorra</w:t>
      </w:r>
      <w:r w:rsidR="00F86404">
        <w:rPr>
          <w:sz w:val="20"/>
          <w:szCs w:val="20"/>
        </w:rPr>
        <w:t xml:space="preserve">, </w:t>
      </w:r>
      <w:r w:rsidR="00F86404" w:rsidRPr="00F86404">
        <w:rPr>
          <w:sz w:val="20"/>
          <w:szCs w:val="20"/>
        </w:rPr>
        <w:t>Costa Rica</w:t>
      </w:r>
      <w:r w:rsidR="00F86404">
        <w:rPr>
          <w:sz w:val="20"/>
          <w:szCs w:val="20"/>
        </w:rPr>
        <w:t xml:space="preserve">, Czechia, </w:t>
      </w:r>
      <w:r w:rsidR="00F86404" w:rsidRPr="00F86404">
        <w:rPr>
          <w:sz w:val="20"/>
          <w:szCs w:val="20"/>
        </w:rPr>
        <w:t>El Salvador</w:t>
      </w:r>
      <w:r w:rsidR="00F86404">
        <w:rPr>
          <w:sz w:val="20"/>
          <w:szCs w:val="20"/>
        </w:rPr>
        <w:t xml:space="preserve">, </w:t>
      </w:r>
      <w:r w:rsidR="00F86404" w:rsidRPr="00F86404">
        <w:rPr>
          <w:sz w:val="20"/>
          <w:szCs w:val="20"/>
        </w:rPr>
        <w:t>France</w:t>
      </w:r>
      <w:r w:rsidR="00F86404">
        <w:rPr>
          <w:sz w:val="20"/>
          <w:szCs w:val="20"/>
        </w:rPr>
        <w:t xml:space="preserve">, </w:t>
      </w:r>
      <w:r w:rsidR="00F86404" w:rsidRPr="00F86404">
        <w:rPr>
          <w:sz w:val="20"/>
          <w:szCs w:val="20"/>
        </w:rPr>
        <w:t>Hungary</w:t>
      </w:r>
      <w:r w:rsidR="00F86404">
        <w:rPr>
          <w:sz w:val="20"/>
          <w:szCs w:val="20"/>
        </w:rPr>
        <w:t xml:space="preserve">, Latvia, </w:t>
      </w:r>
      <w:r w:rsidR="00F86404" w:rsidRPr="00F86404">
        <w:rPr>
          <w:sz w:val="20"/>
          <w:szCs w:val="20"/>
        </w:rPr>
        <w:t>New Zealand</w:t>
      </w:r>
      <w:r w:rsidR="00F86404">
        <w:rPr>
          <w:sz w:val="20"/>
          <w:szCs w:val="20"/>
        </w:rPr>
        <w:t xml:space="preserve">, </w:t>
      </w:r>
      <w:r w:rsidR="00F86404" w:rsidRPr="00F86404">
        <w:rPr>
          <w:sz w:val="20"/>
          <w:szCs w:val="20"/>
        </w:rPr>
        <w:t>Norway</w:t>
      </w:r>
      <w:r w:rsidR="00F86404">
        <w:rPr>
          <w:sz w:val="20"/>
          <w:szCs w:val="20"/>
        </w:rPr>
        <w:t xml:space="preserve">, </w:t>
      </w:r>
      <w:r w:rsidR="00F86404" w:rsidRPr="00F86404">
        <w:rPr>
          <w:sz w:val="20"/>
          <w:szCs w:val="20"/>
        </w:rPr>
        <w:t>Portugal</w:t>
      </w:r>
      <w:r w:rsidR="00F86404">
        <w:rPr>
          <w:sz w:val="20"/>
          <w:szCs w:val="20"/>
        </w:rPr>
        <w:t xml:space="preserve">, San Marino, Slovenia and </w:t>
      </w:r>
      <w:r w:rsidR="00F86404" w:rsidRPr="00F86404">
        <w:rPr>
          <w:sz w:val="20"/>
          <w:szCs w:val="20"/>
        </w:rPr>
        <w:t>Ukraine</w:t>
      </w:r>
      <w:r w:rsidR="00F86404">
        <w:rPr>
          <w:sz w:val="20"/>
          <w:szCs w:val="20"/>
        </w:rPr>
        <w:t xml:space="preserve"> joined the sponsors</w:t>
      </w:r>
      <w:r w:rsidR="00F86404" w:rsidRPr="00326BEB">
        <w:rPr>
          <w:sz w:val="20"/>
          <w:szCs w:val="20"/>
        </w:rPr>
        <w:t>.</w:t>
      </w:r>
    </w:p>
    <w:p w14:paraId="05F71A99" w14:textId="6CEF7D4C" w:rsidR="00F86404" w:rsidRDefault="00583EAF" w:rsidP="00F86404">
      <w:pPr>
        <w:spacing w:after="120"/>
        <w:ind w:left="1134" w:right="1134"/>
        <w:jc w:val="both"/>
        <w:rPr>
          <w:sz w:val="20"/>
          <w:szCs w:val="20"/>
        </w:rPr>
      </w:pPr>
      <w:r>
        <w:rPr>
          <w:sz w:val="20"/>
          <w:szCs w:val="20"/>
        </w:rPr>
        <w:t>300</w:t>
      </w:r>
      <w:r w:rsidR="00F86404" w:rsidRPr="00E86201">
        <w:rPr>
          <w:sz w:val="20"/>
          <w:szCs w:val="20"/>
        </w:rPr>
        <w:t>.</w:t>
      </w:r>
      <w:r w:rsidR="00F86404" w:rsidRPr="00E86201">
        <w:rPr>
          <w:sz w:val="20"/>
          <w:szCs w:val="20"/>
        </w:rPr>
        <w:tab/>
        <w:t>At the same meeting, the representative of</w:t>
      </w:r>
      <w:r w:rsidR="00F86404" w:rsidRPr="006F178E">
        <w:rPr>
          <w:sz w:val="20"/>
          <w:szCs w:val="20"/>
        </w:rPr>
        <w:t xml:space="preserve"> Bulgaria (</w:t>
      </w:r>
      <w:r w:rsidR="00F86404" w:rsidRPr="00157757">
        <w:rPr>
          <w:sz w:val="20"/>
          <w:szCs w:val="20"/>
        </w:rPr>
        <w:t>on behalf of States members of the European Union that are members of the Council</w:t>
      </w:r>
      <w:r w:rsidR="00F86404" w:rsidRPr="006F178E">
        <w:rPr>
          <w:sz w:val="20"/>
          <w:szCs w:val="20"/>
        </w:rPr>
        <w:t xml:space="preserve">) </w:t>
      </w:r>
      <w:r w:rsidR="00F86404" w:rsidRPr="00E86201">
        <w:rPr>
          <w:sz w:val="20"/>
          <w:szCs w:val="20"/>
        </w:rPr>
        <w:t>made general comments on the draft resolution.</w:t>
      </w:r>
    </w:p>
    <w:p w14:paraId="73C40CB0" w14:textId="18AD0C98" w:rsidR="00F86404" w:rsidRDefault="00583EAF" w:rsidP="00F86404">
      <w:pPr>
        <w:spacing w:after="120"/>
        <w:ind w:left="1134" w:right="1134"/>
        <w:jc w:val="both"/>
        <w:rPr>
          <w:sz w:val="20"/>
          <w:szCs w:val="20"/>
        </w:rPr>
      </w:pPr>
      <w:r>
        <w:rPr>
          <w:sz w:val="20"/>
          <w:szCs w:val="20"/>
        </w:rPr>
        <w:t>301</w:t>
      </w:r>
      <w:r w:rsidR="00F86404" w:rsidRPr="00E23221">
        <w:rPr>
          <w:sz w:val="20"/>
          <w:szCs w:val="20"/>
        </w:rPr>
        <w:t>.</w:t>
      </w:r>
      <w:r w:rsidR="00F86404" w:rsidRPr="00E23221">
        <w:rPr>
          <w:sz w:val="20"/>
          <w:szCs w:val="20"/>
        </w:rPr>
        <w:tab/>
        <w:t xml:space="preserve">Also at the same meeting, the representative of </w:t>
      </w:r>
      <w:r w:rsidR="00F86404" w:rsidRPr="00F86404">
        <w:rPr>
          <w:sz w:val="20"/>
          <w:szCs w:val="20"/>
        </w:rPr>
        <w:t xml:space="preserve">South Sudan </w:t>
      </w:r>
      <w:r w:rsidR="00F86404" w:rsidRPr="00E23221">
        <w:rPr>
          <w:sz w:val="20"/>
          <w:szCs w:val="20"/>
        </w:rPr>
        <w:t>made a statement as the State concerned.</w:t>
      </w:r>
    </w:p>
    <w:p w14:paraId="4327A31D" w14:textId="08A260A9" w:rsidR="00F86404" w:rsidRDefault="00583EAF" w:rsidP="00F86404">
      <w:pPr>
        <w:spacing w:after="120"/>
        <w:ind w:left="1134" w:right="1134"/>
        <w:jc w:val="both"/>
        <w:rPr>
          <w:sz w:val="20"/>
          <w:szCs w:val="20"/>
        </w:rPr>
      </w:pPr>
      <w:r>
        <w:rPr>
          <w:sz w:val="20"/>
          <w:szCs w:val="20"/>
        </w:rPr>
        <w:t>302</w:t>
      </w:r>
      <w:r w:rsidR="00F86404" w:rsidRPr="00326BEB">
        <w:rPr>
          <w:sz w:val="20"/>
          <w:szCs w:val="20"/>
        </w:rPr>
        <w:t>.</w:t>
      </w:r>
      <w:r w:rsidR="00F86404" w:rsidRPr="00326BEB">
        <w:rPr>
          <w:sz w:val="20"/>
          <w:szCs w:val="20"/>
        </w:rPr>
        <w:tab/>
        <w:t>In accordance with rule 153 of the rules of procedure of the General Assembly, the attention of the Human Rights Council was drawn to the estimated administrative and programme budget implications of the draft resolution.</w:t>
      </w:r>
    </w:p>
    <w:p w14:paraId="62A96E05" w14:textId="0B84BA78" w:rsidR="00F86404" w:rsidRDefault="00583EAF" w:rsidP="00F86404">
      <w:pPr>
        <w:spacing w:after="120"/>
        <w:ind w:left="1134" w:right="1134"/>
        <w:jc w:val="both"/>
        <w:rPr>
          <w:sz w:val="20"/>
          <w:szCs w:val="20"/>
        </w:rPr>
      </w:pPr>
      <w:r>
        <w:rPr>
          <w:sz w:val="20"/>
          <w:szCs w:val="20"/>
        </w:rPr>
        <w:t>303</w:t>
      </w:r>
      <w:r w:rsidR="00F86404" w:rsidRPr="0023658A">
        <w:rPr>
          <w:sz w:val="20"/>
          <w:szCs w:val="20"/>
        </w:rPr>
        <w:t>.</w:t>
      </w:r>
      <w:r w:rsidR="00F86404" w:rsidRPr="0023658A">
        <w:rPr>
          <w:sz w:val="20"/>
          <w:szCs w:val="20"/>
        </w:rPr>
        <w:tab/>
      </w:r>
      <w:r w:rsidR="00F86404" w:rsidRPr="0023658A">
        <w:rPr>
          <w:rFonts w:eastAsia="SimSun"/>
          <w:sz w:val="20"/>
          <w:szCs w:val="20"/>
          <w:lang w:eastAsia="ar-SA"/>
        </w:rPr>
        <w:t>At the same meeting</w:t>
      </w:r>
      <w:r w:rsidR="00F86404" w:rsidRPr="0023658A">
        <w:rPr>
          <w:sz w:val="20"/>
          <w:szCs w:val="20"/>
        </w:rPr>
        <w:t xml:space="preserve">, the representative of </w:t>
      </w:r>
      <w:r w:rsidR="00F86404">
        <w:rPr>
          <w:sz w:val="20"/>
          <w:szCs w:val="20"/>
        </w:rPr>
        <w:t xml:space="preserve">Egypt </w:t>
      </w:r>
      <w:r w:rsidR="00F86404" w:rsidRPr="0023658A">
        <w:rPr>
          <w:sz w:val="20"/>
          <w:szCs w:val="20"/>
        </w:rPr>
        <w:t xml:space="preserve">made </w:t>
      </w:r>
      <w:r w:rsidR="00F86404">
        <w:rPr>
          <w:sz w:val="20"/>
          <w:szCs w:val="20"/>
        </w:rPr>
        <w:t>a statement</w:t>
      </w:r>
      <w:r w:rsidR="00F86404" w:rsidRPr="0023658A">
        <w:rPr>
          <w:sz w:val="20"/>
          <w:szCs w:val="20"/>
        </w:rPr>
        <w:t xml:space="preserve"> in explanation of vote before the vote.</w:t>
      </w:r>
      <w:r w:rsidR="00F86404">
        <w:rPr>
          <w:sz w:val="20"/>
          <w:szCs w:val="20"/>
        </w:rPr>
        <w:t xml:space="preserve"> </w:t>
      </w:r>
      <w:r w:rsidR="00F86404" w:rsidRPr="00F86404">
        <w:rPr>
          <w:sz w:val="20"/>
          <w:szCs w:val="20"/>
        </w:rPr>
        <w:t xml:space="preserve">In </w:t>
      </w:r>
      <w:r w:rsidR="00F86404">
        <w:rPr>
          <w:sz w:val="20"/>
          <w:szCs w:val="20"/>
        </w:rPr>
        <w:t>his</w:t>
      </w:r>
      <w:r w:rsidR="00F86404" w:rsidRPr="00F86404">
        <w:rPr>
          <w:sz w:val="20"/>
          <w:szCs w:val="20"/>
        </w:rPr>
        <w:t xml:space="preserve"> statement, the representative of </w:t>
      </w:r>
      <w:r w:rsidR="00F86404">
        <w:rPr>
          <w:sz w:val="20"/>
          <w:szCs w:val="20"/>
        </w:rPr>
        <w:t>Egypt</w:t>
      </w:r>
      <w:r w:rsidR="00F86404" w:rsidRPr="00F86404">
        <w:rPr>
          <w:sz w:val="20"/>
          <w:szCs w:val="20"/>
        </w:rPr>
        <w:t xml:space="preserve"> disassociated the delegation from the consensus on the operative paragraph</w:t>
      </w:r>
      <w:r w:rsidR="00F86404">
        <w:rPr>
          <w:sz w:val="20"/>
          <w:szCs w:val="20"/>
        </w:rPr>
        <w:t>s</w:t>
      </w:r>
      <w:r w:rsidR="00F86404" w:rsidRPr="00F86404">
        <w:rPr>
          <w:sz w:val="20"/>
          <w:szCs w:val="20"/>
        </w:rPr>
        <w:t xml:space="preserve"> </w:t>
      </w:r>
      <w:r w:rsidR="00F86404">
        <w:rPr>
          <w:sz w:val="20"/>
          <w:szCs w:val="20"/>
        </w:rPr>
        <w:t>15 and 16(b)</w:t>
      </w:r>
      <w:r w:rsidR="00F86404" w:rsidRPr="00F86404">
        <w:rPr>
          <w:sz w:val="20"/>
          <w:szCs w:val="20"/>
        </w:rPr>
        <w:t xml:space="preserve"> of the draft resolution.</w:t>
      </w:r>
    </w:p>
    <w:p w14:paraId="2E4B21B4" w14:textId="386046BB" w:rsidR="00F86404" w:rsidRPr="00326BEB" w:rsidRDefault="00583EAF" w:rsidP="00F86404">
      <w:pPr>
        <w:pStyle w:val="SingleTxtG"/>
        <w:rPr>
          <w:rFonts w:eastAsia="SimSun"/>
          <w:sz w:val="20"/>
          <w:szCs w:val="20"/>
          <w:lang w:eastAsia="ar-SA"/>
        </w:rPr>
      </w:pPr>
      <w:r>
        <w:rPr>
          <w:rFonts w:eastAsia="SimSun"/>
          <w:sz w:val="20"/>
          <w:szCs w:val="20"/>
          <w:lang w:eastAsia="ar-SA"/>
        </w:rPr>
        <w:t>304</w:t>
      </w:r>
      <w:r w:rsidR="00F86404" w:rsidRPr="00326BEB">
        <w:rPr>
          <w:rFonts w:eastAsia="SimSun"/>
          <w:sz w:val="20"/>
          <w:szCs w:val="20"/>
          <w:lang w:eastAsia="ar-SA"/>
        </w:rPr>
        <w:t>.</w:t>
      </w:r>
      <w:r w:rsidR="00F86404" w:rsidRPr="00326BEB">
        <w:rPr>
          <w:rFonts w:eastAsia="SimSun"/>
          <w:sz w:val="20"/>
          <w:szCs w:val="20"/>
          <w:lang w:eastAsia="ar-SA"/>
        </w:rPr>
        <w:tab/>
        <w:t>A</w:t>
      </w:r>
      <w:r w:rsidR="00F86404">
        <w:rPr>
          <w:rFonts w:eastAsia="SimSun"/>
          <w:sz w:val="20"/>
          <w:szCs w:val="20"/>
          <w:lang w:eastAsia="ar-SA"/>
        </w:rPr>
        <w:t>lso a</w:t>
      </w:r>
      <w:r w:rsidR="00F86404" w:rsidRPr="00326BEB">
        <w:rPr>
          <w:rFonts w:eastAsia="SimSun"/>
          <w:sz w:val="20"/>
          <w:szCs w:val="20"/>
          <w:lang w:eastAsia="ar-SA"/>
        </w:rPr>
        <w:t xml:space="preserve">t the same meeting, the draft resolution was adopted without a vote (resolution </w:t>
      </w:r>
      <w:r w:rsidR="00F86404">
        <w:rPr>
          <w:rFonts w:eastAsia="SimSun"/>
          <w:sz w:val="20"/>
          <w:szCs w:val="20"/>
          <w:lang w:eastAsia="ar-SA"/>
        </w:rPr>
        <w:t>40</w:t>
      </w:r>
      <w:r w:rsidR="00F86404" w:rsidRPr="00326BEB">
        <w:rPr>
          <w:rFonts w:eastAsia="SimSun"/>
          <w:sz w:val="20"/>
          <w:szCs w:val="20"/>
          <w:lang w:eastAsia="ar-SA"/>
        </w:rPr>
        <w:t>/</w:t>
      </w:r>
      <w:r w:rsidR="00F86404">
        <w:rPr>
          <w:rFonts w:eastAsia="SimSun"/>
          <w:sz w:val="20"/>
          <w:szCs w:val="20"/>
          <w:lang w:eastAsia="ar-SA"/>
        </w:rPr>
        <w:t>19</w:t>
      </w:r>
      <w:r w:rsidR="00F86404" w:rsidRPr="00326BEB">
        <w:rPr>
          <w:rFonts w:eastAsia="SimSun"/>
          <w:sz w:val="20"/>
          <w:szCs w:val="20"/>
          <w:lang w:eastAsia="ar-SA"/>
        </w:rPr>
        <w:t>).</w:t>
      </w:r>
    </w:p>
    <w:p w14:paraId="297AF019" w14:textId="2802D27E" w:rsidR="003E19D7" w:rsidRDefault="003E19D7" w:rsidP="003E19D7">
      <w:pPr>
        <w:pStyle w:val="SingleTxtG"/>
        <w:rPr>
          <w:b/>
          <w:sz w:val="20"/>
          <w:szCs w:val="20"/>
        </w:rPr>
      </w:pPr>
      <w:r w:rsidRPr="003E19D7">
        <w:rPr>
          <w:b/>
          <w:sz w:val="20"/>
          <w:szCs w:val="20"/>
        </w:rPr>
        <w:t>Situation of human rights in the Democratic People</w:t>
      </w:r>
      <w:r w:rsidR="00D72627">
        <w:rPr>
          <w:b/>
          <w:sz w:val="20"/>
          <w:szCs w:val="20"/>
        </w:rPr>
        <w:t>’</w:t>
      </w:r>
      <w:r w:rsidRPr="003E19D7">
        <w:rPr>
          <w:b/>
          <w:sz w:val="20"/>
          <w:szCs w:val="20"/>
        </w:rPr>
        <w:t>s Republic of Korea</w:t>
      </w:r>
    </w:p>
    <w:p w14:paraId="6C59A7CD" w14:textId="561B5A72" w:rsidR="003E19D7" w:rsidRDefault="00583EAF" w:rsidP="003E19D7">
      <w:pPr>
        <w:pStyle w:val="SingleTxtG"/>
        <w:rPr>
          <w:sz w:val="20"/>
          <w:szCs w:val="20"/>
        </w:rPr>
      </w:pPr>
      <w:r>
        <w:rPr>
          <w:sz w:val="20"/>
          <w:szCs w:val="20"/>
        </w:rPr>
        <w:t>305</w:t>
      </w:r>
      <w:r w:rsidR="003E19D7" w:rsidRPr="00326BEB">
        <w:rPr>
          <w:sz w:val="20"/>
          <w:szCs w:val="20"/>
        </w:rPr>
        <w:t>.</w:t>
      </w:r>
      <w:r w:rsidR="003E19D7" w:rsidRPr="00326BEB">
        <w:rPr>
          <w:sz w:val="20"/>
          <w:szCs w:val="20"/>
        </w:rPr>
        <w:tab/>
        <w:t xml:space="preserve">At the </w:t>
      </w:r>
      <w:r w:rsidR="003E19D7">
        <w:rPr>
          <w:sz w:val="20"/>
          <w:szCs w:val="20"/>
        </w:rPr>
        <w:t>53rd</w:t>
      </w:r>
      <w:r w:rsidR="003E19D7" w:rsidRPr="00326BEB">
        <w:rPr>
          <w:sz w:val="20"/>
          <w:szCs w:val="20"/>
        </w:rPr>
        <w:t xml:space="preserve"> meeting, on </w:t>
      </w:r>
      <w:r w:rsidR="003E19D7">
        <w:rPr>
          <w:sz w:val="20"/>
          <w:szCs w:val="20"/>
        </w:rPr>
        <w:t>22 March 2019</w:t>
      </w:r>
      <w:r w:rsidR="003E19D7" w:rsidRPr="00326BEB">
        <w:rPr>
          <w:sz w:val="20"/>
          <w:szCs w:val="20"/>
        </w:rPr>
        <w:t xml:space="preserve">, the representative of </w:t>
      </w:r>
      <w:r w:rsidR="003E19D7">
        <w:rPr>
          <w:sz w:val="20"/>
          <w:szCs w:val="20"/>
        </w:rPr>
        <w:t xml:space="preserve">Romania </w:t>
      </w:r>
      <w:r w:rsidR="003E19D7" w:rsidRPr="00861B84">
        <w:rPr>
          <w:sz w:val="20"/>
          <w:szCs w:val="20"/>
        </w:rPr>
        <w:t>(on behalf of the European Union</w:t>
      </w:r>
      <w:r w:rsidR="003E19D7">
        <w:rPr>
          <w:sz w:val="20"/>
          <w:szCs w:val="20"/>
        </w:rPr>
        <w:t xml:space="preserve">) </w:t>
      </w:r>
      <w:r w:rsidR="003E19D7" w:rsidRPr="00326BEB">
        <w:rPr>
          <w:sz w:val="20"/>
          <w:szCs w:val="20"/>
        </w:rPr>
        <w:t>introduced draft resolution A/HRC/</w:t>
      </w:r>
      <w:r w:rsidR="003E19D7">
        <w:rPr>
          <w:sz w:val="20"/>
          <w:szCs w:val="20"/>
        </w:rPr>
        <w:t>40</w:t>
      </w:r>
      <w:r w:rsidR="003E19D7" w:rsidRPr="00326BEB">
        <w:rPr>
          <w:sz w:val="20"/>
          <w:szCs w:val="20"/>
        </w:rPr>
        <w:t>/L.</w:t>
      </w:r>
      <w:r w:rsidR="003E19D7">
        <w:rPr>
          <w:sz w:val="20"/>
          <w:szCs w:val="20"/>
        </w:rPr>
        <w:t>18</w:t>
      </w:r>
      <w:r w:rsidR="003E19D7" w:rsidRPr="00326BEB">
        <w:rPr>
          <w:sz w:val="20"/>
          <w:szCs w:val="20"/>
        </w:rPr>
        <w:t xml:space="preserve">, sponsored by </w:t>
      </w:r>
      <w:r w:rsidR="003E19D7" w:rsidRPr="007C6517">
        <w:rPr>
          <w:sz w:val="20"/>
          <w:szCs w:val="20"/>
        </w:rPr>
        <w:t>Austria, Belgium, Bulgaria, Croatia, Cyprus, Czechia, Denmark, Estonia, Finland, France, Germany, Greece, Hungary, Ireland, Italy, Latvia, Lithuania, Luxembourg, Malta, the Netherlands, Poland, Portugal, Romania, Slovakia, Slovenia, Spain</w:t>
      </w:r>
      <w:r w:rsidR="003E19D7" w:rsidRPr="003E19D7">
        <w:rPr>
          <w:sz w:val="20"/>
          <w:szCs w:val="20"/>
        </w:rPr>
        <w:t xml:space="preserve"> </w:t>
      </w:r>
      <w:r w:rsidR="003E19D7" w:rsidRPr="007C6517">
        <w:rPr>
          <w:sz w:val="20"/>
          <w:szCs w:val="20"/>
        </w:rPr>
        <w:t xml:space="preserve">and Sweden </w:t>
      </w:r>
      <w:r w:rsidR="003E19D7">
        <w:rPr>
          <w:sz w:val="20"/>
          <w:szCs w:val="20"/>
        </w:rPr>
        <w:t xml:space="preserve">and co-sponsored by </w:t>
      </w:r>
      <w:r w:rsidR="003E19D7" w:rsidRPr="003E19D7">
        <w:rPr>
          <w:sz w:val="20"/>
          <w:szCs w:val="20"/>
        </w:rPr>
        <w:t xml:space="preserve">Albania, Argentina, Australia, Chile, Iceland, </w:t>
      </w:r>
      <w:r w:rsidR="003E19D7">
        <w:rPr>
          <w:sz w:val="20"/>
          <w:szCs w:val="20"/>
        </w:rPr>
        <w:t xml:space="preserve">the </w:t>
      </w:r>
      <w:r w:rsidR="003E19D7" w:rsidRPr="003E19D7">
        <w:rPr>
          <w:sz w:val="20"/>
          <w:szCs w:val="20"/>
        </w:rPr>
        <w:t>Marshall Islands, Montenegro, Norway,</w:t>
      </w:r>
      <w:r w:rsidR="003E19D7">
        <w:rPr>
          <w:sz w:val="20"/>
          <w:szCs w:val="20"/>
        </w:rPr>
        <w:t xml:space="preserve"> the</w:t>
      </w:r>
      <w:r w:rsidR="003E19D7" w:rsidRPr="003E19D7">
        <w:rPr>
          <w:sz w:val="20"/>
          <w:szCs w:val="20"/>
        </w:rPr>
        <w:t xml:space="preserve"> Republic of Moldova, Switzerland, Turkey</w:t>
      </w:r>
      <w:r w:rsidR="003E19D7">
        <w:rPr>
          <w:sz w:val="20"/>
          <w:szCs w:val="20"/>
        </w:rPr>
        <w:t xml:space="preserve"> and</w:t>
      </w:r>
      <w:r w:rsidR="003E19D7" w:rsidRPr="003E19D7">
        <w:rPr>
          <w:sz w:val="20"/>
          <w:szCs w:val="20"/>
        </w:rPr>
        <w:t xml:space="preserve"> Ukraine</w:t>
      </w:r>
      <w:r w:rsidR="003E19D7">
        <w:rPr>
          <w:sz w:val="20"/>
          <w:szCs w:val="20"/>
        </w:rPr>
        <w:t>.</w:t>
      </w:r>
      <w:r w:rsidR="003E19D7" w:rsidRPr="00326BEB">
        <w:rPr>
          <w:sz w:val="20"/>
          <w:szCs w:val="20"/>
        </w:rPr>
        <w:t xml:space="preserve"> Subsequently, </w:t>
      </w:r>
      <w:r w:rsidR="003E19D7" w:rsidRPr="003E19D7">
        <w:rPr>
          <w:sz w:val="20"/>
          <w:szCs w:val="20"/>
        </w:rPr>
        <w:t>Andorra</w:t>
      </w:r>
      <w:r w:rsidR="003E19D7">
        <w:rPr>
          <w:sz w:val="20"/>
          <w:szCs w:val="20"/>
        </w:rPr>
        <w:t xml:space="preserve">, </w:t>
      </w:r>
      <w:r w:rsidR="003E19D7" w:rsidRPr="003E19D7">
        <w:rPr>
          <w:sz w:val="20"/>
          <w:szCs w:val="20"/>
        </w:rPr>
        <w:t>Botswana</w:t>
      </w:r>
      <w:r w:rsidR="003E19D7">
        <w:rPr>
          <w:sz w:val="20"/>
          <w:szCs w:val="20"/>
        </w:rPr>
        <w:t xml:space="preserve">, </w:t>
      </w:r>
      <w:r w:rsidR="003E19D7" w:rsidRPr="003E19D7">
        <w:rPr>
          <w:sz w:val="20"/>
          <w:szCs w:val="20"/>
        </w:rPr>
        <w:lastRenderedPageBreak/>
        <w:t>Costa Rica</w:t>
      </w:r>
      <w:r w:rsidR="003E19D7">
        <w:rPr>
          <w:sz w:val="20"/>
          <w:szCs w:val="20"/>
        </w:rPr>
        <w:t xml:space="preserve">, </w:t>
      </w:r>
      <w:r w:rsidR="003E19D7" w:rsidRPr="003E19D7">
        <w:rPr>
          <w:sz w:val="20"/>
          <w:szCs w:val="20"/>
        </w:rPr>
        <w:t>Honduras</w:t>
      </w:r>
      <w:r w:rsidR="003E19D7">
        <w:rPr>
          <w:sz w:val="20"/>
          <w:szCs w:val="20"/>
        </w:rPr>
        <w:t xml:space="preserve">, </w:t>
      </w:r>
      <w:r w:rsidR="003E19D7" w:rsidRPr="003E19D7">
        <w:rPr>
          <w:sz w:val="20"/>
          <w:szCs w:val="20"/>
        </w:rPr>
        <w:t>Maldives</w:t>
      </w:r>
      <w:r w:rsidR="003E19D7">
        <w:rPr>
          <w:sz w:val="20"/>
          <w:szCs w:val="20"/>
        </w:rPr>
        <w:t xml:space="preserve">, </w:t>
      </w:r>
      <w:r w:rsidR="003E19D7" w:rsidRPr="003E19D7">
        <w:rPr>
          <w:sz w:val="20"/>
          <w:szCs w:val="20"/>
        </w:rPr>
        <w:t>Monaco</w:t>
      </w:r>
      <w:r w:rsidR="003E19D7">
        <w:rPr>
          <w:sz w:val="20"/>
          <w:szCs w:val="20"/>
        </w:rPr>
        <w:t xml:space="preserve">, </w:t>
      </w:r>
      <w:r w:rsidR="003E19D7" w:rsidRPr="003E19D7">
        <w:rPr>
          <w:sz w:val="20"/>
          <w:szCs w:val="20"/>
        </w:rPr>
        <w:t>New Zealand</w:t>
      </w:r>
      <w:r w:rsidR="003E19D7">
        <w:rPr>
          <w:sz w:val="20"/>
          <w:szCs w:val="20"/>
        </w:rPr>
        <w:t xml:space="preserve"> and the </w:t>
      </w:r>
      <w:r w:rsidR="003E19D7" w:rsidRPr="003E19D7">
        <w:rPr>
          <w:sz w:val="20"/>
          <w:szCs w:val="20"/>
        </w:rPr>
        <w:t>United Kingdom of Great Britain and Northern Ireland</w:t>
      </w:r>
      <w:r w:rsidR="003E19D7">
        <w:rPr>
          <w:sz w:val="20"/>
          <w:szCs w:val="20"/>
        </w:rPr>
        <w:t xml:space="preserve"> joined the sponsors</w:t>
      </w:r>
      <w:r w:rsidR="003E19D7" w:rsidRPr="00326BEB">
        <w:rPr>
          <w:sz w:val="20"/>
          <w:szCs w:val="20"/>
        </w:rPr>
        <w:t>.</w:t>
      </w:r>
    </w:p>
    <w:p w14:paraId="46875091" w14:textId="46B2FFBC" w:rsidR="003E19D7" w:rsidRDefault="00583EAF" w:rsidP="003E19D7">
      <w:pPr>
        <w:spacing w:after="120"/>
        <w:ind w:left="1134" w:right="1134"/>
        <w:jc w:val="both"/>
        <w:rPr>
          <w:sz w:val="20"/>
          <w:szCs w:val="20"/>
        </w:rPr>
      </w:pPr>
      <w:r>
        <w:rPr>
          <w:sz w:val="20"/>
          <w:szCs w:val="20"/>
        </w:rPr>
        <w:t>306</w:t>
      </w:r>
      <w:r w:rsidR="003E19D7" w:rsidRPr="00E86201">
        <w:rPr>
          <w:sz w:val="20"/>
          <w:szCs w:val="20"/>
        </w:rPr>
        <w:t>.</w:t>
      </w:r>
      <w:r w:rsidR="003E19D7" w:rsidRPr="00E86201">
        <w:rPr>
          <w:sz w:val="20"/>
          <w:szCs w:val="20"/>
        </w:rPr>
        <w:tab/>
        <w:t>At the same meeting, the representative of</w:t>
      </w:r>
      <w:r w:rsidR="003E19D7" w:rsidRPr="006F178E">
        <w:rPr>
          <w:sz w:val="20"/>
          <w:szCs w:val="20"/>
        </w:rPr>
        <w:t xml:space="preserve"> </w:t>
      </w:r>
      <w:r w:rsidR="003E19D7">
        <w:rPr>
          <w:sz w:val="20"/>
          <w:szCs w:val="20"/>
        </w:rPr>
        <w:t>Cuba</w:t>
      </w:r>
      <w:r w:rsidR="003E19D7" w:rsidRPr="006F178E">
        <w:rPr>
          <w:sz w:val="20"/>
          <w:szCs w:val="20"/>
        </w:rPr>
        <w:t xml:space="preserve"> </w:t>
      </w:r>
      <w:r w:rsidR="003E19D7" w:rsidRPr="00E86201">
        <w:rPr>
          <w:sz w:val="20"/>
          <w:szCs w:val="20"/>
        </w:rPr>
        <w:t>made general comments on the draft resolution.</w:t>
      </w:r>
      <w:r w:rsidR="003E19D7" w:rsidRPr="003E19D7">
        <w:rPr>
          <w:sz w:val="20"/>
          <w:szCs w:val="20"/>
        </w:rPr>
        <w:t xml:space="preserve"> </w:t>
      </w:r>
      <w:r w:rsidR="003E19D7" w:rsidRPr="00F86404">
        <w:rPr>
          <w:sz w:val="20"/>
          <w:szCs w:val="20"/>
        </w:rPr>
        <w:t xml:space="preserve">In </w:t>
      </w:r>
      <w:r w:rsidR="003E19D7">
        <w:rPr>
          <w:sz w:val="20"/>
          <w:szCs w:val="20"/>
        </w:rPr>
        <w:t>his</w:t>
      </w:r>
      <w:r w:rsidR="003E19D7" w:rsidRPr="00F86404">
        <w:rPr>
          <w:sz w:val="20"/>
          <w:szCs w:val="20"/>
        </w:rPr>
        <w:t xml:space="preserve"> statement, the representative of </w:t>
      </w:r>
      <w:r w:rsidR="003E19D7">
        <w:rPr>
          <w:sz w:val="20"/>
          <w:szCs w:val="20"/>
        </w:rPr>
        <w:t>Cuba</w:t>
      </w:r>
      <w:r w:rsidR="003E19D7" w:rsidRPr="00F86404">
        <w:rPr>
          <w:sz w:val="20"/>
          <w:szCs w:val="20"/>
        </w:rPr>
        <w:t xml:space="preserve"> disassociated the delegation from the consensus on the draft resolution.</w:t>
      </w:r>
    </w:p>
    <w:p w14:paraId="11A80E97" w14:textId="40BD0453" w:rsidR="003E19D7" w:rsidRDefault="00583EAF" w:rsidP="003E19D7">
      <w:pPr>
        <w:spacing w:after="120"/>
        <w:ind w:left="1134" w:right="1134"/>
        <w:jc w:val="both"/>
        <w:rPr>
          <w:sz w:val="20"/>
          <w:szCs w:val="20"/>
        </w:rPr>
      </w:pPr>
      <w:r>
        <w:rPr>
          <w:sz w:val="20"/>
          <w:szCs w:val="20"/>
        </w:rPr>
        <w:t>307</w:t>
      </w:r>
      <w:r w:rsidR="003E19D7" w:rsidRPr="00326BEB">
        <w:rPr>
          <w:sz w:val="20"/>
          <w:szCs w:val="20"/>
        </w:rPr>
        <w:t>.</w:t>
      </w:r>
      <w:r w:rsidR="003E19D7" w:rsidRPr="00326BEB">
        <w:rPr>
          <w:sz w:val="20"/>
          <w:szCs w:val="20"/>
        </w:rPr>
        <w:tab/>
        <w:t>In accordance with rule 153 of the rules of procedure of the General Assembly, the attention of the Human Rights Council was drawn to the estimated administrative and programme budget implications of the draft resolution.</w:t>
      </w:r>
    </w:p>
    <w:p w14:paraId="77447245" w14:textId="378867AF" w:rsidR="003E19D7" w:rsidRDefault="00583EAF" w:rsidP="003E19D7">
      <w:pPr>
        <w:spacing w:after="120"/>
        <w:ind w:left="1134" w:right="1134"/>
        <w:jc w:val="both"/>
        <w:rPr>
          <w:sz w:val="20"/>
          <w:szCs w:val="20"/>
        </w:rPr>
      </w:pPr>
      <w:r>
        <w:rPr>
          <w:sz w:val="20"/>
          <w:szCs w:val="20"/>
        </w:rPr>
        <w:t>308</w:t>
      </w:r>
      <w:r w:rsidR="003E19D7" w:rsidRPr="0023658A">
        <w:rPr>
          <w:sz w:val="20"/>
          <w:szCs w:val="20"/>
        </w:rPr>
        <w:t>.</w:t>
      </w:r>
      <w:r w:rsidR="003E19D7" w:rsidRPr="0023658A">
        <w:rPr>
          <w:sz w:val="20"/>
          <w:szCs w:val="20"/>
        </w:rPr>
        <w:tab/>
      </w:r>
      <w:r w:rsidR="003E19D7" w:rsidRPr="0023658A">
        <w:rPr>
          <w:rFonts w:eastAsia="SimSun"/>
          <w:sz w:val="20"/>
          <w:szCs w:val="20"/>
          <w:lang w:eastAsia="ar-SA"/>
        </w:rPr>
        <w:t>At the same meeting</w:t>
      </w:r>
      <w:r w:rsidR="003E19D7" w:rsidRPr="0023658A">
        <w:rPr>
          <w:sz w:val="20"/>
          <w:szCs w:val="20"/>
        </w:rPr>
        <w:t xml:space="preserve">, the representative of </w:t>
      </w:r>
      <w:r w:rsidR="003E19D7">
        <w:rPr>
          <w:sz w:val="20"/>
          <w:szCs w:val="20"/>
        </w:rPr>
        <w:t xml:space="preserve">China </w:t>
      </w:r>
      <w:r w:rsidR="003E19D7" w:rsidRPr="0023658A">
        <w:rPr>
          <w:sz w:val="20"/>
          <w:szCs w:val="20"/>
        </w:rPr>
        <w:t xml:space="preserve">made </w:t>
      </w:r>
      <w:r w:rsidR="003E19D7">
        <w:rPr>
          <w:sz w:val="20"/>
          <w:szCs w:val="20"/>
        </w:rPr>
        <w:t>a statement</w:t>
      </w:r>
      <w:r w:rsidR="003E19D7" w:rsidRPr="0023658A">
        <w:rPr>
          <w:sz w:val="20"/>
          <w:szCs w:val="20"/>
        </w:rPr>
        <w:t xml:space="preserve"> in explanation of vote before the vote.</w:t>
      </w:r>
      <w:r w:rsidR="003E19D7">
        <w:rPr>
          <w:sz w:val="20"/>
          <w:szCs w:val="20"/>
        </w:rPr>
        <w:t xml:space="preserve"> </w:t>
      </w:r>
      <w:r w:rsidR="003E19D7" w:rsidRPr="00F86404">
        <w:rPr>
          <w:sz w:val="20"/>
          <w:szCs w:val="20"/>
        </w:rPr>
        <w:t xml:space="preserve">In </w:t>
      </w:r>
      <w:r w:rsidR="003E19D7">
        <w:rPr>
          <w:sz w:val="20"/>
          <w:szCs w:val="20"/>
        </w:rPr>
        <w:t>his</w:t>
      </w:r>
      <w:r w:rsidR="003E19D7" w:rsidRPr="00F86404">
        <w:rPr>
          <w:sz w:val="20"/>
          <w:szCs w:val="20"/>
        </w:rPr>
        <w:t xml:space="preserve"> statement, the representative of </w:t>
      </w:r>
      <w:r w:rsidR="003E19D7">
        <w:rPr>
          <w:sz w:val="20"/>
          <w:szCs w:val="20"/>
        </w:rPr>
        <w:t>China</w:t>
      </w:r>
      <w:r w:rsidR="003E19D7" w:rsidRPr="00F86404">
        <w:rPr>
          <w:sz w:val="20"/>
          <w:szCs w:val="20"/>
        </w:rPr>
        <w:t xml:space="preserve"> disassociated the delegation from the consensus on the draft resolution.</w:t>
      </w:r>
    </w:p>
    <w:p w14:paraId="17E0C2D8" w14:textId="6AC2895F" w:rsidR="003E19D7" w:rsidRDefault="00583EAF" w:rsidP="003E19D7">
      <w:pPr>
        <w:pStyle w:val="SingleTxtG"/>
        <w:rPr>
          <w:rFonts w:eastAsia="SimSun"/>
          <w:sz w:val="20"/>
          <w:szCs w:val="20"/>
          <w:lang w:eastAsia="ar-SA"/>
        </w:rPr>
      </w:pPr>
      <w:r>
        <w:rPr>
          <w:rFonts w:eastAsia="SimSun"/>
          <w:sz w:val="20"/>
          <w:szCs w:val="20"/>
          <w:lang w:eastAsia="ar-SA"/>
        </w:rPr>
        <w:t>309</w:t>
      </w:r>
      <w:r w:rsidR="003E19D7" w:rsidRPr="00326BEB">
        <w:rPr>
          <w:rFonts w:eastAsia="SimSun"/>
          <w:sz w:val="20"/>
          <w:szCs w:val="20"/>
          <w:lang w:eastAsia="ar-SA"/>
        </w:rPr>
        <w:t>.</w:t>
      </w:r>
      <w:r w:rsidR="003E19D7" w:rsidRPr="00326BEB">
        <w:rPr>
          <w:rFonts w:eastAsia="SimSun"/>
          <w:sz w:val="20"/>
          <w:szCs w:val="20"/>
          <w:lang w:eastAsia="ar-SA"/>
        </w:rPr>
        <w:tab/>
        <w:t>A</w:t>
      </w:r>
      <w:r w:rsidR="003E19D7">
        <w:rPr>
          <w:rFonts w:eastAsia="SimSun"/>
          <w:sz w:val="20"/>
          <w:szCs w:val="20"/>
          <w:lang w:eastAsia="ar-SA"/>
        </w:rPr>
        <w:t>lso a</w:t>
      </w:r>
      <w:r w:rsidR="003E19D7" w:rsidRPr="00326BEB">
        <w:rPr>
          <w:rFonts w:eastAsia="SimSun"/>
          <w:sz w:val="20"/>
          <w:szCs w:val="20"/>
          <w:lang w:eastAsia="ar-SA"/>
        </w:rPr>
        <w:t xml:space="preserve">t the same meeting, the draft resolution was adopted without a vote (resolution </w:t>
      </w:r>
      <w:r w:rsidR="003E19D7">
        <w:rPr>
          <w:rFonts w:eastAsia="SimSun"/>
          <w:sz w:val="20"/>
          <w:szCs w:val="20"/>
          <w:lang w:eastAsia="ar-SA"/>
        </w:rPr>
        <w:t>40</w:t>
      </w:r>
      <w:r w:rsidR="003E19D7" w:rsidRPr="00326BEB">
        <w:rPr>
          <w:rFonts w:eastAsia="SimSun"/>
          <w:sz w:val="20"/>
          <w:szCs w:val="20"/>
          <w:lang w:eastAsia="ar-SA"/>
        </w:rPr>
        <w:t>/</w:t>
      </w:r>
      <w:r w:rsidR="003E19D7">
        <w:rPr>
          <w:rFonts w:eastAsia="SimSun"/>
          <w:sz w:val="20"/>
          <w:szCs w:val="20"/>
          <w:lang w:eastAsia="ar-SA"/>
        </w:rPr>
        <w:t>20</w:t>
      </w:r>
      <w:r w:rsidR="003E19D7" w:rsidRPr="00326BEB">
        <w:rPr>
          <w:rFonts w:eastAsia="SimSun"/>
          <w:sz w:val="20"/>
          <w:szCs w:val="20"/>
          <w:lang w:eastAsia="ar-SA"/>
        </w:rPr>
        <w:t>).</w:t>
      </w:r>
    </w:p>
    <w:p w14:paraId="15BBEFFE" w14:textId="614EB141" w:rsidR="00FB3393" w:rsidRDefault="00FB3393" w:rsidP="00FB3393">
      <w:pPr>
        <w:pStyle w:val="SingleTxtG"/>
        <w:rPr>
          <w:b/>
          <w:sz w:val="20"/>
          <w:szCs w:val="20"/>
        </w:rPr>
      </w:pPr>
      <w:r w:rsidRPr="00FB3393">
        <w:rPr>
          <w:b/>
          <w:sz w:val="20"/>
          <w:szCs w:val="20"/>
        </w:rPr>
        <w:t>Situation of human rights in Myanmar</w:t>
      </w:r>
    </w:p>
    <w:p w14:paraId="65F2A49C" w14:textId="06A34685" w:rsidR="00FB3393" w:rsidRDefault="00583EAF" w:rsidP="00FB3393">
      <w:pPr>
        <w:pStyle w:val="SingleTxtG"/>
        <w:rPr>
          <w:sz w:val="20"/>
          <w:szCs w:val="20"/>
        </w:rPr>
      </w:pPr>
      <w:r>
        <w:rPr>
          <w:sz w:val="20"/>
          <w:szCs w:val="20"/>
        </w:rPr>
        <w:t>310</w:t>
      </w:r>
      <w:r w:rsidR="00FB3393" w:rsidRPr="00326BEB">
        <w:rPr>
          <w:sz w:val="20"/>
          <w:szCs w:val="20"/>
        </w:rPr>
        <w:t>.</w:t>
      </w:r>
      <w:r w:rsidR="00FB3393" w:rsidRPr="00326BEB">
        <w:rPr>
          <w:sz w:val="20"/>
          <w:szCs w:val="20"/>
        </w:rPr>
        <w:tab/>
        <w:t xml:space="preserve">At the </w:t>
      </w:r>
      <w:r w:rsidR="00FB3393">
        <w:rPr>
          <w:sz w:val="20"/>
          <w:szCs w:val="20"/>
        </w:rPr>
        <w:t>55th</w:t>
      </w:r>
      <w:r w:rsidR="00FB3393" w:rsidRPr="00326BEB">
        <w:rPr>
          <w:sz w:val="20"/>
          <w:szCs w:val="20"/>
        </w:rPr>
        <w:t xml:space="preserve"> meeting, on </w:t>
      </w:r>
      <w:r w:rsidR="00FB3393">
        <w:rPr>
          <w:sz w:val="20"/>
          <w:szCs w:val="20"/>
        </w:rPr>
        <w:t>22 March 2019</w:t>
      </w:r>
      <w:r w:rsidR="00FB3393" w:rsidRPr="00326BEB">
        <w:rPr>
          <w:sz w:val="20"/>
          <w:szCs w:val="20"/>
        </w:rPr>
        <w:t xml:space="preserve">, the representative of </w:t>
      </w:r>
      <w:r w:rsidR="00313EEA">
        <w:rPr>
          <w:sz w:val="20"/>
          <w:szCs w:val="20"/>
        </w:rPr>
        <w:t xml:space="preserve">Romania </w:t>
      </w:r>
      <w:r w:rsidR="00313EEA" w:rsidRPr="00861B84">
        <w:rPr>
          <w:sz w:val="20"/>
          <w:szCs w:val="20"/>
        </w:rPr>
        <w:t>(on behalf of the European Union</w:t>
      </w:r>
      <w:r w:rsidR="00313EEA">
        <w:rPr>
          <w:sz w:val="20"/>
          <w:szCs w:val="20"/>
        </w:rPr>
        <w:t xml:space="preserve">) </w:t>
      </w:r>
      <w:r w:rsidR="00FB3393" w:rsidRPr="00326BEB">
        <w:rPr>
          <w:sz w:val="20"/>
          <w:szCs w:val="20"/>
        </w:rPr>
        <w:t>introduced draft resolution A/HRC/</w:t>
      </w:r>
      <w:r w:rsidR="00FB3393">
        <w:rPr>
          <w:sz w:val="20"/>
          <w:szCs w:val="20"/>
        </w:rPr>
        <w:t>40</w:t>
      </w:r>
      <w:r w:rsidR="00FB3393" w:rsidRPr="00326BEB">
        <w:rPr>
          <w:sz w:val="20"/>
          <w:szCs w:val="20"/>
        </w:rPr>
        <w:t>/L.</w:t>
      </w:r>
      <w:r w:rsidR="00FB3393">
        <w:rPr>
          <w:sz w:val="20"/>
          <w:szCs w:val="20"/>
        </w:rPr>
        <w:t>19</w:t>
      </w:r>
      <w:r w:rsidR="00FB3393" w:rsidRPr="00326BEB">
        <w:rPr>
          <w:sz w:val="20"/>
          <w:szCs w:val="20"/>
        </w:rPr>
        <w:t xml:space="preserve">, sponsored by </w:t>
      </w:r>
      <w:r w:rsidR="00FB3393" w:rsidRPr="007C6517">
        <w:rPr>
          <w:sz w:val="20"/>
          <w:szCs w:val="20"/>
        </w:rPr>
        <w:t xml:space="preserve">Austria, Belgium, Bulgaria, Croatia, Cyprus, Czechia, Denmark, Estonia, Finland, France, Germany, Greece, Hungary, Ireland, Italy, Latvia, Lithuania, Luxembourg, Malta, the Netherlands, Poland, Portugal, Romania, Slovakia, Slovenia, Spain, Sweden and the United Kingdom of Great Britain and Northern Ireland </w:t>
      </w:r>
      <w:r w:rsidR="00FB3393">
        <w:rPr>
          <w:sz w:val="20"/>
          <w:szCs w:val="20"/>
        </w:rPr>
        <w:t xml:space="preserve">and co-sponsored by </w:t>
      </w:r>
      <w:r w:rsidR="00912D20" w:rsidRPr="00912D20">
        <w:rPr>
          <w:sz w:val="20"/>
          <w:szCs w:val="20"/>
        </w:rPr>
        <w:t>Albania, Australia, Bangladesh, Canada, Costa Rica, Georgia, Iceland, Liechtenstein, Maldives, Monaco, Montenegro, North Macedonia, Norway, San Marino, Turkey</w:t>
      </w:r>
      <w:r w:rsidR="00912D20">
        <w:rPr>
          <w:sz w:val="20"/>
          <w:szCs w:val="20"/>
        </w:rPr>
        <w:t xml:space="preserve"> and</w:t>
      </w:r>
      <w:r w:rsidR="00912D20" w:rsidRPr="00912D20">
        <w:rPr>
          <w:sz w:val="20"/>
          <w:szCs w:val="20"/>
        </w:rPr>
        <w:t xml:space="preserve"> Ukraine</w:t>
      </w:r>
      <w:r w:rsidR="00FB3393">
        <w:rPr>
          <w:sz w:val="20"/>
          <w:szCs w:val="20"/>
        </w:rPr>
        <w:t>.</w:t>
      </w:r>
      <w:r w:rsidR="00FB3393" w:rsidRPr="00326BEB">
        <w:rPr>
          <w:sz w:val="20"/>
          <w:szCs w:val="20"/>
        </w:rPr>
        <w:t xml:space="preserve"> Subsequently, </w:t>
      </w:r>
      <w:r w:rsidR="00912D20" w:rsidRPr="00912D20">
        <w:rPr>
          <w:sz w:val="20"/>
          <w:szCs w:val="20"/>
        </w:rPr>
        <w:t>Afghanistan</w:t>
      </w:r>
      <w:r w:rsidR="00912D20">
        <w:rPr>
          <w:sz w:val="20"/>
          <w:szCs w:val="20"/>
        </w:rPr>
        <w:t xml:space="preserve">, </w:t>
      </w:r>
      <w:r w:rsidR="00912D20" w:rsidRPr="00912D20">
        <w:rPr>
          <w:sz w:val="20"/>
          <w:szCs w:val="20"/>
        </w:rPr>
        <w:t>Andorra</w:t>
      </w:r>
      <w:r w:rsidR="00912D20">
        <w:rPr>
          <w:sz w:val="20"/>
          <w:szCs w:val="20"/>
        </w:rPr>
        <w:t xml:space="preserve">, </w:t>
      </w:r>
      <w:r w:rsidR="00912D20" w:rsidRPr="00912D20">
        <w:rPr>
          <w:sz w:val="20"/>
          <w:szCs w:val="20"/>
        </w:rPr>
        <w:t>Argentina</w:t>
      </w:r>
      <w:r w:rsidR="00912D20">
        <w:rPr>
          <w:sz w:val="20"/>
          <w:szCs w:val="20"/>
        </w:rPr>
        <w:t xml:space="preserve">, </w:t>
      </w:r>
      <w:r w:rsidR="00912D20" w:rsidRPr="00912D20">
        <w:rPr>
          <w:sz w:val="20"/>
          <w:szCs w:val="20"/>
        </w:rPr>
        <w:t>Jordan</w:t>
      </w:r>
      <w:r w:rsidR="00912D20">
        <w:rPr>
          <w:sz w:val="20"/>
          <w:szCs w:val="20"/>
        </w:rPr>
        <w:t xml:space="preserve">, </w:t>
      </w:r>
      <w:r w:rsidR="00912D20" w:rsidRPr="00912D20">
        <w:rPr>
          <w:sz w:val="20"/>
          <w:szCs w:val="20"/>
        </w:rPr>
        <w:t>Malaysia</w:t>
      </w:r>
      <w:r w:rsidR="00912D20">
        <w:rPr>
          <w:sz w:val="20"/>
          <w:szCs w:val="20"/>
        </w:rPr>
        <w:t xml:space="preserve">, </w:t>
      </w:r>
      <w:r w:rsidR="00912D20" w:rsidRPr="00912D20">
        <w:rPr>
          <w:sz w:val="20"/>
          <w:szCs w:val="20"/>
        </w:rPr>
        <w:t>New Zealand</w:t>
      </w:r>
      <w:r w:rsidR="00912D20">
        <w:rPr>
          <w:sz w:val="20"/>
          <w:szCs w:val="20"/>
        </w:rPr>
        <w:t xml:space="preserve">, the </w:t>
      </w:r>
      <w:r w:rsidR="00912D20" w:rsidRPr="00912D20">
        <w:rPr>
          <w:sz w:val="20"/>
          <w:szCs w:val="20"/>
        </w:rPr>
        <w:t>Republic of Korea</w:t>
      </w:r>
      <w:r w:rsidR="00912D20">
        <w:rPr>
          <w:sz w:val="20"/>
          <w:szCs w:val="20"/>
        </w:rPr>
        <w:t xml:space="preserve">, </w:t>
      </w:r>
      <w:r w:rsidR="00912D20" w:rsidRPr="00912D20">
        <w:rPr>
          <w:sz w:val="20"/>
          <w:szCs w:val="20"/>
        </w:rPr>
        <w:t>Switzerland</w:t>
      </w:r>
      <w:r w:rsidR="00912D20">
        <w:rPr>
          <w:sz w:val="20"/>
          <w:szCs w:val="20"/>
        </w:rPr>
        <w:t xml:space="preserve">, </w:t>
      </w:r>
      <w:r w:rsidR="00912D20" w:rsidRPr="00912D20">
        <w:rPr>
          <w:sz w:val="20"/>
          <w:szCs w:val="20"/>
        </w:rPr>
        <w:t xml:space="preserve">Tunisia </w:t>
      </w:r>
      <w:r w:rsidR="00912D20">
        <w:rPr>
          <w:sz w:val="20"/>
          <w:szCs w:val="20"/>
        </w:rPr>
        <w:t xml:space="preserve">and the </w:t>
      </w:r>
      <w:r w:rsidR="00912D20" w:rsidRPr="00912D20">
        <w:rPr>
          <w:sz w:val="20"/>
          <w:szCs w:val="20"/>
        </w:rPr>
        <w:t>State of Palestine</w:t>
      </w:r>
      <w:r w:rsidR="00912D20">
        <w:rPr>
          <w:sz w:val="20"/>
          <w:szCs w:val="20"/>
        </w:rPr>
        <w:t xml:space="preserve"> </w:t>
      </w:r>
      <w:r w:rsidR="00FB3393" w:rsidRPr="00326BEB">
        <w:rPr>
          <w:sz w:val="20"/>
          <w:szCs w:val="20"/>
        </w:rPr>
        <w:t>joined the sponsors.</w:t>
      </w:r>
    </w:p>
    <w:p w14:paraId="28A1DD80" w14:textId="042793ED" w:rsidR="00FB3393" w:rsidRDefault="00583EAF" w:rsidP="00FB3393">
      <w:pPr>
        <w:spacing w:after="120"/>
        <w:ind w:left="1134" w:right="1134"/>
        <w:jc w:val="both"/>
        <w:rPr>
          <w:sz w:val="20"/>
          <w:szCs w:val="20"/>
        </w:rPr>
      </w:pPr>
      <w:r>
        <w:rPr>
          <w:sz w:val="20"/>
          <w:szCs w:val="20"/>
        </w:rPr>
        <w:t>311</w:t>
      </w:r>
      <w:r w:rsidR="00FB3393" w:rsidRPr="00E86201">
        <w:rPr>
          <w:sz w:val="20"/>
          <w:szCs w:val="20"/>
        </w:rPr>
        <w:t>.</w:t>
      </w:r>
      <w:r w:rsidR="00FB3393" w:rsidRPr="00E86201">
        <w:rPr>
          <w:sz w:val="20"/>
          <w:szCs w:val="20"/>
        </w:rPr>
        <w:tab/>
        <w:t>At the same meeting, the representative</w:t>
      </w:r>
      <w:r w:rsidR="00FB3393">
        <w:rPr>
          <w:sz w:val="20"/>
          <w:szCs w:val="20"/>
        </w:rPr>
        <w:t>s</w:t>
      </w:r>
      <w:r w:rsidR="00FB3393" w:rsidRPr="00E86201">
        <w:rPr>
          <w:sz w:val="20"/>
          <w:szCs w:val="20"/>
        </w:rPr>
        <w:t xml:space="preserve"> of </w:t>
      </w:r>
      <w:r w:rsidR="006A2F47" w:rsidRPr="006A2F47">
        <w:rPr>
          <w:sz w:val="20"/>
          <w:szCs w:val="20"/>
        </w:rPr>
        <w:t>Argentina</w:t>
      </w:r>
      <w:r w:rsidR="006A2F47">
        <w:rPr>
          <w:sz w:val="20"/>
          <w:szCs w:val="20"/>
        </w:rPr>
        <w:t xml:space="preserve"> and </w:t>
      </w:r>
      <w:r w:rsidR="006A2F47" w:rsidRPr="006A2F47">
        <w:rPr>
          <w:sz w:val="20"/>
          <w:szCs w:val="20"/>
        </w:rPr>
        <w:t>Bangladesh</w:t>
      </w:r>
      <w:r w:rsidR="006A2F47">
        <w:rPr>
          <w:sz w:val="20"/>
          <w:szCs w:val="20"/>
        </w:rPr>
        <w:t xml:space="preserve"> </w:t>
      </w:r>
      <w:r w:rsidR="00FB3393" w:rsidRPr="00E86201">
        <w:rPr>
          <w:sz w:val="20"/>
          <w:szCs w:val="20"/>
        </w:rPr>
        <w:t>made general comments on the draft resolution.</w:t>
      </w:r>
    </w:p>
    <w:p w14:paraId="1CBBCC4A" w14:textId="0E553658" w:rsidR="00313EEA" w:rsidRDefault="00583EAF" w:rsidP="00313EEA">
      <w:pPr>
        <w:spacing w:after="120"/>
        <w:ind w:left="1134" w:right="1134"/>
        <w:jc w:val="both"/>
        <w:rPr>
          <w:sz w:val="20"/>
          <w:szCs w:val="20"/>
        </w:rPr>
      </w:pPr>
      <w:r>
        <w:rPr>
          <w:sz w:val="20"/>
          <w:szCs w:val="20"/>
        </w:rPr>
        <w:t>312</w:t>
      </w:r>
      <w:r w:rsidR="00313EEA" w:rsidRPr="00E23221">
        <w:rPr>
          <w:sz w:val="20"/>
          <w:szCs w:val="20"/>
        </w:rPr>
        <w:t>.</w:t>
      </w:r>
      <w:r w:rsidR="00313EEA" w:rsidRPr="00E23221">
        <w:rPr>
          <w:sz w:val="20"/>
          <w:szCs w:val="20"/>
        </w:rPr>
        <w:tab/>
        <w:t xml:space="preserve">Also at the same meeting, the representative of </w:t>
      </w:r>
      <w:r w:rsidR="00313EEA">
        <w:rPr>
          <w:sz w:val="20"/>
          <w:szCs w:val="20"/>
        </w:rPr>
        <w:t>Myanmar</w:t>
      </w:r>
      <w:r w:rsidR="00313EEA" w:rsidRPr="00E23221">
        <w:rPr>
          <w:sz w:val="20"/>
          <w:szCs w:val="20"/>
        </w:rPr>
        <w:t xml:space="preserve"> made a statement as the State concerned.</w:t>
      </w:r>
    </w:p>
    <w:p w14:paraId="64BB2F65" w14:textId="21C036F9" w:rsidR="00FB3393" w:rsidRDefault="00583EAF" w:rsidP="00FB3393">
      <w:pPr>
        <w:spacing w:after="120"/>
        <w:ind w:left="1134" w:right="1134"/>
        <w:jc w:val="both"/>
        <w:rPr>
          <w:sz w:val="20"/>
          <w:szCs w:val="20"/>
        </w:rPr>
      </w:pPr>
      <w:r>
        <w:rPr>
          <w:sz w:val="20"/>
          <w:szCs w:val="20"/>
        </w:rPr>
        <w:t>313</w:t>
      </w:r>
      <w:r w:rsidR="00FB3393" w:rsidRPr="00326BEB">
        <w:rPr>
          <w:sz w:val="20"/>
          <w:szCs w:val="20"/>
        </w:rPr>
        <w:t>.</w:t>
      </w:r>
      <w:r w:rsidR="00FB3393" w:rsidRPr="00326BEB">
        <w:rPr>
          <w:sz w:val="20"/>
          <w:szCs w:val="20"/>
        </w:rPr>
        <w:tab/>
        <w:t>In accordance with rule 153 of the rules of procedure of the General Assembly, the attention of the Human Rights Council was drawn to the estimated administrative and programme budget implications of the draft resolution.</w:t>
      </w:r>
    </w:p>
    <w:p w14:paraId="3852701E" w14:textId="2D414DFF" w:rsidR="00313EEA" w:rsidRPr="0023658A" w:rsidRDefault="00583EAF" w:rsidP="00FB3393">
      <w:pPr>
        <w:spacing w:after="120"/>
        <w:ind w:left="1134" w:right="1134"/>
        <w:jc w:val="both"/>
        <w:rPr>
          <w:sz w:val="20"/>
          <w:szCs w:val="20"/>
        </w:rPr>
      </w:pPr>
      <w:r>
        <w:rPr>
          <w:sz w:val="20"/>
          <w:szCs w:val="20"/>
        </w:rPr>
        <w:t>314</w:t>
      </w:r>
      <w:r w:rsidR="00FB3393" w:rsidRPr="0023658A">
        <w:rPr>
          <w:sz w:val="20"/>
          <w:szCs w:val="20"/>
        </w:rPr>
        <w:t>.</w:t>
      </w:r>
      <w:r w:rsidR="00FB3393" w:rsidRPr="0023658A">
        <w:rPr>
          <w:sz w:val="20"/>
          <w:szCs w:val="20"/>
        </w:rPr>
        <w:tab/>
      </w:r>
      <w:r w:rsidR="00FB3393" w:rsidRPr="0023658A">
        <w:rPr>
          <w:rFonts w:eastAsia="SimSun"/>
          <w:sz w:val="20"/>
          <w:szCs w:val="20"/>
          <w:lang w:eastAsia="ar-SA"/>
        </w:rPr>
        <w:t>At the same meeting</w:t>
      </w:r>
      <w:r w:rsidR="00FB3393" w:rsidRPr="0023658A">
        <w:rPr>
          <w:sz w:val="20"/>
          <w:szCs w:val="20"/>
        </w:rPr>
        <w:t xml:space="preserve">, the representatives of </w:t>
      </w:r>
      <w:r w:rsidR="006A2F47" w:rsidRPr="006A2F47">
        <w:rPr>
          <w:sz w:val="20"/>
          <w:szCs w:val="20"/>
        </w:rPr>
        <w:t>China, Egypt, Iraq</w:t>
      </w:r>
      <w:r w:rsidR="006A2F47">
        <w:rPr>
          <w:sz w:val="20"/>
          <w:szCs w:val="20"/>
        </w:rPr>
        <w:t xml:space="preserve">, </w:t>
      </w:r>
      <w:r w:rsidR="006A2F47" w:rsidRPr="006A2F47">
        <w:rPr>
          <w:sz w:val="20"/>
          <w:szCs w:val="20"/>
        </w:rPr>
        <w:t>Japan</w:t>
      </w:r>
      <w:r w:rsidR="006A2F47">
        <w:rPr>
          <w:sz w:val="20"/>
          <w:szCs w:val="20"/>
        </w:rPr>
        <w:t xml:space="preserve"> and the </w:t>
      </w:r>
      <w:r w:rsidR="006A2F47" w:rsidRPr="006A2F47">
        <w:rPr>
          <w:sz w:val="20"/>
          <w:szCs w:val="20"/>
        </w:rPr>
        <w:t xml:space="preserve">Philippines </w:t>
      </w:r>
      <w:r w:rsidR="00FB3393" w:rsidRPr="0023658A">
        <w:rPr>
          <w:sz w:val="20"/>
          <w:szCs w:val="20"/>
        </w:rPr>
        <w:t>made statements in explanation of vote before the vote.</w:t>
      </w:r>
      <w:r w:rsidR="005B74D0">
        <w:rPr>
          <w:sz w:val="20"/>
          <w:szCs w:val="20"/>
        </w:rPr>
        <w:t xml:space="preserve"> </w:t>
      </w:r>
      <w:r w:rsidR="00313EEA" w:rsidRPr="00F86404">
        <w:rPr>
          <w:sz w:val="20"/>
          <w:szCs w:val="20"/>
        </w:rPr>
        <w:t xml:space="preserve">In </w:t>
      </w:r>
      <w:r w:rsidR="00313EEA">
        <w:rPr>
          <w:sz w:val="20"/>
          <w:szCs w:val="20"/>
        </w:rPr>
        <w:t>his</w:t>
      </w:r>
      <w:r w:rsidR="00313EEA" w:rsidRPr="00F86404">
        <w:rPr>
          <w:sz w:val="20"/>
          <w:szCs w:val="20"/>
        </w:rPr>
        <w:t xml:space="preserve"> statement, the representative of </w:t>
      </w:r>
      <w:r w:rsidR="00313EEA">
        <w:rPr>
          <w:sz w:val="20"/>
          <w:szCs w:val="20"/>
        </w:rPr>
        <w:t>Egypt</w:t>
      </w:r>
      <w:r w:rsidR="00313EEA" w:rsidRPr="00F86404">
        <w:rPr>
          <w:sz w:val="20"/>
          <w:szCs w:val="20"/>
        </w:rPr>
        <w:t xml:space="preserve"> disassociated the delegation from the consensus on </w:t>
      </w:r>
      <w:r w:rsidR="00313EEA" w:rsidRPr="00B54BF2">
        <w:rPr>
          <w:rFonts w:eastAsia="SimSun"/>
          <w:sz w:val="20"/>
          <w:szCs w:val="20"/>
          <w:lang w:eastAsia="ar-SA"/>
        </w:rPr>
        <w:t xml:space="preserve">the </w:t>
      </w:r>
      <w:r w:rsidR="000E05A0">
        <w:rPr>
          <w:rFonts w:eastAsia="SimSun"/>
          <w:sz w:val="20"/>
          <w:szCs w:val="20"/>
          <w:lang w:eastAsia="ar-SA"/>
        </w:rPr>
        <w:t xml:space="preserve">third, fourth, eighth and eleventh </w:t>
      </w:r>
      <w:r w:rsidR="00313EEA" w:rsidRPr="00B54BF2">
        <w:rPr>
          <w:rFonts w:eastAsia="SimSun"/>
          <w:sz w:val="20"/>
          <w:szCs w:val="20"/>
          <w:lang w:eastAsia="ar-SA"/>
        </w:rPr>
        <w:t>preambular paragraph</w:t>
      </w:r>
      <w:r w:rsidR="000E05A0">
        <w:rPr>
          <w:rFonts w:eastAsia="SimSun"/>
          <w:sz w:val="20"/>
          <w:szCs w:val="20"/>
          <w:lang w:eastAsia="ar-SA"/>
        </w:rPr>
        <w:t xml:space="preserve">s and </w:t>
      </w:r>
      <w:r w:rsidR="00313EEA" w:rsidRPr="00F86404">
        <w:rPr>
          <w:sz w:val="20"/>
          <w:szCs w:val="20"/>
        </w:rPr>
        <w:t>operative paragraph</w:t>
      </w:r>
      <w:r w:rsidR="00313EEA">
        <w:rPr>
          <w:sz w:val="20"/>
          <w:szCs w:val="20"/>
        </w:rPr>
        <w:t>s</w:t>
      </w:r>
      <w:r w:rsidR="00313EEA" w:rsidRPr="00F86404">
        <w:rPr>
          <w:sz w:val="20"/>
          <w:szCs w:val="20"/>
        </w:rPr>
        <w:t xml:space="preserve"> </w:t>
      </w:r>
      <w:r w:rsidR="005B74D0">
        <w:rPr>
          <w:sz w:val="20"/>
          <w:szCs w:val="20"/>
        </w:rPr>
        <w:t xml:space="preserve">5 </w:t>
      </w:r>
      <w:r w:rsidR="00313EEA">
        <w:rPr>
          <w:sz w:val="20"/>
          <w:szCs w:val="20"/>
        </w:rPr>
        <w:t xml:space="preserve">and </w:t>
      </w:r>
      <w:r w:rsidR="005B74D0">
        <w:rPr>
          <w:sz w:val="20"/>
          <w:szCs w:val="20"/>
        </w:rPr>
        <w:t>6</w:t>
      </w:r>
      <w:r w:rsidR="00313EEA" w:rsidRPr="00F86404">
        <w:rPr>
          <w:sz w:val="20"/>
          <w:szCs w:val="20"/>
        </w:rPr>
        <w:t xml:space="preserve"> of the draft resolution.</w:t>
      </w:r>
      <w:r w:rsidR="005B74D0" w:rsidRPr="005B74D0">
        <w:rPr>
          <w:sz w:val="20"/>
          <w:szCs w:val="20"/>
        </w:rPr>
        <w:t xml:space="preserve"> </w:t>
      </w:r>
      <w:r w:rsidR="005B74D0" w:rsidRPr="00F86404">
        <w:rPr>
          <w:sz w:val="20"/>
          <w:szCs w:val="20"/>
        </w:rPr>
        <w:t xml:space="preserve">In </w:t>
      </w:r>
      <w:r w:rsidR="005B74D0">
        <w:rPr>
          <w:sz w:val="20"/>
          <w:szCs w:val="20"/>
        </w:rPr>
        <w:t>his</w:t>
      </w:r>
      <w:r w:rsidR="005B74D0" w:rsidRPr="00F86404">
        <w:rPr>
          <w:sz w:val="20"/>
          <w:szCs w:val="20"/>
        </w:rPr>
        <w:t xml:space="preserve"> statement, the representative of </w:t>
      </w:r>
      <w:r w:rsidR="005B74D0">
        <w:rPr>
          <w:sz w:val="20"/>
          <w:szCs w:val="20"/>
        </w:rPr>
        <w:t>Iraq</w:t>
      </w:r>
      <w:r w:rsidR="005B74D0" w:rsidRPr="00F86404">
        <w:rPr>
          <w:sz w:val="20"/>
          <w:szCs w:val="20"/>
        </w:rPr>
        <w:t xml:space="preserve"> disassociated the delegation from the consensus on </w:t>
      </w:r>
      <w:r w:rsidR="005B74D0" w:rsidRPr="00B54BF2">
        <w:rPr>
          <w:rFonts w:eastAsia="SimSun"/>
          <w:sz w:val="20"/>
          <w:szCs w:val="20"/>
          <w:lang w:eastAsia="ar-SA"/>
        </w:rPr>
        <w:t xml:space="preserve">the </w:t>
      </w:r>
      <w:r w:rsidR="005B74D0">
        <w:rPr>
          <w:rFonts w:eastAsia="SimSun"/>
          <w:sz w:val="20"/>
          <w:szCs w:val="20"/>
          <w:lang w:eastAsia="ar-SA"/>
        </w:rPr>
        <w:t xml:space="preserve">eighth and eleventh </w:t>
      </w:r>
      <w:r w:rsidR="005B74D0" w:rsidRPr="00B54BF2">
        <w:rPr>
          <w:rFonts w:eastAsia="SimSun"/>
          <w:sz w:val="20"/>
          <w:szCs w:val="20"/>
          <w:lang w:eastAsia="ar-SA"/>
        </w:rPr>
        <w:t>preambular paragraph</w:t>
      </w:r>
      <w:r w:rsidR="005B74D0">
        <w:rPr>
          <w:rFonts w:eastAsia="SimSun"/>
          <w:sz w:val="20"/>
          <w:szCs w:val="20"/>
          <w:lang w:eastAsia="ar-SA"/>
        </w:rPr>
        <w:t xml:space="preserve">s and </w:t>
      </w:r>
      <w:r w:rsidR="005B74D0" w:rsidRPr="00F86404">
        <w:rPr>
          <w:sz w:val="20"/>
          <w:szCs w:val="20"/>
        </w:rPr>
        <w:t xml:space="preserve">operative paragraph </w:t>
      </w:r>
      <w:r w:rsidR="005B74D0">
        <w:rPr>
          <w:sz w:val="20"/>
          <w:szCs w:val="20"/>
        </w:rPr>
        <w:t xml:space="preserve">5 </w:t>
      </w:r>
      <w:r w:rsidR="005B74D0" w:rsidRPr="00F86404">
        <w:rPr>
          <w:sz w:val="20"/>
          <w:szCs w:val="20"/>
        </w:rPr>
        <w:t>of the draft resolution.</w:t>
      </w:r>
    </w:p>
    <w:p w14:paraId="6E0CDE72" w14:textId="74B009EB" w:rsidR="00FB3393" w:rsidRPr="0023658A" w:rsidRDefault="00583EAF" w:rsidP="00FB3393">
      <w:pPr>
        <w:pStyle w:val="SingleTxtG"/>
        <w:rPr>
          <w:sz w:val="20"/>
          <w:szCs w:val="20"/>
        </w:rPr>
      </w:pPr>
      <w:r>
        <w:rPr>
          <w:sz w:val="20"/>
          <w:szCs w:val="20"/>
        </w:rPr>
        <w:t>315</w:t>
      </w:r>
      <w:r w:rsidR="00FB3393" w:rsidRPr="0023658A">
        <w:rPr>
          <w:sz w:val="20"/>
          <w:szCs w:val="20"/>
        </w:rPr>
        <w:t>.</w:t>
      </w:r>
      <w:r w:rsidR="00FB3393" w:rsidRPr="0023658A">
        <w:rPr>
          <w:sz w:val="20"/>
          <w:szCs w:val="20"/>
        </w:rPr>
        <w:tab/>
        <w:t xml:space="preserve">Also at the same meeting, at the request of the representative of </w:t>
      </w:r>
      <w:r w:rsidR="006A2F47">
        <w:rPr>
          <w:sz w:val="20"/>
          <w:szCs w:val="20"/>
        </w:rPr>
        <w:t>China</w:t>
      </w:r>
      <w:r w:rsidR="00FB3393" w:rsidRPr="0023658A">
        <w:rPr>
          <w:sz w:val="20"/>
          <w:szCs w:val="20"/>
        </w:rPr>
        <w:t>, a recorded vote was taken on the draft resolution. The voting was as follows:</w:t>
      </w:r>
    </w:p>
    <w:p w14:paraId="01035F66" w14:textId="77777777" w:rsidR="006A2F47" w:rsidRPr="006A2F47" w:rsidRDefault="006A2F47" w:rsidP="006A2F47">
      <w:pPr>
        <w:keepNext/>
        <w:keepLines/>
        <w:ind w:left="1701" w:right="1134"/>
        <w:jc w:val="both"/>
        <w:rPr>
          <w:rFonts w:eastAsia="SimSun"/>
          <w:i/>
          <w:sz w:val="20"/>
          <w:szCs w:val="20"/>
          <w:lang w:eastAsia="ar-SA"/>
        </w:rPr>
      </w:pPr>
      <w:r w:rsidRPr="006A2F47">
        <w:rPr>
          <w:rFonts w:eastAsia="SimSun"/>
          <w:i/>
          <w:sz w:val="20"/>
          <w:szCs w:val="20"/>
          <w:lang w:eastAsia="ar-SA"/>
        </w:rPr>
        <w:t>In favour</w:t>
      </w:r>
      <w:r w:rsidRPr="006A2F47">
        <w:rPr>
          <w:rFonts w:eastAsia="SimSun"/>
          <w:sz w:val="20"/>
          <w:szCs w:val="20"/>
          <w:lang w:eastAsia="ar-SA"/>
        </w:rPr>
        <w:t>:</w:t>
      </w:r>
      <w:r w:rsidRPr="006A2F47">
        <w:rPr>
          <w:rFonts w:eastAsia="SimSun"/>
          <w:i/>
          <w:sz w:val="20"/>
          <w:szCs w:val="20"/>
          <w:lang w:eastAsia="ar-SA"/>
        </w:rPr>
        <w:t xml:space="preserve"> </w:t>
      </w:r>
    </w:p>
    <w:p w14:paraId="796F77A9" w14:textId="77777777" w:rsidR="006A2F47" w:rsidRPr="006A2F47" w:rsidRDefault="006A2F47" w:rsidP="006A2F47">
      <w:pPr>
        <w:spacing w:after="120"/>
        <w:ind w:left="2268" w:right="1134"/>
        <w:jc w:val="both"/>
        <w:rPr>
          <w:rFonts w:eastAsia="SimSun"/>
          <w:sz w:val="20"/>
          <w:szCs w:val="20"/>
          <w:lang w:eastAsia="ar-SA"/>
        </w:rPr>
      </w:pPr>
      <w:r w:rsidRPr="006A2F47">
        <w:rPr>
          <w:rFonts w:eastAsia="SimSun"/>
          <w:sz w:val="20"/>
          <w:szCs w:val="20"/>
          <w:lang w:eastAsia="ar-SA"/>
        </w:rPr>
        <w:t>Afghanistan, Argentina, Australia, Austria, Bahamas, Bahrain, Bangladesh, Brazil, Bulgaria, Burkina Faso, Chile, Croatia, Czechia, Denmark, Egypt, Eritrea, Fiji, Hungary, Iceland, Iraq, Italy, Mexico, Nigeria, Pakistan, Peru, Qatar, Rwanda, Saudi Arabia, Slovakia, Somalia, South Africa, Spain, Togo, Tunisia, Ukraine, United Kingdom of Great Britain and Northern Ireland, Uruguay</w:t>
      </w:r>
    </w:p>
    <w:p w14:paraId="444E83A9" w14:textId="77777777" w:rsidR="006A2F47" w:rsidRPr="006A2F47" w:rsidRDefault="006A2F47" w:rsidP="006A2F47">
      <w:pPr>
        <w:ind w:left="1701" w:right="1134"/>
        <w:jc w:val="both"/>
        <w:rPr>
          <w:rFonts w:eastAsia="SimSun"/>
          <w:i/>
          <w:sz w:val="20"/>
          <w:szCs w:val="20"/>
          <w:lang w:eastAsia="ar-SA"/>
        </w:rPr>
      </w:pPr>
      <w:r w:rsidRPr="006A2F47">
        <w:rPr>
          <w:rFonts w:eastAsia="SimSun"/>
          <w:i/>
          <w:sz w:val="20"/>
          <w:szCs w:val="20"/>
          <w:lang w:eastAsia="ar-SA"/>
        </w:rPr>
        <w:t>Against</w:t>
      </w:r>
      <w:r w:rsidRPr="006A2F47">
        <w:rPr>
          <w:rFonts w:eastAsia="SimSun"/>
          <w:sz w:val="20"/>
          <w:szCs w:val="20"/>
          <w:lang w:eastAsia="ar-SA"/>
        </w:rPr>
        <w:t>:</w:t>
      </w:r>
      <w:r w:rsidRPr="006A2F47">
        <w:rPr>
          <w:rFonts w:eastAsia="SimSun"/>
          <w:i/>
          <w:sz w:val="20"/>
          <w:szCs w:val="20"/>
          <w:lang w:eastAsia="ar-SA"/>
        </w:rPr>
        <w:t xml:space="preserve"> </w:t>
      </w:r>
    </w:p>
    <w:p w14:paraId="131DB3C1" w14:textId="77777777" w:rsidR="006A2F47" w:rsidRPr="006A2F47" w:rsidRDefault="006A2F47" w:rsidP="006A2F47">
      <w:pPr>
        <w:spacing w:after="120"/>
        <w:ind w:left="2268" w:right="1134"/>
        <w:jc w:val="both"/>
        <w:rPr>
          <w:rFonts w:eastAsia="SimSun"/>
          <w:sz w:val="20"/>
          <w:szCs w:val="20"/>
          <w:lang w:eastAsia="ar-SA"/>
        </w:rPr>
      </w:pPr>
      <w:r w:rsidRPr="006A2F47">
        <w:rPr>
          <w:rFonts w:eastAsia="SimSun"/>
          <w:sz w:val="20"/>
          <w:szCs w:val="20"/>
          <w:lang w:eastAsia="ar-SA"/>
        </w:rPr>
        <w:t>China, Cuba, Philippines</w:t>
      </w:r>
    </w:p>
    <w:p w14:paraId="75859FEB" w14:textId="77777777" w:rsidR="006A2F47" w:rsidRPr="006A2F47" w:rsidRDefault="006A2F47" w:rsidP="006A2F47">
      <w:pPr>
        <w:ind w:left="1701" w:right="1134"/>
        <w:jc w:val="both"/>
        <w:rPr>
          <w:rFonts w:eastAsia="SimSun"/>
          <w:i/>
          <w:sz w:val="20"/>
          <w:szCs w:val="20"/>
          <w:lang w:eastAsia="ar-SA"/>
        </w:rPr>
      </w:pPr>
      <w:r w:rsidRPr="006A2F47">
        <w:rPr>
          <w:rFonts w:eastAsia="SimSun"/>
          <w:i/>
          <w:sz w:val="20"/>
          <w:szCs w:val="20"/>
          <w:lang w:eastAsia="ar-SA"/>
        </w:rPr>
        <w:lastRenderedPageBreak/>
        <w:t>Abstaining</w:t>
      </w:r>
      <w:r w:rsidRPr="006A2F47">
        <w:rPr>
          <w:rFonts w:eastAsia="SimSun"/>
          <w:sz w:val="20"/>
          <w:szCs w:val="20"/>
          <w:lang w:eastAsia="ar-SA"/>
        </w:rPr>
        <w:t>:</w:t>
      </w:r>
      <w:r w:rsidRPr="006A2F47">
        <w:rPr>
          <w:rFonts w:eastAsia="SimSun"/>
          <w:i/>
          <w:sz w:val="20"/>
          <w:szCs w:val="20"/>
          <w:lang w:eastAsia="ar-SA"/>
        </w:rPr>
        <w:t xml:space="preserve"> </w:t>
      </w:r>
    </w:p>
    <w:p w14:paraId="28260387" w14:textId="77777777" w:rsidR="006A2F47" w:rsidRPr="006A2F47" w:rsidRDefault="006A2F47" w:rsidP="006A2F47">
      <w:pPr>
        <w:spacing w:after="120"/>
        <w:ind w:left="2268" w:right="1134"/>
        <w:jc w:val="both"/>
        <w:rPr>
          <w:rFonts w:eastAsia="SimSun"/>
          <w:sz w:val="20"/>
          <w:szCs w:val="20"/>
          <w:lang w:eastAsia="ar-SA"/>
        </w:rPr>
      </w:pPr>
      <w:r w:rsidRPr="006A2F47">
        <w:rPr>
          <w:rFonts w:eastAsia="SimSun"/>
          <w:sz w:val="20"/>
          <w:szCs w:val="20"/>
          <w:lang w:eastAsia="ar-SA"/>
        </w:rPr>
        <w:t>Angola, Cameroon, Democratic Republic of the Congo, India, Japan, Nepal, Senegal</w:t>
      </w:r>
    </w:p>
    <w:p w14:paraId="537EBED8" w14:textId="2912B558" w:rsidR="006607E1" w:rsidRDefault="00583EAF" w:rsidP="005B74D0">
      <w:pPr>
        <w:pStyle w:val="SingleTxtG"/>
        <w:rPr>
          <w:rFonts w:eastAsia="SimSun"/>
          <w:sz w:val="20"/>
          <w:szCs w:val="20"/>
          <w:lang w:eastAsia="ar-SA"/>
        </w:rPr>
      </w:pPr>
      <w:r>
        <w:rPr>
          <w:rFonts w:eastAsia="SimSun"/>
          <w:sz w:val="20"/>
          <w:szCs w:val="20"/>
          <w:lang w:eastAsia="ar-SA"/>
        </w:rPr>
        <w:t>316</w:t>
      </w:r>
      <w:r w:rsidR="00FB3393" w:rsidRPr="0023658A">
        <w:rPr>
          <w:rFonts w:eastAsia="SimSun"/>
          <w:sz w:val="20"/>
          <w:szCs w:val="20"/>
          <w:lang w:eastAsia="ar-SA"/>
        </w:rPr>
        <w:t>.</w:t>
      </w:r>
      <w:r w:rsidR="00FB3393" w:rsidRPr="0023658A">
        <w:rPr>
          <w:rFonts w:eastAsia="SimSun"/>
          <w:sz w:val="20"/>
          <w:szCs w:val="20"/>
          <w:lang w:eastAsia="ar-SA"/>
        </w:rPr>
        <w:tab/>
        <w:t xml:space="preserve">The draft resolution was adopted by </w:t>
      </w:r>
      <w:r w:rsidR="006A2F47">
        <w:rPr>
          <w:rFonts w:eastAsia="SimSun"/>
          <w:sz w:val="20"/>
          <w:szCs w:val="20"/>
          <w:lang w:eastAsia="ar-SA"/>
        </w:rPr>
        <w:t>37</w:t>
      </w:r>
      <w:r w:rsidR="00FB3393" w:rsidRPr="0023658A">
        <w:rPr>
          <w:sz w:val="20"/>
          <w:szCs w:val="20"/>
          <w:lang w:eastAsia="ar-SA"/>
        </w:rPr>
        <w:t xml:space="preserve"> votes to </w:t>
      </w:r>
      <w:r w:rsidR="006A2F47">
        <w:rPr>
          <w:sz w:val="20"/>
          <w:szCs w:val="20"/>
          <w:lang w:eastAsia="ar-SA"/>
        </w:rPr>
        <w:t>3</w:t>
      </w:r>
      <w:r w:rsidR="00FB3393" w:rsidRPr="0023658A">
        <w:rPr>
          <w:sz w:val="20"/>
          <w:szCs w:val="20"/>
          <w:lang w:eastAsia="ar-SA"/>
        </w:rPr>
        <w:t xml:space="preserve">, with </w:t>
      </w:r>
      <w:r w:rsidR="006A2F47">
        <w:rPr>
          <w:sz w:val="20"/>
          <w:szCs w:val="20"/>
          <w:lang w:eastAsia="ar-SA"/>
        </w:rPr>
        <w:t>7</w:t>
      </w:r>
      <w:r w:rsidR="00FB3393" w:rsidRPr="0023658A">
        <w:rPr>
          <w:sz w:val="20"/>
          <w:szCs w:val="20"/>
          <w:lang w:eastAsia="ar-SA"/>
        </w:rPr>
        <w:t xml:space="preserve"> abstentions</w:t>
      </w:r>
      <w:r w:rsidR="00FB3393" w:rsidRPr="0023658A">
        <w:rPr>
          <w:rFonts w:eastAsia="SimSun"/>
          <w:sz w:val="20"/>
          <w:szCs w:val="20"/>
          <w:lang w:eastAsia="ar-SA"/>
        </w:rPr>
        <w:t xml:space="preserve"> (resolution </w:t>
      </w:r>
      <w:r w:rsidR="00FB3393">
        <w:rPr>
          <w:rFonts w:eastAsia="SimSun"/>
          <w:sz w:val="20"/>
          <w:szCs w:val="20"/>
          <w:lang w:eastAsia="ar-SA"/>
        </w:rPr>
        <w:t>40/</w:t>
      </w:r>
      <w:r w:rsidR="006A2F47">
        <w:rPr>
          <w:rFonts w:eastAsia="SimSun"/>
          <w:sz w:val="20"/>
          <w:szCs w:val="20"/>
          <w:lang w:eastAsia="ar-SA"/>
        </w:rPr>
        <w:t>29</w:t>
      </w:r>
      <w:r w:rsidR="00FB3393" w:rsidRPr="0023658A">
        <w:rPr>
          <w:rFonts w:eastAsia="SimSun"/>
          <w:sz w:val="20"/>
          <w:szCs w:val="20"/>
          <w:lang w:eastAsia="ar-SA"/>
        </w:rPr>
        <w:t>).</w:t>
      </w:r>
    </w:p>
    <w:p w14:paraId="41C6B82F" w14:textId="38A4B95B" w:rsidR="00531FE0" w:rsidRDefault="00583EAF" w:rsidP="006607E1">
      <w:pPr>
        <w:pStyle w:val="SingleTxtG"/>
        <w:rPr>
          <w:b/>
          <w:color w:val="000000" w:themeColor="text1"/>
          <w:sz w:val="28"/>
        </w:rPr>
      </w:pPr>
      <w:r>
        <w:rPr>
          <w:rFonts w:eastAsia="SimSun"/>
          <w:sz w:val="20"/>
          <w:szCs w:val="20"/>
          <w:lang w:eastAsia="ar-SA"/>
        </w:rPr>
        <w:t>317</w:t>
      </w:r>
      <w:r w:rsidR="006607E1" w:rsidRPr="000B65FE">
        <w:rPr>
          <w:rFonts w:eastAsia="SimSun"/>
          <w:sz w:val="20"/>
          <w:szCs w:val="20"/>
          <w:lang w:eastAsia="ar-SA"/>
        </w:rPr>
        <w:t>.</w:t>
      </w:r>
      <w:r w:rsidR="006607E1" w:rsidRPr="000B65FE">
        <w:rPr>
          <w:rFonts w:eastAsia="SimSun"/>
          <w:sz w:val="20"/>
          <w:szCs w:val="20"/>
          <w:lang w:eastAsia="ar-SA"/>
        </w:rPr>
        <w:tab/>
        <w:t xml:space="preserve">At the </w:t>
      </w:r>
      <w:r w:rsidR="006607E1">
        <w:rPr>
          <w:rFonts w:eastAsia="SimSun"/>
          <w:sz w:val="20"/>
          <w:szCs w:val="20"/>
          <w:lang w:eastAsia="ar-SA"/>
        </w:rPr>
        <w:t xml:space="preserve">same </w:t>
      </w:r>
      <w:r w:rsidR="006607E1" w:rsidRPr="000B65FE">
        <w:rPr>
          <w:rFonts w:eastAsia="SimSun"/>
          <w:sz w:val="20"/>
          <w:szCs w:val="20"/>
          <w:lang w:eastAsia="ar-SA"/>
        </w:rPr>
        <w:t>meeting, the representative</w:t>
      </w:r>
      <w:r w:rsidR="006607E1">
        <w:rPr>
          <w:rFonts w:eastAsia="SimSun"/>
          <w:sz w:val="20"/>
          <w:szCs w:val="20"/>
          <w:lang w:eastAsia="ar-SA"/>
        </w:rPr>
        <w:t>s</w:t>
      </w:r>
      <w:r w:rsidR="006607E1" w:rsidRPr="000B65FE">
        <w:rPr>
          <w:rFonts w:eastAsia="SimSun"/>
          <w:sz w:val="20"/>
          <w:szCs w:val="20"/>
          <w:lang w:eastAsia="ar-SA"/>
        </w:rPr>
        <w:t xml:space="preserve"> of </w:t>
      </w:r>
      <w:r w:rsidR="006607E1">
        <w:rPr>
          <w:rFonts w:eastAsia="SimSun"/>
          <w:sz w:val="20"/>
          <w:szCs w:val="20"/>
          <w:lang w:eastAsia="ar-SA"/>
        </w:rPr>
        <w:t xml:space="preserve">Bahrain, </w:t>
      </w:r>
      <w:r w:rsidR="006607E1" w:rsidRPr="006607E1">
        <w:rPr>
          <w:rFonts w:eastAsia="SimSun"/>
          <w:sz w:val="20"/>
          <w:szCs w:val="20"/>
          <w:lang w:eastAsia="ar-SA"/>
        </w:rPr>
        <w:t>Eritrea</w:t>
      </w:r>
      <w:r w:rsidR="006607E1">
        <w:rPr>
          <w:rFonts w:eastAsia="SimSun"/>
          <w:sz w:val="20"/>
          <w:szCs w:val="20"/>
          <w:lang w:eastAsia="ar-SA"/>
        </w:rPr>
        <w:t>, India and Pakistan made</w:t>
      </w:r>
      <w:r w:rsidR="006607E1" w:rsidRPr="000B65FE">
        <w:rPr>
          <w:rFonts w:eastAsia="SimSun"/>
          <w:sz w:val="20"/>
          <w:szCs w:val="20"/>
          <w:lang w:eastAsia="ar-SA"/>
        </w:rPr>
        <w:t xml:space="preserve"> statement</w:t>
      </w:r>
      <w:r w:rsidR="006607E1">
        <w:rPr>
          <w:rFonts w:eastAsia="SimSun"/>
          <w:sz w:val="20"/>
          <w:szCs w:val="20"/>
          <w:lang w:eastAsia="ar-SA"/>
        </w:rPr>
        <w:t>s</w:t>
      </w:r>
      <w:r w:rsidR="006607E1" w:rsidRPr="000B65FE">
        <w:rPr>
          <w:rFonts w:eastAsia="SimSun"/>
          <w:sz w:val="20"/>
          <w:szCs w:val="20"/>
          <w:lang w:eastAsia="ar-SA"/>
        </w:rPr>
        <w:t xml:space="preserve"> in explanation of vote after the vote.</w:t>
      </w:r>
      <w:r w:rsidR="006607E1">
        <w:rPr>
          <w:rFonts w:eastAsia="SimSun"/>
          <w:sz w:val="20"/>
          <w:szCs w:val="20"/>
          <w:lang w:eastAsia="ar-SA"/>
        </w:rPr>
        <w:t xml:space="preserve"> </w:t>
      </w:r>
      <w:r w:rsidR="006607E1" w:rsidRPr="00F86404">
        <w:rPr>
          <w:sz w:val="20"/>
          <w:szCs w:val="20"/>
        </w:rPr>
        <w:t xml:space="preserve">In </w:t>
      </w:r>
      <w:r w:rsidR="006607E1">
        <w:rPr>
          <w:sz w:val="20"/>
          <w:szCs w:val="20"/>
        </w:rPr>
        <w:t>their</w:t>
      </w:r>
      <w:r w:rsidR="006607E1" w:rsidRPr="00F86404">
        <w:rPr>
          <w:sz w:val="20"/>
          <w:szCs w:val="20"/>
        </w:rPr>
        <w:t xml:space="preserve"> statement</w:t>
      </w:r>
      <w:r w:rsidR="006607E1">
        <w:rPr>
          <w:sz w:val="20"/>
          <w:szCs w:val="20"/>
        </w:rPr>
        <w:t>s</w:t>
      </w:r>
      <w:r w:rsidR="006607E1" w:rsidRPr="00F86404">
        <w:rPr>
          <w:sz w:val="20"/>
          <w:szCs w:val="20"/>
        </w:rPr>
        <w:t>, the representative</w:t>
      </w:r>
      <w:r w:rsidR="006607E1">
        <w:rPr>
          <w:sz w:val="20"/>
          <w:szCs w:val="20"/>
        </w:rPr>
        <w:t>s</w:t>
      </w:r>
      <w:r w:rsidR="006607E1" w:rsidRPr="00F86404">
        <w:rPr>
          <w:sz w:val="20"/>
          <w:szCs w:val="20"/>
        </w:rPr>
        <w:t xml:space="preserve"> of </w:t>
      </w:r>
      <w:r w:rsidR="006607E1">
        <w:rPr>
          <w:sz w:val="20"/>
          <w:szCs w:val="20"/>
        </w:rPr>
        <w:t>Eritrea and Pakistan</w:t>
      </w:r>
      <w:r w:rsidR="006607E1" w:rsidRPr="00F86404">
        <w:rPr>
          <w:sz w:val="20"/>
          <w:szCs w:val="20"/>
        </w:rPr>
        <w:t xml:space="preserve"> disassociated the</w:t>
      </w:r>
      <w:r w:rsidR="006607E1">
        <w:rPr>
          <w:sz w:val="20"/>
          <w:szCs w:val="20"/>
        </w:rPr>
        <w:t>ir</w:t>
      </w:r>
      <w:r w:rsidR="006607E1" w:rsidRPr="00F86404">
        <w:rPr>
          <w:sz w:val="20"/>
          <w:szCs w:val="20"/>
        </w:rPr>
        <w:t xml:space="preserve"> delegation</w:t>
      </w:r>
      <w:r w:rsidR="006607E1">
        <w:rPr>
          <w:sz w:val="20"/>
          <w:szCs w:val="20"/>
        </w:rPr>
        <w:t>s</w:t>
      </w:r>
      <w:r w:rsidR="006607E1" w:rsidRPr="00F86404">
        <w:rPr>
          <w:sz w:val="20"/>
          <w:szCs w:val="20"/>
        </w:rPr>
        <w:t xml:space="preserve"> from the consensus on </w:t>
      </w:r>
      <w:r w:rsidR="006607E1" w:rsidRPr="00B54BF2">
        <w:rPr>
          <w:rFonts w:eastAsia="SimSun"/>
          <w:sz w:val="20"/>
          <w:szCs w:val="20"/>
          <w:lang w:eastAsia="ar-SA"/>
        </w:rPr>
        <w:t xml:space="preserve">the </w:t>
      </w:r>
      <w:r w:rsidR="006607E1">
        <w:rPr>
          <w:rFonts w:eastAsia="SimSun"/>
          <w:sz w:val="20"/>
          <w:szCs w:val="20"/>
          <w:lang w:eastAsia="ar-SA"/>
        </w:rPr>
        <w:t xml:space="preserve">eighth and eleventh </w:t>
      </w:r>
      <w:r w:rsidR="006607E1" w:rsidRPr="00B54BF2">
        <w:rPr>
          <w:rFonts w:eastAsia="SimSun"/>
          <w:sz w:val="20"/>
          <w:szCs w:val="20"/>
          <w:lang w:eastAsia="ar-SA"/>
        </w:rPr>
        <w:t>preambular paragraph</w:t>
      </w:r>
      <w:r w:rsidR="006607E1">
        <w:rPr>
          <w:rFonts w:eastAsia="SimSun"/>
          <w:sz w:val="20"/>
          <w:szCs w:val="20"/>
          <w:lang w:eastAsia="ar-SA"/>
        </w:rPr>
        <w:t xml:space="preserve">s and </w:t>
      </w:r>
      <w:r w:rsidR="006607E1" w:rsidRPr="00F86404">
        <w:rPr>
          <w:sz w:val="20"/>
          <w:szCs w:val="20"/>
        </w:rPr>
        <w:t xml:space="preserve">operative paragraph </w:t>
      </w:r>
      <w:r w:rsidR="006607E1">
        <w:rPr>
          <w:sz w:val="20"/>
          <w:szCs w:val="20"/>
        </w:rPr>
        <w:t xml:space="preserve">5 </w:t>
      </w:r>
      <w:r w:rsidR="006607E1" w:rsidRPr="00F86404">
        <w:rPr>
          <w:sz w:val="20"/>
          <w:szCs w:val="20"/>
        </w:rPr>
        <w:t>of the draft resolution.</w:t>
      </w:r>
      <w:r w:rsidR="006607E1" w:rsidRPr="005B74D0">
        <w:rPr>
          <w:sz w:val="20"/>
          <w:szCs w:val="20"/>
        </w:rPr>
        <w:t xml:space="preserve"> </w:t>
      </w:r>
      <w:r w:rsidR="00531FE0">
        <w:rPr>
          <w:color w:val="000000" w:themeColor="text1"/>
        </w:rPr>
        <w:br w:type="page"/>
      </w:r>
    </w:p>
    <w:p w14:paraId="2EA58ABA" w14:textId="092A95EF" w:rsidR="00F11B08" w:rsidRPr="00C16037" w:rsidRDefault="00DC7C29" w:rsidP="00415787">
      <w:pPr>
        <w:pStyle w:val="HChG"/>
        <w:rPr>
          <w:color w:val="000000" w:themeColor="text1"/>
        </w:rPr>
      </w:pPr>
      <w:r w:rsidRPr="00C16037">
        <w:rPr>
          <w:color w:val="000000" w:themeColor="text1"/>
        </w:rPr>
        <w:lastRenderedPageBreak/>
        <w:tab/>
      </w:r>
      <w:r w:rsidR="00F11B08" w:rsidRPr="00C16037">
        <w:rPr>
          <w:color w:val="000000" w:themeColor="text1"/>
        </w:rPr>
        <w:t>V.</w:t>
      </w:r>
      <w:r w:rsidR="00F11B08" w:rsidRPr="00C16037">
        <w:rPr>
          <w:color w:val="000000" w:themeColor="text1"/>
        </w:rPr>
        <w:tab/>
        <w:t>Human rights bodies and mechanisms</w:t>
      </w:r>
    </w:p>
    <w:p w14:paraId="2EA58ABE" w14:textId="2E9F37D9" w:rsidR="00F11B08" w:rsidRPr="00C16037" w:rsidRDefault="00E47E67" w:rsidP="00415787">
      <w:pPr>
        <w:pStyle w:val="H1G"/>
        <w:rPr>
          <w:color w:val="000000" w:themeColor="text1"/>
        </w:rPr>
      </w:pPr>
      <w:r w:rsidRPr="00C16037">
        <w:rPr>
          <w:color w:val="000000" w:themeColor="text1"/>
        </w:rPr>
        <w:tab/>
      </w:r>
      <w:r w:rsidRPr="00B168DF">
        <w:rPr>
          <w:color w:val="000000" w:themeColor="text1"/>
        </w:rPr>
        <w:t>A</w:t>
      </w:r>
      <w:r w:rsidR="00D70A38" w:rsidRPr="00B168DF">
        <w:rPr>
          <w:color w:val="000000" w:themeColor="text1"/>
        </w:rPr>
        <w:t>.</w:t>
      </w:r>
      <w:r w:rsidR="00D70A38" w:rsidRPr="00B168DF">
        <w:rPr>
          <w:color w:val="000000" w:themeColor="text1"/>
        </w:rPr>
        <w:tab/>
      </w:r>
      <w:r w:rsidR="00F11B08" w:rsidRPr="00B168DF">
        <w:rPr>
          <w:color w:val="000000" w:themeColor="text1"/>
        </w:rPr>
        <w:t xml:space="preserve">Forum on </w:t>
      </w:r>
      <w:r w:rsidR="00D70A38" w:rsidRPr="00B168DF">
        <w:rPr>
          <w:color w:val="000000" w:themeColor="text1"/>
        </w:rPr>
        <w:t>m</w:t>
      </w:r>
      <w:r w:rsidR="00F11B08" w:rsidRPr="00B168DF">
        <w:rPr>
          <w:color w:val="000000" w:themeColor="text1"/>
        </w:rPr>
        <w:t xml:space="preserve">inority </w:t>
      </w:r>
      <w:r w:rsidR="00D70A38" w:rsidRPr="00B168DF">
        <w:rPr>
          <w:color w:val="000000" w:themeColor="text1"/>
        </w:rPr>
        <w:t>i</w:t>
      </w:r>
      <w:r w:rsidR="00F11B08" w:rsidRPr="00B168DF">
        <w:rPr>
          <w:color w:val="000000" w:themeColor="text1"/>
        </w:rPr>
        <w:t>ssues</w:t>
      </w:r>
    </w:p>
    <w:p w14:paraId="3F9D49EE" w14:textId="4B6E964C" w:rsidR="00E47E67" w:rsidRDefault="00583EAF" w:rsidP="00A83C1B">
      <w:pPr>
        <w:pStyle w:val="SingleTxtG"/>
        <w:rPr>
          <w:color w:val="000000" w:themeColor="text1"/>
          <w:sz w:val="20"/>
          <w:szCs w:val="20"/>
        </w:rPr>
      </w:pPr>
      <w:r>
        <w:rPr>
          <w:color w:val="000000" w:themeColor="text1"/>
          <w:sz w:val="20"/>
          <w:szCs w:val="20"/>
        </w:rPr>
        <w:t>318</w:t>
      </w:r>
      <w:r w:rsidR="00AD6EC4" w:rsidRPr="0067399B">
        <w:rPr>
          <w:color w:val="000000" w:themeColor="text1"/>
          <w:sz w:val="20"/>
          <w:szCs w:val="20"/>
        </w:rPr>
        <w:t>.</w:t>
      </w:r>
      <w:r w:rsidR="00A83C1B" w:rsidRPr="0067399B">
        <w:rPr>
          <w:color w:val="000000" w:themeColor="text1"/>
          <w:sz w:val="20"/>
          <w:szCs w:val="20"/>
        </w:rPr>
        <w:tab/>
      </w:r>
      <w:r w:rsidR="00F11B08" w:rsidRPr="0067399B">
        <w:rPr>
          <w:color w:val="000000" w:themeColor="text1"/>
          <w:sz w:val="20"/>
          <w:szCs w:val="20"/>
        </w:rPr>
        <w:t>At the 3</w:t>
      </w:r>
      <w:r w:rsidR="00424A3D">
        <w:rPr>
          <w:color w:val="000000" w:themeColor="text1"/>
          <w:sz w:val="20"/>
          <w:szCs w:val="20"/>
        </w:rPr>
        <w:t>3rd</w:t>
      </w:r>
      <w:r w:rsidR="00F11B08" w:rsidRPr="0067399B">
        <w:rPr>
          <w:color w:val="000000" w:themeColor="text1"/>
          <w:sz w:val="20"/>
          <w:szCs w:val="20"/>
        </w:rPr>
        <w:t xml:space="preserve"> meeting, on 1</w:t>
      </w:r>
      <w:r w:rsidR="00424A3D">
        <w:rPr>
          <w:color w:val="000000" w:themeColor="text1"/>
          <w:sz w:val="20"/>
          <w:szCs w:val="20"/>
        </w:rPr>
        <w:t>3</w:t>
      </w:r>
      <w:r w:rsidR="00F11B08" w:rsidRPr="0067399B">
        <w:rPr>
          <w:color w:val="000000" w:themeColor="text1"/>
          <w:sz w:val="20"/>
          <w:szCs w:val="20"/>
        </w:rPr>
        <w:t xml:space="preserve"> March </w:t>
      </w:r>
      <w:r w:rsidR="00141AFC">
        <w:rPr>
          <w:color w:val="000000" w:themeColor="text1"/>
          <w:sz w:val="20"/>
          <w:szCs w:val="20"/>
        </w:rPr>
        <w:t>2019</w:t>
      </w:r>
      <w:r w:rsidR="00F11B08" w:rsidRPr="0067399B">
        <w:rPr>
          <w:color w:val="000000" w:themeColor="text1"/>
          <w:sz w:val="20"/>
          <w:szCs w:val="20"/>
        </w:rPr>
        <w:t xml:space="preserve">, the Special Rapporteur on minority issues, </w:t>
      </w:r>
      <w:r w:rsidR="00E47E67" w:rsidRPr="0067399B">
        <w:rPr>
          <w:color w:val="000000" w:themeColor="text1"/>
          <w:sz w:val="20"/>
          <w:szCs w:val="20"/>
        </w:rPr>
        <w:t>Fernand de Varennes</w:t>
      </w:r>
      <w:r w:rsidR="00F11B08" w:rsidRPr="0067399B">
        <w:rPr>
          <w:color w:val="000000" w:themeColor="text1"/>
          <w:sz w:val="20"/>
          <w:szCs w:val="20"/>
        </w:rPr>
        <w:t xml:space="preserve">, </w:t>
      </w:r>
      <w:r w:rsidR="00B01063" w:rsidRPr="0067399B">
        <w:rPr>
          <w:color w:val="000000" w:themeColor="text1"/>
          <w:sz w:val="20"/>
          <w:szCs w:val="20"/>
        </w:rPr>
        <w:t>presented</w:t>
      </w:r>
      <w:r w:rsidR="00F11B08" w:rsidRPr="0067399B">
        <w:rPr>
          <w:color w:val="000000" w:themeColor="text1"/>
          <w:sz w:val="20"/>
          <w:szCs w:val="20"/>
        </w:rPr>
        <w:t xml:space="preserve"> </w:t>
      </w:r>
      <w:r w:rsidR="00424A3D" w:rsidRPr="0067399B">
        <w:rPr>
          <w:color w:val="000000" w:themeColor="text1"/>
          <w:sz w:val="20"/>
          <w:szCs w:val="20"/>
        </w:rPr>
        <w:t>the recommendations adopted by the Forum on Minority Issues</w:t>
      </w:r>
      <w:r w:rsidR="00060DD4" w:rsidRPr="00060DD4">
        <w:rPr>
          <w:color w:val="000000" w:themeColor="text1"/>
          <w:sz w:val="20"/>
          <w:szCs w:val="20"/>
        </w:rPr>
        <w:t xml:space="preserve"> </w:t>
      </w:r>
      <w:r w:rsidR="00060DD4" w:rsidRPr="00424A3D">
        <w:rPr>
          <w:color w:val="000000" w:themeColor="text1"/>
          <w:sz w:val="20"/>
          <w:szCs w:val="20"/>
        </w:rPr>
        <w:t>at its eleventh session</w:t>
      </w:r>
      <w:r w:rsidR="00060DD4">
        <w:rPr>
          <w:color w:val="000000" w:themeColor="text1"/>
          <w:sz w:val="20"/>
          <w:szCs w:val="20"/>
        </w:rPr>
        <w:t xml:space="preserve"> held on </w:t>
      </w:r>
      <w:r w:rsidR="00060DD4" w:rsidRPr="00424A3D">
        <w:rPr>
          <w:color w:val="000000" w:themeColor="text1"/>
          <w:sz w:val="20"/>
          <w:szCs w:val="20"/>
        </w:rPr>
        <w:t xml:space="preserve">29 and 30 November 2018 </w:t>
      </w:r>
      <w:r w:rsidR="00060DD4" w:rsidRPr="00060DD4">
        <w:rPr>
          <w:color w:val="000000" w:themeColor="text1"/>
          <w:sz w:val="20"/>
          <w:szCs w:val="20"/>
        </w:rPr>
        <w:t xml:space="preserve">on the theme “Statelessness: a minority issue” </w:t>
      </w:r>
      <w:r w:rsidR="00060DD4" w:rsidRPr="00424A3D">
        <w:rPr>
          <w:color w:val="000000" w:themeColor="text1"/>
          <w:sz w:val="20"/>
          <w:szCs w:val="20"/>
        </w:rPr>
        <w:t>(A/HRC/40/71)</w:t>
      </w:r>
      <w:r w:rsidR="00060DD4">
        <w:rPr>
          <w:color w:val="000000" w:themeColor="text1"/>
          <w:sz w:val="20"/>
          <w:szCs w:val="20"/>
        </w:rPr>
        <w:t>.</w:t>
      </w:r>
    </w:p>
    <w:p w14:paraId="28FCC3E8" w14:textId="59756BD8" w:rsidR="00424A3D" w:rsidRPr="00C16037" w:rsidRDefault="00424A3D" w:rsidP="00424A3D">
      <w:pPr>
        <w:pStyle w:val="H1G"/>
        <w:rPr>
          <w:color w:val="000000" w:themeColor="text1"/>
        </w:rPr>
      </w:pPr>
      <w:r w:rsidRPr="00C16037">
        <w:rPr>
          <w:color w:val="000000" w:themeColor="text1"/>
        </w:rPr>
        <w:tab/>
      </w:r>
      <w:r w:rsidRPr="00B168DF">
        <w:rPr>
          <w:color w:val="000000" w:themeColor="text1"/>
        </w:rPr>
        <w:t>B.</w:t>
      </w:r>
      <w:r w:rsidRPr="00B168DF">
        <w:rPr>
          <w:color w:val="000000" w:themeColor="text1"/>
        </w:rPr>
        <w:tab/>
        <w:t>Forum on Human Rights, Democracy and the Rule of Law</w:t>
      </w:r>
    </w:p>
    <w:p w14:paraId="529168B0" w14:textId="048684F5" w:rsidR="00902925" w:rsidRDefault="00583EAF" w:rsidP="00424A3D">
      <w:pPr>
        <w:pStyle w:val="SingleTxtG"/>
        <w:rPr>
          <w:color w:val="000000" w:themeColor="text1"/>
          <w:sz w:val="20"/>
          <w:szCs w:val="20"/>
        </w:rPr>
      </w:pPr>
      <w:r>
        <w:rPr>
          <w:color w:val="000000" w:themeColor="text1"/>
          <w:sz w:val="20"/>
          <w:szCs w:val="20"/>
        </w:rPr>
        <w:t>319</w:t>
      </w:r>
      <w:r w:rsidR="00424A3D" w:rsidRPr="0067399B">
        <w:rPr>
          <w:color w:val="000000" w:themeColor="text1"/>
          <w:sz w:val="20"/>
          <w:szCs w:val="20"/>
        </w:rPr>
        <w:t>.</w:t>
      </w:r>
      <w:r w:rsidR="00424A3D" w:rsidRPr="0067399B">
        <w:rPr>
          <w:color w:val="000000" w:themeColor="text1"/>
          <w:sz w:val="20"/>
          <w:szCs w:val="20"/>
        </w:rPr>
        <w:tab/>
        <w:t>At the 3</w:t>
      </w:r>
      <w:r w:rsidR="00902925">
        <w:rPr>
          <w:color w:val="000000" w:themeColor="text1"/>
          <w:sz w:val="20"/>
          <w:szCs w:val="20"/>
        </w:rPr>
        <w:t>3rd</w:t>
      </w:r>
      <w:r w:rsidR="00424A3D" w:rsidRPr="0067399B">
        <w:rPr>
          <w:color w:val="000000" w:themeColor="text1"/>
          <w:sz w:val="20"/>
          <w:szCs w:val="20"/>
        </w:rPr>
        <w:t xml:space="preserve"> meeting, on 1</w:t>
      </w:r>
      <w:r w:rsidR="00902925">
        <w:rPr>
          <w:color w:val="000000" w:themeColor="text1"/>
          <w:sz w:val="20"/>
          <w:szCs w:val="20"/>
        </w:rPr>
        <w:t>3</w:t>
      </w:r>
      <w:r w:rsidR="00424A3D" w:rsidRPr="0067399B">
        <w:rPr>
          <w:color w:val="000000" w:themeColor="text1"/>
          <w:sz w:val="20"/>
          <w:szCs w:val="20"/>
        </w:rPr>
        <w:t xml:space="preserve"> March </w:t>
      </w:r>
      <w:r w:rsidR="00424A3D">
        <w:rPr>
          <w:color w:val="000000" w:themeColor="text1"/>
          <w:sz w:val="20"/>
          <w:szCs w:val="20"/>
        </w:rPr>
        <w:t>2019</w:t>
      </w:r>
      <w:r w:rsidR="00424A3D" w:rsidRPr="0067399B">
        <w:rPr>
          <w:color w:val="000000" w:themeColor="text1"/>
          <w:sz w:val="20"/>
          <w:szCs w:val="20"/>
        </w:rPr>
        <w:t xml:space="preserve">, </w:t>
      </w:r>
      <w:r w:rsidR="00902925">
        <w:rPr>
          <w:color w:val="000000" w:themeColor="text1"/>
          <w:sz w:val="20"/>
          <w:szCs w:val="20"/>
        </w:rPr>
        <w:t xml:space="preserve">pursuant to </w:t>
      </w:r>
      <w:r w:rsidR="00660CAF" w:rsidRPr="00902925">
        <w:rPr>
          <w:color w:val="000000" w:themeColor="text1"/>
          <w:sz w:val="20"/>
          <w:szCs w:val="20"/>
        </w:rPr>
        <w:t xml:space="preserve">Human Rights Council </w:t>
      </w:r>
      <w:r w:rsidR="00902925">
        <w:rPr>
          <w:color w:val="000000" w:themeColor="text1"/>
          <w:sz w:val="20"/>
          <w:szCs w:val="20"/>
        </w:rPr>
        <w:t xml:space="preserve">resolution </w:t>
      </w:r>
      <w:r w:rsidR="00EF6D48" w:rsidRPr="00902925">
        <w:rPr>
          <w:color w:val="000000" w:themeColor="text1"/>
          <w:sz w:val="20"/>
          <w:szCs w:val="20"/>
        </w:rPr>
        <w:t>34/41</w:t>
      </w:r>
      <w:r w:rsidR="00EF6D48">
        <w:rPr>
          <w:color w:val="000000" w:themeColor="text1"/>
          <w:sz w:val="20"/>
          <w:szCs w:val="20"/>
        </w:rPr>
        <w:t xml:space="preserve">, the </w:t>
      </w:r>
      <w:r w:rsidR="00660CAF">
        <w:rPr>
          <w:color w:val="000000" w:themeColor="text1"/>
          <w:sz w:val="20"/>
          <w:szCs w:val="20"/>
        </w:rPr>
        <w:t xml:space="preserve">Secretary-General of the </w:t>
      </w:r>
      <w:r w:rsidR="00660CAF" w:rsidRPr="00660CAF">
        <w:rPr>
          <w:color w:val="000000" w:themeColor="text1"/>
          <w:sz w:val="20"/>
          <w:szCs w:val="20"/>
        </w:rPr>
        <w:t>Inter-Parliamentary Union</w:t>
      </w:r>
      <w:r w:rsidR="00660CAF">
        <w:rPr>
          <w:color w:val="000000" w:themeColor="text1"/>
          <w:sz w:val="20"/>
          <w:szCs w:val="20"/>
        </w:rPr>
        <w:t xml:space="preserve">, </w:t>
      </w:r>
      <w:r w:rsidR="00660CAF" w:rsidRPr="00660CAF">
        <w:rPr>
          <w:color w:val="000000" w:themeColor="text1"/>
          <w:sz w:val="20"/>
          <w:szCs w:val="20"/>
        </w:rPr>
        <w:t xml:space="preserve">Martin Chungong, </w:t>
      </w:r>
      <w:r w:rsidR="00660CAF">
        <w:rPr>
          <w:color w:val="000000" w:themeColor="text1"/>
          <w:sz w:val="20"/>
          <w:szCs w:val="20"/>
        </w:rPr>
        <w:t xml:space="preserve">presented </w:t>
      </w:r>
      <w:r w:rsidR="00EF6D48" w:rsidRPr="00902925">
        <w:rPr>
          <w:color w:val="000000" w:themeColor="text1"/>
          <w:sz w:val="20"/>
          <w:szCs w:val="20"/>
        </w:rPr>
        <w:t>the report of the Forum on Human Rights, Democracy and the Rule of Law on its second session, held on 22 and 23 November 2018, which focused on the theme “Parliaments as promoters of human rights, democracy and the rule of law” (A/HRC/40/65).</w:t>
      </w:r>
    </w:p>
    <w:p w14:paraId="2EA58AC1" w14:textId="00580E69" w:rsidR="00F11B08" w:rsidRPr="00C16037" w:rsidRDefault="00A83C1B" w:rsidP="00415787">
      <w:pPr>
        <w:pStyle w:val="H1G"/>
        <w:rPr>
          <w:b w:val="0"/>
          <w:color w:val="000000" w:themeColor="text1"/>
        </w:rPr>
      </w:pPr>
      <w:r w:rsidRPr="00C16037">
        <w:rPr>
          <w:color w:val="000000" w:themeColor="text1"/>
        </w:rPr>
        <w:tab/>
      </w:r>
      <w:r w:rsidR="00660CAF" w:rsidRPr="00B168DF">
        <w:rPr>
          <w:color w:val="000000" w:themeColor="text1"/>
        </w:rPr>
        <w:t>C</w:t>
      </w:r>
      <w:r w:rsidR="00AD6EC4" w:rsidRPr="00B168DF">
        <w:rPr>
          <w:color w:val="000000" w:themeColor="text1"/>
        </w:rPr>
        <w:t>.</w:t>
      </w:r>
      <w:r w:rsidRPr="00B168DF">
        <w:rPr>
          <w:color w:val="000000" w:themeColor="text1"/>
        </w:rPr>
        <w:tab/>
      </w:r>
      <w:r w:rsidR="00F11B08" w:rsidRPr="00B168DF">
        <w:rPr>
          <w:color w:val="000000" w:themeColor="text1"/>
        </w:rPr>
        <w:t>Social Forum</w:t>
      </w:r>
    </w:p>
    <w:p w14:paraId="78B769D1" w14:textId="2AC451F7" w:rsidR="00EF6D48" w:rsidRDefault="00583EAF" w:rsidP="00EF6D48">
      <w:pPr>
        <w:pStyle w:val="SingleTxtG"/>
        <w:rPr>
          <w:color w:val="000000" w:themeColor="text1"/>
          <w:sz w:val="20"/>
          <w:szCs w:val="20"/>
        </w:rPr>
      </w:pPr>
      <w:r>
        <w:rPr>
          <w:color w:val="000000" w:themeColor="text1"/>
          <w:sz w:val="20"/>
          <w:szCs w:val="20"/>
        </w:rPr>
        <w:t>320</w:t>
      </w:r>
      <w:r w:rsidR="00AD6EC4" w:rsidRPr="0067399B">
        <w:rPr>
          <w:color w:val="000000" w:themeColor="text1"/>
          <w:sz w:val="20"/>
          <w:szCs w:val="20"/>
        </w:rPr>
        <w:t>.</w:t>
      </w:r>
      <w:r w:rsidR="00A83C1B" w:rsidRPr="0067399B">
        <w:rPr>
          <w:color w:val="000000" w:themeColor="text1"/>
          <w:sz w:val="20"/>
          <w:szCs w:val="20"/>
        </w:rPr>
        <w:tab/>
      </w:r>
      <w:r w:rsidR="00F11B08" w:rsidRPr="0067399B">
        <w:rPr>
          <w:color w:val="000000" w:themeColor="text1"/>
          <w:sz w:val="20"/>
          <w:szCs w:val="20"/>
        </w:rPr>
        <w:t xml:space="preserve">At the </w:t>
      </w:r>
      <w:r w:rsidR="00E47E67" w:rsidRPr="0067399B">
        <w:rPr>
          <w:color w:val="000000" w:themeColor="text1"/>
          <w:sz w:val="20"/>
          <w:szCs w:val="20"/>
        </w:rPr>
        <w:t>3</w:t>
      </w:r>
      <w:r w:rsidR="00EF6D48">
        <w:rPr>
          <w:color w:val="000000" w:themeColor="text1"/>
          <w:sz w:val="20"/>
          <w:szCs w:val="20"/>
        </w:rPr>
        <w:t>3rd</w:t>
      </w:r>
      <w:r w:rsidR="00F11B08" w:rsidRPr="0067399B">
        <w:rPr>
          <w:color w:val="000000" w:themeColor="text1"/>
          <w:sz w:val="20"/>
          <w:szCs w:val="20"/>
        </w:rPr>
        <w:t xml:space="preserve"> meeting, on 1</w:t>
      </w:r>
      <w:r w:rsidR="00EF6D48">
        <w:rPr>
          <w:color w:val="000000" w:themeColor="text1"/>
          <w:sz w:val="20"/>
          <w:szCs w:val="20"/>
        </w:rPr>
        <w:t>3</w:t>
      </w:r>
      <w:r w:rsidR="00F11B08" w:rsidRPr="0067399B">
        <w:rPr>
          <w:color w:val="000000" w:themeColor="text1"/>
          <w:sz w:val="20"/>
          <w:szCs w:val="20"/>
        </w:rPr>
        <w:t xml:space="preserve"> March </w:t>
      </w:r>
      <w:r w:rsidR="00141AFC">
        <w:rPr>
          <w:color w:val="000000" w:themeColor="text1"/>
          <w:sz w:val="20"/>
          <w:szCs w:val="20"/>
        </w:rPr>
        <w:t>2019</w:t>
      </w:r>
      <w:r w:rsidR="00F11B08" w:rsidRPr="0067399B">
        <w:rPr>
          <w:color w:val="000000" w:themeColor="text1"/>
          <w:sz w:val="20"/>
          <w:szCs w:val="20"/>
        </w:rPr>
        <w:t xml:space="preserve">, </w:t>
      </w:r>
      <w:r w:rsidR="00EF6D48">
        <w:rPr>
          <w:color w:val="000000" w:themeColor="text1"/>
          <w:sz w:val="20"/>
          <w:szCs w:val="20"/>
        </w:rPr>
        <w:t xml:space="preserve">pursuant to </w:t>
      </w:r>
      <w:r w:rsidR="00EF6D48" w:rsidRPr="00902925">
        <w:rPr>
          <w:color w:val="000000" w:themeColor="text1"/>
          <w:sz w:val="20"/>
          <w:szCs w:val="20"/>
        </w:rPr>
        <w:t>Human Rights Council</w:t>
      </w:r>
      <w:r w:rsidR="009907E7">
        <w:rPr>
          <w:color w:val="000000" w:themeColor="text1"/>
          <w:sz w:val="20"/>
          <w:szCs w:val="20"/>
        </w:rPr>
        <w:t xml:space="preserve"> </w:t>
      </w:r>
      <w:r w:rsidR="00EF6D48">
        <w:rPr>
          <w:color w:val="000000" w:themeColor="text1"/>
          <w:sz w:val="20"/>
          <w:szCs w:val="20"/>
        </w:rPr>
        <w:t xml:space="preserve">resolution </w:t>
      </w:r>
      <w:r w:rsidR="00EF6D48" w:rsidRPr="00902925">
        <w:rPr>
          <w:color w:val="000000" w:themeColor="text1"/>
          <w:sz w:val="20"/>
          <w:szCs w:val="20"/>
        </w:rPr>
        <w:t>3</w:t>
      </w:r>
      <w:r w:rsidR="00EF6D48">
        <w:rPr>
          <w:color w:val="000000" w:themeColor="text1"/>
          <w:sz w:val="20"/>
          <w:szCs w:val="20"/>
        </w:rPr>
        <w:t>5</w:t>
      </w:r>
      <w:r w:rsidR="00EF6D48" w:rsidRPr="00902925">
        <w:rPr>
          <w:color w:val="000000" w:themeColor="text1"/>
          <w:sz w:val="20"/>
          <w:szCs w:val="20"/>
        </w:rPr>
        <w:t>/</w:t>
      </w:r>
      <w:r w:rsidR="00EF6D48">
        <w:rPr>
          <w:color w:val="000000" w:themeColor="text1"/>
          <w:sz w:val="20"/>
          <w:szCs w:val="20"/>
        </w:rPr>
        <w:t xml:space="preserve">28, the </w:t>
      </w:r>
      <w:r w:rsidR="00EF6D48" w:rsidRPr="0067399B">
        <w:rPr>
          <w:color w:val="000000" w:themeColor="text1"/>
          <w:sz w:val="20"/>
          <w:szCs w:val="20"/>
        </w:rPr>
        <w:t>Permanent Representative</w:t>
      </w:r>
      <w:r w:rsidR="00EF6D48">
        <w:rPr>
          <w:color w:val="000000" w:themeColor="text1"/>
          <w:sz w:val="20"/>
          <w:szCs w:val="20"/>
        </w:rPr>
        <w:t xml:space="preserve"> of Sri Lanka to </w:t>
      </w:r>
      <w:r w:rsidR="00EF6D48" w:rsidRPr="00EF6D48">
        <w:rPr>
          <w:color w:val="000000" w:themeColor="text1"/>
          <w:sz w:val="20"/>
          <w:szCs w:val="20"/>
        </w:rPr>
        <w:t>the United Nations Office</w:t>
      </w:r>
      <w:r w:rsidR="00EF6D48">
        <w:rPr>
          <w:color w:val="000000" w:themeColor="text1"/>
          <w:sz w:val="20"/>
          <w:szCs w:val="20"/>
        </w:rPr>
        <w:t xml:space="preserve"> and Chairperson-Rapporteur of the 2018 </w:t>
      </w:r>
      <w:r w:rsidR="00EF6D48" w:rsidRPr="0067399B">
        <w:rPr>
          <w:color w:val="000000" w:themeColor="text1"/>
          <w:sz w:val="20"/>
          <w:szCs w:val="20"/>
        </w:rPr>
        <w:t>Social Forum</w:t>
      </w:r>
      <w:r w:rsidR="00EF6D48">
        <w:rPr>
          <w:color w:val="000000" w:themeColor="text1"/>
          <w:sz w:val="20"/>
          <w:szCs w:val="20"/>
        </w:rPr>
        <w:t xml:space="preserve">, </w:t>
      </w:r>
      <w:r w:rsidR="00EF6D48" w:rsidRPr="00EF6D48">
        <w:rPr>
          <w:color w:val="000000" w:themeColor="text1"/>
          <w:sz w:val="20"/>
          <w:szCs w:val="20"/>
        </w:rPr>
        <w:t>Aliyar Lebbe Abdul Azeez</w:t>
      </w:r>
      <w:r w:rsidR="00EF6D48">
        <w:rPr>
          <w:color w:val="000000" w:themeColor="text1"/>
          <w:sz w:val="20"/>
          <w:szCs w:val="20"/>
        </w:rPr>
        <w:t xml:space="preserve">, presented the </w:t>
      </w:r>
      <w:r w:rsidR="00F11B08" w:rsidRPr="0067399B">
        <w:rPr>
          <w:color w:val="000000" w:themeColor="text1"/>
          <w:sz w:val="20"/>
          <w:szCs w:val="20"/>
        </w:rPr>
        <w:t xml:space="preserve">report </w:t>
      </w:r>
      <w:r w:rsidR="00E47E67" w:rsidRPr="0067399B">
        <w:rPr>
          <w:color w:val="000000" w:themeColor="text1"/>
          <w:sz w:val="20"/>
          <w:szCs w:val="20"/>
        </w:rPr>
        <w:t xml:space="preserve">containing conclusions and recommendations of the </w:t>
      </w:r>
      <w:r w:rsidR="00EF6D48" w:rsidRPr="00EF6D48">
        <w:rPr>
          <w:color w:val="000000" w:themeColor="text1"/>
          <w:sz w:val="20"/>
          <w:szCs w:val="20"/>
        </w:rPr>
        <w:t>2018 Social Forum, held from 1 to 3 October 2018, which focused on the possibilities of using sport and the Olympic ideal to promote human rights for all and to strengthen universal respect for them (A/HRC/40/72).</w:t>
      </w:r>
    </w:p>
    <w:p w14:paraId="2EA58AC3" w14:textId="63C0FD49" w:rsidR="00F11B08" w:rsidRPr="00C16037" w:rsidRDefault="00A83C1B" w:rsidP="00415787">
      <w:pPr>
        <w:pStyle w:val="H1G"/>
        <w:rPr>
          <w:color w:val="000000" w:themeColor="text1"/>
        </w:rPr>
      </w:pPr>
      <w:r w:rsidRPr="00C16037">
        <w:rPr>
          <w:color w:val="000000" w:themeColor="text1"/>
        </w:rPr>
        <w:tab/>
      </w:r>
      <w:r w:rsidR="00660CAF" w:rsidRPr="00B168DF">
        <w:rPr>
          <w:color w:val="000000" w:themeColor="text1"/>
        </w:rPr>
        <w:t>D</w:t>
      </w:r>
      <w:r w:rsidR="00AD6EC4" w:rsidRPr="00B168DF">
        <w:rPr>
          <w:color w:val="000000" w:themeColor="text1"/>
        </w:rPr>
        <w:t>.</w:t>
      </w:r>
      <w:r w:rsidRPr="00B168DF">
        <w:rPr>
          <w:color w:val="000000" w:themeColor="text1"/>
        </w:rPr>
        <w:tab/>
      </w:r>
      <w:r w:rsidR="00F11B08" w:rsidRPr="00B168DF">
        <w:rPr>
          <w:color w:val="000000" w:themeColor="text1"/>
        </w:rPr>
        <w:t>Special Procedures</w:t>
      </w:r>
    </w:p>
    <w:p w14:paraId="7FA85EB9" w14:textId="5A2B8048" w:rsidR="00E47E67" w:rsidRDefault="00583EAF" w:rsidP="00E47E67">
      <w:pPr>
        <w:pStyle w:val="SingleTxtG"/>
        <w:tabs>
          <w:tab w:val="left" w:pos="1701"/>
        </w:tabs>
        <w:rPr>
          <w:color w:val="000000" w:themeColor="text1"/>
          <w:sz w:val="20"/>
          <w:szCs w:val="20"/>
        </w:rPr>
      </w:pPr>
      <w:r>
        <w:rPr>
          <w:color w:val="000000" w:themeColor="text1"/>
          <w:sz w:val="20"/>
          <w:szCs w:val="20"/>
        </w:rPr>
        <w:t>321</w:t>
      </w:r>
      <w:r w:rsidR="00AD6EC4" w:rsidRPr="0067399B">
        <w:rPr>
          <w:color w:val="000000" w:themeColor="text1"/>
          <w:sz w:val="20"/>
          <w:szCs w:val="20"/>
        </w:rPr>
        <w:t>.</w:t>
      </w:r>
      <w:r w:rsidR="00A83C1B" w:rsidRPr="0067399B">
        <w:rPr>
          <w:color w:val="000000" w:themeColor="text1"/>
          <w:sz w:val="20"/>
          <w:szCs w:val="20"/>
        </w:rPr>
        <w:tab/>
      </w:r>
      <w:r w:rsidR="00F11B08" w:rsidRPr="0067399B">
        <w:rPr>
          <w:color w:val="000000" w:themeColor="text1"/>
          <w:sz w:val="20"/>
          <w:szCs w:val="20"/>
        </w:rPr>
        <w:t xml:space="preserve">At the </w:t>
      </w:r>
      <w:r w:rsidR="00E47E67" w:rsidRPr="0067399B">
        <w:rPr>
          <w:color w:val="000000" w:themeColor="text1"/>
          <w:sz w:val="20"/>
          <w:szCs w:val="20"/>
        </w:rPr>
        <w:t>3</w:t>
      </w:r>
      <w:r w:rsidR="00660CAF">
        <w:rPr>
          <w:color w:val="000000" w:themeColor="text1"/>
          <w:sz w:val="20"/>
          <w:szCs w:val="20"/>
        </w:rPr>
        <w:t>3rd</w:t>
      </w:r>
      <w:r w:rsidR="00F11B08" w:rsidRPr="0067399B">
        <w:rPr>
          <w:color w:val="000000" w:themeColor="text1"/>
          <w:sz w:val="20"/>
          <w:szCs w:val="20"/>
        </w:rPr>
        <w:t xml:space="preserve"> meeting, on 1</w:t>
      </w:r>
      <w:r w:rsidR="00660CAF">
        <w:rPr>
          <w:color w:val="000000" w:themeColor="text1"/>
          <w:sz w:val="20"/>
          <w:szCs w:val="20"/>
        </w:rPr>
        <w:t>3</w:t>
      </w:r>
      <w:r w:rsidR="00E47E67" w:rsidRPr="0067399B">
        <w:rPr>
          <w:color w:val="000000" w:themeColor="text1"/>
          <w:sz w:val="20"/>
          <w:szCs w:val="20"/>
        </w:rPr>
        <w:t xml:space="preserve"> March </w:t>
      </w:r>
      <w:r w:rsidR="00141AFC">
        <w:rPr>
          <w:color w:val="000000" w:themeColor="text1"/>
          <w:sz w:val="20"/>
          <w:szCs w:val="20"/>
        </w:rPr>
        <w:t>2019</w:t>
      </w:r>
      <w:r w:rsidR="00F11B08" w:rsidRPr="0067399B">
        <w:rPr>
          <w:color w:val="000000" w:themeColor="text1"/>
          <w:sz w:val="20"/>
          <w:szCs w:val="20"/>
        </w:rPr>
        <w:t xml:space="preserve">, the Chairperson of the Coordination Committee of Special Procedures, </w:t>
      </w:r>
      <w:r w:rsidR="00660CAF" w:rsidRPr="00660CAF">
        <w:rPr>
          <w:color w:val="000000" w:themeColor="text1"/>
          <w:sz w:val="20"/>
          <w:szCs w:val="20"/>
        </w:rPr>
        <w:t>Dainius Pūras</w:t>
      </w:r>
      <w:r w:rsidR="00F11B08" w:rsidRPr="0067399B">
        <w:rPr>
          <w:color w:val="000000" w:themeColor="text1"/>
          <w:sz w:val="20"/>
          <w:szCs w:val="20"/>
        </w:rPr>
        <w:t>, presented the report on the twenty-</w:t>
      </w:r>
      <w:r w:rsidR="00660CAF">
        <w:rPr>
          <w:color w:val="000000" w:themeColor="text1"/>
          <w:sz w:val="20"/>
          <w:szCs w:val="20"/>
        </w:rPr>
        <w:t xml:space="preserve">fifth </w:t>
      </w:r>
      <w:r w:rsidR="00660CAF" w:rsidRPr="00660CAF">
        <w:rPr>
          <w:color w:val="000000" w:themeColor="text1"/>
          <w:sz w:val="20"/>
          <w:szCs w:val="20"/>
        </w:rPr>
        <w:t>annual</w:t>
      </w:r>
      <w:r w:rsidR="00660CAF">
        <w:rPr>
          <w:color w:val="000000" w:themeColor="text1"/>
          <w:sz w:val="20"/>
          <w:szCs w:val="20"/>
        </w:rPr>
        <w:t xml:space="preserve"> meeting of special rapporteurs and </w:t>
      </w:r>
      <w:r w:rsidR="00660CAF" w:rsidRPr="00660CAF">
        <w:rPr>
          <w:color w:val="000000" w:themeColor="text1"/>
          <w:sz w:val="20"/>
          <w:szCs w:val="20"/>
        </w:rPr>
        <w:t>representatives, independent experts and working groups of the special procedures of the Council, held from 4 to 8 June 2018 (A/HRC/40/38 and Add.1)</w:t>
      </w:r>
      <w:r w:rsidR="00660CAF">
        <w:rPr>
          <w:color w:val="000000" w:themeColor="text1"/>
          <w:sz w:val="20"/>
          <w:szCs w:val="20"/>
        </w:rPr>
        <w:t xml:space="preserve"> </w:t>
      </w:r>
      <w:r w:rsidR="00DE1C91" w:rsidRPr="0067399B">
        <w:rPr>
          <w:color w:val="000000" w:themeColor="text1"/>
          <w:sz w:val="20"/>
          <w:szCs w:val="20"/>
        </w:rPr>
        <w:t xml:space="preserve">and </w:t>
      </w:r>
      <w:r w:rsidR="00E47E67" w:rsidRPr="0067399B">
        <w:rPr>
          <w:color w:val="000000" w:themeColor="text1"/>
          <w:sz w:val="20"/>
          <w:szCs w:val="20"/>
        </w:rPr>
        <w:t>the communications report of the special procedures (</w:t>
      </w:r>
      <w:r w:rsidR="00660CAF" w:rsidRPr="00660CAF">
        <w:rPr>
          <w:color w:val="000000" w:themeColor="text1"/>
          <w:sz w:val="20"/>
          <w:szCs w:val="20"/>
        </w:rPr>
        <w:t>A/HRC/40/79</w:t>
      </w:r>
      <w:r w:rsidR="00E47E67" w:rsidRPr="0067399B">
        <w:rPr>
          <w:color w:val="000000" w:themeColor="text1"/>
          <w:sz w:val="20"/>
          <w:szCs w:val="20"/>
        </w:rPr>
        <w:t>).</w:t>
      </w:r>
    </w:p>
    <w:p w14:paraId="2EA58AC5" w14:textId="7FEC62A6" w:rsidR="00F11B08" w:rsidRPr="00C16037" w:rsidRDefault="00E47E67" w:rsidP="00F11B08">
      <w:pPr>
        <w:pStyle w:val="H1G"/>
        <w:rPr>
          <w:color w:val="000000" w:themeColor="text1"/>
        </w:rPr>
      </w:pPr>
      <w:r w:rsidRPr="00C16037">
        <w:rPr>
          <w:color w:val="000000" w:themeColor="text1"/>
        </w:rPr>
        <w:tab/>
      </w:r>
      <w:r w:rsidR="00DF70C4" w:rsidRPr="00B168DF">
        <w:rPr>
          <w:color w:val="000000" w:themeColor="text1"/>
        </w:rPr>
        <w:t>E</w:t>
      </w:r>
      <w:r w:rsidR="00F11B08" w:rsidRPr="00B168DF">
        <w:rPr>
          <w:color w:val="000000" w:themeColor="text1"/>
        </w:rPr>
        <w:t>.</w:t>
      </w:r>
      <w:r w:rsidR="00F11B08" w:rsidRPr="00B168DF">
        <w:rPr>
          <w:color w:val="000000" w:themeColor="text1"/>
        </w:rPr>
        <w:tab/>
        <w:t>General debate on agenda item 5</w:t>
      </w:r>
    </w:p>
    <w:p w14:paraId="2EA58AC6" w14:textId="2E4DC1C7" w:rsidR="00F11B08" w:rsidRPr="0067399B" w:rsidRDefault="00583EAF" w:rsidP="00F11B08">
      <w:pPr>
        <w:pStyle w:val="SingleTxtG"/>
        <w:rPr>
          <w:color w:val="000000" w:themeColor="text1"/>
          <w:sz w:val="20"/>
          <w:szCs w:val="20"/>
        </w:rPr>
      </w:pPr>
      <w:r>
        <w:rPr>
          <w:color w:val="000000" w:themeColor="text1"/>
          <w:sz w:val="20"/>
          <w:szCs w:val="20"/>
        </w:rPr>
        <w:t>322</w:t>
      </w:r>
      <w:r w:rsidR="00AD6EC4" w:rsidRPr="0067399B">
        <w:rPr>
          <w:color w:val="000000" w:themeColor="text1"/>
          <w:sz w:val="20"/>
          <w:szCs w:val="20"/>
        </w:rPr>
        <w:t>.</w:t>
      </w:r>
      <w:r w:rsidR="00A83C1B" w:rsidRPr="0067399B">
        <w:rPr>
          <w:color w:val="000000" w:themeColor="text1"/>
          <w:sz w:val="20"/>
          <w:szCs w:val="20"/>
        </w:rPr>
        <w:tab/>
      </w:r>
      <w:r w:rsidR="00446498" w:rsidRPr="0067399B">
        <w:rPr>
          <w:color w:val="000000" w:themeColor="text1"/>
          <w:sz w:val="20"/>
          <w:szCs w:val="20"/>
        </w:rPr>
        <w:t xml:space="preserve">At its </w:t>
      </w:r>
      <w:r w:rsidR="00FE3201">
        <w:rPr>
          <w:color w:val="000000" w:themeColor="text1"/>
          <w:sz w:val="20"/>
          <w:szCs w:val="20"/>
        </w:rPr>
        <w:t>34th</w:t>
      </w:r>
      <w:r w:rsidR="00F11B08" w:rsidRPr="0067399B">
        <w:rPr>
          <w:color w:val="000000" w:themeColor="text1"/>
          <w:sz w:val="20"/>
          <w:szCs w:val="20"/>
        </w:rPr>
        <w:t xml:space="preserve"> meeting, on 1</w:t>
      </w:r>
      <w:r w:rsidR="00B869AE">
        <w:rPr>
          <w:color w:val="000000" w:themeColor="text1"/>
          <w:sz w:val="20"/>
          <w:szCs w:val="20"/>
        </w:rPr>
        <w:t>3</w:t>
      </w:r>
      <w:r w:rsidR="00446498" w:rsidRPr="0067399B">
        <w:rPr>
          <w:color w:val="000000" w:themeColor="text1"/>
          <w:sz w:val="20"/>
          <w:szCs w:val="20"/>
        </w:rPr>
        <w:t xml:space="preserve"> March </w:t>
      </w:r>
      <w:r w:rsidR="00141AFC">
        <w:rPr>
          <w:color w:val="000000" w:themeColor="text1"/>
          <w:sz w:val="20"/>
          <w:szCs w:val="20"/>
        </w:rPr>
        <w:t>2019</w:t>
      </w:r>
      <w:r w:rsidR="00F11B08" w:rsidRPr="0067399B">
        <w:rPr>
          <w:color w:val="000000" w:themeColor="text1"/>
          <w:sz w:val="20"/>
          <w:szCs w:val="20"/>
        </w:rPr>
        <w:t>, the Council held a general debate on agenda item 5, during which the following made statements:</w:t>
      </w:r>
    </w:p>
    <w:p w14:paraId="2EA58AC7" w14:textId="51A9EC2C" w:rsidR="00F11B08" w:rsidRPr="0067399B" w:rsidRDefault="00F11B08" w:rsidP="00F11B08">
      <w:pPr>
        <w:pStyle w:val="SingleTxtG"/>
        <w:ind w:firstLine="567"/>
        <w:rPr>
          <w:color w:val="000000" w:themeColor="text1"/>
          <w:sz w:val="20"/>
          <w:szCs w:val="20"/>
        </w:rPr>
      </w:pPr>
      <w:r w:rsidRPr="0067399B">
        <w:rPr>
          <w:color w:val="000000" w:themeColor="text1"/>
          <w:sz w:val="20"/>
          <w:szCs w:val="20"/>
        </w:rPr>
        <w:t>(</w:t>
      </w:r>
      <w:r w:rsidRPr="0067399B">
        <w:rPr>
          <w:iCs/>
          <w:color w:val="000000" w:themeColor="text1"/>
          <w:sz w:val="20"/>
          <w:szCs w:val="20"/>
        </w:rPr>
        <w:t>a</w:t>
      </w:r>
      <w:r w:rsidRPr="0067399B">
        <w:rPr>
          <w:color w:val="000000" w:themeColor="text1"/>
          <w:sz w:val="20"/>
          <w:szCs w:val="20"/>
        </w:rPr>
        <w:t>)</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w:t>
      </w:r>
      <w:r w:rsidR="00446498" w:rsidRPr="0067399B">
        <w:rPr>
          <w:color w:val="000000" w:themeColor="text1"/>
          <w:sz w:val="20"/>
          <w:szCs w:val="20"/>
        </w:rPr>
        <w:t xml:space="preserve"> </w:t>
      </w:r>
      <w:r w:rsidR="00382E1E" w:rsidRPr="00382E1E">
        <w:rPr>
          <w:color w:val="000000" w:themeColor="text1"/>
          <w:sz w:val="20"/>
          <w:szCs w:val="20"/>
        </w:rPr>
        <w:t xml:space="preserve">Angola </w:t>
      </w:r>
      <w:r w:rsidR="00382E1E">
        <w:rPr>
          <w:color w:val="000000" w:themeColor="text1"/>
          <w:sz w:val="20"/>
          <w:szCs w:val="20"/>
        </w:rPr>
        <w:t>(</w:t>
      </w:r>
      <w:r w:rsidR="00382E1E" w:rsidRPr="00382E1E">
        <w:rPr>
          <w:color w:val="000000" w:themeColor="text1"/>
          <w:sz w:val="20"/>
          <w:szCs w:val="20"/>
        </w:rPr>
        <w:t xml:space="preserve">on behalf of the Group </w:t>
      </w:r>
      <w:r w:rsidR="00382E1E">
        <w:rPr>
          <w:color w:val="000000" w:themeColor="text1"/>
          <w:sz w:val="20"/>
          <w:szCs w:val="20"/>
        </w:rPr>
        <w:t xml:space="preserve">of </w:t>
      </w:r>
      <w:r w:rsidR="00382E1E" w:rsidRPr="00382E1E">
        <w:rPr>
          <w:color w:val="000000" w:themeColor="text1"/>
          <w:sz w:val="20"/>
          <w:szCs w:val="20"/>
        </w:rPr>
        <w:t>African</w:t>
      </w:r>
      <w:r w:rsidR="00382E1E">
        <w:rPr>
          <w:color w:val="000000" w:themeColor="text1"/>
          <w:sz w:val="20"/>
          <w:szCs w:val="20"/>
        </w:rPr>
        <w:t xml:space="preserve"> States), </w:t>
      </w:r>
      <w:r w:rsidR="00382E1E" w:rsidRPr="004770A3">
        <w:rPr>
          <w:color w:val="000000" w:themeColor="text1"/>
          <w:sz w:val="20"/>
          <w:szCs w:val="20"/>
        </w:rPr>
        <w:t xml:space="preserve">Australia </w:t>
      </w:r>
      <w:r w:rsidR="00382E1E">
        <w:rPr>
          <w:color w:val="000000" w:themeColor="text1"/>
          <w:sz w:val="20"/>
          <w:szCs w:val="20"/>
        </w:rPr>
        <w:t xml:space="preserve">(also </w:t>
      </w:r>
      <w:r w:rsidR="00382E1E" w:rsidRPr="004770A3">
        <w:rPr>
          <w:color w:val="000000" w:themeColor="text1"/>
          <w:sz w:val="20"/>
          <w:szCs w:val="20"/>
        </w:rPr>
        <w:t xml:space="preserve">on behalf of </w:t>
      </w:r>
      <w:r w:rsidR="00382E1E">
        <w:rPr>
          <w:color w:val="000000" w:themeColor="text1"/>
          <w:sz w:val="20"/>
          <w:szCs w:val="20"/>
        </w:rPr>
        <w:t xml:space="preserve">Canada, Iceland, Liechtenstein, New Zealand, Norway and Switzerland), </w:t>
      </w:r>
      <w:r w:rsidR="00382E1E" w:rsidRPr="00382E1E">
        <w:rPr>
          <w:color w:val="000000" w:themeColor="text1"/>
          <w:sz w:val="20"/>
          <w:szCs w:val="20"/>
        </w:rPr>
        <w:t>Austria</w:t>
      </w:r>
      <w:r w:rsidR="00382E1E">
        <w:rPr>
          <w:color w:val="000000" w:themeColor="text1"/>
          <w:sz w:val="20"/>
          <w:szCs w:val="20"/>
        </w:rPr>
        <w:t xml:space="preserve">, </w:t>
      </w:r>
      <w:r w:rsidR="00382E1E" w:rsidRPr="004770A3">
        <w:rPr>
          <w:color w:val="000000" w:themeColor="text1"/>
          <w:sz w:val="20"/>
          <w:szCs w:val="20"/>
        </w:rPr>
        <w:t xml:space="preserve">Brazil </w:t>
      </w:r>
      <w:r w:rsidR="00382E1E">
        <w:rPr>
          <w:color w:val="000000" w:themeColor="text1"/>
          <w:sz w:val="20"/>
          <w:szCs w:val="20"/>
        </w:rPr>
        <w:t xml:space="preserve">(also </w:t>
      </w:r>
      <w:r w:rsidR="00382E1E" w:rsidRPr="004770A3">
        <w:rPr>
          <w:color w:val="000000" w:themeColor="text1"/>
          <w:sz w:val="20"/>
          <w:szCs w:val="20"/>
        </w:rPr>
        <w:t>on</w:t>
      </w:r>
      <w:r w:rsidR="00382E1E">
        <w:rPr>
          <w:color w:val="000000" w:themeColor="text1"/>
          <w:sz w:val="20"/>
          <w:szCs w:val="20"/>
        </w:rPr>
        <w:t xml:space="preserve"> behalf of Argentina, Chile, Colombia, Guatemala and Peru), </w:t>
      </w:r>
      <w:r w:rsidR="00382E1E" w:rsidRPr="00382E1E">
        <w:rPr>
          <w:color w:val="000000" w:themeColor="text1"/>
          <w:sz w:val="20"/>
          <w:szCs w:val="20"/>
        </w:rPr>
        <w:t>Cameroon</w:t>
      </w:r>
      <w:r w:rsidR="00382E1E">
        <w:rPr>
          <w:color w:val="000000" w:themeColor="text1"/>
          <w:sz w:val="20"/>
          <w:szCs w:val="20"/>
        </w:rPr>
        <w:t xml:space="preserve">, </w:t>
      </w:r>
      <w:r w:rsidR="00382E1E" w:rsidRPr="00382E1E">
        <w:rPr>
          <w:color w:val="000000" w:themeColor="text1"/>
          <w:sz w:val="20"/>
          <w:szCs w:val="20"/>
        </w:rPr>
        <w:t>China</w:t>
      </w:r>
      <w:r w:rsidR="00382E1E">
        <w:rPr>
          <w:color w:val="000000" w:themeColor="text1"/>
          <w:sz w:val="20"/>
          <w:szCs w:val="20"/>
        </w:rPr>
        <w:t xml:space="preserve">, </w:t>
      </w:r>
      <w:r w:rsidR="00382E1E" w:rsidRPr="00382E1E">
        <w:rPr>
          <w:color w:val="000000" w:themeColor="text1"/>
          <w:sz w:val="20"/>
          <w:szCs w:val="20"/>
        </w:rPr>
        <w:t>Cuba</w:t>
      </w:r>
      <w:r w:rsidR="00382E1E">
        <w:rPr>
          <w:color w:val="000000" w:themeColor="text1"/>
          <w:sz w:val="20"/>
          <w:szCs w:val="20"/>
        </w:rPr>
        <w:t xml:space="preserve">, </w:t>
      </w:r>
      <w:r w:rsidR="00382E1E" w:rsidRPr="00382E1E">
        <w:rPr>
          <w:color w:val="000000" w:themeColor="text1"/>
          <w:sz w:val="20"/>
          <w:szCs w:val="20"/>
        </w:rPr>
        <w:t>India</w:t>
      </w:r>
      <w:r w:rsidR="00382E1E">
        <w:rPr>
          <w:color w:val="000000" w:themeColor="text1"/>
          <w:sz w:val="20"/>
          <w:szCs w:val="20"/>
        </w:rPr>
        <w:t xml:space="preserve">, </w:t>
      </w:r>
      <w:r w:rsidR="00382E1E" w:rsidRPr="00382E1E">
        <w:rPr>
          <w:color w:val="000000" w:themeColor="text1"/>
          <w:sz w:val="20"/>
          <w:szCs w:val="20"/>
        </w:rPr>
        <w:t>Japan</w:t>
      </w:r>
      <w:r w:rsidR="00382E1E">
        <w:rPr>
          <w:color w:val="000000" w:themeColor="text1"/>
          <w:sz w:val="20"/>
          <w:szCs w:val="20"/>
        </w:rPr>
        <w:t xml:space="preserve">, </w:t>
      </w:r>
      <w:r w:rsidR="00382E1E" w:rsidRPr="00382E1E">
        <w:rPr>
          <w:color w:val="000000" w:themeColor="text1"/>
          <w:sz w:val="20"/>
          <w:szCs w:val="20"/>
        </w:rPr>
        <w:t>Mexico</w:t>
      </w:r>
      <w:r w:rsidR="00382E1E">
        <w:rPr>
          <w:color w:val="000000" w:themeColor="text1"/>
          <w:sz w:val="20"/>
          <w:szCs w:val="20"/>
        </w:rPr>
        <w:t xml:space="preserve">, </w:t>
      </w:r>
      <w:r w:rsidR="00382E1E" w:rsidRPr="00382E1E">
        <w:rPr>
          <w:color w:val="000000" w:themeColor="text1"/>
          <w:sz w:val="20"/>
          <w:szCs w:val="20"/>
        </w:rPr>
        <w:t>Nepal</w:t>
      </w:r>
      <w:r w:rsidR="00382E1E">
        <w:rPr>
          <w:color w:val="000000" w:themeColor="text1"/>
          <w:sz w:val="20"/>
          <w:szCs w:val="20"/>
        </w:rPr>
        <w:t xml:space="preserve">, </w:t>
      </w:r>
      <w:r w:rsidR="00382E1E" w:rsidRPr="00382E1E">
        <w:rPr>
          <w:color w:val="000000" w:themeColor="text1"/>
          <w:sz w:val="20"/>
          <w:szCs w:val="20"/>
        </w:rPr>
        <w:t xml:space="preserve">Pakistan </w:t>
      </w:r>
      <w:r w:rsidR="00382E1E">
        <w:rPr>
          <w:color w:val="000000" w:themeColor="text1"/>
          <w:sz w:val="20"/>
          <w:szCs w:val="20"/>
        </w:rPr>
        <w:t xml:space="preserve">(also on behalf of the Organization of Islamic Cooperation), </w:t>
      </w:r>
      <w:r w:rsidR="00382E1E" w:rsidRPr="00382E1E">
        <w:rPr>
          <w:color w:val="000000" w:themeColor="text1"/>
          <w:sz w:val="20"/>
          <w:szCs w:val="20"/>
        </w:rPr>
        <w:t xml:space="preserve">Philippines </w:t>
      </w:r>
      <w:r w:rsidR="00382E1E">
        <w:rPr>
          <w:color w:val="000000" w:themeColor="text1"/>
          <w:sz w:val="20"/>
          <w:szCs w:val="20"/>
        </w:rPr>
        <w:t>(</w:t>
      </w:r>
      <w:r w:rsidR="00382E1E" w:rsidRPr="00D15C0E">
        <w:rPr>
          <w:color w:val="000000" w:themeColor="text1"/>
          <w:sz w:val="20"/>
          <w:szCs w:val="20"/>
        </w:rPr>
        <w:t>on behalf of the Association of Southeast Asian Nations</w:t>
      </w:r>
      <w:r w:rsidR="00382E1E">
        <w:rPr>
          <w:color w:val="000000" w:themeColor="text1"/>
          <w:sz w:val="20"/>
          <w:szCs w:val="20"/>
        </w:rPr>
        <w:t>), Portugal</w:t>
      </w:r>
      <w:r w:rsidR="00CC5A8D">
        <w:rPr>
          <w:rStyle w:val="FootnoteReference"/>
          <w:color w:val="000000" w:themeColor="text1"/>
          <w:szCs w:val="20"/>
        </w:rPr>
        <w:footnoteReference w:id="42"/>
      </w:r>
      <w:r w:rsidR="00382E1E" w:rsidRPr="0067399B">
        <w:rPr>
          <w:color w:val="000000" w:themeColor="text1"/>
          <w:sz w:val="20"/>
          <w:szCs w:val="20"/>
        </w:rPr>
        <w:t xml:space="preserve"> </w:t>
      </w:r>
      <w:r w:rsidR="00382E1E">
        <w:rPr>
          <w:color w:val="000000" w:themeColor="text1"/>
          <w:sz w:val="20"/>
          <w:szCs w:val="20"/>
        </w:rPr>
        <w:t xml:space="preserve">(also on behalf of Angola, Australia, Bahamas, Belgium, Botswana, Brazil, Colombia, Costa Rica, Denmark, Ecuador, Fiji, Georgia, Haiti, Italy, Mexico, Morocco, the Netherlands, Norway, Paraguay, the Republic of Korea, Seychelles, Slovenia, Sweden, Thailand, Timor-Leste, </w:t>
      </w:r>
      <w:r w:rsidR="00382E1E">
        <w:rPr>
          <w:color w:val="000000" w:themeColor="text1"/>
          <w:sz w:val="20"/>
          <w:szCs w:val="20"/>
        </w:rPr>
        <w:lastRenderedPageBreak/>
        <w:t xml:space="preserve">Tunisia and Uruguay), </w:t>
      </w:r>
      <w:r w:rsidR="00382E1E" w:rsidRPr="004770A3">
        <w:rPr>
          <w:color w:val="000000" w:themeColor="text1"/>
          <w:sz w:val="20"/>
          <w:szCs w:val="20"/>
        </w:rPr>
        <w:t>Romania</w:t>
      </w:r>
      <w:r w:rsidR="00CC5A8D">
        <w:rPr>
          <w:rStyle w:val="FootnoteReference"/>
          <w:color w:val="000000" w:themeColor="text1"/>
          <w:szCs w:val="20"/>
        </w:rPr>
        <w:footnoteReference w:id="43"/>
      </w:r>
      <w:r w:rsidR="00382E1E" w:rsidRPr="004770A3">
        <w:rPr>
          <w:color w:val="000000" w:themeColor="text1"/>
          <w:sz w:val="20"/>
          <w:szCs w:val="20"/>
        </w:rPr>
        <w:t xml:space="preserve"> </w:t>
      </w:r>
      <w:r w:rsidR="00382E1E">
        <w:rPr>
          <w:color w:val="000000" w:themeColor="text1"/>
          <w:sz w:val="20"/>
          <w:szCs w:val="20"/>
        </w:rPr>
        <w:t xml:space="preserve">(also </w:t>
      </w:r>
      <w:r w:rsidR="00382E1E" w:rsidRPr="004770A3">
        <w:rPr>
          <w:color w:val="000000" w:themeColor="text1"/>
          <w:sz w:val="20"/>
          <w:szCs w:val="20"/>
        </w:rPr>
        <w:t>o</w:t>
      </w:r>
      <w:r w:rsidR="00382E1E">
        <w:rPr>
          <w:color w:val="000000" w:themeColor="text1"/>
          <w:sz w:val="20"/>
          <w:szCs w:val="20"/>
        </w:rPr>
        <w:t xml:space="preserve">n behalf of Morocco, Norway, Peru, the Republic of Korea and Tunisia), </w:t>
      </w:r>
      <w:r w:rsidR="00382E1E" w:rsidRPr="00382E1E">
        <w:rPr>
          <w:color w:val="000000" w:themeColor="text1"/>
          <w:sz w:val="20"/>
          <w:szCs w:val="20"/>
        </w:rPr>
        <w:t xml:space="preserve">Romania </w:t>
      </w:r>
      <w:r w:rsidR="00382E1E">
        <w:rPr>
          <w:color w:val="000000" w:themeColor="text1"/>
          <w:sz w:val="20"/>
          <w:szCs w:val="20"/>
        </w:rPr>
        <w:t>(</w:t>
      </w:r>
      <w:r w:rsidR="00382E1E" w:rsidRPr="00382E1E">
        <w:rPr>
          <w:color w:val="000000" w:themeColor="text1"/>
          <w:sz w:val="20"/>
          <w:szCs w:val="20"/>
        </w:rPr>
        <w:t>o</w:t>
      </w:r>
      <w:r w:rsidR="00382E1E">
        <w:rPr>
          <w:color w:val="000000" w:themeColor="text1"/>
          <w:sz w:val="20"/>
          <w:szCs w:val="20"/>
        </w:rPr>
        <w:t xml:space="preserve">n behalf of the European Union), </w:t>
      </w:r>
      <w:r w:rsidR="00382E1E" w:rsidRPr="00382E1E">
        <w:rPr>
          <w:color w:val="000000" w:themeColor="text1"/>
          <w:sz w:val="20"/>
          <w:szCs w:val="20"/>
        </w:rPr>
        <w:t>Togo</w:t>
      </w:r>
      <w:r w:rsidR="00382E1E">
        <w:rPr>
          <w:color w:val="000000" w:themeColor="text1"/>
          <w:sz w:val="20"/>
          <w:szCs w:val="20"/>
        </w:rPr>
        <w:t xml:space="preserve">, </w:t>
      </w:r>
      <w:r w:rsidR="00382E1E" w:rsidRPr="00382E1E">
        <w:rPr>
          <w:color w:val="000000" w:themeColor="text1"/>
          <w:sz w:val="20"/>
          <w:szCs w:val="20"/>
        </w:rPr>
        <w:t>Tunisia</w:t>
      </w:r>
      <w:r w:rsidR="00382E1E">
        <w:rPr>
          <w:color w:val="000000" w:themeColor="text1"/>
          <w:sz w:val="20"/>
          <w:szCs w:val="20"/>
        </w:rPr>
        <w:t xml:space="preserve">, </w:t>
      </w:r>
      <w:r w:rsidR="00382E1E" w:rsidRPr="00382E1E">
        <w:rPr>
          <w:color w:val="000000" w:themeColor="text1"/>
          <w:sz w:val="20"/>
          <w:szCs w:val="20"/>
        </w:rPr>
        <w:t>Uruguay</w:t>
      </w:r>
      <w:r w:rsidRPr="0067399B">
        <w:rPr>
          <w:color w:val="000000" w:themeColor="text1"/>
          <w:sz w:val="20"/>
          <w:szCs w:val="20"/>
        </w:rPr>
        <w:t>;</w:t>
      </w:r>
    </w:p>
    <w:p w14:paraId="2EA58AC8" w14:textId="55F1D9FD" w:rsidR="00F11B08" w:rsidRPr="0067399B" w:rsidRDefault="00F11B08" w:rsidP="00F11B08">
      <w:pPr>
        <w:pStyle w:val="SingleTxtG"/>
        <w:ind w:firstLine="567"/>
        <w:rPr>
          <w:color w:val="000000" w:themeColor="text1"/>
          <w:sz w:val="20"/>
          <w:szCs w:val="20"/>
        </w:rPr>
      </w:pPr>
      <w:r w:rsidRPr="0067399B">
        <w:rPr>
          <w:color w:val="000000" w:themeColor="text1"/>
          <w:sz w:val="20"/>
          <w:szCs w:val="20"/>
        </w:rPr>
        <w:t>(</w:t>
      </w:r>
      <w:r w:rsidRPr="0067399B">
        <w:rPr>
          <w:iCs/>
          <w:color w:val="000000" w:themeColor="text1"/>
          <w:sz w:val="20"/>
          <w:szCs w:val="20"/>
        </w:rPr>
        <w:t>b</w:t>
      </w:r>
      <w:r w:rsidRPr="0067399B">
        <w:rPr>
          <w:color w:val="000000" w:themeColor="text1"/>
          <w:sz w:val="20"/>
          <w:szCs w:val="20"/>
        </w:rPr>
        <w:t>)</w:t>
      </w:r>
      <w:r w:rsidRPr="0067399B">
        <w:rPr>
          <w:color w:val="000000" w:themeColor="text1"/>
          <w:sz w:val="20"/>
          <w:szCs w:val="20"/>
        </w:rPr>
        <w:tab/>
        <w:t>Representatives of observer States:</w:t>
      </w:r>
      <w:r w:rsidR="00382E1E">
        <w:rPr>
          <w:color w:val="000000" w:themeColor="text1"/>
          <w:sz w:val="20"/>
          <w:szCs w:val="20"/>
        </w:rPr>
        <w:t xml:space="preserve"> </w:t>
      </w:r>
      <w:r w:rsidR="00382E1E" w:rsidRPr="00382E1E">
        <w:rPr>
          <w:color w:val="000000" w:themeColor="text1"/>
          <w:sz w:val="20"/>
          <w:szCs w:val="20"/>
        </w:rPr>
        <w:t>Azerbaijan</w:t>
      </w:r>
      <w:r w:rsidR="00382E1E">
        <w:rPr>
          <w:color w:val="000000" w:themeColor="text1"/>
          <w:sz w:val="20"/>
          <w:szCs w:val="20"/>
        </w:rPr>
        <w:t xml:space="preserve">, </w:t>
      </w:r>
      <w:r w:rsidR="00382E1E" w:rsidRPr="00382E1E">
        <w:rPr>
          <w:color w:val="000000" w:themeColor="text1"/>
          <w:sz w:val="20"/>
          <w:szCs w:val="20"/>
        </w:rPr>
        <w:t>Botswana</w:t>
      </w:r>
      <w:r w:rsidR="00382E1E">
        <w:rPr>
          <w:color w:val="000000" w:themeColor="text1"/>
          <w:sz w:val="20"/>
          <w:szCs w:val="20"/>
        </w:rPr>
        <w:t xml:space="preserve">, </w:t>
      </w:r>
      <w:r w:rsidR="00382E1E" w:rsidRPr="00382E1E">
        <w:rPr>
          <w:color w:val="000000" w:themeColor="text1"/>
          <w:sz w:val="20"/>
          <w:szCs w:val="20"/>
        </w:rPr>
        <w:t>Colombia</w:t>
      </w:r>
      <w:r w:rsidR="00382E1E">
        <w:rPr>
          <w:color w:val="000000" w:themeColor="text1"/>
          <w:sz w:val="20"/>
          <w:szCs w:val="20"/>
        </w:rPr>
        <w:t xml:space="preserve">, </w:t>
      </w:r>
      <w:r w:rsidR="00382E1E" w:rsidRPr="00382E1E">
        <w:rPr>
          <w:color w:val="000000" w:themeColor="text1"/>
          <w:sz w:val="20"/>
          <w:szCs w:val="20"/>
        </w:rPr>
        <w:t>Costa Rica</w:t>
      </w:r>
      <w:r w:rsidR="00382E1E">
        <w:rPr>
          <w:color w:val="000000" w:themeColor="text1"/>
          <w:sz w:val="20"/>
          <w:szCs w:val="20"/>
        </w:rPr>
        <w:t xml:space="preserve">, </w:t>
      </w:r>
      <w:r w:rsidR="00382E1E" w:rsidRPr="00382E1E">
        <w:rPr>
          <w:color w:val="000000" w:themeColor="text1"/>
          <w:sz w:val="20"/>
          <w:szCs w:val="20"/>
        </w:rPr>
        <w:t>Ecuador</w:t>
      </w:r>
      <w:r w:rsidR="00382E1E">
        <w:rPr>
          <w:color w:val="000000" w:themeColor="text1"/>
          <w:sz w:val="20"/>
          <w:szCs w:val="20"/>
        </w:rPr>
        <w:t xml:space="preserve">, </w:t>
      </w:r>
      <w:r w:rsidR="00382E1E" w:rsidRPr="00382E1E">
        <w:rPr>
          <w:color w:val="000000" w:themeColor="text1"/>
          <w:sz w:val="20"/>
          <w:szCs w:val="20"/>
        </w:rPr>
        <w:t>El Salvador</w:t>
      </w:r>
      <w:r w:rsidR="00382E1E">
        <w:rPr>
          <w:color w:val="000000" w:themeColor="text1"/>
          <w:sz w:val="20"/>
          <w:szCs w:val="20"/>
        </w:rPr>
        <w:t xml:space="preserve">, </w:t>
      </w:r>
      <w:r w:rsidR="00382E1E" w:rsidRPr="00382E1E">
        <w:rPr>
          <w:color w:val="000000" w:themeColor="text1"/>
          <w:sz w:val="20"/>
          <w:szCs w:val="20"/>
        </w:rPr>
        <w:t>Germany</w:t>
      </w:r>
      <w:r w:rsidR="00382E1E">
        <w:rPr>
          <w:color w:val="000000" w:themeColor="text1"/>
          <w:sz w:val="20"/>
          <w:szCs w:val="20"/>
        </w:rPr>
        <w:t xml:space="preserve">, </w:t>
      </w:r>
      <w:r w:rsidR="00382E1E" w:rsidRPr="00382E1E">
        <w:rPr>
          <w:color w:val="000000" w:themeColor="text1"/>
          <w:sz w:val="20"/>
          <w:szCs w:val="20"/>
        </w:rPr>
        <w:t>Ireland</w:t>
      </w:r>
      <w:r w:rsidR="00382E1E">
        <w:rPr>
          <w:color w:val="000000" w:themeColor="text1"/>
          <w:sz w:val="20"/>
          <w:szCs w:val="20"/>
        </w:rPr>
        <w:t xml:space="preserve">, </w:t>
      </w:r>
      <w:r w:rsidR="00382E1E" w:rsidRPr="00382E1E">
        <w:rPr>
          <w:color w:val="000000" w:themeColor="text1"/>
          <w:sz w:val="20"/>
          <w:szCs w:val="20"/>
        </w:rPr>
        <w:t>Lithuania</w:t>
      </w:r>
      <w:r w:rsidR="00382E1E">
        <w:rPr>
          <w:color w:val="000000" w:themeColor="text1"/>
          <w:sz w:val="20"/>
          <w:szCs w:val="20"/>
        </w:rPr>
        <w:t xml:space="preserve">, </w:t>
      </w:r>
      <w:r w:rsidR="00382E1E" w:rsidRPr="00382E1E">
        <w:rPr>
          <w:color w:val="000000" w:themeColor="text1"/>
          <w:sz w:val="20"/>
          <w:szCs w:val="20"/>
        </w:rPr>
        <w:t>Luxembourg</w:t>
      </w:r>
      <w:r w:rsidR="00382E1E">
        <w:rPr>
          <w:color w:val="000000" w:themeColor="text1"/>
          <w:sz w:val="20"/>
          <w:szCs w:val="20"/>
        </w:rPr>
        <w:t>,</w:t>
      </w:r>
      <w:r w:rsidR="00382E1E" w:rsidRPr="00382E1E">
        <w:rPr>
          <w:color w:val="000000" w:themeColor="text1"/>
          <w:sz w:val="20"/>
          <w:szCs w:val="20"/>
        </w:rPr>
        <w:t xml:space="preserve"> </w:t>
      </w:r>
      <w:r w:rsidR="00382E1E">
        <w:rPr>
          <w:color w:val="000000" w:themeColor="text1"/>
          <w:sz w:val="20"/>
          <w:szCs w:val="20"/>
        </w:rPr>
        <w:t xml:space="preserve">Luxembourg (also on behalf of Belgium and the Netherlands), </w:t>
      </w:r>
      <w:r w:rsidR="00382E1E" w:rsidRPr="00382E1E">
        <w:rPr>
          <w:color w:val="000000" w:themeColor="text1"/>
          <w:sz w:val="20"/>
          <w:szCs w:val="20"/>
        </w:rPr>
        <w:t>Maldives</w:t>
      </w:r>
      <w:r w:rsidR="00382E1E">
        <w:rPr>
          <w:color w:val="000000" w:themeColor="text1"/>
          <w:sz w:val="20"/>
          <w:szCs w:val="20"/>
        </w:rPr>
        <w:t xml:space="preserve">, </w:t>
      </w:r>
      <w:r w:rsidR="00382E1E" w:rsidRPr="00382E1E">
        <w:rPr>
          <w:color w:val="000000" w:themeColor="text1"/>
          <w:sz w:val="20"/>
          <w:szCs w:val="20"/>
        </w:rPr>
        <w:t>Russian Federation</w:t>
      </w:r>
      <w:r w:rsidR="00382E1E">
        <w:rPr>
          <w:color w:val="000000" w:themeColor="text1"/>
          <w:sz w:val="20"/>
          <w:szCs w:val="20"/>
        </w:rPr>
        <w:t xml:space="preserve">, </w:t>
      </w:r>
      <w:r w:rsidR="00382E1E" w:rsidRPr="00382E1E">
        <w:rPr>
          <w:color w:val="000000" w:themeColor="text1"/>
          <w:sz w:val="20"/>
          <w:szCs w:val="20"/>
        </w:rPr>
        <w:t>Sri Lanka</w:t>
      </w:r>
      <w:r w:rsidR="00382E1E">
        <w:rPr>
          <w:color w:val="000000" w:themeColor="text1"/>
          <w:sz w:val="20"/>
          <w:szCs w:val="20"/>
        </w:rPr>
        <w:t xml:space="preserve">, </w:t>
      </w:r>
      <w:r w:rsidR="00382E1E" w:rsidRPr="00382E1E">
        <w:rPr>
          <w:color w:val="000000" w:themeColor="text1"/>
          <w:sz w:val="20"/>
          <w:szCs w:val="20"/>
        </w:rPr>
        <w:t>Timor-Leste</w:t>
      </w:r>
      <w:r w:rsidR="00382E1E">
        <w:rPr>
          <w:color w:val="000000" w:themeColor="text1"/>
          <w:sz w:val="20"/>
          <w:szCs w:val="20"/>
        </w:rPr>
        <w:t>,</w:t>
      </w:r>
      <w:r w:rsidR="00382E1E" w:rsidRPr="00382E1E">
        <w:rPr>
          <w:color w:val="000000" w:themeColor="text1"/>
          <w:sz w:val="20"/>
          <w:szCs w:val="20"/>
        </w:rPr>
        <w:t>Venezuela (Bolivarian Republic of)</w:t>
      </w:r>
      <w:r w:rsidRPr="0067399B">
        <w:rPr>
          <w:color w:val="000000" w:themeColor="text1"/>
          <w:sz w:val="20"/>
          <w:szCs w:val="20"/>
        </w:rPr>
        <w:t>;</w:t>
      </w:r>
    </w:p>
    <w:p w14:paraId="40C2A032" w14:textId="1DA5B8CE" w:rsidR="000A69DE" w:rsidRDefault="000A69DE" w:rsidP="00382E1E">
      <w:pPr>
        <w:pStyle w:val="SingleTxtG"/>
        <w:ind w:firstLine="567"/>
        <w:rPr>
          <w:color w:val="000000" w:themeColor="text1"/>
          <w:sz w:val="20"/>
          <w:szCs w:val="20"/>
        </w:rPr>
      </w:pPr>
      <w:r w:rsidRPr="00113DE2">
        <w:rPr>
          <w:color w:val="000000" w:themeColor="text1"/>
          <w:sz w:val="20"/>
          <w:szCs w:val="20"/>
        </w:rPr>
        <w:t>(c)</w:t>
      </w:r>
      <w:r w:rsidRPr="00113DE2">
        <w:rPr>
          <w:color w:val="000000" w:themeColor="text1"/>
          <w:sz w:val="20"/>
          <w:szCs w:val="20"/>
        </w:rPr>
        <w:tab/>
      </w:r>
      <w:r w:rsidRPr="006D07E0">
        <w:rPr>
          <w:color w:val="000000" w:themeColor="text1"/>
          <w:sz w:val="20"/>
          <w:szCs w:val="20"/>
        </w:rPr>
        <w:t>Observer for United Nations entities, specialized agencies and related</w:t>
      </w:r>
      <w:r>
        <w:rPr>
          <w:color w:val="000000" w:themeColor="text1"/>
          <w:sz w:val="20"/>
          <w:szCs w:val="20"/>
        </w:rPr>
        <w:t xml:space="preserve"> </w:t>
      </w:r>
      <w:r w:rsidRPr="006D07E0">
        <w:rPr>
          <w:color w:val="000000" w:themeColor="text1"/>
          <w:sz w:val="20"/>
          <w:szCs w:val="20"/>
        </w:rPr>
        <w:t>organizations</w:t>
      </w:r>
      <w:r w:rsidRPr="00113DE2">
        <w:rPr>
          <w:color w:val="000000" w:themeColor="text1"/>
          <w:sz w:val="20"/>
          <w:szCs w:val="20"/>
        </w:rPr>
        <w:t xml:space="preserve">: </w:t>
      </w:r>
      <w:r w:rsidRPr="00382E1E">
        <w:rPr>
          <w:color w:val="000000" w:themeColor="text1"/>
          <w:sz w:val="20"/>
          <w:szCs w:val="20"/>
        </w:rPr>
        <w:t>International Development Law Organization</w:t>
      </w:r>
      <w:r>
        <w:rPr>
          <w:color w:val="000000" w:themeColor="text1"/>
          <w:sz w:val="20"/>
          <w:szCs w:val="20"/>
        </w:rPr>
        <w:t>;</w:t>
      </w:r>
      <w:r w:rsidRPr="0067399B">
        <w:rPr>
          <w:color w:val="000000" w:themeColor="text1"/>
          <w:sz w:val="20"/>
          <w:szCs w:val="20"/>
        </w:rPr>
        <w:t xml:space="preserve"> </w:t>
      </w:r>
    </w:p>
    <w:p w14:paraId="5C8A29DD" w14:textId="49719FC4" w:rsidR="00382E1E" w:rsidRPr="00382E1E" w:rsidRDefault="00F11B08" w:rsidP="00382E1E">
      <w:pPr>
        <w:pStyle w:val="SingleTxtG"/>
        <w:ind w:firstLine="567"/>
        <w:rPr>
          <w:color w:val="000000" w:themeColor="text1"/>
          <w:sz w:val="20"/>
          <w:szCs w:val="20"/>
        </w:rPr>
      </w:pPr>
      <w:r w:rsidRPr="0067399B">
        <w:rPr>
          <w:color w:val="000000" w:themeColor="text1"/>
          <w:sz w:val="20"/>
          <w:szCs w:val="20"/>
        </w:rPr>
        <w:t>(</w:t>
      </w:r>
      <w:r w:rsidR="000A69DE">
        <w:rPr>
          <w:color w:val="000000" w:themeColor="text1"/>
          <w:sz w:val="20"/>
          <w:szCs w:val="20"/>
        </w:rPr>
        <w:t>d</w:t>
      </w:r>
      <w:r w:rsidRPr="0067399B">
        <w:rPr>
          <w:color w:val="000000" w:themeColor="text1"/>
          <w:sz w:val="20"/>
          <w:szCs w:val="20"/>
        </w:rPr>
        <w:t>)</w:t>
      </w:r>
      <w:r w:rsidRPr="0067399B">
        <w:rPr>
          <w:color w:val="000000" w:themeColor="text1"/>
          <w:sz w:val="20"/>
          <w:szCs w:val="20"/>
        </w:rPr>
        <w:tab/>
        <w:t xml:space="preserve">Observer for an intergovernmental organization: </w:t>
      </w:r>
      <w:r w:rsidR="00C443EE" w:rsidRPr="0067399B">
        <w:rPr>
          <w:color w:val="000000" w:themeColor="text1"/>
          <w:sz w:val="20"/>
          <w:szCs w:val="20"/>
        </w:rPr>
        <w:t>Cooperation Council for the Arab States of the Gulf</w:t>
      </w:r>
      <w:r w:rsidRPr="0067399B">
        <w:rPr>
          <w:color w:val="000000" w:themeColor="text1"/>
          <w:sz w:val="20"/>
          <w:szCs w:val="20"/>
        </w:rPr>
        <w:t>;</w:t>
      </w:r>
      <w:r w:rsidR="00382E1E" w:rsidRPr="00382E1E">
        <w:rPr>
          <w:color w:val="000000" w:themeColor="text1"/>
          <w:sz w:val="20"/>
          <w:szCs w:val="20"/>
        </w:rPr>
        <w:t xml:space="preserve"> </w:t>
      </w:r>
    </w:p>
    <w:p w14:paraId="2EA58ACA" w14:textId="26169718" w:rsidR="00F11B08" w:rsidRPr="0067399B" w:rsidRDefault="00F11B08" w:rsidP="00F11B08">
      <w:pPr>
        <w:pStyle w:val="SingleTxtG"/>
        <w:ind w:firstLine="567"/>
        <w:rPr>
          <w:color w:val="000000" w:themeColor="text1"/>
          <w:sz w:val="20"/>
          <w:szCs w:val="20"/>
        </w:rPr>
      </w:pPr>
      <w:r w:rsidRPr="0067399B">
        <w:rPr>
          <w:color w:val="000000" w:themeColor="text1"/>
          <w:sz w:val="20"/>
          <w:szCs w:val="20"/>
        </w:rPr>
        <w:t>(</w:t>
      </w:r>
      <w:r w:rsidR="000A69DE">
        <w:rPr>
          <w:color w:val="000000" w:themeColor="text1"/>
          <w:sz w:val="20"/>
          <w:szCs w:val="20"/>
        </w:rPr>
        <w:t>e</w:t>
      </w:r>
      <w:r w:rsidRPr="0067399B">
        <w:rPr>
          <w:color w:val="000000" w:themeColor="text1"/>
          <w:sz w:val="20"/>
          <w:szCs w:val="20"/>
        </w:rPr>
        <w:t>)</w:t>
      </w:r>
      <w:r w:rsidRPr="0067399B">
        <w:rPr>
          <w:color w:val="000000" w:themeColor="text1"/>
          <w:sz w:val="20"/>
          <w:szCs w:val="20"/>
        </w:rPr>
        <w:tab/>
        <w:t>Observers for non-governmental organizations:</w:t>
      </w:r>
      <w:r w:rsidR="00F3511E">
        <w:rPr>
          <w:color w:val="000000" w:themeColor="text1"/>
          <w:sz w:val="20"/>
          <w:szCs w:val="20"/>
        </w:rPr>
        <w:t xml:space="preserve"> </w:t>
      </w:r>
      <w:r w:rsidR="00C62C76" w:rsidRPr="00C62C76">
        <w:rPr>
          <w:color w:val="000000" w:themeColor="text1"/>
          <w:sz w:val="20"/>
          <w:szCs w:val="20"/>
        </w:rPr>
        <w:t>ABC Tamil Oli</w:t>
      </w:r>
      <w:r w:rsidR="00C62C76">
        <w:rPr>
          <w:color w:val="000000" w:themeColor="text1"/>
          <w:sz w:val="20"/>
          <w:szCs w:val="20"/>
        </w:rPr>
        <w:t xml:space="preserve">; </w:t>
      </w:r>
      <w:r w:rsidR="00C62C76" w:rsidRPr="00C62C76">
        <w:rPr>
          <w:color w:val="000000" w:themeColor="text1"/>
          <w:sz w:val="20"/>
          <w:szCs w:val="20"/>
        </w:rPr>
        <w:t>Advocates for Human Rights</w:t>
      </w:r>
      <w:r w:rsidR="00C62C76">
        <w:rPr>
          <w:color w:val="000000" w:themeColor="text1"/>
          <w:sz w:val="20"/>
          <w:szCs w:val="20"/>
        </w:rPr>
        <w:t xml:space="preserve">; </w:t>
      </w:r>
      <w:r w:rsidR="00C62C76" w:rsidRPr="00C62C76">
        <w:rPr>
          <w:color w:val="000000" w:themeColor="text1"/>
          <w:sz w:val="20"/>
          <w:szCs w:val="20"/>
        </w:rPr>
        <w:t>Africa Culture Internationale</w:t>
      </w:r>
      <w:r w:rsidR="00C62C76">
        <w:rPr>
          <w:color w:val="000000" w:themeColor="text1"/>
          <w:sz w:val="20"/>
          <w:szCs w:val="20"/>
        </w:rPr>
        <w:t xml:space="preserve">; </w:t>
      </w:r>
      <w:r w:rsidR="00C62C76" w:rsidRPr="00C62C76">
        <w:rPr>
          <w:color w:val="000000" w:themeColor="text1"/>
          <w:sz w:val="20"/>
          <w:szCs w:val="20"/>
        </w:rPr>
        <w:t>African Green Foundation International</w:t>
      </w:r>
      <w:r w:rsidR="00C62C76">
        <w:rPr>
          <w:color w:val="000000" w:themeColor="text1"/>
          <w:sz w:val="20"/>
          <w:szCs w:val="20"/>
        </w:rPr>
        <w:t xml:space="preserve">; </w:t>
      </w:r>
      <w:r w:rsidR="00C62C76" w:rsidRPr="00C62C76">
        <w:rPr>
          <w:color w:val="000000" w:themeColor="text1"/>
          <w:sz w:val="20"/>
          <w:szCs w:val="20"/>
        </w:rPr>
        <w:t>African Regional Agricultural Credit Association</w:t>
      </w:r>
      <w:r w:rsidR="00C62C76">
        <w:rPr>
          <w:color w:val="000000" w:themeColor="text1"/>
          <w:sz w:val="20"/>
          <w:szCs w:val="20"/>
        </w:rPr>
        <w:t xml:space="preserve">; </w:t>
      </w:r>
      <w:r w:rsidR="00C62C76" w:rsidRPr="00C62C76">
        <w:rPr>
          <w:color w:val="000000" w:themeColor="text1"/>
          <w:sz w:val="20"/>
          <w:szCs w:val="20"/>
        </w:rPr>
        <w:t>Alliance Creative Community Project</w:t>
      </w:r>
      <w:r w:rsidR="00C62C76">
        <w:rPr>
          <w:color w:val="000000" w:themeColor="text1"/>
          <w:sz w:val="20"/>
          <w:szCs w:val="20"/>
        </w:rPr>
        <w:t xml:space="preserve">; </w:t>
      </w:r>
      <w:r w:rsidR="00C62C76" w:rsidRPr="00C62C76">
        <w:rPr>
          <w:color w:val="000000" w:themeColor="text1"/>
          <w:sz w:val="20"/>
          <w:szCs w:val="20"/>
        </w:rPr>
        <w:t>Alsalam Foundation</w:t>
      </w:r>
      <w:r w:rsidR="00C62C76">
        <w:rPr>
          <w:color w:val="000000" w:themeColor="text1"/>
          <w:sz w:val="20"/>
          <w:szCs w:val="20"/>
        </w:rPr>
        <w:t xml:space="preserve">; </w:t>
      </w:r>
      <w:r w:rsidR="00C62C76" w:rsidRPr="00C62C76">
        <w:rPr>
          <w:color w:val="000000" w:themeColor="text1"/>
          <w:sz w:val="20"/>
          <w:szCs w:val="20"/>
        </w:rPr>
        <w:t>American Association of Jurists</w:t>
      </w:r>
      <w:r w:rsidR="00C62C76">
        <w:rPr>
          <w:color w:val="000000" w:themeColor="text1"/>
          <w:sz w:val="20"/>
          <w:szCs w:val="20"/>
        </w:rPr>
        <w:t xml:space="preserve">; </w:t>
      </w:r>
      <w:r w:rsidR="00C62C76" w:rsidRPr="00C62C76">
        <w:rPr>
          <w:color w:val="000000" w:themeColor="text1"/>
          <w:sz w:val="20"/>
          <w:szCs w:val="20"/>
        </w:rPr>
        <w:t>Americans for Democracy &amp; Human Rights in Bahrain Inc</w:t>
      </w:r>
      <w:r w:rsidR="00C62C76">
        <w:rPr>
          <w:color w:val="000000" w:themeColor="text1"/>
          <w:sz w:val="20"/>
          <w:szCs w:val="20"/>
        </w:rPr>
        <w:t xml:space="preserve">; </w:t>
      </w:r>
      <w:r w:rsidR="00C62C76" w:rsidRPr="00C62C76">
        <w:rPr>
          <w:color w:val="000000" w:themeColor="text1"/>
          <w:sz w:val="20"/>
          <w:szCs w:val="20"/>
        </w:rPr>
        <w:t>Amnesty International</w:t>
      </w:r>
      <w:r w:rsidR="00C62C76">
        <w:rPr>
          <w:color w:val="000000" w:themeColor="text1"/>
          <w:sz w:val="20"/>
          <w:szCs w:val="20"/>
        </w:rPr>
        <w:t xml:space="preserve">; </w:t>
      </w:r>
      <w:r w:rsidR="00C62C76" w:rsidRPr="00C62C76">
        <w:rPr>
          <w:color w:val="000000" w:themeColor="text1"/>
          <w:sz w:val="20"/>
          <w:szCs w:val="20"/>
        </w:rPr>
        <w:t>Asociacion Cubana de las Naciones Unidas (Cuban United Nations Association)</w:t>
      </w:r>
      <w:r w:rsidR="00C62C76">
        <w:rPr>
          <w:color w:val="000000" w:themeColor="text1"/>
          <w:sz w:val="20"/>
          <w:szCs w:val="20"/>
        </w:rPr>
        <w:t xml:space="preserve">; </w:t>
      </w:r>
      <w:r w:rsidR="00C62C76" w:rsidRPr="00C62C76">
        <w:rPr>
          <w:color w:val="000000" w:themeColor="text1"/>
          <w:sz w:val="20"/>
          <w:szCs w:val="20"/>
        </w:rPr>
        <w:t>ASSOCIATION CULTURELLE DES TAMOULS EN FRANCE</w:t>
      </w:r>
      <w:r w:rsidR="00C62C76">
        <w:rPr>
          <w:color w:val="000000" w:themeColor="text1"/>
          <w:sz w:val="20"/>
          <w:szCs w:val="20"/>
        </w:rPr>
        <w:t xml:space="preserve">; </w:t>
      </w:r>
      <w:r w:rsidR="00C62C76" w:rsidRPr="00C62C76">
        <w:rPr>
          <w:color w:val="000000" w:themeColor="text1"/>
          <w:sz w:val="20"/>
          <w:szCs w:val="20"/>
        </w:rPr>
        <w:t>Association des Jeunes pour l</w:t>
      </w:r>
      <w:r w:rsidR="00D72627">
        <w:rPr>
          <w:color w:val="000000" w:themeColor="text1"/>
          <w:sz w:val="20"/>
          <w:szCs w:val="20"/>
        </w:rPr>
        <w:t>’</w:t>
      </w:r>
      <w:r w:rsidR="00C62C76" w:rsidRPr="00C62C76">
        <w:rPr>
          <w:color w:val="000000" w:themeColor="text1"/>
          <w:sz w:val="20"/>
          <w:szCs w:val="20"/>
        </w:rPr>
        <w:t>Agriculture du Mali</w:t>
      </w:r>
      <w:r w:rsidR="00C62C76">
        <w:rPr>
          <w:color w:val="000000" w:themeColor="text1"/>
          <w:sz w:val="20"/>
          <w:szCs w:val="20"/>
        </w:rPr>
        <w:t xml:space="preserve">; </w:t>
      </w:r>
      <w:r w:rsidR="00C62C76" w:rsidRPr="00C62C76">
        <w:rPr>
          <w:color w:val="000000" w:themeColor="text1"/>
          <w:sz w:val="20"/>
          <w:szCs w:val="20"/>
        </w:rPr>
        <w:t>Association for the Protection of Women and Children</w:t>
      </w:r>
      <w:r w:rsidR="00D72627">
        <w:rPr>
          <w:color w:val="000000" w:themeColor="text1"/>
          <w:sz w:val="20"/>
          <w:szCs w:val="20"/>
        </w:rPr>
        <w:t>’</w:t>
      </w:r>
      <w:r w:rsidR="00C62C76" w:rsidRPr="00C62C76">
        <w:rPr>
          <w:color w:val="000000" w:themeColor="text1"/>
          <w:sz w:val="20"/>
          <w:szCs w:val="20"/>
        </w:rPr>
        <w:t>s Rights (APWCR)</w:t>
      </w:r>
      <w:r w:rsidR="00C62C76">
        <w:rPr>
          <w:color w:val="000000" w:themeColor="text1"/>
          <w:sz w:val="20"/>
          <w:szCs w:val="20"/>
        </w:rPr>
        <w:t xml:space="preserve">; </w:t>
      </w:r>
      <w:r w:rsidR="00C62C76" w:rsidRPr="00C62C76">
        <w:rPr>
          <w:color w:val="000000" w:themeColor="text1"/>
          <w:sz w:val="20"/>
          <w:szCs w:val="20"/>
        </w:rPr>
        <w:t>Association pour l</w:t>
      </w:r>
      <w:r w:rsidR="00D72627">
        <w:rPr>
          <w:color w:val="000000" w:themeColor="text1"/>
          <w:sz w:val="20"/>
          <w:szCs w:val="20"/>
        </w:rPr>
        <w:t>’</w:t>
      </w:r>
      <w:r w:rsidR="00C62C76" w:rsidRPr="00C62C76">
        <w:rPr>
          <w:color w:val="000000" w:themeColor="text1"/>
          <w:sz w:val="20"/>
          <w:szCs w:val="20"/>
        </w:rPr>
        <w:t>Intégration et le Développement Durable au Burundi</w:t>
      </w:r>
      <w:r w:rsidR="00C62C76">
        <w:rPr>
          <w:color w:val="000000" w:themeColor="text1"/>
          <w:sz w:val="20"/>
          <w:szCs w:val="20"/>
        </w:rPr>
        <w:t xml:space="preserve">; </w:t>
      </w:r>
      <w:r w:rsidR="00C62C76" w:rsidRPr="00C62C76">
        <w:rPr>
          <w:color w:val="000000" w:themeColor="text1"/>
          <w:sz w:val="20"/>
          <w:szCs w:val="20"/>
        </w:rPr>
        <w:t>Associazione Comunita Papa Giovanni XXIII</w:t>
      </w:r>
      <w:r w:rsidR="00C62C76">
        <w:rPr>
          <w:color w:val="000000" w:themeColor="text1"/>
          <w:sz w:val="20"/>
          <w:szCs w:val="20"/>
        </w:rPr>
        <w:t xml:space="preserve">; </w:t>
      </w:r>
      <w:r w:rsidR="00C62C76" w:rsidRPr="00C62C76">
        <w:rPr>
          <w:color w:val="000000" w:themeColor="text1"/>
          <w:sz w:val="20"/>
          <w:szCs w:val="20"/>
        </w:rPr>
        <w:t>Canners International Permanent Committee</w:t>
      </w:r>
      <w:r w:rsidR="00C62C76">
        <w:rPr>
          <w:color w:val="000000" w:themeColor="text1"/>
          <w:sz w:val="20"/>
          <w:szCs w:val="20"/>
        </w:rPr>
        <w:t xml:space="preserve">; </w:t>
      </w:r>
      <w:r w:rsidR="00C62C76" w:rsidRPr="00C62C76">
        <w:rPr>
          <w:color w:val="000000" w:themeColor="text1"/>
          <w:sz w:val="20"/>
          <w:szCs w:val="20"/>
        </w:rPr>
        <w:t>Center for Africa Development and Progress</w:t>
      </w:r>
      <w:r w:rsidR="00C62C76">
        <w:rPr>
          <w:color w:val="000000" w:themeColor="text1"/>
          <w:sz w:val="20"/>
          <w:szCs w:val="20"/>
        </w:rPr>
        <w:t xml:space="preserve">; </w:t>
      </w:r>
      <w:r w:rsidR="00C62C76" w:rsidRPr="00C62C76">
        <w:rPr>
          <w:color w:val="000000" w:themeColor="text1"/>
          <w:sz w:val="20"/>
          <w:szCs w:val="20"/>
        </w:rPr>
        <w:t>Center for Environmental and Management Studies</w:t>
      </w:r>
      <w:r w:rsidR="00C62C76">
        <w:rPr>
          <w:color w:val="000000" w:themeColor="text1"/>
          <w:sz w:val="20"/>
          <w:szCs w:val="20"/>
        </w:rPr>
        <w:t xml:space="preserve">; </w:t>
      </w:r>
      <w:r w:rsidR="00C62C76" w:rsidRPr="00C62C76">
        <w:rPr>
          <w:color w:val="000000" w:themeColor="text1"/>
          <w:sz w:val="20"/>
          <w:szCs w:val="20"/>
        </w:rPr>
        <w:t>China Society for Human Rights Studies (CSHRS)</w:t>
      </w:r>
      <w:r w:rsidR="00C62C76">
        <w:rPr>
          <w:color w:val="000000" w:themeColor="text1"/>
          <w:sz w:val="20"/>
          <w:szCs w:val="20"/>
        </w:rPr>
        <w:t xml:space="preserve">; </w:t>
      </w:r>
      <w:r w:rsidR="00C62C76" w:rsidRPr="00C62C76">
        <w:rPr>
          <w:color w:val="000000" w:themeColor="text1"/>
          <w:sz w:val="20"/>
          <w:szCs w:val="20"/>
        </w:rPr>
        <w:t>Commission Africaine des promoteurs de la santé et des droits de l</w:t>
      </w:r>
      <w:r w:rsidR="00D72627">
        <w:rPr>
          <w:color w:val="000000" w:themeColor="text1"/>
          <w:sz w:val="20"/>
          <w:szCs w:val="20"/>
        </w:rPr>
        <w:t>’</w:t>
      </w:r>
      <w:r w:rsidR="00C62C76" w:rsidRPr="00C62C76">
        <w:rPr>
          <w:color w:val="000000" w:themeColor="text1"/>
          <w:sz w:val="20"/>
          <w:szCs w:val="20"/>
        </w:rPr>
        <w:t>homme</w:t>
      </w:r>
      <w:r w:rsidR="00C62C76">
        <w:rPr>
          <w:color w:val="000000" w:themeColor="text1"/>
          <w:sz w:val="20"/>
          <w:szCs w:val="20"/>
        </w:rPr>
        <w:t xml:space="preserve">; </w:t>
      </w:r>
      <w:r w:rsidR="00C62C76" w:rsidRPr="00C62C76">
        <w:rPr>
          <w:color w:val="000000" w:themeColor="text1"/>
          <w:sz w:val="20"/>
          <w:szCs w:val="20"/>
        </w:rPr>
        <w:t>Commission to Study the Organization of Peace</w:t>
      </w:r>
      <w:r w:rsidR="00C62C76">
        <w:rPr>
          <w:color w:val="000000" w:themeColor="text1"/>
          <w:sz w:val="20"/>
          <w:szCs w:val="20"/>
        </w:rPr>
        <w:t xml:space="preserve">; </w:t>
      </w:r>
      <w:r w:rsidR="00C62C76" w:rsidRPr="00C62C76">
        <w:rPr>
          <w:color w:val="000000" w:themeColor="text1"/>
          <w:sz w:val="20"/>
          <w:szCs w:val="20"/>
        </w:rPr>
        <w:t>Edmund Rice International Limited</w:t>
      </w:r>
      <w:r w:rsidR="00C62C76">
        <w:rPr>
          <w:color w:val="000000" w:themeColor="text1"/>
          <w:sz w:val="20"/>
          <w:szCs w:val="20"/>
        </w:rPr>
        <w:t xml:space="preserve">; </w:t>
      </w:r>
      <w:r w:rsidR="00C62C76" w:rsidRPr="00C62C76">
        <w:rPr>
          <w:color w:val="000000" w:themeColor="text1"/>
          <w:sz w:val="20"/>
          <w:szCs w:val="20"/>
        </w:rPr>
        <w:t>European Union of Public Relations</w:t>
      </w:r>
      <w:r w:rsidR="00C62C76">
        <w:rPr>
          <w:color w:val="000000" w:themeColor="text1"/>
          <w:sz w:val="20"/>
          <w:szCs w:val="20"/>
        </w:rPr>
        <w:t xml:space="preserve">; </w:t>
      </w:r>
      <w:r w:rsidR="00C62C76" w:rsidRPr="00C62C76">
        <w:rPr>
          <w:color w:val="000000" w:themeColor="text1"/>
          <w:sz w:val="20"/>
          <w:szCs w:val="20"/>
        </w:rPr>
        <w:t>Human Rights Watch</w:t>
      </w:r>
      <w:r w:rsidR="00C62C76">
        <w:rPr>
          <w:color w:val="000000" w:themeColor="text1"/>
          <w:sz w:val="20"/>
          <w:szCs w:val="20"/>
        </w:rPr>
        <w:t xml:space="preserve"> (also on behalf of </w:t>
      </w:r>
      <w:r w:rsidR="00C62C76" w:rsidRPr="00C62C76">
        <w:rPr>
          <w:color w:val="000000" w:themeColor="text1"/>
          <w:sz w:val="20"/>
          <w:szCs w:val="20"/>
        </w:rPr>
        <w:t>Internat</w:t>
      </w:r>
      <w:r w:rsidR="00C62C76">
        <w:rPr>
          <w:color w:val="000000" w:themeColor="text1"/>
          <w:sz w:val="20"/>
          <w:szCs w:val="20"/>
        </w:rPr>
        <w:t xml:space="preserve">ional Service for Human Rights); </w:t>
      </w:r>
      <w:r w:rsidR="00C62C76" w:rsidRPr="00C62C76">
        <w:rPr>
          <w:color w:val="000000" w:themeColor="text1"/>
          <w:sz w:val="20"/>
          <w:szCs w:val="20"/>
        </w:rPr>
        <w:t>Indian Council of South America (CISA)</w:t>
      </w:r>
      <w:r w:rsidR="00C62C76">
        <w:rPr>
          <w:color w:val="000000" w:themeColor="text1"/>
          <w:sz w:val="20"/>
          <w:szCs w:val="20"/>
        </w:rPr>
        <w:t xml:space="preserve">; </w:t>
      </w:r>
      <w:r w:rsidR="00C62C76" w:rsidRPr="00C62C76">
        <w:rPr>
          <w:color w:val="000000" w:themeColor="text1"/>
          <w:sz w:val="20"/>
          <w:szCs w:val="20"/>
        </w:rPr>
        <w:t xml:space="preserve">Indian Movement </w:t>
      </w:r>
      <w:r w:rsidR="00C62C76">
        <w:rPr>
          <w:color w:val="000000" w:themeColor="text1"/>
          <w:sz w:val="20"/>
          <w:szCs w:val="20"/>
        </w:rPr>
        <w:t xml:space="preserve">“Tupaj Amaru”; </w:t>
      </w:r>
      <w:r w:rsidR="00C62C76" w:rsidRPr="00C62C76">
        <w:rPr>
          <w:color w:val="000000" w:themeColor="text1"/>
          <w:sz w:val="20"/>
          <w:szCs w:val="20"/>
        </w:rPr>
        <w:t>Ingenieurs du Monde</w:t>
      </w:r>
      <w:r w:rsidR="00C62C76">
        <w:rPr>
          <w:color w:val="000000" w:themeColor="text1"/>
          <w:sz w:val="20"/>
          <w:szCs w:val="20"/>
        </w:rPr>
        <w:t xml:space="preserve">; </w:t>
      </w:r>
      <w:r w:rsidR="00C62C76" w:rsidRPr="00C62C76">
        <w:rPr>
          <w:color w:val="000000" w:themeColor="text1"/>
          <w:sz w:val="20"/>
          <w:szCs w:val="20"/>
        </w:rPr>
        <w:t>International Association for Democracy in Africa</w:t>
      </w:r>
      <w:r w:rsidR="00C62C76">
        <w:rPr>
          <w:color w:val="000000" w:themeColor="text1"/>
          <w:sz w:val="20"/>
          <w:szCs w:val="20"/>
        </w:rPr>
        <w:t xml:space="preserve">; </w:t>
      </w:r>
      <w:r w:rsidR="00C62C76" w:rsidRPr="00C62C76">
        <w:rPr>
          <w:color w:val="000000" w:themeColor="text1"/>
          <w:sz w:val="20"/>
          <w:szCs w:val="20"/>
        </w:rPr>
        <w:t>International Career Support Association</w:t>
      </w:r>
      <w:r w:rsidR="00C62C76">
        <w:rPr>
          <w:color w:val="000000" w:themeColor="text1"/>
          <w:sz w:val="20"/>
          <w:szCs w:val="20"/>
        </w:rPr>
        <w:t xml:space="preserve">; </w:t>
      </w:r>
      <w:r w:rsidR="00C62C76" w:rsidRPr="00C62C76">
        <w:rPr>
          <w:color w:val="000000" w:themeColor="text1"/>
          <w:sz w:val="20"/>
          <w:szCs w:val="20"/>
        </w:rPr>
        <w:t>International Federation for Human Rights Leagues</w:t>
      </w:r>
      <w:r w:rsidR="00C62C76">
        <w:rPr>
          <w:color w:val="000000" w:themeColor="text1"/>
          <w:sz w:val="20"/>
          <w:szCs w:val="20"/>
        </w:rPr>
        <w:t xml:space="preserve">; </w:t>
      </w:r>
      <w:r w:rsidR="00C62C76" w:rsidRPr="00C62C76">
        <w:rPr>
          <w:color w:val="000000" w:themeColor="text1"/>
          <w:sz w:val="20"/>
          <w:szCs w:val="20"/>
        </w:rPr>
        <w:t>International Muslim Women</w:t>
      </w:r>
      <w:r w:rsidR="00D72627">
        <w:rPr>
          <w:color w:val="000000" w:themeColor="text1"/>
          <w:sz w:val="20"/>
          <w:szCs w:val="20"/>
        </w:rPr>
        <w:t>’</w:t>
      </w:r>
      <w:r w:rsidR="00C62C76" w:rsidRPr="00C62C76">
        <w:rPr>
          <w:color w:val="000000" w:themeColor="text1"/>
          <w:sz w:val="20"/>
          <w:szCs w:val="20"/>
        </w:rPr>
        <w:t>s Union</w:t>
      </w:r>
      <w:r w:rsidR="00C62C76">
        <w:rPr>
          <w:color w:val="000000" w:themeColor="text1"/>
          <w:sz w:val="20"/>
          <w:szCs w:val="20"/>
        </w:rPr>
        <w:t xml:space="preserve">; </w:t>
      </w:r>
      <w:r w:rsidR="00C62C76" w:rsidRPr="00C62C76">
        <w:rPr>
          <w:color w:val="000000" w:themeColor="text1"/>
          <w:sz w:val="20"/>
          <w:szCs w:val="20"/>
        </w:rPr>
        <w:t>International Service for Human Rights</w:t>
      </w:r>
      <w:r w:rsidR="00C62C76">
        <w:rPr>
          <w:color w:val="000000" w:themeColor="text1"/>
          <w:sz w:val="20"/>
          <w:szCs w:val="20"/>
        </w:rPr>
        <w:t xml:space="preserve">; </w:t>
      </w:r>
      <w:r w:rsidR="00C62C76" w:rsidRPr="00C62C76">
        <w:rPr>
          <w:color w:val="000000" w:themeColor="text1"/>
          <w:sz w:val="20"/>
          <w:szCs w:val="20"/>
        </w:rPr>
        <w:t>Iraqi Development Organization</w:t>
      </w:r>
      <w:r w:rsidR="00C62C76">
        <w:rPr>
          <w:color w:val="000000" w:themeColor="text1"/>
          <w:sz w:val="20"/>
          <w:szCs w:val="20"/>
        </w:rPr>
        <w:t xml:space="preserve">; </w:t>
      </w:r>
      <w:r w:rsidR="00C62C76" w:rsidRPr="00C62C76">
        <w:rPr>
          <w:color w:val="000000" w:themeColor="text1"/>
          <w:sz w:val="20"/>
          <w:szCs w:val="20"/>
        </w:rPr>
        <w:t>Japanese Workers</w:t>
      </w:r>
      <w:r w:rsidR="00D72627">
        <w:rPr>
          <w:color w:val="000000" w:themeColor="text1"/>
          <w:sz w:val="20"/>
          <w:szCs w:val="20"/>
        </w:rPr>
        <w:t>’</w:t>
      </w:r>
      <w:r w:rsidR="00C62C76" w:rsidRPr="00C62C76">
        <w:rPr>
          <w:color w:val="000000" w:themeColor="text1"/>
          <w:sz w:val="20"/>
          <w:szCs w:val="20"/>
        </w:rPr>
        <w:t xml:space="preserve"> Committee for Human Rights</w:t>
      </w:r>
      <w:r w:rsidR="00C62C76">
        <w:rPr>
          <w:color w:val="000000" w:themeColor="text1"/>
          <w:sz w:val="20"/>
          <w:szCs w:val="20"/>
        </w:rPr>
        <w:t xml:space="preserve">; </w:t>
      </w:r>
      <w:r w:rsidR="00C62C76" w:rsidRPr="00C62C76">
        <w:rPr>
          <w:color w:val="000000" w:themeColor="text1"/>
          <w:sz w:val="20"/>
          <w:szCs w:val="20"/>
        </w:rPr>
        <w:t>Khiam Rehabilitation Center for Victims of Torture</w:t>
      </w:r>
      <w:r w:rsidR="00C62C76">
        <w:rPr>
          <w:color w:val="000000" w:themeColor="text1"/>
          <w:sz w:val="20"/>
          <w:szCs w:val="20"/>
        </w:rPr>
        <w:t xml:space="preserve">; </w:t>
      </w:r>
      <w:r w:rsidR="00C62C76" w:rsidRPr="00C62C76">
        <w:rPr>
          <w:color w:val="000000" w:themeColor="text1"/>
          <w:sz w:val="20"/>
          <w:szCs w:val="20"/>
        </w:rPr>
        <w:t>Lawyers</w:t>
      </w:r>
      <w:r w:rsidR="00D72627">
        <w:rPr>
          <w:color w:val="000000" w:themeColor="text1"/>
          <w:sz w:val="20"/>
          <w:szCs w:val="20"/>
        </w:rPr>
        <w:t>’</w:t>
      </w:r>
      <w:r w:rsidR="00C62C76" w:rsidRPr="00C62C76">
        <w:rPr>
          <w:color w:val="000000" w:themeColor="text1"/>
          <w:sz w:val="20"/>
          <w:szCs w:val="20"/>
        </w:rPr>
        <w:t xml:space="preserve"> Rights Watch Canada</w:t>
      </w:r>
      <w:r w:rsidR="00C62C76">
        <w:rPr>
          <w:color w:val="000000" w:themeColor="text1"/>
          <w:sz w:val="20"/>
          <w:szCs w:val="20"/>
        </w:rPr>
        <w:t xml:space="preserve">; </w:t>
      </w:r>
      <w:r w:rsidR="00C62C76" w:rsidRPr="00C62C76">
        <w:rPr>
          <w:color w:val="000000" w:themeColor="text1"/>
          <w:sz w:val="20"/>
          <w:szCs w:val="20"/>
        </w:rPr>
        <w:t>Le Pont</w:t>
      </w:r>
      <w:r w:rsidR="00C62C76">
        <w:rPr>
          <w:color w:val="000000" w:themeColor="text1"/>
          <w:sz w:val="20"/>
          <w:szCs w:val="20"/>
        </w:rPr>
        <w:t xml:space="preserve">; </w:t>
      </w:r>
      <w:r w:rsidR="00C62C76" w:rsidRPr="00C62C76">
        <w:rPr>
          <w:color w:val="000000" w:themeColor="text1"/>
          <w:sz w:val="20"/>
          <w:szCs w:val="20"/>
        </w:rPr>
        <w:t>Maat for Peace, Development and Human Rights Association</w:t>
      </w:r>
      <w:r w:rsidR="00C62C76">
        <w:rPr>
          <w:color w:val="000000" w:themeColor="text1"/>
          <w:sz w:val="20"/>
          <w:szCs w:val="20"/>
        </w:rPr>
        <w:t xml:space="preserve">; </w:t>
      </w:r>
      <w:r w:rsidR="00C62C76" w:rsidRPr="00C62C76">
        <w:rPr>
          <w:color w:val="000000" w:themeColor="text1"/>
          <w:sz w:val="20"/>
          <w:szCs w:val="20"/>
        </w:rPr>
        <w:t>Mbororo Social and Cultural Development Association</w:t>
      </w:r>
      <w:r w:rsidR="00C62C76">
        <w:rPr>
          <w:color w:val="000000" w:themeColor="text1"/>
          <w:sz w:val="20"/>
          <w:szCs w:val="20"/>
        </w:rPr>
        <w:t xml:space="preserve">; </w:t>
      </w:r>
      <w:r w:rsidR="00C62C76" w:rsidRPr="00C62C76">
        <w:rPr>
          <w:color w:val="000000" w:themeColor="text1"/>
          <w:sz w:val="20"/>
          <w:szCs w:val="20"/>
        </w:rPr>
        <w:t>Minority Rights Group</w:t>
      </w:r>
      <w:r w:rsidR="00C62C76">
        <w:rPr>
          <w:color w:val="000000" w:themeColor="text1"/>
          <w:sz w:val="20"/>
          <w:szCs w:val="20"/>
        </w:rPr>
        <w:t xml:space="preserve">; </w:t>
      </w:r>
      <w:r w:rsidR="00C62C76" w:rsidRPr="00C62C76">
        <w:rPr>
          <w:color w:val="000000" w:themeColor="text1"/>
          <w:sz w:val="20"/>
          <w:szCs w:val="20"/>
        </w:rPr>
        <w:t>Mouvement contre le racisme et pour l</w:t>
      </w:r>
      <w:r w:rsidR="00D72627">
        <w:rPr>
          <w:color w:val="000000" w:themeColor="text1"/>
          <w:sz w:val="20"/>
          <w:szCs w:val="20"/>
        </w:rPr>
        <w:t>’</w:t>
      </w:r>
      <w:r w:rsidR="00C62C76" w:rsidRPr="00C62C76">
        <w:rPr>
          <w:color w:val="000000" w:themeColor="text1"/>
          <w:sz w:val="20"/>
          <w:szCs w:val="20"/>
        </w:rPr>
        <w:t xml:space="preserve">amitié entre les </w:t>
      </w:r>
      <w:r w:rsidR="00C62C76">
        <w:rPr>
          <w:color w:val="000000" w:themeColor="text1"/>
          <w:sz w:val="20"/>
          <w:szCs w:val="20"/>
        </w:rPr>
        <w:t xml:space="preserve">peoples; </w:t>
      </w:r>
      <w:r w:rsidR="00C62C76" w:rsidRPr="00C62C76">
        <w:rPr>
          <w:color w:val="000000" w:themeColor="text1"/>
          <w:sz w:val="20"/>
          <w:szCs w:val="20"/>
        </w:rPr>
        <w:t>National Association of Cuban Economists</w:t>
      </w:r>
      <w:r w:rsidR="00C62C76">
        <w:rPr>
          <w:color w:val="000000" w:themeColor="text1"/>
          <w:sz w:val="20"/>
          <w:szCs w:val="20"/>
        </w:rPr>
        <w:t xml:space="preserve">; </w:t>
      </w:r>
      <w:r w:rsidR="00C62C76" w:rsidRPr="00C62C76">
        <w:rPr>
          <w:color w:val="000000" w:themeColor="text1"/>
          <w:sz w:val="20"/>
          <w:szCs w:val="20"/>
        </w:rPr>
        <w:t>National Union of Jurists of Cuba, The</w:t>
      </w:r>
      <w:r w:rsidR="00C62C76">
        <w:rPr>
          <w:color w:val="000000" w:themeColor="text1"/>
          <w:sz w:val="20"/>
          <w:szCs w:val="20"/>
        </w:rPr>
        <w:t xml:space="preserve">; </w:t>
      </w:r>
      <w:r w:rsidR="00C62C76" w:rsidRPr="00C62C76">
        <w:rPr>
          <w:color w:val="000000" w:themeColor="text1"/>
          <w:sz w:val="20"/>
          <w:szCs w:val="20"/>
        </w:rPr>
        <w:t>Organisation internationale pour les pays les moins avancés (OIPMA)</w:t>
      </w:r>
      <w:r w:rsidR="00C62C76">
        <w:rPr>
          <w:color w:val="000000" w:themeColor="text1"/>
          <w:sz w:val="20"/>
          <w:szCs w:val="20"/>
        </w:rPr>
        <w:t xml:space="preserve">; </w:t>
      </w:r>
      <w:r w:rsidR="00C62C76" w:rsidRPr="00C62C76">
        <w:rPr>
          <w:color w:val="000000" w:themeColor="text1"/>
          <w:sz w:val="20"/>
          <w:szCs w:val="20"/>
        </w:rPr>
        <w:t>Organization for Defending Victims of Violence</w:t>
      </w:r>
      <w:r w:rsidR="00C62C76">
        <w:rPr>
          <w:color w:val="000000" w:themeColor="text1"/>
          <w:sz w:val="20"/>
          <w:szCs w:val="20"/>
        </w:rPr>
        <w:t xml:space="preserve">; </w:t>
      </w:r>
      <w:r w:rsidR="00C62C76" w:rsidRPr="00C62C76">
        <w:rPr>
          <w:color w:val="000000" w:themeColor="text1"/>
          <w:sz w:val="20"/>
          <w:szCs w:val="20"/>
        </w:rPr>
        <w:t>Pan African Union for Science and Technology</w:t>
      </w:r>
      <w:r w:rsidR="00C62C76">
        <w:rPr>
          <w:color w:val="000000" w:themeColor="text1"/>
          <w:sz w:val="20"/>
          <w:szCs w:val="20"/>
        </w:rPr>
        <w:t xml:space="preserve">; </w:t>
      </w:r>
      <w:r w:rsidR="00C62C76" w:rsidRPr="00C62C76">
        <w:rPr>
          <w:color w:val="000000" w:themeColor="text1"/>
          <w:sz w:val="20"/>
          <w:szCs w:val="20"/>
        </w:rPr>
        <w:t>Pasumai Thaayagam Foundation</w:t>
      </w:r>
      <w:r w:rsidR="00C62C76">
        <w:rPr>
          <w:color w:val="000000" w:themeColor="text1"/>
          <w:sz w:val="20"/>
          <w:szCs w:val="20"/>
        </w:rPr>
        <w:t xml:space="preserve">; </w:t>
      </w:r>
      <w:r w:rsidR="00C62C76" w:rsidRPr="00C62C76">
        <w:rPr>
          <w:color w:val="000000" w:themeColor="text1"/>
          <w:sz w:val="20"/>
          <w:szCs w:val="20"/>
        </w:rPr>
        <w:t>Prahar</w:t>
      </w:r>
      <w:r w:rsidR="00C62C76">
        <w:rPr>
          <w:color w:val="000000" w:themeColor="text1"/>
          <w:sz w:val="20"/>
          <w:szCs w:val="20"/>
        </w:rPr>
        <w:t xml:space="preserve">; </w:t>
      </w:r>
      <w:r w:rsidR="00C62C76" w:rsidRPr="00C62C76">
        <w:rPr>
          <w:color w:val="000000" w:themeColor="text1"/>
          <w:sz w:val="20"/>
          <w:szCs w:val="20"/>
        </w:rPr>
        <w:t>Rencontre Africaine pour la defense des droits de l</w:t>
      </w:r>
      <w:r w:rsidR="00D72627">
        <w:rPr>
          <w:color w:val="000000" w:themeColor="text1"/>
          <w:sz w:val="20"/>
          <w:szCs w:val="20"/>
        </w:rPr>
        <w:t>’</w:t>
      </w:r>
      <w:r w:rsidR="00C62C76" w:rsidRPr="00C62C76">
        <w:rPr>
          <w:color w:val="000000" w:themeColor="text1"/>
          <w:sz w:val="20"/>
          <w:szCs w:val="20"/>
        </w:rPr>
        <w:t>homme</w:t>
      </w:r>
      <w:r w:rsidR="00C62C76">
        <w:rPr>
          <w:color w:val="000000" w:themeColor="text1"/>
          <w:sz w:val="20"/>
          <w:szCs w:val="20"/>
        </w:rPr>
        <w:t xml:space="preserve">; </w:t>
      </w:r>
      <w:r w:rsidR="00C62C76" w:rsidRPr="00C62C76">
        <w:rPr>
          <w:color w:val="000000" w:themeColor="text1"/>
          <w:sz w:val="20"/>
          <w:szCs w:val="20"/>
        </w:rPr>
        <w:t>Réseau International des Droits Humains (RIDH)</w:t>
      </w:r>
      <w:r w:rsidR="00C62C76">
        <w:rPr>
          <w:color w:val="000000" w:themeColor="text1"/>
          <w:sz w:val="20"/>
          <w:szCs w:val="20"/>
        </w:rPr>
        <w:t xml:space="preserve">; </w:t>
      </w:r>
      <w:r w:rsidR="00C62C76" w:rsidRPr="00C62C76">
        <w:rPr>
          <w:color w:val="000000" w:themeColor="text1"/>
          <w:sz w:val="20"/>
          <w:szCs w:val="20"/>
        </w:rPr>
        <w:t>Sikh Human Rights Group</w:t>
      </w:r>
      <w:r w:rsidR="00C62C76">
        <w:rPr>
          <w:color w:val="000000" w:themeColor="text1"/>
          <w:sz w:val="20"/>
          <w:szCs w:val="20"/>
        </w:rPr>
        <w:t xml:space="preserve">; </w:t>
      </w:r>
      <w:r w:rsidR="00C62C76" w:rsidRPr="00C62C76">
        <w:rPr>
          <w:color w:val="000000" w:themeColor="text1"/>
          <w:sz w:val="20"/>
          <w:szCs w:val="20"/>
        </w:rPr>
        <w:t>Solidarité Agissante pour le Devéloppement Familial (SADF)</w:t>
      </w:r>
      <w:r w:rsidR="00C62C76">
        <w:rPr>
          <w:color w:val="000000" w:themeColor="text1"/>
          <w:sz w:val="20"/>
          <w:szCs w:val="20"/>
        </w:rPr>
        <w:t xml:space="preserve">; </w:t>
      </w:r>
      <w:r w:rsidR="00C62C76" w:rsidRPr="00C62C76">
        <w:rPr>
          <w:color w:val="000000" w:themeColor="text1"/>
          <w:sz w:val="20"/>
          <w:szCs w:val="20"/>
        </w:rPr>
        <w:t>Solidarité Suisse-Guinée</w:t>
      </w:r>
      <w:r w:rsidR="00C62C76">
        <w:rPr>
          <w:color w:val="000000" w:themeColor="text1"/>
          <w:sz w:val="20"/>
          <w:szCs w:val="20"/>
        </w:rPr>
        <w:t xml:space="preserve">; </w:t>
      </w:r>
      <w:r w:rsidR="00C62C76" w:rsidRPr="00C62C76">
        <w:rPr>
          <w:color w:val="000000" w:themeColor="text1"/>
          <w:sz w:val="20"/>
          <w:szCs w:val="20"/>
        </w:rPr>
        <w:t>United Nations Watch</w:t>
      </w:r>
      <w:r w:rsidR="00C62C76">
        <w:rPr>
          <w:color w:val="000000" w:themeColor="text1"/>
          <w:sz w:val="20"/>
          <w:szCs w:val="20"/>
        </w:rPr>
        <w:t xml:space="preserve">; </w:t>
      </w:r>
      <w:r w:rsidR="00C62C76" w:rsidRPr="00C62C76">
        <w:rPr>
          <w:color w:val="000000" w:themeColor="text1"/>
          <w:sz w:val="20"/>
          <w:szCs w:val="20"/>
        </w:rPr>
        <w:t>United Schools International</w:t>
      </w:r>
      <w:r w:rsidR="00C62C76">
        <w:rPr>
          <w:color w:val="000000" w:themeColor="text1"/>
          <w:sz w:val="20"/>
          <w:szCs w:val="20"/>
        </w:rPr>
        <w:t xml:space="preserve">; </w:t>
      </w:r>
      <w:r w:rsidR="00C62C76" w:rsidRPr="00C62C76">
        <w:rPr>
          <w:color w:val="000000" w:themeColor="text1"/>
          <w:sz w:val="20"/>
          <w:szCs w:val="20"/>
        </w:rPr>
        <w:t>Verein Sudwind Entwicklungspolitik</w:t>
      </w:r>
      <w:r w:rsidR="00C62C76">
        <w:rPr>
          <w:color w:val="000000" w:themeColor="text1"/>
          <w:sz w:val="20"/>
          <w:szCs w:val="20"/>
        </w:rPr>
        <w:t xml:space="preserve">; </w:t>
      </w:r>
      <w:r w:rsidR="00C62C76" w:rsidRPr="00C62C76">
        <w:rPr>
          <w:color w:val="000000" w:themeColor="text1"/>
          <w:sz w:val="20"/>
          <w:szCs w:val="20"/>
        </w:rPr>
        <w:t>Villages Unis (United Villages)</w:t>
      </w:r>
      <w:r w:rsidR="00C62C76">
        <w:rPr>
          <w:color w:val="000000" w:themeColor="text1"/>
          <w:sz w:val="20"/>
          <w:szCs w:val="20"/>
        </w:rPr>
        <w:t xml:space="preserve">; </w:t>
      </w:r>
      <w:r w:rsidR="00C62C76" w:rsidRPr="00C62C76">
        <w:rPr>
          <w:color w:val="000000" w:themeColor="text1"/>
          <w:sz w:val="20"/>
          <w:szCs w:val="20"/>
        </w:rPr>
        <w:t>World Environment and Resources Council (WERC)</w:t>
      </w:r>
      <w:r w:rsidR="00C62C76">
        <w:rPr>
          <w:color w:val="000000" w:themeColor="text1"/>
          <w:sz w:val="20"/>
          <w:szCs w:val="20"/>
        </w:rPr>
        <w:t xml:space="preserve">; </w:t>
      </w:r>
      <w:r w:rsidR="00C62C76" w:rsidRPr="00C62C76">
        <w:rPr>
          <w:color w:val="000000" w:themeColor="text1"/>
          <w:sz w:val="20"/>
          <w:szCs w:val="20"/>
        </w:rPr>
        <w:t>World Jewish Congress</w:t>
      </w:r>
      <w:r w:rsidR="00C62C76">
        <w:rPr>
          <w:color w:val="000000" w:themeColor="text1"/>
          <w:sz w:val="20"/>
          <w:szCs w:val="20"/>
        </w:rPr>
        <w:t xml:space="preserve">; </w:t>
      </w:r>
      <w:r w:rsidR="00C62C76" w:rsidRPr="00C62C76">
        <w:rPr>
          <w:color w:val="000000" w:themeColor="text1"/>
          <w:sz w:val="20"/>
          <w:szCs w:val="20"/>
        </w:rPr>
        <w:t>World Muslim Congress</w:t>
      </w:r>
      <w:r w:rsidRPr="0067399B">
        <w:rPr>
          <w:color w:val="000000" w:themeColor="text1"/>
          <w:sz w:val="20"/>
          <w:szCs w:val="20"/>
        </w:rPr>
        <w:t>.</w:t>
      </w:r>
    </w:p>
    <w:p w14:paraId="180D11AD" w14:textId="77777777" w:rsidR="00F3511E" w:rsidRPr="0067399B" w:rsidRDefault="00F3511E" w:rsidP="00C43AA9">
      <w:pPr>
        <w:pStyle w:val="SingleTxtG"/>
        <w:rPr>
          <w:color w:val="000000" w:themeColor="text1"/>
          <w:sz w:val="20"/>
          <w:szCs w:val="20"/>
        </w:rPr>
      </w:pPr>
    </w:p>
    <w:p w14:paraId="2EA58ACC" w14:textId="77777777" w:rsidR="00F11B08" w:rsidRPr="00323457" w:rsidRDefault="00F11B08" w:rsidP="003C7A02">
      <w:pPr>
        <w:pStyle w:val="HChG"/>
        <w:rPr>
          <w:color w:val="000000" w:themeColor="text1"/>
        </w:rPr>
      </w:pPr>
      <w:r w:rsidRPr="00C16037">
        <w:rPr>
          <w:color w:val="000000" w:themeColor="text1"/>
        </w:rPr>
        <w:br w:type="page"/>
      </w:r>
      <w:r w:rsidRPr="00C16037">
        <w:rPr>
          <w:color w:val="000000" w:themeColor="text1"/>
        </w:rPr>
        <w:lastRenderedPageBreak/>
        <w:tab/>
      </w:r>
      <w:r w:rsidRPr="00323457">
        <w:rPr>
          <w:color w:val="000000" w:themeColor="text1"/>
        </w:rPr>
        <w:t>VI.</w:t>
      </w:r>
      <w:r w:rsidRPr="00323457">
        <w:rPr>
          <w:color w:val="000000" w:themeColor="text1"/>
        </w:rPr>
        <w:tab/>
        <w:t>Universal periodic review</w:t>
      </w:r>
    </w:p>
    <w:p w14:paraId="04FDA3CA" w14:textId="4C5FC09B" w:rsidR="00323457" w:rsidRPr="0059638B" w:rsidRDefault="00583EAF" w:rsidP="00323457">
      <w:pPr>
        <w:pStyle w:val="SingleTxtG"/>
        <w:rPr>
          <w:sz w:val="20"/>
          <w:szCs w:val="20"/>
        </w:rPr>
      </w:pPr>
      <w:r>
        <w:rPr>
          <w:sz w:val="20"/>
          <w:szCs w:val="20"/>
        </w:rPr>
        <w:t>323</w:t>
      </w:r>
      <w:r w:rsidR="00007F04">
        <w:rPr>
          <w:sz w:val="20"/>
          <w:szCs w:val="20"/>
        </w:rPr>
        <w:t>.</w:t>
      </w:r>
      <w:r w:rsidR="00007F04">
        <w:rPr>
          <w:sz w:val="20"/>
          <w:szCs w:val="20"/>
        </w:rPr>
        <w:tab/>
      </w:r>
      <w:r w:rsidR="00323457" w:rsidRPr="0059638B">
        <w:rPr>
          <w:sz w:val="20"/>
          <w:szCs w:val="20"/>
        </w:rPr>
        <w:t>Pursuant to General Assembly resolution 60/251, Human Rights Council resolutions 5/1 and 16/21, Council decision 17/119 and President</w:t>
      </w:r>
      <w:r w:rsidR="00D72627">
        <w:rPr>
          <w:sz w:val="20"/>
          <w:szCs w:val="20"/>
        </w:rPr>
        <w:t>’</w:t>
      </w:r>
      <w:r w:rsidR="00323457" w:rsidRPr="0059638B">
        <w:rPr>
          <w:sz w:val="20"/>
          <w:szCs w:val="20"/>
        </w:rPr>
        <w:t>s statements 8/1 and 9/2 on modalities and practices for the universal periodic review process, the Council considered the outcome of the reviews conducted during the thirty-first session of the Working Group on the Universal Periodic Review, held from 5 to 17 November 2018.</w:t>
      </w:r>
    </w:p>
    <w:p w14:paraId="11814045" w14:textId="3D2A0EC1" w:rsidR="00323457" w:rsidRPr="0059638B" w:rsidRDefault="00583EAF" w:rsidP="00323457">
      <w:pPr>
        <w:pStyle w:val="SingleTxtG"/>
        <w:rPr>
          <w:sz w:val="20"/>
          <w:szCs w:val="20"/>
        </w:rPr>
      </w:pPr>
      <w:r>
        <w:rPr>
          <w:sz w:val="20"/>
          <w:szCs w:val="20"/>
        </w:rPr>
        <w:t>324</w:t>
      </w:r>
      <w:r w:rsidR="00007F04">
        <w:rPr>
          <w:sz w:val="20"/>
          <w:szCs w:val="20"/>
        </w:rPr>
        <w:t>.</w:t>
      </w:r>
      <w:r w:rsidR="00007F04">
        <w:rPr>
          <w:sz w:val="20"/>
          <w:szCs w:val="20"/>
        </w:rPr>
        <w:tab/>
      </w:r>
      <w:r w:rsidR="00323457" w:rsidRPr="0059638B">
        <w:rPr>
          <w:sz w:val="20"/>
          <w:szCs w:val="20"/>
        </w:rPr>
        <w:t>In accordance with resolution 5/1, the President recalled that all recommendations must be part of the final outcome of the universal periodic review and accordingly, the State under review should clearly communicate its position on all recommendations by indicating that it either</w:t>
      </w:r>
      <w:r w:rsidR="00323457" w:rsidRPr="0059638B" w:rsidDel="007A0A79">
        <w:rPr>
          <w:sz w:val="20"/>
          <w:szCs w:val="20"/>
        </w:rPr>
        <w:t xml:space="preserve"> </w:t>
      </w:r>
      <w:r w:rsidR="00323457" w:rsidRPr="0059638B">
        <w:rPr>
          <w:sz w:val="20"/>
          <w:szCs w:val="20"/>
        </w:rPr>
        <w:t>“supports” or “notes” them.</w:t>
      </w:r>
    </w:p>
    <w:p w14:paraId="268B6046" w14:textId="77777777" w:rsidR="00323457" w:rsidRPr="00323457" w:rsidRDefault="00323457" w:rsidP="00323457">
      <w:pPr>
        <w:pStyle w:val="H1G"/>
        <w:rPr>
          <w:color w:val="000000" w:themeColor="text1"/>
        </w:rPr>
      </w:pPr>
      <w:r w:rsidRPr="00323457">
        <w:rPr>
          <w:color w:val="000000" w:themeColor="text1"/>
        </w:rPr>
        <w:tab/>
        <w:t>A.</w:t>
      </w:r>
      <w:r w:rsidRPr="00323457">
        <w:rPr>
          <w:color w:val="000000" w:themeColor="text1"/>
        </w:rPr>
        <w:tab/>
        <w:t>Consideration of the universal periodic review outcomes</w:t>
      </w:r>
    </w:p>
    <w:p w14:paraId="4BF922AA" w14:textId="7DB0CBDB" w:rsidR="00323457" w:rsidRPr="0059638B" w:rsidRDefault="00583EAF" w:rsidP="00323457">
      <w:pPr>
        <w:pStyle w:val="SingleTxtG"/>
        <w:rPr>
          <w:sz w:val="20"/>
          <w:szCs w:val="20"/>
        </w:rPr>
      </w:pPr>
      <w:r>
        <w:rPr>
          <w:sz w:val="20"/>
          <w:szCs w:val="20"/>
        </w:rPr>
        <w:t>325</w:t>
      </w:r>
      <w:r w:rsidR="00007F04">
        <w:rPr>
          <w:sz w:val="20"/>
          <w:szCs w:val="20"/>
        </w:rPr>
        <w:t>.</w:t>
      </w:r>
      <w:r w:rsidR="00007F04">
        <w:rPr>
          <w:sz w:val="20"/>
          <w:szCs w:val="20"/>
        </w:rPr>
        <w:tab/>
      </w:r>
      <w:r w:rsidR="00323457" w:rsidRPr="0059638B">
        <w:rPr>
          <w:sz w:val="20"/>
          <w:szCs w:val="20"/>
        </w:rPr>
        <w:t>In accordance with paragraph 14 of President</w:t>
      </w:r>
      <w:r w:rsidR="00D72627">
        <w:rPr>
          <w:sz w:val="20"/>
          <w:szCs w:val="20"/>
        </w:rPr>
        <w:t>’</w:t>
      </w:r>
      <w:r w:rsidR="00323457" w:rsidRPr="0059638B">
        <w:rPr>
          <w:sz w:val="20"/>
          <w:szCs w:val="20"/>
        </w:rPr>
        <w:t>s statement 8/1, section 1 below contains a summary of the views expressed on the outcome of the review by the State under review and by Member and observer States of the Council, as well as general comments made by other stakeholders before the adoption of the outcome by the plenary.</w:t>
      </w:r>
    </w:p>
    <w:p w14:paraId="2FB3A74E" w14:textId="77777777" w:rsidR="00323457" w:rsidRPr="0059638B" w:rsidRDefault="00323457" w:rsidP="00323457">
      <w:pPr>
        <w:pStyle w:val="SingleTxtG"/>
        <w:rPr>
          <w:b/>
          <w:bCs/>
          <w:sz w:val="20"/>
          <w:szCs w:val="20"/>
        </w:rPr>
      </w:pPr>
      <w:r w:rsidRPr="0059638B">
        <w:rPr>
          <w:b/>
          <w:bCs/>
          <w:sz w:val="20"/>
          <w:szCs w:val="20"/>
        </w:rPr>
        <w:t>Saudi Arabia</w:t>
      </w:r>
    </w:p>
    <w:p w14:paraId="1A26231F" w14:textId="08C592D6" w:rsidR="00323457" w:rsidRPr="0059638B" w:rsidRDefault="00583EAF" w:rsidP="00323457">
      <w:pPr>
        <w:pStyle w:val="SingleTxtG"/>
        <w:rPr>
          <w:sz w:val="20"/>
          <w:szCs w:val="20"/>
        </w:rPr>
      </w:pPr>
      <w:r>
        <w:rPr>
          <w:sz w:val="20"/>
          <w:szCs w:val="20"/>
        </w:rPr>
        <w:t>326</w:t>
      </w:r>
      <w:r w:rsidR="00007F04">
        <w:rPr>
          <w:sz w:val="20"/>
          <w:szCs w:val="20"/>
        </w:rPr>
        <w:t>.</w:t>
      </w:r>
      <w:r w:rsidR="00007F04">
        <w:rPr>
          <w:sz w:val="20"/>
          <w:szCs w:val="20"/>
        </w:rPr>
        <w:tab/>
      </w:r>
      <w:r w:rsidR="00323457" w:rsidRPr="0059638B">
        <w:rPr>
          <w:sz w:val="20"/>
          <w:szCs w:val="20"/>
        </w:rPr>
        <w:t xml:space="preserve">The review of Saudi Arabia was held on 5 November 2018 in conformity with all the relevant provisions contained in relevant Human Rights Council resolutions and decisions, and was based on the following documents: </w:t>
      </w:r>
    </w:p>
    <w:p w14:paraId="441E1030" w14:textId="77777777" w:rsidR="00323457" w:rsidRPr="00323457" w:rsidRDefault="00323457" w:rsidP="00323457">
      <w:pPr>
        <w:pStyle w:val="SingleTxtG"/>
        <w:ind w:firstLine="567"/>
        <w:rPr>
          <w:color w:val="000000" w:themeColor="text1"/>
          <w:sz w:val="20"/>
          <w:szCs w:val="20"/>
        </w:rPr>
      </w:pPr>
      <w:r w:rsidRPr="00323457">
        <w:rPr>
          <w:color w:val="000000" w:themeColor="text1"/>
          <w:sz w:val="20"/>
          <w:szCs w:val="20"/>
        </w:rPr>
        <w:t>(a)</w:t>
      </w:r>
      <w:r w:rsidRPr="00323457">
        <w:rPr>
          <w:color w:val="000000" w:themeColor="text1"/>
          <w:sz w:val="20"/>
          <w:szCs w:val="20"/>
        </w:rPr>
        <w:tab/>
        <w:t xml:space="preserve">The national report submitted by Saudi Arabia in accordance with paragraph 15 of the annex to Council resolution 5/1 and paragraph 5 of the annex to Council resolution 16/21 (A/HRC/WG.6/31/SAU/1); </w:t>
      </w:r>
    </w:p>
    <w:p w14:paraId="505FD68E" w14:textId="0E26CCCC" w:rsidR="00323457" w:rsidRPr="00323457" w:rsidRDefault="00323457" w:rsidP="00323457">
      <w:pPr>
        <w:pStyle w:val="SingleTxtG"/>
        <w:ind w:firstLine="567"/>
        <w:rPr>
          <w:color w:val="000000" w:themeColor="text1"/>
          <w:sz w:val="20"/>
          <w:szCs w:val="20"/>
        </w:rPr>
      </w:pPr>
      <w:r w:rsidRPr="00323457">
        <w:rPr>
          <w:color w:val="000000" w:themeColor="text1"/>
          <w:sz w:val="20"/>
          <w:szCs w:val="20"/>
        </w:rPr>
        <w:t>(b)</w:t>
      </w:r>
      <w:r w:rsidRPr="00323457">
        <w:rPr>
          <w:color w:val="000000" w:themeColor="text1"/>
          <w:sz w:val="20"/>
          <w:szCs w:val="20"/>
        </w:rPr>
        <w:tab/>
        <w:t xml:space="preserve">The compilation prepared by </w:t>
      </w:r>
      <w:r w:rsidRPr="00805366">
        <w:rPr>
          <w:color w:val="000000" w:themeColor="text1"/>
          <w:sz w:val="20"/>
          <w:szCs w:val="20"/>
        </w:rPr>
        <w:t>Office of the United Nations High Commissioner for Human Rights</w:t>
      </w:r>
      <w:r w:rsidRPr="00323457">
        <w:rPr>
          <w:color w:val="000000" w:themeColor="text1"/>
          <w:sz w:val="20"/>
          <w:szCs w:val="20"/>
        </w:rPr>
        <w:t xml:space="preserve"> in accordance with paragraph 15 of the annex to Council resolution 5/1 and paragraph 5 of the annex to Council resolution 16/21 (A/HRC/WG.6/31/SAU/2); </w:t>
      </w:r>
    </w:p>
    <w:p w14:paraId="07B6EC9E" w14:textId="1B7E0EF1" w:rsidR="00323457" w:rsidRPr="00323457" w:rsidRDefault="00323457" w:rsidP="00323457">
      <w:pPr>
        <w:pStyle w:val="SingleTxtG"/>
        <w:ind w:firstLine="567"/>
        <w:rPr>
          <w:color w:val="000000" w:themeColor="text1"/>
          <w:sz w:val="20"/>
          <w:szCs w:val="20"/>
        </w:rPr>
      </w:pPr>
      <w:r w:rsidRPr="00323457">
        <w:rPr>
          <w:color w:val="000000" w:themeColor="text1"/>
          <w:sz w:val="20"/>
          <w:szCs w:val="20"/>
        </w:rPr>
        <w:t>(c)</w:t>
      </w:r>
      <w:r w:rsidRPr="00323457">
        <w:rPr>
          <w:color w:val="000000" w:themeColor="text1"/>
          <w:sz w:val="20"/>
          <w:szCs w:val="20"/>
        </w:rPr>
        <w:tab/>
        <w:t xml:space="preserve">The summary prepared by </w:t>
      </w:r>
      <w:r w:rsidRPr="00805366">
        <w:rPr>
          <w:color w:val="000000" w:themeColor="text1"/>
          <w:sz w:val="20"/>
          <w:szCs w:val="20"/>
        </w:rPr>
        <w:t>Office of the United Nations High Commissioner for Human Rights</w:t>
      </w:r>
      <w:r w:rsidRPr="00323457">
        <w:rPr>
          <w:color w:val="000000" w:themeColor="text1"/>
          <w:sz w:val="20"/>
          <w:szCs w:val="20"/>
        </w:rPr>
        <w:t xml:space="preserve"> in accordance with paragraph 15 of the annex to Council resolution 5/1 and paragraph 5 of the annex to Council resolution 16/21 (A/HRC/WG.6/31/SAU/3).</w:t>
      </w:r>
    </w:p>
    <w:p w14:paraId="0FA01383" w14:textId="4123C4FF" w:rsidR="00323457" w:rsidRPr="0059638B" w:rsidRDefault="00583EAF" w:rsidP="00323457">
      <w:pPr>
        <w:pStyle w:val="SingleTxtG"/>
        <w:rPr>
          <w:sz w:val="20"/>
          <w:szCs w:val="20"/>
        </w:rPr>
      </w:pPr>
      <w:r>
        <w:rPr>
          <w:sz w:val="20"/>
          <w:szCs w:val="20"/>
        </w:rPr>
        <w:t>327</w:t>
      </w:r>
      <w:r w:rsidR="00007F04">
        <w:rPr>
          <w:sz w:val="20"/>
          <w:szCs w:val="20"/>
        </w:rPr>
        <w:t>.</w:t>
      </w:r>
      <w:r w:rsidR="00007F04">
        <w:rPr>
          <w:sz w:val="20"/>
          <w:szCs w:val="20"/>
        </w:rPr>
        <w:tab/>
      </w:r>
      <w:r w:rsidR="00323457" w:rsidRPr="0059638B">
        <w:rPr>
          <w:sz w:val="20"/>
          <w:szCs w:val="20"/>
        </w:rPr>
        <w:t>At its 35th meeting, on 14 March 2019, the Human Rights Council considered and adopted the outcome of the review of Saudi Arabia (see sect. C below).</w:t>
      </w:r>
    </w:p>
    <w:p w14:paraId="0B193F37" w14:textId="2A66CCF5" w:rsidR="00323457" w:rsidRPr="0059638B" w:rsidRDefault="00583EAF" w:rsidP="00323457">
      <w:pPr>
        <w:pStyle w:val="SingleTxtG"/>
        <w:rPr>
          <w:color w:val="FF0000"/>
          <w:sz w:val="20"/>
          <w:szCs w:val="20"/>
        </w:rPr>
      </w:pPr>
      <w:r>
        <w:rPr>
          <w:sz w:val="20"/>
          <w:szCs w:val="20"/>
        </w:rPr>
        <w:t>328</w:t>
      </w:r>
      <w:r w:rsidR="00007F04">
        <w:rPr>
          <w:sz w:val="20"/>
          <w:szCs w:val="20"/>
        </w:rPr>
        <w:t>.</w:t>
      </w:r>
      <w:r w:rsidR="00007F04">
        <w:rPr>
          <w:sz w:val="20"/>
          <w:szCs w:val="20"/>
        </w:rPr>
        <w:tab/>
      </w:r>
      <w:r w:rsidR="00323457" w:rsidRPr="0059638B">
        <w:rPr>
          <w:sz w:val="20"/>
          <w:szCs w:val="20"/>
        </w:rPr>
        <w:t>The outcome of the review of Saudi Arabia comprises the report of the Working Group on the Universal Periodic Review (A/HRC/40/4) and the views of Saudi Arabia concerning the recommendations and/or conclusions, as well as its voluntary commitments and its replies to questions or issues that were not sufficiently addressed during the interactive dialogue in the Working Group, and which were presented before the adoption of the outcome by the plenary (see also A/HRC/40/4/Add.1).</w:t>
      </w:r>
    </w:p>
    <w:p w14:paraId="629AE46A" w14:textId="77777777" w:rsidR="00323457" w:rsidRPr="0059638B" w:rsidRDefault="00323457" w:rsidP="00323457">
      <w:pPr>
        <w:pStyle w:val="H23G"/>
        <w:rPr>
          <w:sz w:val="20"/>
          <w:szCs w:val="20"/>
        </w:rPr>
      </w:pPr>
      <w:r w:rsidRPr="0059638B">
        <w:rPr>
          <w:sz w:val="20"/>
          <w:szCs w:val="20"/>
        </w:rPr>
        <w:tab/>
        <w:t>1.</w:t>
      </w:r>
      <w:r w:rsidRPr="0059638B">
        <w:rPr>
          <w:sz w:val="20"/>
          <w:szCs w:val="20"/>
        </w:rPr>
        <w:tab/>
        <w:t>Views expressed by the State under review on the recommendations and/or conclusions, its voluntary commitments and the outcome</w:t>
      </w:r>
    </w:p>
    <w:p w14:paraId="6B39A2A1" w14:textId="1682DA9E" w:rsidR="00323457" w:rsidRPr="0059638B" w:rsidRDefault="00583EAF" w:rsidP="00323457">
      <w:pPr>
        <w:pStyle w:val="SingleTxtG"/>
        <w:rPr>
          <w:sz w:val="20"/>
          <w:szCs w:val="20"/>
        </w:rPr>
      </w:pPr>
      <w:r>
        <w:rPr>
          <w:sz w:val="20"/>
          <w:szCs w:val="20"/>
        </w:rPr>
        <w:t>329</w:t>
      </w:r>
      <w:r w:rsidR="00007F04">
        <w:rPr>
          <w:sz w:val="20"/>
          <w:szCs w:val="20"/>
        </w:rPr>
        <w:t>.</w:t>
      </w:r>
      <w:r w:rsidR="00007F04">
        <w:rPr>
          <w:sz w:val="20"/>
          <w:szCs w:val="20"/>
        </w:rPr>
        <w:tab/>
      </w:r>
      <w:r w:rsidR="00323457" w:rsidRPr="0059638B">
        <w:rPr>
          <w:sz w:val="20"/>
          <w:szCs w:val="20"/>
        </w:rPr>
        <w:t>The head of the Saudi delegation stressed the cooperation of the Kingdom with the universal periodic review mechanism and noted that the Kingdom received 258 recommendations at the thirty-first session of the Working Group on the Universal Periodic Review. Such recommendations were examined by a government committee composed of representatives of relevant government bodies and in consultation with a number of civil society organizations.</w:t>
      </w:r>
    </w:p>
    <w:p w14:paraId="1D20D873" w14:textId="1578CDA9" w:rsidR="00323457" w:rsidRPr="0059638B" w:rsidRDefault="00583EAF" w:rsidP="00323457">
      <w:pPr>
        <w:pStyle w:val="SingleTxtG"/>
        <w:rPr>
          <w:sz w:val="20"/>
          <w:szCs w:val="20"/>
        </w:rPr>
      </w:pPr>
      <w:r>
        <w:rPr>
          <w:sz w:val="20"/>
          <w:szCs w:val="20"/>
        </w:rPr>
        <w:lastRenderedPageBreak/>
        <w:t>330</w:t>
      </w:r>
      <w:r w:rsidR="00007F04">
        <w:rPr>
          <w:sz w:val="20"/>
          <w:szCs w:val="20"/>
        </w:rPr>
        <w:t>.</w:t>
      </w:r>
      <w:r w:rsidR="00007F04">
        <w:rPr>
          <w:sz w:val="20"/>
          <w:szCs w:val="20"/>
        </w:rPr>
        <w:tab/>
      </w:r>
      <w:r w:rsidR="00323457" w:rsidRPr="0059638B">
        <w:rPr>
          <w:sz w:val="20"/>
          <w:szCs w:val="20"/>
        </w:rPr>
        <w:t>The head of the Saudi delegation stated that the Kingdom received a number of recommendations calling for accession to the two International Covenants on Human Rights (International Covenant on Civil and Political Rights and International Covenant on Economic, Social and Cultural Rights) and other Conventions, an issue which is of an interest to the Kingdom. The delegation stated that the reservations made by the Kingdom to a number of Conventions are not in conflict with the object and purpose of those Conventions and they are subject to a periodic review by such authorities.</w:t>
      </w:r>
    </w:p>
    <w:p w14:paraId="101C853A" w14:textId="4FB131F5" w:rsidR="00323457" w:rsidRPr="0059638B" w:rsidRDefault="00583EAF" w:rsidP="00323457">
      <w:pPr>
        <w:pStyle w:val="SingleTxtG"/>
        <w:rPr>
          <w:sz w:val="20"/>
          <w:szCs w:val="20"/>
        </w:rPr>
      </w:pPr>
      <w:r>
        <w:rPr>
          <w:sz w:val="20"/>
          <w:szCs w:val="20"/>
        </w:rPr>
        <w:t>331</w:t>
      </w:r>
      <w:r w:rsidR="00007F04">
        <w:rPr>
          <w:sz w:val="20"/>
          <w:szCs w:val="20"/>
        </w:rPr>
        <w:t>.</w:t>
      </w:r>
      <w:r w:rsidR="00007F04">
        <w:rPr>
          <w:sz w:val="20"/>
          <w:szCs w:val="20"/>
        </w:rPr>
        <w:tab/>
      </w:r>
      <w:r w:rsidR="00323457" w:rsidRPr="0059638B">
        <w:rPr>
          <w:sz w:val="20"/>
          <w:szCs w:val="20"/>
        </w:rPr>
        <w:t>The head of the Saudi delegation stated that the Law of Combating Terrorist Crimes and its Financing was promulgated on 1 November 2017, amending the previous law, to promote criminal justice. The delegation demonstrated that the definitions set out in the Law are clear and specific to the extent that they should not adversely affect the rights and freedoms of individuals guaranteed by the Kingdom</w:t>
      </w:r>
      <w:r w:rsidR="00D72627">
        <w:rPr>
          <w:sz w:val="20"/>
          <w:szCs w:val="20"/>
        </w:rPr>
        <w:t>’</w:t>
      </w:r>
      <w:r w:rsidR="00323457" w:rsidRPr="0059638B">
        <w:rPr>
          <w:sz w:val="20"/>
          <w:szCs w:val="20"/>
        </w:rPr>
        <w:t>s laws and its obligations under the international human rights law.</w:t>
      </w:r>
    </w:p>
    <w:p w14:paraId="312FC68E" w14:textId="189B8E64" w:rsidR="00323457" w:rsidRPr="0059638B" w:rsidRDefault="00583EAF" w:rsidP="00323457">
      <w:pPr>
        <w:pStyle w:val="SingleTxtG"/>
        <w:rPr>
          <w:sz w:val="20"/>
          <w:szCs w:val="20"/>
        </w:rPr>
      </w:pPr>
      <w:r>
        <w:rPr>
          <w:sz w:val="20"/>
          <w:szCs w:val="20"/>
        </w:rPr>
        <w:t>332</w:t>
      </w:r>
      <w:r w:rsidR="00007F04">
        <w:rPr>
          <w:sz w:val="20"/>
          <w:szCs w:val="20"/>
        </w:rPr>
        <w:t>.</w:t>
      </w:r>
      <w:r w:rsidR="00007F04">
        <w:rPr>
          <w:sz w:val="20"/>
          <w:szCs w:val="20"/>
        </w:rPr>
        <w:tab/>
      </w:r>
      <w:r w:rsidR="00323457" w:rsidRPr="0059638B">
        <w:rPr>
          <w:sz w:val="20"/>
          <w:szCs w:val="20"/>
        </w:rPr>
        <w:t>The head of the Saudi delegation made it clear that there are no secret prisons or detention centres in the Kingdom, that secret detention is prohibited under the laws of the Kingdom, and that the Public Prosecution, the Human Rights Commission and the National Society for Human Rights and other relevant governmental bodies undertake the monitoring of prisons and detention centres.</w:t>
      </w:r>
    </w:p>
    <w:p w14:paraId="10E1102D" w14:textId="542E3F19" w:rsidR="00323457" w:rsidRPr="0059638B" w:rsidRDefault="00583EAF" w:rsidP="00323457">
      <w:pPr>
        <w:pStyle w:val="SingleTxtG"/>
        <w:rPr>
          <w:sz w:val="20"/>
          <w:szCs w:val="20"/>
        </w:rPr>
      </w:pPr>
      <w:r>
        <w:rPr>
          <w:sz w:val="20"/>
          <w:szCs w:val="20"/>
        </w:rPr>
        <w:t>333</w:t>
      </w:r>
      <w:r w:rsidR="00007F04">
        <w:rPr>
          <w:sz w:val="20"/>
          <w:szCs w:val="20"/>
        </w:rPr>
        <w:t>.</w:t>
      </w:r>
      <w:r w:rsidR="00007F04">
        <w:rPr>
          <w:sz w:val="20"/>
          <w:szCs w:val="20"/>
        </w:rPr>
        <w:tab/>
      </w:r>
      <w:r w:rsidR="00323457" w:rsidRPr="0059638B">
        <w:rPr>
          <w:sz w:val="20"/>
          <w:szCs w:val="20"/>
        </w:rPr>
        <w:t>The head of the Saudi delegation highlighted the ongoing efforts of the Kingdom in disseminating the culture of human rights and education and raising national capacities, based on the Kingdom</w:t>
      </w:r>
      <w:r w:rsidR="00D72627">
        <w:rPr>
          <w:sz w:val="20"/>
          <w:szCs w:val="20"/>
        </w:rPr>
        <w:t>’</w:t>
      </w:r>
      <w:r w:rsidR="00323457" w:rsidRPr="0059638B">
        <w:rPr>
          <w:sz w:val="20"/>
          <w:szCs w:val="20"/>
        </w:rPr>
        <w:t>s conviction that raising awareness of human rights at both the official and social levels is one of the fundamental pillars of human rights promotion and protection.</w:t>
      </w:r>
    </w:p>
    <w:p w14:paraId="253658FA" w14:textId="3DA38AE2" w:rsidR="00323457" w:rsidRPr="0059638B" w:rsidRDefault="00583EAF" w:rsidP="00323457">
      <w:pPr>
        <w:pStyle w:val="SingleTxtG"/>
        <w:rPr>
          <w:sz w:val="20"/>
          <w:szCs w:val="20"/>
        </w:rPr>
      </w:pPr>
      <w:r>
        <w:rPr>
          <w:sz w:val="20"/>
          <w:szCs w:val="20"/>
        </w:rPr>
        <w:t>334</w:t>
      </w:r>
      <w:r w:rsidR="00007F04">
        <w:rPr>
          <w:sz w:val="20"/>
          <w:szCs w:val="20"/>
        </w:rPr>
        <w:t>.</w:t>
      </w:r>
      <w:r w:rsidR="00007F04">
        <w:rPr>
          <w:sz w:val="20"/>
          <w:szCs w:val="20"/>
        </w:rPr>
        <w:tab/>
      </w:r>
      <w:r w:rsidR="00323457" w:rsidRPr="0059638B">
        <w:rPr>
          <w:sz w:val="20"/>
          <w:szCs w:val="20"/>
        </w:rPr>
        <w:t>With regard to the recommendations made on the rights of women and children, the head of the Saudi delegation pointed out that the domination exercised by some males over females, called by such recommendations as the “male guardianship system,” is prohibited under the laws of the Kingdom, which protect women from such domination and from any powers that strengthen it. A woman who claims to have been abused, he added, can have recourse to remedies, on the top of which is the judiciary.</w:t>
      </w:r>
    </w:p>
    <w:p w14:paraId="3100455D" w14:textId="53B0DB6D" w:rsidR="00323457" w:rsidRPr="0059638B" w:rsidRDefault="00583EAF" w:rsidP="00323457">
      <w:pPr>
        <w:pStyle w:val="SingleTxtG"/>
        <w:rPr>
          <w:sz w:val="20"/>
          <w:szCs w:val="20"/>
        </w:rPr>
      </w:pPr>
      <w:r>
        <w:rPr>
          <w:sz w:val="20"/>
          <w:szCs w:val="20"/>
        </w:rPr>
        <w:t>335</w:t>
      </w:r>
      <w:r w:rsidR="00007F04">
        <w:rPr>
          <w:sz w:val="20"/>
          <w:szCs w:val="20"/>
        </w:rPr>
        <w:t>.</w:t>
      </w:r>
      <w:r w:rsidR="00007F04">
        <w:rPr>
          <w:sz w:val="20"/>
          <w:szCs w:val="20"/>
        </w:rPr>
        <w:tab/>
      </w:r>
      <w:r w:rsidR="00323457" w:rsidRPr="0059638B">
        <w:rPr>
          <w:sz w:val="20"/>
          <w:szCs w:val="20"/>
        </w:rPr>
        <w:t>With regard to the recommendations made in relation to the rights of persons with disabilities, the head of the Saudi delegation explained that the Kingdom fully believes in the right of this highly appreciated group to obtain further care and attention.</w:t>
      </w:r>
    </w:p>
    <w:p w14:paraId="7271D2C1" w14:textId="0FB5254D" w:rsidR="00323457" w:rsidRPr="0059638B" w:rsidRDefault="00583EAF" w:rsidP="00323457">
      <w:pPr>
        <w:pStyle w:val="SingleTxtG"/>
        <w:rPr>
          <w:sz w:val="20"/>
          <w:szCs w:val="20"/>
        </w:rPr>
      </w:pPr>
      <w:r>
        <w:rPr>
          <w:sz w:val="20"/>
          <w:szCs w:val="20"/>
        </w:rPr>
        <w:t>336</w:t>
      </w:r>
      <w:r w:rsidR="00007F04">
        <w:rPr>
          <w:sz w:val="20"/>
          <w:szCs w:val="20"/>
        </w:rPr>
        <w:t>.</w:t>
      </w:r>
      <w:r w:rsidR="00007F04">
        <w:rPr>
          <w:sz w:val="20"/>
          <w:szCs w:val="20"/>
        </w:rPr>
        <w:tab/>
      </w:r>
      <w:r w:rsidR="00323457" w:rsidRPr="0059638B">
        <w:rPr>
          <w:sz w:val="20"/>
          <w:szCs w:val="20"/>
        </w:rPr>
        <w:t>Commenting on recommendations related to the operations of the Coalition to Support Legitimacy in Yemen, the head of the Saudi delegation stated that the Coalition is committed to the rules of international humanitarian law and international human rights law, as explained in the national report. The Kingdom continues to provide all forms of support and assistance to the Yemeni people. The total aids provided by the Kingdom to Yemen until January 2019 amounted to more than 13 billion United States dollars. The Kingdom also contributed five hundred million United States dollars at the donor conference held on 26 February 2019.</w:t>
      </w:r>
    </w:p>
    <w:p w14:paraId="13AF2B61" w14:textId="351A9F5C" w:rsidR="00323457" w:rsidRPr="0059638B" w:rsidRDefault="00583EAF" w:rsidP="00323457">
      <w:pPr>
        <w:pStyle w:val="SingleTxtG"/>
        <w:rPr>
          <w:sz w:val="20"/>
          <w:szCs w:val="20"/>
        </w:rPr>
      </w:pPr>
      <w:r>
        <w:rPr>
          <w:sz w:val="20"/>
          <w:szCs w:val="20"/>
        </w:rPr>
        <w:t>337</w:t>
      </w:r>
      <w:r w:rsidR="00007F04">
        <w:rPr>
          <w:sz w:val="20"/>
          <w:szCs w:val="20"/>
        </w:rPr>
        <w:t>.</w:t>
      </w:r>
      <w:r w:rsidR="00007F04">
        <w:rPr>
          <w:sz w:val="20"/>
          <w:szCs w:val="20"/>
        </w:rPr>
        <w:tab/>
      </w:r>
      <w:r w:rsidR="00323457" w:rsidRPr="0059638B">
        <w:rPr>
          <w:sz w:val="20"/>
          <w:szCs w:val="20"/>
        </w:rPr>
        <w:t xml:space="preserve">With regard to the death penalty and corporal punishment, the head of the Saudi delegation stated that article 15 of the Juveniles Law stipulates that, if a juvenile commits a crime punishable by death, he would be confined to a social institution for a period not exceeding ten years. </w:t>
      </w:r>
    </w:p>
    <w:p w14:paraId="421FE60E" w14:textId="5299672C" w:rsidR="00323457" w:rsidRPr="0059638B" w:rsidRDefault="00583EAF" w:rsidP="00323457">
      <w:pPr>
        <w:pStyle w:val="SingleTxtG"/>
        <w:rPr>
          <w:sz w:val="20"/>
          <w:szCs w:val="20"/>
        </w:rPr>
      </w:pPr>
      <w:r>
        <w:rPr>
          <w:sz w:val="20"/>
          <w:szCs w:val="20"/>
        </w:rPr>
        <w:t>338</w:t>
      </w:r>
      <w:r w:rsidR="00007F04">
        <w:rPr>
          <w:sz w:val="20"/>
          <w:szCs w:val="20"/>
        </w:rPr>
        <w:t>.</w:t>
      </w:r>
      <w:r w:rsidR="00007F04">
        <w:rPr>
          <w:sz w:val="20"/>
          <w:szCs w:val="20"/>
        </w:rPr>
        <w:tab/>
      </w:r>
      <w:r w:rsidR="00323457" w:rsidRPr="0059638B">
        <w:rPr>
          <w:sz w:val="20"/>
          <w:szCs w:val="20"/>
        </w:rPr>
        <w:t>The head of the Saudi delegation made it clear that that the laws of the Kingdom do no criminalize freedom of opinion and expression, nor the formation of societies and legal peaceful practices.</w:t>
      </w:r>
    </w:p>
    <w:p w14:paraId="5CC97B4E" w14:textId="24A9AF42" w:rsidR="00323457" w:rsidRPr="0059638B" w:rsidRDefault="00583EAF" w:rsidP="00323457">
      <w:pPr>
        <w:pStyle w:val="SingleTxtG"/>
        <w:rPr>
          <w:sz w:val="20"/>
          <w:szCs w:val="20"/>
        </w:rPr>
      </w:pPr>
      <w:r>
        <w:rPr>
          <w:sz w:val="20"/>
          <w:szCs w:val="20"/>
        </w:rPr>
        <w:t>339</w:t>
      </w:r>
      <w:r w:rsidR="00007F04">
        <w:rPr>
          <w:sz w:val="20"/>
          <w:szCs w:val="20"/>
        </w:rPr>
        <w:t>.</w:t>
      </w:r>
      <w:r w:rsidR="00007F04">
        <w:rPr>
          <w:sz w:val="20"/>
          <w:szCs w:val="20"/>
        </w:rPr>
        <w:tab/>
      </w:r>
      <w:r w:rsidR="00323457" w:rsidRPr="0059638B">
        <w:rPr>
          <w:sz w:val="20"/>
          <w:szCs w:val="20"/>
        </w:rPr>
        <w:t xml:space="preserve">With regard to the recommendations made to the Kingdom on the subject of cooperation with the United Nations human rights bodies and mechanisms, including those of the Human Rights Council, the Saudi delegation affirmed the ongoing cooperation of the Kingdom with these bodies and mechanisms in order to contribute to achieving the objectives </w:t>
      </w:r>
      <w:r w:rsidR="00323457" w:rsidRPr="0059638B">
        <w:rPr>
          <w:sz w:val="20"/>
          <w:szCs w:val="20"/>
        </w:rPr>
        <w:lastRenderedPageBreak/>
        <w:t>for which they were established. The delegation noted that working with the Council</w:t>
      </w:r>
      <w:r w:rsidR="00D72627">
        <w:rPr>
          <w:sz w:val="20"/>
          <w:szCs w:val="20"/>
        </w:rPr>
        <w:t>’</w:t>
      </w:r>
      <w:r w:rsidR="00323457" w:rsidRPr="0059638B">
        <w:rPr>
          <w:sz w:val="20"/>
          <w:szCs w:val="20"/>
        </w:rPr>
        <w:t>s special procedures should be in line with the cooperative nature of this mechanism.</w:t>
      </w:r>
    </w:p>
    <w:p w14:paraId="388C3F78" w14:textId="77777777" w:rsidR="00323457" w:rsidRPr="0059638B" w:rsidRDefault="00323457" w:rsidP="00323457">
      <w:pPr>
        <w:pStyle w:val="H23G"/>
        <w:rPr>
          <w:sz w:val="20"/>
          <w:szCs w:val="20"/>
        </w:rPr>
      </w:pPr>
      <w:r w:rsidRPr="0059638B">
        <w:rPr>
          <w:sz w:val="20"/>
          <w:szCs w:val="20"/>
        </w:rPr>
        <w:tab/>
        <w:t>2.</w:t>
      </w:r>
      <w:r w:rsidRPr="0059638B">
        <w:rPr>
          <w:sz w:val="20"/>
          <w:szCs w:val="20"/>
        </w:rPr>
        <w:tab/>
        <w:t xml:space="preserve">Views expressed by Member and observer States of the Council on the outcome of the review </w:t>
      </w:r>
    </w:p>
    <w:p w14:paraId="776BBA27" w14:textId="2E4C5C3C" w:rsidR="00323457" w:rsidRPr="0059638B" w:rsidRDefault="00583EAF" w:rsidP="00323457">
      <w:pPr>
        <w:pStyle w:val="SingleTxtG"/>
        <w:rPr>
          <w:sz w:val="20"/>
          <w:szCs w:val="20"/>
        </w:rPr>
      </w:pPr>
      <w:r>
        <w:rPr>
          <w:sz w:val="20"/>
          <w:szCs w:val="20"/>
        </w:rPr>
        <w:t>340</w:t>
      </w:r>
      <w:r w:rsidR="00007F04">
        <w:rPr>
          <w:sz w:val="20"/>
          <w:szCs w:val="20"/>
        </w:rPr>
        <w:t>.</w:t>
      </w:r>
      <w:r w:rsidR="00007F04">
        <w:rPr>
          <w:sz w:val="20"/>
          <w:szCs w:val="20"/>
        </w:rPr>
        <w:tab/>
      </w:r>
      <w:r w:rsidR="00323457" w:rsidRPr="0059638B">
        <w:rPr>
          <w:sz w:val="20"/>
          <w:szCs w:val="20"/>
        </w:rPr>
        <w:t>During the adoption of the outcome of the review of Saudi Arabia, 13 delegations made statements.</w:t>
      </w:r>
      <w:r w:rsidR="00CC5A8D" w:rsidRPr="00CC5A8D">
        <w:rPr>
          <w:rStyle w:val="FootnoteReference"/>
          <w:sz w:val="20"/>
          <w:szCs w:val="20"/>
          <w:vertAlign w:val="baseline"/>
        </w:rPr>
        <w:footnoteReference w:customMarkFollows="1" w:id="44"/>
        <w:t>**</w:t>
      </w:r>
      <w:r w:rsidR="00323457" w:rsidRPr="0059638B">
        <w:rPr>
          <w:sz w:val="20"/>
          <w:szCs w:val="20"/>
        </w:rPr>
        <w:t xml:space="preserve"> </w:t>
      </w:r>
    </w:p>
    <w:p w14:paraId="7AD16905" w14:textId="3E4000BF" w:rsidR="00323457" w:rsidRPr="0059638B" w:rsidRDefault="00583EAF" w:rsidP="00323457">
      <w:pPr>
        <w:pStyle w:val="SingleTxtG"/>
        <w:rPr>
          <w:sz w:val="20"/>
          <w:szCs w:val="20"/>
        </w:rPr>
      </w:pPr>
      <w:r>
        <w:rPr>
          <w:sz w:val="20"/>
          <w:szCs w:val="20"/>
        </w:rPr>
        <w:t>341</w:t>
      </w:r>
      <w:r w:rsidR="00007F04">
        <w:rPr>
          <w:sz w:val="20"/>
          <w:szCs w:val="20"/>
        </w:rPr>
        <w:t>.</w:t>
      </w:r>
      <w:r w:rsidR="00007F04">
        <w:rPr>
          <w:sz w:val="20"/>
          <w:szCs w:val="20"/>
        </w:rPr>
        <w:tab/>
      </w:r>
      <w:r w:rsidR="00323457" w:rsidRPr="0059638B">
        <w:rPr>
          <w:sz w:val="20"/>
          <w:szCs w:val="20"/>
        </w:rPr>
        <w:t>The United Kingdom of Great Britain and Northern Ireland welcomed the acceptance of its recommendation on the investigation into the murder of Jamal Khashoggi, and informed that it will continue to watch the process closely. It expressed disappointment over the refusal by Saudi Arabia to accept the recommendation on the use of the Specialised Criminal Court and were concerned that diplomats remained unable to observe trials, including the hearings of women</w:t>
      </w:r>
      <w:r w:rsidR="00D72627">
        <w:rPr>
          <w:sz w:val="20"/>
          <w:szCs w:val="20"/>
        </w:rPr>
        <w:t>’</w:t>
      </w:r>
      <w:r w:rsidR="00323457" w:rsidRPr="0059638B">
        <w:rPr>
          <w:sz w:val="20"/>
          <w:szCs w:val="20"/>
        </w:rPr>
        <w:t>s rights defenders. It welcomed the acceptance of its recommendation to strengthen the protection for migrant workers and ensure options for legal redress for victims of trafficking.</w:t>
      </w:r>
      <w:r w:rsidR="004B7C70">
        <w:rPr>
          <w:sz w:val="20"/>
          <w:szCs w:val="20"/>
        </w:rPr>
        <w:t xml:space="preserve"> </w:t>
      </w:r>
      <w:r w:rsidR="00323457" w:rsidRPr="0059638B">
        <w:rPr>
          <w:sz w:val="20"/>
          <w:szCs w:val="20"/>
        </w:rPr>
        <w:t>It remained concerned by the limits on fundamental freedoms, including the mass arrests of activists, journalists and academics; the increased use of terrorist courts for political dissidents; and the continued use of the death penalty.</w:t>
      </w:r>
    </w:p>
    <w:p w14:paraId="4EB6D296" w14:textId="158312B3" w:rsidR="00323457" w:rsidRPr="0059638B" w:rsidRDefault="00583EAF" w:rsidP="00323457">
      <w:pPr>
        <w:pStyle w:val="SingleTxtG"/>
        <w:rPr>
          <w:sz w:val="20"/>
          <w:szCs w:val="20"/>
        </w:rPr>
      </w:pPr>
      <w:r>
        <w:rPr>
          <w:sz w:val="20"/>
          <w:szCs w:val="20"/>
        </w:rPr>
        <w:t>342</w:t>
      </w:r>
      <w:r w:rsidR="00007F04">
        <w:rPr>
          <w:sz w:val="20"/>
          <w:szCs w:val="20"/>
        </w:rPr>
        <w:t>.</w:t>
      </w:r>
      <w:r w:rsidR="00007F04">
        <w:rPr>
          <w:sz w:val="20"/>
          <w:szCs w:val="20"/>
        </w:rPr>
        <w:tab/>
      </w:r>
      <w:r w:rsidR="00323457" w:rsidRPr="0059638B">
        <w:rPr>
          <w:sz w:val="20"/>
          <w:szCs w:val="20"/>
        </w:rPr>
        <w:t>The United Republic of Tanzania welcomed the commitment of Saudi Arabia to uphold human rights and the progress made since last universal periodic review. It commended the Government for improving an environment where human rights could be guaranteed by enacting or amending legislation; and for putting measures for empowering Saudi women, including by granting them the right to vote and to stand as candidates for members in municipal councils. Moreover, Saudi women are no longer required to obtain the approval of another person to access government services or conclude their business and that a number of them had been appointed to senior positions.</w:t>
      </w:r>
    </w:p>
    <w:p w14:paraId="56B9A260" w14:textId="2D5E4EEC" w:rsidR="00323457" w:rsidRPr="0059638B" w:rsidRDefault="00583EAF" w:rsidP="00323457">
      <w:pPr>
        <w:pStyle w:val="SingleTxtG"/>
        <w:rPr>
          <w:sz w:val="20"/>
          <w:szCs w:val="20"/>
        </w:rPr>
      </w:pPr>
      <w:r>
        <w:rPr>
          <w:sz w:val="20"/>
          <w:szCs w:val="20"/>
        </w:rPr>
        <w:t>343</w:t>
      </w:r>
      <w:r w:rsidR="00007F04">
        <w:rPr>
          <w:sz w:val="20"/>
          <w:szCs w:val="20"/>
        </w:rPr>
        <w:t>.</w:t>
      </w:r>
      <w:r w:rsidR="00007F04">
        <w:rPr>
          <w:sz w:val="20"/>
          <w:szCs w:val="20"/>
        </w:rPr>
        <w:tab/>
      </w:r>
      <w:r w:rsidR="00323457" w:rsidRPr="0059638B">
        <w:rPr>
          <w:sz w:val="20"/>
          <w:szCs w:val="20"/>
        </w:rPr>
        <w:t>The Bolivarian Republic of Venezuela appreciated that the largest part of the budget had been allocated for teaching and training, providing free education and equal opportunities for all. It acknowledged the progress made in the empowerment of women, who are part of the Consultative Council and the Council of the Human Rights Commission and exercise their right to vote and to be candidates for municipal councils.</w:t>
      </w:r>
    </w:p>
    <w:p w14:paraId="2A972D92" w14:textId="6D33016A" w:rsidR="00323457" w:rsidRPr="0059638B" w:rsidRDefault="00583EAF" w:rsidP="00323457">
      <w:pPr>
        <w:pStyle w:val="SingleTxtG"/>
        <w:rPr>
          <w:sz w:val="20"/>
          <w:szCs w:val="20"/>
        </w:rPr>
      </w:pPr>
      <w:r>
        <w:rPr>
          <w:sz w:val="20"/>
          <w:szCs w:val="20"/>
        </w:rPr>
        <w:t>344</w:t>
      </w:r>
      <w:r w:rsidR="00007F04">
        <w:rPr>
          <w:sz w:val="20"/>
          <w:szCs w:val="20"/>
        </w:rPr>
        <w:t>.</w:t>
      </w:r>
      <w:r w:rsidR="00007F04">
        <w:rPr>
          <w:sz w:val="20"/>
          <w:szCs w:val="20"/>
        </w:rPr>
        <w:tab/>
      </w:r>
      <w:r w:rsidR="00323457" w:rsidRPr="0059638B">
        <w:rPr>
          <w:sz w:val="20"/>
          <w:szCs w:val="20"/>
        </w:rPr>
        <w:t>Yemen highlighted the efforts exerted by Saudi Arabia to improve human rights situation, as was reflected by the numerous developments in the Kingdom over the last period. Yemen particularly commended the expansion of women</w:t>
      </w:r>
      <w:r w:rsidR="00D72627">
        <w:rPr>
          <w:sz w:val="20"/>
          <w:szCs w:val="20"/>
        </w:rPr>
        <w:t>’</w:t>
      </w:r>
      <w:r w:rsidR="00323457" w:rsidRPr="0059638B">
        <w:rPr>
          <w:sz w:val="20"/>
          <w:szCs w:val="20"/>
        </w:rPr>
        <w:t>s freedom and participation in public life and welcomed the acceptance by Saudi Arabia of a great number of recommendations in the context of the universal periodic review, which affirmed its commitment to protecting and promoting human rights. It commended the multi-faceted support and assistance to Yemen.</w:t>
      </w:r>
    </w:p>
    <w:p w14:paraId="04BBF4B6" w14:textId="4BDDB377" w:rsidR="00323457" w:rsidRPr="0059638B" w:rsidRDefault="00583EAF" w:rsidP="00323457">
      <w:pPr>
        <w:pStyle w:val="SingleTxtG"/>
        <w:rPr>
          <w:color w:val="FF0000"/>
          <w:sz w:val="20"/>
          <w:szCs w:val="20"/>
        </w:rPr>
      </w:pPr>
      <w:r>
        <w:rPr>
          <w:sz w:val="20"/>
          <w:szCs w:val="20"/>
        </w:rPr>
        <w:t>345</w:t>
      </w:r>
      <w:r w:rsidR="00007F04">
        <w:rPr>
          <w:sz w:val="20"/>
          <w:szCs w:val="20"/>
        </w:rPr>
        <w:t>.</w:t>
      </w:r>
      <w:r w:rsidR="00007F04">
        <w:rPr>
          <w:sz w:val="20"/>
          <w:szCs w:val="20"/>
        </w:rPr>
        <w:tab/>
      </w:r>
      <w:r w:rsidR="00323457" w:rsidRPr="0059638B">
        <w:rPr>
          <w:sz w:val="20"/>
          <w:szCs w:val="20"/>
        </w:rPr>
        <w:t>Afghanistan noted with appreciation that Saudi Arabia accepted all the recommendations made by Afghanistan during the last universal periodic review. It commended Saudi Arabia for its willingness to consider accession to the International Covenant on Civil and Political Rights, International Covenant on Economic, Social and Cultural Rights, and the International Convention on the Protection of the Rights of All Migrant Workers. It commended Saudi Arabia for considering further amendments to the legal framework in compliance with international human rights standards.</w:t>
      </w:r>
    </w:p>
    <w:p w14:paraId="39A7A636" w14:textId="379D95CB" w:rsidR="00323457" w:rsidRPr="0059638B" w:rsidRDefault="00583EAF" w:rsidP="00323457">
      <w:pPr>
        <w:pStyle w:val="SingleTxtG"/>
        <w:rPr>
          <w:sz w:val="20"/>
          <w:szCs w:val="20"/>
        </w:rPr>
      </w:pPr>
      <w:r>
        <w:rPr>
          <w:sz w:val="20"/>
          <w:szCs w:val="20"/>
        </w:rPr>
        <w:t>346</w:t>
      </w:r>
      <w:r w:rsidR="00007F04">
        <w:rPr>
          <w:sz w:val="20"/>
          <w:szCs w:val="20"/>
        </w:rPr>
        <w:t>.</w:t>
      </w:r>
      <w:r w:rsidR="00007F04">
        <w:rPr>
          <w:sz w:val="20"/>
          <w:szCs w:val="20"/>
        </w:rPr>
        <w:tab/>
      </w:r>
      <w:r w:rsidR="00323457" w:rsidRPr="0059638B">
        <w:rPr>
          <w:sz w:val="20"/>
          <w:szCs w:val="20"/>
        </w:rPr>
        <w:t xml:space="preserve">Algeria welcomed the adoption of measures to strengthen the legal and institutional framework for the protection and promotion of human rights. Algeria took note of a large number of supported recommendations, including two made by Algeria concerning the human rights education and training and sensitization of judges to the principles and values </w:t>
      </w:r>
      <w:r w:rsidR="00323457" w:rsidRPr="0059638B">
        <w:rPr>
          <w:sz w:val="20"/>
          <w:szCs w:val="20"/>
        </w:rPr>
        <w:lastRenderedPageBreak/>
        <w:t>of human rights, and the promotion of gender equality, role of women in society and the fight against gender discrimination.</w:t>
      </w:r>
    </w:p>
    <w:p w14:paraId="6FA03304" w14:textId="18EEA106" w:rsidR="00323457" w:rsidRPr="0059638B" w:rsidRDefault="00583EAF" w:rsidP="00323457">
      <w:pPr>
        <w:pStyle w:val="SingleTxtG"/>
        <w:rPr>
          <w:sz w:val="20"/>
          <w:szCs w:val="20"/>
        </w:rPr>
      </w:pPr>
      <w:r>
        <w:rPr>
          <w:sz w:val="20"/>
          <w:szCs w:val="20"/>
        </w:rPr>
        <w:t>347</w:t>
      </w:r>
      <w:r w:rsidR="00007F04">
        <w:rPr>
          <w:sz w:val="20"/>
          <w:szCs w:val="20"/>
        </w:rPr>
        <w:t>.</w:t>
      </w:r>
      <w:r w:rsidR="00007F04">
        <w:rPr>
          <w:sz w:val="20"/>
          <w:szCs w:val="20"/>
        </w:rPr>
        <w:tab/>
      </w:r>
      <w:r w:rsidR="00323457" w:rsidRPr="0059638B">
        <w:rPr>
          <w:sz w:val="20"/>
          <w:szCs w:val="20"/>
        </w:rPr>
        <w:t>Bahrain commended the efforts, good work and the valuable responses to the recommendations made by Bahrain during the universal periodic review, which confirmed the attention given by the Kingdom to this important, positive and transparent mechanism. Bahrain commended the recent measures taken to promote and protect human rights and fundamental freedoms, such as the establishment of the Global Centre for Combating Extremist Ideology, in cooperation with States and international organizations and the establishment of the Justice Training Centre, aiming at building the capacity and efficiency of judges and their assistants.</w:t>
      </w:r>
    </w:p>
    <w:p w14:paraId="6FD212A4" w14:textId="24FF9AA9" w:rsidR="00323457" w:rsidRPr="0059638B" w:rsidRDefault="00583EAF" w:rsidP="00323457">
      <w:pPr>
        <w:pStyle w:val="SingleTxtG"/>
        <w:rPr>
          <w:sz w:val="20"/>
          <w:szCs w:val="20"/>
        </w:rPr>
      </w:pPr>
      <w:r>
        <w:rPr>
          <w:sz w:val="20"/>
          <w:szCs w:val="20"/>
        </w:rPr>
        <w:t>348</w:t>
      </w:r>
      <w:r w:rsidR="00007F04">
        <w:rPr>
          <w:sz w:val="20"/>
          <w:szCs w:val="20"/>
        </w:rPr>
        <w:t>.</w:t>
      </w:r>
      <w:r w:rsidR="00007F04">
        <w:rPr>
          <w:sz w:val="20"/>
          <w:szCs w:val="20"/>
        </w:rPr>
        <w:tab/>
      </w:r>
      <w:r w:rsidR="00323457" w:rsidRPr="0059638B">
        <w:rPr>
          <w:sz w:val="20"/>
          <w:szCs w:val="20"/>
        </w:rPr>
        <w:t>Bangladesh commended the constructive engagement of Saudi Arabia in the third cycle of the universal periodic review and its commitment to cooperate with the process and its willingness to continue advancing human rights causes within its national context. Bangladesh welcomed the adoption of Saudi Vision 2030, which has interlinked the country</w:t>
      </w:r>
      <w:r w:rsidR="00D72627">
        <w:rPr>
          <w:sz w:val="20"/>
          <w:szCs w:val="20"/>
        </w:rPr>
        <w:t>’</w:t>
      </w:r>
      <w:r w:rsidR="00323457" w:rsidRPr="0059638B">
        <w:rPr>
          <w:sz w:val="20"/>
          <w:szCs w:val="20"/>
        </w:rPr>
        <w:t>s policies and programmes to the promotion and protection of the rights of the vulnerable sections of its population, including women, children, elderly persons and persons with disabilities. Bangladesh appreciated the acceptance by Saudi Arabia of the majority of recommendations, including its own recommendations.</w:t>
      </w:r>
    </w:p>
    <w:p w14:paraId="692216E3" w14:textId="59BD831F" w:rsidR="00323457" w:rsidRPr="0059638B" w:rsidRDefault="00583EAF" w:rsidP="00323457">
      <w:pPr>
        <w:pStyle w:val="SingleTxtG"/>
        <w:rPr>
          <w:sz w:val="20"/>
          <w:szCs w:val="20"/>
        </w:rPr>
      </w:pPr>
      <w:r>
        <w:rPr>
          <w:sz w:val="20"/>
          <w:szCs w:val="20"/>
        </w:rPr>
        <w:t>349</w:t>
      </w:r>
      <w:r w:rsidR="00007F04">
        <w:rPr>
          <w:sz w:val="20"/>
          <w:szCs w:val="20"/>
        </w:rPr>
        <w:t>.</w:t>
      </w:r>
      <w:r w:rsidR="00007F04">
        <w:rPr>
          <w:sz w:val="20"/>
          <w:szCs w:val="20"/>
        </w:rPr>
        <w:tab/>
      </w:r>
      <w:r w:rsidR="00323457" w:rsidRPr="0059638B">
        <w:rPr>
          <w:sz w:val="20"/>
          <w:szCs w:val="20"/>
        </w:rPr>
        <w:t>Belgium appreciated the acceptance of its two recommendations on the equality of women and men before the law and release of all persons detained solely for the exercise of their rights in freedom of expression, association and peaceful assembly and encouraged implementing them. Belgium noted that the recommendation related to the imposition of the death penalty on persons under 18 of age at the time of the offense has been partially accepted, but questioned what this means in terms of commitment. Belgium hoped that a national debate could be initiated to lay the foundations for a legal moratorium and then a complete abolition of this practice. Belgium invited Saudi Arabia to reconsider its position on the recommendation to bring the Law on Associations and Foundations into compliance with international law and standards.</w:t>
      </w:r>
    </w:p>
    <w:p w14:paraId="5BD4DF4D" w14:textId="41B4DBC1" w:rsidR="00323457" w:rsidRPr="0059638B" w:rsidRDefault="00583EAF" w:rsidP="00323457">
      <w:pPr>
        <w:pStyle w:val="SingleTxtG"/>
        <w:rPr>
          <w:sz w:val="20"/>
          <w:szCs w:val="20"/>
        </w:rPr>
      </w:pPr>
      <w:r>
        <w:rPr>
          <w:sz w:val="20"/>
          <w:szCs w:val="20"/>
        </w:rPr>
        <w:t>350</w:t>
      </w:r>
      <w:r w:rsidR="00007F04">
        <w:rPr>
          <w:sz w:val="20"/>
          <w:szCs w:val="20"/>
        </w:rPr>
        <w:t>.</w:t>
      </w:r>
      <w:r w:rsidR="00007F04">
        <w:rPr>
          <w:sz w:val="20"/>
          <w:szCs w:val="20"/>
        </w:rPr>
        <w:tab/>
      </w:r>
      <w:r w:rsidR="00323457" w:rsidRPr="0059638B">
        <w:rPr>
          <w:sz w:val="20"/>
          <w:szCs w:val="20"/>
        </w:rPr>
        <w:t>The Plurinational State of Bolivia highlighted the information provided on the institutional framework, including legislative amendments related to human rights, and appreciated measures taken to deal with any criminal activity that could hamper the enjoyment of human rights, such as extremism, terrorism and corruption. It acknowledged many challenges, but stated that there were no doubts that the efforts made would lead to a positive synergy between civil and political rights and economic, social and cultural rights.</w:t>
      </w:r>
    </w:p>
    <w:p w14:paraId="108768D7" w14:textId="23BBC8FF" w:rsidR="00323457" w:rsidRPr="0059638B" w:rsidRDefault="00583EAF" w:rsidP="00323457">
      <w:pPr>
        <w:pStyle w:val="SingleTxtG"/>
        <w:rPr>
          <w:sz w:val="20"/>
          <w:szCs w:val="20"/>
        </w:rPr>
      </w:pPr>
      <w:r>
        <w:rPr>
          <w:sz w:val="20"/>
          <w:szCs w:val="20"/>
        </w:rPr>
        <w:t>351</w:t>
      </w:r>
      <w:r w:rsidR="00007F04">
        <w:rPr>
          <w:sz w:val="20"/>
          <w:szCs w:val="20"/>
        </w:rPr>
        <w:t>.</w:t>
      </w:r>
      <w:r w:rsidR="00007F04">
        <w:rPr>
          <w:sz w:val="20"/>
          <w:szCs w:val="20"/>
        </w:rPr>
        <w:tab/>
      </w:r>
      <w:r w:rsidR="00323457" w:rsidRPr="0059638B">
        <w:rPr>
          <w:sz w:val="20"/>
          <w:szCs w:val="20"/>
        </w:rPr>
        <w:t>Botswana commended Saudi Arabia on its promotion and protection of human rights, especially the advancement of women</w:t>
      </w:r>
      <w:r w:rsidR="00D72627">
        <w:rPr>
          <w:sz w:val="20"/>
          <w:szCs w:val="20"/>
        </w:rPr>
        <w:t>’</w:t>
      </w:r>
      <w:r w:rsidR="00323457" w:rsidRPr="0059638B">
        <w:rPr>
          <w:sz w:val="20"/>
          <w:szCs w:val="20"/>
        </w:rPr>
        <w:t xml:space="preserve">s rights, including the many decrees aimed at addressing inequalities between men and women. Notwithstanding this progress, Botswana recommended Saudi Arabia to step up its efforts in criminalising violence against women as well as addressing forced labour. Botswana was satisfied with the update provided by Saudi Arabia and appreciated its acceptance of the two recommendations by Botswana. </w:t>
      </w:r>
    </w:p>
    <w:p w14:paraId="35CDA7BE" w14:textId="771CCDCA" w:rsidR="00323457" w:rsidRPr="0059638B" w:rsidRDefault="00583EAF" w:rsidP="00323457">
      <w:pPr>
        <w:pStyle w:val="SingleTxtG"/>
        <w:rPr>
          <w:sz w:val="20"/>
          <w:szCs w:val="20"/>
        </w:rPr>
      </w:pPr>
      <w:r>
        <w:rPr>
          <w:sz w:val="20"/>
          <w:szCs w:val="20"/>
        </w:rPr>
        <w:t>352</w:t>
      </w:r>
      <w:r w:rsidR="00007F04">
        <w:rPr>
          <w:sz w:val="20"/>
          <w:szCs w:val="20"/>
        </w:rPr>
        <w:t>.</w:t>
      </w:r>
      <w:r w:rsidR="00007F04">
        <w:rPr>
          <w:sz w:val="20"/>
          <w:szCs w:val="20"/>
        </w:rPr>
        <w:tab/>
      </w:r>
      <w:r w:rsidR="00323457" w:rsidRPr="0059638B">
        <w:rPr>
          <w:sz w:val="20"/>
          <w:szCs w:val="20"/>
        </w:rPr>
        <w:t>Burkina Faso welcomed the efforts made by Saudi Arabia in the area of the promotion and protection of human rights. In this regard, Burkina Faso welcomed legislative reforms in the justice sector, actions taken to combat violent extremism, terrorism and corruption, and the strengthening of women</w:t>
      </w:r>
      <w:r w:rsidR="00D72627">
        <w:rPr>
          <w:sz w:val="20"/>
          <w:szCs w:val="20"/>
        </w:rPr>
        <w:t>’</w:t>
      </w:r>
      <w:r w:rsidR="00323457" w:rsidRPr="0059638B">
        <w:rPr>
          <w:sz w:val="20"/>
          <w:szCs w:val="20"/>
        </w:rPr>
        <w:t>s rights. Burkina Faso took note with interest that Saudi Arabia accepted most of the received recommendations and urged to take the necessary actions for their effective implementation.</w:t>
      </w:r>
    </w:p>
    <w:p w14:paraId="2DA9013C" w14:textId="42D3A735" w:rsidR="00323457" w:rsidRPr="0059638B" w:rsidRDefault="00583EAF" w:rsidP="00323457">
      <w:pPr>
        <w:pStyle w:val="SingleTxtG"/>
        <w:rPr>
          <w:sz w:val="20"/>
          <w:szCs w:val="20"/>
        </w:rPr>
      </w:pPr>
      <w:r>
        <w:rPr>
          <w:sz w:val="20"/>
          <w:szCs w:val="20"/>
        </w:rPr>
        <w:t>353</w:t>
      </w:r>
      <w:r w:rsidR="00007F04">
        <w:rPr>
          <w:sz w:val="20"/>
          <w:szCs w:val="20"/>
        </w:rPr>
        <w:t>.</w:t>
      </w:r>
      <w:r w:rsidR="00007F04">
        <w:rPr>
          <w:sz w:val="20"/>
          <w:szCs w:val="20"/>
        </w:rPr>
        <w:tab/>
      </w:r>
      <w:r w:rsidR="00323457" w:rsidRPr="0059638B">
        <w:rPr>
          <w:sz w:val="20"/>
          <w:szCs w:val="20"/>
        </w:rPr>
        <w:t>Burundi welcomed the measures taken by the Government of Saudi Arabia to prevent and combat trafficking in human beings and encouraged Saudi Arabia to continue its efforts in this regard. Burundi welcomed the policies adopted to adapt as much as possible to climate change, including the adoption of the national environment strategy. Burundi also welcomed the reforms in the justice sector and initiatives to better protect and promote the right to work.</w:t>
      </w:r>
    </w:p>
    <w:p w14:paraId="47A13323" w14:textId="77777777" w:rsidR="00323457" w:rsidRPr="0059638B" w:rsidRDefault="00323457" w:rsidP="00323457">
      <w:pPr>
        <w:pStyle w:val="H23G"/>
        <w:rPr>
          <w:sz w:val="20"/>
          <w:szCs w:val="20"/>
        </w:rPr>
      </w:pPr>
      <w:r w:rsidRPr="0059638B">
        <w:rPr>
          <w:sz w:val="20"/>
          <w:szCs w:val="20"/>
        </w:rPr>
        <w:lastRenderedPageBreak/>
        <w:tab/>
        <w:t>3.</w:t>
      </w:r>
      <w:r w:rsidRPr="0059638B">
        <w:rPr>
          <w:sz w:val="20"/>
          <w:szCs w:val="20"/>
        </w:rPr>
        <w:tab/>
        <w:t>General comments made by other stakeholders</w:t>
      </w:r>
    </w:p>
    <w:p w14:paraId="0E33A57A" w14:textId="3E372CC0" w:rsidR="00323457" w:rsidRPr="0059638B" w:rsidRDefault="00583EAF" w:rsidP="00323457">
      <w:pPr>
        <w:pStyle w:val="SingleTxtG"/>
        <w:rPr>
          <w:sz w:val="20"/>
          <w:szCs w:val="20"/>
        </w:rPr>
      </w:pPr>
      <w:r>
        <w:rPr>
          <w:sz w:val="20"/>
          <w:szCs w:val="20"/>
        </w:rPr>
        <w:t>354</w:t>
      </w:r>
      <w:r w:rsidR="00007F04">
        <w:rPr>
          <w:sz w:val="20"/>
          <w:szCs w:val="20"/>
        </w:rPr>
        <w:t>.</w:t>
      </w:r>
      <w:r w:rsidR="00007F04">
        <w:rPr>
          <w:sz w:val="20"/>
          <w:szCs w:val="20"/>
        </w:rPr>
        <w:tab/>
      </w:r>
      <w:r w:rsidR="00323457" w:rsidRPr="0059638B">
        <w:rPr>
          <w:sz w:val="20"/>
          <w:szCs w:val="20"/>
        </w:rPr>
        <w:t>During the adoption of the outcome of the review of Saudi Arabia, 10 other stakeholders made statements.</w:t>
      </w:r>
      <w:r w:rsidR="00CC5A8D" w:rsidRPr="00CC5A8D">
        <w:rPr>
          <w:rStyle w:val="FootnoteReference"/>
          <w:sz w:val="20"/>
          <w:szCs w:val="20"/>
          <w:vertAlign w:val="baseline"/>
        </w:rPr>
        <w:footnoteReference w:customMarkFollows="1" w:id="45"/>
        <w:t>**</w:t>
      </w:r>
      <w:r w:rsidR="00323457" w:rsidRPr="0059638B">
        <w:rPr>
          <w:sz w:val="20"/>
          <w:szCs w:val="20"/>
        </w:rPr>
        <w:t xml:space="preserve"> </w:t>
      </w:r>
    </w:p>
    <w:p w14:paraId="6E5FF20A" w14:textId="686871B7" w:rsidR="00323457" w:rsidRPr="0059638B" w:rsidRDefault="00583EAF" w:rsidP="00323457">
      <w:pPr>
        <w:pStyle w:val="SingleTxtG"/>
        <w:rPr>
          <w:sz w:val="20"/>
          <w:szCs w:val="20"/>
        </w:rPr>
      </w:pPr>
      <w:r>
        <w:rPr>
          <w:sz w:val="20"/>
          <w:szCs w:val="20"/>
        </w:rPr>
        <w:t>355</w:t>
      </w:r>
      <w:r w:rsidR="00007F04">
        <w:rPr>
          <w:sz w:val="20"/>
          <w:szCs w:val="20"/>
        </w:rPr>
        <w:t>.</w:t>
      </w:r>
      <w:r w:rsidR="00007F04">
        <w:rPr>
          <w:sz w:val="20"/>
          <w:szCs w:val="20"/>
        </w:rPr>
        <w:tab/>
      </w:r>
      <w:r w:rsidR="00323457" w:rsidRPr="0059638B">
        <w:rPr>
          <w:sz w:val="20"/>
          <w:szCs w:val="20"/>
        </w:rPr>
        <w:t>The International Federation for Human Rights Leagues regretted that recommendations on the release of human rights defenders were not accepted and called for the immediate and unconditional release of women human rights defenders. It condemned the rejection by the Government of key recommendations, including those aiming to protect the rights to freedom of expression, association and peaceful assembly, urging it to repeal or reform excessively broad legislations that restrict fundamental rights. It noted the crackdown on peaceful dissidents, including journalists, activists, and human rights defenders, often carried out in the name of “preserving national unity” and under counter-terrorism legislation. It also noted the non-cooperation with the United Nations-led investigation into the killing of Jamal Khashoggi or with investigations into reports of torture. It urged the Council to establish a monitoring mechanism over the human rights situation, in order to ensure accountability and genuine reforms.</w:t>
      </w:r>
    </w:p>
    <w:p w14:paraId="71D556BA" w14:textId="5F731535" w:rsidR="00323457" w:rsidRPr="0059638B" w:rsidRDefault="00583EAF" w:rsidP="00323457">
      <w:pPr>
        <w:pStyle w:val="SingleTxtG"/>
        <w:rPr>
          <w:sz w:val="20"/>
          <w:szCs w:val="20"/>
        </w:rPr>
      </w:pPr>
      <w:r>
        <w:rPr>
          <w:sz w:val="20"/>
          <w:szCs w:val="20"/>
        </w:rPr>
        <w:t>356</w:t>
      </w:r>
      <w:r w:rsidR="00007F04">
        <w:rPr>
          <w:sz w:val="20"/>
          <w:szCs w:val="20"/>
        </w:rPr>
        <w:t>.</w:t>
      </w:r>
      <w:r w:rsidR="00007F04">
        <w:rPr>
          <w:sz w:val="20"/>
          <w:szCs w:val="20"/>
        </w:rPr>
        <w:tab/>
      </w:r>
      <w:r w:rsidR="00323457" w:rsidRPr="0059638B">
        <w:rPr>
          <w:sz w:val="20"/>
          <w:szCs w:val="20"/>
        </w:rPr>
        <w:t>Right Livelihood Award Foundation called for the immediate release of detained human rights defenders and letting them exercise their fundamental rights. It stated that, despite the endorsement by Saudi Arabia of recommendations to eliminate barriers to freedom of expression, address the crackdown on human rights defenders, and to provide an enabling environment for the work of civil society, civic space remained virtually non-existent. It stated that the Specialized Criminal Court, originally established to investigate detainees held in connection with terrorism offences, was designed to prosecute individuals who call for progressive political reforms. It noted that Saudi Arabia had previously stated that it respect freedom of expression and association in a distortion to reality, as the imprisonments of activists is an indisputable practice and called for the implementation of those accepted recommendations.</w:t>
      </w:r>
    </w:p>
    <w:p w14:paraId="206D0965" w14:textId="2BFC6F4C" w:rsidR="00323457" w:rsidRPr="0059638B" w:rsidRDefault="00583EAF" w:rsidP="00323457">
      <w:pPr>
        <w:pStyle w:val="SingleTxtG"/>
        <w:rPr>
          <w:sz w:val="20"/>
          <w:szCs w:val="20"/>
        </w:rPr>
      </w:pPr>
      <w:r>
        <w:rPr>
          <w:sz w:val="20"/>
          <w:szCs w:val="20"/>
        </w:rPr>
        <w:t>357</w:t>
      </w:r>
      <w:r w:rsidR="00007F04">
        <w:rPr>
          <w:sz w:val="20"/>
          <w:szCs w:val="20"/>
        </w:rPr>
        <w:t>.</w:t>
      </w:r>
      <w:r w:rsidR="00007F04">
        <w:rPr>
          <w:sz w:val="20"/>
          <w:szCs w:val="20"/>
        </w:rPr>
        <w:tab/>
      </w:r>
      <w:r w:rsidR="00323457" w:rsidRPr="0059638B">
        <w:rPr>
          <w:sz w:val="20"/>
          <w:szCs w:val="20"/>
        </w:rPr>
        <w:t>International Service for Human Rights, in the joint statement with CIVICUS - World Alliance for Citizen Participation, called upon the Saudi authorities to immediately and unconditionally release individuals detained for exercising their fundamental freedoms and drop all charges against them. The organizations regretted that recommendations calling for their release were rejected, despite the fact that women human rights defenders were only detained because they demanded their right to exist equally as men and human rights defenders had been sentenced to hefty prison sentences solely for their legitimate defence of human rights. They urged revising the counter terrorism and the anti-cybercrime laws, but regretted that the Saudi Government rejected the recommendations made to amend the law on associations. They called on Saudi Arabia to honour their obligations as a member to the Council, including by accepting visit requests of special procedures.</w:t>
      </w:r>
    </w:p>
    <w:p w14:paraId="120E29DB" w14:textId="78283429" w:rsidR="00323457" w:rsidRPr="0059638B" w:rsidRDefault="00583EAF" w:rsidP="00323457">
      <w:pPr>
        <w:pStyle w:val="SingleTxtG"/>
        <w:rPr>
          <w:sz w:val="20"/>
          <w:szCs w:val="20"/>
        </w:rPr>
      </w:pPr>
      <w:r>
        <w:rPr>
          <w:sz w:val="20"/>
          <w:szCs w:val="20"/>
        </w:rPr>
        <w:t>358</w:t>
      </w:r>
      <w:r w:rsidR="00007F04">
        <w:rPr>
          <w:sz w:val="20"/>
          <w:szCs w:val="20"/>
        </w:rPr>
        <w:t>.</w:t>
      </w:r>
      <w:r w:rsidR="00007F04">
        <w:rPr>
          <w:sz w:val="20"/>
          <w:szCs w:val="20"/>
        </w:rPr>
        <w:tab/>
      </w:r>
      <w:r w:rsidR="00323457" w:rsidRPr="0059638B">
        <w:rPr>
          <w:sz w:val="20"/>
          <w:szCs w:val="20"/>
        </w:rPr>
        <w:t>British Humanist Association welcomed recommendations from several States that Saudi Arabia should amend legislation to guarantee freedom of religion, conscience, and belief, and accede to the International Covenant on Civil and Political Rights. It stated that there was no freedom of religion or belief in Saudi Arabia and public practice of any religion or belief other than Islam was prohibited. Blasphemy and apostasy remained as crimes, with the latter carrying the death penalty, including under the new anti-terrorism legislation, which defines atheism as terrorism. There were minimal improvements in freedom of religion or belief with individuals, who had expressed humanist beliefs or defended human rights, facing imprisonment, lashes, and capital punishment. Improvements in freedom of religion or belief have been minimal.</w:t>
      </w:r>
    </w:p>
    <w:p w14:paraId="446878F2" w14:textId="7E6AEF1E" w:rsidR="00323457" w:rsidRPr="0059638B" w:rsidRDefault="00583EAF" w:rsidP="00323457">
      <w:pPr>
        <w:pStyle w:val="SingleTxtG"/>
        <w:rPr>
          <w:sz w:val="20"/>
          <w:szCs w:val="20"/>
        </w:rPr>
      </w:pPr>
      <w:r>
        <w:rPr>
          <w:sz w:val="20"/>
          <w:szCs w:val="20"/>
        </w:rPr>
        <w:lastRenderedPageBreak/>
        <w:t>359</w:t>
      </w:r>
      <w:r w:rsidR="00007F04">
        <w:rPr>
          <w:sz w:val="20"/>
          <w:szCs w:val="20"/>
        </w:rPr>
        <w:t>.</w:t>
      </w:r>
      <w:r w:rsidR="00007F04">
        <w:rPr>
          <w:sz w:val="20"/>
          <w:szCs w:val="20"/>
        </w:rPr>
        <w:tab/>
      </w:r>
      <w:r w:rsidR="00323457" w:rsidRPr="0059638B">
        <w:rPr>
          <w:sz w:val="20"/>
          <w:szCs w:val="20"/>
        </w:rPr>
        <w:t>Human Rights Watch joined in urging the immediate release of all human rights defenders and stated that, while the ban on women driving was abolished, other government-enforced guardian restrictions remain in place, including on travel. It urged Saudi Arabia to establish a moratorium on the death penalty. It regretted that Saudi Arabia rejected a recommendation to fully cooperate with United Nations human rights mechanisms to investigate allegations of violations of international humanitarian law in Yemen. Since March 2015, it has documented about 90 apparently unlawful attacks by the Saudi-led coalition, some of which may amount to war crimes. Human Rights Watch urged Saudi Arabia to comply with human rights law, as it is a member of the Council, and cooperate with the Council mechanisms. It urged the 36 States, which presented the joint statement to the Council, to ensure stronger measures are put in place through a resolution.</w:t>
      </w:r>
    </w:p>
    <w:p w14:paraId="76F4B334" w14:textId="5FCFFC6B" w:rsidR="00323457" w:rsidRPr="0059638B" w:rsidRDefault="00583EAF" w:rsidP="00323457">
      <w:pPr>
        <w:pStyle w:val="SingleTxtG"/>
        <w:rPr>
          <w:sz w:val="20"/>
          <w:szCs w:val="20"/>
        </w:rPr>
      </w:pPr>
      <w:r>
        <w:rPr>
          <w:sz w:val="20"/>
          <w:szCs w:val="20"/>
        </w:rPr>
        <w:t>360</w:t>
      </w:r>
      <w:r w:rsidR="00007F04">
        <w:rPr>
          <w:sz w:val="20"/>
          <w:szCs w:val="20"/>
        </w:rPr>
        <w:t>.</w:t>
      </w:r>
      <w:r w:rsidR="00007F04">
        <w:rPr>
          <w:sz w:val="20"/>
          <w:szCs w:val="20"/>
        </w:rPr>
        <w:tab/>
      </w:r>
      <w:r w:rsidR="00323457" w:rsidRPr="0059638B">
        <w:rPr>
          <w:sz w:val="20"/>
          <w:szCs w:val="20"/>
        </w:rPr>
        <w:t>International Humanist and Ethical Union stated that women face severe restrictions and discrimination in their daily lives, through the guardianship system, forced dress code and inequality under personal status law. It regretted the rejection of the recommendation to withdraw, from the Convention on the Elimination of All Forms of Discrimination against Women, the reservation giving precedence to sharia law. It welcomed the replacement of the 2014 anti-terrorism legislation with the 2017 version, however, was concerned about the broad definition of terrorism that encompassed peaceful dissent and protest. It was heartened to see that the new law no longer explicitly equated atheist as terrorists, however, stated that atheist might be still persecuted by subversive speech, urging respect of freedom of religion and belief.</w:t>
      </w:r>
    </w:p>
    <w:p w14:paraId="248BC32F" w14:textId="67FAE349" w:rsidR="00323457" w:rsidRPr="0059638B" w:rsidRDefault="00583EAF" w:rsidP="00323457">
      <w:pPr>
        <w:pStyle w:val="SingleTxtG"/>
        <w:rPr>
          <w:sz w:val="20"/>
          <w:szCs w:val="20"/>
        </w:rPr>
      </w:pPr>
      <w:r>
        <w:rPr>
          <w:sz w:val="20"/>
          <w:szCs w:val="20"/>
        </w:rPr>
        <w:t>361</w:t>
      </w:r>
      <w:r w:rsidR="00007F04">
        <w:rPr>
          <w:sz w:val="20"/>
          <w:szCs w:val="20"/>
        </w:rPr>
        <w:t>.</w:t>
      </w:r>
      <w:r w:rsidR="00007F04">
        <w:rPr>
          <w:sz w:val="20"/>
          <w:szCs w:val="20"/>
        </w:rPr>
        <w:tab/>
      </w:r>
      <w:r w:rsidR="00323457" w:rsidRPr="0059638B">
        <w:rPr>
          <w:sz w:val="20"/>
          <w:szCs w:val="20"/>
        </w:rPr>
        <w:t xml:space="preserve">The Charitable Institute for Protecting Social Victims stated that international organizations repeatedly accused Saudi Arabia of great human rights violations. It noted that the Saudi authorities continue to repress peaceful activists and harass writers, online commentators and others who exercised their right to freedom of expression. In addition, many human rights defenders were detained or sentenced to death after unfair trials. The Charitable Institute for Protecting Social Victims called on Saudi Arabia to fulfil its human rights obligations and respect freedom of expression, assembly and religion; and carry out an accurate investigation of war crimes committed by its forces in Yemen and hold those responsible to account. </w:t>
      </w:r>
    </w:p>
    <w:p w14:paraId="20CBAE21" w14:textId="22EAA76B" w:rsidR="00323457" w:rsidRPr="0059638B" w:rsidRDefault="00583EAF" w:rsidP="00323457">
      <w:pPr>
        <w:pStyle w:val="SingleTxtG"/>
        <w:rPr>
          <w:sz w:val="20"/>
          <w:szCs w:val="20"/>
        </w:rPr>
      </w:pPr>
      <w:r>
        <w:rPr>
          <w:sz w:val="20"/>
          <w:szCs w:val="20"/>
        </w:rPr>
        <w:t>362</w:t>
      </w:r>
      <w:r w:rsidR="00007F04">
        <w:rPr>
          <w:sz w:val="20"/>
          <w:szCs w:val="20"/>
        </w:rPr>
        <w:t>.</w:t>
      </w:r>
      <w:r w:rsidR="00007F04">
        <w:rPr>
          <w:sz w:val="20"/>
          <w:szCs w:val="20"/>
        </w:rPr>
        <w:tab/>
      </w:r>
      <w:r w:rsidR="00323457" w:rsidRPr="0059638B">
        <w:rPr>
          <w:sz w:val="20"/>
          <w:szCs w:val="20"/>
        </w:rPr>
        <w:t>Amnesty International called for immediate and unconditional release of human rights defenders, detained and facing trial for their peaceful human rights work. It welcomed the acceptance of a number of recommendations, including the ratification of the two Covenants. It was concerned by the authorities</w:t>
      </w:r>
      <w:r w:rsidR="00D72627">
        <w:rPr>
          <w:sz w:val="20"/>
          <w:szCs w:val="20"/>
        </w:rPr>
        <w:t>’</w:t>
      </w:r>
      <w:r w:rsidR="00323457" w:rsidRPr="0059638B">
        <w:rPr>
          <w:sz w:val="20"/>
          <w:szCs w:val="20"/>
        </w:rPr>
        <w:t xml:space="preserve"> persistent refusal to address the longstanding systemic discrimination against minorities, women and migrant workers. It regretted that the authorities rejected recommendations to collaborate with and support the team of independent experts to investigate the death of Khashoggi. It stated that courts continue to impose death sentences and carry out executions following grossly unfair trials, including against individuals who were under 18 at the time of their offence, urging immediately establishing an official moratorium as a step towards abolishing it. It rejected the claim that freedom of expression and association are guaranteed by Saudi law, noted that no independent human rights organizations have been able to register under the Law on Associations, similarly with the continued use of the new counter-terror law that negatively impacted individual freedoms and is used to prosecute human rights defenders. It called on Saudi Arabia to end its systematic discrimination against women and abolish the male guardianship system.</w:t>
      </w:r>
    </w:p>
    <w:p w14:paraId="40E3E97A" w14:textId="1D2A67B6" w:rsidR="00323457" w:rsidRPr="0059638B" w:rsidRDefault="00583EAF" w:rsidP="00323457">
      <w:pPr>
        <w:pStyle w:val="SingleTxtG"/>
        <w:rPr>
          <w:sz w:val="20"/>
          <w:szCs w:val="20"/>
        </w:rPr>
      </w:pPr>
      <w:r>
        <w:rPr>
          <w:sz w:val="20"/>
          <w:szCs w:val="20"/>
        </w:rPr>
        <w:t>363</w:t>
      </w:r>
      <w:r w:rsidR="00007F04">
        <w:rPr>
          <w:sz w:val="20"/>
          <w:szCs w:val="20"/>
        </w:rPr>
        <w:t>.</w:t>
      </w:r>
      <w:r w:rsidR="00007F04">
        <w:rPr>
          <w:sz w:val="20"/>
          <w:szCs w:val="20"/>
        </w:rPr>
        <w:tab/>
      </w:r>
      <w:r w:rsidR="00323457" w:rsidRPr="0059638B">
        <w:rPr>
          <w:sz w:val="20"/>
          <w:szCs w:val="20"/>
        </w:rPr>
        <w:t xml:space="preserve">Ertegha Keyfiat Zendegi Iranian Charitable Institute stated that local NGOs expressed concerns on the catastrophic situation of all civilians, especially children in Yemen. It urged Saudi Arabia to: ensure that humanitarian assistance reach all Yemenis, especially children and that the basic human rights to food, clean water and medicine is guaranteed for all children without discrimination; guarantee full protection of civil neighbourhoods against air strikes so that the right to life and the right to health and education of the people, especially </w:t>
      </w:r>
      <w:r w:rsidR="00323457" w:rsidRPr="0059638B">
        <w:rPr>
          <w:sz w:val="20"/>
          <w:szCs w:val="20"/>
        </w:rPr>
        <w:lastRenderedPageBreak/>
        <w:t>children, are protected; ensure that all patients, including children, have access to medical care; and prevent loss of life due to shortage</w:t>
      </w:r>
      <w:r w:rsidR="004B7C70">
        <w:rPr>
          <w:sz w:val="20"/>
          <w:szCs w:val="20"/>
        </w:rPr>
        <w:t xml:space="preserve"> </w:t>
      </w:r>
      <w:r w:rsidR="00323457" w:rsidRPr="0059638B">
        <w:rPr>
          <w:sz w:val="20"/>
          <w:szCs w:val="20"/>
        </w:rPr>
        <w:t xml:space="preserve">of medicine or medical care. </w:t>
      </w:r>
    </w:p>
    <w:p w14:paraId="0280BDB9" w14:textId="7CA8F1D4" w:rsidR="00323457" w:rsidRPr="0059638B" w:rsidRDefault="00583EAF" w:rsidP="00323457">
      <w:pPr>
        <w:pStyle w:val="SingleTxtG"/>
        <w:rPr>
          <w:sz w:val="20"/>
          <w:szCs w:val="20"/>
        </w:rPr>
      </w:pPr>
      <w:r>
        <w:rPr>
          <w:sz w:val="20"/>
          <w:szCs w:val="20"/>
        </w:rPr>
        <w:t>364</w:t>
      </w:r>
      <w:r w:rsidR="00007F04">
        <w:rPr>
          <w:sz w:val="20"/>
          <w:szCs w:val="20"/>
        </w:rPr>
        <w:t>.</w:t>
      </w:r>
      <w:r w:rsidR="00007F04">
        <w:rPr>
          <w:sz w:val="20"/>
          <w:szCs w:val="20"/>
        </w:rPr>
        <w:tab/>
      </w:r>
      <w:r w:rsidR="00323457" w:rsidRPr="0059638B">
        <w:rPr>
          <w:sz w:val="20"/>
          <w:szCs w:val="20"/>
        </w:rPr>
        <w:t>Organization for Defending Victims of Violence urged Saudi Arabia to; guarantee a safe environment for freedom of expression exercised by journalists and prevent their harassment, arbitrary arrest or murder; clarify how the Kingdom was going to guarantee an independent and accurate investigation into the murder of Jamal Khashoggi; describe the steps taken for the establishment of a national human rights institution, in line with the accepted universal periodic review recommendations. It urged Saudi Arabia to amend the definition of terrorism in the counter-terrorism and cybercrime laws, so that it does not lead to prosecution of women</w:t>
      </w:r>
      <w:r w:rsidR="00D72627">
        <w:rPr>
          <w:sz w:val="20"/>
          <w:szCs w:val="20"/>
        </w:rPr>
        <w:t>’</w:t>
      </w:r>
      <w:r w:rsidR="00323457" w:rsidRPr="0059638B">
        <w:rPr>
          <w:sz w:val="20"/>
          <w:szCs w:val="20"/>
        </w:rPr>
        <w:t>s rights defenders, non-violent human rights activists, political dissidents, religious and Shia minorities, and other persons merely for exercising their human rights. It urged Saudi Arabia to respect international humanitarian law and cooperate with the Council mechanisms on Yemen.</w:t>
      </w:r>
    </w:p>
    <w:p w14:paraId="1FFB11DD" w14:textId="6E004F88" w:rsidR="00323457" w:rsidRPr="0059638B" w:rsidRDefault="00914E93" w:rsidP="00914E93">
      <w:pPr>
        <w:pStyle w:val="H23G"/>
        <w:rPr>
          <w:sz w:val="20"/>
          <w:szCs w:val="20"/>
        </w:rPr>
      </w:pPr>
      <w:r>
        <w:rPr>
          <w:sz w:val="20"/>
          <w:szCs w:val="20"/>
        </w:rPr>
        <w:tab/>
      </w:r>
      <w:r w:rsidR="00323457" w:rsidRPr="0059638B">
        <w:rPr>
          <w:sz w:val="20"/>
          <w:szCs w:val="20"/>
        </w:rPr>
        <w:t>4.</w:t>
      </w:r>
      <w:r w:rsidR="00323457" w:rsidRPr="0059638B">
        <w:rPr>
          <w:sz w:val="20"/>
          <w:szCs w:val="20"/>
        </w:rPr>
        <w:tab/>
        <w:t>Concluding remarks of the State under review</w:t>
      </w:r>
    </w:p>
    <w:p w14:paraId="7DE912D7" w14:textId="68BC145B" w:rsidR="00323457" w:rsidRPr="0059638B" w:rsidRDefault="00583EAF" w:rsidP="00323457">
      <w:pPr>
        <w:pStyle w:val="SingleTxtG"/>
        <w:rPr>
          <w:sz w:val="20"/>
          <w:szCs w:val="20"/>
        </w:rPr>
      </w:pPr>
      <w:r>
        <w:rPr>
          <w:sz w:val="20"/>
          <w:szCs w:val="20"/>
        </w:rPr>
        <w:t>365</w:t>
      </w:r>
      <w:r w:rsidR="00007F04">
        <w:rPr>
          <w:sz w:val="20"/>
          <w:szCs w:val="20"/>
        </w:rPr>
        <w:t>.</w:t>
      </w:r>
      <w:r w:rsidR="00007F04">
        <w:rPr>
          <w:sz w:val="20"/>
          <w:szCs w:val="20"/>
        </w:rPr>
        <w:tab/>
      </w:r>
      <w:r w:rsidR="00323457" w:rsidRPr="0059638B">
        <w:rPr>
          <w:sz w:val="20"/>
          <w:szCs w:val="20"/>
        </w:rPr>
        <w:t xml:space="preserve">The Vice-President stated that, based on the information provided, out of 258 recommendations received, 182 enjoyed the support of </w:t>
      </w:r>
      <w:r w:rsidR="00323457" w:rsidRPr="0059638B">
        <w:rPr>
          <w:bCs/>
          <w:sz w:val="20"/>
          <w:szCs w:val="20"/>
        </w:rPr>
        <w:t>Saudi Arabia</w:t>
      </w:r>
      <w:r w:rsidR="00323457" w:rsidRPr="0059638B">
        <w:rPr>
          <w:sz w:val="20"/>
          <w:szCs w:val="20"/>
        </w:rPr>
        <w:t xml:space="preserve"> and 76 were noted.</w:t>
      </w:r>
    </w:p>
    <w:p w14:paraId="7184C4DA" w14:textId="77CC6B96" w:rsidR="00323457" w:rsidRPr="0059638B" w:rsidRDefault="00583EAF" w:rsidP="00323457">
      <w:pPr>
        <w:pStyle w:val="SingleTxtG"/>
        <w:rPr>
          <w:sz w:val="20"/>
          <w:szCs w:val="20"/>
        </w:rPr>
      </w:pPr>
      <w:r>
        <w:rPr>
          <w:sz w:val="20"/>
          <w:szCs w:val="20"/>
        </w:rPr>
        <w:t>366</w:t>
      </w:r>
      <w:r w:rsidR="00007F04">
        <w:rPr>
          <w:sz w:val="20"/>
          <w:szCs w:val="20"/>
        </w:rPr>
        <w:t>.</w:t>
      </w:r>
      <w:r w:rsidR="00007F04">
        <w:rPr>
          <w:sz w:val="20"/>
          <w:szCs w:val="20"/>
        </w:rPr>
        <w:tab/>
      </w:r>
      <w:r w:rsidR="00323457" w:rsidRPr="0059638B">
        <w:rPr>
          <w:sz w:val="20"/>
          <w:szCs w:val="20"/>
        </w:rPr>
        <w:t>The head of the Saudi delegation added that legitimate peaceful practices are not criminalised but guaranteed by the laws, as long as they are exercised in an objective context that does not prejudice national security, public order, public morals, public health, the rights and freedoms of others and other necessary restrictions stipulated in the international human rights law. Thus, the claim that some persons have been arrested or detained for exercising their freedom of speech or defence of human rights is totally untrue. Further, such persons were either arrested or detained due to their accusation or conviction of committing acts that are criminalised by the laws of the Kingdom, and some of these acts are prohibited as well under the international human rights law.</w:t>
      </w:r>
    </w:p>
    <w:p w14:paraId="0D80DE0D" w14:textId="2D72A225" w:rsidR="00323457" w:rsidRPr="0059638B" w:rsidRDefault="00583EAF" w:rsidP="00323457">
      <w:pPr>
        <w:pStyle w:val="SingleTxtG"/>
        <w:rPr>
          <w:sz w:val="20"/>
          <w:szCs w:val="20"/>
        </w:rPr>
      </w:pPr>
      <w:r>
        <w:rPr>
          <w:sz w:val="20"/>
          <w:szCs w:val="20"/>
        </w:rPr>
        <w:t>367</w:t>
      </w:r>
      <w:r w:rsidR="00007F04">
        <w:rPr>
          <w:sz w:val="20"/>
          <w:szCs w:val="20"/>
        </w:rPr>
        <w:t>.</w:t>
      </w:r>
      <w:r w:rsidR="00007F04">
        <w:rPr>
          <w:sz w:val="20"/>
          <w:szCs w:val="20"/>
        </w:rPr>
        <w:tab/>
      </w:r>
      <w:r w:rsidR="00323457" w:rsidRPr="0059638B">
        <w:rPr>
          <w:sz w:val="20"/>
          <w:szCs w:val="20"/>
        </w:rPr>
        <w:t>In response to allegations of torture and degrading treatment of some detainees and prisoners, the Saudi delegation stated that the laws of the Kingdom criminalise torture and degrading treatment in all their forms and shapes. Thus, any person claiming to have been subjected to torture, degrading treatment or abuse of any of his rights guaranteed by the laws of the Kingdom, can, pursuant to such laws, have recourse to remedies, including the Public Prosecution, the Human Rights Commission, the National Society for Human Rights and other bodies. In addition, a person who claims to have been subjected to torture or degrading treatment have recourse to the judiciary.</w:t>
      </w:r>
    </w:p>
    <w:p w14:paraId="7F1BAFCC" w14:textId="07D6C30D" w:rsidR="00323457" w:rsidRPr="0059638B" w:rsidRDefault="00583EAF" w:rsidP="00914E93">
      <w:pPr>
        <w:pStyle w:val="SingleTxtG"/>
        <w:rPr>
          <w:sz w:val="20"/>
          <w:szCs w:val="20"/>
        </w:rPr>
      </w:pPr>
      <w:r>
        <w:rPr>
          <w:sz w:val="20"/>
          <w:szCs w:val="20"/>
        </w:rPr>
        <w:t>368</w:t>
      </w:r>
      <w:r w:rsidR="00007F04">
        <w:rPr>
          <w:sz w:val="20"/>
          <w:szCs w:val="20"/>
        </w:rPr>
        <w:t>.</w:t>
      </w:r>
      <w:r w:rsidR="00007F04">
        <w:rPr>
          <w:sz w:val="20"/>
          <w:szCs w:val="20"/>
        </w:rPr>
        <w:tab/>
      </w:r>
      <w:r w:rsidR="00323457" w:rsidRPr="0059638B">
        <w:rPr>
          <w:sz w:val="20"/>
          <w:szCs w:val="20"/>
        </w:rPr>
        <w:t>Finally, the head of delegation stressed that Saudi Arabia will work to implement the recommendations, which they supported. He looked forward to the Human Rights Council to achieve its goals in an atmosphere of cooperation, understanding and dialogue based on the principles of respecting sovereignty of States and the nationa</w:t>
      </w:r>
      <w:r w:rsidR="00914E93">
        <w:rPr>
          <w:sz w:val="20"/>
          <w:szCs w:val="20"/>
        </w:rPr>
        <w:t>l and regional characteristics.</w:t>
      </w:r>
    </w:p>
    <w:p w14:paraId="64340ED5" w14:textId="0EC8B986" w:rsidR="00323457" w:rsidRPr="00914E93" w:rsidRDefault="00914E93" w:rsidP="00914E93">
      <w:pPr>
        <w:pStyle w:val="H23G"/>
        <w:rPr>
          <w:sz w:val="20"/>
          <w:szCs w:val="20"/>
        </w:rPr>
      </w:pPr>
      <w:r>
        <w:rPr>
          <w:sz w:val="20"/>
          <w:szCs w:val="20"/>
        </w:rPr>
        <w:tab/>
      </w:r>
      <w:r>
        <w:rPr>
          <w:sz w:val="20"/>
          <w:szCs w:val="20"/>
        </w:rPr>
        <w:tab/>
      </w:r>
      <w:r w:rsidR="00323457" w:rsidRPr="00914E93">
        <w:rPr>
          <w:sz w:val="20"/>
          <w:szCs w:val="20"/>
        </w:rPr>
        <w:t>Senegal</w:t>
      </w:r>
    </w:p>
    <w:p w14:paraId="0ACE93F6" w14:textId="3FBA0986" w:rsidR="00914E93" w:rsidRDefault="00583EAF" w:rsidP="00914E93">
      <w:pPr>
        <w:pStyle w:val="SingleTxtG"/>
        <w:rPr>
          <w:sz w:val="20"/>
          <w:szCs w:val="20"/>
        </w:rPr>
      </w:pPr>
      <w:r>
        <w:rPr>
          <w:sz w:val="20"/>
          <w:szCs w:val="20"/>
        </w:rPr>
        <w:t>369</w:t>
      </w:r>
      <w:r w:rsidR="00007F04">
        <w:rPr>
          <w:sz w:val="20"/>
          <w:szCs w:val="20"/>
        </w:rPr>
        <w:t>.</w:t>
      </w:r>
      <w:r w:rsidR="00007F04">
        <w:rPr>
          <w:sz w:val="20"/>
          <w:szCs w:val="20"/>
        </w:rPr>
        <w:tab/>
      </w:r>
      <w:r w:rsidR="00323457" w:rsidRPr="0059638B">
        <w:rPr>
          <w:sz w:val="20"/>
          <w:szCs w:val="20"/>
        </w:rPr>
        <w:t>The review of Senegal was held on 5 November 2018 in conformity with all the relevant provisions contained in relevant Human Rights Council resolutions and decisions, and was bas</w:t>
      </w:r>
      <w:r w:rsidR="00914E93">
        <w:rPr>
          <w:sz w:val="20"/>
          <w:szCs w:val="20"/>
        </w:rPr>
        <w:t xml:space="preserve">ed on the following documents: </w:t>
      </w:r>
    </w:p>
    <w:p w14:paraId="2E80B15C" w14:textId="1F152F91" w:rsidR="00323457" w:rsidRPr="0059638B" w:rsidRDefault="00323457" w:rsidP="00914E93">
      <w:pPr>
        <w:pStyle w:val="SingleTxtG"/>
        <w:ind w:firstLine="555"/>
        <w:rPr>
          <w:sz w:val="20"/>
          <w:szCs w:val="20"/>
        </w:rPr>
      </w:pPr>
      <w:r w:rsidRPr="0059638B">
        <w:rPr>
          <w:sz w:val="20"/>
          <w:szCs w:val="20"/>
        </w:rPr>
        <w:t>(a)</w:t>
      </w:r>
      <w:r w:rsidRPr="0059638B">
        <w:rPr>
          <w:sz w:val="20"/>
          <w:szCs w:val="20"/>
        </w:rPr>
        <w:tab/>
        <w:t xml:space="preserve">The national report submitted by Senegal in accordance with paragraph 15 of the annex to Council resolution 5/1 and paragraph 5 of the annex to Council resolution 16/21 (A/HRC/WG.6/31/SEN/1); </w:t>
      </w:r>
    </w:p>
    <w:p w14:paraId="1A20E33A" w14:textId="632DA637" w:rsidR="00323457" w:rsidRPr="0059638B" w:rsidRDefault="00323457" w:rsidP="00914E93">
      <w:pPr>
        <w:pStyle w:val="SingleTxtG"/>
        <w:ind w:firstLine="555"/>
        <w:rPr>
          <w:sz w:val="20"/>
          <w:szCs w:val="20"/>
        </w:rPr>
      </w:pPr>
      <w:r w:rsidRPr="0059638B">
        <w:rPr>
          <w:sz w:val="20"/>
          <w:szCs w:val="20"/>
        </w:rPr>
        <w:t>(b)</w:t>
      </w:r>
      <w:r w:rsidRPr="0059638B">
        <w:rPr>
          <w:sz w:val="20"/>
          <w:szCs w:val="20"/>
        </w:rPr>
        <w:tab/>
        <w:t xml:space="preserve">The compilation prepared by </w:t>
      </w:r>
      <w:r>
        <w:rPr>
          <w:sz w:val="20"/>
          <w:szCs w:val="20"/>
        </w:rPr>
        <w:t xml:space="preserve">the </w:t>
      </w:r>
      <w:r w:rsidRPr="00914E93">
        <w:rPr>
          <w:sz w:val="20"/>
          <w:szCs w:val="20"/>
        </w:rPr>
        <w:t>Office of the United Nations High Commissioner for Human Rights</w:t>
      </w:r>
      <w:r w:rsidRPr="0059638B">
        <w:rPr>
          <w:sz w:val="20"/>
          <w:szCs w:val="20"/>
        </w:rPr>
        <w:t xml:space="preserve"> in accordance with paragraph 15 of the annex to Council resolution 5/1 and paragraph 5 of the annex to Council resolution 16/21 (A/HRC/WG.6/31/SEN/2); </w:t>
      </w:r>
    </w:p>
    <w:p w14:paraId="7AB9E283" w14:textId="18674B17" w:rsidR="00323457" w:rsidRPr="0059638B" w:rsidRDefault="00323457" w:rsidP="00914E93">
      <w:pPr>
        <w:pStyle w:val="SingleTxtG"/>
        <w:ind w:firstLine="555"/>
        <w:rPr>
          <w:sz w:val="20"/>
          <w:szCs w:val="20"/>
        </w:rPr>
      </w:pPr>
      <w:r w:rsidRPr="0059638B">
        <w:rPr>
          <w:sz w:val="20"/>
          <w:szCs w:val="20"/>
        </w:rPr>
        <w:lastRenderedPageBreak/>
        <w:t>(c)</w:t>
      </w:r>
      <w:r w:rsidRPr="0059638B">
        <w:rPr>
          <w:sz w:val="20"/>
          <w:szCs w:val="20"/>
        </w:rPr>
        <w:tab/>
        <w:t xml:space="preserve">The summary prepared by </w:t>
      </w:r>
      <w:r>
        <w:rPr>
          <w:sz w:val="20"/>
          <w:szCs w:val="20"/>
        </w:rPr>
        <w:t xml:space="preserve">the </w:t>
      </w:r>
      <w:r w:rsidRPr="00914E93">
        <w:rPr>
          <w:sz w:val="20"/>
          <w:szCs w:val="20"/>
        </w:rPr>
        <w:t>Office of the United Nations High Commissioner for Human Rights</w:t>
      </w:r>
      <w:r w:rsidRPr="0059638B">
        <w:rPr>
          <w:sz w:val="20"/>
          <w:szCs w:val="20"/>
        </w:rPr>
        <w:t xml:space="preserve"> in accordance with paragraph 15 of the annex to Council resolution 5/1 and paragraph 5 of the annex to Council resolution 16/21 (A/HRC/WG.6/31/SEN/3).</w:t>
      </w:r>
    </w:p>
    <w:p w14:paraId="4833AF81" w14:textId="3C70D992" w:rsidR="00323457" w:rsidRPr="0059638B" w:rsidRDefault="00583EAF" w:rsidP="00323457">
      <w:pPr>
        <w:pStyle w:val="SingleTxtG"/>
        <w:rPr>
          <w:sz w:val="20"/>
          <w:szCs w:val="20"/>
        </w:rPr>
      </w:pPr>
      <w:r>
        <w:rPr>
          <w:sz w:val="20"/>
          <w:szCs w:val="20"/>
        </w:rPr>
        <w:t>370</w:t>
      </w:r>
      <w:r w:rsidR="00007F04">
        <w:rPr>
          <w:sz w:val="20"/>
          <w:szCs w:val="20"/>
        </w:rPr>
        <w:t>.</w:t>
      </w:r>
      <w:r w:rsidR="00007F04">
        <w:rPr>
          <w:sz w:val="20"/>
          <w:szCs w:val="20"/>
        </w:rPr>
        <w:tab/>
      </w:r>
      <w:r w:rsidR="00323457" w:rsidRPr="0059638B">
        <w:rPr>
          <w:sz w:val="20"/>
          <w:szCs w:val="20"/>
        </w:rPr>
        <w:t>At its 35th meeting, on 14 March 2019, the Human Rights Council considered and adopted the outcome of the review of Senegal (see sect. C below).</w:t>
      </w:r>
    </w:p>
    <w:p w14:paraId="01E0C1B5" w14:textId="650561CF" w:rsidR="00323457" w:rsidRPr="0059638B" w:rsidRDefault="00583EAF" w:rsidP="00323457">
      <w:pPr>
        <w:pStyle w:val="SingleTxtG"/>
        <w:rPr>
          <w:color w:val="FF0000"/>
          <w:sz w:val="20"/>
          <w:szCs w:val="20"/>
        </w:rPr>
      </w:pPr>
      <w:r>
        <w:rPr>
          <w:sz w:val="20"/>
          <w:szCs w:val="20"/>
        </w:rPr>
        <w:t>371</w:t>
      </w:r>
      <w:r w:rsidR="00007F04">
        <w:rPr>
          <w:sz w:val="20"/>
          <w:szCs w:val="20"/>
        </w:rPr>
        <w:t>.</w:t>
      </w:r>
      <w:r w:rsidR="00007F04">
        <w:rPr>
          <w:sz w:val="20"/>
          <w:szCs w:val="20"/>
        </w:rPr>
        <w:tab/>
      </w:r>
      <w:r w:rsidR="00323457" w:rsidRPr="0059638B">
        <w:rPr>
          <w:sz w:val="20"/>
          <w:szCs w:val="20"/>
        </w:rPr>
        <w:t xml:space="preserve">The outcome of the review of Senegal comprises the report of the Working Group on the Universal Periodic Review (A/HRC/40/5) and the views of Senegal concerning the recommendations and/or conclusions, as well as its voluntary commitments and its replies to questions or issues that were not sufficiently addressed during the interactive dialogue in the Working Group, and which were presented before the adoption of the outcome by the plenary. </w:t>
      </w:r>
    </w:p>
    <w:p w14:paraId="2673E810" w14:textId="77777777" w:rsidR="00323457" w:rsidRPr="0059638B" w:rsidRDefault="00323457" w:rsidP="00323457">
      <w:pPr>
        <w:pStyle w:val="H23G"/>
        <w:rPr>
          <w:sz w:val="20"/>
          <w:szCs w:val="20"/>
        </w:rPr>
      </w:pPr>
      <w:r w:rsidRPr="0059638B">
        <w:rPr>
          <w:sz w:val="20"/>
          <w:szCs w:val="20"/>
        </w:rPr>
        <w:tab/>
        <w:t>1.</w:t>
      </w:r>
      <w:r w:rsidRPr="0059638B">
        <w:rPr>
          <w:sz w:val="20"/>
          <w:szCs w:val="20"/>
        </w:rPr>
        <w:tab/>
        <w:t>Views expressed by the State under review on the recommendations and/or conclusions, its voluntary commitments and the outcome</w:t>
      </w:r>
    </w:p>
    <w:p w14:paraId="479A8734" w14:textId="1559FA6F" w:rsidR="00323457" w:rsidRPr="0059638B" w:rsidRDefault="00583EAF" w:rsidP="00914E93">
      <w:pPr>
        <w:pStyle w:val="SingleTxtG"/>
        <w:rPr>
          <w:sz w:val="20"/>
          <w:szCs w:val="20"/>
        </w:rPr>
      </w:pPr>
      <w:r>
        <w:rPr>
          <w:sz w:val="20"/>
          <w:szCs w:val="20"/>
        </w:rPr>
        <w:t>372</w:t>
      </w:r>
      <w:r w:rsidR="00007F04">
        <w:rPr>
          <w:sz w:val="20"/>
          <w:szCs w:val="20"/>
        </w:rPr>
        <w:t>.</w:t>
      </w:r>
      <w:r w:rsidR="00007F04">
        <w:rPr>
          <w:sz w:val="20"/>
          <w:szCs w:val="20"/>
        </w:rPr>
        <w:tab/>
      </w:r>
      <w:r w:rsidR="00323457" w:rsidRPr="0059638B">
        <w:rPr>
          <w:sz w:val="20"/>
          <w:szCs w:val="20"/>
        </w:rPr>
        <w:t xml:space="preserve">Senegal reiterated the importance it gave to the mandate of the universal periodic review as a unique peer review. It thanked the Secretariat and the Troika (Chile, Democratic Republic of the Congo and Japan) for their support and organisation of its universal periodic review. </w:t>
      </w:r>
    </w:p>
    <w:p w14:paraId="0AB456F4" w14:textId="08B1A7AB" w:rsidR="00323457" w:rsidRPr="0059638B" w:rsidRDefault="00583EAF" w:rsidP="00914E93">
      <w:pPr>
        <w:pStyle w:val="SingleTxtG"/>
        <w:rPr>
          <w:sz w:val="20"/>
          <w:szCs w:val="20"/>
        </w:rPr>
      </w:pPr>
      <w:r>
        <w:rPr>
          <w:sz w:val="20"/>
          <w:szCs w:val="20"/>
        </w:rPr>
        <w:t>373</w:t>
      </w:r>
      <w:r w:rsidR="00007F04">
        <w:rPr>
          <w:sz w:val="20"/>
          <w:szCs w:val="20"/>
        </w:rPr>
        <w:t>.</w:t>
      </w:r>
      <w:r w:rsidR="00007F04">
        <w:rPr>
          <w:sz w:val="20"/>
          <w:szCs w:val="20"/>
        </w:rPr>
        <w:tab/>
      </w:r>
      <w:r w:rsidR="00323457" w:rsidRPr="0059638B">
        <w:rPr>
          <w:sz w:val="20"/>
          <w:szCs w:val="20"/>
        </w:rPr>
        <w:t xml:space="preserve">It highlighted the steps undertaken by Senegal to implement the accepted recommendations. Senegal informed that right after the Working Group session and upon its return to Dakar, the delegation had met with members of the national mechanism for reporting and follow-up, civil society, partners in the development sector, the national human rights institutions and other stakeholders in the field of human rights and media. </w:t>
      </w:r>
    </w:p>
    <w:p w14:paraId="7F306112" w14:textId="3C857A9E" w:rsidR="00323457" w:rsidRPr="0059638B" w:rsidRDefault="00583EAF" w:rsidP="00914E93">
      <w:pPr>
        <w:pStyle w:val="SingleTxtG"/>
        <w:rPr>
          <w:sz w:val="20"/>
          <w:szCs w:val="20"/>
        </w:rPr>
      </w:pPr>
      <w:r>
        <w:rPr>
          <w:sz w:val="20"/>
          <w:szCs w:val="20"/>
        </w:rPr>
        <w:t>374</w:t>
      </w:r>
      <w:r w:rsidR="00007F04">
        <w:rPr>
          <w:sz w:val="20"/>
          <w:szCs w:val="20"/>
        </w:rPr>
        <w:t>.</w:t>
      </w:r>
      <w:r w:rsidR="00007F04">
        <w:rPr>
          <w:sz w:val="20"/>
          <w:szCs w:val="20"/>
        </w:rPr>
        <w:tab/>
      </w:r>
      <w:r w:rsidR="00323457" w:rsidRPr="0059638B">
        <w:rPr>
          <w:sz w:val="20"/>
          <w:szCs w:val="20"/>
        </w:rPr>
        <w:t>The main objectives of the meeting were: to inform all states and non-state actors about the purpose and the challenges of the universal periodic review, the Working Group interactive dialogue, the importance of the implementation of the accepted recommendations in view of the international commitments undertaken by Senegal; the new prospects as the fourth universal periodic review of Senegal was approaching and the necessity to adopt an inclusive process involving all stakeholders for</w:t>
      </w:r>
      <w:r w:rsidR="004B7C70">
        <w:rPr>
          <w:sz w:val="20"/>
          <w:szCs w:val="20"/>
        </w:rPr>
        <w:t xml:space="preserve"> </w:t>
      </w:r>
      <w:r w:rsidR="00323457" w:rsidRPr="0059638B">
        <w:rPr>
          <w:sz w:val="20"/>
          <w:szCs w:val="20"/>
        </w:rPr>
        <w:t>better promotion and protection of human rights.</w:t>
      </w:r>
      <w:r w:rsidR="004B7C70">
        <w:rPr>
          <w:sz w:val="20"/>
          <w:szCs w:val="20"/>
        </w:rPr>
        <w:t xml:space="preserve"> </w:t>
      </w:r>
    </w:p>
    <w:p w14:paraId="360AB2FB" w14:textId="2BF97EFA" w:rsidR="00323457" w:rsidRPr="0059638B" w:rsidRDefault="00583EAF" w:rsidP="00914E93">
      <w:pPr>
        <w:pStyle w:val="SingleTxtG"/>
        <w:rPr>
          <w:sz w:val="20"/>
          <w:szCs w:val="20"/>
        </w:rPr>
      </w:pPr>
      <w:r>
        <w:rPr>
          <w:sz w:val="20"/>
          <w:szCs w:val="20"/>
        </w:rPr>
        <w:t>375</w:t>
      </w:r>
      <w:r w:rsidR="00007F04">
        <w:rPr>
          <w:sz w:val="20"/>
          <w:szCs w:val="20"/>
        </w:rPr>
        <w:t>.</w:t>
      </w:r>
      <w:r w:rsidR="00007F04">
        <w:rPr>
          <w:sz w:val="20"/>
          <w:szCs w:val="20"/>
        </w:rPr>
        <w:tab/>
      </w:r>
      <w:r w:rsidR="00323457" w:rsidRPr="0059638B">
        <w:rPr>
          <w:sz w:val="20"/>
          <w:szCs w:val="20"/>
        </w:rPr>
        <w:t>This meeting had been very fruitful, and subsequently, the National Advisory Council on Human Rights and on International Law (national mechanism for reporting and follow-up of Senegal) had begun clustering all the universal periodic review recommendations thematically, as well as those stemming from treaty bodies. This process had allowed Senegal to identify priority areas for a better planning and implementation of recommendations for the fourth universal periodic review cycle.</w:t>
      </w:r>
    </w:p>
    <w:p w14:paraId="1AA642D2" w14:textId="573AEC9F" w:rsidR="00323457" w:rsidRPr="0059638B" w:rsidRDefault="00583EAF" w:rsidP="00914E93">
      <w:pPr>
        <w:pStyle w:val="SingleTxtG"/>
        <w:rPr>
          <w:sz w:val="20"/>
          <w:szCs w:val="20"/>
        </w:rPr>
      </w:pPr>
      <w:r>
        <w:rPr>
          <w:sz w:val="20"/>
          <w:szCs w:val="20"/>
        </w:rPr>
        <w:t>376</w:t>
      </w:r>
      <w:r w:rsidR="00007F04">
        <w:rPr>
          <w:sz w:val="20"/>
          <w:szCs w:val="20"/>
        </w:rPr>
        <w:t>.</w:t>
      </w:r>
      <w:r w:rsidR="00007F04">
        <w:rPr>
          <w:sz w:val="20"/>
          <w:szCs w:val="20"/>
        </w:rPr>
        <w:tab/>
      </w:r>
      <w:r w:rsidR="00323457" w:rsidRPr="0059638B">
        <w:rPr>
          <w:sz w:val="20"/>
          <w:szCs w:val="20"/>
        </w:rPr>
        <w:t>The Government of Senegal, aware of the challenges ahead, hoped to defy them to respect human rights values as the best guarantors for rule of law and strong and lasting peace and democracy. In this context and based on its experiences from the previous cycles, Senegal had already undertaken a drastic reorganisation of its national mechanism for reporting and follow up to the recommendations from the international human rights mechanisms in view of a better cooperation and a more efficient follow up. This reform process had allowed Senegal to resolve delays in treaty bodies reporting in 2018.</w:t>
      </w:r>
    </w:p>
    <w:p w14:paraId="28EED2BF" w14:textId="085D7C2E" w:rsidR="00323457" w:rsidRPr="0059638B" w:rsidRDefault="00583EAF" w:rsidP="00914E93">
      <w:pPr>
        <w:pStyle w:val="SingleTxtG"/>
        <w:rPr>
          <w:sz w:val="20"/>
          <w:szCs w:val="20"/>
        </w:rPr>
      </w:pPr>
      <w:r>
        <w:rPr>
          <w:sz w:val="20"/>
          <w:szCs w:val="20"/>
        </w:rPr>
        <w:t>377</w:t>
      </w:r>
      <w:r w:rsidR="00007F04">
        <w:rPr>
          <w:sz w:val="20"/>
          <w:szCs w:val="20"/>
        </w:rPr>
        <w:t>.</w:t>
      </w:r>
      <w:r w:rsidR="00007F04">
        <w:rPr>
          <w:sz w:val="20"/>
          <w:szCs w:val="20"/>
        </w:rPr>
        <w:tab/>
      </w:r>
      <w:r w:rsidR="00323457" w:rsidRPr="0059638B">
        <w:rPr>
          <w:sz w:val="20"/>
          <w:szCs w:val="20"/>
        </w:rPr>
        <w:t>The delegation stressed that Senegal will spare no effort to continue this momentum for a better respect of human rights throughout the world. The respect for its commitments to the main legal human rights instruments had enabled Senegal to have a clear conscious of its obligation to implement recommendations and report the progress achieved at the next universal periodic review cycle.</w:t>
      </w:r>
    </w:p>
    <w:p w14:paraId="6D17B5BC" w14:textId="346287CA" w:rsidR="00323457" w:rsidRPr="00914E93" w:rsidRDefault="00D72627" w:rsidP="00914E93">
      <w:pPr>
        <w:pStyle w:val="H23G"/>
        <w:rPr>
          <w:sz w:val="20"/>
          <w:szCs w:val="20"/>
        </w:rPr>
      </w:pPr>
      <w:r>
        <w:rPr>
          <w:sz w:val="20"/>
          <w:szCs w:val="20"/>
        </w:rPr>
        <w:lastRenderedPageBreak/>
        <w:t xml:space="preserve">  </w:t>
      </w:r>
      <w:r w:rsidR="004B7C70" w:rsidRPr="00914E93">
        <w:rPr>
          <w:sz w:val="20"/>
          <w:szCs w:val="20"/>
        </w:rPr>
        <w:t xml:space="preserve"> </w:t>
      </w:r>
      <w:r w:rsidR="00914E93">
        <w:rPr>
          <w:sz w:val="20"/>
          <w:szCs w:val="20"/>
        </w:rPr>
        <w:tab/>
      </w:r>
      <w:r w:rsidR="00323457" w:rsidRPr="00914E93">
        <w:rPr>
          <w:sz w:val="20"/>
          <w:szCs w:val="20"/>
        </w:rPr>
        <w:t>2.</w:t>
      </w:r>
      <w:r w:rsidR="00323457" w:rsidRPr="00914E93">
        <w:rPr>
          <w:sz w:val="20"/>
          <w:szCs w:val="20"/>
        </w:rPr>
        <w:tab/>
        <w:t xml:space="preserve">Views expressed by Member and observer States of the Council on the outcome of </w:t>
      </w:r>
      <w:r w:rsidR="00583EAF" w:rsidRPr="00914E93">
        <w:rPr>
          <w:sz w:val="20"/>
          <w:szCs w:val="20"/>
        </w:rPr>
        <w:t>the</w:t>
      </w:r>
      <w:r w:rsidR="00583EAF">
        <w:rPr>
          <w:sz w:val="20"/>
          <w:szCs w:val="20"/>
        </w:rPr>
        <w:t xml:space="preserve"> review</w:t>
      </w:r>
      <w:r w:rsidR="00323457" w:rsidRPr="00914E93">
        <w:rPr>
          <w:sz w:val="20"/>
          <w:szCs w:val="20"/>
        </w:rPr>
        <w:t xml:space="preserve">. </w:t>
      </w:r>
    </w:p>
    <w:p w14:paraId="41A3F105" w14:textId="7292DE6D" w:rsidR="00323457" w:rsidRPr="0059638B" w:rsidRDefault="00583EAF" w:rsidP="00914E93">
      <w:pPr>
        <w:pStyle w:val="SingleTxtG"/>
        <w:rPr>
          <w:sz w:val="20"/>
          <w:szCs w:val="20"/>
        </w:rPr>
      </w:pPr>
      <w:r>
        <w:rPr>
          <w:sz w:val="20"/>
          <w:szCs w:val="20"/>
        </w:rPr>
        <w:t>378</w:t>
      </w:r>
      <w:r w:rsidR="00007F04">
        <w:rPr>
          <w:sz w:val="20"/>
          <w:szCs w:val="20"/>
        </w:rPr>
        <w:t>.</w:t>
      </w:r>
      <w:r w:rsidR="00007F04">
        <w:rPr>
          <w:sz w:val="20"/>
          <w:szCs w:val="20"/>
        </w:rPr>
        <w:tab/>
      </w:r>
      <w:r w:rsidR="00323457" w:rsidRPr="0059638B">
        <w:rPr>
          <w:sz w:val="20"/>
          <w:szCs w:val="20"/>
        </w:rPr>
        <w:t>During the adoption of the outcome of the review of Senegal, 13 delegations made statements.</w:t>
      </w:r>
      <w:r w:rsidR="00CC5A8D" w:rsidRPr="00CC5A8D">
        <w:rPr>
          <w:rStyle w:val="FootnoteReference"/>
          <w:sz w:val="20"/>
          <w:szCs w:val="20"/>
          <w:vertAlign w:val="baseline"/>
        </w:rPr>
        <w:footnoteReference w:customMarkFollows="1" w:id="46"/>
        <w:t>**</w:t>
      </w:r>
    </w:p>
    <w:p w14:paraId="5754B6FA" w14:textId="3248008D" w:rsidR="00323457" w:rsidRPr="0059638B" w:rsidRDefault="00583EAF" w:rsidP="00914E93">
      <w:pPr>
        <w:pStyle w:val="SingleTxtG"/>
        <w:rPr>
          <w:sz w:val="20"/>
          <w:szCs w:val="20"/>
        </w:rPr>
      </w:pPr>
      <w:r>
        <w:rPr>
          <w:sz w:val="20"/>
          <w:szCs w:val="20"/>
        </w:rPr>
        <w:t>379</w:t>
      </w:r>
      <w:r w:rsidR="00007F04">
        <w:rPr>
          <w:sz w:val="20"/>
          <w:szCs w:val="20"/>
        </w:rPr>
        <w:t>.</w:t>
      </w:r>
      <w:r w:rsidR="00007F04">
        <w:rPr>
          <w:sz w:val="20"/>
          <w:szCs w:val="20"/>
        </w:rPr>
        <w:tab/>
      </w:r>
      <w:r w:rsidR="00323457" w:rsidRPr="0059638B">
        <w:rPr>
          <w:sz w:val="20"/>
          <w:szCs w:val="20"/>
        </w:rPr>
        <w:t>Iraq expressed its acknowledgements to Senegal regarding the situation of human rights in the country. Iraq wished to express its appreciation for the acceptance of the recommendations it proposed to Senegal and hoped for the implementation of all the recommendations according to the provisions of the report. At last, Iraq commended the Human Rights Council mechanism and recommended the adoption of the report.</w:t>
      </w:r>
    </w:p>
    <w:p w14:paraId="59D7DEF2" w14:textId="0D5293BC" w:rsidR="00323457" w:rsidRPr="0059638B" w:rsidRDefault="00583EAF" w:rsidP="00914E93">
      <w:pPr>
        <w:pStyle w:val="SingleTxtG"/>
        <w:rPr>
          <w:sz w:val="20"/>
          <w:szCs w:val="20"/>
        </w:rPr>
      </w:pPr>
      <w:r>
        <w:rPr>
          <w:sz w:val="20"/>
          <w:szCs w:val="20"/>
        </w:rPr>
        <w:t>380</w:t>
      </w:r>
      <w:r w:rsidR="00007F04">
        <w:rPr>
          <w:sz w:val="20"/>
          <w:szCs w:val="20"/>
        </w:rPr>
        <w:t>.</w:t>
      </w:r>
      <w:r w:rsidR="00007F04">
        <w:rPr>
          <w:sz w:val="20"/>
          <w:szCs w:val="20"/>
        </w:rPr>
        <w:tab/>
      </w:r>
      <w:r w:rsidR="00323457" w:rsidRPr="0059638B">
        <w:rPr>
          <w:sz w:val="20"/>
          <w:szCs w:val="20"/>
        </w:rPr>
        <w:t xml:space="preserve">Lesotho applauded Senegal for accepting most of the constructive recommendations. It noted with appreciation the measures taken by Senegal to cooperate with international human rights mechanisms through, </w:t>
      </w:r>
      <w:r w:rsidR="00323457" w:rsidRPr="00914E93">
        <w:rPr>
          <w:sz w:val="20"/>
          <w:szCs w:val="20"/>
        </w:rPr>
        <w:t>inter alia</w:t>
      </w:r>
      <w:r w:rsidR="00323457" w:rsidRPr="0059638B">
        <w:rPr>
          <w:sz w:val="20"/>
          <w:szCs w:val="20"/>
        </w:rPr>
        <w:t xml:space="preserve">, reports, extending invitations and receiving special procedures mandate holders. Lesotho further welcomed the measures taken to protect and promote the rights of persons with disabilities through policies and programmes aimed at rehabilitating persons with disabilities. Finally, Lesotho encouraged Senegal to consider ratifying all outstanding human rights instruments. </w:t>
      </w:r>
    </w:p>
    <w:p w14:paraId="52E906D1" w14:textId="7C49D925" w:rsidR="00323457" w:rsidRPr="0059638B" w:rsidRDefault="00583EAF" w:rsidP="00914E93">
      <w:pPr>
        <w:pStyle w:val="SingleTxtG"/>
        <w:rPr>
          <w:sz w:val="20"/>
          <w:szCs w:val="20"/>
        </w:rPr>
      </w:pPr>
      <w:r>
        <w:rPr>
          <w:sz w:val="20"/>
          <w:szCs w:val="20"/>
        </w:rPr>
        <w:t>381</w:t>
      </w:r>
      <w:r w:rsidR="00007F04">
        <w:rPr>
          <w:sz w:val="20"/>
          <w:szCs w:val="20"/>
        </w:rPr>
        <w:t>.</w:t>
      </w:r>
      <w:r w:rsidR="00007F04">
        <w:rPr>
          <w:sz w:val="20"/>
          <w:szCs w:val="20"/>
        </w:rPr>
        <w:tab/>
      </w:r>
      <w:r w:rsidR="00323457" w:rsidRPr="0059638B">
        <w:rPr>
          <w:sz w:val="20"/>
          <w:szCs w:val="20"/>
        </w:rPr>
        <w:t xml:space="preserve">Madagascar noted with satisfaction the measures taken by Senegal to fight against torture and ill-treatment, the reduction of prison overcrowding as well as the universal access to health services and drinking water. Madagascar strongly encouraged Senegal to pursue its efforts in the promotion and protection of human rights. </w:t>
      </w:r>
    </w:p>
    <w:p w14:paraId="2734AC45" w14:textId="59556C46" w:rsidR="00323457" w:rsidRPr="0059638B" w:rsidRDefault="00583EAF" w:rsidP="00914E93">
      <w:pPr>
        <w:pStyle w:val="SingleTxtG"/>
        <w:rPr>
          <w:sz w:val="20"/>
          <w:szCs w:val="20"/>
        </w:rPr>
      </w:pPr>
      <w:r>
        <w:rPr>
          <w:sz w:val="20"/>
          <w:szCs w:val="20"/>
        </w:rPr>
        <w:t>382</w:t>
      </w:r>
      <w:r w:rsidR="00007F04">
        <w:rPr>
          <w:sz w:val="20"/>
          <w:szCs w:val="20"/>
        </w:rPr>
        <w:t>.</w:t>
      </w:r>
      <w:r w:rsidR="00007F04">
        <w:rPr>
          <w:sz w:val="20"/>
          <w:szCs w:val="20"/>
        </w:rPr>
        <w:tab/>
      </w:r>
      <w:r w:rsidR="00323457" w:rsidRPr="0059638B">
        <w:rPr>
          <w:sz w:val="20"/>
          <w:szCs w:val="20"/>
        </w:rPr>
        <w:t>Mali commended Senegal for its good cooperation with the universal periodic review mechanism. Mali appreciated the measures taken to combat torture and ill-treatment, the reduction of prison overcrowding and the improvement of the living conditions of persons deprived of their liberty. Mali welcomed the reform of the constitutional law on the inviolability of the provisions relating to the election</w:t>
      </w:r>
      <w:r w:rsidR="00D72627">
        <w:rPr>
          <w:sz w:val="20"/>
          <w:szCs w:val="20"/>
        </w:rPr>
        <w:t>’</w:t>
      </w:r>
      <w:r w:rsidR="00323457" w:rsidRPr="0059638B">
        <w:rPr>
          <w:sz w:val="20"/>
          <w:szCs w:val="20"/>
        </w:rPr>
        <w:t xml:space="preserve">s method, the duration and the number of mandates of the President of the Republic. </w:t>
      </w:r>
    </w:p>
    <w:p w14:paraId="61752493" w14:textId="16375A3D" w:rsidR="00323457" w:rsidRPr="0059638B" w:rsidRDefault="00583EAF" w:rsidP="00914E93">
      <w:pPr>
        <w:pStyle w:val="SingleTxtG"/>
        <w:rPr>
          <w:sz w:val="20"/>
          <w:szCs w:val="20"/>
        </w:rPr>
      </w:pPr>
      <w:r>
        <w:rPr>
          <w:sz w:val="20"/>
          <w:szCs w:val="20"/>
        </w:rPr>
        <w:t>383</w:t>
      </w:r>
      <w:r w:rsidR="00007F04">
        <w:rPr>
          <w:sz w:val="20"/>
          <w:szCs w:val="20"/>
        </w:rPr>
        <w:t>.</w:t>
      </w:r>
      <w:r w:rsidR="00007F04">
        <w:rPr>
          <w:sz w:val="20"/>
          <w:szCs w:val="20"/>
        </w:rPr>
        <w:tab/>
      </w:r>
      <w:r w:rsidR="00323457" w:rsidRPr="0059638B">
        <w:rPr>
          <w:sz w:val="20"/>
          <w:szCs w:val="20"/>
        </w:rPr>
        <w:t xml:space="preserve">Mauritania commended Senegal for its full adherence to the universal periodic review mechanism. Mauritania welcomed the many progress made by Senegal, particularly regarding the rights of children, the rights of detainees and the rights of persons with disabilities. Mauritania acknowledged the acceptance by Senegal of the recommendation aimed at the capacity building of national human rights institutions. Finally, Mauritania urged the Human Rights Council to adopt the report. </w:t>
      </w:r>
    </w:p>
    <w:p w14:paraId="0355BEF0" w14:textId="717BC210" w:rsidR="00323457" w:rsidRPr="0059638B" w:rsidRDefault="00583EAF" w:rsidP="00914E93">
      <w:pPr>
        <w:pStyle w:val="SingleTxtG"/>
        <w:rPr>
          <w:sz w:val="20"/>
          <w:szCs w:val="20"/>
        </w:rPr>
      </w:pPr>
      <w:r>
        <w:rPr>
          <w:sz w:val="20"/>
          <w:szCs w:val="20"/>
        </w:rPr>
        <w:t>384</w:t>
      </w:r>
      <w:r w:rsidR="00007F04">
        <w:rPr>
          <w:sz w:val="20"/>
          <w:szCs w:val="20"/>
        </w:rPr>
        <w:t>.</w:t>
      </w:r>
      <w:r w:rsidR="00007F04">
        <w:rPr>
          <w:sz w:val="20"/>
          <w:szCs w:val="20"/>
        </w:rPr>
        <w:tab/>
      </w:r>
      <w:r w:rsidR="00323457" w:rsidRPr="0059638B">
        <w:rPr>
          <w:sz w:val="20"/>
          <w:szCs w:val="20"/>
        </w:rPr>
        <w:t xml:space="preserve">Namibia congratulated Senegal for the peaceful and successful national elections, as well as for undergoing a fruitful third cycle of the universal periodic review and its outcome report. Namibia further commended Senegal for its commitment to the protection and promotion of human rights and encouraged Senegal to continue making further progress in this regard. Namibia supported the adoption of the Human Rights Council Working Group report for the universal periodic review of Senegal. </w:t>
      </w:r>
    </w:p>
    <w:p w14:paraId="61CDC542" w14:textId="06C2F52A" w:rsidR="00323457" w:rsidRPr="0059638B" w:rsidRDefault="00583EAF" w:rsidP="00914E93">
      <w:pPr>
        <w:pStyle w:val="SingleTxtG"/>
        <w:rPr>
          <w:sz w:val="20"/>
          <w:szCs w:val="20"/>
        </w:rPr>
      </w:pPr>
      <w:r>
        <w:rPr>
          <w:sz w:val="20"/>
          <w:szCs w:val="20"/>
        </w:rPr>
        <w:t>385</w:t>
      </w:r>
      <w:r w:rsidR="00007F04">
        <w:rPr>
          <w:sz w:val="20"/>
          <w:szCs w:val="20"/>
        </w:rPr>
        <w:t>.</w:t>
      </w:r>
      <w:r w:rsidR="00007F04">
        <w:rPr>
          <w:sz w:val="20"/>
          <w:szCs w:val="20"/>
        </w:rPr>
        <w:tab/>
      </w:r>
      <w:r w:rsidR="00323457" w:rsidRPr="0059638B">
        <w:rPr>
          <w:sz w:val="20"/>
          <w:szCs w:val="20"/>
        </w:rPr>
        <w:t xml:space="preserve">Nigeria commended Senegal for its strong commitment to the protection and promotion of human rights and its cooperation with the universal periodic review process, as well as other human rights mechanisms. Nigeria noted with great satisfaction the measures adopted by Senegal to combat torture and ill-treatment and the reduction of prison overcrowding. Finally, Nigeria recommended the adoption of the Working Group report for the universal periodic review of Senegal. </w:t>
      </w:r>
    </w:p>
    <w:p w14:paraId="035DAF84" w14:textId="6D1510DD" w:rsidR="00323457" w:rsidRPr="0059638B" w:rsidRDefault="00583EAF" w:rsidP="00914E93">
      <w:pPr>
        <w:pStyle w:val="SingleTxtG"/>
        <w:rPr>
          <w:sz w:val="20"/>
          <w:szCs w:val="20"/>
        </w:rPr>
      </w:pPr>
      <w:r>
        <w:rPr>
          <w:sz w:val="20"/>
          <w:szCs w:val="20"/>
        </w:rPr>
        <w:t>386</w:t>
      </w:r>
      <w:r w:rsidR="00007F04">
        <w:rPr>
          <w:sz w:val="20"/>
          <w:szCs w:val="20"/>
        </w:rPr>
        <w:t>.</w:t>
      </w:r>
      <w:r w:rsidR="00007F04">
        <w:rPr>
          <w:sz w:val="20"/>
          <w:szCs w:val="20"/>
        </w:rPr>
        <w:tab/>
      </w:r>
      <w:r w:rsidR="00323457" w:rsidRPr="0059638B">
        <w:rPr>
          <w:sz w:val="20"/>
          <w:szCs w:val="20"/>
        </w:rPr>
        <w:t>Oman congratulated Senegal on its achievements in the field of human rights, as well as the measures adopted during the 3</w:t>
      </w:r>
      <w:r w:rsidR="00323457" w:rsidRPr="00914E93">
        <w:rPr>
          <w:sz w:val="20"/>
          <w:szCs w:val="20"/>
        </w:rPr>
        <w:t>rd</w:t>
      </w:r>
      <w:r w:rsidR="00323457" w:rsidRPr="0059638B">
        <w:rPr>
          <w:sz w:val="20"/>
          <w:szCs w:val="20"/>
        </w:rPr>
        <w:t xml:space="preserve"> cycle of the universal periodic review. Oman commended the delegation of Senegal for its positive interaction during the review and </w:t>
      </w:r>
      <w:r w:rsidR="00323457" w:rsidRPr="0059638B">
        <w:rPr>
          <w:sz w:val="20"/>
          <w:szCs w:val="20"/>
        </w:rPr>
        <w:lastRenderedPageBreak/>
        <w:t>acceptance of the recommendations it proposed.</w:t>
      </w:r>
      <w:r w:rsidR="004B7C70">
        <w:rPr>
          <w:sz w:val="20"/>
          <w:szCs w:val="20"/>
        </w:rPr>
        <w:t xml:space="preserve"> </w:t>
      </w:r>
      <w:r w:rsidR="00323457" w:rsidRPr="0059638B">
        <w:rPr>
          <w:sz w:val="20"/>
          <w:szCs w:val="20"/>
        </w:rPr>
        <w:t xml:space="preserve">Oman recommended the adoption of the final report by the Human Rights Council. </w:t>
      </w:r>
    </w:p>
    <w:p w14:paraId="25AE7D80" w14:textId="78D770F2" w:rsidR="00323457" w:rsidRPr="0059638B" w:rsidRDefault="00583EAF" w:rsidP="00914E93">
      <w:pPr>
        <w:pStyle w:val="SingleTxtG"/>
        <w:rPr>
          <w:sz w:val="20"/>
          <w:szCs w:val="20"/>
        </w:rPr>
      </w:pPr>
      <w:r>
        <w:rPr>
          <w:sz w:val="20"/>
          <w:szCs w:val="20"/>
        </w:rPr>
        <w:t>387</w:t>
      </w:r>
      <w:r w:rsidR="00007F04">
        <w:rPr>
          <w:sz w:val="20"/>
          <w:szCs w:val="20"/>
        </w:rPr>
        <w:t>.</w:t>
      </w:r>
      <w:r w:rsidR="00007F04">
        <w:rPr>
          <w:sz w:val="20"/>
          <w:szCs w:val="20"/>
        </w:rPr>
        <w:tab/>
      </w:r>
      <w:r w:rsidR="00323457" w:rsidRPr="0059638B">
        <w:rPr>
          <w:sz w:val="20"/>
          <w:szCs w:val="20"/>
        </w:rPr>
        <w:t xml:space="preserve">Pakistan commended Senegal for accepting most of the recommendations, including those presented by Pakistan. It welcomed the recent positive developments in Senegal with an emphasis on women empowerment, gender equality and elimination of gender-based violence. Pakistan also acknowledged particular efforts to enhance the capacity of the Senegalese Human Rights Committee, the National Observatory of Placed of Deprivation of Liberty, </w:t>
      </w:r>
      <w:proofErr w:type="gramStart"/>
      <w:r w:rsidR="00323457" w:rsidRPr="0059638B">
        <w:rPr>
          <w:sz w:val="20"/>
          <w:szCs w:val="20"/>
        </w:rPr>
        <w:t>the</w:t>
      </w:r>
      <w:proofErr w:type="gramEnd"/>
      <w:r w:rsidR="00323457" w:rsidRPr="0059638B">
        <w:rPr>
          <w:sz w:val="20"/>
          <w:szCs w:val="20"/>
        </w:rPr>
        <w:t xml:space="preserve"> National Unit to Combat Trafficking in Persons and the National Observatory on Gender Parity. </w:t>
      </w:r>
    </w:p>
    <w:p w14:paraId="5F2DCB32" w14:textId="5E0F024B" w:rsidR="00323457" w:rsidRPr="0059638B" w:rsidRDefault="00583EAF" w:rsidP="00914E93">
      <w:pPr>
        <w:pStyle w:val="SingleTxtG"/>
        <w:rPr>
          <w:sz w:val="20"/>
          <w:szCs w:val="20"/>
        </w:rPr>
      </w:pPr>
      <w:r>
        <w:rPr>
          <w:sz w:val="20"/>
          <w:szCs w:val="20"/>
        </w:rPr>
        <w:t>388</w:t>
      </w:r>
      <w:r w:rsidR="00007F04">
        <w:rPr>
          <w:sz w:val="20"/>
          <w:szCs w:val="20"/>
        </w:rPr>
        <w:t>.</w:t>
      </w:r>
      <w:r w:rsidR="00007F04">
        <w:rPr>
          <w:sz w:val="20"/>
          <w:szCs w:val="20"/>
        </w:rPr>
        <w:tab/>
      </w:r>
      <w:r w:rsidR="00323457" w:rsidRPr="0059638B">
        <w:rPr>
          <w:sz w:val="20"/>
          <w:szCs w:val="20"/>
        </w:rPr>
        <w:t xml:space="preserve">The Philippines acknowledged the positive approach of Senegal with respect to the universal periodic review process. The Philippines also acknowledged the commitments of Senegal in its efforts to further advance human rights promotion and protection. The emphasis was made on the fight against trafficking in persons and the determination of the Government to address violence against women and children, as well as gender-based violence in schools. The Philippines endorsed the adoption of universal periodic review outcome of Senegal by the Council. </w:t>
      </w:r>
    </w:p>
    <w:p w14:paraId="7548D38D" w14:textId="3F449A84" w:rsidR="00323457" w:rsidRPr="0059638B" w:rsidRDefault="00583EAF" w:rsidP="00914E93">
      <w:pPr>
        <w:pStyle w:val="SingleTxtG"/>
        <w:rPr>
          <w:sz w:val="20"/>
          <w:szCs w:val="20"/>
        </w:rPr>
      </w:pPr>
      <w:r>
        <w:rPr>
          <w:sz w:val="20"/>
          <w:szCs w:val="20"/>
        </w:rPr>
        <w:t>389</w:t>
      </w:r>
      <w:r w:rsidR="00C925A7">
        <w:rPr>
          <w:sz w:val="20"/>
          <w:szCs w:val="20"/>
        </w:rPr>
        <w:t>.</w:t>
      </w:r>
      <w:r w:rsidR="00C925A7">
        <w:rPr>
          <w:sz w:val="20"/>
          <w:szCs w:val="20"/>
        </w:rPr>
        <w:tab/>
      </w:r>
      <w:r w:rsidR="00323457" w:rsidRPr="0059638B">
        <w:rPr>
          <w:sz w:val="20"/>
          <w:szCs w:val="20"/>
        </w:rPr>
        <w:t xml:space="preserve">The Russian Federation welcomed the review of Senegal under the third universal periodic review cycle. The Russian Federation further noted the success achieved by the Government of Senegal in promoting and protecting human rights and its willingness to cooperate with universal mechanisms of international monitoring of human rights. The Russian Federation noted with satisfaction the support of Senegal for the majority of the recommendations made and looked forward to their effective implementation. </w:t>
      </w:r>
    </w:p>
    <w:p w14:paraId="4B0AF5A0" w14:textId="5CF0ED51" w:rsidR="00323457" w:rsidRPr="0059638B" w:rsidRDefault="00583EAF" w:rsidP="00914E93">
      <w:pPr>
        <w:pStyle w:val="SingleTxtG"/>
        <w:rPr>
          <w:sz w:val="20"/>
          <w:szCs w:val="20"/>
        </w:rPr>
      </w:pPr>
      <w:r>
        <w:rPr>
          <w:sz w:val="20"/>
          <w:szCs w:val="20"/>
        </w:rPr>
        <w:t>390</w:t>
      </w:r>
      <w:r w:rsidR="00C925A7">
        <w:rPr>
          <w:sz w:val="20"/>
          <w:szCs w:val="20"/>
        </w:rPr>
        <w:t>.</w:t>
      </w:r>
      <w:r w:rsidR="00C925A7">
        <w:rPr>
          <w:sz w:val="20"/>
          <w:szCs w:val="20"/>
        </w:rPr>
        <w:tab/>
      </w:r>
      <w:r w:rsidR="00323457" w:rsidRPr="0059638B">
        <w:rPr>
          <w:sz w:val="20"/>
          <w:szCs w:val="20"/>
        </w:rPr>
        <w:t>Sierra Leone congratulated Senegal for the peaceful and successful completion of its recent national elections. Sierra Leone noted with great appreciation that all the recommendations it presented to Senegal enjoyed their support. In this respect, Sierra Leone applauded the ongoing efforts to strengthen the promotion and protection of human rights within national legal frameworks and noted the continuing commitment of Senegal in the human rights education and training being provided to schools, police and prisons services.</w:t>
      </w:r>
    </w:p>
    <w:p w14:paraId="3C2EFB9A" w14:textId="3CDAF723" w:rsidR="00323457" w:rsidRPr="0059638B" w:rsidRDefault="00583EAF" w:rsidP="00914E93">
      <w:pPr>
        <w:pStyle w:val="SingleTxtG"/>
        <w:rPr>
          <w:sz w:val="20"/>
          <w:szCs w:val="20"/>
        </w:rPr>
      </w:pPr>
      <w:r>
        <w:rPr>
          <w:sz w:val="20"/>
          <w:szCs w:val="20"/>
        </w:rPr>
        <w:t>391</w:t>
      </w:r>
      <w:r w:rsidR="00C925A7">
        <w:rPr>
          <w:sz w:val="20"/>
          <w:szCs w:val="20"/>
        </w:rPr>
        <w:t>.</w:t>
      </w:r>
      <w:r w:rsidR="00C925A7">
        <w:rPr>
          <w:sz w:val="20"/>
          <w:szCs w:val="20"/>
        </w:rPr>
        <w:tab/>
      </w:r>
      <w:r w:rsidR="00323457" w:rsidRPr="0059638B">
        <w:rPr>
          <w:sz w:val="20"/>
          <w:szCs w:val="20"/>
        </w:rPr>
        <w:t xml:space="preserve">The Sudan commended the efforts made by Senegal in the framework of the promotion and protection of human rights within the period covered by the report. The Sudan further commended Senegal for its acceptance of the recommendations submitted during the universal periodic review and especially including those regarding the improvement of human rights mechanisms, the adaptation of national laws to international instruments, and the strengthening of government authorities in the field of human rights and human rights institutions. </w:t>
      </w:r>
    </w:p>
    <w:p w14:paraId="717715BD" w14:textId="77777777" w:rsidR="00323457" w:rsidRPr="0059638B" w:rsidRDefault="00323457" w:rsidP="00323457">
      <w:pPr>
        <w:pStyle w:val="H23G"/>
        <w:rPr>
          <w:sz w:val="20"/>
          <w:szCs w:val="20"/>
        </w:rPr>
      </w:pPr>
      <w:r w:rsidRPr="0059638B">
        <w:rPr>
          <w:sz w:val="20"/>
          <w:szCs w:val="20"/>
        </w:rPr>
        <w:tab/>
        <w:t>3.</w:t>
      </w:r>
      <w:r w:rsidRPr="0059638B">
        <w:rPr>
          <w:sz w:val="20"/>
          <w:szCs w:val="20"/>
        </w:rPr>
        <w:tab/>
        <w:t>General comments made by other stakeholders</w:t>
      </w:r>
    </w:p>
    <w:p w14:paraId="0089E8DA" w14:textId="019B028F" w:rsidR="00323457" w:rsidRPr="0059638B" w:rsidRDefault="00583EAF" w:rsidP="00914E93">
      <w:pPr>
        <w:pStyle w:val="SingleTxtG"/>
        <w:rPr>
          <w:sz w:val="20"/>
          <w:szCs w:val="20"/>
        </w:rPr>
      </w:pPr>
      <w:r>
        <w:rPr>
          <w:sz w:val="20"/>
          <w:szCs w:val="20"/>
        </w:rPr>
        <w:t>392</w:t>
      </w:r>
      <w:r w:rsidR="00C925A7">
        <w:rPr>
          <w:sz w:val="20"/>
          <w:szCs w:val="20"/>
        </w:rPr>
        <w:t>.</w:t>
      </w:r>
      <w:r w:rsidR="00C925A7">
        <w:rPr>
          <w:sz w:val="20"/>
          <w:szCs w:val="20"/>
        </w:rPr>
        <w:tab/>
      </w:r>
      <w:r w:rsidR="00323457" w:rsidRPr="0059638B">
        <w:rPr>
          <w:sz w:val="20"/>
          <w:szCs w:val="20"/>
        </w:rPr>
        <w:t>During the adoption of the outcome of the review of Senegal, seven other stakeholders made statements.</w:t>
      </w:r>
    </w:p>
    <w:p w14:paraId="0BA36078" w14:textId="7B53014D" w:rsidR="00323457" w:rsidRPr="0059638B" w:rsidRDefault="00583EAF" w:rsidP="00914E93">
      <w:pPr>
        <w:pStyle w:val="SingleTxtG"/>
        <w:rPr>
          <w:sz w:val="20"/>
          <w:szCs w:val="20"/>
        </w:rPr>
      </w:pPr>
      <w:r>
        <w:rPr>
          <w:sz w:val="20"/>
          <w:szCs w:val="20"/>
        </w:rPr>
        <w:t>393</w:t>
      </w:r>
      <w:r w:rsidR="00C925A7">
        <w:rPr>
          <w:sz w:val="20"/>
          <w:szCs w:val="20"/>
        </w:rPr>
        <w:t>.</w:t>
      </w:r>
      <w:r w:rsidR="00C925A7">
        <w:rPr>
          <w:sz w:val="20"/>
          <w:szCs w:val="20"/>
        </w:rPr>
        <w:tab/>
      </w:r>
      <w:r w:rsidR="00323457" w:rsidRPr="0059638B">
        <w:rPr>
          <w:sz w:val="20"/>
          <w:szCs w:val="20"/>
        </w:rPr>
        <w:t>International Service for Human Rights noted with regret that no concrete action was taken on the 2013 recommendations on the rights to freedom of expression, association and assembly and the rights of human rights defenders and journalists. It expressed concerns regarding bans on demonstrations and impediments to the work of NGOs. In the wake of these observations, it was deeply concerned about the strategy of the Government that limited the civic space, including arbitrary arrest and detention for a short period of time of political opponents, citizens and human rights defenders, which created a climate of fear and self-censorship. In the new 2017 Press Code, sentences to press crimes had been increased despite several public statements made by the President of the Republic. It expressed its concerns on the repression of press offences.</w:t>
      </w:r>
    </w:p>
    <w:p w14:paraId="678E7218" w14:textId="684A990D" w:rsidR="00323457" w:rsidRPr="0059638B" w:rsidRDefault="00583EAF" w:rsidP="00C925A7">
      <w:pPr>
        <w:pStyle w:val="SingleTxtG"/>
        <w:rPr>
          <w:sz w:val="20"/>
          <w:szCs w:val="20"/>
        </w:rPr>
      </w:pPr>
      <w:r>
        <w:rPr>
          <w:sz w:val="20"/>
          <w:szCs w:val="20"/>
        </w:rPr>
        <w:t>394</w:t>
      </w:r>
      <w:r w:rsidR="00C925A7">
        <w:rPr>
          <w:sz w:val="20"/>
          <w:szCs w:val="20"/>
        </w:rPr>
        <w:t>.</w:t>
      </w:r>
      <w:r w:rsidR="00C925A7">
        <w:rPr>
          <w:sz w:val="20"/>
          <w:szCs w:val="20"/>
        </w:rPr>
        <w:tab/>
      </w:r>
      <w:r w:rsidR="00323457" w:rsidRPr="0059638B">
        <w:rPr>
          <w:sz w:val="20"/>
          <w:szCs w:val="20"/>
        </w:rPr>
        <w:t xml:space="preserve">CIVICUS – World Alliance for Citizen Participation welcomed the acceptance by Senegal of several recommendations on civic space. It noted with concern the limitation of </w:t>
      </w:r>
      <w:r w:rsidR="00323457" w:rsidRPr="0059638B">
        <w:rPr>
          <w:sz w:val="20"/>
          <w:szCs w:val="20"/>
        </w:rPr>
        <w:lastRenderedPageBreak/>
        <w:t>freedom of expression in several and diverse cases by restrictive provisions contained in the 2017 Press Code and the Criminal Code. Press offenses were still criminalized and could amount to maximum prison sentences and fines; the neutrality of the Internet was being endangered and could have grave implications for freedom of expression; several cases of arbitrary bans on demonstrations by civil society organizations and opposition parties; in some cases, excessive use of force had been administered against protests. In May 2018, one student had been killed in demonstrations in Saint Louis and recently, acts of intimidation had been engaged against some NGOs. It encouraged Senegal to take proactive measures to resolve these concerns.</w:t>
      </w:r>
    </w:p>
    <w:p w14:paraId="68F20125" w14:textId="72EBC483" w:rsidR="00323457" w:rsidRPr="0059638B" w:rsidRDefault="00583EAF" w:rsidP="00914E93">
      <w:pPr>
        <w:pStyle w:val="SingleTxtG"/>
        <w:rPr>
          <w:sz w:val="20"/>
          <w:szCs w:val="20"/>
        </w:rPr>
      </w:pPr>
      <w:r>
        <w:rPr>
          <w:sz w:val="20"/>
          <w:szCs w:val="20"/>
        </w:rPr>
        <w:t>395</w:t>
      </w:r>
      <w:r w:rsidR="00C925A7">
        <w:rPr>
          <w:sz w:val="20"/>
          <w:szCs w:val="20"/>
        </w:rPr>
        <w:t>.</w:t>
      </w:r>
      <w:r w:rsidR="00C925A7">
        <w:rPr>
          <w:sz w:val="20"/>
          <w:szCs w:val="20"/>
        </w:rPr>
        <w:tab/>
      </w:r>
      <w:r w:rsidR="00323457" w:rsidRPr="0059638B">
        <w:rPr>
          <w:sz w:val="20"/>
          <w:szCs w:val="20"/>
        </w:rPr>
        <w:t>Rencontre Africaine pour la défense des droits de l</w:t>
      </w:r>
      <w:r w:rsidR="00D72627">
        <w:rPr>
          <w:sz w:val="20"/>
          <w:szCs w:val="20"/>
        </w:rPr>
        <w:t>’</w:t>
      </w:r>
      <w:r w:rsidR="00323457" w:rsidRPr="0059638B">
        <w:rPr>
          <w:sz w:val="20"/>
          <w:szCs w:val="20"/>
        </w:rPr>
        <w:t>homme welcomed the efforts made by Senegal to implement the recommendations from the second cycle of the universal periodic review. It expressed concerns regarding the increasing restriction on civic space. It observed with great concern the situation of begging children in the streets, around 30,000 Talibes children were accounted for in Dakar only. It also referred to the overcrowding prisons. It mentioned the untimely arrest of opponents, and the violence exerted by the police on demonstrators and therefore urged Senegal to engage in an inclusive dialogue with the opposition while respecting the public freedoms enshrined in the Constitution. Rencontre Africaine pour la dDéfense des dDroits de l</w:t>
      </w:r>
      <w:r w:rsidR="00D72627">
        <w:rPr>
          <w:sz w:val="20"/>
          <w:szCs w:val="20"/>
        </w:rPr>
        <w:t>’</w:t>
      </w:r>
      <w:r w:rsidR="00323457" w:rsidRPr="0059638B">
        <w:rPr>
          <w:sz w:val="20"/>
          <w:szCs w:val="20"/>
        </w:rPr>
        <w:t xml:space="preserve">hHomme It also called upon Senegal to comply with its international commitments as regards the protection of children and to apply its own laws. </w:t>
      </w:r>
    </w:p>
    <w:p w14:paraId="7D2AA2D0" w14:textId="3E4688D9" w:rsidR="00323457" w:rsidRPr="0059638B" w:rsidRDefault="00583EAF" w:rsidP="00914E93">
      <w:pPr>
        <w:pStyle w:val="SingleTxtG"/>
        <w:rPr>
          <w:sz w:val="20"/>
          <w:szCs w:val="20"/>
        </w:rPr>
      </w:pPr>
      <w:r>
        <w:rPr>
          <w:sz w:val="20"/>
          <w:szCs w:val="20"/>
        </w:rPr>
        <w:t>396</w:t>
      </w:r>
      <w:r w:rsidR="00C925A7">
        <w:rPr>
          <w:sz w:val="20"/>
          <w:szCs w:val="20"/>
        </w:rPr>
        <w:t>.</w:t>
      </w:r>
      <w:r w:rsidR="00C925A7">
        <w:rPr>
          <w:sz w:val="20"/>
          <w:szCs w:val="20"/>
        </w:rPr>
        <w:tab/>
      </w:r>
      <w:r w:rsidR="00323457" w:rsidRPr="0059638B">
        <w:rPr>
          <w:sz w:val="20"/>
          <w:szCs w:val="20"/>
        </w:rPr>
        <w:t xml:space="preserve">Amnesty International welcomed the expressed commitment of Senegal to take measures to protect the right to freedom of expression, including by decriminalizing press offences, yet this commitment was being undermined by the rejection by the Government of one of the recommendations made. It highlighted that Senegal had shown little tolerance for dissent during the elections with several opposition supporters being arrested in the aftermath. It expressed further concerns about the hindrance of authorities on pro-democracy organizations ahead of the election. It deeply regretted the rejection by Senegal of all recommendations relating to sexual orientation and gender identity, abortion, marital rape, and the discriminatory provisions of the Family Code. It noted with concern that Senegal has failed to implement many of the recommendations it accepted during the previous universal periodic review cycle and urged Senegal to take action to promptly implement the recommendations it has accepted. </w:t>
      </w:r>
    </w:p>
    <w:p w14:paraId="27CD54D1" w14:textId="308A357B" w:rsidR="00323457" w:rsidRPr="0059638B" w:rsidRDefault="00583EAF" w:rsidP="00914E93">
      <w:pPr>
        <w:pStyle w:val="SingleTxtG"/>
        <w:rPr>
          <w:sz w:val="20"/>
          <w:szCs w:val="20"/>
        </w:rPr>
      </w:pPr>
      <w:r>
        <w:rPr>
          <w:sz w:val="20"/>
          <w:szCs w:val="20"/>
        </w:rPr>
        <w:t>397</w:t>
      </w:r>
      <w:r w:rsidR="00C925A7">
        <w:rPr>
          <w:sz w:val="20"/>
          <w:szCs w:val="20"/>
        </w:rPr>
        <w:t>.</w:t>
      </w:r>
      <w:r w:rsidR="00C925A7">
        <w:rPr>
          <w:sz w:val="20"/>
          <w:szCs w:val="20"/>
        </w:rPr>
        <w:tab/>
      </w:r>
      <w:r w:rsidR="00323457" w:rsidRPr="0059638B">
        <w:rPr>
          <w:sz w:val="20"/>
          <w:szCs w:val="20"/>
        </w:rPr>
        <w:t>Action Canada for Population and Development commended Senegal for accepting recommendations to improve access for adolescents and young people to sexual and reproductive health services. On the issue of discrimination and violence on the basis of sexual orientation or gender identity, it urged Senegal to take steps to eliminate all forms of discrimination and violence to ensure respect for the fundamental freedoms of all citizens. Maternal mortality remained high in Senegal, resulting from unsafe abortions. In this respect, it noted with encouragement the acceptance by Senegal to align its national legislation with the Maputo Protocol and called upon the Government to align the regulatory framework with article 14 of the Maputo Protocol to increase the conditions of the access to abortion.</w:t>
      </w:r>
      <w:r w:rsidR="004B7C70">
        <w:rPr>
          <w:sz w:val="20"/>
          <w:szCs w:val="20"/>
        </w:rPr>
        <w:t xml:space="preserve"> </w:t>
      </w:r>
    </w:p>
    <w:p w14:paraId="06DF1CE9" w14:textId="06CD798D" w:rsidR="00323457" w:rsidRPr="0059638B" w:rsidRDefault="00583EAF" w:rsidP="00914E93">
      <w:pPr>
        <w:pStyle w:val="SingleTxtG"/>
        <w:rPr>
          <w:sz w:val="20"/>
          <w:szCs w:val="20"/>
        </w:rPr>
      </w:pPr>
      <w:r>
        <w:rPr>
          <w:sz w:val="20"/>
          <w:szCs w:val="20"/>
        </w:rPr>
        <w:t>398</w:t>
      </w:r>
      <w:r w:rsidR="00C925A7">
        <w:rPr>
          <w:sz w:val="20"/>
          <w:szCs w:val="20"/>
        </w:rPr>
        <w:t>.</w:t>
      </w:r>
      <w:r w:rsidR="00C925A7">
        <w:rPr>
          <w:sz w:val="20"/>
          <w:szCs w:val="20"/>
        </w:rPr>
        <w:tab/>
      </w:r>
      <w:r w:rsidR="00323457" w:rsidRPr="0059638B">
        <w:rPr>
          <w:sz w:val="20"/>
          <w:szCs w:val="20"/>
        </w:rPr>
        <w:t xml:space="preserve">The Association of World Citizens commended Senegal for taking steps towards abolishing the death penalty. It also welcomed the acceptance of recommendations regarding the elimination of child marriage and female genital mutilation. In this regard, it expressed its wish for the minimum age of marriage to be raised to 18 years old for females and for the part of the current law, which allows for a judicial discretion for permitting underage marriages to be removed. It stated that the polygamy, which is part of the marriage law, must be eliminated. Finally, it noted with regret that Senegal has not supported the recommendations regarding the fight against discrimination and violence on the basis of sexual orientation and gender identity, as well as those recommending the legal and safe access of women to voluntary termination of pregnancy. </w:t>
      </w:r>
    </w:p>
    <w:p w14:paraId="0FBEA103" w14:textId="20392868" w:rsidR="00323457" w:rsidRPr="0059638B" w:rsidRDefault="00583EAF" w:rsidP="00914E93">
      <w:pPr>
        <w:pStyle w:val="SingleTxtG"/>
        <w:rPr>
          <w:sz w:val="20"/>
          <w:szCs w:val="20"/>
        </w:rPr>
      </w:pPr>
      <w:r>
        <w:rPr>
          <w:sz w:val="20"/>
          <w:szCs w:val="20"/>
        </w:rPr>
        <w:t>399</w:t>
      </w:r>
      <w:r w:rsidR="00C925A7">
        <w:rPr>
          <w:sz w:val="20"/>
          <w:szCs w:val="20"/>
        </w:rPr>
        <w:t>.</w:t>
      </w:r>
      <w:r w:rsidR="00C925A7">
        <w:rPr>
          <w:sz w:val="20"/>
          <w:szCs w:val="20"/>
        </w:rPr>
        <w:tab/>
      </w:r>
      <w:r w:rsidR="00323457" w:rsidRPr="0059638B">
        <w:rPr>
          <w:sz w:val="20"/>
          <w:szCs w:val="20"/>
        </w:rPr>
        <w:t xml:space="preserve">Solidarité Suisse-Guinée highlighted the progress made by Senegal in the field of human rights and commended the adoption of the 2017 Constitution of Senegal, which </w:t>
      </w:r>
      <w:r w:rsidR="00323457" w:rsidRPr="0059638B">
        <w:rPr>
          <w:sz w:val="20"/>
          <w:szCs w:val="20"/>
        </w:rPr>
        <w:lastRenderedPageBreak/>
        <w:t>contained several positive reforms, inter alia, for the length and number of Presidential mandates,</w:t>
      </w:r>
      <w:r w:rsidR="004B7C70">
        <w:rPr>
          <w:sz w:val="20"/>
          <w:szCs w:val="20"/>
        </w:rPr>
        <w:t xml:space="preserve"> </w:t>
      </w:r>
      <w:r w:rsidR="00323457" w:rsidRPr="0059638B">
        <w:rPr>
          <w:sz w:val="20"/>
          <w:szCs w:val="20"/>
        </w:rPr>
        <w:t>for the better sharing of natural resources and land, and for the Parliament</w:t>
      </w:r>
      <w:r w:rsidR="00D72627">
        <w:rPr>
          <w:sz w:val="20"/>
          <w:szCs w:val="20"/>
        </w:rPr>
        <w:t>’</w:t>
      </w:r>
      <w:r w:rsidR="00323457" w:rsidRPr="0059638B">
        <w:rPr>
          <w:sz w:val="20"/>
          <w:szCs w:val="20"/>
        </w:rPr>
        <w:t>s reform on monitoring government policies. It commended Senegal to have taken measures towards gender parity pursuant to the second National Strategy. It also welcomed several measures that had a major social significance, including the setting up of the universal medical care, and the measures intended to support the most vulnerable groups. It encouraged Senegal to allocate sufficient resources to ensure the protection of human rights.</w:t>
      </w:r>
    </w:p>
    <w:p w14:paraId="1F33A7FD" w14:textId="77777777" w:rsidR="00323457" w:rsidRPr="0059638B" w:rsidRDefault="00323457" w:rsidP="00323457">
      <w:pPr>
        <w:pStyle w:val="H23G"/>
        <w:ind w:left="705" w:firstLine="0"/>
        <w:rPr>
          <w:sz w:val="20"/>
          <w:szCs w:val="20"/>
        </w:rPr>
      </w:pPr>
      <w:r w:rsidRPr="0059638B">
        <w:rPr>
          <w:sz w:val="20"/>
          <w:szCs w:val="20"/>
        </w:rPr>
        <w:t>4.</w:t>
      </w:r>
      <w:r w:rsidRPr="0059638B">
        <w:rPr>
          <w:sz w:val="20"/>
          <w:szCs w:val="20"/>
        </w:rPr>
        <w:tab/>
        <w:t>Concluding remarks of the State under review</w:t>
      </w:r>
    </w:p>
    <w:p w14:paraId="1BC05BB8" w14:textId="3FC3A744" w:rsidR="00323457" w:rsidRPr="0059638B" w:rsidRDefault="00583EAF" w:rsidP="00323457">
      <w:pPr>
        <w:pStyle w:val="SingleTxtG"/>
        <w:rPr>
          <w:sz w:val="20"/>
          <w:szCs w:val="20"/>
        </w:rPr>
      </w:pPr>
      <w:r>
        <w:rPr>
          <w:sz w:val="20"/>
          <w:szCs w:val="20"/>
        </w:rPr>
        <w:t>400</w:t>
      </w:r>
      <w:r w:rsidR="00C925A7">
        <w:rPr>
          <w:sz w:val="20"/>
          <w:szCs w:val="20"/>
        </w:rPr>
        <w:t>.</w:t>
      </w:r>
      <w:r w:rsidR="00C925A7">
        <w:rPr>
          <w:sz w:val="20"/>
          <w:szCs w:val="20"/>
        </w:rPr>
        <w:tab/>
      </w:r>
      <w:r w:rsidR="00323457" w:rsidRPr="0059638B">
        <w:rPr>
          <w:sz w:val="20"/>
          <w:szCs w:val="20"/>
        </w:rPr>
        <w:t>The Vice-President stated that, based on the information provided, out of 257 recommendations received, 229 enjoyed the support of Senegal and 28 were noted.</w:t>
      </w:r>
    </w:p>
    <w:p w14:paraId="3D8B6E45" w14:textId="151DB703" w:rsidR="00323457" w:rsidRPr="0059638B" w:rsidRDefault="00583EAF" w:rsidP="00323457">
      <w:pPr>
        <w:pStyle w:val="SingleTxtG"/>
        <w:rPr>
          <w:sz w:val="20"/>
          <w:szCs w:val="20"/>
        </w:rPr>
      </w:pPr>
      <w:r>
        <w:rPr>
          <w:sz w:val="20"/>
          <w:szCs w:val="20"/>
        </w:rPr>
        <w:t>401</w:t>
      </w:r>
      <w:r w:rsidR="00C925A7">
        <w:rPr>
          <w:sz w:val="20"/>
          <w:szCs w:val="20"/>
        </w:rPr>
        <w:t>.</w:t>
      </w:r>
      <w:r w:rsidR="00C925A7">
        <w:rPr>
          <w:sz w:val="20"/>
          <w:szCs w:val="20"/>
        </w:rPr>
        <w:tab/>
      </w:r>
      <w:r w:rsidR="00323457" w:rsidRPr="0059638B">
        <w:rPr>
          <w:sz w:val="20"/>
          <w:szCs w:val="20"/>
        </w:rPr>
        <w:t>Senegal thanked all the intervening States and those who congratulated the efforts made in the human rights field and their encouragement to continue along this path.</w:t>
      </w:r>
      <w:r w:rsidR="00323457" w:rsidRPr="00914E93">
        <w:rPr>
          <w:sz w:val="20"/>
          <w:szCs w:val="20"/>
        </w:rPr>
        <w:t xml:space="preserve"> </w:t>
      </w:r>
      <w:r w:rsidR="00323457" w:rsidRPr="0059638B">
        <w:rPr>
          <w:sz w:val="20"/>
          <w:szCs w:val="20"/>
        </w:rPr>
        <w:t xml:space="preserve">Inclined to defend values such as peace, social harmony, tolerance and mutual respect, after the recent elections in February 2019, the highest authorities in Senegal had expressed their wish to begin a constructive dialogue with all political actors to deepen the democratic process to build a strong and unified country committed to peace. </w:t>
      </w:r>
    </w:p>
    <w:p w14:paraId="29123166" w14:textId="2C6A8D44" w:rsidR="00323457" w:rsidRPr="00914E93" w:rsidRDefault="00583EAF" w:rsidP="00323457">
      <w:pPr>
        <w:pStyle w:val="SingleTxtG"/>
        <w:rPr>
          <w:sz w:val="20"/>
          <w:szCs w:val="20"/>
        </w:rPr>
      </w:pPr>
      <w:r>
        <w:rPr>
          <w:sz w:val="20"/>
          <w:szCs w:val="20"/>
        </w:rPr>
        <w:t>402</w:t>
      </w:r>
      <w:r w:rsidR="00C925A7">
        <w:rPr>
          <w:sz w:val="20"/>
          <w:szCs w:val="20"/>
        </w:rPr>
        <w:t>.</w:t>
      </w:r>
      <w:r w:rsidR="00C925A7">
        <w:rPr>
          <w:sz w:val="20"/>
          <w:szCs w:val="20"/>
        </w:rPr>
        <w:tab/>
      </w:r>
      <w:r w:rsidR="00323457" w:rsidRPr="0059638B">
        <w:rPr>
          <w:sz w:val="20"/>
          <w:szCs w:val="20"/>
        </w:rPr>
        <w:t>Senegal</w:t>
      </w:r>
      <w:r w:rsidR="00323457" w:rsidRPr="00914E93">
        <w:rPr>
          <w:sz w:val="20"/>
          <w:szCs w:val="20"/>
        </w:rPr>
        <w:t xml:space="preserve"> highlighted the important initiatives, notably in economic and social rights with the adoption of the national Strategy for Economic and Social Development (PSE), the universal medical care for all and the national programme of scholarships for family security.</w:t>
      </w:r>
    </w:p>
    <w:p w14:paraId="39FDD1D9" w14:textId="2B168914" w:rsidR="00323457" w:rsidRPr="00914E93" w:rsidRDefault="0043516C" w:rsidP="00323457">
      <w:pPr>
        <w:pStyle w:val="SingleTxtG"/>
        <w:rPr>
          <w:sz w:val="20"/>
          <w:szCs w:val="20"/>
        </w:rPr>
      </w:pPr>
      <w:r>
        <w:rPr>
          <w:sz w:val="20"/>
          <w:szCs w:val="20"/>
        </w:rPr>
        <w:t>403</w:t>
      </w:r>
      <w:r w:rsidR="00C925A7">
        <w:rPr>
          <w:sz w:val="20"/>
          <w:szCs w:val="20"/>
        </w:rPr>
        <w:t>.</w:t>
      </w:r>
      <w:r w:rsidR="00C925A7">
        <w:rPr>
          <w:sz w:val="20"/>
          <w:szCs w:val="20"/>
        </w:rPr>
        <w:tab/>
      </w:r>
      <w:r w:rsidR="00323457" w:rsidRPr="00914E93">
        <w:rPr>
          <w:sz w:val="20"/>
          <w:szCs w:val="20"/>
        </w:rPr>
        <w:t>Other key measures related to persons with disabilities and the upcoming report to be presented before the Committee on the Rights of Persons with Disabilities, the improvements in prison conditions, access to healthcare services, the right to education, freedom of press and the promotion and protection of women</w:t>
      </w:r>
      <w:r w:rsidR="00D72627">
        <w:rPr>
          <w:sz w:val="20"/>
          <w:szCs w:val="20"/>
        </w:rPr>
        <w:t>’</w:t>
      </w:r>
      <w:r w:rsidR="00323457" w:rsidRPr="00914E93">
        <w:rPr>
          <w:sz w:val="20"/>
          <w:szCs w:val="20"/>
        </w:rPr>
        <w:t>s rights, including the reform of the nationality code, the law on gender parity in the institutions. The same applied to the protection of children</w:t>
      </w:r>
      <w:r w:rsidR="00D72627">
        <w:rPr>
          <w:sz w:val="20"/>
          <w:szCs w:val="20"/>
        </w:rPr>
        <w:t>’</w:t>
      </w:r>
      <w:r w:rsidR="00323457" w:rsidRPr="00914E93">
        <w:rPr>
          <w:sz w:val="20"/>
          <w:szCs w:val="20"/>
        </w:rPr>
        <w:t xml:space="preserve">s rights, in particular the situation of street children, the fight against human trafficking and the right to peaceful assembly guaranteed under the Constitution. </w:t>
      </w:r>
    </w:p>
    <w:p w14:paraId="10E11A86" w14:textId="68A0DDC4" w:rsidR="00323457" w:rsidRPr="0059638B" w:rsidRDefault="0043516C" w:rsidP="00914E93">
      <w:pPr>
        <w:pStyle w:val="SingleTxtG"/>
        <w:rPr>
          <w:sz w:val="20"/>
          <w:szCs w:val="20"/>
        </w:rPr>
      </w:pPr>
      <w:r>
        <w:rPr>
          <w:sz w:val="20"/>
          <w:szCs w:val="20"/>
        </w:rPr>
        <w:t>404</w:t>
      </w:r>
      <w:r w:rsidR="00C925A7">
        <w:rPr>
          <w:sz w:val="20"/>
          <w:szCs w:val="20"/>
        </w:rPr>
        <w:t>.</w:t>
      </w:r>
      <w:r w:rsidR="00C925A7">
        <w:rPr>
          <w:sz w:val="20"/>
          <w:szCs w:val="20"/>
        </w:rPr>
        <w:tab/>
      </w:r>
      <w:r w:rsidR="00323457" w:rsidRPr="0059638B">
        <w:rPr>
          <w:sz w:val="20"/>
          <w:szCs w:val="20"/>
        </w:rPr>
        <w:t>Senegal concluded by thanking Members of the Human Rights Council, the Troika, the Secretariat of the universal periodic review, the NGOs, the national human rights institutions, the interpreters as well as the security services.</w:t>
      </w:r>
    </w:p>
    <w:p w14:paraId="26C331C4" w14:textId="720268A7" w:rsidR="00323457" w:rsidRPr="0059638B" w:rsidRDefault="0043516C" w:rsidP="00914E93">
      <w:pPr>
        <w:pStyle w:val="SingleTxtG"/>
        <w:rPr>
          <w:sz w:val="20"/>
          <w:szCs w:val="20"/>
        </w:rPr>
      </w:pPr>
      <w:r>
        <w:rPr>
          <w:sz w:val="20"/>
          <w:szCs w:val="20"/>
        </w:rPr>
        <w:t>405</w:t>
      </w:r>
      <w:r w:rsidR="00C925A7">
        <w:rPr>
          <w:sz w:val="20"/>
          <w:szCs w:val="20"/>
        </w:rPr>
        <w:t>.</w:t>
      </w:r>
      <w:r w:rsidR="00C925A7">
        <w:rPr>
          <w:sz w:val="20"/>
          <w:szCs w:val="20"/>
        </w:rPr>
        <w:tab/>
      </w:r>
      <w:r w:rsidR="00323457" w:rsidRPr="0059638B">
        <w:rPr>
          <w:sz w:val="20"/>
          <w:szCs w:val="20"/>
        </w:rPr>
        <w:t>It reiterated its commitment to the universal periodic review. It was convinced that human rights were the pillars of cohesion, stability and social peace and counted on the support from its partners and fraternal countries to develop a true culture of human rights.</w:t>
      </w:r>
    </w:p>
    <w:p w14:paraId="7B0187AB" w14:textId="77777777" w:rsidR="00323457" w:rsidRPr="0059638B" w:rsidRDefault="00323457" w:rsidP="00323457">
      <w:pPr>
        <w:pStyle w:val="SingleTxtG"/>
        <w:rPr>
          <w:b/>
          <w:bCs/>
          <w:sz w:val="20"/>
          <w:szCs w:val="20"/>
        </w:rPr>
      </w:pPr>
      <w:r w:rsidRPr="0059638B">
        <w:rPr>
          <w:b/>
          <w:bCs/>
          <w:sz w:val="20"/>
          <w:szCs w:val="20"/>
        </w:rPr>
        <w:t>Congo</w:t>
      </w:r>
    </w:p>
    <w:p w14:paraId="1D7B41E3" w14:textId="221E8516" w:rsidR="00914E93" w:rsidRDefault="0043516C" w:rsidP="00914E93">
      <w:pPr>
        <w:pStyle w:val="SingleTxtG"/>
        <w:rPr>
          <w:sz w:val="20"/>
          <w:szCs w:val="20"/>
        </w:rPr>
      </w:pPr>
      <w:r>
        <w:rPr>
          <w:sz w:val="20"/>
          <w:szCs w:val="20"/>
        </w:rPr>
        <w:t>406</w:t>
      </w:r>
      <w:r w:rsidR="00C925A7">
        <w:rPr>
          <w:sz w:val="20"/>
          <w:szCs w:val="20"/>
        </w:rPr>
        <w:t>.</w:t>
      </w:r>
      <w:r w:rsidR="00C925A7">
        <w:rPr>
          <w:sz w:val="20"/>
          <w:szCs w:val="20"/>
        </w:rPr>
        <w:tab/>
      </w:r>
      <w:r w:rsidR="00323457" w:rsidRPr="0059638B">
        <w:rPr>
          <w:sz w:val="20"/>
          <w:szCs w:val="20"/>
        </w:rPr>
        <w:t>The review of the Congo was held on 14 November 2018 in conformity with all the relevant provisions contained in relevant Human Rights Council resolutions and decisions, and was bas</w:t>
      </w:r>
      <w:r w:rsidR="00914E93">
        <w:rPr>
          <w:sz w:val="20"/>
          <w:szCs w:val="20"/>
        </w:rPr>
        <w:t xml:space="preserve">ed on the following documents: </w:t>
      </w:r>
    </w:p>
    <w:p w14:paraId="2140E697" w14:textId="150FE2C4" w:rsidR="00323457" w:rsidRPr="0059638B" w:rsidRDefault="00323457" w:rsidP="00914E93">
      <w:pPr>
        <w:pStyle w:val="SingleTxtG"/>
        <w:ind w:firstLine="555"/>
        <w:rPr>
          <w:sz w:val="20"/>
          <w:szCs w:val="20"/>
        </w:rPr>
      </w:pPr>
      <w:r w:rsidRPr="0059638B">
        <w:rPr>
          <w:sz w:val="20"/>
          <w:szCs w:val="20"/>
        </w:rPr>
        <w:t>(a)</w:t>
      </w:r>
      <w:r w:rsidRPr="0059638B">
        <w:rPr>
          <w:sz w:val="20"/>
          <w:szCs w:val="20"/>
        </w:rPr>
        <w:tab/>
        <w:t xml:space="preserve">The national report submitted by the Congo in accordance with paragraph 15 of the annex to Council resolution 5/1 and paragraph 5 of the annex to Council resolution 16/21 (A/HRC/WG.6/31/COG/1); </w:t>
      </w:r>
    </w:p>
    <w:p w14:paraId="51DB04B9" w14:textId="7BA6D8E0" w:rsidR="00323457" w:rsidRPr="0059638B" w:rsidRDefault="00323457" w:rsidP="00914E93">
      <w:pPr>
        <w:pStyle w:val="SingleTxtG"/>
        <w:ind w:firstLine="555"/>
        <w:rPr>
          <w:sz w:val="20"/>
          <w:szCs w:val="20"/>
        </w:rPr>
      </w:pPr>
      <w:r w:rsidRPr="0059638B">
        <w:rPr>
          <w:sz w:val="20"/>
          <w:szCs w:val="20"/>
        </w:rPr>
        <w:t>(b)</w:t>
      </w:r>
      <w:r w:rsidRPr="0059638B">
        <w:rPr>
          <w:sz w:val="20"/>
          <w:szCs w:val="20"/>
        </w:rPr>
        <w:tab/>
        <w:t xml:space="preserve">The compilation prepared by </w:t>
      </w:r>
      <w:r>
        <w:rPr>
          <w:sz w:val="20"/>
          <w:szCs w:val="20"/>
        </w:rPr>
        <w:t xml:space="preserve">the </w:t>
      </w:r>
      <w:r w:rsidRPr="00914E93">
        <w:rPr>
          <w:sz w:val="20"/>
          <w:szCs w:val="20"/>
        </w:rPr>
        <w:t>Office of the United Nations High Commissioner for Human Rights</w:t>
      </w:r>
      <w:r w:rsidRPr="0059638B">
        <w:rPr>
          <w:sz w:val="20"/>
          <w:szCs w:val="20"/>
        </w:rPr>
        <w:t xml:space="preserve"> in accordance with paragraph 15 of the annex to Council resolution 5/1 and paragraph 5 of the annex to Council resolution 16/21 (A/HRC/WG.6/31/COG/2); </w:t>
      </w:r>
    </w:p>
    <w:p w14:paraId="5A510D30" w14:textId="08CE41D3" w:rsidR="00323457" w:rsidRPr="0059638B" w:rsidRDefault="00323457" w:rsidP="00914E93">
      <w:pPr>
        <w:pStyle w:val="SingleTxtG"/>
        <w:ind w:firstLine="555"/>
        <w:rPr>
          <w:sz w:val="20"/>
          <w:szCs w:val="20"/>
        </w:rPr>
      </w:pPr>
      <w:r w:rsidRPr="0059638B">
        <w:rPr>
          <w:sz w:val="20"/>
          <w:szCs w:val="20"/>
        </w:rPr>
        <w:t>(c)</w:t>
      </w:r>
      <w:r w:rsidRPr="0059638B">
        <w:rPr>
          <w:sz w:val="20"/>
          <w:szCs w:val="20"/>
        </w:rPr>
        <w:tab/>
        <w:t xml:space="preserve">The summary prepared by </w:t>
      </w:r>
      <w:r>
        <w:rPr>
          <w:sz w:val="20"/>
          <w:szCs w:val="20"/>
        </w:rPr>
        <w:t xml:space="preserve">the </w:t>
      </w:r>
      <w:r w:rsidRPr="00914E93">
        <w:rPr>
          <w:sz w:val="20"/>
          <w:szCs w:val="20"/>
        </w:rPr>
        <w:t>Office of the United Nations High Commissioner for Human Rights</w:t>
      </w:r>
      <w:r w:rsidRPr="0059638B">
        <w:rPr>
          <w:sz w:val="20"/>
          <w:szCs w:val="20"/>
        </w:rPr>
        <w:t xml:space="preserve"> in accordance with paragraph 15 of the annex to Council resolution 5/1 and paragraph 5 of the annex to Council resolution 16/21 (A/HRC/WG.6/31/COG/3).</w:t>
      </w:r>
    </w:p>
    <w:p w14:paraId="7273DE6C" w14:textId="24DAA6D0" w:rsidR="00323457" w:rsidRPr="0059638B" w:rsidRDefault="0043516C" w:rsidP="00323457">
      <w:pPr>
        <w:pStyle w:val="SingleTxtG"/>
        <w:rPr>
          <w:sz w:val="20"/>
          <w:szCs w:val="20"/>
        </w:rPr>
      </w:pPr>
      <w:r>
        <w:rPr>
          <w:sz w:val="20"/>
          <w:szCs w:val="20"/>
        </w:rPr>
        <w:lastRenderedPageBreak/>
        <w:t>407</w:t>
      </w:r>
      <w:r w:rsidR="00C925A7">
        <w:rPr>
          <w:sz w:val="20"/>
          <w:szCs w:val="20"/>
        </w:rPr>
        <w:t>.</w:t>
      </w:r>
      <w:r w:rsidR="00C925A7">
        <w:rPr>
          <w:sz w:val="20"/>
          <w:szCs w:val="20"/>
        </w:rPr>
        <w:tab/>
      </w:r>
      <w:r w:rsidR="00323457" w:rsidRPr="0059638B">
        <w:rPr>
          <w:sz w:val="20"/>
          <w:szCs w:val="20"/>
        </w:rPr>
        <w:t>At its 35th meeting, on 14 March 2019, the Human Rights Council considered and adopted the outcome of the review of the Republic of Congo (see sect. C below).</w:t>
      </w:r>
    </w:p>
    <w:p w14:paraId="6228DC54" w14:textId="6AE51E59" w:rsidR="00323457" w:rsidRPr="0059638B" w:rsidRDefault="0043516C" w:rsidP="00323457">
      <w:pPr>
        <w:pStyle w:val="SingleTxtG"/>
        <w:rPr>
          <w:sz w:val="20"/>
          <w:szCs w:val="20"/>
        </w:rPr>
      </w:pPr>
      <w:r>
        <w:rPr>
          <w:sz w:val="20"/>
          <w:szCs w:val="20"/>
        </w:rPr>
        <w:t>408</w:t>
      </w:r>
      <w:r w:rsidR="00C925A7">
        <w:rPr>
          <w:sz w:val="20"/>
          <w:szCs w:val="20"/>
        </w:rPr>
        <w:t>.</w:t>
      </w:r>
      <w:r w:rsidR="00C925A7">
        <w:rPr>
          <w:sz w:val="20"/>
          <w:szCs w:val="20"/>
        </w:rPr>
        <w:tab/>
      </w:r>
      <w:r w:rsidR="00323457" w:rsidRPr="0059638B">
        <w:rPr>
          <w:sz w:val="20"/>
          <w:szCs w:val="20"/>
        </w:rPr>
        <w:t>The outcome of the review of the Congo comprises the report of the Working Group on the Universal Periodic Review (A/HRC/40/16) and the views of the Republic of the Congo concerning the recommendations and/or conclusions, as well as its voluntary commitments and its replies to questions or issues that were not sufficiently addressed during the interactive dialogue in the Working Group, and which were presented before the adoption of the outcome by the plenary (see also A/HRC/40/16/Add.1).</w:t>
      </w:r>
    </w:p>
    <w:p w14:paraId="54996F89" w14:textId="77777777" w:rsidR="00323457" w:rsidRPr="0059638B" w:rsidRDefault="00323457" w:rsidP="00323457">
      <w:pPr>
        <w:pStyle w:val="H23G"/>
        <w:rPr>
          <w:sz w:val="20"/>
          <w:szCs w:val="20"/>
        </w:rPr>
      </w:pPr>
      <w:r w:rsidRPr="0059638B">
        <w:rPr>
          <w:sz w:val="20"/>
          <w:szCs w:val="20"/>
        </w:rPr>
        <w:tab/>
        <w:t>1.</w:t>
      </w:r>
      <w:r w:rsidRPr="0059638B">
        <w:rPr>
          <w:sz w:val="20"/>
          <w:szCs w:val="20"/>
        </w:rPr>
        <w:tab/>
        <w:t>Views expressed by the State under review on the recommendations and/or conclusions, its voluntary commitments and the outcome</w:t>
      </w:r>
    </w:p>
    <w:p w14:paraId="1D58BFA0" w14:textId="67CAB331" w:rsidR="00323457" w:rsidRPr="0059638B" w:rsidRDefault="0043516C" w:rsidP="00914E93">
      <w:pPr>
        <w:pStyle w:val="SingleTxtG"/>
        <w:rPr>
          <w:sz w:val="20"/>
          <w:szCs w:val="20"/>
        </w:rPr>
      </w:pPr>
      <w:r>
        <w:rPr>
          <w:sz w:val="20"/>
          <w:szCs w:val="20"/>
        </w:rPr>
        <w:t>409</w:t>
      </w:r>
      <w:r w:rsidR="00C925A7">
        <w:rPr>
          <w:sz w:val="20"/>
          <w:szCs w:val="20"/>
        </w:rPr>
        <w:t>.</w:t>
      </w:r>
      <w:r w:rsidR="00C925A7">
        <w:rPr>
          <w:sz w:val="20"/>
          <w:szCs w:val="20"/>
        </w:rPr>
        <w:tab/>
      </w:r>
      <w:r w:rsidR="00323457" w:rsidRPr="0059638B">
        <w:rPr>
          <w:sz w:val="20"/>
          <w:szCs w:val="20"/>
        </w:rPr>
        <w:t>The Congo reaffirmed its commitment and willingness to collaborate constructively with the universal periodic review as well as with other international and regional mechanisms, with a view to a steady and sustained improvement in the situation of human rights in its territory.</w:t>
      </w:r>
    </w:p>
    <w:p w14:paraId="7CA45548" w14:textId="0EE49535" w:rsidR="00323457" w:rsidRPr="0059638B" w:rsidRDefault="0043516C" w:rsidP="00914E93">
      <w:pPr>
        <w:pStyle w:val="SingleTxtG"/>
        <w:rPr>
          <w:sz w:val="20"/>
          <w:szCs w:val="20"/>
        </w:rPr>
      </w:pPr>
      <w:r>
        <w:rPr>
          <w:sz w:val="20"/>
          <w:szCs w:val="20"/>
        </w:rPr>
        <w:t>410</w:t>
      </w:r>
      <w:r w:rsidR="00C925A7">
        <w:rPr>
          <w:sz w:val="20"/>
          <w:szCs w:val="20"/>
        </w:rPr>
        <w:t>.</w:t>
      </w:r>
      <w:r w:rsidR="00C925A7">
        <w:rPr>
          <w:sz w:val="20"/>
          <w:szCs w:val="20"/>
        </w:rPr>
        <w:tab/>
      </w:r>
      <w:r w:rsidR="00323457" w:rsidRPr="0059638B">
        <w:rPr>
          <w:sz w:val="20"/>
          <w:szCs w:val="20"/>
        </w:rPr>
        <w:t>The Congo carefully examined the 194 recommendations that were made it during its review in the third cycle of the universal periodic review. It ultimately supported 188 recommendations and noted six.</w:t>
      </w:r>
    </w:p>
    <w:p w14:paraId="16463161" w14:textId="5FC18610" w:rsidR="00323457" w:rsidRPr="0059638B" w:rsidRDefault="0043516C" w:rsidP="00914E93">
      <w:pPr>
        <w:pStyle w:val="SingleTxtG"/>
        <w:rPr>
          <w:sz w:val="20"/>
          <w:szCs w:val="20"/>
        </w:rPr>
      </w:pPr>
      <w:r>
        <w:rPr>
          <w:sz w:val="20"/>
          <w:szCs w:val="20"/>
        </w:rPr>
        <w:t>411</w:t>
      </w:r>
      <w:r w:rsidR="00C925A7">
        <w:rPr>
          <w:sz w:val="20"/>
          <w:szCs w:val="20"/>
        </w:rPr>
        <w:t>.</w:t>
      </w:r>
      <w:r w:rsidR="00C925A7">
        <w:rPr>
          <w:sz w:val="20"/>
          <w:szCs w:val="20"/>
        </w:rPr>
        <w:tab/>
      </w:r>
      <w:r w:rsidR="00323457" w:rsidRPr="0059638B">
        <w:rPr>
          <w:sz w:val="20"/>
          <w:szCs w:val="20"/>
        </w:rPr>
        <w:t>The Inter-ministerial Committee for the Follow-up of Cooperation with International and Regional Mechanisms for the Promotion and Protection of Human Rights coordinated the whole process of preparing the responses to the recommendations, as contained in Addendum 1 of the report of the Working Group of the Universal Periodic Review A/HRC/40/16. The contributions of the civil society had been studied carefully and taken into consideration, as well as those of the National Commission for Human Rights.</w:t>
      </w:r>
    </w:p>
    <w:p w14:paraId="5C782C13" w14:textId="13067C44" w:rsidR="00323457" w:rsidRPr="0059638B" w:rsidRDefault="0043516C" w:rsidP="00914E93">
      <w:pPr>
        <w:pStyle w:val="SingleTxtG"/>
        <w:rPr>
          <w:sz w:val="20"/>
          <w:szCs w:val="20"/>
        </w:rPr>
      </w:pPr>
      <w:r>
        <w:rPr>
          <w:sz w:val="20"/>
          <w:szCs w:val="20"/>
        </w:rPr>
        <w:t>412</w:t>
      </w:r>
      <w:r w:rsidR="00C925A7">
        <w:rPr>
          <w:sz w:val="20"/>
          <w:szCs w:val="20"/>
        </w:rPr>
        <w:t>.</w:t>
      </w:r>
      <w:r w:rsidR="00C925A7">
        <w:rPr>
          <w:sz w:val="20"/>
          <w:szCs w:val="20"/>
        </w:rPr>
        <w:tab/>
      </w:r>
      <w:r w:rsidR="00323457" w:rsidRPr="0059638B">
        <w:rPr>
          <w:sz w:val="20"/>
          <w:szCs w:val="20"/>
        </w:rPr>
        <w:t>The Congo supported three categories of recommendations: the recommendations it approved at large, but also in their specific content; the recommendations it had already implemented; and the recommendations that are being implemented in accordance with its international obligations and commitments in the field of human rights.</w:t>
      </w:r>
      <w:r w:rsidR="004B7C70">
        <w:rPr>
          <w:sz w:val="20"/>
          <w:szCs w:val="20"/>
        </w:rPr>
        <w:t xml:space="preserve"> </w:t>
      </w:r>
      <w:r w:rsidR="00323457" w:rsidRPr="0059638B">
        <w:rPr>
          <w:sz w:val="20"/>
          <w:szCs w:val="20"/>
        </w:rPr>
        <w:t>The acceptance of these recommendations assumed, on the one hand, the firm commitment of the Congo to new measures and, on the other hand, the unequivocal maintenance of the measures already put in place, as well as the resolute pursuit of the measures in progress.</w:t>
      </w:r>
    </w:p>
    <w:p w14:paraId="6D6CC62E" w14:textId="18D4F1BE" w:rsidR="00323457" w:rsidRPr="0059638B" w:rsidRDefault="0043516C" w:rsidP="00914E93">
      <w:pPr>
        <w:pStyle w:val="SingleTxtG"/>
        <w:rPr>
          <w:sz w:val="20"/>
          <w:szCs w:val="20"/>
        </w:rPr>
      </w:pPr>
      <w:r>
        <w:rPr>
          <w:sz w:val="20"/>
          <w:szCs w:val="20"/>
        </w:rPr>
        <w:t>413</w:t>
      </w:r>
      <w:r w:rsidR="00C925A7">
        <w:rPr>
          <w:sz w:val="20"/>
          <w:szCs w:val="20"/>
        </w:rPr>
        <w:t>.</w:t>
      </w:r>
      <w:r w:rsidR="00C925A7">
        <w:rPr>
          <w:sz w:val="20"/>
          <w:szCs w:val="20"/>
        </w:rPr>
        <w:tab/>
      </w:r>
      <w:r w:rsidR="00323457" w:rsidRPr="0059638B">
        <w:rPr>
          <w:sz w:val="20"/>
          <w:szCs w:val="20"/>
        </w:rPr>
        <w:t>With regard to noted recommendations, and more specifically recommendation 130.27 (A/HRC/40/16/Add.1), the Congo considered that its collaboration with the mechanisms established under the special procedures system was fruitful.</w:t>
      </w:r>
      <w:r w:rsidR="00D72627">
        <w:rPr>
          <w:sz w:val="20"/>
          <w:szCs w:val="20"/>
        </w:rPr>
        <w:t xml:space="preserve"> </w:t>
      </w:r>
      <w:r w:rsidR="00323457" w:rsidRPr="0059638B">
        <w:rPr>
          <w:sz w:val="20"/>
          <w:szCs w:val="20"/>
        </w:rPr>
        <w:t>The visit of the Special Rapporteur on the rights of indigenous peoples in November 2010, and the visit of the Working Group on Enforced or Involuntary Disappearances, in September-October 2011, constituted evidence of the willingness of the Congolese Government to uphold its international obligations in the field of human rights.</w:t>
      </w:r>
      <w:r w:rsidR="004B7C70">
        <w:rPr>
          <w:sz w:val="20"/>
          <w:szCs w:val="20"/>
        </w:rPr>
        <w:t xml:space="preserve"> </w:t>
      </w:r>
      <w:r w:rsidR="00323457" w:rsidRPr="0059638B">
        <w:rPr>
          <w:sz w:val="20"/>
          <w:szCs w:val="20"/>
        </w:rPr>
        <w:t>Moreover, in support of the Government</w:t>
      </w:r>
      <w:r w:rsidR="00D72627">
        <w:rPr>
          <w:sz w:val="20"/>
          <w:szCs w:val="20"/>
        </w:rPr>
        <w:t>’</w:t>
      </w:r>
      <w:r w:rsidR="00323457" w:rsidRPr="0059638B">
        <w:rPr>
          <w:sz w:val="20"/>
          <w:szCs w:val="20"/>
        </w:rPr>
        <w:t>s efforts to clarify allegations of human rights violations, a delegation of the Office of the United Nations High Commissioner for Human Rights undertook two fact-finding missions to assess the general situation of human rights in the country, in June-July 2016 and in September 2017.</w:t>
      </w:r>
      <w:r w:rsidR="004B7C70">
        <w:rPr>
          <w:sz w:val="20"/>
          <w:szCs w:val="20"/>
        </w:rPr>
        <w:t xml:space="preserve"> </w:t>
      </w:r>
      <w:r w:rsidR="00323457" w:rsidRPr="0059638B">
        <w:rPr>
          <w:sz w:val="20"/>
          <w:szCs w:val="20"/>
        </w:rPr>
        <w:t>As a result, in view of its policy of open collaboration with special procedures mechanisms, the Congo considered that Recommendation 130.27 could not be supported.</w:t>
      </w:r>
    </w:p>
    <w:p w14:paraId="57A64F07" w14:textId="38F0063C" w:rsidR="00323457" w:rsidRPr="0059638B" w:rsidRDefault="0043516C" w:rsidP="00914E93">
      <w:pPr>
        <w:pStyle w:val="SingleTxtG"/>
        <w:rPr>
          <w:sz w:val="20"/>
          <w:szCs w:val="20"/>
        </w:rPr>
      </w:pPr>
      <w:r>
        <w:rPr>
          <w:sz w:val="20"/>
          <w:szCs w:val="20"/>
        </w:rPr>
        <w:t>414</w:t>
      </w:r>
      <w:r w:rsidR="00C925A7">
        <w:rPr>
          <w:sz w:val="20"/>
          <w:szCs w:val="20"/>
        </w:rPr>
        <w:t>.</w:t>
      </w:r>
      <w:r w:rsidR="00C925A7">
        <w:rPr>
          <w:sz w:val="20"/>
          <w:szCs w:val="20"/>
        </w:rPr>
        <w:tab/>
      </w:r>
      <w:r w:rsidR="00323457" w:rsidRPr="0059638B">
        <w:rPr>
          <w:sz w:val="20"/>
          <w:szCs w:val="20"/>
        </w:rPr>
        <w:t>Similarly, the Congo could not support recommendation 130.94 (A/HRC/40/16/Add.1) on the repeal of the adultery laws.</w:t>
      </w:r>
      <w:r w:rsidR="004B7C70">
        <w:rPr>
          <w:sz w:val="20"/>
          <w:szCs w:val="20"/>
        </w:rPr>
        <w:t xml:space="preserve"> </w:t>
      </w:r>
      <w:r w:rsidR="00323457" w:rsidRPr="0059638B">
        <w:rPr>
          <w:sz w:val="20"/>
          <w:szCs w:val="20"/>
        </w:rPr>
        <w:t>The penal repression of social behaviour took into account, to a large extent, the collective social reprobation that such behaviour aroused, and this was precisely the case of adultery.</w:t>
      </w:r>
      <w:r w:rsidR="004B7C70">
        <w:rPr>
          <w:sz w:val="20"/>
          <w:szCs w:val="20"/>
        </w:rPr>
        <w:t xml:space="preserve"> </w:t>
      </w:r>
      <w:r w:rsidR="00323457" w:rsidRPr="0059638B">
        <w:rPr>
          <w:sz w:val="20"/>
          <w:szCs w:val="20"/>
        </w:rPr>
        <w:t>During the debates on the revision of the Family Code and the Penal Code, the idea of repealing adultery laws was unanimously rejected.</w:t>
      </w:r>
    </w:p>
    <w:p w14:paraId="0B38B5F9" w14:textId="7883871D" w:rsidR="00323457" w:rsidRPr="0059638B" w:rsidRDefault="0043516C" w:rsidP="00914E93">
      <w:pPr>
        <w:pStyle w:val="SingleTxtG"/>
        <w:rPr>
          <w:sz w:val="20"/>
          <w:szCs w:val="20"/>
        </w:rPr>
      </w:pPr>
      <w:r>
        <w:rPr>
          <w:sz w:val="20"/>
          <w:szCs w:val="20"/>
        </w:rPr>
        <w:lastRenderedPageBreak/>
        <w:t>415</w:t>
      </w:r>
      <w:r w:rsidR="00C925A7">
        <w:rPr>
          <w:sz w:val="20"/>
          <w:szCs w:val="20"/>
        </w:rPr>
        <w:t>.</w:t>
      </w:r>
      <w:r w:rsidR="00C925A7">
        <w:rPr>
          <w:sz w:val="20"/>
          <w:szCs w:val="20"/>
        </w:rPr>
        <w:tab/>
      </w:r>
      <w:r w:rsidR="00323457" w:rsidRPr="0059638B">
        <w:rPr>
          <w:sz w:val="20"/>
          <w:szCs w:val="20"/>
        </w:rPr>
        <w:t>With regard to recommendation 130.97 (A/HRC/40/16/Add.1) on crimes related to the exercise of freedom of opinion and expression, the Congo stated that all forms of censorship were abolished.</w:t>
      </w:r>
      <w:r w:rsidR="004B7C70">
        <w:rPr>
          <w:sz w:val="20"/>
          <w:szCs w:val="20"/>
        </w:rPr>
        <w:t xml:space="preserve"> </w:t>
      </w:r>
      <w:r w:rsidR="00323457" w:rsidRPr="0059638B">
        <w:rPr>
          <w:sz w:val="20"/>
          <w:szCs w:val="20"/>
        </w:rPr>
        <w:t>The Congolese Constitution guaranteed to all Congolese citizens free expression and free dissemination of their ideas and opinions.</w:t>
      </w:r>
      <w:r w:rsidR="004B7C70">
        <w:rPr>
          <w:sz w:val="20"/>
          <w:szCs w:val="20"/>
        </w:rPr>
        <w:t xml:space="preserve"> </w:t>
      </w:r>
      <w:r w:rsidR="00323457" w:rsidRPr="0059638B">
        <w:rPr>
          <w:sz w:val="20"/>
          <w:szCs w:val="20"/>
        </w:rPr>
        <w:t>Congolese electoral laws and freedom of communication laws did not contain any provisions prohibiting freedom of opinion and violations of freedom of communication laws were rarely the subject of criminal proceedings against media and media workers.</w:t>
      </w:r>
    </w:p>
    <w:p w14:paraId="20FA963D" w14:textId="6056D211" w:rsidR="00323457" w:rsidRPr="0059638B" w:rsidRDefault="0043516C" w:rsidP="00914E93">
      <w:pPr>
        <w:pStyle w:val="SingleTxtG"/>
        <w:rPr>
          <w:sz w:val="20"/>
          <w:szCs w:val="20"/>
        </w:rPr>
      </w:pPr>
      <w:r>
        <w:rPr>
          <w:sz w:val="20"/>
          <w:szCs w:val="20"/>
        </w:rPr>
        <w:t>416</w:t>
      </w:r>
      <w:r w:rsidR="00C925A7">
        <w:rPr>
          <w:sz w:val="20"/>
          <w:szCs w:val="20"/>
        </w:rPr>
        <w:t>.</w:t>
      </w:r>
      <w:r w:rsidR="00C925A7">
        <w:rPr>
          <w:sz w:val="20"/>
          <w:szCs w:val="20"/>
        </w:rPr>
        <w:tab/>
      </w:r>
      <w:r w:rsidR="00323457" w:rsidRPr="0059638B">
        <w:rPr>
          <w:sz w:val="20"/>
          <w:szCs w:val="20"/>
        </w:rPr>
        <w:t>The Congo considered recommendations 130.61 and 130.62 (A/HRC/40/16/Add.1) relating to acts of violence and discrimination based on sexual orientation or gender identity as totally inappropriate and were then noted.</w:t>
      </w:r>
      <w:r w:rsidR="00D72627">
        <w:rPr>
          <w:sz w:val="20"/>
          <w:szCs w:val="20"/>
        </w:rPr>
        <w:t xml:space="preserve"> </w:t>
      </w:r>
      <w:r w:rsidR="00323457" w:rsidRPr="0059638B">
        <w:rPr>
          <w:sz w:val="20"/>
          <w:szCs w:val="20"/>
        </w:rPr>
        <w:t>The Congolese society as a whole actually showed tolerance towards people claiming to be LGBT communities. There was no legal or regulatory provision that discriminates against those communities, whose members participated, without discrimination, in sex education activities organized by public authorities or civil society, and were actively involved in the development of HIV/AIDS and other sexually transmitted diseases projects and programmes.</w:t>
      </w:r>
    </w:p>
    <w:p w14:paraId="03EE6CAD" w14:textId="37B446F7" w:rsidR="00323457" w:rsidRPr="0059638B" w:rsidRDefault="0043516C" w:rsidP="00914E93">
      <w:pPr>
        <w:pStyle w:val="SingleTxtG"/>
        <w:rPr>
          <w:sz w:val="20"/>
          <w:szCs w:val="20"/>
        </w:rPr>
      </w:pPr>
      <w:r>
        <w:rPr>
          <w:sz w:val="20"/>
          <w:szCs w:val="20"/>
        </w:rPr>
        <w:t>417</w:t>
      </w:r>
      <w:r w:rsidR="00C925A7">
        <w:rPr>
          <w:sz w:val="20"/>
          <w:szCs w:val="20"/>
        </w:rPr>
        <w:t>.</w:t>
      </w:r>
      <w:r w:rsidR="00C925A7">
        <w:rPr>
          <w:sz w:val="20"/>
          <w:szCs w:val="20"/>
        </w:rPr>
        <w:tab/>
      </w:r>
      <w:r w:rsidR="00323457" w:rsidRPr="0059638B">
        <w:rPr>
          <w:sz w:val="20"/>
          <w:szCs w:val="20"/>
        </w:rPr>
        <w:t>Recommendation 130.92 (A/HRC/40/16/Add.1) inviting the Congo to set up an independent commission of justice, truth and reconciliation to shed light on the events in the Pool Department, was also noted.</w:t>
      </w:r>
      <w:r w:rsidR="004B7C70">
        <w:rPr>
          <w:sz w:val="20"/>
          <w:szCs w:val="20"/>
        </w:rPr>
        <w:t xml:space="preserve"> </w:t>
      </w:r>
      <w:r w:rsidR="00323457" w:rsidRPr="0059638B">
        <w:rPr>
          <w:sz w:val="20"/>
          <w:szCs w:val="20"/>
        </w:rPr>
        <w:t>Following the above-mentioned missions of the Office of the High Commissioner for Human Rights on the assessment of the general human rights situation, the Congo benefited from the technical support of the Office of the High Commissioner for Human Rights for the establishment of an independent National Commission of Inquiry.</w:t>
      </w:r>
      <w:r w:rsidR="004B7C70">
        <w:rPr>
          <w:sz w:val="20"/>
          <w:szCs w:val="20"/>
        </w:rPr>
        <w:t xml:space="preserve"> </w:t>
      </w:r>
      <w:r w:rsidR="00323457" w:rsidRPr="0059638B">
        <w:rPr>
          <w:sz w:val="20"/>
          <w:szCs w:val="20"/>
        </w:rPr>
        <w:t>This body would clarify all allegations of human rights violations in times of crisis, during the referendum period of the new Constitution in 2015, and after the 2016 presidential election. The draft decree establishing that Commission was being signed. Its establishment and functioning will be guided by the United Nations principles of independence and impartiality. In these circumstances, the establishment of a competing commission could not be justified.</w:t>
      </w:r>
    </w:p>
    <w:p w14:paraId="66655014" w14:textId="4CF1A8AF" w:rsidR="00323457" w:rsidRPr="0059638B" w:rsidRDefault="0043516C" w:rsidP="00914E93">
      <w:pPr>
        <w:pStyle w:val="SingleTxtG"/>
        <w:rPr>
          <w:sz w:val="20"/>
          <w:szCs w:val="20"/>
        </w:rPr>
      </w:pPr>
      <w:r>
        <w:rPr>
          <w:sz w:val="20"/>
          <w:szCs w:val="20"/>
        </w:rPr>
        <w:t>418</w:t>
      </w:r>
      <w:r w:rsidR="00C925A7">
        <w:rPr>
          <w:sz w:val="20"/>
          <w:szCs w:val="20"/>
        </w:rPr>
        <w:t>.</w:t>
      </w:r>
      <w:r w:rsidR="00C925A7">
        <w:rPr>
          <w:sz w:val="20"/>
          <w:szCs w:val="20"/>
        </w:rPr>
        <w:tab/>
      </w:r>
      <w:r w:rsidR="00323457" w:rsidRPr="0059638B">
        <w:rPr>
          <w:sz w:val="20"/>
          <w:szCs w:val="20"/>
        </w:rPr>
        <w:t>Making reference to the recommendations it supported, the Congo stated that the day after its review for the 3rd cycle of the universal periodic review, the Congo initiated draft laws and decrees ratifying the 1961 Convention on the Reduction of Statelessness and the 1954 Convention relating to the Status of Stateless Persons.</w:t>
      </w:r>
    </w:p>
    <w:p w14:paraId="2D426FDC" w14:textId="4EEE7B12" w:rsidR="00323457" w:rsidRPr="0059638B" w:rsidRDefault="0043516C" w:rsidP="00914E93">
      <w:pPr>
        <w:pStyle w:val="SingleTxtG"/>
        <w:rPr>
          <w:sz w:val="20"/>
          <w:szCs w:val="20"/>
        </w:rPr>
      </w:pPr>
      <w:r>
        <w:rPr>
          <w:sz w:val="20"/>
          <w:szCs w:val="20"/>
        </w:rPr>
        <w:t>419</w:t>
      </w:r>
      <w:r w:rsidR="00C925A7">
        <w:rPr>
          <w:sz w:val="20"/>
          <w:szCs w:val="20"/>
        </w:rPr>
        <w:t>.</w:t>
      </w:r>
      <w:r w:rsidR="00C925A7">
        <w:rPr>
          <w:sz w:val="20"/>
          <w:szCs w:val="20"/>
        </w:rPr>
        <w:tab/>
      </w:r>
      <w:r w:rsidR="00323457" w:rsidRPr="0059638B">
        <w:rPr>
          <w:sz w:val="20"/>
          <w:szCs w:val="20"/>
        </w:rPr>
        <w:t>At the World Congress on the Abolition of the Death Penalty, held in Brussels from 28 February to 1 March 2019, the Congo committed itself to ratifying the Second Optional Protocol to the International Covenant on Civil and Political Rights, aiming at the abolition of the death penalty. By this act, the Congo resolutely embarked on the path of non-return to the capital punishment, already abolished by the Constitution of October 2015.</w:t>
      </w:r>
    </w:p>
    <w:p w14:paraId="2B2DFE54" w14:textId="57C3B46E" w:rsidR="00323457" w:rsidRPr="0059638B" w:rsidRDefault="0043516C" w:rsidP="00914E93">
      <w:pPr>
        <w:pStyle w:val="SingleTxtG"/>
        <w:rPr>
          <w:sz w:val="20"/>
          <w:szCs w:val="20"/>
        </w:rPr>
      </w:pPr>
      <w:r>
        <w:rPr>
          <w:sz w:val="20"/>
          <w:szCs w:val="20"/>
        </w:rPr>
        <w:t>420</w:t>
      </w:r>
      <w:r w:rsidR="00C925A7">
        <w:rPr>
          <w:sz w:val="20"/>
          <w:szCs w:val="20"/>
        </w:rPr>
        <w:t>.</w:t>
      </w:r>
      <w:r w:rsidR="00C925A7">
        <w:rPr>
          <w:sz w:val="20"/>
          <w:szCs w:val="20"/>
        </w:rPr>
        <w:tab/>
      </w:r>
      <w:r w:rsidR="00323457" w:rsidRPr="0059638B">
        <w:rPr>
          <w:sz w:val="20"/>
          <w:szCs w:val="20"/>
        </w:rPr>
        <w:t>Furthermore, with a view to strengthening the national institutional framework, the members of the National Human Rights Commission proceeded on January 2019 to elect their officers.</w:t>
      </w:r>
    </w:p>
    <w:p w14:paraId="143C3988" w14:textId="1AE80944" w:rsidR="00323457" w:rsidRPr="0059638B" w:rsidRDefault="0043516C" w:rsidP="00914E93">
      <w:pPr>
        <w:pStyle w:val="SingleTxtG"/>
        <w:rPr>
          <w:sz w:val="20"/>
          <w:szCs w:val="20"/>
        </w:rPr>
      </w:pPr>
      <w:r>
        <w:rPr>
          <w:sz w:val="20"/>
          <w:szCs w:val="20"/>
        </w:rPr>
        <w:t>421</w:t>
      </w:r>
      <w:r w:rsidR="00C925A7">
        <w:rPr>
          <w:sz w:val="20"/>
          <w:szCs w:val="20"/>
        </w:rPr>
        <w:t>.</w:t>
      </w:r>
      <w:r w:rsidR="00C925A7">
        <w:rPr>
          <w:sz w:val="20"/>
          <w:szCs w:val="20"/>
        </w:rPr>
        <w:tab/>
      </w:r>
      <w:r w:rsidR="00323457" w:rsidRPr="0059638B">
        <w:rPr>
          <w:sz w:val="20"/>
          <w:szCs w:val="20"/>
        </w:rPr>
        <w:t>On 16 January 2019, the Network of Women Leaders, Congo branch, was launched with the support of UN Women and the participation of several socio-economic and cultural categories of women from urban and rural areas.</w:t>
      </w:r>
      <w:r w:rsidR="004B7C70">
        <w:rPr>
          <w:sz w:val="20"/>
          <w:szCs w:val="20"/>
        </w:rPr>
        <w:t xml:space="preserve"> </w:t>
      </w:r>
      <w:r w:rsidR="00323457" w:rsidRPr="0059638B">
        <w:rPr>
          <w:sz w:val="20"/>
          <w:szCs w:val="20"/>
        </w:rPr>
        <w:t>Progress had also been made in the area of women</w:t>
      </w:r>
      <w:r w:rsidR="00D72627">
        <w:rPr>
          <w:sz w:val="20"/>
          <w:szCs w:val="20"/>
        </w:rPr>
        <w:t>’</w:t>
      </w:r>
      <w:r w:rsidR="00323457" w:rsidRPr="0059638B">
        <w:rPr>
          <w:sz w:val="20"/>
          <w:szCs w:val="20"/>
        </w:rPr>
        <w:t>s economic empowerment. Two draft laws were being adopted: the first one establishing the national fund for support for employability and learning, and the second one creating a fund for promoting, guaranteeing and supporting very small, small and medium businesses and crafts.</w:t>
      </w:r>
    </w:p>
    <w:p w14:paraId="40C4E68C" w14:textId="4EE38702" w:rsidR="00323457" w:rsidRPr="0059638B" w:rsidRDefault="0043516C" w:rsidP="00914E93">
      <w:pPr>
        <w:pStyle w:val="SingleTxtG"/>
        <w:rPr>
          <w:sz w:val="20"/>
          <w:szCs w:val="20"/>
        </w:rPr>
      </w:pPr>
      <w:r>
        <w:rPr>
          <w:sz w:val="20"/>
          <w:szCs w:val="20"/>
        </w:rPr>
        <w:t>422</w:t>
      </w:r>
      <w:r w:rsidR="00C925A7">
        <w:rPr>
          <w:sz w:val="20"/>
          <w:szCs w:val="20"/>
        </w:rPr>
        <w:t>.</w:t>
      </w:r>
      <w:r w:rsidR="00C925A7">
        <w:rPr>
          <w:sz w:val="20"/>
          <w:szCs w:val="20"/>
        </w:rPr>
        <w:tab/>
      </w:r>
      <w:r w:rsidR="00323457" w:rsidRPr="0059638B">
        <w:rPr>
          <w:sz w:val="20"/>
          <w:szCs w:val="20"/>
        </w:rPr>
        <w:t>Reaffirming its loyalty to the fight for the promotion of universal values related to human rights, a condition sine qua non for the advent of a more just, more generous and more fraternal society, the Congo committed itself to submitting a mid-term report by 2021.</w:t>
      </w:r>
      <w:r w:rsidR="004B7C70">
        <w:rPr>
          <w:sz w:val="20"/>
          <w:szCs w:val="20"/>
        </w:rPr>
        <w:t xml:space="preserve"> </w:t>
      </w:r>
      <w:r w:rsidR="00323457" w:rsidRPr="0059638B">
        <w:rPr>
          <w:sz w:val="20"/>
          <w:szCs w:val="20"/>
        </w:rPr>
        <w:t>It also undertook to share good practices with other States, to activelypromote the mechanism of the universal periodic review and to seek technical support from its partners, as needed.</w:t>
      </w:r>
    </w:p>
    <w:p w14:paraId="5CCD694A" w14:textId="77777777" w:rsidR="00323457" w:rsidRPr="0059638B" w:rsidRDefault="00323457" w:rsidP="00323457">
      <w:pPr>
        <w:pStyle w:val="H23G"/>
        <w:rPr>
          <w:sz w:val="20"/>
          <w:szCs w:val="20"/>
        </w:rPr>
      </w:pPr>
      <w:r w:rsidRPr="0059638B">
        <w:rPr>
          <w:sz w:val="20"/>
          <w:szCs w:val="20"/>
        </w:rPr>
        <w:lastRenderedPageBreak/>
        <w:tab/>
        <w:t>2.</w:t>
      </w:r>
      <w:r w:rsidRPr="0059638B">
        <w:rPr>
          <w:sz w:val="20"/>
          <w:szCs w:val="20"/>
        </w:rPr>
        <w:tab/>
        <w:t xml:space="preserve">Views expressed by Member and observer States of the Council on the outcome of the review </w:t>
      </w:r>
    </w:p>
    <w:p w14:paraId="4F4D3351" w14:textId="32974477" w:rsidR="00323457" w:rsidRPr="0059638B" w:rsidRDefault="0043516C" w:rsidP="00323457">
      <w:pPr>
        <w:pStyle w:val="SingleTxtG"/>
        <w:rPr>
          <w:sz w:val="20"/>
          <w:szCs w:val="20"/>
        </w:rPr>
      </w:pPr>
      <w:r>
        <w:rPr>
          <w:sz w:val="20"/>
          <w:szCs w:val="20"/>
        </w:rPr>
        <w:t>423</w:t>
      </w:r>
      <w:r w:rsidR="007C7678">
        <w:rPr>
          <w:sz w:val="20"/>
          <w:szCs w:val="20"/>
        </w:rPr>
        <w:t>.</w:t>
      </w:r>
      <w:r w:rsidR="007C7678">
        <w:rPr>
          <w:sz w:val="20"/>
          <w:szCs w:val="20"/>
        </w:rPr>
        <w:tab/>
      </w:r>
      <w:r w:rsidR="00323457" w:rsidRPr="0059638B">
        <w:rPr>
          <w:sz w:val="20"/>
          <w:szCs w:val="20"/>
        </w:rPr>
        <w:t>During the adoption of the outcome of the review of the Republic of Congo, 13 delegations made statements.</w:t>
      </w:r>
      <w:r w:rsidR="00CC5A8D" w:rsidRPr="00CC5A8D">
        <w:rPr>
          <w:rStyle w:val="FootnoteReference"/>
          <w:sz w:val="20"/>
          <w:szCs w:val="20"/>
          <w:vertAlign w:val="baseline"/>
        </w:rPr>
        <w:footnoteReference w:customMarkFollows="1" w:id="47"/>
        <w:t>**</w:t>
      </w:r>
      <w:r w:rsidR="00323457" w:rsidRPr="0059638B">
        <w:rPr>
          <w:sz w:val="20"/>
          <w:szCs w:val="20"/>
        </w:rPr>
        <w:t xml:space="preserve"> </w:t>
      </w:r>
    </w:p>
    <w:p w14:paraId="5FB698CB" w14:textId="74C73FA7" w:rsidR="00323457" w:rsidRPr="0059638B" w:rsidRDefault="0043516C" w:rsidP="00323457">
      <w:pPr>
        <w:pStyle w:val="SingleTxtG"/>
        <w:rPr>
          <w:sz w:val="20"/>
          <w:szCs w:val="20"/>
        </w:rPr>
      </w:pPr>
      <w:r>
        <w:rPr>
          <w:sz w:val="20"/>
          <w:szCs w:val="20"/>
        </w:rPr>
        <w:t>424</w:t>
      </w:r>
      <w:r w:rsidR="007C7678">
        <w:rPr>
          <w:sz w:val="20"/>
          <w:szCs w:val="20"/>
        </w:rPr>
        <w:t>.</w:t>
      </w:r>
      <w:r w:rsidR="007C7678">
        <w:rPr>
          <w:sz w:val="20"/>
          <w:szCs w:val="20"/>
        </w:rPr>
        <w:tab/>
      </w:r>
      <w:r w:rsidR="00323457" w:rsidRPr="0059638B">
        <w:rPr>
          <w:sz w:val="20"/>
          <w:szCs w:val="20"/>
        </w:rPr>
        <w:t>The Sudan noted that the Congo supported the large majority of the recommendations it received, and particularly those made by the Sudan who urged the Council to adopt its Working Group report of the universal periodic review at the third cycle.</w:t>
      </w:r>
    </w:p>
    <w:p w14:paraId="7B1092F0" w14:textId="002C6DB7" w:rsidR="00323457" w:rsidRPr="0059638B" w:rsidRDefault="0043516C" w:rsidP="00323457">
      <w:pPr>
        <w:pStyle w:val="SingleTxtG"/>
        <w:rPr>
          <w:sz w:val="20"/>
          <w:szCs w:val="20"/>
        </w:rPr>
      </w:pPr>
      <w:r>
        <w:rPr>
          <w:sz w:val="20"/>
          <w:szCs w:val="20"/>
        </w:rPr>
        <w:t>425</w:t>
      </w:r>
      <w:r w:rsidR="007C7678">
        <w:rPr>
          <w:sz w:val="20"/>
          <w:szCs w:val="20"/>
        </w:rPr>
        <w:t>.</w:t>
      </w:r>
      <w:r w:rsidR="007C7678">
        <w:rPr>
          <w:sz w:val="20"/>
          <w:szCs w:val="20"/>
        </w:rPr>
        <w:tab/>
      </w:r>
      <w:r w:rsidR="00323457" w:rsidRPr="0059638B">
        <w:rPr>
          <w:sz w:val="20"/>
          <w:szCs w:val="20"/>
        </w:rPr>
        <w:t>Togo commended the Congo for abolishing the death penalty in the 2015 Constitution and for accepting a huge number of recommendations made at its review in November 2018, especially those of Togo on health and education, and on the ratification of the Second Optional Protocol to the International Covenant on Civil and Political Rights, aiming at the abolition of the death penalty.</w:t>
      </w:r>
    </w:p>
    <w:p w14:paraId="45E1F04E" w14:textId="3885CE94" w:rsidR="00323457" w:rsidRPr="0059638B" w:rsidRDefault="0043516C" w:rsidP="00323457">
      <w:pPr>
        <w:pStyle w:val="SingleTxtG"/>
        <w:rPr>
          <w:sz w:val="20"/>
          <w:szCs w:val="20"/>
        </w:rPr>
      </w:pPr>
      <w:r>
        <w:rPr>
          <w:sz w:val="20"/>
          <w:szCs w:val="20"/>
        </w:rPr>
        <w:t>426</w:t>
      </w:r>
      <w:r w:rsidR="007C7678">
        <w:rPr>
          <w:sz w:val="20"/>
          <w:szCs w:val="20"/>
        </w:rPr>
        <w:t>.</w:t>
      </w:r>
      <w:r w:rsidR="007C7678">
        <w:rPr>
          <w:sz w:val="20"/>
          <w:szCs w:val="20"/>
        </w:rPr>
        <w:tab/>
      </w:r>
      <w:r w:rsidR="00323457" w:rsidRPr="0059638B">
        <w:rPr>
          <w:sz w:val="20"/>
          <w:szCs w:val="20"/>
        </w:rPr>
        <w:t>Tunisia welcomed the efforts of the Congo to strengthen human rights, especially women</w:t>
      </w:r>
      <w:r w:rsidR="00D72627">
        <w:rPr>
          <w:sz w:val="20"/>
          <w:szCs w:val="20"/>
        </w:rPr>
        <w:t>’</w:t>
      </w:r>
      <w:r w:rsidR="00323457" w:rsidRPr="0059638B">
        <w:rPr>
          <w:sz w:val="20"/>
          <w:szCs w:val="20"/>
        </w:rPr>
        <w:t>s rights, and to fight violence against women. Tunisia called upon the Council to adopt the Working Group report of the universal periodic review of the Congo at the third cycle.</w:t>
      </w:r>
    </w:p>
    <w:p w14:paraId="07CCC891" w14:textId="264E1C04" w:rsidR="00323457" w:rsidRPr="0059638B" w:rsidRDefault="0043516C" w:rsidP="00323457">
      <w:pPr>
        <w:pStyle w:val="SingleTxtG"/>
        <w:rPr>
          <w:sz w:val="20"/>
          <w:szCs w:val="20"/>
        </w:rPr>
      </w:pPr>
      <w:r>
        <w:rPr>
          <w:sz w:val="20"/>
          <w:szCs w:val="20"/>
        </w:rPr>
        <w:t>427</w:t>
      </w:r>
      <w:r w:rsidR="007C7678">
        <w:rPr>
          <w:sz w:val="20"/>
          <w:szCs w:val="20"/>
        </w:rPr>
        <w:t>.</w:t>
      </w:r>
      <w:r w:rsidR="007C7678">
        <w:rPr>
          <w:sz w:val="20"/>
          <w:szCs w:val="20"/>
        </w:rPr>
        <w:tab/>
      </w:r>
      <w:r w:rsidR="00323457" w:rsidRPr="0059638B">
        <w:rPr>
          <w:sz w:val="20"/>
          <w:szCs w:val="20"/>
        </w:rPr>
        <w:t>The United Nations Fund for Population commended the Government of the Congo for its commitment to equal rights for all and the prohibition of all forms of discrimination, as contained in its 2015 Constitution.</w:t>
      </w:r>
      <w:r w:rsidR="004B7C70">
        <w:rPr>
          <w:sz w:val="20"/>
          <w:szCs w:val="20"/>
        </w:rPr>
        <w:t xml:space="preserve"> </w:t>
      </w:r>
      <w:r w:rsidR="00323457" w:rsidRPr="0059638B">
        <w:rPr>
          <w:sz w:val="20"/>
          <w:szCs w:val="20"/>
        </w:rPr>
        <w:t xml:space="preserve">It noted the adoption, in May 2018, of a national action plan on Security Council </w:t>
      </w:r>
      <w:r w:rsidR="00C71D8A" w:rsidRPr="0059638B">
        <w:rPr>
          <w:sz w:val="20"/>
          <w:szCs w:val="20"/>
        </w:rPr>
        <w:t xml:space="preserve">resolution </w:t>
      </w:r>
      <w:r w:rsidR="00323457" w:rsidRPr="0059638B">
        <w:rPr>
          <w:sz w:val="20"/>
          <w:szCs w:val="20"/>
        </w:rPr>
        <w:t>1325 “Women, Peace and Security” (2000) and the implementation since 2017 of a project for the prevention of gender-based violence by the National Police, in partnership with The United Nations Fund for Population.</w:t>
      </w:r>
    </w:p>
    <w:p w14:paraId="56370930" w14:textId="5ABDFD3B" w:rsidR="00323457" w:rsidRPr="0059638B" w:rsidRDefault="0043516C" w:rsidP="00323457">
      <w:pPr>
        <w:pStyle w:val="SingleTxtG"/>
        <w:rPr>
          <w:sz w:val="20"/>
          <w:szCs w:val="20"/>
        </w:rPr>
      </w:pPr>
      <w:r>
        <w:rPr>
          <w:sz w:val="20"/>
          <w:szCs w:val="20"/>
        </w:rPr>
        <w:t>428</w:t>
      </w:r>
      <w:r w:rsidR="007C7678">
        <w:rPr>
          <w:sz w:val="20"/>
          <w:szCs w:val="20"/>
        </w:rPr>
        <w:t>.</w:t>
      </w:r>
      <w:r w:rsidR="007C7678">
        <w:rPr>
          <w:sz w:val="20"/>
          <w:szCs w:val="20"/>
        </w:rPr>
        <w:tab/>
      </w:r>
      <w:r w:rsidR="00323457" w:rsidRPr="0059638B">
        <w:rPr>
          <w:sz w:val="20"/>
          <w:szCs w:val="20"/>
        </w:rPr>
        <w:t>The United Republic of Tanzania acknowledged the efforts of the Congo for the improvement of its normative framework by, inter alia, amending a number of codes in order to harmonize its national legislation with its international human rights obligations. The United Republic of Tanzania congratulated the Congo for ensuring the right to education and equal access to instruction and training for all Congolese children.</w:t>
      </w:r>
    </w:p>
    <w:p w14:paraId="18685E37" w14:textId="70F536AC" w:rsidR="00323457" w:rsidRPr="0059638B" w:rsidRDefault="0043516C" w:rsidP="00323457">
      <w:pPr>
        <w:pStyle w:val="SingleTxtG"/>
        <w:rPr>
          <w:sz w:val="20"/>
          <w:szCs w:val="20"/>
        </w:rPr>
      </w:pPr>
      <w:r>
        <w:rPr>
          <w:sz w:val="20"/>
          <w:szCs w:val="20"/>
        </w:rPr>
        <w:t>429</w:t>
      </w:r>
      <w:r w:rsidR="007C7678">
        <w:rPr>
          <w:sz w:val="20"/>
          <w:szCs w:val="20"/>
        </w:rPr>
        <w:t>.</w:t>
      </w:r>
      <w:r w:rsidR="007C7678">
        <w:rPr>
          <w:sz w:val="20"/>
          <w:szCs w:val="20"/>
        </w:rPr>
        <w:tab/>
      </w:r>
      <w:r w:rsidR="00323457" w:rsidRPr="0059638B">
        <w:rPr>
          <w:sz w:val="20"/>
          <w:szCs w:val="20"/>
        </w:rPr>
        <w:t xml:space="preserve">The Bolivarian Republic of Venezuela valued the creation of a body for the promotion of the rights of indigenous peoples within the Ministry of Justice and Human Rights. Venezuela urged the Congo to continue strengthening social programmes in favour of the poorest sectors of the society, in compliance with its 2015 Constitution based on equality, fraternity and solidarity. </w:t>
      </w:r>
    </w:p>
    <w:p w14:paraId="76F32D68" w14:textId="0155D2DB" w:rsidR="00323457" w:rsidRPr="0059638B" w:rsidRDefault="0043516C" w:rsidP="00323457">
      <w:pPr>
        <w:pStyle w:val="SingleTxtG"/>
        <w:rPr>
          <w:sz w:val="20"/>
          <w:szCs w:val="20"/>
        </w:rPr>
      </w:pPr>
      <w:r>
        <w:rPr>
          <w:sz w:val="20"/>
          <w:szCs w:val="20"/>
        </w:rPr>
        <w:t>430</w:t>
      </w:r>
      <w:r w:rsidR="007C7678">
        <w:rPr>
          <w:sz w:val="20"/>
          <w:szCs w:val="20"/>
        </w:rPr>
        <w:t>.</w:t>
      </w:r>
      <w:r w:rsidR="007C7678">
        <w:rPr>
          <w:sz w:val="20"/>
          <w:szCs w:val="20"/>
        </w:rPr>
        <w:tab/>
      </w:r>
      <w:r w:rsidR="00323457" w:rsidRPr="0059638B">
        <w:rPr>
          <w:sz w:val="20"/>
          <w:szCs w:val="20"/>
        </w:rPr>
        <w:t>Afghanistan appreciated the efforts of the Congo to ensure access to inclusive education for all children, including those belonging to vulnerable groups, and to reform its national legal framework in compliance with international human rights standards. Afghanistan recommended the Council to adopt the Working Group report of the universal periodic review of the Congo.</w:t>
      </w:r>
    </w:p>
    <w:p w14:paraId="6A21EF48" w14:textId="157754FC" w:rsidR="00323457" w:rsidRPr="0059638B" w:rsidRDefault="0043516C" w:rsidP="00323457">
      <w:pPr>
        <w:pStyle w:val="SingleTxtG"/>
        <w:rPr>
          <w:sz w:val="20"/>
          <w:szCs w:val="20"/>
        </w:rPr>
      </w:pPr>
      <w:r>
        <w:rPr>
          <w:sz w:val="20"/>
          <w:szCs w:val="20"/>
        </w:rPr>
        <w:t>431</w:t>
      </w:r>
      <w:r w:rsidR="007C7678">
        <w:rPr>
          <w:sz w:val="20"/>
          <w:szCs w:val="20"/>
        </w:rPr>
        <w:t>.</w:t>
      </w:r>
      <w:r w:rsidR="007C7678">
        <w:rPr>
          <w:sz w:val="20"/>
          <w:szCs w:val="20"/>
        </w:rPr>
        <w:tab/>
      </w:r>
      <w:r w:rsidR="00323457" w:rsidRPr="0059638B">
        <w:rPr>
          <w:sz w:val="20"/>
          <w:szCs w:val="20"/>
        </w:rPr>
        <w:t>Algeria welcomed the action by the Congo for the harmonization of its national legislation with ratified international human rights instruments. Algeria also noted that the Congo supported the large majority of the recommendations it received and particularly two recommendations made by Algeria on violence against women and children. Algeria recommended the Council to adopt the report of the Working Group of the universal periodic review of the Congo at its third cycle.</w:t>
      </w:r>
    </w:p>
    <w:p w14:paraId="32E58AC7" w14:textId="424B6CF1" w:rsidR="00323457" w:rsidRPr="0059638B" w:rsidRDefault="0043516C" w:rsidP="00323457">
      <w:pPr>
        <w:pStyle w:val="SingleTxtG"/>
        <w:rPr>
          <w:sz w:val="20"/>
          <w:szCs w:val="20"/>
        </w:rPr>
      </w:pPr>
      <w:r>
        <w:rPr>
          <w:sz w:val="20"/>
          <w:szCs w:val="20"/>
        </w:rPr>
        <w:t>432</w:t>
      </w:r>
      <w:r w:rsidR="007C7678">
        <w:rPr>
          <w:sz w:val="20"/>
          <w:szCs w:val="20"/>
        </w:rPr>
        <w:t>.</w:t>
      </w:r>
      <w:r w:rsidR="007C7678">
        <w:rPr>
          <w:sz w:val="20"/>
          <w:szCs w:val="20"/>
        </w:rPr>
        <w:tab/>
      </w:r>
      <w:r w:rsidR="00323457" w:rsidRPr="0059638B">
        <w:rPr>
          <w:sz w:val="20"/>
          <w:szCs w:val="20"/>
        </w:rPr>
        <w:t xml:space="preserve">Angola encouraged the Congo to pursue its gender-based awareness campaigns and workshops aiming at the empowerment of women. Angola hoped that the “Path to </w:t>
      </w:r>
      <w:r w:rsidR="00323457" w:rsidRPr="0059638B">
        <w:rPr>
          <w:sz w:val="20"/>
          <w:szCs w:val="20"/>
        </w:rPr>
        <w:lastRenderedPageBreak/>
        <w:t>Development” would be a cornerstone to strengthen economic, social and cultural rights in the Congo, as foreseen in the National Development Plan 2018-2022.</w:t>
      </w:r>
    </w:p>
    <w:p w14:paraId="2B09C42B" w14:textId="06D4746F" w:rsidR="00323457" w:rsidRPr="0059638B" w:rsidRDefault="0043516C" w:rsidP="00323457">
      <w:pPr>
        <w:pStyle w:val="SingleTxtG"/>
        <w:rPr>
          <w:sz w:val="20"/>
          <w:szCs w:val="20"/>
        </w:rPr>
      </w:pPr>
      <w:r>
        <w:rPr>
          <w:sz w:val="20"/>
          <w:szCs w:val="20"/>
        </w:rPr>
        <w:t>433</w:t>
      </w:r>
      <w:r w:rsidR="007C7678">
        <w:rPr>
          <w:sz w:val="20"/>
          <w:szCs w:val="20"/>
        </w:rPr>
        <w:t>.</w:t>
      </w:r>
      <w:r w:rsidR="007C7678">
        <w:rPr>
          <w:sz w:val="20"/>
          <w:szCs w:val="20"/>
        </w:rPr>
        <w:tab/>
      </w:r>
      <w:r w:rsidR="00323457" w:rsidRPr="0059638B">
        <w:rPr>
          <w:sz w:val="20"/>
          <w:szCs w:val="20"/>
        </w:rPr>
        <w:t>The Plurinational State of Bolivia recognized the significant project for the revision of various codes to harmonize national legislation of the Congo with the international legal instruments of human rights duly ratified. It congratulated the Congo for having carefully examined, with the active participation of the various ministries, and accepted 188 recommendations of 194 made to it, including those of the Plurinational State of Bolivia.</w:t>
      </w:r>
    </w:p>
    <w:p w14:paraId="30B7713A" w14:textId="66175D7C" w:rsidR="00323457" w:rsidRPr="0059638B" w:rsidRDefault="0043516C" w:rsidP="00323457">
      <w:pPr>
        <w:pStyle w:val="SingleTxtG"/>
        <w:rPr>
          <w:sz w:val="20"/>
          <w:szCs w:val="20"/>
        </w:rPr>
      </w:pPr>
      <w:r>
        <w:rPr>
          <w:sz w:val="20"/>
          <w:szCs w:val="20"/>
        </w:rPr>
        <w:t>434</w:t>
      </w:r>
      <w:r w:rsidR="007C7678">
        <w:rPr>
          <w:sz w:val="20"/>
          <w:szCs w:val="20"/>
        </w:rPr>
        <w:t>.</w:t>
      </w:r>
      <w:r w:rsidR="007C7678">
        <w:rPr>
          <w:sz w:val="20"/>
          <w:szCs w:val="20"/>
        </w:rPr>
        <w:tab/>
      </w:r>
      <w:r w:rsidR="00323457" w:rsidRPr="0059638B">
        <w:rPr>
          <w:sz w:val="20"/>
          <w:szCs w:val="20"/>
        </w:rPr>
        <w:t xml:space="preserve">Botswana urged the Congo to reinforce its institutional capacities to detect, investigate and prosecute corruption effectively, and to protect vulnerable children from discrimination, especially children with albinism. Botswana supported the adoption by the Council of the report of the Universal Periodic Review Working Group of the Congo. </w:t>
      </w:r>
    </w:p>
    <w:p w14:paraId="087F7C1D" w14:textId="46D93DE8" w:rsidR="00323457" w:rsidRPr="0059638B" w:rsidRDefault="0043516C" w:rsidP="00323457">
      <w:pPr>
        <w:pStyle w:val="SingleTxtG"/>
        <w:rPr>
          <w:sz w:val="20"/>
          <w:szCs w:val="20"/>
        </w:rPr>
      </w:pPr>
      <w:r>
        <w:rPr>
          <w:sz w:val="20"/>
          <w:szCs w:val="20"/>
        </w:rPr>
        <w:t>435</w:t>
      </w:r>
      <w:r w:rsidR="007C7678">
        <w:rPr>
          <w:sz w:val="20"/>
          <w:szCs w:val="20"/>
        </w:rPr>
        <w:t>.</w:t>
      </w:r>
      <w:r w:rsidR="007C7678">
        <w:rPr>
          <w:sz w:val="20"/>
          <w:szCs w:val="20"/>
        </w:rPr>
        <w:tab/>
      </w:r>
      <w:r w:rsidR="00323457" w:rsidRPr="0059638B">
        <w:rPr>
          <w:sz w:val="20"/>
          <w:szCs w:val="20"/>
        </w:rPr>
        <w:t>Burkina Faso appreciated the commitment of the Congo to implementing the recommendations accepted under the second cycle of the universal periodic review, in particular, legislative reforms undertaken to bring its national texts into line with international conventions.</w:t>
      </w:r>
      <w:r w:rsidR="004B7C70">
        <w:rPr>
          <w:sz w:val="20"/>
          <w:szCs w:val="20"/>
        </w:rPr>
        <w:t xml:space="preserve"> </w:t>
      </w:r>
      <w:r w:rsidR="00323457" w:rsidRPr="0059638B">
        <w:rPr>
          <w:sz w:val="20"/>
          <w:szCs w:val="20"/>
        </w:rPr>
        <w:t>Burkina Faso also appreciated the commitment of the Congo to combating gender-based violence and the protection of children against economic and social exploitation.</w:t>
      </w:r>
    </w:p>
    <w:p w14:paraId="1DC9274C" w14:textId="4BACCE4A" w:rsidR="00323457" w:rsidRPr="0059638B" w:rsidRDefault="0043516C" w:rsidP="00323457">
      <w:pPr>
        <w:pStyle w:val="SingleTxtG"/>
        <w:rPr>
          <w:sz w:val="20"/>
          <w:szCs w:val="20"/>
        </w:rPr>
      </w:pPr>
      <w:r>
        <w:rPr>
          <w:sz w:val="20"/>
          <w:szCs w:val="20"/>
        </w:rPr>
        <w:t>436</w:t>
      </w:r>
      <w:r w:rsidR="007C7678">
        <w:rPr>
          <w:sz w:val="20"/>
          <w:szCs w:val="20"/>
        </w:rPr>
        <w:t>.</w:t>
      </w:r>
      <w:r w:rsidR="007C7678">
        <w:rPr>
          <w:sz w:val="20"/>
          <w:szCs w:val="20"/>
        </w:rPr>
        <w:tab/>
      </w:r>
      <w:r w:rsidR="00323457" w:rsidRPr="0059638B">
        <w:rPr>
          <w:sz w:val="20"/>
          <w:szCs w:val="20"/>
        </w:rPr>
        <w:t>Burundi welcomed the measures taken by the Congo to improve the rights of persons with disabilities, to reduce poverty and increase the quality of life of people through its National Development Plan 2018-2022. Burundi also praised initiatives aiming at the progress of the rights of women and children, particularly those related to the decrease of maternal and child mortality.</w:t>
      </w:r>
      <w:r w:rsidR="004B7C70">
        <w:rPr>
          <w:sz w:val="20"/>
          <w:szCs w:val="20"/>
        </w:rPr>
        <w:t xml:space="preserve"> </w:t>
      </w:r>
      <w:r w:rsidR="00323457" w:rsidRPr="0059638B">
        <w:rPr>
          <w:sz w:val="20"/>
          <w:szCs w:val="20"/>
        </w:rPr>
        <w:t>Burundi requested the Human Rights Council to adopt, by consensus, the report of the Universal Periodic Review Working Group of the Congo.</w:t>
      </w:r>
    </w:p>
    <w:p w14:paraId="08CBFFEE" w14:textId="77777777" w:rsidR="00323457" w:rsidRPr="0059638B" w:rsidRDefault="00323457" w:rsidP="00323457">
      <w:pPr>
        <w:pStyle w:val="H23G"/>
        <w:rPr>
          <w:sz w:val="20"/>
          <w:szCs w:val="20"/>
        </w:rPr>
      </w:pPr>
      <w:r w:rsidRPr="0059638B">
        <w:rPr>
          <w:sz w:val="20"/>
          <w:szCs w:val="20"/>
        </w:rPr>
        <w:tab/>
        <w:t>3.</w:t>
      </w:r>
      <w:r w:rsidRPr="0059638B">
        <w:rPr>
          <w:sz w:val="20"/>
          <w:szCs w:val="20"/>
        </w:rPr>
        <w:tab/>
        <w:t>General comments made by other stakeholders</w:t>
      </w:r>
    </w:p>
    <w:p w14:paraId="1525F507" w14:textId="0DEE6E06" w:rsidR="00323457" w:rsidRPr="0059638B" w:rsidRDefault="0043516C" w:rsidP="00323457">
      <w:pPr>
        <w:pStyle w:val="SingleTxtG"/>
        <w:rPr>
          <w:sz w:val="20"/>
          <w:szCs w:val="20"/>
        </w:rPr>
      </w:pPr>
      <w:r>
        <w:rPr>
          <w:sz w:val="20"/>
          <w:szCs w:val="20"/>
        </w:rPr>
        <w:t>437</w:t>
      </w:r>
      <w:r w:rsidR="007C7678">
        <w:rPr>
          <w:sz w:val="20"/>
          <w:szCs w:val="20"/>
        </w:rPr>
        <w:t>.</w:t>
      </w:r>
      <w:r w:rsidR="007C7678">
        <w:rPr>
          <w:sz w:val="20"/>
          <w:szCs w:val="20"/>
        </w:rPr>
        <w:tab/>
      </w:r>
      <w:r w:rsidR="00323457" w:rsidRPr="0059638B">
        <w:rPr>
          <w:sz w:val="20"/>
          <w:szCs w:val="20"/>
        </w:rPr>
        <w:t xml:space="preserve">During the adoption of the outcome of the review of the Republic of Congo, six other stakeholders made statements. </w:t>
      </w:r>
    </w:p>
    <w:p w14:paraId="6C35BD6B" w14:textId="6C001D2E" w:rsidR="00323457" w:rsidRPr="0059638B" w:rsidRDefault="0043516C" w:rsidP="007C7678">
      <w:pPr>
        <w:pStyle w:val="SingleTxtG"/>
        <w:rPr>
          <w:sz w:val="20"/>
          <w:szCs w:val="20"/>
        </w:rPr>
      </w:pPr>
      <w:r>
        <w:rPr>
          <w:sz w:val="20"/>
          <w:szCs w:val="20"/>
        </w:rPr>
        <w:t>438</w:t>
      </w:r>
      <w:r w:rsidR="007C7678">
        <w:rPr>
          <w:sz w:val="20"/>
          <w:szCs w:val="20"/>
        </w:rPr>
        <w:t>.</w:t>
      </w:r>
      <w:r w:rsidR="007C7678">
        <w:rPr>
          <w:sz w:val="20"/>
          <w:szCs w:val="20"/>
        </w:rPr>
        <w:tab/>
      </w:r>
      <w:r w:rsidR="00323457" w:rsidRPr="0059638B">
        <w:rPr>
          <w:sz w:val="20"/>
          <w:szCs w:val="20"/>
        </w:rPr>
        <w:t>Association pour les Droits de l</w:t>
      </w:r>
      <w:r w:rsidR="00D72627">
        <w:rPr>
          <w:sz w:val="20"/>
          <w:szCs w:val="20"/>
        </w:rPr>
        <w:t>’</w:t>
      </w:r>
      <w:r w:rsidR="00323457" w:rsidRPr="0059638B">
        <w:rPr>
          <w:sz w:val="20"/>
          <w:szCs w:val="20"/>
        </w:rPr>
        <w:t xml:space="preserve">Homme </w:t>
      </w:r>
      <w:proofErr w:type="gramStart"/>
      <w:r w:rsidR="00323457" w:rsidRPr="0059638B">
        <w:rPr>
          <w:sz w:val="20"/>
          <w:szCs w:val="20"/>
        </w:rPr>
        <w:t>et</w:t>
      </w:r>
      <w:proofErr w:type="gramEnd"/>
      <w:r w:rsidR="00323457" w:rsidRPr="0059638B">
        <w:rPr>
          <w:sz w:val="20"/>
          <w:szCs w:val="20"/>
        </w:rPr>
        <w:t xml:space="preserve"> l</w:t>
      </w:r>
      <w:r w:rsidR="00D72627">
        <w:rPr>
          <w:sz w:val="20"/>
          <w:szCs w:val="20"/>
        </w:rPr>
        <w:t>’</w:t>
      </w:r>
      <w:r w:rsidR="00323457" w:rsidRPr="0059638B">
        <w:rPr>
          <w:sz w:val="20"/>
          <w:szCs w:val="20"/>
        </w:rPr>
        <w:t xml:space="preserve">Univers Carcéral noted that the Congo had made significant progress in the promotion and protection of human rights since its last universal periodic review in 2013, including the ratification of several international human rights instruments. The Congo also set up a framework for dialogue and consultation between the Justice Ministry, the Government and human rights organizations; it adopted law 5-2011 protecting the rights of indigenous peoples, and the resolution of the hostage situation in the Pool region. It welcomed the acceptance by the Congo of 188 recommendations, but regretted the absence of recommendations on corporate social responsibility. Finally, it found that there still were issues related to domesticating international instruments, publicizing the new legal codes, detention conditions, and access to justice. </w:t>
      </w:r>
    </w:p>
    <w:p w14:paraId="64B0B4B2" w14:textId="426CEEA0" w:rsidR="00323457" w:rsidRPr="0059638B" w:rsidRDefault="0043516C" w:rsidP="00323457">
      <w:pPr>
        <w:pStyle w:val="SingleTxtG"/>
        <w:rPr>
          <w:sz w:val="20"/>
          <w:szCs w:val="20"/>
        </w:rPr>
      </w:pPr>
      <w:r>
        <w:rPr>
          <w:sz w:val="20"/>
          <w:szCs w:val="20"/>
        </w:rPr>
        <w:t>439</w:t>
      </w:r>
      <w:r w:rsidR="007C7678">
        <w:rPr>
          <w:sz w:val="20"/>
          <w:szCs w:val="20"/>
        </w:rPr>
        <w:t>.</w:t>
      </w:r>
      <w:r w:rsidR="007C7678">
        <w:rPr>
          <w:sz w:val="20"/>
          <w:szCs w:val="20"/>
        </w:rPr>
        <w:tab/>
      </w:r>
      <w:r w:rsidR="00323457" w:rsidRPr="0059638B">
        <w:rPr>
          <w:sz w:val="20"/>
          <w:szCs w:val="20"/>
        </w:rPr>
        <w:t xml:space="preserve">Federatie van Nederlandse Verenigingen tot Integratie Van Homoseksualiteit-COC Nederland, in the joint statement with the International Lesbian and Gay Association acknowledged the recommendations to the Government of the Congo regarding the protection of individuals against violence and discrimination based on sexual orientation and gender identity, which were noted by the Government. The organizations welcomed the inclusion of a development policy against HIV, which included LGBT people, but expressed the need for more to be done with regard to HIV and also to combat violence and discrimination against Congolese LGBTI people. They ultimately called on the Congolese Government to change its position on article 331 of the Penal Code. </w:t>
      </w:r>
    </w:p>
    <w:p w14:paraId="6A10F032" w14:textId="344FD393" w:rsidR="00323457" w:rsidRPr="0059638B" w:rsidRDefault="0043516C" w:rsidP="00323457">
      <w:pPr>
        <w:pStyle w:val="SingleTxtG"/>
        <w:rPr>
          <w:sz w:val="20"/>
          <w:szCs w:val="20"/>
        </w:rPr>
      </w:pPr>
      <w:r>
        <w:rPr>
          <w:sz w:val="20"/>
          <w:szCs w:val="20"/>
        </w:rPr>
        <w:t>440</w:t>
      </w:r>
      <w:r w:rsidR="007C7678">
        <w:rPr>
          <w:sz w:val="20"/>
          <w:szCs w:val="20"/>
        </w:rPr>
        <w:t>.</w:t>
      </w:r>
      <w:r w:rsidR="007C7678">
        <w:rPr>
          <w:sz w:val="20"/>
          <w:szCs w:val="20"/>
        </w:rPr>
        <w:tab/>
      </w:r>
      <w:r w:rsidR="00323457" w:rsidRPr="0059638B">
        <w:rPr>
          <w:sz w:val="20"/>
          <w:szCs w:val="20"/>
        </w:rPr>
        <w:t>Fondation d</w:t>
      </w:r>
      <w:r w:rsidR="00D72627">
        <w:rPr>
          <w:sz w:val="20"/>
          <w:szCs w:val="20"/>
        </w:rPr>
        <w:t>’</w:t>
      </w:r>
      <w:r w:rsidR="00323457" w:rsidRPr="0059638B">
        <w:rPr>
          <w:sz w:val="20"/>
          <w:szCs w:val="20"/>
        </w:rPr>
        <w:t xml:space="preserve">Auteuil thanked the Congo for accepting all the recommendations on the rights of the child. It welcomed the determination shown to work with civil society, particularly the Social Affairs Ministry, the Justice and Communications Ministry, the Juvenile Court. It also noted with satisfaction the fact that the rights of people with disabilities have been taken into account, especially children. It encouraged the Congo to take specific </w:t>
      </w:r>
      <w:r w:rsidR="00323457" w:rsidRPr="0059638B">
        <w:rPr>
          <w:sz w:val="20"/>
          <w:szCs w:val="20"/>
        </w:rPr>
        <w:lastRenderedPageBreak/>
        <w:t>measures for minors in prison and drew attention to a number of decrees to protect children, which have not yet been signed.</w:t>
      </w:r>
    </w:p>
    <w:p w14:paraId="26DB9EB5" w14:textId="4D2B17B7" w:rsidR="00323457" w:rsidRPr="0059638B" w:rsidRDefault="0043516C" w:rsidP="00323457">
      <w:pPr>
        <w:pStyle w:val="SingleTxtG"/>
        <w:rPr>
          <w:sz w:val="20"/>
          <w:szCs w:val="20"/>
        </w:rPr>
      </w:pPr>
      <w:r>
        <w:rPr>
          <w:sz w:val="20"/>
          <w:szCs w:val="20"/>
        </w:rPr>
        <w:t>441</w:t>
      </w:r>
      <w:r w:rsidR="007C7678">
        <w:rPr>
          <w:sz w:val="20"/>
          <w:szCs w:val="20"/>
        </w:rPr>
        <w:t>.</w:t>
      </w:r>
      <w:r w:rsidR="007C7678">
        <w:rPr>
          <w:sz w:val="20"/>
          <w:szCs w:val="20"/>
        </w:rPr>
        <w:tab/>
      </w:r>
      <w:r w:rsidR="00323457" w:rsidRPr="0059638B">
        <w:rPr>
          <w:sz w:val="20"/>
          <w:szCs w:val="20"/>
        </w:rPr>
        <w:t xml:space="preserve">Amnesty International welcomed acceptance by the Congo of recommendations to ratify the Second Optional Protocol to the International Covenant on Civil and Political Rights and urged the Congo to immediately take steps to implement these recommendations. It expressed concern over the use of torture and other ill-treatment in detention facilities and restrictions to freedom of expression. It regretted that the Congo rejected the recommendation to immediately and unconditionally release all prisoners arrested for peaceful assembly and asked the Congo to reconsider its decision. </w:t>
      </w:r>
    </w:p>
    <w:p w14:paraId="526458D9" w14:textId="2E45239B" w:rsidR="00323457" w:rsidRPr="0059638B" w:rsidRDefault="0043516C" w:rsidP="00323457">
      <w:pPr>
        <w:pStyle w:val="SingleTxtG"/>
        <w:rPr>
          <w:sz w:val="20"/>
          <w:szCs w:val="20"/>
        </w:rPr>
      </w:pPr>
      <w:r>
        <w:rPr>
          <w:sz w:val="20"/>
          <w:szCs w:val="20"/>
        </w:rPr>
        <w:t>442</w:t>
      </w:r>
      <w:r w:rsidR="007C7678">
        <w:rPr>
          <w:sz w:val="20"/>
          <w:szCs w:val="20"/>
        </w:rPr>
        <w:t>.</w:t>
      </w:r>
      <w:r w:rsidR="007C7678">
        <w:rPr>
          <w:sz w:val="20"/>
          <w:szCs w:val="20"/>
        </w:rPr>
        <w:tab/>
      </w:r>
      <w:r w:rsidR="00323457" w:rsidRPr="0059638B">
        <w:rPr>
          <w:sz w:val="20"/>
          <w:szCs w:val="20"/>
        </w:rPr>
        <w:t>Rencontre Africaine pour la defense des droits de l</w:t>
      </w:r>
      <w:r w:rsidR="00D72627">
        <w:rPr>
          <w:sz w:val="20"/>
          <w:szCs w:val="20"/>
        </w:rPr>
        <w:t>’</w:t>
      </w:r>
      <w:r w:rsidR="00323457" w:rsidRPr="0059638B">
        <w:rPr>
          <w:sz w:val="20"/>
          <w:szCs w:val="20"/>
        </w:rPr>
        <w:t>homme noted that the Congo accepted most recommendations under the two previous universal periodic review cycles, but it was concerned that these recommendations did unfortunately not give significant results regarding the improvement of human rights in the country. It expressed alarm with the humanitarian crisis in the Pool region and invited the Congo to cooperate with the Human Rights Council mechanisms to set up an inquiry commission in order to prosecute the main perpetrators of alleged human rights violations and violations of international humanitarian law. Finally, it encouraged the Congo to counter ethnocentrism, the culture of impunity, prison overpopulation, torture and ill-treatment of women.</w:t>
      </w:r>
    </w:p>
    <w:p w14:paraId="6EB16787" w14:textId="076F612F" w:rsidR="00323457" w:rsidRPr="0059638B" w:rsidRDefault="0043516C" w:rsidP="00323457">
      <w:pPr>
        <w:pStyle w:val="SingleTxtG"/>
        <w:rPr>
          <w:sz w:val="20"/>
          <w:szCs w:val="20"/>
        </w:rPr>
      </w:pPr>
      <w:r>
        <w:rPr>
          <w:sz w:val="20"/>
          <w:szCs w:val="20"/>
        </w:rPr>
        <w:t>443</w:t>
      </w:r>
      <w:r w:rsidR="007C7678">
        <w:rPr>
          <w:sz w:val="20"/>
          <w:szCs w:val="20"/>
        </w:rPr>
        <w:t>.</w:t>
      </w:r>
      <w:r w:rsidR="007C7678">
        <w:rPr>
          <w:sz w:val="20"/>
          <w:szCs w:val="20"/>
        </w:rPr>
        <w:tab/>
      </w:r>
      <w:r w:rsidR="00323457" w:rsidRPr="0059638B">
        <w:rPr>
          <w:sz w:val="20"/>
          <w:szCs w:val="20"/>
        </w:rPr>
        <w:t>The Association of World Citizens congratulated the Congo for the acceptance of 188 from the 194 recommendations made, including, in particular, the ratification of the Second Optional Protocol to the International Covenant on Civil and Political Rights, aiming at the abolition of the death penalty.</w:t>
      </w:r>
      <w:r w:rsidR="004B7C70">
        <w:rPr>
          <w:sz w:val="20"/>
          <w:szCs w:val="20"/>
        </w:rPr>
        <w:t xml:space="preserve"> </w:t>
      </w:r>
      <w:r w:rsidR="00323457" w:rsidRPr="0059638B">
        <w:rPr>
          <w:sz w:val="20"/>
          <w:szCs w:val="20"/>
        </w:rPr>
        <w:t>It expressed regret over the practices of polygamy and payment of a bride price, which were not prohibited by Congolese law. It called attention to the importance of special national programmes, budgets, and wide education on gender-based violence, and noted the importance of bringing the perpetrators of sexual violence to justice.</w:t>
      </w:r>
    </w:p>
    <w:p w14:paraId="26DD990F" w14:textId="77777777" w:rsidR="00323457" w:rsidRPr="0059638B" w:rsidRDefault="00323457" w:rsidP="00323457">
      <w:pPr>
        <w:pStyle w:val="H23G"/>
        <w:ind w:left="705" w:firstLine="0"/>
        <w:rPr>
          <w:sz w:val="20"/>
          <w:szCs w:val="20"/>
        </w:rPr>
      </w:pPr>
      <w:r w:rsidRPr="0059638B">
        <w:rPr>
          <w:sz w:val="20"/>
          <w:szCs w:val="20"/>
        </w:rPr>
        <w:t>4.</w:t>
      </w:r>
      <w:r w:rsidRPr="0059638B">
        <w:rPr>
          <w:sz w:val="20"/>
          <w:szCs w:val="20"/>
        </w:rPr>
        <w:tab/>
        <w:t>Concluding remarks of the State under review</w:t>
      </w:r>
    </w:p>
    <w:p w14:paraId="1E45A766" w14:textId="180C2347" w:rsidR="00323457" w:rsidRPr="0059638B" w:rsidRDefault="0043516C" w:rsidP="00323457">
      <w:pPr>
        <w:pStyle w:val="SingleTxtG"/>
        <w:rPr>
          <w:sz w:val="20"/>
          <w:szCs w:val="20"/>
        </w:rPr>
      </w:pPr>
      <w:r>
        <w:rPr>
          <w:sz w:val="20"/>
          <w:szCs w:val="20"/>
        </w:rPr>
        <w:t>444</w:t>
      </w:r>
      <w:r w:rsidR="007C7678">
        <w:rPr>
          <w:sz w:val="20"/>
          <w:szCs w:val="20"/>
        </w:rPr>
        <w:t>.</w:t>
      </w:r>
      <w:r w:rsidR="007C7678">
        <w:rPr>
          <w:sz w:val="20"/>
          <w:szCs w:val="20"/>
        </w:rPr>
        <w:tab/>
      </w:r>
      <w:r w:rsidR="00323457" w:rsidRPr="0059638B">
        <w:rPr>
          <w:sz w:val="20"/>
          <w:szCs w:val="20"/>
        </w:rPr>
        <w:t>The Vice-President stated that, based on the information provided, out of 194 recommendations received, 188 enjoyed the support of the Congo, and six were noted.</w:t>
      </w:r>
    </w:p>
    <w:p w14:paraId="661EF908" w14:textId="0A2A9F99" w:rsidR="00323457" w:rsidRPr="0059638B" w:rsidRDefault="0043516C" w:rsidP="00323457">
      <w:pPr>
        <w:pStyle w:val="SingleTxtG"/>
        <w:rPr>
          <w:sz w:val="20"/>
          <w:szCs w:val="20"/>
        </w:rPr>
      </w:pPr>
      <w:r>
        <w:rPr>
          <w:sz w:val="20"/>
          <w:szCs w:val="20"/>
        </w:rPr>
        <w:t>445</w:t>
      </w:r>
      <w:r w:rsidR="007C7678">
        <w:rPr>
          <w:sz w:val="20"/>
          <w:szCs w:val="20"/>
        </w:rPr>
        <w:t>.</w:t>
      </w:r>
      <w:r w:rsidR="007C7678">
        <w:rPr>
          <w:sz w:val="20"/>
          <w:szCs w:val="20"/>
        </w:rPr>
        <w:tab/>
      </w:r>
      <w:r w:rsidR="00323457" w:rsidRPr="0059638B">
        <w:rPr>
          <w:sz w:val="20"/>
          <w:szCs w:val="20"/>
        </w:rPr>
        <w:t xml:space="preserve">The delegation of the Congo thanked all members and observers of the Human Rights Council and stakeholders, which had participated in its universal periodic review. </w:t>
      </w:r>
    </w:p>
    <w:p w14:paraId="4D44A077" w14:textId="77777777" w:rsidR="00323457" w:rsidRPr="0059638B" w:rsidRDefault="00323457" w:rsidP="00323457">
      <w:pPr>
        <w:pStyle w:val="SingleTxtG"/>
        <w:rPr>
          <w:b/>
          <w:bCs/>
          <w:sz w:val="20"/>
          <w:szCs w:val="20"/>
        </w:rPr>
      </w:pPr>
      <w:r w:rsidRPr="0059638B">
        <w:rPr>
          <w:b/>
          <w:bCs/>
          <w:sz w:val="20"/>
          <w:szCs w:val="20"/>
        </w:rPr>
        <w:t>Nigeria</w:t>
      </w:r>
    </w:p>
    <w:p w14:paraId="61DD4C32" w14:textId="43C92698" w:rsidR="00974E49" w:rsidRDefault="0043516C" w:rsidP="00974E49">
      <w:pPr>
        <w:pStyle w:val="SingleTxtG"/>
        <w:rPr>
          <w:sz w:val="20"/>
          <w:szCs w:val="20"/>
        </w:rPr>
      </w:pPr>
      <w:r>
        <w:rPr>
          <w:sz w:val="20"/>
          <w:szCs w:val="20"/>
        </w:rPr>
        <w:t>446</w:t>
      </w:r>
      <w:r w:rsidR="007C7678">
        <w:rPr>
          <w:sz w:val="20"/>
          <w:szCs w:val="20"/>
        </w:rPr>
        <w:t>.</w:t>
      </w:r>
      <w:r w:rsidR="007C7678">
        <w:rPr>
          <w:sz w:val="20"/>
          <w:szCs w:val="20"/>
        </w:rPr>
        <w:tab/>
      </w:r>
      <w:r w:rsidR="00323457" w:rsidRPr="0059638B">
        <w:rPr>
          <w:sz w:val="20"/>
          <w:szCs w:val="20"/>
        </w:rPr>
        <w:t>The review of Nigeria was held on 6 November 2018 in conformity with all the relevant provisions contained in relevant Human Rights Council resolutions and decisions, and was bas</w:t>
      </w:r>
      <w:r w:rsidR="00974E49">
        <w:rPr>
          <w:sz w:val="20"/>
          <w:szCs w:val="20"/>
        </w:rPr>
        <w:t xml:space="preserve">ed on the following documents: </w:t>
      </w:r>
    </w:p>
    <w:p w14:paraId="39AF0603" w14:textId="2011B1C3" w:rsidR="00323457" w:rsidRPr="0059638B" w:rsidRDefault="00323457" w:rsidP="00974E49">
      <w:pPr>
        <w:pStyle w:val="SingleTxtG"/>
        <w:ind w:firstLine="555"/>
        <w:rPr>
          <w:sz w:val="20"/>
          <w:szCs w:val="20"/>
        </w:rPr>
      </w:pPr>
      <w:r w:rsidRPr="0059638B">
        <w:rPr>
          <w:sz w:val="20"/>
          <w:szCs w:val="20"/>
        </w:rPr>
        <w:t>(a)</w:t>
      </w:r>
      <w:r w:rsidRPr="0059638B">
        <w:rPr>
          <w:sz w:val="20"/>
          <w:szCs w:val="20"/>
        </w:rPr>
        <w:tab/>
        <w:t xml:space="preserve">The national report submitted by Nigeria in accordance with paragraph 15 of the annex to Council resolution 5/1 and paragraph 5 of the annex to Council resolution 16/21 (A/HRC/WG.6/31/NGA/1); </w:t>
      </w:r>
    </w:p>
    <w:p w14:paraId="0A866F78" w14:textId="4DF3BC1B" w:rsidR="00323457" w:rsidRPr="0059638B" w:rsidRDefault="00323457" w:rsidP="00974E49">
      <w:pPr>
        <w:pStyle w:val="SingleTxtG"/>
        <w:ind w:firstLine="555"/>
        <w:rPr>
          <w:sz w:val="20"/>
          <w:szCs w:val="20"/>
        </w:rPr>
      </w:pPr>
      <w:r w:rsidRPr="0059638B">
        <w:rPr>
          <w:sz w:val="20"/>
          <w:szCs w:val="20"/>
        </w:rPr>
        <w:t>(b)</w:t>
      </w:r>
      <w:r w:rsidRPr="0059638B">
        <w:rPr>
          <w:sz w:val="20"/>
          <w:szCs w:val="20"/>
        </w:rPr>
        <w:tab/>
        <w:t xml:space="preserve">The compilation prepared by </w:t>
      </w:r>
      <w:r>
        <w:rPr>
          <w:sz w:val="20"/>
          <w:szCs w:val="20"/>
        </w:rPr>
        <w:t xml:space="preserve">the </w:t>
      </w:r>
      <w:r w:rsidRPr="00974E49">
        <w:rPr>
          <w:sz w:val="20"/>
          <w:szCs w:val="20"/>
        </w:rPr>
        <w:t>Office of the United Nations High Commissioner for Human Rights</w:t>
      </w:r>
      <w:r w:rsidRPr="0059638B">
        <w:rPr>
          <w:sz w:val="20"/>
          <w:szCs w:val="20"/>
        </w:rPr>
        <w:t xml:space="preserve"> in accordance with paragraph 15 of the annex to Council resolution 5/1 and paragraph 5 of the annex to Council resolution 16/21 (A/HRC/WG.6/31/NGA/2); </w:t>
      </w:r>
    </w:p>
    <w:p w14:paraId="626F01EB" w14:textId="3F9C211F" w:rsidR="00323457" w:rsidRPr="0059638B" w:rsidRDefault="00323457" w:rsidP="00974E49">
      <w:pPr>
        <w:pStyle w:val="SingleTxtG"/>
        <w:ind w:firstLine="555"/>
        <w:rPr>
          <w:sz w:val="20"/>
          <w:szCs w:val="20"/>
        </w:rPr>
      </w:pPr>
      <w:r w:rsidRPr="0059638B">
        <w:rPr>
          <w:sz w:val="20"/>
          <w:szCs w:val="20"/>
        </w:rPr>
        <w:t>(c)</w:t>
      </w:r>
      <w:r w:rsidRPr="0059638B">
        <w:rPr>
          <w:sz w:val="20"/>
          <w:szCs w:val="20"/>
        </w:rPr>
        <w:tab/>
        <w:t xml:space="preserve">The summary prepared by </w:t>
      </w:r>
      <w:r>
        <w:rPr>
          <w:sz w:val="20"/>
          <w:szCs w:val="20"/>
        </w:rPr>
        <w:t xml:space="preserve">the </w:t>
      </w:r>
      <w:r w:rsidRPr="00974E49">
        <w:rPr>
          <w:sz w:val="20"/>
          <w:szCs w:val="20"/>
        </w:rPr>
        <w:t>Office of the United Nations High Commissioner for Human Rights</w:t>
      </w:r>
      <w:r w:rsidRPr="0059638B">
        <w:rPr>
          <w:sz w:val="20"/>
          <w:szCs w:val="20"/>
        </w:rPr>
        <w:t xml:space="preserve"> in accordance with paragraph 15 of the annex to Council resolution 5/1 and paragraph 5 of the annex to Council resolution 16/21 (A/HRC/WG.6/31/NGA/3).</w:t>
      </w:r>
    </w:p>
    <w:p w14:paraId="57A97E78" w14:textId="4C1180C8" w:rsidR="00323457" w:rsidRPr="0059638B" w:rsidRDefault="0043516C" w:rsidP="00323457">
      <w:pPr>
        <w:pStyle w:val="SingleTxtG"/>
        <w:rPr>
          <w:sz w:val="20"/>
          <w:szCs w:val="20"/>
        </w:rPr>
      </w:pPr>
      <w:r>
        <w:rPr>
          <w:sz w:val="20"/>
          <w:szCs w:val="20"/>
        </w:rPr>
        <w:t>447</w:t>
      </w:r>
      <w:r w:rsidR="007C7678">
        <w:rPr>
          <w:sz w:val="20"/>
          <w:szCs w:val="20"/>
        </w:rPr>
        <w:t>.</w:t>
      </w:r>
      <w:r w:rsidR="007C7678">
        <w:rPr>
          <w:sz w:val="20"/>
          <w:szCs w:val="20"/>
        </w:rPr>
        <w:tab/>
      </w:r>
      <w:r w:rsidR="00323457" w:rsidRPr="0059638B">
        <w:rPr>
          <w:sz w:val="20"/>
          <w:szCs w:val="20"/>
        </w:rPr>
        <w:t>At its 35th meeting, on 14 March 2019, the Human Rights Council considered and adopted the outcome of the review of Nigeria (see sect. C below).</w:t>
      </w:r>
    </w:p>
    <w:p w14:paraId="1C65A33A" w14:textId="7D8C0878" w:rsidR="00323457" w:rsidRPr="0059638B" w:rsidRDefault="0043516C" w:rsidP="00323457">
      <w:pPr>
        <w:pStyle w:val="SingleTxtG"/>
        <w:rPr>
          <w:color w:val="FF0000"/>
          <w:sz w:val="20"/>
          <w:szCs w:val="20"/>
        </w:rPr>
      </w:pPr>
      <w:r>
        <w:rPr>
          <w:sz w:val="20"/>
          <w:szCs w:val="20"/>
        </w:rPr>
        <w:lastRenderedPageBreak/>
        <w:t>448</w:t>
      </w:r>
      <w:r w:rsidR="007C7678">
        <w:rPr>
          <w:sz w:val="20"/>
          <w:szCs w:val="20"/>
        </w:rPr>
        <w:t>.</w:t>
      </w:r>
      <w:r w:rsidR="007C7678">
        <w:rPr>
          <w:sz w:val="20"/>
          <w:szCs w:val="20"/>
        </w:rPr>
        <w:tab/>
      </w:r>
      <w:r w:rsidR="00323457" w:rsidRPr="0059638B">
        <w:rPr>
          <w:sz w:val="20"/>
          <w:szCs w:val="20"/>
        </w:rPr>
        <w:t>The outcome of the review of Nigeria comprises of the report of the Working Group on the Universal Periodic Review (A/HRC/40/7) and the views of Nigeria concerning the recommendations and/or conclusions, as well as its voluntary commitments and its replies to questions or issues that were not sufficiently addressed during the interactive dialogue in the Working Group, and which were presented before the adoption of the outcome by the plenary (see also A/HRC/40/7/Add.1).</w:t>
      </w:r>
    </w:p>
    <w:p w14:paraId="0233B58D" w14:textId="77777777" w:rsidR="00323457" w:rsidRPr="0059638B" w:rsidRDefault="00323457" w:rsidP="00323457">
      <w:pPr>
        <w:pStyle w:val="H23G"/>
        <w:rPr>
          <w:sz w:val="20"/>
          <w:szCs w:val="20"/>
        </w:rPr>
      </w:pPr>
      <w:r w:rsidRPr="0059638B">
        <w:rPr>
          <w:sz w:val="20"/>
          <w:szCs w:val="20"/>
        </w:rPr>
        <w:tab/>
        <w:t>1.</w:t>
      </w:r>
      <w:r w:rsidRPr="0059638B">
        <w:rPr>
          <w:sz w:val="20"/>
          <w:szCs w:val="20"/>
        </w:rPr>
        <w:tab/>
        <w:t>Views expressed by the State under review on the recommendations and/or conclusions, its voluntary commitments and the outcome</w:t>
      </w:r>
    </w:p>
    <w:p w14:paraId="14C88EA8" w14:textId="0DA11B10" w:rsidR="00323457" w:rsidRPr="0059638B" w:rsidRDefault="0043516C" w:rsidP="00323457">
      <w:pPr>
        <w:pStyle w:val="SingleTxtG"/>
        <w:rPr>
          <w:sz w:val="20"/>
          <w:szCs w:val="20"/>
        </w:rPr>
      </w:pPr>
      <w:r>
        <w:rPr>
          <w:sz w:val="20"/>
          <w:szCs w:val="20"/>
        </w:rPr>
        <w:t>449</w:t>
      </w:r>
      <w:r w:rsidR="007C7678">
        <w:rPr>
          <w:sz w:val="20"/>
          <w:szCs w:val="20"/>
        </w:rPr>
        <w:t>.</w:t>
      </w:r>
      <w:r w:rsidR="007C7678">
        <w:rPr>
          <w:sz w:val="20"/>
          <w:szCs w:val="20"/>
        </w:rPr>
        <w:tab/>
      </w:r>
      <w:r w:rsidR="00323457" w:rsidRPr="0059638B">
        <w:rPr>
          <w:sz w:val="20"/>
          <w:szCs w:val="20"/>
        </w:rPr>
        <w:t xml:space="preserve">The delegation headed by the Ambassador, Permanent Secretary at the Ministry of Foreign Affairs of the Federal Republic of Nigeria, </w:t>
      </w:r>
      <w:r w:rsidR="00323457" w:rsidRPr="0059638B">
        <w:rPr>
          <w:bCs/>
          <w:sz w:val="20"/>
          <w:szCs w:val="20"/>
        </w:rPr>
        <w:t>His Excellency Mr. Mustapha Lawal Sulaiman</w:t>
      </w:r>
      <w:r w:rsidR="00323457" w:rsidRPr="0059638B">
        <w:rPr>
          <w:sz w:val="20"/>
          <w:szCs w:val="20"/>
        </w:rPr>
        <w:t xml:space="preserve">, reaffirmed the commitment of Nigeria to the universal periodic review mechanism and the international human rights treaties to which Nigeria was a party. The Government of Nigeria would continue to partner and collaborate with the Human rights Council and United Nations human rights mechanisms to enhance the promotion and protection of human rights of citizen of Nigeria. </w:t>
      </w:r>
    </w:p>
    <w:p w14:paraId="6D1591DB" w14:textId="236F3CF6" w:rsidR="00323457" w:rsidRPr="0059638B" w:rsidRDefault="0043516C" w:rsidP="00323457">
      <w:pPr>
        <w:pStyle w:val="SingleTxtG"/>
        <w:rPr>
          <w:sz w:val="20"/>
          <w:szCs w:val="20"/>
        </w:rPr>
      </w:pPr>
      <w:r>
        <w:rPr>
          <w:sz w:val="20"/>
          <w:szCs w:val="20"/>
        </w:rPr>
        <w:t>450</w:t>
      </w:r>
      <w:r w:rsidR="007C7678">
        <w:rPr>
          <w:sz w:val="20"/>
          <w:szCs w:val="20"/>
        </w:rPr>
        <w:t>.</w:t>
      </w:r>
      <w:r w:rsidR="007C7678">
        <w:rPr>
          <w:sz w:val="20"/>
          <w:szCs w:val="20"/>
        </w:rPr>
        <w:tab/>
      </w:r>
      <w:r w:rsidR="00323457" w:rsidRPr="0059638B">
        <w:rPr>
          <w:sz w:val="20"/>
          <w:szCs w:val="20"/>
        </w:rPr>
        <w:t xml:space="preserve">The delegation stated that, during the universal periodic review, 290 recommendations had been made to Nigeria, and as reflected in the Addendum, Nigeria supported 230 recommendations and noted 60 recommendations. Since the submission of the Addendum (A/HRC/40/7/Add.1), and following further consultations, an additional 10 recommendations identified in paragraphs 148.33, 148. 34, 148. 61, 148.69, 148. 181, 148. 182, 148.183, 148.274, 148.276 and 148.287 of the report of the Working Group on the Universal Periodic Review (A/HRC/40/7) have been supported, which increased the number of supported recommendations to 240 and decreased the number of noted recommendations to 50. The acceptance of 240 recommendations was borne out of the strong desire of Nigeria to enhance the promotion and protection of the human rights and to give effect to the obligations under the international human rights treaties to which Nigeria was a party. Relevant Government Ministries, Departments and Agencies were processing the supported recommendations with the objective of commencing the necessary steps to implement them. </w:t>
      </w:r>
    </w:p>
    <w:p w14:paraId="6F8972B2" w14:textId="739D8F2A" w:rsidR="00323457" w:rsidRPr="0059638B" w:rsidRDefault="0043516C" w:rsidP="00323457">
      <w:pPr>
        <w:pStyle w:val="SingleTxtG"/>
        <w:rPr>
          <w:sz w:val="20"/>
          <w:szCs w:val="20"/>
        </w:rPr>
      </w:pPr>
      <w:r>
        <w:rPr>
          <w:sz w:val="20"/>
          <w:szCs w:val="20"/>
        </w:rPr>
        <w:t>451</w:t>
      </w:r>
      <w:r w:rsidR="007C7678">
        <w:rPr>
          <w:sz w:val="20"/>
          <w:szCs w:val="20"/>
        </w:rPr>
        <w:t>.</w:t>
      </w:r>
      <w:r w:rsidR="007C7678">
        <w:rPr>
          <w:sz w:val="20"/>
          <w:szCs w:val="20"/>
        </w:rPr>
        <w:tab/>
      </w:r>
      <w:r w:rsidR="00323457" w:rsidRPr="0059638B">
        <w:rPr>
          <w:sz w:val="20"/>
          <w:szCs w:val="20"/>
        </w:rPr>
        <w:t xml:space="preserve">Recommendations relating to the abolition of the death penalty and the ratification of the Second Optional Protocol to the International Covenant on Civil and Political Rights had been noted. However, efforts were ongoing between the Federal Government and the State Governments to formalize the prevailing voluntary moratorium on the death penalty. </w:t>
      </w:r>
    </w:p>
    <w:p w14:paraId="0702057D" w14:textId="77556AB3" w:rsidR="00323457" w:rsidRPr="0059638B" w:rsidRDefault="0043516C" w:rsidP="00323457">
      <w:pPr>
        <w:pStyle w:val="SingleTxtG"/>
        <w:rPr>
          <w:sz w:val="20"/>
          <w:szCs w:val="20"/>
        </w:rPr>
      </w:pPr>
      <w:r>
        <w:rPr>
          <w:sz w:val="20"/>
          <w:szCs w:val="20"/>
        </w:rPr>
        <w:t>452</w:t>
      </w:r>
      <w:r w:rsidR="007C7678">
        <w:rPr>
          <w:sz w:val="20"/>
          <w:szCs w:val="20"/>
        </w:rPr>
        <w:t>.</w:t>
      </w:r>
      <w:r w:rsidR="007C7678">
        <w:rPr>
          <w:sz w:val="20"/>
          <w:szCs w:val="20"/>
        </w:rPr>
        <w:tab/>
      </w:r>
      <w:r w:rsidR="00323457" w:rsidRPr="0059638B">
        <w:rPr>
          <w:sz w:val="20"/>
          <w:szCs w:val="20"/>
        </w:rPr>
        <w:t>Recommendations relating to same-sex marriage and sexual orientation had been noted. The Marriage Act defined marriage as a relationship between a man and a women. Christianity and Islam, which were the major religions in Nigeria, also recognised marriage as a relationship between a man and a woman. The Same Sex Marriage (Prohibition) Act did not detract from the fundamental human rights of any person and there was no basis to allege any discrimination.</w:t>
      </w:r>
      <w:r w:rsidR="00D72627">
        <w:rPr>
          <w:sz w:val="20"/>
          <w:szCs w:val="20"/>
        </w:rPr>
        <w:t xml:space="preserve"> </w:t>
      </w:r>
    </w:p>
    <w:p w14:paraId="73993265" w14:textId="2C39946D" w:rsidR="00323457" w:rsidRPr="0059638B" w:rsidRDefault="0043516C" w:rsidP="00323457">
      <w:pPr>
        <w:pStyle w:val="SingleTxtG"/>
        <w:rPr>
          <w:sz w:val="20"/>
          <w:szCs w:val="20"/>
        </w:rPr>
      </w:pPr>
      <w:r>
        <w:rPr>
          <w:sz w:val="20"/>
          <w:szCs w:val="20"/>
        </w:rPr>
        <w:t>453</w:t>
      </w:r>
      <w:r w:rsidR="007C7678">
        <w:rPr>
          <w:sz w:val="20"/>
          <w:szCs w:val="20"/>
        </w:rPr>
        <w:t>.</w:t>
      </w:r>
      <w:r w:rsidR="007C7678">
        <w:rPr>
          <w:sz w:val="20"/>
          <w:szCs w:val="20"/>
        </w:rPr>
        <w:tab/>
      </w:r>
      <w:r w:rsidR="00323457" w:rsidRPr="0059638B">
        <w:rPr>
          <w:sz w:val="20"/>
          <w:szCs w:val="20"/>
        </w:rPr>
        <w:t xml:space="preserve">The case of Ibrahim El Zakzaky was guided strictly by the legal process and there has been no interference by the Government. He was standing trial for multiple allegations of murder. The Government was bound to accept the outcome of the trial. </w:t>
      </w:r>
    </w:p>
    <w:p w14:paraId="4D2CD8EF" w14:textId="0201EC6A" w:rsidR="00323457" w:rsidRPr="0059638B" w:rsidRDefault="0043516C" w:rsidP="00323457">
      <w:pPr>
        <w:pStyle w:val="SingleTxtG"/>
        <w:rPr>
          <w:sz w:val="20"/>
          <w:szCs w:val="20"/>
        </w:rPr>
      </w:pPr>
      <w:r>
        <w:rPr>
          <w:sz w:val="20"/>
          <w:szCs w:val="20"/>
        </w:rPr>
        <w:t>454</w:t>
      </w:r>
      <w:r w:rsidR="007C7678">
        <w:rPr>
          <w:sz w:val="20"/>
          <w:szCs w:val="20"/>
        </w:rPr>
        <w:t>.</w:t>
      </w:r>
      <w:r w:rsidR="007C7678">
        <w:rPr>
          <w:sz w:val="20"/>
          <w:szCs w:val="20"/>
        </w:rPr>
        <w:tab/>
      </w:r>
      <w:r w:rsidR="00323457" w:rsidRPr="0059638B">
        <w:rPr>
          <w:sz w:val="20"/>
          <w:szCs w:val="20"/>
        </w:rPr>
        <w:t>In relation to the recommendation in paragraph 148.9 of the Working Group Report, Nigeria was not obliged to adhere to international human rights instruments to which it was not a party. Nigeria supported those aspects of the recommendation that related to the International Convention on the Protection of the Rights of All Migrant Workers and Members of Their Families and the African Union Convention for the Protection and Assistances of Internally Displaced Persons in Africa (Kampala Convention). Nigeria has ratified the Kampala Convention and a bill to domesticate the Convention was currently before the National Assembly.</w:t>
      </w:r>
      <w:r w:rsidR="004B7C70">
        <w:rPr>
          <w:sz w:val="20"/>
          <w:szCs w:val="20"/>
        </w:rPr>
        <w:t xml:space="preserve"> </w:t>
      </w:r>
    </w:p>
    <w:p w14:paraId="4C8B2E47" w14:textId="77777777" w:rsidR="00323457" w:rsidRPr="0059638B" w:rsidRDefault="00323457" w:rsidP="00323457">
      <w:pPr>
        <w:pStyle w:val="H23G"/>
        <w:rPr>
          <w:sz w:val="20"/>
          <w:szCs w:val="20"/>
        </w:rPr>
      </w:pPr>
      <w:r w:rsidRPr="0059638B">
        <w:rPr>
          <w:sz w:val="20"/>
          <w:szCs w:val="20"/>
        </w:rPr>
        <w:lastRenderedPageBreak/>
        <w:tab/>
        <w:t>2.</w:t>
      </w:r>
      <w:r w:rsidRPr="0059638B">
        <w:rPr>
          <w:sz w:val="20"/>
          <w:szCs w:val="20"/>
        </w:rPr>
        <w:tab/>
        <w:t xml:space="preserve">Views expressed by Member and observer States of the Council on the outcome of the review </w:t>
      </w:r>
    </w:p>
    <w:p w14:paraId="127B3163" w14:textId="006BF047" w:rsidR="00323457" w:rsidRPr="0059638B" w:rsidRDefault="0043516C" w:rsidP="00323457">
      <w:pPr>
        <w:pStyle w:val="SingleTxtG"/>
        <w:rPr>
          <w:sz w:val="20"/>
          <w:szCs w:val="20"/>
        </w:rPr>
      </w:pPr>
      <w:r>
        <w:rPr>
          <w:sz w:val="20"/>
          <w:szCs w:val="20"/>
        </w:rPr>
        <w:t>455</w:t>
      </w:r>
      <w:r w:rsidR="007C7678">
        <w:rPr>
          <w:sz w:val="20"/>
          <w:szCs w:val="20"/>
        </w:rPr>
        <w:t>.</w:t>
      </w:r>
      <w:r w:rsidR="007C7678">
        <w:rPr>
          <w:sz w:val="20"/>
          <w:szCs w:val="20"/>
        </w:rPr>
        <w:tab/>
      </w:r>
      <w:r w:rsidR="00323457" w:rsidRPr="0059638B">
        <w:rPr>
          <w:sz w:val="20"/>
          <w:szCs w:val="20"/>
        </w:rPr>
        <w:t>During the adoption of the outcome of the review of Nigeria, 13 delegations made statements.</w:t>
      </w:r>
      <w:r w:rsidR="00CC5A8D" w:rsidRPr="00CC5A8D">
        <w:rPr>
          <w:rStyle w:val="FootnoteReference"/>
          <w:sz w:val="20"/>
          <w:szCs w:val="20"/>
          <w:vertAlign w:val="baseline"/>
        </w:rPr>
        <w:footnoteReference w:customMarkFollows="1" w:id="48"/>
        <w:t>**</w:t>
      </w:r>
      <w:r w:rsidR="00323457" w:rsidRPr="0059638B">
        <w:rPr>
          <w:sz w:val="20"/>
          <w:szCs w:val="20"/>
        </w:rPr>
        <w:t xml:space="preserve"> </w:t>
      </w:r>
    </w:p>
    <w:p w14:paraId="1B226368" w14:textId="4AFAB145" w:rsidR="00323457" w:rsidRPr="0059638B" w:rsidRDefault="0043516C" w:rsidP="00323457">
      <w:pPr>
        <w:pStyle w:val="SingleTxtG"/>
        <w:rPr>
          <w:sz w:val="20"/>
          <w:szCs w:val="20"/>
        </w:rPr>
      </w:pPr>
      <w:r>
        <w:rPr>
          <w:sz w:val="20"/>
          <w:szCs w:val="20"/>
        </w:rPr>
        <w:t>456</w:t>
      </w:r>
      <w:r w:rsidR="007C7678">
        <w:rPr>
          <w:sz w:val="20"/>
          <w:szCs w:val="20"/>
        </w:rPr>
        <w:t>.</w:t>
      </w:r>
      <w:r w:rsidR="007C7678">
        <w:rPr>
          <w:sz w:val="20"/>
          <w:szCs w:val="20"/>
        </w:rPr>
        <w:tab/>
      </w:r>
      <w:r w:rsidR="00323457" w:rsidRPr="0059638B">
        <w:rPr>
          <w:sz w:val="20"/>
          <w:szCs w:val="20"/>
        </w:rPr>
        <w:t xml:space="preserve">Libya commended Nigeria for the efforts taken to implement supported recommendations from the previous review and for its commitment to implement the international human rights conventions. It welcomed the revision of relevant legislation relating to the rights of the child. </w:t>
      </w:r>
    </w:p>
    <w:p w14:paraId="114C485A" w14:textId="21EF947C" w:rsidR="00323457" w:rsidRPr="0059638B" w:rsidRDefault="0043516C" w:rsidP="00323457">
      <w:pPr>
        <w:pStyle w:val="SingleTxtG"/>
        <w:rPr>
          <w:sz w:val="20"/>
          <w:szCs w:val="20"/>
        </w:rPr>
      </w:pPr>
      <w:r>
        <w:rPr>
          <w:sz w:val="20"/>
          <w:szCs w:val="20"/>
        </w:rPr>
        <w:t>457</w:t>
      </w:r>
      <w:r w:rsidR="007C7678">
        <w:rPr>
          <w:sz w:val="20"/>
          <w:szCs w:val="20"/>
        </w:rPr>
        <w:t>.</w:t>
      </w:r>
      <w:r w:rsidR="007C7678">
        <w:rPr>
          <w:sz w:val="20"/>
          <w:szCs w:val="20"/>
        </w:rPr>
        <w:tab/>
      </w:r>
      <w:r w:rsidR="00323457" w:rsidRPr="0059638B">
        <w:rPr>
          <w:sz w:val="20"/>
          <w:szCs w:val="20"/>
        </w:rPr>
        <w:t xml:space="preserve">Madagascar welcomed the determination of the Nigerian authorities to overcome the remaining difficulties in improving the promotion and protection of human rights in the country. It also welcomed the adoption of the law prohibiting and punishing law enforcement officials from using torture and other cruel, inhuman or degrading treatment or punishment. Madagascar encouraged Nigeria to continue to strengthen its efforts to ensure respect for human rights and to consolidate the rule of law in the country. </w:t>
      </w:r>
    </w:p>
    <w:p w14:paraId="368067AF" w14:textId="48618C98" w:rsidR="00323457" w:rsidRPr="0059638B" w:rsidRDefault="0043516C" w:rsidP="00323457">
      <w:pPr>
        <w:pStyle w:val="SingleTxtG"/>
        <w:rPr>
          <w:sz w:val="20"/>
          <w:szCs w:val="20"/>
        </w:rPr>
      </w:pPr>
      <w:r>
        <w:rPr>
          <w:sz w:val="20"/>
          <w:szCs w:val="20"/>
        </w:rPr>
        <w:t>458</w:t>
      </w:r>
      <w:r w:rsidR="007C7678">
        <w:rPr>
          <w:sz w:val="20"/>
          <w:szCs w:val="20"/>
        </w:rPr>
        <w:t>.</w:t>
      </w:r>
      <w:r w:rsidR="007C7678">
        <w:rPr>
          <w:sz w:val="20"/>
          <w:szCs w:val="20"/>
        </w:rPr>
        <w:tab/>
      </w:r>
      <w:r w:rsidR="00323457" w:rsidRPr="0059638B">
        <w:rPr>
          <w:sz w:val="20"/>
          <w:szCs w:val="20"/>
        </w:rPr>
        <w:t>Mauritania congratulated Nigeria for the policies implemented within the framework for the promotion and protection of human rights.</w:t>
      </w:r>
      <w:r w:rsidR="004B7C70">
        <w:rPr>
          <w:sz w:val="20"/>
          <w:szCs w:val="20"/>
        </w:rPr>
        <w:t xml:space="preserve"> </w:t>
      </w:r>
      <w:r w:rsidR="00323457" w:rsidRPr="0059638B">
        <w:rPr>
          <w:sz w:val="20"/>
          <w:szCs w:val="20"/>
        </w:rPr>
        <w:t xml:space="preserve">Mauritania commended Nigeria for its efforts in adopting the plan for economic recovery and growth revival and the implementation of capacity-building programmes. </w:t>
      </w:r>
    </w:p>
    <w:p w14:paraId="771666E2" w14:textId="343CE971" w:rsidR="00323457" w:rsidRPr="0059638B" w:rsidRDefault="0043516C" w:rsidP="00323457">
      <w:pPr>
        <w:pStyle w:val="SingleTxtG"/>
        <w:rPr>
          <w:sz w:val="20"/>
          <w:szCs w:val="20"/>
        </w:rPr>
      </w:pPr>
      <w:r>
        <w:rPr>
          <w:sz w:val="20"/>
          <w:szCs w:val="20"/>
        </w:rPr>
        <w:t>459</w:t>
      </w:r>
      <w:r w:rsidR="007C7678">
        <w:rPr>
          <w:sz w:val="20"/>
          <w:szCs w:val="20"/>
        </w:rPr>
        <w:t>.</w:t>
      </w:r>
      <w:r w:rsidR="007C7678">
        <w:rPr>
          <w:sz w:val="20"/>
          <w:szCs w:val="20"/>
        </w:rPr>
        <w:tab/>
      </w:r>
      <w:r w:rsidR="00323457" w:rsidRPr="0059638B">
        <w:rPr>
          <w:sz w:val="20"/>
          <w:szCs w:val="20"/>
        </w:rPr>
        <w:t xml:space="preserve">Namibia commended the significant achievements made by Nigeria, including its cooperation with international human rights mechanisms. It noted that the federal and state elections had been held peacefully, and encouraged Nigeria to continue to address the challenges experienced during the elections through peaceful means within the national legislative framework and without external interference. </w:t>
      </w:r>
    </w:p>
    <w:p w14:paraId="3175E2CA" w14:textId="19335F9E" w:rsidR="00323457" w:rsidRPr="0059638B" w:rsidRDefault="0043516C" w:rsidP="00323457">
      <w:pPr>
        <w:pStyle w:val="SingleTxtG"/>
        <w:rPr>
          <w:sz w:val="20"/>
          <w:szCs w:val="20"/>
        </w:rPr>
      </w:pPr>
      <w:r>
        <w:rPr>
          <w:sz w:val="20"/>
          <w:szCs w:val="20"/>
        </w:rPr>
        <w:t>460</w:t>
      </w:r>
      <w:r w:rsidR="007C7678">
        <w:rPr>
          <w:sz w:val="20"/>
          <w:szCs w:val="20"/>
        </w:rPr>
        <w:t>.</w:t>
      </w:r>
      <w:r w:rsidR="007C7678">
        <w:rPr>
          <w:sz w:val="20"/>
          <w:szCs w:val="20"/>
        </w:rPr>
        <w:tab/>
      </w:r>
      <w:r w:rsidR="00323457" w:rsidRPr="0059638B">
        <w:rPr>
          <w:sz w:val="20"/>
          <w:szCs w:val="20"/>
        </w:rPr>
        <w:t>The Office of the United Nations High Commissioner for Refugees welcomed Nigeria</w:t>
      </w:r>
      <w:r w:rsidR="00D72627">
        <w:rPr>
          <w:sz w:val="20"/>
          <w:szCs w:val="20"/>
        </w:rPr>
        <w:t>’</w:t>
      </w:r>
      <w:r w:rsidR="00323457" w:rsidRPr="0059638B">
        <w:rPr>
          <w:sz w:val="20"/>
          <w:szCs w:val="20"/>
        </w:rPr>
        <w:t>s support for recommendations calling for action to ensure the protection of internally displaced women and children from all forms of violence, abuse and exploitation. It acknowledged the efforts made by Nigeria to domesticate the Kampala Convention. It commended Nigeria for undertaking to facilitate equal political participation of internally displaced persons and for ensuring that internally displaced children have access to education. The Office of the United Nations High Commissioner for Refugees</w:t>
      </w:r>
      <w:r w:rsidR="004B7C70">
        <w:rPr>
          <w:sz w:val="20"/>
          <w:szCs w:val="20"/>
        </w:rPr>
        <w:t xml:space="preserve"> </w:t>
      </w:r>
      <w:r w:rsidR="00323457" w:rsidRPr="0059638B">
        <w:rPr>
          <w:sz w:val="20"/>
          <w:szCs w:val="20"/>
        </w:rPr>
        <w:t xml:space="preserve">appreciated the commitment made by Nigeria to reduce the risk of statelessness and reaffirmed its readiness to assist Nigeria in implementing recommendations from the universal periodic review. </w:t>
      </w:r>
    </w:p>
    <w:p w14:paraId="128A2E6F" w14:textId="4D128D6C" w:rsidR="00323457" w:rsidRPr="0059638B" w:rsidRDefault="0043516C" w:rsidP="00323457">
      <w:pPr>
        <w:pStyle w:val="SingleTxtG"/>
        <w:rPr>
          <w:sz w:val="20"/>
          <w:szCs w:val="20"/>
        </w:rPr>
      </w:pPr>
      <w:r>
        <w:rPr>
          <w:sz w:val="20"/>
          <w:szCs w:val="20"/>
        </w:rPr>
        <w:t>461</w:t>
      </w:r>
      <w:r w:rsidR="007C7678">
        <w:rPr>
          <w:sz w:val="20"/>
          <w:szCs w:val="20"/>
        </w:rPr>
        <w:t>.</w:t>
      </w:r>
      <w:r w:rsidR="007C7678">
        <w:rPr>
          <w:sz w:val="20"/>
          <w:szCs w:val="20"/>
        </w:rPr>
        <w:tab/>
      </w:r>
      <w:r w:rsidR="00323457" w:rsidRPr="0059638B">
        <w:rPr>
          <w:sz w:val="20"/>
          <w:szCs w:val="20"/>
        </w:rPr>
        <w:t>Oman commended Nigeria for the progress made in the promotion and protection of human rights and for the methodology employed for the implementation of recommendations from the universal periodic review mechanism.</w:t>
      </w:r>
      <w:r w:rsidR="004B7C70">
        <w:rPr>
          <w:sz w:val="20"/>
          <w:szCs w:val="20"/>
        </w:rPr>
        <w:t xml:space="preserve"> </w:t>
      </w:r>
      <w:r w:rsidR="00323457" w:rsidRPr="0059638B">
        <w:rPr>
          <w:sz w:val="20"/>
          <w:szCs w:val="20"/>
        </w:rPr>
        <w:t xml:space="preserve">It congratulated Nigeria for supporting the recommendations made by Oman. </w:t>
      </w:r>
    </w:p>
    <w:p w14:paraId="5A242400" w14:textId="11C49757" w:rsidR="00323457" w:rsidRPr="0059638B" w:rsidRDefault="0043516C" w:rsidP="00323457">
      <w:pPr>
        <w:pStyle w:val="SingleTxtG"/>
        <w:rPr>
          <w:sz w:val="20"/>
          <w:szCs w:val="20"/>
        </w:rPr>
      </w:pPr>
      <w:r>
        <w:rPr>
          <w:sz w:val="20"/>
          <w:szCs w:val="20"/>
        </w:rPr>
        <w:t>462</w:t>
      </w:r>
      <w:r w:rsidR="007C7678">
        <w:rPr>
          <w:sz w:val="20"/>
          <w:szCs w:val="20"/>
        </w:rPr>
        <w:t>.</w:t>
      </w:r>
      <w:r w:rsidR="007C7678">
        <w:rPr>
          <w:sz w:val="20"/>
          <w:szCs w:val="20"/>
        </w:rPr>
        <w:tab/>
      </w:r>
      <w:r w:rsidR="00323457" w:rsidRPr="0059638B">
        <w:rPr>
          <w:sz w:val="20"/>
          <w:szCs w:val="20"/>
        </w:rPr>
        <w:t>Pakistan commended Nigeria for supporting the majority of the recommendations, including those made by Pakistan. It welcomed the recent positive developments to improve the justice system and appreciated the establishment of the National Working Group on Human Rights Treaty Reporting to report to treaty bodies and to monitor the implementation of supported recommendations.</w:t>
      </w:r>
      <w:r w:rsidR="004B7C70">
        <w:rPr>
          <w:sz w:val="20"/>
          <w:szCs w:val="20"/>
        </w:rPr>
        <w:t xml:space="preserve"> </w:t>
      </w:r>
    </w:p>
    <w:p w14:paraId="3785FF60" w14:textId="796D2E44" w:rsidR="00323457" w:rsidRPr="0059638B" w:rsidRDefault="0043516C" w:rsidP="00323457">
      <w:pPr>
        <w:pStyle w:val="SingleTxtG"/>
        <w:rPr>
          <w:sz w:val="20"/>
          <w:szCs w:val="20"/>
        </w:rPr>
      </w:pPr>
      <w:r>
        <w:rPr>
          <w:sz w:val="20"/>
          <w:szCs w:val="20"/>
        </w:rPr>
        <w:t>463</w:t>
      </w:r>
      <w:r w:rsidR="007C7678">
        <w:rPr>
          <w:sz w:val="20"/>
          <w:szCs w:val="20"/>
        </w:rPr>
        <w:t>.</w:t>
      </w:r>
      <w:r w:rsidR="007C7678">
        <w:rPr>
          <w:sz w:val="20"/>
          <w:szCs w:val="20"/>
        </w:rPr>
        <w:tab/>
      </w:r>
      <w:r w:rsidR="00323457" w:rsidRPr="0059638B">
        <w:rPr>
          <w:sz w:val="20"/>
          <w:szCs w:val="20"/>
        </w:rPr>
        <w:t xml:space="preserve">The Philippines thanked Nigeria for supporting the recommendation made by the Philippines on the protection of women and children in crisis-affected areas and for the implementation of the Violence against Persons Prohibition Act. It noted that Nigeria had given priority to security, counter-terrorism and insurgency, combatting trafficking in persons, and enhancing engagement with human rights mechanisms, and further upholding </w:t>
      </w:r>
      <w:r w:rsidR="00323457" w:rsidRPr="0059638B">
        <w:rPr>
          <w:sz w:val="20"/>
          <w:szCs w:val="20"/>
        </w:rPr>
        <w:lastRenderedPageBreak/>
        <w:t>the rights of children, women, girls and persons with disabilities.</w:t>
      </w:r>
      <w:r w:rsidR="004B7C70">
        <w:rPr>
          <w:sz w:val="20"/>
          <w:szCs w:val="20"/>
        </w:rPr>
        <w:t xml:space="preserve"> </w:t>
      </w:r>
      <w:r w:rsidR="00323457" w:rsidRPr="0059638B">
        <w:rPr>
          <w:sz w:val="20"/>
          <w:szCs w:val="20"/>
        </w:rPr>
        <w:t>The Philippines recognized the continued efforts by Nigeria to further promote and protect human rights.</w:t>
      </w:r>
      <w:r w:rsidR="004B7C70">
        <w:rPr>
          <w:sz w:val="20"/>
          <w:szCs w:val="20"/>
        </w:rPr>
        <w:t xml:space="preserve"> </w:t>
      </w:r>
    </w:p>
    <w:p w14:paraId="2AA2C484" w14:textId="077D0DBD" w:rsidR="00323457" w:rsidRPr="0059638B" w:rsidRDefault="0043516C" w:rsidP="00323457">
      <w:pPr>
        <w:pStyle w:val="SingleTxtG"/>
        <w:rPr>
          <w:sz w:val="20"/>
          <w:szCs w:val="20"/>
        </w:rPr>
      </w:pPr>
      <w:r>
        <w:rPr>
          <w:sz w:val="20"/>
          <w:szCs w:val="20"/>
        </w:rPr>
        <w:t>464</w:t>
      </w:r>
      <w:r w:rsidR="007C7678">
        <w:rPr>
          <w:sz w:val="20"/>
          <w:szCs w:val="20"/>
        </w:rPr>
        <w:t>.</w:t>
      </w:r>
      <w:r w:rsidR="007C7678">
        <w:rPr>
          <w:sz w:val="20"/>
          <w:szCs w:val="20"/>
        </w:rPr>
        <w:tab/>
      </w:r>
      <w:r w:rsidR="00323457" w:rsidRPr="0059638B">
        <w:rPr>
          <w:sz w:val="20"/>
          <w:szCs w:val="20"/>
        </w:rPr>
        <w:t>Saudi Arabia stated that the statement made Nigeria reflected a spirit of cooperation with the international human rights mechanisms. It appreciated the many efforts to promote and protect human rights. It particularly appreciated the continued cooperation with Nigeria which was evident from the efforts that had been made to implement policies and laws on human rights.</w:t>
      </w:r>
      <w:r w:rsidR="004B7C70">
        <w:rPr>
          <w:sz w:val="20"/>
          <w:szCs w:val="20"/>
        </w:rPr>
        <w:t xml:space="preserve"> </w:t>
      </w:r>
    </w:p>
    <w:p w14:paraId="4159D019" w14:textId="6E30AC7E" w:rsidR="00323457" w:rsidRPr="0059638B" w:rsidRDefault="0043516C" w:rsidP="00323457">
      <w:pPr>
        <w:pStyle w:val="SingleTxtG"/>
        <w:rPr>
          <w:sz w:val="20"/>
          <w:szCs w:val="20"/>
        </w:rPr>
      </w:pPr>
      <w:r>
        <w:rPr>
          <w:sz w:val="20"/>
          <w:szCs w:val="20"/>
        </w:rPr>
        <w:t>465</w:t>
      </w:r>
      <w:r w:rsidR="007C7678">
        <w:rPr>
          <w:sz w:val="20"/>
          <w:szCs w:val="20"/>
        </w:rPr>
        <w:t>.</w:t>
      </w:r>
      <w:r w:rsidR="007C7678">
        <w:rPr>
          <w:sz w:val="20"/>
          <w:szCs w:val="20"/>
        </w:rPr>
        <w:tab/>
      </w:r>
      <w:r w:rsidR="00323457" w:rsidRPr="0059638B">
        <w:rPr>
          <w:sz w:val="20"/>
          <w:szCs w:val="20"/>
        </w:rPr>
        <w:t xml:space="preserve">Senegal welcomed the measures taken by Nigeria to implement the 172 recommendations from the previous review. The concrete initiatives by Nigeria to improve the situation of human rights and fundamental freedoms had led to the signing of international commitments, as well as institutional and normative measures. The efforts of the Nigerian authorities in the field of human rights were visible in a number of areas, including social and economic empowerment, the promotion of health, poverty eradication and access to education. </w:t>
      </w:r>
    </w:p>
    <w:p w14:paraId="2D912840" w14:textId="729DBE99" w:rsidR="00323457" w:rsidRPr="0059638B" w:rsidRDefault="0043516C" w:rsidP="00323457">
      <w:pPr>
        <w:pStyle w:val="SingleTxtG"/>
        <w:rPr>
          <w:sz w:val="20"/>
          <w:szCs w:val="20"/>
        </w:rPr>
      </w:pPr>
      <w:r>
        <w:rPr>
          <w:sz w:val="20"/>
          <w:szCs w:val="20"/>
        </w:rPr>
        <w:t>466</w:t>
      </w:r>
      <w:r w:rsidR="007C7678">
        <w:rPr>
          <w:sz w:val="20"/>
          <w:szCs w:val="20"/>
        </w:rPr>
        <w:t>.</w:t>
      </w:r>
      <w:r w:rsidR="007C7678">
        <w:rPr>
          <w:sz w:val="20"/>
          <w:szCs w:val="20"/>
        </w:rPr>
        <w:tab/>
      </w:r>
      <w:r w:rsidR="00323457" w:rsidRPr="0059638B">
        <w:rPr>
          <w:sz w:val="20"/>
          <w:szCs w:val="20"/>
        </w:rPr>
        <w:t xml:space="preserve">Serbia noted with appreciation the efforts made by Nigeria to promote fundamental human rights. It stated that Nigeria had supported the majority of the recommendations, including those made by Serbia. Serbia wished Nigeria success in implementing the supported recommendations. </w:t>
      </w:r>
    </w:p>
    <w:p w14:paraId="34C1D892" w14:textId="2751260C" w:rsidR="00323457" w:rsidRPr="0059638B" w:rsidRDefault="0043516C" w:rsidP="00323457">
      <w:pPr>
        <w:pStyle w:val="SingleTxtG"/>
        <w:rPr>
          <w:sz w:val="20"/>
          <w:szCs w:val="20"/>
        </w:rPr>
      </w:pPr>
      <w:r>
        <w:rPr>
          <w:sz w:val="20"/>
          <w:szCs w:val="20"/>
        </w:rPr>
        <w:t>467</w:t>
      </w:r>
      <w:r w:rsidR="007C7678">
        <w:rPr>
          <w:sz w:val="20"/>
          <w:szCs w:val="20"/>
        </w:rPr>
        <w:t>.</w:t>
      </w:r>
      <w:r w:rsidR="007C7678">
        <w:rPr>
          <w:sz w:val="20"/>
          <w:szCs w:val="20"/>
        </w:rPr>
        <w:tab/>
      </w:r>
      <w:r w:rsidR="00323457" w:rsidRPr="0059638B">
        <w:rPr>
          <w:sz w:val="20"/>
          <w:szCs w:val="20"/>
        </w:rPr>
        <w:t>Sierra Leone congratulated Nigeria on the recent presidential elections. It noted that a national policy framework and action plan on preventing and countering violent extremism and a national action plan on business and human rights were in the process of being developed. Sierra Leone also noted that women</w:t>
      </w:r>
      <w:r w:rsidR="00D72627">
        <w:rPr>
          <w:sz w:val="20"/>
          <w:szCs w:val="20"/>
        </w:rPr>
        <w:t>’</w:t>
      </w:r>
      <w:r w:rsidR="00323457" w:rsidRPr="0059638B">
        <w:rPr>
          <w:sz w:val="20"/>
          <w:szCs w:val="20"/>
        </w:rPr>
        <w:t>s participation in parliament at the national level had been set at 35 per cent. It encouraged Nigeria to continue to strengthen efforts aimed at realizing its human rights obligations and commitments and wished Nigeria success in implementing the supported recommendations.</w:t>
      </w:r>
      <w:r w:rsidR="004B7C70">
        <w:rPr>
          <w:sz w:val="20"/>
          <w:szCs w:val="20"/>
        </w:rPr>
        <w:t xml:space="preserve"> </w:t>
      </w:r>
    </w:p>
    <w:p w14:paraId="4ED09662" w14:textId="25040C8A" w:rsidR="00323457" w:rsidRPr="0059638B" w:rsidRDefault="0043516C" w:rsidP="00323457">
      <w:pPr>
        <w:pStyle w:val="SingleTxtG"/>
        <w:rPr>
          <w:sz w:val="20"/>
          <w:szCs w:val="20"/>
        </w:rPr>
      </w:pPr>
      <w:r>
        <w:rPr>
          <w:sz w:val="20"/>
          <w:szCs w:val="20"/>
        </w:rPr>
        <w:t>468</w:t>
      </w:r>
      <w:r w:rsidR="007C7678">
        <w:rPr>
          <w:sz w:val="20"/>
          <w:szCs w:val="20"/>
        </w:rPr>
        <w:t>.</w:t>
      </w:r>
      <w:r w:rsidR="007C7678">
        <w:rPr>
          <w:sz w:val="20"/>
          <w:szCs w:val="20"/>
        </w:rPr>
        <w:tab/>
      </w:r>
      <w:r w:rsidR="00323457" w:rsidRPr="0059638B">
        <w:rPr>
          <w:sz w:val="20"/>
          <w:szCs w:val="20"/>
        </w:rPr>
        <w:t xml:space="preserve">The Sudan valued the efforts of Nigeria to promote and protect human rights. Nigeria has supported a high number of recommendations, including those made by the Sudan. The Sudan expressed the hope that Nigeria would be successful in its efforts to implement the recommendations. </w:t>
      </w:r>
    </w:p>
    <w:p w14:paraId="3326190D" w14:textId="77777777" w:rsidR="00323457" w:rsidRPr="0059638B" w:rsidRDefault="00323457" w:rsidP="00323457">
      <w:pPr>
        <w:pStyle w:val="H23G"/>
        <w:rPr>
          <w:sz w:val="20"/>
          <w:szCs w:val="20"/>
        </w:rPr>
      </w:pPr>
      <w:r w:rsidRPr="0059638B">
        <w:rPr>
          <w:sz w:val="20"/>
          <w:szCs w:val="20"/>
        </w:rPr>
        <w:tab/>
        <w:t>3.</w:t>
      </w:r>
      <w:r w:rsidRPr="0059638B">
        <w:rPr>
          <w:sz w:val="20"/>
          <w:szCs w:val="20"/>
        </w:rPr>
        <w:tab/>
        <w:t>General comments made by other stakeholders</w:t>
      </w:r>
    </w:p>
    <w:p w14:paraId="579BCD54" w14:textId="140F43A4" w:rsidR="00323457" w:rsidRPr="0059638B" w:rsidRDefault="0043516C" w:rsidP="00323457">
      <w:pPr>
        <w:pStyle w:val="SingleTxtG"/>
        <w:rPr>
          <w:sz w:val="20"/>
          <w:szCs w:val="20"/>
        </w:rPr>
      </w:pPr>
      <w:r>
        <w:rPr>
          <w:sz w:val="20"/>
          <w:szCs w:val="20"/>
        </w:rPr>
        <w:t>469</w:t>
      </w:r>
      <w:r w:rsidR="007C7678">
        <w:rPr>
          <w:sz w:val="20"/>
          <w:szCs w:val="20"/>
        </w:rPr>
        <w:t>.</w:t>
      </w:r>
      <w:r w:rsidR="007C7678">
        <w:rPr>
          <w:sz w:val="20"/>
          <w:szCs w:val="20"/>
        </w:rPr>
        <w:tab/>
      </w:r>
      <w:r w:rsidR="00323457" w:rsidRPr="0059638B">
        <w:rPr>
          <w:sz w:val="20"/>
          <w:szCs w:val="20"/>
        </w:rPr>
        <w:t>During the adoption of the outcome of the review of Nigeria, 10 other stakeholders made statements.</w:t>
      </w:r>
      <w:r w:rsidR="00CC5A8D" w:rsidRPr="00CC5A8D">
        <w:rPr>
          <w:rStyle w:val="FootnoteReference"/>
          <w:sz w:val="20"/>
          <w:szCs w:val="20"/>
          <w:vertAlign w:val="baseline"/>
        </w:rPr>
        <w:footnoteReference w:customMarkFollows="1" w:id="49"/>
        <w:t>**</w:t>
      </w:r>
      <w:r w:rsidR="00323457" w:rsidRPr="0059638B">
        <w:rPr>
          <w:sz w:val="20"/>
          <w:szCs w:val="20"/>
        </w:rPr>
        <w:t xml:space="preserve"> </w:t>
      </w:r>
    </w:p>
    <w:p w14:paraId="0F2105E8" w14:textId="1D4A1BC1" w:rsidR="00323457" w:rsidRPr="0059638B" w:rsidRDefault="0043516C" w:rsidP="00323457">
      <w:pPr>
        <w:pStyle w:val="SingleTxtG"/>
        <w:rPr>
          <w:sz w:val="20"/>
          <w:szCs w:val="20"/>
        </w:rPr>
      </w:pPr>
      <w:r>
        <w:rPr>
          <w:sz w:val="20"/>
          <w:szCs w:val="20"/>
        </w:rPr>
        <w:t>470</w:t>
      </w:r>
      <w:r w:rsidR="007C7678">
        <w:rPr>
          <w:sz w:val="20"/>
          <w:szCs w:val="20"/>
        </w:rPr>
        <w:t>.</w:t>
      </w:r>
      <w:r w:rsidR="007C7678">
        <w:rPr>
          <w:sz w:val="20"/>
          <w:szCs w:val="20"/>
        </w:rPr>
        <w:tab/>
      </w:r>
      <w:r w:rsidR="00323457" w:rsidRPr="0059638B">
        <w:rPr>
          <w:sz w:val="20"/>
          <w:szCs w:val="20"/>
        </w:rPr>
        <w:t>Edmund Rice International Limited noted that since 2017, many people had either been killed or displaced because of clashes between herdsmen and tribal groupings, affecting women and children. It called upon Nigeria to adopt a comprehensive approach to the security situation by ensuring that perpetrators are brought to justice and that the rules of engagement for the security forces take full account of human rights. It also called for the domestication and enforcement of the Child Rights Act in all the 36 states, along with anti-trafficking laws.</w:t>
      </w:r>
    </w:p>
    <w:p w14:paraId="00EC4876" w14:textId="05189D23" w:rsidR="00323457" w:rsidRPr="0059638B" w:rsidRDefault="0043516C" w:rsidP="00323457">
      <w:pPr>
        <w:pStyle w:val="SingleTxtG"/>
        <w:rPr>
          <w:sz w:val="20"/>
          <w:szCs w:val="20"/>
        </w:rPr>
      </w:pPr>
      <w:r>
        <w:rPr>
          <w:sz w:val="20"/>
          <w:szCs w:val="20"/>
        </w:rPr>
        <w:t>471</w:t>
      </w:r>
      <w:r w:rsidR="007C7678">
        <w:rPr>
          <w:sz w:val="20"/>
          <w:szCs w:val="20"/>
        </w:rPr>
        <w:t>.</w:t>
      </w:r>
      <w:r w:rsidR="007C7678">
        <w:rPr>
          <w:sz w:val="20"/>
          <w:szCs w:val="20"/>
        </w:rPr>
        <w:tab/>
      </w:r>
      <w:r w:rsidR="00323457" w:rsidRPr="0059638B">
        <w:rPr>
          <w:sz w:val="20"/>
          <w:szCs w:val="20"/>
        </w:rPr>
        <w:t>Women</w:t>
      </w:r>
      <w:r w:rsidR="00D72627">
        <w:rPr>
          <w:sz w:val="20"/>
          <w:szCs w:val="20"/>
        </w:rPr>
        <w:t>’</w:t>
      </w:r>
      <w:r w:rsidR="00323457" w:rsidRPr="0059638B">
        <w:rPr>
          <w:sz w:val="20"/>
          <w:szCs w:val="20"/>
        </w:rPr>
        <w:t>s International League for Peace and Freedom welcomed the fact that Nigeria had supported recommendations to address gender-based violence. It stated that women had continued to experience persistent discrimination in the public and political spheres, with the electoral system impeding the political participation of women. It called on Nigeria to ensure the adoption of legislation on temporary measures aimed at increase women</w:t>
      </w:r>
      <w:r w:rsidR="00D72627">
        <w:rPr>
          <w:sz w:val="20"/>
          <w:szCs w:val="20"/>
        </w:rPr>
        <w:t>’</w:t>
      </w:r>
      <w:r w:rsidR="00323457" w:rsidRPr="0059638B">
        <w:rPr>
          <w:sz w:val="20"/>
          <w:szCs w:val="20"/>
        </w:rPr>
        <w:t xml:space="preserve">s participation in political and public life and especially in areas where women are underrepresented and </w:t>
      </w:r>
      <w:r w:rsidR="00323457" w:rsidRPr="0059638B">
        <w:rPr>
          <w:sz w:val="20"/>
          <w:szCs w:val="20"/>
        </w:rPr>
        <w:lastRenderedPageBreak/>
        <w:t>disadvantaged; conduct awareness-raising campaigns; and support networks of women in government and non-government groups.</w:t>
      </w:r>
    </w:p>
    <w:p w14:paraId="03A48CAB" w14:textId="39C0CEE6" w:rsidR="00323457" w:rsidRPr="0059638B" w:rsidRDefault="0043516C" w:rsidP="00323457">
      <w:pPr>
        <w:pStyle w:val="SingleTxtG"/>
        <w:rPr>
          <w:sz w:val="20"/>
          <w:szCs w:val="20"/>
        </w:rPr>
      </w:pPr>
      <w:r>
        <w:rPr>
          <w:sz w:val="20"/>
          <w:szCs w:val="20"/>
        </w:rPr>
        <w:t>472</w:t>
      </w:r>
      <w:r w:rsidR="007C7678">
        <w:rPr>
          <w:sz w:val="20"/>
          <w:szCs w:val="20"/>
        </w:rPr>
        <w:t>.</w:t>
      </w:r>
      <w:r w:rsidR="007C7678">
        <w:rPr>
          <w:sz w:val="20"/>
          <w:szCs w:val="20"/>
        </w:rPr>
        <w:tab/>
      </w:r>
      <w:r w:rsidR="00323457" w:rsidRPr="0059638B">
        <w:rPr>
          <w:sz w:val="20"/>
          <w:szCs w:val="20"/>
        </w:rPr>
        <w:t>Christian Solidarity Worldwide stated that Boko Haram had continued to be responsible for attacks, displacement and abductions and urged Nigeria to do everything in its power to expedite the release of Leah Sharibu, Alice Ngaddah and all other abductees. It called on Nigeria to combat impunity by implementing supported recommendations and urged the international community to ensure these commitments were honoured, offering assistance when necessary. It noted that, in Shari</w:t>
      </w:r>
      <w:r w:rsidR="00D72627">
        <w:rPr>
          <w:sz w:val="20"/>
          <w:szCs w:val="20"/>
        </w:rPr>
        <w:t>’</w:t>
      </w:r>
      <w:r w:rsidR="00323457" w:rsidRPr="0059638B">
        <w:rPr>
          <w:sz w:val="20"/>
          <w:szCs w:val="20"/>
        </w:rPr>
        <w:t xml:space="preserve">a states, the education of underage non-Muslim girls was often cut short by abduction, forcible conversion and forced marriage and called on Nigeria to address this problem. </w:t>
      </w:r>
    </w:p>
    <w:p w14:paraId="5AB53FA2" w14:textId="56BC349E" w:rsidR="00323457" w:rsidRPr="0059638B" w:rsidRDefault="0043516C" w:rsidP="00323457">
      <w:pPr>
        <w:pStyle w:val="SingleTxtG"/>
        <w:rPr>
          <w:sz w:val="20"/>
          <w:szCs w:val="20"/>
        </w:rPr>
      </w:pPr>
      <w:r>
        <w:rPr>
          <w:sz w:val="20"/>
          <w:szCs w:val="20"/>
        </w:rPr>
        <w:t>473</w:t>
      </w:r>
      <w:r w:rsidR="007C7678">
        <w:rPr>
          <w:sz w:val="20"/>
          <w:szCs w:val="20"/>
        </w:rPr>
        <w:t>.</w:t>
      </w:r>
      <w:r w:rsidR="007C7678">
        <w:rPr>
          <w:sz w:val="20"/>
          <w:szCs w:val="20"/>
        </w:rPr>
        <w:tab/>
      </w:r>
      <w:r w:rsidR="00323457" w:rsidRPr="0059638B">
        <w:rPr>
          <w:sz w:val="20"/>
          <w:szCs w:val="20"/>
        </w:rPr>
        <w:t xml:space="preserve">International Humanist and Ethnical Union stated that it had been saddened by the comments on the Nigerian delegation on same-sex relationships. The rights of LGBTI persons were trampled by the Same-Sex Prohibition Act. It stated that the people who did not subscribe to the majority religions of Christianity and Islam suffered discrimination. It urged Nigeria to reconsider its rejection of the recommendation to “protect the rights to freedom of association, expression and peaceful assembly for all Nigerians, regardless of ethnicity, religion, sexual orientation or gender identity.” </w:t>
      </w:r>
    </w:p>
    <w:p w14:paraId="76570212" w14:textId="7D677334" w:rsidR="00323457" w:rsidRPr="0059638B" w:rsidRDefault="0043516C" w:rsidP="00323457">
      <w:pPr>
        <w:pStyle w:val="SingleTxtG"/>
        <w:rPr>
          <w:sz w:val="20"/>
          <w:szCs w:val="20"/>
        </w:rPr>
      </w:pPr>
      <w:r>
        <w:rPr>
          <w:sz w:val="20"/>
          <w:szCs w:val="20"/>
        </w:rPr>
        <w:t>474</w:t>
      </w:r>
      <w:r w:rsidR="007C7678">
        <w:rPr>
          <w:sz w:val="20"/>
          <w:szCs w:val="20"/>
        </w:rPr>
        <w:t>.</w:t>
      </w:r>
      <w:r w:rsidR="007C7678">
        <w:rPr>
          <w:sz w:val="20"/>
          <w:szCs w:val="20"/>
        </w:rPr>
        <w:tab/>
      </w:r>
      <w:r w:rsidR="00323457" w:rsidRPr="0059638B">
        <w:rPr>
          <w:sz w:val="20"/>
          <w:szCs w:val="20"/>
        </w:rPr>
        <w:t>Human Rights Watch documented systematic human rights abuses by Boko Haram and government security forces, including arbitrary arrests, torture, enforced disappearances, unlawful killings and extrajudicial executions. It welcomed the acceptance by Nigeria of recommendations to conduct investigations into allegations of rights violations by some government security forces, but remained concerned by the lack of accountability for these crimes and called on the Government to ensure that perpetrators were brought to justice. They called on the Government to ensure that journalists and other media professionals were able to operate without fear of arrests or other reprisals for exercising their right to free speech.</w:t>
      </w:r>
    </w:p>
    <w:p w14:paraId="02F773CA" w14:textId="03825269" w:rsidR="00323457" w:rsidRPr="0059638B" w:rsidRDefault="0043516C" w:rsidP="00323457">
      <w:pPr>
        <w:pStyle w:val="SingleTxtG"/>
        <w:rPr>
          <w:sz w:val="20"/>
          <w:szCs w:val="20"/>
        </w:rPr>
      </w:pPr>
      <w:r>
        <w:rPr>
          <w:sz w:val="20"/>
          <w:szCs w:val="20"/>
        </w:rPr>
        <w:t>475</w:t>
      </w:r>
      <w:r w:rsidR="007C7678">
        <w:rPr>
          <w:sz w:val="20"/>
          <w:szCs w:val="20"/>
        </w:rPr>
        <w:t>.</w:t>
      </w:r>
      <w:r w:rsidR="007C7678">
        <w:rPr>
          <w:sz w:val="20"/>
          <w:szCs w:val="20"/>
        </w:rPr>
        <w:tab/>
      </w:r>
      <w:r w:rsidR="00323457" w:rsidRPr="0059638B">
        <w:rPr>
          <w:sz w:val="20"/>
          <w:szCs w:val="20"/>
        </w:rPr>
        <w:t xml:space="preserve">International Service for Human Rights stated that security agencies, other state actors and militia groups had continued to carry out extra judicial killings with impunity. No army personnel had been accountable for killings during the recent general elections and public protests. The Government continued to crack down on freedom of expression, with numerous journalists having been attacked and detained. It stated that gender based violence, especially rape and sexual violence was at epidemic levels and urged Nigeria to ensure the nationwide application of the Gender and Equal Opportunities Bill, the Violence </w:t>
      </w:r>
      <w:proofErr w:type="gramStart"/>
      <w:r w:rsidR="00323457" w:rsidRPr="0059638B">
        <w:rPr>
          <w:sz w:val="20"/>
          <w:szCs w:val="20"/>
        </w:rPr>
        <w:t>Against</w:t>
      </w:r>
      <w:proofErr w:type="gramEnd"/>
      <w:r w:rsidR="00323457" w:rsidRPr="0059638B">
        <w:rPr>
          <w:sz w:val="20"/>
          <w:szCs w:val="20"/>
        </w:rPr>
        <w:t xml:space="preserve"> Persons Prohibition Act and the Child Rights Act.</w:t>
      </w:r>
    </w:p>
    <w:p w14:paraId="6A21BA9C" w14:textId="03A16E6B" w:rsidR="00323457" w:rsidRPr="0059638B" w:rsidRDefault="0043516C" w:rsidP="00323457">
      <w:pPr>
        <w:pStyle w:val="SingleTxtG"/>
        <w:rPr>
          <w:sz w:val="20"/>
          <w:szCs w:val="20"/>
        </w:rPr>
      </w:pPr>
      <w:r>
        <w:rPr>
          <w:sz w:val="20"/>
          <w:szCs w:val="20"/>
        </w:rPr>
        <w:t>476</w:t>
      </w:r>
      <w:r w:rsidR="007C7678">
        <w:rPr>
          <w:sz w:val="20"/>
          <w:szCs w:val="20"/>
        </w:rPr>
        <w:t>.</w:t>
      </w:r>
      <w:r w:rsidR="007C7678">
        <w:rPr>
          <w:sz w:val="20"/>
          <w:szCs w:val="20"/>
        </w:rPr>
        <w:tab/>
      </w:r>
      <w:r w:rsidR="00323457" w:rsidRPr="0059638B">
        <w:rPr>
          <w:sz w:val="20"/>
          <w:szCs w:val="20"/>
        </w:rPr>
        <w:t xml:space="preserve">CIVICUS – World Alliance for Citizen Participation urged Nigeria to put effective measures in place to curb police brutality through a comprehensive reform of the police force. Despite the continued harassment of the press and of civil society organizations, the national report barely addresses the issue of restriction on civic space. Noting the establishment of the Federal Charities Commission and the new bill that was before the Senate, it urged Nigeria not to adopt laws that would further undermine civic space. </w:t>
      </w:r>
    </w:p>
    <w:p w14:paraId="2B00F5A7" w14:textId="37EEF8F1" w:rsidR="00323457" w:rsidRPr="0059638B" w:rsidRDefault="0043516C" w:rsidP="00323457">
      <w:pPr>
        <w:pStyle w:val="SingleTxtG"/>
        <w:rPr>
          <w:sz w:val="20"/>
          <w:szCs w:val="20"/>
        </w:rPr>
      </w:pPr>
      <w:r>
        <w:rPr>
          <w:sz w:val="20"/>
          <w:szCs w:val="20"/>
        </w:rPr>
        <w:t>477</w:t>
      </w:r>
      <w:r w:rsidR="007C7678">
        <w:rPr>
          <w:sz w:val="20"/>
          <w:szCs w:val="20"/>
        </w:rPr>
        <w:t>.</w:t>
      </w:r>
      <w:r w:rsidR="007C7678">
        <w:rPr>
          <w:sz w:val="20"/>
          <w:szCs w:val="20"/>
        </w:rPr>
        <w:tab/>
      </w:r>
      <w:r w:rsidR="00323457" w:rsidRPr="0059638B">
        <w:rPr>
          <w:sz w:val="20"/>
          <w:szCs w:val="20"/>
        </w:rPr>
        <w:t>Asociacion HazteOir.org stated that Nigeria should reinforce legal and political measures to guarantee religious freedom, establish legal protections that defend and promote religious freedom, defend and protect the lives of Leah Sharibu and all other girls kidnapped by Boko Haram, guarantee respect for the religious, cultural and moral beliefs of the population with regard to marriage and family, and combat trafficking and abduction of human beings.</w:t>
      </w:r>
    </w:p>
    <w:p w14:paraId="5EDCBF43" w14:textId="052876F8" w:rsidR="00323457" w:rsidRPr="0059638B" w:rsidRDefault="0043516C" w:rsidP="00323457">
      <w:pPr>
        <w:pStyle w:val="SingleTxtG"/>
        <w:rPr>
          <w:sz w:val="20"/>
          <w:szCs w:val="20"/>
        </w:rPr>
      </w:pPr>
      <w:r>
        <w:rPr>
          <w:sz w:val="20"/>
          <w:szCs w:val="20"/>
        </w:rPr>
        <w:t>478</w:t>
      </w:r>
      <w:r w:rsidR="007C7678">
        <w:rPr>
          <w:sz w:val="20"/>
          <w:szCs w:val="20"/>
        </w:rPr>
        <w:t>.</w:t>
      </w:r>
      <w:r w:rsidR="007C7678">
        <w:rPr>
          <w:sz w:val="20"/>
          <w:szCs w:val="20"/>
        </w:rPr>
        <w:tab/>
      </w:r>
      <w:r w:rsidR="00323457" w:rsidRPr="0059638B">
        <w:rPr>
          <w:sz w:val="20"/>
          <w:szCs w:val="20"/>
        </w:rPr>
        <w:t>Rencontre Africaine pour la defense des droits de l</w:t>
      </w:r>
      <w:r w:rsidR="00D72627">
        <w:rPr>
          <w:sz w:val="20"/>
          <w:szCs w:val="20"/>
        </w:rPr>
        <w:t>’</w:t>
      </w:r>
      <w:r w:rsidR="00323457" w:rsidRPr="0059638B">
        <w:rPr>
          <w:sz w:val="20"/>
          <w:szCs w:val="20"/>
        </w:rPr>
        <w:t>homme welcomed efforts made by Nigeria, especially, in the administration of justice, health care, the adoption of the law on the protection of the child and for its reports to the treaty bodies. It was concerned about the high number of victims of human trafficking and called for a strengthening of the code of criminal procedure to put an end to this practice. It invited Nigeria to address corruption, poor detention conditions, prison overcrowding, domestic violence and the domestic exploitation of children.</w:t>
      </w:r>
    </w:p>
    <w:p w14:paraId="55A26500" w14:textId="62ACFF40" w:rsidR="00323457" w:rsidRPr="0059638B" w:rsidRDefault="0043516C" w:rsidP="00323457">
      <w:pPr>
        <w:pStyle w:val="SingleTxtG"/>
        <w:rPr>
          <w:sz w:val="20"/>
          <w:szCs w:val="20"/>
        </w:rPr>
      </w:pPr>
      <w:r>
        <w:rPr>
          <w:sz w:val="20"/>
          <w:szCs w:val="20"/>
        </w:rPr>
        <w:lastRenderedPageBreak/>
        <w:t>479</w:t>
      </w:r>
      <w:r w:rsidR="007C7678">
        <w:rPr>
          <w:sz w:val="20"/>
          <w:szCs w:val="20"/>
        </w:rPr>
        <w:t>.</w:t>
      </w:r>
      <w:r w:rsidR="007C7678">
        <w:rPr>
          <w:sz w:val="20"/>
          <w:szCs w:val="20"/>
        </w:rPr>
        <w:tab/>
      </w:r>
      <w:r w:rsidR="00323457" w:rsidRPr="0059638B">
        <w:rPr>
          <w:sz w:val="20"/>
          <w:szCs w:val="20"/>
        </w:rPr>
        <w:t>Federation for Women and Family Planning commended Nigeria for supporting recommendations relating to sexual and reproductive rights and health, including on violence and discrimination against women and girls, early and forced marriages, harmful cultural practices, HIV and AIDS. However, recommendations that sought to respect, protect and fulfil the human rights of all its citizens regardless of their sexual orientation and gender identity and expression had been noted. It called on the National Human Rights Commission to include within its priories human rights violations based on sexual orientation, gender identity, and gender expression (SOGIE) and work with LGBTI civil society in addressing these violations.</w:t>
      </w:r>
      <w:r w:rsidR="004B7C70">
        <w:rPr>
          <w:sz w:val="20"/>
          <w:szCs w:val="20"/>
        </w:rPr>
        <w:t xml:space="preserve"> </w:t>
      </w:r>
    </w:p>
    <w:p w14:paraId="52098DE9" w14:textId="77777777" w:rsidR="00323457" w:rsidRPr="0059638B" w:rsidRDefault="00323457" w:rsidP="00323457">
      <w:pPr>
        <w:pStyle w:val="H23G"/>
        <w:ind w:left="705" w:firstLine="0"/>
        <w:rPr>
          <w:sz w:val="20"/>
          <w:szCs w:val="20"/>
        </w:rPr>
      </w:pPr>
      <w:r w:rsidRPr="0059638B">
        <w:rPr>
          <w:sz w:val="20"/>
          <w:szCs w:val="20"/>
        </w:rPr>
        <w:t>4.</w:t>
      </w:r>
      <w:r w:rsidRPr="0059638B">
        <w:rPr>
          <w:sz w:val="20"/>
          <w:szCs w:val="20"/>
        </w:rPr>
        <w:tab/>
        <w:t>Concluding remarks of the State under review</w:t>
      </w:r>
    </w:p>
    <w:p w14:paraId="53960679" w14:textId="311F7ED5" w:rsidR="00323457" w:rsidRPr="0059638B" w:rsidRDefault="0043516C" w:rsidP="00323457">
      <w:pPr>
        <w:pStyle w:val="SingleTxtG"/>
        <w:rPr>
          <w:sz w:val="20"/>
          <w:szCs w:val="20"/>
        </w:rPr>
      </w:pPr>
      <w:r>
        <w:rPr>
          <w:sz w:val="20"/>
          <w:szCs w:val="20"/>
        </w:rPr>
        <w:t>480</w:t>
      </w:r>
      <w:r w:rsidR="007C7678">
        <w:rPr>
          <w:sz w:val="20"/>
          <w:szCs w:val="20"/>
        </w:rPr>
        <w:t>.</w:t>
      </w:r>
      <w:r w:rsidR="007C7678">
        <w:rPr>
          <w:sz w:val="20"/>
          <w:szCs w:val="20"/>
        </w:rPr>
        <w:tab/>
      </w:r>
      <w:r w:rsidR="00323457" w:rsidRPr="0059638B">
        <w:rPr>
          <w:sz w:val="20"/>
          <w:szCs w:val="20"/>
        </w:rPr>
        <w:t>The Vice-President stated that, based on the information provided, out of 290 recommendations received, 240 enjoyed the support of Nigeria, and 50 were noted.</w:t>
      </w:r>
    </w:p>
    <w:p w14:paraId="3D834033" w14:textId="11F00989" w:rsidR="00323457" w:rsidRPr="0059638B" w:rsidRDefault="0043516C" w:rsidP="00323457">
      <w:pPr>
        <w:pStyle w:val="SingleTxtG"/>
        <w:rPr>
          <w:sz w:val="20"/>
          <w:szCs w:val="20"/>
        </w:rPr>
      </w:pPr>
      <w:r>
        <w:rPr>
          <w:sz w:val="20"/>
          <w:szCs w:val="20"/>
        </w:rPr>
        <w:t>481</w:t>
      </w:r>
      <w:r w:rsidR="007C7678">
        <w:rPr>
          <w:sz w:val="20"/>
          <w:szCs w:val="20"/>
        </w:rPr>
        <w:t>.</w:t>
      </w:r>
      <w:r w:rsidR="007C7678">
        <w:rPr>
          <w:sz w:val="20"/>
          <w:szCs w:val="20"/>
        </w:rPr>
        <w:tab/>
      </w:r>
      <w:r w:rsidR="00323457" w:rsidRPr="0059638B">
        <w:rPr>
          <w:sz w:val="20"/>
          <w:szCs w:val="20"/>
        </w:rPr>
        <w:t>The delegation expressed the gratitude of Nigeria to all member and observer states of the Human Rights Council as well as to the Secretariat of the Council and the Universal Periodic Review Mechanism for their close and stringent engagement in the defence of human rights. The delegation also expressed deep appreciation of Nigeria to the members of the Troika.</w:t>
      </w:r>
    </w:p>
    <w:p w14:paraId="6F42C21C" w14:textId="76165C81" w:rsidR="00323457" w:rsidRPr="0059638B" w:rsidRDefault="0043516C" w:rsidP="00323457">
      <w:pPr>
        <w:pStyle w:val="SingleTxtG"/>
        <w:rPr>
          <w:sz w:val="20"/>
          <w:szCs w:val="20"/>
        </w:rPr>
      </w:pPr>
      <w:r>
        <w:rPr>
          <w:sz w:val="20"/>
          <w:szCs w:val="20"/>
        </w:rPr>
        <w:t>482</w:t>
      </w:r>
      <w:r w:rsidR="007C7678">
        <w:rPr>
          <w:sz w:val="20"/>
          <w:szCs w:val="20"/>
        </w:rPr>
        <w:t>.</w:t>
      </w:r>
      <w:r w:rsidR="007C7678">
        <w:rPr>
          <w:sz w:val="20"/>
          <w:szCs w:val="20"/>
        </w:rPr>
        <w:tab/>
      </w:r>
      <w:r w:rsidR="00323457" w:rsidRPr="0059638B">
        <w:rPr>
          <w:sz w:val="20"/>
          <w:szCs w:val="20"/>
        </w:rPr>
        <w:t xml:space="preserve">The delegation expressed the deep appreciation of Nigeria for the constructive manner in which many of those who took the floor have spoken. It reiterated the resoluteness and strong commitment of Nigeria to defending the principles of human rights and upholding the efforts of all mechanisms established by the Human Rights Council. Nigeria remained dedicated to continually, but constructively, engaging the world. </w:t>
      </w:r>
    </w:p>
    <w:p w14:paraId="6F1DA75A" w14:textId="38C17C0A" w:rsidR="00323457" w:rsidRPr="0059638B" w:rsidRDefault="0043516C" w:rsidP="00323457">
      <w:pPr>
        <w:pStyle w:val="SingleTxtG"/>
        <w:rPr>
          <w:sz w:val="20"/>
          <w:szCs w:val="20"/>
        </w:rPr>
      </w:pPr>
      <w:r>
        <w:rPr>
          <w:sz w:val="20"/>
          <w:szCs w:val="20"/>
        </w:rPr>
        <w:t>483</w:t>
      </w:r>
      <w:r w:rsidR="007C7678">
        <w:rPr>
          <w:sz w:val="20"/>
          <w:szCs w:val="20"/>
        </w:rPr>
        <w:t>.</w:t>
      </w:r>
      <w:r w:rsidR="007C7678">
        <w:rPr>
          <w:sz w:val="20"/>
          <w:szCs w:val="20"/>
        </w:rPr>
        <w:tab/>
      </w:r>
      <w:r w:rsidR="00323457" w:rsidRPr="0059638B">
        <w:rPr>
          <w:sz w:val="20"/>
          <w:szCs w:val="20"/>
        </w:rPr>
        <w:t xml:space="preserve">The supported recommendations would be diligently implemented with a view to improving the lot of the citizens and the human rights situation in the country. Nigeria would continue to review those recommendations that have been noted, within the limits of its legal and constitutional realties. </w:t>
      </w:r>
    </w:p>
    <w:p w14:paraId="5FAA1936" w14:textId="78E13E47" w:rsidR="00323457" w:rsidRPr="0059638B" w:rsidRDefault="0043516C" w:rsidP="00323457">
      <w:pPr>
        <w:pStyle w:val="SingleTxtG"/>
        <w:rPr>
          <w:sz w:val="20"/>
          <w:szCs w:val="20"/>
        </w:rPr>
      </w:pPr>
      <w:r>
        <w:rPr>
          <w:sz w:val="20"/>
          <w:szCs w:val="20"/>
        </w:rPr>
        <w:t>484</w:t>
      </w:r>
      <w:r w:rsidR="007C7678">
        <w:rPr>
          <w:sz w:val="20"/>
          <w:szCs w:val="20"/>
        </w:rPr>
        <w:t>.</w:t>
      </w:r>
      <w:r w:rsidR="007C7678">
        <w:rPr>
          <w:sz w:val="20"/>
          <w:szCs w:val="20"/>
        </w:rPr>
        <w:tab/>
      </w:r>
      <w:r w:rsidR="00323457" w:rsidRPr="0059638B">
        <w:rPr>
          <w:sz w:val="20"/>
          <w:szCs w:val="20"/>
        </w:rPr>
        <w:t xml:space="preserve">The delegation stated that it had demonstrated its ready disposition to listen, show understanding and appreciate the largely constructive comments and well-meaning recommendations addressed to Nigeria, and against this background, would not be distracted by the antics of some spoilers. Statements made by some organizations were grossly misleading and factually incorrect and therefore compelled a response. The bias statements of these organizations were nothing short of discredited stereo types and unfounded allegations. </w:t>
      </w:r>
    </w:p>
    <w:p w14:paraId="1B960DA7" w14:textId="0F3B7FCD" w:rsidR="00323457" w:rsidRPr="0059638B" w:rsidRDefault="0043516C" w:rsidP="00323457">
      <w:pPr>
        <w:pStyle w:val="SingleTxtG"/>
        <w:rPr>
          <w:sz w:val="20"/>
          <w:szCs w:val="20"/>
        </w:rPr>
      </w:pPr>
      <w:r>
        <w:rPr>
          <w:sz w:val="20"/>
          <w:szCs w:val="20"/>
        </w:rPr>
        <w:t>485</w:t>
      </w:r>
      <w:r w:rsidR="007C7678">
        <w:rPr>
          <w:sz w:val="20"/>
          <w:szCs w:val="20"/>
        </w:rPr>
        <w:t>.</w:t>
      </w:r>
      <w:r w:rsidR="007C7678">
        <w:rPr>
          <w:sz w:val="20"/>
          <w:szCs w:val="20"/>
        </w:rPr>
        <w:tab/>
      </w:r>
      <w:r w:rsidR="00323457" w:rsidRPr="0059638B">
        <w:rPr>
          <w:sz w:val="20"/>
          <w:szCs w:val="20"/>
        </w:rPr>
        <w:t xml:space="preserve">The issue of women empowerment, including the rights of the girl child, continued to be one of the top priority areas of focus for continuous inclusion in development planning and programme process. In this context, Nigeria has outlawed all cultural practices that infringe on the rights of widows, following the United Nations Security Council resolution 1325. To scale up gender mainstreaming, the Government had revived the gender unit in all ministries, departments and agencies. The enforcement of the Violence </w:t>
      </w:r>
      <w:proofErr w:type="gramStart"/>
      <w:r w:rsidR="00323457" w:rsidRPr="0059638B">
        <w:rPr>
          <w:sz w:val="20"/>
          <w:szCs w:val="20"/>
        </w:rPr>
        <w:t>Against</w:t>
      </w:r>
      <w:proofErr w:type="gramEnd"/>
      <w:r w:rsidR="00323457" w:rsidRPr="0059638B">
        <w:rPr>
          <w:sz w:val="20"/>
          <w:szCs w:val="20"/>
        </w:rPr>
        <w:t xml:space="preserve"> Persons Prohibition Act, 2015, had immensely contributed to a reduction of violence against persons, in which women and vulnerable people had formed the larger percentage. The Government had continued to address all challenges related to ill treatment and violence against women through public enlightenment and advocacy, including for all women and girls living in the few remaining camps for internally displaced persons.</w:t>
      </w:r>
      <w:r w:rsidR="004B7C70">
        <w:rPr>
          <w:sz w:val="20"/>
          <w:szCs w:val="20"/>
        </w:rPr>
        <w:t xml:space="preserve"> </w:t>
      </w:r>
    </w:p>
    <w:p w14:paraId="66967BC2" w14:textId="6A178DB9" w:rsidR="00323457" w:rsidRPr="0059638B" w:rsidRDefault="0043516C" w:rsidP="00323457">
      <w:pPr>
        <w:pStyle w:val="SingleTxtG"/>
        <w:rPr>
          <w:sz w:val="20"/>
          <w:szCs w:val="20"/>
        </w:rPr>
      </w:pPr>
      <w:r>
        <w:rPr>
          <w:sz w:val="20"/>
          <w:szCs w:val="20"/>
        </w:rPr>
        <w:t>486</w:t>
      </w:r>
      <w:r w:rsidR="007C7678">
        <w:rPr>
          <w:sz w:val="20"/>
          <w:szCs w:val="20"/>
        </w:rPr>
        <w:t>.</w:t>
      </w:r>
      <w:r w:rsidR="007C7678">
        <w:rPr>
          <w:sz w:val="20"/>
          <w:szCs w:val="20"/>
        </w:rPr>
        <w:tab/>
      </w:r>
      <w:r w:rsidR="00323457" w:rsidRPr="0059638B">
        <w:rPr>
          <w:sz w:val="20"/>
          <w:szCs w:val="20"/>
        </w:rPr>
        <w:t xml:space="preserve">Authorities at the highest level had been engaging with relevant stakeholders to ensure the safe return of Leah Sharibu to her family. In relation to the counter-insurgency strategy, the security forces had demonstrated due diligence through strict adherence to international human rights and humanitarian obligations. In response to the alleged instances of human rights violations by the security forces, a judicial commission had been set up to bring the perpetrators to justice. Therefore, any allegation of lack of accountability by the military was totally unfounded and mischievous. Similarly, suggestions of arbitrary arrests, extrajudicial </w:t>
      </w:r>
      <w:r w:rsidR="00323457" w:rsidRPr="0059638B">
        <w:rPr>
          <w:sz w:val="20"/>
          <w:szCs w:val="20"/>
        </w:rPr>
        <w:lastRenderedPageBreak/>
        <w:t>killings, torture and enforced disappearances were curious and misleading. This notwithstanding, the Government had always reiterated its willingness to investigate such allegations and had remained committed through the administration of Criminal Justice Act, 2015, to bring to justice alleged perpetrators.</w:t>
      </w:r>
      <w:r w:rsidR="004B7C70">
        <w:rPr>
          <w:sz w:val="20"/>
          <w:szCs w:val="20"/>
        </w:rPr>
        <w:t xml:space="preserve"> </w:t>
      </w:r>
    </w:p>
    <w:p w14:paraId="3616B53E" w14:textId="124CA658" w:rsidR="00323457" w:rsidRPr="0059638B" w:rsidRDefault="0043516C" w:rsidP="00323457">
      <w:pPr>
        <w:pStyle w:val="SingleTxtG"/>
        <w:rPr>
          <w:sz w:val="20"/>
          <w:szCs w:val="20"/>
        </w:rPr>
      </w:pPr>
      <w:r>
        <w:rPr>
          <w:sz w:val="20"/>
          <w:szCs w:val="20"/>
        </w:rPr>
        <w:t>487</w:t>
      </w:r>
      <w:r w:rsidR="007C7678">
        <w:rPr>
          <w:sz w:val="20"/>
          <w:szCs w:val="20"/>
        </w:rPr>
        <w:t>.</w:t>
      </w:r>
      <w:r w:rsidR="007C7678">
        <w:rPr>
          <w:sz w:val="20"/>
          <w:szCs w:val="20"/>
        </w:rPr>
        <w:tab/>
      </w:r>
      <w:r w:rsidR="00323457" w:rsidRPr="0059638B">
        <w:rPr>
          <w:sz w:val="20"/>
          <w:szCs w:val="20"/>
        </w:rPr>
        <w:t>The Government had condemn all forms of extra-judicial executions and had on numerous occasions demonstrated its readiness to address such issues, if, and when they occur.</w:t>
      </w:r>
      <w:r w:rsidR="004B7C70">
        <w:rPr>
          <w:sz w:val="20"/>
          <w:szCs w:val="20"/>
        </w:rPr>
        <w:t xml:space="preserve"> </w:t>
      </w:r>
      <w:r w:rsidR="00323457" w:rsidRPr="0059638B">
        <w:rPr>
          <w:sz w:val="20"/>
          <w:szCs w:val="20"/>
        </w:rPr>
        <w:t>To this end, the Government had strengthen the powers of the independent National Human Rights Commission to provide oversight responsibilities on law enforcement agencies in the prevention and prosecution of cases of extra judicial executions. In addition, enlightenment and awareness creation campaigns had been scaled-up in the military.</w:t>
      </w:r>
      <w:r w:rsidR="004B7C70">
        <w:rPr>
          <w:sz w:val="20"/>
          <w:szCs w:val="20"/>
        </w:rPr>
        <w:t xml:space="preserve"> </w:t>
      </w:r>
    </w:p>
    <w:p w14:paraId="2033D75A" w14:textId="06F39B79" w:rsidR="00323457" w:rsidRPr="0059638B" w:rsidRDefault="0043516C" w:rsidP="00323457">
      <w:pPr>
        <w:pStyle w:val="SingleTxtG"/>
        <w:rPr>
          <w:sz w:val="20"/>
          <w:szCs w:val="20"/>
        </w:rPr>
      </w:pPr>
      <w:r>
        <w:rPr>
          <w:sz w:val="20"/>
          <w:szCs w:val="20"/>
        </w:rPr>
        <w:t>488</w:t>
      </w:r>
      <w:r w:rsidR="007C7678">
        <w:rPr>
          <w:sz w:val="20"/>
          <w:szCs w:val="20"/>
        </w:rPr>
        <w:t>.</w:t>
      </w:r>
      <w:r w:rsidR="007C7678">
        <w:rPr>
          <w:sz w:val="20"/>
          <w:szCs w:val="20"/>
        </w:rPr>
        <w:tab/>
      </w:r>
      <w:r w:rsidR="00323457" w:rsidRPr="0059638B">
        <w:rPr>
          <w:sz w:val="20"/>
          <w:szCs w:val="20"/>
        </w:rPr>
        <w:t>Nigeria had been acclaimed for decades as one of the countries with the most vibrant and unfettered press. Beyond Constitution guarantees, that freedom of expression included the right to hold and propagate ideas was well founded in Nigeria</w:t>
      </w:r>
      <w:r w:rsidR="00D72627">
        <w:rPr>
          <w:sz w:val="20"/>
          <w:szCs w:val="20"/>
        </w:rPr>
        <w:t>’</w:t>
      </w:r>
      <w:r w:rsidR="00323457" w:rsidRPr="0059638B">
        <w:rPr>
          <w:sz w:val="20"/>
          <w:szCs w:val="20"/>
        </w:rPr>
        <w:t>s democratic culture. It was therefore perplexing that any entity would raise infringement of freedoms of expression, association and peaceful assembly. Nigeria remained one of the friendliest destinations for the press and all organizations committed to the truth and impartiality. No one had been ever precluded, dissuaded or threatened when conveying the truth.</w:t>
      </w:r>
    </w:p>
    <w:p w14:paraId="52DCF257" w14:textId="73C3F1F1" w:rsidR="00323457" w:rsidRPr="0059638B" w:rsidRDefault="0043516C" w:rsidP="00974E49">
      <w:pPr>
        <w:pStyle w:val="SingleTxtG"/>
        <w:rPr>
          <w:sz w:val="20"/>
          <w:szCs w:val="20"/>
        </w:rPr>
      </w:pPr>
      <w:r>
        <w:rPr>
          <w:sz w:val="20"/>
          <w:szCs w:val="20"/>
        </w:rPr>
        <w:t>489</w:t>
      </w:r>
      <w:r w:rsidR="007C7678">
        <w:rPr>
          <w:sz w:val="20"/>
          <w:szCs w:val="20"/>
        </w:rPr>
        <w:t>.</w:t>
      </w:r>
      <w:r w:rsidR="007C7678">
        <w:rPr>
          <w:sz w:val="20"/>
          <w:szCs w:val="20"/>
        </w:rPr>
        <w:tab/>
      </w:r>
      <w:r w:rsidR="00323457" w:rsidRPr="0059638B">
        <w:rPr>
          <w:sz w:val="20"/>
          <w:szCs w:val="20"/>
        </w:rPr>
        <w:t xml:space="preserve">This hallowed platform, dedicated to the promotion and protection of human rights, ought </w:t>
      </w:r>
      <w:r w:rsidR="007C7678" w:rsidRPr="0059638B">
        <w:rPr>
          <w:sz w:val="20"/>
          <w:szCs w:val="20"/>
        </w:rPr>
        <w:t>not to</w:t>
      </w:r>
      <w:r w:rsidR="00323457" w:rsidRPr="0059638B">
        <w:rPr>
          <w:sz w:val="20"/>
          <w:szCs w:val="20"/>
        </w:rPr>
        <w:t xml:space="preserve"> be allowed to be misused by those with an ulterior agenda and to prosecute Member States. This remonstration has assumed added importance in this era when multilateralism symbolised by international cooperation, constructive engagement and the quest for common action in addressing global challenges, including in the field of human rights, is increasing facing undeserved onslaught. </w:t>
      </w:r>
    </w:p>
    <w:p w14:paraId="0149C8A7" w14:textId="77777777" w:rsidR="00323457" w:rsidRPr="0059638B" w:rsidRDefault="00323457" w:rsidP="00323457">
      <w:pPr>
        <w:pStyle w:val="SingleTxtG"/>
        <w:rPr>
          <w:sz w:val="20"/>
          <w:szCs w:val="20"/>
        </w:rPr>
      </w:pPr>
      <w:r w:rsidRPr="0059638B">
        <w:rPr>
          <w:b/>
          <w:sz w:val="20"/>
          <w:szCs w:val="20"/>
        </w:rPr>
        <w:t>Mexico</w:t>
      </w:r>
    </w:p>
    <w:p w14:paraId="50F782DC" w14:textId="311F3493" w:rsidR="00974E49" w:rsidRDefault="0043516C" w:rsidP="00974E49">
      <w:pPr>
        <w:pStyle w:val="SingleTxtG"/>
        <w:rPr>
          <w:sz w:val="20"/>
          <w:szCs w:val="20"/>
        </w:rPr>
      </w:pPr>
      <w:r>
        <w:rPr>
          <w:sz w:val="20"/>
          <w:szCs w:val="20"/>
        </w:rPr>
        <w:t>490</w:t>
      </w:r>
      <w:r w:rsidR="007C7678">
        <w:rPr>
          <w:sz w:val="20"/>
          <w:szCs w:val="20"/>
        </w:rPr>
        <w:t>.</w:t>
      </w:r>
      <w:r w:rsidR="007C7678">
        <w:rPr>
          <w:sz w:val="20"/>
          <w:szCs w:val="20"/>
        </w:rPr>
        <w:tab/>
      </w:r>
      <w:r w:rsidR="00323457" w:rsidRPr="0059638B">
        <w:rPr>
          <w:sz w:val="20"/>
          <w:szCs w:val="20"/>
        </w:rPr>
        <w:t>The review of Mexico was held on 7 November 2018 in conformity with all the relevant provisions contained in relevant Human Rights Council resolutions and decisions, and was bas</w:t>
      </w:r>
      <w:r w:rsidR="00974E49">
        <w:rPr>
          <w:sz w:val="20"/>
          <w:szCs w:val="20"/>
        </w:rPr>
        <w:t xml:space="preserve">ed on the following documents: </w:t>
      </w:r>
    </w:p>
    <w:p w14:paraId="45E78C61" w14:textId="28E4149D" w:rsidR="00323457" w:rsidRPr="0059638B" w:rsidRDefault="00323457" w:rsidP="00974E49">
      <w:pPr>
        <w:pStyle w:val="SingleTxtG"/>
        <w:ind w:firstLine="555"/>
        <w:rPr>
          <w:sz w:val="20"/>
          <w:szCs w:val="20"/>
        </w:rPr>
      </w:pPr>
      <w:r w:rsidRPr="0059638B">
        <w:rPr>
          <w:sz w:val="20"/>
          <w:szCs w:val="20"/>
        </w:rPr>
        <w:t>(a)</w:t>
      </w:r>
      <w:r w:rsidRPr="0059638B">
        <w:rPr>
          <w:sz w:val="20"/>
          <w:szCs w:val="20"/>
        </w:rPr>
        <w:tab/>
        <w:t xml:space="preserve">The national report submitted by Mexico in accordance with paragraph 15 of the annex to Council resolution 5/1 and paragraph 5 of the annex to Council resolution 16/21 (A/HRC/WG.6/31/MEX/1); </w:t>
      </w:r>
    </w:p>
    <w:p w14:paraId="5F014D58" w14:textId="6DADBBB7" w:rsidR="00323457" w:rsidRPr="0059638B" w:rsidRDefault="00323457" w:rsidP="00974E49">
      <w:pPr>
        <w:pStyle w:val="SingleTxtG"/>
        <w:ind w:firstLine="555"/>
        <w:rPr>
          <w:sz w:val="20"/>
          <w:szCs w:val="20"/>
        </w:rPr>
      </w:pPr>
      <w:r w:rsidRPr="0059638B">
        <w:rPr>
          <w:sz w:val="20"/>
          <w:szCs w:val="20"/>
        </w:rPr>
        <w:t>(b)</w:t>
      </w:r>
      <w:r w:rsidRPr="0059638B">
        <w:rPr>
          <w:sz w:val="20"/>
          <w:szCs w:val="20"/>
        </w:rPr>
        <w:tab/>
        <w:t xml:space="preserve">The compilation prepared by </w:t>
      </w:r>
      <w:r>
        <w:rPr>
          <w:sz w:val="20"/>
          <w:szCs w:val="20"/>
        </w:rPr>
        <w:t xml:space="preserve">the </w:t>
      </w:r>
      <w:r w:rsidRPr="00974E49">
        <w:rPr>
          <w:sz w:val="20"/>
          <w:szCs w:val="20"/>
        </w:rPr>
        <w:t>Office of the United Nations High Commissioner for Human Rights</w:t>
      </w:r>
      <w:r w:rsidRPr="0059638B">
        <w:rPr>
          <w:sz w:val="20"/>
          <w:szCs w:val="20"/>
        </w:rPr>
        <w:t xml:space="preserve"> in accordance with paragraph 15 of the annex to Council resolution 5/1 and paragraph 5 of the annex to Council resolution 16/21 (A/HRC/WG.6/31/ MEX/2); </w:t>
      </w:r>
    </w:p>
    <w:p w14:paraId="50011D55" w14:textId="01F97D97" w:rsidR="00323457" w:rsidRPr="0059638B" w:rsidRDefault="00323457" w:rsidP="00974E49">
      <w:pPr>
        <w:pStyle w:val="SingleTxtG"/>
        <w:ind w:firstLine="555"/>
        <w:rPr>
          <w:sz w:val="20"/>
          <w:szCs w:val="20"/>
        </w:rPr>
      </w:pPr>
      <w:r w:rsidRPr="0059638B">
        <w:rPr>
          <w:sz w:val="20"/>
          <w:szCs w:val="20"/>
        </w:rPr>
        <w:t>(c)</w:t>
      </w:r>
      <w:r w:rsidRPr="0059638B">
        <w:rPr>
          <w:sz w:val="20"/>
          <w:szCs w:val="20"/>
        </w:rPr>
        <w:tab/>
        <w:t xml:space="preserve">The summary prepared by </w:t>
      </w:r>
      <w:r>
        <w:rPr>
          <w:sz w:val="20"/>
          <w:szCs w:val="20"/>
        </w:rPr>
        <w:t xml:space="preserve">the </w:t>
      </w:r>
      <w:r w:rsidRPr="00974E49">
        <w:rPr>
          <w:sz w:val="20"/>
          <w:szCs w:val="20"/>
        </w:rPr>
        <w:t>Office of the United Nations High Commissioner for Human Rights</w:t>
      </w:r>
      <w:r w:rsidRPr="0059638B">
        <w:rPr>
          <w:sz w:val="20"/>
          <w:szCs w:val="20"/>
        </w:rPr>
        <w:t xml:space="preserve"> in accordance with paragraph 15 of the annex to Council resolution 5/1 and paragraph 5 of the annex to Council resolution 16/21 (A/HRC/WG.6/31/ MEX/3).</w:t>
      </w:r>
    </w:p>
    <w:p w14:paraId="55CF2317" w14:textId="005CA124" w:rsidR="00323457" w:rsidRPr="0059638B" w:rsidRDefault="0043516C" w:rsidP="00323457">
      <w:pPr>
        <w:pStyle w:val="SingleTxtG"/>
        <w:rPr>
          <w:sz w:val="20"/>
          <w:szCs w:val="20"/>
        </w:rPr>
      </w:pPr>
      <w:r>
        <w:rPr>
          <w:sz w:val="20"/>
          <w:szCs w:val="20"/>
        </w:rPr>
        <w:t>491</w:t>
      </w:r>
      <w:r w:rsidR="007C7678">
        <w:rPr>
          <w:sz w:val="20"/>
          <w:szCs w:val="20"/>
        </w:rPr>
        <w:t>.</w:t>
      </w:r>
      <w:r w:rsidR="007C7678">
        <w:rPr>
          <w:sz w:val="20"/>
          <w:szCs w:val="20"/>
        </w:rPr>
        <w:tab/>
      </w:r>
      <w:r w:rsidR="00323457" w:rsidRPr="0059638B">
        <w:rPr>
          <w:sz w:val="20"/>
          <w:szCs w:val="20"/>
        </w:rPr>
        <w:t>At its 36th meeting, on 14 March 2019, the Human Rights Council considered and adopted the outcome of the review of Mexico (see sect. C below).</w:t>
      </w:r>
    </w:p>
    <w:p w14:paraId="068201B3" w14:textId="5528F346" w:rsidR="00323457" w:rsidRPr="0059638B" w:rsidRDefault="0043516C" w:rsidP="00323457">
      <w:pPr>
        <w:pStyle w:val="SingleTxtG"/>
        <w:rPr>
          <w:color w:val="FF0000"/>
          <w:sz w:val="20"/>
          <w:szCs w:val="20"/>
        </w:rPr>
      </w:pPr>
      <w:r>
        <w:rPr>
          <w:sz w:val="20"/>
          <w:szCs w:val="20"/>
        </w:rPr>
        <w:t>492</w:t>
      </w:r>
      <w:r w:rsidR="007C7678">
        <w:rPr>
          <w:sz w:val="20"/>
          <w:szCs w:val="20"/>
        </w:rPr>
        <w:t>.</w:t>
      </w:r>
      <w:r w:rsidR="007C7678">
        <w:rPr>
          <w:sz w:val="20"/>
          <w:szCs w:val="20"/>
        </w:rPr>
        <w:tab/>
      </w:r>
      <w:r w:rsidR="00323457" w:rsidRPr="0059638B">
        <w:rPr>
          <w:sz w:val="20"/>
          <w:szCs w:val="20"/>
        </w:rPr>
        <w:t>The outcome of the review of Mexico comprises the report of the Working Group on the Universal Periodic Review (A/HRC/40/8) and the views of Mexico concerning the recommendations and/or conclusions, as well as its voluntary commitments and its replies to questions or issues that were not sufficiently addressed during the interactive dialogue in the Working Group, and which were presented before the adoption of the outcome by the plenary (see also A/HRC/40/8/Add.1.).</w:t>
      </w:r>
    </w:p>
    <w:p w14:paraId="4487E96C" w14:textId="77777777" w:rsidR="00323457" w:rsidRPr="0059638B" w:rsidRDefault="00323457" w:rsidP="00323457">
      <w:pPr>
        <w:pStyle w:val="H23G"/>
        <w:rPr>
          <w:sz w:val="20"/>
          <w:szCs w:val="20"/>
        </w:rPr>
      </w:pPr>
      <w:r w:rsidRPr="0059638B">
        <w:rPr>
          <w:sz w:val="20"/>
          <w:szCs w:val="20"/>
        </w:rPr>
        <w:lastRenderedPageBreak/>
        <w:tab/>
        <w:t>1.</w:t>
      </w:r>
      <w:r w:rsidRPr="0059638B">
        <w:rPr>
          <w:sz w:val="20"/>
          <w:szCs w:val="20"/>
        </w:rPr>
        <w:tab/>
        <w:t>Views expressed by the State under review on the recommendations and/or conclusions, its voluntary commitments and the outcome</w:t>
      </w:r>
    </w:p>
    <w:p w14:paraId="2D12B352" w14:textId="6D9D3ACE" w:rsidR="00323457" w:rsidRPr="0059638B" w:rsidRDefault="0043516C" w:rsidP="00323457">
      <w:pPr>
        <w:pStyle w:val="SingleTxtG"/>
        <w:rPr>
          <w:sz w:val="20"/>
          <w:szCs w:val="20"/>
        </w:rPr>
      </w:pPr>
      <w:r>
        <w:rPr>
          <w:sz w:val="20"/>
          <w:szCs w:val="20"/>
        </w:rPr>
        <w:t>493</w:t>
      </w:r>
      <w:r w:rsidR="007C7678">
        <w:rPr>
          <w:sz w:val="20"/>
          <w:szCs w:val="20"/>
        </w:rPr>
        <w:t>.</w:t>
      </w:r>
      <w:r w:rsidR="007C7678">
        <w:rPr>
          <w:sz w:val="20"/>
          <w:szCs w:val="20"/>
        </w:rPr>
        <w:tab/>
      </w:r>
      <w:r w:rsidR="00323457" w:rsidRPr="0059638B">
        <w:rPr>
          <w:sz w:val="20"/>
          <w:szCs w:val="20"/>
        </w:rPr>
        <w:t xml:space="preserve">The head of the delegation, His Excellency Mr. Cristopher Ballinas Valdes, Director General for Human Rights and Democracy at the Ministry of Foreign Affairs, highlighted that Mexico highly values the universal periodic review and is convinced of the suitability of this mechanism to contribute to the prevention of human rights violations, as well as to the promotion and appropriation of the highest international human rights standards. </w:t>
      </w:r>
    </w:p>
    <w:p w14:paraId="41761786" w14:textId="6354573E" w:rsidR="00323457" w:rsidRPr="0059638B" w:rsidRDefault="0043516C" w:rsidP="00323457">
      <w:pPr>
        <w:pStyle w:val="SingleTxtG"/>
        <w:rPr>
          <w:sz w:val="20"/>
          <w:szCs w:val="20"/>
        </w:rPr>
      </w:pPr>
      <w:r>
        <w:rPr>
          <w:sz w:val="20"/>
          <w:szCs w:val="20"/>
        </w:rPr>
        <w:t>494</w:t>
      </w:r>
      <w:r w:rsidR="007C7678">
        <w:rPr>
          <w:sz w:val="20"/>
          <w:szCs w:val="20"/>
        </w:rPr>
        <w:t>.</w:t>
      </w:r>
      <w:r w:rsidR="007C7678">
        <w:rPr>
          <w:sz w:val="20"/>
          <w:szCs w:val="20"/>
        </w:rPr>
        <w:tab/>
      </w:r>
      <w:r w:rsidR="00323457" w:rsidRPr="0059638B">
        <w:rPr>
          <w:sz w:val="20"/>
          <w:szCs w:val="20"/>
        </w:rPr>
        <w:t>The Mexican Government was committed to the protection, defence and promotion of human rights in order to achieve a fair, equitable, open and socially inclusive society, in which the most vulnerable people</w:t>
      </w:r>
      <w:r w:rsidR="00D72627">
        <w:rPr>
          <w:sz w:val="20"/>
          <w:szCs w:val="20"/>
        </w:rPr>
        <w:t>’</w:t>
      </w:r>
      <w:r w:rsidR="00323457" w:rsidRPr="0059638B">
        <w:rPr>
          <w:sz w:val="20"/>
          <w:szCs w:val="20"/>
        </w:rPr>
        <w:t xml:space="preserve">s needs were addressed. </w:t>
      </w:r>
    </w:p>
    <w:p w14:paraId="6A713523" w14:textId="21787C15" w:rsidR="00323457" w:rsidRPr="0059638B" w:rsidRDefault="0043516C" w:rsidP="00323457">
      <w:pPr>
        <w:pStyle w:val="SingleTxtG"/>
        <w:rPr>
          <w:sz w:val="20"/>
          <w:szCs w:val="20"/>
        </w:rPr>
      </w:pPr>
      <w:r>
        <w:rPr>
          <w:sz w:val="20"/>
          <w:szCs w:val="20"/>
        </w:rPr>
        <w:t>495</w:t>
      </w:r>
      <w:r w:rsidR="007C7678">
        <w:rPr>
          <w:sz w:val="20"/>
          <w:szCs w:val="20"/>
        </w:rPr>
        <w:t>.</w:t>
      </w:r>
      <w:r w:rsidR="007C7678">
        <w:rPr>
          <w:sz w:val="20"/>
          <w:szCs w:val="20"/>
        </w:rPr>
        <w:tab/>
      </w:r>
      <w:r w:rsidR="00323457" w:rsidRPr="0059638B">
        <w:rPr>
          <w:sz w:val="20"/>
          <w:szCs w:val="20"/>
        </w:rPr>
        <w:t xml:space="preserve">Mexico assumed the responsibility to adopt measures at the national, regional and universal levels to guarantee the respect and observance of human rights. In this sense, Mexico had identified four specific themes in which the country will be working. </w:t>
      </w:r>
    </w:p>
    <w:p w14:paraId="1410682B" w14:textId="1BE1744E" w:rsidR="00323457" w:rsidRPr="0059638B" w:rsidRDefault="0043516C" w:rsidP="00323457">
      <w:pPr>
        <w:pStyle w:val="SingleTxtG"/>
        <w:rPr>
          <w:sz w:val="20"/>
          <w:szCs w:val="20"/>
        </w:rPr>
      </w:pPr>
      <w:r>
        <w:rPr>
          <w:sz w:val="20"/>
          <w:szCs w:val="20"/>
        </w:rPr>
        <w:t>496</w:t>
      </w:r>
      <w:r w:rsidR="007C7678">
        <w:rPr>
          <w:sz w:val="20"/>
          <w:szCs w:val="20"/>
        </w:rPr>
        <w:t>.</w:t>
      </w:r>
      <w:r w:rsidR="007C7678">
        <w:rPr>
          <w:sz w:val="20"/>
          <w:szCs w:val="20"/>
        </w:rPr>
        <w:tab/>
      </w:r>
      <w:r w:rsidR="00323457" w:rsidRPr="0059638B">
        <w:rPr>
          <w:sz w:val="20"/>
          <w:szCs w:val="20"/>
        </w:rPr>
        <w:t xml:space="preserve">First, regarding reduction of inequalities and the defence of vulnerable groups, Mexico stated that a prosperous society is possible, only if all women and girls can fully exercise their fundamental rights, have equal opportunities, and live a life free of violence. Mexico had as one of its most important guiding policies the promotion of gender equality and the empowerment of women and girls, particularly of those facing vulnerable conditions. For instance, in collaboration with United Nations agencies and the European Union, Mexico launched the “Spotlight Initiative” aimed to eliminate violence against women and girls. </w:t>
      </w:r>
    </w:p>
    <w:p w14:paraId="5478F50A" w14:textId="4BF6557B" w:rsidR="00323457" w:rsidRPr="0059638B" w:rsidRDefault="0043516C" w:rsidP="00323457">
      <w:pPr>
        <w:pStyle w:val="SingleTxtG"/>
        <w:rPr>
          <w:sz w:val="20"/>
          <w:szCs w:val="20"/>
        </w:rPr>
      </w:pPr>
      <w:r>
        <w:rPr>
          <w:sz w:val="20"/>
          <w:szCs w:val="20"/>
        </w:rPr>
        <w:t>497</w:t>
      </w:r>
      <w:r w:rsidR="007C7678">
        <w:rPr>
          <w:sz w:val="20"/>
          <w:szCs w:val="20"/>
        </w:rPr>
        <w:t>.</w:t>
      </w:r>
      <w:r w:rsidR="007C7678">
        <w:rPr>
          <w:sz w:val="20"/>
          <w:szCs w:val="20"/>
        </w:rPr>
        <w:tab/>
      </w:r>
      <w:r w:rsidR="00323457" w:rsidRPr="0059638B">
        <w:rPr>
          <w:sz w:val="20"/>
          <w:szCs w:val="20"/>
        </w:rPr>
        <w:t xml:space="preserve">Regarding the rights of migrants and refugees, Mexico will continue working on the implementation of the highest international standards, based on the objectives included in the Global Compact for Safe, Orderly and Regular Migration and the Global Compact on Refugees. On 19 December 2018, Mexico presented the Migration Policy Programme 2018-2024, based on the respect for the human rights of migrants and development in Central America and the southeast of Mexico. </w:t>
      </w:r>
    </w:p>
    <w:p w14:paraId="3F5D5C0C" w14:textId="5ED89C27" w:rsidR="00323457" w:rsidRPr="0059638B" w:rsidRDefault="0043516C" w:rsidP="00323457">
      <w:pPr>
        <w:pStyle w:val="SingleTxtG"/>
        <w:rPr>
          <w:sz w:val="20"/>
          <w:szCs w:val="20"/>
        </w:rPr>
      </w:pPr>
      <w:r>
        <w:rPr>
          <w:sz w:val="20"/>
          <w:szCs w:val="20"/>
        </w:rPr>
        <w:t>498</w:t>
      </w:r>
      <w:r w:rsidR="007C7678">
        <w:rPr>
          <w:sz w:val="20"/>
          <w:szCs w:val="20"/>
        </w:rPr>
        <w:t>.</w:t>
      </w:r>
      <w:r w:rsidR="007C7678">
        <w:rPr>
          <w:sz w:val="20"/>
          <w:szCs w:val="20"/>
        </w:rPr>
        <w:tab/>
      </w:r>
      <w:r w:rsidR="00323457" w:rsidRPr="0059638B">
        <w:rPr>
          <w:sz w:val="20"/>
          <w:szCs w:val="20"/>
        </w:rPr>
        <w:t xml:space="preserve">Regarding the rights of children, the National System for the Integral Protection of Children and Adolescents promoted the harmonization of legislation in accordance with the General Act on the Rights of Children and Adolescents. </w:t>
      </w:r>
    </w:p>
    <w:p w14:paraId="7BA102E9" w14:textId="6312FB04" w:rsidR="00323457" w:rsidRPr="0059638B" w:rsidRDefault="0043516C" w:rsidP="00323457">
      <w:pPr>
        <w:pStyle w:val="SingleTxtG"/>
        <w:rPr>
          <w:sz w:val="20"/>
          <w:szCs w:val="20"/>
        </w:rPr>
      </w:pPr>
      <w:r>
        <w:rPr>
          <w:sz w:val="20"/>
          <w:szCs w:val="20"/>
        </w:rPr>
        <w:t>499</w:t>
      </w:r>
      <w:r w:rsidR="007C7678">
        <w:rPr>
          <w:sz w:val="20"/>
          <w:szCs w:val="20"/>
        </w:rPr>
        <w:t>.</w:t>
      </w:r>
      <w:r w:rsidR="007C7678">
        <w:rPr>
          <w:sz w:val="20"/>
          <w:szCs w:val="20"/>
        </w:rPr>
        <w:tab/>
      </w:r>
      <w:r w:rsidR="00323457" w:rsidRPr="0059638B">
        <w:rPr>
          <w:sz w:val="20"/>
          <w:szCs w:val="20"/>
        </w:rPr>
        <w:t xml:space="preserve">In December 2018, the National Institute of Indigenous Peoples (INPI) was created with the purpose of guaranteeing the integral and sustainable development of indigenous peoples and afro-Mexican people, and to strengthen their cultural identities. </w:t>
      </w:r>
    </w:p>
    <w:p w14:paraId="6AF99A94" w14:textId="1B9B8C35" w:rsidR="00323457" w:rsidRPr="0059638B" w:rsidRDefault="0043516C" w:rsidP="00323457">
      <w:pPr>
        <w:pStyle w:val="SingleTxtG"/>
        <w:rPr>
          <w:sz w:val="20"/>
          <w:szCs w:val="20"/>
        </w:rPr>
      </w:pPr>
      <w:r>
        <w:rPr>
          <w:sz w:val="20"/>
          <w:szCs w:val="20"/>
        </w:rPr>
        <w:t>500</w:t>
      </w:r>
      <w:r w:rsidR="007C7678">
        <w:rPr>
          <w:sz w:val="20"/>
          <w:szCs w:val="20"/>
        </w:rPr>
        <w:t>.</w:t>
      </w:r>
      <w:r w:rsidR="007C7678">
        <w:rPr>
          <w:sz w:val="20"/>
          <w:szCs w:val="20"/>
        </w:rPr>
        <w:tab/>
      </w:r>
      <w:r w:rsidR="00323457" w:rsidRPr="0059638B">
        <w:rPr>
          <w:sz w:val="20"/>
          <w:szCs w:val="20"/>
        </w:rPr>
        <w:t xml:space="preserve">Mexico recognized the importance of continuing to strengthen the legislative, institutional and cultural framework on the rights of persons with disabilities, aimed to promote their social inclusion. </w:t>
      </w:r>
    </w:p>
    <w:p w14:paraId="04AC1C60" w14:textId="0736428D" w:rsidR="00323457" w:rsidRPr="0059638B" w:rsidRDefault="0043516C" w:rsidP="00323457">
      <w:pPr>
        <w:pStyle w:val="SingleTxtG"/>
        <w:rPr>
          <w:sz w:val="20"/>
          <w:szCs w:val="20"/>
        </w:rPr>
      </w:pPr>
      <w:r>
        <w:rPr>
          <w:sz w:val="20"/>
          <w:szCs w:val="20"/>
        </w:rPr>
        <w:t>501</w:t>
      </w:r>
      <w:r w:rsidR="007C7678">
        <w:rPr>
          <w:sz w:val="20"/>
          <w:szCs w:val="20"/>
        </w:rPr>
        <w:t>.</w:t>
      </w:r>
      <w:r w:rsidR="007C7678">
        <w:rPr>
          <w:sz w:val="20"/>
          <w:szCs w:val="20"/>
        </w:rPr>
        <w:tab/>
      </w:r>
      <w:r w:rsidR="00323457" w:rsidRPr="0059638B">
        <w:rPr>
          <w:sz w:val="20"/>
          <w:szCs w:val="20"/>
        </w:rPr>
        <w:t xml:space="preserve">Regarding the elimination of discrimination against specific groups and the rights of LGBTI persons, the Federal Law for the Prevention and Elimination of Discrimination had established as a prohibited ground homophobia, misogyny, racial segregation and other related forms of intolerance. </w:t>
      </w:r>
    </w:p>
    <w:p w14:paraId="59C9450C" w14:textId="26F2B3AC" w:rsidR="00323457" w:rsidRPr="0059638B" w:rsidRDefault="0043516C" w:rsidP="00323457">
      <w:pPr>
        <w:pStyle w:val="SingleTxtG"/>
        <w:rPr>
          <w:sz w:val="20"/>
          <w:szCs w:val="20"/>
        </w:rPr>
      </w:pPr>
      <w:r>
        <w:rPr>
          <w:sz w:val="20"/>
          <w:szCs w:val="20"/>
        </w:rPr>
        <w:t>502</w:t>
      </w:r>
      <w:r w:rsidR="007C7678">
        <w:rPr>
          <w:sz w:val="20"/>
          <w:szCs w:val="20"/>
        </w:rPr>
        <w:t>.</w:t>
      </w:r>
      <w:r w:rsidR="007C7678">
        <w:rPr>
          <w:sz w:val="20"/>
          <w:szCs w:val="20"/>
        </w:rPr>
        <w:tab/>
      </w:r>
      <w:r w:rsidR="00323457" w:rsidRPr="0059638B">
        <w:rPr>
          <w:sz w:val="20"/>
          <w:szCs w:val="20"/>
        </w:rPr>
        <w:t xml:space="preserve">Second, in the area of freedom of expression, Mexico is determined to take all necessary measures to guarantee the protection of human rights defenders and journalists and it condemned the events of violence against those who exercise activism and defence of human rights, journalism and religious ministry in the country. </w:t>
      </w:r>
    </w:p>
    <w:p w14:paraId="196AC3B7" w14:textId="4F25C442" w:rsidR="00323457" w:rsidRPr="0059638B" w:rsidRDefault="0043516C" w:rsidP="00323457">
      <w:pPr>
        <w:pStyle w:val="SingleTxtG"/>
        <w:rPr>
          <w:sz w:val="20"/>
          <w:szCs w:val="20"/>
        </w:rPr>
      </w:pPr>
      <w:r>
        <w:rPr>
          <w:sz w:val="20"/>
          <w:szCs w:val="20"/>
        </w:rPr>
        <w:t>503</w:t>
      </w:r>
      <w:r w:rsidR="007C7678">
        <w:rPr>
          <w:sz w:val="20"/>
          <w:szCs w:val="20"/>
        </w:rPr>
        <w:t>.</w:t>
      </w:r>
      <w:r w:rsidR="007C7678">
        <w:rPr>
          <w:sz w:val="20"/>
          <w:szCs w:val="20"/>
        </w:rPr>
        <w:tab/>
      </w:r>
      <w:r w:rsidR="00323457" w:rsidRPr="0059638B">
        <w:rPr>
          <w:sz w:val="20"/>
          <w:szCs w:val="20"/>
        </w:rPr>
        <w:t xml:space="preserve">The new Government was committed to strengthening institutional mechanisms such as that for the Protection of Human Rights Defenders and Journalists, as well as to design strategies to guarantee freedom of expression, press and worship. </w:t>
      </w:r>
    </w:p>
    <w:p w14:paraId="2FE2FB9A" w14:textId="37ED3B01" w:rsidR="00323457" w:rsidRPr="0059638B" w:rsidRDefault="0043516C" w:rsidP="00323457">
      <w:pPr>
        <w:pStyle w:val="SingleTxtG"/>
        <w:rPr>
          <w:sz w:val="20"/>
          <w:szCs w:val="20"/>
        </w:rPr>
      </w:pPr>
      <w:r>
        <w:rPr>
          <w:sz w:val="20"/>
          <w:szCs w:val="20"/>
        </w:rPr>
        <w:t>504</w:t>
      </w:r>
      <w:r w:rsidR="007C7678">
        <w:rPr>
          <w:sz w:val="20"/>
          <w:szCs w:val="20"/>
        </w:rPr>
        <w:t>.</w:t>
      </w:r>
      <w:r w:rsidR="007C7678">
        <w:rPr>
          <w:sz w:val="20"/>
          <w:szCs w:val="20"/>
        </w:rPr>
        <w:tab/>
      </w:r>
      <w:r w:rsidR="00323457" w:rsidRPr="0059638B">
        <w:rPr>
          <w:sz w:val="20"/>
          <w:szCs w:val="20"/>
        </w:rPr>
        <w:t xml:space="preserve">Third, in the area of rule of law and enforced disappearances, Mexico was aware of the challenges in terms of enforced disappearance of persons and disappearance by individuals, joining the pain of the families of the victims and making clear its commitment </w:t>
      </w:r>
      <w:r w:rsidR="00323457" w:rsidRPr="0059638B">
        <w:rPr>
          <w:sz w:val="20"/>
          <w:szCs w:val="20"/>
        </w:rPr>
        <w:lastRenderedPageBreak/>
        <w:t xml:space="preserve">to combat this social scourge. In this regard, the </w:t>
      </w:r>
      <w:r w:rsidR="00D72627">
        <w:rPr>
          <w:sz w:val="20"/>
          <w:szCs w:val="20"/>
        </w:rPr>
        <w:t>“</w:t>
      </w:r>
      <w:r w:rsidR="00323457" w:rsidRPr="0059638B">
        <w:rPr>
          <w:sz w:val="20"/>
          <w:szCs w:val="20"/>
        </w:rPr>
        <w:t xml:space="preserve">Decree that establishes effective material, legal and human conditions to strengthen the human rights of the families of the victims of the Ayotzinapa case to the truth and access to justice” was published in December 2018. The National Citizen Council and the National Search System for Missing Persons were also created. </w:t>
      </w:r>
    </w:p>
    <w:p w14:paraId="31DB1EA9" w14:textId="086A2176" w:rsidR="00323457" w:rsidRPr="0059638B" w:rsidRDefault="0043516C" w:rsidP="00323457">
      <w:pPr>
        <w:pStyle w:val="SingleTxtG"/>
        <w:rPr>
          <w:sz w:val="20"/>
          <w:szCs w:val="20"/>
        </w:rPr>
      </w:pPr>
      <w:r>
        <w:rPr>
          <w:sz w:val="20"/>
          <w:szCs w:val="20"/>
        </w:rPr>
        <w:t>505</w:t>
      </w:r>
      <w:r w:rsidR="007C7678">
        <w:rPr>
          <w:sz w:val="20"/>
          <w:szCs w:val="20"/>
        </w:rPr>
        <w:t>.</w:t>
      </w:r>
      <w:r w:rsidR="007C7678">
        <w:rPr>
          <w:sz w:val="20"/>
          <w:szCs w:val="20"/>
        </w:rPr>
        <w:tab/>
      </w:r>
      <w:r w:rsidR="00323457" w:rsidRPr="0059638B">
        <w:rPr>
          <w:sz w:val="20"/>
          <w:szCs w:val="20"/>
        </w:rPr>
        <w:t xml:space="preserve">Mexico has reactivated internal consultations to review the pertinence of recognizing the competence of the Committee on Enforced Disappearances. To this regard, it was noted that Mexico will seek first to strengthen its institutional capacities to effectively address this scourge. </w:t>
      </w:r>
    </w:p>
    <w:p w14:paraId="3E33F975" w14:textId="4CD417E3" w:rsidR="00323457" w:rsidRPr="0059638B" w:rsidRDefault="0043516C" w:rsidP="00323457">
      <w:pPr>
        <w:pStyle w:val="SingleTxtG"/>
        <w:rPr>
          <w:sz w:val="20"/>
          <w:szCs w:val="20"/>
        </w:rPr>
      </w:pPr>
      <w:r>
        <w:rPr>
          <w:sz w:val="20"/>
          <w:szCs w:val="20"/>
        </w:rPr>
        <w:t>506</w:t>
      </w:r>
      <w:r w:rsidR="007C7678">
        <w:rPr>
          <w:sz w:val="20"/>
          <w:szCs w:val="20"/>
        </w:rPr>
        <w:t>.</w:t>
      </w:r>
      <w:r w:rsidR="007C7678">
        <w:rPr>
          <w:sz w:val="20"/>
          <w:szCs w:val="20"/>
        </w:rPr>
        <w:tab/>
      </w:r>
      <w:r w:rsidR="00323457" w:rsidRPr="0059638B">
        <w:rPr>
          <w:sz w:val="20"/>
          <w:szCs w:val="20"/>
        </w:rPr>
        <w:t>The fight against torture was stressed as a matter of national priority. Mexico had the General Act on the Prevention, Investigation and Punishment of Torture, and a Special Prosecutor</w:t>
      </w:r>
      <w:r w:rsidR="00D72627">
        <w:rPr>
          <w:sz w:val="20"/>
          <w:szCs w:val="20"/>
        </w:rPr>
        <w:t>’</w:t>
      </w:r>
      <w:r w:rsidR="00323457" w:rsidRPr="0059638B">
        <w:rPr>
          <w:sz w:val="20"/>
          <w:szCs w:val="20"/>
        </w:rPr>
        <w:t xml:space="preserve">s Office in Torture Crime Investigation. </w:t>
      </w:r>
    </w:p>
    <w:p w14:paraId="6AF5E2F4" w14:textId="5A71DE81" w:rsidR="00323457" w:rsidRPr="0059638B" w:rsidRDefault="0043516C" w:rsidP="00323457">
      <w:pPr>
        <w:pStyle w:val="SingleTxtG"/>
        <w:rPr>
          <w:sz w:val="20"/>
          <w:szCs w:val="20"/>
        </w:rPr>
      </w:pPr>
      <w:r>
        <w:rPr>
          <w:sz w:val="20"/>
          <w:szCs w:val="20"/>
        </w:rPr>
        <w:t>507</w:t>
      </w:r>
      <w:r w:rsidR="007C7678">
        <w:rPr>
          <w:sz w:val="20"/>
          <w:szCs w:val="20"/>
        </w:rPr>
        <w:t>.</w:t>
      </w:r>
      <w:r w:rsidR="007C7678">
        <w:rPr>
          <w:sz w:val="20"/>
          <w:szCs w:val="20"/>
        </w:rPr>
        <w:tab/>
      </w:r>
      <w:r w:rsidR="00323457" w:rsidRPr="0059638B">
        <w:rPr>
          <w:sz w:val="20"/>
          <w:szCs w:val="20"/>
        </w:rPr>
        <w:t xml:space="preserve">Four, in the area of peace and security, Mexico recognized the pressing need to take strong measures against insecurity and crime. In this regard, the National Security Strategy, published on February 2019, had as one of its main objectives the prevention of violence and crime by dissuading the perpetrators of criminal behaviour from recidivism through restorative interventions, to reinsert them into society and repair the victims. </w:t>
      </w:r>
    </w:p>
    <w:p w14:paraId="7610A898" w14:textId="2AED3155" w:rsidR="00323457" w:rsidRPr="0059638B" w:rsidRDefault="0043516C" w:rsidP="00323457">
      <w:pPr>
        <w:pStyle w:val="SingleTxtG"/>
        <w:rPr>
          <w:sz w:val="20"/>
          <w:szCs w:val="20"/>
        </w:rPr>
      </w:pPr>
      <w:r>
        <w:rPr>
          <w:sz w:val="20"/>
          <w:szCs w:val="20"/>
        </w:rPr>
        <w:t>508</w:t>
      </w:r>
      <w:r w:rsidR="007C7678">
        <w:rPr>
          <w:sz w:val="20"/>
          <w:szCs w:val="20"/>
        </w:rPr>
        <w:t>.</w:t>
      </w:r>
      <w:r w:rsidR="007C7678">
        <w:rPr>
          <w:sz w:val="20"/>
          <w:szCs w:val="20"/>
        </w:rPr>
        <w:tab/>
      </w:r>
      <w:r w:rsidR="00323457" w:rsidRPr="0059638B">
        <w:rPr>
          <w:sz w:val="20"/>
          <w:szCs w:val="20"/>
        </w:rPr>
        <w:t xml:space="preserve">Mexico presented the National Peace and Security Plan based on human rights-based policies on drug consumption, fight against corruption and impunity, elimination of constitutional privileges for officials, including the President, the promotion of a culture of full respect for human rights, and the creation of a National Guard. </w:t>
      </w:r>
    </w:p>
    <w:p w14:paraId="7820B618" w14:textId="63BA7C8B" w:rsidR="00323457" w:rsidRPr="0059638B" w:rsidRDefault="0043516C" w:rsidP="00323457">
      <w:pPr>
        <w:pStyle w:val="SingleTxtG"/>
        <w:rPr>
          <w:sz w:val="20"/>
          <w:szCs w:val="20"/>
        </w:rPr>
      </w:pPr>
      <w:r>
        <w:rPr>
          <w:sz w:val="20"/>
          <w:szCs w:val="20"/>
        </w:rPr>
        <w:t>509</w:t>
      </w:r>
      <w:r w:rsidR="007C7678">
        <w:rPr>
          <w:sz w:val="20"/>
          <w:szCs w:val="20"/>
        </w:rPr>
        <w:t>.</w:t>
      </w:r>
      <w:r w:rsidR="007C7678">
        <w:rPr>
          <w:sz w:val="20"/>
          <w:szCs w:val="20"/>
        </w:rPr>
        <w:tab/>
      </w:r>
      <w:r w:rsidR="00323457" w:rsidRPr="0059638B">
        <w:rPr>
          <w:sz w:val="20"/>
          <w:szCs w:val="20"/>
        </w:rPr>
        <w:t xml:space="preserve">Aware of the concerns of civil society and international mechanisms, Mexico was working on the definition of a collaboration agreement with the </w:t>
      </w:r>
      <w:r w:rsidR="00323457" w:rsidRPr="00805366">
        <w:rPr>
          <w:color w:val="000000" w:themeColor="text1"/>
          <w:sz w:val="20"/>
          <w:szCs w:val="20"/>
        </w:rPr>
        <w:t>Office of the United Nations High Commissioner for Human Rights</w:t>
      </w:r>
      <w:r w:rsidR="00323457" w:rsidRPr="0059638B">
        <w:rPr>
          <w:sz w:val="20"/>
          <w:szCs w:val="20"/>
        </w:rPr>
        <w:t xml:space="preserve">, in order to assure human rights standards are included at the centre of the formation and operation of the National Guard. </w:t>
      </w:r>
    </w:p>
    <w:p w14:paraId="19F69FB2" w14:textId="28666AD1" w:rsidR="00323457" w:rsidRPr="0059638B" w:rsidRDefault="0043516C" w:rsidP="00323457">
      <w:pPr>
        <w:pStyle w:val="SingleTxtG"/>
        <w:rPr>
          <w:sz w:val="20"/>
          <w:szCs w:val="20"/>
        </w:rPr>
      </w:pPr>
      <w:r>
        <w:rPr>
          <w:sz w:val="20"/>
          <w:szCs w:val="20"/>
        </w:rPr>
        <w:t>510</w:t>
      </w:r>
      <w:r w:rsidR="007C7678">
        <w:rPr>
          <w:sz w:val="20"/>
          <w:szCs w:val="20"/>
        </w:rPr>
        <w:t>.</w:t>
      </w:r>
      <w:r w:rsidR="007C7678">
        <w:rPr>
          <w:sz w:val="20"/>
          <w:szCs w:val="20"/>
        </w:rPr>
        <w:tab/>
      </w:r>
      <w:r w:rsidR="00323457" w:rsidRPr="0059638B">
        <w:rPr>
          <w:sz w:val="20"/>
          <w:szCs w:val="20"/>
        </w:rPr>
        <w:t xml:space="preserve">Since 2001, Mexico had received more than 60 visits of human rights mandates. Now the country was designing a work programme in order to respond with order and relevance to pending visits requests of the special procedures. The international recommendations on human rights had constituted a relevant referent to guide the construction of institutional capacities, as well as the strengthening of the normative framework. Mexico committed to giving timely follow-up to these recommendations through the following actions: </w:t>
      </w:r>
    </w:p>
    <w:p w14:paraId="25593593" w14:textId="2A1471E7" w:rsidR="00323457" w:rsidRPr="0059638B" w:rsidRDefault="0043516C" w:rsidP="00323457">
      <w:pPr>
        <w:pStyle w:val="SingleTxtG"/>
        <w:rPr>
          <w:sz w:val="20"/>
          <w:szCs w:val="20"/>
        </w:rPr>
      </w:pPr>
      <w:r>
        <w:rPr>
          <w:sz w:val="20"/>
          <w:szCs w:val="20"/>
        </w:rPr>
        <w:t>511</w:t>
      </w:r>
      <w:r w:rsidR="007C7678">
        <w:rPr>
          <w:sz w:val="20"/>
          <w:szCs w:val="20"/>
        </w:rPr>
        <w:t>.</w:t>
      </w:r>
      <w:r w:rsidR="007C7678">
        <w:rPr>
          <w:sz w:val="20"/>
          <w:szCs w:val="20"/>
        </w:rPr>
        <w:tab/>
      </w:r>
      <w:r w:rsidR="00323457" w:rsidRPr="0059638B">
        <w:rPr>
          <w:sz w:val="20"/>
          <w:szCs w:val="20"/>
        </w:rPr>
        <w:t xml:space="preserve">Firstly, promoting an effective inter-institutional mechanism for the implementation of the recommendations by federal and local governmental authorities. Mexico had a Platform for Attention and Follow-up on International Recommendations, which systematizes more than 2,800 recommendations received since 1994. The objective is to take this platform to a further stage of action. </w:t>
      </w:r>
    </w:p>
    <w:p w14:paraId="6A690DEF" w14:textId="4CC6F692" w:rsidR="00323457" w:rsidRPr="0059638B" w:rsidRDefault="0043516C" w:rsidP="00323457">
      <w:pPr>
        <w:pStyle w:val="SingleTxtG"/>
        <w:rPr>
          <w:sz w:val="20"/>
          <w:szCs w:val="20"/>
        </w:rPr>
      </w:pPr>
      <w:r>
        <w:rPr>
          <w:sz w:val="20"/>
          <w:szCs w:val="20"/>
        </w:rPr>
        <w:t>512</w:t>
      </w:r>
      <w:r w:rsidR="007C7678">
        <w:rPr>
          <w:sz w:val="20"/>
          <w:szCs w:val="20"/>
        </w:rPr>
        <w:t>.</w:t>
      </w:r>
      <w:r w:rsidR="007C7678">
        <w:rPr>
          <w:sz w:val="20"/>
          <w:szCs w:val="20"/>
        </w:rPr>
        <w:tab/>
      </w:r>
      <w:r w:rsidR="00323457" w:rsidRPr="0059638B">
        <w:rPr>
          <w:sz w:val="20"/>
          <w:szCs w:val="20"/>
        </w:rPr>
        <w:t xml:space="preserve">Secondly, encouraging a sustained dialogue with civil society organizations, which considers their fundamental role in the construction and strengthening of democratic societies. </w:t>
      </w:r>
    </w:p>
    <w:p w14:paraId="5B48793E" w14:textId="26425968" w:rsidR="00323457" w:rsidRPr="0059638B" w:rsidRDefault="0043516C" w:rsidP="00323457">
      <w:pPr>
        <w:pStyle w:val="SingleTxtG"/>
        <w:rPr>
          <w:sz w:val="20"/>
          <w:szCs w:val="20"/>
        </w:rPr>
      </w:pPr>
      <w:r>
        <w:rPr>
          <w:sz w:val="20"/>
          <w:szCs w:val="20"/>
        </w:rPr>
        <w:t>513</w:t>
      </w:r>
      <w:r w:rsidR="007C7678">
        <w:rPr>
          <w:sz w:val="20"/>
          <w:szCs w:val="20"/>
        </w:rPr>
        <w:t>.</w:t>
      </w:r>
      <w:r w:rsidR="007C7678">
        <w:rPr>
          <w:sz w:val="20"/>
          <w:szCs w:val="20"/>
        </w:rPr>
        <w:tab/>
      </w:r>
      <w:r w:rsidR="00323457" w:rsidRPr="0059638B">
        <w:rPr>
          <w:sz w:val="20"/>
          <w:szCs w:val="20"/>
        </w:rPr>
        <w:t xml:space="preserve">Thirdly, developing cooperation partnerships with other States with the capacity and will to provide technical assistance, with the aim to translate their recommendations into specific actions. </w:t>
      </w:r>
    </w:p>
    <w:p w14:paraId="304C6FDD" w14:textId="722209D7" w:rsidR="00323457" w:rsidRPr="0059638B" w:rsidRDefault="0043516C" w:rsidP="00323457">
      <w:pPr>
        <w:pStyle w:val="SingleTxtG"/>
        <w:rPr>
          <w:sz w:val="20"/>
          <w:szCs w:val="20"/>
        </w:rPr>
      </w:pPr>
      <w:r>
        <w:rPr>
          <w:sz w:val="20"/>
          <w:szCs w:val="20"/>
        </w:rPr>
        <w:t>514</w:t>
      </w:r>
      <w:r w:rsidR="007C7678">
        <w:rPr>
          <w:sz w:val="20"/>
          <w:szCs w:val="20"/>
        </w:rPr>
        <w:t>.</w:t>
      </w:r>
      <w:r w:rsidR="007C7678">
        <w:rPr>
          <w:sz w:val="20"/>
          <w:szCs w:val="20"/>
        </w:rPr>
        <w:tab/>
      </w:r>
      <w:r w:rsidR="00323457" w:rsidRPr="0059638B">
        <w:rPr>
          <w:sz w:val="20"/>
          <w:szCs w:val="20"/>
        </w:rPr>
        <w:t>The head of the delegation noted that Mexico was fully aware that its membership in the Human Rights Council entailed commitments that it must honour and demanded country engagement in a proactive and constructive manner. He stated that Mexico would seek to undertake its foreign policy on human rights as an exemplary model.</w:t>
      </w:r>
    </w:p>
    <w:p w14:paraId="7F6C3850" w14:textId="77777777" w:rsidR="00323457" w:rsidRPr="0059638B" w:rsidRDefault="00323457" w:rsidP="00323457">
      <w:pPr>
        <w:pStyle w:val="H23G"/>
        <w:rPr>
          <w:bCs/>
          <w:sz w:val="20"/>
          <w:szCs w:val="20"/>
        </w:rPr>
      </w:pPr>
      <w:r w:rsidRPr="0059638B">
        <w:rPr>
          <w:sz w:val="20"/>
          <w:szCs w:val="20"/>
        </w:rPr>
        <w:lastRenderedPageBreak/>
        <w:tab/>
        <w:t>2.</w:t>
      </w:r>
      <w:r w:rsidRPr="0059638B">
        <w:rPr>
          <w:sz w:val="20"/>
          <w:szCs w:val="20"/>
        </w:rPr>
        <w:tab/>
        <w:t>General comments made by the national human rights institution of the State under review</w:t>
      </w:r>
      <w:r w:rsidRPr="0059638B">
        <w:rPr>
          <w:bCs/>
          <w:sz w:val="20"/>
          <w:szCs w:val="20"/>
        </w:rPr>
        <w:t xml:space="preserve"> </w:t>
      </w:r>
    </w:p>
    <w:p w14:paraId="75B95CC1" w14:textId="21BF6E88" w:rsidR="00323457" w:rsidRPr="0059638B" w:rsidRDefault="0043516C" w:rsidP="00323457">
      <w:pPr>
        <w:pStyle w:val="SingleTxtG"/>
        <w:rPr>
          <w:sz w:val="20"/>
          <w:szCs w:val="20"/>
        </w:rPr>
      </w:pPr>
      <w:r>
        <w:rPr>
          <w:sz w:val="20"/>
          <w:szCs w:val="20"/>
        </w:rPr>
        <w:t>515</w:t>
      </w:r>
      <w:r w:rsidR="007C7678">
        <w:rPr>
          <w:sz w:val="20"/>
          <w:szCs w:val="20"/>
        </w:rPr>
        <w:t>.</w:t>
      </w:r>
      <w:r w:rsidR="007C7678">
        <w:rPr>
          <w:sz w:val="20"/>
          <w:szCs w:val="20"/>
        </w:rPr>
        <w:tab/>
      </w:r>
      <w:r w:rsidR="00323457" w:rsidRPr="0059638B">
        <w:rPr>
          <w:sz w:val="20"/>
          <w:szCs w:val="20"/>
        </w:rPr>
        <w:t xml:space="preserve">The National Human Rights Commission of Mexico urged the Government to implement all accepted recommendations, including those from various international instances, and to develop a new National Human Rights Action Plan. Regarding recommendations about justice, security and rule of law, it urged the Government to prevent the influence of the armed forces from going beyond their natural scope and to ensure that their conduct is in line with human rights and that security is comprehensively approached and not limited to the use of force. It urged the Government to guarantee the full independence of all country Prosecutor Offices. It referred to high levels of impunity with an impact on continuing cases of enforced disappearances and violence against women, human rights defenders and journalists. Worried about recent decisions that might curtail the rights of women, children and persons with disabilities, it urged the Government to implement public policies with a human right approach. It made a call to consolidate democratic institutions and to cooperate with civil society. </w:t>
      </w:r>
    </w:p>
    <w:p w14:paraId="63285684" w14:textId="77777777" w:rsidR="00323457" w:rsidRPr="0059638B" w:rsidRDefault="00323457" w:rsidP="00323457">
      <w:pPr>
        <w:pStyle w:val="H23G"/>
        <w:rPr>
          <w:sz w:val="20"/>
          <w:szCs w:val="20"/>
        </w:rPr>
      </w:pPr>
      <w:r w:rsidRPr="0059638B">
        <w:rPr>
          <w:sz w:val="20"/>
          <w:szCs w:val="20"/>
        </w:rPr>
        <w:tab/>
        <w:t>3.</w:t>
      </w:r>
      <w:r w:rsidRPr="0059638B">
        <w:rPr>
          <w:sz w:val="20"/>
          <w:szCs w:val="20"/>
        </w:rPr>
        <w:tab/>
        <w:t xml:space="preserve">Views expressed by Member and observer States of the Council on the outcome of the review </w:t>
      </w:r>
    </w:p>
    <w:p w14:paraId="1D8BF047" w14:textId="0F70E1A6" w:rsidR="00323457" w:rsidRPr="0059638B" w:rsidRDefault="0043516C" w:rsidP="00323457">
      <w:pPr>
        <w:pStyle w:val="SingleTxtG"/>
        <w:rPr>
          <w:sz w:val="20"/>
          <w:szCs w:val="20"/>
        </w:rPr>
      </w:pPr>
      <w:r>
        <w:rPr>
          <w:sz w:val="20"/>
          <w:szCs w:val="20"/>
        </w:rPr>
        <w:t>516</w:t>
      </w:r>
      <w:r w:rsidR="007C7678">
        <w:rPr>
          <w:sz w:val="20"/>
          <w:szCs w:val="20"/>
        </w:rPr>
        <w:t>.</w:t>
      </w:r>
      <w:r w:rsidR="007C7678">
        <w:rPr>
          <w:sz w:val="20"/>
          <w:szCs w:val="20"/>
        </w:rPr>
        <w:tab/>
      </w:r>
      <w:r w:rsidR="00323457" w:rsidRPr="0059638B">
        <w:rPr>
          <w:sz w:val="20"/>
          <w:szCs w:val="20"/>
        </w:rPr>
        <w:t>During the adoption of the outcome of the review of Mexico, 13 delegations made statements.</w:t>
      </w:r>
      <w:r w:rsidR="00CC5A8D" w:rsidRPr="00CC5A8D">
        <w:rPr>
          <w:rStyle w:val="FootnoteReference"/>
          <w:sz w:val="20"/>
          <w:szCs w:val="20"/>
          <w:vertAlign w:val="baseline"/>
        </w:rPr>
        <w:footnoteReference w:customMarkFollows="1" w:id="50"/>
        <w:t>**</w:t>
      </w:r>
      <w:r w:rsidR="00323457" w:rsidRPr="0059638B">
        <w:rPr>
          <w:sz w:val="20"/>
          <w:szCs w:val="20"/>
        </w:rPr>
        <w:t xml:space="preserve"> </w:t>
      </w:r>
    </w:p>
    <w:p w14:paraId="1C8DA3F8" w14:textId="19BDE610" w:rsidR="00323457" w:rsidRPr="0059638B" w:rsidRDefault="0043516C" w:rsidP="00323457">
      <w:pPr>
        <w:pStyle w:val="SingleTxtG"/>
        <w:rPr>
          <w:sz w:val="20"/>
          <w:szCs w:val="20"/>
        </w:rPr>
      </w:pPr>
      <w:r>
        <w:rPr>
          <w:sz w:val="20"/>
          <w:szCs w:val="20"/>
        </w:rPr>
        <w:t>517</w:t>
      </w:r>
      <w:r w:rsidR="007C7678">
        <w:rPr>
          <w:sz w:val="20"/>
          <w:szCs w:val="20"/>
        </w:rPr>
        <w:t>.</w:t>
      </w:r>
      <w:r w:rsidR="007C7678">
        <w:rPr>
          <w:sz w:val="20"/>
          <w:szCs w:val="20"/>
        </w:rPr>
        <w:tab/>
      </w:r>
      <w:r w:rsidR="00323457" w:rsidRPr="0059638B">
        <w:rPr>
          <w:sz w:val="20"/>
          <w:szCs w:val="20"/>
        </w:rPr>
        <w:t xml:space="preserve">Tunisia thanked the update made by Mexico regarding the advances of its the human rights situation and its normative and institutional human rights framework on subjects such as, combatting trafficking, protection of victims, and preventing torture. Tunisia commended Mexico for having accepted 262 recommendations out of 264 received, including those four made by Tunisia. </w:t>
      </w:r>
    </w:p>
    <w:p w14:paraId="00D82236" w14:textId="6F1F45D7" w:rsidR="00323457" w:rsidRPr="0059638B" w:rsidRDefault="0043516C" w:rsidP="00323457">
      <w:pPr>
        <w:pStyle w:val="SingleTxtG"/>
        <w:rPr>
          <w:sz w:val="20"/>
          <w:szCs w:val="20"/>
        </w:rPr>
      </w:pPr>
      <w:r>
        <w:rPr>
          <w:color w:val="000000" w:themeColor="text1"/>
          <w:sz w:val="20"/>
          <w:szCs w:val="20"/>
        </w:rPr>
        <w:t>518</w:t>
      </w:r>
      <w:r w:rsidR="007C7678">
        <w:rPr>
          <w:color w:val="000000" w:themeColor="text1"/>
          <w:sz w:val="20"/>
          <w:szCs w:val="20"/>
        </w:rPr>
        <w:t>.</w:t>
      </w:r>
      <w:r w:rsidR="007C7678">
        <w:rPr>
          <w:color w:val="000000" w:themeColor="text1"/>
          <w:sz w:val="20"/>
          <w:szCs w:val="20"/>
        </w:rPr>
        <w:tab/>
      </w:r>
      <w:r w:rsidR="00FF41A0">
        <w:rPr>
          <w:color w:val="000000" w:themeColor="text1"/>
          <w:sz w:val="20"/>
          <w:szCs w:val="20"/>
        </w:rPr>
        <w:t xml:space="preserve">The </w:t>
      </w:r>
      <w:r w:rsidR="00FF41A0" w:rsidRPr="00F50A37">
        <w:rPr>
          <w:color w:val="000000" w:themeColor="text1"/>
          <w:sz w:val="20"/>
          <w:szCs w:val="20"/>
        </w:rPr>
        <w:t>United Nations Entity for Gender Equality and the Empowerment of Women</w:t>
      </w:r>
      <w:r w:rsidR="00FF41A0">
        <w:rPr>
          <w:color w:val="000000" w:themeColor="text1"/>
          <w:sz w:val="20"/>
          <w:szCs w:val="20"/>
        </w:rPr>
        <w:t xml:space="preserve"> (UN Women) </w:t>
      </w:r>
      <w:r w:rsidR="00323457" w:rsidRPr="0059638B">
        <w:rPr>
          <w:sz w:val="20"/>
          <w:szCs w:val="20"/>
        </w:rPr>
        <w:t>welcomed the efforts made by Mexico in the advancement of gender equality and the empowerment of women and reiterated its commitment to continue working with the Mexican Government. UN Women raised three key areas for the consideration of Mexico: women in the centre of prevention efforts and resolution of conflicts; the social protection system to respond to women</w:t>
      </w:r>
      <w:r w:rsidR="00D72627">
        <w:rPr>
          <w:sz w:val="20"/>
          <w:szCs w:val="20"/>
        </w:rPr>
        <w:t>’</w:t>
      </w:r>
      <w:r w:rsidR="00323457" w:rsidRPr="0059638B">
        <w:rPr>
          <w:sz w:val="20"/>
          <w:szCs w:val="20"/>
        </w:rPr>
        <w:t xml:space="preserve">s need; and the investment of effective prevention against all forms of violence and discrimination against women and girls. </w:t>
      </w:r>
    </w:p>
    <w:p w14:paraId="7EA51F2C" w14:textId="52BD8854" w:rsidR="00323457" w:rsidRPr="0059638B" w:rsidRDefault="0043516C" w:rsidP="00323457">
      <w:pPr>
        <w:pStyle w:val="SingleTxtG"/>
        <w:rPr>
          <w:sz w:val="20"/>
          <w:szCs w:val="20"/>
        </w:rPr>
      </w:pPr>
      <w:r>
        <w:rPr>
          <w:sz w:val="20"/>
          <w:szCs w:val="20"/>
        </w:rPr>
        <w:t>519</w:t>
      </w:r>
      <w:r w:rsidR="007C7678">
        <w:rPr>
          <w:sz w:val="20"/>
          <w:szCs w:val="20"/>
        </w:rPr>
        <w:t>.</w:t>
      </w:r>
      <w:r w:rsidR="007C7678">
        <w:rPr>
          <w:sz w:val="20"/>
          <w:szCs w:val="20"/>
        </w:rPr>
        <w:tab/>
      </w:r>
      <w:r w:rsidR="00323457" w:rsidRPr="0059638B">
        <w:rPr>
          <w:sz w:val="20"/>
          <w:szCs w:val="20"/>
        </w:rPr>
        <w:t xml:space="preserve">The United Nations Population Fund acknowledged the commitment of Mexico to international human rights mechanisms, particularly to the universal periodic review. It offered technical assistance for the implementation of the recommendations related to access to sexual and reproductive health services and the essential services for women and girls victims of violence. It encouraged Mexico to strengthen its efforts to protect all forms of violence against children and adolescents, and to prioritize recommendations on reducing maternal mortality. </w:t>
      </w:r>
    </w:p>
    <w:p w14:paraId="1FA9C59C" w14:textId="31D847E6" w:rsidR="00323457" w:rsidRPr="0059638B" w:rsidRDefault="0043516C" w:rsidP="00323457">
      <w:pPr>
        <w:pStyle w:val="SingleTxtG"/>
        <w:rPr>
          <w:sz w:val="20"/>
          <w:szCs w:val="20"/>
        </w:rPr>
      </w:pPr>
      <w:r>
        <w:rPr>
          <w:sz w:val="20"/>
          <w:szCs w:val="20"/>
        </w:rPr>
        <w:t>520</w:t>
      </w:r>
      <w:r w:rsidR="007C7678">
        <w:rPr>
          <w:sz w:val="20"/>
          <w:szCs w:val="20"/>
        </w:rPr>
        <w:t>.</w:t>
      </w:r>
      <w:r w:rsidR="007C7678">
        <w:rPr>
          <w:sz w:val="20"/>
          <w:szCs w:val="20"/>
        </w:rPr>
        <w:tab/>
      </w:r>
      <w:r w:rsidR="00323457" w:rsidRPr="0059638B">
        <w:rPr>
          <w:sz w:val="20"/>
          <w:szCs w:val="20"/>
        </w:rPr>
        <w:t xml:space="preserve">The Bolivarian Republic of Venezuela recognized the efforts made by Mexico in order to implement the accepted universal periodic review recommendations. It also recognized the constitutional hierarchy granted to the international human rights treaties in Mexico. It valued the new criminal justice system and the reform of the General Act of Victims aiming to ensure the integral reparation of all victims. </w:t>
      </w:r>
    </w:p>
    <w:p w14:paraId="4F0EC2F8" w14:textId="1A2C7458" w:rsidR="00323457" w:rsidRPr="0059638B" w:rsidRDefault="0043516C" w:rsidP="00323457">
      <w:pPr>
        <w:pStyle w:val="SingleTxtG"/>
        <w:rPr>
          <w:sz w:val="20"/>
          <w:szCs w:val="20"/>
        </w:rPr>
      </w:pPr>
      <w:r>
        <w:rPr>
          <w:sz w:val="20"/>
          <w:szCs w:val="20"/>
        </w:rPr>
        <w:t>521</w:t>
      </w:r>
      <w:r w:rsidR="007C7678">
        <w:rPr>
          <w:sz w:val="20"/>
          <w:szCs w:val="20"/>
        </w:rPr>
        <w:t>.</w:t>
      </w:r>
      <w:r w:rsidR="007C7678">
        <w:rPr>
          <w:sz w:val="20"/>
          <w:szCs w:val="20"/>
        </w:rPr>
        <w:tab/>
      </w:r>
      <w:r w:rsidR="00323457" w:rsidRPr="0059638B">
        <w:rPr>
          <w:sz w:val="20"/>
          <w:szCs w:val="20"/>
        </w:rPr>
        <w:t xml:space="preserve">Armenia commended Mexico for having accepted 262 recommendations out of 264, including those made by Armenia. It welcomed the willingness of Mexico to continue strengthening the national system to prevent and eliminate violence against women and to </w:t>
      </w:r>
      <w:r w:rsidR="00323457" w:rsidRPr="0059638B">
        <w:rPr>
          <w:sz w:val="20"/>
          <w:szCs w:val="20"/>
        </w:rPr>
        <w:lastRenderedPageBreak/>
        <w:t xml:space="preserve">take steps towards the eradication of stereotypes through, inter alia, awareness-raising campaigns. </w:t>
      </w:r>
    </w:p>
    <w:p w14:paraId="045A8102" w14:textId="509E7A07" w:rsidR="00323457" w:rsidRPr="0059638B" w:rsidRDefault="0043516C" w:rsidP="00323457">
      <w:pPr>
        <w:pStyle w:val="SingleTxtG"/>
        <w:rPr>
          <w:sz w:val="20"/>
          <w:szCs w:val="20"/>
        </w:rPr>
      </w:pPr>
      <w:r>
        <w:rPr>
          <w:sz w:val="20"/>
          <w:szCs w:val="20"/>
        </w:rPr>
        <w:t>522</w:t>
      </w:r>
      <w:r w:rsidR="007C7678">
        <w:rPr>
          <w:sz w:val="20"/>
          <w:szCs w:val="20"/>
        </w:rPr>
        <w:t>.</w:t>
      </w:r>
      <w:r w:rsidR="007C7678">
        <w:rPr>
          <w:sz w:val="20"/>
          <w:szCs w:val="20"/>
        </w:rPr>
        <w:tab/>
      </w:r>
      <w:r w:rsidR="00323457" w:rsidRPr="0059638B">
        <w:rPr>
          <w:sz w:val="20"/>
          <w:szCs w:val="20"/>
        </w:rPr>
        <w:t>Barbados stressed that the ability of Mexico to translate accepted recommendations from the previous cycle of the universal periodic review into its National Human Rights Programme may serve as a guide to action after the current review. Barbados welcomed the commitment of Mexico to continue working on behalf of its vulnerable communities, including Mexicans of African descent, women, children and migrants.</w:t>
      </w:r>
      <w:r w:rsidR="004B7C70">
        <w:rPr>
          <w:sz w:val="20"/>
          <w:szCs w:val="20"/>
        </w:rPr>
        <w:t xml:space="preserve"> </w:t>
      </w:r>
    </w:p>
    <w:p w14:paraId="1F13E632" w14:textId="2BDE5E68" w:rsidR="00323457" w:rsidRPr="0059638B" w:rsidRDefault="0043516C" w:rsidP="00323457">
      <w:pPr>
        <w:pStyle w:val="SingleTxtG"/>
        <w:rPr>
          <w:sz w:val="20"/>
          <w:szCs w:val="20"/>
        </w:rPr>
      </w:pPr>
      <w:r>
        <w:rPr>
          <w:sz w:val="20"/>
          <w:szCs w:val="20"/>
        </w:rPr>
        <w:t>523</w:t>
      </w:r>
      <w:r w:rsidR="007C7678">
        <w:rPr>
          <w:sz w:val="20"/>
          <w:szCs w:val="20"/>
        </w:rPr>
        <w:t>.</w:t>
      </w:r>
      <w:r w:rsidR="007C7678">
        <w:rPr>
          <w:sz w:val="20"/>
          <w:szCs w:val="20"/>
        </w:rPr>
        <w:tab/>
      </w:r>
      <w:r w:rsidR="00323457" w:rsidRPr="0059638B">
        <w:rPr>
          <w:sz w:val="20"/>
          <w:szCs w:val="20"/>
        </w:rPr>
        <w:t>The Plurinational State of Bolivia stressed that the high-level delegation of Mexico during the universal periodic review showed the clear commitment of the country with this human rights mechanism. It also commended Mexico for having accepted 262 recommendations out of 264 received. It valued the permanent efforts made by Mexico in order to implement the recommendations, including those it had submitted, such as the one to strengthen food and nutrition policies and programmes in rural areas.</w:t>
      </w:r>
      <w:r w:rsidR="004B7C70">
        <w:rPr>
          <w:sz w:val="20"/>
          <w:szCs w:val="20"/>
        </w:rPr>
        <w:t xml:space="preserve"> </w:t>
      </w:r>
    </w:p>
    <w:p w14:paraId="5972D60B" w14:textId="6F24053F" w:rsidR="00323457" w:rsidRPr="0059638B" w:rsidRDefault="0043516C" w:rsidP="00323457">
      <w:pPr>
        <w:pStyle w:val="SingleTxtG"/>
        <w:rPr>
          <w:sz w:val="20"/>
          <w:szCs w:val="20"/>
        </w:rPr>
      </w:pPr>
      <w:r>
        <w:rPr>
          <w:sz w:val="20"/>
          <w:szCs w:val="20"/>
        </w:rPr>
        <w:t>524</w:t>
      </w:r>
      <w:r w:rsidR="007C7678">
        <w:rPr>
          <w:sz w:val="20"/>
          <w:szCs w:val="20"/>
        </w:rPr>
        <w:t>.</w:t>
      </w:r>
      <w:r w:rsidR="007C7678">
        <w:rPr>
          <w:sz w:val="20"/>
          <w:szCs w:val="20"/>
        </w:rPr>
        <w:tab/>
      </w:r>
      <w:r w:rsidR="00323457" w:rsidRPr="0059638B">
        <w:rPr>
          <w:sz w:val="20"/>
          <w:szCs w:val="20"/>
        </w:rPr>
        <w:t xml:space="preserve">Botswana noted that Mexico has been an outstanding member of the Human Rights Council, through its active engagement with resolutions and its continued cooperation with human rights mechanisms as demonstrated by a high number of special procedures visits since its last review. Botswana congratulated Mexico for having accepted all but two of the 264 recommendations received, including two made by Botswana. </w:t>
      </w:r>
    </w:p>
    <w:p w14:paraId="258A4195" w14:textId="41D37DA4" w:rsidR="00323457" w:rsidRPr="0059638B" w:rsidRDefault="0043516C" w:rsidP="00323457">
      <w:pPr>
        <w:pStyle w:val="SingleTxtG"/>
        <w:rPr>
          <w:sz w:val="20"/>
          <w:szCs w:val="20"/>
        </w:rPr>
      </w:pPr>
      <w:r>
        <w:rPr>
          <w:sz w:val="20"/>
          <w:szCs w:val="20"/>
        </w:rPr>
        <w:t>525</w:t>
      </w:r>
      <w:r w:rsidR="007C7678">
        <w:rPr>
          <w:sz w:val="20"/>
          <w:szCs w:val="20"/>
        </w:rPr>
        <w:t>.</w:t>
      </w:r>
      <w:r w:rsidR="007C7678">
        <w:rPr>
          <w:sz w:val="20"/>
          <w:szCs w:val="20"/>
        </w:rPr>
        <w:tab/>
      </w:r>
      <w:r w:rsidR="00323457" w:rsidRPr="0059638B">
        <w:rPr>
          <w:sz w:val="20"/>
          <w:szCs w:val="20"/>
        </w:rPr>
        <w:t xml:space="preserve">Brazil commended Mexico for its important normative framework advances, such as the General Act on the Rights of Children and Adolescents, the General Act on the Prevention, Investigation and Punishment of Torture and the General Act on Enforced Disappearance of Persons, Disappearance Perpetrated by Individuals and the National Search System for Missing Persons. Brazil reaffirmed its concern regarding the necessity to promote further protection for human rights defenders and journalists. </w:t>
      </w:r>
    </w:p>
    <w:p w14:paraId="4402C5F3" w14:textId="6D0FA290" w:rsidR="00323457" w:rsidRPr="0059638B" w:rsidRDefault="0043516C" w:rsidP="00323457">
      <w:pPr>
        <w:pStyle w:val="SingleTxtG"/>
        <w:rPr>
          <w:sz w:val="20"/>
          <w:szCs w:val="20"/>
        </w:rPr>
      </w:pPr>
      <w:r>
        <w:rPr>
          <w:sz w:val="20"/>
          <w:szCs w:val="20"/>
        </w:rPr>
        <w:t>526</w:t>
      </w:r>
      <w:r w:rsidR="007C7678">
        <w:rPr>
          <w:sz w:val="20"/>
          <w:szCs w:val="20"/>
        </w:rPr>
        <w:t>.</w:t>
      </w:r>
      <w:r w:rsidR="007C7678">
        <w:rPr>
          <w:sz w:val="20"/>
          <w:szCs w:val="20"/>
        </w:rPr>
        <w:tab/>
      </w:r>
      <w:r w:rsidR="00323457" w:rsidRPr="0059638B">
        <w:rPr>
          <w:sz w:val="20"/>
          <w:szCs w:val="20"/>
        </w:rPr>
        <w:t xml:space="preserve">Cameroon encouraged Mexico to continue to implement good practices, initiated following its universal periodic review of 2014, with a view to improving the human condition throughout the country. Cameroon welcomed Mexico for strengthened cooperation with the mechanisms of the Human Rights Council. </w:t>
      </w:r>
    </w:p>
    <w:p w14:paraId="3970C66E" w14:textId="03537381" w:rsidR="00323457" w:rsidRPr="0059638B" w:rsidRDefault="0043516C" w:rsidP="00323457">
      <w:pPr>
        <w:pStyle w:val="SingleTxtG"/>
        <w:rPr>
          <w:bCs/>
          <w:sz w:val="20"/>
          <w:szCs w:val="20"/>
        </w:rPr>
      </w:pPr>
      <w:r>
        <w:rPr>
          <w:sz w:val="20"/>
          <w:szCs w:val="20"/>
        </w:rPr>
        <w:t>527</w:t>
      </w:r>
      <w:r w:rsidR="007C7678">
        <w:rPr>
          <w:sz w:val="20"/>
          <w:szCs w:val="20"/>
        </w:rPr>
        <w:t>.</w:t>
      </w:r>
      <w:r w:rsidR="007C7678">
        <w:rPr>
          <w:sz w:val="20"/>
          <w:szCs w:val="20"/>
        </w:rPr>
        <w:tab/>
      </w:r>
      <w:r w:rsidR="00323457" w:rsidRPr="0059638B">
        <w:rPr>
          <w:sz w:val="20"/>
          <w:szCs w:val="20"/>
        </w:rPr>
        <w:t xml:space="preserve">Chile commended Mexico for having accepted 262 recommendations out of 264 received, including those four made by Chile regarding the </w:t>
      </w:r>
      <w:r w:rsidR="00323457" w:rsidRPr="0059638B">
        <w:rPr>
          <w:bCs/>
          <w:sz w:val="20"/>
          <w:szCs w:val="20"/>
        </w:rPr>
        <w:t>Optional Protocol to the Convention on the Rights of the Child on a communications procedure, the national action plan on business and human rights, the national search system for missing persons and the treatment for migrant minors. Chile congratulated the Government of Mexico, civil society organizations and the academia, which had compromised to promote structural changes aimed at ensuring human rights for all.</w:t>
      </w:r>
      <w:r w:rsidR="00D72627">
        <w:rPr>
          <w:bCs/>
          <w:sz w:val="20"/>
          <w:szCs w:val="20"/>
        </w:rPr>
        <w:t xml:space="preserve"> </w:t>
      </w:r>
    </w:p>
    <w:p w14:paraId="36794AEB" w14:textId="62D2E5A6" w:rsidR="00323457" w:rsidRPr="0059638B" w:rsidRDefault="0043516C" w:rsidP="00323457">
      <w:pPr>
        <w:pStyle w:val="SingleTxtG"/>
        <w:rPr>
          <w:bCs/>
          <w:sz w:val="20"/>
          <w:szCs w:val="20"/>
        </w:rPr>
      </w:pPr>
      <w:r>
        <w:rPr>
          <w:sz w:val="20"/>
          <w:szCs w:val="20"/>
        </w:rPr>
        <w:t>528</w:t>
      </w:r>
      <w:r w:rsidR="007C7678">
        <w:rPr>
          <w:sz w:val="20"/>
          <w:szCs w:val="20"/>
        </w:rPr>
        <w:t>.</w:t>
      </w:r>
      <w:r w:rsidR="007C7678">
        <w:rPr>
          <w:sz w:val="20"/>
          <w:szCs w:val="20"/>
        </w:rPr>
        <w:tab/>
      </w:r>
      <w:r w:rsidR="00323457" w:rsidRPr="0059638B">
        <w:rPr>
          <w:sz w:val="20"/>
          <w:szCs w:val="20"/>
        </w:rPr>
        <w:t xml:space="preserve">China commended Mexico for its constructive engagement with the universal periodic review. China thanked Mexico for having accepted its recommendations. China hoped that Mexico would implement the recommendations regarding </w:t>
      </w:r>
      <w:r w:rsidR="00323457" w:rsidRPr="0059638B">
        <w:rPr>
          <w:bCs/>
          <w:sz w:val="20"/>
          <w:szCs w:val="20"/>
        </w:rPr>
        <w:t>national programmes for development to eradicate poverty, to promote sustainable economic and social development to create a solid base for the enjoyment of all human rights, and about the protection of children, women, persons with disabilities and indigenous people.</w:t>
      </w:r>
    </w:p>
    <w:p w14:paraId="252D6D72" w14:textId="586DD377" w:rsidR="00323457" w:rsidRPr="0059638B" w:rsidRDefault="0043516C" w:rsidP="00323457">
      <w:pPr>
        <w:pStyle w:val="SingleTxtG"/>
        <w:rPr>
          <w:sz w:val="20"/>
          <w:szCs w:val="20"/>
        </w:rPr>
      </w:pPr>
      <w:r>
        <w:rPr>
          <w:sz w:val="20"/>
          <w:szCs w:val="20"/>
        </w:rPr>
        <w:t>529</w:t>
      </w:r>
      <w:r w:rsidR="007C7678">
        <w:rPr>
          <w:sz w:val="20"/>
          <w:szCs w:val="20"/>
        </w:rPr>
        <w:t>.</w:t>
      </w:r>
      <w:r w:rsidR="007C7678">
        <w:rPr>
          <w:sz w:val="20"/>
          <w:szCs w:val="20"/>
        </w:rPr>
        <w:tab/>
      </w:r>
      <w:r w:rsidR="00323457" w:rsidRPr="0059638B">
        <w:rPr>
          <w:sz w:val="20"/>
          <w:szCs w:val="20"/>
        </w:rPr>
        <w:t xml:space="preserve">Cuba congratulated Mexico for having accepted a high number of recommendations, including those made by Cuba regarding the combating acts of violence and discrimination against women and the promotion of a constructive dialogue in multilateral human rights mechanisms. Cuba encouraged Mexico to consider all the accepted recommendations as a guide in its future human rights policies. </w:t>
      </w:r>
    </w:p>
    <w:p w14:paraId="5ACC79DE" w14:textId="77777777" w:rsidR="00323457" w:rsidRPr="0059638B" w:rsidRDefault="00323457" w:rsidP="00323457">
      <w:pPr>
        <w:pStyle w:val="H23G"/>
        <w:rPr>
          <w:sz w:val="20"/>
          <w:szCs w:val="20"/>
        </w:rPr>
      </w:pPr>
      <w:r w:rsidRPr="0059638B">
        <w:rPr>
          <w:sz w:val="20"/>
          <w:szCs w:val="20"/>
        </w:rPr>
        <w:lastRenderedPageBreak/>
        <w:tab/>
        <w:t>4.</w:t>
      </w:r>
      <w:r w:rsidRPr="0059638B">
        <w:rPr>
          <w:sz w:val="20"/>
          <w:szCs w:val="20"/>
        </w:rPr>
        <w:tab/>
        <w:t>General comments made by other stakeholders</w:t>
      </w:r>
    </w:p>
    <w:p w14:paraId="716C101D" w14:textId="2A1A238A" w:rsidR="00323457" w:rsidRPr="0059638B" w:rsidRDefault="0043516C" w:rsidP="00323457">
      <w:pPr>
        <w:pStyle w:val="SingleTxtG"/>
        <w:rPr>
          <w:sz w:val="20"/>
          <w:szCs w:val="20"/>
        </w:rPr>
      </w:pPr>
      <w:r>
        <w:rPr>
          <w:sz w:val="20"/>
          <w:szCs w:val="20"/>
        </w:rPr>
        <w:t>530</w:t>
      </w:r>
      <w:r w:rsidR="007C7678">
        <w:rPr>
          <w:sz w:val="20"/>
          <w:szCs w:val="20"/>
        </w:rPr>
        <w:t>.</w:t>
      </w:r>
      <w:r w:rsidR="007C7678">
        <w:rPr>
          <w:sz w:val="20"/>
          <w:szCs w:val="20"/>
        </w:rPr>
        <w:tab/>
      </w:r>
      <w:r w:rsidR="00323457" w:rsidRPr="0059638B">
        <w:rPr>
          <w:sz w:val="20"/>
          <w:szCs w:val="20"/>
        </w:rPr>
        <w:t>During the adoption of the outcome of the review of Mexico, 10 other stakeholders made statements.</w:t>
      </w:r>
      <w:r w:rsidR="00CC5A8D" w:rsidRPr="00CC5A8D">
        <w:rPr>
          <w:rStyle w:val="FootnoteReference"/>
          <w:sz w:val="20"/>
          <w:szCs w:val="20"/>
          <w:vertAlign w:val="baseline"/>
        </w:rPr>
        <w:footnoteReference w:customMarkFollows="1" w:id="51"/>
        <w:t>**</w:t>
      </w:r>
      <w:r w:rsidR="00323457" w:rsidRPr="0059638B">
        <w:rPr>
          <w:sz w:val="20"/>
          <w:szCs w:val="20"/>
        </w:rPr>
        <w:t xml:space="preserve"> </w:t>
      </w:r>
    </w:p>
    <w:p w14:paraId="59B319E7" w14:textId="67EBCAA6" w:rsidR="00323457" w:rsidRPr="0059638B" w:rsidRDefault="0043516C" w:rsidP="00323457">
      <w:pPr>
        <w:pStyle w:val="SingleTxtG"/>
        <w:rPr>
          <w:sz w:val="20"/>
          <w:szCs w:val="20"/>
        </w:rPr>
      </w:pPr>
      <w:r>
        <w:rPr>
          <w:sz w:val="20"/>
          <w:szCs w:val="20"/>
        </w:rPr>
        <w:t>531</w:t>
      </w:r>
      <w:r w:rsidR="007C7678">
        <w:rPr>
          <w:sz w:val="20"/>
          <w:szCs w:val="20"/>
        </w:rPr>
        <w:t>.</w:t>
      </w:r>
      <w:r w:rsidR="007C7678">
        <w:rPr>
          <w:sz w:val="20"/>
          <w:szCs w:val="20"/>
        </w:rPr>
        <w:tab/>
      </w:r>
      <w:r w:rsidR="00323457" w:rsidRPr="0059638B">
        <w:rPr>
          <w:sz w:val="20"/>
          <w:szCs w:val="20"/>
        </w:rPr>
        <w:t xml:space="preserve">International Volunteerism Organization for Women, Education and Development –VIDES, in the joint statement with Istituto Internazionale Maria Ausiliatrice delle Salesiane di Don Bosco encouraged Mexico to review its legal framework to comply with its international human rights obligations. Concerned by vulnerable groups of children, they hoped that more efforts be taken to prevent trafficking, exploitation, prostitution and involvement in organised crime of children. The organizations urged Mexico to promote quality education for all and to strengthen efforts to investigate all gender based-violence cases. </w:t>
      </w:r>
    </w:p>
    <w:p w14:paraId="46F58603" w14:textId="32B5C8A7" w:rsidR="00323457" w:rsidRPr="0059638B" w:rsidRDefault="0043516C" w:rsidP="00323457">
      <w:pPr>
        <w:pStyle w:val="SingleTxtG"/>
        <w:rPr>
          <w:sz w:val="20"/>
          <w:szCs w:val="20"/>
        </w:rPr>
      </w:pPr>
      <w:r>
        <w:rPr>
          <w:sz w:val="20"/>
          <w:szCs w:val="20"/>
        </w:rPr>
        <w:t>532</w:t>
      </w:r>
      <w:r w:rsidR="007C7678">
        <w:rPr>
          <w:sz w:val="20"/>
          <w:szCs w:val="20"/>
        </w:rPr>
        <w:t>.</w:t>
      </w:r>
      <w:r w:rsidR="007C7678">
        <w:rPr>
          <w:sz w:val="20"/>
          <w:szCs w:val="20"/>
        </w:rPr>
        <w:tab/>
      </w:r>
      <w:r w:rsidR="00323457" w:rsidRPr="0059638B">
        <w:rPr>
          <w:sz w:val="20"/>
          <w:szCs w:val="20"/>
        </w:rPr>
        <w:t>Save the Children International urged Mexico to allocate sufficient budget for child welfare and the protection of children</w:t>
      </w:r>
      <w:r w:rsidR="00D72627">
        <w:rPr>
          <w:sz w:val="20"/>
          <w:szCs w:val="20"/>
        </w:rPr>
        <w:t>’</w:t>
      </w:r>
      <w:r w:rsidR="00323457" w:rsidRPr="0059638B">
        <w:rPr>
          <w:sz w:val="20"/>
          <w:szCs w:val="20"/>
        </w:rPr>
        <w:t xml:space="preserve">s rights. It made a call to combat all forms of violence against children, women and girls; prohibit corporal punishment of children; align federal and local legislation with the General Act on the Rights of Children and Adolescents; and protect the safety and human rights of migrants, especially women and children, including those in transit. It urged Mexico to develop an action plan with specific measures under each universal periodic review recommendation, ensuring the participation of civil society in the follow up. </w:t>
      </w:r>
    </w:p>
    <w:p w14:paraId="54230BC9" w14:textId="2FC50B26" w:rsidR="00323457" w:rsidRPr="0059638B" w:rsidRDefault="0043516C" w:rsidP="00323457">
      <w:pPr>
        <w:pStyle w:val="SingleTxtG"/>
        <w:rPr>
          <w:sz w:val="20"/>
          <w:szCs w:val="20"/>
        </w:rPr>
      </w:pPr>
      <w:r>
        <w:rPr>
          <w:sz w:val="20"/>
          <w:szCs w:val="20"/>
        </w:rPr>
        <w:t>533</w:t>
      </w:r>
      <w:r w:rsidR="007C7678">
        <w:rPr>
          <w:sz w:val="20"/>
          <w:szCs w:val="20"/>
        </w:rPr>
        <w:t>.</w:t>
      </w:r>
      <w:r w:rsidR="007C7678">
        <w:rPr>
          <w:sz w:val="20"/>
          <w:szCs w:val="20"/>
        </w:rPr>
        <w:tab/>
      </w:r>
      <w:r w:rsidR="00323457" w:rsidRPr="0059638B">
        <w:rPr>
          <w:sz w:val="20"/>
          <w:szCs w:val="20"/>
        </w:rPr>
        <w:t xml:space="preserve">Christian Solidarity Worldwide was concerned by killings of religious leaders and pervading impunity. In line with some accepted recommendations, it urged Mexico to afford religious leaders the same protection along with human rights defenders. It regretted the lack of recommendations on the right to freedom of religion or belief for religious minorities and referred to measures taken by local authorities to impede this right, urging the Government to investigate these violations. It stated that children had been denied education because of their religious beliefs, and urged Mexico to grant education to all children, including children from religious minorities. </w:t>
      </w:r>
    </w:p>
    <w:p w14:paraId="5F881108" w14:textId="073F1CB7" w:rsidR="00323457" w:rsidRPr="0059638B" w:rsidRDefault="0043516C" w:rsidP="00323457">
      <w:pPr>
        <w:pStyle w:val="SingleTxtG"/>
        <w:rPr>
          <w:sz w:val="20"/>
          <w:szCs w:val="20"/>
        </w:rPr>
      </w:pPr>
      <w:r>
        <w:rPr>
          <w:sz w:val="20"/>
          <w:szCs w:val="20"/>
        </w:rPr>
        <w:t>534</w:t>
      </w:r>
      <w:r w:rsidR="007C7678">
        <w:rPr>
          <w:sz w:val="20"/>
          <w:szCs w:val="20"/>
        </w:rPr>
        <w:t>.</w:t>
      </w:r>
      <w:r w:rsidR="007C7678">
        <w:rPr>
          <w:sz w:val="20"/>
          <w:szCs w:val="20"/>
        </w:rPr>
        <w:tab/>
      </w:r>
      <w:r w:rsidR="00323457" w:rsidRPr="0059638B">
        <w:rPr>
          <w:sz w:val="20"/>
          <w:szCs w:val="20"/>
        </w:rPr>
        <w:t xml:space="preserve">International Planned Parenthood Federation, in the joint statement with Swedish Association for Sexuality Education welcomed various accepted recommendations on sexual and reproductive rights of women, including on ensuring access to legal abortion. Nevertheless, abortion continued to be criminalized and access to legal abortion was very limited. The organizations hoped that the commitment of the Government to the sexual and reproductive rights would lead to necessary legal reforms to ensure access to safe, free and legal abortion. </w:t>
      </w:r>
    </w:p>
    <w:p w14:paraId="02025925" w14:textId="0CBB630A" w:rsidR="00323457" w:rsidRPr="0059638B" w:rsidRDefault="0043516C" w:rsidP="00323457">
      <w:pPr>
        <w:pStyle w:val="SingleTxtG"/>
        <w:rPr>
          <w:sz w:val="20"/>
          <w:szCs w:val="20"/>
        </w:rPr>
      </w:pPr>
      <w:r>
        <w:rPr>
          <w:sz w:val="20"/>
          <w:szCs w:val="20"/>
        </w:rPr>
        <w:t>535</w:t>
      </w:r>
      <w:r w:rsidR="007C7678">
        <w:rPr>
          <w:sz w:val="20"/>
          <w:szCs w:val="20"/>
        </w:rPr>
        <w:t>.</w:t>
      </w:r>
      <w:r w:rsidR="007C7678">
        <w:rPr>
          <w:sz w:val="20"/>
          <w:szCs w:val="20"/>
        </w:rPr>
        <w:tab/>
      </w:r>
      <w:r w:rsidR="00323457" w:rsidRPr="0059638B">
        <w:rPr>
          <w:sz w:val="20"/>
          <w:szCs w:val="20"/>
        </w:rPr>
        <w:t xml:space="preserve">Peace Brigades International Switzerland referred to the impunity surrounding the enforced disappearance of Rosendo Radilla Pacheco after being arbitrarily detained at a military checkpoint in 1974. It called on the international community to follow up on the universal periodic review recommendations regarding the fight against impunity, and to ensure that victims and human rights defenders are involved in the design and implementation of any measure aimed at combatting impunity. </w:t>
      </w:r>
    </w:p>
    <w:p w14:paraId="2F228FDF" w14:textId="4D69E022" w:rsidR="00323457" w:rsidRPr="0059638B" w:rsidRDefault="0043516C" w:rsidP="00323457">
      <w:pPr>
        <w:pStyle w:val="SingleTxtG"/>
        <w:rPr>
          <w:sz w:val="20"/>
          <w:szCs w:val="20"/>
        </w:rPr>
      </w:pPr>
      <w:r>
        <w:rPr>
          <w:sz w:val="20"/>
          <w:szCs w:val="20"/>
        </w:rPr>
        <w:t>536</w:t>
      </w:r>
      <w:r w:rsidR="007C7678">
        <w:rPr>
          <w:sz w:val="20"/>
          <w:szCs w:val="20"/>
        </w:rPr>
        <w:t>.</w:t>
      </w:r>
      <w:r w:rsidR="007C7678">
        <w:rPr>
          <w:sz w:val="20"/>
          <w:szCs w:val="20"/>
        </w:rPr>
        <w:tab/>
      </w:r>
      <w:r w:rsidR="00323457" w:rsidRPr="0059638B">
        <w:rPr>
          <w:sz w:val="20"/>
          <w:szCs w:val="20"/>
        </w:rPr>
        <w:t xml:space="preserve">World Organisation against Torture invited Mexico to establish a national mechanism for reporting and follow up with the participation of civil society in order to ensure implementation of accepted recommendations. It considered of utmost urgency the establishment of a mechanism to combat entrenched impunity and to ensure the independence of the Prosecutor Office. It referred to the rooted practice of torture and urged Mexico to promptly adopt the National Programme against Torture. It urged Mexico to put an end to hate speech against human rights defenders and to adopt a comprehensive policy to protect </w:t>
      </w:r>
      <w:r w:rsidR="00323457" w:rsidRPr="0059638B">
        <w:rPr>
          <w:sz w:val="20"/>
          <w:szCs w:val="20"/>
        </w:rPr>
        <w:lastRenderedPageBreak/>
        <w:t xml:space="preserve">them. It called on Mexico to implement the outcome of the universal periodic review with the involvement of civil society. </w:t>
      </w:r>
    </w:p>
    <w:p w14:paraId="5BF63707" w14:textId="77926AF9" w:rsidR="00323457" w:rsidRPr="0059638B" w:rsidRDefault="0043516C" w:rsidP="00323457">
      <w:pPr>
        <w:pStyle w:val="SingleTxtG"/>
        <w:rPr>
          <w:sz w:val="20"/>
          <w:szCs w:val="20"/>
        </w:rPr>
      </w:pPr>
      <w:r>
        <w:rPr>
          <w:sz w:val="20"/>
          <w:szCs w:val="20"/>
        </w:rPr>
        <w:t>537</w:t>
      </w:r>
      <w:r w:rsidR="007C7678">
        <w:rPr>
          <w:sz w:val="20"/>
          <w:szCs w:val="20"/>
        </w:rPr>
        <w:t>.</w:t>
      </w:r>
      <w:r w:rsidR="007C7678">
        <w:rPr>
          <w:sz w:val="20"/>
          <w:szCs w:val="20"/>
        </w:rPr>
        <w:tab/>
      </w:r>
      <w:r w:rsidR="00323457" w:rsidRPr="0059638B">
        <w:rPr>
          <w:sz w:val="20"/>
          <w:szCs w:val="20"/>
        </w:rPr>
        <w:t xml:space="preserve">CIVICUS – World Alliance for Citizen Participation expressed concern at the effectiveness of the Protection Mechanism for Human Rights Defenders due to insufficient emphasis on prevention and a neglect of investigations, resulting in persistent violations against human rights defenders and impunity. It stated that journalists were routinely threatened, attacked and forced to censor themselves. There was no progress for media pluralism while criminal provisions on defamation, slander and insult were used against journalists and the media. It referred to restrictions to the right to assembly under the Interior Security Law. It called on the Government to address these concerns. </w:t>
      </w:r>
    </w:p>
    <w:p w14:paraId="0FA9F04C" w14:textId="1595035C" w:rsidR="00323457" w:rsidRPr="0059638B" w:rsidRDefault="0043516C" w:rsidP="00323457">
      <w:pPr>
        <w:pStyle w:val="SingleTxtG"/>
        <w:rPr>
          <w:sz w:val="20"/>
          <w:szCs w:val="20"/>
        </w:rPr>
      </w:pPr>
      <w:r>
        <w:rPr>
          <w:sz w:val="20"/>
          <w:szCs w:val="20"/>
        </w:rPr>
        <w:t>538</w:t>
      </w:r>
      <w:r w:rsidR="007C7678">
        <w:rPr>
          <w:sz w:val="20"/>
          <w:szCs w:val="20"/>
        </w:rPr>
        <w:t>.</w:t>
      </w:r>
      <w:r w:rsidR="007C7678">
        <w:rPr>
          <w:sz w:val="20"/>
          <w:szCs w:val="20"/>
        </w:rPr>
        <w:tab/>
      </w:r>
      <w:r w:rsidR="00323457" w:rsidRPr="0059638B">
        <w:rPr>
          <w:sz w:val="20"/>
          <w:szCs w:val="20"/>
        </w:rPr>
        <w:t xml:space="preserve">Amnesty International referred to unpunished attacks and harassment against human rights defenders and journalists, urging Mexico to prevent these attacks and to end impunity. It noted the high risk of gender-based violence against women and girls, including an alarming number of gender-based killings. It called on Mexico to amend the rules and procedures of the Gender Alert Mechanism in consultation with civil society. It suggested the development of a nation-wide registry of detentions in line with international human rights standards and called on Mexico to accept the competence of the Committee on Enforced Disappearances to consider individual communications. It finally encouraged Mexico to establish a mechanism to engage with victims and civil society in the implementation of recommendations. </w:t>
      </w:r>
    </w:p>
    <w:p w14:paraId="58762D0F" w14:textId="609D0C26" w:rsidR="00323457" w:rsidRPr="0059638B" w:rsidRDefault="0043516C" w:rsidP="00FF41A0">
      <w:pPr>
        <w:pStyle w:val="SingleTxtG"/>
        <w:rPr>
          <w:sz w:val="20"/>
          <w:szCs w:val="20"/>
        </w:rPr>
      </w:pPr>
      <w:r>
        <w:rPr>
          <w:sz w:val="20"/>
          <w:szCs w:val="20"/>
        </w:rPr>
        <w:t>539</w:t>
      </w:r>
      <w:r w:rsidR="007C7678">
        <w:rPr>
          <w:sz w:val="20"/>
          <w:szCs w:val="20"/>
        </w:rPr>
        <w:t>.</w:t>
      </w:r>
      <w:r w:rsidR="007C7678">
        <w:rPr>
          <w:sz w:val="20"/>
          <w:szCs w:val="20"/>
        </w:rPr>
        <w:tab/>
      </w:r>
      <w:r w:rsidR="00323457" w:rsidRPr="00FF41A0">
        <w:rPr>
          <w:sz w:val="20"/>
          <w:szCs w:val="20"/>
        </w:rPr>
        <w:t>Asociación Civil Comisión Mexicana de Defensa y Promoción de los Derechos Humanos</w:t>
      </w:r>
      <w:r w:rsidR="00FF41A0" w:rsidRPr="00FF41A0">
        <w:rPr>
          <w:sz w:val="20"/>
          <w:szCs w:val="20"/>
        </w:rPr>
        <w:t xml:space="preserve"> </w:t>
      </w:r>
      <w:r w:rsidR="00323457" w:rsidRPr="0059638B">
        <w:rPr>
          <w:sz w:val="20"/>
          <w:szCs w:val="20"/>
        </w:rPr>
        <w:t xml:space="preserve">referred to high levels of impunity of crimes mostly committed by the armed forces, killings of human rights defenders and journalists, and attempts to discredit the work of civil society organizations. It mentioned setbacks on the rights of women. It stated that the prevention of torture and extrajudicial killings was set aside. While welcoming efforts to ensure truth and justice in the case of Ayotzinapa, 40,000 cases of enforced disappearances remained unresolved. It urged Mexico to establish a mechanism to follow up the implementation of recommendations in cooperation with civil society. </w:t>
      </w:r>
    </w:p>
    <w:p w14:paraId="77FB2822" w14:textId="7CF54911" w:rsidR="00323457" w:rsidRPr="0059638B" w:rsidRDefault="0043516C" w:rsidP="00323457">
      <w:pPr>
        <w:pStyle w:val="SingleTxtG"/>
        <w:rPr>
          <w:sz w:val="20"/>
          <w:szCs w:val="20"/>
        </w:rPr>
      </w:pPr>
      <w:r>
        <w:rPr>
          <w:sz w:val="20"/>
          <w:szCs w:val="20"/>
        </w:rPr>
        <w:t>540</w:t>
      </w:r>
      <w:r w:rsidR="007C7678">
        <w:rPr>
          <w:sz w:val="20"/>
          <w:szCs w:val="20"/>
        </w:rPr>
        <w:t>.</w:t>
      </w:r>
      <w:r w:rsidR="007C7678">
        <w:rPr>
          <w:sz w:val="20"/>
          <w:szCs w:val="20"/>
        </w:rPr>
        <w:tab/>
      </w:r>
      <w:r w:rsidR="00323457" w:rsidRPr="0059638B">
        <w:rPr>
          <w:sz w:val="20"/>
          <w:szCs w:val="20"/>
        </w:rPr>
        <w:t xml:space="preserve">Asociacion HazteOír.org raised concerns about growing violence from organized crimes in Mexico. It called on the Government to implement universal periodic review recommendation 132.62 on respect and defend life from conception. </w:t>
      </w:r>
    </w:p>
    <w:p w14:paraId="793F971C" w14:textId="77777777" w:rsidR="00323457" w:rsidRPr="0059638B" w:rsidRDefault="00323457" w:rsidP="00323457">
      <w:pPr>
        <w:pStyle w:val="H23G"/>
        <w:ind w:left="705" w:firstLine="0"/>
        <w:rPr>
          <w:sz w:val="20"/>
          <w:szCs w:val="20"/>
        </w:rPr>
      </w:pPr>
      <w:r w:rsidRPr="0059638B">
        <w:rPr>
          <w:sz w:val="20"/>
          <w:szCs w:val="20"/>
        </w:rPr>
        <w:t>5.</w:t>
      </w:r>
      <w:r w:rsidRPr="0059638B">
        <w:rPr>
          <w:sz w:val="20"/>
          <w:szCs w:val="20"/>
        </w:rPr>
        <w:tab/>
        <w:t>Concluding remarks of the State under review</w:t>
      </w:r>
    </w:p>
    <w:p w14:paraId="359E1E96" w14:textId="7216B9EB" w:rsidR="00323457" w:rsidRPr="0059638B" w:rsidRDefault="0043516C" w:rsidP="00FF41A0">
      <w:pPr>
        <w:pStyle w:val="SingleTxtG"/>
        <w:rPr>
          <w:sz w:val="20"/>
          <w:szCs w:val="20"/>
        </w:rPr>
      </w:pPr>
      <w:r>
        <w:rPr>
          <w:sz w:val="20"/>
          <w:szCs w:val="20"/>
        </w:rPr>
        <w:t>541</w:t>
      </w:r>
      <w:r w:rsidR="007C7678">
        <w:rPr>
          <w:sz w:val="20"/>
          <w:szCs w:val="20"/>
        </w:rPr>
        <w:t>.</w:t>
      </w:r>
      <w:r w:rsidR="007C7678">
        <w:rPr>
          <w:sz w:val="20"/>
          <w:szCs w:val="20"/>
        </w:rPr>
        <w:tab/>
      </w:r>
      <w:r w:rsidR="00323457" w:rsidRPr="0059638B">
        <w:rPr>
          <w:sz w:val="20"/>
          <w:szCs w:val="20"/>
        </w:rPr>
        <w:t>The Vice-President stated that, based on the information provided, out of 264 recommendations received, 262 enjoyed the support of Mexico, and two were noted.</w:t>
      </w:r>
    </w:p>
    <w:p w14:paraId="0E083E3B" w14:textId="77777777" w:rsidR="00323457" w:rsidRPr="0059638B" w:rsidRDefault="00323457" w:rsidP="00323457">
      <w:pPr>
        <w:pStyle w:val="SingleTxtG"/>
        <w:rPr>
          <w:b/>
          <w:sz w:val="20"/>
          <w:szCs w:val="20"/>
        </w:rPr>
      </w:pPr>
      <w:r w:rsidRPr="0059638B">
        <w:rPr>
          <w:b/>
          <w:sz w:val="20"/>
          <w:szCs w:val="20"/>
        </w:rPr>
        <w:t>Mauritius</w:t>
      </w:r>
    </w:p>
    <w:p w14:paraId="7FE8BB3D" w14:textId="3C923A0B" w:rsidR="00FF41A0" w:rsidRDefault="0043516C" w:rsidP="00FF41A0">
      <w:pPr>
        <w:pStyle w:val="SingleTxtG"/>
        <w:rPr>
          <w:sz w:val="20"/>
          <w:szCs w:val="20"/>
        </w:rPr>
      </w:pPr>
      <w:r>
        <w:rPr>
          <w:sz w:val="20"/>
          <w:szCs w:val="20"/>
        </w:rPr>
        <w:t>542</w:t>
      </w:r>
      <w:r w:rsidR="007C7678">
        <w:rPr>
          <w:sz w:val="20"/>
          <w:szCs w:val="20"/>
        </w:rPr>
        <w:t>.</w:t>
      </w:r>
      <w:r w:rsidR="007C7678">
        <w:rPr>
          <w:sz w:val="20"/>
          <w:szCs w:val="20"/>
        </w:rPr>
        <w:tab/>
      </w:r>
      <w:r w:rsidR="00323457" w:rsidRPr="0059638B">
        <w:rPr>
          <w:sz w:val="20"/>
          <w:szCs w:val="20"/>
        </w:rPr>
        <w:t>The review of Mauritius was held on 7 November 2018 in conformity with all the relevant provisions contained in relevant Human Rights Council resolutions and decisions, and was bas</w:t>
      </w:r>
      <w:r w:rsidR="00FF41A0">
        <w:rPr>
          <w:sz w:val="20"/>
          <w:szCs w:val="20"/>
        </w:rPr>
        <w:t xml:space="preserve">ed on the following documents: </w:t>
      </w:r>
    </w:p>
    <w:p w14:paraId="02139CEE" w14:textId="29CEDC5E" w:rsidR="00323457" w:rsidRPr="0059638B" w:rsidRDefault="00323457" w:rsidP="00FF41A0">
      <w:pPr>
        <w:pStyle w:val="SingleTxtG"/>
        <w:ind w:firstLine="555"/>
        <w:rPr>
          <w:sz w:val="20"/>
          <w:szCs w:val="20"/>
        </w:rPr>
      </w:pPr>
      <w:r w:rsidRPr="0059638B">
        <w:rPr>
          <w:sz w:val="20"/>
          <w:szCs w:val="20"/>
        </w:rPr>
        <w:t>(a)</w:t>
      </w:r>
      <w:r w:rsidRPr="0059638B">
        <w:rPr>
          <w:sz w:val="20"/>
          <w:szCs w:val="20"/>
        </w:rPr>
        <w:tab/>
        <w:t xml:space="preserve">The national report submitted by Mauritius in accordance with paragraph 15 of the annex to Council resolution 5/1 and paragraph 5 of the annex to Council resolution 16/21 (A/HRC/WG.6/31/MUS/1); </w:t>
      </w:r>
    </w:p>
    <w:p w14:paraId="457811E1" w14:textId="67161FBE" w:rsidR="00323457" w:rsidRPr="0059638B" w:rsidRDefault="00323457" w:rsidP="00FF41A0">
      <w:pPr>
        <w:pStyle w:val="SingleTxtG"/>
        <w:ind w:firstLine="555"/>
        <w:rPr>
          <w:sz w:val="20"/>
          <w:szCs w:val="20"/>
        </w:rPr>
      </w:pPr>
      <w:r w:rsidRPr="0059638B">
        <w:rPr>
          <w:sz w:val="20"/>
          <w:szCs w:val="20"/>
        </w:rPr>
        <w:t>(b)</w:t>
      </w:r>
      <w:r w:rsidRPr="0059638B">
        <w:rPr>
          <w:sz w:val="20"/>
          <w:szCs w:val="20"/>
        </w:rPr>
        <w:tab/>
        <w:t xml:space="preserve">The compilation prepared by </w:t>
      </w:r>
      <w:r>
        <w:rPr>
          <w:sz w:val="20"/>
          <w:szCs w:val="20"/>
        </w:rPr>
        <w:t xml:space="preserve">the </w:t>
      </w:r>
      <w:r w:rsidRPr="00FF41A0">
        <w:rPr>
          <w:sz w:val="20"/>
          <w:szCs w:val="20"/>
        </w:rPr>
        <w:t>Office of the United Nations High Commissioner for Human Rights</w:t>
      </w:r>
      <w:r w:rsidRPr="0059638B">
        <w:rPr>
          <w:sz w:val="20"/>
          <w:szCs w:val="20"/>
        </w:rPr>
        <w:t xml:space="preserve"> in accordance with paragraph 15 of the annex to Council resolution 5/1 and paragraph 5 of the annex to Council resolution 16/21 (A/HRC/WG.6/31/MUS/2); </w:t>
      </w:r>
    </w:p>
    <w:p w14:paraId="2A52C028" w14:textId="48786E6E" w:rsidR="00323457" w:rsidRPr="0059638B" w:rsidRDefault="00323457" w:rsidP="00FF41A0">
      <w:pPr>
        <w:pStyle w:val="SingleTxtG"/>
        <w:ind w:firstLine="555"/>
        <w:rPr>
          <w:sz w:val="20"/>
          <w:szCs w:val="20"/>
        </w:rPr>
      </w:pPr>
      <w:r w:rsidRPr="0059638B">
        <w:rPr>
          <w:sz w:val="20"/>
          <w:szCs w:val="20"/>
        </w:rPr>
        <w:t>(c)</w:t>
      </w:r>
      <w:r w:rsidRPr="0059638B">
        <w:rPr>
          <w:sz w:val="20"/>
          <w:szCs w:val="20"/>
        </w:rPr>
        <w:tab/>
        <w:t xml:space="preserve">The summary prepared by </w:t>
      </w:r>
      <w:r>
        <w:rPr>
          <w:sz w:val="20"/>
          <w:szCs w:val="20"/>
        </w:rPr>
        <w:t xml:space="preserve">the </w:t>
      </w:r>
      <w:r w:rsidRPr="00FF41A0">
        <w:rPr>
          <w:sz w:val="20"/>
          <w:szCs w:val="20"/>
        </w:rPr>
        <w:t>Office of the United Nations High Commissioner for Human Rights</w:t>
      </w:r>
      <w:r w:rsidRPr="0059638B">
        <w:rPr>
          <w:sz w:val="20"/>
          <w:szCs w:val="20"/>
        </w:rPr>
        <w:t xml:space="preserve"> in accordance with paragraph 15 of the annex to Council resolution 5/1 and paragraph 5 of the annex to Council resolution 16/21 (A/HRC/WG.6/31/MUS/3 and A/HRC/WG.6/31/MUS/3/Corr.1).</w:t>
      </w:r>
    </w:p>
    <w:p w14:paraId="43A279BA" w14:textId="456FF94F" w:rsidR="00323457" w:rsidRPr="0059638B" w:rsidRDefault="0043516C" w:rsidP="00323457">
      <w:pPr>
        <w:pStyle w:val="SingleTxtG"/>
        <w:rPr>
          <w:sz w:val="20"/>
          <w:szCs w:val="20"/>
        </w:rPr>
      </w:pPr>
      <w:r>
        <w:rPr>
          <w:sz w:val="20"/>
          <w:szCs w:val="20"/>
        </w:rPr>
        <w:lastRenderedPageBreak/>
        <w:t>543</w:t>
      </w:r>
      <w:r w:rsidR="007C7678">
        <w:rPr>
          <w:sz w:val="20"/>
          <w:szCs w:val="20"/>
        </w:rPr>
        <w:t>.</w:t>
      </w:r>
      <w:r w:rsidR="007C7678">
        <w:rPr>
          <w:sz w:val="20"/>
          <w:szCs w:val="20"/>
        </w:rPr>
        <w:tab/>
      </w:r>
      <w:r w:rsidR="00323457" w:rsidRPr="0059638B">
        <w:rPr>
          <w:sz w:val="20"/>
          <w:szCs w:val="20"/>
        </w:rPr>
        <w:t>At its 36th meeting, on 14 March 2019, the Human Rights Council considered and adopted the outcome of the review of Mauritius (see sect. C below).</w:t>
      </w:r>
    </w:p>
    <w:p w14:paraId="4B249B14" w14:textId="4CD85927" w:rsidR="00323457" w:rsidRPr="0059638B" w:rsidRDefault="0043516C" w:rsidP="00323457">
      <w:pPr>
        <w:pStyle w:val="SingleTxtG"/>
        <w:rPr>
          <w:sz w:val="20"/>
          <w:szCs w:val="20"/>
        </w:rPr>
      </w:pPr>
      <w:r>
        <w:rPr>
          <w:sz w:val="20"/>
          <w:szCs w:val="20"/>
        </w:rPr>
        <w:t>544</w:t>
      </w:r>
      <w:r w:rsidR="007C7678">
        <w:rPr>
          <w:sz w:val="20"/>
          <w:szCs w:val="20"/>
        </w:rPr>
        <w:t>.</w:t>
      </w:r>
      <w:r w:rsidR="007C7678">
        <w:rPr>
          <w:sz w:val="20"/>
          <w:szCs w:val="20"/>
        </w:rPr>
        <w:tab/>
      </w:r>
      <w:r w:rsidR="00323457" w:rsidRPr="0059638B">
        <w:rPr>
          <w:sz w:val="20"/>
          <w:szCs w:val="20"/>
        </w:rPr>
        <w:t>The outcome of the review of Mauritius comprises the report of the Working Group on the Universal Periodic Review (A/HRC/40/9) and the views of Mauritius concerning the recommendations and/or conclusions, as well as its voluntary commitments and its replies to questions or issues that were not sufficiently addressed during the interactive dialogue in the Working Group, and which were presented before the adoption of the outcome by the plenary (see also A/HRC/40/9/Add.1).</w:t>
      </w:r>
    </w:p>
    <w:p w14:paraId="565E252E" w14:textId="77777777" w:rsidR="00323457" w:rsidRPr="0059638B" w:rsidRDefault="00323457" w:rsidP="00323457">
      <w:pPr>
        <w:pStyle w:val="H23G"/>
        <w:rPr>
          <w:sz w:val="20"/>
          <w:szCs w:val="20"/>
        </w:rPr>
      </w:pPr>
      <w:r w:rsidRPr="0059638B">
        <w:rPr>
          <w:sz w:val="20"/>
          <w:szCs w:val="20"/>
        </w:rPr>
        <w:tab/>
        <w:t>1.</w:t>
      </w:r>
      <w:r w:rsidRPr="0059638B">
        <w:rPr>
          <w:sz w:val="20"/>
          <w:szCs w:val="20"/>
        </w:rPr>
        <w:tab/>
        <w:t>Views expressed by the State under review on the recommendations and/or conclusions, its voluntary commitments and the outcome</w:t>
      </w:r>
    </w:p>
    <w:p w14:paraId="74C54A85" w14:textId="151B11BC" w:rsidR="00323457" w:rsidRPr="0059638B" w:rsidRDefault="00430617" w:rsidP="00323457">
      <w:pPr>
        <w:pStyle w:val="SingleTxtG"/>
        <w:rPr>
          <w:sz w:val="20"/>
          <w:szCs w:val="20"/>
        </w:rPr>
      </w:pPr>
      <w:r>
        <w:rPr>
          <w:sz w:val="20"/>
          <w:szCs w:val="20"/>
        </w:rPr>
        <w:t>545</w:t>
      </w:r>
      <w:r w:rsidR="007C7678">
        <w:rPr>
          <w:sz w:val="20"/>
          <w:szCs w:val="20"/>
        </w:rPr>
        <w:t>.</w:t>
      </w:r>
      <w:r w:rsidR="007C7678">
        <w:rPr>
          <w:sz w:val="20"/>
          <w:szCs w:val="20"/>
        </w:rPr>
        <w:tab/>
      </w:r>
      <w:r w:rsidR="00323457" w:rsidRPr="0059638B">
        <w:rPr>
          <w:sz w:val="20"/>
          <w:szCs w:val="20"/>
        </w:rPr>
        <w:t>The delegation of Mauritius expressed its appreciation to Member States for their participation, constructive recommendations and recognition of the progress achieved so far. The delegation reported that it had taken home all 176 recommendations received during its universal periodic review. After consultation with stakeholders through the National Mechanism for Reporting and Follow-Up, it had accepted 133 of the recommendations.</w:t>
      </w:r>
    </w:p>
    <w:p w14:paraId="4FC8D756" w14:textId="0CE06243" w:rsidR="00323457" w:rsidRPr="0059638B" w:rsidRDefault="00430617" w:rsidP="00323457">
      <w:pPr>
        <w:pStyle w:val="SingleTxtG"/>
        <w:rPr>
          <w:sz w:val="20"/>
          <w:szCs w:val="20"/>
        </w:rPr>
      </w:pPr>
      <w:r>
        <w:rPr>
          <w:sz w:val="20"/>
          <w:szCs w:val="20"/>
        </w:rPr>
        <w:t>546</w:t>
      </w:r>
      <w:r w:rsidR="007C7678">
        <w:rPr>
          <w:sz w:val="20"/>
          <w:szCs w:val="20"/>
        </w:rPr>
        <w:t>.</w:t>
      </w:r>
      <w:r w:rsidR="007C7678">
        <w:rPr>
          <w:sz w:val="20"/>
          <w:szCs w:val="20"/>
        </w:rPr>
        <w:tab/>
      </w:r>
      <w:r w:rsidR="00323457" w:rsidRPr="0059638B">
        <w:rPr>
          <w:sz w:val="20"/>
          <w:szCs w:val="20"/>
        </w:rPr>
        <w:t>The delegation noted that Mauritius proposed to accede to and ratify the Convention on the Prevention and Punishment of the Crime of Genocide shortly and it was considering acceding to the two Protocols of the African Charter on Human and Peoples</w:t>
      </w:r>
      <w:r w:rsidR="00D72627">
        <w:rPr>
          <w:sz w:val="20"/>
          <w:szCs w:val="20"/>
        </w:rPr>
        <w:t>’</w:t>
      </w:r>
      <w:r w:rsidR="00323457" w:rsidRPr="0059638B">
        <w:rPr>
          <w:sz w:val="20"/>
          <w:szCs w:val="20"/>
        </w:rPr>
        <w:t xml:space="preserve"> Rights on the Rights of Older Persons and on the Rights of Persons with Disabilities in Africa.</w:t>
      </w:r>
    </w:p>
    <w:p w14:paraId="66F9E45E" w14:textId="47533EBA" w:rsidR="00323457" w:rsidRPr="0059638B" w:rsidRDefault="00430617" w:rsidP="00323457">
      <w:pPr>
        <w:pStyle w:val="SingleTxtG"/>
        <w:rPr>
          <w:sz w:val="20"/>
          <w:szCs w:val="20"/>
        </w:rPr>
      </w:pPr>
      <w:r>
        <w:rPr>
          <w:sz w:val="20"/>
          <w:szCs w:val="20"/>
        </w:rPr>
        <w:t>547</w:t>
      </w:r>
      <w:r w:rsidR="007C7678">
        <w:rPr>
          <w:sz w:val="20"/>
          <w:szCs w:val="20"/>
        </w:rPr>
        <w:t>.</w:t>
      </w:r>
      <w:r w:rsidR="007C7678">
        <w:rPr>
          <w:sz w:val="20"/>
          <w:szCs w:val="20"/>
        </w:rPr>
        <w:tab/>
      </w:r>
      <w:r w:rsidR="00323457" w:rsidRPr="0059638B">
        <w:rPr>
          <w:sz w:val="20"/>
          <w:szCs w:val="20"/>
        </w:rPr>
        <w:t>The delegation stressed that the national human rights institutions would continue to be provided with adequate means, and would continue to operate in full independence and play a prominent role in raising awareness on human rights. An Independent Police Complaint Commission had been set in 2018 and the Police and Criminal Justice Bill, aiming at the review of the powers of the Police and protection of the citizens, would be introduced in the National Assembly soon.</w:t>
      </w:r>
    </w:p>
    <w:p w14:paraId="1BBADA18" w14:textId="1532B5D9" w:rsidR="00323457" w:rsidRPr="0059638B" w:rsidRDefault="00430617" w:rsidP="00323457">
      <w:pPr>
        <w:pStyle w:val="SingleTxtG"/>
        <w:rPr>
          <w:sz w:val="20"/>
          <w:szCs w:val="20"/>
        </w:rPr>
      </w:pPr>
      <w:r>
        <w:rPr>
          <w:sz w:val="20"/>
          <w:szCs w:val="20"/>
        </w:rPr>
        <w:t>548</w:t>
      </w:r>
      <w:r w:rsidR="007C7678">
        <w:rPr>
          <w:sz w:val="20"/>
          <w:szCs w:val="20"/>
        </w:rPr>
        <w:t>.</w:t>
      </w:r>
      <w:r w:rsidR="007C7678">
        <w:rPr>
          <w:sz w:val="20"/>
          <w:szCs w:val="20"/>
        </w:rPr>
        <w:tab/>
      </w:r>
      <w:r w:rsidR="00323457" w:rsidRPr="0059638B">
        <w:rPr>
          <w:sz w:val="20"/>
          <w:szCs w:val="20"/>
        </w:rPr>
        <w:t xml:space="preserve">Concerning the climate change, the delegation stressed that, in view of its vulnerability, Mauritius would continue to implement preventive measures, provide more protection and mitigate the impact of climate change through the Disaster Risk Reduction and Management Centre. </w:t>
      </w:r>
    </w:p>
    <w:p w14:paraId="6A4D8C6E" w14:textId="1802099E" w:rsidR="00323457" w:rsidRPr="0059638B" w:rsidRDefault="00430617" w:rsidP="00323457">
      <w:pPr>
        <w:pStyle w:val="SingleTxtG"/>
        <w:rPr>
          <w:sz w:val="20"/>
          <w:szCs w:val="20"/>
        </w:rPr>
      </w:pPr>
      <w:r>
        <w:rPr>
          <w:sz w:val="20"/>
          <w:szCs w:val="20"/>
        </w:rPr>
        <w:t>549</w:t>
      </w:r>
      <w:r w:rsidR="007C7678">
        <w:rPr>
          <w:sz w:val="20"/>
          <w:szCs w:val="20"/>
        </w:rPr>
        <w:t>.</w:t>
      </w:r>
      <w:r w:rsidR="007C7678">
        <w:rPr>
          <w:sz w:val="20"/>
          <w:szCs w:val="20"/>
        </w:rPr>
        <w:tab/>
      </w:r>
      <w:r w:rsidR="00323457" w:rsidRPr="0059638B">
        <w:rPr>
          <w:sz w:val="20"/>
          <w:szCs w:val="20"/>
        </w:rPr>
        <w:t>Stressing the importance of the fight against trafficking in human beings, the delegation noted that a National Action Plan to Combat Trafficking in Persons was being finalized. A Know Your Rights Pamphlet, in various languages, for migrant workers would be launched later this month. Mauritius would intensify sensitization campaigns to protect children from all forms of exploitation and to provide adequate care, protection and facilities to the victims of trafficking in persons.</w:t>
      </w:r>
    </w:p>
    <w:p w14:paraId="3C113D44" w14:textId="5C3AD474" w:rsidR="00323457" w:rsidRPr="0059638B" w:rsidRDefault="00430617" w:rsidP="00323457">
      <w:pPr>
        <w:pStyle w:val="SingleTxtG"/>
        <w:rPr>
          <w:sz w:val="20"/>
          <w:szCs w:val="20"/>
        </w:rPr>
      </w:pPr>
      <w:r>
        <w:rPr>
          <w:sz w:val="20"/>
          <w:szCs w:val="20"/>
        </w:rPr>
        <w:t>550</w:t>
      </w:r>
      <w:r w:rsidR="007C7678">
        <w:rPr>
          <w:sz w:val="20"/>
          <w:szCs w:val="20"/>
        </w:rPr>
        <w:t>.</w:t>
      </w:r>
      <w:r w:rsidR="007C7678">
        <w:rPr>
          <w:sz w:val="20"/>
          <w:szCs w:val="20"/>
        </w:rPr>
        <w:tab/>
      </w:r>
      <w:r w:rsidR="00323457" w:rsidRPr="0059638B">
        <w:rPr>
          <w:sz w:val="20"/>
          <w:szCs w:val="20"/>
        </w:rPr>
        <w:t>With regard to its efforts to fight against poverty, the delegation noted that Mauritius introduced the minimum wage, which would be revised periodically. The State services would continue to improve and be accessible to the population at large with due consideration to the elderly, persons with disabilities and other vulnerable groups.</w:t>
      </w:r>
    </w:p>
    <w:p w14:paraId="7C68235B" w14:textId="3EBA2737" w:rsidR="00323457" w:rsidRPr="0059638B" w:rsidRDefault="00430617" w:rsidP="00323457">
      <w:pPr>
        <w:pStyle w:val="SingleTxtG"/>
        <w:rPr>
          <w:sz w:val="20"/>
          <w:szCs w:val="20"/>
        </w:rPr>
      </w:pPr>
      <w:r>
        <w:rPr>
          <w:sz w:val="20"/>
          <w:szCs w:val="20"/>
        </w:rPr>
        <w:t>551</w:t>
      </w:r>
      <w:r w:rsidR="007C7678">
        <w:rPr>
          <w:sz w:val="20"/>
          <w:szCs w:val="20"/>
        </w:rPr>
        <w:t>.</w:t>
      </w:r>
      <w:r w:rsidR="007C7678">
        <w:rPr>
          <w:sz w:val="20"/>
          <w:szCs w:val="20"/>
        </w:rPr>
        <w:tab/>
      </w:r>
      <w:r w:rsidR="00323457" w:rsidRPr="0059638B">
        <w:rPr>
          <w:sz w:val="20"/>
          <w:szCs w:val="20"/>
        </w:rPr>
        <w:t>Mauritius accepted all 32 recommendations concerning children. According to the delegation, the Children</w:t>
      </w:r>
      <w:r w:rsidR="00D72627">
        <w:rPr>
          <w:sz w:val="20"/>
          <w:szCs w:val="20"/>
        </w:rPr>
        <w:t>’</w:t>
      </w:r>
      <w:r w:rsidR="00323457" w:rsidRPr="0059638B">
        <w:rPr>
          <w:sz w:val="20"/>
          <w:szCs w:val="20"/>
        </w:rPr>
        <w:t>s Bill would address issues such as age of marriage, while the legal mechanism to protect the rights of children would be strengthened further. Facilities adaptable to the needs of children with disabilities and their integration would also be provided. Children and youth would be further empowered to enable them to succeed in life.</w:t>
      </w:r>
    </w:p>
    <w:p w14:paraId="4221491A" w14:textId="5496670D" w:rsidR="00323457" w:rsidRPr="0059638B" w:rsidRDefault="00430617" w:rsidP="00323457">
      <w:pPr>
        <w:pStyle w:val="SingleTxtG"/>
        <w:rPr>
          <w:sz w:val="20"/>
          <w:szCs w:val="20"/>
        </w:rPr>
      </w:pPr>
      <w:r>
        <w:rPr>
          <w:sz w:val="20"/>
          <w:szCs w:val="20"/>
        </w:rPr>
        <w:t>552</w:t>
      </w:r>
      <w:r w:rsidR="007C7678">
        <w:rPr>
          <w:sz w:val="20"/>
          <w:szCs w:val="20"/>
        </w:rPr>
        <w:t>.</w:t>
      </w:r>
      <w:r w:rsidR="007C7678">
        <w:rPr>
          <w:sz w:val="20"/>
          <w:szCs w:val="20"/>
        </w:rPr>
        <w:tab/>
      </w:r>
      <w:r w:rsidR="00323457" w:rsidRPr="0059638B">
        <w:rPr>
          <w:sz w:val="20"/>
          <w:szCs w:val="20"/>
        </w:rPr>
        <w:t>Concerning the empowerment of women, the delegation stated that Mauritius was committed to further removing barriers, intensifying efforts for empowerment and active participation of women in political life, as well as addressing violence against women from all perspectives.</w:t>
      </w:r>
    </w:p>
    <w:p w14:paraId="11FE4BC8" w14:textId="01C5C33D" w:rsidR="00323457" w:rsidRPr="0059638B" w:rsidRDefault="00430617" w:rsidP="00323457">
      <w:pPr>
        <w:pStyle w:val="SingleTxtG"/>
        <w:rPr>
          <w:sz w:val="20"/>
          <w:szCs w:val="20"/>
        </w:rPr>
      </w:pPr>
      <w:r>
        <w:rPr>
          <w:sz w:val="20"/>
          <w:szCs w:val="20"/>
        </w:rPr>
        <w:lastRenderedPageBreak/>
        <w:t>553</w:t>
      </w:r>
      <w:r w:rsidR="007C7678">
        <w:rPr>
          <w:sz w:val="20"/>
          <w:szCs w:val="20"/>
        </w:rPr>
        <w:t>.</w:t>
      </w:r>
      <w:r w:rsidR="007C7678">
        <w:rPr>
          <w:sz w:val="20"/>
          <w:szCs w:val="20"/>
        </w:rPr>
        <w:tab/>
      </w:r>
      <w:r w:rsidR="00323457" w:rsidRPr="0059638B">
        <w:rPr>
          <w:sz w:val="20"/>
          <w:szCs w:val="20"/>
        </w:rPr>
        <w:t>The delegation noted that education was compulsory till the age of 16 years. The primary, secondary and, since January 2019, tertiary level education was free. Human rights education was also part of the school curriculum.</w:t>
      </w:r>
    </w:p>
    <w:p w14:paraId="63ADE942" w14:textId="5BFE80BB" w:rsidR="00323457" w:rsidRPr="0059638B" w:rsidRDefault="00430617" w:rsidP="00323457">
      <w:pPr>
        <w:pStyle w:val="SingleTxtG"/>
        <w:rPr>
          <w:sz w:val="20"/>
          <w:szCs w:val="20"/>
        </w:rPr>
      </w:pPr>
      <w:r>
        <w:rPr>
          <w:sz w:val="20"/>
          <w:szCs w:val="20"/>
        </w:rPr>
        <w:t>554</w:t>
      </w:r>
      <w:r w:rsidR="007C7678">
        <w:rPr>
          <w:sz w:val="20"/>
          <w:szCs w:val="20"/>
        </w:rPr>
        <w:t>.</w:t>
      </w:r>
      <w:r w:rsidR="007C7678">
        <w:rPr>
          <w:sz w:val="20"/>
          <w:szCs w:val="20"/>
        </w:rPr>
        <w:tab/>
      </w:r>
      <w:r w:rsidR="00323457" w:rsidRPr="0059638B">
        <w:rPr>
          <w:sz w:val="20"/>
          <w:szCs w:val="20"/>
        </w:rPr>
        <w:t>Concerning the 43 recommendations, which were noted, the delegation reported that 25 of them related to ratification / accession to international human rights instruments and framework. Mauritius was not party to the Second Optional Protocol to the International Covenant on Civil and Political Rights, as it had abolished the death penalty by way of enactment of the Abolition of Death Penalty Act in 1995. It was also not a signatory to the International Convention on the Protection of the Rights of All Migrant Workers and Members of Their Families, but it applied the essence of the Convention in cases of disputes between migrant workers and their employers. Migrant workers coming to Mauritius were allowed to come with their families, except for low skilled workers. The delegation explained that the main reason for this being the small size of the country and being among the most densely-populated island states. It noted that the limited resources would not allow it to provide the required core basic services.</w:t>
      </w:r>
    </w:p>
    <w:p w14:paraId="21DA6C42" w14:textId="51055CB6" w:rsidR="00323457" w:rsidRPr="0059638B" w:rsidRDefault="00430617" w:rsidP="00323457">
      <w:pPr>
        <w:pStyle w:val="SingleTxtG"/>
        <w:rPr>
          <w:sz w:val="20"/>
          <w:szCs w:val="20"/>
        </w:rPr>
      </w:pPr>
      <w:r>
        <w:rPr>
          <w:sz w:val="20"/>
          <w:szCs w:val="20"/>
        </w:rPr>
        <w:t>555</w:t>
      </w:r>
      <w:r w:rsidR="007C7678">
        <w:rPr>
          <w:sz w:val="20"/>
          <w:szCs w:val="20"/>
        </w:rPr>
        <w:t>.</w:t>
      </w:r>
      <w:r w:rsidR="007C7678">
        <w:rPr>
          <w:sz w:val="20"/>
          <w:szCs w:val="20"/>
        </w:rPr>
        <w:tab/>
      </w:r>
      <w:r w:rsidR="00323457" w:rsidRPr="0059638B">
        <w:rPr>
          <w:sz w:val="20"/>
          <w:szCs w:val="20"/>
        </w:rPr>
        <w:t xml:space="preserve">The delegation stated that, although Mauritius was not proposing to accede to the 1951 Convention relating to the Status of Refugees, it fully adhered to the principle of </w:t>
      </w:r>
      <w:r w:rsidR="00323457" w:rsidRPr="0059638B">
        <w:rPr>
          <w:i/>
          <w:sz w:val="20"/>
          <w:szCs w:val="20"/>
        </w:rPr>
        <w:t xml:space="preserve">non-refoulement </w:t>
      </w:r>
      <w:r w:rsidR="00323457" w:rsidRPr="0059638B">
        <w:rPr>
          <w:sz w:val="20"/>
          <w:szCs w:val="20"/>
        </w:rPr>
        <w:t>and treated asylum requests on a humanitarian and case-to-case basis by facilitating resettlement in a country willing to grant refugee status. Similarly, Mauritius did not envisage acceding to the Convention relating to the Status of Stateless Persons and the Convention on the Reduction of Statelessness as its existing legislation contained adequate provisions to protect from and reduce statelessness.</w:t>
      </w:r>
    </w:p>
    <w:p w14:paraId="5377ED4D" w14:textId="50510464" w:rsidR="00323457" w:rsidRPr="0059638B" w:rsidRDefault="00430617" w:rsidP="00323457">
      <w:pPr>
        <w:pStyle w:val="SingleTxtG"/>
        <w:rPr>
          <w:sz w:val="20"/>
          <w:szCs w:val="20"/>
        </w:rPr>
      </w:pPr>
      <w:r>
        <w:rPr>
          <w:sz w:val="20"/>
          <w:szCs w:val="20"/>
        </w:rPr>
        <w:t>556</w:t>
      </w:r>
      <w:r w:rsidR="007C7678">
        <w:rPr>
          <w:sz w:val="20"/>
          <w:szCs w:val="20"/>
        </w:rPr>
        <w:t>.</w:t>
      </w:r>
      <w:r w:rsidR="007C7678">
        <w:rPr>
          <w:sz w:val="20"/>
          <w:szCs w:val="20"/>
        </w:rPr>
        <w:tab/>
      </w:r>
      <w:r w:rsidR="00323457" w:rsidRPr="0059638B">
        <w:rPr>
          <w:sz w:val="20"/>
          <w:szCs w:val="20"/>
        </w:rPr>
        <w:t xml:space="preserve">The delegation stated that Mauritius did not envisage acceding to the International Convention for the Protection of All Persons from Enforced Disappearance, as there were no cases of enforced disappearance being perpetrated or tolerated in Mauritius. </w:t>
      </w:r>
      <w:r w:rsidR="00323457" w:rsidRPr="0059638B">
        <w:rPr>
          <w:bCs/>
          <w:sz w:val="20"/>
          <w:szCs w:val="20"/>
        </w:rPr>
        <w:t xml:space="preserve">The accession to the </w:t>
      </w:r>
      <w:r w:rsidR="00323457" w:rsidRPr="0059638B">
        <w:rPr>
          <w:sz w:val="20"/>
          <w:szCs w:val="20"/>
        </w:rPr>
        <w:t xml:space="preserve">Optional Protocol to the International Covenant on Economic, Social and Cultural Rights </w:t>
      </w:r>
      <w:r w:rsidR="00323457" w:rsidRPr="0059638B">
        <w:rPr>
          <w:bCs/>
          <w:sz w:val="20"/>
          <w:szCs w:val="20"/>
        </w:rPr>
        <w:t>wa</w:t>
      </w:r>
      <w:r w:rsidR="00323457" w:rsidRPr="0059638B">
        <w:rPr>
          <w:sz w:val="20"/>
          <w:szCs w:val="20"/>
        </w:rPr>
        <w:t>s also not on the agenda as adequate avenues of redress were already in place in its legal system. The ratification of the Indigenous and Tribal Peoples Convention, 1989, No. 169 of the International Labour Organisation, was noted as being not relevant to its local context.</w:t>
      </w:r>
    </w:p>
    <w:p w14:paraId="3AD78E32" w14:textId="0CE2CB89" w:rsidR="00323457" w:rsidRPr="0059638B" w:rsidRDefault="00430617" w:rsidP="00323457">
      <w:pPr>
        <w:pStyle w:val="SingleTxtG"/>
        <w:rPr>
          <w:sz w:val="20"/>
          <w:szCs w:val="20"/>
        </w:rPr>
      </w:pPr>
      <w:r>
        <w:rPr>
          <w:sz w:val="20"/>
          <w:szCs w:val="20"/>
        </w:rPr>
        <w:t>557</w:t>
      </w:r>
      <w:r w:rsidR="007C7678">
        <w:rPr>
          <w:sz w:val="20"/>
          <w:szCs w:val="20"/>
        </w:rPr>
        <w:t>.</w:t>
      </w:r>
      <w:r w:rsidR="007C7678">
        <w:rPr>
          <w:sz w:val="20"/>
          <w:szCs w:val="20"/>
        </w:rPr>
        <w:tab/>
      </w:r>
      <w:r w:rsidR="00323457" w:rsidRPr="0059638B">
        <w:rPr>
          <w:sz w:val="20"/>
          <w:szCs w:val="20"/>
        </w:rPr>
        <w:t>As regards the recommendation for the standing invitation to the special procedures of the Human Rights Council, the delegation noted that Mauritius would rather consider issuing invitations on a case-by-case basis, at mutually agreed dates.</w:t>
      </w:r>
    </w:p>
    <w:p w14:paraId="7A76EB3A" w14:textId="33FB69E3" w:rsidR="00323457" w:rsidRPr="0059638B" w:rsidRDefault="00430617" w:rsidP="00323457">
      <w:pPr>
        <w:pStyle w:val="SingleTxtG"/>
        <w:rPr>
          <w:sz w:val="20"/>
          <w:szCs w:val="20"/>
        </w:rPr>
      </w:pPr>
      <w:r>
        <w:rPr>
          <w:sz w:val="20"/>
          <w:szCs w:val="20"/>
        </w:rPr>
        <w:t>558</w:t>
      </w:r>
      <w:r w:rsidR="007C7678">
        <w:rPr>
          <w:sz w:val="20"/>
          <w:szCs w:val="20"/>
        </w:rPr>
        <w:t>.</w:t>
      </w:r>
      <w:r w:rsidR="007C7678">
        <w:rPr>
          <w:sz w:val="20"/>
          <w:szCs w:val="20"/>
        </w:rPr>
        <w:tab/>
      </w:r>
      <w:r w:rsidR="00323457" w:rsidRPr="0059638B">
        <w:rPr>
          <w:sz w:val="20"/>
          <w:szCs w:val="20"/>
        </w:rPr>
        <w:t>Concerning the adoption of an open, merit-based selection process when selecting national candidates for United Nations treaty body elections, Mauritius would look into the advisability of widening the profiles of future Mauritian candidates.</w:t>
      </w:r>
    </w:p>
    <w:p w14:paraId="3F2B12D2" w14:textId="1DB5F403" w:rsidR="00323457" w:rsidRPr="0059638B" w:rsidRDefault="00430617" w:rsidP="00323457">
      <w:pPr>
        <w:pStyle w:val="SingleTxtG"/>
        <w:rPr>
          <w:sz w:val="20"/>
          <w:szCs w:val="20"/>
        </w:rPr>
      </w:pPr>
      <w:r>
        <w:rPr>
          <w:sz w:val="20"/>
          <w:szCs w:val="20"/>
        </w:rPr>
        <w:t>559</w:t>
      </w:r>
      <w:r w:rsidR="007C7678">
        <w:rPr>
          <w:sz w:val="20"/>
          <w:szCs w:val="20"/>
        </w:rPr>
        <w:t>.</w:t>
      </w:r>
      <w:r w:rsidR="007C7678">
        <w:rPr>
          <w:sz w:val="20"/>
          <w:szCs w:val="20"/>
        </w:rPr>
        <w:tab/>
      </w:r>
      <w:r w:rsidR="00323457" w:rsidRPr="0059638B">
        <w:rPr>
          <w:sz w:val="20"/>
          <w:szCs w:val="20"/>
        </w:rPr>
        <w:t>Concerning the reservations under the Convention for the Elimination of All Forms of Discrimination against Women, the delegation stated that Mauritius was not in a position to withdraw them. The signing of the Southern African Development Community Protocol on Gender and Development could be envisaged after passing of the Children</w:t>
      </w:r>
      <w:r w:rsidR="00D72627">
        <w:rPr>
          <w:sz w:val="20"/>
          <w:szCs w:val="20"/>
        </w:rPr>
        <w:t>’</w:t>
      </w:r>
      <w:r w:rsidR="00323457" w:rsidRPr="0059638B">
        <w:rPr>
          <w:sz w:val="20"/>
          <w:szCs w:val="20"/>
        </w:rPr>
        <w:t>s Bill in the National Assembly.</w:t>
      </w:r>
    </w:p>
    <w:p w14:paraId="727DDAC7" w14:textId="58D116D3" w:rsidR="00323457" w:rsidRPr="0059638B" w:rsidRDefault="00430617" w:rsidP="00323457">
      <w:pPr>
        <w:pStyle w:val="SingleTxtG"/>
        <w:rPr>
          <w:sz w:val="20"/>
          <w:szCs w:val="20"/>
        </w:rPr>
      </w:pPr>
      <w:r>
        <w:rPr>
          <w:sz w:val="20"/>
          <w:szCs w:val="20"/>
        </w:rPr>
        <w:t>560</w:t>
      </w:r>
      <w:r w:rsidR="007C7678">
        <w:rPr>
          <w:sz w:val="20"/>
          <w:szCs w:val="20"/>
        </w:rPr>
        <w:t>.</w:t>
      </w:r>
      <w:r w:rsidR="007C7678">
        <w:rPr>
          <w:sz w:val="20"/>
          <w:szCs w:val="20"/>
        </w:rPr>
        <w:tab/>
      </w:r>
      <w:r w:rsidR="00323457" w:rsidRPr="0059638B">
        <w:rPr>
          <w:sz w:val="20"/>
          <w:szCs w:val="20"/>
        </w:rPr>
        <w:t>With regard to the recommendations pertaining to the LGBTI community, combating and prohibition of discrimination based on sexual orientation and gender identity and repealing of Section 250 of the Criminal Code, the delegation assured that Mauritius would take initiatives for the recognition of the rights of LGBTI persons. Legislative reforms would be introduced once there was a general consensus, taking into consideration the social fabric of the country. Technical assistance from the Human Dignity Trust was secured for this purpose.</w:t>
      </w:r>
    </w:p>
    <w:p w14:paraId="613EF1FC" w14:textId="01E11275" w:rsidR="00323457" w:rsidRPr="0059638B" w:rsidRDefault="00430617" w:rsidP="00323457">
      <w:pPr>
        <w:pStyle w:val="SingleTxtG"/>
        <w:rPr>
          <w:sz w:val="20"/>
          <w:szCs w:val="20"/>
        </w:rPr>
      </w:pPr>
      <w:r>
        <w:rPr>
          <w:sz w:val="20"/>
          <w:szCs w:val="20"/>
        </w:rPr>
        <w:t>561</w:t>
      </w:r>
      <w:r w:rsidR="007C7678">
        <w:rPr>
          <w:sz w:val="20"/>
          <w:szCs w:val="20"/>
        </w:rPr>
        <w:t>.</w:t>
      </w:r>
      <w:r w:rsidR="007C7678">
        <w:rPr>
          <w:sz w:val="20"/>
          <w:szCs w:val="20"/>
        </w:rPr>
        <w:tab/>
      </w:r>
      <w:r w:rsidR="00323457" w:rsidRPr="0059638B">
        <w:rPr>
          <w:sz w:val="20"/>
          <w:szCs w:val="20"/>
        </w:rPr>
        <w:t>The delegation noted that Mauritius did not propose to amend the Criminal Code to allow the voluntary termination of pregnancy as Section 235 of the Criminal Code, which authorized the termination of pregnancy, was adequate in its local context.</w:t>
      </w:r>
    </w:p>
    <w:p w14:paraId="2671AC99" w14:textId="23E3935B" w:rsidR="00323457" w:rsidRPr="0059638B" w:rsidRDefault="00430617" w:rsidP="00323457">
      <w:pPr>
        <w:pStyle w:val="SingleTxtG"/>
        <w:rPr>
          <w:sz w:val="20"/>
          <w:szCs w:val="20"/>
        </w:rPr>
      </w:pPr>
      <w:r>
        <w:rPr>
          <w:sz w:val="20"/>
          <w:szCs w:val="20"/>
        </w:rPr>
        <w:lastRenderedPageBreak/>
        <w:t>562</w:t>
      </w:r>
      <w:r w:rsidR="007C7678">
        <w:rPr>
          <w:sz w:val="20"/>
          <w:szCs w:val="20"/>
        </w:rPr>
        <w:t>.</w:t>
      </w:r>
      <w:r w:rsidR="007C7678">
        <w:rPr>
          <w:sz w:val="20"/>
          <w:szCs w:val="20"/>
        </w:rPr>
        <w:tab/>
      </w:r>
      <w:r w:rsidR="00323457" w:rsidRPr="0059638B">
        <w:rPr>
          <w:sz w:val="20"/>
          <w:szCs w:val="20"/>
        </w:rPr>
        <w:t>The delegation referred to the advisory opinion on the Legal Consequences of the Separation of the Chagos Archipelago from Mauritius in 1965, delivered by the International Court of Justice on 25 February 2019. The Court was of the opinion that the process of decolonization of Mauritius was not lawfully completed when Mauritius acceded to independence in 1968, following the separation of the Chagos Archipelago, and that the United Kingdom of Great Britain and Northern Ireland was under an obligation to bring to an end its administration of the Chagos Archipelago as rapidly as possible. The Court was also of the opinion that all Member States were under an obligation to co-operate with the United Nations in order to complete the decolonization of Mauritius.</w:t>
      </w:r>
    </w:p>
    <w:p w14:paraId="71F727FF" w14:textId="77777777" w:rsidR="00323457" w:rsidRPr="0059638B" w:rsidRDefault="00323457" w:rsidP="00323457">
      <w:pPr>
        <w:pStyle w:val="H23G"/>
        <w:rPr>
          <w:sz w:val="20"/>
          <w:szCs w:val="20"/>
        </w:rPr>
      </w:pPr>
      <w:r w:rsidRPr="0059638B">
        <w:rPr>
          <w:sz w:val="20"/>
          <w:szCs w:val="20"/>
        </w:rPr>
        <w:tab/>
        <w:t>2.</w:t>
      </w:r>
      <w:r w:rsidRPr="0059638B">
        <w:rPr>
          <w:sz w:val="20"/>
          <w:szCs w:val="20"/>
        </w:rPr>
        <w:tab/>
        <w:t xml:space="preserve">Views expressed by Member and observer States of the Council on the outcome of the review </w:t>
      </w:r>
    </w:p>
    <w:p w14:paraId="31C6473E" w14:textId="78F0677A" w:rsidR="00323457" w:rsidRPr="0059638B" w:rsidRDefault="00430617" w:rsidP="00323457">
      <w:pPr>
        <w:pStyle w:val="SingleTxtG"/>
        <w:rPr>
          <w:sz w:val="20"/>
          <w:szCs w:val="20"/>
        </w:rPr>
      </w:pPr>
      <w:r>
        <w:rPr>
          <w:sz w:val="20"/>
          <w:szCs w:val="20"/>
        </w:rPr>
        <w:t>563</w:t>
      </w:r>
      <w:r w:rsidR="007C7678">
        <w:rPr>
          <w:sz w:val="20"/>
          <w:szCs w:val="20"/>
        </w:rPr>
        <w:t>.</w:t>
      </w:r>
      <w:r w:rsidR="007C7678">
        <w:rPr>
          <w:sz w:val="20"/>
          <w:szCs w:val="20"/>
        </w:rPr>
        <w:tab/>
      </w:r>
      <w:r w:rsidR="00323457" w:rsidRPr="0059638B">
        <w:rPr>
          <w:sz w:val="20"/>
          <w:szCs w:val="20"/>
        </w:rPr>
        <w:t>During the adoption of the outcome of the review of Mauritius, 13 delegations made statements.</w:t>
      </w:r>
      <w:r w:rsidR="00CC5A8D" w:rsidRPr="00CC5A8D">
        <w:rPr>
          <w:rStyle w:val="FootnoteReference"/>
          <w:sz w:val="20"/>
          <w:szCs w:val="20"/>
          <w:vertAlign w:val="baseline"/>
        </w:rPr>
        <w:footnoteReference w:customMarkFollows="1" w:id="52"/>
        <w:t>**</w:t>
      </w:r>
      <w:r w:rsidR="00323457" w:rsidRPr="0059638B">
        <w:rPr>
          <w:sz w:val="20"/>
          <w:szCs w:val="20"/>
        </w:rPr>
        <w:t xml:space="preserve"> </w:t>
      </w:r>
    </w:p>
    <w:p w14:paraId="1EA7D4B1" w14:textId="1299C6E0" w:rsidR="00323457" w:rsidRPr="0059638B" w:rsidRDefault="00430617" w:rsidP="00323457">
      <w:pPr>
        <w:pStyle w:val="SingleTxtG"/>
        <w:rPr>
          <w:sz w:val="20"/>
          <w:szCs w:val="20"/>
        </w:rPr>
      </w:pPr>
      <w:r>
        <w:rPr>
          <w:sz w:val="20"/>
          <w:szCs w:val="20"/>
        </w:rPr>
        <w:t>564</w:t>
      </w:r>
      <w:r w:rsidR="007C7678">
        <w:rPr>
          <w:sz w:val="20"/>
          <w:szCs w:val="20"/>
        </w:rPr>
        <w:t>.</w:t>
      </w:r>
      <w:r w:rsidR="007C7678">
        <w:rPr>
          <w:sz w:val="20"/>
          <w:szCs w:val="20"/>
        </w:rPr>
        <w:tab/>
      </w:r>
      <w:r w:rsidR="00323457" w:rsidRPr="0059638B">
        <w:rPr>
          <w:sz w:val="20"/>
          <w:szCs w:val="20"/>
        </w:rPr>
        <w:t xml:space="preserve">Ethiopia commended Mauritius for accepting many recommendations, including its own, which aimed at enhancing efforts to fight against corruption and to strengthen efforts to set up an integrated support service against domestic violence. It encouraged Mauritius to take all necessary measures in advance for the full implementation of the accepted recommendations. </w:t>
      </w:r>
    </w:p>
    <w:p w14:paraId="27974280" w14:textId="5D314346" w:rsidR="00323457" w:rsidRPr="0059638B" w:rsidRDefault="00430617" w:rsidP="00323457">
      <w:pPr>
        <w:pStyle w:val="SingleTxtG"/>
        <w:rPr>
          <w:sz w:val="20"/>
          <w:szCs w:val="20"/>
        </w:rPr>
      </w:pPr>
      <w:r>
        <w:rPr>
          <w:sz w:val="20"/>
          <w:szCs w:val="20"/>
        </w:rPr>
        <w:t>565</w:t>
      </w:r>
      <w:r w:rsidR="007C7678">
        <w:rPr>
          <w:sz w:val="20"/>
          <w:szCs w:val="20"/>
        </w:rPr>
        <w:t>.</w:t>
      </w:r>
      <w:r w:rsidR="007C7678">
        <w:rPr>
          <w:sz w:val="20"/>
          <w:szCs w:val="20"/>
        </w:rPr>
        <w:tab/>
      </w:r>
      <w:r w:rsidR="00323457" w:rsidRPr="0059638B">
        <w:rPr>
          <w:sz w:val="20"/>
          <w:szCs w:val="20"/>
        </w:rPr>
        <w:t>Gabon noted with satisfaction the considerable efforts made by the Government of Mauritius to guarantee the promotion and protection of human rights and to improve its institutional and normative framework.</w:t>
      </w:r>
      <w:r w:rsidR="004B7C70">
        <w:rPr>
          <w:sz w:val="20"/>
          <w:szCs w:val="20"/>
        </w:rPr>
        <w:t xml:space="preserve"> </w:t>
      </w:r>
      <w:r w:rsidR="00323457" w:rsidRPr="0059638B">
        <w:rPr>
          <w:sz w:val="20"/>
          <w:szCs w:val="20"/>
        </w:rPr>
        <w:t>Gabon particularly welcomed all the reforms undertaken to combat domestic violence, notably the revision of the law on protection against domestic violence, in order to strengthen the protection services for victims as well as the implementation of this law through training sessions for law enforcement officers.</w:t>
      </w:r>
      <w:r w:rsidR="004B7C70">
        <w:rPr>
          <w:sz w:val="20"/>
          <w:szCs w:val="20"/>
        </w:rPr>
        <w:t xml:space="preserve"> </w:t>
      </w:r>
      <w:r w:rsidR="00323457" w:rsidRPr="0059638B">
        <w:rPr>
          <w:sz w:val="20"/>
          <w:szCs w:val="20"/>
        </w:rPr>
        <w:t>It encouraged Mauritius to continue its efforts in implementing the accepted recommendations.</w:t>
      </w:r>
    </w:p>
    <w:p w14:paraId="70DEE4D1" w14:textId="711D7934" w:rsidR="00323457" w:rsidRPr="0059638B" w:rsidRDefault="00430617" w:rsidP="00323457">
      <w:pPr>
        <w:pStyle w:val="SingleTxtG"/>
        <w:rPr>
          <w:sz w:val="20"/>
          <w:szCs w:val="20"/>
        </w:rPr>
      </w:pPr>
      <w:r>
        <w:rPr>
          <w:sz w:val="20"/>
          <w:szCs w:val="20"/>
        </w:rPr>
        <w:t>566</w:t>
      </w:r>
      <w:r w:rsidR="007C7678">
        <w:rPr>
          <w:sz w:val="20"/>
          <w:szCs w:val="20"/>
        </w:rPr>
        <w:t>.</w:t>
      </w:r>
      <w:r w:rsidR="007C7678">
        <w:rPr>
          <w:sz w:val="20"/>
          <w:szCs w:val="20"/>
        </w:rPr>
        <w:tab/>
      </w:r>
      <w:r w:rsidR="00323457" w:rsidRPr="0059638B">
        <w:rPr>
          <w:sz w:val="20"/>
          <w:szCs w:val="20"/>
        </w:rPr>
        <w:t>The Islamic Republic of Iran stated that, during the Working Group of the Universal Periodic Review, many delegations had presented recommendations to the Government of Mauritius and that all recommendations made by the Islamic Republic of Iran had been accepted by Mauritius.</w:t>
      </w:r>
      <w:r w:rsidR="004B7C70">
        <w:rPr>
          <w:sz w:val="20"/>
          <w:szCs w:val="20"/>
        </w:rPr>
        <w:t xml:space="preserve"> </w:t>
      </w:r>
      <w:r w:rsidR="00323457" w:rsidRPr="0059638B">
        <w:rPr>
          <w:sz w:val="20"/>
          <w:szCs w:val="20"/>
        </w:rPr>
        <w:t>It acknowledged the efforts of Mauritius for the empowerment of women in implementation of its human rights national action plan, a positive step towards promoting human rights in the country.</w:t>
      </w:r>
    </w:p>
    <w:p w14:paraId="31FD083C" w14:textId="5DCA9247" w:rsidR="00323457" w:rsidRPr="0059638B" w:rsidRDefault="00430617" w:rsidP="00323457">
      <w:pPr>
        <w:pStyle w:val="SingleTxtG"/>
        <w:rPr>
          <w:sz w:val="20"/>
          <w:szCs w:val="20"/>
        </w:rPr>
      </w:pPr>
      <w:r>
        <w:rPr>
          <w:sz w:val="20"/>
          <w:szCs w:val="20"/>
        </w:rPr>
        <w:t>567</w:t>
      </w:r>
      <w:r w:rsidR="007C7678">
        <w:rPr>
          <w:sz w:val="20"/>
          <w:szCs w:val="20"/>
        </w:rPr>
        <w:t>.</w:t>
      </w:r>
      <w:r w:rsidR="007C7678">
        <w:rPr>
          <w:sz w:val="20"/>
          <w:szCs w:val="20"/>
        </w:rPr>
        <w:tab/>
      </w:r>
      <w:r w:rsidR="00323457" w:rsidRPr="0059638B">
        <w:rPr>
          <w:sz w:val="20"/>
          <w:szCs w:val="20"/>
        </w:rPr>
        <w:t>Iraq commended Mauritius for accepting the three recommendations presented by Iraq and for accepting the majority of all recommendations presented to it. Iraq hoped that Mauritius would implement the recommendations it accepted in conformity with international commitments.</w:t>
      </w:r>
    </w:p>
    <w:p w14:paraId="5331A543" w14:textId="5AF2F4BF" w:rsidR="00323457" w:rsidRPr="0059638B" w:rsidRDefault="00430617" w:rsidP="00323457">
      <w:pPr>
        <w:pStyle w:val="SingleTxtG"/>
        <w:rPr>
          <w:sz w:val="20"/>
          <w:szCs w:val="20"/>
        </w:rPr>
      </w:pPr>
      <w:r>
        <w:rPr>
          <w:sz w:val="20"/>
          <w:szCs w:val="20"/>
        </w:rPr>
        <w:t>568</w:t>
      </w:r>
      <w:r w:rsidR="007C7678">
        <w:rPr>
          <w:sz w:val="20"/>
          <w:szCs w:val="20"/>
        </w:rPr>
        <w:t>.</w:t>
      </w:r>
      <w:r w:rsidR="007C7678">
        <w:rPr>
          <w:sz w:val="20"/>
          <w:szCs w:val="20"/>
        </w:rPr>
        <w:tab/>
      </w:r>
      <w:r w:rsidR="00323457" w:rsidRPr="0059638B">
        <w:rPr>
          <w:sz w:val="20"/>
          <w:szCs w:val="20"/>
        </w:rPr>
        <w:t>Lesotho commended the strides taken by Mauritius since the last review.</w:t>
      </w:r>
      <w:r w:rsidR="004B7C70">
        <w:rPr>
          <w:sz w:val="20"/>
          <w:szCs w:val="20"/>
        </w:rPr>
        <w:t xml:space="preserve"> </w:t>
      </w:r>
      <w:r w:rsidR="00323457" w:rsidRPr="0059638B">
        <w:rPr>
          <w:sz w:val="20"/>
          <w:szCs w:val="20"/>
        </w:rPr>
        <w:t>It noted with appreciation the establishment of the Independent Police Complaints Commission, which is responsible for investigating complaints made against police officers in the discharge of their functions.</w:t>
      </w:r>
      <w:r w:rsidR="004B7C70">
        <w:rPr>
          <w:sz w:val="20"/>
          <w:szCs w:val="20"/>
        </w:rPr>
        <w:t xml:space="preserve"> </w:t>
      </w:r>
      <w:r w:rsidR="00323457" w:rsidRPr="0059638B">
        <w:rPr>
          <w:sz w:val="20"/>
          <w:szCs w:val="20"/>
        </w:rPr>
        <w:t>It stated that this step would go a long way in upholding the rule of law and respect for democracy in Mauritius.</w:t>
      </w:r>
      <w:r w:rsidR="004B7C70">
        <w:rPr>
          <w:sz w:val="20"/>
          <w:szCs w:val="20"/>
        </w:rPr>
        <w:t xml:space="preserve"> </w:t>
      </w:r>
      <w:r w:rsidR="00323457" w:rsidRPr="0059638B">
        <w:rPr>
          <w:sz w:val="20"/>
          <w:szCs w:val="20"/>
        </w:rPr>
        <w:t xml:space="preserve">Lesotho also noted the progress made by submitting overdue reports before various treaty-monitoring bodies. It encouraged Mauritius to consider expeditiously ratifying the human rights instruments to which it is not yet party. </w:t>
      </w:r>
    </w:p>
    <w:p w14:paraId="329DCF69" w14:textId="7910DAA1" w:rsidR="00323457" w:rsidRPr="0059638B" w:rsidRDefault="00430617" w:rsidP="00323457">
      <w:pPr>
        <w:pStyle w:val="SingleTxtG"/>
        <w:rPr>
          <w:sz w:val="20"/>
          <w:szCs w:val="20"/>
        </w:rPr>
      </w:pPr>
      <w:r>
        <w:rPr>
          <w:sz w:val="20"/>
          <w:szCs w:val="20"/>
        </w:rPr>
        <w:t>569</w:t>
      </w:r>
      <w:r w:rsidR="007C7678">
        <w:rPr>
          <w:sz w:val="20"/>
          <w:szCs w:val="20"/>
        </w:rPr>
        <w:t>.</w:t>
      </w:r>
      <w:r w:rsidR="007C7678">
        <w:rPr>
          <w:sz w:val="20"/>
          <w:szCs w:val="20"/>
        </w:rPr>
        <w:tab/>
      </w:r>
      <w:r w:rsidR="00323457" w:rsidRPr="0059638B">
        <w:rPr>
          <w:sz w:val="20"/>
          <w:szCs w:val="20"/>
        </w:rPr>
        <w:t>Madagascar thanked Mauritius for accepting three of its own recommendations and wished the country every success in implementation of the accepted recommendations.</w:t>
      </w:r>
      <w:r w:rsidR="004B7C70">
        <w:rPr>
          <w:sz w:val="20"/>
          <w:szCs w:val="20"/>
        </w:rPr>
        <w:t xml:space="preserve"> </w:t>
      </w:r>
      <w:r w:rsidR="00323457" w:rsidRPr="0059638B">
        <w:rPr>
          <w:sz w:val="20"/>
          <w:szCs w:val="20"/>
        </w:rPr>
        <w:t xml:space="preserve">Madagascar noted with satisfaction the establishment of the Ministry of Justice, Human Rights and Institutional Reforms in 2017 and the implementation of almost all the measures </w:t>
      </w:r>
      <w:r w:rsidR="00323457" w:rsidRPr="0059638B">
        <w:rPr>
          <w:sz w:val="20"/>
          <w:szCs w:val="20"/>
        </w:rPr>
        <w:lastRenderedPageBreak/>
        <w:t>announced in the 2012-2020 Action Plan. It encouraged Mauritius to continue its actions with regard to respect, promotion and protection of human rights.</w:t>
      </w:r>
    </w:p>
    <w:p w14:paraId="6B2AC157" w14:textId="5421E1CA" w:rsidR="00323457" w:rsidRPr="0059638B" w:rsidRDefault="00430617" w:rsidP="00323457">
      <w:pPr>
        <w:pStyle w:val="SingleTxtG"/>
        <w:rPr>
          <w:sz w:val="20"/>
          <w:szCs w:val="20"/>
        </w:rPr>
      </w:pPr>
      <w:r>
        <w:rPr>
          <w:sz w:val="20"/>
          <w:szCs w:val="20"/>
        </w:rPr>
        <w:t>570</w:t>
      </w:r>
      <w:r w:rsidR="007C7678">
        <w:rPr>
          <w:sz w:val="20"/>
          <w:szCs w:val="20"/>
        </w:rPr>
        <w:t>.</w:t>
      </w:r>
      <w:r w:rsidR="007C7678">
        <w:rPr>
          <w:sz w:val="20"/>
          <w:szCs w:val="20"/>
        </w:rPr>
        <w:tab/>
      </w:r>
      <w:r w:rsidR="00323457" w:rsidRPr="0059638B">
        <w:rPr>
          <w:sz w:val="20"/>
          <w:szCs w:val="20"/>
        </w:rPr>
        <w:t>Mauritania lauded the commitment of the Government of Mauritius to strengthening democratic mechanisms and to promoting and protecting human rights.</w:t>
      </w:r>
      <w:r w:rsidR="004B7C70">
        <w:rPr>
          <w:sz w:val="20"/>
          <w:szCs w:val="20"/>
        </w:rPr>
        <w:t xml:space="preserve"> </w:t>
      </w:r>
      <w:r w:rsidR="00323457" w:rsidRPr="0059638B">
        <w:rPr>
          <w:sz w:val="20"/>
          <w:szCs w:val="20"/>
        </w:rPr>
        <w:t>Mauritania also congratulated the Government of Mauritius on the establishment of a protocol for assisting child victims of violence and for the implementation of legislative measures on equal opportunities in employment, social integration, and demarginalisation and social assistance allocated to vulnerable persons.</w:t>
      </w:r>
    </w:p>
    <w:p w14:paraId="62480A68" w14:textId="392BB849" w:rsidR="00323457" w:rsidRPr="0059638B" w:rsidRDefault="00430617" w:rsidP="00323457">
      <w:pPr>
        <w:pStyle w:val="SingleTxtG"/>
        <w:rPr>
          <w:sz w:val="20"/>
          <w:szCs w:val="20"/>
        </w:rPr>
      </w:pPr>
      <w:r>
        <w:rPr>
          <w:sz w:val="20"/>
          <w:szCs w:val="20"/>
        </w:rPr>
        <w:t>571</w:t>
      </w:r>
      <w:r w:rsidR="007C7678">
        <w:rPr>
          <w:sz w:val="20"/>
          <w:szCs w:val="20"/>
        </w:rPr>
        <w:t>.</w:t>
      </w:r>
      <w:r w:rsidR="007C7678">
        <w:rPr>
          <w:sz w:val="20"/>
          <w:szCs w:val="20"/>
        </w:rPr>
        <w:tab/>
      </w:r>
      <w:r w:rsidR="00323457" w:rsidRPr="0059638B">
        <w:rPr>
          <w:sz w:val="20"/>
          <w:szCs w:val="20"/>
        </w:rPr>
        <w:t>Namibia commended the creation of additional institutions, including the Ministry of Justice, Human Rights and Institutional Reforms as well as the National Mechanism for Reporting and Follow Up, among others. It encouraged Mauritius to continue efforts aimed at improving the standard of living and quality of life for its citizens. It commended Mauritius for accepting 133 of 176 recommendations, including two by Namibia and encouraged Mauritius to continue with the consideration of other recommendations.</w:t>
      </w:r>
    </w:p>
    <w:p w14:paraId="00C435E4" w14:textId="3C8FF564" w:rsidR="00323457" w:rsidRPr="0059638B" w:rsidRDefault="00430617" w:rsidP="00323457">
      <w:pPr>
        <w:pStyle w:val="SingleTxtG"/>
        <w:rPr>
          <w:sz w:val="20"/>
          <w:szCs w:val="20"/>
        </w:rPr>
      </w:pPr>
      <w:r>
        <w:rPr>
          <w:sz w:val="20"/>
          <w:szCs w:val="20"/>
        </w:rPr>
        <w:t>572</w:t>
      </w:r>
      <w:r w:rsidR="007C7678">
        <w:rPr>
          <w:sz w:val="20"/>
          <w:szCs w:val="20"/>
        </w:rPr>
        <w:t>.</w:t>
      </w:r>
      <w:r w:rsidR="007C7678">
        <w:rPr>
          <w:sz w:val="20"/>
          <w:szCs w:val="20"/>
        </w:rPr>
        <w:tab/>
      </w:r>
      <w:r w:rsidR="00323457" w:rsidRPr="0059638B">
        <w:rPr>
          <w:sz w:val="20"/>
          <w:szCs w:val="20"/>
        </w:rPr>
        <w:t>The Philippines noted the acceptance by Mauritius of the majority of recommendations and for accepting three of four recommendations made by the Philippines relating to women and children, human rights education and drug prevention programs. It noted the position taken by Mauritius on its recommendation on the ratification of major human rights instruments and their optional protocols.</w:t>
      </w:r>
      <w:r w:rsidR="004B7C70">
        <w:rPr>
          <w:sz w:val="20"/>
          <w:szCs w:val="20"/>
        </w:rPr>
        <w:t xml:space="preserve"> </w:t>
      </w:r>
      <w:r w:rsidR="00323457" w:rsidRPr="0059638B">
        <w:rPr>
          <w:sz w:val="20"/>
          <w:szCs w:val="20"/>
        </w:rPr>
        <w:t>The Philippines recognized the commitment of Mauritius to advance human rights, in particular, the rights of women, children, the elderly, and persons with disabilities as well as equal employment rights and protection from domestic violence.</w:t>
      </w:r>
    </w:p>
    <w:p w14:paraId="025413D8" w14:textId="7737C47E" w:rsidR="00323457" w:rsidRPr="0059638B" w:rsidRDefault="00430617" w:rsidP="00323457">
      <w:pPr>
        <w:pStyle w:val="SingleTxtG"/>
        <w:rPr>
          <w:sz w:val="20"/>
          <w:szCs w:val="20"/>
        </w:rPr>
      </w:pPr>
      <w:r>
        <w:rPr>
          <w:sz w:val="20"/>
          <w:szCs w:val="20"/>
        </w:rPr>
        <w:t>573</w:t>
      </w:r>
      <w:r w:rsidR="007C7678">
        <w:rPr>
          <w:sz w:val="20"/>
          <w:szCs w:val="20"/>
        </w:rPr>
        <w:t>.</w:t>
      </w:r>
      <w:r w:rsidR="007C7678">
        <w:rPr>
          <w:sz w:val="20"/>
          <w:szCs w:val="20"/>
        </w:rPr>
        <w:tab/>
      </w:r>
      <w:r w:rsidR="00323457" w:rsidRPr="0059638B">
        <w:rPr>
          <w:sz w:val="20"/>
          <w:szCs w:val="20"/>
        </w:rPr>
        <w:t>Seychelles noted positively that Mauritius had accepted 133 out of 176 recommendations, including two recommendations made by Seychelles. Seychelles commended Mauritius for the strides made during the last universal periodic review cycle towards the promotion and protection of human rights, including its commitment to putting in place crucial legislative frameworks such as the Children</w:t>
      </w:r>
      <w:r w:rsidR="00D72627">
        <w:rPr>
          <w:sz w:val="20"/>
          <w:szCs w:val="20"/>
        </w:rPr>
        <w:t>’</w:t>
      </w:r>
      <w:r w:rsidR="00323457" w:rsidRPr="0059638B">
        <w:rPr>
          <w:sz w:val="20"/>
          <w:szCs w:val="20"/>
        </w:rPr>
        <w:t>s Bill and Gender Equality Bill. It wished Mauritius successful implementation of accepted recommendations.</w:t>
      </w:r>
    </w:p>
    <w:p w14:paraId="6E89F8CB" w14:textId="56F26A21" w:rsidR="00323457" w:rsidRPr="0059638B" w:rsidRDefault="00430617" w:rsidP="00323457">
      <w:pPr>
        <w:pStyle w:val="SingleTxtG"/>
        <w:rPr>
          <w:sz w:val="20"/>
          <w:szCs w:val="20"/>
        </w:rPr>
      </w:pPr>
      <w:r>
        <w:rPr>
          <w:sz w:val="20"/>
          <w:szCs w:val="20"/>
        </w:rPr>
        <w:t>574</w:t>
      </w:r>
      <w:r w:rsidR="007C7678">
        <w:rPr>
          <w:sz w:val="20"/>
          <w:szCs w:val="20"/>
        </w:rPr>
        <w:t>.</w:t>
      </w:r>
      <w:r w:rsidR="007C7678">
        <w:rPr>
          <w:sz w:val="20"/>
          <w:szCs w:val="20"/>
        </w:rPr>
        <w:tab/>
      </w:r>
      <w:r w:rsidR="00323457" w:rsidRPr="0059638B">
        <w:rPr>
          <w:sz w:val="20"/>
          <w:szCs w:val="20"/>
        </w:rPr>
        <w:t xml:space="preserve">Togo positively noted the acceptance by Mauritius of 133 recommendations out of 176 recommendations, including two of its own recommendations. Togo welcomed measures taken by Mauritius to improve the level and quality of life of its population. It was pleased with the creation in 2017 of the ministry dedicated to human rights and establishment of the national mechanism on reporting and follow-up. Togo urged Mauritius to redouble its efforts in promotion and protection of human rights with special attention to women and youth. It invited the international community to provide its assistance to Mauritius for implementation of the accepted recommendations. </w:t>
      </w:r>
    </w:p>
    <w:p w14:paraId="3E1A7958" w14:textId="0EEF4417" w:rsidR="00323457" w:rsidRPr="0059638B" w:rsidRDefault="00972F1E" w:rsidP="00323457">
      <w:pPr>
        <w:pStyle w:val="SingleTxtG"/>
        <w:rPr>
          <w:sz w:val="20"/>
          <w:szCs w:val="20"/>
        </w:rPr>
      </w:pPr>
      <w:r>
        <w:rPr>
          <w:sz w:val="20"/>
          <w:szCs w:val="20"/>
        </w:rPr>
        <w:t>575</w:t>
      </w:r>
      <w:r w:rsidR="007C7678">
        <w:rPr>
          <w:sz w:val="20"/>
          <w:szCs w:val="20"/>
        </w:rPr>
        <w:t>.</w:t>
      </w:r>
      <w:r w:rsidR="007C7678">
        <w:rPr>
          <w:sz w:val="20"/>
          <w:szCs w:val="20"/>
        </w:rPr>
        <w:tab/>
      </w:r>
      <w:r w:rsidR="00323457" w:rsidRPr="0059638B">
        <w:rPr>
          <w:sz w:val="20"/>
          <w:szCs w:val="20"/>
        </w:rPr>
        <w:t>Tunisia appreciated the cooperation of Mauritius with the Human Rights Council mechanisms and the universal periodic review mechanism. It welcomed the adoption of national programmes and laws towards strengthening the human rights framework. It welcomed the acceptance of a significant number of recommendations, including those put forward by Tunisia, in particular concerning protection of children from exploitation, combating poverty and domestic violence.</w:t>
      </w:r>
    </w:p>
    <w:p w14:paraId="6603DDA5" w14:textId="30FED8A2" w:rsidR="00323457" w:rsidRPr="0059638B" w:rsidRDefault="00972F1E" w:rsidP="00323457">
      <w:pPr>
        <w:pStyle w:val="SingleTxtG"/>
        <w:rPr>
          <w:sz w:val="20"/>
          <w:szCs w:val="20"/>
        </w:rPr>
      </w:pPr>
      <w:r>
        <w:rPr>
          <w:sz w:val="20"/>
          <w:szCs w:val="20"/>
        </w:rPr>
        <w:t>576</w:t>
      </w:r>
      <w:r w:rsidR="007C7678">
        <w:rPr>
          <w:sz w:val="20"/>
          <w:szCs w:val="20"/>
        </w:rPr>
        <w:t>.</w:t>
      </w:r>
      <w:r w:rsidR="007C7678">
        <w:rPr>
          <w:sz w:val="20"/>
          <w:szCs w:val="20"/>
        </w:rPr>
        <w:tab/>
      </w:r>
      <w:r w:rsidR="00323457" w:rsidRPr="0059638B">
        <w:rPr>
          <w:sz w:val="20"/>
          <w:szCs w:val="20"/>
        </w:rPr>
        <w:t xml:space="preserve">The United Nations Population Fund noted that the population of Mauritius was becoming an aging population. It was supporting Mauritius in developing a National Policy on Population taking into account the reproductive rights and rights of older persons. Teenage pregnancy was becoming a major concern in Mauritius, especially in Rodrigues </w:t>
      </w:r>
      <w:proofErr w:type="gramStart"/>
      <w:r w:rsidR="00323457" w:rsidRPr="0059638B">
        <w:rPr>
          <w:sz w:val="20"/>
          <w:szCs w:val="20"/>
        </w:rPr>
        <w:t>island</w:t>
      </w:r>
      <w:proofErr w:type="gramEnd"/>
      <w:r w:rsidR="00323457" w:rsidRPr="0059638B">
        <w:rPr>
          <w:sz w:val="20"/>
          <w:szCs w:val="20"/>
        </w:rPr>
        <w:t xml:space="preserve">. It pleaded for access to information and services for sexual and reproductive health rights of young people. It also noted that the unmet needs for family planning was high and encouraged strengthening efforts to provide services on family planning in vulnerable zones. In view of upsurge in gender based violence, it pleaded to establish an information system on such types of violence in order to provide data for decision-making and intervention aimed at putting an end to gender based violence. </w:t>
      </w:r>
    </w:p>
    <w:p w14:paraId="3D5AF50F" w14:textId="77777777" w:rsidR="00323457" w:rsidRPr="0059638B" w:rsidRDefault="00323457" w:rsidP="00323457">
      <w:pPr>
        <w:pStyle w:val="H23G"/>
        <w:rPr>
          <w:sz w:val="20"/>
          <w:szCs w:val="20"/>
        </w:rPr>
      </w:pPr>
      <w:r w:rsidRPr="0059638B">
        <w:rPr>
          <w:sz w:val="20"/>
          <w:szCs w:val="20"/>
        </w:rPr>
        <w:lastRenderedPageBreak/>
        <w:tab/>
        <w:t>3.</w:t>
      </w:r>
      <w:r w:rsidRPr="0059638B">
        <w:rPr>
          <w:sz w:val="20"/>
          <w:szCs w:val="20"/>
        </w:rPr>
        <w:tab/>
        <w:t>General comments made by other stakeholders</w:t>
      </w:r>
    </w:p>
    <w:p w14:paraId="65780C6D" w14:textId="62769BCE" w:rsidR="00323457" w:rsidRPr="0059638B" w:rsidRDefault="00972F1E" w:rsidP="00323457">
      <w:pPr>
        <w:pStyle w:val="SingleTxtG"/>
        <w:rPr>
          <w:sz w:val="20"/>
          <w:szCs w:val="20"/>
        </w:rPr>
      </w:pPr>
      <w:r>
        <w:rPr>
          <w:sz w:val="20"/>
          <w:szCs w:val="20"/>
        </w:rPr>
        <w:t>577</w:t>
      </w:r>
      <w:r w:rsidR="007C7678">
        <w:rPr>
          <w:sz w:val="20"/>
          <w:szCs w:val="20"/>
        </w:rPr>
        <w:t>.</w:t>
      </w:r>
      <w:r w:rsidR="007C7678">
        <w:rPr>
          <w:sz w:val="20"/>
          <w:szCs w:val="20"/>
        </w:rPr>
        <w:tab/>
      </w:r>
      <w:r w:rsidR="00323457" w:rsidRPr="0059638B">
        <w:rPr>
          <w:sz w:val="20"/>
          <w:szCs w:val="20"/>
        </w:rPr>
        <w:t xml:space="preserve">During the adoption of the outcome of the review of Mauritius, three other stakeholders made statements. </w:t>
      </w:r>
    </w:p>
    <w:p w14:paraId="4981927B" w14:textId="59F280E6" w:rsidR="00323457" w:rsidRPr="0059638B" w:rsidRDefault="00972F1E" w:rsidP="00323457">
      <w:pPr>
        <w:pStyle w:val="SingleTxtG"/>
        <w:rPr>
          <w:sz w:val="20"/>
          <w:szCs w:val="20"/>
        </w:rPr>
      </w:pPr>
      <w:r>
        <w:rPr>
          <w:sz w:val="20"/>
          <w:szCs w:val="20"/>
        </w:rPr>
        <w:t>578</w:t>
      </w:r>
      <w:r w:rsidR="007C7678">
        <w:rPr>
          <w:sz w:val="20"/>
          <w:szCs w:val="20"/>
        </w:rPr>
        <w:t>.</w:t>
      </w:r>
      <w:r w:rsidR="007C7678">
        <w:rPr>
          <w:sz w:val="20"/>
          <w:szCs w:val="20"/>
        </w:rPr>
        <w:tab/>
      </w:r>
      <w:r w:rsidR="00323457" w:rsidRPr="0059638B">
        <w:rPr>
          <w:sz w:val="20"/>
          <w:szCs w:val="20"/>
        </w:rPr>
        <w:t xml:space="preserve">Center for Global Nonkilling congratulated Mauritius for integrating some peace and disarmament treaties in its report and presentations. It noted with satisfaction the abolition of the death penalty and commuting of all sentences, but noted an ambiguity between the approval by the Government of a recommendation to progress towards the abolition of the death penalty and its refusal of the ones made for the ratification of the Second Optional Protocol to the International Covenant on Civil and Political Rights, aiming at the abolition of the death penalty. It recalled that the Government should lead public opinion and not be subject to it. It also regretted the noting of the three recommendations made for the ratification of the International Convention for the Protection of All Persons from Enforced Disappearance and stated that the Convention had universal effects and contained provisions regarding cases beyond the national territory. It saluted the fact that there were no cases of disappearance in Mauritius and encouraged it to show more solidarity on the issue. Finally, it asked for more precise information on the timeframe for the ratification of the Convention on the Prevention and Punishment of the Crime of Genocide. </w:t>
      </w:r>
    </w:p>
    <w:p w14:paraId="0ADD4D35" w14:textId="0AC500C0" w:rsidR="00323457" w:rsidRPr="0059638B" w:rsidRDefault="00972F1E" w:rsidP="00323457">
      <w:pPr>
        <w:pStyle w:val="SingleTxtG"/>
        <w:rPr>
          <w:sz w:val="20"/>
          <w:szCs w:val="20"/>
        </w:rPr>
      </w:pPr>
      <w:r>
        <w:rPr>
          <w:sz w:val="20"/>
          <w:szCs w:val="20"/>
        </w:rPr>
        <w:t>579</w:t>
      </w:r>
      <w:r w:rsidR="007C7678">
        <w:rPr>
          <w:sz w:val="20"/>
          <w:szCs w:val="20"/>
        </w:rPr>
        <w:t>.</w:t>
      </w:r>
      <w:r w:rsidR="007C7678">
        <w:rPr>
          <w:sz w:val="20"/>
          <w:szCs w:val="20"/>
        </w:rPr>
        <w:tab/>
      </w:r>
      <w:r w:rsidR="00323457" w:rsidRPr="0059638B">
        <w:rPr>
          <w:sz w:val="20"/>
          <w:szCs w:val="20"/>
        </w:rPr>
        <w:t>The International Lesbian and Gay Association noted that Mauritius received 14 recommendations, three advanced questions and four remarks on sexual orientation and gender identity and was encouraged to fully decriminalize homosexuality and advance sexual orientation and gender identity in its legislation. It welcomed the position of Mauritius on prioritising the human rights issues of LGBT people, the setting up of the national mechanism for reporting and follow-up and further commended the position of Mauritius concerning national awareness programmes on LGBT issues.</w:t>
      </w:r>
      <w:r w:rsidR="004B7C70">
        <w:rPr>
          <w:sz w:val="20"/>
          <w:szCs w:val="20"/>
        </w:rPr>
        <w:t xml:space="preserve"> </w:t>
      </w:r>
      <w:r w:rsidR="00323457" w:rsidRPr="0059638B">
        <w:rPr>
          <w:sz w:val="20"/>
          <w:szCs w:val="20"/>
        </w:rPr>
        <w:t>Despite the positive advancements, the Government noted all the recommendations related to these issues, including those on hate crimes and hate speech targeting LGBT people. A lack of legal protection towards hate crimes and hate speech violated LGBT people</w:t>
      </w:r>
      <w:r w:rsidR="00D72627">
        <w:rPr>
          <w:sz w:val="20"/>
          <w:szCs w:val="20"/>
        </w:rPr>
        <w:t>’</w:t>
      </w:r>
      <w:r w:rsidR="00323457" w:rsidRPr="0059638B">
        <w:rPr>
          <w:sz w:val="20"/>
          <w:szCs w:val="20"/>
        </w:rPr>
        <w:t>s rights, prevented law enforcement institutions to act towards homophobia and transphobia, and encouraged perpetrators of hate crimes to go unpunished. It emphasised that the religion and cultural sensitivities had been made into colourable devices to deny LGBT people of their human rights instead of evidenced-based, rational, human and inclusive decision and policymaking. It called upon Mauritius to effectively protect the rights of LGBT persons.</w:t>
      </w:r>
    </w:p>
    <w:p w14:paraId="5DF9E7D9" w14:textId="34A36193" w:rsidR="00323457" w:rsidRPr="0059638B" w:rsidRDefault="00972F1E" w:rsidP="00323457">
      <w:pPr>
        <w:pStyle w:val="SingleTxtG"/>
        <w:rPr>
          <w:sz w:val="20"/>
          <w:szCs w:val="20"/>
        </w:rPr>
      </w:pPr>
      <w:r>
        <w:rPr>
          <w:sz w:val="20"/>
          <w:szCs w:val="20"/>
        </w:rPr>
        <w:t>580</w:t>
      </w:r>
      <w:r w:rsidR="00D7475F">
        <w:rPr>
          <w:sz w:val="20"/>
          <w:szCs w:val="20"/>
        </w:rPr>
        <w:t>.</w:t>
      </w:r>
      <w:r w:rsidR="00D7475F">
        <w:rPr>
          <w:sz w:val="20"/>
          <w:szCs w:val="20"/>
        </w:rPr>
        <w:tab/>
      </w:r>
      <w:r w:rsidR="00323457" w:rsidRPr="0059638B">
        <w:rPr>
          <w:sz w:val="20"/>
          <w:szCs w:val="20"/>
        </w:rPr>
        <w:t xml:space="preserve">The Association of World Citizens congratulated Mauritius for the acceptance of 133 out of 176 recommendations, but regretted that the recommendation 115.96 to revise the Criminal Code so that women could access legal, safe and voluntary termination of pregnancy, and guarantee the provision of the respective medical services was not accepted by Mauritius. It reminded that decriminalization of abortion helps to abort in safer and more hygienic conditions. It also noted with regret that Mauritius had not accepted the recommendation 115.176 to introduce legal safeguards to protect children born in the country from stateless mothers, which had short-term and long-term consequences on stateless children, including marginalization, illiteracy and child labour. It further regretted that recommendations from 115.40 to 115.54 to adopt comprehensive legislation to prevent and combat discrimination against all marginalized groups on any grounds, including gender and sexual orientation, were not accepted by Mauritius. </w:t>
      </w:r>
    </w:p>
    <w:p w14:paraId="574049D2" w14:textId="77777777" w:rsidR="00323457" w:rsidRPr="0059638B" w:rsidRDefault="00323457" w:rsidP="00323457">
      <w:pPr>
        <w:pStyle w:val="H23G"/>
        <w:ind w:left="705" w:firstLine="0"/>
        <w:rPr>
          <w:sz w:val="20"/>
          <w:szCs w:val="20"/>
        </w:rPr>
      </w:pPr>
      <w:r w:rsidRPr="0059638B">
        <w:rPr>
          <w:sz w:val="20"/>
          <w:szCs w:val="20"/>
        </w:rPr>
        <w:t>4.</w:t>
      </w:r>
      <w:r w:rsidRPr="0059638B">
        <w:rPr>
          <w:sz w:val="20"/>
          <w:szCs w:val="20"/>
        </w:rPr>
        <w:tab/>
        <w:t>Concluding remarks of the State under review</w:t>
      </w:r>
    </w:p>
    <w:p w14:paraId="585CDCE5" w14:textId="099B2C7B" w:rsidR="00323457" w:rsidRPr="0059638B" w:rsidRDefault="00972F1E" w:rsidP="00323457">
      <w:pPr>
        <w:pStyle w:val="SingleTxtG"/>
        <w:rPr>
          <w:sz w:val="20"/>
          <w:szCs w:val="20"/>
        </w:rPr>
      </w:pPr>
      <w:r>
        <w:rPr>
          <w:sz w:val="20"/>
          <w:szCs w:val="20"/>
        </w:rPr>
        <w:t>581</w:t>
      </w:r>
      <w:r w:rsidR="00D7475F">
        <w:rPr>
          <w:sz w:val="20"/>
          <w:szCs w:val="20"/>
        </w:rPr>
        <w:t>.</w:t>
      </w:r>
      <w:r w:rsidR="00D7475F">
        <w:rPr>
          <w:sz w:val="20"/>
          <w:szCs w:val="20"/>
        </w:rPr>
        <w:tab/>
      </w:r>
      <w:r w:rsidR="00323457" w:rsidRPr="0059638B">
        <w:rPr>
          <w:sz w:val="20"/>
          <w:szCs w:val="20"/>
        </w:rPr>
        <w:t>The Vice-President stated that, based on the information provided, out of 176 recommendations received, 133 enjoyed the support of Mauritius, and 43 were noted.</w:t>
      </w:r>
    </w:p>
    <w:p w14:paraId="1359AC5E" w14:textId="35A18161" w:rsidR="00323457" w:rsidRPr="0059638B" w:rsidRDefault="00972F1E" w:rsidP="00323457">
      <w:pPr>
        <w:pStyle w:val="SingleTxtG"/>
        <w:rPr>
          <w:sz w:val="20"/>
          <w:szCs w:val="20"/>
        </w:rPr>
      </w:pPr>
      <w:r>
        <w:rPr>
          <w:sz w:val="20"/>
          <w:szCs w:val="20"/>
        </w:rPr>
        <w:t>582</w:t>
      </w:r>
      <w:r w:rsidR="00D7475F">
        <w:rPr>
          <w:sz w:val="20"/>
          <w:szCs w:val="20"/>
        </w:rPr>
        <w:t>.</w:t>
      </w:r>
      <w:r w:rsidR="00D7475F">
        <w:rPr>
          <w:sz w:val="20"/>
          <w:szCs w:val="20"/>
        </w:rPr>
        <w:tab/>
      </w:r>
      <w:r w:rsidR="00323457" w:rsidRPr="0059638B">
        <w:rPr>
          <w:sz w:val="20"/>
          <w:szCs w:val="20"/>
        </w:rPr>
        <w:t>In conclusion, the delegation of Mauritius thanked all those involved in its universal periodic review and expressed its commitment to human rights and the universal periodic review process.</w:t>
      </w:r>
    </w:p>
    <w:p w14:paraId="72365701" w14:textId="77777777" w:rsidR="00323457" w:rsidRPr="0059638B" w:rsidRDefault="00323457" w:rsidP="00323457">
      <w:pPr>
        <w:pStyle w:val="SingleTxtG"/>
        <w:rPr>
          <w:b/>
          <w:bCs/>
          <w:sz w:val="20"/>
          <w:szCs w:val="20"/>
        </w:rPr>
      </w:pPr>
      <w:r w:rsidRPr="0059638B">
        <w:rPr>
          <w:b/>
          <w:bCs/>
          <w:sz w:val="20"/>
          <w:szCs w:val="20"/>
        </w:rPr>
        <w:t>Jordan</w:t>
      </w:r>
    </w:p>
    <w:p w14:paraId="245D136C" w14:textId="0489B8E3" w:rsidR="00FF41A0" w:rsidRDefault="00972F1E" w:rsidP="00FF41A0">
      <w:pPr>
        <w:pStyle w:val="SingleTxtG"/>
        <w:rPr>
          <w:sz w:val="20"/>
          <w:szCs w:val="20"/>
        </w:rPr>
      </w:pPr>
      <w:r>
        <w:rPr>
          <w:sz w:val="20"/>
          <w:szCs w:val="20"/>
        </w:rPr>
        <w:lastRenderedPageBreak/>
        <w:t>583</w:t>
      </w:r>
      <w:r w:rsidR="00D7475F">
        <w:rPr>
          <w:sz w:val="20"/>
          <w:szCs w:val="20"/>
        </w:rPr>
        <w:t>.</w:t>
      </w:r>
      <w:r w:rsidR="00D7475F">
        <w:rPr>
          <w:sz w:val="20"/>
          <w:szCs w:val="20"/>
        </w:rPr>
        <w:tab/>
      </w:r>
      <w:r w:rsidR="00323457" w:rsidRPr="0059638B">
        <w:rPr>
          <w:sz w:val="20"/>
          <w:szCs w:val="20"/>
        </w:rPr>
        <w:t>The review of Jordan was held on 8 November 2018 in conformity with all the relevant provisions contained in relevant Human Rights Council resolutions and decisions, and was bas</w:t>
      </w:r>
      <w:r w:rsidR="00FF41A0">
        <w:rPr>
          <w:sz w:val="20"/>
          <w:szCs w:val="20"/>
        </w:rPr>
        <w:t xml:space="preserve">ed on the following documents: </w:t>
      </w:r>
    </w:p>
    <w:p w14:paraId="16084E49" w14:textId="196DCCF8" w:rsidR="00323457" w:rsidRPr="0059638B" w:rsidRDefault="00323457" w:rsidP="00FF41A0">
      <w:pPr>
        <w:pStyle w:val="SingleTxtG"/>
        <w:ind w:firstLine="555"/>
        <w:rPr>
          <w:sz w:val="20"/>
          <w:szCs w:val="20"/>
        </w:rPr>
      </w:pPr>
      <w:r w:rsidRPr="0059638B">
        <w:rPr>
          <w:sz w:val="20"/>
          <w:szCs w:val="20"/>
        </w:rPr>
        <w:t>(a)</w:t>
      </w:r>
      <w:r w:rsidRPr="0059638B">
        <w:rPr>
          <w:sz w:val="20"/>
          <w:szCs w:val="20"/>
        </w:rPr>
        <w:tab/>
        <w:t xml:space="preserve">The national report submitted by Jordan in accordance with paragraph 15 of the annex to Council resolution 5/1 and paragraph 5 of the annex to Council resolution 16/21 (A/HRC/WG.6/31/JOR/1); </w:t>
      </w:r>
    </w:p>
    <w:p w14:paraId="57B00682" w14:textId="12675528" w:rsidR="00323457" w:rsidRPr="0059638B" w:rsidRDefault="00323457" w:rsidP="00FF41A0">
      <w:pPr>
        <w:pStyle w:val="SingleTxtG"/>
        <w:ind w:firstLine="555"/>
        <w:rPr>
          <w:sz w:val="20"/>
          <w:szCs w:val="20"/>
        </w:rPr>
      </w:pPr>
      <w:r w:rsidRPr="0059638B">
        <w:rPr>
          <w:sz w:val="20"/>
          <w:szCs w:val="20"/>
        </w:rPr>
        <w:t>(b)</w:t>
      </w:r>
      <w:r w:rsidRPr="0059638B">
        <w:rPr>
          <w:sz w:val="20"/>
          <w:szCs w:val="20"/>
        </w:rPr>
        <w:tab/>
        <w:t xml:space="preserve">The compilation prepared by </w:t>
      </w:r>
      <w:r>
        <w:rPr>
          <w:sz w:val="20"/>
          <w:szCs w:val="20"/>
        </w:rPr>
        <w:t xml:space="preserve">the </w:t>
      </w:r>
      <w:r w:rsidRPr="00FF41A0">
        <w:rPr>
          <w:sz w:val="20"/>
          <w:szCs w:val="20"/>
        </w:rPr>
        <w:t>Office of the United Nations High Commissioner for Human Rights</w:t>
      </w:r>
      <w:r w:rsidRPr="0059638B">
        <w:rPr>
          <w:sz w:val="20"/>
          <w:szCs w:val="20"/>
        </w:rPr>
        <w:t xml:space="preserve"> in accordance with paragraph 15 of the annex to Council resolution 5/1 and paragraph 5 of the annex to Council resolution 16/21 (A/HRC/WG.6/31/JOR/2); </w:t>
      </w:r>
    </w:p>
    <w:p w14:paraId="16F687B7" w14:textId="5836B785" w:rsidR="00323457" w:rsidRPr="0059638B" w:rsidRDefault="00323457" w:rsidP="00FF41A0">
      <w:pPr>
        <w:pStyle w:val="SingleTxtG"/>
        <w:ind w:firstLine="555"/>
        <w:rPr>
          <w:sz w:val="20"/>
          <w:szCs w:val="20"/>
        </w:rPr>
      </w:pPr>
      <w:r w:rsidRPr="0059638B">
        <w:rPr>
          <w:sz w:val="20"/>
          <w:szCs w:val="20"/>
        </w:rPr>
        <w:t>(c)</w:t>
      </w:r>
      <w:r w:rsidRPr="0059638B">
        <w:rPr>
          <w:sz w:val="20"/>
          <w:szCs w:val="20"/>
        </w:rPr>
        <w:tab/>
        <w:t xml:space="preserve">The summary prepared by </w:t>
      </w:r>
      <w:r>
        <w:rPr>
          <w:sz w:val="20"/>
          <w:szCs w:val="20"/>
        </w:rPr>
        <w:t xml:space="preserve">the </w:t>
      </w:r>
      <w:r w:rsidRPr="00FF41A0">
        <w:rPr>
          <w:sz w:val="20"/>
          <w:szCs w:val="20"/>
        </w:rPr>
        <w:t>Office of the United Nations High Commissioner for Human Rights</w:t>
      </w:r>
      <w:r w:rsidRPr="0059638B">
        <w:rPr>
          <w:sz w:val="20"/>
          <w:szCs w:val="20"/>
        </w:rPr>
        <w:t xml:space="preserve"> in accordance with paragraph 15 of the annex to Council resolution 5/1 and paragraph 5 of the annex to Council resolution 16/21 (A/HRC/WG.6/31/JOR/3).</w:t>
      </w:r>
    </w:p>
    <w:p w14:paraId="0AC12CD5" w14:textId="5190A03C" w:rsidR="00323457" w:rsidRPr="0059638B" w:rsidRDefault="00972F1E" w:rsidP="00323457">
      <w:pPr>
        <w:pStyle w:val="SingleTxtG"/>
        <w:rPr>
          <w:sz w:val="20"/>
          <w:szCs w:val="20"/>
        </w:rPr>
      </w:pPr>
      <w:r>
        <w:rPr>
          <w:sz w:val="20"/>
          <w:szCs w:val="20"/>
        </w:rPr>
        <w:t>584</w:t>
      </w:r>
      <w:r w:rsidR="00D7475F">
        <w:rPr>
          <w:sz w:val="20"/>
          <w:szCs w:val="20"/>
        </w:rPr>
        <w:t>.</w:t>
      </w:r>
      <w:r w:rsidR="00D7475F">
        <w:rPr>
          <w:sz w:val="20"/>
          <w:szCs w:val="20"/>
        </w:rPr>
        <w:tab/>
      </w:r>
      <w:r w:rsidR="00323457" w:rsidRPr="0059638B">
        <w:rPr>
          <w:sz w:val="20"/>
          <w:szCs w:val="20"/>
        </w:rPr>
        <w:t>At its 36th meeting, on 14 March 2019, the Human Rights Council considered and adopted the outcome of the review of Jordan (see sect. C below).</w:t>
      </w:r>
    </w:p>
    <w:p w14:paraId="2FE1A772" w14:textId="1A353DEE" w:rsidR="00323457" w:rsidRPr="0059638B" w:rsidRDefault="00972F1E" w:rsidP="00323457">
      <w:pPr>
        <w:pStyle w:val="SingleTxtG"/>
        <w:rPr>
          <w:sz w:val="20"/>
          <w:szCs w:val="20"/>
        </w:rPr>
      </w:pPr>
      <w:r>
        <w:rPr>
          <w:sz w:val="20"/>
          <w:szCs w:val="20"/>
        </w:rPr>
        <w:t>585</w:t>
      </w:r>
      <w:r w:rsidR="00D7475F">
        <w:rPr>
          <w:sz w:val="20"/>
          <w:szCs w:val="20"/>
        </w:rPr>
        <w:t>.</w:t>
      </w:r>
      <w:r w:rsidR="00D7475F">
        <w:rPr>
          <w:sz w:val="20"/>
          <w:szCs w:val="20"/>
        </w:rPr>
        <w:tab/>
      </w:r>
      <w:r w:rsidR="00323457" w:rsidRPr="0059638B">
        <w:rPr>
          <w:sz w:val="20"/>
          <w:szCs w:val="20"/>
        </w:rPr>
        <w:t>The outcome of the review of Jordan comprises the report of the Working Group on the Universal Periodic Review (A/HRC/40/10) and the views of Jordan concerning the recommendations and conclusions, as well as its voluntary commitments and its replies to questions or issues that were not sufficiently addressed during the interactive dialogue in the Working Group, and which were presented before the adoption of the outcome by the plenary (see also A/HRC/40/10/Add.1).</w:t>
      </w:r>
    </w:p>
    <w:p w14:paraId="7EE17F80" w14:textId="77777777" w:rsidR="00323457" w:rsidRPr="0059638B" w:rsidRDefault="00323457" w:rsidP="00323457">
      <w:pPr>
        <w:pStyle w:val="H23G"/>
        <w:rPr>
          <w:sz w:val="20"/>
          <w:szCs w:val="20"/>
        </w:rPr>
      </w:pPr>
      <w:r w:rsidRPr="0059638B">
        <w:rPr>
          <w:sz w:val="20"/>
          <w:szCs w:val="20"/>
        </w:rPr>
        <w:tab/>
        <w:t>1.</w:t>
      </w:r>
      <w:r w:rsidRPr="0059638B">
        <w:rPr>
          <w:sz w:val="20"/>
          <w:szCs w:val="20"/>
        </w:rPr>
        <w:tab/>
        <w:t>Views expressed by the State under review on the recommendations and/or conclusions, its voluntary commitments and the outcome</w:t>
      </w:r>
    </w:p>
    <w:p w14:paraId="2BE54F75" w14:textId="4600D0CD" w:rsidR="00323457" w:rsidRPr="0059638B" w:rsidRDefault="00972F1E" w:rsidP="00323457">
      <w:pPr>
        <w:pStyle w:val="SingleTxtG"/>
        <w:rPr>
          <w:sz w:val="20"/>
          <w:szCs w:val="20"/>
        </w:rPr>
      </w:pPr>
      <w:r>
        <w:rPr>
          <w:sz w:val="20"/>
          <w:szCs w:val="20"/>
        </w:rPr>
        <w:t>586</w:t>
      </w:r>
      <w:r w:rsidR="00D7475F">
        <w:rPr>
          <w:sz w:val="20"/>
          <w:szCs w:val="20"/>
        </w:rPr>
        <w:t>.</w:t>
      </w:r>
      <w:r w:rsidR="00D7475F">
        <w:rPr>
          <w:sz w:val="20"/>
          <w:szCs w:val="20"/>
        </w:rPr>
        <w:tab/>
      </w:r>
      <w:r w:rsidR="00323457" w:rsidRPr="0059638B">
        <w:rPr>
          <w:sz w:val="20"/>
          <w:szCs w:val="20"/>
        </w:rPr>
        <w:t>The Government of Jordan thanked all the delegations that participated during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interactive dialogue, and expressed its appreciation to the friendly countries and to the international organizations that have supported the process of promoting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 xml:space="preserve">human rights system in Jordan. </w:t>
      </w:r>
    </w:p>
    <w:p w14:paraId="1725FC05" w14:textId="1D3F30BF" w:rsidR="00323457" w:rsidRPr="0059638B" w:rsidRDefault="00972F1E" w:rsidP="00323457">
      <w:pPr>
        <w:pStyle w:val="SingleTxtG"/>
        <w:rPr>
          <w:sz w:val="20"/>
          <w:szCs w:val="20"/>
        </w:rPr>
      </w:pPr>
      <w:r>
        <w:rPr>
          <w:sz w:val="20"/>
          <w:szCs w:val="20"/>
        </w:rPr>
        <w:t>587</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Government affirmed</w:t>
      </w:r>
      <w:r w:rsidR="00FF41A0">
        <w:rPr>
          <w:sz w:val="20"/>
          <w:szCs w:val="20"/>
        </w:rPr>
        <w:t xml:space="preserve"> </w:t>
      </w:r>
      <w:r w:rsidR="00323457" w:rsidRPr="0059638B">
        <w:rPr>
          <w:sz w:val="20"/>
          <w:szCs w:val="20"/>
        </w:rPr>
        <w:t>its commitment</w:t>
      </w:r>
      <w:r w:rsidR="00FF41A0">
        <w:rPr>
          <w:sz w:val="20"/>
          <w:szCs w:val="20"/>
        </w:rPr>
        <w:t xml:space="preserve"> </w:t>
      </w:r>
      <w:r w:rsidR="00323457" w:rsidRPr="0059638B">
        <w:rPr>
          <w:bCs/>
          <w:sz w:val="20"/>
          <w:szCs w:val="20"/>
        </w:rPr>
        <w:t>to</w:t>
      </w:r>
      <w:r w:rsidR="00FF41A0">
        <w:rPr>
          <w:bCs/>
          <w:sz w:val="20"/>
          <w:szCs w:val="20"/>
        </w:rPr>
        <w:t xml:space="preserve"> </w:t>
      </w:r>
      <w:r w:rsidR="00323457" w:rsidRPr="0059638B">
        <w:rPr>
          <w:bCs/>
          <w:sz w:val="20"/>
          <w:szCs w:val="20"/>
        </w:rPr>
        <w:t>continue</w:t>
      </w:r>
      <w:r w:rsidR="00FF41A0">
        <w:rPr>
          <w:bCs/>
          <w:sz w:val="20"/>
          <w:szCs w:val="20"/>
        </w:rPr>
        <w:t xml:space="preserve"> </w:t>
      </w:r>
      <w:r w:rsidR="00323457" w:rsidRPr="0059638B">
        <w:rPr>
          <w:bCs/>
          <w:sz w:val="20"/>
          <w:szCs w:val="20"/>
        </w:rPr>
        <w:t>to</w:t>
      </w:r>
      <w:r w:rsidR="00FF41A0">
        <w:rPr>
          <w:sz w:val="20"/>
          <w:szCs w:val="20"/>
        </w:rPr>
        <w:t xml:space="preserve"> </w:t>
      </w:r>
      <w:r w:rsidR="00323457" w:rsidRPr="0059638B">
        <w:rPr>
          <w:sz w:val="20"/>
          <w:szCs w:val="20"/>
        </w:rPr>
        <w:t>promote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protect</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work</w:t>
      </w:r>
      <w:r w:rsidR="00FF41A0">
        <w:rPr>
          <w:sz w:val="20"/>
          <w:szCs w:val="20"/>
        </w:rPr>
        <w:t xml:space="preserve"> </w:t>
      </w:r>
      <w:r w:rsidR="00323457" w:rsidRPr="0059638B">
        <w:rPr>
          <w:sz w:val="20"/>
          <w:szCs w:val="20"/>
        </w:rPr>
        <w:t>towards</w:t>
      </w:r>
      <w:r w:rsidR="00FF41A0">
        <w:rPr>
          <w:sz w:val="20"/>
          <w:szCs w:val="20"/>
        </w:rPr>
        <w:t xml:space="preserve"> </w:t>
      </w:r>
      <w:r w:rsidR="00323457" w:rsidRPr="0059638B">
        <w:rPr>
          <w:sz w:val="20"/>
          <w:szCs w:val="20"/>
        </w:rPr>
        <w:t>their</w:t>
      </w:r>
      <w:r w:rsidR="00FF41A0">
        <w:rPr>
          <w:sz w:val="20"/>
          <w:szCs w:val="20"/>
        </w:rPr>
        <w:t xml:space="preserve"> </w:t>
      </w:r>
      <w:r w:rsidR="00323457" w:rsidRPr="0059638B">
        <w:rPr>
          <w:sz w:val="20"/>
          <w:szCs w:val="20"/>
        </w:rPr>
        <w:t>consolidation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enforcement</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line</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conventions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has</w:t>
      </w:r>
      <w:r w:rsidR="00FF41A0">
        <w:rPr>
          <w:sz w:val="20"/>
          <w:szCs w:val="20"/>
        </w:rPr>
        <w:t xml:space="preserve"> </w:t>
      </w:r>
      <w:r w:rsidR="00323457" w:rsidRPr="0059638B">
        <w:rPr>
          <w:sz w:val="20"/>
          <w:szCs w:val="20"/>
        </w:rPr>
        <w:t>ratified,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heritage,</w:t>
      </w:r>
      <w:r w:rsidR="00FF41A0">
        <w:rPr>
          <w:sz w:val="20"/>
          <w:szCs w:val="20"/>
        </w:rPr>
        <w:t xml:space="preserve"> </w:t>
      </w:r>
      <w:r w:rsidR="00323457" w:rsidRPr="0059638B">
        <w:rPr>
          <w:sz w:val="20"/>
          <w:szCs w:val="20"/>
        </w:rPr>
        <w:t>political</w:t>
      </w:r>
      <w:r w:rsidR="00FF41A0">
        <w:rPr>
          <w:sz w:val="20"/>
          <w:szCs w:val="20"/>
        </w:rPr>
        <w:t xml:space="preserve"> </w:t>
      </w:r>
      <w:r w:rsidR="00323457" w:rsidRPr="0059638B">
        <w:rPr>
          <w:sz w:val="20"/>
          <w:szCs w:val="20"/>
        </w:rPr>
        <w:t>will,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accordance</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Jordanian</w:t>
      </w:r>
      <w:r w:rsidR="00FF41A0">
        <w:rPr>
          <w:sz w:val="20"/>
          <w:szCs w:val="20"/>
        </w:rPr>
        <w:t xml:space="preserve"> </w:t>
      </w:r>
      <w:r w:rsidR="00323457" w:rsidRPr="0059638B">
        <w:rPr>
          <w:sz w:val="20"/>
          <w:szCs w:val="20"/>
        </w:rPr>
        <w:t>Constitution,</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guarantees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fundamental</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freedoms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individuals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walks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life.</w:t>
      </w:r>
      <w:r w:rsidR="00FF41A0">
        <w:rPr>
          <w:sz w:val="20"/>
          <w:szCs w:val="20"/>
        </w:rPr>
        <w:t xml:space="preserve"> </w:t>
      </w:r>
      <w:r w:rsidR="00323457" w:rsidRPr="0059638B">
        <w:rPr>
          <w:sz w:val="20"/>
          <w:szCs w:val="20"/>
        </w:rPr>
        <w:t>Rule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law,</w:t>
      </w:r>
      <w:r w:rsidR="00FF41A0">
        <w:rPr>
          <w:sz w:val="20"/>
          <w:szCs w:val="20"/>
        </w:rPr>
        <w:t xml:space="preserve"> </w:t>
      </w:r>
      <w:r w:rsidR="00323457" w:rsidRPr="0059638B">
        <w:rPr>
          <w:sz w:val="20"/>
          <w:szCs w:val="20"/>
        </w:rPr>
        <w:t>comprehensive</w:t>
      </w:r>
      <w:r w:rsidR="00FF41A0">
        <w:rPr>
          <w:sz w:val="20"/>
          <w:szCs w:val="20"/>
        </w:rPr>
        <w:t xml:space="preserve"> </w:t>
      </w:r>
      <w:r w:rsidR="00323457" w:rsidRPr="0059638B">
        <w:rPr>
          <w:sz w:val="20"/>
          <w:szCs w:val="20"/>
        </w:rPr>
        <w:t>reforms</w:t>
      </w:r>
      <w:r w:rsidR="00FF41A0">
        <w:rPr>
          <w:sz w:val="20"/>
          <w:szCs w:val="20"/>
        </w:rPr>
        <w:t xml:space="preserve"> </w:t>
      </w:r>
      <w:r w:rsidR="00323457" w:rsidRPr="0059638B">
        <w:rPr>
          <w:sz w:val="20"/>
          <w:szCs w:val="20"/>
        </w:rPr>
        <w:t>aimed</w:t>
      </w:r>
      <w:r w:rsidR="00FF41A0">
        <w:rPr>
          <w:sz w:val="20"/>
          <w:szCs w:val="20"/>
        </w:rPr>
        <w:t xml:space="preserve"> </w:t>
      </w:r>
      <w:r w:rsidR="00323457" w:rsidRPr="0059638B">
        <w:rPr>
          <w:sz w:val="20"/>
          <w:szCs w:val="20"/>
        </w:rPr>
        <w:t>at</w:t>
      </w:r>
      <w:r w:rsidR="00FF41A0">
        <w:rPr>
          <w:sz w:val="20"/>
          <w:szCs w:val="20"/>
        </w:rPr>
        <w:t xml:space="preserve"> </w:t>
      </w:r>
      <w:r w:rsidR="00323457" w:rsidRPr="0059638B">
        <w:rPr>
          <w:sz w:val="20"/>
          <w:szCs w:val="20"/>
        </w:rPr>
        <w:t>improving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fundamental</w:t>
      </w:r>
      <w:r w:rsidR="00FF41A0">
        <w:rPr>
          <w:sz w:val="20"/>
          <w:szCs w:val="20"/>
        </w:rPr>
        <w:t xml:space="preserve"> </w:t>
      </w:r>
      <w:r w:rsidR="00323457" w:rsidRPr="0059638B">
        <w:rPr>
          <w:sz w:val="20"/>
          <w:szCs w:val="20"/>
        </w:rPr>
        <w:t>freedoms</w:t>
      </w:r>
      <w:r w:rsidR="00FF41A0">
        <w:rPr>
          <w:sz w:val="20"/>
          <w:szCs w:val="20"/>
        </w:rPr>
        <w:t xml:space="preserve"> </w:t>
      </w:r>
      <w:r w:rsidR="00323457" w:rsidRPr="0059638B">
        <w:rPr>
          <w:sz w:val="20"/>
          <w:szCs w:val="20"/>
        </w:rPr>
        <w:t>have</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prioritized</w:t>
      </w:r>
      <w:r w:rsidR="00FF41A0">
        <w:rPr>
          <w:sz w:val="20"/>
          <w:szCs w:val="20"/>
        </w:rPr>
        <w:t xml:space="preserve"> </w:t>
      </w:r>
      <w:r w:rsidR="00323457" w:rsidRPr="0059638B">
        <w:rPr>
          <w:sz w:val="20"/>
          <w:szCs w:val="20"/>
        </w:rPr>
        <w:t>under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enlightened</w:t>
      </w:r>
      <w:r w:rsidR="00FF41A0">
        <w:rPr>
          <w:sz w:val="20"/>
          <w:szCs w:val="20"/>
        </w:rPr>
        <w:t xml:space="preserve"> </w:t>
      </w:r>
      <w:r w:rsidR="00323457" w:rsidRPr="0059638B">
        <w:rPr>
          <w:sz w:val="20"/>
          <w:szCs w:val="20"/>
        </w:rPr>
        <w:t>leadership</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His</w:t>
      </w:r>
      <w:r w:rsidR="00FF41A0">
        <w:rPr>
          <w:sz w:val="20"/>
          <w:szCs w:val="20"/>
        </w:rPr>
        <w:t xml:space="preserve"> </w:t>
      </w:r>
      <w:r w:rsidR="00323457" w:rsidRPr="0059638B">
        <w:rPr>
          <w:sz w:val="20"/>
          <w:szCs w:val="20"/>
        </w:rPr>
        <w:t>Majesty</w:t>
      </w:r>
      <w:r w:rsidR="00FF41A0">
        <w:rPr>
          <w:sz w:val="20"/>
          <w:szCs w:val="20"/>
        </w:rPr>
        <w:t xml:space="preserve"> </w:t>
      </w:r>
      <w:r w:rsidR="00323457" w:rsidRPr="0059638B">
        <w:rPr>
          <w:sz w:val="20"/>
          <w:szCs w:val="20"/>
        </w:rPr>
        <w:t>King</w:t>
      </w:r>
      <w:r w:rsidR="00FF41A0">
        <w:rPr>
          <w:sz w:val="20"/>
          <w:szCs w:val="20"/>
        </w:rPr>
        <w:t xml:space="preserve"> </w:t>
      </w:r>
      <w:r w:rsidR="00323457" w:rsidRPr="0059638B">
        <w:rPr>
          <w:sz w:val="20"/>
          <w:szCs w:val="20"/>
        </w:rPr>
        <w:t>Abdullah</w:t>
      </w:r>
      <w:r w:rsidR="00FF41A0">
        <w:rPr>
          <w:sz w:val="20"/>
          <w:szCs w:val="20"/>
        </w:rPr>
        <w:t xml:space="preserve"> </w:t>
      </w:r>
      <w:r w:rsidR="00323457" w:rsidRPr="0059638B">
        <w:rPr>
          <w:sz w:val="20"/>
          <w:szCs w:val="20"/>
        </w:rPr>
        <w:t>II</w:t>
      </w:r>
      <w:r w:rsidR="00FF41A0">
        <w:rPr>
          <w:sz w:val="20"/>
          <w:szCs w:val="20"/>
        </w:rPr>
        <w:t xml:space="preserve"> </w:t>
      </w:r>
      <w:r w:rsidR="00323457" w:rsidRPr="0059638B">
        <w:rPr>
          <w:sz w:val="20"/>
          <w:szCs w:val="20"/>
        </w:rPr>
        <w:t>Ibn</w:t>
      </w:r>
      <w:r w:rsidR="00FF41A0">
        <w:rPr>
          <w:sz w:val="20"/>
          <w:szCs w:val="20"/>
        </w:rPr>
        <w:t xml:space="preserve"> </w:t>
      </w:r>
      <w:r w:rsidR="00323457" w:rsidRPr="0059638B">
        <w:rPr>
          <w:sz w:val="20"/>
          <w:szCs w:val="20"/>
        </w:rPr>
        <w:t>al</w:t>
      </w:r>
      <w:r w:rsidR="00FF41A0">
        <w:rPr>
          <w:sz w:val="20"/>
          <w:szCs w:val="20"/>
        </w:rPr>
        <w:t xml:space="preserve"> </w:t>
      </w:r>
      <w:r w:rsidR="00323457" w:rsidRPr="0059638B">
        <w:rPr>
          <w:sz w:val="20"/>
          <w:szCs w:val="20"/>
        </w:rPr>
        <w:t>Hussein.</w:t>
      </w:r>
    </w:p>
    <w:p w14:paraId="27420E5B" w14:textId="13ABDB22" w:rsidR="00323457" w:rsidRPr="0059638B" w:rsidRDefault="00972F1E" w:rsidP="00323457">
      <w:pPr>
        <w:pStyle w:val="SingleTxtG"/>
        <w:rPr>
          <w:sz w:val="20"/>
          <w:szCs w:val="20"/>
        </w:rPr>
      </w:pPr>
      <w:r>
        <w:rPr>
          <w:sz w:val="20"/>
          <w:szCs w:val="20"/>
        </w:rPr>
        <w:t>588</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has</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prioritized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empowerment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promotion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gender</w:t>
      </w:r>
      <w:r w:rsidR="00FF41A0">
        <w:rPr>
          <w:sz w:val="20"/>
          <w:szCs w:val="20"/>
        </w:rPr>
        <w:t xml:space="preserve"> </w:t>
      </w:r>
      <w:r w:rsidR="00323457" w:rsidRPr="0059638B">
        <w:rPr>
          <w:sz w:val="20"/>
          <w:szCs w:val="20"/>
        </w:rPr>
        <w:t>equality</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various</w:t>
      </w:r>
      <w:r w:rsidR="00FF41A0">
        <w:rPr>
          <w:sz w:val="20"/>
          <w:szCs w:val="20"/>
        </w:rPr>
        <w:t xml:space="preserve"> </w:t>
      </w:r>
      <w:r w:rsidR="00323457" w:rsidRPr="0059638B">
        <w:rPr>
          <w:sz w:val="20"/>
          <w:szCs w:val="20"/>
        </w:rPr>
        <w:t>economic,</w:t>
      </w:r>
      <w:r w:rsidR="00FF41A0">
        <w:rPr>
          <w:sz w:val="20"/>
          <w:szCs w:val="20"/>
        </w:rPr>
        <w:t xml:space="preserve"> </w:t>
      </w:r>
      <w:r w:rsidR="00323457" w:rsidRPr="0059638B">
        <w:rPr>
          <w:sz w:val="20"/>
          <w:szCs w:val="20"/>
        </w:rPr>
        <w:t>political,</w:t>
      </w:r>
      <w:r w:rsidR="00FF41A0">
        <w:rPr>
          <w:sz w:val="20"/>
          <w:szCs w:val="20"/>
        </w:rPr>
        <w:t xml:space="preserve"> </w:t>
      </w:r>
      <w:r w:rsidR="00323457" w:rsidRPr="0059638B">
        <w:rPr>
          <w:sz w:val="20"/>
          <w:szCs w:val="20"/>
        </w:rPr>
        <w:t>social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administrative</w:t>
      </w:r>
      <w:r w:rsidR="00FF41A0">
        <w:rPr>
          <w:sz w:val="20"/>
          <w:szCs w:val="20"/>
        </w:rPr>
        <w:t xml:space="preserve"> </w:t>
      </w:r>
      <w:r w:rsidR="00323457" w:rsidRPr="0059638B">
        <w:rPr>
          <w:sz w:val="20"/>
          <w:szCs w:val="20"/>
        </w:rPr>
        <w:t>spheres.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this</w:t>
      </w:r>
      <w:r w:rsidR="00FF41A0">
        <w:rPr>
          <w:sz w:val="20"/>
          <w:szCs w:val="20"/>
        </w:rPr>
        <w:t xml:space="preserve"> </w:t>
      </w:r>
      <w:r w:rsidR="00323457" w:rsidRPr="0059638B">
        <w:rPr>
          <w:sz w:val="20"/>
          <w:szCs w:val="20"/>
        </w:rPr>
        <w:t>context,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launched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Empowering</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Public</w:t>
      </w:r>
      <w:r w:rsidR="00FF41A0">
        <w:rPr>
          <w:sz w:val="20"/>
          <w:szCs w:val="20"/>
        </w:rPr>
        <w:t xml:space="preserve"> </w:t>
      </w:r>
      <w:r w:rsidR="00323457" w:rsidRPr="0059638B">
        <w:rPr>
          <w:sz w:val="20"/>
          <w:szCs w:val="20"/>
        </w:rPr>
        <w:t>Sector</w:t>
      </w:r>
      <w:r w:rsidR="00FF41A0">
        <w:rPr>
          <w:sz w:val="20"/>
          <w:szCs w:val="20"/>
        </w:rPr>
        <w:t xml:space="preserve">” </w:t>
      </w:r>
      <w:r w:rsidR="00323457" w:rsidRPr="0059638B">
        <w:rPr>
          <w:sz w:val="20"/>
          <w:szCs w:val="20"/>
        </w:rPr>
        <w:t>programme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cabinet</w:t>
      </w:r>
      <w:r w:rsidR="00FF41A0">
        <w:rPr>
          <w:sz w:val="20"/>
          <w:szCs w:val="20"/>
        </w:rPr>
        <w:t xml:space="preserve"> </w:t>
      </w:r>
      <w:r w:rsidR="00323457" w:rsidRPr="0059638B">
        <w:rPr>
          <w:sz w:val="20"/>
          <w:szCs w:val="20"/>
        </w:rPr>
        <w:t>formed</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ministerial</w:t>
      </w:r>
      <w:r w:rsidR="00FF41A0">
        <w:rPr>
          <w:sz w:val="20"/>
          <w:szCs w:val="20"/>
        </w:rPr>
        <w:t xml:space="preserve"> </w:t>
      </w:r>
      <w:r w:rsidR="00323457" w:rsidRPr="0059638B">
        <w:rPr>
          <w:sz w:val="20"/>
          <w:szCs w:val="20"/>
        </w:rPr>
        <w:t>committee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empower</w:t>
      </w:r>
      <w:r w:rsidR="00FF41A0">
        <w:rPr>
          <w:sz w:val="20"/>
          <w:szCs w:val="20"/>
        </w:rPr>
        <w:t xml:space="preserve"> </w:t>
      </w:r>
      <w:r w:rsidR="00323457" w:rsidRPr="0059638B">
        <w:rPr>
          <w:sz w:val="20"/>
          <w:szCs w:val="20"/>
        </w:rPr>
        <w:t>women.</w:t>
      </w:r>
      <w:r w:rsidR="00FF41A0">
        <w:rPr>
          <w:sz w:val="20"/>
          <w:szCs w:val="20"/>
        </w:rPr>
        <w:t xml:space="preserve"> </w:t>
      </w:r>
    </w:p>
    <w:p w14:paraId="2C2D77ED" w14:textId="51D96877" w:rsidR="00323457" w:rsidRPr="0059638B" w:rsidRDefault="00972F1E" w:rsidP="00323457">
      <w:pPr>
        <w:pStyle w:val="SingleTxtG"/>
        <w:rPr>
          <w:sz w:val="20"/>
          <w:szCs w:val="20"/>
        </w:rPr>
      </w:pPr>
      <w:r>
        <w:rPr>
          <w:sz w:val="20"/>
          <w:szCs w:val="20"/>
        </w:rPr>
        <w:t>589</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reiterated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commitment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2030</w:t>
      </w:r>
      <w:r w:rsidR="00FF41A0">
        <w:rPr>
          <w:sz w:val="20"/>
          <w:szCs w:val="20"/>
        </w:rPr>
        <w:t xml:space="preserve"> </w:t>
      </w:r>
      <w:r w:rsidR="00323457" w:rsidRPr="0059638B">
        <w:rPr>
          <w:sz w:val="20"/>
          <w:szCs w:val="20"/>
        </w:rPr>
        <w:t>Sustainable</w:t>
      </w:r>
      <w:r w:rsidR="00FF41A0">
        <w:rPr>
          <w:sz w:val="20"/>
          <w:szCs w:val="20"/>
        </w:rPr>
        <w:t xml:space="preserve"> </w:t>
      </w:r>
      <w:r w:rsidR="00323457" w:rsidRPr="0059638B">
        <w:rPr>
          <w:sz w:val="20"/>
          <w:szCs w:val="20"/>
        </w:rPr>
        <w:t>Development</w:t>
      </w:r>
      <w:r w:rsidR="00FF41A0">
        <w:rPr>
          <w:sz w:val="20"/>
          <w:szCs w:val="20"/>
        </w:rPr>
        <w:t xml:space="preserve"> </w:t>
      </w:r>
      <w:r w:rsidR="00323457" w:rsidRPr="0059638B">
        <w:rPr>
          <w:sz w:val="20"/>
          <w:szCs w:val="20"/>
        </w:rPr>
        <w:t>Goals</w:t>
      </w:r>
      <w:r w:rsidR="00FF41A0">
        <w:rPr>
          <w:sz w:val="20"/>
          <w:szCs w:val="20"/>
        </w:rPr>
        <w:t xml:space="preserve"> </w:t>
      </w:r>
      <w:r w:rsidR="00323457" w:rsidRPr="0059638B">
        <w:rPr>
          <w:sz w:val="20"/>
          <w:szCs w:val="20"/>
        </w:rPr>
        <w:t>through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establishment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committee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promote</w:t>
      </w:r>
      <w:r w:rsidR="00FF41A0">
        <w:rPr>
          <w:sz w:val="20"/>
          <w:szCs w:val="20"/>
        </w:rPr>
        <w:t xml:space="preserve"> </w:t>
      </w:r>
      <w:r w:rsidR="00323457" w:rsidRPr="0059638B">
        <w:rPr>
          <w:sz w:val="20"/>
          <w:szCs w:val="20"/>
        </w:rPr>
        <w:t>gender</w:t>
      </w:r>
      <w:r w:rsidR="00FF41A0">
        <w:rPr>
          <w:sz w:val="20"/>
          <w:szCs w:val="20"/>
        </w:rPr>
        <w:t xml:space="preserve"> </w:t>
      </w:r>
      <w:r w:rsidR="00323457" w:rsidRPr="0059638B">
        <w:rPr>
          <w:sz w:val="20"/>
          <w:szCs w:val="20"/>
        </w:rPr>
        <w:t>equality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strategy,</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line</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Sustainable</w:t>
      </w:r>
      <w:r w:rsidR="00FF41A0">
        <w:rPr>
          <w:sz w:val="20"/>
          <w:szCs w:val="20"/>
        </w:rPr>
        <w:t xml:space="preserve"> </w:t>
      </w:r>
      <w:r w:rsidR="00323457" w:rsidRPr="0059638B">
        <w:rPr>
          <w:sz w:val="20"/>
          <w:szCs w:val="20"/>
        </w:rPr>
        <w:t>Development</w:t>
      </w:r>
      <w:r w:rsidR="00FF41A0">
        <w:rPr>
          <w:sz w:val="20"/>
          <w:szCs w:val="20"/>
        </w:rPr>
        <w:t xml:space="preserve"> </w:t>
      </w:r>
      <w:r w:rsidR="00323457" w:rsidRPr="0059638B">
        <w:rPr>
          <w:sz w:val="20"/>
          <w:szCs w:val="20"/>
        </w:rPr>
        <w:t>Goal</w:t>
      </w:r>
      <w:r w:rsidR="00FF41A0">
        <w:rPr>
          <w:sz w:val="20"/>
          <w:szCs w:val="20"/>
        </w:rPr>
        <w:t xml:space="preserve"> </w:t>
      </w:r>
      <w:r w:rsidR="00323457" w:rsidRPr="0059638B">
        <w:rPr>
          <w:sz w:val="20"/>
          <w:szCs w:val="20"/>
        </w:rPr>
        <w:t>5.</w:t>
      </w:r>
      <w:r w:rsidR="00FF41A0">
        <w:rPr>
          <w:sz w:val="20"/>
          <w:szCs w:val="20"/>
        </w:rPr>
        <w:t xml:space="preserve"> </w:t>
      </w:r>
      <w:r w:rsidR="00323457" w:rsidRPr="0059638B">
        <w:rPr>
          <w:sz w:val="20"/>
          <w:szCs w:val="20"/>
        </w:rPr>
        <w:t>Jordan</w:t>
      </w:r>
      <w:r w:rsidR="00FF41A0">
        <w:rPr>
          <w:sz w:val="20"/>
          <w:szCs w:val="20"/>
        </w:rPr>
        <w:t xml:space="preserve"> </w:t>
      </w:r>
      <w:r w:rsidR="00323457" w:rsidRPr="0059638B">
        <w:rPr>
          <w:sz w:val="20"/>
          <w:szCs w:val="20"/>
        </w:rPr>
        <w:t>has</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established</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plan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implement</w:t>
      </w:r>
      <w:r w:rsidR="00FF41A0">
        <w:rPr>
          <w:sz w:val="20"/>
          <w:szCs w:val="20"/>
        </w:rPr>
        <w:t xml:space="preserve"> </w:t>
      </w:r>
      <w:r w:rsidR="00323457" w:rsidRPr="0059638B">
        <w:rPr>
          <w:sz w:val="20"/>
          <w:szCs w:val="20"/>
        </w:rPr>
        <w:t>Security</w:t>
      </w:r>
      <w:r w:rsidR="00FF41A0">
        <w:rPr>
          <w:sz w:val="20"/>
          <w:szCs w:val="20"/>
        </w:rPr>
        <w:t xml:space="preserve"> </w:t>
      </w:r>
      <w:r w:rsidR="00323457" w:rsidRPr="0059638B">
        <w:rPr>
          <w:sz w:val="20"/>
          <w:szCs w:val="20"/>
        </w:rPr>
        <w:t>Council</w:t>
      </w:r>
      <w:r w:rsidR="00FF41A0">
        <w:rPr>
          <w:sz w:val="20"/>
          <w:szCs w:val="20"/>
        </w:rPr>
        <w:t xml:space="preserve"> </w:t>
      </w:r>
      <w:r w:rsidR="00C71D8A" w:rsidRPr="0059638B">
        <w:rPr>
          <w:sz w:val="20"/>
          <w:szCs w:val="20"/>
        </w:rPr>
        <w:t>resolution</w:t>
      </w:r>
      <w:r w:rsidR="00C71D8A">
        <w:rPr>
          <w:sz w:val="20"/>
          <w:szCs w:val="20"/>
        </w:rPr>
        <w:t xml:space="preserve"> </w:t>
      </w:r>
      <w:r w:rsidR="00323457" w:rsidRPr="0059638B">
        <w:rPr>
          <w:sz w:val="20"/>
          <w:szCs w:val="20"/>
        </w:rPr>
        <w:t>1325</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Peace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Security,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number</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laws</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amended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promote</w:t>
      </w:r>
      <w:r w:rsidR="00FF41A0">
        <w:rPr>
          <w:sz w:val="20"/>
          <w:szCs w:val="20"/>
        </w:rPr>
        <w:t xml:space="preserve"> </w:t>
      </w:r>
      <w:r w:rsidR="00323457" w:rsidRPr="0059638B">
        <w:rPr>
          <w:sz w:val="20"/>
          <w:szCs w:val="20"/>
        </w:rPr>
        <w:t>gender</w:t>
      </w:r>
      <w:r w:rsidR="00FF41A0">
        <w:rPr>
          <w:sz w:val="20"/>
          <w:szCs w:val="20"/>
        </w:rPr>
        <w:t xml:space="preserve"> </w:t>
      </w:r>
      <w:r w:rsidR="00323457" w:rsidRPr="0059638B">
        <w:rPr>
          <w:sz w:val="20"/>
          <w:szCs w:val="20"/>
        </w:rPr>
        <w:t>equality.</w:t>
      </w:r>
    </w:p>
    <w:p w14:paraId="675E81C8" w14:textId="2F3B2E84" w:rsidR="00323457" w:rsidRPr="0059638B" w:rsidRDefault="00972F1E" w:rsidP="00323457">
      <w:pPr>
        <w:pStyle w:val="SingleTxtG"/>
        <w:rPr>
          <w:sz w:val="20"/>
          <w:szCs w:val="20"/>
        </w:rPr>
      </w:pPr>
      <w:r>
        <w:rPr>
          <w:sz w:val="20"/>
          <w:szCs w:val="20"/>
        </w:rPr>
        <w:t>590</w:t>
      </w:r>
      <w:r w:rsidR="00D7475F">
        <w:rPr>
          <w:sz w:val="20"/>
          <w:szCs w:val="20"/>
        </w:rPr>
        <w:t>.</w:t>
      </w:r>
      <w:r w:rsidR="00D7475F">
        <w:rPr>
          <w:sz w:val="20"/>
          <w:szCs w:val="20"/>
        </w:rPr>
        <w:tab/>
      </w:r>
      <w:r w:rsidR="00323457" w:rsidRPr="0059638B">
        <w:rPr>
          <w:sz w:val="20"/>
          <w:szCs w:val="20"/>
        </w:rPr>
        <w:t>Furthermore,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reiterated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commitment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prioritize</w:t>
      </w:r>
      <w:r w:rsidR="00FF41A0">
        <w:rPr>
          <w:sz w:val="20"/>
          <w:szCs w:val="20"/>
        </w:rPr>
        <w:t xml:space="preserve"> </w:t>
      </w:r>
      <w:r w:rsidR="00323457" w:rsidRPr="0059638B">
        <w:rPr>
          <w:sz w:val="20"/>
          <w:szCs w:val="20"/>
        </w:rPr>
        <w:t>youth</w:t>
      </w:r>
      <w:r w:rsidR="00FF41A0">
        <w:rPr>
          <w:sz w:val="20"/>
          <w:szCs w:val="20"/>
        </w:rPr>
        <w:t xml:space="preserve"> </w:t>
      </w:r>
      <w:r w:rsidR="00323457" w:rsidRPr="0059638B">
        <w:rPr>
          <w:sz w:val="20"/>
          <w:szCs w:val="20"/>
        </w:rPr>
        <w:t>empowerment</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improving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quality</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education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training</w:t>
      </w:r>
      <w:r w:rsidR="00FF41A0">
        <w:rPr>
          <w:sz w:val="20"/>
          <w:szCs w:val="20"/>
        </w:rPr>
        <w:t xml:space="preserve"> </w:t>
      </w:r>
      <w:r w:rsidR="00323457" w:rsidRPr="0059638B">
        <w:rPr>
          <w:sz w:val="20"/>
          <w:szCs w:val="20"/>
        </w:rPr>
        <w:t>opportunities,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increasing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participation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youth</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economic,</w:t>
      </w:r>
      <w:r w:rsidR="00FF41A0">
        <w:rPr>
          <w:sz w:val="20"/>
          <w:szCs w:val="20"/>
        </w:rPr>
        <w:t xml:space="preserve"> </w:t>
      </w:r>
      <w:r w:rsidR="00323457" w:rsidRPr="0059638B">
        <w:rPr>
          <w:sz w:val="20"/>
          <w:szCs w:val="20"/>
        </w:rPr>
        <w:t>social,</w:t>
      </w:r>
      <w:r w:rsidR="00FF41A0">
        <w:rPr>
          <w:sz w:val="20"/>
          <w:szCs w:val="20"/>
        </w:rPr>
        <w:t xml:space="preserve"> </w:t>
      </w:r>
      <w:r w:rsidR="00323457" w:rsidRPr="0059638B">
        <w:rPr>
          <w:sz w:val="20"/>
          <w:szCs w:val="20"/>
        </w:rPr>
        <w:t>political,</w:t>
      </w:r>
      <w:r w:rsidR="00FF41A0">
        <w:rPr>
          <w:sz w:val="20"/>
          <w:szCs w:val="20"/>
        </w:rPr>
        <w:t xml:space="preserve"> </w:t>
      </w:r>
      <w:r w:rsidR="00323457" w:rsidRPr="0059638B">
        <w:rPr>
          <w:sz w:val="20"/>
          <w:szCs w:val="20"/>
        </w:rPr>
        <w:t>environmental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cultural</w:t>
      </w:r>
      <w:r w:rsidR="00FF41A0">
        <w:rPr>
          <w:sz w:val="20"/>
          <w:szCs w:val="20"/>
        </w:rPr>
        <w:t xml:space="preserve"> </w:t>
      </w:r>
      <w:r w:rsidR="00323457" w:rsidRPr="0059638B">
        <w:rPr>
          <w:sz w:val="20"/>
          <w:szCs w:val="20"/>
        </w:rPr>
        <w:t>fields,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making</w:t>
      </w:r>
      <w:r w:rsidR="00FF41A0">
        <w:rPr>
          <w:sz w:val="20"/>
          <w:szCs w:val="20"/>
        </w:rPr>
        <w:t xml:space="preserve"> </w:t>
      </w:r>
      <w:r w:rsidR="00323457" w:rsidRPr="0059638B">
        <w:rPr>
          <w:sz w:val="20"/>
          <w:szCs w:val="20"/>
        </w:rPr>
        <w:t>available</w:t>
      </w:r>
      <w:r w:rsidR="00FF41A0">
        <w:rPr>
          <w:sz w:val="20"/>
          <w:szCs w:val="20"/>
        </w:rPr>
        <w:t xml:space="preserve"> </w:t>
      </w:r>
      <w:r w:rsidR="00323457" w:rsidRPr="0059638B">
        <w:rPr>
          <w:sz w:val="20"/>
          <w:szCs w:val="20"/>
        </w:rPr>
        <w:t>specialized</w:t>
      </w:r>
      <w:r w:rsidR="00FF41A0">
        <w:rPr>
          <w:sz w:val="20"/>
          <w:szCs w:val="20"/>
        </w:rPr>
        <w:t xml:space="preserve"> </w:t>
      </w:r>
      <w:r w:rsidR="00323457" w:rsidRPr="0059638B">
        <w:rPr>
          <w:sz w:val="20"/>
          <w:szCs w:val="20"/>
        </w:rPr>
        <w:t>programmes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integrate</w:t>
      </w:r>
      <w:r w:rsidR="00FF41A0">
        <w:rPr>
          <w:sz w:val="20"/>
          <w:szCs w:val="20"/>
        </w:rPr>
        <w:t xml:space="preserve"> </w:t>
      </w:r>
      <w:r w:rsidR="00323457" w:rsidRPr="0059638B">
        <w:rPr>
          <w:sz w:val="20"/>
          <w:szCs w:val="20"/>
        </w:rPr>
        <w:t>youth</w:t>
      </w:r>
      <w:r w:rsidR="00FF41A0">
        <w:rPr>
          <w:sz w:val="20"/>
          <w:szCs w:val="20"/>
        </w:rPr>
        <w:t xml:space="preserve"> </w:t>
      </w:r>
      <w:r w:rsidR="00323457" w:rsidRPr="0059638B">
        <w:rPr>
          <w:sz w:val="20"/>
          <w:szCs w:val="20"/>
        </w:rPr>
        <w:t>into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labour</w:t>
      </w:r>
      <w:r w:rsidR="00FF41A0">
        <w:rPr>
          <w:sz w:val="20"/>
          <w:szCs w:val="20"/>
        </w:rPr>
        <w:t xml:space="preserve"> </w:t>
      </w:r>
      <w:r w:rsidR="00323457" w:rsidRPr="0059638B">
        <w:rPr>
          <w:sz w:val="20"/>
          <w:szCs w:val="20"/>
        </w:rPr>
        <w:t>market.</w:t>
      </w:r>
      <w:r w:rsidR="00FF41A0">
        <w:rPr>
          <w:sz w:val="20"/>
          <w:szCs w:val="20"/>
        </w:rPr>
        <w:t xml:space="preserve"> </w:t>
      </w:r>
      <w:r w:rsidR="00323457" w:rsidRPr="0059638B">
        <w:rPr>
          <w:sz w:val="20"/>
          <w:szCs w:val="20"/>
        </w:rPr>
        <w:t>Jordan</w:t>
      </w:r>
      <w:r w:rsidR="00FF41A0">
        <w:rPr>
          <w:sz w:val="20"/>
          <w:szCs w:val="20"/>
        </w:rPr>
        <w:t xml:space="preserve"> </w:t>
      </w:r>
      <w:r w:rsidR="00323457" w:rsidRPr="0059638B">
        <w:rPr>
          <w:sz w:val="20"/>
          <w:szCs w:val="20"/>
        </w:rPr>
        <w:t>has</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developing</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strategy</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identify</w:t>
      </w:r>
      <w:r w:rsidR="00FF41A0">
        <w:rPr>
          <w:sz w:val="20"/>
          <w:szCs w:val="20"/>
        </w:rPr>
        <w:t xml:space="preserve"> </w:t>
      </w:r>
      <w:r w:rsidR="00323457" w:rsidRPr="0059638B">
        <w:rPr>
          <w:sz w:val="20"/>
          <w:szCs w:val="20"/>
        </w:rPr>
        <w:t>priorities</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lastRenderedPageBreak/>
        <w:t>supporting</w:t>
      </w:r>
      <w:r w:rsidR="00FF41A0">
        <w:rPr>
          <w:sz w:val="20"/>
          <w:szCs w:val="20"/>
        </w:rPr>
        <w:t xml:space="preserve"> </w:t>
      </w:r>
      <w:r w:rsidR="00323457" w:rsidRPr="0059638B">
        <w:rPr>
          <w:sz w:val="20"/>
          <w:szCs w:val="20"/>
        </w:rPr>
        <w:t>youth,</w:t>
      </w:r>
      <w:r w:rsidR="00FF41A0">
        <w:rPr>
          <w:sz w:val="20"/>
          <w:szCs w:val="20"/>
        </w:rPr>
        <w:t xml:space="preserve"> </w:t>
      </w:r>
      <w:r w:rsidR="00323457" w:rsidRPr="0059638B">
        <w:rPr>
          <w:sz w:val="20"/>
          <w:szCs w:val="20"/>
        </w:rPr>
        <w:t>including</w:t>
      </w:r>
      <w:r w:rsidR="00FF41A0">
        <w:rPr>
          <w:sz w:val="20"/>
          <w:szCs w:val="20"/>
        </w:rPr>
        <w:t xml:space="preserve"> </w:t>
      </w:r>
      <w:r w:rsidR="00323457" w:rsidRPr="0059638B">
        <w:rPr>
          <w:sz w:val="20"/>
          <w:szCs w:val="20"/>
        </w:rPr>
        <w:t>training</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civic</w:t>
      </w:r>
      <w:r w:rsidR="00FF41A0">
        <w:rPr>
          <w:sz w:val="20"/>
          <w:szCs w:val="20"/>
        </w:rPr>
        <w:t xml:space="preserve"> </w:t>
      </w:r>
      <w:r w:rsidR="00323457" w:rsidRPr="0059638B">
        <w:rPr>
          <w:sz w:val="20"/>
          <w:szCs w:val="20"/>
        </w:rPr>
        <w:t>education,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has</w:t>
      </w:r>
      <w:r w:rsidR="00FF41A0">
        <w:rPr>
          <w:sz w:val="20"/>
          <w:szCs w:val="20"/>
        </w:rPr>
        <w:t xml:space="preserve"> </w:t>
      </w:r>
      <w:r w:rsidR="00323457" w:rsidRPr="0059638B">
        <w:rPr>
          <w:sz w:val="20"/>
          <w:szCs w:val="20"/>
        </w:rPr>
        <w:t>launched</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number</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initiatives</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empower</w:t>
      </w:r>
      <w:r w:rsidR="00FF41A0">
        <w:rPr>
          <w:sz w:val="20"/>
          <w:szCs w:val="20"/>
        </w:rPr>
        <w:t xml:space="preserve"> </w:t>
      </w:r>
      <w:r w:rsidR="00323457" w:rsidRPr="0059638B">
        <w:rPr>
          <w:sz w:val="20"/>
          <w:szCs w:val="20"/>
        </w:rPr>
        <w:t>young</w:t>
      </w:r>
      <w:r w:rsidR="00FF41A0">
        <w:rPr>
          <w:sz w:val="20"/>
          <w:szCs w:val="20"/>
        </w:rPr>
        <w:t xml:space="preserve"> </w:t>
      </w:r>
      <w:r w:rsidR="00323457" w:rsidRPr="0059638B">
        <w:rPr>
          <w:sz w:val="20"/>
          <w:szCs w:val="20"/>
        </w:rPr>
        <w:t>people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promote</w:t>
      </w:r>
      <w:r w:rsidR="00FF41A0">
        <w:rPr>
          <w:sz w:val="20"/>
          <w:szCs w:val="20"/>
        </w:rPr>
        <w:t xml:space="preserve"> </w:t>
      </w:r>
      <w:r w:rsidR="00323457" w:rsidRPr="0059638B">
        <w:rPr>
          <w:sz w:val="20"/>
          <w:szCs w:val="20"/>
        </w:rPr>
        <w:t>their</w:t>
      </w:r>
      <w:r w:rsidR="00FF41A0">
        <w:rPr>
          <w:sz w:val="20"/>
          <w:szCs w:val="20"/>
        </w:rPr>
        <w:t xml:space="preserve"> </w:t>
      </w:r>
      <w:r w:rsidR="00323457" w:rsidRPr="0059638B">
        <w:rPr>
          <w:sz w:val="20"/>
          <w:szCs w:val="20"/>
        </w:rPr>
        <w:t>participation,</w:t>
      </w:r>
      <w:r w:rsidR="00FF41A0">
        <w:rPr>
          <w:sz w:val="20"/>
          <w:szCs w:val="20"/>
        </w:rPr>
        <w:t xml:space="preserve"> </w:t>
      </w:r>
      <w:r w:rsidR="00323457" w:rsidRPr="0059638B">
        <w:rPr>
          <w:sz w:val="20"/>
          <w:szCs w:val="20"/>
        </w:rPr>
        <w:t>including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King</w:t>
      </w:r>
      <w:r w:rsidR="00FF41A0">
        <w:rPr>
          <w:sz w:val="20"/>
          <w:szCs w:val="20"/>
        </w:rPr>
        <w:t xml:space="preserve"> </w:t>
      </w:r>
      <w:r w:rsidR="00323457" w:rsidRPr="0059638B">
        <w:rPr>
          <w:sz w:val="20"/>
          <w:szCs w:val="20"/>
        </w:rPr>
        <w:t>Abdullah</w:t>
      </w:r>
      <w:r w:rsidR="00FF41A0">
        <w:rPr>
          <w:sz w:val="20"/>
          <w:szCs w:val="20"/>
        </w:rPr>
        <w:t xml:space="preserve"> </w:t>
      </w:r>
      <w:r w:rsidR="00323457" w:rsidRPr="0059638B">
        <w:rPr>
          <w:sz w:val="20"/>
          <w:szCs w:val="20"/>
        </w:rPr>
        <w:t>II</w:t>
      </w:r>
      <w:r w:rsidR="00FF41A0">
        <w:rPr>
          <w:sz w:val="20"/>
          <w:szCs w:val="20"/>
        </w:rPr>
        <w:t xml:space="preserve"> </w:t>
      </w:r>
      <w:r w:rsidR="00323457" w:rsidRPr="0059638B">
        <w:rPr>
          <w:sz w:val="20"/>
          <w:szCs w:val="20"/>
        </w:rPr>
        <w:t>Award</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Youth</w:t>
      </w:r>
      <w:r w:rsidR="00FF41A0">
        <w:rPr>
          <w:sz w:val="20"/>
          <w:szCs w:val="20"/>
        </w:rPr>
        <w:t xml:space="preserve"> </w:t>
      </w:r>
      <w:r w:rsidR="00323457" w:rsidRPr="0059638B">
        <w:rPr>
          <w:sz w:val="20"/>
          <w:szCs w:val="20"/>
        </w:rPr>
        <w:t>Innovation</w:t>
      </w:r>
      <w:r w:rsidR="00FF41A0">
        <w:rPr>
          <w:sz w:val="20"/>
          <w:szCs w:val="20"/>
        </w:rPr>
        <w:t xml:space="preserve"> </w:t>
      </w:r>
      <w:r w:rsidR="00323457" w:rsidRPr="0059638B">
        <w:rPr>
          <w:sz w:val="20"/>
          <w:szCs w:val="20"/>
        </w:rPr>
        <w:t>/</w:t>
      </w:r>
      <w:r w:rsidR="00FF41A0">
        <w:rPr>
          <w:sz w:val="20"/>
          <w:szCs w:val="20"/>
        </w:rPr>
        <w:t xml:space="preserve"> </w:t>
      </w:r>
      <w:r w:rsidR="00323457" w:rsidRPr="0059638B">
        <w:rPr>
          <w:sz w:val="20"/>
          <w:szCs w:val="20"/>
        </w:rPr>
        <w:t>Achievement</w:t>
      </w:r>
      <w:r w:rsidR="00FF41A0">
        <w:rPr>
          <w:sz w:val="20"/>
          <w:szCs w:val="20"/>
        </w:rPr>
        <w:t xml:space="preserve"> </w:t>
      </w:r>
      <w:r w:rsidR="00323457" w:rsidRPr="0059638B">
        <w:rPr>
          <w:sz w:val="20"/>
          <w:szCs w:val="20"/>
        </w:rPr>
        <w:t>Initiative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Democratic</w:t>
      </w:r>
      <w:r w:rsidR="00FF41A0">
        <w:rPr>
          <w:sz w:val="20"/>
          <w:szCs w:val="20"/>
        </w:rPr>
        <w:t xml:space="preserve"> </w:t>
      </w:r>
      <w:r w:rsidR="00323457" w:rsidRPr="0059638B">
        <w:rPr>
          <w:sz w:val="20"/>
          <w:szCs w:val="20"/>
        </w:rPr>
        <w:t>Empowerment</w:t>
      </w:r>
      <w:r w:rsidR="00FF41A0">
        <w:rPr>
          <w:sz w:val="20"/>
          <w:szCs w:val="20"/>
        </w:rPr>
        <w:t xml:space="preserve"> </w:t>
      </w:r>
      <w:r w:rsidR="00323457" w:rsidRPr="0059638B">
        <w:rPr>
          <w:sz w:val="20"/>
          <w:szCs w:val="20"/>
        </w:rPr>
        <w:t>Program.</w:t>
      </w:r>
    </w:p>
    <w:p w14:paraId="2FA5C8D3" w14:textId="07F462CB" w:rsidR="00323457" w:rsidRPr="0059638B" w:rsidRDefault="00972F1E" w:rsidP="00323457">
      <w:pPr>
        <w:pStyle w:val="SingleTxtG"/>
        <w:rPr>
          <w:sz w:val="20"/>
          <w:szCs w:val="20"/>
        </w:rPr>
      </w:pPr>
      <w:r>
        <w:rPr>
          <w:sz w:val="20"/>
          <w:szCs w:val="20"/>
        </w:rPr>
        <w:t>591</w:t>
      </w:r>
      <w:r w:rsidR="00D7475F">
        <w:rPr>
          <w:sz w:val="20"/>
          <w:szCs w:val="20"/>
        </w:rPr>
        <w:t>.</w:t>
      </w:r>
      <w:r w:rsidR="00D7475F">
        <w:rPr>
          <w:sz w:val="20"/>
          <w:szCs w:val="20"/>
        </w:rPr>
        <w:tab/>
      </w:r>
      <w:r w:rsidR="00323457" w:rsidRPr="0059638B">
        <w:rPr>
          <w:sz w:val="20"/>
          <w:szCs w:val="20"/>
        </w:rPr>
        <w:t>Jordan</w:t>
      </w:r>
      <w:r w:rsidR="00FF41A0">
        <w:rPr>
          <w:sz w:val="20"/>
          <w:szCs w:val="20"/>
        </w:rPr>
        <w:t xml:space="preserve"> </w:t>
      </w:r>
      <w:r w:rsidR="00323457" w:rsidRPr="0059638B">
        <w:rPr>
          <w:sz w:val="20"/>
          <w:szCs w:val="20"/>
        </w:rPr>
        <w:t>considered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promotion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development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system</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being</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participatory</w:t>
      </w:r>
      <w:r w:rsidR="00FF41A0">
        <w:rPr>
          <w:sz w:val="20"/>
          <w:szCs w:val="20"/>
        </w:rPr>
        <w:t xml:space="preserve"> </w:t>
      </w:r>
      <w:r w:rsidR="00323457" w:rsidRPr="0059638B">
        <w:rPr>
          <w:sz w:val="20"/>
          <w:szCs w:val="20"/>
        </w:rPr>
        <w:t>process.</w:t>
      </w:r>
      <w:r w:rsidR="00FF41A0">
        <w:rPr>
          <w:sz w:val="20"/>
          <w:szCs w:val="20"/>
        </w:rPr>
        <w:t xml:space="preserve"> </w:t>
      </w:r>
      <w:r w:rsidR="00323457" w:rsidRPr="0059638B">
        <w:rPr>
          <w:sz w:val="20"/>
          <w:szCs w:val="20"/>
        </w:rPr>
        <w:t>Therefore,</w:t>
      </w:r>
      <w:r w:rsidR="00FF41A0">
        <w:rPr>
          <w:sz w:val="20"/>
          <w:szCs w:val="20"/>
        </w:rPr>
        <w:t xml:space="preserve"> </w:t>
      </w:r>
      <w:r w:rsidR="00323457" w:rsidRPr="0059638B">
        <w:rPr>
          <w:sz w:val="20"/>
          <w:szCs w:val="20"/>
        </w:rPr>
        <w:t>during</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recent</w:t>
      </w:r>
      <w:r w:rsidR="00FF41A0">
        <w:rPr>
          <w:sz w:val="20"/>
          <w:szCs w:val="20"/>
        </w:rPr>
        <w:t xml:space="preserve"> </w:t>
      </w:r>
      <w:r w:rsidR="00323457" w:rsidRPr="0059638B">
        <w:rPr>
          <w:sz w:val="20"/>
          <w:szCs w:val="20"/>
        </w:rPr>
        <w:t>examination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21</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consulted</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engaged</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stakeholders</w:t>
      </w:r>
      <w:r w:rsidR="00FF41A0">
        <w:rPr>
          <w:sz w:val="20"/>
          <w:szCs w:val="20"/>
        </w:rPr>
        <w:t xml:space="preserve"> </w:t>
      </w:r>
      <w:r w:rsidR="00323457" w:rsidRPr="0059638B">
        <w:rPr>
          <w:sz w:val="20"/>
          <w:szCs w:val="20"/>
        </w:rPr>
        <w:t>including</w:t>
      </w:r>
      <w:r w:rsidR="00FF41A0">
        <w:rPr>
          <w:sz w:val="20"/>
          <w:szCs w:val="20"/>
        </w:rPr>
        <w:t xml:space="preserve"> </w:t>
      </w:r>
      <w:r w:rsidR="00323457" w:rsidRPr="0059638B">
        <w:rPr>
          <w:sz w:val="20"/>
          <w:szCs w:val="20"/>
        </w:rPr>
        <w:t>representatives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civil</w:t>
      </w:r>
      <w:r w:rsidR="00FF41A0">
        <w:rPr>
          <w:sz w:val="20"/>
          <w:szCs w:val="20"/>
        </w:rPr>
        <w:t xml:space="preserve"> </w:t>
      </w:r>
      <w:r w:rsidR="00323457" w:rsidRPr="0059638B">
        <w:rPr>
          <w:sz w:val="20"/>
          <w:szCs w:val="20"/>
        </w:rPr>
        <w:t>society</w:t>
      </w:r>
      <w:r w:rsidR="00FF41A0">
        <w:rPr>
          <w:sz w:val="20"/>
          <w:szCs w:val="20"/>
        </w:rPr>
        <w:t xml:space="preserve"> </w:t>
      </w:r>
      <w:r w:rsidR="00323457" w:rsidRPr="0059638B">
        <w:rPr>
          <w:sz w:val="20"/>
          <w:szCs w:val="20"/>
        </w:rPr>
        <w:t>organizations</w:t>
      </w:r>
      <w:r w:rsidR="00FF41A0">
        <w:rPr>
          <w:sz w:val="20"/>
          <w:szCs w:val="20"/>
        </w:rPr>
        <w:t xml:space="preserve"> </w:t>
      </w:r>
      <w:r w:rsidR="00323457" w:rsidRPr="0059638B">
        <w:rPr>
          <w:sz w:val="20"/>
          <w:szCs w:val="20"/>
        </w:rPr>
        <w:t>whose</w:t>
      </w:r>
      <w:r w:rsidR="00FF41A0">
        <w:rPr>
          <w:sz w:val="20"/>
          <w:szCs w:val="20"/>
        </w:rPr>
        <w:t xml:space="preserve"> </w:t>
      </w:r>
      <w:r w:rsidR="00323457" w:rsidRPr="0059638B">
        <w:rPr>
          <w:sz w:val="20"/>
          <w:szCs w:val="20"/>
        </w:rPr>
        <w:t>views</w:t>
      </w:r>
      <w:r w:rsidR="00FF41A0">
        <w:rPr>
          <w:sz w:val="20"/>
          <w:szCs w:val="20"/>
        </w:rPr>
        <w:t xml:space="preserve"> </w:t>
      </w:r>
      <w:r w:rsidR="00323457" w:rsidRPr="0059638B">
        <w:rPr>
          <w:sz w:val="20"/>
          <w:szCs w:val="20"/>
        </w:rPr>
        <w:t>contributed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crystallization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final</w:t>
      </w:r>
      <w:r w:rsidR="00FF41A0">
        <w:rPr>
          <w:sz w:val="20"/>
          <w:szCs w:val="20"/>
        </w:rPr>
        <w:t xml:space="preserve"> </w:t>
      </w:r>
      <w:r w:rsidR="00323457" w:rsidRPr="0059638B">
        <w:rPr>
          <w:sz w:val="20"/>
          <w:szCs w:val="20"/>
        </w:rPr>
        <w:t>position</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these</w:t>
      </w:r>
      <w:r w:rsidR="00FF41A0">
        <w:rPr>
          <w:sz w:val="20"/>
          <w:szCs w:val="20"/>
        </w:rPr>
        <w:t xml:space="preserve"> </w:t>
      </w:r>
      <w:r w:rsidR="00323457" w:rsidRPr="0059638B">
        <w:rPr>
          <w:sz w:val="20"/>
          <w:szCs w:val="20"/>
        </w:rPr>
        <w:t>recommendations.</w:t>
      </w:r>
    </w:p>
    <w:p w14:paraId="0616011A" w14:textId="5F779F97" w:rsidR="00323457" w:rsidRPr="0059638B" w:rsidRDefault="00972F1E" w:rsidP="00323457">
      <w:pPr>
        <w:pStyle w:val="SingleTxtG"/>
        <w:rPr>
          <w:sz w:val="20"/>
          <w:szCs w:val="20"/>
        </w:rPr>
      </w:pPr>
      <w:r>
        <w:rPr>
          <w:sz w:val="20"/>
          <w:szCs w:val="20"/>
        </w:rPr>
        <w:t>592</w:t>
      </w:r>
      <w:r w:rsidR="00D7475F">
        <w:rPr>
          <w:sz w:val="20"/>
          <w:szCs w:val="20"/>
        </w:rPr>
        <w:t>.</w:t>
      </w:r>
      <w:r w:rsidR="00D7475F">
        <w:rPr>
          <w:sz w:val="20"/>
          <w:szCs w:val="20"/>
        </w:rPr>
        <w:tab/>
      </w:r>
      <w:r w:rsidR="00323457" w:rsidRPr="0059638B">
        <w:rPr>
          <w:sz w:val="20"/>
          <w:szCs w:val="20"/>
        </w:rPr>
        <w:t>During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process,</w:t>
      </w:r>
      <w:r w:rsidR="00FF41A0">
        <w:rPr>
          <w:sz w:val="20"/>
          <w:szCs w:val="20"/>
        </w:rPr>
        <w:t xml:space="preserve"> </w:t>
      </w:r>
      <w:r w:rsidR="00323457" w:rsidRPr="0059638B">
        <w:rPr>
          <w:sz w:val="20"/>
          <w:szCs w:val="20"/>
        </w:rPr>
        <w:t>Jordan</w:t>
      </w:r>
      <w:r w:rsidR="00FF41A0">
        <w:rPr>
          <w:sz w:val="20"/>
          <w:szCs w:val="20"/>
        </w:rPr>
        <w:t xml:space="preserve"> </w:t>
      </w:r>
      <w:r w:rsidR="00323457" w:rsidRPr="0059638B">
        <w:rPr>
          <w:sz w:val="20"/>
          <w:szCs w:val="20"/>
        </w:rPr>
        <w:t>illustrated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progress</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since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submission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second</w:t>
      </w:r>
      <w:r w:rsidR="00FF41A0">
        <w:rPr>
          <w:sz w:val="20"/>
          <w:szCs w:val="20"/>
        </w:rPr>
        <w:t xml:space="preserve"> </w:t>
      </w:r>
      <w:r w:rsidR="00323457" w:rsidRPr="0059638B">
        <w:rPr>
          <w:sz w:val="20"/>
          <w:szCs w:val="20"/>
        </w:rPr>
        <w:t>report.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has</w:t>
      </w:r>
      <w:r w:rsidR="00FF41A0">
        <w:rPr>
          <w:sz w:val="20"/>
          <w:szCs w:val="20"/>
        </w:rPr>
        <w:t xml:space="preserve"> </w:t>
      </w:r>
      <w:r w:rsidR="00323457" w:rsidRPr="0059638B">
        <w:rPr>
          <w:sz w:val="20"/>
          <w:szCs w:val="20"/>
        </w:rPr>
        <w:t>highlighted</w:t>
      </w:r>
      <w:r w:rsidR="00FF41A0">
        <w:rPr>
          <w:sz w:val="20"/>
          <w:szCs w:val="20"/>
        </w:rPr>
        <w:t xml:space="preserve"> </w:t>
      </w:r>
      <w:r w:rsidR="00323457" w:rsidRPr="0059638B">
        <w:rPr>
          <w:sz w:val="20"/>
          <w:szCs w:val="20"/>
        </w:rPr>
        <w:t>several</w:t>
      </w:r>
      <w:r w:rsidR="00FF41A0">
        <w:rPr>
          <w:sz w:val="20"/>
          <w:szCs w:val="20"/>
        </w:rPr>
        <w:t xml:space="preserve"> </w:t>
      </w:r>
      <w:r w:rsidR="00323457" w:rsidRPr="0059638B">
        <w:rPr>
          <w:sz w:val="20"/>
          <w:szCs w:val="20"/>
        </w:rPr>
        <w:t>achievements,</w:t>
      </w:r>
      <w:r w:rsidR="00FF41A0">
        <w:rPr>
          <w:sz w:val="20"/>
          <w:szCs w:val="20"/>
        </w:rPr>
        <w:t xml:space="preserve"> </w:t>
      </w:r>
      <w:r w:rsidR="00323457" w:rsidRPr="0059638B">
        <w:rPr>
          <w:sz w:val="20"/>
          <w:szCs w:val="20"/>
        </w:rPr>
        <w:t>including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adoption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laws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regulations.</w:t>
      </w:r>
      <w:r w:rsidR="00FF41A0">
        <w:rPr>
          <w:sz w:val="20"/>
          <w:szCs w:val="20"/>
        </w:rPr>
        <w:t xml:space="preserve"> </w:t>
      </w:r>
      <w:r w:rsidR="00323457" w:rsidRPr="0059638B">
        <w:rPr>
          <w:sz w:val="20"/>
          <w:szCs w:val="20"/>
        </w:rPr>
        <w:t>These</w:t>
      </w:r>
      <w:r w:rsidR="00FF41A0">
        <w:rPr>
          <w:sz w:val="20"/>
          <w:szCs w:val="20"/>
        </w:rPr>
        <w:t xml:space="preserve"> </w:t>
      </w:r>
      <w:r w:rsidR="00323457" w:rsidRPr="0059638B">
        <w:rPr>
          <w:sz w:val="20"/>
          <w:szCs w:val="20"/>
        </w:rPr>
        <w:t>include,</w:t>
      </w:r>
      <w:r w:rsidR="00FF41A0">
        <w:rPr>
          <w:sz w:val="20"/>
          <w:szCs w:val="20"/>
        </w:rPr>
        <w:t xml:space="preserve"> </w:t>
      </w:r>
      <w:r w:rsidR="00323457" w:rsidRPr="0059638B">
        <w:rPr>
          <w:sz w:val="20"/>
          <w:szCs w:val="20"/>
        </w:rPr>
        <w:t>among</w:t>
      </w:r>
      <w:r w:rsidR="00FF41A0">
        <w:rPr>
          <w:sz w:val="20"/>
          <w:szCs w:val="20"/>
        </w:rPr>
        <w:t xml:space="preserve"> </w:t>
      </w:r>
      <w:r w:rsidR="00323457" w:rsidRPr="0059638B">
        <w:rPr>
          <w:sz w:val="20"/>
          <w:szCs w:val="20"/>
        </w:rPr>
        <w:t>others,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Electoral</w:t>
      </w:r>
      <w:r w:rsidR="00FF41A0">
        <w:rPr>
          <w:sz w:val="20"/>
          <w:szCs w:val="20"/>
        </w:rPr>
        <w:t xml:space="preserve"> </w:t>
      </w:r>
      <w:r w:rsidR="00323457" w:rsidRPr="0059638B">
        <w:rPr>
          <w:sz w:val="20"/>
          <w:szCs w:val="20"/>
        </w:rPr>
        <w:t>Law</w:t>
      </w:r>
      <w:r w:rsidR="00FF41A0">
        <w:rPr>
          <w:sz w:val="20"/>
          <w:szCs w:val="20"/>
        </w:rPr>
        <w:t xml:space="preserve"> </w:t>
      </w:r>
      <w:r w:rsidR="00323457" w:rsidRPr="0059638B">
        <w:rPr>
          <w:sz w:val="20"/>
          <w:szCs w:val="20"/>
        </w:rPr>
        <w:t>No.</w:t>
      </w:r>
      <w:r w:rsidR="00FF41A0">
        <w:rPr>
          <w:sz w:val="20"/>
          <w:szCs w:val="20"/>
        </w:rPr>
        <w:t xml:space="preserve"> </w:t>
      </w:r>
      <w:r w:rsidR="00323457" w:rsidRPr="0059638B">
        <w:rPr>
          <w:sz w:val="20"/>
          <w:szCs w:val="20"/>
        </w:rPr>
        <w:t>6</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2016,</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Political</w:t>
      </w:r>
      <w:r w:rsidR="00FF41A0">
        <w:rPr>
          <w:sz w:val="20"/>
          <w:szCs w:val="20"/>
        </w:rPr>
        <w:t xml:space="preserve"> </w:t>
      </w:r>
      <w:r w:rsidR="00323457" w:rsidRPr="0059638B">
        <w:rPr>
          <w:sz w:val="20"/>
          <w:szCs w:val="20"/>
        </w:rPr>
        <w:t>Parties</w:t>
      </w:r>
      <w:r w:rsidR="00FF41A0">
        <w:rPr>
          <w:sz w:val="20"/>
          <w:szCs w:val="20"/>
        </w:rPr>
        <w:t xml:space="preserve"> </w:t>
      </w:r>
      <w:r w:rsidR="00323457" w:rsidRPr="0059638B">
        <w:rPr>
          <w:sz w:val="20"/>
          <w:szCs w:val="20"/>
        </w:rPr>
        <w:t>Law</w:t>
      </w:r>
      <w:r w:rsidR="00FF41A0">
        <w:rPr>
          <w:sz w:val="20"/>
          <w:szCs w:val="20"/>
        </w:rPr>
        <w:t xml:space="preserve"> </w:t>
      </w:r>
      <w:r w:rsidR="00323457" w:rsidRPr="0059638B">
        <w:rPr>
          <w:sz w:val="20"/>
          <w:szCs w:val="20"/>
        </w:rPr>
        <w:t>No.</w:t>
      </w:r>
      <w:r w:rsidR="00FF41A0">
        <w:rPr>
          <w:sz w:val="20"/>
          <w:szCs w:val="20"/>
        </w:rPr>
        <w:t xml:space="preserve"> </w:t>
      </w:r>
      <w:r w:rsidR="00323457" w:rsidRPr="0059638B">
        <w:rPr>
          <w:sz w:val="20"/>
          <w:szCs w:val="20"/>
        </w:rPr>
        <w:t>53</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2015,</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Law</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Municipalities</w:t>
      </w:r>
      <w:r w:rsidR="00FF41A0">
        <w:rPr>
          <w:sz w:val="20"/>
          <w:szCs w:val="20"/>
        </w:rPr>
        <w:t xml:space="preserve"> </w:t>
      </w:r>
      <w:r w:rsidR="00323457" w:rsidRPr="0059638B">
        <w:rPr>
          <w:sz w:val="20"/>
          <w:szCs w:val="20"/>
        </w:rPr>
        <w:t>No.</w:t>
      </w:r>
      <w:r w:rsidR="00FF41A0">
        <w:rPr>
          <w:sz w:val="20"/>
          <w:szCs w:val="20"/>
        </w:rPr>
        <w:t xml:space="preserve"> </w:t>
      </w:r>
      <w:r w:rsidR="00323457" w:rsidRPr="0059638B">
        <w:rPr>
          <w:sz w:val="20"/>
          <w:szCs w:val="20"/>
        </w:rPr>
        <w:t>49</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2015,</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well</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promotion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specific</w:t>
      </w:r>
      <w:r w:rsidR="00FF41A0">
        <w:rPr>
          <w:sz w:val="20"/>
          <w:szCs w:val="20"/>
        </w:rPr>
        <w:t xml:space="preserve"> </w:t>
      </w:r>
      <w:r w:rsidR="00323457" w:rsidRPr="0059638B">
        <w:rPr>
          <w:sz w:val="20"/>
          <w:szCs w:val="20"/>
        </w:rPr>
        <w:t>categories</w:t>
      </w:r>
      <w:r w:rsidR="00FF41A0">
        <w:rPr>
          <w:sz w:val="20"/>
          <w:szCs w:val="20"/>
        </w:rPr>
        <w:t xml:space="preserve"> </w:t>
      </w:r>
      <w:r w:rsidR="00323457" w:rsidRPr="0059638B">
        <w:rPr>
          <w:sz w:val="20"/>
          <w:szCs w:val="20"/>
        </w:rPr>
        <w:t>such</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from</w:t>
      </w:r>
      <w:r w:rsidR="00FF41A0">
        <w:rPr>
          <w:sz w:val="20"/>
          <w:szCs w:val="20"/>
        </w:rPr>
        <w:t xml:space="preserve"> </w:t>
      </w:r>
      <w:r w:rsidR="00323457" w:rsidRPr="0059638B">
        <w:rPr>
          <w:sz w:val="20"/>
          <w:szCs w:val="20"/>
        </w:rPr>
        <w:t>Domestic</w:t>
      </w:r>
      <w:r w:rsidR="00FF41A0">
        <w:rPr>
          <w:sz w:val="20"/>
          <w:szCs w:val="20"/>
        </w:rPr>
        <w:t xml:space="preserve"> </w:t>
      </w:r>
      <w:r w:rsidR="00323457" w:rsidRPr="0059638B">
        <w:rPr>
          <w:sz w:val="20"/>
          <w:szCs w:val="20"/>
        </w:rPr>
        <w:t>Violence</w:t>
      </w:r>
      <w:r w:rsidR="00FF41A0">
        <w:rPr>
          <w:sz w:val="20"/>
          <w:szCs w:val="20"/>
        </w:rPr>
        <w:t xml:space="preserve"> </w:t>
      </w:r>
      <w:r w:rsidR="00323457" w:rsidRPr="0059638B">
        <w:rPr>
          <w:sz w:val="20"/>
          <w:szCs w:val="20"/>
        </w:rPr>
        <w:t>Act</w:t>
      </w:r>
      <w:r w:rsidR="00FF41A0">
        <w:rPr>
          <w:sz w:val="20"/>
          <w:szCs w:val="20"/>
        </w:rPr>
        <w:t xml:space="preserve"> </w:t>
      </w:r>
      <w:r w:rsidR="00323457" w:rsidRPr="0059638B">
        <w:rPr>
          <w:sz w:val="20"/>
          <w:szCs w:val="20"/>
        </w:rPr>
        <w:t>No.</w:t>
      </w:r>
      <w:r w:rsidR="00FF41A0">
        <w:rPr>
          <w:sz w:val="20"/>
          <w:szCs w:val="20"/>
        </w:rPr>
        <w:t xml:space="preserve"> </w:t>
      </w:r>
      <w:r w:rsidR="00323457" w:rsidRPr="0059638B">
        <w:rPr>
          <w:sz w:val="20"/>
          <w:szCs w:val="20"/>
        </w:rPr>
        <w:t>15</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2017,</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Juveniles</w:t>
      </w:r>
      <w:r w:rsidR="00FF41A0">
        <w:rPr>
          <w:sz w:val="20"/>
          <w:szCs w:val="20"/>
        </w:rPr>
        <w:t xml:space="preserve"> </w:t>
      </w:r>
      <w:r w:rsidR="00323457" w:rsidRPr="0059638B">
        <w:rPr>
          <w:sz w:val="20"/>
          <w:szCs w:val="20"/>
        </w:rPr>
        <w:t>Act,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Law</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Persons</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Disabilities.</w:t>
      </w:r>
      <w:r w:rsidR="00FF41A0">
        <w:rPr>
          <w:sz w:val="20"/>
          <w:szCs w:val="20"/>
        </w:rPr>
        <w:t xml:space="preserve"> </w:t>
      </w:r>
    </w:p>
    <w:p w14:paraId="1534E9A3" w14:textId="6285D0E7" w:rsidR="00323457" w:rsidRPr="0059638B" w:rsidRDefault="00972F1E" w:rsidP="00323457">
      <w:pPr>
        <w:pStyle w:val="SingleTxtG"/>
        <w:rPr>
          <w:sz w:val="20"/>
          <w:szCs w:val="20"/>
        </w:rPr>
      </w:pPr>
      <w:r>
        <w:rPr>
          <w:sz w:val="20"/>
          <w:szCs w:val="20"/>
        </w:rPr>
        <w:t>593</w:t>
      </w:r>
      <w:r w:rsidR="00D7475F">
        <w:rPr>
          <w:sz w:val="20"/>
          <w:szCs w:val="20"/>
        </w:rPr>
        <w:t>.</w:t>
      </w:r>
      <w:r w:rsidR="00D7475F">
        <w:rPr>
          <w:sz w:val="20"/>
          <w:szCs w:val="20"/>
        </w:rPr>
        <w:tab/>
      </w:r>
      <w:r w:rsidR="00323457" w:rsidRPr="0059638B">
        <w:rPr>
          <w:sz w:val="20"/>
          <w:szCs w:val="20"/>
        </w:rPr>
        <w:t>Reference</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number</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executive</w:t>
      </w:r>
      <w:r w:rsidR="00FF41A0">
        <w:rPr>
          <w:sz w:val="20"/>
          <w:szCs w:val="20"/>
        </w:rPr>
        <w:t xml:space="preserve"> </w:t>
      </w:r>
      <w:r w:rsidR="00323457" w:rsidRPr="0059638B">
        <w:rPr>
          <w:sz w:val="20"/>
          <w:szCs w:val="20"/>
        </w:rPr>
        <w:t>plans,</w:t>
      </w:r>
      <w:r w:rsidR="00FF41A0">
        <w:rPr>
          <w:sz w:val="20"/>
          <w:szCs w:val="20"/>
        </w:rPr>
        <w:t xml:space="preserve"> </w:t>
      </w:r>
      <w:r w:rsidR="00323457" w:rsidRPr="0059638B">
        <w:rPr>
          <w:sz w:val="20"/>
          <w:szCs w:val="20"/>
        </w:rPr>
        <w:t>including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Plan</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Implementation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Sustainable</w:t>
      </w:r>
      <w:r w:rsidR="00FF41A0">
        <w:rPr>
          <w:sz w:val="20"/>
          <w:szCs w:val="20"/>
        </w:rPr>
        <w:t xml:space="preserve"> </w:t>
      </w:r>
      <w:r w:rsidR="00323457" w:rsidRPr="0059638B">
        <w:rPr>
          <w:sz w:val="20"/>
          <w:szCs w:val="20"/>
        </w:rPr>
        <w:t>Development</w:t>
      </w:r>
      <w:r w:rsidR="00FF41A0">
        <w:rPr>
          <w:sz w:val="20"/>
          <w:szCs w:val="20"/>
        </w:rPr>
        <w:t xml:space="preserve"> </w:t>
      </w:r>
      <w:r w:rsidR="00323457" w:rsidRPr="0059638B">
        <w:rPr>
          <w:sz w:val="20"/>
          <w:szCs w:val="20"/>
        </w:rPr>
        <w:t>Goals</w:t>
      </w:r>
      <w:r w:rsidR="00FF41A0">
        <w:rPr>
          <w:sz w:val="20"/>
          <w:szCs w:val="20"/>
        </w:rPr>
        <w:t xml:space="preserve"> </w:t>
      </w:r>
      <w:r w:rsidR="00323457" w:rsidRPr="0059638B">
        <w:rPr>
          <w:sz w:val="20"/>
          <w:szCs w:val="20"/>
        </w:rPr>
        <w:t>2030,</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Executive</w:t>
      </w:r>
      <w:r w:rsidR="00FF41A0">
        <w:rPr>
          <w:sz w:val="20"/>
          <w:szCs w:val="20"/>
        </w:rPr>
        <w:t xml:space="preserve"> </w:t>
      </w:r>
      <w:r w:rsidR="00323457" w:rsidRPr="0059638B">
        <w:rPr>
          <w:sz w:val="20"/>
          <w:szCs w:val="20"/>
        </w:rPr>
        <w:t>Plan</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Strengthening</w:t>
      </w:r>
      <w:r w:rsidR="00FF41A0">
        <w:rPr>
          <w:sz w:val="20"/>
          <w:szCs w:val="20"/>
        </w:rPr>
        <w:t xml:space="preserve"> </w:t>
      </w:r>
      <w:r w:rsidR="00323457" w:rsidRPr="0059638B">
        <w:rPr>
          <w:sz w:val="20"/>
          <w:szCs w:val="20"/>
        </w:rPr>
        <w:t>Institutional</w:t>
      </w:r>
      <w:r w:rsidR="00FF41A0">
        <w:rPr>
          <w:sz w:val="20"/>
          <w:szCs w:val="20"/>
        </w:rPr>
        <w:t xml:space="preserve"> </w:t>
      </w:r>
      <w:r w:rsidR="00323457" w:rsidRPr="0059638B">
        <w:rPr>
          <w:sz w:val="20"/>
          <w:szCs w:val="20"/>
        </w:rPr>
        <w:t>Response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Domestic</w:t>
      </w:r>
      <w:r w:rsidR="00FF41A0">
        <w:rPr>
          <w:sz w:val="20"/>
          <w:szCs w:val="20"/>
        </w:rPr>
        <w:t xml:space="preserve"> </w:t>
      </w:r>
      <w:r w:rsidR="00323457" w:rsidRPr="0059638B">
        <w:rPr>
          <w:sz w:val="20"/>
          <w:szCs w:val="20"/>
        </w:rPr>
        <w:t>Violence</w:t>
      </w:r>
      <w:r w:rsidR="00FF41A0">
        <w:rPr>
          <w:sz w:val="20"/>
          <w:szCs w:val="20"/>
        </w:rPr>
        <w:t xml:space="preserve"> </w:t>
      </w:r>
      <w:r w:rsidR="00323457" w:rsidRPr="0059638B">
        <w:rPr>
          <w:sz w:val="20"/>
          <w:szCs w:val="20"/>
        </w:rPr>
        <w:t>Cases</w:t>
      </w:r>
      <w:r w:rsidR="00FF41A0">
        <w:rPr>
          <w:sz w:val="20"/>
          <w:szCs w:val="20"/>
        </w:rPr>
        <w:t xml:space="preserve"> </w:t>
      </w:r>
      <w:r w:rsidR="00323457" w:rsidRPr="0059638B">
        <w:rPr>
          <w:sz w:val="20"/>
          <w:szCs w:val="20"/>
        </w:rPr>
        <w:t>2016-2018,</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Plan</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Implementation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Security</w:t>
      </w:r>
      <w:r w:rsidR="00FF41A0">
        <w:rPr>
          <w:sz w:val="20"/>
          <w:szCs w:val="20"/>
        </w:rPr>
        <w:t xml:space="preserve"> </w:t>
      </w:r>
      <w:r w:rsidR="00323457" w:rsidRPr="0059638B">
        <w:rPr>
          <w:sz w:val="20"/>
          <w:szCs w:val="20"/>
        </w:rPr>
        <w:t>Council</w:t>
      </w:r>
      <w:r w:rsidR="00FF41A0">
        <w:rPr>
          <w:sz w:val="20"/>
          <w:szCs w:val="20"/>
        </w:rPr>
        <w:t xml:space="preserve"> </w:t>
      </w:r>
      <w:r w:rsidR="00C71D8A" w:rsidRPr="0059638B">
        <w:rPr>
          <w:sz w:val="20"/>
          <w:szCs w:val="20"/>
        </w:rPr>
        <w:t>resolution</w:t>
      </w:r>
      <w:r w:rsidR="00C71D8A">
        <w:rPr>
          <w:sz w:val="20"/>
          <w:szCs w:val="20"/>
        </w:rPr>
        <w:t xml:space="preserve"> </w:t>
      </w:r>
      <w:r w:rsidR="00323457" w:rsidRPr="0059638B">
        <w:rPr>
          <w:sz w:val="20"/>
          <w:szCs w:val="20"/>
        </w:rPr>
        <w:t>1325,</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Plan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Confront</w:t>
      </w:r>
      <w:r w:rsidR="00FF41A0">
        <w:rPr>
          <w:sz w:val="20"/>
          <w:szCs w:val="20"/>
        </w:rPr>
        <w:t xml:space="preserve"> </w:t>
      </w:r>
      <w:r w:rsidR="00323457" w:rsidRPr="0059638B">
        <w:rPr>
          <w:sz w:val="20"/>
          <w:szCs w:val="20"/>
        </w:rPr>
        <w:t>Extremism</w:t>
      </w:r>
      <w:r w:rsidR="00FF41A0">
        <w:rPr>
          <w:sz w:val="20"/>
          <w:szCs w:val="20"/>
        </w:rPr>
        <w:t xml:space="preserve"> </w:t>
      </w:r>
      <w:r w:rsidR="00323457" w:rsidRPr="0059638B">
        <w:rPr>
          <w:sz w:val="20"/>
          <w:szCs w:val="20"/>
        </w:rPr>
        <w:t>2014,</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Executive</w:t>
      </w:r>
      <w:r w:rsidR="00FF41A0">
        <w:rPr>
          <w:sz w:val="20"/>
          <w:szCs w:val="20"/>
        </w:rPr>
        <w:t xml:space="preserve"> </w:t>
      </w:r>
      <w:r w:rsidR="00323457" w:rsidRPr="0059638B">
        <w:rPr>
          <w:sz w:val="20"/>
          <w:szCs w:val="20"/>
        </w:rPr>
        <w:t>Program</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encourage</w:t>
      </w:r>
      <w:r w:rsidR="00FF41A0">
        <w:rPr>
          <w:sz w:val="20"/>
          <w:szCs w:val="20"/>
        </w:rPr>
        <w:t xml:space="preserve"> </w:t>
      </w:r>
      <w:r w:rsidR="00323457" w:rsidRPr="0059638B">
        <w:rPr>
          <w:sz w:val="20"/>
          <w:szCs w:val="20"/>
        </w:rPr>
        <w:t>women</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entry</w:t>
      </w:r>
      <w:r w:rsidR="00FF41A0">
        <w:rPr>
          <w:sz w:val="20"/>
          <w:szCs w:val="20"/>
        </w:rPr>
        <w:t xml:space="preserve"> </w:t>
      </w:r>
      <w:r w:rsidR="00323457" w:rsidRPr="0059638B">
        <w:rPr>
          <w:sz w:val="20"/>
          <w:szCs w:val="20"/>
        </w:rPr>
        <w:t>into</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participation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labour</w:t>
      </w:r>
      <w:r w:rsidR="00FF41A0">
        <w:rPr>
          <w:sz w:val="20"/>
          <w:szCs w:val="20"/>
        </w:rPr>
        <w:t xml:space="preserve"> </w:t>
      </w:r>
      <w:r w:rsidR="00323457" w:rsidRPr="0059638B">
        <w:rPr>
          <w:sz w:val="20"/>
          <w:szCs w:val="20"/>
        </w:rPr>
        <w:t>market.</w:t>
      </w:r>
      <w:r w:rsidR="00FF41A0">
        <w:rPr>
          <w:sz w:val="20"/>
          <w:szCs w:val="20"/>
        </w:rPr>
        <w:t xml:space="preserve"> </w:t>
      </w:r>
    </w:p>
    <w:p w14:paraId="29F3C59E" w14:textId="015FDAAD" w:rsidR="00323457" w:rsidRPr="0059638B" w:rsidRDefault="00972F1E" w:rsidP="00323457">
      <w:pPr>
        <w:pStyle w:val="SingleTxtG"/>
        <w:rPr>
          <w:sz w:val="20"/>
          <w:szCs w:val="20"/>
        </w:rPr>
      </w:pPr>
      <w:r>
        <w:rPr>
          <w:sz w:val="20"/>
          <w:szCs w:val="20"/>
        </w:rPr>
        <w:t>594</w:t>
      </w:r>
      <w:r w:rsidR="00D7475F">
        <w:rPr>
          <w:sz w:val="20"/>
          <w:szCs w:val="20"/>
        </w:rPr>
        <w:t>.</w:t>
      </w:r>
      <w:r w:rsidR="00D7475F">
        <w:rPr>
          <w:sz w:val="20"/>
          <w:szCs w:val="20"/>
        </w:rPr>
        <w:tab/>
      </w:r>
      <w:r w:rsidR="00323457" w:rsidRPr="0059638B">
        <w:rPr>
          <w:sz w:val="20"/>
          <w:szCs w:val="20"/>
        </w:rPr>
        <w:t>Jordan</w:t>
      </w:r>
      <w:r w:rsidR="00FF41A0">
        <w:rPr>
          <w:sz w:val="20"/>
          <w:szCs w:val="20"/>
        </w:rPr>
        <w:t xml:space="preserve"> </w:t>
      </w:r>
      <w:r w:rsidR="00323457" w:rsidRPr="0059638B">
        <w:rPr>
          <w:sz w:val="20"/>
          <w:szCs w:val="20"/>
        </w:rPr>
        <w:t>further</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number</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different</w:t>
      </w:r>
      <w:r w:rsidR="00FF41A0">
        <w:rPr>
          <w:sz w:val="20"/>
          <w:szCs w:val="20"/>
        </w:rPr>
        <w:t xml:space="preserve"> </w:t>
      </w:r>
      <w:r w:rsidR="00323457" w:rsidRPr="0059638B">
        <w:rPr>
          <w:sz w:val="20"/>
          <w:szCs w:val="20"/>
        </w:rPr>
        <w:t>committees</w:t>
      </w:r>
      <w:r w:rsidR="00FF41A0">
        <w:rPr>
          <w:sz w:val="20"/>
          <w:szCs w:val="20"/>
        </w:rPr>
        <w:t xml:space="preserve"> </w:t>
      </w:r>
      <w:r w:rsidR="00323457" w:rsidRPr="0059638B">
        <w:rPr>
          <w:sz w:val="20"/>
          <w:szCs w:val="20"/>
        </w:rPr>
        <w:t>have</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formed</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specific</w:t>
      </w:r>
      <w:r w:rsidR="00FF41A0">
        <w:rPr>
          <w:sz w:val="20"/>
          <w:szCs w:val="20"/>
        </w:rPr>
        <w:t xml:space="preserve"> </w:t>
      </w:r>
      <w:r w:rsidR="00323457" w:rsidRPr="0059638B">
        <w:rPr>
          <w:sz w:val="20"/>
          <w:szCs w:val="20"/>
        </w:rPr>
        <w:t>purposes,</w:t>
      </w:r>
      <w:r w:rsidR="00FF41A0">
        <w:rPr>
          <w:sz w:val="20"/>
          <w:szCs w:val="20"/>
        </w:rPr>
        <w:t xml:space="preserve"> </w:t>
      </w:r>
      <w:r w:rsidR="00323457" w:rsidRPr="0059638B">
        <w:rPr>
          <w:sz w:val="20"/>
          <w:szCs w:val="20"/>
        </w:rPr>
        <w:t>including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Royal</w:t>
      </w:r>
      <w:r w:rsidR="00FF41A0">
        <w:rPr>
          <w:sz w:val="20"/>
          <w:szCs w:val="20"/>
        </w:rPr>
        <w:t xml:space="preserve"> </w:t>
      </w:r>
      <w:r w:rsidR="00323457" w:rsidRPr="0059638B">
        <w:rPr>
          <w:sz w:val="20"/>
          <w:szCs w:val="20"/>
        </w:rPr>
        <w:t>Commission</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development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judiciary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strengthening</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rule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law,</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Ministerial</w:t>
      </w:r>
      <w:r w:rsidR="00FF41A0">
        <w:rPr>
          <w:sz w:val="20"/>
          <w:szCs w:val="20"/>
        </w:rPr>
        <w:t xml:space="preserve"> </w:t>
      </w:r>
      <w:r w:rsidR="00323457" w:rsidRPr="0059638B">
        <w:rPr>
          <w:sz w:val="20"/>
          <w:szCs w:val="20"/>
        </w:rPr>
        <w:t>Committee</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Empowerment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support</w:t>
      </w:r>
      <w:r w:rsidR="00FF41A0">
        <w:rPr>
          <w:sz w:val="20"/>
          <w:szCs w:val="20"/>
        </w:rPr>
        <w:t xml:space="preserve"> </w:t>
      </w:r>
      <w:r w:rsidR="00323457" w:rsidRPr="0059638B">
        <w:rPr>
          <w:sz w:val="20"/>
          <w:szCs w:val="20"/>
        </w:rPr>
        <w:t>women</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economic,</w:t>
      </w:r>
      <w:r w:rsidR="00FF41A0">
        <w:rPr>
          <w:sz w:val="20"/>
          <w:szCs w:val="20"/>
        </w:rPr>
        <w:t xml:space="preserve"> </w:t>
      </w:r>
      <w:r w:rsidR="00323457" w:rsidRPr="0059638B">
        <w:rPr>
          <w:sz w:val="20"/>
          <w:szCs w:val="20"/>
        </w:rPr>
        <w:t>social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political</w:t>
      </w:r>
      <w:r w:rsidR="00FF41A0">
        <w:rPr>
          <w:sz w:val="20"/>
          <w:szCs w:val="20"/>
        </w:rPr>
        <w:t xml:space="preserve"> </w:t>
      </w:r>
      <w:r w:rsidR="00323457" w:rsidRPr="0059638B">
        <w:rPr>
          <w:sz w:val="20"/>
          <w:szCs w:val="20"/>
        </w:rPr>
        <w:t>participation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public</w:t>
      </w:r>
      <w:r w:rsidR="00FF41A0">
        <w:rPr>
          <w:sz w:val="20"/>
          <w:szCs w:val="20"/>
        </w:rPr>
        <w:t xml:space="preserve"> </w:t>
      </w:r>
      <w:r w:rsidR="00323457" w:rsidRPr="0059638B">
        <w:rPr>
          <w:sz w:val="20"/>
          <w:szCs w:val="20"/>
        </w:rPr>
        <w:t>life,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Comprehensive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Plan</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years</w:t>
      </w:r>
      <w:r w:rsidR="00FF41A0">
        <w:rPr>
          <w:sz w:val="20"/>
          <w:szCs w:val="20"/>
        </w:rPr>
        <w:t xml:space="preserve"> </w:t>
      </w:r>
      <w:r w:rsidR="00323457" w:rsidRPr="0059638B">
        <w:rPr>
          <w:sz w:val="20"/>
          <w:szCs w:val="20"/>
        </w:rPr>
        <w:t>2016-2025.</w:t>
      </w:r>
      <w:r w:rsidR="00FF41A0">
        <w:rPr>
          <w:sz w:val="20"/>
          <w:szCs w:val="20"/>
        </w:rPr>
        <w:t xml:space="preserve"> </w:t>
      </w:r>
    </w:p>
    <w:p w14:paraId="07F1091B" w14:textId="1E84873F" w:rsidR="00323457" w:rsidRPr="0059638B" w:rsidRDefault="00972F1E" w:rsidP="00323457">
      <w:pPr>
        <w:pStyle w:val="SingleTxtG"/>
        <w:rPr>
          <w:sz w:val="20"/>
          <w:szCs w:val="20"/>
        </w:rPr>
      </w:pPr>
      <w:r>
        <w:rPr>
          <w:sz w:val="20"/>
          <w:szCs w:val="20"/>
        </w:rPr>
        <w:t>595</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affirmed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commitment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promote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support</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monitoring</w:t>
      </w:r>
      <w:r w:rsidR="00FF41A0">
        <w:rPr>
          <w:sz w:val="20"/>
          <w:szCs w:val="20"/>
        </w:rPr>
        <w:t xml:space="preserve"> </w:t>
      </w:r>
      <w:r w:rsidR="00323457" w:rsidRPr="0059638B">
        <w:rPr>
          <w:sz w:val="20"/>
          <w:szCs w:val="20"/>
        </w:rPr>
        <w:t>institutions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mechanisms,</w:t>
      </w:r>
      <w:r w:rsidR="00FF41A0">
        <w:rPr>
          <w:sz w:val="20"/>
          <w:szCs w:val="20"/>
        </w:rPr>
        <w:t xml:space="preserve"> </w:t>
      </w:r>
      <w:r w:rsidR="00323457" w:rsidRPr="0059638B">
        <w:rPr>
          <w:sz w:val="20"/>
          <w:szCs w:val="20"/>
        </w:rPr>
        <w:t>noting</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financial</w:t>
      </w:r>
      <w:r w:rsidR="00FF41A0">
        <w:rPr>
          <w:sz w:val="20"/>
          <w:szCs w:val="20"/>
        </w:rPr>
        <w:t xml:space="preserve"> </w:t>
      </w:r>
      <w:r w:rsidR="00323457" w:rsidRPr="0059638B">
        <w:rPr>
          <w:sz w:val="20"/>
          <w:szCs w:val="20"/>
        </w:rPr>
        <w:t>allocations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Jordanian</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Committee</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Center</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raised.</w:t>
      </w:r>
    </w:p>
    <w:p w14:paraId="44F707F5" w14:textId="0F3881CB" w:rsidR="00323457" w:rsidRPr="0059638B" w:rsidRDefault="00972F1E" w:rsidP="00323457">
      <w:pPr>
        <w:pStyle w:val="SingleTxtG"/>
        <w:rPr>
          <w:sz w:val="20"/>
          <w:szCs w:val="20"/>
        </w:rPr>
      </w:pPr>
      <w:r>
        <w:rPr>
          <w:sz w:val="20"/>
          <w:szCs w:val="20"/>
        </w:rPr>
        <w:t>596</w:t>
      </w:r>
      <w:r w:rsidR="00D7475F">
        <w:rPr>
          <w:sz w:val="20"/>
          <w:szCs w:val="20"/>
        </w:rPr>
        <w:t>.</w:t>
      </w:r>
      <w:r w:rsidR="00D7475F">
        <w:rPr>
          <w:sz w:val="20"/>
          <w:szCs w:val="20"/>
        </w:rPr>
        <w:tab/>
      </w:r>
      <w:r w:rsidR="00323457" w:rsidRPr="0059638B">
        <w:rPr>
          <w:sz w:val="20"/>
          <w:szCs w:val="20"/>
        </w:rPr>
        <w:t>Jordan</w:t>
      </w:r>
      <w:r w:rsidR="00FF41A0">
        <w:rPr>
          <w:sz w:val="20"/>
          <w:szCs w:val="20"/>
        </w:rPr>
        <w:t xml:space="preserve"> </w:t>
      </w:r>
      <w:r w:rsidR="00323457" w:rsidRPr="0059638B">
        <w:rPr>
          <w:sz w:val="20"/>
          <w:szCs w:val="20"/>
        </w:rPr>
        <w:t>has</w:t>
      </w:r>
      <w:r w:rsidR="00FF41A0">
        <w:rPr>
          <w:sz w:val="20"/>
          <w:szCs w:val="20"/>
        </w:rPr>
        <w:t xml:space="preserve"> </w:t>
      </w:r>
      <w:r w:rsidR="00323457" w:rsidRPr="0059638B">
        <w:rPr>
          <w:sz w:val="20"/>
          <w:szCs w:val="20"/>
        </w:rPr>
        <w:t>received</w:t>
      </w:r>
      <w:r w:rsidR="00FF41A0">
        <w:rPr>
          <w:sz w:val="20"/>
          <w:szCs w:val="20"/>
        </w:rPr>
        <w:t xml:space="preserve"> </w:t>
      </w:r>
      <w:r w:rsidR="00323457" w:rsidRPr="0059638B">
        <w:rPr>
          <w:bCs/>
          <w:sz w:val="20"/>
          <w:szCs w:val="20"/>
        </w:rPr>
        <w:t>226</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During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Jordan</w:t>
      </w:r>
      <w:r w:rsidR="00FF41A0">
        <w:rPr>
          <w:sz w:val="20"/>
          <w:szCs w:val="20"/>
        </w:rPr>
        <w:t xml:space="preserve"> </w:t>
      </w:r>
      <w:r w:rsidR="00323457" w:rsidRPr="0059638B">
        <w:rPr>
          <w:sz w:val="20"/>
          <w:szCs w:val="20"/>
        </w:rPr>
        <w:t>announced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131</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be</w:t>
      </w:r>
      <w:r w:rsidR="00FF41A0">
        <w:rPr>
          <w:sz w:val="20"/>
          <w:szCs w:val="20"/>
        </w:rPr>
        <w:t xml:space="preserve"> </w:t>
      </w:r>
      <w:r w:rsidR="00323457" w:rsidRPr="0059638B">
        <w:rPr>
          <w:sz w:val="20"/>
          <w:szCs w:val="20"/>
        </w:rPr>
        <w:t>immediately</w:t>
      </w:r>
      <w:r w:rsidR="00FF41A0">
        <w:rPr>
          <w:sz w:val="20"/>
          <w:szCs w:val="20"/>
        </w:rPr>
        <w:t xml:space="preserve"> </w:t>
      </w:r>
      <w:r w:rsidR="00323457" w:rsidRPr="0059638B">
        <w:rPr>
          <w:sz w:val="20"/>
          <w:szCs w:val="20"/>
        </w:rPr>
        <w:t>accepted,</w:t>
      </w:r>
      <w:r w:rsidR="00FF41A0">
        <w:rPr>
          <w:sz w:val="20"/>
          <w:szCs w:val="20"/>
        </w:rPr>
        <w:t xml:space="preserve"> </w:t>
      </w:r>
      <w:r w:rsidR="00323457" w:rsidRPr="0059638B">
        <w:rPr>
          <w:sz w:val="20"/>
          <w:szCs w:val="20"/>
        </w:rPr>
        <w:t>while</w:t>
      </w:r>
      <w:r w:rsidR="00FF41A0">
        <w:rPr>
          <w:sz w:val="20"/>
          <w:szCs w:val="20"/>
        </w:rPr>
        <w:t xml:space="preserve"> </w:t>
      </w:r>
      <w:r w:rsidR="00323457" w:rsidRPr="0059638B">
        <w:rPr>
          <w:bCs/>
          <w:sz w:val="20"/>
          <w:szCs w:val="20"/>
        </w:rPr>
        <w:t>21</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be</w:t>
      </w:r>
      <w:r w:rsidR="00FF41A0">
        <w:rPr>
          <w:sz w:val="20"/>
          <w:szCs w:val="20"/>
        </w:rPr>
        <w:t xml:space="preserve"> </w:t>
      </w:r>
      <w:r w:rsidR="00323457" w:rsidRPr="0059638B">
        <w:rPr>
          <w:sz w:val="20"/>
          <w:szCs w:val="20"/>
        </w:rPr>
        <w:t>taken</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further</w:t>
      </w:r>
      <w:r w:rsidR="00FF41A0">
        <w:rPr>
          <w:sz w:val="20"/>
          <w:szCs w:val="20"/>
        </w:rPr>
        <w:t xml:space="preserve"> </w:t>
      </w:r>
      <w:r w:rsidR="00323457" w:rsidRPr="0059638B">
        <w:rPr>
          <w:sz w:val="20"/>
          <w:szCs w:val="20"/>
        </w:rPr>
        <w:t>examination.</w:t>
      </w:r>
      <w:r w:rsidR="00FF41A0">
        <w:rPr>
          <w:sz w:val="20"/>
          <w:szCs w:val="20"/>
        </w:rPr>
        <w:t xml:space="preserve"> </w:t>
      </w:r>
      <w:r w:rsidR="00323457" w:rsidRPr="0059638B">
        <w:rPr>
          <w:sz w:val="20"/>
          <w:szCs w:val="20"/>
        </w:rPr>
        <w:t>Upon</w:t>
      </w:r>
      <w:r w:rsidR="00FF41A0">
        <w:rPr>
          <w:sz w:val="20"/>
          <w:szCs w:val="20"/>
        </w:rPr>
        <w:t xml:space="preserve"> </w:t>
      </w:r>
      <w:r w:rsidR="00323457" w:rsidRPr="0059638B">
        <w:rPr>
          <w:sz w:val="20"/>
          <w:szCs w:val="20"/>
        </w:rPr>
        <w:t>consideration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these,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decided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accept</w:t>
      </w:r>
      <w:r w:rsidR="00FF41A0">
        <w:rPr>
          <w:sz w:val="20"/>
          <w:szCs w:val="20"/>
        </w:rPr>
        <w:t xml:space="preserve"> </w:t>
      </w:r>
      <w:r w:rsidR="00323457" w:rsidRPr="0059638B">
        <w:rPr>
          <w:sz w:val="20"/>
          <w:szCs w:val="20"/>
        </w:rPr>
        <w:t>16</w:t>
      </w:r>
      <w:r w:rsidR="00FF41A0">
        <w:rPr>
          <w:sz w:val="20"/>
          <w:szCs w:val="20"/>
        </w:rPr>
        <w:t xml:space="preserve"> </w:t>
      </w:r>
      <w:r w:rsidR="00323457" w:rsidRPr="0059638B">
        <w:rPr>
          <w:sz w:val="20"/>
          <w:szCs w:val="20"/>
        </w:rPr>
        <w:t>out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21,</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accept</w:t>
      </w:r>
      <w:r w:rsidR="00FF41A0">
        <w:rPr>
          <w:sz w:val="20"/>
          <w:szCs w:val="20"/>
        </w:rPr>
        <w:t xml:space="preserve"> </w:t>
      </w:r>
      <w:r w:rsidR="00323457" w:rsidRPr="0059638B">
        <w:rPr>
          <w:sz w:val="20"/>
          <w:szCs w:val="20"/>
        </w:rPr>
        <w:t>another</w:t>
      </w:r>
      <w:r w:rsidR="00FF41A0">
        <w:rPr>
          <w:sz w:val="20"/>
          <w:szCs w:val="20"/>
        </w:rPr>
        <w:t xml:space="preserve"> </w:t>
      </w:r>
      <w:r w:rsidR="00323457" w:rsidRPr="0059638B">
        <w:rPr>
          <w:sz w:val="20"/>
          <w:szCs w:val="20"/>
        </w:rPr>
        <w:t>two</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from</w:t>
      </w:r>
      <w:r w:rsidR="00FF41A0">
        <w:rPr>
          <w:sz w:val="20"/>
          <w:szCs w:val="20"/>
        </w:rPr>
        <w:t xml:space="preserve"> </w:t>
      </w:r>
      <w:r w:rsidR="00323457" w:rsidRPr="0059638B">
        <w:rPr>
          <w:sz w:val="20"/>
          <w:szCs w:val="20"/>
        </w:rPr>
        <w:t>those</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initially</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reflected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addendum</w:t>
      </w:r>
      <w:r w:rsidR="00FF41A0">
        <w:rPr>
          <w:sz w:val="20"/>
          <w:szCs w:val="20"/>
        </w:rPr>
        <w:t xml:space="preserve"> </w:t>
      </w:r>
      <w:r w:rsidR="00323457" w:rsidRPr="0059638B">
        <w:rPr>
          <w:sz w:val="20"/>
          <w:szCs w:val="20"/>
        </w:rPr>
        <w:t>A/HRC/40/10/Add.1</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11</w:t>
      </w:r>
      <w:r w:rsidR="00FF41A0">
        <w:rPr>
          <w:sz w:val="20"/>
          <w:szCs w:val="20"/>
        </w:rPr>
        <w:t xml:space="preserve"> </w:t>
      </w:r>
      <w:r w:rsidR="00323457" w:rsidRPr="0059638B">
        <w:rPr>
          <w:sz w:val="20"/>
          <w:szCs w:val="20"/>
        </w:rPr>
        <w:t>March</w:t>
      </w:r>
      <w:r w:rsidR="00FF41A0">
        <w:rPr>
          <w:sz w:val="20"/>
          <w:szCs w:val="20"/>
        </w:rPr>
        <w:t xml:space="preserve"> </w:t>
      </w:r>
      <w:r w:rsidR="00323457" w:rsidRPr="0059638B">
        <w:rPr>
          <w:sz w:val="20"/>
          <w:szCs w:val="20"/>
        </w:rPr>
        <w:t>2019.</w:t>
      </w:r>
      <w:r w:rsidR="00FF41A0">
        <w:rPr>
          <w:sz w:val="20"/>
          <w:szCs w:val="20"/>
        </w:rPr>
        <w:t xml:space="preserve"> </w:t>
      </w:r>
      <w:r w:rsidR="00323457" w:rsidRPr="0059638B">
        <w:rPr>
          <w:sz w:val="20"/>
          <w:szCs w:val="20"/>
        </w:rPr>
        <w:t>Therefore,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complex,</w:t>
      </w:r>
      <w:r w:rsidR="00FF41A0">
        <w:rPr>
          <w:sz w:val="20"/>
          <w:szCs w:val="20"/>
        </w:rPr>
        <w:t xml:space="preserve"> </w:t>
      </w:r>
      <w:r w:rsidR="00323457" w:rsidRPr="0059638B">
        <w:rPr>
          <w:sz w:val="20"/>
          <w:szCs w:val="20"/>
        </w:rPr>
        <w:t>Jordan</w:t>
      </w:r>
      <w:r w:rsidR="00FF41A0">
        <w:rPr>
          <w:sz w:val="20"/>
          <w:szCs w:val="20"/>
        </w:rPr>
        <w:t xml:space="preserve"> </w:t>
      </w:r>
      <w:r w:rsidR="00323457" w:rsidRPr="0059638B">
        <w:rPr>
          <w:sz w:val="20"/>
          <w:szCs w:val="20"/>
        </w:rPr>
        <w:t>accepted</w:t>
      </w:r>
      <w:r w:rsidR="00FF41A0">
        <w:rPr>
          <w:sz w:val="20"/>
          <w:szCs w:val="20"/>
        </w:rPr>
        <w:t xml:space="preserve"> </w:t>
      </w:r>
      <w:r w:rsidR="00323457" w:rsidRPr="0059638B">
        <w:rPr>
          <w:sz w:val="20"/>
          <w:szCs w:val="20"/>
        </w:rPr>
        <w:t>149</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out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total</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226</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amounts</w:t>
      </w:r>
      <w:r w:rsidR="00FF41A0">
        <w:rPr>
          <w:sz w:val="20"/>
          <w:szCs w:val="20"/>
        </w:rPr>
        <w:t xml:space="preserve"> </w:t>
      </w:r>
      <w:r w:rsidR="00323457" w:rsidRPr="0059638B">
        <w:rPr>
          <w:sz w:val="20"/>
          <w:szCs w:val="20"/>
        </w:rPr>
        <w:t>approximately</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two-thirds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p>
    <w:p w14:paraId="53F90FDA" w14:textId="7CD449A9" w:rsidR="00323457" w:rsidRPr="0059638B" w:rsidRDefault="00972F1E" w:rsidP="00323457">
      <w:pPr>
        <w:pStyle w:val="SingleTxtG"/>
        <w:rPr>
          <w:sz w:val="20"/>
          <w:szCs w:val="20"/>
        </w:rPr>
      </w:pPr>
      <w:r>
        <w:rPr>
          <w:sz w:val="20"/>
          <w:szCs w:val="20"/>
        </w:rPr>
        <w:t>597</w:t>
      </w:r>
      <w:r w:rsidR="00D7475F">
        <w:rPr>
          <w:sz w:val="20"/>
          <w:szCs w:val="20"/>
        </w:rPr>
        <w:t>.</w:t>
      </w:r>
      <w:r w:rsidR="00D7475F">
        <w:rPr>
          <w:sz w:val="20"/>
          <w:szCs w:val="20"/>
        </w:rPr>
        <w:tab/>
      </w:r>
      <w:r w:rsidR="00323457" w:rsidRPr="0059638B">
        <w:rPr>
          <w:sz w:val="20"/>
          <w:szCs w:val="20"/>
        </w:rPr>
        <w:t>With</w:t>
      </w:r>
      <w:r w:rsidR="00FF41A0">
        <w:rPr>
          <w:sz w:val="20"/>
          <w:szCs w:val="20"/>
        </w:rPr>
        <w:t xml:space="preserve"> </w:t>
      </w:r>
      <w:r w:rsidR="00323457" w:rsidRPr="0059638B">
        <w:rPr>
          <w:sz w:val="20"/>
          <w:szCs w:val="20"/>
        </w:rPr>
        <w:t>regards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have</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Jordan</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position</w:t>
      </w:r>
      <w:r w:rsidR="00FF41A0">
        <w:rPr>
          <w:sz w:val="20"/>
          <w:szCs w:val="20"/>
        </w:rPr>
        <w:t xml:space="preserve"> </w:t>
      </w:r>
      <w:r w:rsidR="00323457" w:rsidRPr="0059638B">
        <w:rPr>
          <w:sz w:val="20"/>
          <w:szCs w:val="20"/>
        </w:rPr>
        <w:t>stemmed</w:t>
      </w:r>
      <w:r w:rsidR="00FF41A0">
        <w:rPr>
          <w:sz w:val="20"/>
          <w:szCs w:val="20"/>
        </w:rPr>
        <w:t xml:space="preserve"> </w:t>
      </w:r>
      <w:r w:rsidR="00323457" w:rsidRPr="0059638B">
        <w:rPr>
          <w:sz w:val="20"/>
          <w:szCs w:val="20"/>
        </w:rPr>
        <w:t>from</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following</w:t>
      </w:r>
      <w:r w:rsidR="00FF41A0">
        <w:rPr>
          <w:sz w:val="20"/>
          <w:szCs w:val="20"/>
        </w:rPr>
        <w:t xml:space="preserve"> </w:t>
      </w:r>
      <w:r w:rsidR="00323457" w:rsidRPr="0059638B">
        <w:rPr>
          <w:sz w:val="20"/>
          <w:szCs w:val="20"/>
        </w:rPr>
        <w:t>reasons:</w:t>
      </w:r>
      <w:r w:rsidR="00FF41A0">
        <w:rPr>
          <w:sz w:val="20"/>
          <w:szCs w:val="20"/>
        </w:rPr>
        <w:t xml:space="preserve"> </w:t>
      </w:r>
      <w:r w:rsidR="00323457" w:rsidRPr="0059638B">
        <w:rPr>
          <w:sz w:val="20"/>
          <w:szCs w:val="20"/>
        </w:rPr>
        <w:t>(i)</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understanding</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legislation,</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governing</w:t>
      </w:r>
      <w:r w:rsidR="00FF41A0">
        <w:rPr>
          <w:sz w:val="20"/>
          <w:szCs w:val="20"/>
        </w:rPr>
        <w:t xml:space="preserve"> </w:t>
      </w:r>
      <w:r w:rsidR="00323457" w:rsidRPr="0059638B">
        <w:rPr>
          <w:sz w:val="20"/>
          <w:szCs w:val="20"/>
        </w:rPr>
        <w:t>laws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current</w:t>
      </w:r>
      <w:r w:rsidR="00FF41A0">
        <w:rPr>
          <w:sz w:val="20"/>
          <w:szCs w:val="20"/>
        </w:rPr>
        <w:t xml:space="preserve"> </w:t>
      </w:r>
      <w:r w:rsidR="00323457" w:rsidRPr="0059638B">
        <w:rPr>
          <w:sz w:val="20"/>
          <w:szCs w:val="20"/>
        </w:rPr>
        <w:t>practice</w:t>
      </w:r>
      <w:r w:rsidR="00FF41A0">
        <w:rPr>
          <w:sz w:val="20"/>
          <w:szCs w:val="20"/>
        </w:rPr>
        <w:t xml:space="preserve"> </w:t>
      </w:r>
      <w:r w:rsidR="00323457" w:rsidRPr="0059638B">
        <w:rPr>
          <w:sz w:val="20"/>
          <w:szCs w:val="20"/>
        </w:rPr>
        <w:t>already</w:t>
      </w:r>
      <w:r w:rsidR="00FF41A0">
        <w:rPr>
          <w:sz w:val="20"/>
          <w:szCs w:val="20"/>
        </w:rPr>
        <w:t xml:space="preserve"> </w:t>
      </w:r>
      <w:r w:rsidR="00323457" w:rsidRPr="0059638B">
        <w:rPr>
          <w:sz w:val="20"/>
          <w:szCs w:val="20"/>
        </w:rPr>
        <w:t>reflect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content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these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either</w:t>
      </w:r>
      <w:r w:rsidR="00FF41A0">
        <w:rPr>
          <w:sz w:val="20"/>
          <w:szCs w:val="20"/>
        </w:rPr>
        <w:t xml:space="preserve"> </w:t>
      </w:r>
      <w:r w:rsidR="00323457" w:rsidRPr="0059638B">
        <w:rPr>
          <w:sz w:val="20"/>
          <w:szCs w:val="20"/>
        </w:rPr>
        <w:t>entirely</w:t>
      </w:r>
      <w:r w:rsidR="00FF41A0">
        <w:rPr>
          <w:sz w:val="20"/>
          <w:szCs w:val="20"/>
        </w:rPr>
        <w:t xml:space="preserve"> </w:t>
      </w:r>
      <w:r w:rsidR="00323457" w:rsidRPr="0059638B">
        <w:rPr>
          <w:sz w:val="20"/>
          <w:szCs w:val="20"/>
        </w:rPr>
        <w:t>or</w:t>
      </w:r>
      <w:r w:rsidR="00FF41A0">
        <w:rPr>
          <w:sz w:val="20"/>
          <w:szCs w:val="20"/>
        </w:rPr>
        <w:t xml:space="preserve"> </w:t>
      </w:r>
      <w:r w:rsidR="00323457" w:rsidRPr="0059638B">
        <w:rPr>
          <w:sz w:val="20"/>
          <w:szCs w:val="20"/>
        </w:rPr>
        <w:t>fully,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therefore,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did</w:t>
      </w:r>
      <w:r w:rsidR="00FF41A0">
        <w:rPr>
          <w:sz w:val="20"/>
          <w:szCs w:val="20"/>
        </w:rPr>
        <w:t xml:space="preserve"> </w:t>
      </w:r>
      <w:r w:rsidR="00323457" w:rsidRPr="0059638B">
        <w:rPr>
          <w:sz w:val="20"/>
          <w:szCs w:val="20"/>
        </w:rPr>
        <w:t>not</w:t>
      </w:r>
      <w:r w:rsidR="00FF41A0">
        <w:rPr>
          <w:sz w:val="20"/>
          <w:szCs w:val="20"/>
        </w:rPr>
        <w:t xml:space="preserve"> </w:t>
      </w:r>
      <w:r w:rsidR="00323457" w:rsidRPr="0059638B">
        <w:rPr>
          <w:sz w:val="20"/>
          <w:szCs w:val="20"/>
        </w:rPr>
        <w:t>consider</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necessary</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take</w:t>
      </w:r>
      <w:r w:rsidR="00FF41A0">
        <w:rPr>
          <w:sz w:val="20"/>
          <w:szCs w:val="20"/>
        </w:rPr>
        <w:t xml:space="preserve"> </w:t>
      </w:r>
      <w:r w:rsidR="00323457" w:rsidRPr="0059638B">
        <w:rPr>
          <w:sz w:val="20"/>
          <w:szCs w:val="20"/>
        </w:rPr>
        <w:t>additional</w:t>
      </w:r>
      <w:r w:rsidR="00FF41A0">
        <w:rPr>
          <w:sz w:val="20"/>
          <w:szCs w:val="20"/>
        </w:rPr>
        <w:t xml:space="preserve"> </w:t>
      </w:r>
      <w:r w:rsidR="00323457" w:rsidRPr="0059638B">
        <w:rPr>
          <w:sz w:val="20"/>
          <w:szCs w:val="20"/>
        </w:rPr>
        <w:t>measures;</w:t>
      </w:r>
      <w:r w:rsidR="00FF41A0">
        <w:rPr>
          <w:sz w:val="20"/>
          <w:szCs w:val="20"/>
        </w:rPr>
        <w:t xml:space="preserve"> </w:t>
      </w:r>
      <w:r w:rsidR="00323457" w:rsidRPr="0059638B">
        <w:rPr>
          <w:sz w:val="20"/>
          <w:szCs w:val="20"/>
        </w:rPr>
        <w:t>(ii)</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addressed</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number</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different</w:t>
      </w:r>
      <w:r w:rsidR="00FF41A0">
        <w:rPr>
          <w:sz w:val="20"/>
          <w:szCs w:val="20"/>
        </w:rPr>
        <w:t xml:space="preserve"> </w:t>
      </w:r>
      <w:r w:rsidR="00323457" w:rsidRPr="0059638B">
        <w:rPr>
          <w:sz w:val="20"/>
          <w:szCs w:val="20"/>
        </w:rPr>
        <w:t>issues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Jordan</w:t>
      </w:r>
      <w:r w:rsidR="00FF41A0">
        <w:rPr>
          <w:sz w:val="20"/>
          <w:szCs w:val="20"/>
        </w:rPr>
        <w:t xml:space="preserve"> </w:t>
      </w:r>
      <w:r w:rsidR="00323457" w:rsidRPr="0059638B">
        <w:rPr>
          <w:sz w:val="20"/>
          <w:szCs w:val="20"/>
        </w:rPr>
        <w:t>may</w:t>
      </w:r>
      <w:r w:rsidR="00FF41A0">
        <w:rPr>
          <w:sz w:val="20"/>
          <w:szCs w:val="20"/>
        </w:rPr>
        <w:t xml:space="preserve"> </w:t>
      </w:r>
      <w:r w:rsidR="00323457" w:rsidRPr="0059638B">
        <w:rPr>
          <w:sz w:val="20"/>
          <w:szCs w:val="20"/>
        </w:rPr>
        <w:t>support</w:t>
      </w:r>
      <w:r w:rsidR="00FF41A0">
        <w:rPr>
          <w:sz w:val="20"/>
          <w:szCs w:val="20"/>
        </w:rPr>
        <w:t xml:space="preserve"> </w:t>
      </w:r>
      <w:r w:rsidR="00323457" w:rsidRPr="0059638B">
        <w:rPr>
          <w:sz w:val="20"/>
          <w:szCs w:val="20"/>
        </w:rPr>
        <w:t>only</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part</w:t>
      </w:r>
      <w:r w:rsidR="00FF41A0">
        <w:rPr>
          <w:sz w:val="20"/>
          <w:szCs w:val="20"/>
        </w:rPr>
        <w:t xml:space="preserve"> </w:t>
      </w:r>
      <w:r w:rsidR="00323457" w:rsidRPr="0059638B">
        <w:rPr>
          <w:sz w:val="20"/>
          <w:szCs w:val="20"/>
        </w:rPr>
        <w:t>or</w:t>
      </w:r>
      <w:r w:rsidR="00FF41A0">
        <w:rPr>
          <w:sz w:val="20"/>
          <w:szCs w:val="20"/>
        </w:rPr>
        <w:t xml:space="preserve"> </w:t>
      </w:r>
      <w:r w:rsidR="00323457" w:rsidRPr="0059638B">
        <w:rPr>
          <w:sz w:val="20"/>
          <w:szCs w:val="20"/>
        </w:rPr>
        <w:t>only</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desired</w:t>
      </w:r>
      <w:r w:rsidR="00FF41A0">
        <w:rPr>
          <w:sz w:val="20"/>
          <w:szCs w:val="20"/>
        </w:rPr>
        <w:t xml:space="preserve"> </w:t>
      </w:r>
      <w:r w:rsidR="00323457" w:rsidRPr="0059638B">
        <w:rPr>
          <w:sz w:val="20"/>
          <w:szCs w:val="20"/>
        </w:rPr>
        <w:t>goal;</w:t>
      </w:r>
      <w:r w:rsidR="00FF41A0">
        <w:rPr>
          <w:sz w:val="20"/>
          <w:szCs w:val="20"/>
        </w:rPr>
        <w:t xml:space="preserve"> </w:t>
      </w:r>
      <w:r w:rsidR="00323457" w:rsidRPr="0059638B">
        <w:rPr>
          <w:sz w:val="20"/>
          <w:szCs w:val="20"/>
        </w:rPr>
        <w:t>(iii)</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light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current</w:t>
      </w:r>
      <w:r w:rsidR="00FF41A0">
        <w:rPr>
          <w:sz w:val="20"/>
          <w:szCs w:val="20"/>
        </w:rPr>
        <w:t xml:space="preserve"> </w:t>
      </w:r>
      <w:r w:rsidR="00323457" w:rsidRPr="0059638B">
        <w:rPr>
          <w:sz w:val="20"/>
          <w:szCs w:val="20"/>
        </w:rPr>
        <w:t>regional</w:t>
      </w:r>
      <w:r w:rsidR="00FF41A0">
        <w:rPr>
          <w:sz w:val="20"/>
          <w:szCs w:val="20"/>
        </w:rPr>
        <w:t xml:space="preserve"> </w:t>
      </w:r>
      <w:r w:rsidR="00323457" w:rsidRPr="0059638B">
        <w:rPr>
          <w:sz w:val="20"/>
          <w:szCs w:val="20"/>
        </w:rPr>
        <w:t>situation,</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considered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difficult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accept</w:t>
      </w:r>
      <w:r w:rsidR="00FF41A0">
        <w:rPr>
          <w:sz w:val="20"/>
          <w:szCs w:val="20"/>
        </w:rPr>
        <w:t xml:space="preserve"> </w:t>
      </w:r>
      <w:r w:rsidR="00323457" w:rsidRPr="0059638B">
        <w:rPr>
          <w:sz w:val="20"/>
          <w:szCs w:val="20"/>
        </w:rPr>
        <w:t>due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potential</w:t>
      </w:r>
      <w:r w:rsidR="00FF41A0">
        <w:rPr>
          <w:sz w:val="20"/>
          <w:szCs w:val="20"/>
        </w:rPr>
        <w:t xml:space="preserve"> </w:t>
      </w:r>
      <w:r w:rsidR="00323457" w:rsidRPr="0059638B">
        <w:rPr>
          <w:sz w:val="20"/>
          <w:szCs w:val="20"/>
        </w:rPr>
        <w:t>challenges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implementation;</w:t>
      </w:r>
      <w:r w:rsidR="00FF41A0">
        <w:rPr>
          <w:sz w:val="20"/>
          <w:szCs w:val="20"/>
        </w:rPr>
        <w:t xml:space="preserve"> </w:t>
      </w:r>
      <w:r w:rsidR="00323457" w:rsidRPr="0059638B">
        <w:rPr>
          <w:sz w:val="20"/>
          <w:szCs w:val="20"/>
        </w:rPr>
        <w:t>(iv)</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maintain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credibility</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because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inability</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comply</w:t>
      </w:r>
      <w:r w:rsidR="00FF41A0">
        <w:rPr>
          <w:sz w:val="20"/>
          <w:szCs w:val="20"/>
        </w:rPr>
        <w:t xml:space="preserve"> </w:t>
      </w:r>
      <w:r w:rsidR="00323457" w:rsidRPr="0059638B">
        <w:rPr>
          <w:sz w:val="20"/>
          <w:szCs w:val="20"/>
        </w:rPr>
        <w:t>fully</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proposed</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present</w:t>
      </w:r>
      <w:r w:rsidR="00FF41A0">
        <w:rPr>
          <w:sz w:val="20"/>
          <w:szCs w:val="20"/>
        </w:rPr>
        <w:t xml:space="preserve"> </w:t>
      </w:r>
      <w:r w:rsidR="00323457" w:rsidRPr="0059638B">
        <w:rPr>
          <w:sz w:val="20"/>
          <w:szCs w:val="20"/>
        </w:rPr>
        <w:t>time;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(v)</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not</w:t>
      </w:r>
      <w:r w:rsidR="00FF41A0">
        <w:rPr>
          <w:sz w:val="20"/>
          <w:szCs w:val="20"/>
        </w:rPr>
        <w:t xml:space="preserve"> </w:t>
      </w:r>
      <w:r w:rsidR="00323457" w:rsidRPr="0059638B">
        <w:rPr>
          <w:sz w:val="20"/>
          <w:szCs w:val="20"/>
        </w:rPr>
        <w:t>considered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be</w:t>
      </w:r>
      <w:r w:rsidR="00FF41A0">
        <w:rPr>
          <w:sz w:val="20"/>
          <w:szCs w:val="20"/>
        </w:rPr>
        <w:t xml:space="preserve"> </w:t>
      </w:r>
      <w:r w:rsidR="00323457" w:rsidRPr="0059638B">
        <w:rPr>
          <w:sz w:val="20"/>
          <w:szCs w:val="20"/>
        </w:rPr>
        <w:t>priorities,</w:t>
      </w:r>
      <w:r w:rsidR="00FF41A0">
        <w:rPr>
          <w:sz w:val="20"/>
          <w:szCs w:val="20"/>
        </w:rPr>
        <w:t xml:space="preserve"> </w:t>
      </w:r>
      <w:r w:rsidR="00323457" w:rsidRPr="0059638B">
        <w:rPr>
          <w:sz w:val="20"/>
          <w:szCs w:val="20"/>
        </w:rPr>
        <w:t>such</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accession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additional</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instruments.</w:t>
      </w:r>
    </w:p>
    <w:p w14:paraId="14E213D6" w14:textId="541B71F1" w:rsidR="00323457" w:rsidRPr="0059638B" w:rsidRDefault="00972F1E" w:rsidP="00323457">
      <w:pPr>
        <w:pStyle w:val="SingleTxtG"/>
        <w:rPr>
          <w:sz w:val="20"/>
          <w:szCs w:val="20"/>
        </w:rPr>
      </w:pPr>
      <w:r>
        <w:rPr>
          <w:sz w:val="20"/>
          <w:szCs w:val="20"/>
        </w:rPr>
        <w:t>598</w:t>
      </w:r>
      <w:r w:rsidR="00D7475F">
        <w:rPr>
          <w:sz w:val="20"/>
          <w:szCs w:val="20"/>
        </w:rPr>
        <w:t>.</w:t>
      </w:r>
      <w:r w:rsidR="00D7475F">
        <w:rPr>
          <w:sz w:val="20"/>
          <w:szCs w:val="20"/>
        </w:rPr>
        <w:tab/>
      </w:r>
      <w:r w:rsidR="00323457" w:rsidRPr="0059638B">
        <w:rPr>
          <w:sz w:val="20"/>
          <w:szCs w:val="20"/>
        </w:rPr>
        <w:t>For</w:t>
      </w:r>
      <w:r w:rsidR="00FF41A0">
        <w:rPr>
          <w:sz w:val="20"/>
          <w:szCs w:val="20"/>
        </w:rPr>
        <w:t xml:space="preserve"> </w:t>
      </w:r>
      <w:r w:rsidR="00323457" w:rsidRPr="0059638B">
        <w:rPr>
          <w:sz w:val="20"/>
          <w:szCs w:val="20"/>
        </w:rPr>
        <w:t>several</w:t>
      </w:r>
      <w:r w:rsidR="00FF41A0">
        <w:rPr>
          <w:sz w:val="20"/>
          <w:szCs w:val="20"/>
        </w:rPr>
        <w:t xml:space="preserve"> </w:t>
      </w:r>
      <w:r w:rsidR="00323457" w:rsidRPr="0059638B">
        <w:rPr>
          <w:sz w:val="20"/>
          <w:szCs w:val="20"/>
        </w:rPr>
        <w:t>years,</w:t>
      </w:r>
      <w:r w:rsidR="00FF41A0">
        <w:rPr>
          <w:sz w:val="20"/>
          <w:szCs w:val="20"/>
        </w:rPr>
        <w:t xml:space="preserve"> </w:t>
      </w:r>
      <w:r w:rsidR="00323457" w:rsidRPr="0059638B">
        <w:rPr>
          <w:sz w:val="20"/>
          <w:szCs w:val="20"/>
        </w:rPr>
        <w:t>Jordan</w:t>
      </w:r>
      <w:r w:rsidR="00FF41A0">
        <w:rPr>
          <w:sz w:val="20"/>
          <w:szCs w:val="20"/>
        </w:rPr>
        <w:t xml:space="preserve"> </w:t>
      </w:r>
      <w:r w:rsidR="00323457" w:rsidRPr="0059638B">
        <w:rPr>
          <w:sz w:val="20"/>
          <w:szCs w:val="20"/>
        </w:rPr>
        <w:t>has</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facing</w:t>
      </w:r>
      <w:r w:rsidR="00FF41A0">
        <w:rPr>
          <w:sz w:val="20"/>
          <w:szCs w:val="20"/>
        </w:rPr>
        <w:t xml:space="preserve"> </w:t>
      </w:r>
      <w:r w:rsidR="00323457" w:rsidRPr="0059638B">
        <w:rPr>
          <w:sz w:val="20"/>
          <w:szCs w:val="20"/>
        </w:rPr>
        <w:t>extraordinary</w:t>
      </w:r>
      <w:r w:rsidR="00FF41A0">
        <w:rPr>
          <w:sz w:val="20"/>
          <w:szCs w:val="20"/>
        </w:rPr>
        <w:t xml:space="preserve"> </w:t>
      </w:r>
      <w:r w:rsidR="00323457" w:rsidRPr="0059638B">
        <w:rPr>
          <w:sz w:val="20"/>
          <w:szCs w:val="20"/>
        </w:rPr>
        <w:t>challenges</w:t>
      </w:r>
      <w:r w:rsidR="00FF41A0">
        <w:rPr>
          <w:sz w:val="20"/>
          <w:szCs w:val="20"/>
        </w:rPr>
        <w:t xml:space="preserve"> </w:t>
      </w:r>
      <w:r w:rsidR="00323457" w:rsidRPr="0059638B">
        <w:rPr>
          <w:sz w:val="20"/>
          <w:szCs w:val="20"/>
        </w:rPr>
        <w:t>imposed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presence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volatile</w:t>
      </w:r>
      <w:r w:rsidR="00FF41A0">
        <w:rPr>
          <w:sz w:val="20"/>
          <w:szCs w:val="20"/>
        </w:rPr>
        <w:t xml:space="preserve"> </w:t>
      </w:r>
      <w:r w:rsidR="00323457" w:rsidRPr="0059638B">
        <w:rPr>
          <w:sz w:val="20"/>
          <w:szCs w:val="20"/>
        </w:rPr>
        <w:t>region</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has</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afflicted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conflicts,</w:t>
      </w:r>
      <w:r w:rsidR="00FF41A0">
        <w:rPr>
          <w:sz w:val="20"/>
          <w:szCs w:val="20"/>
        </w:rPr>
        <w:t xml:space="preserve"> </w:t>
      </w:r>
      <w:r w:rsidR="00323457" w:rsidRPr="0059638B">
        <w:rPr>
          <w:sz w:val="20"/>
          <w:szCs w:val="20"/>
        </w:rPr>
        <w:t>civil</w:t>
      </w:r>
      <w:r w:rsidR="00FF41A0">
        <w:rPr>
          <w:sz w:val="20"/>
          <w:szCs w:val="20"/>
        </w:rPr>
        <w:t xml:space="preserve"> </w:t>
      </w:r>
      <w:r w:rsidR="00323457" w:rsidRPr="0059638B">
        <w:rPr>
          <w:sz w:val="20"/>
          <w:szCs w:val="20"/>
        </w:rPr>
        <w:t>wars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emergence</w:t>
      </w:r>
      <w:r w:rsidR="00FF41A0">
        <w:rPr>
          <w:sz w:val="20"/>
          <w:szCs w:val="20"/>
        </w:rPr>
        <w:t xml:space="preserve"> </w:t>
      </w:r>
      <w:r w:rsidR="00323457" w:rsidRPr="0059638B">
        <w:rPr>
          <w:sz w:val="20"/>
          <w:szCs w:val="20"/>
        </w:rPr>
        <w:lastRenderedPageBreak/>
        <w:t>of</w:t>
      </w:r>
      <w:r w:rsidR="00FF41A0">
        <w:rPr>
          <w:sz w:val="20"/>
          <w:szCs w:val="20"/>
        </w:rPr>
        <w:t xml:space="preserve"> </w:t>
      </w:r>
      <w:r w:rsidR="00323457" w:rsidRPr="0059638B">
        <w:rPr>
          <w:sz w:val="20"/>
          <w:szCs w:val="20"/>
        </w:rPr>
        <w:t>terrorist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extremist</w:t>
      </w:r>
      <w:r w:rsidR="00FF41A0">
        <w:rPr>
          <w:sz w:val="20"/>
          <w:szCs w:val="20"/>
        </w:rPr>
        <w:t xml:space="preserve"> </w:t>
      </w:r>
      <w:r w:rsidR="00323457" w:rsidRPr="0059638B">
        <w:rPr>
          <w:sz w:val="20"/>
          <w:szCs w:val="20"/>
        </w:rPr>
        <w:t>groups,</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increased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burden</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Jordan</w:t>
      </w:r>
      <w:r w:rsidR="00FF41A0">
        <w:rPr>
          <w:sz w:val="20"/>
          <w:szCs w:val="20"/>
        </w:rPr>
        <w:t xml:space="preserve"> </w:t>
      </w:r>
      <w:r w:rsidR="00323457" w:rsidRPr="0059638B">
        <w:rPr>
          <w:sz w:val="20"/>
          <w:szCs w:val="20"/>
        </w:rPr>
        <w:t>through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influx</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massive</w:t>
      </w:r>
      <w:r w:rsidR="00FF41A0">
        <w:rPr>
          <w:sz w:val="20"/>
          <w:szCs w:val="20"/>
        </w:rPr>
        <w:t xml:space="preserve"> </w:t>
      </w:r>
      <w:r w:rsidR="00323457" w:rsidRPr="0059638B">
        <w:rPr>
          <w:sz w:val="20"/>
          <w:szCs w:val="20"/>
        </w:rPr>
        <w:t>numbers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refugees</w:t>
      </w:r>
      <w:r w:rsidR="00FF41A0">
        <w:rPr>
          <w:sz w:val="20"/>
          <w:szCs w:val="20"/>
        </w:rPr>
        <w:t xml:space="preserve"> </w:t>
      </w:r>
      <w:r w:rsidR="00323457" w:rsidRPr="0059638B">
        <w:rPr>
          <w:sz w:val="20"/>
          <w:szCs w:val="20"/>
        </w:rPr>
        <w:t>into</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territory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augmented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security</w:t>
      </w:r>
      <w:r w:rsidR="00FF41A0">
        <w:rPr>
          <w:sz w:val="20"/>
          <w:szCs w:val="20"/>
        </w:rPr>
        <w:t xml:space="preserve"> </w:t>
      </w:r>
      <w:r w:rsidR="00323457" w:rsidRPr="0059638B">
        <w:rPr>
          <w:sz w:val="20"/>
          <w:szCs w:val="20"/>
        </w:rPr>
        <w:t>challenges</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borders</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well</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pressure</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economy.</w:t>
      </w:r>
      <w:r w:rsidR="00FF41A0">
        <w:rPr>
          <w:sz w:val="20"/>
          <w:szCs w:val="20"/>
        </w:rPr>
        <w:t xml:space="preserve"> </w:t>
      </w:r>
      <w:r w:rsidR="00323457" w:rsidRPr="0059638B">
        <w:rPr>
          <w:sz w:val="20"/>
          <w:szCs w:val="20"/>
        </w:rPr>
        <w:t>These</w:t>
      </w:r>
      <w:r w:rsidR="00FF41A0">
        <w:rPr>
          <w:sz w:val="20"/>
          <w:szCs w:val="20"/>
        </w:rPr>
        <w:t xml:space="preserve"> </w:t>
      </w:r>
      <w:r w:rsidR="00323457" w:rsidRPr="0059638B">
        <w:rPr>
          <w:sz w:val="20"/>
          <w:szCs w:val="20"/>
        </w:rPr>
        <w:t>challenges</w:t>
      </w:r>
      <w:r w:rsidR="00FF41A0">
        <w:rPr>
          <w:sz w:val="20"/>
          <w:szCs w:val="20"/>
        </w:rPr>
        <w:t xml:space="preserve"> </w:t>
      </w:r>
      <w:r w:rsidR="00323457" w:rsidRPr="0059638B">
        <w:rPr>
          <w:sz w:val="20"/>
          <w:szCs w:val="20"/>
        </w:rPr>
        <w:t>have</w:t>
      </w:r>
      <w:r w:rsidR="00FF41A0">
        <w:rPr>
          <w:sz w:val="20"/>
          <w:szCs w:val="20"/>
        </w:rPr>
        <w:t xml:space="preserve"> </w:t>
      </w:r>
      <w:r w:rsidR="00323457" w:rsidRPr="0059638B">
        <w:rPr>
          <w:sz w:val="20"/>
          <w:szCs w:val="20"/>
        </w:rPr>
        <w:t>delayed</w:t>
      </w:r>
      <w:r w:rsidR="00FF41A0">
        <w:rPr>
          <w:sz w:val="20"/>
          <w:szCs w:val="20"/>
        </w:rPr>
        <w:t xml:space="preserve"> </w:t>
      </w:r>
      <w:r w:rsidR="00323457" w:rsidRPr="0059638B">
        <w:rPr>
          <w:sz w:val="20"/>
          <w:szCs w:val="20"/>
        </w:rPr>
        <w:t>many</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country</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ambitious</w:t>
      </w:r>
      <w:r w:rsidR="00FF41A0">
        <w:rPr>
          <w:sz w:val="20"/>
          <w:szCs w:val="20"/>
        </w:rPr>
        <w:t xml:space="preserve"> </w:t>
      </w:r>
      <w:r w:rsidR="00323457" w:rsidRPr="0059638B">
        <w:rPr>
          <w:sz w:val="20"/>
          <w:szCs w:val="20"/>
        </w:rPr>
        <w:t>development</w:t>
      </w:r>
      <w:r w:rsidR="00FF41A0">
        <w:rPr>
          <w:sz w:val="20"/>
          <w:szCs w:val="20"/>
        </w:rPr>
        <w:t xml:space="preserve"> </w:t>
      </w:r>
      <w:r w:rsidR="00323457" w:rsidRPr="0059638B">
        <w:rPr>
          <w:sz w:val="20"/>
          <w:szCs w:val="20"/>
        </w:rPr>
        <w:t>plans,</w:t>
      </w:r>
      <w:r w:rsidR="00FF41A0">
        <w:rPr>
          <w:sz w:val="20"/>
          <w:szCs w:val="20"/>
        </w:rPr>
        <w:t xml:space="preserve"> </w:t>
      </w:r>
      <w:r w:rsidR="00323457" w:rsidRPr="0059638B">
        <w:rPr>
          <w:sz w:val="20"/>
          <w:szCs w:val="20"/>
        </w:rPr>
        <w:t>slowed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economic</w:t>
      </w:r>
      <w:r w:rsidR="00FF41A0">
        <w:rPr>
          <w:sz w:val="20"/>
          <w:szCs w:val="20"/>
        </w:rPr>
        <w:t xml:space="preserve"> </w:t>
      </w:r>
      <w:r w:rsidR="00323457" w:rsidRPr="0059638B">
        <w:rPr>
          <w:sz w:val="20"/>
          <w:szCs w:val="20"/>
        </w:rPr>
        <w:t>growth</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increased</w:t>
      </w:r>
      <w:r w:rsidR="00FF41A0">
        <w:rPr>
          <w:sz w:val="20"/>
          <w:szCs w:val="20"/>
        </w:rPr>
        <w:t xml:space="preserve"> </w:t>
      </w:r>
      <w:r w:rsidR="00323457" w:rsidRPr="0059638B">
        <w:rPr>
          <w:sz w:val="20"/>
          <w:szCs w:val="20"/>
        </w:rPr>
        <w:t>unemployment</w:t>
      </w:r>
      <w:r w:rsidR="00FF41A0">
        <w:rPr>
          <w:sz w:val="20"/>
          <w:szCs w:val="20"/>
        </w:rPr>
        <w:t xml:space="preserve"> </w:t>
      </w:r>
      <w:r w:rsidR="00323457" w:rsidRPr="0059638B">
        <w:rPr>
          <w:sz w:val="20"/>
          <w:szCs w:val="20"/>
        </w:rPr>
        <w:t>rates.</w:t>
      </w:r>
      <w:r w:rsidR="00FF41A0">
        <w:rPr>
          <w:sz w:val="20"/>
          <w:szCs w:val="20"/>
        </w:rPr>
        <w:t xml:space="preserve"> </w:t>
      </w:r>
      <w:r w:rsidR="00323457" w:rsidRPr="0059638B">
        <w:rPr>
          <w:sz w:val="20"/>
          <w:szCs w:val="20"/>
        </w:rPr>
        <w:t>Moreover,</w:t>
      </w:r>
      <w:r w:rsidR="00FF41A0">
        <w:rPr>
          <w:sz w:val="20"/>
          <w:szCs w:val="20"/>
        </w:rPr>
        <w:t xml:space="preserve"> </w:t>
      </w:r>
      <w:r w:rsidR="00323457" w:rsidRPr="0059638B">
        <w:rPr>
          <w:sz w:val="20"/>
          <w:szCs w:val="20"/>
        </w:rPr>
        <w:t>some</w:t>
      </w:r>
      <w:r w:rsidR="00FF41A0">
        <w:rPr>
          <w:sz w:val="20"/>
          <w:szCs w:val="20"/>
        </w:rPr>
        <w:t xml:space="preserve"> </w:t>
      </w:r>
      <w:r w:rsidR="00323457" w:rsidRPr="0059638B">
        <w:rPr>
          <w:sz w:val="20"/>
          <w:szCs w:val="20"/>
        </w:rPr>
        <w:t>Jordanian</w:t>
      </w:r>
      <w:r w:rsidR="00FF41A0">
        <w:rPr>
          <w:sz w:val="20"/>
          <w:szCs w:val="20"/>
        </w:rPr>
        <w:t xml:space="preserve"> </w:t>
      </w:r>
      <w:r w:rsidR="00323457" w:rsidRPr="0059638B">
        <w:rPr>
          <w:sz w:val="20"/>
          <w:szCs w:val="20"/>
        </w:rPr>
        <w:t>commitments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field</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face</w:t>
      </w:r>
      <w:r w:rsidR="00FF41A0">
        <w:rPr>
          <w:sz w:val="20"/>
          <w:szCs w:val="20"/>
        </w:rPr>
        <w:t xml:space="preserve"> </w:t>
      </w:r>
      <w:r w:rsidR="00323457" w:rsidRPr="0059638B">
        <w:rPr>
          <w:sz w:val="20"/>
          <w:szCs w:val="20"/>
        </w:rPr>
        <w:t>financial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economic</w:t>
      </w:r>
      <w:r w:rsidR="00FF41A0">
        <w:rPr>
          <w:sz w:val="20"/>
          <w:szCs w:val="20"/>
        </w:rPr>
        <w:t xml:space="preserve"> </w:t>
      </w:r>
      <w:r w:rsidR="00323457" w:rsidRPr="0059638B">
        <w:rPr>
          <w:sz w:val="20"/>
          <w:szCs w:val="20"/>
        </w:rPr>
        <w:t>challenges</w:t>
      </w:r>
      <w:r w:rsidR="00FF41A0">
        <w:rPr>
          <w:sz w:val="20"/>
          <w:szCs w:val="20"/>
        </w:rPr>
        <w:t xml:space="preserve"> </w:t>
      </w:r>
      <w:r w:rsidR="00323457" w:rsidRPr="0059638B">
        <w:rPr>
          <w:sz w:val="20"/>
          <w:szCs w:val="20"/>
        </w:rPr>
        <w:t>because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burdens</w:t>
      </w:r>
      <w:r w:rsidR="00FF41A0">
        <w:rPr>
          <w:sz w:val="20"/>
          <w:szCs w:val="20"/>
        </w:rPr>
        <w:t xml:space="preserve"> </w:t>
      </w:r>
      <w:r w:rsidR="00323457" w:rsidRPr="0059638B">
        <w:rPr>
          <w:sz w:val="20"/>
          <w:szCs w:val="20"/>
        </w:rPr>
        <w:t>faced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Jordan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recent</w:t>
      </w:r>
      <w:r w:rsidR="00FF41A0">
        <w:rPr>
          <w:sz w:val="20"/>
          <w:szCs w:val="20"/>
        </w:rPr>
        <w:t xml:space="preserve"> </w:t>
      </w:r>
      <w:r w:rsidR="00323457" w:rsidRPr="0059638B">
        <w:rPr>
          <w:sz w:val="20"/>
          <w:szCs w:val="20"/>
        </w:rPr>
        <w:t>years.</w:t>
      </w:r>
    </w:p>
    <w:p w14:paraId="401FB2F6" w14:textId="1970901C" w:rsidR="00323457" w:rsidRPr="0059638B" w:rsidRDefault="00972F1E" w:rsidP="00323457">
      <w:pPr>
        <w:pStyle w:val="SingleTxtG"/>
        <w:rPr>
          <w:sz w:val="20"/>
          <w:szCs w:val="20"/>
        </w:rPr>
      </w:pPr>
      <w:r>
        <w:rPr>
          <w:sz w:val="20"/>
          <w:szCs w:val="20"/>
        </w:rPr>
        <w:t>599</w:t>
      </w:r>
      <w:r w:rsidR="00D7475F">
        <w:rPr>
          <w:sz w:val="20"/>
          <w:szCs w:val="20"/>
        </w:rPr>
        <w:t>.</w:t>
      </w:r>
      <w:r w:rsidR="00D7475F">
        <w:rPr>
          <w:sz w:val="20"/>
          <w:szCs w:val="20"/>
        </w:rPr>
        <w:tab/>
      </w:r>
      <w:r w:rsidR="00323457" w:rsidRPr="0059638B">
        <w:rPr>
          <w:sz w:val="20"/>
          <w:szCs w:val="20"/>
        </w:rPr>
        <w:t>Despite</w:t>
      </w:r>
      <w:r w:rsidR="00FF41A0">
        <w:rPr>
          <w:sz w:val="20"/>
          <w:szCs w:val="20"/>
        </w:rPr>
        <w:t xml:space="preserve"> </w:t>
      </w:r>
      <w:r w:rsidR="00323457" w:rsidRPr="0059638B">
        <w:rPr>
          <w:sz w:val="20"/>
          <w:szCs w:val="20"/>
        </w:rPr>
        <w:t>these</w:t>
      </w:r>
      <w:r w:rsidR="00FF41A0">
        <w:rPr>
          <w:sz w:val="20"/>
          <w:szCs w:val="20"/>
        </w:rPr>
        <w:t xml:space="preserve"> </w:t>
      </w:r>
      <w:r w:rsidR="00323457" w:rsidRPr="0059638B">
        <w:rPr>
          <w:sz w:val="20"/>
          <w:szCs w:val="20"/>
        </w:rPr>
        <w:t>challenges,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has</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able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achieve</w:t>
      </w:r>
      <w:r w:rsidR="00FF41A0">
        <w:rPr>
          <w:sz w:val="20"/>
          <w:szCs w:val="20"/>
        </w:rPr>
        <w:t xml:space="preserve"> </w:t>
      </w:r>
      <w:r w:rsidR="00323457" w:rsidRPr="0059638B">
        <w:rPr>
          <w:sz w:val="20"/>
          <w:szCs w:val="20"/>
        </w:rPr>
        <w:t>remarkable</w:t>
      </w:r>
      <w:r w:rsidR="00FF41A0">
        <w:rPr>
          <w:sz w:val="20"/>
          <w:szCs w:val="20"/>
        </w:rPr>
        <w:t xml:space="preserve"> </w:t>
      </w:r>
      <w:r w:rsidR="00323457" w:rsidRPr="0059638B">
        <w:rPr>
          <w:sz w:val="20"/>
          <w:szCs w:val="20"/>
        </w:rPr>
        <w:t>progress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political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administrative</w:t>
      </w:r>
      <w:r w:rsidR="00FF41A0">
        <w:rPr>
          <w:sz w:val="20"/>
          <w:szCs w:val="20"/>
        </w:rPr>
        <w:t xml:space="preserve"> </w:t>
      </w:r>
      <w:r w:rsidR="00323457" w:rsidRPr="0059638B">
        <w:rPr>
          <w:sz w:val="20"/>
          <w:szCs w:val="20"/>
        </w:rPr>
        <w:t>reform</w:t>
      </w:r>
      <w:r w:rsidR="00FF41A0">
        <w:rPr>
          <w:sz w:val="20"/>
          <w:szCs w:val="20"/>
        </w:rPr>
        <w:t xml:space="preserve"> </w:t>
      </w:r>
      <w:r w:rsidR="00323457" w:rsidRPr="0059638B">
        <w:rPr>
          <w:sz w:val="20"/>
          <w:szCs w:val="20"/>
        </w:rPr>
        <w:t>programmes,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claimed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have</w:t>
      </w:r>
      <w:r w:rsidR="00FF41A0">
        <w:rPr>
          <w:sz w:val="20"/>
          <w:szCs w:val="20"/>
        </w:rPr>
        <w:t xml:space="preserve"> </w:t>
      </w:r>
      <w:r w:rsidR="00323457" w:rsidRPr="0059638B">
        <w:rPr>
          <w:sz w:val="20"/>
          <w:szCs w:val="20"/>
        </w:rPr>
        <w:t>maintained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contractual</w:t>
      </w:r>
      <w:r w:rsidR="00FF41A0">
        <w:rPr>
          <w:sz w:val="20"/>
          <w:szCs w:val="20"/>
        </w:rPr>
        <w:t xml:space="preserve"> </w:t>
      </w:r>
      <w:r w:rsidR="00323457" w:rsidRPr="0059638B">
        <w:rPr>
          <w:sz w:val="20"/>
          <w:szCs w:val="20"/>
        </w:rPr>
        <w:t>obligations</w:t>
      </w:r>
      <w:r w:rsidR="00FF41A0">
        <w:rPr>
          <w:sz w:val="20"/>
          <w:szCs w:val="20"/>
        </w:rPr>
        <w:t xml:space="preserve"> </w:t>
      </w:r>
      <w:r w:rsidR="00323457" w:rsidRPr="0059638B">
        <w:rPr>
          <w:sz w:val="20"/>
          <w:szCs w:val="20"/>
        </w:rPr>
        <w:t>regarding</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determination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continue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promotion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safeguarding</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higher</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interest.</w:t>
      </w:r>
      <w:r w:rsidR="00FF41A0">
        <w:rPr>
          <w:sz w:val="20"/>
          <w:szCs w:val="20"/>
        </w:rPr>
        <w:t xml:space="preserve"> </w:t>
      </w:r>
    </w:p>
    <w:p w14:paraId="6B615700" w14:textId="51533B4F" w:rsidR="00323457" w:rsidRPr="0059638B" w:rsidRDefault="00972F1E" w:rsidP="00323457">
      <w:pPr>
        <w:pStyle w:val="SingleTxtG"/>
        <w:rPr>
          <w:sz w:val="20"/>
          <w:szCs w:val="20"/>
        </w:rPr>
      </w:pPr>
      <w:r>
        <w:rPr>
          <w:sz w:val="20"/>
          <w:szCs w:val="20"/>
        </w:rPr>
        <w:t>600</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delegation</w:t>
      </w:r>
      <w:r w:rsidR="00FF41A0">
        <w:rPr>
          <w:sz w:val="20"/>
          <w:szCs w:val="20"/>
        </w:rPr>
        <w:t xml:space="preserve"> </w:t>
      </w:r>
      <w:r w:rsidR="00323457" w:rsidRPr="0059638B">
        <w:rPr>
          <w:sz w:val="20"/>
          <w:szCs w:val="20"/>
        </w:rPr>
        <w:t>concluded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stating</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under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leadership</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His</w:t>
      </w:r>
      <w:r w:rsidR="00FF41A0">
        <w:rPr>
          <w:sz w:val="20"/>
          <w:szCs w:val="20"/>
        </w:rPr>
        <w:t xml:space="preserve"> </w:t>
      </w:r>
      <w:r w:rsidR="00323457" w:rsidRPr="0059638B">
        <w:rPr>
          <w:sz w:val="20"/>
          <w:szCs w:val="20"/>
        </w:rPr>
        <w:t>Majesty</w:t>
      </w:r>
      <w:r w:rsidR="00FF41A0">
        <w:rPr>
          <w:sz w:val="20"/>
          <w:szCs w:val="20"/>
        </w:rPr>
        <w:t xml:space="preserve"> </w:t>
      </w:r>
      <w:r w:rsidR="00323457" w:rsidRPr="0059638B">
        <w:rPr>
          <w:sz w:val="20"/>
          <w:szCs w:val="20"/>
        </w:rPr>
        <w:t>King</w:t>
      </w:r>
      <w:r w:rsidR="00FF41A0">
        <w:rPr>
          <w:sz w:val="20"/>
          <w:szCs w:val="20"/>
        </w:rPr>
        <w:t xml:space="preserve"> </w:t>
      </w:r>
      <w:r w:rsidR="00323457" w:rsidRPr="0059638B">
        <w:rPr>
          <w:sz w:val="20"/>
          <w:szCs w:val="20"/>
        </w:rPr>
        <w:t>Abdullah</w:t>
      </w:r>
      <w:r w:rsidR="00FF41A0">
        <w:rPr>
          <w:sz w:val="20"/>
          <w:szCs w:val="20"/>
        </w:rPr>
        <w:t xml:space="preserve"> </w:t>
      </w:r>
      <w:r w:rsidR="00323457" w:rsidRPr="0059638B">
        <w:rPr>
          <w:sz w:val="20"/>
          <w:szCs w:val="20"/>
        </w:rPr>
        <w:t>II</w:t>
      </w:r>
      <w:r w:rsidR="00FF41A0">
        <w:rPr>
          <w:sz w:val="20"/>
          <w:szCs w:val="20"/>
        </w:rPr>
        <w:t xml:space="preserve"> </w:t>
      </w:r>
      <w:r w:rsidR="00323457" w:rsidRPr="0059638B">
        <w:rPr>
          <w:sz w:val="20"/>
          <w:szCs w:val="20"/>
        </w:rPr>
        <w:t>Bin</w:t>
      </w:r>
      <w:r w:rsidR="00FF41A0">
        <w:rPr>
          <w:sz w:val="20"/>
          <w:szCs w:val="20"/>
        </w:rPr>
        <w:t xml:space="preserve"> </w:t>
      </w:r>
      <w:r w:rsidR="00323457" w:rsidRPr="0059638B">
        <w:rPr>
          <w:sz w:val="20"/>
          <w:szCs w:val="20"/>
        </w:rPr>
        <w:t>Al</w:t>
      </w:r>
      <w:r w:rsidR="00FF41A0">
        <w:rPr>
          <w:sz w:val="20"/>
          <w:szCs w:val="20"/>
        </w:rPr>
        <w:t xml:space="preserve"> </w:t>
      </w:r>
      <w:r w:rsidR="00323457" w:rsidRPr="0059638B">
        <w:rPr>
          <w:sz w:val="20"/>
          <w:szCs w:val="20"/>
        </w:rPr>
        <w:t>Hussein,</w:t>
      </w:r>
      <w:r w:rsidR="00FF41A0">
        <w:rPr>
          <w:sz w:val="20"/>
          <w:szCs w:val="20"/>
        </w:rPr>
        <w:t xml:space="preserve"> </w:t>
      </w:r>
      <w:r w:rsidR="00323457" w:rsidRPr="0059638B">
        <w:rPr>
          <w:sz w:val="20"/>
          <w:szCs w:val="20"/>
        </w:rPr>
        <w:t>Jordan</w:t>
      </w:r>
      <w:r w:rsidR="00FF41A0">
        <w:rPr>
          <w:sz w:val="20"/>
          <w:szCs w:val="20"/>
        </w:rPr>
        <w:t xml:space="preserve"> </w:t>
      </w:r>
      <w:r w:rsidR="00323457" w:rsidRPr="0059638B">
        <w:rPr>
          <w:sz w:val="20"/>
          <w:szCs w:val="20"/>
        </w:rPr>
        <w:t>will</w:t>
      </w:r>
      <w:r w:rsidR="00FF41A0">
        <w:rPr>
          <w:sz w:val="20"/>
          <w:szCs w:val="20"/>
        </w:rPr>
        <w:t xml:space="preserve"> </w:t>
      </w:r>
      <w:r w:rsidR="00323457" w:rsidRPr="0059638B">
        <w:rPr>
          <w:sz w:val="20"/>
          <w:szCs w:val="20"/>
        </w:rPr>
        <w:t>continue</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implementing</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constitutional,</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obligations</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view</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protecting</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fundamental</w:t>
      </w:r>
      <w:r w:rsidR="00FF41A0">
        <w:rPr>
          <w:sz w:val="20"/>
          <w:szCs w:val="20"/>
        </w:rPr>
        <w:t xml:space="preserve"> </w:t>
      </w:r>
      <w:r w:rsidR="00323457" w:rsidRPr="0059638B">
        <w:rPr>
          <w:sz w:val="20"/>
          <w:szCs w:val="20"/>
        </w:rPr>
        <w:t>freedoms</w:t>
      </w:r>
      <w:r w:rsidR="00FF41A0">
        <w:rPr>
          <w:sz w:val="20"/>
          <w:szCs w:val="20"/>
        </w:rPr>
        <w:t xml:space="preserve"> </w:t>
      </w:r>
      <w:r w:rsidR="00323457" w:rsidRPr="0059638B">
        <w:rPr>
          <w:sz w:val="20"/>
          <w:szCs w:val="20"/>
        </w:rPr>
        <w:t>while</w:t>
      </w:r>
      <w:r w:rsidR="00FF41A0">
        <w:rPr>
          <w:sz w:val="20"/>
          <w:szCs w:val="20"/>
        </w:rPr>
        <w:t xml:space="preserve"> </w:t>
      </w:r>
      <w:r w:rsidR="00323457" w:rsidRPr="0059638B">
        <w:rPr>
          <w:sz w:val="20"/>
          <w:szCs w:val="20"/>
        </w:rPr>
        <w:t>building</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state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institutions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law.</w:t>
      </w:r>
    </w:p>
    <w:p w14:paraId="10538AF2" w14:textId="1465FDDD" w:rsidR="00323457" w:rsidRPr="0059638B" w:rsidRDefault="00323457" w:rsidP="00323457">
      <w:pPr>
        <w:pStyle w:val="H23G"/>
        <w:rPr>
          <w:bCs/>
          <w:sz w:val="20"/>
          <w:szCs w:val="20"/>
        </w:rPr>
      </w:pPr>
      <w:r w:rsidRPr="0059638B">
        <w:rPr>
          <w:sz w:val="20"/>
          <w:szCs w:val="20"/>
        </w:rPr>
        <w:tab/>
        <w:t>2.</w:t>
      </w:r>
      <w:r w:rsidRPr="0059638B">
        <w:rPr>
          <w:sz w:val="20"/>
          <w:szCs w:val="20"/>
        </w:rPr>
        <w:tab/>
        <w:t>General</w:t>
      </w:r>
      <w:r w:rsidR="00FF41A0">
        <w:rPr>
          <w:sz w:val="20"/>
          <w:szCs w:val="20"/>
        </w:rPr>
        <w:t xml:space="preserve"> </w:t>
      </w:r>
      <w:r w:rsidRPr="0059638B">
        <w:rPr>
          <w:sz w:val="20"/>
          <w:szCs w:val="20"/>
        </w:rPr>
        <w:t>comments</w:t>
      </w:r>
      <w:r w:rsidR="00FF41A0">
        <w:rPr>
          <w:sz w:val="20"/>
          <w:szCs w:val="20"/>
        </w:rPr>
        <w:t xml:space="preserve"> </w:t>
      </w:r>
      <w:r w:rsidRPr="0059638B">
        <w:rPr>
          <w:sz w:val="20"/>
          <w:szCs w:val="20"/>
        </w:rPr>
        <w:t>made</w:t>
      </w:r>
      <w:r w:rsidR="00FF41A0">
        <w:rPr>
          <w:sz w:val="20"/>
          <w:szCs w:val="20"/>
        </w:rPr>
        <w:t xml:space="preserve"> </w:t>
      </w:r>
      <w:r w:rsidRPr="0059638B">
        <w:rPr>
          <w:sz w:val="20"/>
          <w:szCs w:val="20"/>
        </w:rPr>
        <w:t>by</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national</w:t>
      </w:r>
      <w:r w:rsidR="00FF41A0">
        <w:rPr>
          <w:sz w:val="20"/>
          <w:szCs w:val="20"/>
        </w:rPr>
        <w:t xml:space="preserve"> </w:t>
      </w:r>
      <w:r w:rsidRPr="0059638B">
        <w:rPr>
          <w:sz w:val="20"/>
          <w:szCs w:val="20"/>
        </w:rPr>
        <w:t>human</w:t>
      </w:r>
      <w:r w:rsidR="00FF41A0">
        <w:rPr>
          <w:sz w:val="20"/>
          <w:szCs w:val="20"/>
        </w:rPr>
        <w:t xml:space="preserve"> </w:t>
      </w:r>
      <w:r w:rsidRPr="0059638B">
        <w:rPr>
          <w:sz w:val="20"/>
          <w:szCs w:val="20"/>
        </w:rPr>
        <w:t>rights</w:t>
      </w:r>
      <w:r w:rsidR="00FF41A0">
        <w:rPr>
          <w:sz w:val="20"/>
          <w:szCs w:val="20"/>
        </w:rPr>
        <w:t xml:space="preserve"> </w:t>
      </w:r>
      <w:r w:rsidRPr="0059638B">
        <w:rPr>
          <w:sz w:val="20"/>
          <w:szCs w:val="20"/>
        </w:rPr>
        <w:t>institution</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State</w:t>
      </w:r>
      <w:r w:rsidR="00FF41A0">
        <w:rPr>
          <w:sz w:val="20"/>
          <w:szCs w:val="20"/>
        </w:rPr>
        <w:t xml:space="preserve"> </w:t>
      </w:r>
      <w:r w:rsidRPr="0059638B">
        <w:rPr>
          <w:sz w:val="20"/>
          <w:szCs w:val="20"/>
        </w:rPr>
        <w:t>under</w:t>
      </w:r>
      <w:r w:rsidR="00FF41A0">
        <w:rPr>
          <w:sz w:val="20"/>
          <w:szCs w:val="20"/>
        </w:rPr>
        <w:t xml:space="preserve"> </w:t>
      </w:r>
      <w:r w:rsidRPr="0059638B">
        <w:rPr>
          <w:sz w:val="20"/>
          <w:szCs w:val="20"/>
        </w:rPr>
        <w:t>review</w:t>
      </w:r>
      <w:r w:rsidR="00FF41A0">
        <w:rPr>
          <w:bCs/>
          <w:sz w:val="20"/>
          <w:szCs w:val="20"/>
        </w:rPr>
        <w:t xml:space="preserve"> </w:t>
      </w:r>
    </w:p>
    <w:p w14:paraId="700627C6" w14:textId="2DC773FA" w:rsidR="00323457" w:rsidRPr="0059638B" w:rsidRDefault="00972F1E" w:rsidP="00323457">
      <w:pPr>
        <w:pStyle w:val="SingleTxtG"/>
        <w:rPr>
          <w:sz w:val="20"/>
          <w:szCs w:val="20"/>
        </w:rPr>
      </w:pPr>
      <w:r>
        <w:rPr>
          <w:sz w:val="20"/>
          <w:szCs w:val="20"/>
        </w:rPr>
        <w:t>601</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Centre</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Jordan</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video</w:t>
      </w:r>
      <w:r w:rsidR="00FF41A0">
        <w:rPr>
          <w:sz w:val="20"/>
          <w:szCs w:val="20"/>
        </w:rPr>
        <w:t xml:space="preserve"> </w:t>
      </w:r>
      <w:r w:rsidR="00323457" w:rsidRPr="0059638B">
        <w:rPr>
          <w:sz w:val="20"/>
          <w:szCs w:val="20"/>
        </w:rPr>
        <w:t>message)</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Jordan</w:t>
      </w:r>
      <w:r w:rsidR="00FF41A0">
        <w:rPr>
          <w:sz w:val="20"/>
          <w:szCs w:val="20"/>
        </w:rPr>
        <w:t xml:space="preserve"> </w:t>
      </w:r>
      <w:r w:rsidR="00323457" w:rsidRPr="0059638B">
        <w:rPr>
          <w:sz w:val="20"/>
          <w:szCs w:val="20"/>
        </w:rPr>
        <w:t>has</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generally</w:t>
      </w:r>
      <w:r w:rsidR="00FF41A0">
        <w:rPr>
          <w:sz w:val="20"/>
          <w:szCs w:val="20"/>
        </w:rPr>
        <w:t xml:space="preserve"> </w:t>
      </w:r>
      <w:r w:rsidR="00323457" w:rsidRPr="0059638B">
        <w:rPr>
          <w:sz w:val="20"/>
          <w:szCs w:val="20"/>
        </w:rPr>
        <w:t>mindful</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obligations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violations</w:t>
      </w:r>
      <w:r w:rsidR="00FF41A0">
        <w:rPr>
          <w:sz w:val="20"/>
          <w:szCs w:val="20"/>
        </w:rPr>
        <w:t xml:space="preserve"> </w:t>
      </w:r>
      <w:r w:rsidR="00323457" w:rsidRPr="0059638B">
        <w:rPr>
          <w:sz w:val="20"/>
          <w:szCs w:val="20"/>
        </w:rPr>
        <w:t>emanating</w:t>
      </w:r>
      <w:r w:rsidR="00FF41A0">
        <w:rPr>
          <w:sz w:val="20"/>
          <w:szCs w:val="20"/>
        </w:rPr>
        <w:t xml:space="preserve"> </w:t>
      </w:r>
      <w:r w:rsidR="00323457" w:rsidRPr="0059638B">
        <w:rPr>
          <w:sz w:val="20"/>
          <w:szCs w:val="20"/>
        </w:rPr>
        <w:t>from</w:t>
      </w:r>
      <w:r w:rsidR="00FF41A0">
        <w:rPr>
          <w:sz w:val="20"/>
          <w:szCs w:val="20"/>
        </w:rPr>
        <w:t xml:space="preserve"> </w:t>
      </w:r>
      <w:r w:rsidR="00323457" w:rsidRPr="0059638B">
        <w:rPr>
          <w:sz w:val="20"/>
          <w:szCs w:val="20"/>
        </w:rPr>
        <w:t>police</w:t>
      </w:r>
      <w:r w:rsidR="00FF41A0">
        <w:rPr>
          <w:sz w:val="20"/>
          <w:szCs w:val="20"/>
        </w:rPr>
        <w:t xml:space="preserve"> </w:t>
      </w:r>
      <w:r w:rsidR="00323457" w:rsidRPr="0059638B">
        <w:rPr>
          <w:sz w:val="20"/>
          <w:szCs w:val="20"/>
        </w:rPr>
        <w:t>practices</w:t>
      </w:r>
      <w:r w:rsidR="00FF41A0">
        <w:rPr>
          <w:sz w:val="20"/>
          <w:szCs w:val="20"/>
        </w:rPr>
        <w:t xml:space="preserve"> </w:t>
      </w:r>
      <w:r w:rsidR="00323457" w:rsidRPr="0059638B">
        <w:rPr>
          <w:sz w:val="20"/>
          <w:szCs w:val="20"/>
        </w:rPr>
        <w:t>or</w:t>
      </w:r>
      <w:r w:rsidR="00FF41A0">
        <w:rPr>
          <w:sz w:val="20"/>
          <w:szCs w:val="20"/>
        </w:rPr>
        <w:t xml:space="preserve"> </w:t>
      </w:r>
      <w:r w:rsidR="00323457" w:rsidRPr="0059638B">
        <w:rPr>
          <w:sz w:val="20"/>
          <w:szCs w:val="20"/>
        </w:rPr>
        <w:t>governmental</w:t>
      </w:r>
      <w:r w:rsidR="00FF41A0">
        <w:rPr>
          <w:sz w:val="20"/>
          <w:szCs w:val="20"/>
        </w:rPr>
        <w:t xml:space="preserve"> </w:t>
      </w:r>
      <w:r w:rsidR="00323457" w:rsidRPr="0059638B">
        <w:rPr>
          <w:sz w:val="20"/>
          <w:szCs w:val="20"/>
        </w:rPr>
        <w:t>policies</w:t>
      </w:r>
      <w:r w:rsidR="00FF41A0">
        <w:rPr>
          <w:sz w:val="20"/>
          <w:szCs w:val="20"/>
        </w:rPr>
        <w:t xml:space="preserve"> </w:t>
      </w:r>
      <w:r w:rsidR="00323457" w:rsidRPr="0059638B">
        <w:rPr>
          <w:sz w:val="20"/>
          <w:szCs w:val="20"/>
        </w:rPr>
        <w:t>have</w:t>
      </w:r>
      <w:r w:rsidR="00FF41A0">
        <w:rPr>
          <w:sz w:val="20"/>
          <w:szCs w:val="20"/>
        </w:rPr>
        <w:t xml:space="preserve"> </w:t>
      </w:r>
      <w:r w:rsidR="00323457" w:rsidRPr="0059638B">
        <w:rPr>
          <w:sz w:val="20"/>
          <w:szCs w:val="20"/>
        </w:rPr>
        <w:t>usually</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dealt</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satisfactory</w:t>
      </w:r>
      <w:r w:rsidR="00FF41A0">
        <w:rPr>
          <w:sz w:val="20"/>
          <w:szCs w:val="20"/>
        </w:rPr>
        <w:t xml:space="preserve"> </w:t>
      </w:r>
      <w:r w:rsidR="00323457" w:rsidRPr="0059638B">
        <w:rPr>
          <w:sz w:val="20"/>
          <w:szCs w:val="20"/>
        </w:rPr>
        <w:t>fashion.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Centre</w:t>
      </w:r>
      <w:r w:rsidR="00FF41A0">
        <w:rPr>
          <w:sz w:val="20"/>
          <w:szCs w:val="20"/>
        </w:rPr>
        <w:t xml:space="preserve"> </w:t>
      </w:r>
      <w:r w:rsidR="00323457" w:rsidRPr="0059638B">
        <w:rPr>
          <w:sz w:val="20"/>
          <w:szCs w:val="20"/>
        </w:rPr>
        <w:t>acknowledged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has</w:t>
      </w:r>
      <w:r w:rsidR="00FF41A0">
        <w:rPr>
          <w:sz w:val="20"/>
          <w:szCs w:val="20"/>
        </w:rPr>
        <w:t xml:space="preserve"> </w:t>
      </w:r>
      <w:r w:rsidR="00323457" w:rsidRPr="0059638B">
        <w:rPr>
          <w:sz w:val="20"/>
          <w:szCs w:val="20"/>
        </w:rPr>
        <w:t>acted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number</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put</w:t>
      </w:r>
      <w:r w:rsidR="00FF41A0">
        <w:rPr>
          <w:sz w:val="20"/>
          <w:szCs w:val="20"/>
        </w:rPr>
        <w:t xml:space="preserve"> </w:t>
      </w:r>
      <w:r w:rsidR="00323457" w:rsidRPr="0059638B">
        <w:rPr>
          <w:sz w:val="20"/>
          <w:szCs w:val="20"/>
        </w:rPr>
        <w:t>forward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both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Centre</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p>
    <w:p w14:paraId="3730CA2C" w14:textId="3A259050" w:rsidR="00323457" w:rsidRPr="0059638B" w:rsidRDefault="00972F1E" w:rsidP="00323457">
      <w:pPr>
        <w:pStyle w:val="SingleTxtG"/>
        <w:rPr>
          <w:sz w:val="20"/>
          <w:szCs w:val="20"/>
        </w:rPr>
      </w:pPr>
      <w:r>
        <w:rPr>
          <w:sz w:val="20"/>
          <w:szCs w:val="20"/>
        </w:rPr>
        <w:t>602</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Centre</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Jordan</w:t>
      </w:r>
      <w:r w:rsidR="00FF41A0">
        <w:rPr>
          <w:sz w:val="20"/>
          <w:szCs w:val="20"/>
        </w:rPr>
        <w:t xml:space="preserve"> </w:t>
      </w:r>
      <w:r w:rsidR="00323457" w:rsidRPr="0059638B">
        <w:rPr>
          <w:sz w:val="20"/>
          <w:szCs w:val="20"/>
        </w:rPr>
        <w:t>accredited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having</w:t>
      </w:r>
      <w:r w:rsidR="00FF41A0">
        <w:rPr>
          <w:sz w:val="20"/>
          <w:szCs w:val="20"/>
        </w:rPr>
        <w:t xml:space="preserve"> </w:t>
      </w:r>
      <w:r w:rsidR="00323457" w:rsidRPr="0059638B">
        <w:rPr>
          <w:sz w:val="20"/>
          <w:szCs w:val="20"/>
        </w:rPr>
        <w:t>respected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independence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having</w:t>
      </w:r>
      <w:r w:rsidR="00FF41A0">
        <w:rPr>
          <w:sz w:val="20"/>
          <w:szCs w:val="20"/>
        </w:rPr>
        <w:t xml:space="preserve"> </w:t>
      </w:r>
      <w:r w:rsidR="00323457" w:rsidRPr="0059638B">
        <w:rPr>
          <w:sz w:val="20"/>
          <w:szCs w:val="20"/>
        </w:rPr>
        <w:t>provided</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sufficient</w:t>
      </w:r>
      <w:r w:rsidR="00FF41A0">
        <w:rPr>
          <w:sz w:val="20"/>
          <w:szCs w:val="20"/>
        </w:rPr>
        <w:t xml:space="preserve"> </w:t>
      </w:r>
      <w:r w:rsidR="00323457" w:rsidRPr="0059638B">
        <w:rPr>
          <w:sz w:val="20"/>
          <w:szCs w:val="20"/>
        </w:rPr>
        <w:t>financial</w:t>
      </w:r>
      <w:r w:rsidR="00FF41A0">
        <w:rPr>
          <w:sz w:val="20"/>
          <w:szCs w:val="20"/>
        </w:rPr>
        <w:t xml:space="preserve"> </w:t>
      </w:r>
      <w:r w:rsidR="00323457" w:rsidRPr="0059638B">
        <w:rPr>
          <w:sz w:val="20"/>
          <w:szCs w:val="20"/>
        </w:rPr>
        <w:t>resources.</w:t>
      </w:r>
      <w:r w:rsidR="00FF41A0">
        <w:rPr>
          <w:sz w:val="20"/>
          <w:szCs w:val="20"/>
        </w:rPr>
        <w:t xml:space="preserve"> </w:t>
      </w:r>
    </w:p>
    <w:p w14:paraId="65C8BB8B" w14:textId="2E56F53E" w:rsidR="00323457" w:rsidRPr="0059638B" w:rsidRDefault="00972F1E" w:rsidP="00323457">
      <w:pPr>
        <w:pStyle w:val="SingleTxtG"/>
        <w:rPr>
          <w:sz w:val="20"/>
          <w:szCs w:val="20"/>
        </w:rPr>
      </w:pPr>
      <w:r>
        <w:rPr>
          <w:sz w:val="20"/>
          <w:szCs w:val="20"/>
        </w:rPr>
        <w:t>603</w:t>
      </w:r>
      <w:r w:rsidR="00D7475F">
        <w:rPr>
          <w:sz w:val="20"/>
          <w:szCs w:val="20"/>
        </w:rPr>
        <w:t>.</w:t>
      </w:r>
      <w:r w:rsidR="00D7475F">
        <w:rPr>
          <w:sz w:val="20"/>
          <w:szCs w:val="20"/>
        </w:rPr>
        <w:tab/>
      </w:r>
      <w:r w:rsidR="00323457" w:rsidRPr="0059638B">
        <w:rPr>
          <w:sz w:val="20"/>
          <w:szCs w:val="20"/>
        </w:rPr>
        <w:t>Nonetheless,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stressed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violations</w:t>
      </w:r>
      <w:r w:rsidR="00FF41A0">
        <w:rPr>
          <w:sz w:val="20"/>
          <w:szCs w:val="20"/>
        </w:rPr>
        <w:t xml:space="preserve"> </w:t>
      </w:r>
      <w:r w:rsidR="00323457" w:rsidRPr="0059638B">
        <w:rPr>
          <w:sz w:val="20"/>
          <w:szCs w:val="20"/>
        </w:rPr>
        <w:t>continued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occur</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complaints</w:t>
      </w:r>
      <w:r w:rsidR="00FF41A0">
        <w:rPr>
          <w:sz w:val="20"/>
          <w:szCs w:val="20"/>
        </w:rPr>
        <w:t xml:space="preserve"> </w:t>
      </w:r>
      <w:r w:rsidR="00323457" w:rsidRPr="0059638B">
        <w:rPr>
          <w:sz w:val="20"/>
          <w:szCs w:val="20"/>
        </w:rPr>
        <w:t>sometimes</w:t>
      </w:r>
      <w:r w:rsidR="00FF41A0">
        <w:rPr>
          <w:sz w:val="20"/>
          <w:szCs w:val="20"/>
        </w:rPr>
        <w:t xml:space="preserve"> </w:t>
      </w:r>
      <w:r w:rsidR="00323457" w:rsidRPr="0059638B">
        <w:rPr>
          <w:sz w:val="20"/>
          <w:szCs w:val="20"/>
        </w:rPr>
        <w:t>went</w:t>
      </w:r>
      <w:r w:rsidR="00FF41A0">
        <w:rPr>
          <w:sz w:val="20"/>
          <w:szCs w:val="20"/>
        </w:rPr>
        <w:t xml:space="preserve"> </w:t>
      </w:r>
      <w:r w:rsidR="00323457" w:rsidRPr="0059638B">
        <w:rPr>
          <w:sz w:val="20"/>
          <w:szCs w:val="20"/>
        </w:rPr>
        <w:t>unheeded.</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main</w:t>
      </w:r>
      <w:r w:rsidR="00FF41A0">
        <w:rPr>
          <w:sz w:val="20"/>
          <w:szCs w:val="20"/>
        </w:rPr>
        <w:t xml:space="preserve"> </w:t>
      </w:r>
      <w:r w:rsidR="00323457" w:rsidRPr="0059638B">
        <w:rPr>
          <w:sz w:val="20"/>
          <w:szCs w:val="20"/>
        </w:rPr>
        <w:t>concerns</w:t>
      </w:r>
      <w:r w:rsidR="00FF41A0">
        <w:rPr>
          <w:sz w:val="20"/>
          <w:szCs w:val="20"/>
        </w:rPr>
        <w:t xml:space="preserve"> </w:t>
      </w:r>
      <w:r w:rsidR="00323457" w:rsidRPr="0059638B">
        <w:rPr>
          <w:sz w:val="20"/>
          <w:szCs w:val="20"/>
        </w:rPr>
        <w:t>have</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following:</w:t>
      </w:r>
      <w:r w:rsidR="00FF41A0">
        <w:rPr>
          <w:sz w:val="20"/>
          <w:szCs w:val="20"/>
        </w:rPr>
        <w:t xml:space="preserve"> </w:t>
      </w:r>
      <w:r w:rsidR="00323457" w:rsidRPr="0059638B">
        <w:rPr>
          <w:sz w:val="20"/>
          <w:szCs w:val="20"/>
        </w:rPr>
        <w:t>treatment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detainees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inmates</w:t>
      </w:r>
      <w:r w:rsidR="00FF41A0">
        <w:rPr>
          <w:sz w:val="20"/>
          <w:szCs w:val="20"/>
        </w:rPr>
        <w:t xml:space="preserve"> </w:t>
      </w:r>
      <w:r w:rsidR="00323457" w:rsidRPr="0059638B">
        <w:rPr>
          <w:sz w:val="20"/>
          <w:szCs w:val="20"/>
        </w:rPr>
        <w:t>at</w:t>
      </w:r>
      <w:r w:rsidR="00FF41A0">
        <w:rPr>
          <w:sz w:val="20"/>
          <w:szCs w:val="20"/>
        </w:rPr>
        <w:t xml:space="preserve"> </w:t>
      </w:r>
      <w:r w:rsidR="00323457" w:rsidRPr="0059638B">
        <w:rPr>
          <w:sz w:val="20"/>
          <w:szCs w:val="20"/>
        </w:rPr>
        <w:t>police</w:t>
      </w:r>
      <w:r w:rsidR="00FF41A0">
        <w:rPr>
          <w:sz w:val="20"/>
          <w:szCs w:val="20"/>
        </w:rPr>
        <w:t xml:space="preserve"> </w:t>
      </w:r>
      <w:r w:rsidR="00323457" w:rsidRPr="0059638B">
        <w:rPr>
          <w:sz w:val="20"/>
          <w:szCs w:val="20"/>
        </w:rPr>
        <w:t>stations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prisons</w:t>
      </w:r>
      <w:r w:rsidR="00FF41A0">
        <w:rPr>
          <w:sz w:val="20"/>
          <w:szCs w:val="20"/>
        </w:rPr>
        <w:t xml:space="preserve"> </w:t>
      </w:r>
      <w:r w:rsidR="00323457" w:rsidRPr="0059638B">
        <w:rPr>
          <w:sz w:val="20"/>
          <w:szCs w:val="20"/>
        </w:rPr>
        <w:t>alike,</w:t>
      </w:r>
      <w:r w:rsidR="00FF41A0">
        <w:rPr>
          <w:sz w:val="20"/>
          <w:szCs w:val="20"/>
        </w:rPr>
        <w:t xml:space="preserve"> </w:t>
      </w:r>
      <w:r w:rsidR="00323457" w:rsidRPr="0059638B">
        <w:rPr>
          <w:sz w:val="20"/>
          <w:szCs w:val="20"/>
        </w:rPr>
        <w:t>including</w:t>
      </w:r>
      <w:r w:rsidR="00FF41A0">
        <w:rPr>
          <w:sz w:val="20"/>
          <w:szCs w:val="20"/>
        </w:rPr>
        <w:t xml:space="preserve"> </w:t>
      </w:r>
      <w:r w:rsidR="00323457" w:rsidRPr="0059638B">
        <w:rPr>
          <w:sz w:val="20"/>
          <w:szCs w:val="20"/>
        </w:rPr>
        <w:t>alleged</w:t>
      </w:r>
      <w:r w:rsidR="00FF41A0">
        <w:rPr>
          <w:sz w:val="20"/>
          <w:szCs w:val="20"/>
        </w:rPr>
        <w:t xml:space="preserve"> </w:t>
      </w:r>
      <w:r w:rsidR="00323457" w:rsidRPr="0059638B">
        <w:rPr>
          <w:sz w:val="20"/>
          <w:szCs w:val="20"/>
        </w:rPr>
        <w:t>use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torture;</w:t>
      </w:r>
      <w:r w:rsidR="00FF41A0">
        <w:rPr>
          <w:sz w:val="20"/>
          <w:szCs w:val="20"/>
        </w:rPr>
        <w:t xml:space="preserve"> </w:t>
      </w:r>
      <w:r w:rsidR="00323457" w:rsidRPr="0059638B">
        <w:rPr>
          <w:sz w:val="20"/>
          <w:szCs w:val="20"/>
        </w:rPr>
        <w:t>insufficient</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addressing</w:t>
      </w:r>
      <w:r w:rsidR="00FF41A0">
        <w:rPr>
          <w:sz w:val="20"/>
          <w:szCs w:val="20"/>
        </w:rPr>
        <w:t xml:space="preserve"> </w:t>
      </w:r>
      <w:r w:rsidR="00323457" w:rsidRPr="0059638B">
        <w:rPr>
          <w:sz w:val="20"/>
          <w:szCs w:val="20"/>
        </w:rPr>
        <w:t>poverty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unemployment;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infringement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civil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political</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peaceful</w:t>
      </w:r>
      <w:r w:rsidR="00FF41A0">
        <w:rPr>
          <w:sz w:val="20"/>
          <w:szCs w:val="20"/>
        </w:rPr>
        <w:t xml:space="preserve"> </w:t>
      </w:r>
      <w:r w:rsidR="00323457" w:rsidRPr="0059638B">
        <w:rPr>
          <w:sz w:val="20"/>
          <w:szCs w:val="20"/>
        </w:rPr>
        <w:t>assembly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protest</w:t>
      </w:r>
      <w:r w:rsidR="00FF41A0">
        <w:rPr>
          <w:sz w:val="20"/>
          <w:szCs w:val="20"/>
        </w:rPr>
        <w:t xml:space="preserve"> </w:t>
      </w:r>
      <w:r w:rsidR="00323457" w:rsidRPr="0059638B">
        <w:rPr>
          <w:sz w:val="20"/>
          <w:szCs w:val="20"/>
        </w:rPr>
        <w:t>has</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observed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principle,</w:t>
      </w:r>
      <w:r w:rsidR="00FF41A0">
        <w:rPr>
          <w:sz w:val="20"/>
          <w:szCs w:val="20"/>
        </w:rPr>
        <w:t xml:space="preserve"> </w:t>
      </w:r>
      <w:r w:rsidR="00323457" w:rsidRPr="0059638B">
        <w:rPr>
          <w:sz w:val="20"/>
          <w:szCs w:val="20"/>
        </w:rPr>
        <w:t>but</w:t>
      </w:r>
      <w:r w:rsidR="00FF41A0">
        <w:rPr>
          <w:sz w:val="20"/>
          <w:szCs w:val="20"/>
        </w:rPr>
        <w:t xml:space="preserve"> </w:t>
      </w:r>
      <w:r w:rsidR="00323457" w:rsidRPr="0059638B">
        <w:rPr>
          <w:sz w:val="20"/>
          <w:szCs w:val="20"/>
        </w:rPr>
        <w:t>not</w:t>
      </w:r>
      <w:r w:rsidR="00FF41A0">
        <w:rPr>
          <w:sz w:val="20"/>
          <w:szCs w:val="20"/>
        </w:rPr>
        <w:t xml:space="preserve"> </w:t>
      </w:r>
      <w:r w:rsidR="00323457" w:rsidRPr="0059638B">
        <w:rPr>
          <w:sz w:val="20"/>
          <w:szCs w:val="20"/>
        </w:rPr>
        <w:t>without</w:t>
      </w:r>
      <w:r w:rsidR="00FF41A0">
        <w:rPr>
          <w:sz w:val="20"/>
          <w:szCs w:val="20"/>
        </w:rPr>
        <w:t xml:space="preserve"> </w:t>
      </w:r>
      <w:r w:rsidR="00323457" w:rsidRPr="0059638B">
        <w:rPr>
          <w:sz w:val="20"/>
          <w:szCs w:val="20"/>
        </w:rPr>
        <w:t>undue</w:t>
      </w:r>
      <w:r w:rsidR="00FF41A0">
        <w:rPr>
          <w:sz w:val="20"/>
          <w:szCs w:val="20"/>
        </w:rPr>
        <w:t xml:space="preserve"> </w:t>
      </w:r>
      <w:r w:rsidR="00323457" w:rsidRPr="0059638B">
        <w:rPr>
          <w:sz w:val="20"/>
          <w:szCs w:val="20"/>
        </w:rPr>
        <w:t>restriction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certain</w:t>
      </w:r>
      <w:r w:rsidR="00FF41A0">
        <w:rPr>
          <w:sz w:val="20"/>
          <w:szCs w:val="20"/>
        </w:rPr>
        <w:t xml:space="preserve"> </w:t>
      </w:r>
      <w:r w:rsidR="00323457" w:rsidRPr="0059638B">
        <w:rPr>
          <w:sz w:val="20"/>
          <w:szCs w:val="20"/>
        </w:rPr>
        <w:t>cases.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dozens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persons</w:t>
      </w:r>
      <w:r w:rsidR="00FF41A0">
        <w:rPr>
          <w:sz w:val="20"/>
          <w:szCs w:val="20"/>
        </w:rPr>
        <w:t xml:space="preserve"> </w:t>
      </w:r>
      <w:r w:rsidR="00323457" w:rsidRPr="0059638B">
        <w:rPr>
          <w:sz w:val="20"/>
          <w:szCs w:val="20"/>
        </w:rPr>
        <w:t>have</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apprehended,</w:t>
      </w:r>
      <w:r w:rsidR="00FF41A0">
        <w:rPr>
          <w:sz w:val="20"/>
          <w:szCs w:val="20"/>
        </w:rPr>
        <w:t xml:space="preserve"> </w:t>
      </w:r>
      <w:r w:rsidR="00323457" w:rsidRPr="0059638B">
        <w:rPr>
          <w:sz w:val="20"/>
          <w:szCs w:val="20"/>
        </w:rPr>
        <w:t>detained</w:t>
      </w:r>
      <w:r w:rsidR="00FF41A0">
        <w:rPr>
          <w:sz w:val="20"/>
          <w:szCs w:val="20"/>
        </w:rPr>
        <w:t xml:space="preserve"> </w:t>
      </w:r>
      <w:r w:rsidR="00323457" w:rsidRPr="0059638B">
        <w:rPr>
          <w:sz w:val="20"/>
          <w:szCs w:val="20"/>
        </w:rPr>
        <w:t>or</w:t>
      </w:r>
      <w:r w:rsidR="00FF41A0">
        <w:rPr>
          <w:sz w:val="20"/>
          <w:szCs w:val="20"/>
        </w:rPr>
        <w:t xml:space="preserve"> </w:t>
      </w:r>
      <w:r w:rsidR="00323457" w:rsidRPr="0059638B">
        <w:rPr>
          <w:sz w:val="20"/>
          <w:szCs w:val="20"/>
        </w:rPr>
        <w:t>received</w:t>
      </w:r>
      <w:r w:rsidR="00FF41A0">
        <w:rPr>
          <w:sz w:val="20"/>
          <w:szCs w:val="20"/>
        </w:rPr>
        <w:t xml:space="preserve"> </w:t>
      </w:r>
      <w:r w:rsidR="00323457" w:rsidRPr="0059638B">
        <w:rPr>
          <w:sz w:val="20"/>
          <w:szCs w:val="20"/>
        </w:rPr>
        <w:t>jail</w:t>
      </w:r>
      <w:r w:rsidR="00FF41A0">
        <w:rPr>
          <w:sz w:val="20"/>
          <w:szCs w:val="20"/>
        </w:rPr>
        <w:t xml:space="preserve"> </w:t>
      </w:r>
      <w:r w:rsidR="00323457" w:rsidRPr="0059638B">
        <w:rPr>
          <w:sz w:val="20"/>
          <w:szCs w:val="20"/>
        </w:rPr>
        <w:t>sentences</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State</w:t>
      </w:r>
      <w:r w:rsidR="00FF41A0">
        <w:rPr>
          <w:sz w:val="20"/>
          <w:szCs w:val="20"/>
        </w:rPr>
        <w:t xml:space="preserve"> </w:t>
      </w:r>
      <w:r w:rsidR="00323457" w:rsidRPr="0059638B">
        <w:rPr>
          <w:sz w:val="20"/>
          <w:szCs w:val="20"/>
        </w:rPr>
        <w:t>security</w:t>
      </w:r>
      <w:r w:rsidR="00FF41A0">
        <w:rPr>
          <w:sz w:val="20"/>
          <w:szCs w:val="20"/>
        </w:rPr>
        <w:t xml:space="preserve"> </w:t>
      </w:r>
      <w:r w:rsidR="00323457" w:rsidRPr="0059638B">
        <w:rPr>
          <w:sz w:val="20"/>
          <w:szCs w:val="20"/>
        </w:rPr>
        <w:t>courts</w:t>
      </w:r>
      <w:r w:rsidR="00FF41A0">
        <w:rPr>
          <w:sz w:val="20"/>
          <w:szCs w:val="20"/>
        </w:rPr>
        <w:t xml:space="preserve"> </w:t>
      </w:r>
      <w:r w:rsidR="00323457" w:rsidRPr="0059638B">
        <w:rPr>
          <w:sz w:val="20"/>
          <w:szCs w:val="20"/>
        </w:rPr>
        <w:t>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behest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state</w:t>
      </w:r>
      <w:r w:rsidR="00FF41A0">
        <w:rPr>
          <w:sz w:val="20"/>
          <w:szCs w:val="20"/>
        </w:rPr>
        <w:t xml:space="preserve"> </w:t>
      </w:r>
      <w:r w:rsidR="00323457" w:rsidRPr="0059638B">
        <w:rPr>
          <w:sz w:val="20"/>
          <w:szCs w:val="20"/>
        </w:rPr>
        <w:t>security</w:t>
      </w:r>
      <w:r w:rsidR="00FF41A0">
        <w:rPr>
          <w:sz w:val="20"/>
          <w:szCs w:val="20"/>
        </w:rPr>
        <w:t xml:space="preserve"> </w:t>
      </w:r>
      <w:r w:rsidR="00323457" w:rsidRPr="0059638B">
        <w:rPr>
          <w:sz w:val="20"/>
          <w:szCs w:val="20"/>
        </w:rPr>
        <w:t>prosecutor,</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governors</w:t>
      </w:r>
      <w:r w:rsidR="00FF41A0">
        <w:rPr>
          <w:sz w:val="20"/>
          <w:szCs w:val="20"/>
        </w:rPr>
        <w:t xml:space="preserve"> </w:t>
      </w:r>
      <w:r w:rsidR="00323457" w:rsidRPr="0059638B">
        <w:rPr>
          <w:sz w:val="20"/>
          <w:szCs w:val="20"/>
        </w:rPr>
        <w:t>have</w:t>
      </w:r>
      <w:r w:rsidR="00FF41A0">
        <w:rPr>
          <w:sz w:val="20"/>
          <w:szCs w:val="20"/>
        </w:rPr>
        <w:t xml:space="preserve"> </w:t>
      </w:r>
      <w:r w:rsidR="00323457" w:rsidRPr="0059638B">
        <w:rPr>
          <w:sz w:val="20"/>
          <w:szCs w:val="20"/>
        </w:rPr>
        <w:t>more</w:t>
      </w:r>
      <w:r w:rsidR="00FF41A0">
        <w:rPr>
          <w:sz w:val="20"/>
          <w:szCs w:val="20"/>
        </w:rPr>
        <w:t xml:space="preserve"> </w:t>
      </w:r>
      <w:r w:rsidR="00323457" w:rsidRPr="0059638B">
        <w:rPr>
          <w:sz w:val="20"/>
          <w:szCs w:val="20"/>
        </w:rPr>
        <w:t>than</w:t>
      </w:r>
      <w:r w:rsidR="00FF41A0">
        <w:rPr>
          <w:sz w:val="20"/>
          <w:szCs w:val="20"/>
        </w:rPr>
        <w:t xml:space="preserve"> </w:t>
      </w:r>
      <w:r w:rsidR="00323457" w:rsidRPr="0059638B">
        <w:rPr>
          <w:sz w:val="20"/>
          <w:szCs w:val="20"/>
        </w:rPr>
        <w:t>once</w:t>
      </w:r>
      <w:r w:rsidR="00FF41A0">
        <w:rPr>
          <w:sz w:val="20"/>
          <w:szCs w:val="20"/>
        </w:rPr>
        <w:t xml:space="preserve"> </w:t>
      </w:r>
      <w:r w:rsidR="00323457" w:rsidRPr="0059638B">
        <w:rPr>
          <w:sz w:val="20"/>
          <w:szCs w:val="20"/>
        </w:rPr>
        <w:t>prevented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holding</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peaceful</w:t>
      </w:r>
      <w:r w:rsidR="00FF41A0">
        <w:rPr>
          <w:sz w:val="20"/>
          <w:szCs w:val="20"/>
        </w:rPr>
        <w:t xml:space="preserve"> </w:t>
      </w:r>
      <w:r w:rsidR="00323457" w:rsidRPr="0059638B">
        <w:rPr>
          <w:sz w:val="20"/>
          <w:szCs w:val="20"/>
        </w:rPr>
        <w:t>activities,</w:t>
      </w:r>
      <w:r w:rsidR="00FF41A0">
        <w:rPr>
          <w:sz w:val="20"/>
          <w:szCs w:val="20"/>
        </w:rPr>
        <w:t xml:space="preserve"> </w:t>
      </w:r>
      <w:r w:rsidR="00323457" w:rsidRPr="0059638B">
        <w:rPr>
          <w:sz w:val="20"/>
          <w:szCs w:val="20"/>
        </w:rPr>
        <w:t>usually</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weak</w:t>
      </w:r>
      <w:r w:rsidR="00FF41A0">
        <w:rPr>
          <w:sz w:val="20"/>
          <w:szCs w:val="20"/>
        </w:rPr>
        <w:t xml:space="preserve"> </w:t>
      </w:r>
      <w:r w:rsidR="00323457" w:rsidRPr="0059638B">
        <w:rPr>
          <w:sz w:val="20"/>
          <w:szCs w:val="20"/>
        </w:rPr>
        <w:t>grounds.</w:t>
      </w:r>
      <w:r w:rsidR="00FF41A0">
        <w:rPr>
          <w:sz w:val="20"/>
          <w:szCs w:val="20"/>
        </w:rPr>
        <w:t xml:space="preserve"> </w:t>
      </w:r>
    </w:p>
    <w:p w14:paraId="60CFC139" w14:textId="2B7BBC55" w:rsidR="00323457" w:rsidRPr="0059638B" w:rsidRDefault="00972F1E" w:rsidP="00323457">
      <w:pPr>
        <w:pStyle w:val="SingleTxtG"/>
        <w:rPr>
          <w:sz w:val="20"/>
          <w:szCs w:val="20"/>
        </w:rPr>
      </w:pPr>
      <w:r>
        <w:rPr>
          <w:sz w:val="20"/>
          <w:szCs w:val="20"/>
        </w:rPr>
        <w:t>604</w:t>
      </w:r>
      <w:r w:rsidR="00D7475F">
        <w:rPr>
          <w:sz w:val="20"/>
          <w:szCs w:val="20"/>
        </w:rPr>
        <w:t>.</w:t>
      </w:r>
      <w:r w:rsidR="00D7475F">
        <w:rPr>
          <w:sz w:val="20"/>
          <w:szCs w:val="20"/>
        </w:rPr>
        <w:tab/>
      </w:r>
      <w:r w:rsidR="00323457" w:rsidRPr="0059638B">
        <w:rPr>
          <w:sz w:val="20"/>
          <w:szCs w:val="20"/>
        </w:rPr>
        <w:t>It</w:t>
      </w:r>
      <w:r w:rsidR="00FF41A0">
        <w:rPr>
          <w:sz w:val="20"/>
          <w:szCs w:val="20"/>
        </w:rPr>
        <w:t xml:space="preserve"> </w:t>
      </w:r>
      <w:r w:rsidR="00323457" w:rsidRPr="0059638B">
        <w:rPr>
          <w:sz w:val="20"/>
          <w:szCs w:val="20"/>
        </w:rPr>
        <w:t>shed</w:t>
      </w:r>
      <w:r w:rsidR="00FF41A0">
        <w:rPr>
          <w:sz w:val="20"/>
          <w:szCs w:val="20"/>
        </w:rPr>
        <w:t xml:space="preserve"> </w:t>
      </w:r>
      <w:r w:rsidR="00323457" w:rsidRPr="0059638B">
        <w:rPr>
          <w:sz w:val="20"/>
          <w:szCs w:val="20"/>
        </w:rPr>
        <w:t>light</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fact</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certain</w:t>
      </w:r>
      <w:r w:rsidR="00FF41A0">
        <w:rPr>
          <w:sz w:val="20"/>
          <w:szCs w:val="20"/>
        </w:rPr>
        <w:t xml:space="preserve"> </w:t>
      </w:r>
      <w:r w:rsidR="00323457" w:rsidRPr="0059638B">
        <w:rPr>
          <w:sz w:val="20"/>
          <w:szCs w:val="20"/>
        </w:rPr>
        <w:t>provisions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press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publications</w:t>
      </w:r>
      <w:r w:rsidR="00FF41A0">
        <w:rPr>
          <w:sz w:val="20"/>
          <w:szCs w:val="20"/>
        </w:rPr>
        <w:t xml:space="preserve"> </w:t>
      </w:r>
      <w:r w:rsidR="00323457" w:rsidRPr="0059638B">
        <w:rPr>
          <w:sz w:val="20"/>
          <w:szCs w:val="20"/>
        </w:rPr>
        <w:t>law,</w:t>
      </w:r>
      <w:r w:rsidR="00FF41A0">
        <w:rPr>
          <w:sz w:val="20"/>
          <w:szCs w:val="20"/>
        </w:rPr>
        <w:t xml:space="preserve"> </w:t>
      </w:r>
      <w:r w:rsidR="00323457" w:rsidRPr="0059638B">
        <w:rPr>
          <w:sz w:val="20"/>
          <w:szCs w:val="20"/>
        </w:rPr>
        <w:t>anti-terrorism</w:t>
      </w:r>
      <w:r w:rsidR="00FF41A0">
        <w:rPr>
          <w:sz w:val="20"/>
          <w:szCs w:val="20"/>
        </w:rPr>
        <w:t xml:space="preserve"> </w:t>
      </w:r>
      <w:r w:rsidR="00323457" w:rsidRPr="0059638B">
        <w:rPr>
          <w:sz w:val="20"/>
          <w:szCs w:val="20"/>
        </w:rPr>
        <w:t>law,</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penal</w:t>
      </w:r>
      <w:r w:rsidR="00FF41A0">
        <w:rPr>
          <w:sz w:val="20"/>
          <w:szCs w:val="20"/>
        </w:rPr>
        <w:t xml:space="preserve"> </w:t>
      </w:r>
      <w:r w:rsidR="00323457" w:rsidRPr="0059638B">
        <w:rPr>
          <w:sz w:val="20"/>
          <w:szCs w:val="20"/>
        </w:rPr>
        <w:t>code,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crime</w:t>
      </w:r>
      <w:r w:rsidR="00FF41A0">
        <w:rPr>
          <w:sz w:val="20"/>
          <w:szCs w:val="20"/>
        </w:rPr>
        <w:t xml:space="preserve"> </w:t>
      </w:r>
      <w:r w:rsidR="00323457" w:rsidRPr="0059638B">
        <w:rPr>
          <w:sz w:val="20"/>
          <w:szCs w:val="20"/>
        </w:rPr>
        <w:t>prevention</w:t>
      </w:r>
      <w:r w:rsidR="00FF41A0">
        <w:rPr>
          <w:sz w:val="20"/>
          <w:szCs w:val="20"/>
        </w:rPr>
        <w:t xml:space="preserve"> </w:t>
      </w:r>
      <w:r w:rsidR="00323457" w:rsidRPr="0059638B">
        <w:rPr>
          <w:sz w:val="20"/>
          <w:szCs w:val="20"/>
        </w:rPr>
        <w:t>law</w:t>
      </w:r>
      <w:r w:rsidR="00FF41A0">
        <w:rPr>
          <w:sz w:val="20"/>
          <w:szCs w:val="20"/>
        </w:rPr>
        <w:t xml:space="preserve"> </w:t>
      </w:r>
      <w:r w:rsidR="00323457" w:rsidRPr="0059638B">
        <w:rPr>
          <w:sz w:val="20"/>
          <w:szCs w:val="20"/>
        </w:rPr>
        <w:t>provided</w:t>
      </w:r>
      <w:r w:rsidR="00FF41A0">
        <w:rPr>
          <w:sz w:val="20"/>
          <w:szCs w:val="20"/>
        </w:rPr>
        <w:t xml:space="preserve"> </w:t>
      </w:r>
      <w:r w:rsidR="00323457" w:rsidRPr="0059638B">
        <w:rPr>
          <w:sz w:val="20"/>
          <w:szCs w:val="20"/>
        </w:rPr>
        <w:t>authorities</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enough</w:t>
      </w:r>
      <w:r w:rsidR="00FF41A0">
        <w:rPr>
          <w:sz w:val="20"/>
          <w:szCs w:val="20"/>
        </w:rPr>
        <w:t xml:space="preserve"> </w:t>
      </w:r>
      <w:r w:rsidR="00323457" w:rsidRPr="0059638B">
        <w:rPr>
          <w:sz w:val="20"/>
          <w:szCs w:val="20"/>
        </w:rPr>
        <w:t>latitude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detain</w:t>
      </w:r>
      <w:r w:rsidR="00FF41A0">
        <w:rPr>
          <w:sz w:val="20"/>
          <w:szCs w:val="20"/>
        </w:rPr>
        <w:t xml:space="preserve"> </w:t>
      </w:r>
      <w:r w:rsidR="00323457" w:rsidRPr="0059638B">
        <w:rPr>
          <w:sz w:val="20"/>
          <w:szCs w:val="20"/>
        </w:rPr>
        <w:t>persons</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acts</w:t>
      </w:r>
      <w:r w:rsidR="00FF41A0">
        <w:rPr>
          <w:sz w:val="20"/>
          <w:szCs w:val="20"/>
        </w:rPr>
        <w:t xml:space="preserve"> </w:t>
      </w:r>
      <w:r w:rsidR="00323457" w:rsidRPr="0059638B">
        <w:rPr>
          <w:sz w:val="20"/>
          <w:szCs w:val="20"/>
        </w:rPr>
        <w:t>normally</w:t>
      </w:r>
      <w:r w:rsidR="00FF41A0">
        <w:rPr>
          <w:sz w:val="20"/>
          <w:szCs w:val="20"/>
        </w:rPr>
        <w:t xml:space="preserve"> </w:t>
      </w:r>
      <w:r w:rsidR="00323457" w:rsidRPr="0059638B">
        <w:rPr>
          <w:sz w:val="20"/>
          <w:szCs w:val="20"/>
        </w:rPr>
        <w:t>considered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be</w:t>
      </w:r>
      <w:r w:rsidR="00FF41A0">
        <w:rPr>
          <w:sz w:val="20"/>
          <w:szCs w:val="20"/>
        </w:rPr>
        <w:t xml:space="preserve"> </w:t>
      </w:r>
      <w:r w:rsidR="00323457" w:rsidRPr="0059638B">
        <w:rPr>
          <w:sz w:val="20"/>
          <w:szCs w:val="20"/>
        </w:rPr>
        <w:t>within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confines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freedom</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expression.</w:t>
      </w:r>
      <w:r w:rsidR="00FF41A0">
        <w:rPr>
          <w:sz w:val="20"/>
          <w:szCs w:val="20"/>
        </w:rPr>
        <w:t xml:space="preserve"> </w:t>
      </w:r>
    </w:p>
    <w:p w14:paraId="1D349FF8" w14:textId="0BC551C7" w:rsidR="00323457" w:rsidRPr="0059638B" w:rsidRDefault="00323457" w:rsidP="00323457">
      <w:pPr>
        <w:pStyle w:val="H23G"/>
        <w:rPr>
          <w:sz w:val="20"/>
          <w:szCs w:val="20"/>
        </w:rPr>
      </w:pPr>
      <w:r w:rsidRPr="0059638B">
        <w:rPr>
          <w:sz w:val="20"/>
          <w:szCs w:val="20"/>
        </w:rPr>
        <w:tab/>
        <w:t>3.</w:t>
      </w:r>
      <w:r w:rsidRPr="0059638B">
        <w:rPr>
          <w:sz w:val="20"/>
          <w:szCs w:val="20"/>
        </w:rPr>
        <w:tab/>
        <w:t>Views</w:t>
      </w:r>
      <w:r w:rsidR="00FF41A0">
        <w:rPr>
          <w:sz w:val="20"/>
          <w:szCs w:val="20"/>
        </w:rPr>
        <w:t xml:space="preserve"> </w:t>
      </w:r>
      <w:r w:rsidRPr="0059638B">
        <w:rPr>
          <w:sz w:val="20"/>
          <w:szCs w:val="20"/>
        </w:rPr>
        <w:t>expressed</w:t>
      </w:r>
      <w:r w:rsidR="00FF41A0">
        <w:rPr>
          <w:sz w:val="20"/>
          <w:szCs w:val="20"/>
        </w:rPr>
        <w:t xml:space="preserve"> </w:t>
      </w:r>
      <w:r w:rsidRPr="0059638B">
        <w:rPr>
          <w:sz w:val="20"/>
          <w:szCs w:val="20"/>
        </w:rPr>
        <w:t>by</w:t>
      </w:r>
      <w:r w:rsidR="00FF41A0">
        <w:rPr>
          <w:sz w:val="20"/>
          <w:szCs w:val="20"/>
        </w:rPr>
        <w:t xml:space="preserve"> </w:t>
      </w:r>
      <w:r w:rsidRPr="0059638B">
        <w:rPr>
          <w:sz w:val="20"/>
          <w:szCs w:val="20"/>
        </w:rPr>
        <w:t>Member</w:t>
      </w:r>
      <w:r w:rsidR="00FF41A0">
        <w:rPr>
          <w:sz w:val="20"/>
          <w:szCs w:val="20"/>
        </w:rPr>
        <w:t xml:space="preserve"> </w:t>
      </w:r>
      <w:r w:rsidRPr="0059638B">
        <w:rPr>
          <w:sz w:val="20"/>
          <w:szCs w:val="20"/>
        </w:rPr>
        <w:t>and</w:t>
      </w:r>
      <w:r w:rsidR="00FF41A0">
        <w:rPr>
          <w:sz w:val="20"/>
          <w:szCs w:val="20"/>
        </w:rPr>
        <w:t xml:space="preserve"> </w:t>
      </w:r>
      <w:r w:rsidRPr="0059638B">
        <w:rPr>
          <w:sz w:val="20"/>
          <w:szCs w:val="20"/>
        </w:rPr>
        <w:t>observer</w:t>
      </w:r>
      <w:r w:rsidR="00FF41A0">
        <w:rPr>
          <w:sz w:val="20"/>
          <w:szCs w:val="20"/>
        </w:rPr>
        <w:t xml:space="preserve"> </w:t>
      </w:r>
      <w:r w:rsidRPr="0059638B">
        <w:rPr>
          <w:sz w:val="20"/>
          <w:szCs w:val="20"/>
        </w:rPr>
        <w:t>States</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on</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outcome</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review</w:t>
      </w:r>
      <w:r w:rsidR="00FF41A0">
        <w:rPr>
          <w:sz w:val="20"/>
          <w:szCs w:val="20"/>
        </w:rPr>
        <w:t xml:space="preserve"> </w:t>
      </w:r>
    </w:p>
    <w:p w14:paraId="06E9B507" w14:textId="69FD4C5C" w:rsidR="00323457" w:rsidRPr="0059638B" w:rsidRDefault="00972F1E" w:rsidP="00323457">
      <w:pPr>
        <w:pStyle w:val="SingleTxtG"/>
        <w:rPr>
          <w:sz w:val="20"/>
          <w:szCs w:val="20"/>
        </w:rPr>
      </w:pPr>
      <w:r>
        <w:rPr>
          <w:sz w:val="20"/>
          <w:szCs w:val="20"/>
        </w:rPr>
        <w:t>605</w:t>
      </w:r>
      <w:r w:rsidR="00D7475F">
        <w:rPr>
          <w:sz w:val="20"/>
          <w:szCs w:val="20"/>
        </w:rPr>
        <w:t>.</w:t>
      </w:r>
      <w:r w:rsidR="00D7475F">
        <w:rPr>
          <w:sz w:val="20"/>
          <w:szCs w:val="20"/>
        </w:rPr>
        <w:tab/>
      </w:r>
      <w:r w:rsidR="00323457" w:rsidRPr="0059638B">
        <w:rPr>
          <w:sz w:val="20"/>
          <w:szCs w:val="20"/>
        </w:rPr>
        <w:t>During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adoption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outcome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Jordan,</w:t>
      </w:r>
      <w:r w:rsidR="00FF41A0">
        <w:rPr>
          <w:sz w:val="20"/>
          <w:szCs w:val="20"/>
        </w:rPr>
        <w:t xml:space="preserve"> </w:t>
      </w:r>
      <w:r w:rsidR="00323457" w:rsidRPr="0059638B">
        <w:rPr>
          <w:sz w:val="20"/>
          <w:szCs w:val="20"/>
        </w:rPr>
        <w:t>13</w:t>
      </w:r>
      <w:r w:rsidR="00FF41A0">
        <w:rPr>
          <w:sz w:val="20"/>
          <w:szCs w:val="20"/>
        </w:rPr>
        <w:t xml:space="preserve"> </w:t>
      </w:r>
      <w:r w:rsidR="00323457" w:rsidRPr="0059638B">
        <w:rPr>
          <w:sz w:val="20"/>
          <w:szCs w:val="20"/>
        </w:rPr>
        <w:t>delegations</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statements.</w:t>
      </w:r>
      <w:r w:rsidR="00CC5A8D" w:rsidRPr="00CC5A8D">
        <w:rPr>
          <w:rStyle w:val="FootnoteReference"/>
          <w:sz w:val="20"/>
          <w:szCs w:val="20"/>
          <w:vertAlign w:val="baseline"/>
        </w:rPr>
        <w:footnoteReference w:customMarkFollows="1" w:id="53"/>
        <w:t>**</w:t>
      </w:r>
      <w:r w:rsidR="00FF41A0">
        <w:rPr>
          <w:sz w:val="20"/>
          <w:szCs w:val="20"/>
        </w:rPr>
        <w:t xml:space="preserve"> </w:t>
      </w:r>
    </w:p>
    <w:p w14:paraId="4ED28F68" w14:textId="44DBCE5E" w:rsidR="00323457" w:rsidRPr="0059638B" w:rsidRDefault="00972F1E" w:rsidP="00323457">
      <w:pPr>
        <w:pStyle w:val="SingleTxtG"/>
        <w:rPr>
          <w:bCs/>
          <w:sz w:val="20"/>
          <w:szCs w:val="20"/>
        </w:rPr>
      </w:pPr>
      <w:r>
        <w:rPr>
          <w:bCs/>
          <w:sz w:val="20"/>
          <w:szCs w:val="20"/>
        </w:rPr>
        <w:t>606</w:t>
      </w:r>
      <w:r w:rsidR="00D7475F">
        <w:rPr>
          <w:bCs/>
          <w:sz w:val="20"/>
          <w:szCs w:val="20"/>
        </w:rPr>
        <w:t>.</w:t>
      </w:r>
      <w:r w:rsidR="00D7475F">
        <w:rPr>
          <w:bCs/>
          <w:sz w:val="20"/>
          <w:szCs w:val="20"/>
        </w:rPr>
        <w:tab/>
      </w:r>
      <w:r w:rsidR="00323457" w:rsidRPr="0059638B">
        <w:rPr>
          <w:bCs/>
          <w:sz w:val="20"/>
          <w:szCs w:val="20"/>
        </w:rPr>
        <w:t>Bahrain</w:t>
      </w:r>
      <w:r w:rsidR="00FF41A0">
        <w:rPr>
          <w:bCs/>
          <w:sz w:val="20"/>
          <w:szCs w:val="20"/>
        </w:rPr>
        <w:t xml:space="preserve"> </w:t>
      </w:r>
      <w:r w:rsidR="00323457" w:rsidRPr="0059638B">
        <w:rPr>
          <w:bCs/>
          <w:sz w:val="20"/>
          <w:szCs w:val="20"/>
        </w:rPr>
        <w:t>appreciated</w:t>
      </w:r>
      <w:r w:rsidR="00FF41A0">
        <w:rPr>
          <w:bCs/>
          <w:sz w:val="20"/>
          <w:szCs w:val="20"/>
        </w:rPr>
        <w:t xml:space="preserve"> </w:t>
      </w:r>
      <w:r w:rsidR="00323457" w:rsidRPr="0059638B">
        <w:rPr>
          <w:bCs/>
          <w:sz w:val="20"/>
          <w:szCs w:val="20"/>
        </w:rPr>
        <w:t>the</w:t>
      </w:r>
      <w:r w:rsidR="00FF41A0">
        <w:rPr>
          <w:bCs/>
          <w:sz w:val="20"/>
          <w:szCs w:val="20"/>
        </w:rPr>
        <w:t xml:space="preserve"> </w:t>
      </w:r>
      <w:r w:rsidR="00323457" w:rsidRPr="0059638B">
        <w:rPr>
          <w:bCs/>
          <w:sz w:val="20"/>
          <w:szCs w:val="20"/>
        </w:rPr>
        <w:t>positive</w:t>
      </w:r>
      <w:r w:rsidR="00FF41A0">
        <w:rPr>
          <w:bCs/>
          <w:sz w:val="20"/>
          <w:szCs w:val="20"/>
        </w:rPr>
        <w:t xml:space="preserve"> </w:t>
      </w:r>
      <w:r w:rsidR="00323457" w:rsidRPr="0059638B">
        <w:rPr>
          <w:bCs/>
          <w:sz w:val="20"/>
          <w:szCs w:val="20"/>
        </w:rPr>
        <w:t>engagement</w:t>
      </w:r>
      <w:r w:rsidR="00FF41A0">
        <w:rPr>
          <w:bCs/>
          <w:sz w:val="20"/>
          <w:szCs w:val="20"/>
        </w:rPr>
        <w:t xml:space="preserve"> </w:t>
      </w:r>
      <w:r w:rsidR="00323457" w:rsidRPr="0059638B">
        <w:rPr>
          <w:bCs/>
          <w:sz w:val="20"/>
          <w:szCs w:val="20"/>
        </w:rPr>
        <w:t>with</w:t>
      </w:r>
      <w:r w:rsidR="00FF41A0">
        <w:rPr>
          <w:bCs/>
          <w:sz w:val="20"/>
          <w:szCs w:val="20"/>
        </w:rPr>
        <w:t xml:space="preserve"> </w:t>
      </w:r>
      <w:r w:rsidR="00323457" w:rsidRPr="0059638B">
        <w:rPr>
          <w:bCs/>
          <w:sz w:val="20"/>
          <w:szCs w:val="20"/>
        </w:rPr>
        <w:t>the</w:t>
      </w:r>
      <w:r w:rsidR="00FF41A0">
        <w:rPr>
          <w:bCs/>
          <w:sz w:val="20"/>
          <w:szCs w:val="20"/>
        </w:rPr>
        <w:t xml:space="preserve"> </w:t>
      </w:r>
      <w:r w:rsidR="00323457" w:rsidRPr="0059638B">
        <w:rPr>
          <w:bCs/>
          <w:sz w:val="20"/>
          <w:szCs w:val="20"/>
        </w:rPr>
        <w:t>recommendations</w:t>
      </w:r>
      <w:r w:rsidR="00FF41A0">
        <w:rPr>
          <w:bCs/>
          <w:sz w:val="20"/>
          <w:szCs w:val="20"/>
        </w:rPr>
        <w:t xml:space="preserve"> </w:t>
      </w:r>
      <w:r w:rsidR="00323457" w:rsidRPr="0059638B">
        <w:rPr>
          <w:bCs/>
          <w:sz w:val="20"/>
          <w:szCs w:val="20"/>
        </w:rPr>
        <w:t>received,</w:t>
      </w:r>
      <w:r w:rsidR="00FF41A0">
        <w:rPr>
          <w:bCs/>
          <w:sz w:val="20"/>
          <w:szCs w:val="20"/>
        </w:rPr>
        <w:t xml:space="preserve"> </w:t>
      </w:r>
      <w:r w:rsidR="00323457" w:rsidRPr="0059638B">
        <w:rPr>
          <w:bCs/>
          <w:sz w:val="20"/>
          <w:szCs w:val="20"/>
        </w:rPr>
        <w:t>including</w:t>
      </w:r>
      <w:r w:rsidR="00FF41A0">
        <w:rPr>
          <w:bCs/>
          <w:sz w:val="20"/>
          <w:szCs w:val="20"/>
        </w:rPr>
        <w:t xml:space="preserve"> </w:t>
      </w:r>
      <w:r w:rsidR="00323457" w:rsidRPr="0059638B">
        <w:rPr>
          <w:bCs/>
          <w:sz w:val="20"/>
          <w:szCs w:val="20"/>
        </w:rPr>
        <w:t>those</w:t>
      </w:r>
      <w:r w:rsidR="00FF41A0">
        <w:rPr>
          <w:bCs/>
          <w:sz w:val="20"/>
          <w:szCs w:val="20"/>
        </w:rPr>
        <w:t xml:space="preserve"> </w:t>
      </w:r>
      <w:r w:rsidR="00323457" w:rsidRPr="0059638B">
        <w:rPr>
          <w:bCs/>
          <w:sz w:val="20"/>
          <w:szCs w:val="20"/>
        </w:rPr>
        <w:t>submitted</w:t>
      </w:r>
      <w:r w:rsidR="00FF41A0">
        <w:rPr>
          <w:bCs/>
          <w:sz w:val="20"/>
          <w:szCs w:val="20"/>
        </w:rPr>
        <w:t xml:space="preserve"> </w:t>
      </w:r>
      <w:r w:rsidR="00323457" w:rsidRPr="0059638B">
        <w:rPr>
          <w:bCs/>
          <w:sz w:val="20"/>
          <w:szCs w:val="20"/>
        </w:rPr>
        <w:t>by</w:t>
      </w:r>
      <w:r w:rsidR="00FF41A0">
        <w:rPr>
          <w:bCs/>
          <w:sz w:val="20"/>
          <w:szCs w:val="20"/>
        </w:rPr>
        <w:t xml:space="preserve"> </w:t>
      </w:r>
      <w:r w:rsidR="00323457" w:rsidRPr="0059638B">
        <w:rPr>
          <w:bCs/>
          <w:sz w:val="20"/>
          <w:szCs w:val="20"/>
        </w:rPr>
        <w:t>Bahrain,</w:t>
      </w:r>
      <w:r w:rsidR="00FF41A0">
        <w:rPr>
          <w:bCs/>
          <w:sz w:val="20"/>
          <w:szCs w:val="20"/>
        </w:rPr>
        <w:t xml:space="preserve"> </w:t>
      </w:r>
      <w:r w:rsidR="00323457" w:rsidRPr="0059638B">
        <w:rPr>
          <w:bCs/>
          <w:sz w:val="20"/>
          <w:szCs w:val="20"/>
        </w:rPr>
        <w:t>as</w:t>
      </w:r>
      <w:r w:rsidR="00FF41A0">
        <w:rPr>
          <w:bCs/>
          <w:sz w:val="20"/>
          <w:szCs w:val="20"/>
        </w:rPr>
        <w:t xml:space="preserve"> </w:t>
      </w:r>
      <w:r w:rsidR="00323457" w:rsidRPr="0059638B">
        <w:rPr>
          <w:bCs/>
          <w:sz w:val="20"/>
          <w:szCs w:val="20"/>
        </w:rPr>
        <w:t>well</w:t>
      </w:r>
      <w:r w:rsidR="00FF41A0">
        <w:rPr>
          <w:bCs/>
          <w:sz w:val="20"/>
          <w:szCs w:val="20"/>
        </w:rPr>
        <w:t xml:space="preserve"> </w:t>
      </w:r>
      <w:r w:rsidR="00323457" w:rsidRPr="0059638B">
        <w:rPr>
          <w:bCs/>
          <w:sz w:val="20"/>
          <w:szCs w:val="20"/>
        </w:rPr>
        <w:t>as</w:t>
      </w:r>
      <w:r w:rsidR="00FF41A0">
        <w:rPr>
          <w:bCs/>
          <w:sz w:val="20"/>
          <w:szCs w:val="20"/>
        </w:rPr>
        <w:t xml:space="preserve"> </w:t>
      </w:r>
      <w:r w:rsidR="00323457" w:rsidRPr="0059638B">
        <w:rPr>
          <w:bCs/>
          <w:sz w:val="20"/>
          <w:szCs w:val="20"/>
        </w:rPr>
        <w:t>the</w:t>
      </w:r>
      <w:r w:rsidR="00FF41A0">
        <w:rPr>
          <w:bCs/>
          <w:sz w:val="20"/>
          <w:szCs w:val="20"/>
        </w:rPr>
        <w:t xml:space="preserve"> </w:t>
      </w:r>
      <w:r w:rsidR="00323457" w:rsidRPr="0059638B">
        <w:rPr>
          <w:bCs/>
          <w:sz w:val="20"/>
          <w:szCs w:val="20"/>
        </w:rPr>
        <w:t>adoption</w:t>
      </w:r>
      <w:r w:rsidR="00FF41A0">
        <w:rPr>
          <w:bCs/>
          <w:sz w:val="20"/>
          <w:szCs w:val="20"/>
        </w:rPr>
        <w:t xml:space="preserve"> </w:t>
      </w:r>
      <w:r w:rsidR="00323457" w:rsidRPr="0059638B">
        <w:rPr>
          <w:bCs/>
          <w:sz w:val="20"/>
          <w:szCs w:val="20"/>
        </w:rPr>
        <w:t>of</w:t>
      </w:r>
      <w:r w:rsidR="00FF41A0">
        <w:rPr>
          <w:bCs/>
          <w:sz w:val="20"/>
          <w:szCs w:val="20"/>
        </w:rPr>
        <w:t xml:space="preserve"> </w:t>
      </w:r>
      <w:r w:rsidR="00323457" w:rsidRPr="0059638B">
        <w:rPr>
          <w:bCs/>
          <w:sz w:val="20"/>
          <w:szCs w:val="20"/>
        </w:rPr>
        <w:t>a</w:t>
      </w:r>
      <w:r w:rsidR="00FF41A0">
        <w:rPr>
          <w:bCs/>
          <w:sz w:val="20"/>
          <w:szCs w:val="20"/>
        </w:rPr>
        <w:t xml:space="preserve"> </w:t>
      </w:r>
      <w:r w:rsidR="00323457" w:rsidRPr="0059638B">
        <w:rPr>
          <w:bCs/>
          <w:sz w:val="20"/>
          <w:szCs w:val="20"/>
        </w:rPr>
        <w:t>number</w:t>
      </w:r>
      <w:r w:rsidR="00FF41A0">
        <w:rPr>
          <w:bCs/>
          <w:sz w:val="20"/>
          <w:szCs w:val="20"/>
        </w:rPr>
        <w:t xml:space="preserve"> </w:t>
      </w:r>
      <w:r w:rsidR="00323457" w:rsidRPr="0059638B">
        <w:rPr>
          <w:bCs/>
          <w:sz w:val="20"/>
          <w:szCs w:val="20"/>
        </w:rPr>
        <w:t>of</w:t>
      </w:r>
      <w:r w:rsidR="00FF41A0">
        <w:rPr>
          <w:bCs/>
          <w:sz w:val="20"/>
          <w:szCs w:val="20"/>
        </w:rPr>
        <w:t xml:space="preserve"> </w:t>
      </w:r>
      <w:r w:rsidR="00323457" w:rsidRPr="0059638B">
        <w:rPr>
          <w:bCs/>
          <w:sz w:val="20"/>
          <w:szCs w:val="20"/>
        </w:rPr>
        <w:t>policies,</w:t>
      </w:r>
      <w:r w:rsidR="00FF41A0">
        <w:rPr>
          <w:bCs/>
          <w:sz w:val="20"/>
          <w:szCs w:val="20"/>
        </w:rPr>
        <w:t xml:space="preserve"> </w:t>
      </w:r>
      <w:r w:rsidR="00323457" w:rsidRPr="0059638B">
        <w:rPr>
          <w:bCs/>
          <w:sz w:val="20"/>
          <w:szCs w:val="20"/>
        </w:rPr>
        <w:lastRenderedPageBreak/>
        <w:t>legislations</w:t>
      </w:r>
      <w:r w:rsidR="00FF41A0">
        <w:rPr>
          <w:bCs/>
          <w:sz w:val="20"/>
          <w:szCs w:val="20"/>
        </w:rPr>
        <w:t xml:space="preserve"> </w:t>
      </w:r>
      <w:r w:rsidR="00323457" w:rsidRPr="0059638B">
        <w:rPr>
          <w:bCs/>
          <w:sz w:val="20"/>
          <w:szCs w:val="20"/>
        </w:rPr>
        <w:t>and</w:t>
      </w:r>
      <w:r w:rsidR="00FF41A0">
        <w:rPr>
          <w:bCs/>
          <w:sz w:val="20"/>
          <w:szCs w:val="20"/>
        </w:rPr>
        <w:t xml:space="preserve"> </w:t>
      </w:r>
      <w:r w:rsidR="00323457" w:rsidRPr="0059638B">
        <w:rPr>
          <w:bCs/>
          <w:sz w:val="20"/>
          <w:szCs w:val="20"/>
        </w:rPr>
        <w:t>national</w:t>
      </w:r>
      <w:r w:rsidR="00FF41A0">
        <w:rPr>
          <w:bCs/>
          <w:sz w:val="20"/>
          <w:szCs w:val="20"/>
        </w:rPr>
        <w:t xml:space="preserve"> </w:t>
      </w:r>
      <w:r w:rsidR="00323457" w:rsidRPr="0059638B">
        <w:rPr>
          <w:bCs/>
          <w:sz w:val="20"/>
          <w:szCs w:val="20"/>
        </w:rPr>
        <w:t>action</w:t>
      </w:r>
      <w:r w:rsidR="00FF41A0">
        <w:rPr>
          <w:bCs/>
          <w:sz w:val="20"/>
          <w:szCs w:val="20"/>
        </w:rPr>
        <w:t xml:space="preserve"> </w:t>
      </w:r>
      <w:r w:rsidR="00323457" w:rsidRPr="0059638B">
        <w:rPr>
          <w:bCs/>
          <w:sz w:val="20"/>
          <w:szCs w:val="20"/>
        </w:rPr>
        <w:t>plans</w:t>
      </w:r>
      <w:r w:rsidR="00FF41A0">
        <w:rPr>
          <w:bCs/>
          <w:sz w:val="20"/>
          <w:szCs w:val="20"/>
        </w:rPr>
        <w:t xml:space="preserve"> </w:t>
      </w:r>
      <w:r w:rsidR="00323457" w:rsidRPr="0059638B">
        <w:rPr>
          <w:bCs/>
          <w:sz w:val="20"/>
          <w:szCs w:val="20"/>
        </w:rPr>
        <w:t>in</w:t>
      </w:r>
      <w:r w:rsidR="00FF41A0">
        <w:rPr>
          <w:bCs/>
          <w:sz w:val="20"/>
          <w:szCs w:val="20"/>
        </w:rPr>
        <w:t xml:space="preserve"> </w:t>
      </w:r>
      <w:r w:rsidR="00323457" w:rsidRPr="0059638B">
        <w:rPr>
          <w:bCs/>
          <w:sz w:val="20"/>
          <w:szCs w:val="20"/>
        </w:rPr>
        <w:t>compliance</w:t>
      </w:r>
      <w:r w:rsidR="00FF41A0">
        <w:rPr>
          <w:bCs/>
          <w:sz w:val="20"/>
          <w:szCs w:val="20"/>
        </w:rPr>
        <w:t xml:space="preserve"> </w:t>
      </w:r>
      <w:r w:rsidR="00323457" w:rsidRPr="0059638B">
        <w:rPr>
          <w:bCs/>
          <w:sz w:val="20"/>
          <w:szCs w:val="20"/>
        </w:rPr>
        <w:t>with</w:t>
      </w:r>
      <w:r w:rsidR="00FF41A0">
        <w:rPr>
          <w:bCs/>
          <w:sz w:val="20"/>
          <w:szCs w:val="20"/>
        </w:rPr>
        <w:t xml:space="preserve"> </w:t>
      </w:r>
      <w:r w:rsidR="00323457" w:rsidRPr="0059638B">
        <w:rPr>
          <w:bCs/>
          <w:sz w:val="20"/>
          <w:szCs w:val="20"/>
        </w:rPr>
        <w:t>human</w:t>
      </w:r>
      <w:r w:rsidR="00FF41A0">
        <w:rPr>
          <w:bCs/>
          <w:sz w:val="20"/>
          <w:szCs w:val="20"/>
        </w:rPr>
        <w:t xml:space="preserve"> </w:t>
      </w:r>
      <w:r w:rsidR="00323457" w:rsidRPr="0059638B">
        <w:rPr>
          <w:bCs/>
          <w:sz w:val="20"/>
          <w:szCs w:val="20"/>
        </w:rPr>
        <w:t>rights</w:t>
      </w:r>
      <w:r w:rsidR="00FF41A0">
        <w:rPr>
          <w:bCs/>
          <w:sz w:val="20"/>
          <w:szCs w:val="20"/>
        </w:rPr>
        <w:t xml:space="preserve"> </w:t>
      </w:r>
      <w:r w:rsidR="00323457" w:rsidRPr="0059638B">
        <w:rPr>
          <w:bCs/>
          <w:sz w:val="20"/>
          <w:szCs w:val="20"/>
        </w:rPr>
        <w:t>principles</w:t>
      </w:r>
      <w:r w:rsidR="00FF41A0">
        <w:rPr>
          <w:bCs/>
          <w:sz w:val="20"/>
          <w:szCs w:val="20"/>
        </w:rPr>
        <w:t xml:space="preserve"> </w:t>
      </w:r>
      <w:r w:rsidR="00323457" w:rsidRPr="0059638B">
        <w:rPr>
          <w:bCs/>
          <w:sz w:val="20"/>
          <w:szCs w:val="20"/>
        </w:rPr>
        <w:t>and</w:t>
      </w:r>
      <w:r w:rsidR="00FF41A0">
        <w:rPr>
          <w:bCs/>
          <w:sz w:val="20"/>
          <w:szCs w:val="20"/>
        </w:rPr>
        <w:t xml:space="preserve"> </w:t>
      </w:r>
      <w:r w:rsidR="00323457" w:rsidRPr="0059638B">
        <w:rPr>
          <w:bCs/>
          <w:sz w:val="20"/>
          <w:szCs w:val="20"/>
        </w:rPr>
        <w:t>national,</w:t>
      </w:r>
      <w:r w:rsidR="00FF41A0">
        <w:rPr>
          <w:bCs/>
          <w:sz w:val="20"/>
          <w:szCs w:val="20"/>
        </w:rPr>
        <w:t xml:space="preserve"> </w:t>
      </w:r>
      <w:r w:rsidR="00323457" w:rsidRPr="0059638B">
        <w:rPr>
          <w:bCs/>
          <w:sz w:val="20"/>
          <w:szCs w:val="20"/>
        </w:rPr>
        <w:t>regional</w:t>
      </w:r>
      <w:r w:rsidR="00FF41A0">
        <w:rPr>
          <w:bCs/>
          <w:sz w:val="20"/>
          <w:szCs w:val="20"/>
        </w:rPr>
        <w:t xml:space="preserve"> </w:t>
      </w:r>
      <w:r w:rsidR="00323457" w:rsidRPr="0059638B">
        <w:rPr>
          <w:bCs/>
          <w:sz w:val="20"/>
          <w:szCs w:val="20"/>
        </w:rPr>
        <w:t>and</w:t>
      </w:r>
      <w:r w:rsidR="00FF41A0">
        <w:rPr>
          <w:bCs/>
          <w:sz w:val="20"/>
          <w:szCs w:val="20"/>
        </w:rPr>
        <w:t xml:space="preserve"> </w:t>
      </w:r>
      <w:r w:rsidR="00323457" w:rsidRPr="0059638B">
        <w:rPr>
          <w:bCs/>
          <w:sz w:val="20"/>
          <w:szCs w:val="20"/>
        </w:rPr>
        <w:t>international</w:t>
      </w:r>
      <w:r w:rsidR="00FF41A0">
        <w:rPr>
          <w:bCs/>
          <w:sz w:val="20"/>
          <w:szCs w:val="20"/>
        </w:rPr>
        <w:t xml:space="preserve"> </w:t>
      </w:r>
      <w:r w:rsidR="00323457" w:rsidRPr="0059638B">
        <w:rPr>
          <w:bCs/>
          <w:sz w:val="20"/>
          <w:szCs w:val="20"/>
        </w:rPr>
        <w:t>norms;</w:t>
      </w:r>
      <w:r w:rsidR="00FF41A0">
        <w:rPr>
          <w:bCs/>
          <w:sz w:val="20"/>
          <w:szCs w:val="20"/>
        </w:rPr>
        <w:t xml:space="preserve"> </w:t>
      </w:r>
      <w:r w:rsidR="00323457" w:rsidRPr="0059638B">
        <w:rPr>
          <w:bCs/>
          <w:sz w:val="20"/>
          <w:szCs w:val="20"/>
        </w:rPr>
        <w:t>such</w:t>
      </w:r>
      <w:r w:rsidR="00FF41A0">
        <w:rPr>
          <w:bCs/>
          <w:sz w:val="20"/>
          <w:szCs w:val="20"/>
        </w:rPr>
        <w:t xml:space="preserve"> </w:t>
      </w:r>
      <w:r w:rsidR="00323457" w:rsidRPr="0059638B">
        <w:rPr>
          <w:bCs/>
          <w:sz w:val="20"/>
          <w:szCs w:val="20"/>
        </w:rPr>
        <w:t>as</w:t>
      </w:r>
      <w:r w:rsidR="00FF41A0">
        <w:rPr>
          <w:bCs/>
          <w:sz w:val="20"/>
          <w:szCs w:val="20"/>
        </w:rPr>
        <w:t xml:space="preserve"> </w:t>
      </w:r>
      <w:r w:rsidR="00323457" w:rsidRPr="0059638B">
        <w:rPr>
          <w:bCs/>
          <w:sz w:val="20"/>
          <w:szCs w:val="20"/>
        </w:rPr>
        <w:t>the</w:t>
      </w:r>
      <w:r w:rsidR="00FF41A0">
        <w:rPr>
          <w:bCs/>
          <w:sz w:val="20"/>
          <w:szCs w:val="20"/>
        </w:rPr>
        <w:t xml:space="preserve"> </w:t>
      </w:r>
      <w:r w:rsidR="00323457" w:rsidRPr="0059638B">
        <w:rPr>
          <w:bCs/>
          <w:sz w:val="20"/>
          <w:szCs w:val="20"/>
        </w:rPr>
        <w:t>National</w:t>
      </w:r>
      <w:r w:rsidR="00FF41A0">
        <w:rPr>
          <w:bCs/>
          <w:sz w:val="20"/>
          <w:szCs w:val="20"/>
        </w:rPr>
        <w:t xml:space="preserve"> </w:t>
      </w:r>
      <w:r w:rsidR="00323457" w:rsidRPr="0059638B">
        <w:rPr>
          <w:bCs/>
          <w:sz w:val="20"/>
          <w:szCs w:val="20"/>
        </w:rPr>
        <w:t>Plan</w:t>
      </w:r>
      <w:r w:rsidR="00FF41A0">
        <w:rPr>
          <w:bCs/>
          <w:sz w:val="20"/>
          <w:szCs w:val="20"/>
        </w:rPr>
        <w:t xml:space="preserve"> </w:t>
      </w:r>
      <w:r w:rsidR="00323457" w:rsidRPr="0059638B">
        <w:rPr>
          <w:bCs/>
          <w:sz w:val="20"/>
          <w:szCs w:val="20"/>
        </w:rPr>
        <w:t>of</w:t>
      </w:r>
      <w:r w:rsidR="00FF41A0">
        <w:rPr>
          <w:bCs/>
          <w:sz w:val="20"/>
          <w:szCs w:val="20"/>
        </w:rPr>
        <w:t xml:space="preserve"> </w:t>
      </w:r>
      <w:r w:rsidR="00323457" w:rsidRPr="0059638B">
        <w:rPr>
          <w:bCs/>
          <w:sz w:val="20"/>
          <w:szCs w:val="20"/>
        </w:rPr>
        <w:t>Action</w:t>
      </w:r>
      <w:r w:rsidR="00FF41A0">
        <w:rPr>
          <w:bCs/>
          <w:sz w:val="20"/>
          <w:szCs w:val="20"/>
        </w:rPr>
        <w:t xml:space="preserve"> </w:t>
      </w:r>
      <w:r w:rsidR="00323457" w:rsidRPr="0059638B">
        <w:rPr>
          <w:bCs/>
          <w:sz w:val="20"/>
          <w:szCs w:val="20"/>
        </w:rPr>
        <w:t>2016-2025</w:t>
      </w:r>
      <w:r w:rsidR="00FF41A0">
        <w:rPr>
          <w:bCs/>
          <w:sz w:val="20"/>
          <w:szCs w:val="20"/>
        </w:rPr>
        <w:t xml:space="preserve"> </w:t>
      </w:r>
      <w:r w:rsidR="00323457" w:rsidRPr="0059638B">
        <w:rPr>
          <w:bCs/>
          <w:sz w:val="20"/>
          <w:szCs w:val="20"/>
        </w:rPr>
        <w:t>and</w:t>
      </w:r>
      <w:r w:rsidR="00FF41A0">
        <w:rPr>
          <w:bCs/>
          <w:sz w:val="20"/>
          <w:szCs w:val="20"/>
        </w:rPr>
        <w:t xml:space="preserve"> </w:t>
      </w:r>
      <w:r w:rsidR="00323457" w:rsidRPr="0059638B">
        <w:rPr>
          <w:bCs/>
          <w:sz w:val="20"/>
          <w:szCs w:val="20"/>
        </w:rPr>
        <w:t>the</w:t>
      </w:r>
      <w:r w:rsidR="00FF41A0">
        <w:rPr>
          <w:bCs/>
          <w:sz w:val="20"/>
          <w:szCs w:val="20"/>
        </w:rPr>
        <w:t xml:space="preserve"> </w:t>
      </w:r>
      <w:r w:rsidR="00323457" w:rsidRPr="0059638B">
        <w:rPr>
          <w:bCs/>
          <w:sz w:val="20"/>
          <w:szCs w:val="20"/>
        </w:rPr>
        <w:t>National</w:t>
      </w:r>
      <w:r w:rsidR="00FF41A0">
        <w:rPr>
          <w:bCs/>
          <w:sz w:val="20"/>
          <w:szCs w:val="20"/>
        </w:rPr>
        <w:t xml:space="preserve"> </w:t>
      </w:r>
      <w:r w:rsidR="00323457" w:rsidRPr="0059638B">
        <w:rPr>
          <w:bCs/>
          <w:sz w:val="20"/>
          <w:szCs w:val="20"/>
        </w:rPr>
        <w:t>Plan</w:t>
      </w:r>
      <w:r w:rsidR="00FF41A0">
        <w:rPr>
          <w:bCs/>
          <w:sz w:val="20"/>
          <w:szCs w:val="20"/>
        </w:rPr>
        <w:t xml:space="preserve"> </w:t>
      </w:r>
      <w:r w:rsidR="00323457" w:rsidRPr="0059638B">
        <w:rPr>
          <w:bCs/>
          <w:sz w:val="20"/>
          <w:szCs w:val="20"/>
        </w:rPr>
        <w:t>of</w:t>
      </w:r>
      <w:r w:rsidR="00FF41A0">
        <w:rPr>
          <w:bCs/>
          <w:sz w:val="20"/>
          <w:szCs w:val="20"/>
        </w:rPr>
        <w:t xml:space="preserve"> </w:t>
      </w:r>
      <w:r w:rsidR="00323457" w:rsidRPr="0059638B">
        <w:rPr>
          <w:bCs/>
          <w:sz w:val="20"/>
          <w:szCs w:val="20"/>
        </w:rPr>
        <w:t>Action</w:t>
      </w:r>
      <w:r w:rsidR="00FF41A0">
        <w:rPr>
          <w:bCs/>
          <w:sz w:val="20"/>
          <w:szCs w:val="20"/>
        </w:rPr>
        <w:t xml:space="preserve"> </w:t>
      </w:r>
      <w:r w:rsidR="00323457" w:rsidRPr="0059638B">
        <w:rPr>
          <w:bCs/>
          <w:sz w:val="20"/>
          <w:szCs w:val="20"/>
        </w:rPr>
        <w:t>on</w:t>
      </w:r>
      <w:r w:rsidR="00FF41A0">
        <w:rPr>
          <w:bCs/>
          <w:sz w:val="20"/>
          <w:szCs w:val="20"/>
        </w:rPr>
        <w:t xml:space="preserve"> </w:t>
      </w:r>
      <w:r w:rsidR="00323457" w:rsidRPr="0059638B">
        <w:rPr>
          <w:bCs/>
          <w:sz w:val="20"/>
          <w:szCs w:val="20"/>
        </w:rPr>
        <w:t>Security</w:t>
      </w:r>
      <w:r w:rsidR="00FF41A0">
        <w:rPr>
          <w:bCs/>
          <w:sz w:val="20"/>
          <w:szCs w:val="20"/>
        </w:rPr>
        <w:t xml:space="preserve"> </w:t>
      </w:r>
      <w:r w:rsidR="00323457" w:rsidRPr="0059638B">
        <w:rPr>
          <w:bCs/>
          <w:sz w:val="20"/>
          <w:szCs w:val="20"/>
        </w:rPr>
        <w:t>Council</w:t>
      </w:r>
      <w:r w:rsidR="00FF41A0">
        <w:rPr>
          <w:bCs/>
          <w:sz w:val="20"/>
          <w:szCs w:val="20"/>
        </w:rPr>
        <w:t xml:space="preserve"> </w:t>
      </w:r>
      <w:r w:rsidR="00323457" w:rsidRPr="0059638B">
        <w:rPr>
          <w:bCs/>
          <w:sz w:val="20"/>
          <w:szCs w:val="20"/>
        </w:rPr>
        <w:t>resolution</w:t>
      </w:r>
      <w:r w:rsidR="00FF41A0">
        <w:rPr>
          <w:bCs/>
          <w:sz w:val="20"/>
          <w:szCs w:val="20"/>
        </w:rPr>
        <w:t xml:space="preserve"> </w:t>
      </w:r>
      <w:r w:rsidR="00323457" w:rsidRPr="0059638B">
        <w:rPr>
          <w:bCs/>
          <w:sz w:val="20"/>
          <w:szCs w:val="20"/>
        </w:rPr>
        <w:t>1325</w:t>
      </w:r>
      <w:r w:rsidR="00FF41A0">
        <w:rPr>
          <w:bCs/>
          <w:sz w:val="20"/>
          <w:szCs w:val="20"/>
        </w:rPr>
        <w:t xml:space="preserve"> </w:t>
      </w:r>
      <w:r w:rsidR="00323457" w:rsidRPr="0059638B">
        <w:rPr>
          <w:bCs/>
          <w:sz w:val="20"/>
          <w:szCs w:val="20"/>
        </w:rPr>
        <w:t>on</w:t>
      </w:r>
      <w:r w:rsidR="00FF41A0">
        <w:rPr>
          <w:bCs/>
          <w:sz w:val="20"/>
          <w:szCs w:val="20"/>
        </w:rPr>
        <w:t xml:space="preserve"> </w:t>
      </w:r>
      <w:r w:rsidR="00323457" w:rsidRPr="0059638B">
        <w:rPr>
          <w:bCs/>
          <w:sz w:val="20"/>
          <w:szCs w:val="20"/>
        </w:rPr>
        <w:t>Women,</w:t>
      </w:r>
      <w:r w:rsidR="00FF41A0">
        <w:rPr>
          <w:bCs/>
          <w:sz w:val="20"/>
          <w:szCs w:val="20"/>
        </w:rPr>
        <w:t xml:space="preserve"> </w:t>
      </w:r>
      <w:r w:rsidR="00323457" w:rsidRPr="0059638B">
        <w:rPr>
          <w:bCs/>
          <w:sz w:val="20"/>
          <w:szCs w:val="20"/>
        </w:rPr>
        <w:t>Peace</w:t>
      </w:r>
      <w:r w:rsidR="00FF41A0">
        <w:rPr>
          <w:bCs/>
          <w:sz w:val="20"/>
          <w:szCs w:val="20"/>
        </w:rPr>
        <w:t xml:space="preserve"> </w:t>
      </w:r>
      <w:r w:rsidR="00323457" w:rsidRPr="0059638B">
        <w:rPr>
          <w:bCs/>
          <w:sz w:val="20"/>
          <w:szCs w:val="20"/>
        </w:rPr>
        <w:t>and</w:t>
      </w:r>
      <w:r w:rsidR="00FF41A0">
        <w:rPr>
          <w:bCs/>
          <w:sz w:val="20"/>
          <w:szCs w:val="20"/>
        </w:rPr>
        <w:t xml:space="preserve"> </w:t>
      </w:r>
      <w:r w:rsidR="00323457" w:rsidRPr="0059638B">
        <w:rPr>
          <w:bCs/>
          <w:sz w:val="20"/>
          <w:szCs w:val="20"/>
        </w:rPr>
        <w:t>Security.</w:t>
      </w:r>
    </w:p>
    <w:p w14:paraId="7ED455A7" w14:textId="7D8FC2F2" w:rsidR="00323457" w:rsidRPr="0059638B" w:rsidRDefault="00972F1E" w:rsidP="00323457">
      <w:pPr>
        <w:pStyle w:val="SingleTxtG"/>
        <w:rPr>
          <w:bCs/>
          <w:sz w:val="20"/>
          <w:szCs w:val="20"/>
        </w:rPr>
      </w:pPr>
      <w:r>
        <w:rPr>
          <w:bCs/>
          <w:sz w:val="20"/>
          <w:szCs w:val="20"/>
        </w:rPr>
        <w:t>607</w:t>
      </w:r>
      <w:r w:rsidR="00D7475F">
        <w:rPr>
          <w:bCs/>
          <w:sz w:val="20"/>
          <w:szCs w:val="20"/>
        </w:rPr>
        <w:t>.</w:t>
      </w:r>
      <w:r w:rsidR="00D7475F">
        <w:rPr>
          <w:bCs/>
          <w:sz w:val="20"/>
          <w:szCs w:val="20"/>
        </w:rPr>
        <w:tab/>
      </w:r>
      <w:r w:rsidR="00323457" w:rsidRPr="0059638B">
        <w:rPr>
          <w:bCs/>
          <w:sz w:val="20"/>
          <w:szCs w:val="20"/>
        </w:rPr>
        <w:t>Belgium</w:t>
      </w:r>
      <w:r w:rsidR="00FF41A0">
        <w:rPr>
          <w:bCs/>
          <w:sz w:val="20"/>
          <w:szCs w:val="20"/>
        </w:rPr>
        <w:t xml:space="preserve"> </w:t>
      </w:r>
      <w:r w:rsidR="00323457" w:rsidRPr="0059638B">
        <w:rPr>
          <w:bCs/>
          <w:sz w:val="20"/>
          <w:szCs w:val="20"/>
        </w:rPr>
        <w:t>appreciated</w:t>
      </w:r>
      <w:r w:rsidR="00FF41A0">
        <w:rPr>
          <w:bCs/>
          <w:sz w:val="20"/>
          <w:szCs w:val="20"/>
        </w:rPr>
        <w:t xml:space="preserve"> </w:t>
      </w:r>
      <w:r w:rsidR="00323457" w:rsidRPr="0059638B">
        <w:rPr>
          <w:bCs/>
          <w:sz w:val="20"/>
          <w:szCs w:val="20"/>
        </w:rPr>
        <w:t>the</w:t>
      </w:r>
      <w:r w:rsidR="00FF41A0">
        <w:rPr>
          <w:bCs/>
          <w:sz w:val="20"/>
          <w:szCs w:val="20"/>
        </w:rPr>
        <w:t xml:space="preserve"> </w:t>
      </w:r>
      <w:r w:rsidR="00323457" w:rsidRPr="0059638B">
        <w:rPr>
          <w:bCs/>
          <w:sz w:val="20"/>
          <w:szCs w:val="20"/>
        </w:rPr>
        <w:t>efforts</w:t>
      </w:r>
      <w:r w:rsidR="00FF41A0">
        <w:rPr>
          <w:bCs/>
          <w:sz w:val="20"/>
          <w:szCs w:val="20"/>
        </w:rPr>
        <w:t xml:space="preserve"> </w:t>
      </w:r>
      <w:r w:rsidR="00323457" w:rsidRPr="0059638B">
        <w:rPr>
          <w:bCs/>
          <w:sz w:val="20"/>
          <w:szCs w:val="20"/>
        </w:rPr>
        <w:t>made</w:t>
      </w:r>
      <w:r w:rsidR="00FF41A0">
        <w:rPr>
          <w:bCs/>
          <w:sz w:val="20"/>
          <w:szCs w:val="20"/>
        </w:rPr>
        <w:t xml:space="preserve"> </w:t>
      </w:r>
      <w:r w:rsidR="00323457" w:rsidRPr="0059638B">
        <w:rPr>
          <w:bCs/>
          <w:sz w:val="20"/>
          <w:szCs w:val="20"/>
        </w:rPr>
        <w:t>by</w:t>
      </w:r>
      <w:r w:rsidR="00FF41A0">
        <w:rPr>
          <w:bCs/>
          <w:sz w:val="20"/>
          <w:szCs w:val="20"/>
        </w:rPr>
        <w:t xml:space="preserve"> </w:t>
      </w:r>
      <w:r w:rsidR="00323457" w:rsidRPr="0059638B">
        <w:rPr>
          <w:bCs/>
          <w:sz w:val="20"/>
          <w:szCs w:val="20"/>
        </w:rPr>
        <w:t>Jordan</w:t>
      </w:r>
      <w:r w:rsidR="00FF41A0">
        <w:rPr>
          <w:bCs/>
          <w:sz w:val="20"/>
          <w:szCs w:val="20"/>
        </w:rPr>
        <w:t xml:space="preserve"> </w:t>
      </w:r>
      <w:r w:rsidR="00323457" w:rsidRPr="0059638B">
        <w:rPr>
          <w:bCs/>
          <w:sz w:val="20"/>
          <w:szCs w:val="20"/>
        </w:rPr>
        <w:t>in</w:t>
      </w:r>
      <w:r w:rsidR="00FF41A0">
        <w:rPr>
          <w:bCs/>
          <w:sz w:val="20"/>
          <w:szCs w:val="20"/>
        </w:rPr>
        <w:t xml:space="preserve"> </w:t>
      </w:r>
      <w:r w:rsidR="00323457" w:rsidRPr="0059638B">
        <w:rPr>
          <w:bCs/>
          <w:sz w:val="20"/>
          <w:szCs w:val="20"/>
        </w:rPr>
        <w:t>implementing</w:t>
      </w:r>
      <w:r w:rsidR="00FF41A0">
        <w:rPr>
          <w:bCs/>
          <w:sz w:val="20"/>
          <w:szCs w:val="20"/>
        </w:rPr>
        <w:t xml:space="preserve"> </w:t>
      </w:r>
      <w:r w:rsidR="00323457" w:rsidRPr="0059638B">
        <w:rPr>
          <w:bCs/>
          <w:sz w:val="20"/>
          <w:szCs w:val="20"/>
        </w:rPr>
        <w:t>previous</w:t>
      </w:r>
      <w:r w:rsidR="00FF41A0">
        <w:rPr>
          <w:bCs/>
          <w:sz w:val="20"/>
          <w:szCs w:val="20"/>
        </w:rPr>
        <w:t xml:space="preserve"> </w:t>
      </w:r>
      <w:r w:rsidR="00323457" w:rsidRPr="0059638B">
        <w:rPr>
          <w:bCs/>
          <w:sz w:val="20"/>
          <w:szCs w:val="20"/>
        </w:rPr>
        <w:t>recommendations.</w:t>
      </w:r>
      <w:r w:rsidR="00FF41A0">
        <w:rPr>
          <w:bCs/>
          <w:sz w:val="20"/>
          <w:szCs w:val="20"/>
        </w:rPr>
        <w:t xml:space="preserve"> </w:t>
      </w:r>
      <w:r w:rsidR="00323457" w:rsidRPr="0059638B">
        <w:rPr>
          <w:bCs/>
          <w:sz w:val="20"/>
          <w:szCs w:val="20"/>
        </w:rPr>
        <w:t>It</w:t>
      </w:r>
      <w:r w:rsidR="00FF41A0">
        <w:rPr>
          <w:bCs/>
          <w:sz w:val="20"/>
          <w:szCs w:val="20"/>
        </w:rPr>
        <w:t xml:space="preserve"> </w:t>
      </w:r>
      <w:r w:rsidR="00323457" w:rsidRPr="0059638B">
        <w:rPr>
          <w:bCs/>
          <w:sz w:val="20"/>
          <w:szCs w:val="20"/>
        </w:rPr>
        <w:t>noted</w:t>
      </w:r>
      <w:r w:rsidR="00FF41A0">
        <w:rPr>
          <w:bCs/>
          <w:sz w:val="20"/>
          <w:szCs w:val="20"/>
        </w:rPr>
        <w:t xml:space="preserve"> </w:t>
      </w:r>
      <w:r w:rsidR="00323457" w:rsidRPr="0059638B">
        <w:rPr>
          <w:bCs/>
          <w:sz w:val="20"/>
          <w:szCs w:val="20"/>
        </w:rPr>
        <w:t>that</w:t>
      </w:r>
      <w:r w:rsidR="00FF41A0">
        <w:rPr>
          <w:bCs/>
          <w:sz w:val="20"/>
          <w:szCs w:val="20"/>
        </w:rPr>
        <w:t xml:space="preserve"> </w:t>
      </w:r>
      <w:r w:rsidR="00323457" w:rsidRPr="0059638B">
        <w:rPr>
          <w:bCs/>
          <w:sz w:val="20"/>
          <w:szCs w:val="20"/>
        </w:rPr>
        <w:t>its</w:t>
      </w:r>
      <w:r w:rsidR="00FF41A0">
        <w:rPr>
          <w:bCs/>
          <w:sz w:val="20"/>
          <w:szCs w:val="20"/>
        </w:rPr>
        <w:t xml:space="preserve"> </w:t>
      </w:r>
      <w:r w:rsidR="00323457" w:rsidRPr="0059638B">
        <w:rPr>
          <w:bCs/>
          <w:sz w:val="20"/>
          <w:szCs w:val="20"/>
        </w:rPr>
        <w:t>recommendation</w:t>
      </w:r>
      <w:r w:rsidR="00FF41A0">
        <w:rPr>
          <w:bCs/>
          <w:sz w:val="20"/>
          <w:szCs w:val="20"/>
        </w:rPr>
        <w:t xml:space="preserve"> </w:t>
      </w:r>
      <w:r w:rsidR="00323457" w:rsidRPr="0059638B">
        <w:rPr>
          <w:bCs/>
          <w:sz w:val="20"/>
          <w:szCs w:val="20"/>
        </w:rPr>
        <w:t>on</w:t>
      </w:r>
      <w:r w:rsidR="00FF41A0">
        <w:rPr>
          <w:bCs/>
          <w:sz w:val="20"/>
          <w:szCs w:val="20"/>
        </w:rPr>
        <w:t xml:space="preserve"> </w:t>
      </w:r>
      <w:r w:rsidR="00323457" w:rsidRPr="0059638B">
        <w:rPr>
          <w:bCs/>
          <w:sz w:val="20"/>
          <w:szCs w:val="20"/>
        </w:rPr>
        <w:t>the</w:t>
      </w:r>
      <w:r w:rsidR="00FF41A0">
        <w:rPr>
          <w:bCs/>
          <w:sz w:val="20"/>
          <w:szCs w:val="20"/>
        </w:rPr>
        <w:t xml:space="preserve"> </w:t>
      </w:r>
      <w:r w:rsidR="00323457" w:rsidRPr="0059638B">
        <w:rPr>
          <w:bCs/>
          <w:sz w:val="20"/>
          <w:szCs w:val="20"/>
        </w:rPr>
        <w:t>harmonization</w:t>
      </w:r>
      <w:r w:rsidR="00FF41A0">
        <w:rPr>
          <w:bCs/>
          <w:sz w:val="20"/>
          <w:szCs w:val="20"/>
        </w:rPr>
        <w:t xml:space="preserve"> </w:t>
      </w:r>
      <w:r w:rsidR="00323457" w:rsidRPr="0059638B">
        <w:rPr>
          <w:bCs/>
          <w:sz w:val="20"/>
          <w:szCs w:val="20"/>
        </w:rPr>
        <w:t>of</w:t>
      </w:r>
      <w:r w:rsidR="00FF41A0">
        <w:rPr>
          <w:bCs/>
          <w:sz w:val="20"/>
          <w:szCs w:val="20"/>
        </w:rPr>
        <w:t xml:space="preserve"> </w:t>
      </w:r>
      <w:r w:rsidR="00323457" w:rsidRPr="0059638B">
        <w:rPr>
          <w:bCs/>
          <w:sz w:val="20"/>
          <w:szCs w:val="20"/>
        </w:rPr>
        <w:t>Jordan</w:t>
      </w:r>
      <w:r w:rsidR="00D72627">
        <w:rPr>
          <w:bCs/>
          <w:sz w:val="20"/>
          <w:szCs w:val="20"/>
        </w:rPr>
        <w:t>’</w:t>
      </w:r>
      <w:r w:rsidR="00323457" w:rsidRPr="0059638B">
        <w:rPr>
          <w:bCs/>
          <w:sz w:val="20"/>
          <w:szCs w:val="20"/>
        </w:rPr>
        <w:t>s</w:t>
      </w:r>
      <w:r w:rsidR="00FF41A0">
        <w:rPr>
          <w:bCs/>
          <w:sz w:val="20"/>
          <w:szCs w:val="20"/>
        </w:rPr>
        <w:t xml:space="preserve"> </w:t>
      </w:r>
      <w:r w:rsidR="00323457" w:rsidRPr="0059638B">
        <w:rPr>
          <w:bCs/>
          <w:sz w:val="20"/>
          <w:szCs w:val="20"/>
        </w:rPr>
        <w:t>anti-terrorist</w:t>
      </w:r>
      <w:r w:rsidR="00FF41A0">
        <w:rPr>
          <w:bCs/>
          <w:sz w:val="20"/>
          <w:szCs w:val="20"/>
        </w:rPr>
        <w:t xml:space="preserve"> </w:t>
      </w:r>
      <w:r w:rsidR="00323457" w:rsidRPr="0059638B">
        <w:rPr>
          <w:bCs/>
          <w:sz w:val="20"/>
          <w:szCs w:val="20"/>
        </w:rPr>
        <w:t>law</w:t>
      </w:r>
      <w:r w:rsidR="00FF41A0">
        <w:rPr>
          <w:bCs/>
          <w:sz w:val="20"/>
          <w:szCs w:val="20"/>
        </w:rPr>
        <w:t xml:space="preserve"> </w:t>
      </w:r>
      <w:r w:rsidR="00323457" w:rsidRPr="0059638B">
        <w:rPr>
          <w:bCs/>
          <w:sz w:val="20"/>
          <w:szCs w:val="20"/>
        </w:rPr>
        <w:t>in</w:t>
      </w:r>
      <w:r w:rsidR="00FF41A0">
        <w:rPr>
          <w:bCs/>
          <w:sz w:val="20"/>
          <w:szCs w:val="20"/>
        </w:rPr>
        <w:t xml:space="preserve"> </w:t>
      </w:r>
      <w:r w:rsidR="00323457" w:rsidRPr="0059638B">
        <w:rPr>
          <w:bCs/>
          <w:sz w:val="20"/>
          <w:szCs w:val="20"/>
        </w:rPr>
        <w:t>relation</w:t>
      </w:r>
      <w:r w:rsidR="00FF41A0">
        <w:rPr>
          <w:bCs/>
          <w:sz w:val="20"/>
          <w:szCs w:val="20"/>
        </w:rPr>
        <w:t xml:space="preserve"> </w:t>
      </w:r>
      <w:r w:rsidR="00323457" w:rsidRPr="0059638B">
        <w:rPr>
          <w:bCs/>
          <w:sz w:val="20"/>
          <w:szCs w:val="20"/>
        </w:rPr>
        <w:t>to</w:t>
      </w:r>
      <w:r w:rsidR="00FF41A0">
        <w:rPr>
          <w:bCs/>
          <w:sz w:val="20"/>
          <w:szCs w:val="20"/>
        </w:rPr>
        <w:t xml:space="preserve"> </w:t>
      </w:r>
      <w:r w:rsidR="00323457" w:rsidRPr="0059638B">
        <w:rPr>
          <w:bCs/>
          <w:sz w:val="20"/>
          <w:szCs w:val="20"/>
        </w:rPr>
        <w:t>the</w:t>
      </w:r>
      <w:r w:rsidR="00FF41A0">
        <w:rPr>
          <w:bCs/>
          <w:sz w:val="20"/>
          <w:szCs w:val="20"/>
        </w:rPr>
        <w:t xml:space="preserve"> </w:t>
      </w:r>
      <w:r w:rsidR="00323457" w:rsidRPr="0059638B">
        <w:rPr>
          <w:bCs/>
          <w:sz w:val="20"/>
          <w:szCs w:val="20"/>
        </w:rPr>
        <w:t>International</w:t>
      </w:r>
      <w:r w:rsidR="00FF41A0">
        <w:rPr>
          <w:bCs/>
          <w:sz w:val="20"/>
          <w:szCs w:val="20"/>
        </w:rPr>
        <w:t xml:space="preserve"> </w:t>
      </w:r>
      <w:r w:rsidR="00323457" w:rsidRPr="0059638B">
        <w:rPr>
          <w:bCs/>
          <w:sz w:val="20"/>
          <w:szCs w:val="20"/>
        </w:rPr>
        <w:t>Covenant</w:t>
      </w:r>
      <w:r w:rsidR="00FF41A0">
        <w:rPr>
          <w:bCs/>
          <w:sz w:val="20"/>
          <w:szCs w:val="20"/>
        </w:rPr>
        <w:t xml:space="preserve"> </w:t>
      </w:r>
      <w:r w:rsidR="00323457" w:rsidRPr="0059638B">
        <w:rPr>
          <w:bCs/>
          <w:sz w:val="20"/>
          <w:szCs w:val="20"/>
        </w:rPr>
        <w:t>on</w:t>
      </w:r>
      <w:r w:rsidR="00FF41A0">
        <w:rPr>
          <w:bCs/>
          <w:sz w:val="20"/>
          <w:szCs w:val="20"/>
        </w:rPr>
        <w:t xml:space="preserve"> </w:t>
      </w:r>
      <w:r w:rsidR="00323457" w:rsidRPr="0059638B">
        <w:rPr>
          <w:bCs/>
          <w:sz w:val="20"/>
          <w:szCs w:val="20"/>
        </w:rPr>
        <w:t>Civil</w:t>
      </w:r>
      <w:r w:rsidR="00FF41A0">
        <w:rPr>
          <w:bCs/>
          <w:sz w:val="20"/>
          <w:szCs w:val="20"/>
        </w:rPr>
        <w:t xml:space="preserve"> </w:t>
      </w:r>
      <w:r w:rsidR="00323457" w:rsidRPr="0059638B">
        <w:rPr>
          <w:bCs/>
          <w:sz w:val="20"/>
          <w:szCs w:val="20"/>
        </w:rPr>
        <w:t>and</w:t>
      </w:r>
      <w:r w:rsidR="00FF41A0">
        <w:rPr>
          <w:bCs/>
          <w:sz w:val="20"/>
          <w:szCs w:val="20"/>
        </w:rPr>
        <w:t xml:space="preserve"> </w:t>
      </w:r>
      <w:r w:rsidR="00323457" w:rsidRPr="0059638B">
        <w:rPr>
          <w:bCs/>
          <w:sz w:val="20"/>
          <w:szCs w:val="20"/>
        </w:rPr>
        <w:t>Political</w:t>
      </w:r>
      <w:r w:rsidR="00FF41A0">
        <w:rPr>
          <w:bCs/>
          <w:sz w:val="20"/>
          <w:szCs w:val="20"/>
        </w:rPr>
        <w:t xml:space="preserve"> </w:t>
      </w:r>
      <w:r w:rsidR="00323457" w:rsidRPr="0059638B">
        <w:rPr>
          <w:bCs/>
          <w:sz w:val="20"/>
          <w:szCs w:val="20"/>
        </w:rPr>
        <w:t>Rights</w:t>
      </w:r>
      <w:r w:rsidR="00FF41A0">
        <w:rPr>
          <w:bCs/>
          <w:sz w:val="20"/>
          <w:szCs w:val="20"/>
        </w:rPr>
        <w:t xml:space="preserve"> </w:t>
      </w:r>
      <w:r w:rsidR="00323457" w:rsidRPr="0059638B">
        <w:rPr>
          <w:bCs/>
          <w:sz w:val="20"/>
          <w:szCs w:val="20"/>
        </w:rPr>
        <w:t>dispositions</w:t>
      </w:r>
      <w:r w:rsidR="00FF41A0">
        <w:rPr>
          <w:bCs/>
          <w:sz w:val="20"/>
          <w:szCs w:val="20"/>
        </w:rPr>
        <w:t xml:space="preserve"> </w:t>
      </w:r>
      <w:r w:rsidR="00323457" w:rsidRPr="0059638B">
        <w:rPr>
          <w:bCs/>
          <w:sz w:val="20"/>
          <w:szCs w:val="20"/>
        </w:rPr>
        <w:t>has</w:t>
      </w:r>
      <w:r w:rsidR="00FF41A0">
        <w:rPr>
          <w:bCs/>
          <w:sz w:val="20"/>
          <w:szCs w:val="20"/>
        </w:rPr>
        <w:t xml:space="preserve"> </w:t>
      </w:r>
      <w:r w:rsidR="00323457" w:rsidRPr="0059638B">
        <w:rPr>
          <w:bCs/>
          <w:sz w:val="20"/>
          <w:szCs w:val="20"/>
        </w:rPr>
        <w:t>not</w:t>
      </w:r>
      <w:r w:rsidR="00FF41A0">
        <w:rPr>
          <w:bCs/>
          <w:sz w:val="20"/>
          <w:szCs w:val="20"/>
        </w:rPr>
        <w:t xml:space="preserve"> </w:t>
      </w:r>
      <w:r w:rsidR="00323457" w:rsidRPr="0059638B">
        <w:rPr>
          <w:bCs/>
          <w:sz w:val="20"/>
          <w:szCs w:val="20"/>
        </w:rPr>
        <w:t>been</w:t>
      </w:r>
      <w:r w:rsidR="00FF41A0">
        <w:rPr>
          <w:bCs/>
          <w:sz w:val="20"/>
          <w:szCs w:val="20"/>
        </w:rPr>
        <w:t xml:space="preserve"> </w:t>
      </w:r>
      <w:r w:rsidR="00323457" w:rsidRPr="0059638B">
        <w:rPr>
          <w:bCs/>
          <w:sz w:val="20"/>
          <w:szCs w:val="20"/>
        </w:rPr>
        <w:t>accepted</w:t>
      </w:r>
      <w:r w:rsidR="00FF41A0">
        <w:rPr>
          <w:bCs/>
          <w:sz w:val="20"/>
          <w:szCs w:val="20"/>
        </w:rPr>
        <w:t xml:space="preserve"> </w:t>
      </w:r>
      <w:r w:rsidR="00323457" w:rsidRPr="0059638B">
        <w:rPr>
          <w:bCs/>
          <w:sz w:val="20"/>
          <w:szCs w:val="20"/>
        </w:rPr>
        <w:t>and</w:t>
      </w:r>
      <w:r w:rsidR="00FF41A0">
        <w:rPr>
          <w:bCs/>
          <w:sz w:val="20"/>
          <w:szCs w:val="20"/>
        </w:rPr>
        <w:t xml:space="preserve"> </w:t>
      </w:r>
      <w:r w:rsidR="00323457" w:rsidRPr="0059638B">
        <w:rPr>
          <w:bCs/>
          <w:sz w:val="20"/>
          <w:szCs w:val="20"/>
        </w:rPr>
        <w:t>was</w:t>
      </w:r>
      <w:r w:rsidR="00FF41A0">
        <w:rPr>
          <w:bCs/>
          <w:sz w:val="20"/>
          <w:szCs w:val="20"/>
        </w:rPr>
        <w:t xml:space="preserve"> </w:t>
      </w:r>
      <w:r w:rsidR="00323457" w:rsidRPr="0059638B">
        <w:rPr>
          <w:bCs/>
          <w:sz w:val="20"/>
          <w:szCs w:val="20"/>
        </w:rPr>
        <w:t>considered</w:t>
      </w:r>
      <w:r w:rsidR="00FF41A0">
        <w:rPr>
          <w:bCs/>
          <w:sz w:val="20"/>
          <w:szCs w:val="20"/>
        </w:rPr>
        <w:t xml:space="preserve"> </w:t>
      </w:r>
      <w:r w:rsidR="00323457" w:rsidRPr="0059638B">
        <w:rPr>
          <w:bCs/>
          <w:sz w:val="20"/>
          <w:szCs w:val="20"/>
        </w:rPr>
        <w:t>as</w:t>
      </w:r>
      <w:r w:rsidR="00FF41A0">
        <w:rPr>
          <w:bCs/>
          <w:sz w:val="20"/>
          <w:szCs w:val="20"/>
        </w:rPr>
        <w:t xml:space="preserve"> </w:t>
      </w:r>
      <w:r w:rsidR="00323457" w:rsidRPr="0059638B">
        <w:rPr>
          <w:bCs/>
          <w:sz w:val="20"/>
          <w:szCs w:val="20"/>
        </w:rPr>
        <w:t>already</w:t>
      </w:r>
      <w:r w:rsidR="00FF41A0">
        <w:rPr>
          <w:bCs/>
          <w:sz w:val="20"/>
          <w:szCs w:val="20"/>
        </w:rPr>
        <w:t xml:space="preserve"> </w:t>
      </w:r>
      <w:r w:rsidR="00323457" w:rsidRPr="0059638B">
        <w:rPr>
          <w:bCs/>
          <w:sz w:val="20"/>
          <w:szCs w:val="20"/>
        </w:rPr>
        <w:t>being</w:t>
      </w:r>
      <w:r w:rsidR="00FF41A0">
        <w:rPr>
          <w:bCs/>
          <w:sz w:val="20"/>
          <w:szCs w:val="20"/>
        </w:rPr>
        <w:t xml:space="preserve"> </w:t>
      </w:r>
      <w:r w:rsidR="00323457" w:rsidRPr="0059638B">
        <w:rPr>
          <w:bCs/>
          <w:sz w:val="20"/>
          <w:szCs w:val="20"/>
        </w:rPr>
        <w:t>implemented</w:t>
      </w:r>
      <w:r w:rsidR="00FF41A0">
        <w:rPr>
          <w:bCs/>
          <w:sz w:val="20"/>
          <w:szCs w:val="20"/>
        </w:rPr>
        <w:t xml:space="preserve"> </w:t>
      </w:r>
      <w:r w:rsidR="00323457" w:rsidRPr="0059638B">
        <w:rPr>
          <w:bCs/>
          <w:sz w:val="20"/>
          <w:szCs w:val="20"/>
        </w:rPr>
        <w:t>by</w:t>
      </w:r>
      <w:r w:rsidR="00FF41A0">
        <w:rPr>
          <w:bCs/>
          <w:sz w:val="20"/>
          <w:szCs w:val="20"/>
        </w:rPr>
        <w:t xml:space="preserve"> </w:t>
      </w:r>
      <w:r w:rsidR="00323457" w:rsidRPr="0059638B">
        <w:rPr>
          <w:bCs/>
          <w:sz w:val="20"/>
          <w:szCs w:val="20"/>
        </w:rPr>
        <w:t>Jordan.</w:t>
      </w:r>
      <w:r w:rsidR="00FF41A0">
        <w:rPr>
          <w:bCs/>
          <w:sz w:val="20"/>
          <w:szCs w:val="20"/>
        </w:rPr>
        <w:t xml:space="preserve"> </w:t>
      </w:r>
      <w:r w:rsidR="00323457" w:rsidRPr="0059638B">
        <w:rPr>
          <w:bCs/>
          <w:sz w:val="20"/>
          <w:szCs w:val="20"/>
        </w:rPr>
        <w:t>It</w:t>
      </w:r>
      <w:r w:rsidR="00FF41A0">
        <w:rPr>
          <w:bCs/>
          <w:sz w:val="20"/>
          <w:szCs w:val="20"/>
        </w:rPr>
        <w:t xml:space="preserve"> </w:t>
      </w:r>
      <w:r w:rsidR="00323457" w:rsidRPr="0059638B">
        <w:rPr>
          <w:bCs/>
          <w:sz w:val="20"/>
          <w:szCs w:val="20"/>
        </w:rPr>
        <w:t>has</w:t>
      </w:r>
      <w:r w:rsidR="00FF41A0">
        <w:rPr>
          <w:bCs/>
          <w:sz w:val="20"/>
          <w:szCs w:val="20"/>
        </w:rPr>
        <w:t xml:space="preserve"> </w:t>
      </w:r>
      <w:r w:rsidR="00323457" w:rsidRPr="0059638B">
        <w:rPr>
          <w:bCs/>
          <w:sz w:val="20"/>
          <w:szCs w:val="20"/>
        </w:rPr>
        <w:t>also</w:t>
      </w:r>
      <w:r w:rsidR="00FF41A0">
        <w:rPr>
          <w:bCs/>
          <w:sz w:val="20"/>
          <w:szCs w:val="20"/>
        </w:rPr>
        <w:t xml:space="preserve"> </w:t>
      </w:r>
      <w:r w:rsidR="00323457" w:rsidRPr="0059638B">
        <w:rPr>
          <w:bCs/>
          <w:sz w:val="20"/>
          <w:szCs w:val="20"/>
        </w:rPr>
        <w:t>noted</w:t>
      </w:r>
      <w:r w:rsidR="00FF41A0">
        <w:rPr>
          <w:bCs/>
          <w:sz w:val="20"/>
          <w:szCs w:val="20"/>
        </w:rPr>
        <w:t xml:space="preserve"> </w:t>
      </w:r>
      <w:r w:rsidR="00323457" w:rsidRPr="0059638B">
        <w:rPr>
          <w:bCs/>
          <w:sz w:val="20"/>
          <w:szCs w:val="20"/>
        </w:rPr>
        <w:t>that</w:t>
      </w:r>
      <w:r w:rsidR="00FF41A0">
        <w:rPr>
          <w:bCs/>
          <w:sz w:val="20"/>
          <w:szCs w:val="20"/>
        </w:rPr>
        <w:t xml:space="preserve"> </w:t>
      </w:r>
      <w:r w:rsidR="00323457" w:rsidRPr="0059638B">
        <w:rPr>
          <w:bCs/>
          <w:sz w:val="20"/>
          <w:szCs w:val="20"/>
        </w:rPr>
        <w:t>two</w:t>
      </w:r>
      <w:r w:rsidR="00FF41A0">
        <w:rPr>
          <w:bCs/>
          <w:sz w:val="20"/>
          <w:szCs w:val="20"/>
        </w:rPr>
        <w:t xml:space="preserve"> </w:t>
      </w:r>
      <w:r w:rsidR="00323457" w:rsidRPr="0059638B">
        <w:rPr>
          <w:bCs/>
          <w:sz w:val="20"/>
          <w:szCs w:val="20"/>
        </w:rPr>
        <w:t>other</w:t>
      </w:r>
      <w:r w:rsidR="00FF41A0">
        <w:rPr>
          <w:bCs/>
          <w:sz w:val="20"/>
          <w:szCs w:val="20"/>
        </w:rPr>
        <w:t xml:space="preserve"> </w:t>
      </w:r>
      <w:r w:rsidR="00323457" w:rsidRPr="0059638B">
        <w:rPr>
          <w:bCs/>
          <w:sz w:val="20"/>
          <w:szCs w:val="20"/>
        </w:rPr>
        <w:t>recommendations,</w:t>
      </w:r>
      <w:r w:rsidR="00FF41A0">
        <w:rPr>
          <w:bCs/>
          <w:sz w:val="20"/>
          <w:szCs w:val="20"/>
        </w:rPr>
        <w:t xml:space="preserve"> </w:t>
      </w:r>
      <w:r w:rsidR="00323457" w:rsidRPr="0059638B">
        <w:rPr>
          <w:bCs/>
          <w:sz w:val="20"/>
          <w:szCs w:val="20"/>
        </w:rPr>
        <w:t>one</w:t>
      </w:r>
      <w:r w:rsidR="00FF41A0">
        <w:rPr>
          <w:bCs/>
          <w:sz w:val="20"/>
          <w:szCs w:val="20"/>
        </w:rPr>
        <w:t xml:space="preserve"> </w:t>
      </w:r>
      <w:r w:rsidR="00323457" w:rsidRPr="0059638B">
        <w:rPr>
          <w:bCs/>
          <w:sz w:val="20"/>
          <w:szCs w:val="20"/>
        </w:rPr>
        <w:t>on</w:t>
      </w:r>
      <w:r w:rsidR="00FF41A0">
        <w:rPr>
          <w:bCs/>
          <w:sz w:val="20"/>
          <w:szCs w:val="20"/>
        </w:rPr>
        <w:t xml:space="preserve"> </w:t>
      </w:r>
      <w:r w:rsidR="00323457" w:rsidRPr="0059638B">
        <w:rPr>
          <w:bCs/>
          <w:sz w:val="20"/>
          <w:szCs w:val="20"/>
        </w:rPr>
        <w:t>early</w:t>
      </w:r>
      <w:r w:rsidR="00FF41A0">
        <w:rPr>
          <w:bCs/>
          <w:sz w:val="20"/>
          <w:szCs w:val="20"/>
        </w:rPr>
        <w:t xml:space="preserve"> </w:t>
      </w:r>
      <w:r w:rsidR="00323457" w:rsidRPr="0059638B">
        <w:rPr>
          <w:bCs/>
          <w:sz w:val="20"/>
          <w:szCs w:val="20"/>
        </w:rPr>
        <w:t>marriage</w:t>
      </w:r>
      <w:r w:rsidR="00FF41A0">
        <w:rPr>
          <w:bCs/>
          <w:sz w:val="20"/>
          <w:szCs w:val="20"/>
        </w:rPr>
        <w:t xml:space="preserve"> </w:t>
      </w:r>
      <w:r w:rsidR="00323457" w:rsidRPr="0059638B">
        <w:rPr>
          <w:bCs/>
          <w:sz w:val="20"/>
          <w:szCs w:val="20"/>
        </w:rPr>
        <w:t>and</w:t>
      </w:r>
      <w:r w:rsidR="00FF41A0">
        <w:rPr>
          <w:bCs/>
          <w:sz w:val="20"/>
          <w:szCs w:val="20"/>
        </w:rPr>
        <w:t xml:space="preserve"> </w:t>
      </w:r>
      <w:r w:rsidR="00323457" w:rsidRPr="0059638B">
        <w:rPr>
          <w:bCs/>
          <w:sz w:val="20"/>
          <w:szCs w:val="20"/>
        </w:rPr>
        <w:t>the</w:t>
      </w:r>
      <w:r w:rsidR="00FF41A0">
        <w:rPr>
          <w:bCs/>
          <w:sz w:val="20"/>
          <w:szCs w:val="20"/>
        </w:rPr>
        <w:t xml:space="preserve"> </w:t>
      </w:r>
      <w:r w:rsidR="00323457" w:rsidRPr="0059638B">
        <w:rPr>
          <w:bCs/>
          <w:sz w:val="20"/>
          <w:szCs w:val="20"/>
        </w:rPr>
        <w:t>other</w:t>
      </w:r>
      <w:r w:rsidR="00FF41A0">
        <w:rPr>
          <w:bCs/>
          <w:sz w:val="20"/>
          <w:szCs w:val="20"/>
        </w:rPr>
        <w:t xml:space="preserve"> </w:t>
      </w:r>
      <w:r w:rsidR="00323457" w:rsidRPr="0059638B">
        <w:rPr>
          <w:bCs/>
          <w:sz w:val="20"/>
          <w:szCs w:val="20"/>
        </w:rPr>
        <w:t>on</w:t>
      </w:r>
      <w:r w:rsidR="00FF41A0">
        <w:rPr>
          <w:bCs/>
          <w:sz w:val="20"/>
          <w:szCs w:val="20"/>
        </w:rPr>
        <w:t xml:space="preserve"> </w:t>
      </w:r>
      <w:r w:rsidR="00323457" w:rsidRPr="0059638B">
        <w:rPr>
          <w:bCs/>
          <w:sz w:val="20"/>
          <w:szCs w:val="20"/>
        </w:rPr>
        <w:t>equal</w:t>
      </w:r>
      <w:r w:rsidR="00FF41A0">
        <w:rPr>
          <w:bCs/>
          <w:sz w:val="20"/>
          <w:szCs w:val="20"/>
        </w:rPr>
        <w:t xml:space="preserve"> </w:t>
      </w:r>
      <w:r w:rsidR="00323457" w:rsidRPr="0059638B">
        <w:rPr>
          <w:bCs/>
          <w:sz w:val="20"/>
          <w:szCs w:val="20"/>
        </w:rPr>
        <w:t>responsibilities</w:t>
      </w:r>
      <w:r w:rsidR="00FF41A0">
        <w:rPr>
          <w:bCs/>
          <w:sz w:val="20"/>
          <w:szCs w:val="20"/>
        </w:rPr>
        <w:t xml:space="preserve"> </w:t>
      </w:r>
      <w:r w:rsidR="00323457" w:rsidRPr="0059638B">
        <w:rPr>
          <w:bCs/>
          <w:sz w:val="20"/>
          <w:szCs w:val="20"/>
        </w:rPr>
        <w:t>of</w:t>
      </w:r>
      <w:r w:rsidR="00FF41A0">
        <w:rPr>
          <w:bCs/>
          <w:sz w:val="20"/>
          <w:szCs w:val="20"/>
        </w:rPr>
        <w:t xml:space="preserve"> </w:t>
      </w:r>
      <w:r w:rsidR="00323457" w:rsidRPr="0059638B">
        <w:rPr>
          <w:bCs/>
          <w:sz w:val="20"/>
          <w:szCs w:val="20"/>
        </w:rPr>
        <w:t>men</w:t>
      </w:r>
      <w:r w:rsidR="00FF41A0">
        <w:rPr>
          <w:bCs/>
          <w:sz w:val="20"/>
          <w:szCs w:val="20"/>
        </w:rPr>
        <w:t xml:space="preserve"> </w:t>
      </w:r>
      <w:r w:rsidR="00323457" w:rsidRPr="0059638B">
        <w:rPr>
          <w:bCs/>
          <w:sz w:val="20"/>
          <w:szCs w:val="20"/>
        </w:rPr>
        <w:t>and</w:t>
      </w:r>
      <w:r w:rsidR="00FF41A0">
        <w:rPr>
          <w:bCs/>
          <w:sz w:val="20"/>
          <w:szCs w:val="20"/>
        </w:rPr>
        <w:t xml:space="preserve"> </w:t>
      </w:r>
      <w:r w:rsidR="00323457" w:rsidRPr="0059638B">
        <w:rPr>
          <w:bCs/>
          <w:sz w:val="20"/>
          <w:szCs w:val="20"/>
        </w:rPr>
        <w:t>women</w:t>
      </w:r>
      <w:r w:rsidR="00FF41A0">
        <w:rPr>
          <w:bCs/>
          <w:sz w:val="20"/>
          <w:szCs w:val="20"/>
        </w:rPr>
        <w:t xml:space="preserve"> </w:t>
      </w:r>
      <w:r w:rsidR="00323457" w:rsidRPr="0059638B">
        <w:rPr>
          <w:bCs/>
          <w:sz w:val="20"/>
          <w:szCs w:val="20"/>
        </w:rPr>
        <w:t>in</w:t>
      </w:r>
      <w:r w:rsidR="00FF41A0">
        <w:rPr>
          <w:bCs/>
          <w:sz w:val="20"/>
          <w:szCs w:val="20"/>
        </w:rPr>
        <w:t xml:space="preserve"> </w:t>
      </w:r>
      <w:r w:rsidR="00323457" w:rsidRPr="0059638B">
        <w:rPr>
          <w:bCs/>
          <w:sz w:val="20"/>
          <w:szCs w:val="20"/>
        </w:rPr>
        <w:t>children</w:t>
      </w:r>
      <w:r w:rsidR="00FF41A0">
        <w:rPr>
          <w:bCs/>
          <w:sz w:val="20"/>
          <w:szCs w:val="20"/>
        </w:rPr>
        <w:t xml:space="preserve"> </w:t>
      </w:r>
      <w:r w:rsidR="00323457" w:rsidRPr="0059638B">
        <w:rPr>
          <w:bCs/>
          <w:sz w:val="20"/>
          <w:szCs w:val="20"/>
        </w:rPr>
        <w:t>education,</w:t>
      </w:r>
      <w:r w:rsidR="00FF41A0">
        <w:rPr>
          <w:bCs/>
          <w:sz w:val="20"/>
          <w:szCs w:val="20"/>
        </w:rPr>
        <w:t xml:space="preserve"> </w:t>
      </w:r>
      <w:r w:rsidR="00323457" w:rsidRPr="0059638B">
        <w:rPr>
          <w:bCs/>
          <w:sz w:val="20"/>
          <w:szCs w:val="20"/>
        </w:rPr>
        <w:t>have</w:t>
      </w:r>
      <w:r w:rsidR="00FF41A0">
        <w:rPr>
          <w:bCs/>
          <w:sz w:val="20"/>
          <w:szCs w:val="20"/>
        </w:rPr>
        <w:t xml:space="preserve"> </w:t>
      </w:r>
      <w:r w:rsidR="00323457" w:rsidRPr="0059638B">
        <w:rPr>
          <w:bCs/>
          <w:sz w:val="20"/>
          <w:szCs w:val="20"/>
        </w:rPr>
        <w:t>not</w:t>
      </w:r>
      <w:r w:rsidR="00FF41A0">
        <w:rPr>
          <w:bCs/>
          <w:sz w:val="20"/>
          <w:szCs w:val="20"/>
        </w:rPr>
        <w:t xml:space="preserve"> </w:t>
      </w:r>
      <w:r w:rsidR="00323457" w:rsidRPr="0059638B">
        <w:rPr>
          <w:bCs/>
          <w:sz w:val="20"/>
          <w:szCs w:val="20"/>
        </w:rPr>
        <w:t>been</w:t>
      </w:r>
      <w:r w:rsidR="00FF41A0">
        <w:rPr>
          <w:bCs/>
          <w:sz w:val="20"/>
          <w:szCs w:val="20"/>
        </w:rPr>
        <w:t xml:space="preserve"> </w:t>
      </w:r>
      <w:r w:rsidR="00323457" w:rsidRPr="0059638B">
        <w:rPr>
          <w:bCs/>
          <w:sz w:val="20"/>
          <w:szCs w:val="20"/>
        </w:rPr>
        <w:t>accepted.</w:t>
      </w:r>
      <w:r w:rsidR="00FF41A0">
        <w:rPr>
          <w:bCs/>
          <w:sz w:val="20"/>
          <w:szCs w:val="20"/>
        </w:rPr>
        <w:t xml:space="preserve"> </w:t>
      </w:r>
      <w:r w:rsidR="00323457" w:rsidRPr="0059638B">
        <w:rPr>
          <w:bCs/>
          <w:sz w:val="20"/>
          <w:szCs w:val="20"/>
        </w:rPr>
        <w:t>Belgium</w:t>
      </w:r>
      <w:r w:rsidR="00FF41A0">
        <w:rPr>
          <w:bCs/>
          <w:sz w:val="20"/>
          <w:szCs w:val="20"/>
        </w:rPr>
        <w:t xml:space="preserve"> </w:t>
      </w:r>
      <w:r w:rsidR="00323457" w:rsidRPr="0059638B">
        <w:rPr>
          <w:bCs/>
          <w:sz w:val="20"/>
          <w:szCs w:val="20"/>
        </w:rPr>
        <w:t>considers</w:t>
      </w:r>
      <w:r w:rsidR="00FF41A0">
        <w:rPr>
          <w:bCs/>
          <w:sz w:val="20"/>
          <w:szCs w:val="20"/>
        </w:rPr>
        <w:t xml:space="preserve"> </w:t>
      </w:r>
      <w:r w:rsidR="00323457" w:rsidRPr="0059638B">
        <w:rPr>
          <w:bCs/>
          <w:sz w:val="20"/>
          <w:szCs w:val="20"/>
        </w:rPr>
        <w:t>that</w:t>
      </w:r>
      <w:r w:rsidR="00FF41A0">
        <w:rPr>
          <w:bCs/>
          <w:sz w:val="20"/>
          <w:szCs w:val="20"/>
        </w:rPr>
        <w:t xml:space="preserve"> </w:t>
      </w:r>
      <w:r w:rsidR="00323457" w:rsidRPr="0059638B">
        <w:rPr>
          <w:bCs/>
          <w:sz w:val="20"/>
          <w:szCs w:val="20"/>
        </w:rPr>
        <w:t>these</w:t>
      </w:r>
      <w:r w:rsidR="00FF41A0">
        <w:rPr>
          <w:bCs/>
          <w:sz w:val="20"/>
          <w:szCs w:val="20"/>
        </w:rPr>
        <w:t xml:space="preserve"> </w:t>
      </w:r>
      <w:r w:rsidR="00323457" w:rsidRPr="0059638B">
        <w:rPr>
          <w:bCs/>
          <w:sz w:val="20"/>
          <w:szCs w:val="20"/>
        </w:rPr>
        <w:t>recommendations</w:t>
      </w:r>
      <w:r w:rsidR="00FF41A0">
        <w:rPr>
          <w:bCs/>
          <w:sz w:val="20"/>
          <w:szCs w:val="20"/>
        </w:rPr>
        <w:t xml:space="preserve"> </w:t>
      </w:r>
      <w:r w:rsidR="00323457" w:rsidRPr="0059638B">
        <w:rPr>
          <w:bCs/>
          <w:sz w:val="20"/>
          <w:szCs w:val="20"/>
        </w:rPr>
        <w:t>should</w:t>
      </w:r>
      <w:r w:rsidR="00FF41A0">
        <w:rPr>
          <w:bCs/>
          <w:sz w:val="20"/>
          <w:szCs w:val="20"/>
        </w:rPr>
        <w:t xml:space="preserve"> </w:t>
      </w:r>
      <w:r w:rsidR="00323457" w:rsidRPr="0059638B">
        <w:rPr>
          <w:bCs/>
          <w:sz w:val="20"/>
          <w:szCs w:val="20"/>
        </w:rPr>
        <w:t>be</w:t>
      </w:r>
      <w:r w:rsidR="00FF41A0">
        <w:rPr>
          <w:bCs/>
          <w:sz w:val="20"/>
          <w:szCs w:val="20"/>
        </w:rPr>
        <w:t xml:space="preserve"> </w:t>
      </w:r>
      <w:r w:rsidR="00323457" w:rsidRPr="0059638B">
        <w:rPr>
          <w:bCs/>
          <w:sz w:val="20"/>
          <w:szCs w:val="20"/>
        </w:rPr>
        <w:t>further</w:t>
      </w:r>
      <w:r w:rsidR="00FF41A0">
        <w:rPr>
          <w:bCs/>
          <w:sz w:val="20"/>
          <w:szCs w:val="20"/>
        </w:rPr>
        <w:t xml:space="preserve"> </w:t>
      </w:r>
      <w:r w:rsidR="00323457" w:rsidRPr="0059638B">
        <w:rPr>
          <w:bCs/>
          <w:sz w:val="20"/>
          <w:szCs w:val="20"/>
        </w:rPr>
        <w:t>examined.</w:t>
      </w:r>
      <w:r w:rsidR="00FF41A0">
        <w:rPr>
          <w:bCs/>
          <w:sz w:val="20"/>
          <w:szCs w:val="20"/>
        </w:rPr>
        <w:t xml:space="preserve"> </w:t>
      </w:r>
    </w:p>
    <w:p w14:paraId="5ACDD726" w14:textId="5E0DF27F" w:rsidR="00F2244D" w:rsidRDefault="00972F1E" w:rsidP="00F2244D">
      <w:pPr>
        <w:pStyle w:val="SingleTxtG"/>
        <w:rPr>
          <w:bCs/>
          <w:sz w:val="20"/>
          <w:szCs w:val="20"/>
        </w:rPr>
      </w:pPr>
      <w:r>
        <w:rPr>
          <w:bCs/>
          <w:sz w:val="20"/>
          <w:szCs w:val="20"/>
        </w:rPr>
        <w:t>608</w:t>
      </w:r>
      <w:r w:rsidR="00D7475F">
        <w:rPr>
          <w:bCs/>
          <w:sz w:val="20"/>
          <w:szCs w:val="20"/>
        </w:rPr>
        <w:t>.</w:t>
      </w:r>
      <w:r w:rsidR="00D7475F">
        <w:rPr>
          <w:bCs/>
          <w:sz w:val="20"/>
          <w:szCs w:val="20"/>
        </w:rPr>
        <w:tab/>
      </w:r>
      <w:r w:rsidR="00323457" w:rsidRPr="0059638B">
        <w:rPr>
          <w:bCs/>
          <w:sz w:val="20"/>
          <w:szCs w:val="20"/>
        </w:rPr>
        <w:t>Botswana</w:t>
      </w:r>
      <w:r w:rsidR="00FF41A0">
        <w:rPr>
          <w:bCs/>
          <w:sz w:val="20"/>
          <w:szCs w:val="20"/>
        </w:rPr>
        <w:t xml:space="preserve"> </w:t>
      </w:r>
      <w:r w:rsidR="00323457" w:rsidRPr="0059638B">
        <w:rPr>
          <w:bCs/>
          <w:sz w:val="20"/>
          <w:szCs w:val="20"/>
        </w:rPr>
        <w:t>welcomed</w:t>
      </w:r>
      <w:r w:rsidR="00FF41A0">
        <w:rPr>
          <w:bCs/>
          <w:sz w:val="20"/>
          <w:szCs w:val="20"/>
        </w:rPr>
        <w:t xml:space="preserve"> </w:t>
      </w:r>
      <w:r w:rsidR="00323457" w:rsidRPr="0059638B">
        <w:rPr>
          <w:bCs/>
          <w:sz w:val="20"/>
          <w:szCs w:val="20"/>
        </w:rPr>
        <w:t>the</w:t>
      </w:r>
      <w:r w:rsidR="00FF41A0">
        <w:rPr>
          <w:bCs/>
          <w:sz w:val="20"/>
          <w:szCs w:val="20"/>
        </w:rPr>
        <w:t xml:space="preserve"> </w:t>
      </w:r>
      <w:r w:rsidR="00323457" w:rsidRPr="0059638B">
        <w:rPr>
          <w:bCs/>
          <w:sz w:val="20"/>
          <w:szCs w:val="20"/>
        </w:rPr>
        <w:t>submission</w:t>
      </w:r>
      <w:r w:rsidR="00FF41A0">
        <w:rPr>
          <w:bCs/>
          <w:sz w:val="20"/>
          <w:szCs w:val="20"/>
        </w:rPr>
        <w:t xml:space="preserve"> </w:t>
      </w:r>
      <w:r w:rsidR="00323457" w:rsidRPr="0059638B">
        <w:rPr>
          <w:bCs/>
          <w:sz w:val="20"/>
          <w:szCs w:val="20"/>
        </w:rPr>
        <w:t>by</w:t>
      </w:r>
      <w:r w:rsidR="00FF41A0">
        <w:rPr>
          <w:bCs/>
          <w:sz w:val="20"/>
          <w:szCs w:val="20"/>
        </w:rPr>
        <w:t xml:space="preserve"> </w:t>
      </w:r>
      <w:r w:rsidR="00323457" w:rsidRPr="0059638B">
        <w:rPr>
          <w:bCs/>
          <w:sz w:val="20"/>
          <w:szCs w:val="20"/>
        </w:rPr>
        <w:t>Jordan</w:t>
      </w:r>
      <w:r w:rsidR="00FF41A0">
        <w:rPr>
          <w:bCs/>
          <w:sz w:val="20"/>
          <w:szCs w:val="20"/>
        </w:rPr>
        <w:t xml:space="preserve"> </w:t>
      </w:r>
      <w:r w:rsidR="00323457" w:rsidRPr="0059638B">
        <w:rPr>
          <w:bCs/>
          <w:sz w:val="20"/>
          <w:szCs w:val="20"/>
        </w:rPr>
        <w:t>of</w:t>
      </w:r>
      <w:r w:rsidR="00FF41A0">
        <w:rPr>
          <w:bCs/>
          <w:sz w:val="20"/>
          <w:szCs w:val="20"/>
        </w:rPr>
        <w:t xml:space="preserve"> </w:t>
      </w:r>
      <w:r w:rsidR="00323457" w:rsidRPr="0059638B">
        <w:rPr>
          <w:bCs/>
          <w:sz w:val="20"/>
          <w:szCs w:val="20"/>
        </w:rPr>
        <w:t>additional</w:t>
      </w:r>
      <w:r w:rsidR="00FF41A0">
        <w:rPr>
          <w:bCs/>
          <w:sz w:val="20"/>
          <w:szCs w:val="20"/>
        </w:rPr>
        <w:t xml:space="preserve"> </w:t>
      </w:r>
      <w:r w:rsidR="00323457" w:rsidRPr="0059638B">
        <w:rPr>
          <w:bCs/>
          <w:sz w:val="20"/>
          <w:szCs w:val="20"/>
        </w:rPr>
        <w:t>information</w:t>
      </w:r>
      <w:r w:rsidR="00FF41A0">
        <w:rPr>
          <w:bCs/>
          <w:sz w:val="20"/>
          <w:szCs w:val="20"/>
        </w:rPr>
        <w:t xml:space="preserve"> </w:t>
      </w:r>
      <w:r w:rsidR="00323457" w:rsidRPr="0059638B">
        <w:rPr>
          <w:bCs/>
          <w:sz w:val="20"/>
          <w:szCs w:val="20"/>
        </w:rPr>
        <w:t>and</w:t>
      </w:r>
      <w:r w:rsidR="00FF41A0">
        <w:rPr>
          <w:bCs/>
          <w:sz w:val="20"/>
          <w:szCs w:val="20"/>
        </w:rPr>
        <w:t xml:space="preserve"> </w:t>
      </w:r>
      <w:r w:rsidR="00323457" w:rsidRPr="0059638B">
        <w:rPr>
          <w:bCs/>
          <w:sz w:val="20"/>
          <w:szCs w:val="20"/>
        </w:rPr>
        <w:t>recognized</w:t>
      </w:r>
      <w:r w:rsidR="00FF41A0">
        <w:rPr>
          <w:bCs/>
          <w:sz w:val="20"/>
          <w:szCs w:val="20"/>
        </w:rPr>
        <w:t xml:space="preserve"> </w:t>
      </w:r>
      <w:r w:rsidR="00323457" w:rsidRPr="0059638B">
        <w:rPr>
          <w:bCs/>
          <w:sz w:val="20"/>
          <w:szCs w:val="20"/>
        </w:rPr>
        <w:t>the</w:t>
      </w:r>
      <w:r w:rsidR="00FF41A0">
        <w:rPr>
          <w:bCs/>
          <w:sz w:val="20"/>
          <w:szCs w:val="20"/>
        </w:rPr>
        <w:t xml:space="preserve"> </w:t>
      </w:r>
      <w:r w:rsidR="00323457" w:rsidRPr="0059638B">
        <w:rPr>
          <w:bCs/>
          <w:sz w:val="20"/>
          <w:szCs w:val="20"/>
        </w:rPr>
        <w:t>constitutional</w:t>
      </w:r>
      <w:r w:rsidR="00FF41A0">
        <w:rPr>
          <w:bCs/>
          <w:sz w:val="20"/>
          <w:szCs w:val="20"/>
        </w:rPr>
        <w:t xml:space="preserve"> </w:t>
      </w:r>
      <w:r w:rsidR="00323457" w:rsidRPr="0059638B">
        <w:rPr>
          <w:bCs/>
          <w:sz w:val="20"/>
          <w:szCs w:val="20"/>
        </w:rPr>
        <w:t>amendments</w:t>
      </w:r>
      <w:r w:rsidR="00FF41A0">
        <w:rPr>
          <w:bCs/>
          <w:sz w:val="20"/>
          <w:szCs w:val="20"/>
        </w:rPr>
        <w:t xml:space="preserve"> </w:t>
      </w:r>
      <w:r w:rsidR="00323457" w:rsidRPr="0059638B">
        <w:rPr>
          <w:bCs/>
          <w:sz w:val="20"/>
          <w:szCs w:val="20"/>
        </w:rPr>
        <w:t>that</w:t>
      </w:r>
      <w:r w:rsidR="00FF41A0">
        <w:rPr>
          <w:bCs/>
          <w:sz w:val="20"/>
          <w:szCs w:val="20"/>
        </w:rPr>
        <w:t xml:space="preserve"> </w:t>
      </w:r>
      <w:r w:rsidR="00323457" w:rsidRPr="0059638B">
        <w:rPr>
          <w:bCs/>
          <w:sz w:val="20"/>
          <w:szCs w:val="20"/>
        </w:rPr>
        <w:t>improved</w:t>
      </w:r>
      <w:r w:rsidR="00FF41A0">
        <w:rPr>
          <w:bCs/>
          <w:sz w:val="20"/>
          <w:szCs w:val="20"/>
        </w:rPr>
        <w:t xml:space="preserve"> </w:t>
      </w:r>
      <w:r w:rsidR="00323457" w:rsidRPr="0059638B">
        <w:rPr>
          <w:bCs/>
          <w:sz w:val="20"/>
          <w:szCs w:val="20"/>
        </w:rPr>
        <w:t>the</w:t>
      </w:r>
      <w:r w:rsidR="00FF41A0">
        <w:rPr>
          <w:bCs/>
          <w:sz w:val="20"/>
          <w:szCs w:val="20"/>
        </w:rPr>
        <w:t xml:space="preserve"> </w:t>
      </w:r>
      <w:r w:rsidR="00323457" w:rsidRPr="0059638B">
        <w:rPr>
          <w:bCs/>
          <w:sz w:val="20"/>
          <w:szCs w:val="20"/>
        </w:rPr>
        <w:t>independence</w:t>
      </w:r>
      <w:r w:rsidR="00FF41A0">
        <w:rPr>
          <w:bCs/>
          <w:sz w:val="20"/>
          <w:szCs w:val="20"/>
        </w:rPr>
        <w:t xml:space="preserve"> </w:t>
      </w:r>
      <w:r w:rsidR="00323457" w:rsidRPr="0059638B">
        <w:rPr>
          <w:bCs/>
          <w:sz w:val="20"/>
          <w:szCs w:val="20"/>
        </w:rPr>
        <w:t>of</w:t>
      </w:r>
      <w:r w:rsidR="00FF41A0">
        <w:rPr>
          <w:bCs/>
          <w:sz w:val="20"/>
          <w:szCs w:val="20"/>
        </w:rPr>
        <w:t xml:space="preserve"> </w:t>
      </w:r>
      <w:r w:rsidR="00323457" w:rsidRPr="0059638B">
        <w:rPr>
          <w:bCs/>
          <w:sz w:val="20"/>
          <w:szCs w:val="20"/>
        </w:rPr>
        <w:t>the</w:t>
      </w:r>
      <w:r w:rsidR="00FF41A0">
        <w:rPr>
          <w:bCs/>
          <w:sz w:val="20"/>
          <w:szCs w:val="20"/>
        </w:rPr>
        <w:t xml:space="preserve"> </w:t>
      </w:r>
      <w:r w:rsidR="00323457" w:rsidRPr="0059638B">
        <w:rPr>
          <w:bCs/>
          <w:sz w:val="20"/>
          <w:szCs w:val="20"/>
        </w:rPr>
        <w:t>judiciary</w:t>
      </w:r>
      <w:r w:rsidR="00FF41A0">
        <w:rPr>
          <w:bCs/>
          <w:sz w:val="20"/>
          <w:szCs w:val="20"/>
        </w:rPr>
        <w:t xml:space="preserve"> </w:t>
      </w:r>
      <w:r w:rsidR="00323457" w:rsidRPr="0059638B">
        <w:rPr>
          <w:bCs/>
          <w:sz w:val="20"/>
          <w:szCs w:val="20"/>
        </w:rPr>
        <w:t>and</w:t>
      </w:r>
      <w:r w:rsidR="00FF41A0">
        <w:rPr>
          <w:bCs/>
          <w:sz w:val="20"/>
          <w:szCs w:val="20"/>
        </w:rPr>
        <w:t xml:space="preserve"> </w:t>
      </w:r>
      <w:r w:rsidR="00323457" w:rsidRPr="0059638B">
        <w:rPr>
          <w:bCs/>
          <w:sz w:val="20"/>
          <w:szCs w:val="20"/>
        </w:rPr>
        <w:t>the</w:t>
      </w:r>
      <w:r w:rsidR="00FF41A0">
        <w:rPr>
          <w:bCs/>
          <w:sz w:val="20"/>
          <w:szCs w:val="20"/>
        </w:rPr>
        <w:t xml:space="preserve"> </w:t>
      </w:r>
      <w:r w:rsidR="00323457" w:rsidRPr="0059638B">
        <w:rPr>
          <w:bCs/>
          <w:sz w:val="20"/>
          <w:szCs w:val="20"/>
        </w:rPr>
        <w:t>adoption</w:t>
      </w:r>
      <w:r w:rsidR="00FF41A0">
        <w:rPr>
          <w:bCs/>
          <w:sz w:val="20"/>
          <w:szCs w:val="20"/>
        </w:rPr>
        <w:t xml:space="preserve"> </w:t>
      </w:r>
      <w:r w:rsidR="00323457" w:rsidRPr="0059638B">
        <w:rPr>
          <w:bCs/>
          <w:sz w:val="20"/>
          <w:szCs w:val="20"/>
        </w:rPr>
        <w:t>and</w:t>
      </w:r>
      <w:r w:rsidR="00FF41A0">
        <w:rPr>
          <w:bCs/>
          <w:sz w:val="20"/>
          <w:szCs w:val="20"/>
        </w:rPr>
        <w:t xml:space="preserve"> </w:t>
      </w:r>
      <w:r w:rsidR="00323457" w:rsidRPr="0059638B">
        <w:rPr>
          <w:bCs/>
          <w:sz w:val="20"/>
          <w:szCs w:val="20"/>
        </w:rPr>
        <w:t>implementation</w:t>
      </w:r>
      <w:r w:rsidR="00FF41A0">
        <w:rPr>
          <w:bCs/>
          <w:sz w:val="20"/>
          <w:szCs w:val="20"/>
        </w:rPr>
        <w:t xml:space="preserve"> </w:t>
      </w:r>
      <w:r w:rsidR="00323457" w:rsidRPr="0059638B">
        <w:rPr>
          <w:bCs/>
          <w:sz w:val="20"/>
          <w:szCs w:val="20"/>
        </w:rPr>
        <w:t>of</w:t>
      </w:r>
      <w:r w:rsidR="00FF41A0">
        <w:rPr>
          <w:bCs/>
          <w:sz w:val="20"/>
          <w:szCs w:val="20"/>
        </w:rPr>
        <w:t xml:space="preserve"> </w:t>
      </w:r>
      <w:r w:rsidR="00323457" w:rsidRPr="0059638B">
        <w:rPr>
          <w:bCs/>
          <w:sz w:val="20"/>
          <w:szCs w:val="20"/>
        </w:rPr>
        <w:t>the</w:t>
      </w:r>
      <w:r w:rsidR="00FF41A0">
        <w:rPr>
          <w:bCs/>
          <w:sz w:val="20"/>
          <w:szCs w:val="20"/>
        </w:rPr>
        <w:t xml:space="preserve"> </w:t>
      </w:r>
      <w:r w:rsidR="00323457" w:rsidRPr="0059638B">
        <w:rPr>
          <w:bCs/>
          <w:sz w:val="20"/>
          <w:szCs w:val="20"/>
        </w:rPr>
        <w:t>judicial</w:t>
      </w:r>
      <w:r w:rsidR="00FF41A0">
        <w:rPr>
          <w:bCs/>
          <w:sz w:val="20"/>
          <w:szCs w:val="20"/>
        </w:rPr>
        <w:t xml:space="preserve"> </w:t>
      </w:r>
      <w:r w:rsidR="00323457" w:rsidRPr="0059638B">
        <w:rPr>
          <w:bCs/>
          <w:sz w:val="20"/>
          <w:szCs w:val="20"/>
        </w:rPr>
        <w:t>strategy.</w:t>
      </w:r>
      <w:r w:rsidR="00FF41A0">
        <w:rPr>
          <w:bCs/>
          <w:sz w:val="20"/>
          <w:szCs w:val="20"/>
        </w:rPr>
        <w:t xml:space="preserve"> </w:t>
      </w:r>
      <w:r w:rsidR="00323457" w:rsidRPr="0059638B">
        <w:rPr>
          <w:bCs/>
          <w:sz w:val="20"/>
          <w:szCs w:val="20"/>
        </w:rPr>
        <w:t>Botswana</w:t>
      </w:r>
      <w:r w:rsidR="00FF41A0">
        <w:rPr>
          <w:bCs/>
          <w:sz w:val="20"/>
          <w:szCs w:val="20"/>
        </w:rPr>
        <w:t xml:space="preserve"> </w:t>
      </w:r>
      <w:r w:rsidR="00323457" w:rsidRPr="0059638B">
        <w:rPr>
          <w:bCs/>
          <w:sz w:val="20"/>
          <w:szCs w:val="20"/>
        </w:rPr>
        <w:t>also</w:t>
      </w:r>
      <w:r w:rsidR="00FF41A0">
        <w:rPr>
          <w:bCs/>
          <w:sz w:val="20"/>
          <w:szCs w:val="20"/>
        </w:rPr>
        <w:t xml:space="preserve"> </w:t>
      </w:r>
      <w:r w:rsidR="00323457" w:rsidRPr="0059638B">
        <w:rPr>
          <w:bCs/>
          <w:sz w:val="20"/>
          <w:szCs w:val="20"/>
        </w:rPr>
        <w:t>noted</w:t>
      </w:r>
      <w:r w:rsidR="00FF41A0">
        <w:rPr>
          <w:bCs/>
          <w:sz w:val="20"/>
          <w:szCs w:val="20"/>
        </w:rPr>
        <w:t xml:space="preserve"> </w:t>
      </w:r>
      <w:r w:rsidR="00323457" w:rsidRPr="0059638B">
        <w:rPr>
          <w:bCs/>
          <w:sz w:val="20"/>
          <w:szCs w:val="20"/>
        </w:rPr>
        <w:t>the</w:t>
      </w:r>
      <w:r w:rsidR="00FF41A0">
        <w:rPr>
          <w:bCs/>
          <w:sz w:val="20"/>
          <w:szCs w:val="20"/>
        </w:rPr>
        <w:t xml:space="preserve"> </w:t>
      </w:r>
      <w:r w:rsidR="00323457" w:rsidRPr="0059638B">
        <w:rPr>
          <w:bCs/>
          <w:sz w:val="20"/>
          <w:szCs w:val="20"/>
        </w:rPr>
        <w:t>legislative</w:t>
      </w:r>
      <w:r w:rsidR="00FF41A0">
        <w:rPr>
          <w:bCs/>
          <w:sz w:val="20"/>
          <w:szCs w:val="20"/>
        </w:rPr>
        <w:t xml:space="preserve"> </w:t>
      </w:r>
      <w:r w:rsidR="00323457" w:rsidRPr="0059638B">
        <w:rPr>
          <w:bCs/>
          <w:sz w:val="20"/>
          <w:szCs w:val="20"/>
        </w:rPr>
        <w:t>measures</w:t>
      </w:r>
      <w:r w:rsidR="00FF41A0">
        <w:rPr>
          <w:bCs/>
          <w:sz w:val="20"/>
          <w:szCs w:val="20"/>
        </w:rPr>
        <w:t xml:space="preserve"> </w:t>
      </w:r>
      <w:r w:rsidR="00323457" w:rsidRPr="0059638B">
        <w:rPr>
          <w:bCs/>
          <w:sz w:val="20"/>
          <w:szCs w:val="20"/>
        </w:rPr>
        <w:t>undertaken</w:t>
      </w:r>
      <w:r w:rsidR="00FF41A0">
        <w:rPr>
          <w:bCs/>
          <w:sz w:val="20"/>
          <w:szCs w:val="20"/>
        </w:rPr>
        <w:t xml:space="preserve"> </w:t>
      </w:r>
      <w:r w:rsidR="00323457" w:rsidRPr="0059638B">
        <w:rPr>
          <w:bCs/>
          <w:sz w:val="20"/>
          <w:szCs w:val="20"/>
        </w:rPr>
        <w:t>by</w:t>
      </w:r>
      <w:r w:rsidR="00FF41A0">
        <w:rPr>
          <w:bCs/>
          <w:sz w:val="20"/>
          <w:szCs w:val="20"/>
        </w:rPr>
        <w:t xml:space="preserve"> </w:t>
      </w:r>
      <w:r w:rsidR="00323457" w:rsidRPr="0059638B">
        <w:rPr>
          <w:bCs/>
          <w:sz w:val="20"/>
          <w:szCs w:val="20"/>
        </w:rPr>
        <w:t>Jordan</w:t>
      </w:r>
      <w:r w:rsidR="00FF41A0">
        <w:rPr>
          <w:bCs/>
          <w:sz w:val="20"/>
          <w:szCs w:val="20"/>
        </w:rPr>
        <w:t xml:space="preserve"> </w:t>
      </w:r>
      <w:r w:rsidR="00323457" w:rsidRPr="0059638B">
        <w:rPr>
          <w:bCs/>
          <w:sz w:val="20"/>
          <w:szCs w:val="20"/>
        </w:rPr>
        <w:t>for</w:t>
      </w:r>
      <w:r w:rsidR="00FF41A0">
        <w:rPr>
          <w:bCs/>
          <w:sz w:val="20"/>
          <w:szCs w:val="20"/>
        </w:rPr>
        <w:t xml:space="preserve"> </w:t>
      </w:r>
      <w:r w:rsidR="00323457" w:rsidRPr="0059638B">
        <w:rPr>
          <w:bCs/>
          <w:sz w:val="20"/>
          <w:szCs w:val="20"/>
        </w:rPr>
        <w:t>the</w:t>
      </w:r>
      <w:r w:rsidR="00FF41A0">
        <w:rPr>
          <w:bCs/>
          <w:sz w:val="20"/>
          <w:szCs w:val="20"/>
        </w:rPr>
        <w:t xml:space="preserve"> </w:t>
      </w:r>
      <w:r w:rsidR="00323457" w:rsidRPr="0059638B">
        <w:rPr>
          <w:bCs/>
          <w:sz w:val="20"/>
          <w:szCs w:val="20"/>
        </w:rPr>
        <w:t>safeguarding</w:t>
      </w:r>
      <w:r w:rsidR="00FF41A0">
        <w:rPr>
          <w:bCs/>
          <w:sz w:val="20"/>
          <w:szCs w:val="20"/>
        </w:rPr>
        <w:t xml:space="preserve"> </w:t>
      </w:r>
      <w:r w:rsidR="00323457" w:rsidRPr="0059638B">
        <w:rPr>
          <w:bCs/>
          <w:sz w:val="20"/>
          <w:szCs w:val="20"/>
        </w:rPr>
        <w:t>of</w:t>
      </w:r>
      <w:r w:rsidR="00FF41A0">
        <w:rPr>
          <w:bCs/>
          <w:sz w:val="20"/>
          <w:szCs w:val="20"/>
        </w:rPr>
        <w:t xml:space="preserve"> </w:t>
      </w:r>
      <w:r w:rsidR="00323457" w:rsidRPr="0059638B">
        <w:rPr>
          <w:bCs/>
          <w:sz w:val="20"/>
          <w:szCs w:val="20"/>
        </w:rPr>
        <w:t>human</w:t>
      </w:r>
      <w:r w:rsidR="00FF41A0">
        <w:rPr>
          <w:bCs/>
          <w:sz w:val="20"/>
          <w:szCs w:val="20"/>
        </w:rPr>
        <w:t xml:space="preserve"> </w:t>
      </w:r>
      <w:r w:rsidR="00323457" w:rsidRPr="0059638B">
        <w:rPr>
          <w:bCs/>
          <w:sz w:val="20"/>
          <w:szCs w:val="20"/>
        </w:rPr>
        <w:t>rights,</w:t>
      </w:r>
      <w:r w:rsidR="00FF41A0">
        <w:rPr>
          <w:bCs/>
          <w:sz w:val="20"/>
          <w:szCs w:val="20"/>
        </w:rPr>
        <w:t xml:space="preserve"> </w:t>
      </w:r>
      <w:r w:rsidR="00323457" w:rsidRPr="0059638B">
        <w:rPr>
          <w:bCs/>
          <w:sz w:val="20"/>
          <w:szCs w:val="20"/>
        </w:rPr>
        <w:t>including</w:t>
      </w:r>
      <w:r w:rsidR="00FF41A0">
        <w:rPr>
          <w:bCs/>
          <w:sz w:val="20"/>
          <w:szCs w:val="20"/>
        </w:rPr>
        <w:t xml:space="preserve"> </w:t>
      </w:r>
      <w:r w:rsidR="00323457" w:rsidRPr="0059638B">
        <w:rPr>
          <w:bCs/>
          <w:sz w:val="20"/>
          <w:szCs w:val="20"/>
        </w:rPr>
        <w:t>the</w:t>
      </w:r>
      <w:r w:rsidR="00FF41A0">
        <w:rPr>
          <w:bCs/>
          <w:sz w:val="20"/>
          <w:szCs w:val="20"/>
        </w:rPr>
        <w:t xml:space="preserve"> </w:t>
      </w:r>
      <w:r w:rsidR="00323457" w:rsidRPr="0059638B">
        <w:rPr>
          <w:bCs/>
          <w:sz w:val="20"/>
          <w:szCs w:val="20"/>
        </w:rPr>
        <w:t>enactment</w:t>
      </w:r>
      <w:r w:rsidR="00FF41A0">
        <w:rPr>
          <w:bCs/>
          <w:sz w:val="20"/>
          <w:szCs w:val="20"/>
        </w:rPr>
        <w:t xml:space="preserve"> </w:t>
      </w:r>
      <w:r w:rsidR="00323457" w:rsidRPr="0059638B">
        <w:rPr>
          <w:bCs/>
          <w:sz w:val="20"/>
          <w:szCs w:val="20"/>
        </w:rPr>
        <w:t>of</w:t>
      </w:r>
      <w:r w:rsidR="00FF41A0">
        <w:rPr>
          <w:bCs/>
          <w:sz w:val="20"/>
          <w:szCs w:val="20"/>
        </w:rPr>
        <w:t xml:space="preserve"> </w:t>
      </w:r>
      <w:r w:rsidR="00323457" w:rsidRPr="0059638B">
        <w:rPr>
          <w:bCs/>
          <w:sz w:val="20"/>
          <w:szCs w:val="20"/>
        </w:rPr>
        <w:t>the</w:t>
      </w:r>
      <w:r w:rsidR="00FF41A0">
        <w:rPr>
          <w:bCs/>
          <w:sz w:val="20"/>
          <w:szCs w:val="20"/>
        </w:rPr>
        <w:t xml:space="preserve"> </w:t>
      </w:r>
      <w:r w:rsidR="00323457" w:rsidRPr="0059638B">
        <w:rPr>
          <w:bCs/>
          <w:sz w:val="20"/>
          <w:szCs w:val="20"/>
        </w:rPr>
        <w:t>Comprehensive</w:t>
      </w:r>
      <w:r w:rsidR="00FF41A0">
        <w:rPr>
          <w:bCs/>
          <w:sz w:val="20"/>
          <w:szCs w:val="20"/>
        </w:rPr>
        <w:t xml:space="preserve"> </w:t>
      </w:r>
      <w:r w:rsidR="00323457" w:rsidRPr="0059638B">
        <w:rPr>
          <w:bCs/>
          <w:sz w:val="20"/>
          <w:szCs w:val="20"/>
        </w:rPr>
        <w:t>National</w:t>
      </w:r>
      <w:r w:rsidR="00FF41A0">
        <w:rPr>
          <w:bCs/>
          <w:sz w:val="20"/>
          <w:szCs w:val="20"/>
        </w:rPr>
        <w:t xml:space="preserve"> </w:t>
      </w:r>
      <w:r w:rsidR="00323457" w:rsidRPr="0059638B">
        <w:rPr>
          <w:bCs/>
          <w:sz w:val="20"/>
          <w:szCs w:val="20"/>
        </w:rPr>
        <w:t>Human</w:t>
      </w:r>
      <w:r w:rsidR="00FF41A0">
        <w:rPr>
          <w:bCs/>
          <w:sz w:val="20"/>
          <w:szCs w:val="20"/>
        </w:rPr>
        <w:t xml:space="preserve"> </w:t>
      </w:r>
      <w:r w:rsidR="00323457" w:rsidRPr="0059638B">
        <w:rPr>
          <w:bCs/>
          <w:sz w:val="20"/>
          <w:szCs w:val="20"/>
        </w:rPr>
        <w:t>Rights</w:t>
      </w:r>
      <w:r w:rsidR="00FF41A0">
        <w:rPr>
          <w:bCs/>
          <w:sz w:val="20"/>
          <w:szCs w:val="20"/>
        </w:rPr>
        <w:t xml:space="preserve"> </w:t>
      </w:r>
      <w:r w:rsidR="00323457" w:rsidRPr="0059638B">
        <w:rPr>
          <w:bCs/>
          <w:sz w:val="20"/>
          <w:szCs w:val="20"/>
        </w:rPr>
        <w:t>Plan</w:t>
      </w:r>
      <w:r w:rsidR="00FF41A0">
        <w:rPr>
          <w:bCs/>
          <w:sz w:val="20"/>
          <w:szCs w:val="20"/>
        </w:rPr>
        <w:t xml:space="preserve"> </w:t>
      </w:r>
      <w:r w:rsidR="00323457" w:rsidRPr="0059638B">
        <w:rPr>
          <w:bCs/>
          <w:sz w:val="20"/>
          <w:szCs w:val="20"/>
        </w:rPr>
        <w:t>2016-2025.</w:t>
      </w:r>
      <w:r w:rsidR="00FF41A0">
        <w:rPr>
          <w:bCs/>
          <w:sz w:val="20"/>
          <w:szCs w:val="20"/>
        </w:rPr>
        <w:t xml:space="preserve"> </w:t>
      </w:r>
      <w:r w:rsidR="00323457" w:rsidRPr="0059638B">
        <w:rPr>
          <w:bCs/>
          <w:sz w:val="20"/>
          <w:szCs w:val="20"/>
        </w:rPr>
        <w:t>Botswana</w:t>
      </w:r>
      <w:r w:rsidR="00FF41A0">
        <w:rPr>
          <w:bCs/>
          <w:sz w:val="20"/>
          <w:szCs w:val="20"/>
        </w:rPr>
        <w:t xml:space="preserve"> </w:t>
      </w:r>
      <w:r w:rsidR="00323457" w:rsidRPr="0059638B">
        <w:rPr>
          <w:bCs/>
          <w:sz w:val="20"/>
          <w:szCs w:val="20"/>
        </w:rPr>
        <w:t>expressed</w:t>
      </w:r>
      <w:r w:rsidR="00FF41A0">
        <w:rPr>
          <w:bCs/>
          <w:sz w:val="20"/>
          <w:szCs w:val="20"/>
        </w:rPr>
        <w:t xml:space="preserve"> </w:t>
      </w:r>
      <w:r w:rsidR="00323457" w:rsidRPr="0059638B">
        <w:rPr>
          <w:bCs/>
          <w:sz w:val="20"/>
          <w:szCs w:val="20"/>
        </w:rPr>
        <w:t>its</w:t>
      </w:r>
      <w:r w:rsidR="00FF41A0">
        <w:rPr>
          <w:bCs/>
          <w:sz w:val="20"/>
          <w:szCs w:val="20"/>
        </w:rPr>
        <w:t xml:space="preserve"> </w:t>
      </w:r>
      <w:r w:rsidR="00323457" w:rsidRPr="0059638B">
        <w:rPr>
          <w:bCs/>
          <w:sz w:val="20"/>
          <w:szCs w:val="20"/>
        </w:rPr>
        <w:t>appreciation</w:t>
      </w:r>
      <w:r w:rsidR="00FF41A0">
        <w:rPr>
          <w:bCs/>
          <w:sz w:val="20"/>
          <w:szCs w:val="20"/>
        </w:rPr>
        <w:t xml:space="preserve"> </w:t>
      </w:r>
      <w:r w:rsidR="00323457" w:rsidRPr="0059638B">
        <w:rPr>
          <w:bCs/>
          <w:sz w:val="20"/>
          <w:szCs w:val="20"/>
        </w:rPr>
        <w:t>for</w:t>
      </w:r>
      <w:r w:rsidR="00FF41A0">
        <w:rPr>
          <w:bCs/>
          <w:sz w:val="20"/>
          <w:szCs w:val="20"/>
        </w:rPr>
        <w:t xml:space="preserve"> </w:t>
      </w:r>
      <w:r w:rsidR="00323457" w:rsidRPr="0059638B">
        <w:rPr>
          <w:bCs/>
          <w:sz w:val="20"/>
          <w:szCs w:val="20"/>
        </w:rPr>
        <w:t>the</w:t>
      </w:r>
      <w:r w:rsidR="00FF41A0">
        <w:rPr>
          <w:bCs/>
          <w:sz w:val="20"/>
          <w:szCs w:val="20"/>
        </w:rPr>
        <w:t xml:space="preserve"> </w:t>
      </w:r>
      <w:r w:rsidR="00323457" w:rsidRPr="0059638B">
        <w:rPr>
          <w:bCs/>
          <w:sz w:val="20"/>
          <w:szCs w:val="20"/>
        </w:rPr>
        <w:t>acceptance</w:t>
      </w:r>
      <w:r w:rsidR="00FF41A0">
        <w:rPr>
          <w:bCs/>
          <w:sz w:val="20"/>
          <w:szCs w:val="20"/>
        </w:rPr>
        <w:t xml:space="preserve"> </w:t>
      </w:r>
      <w:r w:rsidR="00323457" w:rsidRPr="0059638B">
        <w:rPr>
          <w:bCs/>
          <w:sz w:val="20"/>
          <w:szCs w:val="20"/>
        </w:rPr>
        <w:t>by</w:t>
      </w:r>
      <w:r w:rsidR="00FF41A0">
        <w:rPr>
          <w:bCs/>
          <w:sz w:val="20"/>
          <w:szCs w:val="20"/>
        </w:rPr>
        <w:t xml:space="preserve"> </w:t>
      </w:r>
      <w:r w:rsidR="00323457" w:rsidRPr="0059638B">
        <w:rPr>
          <w:bCs/>
          <w:sz w:val="20"/>
          <w:szCs w:val="20"/>
        </w:rPr>
        <w:t>Jordan</w:t>
      </w:r>
      <w:r w:rsidR="00FF41A0">
        <w:rPr>
          <w:bCs/>
          <w:sz w:val="20"/>
          <w:szCs w:val="20"/>
        </w:rPr>
        <w:t xml:space="preserve"> </w:t>
      </w:r>
      <w:r w:rsidR="00323457" w:rsidRPr="0059638B">
        <w:rPr>
          <w:bCs/>
          <w:sz w:val="20"/>
          <w:szCs w:val="20"/>
        </w:rPr>
        <w:t>of</w:t>
      </w:r>
      <w:r w:rsidR="00FF41A0">
        <w:rPr>
          <w:bCs/>
          <w:sz w:val="20"/>
          <w:szCs w:val="20"/>
        </w:rPr>
        <w:t xml:space="preserve"> </w:t>
      </w:r>
      <w:r w:rsidR="00323457" w:rsidRPr="0059638B">
        <w:rPr>
          <w:bCs/>
          <w:sz w:val="20"/>
          <w:szCs w:val="20"/>
        </w:rPr>
        <w:t>two</w:t>
      </w:r>
      <w:r w:rsidR="00FF41A0">
        <w:rPr>
          <w:bCs/>
          <w:sz w:val="20"/>
          <w:szCs w:val="20"/>
        </w:rPr>
        <w:t xml:space="preserve"> </w:t>
      </w:r>
      <w:r w:rsidR="00323457" w:rsidRPr="0059638B">
        <w:rPr>
          <w:bCs/>
          <w:sz w:val="20"/>
          <w:szCs w:val="20"/>
        </w:rPr>
        <w:t>recommendations</w:t>
      </w:r>
      <w:r w:rsidR="00FF41A0">
        <w:rPr>
          <w:bCs/>
          <w:sz w:val="20"/>
          <w:szCs w:val="20"/>
        </w:rPr>
        <w:t xml:space="preserve"> </w:t>
      </w:r>
      <w:r w:rsidR="00323457" w:rsidRPr="0059638B">
        <w:rPr>
          <w:bCs/>
          <w:sz w:val="20"/>
          <w:szCs w:val="20"/>
        </w:rPr>
        <w:t>submitted</w:t>
      </w:r>
      <w:r w:rsidR="00FF41A0">
        <w:rPr>
          <w:bCs/>
          <w:sz w:val="20"/>
          <w:szCs w:val="20"/>
        </w:rPr>
        <w:t xml:space="preserve"> </w:t>
      </w:r>
      <w:r w:rsidR="00323457" w:rsidRPr="0059638B">
        <w:rPr>
          <w:bCs/>
          <w:sz w:val="20"/>
          <w:szCs w:val="20"/>
        </w:rPr>
        <w:t>by</w:t>
      </w:r>
      <w:r w:rsidR="00FF41A0">
        <w:rPr>
          <w:bCs/>
          <w:sz w:val="20"/>
          <w:szCs w:val="20"/>
        </w:rPr>
        <w:t xml:space="preserve"> </w:t>
      </w:r>
      <w:r w:rsidR="00323457" w:rsidRPr="0059638B">
        <w:rPr>
          <w:bCs/>
          <w:sz w:val="20"/>
          <w:szCs w:val="20"/>
        </w:rPr>
        <w:t>its</w:t>
      </w:r>
      <w:r w:rsidR="00FF41A0">
        <w:rPr>
          <w:bCs/>
          <w:sz w:val="20"/>
          <w:szCs w:val="20"/>
        </w:rPr>
        <w:t xml:space="preserve"> </w:t>
      </w:r>
      <w:r w:rsidR="00323457" w:rsidRPr="0059638B">
        <w:rPr>
          <w:bCs/>
          <w:sz w:val="20"/>
          <w:szCs w:val="20"/>
        </w:rPr>
        <w:t>delegation.</w:t>
      </w:r>
    </w:p>
    <w:p w14:paraId="6170CFB4" w14:textId="5B59F6C1" w:rsidR="00323457" w:rsidRPr="00F2244D" w:rsidRDefault="00972F1E" w:rsidP="00F2244D">
      <w:pPr>
        <w:pStyle w:val="SingleTxtG"/>
        <w:rPr>
          <w:bCs/>
          <w:sz w:val="20"/>
          <w:szCs w:val="20"/>
        </w:rPr>
      </w:pPr>
      <w:r>
        <w:rPr>
          <w:bCs/>
          <w:sz w:val="20"/>
          <w:szCs w:val="20"/>
        </w:rPr>
        <w:t>609</w:t>
      </w:r>
      <w:r w:rsidR="00D7475F">
        <w:rPr>
          <w:bCs/>
          <w:sz w:val="20"/>
          <w:szCs w:val="20"/>
        </w:rPr>
        <w:t>.</w:t>
      </w:r>
      <w:r w:rsidR="00D7475F">
        <w:rPr>
          <w:bCs/>
          <w:sz w:val="20"/>
          <w:szCs w:val="20"/>
        </w:rPr>
        <w:tab/>
      </w:r>
      <w:r w:rsidR="00323457" w:rsidRPr="00F2244D">
        <w:rPr>
          <w:bCs/>
          <w:sz w:val="20"/>
          <w:szCs w:val="20"/>
        </w:rPr>
        <w:t>China</w:t>
      </w:r>
      <w:r w:rsidR="00FF41A0" w:rsidRPr="00F2244D">
        <w:rPr>
          <w:bCs/>
          <w:sz w:val="20"/>
          <w:szCs w:val="20"/>
        </w:rPr>
        <w:t xml:space="preserve"> </w:t>
      </w:r>
      <w:r w:rsidR="00323457" w:rsidRPr="00F2244D">
        <w:rPr>
          <w:bCs/>
          <w:sz w:val="20"/>
          <w:szCs w:val="20"/>
        </w:rPr>
        <w:t>commended</w:t>
      </w:r>
      <w:r w:rsidR="00FF41A0" w:rsidRPr="00F2244D">
        <w:rPr>
          <w:bCs/>
          <w:sz w:val="20"/>
          <w:szCs w:val="20"/>
        </w:rPr>
        <w:t xml:space="preserve"> </w:t>
      </w:r>
      <w:r w:rsidR="00323457" w:rsidRPr="00F2244D">
        <w:rPr>
          <w:bCs/>
          <w:sz w:val="20"/>
          <w:szCs w:val="20"/>
        </w:rPr>
        <w:t>Jordan</w:t>
      </w:r>
      <w:r w:rsidR="00FF41A0" w:rsidRPr="00F2244D">
        <w:rPr>
          <w:bCs/>
          <w:sz w:val="20"/>
          <w:szCs w:val="20"/>
        </w:rPr>
        <w:t xml:space="preserve"> </w:t>
      </w:r>
      <w:r w:rsidR="00323457" w:rsidRPr="00F2244D">
        <w:rPr>
          <w:bCs/>
          <w:sz w:val="20"/>
          <w:szCs w:val="20"/>
        </w:rPr>
        <w:t>for</w:t>
      </w:r>
      <w:r w:rsidR="00FF41A0" w:rsidRPr="00F2244D">
        <w:rPr>
          <w:bCs/>
          <w:sz w:val="20"/>
          <w:szCs w:val="20"/>
        </w:rPr>
        <w:t xml:space="preserve"> </w:t>
      </w:r>
      <w:r w:rsidR="00323457" w:rsidRPr="00F2244D">
        <w:rPr>
          <w:bCs/>
          <w:sz w:val="20"/>
          <w:szCs w:val="20"/>
        </w:rPr>
        <w:t>its</w:t>
      </w:r>
      <w:r w:rsidR="00FF41A0" w:rsidRPr="00F2244D">
        <w:rPr>
          <w:bCs/>
          <w:sz w:val="20"/>
          <w:szCs w:val="20"/>
        </w:rPr>
        <w:t xml:space="preserve"> </w:t>
      </w:r>
      <w:r w:rsidR="00323457" w:rsidRPr="00F2244D">
        <w:rPr>
          <w:bCs/>
          <w:sz w:val="20"/>
          <w:szCs w:val="20"/>
        </w:rPr>
        <w:t>constructive</w:t>
      </w:r>
      <w:r w:rsidR="00FF41A0" w:rsidRPr="00F2244D">
        <w:rPr>
          <w:bCs/>
          <w:sz w:val="20"/>
          <w:szCs w:val="20"/>
        </w:rPr>
        <w:t xml:space="preserve"> </w:t>
      </w:r>
      <w:r w:rsidR="00323457" w:rsidRPr="00F2244D">
        <w:rPr>
          <w:bCs/>
          <w:sz w:val="20"/>
          <w:szCs w:val="20"/>
        </w:rPr>
        <w:t>engagement</w:t>
      </w:r>
      <w:r w:rsidR="00FF41A0" w:rsidRPr="00F2244D">
        <w:rPr>
          <w:bCs/>
          <w:sz w:val="20"/>
          <w:szCs w:val="20"/>
        </w:rPr>
        <w:t xml:space="preserve"> </w:t>
      </w:r>
      <w:r w:rsidR="00323457" w:rsidRPr="00F2244D">
        <w:rPr>
          <w:bCs/>
          <w:sz w:val="20"/>
          <w:szCs w:val="20"/>
        </w:rPr>
        <w:t>with</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universal</w:t>
      </w:r>
      <w:r w:rsidR="00FF41A0" w:rsidRPr="00F2244D">
        <w:rPr>
          <w:bCs/>
          <w:sz w:val="20"/>
          <w:szCs w:val="20"/>
        </w:rPr>
        <w:t xml:space="preserve"> </w:t>
      </w:r>
      <w:r w:rsidR="00323457" w:rsidRPr="00F2244D">
        <w:rPr>
          <w:bCs/>
          <w:sz w:val="20"/>
          <w:szCs w:val="20"/>
        </w:rPr>
        <w:t>periodic</w:t>
      </w:r>
      <w:r w:rsidR="00FF41A0" w:rsidRPr="00F2244D">
        <w:rPr>
          <w:bCs/>
          <w:sz w:val="20"/>
          <w:szCs w:val="20"/>
        </w:rPr>
        <w:t xml:space="preserve"> </w:t>
      </w:r>
      <w:r w:rsidR="00323457" w:rsidRPr="00F2244D">
        <w:rPr>
          <w:bCs/>
          <w:sz w:val="20"/>
          <w:szCs w:val="20"/>
        </w:rPr>
        <w:t>review</w:t>
      </w:r>
      <w:r w:rsidR="00FF41A0" w:rsidRPr="00F2244D">
        <w:rPr>
          <w:bCs/>
          <w:sz w:val="20"/>
          <w:szCs w:val="20"/>
        </w:rPr>
        <w:t xml:space="preserve"> </w:t>
      </w:r>
      <w:r w:rsidR="00323457" w:rsidRPr="00F2244D">
        <w:rPr>
          <w:bCs/>
          <w:sz w:val="20"/>
          <w:szCs w:val="20"/>
        </w:rPr>
        <w:t>and</w:t>
      </w:r>
      <w:r w:rsidR="00FF41A0" w:rsidRPr="00F2244D">
        <w:rPr>
          <w:bCs/>
          <w:sz w:val="20"/>
          <w:szCs w:val="20"/>
        </w:rPr>
        <w:t xml:space="preserve"> </w:t>
      </w:r>
      <w:r w:rsidR="00323457" w:rsidRPr="00F2244D">
        <w:rPr>
          <w:bCs/>
          <w:sz w:val="20"/>
          <w:szCs w:val="20"/>
        </w:rPr>
        <w:t>expressed</w:t>
      </w:r>
      <w:r w:rsidR="00FF41A0" w:rsidRPr="00F2244D">
        <w:rPr>
          <w:bCs/>
          <w:sz w:val="20"/>
          <w:szCs w:val="20"/>
        </w:rPr>
        <w:t xml:space="preserve"> </w:t>
      </w:r>
      <w:r w:rsidR="00323457" w:rsidRPr="00F2244D">
        <w:rPr>
          <w:bCs/>
          <w:sz w:val="20"/>
          <w:szCs w:val="20"/>
        </w:rPr>
        <w:t>hope</w:t>
      </w:r>
      <w:r w:rsidR="00FF41A0" w:rsidRPr="00F2244D">
        <w:rPr>
          <w:bCs/>
          <w:sz w:val="20"/>
          <w:szCs w:val="20"/>
        </w:rPr>
        <w:t xml:space="preserve"> </w:t>
      </w:r>
      <w:r w:rsidR="00323457" w:rsidRPr="00F2244D">
        <w:rPr>
          <w:bCs/>
          <w:sz w:val="20"/>
          <w:szCs w:val="20"/>
        </w:rPr>
        <w:t>that</w:t>
      </w:r>
      <w:r w:rsidR="00FF41A0" w:rsidRPr="00F2244D">
        <w:rPr>
          <w:bCs/>
          <w:sz w:val="20"/>
          <w:szCs w:val="20"/>
        </w:rPr>
        <w:t xml:space="preserve"> </w:t>
      </w:r>
      <w:r w:rsidR="00323457" w:rsidRPr="00F2244D">
        <w:rPr>
          <w:bCs/>
          <w:sz w:val="20"/>
          <w:szCs w:val="20"/>
        </w:rPr>
        <w:t>Jordan</w:t>
      </w:r>
      <w:r w:rsidR="00FF41A0" w:rsidRPr="00F2244D">
        <w:rPr>
          <w:bCs/>
          <w:sz w:val="20"/>
          <w:szCs w:val="20"/>
        </w:rPr>
        <w:t xml:space="preserve"> </w:t>
      </w:r>
      <w:r w:rsidR="00323457" w:rsidRPr="00F2244D">
        <w:rPr>
          <w:bCs/>
          <w:sz w:val="20"/>
          <w:szCs w:val="20"/>
        </w:rPr>
        <w:t>would</w:t>
      </w:r>
      <w:r w:rsidR="00FF41A0" w:rsidRPr="00F2244D">
        <w:rPr>
          <w:bCs/>
          <w:sz w:val="20"/>
          <w:szCs w:val="20"/>
        </w:rPr>
        <w:t xml:space="preserve"> </w:t>
      </w:r>
      <w:r w:rsidR="00323457" w:rsidRPr="00F2244D">
        <w:rPr>
          <w:bCs/>
          <w:sz w:val="20"/>
          <w:szCs w:val="20"/>
        </w:rPr>
        <w:t>step</w:t>
      </w:r>
      <w:r w:rsidR="00FF41A0" w:rsidRPr="00F2244D">
        <w:rPr>
          <w:bCs/>
          <w:sz w:val="20"/>
          <w:szCs w:val="20"/>
        </w:rPr>
        <w:t xml:space="preserve"> </w:t>
      </w:r>
      <w:r w:rsidR="00323457" w:rsidRPr="00F2244D">
        <w:rPr>
          <w:bCs/>
          <w:sz w:val="20"/>
          <w:szCs w:val="20"/>
        </w:rPr>
        <w:t>up</w:t>
      </w:r>
      <w:r w:rsidR="00FF41A0" w:rsidRPr="00F2244D">
        <w:rPr>
          <w:bCs/>
          <w:sz w:val="20"/>
          <w:szCs w:val="20"/>
        </w:rPr>
        <w:t xml:space="preserve"> </w:t>
      </w:r>
      <w:r w:rsidR="00323457" w:rsidRPr="00F2244D">
        <w:rPr>
          <w:bCs/>
          <w:sz w:val="20"/>
          <w:szCs w:val="20"/>
        </w:rPr>
        <w:t>its</w:t>
      </w:r>
      <w:r w:rsidR="00FF41A0" w:rsidRPr="00F2244D">
        <w:rPr>
          <w:bCs/>
          <w:sz w:val="20"/>
          <w:szCs w:val="20"/>
        </w:rPr>
        <w:t xml:space="preserve"> </w:t>
      </w:r>
      <w:r w:rsidR="00323457" w:rsidRPr="00F2244D">
        <w:rPr>
          <w:bCs/>
          <w:sz w:val="20"/>
          <w:szCs w:val="20"/>
        </w:rPr>
        <w:t>training</w:t>
      </w:r>
      <w:r w:rsidR="00FF41A0" w:rsidRPr="00F2244D">
        <w:rPr>
          <w:bCs/>
          <w:sz w:val="20"/>
          <w:szCs w:val="20"/>
        </w:rPr>
        <w:t xml:space="preserve"> </w:t>
      </w:r>
      <w:r w:rsidR="00323457" w:rsidRPr="00F2244D">
        <w:rPr>
          <w:bCs/>
          <w:sz w:val="20"/>
          <w:szCs w:val="20"/>
        </w:rPr>
        <w:t>and</w:t>
      </w:r>
      <w:r w:rsidR="00FF41A0" w:rsidRPr="00F2244D">
        <w:rPr>
          <w:bCs/>
          <w:sz w:val="20"/>
          <w:szCs w:val="20"/>
        </w:rPr>
        <w:t xml:space="preserve"> </w:t>
      </w:r>
      <w:r w:rsidR="00323457" w:rsidRPr="00F2244D">
        <w:rPr>
          <w:bCs/>
          <w:sz w:val="20"/>
          <w:szCs w:val="20"/>
        </w:rPr>
        <w:t>capacity-building</w:t>
      </w:r>
      <w:r w:rsidR="00FF41A0" w:rsidRPr="00F2244D">
        <w:rPr>
          <w:bCs/>
          <w:sz w:val="20"/>
          <w:szCs w:val="20"/>
        </w:rPr>
        <w:t xml:space="preserve"> </w:t>
      </w:r>
      <w:r w:rsidR="00323457" w:rsidRPr="00F2244D">
        <w:rPr>
          <w:bCs/>
          <w:sz w:val="20"/>
          <w:szCs w:val="20"/>
        </w:rPr>
        <w:t>for</w:t>
      </w:r>
      <w:r w:rsidR="00FF41A0" w:rsidRPr="00F2244D">
        <w:rPr>
          <w:bCs/>
          <w:sz w:val="20"/>
          <w:szCs w:val="20"/>
        </w:rPr>
        <w:t xml:space="preserve"> </w:t>
      </w:r>
      <w:r w:rsidR="00323457" w:rsidRPr="00F2244D">
        <w:rPr>
          <w:bCs/>
          <w:sz w:val="20"/>
          <w:szCs w:val="20"/>
        </w:rPr>
        <w:t>law</w:t>
      </w:r>
      <w:r w:rsidR="00FF41A0" w:rsidRPr="00F2244D">
        <w:rPr>
          <w:bCs/>
          <w:sz w:val="20"/>
          <w:szCs w:val="20"/>
        </w:rPr>
        <w:t xml:space="preserve"> </w:t>
      </w:r>
      <w:r w:rsidR="00323457" w:rsidRPr="00F2244D">
        <w:rPr>
          <w:bCs/>
          <w:sz w:val="20"/>
          <w:szCs w:val="20"/>
        </w:rPr>
        <w:t>enforcement</w:t>
      </w:r>
      <w:r w:rsidR="00FF41A0" w:rsidRPr="00F2244D">
        <w:rPr>
          <w:bCs/>
          <w:sz w:val="20"/>
          <w:szCs w:val="20"/>
        </w:rPr>
        <w:t xml:space="preserve"> </w:t>
      </w:r>
      <w:r w:rsidR="00323457" w:rsidRPr="00F2244D">
        <w:rPr>
          <w:bCs/>
          <w:sz w:val="20"/>
          <w:szCs w:val="20"/>
        </w:rPr>
        <w:t>personnel</w:t>
      </w:r>
      <w:r w:rsidR="00FF41A0" w:rsidRPr="00F2244D">
        <w:rPr>
          <w:bCs/>
          <w:sz w:val="20"/>
          <w:szCs w:val="20"/>
        </w:rPr>
        <w:t xml:space="preserve"> </w:t>
      </w:r>
      <w:r w:rsidR="00323457" w:rsidRPr="00F2244D">
        <w:rPr>
          <w:bCs/>
          <w:sz w:val="20"/>
          <w:szCs w:val="20"/>
        </w:rPr>
        <w:t>in</w:t>
      </w:r>
      <w:r w:rsidR="00FF41A0" w:rsidRPr="00F2244D">
        <w:rPr>
          <w:bCs/>
          <w:sz w:val="20"/>
          <w:szCs w:val="20"/>
        </w:rPr>
        <w:t xml:space="preserve"> </w:t>
      </w:r>
      <w:r w:rsidR="00323457" w:rsidRPr="00F2244D">
        <w:rPr>
          <w:bCs/>
          <w:sz w:val="20"/>
          <w:szCs w:val="20"/>
        </w:rPr>
        <w:t>relation</w:t>
      </w:r>
      <w:r w:rsidR="00FF41A0" w:rsidRPr="00F2244D">
        <w:rPr>
          <w:bCs/>
          <w:sz w:val="20"/>
          <w:szCs w:val="20"/>
        </w:rPr>
        <w:t xml:space="preserve"> </w:t>
      </w:r>
      <w:r w:rsidR="00323457" w:rsidRPr="00F2244D">
        <w:rPr>
          <w:bCs/>
          <w:sz w:val="20"/>
          <w:szCs w:val="20"/>
        </w:rPr>
        <w:t>to</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initial</w:t>
      </w:r>
      <w:r w:rsidR="00FF41A0" w:rsidRPr="00F2244D">
        <w:rPr>
          <w:bCs/>
          <w:sz w:val="20"/>
          <w:szCs w:val="20"/>
        </w:rPr>
        <w:t xml:space="preserve"> </w:t>
      </w:r>
      <w:r w:rsidR="00323457" w:rsidRPr="00F2244D">
        <w:rPr>
          <w:bCs/>
          <w:sz w:val="20"/>
          <w:szCs w:val="20"/>
        </w:rPr>
        <w:t>stages</w:t>
      </w:r>
      <w:r w:rsidR="00FF41A0" w:rsidRPr="00F2244D">
        <w:rPr>
          <w:bCs/>
          <w:sz w:val="20"/>
          <w:szCs w:val="20"/>
        </w:rPr>
        <w:t xml:space="preserve"> </w:t>
      </w:r>
      <w:r w:rsidR="00323457" w:rsidRPr="00F2244D">
        <w:rPr>
          <w:bCs/>
          <w:sz w:val="20"/>
          <w:szCs w:val="20"/>
        </w:rPr>
        <w:t>of</w:t>
      </w:r>
      <w:r w:rsidR="00FF41A0" w:rsidRPr="00F2244D">
        <w:rPr>
          <w:bCs/>
          <w:sz w:val="20"/>
          <w:szCs w:val="20"/>
        </w:rPr>
        <w:t xml:space="preserve"> </w:t>
      </w:r>
      <w:r w:rsidR="00323457" w:rsidRPr="00F2244D">
        <w:rPr>
          <w:bCs/>
          <w:sz w:val="20"/>
          <w:szCs w:val="20"/>
        </w:rPr>
        <w:t>investigation</w:t>
      </w:r>
      <w:r w:rsidR="00FF41A0" w:rsidRPr="00F2244D">
        <w:rPr>
          <w:bCs/>
          <w:sz w:val="20"/>
          <w:szCs w:val="20"/>
        </w:rPr>
        <w:t xml:space="preserve"> </w:t>
      </w:r>
      <w:r w:rsidR="00323457" w:rsidRPr="00F2244D">
        <w:rPr>
          <w:bCs/>
          <w:sz w:val="20"/>
          <w:szCs w:val="20"/>
        </w:rPr>
        <w:t>and</w:t>
      </w:r>
      <w:r w:rsidR="00FF41A0" w:rsidRPr="00F2244D">
        <w:rPr>
          <w:bCs/>
          <w:sz w:val="20"/>
          <w:szCs w:val="20"/>
        </w:rPr>
        <w:t xml:space="preserve"> </w:t>
      </w:r>
      <w:r w:rsidR="00323457" w:rsidRPr="00F2244D">
        <w:rPr>
          <w:bCs/>
          <w:sz w:val="20"/>
          <w:szCs w:val="20"/>
        </w:rPr>
        <w:t>fair</w:t>
      </w:r>
      <w:r w:rsidR="00FF41A0" w:rsidRPr="00F2244D">
        <w:rPr>
          <w:bCs/>
          <w:sz w:val="20"/>
          <w:szCs w:val="20"/>
        </w:rPr>
        <w:t xml:space="preserve"> </w:t>
      </w:r>
      <w:r w:rsidR="00323457" w:rsidRPr="00F2244D">
        <w:rPr>
          <w:bCs/>
          <w:sz w:val="20"/>
          <w:szCs w:val="20"/>
        </w:rPr>
        <w:t>trial.</w:t>
      </w:r>
      <w:r w:rsidR="00FF41A0" w:rsidRPr="00F2244D">
        <w:rPr>
          <w:bCs/>
          <w:sz w:val="20"/>
          <w:szCs w:val="20"/>
        </w:rPr>
        <w:t xml:space="preserve"> </w:t>
      </w:r>
      <w:r w:rsidR="00323457" w:rsidRPr="00F2244D">
        <w:rPr>
          <w:bCs/>
          <w:sz w:val="20"/>
          <w:szCs w:val="20"/>
        </w:rPr>
        <w:t>It</w:t>
      </w:r>
      <w:r w:rsidR="00FF41A0" w:rsidRPr="00F2244D">
        <w:rPr>
          <w:bCs/>
          <w:sz w:val="20"/>
          <w:szCs w:val="20"/>
        </w:rPr>
        <w:t xml:space="preserve"> </w:t>
      </w:r>
      <w:r w:rsidR="00323457" w:rsidRPr="00F2244D">
        <w:rPr>
          <w:bCs/>
          <w:sz w:val="20"/>
          <w:szCs w:val="20"/>
        </w:rPr>
        <w:t>called</w:t>
      </w:r>
      <w:r w:rsidR="00FF41A0" w:rsidRPr="00F2244D">
        <w:rPr>
          <w:bCs/>
          <w:sz w:val="20"/>
          <w:szCs w:val="20"/>
        </w:rPr>
        <w:t xml:space="preserve"> </w:t>
      </w:r>
      <w:r w:rsidR="00323457" w:rsidRPr="00F2244D">
        <w:rPr>
          <w:bCs/>
          <w:sz w:val="20"/>
          <w:szCs w:val="20"/>
        </w:rPr>
        <w:t>on</w:t>
      </w:r>
      <w:r w:rsidR="00FF41A0" w:rsidRPr="00F2244D">
        <w:rPr>
          <w:bCs/>
          <w:sz w:val="20"/>
          <w:szCs w:val="20"/>
        </w:rPr>
        <w:t xml:space="preserve"> </w:t>
      </w:r>
      <w:r w:rsidR="00323457" w:rsidRPr="00F2244D">
        <w:rPr>
          <w:bCs/>
          <w:sz w:val="20"/>
          <w:szCs w:val="20"/>
        </w:rPr>
        <w:t>Jordan</w:t>
      </w:r>
      <w:r w:rsidR="00FF41A0" w:rsidRPr="00F2244D">
        <w:rPr>
          <w:bCs/>
          <w:sz w:val="20"/>
          <w:szCs w:val="20"/>
        </w:rPr>
        <w:t xml:space="preserve"> </w:t>
      </w:r>
      <w:r w:rsidR="00323457" w:rsidRPr="00F2244D">
        <w:rPr>
          <w:bCs/>
          <w:sz w:val="20"/>
          <w:szCs w:val="20"/>
        </w:rPr>
        <w:t>to</w:t>
      </w:r>
      <w:r w:rsidR="00FF41A0" w:rsidRPr="00F2244D">
        <w:rPr>
          <w:bCs/>
          <w:sz w:val="20"/>
          <w:szCs w:val="20"/>
        </w:rPr>
        <w:t xml:space="preserve"> </w:t>
      </w:r>
      <w:r w:rsidR="00323457" w:rsidRPr="00F2244D">
        <w:rPr>
          <w:bCs/>
          <w:sz w:val="20"/>
          <w:szCs w:val="20"/>
        </w:rPr>
        <w:t>seek</w:t>
      </w:r>
      <w:r w:rsidR="00FF41A0" w:rsidRPr="00F2244D">
        <w:rPr>
          <w:bCs/>
          <w:sz w:val="20"/>
          <w:szCs w:val="20"/>
        </w:rPr>
        <w:t xml:space="preserve"> </w:t>
      </w:r>
      <w:r w:rsidR="00323457" w:rsidRPr="00F2244D">
        <w:rPr>
          <w:bCs/>
          <w:sz w:val="20"/>
          <w:szCs w:val="20"/>
        </w:rPr>
        <w:t>relevant</w:t>
      </w:r>
      <w:r w:rsidR="00FF41A0" w:rsidRPr="00F2244D">
        <w:rPr>
          <w:bCs/>
          <w:sz w:val="20"/>
          <w:szCs w:val="20"/>
        </w:rPr>
        <w:t xml:space="preserve"> </w:t>
      </w:r>
      <w:r w:rsidR="00323457" w:rsidRPr="00F2244D">
        <w:rPr>
          <w:bCs/>
          <w:sz w:val="20"/>
          <w:szCs w:val="20"/>
        </w:rPr>
        <w:t>technical</w:t>
      </w:r>
      <w:r w:rsidR="00FF41A0" w:rsidRPr="00F2244D">
        <w:rPr>
          <w:bCs/>
          <w:sz w:val="20"/>
          <w:szCs w:val="20"/>
        </w:rPr>
        <w:t xml:space="preserve"> </w:t>
      </w:r>
      <w:r w:rsidR="00323457" w:rsidRPr="00F2244D">
        <w:rPr>
          <w:bCs/>
          <w:sz w:val="20"/>
          <w:szCs w:val="20"/>
        </w:rPr>
        <w:t>assistance</w:t>
      </w:r>
      <w:r w:rsidR="00FF41A0" w:rsidRPr="00F2244D">
        <w:rPr>
          <w:bCs/>
          <w:sz w:val="20"/>
          <w:szCs w:val="20"/>
        </w:rPr>
        <w:t xml:space="preserve"> </w:t>
      </w:r>
      <w:r w:rsidR="00323457" w:rsidRPr="00F2244D">
        <w:rPr>
          <w:bCs/>
          <w:sz w:val="20"/>
          <w:szCs w:val="20"/>
        </w:rPr>
        <w:t>in</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field</w:t>
      </w:r>
      <w:r w:rsidR="00FF41A0" w:rsidRPr="00F2244D">
        <w:rPr>
          <w:bCs/>
          <w:sz w:val="20"/>
          <w:szCs w:val="20"/>
        </w:rPr>
        <w:t xml:space="preserve"> </w:t>
      </w:r>
      <w:r w:rsidR="00323457" w:rsidRPr="00F2244D">
        <w:rPr>
          <w:bCs/>
          <w:sz w:val="20"/>
          <w:szCs w:val="20"/>
        </w:rPr>
        <w:t>of</w:t>
      </w:r>
      <w:r w:rsidR="00FF41A0" w:rsidRPr="00F2244D">
        <w:rPr>
          <w:bCs/>
          <w:sz w:val="20"/>
          <w:szCs w:val="20"/>
        </w:rPr>
        <w:t xml:space="preserve"> </w:t>
      </w:r>
      <w:r w:rsidR="00323457" w:rsidRPr="00F2244D">
        <w:rPr>
          <w:bCs/>
          <w:sz w:val="20"/>
          <w:szCs w:val="20"/>
        </w:rPr>
        <w:t>capacity</w:t>
      </w:r>
      <w:r w:rsidR="00FF41A0" w:rsidRPr="00F2244D">
        <w:rPr>
          <w:bCs/>
          <w:sz w:val="20"/>
          <w:szCs w:val="20"/>
        </w:rPr>
        <w:t xml:space="preserve"> </w:t>
      </w:r>
      <w:r w:rsidR="00323457" w:rsidRPr="00F2244D">
        <w:rPr>
          <w:bCs/>
          <w:sz w:val="20"/>
          <w:szCs w:val="20"/>
        </w:rPr>
        <w:t>building</w:t>
      </w:r>
      <w:r w:rsidR="00FF41A0" w:rsidRPr="00F2244D">
        <w:rPr>
          <w:bCs/>
          <w:sz w:val="20"/>
          <w:szCs w:val="20"/>
        </w:rPr>
        <w:t xml:space="preserve"> </w:t>
      </w:r>
      <w:r w:rsidR="00323457" w:rsidRPr="00F2244D">
        <w:rPr>
          <w:bCs/>
          <w:sz w:val="20"/>
          <w:szCs w:val="20"/>
        </w:rPr>
        <w:t>and</w:t>
      </w:r>
      <w:r w:rsidR="00FF41A0" w:rsidRPr="00F2244D">
        <w:rPr>
          <w:bCs/>
          <w:sz w:val="20"/>
          <w:szCs w:val="20"/>
        </w:rPr>
        <w:t xml:space="preserve"> </w:t>
      </w:r>
      <w:r w:rsidR="00323457" w:rsidRPr="00F2244D">
        <w:rPr>
          <w:bCs/>
          <w:sz w:val="20"/>
          <w:szCs w:val="20"/>
        </w:rPr>
        <w:t>to</w:t>
      </w:r>
      <w:r w:rsidR="00FF41A0" w:rsidRPr="00F2244D">
        <w:rPr>
          <w:bCs/>
          <w:sz w:val="20"/>
          <w:szCs w:val="20"/>
        </w:rPr>
        <w:t xml:space="preserve"> </w:t>
      </w:r>
      <w:r w:rsidR="00323457" w:rsidRPr="00F2244D">
        <w:rPr>
          <w:bCs/>
          <w:sz w:val="20"/>
          <w:szCs w:val="20"/>
        </w:rPr>
        <w:t>implement</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2017</w:t>
      </w:r>
      <w:r w:rsidR="00FF41A0" w:rsidRPr="00F2244D">
        <w:rPr>
          <w:bCs/>
          <w:sz w:val="20"/>
          <w:szCs w:val="20"/>
        </w:rPr>
        <w:t xml:space="preserve"> </w:t>
      </w:r>
      <w:r w:rsidR="00323457" w:rsidRPr="00F2244D">
        <w:rPr>
          <w:bCs/>
          <w:sz w:val="20"/>
          <w:szCs w:val="20"/>
        </w:rPr>
        <w:t>laws</w:t>
      </w:r>
      <w:r w:rsidR="00FF41A0" w:rsidRPr="00F2244D">
        <w:rPr>
          <w:bCs/>
          <w:sz w:val="20"/>
          <w:szCs w:val="20"/>
        </w:rPr>
        <w:t xml:space="preserve"> </w:t>
      </w:r>
      <w:r w:rsidR="00323457" w:rsidRPr="00F2244D">
        <w:rPr>
          <w:bCs/>
          <w:sz w:val="20"/>
          <w:szCs w:val="20"/>
        </w:rPr>
        <w:t>relating</w:t>
      </w:r>
      <w:r w:rsidR="00FF41A0" w:rsidRPr="00F2244D">
        <w:rPr>
          <w:bCs/>
          <w:sz w:val="20"/>
          <w:szCs w:val="20"/>
        </w:rPr>
        <w:t xml:space="preserve"> </w:t>
      </w:r>
      <w:r w:rsidR="00323457" w:rsidRPr="00F2244D">
        <w:rPr>
          <w:bCs/>
          <w:sz w:val="20"/>
          <w:szCs w:val="20"/>
        </w:rPr>
        <w:t>to</w:t>
      </w:r>
      <w:r w:rsidR="00FF41A0" w:rsidRPr="00F2244D">
        <w:rPr>
          <w:bCs/>
          <w:sz w:val="20"/>
          <w:szCs w:val="20"/>
        </w:rPr>
        <w:t xml:space="preserve"> </w:t>
      </w:r>
      <w:r w:rsidR="00323457" w:rsidRPr="00F2244D">
        <w:rPr>
          <w:bCs/>
          <w:sz w:val="20"/>
          <w:szCs w:val="20"/>
        </w:rPr>
        <w:t>persons</w:t>
      </w:r>
      <w:r w:rsidR="00FF41A0" w:rsidRPr="00F2244D">
        <w:rPr>
          <w:bCs/>
          <w:sz w:val="20"/>
          <w:szCs w:val="20"/>
        </w:rPr>
        <w:t xml:space="preserve"> </w:t>
      </w:r>
      <w:r w:rsidR="00323457" w:rsidRPr="00F2244D">
        <w:rPr>
          <w:bCs/>
          <w:sz w:val="20"/>
          <w:szCs w:val="20"/>
        </w:rPr>
        <w:t>with</w:t>
      </w:r>
      <w:r w:rsidR="00FF41A0" w:rsidRPr="00F2244D">
        <w:rPr>
          <w:bCs/>
          <w:sz w:val="20"/>
          <w:szCs w:val="20"/>
        </w:rPr>
        <w:t xml:space="preserve"> </w:t>
      </w:r>
      <w:r w:rsidR="00323457" w:rsidRPr="00F2244D">
        <w:rPr>
          <w:bCs/>
          <w:sz w:val="20"/>
          <w:szCs w:val="20"/>
        </w:rPr>
        <w:t>disabilities.</w:t>
      </w:r>
      <w:r w:rsidR="00FF41A0" w:rsidRPr="00F2244D">
        <w:rPr>
          <w:bCs/>
          <w:sz w:val="20"/>
          <w:szCs w:val="20"/>
        </w:rPr>
        <w:t xml:space="preserve"> </w:t>
      </w:r>
      <w:r w:rsidR="00323457" w:rsidRPr="00F2244D">
        <w:rPr>
          <w:bCs/>
          <w:sz w:val="20"/>
          <w:szCs w:val="20"/>
        </w:rPr>
        <w:t>China</w:t>
      </w:r>
      <w:r w:rsidR="00FF41A0" w:rsidRPr="00F2244D">
        <w:rPr>
          <w:bCs/>
          <w:sz w:val="20"/>
          <w:szCs w:val="20"/>
        </w:rPr>
        <w:t xml:space="preserve"> </w:t>
      </w:r>
      <w:r w:rsidR="00323457" w:rsidRPr="00F2244D">
        <w:rPr>
          <w:bCs/>
          <w:sz w:val="20"/>
          <w:szCs w:val="20"/>
        </w:rPr>
        <w:t>wished</w:t>
      </w:r>
      <w:r w:rsidR="00FF41A0" w:rsidRPr="00F2244D">
        <w:rPr>
          <w:bCs/>
          <w:sz w:val="20"/>
          <w:szCs w:val="20"/>
        </w:rPr>
        <w:t xml:space="preserve"> </w:t>
      </w:r>
      <w:r w:rsidR="00323457" w:rsidRPr="00F2244D">
        <w:rPr>
          <w:bCs/>
          <w:sz w:val="20"/>
          <w:szCs w:val="20"/>
        </w:rPr>
        <w:t>Jordan</w:t>
      </w:r>
      <w:r w:rsidR="00FF41A0" w:rsidRPr="00F2244D">
        <w:rPr>
          <w:bCs/>
          <w:sz w:val="20"/>
          <w:szCs w:val="20"/>
        </w:rPr>
        <w:t xml:space="preserve"> </w:t>
      </w:r>
      <w:r w:rsidR="00323457" w:rsidRPr="00F2244D">
        <w:rPr>
          <w:bCs/>
          <w:sz w:val="20"/>
          <w:szCs w:val="20"/>
        </w:rPr>
        <w:t>continuous</w:t>
      </w:r>
      <w:r w:rsidR="00FF41A0" w:rsidRPr="00F2244D">
        <w:rPr>
          <w:bCs/>
          <w:sz w:val="20"/>
          <w:szCs w:val="20"/>
        </w:rPr>
        <w:t xml:space="preserve"> </w:t>
      </w:r>
      <w:r w:rsidR="00323457" w:rsidRPr="00F2244D">
        <w:rPr>
          <w:bCs/>
          <w:sz w:val="20"/>
          <w:szCs w:val="20"/>
        </w:rPr>
        <w:t>progress</w:t>
      </w:r>
      <w:r w:rsidR="00FF41A0" w:rsidRPr="00F2244D">
        <w:rPr>
          <w:bCs/>
          <w:sz w:val="20"/>
          <w:szCs w:val="20"/>
        </w:rPr>
        <w:t xml:space="preserve"> </w:t>
      </w:r>
      <w:r w:rsidR="00323457" w:rsidRPr="00F2244D">
        <w:rPr>
          <w:bCs/>
          <w:sz w:val="20"/>
          <w:szCs w:val="20"/>
        </w:rPr>
        <w:t>in</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field</w:t>
      </w:r>
      <w:r w:rsidR="00FF41A0" w:rsidRPr="00F2244D">
        <w:rPr>
          <w:bCs/>
          <w:sz w:val="20"/>
          <w:szCs w:val="20"/>
        </w:rPr>
        <w:t xml:space="preserve"> </w:t>
      </w:r>
      <w:r w:rsidR="00323457" w:rsidRPr="00F2244D">
        <w:rPr>
          <w:bCs/>
          <w:sz w:val="20"/>
          <w:szCs w:val="20"/>
        </w:rPr>
        <w:t>of</w:t>
      </w:r>
      <w:r w:rsidR="00FF41A0" w:rsidRPr="00F2244D">
        <w:rPr>
          <w:bCs/>
          <w:sz w:val="20"/>
          <w:szCs w:val="20"/>
        </w:rPr>
        <w:t xml:space="preserve"> </w:t>
      </w:r>
      <w:r w:rsidR="00323457" w:rsidRPr="00F2244D">
        <w:rPr>
          <w:bCs/>
          <w:sz w:val="20"/>
          <w:szCs w:val="20"/>
        </w:rPr>
        <w:t>human</w:t>
      </w:r>
      <w:r w:rsidR="00FF41A0" w:rsidRPr="00F2244D">
        <w:rPr>
          <w:bCs/>
          <w:sz w:val="20"/>
          <w:szCs w:val="20"/>
        </w:rPr>
        <w:t xml:space="preserve"> </w:t>
      </w:r>
      <w:r w:rsidR="00323457" w:rsidRPr="00F2244D">
        <w:rPr>
          <w:bCs/>
          <w:sz w:val="20"/>
          <w:szCs w:val="20"/>
        </w:rPr>
        <w:t>rights.</w:t>
      </w:r>
    </w:p>
    <w:p w14:paraId="3FDD0D7F" w14:textId="06E51AD7" w:rsidR="00323457" w:rsidRPr="00F2244D" w:rsidRDefault="00972F1E" w:rsidP="00F2244D">
      <w:pPr>
        <w:pStyle w:val="SingleTxtG"/>
        <w:rPr>
          <w:bCs/>
          <w:sz w:val="20"/>
          <w:szCs w:val="20"/>
        </w:rPr>
      </w:pPr>
      <w:r>
        <w:rPr>
          <w:bCs/>
          <w:sz w:val="20"/>
          <w:szCs w:val="20"/>
        </w:rPr>
        <w:t>610</w:t>
      </w:r>
      <w:r w:rsidR="00D7475F">
        <w:rPr>
          <w:bCs/>
          <w:sz w:val="20"/>
          <w:szCs w:val="20"/>
        </w:rPr>
        <w:t>.</w:t>
      </w:r>
      <w:r w:rsidR="00D7475F">
        <w:rPr>
          <w:bCs/>
          <w:sz w:val="20"/>
          <w:szCs w:val="20"/>
        </w:rPr>
        <w:tab/>
      </w:r>
      <w:r w:rsidR="00323457" w:rsidRPr="00F2244D">
        <w:rPr>
          <w:bCs/>
          <w:sz w:val="20"/>
          <w:szCs w:val="20"/>
        </w:rPr>
        <w:t>Cuba</w:t>
      </w:r>
      <w:r w:rsidR="00FF41A0" w:rsidRPr="00F2244D">
        <w:rPr>
          <w:bCs/>
          <w:sz w:val="20"/>
          <w:szCs w:val="20"/>
        </w:rPr>
        <w:t xml:space="preserve"> </w:t>
      </w:r>
      <w:r w:rsidR="00323457" w:rsidRPr="00F2244D">
        <w:rPr>
          <w:bCs/>
          <w:sz w:val="20"/>
          <w:szCs w:val="20"/>
        </w:rPr>
        <w:t>congratulated</w:t>
      </w:r>
      <w:r w:rsidR="00FF41A0" w:rsidRPr="00F2244D">
        <w:rPr>
          <w:bCs/>
          <w:sz w:val="20"/>
          <w:szCs w:val="20"/>
        </w:rPr>
        <w:t xml:space="preserve"> </w:t>
      </w:r>
      <w:r w:rsidR="00323457" w:rsidRPr="00F2244D">
        <w:rPr>
          <w:bCs/>
          <w:sz w:val="20"/>
          <w:szCs w:val="20"/>
        </w:rPr>
        <w:t>Jordan</w:t>
      </w:r>
      <w:r w:rsidR="00FF41A0" w:rsidRPr="00F2244D">
        <w:rPr>
          <w:bCs/>
          <w:sz w:val="20"/>
          <w:szCs w:val="20"/>
        </w:rPr>
        <w:t xml:space="preserve"> </w:t>
      </w:r>
      <w:r w:rsidR="00323457" w:rsidRPr="00F2244D">
        <w:rPr>
          <w:bCs/>
          <w:sz w:val="20"/>
          <w:szCs w:val="20"/>
        </w:rPr>
        <w:t>for</w:t>
      </w:r>
      <w:r w:rsidR="00FF41A0" w:rsidRPr="00F2244D">
        <w:rPr>
          <w:bCs/>
          <w:sz w:val="20"/>
          <w:szCs w:val="20"/>
        </w:rPr>
        <w:t xml:space="preserve"> </w:t>
      </w:r>
      <w:r w:rsidR="00323457" w:rsidRPr="00F2244D">
        <w:rPr>
          <w:bCs/>
          <w:sz w:val="20"/>
          <w:szCs w:val="20"/>
        </w:rPr>
        <w:t>its</w:t>
      </w:r>
      <w:r w:rsidR="00FF41A0" w:rsidRPr="00F2244D">
        <w:rPr>
          <w:bCs/>
          <w:sz w:val="20"/>
          <w:szCs w:val="20"/>
        </w:rPr>
        <w:t xml:space="preserve"> </w:t>
      </w:r>
      <w:r w:rsidR="00323457" w:rsidRPr="00F2244D">
        <w:rPr>
          <w:bCs/>
          <w:sz w:val="20"/>
          <w:szCs w:val="20"/>
        </w:rPr>
        <w:t>active</w:t>
      </w:r>
      <w:r w:rsidR="00FF41A0" w:rsidRPr="00F2244D">
        <w:rPr>
          <w:bCs/>
          <w:sz w:val="20"/>
          <w:szCs w:val="20"/>
        </w:rPr>
        <w:t xml:space="preserve"> </w:t>
      </w:r>
      <w:r w:rsidR="00323457" w:rsidRPr="00F2244D">
        <w:rPr>
          <w:bCs/>
          <w:sz w:val="20"/>
          <w:szCs w:val="20"/>
        </w:rPr>
        <w:t>participation</w:t>
      </w:r>
      <w:r w:rsidR="00FF41A0" w:rsidRPr="00F2244D">
        <w:rPr>
          <w:bCs/>
          <w:sz w:val="20"/>
          <w:szCs w:val="20"/>
        </w:rPr>
        <w:t xml:space="preserve"> </w:t>
      </w:r>
      <w:r w:rsidR="00323457" w:rsidRPr="00F2244D">
        <w:rPr>
          <w:bCs/>
          <w:sz w:val="20"/>
          <w:szCs w:val="20"/>
        </w:rPr>
        <w:t>with</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universal</w:t>
      </w:r>
      <w:r w:rsidR="00FF41A0" w:rsidRPr="00F2244D">
        <w:rPr>
          <w:bCs/>
          <w:sz w:val="20"/>
          <w:szCs w:val="20"/>
        </w:rPr>
        <w:t xml:space="preserve"> </w:t>
      </w:r>
      <w:r w:rsidR="00323457" w:rsidRPr="00F2244D">
        <w:rPr>
          <w:bCs/>
          <w:sz w:val="20"/>
          <w:szCs w:val="20"/>
        </w:rPr>
        <w:t>periodic</w:t>
      </w:r>
      <w:r w:rsidR="00FF41A0" w:rsidRPr="00F2244D">
        <w:rPr>
          <w:bCs/>
          <w:sz w:val="20"/>
          <w:szCs w:val="20"/>
        </w:rPr>
        <w:t xml:space="preserve"> </w:t>
      </w:r>
      <w:r w:rsidR="00323457" w:rsidRPr="00F2244D">
        <w:rPr>
          <w:bCs/>
          <w:sz w:val="20"/>
          <w:szCs w:val="20"/>
        </w:rPr>
        <w:t>review</w:t>
      </w:r>
      <w:r w:rsidR="00FF41A0" w:rsidRPr="00F2244D">
        <w:rPr>
          <w:bCs/>
          <w:sz w:val="20"/>
          <w:szCs w:val="20"/>
        </w:rPr>
        <w:t xml:space="preserve"> </w:t>
      </w:r>
      <w:r w:rsidR="00323457" w:rsidRPr="00F2244D">
        <w:rPr>
          <w:bCs/>
          <w:sz w:val="20"/>
          <w:szCs w:val="20"/>
        </w:rPr>
        <w:t>and</w:t>
      </w:r>
      <w:r w:rsidR="00FF41A0" w:rsidRPr="00F2244D">
        <w:rPr>
          <w:bCs/>
          <w:sz w:val="20"/>
          <w:szCs w:val="20"/>
        </w:rPr>
        <w:t xml:space="preserve"> </w:t>
      </w:r>
      <w:r w:rsidR="00323457" w:rsidRPr="00F2244D">
        <w:rPr>
          <w:bCs/>
          <w:sz w:val="20"/>
          <w:szCs w:val="20"/>
        </w:rPr>
        <w:t>expressed</w:t>
      </w:r>
      <w:r w:rsidR="00FF41A0" w:rsidRPr="00F2244D">
        <w:rPr>
          <w:bCs/>
          <w:sz w:val="20"/>
          <w:szCs w:val="20"/>
        </w:rPr>
        <w:t xml:space="preserve"> </w:t>
      </w:r>
      <w:r w:rsidR="00323457" w:rsidRPr="00F2244D">
        <w:rPr>
          <w:bCs/>
          <w:sz w:val="20"/>
          <w:szCs w:val="20"/>
        </w:rPr>
        <w:t>appreciation</w:t>
      </w:r>
      <w:r w:rsidR="00FF41A0" w:rsidRPr="00F2244D">
        <w:rPr>
          <w:bCs/>
          <w:sz w:val="20"/>
          <w:szCs w:val="20"/>
        </w:rPr>
        <w:t xml:space="preserve"> </w:t>
      </w:r>
      <w:r w:rsidR="00323457" w:rsidRPr="00F2244D">
        <w:rPr>
          <w:bCs/>
          <w:sz w:val="20"/>
          <w:szCs w:val="20"/>
        </w:rPr>
        <w:t>for</w:t>
      </w:r>
      <w:r w:rsidR="00FF41A0" w:rsidRPr="00F2244D">
        <w:rPr>
          <w:bCs/>
          <w:sz w:val="20"/>
          <w:szCs w:val="20"/>
        </w:rPr>
        <w:t xml:space="preserve"> </w:t>
      </w:r>
      <w:r w:rsidR="00323457" w:rsidRPr="00F2244D">
        <w:rPr>
          <w:bCs/>
          <w:sz w:val="20"/>
          <w:szCs w:val="20"/>
        </w:rPr>
        <w:t>having</w:t>
      </w:r>
      <w:r w:rsidR="00FF41A0" w:rsidRPr="00F2244D">
        <w:rPr>
          <w:bCs/>
          <w:sz w:val="20"/>
          <w:szCs w:val="20"/>
        </w:rPr>
        <w:t xml:space="preserve"> </w:t>
      </w:r>
      <w:r w:rsidR="00323457" w:rsidRPr="00F2244D">
        <w:rPr>
          <w:bCs/>
          <w:sz w:val="20"/>
          <w:szCs w:val="20"/>
        </w:rPr>
        <w:t>accepted</w:t>
      </w:r>
      <w:r w:rsidR="00FF41A0" w:rsidRPr="00F2244D">
        <w:rPr>
          <w:bCs/>
          <w:sz w:val="20"/>
          <w:szCs w:val="20"/>
        </w:rPr>
        <w:t xml:space="preserve"> </w:t>
      </w:r>
      <w:r w:rsidR="00323457" w:rsidRPr="00F2244D">
        <w:rPr>
          <w:bCs/>
          <w:sz w:val="20"/>
          <w:szCs w:val="20"/>
        </w:rPr>
        <w:t>its</w:t>
      </w:r>
      <w:r w:rsidR="00FF41A0" w:rsidRPr="00F2244D">
        <w:rPr>
          <w:bCs/>
          <w:sz w:val="20"/>
          <w:szCs w:val="20"/>
        </w:rPr>
        <w:t xml:space="preserve"> </w:t>
      </w:r>
      <w:r w:rsidR="00323457" w:rsidRPr="00F2244D">
        <w:rPr>
          <w:bCs/>
          <w:sz w:val="20"/>
          <w:szCs w:val="20"/>
        </w:rPr>
        <w:t>recommendations</w:t>
      </w:r>
      <w:r w:rsidR="00FF41A0" w:rsidRPr="00F2244D">
        <w:rPr>
          <w:bCs/>
          <w:sz w:val="20"/>
          <w:szCs w:val="20"/>
        </w:rPr>
        <w:t xml:space="preserve"> </w:t>
      </w:r>
      <w:r w:rsidR="00323457" w:rsidRPr="00F2244D">
        <w:rPr>
          <w:bCs/>
          <w:sz w:val="20"/>
          <w:szCs w:val="20"/>
        </w:rPr>
        <w:t>regarding</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implementation</w:t>
      </w:r>
      <w:r w:rsidR="00FF41A0" w:rsidRPr="00F2244D">
        <w:rPr>
          <w:bCs/>
          <w:sz w:val="20"/>
          <w:szCs w:val="20"/>
        </w:rPr>
        <w:t xml:space="preserve"> </w:t>
      </w:r>
      <w:r w:rsidR="00323457" w:rsidRPr="00F2244D">
        <w:rPr>
          <w:bCs/>
          <w:sz w:val="20"/>
          <w:szCs w:val="20"/>
        </w:rPr>
        <w:t>of</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Comprehensive</w:t>
      </w:r>
      <w:r w:rsidR="00FF41A0" w:rsidRPr="00F2244D">
        <w:rPr>
          <w:bCs/>
          <w:sz w:val="20"/>
          <w:szCs w:val="20"/>
        </w:rPr>
        <w:t xml:space="preserve"> </w:t>
      </w:r>
      <w:r w:rsidR="00323457" w:rsidRPr="00F2244D">
        <w:rPr>
          <w:bCs/>
          <w:sz w:val="20"/>
          <w:szCs w:val="20"/>
        </w:rPr>
        <w:t>National</w:t>
      </w:r>
      <w:r w:rsidR="00FF41A0" w:rsidRPr="00F2244D">
        <w:rPr>
          <w:bCs/>
          <w:sz w:val="20"/>
          <w:szCs w:val="20"/>
        </w:rPr>
        <w:t xml:space="preserve"> </w:t>
      </w:r>
      <w:r w:rsidR="00323457" w:rsidRPr="00F2244D">
        <w:rPr>
          <w:bCs/>
          <w:sz w:val="20"/>
          <w:szCs w:val="20"/>
        </w:rPr>
        <w:t>Human</w:t>
      </w:r>
      <w:r w:rsidR="00FF41A0" w:rsidRPr="00F2244D">
        <w:rPr>
          <w:bCs/>
          <w:sz w:val="20"/>
          <w:szCs w:val="20"/>
        </w:rPr>
        <w:t xml:space="preserve"> </w:t>
      </w:r>
      <w:r w:rsidR="00323457" w:rsidRPr="00F2244D">
        <w:rPr>
          <w:bCs/>
          <w:sz w:val="20"/>
          <w:szCs w:val="20"/>
        </w:rPr>
        <w:t>Rights</w:t>
      </w:r>
      <w:r w:rsidR="00FF41A0" w:rsidRPr="00F2244D">
        <w:rPr>
          <w:bCs/>
          <w:sz w:val="20"/>
          <w:szCs w:val="20"/>
        </w:rPr>
        <w:t xml:space="preserve"> </w:t>
      </w:r>
      <w:r w:rsidR="00323457" w:rsidRPr="00F2244D">
        <w:rPr>
          <w:bCs/>
          <w:sz w:val="20"/>
          <w:szCs w:val="20"/>
        </w:rPr>
        <w:t>Plan</w:t>
      </w:r>
      <w:r w:rsidR="00FF41A0" w:rsidRPr="00F2244D">
        <w:rPr>
          <w:bCs/>
          <w:sz w:val="20"/>
          <w:szCs w:val="20"/>
        </w:rPr>
        <w:t xml:space="preserve"> </w:t>
      </w:r>
      <w:r w:rsidR="00323457" w:rsidRPr="00F2244D">
        <w:rPr>
          <w:bCs/>
          <w:sz w:val="20"/>
          <w:szCs w:val="20"/>
        </w:rPr>
        <w:t>and</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development</w:t>
      </w:r>
      <w:r w:rsidR="00FF41A0" w:rsidRPr="00F2244D">
        <w:rPr>
          <w:bCs/>
          <w:sz w:val="20"/>
          <w:szCs w:val="20"/>
        </w:rPr>
        <w:t xml:space="preserve"> </w:t>
      </w:r>
      <w:r w:rsidR="00323457" w:rsidRPr="00F2244D">
        <w:rPr>
          <w:bCs/>
          <w:sz w:val="20"/>
          <w:szCs w:val="20"/>
        </w:rPr>
        <w:t>of</w:t>
      </w:r>
      <w:r w:rsidR="00FF41A0" w:rsidRPr="00F2244D">
        <w:rPr>
          <w:bCs/>
          <w:sz w:val="20"/>
          <w:szCs w:val="20"/>
        </w:rPr>
        <w:t xml:space="preserve"> </w:t>
      </w:r>
      <w:r w:rsidR="00323457" w:rsidRPr="00F2244D">
        <w:rPr>
          <w:bCs/>
          <w:sz w:val="20"/>
          <w:szCs w:val="20"/>
        </w:rPr>
        <w:t>its</w:t>
      </w:r>
      <w:r w:rsidR="00FF41A0" w:rsidRPr="00F2244D">
        <w:rPr>
          <w:bCs/>
          <w:sz w:val="20"/>
          <w:szCs w:val="20"/>
        </w:rPr>
        <w:t xml:space="preserve"> </w:t>
      </w:r>
      <w:r w:rsidR="00323457" w:rsidRPr="00F2244D">
        <w:rPr>
          <w:bCs/>
          <w:sz w:val="20"/>
          <w:szCs w:val="20"/>
        </w:rPr>
        <w:t>educational</w:t>
      </w:r>
      <w:r w:rsidR="00FF41A0" w:rsidRPr="00F2244D">
        <w:rPr>
          <w:bCs/>
          <w:sz w:val="20"/>
          <w:szCs w:val="20"/>
        </w:rPr>
        <w:t xml:space="preserve"> </w:t>
      </w:r>
      <w:r w:rsidR="00323457" w:rsidRPr="00F2244D">
        <w:rPr>
          <w:bCs/>
          <w:sz w:val="20"/>
          <w:szCs w:val="20"/>
        </w:rPr>
        <w:t>system.</w:t>
      </w:r>
      <w:r w:rsidR="00FF41A0" w:rsidRPr="00F2244D">
        <w:rPr>
          <w:bCs/>
          <w:sz w:val="20"/>
          <w:szCs w:val="20"/>
        </w:rPr>
        <w:t xml:space="preserve"> </w:t>
      </w:r>
      <w:r w:rsidR="00323457" w:rsidRPr="00F2244D">
        <w:rPr>
          <w:bCs/>
          <w:sz w:val="20"/>
          <w:szCs w:val="20"/>
        </w:rPr>
        <w:t>Cuba</w:t>
      </w:r>
      <w:r w:rsidR="00FF41A0" w:rsidRPr="00F2244D">
        <w:rPr>
          <w:bCs/>
          <w:sz w:val="20"/>
          <w:szCs w:val="20"/>
        </w:rPr>
        <w:t xml:space="preserve"> </w:t>
      </w:r>
      <w:r w:rsidR="00323457" w:rsidRPr="00F2244D">
        <w:rPr>
          <w:bCs/>
          <w:sz w:val="20"/>
          <w:szCs w:val="20"/>
        </w:rPr>
        <w:t>invited</w:t>
      </w:r>
      <w:r w:rsidR="00FF41A0" w:rsidRPr="00F2244D">
        <w:rPr>
          <w:bCs/>
          <w:sz w:val="20"/>
          <w:szCs w:val="20"/>
        </w:rPr>
        <w:t xml:space="preserve"> </w:t>
      </w:r>
      <w:r w:rsidR="00323457" w:rsidRPr="00F2244D">
        <w:rPr>
          <w:bCs/>
          <w:sz w:val="20"/>
          <w:szCs w:val="20"/>
        </w:rPr>
        <w:t>Jordan</w:t>
      </w:r>
      <w:r w:rsidR="00FF41A0" w:rsidRPr="00F2244D">
        <w:rPr>
          <w:bCs/>
          <w:sz w:val="20"/>
          <w:szCs w:val="20"/>
        </w:rPr>
        <w:t xml:space="preserve"> </w:t>
      </w:r>
      <w:r w:rsidR="00323457" w:rsidRPr="00F2244D">
        <w:rPr>
          <w:bCs/>
          <w:sz w:val="20"/>
          <w:szCs w:val="20"/>
        </w:rPr>
        <w:t>to</w:t>
      </w:r>
      <w:r w:rsidR="00FF41A0" w:rsidRPr="00F2244D">
        <w:rPr>
          <w:bCs/>
          <w:sz w:val="20"/>
          <w:szCs w:val="20"/>
        </w:rPr>
        <w:t xml:space="preserve"> </w:t>
      </w:r>
      <w:r w:rsidR="00323457" w:rsidRPr="00F2244D">
        <w:rPr>
          <w:bCs/>
          <w:sz w:val="20"/>
          <w:szCs w:val="20"/>
        </w:rPr>
        <w:t>effectively</w:t>
      </w:r>
      <w:r w:rsidR="00FF41A0" w:rsidRPr="00F2244D">
        <w:rPr>
          <w:bCs/>
          <w:sz w:val="20"/>
          <w:szCs w:val="20"/>
        </w:rPr>
        <w:t xml:space="preserve"> </w:t>
      </w:r>
      <w:r w:rsidR="00323457" w:rsidRPr="00F2244D">
        <w:rPr>
          <w:bCs/>
          <w:sz w:val="20"/>
          <w:szCs w:val="20"/>
        </w:rPr>
        <w:t>implement</w:t>
      </w:r>
      <w:r w:rsidR="00FF41A0" w:rsidRPr="00F2244D">
        <w:rPr>
          <w:bCs/>
          <w:sz w:val="20"/>
          <w:szCs w:val="20"/>
        </w:rPr>
        <w:t xml:space="preserve"> </w:t>
      </w:r>
      <w:r w:rsidR="00323457" w:rsidRPr="00F2244D">
        <w:rPr>
          <w:bCs/>
          <w:sz w:val="20"/>
          <w:szCs w:val="20"/>
        </w:rPr>
        <w:t>all</w:t>
      </w:r>
      <w:r w:rsidR="00FF41A0" w:rsidRPr="00F2244D">
        <w:rPr>
          <w:bCs/>
          <w:sz w:val="20"/>
          <w:szCs w:val="20"/>
        </w:rPr>
        <w:t xml:space="preserve"> </w:t>
      </w:r>
      <w:r w:rsidR="00323457" w:rsidRPr="00F2244D">
        <w:rPr>
          <w:bCs/>
          <w:sz w:val="20"/>
          <w:szCs w:val="20"/>
        </w:rPr>
        <w:t>accepted</w:t>
      </w:r>
      <w:r w:rsidR="00FF41A0" w:rsidRPr="00F2244D">
        <w:rPr>
          <w:bCs/>
          <w:sz w:val="20"/>
          <w:szCs w:val="20"/>
        </w:rPr>
        <w:t xml:space="preserve"> </w:t>
      </w:r>
      <w:r w:rsidR="00323457" w:rsidRPr="00F2244D">
        <w:rPr>
          <w:bCs/>
          <w:sz w:val="20"/>
          <w:szCs w:val="20"/>
        </w:rPr>
        <w:t>recommendations</w:t>
      </w:r>
      <w:r w:rsidR="00FF41A0" w:rsidRPr="00F2244D">
        <w:rPr>
          <w:bCs/>
          <w:sz w:val="20"/>
          <w:szCs w:val="20"/>
        </w:rPr>
        <w:t xml:space="preserve"> </w:t>
      </w:r>
      <w:r w:rsidR="00323457" w:rsidRPr="00F2244D">
        <w:rPr>
          <w:bCs/>
          <w:sz w:val="20"/>
          <w:szCs w:val="20"/>
        </w:rPr>
        <w:t>and</w:t>
      </w:r>
      <w:r w:rsidR="00FF41A0" w:rsidRPr="00F2244D">
        <w:rPr>
          <w:bCs/>
          <w:sz w:val="20"/>
          <w:szCs w:val="20"/>
        </w:rPr>
        <w:t xml:space="preserve"> </w:t>
      </w:r>
      <w:r w:rsidR="00323457" w:rsidRPr="00F2244D">
        <w:rPr>
          <w:bCs/>
          <w:sz w:val="20"/>
          <w:szCs w:val="20"/>
        </w:rPr>
        <w:t>wished</w:t>
      </w:r>
      <w:r w:rsidR="00FF41A0" w:rsidRPr="00F2244D">
        <w:rPr>
          <w:bCs/>
          <w:sz w:val="20"/>
          <w:szCs w:val="20"/>
        </w:rPr>
        <w:t xml:space="preserve"> </w:t>
      </w:r>
      <w:r w:rsidR="00323457" w:rsidRPr="00F2244D">
        <w:rPr>
          <w:bCs/>
          <w:sz w:val="20"/>
          <w:szCs w:val="20"/>
        </w:rPr>
        <w:t>Jordan</w:t>
      </w:r>
      <w:r w:rsidR="00FF41A0" w:rsidRPr="00F2244D">
        <w:rPr>
          <w:bCs/>
          <w:sz w:val="20"/>
          <w:szCs w:val="20"/>
        </w:rPr>
        <w:t xml:space="preserve"> </w:t>
      </w:r>
      <w:r w:rsidR="00323457" w:rsidRPr="00F2244D">
        <w:rPr>
          <w:bCs/>
          <w:sz w:val="20"/>
          <w:szCs w:val="20"/>
        </w:rPr>
        <w:t>success</w:t>
      </w:r>
      <w:r w:rsidR="00FF41A0" w:rsidRPr="00F2244D">
        <w:rPr>
          <w:bCs/>
          <w:sz w:val="20"/>
          <w:szCs w:val="20"/>
        </w:rPr>
        <w:t xml:space="preserve"> </w:t>
      </w:r>
      <w:r w:rsidR="00323457" w:rsidRPr="00F2244D">
        <w:rPr>
          <w:bCs/>
          <w:sz w:val="20"/>
          <w:szCs w:val="20"/>
        </w:rPr>
        <w:t>in</w:t>
      </w:r>
      <w:r w:rsidR="00FF41A0" w:rsidRPr="00F2244D">
        <w:rPr>
          <w:bCs/>
          <w:sz w:val="20"/>
          <w:szCs w:val="20"/>
        </w:rPr>
        <w:t xml:space="preserve"> </w:t>
      </w:r>
      <w:r w:rsidR="00323457" w:rsidRPr="00F2244D">
        <w:rPr>
          <w:bCs/>
          <w:sz w:val="20"/>
          <w:szCs w:val="20"/>
        </w:rPr>
        <w:t>this</w:t>
      </w:r>
      <w:r w:rsidR="00FF41A0" w:rsidRPr="00F2244D">
        <w:rPr>
          <w:bCs/>
          <w:sz w:val="20"/>
          <w:szCs w:val="20"/>
        </w:rPr>
        <w:t xml:space="preserve"> </w:t>
      </w:r>
      <w:r w:rsidR="00323457" w:rsidRPr="00F2244D">
        <w:rPr>
          <w:bCs/>
          <w:sz w:val="20"/>
          <w:szCs w:val="20"/>
        </w:rPr>
        <w:t>endeavour.</w:t>
      </w:r>
      <w:r w:rsidR="00FF41A0" w:rsidRPr="00F2244D">
        <w:rPr>
          <w:bCs/>
          <w:sz w:val="20"/>
          <w:szCs w:val="20"/>
        </w:rPr>
        <w:t xml:space="preserve"> </w:t>
      </w:r>
    </w:p>
    <w:p w14:paraId="1E5BAA90" w14:textId="53BBDF2C" w:rsidR="00323457" w:rsidRPr="00F2244D" w:rsidRDefault="00972F1E" w:rsidP="00F2244D">
      <w:pPr>
        <w:pStyle w:val="SingleTxtG"/>
        <w:rPr>
          <w:bCs/>
          <w:sz w:val="20"/>
          <w:szCs w:val="20"/>
        </w:rPr>
      </w:pPr>
      <w:r>
        <w:rPr>
          <w:bCs/>
          <w:sz w:val="20"/>
          <w:szCs w:val="20"/>
        </w:rPr>
        <w:t>611</w:t>
      </w:r>
      <w:r w:rsidR="00D7475F">
        <w:rPr>
          <w:bCs/>
          <w:sz w:val="20"/>
          <w:szCs w:val="20"/>
        </w:rPr>
        <w:t>.</w:t>
      </w:r>
      <w:r w:rsidR="00D7475F">
        <w:rPr>
          <w:bCs/>
          <w:sz w:val="20"/>
          <w:szCs w:val="20"/>
        </w:rPr>
        <w:tab/>
      </w:r>
      <w:r w:rsidR="00323457" w:rsidRPr="00F2244D">
        <w:rPr>
          <w:bCs/>
          <w:sz w:val="20"/>
          <w:szCs w:val="20"/>
        </w:rPr>
        <w:t>Egypt</w:t>
      </w:r>
      <w:r w:rsidR="00FF41A0" w:rsidRPr="00F2244D">
        <w:rPr>
          <w:bCs/>
          <w:sz w:val="20"/>
          <w:szCs w:val="20"/>
        </w:rPr>
        <w:t xml:space="preserve"> </w:t>
      </w:r>
      <w:r w:rsidR="00323457" w:rsidRPr="00F2244D">
        <w:rPr>
          <w:bCs/>
          <w:sz w:val="20"/>
          <w:szCs w:val="20"/>
        </w:rPr>
        <w:t>commended</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continued</w:t>
      </w:r>
      <w:r w:rsidR="00FF41A0" w:rsidRPr="00F2244D">
        <w:rPr>
          <w:bCs/>
          <w:sz w:val="20"/>
          <w:szCs w:val="20"/>
        </w:rPr>
        <w:t xml:space="preserve"> </w:t>
      </w:r>
      <w:r w:rsidR="00323457" w:rsidRPr="00F2244D">
        <w:rPr>
          <w:bCs/>
          <w:sz w:val="20"/>
          <w:szCs w:val="20"/>
        </w:rPr>
        <w:t>cooperation</w:t>
      </w:r>
      <w:r w:rsidR="00FF41A0" w:rsidRPr="00F2244D">
        <w:rPr>
          <w:bCs/>
          <w:sz w:val="20"/>
          <w:szCs w:val="20"/>
        </w:rPr>
        <w:t xml:space="preserve"> </w:t>
      </w:r>
      <w:r w:rsidR="00323457" w:rsidRPr="00F2244D">
        <w:rPr>
          <w:bCs/>
          <w:sz w:val="20"/>
          <w:szCs w:val="20"/>
        </w:rPr>
        <w:t>of</w:t>
      </w:r>
      <w:r w:rsidR="00FF41A0" w:rsidRPr="00F2244D">
        <w:rPr>
          <w:bCs/>
          <w:sz w:val="20"/>
          <w:szCs w:val="20"/>
        </w:rPr>
        <w:t xml:space="preserve"> </w:t>
      </w:r>
      <w:r w:rsidR="00323457" w:rsidRPr="00F2244D">
        <w:rPr>
          <w:bCs/>
          <w:sz w:val="20"/>
          <w:szCs w:val="20"/>
        </w:rPr>
        <w:t>Jordan</w:t>
      </w:r>
      <w:r w:rsidR="00FF41A0" w:rsidRPr="00F2244D">
        <w:rPr>
          <w:bCs/>
          <w:sz w:val="20"/>
          <w:szCs w:val="20"/>
        </w:rPr>
        <w:t xml:space="preserve"> </w:t>
      </w:r>
      <w:r w:rsidR="00323457" w:rsidRPr="00F2244D">
        <w:rPr>
          <w:bCs/>
          <w:sz w:val="20"/>
          <w:szCs w:val="20"/>
        </w:rPr>
        <w:t>with</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United</w:t>
      </w:r>
      <w:r w:rsidR="00FF41A0" w:rsidRPr="00F2244D">
        <w:rPr>
          <w:bCs/>
          <w:sz w:val="20"/>
          <w:szCs w:val="20"/>
        </w:rPr>
        <w:t xml:space="preserve"> </w:t>
      </w:r>
      <w:r w:rsidR="00323457" w:rsidRPr="00F2244D">
        <w:rPr>
          <w:bCs/>
          <w:sz w:val="20"/>
          <w:szCs w:val="20"/>
        </w:rPr>
        <w:t>Nations</w:t>
      </w:r>
      <w:r w:rsidR="00FF41A0" w:rsidRPr="00F2244D">
        <w:rPr>
          <w:bCs/>
          <w:sz w:val="20"/>
          <w:szCs w:val="20"/>
        </w:rPr>
        <w:t xml:space="preserve"> </w:t>
      </w:r>
      <w:r w:rsidR="00323457" w:rsidRPr="00F2244D">
        <w:rPr>
          <w:bCs/>
          <w:sz w:val="20"/>
          <w:szCs w:val="20"/>
        </w:rPr>
        <w:t>human</w:t>
      </w:r>
      <w:r w:rsidR="00FF41A0" w:rsidRPr="00F2244D">
        <w:rPr>
          <w:bCs/>
          <w:sz w:val="20"/>
          <w:szCs w:val="20"/>
        </w:rPr>
        <w:t xml:space="preserve"> </w:t>
      </w:r>
      <w:r w:rsidR="00323457" w:rsidRPr="00F2244D">
        <w:rPr>
          <w:bCs/>
          <w:sz w:val="20"/>
          <w:szCs w:val="20"/>
        </w:rPr>
        <w:t>rights</w:t>
      </w:r>
      <w:r w:rsidR="00FF41A0" w:rsidRPr="00F2244D">
        <w:rPr>
          <w:bCs/>
          <w:sz w:val="20"/>
          <w:szCs w:val="20"/>
        </w:rPr>
        <w:t xml:space="preserve"> </w:t>
      </w:r>
      <w:r w:rsidR="00323457" w:rsidRPr="00F2244D">
        <w:rPr>
          <w:bCs/>
          <w:sz w:val="20"/>
          <w:szCs w:val="20"/>
        </w:rPr>
        <w:t>mechanisms,</w:t>
      </w:r>
      <w:r w:rsidR="00FF41A0" w:rsidRPr="00F2244D">
        <w:rPr>
          <w:bCs/>
          <w:sz w:val="20"/>
          <w:szCs w:val="20"/>
        </w:rPr>
        <w:t xml:space="preserve"> </w:t>
      </w:r>
      <w:r w:rsidR="00323457" w:rsidRPr="00F2244D">
        <w:rPr>
          <w:bCs/>
          <w:sz w:val="20"/>
          <w:szCs w:val="20"/>
        </w:rPr>
        <w:t>its</w:t>
      </w:r>
      <w:r w:rsidR="00FF41A0" w:rsidRPr="00F2244D">
        <w:rPr>
          <w:bCs/>
          <w:sz w:val="20"/>
          <w:szCs w:val="20"/>
        </w:rPr>
        <w:t xml:space="preserve"> </w:t>
      </w:r>
      <w:r w:rsidR="00323457" w:rsidRPr="00F2244D">
        <w:rPr>
          <w:bCs/>
          <w:sz w:val="20"/>
          <w:szCs w:val="20"/>
        </w:rPr>
        <w:t>adoption</w:t>
      </w:r>
      <w:r w:rsidR="00FF41A0" w:rsidRPr="00F2244D">
        <w:rPr>
          <w:bCs/>
          <w:sz w:val="20"/>
          <w:szCs w:val="20"/>
        </w:rPr>
        <w:t xml:space="preserve"> </w:t>
      </w:r>
      <w:r w:rsidR="00323457" w:rsidRPr="00F2244D">
        <w:rPr>
          <w:bCs/>
          <w:sz w:val="20"/>
          <w:szCs w:val="20"/>
        </w:rPr>
        <w:t>of</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National</w:t>
      </w:r>
      <w:r w:rsidR="00FF41A0" w:rsidRPr="00F2244D">
        <w:rPr>
          <w:bCs/>
          <w:sz w:val="20"/>
          <w:szCs w:val="20"/>
        </w:rPr>
        <w:t xml:space="preserve"> </w:t>
      </w:r>
      <w:r w:rsidR="00323457" w:rsidRPr="00F2244D">
        <w:rPr>
          <w:bCs/>
          <w:sz w:val="20"/>
          <w:szCs w:val="20"/>
        </w:rPr>
        <w:t>Action</w:t>
      </w:r>
      <w:r w:rsidR="00FF41A0" w:rsidRPr="00F2244D">
        <w:rPr>
          <w:bCs/>
          <w:sz w:val="20"/>
          <w:szCs w:val="20"/>
        </w:rPr>
        <w:t xml:space="preserve"> </w:t>
      </w:r>
      <w:r w:rsidR="00323457" w:rsidRPr="00F2244D">
        <w:rPr>
          <w:bCs/>
          <w:sz w:val="20"/>
          <w:szCs w:val="20"/>
        </w:rPr>
        <w:t>Plan</w:t>
      </w:r>
      <w:r w:rsidR="00FF41A0" w:rsidRPr="00F2244D">
        <w:rPr>
          <w:bCs/>
          <w:sz w:val="20"/>
          <w:szCs w:val="20"/>
        </w:rPr>
        <w:t xml:space="preserve"> </w:t>
      </w:r>
      <w:r w:rsidR="00323457" w:rsidRPr="00F2244D">
        <w:rPr>
          <w:bCs/>
          <w:sz w:val="20"/>
          <w:szCs w:val="20"/>
        </w:rPr>
        <w:t>2016-2025,</w:t>
      </w:r>
      <w:r w:rsidR="00FF41A0" w:rsidRPr="00F2244D">
        <w:rPr>
          <w:bCs/>
          <w:sz w:val="20"/>
          <w:szCs w:val="20"/>
        </w:rPr>
        <w:t xml:space="preserve"> </w:t>
      </w:r>
      <w:r w:rsidR="00323457" w:rsidRPr="00F2244D">
        <w:rPr>
          <w:bCs/>
          <w:sz w:val="20"/>
          <w:szCs w:val="20"/>
        </w:rPr>
        <w:t>and</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establishment</w:t>
      </w:r>
      <w:r w:rsidR="00FF41A0" w:rsidRPr="00F2244D">
        <w:rPr>
          <w:bCs/>
          <w:sz w:val="20"/>
          <w:szCs w:val="20"/>
        </w:rPr>
        <w:t xml:space="preserve"> </w:t>
      </w:r>
      <w:r w:rsidR="00323457" w:rsidRPr="00F2244D">
        <w:rPr>
          <w:bCs/>
          <w:sz w:val="20"/>
          <w:szCs w:val="20"/>
        </w:rPr>
        <w:t>of</w:t>
      </w:r>
      <w:r w:rsidR="00FF41A0" w:rsidRPr="00F2244D">
        <w:rPr>
          <w:bCs/>
          <w:sz w:val="20"/>
          <w:szCs w:val="20"/>
        </w:rPr>
        <w:t xml:space="preserve"> </w:t>
      </w:r>
      <w:r w:rsidR="00323457" w:rsidRPr="00F2244D">
        <w:rPr>
          <w:bCs/>
          <w:sz w:val="20"/>
          <w:szCs w:val="20"/>
        </w:rPr>
        <w:t>a</w:t>
      </w:r>
      <w:r w:rsidR="00FF41A0" w:rsidRPr="00F2244D">
        <w:rPr>
          <w:bCs/>
          <w:sz w:val="20"/>
          <w:szCs w:val="20"/>
        </w:rPr>
        <w:t xml:space="preserve"> </w:t>
      </w:r>
      <w:r w:rsidR="00323457" w:rsidRPr="00F2244D">
        <w:rPr>
          <w:bCs/>
          <w:sz w:val="20"/>
          <w:szCs w:val="20"/>
        </w:rPr>
        <w:t>Royal</w:t>
      </w:r>
      <w:r w:rsidR="00FF41A0" w:rsidRPr="00F2244D">
        <w:rPr>
          <w:bCs/>
          <w:sz w:val="20"/>
          <w:szCs w:val="20"/>
        </w:rPr>
        <w:t xml:space="preserve"> </w:t>
      </w:r>
      <w:r w:rsidR="00323457" w:rsidRPr="00F2244D">
        <w:rPr>
          <w:bCs/>
          <w:sz w:val="20"/>
          <w:szCs w:val="20"/>
        </w:rPr>
        <w:t>Committee</w:t>
      </w:r>
      <w:r w:rsidR="00FF41A0" w:rsidRPr="00F2244D">
        <w:rPr>
          <w:bCs/>
          <w:sz w:val="20"/>
          <w:szCs w:val="20"/>
        </w:rPr>
        <w:t xml:space="preserve"> </w:t>
      </w:r>
      <w:r w:rsidR="00323457" w:rsidRPr="00F2244D">
        <w:rPr>
          <w:bCs/>
          <w:sz w:val="20"/>
          <w:szCs w:val="20"/>
        </w:rPr>
        <w:t>for</w:t>
      </w:r>
      <w:r w:rsidR="00FF41A0" w:rsidRPr="00F2244D">
        <w:rPr>
          <w:bCs/>
          <w:sz w:val="20"/>
          <w:szCs w:val="20"/>
        </w:rPr>
        <w:t xml:space="preserve"> </w:t>
      </w:r>
      <w:r w:rsidR="00323457" w:rsidRPr="00F2244D">
        <w:rPr>
          <w:bCs/>
          <w:sz w:val="20"/>
          <w:szCs w:val="20"/>
        </w:rPr>
        <w:t>developing</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legal</w:t>
      </w:r>
      <w:r w:rsidR="00FF41A0" w:rsidRPr="00F2244D">
        <w:rPr>
          <w:bCs/>
          <w:sz w:val="20"/>
          <w:szCs w:val="20"/>
        </w:rPr>
        <w:t xml:space="preserve"> </w:t>
      </w:r>
      <w:r w:rsidR="00323457" w:rsidRPr="00F2244D">
        <w:rPr>
          <w:bCs/>
          <w:sz w:val="20"/>
          <w:szCs w:val="20"/>
        </w:rPr>
        <w:t>system</w:t>
      </w:r>
      <w:r w:rsidR="00FF41A0" w:rsidRPr="00F2244D">
        <w:rPr>
          <w:bCs/>
          <w:sz w:val="20"/>
          <w:szCs w:val="20"/>
        </w:rPr>
        <w:t xml:space="preserve"> </w:t>
      </w:r>
      <w:r w:rsidR="00323457" w:rsidRPr="00F2244D">
        <w:rPr>
          <w:bCs/>
          <w:sz w:val="20"/>
          <w:szCs w:val="20"/>
        </w:rPr>
        <w:t>and</w:t>
      </w:r>
      <w:r w:rsidR="00FF41A0" w:rsidRPr="00F2244D">
        <w:rPr>
          <w:bCs/>
          <w:sz w:val="20"/>
          <w:szCs w:val="20"/>
        </w:rPr>
        <w:t xml:space="preserve"> </w:t>
      </w:r>
      <w:r w:rsidR="00323457" w:rsidRPr="00F2244D">
        <w:rPr>
          <w:bCs/>
          <w:sz w:val="20"/>
          <w:szCs w:val="20"/>
        </w:rPr>
        <w:t>supporting</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rule</w:t>
      </w:r>
      <w:r w:rsidR="00FF41A0" w:rsidRPr="00F2244D">
        <w:rPr>
          <w:bCs/>
          <w:sz w:val="20"/>
          <w:szCs w:val="20"/>
        </w:rPr>
        <w:t xml:space="preserve"> </w:t>
      </w:r>
      <w:r w:rsidR="00323457" w:rsidRPr="00F2244D">
        <w:rPr>
          <w:bCs/>
          <w:sz w:val="20"/>
          <w:szCs w:val="20"/>
        </w:rPr>
        <w:t>of</w:t>
      </w:r>
      <w:r w:rsidR="00FF41A0" w:rsidRPr="00F2244D">
        <w:rPr>
          <w:bCs/>
          <w:sz w:val="20"/>
          <w:szCs w:val="20"/>
        </w:rPr>
        <w:t xml:space="preserve"> </w:t>
      </w:r>
      <w:r w:rsidR="00323457" w:rsidRPr="00F2244D">
        <w:rPr>
          <w:bCs/>
          <w:sz w:val="20"/>
          <w:szCs w:val="20"/>
        </w:rPr>
        <w:t>law.</w:t>
      </w:r>
      <w:r w:rsidR="00FF41A0" w:rsidRPr="00F2244D">
        <w:rPr>
          <w:bCs/>
          <w:sz w:val="20"/>
          <w:szCs w:val="20"/>
        </w:rPr>
        <w:t xml:space="preserve"> </w:t>
      </w:r>
      <w:r w:rsidR="00323457" w:rsidRPr="00F2244D">
        <w:rPr>
          <w:bCs/>
          <w:sz w:val="20"/>
          <w:szCs w:val="20"/>
        </w:rPr>
        <w:t>Egypt</w:t>
      </w:r>
      <w:r w:rsidR="00FF41A0" w:rsidRPr="00F2244D">
        <w:rPr>
          <w:bCs/>
          <w:sz w:val="20"/>
          <w:szCs w:val="20"/>
        </w:rPr>
        <w:t xml:space="preserve"> </w:t>
      </w:r>
      <w:r w:rsidR="00323457" w:rsidRPr="00F2244D">
        <w:rPr>
          <w:bCs/>
          <w:sz w:val="20"/>
          <w:szCs w:val="20"/>
        </w:rPr>
        <w:t>welcomed</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adoption</w:t>
      </w:r>
      <w:r w:rsidR="00FF41A0" w:rsidRPr="00F2244D">
        <w:rPr>
          <w:bCs/>
          <w:sz w:val="20"/>
          <w:szCs w:val="20"/>
        </w:rPr>
        <w:t xml:space="preserve"> </w:t>
      </w:r>
      <w:r w:rsidR="00323457" w:rsidRPr="00F2244D">
        <w:rPr>
          <w:bCs/>
          <w:sz w:val="20"/>
          <w:szCs w:val="20"/>
        </w:rPr>
        <w:t>of</w:t>
      </w:r>
      <w:r w:rsidR="00FF41A0" w:rsidRPr="00F2244D">
        <w:rPr>
          <w:bCs/>
          <w:sz w:val="20"/>
          <w:szCs w:val="20"/>
        </w:rPr>
        <w:t xml:space="preserve"> </w:t>
      </w:r>
      <w:r w:rsidR="00323457" w:rsidRPr="00F2244D">
        <w:rPr>
          <w:bCs/>
          <w:sz w:val="20"/>
          <w:szCs w:val="20"/>
        </w:rPr>
        <w:t>a</w:t>
      </w:r>
      <w:r w:rsidR="00FF41A0" w:rsidRPr="00F2244D">
        <w:rPr>
          <w:bCs/>
          <w:sz w:val="20"/>
          <w:szCs w:val="20"/>
        </w:rPr>
        <w:t xml:space="preserve"> </w:t>
      </w:r>
      <w:r w:rsidR="00323457" w:rsidRPr="00F2244D">
        <w:rPr>
          <w:bCs/>
          <w:sz w:val="20"/>
          <w:szCs w:val="20"/>
        </w:rPr>
        <w:t>law</w:t>
      </w:r>
      <w:r w:rsidR="00FF41A0" w:rsidRPr="00F2244D">
        <w:rPr>
          <w:bCs/>
          <w:sz w:val="20"/>
          <w:szCs w:val="20"/>
        </w:rPr>
        <w:t xml:space="preserve"> </w:t>
      </w:r>
      <w:r w:rsidR="00323457" w:rsidRPr="00F2244D">
        <w:rPr>
          <w:bCs/>
          <w:sz w:val="20"/>
          <w:szCs w:val="20"/>
        </w:rPr>
        <w:t>to</w:t>
      </w:r>
      <w:r w:rsidR="00FF41A0" w:rsidRPr="00F2244D">
        <w:rPr>
          <w:bCs/>
          <w:sz w:val="20"/>
          <w:szCs w:val="20"/>
        </w:rPr>
        <w:t xml:space="preserve"> </w:t>
      </w:r>
      <w:r w:rsidR="00323457" w:rsidRPr="00F2244D">
        <w:rPr>
          <w:bCs/>
          <w:sz w:val="20"/>
          <w:szCs w:val="20"/>
        </w:rPr>
        <w:t>counter</w:t>
      </w:r>
      <w:r w:rsidR="00FF41A0" w:rsidRPr="00F2244D">
        <w:rPr>
          <w:bCs/>
          <w:sz w:val="20"/>
          <w:szCs w:val="20"/>
        </w:rPr>
        <w:t xml:space="preserve"> </w:t>
      </w:r>
      <w:r w:rsidR="00323457" w:rsidRPr="00F2244D">
        <w:rPr>
          <w:bCs/>
          <w:sz w:val="20"/>
          <w:szCs w:val="20"/>
        </w:rPr>
        <w:t>domestic</w:t>
      </w:r>
      <w:r w:rsidR="00FF41A0" w:rsidRPr="00F2244D">
        <w:rPr>
          <w:bCs/>
          <w:sz w:val="20"/>
          <w:szCs w:val="20"/>
        </w:rPr>
        <w:t xml:space="preserve"> </w:t>
      </w:r>
      <w:r w:rsidR="00323457" w:rsidRPr="00F2244D">
        <w:rPr>
          <w:bCs/>
          <w:sz w:val="20"/>
          <w:szCs w:val="20"/>
        </w:rPr>
        <w:t>violence</w:t>
      </w:r>
      <w:r w:rsidR="00FF41A0" w:rsidRPr="00F2244D">
        <w:rPr>
          <w:bCs/>
          <w:sz w:val="20"/>
          <w:szCs w:val="20"/>
        </w:rPr>
        <w:t xml:space="preserve"> </w:t>
      </w:r>
      <w:r w:rsidR="00323457" w:rsidRPr="00F2244D">
        <w:rPr>
          <w:bCs/>
          <w:sz w:val="20"/>
          <w:szCs w:val="20"/>
        </w:rPr>
        <w:t>and</w:t>
      </w:r>
      <w:r w:rsidR="00FF41A0" w:rsidRPr="00F2244D">
        <w:rPr>
          <w:bCs/>
          <w:sz w:val="20"/>
          <w:szCs w:val="20"/>
        </w:rPr>
        <w:t xml:space="preserve"> </w:t>
      </w:r>
      <w:r w:rsidR="00323457" w:rsidRPr="00F2244D">
        <w:rPr>
          <w:bCs/>
          <w:sz w:val="20"/>
          <w:szCs w:val="20"/>
        </w:rPr>
        <w:t>provisions</w:t>
      </w:r>
      <w:r w:rsidR="00FF41A0" w:rsidRPr="00F2244D">
        <w:rPr>
          <w:bCs/>
          <w:sz w:val="20"/>
          <w:szCs w:val="20"/>
        </w:rPr>
        <w:t xml:space="preserve"> </w:t>
      </w:r>
      <w:r w:rsidR="00323457" w:rsidRPr="00F2244D">
        <w:rPr>
          <w:bCs/>
          <w:sz w:val="20"/>
          <w:szCs w:val="20"/>
        </w:rPr>
        <w:t>protecting</w:t>
      </w:r>
      <w:r w:rsidR="00FF41A0" w:rsidRPr="00F2244D">
        <w:rPr>
          <w:bCs/>
          <w:sz w:val="20"/>
          <w:szCs w:val="20"/>
        </w:rPr>
        <w:t xml:space="preserve"> </w:t>
      </w:r>
      <w:r w:rsidR="00323457" w:rsidRPr="00F2244D">
        <w:rPr>
          <w:bCs/>
          <w:sz w:val="20"/>
          <w:szCs w:val="20"/>
        </w:rPr>
        <w:t>women</w:t>
      </w:r>
      <w:r w:rsidR="00FF41A0" w:rsidRPr="00F2244D">
        <w:rPr>
          <w:bCs/>
          <w:sz w:val="20"/>
          <w:szCs w:val="20"/>
        </w:rPr>
        <w:t xml:space="preserve"> </w:t>
      </w:r>
      <w:r w:rsidR="00323457" w:rsidRPr="00F2244D">
        <w:rPr>
          <w:bCs/>
          <w:sz w:val="20"/>
          <w:szCs w:val="20"/>
        </w:rPr>
        <w:t>and</w:t>
      </w:r>
      <w:r w:rsidR="00FF41A0" w:rsidRPr="00F2244D">
        <w:rPr>
          <w:bCs/>
          <w:sz w:val="20"/>
          <w:szCs w:val="20"/>
        </w:rPr>
        <w:t xml:space="preserve"> </w:t>
      </w:r>
      <w:r w:rsidR="00323457" w:rsidRPr="00F2244D">
        <w:rPr>
          <w:bCs/>
          <w:sz w:val="20"/>
          <w:szCs w:val="20"/>
        </w:rPr>
        <w:t>children,</w:t>
      </w:r>
      <w:r w:rsidR="00FF41A0" w:rsidRPr="00F2244D">
        <w:rPr>
          <w:bCs/>
          <w:sz w:val="20"/>
          <w:szCs w:val="20"/>
        </w:rPr>
        <w:t xml:space="preserve"> </w:t>
      </w:r>
      <w:r w:rsidR="00323457" w:rsidRPr="00F2244D">
        <w:rPr>
          <w:bCs/>
          <w:sz w:val="20"/>
          <w:szCs w:val="20"/>
        </w:rPr>
        <w:t>as</w:t>
      </w:r>
      <w:r w:rsidR="00FF41A0" w:rsidRPr="00F2244D">
        <w:rPr>
          <w:bCs/>
          <w:sz w:val="20"/>
          <w:szCs w:val="20"/>
        </w:rPr>
        <w:t xml:space="preserve"> </w:t>
      </w:r>
      <w:r w:rsidR="00323457" w:rsidRPr="00F2244D">
        <w:rPr>
          <w:bCs/>
          <w:sz w:val="20"/>
          <w:szCs w:val="20"/>
        </w:rPr>
        <w:t>well</w:t>
      </w:r>
      <w:r w:rsidR="00FF41A0" w:rsidRPr="00F2244D">
        <w:rPr>
          <w:bCs/>
          <w:sz w:val="20"/>
          <w:szCs w:val="20"/>
        </w:rPr>
        <w:t xml:space="preserve"> </w:t>
      </w:r>
      <w:r w:rsidR="00323457" w:rsidRPr="00F2244D">
        <w:rPr>
          <w:bCs/>
          <w:sz w:val="20"/>
          <w:szCs w:val="20"/>
        </w:rPr>
        <w:t>as</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adoption</w:t>
      </w:r>
      <w:r w:rsidR="00FF41A0" w:rsidRPr="00F2244D">
        <w:rPr>
          <w:bCs/>
          <w:sz w:val="20"/>
          <w:szCs w:val="20"/>
        </w:rPr>
        <w:t xml:space="preserve"> </w:t>
      </w:r>
      <w:r w:rsidR="00323457" w:rsidRPr="00F2244D">
        <w:rPr>
          <w:bCs/>
          <w:sz w:val="20"/>
          <w:szCs w:val="20"/>
        </w:rPr>
        <w:t>of</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two</w:t>
      </w:r>
      <w:r w:rsidR="00FF41A0" w:rsidRPr="00F2244D">
        <w:rPr>
          <w:bCs/>
          <w:sz w:val="20"/>
          <w:szCs w:val="20"/>
        </w:rPr>
        <w:t xml:space="preserve"> </w:t>
      </w:r>
      <w:r w:rsidR="00323457" w:rsidRPr="00F2244D">
        <w:rPr>
          <w:bCs/>
          <w:sz w:val="20"/>
          <w:szCs w:val="20"/>
        </w:rPr>
        <w:t>recommendations</w:t>
      </w:r>
      <w:r w:rsidR="00FF41A0" w:rsidRPr="00F2244D">
        <w:rPr>
          <w:bCs/>
          <w:sz w:val="20"/>
          <w:szCs w:val="20"/>
        </w:rPr>
        <w:t xml:space="preserve"> </w:t>
      </w:r>
      <w:r w:rsidR="00323457" w:rsidRPr="00F2244D">
        <w:rPr>
          <w:bCs/>
          <w:sz w:val="20"/>
          <w:szCs w:val="20"/>
        </w:rPr>
        <w:t>presented</w:t>
      </w:r>
      <w:r w:rsidR="00FF41A0" w:rsidRPr="00F2244D">
        <w:rPr>
          <w:bCs/>
          <w:sz w:val="20"/>
          <w:szCs w:val="20"/>
        </w:rPr>
        <w:t xml:space="preserve"> </w:t>
      </w:r>
      <w:r w:rsidR="00323457" w:rsidRPr="00F2244D">
        <w:rPr>
          <w:bCs/>
          <w:sz w:val="20"/>
          <w:szCs w:val="20"/>
        </w:rPr>
        <w:t>by</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Egyptian</w:t>
      </w:r>
      <w:r w:rsidR="00FF41A0" w:rsidRPr="00F2244D">
        <w:rPr>
          <w:bCs/>
          <w:sz w:val="20"/>
          <w:szCs w:val="20"/>
        </w:rPr>
        <w:t xml:space="preserve"> </w:t>
      </w:r>
      <w:r w:rsidR="00323457" w:rsidRPr="00F2244D">
        <w:rPr>
          <w:bCs/>
          <w:sz w:val="20"/>
          <w:szCs w:val="20"/>
        </w:rPr>
        <w:t>government.</w:t>
      </w:r>
      <w:r w:rsidR="00FF41A0" w:rsidRPr="00F2244D">
        <w:rPr>
          <w:bCs/>
          <w:sz w:val="20"/>
          <w:szCs w:val="20"/>
        </w:rPr>
        <w:t xml:space="preserve"> </w:t>
      </w:r>
    </w:p>
    <w:p w14:paraId="3DAB1F98" w14:textId="1720D742" w:rsidR="00323457" w:rsidRPr="00F2244D" w:rsidRDefault="00972F1E" w:rsidP="00F2244D">
      <w:pPr>
        <w:pStyle w:val="SingleTxtG"/>
        <w:rPr>
          <w:bCs/>
          <w:sz w:val="20"/>
          <w:szCs w:val="20"/>
        </w:rPr>
      </w:pPr>
      <w:r>
        <w:rPr>
          <w:bCs/>
          <w:sz w:val="20"/>
          <w:szCs w:val="20"/>
        </w:rPr>
        <w:t>612</w:t>
      </w:r>
      <w:r w:rsidR="00D7475F">
        <w:rPr>
          <w:bCs/>
          <w:sz w:val="20"/>
          <w:szCs w:val="20"/>
        </w:rPr>
        <w:t>.</w:t>
      </w:r>
      <w:r w:rsidR="00D7475F">
        <w:rPr>
          <w:bCs/>
          <w:sz w:val="20"/>
          <w:szCs w:val="20"/>
        </w:rPr>
        <w:tab/>
      </w:r>
      <w:r w:rsidR="00323457" w:rsidRPr="00F2244D">
        <w:rPr>
          <w:bCs/>
          <w:sz w:val="20"/>
          <w:szCs w:val="20"/>
        </w:rPr>
        <w:t>Iraq</w:t>
      </w:r>
      <w:r w:rsidR="00FF41A0" w:rsidRPr="00F2244D">
        <w:rPr>
          <w:bCs/>
          <w:sz w:val="20"/>
          <w:szCs w:val="20"/>
        </w:rPr>
        <w:t xml:space="preserve"> </w:t>
      </w:r>
      <w:r w:rsidR="00323457" w:rsidRPr="00F2244D">
        <w:rPr>
          <w:bCs/>
          <w:sz w:val="20"/>
          <w:szCs w:val="20"/>
        </w:rPr>
        <w:t>expressed</w:t>
      </w:r>
      <w:r w:rsidR="00FF41A0" w:rsidRPr="00F2244D">
        <w:rPr>
          <w:bCs/>
          <w:sz w:val="20"/>
          <w:szCs w:val="20"/>
        </w:rPr>
        <w:t xml:space="preserve"> </w:t>
      </w:r>
      <w:r w:rsidR="00323457" w:rsidRPr="00F2244D">
        <w:rPr>
          <w:bCs/>
          <w:sz w:val="20"/>
          <w:szCs w:val="20"/>
        </w:rPr>
        <w:t>gratitude</w:t>
      </w:r>
      <w:r w:rsidR="00FF41A0" w:rsidRPr="00F2244D">
        <w:rPr>
          <w:bCs/>
          <w:sz w:val="20"/>
          <w:szCs w:val="20"/>
        </w:rPr>
        <w:t xml:space="preserve"> </w:t>
      </w:r>
      <w:r w:rsidR="00323457" w:rsidRPr="00F2244D">
        <w:rPr>
          <w:bCs/>
          <w:sz w:val="20"/>
          <w:szCs w:val="20"/>
        </w:rPr>
        <w:t>for</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adoption</w:t>
      </w:r>
      <w:r w:rsidR="00FF41A0" w:rsidRPr="00F2244D">
        <w:rPr>
          <w:bCs/>
          <w:sz w:val="20"/>
          <w:szCs w:val="20"/>
        </w:rPr>
        <w:t xml:space="preserve"> </w:t>
      </w:r>
      <w:r w:rsidR="00323457" w:rsidRPr="00F2244D">
        <w:rPr>
          <w:bCs/>
          <w:sz w:val="20"/>
          <w:szCs w:val="20"/>
        </w:rPr>
        <w:t>by</w:t>
      </w:r>
      <w:r w:rsidR="00FF41A0" w:rsidRPr="00F2244D">
        <w:rPr>
          <w:bCs/>
          <w:sz w:val="20"/>
          <w:szCs w:val="20"/>
        </w:rPr>
        <w:t xml:space="preserve"> </w:t>
      </w:r>
      <w:r w:rsidR="00323457" w:rsidRPr="00F2244D">
        <w:rPr>
          <w:bCs/>
          <w:sz w:val="20"/>
          <w:szCs w:val="20"/>
        </w:rPr>
        <w:t>Jordan</w:t>
      </w:r>
      <w:r w:rsidR="00FF41A0" w:rsidRPr="00F2244D">
        <w:rPr>
          <w:bCs/>
          <w:sz w:val="20"/>
          <w:szCs w:val="20"/>
        </w:rPr>
        <w:t xml:space="preserve"> </w:t>
      </w:r>
      <w:r w:rsidR="00323457" w:rsidRPr="00F2244D">
        <w:rPr>
          <w:bCs/>
          <w:sz w:val="20"/>
          <w:szCs w:val="20"/>
        </w:rPr>
        <w:t>of</w:t>
      </w:r>
      <w:r w:rsidR="00FF41A0" w:rsidRPr="00F2244D">
        <w:rPr>
          <w:bCs/>
          <w:sz w:val="20"/>
          <w:szCs w:val="20"/>
        </w:rPr>
        <w:t xml:space="preserve"> </w:t>
      </w:r>
      <w:r w:rsidR="00323457" w:rsidRPr="00F2244D">
        <w:rPr>
          <w:bCs/>
          <w:sz w:val="20"/>
          <w:szCs w:val="20"/>
        </w:rPr>
        <w:t>its</w:t>
      </w:r>
      <w:r w:rsidR="00FF41A0" w:rsidRPr="00F2244D">
        <w:rPr>
          <w:bCs/>
          <w:sz w:val="20"/>
          <w:szCs w:val="20"/>
        </w:rPr>
        <w:t xml:space="preserve"> </w:t>
      </w:r>
      <w:r w:rsidR="00323457" w:rsidRPr="00F2244D">
        <w:rPr>
          <w:bCs/>
          <w:sz w:val="20"/>
          <w:szCs w:val="20"/>
        </w:rPr>
        <w:t>three</w:t>
      </w:r>
      <w:r w:rsidR="00FF41A0" w:rsidRPr="00F2244D">
        <w:rPr>
          <w:bCs/>
          <w:sz w:val="20"/>
          <w:szCs w:val="20"/>
        </w:rPr>
        <w:t xml:space="preserve"> </w:t>
      </w:r>
      <w:r w:rsidR="00323457" w:rsidRPr="00F2244D">
        <w:rPr>
          <w:bCs/>
          <w:sz w:val="20"/>
          <w:szCs w:val="20"/>
        </w:rPr>
        <w:t>recommendations</w:t>
      </w:r>
      <w:r w:rsidR="00FF41A0" w:rsidRPr="00F2244D">
        <w:rPr>
          <w:bCs/>
          <w:sz w:val="20"/>
          <w:szCs w:val="20"/>
        </w:rPr>
        <w:t xml:space="preserve"> </w:t>
      </w:r>
      <w:r w:rsidR="00323457" w:rsidRPr="00F2244D">
        <w:rPr>
          <w:bCs/>
          <w:sz w:val="20"/>
          <w:szCs w:val="20"/>
        </w:rPr>
        <w:t>and</w:t>
      </w:r>
      <w:r w:rsidR="00FF41A0" w:rsidRPr="00F2244D">
        <w:rPr>
          <w:bCs/>
          <w:sz w:val="20"/>
          <w:szCs w:val="20"/>
        </w:rPr>
        <w:t xml:space="preserve"> </w:t>
      </w:r>
      <w:r w:rsidR="00323457" w:rsidRPr="00F2244D">
        <w:rPr>
          <w:bCs/>
          <w:sz w:val="20"/>
          <w:szCs w:val="20"/>
        </w:rPr>
        <w:t>commended</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acceptance</w:t>
      </w:r>
      <w:r w:rsidR="00FF41A0" w:rsidRPr="00F2244D">
        <w:rPr>
          <w:bCs/>
          <w:sz w:val="20"/>
          <w:szCs w:val="20"/>
        </w:rPr>
        <w:t xml:space="preserve"> </w:t>
      </w:r>
      <w:r w:rsidR="00323457" w:rsidRPr="00F2244D">
        <w:rPr>
          <w:bCs/>
          <w:sz w:val="20"/>
          <w:szCs w:val="20"/>
        </w:rPr>
        <w:t>by</w:t>
      </w:r>
      <w:r w:rsidR="00FF41A0" w:rsidRPr="00F2244D">
        <w:rPr>
          <w:bCs/>
          <w:sz w:val="20"/>
          <w:szCs w:val="20"/>
        </w:rPr>
        <w:t xml:space="preserve"> </w:t>
      </w:r>
      <w:r w:rsidR="00323457" w:rsidRPr="00F2244D">
        <w:rPr>
          <w:bCs/>
          <w:sz w:val="20"/>
          <w:szCs w:val="20"/>
        </w:rPr>
        <w:t>Jordan</w:t>
      </w:r>
      <w:r w:rsidR="00FF41A0" w:rsidRPr="00F2244D">
        <w:rPr>
          <w:bCs/>
          <w:sz w:val="20"/>
          <w:szCs w:val="20"/>
        </w:rPr>
        <w:t xml:space="preserve"> </w:t>
      </w:r>
      <w:r w:rsidR="00323457" w:rsidRPr="00F2244D">
        <w:rPr>
          <w:bCs/>
          <w:sz w:val="20"/>
          <w:szCs w:val="20"/>
        </w:rPr>
        <w:t>of</w:t>
      </w:r>
      <w:r w:rsidR="00FF41A0" w:rsidRPr="00F2244D">
        <w:rPr>
          <w:bCs/>
          <w:sz w:val="20"/>
          <w:szCs w:val="20"/>
        </w:rPr>
        <w:t xml:space="preserve"> </w:t>
      </w:r>
      <w:r w:rsidR="00323457" w:rsidRPr="00F2244D">
        <w:rPr>
          <w:bCs/>
          <w:sz w:val="20"/>
          <w:szCs w:val="20"/>
        </w:rPr>
        <w:t>a</w:t>
      </w:r>
      <w:r w:rsidR="00FF41A0" w:rsidRPr="00F2244D">
        <w:rPr>
          <w:bCs/>
          <w:sz w:val="20"/>
          <w:szCs w:val="20"/>
        </w:rPr>
        <w:t xml:space="preserve"> </w:t>
      </w:r>
      <w:r w:rsidR="00323457" w:rsidRPr="00F2244D">
        <w:rPr>
          <w:bCs/>
          <w:sz w:val="20"/>
          <w:szCs w:val="20"/>
        </w:rPr>
        <w:t>majority</w:t>
      </w:r>
      <w:r w:rsidR="00FF41A0" w:rsidRPr="00F2244D">
        <w:rPr>
          <w:bCs/>
          <w:sz w:val="20"/>
          <w:szCs w:val="20"/>
        </w:rPr>
        <w:t xml:space="preserve"> </w:t>
      </w:r>
      <w:r w:rsidR="00323457" w:rsidRPr="00F2244D">
        <w:rPr>
          <w:bCs/>
          <w:sz w:val="20"/>
          <w:szCs w:val="20"/>
        </w:rPr>
        <w:t>of</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recommendations</w:t>
      </w:r>
      <w:r w:rsidR="00FF41A0" w:rsidRPr="00F2244D">
        <w:rPr>
          <w:bCs/>
          <w:sz w:val="20"/>
          <w:szCs w:val="20"/>
        </w:rPr>
        <w:t xml:space="preserve"> </w:t>
      </w:r>
      <w:r w:rsidR="00323457" w:rsidRPr="00F2244D">
        <w:rPr>
          <w:bCs/>
          <w:sz w:val="20"/>
          <w:szCs w:val="20"/>
        </w:rPr>
        <w:t>received.</w:t>
      </w:r>
      <w:r w:rsidR="00FF41A0" w:rsidRPr="00F2244D">
        <w:rPr>
          <w:bCs/>
          <w:sz w:val="20"/>
          <w:szCs w:val="20"/>
        </w:rPr>
        <w:t xml:space="preserve"> </w:t>
      </w:r>
      <w:r w:rsidR="00323457" w:rsidRPr="00F2244D">
        <w:rPr>
          <w:bCs/>
          <w:sz w:val="20"/>
          <w:szCs w:val="20"/>
        </w:rPr>
        <w:t>Iraq</w:t>
      </w:r>
      <w:r w:rsidR="00FF41A0" w:rsidRPr="00F2244D">
        <w:rPr>
          <w:bCs/>
          <w:sz w:val="20"/>
          <w:szCs w:val="20"/>
        </w:rPr>
        <w:t xml:space="preserve"> </w:t>
      </w:r>
      <w:r w:rsidR="00323457" w:rsidRPr="00F2244D">
        <w:rPr>
          <w:bCs/>
          <w:sz w:val="20"/>
          <w:szCs w:val="20"/>
        </w:rPr>
        <w:t>noted</w:t>
      </w:r>
      <w:r w:rsidR="00FF41A0" w:rsidRPr="00F2244D">
        <w:rPr>
          <w:bCs/>
          <w:sz w:val="20"/>
          <w:szCs w:val="20"/>
        </w:rPr>
        <w:t xml:space="preserve"> </w:t>
      </w:r>
      <w:r w:rsidR="00323457" w:rsidRPr="00F2244D">
        <w:rPr>
          <w:bCs/>
          <w:sz w:val="20"/>
          <w:szCs w:val="20"/>
        </w:rPr>
        <w:t>that</w:t>
      </w:r>
      <w:r w:rsidR="00FF41A0" w:rsidRPr="00F2244D">
        <w:rPr>
          <w:bCs/>
          <w:sz w:val="20"/>
          <w:szCs w:val="20"/>
        </w:rPr>
        <w:t xml:space="preserve"> </w:t>
      </w:r>
      <w:r w:rsidR="00323457" w:rsidRPr="00F2244D">
        <w:rPr>
          <w:bCs/>
          <w:sz w:val="20"/>
          <w:szCs w:val="20"/>
        </w:rPr>
        <w:t>this</w:t>
      </w:r>
      <w:r w:rsidR="00FF41A0" w:rsidRPr="00F2244D">
        <w:rPr>
          <w:bCs/>
          <w:sz w:val="20"/>
          <w:szCs w:val="20"/>
        </w:rPr>
        <w:t xml:space="preserve"> </w:t>
      </w:r>
      <w:r w:rsidR="00323457" w:rsidRPr="00F2244D">
        <w:rPr>
          <w:bCs/>
          <w:sz w:val="20"/>
          <w:szCs w:val="20"/>
        </w:rPr>
        <w:t>proved</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commitment</w:t>
      </w:r>
      <w:r w:rsidR="00FF41A0" w:rsidRPr="00F2244D">
        <w:rPr>
          <w:bCs/>
          <w:sz w:val="20"/>
          <w:szCs w:val="20"/>
        </w:rPr>
        <w:t xml:space="preserve"> </w:t>
      </w:r>
      <w:r w:rsidR="00323457" w:rsidRPr="00F2244D">
        <w:rPr>
          <w:bCs/>
          <w:sz w:val="20"/>
          <w:szCs w:val="20"/>
        </w:rPr>
        <w:t>of</w:t>
      </w:r>
      <w:r w:rsidR="00FF41A0" w:rsidRPr="00F2244D">
        <w:rPr>
          <w:bCs/>
          <w:sz w:val="20"/>
          <w:szCs w:val="20"/>
        </w:rPr>
        <w:t xml:space="preserve"> </w:t>
      </w:r>
      <w:r w:rsidR="00323457" w:rsidRPr="00F2244D">
        <w:rPr>
          <w:bCs/>
          <w:sz w:val="20"/>
          <w:szCs w:val="20"/>
        </w:rPr>
        <w:t>Jordan</w:t>
      </w:r>
      <w:r w:rsidR="00FF41A0" w:rsidRPr="00F2244D">
        <w:rPr>
          <w:bCs/>
          <w:sz w:val="20"/>
          <w:szCs w:val="20"/>
        </w:rPr>
        <w:t xml:space="preserve"> </w:t>
      </w:r>
      <w:r w:rsidR="00323457" w:rsidRPr="00F2244D">
        <w:rPr>
          <w:bCs/>
          <w:sz w:val="20"/>
          <w:szCs w:val="20"/>
        </w:rPr>
        <w:t>to</w:t>
      </w:r>
      <w:r w:rsidR="00FF41A0" w:rsidRPr="00F2244D">
        <w:rPr>
          <w:bCs/>
          <w:sz w:val="20"/>
          <w:szCs w:val="20"/>
        </w:rPr>
        <w:t xml:space="preserve"> </w:t>
      </w:r>
      <w:r w:rsidR="00323457" w:rsidRPr="00F2244D">
        <w:rPr>
          <w:bCs/>
          <w:sz w:val="20"/>
          <w:szCs w:val="20"/>
        </w:rPr>
        <w:t>international</w:t>
      </w:r>
      <w:r w:rsidR="00FF41A0" w:rsidRPr="00F2244D">
        <w:rPr>
          <w:bCs/>
          <w:sz w:val="20"/>
          <w:szCs w:val="20"/>
        </w:rPr>
        <w:t xml:space="preserve"> </w:t>
      </w:r>
      <w:r w:rsidR="00323457" w:rsidRPr="00F2244D">
        <w:rPr>
          <w:bCs/>
          <w:sz w:val="20"/>
          <w:szCs w:val="20"/>
        </w:rPr>
        <w:t>human</w:t>
      </w:r>
      <w:r w:rsidR="00FF41A0" w:rsidRPr="00F2244D">
        <w:rPr>
          <w:bCs/>
          <w:sz w:val="20"/>
          <w:szCs w:val="20"/>
        </w:rPr>
        <w:t xml:space="preserve"> </w:t>
      </w:r>
      <w:r w:rsidR="00323457" w:rsidRPr="00F2244D">
        <w:rPr>
          <w:bCs/>
          <w:sz w:val="20"/>
          <w:szCs w:val="20"/>
        </w:rPr>
        <w:t>rights</w:t>
      </w:r>
      <w:r w:rsidR="00FF41A0" w:rsidRPr="00F2244D">
        <w:rPr>
          <w:bCs/>
          <w:sz w:val="20"/>
          <w:szCs w:val="20"/>
        </w:rPr>
        <w:t xml:space="preserve"> </w:t>
      </w:r>
      <w:r w:rsidR="00323457" w:rsidRPr="00F2244D">
        <w:rPr>
          <w:bCs/>
          <w:sz w:val="20"/>
          <w:szCs w:val="20"/>
        </w:rPr>
        <w:t>mechanisms.</w:t>
      </w:r>
      <w:r w:rsidR="00FF41A0" w:rsidRPr="00F2244D">
        <w:rPr>
          <w:bCs/>
          <w:sz w:val="20"/>
          <w:szCs w:val="20"/>
        </w:rPr>
        <w:t xml:space="preserve"> </w:t>
      </w:r>
      <w:r w:rsidR="00323457" w:rsidRPr="00F2244D">
        <w:rPr>
          <w:bCs/>
          <w:sz w:val="20"/>
          <w:szCs w:val="20"/>
        </w:rPr>
        <w:t>Iraq</w:t>
      </w:r>
      <w:r w:rsidR="00FF41A0" w:rsidRPr="00F2244D">
        <w:rPr>
          <w:bCs/>
          <w:sz w:val="20"/>
          <w:szCs w:val="20"/>
        </w:rPr>
        <w:t xml:space="preserve"> </w:t>
      </w:r>
      <w:r w:rsidR="00323457" w:rsidRPr="00F2244D">
        <w:rPr>
          <w:bCs/>
          <w:sz w:val="20"/>
          <w:szCs w:val="20"/>
        </w:rPr>
        <w:t>expressed</w:t>
      </w:r>
      <w:r w:rsidR="00FF41A0" w:rsidRPr="00F2244D">
        <w:rPr>
          <w:bCs/>
          <w:sz w:val="20"/>
          <w:szCs w:val="20"/>
        </w:rPr>
        <w:t xml:space="preserve"> </w:t>
      </w:r>
      <w:r w:rsidR="00323457" w:rsidRPr="00F2244D">
        <w:rPr>
          <w:bCs/>
          <w:sz w:val="20"/>
          <w:szCs w:val="20"/>
        </w:rPr>
        <w:t>hope</w:t>
      </w:r>
      <w:r w:rsidR="00FF41A0" w:rsidRPr="00F2244D">
        <w:rPr>
          <w:bCs/>
          <w:sz w:val="20"/>
          <w:szCs w:val="20"/>
        </w:rPr>
        <w:t xml:space="preserve"> </w:t>
      </w:r>
      <w:r w:rsidR="00323457" w:rsidRPr="00F2244D">
        <w:rPr>
          <w:bCs/>
          <w:sz w:val="20"/>
          <w:szCs w:val="20"/>
        </w:rPr>
        <w:t>that</w:t>
      </w:r>
      <w:r w:rsidR="00FF41A0" w:rsidRPr="00F2244D">
        <w:rPr>
          <w:bCs/>
          <w:sz w:val="20"/>
          <w:szCs w:val="20"/>
        </w:rPr>
        <w:t xml:space="preserve"> </w:t>
      </w:r>
      <w:r w:rsidR="00323457" w:rsidRPr="00F2244D">
        <w:rPr>
          <w:bCs/>
          <w:sz w:val="20"/>
          <w:szCs w:val="20"/>
        </w:rPr>
        <w:t>Jordan</w:t>
      </w:r>
      <w:r w:rsidR="00FF41A0" w:rsidRPr="00F2244D">
        <w:rPr>
          <w:bCs/>
          <w:sz w:val="20"/>
          <w:szCs w:val="20"/>
        </w:rPr>
        <w:t xml:space="preserve"> </w:t>
      </w:r>
      <w:r w:rsidR="00323457" w:rsidRPr="00F2244D">
        <w:rPr>
          <w:bCs/>
          <w:sz w:val="20"/>
          <w:szCs w:val="20"/>
        </w:rPr>
        <w:t>will</w:t>
      </w:r>
      <w:r w:rsidR="00FF41A0" w:rsidRPr="00F2244D">
        <w:rPr>
          <w:bCs/>
          <w:sz w:val="20"/>
          <w:szCs w:val="20"/>
        </w:rPr>
        <w:t xml:space="preserve"> </w:t>
      </w:r>
      <w:r w:rsidR="00323457" w:rsidRPr="00F2244D">
        <w:rPr>
          <w:bCs/>
          <w:sz w:val="20"/>
          <w:szCs w:val="20"/>
        </w:rPr>
        <w:t>implement</w:t>
      </w:r>
      <w:r w:rsidR="00FF41A0" w:rsidRPr="00F2244D">
        <w:rPr>
          <w:bCs/>
          <w:sz w:val="20"/>
          <w:szCs w:val="20"/>
        </w:rPr>
        <w:t xml:space="preserve"> </w:t>
      </w:r>
      <w:r w:rsidR="00323457" w:rsidRPr="00F2244D">
        <w:rPr>
          <w:bCs/>
          <w:sz w:val="20"/>
          <w:szCs w:val="20"/>
        </w:rPr>
        <w:t>all</w:t>
      </w:r>
      <w:r w:rsidR="00FF41A0" w:rsidRPr="00F2244D">
        <w:rPr>
          <w:bCs/>
          <w:sz w:val="20"/>
          <w:szCs w:val="20"/>
        </w:rPr>
        <w:t xml:space="preserve"> </w:t>
      </w:r>
      <w:r w:rsidR="00323457" w:rsidRPr="00F2244D">
        <w:rPr>
          <w:bCs/>
          <w:sz w:val="20"/>
          <w:szCs w:val="20"/>
        </w:rPr>
        <w:t>of</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accepted</w:t>
      </w:r>
      <w:r w:rsidR="00FF41A0" w:rsidRPr="00F2244D">
        <w:rPr>
          <w:bCs/>
          <w:sz w:val="20"/>
          <w:szCs w:val="20"/>
        </w:rPr>
        <w:t xml:space="preserve"> </w:t>
      </w:r>
      <w:r w:rsidR="00323457" w:rsidRPr="00F2244D">
        <w:rPr>
          <w:bCs/>
          <w:sz w:val="20"/>
          <w:szCs w:val="20"/>
        </w:rPr>
        <w:t>recommendations.</w:t>
      </w:r>
      <w:r w:rsidR="00FF41A0" w:rsidRPr="00F2244D">
        <w:rPr>
          <w:bCs/>
          <w:sz w:val="20"/>
          <w:szCs w:val="20"/>
        </w:rPr>
        <w:t xml:space="preserve"> </w:t>
      </w:r>
    </w:p>
    <w:p w14:paraId="68E7D66B" w14:textId="0FF0AA85" w:rsidR="00323457" w:rsidRPr="00F2244D" w:rsidRDefault="00972F1E" w:rsidP="00F2244D">
      <w:pPr>
        <w:pStyle w:val="SingleTxtG"/>
        <w:rPr>
          <w:bCs/>
          <w:sz w:val="20"/>
          <w:szCs w:val="20"/>
        </w:rPr>
      </w:pPr>
      <w:r>
        <w:rPr>
          <w:bCs/>
          <w:sz w:val="20"/>
          <w:szCs w:val="20"/>
        </w:rPr>
        <w:t>613</w:t>
      </w:r>
      <w:r w:rsidR="00D7475F">
        <w:rPr>
          <w:bCs/>
          <w:sz w:val="20"/>
          <w:szCs w:val="20"/>
        </w:rPr>
        <w:t>.</w:t>
      </w:r>
      <w:r w:rsidR="00D7475F">
        <w:rPr>
          <w:bCs/>
          <w:sz w:val="20"/>
          <w:szCs w:val="20"/>
        </w:rPr>
        <w:tab/>
      </w:r>
      <w:r w:rsidR="00323457" w:rsidRPr="00F2244D">
        <w:rPr>
          <w:bCs/>
          <w:sz w:val="20"/>
          <w:szCs w:val="20"/>
        </w:rPr>
        <w:t>Kuwait</w:t>
      </w:r>
      <w:r w:rsidR="00FF41A0" w:rsidRPr="00F2244D">
        <w:rPr>
          <w:bCs/>
          <w:sz w:val="20"/>
          <w:szCs w:val="20"/>
        </w:rPr>
        <w:t xml:space="preserve"> </w:t>
      </w:r>
      <w:r w:rsidR="00323457" w:rsidRPr="00F2244D">
        <w:rPr>
          <w:bCs/>
          <w:sz w:val="20"/>
          <w:szCs w:val="20"/>
        </w:rPr>
        <w:t>commended</w:t>
      </w:r>
      <w:r w:rsidR="00FF41A0" w:rsidRPr="00F2244D">
        <w:rPr>
          <w:bCs/>
          <w:sz w:val="20"/>
          <w:szCs w:val="20"/>
        </w:rPr>
        <w:t xml:space="preserve"> </w:t>
      </w:r>
      <w:r w:rsidR="00323457" w:rsidRPr="00F2244D">
        <w:rPr>
          <w:bCs/>
          <w:sz w:val="20"/>
          <w:szCs w:val="20"/>
        </w:rPr>
        <w:t>Jordan</w:t>
      </w:r>
      <w:r w:rsidR="00FF41A0" w:rsidRPr="00F2244D">
        <w:rPr>
          <w:bCs/>
          <w:sz w:val="20"/>
          <w:szCs w:val="20"/>
        </w:rPr>
        <w:t xml:space="preserve"> </w:t>
      </w:r>
      <w:r w:rsidR="00323457" w:rsidRPr="00F2244D">
        <w:rPr>
          <w:bCs/>
          <w:sz w:val="20"/>
          <w:szCs w:val="20"/>
        </w:rPr>
        <w:t>for</w:t>
      </w:r>
      <w:r w:rsidR="00FF41A0" w:rsidRPr="00F2244D">
        <w:rPr>
          <w:bCs/>
          <w:sz w:val="20"/>
          <w:szCs w:val="20"/>
        </w:rPr>
        <w:t xml:space="preserve"> </w:t>
      </w:r>
      <w:r w:rsidR="00323457" w:rsidRPr="00F2244D">
        <w:rPr>
          <w:bCs/>
          <w:sz w:val="20"/>
          <w:szCs w:val="20"/>
        </w:rPr>
        <w:t>accepting</w:t>
      </w:r>
      <w:r w:rsidR="00FF41A0" w:rsidRPr="00F2244D">
        <w:rPr>
          <w:bCs/>
          <w:sz w:val="20"/>
          <w:szCs w:val="20"/>
        </w:rPr>
        <w:t xml:space="preserve"> </w:t>
      </w:r>
      <w:r w:rsidR="00323457" w:rsidRPr="00F2244D">
        <w:rPr>
          <w:bCs/>
          <w:sz w:val="20"/>
          <w:szCs w:val="20"/>
        </w:rPr>
        <w:t>a</w:t>
      </w:r>
      <w:r w:rsidR="00FF41A0" w:rsidRPr="00F2244D">
        <w:rPr>
          <w:bCs/>
          <w:sz w:val="20"/>
          <w:szCs w:val="20"/>
        </w:rPr>
        <w:t xml:space="preserve"> </w:t>
      </w:r>
      <w:r w:rsidR="00323457" w:rsidRPr="00F2244D">
        <w:rPr>
          <w:bCs/>
          <w:sz w:val="20"/>
          <w:szCs w:val="20"/>
        </w:rPr>
        <w:t>large</w:t>
      </w:r>
      <w:r w:rsidR="00FF41A0" w:rsidRPr="00F2244D">
        <w:rPr>
          <w:bCs/>
          <w:sz w:val="20"/>
          <w:szCs w:val="20"/>
        </w:rPr>
        <w:t xml:space="preserve"> </w:t>
      </w:r>
      <w:r w:rsidR="00323457" w:rsidRPr="00F2244D">
        <w:rPr>
          <w:bCs/>
          <w:sz w:val="20"/>
          <w:szCs w:val="20"/>
        </w:rPr>
        <w:t>number</w:t>
      </w:r>
      <w:r w:rsidR="00FF41A0" w:rsidRPr="00F2244D">
        <w:rPr>
          <w:bCs/>
          <w:sz w:val="20"/>
          <w:szCs w:val="20"/>
        </w:rPr>
        <w:t xml:space="preserve"> </w:t>
      </w:r>
      <w:r w:rsidR="00323457" w:rsidRPr="00F2244D">
        <w:rPr>
          <w:bCs/>
          <w:sz w:val="20"/>
          <w:szCs w:val="20"/>
        </w:rPr>
        <w:t>of</w:t>
      </w:r>
      <w:r w:rsidR="00FF41A0" w:rsidRPr="00F2244D">
        <w:rPr>
          <w:bCs/>
          <w:sz w:val="20"/>
          <w:szCs w:val="20"/>
        </w:rPr>
        <w:t xml:space="preserve"> </w:t>
      </w:r>
      <w:r w:rsidR="00323457" w:rsidRPr="00F2244D">
        <w:rPr>
          <w:bCs/>
          <w:sz w:val="20"/>
          <w:szCs w:val="20"/>
        </w:rPr>
        <w:t>recommendations,</w:t>
      </w:r>
      <w:r w:rsidR="00FF41A0" w:rsidRPr="00F2244D">
        <w:rPr>
          <w:bCs/>
          <w:sz w:val="20"/>
          <w:szCs w:val="20"/>
        </w:rPr>
        <w:t xml:space="preserve"> </w:t>
      </w:r>
      <w:r w:rsidR="00323457" w:rsidRPr="00F2244D">
        <w:rPr>
          <w:bCs/>
          <w:sz w:val="20"/>
          <w:szCs w:val="20"/>
        </w:rPr>
        <w:t>including</w:t>
      </w:r>
      <w:r w:rsidR="00FF41A0" w:rsidRPr="00F2244D">
        <w:rPr>
          <w:bCs/>
          <w:sz w:val="20"/>
          <w:szCs w:val="20"/>
        </w:rPr>
        <w:t xml:space="preserve"> </w:t>
      </w:r>
      <w:r w:rsidR="00323457" w:rsidRPr="00F2244D">
        <w:rPr>
          <w:bCs/>
          <w:sz w:val="20"/>
          <w:szCs w:val="20"/>
        </w:rPr>
        <w:t>those</w:t>
      </w:r>
      <w:r w:rsidR="00FF41A0" w:rsidRPr="00F2244D">
        <w:rPr>
          <w:bCs/>
          <w:sz w:val="20"/>
          <w:szCs w:val="20"/>
        </w:rPr>
        <w:t xml:space="preserve"> </w:t>
      </w:r>
      <w:r w:rsidR="00323457" w:rsidRPr="00F2244D">
        <w:rPr>
          <w:bCs/>
          <w:sz w:val="20"/>
          <w:szCs w:val="20"/>
        </w:rPr>
        <w:t>presented</w:t>
      </w:r>
      <w:r w:rsidR="00FF41A0" w:rsidRPr="00F2244D">
        <w:rPr>
          <w:bCs/>
          <w:sz w:val="20"/>
          <w:szCs w:val="20"/>
        </w:rPr>
        <w:t xml:space="preserve"> </w:t>
      </w:r>
      <w:r w:rsidR="00323457" w:rsidRPr="00F2244D">
        <w:rPr>
          <w:bCs/>
          <w:sz w:val="20"/>
          <w:szCs w:val="20"/>
        </w:rPr>
        <w:t>by</w:t>
      </w:r>
      <w:r w:rsidR="00FF41A0" w:rsidRPr="00F2244D">
        <w:rPr>
          <w:bCs/>
          <w:sz w:val="20"/>
          <w:szCs w:val="20"/>
        </w:rPr>
        <w:t xml:space="preserve"> </w:t>
      </w:r>
      <w:r w:rsidR="00323457" w:rsidRPr="00F2244D">
        <w:rPr>
          <w:bCs/>
          <w:sz w:val="20"/>
          <w:szCs w:val="20"/>
        </w:rPr>
        <w:t>Kuwait,</w:t>
      </w:r>
      <w:r w:rsidR="00FF41A0" w:rsidRPr="00F2244D">
        <w:rPr>
          <w:bCs/>
          <w:sz w:val="20"/>
          <w:szCs w:val="20"/>
        </w:rPr>
        <w:t xml:space="preserve"> </w:t>
      </w:r>
      <w:r w:rsidR="00323457" w:rsidRPr="00F2244D">
        <w:rPr>
          <w:bCs/>
          <w:sz w:val="20"/>
          <w:szCs w:val="20"/>
        </w:rPr>
        <w:t>which</w:t>
      </w:r>
      <w:r w:rsidR="00FF41A0" w:rsidRPr="00F2244D">
        <w:rPr>
          <w:bCs/>
          <w:sz w:val="20"/>
          <w:szCs w:val="20"/>
        </w:rPr>
        <w:t xml:space="preserve"> </w:t>
      </w:r>
      <w:r w:rsidR="00323457" w:rsidRPr="00F2244D">
        <w:rPr>
          <w:bCs/>
          <w:sz w:val="20"/>
          <w:szCs w:val="20"/>
        </w:rPr>
        <w:t>invited</w:t>
      </w:r>
      <w:r w:rsidR="00FF41A0" w:rsidRPr="00F2244D">
        <w:rPr>
          <w:bCs/>
          <w:sz w:val="20"/>
          <w:szCs w:val="20"/>
        </w:rPr>
        <w:t xml:space="preserve"> </w:t>
      </w:r>
      <w:r w:rsidR="00323457" w:rsidRPr="00F2244D">
        <w:rPr>
          <w:bCs/>
          <w:sz w:val="20"/>
          <w:szCs w:val="20"/>
        </w:rPr>
        <w:t>Jordan</w:t>
      </w:r>
      <w:r w:rsidR="00FF41A0" w:rsidRPr="00F2244D">
        <w:rPr>
          <w:bCs/>
          <w:sz w:val="20"/>
          <w:szCs w:val="20"/>
        </w:rPr>
        <w:t xml:space="preserve"> </w:t>
      </w:r>
      <w:r w:rsidR="00323457" w:rsidRPr="00F2244D">
        <w:rPr>
          <w:bCs/>
          <w:sz w:val="20"/>
          <w:szCs w:val="20"/>
        </w:rPr>
        <w:t>to</w:t>
      </w:r>
      <w:r w:rsidR="00FF41A0" w:rsidRPr="00F2244D">
        <w:rPr>
          <w:bCs/>
          <w:sz w:val="20"/>
          <w:szCs w:val="20"/>
        </w:rPr>
        <w:t xml:space="preserve"> </w:t>
      </w:r>
      <w:r w:rsidR="00323457" w:rsidRPr="00F2244D">
        <w:rPr>
          <w:bCs/>
          <w:sz w:val="20"/>
          <w:szCs w:val="20"/>
        </w:rPr>
        <w:t>take</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necessary</w:t>
      </w:r>
      <w:r w:rsidR="00FF41A0" w:rsidRPr="00F2244D">
        <w:rPr>
          <w:bCs/>
          <w:sz w:val="20"/>
          <w:szCs w:val="20"/>
        </w:rPr>
        <w:t xml:space="preserve"> </w:t>
      </w:r>
      <w:r w:rsidR="00323457" w:rsidRPr="00F2244D">
        <w:rPr>
          <w:bCs/>
          <w:sz w:val="20"/>
          <w:szCs w:val="20"/>
        </w:rPr>
        <w:t>measures</w:t>
      </w:r>
      <w:r w:rsidR="00FF41A0" w:rsidRPr="00F2244D">
        <w:rPr>
          <w:bCs/>
          <w:sz w:val="20"/>
          <w:szCs w:val="20"/>
        </w:rPr>
        <w:t xml:space="preserve"> </w:t>
      </w:r>
      <w:r w:rsidR="00323457" w:rsidRPr="00F2244D">
        <w:rPr>
          <w:bCs/>
          <w:sz w:val="20"/>
          <w:szCs w:val="20"/>
        </w:rPr>
        <w:t>to</w:t>
      </w:r>
      <w:r w:rsidR="00FF41A0" w:rsidRPr="00F2244D">
        <w:rPr>
          <w:bCs/>
          <w:sz w:val="20"/>
          <w:szCs w:val="20"/>
        </w:rPr>
        <w:t xml:space="preserve"> </w:t>
      </w:r>
      <w:r w:rsidR="00323457" w:rsidRPr="00F2244D">
        <w:rPr>
          <w:bCs/>
          <w:sz w:val="20"/>
          <w:szCs w:val="20"/>
        </w:rPr>
        <w:t>put</w:t>
      </w:r>
      <w:r w:rsidR="00FF41A0" w:rsidRPr="00F2244D">
        <w:rPr>
          <w:bCs/>
          <w:sz w:val="20"/>
          <w:szCs w:val="20"/>
        </w:rPr>
        <w:t xml:space="preserve"> </w:t>
      </w:r>
      <w:r w:rsidR="00323457" w:rsidRPr="00F2244D">
        <w:rPr>
          <w:bCs/>
          <w:sz w:val="20"/>
          <w:szCs w:val="20"/>
        </w:rPr>
        <w:t>in</w:t>
      </w:r>
      <w:r w:rsidR="00FF41A0" w:rsidRPr="00F2244D">
        <w:rPr>
          <w:bCs/>
          <w:sz w:val="20"/>
          <w:szCs w:val="20"/>
        </w:rPr>
        <w:t xml:space="preserve"> </w:t>
      </w:r>
      <w:r w:rsidR="00323457" w:rsidRPr="00F2244D">
        <w:rPr>
          <w:bCs/>
          <w:sz w:val="20"/>
          <w:szCs w:val="20"/>
        </w:rPr>
        <w:t>place</w:t>
      </w:r>
      <w:r w:rsidR="00FF41A0" w:rsidRPr="00F2244D">
        <w:rPr>
          <w:bCs/>
          <w:sz w:val="20"/>
          <w:szCs w:val="20"/>
        </w:rPr>
        <w:t xml:space="preserve"> </w:t>
      </w:r>
      <w:r w:rsidR="00323457" w:rsidRPr="00F2244D">
        <w:rPr>
          <w:bCs/>
          <w:sz w:val="20"/>
          <w:szCs w:val="20"/>
        </w:rPr>
        <w:t>procedures</w:t>
      </w:r>
      <w:r w:rsidR="00FF41A0" w:rsidRPr="00F2244D">
        <w:rPr>
          <w:bCs/>
          <w:sz w:val="20"/>
          <w:szCs w:val="20"/>
        </w:rPr>
        <w:t xml:space="preserve"> </w:t>
      </w:r>
      <w:r w:rsidR="00323457" w:rsidRPr="00F2244D">
        <w:rPr>
          <w:bCs/>
          <w:sz w:val="20"/>
          <w:szCs w:val="20"/>
        </w:rPr>
        <w:t>linked</w:t>
      </w:r>
      <w:r w:rsidR="00FF41A0" w:rsidRPr="00F2244D">
        <w:rPr>
          <w:bCs/>
          <w:sz w:val="20"/>
          <w:szCs w:val="20"/>
        </w:rPr>
        <w:t xml:space="preserve"> </w:t>
      </w:r>
      <w:r w:rsidR="00323457" w:rsidRPr="00F2244D">
        <w:rPr>
          <w:bCs/>
          <w:sz w:val="20"/>
          <w:szCs w:val="20"/>
        </w:rPr>
        <w:t>to</w:t>
      </w:r>
      <w:r w:rsidR="00FF41A0" w:rsidRPr="00F2244D">
        <w:rPr>
          <w:bCs/>
          <w:sz w:val="20"/>
          <w:szCs w:val="20"/>
        </w:rPr>
        <w:t xml:space="preserve"> </w:t>
      </w:r>
      <w:r w:rsidR="00323457" w:rsidRPr="00F2244D">
        <w:rPr>
          <w:bCs/>
          <w:sz w:val="20"/>
          <w:szCs w:val="20"/>
        </w:rPr>
        <w:t>alternative</w:t>
      </w:r>
      <w:r w:rsidR="00FF41A0" w:rsidRPr="00F2244D">
        <w:rPr>
          <w:bCs/>
          <w:sz w:val="20"/>
          <w:szCs w:val="20"/>
        </w:rPr>
        <w:t xml:space="preserve"> </w:t>
      </w:r>
      <w:r w:rsidR="00323457" w:rsidRPr="00F2244D">
        <w:rPr>
          <w:bCs/>
          <w:sz w:val="20"/>
          <w:szCs w:val="20"/>
        </w:rPr>
        <w:t>sentencing</w:t>
      </w:r>
      <w:r w:rsidR="00FF41A0" w:rsidRPr="00F2244D">
        <w:rPr>
          <w:bCs/>
          <w:sz w:val="20"/>
          <w:szCs w:val="20"/>
        </w:rPr>
        <w:t xml:space="preserve"> </w:t>
      </w:r>
      <w:r w:rsidR="00323457" w:rsidRPr="00F2244D">
        <w:rPr>
          <w:bCs/>
          <w:sz w:val="20"/>
          <w:szCs w:val="20"/>
        </w:rPr>
        <w:t>measures</w:t>
      </w:r>
      <w:r w:rsidR="00FF41A0" w:rsidRPr="00F2244D">
        <w:rPr>
          <w:bCs/>
          <w:sz w:val="20"/>
          <w:szCs w:val="20"/>
        </w:rPr>
        <w:t xml:space="preserve"> </w:t>
      </w:r>
      <w:r w:rsidR="00323457" w:rsidRPr="00F2244D">
        <w:rPr>
          <w:bCs/>
          <w:sz w:val="20"/>
          <w:szCs w:val="20"/>
        </w:rPr>
        <w:t>and</w:t>
      </w:r>
      <w:r w:rsidR="00FF41A0" w:rsidRPr="00F2244D">
        <w:rPr>
          <w:bCs/>
          <w:sz w:val="20"/>
          <w:szCs w:val="20"/>
        </w:rPr>
        <w:t xml:space="preserve"> </w:t>
      </w:r>
      <w:r w:rsidR="00323457" w:rsidRPr="00F2244D">
        <w:rPr>
          <w:bCs/>
          <w:sz w:val="20"/>
          <w:szCs w:val="20"/>
        </w:rPr>
        <w:t>to</w:t>
      </w:r>
      <w:r w:rsidR="00FF41A0" w:rsidRPr="00F2244D">
        <w:rPr>
          <w:bCs/>
          <w:sz w:val="20"/>
          <w:szCs w:val="20"/>
        </w:rPr>
        <w:t xml:space="preserve"> </w:t>
      </w:r>
      <w:r w:rsidR="00323457" w:rsidRPr="00F2244D">
        <w:rPr>
          <w:bCs/>
          <w:sz w:val="20"/>
          <w:szCs w:val="20"/>
        </w:rPr>
        <w:t>adopt</w:t>
      </w:r>
      <w:r w:rsidR="00FF41A0" w:rsidRPr="00F2244D">
        <w:rPr>
          <w:bCs/>
          <w:sz w:val="20"/>
          <w:szCs w:val="20"/>
        </w:rPr>
        <w:t xml:space="preserve"> </w:t>
      </w:r>
      <w:r w:rsidR="00323457" w:rsidRPr="00F2244D">
        <w:rPr>
          <w:bCs/>
          <w:sz w:val="20"/>
          <w:szCs w:val="20"/>
        </w:rPr>
        <w:t>laws</w:t>
      </w:r>
      <w:r w:rsidR="00FF41A0" w:rsidRPr="00F2244D">
        <w:rPr>
          <w:bCs/>
          <w:sz w:val="20"/>
          <w:szCs w:val="20"/>
        </w:rPr>
        <w:t xml:space="preserve"> </w:t>
      </w:r>
      <w:r w:rsidR="00323457" w:rsidRPr="00F2244D">
        <w:rPr>
          <w:bCs/>
          <w:sz w:val="20"/>
          <w:szCs w:val="20"/>
        </w:rPr>
        <w:t>promoting</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rights</w:t>
      </w:r>
      <w:r w:rsidR="00FF41A0" w:rsidRPr="00F2244D">
        <w:rPr>
          <w:bCs/>
          <w:sz w:val="20"/>
          <w:szCs w:val="20"/>
        </w:rPr>
        <w:t xml:space="preserve"> </w:t>
      </w:r>
      <w:r w:rsidR="00323457" w:rsidRPr="00F2244D">
        <w:rPr>
          <w:bCs/>
          <w:sz w:val="20"/>
          <w:szCs w:val="20"/>
        </w:rPr>
        <w:t>of</w:t>
      </w:r>
      <w:r w:rsidR="00FF41A0" w:rsidRPr="00F2244D">
        <w:rPr>
          <w:bCs/>
          <w:sz w:val="20"/>
          <w:szCs w:val="20"/>
        </w:rPr>
        <w:t xml:space="preserve"> </w:t>
      </w:r>
      <w:r w:rsidR="00323457" w:rsidRPr="00F2244D">
        <w:rPr>
          <w:bCs/>
          <w:sz w:val="20"/>
          <w:szCs w:val="20"/>
        </w:rPr>
        <w:t>women</w:t>
      </w:r>
      <w:r w:rsidR="00FF41A0" w:rsidRPr="00F2244D">
        <w:rPr>
          <w:bCs/>
          <w:sz w:val="20"/>
          <w:szCs w:val="20"/>
        </w:rPr>
        <w:t xml:space="preserve"> </w:t>
      </w:r>
      <w:r w:rsidR="00323457" w:rsidRPr="00F2244D">
        <w:rPr>
          <w:bCs/>
          <w:sz w:val="20"/>
          <w:szCs w:val="20"/>
        </w:rPr>
        <w:t>in</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workplace.</w:t>
      </w:r>
      <w:r w:rsidR="00FF41A0" w:rsidRPr="00F2244D">
        <w:rPr>
          <w:bCs/>
          <w:sz w:val="20"/>
          <w:szCs w:val="20"/>
        </w:rPr>
        <w:t xml:space="preserve"> </w:t>
      </w:r>
      <w:r w:rsidR="00323457" w:rsidRPr="00F2244D">
        <w:rPr>
          <w:bCs/>
          <w:sz w:val="20"/>
          <w:szCs w:val="20"/>
        </w:rPr>
        <w:t>Kuwait</w:t>
      </w:r>
      <w:r w:rsidR="00FF41A0" w:rsidRPr="00F2244D">
        <w:rPr>
          <w:bCs/>
          <w:sz w:val="20"/>
          <w:szCs w:val="20"/>
        </w:rPr>
        <w:t xml:space="preserve"> </w:t>
      </w:r>
      <w:r w:rsidR="00323457" w:rsidRPr="00F2244D">
        <w:rPr>
          <w:bCs/>
          <w:sz w:val="20"/>
          <w:szCs w:val="20"/>
        </w:rPr>
        <w:t>commended</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creation</w:t>
      </w:r>
      <w:r w:rsidR="00FF41A0" w:rsidRPr="00F2244D">
        <w:rPr>
          <w:bCs/>
          <w:sz w:val="20"/>
          <w:szCs w:val="20"/>
        </w:rPr>
        <w:t xml:space="preserve"> </w:t>
      </w:r>
      <w:r w:rsidR="00323457" w:rsidRPr="00F2244D">
        <w:rPr>
          <w:bCs/>
          <w:sz w:val="20"/>
          <w:szCs w:val="20"/>
        </w:rPr>
        <w:t>of</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office</w:t>
      </w:r>
      <w:r w:rsidR="00FF41A0" w:rsidRPr="00F2244D">
        <w:rPr>
          <w:bCs/>
          <w:sz w:val="20"/>
          <w:szCs w:val="20"/>
        </w:rPr>
        <w:t xml:space="preserve"> </w:t>
      </w:r>
      <w:r w:rsidR="00323457" w:rsidRPr="00F2244D">
        <w:rPr>
          <w:bCs/>
          <w:sz w:val="20"/>
          <w:szCs w:val="20"/>
        </w:rPr>
        <w:t>of</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high-level</w:t>
      </w:r>
      <w:r w:rsidR="00FF41A0" w:rsidRPr="00F2244D">
        <w:rPr>
          <w:bCs/>
          <w:sz w:val="20"/>
          <w:szCs w:val="20"/>
        </w:rPr>
        <w:t xml:space="preserve"> </w:t>
      </w:r>
      <w:r w:rsidR="00323457" w:rsidRPr="00F2244D">
        <w:rPr>
          <w:bCs/>
          <w:sz w:val="20"/>
          <w:szCs w:val="20"/>
        </w:rPr>
        <w:t>government</w:t>
      </w:r>
      <w:r w:rsidR="00FF41A0" w:rsidRPr="00F2244D">
        <w:rPr>
          <w:bCs/>
          <w:sz w:val="20"/>
          <w:szCs w:val="20"/>
        </w:rPr>
        <w:t xml:space="preserve"> </w:t>
      </w:r>
      <w:r w:rsidR="00323457" w:rsidRPr="00F2244D">
        <w:rPr>
          <w:bCs/>
          <w:sz w:val="20"/>
          <w:szCs w:val="20"/>
        </w:rPr>
        <w:t>coordinator</w:t>
      </w:r>
      <w:r w:rsidR="00FF41A0" w:rsidRPr="00F2244D">
        <w:rPr>
          <w:bCs/>
          <w:sz w:val="20"/>
          <w:szCs w:val="20"/>
        </w:rPr>
        <w:t xml:space="preserve"> </w:t>
      </w:r>
      <w:r w:rsidR="00323457" w:rsidRPr="00F2244D">
        <w:rPr>
          <w:bCs/>
          <w:sz w:val="20"/>
          <w:szCs w:val="20"/>
        </w:rPr>
        <w:t>for</w:t>
      </w:r>
      <w:r w:rsidR="00FF41A0" w:rsidRPr="00F2244D">
        <w:rPr>
          <w:bCs/>
          <w:sz w:val="20"/>
          <w:szCs w:val="20"/>
        </w:rPr>
        <w:t xml:space="preserve"> </w:t>
      </w:r>
      <w:r w:rsidR="00323457" w:rsidRPr="00F2244D">
        <w:rPr>
          <w:bCs/>
          <w:sz w:val="20"/>
          <w:szCs w:val="20"/>
        </w:rPr>
        <w:t>human</w:t>
      </w:r>
      <w:r w:rsidR="00FF41A0" w:rsidRPr="00F2244D">
        <w:rPr>
          <w:bCs/>
          <w:sz w:val="20"/>
          <w:szCs w:val="20"/>
        </w:rPr>
        <w:t xml:space="preserve"> </w:t>
      </w:r>
      <w:r w:rsidR="00323457" w:rsidRPr="00F2244D">
        <w:rPr>
          <w:bCs/>
          <w:sz w:val="20"/>
          <w:szCs w:val="20"/>
        </w:rPr>
        <w:t>rights</w:t>
      </w:r>
      <w:r w:rsidR="00FF41A0" w:rsidRPr="00F2244D">
        <w:rPr>
          <w:bCs/>
          <w:sz w:val="20"/>
          <w:szCs w:val="20"/>
        </w:rPr>
        <w:t xml:space="preserve"> </w:t>
      </w:r>
      <w:r w:rsidR="00323457" w:rsidRPr="00F2244D">
        <w:rPr>
          <w:bCs/>
          <w:sz w:val="20"/>
          <w:szCs w:val="20"/>
        </w:rPr>
        <w:t>and</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adoption</w:t>
      </w:r>
      <w:r w:rsidR="00FF41A0" w:rsidRPr="00F2244D">
        <w:rPr>
          <w:bCs/>
          <w:sz w:val="20"/>
          <w:szCs w:val="20"/>
        </w:rPr>
        <w:t xml:space="preserve"> </w:t>
      </w:r>
      <w:r w:rsidR="00323457" w:rsidRPr="00F2244D">
        <w:rPr>
          <w:bCs/>
          <w:sz w:val="20"/>
          <w:szCs w:val="20"/>
        </w:rPr>
        <w:t>of</w:t>
      </w:r>
      <w:r w:rsidR="00FF41A0" w:rsidRPr="00F2244D">
        <w:rPr>
          <w:bCs/>
          <w:sz w:val="20"/>
          <w:szCs w:val="20"/>
        </w:rPr>
        <w:t xml:space="preserve"> </w:t>
      </w:r>
      <w:r w:rsidR="00323457" w:rsidRPr="00F2244D">
        <w:rPr>
          <w:bCs/>
          <w:sz w:val="20"/>
          <w:szCs w:val="20"/>
        </w:rPr>
        <w:t>a</w:t>
      </w:r>
      <w:r w:rsidR="00FF41A0" w:rsidRPr="00F2244D">
        <w:rPr>
          <w:bCs/>
          <w:sz w:val="20"/>
          <w:szCs w:val="20"/>
        </w:rPr>
        <w:t xml:space="preserve"> </w:t>
      </w:r>
      <w:r w:rsidR="00323457" w:rsidRPr="00F2244D">
        <w:rPr>
          <w:bCs/>
          <w:sz w:val="20"/>
          <w:szCs w:val="20"/>
        </w:rPr>
        <w:t>human</w:t>
      </w:r>
      <w:r w:rsidR="00FF41A0" w:rsidRPr="00F2244D">
        <w:rPr>
          <w:bCs/>
          <w:sz w:val="20"/>
          <w:szCs w:val="20"/>
        </w:rPr>
        <w:t xml:space="preserve"> </w:t>
      </w:r>
      <w:r w:rsidR="00323457" w:rsidRPr="00F2244D">
        <w:rPr>
          <w:bCs/>
          <w:sz w:val="20"/>
          <w:szCs w:val="20"/>
        </w:rPr>
        <w:t>rights</w:t>
      </w:r>
      <w:r w:rsidR="00FF41A0" w:rsidRPr="00F2244D">
        <w:rPr>
          <w:bCs/>
          <w:sz w:val="20"/>
          <w:szCs w:val="20"/>
        </w:rPr>
        <w:t xml:space="preserve"> </w:t>
      </w:r>
      <w:r w:rsidR="00323457" w:rsidRPr="00F2244D">
        <w:rPr>
          <w:bCs/>
          <w:sz w:val="20"/>
          <w:szCs w:val="20"/>
        </w:rPr>
        <w:t>national</w:t>
      </w:r>
      <w:r w:rsidR="00FF41A0" w:rsidRPr="00F2244D">
        <w:rPr>
          <w:bCs/>
          <w:sz w:val="20"/>
          <w:szCs w:val="20"/>
        </w:rPr>
        <w:t xml:space="preserve"> </w:t>
      </w:r>
      <w:r w:rsidR="00323457" w:rsidRPr="00F2244D">
        <w:rPr>
          <w:bCs/>
          <w:sz w:val="20"/>
          <w:szCs w:val="20"/>
        </w:rPr>
        <w:t>plan</w:t>
      </w:r>
      <w:r w:rsidR="00FF41A0" w:rsidRPr="00F2244D">
        <w:rPr>
          <w:bCs/>
          <w:sz w:val="20"/>
          <w:szCs w:val="20"/>
        </w:rPr>
        <w:t xml:space="preserve"> </w:t>
      </w:r>
      <w:r w:rsidR="00323457" w:rsidRPr="00F2244D">
        <w:rPr>
          <w:bCs/>
          <w:sz w:val="20"/>
          <w:szCs w:val="20"/>
        </w:rPr>
        <w:t>to</w:t>
      </w:r>
      <w:r w:rsidR="00FF41A0" w:rsidRPr="00F2244D">
        <w:rPr>
          <w:bCs/>
          <w:sz w:val="20"/>
          <w:szCs w:val="20"/>
        </w:rPr>
        <w:t xml:space="preserve"> </w:t>
      </w:r>
      <w:r w:rsidR="00323457" w:rsidRPr="00F2244D">
        <w:rPr>
          <w:bCs/>
          <w:sz w:val="20"/>
          <w:szCs w:val="20"/>
        </w:rPr>
        <w:t>reduce</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gap</w:t>
      </w:r>
      <w:r w:rsidR="00FF41A0" w:rsidRPr="00F2244D">
        <w:rPr>
          <w:bCs/>
          <w:sz w:val="20"/>
          <w:szCs w:val="20"/>
        </w:rPr>
        <w:t xml:space="preserve"> </w:t>
      </w:r>
      <w:r w:rsidR="00323457" w:rsidRPr="00F2244D">
        <w:rPr>
          <w:bCs/>
          <w:sz w:val="20"/>
          <w:szCs w:val="20"/>
        </w:rPr>
        <w:t>between</w:t>
      </w:r>
      <w:r w:rsidR="00FF41A0" w:rsidRPr="00F2244D">
        <w:rPr>
          <w:bCs/>
          <w:sz w:val="20"/>
          <w:szCs w:val="20"/>
        </w:rPr>
        <w:t xml:space="preserve"> </w:t>
      </w:r>
      <w:r w:rsidR="00323457" w:rsidRPr="00F2244D">
        <w:rPr>
          <w:bCs/>
          <w:sz w:val="20"/>
          <w:szCs w:val="20"/>
        </w:rPr>
        <w:t>law</w:t>
      </w:r>
      <w:r w:rsidR="00FF41A0" w:rsidRPr="00F2244D">
        <w:rPr>
          <w:bCs/>
          <w:sz w:val="20"/>
          <w:szCs w:val="20"/>
        </w:rPr>
        <w:t xml:space="preserve"> </w:t>
      </w:r>
      <w:r w:rsidR="00323457" w:rsidRPr="00F2244D">
        <w:rPr>
          <w:bCs/>
          <w:sz w:val="20"/>
          <w:szCs w:val="20"/>
        </w:rPr>
        <w:t>and</w:t>
      </w:r>
      <w:r w:rsidR="00FF41A0" w:rsidRPr="00F2244D">
        <w:rPr>
          <w:bCs/>
          <w:sz w:val="20"/>
          <w:szCs w:val="20"/>
        </w:rPr>
        <w:t xml:space="preserve"> </w:t>
      </w:r>
      <w:r w:rsidR="00323457" w:rsidRPr="00F2244D">
        <w:rPr>
          <w:bCs/>
          <w:sz w:val="20"/>
          <w:szCs w:val="20"/>
        </w:rPr>
        <w:t>practice.</w:t>
      </w:r>
      <w:r w:rsidR="00323457" w:rsidRPr="00F2244D">
        <w:rPr>
          <w:bCs/>
          <w:sz w:val="20"/>
          <w:szCs w:val="20"/>
        </w:rPr>
        <w:tab/>
      </w:r>
      <w:r w:rsidR="00323457" w:rsidRPr="00F2244D">
        <w:rPr>
          <w:bCs/>
          <w:sz w:val="20"/>
          <w:szCs w:val="20"/>
        </w:rPr>
        <w:tab/>
      </w:r>
    </w:p>
    <w:p w14:paraId="2119BCA9" w14:textId="357F803B" w:rsidR="00323457" w:rsidRPr="00F2244D" w:rsidRDefault="00972F1E" w:rsidP="00F2244D">
      <w:pPr>
        <w:pStyle w:val="SingleTxtG"/>
        <w:rPr>
          <w:bCs/>
          <w:sz w:val="20"/>
          <w:szCs w:val="20"/>
        </w:rPr>
      </w:pPr>
      <w:r>
        <w:rPr>
          <w:bCs/>
          <w:sz w:val="20"/>
          <w:szCs w:val="20"/>
        </w:rPr>
        <w:t>614</w:t>
      </w:r>
      <w:r w:rsidR="00D7475F">
        <w:rPr>
          <w:bCs/>
          <w:sz w:val="20"/>
          <w:szCs w:val="20"/>
        </w:rPr>
        <w:t>.</w:t>
      </w:r>
      <w:r w:rsidR="00D7475F">
        <w:rPr>
          <w:bCs/>
          <w:sz w:val="20"/>
          <w:szCs w:val="20"/>
        </w:rPr>
        <w:tab/>
      </w:r>
      <w:r w:rsidR="00323457" w:rsidRPr="00F2244D">
        <w:rPr>
          <w:bCs/>
          <w:sz w:val="20"/>
          <w:szCs w:val="20"/>
        </w:rPr>
        <w:t>Lebanon</w:t>
      </w:r>
      <w:r w:rsidR="00FF41A0" w:rsidRPr="00F2244D">
        <w:rPr>
          <w:bCs/>
          <w:sz w:val="20"/>
          <w:szCs w:val="20"/>
        </w:rPr>
        <w:t xml:space="preserve"> </w:t>
      </w:r>
      <w:r w:rsidR="00323457" w:rsidRPr="00F2244D">
        <w:rPr>
          <w:bCs/>
          <w:sz w:val="20"/>
          <w:szCs w:val="20"/>
        </w:rPr>
        <w:t>expressed</w:t>
      </w:r>
      <w:r w:rsidR="00FF41A0" w:rsidRPr="00F2244D">
        <w:rPr>
          <w:bCs/>
          <w:sz w:val="20"/>
          <w:szCs w:val="20"/>
        </w:rPr>
        <w:t xml:space="preserve"> </w:t>
      </w:r>
      <w:r w:rsidR="00323457" w:rsidRPr="00F2244D">
        <w:rPr>
          <w:bCs/>
          <w:sz w:val="20"/>
          <w:szCs w:val="20"/>
        </w:rPr>
        <w:t>appreciation</w:t>
      </w:r>
      <w:r w:rsidR="00FF41A0" w:rsidRPr="00F2244D">
        <w:rPr>
          <w:bCs/>
          <w:sz w:val="20"/>
          <w:szCs w:val="20"/>
        </w:rPr>
        <w:t xml:space="preserve"> </w:t>
      </w:r>
      <w:r w:rsidR="00323457" w:rsidRPr="00F2244D">
        <w:rPr>
          <w:bCs/>
          <w:sz w:val="20"/>
          <w:szCs w:val="20"/>
        </w:rPr>
        <w:t>for</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progress</w:t>
      </w:r>
      <w:r w:rsidR="00FF41A0" w:rsidRPr="00F2244D">
        <w:rPr>
          <w:bCs/>
          <w:sz w:val="20"/>
          <w:szCs w:val="20"/>
        </w:rPr>
        <w:t xml:space="preserve"> </w:t>
      </w:r>
      <w:r w:rsidR="00323457" w:rsidRPr="00F2244D">
        <w:rPr>
          <w:bCs/>
          <w:sz w:val="20"/>
          <w:szCs w:val="20"/>
        </w:rPr>
        <w:t>made</w:t>
      </w:r>
      <w:r w:rsidR="00FF41A0" w:rsidRPr="00F2244D">
        <w:rPr>
          <w:bCs/>
          <w:sz w:val="20"/>
          <w:szCs w:val="20"/>
        </w:rPr>
        <w:t xml:space="preserve"> </w:t>
      </w:r>
      <w:r w:rsidR="00323457" w:rsidRPr="00F2244D">
        <w:rPr>
          <w:bCs/>
          <w:sz w:val="20"/>
          <w:szCs w:val="20"/>
        </w:rPr>
        <w:t>by</w:t>
      </w:r>
      <w:r w:rsidR="00FF41A0" w:rsidRPr="00F2244D">
        <w:rPr>
          <w:bCs/>
          <w:sz w:val="20"/>
          <w:szCs w:val="20"/>
        </w:rPr>
        <w:t xml:space="preserve"> </w:t>
      </w:r>
      <w:r w:rsidR="00323457" w:rsidRPr="00F2244D">
        <w:rPr>
          <w:bCs/>
          <w:sz w:val="20"/>
          <w:szCs w:val="20"/>
        </w:rPr>
        <w:t>Jordan</w:t>
      </w:r>
      <w:r w:rsidR="00FF41A0" w:rsidRPr="00F2244D">
        <w:rPr>
          <w:bCs/>
          <w:sz w:val="20"/>
          <w:szCs w:val="20"/>
        </w:rPr>
        <w:t xml:space="preserve"> </w:t>
      </w:r>
      <w:r w:rsidR="00323457" w:rsidRPr="00F2244D">
        <w:rPr>
          <w:bCs/>
          <w:sz w:val="20"/>
          <w:szCs w:val="20"/>
        </w:rPr>
        <w:t>in</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field</w:t>
      </w:r>
      <w:r w:rsidR="00FF41A0" w:rsidRPr="00F2244D">
        <w:rPr>
          <w:bCs/>
          <w:sz w:val="20"/>
          <w:szCs w:val="20"/>
        </w:rPr>
        <w:t xml:space="preserve"> </w:t>
      </w:r>
      <w:r w:rsidR="00323457" w:rsidRPr="00F2244D">
        <w:rPr>
          <w:bCs/>
          <w:sz w:val="20"/>
          <w:szCs w:val="20"/>
        </w:rPr>
        <w:t>of</w:t>
      </w:r>
      <w:r w:rsidR="00FF41A0" w:rsidRPr="00F2244D">
        <w:rPr>
          <w:bCs/>
          <w:sz w:val="20"/>
          <w:szCs w:val="20"/>
        </w:rPr>
        <w:t xml:space="preserve"> </w:t>
      </w:r>
      <w:r w:rsidR="00323457" w:rsidRPr="00F2244D">
        <w:rPr>
          <w:bCs/>
          <w:sz w:val="20"/>
          <w:szCs w:val="20"/>
        </w:rPr>
        <w:t>human</w:t>
      </w:r>
      <w:r w:rsidR="00FF41A0" w:rsidRPr="00F2244D">
        <w:rPr>
          <w:bCs/>
          <w:sz w:val="20"/>
          <w:szCs w:val="20"/>
        </w:rPr>
        <w:t xml:space="preserve"> </w:t>
      </w:r>
      <w:r w:rsidR="00323457" w:rsidRPr="00F2244D">
        <w:rPr>
          <w:bCs/>
          <w:sz w:val="20"/>
          <w:szCs w:val="20"/>
        </w:rPr>
        <w:t>rights.</w:t>
      </w:r>
      <w:r w:rsidR="00FF41A0" w:rsidRPr="00F2244D">
        <w:rPr>
          <w:bCs/>
          <w:sz w:val="20"/>
          <w:szCs w:val="20"/>
        </w:rPr>
        <w:t xml:space="preserve"> </w:t>
      </w:r>
      <w:r w:rsidR="00323457" w:rsidRPr="00F2244D">
        <w:rPr>
          <w:bCs/>
          <w:sz w:val="20"/>
          <w:szCs w:val="20"/>
        </w:rPr>
        <w:t>Lebanon</w:t>
      </w:r>
      <w:r w:rsidR="00FF41A0" w:rsidRPr="00F2244D">
        <w:rPr>
          <w:bCs/>
          <w:sz w:val="20"/>
          <w:szCs w:val="20"/>
        </w:rPr>
        <w:t xml:space="preserve"> </w:t>
      </w:r>
      <w:r w:rsidR="00323457" w:rsidRPr="00F2244D">
        <w:rPr>
          <w:bCs/>
          <w:sz w:val="20"/>
          <w:szCs w:val="20"/>
        </w:rPr>
        <w:t>commended</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fruitful</w:t>
      </w:r>
      <w:r w:rsidR="00FF41A0" w:rsidRPr="00F2244D">
        <w:rPr>
          <w:bCs/>
          <w:sz w:val="20"/>
          <w:szCs w:val="20"/>
        </w:rPr>
        <w:t xml:space="preserve"> </w:t>
      </w:r>
      <w:r w:rsidR="00323457" w:rsidRPr="00F2244D">
        <w:rPr>
          <w:bCs/>
          <w:sz w:val="20"/>
          <w:szCs w:val="20"/>
        </w:rPr>
        <w:t>cooperation</w:t>
      </w:r>
      <w:r w:rsidR="00FF41A0" w:rsidRPr="00F2244D">
        <w:rPr>
          <w:bCs/>
          <w:sz w:val="20"/>
          <w:szCs w:val="20"/>
        </w:rPr>
        <w:t xml:space="preserve"> </w:t>
      </w:r>
      <w:r w:rsidR="00323457" w:rsidRPr="00F2244D">
        <w:rPr>
          <w:bCs/>
          <w:sz w:val="20"/>
          <w:szCs w:val="20"/>
        </w:rPr>
        <w:t>of</w:t>
      </w:r>
      <w:r w:rsidR="00FF41A0" w:rsidRPr="00F2244D">
        <w:rPr>
          <w:bCs/>
          <w:sz w:val="20"/>
          <w:szCs w:val="20"/>
        </w:rPr>
        <w:t xml:space="preserve"> </w:t>
      </w:r>
      <w:r w:rsidR="00323457" w:rsidRPr="00F2244D">
        <w:rPr>
          <w:bCs/>
          <w:sz w:val="20"/>
          <w:szCs w:val="20"/>
        </w:rPr>
        <w:t>Jordan</w:t>
      </w:r>
      <w:r w:rsidR="00FF41A0" w:rsidRPr="00F2244D">
        <w:rPr>
          <w:bCs/>
          <w:sz w:val="20"/>
          <w:szCs w:val="20"/>
        </w:rPr>
        <w:t xml:space="preserve"> </w:t>
      </w:r>
      <w:r w:rsidR="00323457" w:rsidRPr="00F2244D">
        <w:rPr>
          <w:bCs/>
          <w:sz w:val="20"/>
          <w:szCs w:val="20"/>
        </w:rPr>
        <w:t>with</w:t>
      </w:r>
      <w:r w:rsidR="00FF41A0" w:rsidRPr="00F2244D">
        <w:rPr>
          <w:bCs/>
          <w:sz w:val="20"/>
          <w:szCs w:val="20"/>
        </w:rPr>
        <w:t xml:space="preserve"> </w:t>
      </w:r>
      <w:r w:rsidR="00323457" w:rsidRPr="00F2244D">
        <w:rPr>
          <w:bCs/>
          <w:sz w:val="20"/>
          <w:szCs w:val="20"/>
        </w:rPr>
        <w:t>mechanisms</w:t>
      </w:r>
      <w:r w:rsidR="00FF41A0" w:rsidRPr="00F2244D">
        <w:rPr>
          <w:bCs/>
          <w:sz w:val="20"/>
          <w:szCs w:val="20"/>
        </w:rPr>
        <w:t xml:space="preserve"> </w:t>
      </w:r>
      <w:r w:rsidR="00323457" w:rsidRPr="00F2244D">
        <w:rPr>
          <w:bCs/>
          <w:sz w:val="20"/>
          <w:szCs w:val="20"/>
        </w:rPr>
        <w:t>of</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Council</w:t>
      </w:r>
      <w:r w:rsidR="00FF41A0" w:rsidRPr="00F2244D">
        <w:rPr>
          <w:bCs/>
          <w:sz w:val="20"/>
          <w:szCs w:val="20"/>
        </w:rPr>
        <w:t xml:space="preserve"> </w:t>
      </w:r>
      <w:r w:rsidR="00323457" w:rsidRPr="00F2244D">
        <w:rPr>
          <w:bCs/>
          <w:sz w:val="20"/>
          <w:szCs w:val="20"/>
        </w:rPr>
        <w:t>and</w:t>
      </w:r>
      <w:r w:rsidR="00FF41A0" w:rsidRPr="00F2244D">
        <w:rPr>
          <w:bCs/>
          <w:sz w:val="20"/>
          <w:szCs w:val="20"/>
        </w:rPr>
        <w:t xml:space="preserve"> </w:t>
      </w:r>
      <w:r w:rsidR="00323457" w:rsidRPr="00F2244D">
        <w:rPr>
          <w:bCs/>
          <w:sz w:val="20"/>
          <w:szCs w:val="20"/>
        </w:rPr>
        <w:t>its</w:t>
      </w:r>
      <w:r w:rsidR="00FF41A0" w:rsidRPr="00F2244D">
        <w:rPr>
          <w:bCs/>
          <w:sz w:val="20"/>
          <w:szCs w:val="20"/>
        </w:rPr>
        <w:t xml:space="preserve"> </w:t>
      </w:r>
      <w:r w:rsidR="00323457" w:rsidRPr="00F2244D">
        <w:rPr>
          <w:bCs/>
          <w:sz w:val="20"/>
          <w:szCs w:val="20"/>
        </w:rPr>
        <w:t>acceptance</w:t>
      </w:r>
      <w:r w:rsidR="00FF41A0" w:rsidRPr="00F2244D">
        <w:rPr>
          <w:bCs/>
          <w:sz w:val="20"/>
          <w:szCs w:val="20"/>
        </w:rPr>
        <w:t xml:space="preserve"> </w:t>
      </w:r>
      <w:r w:rsidR="00323457" w:rsidRPr="00F2244D">
        <w:rPr>
          <w:bCs/>
          <w:sz w:val="20"/>
          <w:szCs w:val="20"/>
        </w:rPr>
        <w:t>of</w:t>
      </w:r>
      <w:r w:rsidR="00FF41A0" w:rsidRPr="00F2244D">
        <w:rPr>
          <w:bCs/>
          <w:sz w:val="20"/>
          <w:szCs w:val="20"/>
        </w:rPr>
        <w:t xml:space="preserve"> </w:t>
      </w:r>
      <w:r w:rsidR="00323457" w:rsidRPr="00F2244D">
        <w:rPr>
          <w:bCs/>
          <w:sz w:val="20"/>
          <w:szCs w:val="20"/>
        </w:rPr>
        <w:t>a</w:t>
      </w:r>
      <w:r w:rsidR="00FF41A0" w:rsidRPr="00F2244D">
        <w:rPr>
          <w:bCs/>
          <w:sz w:val="20"/>
          <w:szCs w:val="20"/>
        </w:rPr>
        <w:t xml:space="preserve"> </w:t>
      </w:r>
      <w:r w:rsidR="00323457" w:rsidRPr="00F2244D">
        <w:rPr>
          <w:bCs/>
          <w:sz w:val="20"/>
          <w:szCs w:val="20"/>
        </w:rPr>
        <w:t>majority</w:t>
      </w:r>
      <w:r w:rsidR="00FF41A0" w:rsidRPr="00F2244D">
        <w:rPr>
          <w:bCs/>
          <w:sz w:val="20"/>
          <w:szCs w:val="20"/>
        </w:rPr>
        <w:t xml:space="preserve"> </w:t>
      </w:r>
      <w:r w:rsidR="00323457" w:rsidRPr="00F2244D">
        <w:rPr>
          <w:bCs/>
          <w:sz w:val="20"/>
          <w:szCs w:val="20"/>
        </w:rPr>
        <w:t>of</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recommendations.</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delegation</w:t>
      </w:r>
      <w:r w:rsidR="00FF41A0" w:rsidRPr="00F2244D">
        <w:rPr>
          <w:bCs/>
          <w:sz w:val="20"/>
          <w:szCs w:val="20"/>
        </w:rPr>
        <w:t xml:space="preserve"> </w:t>
      </w:r>
      <w:r w:rsidR="00323457" w:rsidRPr="00F2244D">
        <w:rPr>
          <w:bCs/>
          <w:sz w:val="20"/>
          <w:szCs w:val="20"/>
        </w:rPr>
        <w:t>of</w:t>
      </w:r>
      <w:r w:rsidR="00FF41A0" w:rsidRPr="00F2244D">
        <w:rPr>
          <w:bCs/>
          <w:sz w:val="20"/>
          <w:szCs w:val="20"/>
        </w:rPr>
        <w:t xml:space="preserve"> </w:t>
      </w:r>
      <w:r w:rsidR="00323457" w:rsidRPr="00F2244D">
        <w:rPr>
          <w:bCs/>
          <w:sz w:val="20"/>
          <w:szCs w:val="20"/>
        </w:rPr>
        <w:t>Lebanon</w:t>
      </w:r>
      <w:r w:rsidR="00FF41A0" w:rsidRPr="00F2244D">
        <w:rPr>
          <w:bCs/>
          <w:sz w:val="20"/>
          <w:szCs w:val="20"/>
        </w:rPr>
        <w:t xml:space="preserve"> </w:t>
      </w:r>
      <w:r w:rsidR="00323457" w:rsidRPr="00F2244D">
        <w:rPr>
          <w:bCs/>
          <w:sz w:val="20"/>
          <w:szCs w:val="20"/>
        </w:rPr>
        <w:t>presented</w:t>
      </w:r>
      <w:r w:rsidR="00FF41A0" w:rsidRPr="00F2244D">
        <w:rPr>
          <w:bCs/>
          <w:sz w:val="20"/>
          <w:szCs w:val="20"/>
        </w:rPr>
        <w:t xml:space="preserve"> </w:t>
      </w:r>
      <w:r w:rsidR="00323457" w:rsidRPr="00F2244D">
        <w:rPr>
          <w:bCs/>
          <w:sz w:val="20"/>
          <w:szCs w:val="20"/>
        </w:rPr>
        <w:t>two</w:t>
      </w:r>
      <w:r w:rsidR="00FF41A0" w:rsidRPr="00F2244D">
        <w:rPr>
          <w:bCs/>
          <w:sz w:val="20"/>
          <w:szCs w:val="20"/>
        </w:rPr>
        <w:t xml:space="preserve"> </w:t>
      </w:r>
      <w:r w:rsidR="00323457" w:rsidRPr="00F2244D">
        <w:rPr>
          <w:bCs/>
          <w:sz w:val="20"/>
          <w:szCs w:val="20"/>
        </w:rPr>
        <w:t>recommendations</w:t>
      </w:r>
      <w:r w:rsidR="00FF41A0" w:rsidRPr="00F2244D">
        <w:rPr>
          <w:bCs/>
          <w:sz w:val="20"/>
          <w:szCs w:val="20"/>
        </w:rPr>
        <w:t xml:space="preserve"> </w:t>
      </w:r>
      <w:r w:rsidR="00323457" w:rsidRPr="00F2244D">
        <w:rPr>
          <w:bCs/>
          <w:sz w:val="20"/>
          <w:szCs w:val="20"/>
        </w:rPr>
        <w:t>to</w:t>
      </w:r>
      <w:r w:rsidR="00FF41A0" w:rsidRPr="00F2244D">
        <w:rPr>
          <w:bCs/>
          <w:sz w:val="20"/>
          <w:szCs w:val="20"/>
        </w:rPr>
        <w:t xml:space="preserve"> </w:t>
      </w:r>
      <w:r w:rsidR="00323457" w:rsidRPr="00F2244D">
        <w:rPr>
          <w:bCs/>
          <w:sz w:val="20"/>
          <w:szCs w:val="20"/>
        </w:rPr>
        <w:t>Jordan</w:t>
      </w:r>
      <w:r w:rsidR="00FF41A0" w:rsidRPr="00F2244D">
        <w:rPr>
          <w:bCs/>
          <w:sz w:val="20"/>
          <w:szCs w:val="20"/>
        </w:rPr>
        <w:t xml:space="preserve"> </w:t>
      </w:r>
      <w:r w:rsidR="00323457" w:rsidRPr="00F2244D">
        <w:rPr>
          <w:bCs/>
          <w:sz w:val="20"/>
          <w:szCs w:val="20"/>
        </w:rPr>
        <w:t>and</w:t>
      </w:r>
      <w:r w:rsidR="00FF41A0" w:rsidRPr="00F2244D">
        <w:rPr>
          <w:bCs/>
          <w:sz w:val="20"/>
          <w:szCs w:val="20"/>
        </w:rPr>
        <w:t xml:space="preserve"> </w:t>
      </w:r>
      <w:r w:rsidR="00323457" w:rsidRPr="00F2244D">
        <w:rPr>
          <w:bCs/>
          <w:sz w:val="20"/>
          <w:szCs w:val="20"/>
        </w:rPr>
        <w:t>expressed</w:t>
      </w:r>
      <w:r w:rsidR="00FF41A0" w:rsidRPr="00F2244D">
        <w:rPr>
          <w:bCs/>
          <w:sz w:val="20"/>
          <w:szCs w:val="20"/>
        </w:rPr>
        <w:t xml:space="preserve"> </w:t>
      </w:r>
      <w:r w:rsidR="00323457" w:rsidRPr="00F2244D">
        <w:rPr>
          <w:bCs/>
          <w:sz w:val="20"/>
          <w:szCs w:val="20"/>
        </w:rPr>
        <w:t>hope</w:t>
      </w:r>
      <w:r w:rsidR="00FF41A0" w:rsidRPr="00F2244D">
        <w:rPr>
          <w:bCs/>
          <w:sz w:val="20"/>
          <w:szCs w:val="20"/>
        </w:rPr>
        <w:t xml:space="preserve"> </w:t>
      </w:r>
      <w:r w:rsidR="00323457" w:rsidRPr="00F2244D">
        <w:rPr>
          <w:bCs/>
          <w:sz w:val="20"/>
          <w:szCs w:val="20"/>
        </w:rPr>
        <w:t>that</w:t>
      </w:r>
      <w:r w:rsidR="00FF41A0" w:rsidRPr="00F2244D">
        <w:rPr>
          <w:bCs/>
          <w:sz w:val="20"/>
          <w:szCs w:val="20"/>
        </w:rPr>
        <w:t xml:space="preserve"> </w:t>
      </w:r>
      <w:r w:rsidR="00323457" w:rsidRPr="00F2244D">
        <w:rPr>
          <w:bCs/>
          <w:sz w:val="20"/>
          <w:szCs w:val="20"/>
        </w:rPr>
        <w:t>Jordan</w:t>
      </w:r>
      <w:r w:rsidR="00FF41A0" w:rsidRPr="00F2244D">
        <w:rPr>
          <w:bCs/>
          <w:sz w:val="20"/>
          <w:szCs w:val="20"/>
        </w:rPr>
        <w:t xml:space="preserve"> </w:t>
      </w:r>
      <w:r w:rsidR="00323457" w:rsidRPr="00F2244D">
        <w:rPr>
          <w:bCs/>
          <w:sz w:val="20"/>
          <w:szCs w:val="20"/>
        </w:rPr>
        <w:t>will</w:t>
      </w:r>
      <w:r w:rsidR="00FF41A0" w:rsidRPr="00F2244D">
        <w:rPr>
          <w:bCs/>
          <w:sz w:val="20"/>
          <w:szCs w:val="20"/>
        </w:rPr>
        <w:t xml:space="preserve"> </w:t>
      </w:r>
      <w:r w:rsidR="00323457" w:rsidRPr="00F2244D">
        <w:rPr>
          <w:bCs/>
          <w:sz w:val="20"/>
          <w:szCs w:val="20"/>
        </w:rPr>
        <w:t>implement</w:t>
      </w:r>
      <w:r w:rsidR="00FF41A0" w:rsidRPr="00F2244D">
        <w:rPr>
          <w:bCs/>
          <w:sz w:val="20"/>
          <w:szCs w:val="20"/>
        </w:rPr>
        <w:t xml:space="preserve"> </w:t>
      </w:r>
      <w:r w:rsidR="00323457" w:rsidRPr="00F2244D">
        <w:rPr>
          <w:bCs/>
          <w:sz w:val="20"/>
          <w:szCs w:val="20"/>
        </w:rPr>
        <w:t>all</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recommendations</w:t>
      </w:r>
      <w:r w:rsidR="00FF41A0" w:rsidRPr="00F2244D">
        <w:rPr>
          <w:bCs/>
          <w:sz w:val="20"/>
          <w:szCs w:val="20"/>
        </w:rPr>
        <w:t xml:space="preserve"> </w:t>
      </w:r>
      <w:r w:rsidR="00323457" w:rsidRPr="00F2244D">
        <w:rPr>
          <w:bCs/>
          <w:sz w:val="20"/>
          <w:szCs w:val="20"/>
        </w:rPr>
        <w:t>accepted.</w:t>
      </w:r>
      <w:r w:rsidR="00FF41A0" w:rsidRPr="00F2244D">
        <w:rPr>
          <w:bCs/>
          <w:sz w:val="20"/>
          <w:szCs w:val="20"/>
        </w:rPr>
        <w:t xml:space="preserve"> </w:t>
      </w:r>
    </w:p>
    <w:p w14:paraId="7367678C" w14:textId="5117DFCA" w:rsidR="00323457" w:rsidRPr="00F2244D" w:rsidRDefault="00972F1E" w:rsidP="00F2244D">
      <w:pPr>
        <w:pStyle w:val="SingleTxtG"/>
        <w:rPr>
          <w:bCs/>
          <w:sz w:val="20"/>
          <w:szCs w:val="20"/>
        </w:rPr>
      </w:pPr>
      <w:r>
        <w:rPr>
          <w:bCs/>
          <w:sz w:val="20"/>
          <w:szCs w:val="20"/>
        </w:rPr>
        <w:lastRenderedPageBreak/>
        <w:t>615</w:t>
      </w:r>
      <w:r w:rsidR="00D7475F">
        <w:rPr>
          <w:bCs/>
          <w:sz w:val="20"/>
          <w:szCs w:val="20"/>
        </w:rPr>
        <w:t>.</w:t>
      </w:r>
      <w:r w:rsidR="00D7475F">
        <w:rPr>
          <w:bCs/>
          <w:sz w:val="20"/>
          <w:szCs w:val="20"/>
        </w:rPr>
        <w:tab/>
      </w:r>
      <w:r w:rsidR="00323457" w:rsidRPr="00F2244D">
        <w:rPr>
          <w:bCs/>
          <w:sz w:val="20"/>
          <w:szCs w:val="20"/>
        </w:rPr>
        <w:t>Libya</w:t>
      </w:r>
      <w:r w:rsidR="00FF41A0" w:rsidRPr="00F2244D">
        <w:rPr>
          <w:bCs/>
          <w:sz w:val="20"/>
          <w:szCs w:val="20"/>
        </w:rPr>
        <w:t xml:space="preserve"> </w:t>
      </w:r>
      <w:r w:rsidR="00323457" w:rsidRPr="00F2244D">
        <w:rPr>
          <w:bCs/>
          <w:sz w:val="20"/>
          <w:szCs w:val="20"/>
        </w:rPr>
        <w:t>expressed</w:t>
      </w:r>
      <w:r w:rsidR="00FF41A0" w:rsidRPr="00F2244D">
        <w:rPr>
          <w:bCs/>
          <w:sz w:val="20"/>
          <w:szCs w:val="20"/>
        </w:rPr>
        <w:t xml:space="preserve"> </w:t>
      </w:r>
      <w:r w:rsidR="00323457" w:rsidRPr="00F2244D">
        <w:rPr>
          <w:bCs/>
          <w:sz w:val="20"/>
          <w:szCs w:val="20"/>
        </w:rPr>
        <w:t>gratitude</w:t>
      </w:r>
      <w:r w:rsidR="00FF41A0" w:rsidRPr="00F2244D">
        <w:rPr>
          <w:bCs/>
          <w:sz w:val="20"/>
          <w:szCs w:val="20"/>
        </w:rPr>
        <w:t xml:space="preserve"> </w:t>
      </w:r>
      <w:r w:rsidR="00323457" w:rsidRPr="00F2244D">
        <w:rPr>
          <w:bCs/>
          <w:sz w:val="20"/>
          <w:szCs w:val="20"/>
        </w:rPr>
        <w:t>for</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acceptance</w:t>
      </w:r>
      <w:r w:rsidR="00FF41A0" w:rsidRPr="00F2244D">
        <w:rPr>
          <w:bCs/>
          <w:sz w:val="20"/>
          <w:szCs w:val="20"/>
        </w:rPr>
        <w:t xml:space="preserve"> </w:t>
      </w:r>
      <w:r w:rsidR="00323457" w:rsidRPr="00F2244D">
        <w:rPr>
          <w:bCs/>
          <w:sz w:val="20"/>
          <w:szCs w:val="20"/>
        </w:rPr>
        <w:t>by</w:t>
      </w:r>
      <w:r w:rsidR="00FF41A0" w:rsidRPr="00F2244D">
        <w:rPr>
          <w:bCs/>
          <w:sz w:val="20"/>
          <w:szCs w:val="20"/>
        </w:rPr>
        <w:t xml:space="preserve"> </w:t>
      </w:r>
      <w:r w:rsidR="00323457" w:rsidRPr="00F2244D">
        <w:rPr>
          <w:bCs/>
          <w:sz w:val="20"/>
          <w:szCs w:val="20"/>
        </w:rPr>
        <w:t>Jordan</w:t>
      </w:r>
      <w:r w:rsidR="00FF41A0" w:rsidRPr="00F2244D">
        <w:rPr>
          <w:bCs/>
          <w:sz w:val="20"/>
          <w:szCs w:val="20"/>
        </w:rPr>
        <w:t xml:space="preserve"> </w:t>
      </w:r>
      <w:r w:rsidR="00323457" w:rsidRPr="00F2244D">
        <w:rPr>
          <w:bCs/>
          <w:sz w:val="20"/>
          <w:szCs w:val="20"/>
        </w:rPr>
        <w:t>of</w:t>
      </w:r>
      <w:r w:rsidR="00FF41A0" w:rsidRPr="00F2244D">
        <w:rPr>
          <w:bCs/>
          <w:sz w:val="20"/>
          <w:szCs w:val="20"/>
        </w:rPr>
        <w:t xml:space="preserve"> </w:t>
      </w:r>
      <w:r w:rsidR="00323457" w:rsidRPr="00F2244D">
        <w:rPr>
          <w:bCs/>
          <w:sz w:val="20"/>
          <w:szCs w:val="20"/>
        </w:rPr>
        <w:t>many</w:t>
      </w:r>
      <w:r w:rsidR="00FF41A0" w:rsidRPr="00F2244D">
        <w:rPr>
          <w:bCs/>
          <w:sz w:val="20"/>
          <w:szCs w:val="20"/>
        </w:rPr>
        <w:t xml:space="preserve"> </w:t>
      </w:r>
      <w:r w:rsidR="00323457" w:rsidRPr="00F2244D">
        <w:rPr>
          <w:bCs/>
          <w:sz w:val="20"/>
          <w:szCs w:val="20"/>
        </w:rPr>
        <w:t>recommendations</w:t>
      </w:r>
      <w:r w:rsidR="00FF41A0" w:rsidRPr="00F2244D">
        <w:rPr>
          <w:bCs/>
          <w:sz w:val="20"/>
          <w:szCs w:val="20"/>
        </w:rPr>
        <w:t xml:space="preserve"> </w:t>
      </w:r>
      <w:r w:rsidR="00323457" w:rsidRPr="00F2244D">
        <w:rPr>
          <w:bCs/>
          <w:sz w:val="20"/>
          <w:szCs w:val="20"/>
        </w:rPr>
        <w:t>and</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progress</w:t>
      </w:r>
      <w:r w:rsidR="00FF41A0" w:rsidRPr="00F2244D">
        <w:rPr>
          <w:bCs/>
          <w:sz w:val="20"/>
          <w:szCs w:val="20"/>
        </w:rPr>
        <w:t xml:space="preserve"> </w:t>
      </w:r>
      <w:r w:rsidR="00323457" w:rsidRPr="00F2244D">
        <w:rPr>
          <w:bCs/>
          <w:sz w:val="20"/>
          <w:szCs w:val="20"/>
        </w:rPr>
        <w:t>made</w:t>
      </w:r>
      <w:r w:rsidR="00FF41A0" w:rsidRPr="00F2244D">
        <w:rPr>
          <w:bCs/>
          <w:sz w:val="20"/>
          <w:szCs w:val="20"/>
        </w:rPr>
        <w:t xml:space="preserve"> </w:t>
      </w:r>
      <w:r w:rsidR="00323457" w:rsidRPr="00F2244D">
        <w:rPr>
          <w:bCs/>
          <w:sz w:val="20"/>
          <w:szCs w:val="20"/>
        </w:rPr>
        <w:t>in</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field</w:t>
      </w:r>
      <w:r w:rsidR="00FF41A0" w:rsidRPr="00F2244D">
        <w:rPr>
          <w:bCs/>
          <w:sz w:val="20"/>
          <w:szCs w:val="20"/>
        </w:rPr>
        <w:t xml:space="preserve"> </w:t>
      </w:r>
      <w:r w:rsidR="00323457" w:rsidRPr="00F2244D">
        <w:rPr>
          <w:bCs/>
          <w:sz w:val="20"/>
          <w:szCs w:val="20"/>
        </w:rPr>
        <w:t>of</w:t>
      </w:r>
      <w:r w:rsidR="00FF41A0" w:rsidRPr="00F2244D">
        <w:rPr>
          <w:bCs/>
          <w:sz w:val="20"/>
          <w:szCs w:val="20"/>
        </w:rPr>
        <w:t xml:space="preserve"> </w:t>
      </w:r>
      <w:r w:rsidR="00323457" w:rsidRPr="00F2244D">
        <w:rPr>
          <w:bCs/>
          <w:sz w:val="20"/>
          <w:szCs w:val="20"/>
        </w:rPr>
        <w:t>human</w:t>
      </w:r>
      <w:r w:rsidR="00FF41A0" w:rsidRPr="00F2244D">
        <w:rPr>
          <w:bCs/>
          <w:sz w:val="20"/>
          <w:szCs w:val="20"/>
        </w:rPr>
        <w:t xml:space="preserve"> </w:t>
      </w:r>
      <w:r w:rsidR="00323457" w:rsidRPr="00F2244D">
        <w:rPr>
          <w:bCs/>
          <w:sz w:val="20"/>
          <w:szCs w:val="20"/>
        </w:rPr>
        <w:t>rights</w:t>
      </w:r>
      <w:r w:rsidR="00FF41A0" w:rsidRPr="00F2244D">
        <w:rPr>
          <w:bCs/>
          <w:sz w:val="20"/>
          <w:szCs w:val="20"/>
        </w:rPr>
        <w:t xml:space="preserve"> </w:t>
      </w:r>
      <w:r w:rsidR="00323457" w:rsidRPr="00F2244D">
        <w:rPr>
          <w:bCs/>
          <w:sz w:val="20"/>
          <w:szCs w:val="20"/>
        </w:rPr>
        <w:t>through</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establishment</w:t>
      </w:r>
      <w:r w:rsidR="00FF41A0" w:rsidRPr="00F2244D">
        <w:rPr>
          <w:bCs/>
          <w:sz w:val="20"/>
          <w:szCs w:val="20"/>
        </w:rPr>
        <w:t xml:space="preserve"> </w:t>
      </w:r>
      <w:r w:rsidR="00323457" w:rsidRPr="00F2244D">
        <w:rPr>
          <w:bCs/>
          <w:sz w:val="20"/>
          <w:szCs w:val="20"/>
        </w:rPr>
        <w:t>of</w:t>
      </w:r>
      <w:r w:rsidR="00FF41A0" w:rsidRPr="00F2244D">
        <w:rPr>
          <w:bCs/>
          <w:sz w:val="20"/>
          <w:szCs w:val="20"/>
        </w:rPr>
        <w:t xml:space="preserve"> </w:t>
      </w:r>
      <w:r w:rsidR="00323457" w:rsidRPr="00F2244D">
        <w:rPr>
          <w:bCs/>
          <w:sz w:val="20"/>
          <w:szCs w:val="20"/>
        </w:rPr>
        <w:t>a</w:t>
      </w:r>
      <w:r w:rsidR="00FF41A0" w:rsidRPr="00F2244D">
        <w:rPr>
          <w:bCs/>
          <w:sz w:val="20"/>
          <w:szCs w:val="20"/>
        </w:rPr>
        <w:t xml:space="preserve"> </w:t>
      </w:r>
      <w:r w:rsidR="00323457" w:rsidRPr="00F2244D">
        <w:rPr>
          <w:bCs/>
          <w:sz w:val="20"/>
          <w:szCs w:val="20"/>
        </w:rPr>
        <w:t>national</w:t>
      </w:r>
      <w:r w:rsidR="00FF41A0" w:rsidRPr="00F2244D">
        <w:rPr>
          <w:bCs/>
          <w:sz w:val="20"/>
          <w:szCs w:val="20"/>
        </w:rPr>
        <w:t xml:space="preserve"> </w:t>
      </w:r>
      <w:r w:rsidR="00323457" w:rsidRPr="00F2244D">
        <w:rPr>
          <w:bCs/>
          <w:sz w:val="20"/>
          <w:szCs w:val="20"/>
        </w:rPr>
        <w:t>committee</w:t>
      </w:r>
      <w:r w:rsidR="00FF41A0" w:rsidRPr="00F2244D">
        <w:rPr>
          <w:bCs/>
          <w:sz w:val="20"/>
          <w:szCs w:val="20"/>
        </w:rPr>
        <w:t xml:space="preserve"> </w:t>
      </w:r>
      <w:r w:rsidR="00323457" w:rsidRPr="00F2244D">
        <w:rPr>
          <w:bCs/>
          <w:sz w:val="20"/>
          <w:szCs w:val="20"/>
        </w:rPr>
        <w:t>to</w:t>
      </w:r>
      <w:r w:rsidR="00FF41A0" w:rsidRPr="00F2244D">
        <w:rPr>
          <w:bCs/>
          <w:sz w:val="20"/>
          <w:szCs w:val="20"/>
        </w:rPr>
        <w:t xml:space="preserve"> </w:t>
      </w:r>
      <w:r w:rsidR="00323457" w:rsidRPr="00F2244D">
        <w:rPr>
          <w:bCs/>
          <w:sz w:val="20"/>
          <w:szCs w:val="20"/>
        </w:rPr>
        <w:t>follow</w:t>
      </w:r>
      <w:r w:rsidR="00FF41A0" w:rsidRPr="00F2244D">
        <w:rPr>
          <w:bCs/>
          <w:sz w:val="20"/>
          <w:szCs w:val="20"/>
        </w:rPr>
        <w:t xml:space="preserve"> </w:t>
      </w:r>
      <w:r w:rsidR="00323457" w:rsidRPr="00F2244D">
        <w:rPr>
          <w:bCs/>
          <w:sz w:val="20"/>
          <w:szCs w:val="20"/>
        </w:rPr>
        <w:t>up</w:t>
      </w:r>
      <w:r w:rsidR="00FF41A0" w:rsidRPr="00F2244D">
        <w:rPr>
          <w:bCs/>
          <w:sz w:val="20"/>
          <w:szCs w:val="20"/>
        </w:rPr>
        <w:t xml:space="preserve"> </w:t>
      </w:r>
      <w:r w:rsidR="00323457" w:rsidRPr="00F2244D">
        <w:rPr>
          <w:bCs/>
          <w:sz w:val="20"/>
          <w:szCs w:val="20"/>
        </w:rPr>
        <w:t>on</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recommendations</w:t>
      </w:r>
      <w:r w:rsidR="00FF41A0" w:rsidRPr="00F2244D">
        <w:rPr>
          <w:bCs/>
          <w:sz w:val="20"/>
          <w:szCs w:val="20"/>
        </w:rPr>
        <w:t xml:space="preserve"> </w:t>
      </w:r>
      <w:r w:rsidR="00323457" w:rsidRPr="00F2244D">
        <w:rPr>
          <w:bCs/>
          <w:sz w:val="20"/>
          <w:szCs w:val="20"/>
        </w:rPr>
        <w:t>issued</w:t>
      </w:r>
      <w:r w:rsidR="00FF41A0" w:rsidRPr="00F2244D">
        <w:rPr>
          <w:bCs/>
          <w:sz w:val="20"/>
          <w:szCs w:val="20"/>
        </w:rPr>
        <w:t xml:space="preserve"> </w:t>
      </w:r>
      <w:r w:rsidR="00323457" w:rsidRPr="00F2244D">
        <w:rPr>
          <w:bCs/>
          <w:sz w:val="20"/>
          <w:szCs w:val="20"/>
        </w:rPr>
        <w:t>by</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National</w:t>
      </w:r>
      <w:r w:rsidR="00FF41A0" w:rsidRPr="00F2244D">
        <w:rPr>
          <w:bCs/>
          <w:sz w:val="20"/>
          <w:szCs w:val="20"/>
        </w:rPr>
        <w:t xml:space="preserve"> </w:t>
      </w:r>
      <w:r w:rsidR="00323457" w:rsidRPr="00F2244D">
        <w:rPr>
          <w:bCs/>
          <w:sz w:val="20"/>
          <w:szCs w:val="20"/>
        </w:rPr>
        <w:t>Centre</w:t>
      </w:r>
      <w:r w:rsidR="00FF41A0" w:rsidRPr="00F2244D">
        <w:rPr>
          <w:bCs/>
          <w:sz w:val="20"/>
          <w:szCs w:val="20"/>
        </w:rPr>
        <w:t xml:space="preserve"> </w:t>
      </w:r>
      <w:r w:rsidR="00323457" w:rsidRPr="00F2244D">
        <w:rPr>
          <w:bCs/>
          <w:sz w:val="20"/>
          <w:szCs w:val="20"/>
        </w:rPr>
        <w:t>for</w:t>
      </w:r>
      <w:r w:rsidR="00FF41A0" w:rsidRPr="00F2244D">
        <w:rPr>
          <w:bCs/>
          <w:sz w:val="20"/>
          <w:szCs w:val="20"/>
        </w:rPr>
        <w:t xml:space="preserve"> </w:t>
      </w:r>
      <w:r w:rsidR="00323457" w:rsidRPr="00F2244D">
        <w:rPr>
          <w:bCs/>
          <w:sz w:val="20"/>
          <w:szCs w:val="20"/>
        </w:rPr>
        <w:t>Human</w:t>
      </w:r>
      <w:r w:rsidR="00FF41A0" w:rsidRPr="00F2244D">
        <w:rPr>
          <w:bCs/>
          <w:sz w:val="20"/>
          <w:szCs w:val="20"/>
        </w:rPr>
        <w:t xml:space="preserve"> </w:t>
      </w:r>
      <w:r w:rsidR="00323457" w:rsidRPr="00F2244D">
        <w:rPr>
          <w:bCs/>
          <w:sz w:val="20"/>
          <w:szCs w:val="20"/>
        </w:rPr>
        <w:t>Rights</w:t>
      </w:r>
      <w:r w:rsidR="00FF41A0" w:rsidRPr="00F2244D">
        <w:rPr>
          <w:bCs/>
          <w:sz w:val="20"/>
          <w:szCs w:val="20"/>
        </w:rPr>
        <w:t xml:space="preserve"> </w:t>
      </w:r>
      <w:r w:rsidR="00323457" w:rsidRPr="00F2244D">
        <w:rPr>
          <w:bCs/>
          <w:sz w:val="20"/>
          <w:szCs w:val="20"/>
        </w:rPr>
        <w:t>and</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promotion</w:t>
      </w:r>
      <w:r w:rsidR="00FF41A0" w:rsidRPr="00F2244D">
        <w:rPr>
          <w:bCs/>
          <w:sz w:val="20"/>
          <w:szCs w:val="20"/>
        </w:rPr>
        <w:t xml:space="preserve"> </w:t>
      </w:r>
      <w:r w:rsidR="00323457" w:rsidRPr="00F2244D">
        <w:rPr>
          <w:bCs/>
          <w:sz w:val="20"/>
          <w:szCs w:val="20"/>
        </w:rPr>
        <w:t>of</w:t>
      </w:r>
      <w:r w:rsidR="00FF41A0" w:rsidRPr="00F2244D">
        <w:rPr>
          <w:bCs/>
          <w:sz w:val="20"/>
          <w:szCs w:val="20"/>
        </w:rPr>
        <w:t xml:space="preserve"> </w:t>
      </w:r>
      <w:r w:rsidR="00323457" w:rsidRPr="00F2244D">
        <w:rPr>
          <w:bCs/>
          <w:sz w:val="20"/>
          <w:szCs w:val="20"/>
        </w:rPr>
        <w:t>women</w:t>
      </w:r>
      <w:r w:rsidR="00D72627">
        <w:rPr>
          <w:bCs/>
          <w:sz w:val="20"/>
          <w:szCs w:val="20"/>
        </w:rPr>
        <w:t>’</w:t>
      </w:r>
      <w:r w:rsidR="00323457" w:rsidRPr="00F2244D">
        <w:rPr>
          <w:bCs/>
          <w:sz w:val="20"/>
          <w:szCs w:val="20"/>
        </w:rPr>
        <w:t>s</w:t>
      </w:r>
      <w:r w:rsidR="00FF41A0" w:rsidRPr="00F2244D">
        <w:rPr>
          <w:bCs/>
          <w:sz w:val="20"/>
          <w:szCs w:val="20"/>
        </w:rPr>
        <w:t xml:space="preserve"> </w:t>
      </w:r>
      <w:r w:rsidR="00323457" w:rsidRPr="00F2244D">
        <w:rPr>
          <w:bCs/>
          <w:sz w:val="20"/>
          <w:szCs w:val="20"/>
        </w:rPr>
        <w:t>rights.</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positive</w:t>
      </w:r>
      <w:r w:rsidR="00FF41A0" w:rsidRPr="00F2244D">
        <w:rPr>
          <w:bCs/>
          <w:sz w:val="20"/>
          <w:szCs w:val="20"/>
        </w:rPr>
        <w:t xml:space="preserve"> </w:t>
      </w:r>
      <w:r w:rsidR="00323457" w:rsidRPr="00F2244D">
        <w:rPr>
          <w:bCs/>
          <w:sz w:val="20"/>
          <w:szCs w:val="20"/>
        </w:rPr>
        <w:t>interaction</w:t>
      </w:r>
      <w:r w:rsidR="00FF41A0" w:rsidRPr="00F2244D">
        <w:rPr>
          <w:bCs/>
          <w:sz w:val="20"/>
          <w:szCs w:val="20"/>
        </w:rPr>
        <w:t xml:space="preserve"> </w:t>
      </w:r>
      <w:r w:rsidR="00323457" w:rsidRPr="00F2244D">
        <w:rPr>
          <w:bCs/>
          <w:sz w:val="20"/>
          <w:szCs w:val="20"/>
        </w:rPr>
        <w:t>with</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universal</w:t>
      </w:r>
      <w:r w:rsidR="00FF41A0" w:rsidRPr="00F2244D">
        <w:rPr>
          <w:bCs/>
          <w:sz w:val="20"/>
          <w:szCs w:val="20"/>
        </w:rPr>
        <w:t xml:space="preserve"> </w:t>
      </w:r>
      <w:r w:rsidR="00323457" w:rsidRPr="00F2244D">
        <w:rPr>
          <w:bCs/>
          <w:sz w:val="20"/>
          <w:szCs w:val="20"/>
        </w:rPr>
        <w:t>periodic</w:t>
      </w:r>
      <w:r w:rsidR="00FF41A0" w:rsidRPr="00F2244D">
        <w:rPr>
          <w:bCs/>
          <w:sz w:val="20"/>
          <w:szCs w:val="20"/>
        </w:rPr>
        <w:t xml:space="preserve"> </w:t>
      </w:r>
      <w:r w:rsidR="00323457" w:rsidRPr="00F2244D">
        <w:rPr>
          <w:bCs/>
          <w:sz w:val="20"/>
          <w:szCs w:val="20"/>
        </w:rPr>
        <w:t>review</w:t>
      </w:r>
      <w:r w:rsidR="00FF41A0" w:rsidRPr="00F2244D">
        <w:rPr>
          <w:bCs/>
          <w:sz w:val="20"/>
          <w:szCs w:val="20"/>
        </w:rPr>
        <w:t xml:space="preserve"> </w:t>
      </w:r>
      <w:r w:rsidR="00323457" w:rsidRPr="00F2244D">
        <w:rPr>
          <w:bCs/>
          <w:sz w:val="20"/>
          <w:szCs w:val="20"/>
        </w:rPr>
        <w:t>process</w:t>
      </w:r>
      <w:r w:rsidR="00FF41A0" w:rsidRPr="00F2244D">
        <w:rPr>
          <w:bCs/>
          <w:sz w:val="20"/>
          <w:szCs w:val="20"/>
        </w:rPr>
        <w:t xml:space="preserve"> </w:t>
      </w:r>
      <w:r w:rsidR="00323457" w:rsidRPr="00F2244D">
        <w:rPr>
          <w:bCs/>
          <w:sz w:val="20"/>
          <w:szCs w:val="20"/>
        </w:rPr>
        <w:t>reflected</w:t>
      </w:r>
      <w:r w:rsidR="00FF41A0" w:rsidRPr="00F2244D">
        <w:rPr>
          <w:bCs/>
          <w:sz w:val="20"/>
          <w:szCs w:val="20"/>
        </w:rPr>
        <w:t xml:space="preserve"> </w:t>
      </w:r>
      <w:r w:rsidR="00323457" w:rsidRPr="00F2244D">
        <w:rPr>
          <w:bCs/>
          <w:sz w:val="20"/>
          <w:szCs w:val="20"/>
        </w:rPr>
        <w:t>a</w:t>
      </w:r>
      <w:r w:rsidR="00FF41A0" w:rsidRPr="00F2244D">
        <w:rPr>
          <w:bCs/>
          <w:sz w:val="20"/>
          <w:szCs w:val="20"/>
        </w:rPr>
        <w:t xml:space="preserve"> </w:t>
      </w:r>
      <w:r w:rsidR="00323457" w:rsidRPr="00F2244D">
        <w:rPr>
          <w:bCs/>
          <w:sz w:val="20"/>
          <w:szCs w:val="20"/>
        </w:rPr>
        <w:t>clear</w:t>
      </w:r>
      <w:r w:rsidR="00FF41A0" w:rsidRPr="00F2244D">
        <w:rPr>
          <w:bCs/>
          <w:sz w:val="20"/>
          <w:szCs w:val="20"/>
        </w:rPr>
        <w:t xml:space="preserve"> </w:t>
      </w:r>
      <w:r w:rsidR="00323457" w:rsidRPr="00F2244D">
        <w:rPr>
          <w:bCs/>
          <w:sz w:val="20"/>
          <w:szCs w:val="20"/>
        </w:rPr>
        <w:t>commitment</w:t>
      </w:r>
      <w:r w:rsidR="00FF41A0" w:rsidRPr="00F2244D">
        <w:rPr>
          <w:bCs/>
          <w:sz w:val="20"/>
          <w:szCs w:val="20"/>
        </w:rPr>
        <w:t xml:space="preserve"> </w:t>
      </w:r>
      <w:r w:rsidR="00323457" w:rsidRPr="00F2244D">
        <w:rPr>
          <w:bCs/>
          <w:sz w:val="20"/>
          <w:szCs w:val="20"/>
        </w:rPr>
        <w:t>to</w:t>
      </w:r>
      <w:r w:rsidR="00FF41A0" w:rsidRPr="00F2244D">
        <w:rPr>
          <w:bCs/>
          <w:sz w:val="20"/>
          <w:szCs w:val="20"/>
        </w:rPr>
        <w:t xml:space="preserve"> </w:t>
      </w:r>
      <w:r w:rsidR="00323457" w:rsidRPr="00F2244D">
        <w:rPr>
          <w:bCs/>
          <w:sz w:val="20"/>
          <w:szCs w:val="20"/>
        </w:rPr>
        <w:t>continuing</w:t>
      </w:r>
      <w:r w:rsidR="00FF41A0" w:rsidRPr="00F2244D">
        <w:rPr>
          <w:bCs/>
          <w:sz w:val="20"/>
          <w:szCs w:val="20"/>
        </w:rPr>
        <w:t xml:space="preserve"> </w:t>
      </w:r>
      <w:r w:rsidR="00323457" w:rsidRPr="00F2244D">
        <w:rPr>
          <w:bCs/>
          <w:sz w:val="20"/>
          <w:szCs w:val="20"/>
        </w:rPr>
        <w:t>to</w:t>
      </w:r>
      <w:r w:rsidR="00FF41A0" w:rsidRPr="00F2244D">
        <w:rPr>
          <w:bCs/>
          <w:sz w:val="20"/>
          <w:szCs w:val="20"/>
        </w:rPr>
        <w:t xml:space="preserve"> </w:t>
      </w:r>
      <w:r w:rsidR="00323457" w:rsidRPr="00F2244D">
        <w:rPr>
          <w:bCs/>
          <w:sz w:val="20"/>
          <w:szCs w:val="20"/>
        </w:rPr>
        <w:t>improve</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situation</w:t>
      </w:r>
      <w:r w:rsidR="00FF41A0" w:rsidRPr="00F2244D">
        <w:rPr>
          <w:bCs/>
          <w:sz w:val="20"/>
          <w:szCs w:val="20"/>
        </w:rPr>
        <w:t xml:space="preserve"> </w:t>
      </w:r>
      <w:r w:rsidR="00323457" w:rsidRPr="00F2244D">
        <w:rPr>
          <w:bCs/>
          <w:sz w:val="20"/>
          <w:szCs w:val="20"/>
        </w:rPr>
        <w:t>of</w:t>
      </w:r>
      <w:r w:rsidR="00FF41A0" w:rsidRPr="00F2244D">
        <w:rPr>
          <w:bCs/>
          <w:sz w:val="20"/>
          <w:szCs w:val="20"/>
        </w:rPr>
        <w:t xml:space="preserve"> </w:t>
      </w:r>
      <w:r w:rsidR="00323457" w:rsidRPr="00F2244D">
        <w:rPr>
          <w:bCs/>
          <w:sz w:val="20"/>
          <w:szCs w:val="20"/>
        </w:rPr>
        <w:t>human</w:t>
      </w:r>
      <w:r w:rsidR="00FF41A0" w:rsidRPr="00F2244D">
        <w:rPr>
          <w:bCs/>
          <w:sz w:val="20"/>
          <w:szCs w:val="20"/>
        </w:rPr>
        <w:t xml:space="preserve"> </w:t>
      </w:r>
      <w:r w:rsidR="00323457" w:rsidRPr="00F2244D">
        <w:rPr>
          <w:bCs/>
          <w:sz w:val="20"/>
          <w:szCs w:val="20"/>
        </w:rPr>
        <w:t>rights.</w:t>
      </w:r>
      <w:r w:rsidR="00FF41A0" w:rsidRPr="00F2244D">
        <w:rPr>
          <w:bCs/>
          <w:sz w:val="20"/>
          <w:szCs w:val="20"/>
        </w:rPr>
        <w:t xml:space="preserve"> </w:t>
      </w:r>
    </w:p>
    <w:p w14:paraId="60FC62FD" w14:textId="2E78A6B0" w:rsidR="00323457" w:rsidRPr="00F2244D" w:rsidRDefault="00972F1E" w:rsidP="00F2244D">
      <w:pPr>
        <w:pStyle w:val="SingleTxtG"/>
        <w:rPr>
          <w:bCs/>
          <w:sz w:val="20"/>
          <w:szCs w:val="20"/>
        </w:rPr>
      </w:pPr>
      <w:r>
        <w:rPr>
          <w:bCs/>
          <w:sz w:val="20"/>
          <w:szCs w:val="20"/>
        </w:rPr>
        <w:t>616</w:t>
      </w:r>
      <w:r w:rsidR="00D7475F">
        <w:rPr>
          <w:bCs/>
          <w:sz w:val="20"/>
          <w:szCs w:val="20"/>
        </w:rPr>
        <w:t>.</w:t>
      </w:r>
      <w:r w:rsidR="00D7475F">
        <w:rPr>
          <w:bCs/>
          <w:sz w:val="20"/>
          <w:szCs w:val="20"/>
        </w:rPr>
        <w:tab/>
      </w:r>
      <w:r w:rsidR="00323457" w:rsidRPr="00F2244D">
        <w:rPr>
          <w:bCs/>
          <w:sz w:val="20"/>
          <w:szCs w:val="20"/>
        </w:rPr>
        <w:t>Malaysia</w:t>
      </w:r>
      <w:r w:rsidR="00FF41A0" w:rsidRPr="00F2244D">
        <w:rPr>
          <w:bCs/>
          <w:sz w:val="20"/>
          <w:szCs w:val="20"/>
        </w:rPr>
        <w:t xml:space="preserve"> </w:t>
      </w:r>
      <w:r w:rsidR="00323457" w:rsidRPr="00F2244D">
        <w:rPr>
          <w:bCs/>
          <w:sz w:val="20"/>
          <w:szCs w:val="20"/>
        </w:rPr>
        <w:t>expressed</w:t>
      </w:r>
      <w:r w:rsidR="00FF41A0" w:rsidRPr="00F2244D">
        <w:rPr>
          <w:bCs/>
          <w:sz w:val="20"/>
          <w:szCs w:val="20"/>
        </w:rPr>
        <w:t xml:space="preserve"> </w:t>
      </w:r>
      <w:r w:rsidR="00323457" w:rsidRPr="00F2244D">
        <w:rPr>
          <w:bCs/>
          <w:sz w:val="20"/>
          <w:szCs w:val="20"/>
        </w:rPr>
        <w:t>gratitude</w:t>
      </w:r>
      <w:r w:rsidR="00FF41A0" w:rsidRPr="00F2244D">
        <w:rPr>
          <w:bCs/>
          <w:sz w:val="20"/>
          <w:szCs w:val="20"/>
        </w:rPr>
        <w:t xml:space="preserve"> </w:t>
      </w:r>
      <w:r w:rsidR="00323457" w:rsidRPr="00F2244D">
        <w:rPr>
          <w:bCs/>
          <w:sz w:val="20"/>
          <w:szCs w:val="20"/>
        </w:rPr>
        <w:t>for</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decision</w:t>
      </w:r>
      <w:r w:rsidR="00FF41A0" w:rsidRPr="00F2244D">
        <w:rPr>
          <w:bCs/>
          <w:sz w:val="20"/>
          <w:szCs w:val="20"/>
        </w:rPr>
        <w:t xml:space="preserve"> </w:t>
      </w:r>
      <w:r w:rsidR="00323457" w:rsidRPr="00F2244D">
        <w:rPr>
          <w:bCs/>
          <w:sz w:val="20"/>
          <w:szCs w:val="20"/>
        </w:rPr>
        <w:t>of</w:t>
      </w:r>
      <w:r w:rsidR="00FF41A0" w:rsidRPr="00F2244D">
        <w:rPr>
          <w:bCs/>
          <w:sz w:val="20"/>
          <w:szCs w:val="20"/>
        </w:rPr>
        <w:t xml:space="preserve"> </w:t>
      </w:r>
      <w:r w:rsidR="00323457" w:rsidRPr="00F2244D">
        <w:rPr>
          <w:bCs/>
          <w:sz w:val="20"/>
          <w:szCs w:val="20"/>
        </w:rPr>
        <w:t>Jordan</w:t>
      </w:r>
      <w:r w:rsidR="00FF41A0" w:rsidRPr="00F2244D">
        <w:rPr>
          <w:bCs/>
          <w:sz w:val="20"/>
          <w:szCs w:val="20"/>
        </w:rPr>
        <w:t xml:space="preserve"> </w:t>
      </w:r>
      <w:r w:rsidR="00323457" w:rsidRPr="00F2244D">
        <w:rPr>
          <w:bCs/>
          <w:sz w:val="20"/>
          <w:szCs w:val="20"/>
        </w:rPr>
        <w:t>to</w:t>
      </w:r>
      <w:r w:rsidR="00FF41A0" w:rsidRPr="00F2244D">
        <w:rPr>
          <w:bCs/>
          <w:sz w:val="20"/>
          <w:szCs w:val="20"/>
        </w:rPr>
        <w:t xml:space="preserve"> </w:t>
      </w:r>
      <w:r w:rsidR="00323457" w:rsidRPr="00F2244D">
        <w:rPr>
          <w:bCs/>
          <w:sz w:val="20"/>
          <w:szCs w:val="20"/>
        </w:rPr>
        <w:t>take</w:t>
      </w:r>
      <w:r w:rsidR="00FF41A0" w:rsidRPr="00F2244D">
        <w:rPr>
          <w:bCs/>
          <w:sz w:val="20"/>
          <w:szCs w:val="20"/>
        </w:rPr>
        <w:t xml:space="preserve"> </w:t>
      </w:r>
      <w:r w:rsidR="00323457" w:rsidRPr="00F2244D">
        <w:rPr>
          <w:bCs/>
          <w:sz w:val="20"/>
          <w:szCs w:val="20"/>
        </w:rPr>
        <w:t>position</w:t>
      </w:r>
      <w:r w:rsidR="00FF41A0" w:rsidRPr="00F2244D">
        <w:rPr>
          <w:bCs/>
          <w:sz w:val="20"/>
          <w:szCs w:val="20"/>
        </w:rPr>
        <w:t xml:space="preserve"> </w:t>
      </w:r>
      <w:r w:rsidR="00323457" w:rsidRPr="00F2244D">
        <w:rPr>
          <w:bCs/>
          <w:sz w:val="20"/>
          <w:szCs w:val="20"/>
        </w:rPr>
        <w:t>on</w:t>
      </w:r>
      <w:r w:rsidR="00FF41A0" w:rsidRPr="00F2244D">
        <w:rPr>
          <w:bCs/>
          <w:sz w:val="20"/>
          <w:szCs w:val="20"/>
        </w:rPr>
        <w:t xml:space="preserve"> </w:t>
      </w:r>
      <w:r w:rsidR="00323457" w:rsidRPr="00F2244D">
        <w:rPr>
          <w:bCs/>
          <w:sz w:val="20"/>
          <w:szCs w:val="20"/>
        </w:rPr>
        <w:t>many</w:t>
      </w:r>
      <w:r w:rsidR="00FF41A0" w:rsidRPr="00F2244D">
        <w:rPr>
          <w:bCs/>
          <w:sz w:val="20"/>
          <w:szCs w:val="20"/>
        </w:rPr>
        <w:t xml:space="preserve"> </w:t>
      </w:r>
      <w:r w:rsidR="00323457" w:rsidRPr="00F2244D">
        <w:rPr>
          <w:bCs/>
          <w:sz w:val="20"/>
          <w:szCs w:val="20"/>
        </w:rPr>
        <w:t>recommendations</w:t>
      </w:r>
      <w:r w:rsidR="00FF41A0" w:rsidRPr="00F2244D">
        <w:rPr>
          <w:bCs/>
          <w:sz w:val="20"/>
          <w:szCs w:val="20"/>
        </w:rPr>
        <w:t xml:space="preserve"> </w:t>
      </w:r>
      <w:r w:rsidR="00323457" w:rsidRPr="00F2244D">
        <w:rPr>
          <w:bCs/>
          <w:sz w:val="20"/>
          <w:szCs w:val="20"/>
        </w:rPr>
        <w:t>during</w:t>
      </w:r>
      <w:r w:rsidR="00FF41A0" w:rsidRPr="00F2244D">
        <w:rPr>
          <w:bCs/>
          <w:sz w:val="20"/>
          <w:szCs w:val="20"/>
        </w:rPr>
        <w:t xml:space="preserve"> </w:t>
      </w:r>
      <w:r w:rsidR="00323457" w:rsidRPr="00F2244D">
        <w:rPr>
          <w:bCs/>
          <w:sz w:val="20"/>
          <w:szCs w:val="20"/>
        </w:rPr>
        <w:t>its</w:t>
      </w:r>
      <w:r w:rsidR="00FF41A0" w:rsidRPr="00F2244D">
        <w:rPr>
          <w:bCs/>
          <w:sz w:val="20"/>
          <w:szCs w:val="20"/>
        </w:rPr>
        <w:t xml:space="preserve"> </w:t>
      </w:r>
      <w:r w:rsidR="00323457" w:rsidRPr="00F2244D">
        <w:rPr>
          <w:bCs/>
          <w:sz w:val="20"/>
          <w:szCs w:val="20"/>
        </w:rPr>
        <w:t>review</w:t>
      </w:r>
      <w:r w:rsidR="00FF41A0" w:rsidRPr="00F2244D">
        <w:rPr>
          <w:bCs/>
          <w:sz w:val="20"/>
          <w:szCs w:val="20"/>
        </w:rPr>
        <w:t xml:space="preserve"> </w:t>
      </w:r>
      <w:r w:rsidR="00323457" w:rsidRPr="00F2244D">
        <w:rPr>
          <w:bCs/>
          <w:sz w:val="20"/>
          <w:szCs w:val="20"/>
        </w:rPr>
        <w:t>and</w:t>
      </w:r>
      <w:r w:rsidR="00FF41A0" w:rsidRPr="00F2244D">
        <w:rPr>
          <w:bCs/>
          <w:sz w:val="20"/>
          <w:szCs w:val="20"/>
        </w:rPr>
        <w:t xml:space="preserve"> </w:t>
      </w:r>
      <w:r w:rsidR="00323457" w:rsidRPr="00F2244D">
        <w:rPr>
          <w:bCs/>
          <w:sz w:val="20"/>
          <w:szCs w:val="20"/>
        </w:rPr>
        <w:t>its</w:t>
      </w:r>
      <w:r w:rsidR="00FF41A0" w:rsidRPr="00F2244D">
        <w:rPr>
          <w:bCs/>
          <w:sz w:val="20"/>
          <w:szCs w:val="20"/>
        </w:rPr>
        <w:t xml:space="preserve"> </w:t>
      </w:r>
      <w:r w:rsidR="00323457" w:rsidRPr="00F2244D">
        <w:rPr>
          <w:bCs/>
          <w:sz w:val="20"/>
          <w:szCs w:val="20"/>
        </w:rPr>
        <w:t>spirit</w:t>
      </w:r>
      <w:r w:rsidR="00FF41A0" w:rsidRPr="00F2244D">
        <w:rPr>
          <w:bCs/>
          <w:sz w:val="20"/>
          <w:szCs w:val="20"/>
        </w:rPr>
        <w:t xml:space="preserve"> </w:t>
      </w:r>
      <w:r w:rsidR="00323457" w:rsidRPr="00F2244D">
        <w:rPr>
          <w:bCs/>
          <w:sz w:val="20"/>
          <w:szCs w:val="20"/>
        </w:rPr>
        <w:t>of</w:t>
      </w:r>
      <w:r w:rsidR="00FF41A0" w:rsidRPr="00F2244D">
        <w:rPr>
          <w:bCs/>
          <w:sz w:val="20"/>
          <w:szCs w:val="20"/>
        </w:rPr>
        <w:t xml:space="preserve"> </w:t>
      </w:r>
      <w:r w:rsidR="00323457" w:rsidRPr="00F2244D">
        <w:rPr>
          <w:bCs/>
          <w:sz w:val="20"/>
          <w:szCs w:val="20"/>
        </w:rPr>
        <w:t>constructive</w:t>
      </w:r>
      <w:r w:rsidR="00FF41A0" w:rsidRPr="00F2244D">
        <w:rPr>
          <w:bCs/>
          <w:sz w:val="20"/>
          <w:szCs w:val="20"/>
        </w:rPr>
        <w:t xml:space="preserve"> </w:t>
      </w:r>
      <w:r w:rsidR="00323457" w:rsidRPr="00F2244D">
        <w:rPr>
          <w:bCs/>
          <w:sz w:val="20"/>
          <w:szCs w:val="20"/>
        </w:rPr>
        <w:t>engagement</w:t>
      </w:r>
      <w:r w:rsidR="00FF41A0" w:rsidRPr="00F2244D">
        <w:rPr>
          <w:bCs/>
          <w:sz w:val="20"/>
          <w:szCs w:val="20"/>
        </w:rPr>
        <w:t xml:space="preserve"> </w:t>
      </w:r>
      <w:r w:rsidR="00323457" w:rsidRPr="00F2244D">
        <w:rPr>
          <w:bCs/>
          <w:sz w:val="20"/>
          <w:szCs w:val="20"/>
        </w:rPr>
        <w:t>on</w:t>
      </w:r>
      <w:r w:rsidR="00FF41A0" w:rsidRPr="00F2244D">
        <w:rPr>
          <w:bCs/>
          <w:sz w:val="20"/>
          <w:szCs w:val="20"/>
        </w:rPr>
        <w:t xml:space="preserve"> </w:t>
      </w:r>
      <w:r w:rsidR="00323457" w:rsidRPr="00F2244D">
        <w:rPr>
          <w:bCs/>
          <w:sz w:val="20"/>
          <w:szCs w:val="20"/>
        </w:rPr>
        <w:t>human</w:t>
      </w:r>
      <w:r w:rsidR="00FF41A0" w:rsidRPr="00F2244D">
        <w:rPr>
          <w:bCs/>
          <w:sz w:val="20"/>
          <w:szCs w:val="20"/>
        </w:rPr>
        <w:t xml:space="preserve"> </w:t>
      </w:r>
      <w:r w:rsidR="00323457" w:rsidRPr="00F2244D">
        <w:rPr>
          <w:bCs/>
          <w:sz w:val="20"/>
          <w:szCs w:val="20"/>
        </w:rPr>
        <w:t>rights</w:t>
      </w:r>
      <w:r w:rsidR="00FF41A0" w:rsidRPr="00F2244D">
        <w:rPr>
          <w:bCs/>
          <w:sz w:val="20"/>
          <w:szCs w:val="20"/>
        </w:rPr>
        <w:t xml:space="preserve"> </w:t>
      </w:r>
      <w:r w:rsidR="00323457" w:rsidRPr="00F2244D">
        <w:rPr>
          <w:bCs/>
          <w:sz w:val="20"/>
          <w:szCs w:val="20"/>
        </w:rPr>
        <w:t>issues.</w:t>
      </w:r>
      <w:r w:rsidR="00FF41A0" w:rsidRPr="00F2244D">
        <w:rPr>
          <w:bCs/>
          <w:sz w:val="20"/>
          <w:szCs w:val="20"/>
        </w:rPr>
        <w:t xml:space="preserve"> </w:t>
      </w:r>
      <w:r w:rsidR="00323457" w:rsidRPr="00F2244D">
        <w:rPr>
          <w:bCs/>
          <w:sz w:val="20"/>
          <w:szCs w:val="20"/>
        </w:rPr>
        <w:t>Malaysia</w:t>
      </w:r>
      <w:r w:rsidR="00FF41A0" w:rsidRPr="00F2244D">
        <w:rPr>
          <w:bCs/>
          <w:sz w:val="20"/>
          <w:szCs w:val="20"/>
        </w:rPr>
        <w:t xml:space="preserve"> </w:t>
      </w:r>
      <w:r w:rsidR="00323457" w:rsidRPr="00F2244D">
        <w:rPr>
          <w:bCs/>
          <w:sz w:val="20"/>
          <w:szCs w:val="20"/>
        </w:rPr>
        <w:t>believes</w:t>
      </w:r>
      <w:r w:rsidR="00FF41A0" w:rsidRPr="00F2244D">
        <w:rPr>
          <w:bCs/>
          <w:sz w:val="20"/>
          <w:szCs w:val="20"/>
        </w:rPr>
        <w:t xml:space="preserve"> </w:t>
      </w:r>
      <w:r w:rsidR="00323457" w:rsidRPr="00F2244D">
        <w:rPr>
          <w:bCs/>
          <w:sz w:val="20"/>
          <w:szCs w:val="20"/>
        </w:rPr>
        <w:t>that</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recommendations</w:t>
      </w:r>
      <w:r w:rsidR="00FF41A0" w:rsidRPr="00F2244D">
        <w:rPr>
          <w:bCs/>
          <w:sz w:val="20"/>
          <w:szCs w:val="20"/>
        </w:rPr>
        <w:t xml:space="preserve"> </w:t>
      </w:r>
      <w:r w:rsidR="00323457" w:rsidRPr="00F2244D">
        <w:rPr>
          <w:bCs/>
          <w:sz w:val="20"/>
          <w:szCs w:val="20"/>
        </w:rPr>
        <w:t>put</w:t>
      </w:r>
      <w:r w:rsidR="00FF41A0" w:rsidRPr="00F2244D">
        <w:rPr>
          <w:bCs/>
          <w:sz w:val="20"/>
          <w:szCs w:val="20"/>
        </w:rPr>
        <w:t xml:space="preserve"> </w:t>
      </w:r>
      <w:r w:rsidR="00323457" w:rsidRPr="00F2244D">
        <w:rPr>
          <w:bCs/>
          <w:sz w:val="20"/>
          <w:szCs w:val="20"/>
        </w:rPr>
        <w:t>forth</w:t>
      </w:r>
      <w:r w:rsidR="00FF41A0" w:rsidRPr="00F2244D">
        <w:rPr>
          <w:bCs/>
          <w:sz w:val="20"/>
          <w:szCs w:val="20"/>
        </w:rPr>
        <w:t xml:space="preserve"> </w:t>
      </w:r>
      <w:r w:rsidR="00323457" w:rsidRPr="00F2244D">
        <w:rPr>
          <w:bCs/>
          <w:sz w:val="20"/>
          <w:szCs w:val="20"/>
        </w:rPr>
        <w:t>by</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delegation</w:t>
      </w:r>
      <w:r w:rsidR="00FF41A0" w:rsidRPr="00F2244D">
        <w:rPr>
          <w:bCs/>
          <w:sz w:val="20"/>
          <w:szCs w:val="20"/>
        </w:rPr>
        <w:t xml:space="preserve"> </w:t>
      </w:r>
      <w:r w:rsidR="00323457" w:rsidRPr="00F2244D">
        <w:rPr>
          <w:bCs/>
          <w:sz w:val="20"/>
          <w:szCs w:val="20"/>
        </w:rPr>
        <w:t>would</w:t>
      </w:r>
      <w:r w:rsidR="00FF41A0" w:rsidRPr="00F2244D">
        <w:rPr>
          <w:bCs/>
          <w:sz w:val="20"/>
          <w:szCs w:val="20"/>
        </w:rPr>
        <w:t xml:space="preserve"> </w:t>
      </w:r>
      <w:r w:rsidR="00323457" w:rsidRPr="00F2244D">
        <w:rPr>
          <w:bCs/>
          <w:sz w:val="20"/>
          <w:szCs w:val="20"/>
        </w:rPr>
        <w:t>further</w:t>
      </w:r>
      <w:r w:rsidR="00FF41A0" w:rsidRPr="00F2244D">
        <w:rPr>
          <w:bCs/>
          <w:sz w:val="20"/>
          <w:szCs w:val="20"/>
        </w:rPr>
        <w:t xml:space="preserve"> </w:t>
      </w:r>
      <w:r w:rsidR="00323457" w:rsidRPr="00F2244D">
        <w:rPr>
          <w:bCs/>
          <w:sz w:val="20"/>
          <w:szCs w:val="20"/>
        </w:rPr>
        <w:t>complement</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efforts</w:t>
      </w:r>
      <w:r w:rsidR="00FF41A0" w:rsidRPr="00F2244D">
        <w:rPr>
          <w:bCs/>
          <w:sz w:val="20"/>
          <w:szCs w:val="20"/>
        </w:rPr>
        <w:t xml:space="preserve"> </w:t>
      </w:r>
      <w:r w:rsidR="00323457" w:rsidRPr="00F2244D">
        <w:rPr>
          <w:bCs/>
          <w:sz w:val="20"/>
          <w:szCs w:val="20"/>
        </w:rPr>
        <w:t>made</w:t>
      </w:r>
      <w:r w:rsidR="00FF41A0" w:rsidRPr="00F2244D">
        <w:rPr>
          <w:bCs/>
          <w:sz w:val="20"/>
          <w:szCs w:val="20"/>
        </w:rPr>
        <w:t xml:space="preserve"> </w:t>
      </w:r>
      <w:r w:rsidR="00323457" w:rsidRPr="00F2244D">
        <w:rPr>
          <w:bCs/>
          <w:sz w:val="20"/>
          <w:szCs w:val="20"/>
        </w:rPr>
        <w:t>by</w:t>
      </w:r>
      <w:r w:rsidR="00FF41A0" w:rsidRPr="00F2244D">
        <w:rPr>
          <w:bCs/>
          <w:sz w:val="20"/>
          <w:szCs w:val="20"/>
        </w:rPr>
        <w:t xml:space="preserve"> </w:t>
      </w:r>
      <w:r w:rsidR="00323457" w:rsidRPr="00F2244D">
        <w:rPr>
          <w:bCs/>
          <w:sz w:val="20"/>
          <w:szCs w:val="20"/>
        </w:rPr>
        <w:t>Jordan</w:t>
      </w:r>
      <w:r w:rsidR="00FF41A0" w:rsidRPr="00F2244D">
        <w:rPr>
          <w:bCs/>
          <w:sz w:val="20"/>
          <w:szCs w:val="20"/>
        </w:rPr>
        <w:t xml:space="preserve"> </w:t>
      </w:r>
      <w:r w:rsidR="00323457" w:rsidRPr="00F2244D">
        <w:rPr>
          <w:bCs/>
          <w:sz w:val="20"/>
          <w:szCs w:val="20"/>
        </w:rPr>
        <w:t>to</w:t>
      </w:r>
      <w:r w:rsidR="00FF41A0" w:rsidRPr="00F2244D">
        <w:rPr>
          <w:bCs/>
          <w:sz w:val="20"/>
          <w:szCs w:val="20"/>
        </w:rPr>
        <w:t xml:space="preserve"> </w:t>
      </w:r>
      <w:r w:rsidR="00323457" w:rsidRPr="00F2244D">
        <w:rPr>
          <w:bCs/>
          <w:sz w:val="20"/>
          <w:szCs w:val="20"/>
        </w:rPr>
        <w:t>promote</w:t>
      </w:r>
      <w:r w:rsidR="00FF41A0" w:rsidRPr="00F2244D">
        <w:rPr>
          <w:bCs/>
          <w:sz w:val="20"/>
          <w:szCs w:val="20"/>
        </w:rPr>
        <w:t xml:space="preserve"> </w:t>
      </w:r>
      <w:r w:rsidR="00323457" w:rsidRPr="00F2244D">
        <w:rPr>
          <w:bCs/>
          <w:sz w:val="20"/>
          <w:szCs w:val="20"/>
        </w:rPr>
        <w:t>gender</w:t>
      </w:r>
      <w:r w:rsidR="00FF41A0" w:rsidRPr="00F2244D">
        <w:rPr>
          <w:bCs/>
          <w:sz w:val="20"/>
          <w:szCs w:val="20"/>
        </w:rPr>
        <w:t xml:space="preserve"> </w:t>
      </w:r>
      <w:r w:rsidR="00323457" w:rsidRPr="00F2244D">
        <w:rPr>
          <w:bCs/>
          <w:sz w:val="20"/>
          <w:szCs w:val="20"/>
        </w:rPr>
        <w:t>equality</w:t>
      </w:r>
      <w:r w:rsidR="00FF41A0" w:rsidRPr="00F2244D">
        <w:rPr>
          <w:bCs/>
          <w:sz w:val="20"/>
          <w:szCs w:val="20"/>
        </w:rPr>
        <w:t xml:space="preserve"> </w:t>
      </w:r>
      <w:r w:rsidR="00323457" w:rsidRPr="00F2244D">
        <w:rPr>
          <w:bCs/>
          <w:sz w:val="20"/>
          <w:szCs w:val="20"/>
        </w:rPr>
        <w:t>and</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rights</w:t>
      </w:r>
      <w:r w:rsidR="00FF41A0" w:rsidRPr="00F2244D">
        <w:rPr>
          <w:bCs/>
          <w:sz w:val="20"/>
          <w:szCs w:val="20"/>
        </w:rPr>
        <w:t xml:space="preserve"> </w:t>
      </w:r>
      <w:r w:rsidR="00323457" w:rsidRPr="00F2244D">
        <w:rPr>
          <w:bCs/>
          <w:sz w:val="20"/>
          <w:szCs w:val="20"/>
        </w:rPr>
        <w:t>of</w:t>
      </w:r>
      <w:r w:rsidR="00FF41A0" w:rsidRPr="00F2244D">
        <w:rPr>
          <w:bCs/>
          <w:sz w:val="20"/>
          <w:szCs w:val="20"/>
        </w:rPr>
        <w:t xml:space="preserve"> </w:t>
      </w:r>
      <w:r w:rsidR="00323457" w:rsidRPr="00F2244D">
        <w:rPr>
          <w:bCs/>
          <w:sz w:val="20"/>
          <w:szCs w:val="20"/>
        </w:rPr>
        <w:t>children</w:t>
      </w:r>
      <w:r w:rsidR="00FF41A0" w:rsidRPr="00F2244D">
        <w:rPr>
          <w:bCs/>
          <w:sz w:val="20"/>
          <w:szCs w:val="20"/>
        </w:rPr>
        <w:t xml:space="preserve"> </w:t>
      </w:r>
      <w:r w:rsidR="00323457" w:rsidRPr="00F2244D">
        <w:rPr>
          <w:bCs/>
          <w:sz w:val="20"/>
          <w:szCs w:val="20"/>
        </w:rPr>
        <w:t>in</w:t>
      </w:r>
      <w:r w:rsidR="00FF41A0" w:rsidRPr="00F2244D">
        <w:rPr>
          <w:bCs/>
          <w:sz w:val="20"/>
          <w:szCs w:val="20"/>
        </w:rPr>
        <w:t xml:space="preserve"> </w:t>
      </w:r>
      <w:r w:rsidR="00323457" w:rsidRPr="00F2244D">
        <w:rPr>
          <w:bCs/>
          <w:sz w:val="20"/>
          <w:szCs w:val="20"/>
        </w:rPr>
        <w:t>all</w:t>
      </w:r>
      <w:r w:rsidR="00FF41A0" w:rsidRPr="00F2244D">
        <w:rPr>
          <w:bCs/>
          <w:sz w:val="20"/>
          <w:szCs w:val="20"/>
        </w:rPr>
        <w:t xml:space="preserve"> </w:t>
      </w:r>
      <w:r w:rsidR="00323457" w:rsidRPr="00F2244D">
        <w:rPr>
          <w:bCs/>
          <w:sz w:val="20"/>
          <w:szCs w:val="20"/>
        </w:rPr>
        <w:t>spheres.</w:t>
      </w:r>
      <w:r w:rsidR="00FF41A0" w:rsidRPr="00F2244D">
        <w:rPr>
          <w:bCs/>
          <w:sz w:val="20"/>
          <w:szCs w:val="20"/>
        </w:rPr>
        <w:t xml:space="preserve"> </w:t>
      </w:r>
    </w:p>
    <w:p w14:paraId="4D6E6AF0" w14:textId="109BE937" w:rsidR="00323457" w:rsidRPr="00F2244D" w:rsidRDefault="00972F1E" w:rsidP="00F2244D">
      <w:pPr>
        <w:pStyle w:val="SingleTxtG"/>
        <w:rPr>
          <w:bCs/>
          <w:sz w:val="20"/>
          <w:szCs w:val="20"/>
        </w:rPr>
      </w:pPr>
      <w:r>
        <w:rPr>
          <w:bCs/>
          <w:sz w:val="20"/>
          <w:szCs w:val="20"/>
        </w:rPr>
        <w:t>617</w:t>
      </w:r>
      <w:r w:rsidR="00D7475F">
        <w:rPr>
          <w:bCs/>
          <w:sz w:val="20"/>
          <w:szCs w:val="20"/>
        </w:rPr>
        <w:t>.</w:t>
      </w:r>
      <w:r w:rsidR="00D7475F">
        <w:rPr>
          <w:bCs/>
          <w:sz w:val="20"/>
          <w:szCs w:val="20"/>
        </w:rPr>
        <w:tab/>
      </w:r>
      <w:r w:rsidR="00323457" w:rsidRPr="00F2244D">
        <w:rPr>
          <w:bCs/>
          <w:sz w:val="20"/>
          <w:szCs w:val="20"/>
        </w:rPr>
        <w:t>Mauritania</w:t>
      </w:r>
      <w:r w:rsidR="00FF41A0" w:rsidRPr="00F2244D">
        <w:rPr>
          <w:bCs/>
          <w:sz w:val="20"/>
          <w:szCs w:val="20"/>
        </w:rPr>
        <w:t xml:space="preserve"> </w:t>
      </w:r>
      <w:r w:rsidR="00323457" w:rsidRPr="00F2244D">
        <w:rPr>
          <w:bCs/>
          <w:sz w:val="20"/>
          <w:szCs w:val="20"/>
        </w:rPr>
        <w:t>commended</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transparency</w:t>
      </w:r>
      <w:r w:rsidR="00FF41A0" w:rsidRPr="00F2244D">
        <w:rPr>
          <w:bCs/>
          <w:sz w:val="20"/>
          <w:szCs w:val="20"/>
        </w:rPr>
        <w:t xml:space="preserve"> </w:t>
      </w:r>
      <w:r w:rsidR="00323457" w:rsidRPr="00F2244D">
        <w:rPr>
          <w:bCs/>
          <w:sz w:val="20"/>
          <w:szCs w:val="20"/>
        </w:rPr>
        <w:t>and</w:t>
      </w:r>
      <w:r w:rsidR="00FF41A0" w:rsidRPr="00F2244D">
        <w:rPr>
          <w:bCs/>
          <w:sz w:val="20"/>
          <w:szCs w:val="20"/>
        </w:rPr>
        <w:t xml:space="preserve"> </w:t>
      </w:r>
      <w:r w:rsidR="00323457" w:rsidRPr="00F2244D">
        <w:rPr>
          <w:bCs/>
          <w:sz w:val="20"/>
          <w:szCs w:val="20"/>
        </w:rPr>
        <w:t>positivity</w:t>
      </w:r>
      <w:r w:rsidR="00FF41A0" w:rsidRPr="00F2244D">
        <w:rPr>
          <w:bCs/>
          <w:sz w:val="20"/>
          <w:szCs w:val="20"/>
        </w:rPr>
        <w:t xml:space="preserve"> </w:t>
      </w:r>
      <w:r w:rsidR="00323457" w:rsidRPr="00F2244D">
        <w:rPr>
          <w:bCs/>
          <w:sz w:val="20"/>
          <w:szCs w:val="20"/>
        </w:rPr>
        <w:t>shown</w:t>
      </w:r>
      <w:r w:rsidR="00FF41A0" w:rsidRPr="00F2244D">
        <w:rPr>
          <w:bCs/>
          <w:sz w:val="20"/>
          <w:szCs w:val="20"/>
        </w:rPr>
        <w:t xml:space="preserve"> </w:t>
      </w:r>
      <w:r w:rsidR="00323457" w:rsidRPr="00F2244D">
        <w:rPr>
          <w:bCs/>
          <w:sz w:val="20"/>
          <w:szCs w:val="20"/>
        </w:rPr>
        <w:t>by</w:t>
      </w:r>
      <w:r w:rsidR="00FF41A0" w:rsidRPr="00F2244D">
        <w:rPr>
          <w:bCs/>
          <w:sz w:val="20"/>
          <w:szCs w:val="20"/>
        </w:rPr>
        <w:t xml:space="preserve"> </w:t>
      </w:r>
      <w:r w:rsidR="00323457" w:rsidRPr="00F2244D">
        <w:rPr>
          <w:bCs/>
          <w:sz w:val="20"/>
          <w:szCs w:val="20"/>
        </w:rPr>
        <w:t>Jordan</w:t>
      </w:r>
      <w:r w:rsidR="00FF41A0" w:rsidRPr="00F2244D">
        <w:rPr>
          <w:bCs/>
          <w:sz w:val="20"/>
          <w:szCs w:val="20"/>
        </w:rPr>
        <w:t xml:space="preserve"> </w:t>
      </w:r>
      <w:r w:rsidR="00323457" w:rsidRPr="00F2244D">
        <w:rPr>
          <w:bCs/>
          <w:sz w:val="20"/>
          <w:szCs w:val="20"/>
        </w:rPr>
        <w:t>throughout</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review</w:t>
      </w:r>
      <w:r w:rsidR="00FF41A0" w:rsidRPr="00F2244D">
        <w:rPr>
          <w:bCs/>
          <w:sz w:val="20"/>
          <w:szCs w:val="20"/>
        </w:rPr>
        <w:t xml:space="preserve"> </w:t>
      </w:r>
      <w:r w:rsidR="00323457" w:rsidRPr="00F2244D">
        <w:rPr>
          <w:bCs/>
          <w:sz w:val="20"/>
          <w:szCs w:val="20"/>
        </w:rPr>
        <w:t>and</w:t>
      </w:r>
      <w:r w:rsidR="00FF41A0" w:rsidRPr="00F2244D">
        <w:rPr>
          <w:bCs/>
          <w:sz w:val="20"/>
          <w:szCs w:val="20"/>
        </w:rPr>
        <w:t xml:space="preserve"> </w:t>
      </w:r>
      <w:r w:rsidR="00323457" w:rsidRPr="00F2244D">
        <w:rPr>
          <w:bCs/>
          <w:sz w:val="20"/>
          <w:szCs w:val="20"/>
        </w:rPr>
        <w:t>its</w:t>
      </w:r>
      <w:r w:rsidR="00FF41A0" w:rsidRPr="00F2244D">
        <w:rPr>
          <w:bCs/>
          <w:sz w:val="20"/>
          <w:szCs w:val="20"/>
        </w:rPr>
        <w:t xml:space="preserve"> </w:t>
      </w:r>
      <w:r w:rsidR="00323457" w:rsidRPr="00F2244D">
        <w:rPr>
          <w:bCs/>
          <w:sz w:val="20"/>
          <w:szCs w:val="20"/>
        </w:rPr>
        <w:t>continuous</w:t>
      </w:r>
      <w:r w:rsidR="00FF41A0" w:rsidRPr="00F2244D">
        <w:rPr>
          <w:bCs/>
          <w:sz w:val="20"/>
          <w:szCs w:val="20"/>
        </w:rPr>
        <w:t xml:space="preserve"> </w:t>
      </w:r>
      <w:r w:rsidR="00323457" w:rsidRPr="00F2244D">
        <w:rPr>
          <w:bCs/>
          <w:sz w:val="20"/>
          <w:szCs w:val="20"/>
        </w:rPr>
        <w:t>efforts</w:t>
      </w:r>
      <w:r w:rsidR="00FF41A0" w:rsidRPr="00F2244D">
        <w:rPr>
          <w:bCs/>
          <w:sz w:val="20"/>
          <w:szCs w:val="20"/>
        </w:rPr>
        <w:t xml:space="preserve"> </w:t>
      </w:r>
      <w:r w:rsidR="00323457" w:rsidRPr="00F2244D">
        <w:rPr>
          <w:bCs/>
          <w:sz w:val="20"/>
          <w:szCs w:val="20"/>
        </w:rPr>
        <w:t>to</w:t>
      </w:r>
      <w:r w:rsidR="00FF41A0" w:rsidRPr="00F2244D">
        <w:rPr>
          <w:bCs/>
          <w:sz w:val="20"/>
          <w:szCs w:val="20"/>
        </w:rPr>
        <w:t xml:space="preserve"> </w:t>
      </w:r>
      <w:r w:rsidR="00323457" w:rsidRPr="00F2244D">
        <w:rPr>
          <w:bCs/>
          <w:sz w:val="20"/>
          <w:szCs w:val="20"/>
        </w:rPr>
        <w:t>promote</w:t>
      </w:r>
      <w:r w:rsidR="00FF41A0" w:rsidRPr="00F2244D">
        <w:rPr>
          <w:bCs/>
          <w:sz w:val="20"/>
          <w:szCs w:val="20"/>
        </w:rPr>
        <w:t xml:space="preserve"> </w:t>
      </w:r>
      <w:r w:rsidR="00323457" w:rsidRPr="00F2244D">
        <w:rPr>
          <w:bCs/>
          <w:sz w:val="20"/>
          <w:szCs w:val="20"/>
        </w:rPr>
        <w:t>and</w:t>
      </w:r>
      <w:r w:rsidR="00FF41A0" w:rsidRPr="00F2244D">
        <w:rPr>
          <w:bCs/>
          <w:sz w:val="20"/>
          <w:szCs w:val="20"/>
        </w:rPr>
        <w:t xml:space="preserve"> </w:t>
      </w:r>
      <w:r w:rsidR="00323457" w:rsidRPr="00F2244D">
        <w:rPr>
          <w:bCs/>
          <w:sz w:val="20"/>
          <w:szCs w:val="20"/>
        </w:rPr>
        <w:t>protect</w:t>
      </w:r>
      <w:r w:rsidR="00FF41A0" w:rsidRPr="00F2244D">
        <w:rPr>
          <w:bCs/>
          <w:sz w:val="20"/>
          <w:szCs w:val="20"/>
        </w:rPr>
        <w:t xml:space="preserve"> </w:t>
      </w:r>
      <w:r w:rsidR="00323457" w:rsidRPr="00F2244D">
        <w:rPr>
          <w:bCs/>
          <w:sz w:val="20"/>
          <w:szCs w:val="20"/>
        </w:rPr>
        <w:t>human</w:t>
      </w:r>
      <w:r w:rsidR="00FF41A0" w:rsidRPr="00F2244D">
        <w:rPr>
          <w:bCs/>
          <w:sz w:val="20"/>
          <w:szCs w:val="20"/>
        </w:rPr>
        <w:t xml:space="preserve"> </w:t>
      </w:r>
      <w:r w:rsidR="00323457" w:rsidRPr="00F2244D">
        <w:rPr>
          <w:bCs/>
          <w:sz w:val="20"/>
          <w:szCs w:val="20"/>
        </w:rPr>
        <w:t>rights.</w:t>
      </w:r>
      <w:r w:rsidR="00FF41A0" w:rsidRPr="00F2244D">
        <w:rPr>
          <w:bCs/>
          <w:sz w:val="20"/>
          <w:szCs w:val="20"/>
        </w:rPr>
        <w:t xml:space="preserve"> </w:t>
      </w:r>
      <w:r w:rsidR="00323457" w:rsidRPr="00F2244D">
        <w:rPr>
          <w:bCs/>
          <w:sz w:val="20"/>
          <w:szCs w:val="20"/>
        </w:rPr>
        <w:t>Mauritania</w:t>
      </w:r>
      <w:r w:rsidR="00FF41A0" w:rsidRPr="00F2244D">
        <w:rPr>
          <w:bCs/>
          <w:sz w:val="20"/>
          <w:szCs w:val="20"/>
        </w:rPr>
        <w:t xml:space="preserve"> </w:t>
      </w:r>
      <w:r w:rsidR="00323457" w:rsidRPr="00F2244D">
        <w:rPr>
          <w:bCs/>
          <w:sz w:val="20"/>
          <w:szCs w:val="20"/>
        </w:rPr>
        <w:t>highly</w:t>
      </w:r>
      <w:r w:rsidR="00FF41A0" w:rsidRPr="00F2244D">
        <w:rPr>
          <w:bCs/>
          <w:sz w:val="20"/>
          <w:szCs w:val="20"/>
        </w:rPr>
        <w:t xml:space="preserve"> </w:t>
      </w:r>
      <w:r w:rsidR="00323457" w:rsidRPr="00F2244D">
        <w:rPr>
          <w:bCs/>
          <w:sz w:val="20"/>
          <w:szCs w:val="20"/>
        </w:rPr>
        <w:t>valued</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progress</w:t>
      </w:r>
      <w:r w:rsidR="00FF41A0" w:rsidRPr="00F2244D">
        <w:rPr>
          <w:bCs/>
          <w:sz w:val="20"/>
          <w:szCs w:val="20"/>
        </w:rPr>
        <w:t xml:space="preserve"> </w:t>
      </w:r>
      <w:r w:rsidR="00323457" w:rsidRPr="00F2244D">
        <w:rPr>
          <w:bCs/>
          <w:sz w:val="20"/>
          <w:szCs w:val="20"/>
        </w:rPr>
        <w:t>made</w:t>
      </w:r>
      <w:r w:rsidR="00FF41A0" w:rsidRPr="00F2244D">
        <w:rPr>
          <w:bCs/>
          <w:sz w:val="20"/>
          <w:szCs w:val="20"/>
        </w:rPr>
        <w:t xml:space="preserve"> </w:t>
      </w:r>
      <w:r w:rsidR="00323457" w:rsidRPr="00F2244D">
        <w:rPr>
          <w:bCs/>
          <w:sz w:val="20"/>
          <w:szCs w:val="20"/>
        </w:rPr>
        <w:t>by</w:t>
      </w:r>
      <w:r w:rsidR="00FF41A0" w:rsidRPr="00F2244D">
        <w:rPr>
          <w:bCs/>
          <w:sz w:val="20"/>
          <w:szCs w:val="20"/>
        </w:rPr>
        <w:t xml:space="preserve"> </w:t>
      </w:r>
      <w:r w:rsidR="00323457" w:rsidRPr="00F2244D">
        <w:rPr>
          <w:bCs/>
          <w:sz w:val="20"/>
          <w:szCs w:val="20"/>
        </w:rPr>
        <w:t>Jordan</w:t>
      </w:r>
      <w:r w:rsidR="00FF41A0" w:rsidRPr="00F2244D">
        <w:rPr>
          <w:bCs/>
          <w:sz w:val="20"/>
          <w:szCs w:val="20"/>
        </w:rPr>
        <w:t xml:space="preserve"> </w:t>
      </w:r>
      <w:r w:rsidR="00323457" w:rsidRPr="00F2244D">
        <w:rPr>
          <w:bCs/>
          <w:sz w:val="20"/>
          <w:szCs w:val="20"/>
        </w:rPr>
        <w:t>in</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field</w:t>
      </w:r>
      <w:r w:rsidR="00FF41A0" w:rsidRPr="00F2244D">
        <w:rPr>
          <w:bCs/>
          <w:sz w:val="20"/>
          <w:szCs w:val="20"/>
        </w:rPr>
        <w:t xml:space="preserve"> </w:t>
      </w:r>
      <w:r w:rsidR="00323457" w:rsidRPr="00F2244D">
        <w:rPr>
          <w:bCs/>
          <w:sz w:val="20"/>
          <w:szCs w:val="20"/>
        </w:rPr>
        <w:t>of</w:t>
      </w:r>
      <w:r w:rsidR="00FF41A0" w:rsidRPr="00F2244D">
        <w:rPr>
          <w:bCs/>
          <w:sz w:val="20"/>
          <w:szCs w:val="20"/>
        </w:rPr>
        <w:t xml:space="preserve"> </w:t>
      </w:r>
      <w:r w:rsidR="00323457" w:rsidRPr="00F2244D">
        <w:rPr>
          <w:bCs/>
          <w:sz w:val="20"/>
          <w:szCs w:val="20"/>
        </w:rPr>
        <w:t>human</w:t>
      </w:r>
      <w:r w:rsidR="00FF41A0" w:rsidRPr="00F2244D">
        <w:rPr>
          <w:bCs/>
          <w:sz w:val="20"/>
          <w:szCs w:val="20"/>
        </w:rPr>
        <w:t xml:space="preserve"> </w:t>
      </w:r>
      <w:r w:rsidR="00323457" w:rsidRPr="00F2244D">
        <w:rPr>
          <w:bCs/>
          <w:sz w:val="20"/>
          <w:szCs w:val="20"/>
        </w:rPr>
        <w:t>rights</w:t>
      </w:r>
      <w:r w:rsidR="00FF41A0" w:rsidRPr="00F2244D">
        <w:rPr>
          <w:bCs/>
          <w:sz w:val="20"/>
          <w:szCs w:val="20"/>
        </w:rPr>
        <w:t xml:space="preserve"> </w:t>
      </w:r>
      <w:r w:rsidR="00323457" w:rsidRPr="00F2244D">
        <w:rPr>
          <w:bCs/>
          <w:sz w:val="20"/>
          <w:szCs w:val="20"/>
        </w:rPr>
        <w:t>and</w:t>
      </w:r>
      <w:r w:rsidR="00FF41A0" w:rsidRPr="00F2244D">
        <w:rPr>
          <w:bCs/>
          <w:sz w:val="20"/>
          <w:szCs w:val="20"/>
        </w:rPr>
        <w:t xml:space="preserve"> </w:t>
      </w:r>
      <w:r w:rsidR="00323457" w:rsidRPr="00F2244D">
        <w:rPr>
          <w:bCs/>
          <w:sz w:val="20"/>
          <w:szCs w:val="20"/>
        </w:rPr>
        <w:t>expressed</w:t>
      </w:r>
      <w:r w:rsidR="00FF41A0" w:rsidRPr="00F2244D">
        <w:rPr>
          <w:bCs/>
          <w:sz w:val="20"/>
          <w:szCs w:val="20"/>
        </w:rPr>
        <w:t xml:space="preserve"> </w:t>
      </w:r>
      <w:r w:rsidR="00323457" w:rsidRPr="00F2244D">
        <w:rPr>
          <w:bCs/>
          <w:sz w:val="20"/>
          <w:szCs w:val="20"/>
        </w:rPr>
        <w:t>gratitude</w:t>
      </w:r>
      <w:r w:rsidR="00FF41A0" w:rsidRPr="00F2244D">
        <w:rPr>
          <w:bCs/>
          <w:sz w:val="20"/>
          <w:szCs w:val="20"/>
        </w:rPr>
        <w:t xml:space="preserve"> </w:t>
      </w:r>
      <w:r w:rsidR="00323457" w:rsidRPr="00F2244D">
        <w:rPr>
          <w:bCs/>
          <w:sz w:val="20"/>
          <w:szCs w:val="20"/>
        </w:rPr>
        <w:t>to</w:t>
      </w:r>
      <w:r w:rsidR="00FF41A0" w:rsidRPr="00F2244D">
        <w:rPr>
          <w:bCs/>
          <w:sz w:val="20"/>
          <w:szCs w:val="20"/>
        </w:rPr>
        <w:t xml:space="preserve"> </w:t>
      </w:r>
      <w:r w:rsidR="00323457" w:rsidRPr="00F2244D">
        <w:rPr>
          <w:bCs/>
          <w:sz w:val="20"/>
          <w:szCs w:val="20"/>
        </w:rPr>
        <w:t>Jordan</w:t>
      </w:r>
      <w:r w:rsidR="00FF41A0" w:rsidRPr="00F2244D">
        <w:rPr>
          <w:bCs/>
          <w:sz w:val="20"/>
          <w:szCs w:val="20"/>
        </w:rPr>
        <w:t xml:space="preserve"> </w:t>
      </w:r>
      <w:r w:rsidR="00323457" w:rsidRPr="00F2244D">
        <w:rPr>
          <w:bCs/>
          <w:sz w:val="20"/>
          <w:szCs w:val="20"/>
        </w:rPr>
        <w:t>for</w:t>
      </w:r>
      <w:r w:rsidR="00FF41A0" w:rsidRPr="00F2244D">
        <w:rPr>
          <w:bCs/>
          <w:sz w:val="20"/>
          <w:szCs w:val="20"/>
        </w:rPr>
        <w:t xml:space="preserve"> </w:t>
      </w:r>
      <w:r w:rsidR="00323457" w:rsidRPr="00F2244D">
        <w:rPr>
          <w:bCs/>
          <w:sz w:val="20"/>
          <w:szCs w:val="20"/>
        </w:rPr>
        <w:t>its</w:t>
      </w:r>
      <w:r w:rsidR="00FF41A0" w:rsidRPr="00F2244D">
        <w:rPr>
          <w:bCs/>
          <w:sz w:val="20"/>
          <w:szCs w:val="20"/>
        </w:rPr>
        <w:t xml:space="preserve"> </w:t>
      </w:r>
      <w:r w:rsidR="00323457" w:rsidRPr="00F2244D">
        <w:rPr>
          <w:bCs/>
          <w:sz w:val="20"/>
          <w:szCs w:val="20"/>
        </w:rPr>
        <w:t>successful</w:t>
      </w:r>
      <w:r w:rsidR="00FF41A0" w:rsidRPr="00F2244D">
        <w:rPr>
          <w:bCs/>
          <w:sz w:val="20"/>
          <w:szCs w:val="20"/>
        </w:rPr>
        <w:t xml:space="preserve"> </w:t>
      </w:r>
      <w:r w:rsidR="00323457" w:rsidRPr="00F2244D">
        <w:rPr>
          <w:bCs/>
          <w:sz w:val="20"/>
          <w:szCs w:val="20"/>
        </w:rPr>
        <w:t>interaction</w:t>
      </w:r>
      <w:r w:rsidR="00FF41A0" w:rsidRPr="00F2244D">
        <w:rPr>
          <w:bCs/>
          <w:sz w:val="20"/>
          <w:szCs w:val="20"/>
        </w:rPr>
        <w:t xml:space="preserve"> </w:t>
      </w:r>
      <w:r w:rsidR="00323457" w:rsidRPr="00F2244D">
        <w:rPr>
          <w:bCs/>
          <w:sz w:val="20"/>
          <w:szCs w:val="20"/>
        </w:rPr>
        <w:t>with</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universal</w:t>
      </w:r>
      <w:r w:rsidR="00FF41A0" w:rsidRPr="00F2244D">
        <w:rPr>
          <w:bCs/>
          <w:sz w:val="20"/>
          <w:szCs w:val="20"/>
        </w:rPr>
        <w:t xml:space="preserve"> </w:t>
      </w:r>
      <w:r w:rsidR="00323457" w:rsidRPr="00F2244D">
        <w:rPr>
          <w:bCs/>
          <w:sz w:val="20"/>
          <w:szCs w:val="20"/>
        </w:rPr>
        <w:t>periodic</w:t>
      </w:r>
      <w:r w:rsidR="00FF41A0" w:rsidRPr="00F2244D">
        <w:rPr>
          <w:bCs/>
          <w:sz w:val="20"/>
          <w:szCs w:val="20"/>
        </w:rPr>
        <w:t xml:space="preserve"> </w:t>
      </w:r>
      <w:r w:rsidR="00323457" w:rsidRPr="00F2244D">
        <w:rPr>
          <w:bCs/>
          <w:sz w:val="20"/>
          <w:szCs w:val="20"/>
        </w:rPr>
        <w:t>review</w:t>
      </w:r>
      <w:r w:rsidR="00FF41A0" w:rsidRPr="00F2244D">
        <w:rPr>
          <w:bCs/>
          <w:sz w:val="20"/>
          <w:szCs w:val="20"/>
        </w:rPr>
        <w:t xml:space="preserve"> </w:t>
      </w:r>
      <w:r w:rsidR="00323457" w:rsidRPr="00F2244D">
        <w:rPr>
          <w:bCs/>
          <w:sz w:val="20"/>
          <w:szCs w:val="20"/>
        </w:rPr>
        <w:t>mechanism.</w:t>
      </w:r>
      <w:r w:rsidR="00FF41A0" w:rsidRPr="00F2244D">
        <w:rPr>
          <w:bCs/>
          <w:sz w:val="20"/>
          <w:szCs w:val="20"/>
        </w:rPr>
        <w:t xml:space="preserve"> </w:t>
      </w:r>
    </w:p>
    <w:p w14:paraId="1F5BB562" w14:textId="238E4349" w:rsidR="00323457" w:rsidRPr="00F2244D" w:rsidRDefault="00972F1E" w:rsidP="00F2244D">
      <w:pPr>
        <w:pStyle w:val="SingleTxtG"/>
        <w:rPr>
          <w:bCs/>
          <w:sz w:val="20"/>
          <w:szCs w:val="20"/>
        </w:rPr>
      </w:pPr>
      <w:r>
        <w:rPr>
          <w:bCs/>
          <w:sz w:val="20"/>
          <w:szCs w:val="20"/>
        </w:rPr>
        <w:t>618</w:t>
      </w:r>
      <w:r w:rsidR="00D7475F">
        <w:rPr>
          <w:bCs/>
          <w:sz w:val="20"/>
          <w:szCs w:val="20"/>
        </w:rPr>
        <w:t>.</w:t>
      </w:r>
      <w:r w:rsidR="00D7475F">
        <w:rPr>
          <w:bCs/>
          <w:sz w:val="20"/>
          <w:szCs w:val="20"/>
        </w:rPr>
        <w:tab/>
      </w:r>
      <w:r w:rsidR="00323457" w:rsidRPr="00F2244D">
        <w:rPr>
          <w:bCs/>
          <w:sz w:val="20"/>
          <w:szCs w:val="20"/>
        </w:rPr>
        <w:t>Nigeria</w:t>
      </w:r>
      <w:r w:rsidR="00FF41A0" w:rsidRPr="00F2244D">
        <w:rPr>
          <w:bCs/>
          <w:sz w:val="20"/>
          <w:szCs w:val="20"/>
        </w:rPr>
        <w:t xml:space="preserve"> </w:t>
      </w:r>
      <w:r w:rsidR="00323457" w:rsidRPr="00F2244D">
        <w:rPr>
          <w:bCs/>
          <w:sz w:val="20"/>
          <w:szCs w:val="20"/>
        </w:rPr>
        <w:t>applauded</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efforts</w:t>
      </w:r>
      <w:r w:rsidR="00FF41A0" w:rsidRPr="00F2244D">
        <w:rPr>
          <w:bCs/>
          <w:sz w:val="20"/>
          <w:szCs w:val="20"/>
        </w:rPr>
        <w:t xml:space="preserve"> </w:t>
      </w:r>
      <w:r w:rsidR="00323457" w:rsidRPr="00F2244D">
        <w:rPr>
          <w:bCs/>
          <w:sz w:val="20"/>
          <w:szCs w:val="20"/>
        </w:rPr>
        <w:t>made</w:t>
      </w:r>
      <w:r w:rsidR="00FF41A0" w:rsidRPr="00F2244D">
        <w:rPr>
          <w:bCs/>
          <w:sz w:val="20"/>
          <w:szCs w:val="20"/>
        </w:rPr>
        <w:t xml:space="preserve"> </w:t>
      </w:r>
      <w:r w:rsidR="00323457" w:rsidRPr="00F2244D">
        <w:rPr>
          <w:bCs/>
          <w:sz w:val="20"/>
          <w:szCs w:val="20"/>
        </w:rPr>
        <w:t>by</w:t>
      </w:r>
      <w:r w:rsidR="00FF41A0" w:rsidRPr="00F2244D">
        <w:rPr>
          <w:bCs/>
          <w:sz w:val="20"/>
          <w:szCs w:val="20"/>
        </w:rPr>
        <w:t xml:space="preserve"> </w:t>
      </w:r>
      <w:r w:rsidR="00323457" w:rsidRPr="00F2244D">
        <w:rPr>
          <w:bCs/>
          <w:sz w:val="20"/>
          <w:szCs w:val="20"/>
        </w:rPr>
        <w:t>Jordan</w:t>
      </w:r>
      <w:r w:rsidR="00FF41A0" w:rsidRPr="00F2244D">
        <w:rPr>
          <w:bCs/>
          <w:sz w:val="20"/>
          <w:szCs w:val="20"/>
        </w:rPr>
        <w:t xml:space="preserve"> </w:t>
      </w:r>
      <w:r w:rsidR="00323457" w:rsidRPr="00F2244D">
        <w:rPr>
          <w:bCs/>
          <w:sz w:val="20"/>
          <w:szCs w:val="20"/>
        </w:rPr>
        <w:t>to</w:t>
      </w:r>
      <w:r w:rsidR="00FF41A0" w:rsidRPr="00F2244D">
        <w:rPr>
          <w:bCs/>
          <w:sz w:val="20"/>
          <w:szCs w:val="20"/>
        </w:rPr>
        <w:t xml:space="preserve"> </w:t>
      </w:r>
      <w:r w:rsidR="00323457" w:rsidRPr="00F2244D">
        <w:rPr>
          <w:bCs/>
          <w:sz w:val="20"/>
          <w:szCs w:val="20"/>
        </w:rPr>
        <w:t>promote</w:t>
      </w:r>
      <w:r w:rsidR="00FF41A0" w:rsidRPr="00F2244D">
        <w:rPr>
          <w:bCs/>
          <w:sz w:val="20"/>
          <w:szCs w:val="20"/>
        </w:rPr>
        <w:t xml:space="preserve"> </w:t>
      </w:r>
      <w:r w:rsidR="00323457" w:rsidRPr="00F2244D">
        <w:rPr>
          <w:bCs/>
          <w:sz w:val="20"/>
          <w:szCs w:val="20"/>
        </w:rPr>
        <w:t>and</w:t>
      </w:r>
      <w:r w:rsidR="00FF41A0" w:rsidRPr="00F2244D">
        <w:rPr>
          <w:bCs/>
          <w:sz w:val="20"/>
          <w:szCs w:val="20"/>
        </w:rPr>
        <w:t xml:space="preserve"> </w:t>
      </w:r>
      <w:r w:rsidR="00323457" w:rsidRPr="00F2244D">
        <w:rPr>
          <w:bCs/>
          <w:sz w:val="20"/>
          <w:szCs w:val="20"/>
        </w:rPr>
        <w:t>protect</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human</w:t>
      </w:r>
      <w:r w:rsidR="00FF41A0" w:rsidRPr="00F2244D">
        <w:rPr>
          <w:bCs/>
          <w:sz w:val="20"/>
          <w:szCs w:val="20"/>
        </w:rPr>
        <w:t xml:space="preserve"> </w:t>
      </w:r>
      <w:r w:rsidR="00323457" w:rsidRPr="00F2244D">
        <w:rPr>
          <w:bCs/>
          <w:sz w:val="20"/>
          <w:szCs w:val="20"/>
        </w:rPr>
        <w:t>rights</w:t>
      </w:r>
      <w:r w:rsidR="00FF41A0" w:rsidRPr="00F2244D">
        <w:rPr>
          <w:bCs/>
          <w:sz w:val="20"/>
          <w:szCs w:val="20"/>
        </w:rPr>
        <w:t xml:space="preserve"> </w:t>
      </w:r>
      <w:r w:rsidR="00323457" w:rsidRPr="00F2244D">
        <w:rPr>
          <w:bCs/>
          <w:sz w:val="20"/>
          <w:szCs w:val="20"/>
        </w:rPr>
        <w:t>of</w:t>
      </w:r>
      <w:r w:rsidR="00FF41A0" w:rsidRPr="00F2244D">
        <w:rPr>
          <w:bCs/>
          <w:sz w:val="20"/>
          <w:szCs w:val="20"/>
        </w:rPr>
        <w:t xml:space="preserve"> </w:t>
      </w:r>
      <w:r w:rsidR="00323457" w:rsidRPr="00F2244D">
        <w:rPr>
          <w:bCs/>
          <w:sz w:val="20"/>
          <w:szCs w:val="20"/>
        </w:rPr>
        <w:t>its</w:t>
      </w:r>
      <w:r w:rsidR="00FF41A0" w:rsidRPr="00F2244D">
        <w:rPr>
          <w:bCs/>
          <w:sz w:val="20"/>
          <w:szCs w:val="20"/>
        </w:rPr>
        <w:t xml:space="preserve"> </w:t>
      </w:r>
      <w:r w:rsidR="00323457" w:rsidRPr="00F2244D">
        <w:rPr>
          <w:bCs/>
          <w:sz w:val="20"/>
          <w:szCs w:val="20"/>
        </w:rPr>
        <w:t>people,</w:t>
      </w:r>
      <w:r w:rsidR="00FF41A0" w:rsidRPr="00F2244D">
        <w:rPr>
          <w:bCs/>
          <w:sz w:val="20"/>
          <w:szCs w:val="20"/>
        </w:rPr>
        <w:t xml:space="preserve"> </w:t>
      </w:r>
      <w:r w:rsidR="00323457" w:rsidRPr="00F2244D">
        <w:rPr>
          <w:bCs/>
          <w:sz w:val="20"/>
          <w:szCs w:val="20"/>
        </w:rPr>
        <w:t>particularly,</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vulnerable</w:t>
      </w:r>
      <w:r w:rsidR="00FF41A0" w:rsidRPr="00F2244D">
        <w:rPr>
          <w:bCs/>
          <w:sz w:val="20"/>
          <w:szCs w:val="20"/>
        </w:rPr>
        <w:t xml:space="preserve"> </w:t>
      </w:r>
      <w:r w:rsidR="00323457" w:rsidRPr="00F2244D">
        <w:rPr>
          <w:bCs/>
          <w:sz w:val="20"/>
          <w:szCs w:val="20"/>
        </w:rPr>
        <w:t>groups,</w:t>
      </w:r>
      <w:r w:rsidR="00FF41A0" w:rsidRPr="00F2244D">
        <w:rPr>
          <w:bCs/>
          <w:sz w:val="20"/>
          <w:szCs w:val="20"/>
        </w:rPr>
        <w:t xml:space="preserve"> </w:t>
      </w:r>
      <w:r w:rsidR="00323457" w:rsidRPr="00F2244D">
        <w:rPr>
          <w:bCs/>
          <w:sz w:val="20"/>
          <w:szCs w:val="20"/>
        </w:rPr>
        <w:t>namely,</w:t>
      </w:r>
      <w:r w:rsidR="00FF41A0" w:rsidRPr="00F2244D">
        <w:rPr>
          <w:bCs/>
          <w:sz w:val="20"/>
          <w:szCs w:val="20"/>
        </w:rPr>
        <w:t xml:space="preserve"> </w:t>
      </w:r>
      <w:r w:rsidR="00323457" w:rsidRPr="00F2244D">
        <w:rPr>
          <w:bCs/>
          <w:sz w:val="20"/>
          <w:szCs w:val="20"/>
        </w:rPr>
        <w:t>women,</w:t>
      </w:r>
      <w:r w:rsidR="00FF41A0" w:rsidRPr="00F2244D">
        <w:rPr>
          <w:bCs/>
          <w:sz w:val="20"/>
          <w:szCs w:val="20"/>
        </w:rPr>
        <w:t xml:space="preserve"> </w:t>
      </w:r>
      <w:r w:rsidR="00323457" w:rsidRPr="00F2244D">
        <w:rPr>
          <w:bCs/>
          <w:sz w:val="20"/>
          <w:szCs w:val="20"/>
        </w:rPr>
        <w:t>children,</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elderly,</w:t>
      </w:r>
      <w:r w:rsidR="00FF41A0" w:rsidRPr="00F2244D">
        <w:rPr>
          <w:bCs/>
          <w:sz w:val="20"/>
          <w:szCs w:val="20"/>
        </w:rPr>
        <w:t xml:space="preserve"> </w:t>
      </w:r>
      <w:r w:rsidR="00323457" w:rsidRPr="00F2244D">
        <w:rPr>
          <w:bCs/>
          <w:sz w:val="20"/>
          <w:szCs w:val="20"/>
        </w:rPr>
        <w:t>and</w:t>
      </w:r>
      <w:r w:rsidR="00FF41A0" w:rsidRPr="00F2244D">
        <w:rPr>
          <w:bCs/>
          <w:sz w:val="20"/>
          <w:szCs w:val="20"/>
        </w:rPr>
        <w:t xml:space="preserve"> </w:t>
      </w:r>
      <w:r w:rsidR="00323457" w:rsidRPr="00F2244D">
        <w:rPr>
          <w:bCs/>
          <w:sz w:val="20"/>
          <w:szCs w:val="20"/>
        </w:rPr>
        <w:t>persons</w:t>
      </w:r>
      <w:r w:rsidR="00FF41A0" w:rsidRPr="00F2244D">
        <w:rPr>
          <w:bCs/>
          <w:sz w:val="20"/>
          <w:szCs w:val="20"/>
        </w:rPr>
        <w:t xml:space="preserve"> </w:t>
      </w:r>
      <w:r w:rsidR="00323457" w:rsidRPr="00F2244D">
        <w:rPr>
          <w:bCs/>
          <w:sz w:val="20"/>
          <w:szCs w:val="20"/>
        </w:rPr>
        <w:t>with</w:t>
      </w:r>
      <w:r w:rsidR="00FF41A0" w:rsidRPr="00F2244D">
        <w:rPr>
          <w:bCs/>
          <w:sz w:val="20"/>
          <w:szCs w:val="20"/>
        </w:rPr>
        <w:t xml:space="preserve"> </w:t>
      </w:r>
      <w:r w:rsidR="00323457" w:rsidRPr="00F2244D">
        <w:rPr>
          <w:bCs/>
          <w:sz w:val="20"/>
          <w:szCs w:val="20"/>
        </w:rPr>
        <w:t>disabilities.</w:t>
      </w:r>
      <w:r w:rsidR="00FF41A0" w:rsidRPr="00F2244D">
        <w:rPr>
          <w:bCs/>
          <w:sz w:val="20"/>
          <w:szCs w:val="20"/>
        </w:rPr>
        <w:t xml:space="preserve"> </w:t>
      </w:r>
      <w:r w:rsidR="00323457" w:rsidRPr="00F2244D">
        <w:rPr>
          <w:bCs/>
          <w:sz w:val="20"/>
          <w:szCs w:val="20"/>
        </w:rPr>
        <w:t>Nigeria</w:t>
      </w:r>
      <w:r w:rsidR="00FF41A0" w:rsidRPr="00F2244D">
        <w:rPr>
          <w:bCs/>
          <w:sz w:val="20"/>
          <w:szCs w:val="20"/>
        </w:rPr>
        <w:t xml:space="preserve"> </w:t>
      </w:r>
      <w:r w:rsidR="00323457" w:rsidRPr="00F2244D">
        <w:rPr>
          <w:bCs/>
          <w:sz w:val="20"/>
          <w:szCs w:val="20"/>
        </w:rPr>
        <w:t>extolled</w:t>
      </w:r>
      <w:r w:rsidR="00FF41A0" w:rsidRPr="00F2244D">
        <w:rPr>
          <w:bCs/>
          <w:sz w:val="20"/>
          <w:szCs w:val="20"/>
        </w:rPr>
        <w:t xml:space="preserve"> </w:t>
      </w:r>
      <w:r w:rsidR="00323457" w:rsidRPr="00F2244D">
        <w:rPr>
          <w:bCs/>
          <w:sz w:val="20"/>
          <w:szCs w:val="20"/>
        </w:rPr>
        <w:t>Jordan</w:t>
      </w:r>
      <w:r w:rsidR="00FF41A0" w:rsidRPr="00F2244D">
        <w:rPr>
          <w:bCs/>
          <w:sz w:val="20"/>
          <w:szCs w:val="20"/>
        </w:rPr>
        <w:t xml:space="preserve"> </w:t>
      </w:r>
      <w:r w:rsidR="00323457" w:rsidRPr="00F2244D">
        <w:rPr>
          <w:bCs/>
          <w:sz w:val="20"/>
          <w:szCs w:val="20"/>
        </w:rPr>
        <w:t>for</w:t>
      </w:r>
      <w:r w:rsidR="00FF41A0" w:rsidRPr="00F2244D">
        <w:rPr>
          <w:bCs/>
          <w:sz w:val="20"/>
          <w:szCs w:val="20"/>
        </w:rPr>
        <w:t xml:space="preserve"> </w:t>
      </w:r>
      <w:r w:rsidR="00323457" w:rsidRPr="00F2244D">
        <w:rPr>
          <w:bCs/>
          <w:sz w:val="20"/>
          <w:szCs w:val="20"/>
        </w:rPr>
        <w:t>its</w:t>
      </w:r>
      <w:r w:rsidR="00FF41A0" w:rsidRPr="00F2244D">
        <w:rPr>
          <w:bCs/>
          <w:sz w:val="20"/>
          <w:szCs w:val="20"/>
        </w:rPr>
        <w:t xml:space="preserve"> </w:t>
      </w:r>
      <w:r w:rsidR="00323457" w:rsidRPr="00F2244D">
        <w:rPr>
          <w:bCs/>
          <w:sz w:val="20"/>
          <w:szCs w:val="20"/>
        </w:rPr>
        <w:t>adoption</w:t>
      </w:r>
      <w:r w:rsidR="00FF41A0" w:rsidRPr="00F2244D">
        <w:rPr>
          <w:bCs/>
          <w:sz w:val="20"/>
          <w:szCs w:val="20"/>
        </w:rPr>
        <w:t xml:space="preserve"> </w:t>
      </w:r>
      <w:r w:rsidR="00323457" w:rsidRPr="00F2244D">
        <w:rPr>
          <w:bCs/>
          <w:sz w:val="20"/>
          <w:szCs w:val="20"/>
        </w:rPr>
        <w:t>of</w:t>
      </w:r>
      <w:r w:rsidR="00FF41A0" w:rsidRPr="00F2244D">
        <w:rPr>
          <w:bCs/>
          <w:sz w:val="20"/>
          <w:szCs w:val="20"/>
        </w:rPr>
        <w:t xml:space="preserve"> </w:t>
      </w:r>
      <w:r w:rsidR="00323457" w:rsidRPr="00F2244D">
        <w:rPr>
          <w:bCs/>
          <w:sz w:val="20"/>
          <w:szCs w:val="20"/>
        </w:rPr>
        <w:t>laws</w:t>
      </w:r>
      <w:r w:rsidR="00FF41A0" w:rsidRPr="00F2244D">
        <w:rPr>
          <w:bCs/>
          <w:sz w:val="20"/>
          <w:szCs w:val="20"/>
        </w:rPr>
        <w:t xml:space="preserve"> </w:t>
      </w:r>
      <w:r w:rsidR="00323457" w:rsidRPr="00F2244D">
        <w:rPr>
          <w:bCs/>
          <w:sz w:val="20"/>
          <w:szCs w:val="20"/>
        </w:rPr>
        <w:t>and</w:t>
      </w:r>
      <w:r w:rsidR="00FF41A0" w:rsidRPr="00F2244D">
        <w:rPr>
          <w:bCs/>
          <w:sz w:val="20"/>
          <w:szCs w:val="20"/>
        </w:rPr>
        <w:t xml:space="preserve"> </w:t>
      </w:r>
      <w:r w:rsidR="00323457" w:rsidRPr="00F2244D">
        <w:rPr>
          <w:bCs/>
          <w:sz w:val="20"/>
          <w:szCs w:val="20"/>
        </w:rPr>
        <w:t>its</w:t>
      </w:r>
      <w:r w:rsidR="00FF41A0" w:rsidRPr="00F2244D">
        <w:rPr>
          <w:bCs/>
          <w:sz w:val="20"/>
          <w:szCs w:val="20"/>
        </w:rPr>
        <w:t xml:space="preserve"> </w:t>
      </w:r>
      <w:r w:rsidR="00323457" w:rsidRPr="00F2244D">
        <w:rPr>
          <w:bCs/>
          <w:sz w:val="20"/>
          <w:szCs w:val="20"/>
        </w:rPr>
        <w:t>fight</w:t>
      </w:r>
      <w:r w:rsidR="00FF41A0" w:rsidRPr="00F2244D">
        <w:rPr>
          <w:bCs/>
          <w:sz w:val="20"/>
          <w:szCs w:val="20"/>
        </w:rPr>
        <w:t xml:space="preserve"> </w:t>
      </w:r>
      <w:r w:rsidR="00323457" w:rsidRPr="00F2244D">
        <w:rPr>
          <w:bCs/>
          <w:sz w:val="20"/>
          <w:szCs w:val="20"/>
        </w:rPr>
        <w:t>against</w:t>
      </w:r>
      <w:r w:rsidR="00FF41A0" w:rsidRPr="00F2244D">
        <w:rPr>
          <w:bCs/>
          <w:sz w:val="20"/>
          <w:szCs w:val="20"/>
        </w:rPr>
        <w:t xml:space="preserve"> </w:t>
      </w:r>
      <w:r w:rsidR="00323457" w:rsidRPr="00F2244D">
        <w:rPr>
          <w:bCs/>
          <w:sz w:val="20"/>
          <w:szCs w:val="20"/>
        </w:rPr>
        <w:t>corruption</w:t>
      </w:r>
      <w:r w:rsidR="00FF41A0" w:rsidRPr="00F2244D">
        <w:rPr>
          <w:bCs/>
          <w:sz w:val="20"/>
          <w:szCs w:val="20"/>
        </w:rPr>
        <w:t xml:space="preserve"> </w:t>
      </w:r>
      <w:r w:rsidR="00323457" w:rsidRPr="00F2244D">
        <w:rPr>
          <w:bCs/>
          <w:sz w:val="20"/>
          <w:szCs w:val="20"/>
        </w:rPr>
        <w:t>and</w:t>
      </w:r>
      <w:r w:rsidR="00FF41A0" w:rsidRPr="00F2244D">
        <w:rPr>
          <w:bCs/>
          <w:sz w:val="20"/>
          <w:szCs w:val="20"/>
        </w:rPr>
        <w:t xml:space="preserve"> </w:t>
      </w:r>
      <w:r w:rsidR="00323457" w:rsidRPr="00F2244D">
        <w:rPr>
          <w:bCs/>
          <w:sz w:val="20"/>
          <w:szCs w:val="20"/>
        </w:rPr>
        <w:t>embezzlement,</w:t>
      </w:r>
      <w:r w:rsidR="00FF41A0" w:rsidRPr="00F2244D">
        <w:rPr>
          <w:bCs/>
          <w:sz w:val="20"/>
          <w:szCs w:val="20"/>
        </w:rPr>
        <w:t xml:space="preserve"> </w:t>
      </w:r>
      <w:r w:rsidR="00323457" w:rsidRPr="00F2244D">
        <w:rPr>
          <w:bCs/>
          <w:sz w:val="20"/>
          <w:szCs w:val="20"/>
        </w:rPr>
        <w:t>which</w:t>
      </w:r>
      <w:r w:rsidR="00FF41A0" w:rsidRPr="00F2244D">
        <w:rPr>
          <w:bCs/>
          <w:sz w:val="20"/>
          <w:szCs w:val="20"/>
        </w:rPr>
        <w:t xml:space="preserve"> </w:t>
      </w:r>
      <w:r w:rsidR="00323457" w:rsidRPr="00F2244D">
        <w:rPr>
          <w:bCs/>
          <w:sz w:val="20"/>
          <w:szCs w:val="20"/>
        </w:rPr>
        <w:t>will</w:t>
      </w:r>
      <w:r w:rsidR="00FF41A0" w:rsidRPr="00F2244D">
        <w:rPr>
          <w:bCs/>
          <w:sz w:val="20"/>
          <w:szCs w:val="20"/>
        </w:rPr>
        <w:t xml:space="preserve"> </w:t>
      </w:r>
      <w:r w:rsidR="00323457" w:rsidRPr="00F2244D">
        <w:rPr>
          <w:bCs/>
          <w:sz w:val="20"/>
          <w:szCs w:val="20"/>
        </w:rPr>
        <w:t>help</w:t>
      </w:r>
      <w:r w:rsidR="00FF41A0" w:rsidRPr="00F2244D">
        <w:rPr>
          <w:bCs/>
          <w:sz w:val="20"/>
          <w:szCs w:val="20"/>
        </w:rPr>
        <w:t xml:space="preserve"> </w:t>
      </w:r>
      <w:r w:rsidR="00323457" w:rsidRPr="00F2244D">
        <w:rPr>
          <w:bCs/>
          <w:sz w:val="20"/>
          <w:szCs w:val="20"/>
        </w:rPr>
        <w:t>in</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achievement</w:t>
      </w:r>
      <w:r w:rsidR="00FF41A0" w:rsidRPr="00F2244D">
        <w:rPr>
          <w:bCs/>
          <w:sz w:val="20"/>
          <w:szCs w:val="20"/>
        </w:rPr>
        <w:t xml:space="preserve"> </w:t>
      </w:r>
      <w:r w:rsidR="00323457" w:rsidRPr="00F2244D">
        <w:rPr>
          <w:bCs/>
          <w:sz w:val="20"/>
          <w:szCs w:val="20"/>
        </w:rPr>
        <w:t>of</w:t>
      </w:r>
      <w:r w:rsidR="00FF41A0" w:rsidRPr="00F2244D">
        <w:rPr>
          <w:bCs/>
          <w:sz w:val="20"/>
          <w:szCs w:val="20"/>
        </w:rPr>
        <w:t xml:space="preserve"> </w:t>
      </w:r>
      <w:r w:rsidR="00323457" w:rsidRPr="00F2244D">
        <w:rPr>
          <w:bCs/>
          <w:sz w:val="20"/>
          <w:szCs w:val="20"/>
        </w:rPr>
        <w:t>the</w:t>
      </w:r>
      <w:r w:rsidR="00FF41A0" w:rsidRPr="00F2244D">
        <w:rPr>
          <w:bCs/>
          <w:sz w:val="20"/>
          <w:szCs w:val="20"/>
        </w:rPr>
        <w:t xml:space="preserve"> </w:t>
      </w:r>
      <w:r w:rsidR="00323457" w:rsidRPr="00F2244D">
        <w:rPr>
          <w:bCs/>
          <w:sz w:val="20"/>
          <w:szCs w:val="20"/>
        </w:rPr>
        <w:t>2030</w:t>
      </w:r>
      <w:r w:rsidR="00FF41A0" w:rsidRPr="00F2244D">
        <w:rPr>
          <w:bCs/>
          <w:sz w:val="20"/>
          <w:szCs w:val="20"/>
        </w:rPr>
        <w:t xml:space="preserve"> </w:t>
      </w:r>
      <w:r w:rsidR="00323457" w:rsidRPr="00F2244D">
        <w:rPr>
          <w:bCs/>
          <w:sz w:val="20"/>
          <w:szCs w:val="20"/>
        </w:rPr>
        <w:t>Sustainable</w:t>
      </w:r>
      <w:r w:rsidR="00FF41A0" w:rsidRPr="00F2244D">
        <w:rPr>
          <w:bCs/>
          <w:sz w:val="20"/>
          <w:szCs w:val="20"/>
        </w:rPr>
        <w:t xml:space="preserve"> </w:t>
      </w:r>
      <w:r w:rsidR="00323457" w:rsidRPr="00F2244D">
        <w:rPr>
          <w:bCs/>
          <w:sz w:val="20"/>
          <w:szCs w:val="20"/>
        </w:rPr>
        <w:t>Development</w:t>
      </w:r>
      <w:r w:rsidR="00FF41A0" w:rsidRPr="00F2244D">
        <w:rPr>
          <w:bCs/>
          <w:sz w:val="20"/>
          <w:szCs w:val="20"/>
        </w:rPr>
        <w:t xml:space="preserve"> </w:t>
      </w:r>
      <w:r w:rsidR="00323457" w:rsidRPr="00F2244D">
        <w:rPr>
          <w:bCs/>
          <w:sz w:val="20"/>
          <w:szCs w:val="20"/>
        </w:rPr>
        <w:t>Agenda.</w:t>
      </w:r>
    </w:p>
    <w:p w14:paraId="1C4A340A" w14:textId="6AF4630C" w:rsidR="00323457" w:rsidRPr="0059638B" w:rsidRDefault="00323457" w:rsidP="00323457">
      <w:pPr>
        <w:pStyle w:val="H23G"/>
        <w:jc w:val="both"/>
        <w:rPr>
          <w:sz w:val="20"/>
          <w:szCs w:val="20"/>
        </w:rPr>
      </w:pPr>
      <w:r w:rsidRPr="0059638B">
        <w:rPr>
          <w:sz w:val="20"/>
          <w:szCs w:val="20"/>
        </w:rPr>
        <w:tab/>
        <w:t>4.</w:t>
      </w:r>
      <w:r w:rsidRPr="0059638B">
        <w:rPr>
          <w:sz w:val="20"/>
          <w:szCs w:val="20"/>
        </w:rPr>
        <w:tab/>
        <w:t>General</w:t>
      </w:r>
      <w:r w:rsidR="00FF41A0">
        <w:rPr>
          <w:sz w:val="20"/>
          <w:szCs w:val="20"/>
        </w:rPr>
        <w:t xml:space="preserve"> </w:t>
      </w:r>
      <w:r w:rsidRPr="0059638B">
        <w:rPr>
          <w:sz w:val="20"/>
          <w:szCs w:val="20"/>
        </w:rPr>
        <w:t>comments</w:t>
      </w:r>
      <w:r w:rsidR="00FF41A0">
        <w:rPr>
          <w:sz w:val="20"/>
          <w:szCs w:val="20"/>
        </w:rPr>
        <w:t xml:space="preserve"> </w:t>
      </w:r>
      <w:r w:rsidRPr="0059638B">
        <w:rPr>
          <w:sz w:val="20"/>
          <w:szCs w:val="20"/>
        </w:rPr>
        <w:t>made</w:t>
      </w:r>
      <w:r w:rsidR="00FF41A0">
        <w:rPr>
          <w:sz w:val="20"/>
          <w:szCs w:val="20"/>
        </w:rPr>
        <w:t xml:space="preserve"> </w:t>
      </w:r>
      <w:r w:rsidRPr="0059638B">
        <w:rPr>
          <w:sz w:val="20"/>
          <w:szCs w:val="20"/>
        </w:rPr>
        <w:t>by</w:t>
      </w:r>
      <w:r w:rsidR="00FF41A0">
        <w:rPr>
          <w:sz w:val="20"/>
          <w:szCs w:val="20"/>
        </w:rPr>
        <w:t xml:space="preserve"> </w:t>
      </w:r>
      <w:r w:rsidRPr="0059638B">
        <w:rPr>
          <w:sz w:val="20"/>
          <w:szCs w:val="20"/>
        </w:rPr>
        <w:t>other</w:t>
      </w:r>
      <w:r w:rsidR="00FF41A0">
        <w:rPr>
          <w:sz w:val="20"/>
          <w:szCs w:val="20"/>
        </w:rPr>
        <w:t xml:space="preserve"> </w:t>
      </w:r>
      <w:r w:rsidRPr="0059638B">
        <w:rPr>
          <w:sz w:val="20"/>
          <w:szCs w:val="20"/>
        </w:rPr>
        <w:t>stakeholders</w:t>
      </w:r>
    </w:p>
    <w:p w14:paraId="65BB2964" w14:textId="264B6EDA" w:rsidR="00323457" w:rsidRPr="0059638B" w:rsidRDefault="00972F1E" w:rsidP="00323457">
      <w:pPr>
        <w:pStyle w:val="SingleTxtG"/>
        <w:rPr>
          <w:sz w:val="20"/>
          <w:szCs w:val="20"/>
        </w:rPr>
      </w:pPr>
      <w:r>
        <w:rPr>
          <w:sz w:val="20"/>
          <w:szCs w:val="20"/>
        </w:rPr>
        <w:t>619</w:t>
      </w:r>
      <w:r w:rsidR="00D7475F">
        <w:rPr>
          <w:sz w:val="20"/>
          <w:szCs w:val="20"/>
        </w:rPr>
        <w:t>.</w:t>
      </w:r>
      <w:r w:rsidR="00D7475F">
        <w:rPr>
          <w:sz w:val="20"/>
          <w:szCs w:val="20"/>
        </w:rPr>
        <w:tab/>
      </w:r>
      <w:r w:rsidR="00323457" w:rsidRPr="0059638B">
        <w:rPr>
          <w:sz w:val="20"/>
          <w:szCs w:val="20"/>
        </w:rPr>
        <w:t>During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adoption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outcome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Jordan,</w:t>
      </w:r>
      <w:r w:rsidR="00FF41A0">
        <w:rPr>
          <w:sz w:val="20"/>
          <w:szCs w:val="20"/>
        </w:rPr>
        <w:t xml:space="preserve"> </w:t>
      </w:r>
      <w:r w:rsidR="00323457" w:rsidRPr="0059638B">
        <w:rPr>
          <w:sz w:val="20"/>
          <w:szCs w:val="20"/>
        </w:rPr>
        <w:t>10</w:t>
      </w:r>
      <w:r w:rsidR="00FF41A0">
        <w:rPr>
          <w:sz w:val="20"/>
          <w:szCs w:val="20"/>
        </w:rPr>
        <w:t xml:space="preserve"> </w:t>
      </w:r>
      <w:r w:rsidR="00323457" w:rsidRPr="0059638B">
        <w:rPr>
          <w:sz w:val="20"/>
          <w:szCs w:val="20"/>
        </w:rPr>
        <w:t>other</w:t>
      </w:r>
      <w:r w:rsidR="00FF41A0">
        <w:rPr>
          <w:sz w:val="20"/>
          <w:szCs w:val="20"/>
        </w:rPr>
        <w:t xml:space="preserve"> </w:t>
      </w:r>
      <w:r w:rsidR="00323457" w:rsidRPr="0059638B">
        <w:rPr>
          <w:sz w:val="20"/>
          <w:szCs w:val="20"/>
        </w:rPr>
        <w:t>stakeholders</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statements.</w:t>
      </w:r>
      <w:r w:rsidR="00CC5A8D" w:rsidRPr="00CC5A8D">
        <w:rPr>
          <w:rStyle w:val="FootnoteReference"/>
          <w:sz w:val="20"/>
          <w:szCs w:val="20"/>
          <w:vertAlign w:val="baseline"/>
        </w:rPr>
        <w:footnoteReference w:customMarkFollows="1" w:id="54"/>
        <w:t>**</w:t>
      </w:r>
      <w:r w:rsidR="00FF41A0">
        <w:rPr>
          <w:sz w:val="20"/>
          <w:szCs w:val="20"/>
        </w:rPr>
        <w:t xml:space="preserve"> </w:t>
      </w:r>
    </w:p>
    <w:p w14:paraId="582FBF49" w14:textId="34A3842B" w:rsidR="00323457" w:rsidRPr="0059638B" w:rsidRDefault="00972F1E" w:rsidP="00323457">
      <w:pPr>
        <w:pStyle w:val="SingleTxtG"/>
        <w:rPr>
          <w:sz w:val="20"/>
          <w:szCs w:val="20"/>
        </w:rPr>
      </w:pPr>
      <w:r>
        <w:rPr>
          <w:sz w:val="20"/>
          <w:szCs w:val="20"/>
        </w:rPr>
        <w:t>620</w:t>
      </w:r>
      <w:r w:rsidR="00D7475F">
        <w:rPr>
          <w:sz w:val="20"/>
          <w:szCs w:val="20"/>
        </w:rPr>
        <w:t>.</w:t>
      </w:r>
      <w:r w:rsidR="00D7475F">
        <w:rPr>
          <w:sz w:val="20"/>
          <w:szCs w:val="20"/>
        </w:rPr>
        <w:tab/>
      </w:r>
      <w:r w:rsidR="00323457" w:rsidRPr="0059638B">
        <w:rPr>
          <w:sz w:val="20"/>
          <w:szCs w:val="20"/>
        </w:rPr>
        <w:t>Iraqi</w:t>
      </w:r>
      <w:r w:rsidR="00FF41A0">
        <w:rPr>
          <w:sz w:val="20"/>
          <w:szCs w:val="20"/>
        </w:rPr>
        <w:t xml:space="preserve"> </w:t>
      </w:r>
      <w:r w:rsidR="00323457" w:rsidRPr="0059638B">
        <w:rPr>
          <w:sz w:val="20"/>
          <w:szCs w:val="20"/>
        </w:rPr>
        <w:t>Development</w:t>
      </w:r>
      <w:r w:rsidR="00FF41A0">
        <w:rPr>
          <w:sz w:val="20"/>
          <w:szCs w:val="20"/>
        </w:rPr>
        <w:t xml:space="preserve"> </w:t>
      </w:r>
      <w:r w:rsidR="00323457" w:rsidRPr="0059638B">
        <w:rPr>
          <w:sz w:val="20"/>
          <w:szCs w:val="20"/>
        </w:rPr>
        <w:t>Organization</w:t>
      </w:r>
      <w:r w:rsidR="00FF41A0">
        <w:rPr>
          <w:sz w:val="20"/>
          <w:szCs w:val="20"/>
        </w:rPr>
        <w:t xml:space="preserve"> </w:t>
      </w:r>
      <w:r w:rsidR="00323457" w:rsidRPr="0059638B">
        <w:rPr>
          <w:sz w:val="20"/>
          <w:szCs w:val="20"/>
        </w:rPr>
        <w:t>expressed</w:t>
      </w:r>
      <w:r w:rsidR="00FF41A0">
        <w:rPr>
          <w:sz w:val="20"/>
          <w:szCs w:val="20"/>
        </w:rPr>
        <w:t xml:space="preserve"> </w:t>
      </w:r>
      <w:r w:rsidR="00323457" w:rsidRPr="0059638B">
        <w:rPr>
          <w:sz w:val="20"/>
          <w:szCs w:val="20"/>
        </w:rPr>
        <w:t>concern</w:t>
      </w:r>
      <w:r w:rsidR="00FF41A0">
        <w:rPr>
          <w:sz w:val="20"/>
          <w:szCs w:val="20"/>
        </w:rPr>
        <w:t xml:space="preserve"> </w:t>
      </w:r>
      <w:r w:rsidR="00323457" w:rsidRPr="0059638B">
        <w:rPr>
          <w:sz w:val="20"/>
          <w:szCs w:val="20"/>
        </w:rPr>
        <w:t>about</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violations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Jordan.</w:t>
      </w:r>
      <w:r w:rsidR="00FF41A0">
        <w:rPr>
          <w:sz w:val="20"/>
          <w:szCs w:val="20"/>
        </w:rPr>
        <w:t xml:space="preserve"> </w:t>
      </w:r>
      <w:r w:rsidR="00323457" w:rsidRPr="0059638B">
        <w:rPr>
          <w:sz w:val="20"/>
          <w:szCs w:val="20"/>
        </w:rPr>
        <w:t>They</w:t>
      </w:r>
      <w:r w:rsidR="00FF41A0">
        <w:rPr>
          <w:sz w:val="20"/>
          <w:szCs w:val="20"/>
        </w:rPr>
        <w:t xml:space="preserve"> </w:t>
      </w:r>
      <w:r w:rsidR="00323457" w:rsidRPr="0059638B">
        <w:rPr>
          <w:sz w:val="20"/>
          <w:szCs w:val="20"/>
        </w:rPr>
        <w:t>informed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spite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accepted</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any</w:t>
      </w:r>
      <w:r w:rsidR="00FF41A0">
        <w:rPr>
          <w:sz w:val="20"/>
          <w:szCs w:val="20"/>
        </w:rPr>
        <w:t xml:space="preserve"> </w:t>
      </w:r>
      <w:r w:rsidR="00323457" w:rsidRPr="0059638B">
        <w:rPr>
          <w:sz w:val="20"/>
          <w:szCs w:val="20"/>
        </w:rPr>
        <w:t>speech</w:t>
      </w:r>
      <w:r w:rsidR="00FF41A0">
        <w:rPr>
          <w:sz w:val="20"/>
          <w:szCs w:val="20"/>
        </w:rPr>
        <w:t xml:space="preserve"> </w:t>
      </w:r>
      <w:r w:rsidR="00323457" w:rsidRPr="0059638B">
        <w:rPr>
          <w:sz w:val="20"/>
          <w:szCs w:val="20"/>
        </w:rPr>
        <w:t>critical</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King</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officials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institutions</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still</w:t>
      </w:r>
      <w:r w:rsidR="00FF41A0">
        <w:rPr>
          <w:sz w:val="20"/>
          <w:szCs w:val="20"/>
        </w:rPr>
        <w:t xml:space="preserve"> </w:t>
      </w:r>
      <w:r w:rsidR="00323457" w:rsidRPr="0059638B">
        <w:rPr>
          <w:sz w:val="20"/>
          <w:szCs w:val="20"/>
        </w:rPr>
        <w:t>criminalized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law.</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concerned</w:t>
      </w:r>
      <w:r w:rsidR="00FF41A0">
        <w:rPr>
          <w:sz w:val="20"/>
          <w:szCs w:val="20"/>
        </w:rPr>
        <w:t xml:space="preserve"> </w:t>
      </w:r>
      <w:r w:rsidR="00323457" w:rsidRPr="0059638B">
        <w:rPr>
          <w:sz w:val="20"/>
          <w:szCs w:val="20"/>
        </w:rPr>
        <w:t>about</w:t>
      </w:r>
      <w:r w:rsidR="00FF41A0">
        <w:rPr>
          <w:sz w:val="20"/>
          <w:szCs w:val="20"/>
        </w:rPr>
        <w:t xml:space="preserve"> </w:t>
      </w:r>
      <w:r w:rsidR="00323457" w:rsidRPr="0059638B">
        <w:rPr>
          <w:sz w:val="20"/>
          <w:szCs w:val="20"/>
        </w:rPr>
        <w:t>legal</w:t>
      </w:r>
      <w:r w:rsidR="00FF41A0">
        <w:rPr>
          <w:sz w:val="20"/>
          <w:szCs w:val="20"/>
        </w:rPr>
        <w:t xml:space="preserve"> </w:t>
      </w:r>
      <w:r w:rsidR="00323457" w:rsidRPr="0059638B">
        <w:rPr>
          <w:sz w:val="20"/>
          <w:szCs w:val="20"/>
        </w:rPr>
        <w:t>obstacles</w:t>
      </w:r>
      <w:r w:rsidR="00FF41A0">
        <w:rPr>
          <w:sz w:val="20"/>
          <w:szCs w:val="20"/>
        </w:rPr>
        <w:t xml:space="preserve"> </w:t>
      </w:r>
      <w:r w:rsidR="00323457" w:rsidRPr="0059638B">
        <w:rPr>
          <w:sz w:val="20"/>
          <w:szCs w:val="20"/>
        </w:rPr>
        <w:t>restricting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registration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civil</w:t>
      </w:r>
      <w:r w:rsidR="00FF41A0">
        <w:rPr>
          <w:sz w:val="20"/>
          <w:szCs w:val="20"/>
        </w:rPr>
        <w:t xml:space="preserve"> </w:t>
      </w:r>
      <w:r w:rsidR="00323457" w:rsidRPr="0059638B">
        <w:rPr>
          <w:sz w:val="20"/>
          <w:szCs w:val="20"/>
        </w:rPr>
        <w:t>society</w:t>
      </w:r>
      <w:r w:rsidR="00FF41A0">
        <w:rPr>
          <w:sz w:val="20"/>
          <w:szCs w:val="20"/>
        </w:rPr>
        <w:t xml:space="preserve"> </w:t>
      </w:r>
      <w:r w:rsidR="00323457" w:rsidRPr="0059638B">
        <w:rPr>
          <w:sz w:val="20"/>
          <w:szCs w:val="20"/>
        </w:rPr>
        <w:t>organizations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asked</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assurances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lift</w:t>
      </w:r>
      <w:r w:rsidR="00FF41A0">
        <w:rPr>
          <w:sz w:val="20"/>
          <w:szCs w:val="20"/>
        </w:rPr>
        <w:t xml:space="preserve"> </w:t>
      </w:r>
      <w:r w:rsidR="00323457" w:rsidRPr="0059638B">
        <w:rPr>
          <w:sz w:val="20"/>
          <w:szCs w:val="20"/>
        </w:rPr>
        <w:t>said</w:t>
      </w:r>
      <w:r w:rsidR="00FF41A0">
        <w:rPr>
          <w:sz w:val="20"/>
          <w:szCs w:val="20"/>
        </w:rPr>
        <w:t xml:space="preserve"> </w:t>
      </w:r>
      <w:r w:rsidR="00323457" w:rsidRPr="0059638B">
        <w:rPr>
          <w:sz w:val="20"/>
          <w:szCs w:val="20"/>
        </w:rPr>
        <w:t>restrictions.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expressed</w:t>
      </w:r>
      <w:r w:rsidR="00FF41A0">
        <w:rPr>
          <w:sz w:val="20"/>
          <w:szCs w:val="20"/>
        </w:rPr>
        <w:t xml:space="preserve"> </w:t>
      </w:r>
      <w:r w:rsidR="00323457" w:rsidRPr="0059638B">
        <w:rPr>
          <w:sz w:val="20"/>
          <w:szCs w:val="20"/>
        </w:rPr>
        <w:t>concern</w:t>
      </w:r>
      <w:r w:rsidR="00FF41A0">
        <w:rPr>
          <w:sz w:val="20"/>
          <w:szCs w:val="20"/>
        </w:rPr>
        <w:t xml:space="preserve"> </w:t>
      </w:r>
      <w:r w:rsidR="00323457" w:rsidRPr="0059638B">
        <w:rPr>
          <w:sz w:val="20"/>
          <w:szCs w:val="20"/>
        </w:rPr>
        <w:t>about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policy</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move</w:t>
      </w:r>
      <w:r w:rsidR="00FF41A0">
        <w:rPr>
          <w:sz w:val="20"/>
          <w:szCs w:val="20"/>
        </w:rPr>
        <w:t xml:space="preserve"> </w:t>
      </w:r>
      <w:r w:rsidR="00323457" w:rsidRPr="0059638B">
        <w:rPr>
          <w:sz w:val="20"/>
          <w:szCs w:val="20"/>
        </w:rPr>
        <w:t>military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security</w:t>
      </w:r>
      <w:r w:rsidR="00FF41A0">
        <w:rPr>
          <w:sz w:val="20"/>
          <w:szCs w:val="20"/>
        </w:rPr>
        <w:t xml:space="preserve"> </w:t>
      </w:r>
      <w:r w:rsidR="00323457" w:rsidRPr="0059638B">
        <w:rPr>
          <w:sz w:val="20"/>
          <w:szCs w:val="20"/>
        </w:rPr>
        <w:t>personnel</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Gulf</w:t>
      </w:r>
      <w:r w:rsidR="00FF41A0">
        <w:rPr>
          <w:sz w:val="20"/>
          <w:szCs w:val="20"/>
        </w:rPr>
        <w:t xml:space="preserve"> </w:t>
      </w:r>
      <w:r w:rsidR="00323457" w:rsidRPr="0059638B">
        <w:rPr>
          <w:sz w:val="20"/>
          <w:szCs w:val="20"/>
        </w:rPr>
        <w:t>Cooperation</w:t>
      </w:r>
      <w:r w:rsidR="00FF41A0">
        <w:rPr>
          <w:sz w:val="20"/>
          <w:szCs w:val="20"/>
        </w:rPr>
        <w:t xml:space="preserve"> </w:t>
      </w:r>
      <w:r w:rsidR="00323457" w:rsidRPr="0059638B">
        <w:rPr>
          <w:sz w:val="20"/>
          <w:szCs w:val="20"/>
        </w:rPr>
        <w:t>Council</w:t>
      </w:r>
      <w:r w:rsidR="00FF41A0">
        <w:rPr>
          <w:sz w:val="20"/>
          <w:szCs w:val="20"/>
        </w:rPr>
        <w:t xml:space="preserve"> </w:t>
      </w:r>
      <w:r w:rsidR="00323457" w:rsidRPr="0059638B">
        <w:rPr>
          <w:sz w:val="20"/>
          <w:szCs w:val="20"/>
        </w:rPr>
        <w:t>countries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raised</w:t>
      </w:r>
      <w:r w:rsidR="00FF41A0">
        <w:rPr>
          <w:sz w:val="20"/>
          <w:szCs w:val="20"/>
        </w:rPr>
        <w:t xml:space="preserve"> </w:t>
      </w:r>
      <w:r w:rsidR="00323457" w:rsidRPr="0059638B">
        <w:rPr>
          <w:sz w:val="20"/>
          <w:szCs w:val="20"/>
        </w:rPr>
        <w:t>some</w:t>
      </w:r>
      <w:r w:rsidR="00FF41A0">
        <w:rPr>
          <w:sz w:val="20"/>
          <w:szCs w:val="20"/>
        </w:rPr>
        <w:t xml:space="preserve"> </w:t>
      </w:r>
      <w:r w:rsidR="00323457" w:rsidRPr="0059638B">
        <w:rPr>
          <w:sz w:val="20"/>
          <w:szCs w:val="20"/>
        </w:rPr>
        <w:t>questions</w:t>
      </w:r>
      <w:r w:rsidR="00FF41A0">
        <w:rPr>
          <w:sz w:val="20"/>
          <w:szCs w:val="20"/>
        </w:rPr>
        <w:t xml:space="preserve"> </w:t>
      </w:r>
      <w:r w:rsidR="00323457" w:rsidRPr="0059638B">
        <w:rPr>
          <w:sz w:val="20"/>
          <w:szCs w:val="20"/>
        </w:rPr>
        <w:t>regarding</w:t>
      </w:r>
      <w:r w:rsidR="00FF41A0">
        <w:rPr>
          <w:sz w:val="20"/>
          <w:szCs w:val="20"/>
        </w:rPr>
        <w:t xml:space="preserve"> </w:t>
      </w:r>
      <w:r w:rsidR="00323457" w:rsidRPr="0059638B">
        <w:rPr>
          <w:sz w:val="20"/>
          <w:szCs w:val="20"/>
        </w:rPr>
        <w:t>this</w:t>
      </w:r>
      <w:r w:rsidR="00FF41A0">
        <w:rPr>
          <w:sz w:val="20"/>
          <w:szCs w:val="20"/>
        </w:rPr>
        <w:t xml:space="preserve"> </w:t>
      </w:r>
      <w:r w:rsidR="00323457" w:rsidRPr="0059638B">
        <w:rPr>
          <w:sz w:val="20"/>
          <w:szCs w:val="20"/>
        </w:rPr>
        <w:t>practice</w:t>
      </w:r>
      <w:r w:rsidR="00FF41A0">
        <w:rPr>
          <w:sz w:val="20"/>
          <w:szCs w:val="20"/>
        </w:rPr>
        <w:t xml:space="preserve"> </w:t>
      </w:r>
      <w:r w:rsidR="00323457" w:rsidRPr="0059638B">
        <w:rPr>
          <w:sz w:val="20"/>
          <w:szCs w:val="20"/>
        </w:rPr>
        <w:t>such</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kind</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training</w:t>
      </w:r>
      <w:r w:rsidR="00FF41A0">
        <w:rPr>
          <w:sz w:val="20"/>
          <w:szCs w:val="20"/>
        </w:rPr>
        <w:t xml:space="preserve"> </w:t>
      </w:r>
      <w:r w:rsidR="00323457" w:rsidRPr="0059638B">
        <w:rPr>
          <w:sz w:val="20"/>
          <w:szCs w:val="20"/>
        </w:rPr>
        <w:t>provided,</w:t>
      </w:r>
      <w:r w:rsidR="00FF41A0">
        <w:rPr>
          <w:sz w:val="20"/>
          <w:szCs w:val="20"/>
        </w:rPr>
        <w:t xml:space="preserve"> </w:t>
      </w:r>
      <w:r w:rsidR="00323457" w:rsidRPr="0059638B">
        <w:rPr>
          <w:sz w:val="20"/>
          <w:szCs w:val="20"/>
        </w:rPr>
        <w:t>sources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funds</w:t>
      </w:r>
      <w:r w:rsidR="00FF41A0">
        <w:rPr>
          <w:sz w:val="20"/>
          <w:szCs w:val="20"/>
        </w:rPr>
        <w:t xml:space="preserve"> </w:t>
      </w:r>
      <w:r w:rsidR="00323457" w:rsidRPr="0059638B">
        <w:rPr>
          <w:sz w:val="20"/>
          <w:szCs w:val="20"/>
        </w:rPr>
        <w:t>allocated</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accountability</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violations.</w:t>
      </w:r>
      <w:r w:rsidR="00FF41A0">
        <w:rPr>
          <w:sz w:val="20"/>
          <w:szCs w:val="20"/>
        </w:rPr>
        <w:t xml:space="preserve"> </w:t>
      </w:r>
    </w:p>
    <w:p w14:paraId="3ACA4B2E" w14:textId="71E3684E" w:rsidR="00323457" w:rsidRPr="0059638B" w:rsidRDefault="00972F1E" w:rsidP="00323457">
      <w:pPr>
        <w:pStyle w:val="SingleTxtG"/>
        <w:rPr>
          <w:sz w:val="20"/>
          <w:szCs w:val="20"/>
        </w:rPr>
      </w:pPr>
      <w:r>
        <w:rPr>
          <w:sz w:val="20"/>
          <w:szCs w:val="20"/>
        </w:rPr>
        <w:t>621</w:t>
      </w:r>
      <w:r w:rsidR="00D7475F">
        <w:rPr>
          <w:sz w:val="20"/>
          <w:szCs w:val="20"/>
        </w:rPr>
        <w:t>.</w:t>
      </w:r>
      <w:r w:rsidR="00D7475F">
        <w:rPr>
          <w:sz w:val="20"/>
          <w:szCs w:val="20"/>
        </w:rPr>
        <w:tab/>
      </w:r>
      <w:r w:rsidR="00323457" w:rsidRPr="0059638B">
        <w:rPr>
          <w:sz w:val="20"/>
          <w:szCs w:val="20"/>
        </w:rPr>
        <w:t>Villages</w:t>
      </w:r>
      <w:r w:rsidR="00FF41A0">
        <w:rPr>
          <w:sz w:val="20"/>
          <w:szCs w:val="20"/>
        </w:rPr>
        <w:t xml:space="preserve"> </w:t>
      </w:r>
      <w:r w:rsidR="00323457" w:rsidRPr="0059638B">
        <w:rPr>
          <w:sz w:val="20"/>
          <w:szCs w:val="20"/>
        </w:rPr>
        <w:t>Unis</w:t>
      </w:r>
      <w:r w:rsidR="00FF41A0">
        <w:rPr>
          <w:sz w:val="20"/>
          <w:szCs w:val="20"/>
        </w:rPr>
        <w:t xml:space="preserve"> </w:t>
      </w:r>
      <w:r w:rsidR="00323457" w:rsidRPr="0059638B">
        <w:rPr>
          <w:sz w:val="20"/>
          <w:szCs w:val="20"/>
        </w:rPr>
        <w:t>(United</w:t>
      </w:r>
      <w:r w:rsidR="00FF41A0">
        <w:rPr>
          <w:sz w:val="20"/>
          <w:szCs w:val="20"/>
        </w:rPr>
        <w:t xml:space="preserve"> </w:t>
      </w:r>
      <w:r w:rsidR="00323457" w:rsidRPr="0059638B">
        <w:rPr>
          <w:sz w:val="20"/>
          <w:szCs w:val="20"/>
        </w:rPr>
        <w:t>Villages)</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acceptance</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Jordan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most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received</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enumerated</w:t>
      </w:r>
      <w:r w:rsidR="00FF41A0">
        <w:rPr>
          <w:sz w:val="20"/>
          <w:szCs w:val="20"/>
        </w:rPr>
        <w:t xml:space="preserve"> </w:t>
      </w:r>
      <w:r w:rsidR="00323457" w:rsidRPr="0059638B">
        <w:rPr>
          <w:sz w:val="20"/>
          <w:szCs w:val="20"/>
        </w:rPr>
        <w:t>various</w:t>
      </w:r>
      <w:r w:rsidR="00FF41A0">
        <w:rPr>
          <w:sz w:val="20"/>
          <w:szCs w:val="20"/>
        </w:rPr>
        <w:t xml:space="preserve"> </w:t>
      </w:r>
      <w:r w:rsidR="00323457" w:rsidRPr="0059638B">
        <w:rPr>
          <w:sz w:val="20"/>
          <w:szCs w:val="20"/>
        </w:rPr>
        <w:t>praiseworthy</w:t>
      </w:r>
      <w:r w:rsidR="00FF41A0">
        <w:rPr>
          <w:sz w:val="20"/>
          <w:szCs w:val="20"/>
        </w:rPr>
        <w:t xml:space="preserve"> </w:t>
      </w:r>
      <w:r w:rsidR="00323457" w:rsidRPr="0059638B">
        <w:rPr>
          <w:sz w:val="20"/>
          <w:szCs w:val="20"/>
        </w:rPr>
        <w:t>policies</w:t>
      </w:r>
      <w:r w:rsidR="00FF41A0">
        <w:rPr>
          <w:sz w:val="20"/>
          <w:szCs w:val="20"/>
        </w:rPr>
        <w:t xml:space="preserve"> </w:t>
      </w:r>
      <w:r w:rsidR="00323457" w:rsidRPr="0059638B">
        <w:rPr>
          <w:sz w:val="20"/>
          <w:szCs w:val="20"/>
        </w:rPr>
        <w:t>adopted</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promotion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fundamental</w:t>
      </w:r>
      <w:r w:rsidR="00FF41A0">
        <w:rPr>
          <w:sz w:val="20"/>
          <w:szCs w:val="20"/>
        </w:rPr>
        <w:t xml:space="preserve"> </w:t>
      </w:r>
      <w:r w:rsidR="00323457" w:rsidRPr="0059638B">
        <w:rPr>
          <w:sz w:val="20"/>
          <w:szCs w:val="20"/>
        </w:rPr>
        <w:t>freedoms.</w:t>
      </w:r>
      <w:r w:rsidR="00FF41A0">
        <w:rPr>
          <w:sz w:val="20"/>
          <w:szCs w:val="20"/>
        </w:rPr>
        <w:t xml:space="preserve"> </w:t>
      </w:r>
    </w:p>
    <w:p w14:paraId="7DB3009E" w14:textId="1BD9DB2F" w:rsidR="00323457" w:rsidRPr="0059638B" w:rsidRDefault="00972F1E" w:rsidP="00323457">
      <w:pPr>
        <w:pStyle w:val="SingleTxtG"/>
        <w:rPr>
          <w:sz w:val="20"/>
          <w:szCs w:val="20"/>
        </w:rPr>
      </w:pPr>
      <w:r>
        <w:rPr>
          <w:sz w:val="20"/>
          <w:szCs w:val="20"/>
        </w:rPr>
        <w:t>622</w:t>
      </w:r>
      <w:r w:rsidR="00D7475F">
        <w:rPr>
          <w:sz w:val="20"/>
          <w:szCs w:val="20"/>
        </w:rPr>
        <w:t>.</w:t>
      </w:r>
      <w:r w:rsidR="00D7475F">
        <w:rPr>
          <w:sz w:val="20"/>
          <w:szCs w:val="20"/>
        </w:rPr>
        <w:tab/>
      </w:r>
      <w:r w:rsidR="00323457" w:rsidRPr="0059638B">
        <w:rPr>
          <w:sz w:val="20"/>
          <w:szCs w:val="20"/>
        </w:rPr>
        <w:t>CIVICUS</w:t>
      </w:r>
      <w:r w:rsidR="00FF41A0">
        <w:rPr>
          <w:sz w:val="20"/>
          <w:szCs w:val="20"/>
        </w:rPr>
        <w:t xml:space="preserve"> </w:t>
      </w:r>
      <w:r w:rsidR="00323457" w:rsidRPr="0059638B">
        <w:rPr>
          <w:sz w:val="20"/>
          <w:szCs w:val="20"/>
        </w:rPr>
        <w:t>–</w:t>
      </w:r>
      <w:r w:rsidR="00FF41A0">
        <w:rPr>
          <w:sz w:val="20"/>
          <w:szCs w:val="20"/>
        </w:rPr>
        <w:t xml:space="preserve"> </w:t>
      </w:r>
      <w:r w:rsidR="00323457" w:rsidRPr="0059638B">
        <w:rPr>
          <w:sz w:val="20"/>
          <w:szCs w:val="20"/>
        </w:rPr>
        <w:t>World</w:t>
      </w:r>
      <w:r w:rsidR="00FF41A0">
        <w:rPr>
          <w:sz w:val="20"/>
          <w:szCs w:val="20"/>
        </w:rPr>
        <w:t xml:space="preserve"> </w:t>
      </w:r>
      <w:r w:rsidR="00323457" w:rsidRPr="0059638B">
        <w:rPr>
          <w:sz w:val="20"/>
          <w:szCs w:val="20"/>
        </w:rPr>
        <w:t>Alliance</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Citizen</w:t>
      </w:r>
      <w:r w:rsidR="00FF41A0">
        <w:rPr>
          <w:sz w:val="20"/>
          <w:szCs w:val="20"/>
        </w:rPr>
        <w:t xml:space="preserve"> </w:t>
      </w:r>
      <w:r w:rsidR="00323457" w:rsidRPr="0059638B">
        <w:rPr>
          <w:sz w:val="20"/>
          <w:szCs w:val="20"/>
        </w:rPr>
        <w:t>Participation</w:t>
      </w:r>
      <w:r w:rsidR="00FF41A0">
        <w:rPr>
          <w:sz w:val="20"/>
          <w:szCs w:val="20"/>
        </w:rPr>
        <w:t xml:space="preserve"> </w:t>
      </w:r>
      <w:r w:rsidR="00323457" w:rsidRPr="0059638B">
        <w:rPr>
          <w:sz w:val="20"/>
          <w:szCs w:val="20"/>
        </w:rPr>
        <w:t>applauded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commitment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ensure</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domestic</w:t>
      </w:r>
      <w:r w:rsidR="00FF41A0">
        <w:rPr>
          <w:sz w:val="20"/>
          <w:szCs w:val="20"/>
        </w:rPr>
        <w:t xml:space="preserve"> </w:t>
      </w:r>
      <w:r w:rsidR="00323457" w:rsidRPr="0059638B">
        <w:rPr>
          <w:sz w:val="20"/>
          <w:szCs w:val="20"/>
        </w:rPr>
        <w:t>legislation</w:t>
      </w:r>
      <w:r w:rsidR="00FF41A0">
        <w:rPr>
          <w:sz w:val="20"/>
          <w:szCs w:val="20"/>
        </w:rPr>
        <w:t xml:space="preserve"> </w:t>
      </w:r>
      <w:r w:rsidR="00323457" w:rsidRPr="0059638B">
        <w:rPr>
          <w:sz w:val="20"/>
          <w:szCs w:val="20"/>
        </w:rPr>
        <w:t>complies</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Covenant</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Civil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Political</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They</w:t>
      </w:r>
      <w:r w:rsidR="00FF41A0">
        <w:rPr>
          <w:sz w:val="20"/>
          <w:szCs w:val="20"/>
        </w:rPr>
        <w:t xml:space="preserve"> </w:t>
      </w:r>
      <w:r w:rsidR="00323457" w:rsidRPr="0059638B">
        <w:rPr>
          <w:sz w:val="20"/>
          <w:szCs w:val="20"/>
        </w:rPr>
        <w:t>called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Jordan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legislation</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imposes</w:t>
      </w:r>
      <w:r w:rsidR="00FF41A0">
        <w:rPr>
          <w:sz w:val="20"/>
          <w:szCs w:val="20"/>
        </w:rPr>
        <w:t xml:space="preserve"> </w:t>
      </w:r>
      <w:r w:rsidR="00323457" w:rsidRPr="0059638B">
        <w:rPr>
          <w:sz w:val="20"/>
          <w:szCs w:val="20"/>
        </w:rPr>
        <w:t>unnecessary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disproportionate</w:t>
      </w:r>
      <w:r w:rsidR="00FF41A0">
        <w:rPr>
          <w:sz w:val="20"/>
          <w:szCs w:val="20"/>
        </w:rPr>
        <w:t xml:space="preserve"> </w:t>
      </w:r>
      <w:r w:rsidR="00323457" w:rsidRPr="0059638B">
        <w:rPr>
          <w:sz w:val="20"/>
          <w:szCs w:val="20"/>
        </w:rPr>
        <w:t>restrictions</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freedom</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expression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urged</w:t>
      </w:r>
      <w:r w:rsidR="00FF41A0">
        <w:rPr>
          <w:sz w:val="20"/>
          <w:szCs w:val="20"/>
        </w:rPr>
        <w:t xml:space="preserve"> </w:t>
      </w:r>
      <w:r w:rsidR="00323457" w:rsidRPr="0059638B">
        <w:rPr>
          <w:sz w:val="20"/>
          <w:szCs w:val="20"/>
        </w:rPr>
        <w:t>Jordan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remove</w:t>
      </w:r>
      <w:r w:rsidR="00FF41A0">
        <w:rPr>
          <w:sz w:val="20"/>
          <w:szCs w:val="20"/>
        </w:rPr>
        <w:t xml:space="preserve"> </w:t>
      </w:r>
      <w:r w:rsidR="00323457" w:rsidRPr="0059638B">
        <w:rPr>
          <w:sz w:val="20"/>
          <w:szCs w:val="20"/>
        </w:rPr>
        <w:t>provisions</w:t>
      </w:r>
      <w:r w:rsidR="00FF41A0">
        <w:rPr>
          <w:sz w:val="20"/>
          <w:szCs w:val="20"/>
        </w:rPr>
        <w:t xml:space="preserve"> </w:t>
      </w:r>
      <w:r w:rsidR="00323457" w:rsidRPr="0059638B">
        <w:rPr>
          <w:sz w:val="20"/>
          <w:szCs w:val="20"/>
        </w:rPr>
        <w:t>under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Law</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Associations</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unduly</w:t>
      </w:r>
      <w:r w:rsidR="00FF41A0">
        <w:rPr>
          <w:sz w:val="20"/>
          <w:szCs w:val="20"/>
        </w:rPr>
        <w:t xml:space="preserve"> </w:t>
      </w:r>
      <w:r w:rsidR="00323457" w:rsidRPr="0059638B">
        <w:rPr>
          <w:sz w:val="20"/>
          <w:szCs w:val="20"/>
        </w:rPr>
        <w:t>restrict</w:t>
      </w:r>
      <w:r w:rsidR="00FF41A0">
        <w:rPr>
          <w:sz w:val="20"/>
          <w:szCs w:val="20"/>
        </w:rPr>
        <w:t xml:space="preserve"> </w:t>
      </w:r>
      <w:r w:rsidR="00323457" w:rsidRPr="0059638B">
        <w:rPr>
          <w:sz w:val="20"/>
          <w:szCs w:val="20"/>
        </w:rPr>
        <w:t>activities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funding</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civil</w:t>
      </w:r>
      <w:r w:rsidR="00FF41A0">
        <w:rPr>
          <w:sz w:val="20"/>
          <w:szCs w:val="20"/>
        </w:rPr>
        <w:t xml:space="preserve"> </w:t>
      </w:r>
      <w:r w:rsidR="00323457" w:rsidRPr="0059638B">
        <w:rPr>
          <w:sz w:val="20"/>
          <w:szCs w:val="20"/>
        </w:rPr>
        <w:t>society</w:t>
      </w:r>
      <w:r w:rsidR="00FF41A0">
        <w:rPr>
          <w:sz w:val="20"/>
          <w:szCs w:val="20"/>
        </w:rPr>
        <w:t xml:space="preserve"> </w:t>
      </w:r>
      <w:r w:rsidR="00323457" w:rsidRPr="0059638B">
        <w:rPr>
          <w:sz w:val="20"/>
          <w:szCs w:val="20"/>
        </w:rPr>
        <w:t>organizations.</w:t>
      </w:r>
      <w:r w:rsidR="00FF41A0">
        <w:rPr>
          <w:sz w:val="20"/>
          <w:szCs w:val="20"/>
        </w:rPr>
        <w:t xml:space="preserve"> </w:t>
      </w:r>
      <w:r w:rsidR="00323457" w:rsidRPr="0059638B">
        <w:rPr>
          <w:sz w:val="20"/>
          <w:szCs w:val="20"/>
        </w:rPr>
        <w:t>Itstated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yet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reform</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Labour</w:t>
      </w:r>
      <w:r w:rsidR="00FF41A0">
        <w:rPr>
          <w:sz w:val="20"/>
          <w:szCs w:val="20"/>
        </w:rPr>
        <w:t xml:space="preserve"> </w:t>
      </w:r>
      <w:r w:rsidR="00323457" w:rsidRPr="0059638B">
        <w:rPr>
          <w:sz w:val="20"/>
          <w:szCs w:val="20"/>
        </w:rPr>
        <w:t>Code</w:t>
      </w:r>
      <w:r w:rsidR="00FF41A0">
        <w:rPr>
          <w:sz w:val="20"/>
          <w:szCs w:val="20"/>
        </w:rPr>
        <w:t xml:space="preserve"> </w:t>
      </w:r>
      <w:r w:rsidR="00323457" w:rsidRPr="0059638B">
        <w:rPr>
          <w:sz w:val="20"/>
          <w:szCs w:val="20"/>
        </w:rPr>
        <w:t>so</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workers</w:t>
      </w:r>
      <w:r w:rsidR="00FF41A0">
        <w:rPr>
          <w:sz w:val="20"/>
          <w:szCs w:val="20"/>
        </w:rPr>
        <w:t xml:space="preserve"> </w:t>
      </w:r>
      <w:r w:rsidR="00323457" w:rsidRPr="0059638B">
        <w:rPr>
          <w:sz w:val="20"/>
          <w:szCs w:val="20"/>
        </w:rPr>
        <w:t>can</w:t>
      </w:r>
      <w:r w:rsidR="00FF41A0">
        <w:rPr>
          <w:sz w:val="20"/>
          <w:szCs w:val="20"/>
        </w:rPr>
        <w:t xml:space="preserve"> </w:t>
      </w:r>
      <w:r w:rsidR="00323457" w:rsidRPr="0059638B">
        <w:rPr>
          <w:sz w:val="20"/>
          <w:szCs w:val="20"/>
        </w:rPr>
        <w:t>have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form</w:t>
      </w:r>
      <w:r w:rsidR="00FF41A0">
        <w:rPr>
          <w:sz w:val="20"/>
          <w:szCs w:val="20"/>
        </w:rPr>
        <w:t xml:space="preserve"> </w:t>
      </w:r>
      <w:r w:rsidR="00323457" w:rsidRPr="0059638B">
        <w:rPr>
          <w:sz w:val="20"/>
          <w:szCs w:val="20"/>
        </w:rPr>
        <w:t>trade</w:t>
      </w:r>
      <w:r w:rsidR="00FF41A0">
        <w:rPr>
          <w:sz w:val="20"/>
          <w:szCs w:val="20"/>
        </w:rPr>
        <w:t xml:space="preserve"> </w:t>
      </w:r>
      <w:r w:rsidR="00323457" w:rsidRPr="0059638B">
        <w:rPr>
          <w:sz w:val="20"/>
          <w:szCs w:val="20"/>
        </w:rPr>
        <w:t>unions.</w:t>
      </w:r>
      <w:r w:rsidR="00FF41A0">
        <w:rPr>
          <w:sz w:val="20"/>
          <w:szCs w:val="20"/>
        </w:rPr>
        <w:t xml:space="preserve"> </w:t>
      </w:r>
      <w:r w:rsidR="00323457" w:rsidRPr="0059638B">
        <w:rPr>
          <w:sz w:val="20"/>
          <w:szCs w:val="20"/>
        </w:rPr>
        <w:t>They</w:t>
      </w:r>
      <w:r w:rsidR="00FF41A0">
        <w:rPr>
          <w:sz w:val="20"/>
          <w:szCs w:val="20"/>
        </w:rPr>
        <w:t xml:space="preserve"> </w:t>
      </w:r>
      <w:r w:rsidR="00323457" w:rsidRPr="0059638B">
        <w:rPr>
          <w:sz w:val="20"/>
          <w:szCs w:val="20"/>
        </w:rPr>
        <w:t>asked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integrate,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plan</w:t>
      </w:r>
      <w:r w:rsidR="00FF41A0">
        <w:rPr>
          <w:sz w:val="20"/>
          <w:szCs w:val="20"/>
        </w:rPr>
        <w:t xml:space="preserve"> </w:t>
      </w:r>
      <w:r w:rsidR="00323457" w:rsidRPr="0059638B">
        <w:rPr>
          <w:sz w:val="20"/>
          <w:szCs w:val="20"/>
        </w:rPr>
        <w:t>linked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Agenda</w:t>
      </w:r>
      <w:r w:rsidR="00FF41A0">
        <w:rPr>
          <w:sz w:val="20"/>
          <w:szCs w:val="20"/>
        </w:rPr>
        <w:t xml:space="preserve"> </w:t>
      </w:r>
      <w:r w:rsidR="00323457" w:rsidRPr="0059638B">
        <w:rPr>
          <w:sz w:val="20"/>
          <w:szCs w:val="20"/>
        </w:rPr>
        <w:t>2030</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Sustainable</w:t>
      </w:r>
      <w:r w:rsidR="00FF41A0">
        <w:rPr>
          <w:sz w:val="20"/>
          <w:szCs w:val="20"/>
        </w:rPr>
        <w:t xml:space="preserve"> </w:t>
      </w:r>
      <w:r w:rsidR="00323457" w:rsidRPr="0059638B">
        <w:rPr>
          <w:sz w:val="20"/>
          <w:szCs w:val="20"/>
        </w:rPr>
        <w:t>Development</w:t>
      </w:r>
      <w:r w:rsidR="00FF41A0">
        <w:rPr>
          <w:sz w:val="20"/>
          <w:szCs w:val="20"/>
        </w:rPr>
        <w:t xml:space="preserve"> </w:t>
      </w:r>
      <w:r w:rsidR="00323457" w:rsidRPr="0059638B">
        <w:rPr>
          <w:sz w:val="20"/>
          <w:szCs w:val="20"/>
        </w:rPr>
        <w:t>Goals,</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demands</w:t>
      </w:r>
      <w:r w:rsidR="00FF41A0">
        <w:rPr>
          <w:sz w:val="20"/>
          <w:szCs w:val="20"/>
        </w:rPr>
        <w:t xml:space="preserve"> </w:t>
      </w:r>
      <w:r w:rsidR="00323457" w:rsidRPr="0059638B">
        <w:rPr>
          <w:sz w:val="20"/>
          <w:szCs w:val="20"/>
        </w:rPr>
        <w:t>calling</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social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economic</w:t>
      </w:r>
      <w:r w:rsidR="00FF41A0">
        <w:rPr>
          <w:sz w:val="20"/>
          <w:szCs w:val="20"/>
        </w:rPr>
        <w:t xml:space="preserve"> </w:t>
      </w:r>
      <w:r w:rsidR="00323457" w:rsidRPr="0059638B">
        <w:rPr>
          <w:sz w:val="20"/>
          <w:szCs w:val="20"/>
        </w:rPr>
        <w:t>reforms.</w:t>
      </w:r>
      <w:r w:rsidR="00FF41A0">
        <w:rPr>
          <w:sz w:val="20"/>
          <w:szCs w:val="20"/>
        </w:rPr>
        <w:t xml:space="preserve"> </w:t>
      </w:r>
    </w:p>
    <w:p w14:paraId="4308AF2C" w14:textId="6A5B510E" w:rsidR="00323457" w:rsidRPr="0059638B" w:rsidRDefault="00972F1E" w:rsidP="00F2244D">
      <w:pPr>
        <w:pStyle w:val="SingleTxtG"/>
        <w:rPr>
          <w:sz w:val="20"/>
          <w:szCs w:val="20"/>
        </w:rPr>
      </w:pPr>
      <w:r>
        <w:rPr>
          <w:sz w:val="20"/>
          <w:szCs w:val="20"/>
        </w:rPr>
        <w:t>623</w:t>
      </w:r>
      <w:r w:rsidR="00D7475F">
        <w:rPr>
          <w:sz w:val="20"/>
          <w:szCs w:val="20"/>
        </w:rPr>
        <w:t>.</w:t>
      </w:r>
      <w:r w:rsidR="00D7475F">
        <w:rPr>
          <w:sz w:val="20"/>
          <w:szCs w:val="20"/>
        </w:rPr>
        <w:tab/>
      </w:r>
      <w:r w:rsidR="00323457" w:rsidRPr="00F2244D">
        <w:rPr>
          <w:sz w:val="20"/>
          <w:szCs w:val="20"/>
        </w:rPr>
        <w:t>Conseil</w:t>
      </w:r>
      <w:r w:rsidR="00FF41A0" w:rsidRPr="00F2244D">
        <w:rPr>
          <w:sz w:val="20"/>
          <w:szCs w:val="20"/>
        </w:rPr>
        <w:t xml:space="preserve"> </w:t>
      </w:r>
      <w:r w:rsidR="00323457" w:rsidRPr="00F2244D">
        <w:rPr>
          <w:sz w:val="20"/>
          <w:szCs w:val="20"/>
        </w:rPr>
        <w:t>International</w:t>
      </w:r>
      <w:r w:rsidR="00FF41A0" w:rsidRPr="00F2244D">
        <w:rPr>
          <w:sz w:val="20"/>
          <w:szCs w:val="20"/>
        </w:rPr>
        <w:t xml:space="preserve"> </w:t>
      </w:r>
      <w:r w:rsidR="00323457" w:rsidRPr="00F2244D">
        <w:rPr>
          <w:sz w:val="20"/>
          <w:szCs w:val="20"/>
        </w:rPr>
        <w:t>pour</w:t>
      </w:r>
      <w:r w:rsidR="00FF41A0" w:rsidRPr="00F2244D">
        <w:rPr>
          <w:sz w:val="20"/>
          <w:szCs w:val="20"/>
        </w:rPr>
        <w:t xml:space="preserve"> </w:t>
      </w:r>
      <w:r w:rsidR="00323457" w:rsidRPr="00F2244D">
        <w:rPr>
          <w:sz w:val="20"/>
          <w:szCs w:val="20"/>
        </w:rPr>
        <w:t>le</w:t>
      </w:r>
      <w:r w:rsidR="00FF41A0" w:rsidRPr="00F2244D">
        <w:rPr>
          <w:sz w:val="20"/>
          <w:szCs w:val="20"/>
        </w:rPr>
        <w:t xml:space="preserve"> </w:t>
      </w:r>
      <w:r w:rsidR="00323457" w:rsidRPr="00F2244D">
        <w:rPr>
          <w:sz w:val="20"/>
          <w:szCs w:val="20"/>
        </w:rPr>
        <w:t>soutien</w:t>
      </w:r>
      <w:r w:rsidR="00FF41A0" w:rsidRPr="00F2244D">
        <w:rPr>
          <w:sz w:val="20"/>
          <w:szCs w:val="20"/>
        </w:rPr>
        <w:t xml:space="preserve"> </w:t>
      </w:r>
      <w:r w:rsidR="00323457" w:rsidRPr="00F2244D">
        <w:rPr>
          <w:sz w:val="20"/>
          <w:szCs w:val="20"/>
        </w:rPr>
        <w:t>à</w:t>
      </w:r>
      <w:r w:rsidR="00FF41A0" w:rsidRPr="00F2244D">
        <w:rPr>
          <w:sz w:val="20"/>
          <w:szCs w:val="20"/>
        </w:rPr>
        <w:t xml:space="preserve"> </w:t>
      </w:r>
      <w:r w:rsidR="00323457" w:rsidRPr="00F2244D">
        <w:rPr>
          <w:sz w:val="20"/>
          <w:szCs w:val="20"/>
        </w:rPr>
        <w:t>des</w:t>
      </w:r>
      <w:r w:rsidR="00FF41A0" w:rsidRPr="00F2244D">
        <w:rPr>
          <w:sz w:val="20"/>
          <w:szCs w:val="20"/>
        </w:rPr>
        <w:t xml:space="preserve"> </w:t>
      </w:r>
      <w:r w:rsidR="00323457" w:rsidRPr="00F2244D">
        <w:rPr>
          <w:sz w:val="20"/>
          <w:szCs w:val="20"/>
        </w:rPr>
        <w:t>procès</w:t>
      </w:r>
      <w:r w:rsidR="00FF41A0" w:rsidRPr="00F2244D">
        <w:rPr>
          <w:sz w:val="20"/>
          <w:szCs w:val="20"/>
        </w:rPr>
        <w:t xml:space="preserve"> </w:t>
      </w:r>
      <w:r w:rsidR="00323457" w:rsidRPr="00F2244D">
        <w:rPr>
          <w:sz w:val="20"/>
          <w:szCs w:val="20"/>
        </w:rPr>
        <w:t>équitables</w:t>
      </w:r>
      <w:r w:rsidR="00FF41A0" w:rsidRPr="00F2244D">
        <w:rPr>
          <w:sz w:val="20"/>
          <w:szCs w:val="20"/>
        </w:rPr>
        <w:t xml:space="preserve"> </w:t>
      </w:r>
      <w:proofErr w:type="gramStart"/>
      <w:r w:rsidR="00323457" w:rsidRPr="00F2244D">
        <w:rPr>
          <w:sz w:val="20"/>
          <w:szCs w:val="20"/>
        </w:rPr>
        <w:t>et</w:t>
      </w:r>
      <w:proofErr w:type="gramEnd"/>
      <w:r w:rsidR="00FF41A0" w:rsidRPr="00F2244D">
        <w:rPr>
          <w:sz w:val="20"/>
          <w:szCs w:val="20"/>
        </w:rPr>
        <w:t xml:space="preserve"> </w:t>
      </w:r>
      <w:r w:rsidR="00323457" w:rsidRPr="00F2244D">
        <w:rPr>
          <w:sz w:val="20"/>
          <w:szCs w:val="20"/>
        </w:rPr>
        <w:t>aux</w:t>
      </w:r>
      <w:r w:rsidR="00FF41A0" w:rsidRPr="00F2244D">
        <w:rPr>
          <w:sz w:val="20"/>
          <w:szCs w:val="20"/>
        </w:rPr>
        <w:t xml:space="preserve"> </w:t>
      </w:r>
      <w:r w:rsidR="00323457" w:rsidRPr="00F2244D">
        <w:rPr>
          <w:sz w:val="20"/>
          <w:szCs w:val="20"/>
        </w:rPr>
        <w:t>Droits</w:t>
      </w:r>
      <w:r w:rsidR="00FF41A0" w:rsidRPr="00F2244D">
        <w:rPr>
          <w:sz w:val="20"/>
          <w:szCs w:val="20"/>
        </w:rPr>
        <w:t xml:space="preserve"> </w:t>
      </w:r>
      <w:r w:rsidR="00323457" w:rsidRPr="00F2244D">
        <w:rPr>
          <w:sz w:val="20"/>
          <w:szCs w:val="20"/>
        </w:rPr>
        <w:t>de</w:t>
      </w:r>
      <w:r w:rsidR="00FF41A0" w:rsidRPr="00F2244D">
        <w:rPr>
          <w:sz w:val="20"/>
          <w:szCs w:val="20"/>
        </w:rPr>
        <w:t xml:space="preserve"> </w:t>
      </w:r>
      <w:r w:rsidR="00323457" w:rsidRPr="00F2244D">
        <w:rPr>
          <w:sz w:val="20"/>
          <w:szCs w:val="20"/>
        </w:rPr>
        <w:t>l</w:t>
      </w:r>
      <w:r w:rsidR="00D72627">
        <w:rPr>
          <w:sz w:val="20"/>
          <w:szCs w:val="20"/>
        </w:rPr>
        <w:t>’</w:t>
      </w:r>
      <w:r w:rsidR="00323457" w:rsidRPr="00F2244D">
        <w:rPr>
          <w:sz w:val="20"/>
          <w:szCs w:val="20"/>
        </w:rPr>
        <w:t>Homme</w:t>
      </w:r>
      <w:r w:rsidR="00F2244D" w:rsidRPr="00F2244D">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measures</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issues</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required</w:t>
      </w:r>
      <w:r w:rsidR="00FF41A0">
        <w:rPr>
          <w:sz w:val="20"/>
          <w:szCs w:val="20"/>
        </w:rPr>
        <w:t xml:space="preserve"> </w:t>
      </w:r>
      <w:r w:rsidR="00323457" w:rsidRPr="0059638B">
        <w:rPr>
          <w:sz w:val="20"/>
          <w:szCs w:val="20"/>
        </w:rPr>
        <w:t>attention.</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referred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situation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media.</w:t>
      </w:r>
      <w:r w:rsidR="00FF41A0">
        <w:rPr>
          <w:sz w:val="20"/>
          <w:szCs w:val="20"/>
        </w:rPr>
        <w:t xml:space="preserve"> </w:t>
      </w:r>
    </w:p>
    <w:p w14:paraId="3F350F8A" w14:textId="35908267" w:rsidR="00323457" w:rsidRPr="0059638B" w:rsidRDefault="00972F1E" w:rsidP="00323457">
      <w:pPr>
        <w:pStyle w:val="SingleTxtG"/>
        <w:rPr>
          <w:sz w:val="20"/>
          <w:szCs w:val="20"/>
        </w:rPr>
      </w:pPr>
      <w:r>
        <w:rPr>
          <w:sz w:val="20"/>
          <w:szCs w:val="20"/>
        </w:rPr>
        <w:lastRenderedPageBreak/>
        <w:t>624</w:t>
      </w:r>
      <w:r w:rsidR="00D7475F">
        <w:rPr>
          <w:sz w:val="20"/>
          <w:szCs w:val="20"/>
        </w:rPr>
        <w:t>.</w:t>
      </w:r>
      <w:r w:rsidR="00D7475F">
        <w:rPr>
          <w:sz w:val="20"/>
          <w:szCs w:val="20"/>
        </w:rPr>
        <w:tab/>
      </w:r>
      <w:r w:rsidR="00323457" w:rsidRPr="0059638B">
        <w:rPr>
          <w:sz w:val="20"/>
          <w:szCs w:val="20"/>
        </w:rPr>
        <w:t>Amnesty</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said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legislation</w:t>
      </w:r>
      <w:r w:rsidR="00FF41A0">
        <w:rPr>
          <w:sz w:val="20"/>
          <w:szCs w:val="20"/>
        </w:rPr>
        <w:t xml:space="preserve"> </w:t>
      </w:r>
      <w:r w:rsidR="00323457" w:rsidRPr="0059638B">
        <w:rPr>
          <w:sz w:val="20"/>
          <w:szCs w:val="20"/>
        </w:rPr>
        <w:t>still</w:t>
      </w:r>
      <w:r w:rsidR="00FF41A0">
        <w:rPr>
          <w:sz w:val="20"/>
          <w:szCs w:val="20"/>
        </w:rPr>
        <w:t xml:space="preserve"> </w:t>
      </w:r>
      <w:r w:rsidR="00323457" w:rsidRPr="0059638B">
        <w:rPr>
          <w:sz w:val="20"/>
          <w:szCs w:val="20"/>
        </w:rPr>
        <w:t>discriminated</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girls,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therefore,</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acceptance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protect</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gender-based</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domestic</w:t>
      </w:r>
      <w:r w:rsidR="00FF41A0">
        <w:rPr>
          <w:sz w:val="20"/>
          <w:szCs w:val="20"/>
        </w:rPr>
        <w:t xml:space="preserve"> </w:t>
      </w:r>
      <w:r w:rsidR="00323457" w:rsidRPr="0059638B">
        <w:rPr>
          <w:sz w:val="20"/>
          <w:szCs w:val="20"/>
        </w:rPr>
        <w:t>violence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ensure</w:t>
      </w:r>
      <w:r w:rsidR="00FF41A0">
        <w:rPr>
          <w:sz w:val="20"/>
          <w:szCs w:val="20"/>
        </w:rPr>
        <w:t xml:space="preserve"> </w:t>
      </w:r>
      <w:r w:rsidR="00323457" w:rsidRPr="0059638B">
        <w:rPr>
          <w:sz w:val="20"/>
          <w:szCs w:val="20"/>
        </w:rPr>
        <w:t>their</w:t>
      </w:r>
      <w:r w:rsidR="00FF41A0">
        <w:rPr>
          <w:sz w:val="20"/>
          <w:szCs w:val="20"/>
        </w:rPr>
        <w:t xml:space="preserve"> </w:t>
      </w:r>
      <w:r w:rsidR="00323457" w:rsidRPr="0059638B">
        <w:rPr>
          <w:sz w:val="20"/>
          <w:szCs w:val="20"/>
        </w:rPr>
        <w:t>equal</w:t>
      </w:r>
      <w:r w:rsidR="00FF41A0">
        <w:rPr>
          <w:sz w:val="20"/>
          <w:szCs w:val="20"/>
        </w:rPr>
        <w:t xml:space="preserve"> </w:t>
      </w:r>
      <w:r w:rsidR="00323457" w:rsidRPr="0059638B">
        <w:rPr>
          <w:sz w:val="20"/>
          <w:szCs w:val="20"/>
        </w:rPr>
        <w:t>access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justice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jobs.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however,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rejection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other</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related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honour</w:t>
      </w:r>
      <w:r w:rsidR="00FF41A0">
        <w:rPr>
          <w:sz w:val="20"/>
          <w:szCs w:val="20"/>
        </w:rPr>
        <w:t xml:space="preserve"> </w:t>
      </w:r>
      <w:r w:rsidR="00323457" w:rsidRPr="0059638B">
        <w:rPr>
          <w:sz w:val="20"/>
          <w:szCs w:val="20"/>
        </w:rPr>
        <w:t>crimes,</w:t>
      </w:r>
      <w:r w:rsidR="00FF41A0">
        <w:rPr>
          <w:sz w:val="20"/>
          <w:szCs w:val="20"/>
        </w:rPr>
        <w:t xml:space="preserve"> </w:t>
      </w:r>
      <w:r w:rsidR="00323457" w:rsidRPr="0059638B">
        <w:rPr>
          <w:sz w:val="20"/>
          <w:szCs w:val="20"/>
        </w:rPr>
        <w:t>child</w:t>
      </w:r>
      <w:r w:rsidR="00FF41A0">
        <w:rPr>
          <w:sz w:val="20"/>
          <w:szCs w:val="20"/>
        </w:rPr>
        <w:t xml:space="preserve"> </w:t>
      </w:r>
      <w:r w:rsidR="00323457" w:rsidRPr="0059638B">
        <w:rPr>
          <w:sz w:val="20"/>
          <w:szCs w:val="20"/>
        </w:rPr>
        <w:t>marriage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passing</w:t>
      </w:r>
      <w:r w:rsidR="00FF41A0">
        <w:rPr>
          <w:sz w:val="20"/>
          <w:szCs w:val="20"/>
        </w:rPr>
        <w:t xml:space="preserve"> </w:t>
      </w:r>
      <w:r w:rsidR="00323457" w:rsidRPr="0059638B">
        <w:rPr>
          <w:sz w:val="20"/>
          <w:szCs w:val="20"/>
        </w:rPr>
        <w:t>nationality</w:t>
      </w:r>
      <w:r w:rsidR="00FF41A0">
        <w:rPr>
          <w:sz w:val="20"/>
          <w:szCs w:val="20"/>
        </w:rPr>
        <w:t xml:space="preserve"> </w:t>
      </w:r>
      <w:r w:rsidR="00323457" w:rsidRPr="0059638B">
        <w:rPr>
          <w:sz w:val="20"/>
          <w:szCs w:val="20"/>
        </w:rPr>
        <w:t>from</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their</w:t>
      </w:r>
      <w:r w:rsidR="00FF41A0">
        <w:rPr>
          <w:sz w:val="20"/>
          <w:szCs w:val="20"/>
        </w:rPr>
        <w:t xml:space="preserve"> </w:t>
      </w:r>
      <w:r w:rsidR="00323457" w:rsidRPr="0059638B">
        <w:rPr>
          <w:sz w:val="20"/>
          <w:szCs w:val="20"/>
        </w:rPr>
        <w:t>children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spouses.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urged</w:t>
      </w:r>
      <w:r w:rsidR="00FF41A0">
        <w:rPr>
          <w:sz w:val="20"/>
          <w:szCs w:val="20"/>
        </w:rPr>
        <w:t xml:space="preserve"> </w:t>
      </w:r>
      <w:r w:rsidR="00323457" w:rsidRPr="0059638B">
        <w:rPr>
          <w:sz w:val="20"/>
          <w:szCs w:val="20"/>
        </w:rPr>
        <w:t>Jordan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reconsider</w:t>
      </w:r>
      <w:r w:rsidR="00FF41A0">
        <w:rPr>
          <w:sz w:val="20"/>
          <w:szCs w:val="20"/>
        </w:rPr>
        <w:t xml:space="preserve"> </w:t>
      </w:r>
      <w:r w:rsidR="00323457" w:rsidRPr="0059638B">
        <w:rPr>
          <w:sz w:val="20"/>
          <w:szCs w:val="20"/>
        </w:rPr>
        <w:t>this</w:t>
      </w:r>
      <w:r w:rsidR="00FF41A0">
        <w:rPr>
          <w:sz w:val="20"/>
          <w:szCs w:val="20"/>
        </w:rPr>
        <w:t xml:space="preserve"> </w:t>
      </w:r>
      <w:r w:rsidR="00323457" w:rsidRPr="0059638B">
        <w:rPr>
          <w:sz w:val="20"/>
          <w:szCs w:val="20"/>
        </w:rPr>
        <w:t>position.</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referred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imprisonment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activists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journalists,</w:t>
      </w:r>
      <w:r w:rsidR="00FF41A0">
        <w:rPr>
          <w:sz w:val="20"/>
          <w:szCs w:val="20"/>
        </w:rPr>
        <w:t xml:space="preserve"> </w:t>
      </w:r>
      <w:r w:rsidR="00323457" w:rsidRPr="0059638B">
        <w:rPr>
          <w:sz w:val="20"/>
          <w:szCs w:val="20"/>
        </w:rPr>
        <w:t>legal</w:t>
      </w:r>
      <w:r w:rsidR="00FF41A0">
        <w:rPr>
          <w:sz w:val="20"/>
          <w:szCs w:val="20"/>
        </w:rPr>
        <w:t xml:space="preserve"> </w:t>
      </w:r>
      <w:r w:rsidR="00323457" w:rsidRPr="0059638B">
        <w:rPr>
          <w:sz w:val="20"/>
          <w:szCs w:val="20"/>
        </w:rPr>
        <w:t>criminalization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free</w:t>
      </w:r>
      <w:r w:rsidR="00FF41A0">
        <w:rPr>
          <w:sz w:val="20"/>
          <w:szCs w:val="20"/>
        </w:rPr>
        <w:t xml:space="preserve"> </w:t>
      </w:r>
      <w:r w:rsidR="00323457" w:rsidRPr="0059638B">
        <w:rPr>
          <w:sz w:val="20"/>
          <w:szCs w:val="20"/>
        </w:rPr>
        <w:t>speech</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legal</w:t>
      </w:r>
      <w:r w:rsidR="00FF41A0">
        <w:rPr>
          <w:sz w:val="20"/>
          <w:szCs w:val="20"/>
        </w:rPr>
        <w:t xml:space="preserve"> </w:t>
      </w:r>
      <w:r w:rsidR="00323457" w:rsidRPr="0059638B">
        <w:rPr>
          <w:sz w:val="20"/>
          <w:szCs w:val="20"/>
        </w:rPr>
        <w:t>restrictions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online</w:t>
      </w:r>
      <w:r w:rsidR="00FF41A0">
        <w:rPr>
          <w:sz w:val="20"/>
          <w:szCs w:val="20"/>
        </w:rPr>
        <w:t xml:space="preserve"> </w:t>
      </w:r>
      <w:r w:rsidR="00323457" w:rsidRPr="0059638B">
        <w:rPr>
          <w:sz w:val="20"/>
          <w:szCs w:val="20"/>
        </w:rPr>
        <w:t>activities.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acceptance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recognize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defenders</w:t>
      </w:r>
      <w:r w:rsidR="00D72627">
        <w:rPr>
          <w:sz w:val="20"/>
          <w:szCs w:val="20"/>
        </w:rPr>
        <w:t>’</w:t>
      </w:r>
      <w:r w:rsidR="00FF41A0">
        <w:rPr>
          <w:sz w:val="20"/>
          <w:szCs w:val="20"/>
        </w:rPr>
        <w:t xml:space="preserve"> </w:t>
      </w:r>
      <w:r w:rsidR="00323457" w:rsidRPr="0059638B">
        <w:rPr>
          <w:sz w:val="20"/>
          <w:szCs w:val="20"/>
        </w:rPr>
        <w:t>work</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ensure</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Press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Publication</w:t>
      </w:r>
      <w:r w:rsidR="00FF41A0">
        <w:rPr>
          <w:sz w:val="20"/>
          <w:szCs w:val="20"/>
        </w:rPr>
        <w:t xml:space="preserve"> </w:t>
      </w:r>
      <w:r w:rsidR="00323457" w:rsidRPr="0059638B">
        <w:rPr>
          <w:sz w:val="20"/>
          <w:szCs w:val="20"/>
        </w:rPr>
        <w:t>Act</w:t>
      </w:r>
      <w:r w:rsidR="00FF41A0">
        <w:rPr>
          <w:sz w:val="20"/>
          <w:szCs w:val="20"/>
        </w:rPr>
        <w:t xml:space="preserve"> </w:t>
      </w:r>
      <w:r w:rsidR="00323457" w:rsidRPr="0059638B">
        <w:rPr>
          <w:sz w:val="20"/>
          <w:szCs w:val="20"/>
        </w:rPr>
        <w:t>complies</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Covenant</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Civil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Political</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referred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cases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prolonged</w:t>
      </w:r>
      <w:r w:rsidR="00FF41A0">
        <w:rPr>
          <w:sz w:val="20"/>
          <w:szCs w:val="20"/>
        </w:rPr>
        <w:t xml:space="preserve"> </w:t>
      </w:r>
      <w:r w:rsidR="00323457" w:rsidRPr="0059638B">
        <w:rPr>
          <w:sz w:val="20"/>
          <w:szCs w:val="20"/>
        </w:rPr>
        <w:t>pre-trial</w:t>
      </w:r>
      <w:r w:rsidR="00FF41A0">
        <w:rPr>
          <w:sz w:val="20"/>
          <w:szCs w:val="20"/>
        </w:rPr>
        <w:t xml:space="preserve"> </w:t>
      </w:r>
      <w:r w:rsidR="00323457" w:rsidRPr="0059638B">
        <w:rPr>
          <w:sz w:val="20"/>
          <w:szCs w:val="20"/>
        </w:rPr>
        <w:t>detention,</w:t>
      </w:r>
      <w:r w:rsidR="00FF41A0">
        <w:rPr>
          <w:sz w:val="20"/>
          <w:szCs w:val="20"/>
        </w:rPr>
        <w:t xml:space="preserve"> </w:t>
      </w:r>
      <w:r w:rsidR="00323457" w:rsidRPr="0059638B">
        <w:rPr>
          <w:sz w:val="20"/>
          <w:szCs w:val="20"/>
        </w:rPr>
        <w:t>solitary</w:t>
      </w:r>
      <w:r w:rsidR="00FF41A0">
        <w:rPr>
          <w:sz w:val="20"/>
          <w:szCs w:val="20"/>
        </w:rPr>
        <w:t xml:space="preserve"> </w:t>
      </w:r>
      <w:r w:rsidR="00323457" w:rsidRPr="0059638B">
        <w:rPr>
          <w:sz w:val="20"/>
          <w:szCs w:val="20"/>
        </w:rPr>
        <w:t>confinement,</w:t>
      </w:r>
      <w:r w:rsidR="00FF41A0">
        <w:rPr>
          <w:sz w:val="20"/>
          <w:szCs w:val="20"/>
        </w:rPr>
        <w:t xml:space="preserve"> </w:t>
      </w:r>
      <w:r w:rsidR="00323457" w:rsidRPr="0059638B">
        <w:rPr>
          <w:sz w:val="20"/>
          <w:szCs w:val="20"/>
        </w:rPr>
        <w:t>torture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ill-treatment.</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acceptance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prohibit</w:t>
      </w:r>
      <w:r w:rsidR="00FF41A0">
        <w:rPr>
          <w:sz w:val="20"/>
          <w:szCs w:val="20"/>
        </w:rPr>
        <w:t xml:space="preserve"> </w:t>
      </w:r>
      <w:r w:rsidR="00323457" w:rsidRPr="0059638B">
        <w:rPr>
          <w:sz w:val="20"/>
          <w:szCs w:val="20"/>
        </w:rPr>
        <w:t>torture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limit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use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administrative</w:t>
      </w:r>
      <w:r w:rsidR="00FF41A0">
        <w:rPr>
          <w:sz w:val="20"/>
          <w:szCs w:val="20"/>
        </w:rPr>
        <w:t xml:space="preserve"> </w:t>
      </w:r>
      <w:r w:rsidR="00323457" w:rsidRPr="0059638B">
        <w:rPr>
          <w:sz w:val="20"/>
          <w:szCs w:val="20"/>
        </w:rPr>
        <w:t>detention</w:t>
      </w:r>
      <w:r w:rsidR="00FF41A0">
        <w:rPr>
          <w:sz w:val="20"/>
          <w:szCs w:val="20"/>
        </w:rPr>
        <w:t xml:space="preserve"> </w:t>
      </w:r>
      <w:r w:rsidR="00323457" w:rsidRPr="0059638B">
        <w:rPr>
          <w:sz w:val="20"/>
          <w:szCs w:val="20"/>
        </w:rPr>
        <w:t>but</w:t>
      </w:r>
      <w:r w:rsidR="00FF41A0">
        <w:rPr>
          <w:sz w:val="20"/>
          <w:szCs w:val="20"/>
        </w:rPr>
        <w:t xml:space="preserve"> </w:t>
      </w:r>
      <w:r w:rsidR="00323457" w:rsidRPr="0059638B">
        <w:rPr>
          <w:sz w:val="20"/>
          <w:szCs w:val="20"/>
        </w:rPr>
        <w:t>regretted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rejection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ratify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Optional</w:t>
      </w:r>
      <w:r w:rsidR="00FF41A0">
        <w:rPr>
          <w:sz w:val="20"/>
          <w:szCs w:val="20"/>
        </w:rPr>
        <w:t xml:space="preserve"> </w:t>
      </w:r>
      <w:r w:rsidR="00323457" w:rsidRPr="0059638B">
        <w:rPr>
          <w:sz w:val="20"/>
          <w:szCs w:val="20"/>
        </w:rPr>
        <w:t>Protocol</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Convention</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Torture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Other</w:t>
      </w:r>
      <w:r w:rsidR="00FF41A0">
        <w:rPr>
          <w:sz w:val="20"/>
          <w:szCs w:val="20"/>
        </w:rPr>
        <w:t xml:space="preserve"> </w:t>
      </w:r>
      <w:r w:rsidR="00323457" w:rsidRPr="0059638B">
        <w:rPr>
          <w:sz w:val="20"/>
          <w:szCs w:val="20"/>
        </w:rPr>
        <w:t>Cruel,</w:t>
      </w:r>
      <w:r w:rsidR="00FF41A0">
        <w:rPr>
          <w:sz w:val="20"/>
          <w:szCs w:val="20"/>
        </w:rPr>
        <w:t xml:space="preserve"> </w:t>
      </w:r>
      <w:r w:rsidR="00323457" w:rsidRPr="0059638B">
        <w:rPr>
          <w:sz w:val="20"/>
          <w:szCs w:val="20"/>
        </w:rPr>
        <w:t>Inhuman</w:t>
      </w:r>
      <w:r w:rsidR="00FF41A0">
        <w:rPr>
          <w:sz w:val="20"/>
          <w:szCs w:val="20"/>
        </w:rPr>
        <w:t xml:space="preserve"> </w:t>
      </w:r>
      <w:r w:rsidR="00323457" w:rsidRPr="0059638B">
        <w:rPr>
          <w:sz w:val="20"/>
          <w:szCs w:val="20"/>
        </w:rPr>
        <w:t>or</w:t>
      </w:r>
      <w:r w:rsidR="00FF41A0">
        <w:rPr>
          <w:sz w:val="20"/>
          <w:szCs w:val="20"/>
        </w:rPr>
        <w:t xml:space="preserve"> </w:t>
      </w:r>
      <w:r w:rsidR="00323457" w:rsidRPr="0059638B">
        <w:rPr>
          <w:sz w:val="20"/>
          <w:szCs w:val="20"/>
        </w:rPr>
        <w:t>Degrading</w:t>
      </w:r>
      <w:r w:rsidR="00FF41A0">
        <w:rPr>
          <w:sz w:val="20"/>
          <w:szCs w:val="20"/>
        </w:rPr>
        <w:t xml:space="preserve"> </w:t>
      </w:r>
      <w:r w:rsidR="00323457" w:rsidRPr="0059638B">
        <w:rPr>
          <w:sz w:val="20"/>
          <w:szCs w:val="20"/>
        </w:rPr>
        <w:t>Treatment</w:t>
      </w:r>
      <w:r w:rsidR="00FF41A0">
        <w:rPr>
          <w:sz w:val="20"/>
          <w:szCs w:val="20"/>
        </w:rPr>
        <w:t xml:space="preserve"> </w:t>
      </w:r>
      <w:r w:rsidR="00323457" w:rsidRPr="0059638B">
        <w:rPr>
          <w:sz w:val="20"/>
          <w:szCs w:val="20"/>
        </w:rPr>
        <w:t>or</w:t>
      </w:r>
      <w:r w:rsidR="00FF41A0">
        <w:rPr>
          <w:sz w:val="20"/>
          <w:szCs w:val="20"/>
        </w:rPr>
        <w:t xml:space="preserve"> </w:t>
      </w:r>
      <w:r w:rsidR="00323457" w:rsidRPr="0059638B">
        <w:rPr>
          <w:sz w:val="20"/>
          <w:szCs w:val="20"/>
        </w:rPr>
        <w:t>Punishment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repeal</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Crime</w:t>
      </w:r>
      <w:r w:rsidR="00FF41A0">
        <w:rPr>
          <w:sz w:val="20"/>
          <w:szCs w:val="20"/>
        </w:rPr>
        <w:t xml:space="preserve"> </w:t>
      </w:r>
      <w:r w:rsidR="00323457" w:rsidRPr="0059638B">
        <w:rPr>
          <w:sz w:val="20"/>
          <w:szCs w:val="20"/>
        </w:rPr>
        <w:t>Prevention</w:t>
      </w:r>
      <w:r w:rsidR="00FF41A0">
        <w:rPr>
          <w:sz w:val="20"/>
          <w:szCs w:val="20"/>
        </w:rPr>
        <w:t xml:space="preserve"> </w:t>
      </w:r>
      <w:r w:rsidR="00323457" w:rsidRPr="0059638B">
        <w:rPr>
          <w:sz w:val="20"/>
          <w:szCs w:val="20"/>
        </w:rPr>
        <w:t>Law.</w:t>
      </w:r>
      <w:r w:rsidR="00FF41A0">
        <w:rPr>
          <w:sz w:val="20"/>
          <w:szCs w:val="20"/>
        </w:rPr>
        <w:t xml:space="preserve"> </w:t>
      </w:r>
    </w:p>
    <w:p w14:paraId="71A1F1D4" w14:textId="742FC6B7" w:rsidR="00323457" w:rsidRPr="0059638B" w:rsidRDefault="00972F1E" w:rsidP="00323457">
      <w:pPr>
        <w:pStyle w:val="SingleTxtG"/>
        <w:rPr>
          <w:sz w:val="20"/>
          <w:szCs w:val="20"/>
        </w:rPr>
      </w:pPr>
      <w:r>
        <w:rPr>
          <w:sz w:val="20"/>
          <w:szCs w:val="20"/>
        </w:rPr>
        <w:t>625</w:t>
      </w:r>
      <w:r w:rsidR="00D7475F">
        <w:rPr>
          <w:sz w:val="20"/>
          <w:szCs w:val="20"/>
        </w:rPr>
        <w:t>.</w:t>
      </w:r>
      <w:r w:rsidR="00D7475F">
        <w:rPr>
          <w:sz w:val="20"/>
          <w:szCs w:val="20"/>
        </w:rPr>
        <w:tab/>
      </w:r>
      <w:r w:rsidR="00323457" w:rsidRPr="0059638B">
        <w:rPr>
          <w:sz w:val="20"/>
          <w:szCs w:val="20"/>
        </w:rPr>
        <w:t>Organisation</w:t>
      </w:r>
      <w:r w:rsidR="00FF41A0">
        <w:rPr>
          <w:sz w:val="20"/>
          <w:szCs w:val="20"/>
        </w:rPr>
        <w:t xml:space="preserve"> </w:t>
      </w:r>
      <w:r w:rsidR="00323457" w:rsidRPr="0059638B">
        <w:rPr>
          <w:sz w:val="20"/>
          <w:szCs w:val="20"/>
        </w:rPr>
        <w:t>pour</w:t>
      </w:r>
      <w:r w:rsidR="00FF41A0">
        <w:rPr>
          <w:sz w:val="20"/>
          <w:szCs w:val="20"/>
        </w:rPr>
        <w:t xml:space="preserve"> </w:t>
      </w:r>
      <w:r w:rsidR="00323457" w:rsidRPr="0059638B">
        <w:rPr>
          <w:sz w:val="20"/>
          <w:szCs w:val="20"/>
        </w:rPr>
        <w:t>la</w:t>
      </w:r>
      <w:r w:rsidR="00FF41A0">
        <w:rPr>
          <w:sz w:val="20"/>
          <w:szCs w:val="20"/>
        </w:rPr>
        <w:t xml:space="preserve"> </w:t>
      </w:r>
      <w:r w:rsidR="00323457" w:rsidRPr="0059638B">
        <w:rPr>
          <w:sz w:val="20"/>
          <w:szCs w:val="20"/>
        </w:rPr>
        <w:t>Communication</w:t>
      </w:r>
      <w:r w:rsidR="00FF41A0">
        <w:rPr>
          <w:sz w:val="20"/>
          <w:szCs w:val="20"/>
        </w:rPr>
        <w:t xml:space="preserve"> </w:t>
      </w:r>
      <w:r w:rsidR="00323457" w:rsidRPr="0059638B">
        <w:rPr>
          <w:sz w:val="20"/>
          <w:szCs w:val="20"/>
        </w:rPr>
        <w:t>en</w:t>
      </w:r>
      <w:r w:rsidR="00FF41A0">
        <w:rPr>
          <w:sz w:val="20"/>
          <w:szCs w:val="20"/>
        </w:rPr>
        <w:t xml:space="preserve"> </w:t>
      </w:r>
      <w:r w:rsidR="00323457" w:rsidRPr="0059638B">
        <w:rPr>
          <w:sz w:val="20"/>
          <w:szCs w:val="20"/>
        </w:rPr>
        <w:t>Afrique</w:t>
      </w:r>
      <w:r w:rsidR="00FF41A0">
        <w:rPr>
          <w:sz w:val="20"/>
          <w:szCs w:val="20"/>
        </w:rPr>
        <w:t xml:space="preserve"> </w:t>
      </w:r>
      <w:proofErr w:type="gramStart"/>
      <w:r w:rsidR="00323457" w:rsidRPr="0059638B">
        <w:rPr>
          <w:sz w:val="20"/>
          <w:szCs w:val="20"/>
        </w:rPr>
        <w:t>et</w:t>
      </w:r>
      <w:proofErr w:type="gramEnd"/>
      <w:r w:rsidR="00FF41A0">
        <w:rPr>
          <w:sz w:val="20"/>
          <w:szCs w:val="20"/>
        </w:rPr>
        <w:t xml:space="preserve"> </w:t>
      </w:r>
      <w:r w:rsidR="00323457" w:rsidRPr="0059638B">
        <w:rPr>
          <w:sz w:val="20"/>
          <w:szCs w:val="20"/>
        </w:rPr>
        <w:t>de</w:t>
      </w:r>
      <w:r w:rsidR="00FF41A0">
        <w:rPr>
          <w:sz w:val="20"/>
          <w:szCs w:val="20"/>
        </w:rPr>
        <w:t xml:space="preserve"> </w:t>
      </w:r>
      <w:r w:rsidR="00323457" w:rsidRPr="0059638B">
        <w:rPr>
          <w:sz w:val="20"/>
          <w:szCs w:val="20"/>
        </w:rPr>
        <w:t>Promotion</w:t>
      </w:r>
      <w:r w:rsidR="00FF41A0">
        <w:rPr>
          <w:sz w:val="20"/>
          <w:szCs w:val="20"/>
        </w:rPr>
        <w:t xml:space="preserve"> </w:t>
      </w:r>
      <w:r w:rsidR="00323457" w:rsidRPr="0059638B">
        <w:rPr>
          <w:sz w:val="20"/>
          <w:szCs w:val="20"/>
        </w:rPr>
        <w:t>de</w:t>
      </w:r>
      <w:r w:rsidR="00FF41A0">
        <w:rPr>
          <w:sz w:val="20"/>
          <w:szCs w:val="20"/>
        </w:rPr>
        <w:t xml:space="preserve"> </w:t>
      </w:r>
      <w:r w:rsidR="00323457" w:rsidRPr="0059638B">
        <w:rPr>
          <w:sz w:val="20"/>
          <w:szCs w:val="20"/>
        </w:rPr>
        <w:t>la</w:t>
      </w:r>
      <w:r w:rsidR="00FF41A0">
        <w:rPr>
          <w:sz w:val="20"/>
          <w:szCs w:val="20"/>
        </w:rPr>
        <w:t xml:space="preserve"> </w:t>
      </w:r>
      <w:r w:rsidR="00323457" w:rsidRPr="0059638B">
        <w:rPr>
          <w:sz w:val="20"/>
          <w:szCs w:val="20"/>
        </w:rPr>
        <w:t>Coopération</w:t>
      </w:r>
      <w:r w:rsidR="00FF41A0">
        <w:rPr>
          <w:sz w:val="20"/>
          <w:szCs w:val="20"/>
        </w:rPr>
        <w:t xml:space="preserve"> </w:t>
      </w:r>
      <w:r w:rsidR="00323457" w:rsidRPr="0059638B">
        <w:rPr>
          <w:sz w:val="20"/>
          <w:szCs w:val="20"/>
        </w:rPr>
        <w:t>Economique</w:t>
      </w:r>
      <w:r w:rsidR="00FF41A0">
        <w:rPr>
          <w:sz w:val="20"/>
          <w:szCs w:val="20"/>
        </w:rPr>
        <w:t xml:space="preserve"> </w:t>
      </w:r>
      <w:r w:rsidR="00323457" w:rsidRPr="0059638B">
        <w:rPr>
          <w:sz w:val="20"/>
          <w:szCs w:val="20"/>
        </w:rPr>
        <w:t>Internationale</w:t>
      </w:r>
      <w:r w:rsidR="00FF41A0">
        <w:rPr>
          <w:sz w:val="20"/>
          <w:szCs w:val="20"/>
        </w:rPr>
        <w:t xml:space="preserve"> </w:t>
      </w:r>
      <w:r w:rsidR="00323457" w:rsidRPr="0059638B">
        <w:rPr>
          <w:sz w:val="20"/>
          <w:szCs w:val="20"/>
        </w:rPr>
        <w:t>-</w:t>
      </w:r>
      <w:r w:rsidR="00FF41A0">
        <w:rPr>
          <w:sz w:val="20"/>
          <w:szCs w:val="20"/>
        </w:rPr>
        <w:t xml:space="preserve"> </w:t>
      </w:r>
      <w:r w:rsidR="00323457" w:rsidRPr="0059638B">
        <w:rPr>
          <w:sz w:val="20"/>
          <w:szCs w:val="20"/>
        </w:rPr>
        <w:t>OCAPROCE</w:t>
      </w:r>
      <w:r w:rsidR="00FF41A0">
        <w:rPr>
          <w:sz w:val="20"/>
          <w:szCs w:val="20"/>
        </w:rPr>
        <w:t xml:space="preserve"> </w:t>
      </w:r>
      <w:r w:rsidR="00323457" w:rsidRPr="0059638B">
        <w:rPr>
          <w:sz w:val="20"/>
          <w:szCs w:val="20"/>
        </w:rPr>
        <w:t>Internationale</w:t>
      </w:r>
      <w:r w:rsidR="00FF41A0">
        <w:rPr>
          <w:sz w:val="20"/>
          <w:szCs w:val="20"/>
        </w:rPr>
        <w:t xml:space="preserve"> </w:t>
      </w:r>
      <w:r w:rsidR="00323457" w:rsidRPr="0059638B">
        <w:rPr>
          <w:sz w:val="20"/>
          <w:szCs w:val="20"/>
        </w:rPr>
        <w:t>encouraged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adoption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bill</w:t>
      </w:r>
      <w:r w:rsidR="00FF41A0">
        <w:rPr>
          <w:sz w:val="20"/>
          <w:szCs w:val="20"/>
        </w:rPr>
        <w:t xml:space="preserve"> </w:t>
      </w:r>
      <w:r w:rsidR="00323457" w:rsidRPr="0059638B">
        <w:rPr>
          <w:sz w:val="20"/>
          <w:szCs w:val="20"/>
        </w:rPr>
        <w:t>promoting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participation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public</w:t>
      </w:r>
      <w:r w:rsidR="00FF41A0">
        <w:rPr>
          <w:sz w:val="20"/>
          <w:szCs w:val="20"/>
        </w:rPr>
        <w:t xml:space="preserve"> </w:t>
      </w:r>
      <w:r w:rsidR="00323457" w:rsidRPr="0059638B">
        <w:rPr>
          <w:sz w:val="20"/>
          <w:szCs w:val="20"/>
        </w:rPr>
        <w:t>sector.</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referred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measures</w:t>
      </w:r>
      <w:r w:rsidR="00FF41A0">
        <w:rPr>
          <w:sz w:val="20"/>
          <w:szCs w:val="20"/>
        </w:rPr>
        <w:t xml:space="preserve"> </w:t>
      </w:r>
      <w:r w:rsidR="00323457" w:rsidRPr="0059638B">
        <w:rPr>
          <w:sz w:val="20"/>
          <w:szCs w:val="20"/>
        </w:rPr>
        <w:t>adopted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protect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areas</w:t>
      </w:r>
      <w:r w:rsidR="00FF41A0">
        <w:rPr>
          <w:sz w:val="20"/>
          <w:szCs w:val="20"/>
        </w:rPr>
        <w:t xml:space="preserve"> </w:t>
      </w:r>
      <w:r w:rsidR="00323457" w:rsidRPr="0059638B">
        <w:rPr>
          <w:sz w:val="20"/>
          <w:szCs w:val="20"/>
        </w:rPr>
        <w:t>such</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flexible</w:t>
      </w:r>
      <w:r w:rsidR="00FF41A0">
        <w:rPr>
          <w:sz w:val="20"/>
          <w:szCs w:val="20"/>
        </w:rPr>
        <w:t xml:space="preserve"> </w:t>
      </w:r>
      <w:r w:rsidR="00323457" w:rsidRPr="0059638B">
        <w:rPr>
          <w:sz w:val="20"/>
          <w:szCs w:val="20"/>
        </w:rPr>
        <w:t>work</w:t>
      </w:r>
      <w:r w:rsidR="00FF41A0">
        <w:rPr>
          <w:sz w:val="20"/>
          <w:szCs w:val="20"/>
        </w:rPr>
        <w:t xml:space="preserve"> </w:t>
      </w:r>
      <w:r w:rsidR="00323457" w:rsidRPr="0059638B">
        <w:rPr>
          <w:sz w:val="20"/>
          <w:szCs w:val="20"/>
        </w:rPr>
        <w:t>arrangements,</w:t>
      </w:r>
      <w:r w:rsidR="00FF41A0">
        <w:rPr>
          <w:sz w:val="20"/>
          <w:szCs w:val="20"/>
        </w:rPr>
        <w:t xml:space="preserve"> </w:t>
      </w:r>
      <w:r w:rsidR="00323457" w:rsidRPr="0059638B">
        <w:rPr>
          <w:sz w:val="20"/>
          <w:szCs w:val="20"/>
        </w:rPr>
        <w:t>inheritance</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access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decision-making</w:t>
      </w:r>
      <w:r w:rsidR="00FF41A0">
        <w:rPr>
          <w:sz w:val="20"/>
          <w:szCs w:val="20"/>
        </w:rPr>
        <w:t xml:space="preserve"> </w:t>
      </w:r>
      <w:r w:rsidR="00323457" w:rsidRPr="0059638B">
        <w:rPr>
          <w:sz w:val="20"/>
          <w:szCs w:val="20"/>
        </w:rPr>
        <w:t>posts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children</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adoption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action</w:t>
      </w:r>
      <w:r w:rsidR="00FF41A0">
        <w:rPr>
          <w:sz w:val="20"/>
          <w:szCs w:val="20"/>
        </w:rPr>
        <w:t xml:space="preserve"> </w:t>
      </w:r>
      <w:r w:rsidR="00323457" w:rsidRPr="0059638B">
        <w:rPr>
          <w:sz w:val="20"/>
          <w:szCs w:val="20"/>
        </w:rPr>
        <w:t>plan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implement</w:t>
      </w:r>
      <w:r w:rsidR="00FF41A0">
        <w:rPr>
          <w:sz w:val="20"/>
          <w:szCs w:val="20"/>
        </w:rPr>
        <w:t xml:space="preserve"> </w:t>
      </w:r>
      <w:r w:rsidR="00323457" w:rsidRPr="0059638B">
        <w:rPr>
          <w:sz w:val="20"/>
          <w:szCs w:val="20"/>
        </w:rPr>
        <w:t>Security</w:t>
      </w:r>
      <w:r w:rsidR="00FF41A0">
        <w:rPr>
          <w:sz w:val="20"/>
          <w:szCs w:val="20"/>
        </w:rPr>
        <w:t xml:space="preserve"> </w:t>
      </w:r>
      <w:r w:rsidR="00323457" w:rsidRPr="0059638B">
        <w:rPr>
          <w:sz w:val="20"/>
          <w:szCs w:val="20"/>
        </w:rPr>
        <w:t>Council</w:t>
      </w:r>
      <w:r w:rsidR="00FF41A0">
        <w:rPr>
          <w:sz w:val="20"/>
          <w:szCs w:val="20"/>
        </w:rPr>
        <w:t xml:space="preserve"> </w:t>
      </w:r>
      <w:r w:rsidR="00C71D8A" w:rsidRPr="0059638B">
        <w:rPr>
          <w:sz w:val="20"/>
          <w:szCs w:val="20"/>
        </w:rPr>
        <w:t>resolution</w:t>
      </w:r>
      <w:r w:rsidR="00FF41A0">
        <w:rPr>
          <w:sz w:val="20"/>
          <w:szCs w:val="20"/>
        </w:rPr>
        <w:t xml:space="preserve"> </w:t>
      </w:r>
      <w:r w:rsidR="00323457" w:rsidRPr="0059638B">
        <w:rPr>
          <w:sz w:val="20"/>
          <w:szCs w:val="20"/>
        </w:rPr>
        <w:t>1325</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Peace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Security.</w:t>
      </w:r>
      <w:r w:rsidR="00FF41A0">
        <w:rPr>
          <w:sz w:val="20"/>
          <w:szCs w:val="20"/>
        </w:rPr>
        <w:t xml:space="preserve"> </w:t>
      </w:r>
    </w:p>
    <w:p w14:paraId="6CC743E7" w14:textId="3EFEA047" w:rsidR="00323457" w:rsidRPr="0059638B" w:rsidRDefault="00972F1E" w:rsidP="00323457">
      <w:pPr>
        <w:pStyle w:val="SingleTxtG"/>
        <w:rPr>
          <w:sz w:val="20"/>
          <w:szCs w:val="20"/>
        </w:rPr>
      </w:pPr>
      <w:r>
        <w:rPr>
          <w:sz w:val="20"/>
          <w:szCs w:val="20"/>
        </w:rPr>
        <w:t>626</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Association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World</w:t>
      </w:r>
      <w:r w:rsidR="00FF41A0">
        <w:rPr>
          <w:sz w:val="20"/>
          <w:szCs w:val="20"/>
        </w:rPr>
        <w:t xml:space="preserve"> </w:t>
      </w:r>
      <w:r w:rsidR="00323457" w:rsidRPr="0059638B">
        <w:rPr>
          <w:sz w:val="20"/>
          <w:szCs w:val="20"/>
        </w:rPr>
        <w:t>Citizens</w:t>
      </w:r>
      <w:r w:rsidR="00FF41A0">
        <w:rPr>
          <w:sz w:val="20"/>
          <w:szCs w:val="20"/>
        </w:rPr>
        <w:t xml:space="preserve"> </w:t>
      </w:r>
      <w:r w:rsidR="00323457" w:rsidRPr="0059638B">
        <w:rPr>
          <w:sz w:val="20"/>
          <w:szCs w:val="20"/>
        </w:rPr>
        <w:t>congratulated</w:t>
      </w:r>
      <w:r w:rsidR="00FF41A0">
        <w:rPr>
          <w:sz w:val="20"/>
          <w:szCs w:val="20"/>
        </w:rPr>
        <w:t xml:space="preserve"> </w:t>
      </w:r>
      <w:r w:rsidR="00323457" w:rsidRPr="0059638B">
        <w:rPr>
          <w:sz w:val="20"/>
          <w:szCs w:val="20"/>
        </w:rPr>
        <w:t>Jordan</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accepting</w:t>
      </w:r>
      <w:r w:rsidR="00FF41A0">
        <w:rPr>
          <w:sz w:val="20"/>
          <w:szCs w:val="20"/>
        </w:rPr>
        <w:t xml:space="preserve"> </w:t>
      </w:r>
      <w:r w:rsidR="00323457" w:rsidRPr="0059638B">
        <w:rPr>
          <w:sz w:val="20"/>
          <w:szCs w:val="20"/>
        </w:rPr>
        <w:t>one</w:t>
      </w:r>
      <w:r w:rsidR="00FF41A0">
        <w:rPr>
          <w:sz w:val="20"/>
          <w:szCs w:val="20"/>
        </w:rPr>
        <w:t xml:space="preserve"> </w:t>
      </w:r>
      <w:r w:rsidR="00323457" w:rsidRPr="0059638B">
        <w:rPr>
          <w:sz w:val="20"/>
          <w:szCs w:val="20"/>
        </w:rPr>
        <w:t>recommendation</w:t>
      </w:r>
      <w:r w:rsidR="00FF41A0">
        <w:rPr>
          <w:sz w:val="20"/>
          <w:szCs w:val="20"/>
        </w:rPr>
        <w:t xml:space="preserve"> </w:t>
      </w:r>
      <w:r w:rsidR="00323457" w:rsidRPr="0059638B">
        <w:rPr>
          <w:sz w:val="20"/>
          <w:szCs w:val="20"/>
        </w:rPr>
        <w:t>about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domestic</w:t>
      </w:r>
      <w:r w:rsidR="00FF41A0">
        <w:rPr>
          <w:sz w:val="20"/>
          <w:szCs w:val="20"/>
        </w:rPr>
        <w:t xml:space="preserve"> </w:t>
      </w:r>
      <w:r w:rsidR="00323457" w:rsidRPr="0059638B">
        <w:rPr>
          <w:sz w:val="20"/>
          <w:szCs w:val="20"/>
        </w:rPr>
        <w:t>violence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accepting</w:t>
      </w:r>
      <w:r w:rsidR="00FF41A0">
        <w:rPr>
          <w:sz w:val="20"/>
          <w:szCs w:val="20"/>
        </w:rPr>
        <w:t xml:space="preserve"> </w:t>
      </w:r>
      <w:r w:rsidR="00323457" w:rsidRPr="0059638B">
        <w:rPr>
          <w:sz w:val="20"/>
          <w:szCs w:val="20"/>
        </w:rPr>
        <w:t>wounded</w:t>
      </w:r>
      <w:r w:rsidR="00FF41A0">
        <w:rPr>
          <w:sz w:val="20"/>
          <w:szCs w:val="20"/>
        </w:rPr>
        <w:t xml:space="preserve"> </w:t>
      </w:r>
      <w:r w:rsidR="00323457" w:rsidRPr="0059638B">
        <w:rPr>
          <w:sz w:val="20"/>
          <w:szCs w:val="20"/>
        </w:rPr>
        <w:t>Yemenis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hospitals.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looked</w:t>
      </w:r>
      <w:r w:rsidR="00FF41A0">
        <w:rPr>
          <w:sz w:val="20"/>
          <w:szCs w:val="20"/>
        </w:rPr>
        <w:t xml:space="preserve"> </w:t>
      </w:r>
      <w:r w:rsidR="00323457" w:rsidRPr="0059638B">
        <w:rPr>
          <w:sz w:val="20"/>
          <w:szCs w:val="20"/>
        </w:rPr>
        <w:t>forward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finalization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draft</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Strategy</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Jordanian</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2020-2030</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draft</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Strategy</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Prevention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Trafficking</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compliance</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Agenda</w:t>
      </w:r>
      <w:r w:rsidR="00FF41A0">
        <w:rPr>
          <w:sz w:val="20"/>
          <w:szCs w:val="20"/>
        </w:rPr>
        <w:t xml:space="preserve"> </w:t>
      </w:r>
      <w:r w:rsidR="00323457" w:rsidRPr="0059638B">
        <w:rPr>
          <w:sz w:val="20"/>
          <w:szCs w:val="20"/>
        </w:rPr>
        <w:t>2030.</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regretted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rejection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lift</w:t>
      </w:r>
      <w:r w:rsidR="00FF41A0">
        <w:rPr>
          <w:sz w:val="20"/>
          <w:szCs w:val="20"/>
        </w:rPr>
        <w:t xml:space="preserve"> </w:t>
      </w:r>
      <w:r w:rsidR="00323457" w:rsidRPr="0059638B">
        <w:rPr>
          <w:sz w:val="20"/>
          <w:szCs w:val="20"/>
        </w:rPr>
        <w:t>reservations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Convention</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Elimination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Forms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Discrimination</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accede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Optional</w:t>
      </w:r>
      <w:r w:rsidR="00FF41A0">
        <w:rPr>
          <w:sz w:val="20"/>
          <w:szCs w:val="20"/>
        </w:rPr>
        <w:t xml:space="preserve"> </w:t>
      </w:r>
      <w:r w:rsidR="00323457" w:rsidRPr="0059638B">
        <w:rPr>
          <w:sz w:val="20"/>
          <w:szCs w:val="20"/>
        </w:rPr>
        <w:t>Protocol,</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well</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rejection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regarding</w:t>
      </w:r>
      <w:r w:rsidR="00FF41A0">
        <w:rPr>
          <w:sz w:val="20"/>
          <w:szCs w:val="20"/>
        </w:rPr>
        <w:t xml:space="preserve"> </w:t>
      </w:r>
      <w:r w:rsidR="00323457" w:rsidRPr="0059638B">
        <w:rPr>
          <w:sz w:val="20"/>
          <w:szCs w:val="20"/>
        </w:rPr>
        <w:t>changing</w:t>
      </w:r>
      <w:r w:rsidR="00FF41A0">
        <w:rPr>
          <w:sz w:val="20"/>
          <w:szCs w:val="20"/>
        </w:rPr>
        <w:t xml:space="preserve"> </w:t>
      </w:r>
      <w:r w:rsidR="00323457" w:rsidRPr="0059638B">
        <w:rPr>
          <w:sz w:val="20"/>
          <w:szCs w:val="20"/>
        </w:rPr>
        <w:t>laws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prevent</w:t>
      </w:r>
      <w:r w:rsidR="00FF41A0">
        <w:rPr>
          <w:sz w:val="20"/>
          <w:szCs w:val="20"/>
        </w:rPr>
        <w:t xml:space="preserve"> </w:t>
      </w:r>
      <w:r w:rsidR="00323457" w:rsidRPr="0059638B">
        <w:rPr>
          <w:sz w:val="20"/>
          <w:szCs w:val="20"/>
        </w:rPr>
        <w:t>child</w:t>
      </w:r>
      <w:r w:rsidR="00FF41A0">
        <w:rPr>
          <w:sz w:val="20"/>
          <w:szCs w:val="20"/>
        </w:rPr>
        <w:t xml:space="preserve"> </w:t>
      </w:r>
      <w:r w:rsidR="00323457" w:rsidRPr="0059638B">
        <w:rPr>
          <w:sz w:val="20"/>
          <w:szCs w:val="20"/>
        </w:rPr>
        <w:t>marriage,</w:t>
      </w:r>
      <w:r w:rsidR="00FF41A0">
        <w:rPr>
          <w:sz w:val="20"/>
          <w:szCs w:val="20"/>
        </w:rPr>
        <w:t xml:space="preserve"> </w:t>
      </w:r>
      <w:r w:rsidR="00323457" w:rsidRPr="0059638B">
        <w:rPr>
          <w:sz w:val="20"/>
          <w:szCs w:val="20"/>
        </w:rPr>
        <w:t>guardianship</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adult</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children,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non-discrimination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gender</w:t>
      </w:r>
      <w:r w:rsidR="00FF41A0">
        <w:rPr>
          <w:sz w:val="20"/>
          <w:szCs w:val="20"/>
        </w:rPr>
        <w:t xml:space="preserve"> </w:t>
      </w:r>
      <w:r w:rsidR="00323457" w:rsidRPr="0059638B">
        <w:rPr>
          <w:sz w:val="20"/>
          <w:szCs w:val="20"/>
        </w:rPr>
        <w:t>equality</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girls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women.</w:t>
      </w:r>
      <w:r w:rsidR="00FF41A0">
        <w:rPr>
          <w:sz w:val="20"/>
          <w:szCs w:val="20"/>
        </w:rPr>
        <w:t xml:space="preserve"> </w:t>
      </w:r>
    </w:p>
    <w:p w14:paraId="3384F8B8" w14:textId="3DE61C59" w:rsidR="00323457" w:rsidRPr="0059638B" w:rsidRDefault="00972F1E" w:rsidP="00323457">
      <w:pPr>
        <w:pStyle w:val="SingleTxtG"/>
        <w:rPr>
          <w:sz w:val="20"/>
          <w:szCs w:val="20"/>
        </w:rPr>
      </w:pPr>
      <w:r>
        <w:rPr>
          <w:sz w:val="20"/>
          <w:szCs w:val="20"/>
        </w:rPr>
        <w:t>627</w:t>
      </w:r>
      <w:r w:rsidR="00D7475F">
        <w:rPr>
          <w:sz w:val="20"/>
          <w:szCs w:val="20"/>
        </w:rPr>
        <w:t>.</w:t>
      </w:r>
      <w:r w:rsidR="00D7475F">
        <w:rPr>
          <w:sz w:val="20"/>
          <w:szCs w:val="20"/>
        </w:rPr>
        <w:tab/>
      </w:r>
      <w:r w:rsidR="00323457" w:rsidRPr="0059638B">
        <w:rPr>
          <w:sz w:val="20"/>
          <w:szCs w:val="20"/>
        </w:rPr>
        <w:t>International</w:t>
      </w:r>
      <w:r w:rsidR="00FF41A0">
        <w:rPr>
          <w:sz w:val="20"/>
          <w:szCs w:val="20"/>
        </w:rPr>
        <w:t xml:space="preserve"> </w:t>
      </w:r>
      <w:r w:rsidR="00323457" w:rsidRPr="0059638B">
        <w:rPr>
          <w:sz w:val="20"/>
          <w:szCs w:val="20"/>
        </w:rPr>
        <w:t>Organisation</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Elimination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Forms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Racial</w:t>
      </w:r>
      <w:r w:rsidR="00FF41A0">
        <w:rPr>
          <w:sz w:val="20"/>
          <w:szCs w:val="20"/>
        </w:rPr>
        <w:t xml:space="preserve"> </w:t>
      </w:r>
      <w:r w:rsidR="00323457" w:rsidRPr="0059638B">
        <w:rPr>
          <w:sz w:val="20"/>
          <w:szCs w:val="20"/>
        </w:rPr>
        <w:t>Discrimination</w:t>
      </w:r>
      <w:r w:rsidR="00FF41A0">
        <w:rPr>
          <w:sz w:val="20"/>
          <w:szCs w:val="20"/>
        </w:rPr>
        <w:t xml:space="preserve"> </w:t>
      </w:r>
      <w:r w:rsidR="00323457" w:rsidRPr="0059638B">
        <w:rPr>
          <w:sz w:val="20"/>
          <w:szCs w:val="20"/>
        </w:rPr>
        <w:t>appreciated</w:t>
      </w:r>
      <w:r w:rsidR="00FF41A0">
        <w:rPr>
          <w:sz w:val="20"/>
          <w:szCs w:val="20"/>
        </w:rPr>
        <w:t xml:space="preserve"> </w:t>
      </w:r>
      <w:r w:rsidR="00323457" w:rsidRPr="0059638B">
        <w:rPr>
          <w:sz w:val="20"/>
          <w:szCs w:val="20"/>
        </w:rPr>
        <w:t>progress</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advance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situation.</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referred,</w:t>
      </w:r>
      <w:r w:rsidR="00FF41A0">
        <w:rPr>
          <w:sz w:val="20"/>
          <w:szCs w:val="20"/>
        </w:rPr>
        <w:t xml:space="preserve"> </w:t>
      </w:r>
      <w:r w:rsidR="00323457" w:rsidRPr="0059638B">
        <w:rPr>
          <w:sz w:val="20"/>
          <w:szCs w:val="20"/>
        </w:rPr>
        <w:t>however,</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challenges</w:t>
      </w:r>
      <w:r w:rsidR="00FF41A0">
        <w:rPr>
          <w:sz w:val="20"/>
          <w:szCs w:val="20"/>
        </w:rPr>
        <w:t xml:space="preserve"> </w:t>
      </w:r>
      <w:r w:rsidR="00323457" w:rsidRPr="0059638B">
        <w:rPr>
          <w:sz w:val="20"/>
          <w:szCs w:val="20"/>
        </w:rPr>
        <w:t>regarding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fundamental</w:t>
      </w:r>
      <w:r w:rsidR="00FF41A0">
        <w:rPr>
          <w:sz w:val="20"/>
          <w:szCs w:val="20"/>
        </w:rPr>
        <w:t xml:space="preserve"> </w:t>
      </w:r>
      <w:r w:rsidR="00323457" w:rsidRPr="0059638B">
        <w:rPr>
          <w:sz w:val="20"/>
          <w:szCs w:val="20"/>
        </w:rPr>
        <w:t>freedoms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participate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public</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political</w:t>
      </w:r>
      <w:r w:rsidR="00FF41A0">
        <w:rPr>
          <w:sz w:val="20"/>
          <w:szCs w:val="20"/>
        </w:rPr>
        <w:t xml:space="preserve"> </w:t>
      </w:r>
      <w:r w:rsidR="00323457" w:rsidRPr="0059638B">
        <w:rPr>
          <w:sz w:val="20"/>
          <w:szCs w:val="20"/>
        </w:rPr>
        <w:t>life.</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encouraged</w:t>
      </w:r>
      <w:r w:rsidR="00FF41A0">
        <w:rPr>
          <w:sz w:val="20"/>
          <w:szCs w:val="20"/>
        </w:rPr>
        <w:t xml:space="preserve"> </w:t>
      </w:r>
      <w:r w:rsidR="00323457" w:rsidRPr="0059638B">
        <w:rPr>
          <w:sz w:val="20"/>
          <w:szCs w:val="20"/>
        </w:rPr>
        <w:t>Jordan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effectively</w:t>
      </w:r>
      <w:r w:rsidR="00FF41A0">
        <w:rPr>
          <w:sz w:val="20"/>
          <w:szCs w:val="20"/>
        </w:rPr>
        <w:t xml:space="preserve"> </w:t>
      </w:r>
      <w:r w:rsidR="00323457" w:rsidRPr="0059638B">
        <w:rPr>
          <w:sz w:val="20"/>
          <w:szCs w:val="20"/>
        </w:rPr>
        <w:t>implement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Comprehensive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Plan;</w:t>
      </w:r>
      <w:r w:rsidR="00FF41A0">
        <w:rPr>
          <w:sz w:val="20"/>
          <w:szCs w:val="20"/>
        </w:rPr>
        <w:t xml:space="preserve"> </w:t>
      </w:r>
      <w:r w:rsidR="00323457" w:rsidRPr="0059638B">
        <w:rPr>
          <w:sz w:val="20"/>
          <w:szCs w:val="20"/>
        </w:rPr>
        <w:t>strengthen</w:t>
      </w:r>
      <w:r w:rsidR="00FF41A0">
        <w:rPr>
          <w:sz w:val="20"/>
          <w:szCs w:val="20"/>
        </w:rPr>
        <w:t xml:space="preserve"> </w:t>
      </w:r>
      <w:r w:rsidR="00323457" w:rsidRPr="0059638B">
        <w:rPr>
          <w:sz w:val="20"/>
          <w:szCs w:val="20"/>
        </w:rPr>
        <w:t>programmes</w:t>
      </w:r>
      <w:r w:rsidR="00FF41A0">
        <w:rPr>
          <w:sz w:val="20"/>
          <w:szCs w:val="20"/>
        </w:rPr>
        <w:t xml:space="preserve"> </w:t>
      </w:r>
      <w:r w:rsidR="00323457" w:rsidRPr="0059638B">
        <w:rPr>
          <w:sz w:val="20"/>
          <w:szCs w:val="20"/>
        </w:rPr>
        <w:t>aimed</w:t>
      </w:r>
      <w:r w:rsidR="00FF41A0">
        <w:rPr>
          <w:sz w:val="20"/>
          <w:szCs w:val="20"/>
        </w:rPr>
        <w:t xml:space="preserve"> </w:t>
      </w:r>
      <w:r w:rsidR="00323457" w:rsidRPr="0059638B">
        <w:rPr>
          <w:sz w:val="20"/>
          <w:szCs w:val="20"/>
        </w:rPr>
        <w:t>at</w:t>
      </w:r>
      <w:r w:rsidR="00FF41A0">
        <w:rPr>
          <w:sz w:val="20"/>
          <w:szCs w:val="20"/>
        </w:rPr>
        <w:t xml:space="preserve"> </w:t>
      </w:r>
      <w:r w:rsidR="00323457" w:rsidRPr="0059638B">
        <w:rPr>
          <w:sz w:val="20"/>
          <w:szCs w:val="20"/>
        </w:rPr>
        <w:t>building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capacity</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law</w:t>
      </w:r>
      <w:r w:rsidR="00FF41A0">
        <w:rPr>
          <w:sz w:val="20"/>
          <w:szCs w:val="20"/>
        </w:rPr>
        <w:t xml:space="preserve"> </w:t>
      </w:r>
      <w:r w:rsidR="00323457" w:rsidRPr="0059638B">
        <w:rPr>
          <w:sz w:val="20"/>
          <w:szCs w:val="20"/>
        </w:rPr>
        <w:t>enforcement</w:t>
      </w:r>
      <w:r w:rsidR="00FF41A0">
        <w:rPr>
          <w:sz w:val="20"/>
          <w:szCs w:val="20"/>
        </w:rPr>
        <w:t xml:space="preserve"> </w:t>
      </w:r>
      <w:r w:rsidR="00323457" w:rsidRPr="0059638B">
        <w:rPr>
          <w:sz w:val="20"/>
          <w:szCs w:val="20"/>
        </w:rPr>
        <w:t>officers,</w:t>
      </w:r>
      <w:r w:rsidR="00FF41A0">
        <w:rPr>
          <w:sz w:val="20"/>
          <w:szCs w:val="20"/>
        </w:rPr>
        <w:t xml:space="preserve"> </w:t>
      </w:r>
      <w:r w:rsidR="00323457" w:rsidRPr="0059638B">
        <w:rPr>
          <w:sz w:val="20"/>
          <w:szCs w:val="20"/>
        </w:rPr>
        <w:t>including</w:t>
      </w:r>
      <w:r w:rsidR="00FF41A0">
        <w:rPr>
          <w:sz w:val="20"/>
          <w:szCs w:val="20"/>
        </w:rPr>
        <w:t xml:space="preserve"> </w:t>
      </w:r>
      <w:r w:rsidR="00323457" w:rsidRPr="0059638B">
        <w:rPr>
          <w:sz w:val="20"/>
          <w:szCs w:val="20"/>
        </w:rPr>
        <w:t>judges,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complying</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standards</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women</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protect</w:t>
      </w:r>
      <w:r w:rsidR="00FF41A0">
        <w:rPr>
          <w:sz w:val="20"/>
          <w:szCs w:val="20"/>
        </w:rPr>
        <w:t xml:space="preserve"> </w:t>
      </w:r>
      <w:r w:rsidR="00323457" w:rsidRPr="0059638B">
        <w:rPr>
          <w:sz w:val="20"/>
          <w:szCs w:val="20"/>
        </w:rPr>
        <w:t>vulnerable</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threatened</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honour</w:t>
      </w:r>
      <w:r w:rsidR="00FF41A0">
        <w:rPr>
          <w:sz w:val="20"/>
          <w:szCs w:val="20"/>
        </w:rPr>
        <w:t xml:space="preserve"> </w:t>
      </w:r>
      <w:r w:rsidR="00323457" w:rsidRPr="0059638B">
        <w:rPr>
          <w:sz w:val="20"/>
          <w:szCs w:val="20"/>
        </w:rPr>
        <w:t>crimes.</w:t>
      </w:r>
      <w:r w:rsidR="00FF41A0">
        <w:rPr>
          <w:sz w:val="20"/>
          <w:szCs w:val="20"/>
        </w:rPr>
        <w:t xml:space="preserve"> </w:t>
      </w:r>
    </w:p>
    <w:p w14:paraId="0F4671CE" w14:textId="779D0952" w:rsidR="00323457" w:rsidRPr="0059638B" w:rsidRDefault="00972F1E" w:rsidP="00323457">
      <w:pPr>
        <w:pStyle w:val="SingleTxtG"/>
        <w:rPr>
          <w:sz w:val="20"/>
          <w:szCs w:val="20"/>
        </w:rPr>
      </w:pPr>
      <w:r>
        <w:rPr>
          <w:sz w:val="20"/>
          <w:szCs w:val="20"/>
        </w:rPr>
        <w:t>628</w:t>
      </w:r>
      <w:r w:rsidR="00D7475F">
        <w:rPr>
          <w:sz w:val="20"/>
          <w:szCs w:val="20"/>
        </w:rPr>
        <w:t>.</w:t>
      </w:r>
      <w:r w:rsidR="00D7475F">
        <w:rPr>
          <w:sz w:val="20"/>
          <w:szCs w:val="20"/>
        </w:rPr>
        <w:tab/>
      </w:r>
      <w:r w:rsidR="00323457" w:rsidRPr="0059638B">
        <w:rPr>
          <w:sz w:val="20"/>
          <w:szCs w:val="20"/>
        </w:rPr>
        <w:t>Amman</w:t>
      </w:r>
      <w:r w:rsidR="00FF41A0">
        <w:rPr>
          <w:sz w:val="20"/>
          <w:szCs w:val="20"/>
        </w:rPr>
        <w:t xml:space="preserve"> </w:t>
      </w:r>
      <w:r w:rsidR="00323457" w:rsidRPr="0059638B">
        <w:rPr>
          <w:sz w:val="20"/>
          <w:szCs w:val="20"/>
        </w:rPr>
        <w:t>Center</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Studies</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amendments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Temporary</w:t>
      </w:r>
      <w:r w:rsidR="00FF41A0">
        <w:rPr>
          <w:sz w:val="20"/>
          <w:szCs w:val="20"/>
        </w:rPr>
        <w:t xml:space="preserve"> </w:t>
      </w:r>
      <w:r w:rsidR="00323457" w:rsidRPr="0059638B">
        <w:rPr>
          <w:sz w:val="20"/>
          <w:szCs w:val="20"/>
        </w:rPr>
        <w:t>Labour</w:t>
      </w:r>
      <w:r w:rsidR="00FF41A0">
        <w:rPr>
          <w:sz w:val="20"/>
          <w:szCs w:val="20"/>
        </w:rPr>
        <w:t xml:space="preserve"> </w:t>
      </w:r>
      <w:r w:rsidR="00323457" w:rsidRPr="0059638B">
        <w:rPr>
          <w:sz w:val="20"/>
          <w:szCs w:val="20"/>
        </w:rPr>
        <w:t>Law</w:t>
      </w:r>
      <w:r w:rsidR="00FF41A0">
        <w:rPr>
          <w:sz w:val="20"/>
          <w:szCs w:val="20"/>
        </w:rPr>
        <w:t xml:space="preserve"> </w:t>
      </w:r>
      <w:r w:rsidR="00323457" w:rsidRPr="0059638B">
        <w:rPr>
          <w:sz w:val="20"/>
          <w:szCs w:val="20"/>
        </w:rPr>
        <w:t>No.26,</w:t>
      </w:r>
      <w:r w:rsidR="00FF41A0">
        <w:rPr>
          <w:sz w:val="20"/>
          <w:szCs w:val="20"/>
        </w:rPr>
        <w:t xml:space="preserve"> </w:t>
      </w:r>
      <w:r w:rsidR="00323457" w:rsidRPr="0059638B">
        <w:rPr>
          <w:sz w:val="20"/>
          <w:szCs w:val="20"/>
        </w:rPr>
        <w:t>such</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new</w:t>
      </w:r>
      <w:r w:rsidR="00FF41A0">
        <w:rPr>
          <w:sz w:val="20"/>
          <w:szCs w:val="20"/>
        </w:rPr>
        <w:t xml:space="preserve"> </w:t>
      </w:r>
      <w:r w:rsidR="00323457" w:rsidRPr="0059638B">
        <w:rPr>
          <w:sz w:val="20"/>
          <w:szCs w:val="20"/>
        </w:rPr>
        <w:t>definition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flexible</w:t>
      </w:r>
      <w:r w:rsidR="00FF41A0">
        <w:rPr>
          <w:sz w:val="20"/>
          <w:szCs w:val="20"/>
        </w:rPr>
        <w:t xml:space="preserve"> </w:t>
      </w:r>
      <w:r w:rsidR="00323457" w:rsidRPr="0059638B">
        <w:rPr>
          <w:sz w:val="20"/>
          <w:szCs w:val="20"/>
        </w:rPr>
        <w:t>work</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discrimination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wages,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banning</w:t>
      </w:r>
      <w:r w:rsidR="00FF41A0">
        <w:rPr>
          <w:sz w:val="20"/>
          <w:szCs w:val="20"/>
        </w:rPr>
        <w:t xml:space="preserve"> </w:t>
      </w:r>
      <w:r w:rsidR="00323457" w:rsidRPr="0059638B">
        <w:rPr>
          <w:sz w:val="20"/>
          <w:szCs w:val="20"/>
        </w:rPr>
        <w:t>gender-based</w:t>
      </w:r>
      <w:r w:rsidR="00FF41A0">
        <w:rPr>
          <w:sz w:val="20"/>
          <w:szCs w:val="20"/>
        </w:rPr>
        <w:t xml:space="preserve"> </w:t>
      </w:r>
      <w:r w:rsidR="00323457" w:rsidRPr="0059638B">
        <w:rPr>
          <w:sz w:val="20"/>
          <w:szCs w:val="20"/>
        </w:rPr>
        <w:t>discrimination.</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concerned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labour</w:t>
      </w:r>
      <w:r w:rsidR="00FF41A0">
        <w:rPr>
          <w:sz w:val="20"/>
          <w:szCs w:val="20"/>
        </w:rPr>
        <w:t xml:space="preserve"> </w:t>
      </w:r>
      <w:r w:rsidR="00323457" w:rsidRPr="0059638B">
        <w:rPr>
          <w:sz w:val="20"/>
          <w:szCs w:val="20"/>
        </w:rPr>
        <w:t>forces</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deprived</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collective</w:t>
      </w:r>
      <w:r w:rsidR="00FF41A0">
        <w:rPr>
          <w:sz w:val="20"/>
          <w:szCs w:val="20"/>
        </w:rPr>
        <w:t xml:space="preserve"> </w:t>
      </w:r>
      <w:r w:rsidR="00323457" w:rsidRPr="0059638B">
        <w:rPr>
          <w:sz w:val="20"/>
          <w:szCs w:val="20"/>
        </w:rPr>
        <w:t>negotiation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workers</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faced</w:t>
      </w:r>
      <w:r w:rsidR="00FF41A0">
        <w:rPr>
          <w:sz w:val="20"/>
          <w:szCs w:val="20"/>
        </w:rPr>
        <w:t xml:space="preserve"> </w:t>
      </w:r>
      <w:r w:rsidR="00323457" w:rsidRPr="0059638B">
        <w:rPr>
          <w:sz w:val="20"/>
          <w:szCs w:val="20"/>
        </w:rPr>
        <w:t>restrictions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establish</w:t>
      </w:r>
      <w:r w:rsidR="00FF41A0">
        <w:rPr>
          <w:sz w:val="20"/>
          <w:szCs w:val="20"/>
        </w:rPr>
        <w:t xml:space="preserve"> </w:t>
      </w:r>
      <w:r w:rsidR="00323457" w:rsidRPr="0059638B">
        <w:rPr>
          <w:sz w:val="20"/>
          <w:szCs w:val="20"/>
        </w:rPr>
        <w:t>trade</w:t>
      </w:r>
      <w:r w:rsidR="00FF41A0">
        <w:rPr>
          <w:sz w:val="20"/>
          <w:szCs w:val="20"/>
        </w:rPr>
        <w:t xml:space="preserve"> </w:t>
      </w:r>
      <w:r w:rsidR="00323457" w:rsidRPr="0059638B">
        <w:rPr>
          <w:sz w:val="20"/>
          <w:szCs w:val="20"/>
        </w:rPr>
        <w:t>unions,</w:t>
      </w:r>
      <w:r w:rsidR="00FF41A0">
        <w:rPr>
          <w:sz w:val="20"/>
          <w:szCs w:val="20"/>
        </w:rPr>
        <w:t xml:space="preserve"> </w:t>
      </w:r>
      <w:r w:rsidR="00323457" w:rsidRPr="0059638B">
        <w:rPr>
          <w:sz w:val="20"/>
          <w:szCs w:val="20"/>
        </w:rPr>
        <w:t>including</w:t>
      </w:r>
      <w:r w:rsidR="00FF41A0">
        <w:rPr>
          <w:sz w:val="20"/>
          <w:szCs w:val="20"/>
        </w:rPr>
        <w:t xml:space="preserve"> </w:t>
      </w:r>
      <w:r w:rsidR="00323457" w:rsidRPr="0059638B">
        <w:rPr>
          <w:sz w:val="20"/>
          <w:szCs w:val="20"/>
        </w:rPr>
        <w:t>university</w:t>
      </w:r>
      <w:r w:rsidR="00FF41A0">
        <w:rPr>
          <w:sz w:val="20"/>
          <w:szCs w:val="20"/>
        </w:rPr>
        <w:t xml:space="preserve"> </w:t>
      </w:r>
      <w:r w:rsidR="00323457" w:rsidRPr="0059638B">
        <w:rPr>
          <w:sz w:val="20"/>
          <w:szCs w:val="20"/>
        </w:rPr>
        <w:t>professors.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further</w:t>
      </w:r>
      <w:r w:rsidR="00FF41A0">
        <w:rPr>
          <w:sz w:val="20"/>
          <w:szCs w:val="20"/>
        </w:rPr>
        <w:t xml:space="preserve"> </w:t>
      </w:r>
      <w:r w:rsidR="00323457" w:rsidRPr="0059638B">
        <w:rPr>
          <w:sz w:val="20"/>
          <w:szCs w:val="20"/>
        </w:rPr>
        <w:t>concerned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resumed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implementation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capital</w:t>
      </w:r>
      <w:r w:rsidR="00FF41A0">
        <w:rPr>
          <w:sz w:val="20"/>
          <w:szCs w:val="20"/>
        </w:rPr>
        <w:t xml:space="preserve"> </w:t>
      </w:r>
      <w:r w:rsidR="00323457" w:rsidRPr="0059638B">
        <w:rPr>
          <w:sz w:val="20"/>
          <w:szCs w:val="20"/>
        </w:rPr>
        <w:t>punishment,</w:t>
      </w:r>
      <w:r w:rsidR="00FF41A0">
        <w:rPr>
          <w:sz w:val="20"/>
          <w:szCs w:val="20"/>
        </w:rPr>
        <w:t xml:space="preserve"> </w:t>
      </w:r>
      <w:r w:rsidR="00323457" w:rsidRPr="0059638B">
        <w:rPr>
          <w:sz w:val="20"/>
          <w:szCs w:val="20"/>
        </w:rPr>
        <w:t>although</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suspended</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ten</w:t>
      </w:r>
      <w:r w:rsidR="00FF41A0">
        <w:rPr>
          <w:sz w:val="20"/>
          <w:szCs w:val="20"/>
        </w:rPr>
        <w:t xml:space="preserve"> </w:t>
      </w:r>
      <w:r w:rsidR="00323457" w:rsidRPr="0059638B">
        <w:rPr>
          <w:sz w:val="20"/>
          <w:szCs w:val="20"/>
        </w:rPr>
        <w:t>years,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urged</w:t>
      </w:r>
      <w:r w:rsidR="00FF41A0">
        <w:rPr>
          <w:sz w:val="20"/>
          <w:szCs w:val="20"/>
        </w:rPr>
        <w:t xml:space="preserve"> </w:t>
      </w:r>
      <w:r w:rsidR="00323457" w:rsidRPr="0059638B">
        <w:rPr>
          <w:sz w:val="20"/>
          <w:szCs w:val="20"/>
        </w:rPr>
        <w:t>Jordan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stop</w:t>
      </w:r>
      <w:r w:rsidR="00FF41A0">
        <w:rPr>
          <w:sz w:val="20"/>
          <w:szCs w:val="20"/>
        </w:rPr>
        <w:t xml:space="preserve"> </w:t>
      </w:r>
      <w:r w:rsidR="00323457" w:rsidRPr="0059638B">
        <w:rPr>
          <w:sz w:val="20"/>
          <w:szCs w:val="20"/>
        </w:rPr>
        <w:t>executions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remove</w:t>
      </w:r>
      <w:r w:rsidR="00FF41A0">
        <w:rPr>
          <w:sz w:val="20"/>
          <w:szCs w:val="20"/>
        </w:rPr>
        <w:t xml:space="preserve"> </w:t>
      </w:r>
      <w:r w:rsidR="00323457" w:rsidRPr="0059638B">
        <w:rPr>
          <w:sz w:val="20"/>
          <w:szCs w:val="20"/>
        </w:rPr>
        <w:t>capital</w:t>
      </w:r>
      <w:r w:rsidR="00FF41A0">
        <w:rPr>
          <w:sz w:val="20"/>
          <w:szCs w:val="20"/>
        </w:rPr>
        <w:t xml:space="preserve"> </w:t>
      </w:r>
      <w:r w:rsidR="00323457" w:rsidRPr="0059638B">
        <w:rPr>
          <w:sz w:val="20"/>
          <w:szCs w:val="20"/>
        </w:rPr>
        <w:t>punishment</w:t>
      </w:r>
      <w:r w:rsidR="00FF41A0">
        <w:rPr>
          <w:sz w:val="20"/>
          <w:szCs w:val="20"/>
        </w:rPr>
        <w:t xml:space="preserve"> </w:t>
      </w:r>
      <w:r w:rsidR="00323457" w:rsidRPr="0059638B">
        <w:rPr>
          <w:sz w:val="20"/>
          <w:szCs w:val="20"/>
        </w:rPr>
        <w:t>from</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Penal</w:t>
      </w:r>
      <w:r w:rsidR="00FF41A0">
        <w:rPr>
          <w:sz w:val="20"/>
          <w:szCs w:val="20"/>
        </w:rPr>
        <w:t xml:space="preserve"> </w:t>
      </w:r>
      <w:r w:rsidR="00323457" w:rsidRPr="0059638B">
        <w:rPr>
          <w:sz w:val="20"/>
          <w:szCs w:val="20"/>
        </w:rPr>
        <w:t>Code.</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urged</w:t>
      </w:r>
      <w:r w:rsidR="00FF41A0">
        <w:rPr>
          <w:sz w:val="20"/>
          <w:szCs w:val="20"/>
        </w:rPr>
        <w:t xml:space="preserve"> </w:t>
      </w:r>
      <w:r w:rsidR="00323457" w:rsidRPr="0059638B">
        <w:rPr>
          <w:sz w:val="20"/>
          <w:szCs w:val="20"/>
        </w:rPr>
        <w:t>Jordan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implement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accepted</w:t>
      </w:r>
      <w:r w:rsidR="00FF41A0">
        <w:rPr>
          <w:sz w:val="20"/>
          <w:szCs w:val="20"/>
        </w:rPr>
        <w:t xml:space="preserve"> </w:t>
      </w:r>
      <w:r w:rsidR="00323457" w:rsidRPr="0059638B">
        <w:rPr>
          <w:sz w:val="20"/>
          <w:szCs w:val="20"/>
        </w:rPr>
        <w:t>recommendations.</w:t>
      </w:r>
      <w:r w:rsidR="00FF41A0">
        <w:rPr>
          <w:sz w:val="20"/>
          <w:szCs w:val="20"/>
        </w:rPr>
        <w:t xml:space="preserve"> </w:t>
      </w:r>
    </w:p>
    <w:p w14:paraId="4068B0D4" w14:textId="404C7311" w:rsidR="00323457" w:rsidRPr="0059638B" w:rsidRDefault="00972F1E" w:rsidP="00323457">
      <w:pPr>
        <w:pStyle w:val="SingleTxtG"/>
        <w:rPr>
          <w:sz w:val="20"/>
          <w:szCs w:val="20"/>
        </w:rPr>
      </w:pPr>
      <w:r>
        <w:rPr>
          <w:sz w:val="20"/>
          <w:szCs w:val="20"/>
        </w:rPr>
        <w:t>629</w:t>
      </w:r>
      <w:r w:rsidR="00D7475F">
        <w:rPr>
          <w:sz w:val="20"/>
          <w:szCs w:val="20"/>
        </w:rPr>
        <w:t>.</w:t>
      </w:r>
      <w:r w:rsidR="00D7475F">
        <w:rPr>
          <w:sz w:val="20"/>
          <w:szCs w:val="20"/>
        </w:rPr>
        <w:tab/>
      </w:r>
      <w:r w:rsidR="00323457" w:rsidRPr="0059638B">
        <w:rPr>
          <w:sz w:val="20"/>
          <w:szCs w:val="20"/>
        </w:rPr>
        <w:t>Geneva</w:t>
      </w:r>
      <w:r w:rsidR="00FF41A0">
        <w:rPr>
          <w:sz w:val="20"/>
          <w:szCs w:val="20"/>
        </w:rPr>
        <w:t xml:space="preserve"> </w:t>
      </w:r>
      <w:r w:rsidR="00323457" w:rsidRPr="0059638B">
        <w:rPr>
          <w:sz w:val="20"/>
          <w:szCs w:val="20"/>
        </w:rPr>
        <w:t>Centre</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Advancement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Global</w:t>
      </w:r>
      <w:r w:rsidR="00FF41A0">
        <w:rPr>
          <w:sz w:val="20"/>
          <w:szCs w:val="20"/>
        </w:rPr>
        <w:t xml:space="preserve"> </w:t>
      </w:r>
      <w:r w:rsidR="00323457" w:rsidRPr="0059638B">
        <w:rPr>
          <w:sz w:val="20"/>
          <w:szCs w:val="20"/>
        </w:rPr>
        <w:t>Dialogue</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progress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improve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particular</w:t>
      </w:r>
      <w:r w:rsidR="00FF41A0">
        <w:rPr>
          <w:sz w:val="20"/>
          <w:szCs w:val="20"/>
        </w:rPr>
        <w:t xml:space="preserve"> </w:t>
      </w:r>
      <w:r w:rsidR="00323457" w:rsidRPr="0059638B">
        <w:rPr>
          <w:sz w:val="20"/>
          <w:szCs w:val="20"/>
        </w:rPr>
        <w:t>regarding</w:t>
      </w:r>
      <w:r w:rsidR="00FF41A0">
        <w:rPr>
          <w:sz w:val="20"/>
          <w:szCs w:val="20"/>
        </w:rPr>
        <w:t xml:space="preserve"> </w:t>
      </w:r>
      <w:r w:rsidR="00323457" w:rsidRPr="0059638B">
        <w:rPr>
          <w:sz w:val="20"/>
          <w:szCs w:val="20"/>
        </w:rPr>
        <w:t>women</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work,</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education,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reforms</w:t>
      </w:r>
      <w:r w:rsidR="00FF41A0">
        <w:rPr>
          <w:sz w:val="20"/>
          <w:szCs w:val="20"/>
        </w:rPr>
        <w:t xml:space="preserve"> </w:t>
      </w:r>
      <w:r w:rsidR="00323457" w:rsidRPr="0059638B">
        <w:rPr>
          <w:sz w:val="20"/>
          <w:szCs w:val="20"/>
        </w:rPr>
        <w:t>mainstreamed</w:t>
      </w:r>
      <w:r w:rsidR="00FF41A0">
        <w:rPr>
          <w:sz w:val="20"/>
          <w:szCs w:val="20"/>
        </w:rPr>
        <w:t xml:space="preserve"> </w:t>
      </w:r>
      <w:r w:rsidR="00323457" w:rsidRPr="0059638B">
        <w:rPr>
          <w:sz w:val="20"/>
          <w:szCs w:val="20"/>
        </w:rPr>
        <w:t>through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Comprehensive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Plan</w:t>
      </w:r>
      <w:r w:rsidR="00FF41A0">
        <w:rPr>
          <w:sz w:val="20"/>
          <w:szCs w:val="20"/>
        </w:rPr>
        <w:t xml:space="preserve"> </w:t>
      </w:r>
      <w:r w:rsidR="00323457" w:rsidRPr="0059638B">
        <w:rPr>
          <w:sz w:val="20"/>
          <w:szCs w:val="20"/>
        </w:rPr>
        <w:t>2016-2025.</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encouraged</w:t>
      </w:r>
      <w:r w:rsidR="00FF41A0">
        <w:rPr>
          <w:sz w:val="20"/>
          <w:szCs w:val="20"/>
        </w:rPr>
        <w:t xml:space="preserve"> </w:t>
      </w:r>
      <w:r w:rsidR="00323457" w:rsidRPr="0059638B">
        <w:rPr>
          <w:sz w:val="20"/>
          <w:szCs w:val="20"/>
        </w:rPr>
        <w:t>Jordan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implement</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independence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judiciary,</w:t>
      </w:r>
      <w:r w:rsidR="00FF41A0">
        <w:rPr>
          <w:sz w:val="20"/>
          <w:szCs w:val="20"/>
        </w:rPr>
        <w:t xml:space="preserve"> </w:t>
      </w:r>
      <w:r w:rsidR="00323457" w:rsidRPr="0059638B">
        <w:rPr>
          <w:sz w:val="20"/>
          <w:szCs w:val="20"/>
        </w:rPr>
        <w:t>capacity</w:t>
      </w:r>
      <w:r w:rsidR="00FF41A0">
        <w:rPr>
          <w:sz w:val="20"/>
          <w:szCs w:val="20"/>
        </w:rPr>
        <w:t xml:space="preserve"> </w:t>
      </w:r>
      <w:r w:rsidR="00323457" w:rsidRPr="0059638B">
        <w:rPr>
          <w:sz w:val="20"/>
          <w:szCs w:val="20"/>
        </w:rPr>
        <w:t>building</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law</w:t>
      </w:r>
      <w:r w:rsidR="00FF41A0">
        <w:rPr>
          <w:sz w:val="20"/>
          <w:szCs w:val="20"/>
        </w:rPr>
        <w:t xml:space="preserve"> </w:t>
      </w:r>
      <w:r w:rsidR="00323457" w:rsidRPr="0059638B">
        <w:rPr>
          <w:sz w:val="20"/>
          <w:szCs w:val="20"/>
        </w:rPr>
        <w:t>enforcement</w:t>
      </w:r>
      <w:r w:rsidR="00FF41A0">
        <w:rPr>
          <w:sz w:val="20"/>
          <w:szCs w:val="20"/>
        </w:rPr>
        <w:t xml:space="preserve"> </w:t>
      </w:r>
      <w:r w:rsidR="00323457" w:rsidRPr="0059638B">
        <w:rPr>
          <w:sz w:val="20"/>
          <w:szCs w:val="20"/>
        </w:rPr>
        <w:t>agencies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trafficking</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persons.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appealed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country</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ratify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lastRenderedPageBreak/>
        <w:t>International</w:t>
      </w:r>
      <w:r w:rsidR="00FF41A0">
        <w:rPr>
          <w:sz w:val="20"/>
          <w:szCs w:val="20"/>
        </w:rPr>
        <w:t xml:space="preserve"> </w:t>
      </w:r>
      <w:r w:rsidR="00323457" w:rsidRPr="0059638B">
        <w:rPr>
          <w:sz w:val="20"/>
          <w:szCs w:val="20"/>
        </w:rPr>
        <w:t>Convention</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Migrant</w:t>
      </w:r>
      <w:r w:rsidR="00FF41A0">
        <w:rPr>
          <w:sz w:val="20"/>
          <w:szCs w:val="20"/>
        </w:rPr>
        <w:t xml:space="preserve"> </w:t>
      </w:r>
      <w:r w:rsidR="00323457" w:rsidRPr="0059638B">
        <w:rPr>
          <w:sz w:val="20"/>
          <w:szCs w:val="20"/>
        </w:rPr>
        <w:t>Workers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Members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Their</w:t>
      </w:r>
      <w:r w:rsidR="00FF41A0">
        <w:rPr>
          <w:sz w:val="20"/>
          <w:szCs w:val="20"/>
        </w:rPr>
        <w:t xml:space="preserve"> </w:t>
      </w:r>
      <w:r w:rsidR="00323457" w:rsidRPr="0059638B">
        <w:rPr>
          <w:sz w:val="20"/>
          <w:szCs w:val="20"/>
        </w:rPr>
        <w:t>Families.</w:t>
      </w:r>
      <w:r w:rsidR="00FF41A0">
        <w:rPr>
          <w:sz w:val="20"/>
          <w:szCs w:val="20"/>
        </w:rPr>
        <w:t xml:space="preserve"> </w:t>
      </w:r>
    </w:p>
    <w:p w14:paraId="0B5497ED" w14:textId="0266DC04" w:rsidR="00323457" w:rsidRPr="0059638B" w:rsidRDefault="00323457" w:rsidP="00323457">
      <w:pPr>
        <w:pStyle w:val="H23G"/>
        <w:ind w:left="705"/>
        <w:rPr>
          <w:sz w:val="20"/>
          <w:szCs w:val="20"/>
        </w:rPr>
      </w:pPr>
      <w:r w:rsidRPr="0059638B">
        <w:rPr>
          <w:b w:val="0"/>
          <w:sz w:val="20"/>
          <w:szCs w:val="20"/>
        </w:rPr>
        <w:tab/>
      </w:r>
      <w:r w:rsidRPr="0059638B">
        <w:rPr>
          <w:b w:val="0"/>
          <w:sz w:val="20"/>
          <w:szCs w:val="20"/>
        </w:rPr>
        <w:tab/>
      </w:r>
      <w:r w:rsidRPr="0059638B">
        <w:rPr>
          <w:sz w:val="20"/>
          <w:szCs w:val="20"/>
        </w:rPr>
        <w:t>5.</w:t>
      </w:r>
      <w:r w:rsidRPr="0059638B">
        <w:rPr>
          <w:sz w:val="20"/>
          <w:szCs w:val="20"/>
        </w:rPr>
        <w:tab/>
        <w:t>Concluding</w:t>
      </w:r>
      <w:r w:rsidR="00FF41A0">
        <w:rPr>
          <w:sz w:val="20"/>
          <w:szCs w:val="20"/>
        </w:rPr>
        <w:t xml:space="preserve"> </w:t>
      </w:r>
      <w:r w:rsidRPr="0059638B">
        <w:rPr>
          <w:sz w:val="20"/>
          <w:szCs w:val="20"/>
        </w:rPr>
        <w:t>remarks</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State</w:t>
      </w:r>
      <w:r w:rsidR="00FF41A0">
        <w:rPr>
          <w:sz w:val="20"/>
          <w:szCs w:val="20"/>
        </w:rPr>
        <w:t xml:space="preserve"> </w:t>
      </w:r>
      <w:r w:rsidRPr="0059638B">
        <w:rPr>
          <w:sz w:val="20"/>
          <w:szCs w:val="20"/>
        </w:rPr>
        <w:t>under</w:t>
      </w:r>
      <w:r w:rsidR="00FF41A0">
        <w:rPr>
          <w:sz w:val="20"/>
          <w:szCs w:val="20"/>
        </w:rPr>
        <w:t xml:space="preserve"> </w:t>
      </w:r>
      <w:r w:rsidRPr="0059638B">
        <w:rPr>
          <w:sz w:val="20"/>
          <w:szCs w:val="20"/>
        </w:rPr>
        <w:t>review</w:t>
      </w:r>
    </w:p>
    <w:p w14:paraId="47550995" w14:textId="44412F1D" w:rsidR="00323457" w:rsidRPr="0059638B" w:rsidRDefault="00972F1E" w:rsidP="00323457">
      <w:pPr>
        <w:pStyle w:val="SingleTxtG"/>
        <w:rPr>
          <w:sz w:val="20"/>
          <w:szCs w:val="20"/>
        </w:rPr>
      </w:pPr>
      <w:r>
        <w:rPr>
          <w:sz w:val="20"/>
          <w:szCs w:val="20"/>
        </w:rPr>
        <w:t>630</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Vice-President</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based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information</w:t>
      </w:r>
      <w:r w:rsidR="00FF41A0">
        <w:rPr>
          <w:sz w:val="20"/>
          <w:szCs w:val="20"/>
        </w:rPr>
        <w:t xml:space="preserve"> </w:t>
      </w:r>
      <w:r w:rsidR="00323457" w:rsidRPr="0059638B">
        <w:rPr>
          <w:sz w:val="20"/>
          <w:szCs w:val="20"/>
        </w:rPr>
        <w:t>provided,</w:t>
      </w:r>
      <w:r w:rsidR="00FF41A0">
        <w:rPr>
          <w:sz w:val="20"/>
          <w:szCs w:val="20"/>
        </w:rPr>
        <w:t xml:space="preserve"> </w:t>
      </w:r>
      <w:r w:rsidR="00323457" w:rsidRPr="0059638B">
        <w:rPr>
          <w:sz w:val="20"/>
          <w:szCs w:val="20"/>
        </w:rPr>
        <w:t>out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226</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received,</w:t>
      </w:r>
      <w:r w:rsidR="00FF41A0">
        <w:rPr>
          <w:sz w:val="20"/>
          <w:szCs w:val="20"/>
        </w:rPr>
        <w:t xml:space="preserve"> </w:t>
      </w:r>
      <w:r w:rsidR="00323457" w:rsidRPr="0059638B">
        <w:rPr>
          <w:sz w:val="20"/>
          <w:szCs w:val="20"/>
        </w:rPr>
        <w:t>149</w:t>
      </w:r>
      <w:r w:rsidR="00FF41A0">
        <w:rPr>
          <w:sz w:val="20"/>
          <w:szCs w:val="20"/>
        </w:rPr>
        <w:t xml:space="preserve"> </w:t>
      </w:r>
      <w:r w:rsidR="00323457" w:rsidRPr="0059638B">
        <w:rPr>
          <w:sz w:val="20"/>
          <w:szCs w:val="20"/>
        </w:rPr>
        <w:t>enjoyed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support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Jordan,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77</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noted.</w:t>
      </w:r>
    </w:p>
    <w:p w14:paraId="3002066A" w14:textId="57AE6E48" w:rsidR="00323457" w:rsidRPr="0059638B" w:rsidRDefault="00972F1E" w:rsidP="00323457">
      <w:pPr>
        <w:pStyle w:val="SingleTxtG"/>
        <w:rPr>
          <w:sz w:val="20"/>
          <w:szCs w:val="20"/>
        </w:rPr>
      </w:pPr>
      <w:r>
        <w:rPr>
          <w:sz w:val="20"/>
          <w:szCs w:val="20"/>
        </w:rPr>
        <w:t>631</w:t>
      </w:r>
      <w:r w:rsidR="00D7475F">
        <w:rPr>
          <w:sz w:val="20"/>
          <w:szCs w:val="20"/>
        </w:rPr>
        <w:t>.</w:t>
      </w:r>
      <w:r w:rsidR="00D7475F">
        <w:rPr>
          <w:sz w:val="20"/>
          <w:szCs w:val="20"/>
        </w:rPr>
        <w:tab/>
      </w:r>
      <w:r w:rsidR="00323457" w:rsidRPr="0059638B">
        <w:rPr>
          <w:sz w:val="20"/>
          <w:szCs w:val="20"/>
        </w:rPr>
        <w:t>Jordan</w:t>
      </w:r>
      <w:r w:rsidR="00FF41A0">
        <w:rPr>
          <w:sz w:val="20"/>
          <w:szCs w:val="20"/>
        </w:rPr>
        <w:t xml:space="preserve"> </w:t>
      </w:r>
      <w:r w:rsidR="00323457" w:rsidRPr="0059638B">
        <w:rPr>
          <w:sz w:val="20"/>
          <w:szCs w:val="20"/>
        </w:rPr>
        <w:t>reaffirmed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accepted</w:t>
      </w:r>
      <w:r w:rsidR="00FF41A0">
        <w:rPr>
          <w:sz w:val="20"/>
          <w:szCs w:val="20"/>
        </w:rPr>
        <w:t xml:space="preserve"> </w:t>
      </w:r>
      <w:r w:rsidR="00323457" w:rsidRPr="0059638B">
        <w:rPr>
          <w:sz w:val="20"/>
          <w:szCs w:val="20"/>
        </w:rPr>
        <w:t>shall</w:t>
      </w:r>
      <w:r w:rsidR="00FF41A0">
        <w:rPr>
          <w:sz w:val="20"/>
          <w:szCs w:val="20"/>
        </w:rPr>
        <w:t xml:space="preserve"> </w:t>
      </w:r>
      <w:r w:rsidR="00323457" w:rsidRPr="0059638B">
        <w:rPr>
          <w:sz w:val="20"/>
          <w:szCs w:val="20"/>
        </w:rPr>
        <w:t>receive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full</w:t>
      </w:r>
      <w:r w:rsidR="00FF41A0">
        <w:rPr>
          <w:sz w:val="20"/>
          <w:szCs w:val="20"/>
        </w:rPr>
        <w:t xml:space="preserve"> </w:t>
      </w:r>
      <w:r w:rsidR="00323457" w:rsidRPr="0059638B">
        <w:rPr>
          <w:sz w:val="20"/>
          <w:szCs w:val="20"/>
        </w:rPr>
        <w:t>attention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competent</w:t>
      </w:r>
      <w:r w:rsidR="00FF41A0">
        <w:rPr>
          <w:sz w:val="20"/>
          <w:szCs w:val="20"/>
        </w:rPr>
        <w:t xml:space="preserve"> </w:t>
      </w:r>
      <w:r w:rsidR="00323457" w:rsidRPr="0059638B">
        <w:rPr>
          <w:sz w:val="20"/>
          <w:szCs w:val="20"/>
        </w:rPr>
        <w:t>authorities</w:t>
      </w:r>
      <w:r w:rsidR="00FF41A0">
        <w:rPr>
          <w:sz w:val="20"/>
          <w:szCs w:val="20"/>
        </w:rPr>
        <w:t xml:space="preserve"> </w:t>
      </w:r>
      <w:r w:rsidR="00323457" w:rsidRPr="0059638B">
        <w:rPr>
          <w:sz w:val="20"/>
          <w:szCs w:val="20"/>
        </w:rPr>
        <w:t>through</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comprehensive</w:t>
      </w:r>
      <w:r w:rsidR="00FF41A0">
        <w:rPr>
          <w:sz w:val="20"/>
          <w:szCs w:val="20"/>
        </w:rPr>
        <w:t xml:space="preserve"> </w:t>
      </w:r>
      <w:r w:rsidR="00323457" w:rsidRPr="0059638B">
        <w:rPr>
          <w:sz w:val="20"/>
          <w:szCs w:val="20"/>
        </w:rPr>
        <w:t>participatory</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will</w:t>
      </w:r>
      <w:r w:rsidR="00FF41A0">
        <w:rPr>
          <w:sz w:val="20"/>
          <w:szCs w:val="20"/>
        </w:rPr>
        <w:t xml:space="preserve"> </w:t>
      </w:r>
      <w:r w:rsidR="00323457" w:rsidRPr="0059638B">
        <w:rPr>
          <w:sz w:val="20"/>
          <w:szCs w:val="20"/>
        </w:rPr>
        <w:t>seek</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implement</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level.</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such,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has</w:t>
      </w:r>
      <w:r w:rsidR="00FF41A0">
        <w:rPr>
          <w:sz w:val="20"/>
          <w:szCs w:val="20"/>
        </w:rPr>
        <w:t xml:space="preserve"> </w:t>
      </w:r>
      <w:r w:rsidR="00323457" w:rsidRPr="0059638B">
        <w:rPr>
          <w:sz w:val="20"/>
          <w:szCs w:val="20"/>
        </w:rPr>
        <w:t>established</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high-level</w:t>
      </w:r>
      <w:r w:rsidR="00FF41A0">
        <w:rPr>
          <w:sz w:val="20"/>
          <w:szCs w:val="20"/>
        </w:rPr>
        <w:t xml:space="preserve"> </w:t>
      </w:r>
      <w:r w:rsidR="00323457" w:rsidRPr="0059638B">
        <w:rPr>
          <w:sz w:val="20"/>
          <w:szCs w:val="20"/>
        </w:rPr>
        <w:t>ministerial</w:t>
      </w:r>
      <w:r w:rsidR="00FF41A0">
        <w:rPr>
          <w:sz w:val="20"/>
          <w:szCs w:val="20"/>
        </w:rPr>
        <w:t xml:space="preserve"> </w:t>
      </w:r>
      <w:r w:rsidR="00323457" w:rsidRPr="0059638B">
        <w:rPr>
          <w:sz w:val="20"/>
          <w:szCs w:val="20"/>
        </w:rPr>
        <w:t>committee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implement</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align</w:t>
      </w:r>
      <w:r w:rsidR="00FF41A0">
        <w:rPr>
          <w:sz w:val="20"/>
          <w:szCs w:val="20"/>
        </w:rPr>
        <w:t xml:space="preserve"> </w:t>
      </w:r>
      <w:r w:rsidR="00323457" w:rsidRPr="0059638B">
        <w:rPr>
          <w:sz w:val="20"/>
          <w:szCs w:val="20"/>
        </w:rPr>
        <w:t>them</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legislation.</w:t>
      </w:r>
      <w:r w:rsidR="00FF41A0">
        <w:rPr>
          <w:sz w:val="20"/>
          <w:szCs w:val="20"/>
        </w:rPr>
        <w:t xml:space="preserve"> </w:t>
      </w:r>
    </w:p>
    <w:p w14:paraId="58BCD823" w14:textId="77777777" w:rsidR="00323457" w:rsidRPr="0059638B" w:rsidRDefault="00323457" w:rsidP="00323457">
      <w:pPr>
        <w:pStyle w:val="SingleTxtG"/>
        <w:rPr>
          <w:b/>
          <w:sz w:val="20"/>
          <w:szCs w:val="20"/>
        </w:rPr>
      </w:pPr>
      <w:r w:rsidRPr="0059638B">
        <w:rPr>
          <w:b/>
          <w:sz w:val="20"/>
          <w:szCs w:val="20"/>
        </w:rPr>
        <w:t>Malaysia</w:t>
      </w:r>
    </w:p>
    <w:p w14:paraId="210F47FE" w14:textId="24AA16CF" w:rsidR="00F2244D" w:rsidRDefault="00972F1E" w:rsidP="00F2244D">
      <w:pPr>
        <w:pStyle w:val="SingleTxtG"/>
        <w:rPr>
          <w:sz w:val="20"/>
          <w:szCs w:val="20"/>
        </w:rPr>
      </w:pPr>
      <w:r>
        <w:rPr>
          <w:sz w:val="20"/>
          <w:szCs w:val="20"/>
        </w:rPr>
        <w:t>632</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Malaysia</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held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8</w:t>
      </w:r>
      <w:r w:rsidR="00FF41A0">
        <w:rPr>
          <w:sz w:val="20"/>
          <w:szCs w:val="20"/>
        </w:rPr>
        <w:t xml:space="preserve"> </w:t>
      </w:r>
      <w:r w:rsidR="00323457" w:rsidRPr="0059638B">
        <w:rPr>
          <w:sz w:val="20"/>
          <w:szCs w:val="20"/>
        </w:rPr>
        <w:t>November</w:t>
      </w:r>
      <w:r w:rsidR="00FF41A0">
        <w:rPr>
          <w:sz w:val="20"/>
          <w:szCs w:val="20"/>
        </w:rPr>
        <w:t xml:space="preserve"> </w:t>
      </w:r>
      <w:r w:rsidR="00323457" w:rsidRPr="0059638B">
        <w:rPr>
          <w:sz w:val="20"/>
          <w:szCs w:val="20"/>
        </w:rPr>
        <w:t>2018</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conformity</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relevant</w:t>
      </w:r>
      <w:r w:rsidR="00FF41A0">
        <w:rPr>
          <w:sz w:val="20"/>
          <w:szCs w:val="20"/>
        </w:rPr>
        <w:t xml:space="preserve"> </w:t>
      </w:r>
      <w:r w:rsidR="00323457" w:rsidRPr="0059638B">
        <w:rPr>
          <w:sz w:val="20"/>
          <w:szCs w:val="20"/>
        </w:rPr>
        <w:t>provisions</w:t>
      </w:r>
      <w:r w:rsidR="00FF41A0">
        <w:rPr>
          <w:sz w:val="20"/>
          <w:szCs w:val="20"/>
        </w:rPr>
        <w:t xml:space="preserve"> </w:t>
      </w:r>
      <w:r w:rsidR="00323457" w:rsidRPr="0059638B">
        <w:rPr>
          <w:sz w:val="20"/>
          <w:szCs w:val="20"/>
        </w:rPr>
        <w:t>contained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relevant</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Council</w:t>
      </w:r>
      <w:r w:rsidR="00FF41A0">
        <w:rPr>
          <w:sz w:val="20"/>
          <w:szCs w:val="20"/>
        </w:rPr>
        <w:t xml:space="preserve"> </w:t>
      </w:r>
      <w:r w:rsidR="00323457" w:rsidRPr="0059638B">
        <w:rPr>
          <w:sz w:val="20"/>
          <w:szCs w:val="20"/>
        </w:rPr>
        <w:t>resolutions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decisions,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based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following</w:t>
      </w:r>
      <w:r w:rsidR="00FF41A0">
        <w:rPr>
          <w:sz w:val="20"/>
          <w:szCs w:val="20"/>
        </w:rPr>
        <w:t xml:space="preserve"> </w:t>
      </w:r>
      <w:r w:rsidR="00323457" w:rsidRPr="0059638B">
        <w:rPr>
          <w:sz w:val="20"/>
          <w:szCs w:val="20"/>
        </w:rPr>
        <w:t>documents:</w:t>
      </w:r>
      <w:r w:rsidR="00FF41A0">
        <w:rPr>
          <w:sz w:val="20"/>
          <w:szCs w:val="20"/>
        </w:rPr>
        <w:t xml:space="preserve"> </w:t>
      </w:r>
    </w:p>
    <w:p w14:paraId="63BCBE52" w14:textId="36EC4491" w:rsidR="00323457" w:rsidRPr="0059638B" w:rsidRDefault="00323457" w:rsidP="00F2244D">
      <w:pPr>
        <w:pStyle w:val="SingleTxtG"/>
        <w:ind w:firstLine="555"/>
        <w:rPr>
          <w:sz w:val="20"/>
          <w:szCs w:val="20"/>
        </w:rPr>
      </w:pPr>
      <w:r w:rsidRPr="0059638B">
        <w:rPr>
          <w:sz w:val="20"/>
          <w:szCs w:val="20"/>
        </w:rPr>
        <w:t>(a)</w:t>
      </w:r>
      <w:r w:rsidRPr="0059638B">
        <w:rPr>
          <w:sz w:val="20"/>
          <w:szCs w:val="20"/>
        </w:rPr>
        <w:tab/>
        <w:t>The</w:t>
      </w:r>
      <w:r w:rsidR="00FF41A0">
        <w:rPr>
          <w:sz w:val="20"/>
          <w:szCs w:val="20"/>
        </w:rPr>
        <w:t xml:space="preserve"> </w:t>
      </w:r>
      <w:r w:rsidRPr="0059638B">
        <w:rPr>
          <w:sz w:val="20"/>
          <w:szCs w:val="20"/>
        </w:rPr>
        <w:t>national</w:t>
      </w:r>
      <w:r w:rsidR="00FF41A0">
        <w:rPr>
          <w:sz w:val="20"/>
          <w:szCs w:val="20"/>
        </w:rPr>
        <w:t xml:space="preserve"> </w:t>
      </w:r>
      <w:r w:rsidRPr="0059638B">
        <w:rPr>
          <w:sz w:val="20"/>
          <w:szCs w:val="20"/>
        </w:rPr>
        <w:t>report</w:t>
      </w:r>
      <w:r w:rsidR="00FF41A0">
        <w:rPr>
          <w:sz w:val="20"/>
          <w:szCs w:val="20"/>
        </w:rPr>
        <w:t xml:space="preserve"> </w:t>
      </w:r>
      <w:r w:rsidRPr="0059638B">
        <w:rPr>
          <w:sz w:val="20"/>
          <w:szCs w:val="20"/>
        </w:rPr>
        <w:t>submitted</w:t>
      </w:r>
      <w:r w:rsidR="00FF41A0">
        <w:rPr>
          <w:sz w:val="20"/>
          <w:szCs w:val="20"/>
        </w:rPr>
        <w:t xml:space="preserve"> </w:t>
      </w:r>
      <w:r w:rsidRPr="0059638B">
        <w:rPr>
          <w:sz w:val="20"/>
          <w:szCs w:val="20"/>
        </w:rPr>
        <w:t>by</w:t>
      </w:r>
      <w:r w:rsidR="00FF41A0">
        <w:rPr>
          <w:sz w:val="20"/>
          <w:szCs w:val="20"/>
        </w:rPr>
        <w:t xml:space="preserve"> </w:t>
      </w:r>
      <w:r w:rsidRPr="0059638B">
        <w:rPr>
          <w:sz w:val="20"/>
          <w:szCs w:val="20"/>
        </w:rPr>
        <w:t>Malaysia</w:t>
      </w:r>
      <w:r w:rsidR="00FF41A0">
        <w:rPr>
          <w:sz w:val="20"/>
          <w:szCs w:val="20"/>
        </w:rPr>
        <w:t xml:space="preserve"> </w:t>
      </w:r>
      <w:r w:rsidRPr="0059638B">
        <w:rPr>
          <w:sz w:val="20"/>
          <w:szCs w:val="20"/>
        </w:rPr>
        <w:t>in</w:t>
      </w:r>
      <w:r w:rsidR="00FF41A0">
        <w:rPr>
          <w:sz w:val="20"/>
          <w:szCs w:val="20"/>
        </w:rPr>
        <w:t xml:space="preserve"> </w:t>
      </w:r>
      <w:r w:rsidRPr="0059638B">
        <w:rPr>
          <w:sz w:val="20"/>
          <w:szCs w:val="20"/>
        </w:rPr>
        <w:t>accordance</w:t>
      </w:r>
      <w:r w:rsidR="00FF41A0">
        <w:rPr>
          <w:sz w:val="20"/>
          <w:szCs w:val="20"/>
        </w:rPr>
        <w:t xml:space="preserve"> </w:t>
      </w:r>
      <w:r w:rsidRPr="0059638B">
        <w:rPr>
          <w:sz w:val="20"/>
          <w:szCs w:val="20"/>
        </w:rPr>
        <w:t>with</w:t>
      </w:r>
      <w:r w:rsidR="00FF41A0">
        <w:rPr>
          <w:sz w:val="20"/>
          <w:szCs w:val="20"/>
        </w:rPr>
        <w:t xml:space="preserve"> </w:t>
      </w:r>
      <w:r w:rsidRPr="0059638B">
        <w:rPr>
          <w:sz w:val="20"/>
          <w:szCs w:val="20"/>
        </w:rPr>
        <w:t>paragraph</w:t>
      </w:r>
      <w:r w:rsidR="00FF41A0">
        <w:rPr>
          <w:sz w:val="20"/>
          <w:szCs w:val="20"/>
        </w:rPr>
        <w:t xml:space="preserve"> </w:t>
      </w:r>
      <w:r w:rsidRPr="0059638B">
        <w:rPr>
          <w:sz w:val="20"/>
          <w:szCs w:val="20"/>
        </w:rPr>
        <w:t>15</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annex</w:t>
      </w:r>
      <w:r w:rsidR="00FF41A0">
        <w:rPr>
          <w:sz w:val="20"/>
          <w:szCs w:val="20"/>
        </w:rPr>
        <w:t xml:space="preserve"> </w:t>
      </w:r>
      <w:r w:rsidRPr="0059638B">
        <w:rPr>
          <w:sz w:val="20"/>
          <w:szCs w:val="20"/>
        </w:rPr>
        <w:t>to</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resolution</w:t>
      </w:r>
      <w:r w:rsidR="00FF41A0">
        <w:rPr>
          <w:sz w:val="20"/>
          <w:szCs w:val="20"/>
        </w:rPr>
        <w:t xml:space="preserve"> </w:t>
      </w:r>
      <w:r w:rsidRPr="0059638B">
        <w:rPr>
          <w:sz w:val="20"/>
          <w:szCs w:val="20"/>
        </w:rPr>
        <w:t>5/1</w:t>
      </w:r>
      <w:r w:rsidR="00FF41A0">
        <w:rPr>
          <w:sz w:val="20"/>
          <w:szCs w:val="20"/>
        </w:rPr>
        <w:t xml:space="preserve"> </w:t>
      </w:r>
      <w:r w:rsidRPr="0059638B">
        <w:rPr>
          <w:sz w:val="20"/>
          <w:szCs w:val="20"/>
        </w:rPr>
        <w:t>and</w:t>
      </w:r>
      <w:r w:rsidR="00FF41A0">
        <w:rPr>
          <w:sz w:val="20"/>
          <w:szCs w:val="20"/>
        </w:rPr>
        <w:t xml:space="preserve"> </w:t>
      </w:r>
      <w:r w:rsidRPr="0059638B">
        <w:rPr>
          <w:sz w:val="20"/>
          <w:szCs w:val="20"/>
        </w:rPr>
        <w:t>paragraph</w:t>
      </w:r>
      <w:r w:rsidR="00FF41A0">
        <w:rPr>
          <w:sz w:val="20"/>
          <w:szCs w:val="20"/>
        </w:rPr>
        <w:t xml:space="preserve"> </w:t>
      </w:r>
      <w:r w:rsidRPr="0059638B">
        <w:rPr>
          <w:sz w:val="20"/>
          <w:szCs w:val="20"/>
        </w:rPr>
        <w:t>5</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annex</w:t>
      </w:r>
      <w:r w:rsidR="00FF41A0">
        <w:rPr>
          <w:sz w:val="20"/>
          <w:szCs w:val="20"/>
        </w:rPr>
        <w:t xml:space="preserve"> </w:t>
      </w:r>
      <w:r w:rsidRPr="0059638B">
        <w:rPr>
          <w:sz w:val="20"/>
          <w:szCs w:val="20"/>
        </w:rPr>
        <w:t>to</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resolution</w:t>
      </w:r>
      <w:r w:rsidR="00FF41A0">
        <w:rPr>
          <w:sz w:val="20"/>
          <w:szCs w:val="20"/>
        </w:rPr>
        <w:t xml:space="preserve"> </w:t>
      </w:r>
      <w:r w:rsidRPr="0059638B">
        <w:rPr>
          <w:sz w:val="20"/>
          <w:szCs w:val="20"/>
        </w:rPr>
        <w:t>16/21</w:t>
      </w:r>
      <w:r w:rsidR="00FF41A0">
        <w:rPr>
          <w:sz w:val="20"/>
          <w:szCs w:val="20"/>
        </w:rPr>
        <w:t xml:space="preserve"> </w:t>
      </w:r>
      <w:r w:rsidRPr="0059638B">
        <w:rPr>
          <w:sz w:val="20"/>
          <w:szCs w:val="20"/>
        </w:rPr>
        <w:t>(A/HRC/WG.6/31/MYS/1);</w:t>
      </w:r>
      <w:r w:rsidR="00FF41A0">
        <w:rPr>
          <w:sz w:val="20"/>
          <w:szCs w:val="20"/>
        </w:rPr>
        <w:t xml:space="preserve"> </w:t>
      </w:r>
    </w:p>
    <w:p w14:paraId="5ADE3611" w14:textId="1779FF23" w:rsidR="00323457" w:rsidRPr="0059638B" w:rsidRDefault="00323457" w:rsidP="00F2244D">
      <w:pPr>
        <w:pStyle w:val="SingleTxtG"/>
        <w:ind w:firstLine="555"/>
        <w:rPr>
          <w:sz w:val="20"/>
          <w:szCs w:val="20"/>
        </w:rPr>
      </w:pPr>
      <w:r w:rsidRPr="0059638B">
        <w:rPr>
          <w:sz w:val="20"/>
          <w:szCs w:val="20"/>
        </w:rPr>
        <w:t>(b)</w:t>
      </w:r>
      <w:r w:rsidRPr="0059638B">
        <w:rPr>
          <w:sz w:val="20"/>
          <w:szCs w:val="20"/>
        </w:rPr>
        <w:tab/>
        <w:t>The</w:t>
      </w:r>
      <w:r w:rsidR="00FF41A0">
        <w:rPr>
          <w:sz w:val="20"/>
          <w:szCs w:val="20"/>
        </w:rPr>
        <w:t xml:space="preserve"> </w:t>
      </w:r>
      <w:r w:rsidRPr="0059638B">
        <w:rPr>
          <w:sz w:val="20"/>
          <w:szCs w:val="20"/>
        </w:rPr>
        <w:t>compilation</w:t>
      </w:r>
      <w:r w:rsidR="00FF41A0">
        <w:rPr>
          <w:sz w:val="20"/>
          <w:szCs w:val="20"/>
        </w:rPr>
        <w:t xml:space="preserve"> </w:t>
      </w:r>
      <w:r w:rsidRPr="0059638B">
        <w:rPr>
          <w:sz w:val="20"/>
          <w:szCs w:val="20"/>
        </w:rPr>
        <w:t>prepared</w:t>
      </w:r>
      <w:r w:rsidR="00FF41A0">
        <w:rPr>
          <w:sz w:val="20"/>
          <w:szCs w:val="20"/>
        </w:rPr>
        <w:t xml:space="preserve"> </w:t>
      </w:r>
      <w:r w:rsidRPr="0059638B">
        <w:rPr>
          <w:sz w:val="20"/>
          <w:szCs w:val="20"/>
        </w:rPr>
        <w:t>by</w:t>
      </w:r>
      <w:r w:rsidR="00FF41A0">
        <w:rPr>
          <w:sz w:val="20"/>
          <w:szCs w:val="20"/>
        </w:rPr>
        <w:t xml:space="preserve"> </w:t>
      </w:r>
      <w:r>
        <w:rPr>
          <w:sz w:val="20"/>
          <w:szCs w:val="20"/>
        </w:rPr>
        <w:t>the</w:t>
      </w:r>
      <w:r w:rsidR="00FF41A0">
        <w:rPr>
          <w:sz w:val="20"/>
          <w:szCs w:val="20"/>
        </w:rPr>
        <w:t xml:space="preserve"> </w:t>
      </w:r>
      <w:r w:rsidRPr="00F2244D">
        <w:rPr>
          <w:sz w:val="20"/>
          <w:szCs w:val="20"/>
        </w:rPr>
        <w:t>Office</w:t>
      </w:r>
      <w:r w:rsidR="00FF41A0" w:rsidRPr="00F2244D">
        <w:rPr>
          <w:sz w:val="20"/>
          <w:szCs w:val="20"/>
        </w:rPr>
        <w:t xml:space="preserve"> </w:t>
      </w:r>
      <w:r w:rsidRPr="00F2244D">
        <w:rPr>
          <w:sz w:val="20"/>
          <w:szCs w:val="20"/>
        </w:rPr>
        <w:t>of</w:t>
      </w:r>
      <w:r w:rsidR="00FF41A0" w:rsidRPr="00F2244D">
        <w:rPr>
          <w:sz w:val="20"/>
          <w:szCs w:val="20"/>
        </w:rPr>
        <w:t xml:space="preserve"> </w:t>
      </w:r>
      <w:r w:rsidRPr="00F2244D">
        <w:rPr>
          <w:sz w:val="20"/>
          <w:szCs w:val="20"/>
        </w:rPr>
        <w:t>the</w:t>
      </w:r>
      <w:r w:rsidR="00FF41A0" w:rsidRPr="00F2244D">
        <w:rPr>
          <w:sz w:val="20"/>
          <w:szCs w:val="20"/>
        </w:rPr>
        <w:t xml:space="preserve"> </w:t>
      </w:r>
      <w:r w:rsidRPr="00F2244D">
        <w:rPr>
          <w:sz w:val="20"/>
          <w:szCs w:val="20"/>
        </w:rPr>
        <w:t>United</w:t>
      </w:r>
      <w:r w:rsidR="00FF41A0" w:rsidRPr="00F2244D">
        <w:rPr>
          <w:sz w:val="20"/>
          <w:szCs w:val="20"/>
        </w:rPr>
        <w:t xml:space="preserve"> </w:t>
      </w:r>
      <w:r w:rsidRPr="00F2244D">
        <w:rPr>
          <w:sz w:val="20"/>
          <w:szCs w:val="20"/>
        </w:rPr>
        <w:t>Nations</w:t>
      </w:r>
      <w:r w:rsidR="00FF41A0" w:rsidRPr="00F2244D">
        <w:rPr>
          <w:sz w:val="20"/>
          <w:szCs w:val="20"/>
        </w:rPr>
        <w:t xml:space="preserve"> </w:t>
      </w:r>
      <w:r w:rsidRPr="00F2244D">
        <w:rPr>
          <w:sz w:val="20"/>
          <w:szCs w:val="20"/>
        </w:rPr>
        <w:t>High</w:t>
      </w:r>
      <w:r w:rsidR="00FF41A0" w:rsidRPr="00F2244D">
        <w:rPr>
          <w:sz w:val="20"/>
          <w:szCs w:val="20"/>
        </w:rPr>
        <w:t xml:space="preserve"> </w:t>
      </w:r>
      <w:r w:rsidRPr="00F2244D">
        <w:rPr>
          <w:sz w:val="20"/>
          <w:szCs w:val="20"/>
        </w:rPr>
        <w:t>Commissioner</w:t>
      </w:r>
      <w:r w:rsidR="00FF41A0" w:rsidRPr="00F2244D">
        <w:rPr>
          <w:sz w:val="20"/>
          <w:szCs w:val="20"/>
        </w:rPr>
        <w:t xml:space="preserve"> </w:t>
      </w:r>
      <w:r w:rsidRPr="00F2244D">
        <w:rPr>
          <w:sz w:val="20"/>
          <w:szCs w:val="20"/>
        </w:rPr>
        <w:t>for</w:t>
      </w:r>
      <w:r w:rsidR="00FF41A0" w:rsidRPr="00F2244D">
        <w:rPr>
          <w:sz w:val="20"/>
          <w:szCs w:val="20"/>
        </w:rPr>
        <w:t xml:space="preserve"> </w:t>
      </w:r>
      <w:r w:rsidRPr="00F2244D">
        <w:rPr>
          <w:sz w:val="20"/>
          <w:szCs w:val="20"/>
        </w:rPr>
        <w:t>Human</w:t>
      </w:r>
      <w:r w:rsidR="00FF41A0" w:rsidRPr="00F2244D">
        <w:rPr>
          <w:sz w:val="20"/>
          <w:szCs w:val="20"/>
        </w:rPr>
        <w:t xml:space="preserve"> </w:t>
      </w:r>
      <w:r w:rsidRPr="00F2244D">
        <w:rPr>
          <w:sz w:val="20"/>
          <w:szCs w:val="20"/>
        </w:rPr>
        <w:t>Rights</w:t>
      </w:r>
      <w:r w:rsidR="00FF41A0">
        <w:rPr>
          <w:sz w:val="20"/>
          <w:szCs w:val="20"/>
        </w:rPr>
        <w:t xml:space="preserve"> </w:t>
      </w:r>
      <w:r w:rsidRPr="0059638B">
        <w:rPr>
          <w:sz w:val="20"/>
          <w:szCs w:val="20"/>
        </w:rPr>
        <w:t>in</w:t>
      </w:r>
      <w:r w:rsidR="00FF41A0">
        <w:rPr>
          <w:sz w:val="20"/>
          <w:szCs w:val="20"/>
        </w:rPr>
        <w:t xml:space="preserve"> </w:t>
      </w:r>
      <w:r w:rsidRPr="0059638B">
        <w:rPr>
          <w:sz w:val="20"/>
          <w:szCs w:val="20"/>
        </w:rPr>
        <w:t>accordance</w:t>
      </w:r>
      <w:r w:rsidR="00FF41A0">
        <w:rPr>
          <w:sz w:val="20"/>
          <w:szCs w:val="20"/>
        </w:rPr>
        <w:t xml:space="preserve"> </w:t>
      </w:r>
      <w:r w:rsidRPr="0059638B">
        <w:rPr>
          <w:sz w:val="20"/>
          <w:szCs w:val="20"/>
        </w:rPr>
        <w:t>with</w:t>
      </w:r>
      <w:r w:rsidR="00FF41A0">
        <w:rPr>
          <w:sz w:val="20"/>
          <w:szCs w:val="20"/>
        </w:rPr>
        <w:t xml:space="preserve"> </w:t>
      </w:r>
      <w:r w:rsidRPr="0059638B">
        <w:rPr>
          <w:sz w:val="20"/>
          <w:szCs w:val="20"/>
        </w:rPr>
        <w:t>paragraph</w:t>
      </w:r>
      <w:r w:rsidR="00FF41A0">
        <w:rPr>
          <w:sz w:val="20"/>
          <w:szCs w:val="20"/>
        </w:rPr>
        <w:t xml:space="preserve"> </w:t>
      </w:r>
      <w:r w:rsidRPr="0059638B">
        <w:rPr>
          <w:sz w:val="20"/>
          <w:szCs w:val="20"/>
        </w:rPr>
        <w:t>15</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annex</w:t>
      </w:r>
      <w:r w:rsidR="00FF41A0">
        <w:rPr>
          <w:sz w:val="20"/>
          <w:szCs w:val="20"/>
        </w:rPr>
        <w:t xml:space="preserve"> </w:t>
      </w:r>
      <w:r w:rsidRPr="0059638B">
        <w:rPr>
          <w:sz w:val="20"/>
          <w:szCs w:val="20"/>
        </w:rPr>
        <w:t>to</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resolution</w:t>
      </w:r>
      <w:r w:rsidR="00FF41A0">
        <w:rPr>
          <w:sz w:val="20"/>
          <w:szCs w:val="20"/>
        </w:rPr>
        <w:t xml:space="preserve"> </w:t>
      </w:r>
      <w:r w:rsidRPr="0059638B">
        <w:rPr>
          <w:sz w:val="20"/>
          <w:szCs w:val="20"/>
        </w:rPr>
        <w:t>5/1</w:t>
      </w:r>
      <w:r w:rsidR="00FF41A0">
        <w:rPr>
          <w:sz w:val="20"/>
          <w:szCs w:val="20"/>
        </w:rPr>
        <w:t xml:space="preserve"> </w:t>
      </w:r>
      <w:r w:rsidRPr="0059638B">
        <w:rPr>
          <w:sz w:val="20"/>
          <w:szCs w:val="20"/>
        </w:rPr>
        <w:t>and</w:t>
      </w:r>
      <w:r w:rsidR="00FF41A0">
        <w:rPr>
          <w:sz w:val="20"/>
          <w:szCs w:val="20"/>
        </w:rPr>
        <w:t xml:space="preserve"> </w:t>
      </w:r>
      <w:r w:rsidRPr="0059638B">
        <w:rPr>
          <w:sz w:val="20"/>
          <w:szCs w:val="20"/>
        </w:rPr>
        <w:t>paragraph</w:t>
      </w:r>
      <w:r w:rsidR="00FF41A0">
        <w:rPr>
          <w:sz w:val="20"/>
          <w:szCs w:val="20"/>
        </w:rPr>
        <w:t xml:space="preserve"> </w:t>
      </w:r>
      <w:r w:rsidRPr="0059638B">
        <w:rPr>
          <w:sz w:val="20"/>
          <w:szCs w:val="20"/>
        </w:rPr>
        <w:t>5</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annex</w:t>
      </w:r>
      <w:r w:rsidR="00FF41A0">
        <w:rPr>
          <w:sz w:val="20"/>
          <w:szCs w:val="20"/>
        </w:rPr>
        <w:t xml:space="preserve"> </w:t>
      </w:r>
      <w:r w:rsidRPr="0059638B">
        <w:rPr>
          <w:sz w:val="20"/>
          <w:szCs w:val="20"/>
        </w:rPr>
        <w:t>to</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resolution</w:t>
      </w:r>
      <w:r w:rsidR="00FF41A0">
        <w:rPr>
          <w:sz w:val="20"/>
          <w:szCs w:val="20"/>
        </w:rPr>
        <w:t xml:space="preserve"> </w:t>
      </w:r>
      <w:r w:rsidRPr="0059638B">
        <w:rPr>
          <w:sz w:val="20"/>
          <w:szCs w:val="20"/>
        </w:rPr>
        <w:t>16/21</w:t>
      </w:r>
      <w:r w:rsidR="00FF41A0">
        <w:rPr>
          <w:sz w:val="20"/>
          <w:szCs w:val="20"/>
        </w:rPr>
        <w:t xml:space="preserve"> </w:t>
      </w:r>
      <w:r w:rsidRPr="0059638B">
        <w:rPr>
          <w:sz w:val="20"/>
          <w:szCs w:val="20"/>
        </w:rPr>
        <w:t>(A/HRC/WG.6/31/MYS/2);</w:t>
      </w:r>
      <w:r w:rsidR="00FF41A0">
        <w:rPr>
          <w:sz w:val="20"/>
          <w:szCs w:val="20"/>
        </w:rPr>
        <w:t xml:space="preserve"> </w:t>
      </w:r>
    </w:p>
    <w:p w14:paraId="19CD01B2" w14:textId="76F16614" w:rsidR="00323457" w:rsidRPr="0059638B" w:rsidRDefault="00323457" w:rsidP="00F2244D">
      <w:pPr>
        <w:pStyle w:val="SingleTxtG"/>
        <w:ind w:firstLine="555"/>
        <w:rPr>
          <w:sz w:val="20"/>
          <w:szCs w:val="20"/>
        </w:rPr>
      </w:pPr>
      <w:r w:rsidRPr="0059638B">
        <w:rPr>
          <w:sz w:val="20"/>
          <w:szCs w:val="20"/>
        </w:rPr>
        <w:t>(c)</w:t>
      </w:r>
      <w:r w:rsidRPr="0059638B">
        <w:rPr>
          <w:sz w:val="20"/>
          <w:szCs w:val="20"/>
        </w:rPr>
        <w:tab/>
        <w:t>The</w:t>
      </w:r>
      <w:r w:rsidR="00FF41A0">
        <w:rPr>
          <w:sz w:val="20"/>
          <w:szCs w:val="20"/>
        </w:rPr>
        <w:t xml:space="preserve"> </w:t>
      </w:r>
      <w:r w:rsidRPr="0059638B">
        <w:rPr>
          <w:sz w:val="20"/>
          <w:szCs w:val="20"/>
        </w:rPr>
        <w:t>summary</w:t>
      </w:r>
      <w:r w:rsidR="00FF41A0">
        <w:rPr>
          <w:sz w:val="20"/>
          <w:szCs w:val="20"/>
        </w:rPr>
        <w:t xml:space="preserve"> </w:t>
      </w:r>
      <w:r w:rsidRPr="0059638B">
        <w:rPr>
          <w:sz w:val="20"/>
          <w:szCs w:val="20"/>
        </w:rPr>
        <w:t>prepared</w:t>
      </w:r>
      <w:r w:rsidR="00FF41A0">
        <w:rPr>
          <w:sz w:val="20"/>
          <w:szCs w:val="20"/>
        </w:rPr>
        <w:t xml:space="preserve"> </w:t>
      </w:r>
      <w:r w:rsidRPr="0059638B">
        <w:rPr>
          <w:sz w:val="20"/>
          <w:szCs w:val="20"/>
        </w:rPr>
        <w:t>by</w:t>
      </w:r>
      <w:r w:rsidR="00FF41A0">
        <w:rPr>
          <w:sz w:val="20"/>
          <w:szCs w:val="20"/>
        </w:rPr>
        <w:t xml:space="preserve"> </w:t>
      </w:r>
      <w:r>
        <w:rPr>
          <w:sz w:val="20"/>
          <w:szCs w:val="20"/>
        </w:rPr>
        <w:t>the</w:t>
      </w:r>
      <w:r w:rsidR="00FF41A0">
        <w:rPr>
          <w:sz w:val="20"/>
          <w:szCs w:val="20"/>
        </w:rPr>
        <w:t xml:space="preserve"> </w:t>
      </w:r>
      <w:r w:rsidRPr="00F2244D">
        <w:rPr>
          <w:sz w:val="20"/>
          <w:szCs w:val="20"/>
        </w:rPr>
        <w:t>Office</w:t>
      </w:r>
      <w:r w:rsidR="00FF41A0" w:rsidRPr="00F2244D">
        <w:rPr>
          <w:sz w:val="20"/>
          <w:szCs w:val="20"/>
        </w:rPr>
        <w:t xml:space="preserve"> </w:t>
      </w:r>
      <w:r w:rsidRPr="00F2244D">
        <w:rPr>
          <w:sz w:val="20"/>
          <w:szCs w:val="20"/>
        </w:rPr>
        <w:t>of</w:t>
      </w:r>
      <w:r w:rsidR="00FF41A0" w:rsidRPr="00F2244D">
        <w:rPr>
          <w:sz w:val="20"/>
          <w:szCs w:val="20"/>
        </w:rPr>
        <w:t xml:space="preserve"> </w:t>
      </w:r>
      <w:r w:rsidRPr="00F2244D">
        <w:rPr>
          <w:sz w:val="20"/>
          <w:szCs w:val="20"/>
        </w:rPr>
        <w:t>the</w:t>
      </w:r>
      <w:r w:rsidR="00FF41A0" w:rsidRPr="00F2244D">
        <w:rPr>
          <w:sz w:val="20"/>
          <w:szCs w:val="20"/>
        </w:rPr>
        <w:t xml:space="preserve"> </w:t>
      </w:r>
      <w:r w:rsidRPr="00F2244D">
        <w:rPr>
          <w:sz w:val="20"/>
          <w:szCs w:val="20"/>
        </w:rPr>
        <w:t>United</w:t>
      </w:r>
      <w:r w:rsidR="00FF41A0" w:rsidRPr="00F2244D">
        <w:rPr>
          <w:sz w:val="20"/>
          <w:szCs w:val="20"/>
        </w:rPr>
        <w:t xml:space="preserve"> </w:t>
      </w:r>
      <w:r w:rsidRPr="00F2244D">
        <w:rPr>
          <w:sz w:val="20"/>
          <w:szCs w:val="20"/>
        </w:rPr>
        <w:t>Nations</w:t>
      </w:r>
      <w:r w:rsidR="00FF41A0" w:rsidRPr="00F2244D">
        <w:rPr>
          <w:sz w:val="20"/>
          <w:szCs w:val="20"/>
        </w:rPr>
        <w:t xml:space="preserve"> </w:t>
      </w:r>
      <w:r w:rsidRPr="00F2244D">
        <w:rPr>
          <w:sz w:val="20"/>
          <w:szCs w:val="20"/>
        </w:rPr>
        <w:t>High</w:t>
      </w:r>
      <w:r w:rsidR="00FF41A0" w:rsidRPr="00F2244D">
        <w:rPr>
          <w:sz w:val="20"/>
          <w:szCs w:val="20"/>
        </w:rPr>
        <w:t xml:space="preserve"> </w:t>
      </w:r>
      <w:r w:rsidRPr="00F2244D">
        <w:rPr>
          <w:sz w:val="20"/>
          <w:szCs w:val="20"/>
        </w:rPr>
        <w:t>Commissioner</w:t>
      </w:r>
      <w:r w:rsidR="00FF41A0" w:rsidRPr="00F2244D">
        <w:rPr>
          <w:sz w:val="20"/>
          <w:szCs w:val="20"/>
        </w:rPr>
        <w:t xml:space="preserve"> </w:t>
      </w:r>
      <w:r w:rsidRPr="00F2244D">
        <w:rPr>
          <w:sz w:val="20"/>
          <w:szCs w:val="20"/>
        </w:rPr>
        <w:t>for</w:t>
      </w:r>
      <w:r w:rsidR="00FF41A0" w:rsidRPr="00F2244D">
        <w:rPr>
          <w:sz w:val="20"/>
          <w:szCs w:val="20"/>
        </w:rPr>
        <w:t xml:space="preserve"> </w:t>
      </w:r>
      <w:r w:rsidRPr="00F2244D">
        <w:rPr>
          <w:sz w:val="20"/>
          <w:szCs w:val="20"/>
        </w:rPr>
        <w:t>Human</w:t>
      </w:r>
      <w:r w:rsidR="00FF41A0" w:rsidRPr="00F2244D">
        <w:rPr>
          <w:sz w:val="20"/>
          <w:szCs w:val="20"/>
        </w:rPr>
        <w:t xml:space="preserve"> </w:t>
      </w:r>
      <w:r w:rsidRPr="00F2244D">
        <w:rPr>
          <w:sz w:val="20"/>
          <w:szCs w:val="20"/>
        </w:rPr>
        <w:t>Rights</w:t>
      </w:r>
      <w:r w:rsidR="00FF41A0">
        <w:rPr>
          <w:sz w:val="20"/>
          <w:szCs w:val="20"/>
        </w:rPr>
        <w:t xml:space="preserve"> </w:t>
      </w:r>
      <w:r w:rsidRPr="0059638B">
        <w:rPr>
          <w:sz w:val="20"/>
          <w:szCs w:val="20"/>
        </w:rPr>
        <w:t>in</w:t>
      </w:r>
      <w:r w:rsidR="00FF41A0">
        <w:rPr>
          <w:sz w:val="20"/>
          <w:szCs w:val="20"/>
        </w:rPr>
        <w:t xml:space="preserve"> </w:t>
      </w:r>
      <w:r w:rsidRPr="0059638B">
        <w:rPr>
          <w:sz w:val="20"/>
          <w:szCs w:val="20"/>
        </w:rPr>
        <w:t>accordance</w:t>
      </w:r>
      <w:r w:rsidR="00FF41A0">
        <w:rPr>
          <w:sz w:val="20"/>
          <w:szCs w:val="20"/>
        </w:rPr>
        <w:t xml:space="preserve"> </w:t>
      </w:r>
      <w:r w:rsidRPr="0059638B">
        <w:rPr>
          <w:sz w:val="20"/>
          <w:szCs w:val="20"/>
        </w:rPr>
        <w:t>with</w:t>
      </w:r>
      <w:r w:rsidR="00FF41A0">
        <w:rPr>
          <w:sz w:val="20"/>
          <w:szCs w:val="20"/>
        </w:rPr>
        <w:t xml:space="preserve"> </w:t>
      </w:r>
      <w:r w:rsidRPr="0059638B">
        <w:rPr>
          <w:sz w:val="20"/>
          <w:szCs w:val="20"/>
        </w:rPr>
        <w:t>paragraph</w:t>
      </w:r>
      <w:r w:rsidR="00FF41A0">
        <w:rPr>
          <w:sz w:val="20"/>
          <w:szCs w:val="20"/>
        </w:rPr>
        <w:t xml:space="preserve"> </w:t>
      </w:r>
      <w:r w:rsidRPr="0059638B">
        <w:rPr>
          <w:sz w:val="20"/>
          <w:szCs w:val="20"/>
        </w:rPr>
        <w:t>15</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annex</w:t>
      </w:r>
      <w:r w:rsidR="00FF41A0">
        <w:rPr>
          <w:sz w:val="20"/>
          <w:szCs w:val="20"/>
        </w:rPr>
        <w:t xml:space="preserve"> </w:t>
      </w:r>
      <w:r w:rsidRPr="0059638B">
        <w:rPr>
          <w:sz w:val="20"/>
          <w:szCs w:val="20"/>
        </w:rPr>
        <w:t>to</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resolution</w:t>
      </w:r>
      <w:r w:rsidR="00FF41A0">
        <w:rPr>
          <w:sz w:val="20"/>
          <w:szCs w:val="20"/>
        </w:rPr>
        <w:t xml:space="preserve"> </w:t>
      </w:r>
      <w:r w:rsidRPr="0059638B">
        <w:rPr>
          <w:sz w:val="20"/>
          <w:szCs w:val="20"/>
        </w:rPr>
        <w:t>5/1</w:t>
      </w:r>
      <w:r w:rsidR="00FF41A0">
        <w:rPr>
          <w:sz w:val="20"/>
          <w:szCs w:val="20"/>
        </w:rPr>
        <w:t xml:space="preserve"> </w:t>
      </w:r>
      <w:r w:rsidRPr="0059638B">
        <w:rPr>
          <w:sz w:val="20"/>
          <w:szCs w:val="20"/>
        </w:rPr>
        <w:t>and</w:t>
      </w:r>
      <w:r w:rsidR="00FF41A0">
        <w:rPr>
          <w:sz w:val="20"/>
          <w:szCs w:val="20"/>
        </w:rPr>
        <w:t xml:space="preserve"> </w:t>
      </w:r>
      <w:r w:rsidRPr="0059638B">
        <w:rPr>
          <w:sz w:val="20"/>
          <w:szCs w:val="20"/>
        </w:rPr>
        <w:t>paragraph</w:t>
      </w:r>
      <w:r w:rsidR="00FF41A0">
        <w:rPr>
          <w:sz w:val="20"/>
          <w:szCs w:val="20"/>
        </w:rPr>
        <w:t xml:space="preserve"> </w:t>
      </w:r>
      <w:r w:rsidRPr="0059638B">
        <w:rPr>
          <w:sz w:val="20"/>
          <w:szCs w:val="20"/>
        </w:rPr>
        <w:t>5</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annex</w:t>
      </w:r>
      <w:r w:rsidR="00FF41A0">
        <w:rPr>
          <w:sz w:val="20"/>
          <w:szCs w:val="20"/>
        </w:rPr>
        <w:t xml:space="preserve"> </w:t>
      </w:r>
      <w:r w:rsidRPr="0059638B">
        <w:rPr>
          <w:sz w:val="20"/>
          <w:szCs w:val="20"/>
        </w:rPr>
        <w:t>to</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resolution</w:t>
      </w:r>
      <w:r w:rsidR="00FF41A0">
        <w:rPr>
          <w:sz w:val="20"/>
          <w:szCs w:val="20"/>
        </w:rPr>
        <w:t xml:space="preserve"> </w:t>
      </w:r>
      <w:r w:rsidRPr="0059638B">
        <w:rPr>
          <w:sz w:val="20"/>
          <w:szCs w:val="20"/>
        </w:rPr>
        <w:t>16/21</w:t>
      </w:r>
      <w:r w:rsidR="00FF41A0">
        <w:rPr>
          <w:sz w:val="20"/>
          <w:szCs w:val="20"/>
        </w:rPr>
        <w:t xml:space="preserve"> </w:t>
      </w:r>
      <w:r w:rsidRPr="0059638B">
        <w:rPr>
          <w:sz w:val="20"/>
          <w:szCs w:val="20"/>
        </w:rPr>
        <w:t>(A/HRC/WG.6/31/MYS/3).</w:t>
      </w:r>
    </w:p>
    <w:p w14:paraId="68C6C322" w14:textId="429ECB73" w:rsidR="00323457" w:rsidRPr="0059638B" w:rsidRDefault="00972F1E" w:rsidP="00323457">
      <w:pPr>
        <w:pStyle w:val="SingleTxtG"/>
        <w:rPr>
          <w:sz w:val="20"/>
          <w:szCs w:val="20"/>
        </w:rPr>
      </w:pPr>
      <w:r>
        <w:rPr>
          <w:sz w:val="20"/>
          <w:szCs w:val="20"/>
        </w:rPr>
        <w:t>633</w:t>
      </w:r>
      <w:r w:rsidR="00D7475F">
        <w:rPr>
          <w:sz w:val="20"/>
          <w:szCs w:val="20"/>
        </w:rPr>
        <w:t>.</w:t>
      </w:r>
      <w:r w:rsidR="00D7475F">
        <w:rPr>
          <w:sz w:val="20"/>
          <w:szCs w:val="20"/>
        </w:rPr>
        <w:tab/>
      </w:r>
      <w:r w:rsidR="00323457" w:rsidRPr="0059638B">
        <w:rPr>
          <w:sz w:val="20"/>
          <w:szCs w:val="20"/>
        </w:rPr>
        <w:t>At</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37th</w:t>
      </w:r>
      <w:r w:rsidR="00FF41A0">
        <w:rPr>
          <w:sz w:val="20"/>
          <w:szCs w:val="20"/>
        </w:rPr>
        <w:t xml:space="preserve"> </w:t>
      </w:r>
      <w:r w:rsidR="00323457" w:rsidRPr="0059638B">
        <w:rPr>
          <w:sz w:val="20"/>
          <w:szCs w:val="20"/>
        </w:rPr>
        <w:t>meeting,</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14</w:t>
      </w:r>
      <w:r w:rsidR="00FF41A0">
        <w:rPr>
          <w:sz w:val="20"/>
          <w:szCs w:val="20"/>
        </w:rPr>
        <w:t xml:space="preserve"> </w:t>
      </w:r>
      <w:r w:rsidR="00323457" w:rsidRPr="0059638B">
        <w:rPr>
          <w:sz w:val="20"/>
          <w:szCs w:val="20"/>
        </w:rPr>
        <w:t>March</w:t>
      </w:r>
      <w:r w:rsidR="00FF41A0">
        <w:rPr>
          <w:sz w:val="20"/>
          <w:szCs w:val="20"/>
        </w:rPr>
        <w:t xml:space="preserve"> </w:t>
      </w:r>
      <w:r w:rsidR="00323457" w:rsidRPr="0059638B">
        <w:rPr>
          <w:sz w:val="20"/>
          <w:szCs w:val="20"/>
        </w:rPr>
        <w:t>2019,</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Council</w:t>
      </w:r>
      <w:r w:rsidR="00FF41A0">
        <w:rPr>
          <w:sz w:val="20"/>
          <w:szCs w:val="20"/>
        </w:rPr>
        <w:t xml:space="preserve"> </w:t>
      </w:r>
      <w:r w:rsidR="00323457" w:rsidRPr="0059638B">
        <w:rPr>
          <w:sz w:val="20"/>
          <w:szCs w:val="20"/>
        </w:rPr>
        <w:t>considered</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adopted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outcome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Malaysia</w:t>
      </w:r>
      <w:r w:rsidR="00FF41A0">
        <w:rPr>
          <w:sz w:val="20"/>
          <w:szCs w:val="20"/>
        </w:rPr>
        <w:t xml:space="preserve"> </w:t>
      </w:r>
      <w:r w:rsidR="00323457" w:rsidRPr="0059638B">
        <w:rPr>
          <w:sz w:val="20"/>
          <w:szCs w:val="20"/>
        </w:rPr>
        <w:t>(see</w:t>
      </w:r>
      <w:r w:rsidR="00FF41A0">
        <w:rPr>
          <w:sz w:val="20"/>
          <w:szCs w:val="20"/>
        </w:rPr>
        <w:t xml:space="preserve"> </w:t>
      </w:r>
      <w:r w:rsidR="00323457" w:rsidRPr="0059638B">
        <w:rPr>
          <w:sz w:val="20"/>
          <w:szCs w:val="20"/>
        </w:rPr>
        <w:t>sect.</w:t>
      </w:r>
      <w:r w:rsidR="00FF41A0">
        <w:rPr>
          <w:sz w:val="20"/>
          <w:szCs w:val="20"/>
        </w:rPr>
        <w:t xml:space="preserve"> </w:t>
      </w:r>
      <w:r w:rsidR="00323457" w:rsidRPr="0059638B">
        <w:rPr>
          <w:sz w:val="20"/>
          <w:szCs w:val="20"/>
        </w:rPr>
        <w:t>C</w:t>
      </w:r>
      <w:r w:rsidR="00FF41A0">
        <w:rPr>
          <w:sz w:val="20"/>
          <w:szCs w:val="20"/>
        </w:rPr>
        <w:t xml:space="preserve"> </w:t>
      </w:r>
      <w:r w:rsidR="00323457" w:rsidRPr="0059638B">
        <w:rPr>
          <w:sz w:val="20"/>
          <w:szCs w:val="20"/>
        </w:rPr>
        <w:t>below).</w:t>
      </w:r>
    </w:p>
    <w:p w14:paraId="2C38D568" w14:textId="2927F872" w:rsidR="00323457" w:rsidRPr="0059638B" w:rsidRDefault="00972F1E" w:rsidP="00323457">
      <w:pPr>
        <w:pStyle w:val="SingleTxtG"/>
        <w:rPr>
          <w:sz w:val="20"/>
          <w:szCs w:val="20"/>
        </w:rPr>
      </w:pPr>
      <w:r>
        <w:rPr>
          <w:sz w:val="20"/>
          <w:szCs w:val="20"/>
        </w:rPr>
        <w:t>634</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outcome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Malaysia</w:t>
      </w:r>
      <w:r w:rsidR="00FF41A0">
        <w:rPr>
          <w:sz w:val="20"/>
          <w:szCs w:val="20"/>
        </w:rPr>
        <w:t xml:space="preserve"> </w:t>
      </w:r>
      <w:r w:rsidR="00323457" w:rsidRPr="0059638B">
        <w:rPr>
          <w:sz w:val="20"/>
          <w:szCs w:val="20"/>
        </w:rPr>
        <w:t>comprises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report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Working</w:t>
      </w:r>
      <w:r w:rsidR="00FF41A0">
        <w:rPr>
          <w:sz w:val="20"/>
          <w:szCs w:val="20"/>
        </w:rPr>
        <w:t xml:space="preserve"> </w:t>
      </w:r>
      <w:r w:rsidR="00323457" w:rsidRPr="0059638B">
        <w:rPr>
          <w:sz w:val="20"/>
          <w:szCs w:val="20"/>
        </w:rPr>
        <w:t>Group</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(A/HRC/40/11)</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views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Malaysia</w:t>
      </w:r>
      <w:r w:rsidR="00FF41A0">
        <w:rPr>
          <w:sz w:val="20"/>
          <w:szCs w:val="20"/>
        </w:rPr>
        <w:t xml:space="preserve"> </w:t>
      </w:r>
      <w:r w:rsidR="00323457" w:rsidRPr="0059638B">
        <w:rPr>
          <w:sz w:val="20"/>
          <w:szCs w:val="20"/>
        </w:rPr>
        <w:t>concerning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and/or</w:t>
      </w:r>
      <w:r w:rsidR="00FF41A0">
        <w:rPr>
          <w:sz w:val="20"/>
          <w:szCs w:val="20"/>
        </w:rPr>
        <w:t xml:space="preserve"> </w:t>
      </w:r>
      <w:r w:rsidR="00323457" w:rsidRPr="0059638B">
        <w:rPr>
          <w:sz w:val="20"/>
          <w:szCs w:val="20"/>
        </w:rPr>
        <w:t>conclusions,</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well</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voluntary</w:t>
      </w:r>
      <w:r w:rsidR="00FF41A0">
        <w:rPr>
          <w:sz w:val="20"/>
          <w:szCs w:val="20"/>
        </w:rPr>
        <w:t xml:space="preserve"> </w:t>
      </w:r>
      <w:r w:rsidR="00323457" w:rsidRPr="0059638B">
        <w:rPr>
          <w:sz w:val="20"/>
          <w:szCs w:val="20"/>
        </w:rPr>
        <w:t>commitments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replies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questions</w:t>
      </w:r>
      <w:r w:rsidR="00FF41A0">
        <w:rPr>
          <w:sz w:val="20"/>
          <w:szCs w:val="20"/>
        </w:rPr>
        <w:t xml:space="preserve"> </w:t>
      </w:r>
      <w:r w:rsidR="00323457" w:rsidRPr="0059638B">
        <w:rPr>
          <w:sz w:val="20"/>
          <w:szCs w:val="20"/>
        </w:rPr>
        <w:t>or</w:t>
      </w:r>
      <w:r w:rsidR="00FF41A0">
        <w:rPr>
          <w:sz w:val="20"/>
          <w:szCs w:val="20"/>
        </w:rPr>
        <w:t xml:space="preserve"> </w:t>
      </w:r>
      <w:r w:rsidR="00323457" w:rsidRPr="0059638B">
        <w:rPr>
          <w:sz w:val="20"/>
          <w:szCs w:val="20"/>
        </w:rPr>
        <w:t>issues</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not</w:t>
      </w:r>
      <w:r w:rsidR="00FF41A0">
        <w:rPr>
          <w:sz w:val="20"/>
          <w:szCs w:val="20"/>
        </w:rPr>
        <w:t xml:space="preserve"> </w:t>
      </w:r>
      <w:r w:rsidR="00323457" w:rsidRPr="0059638B">
        <w:rPr>
          <w:sz w:val="20"/>
          <w:szCs w:val="20"/>
        </w:rPr>
        <w:t>sufficiently</w:t>
      </w:r>
      <w:r w:rsidR="00FF41A0">
        <w:rPr>
          <w:sz w:val="20"/>
          <w:szCs w:val="20"/>
        </w:rPr>
        <w:t xml:space="preserve"> </w:t>
      </w:r>
      <w:r w:rsidR="00323457" w:rsidRPr="0059638B">
        <w:rPr>
          <w:sz w:val="20"/>
          <w:szCs w:val="20"/>
        </w:rPr>
        <w:t>addressed</w:t>
      </w:r>
      <w:r w:rsidR="00FF41A0">
        <w:rPr>
          <w:sz w:val="20"/>
          <w:szCs w:val="20"/>
        </w:rPr>
        <w:t xml:space="preserve"> </w:t>
      </w:r>
      <w:r w:rsidR="00323457" w:rsidRPr="0059638B">
        <w:rPr>
          <w:sz w:val="20"/>
          <w:szCs w:val="20"/>
        </w:rPr>
        <w:t>during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interactive</w:t>
      </w:r>
      <w:r w:rsidR="00FF41A0">
        <w:rPr>
          <w:sz w:val="20"/>
          <w:szCs w:val="20"/>
        </w:rPr>
        <w:t xml:space="preserve"> </w:t>
      </w:r>
      <w:r w:rsidR="00323457" w:rsidRPr="0059638B">
        <w:rPr>
          <w:sz w:val="20"/>
          <w:szCs w:val="20"/>
        </w:rPr>
        <w:t>dialogue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Working</w:t>
      </w:r>
      <w:r w:rsidR="00FF41A0">
        <w:rPr>
          <w:sz w:val="20"/>
          <w:szCs w:val="20"/>
        </w:rPr>
        <w:t xml:space="preserve"> </w:t>
      </w:r>
      <w:r w:rsidR="00323457" w:rsidRPr="0059638B">
        <w:rPr>
          <w:sz w:val="20"/>
          <w:szCs w:val="20"/>
        </w:rPr>
        <w:t>Group,</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presented</w:t>
      </w:r>
      <w:r w:rsidR="00FF41A0">
        <w:rPr>
          <w:sz w:val="20"/>
          <w:szCs w:val="20"/>
        </w:rPr>
        <w:t xml:space="preserve"> </w:t>
      </w:r>
      <w:r w:rsidR="00323457" w:rsidRPr="0059638B">
        <w:rPr>
          <w:sz w:val="20"/>
          <w:szCs w:val="20"/>
        </w:rPr>
        <w:t>before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adoption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outcome</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plenary</w:t>
      </w:r>
      <w:r w:rsidR="00FF41A0">
        <w:rPr>
          <w:sz w:val="20"/>
          <w:szCs w:val="20"/>
        </w:rPr>
        <w:t xml:space="preserve"> </w:t>
      </w:r>
      <w:r w:rsidR="00323457" w:rsidRPr="0059638B">
        <w:rPr>
          <w:sz w:val="20"/>
          <w:szCs w:val="20"/>
        </w:rPr>
        <w:t>(see</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A/HRC/40/11/Add.1).</w:t>
      </w:r>
    </w:p>
    <w:p w14:paraId="1B5FB965" w14:textId="0CA1810A" w:rsidR="00323457" w:rsidRPr="0059638B" w:rsidRDefault="00323457" w:rsidP="00323457">
      <w:pPr>
        <w:pStyle w:val="H23G"/>
        <w:rPr>
          <w:sz w:val="20"/>
          <w:szCs w:val="20"/>
        </w:rPr>
      </w:pPr>
      <w:r w:rsidRPr="0059638B">
        <w:rPr>
          <w:sz w:val="20"/>
          <w:szCs w:val="20"/>
        </w:rPr>
        <w:tab/>
        <w:t>1.</w:t>
      </w:r>
      <w:r w:rsidRPr="0059638B">
        <w:rPr>
          <w:sz w:val="20"/>
          <w:szCs w:val="20"/>
        </w:rPr>
        <w:tab/>
        <w:t>Views</w:t>
      </w:r>
      <w:r w:rsidR="00FF41A0">
        <w:rPr>
          <w:sz w:val="20"/>
          <w:szCs w:val="20"/>
        </w:rPr>
        <w:t xml:space="preserve"> </w:t>
      </w:r>
      <w:r w:rsidRPr="0059638B">
        <w:rPr>
          <w:sz w:val="20"/>
          <w:szCs w:val="20"/>
        </w:rPr>
        <w:t>expressed</w:t>
      </w:r>
      <w:r w:rsidR="00FF41A0">
        <w:rPr>
          <w:sz w:val="20"/>
          <w:szCs w:val="20"/>
        </w:rPr>
        <w:t xml:space="preserve"> </w:t>
      </w:r>
      <w:r w:rsidRPr="0059638B">
        <w:rPr>
          <w:sz w:val="20"/>
          <w:szCs w:val="20"/>
        </w:rPr>
        <w:t>by</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State</w:t>
      </w:r>
      <w:r w:rsidR="00FF41A0">
        <w:rPr>
          <w:sz w:val="20"/>
          <w:szCs w:val="20"/>
        </w:rPr>
        <w:t xml:space="preserve"> </w:t>
      </w:r>
      <w:r w:rsidRPr="0059638B">
        <w:rPr>
          <w:sz w:val="20"/>
          <w:szCs w:val="20"/>
        </w:rPr>
        <w:t>under</w:t>
      </w:r>
      <w:r w:rsidR="00FF41A0">
        <w:rPr>
          <w:sz w:val="20"/>
          <w:szCs w:val="20"/>
        </w:rPr>
        <w:t xml:space="preserve"> </w:t>
      </w:r>
      <w:r w:rsidRPr="0059638B">
        <w:rPr>
          <w:sz w:val="20"/>
          <w:szCs w:val="20"/>
        </w:rPr>
        <w:t>review</w:t>
      </w:r>
      <w:r w:rsidR="00FF41A0">
        <w:rPr>
          <w:sz w:val="20"/>
          <w:szCs w:val="20"/>
        </w:rPr>
        <w:t xml:space="preserve"> </w:t>
      </w:r>
      <w:r w:rsidRPr="0059638B">
        <w:rPr>
          <w:sz w:val="20"/>
          <w:szCs w:val="20"/>
        </w:rPr>
        <w:t>on</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recommendations</w:t>
      </w:r>
      <w:r w:rsidR="00FF41A0">
        <w:rPr>
          <w:sz w:val="20"/>
          <w:szCs w:val="20"/>
        </w:rPr>
        <w:t xml:space="preserve"> </w:t>
      </w:r>
      <w:r w:rsidRPr="0059638B">
        <w:rPr>
          <w:sz w:val="20"/>
          <w:szCs w:val="20"/>
        </w:rPr>
        <w:t>and/or</w:t>
      </w:r>
      <w:r w:rsidR="00FF41A0">
        <w:rPr>
          <w:sz w:val="20"/>
          <w:szCs w:val="20"/>
        </w:rPr>
        <w:t xml:space="preserve"> </w:t>
      </w:r>
      <w:r w:rsidRPr="0059638B">
        <w:rPr>
          <w:sz w:val="20"/>
          <w:szCs w:val="20"/>
        </w:rPr>
        <w:t>conclusions,</w:t>
      </w:r>
      <w:r w:rsidR="00FF41A0">
        <w:rPr>
          <w:sz w:val="20"/>
          <w:szCs w:val="20"/>
        </w:rPr>
        <w:t xml:space="preserve"> </w:t>
      </w:r>
      <w:r w:rsidRPr="0059638B">
        <w:rPr>
          <w:sz w:val="20"/>
          <w:szCs w:val="20"/>
        </w:rPr>
        <w:t>its</w:t>
      </w:r>
      <w:r w:rsidR="00FF41A0">
        <w:rPr>
          <w:sz w:val="20"/>
          <w:szCs w:val="20"/>
        </w:rPr>
        <w:t xml:space="preserve"> </w:t>
      </w:r>
      <w:r w:rsidRPr="0059638B">
        <w:rPr>
          <w:sz w:val="20"/>
          <w:szCs w:val="20"/>
        </w:rPr>
        <w:t>voluntary</w:t>
      </w:r>
      <w:r w:rsidR="00FF41A0">
        <w:rPr>
          <w:sz w:val="20"/>
          <w:szCs w:val="20"/>
        </w:rPr>
        <w:t xml:space="preserve"> </w:t>
      </w:r>
      <w:r w:rsidRPr="0059638B">
        <w:rPr>
          <w:sz w:val="20"/>
          <w:szCs w:val="20"/>
        </w:rPr>
        <w:t>commitments</w:t>
      </w:r>
      <w:r w:rsidR="00FF41A0">
        <w:rPr>
          <w:sz w:val="20"/>
          <w:szCs w:val="20"/>
        </w:rPr>
        <w:t xml:space="preserve"> </w:t>
      </w:r>
      <w:r w:rsidRPr="0059638B">
        <w:rPr>
          <w:sz w:val="20"/>
          <w:szCs w:val="20"/>
        </w:rPr>
        <w:t>and</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outcome</w:t>
      </w:r>
    </w:p>
    <w:p w14:paraId="42581D86" w14:textId="2ECA4AB4" w:rsidR="00323457" w:rsidRPr="0059638B" w:rsidRDefault="00972F1E" w:rsidP="00323457">
      <w:pPr>
        <w:pStyle w:val="SingleTxtG"/>
        <w:rPr>
          <w:sz w:val="20"/>
          <w:szCs w:val="20"/>
        </w:rPr>
      </w:pPr>
      <w:r>
        <w:rPr>
          <w:sz w:val="20"/>
          <w:szCs w:val="20"/>
        </w:rPr>
        <w:t>635</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head</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delegation,</w:t>
      </w:r>
      <w:r w:rsidR="00FF41A0">
        <w:rPr>
          <w:sz w:val="20"/>
          <w:szCs w:val="20"/>
        </w:rPr>
        <w:t xml:space="preserve"> </w:t>
      </w:r>
      <w:r w:rsidR="00323457" w:rsidRPr="0059638B">
        <w:rPr>
          <w:sz w:val="20"/>
          <w:szCs w:val="20"/>
        </w:rPr>
        <w:t>H.E.</w:t>
      </w:r>
      <w:r w:rsidR="00FF41A0">
        <w:rPr>
          <w:sz w:val="20"/>
          <w:szCs w:val="20"/>
        </w:rPr>
        <w:t xml:space="preserve"> </w:t>
      </w:r>
      <w:r w:rsidR="00323457" w:rsidRPr="0059638B">
        <w:rPr>
          <w:sz w:val="20"/>
          <w:szCs w:val="20"/>
        </w:rPr>
        <w:t>Mr.</w:t>
      </w:r>
      <w:r w:rsidR="00FF41A0">
        <w:rPr>
          <w:sz w:val="20"/>
          <w:szCs w:val="20"/>
        </w:rPr>
        <w:t xml:space="preserve"> </w:t>
      </w:r>
      <w:r w:rsidR="00323457" w:rsidRPr="0059638B">
        <w:rPr>
          <w:sz w:val="20"/>
          <w:szCs w:val="20"/>
        </w:rPr>
        <w:t>Dato</w:t>
      </w:r>
      <w:r w:rsidR="00D72627">
        <w:rPr>
          <w:sz w:val="20"/>
          <w:szCs w:val="20"/>
        </w:rPr>
        <w:t>’</w:t>
      </w:r>
      <w:r w:rsidR="00FF41A0">
        <w:rPr>
          <w:sz w:val="20"/>
          <w:szCs w:val="20"/>
        </w:rPr>
        <w:t xml:space="preserve"> </w:t>
      </w:r>
      <w:r w:rsidR="00323457" w:rsidRPr="0059638B">
        <w:rPr>
          <w:sz w:val="20"/>
          <w:szCs w:val="20"/>
        </w:rPr>
        <w:t>Amran</w:t>
      </w:r>
      <w:r w:rsidR="00FF41A0">
        <w:rPr>
          <w:sz w:val="20"/>
          <w:szCs w:val="20"/>
        </w:rPr>
        <w:t xml:space="preserve"> </w:t>
      </w:r>
      <w:r w:rsidR="00323457" w:rsidRPr="0059638B">
        <w:rPr>
          <w:sz w:val="20"/>
          <w:szCs w:val="20"/>
        </w:rPr>
        <w:t>Mohamed</w:t>
      </w:r>
      <w:r w:rsidR="00FF41A0">
        <w:rPr>
          <w:sz w:val="20"/>
          <w:szCs w:val="20"/>
        </w:rPr>
        <w:t xml:space="preserve"> </w:t>
      </w:r>
      <w:r w:rsidR="00323457" w:rsidRPr="0059638B">
        <w:rPr>
          <w:sz w:val="20"/>
          <w:szCs w:val="20"/>
        </w:rPr>
        <w:t>Zin,</w:t>
      </w:r>
      <w:r w:rsidR="00FF41A0">
        <w:rPr>
          <w:sz w:val="20"/>
          <w:szCs w:val="20"/>
        </w:rPr>
        <w:t xml:space="preserve"> </w:t>
      </w:r>
      <w:r w:rsidR="00323457" w:rsidRPr="0059638B">
        <w:rPr>
          <w:sz w:val="20"/>
          <w:szCs w:val="20"/>
        </w:rPr>
        <w:t>Permanent</w:t>
      </w:r>
      <w:r w:rsidR="00FF41A0">
        <w:rPr>
          <w:sz w:val="20"/>
          <w:szCs w:val="20"/>
        </w:rPr>
        <w:t xml:space="preserve"> </w:t>
      </w:r>
      <w:r w:rsidR="00323457" w:rsidRPr="0059638B">
        <w:rPr>
          <w:sz w:val="20"/>
          <w:szCs w:val="20"/>
        </w:rPr>
        <w:t>Representative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Malaysia</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United</w:t>
      </w:r>
      <w:r w:rsidR="00FF41A0">
        <w:rPr>
          <w:sz w:val="20"/>
          <w:szCs w:val="20"/>
        </w:rPr>
        <w:t xml:space="preserve"> </w:t>
      </w:r>
      <w:r w:rsidR="00323457" w:rsidRPr="0059638B">
        <w:rPr>
          <w:sz w:val="20"/>
          <w:szCs w:val="20"/>
        </w:rPr>
        <w:t>Nations</w:t>
      </w:r>
      <w:r w:rsidR="00FF41A0">
        <w:rPr>
          <w:sz w:val="20"/>
          <w:szCs w:val="20"/>
        </w:rPr>
        <w:t xml:space="preserve"> </w:t>
      </w:r>
      <w:r w:rsidR="00323457" w:rsidRPr="0059638B">
        <w:rPr>
          <w:sz w:val="20"/>
          <w:szCs w:val="20"/>
        </w:rPr>
        <w:t>Office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other</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Organizations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Geneva</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Malaysia</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firmly</w:t>
      </w:r>
      <w:r w:rsidR="00FF41A0">
        <w:rPr>
          <w:sz w:val="20"/>
          <w:szCs w:val="20"/>
        </w:rPr>
        <w:t xml:space="preserve"> </w:t>
      </w:r>
      <w:r w:rsidR="00323457" w:rsidRPr="0059638B">
        <w:rPr>
          <w:sz w:val="20"/>
          <w:szCs w:val="20"/>
        </w:rPr>
        <w:t>committed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process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appreciated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participation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113</w:t>
      </w:r>
      <w:r w:rsidR="00FF41A0">
        <w:rPr>
          <w:sz w:val="20"/>
          <w:szCs w:val="20"/>
        </w:rPr>
        <w:t xml:space="preserve"> </w:t>
      </w:r>
      <w:r w:rsidR="00323457" w:rsidRPr="0059638B">
        <w:rPr>
          <w:sz w:val="20"/>
          <w:szCs w:val="20"/>
        </w:rPr>
        <w:t>States</w:t>
      </w:r>
      <w:r w:rsidR="00FF41A0">
        <w:rPr>
          <w:sz w:val="20"/>
          <w:szCs w:val="20"/>
        </w:rPr>
        <w:t xml:space="preserve"> </w:t>
      </w:r>
      <w:r w:rsidR="00323457" w:rsidRPr="0059638B">
        <w:rPr>
          <w:sz w:val="20"/>
          <w:szCs w:val="20"/>
        </w:rPr>
        <w:t>during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Malaysia</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November</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last</w:t>
      </w:r>
      <w:r w:rsidR="00FF41A0">
        <w:rPr>
          <w:sz w:val="20"/>
          <w:szCs w:val="20"/>
        </w:rPr>
        <w:t xml:space="preserve"> </w:t>
      </w:r>
      <w:r w:rsidR="00323457" w:rsidRPr="0059638B">
        <w:rPr>
          <w:sz w:val="20"/>
          <w:szCs w:val="20"/>
        </w:rPr>
        <w:t>year.</w:t>
      </w:r>
      <w:r w:rsidR="00FF41A0">
        <w:rPr>
          <w:sz w:val="20"/>
          <w:szCs w:val="20"/>
        </w:rPr>
        <w:t xml:space="preserve"> </w:t>
      </w:r>
    </w:p>
    <w:p w14:paraId="4971829C" w14:textId="7F674BEC" w:rsidR="00323457" w:rsidRPr="0059638B" w:rsidRDefault="00972F1E" w:rsidP="00323457">
      <w:pPr>
        <w:pStyle w:val="SingleTxtG"/>
        <w:rPr>
          <w:sz w:val="20"/>
          <w:szCs w:val="20"/>
        </w:rPr>
      </w:pPr>
      <w:r>
        <w:rPr>
          <w:sz w:val="20"/>
          <w:szCs w:val="20"/>
        </w:rPr>
        <w:t>636</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rate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acceptance</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Malaysia</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steadily</w:t>
      </w:r>
      <w:r w:rsidR="00FF41A0">
        <w:rPr>
          <w:sz w:val="20"/>
          <w:szCs w:val="20"/>
        </w:rPr>
        <w:t xml:space="preserve"> </w:t>
      </w:r>
      <w:r w:rsidR="00323457" w:rsidRPr="0059638B">
        <w:rPr>
          <w:sz w:val="20"/>
          <w:szCs w:val="20"/>
        </w:rPr>
        <w:t>increased</w:t>
      </w:r>
      <w:r w:rsidR="00FF41A0">
        <w:rPr>
          <w:sz w:val="20"/>
          <w:szCs w:val="20"/>
        </w:rPr>
        <w:t xml:space="preserve"> </w:t>
      </w:r>
      <w:r w:rsidR="00323457" w:rsidRPr="0059638B">
        <w:rPr>
          <w:sz w:val="20"/>
          <w:szCs w:val="20"/>
        </w:rPr>
        <w:t>since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first</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Each</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w:t>
      </w:r>
      <w:r w:rsidR="00FF41A0">
        <w:rPr>
          <w:sz w:val="20"/>
          <w:szCs w:val="20"/>
        </w:rPr>
        <w:t xml:space="preserve"> </w:t>
      </w:r>
      <w:r w:rsidR="00323457" w:rsidRPr="0059638B">
        <w:rPr>
          <w:sz w:val="20"/>
          <w:szCs w:val="20"/>
        </w:rPr>
        <w:t>received</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thoroughly</w:t>
      </w:r>
      <w:r w:rsidR="00FF41A0">
        <w:rPr>
          <w:sz w:val="20"/>
          <w:szCs w:val="20"/>
        </w:rPr>
        <w:t xml:space="preserve"> </w:t>
      </w:r>
      <w:r w:rsidR="00323457" w:rsidRPr="0059638B">
        <w:rPr>
          <w:sz w:val="20"/>
          <w:szCs w:val="20"/>
        </w:rPr>
        <w:t>considered</w:t>
      </w:r>
      <w:r w:rsidR="00FF41A0">
        <w:rPr>
          <w:sz w:val="20"/>
          <w:szCs w:val="20"/>
        </w:rPr>
        <w:t xml:space="preserve"> </w:t>
      </w:r>
      <w:r w:rsidR="00323457" w:rsidRPr="0059638B">
        <w:rPr>
          <w:sz w:val="20"/>
          <w:szCs w:val="20"/>
        </w:rPr>
        <w:t>through</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series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consultations</w:t>
      </w:r>
      <w:r w:rsidR="00FF41A0">
        <w:rPr>
          <w:sz w:val="20"/>
          <w:szCs w:val="20"/>
        </w:rPr>
        <w:t xml:space="preserve"> </w:t>
      </w:r>
      <w:r w:rsidR="00323457" w:rsidRPr="0059638B">
        <w:rPr>
          <w:sz w:val="20"/>
          <w:szCs w:val="20"/>
        </w:rPr>
        <w:t>involving</w:t>
      </w:r>
      <w:r w:rsidR="00FF41A0">
        <w:rPr>
          <w:sz w:val="20"/>
          <w:szCs w:val="20"/>
        </w:rPr>
        <w:t xml:space="preserve"> </w:t>
      </w:r>
      <w:r w:rsidR="00323457" w:rsidRPr="0059638B">
        <w:rPr>
          <w:sz w:val="20"/>
          <w:szCs w:val="20"/>
        </w:rPr>
        <w:t>relevant</w:t>
      </w:r>
      <w:r w:rsidR="00FF41A0">
        <w:rPr>
          <w:sz w:val="20"/>
          <w:szCs w:val="20"/>
        </w:rPr>
        <w:t xml:space="preserve"> </w:t>
      </w:r>
      <w:r w:rsidR="00323457" w:rsidRPr="0059638B">
        <w:rPr>
          <w:sz w:val="20"/>
          <w:szCs w:val="20"/>
        </w:rPr>
        <w:t>Malaysian</w:t>
      </w:r>
      <w:r w:rsidR="00FF41A0">
        <w:rPr>
          <w:sz w:val="20"/>
          <w:szCs w:val="20"/>
        </w:rPr>
        <w:t xml:space="preserve"> </w:t>
      </w:r>
      <w:r w:rsidR="00323457" w:rsidRPr="0059638B">
        <w:rPr>
          <w:sz w:val="20"/>
          <w:szCs w:val="20"/>
        </w:rPr>
        <w:t>ministries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agencies.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line</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pledge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Malaysia</w:t>
      </w:r>
      <w:r w:rsidR="00FF41A0">
        <w:rPr>
          <w:sz w:val="20"/>
          <w:szCs w:val="20"/>
        </w:rPr>
        <w:t xml:space="preserve"> </w:t>
      </w:r>
      <w:r w:rsidR="00323457" w:rsidRPr="0059638B">
        <w:rPr>
          <w:sz w:val="20"/>
          <w:szCs w:val="20"/>
        </w:rPr>
        <w:t>during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multi-stakeholders</w:t>
      </w:r>
      <w:r w:rsidR="00FF41A0">
        <w:rPr>
          <w:sz w:val="20"/>
          <w:szCs w:val="20"/>
        </w:rPr>
        <w:t xml:space="preserve"> </w:t>
      </w:r>
      <w:r w:rsidR="00323457" w:rsidRPr="0059638B">
        <w:rPr>
          <w:sz w:val="20"/>
          <w:szCs w:val="20"/>
        </w:rPr>
        <w:t>consultation</w:t>
      </w:r>
      <w:r w:rsidR="00FF41A0">
        <w:rPr>
          <w:sz w:val="20"/>
          <w:szCs w:val="20"/>
        </w:rPr>
        <w:t xml:space="preserve"> </w:t>
      </w:r>
      <w:r w:rsidR="00323457" w:rsidRPr="0059638B">
        <w:rPr>
          <w:sz w:val="20"/>
          <w:szCs w:val="20"/>
        </w:rPr>
        <w:t>involving</w:t>
      </w:r>
      <w:r w:rsidR="00FF41A0">
        <w:rPr>
          <w:sz w:val="20"/>
          <w:szCs w:val="20"/>
        </w:rPr>
        <w:t xml:space="preserve"> </w:t>
      </w:r>
      <w:r w:rsidR="00323457" w:rsidRPr="0059638B">
        <w:rPr>
          <w:sz w:val="20"/>
          <w:szCs w:val="20"/>
        </w:rPr>
        <w:t>different</w:t>
      </w:r>
      <w:r w:rsidR="00FF41A0">
        <w:rPr>
          <w:sz w:val="20"/>
          <w:szCs w:val="20"/>
        </w:rPr>
        <w:t xml:space="preserve"> </w:t>
      </w:r>
      <w:r w:rsidR="00323457" w:rsidRPr="0059638B">
        <w:rPr>
          <w:sz w:val="20"/>
          <w:szCs w:val="20"/>
        </w:rPr>
        <w:t>ministries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agencies,</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well</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Malaysian</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Commission,</w:t>
      </w:r>
      <w:r w:rsidR="00FF41A0">
        <w:rPr>
          <w:sz w:val="20"/>
          <w:szCs w:val="20"/>
        </w:rPr>
        <w:t xml:space="preserve"> </w:t>
      </w:r>
      <w:r w:rsidR="00323457" w:rsidRPr="0059638B">
        <w:rPr>
          <w:sz w:val="20"/>
          <w:szCs w:val="20"/>
        </w:rPr>
        <w:t>civil</w:t>
      </w:r>
      <w:r w:rsidR="00FF41A0">
        <w:rPr>
          <w:sz w:val="20"/>
          <w:szCs w:val="20"/>
        </w:rPr>
        <w:t xml:space="preserve"> </w:t>
      </w:r>
      <w:r w:rsidR="00323457" w:rsidRPr="0059638B">
        <w:rPr>
          <w:sz w:val="20"/>
          <w:szCs w:val="20"/>
        </w:rPr>
        <w:t>society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non-governmental</w:t>
      </w:r>
      <w:r w:rsidR="00FF41A0">
        <w:rPr>
          <w:sz w:val="20"/>
          <w:szCs w:val="20"/>
        </w:rPr>
        <w:t xml:space="preserve"> </w:t>
      </w:r>
      <w:r w:rsidR="00323457" w:rsidRPr="0059638B">
        <w:rPr>
          <w:sz w:val="20"/>
          <w:szCs w:val="20"/>
        </w:rPr>
        <w:t>organisations</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held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January</w:t>
      </w:r>
      <w:r w:rsidR="00FF41A0">
        <w:rPr>
          <w:sz w:val="20"/>
          <w:szCs w:val="20"/>
        </w:rPr>
        <w:t xml:space="preserve"> </w:t>
      </w:r>
      <w:r w:rsidR="00323457" w:rsidRPr="0059638B">
        <w:rPr>
          <w:sz w:val="20"/>
          <w:szCs w:val="20"/>
        </w:rPr>
        <w:t>2019.</w:t>
      </w:r>
      <w:r w:rsidR="00FF41A0">
        <w:rPr>
          <w:sz w:val="20"/>
          <w:szCs w:val="20"/>
        </w:rPr>
        <w:t xml:space="preserve"> </w:t>
      </w:r>
    </w:p>
    <w:p w14:paraId="22AC67DA" w14:textId="0EE81C62" w:rsidR="00323457" w:rsidRPr="0059638B" w:rsidRDefault="00972F1E" w:rsidP="00323457">
      <w:pPr>
        <w:pStyle w:val="SingleTxtG"/>
        <w:rPr>
          <w:sz w:val="20"/>
          <w:szCs w:val="20"/>
        </w:rPr>
      </w:pPr>
      <w:r>
        <w:rPr>
          <w:sz w:val="20"/>
          <w:szCs w:val="20"/>
        </w:rPr>
        <w:lastRenderedPageBreak/>
        <w:t>637</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fundamental</w:t>
      </w:r>
      <w:r w:rsidR="00FF41A0">
        <w:rPr>
          <w:sz w:val="20"/>
          <w:szCs w:val="20"/>
        </w:rPr>
        <w:t xml:space="preserve"> </w:t>
      </w:r>
      <w:r w:rsidR="00323457" w:rsidRPr="0059638B">
        <w:rPr>
          <w:sz w:val="20"/>
          <w:szCs w:val="20"/>
        </w:rPr>
        <w:t>basis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position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Malaysia</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every</w:t>
      </w:r>
      <w:r w:rsidR="00FF41A0">
        <w:rPr>
          <w:sz w:val="20"/>
          <w:szCs w:val="20"/>
        </w:rPr>
        <w:t xml:space="preserve"> </w:t>
      </w:r>
      <w:r w:rsidR="00323457" w:rsidRPr="0059638B">
        <w:rPr>
          <w:sz w:val="20"/>
          <w:szCs w:val="20"/>
        </w:rPr>
        <w:t>recommendation</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build</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strong,</w:t>
      </w:r>
      <w:r w:rsidR="00FF41A0">
        <w:rPr>
          <w:sz w:val="20"/>
          <w:szCs w:val="20"/>
        </w:rPr>
        <w:t xml:space="preserve"> </w:t>
      </w:r>
      <w:r w:rsidR="00323457" w:rsidRPr="0059638B">
        <w:rPr>
          <w:sz w:val="20"/>
          <w:szCs w:val="20"/>
        </w:rPr>
        <w:t>inclusive,</w:t>
      </w:r>
      <w:r w:rsidR="00FF41A0">
        <w:rPr>
          <w:sz w:val="20"/>
          <w:szCs w:val="20"/>
        </w:rPr>
        <w:t xml:space="preserve"> </w:t>
      </w:r>
      <w:r w:rsidR="00323457" w:rsidRPr="0059638B">
        <w:rPr>
          <w:sz w:val="20"/>
          <w:szCs w:val="20"/>
        </w:rPr>
        <w:t>united</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forward-looking</w:t>
      </w:r>
      <w:r w:rsidR="00FF41A0">
        <w:rPr>
          <w:sz w:val="20"/>
          <w:szCs w:val="20"/>
        </w:rPr>
        <w:t xml:space="preserve"> </w:t>
      </w:r>
      <w:r w:rsidR="00323457" w:rsidRPr="0059638B">
        <w:rPr>
          <w:sz w:val="20"/>
          <w:szCs w:val="20"/>
        </w:rPr>
        <w:t>Malaysia,</w:t>
      </w:r>
      <w:r w:rsidR="00FF41A0">
        <w:rPr>
          <w:sz w:val="20"/>
          <w:szCs w:val="20"/>
        </w:rPr>
        <w:t xml:space="preserve"> </w:t>
      </w:r>
      <w:r w:rsidR="00323457" w:rsidRPr="0059638B">
        <w:rPr>
          <w:sz w:val="20"/>
          <w:szCs w:val="20"/>
        </w:rPr>
        <w:t>befitting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reformation</w:t>
      </w:r>
      <w:r w:rsidR="00FF41A0">
        <w:rPr>
          <w:sz w:val="20"/>
          <w:szCs w:val="20"/>
        </w:rPr>
        <w:t xml:space="preserve"> </w:t>
      </w:r>
      <w:r w:rsidR="00323457" w:rsidRPr="0059638B">
        <w:rPr>
          <w:sz w:val="20"/>
          <w:szCs w:val="20"/>
        </w:rPr>
        <w:t>agenda</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new</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towards</w:t>
      </w:r>
      <w:r w:rsidR="00FF41A0">
        <w:rPr>
          <w:sz w:val="20"/>
          <w:szCs w:val="20"/>
        </w:rPr>
        <w:t xml:space="preserve"> </w:t>
      </w:r>
      <w:r w:rsidR="00323457" w:rsidRPr="0059638B">
        <w:rPr>
          <w:sz w:val="20"/>
          <w:szCs w:val="20"/>
        </w:rPr>
        <w:t>advancing</w:t>
      </w:r>
      <w:r w:rsidR="00FF41A0">
        <w:rPr>
          <w:sz w:val="20"/>
          <w:szCs w:val="20"/>
        </w:rPr>
        <w:t xml:space="preserve"> </w:t>
      </w:r>
      <w:r w:rsidR="00323457" w:rsidRPr="0059638B">
        <w:rPr>
          <w:sz w:val="20"/>
          <w:szCs w:val="20"/>
        </w:rPr>
        <w:t>further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wellbeing,</w:t>
      </w:r>
      <w:r w:rsidR="00FF41A0">
        <w:rPr>
          <w:sz w:val="20"/>
          <w:szCs w:val="20"/>
        </w:rPr>
        <w:t xml:space="preserve"> </w:t>
      </w:r>
      <w:r w:rsidR="00323457" w:rsidRPr="0059638B">
        <w:rPr>
          <w:sz w:val="20"/>
          <w:szCs w:val="20"/>
        </w:rPr>
        <w:t>dignity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every</w:t>
      </w:r>
      <w:r w:rsidR="00FF41A0">
        <w:rPr>
          <w:sz w:val="20"/>
          <w:szCs w:val="20"/>
        </w:rPr>
        <w:t xml:space="preserve"> </w:t>
      </w:r>
      <w:r w:rsidR="00323457" w:rsidRPr="0059638B">
        <w:rPr>
          <w:sz w:val="20"/>
          <w:szCs w:val="20"/>
        </w:rPr>
        <w:t>Malaysian.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position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Malaysia</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therefore</w:t>
      </w:r>
      <w:r w:rsidR="00FF41A0">
        <w:rPr>
          <w:sz w:val="20"/>
          <w:szCs w:val="20"/>
        </w:rPr>
        <w:t xml:space="preserve"> </w:t>
      </w:r>
      <w:r w:rsidR="00323457" w:rsidRPr="0059638B">
        <w:rPr>
          <w:sz w:val="20"/>
          <w:szCs w:val="20"/>
        </w:rPr>
        <w:t>taken</w:t>
      </w:r>
      <w:r w:rsidR="00FF41A0">
        <w:rPr>
          <w:sz w:val="20"/>
          <w:szCs w:val="20"/>
        </w:rPr>
        <w:t xml:space="preserve"> </w:t>
      </w:r>
      <w:r w:rsidR="00323457" w:rsidRPr="0059638B">
        <w:rPr>
          <w:sz w:val="20"/>
          <w:szCs w:val="20"/>
        </w:rPr>
        <w:t>into</w:t>
      </w:r>
      <w:r w:rsidR="00FF41A0">
        <w:rPr>
          <w:sz w:val="20"/>
          <w:szCs w:val="20"/>
        </w:rPr>
        <w:t xml:space="preserve"> </w:t>
      </w:r>
      <w:r w:rsidR="00323457" w:rsidRPr="0059638B">
        <w:rPr>
          <w:sz w:val="20"/>
          <w:szCs w:val="20"/>
        </w:rPr>
        <w:t>account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prevailing</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circumstances,</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well</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aspirations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people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Malaysia.</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Malaysia</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accepted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part</w:t>
      </w:r>
      <w:r w:rsidR="00FF41A0">
        <w:rPr>
          <w:sz w:val="20"/>
          <w:szCs w:val="20"/>
        </w:rPr>
        <w:t xml:space="preserve"> </w:t>
      </w:r>
      <w:r w:rsidR="00323457" w:rsidRPr="0059638B">
        <w:rPr>
          <w:sz w:val="20"/>
          <w:szCs w:val="20"/>
        </w:rPr>
        <w:t>or</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not</w:t>
      </w:r>
      <w:r w:rsidR="00FF41A0">
        <w:rPr>
          <w:sz w:val="20"/>
          <w:szCs w:val="20"/>
        </w:rPr>
        <w:t xml:space="preserve"> </w:t>
      </w:r>
      <w:r w:rsidR="00323457" w:rsidRPr="0059638B">
        <w:rPr>
          <w:sz w:val="20"/>
          <w:szCs w:val="20"/>
        </w:rPr>
        <w:t>simply</w:t>
      </w:r>
      <w:r w:rsidR="00FF41A0">
        <w:rPr>
          <w:sz w:val="20"/>
          <w:szCs w:val="20"/>
        </w:rPr>
        <w:t xml:space="preserve"> </w:t>
      </w:r>
      <w:r w:rsidR="00323457" w:rsidRPr="0059638B">
        <w:rPr>
          <w:sz w:val="20"/>
          <w:szCs w:val="20"/>
        </w:rPr>
        <w:t>be</w:t>
      </w:r>
      <w:r w:rsidR="00FF41A0">
        <w:rPr>
          <w:sz w:val="20"/>
          <w:szCs w:val="20"/>
        </w:rPr>
        <w:t xml:space="preserve"> </w:t>
      </w:r>
      <w:r w:rsidR="00323457" w:rsidRPr="0059638B">
        <w:rPr>
          <w:sz w:val="20"/>
          <w:szCs w:val="20"/>
        </w:rPr>
        <w:t>put</w:t>
      </w:r>
      <w:r w:rsidR="00FF41A0">
        <w:rPr>
          <w:sz w:val="20"/>
          <w:szCs w:val="20"/>
        </w:rPr>
        <w:t xml:space="preserve"> </w:t>
      </w:r>
      <w:r w:rsidR="00323457" w:rsidRPr="0059638B">
        <w:rPr>
          <w:sz w:val="20"/>
          <w:szCs w:val="20"/>
        </w:rPr>
        <w:t>aside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ignored,</w:t>
      </w:r>
      <w:r w:rsidR="00FF41A0">
        <w:rPr>
          <w:sz w:val="20"/>
          <w:szCs w:val="20"/>
        </w:rPr>
        <w:t xml:space="preserve"> </w:t>
      </w:r>
      <w:r w:rsidR="00323457" w:rsidRPr="0059638B">
        <w:rPr>
          <w:sz w:val="20"/>
          <w:szCs w:val="20"/>
        </w:rPr>
        <w:t>but</w:t>
      </w:r>
      <w:r w:rsidR="00FF41A0">
        <w:rPr>
          <w:sz w:val="20"/>
          <w:szCs w:val="20"/>
        </w:rPr>
        <w:t xml:space="preserve"> </w:t>
      </w:r>
      <w:r w:rsidR="00323457" w:rsidRPr="0059638B">
        <w:rPr>
          <w:sz w:val="20"/>
          <w:szCs w:val="20"/>
        </w:rPr>
        <w:t>regularly</w:t>
      </w:r>
      <w:r w:rsidR="00FF41A0">
        <w:rPr>
          <w:sz w:val="20"/>
          <w:szCs w:val="20"/>
        </w:rPr>
        <w:t xml:space="preserve"> </w:t>
      </w:r>
      <w:r w:rsidR="00323457" w:rsidRPr="0059638B">
        <w:rPr>
          <w:sz w:val="20"/>
          <w:szCs w:val="20"/>
        </w:rPr>
        <w:t>assessed</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view</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possible</w:t>
      </w:r>
      <w:r w:rsidR="00FF41A0">
        <w:rPr>
          <w:sz w:val="20"/>
          <w:szCs w:val="20"/>
        </w:rPr>
        <w:t xml:space="preserve"> </w:t>
      </w:r>
      <w:r w:rsidR="00323457" w:rsidRPr="0059638B">
        <w:rPr>
          <w:sz w:val="20"/>
          <w:szCs w:val="20"/>
        </w:rPr>
        <w:t>acceptance</w:t>
      </w:r>
      <w:r w:rsidR="00FF41A0">
        <w:rPr>
          <w:sz w:val="20"/>
          <w:szCs w:val="20"/>
        </w:rPr>
        <w:t xml:space="preserve"> </w:t>
      </w:r>
      <w:r w:rsidR="00323457" w:rsidRPr="0059638B">
        <w:rPr>
          <w:sz w:val="20"/>
          <w:szCs w:val="20"/>
        </w:rPr>
        <w:t>at</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subsequent</w:t>
      </w:r>
      <w:r w:rsidR="00FF41A0">
        <w:rPr>
          <w:sz w:val="20"/>
          <w:szCs w:val="20"/>
        </w:rPr>
        <w:t xml:space="preserve"> </w:t>
      </w:r>
      <w:r w:rsidR="00323457" w:rsidRPr="0059638B">
        <w:rPr>
          <w:sz w:val="20"/>
          <w:szCs w:val="20"/>
        </w:rPr>
        <w:t>stage,</w:t>
      </w:r>
      <w:r w:rsidR="00FF41A0">
        <w:rPr>
          <w:sz w:val="20"/>
          <w:szCs w:val="20"/>
        </w:rPr>
        <w:t xml:space="preserve"> </w:t>
      </w:r>
      <w:r w:rsidR="00323457" w:rsidRPr="0059638B">
        <w:rPr>
          <w:sz w:val="20"/>
          <w:szCs w:val="20"/>
        </w:rPr>
        <w:t>taking</w:t>
      </w:r>
      <w:r w:rsidR="00FF41A0">
        <w:rPr>
          <w:sz w:val="20"/>
          <w:szCs w:val="20"/>
        </w:rPr>
        <w:t xml:space="preserve"> </w:t>
      </w:r>
      <w:r w:rsidR="00323457" w:rsidRPr="0059638B">
        <w:rPr>
          <w:sz w:val="20"/>
          <w:szCs w:val="20"/>
        </w:rPr>
        <w:t>into</w:t>
      </w:r>
      <w:r w:rsidR="00FF41A0">
        <w:rPr>
          <w:sz w:val="20"/>
          <w:szCs w:val="20"/>
        </w:rPr>
        <w:t xml:space="preserve"> </w:t>
      </w:r>
      <w:r w:rsidR="00323457" w:rsidRPr="0059638B">
        <w:rPr>
          <w:sz w:val="20"/>
          <w:szCs w:val="20"/>
        </w:rPr>
        <w:t>account</w:t>
      </w:r>
      <w:r w:rsidR="00FF41A0">
        <w:rPr>
          <w:sz w:val="20"/>
          <w:szCs w:val="20"/>
        </w:rPr>
        <w:t xml:space="preserve"> </w:t>
      </w:r>
      <w:r w:rsidR="00323457" w:rsidRPr="0059638B">
        <w:rPr>
          <w:sz w:val="20"/>
          <w:szCs w:val="20"/>
        </w:rPr>
        <w:t>domestic</w:t>
      </w:r>
      <w:r w:rsidR="00FF41A0">
        <w:rPr>
          <w:sz w:val="20"/>
          <w:szCs w:val="20"/>
        </w:rPr>
        <w:t xml:space="preserve"> </w:t>
      </w:r>
      <w:r w:rsidR="00323457" w:rsidRPr="0059638B">
        <w:rPr>
          <w:sz w:val="20"/>
          <w:szCs w:val="20"/>
        </w:rPr>
        <w:t>developments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obligations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Malaysia.</w:t>
      </w:r>
    </w:p>
    <w:p w14:paraId="4B18CD1E" w14:textId="7C7486E9" w:rsidR="00323457" w:rsidRPr="0059638B" w:rsidRDefault="00972F1E" w:rsidP="00323457">
      <w:pPr>
        <w:pStyle w:val="SingleTxtG"/>
        <w:rPr>
          <w:sz w:val="20"/>
          <w:szCs w:val="20"/>
        </w:rPr>
      </w:pPr>
      <w:r>
        <w:rPr>
          <w:sz w:val="20"/>
          <w:szCs w:val="20"/>
        </w:rPr>
        <w:t>638</w:t>
      </w:r>
      <w:r w:rsidR="00D7475F">
        <w:rPr>
          <w:sz w:val="20"/>
          <w:szCs w:val="20"/>
        </w:rPr>
        <w:t>.</w:t>
      </w:r>
      <w:r w:rsidR="00D7475F">
        <w:rPr>
          <w:sz w:val="20"/>
          <w:szCs w:val="20"/>
        </w:rPr>
        <w:tab/>
      </w:r>
      <w:r w:rsidR="00323457" w:rsidRPr="0059638B">
        <w:rPr>
          <w:sz w:val="20"/>
          <w:szCs w:val="20"/>
        </w:rPr>
        <w:t>In</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towards</w:t>
      </w:r>
      <w:r w:rsidR="00FF41A0">
        <w:rPr>
          <w:sz w:val="20"/>
          <w:szCs w:val="20"/>
        </w:rPr>
        <w:t xml:space="preserve"> </w:t>
      </w:r>
      <w:r w:rsidR="00323457" w:rsidRPr="0059638B">
        <w:rPr>
          <w:sz w:val="20"/>
          <w:szCs w:val="20"/>
        </w:rPr>
        <w:t>effective</w:t>
      </w:r>
      <w:r w:rsidR="00FF41A0">
        <w:rPr>
          <w:sz w:val="20"/>
          <w:szCs w:val="20"/>
        </w:rPr>
        <w:t xml:space="preserve"> </w:t>
      </w:r>
      <w:r w:rsidR="00323457" w:rsidRPr="0059638B">
        <w:rPr>
          <w:sz w:val="20"/>
          <w:szCs w:val="20"/>
        </w:rPr>
        <w:t>implementation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working</w:t>
      </w:r>
      <w:r w:rsidR="00FF41A0">
        <w:rPr>
          <w:sz w:val="20"/>
          <w:szCs w:val="20"/>
        </w:rPr>
        <w:t xml:space="preserve"> </w:t>
      </w:r>
      <w:r w:rsidR="00323457" w:rsidRPr="0059638B">
        <w:rPr>
          <w:sz w:val="20"/>
          <w:szCs w:val="20"/>
        </w:rPr>
        <w:t>closely</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various</w:t>
      </w:r>
      <w:r w:rsidR="00FF41A0">
        <w:rPr>
          <w:sz w:val="20"/>
          <w:szCs w:val="20"/>
        </w:rPr>
        <w:t xml:space="preserve"> </w:t>
      </w:r>
      <w:r w:rsidR="00323457" w:rsidRPr="0059638B">
        <w:rPr>
          <w:sz w:val="20"/>
          <w:szCs w:val="20"/>
        </w:rPr>
        <w:t>stakeholders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developing</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matrix</w:t>
      </w:r>
      <w:r w:rsidR="00FF41A0">
        <w:rPr>
          <w:sz w:val="20"/>
          <w:szCs w:val="20"/>
        </w:rPr>
        <w:t xml:space="preserve"> </w:t>
      </w:r>
      <w:r w:rsidR="00323457" w:rsidRPr="0059638B">
        <w:rPr>
          <w:sz w:val="20"/>
          <w:szCs w:val="20"/>
        </w:rPr>
        <w:t>or</w:t>
      </w:r>
      <w:r w:rsidR="00FF41A0">
        <w:rPr>
          <w:sz w:val="20"/>
          <w:szCs w:val="20"/>
        </w:rPr>
        <w:t xml:space="preserve"> </w:t>
      </w:r>
      <w:r w:rsidR="00323457" w:rsidRPr="0059638B">
        <w:rPr>
          <w:sz w:val="20"/>
          <w:szCs w:val="20"/>
        </w:rPr>
        <w:t>database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track</w:t>
      </w:r>
      <w:r w:rsidR="00FF41A0">
        <w:rPr>
          <w:sz w:val="20"/>
          <w:szCs w:val="20"/>
        </w:rPr>
        <w:t xml:space="preserve"> </w:t>
      </w:r>
      <w:r w:rsidR="00323457" w:rsidRPr="0059638B">
        <w:rPr>
          <w:sz w:val="20"/>
          <w:szCs w:val="20"/>
        </w:rPr>
        <w:t>progress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implementation,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conduct</w:t>
      </w:r>
      <w:r w:rsidR="00FF41A0">
        <w:rPr>
          <w:sz w:val="20"/>
          <w:szCs w:val="20"/>
        </w:rPr>
        <w:t xml:space="preserve"> </w:t>
      </w:r>
      <w:r w:rsidR="00323457" w:rsidRPr="0059638B">
        <w:rPr>
          <w:sz w:val="20"/>
          <w:szCs w:val="20"/>
        </w:rPr>
        <w:t>half-yearly</w:t>
      </w:r>
      <w:r w:rsidR="00FF41A0">
        <w:rPr>
          <w:sz w:val="20"/>
          <w:szCs w:val="20"/>
        </w:rPr>
        <w:t xml:space="preserve"> </w:t>
      </w:r>
      <w:r w:rsidR="00323457" w:rsidRPr="0059638B">
        <w:rPr>
          <w:sz w:val="20"/>
          <w:szCs w:val="20"/>
        </w:rPr>
        <w:t>reviews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order</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monitor</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scrutinise</w:t>
      </w:r>
      <w:r w:rsidR="00FF41A0">
        <w:rPr>
          <w:sz w:val="20"/>
          <w:szCs w:val="20"/>
        </w:rPr>
        <w:t xml:space="preserve"> </w:t>
      </w:r>
      <w:r w:rsidR="00323457" w:rsidRPr="0059638B">
        <w:rPr>
          <w:sz w:val="20"/>
          <w:szCs w:val="20"/>
        </w:rPr>
        <w:t>implementation</w:t>
      </w:r>
      <w:r w:rsidR="00FF41A0">
        <w:rPr>
          <w:sz w:val="20"/>
          <w:szCs w:val="20"/>
        </w:rPr>
        <w:t xml:space="preserve"> </w:t>
      </w:r>
      <w:r w:rsidR="00323457" w:rsidRPr="0059638B">
        <w:rPr>
          <w:sz w:val="20"/>
          <w:szCs w:val="20"/>
        </w:rPr>
        <w:t>status.</w:t>
      </w:r>
      <w:r w:rsidR="00FF41A0">
        <w:rPr>
          <w:sz w:val="20"/>
          <w:szCs w:val="20"/>
        </w:rPr>
        <w:t xml:space="preserve"> </w:t>
      </w:r>
      <w:r w:rsidR="00323457" w:rsidRPr="0059638B">
        <w:rPr>
          <w:sz w:val="20"/>
          <w:szCs w:val="20"/>
        </w:rPr>
        <w:t>These</w:t>
      </w:r>
      <w:r w:rsidR="00FF41A0">
        <w:rPr>
          <w:sz w:val="20"/>
          <w:szCs w:val="20"/>
        </w:rPr>
        <w:t xml:space="preserve"> </w:t>
      </w:r>
      <w:r w:rsidR="00323457" w:rsidRPr="0059638B">
        <w:rPr>
          <w:sz w:val="20"/>
          <w:szCs w:val="20"/>
        </w:rPr>
        <w:t>reviews</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involve</w:t>
      </w:r>
      <w:r w:rsidR="00FF41A0">
        <w:rPr>
          <w:sz w:val="20"/>
          <w:szCs w:val="20"/>
        </w:rPr>
        <w:t xml:space="preserve"> </w:t>
      </w:r>
      <w:r w:rsidR="00323457" w:rsidRPr="0059638B">
        <w:rPr>
          <w:sz w:val="20"/>
          <w:szCs w:val="20"/>
        </w:rPr>
        <w:t>line</w:t>
      </w:r>
      <w:r w:rsidR="00FF41A0">
        <w:rPr>
          <w:sz w:val="20"/>
          <w:szCs w:val="20"/>
        </w:rPr>
        <w:t xml:space="preserve"> </w:t>
      </w:r>
      <w:r w:rsidR="00323457" w:rsidRPr="0059638B">
        <w:rPr>
          <w:sz w:val="20"/>
          <w:szCs w:val="20"/>
        </w:rPr>
        <w:t>ministries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agencies,</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well</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other</w:t>
      </w:r>
      <w:r w:rsidR="00FF41A0">
        <w:rPr>
          <w:sz w:val="20"/>
          <w:szCs w:val="20"/>
        </w:rPr>
        <w:t xml:space="preserve"> </w:t>
      </w:r>
      <w:r w:rsidR="00323457" w:rsidRPr="0059638B">
        <w:rPr>
          <w:sz w:val="20"/>
          <w:szCs w:val="20"/>
        </w:rPr>
        <w:t>stakeholders.</w:t>
      </w:r>
      <w:r w:rsidR="00FF41A0">
        <w:rPr>
          <w:sz w:val="20"/>
          <w:szCs w:val="20"/>
        </w:rPr>
        <w:t xml:space="preserve"> </w:t>
      </w:r>
      <w:r w:rsidR="00323457" w:rsidRPr="0059638B">
        <w:rPr>
          <w:sz w:val="20"/>
          <w:szCs w:val="20"/>
        </w:rPr>
        <w:t>Annual</w:t>
      </w:r>
      <w:r w:rsidR="00FF41A0">
        <w:rPr>
          <w:sz w:val="20"/>
          <w:szCs w:val="20"/>
        </w:rPr>
        <w:t xml:space="preserve"> </w:t>
      </w:r>
      <w:r w:rsidR="00323457" w:rsidRPr="0059638B">
        <w:rPr>
          <w:sz w:val="20"/>
          <w:szCs w:val="20"/>
        </w:rPr>
        <w:t>report</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be</w:t>
      </w:r>
      <w:r w:rsidR="00FF41A0">
        <w:rPr>
          <w:sz w:val="20"/>
          <w:szCs w:val="20"/>
        </w:rPr>
        <w:t xml:space="preserve"> </w:t>
      </w:r>
      <w:r w:rsidR="00323457" w:rsidRPr="0059638B">
        <w:rPr>
          <w:sz w:val="20"/>
          <w:szCs w:val="20"/>
        </w:rPr>
        <w:t>prepared</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accessible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public</w:t>
      </w:r>
      <w:r w:rsidR="00FF41A0">
        <w:rPr>
          <w:sz w:val="20"/>
          <w:szCs w:val="20"/>
        </w:rPr>
        <w:t xml:space="preserve"> </w:t>
      </w:r>
      <w:r w:rsidR="00323457" w:rsidRPr="0059638B">
        <w:rPr>
          <w:sz w:val="20"/>
          <w:szCs w:val="20"/>
        </w:rPr>
        <w:t>on-line.</w:t>
      </w:r>
    </w:p>
    <w:p w14:paraId="1181D736" w14:textId="75BBDB0E" w:rsidR="00323457" w:rsidRPr="0059638B" w:rsidRDefault="00972F1E" w:rsidP="00323457">
      <w:pPr>
        <w:pStyle w:val="SingleTxtG"/>
        <w:rPr>
          <w:sz w:val="20"/>
          <w:szCs w:val="20"/>
        </w:rPr>
      </w:pPr>
      <w:r>
        <w:rPr>
          <w:sz w:val="20"/>
          <w:szCs w:val="20"/>
        </w:rPr>
        <w:t>639</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head</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delegation</w:t>
      </w:r>
      <w:r w:rsidR="00FF41A0">
        <w:rPr>
          <w:sz w:val="20"/>
          <w:szCs w:val="20"/>
        </w:rPr>
        <w:t xml:space="preserve"> </w:t>
      </w:r>
      <w:r w:rsidR="00323457" w:rsidRPr="0059638B">
        <w:rPr>
          <w:sz w:val="20"/>
          <w:szCs w:val="20"/>
        </w:rPr>
        <w:t>highlighted</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number</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recent</w:t>
      </w:r>
      <w:r w:rsidR="00FF41A0">
        <w:rPr>
          <w:sz w:val="20"/>
          <w:szCs w:val="20"/>
        </w:rPr>
        <w:t xml:space="preserve"> </w:t>
      </w:r>
      <w:r w:rsidR="00323457" w:rsidRPr="0059638B">
        <w:rPr>
          <w:sz w:val="20"/>
          <w:szCs w:val="20"/>
        </w:rPr>
        <w:t>developments,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addition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those</w:t>
      </w:r>
      <w:r w:rsidR="00FF41A0">
        <w:rPr>
          <w:sz w:val="20"/>
          <w:szCs w:val="20"/>
        </w:rPr>
        <w:t xml:space="preserve"> </w:t>
      </w:r>
      <w:r w:rsidR="00323457" w:rsidRPr="0059638B">
        <w:rPr>
          <w:sz w:val="20"/>
          <w:szCs w:val="20"/>
        </w:rPr>
        <w:t>highlighted</w:t>
      </w:r>
      <w:r w:rsidR="00FF41A0">
        <w:rPr>
          <w:sz w:val="20"/>
          <w:szCs w:val="20"/>
        </w:rPr>
        <w:t xml:space="preserve"> </w:t>
      </w:r>
      <w:r w:rsidR="00323457" w:rsidRPr="0059638B">
        <w:rPr>
          <w:sz w:val="20"/>
          <w:szCs w:val="20"/>
        </w:rPr>
        <w:t>during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mentioned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addendum</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Working</w:t>
      </w:r>
      <w:r w:rsidR="00FF41A0">
        <w:rPr>
          <w:sz w:val="20"/>
          <w:szCs w:val="20"/>
        </w:rPr>
        <w:t xml:space="preserve"> </w:t>
      </w:r>
      <w:r w:rsidR="00323457" w:rsidRPr="0059638B">
        <w:rPr>
          <w:sz w:val="20"/>
          <w:szCs w:val="20"/>
        </w:rPr>
        <w:t>Group</w:t>
      </w:r>
      <w:r w:rsidR="00FF41A0">
        <w:rPr>
          <w:sz w:val="20"/>
          <w:szCs w:val="20"/>
        </w:rPr>
        <w:t xml:space="preserve"> </w:t>
      </w:r>
      <w:r w:rsidR="00323457" w:rsidRPr="0059638B">
        <w:rPr>
          <w:sz w:val="20"/>
          <w:szCs w:val="20"/>
        </w:rPr>
        <w:t>report</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Malaysia.</w:t>
      </w:r>
      <w:r w:rsidR="00FF41A0">
        <w:rPr>
          <w:sz w:val="20"/>
          <w:szCs w:val="20"/>
        </w:rPr>
        <w:t xml:space="preserve"> </w:t>
      </w:r>
      <w:r w:rsidR="00323457" w:rsidRPr="0059638B">
        <w:rPr>
          <w:sz w:val="20"/>
          <w:szCs w:val="20"/>
        </w:rPr>
        <w:t>These</w:t>
      </w:r>
      <w:r w:rsidR="00FF41A0">
        <w:rPr>
          <w:sz w:val="20"/>
          <w:szCs w:val="20"/>
        </w:rPr>
        <w:t xml:space="preserve"> </w:t>
      </w:r>
      <w:r w:rsidR="00323457" w:rsidRPr="0059638B">
        <w:rPr>
          <w:sz w:val="20"/>
          <w:szCs w:val="20"/>
        </w:rPr>
        <w:t>developments</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results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swift</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Firstly,</w:t>
      </w:r>
      <w:r w:rsidR="00FF41A0">
        <w:rPr>
          <w:sz w:val="20"/>
          <w:szCs w:val="20"/>
        </w:rPr>
        <w:t xml:space="preserve"> </w:t>
      </w:r>
      <w:r w:rsidR="00323457" w:rsidRPr="0059638B">
        <w:rPr>
          <w:sz w:val="20"/>
          <w:szCs w:val="20"/>
        </w:rPr>
        <w:t>Malaysia</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announced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welcomes</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special</w:t>
      </w:r>
      <w:r w:rsidR="00FF41A0">
        <w:rPr>
          <w:sz w:val="20"/>
          <w:szCs w:val="20"/>
        </w:rPr>
        <w:t xml:space="preserve"> </w:t>
      </w:r>
      <w:r w:rsidR="00323457" w:rsidRPr="0059638B">
        <w:rPr>
          <w:sz w:val="20"/>
          <w:szCs w:val="20"/>
        </w:rPr>
        <w:t>rapporteurs,</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expanded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list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supported</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recommendation</w:t>
      </w:r>
      <w:r w:rsidR="00FF41A0">
        <w:rPr>
          <w:sz w:val="20"/>
          <w:szCs w:val="20"/>
        </w:rPr>
        <w:t xml:space="preserve"> </w:t>
      </w:r>
      <w:r w:rsidR="00323457" w:rsidRPr="0059638B">
        <w:rPr>
          <w:sz w:val="20"/>
          <w:szCs w:val="20"/>
        </w:rPr>
        <w:t>151.48</w:t>
      </w:r>
      <w:r w:rsidR="00FF41A0">
        <w:rPr>
          <w:sz w:val="20"/>
          <w:szCs w:val="20"/>
        </w:rPr>
        <w:t xml:space="preserve"> </w:t>
      </w:r>
      <w:r w:rsidR="00323457" w:rsidRPr="0059638B">
        <w:rPr>
          <w:sz w:val="20"/>
          <w:szCs w:val="20"/>
        </w:rPr>
        <w:t>relating</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standing</w:t>
      </w:r>
      <w:r w:rsidR="00FF41A0">
        <w:rPr>
          <w:sz w:val="20"/>
          <w:szCs w:val="20"/>
        </w:rPr>
        <w:t xml:space="preserve"> </w:t>
      </w:r>
      <w:r w:rsidR="00323457" w:rsidRPr="0059638B">
        <w:rPr>
          <w:sz w:val="20"/>
          <w:szCs w:val="20"/>
        </w:rPr>
        <w:t>invitation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special</w:t>
      </w:r>
      <w:r w:rsidR="00FF41A0">
        <w:rPr>
          <w:sz w:val="20"/>
          <w:szCs w:val="20"/>
        </w:rPr>
        <w:t xml:space="preserve"> </w:t>
      </w:r>
      <w:r w:rsidR="00323457" w:rsidRPr="0059638B">
        <w:rPr>
          <w:sz w:val="20"/>
          <w:szCs w:val="20"/>
        </w:rPr>
        <w:t>procedures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Council.</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head</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delegation</w:t>
      </w:r>
      <w:r w:rsidR="00FF41A0">
        <w:rPr>
          <w:sz w:val="20"/>
          <w:szCs w:val="20"/>
        </w:rPr>
        <w:t xml:space="preserve"> </w:t>
      </w:r>
      <w:r w:rsidR="00323457" w:rsidRPr="0059638B">
        <w:rPr>
          <w:sz w:val="20"/>
          <w:szCs w:val="20"/>
        </w:rPr>
        <w:t>highlighted</w:t>
      </w:r>
      <w:r w:rsidR="00FF41A0">
        <w:rPr>
          <w:sz w:val="20"/>
          <w:szCs w:val="20"/>
        </w:rPr>
        <w:t xml:space="preserve"> </w:t>
      </w:r>
      <w:r w:rsidR="00323457" w:rsidRPr="0059638B">
        <w:rPr>
          <w:sz w:val="20"/>
          <w:szCs w:val="20"/>
        </w:rPr>
        <w:t>country</w:t>
      </w:r>
      <w:r w:rsidR="00FF41A0">
        <w:rPr>
          <w:sz w:val="20"/>
          <w:szCs w:val="20"/>
        </w:rPr>
        <w:t xml:space="preserve"> </w:t>
      </w:r>
      <w:r w:rsidR="00323457" w:rsidRPr="0059638B">
        <w:rPr>
          <w:sz w:val="20"/>
          <w:szCs w:val="20"/>
        </w:rPr>
        <w:t>visits</w:t>
      </w:r>
      <w:r w:rsidR="00FF41A0">
        <w:rPr>
          <w:sz w:val="20"/>
          <w:szCs w:val="20"/>
        </w:rPr>
        <w:t xml:space="preserve"> </w:t>
      </w:r>
      <w:r w:rsidR="00323457" w:rsidRPr="0059638B">
        <w:rPr>
          <w:sz w:val="20"/>
          <w:szCs w:val="20"/>
        </w:rPr>
        <w:t>undertaken</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Special</w:t>
      </w:r>
      <w:r w:rsidR="00FF41A0">
        <w:rPr>
          <w:sz w:val="20"/>
          <w:szCs w:val="20"/>
        </w:rPr>
        <w:t xml:space="preserve"> </w:t>
      </w:r>
      <w:r w:rsidR="00323457" w:rsidRPr="0059638B">
        <w:rPr>
          <w:sz w:val="20"/>
          <w:szCs w:val="20"/>
        </w:rPr>
        <w:t>Rapporteur</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field</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cultural</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Special</w:t>
      </w:r>
      <w:r w:rsidR="00FF41A0">
        <w:rPr>
          <w:sz w:val="20"/>
          <w:szCs w:val="20"/>
        </w:rPr>
        <w:t xml:space="preserve"> </w:t>
      </w:r>
      <w:r w:rsidR="00323457" w:rsidRPr="0059638B">
        <w:rPr>
          <w:sz w:val="20"/>
          <w:szCs w:val="20"/>
        </w:rPr>
        <w:t>Rapporteur</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sale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sexual</w:t>
      </w:r>
      <w:r w:rsidR="00FF41A0">
        <w:rPr>
          <w:sz w:val="20"/>
          <w:szCs w:val="20"/>
        </w:rPr>
        <w:t xml:space="preserve"> </w:t>
      </w:r>
      <w:r w:rsidR="00323457" w:rsidRPr="0059638B">
        <w:rPr>
          <w:sz w:val="20"/>
          <w:szCs w:val="20"/>
        </w:rPr>
        <w:t>exploitation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children,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Special</w:t>
      </w:r>
      <w:r w:rsidR="00FF41A0">
        <w:rPr>
          <w:sz w:val="20"/>
          <w:szCs w:val="20"/>
        </w:rPr>
        <w:t xml:space="preserve"> </w:t>
      </w:r>
      <w:r w:rsidR="00323457" w:rsidRPr="0059638B">
        <w:rPr>
          <w:sz w:val="20"/>
          <w:szCs w:val="20"/>
        </w:rPr>
        <w:t>Rapporteur</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safe</w:t>
      </w:r>
      <w:r w:rsidR="00FF41A0">
        <w:rPr>
          <w:sz w:val="20"/>
          <w:szCs w:val="20"/>
        </w:rPr>
        <w:t xml:space="preserve"> </w:t>
      </w:r>
      <w:r w:rsidR="00323457" w:rsidRPr="0059638B">
        <w:rPr>
          <w:sz w:val="20"/>
          <w:szCs w:val="20"/>
        </w:rPr>
        <w:t>drinking</w:t>
      </w:r>
      <w:r w:rsidR="00FF41A0">
        <w:rPr>
          <w:sz w:val="20"/>
          <w:szCs w:val="20"/>
        </w:rPr>
        <w:t xml:space="preserve"> </w:t>
      </w:r>
      <w:r w:rsidR="00323457" w:rsidRPr="0059638B">
        <w:rPr>
          <w:sz w:val="20"/>
          <w:szCs w:val="20"/>
        </w:rPr>
        <w:t>water</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sanitation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Malaysia</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2017</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2018</w:t>
      </w:r>
      <w:r w:rsidR="00FF41A0">
        <w:rPr>
          <w:sz w:val="20"/>
          <w:szCs w:val="20"/>
        </w:rPr>
        <w:t xml:space="preserve"> </w:t>
      </w:r>
      <w:r w:rsidR="00323457" w:rsidRPr="0059638B">
        <w:rPr>
          <w:sz w:val="20"/>
          <w:szCs w:val="20"/>
        </w:rPr>
        <w:t>respectively.</w:t>
      </w:r>
      <w:r w:rsidR="00FF41A0">
        <w:rPr>
          <w:sz w:val="20"/>
          <w:szCs w:val="20"/>
        </w:rPr>
        <w:t xml:space="preserve"> </w:t>
      </w:r>
      <w:r w:rsidR="00323457" w:rsidRPr="0059638B">
        <w:rPr>
          <w:sz w:val="20"/>
          <w:szCs w:val="20"/>
        </w:rPr>
        <w:t>Malaysia</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host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Special</w:t>
      </w:r>
      <w:r w:rsidR="00FF41A0">
        <w:rPr>
          <w:sz w:val="20"/>
          <w:szCs w:val="20"/>
        </w:rPr>
        <w:t xml:space="preserve"> </w:t>
      </w:r>
      <w:r w:rsidR="00323457" w:rsidRPr="0059638B">
        <w:rPr>
          <w:sz w:val="20"/>
          <w:szCs w:val="20"/>
        </w:rPr>
        <w:t>Rapporteur</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extreme</w:t>
      </w:r>
      <w:r w:rsidR="00FF41A0">
        <w:rPr>
          <w:sz w:val="20"/>
          <w:szCs w:val="20"/>
        </w:rPr>
        <w:t xml:space="preserve"> </w:t>
      </w:r>
      <w:r w:rsidR="00323457" w:rsidRPr="0059638B">
        <w:rPr>
          <w:sz w:val="20"/>
          <w:szCs w:val="20"/>
        </w:rPr>
        <w:t>poverty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August</w:t>
      </w:r>
      <w:r w:rsidR="00FF41A0">
        <w:rPr>
          <w:sz w:val="20"/>
          <w:szCs w:val="20"/>
        </w:rPr>
        <w:t xml:space="preserve"> </w:t>
      </w:r>
      <w:r w:rsidR="00323457" w:rsidRPr="0059638B">
        <w:rPr>
          <w:sz w:val="20"/>
          <w:szCs w:val="20"/>
        </w:rPr>
        <w:t>2019.</w:t>
      </w:r>
      <w:r w:rsidR="00FF41A0">
        <w:rPr>
          <w:sz w:val="20"/>
          <w:szCs w:val="20"/>
        </w:rPr>
        <w:t xml:space="preserve"> </w:t>
      </w:r>
      <w:r w:rsidR="00323457" w:rsidRPr="0059638B">
        <w:rPr>
          <w:sz w:val="20"/>
          <w:szCs w:val="20"/>
        </w:rPr>
        <w:t>Secondly,</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4</w:t>
      </w:r>
      <w:r w:rsidR="00FF41A0">
        <w:rPr>
          <w:sz w:val="20"/>
          <w:szCs w:val="20"/>
        </w:rPr>
        <w:t xml:space="preserve"> </w:t>
      </w:r>
      <w:r w:rsidR="00323457" w:rsidRPr="0059638B">
        <w:rPr>
          <w:sz w:val="20"/>
          <w:szCs w:val="20"/>
        </w:rPr>
        <w:t>March</w:t>
      </w:r>
      <w:r w:rsidR="00FF41A0">
        <w:rPr>
          <w:sz w:val="20"/>
          <w:szCs w:val="20"/>
        </w:rPr>
        <w:t xml:space="preserve"> </w:t>
      </w:r>
      <w:r w:rsidR="00323457" w:rsidRPr="0059638B">
        <w:rPr>
          <w:sz w:val="20"/>
          <w:szCs w:val="20"/>
        </w:rPr>
        <w:t>2019,</w:t>
      </w:r>
      <w:r w:rsidR="00FF41A0">
        <w:rPr>
          <w:sz w:val="20"/>
          <w:szCs w:val="20"/>
        </w:rPr>
        <w:t xml:space="preserve"> </w:t>
      </w:r>
      <w:r w:rsidR="00323457" w:rsidRPr="0059638B">
        <w:rPr>
          <w:sz w:val="20"/>
          <w:szCs w:val="20"/>
        </w:rPr>
        <w:t>Malaysia</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ratified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Rome</w:t>
      </w:r>
      <w:r w:rsidR="00FF41A0">
        <w:rPr>
          <w:sz w:val="20"/>
          <w:szCs w:val="20"/>
        </w:rPr>
        <w:t xml:space="preserve"> </w:t>
      </w:r>
      <w:r w:rsidR="00323457" w:rsidRPr="0059638B">
        <w:rPr>
          <w:sz w:val="20"/>
          <w:szCs w:val="20"/>
        </w:rPr>
        <w:t>Statute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Criminal</w:t>
      </w:r>
      <w:r w:rsidR="00FF41A0">
        <w:rPr>
          <w:sz w:val="20"/>
          <w:szCs w:val="20"/>
        </w:rPr>
        <w:t xml:space="preserve"> </w:t>
      </w:r>
      <w:r w:rsidR="00323457" w:rsidRPr="0059638B">
        <w:rPr>
          <w:sz w:val="20"/>
          <w:szCs w:val="20"/>
        </w:rPr>
        <w:t>Court.</w:t>
      </w:r>
      <w:r w:rsidR="00FF41A0">
        <w:rPr>
          <w:sz w:val="20"/>
          <w:szCs w:val="20"/>
        </w:rPr>
        <w:t xml:space="preserve"> </w:t>
      </w:r>
      <w:r w:rsidR="00323457" w:rsidRPr="0059638B">
        <w:rPr>
          <w:sz w:val="20"/>
          <w:szCs w:val="20"/>
        </w:rPr>
        <w:t>Thirdly,</w:t>
      </w:r>
      <w:r w:rsidR="00FF41A0">
        <w:rPr>
          <w:sz w:val="20"/>
          <w:szCs w:val="20"/>
        </w:rPr>
        <w:t xml:space="preserve"> </w:t>
      </w:r>
      <w:r w:rsidR="00323457" w:rsidRPr="0059638B">
        <w:rPr>
          <w:sz w:val="20"/>
          <w:szCs w:val="20"/>
        </w:rPr>
        <w:t>an</w:t>
      </w:r>
      <w:r w:rsidR="00FF41A0">
        <w:rPr>
          <w:sz w:val="20"/>
          <w:szCs w:val="20"/>
        </w:rPr>
        <w:t xml:space="preserve"> </w:t>
      </w:r>
      <w:r w:rsidR="00323457" w:rsidRPr="0059638B">
        <w:rPr>
          <w:sz w:val="20"/>
          <w:szCs w:val="20"/>
        </w:rPr>
        <w:t>Electoral</w:t>
      </w:r>
      <w:r w:rsidR="00FF41A0">
        <w:rPr>
          <w:sz w:val="20"/>
          <w:szCs w:val="20"/>
        </w:rPr>
        <w:t xml:space="preserve"> </w:t>
      </w:r>
      <w:r w:rsidR="00323457" w:rsidRPr="0059638B">
        <w:rPr>
          <w:sz w:val="20"/>
          <w:szCs w:val="20"/>
        </w:rPr>
        <w:t>Reform</w:t>
      </w:r>
      <w:r w:rsidR="00FF41A0">
        <w:rPr>
          <w:sz w:val="20"/>
          <w:szCs w:val="20"/>
        </w:rPr>
        <w:t xml:space="preserve"> </w:t>
      </w:r>
      <w:r w:rsidR="00323457" w:rsidRPr="0059638B">
        <w:rPr>
          <w:sz w:val="20"/>
          <w:szCs w:val="20"/>
        </w:rPr>
        <w:t>Committee</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established,</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specific</w:t>
      </w:r>
      <w:r w:rsidR="00FF41A0">
        <w:rPr>
          <w:sz w:val="20"/>
          <w:szCs w:val="20"/>
        </w:rPr>
        <w:t xml:space="preserve"> </w:t>
      </w:r>
      <w:r w:rsidR="00323457" w:rsidRPr="0059638B">
        <w:rPr>
          <w:sz w:val="20"/>
          <w:szCs w:val="20"/>
        </w:rPr>
        <w:t>law</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be</w:t>
      </w:r>
      <w:r w:rsidR="00FF41A0">
        <w:rPr>
          <w:sz w:val="20"/>
          <w:szCs w:val="20"/>
        </w:rPr>
        <w:t xml:space="preserve"> </w:t>
      </w:r>
      <w:r w:rsidR="00323457" w:rsidRPr="0059638B">
        <w:rPr>
          <w:sz w:val="20"/>
          <w:szCs w:val="20"/>
        </w:rPr>
        <w:t>legislated</w:t>
      </w:r>
      <w:r w:rsidR="00FF41A0">
        <w:rPr>
          <w:sz w:val="20"/>
          <w:szCs w:val="20"/>
        </w:rPr>
        <w:t xml:space="preserve"> </w:t>
      </w:r>
      <w:r w:rsidR="00323457" w:rsidRPr="0059638B">
        <w:rPr>
          <w:sz w:val="20"/>
          <w:szCs w:val="20"/>
        </w:rPr>
        <w:t>towards</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more</w:t>
      </w:r>
      <w:r w:rsidR="00FF41A0">
        <w:rPr>
          <w:sz w:val="20"/>
          <w:szCs w:val="20"/>
        </w:rPr>
        <w:t xml:space="preserve"> </w:t>
      </w:r>
      <w:r w:rsidR="00323457" w:rsidRPr="0059638B">
        <w:rPr>
          <w:sz w:val="20"/>
          <w:szCs w:val="20"/>
        </w:rPr>
        <w:t>advanced</w:t>
      </w:r>
      <w:r w:rsidR="00FF41A0">
        <w:rPr>
          <w:sz w:val="20"/>
          <w:szCs w:val="20"/>
        </w:rPr>
        <w:t xml:space="preserve"> </w:t>
      </w:r>
      <w:r w:rsidR="00323457" w:rsidRPr="0059638B">
        <w:rPr>
          <w:sz w:val="20"/>
          <w:szCs w:val="20"/>
        </w:rPr>
        <w:t>election</w:t>
      </w:r>
      <w:r w:rsidR="00FF41A0">
        <w:rPr>
          <w:sz w:val="20"/>
          <w:szCs w:val="20"/>
        </w:rPr>
        <w:t xml:space="preserve"> </w:t>
      </w:r>
      <w:r w:rsidR="00323457" w:rsidRPr="0059638B">
        <w:rPr>
          <w:sz w:val="20"/>
          <w:szCs w:val="20"/>
        </w:rPr>
        <w:t>management</w:t>
      </w:r>
      <w:r w:rsidR="00FF41A0">
        <w:rPr>
          <w:sz w:val="20"/>
          <w:szCs w:val="20"/>
        </w:rPr>
        <w:t xml:space="preserve"> </w:t>
      </w:r>
      <w:r w:rsidR="00323457" w:rsidRPr="0059638B">
        <w:rPr>
          <w:sz w:val="20"/>
          <w:szCs w:val="20"/>
        </w:rPr>
        <w:t>system,</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well</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fair</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transparent</w:t>
      </w:r>
      <w:r w:rsidR="00FF41A0">
        <w:rPr>
          <w:sz w:val="20"/>
          <w:szCs w:val="20"/>
        </w:rPr>
        <w:t xml:space="preserve"> </w:t>
      </w:r>
      <w:r w:rsidR="00323457" w:rsidRPr="0059638B">
        <w:rPr>
          <w:sz w:val="20"/>
          <w:szCs w:val="20"/>
        </w:rPr>
        <w:t>electoral</w:t>
      </w:r>
      <w:r w:rsidR="00FF41A0">
        <w:rPr>
          <w:sz w:val="20"/>
          <w:szCs w:val="20"/>
        </w:rPr>
        <w:t xml:space="preserve"> </w:t>
      </w:r>
      <w:r w:rsidR="00323457" w:rsidRPr="0059638B">
        <w:rPr>
          <w:sz w:val="20"/>
          <w:szCs w:val="20"/>
        </w:rPr>
        <w:t>process</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conforms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democratic</w:t>
      </w:r>
      <w:r w:rsidR="00FF41A0">
        <w:rPr>
          <w:sz w:val="20"/>
          <w:szCs w:val="20"/>
        </w:rPr>
        <w:t xml:space="preserve"> </w:t>
      </w:r>
      <w:r w:rsidR="00323457" w:rsidRPr="0059638B">
        <w:rPr>
          <w:sz w:val="20"/>
          <w:szCs w:val="20"/>
        </w:rPr>
        <w:t>principles.</w:t>
      </w:r>
      <w:r w:rsidR="00FF41A0">
        <w:rPr>
          <w:sz w:val="20"/>
          <w:szCs w:val="20"/>
        </w:rPr>
        <w:t xml:space="preserve"> </w:t>
      </w:r>
      <w:r w:rsidR="00323457" w:rsidRPr="0059638B">
        <w:rPr>
          <w:sz w:val="20"/>
          <w:szCs w:val="20"/>
        </w:rPr>
        <w:t>Moreover,</w:t>
      </w:r>
      <w:r w:rsidR="00FF41A0">
        <w:rPr>
          <w:sz w:val="20"/>
          <w:szCs w:val="20"/>
        </w:rPr>
        <w:t xml:space="preserve"> </w:t>
      </w:r>
      <w:r w:rsidR="00323457" w:rsidRPr="0059638B">
        <w:rPr>
          <w:sz w:val="20"/>
          <w:szCs w:val="20"/>
        </w:rPr>
        <w:t>Malaysia</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taking</w:t>
      </w:r>
      <w:r w:rsidR="00FF41A0">
        <w:rPr>
          <w:sz w:val="20"/>
          <w:szCs w:val="20"/>
        </w:rPr>
        <w:t xml:space="preserve"> </w:t>
      </w:r>
      <w:r w:rsidR="00323457" w:rsidRPr="0059638B">
        <w:rPr>
          <w:sz w:val="20"/>
          <w:szCs w:val="20"/>
        </w:rPr>
        <w:t>concrete</w:t>
      </w:r>
      <w:r w:rsidR="00FF41A0">
        <w:rPr>
          <w:sz w:val="20"/>
          <w:szCs w:val="20"/>
        </w:rPr>
        <w:t xml:space="preserve"> </w:t>
      </w:r>
      <w:r w:rsidR="00323457" w:rsidRPr="0059638B">
        <w:rPr>
          <w:sz w:val="20"/>
          <w:szCs w:val="20"/>
        </w:rPr>
        <w:t>steps</w:t>
      </w:r>
      <w:r w:rsidR="00FF41A0">
        <w:rPr>
          <w:sz w:val="20"/>
          <w:szCs w:val="20"/>
        </w:rPr>
        <w:t xml:space="preserve"> </w:t>
      </w:r>
      <w:r w:rsidR="00323457" w:rsidRPr="0059638B">
        <w:rPr>
          <w:sz w:val="20"/>
          <w:szCs w:val="20"/>
        </w:rPr>
        <w:t>towards</w:t>
      </w:r>
      <w:r w:rsidR="00FF41A0">
        <w:rPr>
          <w:sz w:val="20"/>
          <w:szCs w:val="20"/>
        </w:rPr>
        <w:t xml:space="preserve"> </w:t>
      </w:r>
      <w:r w:rsidR="00323457" w:rsidRPr="0059638B">
        <w:rPr>
          <w:sz w:val="20"/>
          <w:szCs w:val="20"/>
        </w:rPr>
        <w:t>appointing</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Children</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Commissioner.</w:t>
      </w:r>
      <w:r w:rsidR="00FF41A0">
        <w:rPr>
          <w:sz w:val="20"/>
          <w:szCs w:val="20"/>
        </w:rPr>
        <w:t xml:space="preserve"> </w:t>
      </w:r>
      <w:r w:rsidR="00323457" w:rsidRPr="0059638B">
        <w:rPr>
          <w:sz w:val="20"/>
          <w:szCs w:val="20"/>
        </w:rPr>
        <w:t>Furthermore,</w:t>
      </w:r>
      <w:r w:rsidR="00FF41A0">
        <w:rPr>
          <w:sz w:val="20"/>
          <w:szCs w:val="20"/>
        </w:rPr>
        <w:t xml:space="preserve"> </w:t>
      </w:r>
      <w:r w:rsidR="00323457" w:rsidRPr="0059638B">
        <w:rPr>
          <w:sz w:val="20"/>
          <w:szCs w:val="20"/>
        </w:rPr>
        <w:t>an</w:t>
      </w:r>
      <w:r w:rsidR="00FF41A0">
        <w:rPr>
          <w:sz w:val="20"/>
          <w:szCs w:val="20"/>
        </w:rPr>
        <w:t xml:space="preserve"> </w:t>
      </w:r>
      <w:r w:rsidR="00323457" w:rsidRPr="0059638B">
        <w:rPr>
          <w:sz w:val="20"/>
          <w:szCs w:val="20"/>
        </w:rPr>
        <w:t>Independent</w:t>
      </w:r>
      <w:r w:rsidR="00FF41A0">
        <w:rPr>
          <w:sz w:val="20"/>
          <w:szCs w:val="20"/>
        </w:rPr>
        <w:t xml:space="preserve"> </w:t>
      </w:r>
      <w:r w:rsidR="00323457" w:rsidRPr="0059638B">
        <w:rPr>
          <w:sz w:val="20"/>
          <w:szCs w:val="20"/>
        </w:rPr>
        <w:t>Committee</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Migrant</w:t>
      </w:r>
      <w:r w:rsidR="00FF41A0">
        <w:rPr>
          <w:sz w:val="20"/>
          <w:szCs w:val="20"/>
        </w:rPr>
        <w:t xml:space="preserve"> </w:t>
      </w:r>
      <w:r w:rsidR="00323457" w:rsidRPr="0059638B">
        <w:rPr>
          <w:sz w:val="20"/>
          <w:szCs w:val="20"/>
        </w:rPr>
        <w:t>Workers</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set</w:t>
      </w:r>
      <w:r w:rsidR="00FF41A0">
        <w:rPr>
          <w:sz w:val="20"/>
          <w:szCs w:val="20"/>
        </w:rPr>
        <w:t xml:space="preserve"> </w:t>
      </w:r>
      <w:r w:rsidR="00323457" w:rsidRPr="0059638B">
        <w:rPr>
          <w:sz w:val="20"/>
          <w:szCs w:val="20"/>
        </w:rPr>
        <w:t>up</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mandate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coordinate</w:t>
      </w:r>
      <w:r w:rsidR="00FF41A0">
        <w:rPr>
          <w:sz w:val="20"/>
          <w:szCs w:val="20"/>
        </w:rPr>
        <w:t xml:space="preserve"> </w:t>
      </w:r>
      <w:r w:rsidR="00323457" w:rsidRPr="0059638B">
        <w:rPr>
          <w:sz w:val="20"/>
          <w:szCs w:val="20"/>
        </w:rPr>
        <w:t>policies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management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migrant</w:t>
      </w:r>
      <w:r w:rsidR="00FF41A0">
        <w:rPr>
          <w:sz w:val="20"/>
          <w:szCs w:val="20"/>
        </w:rPr>
        <w:t xml:space="preserve"> </w:t>
      </w:r>
      <w:r w:rsidR="00323457" w:rsidRPr="0059638B">
        <w:rPr>
          <w:sz w:val="20"/>
          <w:szCs w:val="20"/>
        </w:rPr>
        <w:t>workers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Malaysia.</w:t>
      </w:r>
      <w:r w:rsidR="00FF41A0">
        <w:rPr>
          <w:sz w:val="20"/>
          <w:szCs w:val="20"/>
        </w:rPr>
        <w:t xml:space="preserve"> </w:t>
      </w:r>
      <w:r w:rsidR="00323457" w:rsidRPr="0059638B">
        <w:rPr>
          <w:sz w:val="20"/>
          <w:szCs w:val="20"/>
        </w:rPr>
        <w:t>Regarding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abolishment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death</w:t>
      </w:r>
      <w:r w:rsidR="00FF41A0">
        <w:rPr>
          <w:sz w:val="20"/>
          <w:szCs w:val="20"/>
        </w:rPr>
        <w:t xml:space="preserve"> </w:t>
      </w:r>
      <w:r w:rsidR="00323457" w:rsidRPr="0059638B">
        <w:rPr>
          <w:sz w:val="20"/>
          <w:szCs w:val="20"/>
        </w:rPr>
        <w:t>penalty,</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moratorium</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already</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place</w:t>
      </w:r>
      <w:r w:rsidR="00FF41A0">
        <w:rPr>
          <w:sz w:val="20"/>
          <w:szCs w:val="20"/>
        </w:rPr>
        <w:t xml:space="preserve"> </w:t>
      </w:r>
      <w:r w:rsidR="00323457" w:rsidRPr="0059638B">
        <w:rPr>
          <w:sz w:val="20"/>
          <w:szCs w:val="20"/>
        </w:rPr>
        <w:t>since</w:t>
      </w:r>
      <w:r w:rsidR="00FF41A0">
        <w:rPr>
          <w:sz w:val="20"/>
          <w:szCs w:val="20"/>
        </w:rPr>
        <w:t xml:space="preserve"> </w:t>
      </w:r>
      <w:r w:rsidR="00323457" w:rsidRPr="0059638B">
        <w:rPr>
          <w:sz w:val="20"/>
          <w:szCs w:val="20"/>
        </w:rPr>
        <w:t>October</w:t>
      </w:r>
      <w:r w:rsidR="00FF41A0">
        <w:rPr>
          <w:sz w:val="20"/>
          <w:szCs w:val="20"/>
        </w:rPr>
        <w:t xml:space="preserve"> </w:t>
      </w:r>
      <w:r w:rsidR="00323457" w:rsidRPr="0059638B">
        <w:rPr>
          <w:sz w:val="20"/>
          <w:szCs w:val="20"/>
        </w:rPr>
        <w:t>2018,</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13</w:t>
      </w:r>
      <w:r w:rsidR="00FF41A0">
        <w:rPr>
          <w:sz w:val="20"/>
          <w:szCs w:val="20"/>
        </w:rPr>
        <w:t xml:space="preserve"> </w:t>
      </w:r>
      <w:r w:rsidR="00323457" w:rsidRPr="0059638B">
        <w:rPr>
          <w:sz w:val="20"/>
          <w:szCs w:val="20"/>
        </w:rPr>
        <w:t>March</w:t>
      </w:r>
      <w:r w:rsidR="00FF41A0">
        <w:rPr>
          <w:sz w:val="20"/>
          <w:szCs w:val="20"/>
        </w:rPr>
        <w:t xml:space="preserve"> </w:t>
      </w:r>
      <w:r w:rsidR="00323457" w:rsidRPr="0059638B">
        <w:rPr>
          <w:sz w:val="20"/>
          <w:szCs w:val="20"/>
        </w:rPr>
        <w:t>2019,</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decided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Malaysia</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abolish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mandatory</w:t>
      </w:r>
      <w:r w:rsidR="00FF41A0">
        <w:rPr>
          <w:sz w:val="20"/>
          <w:szCs w:val="20"/>
        </w:rPr>
        <w:t xml:space="preserve"> </w:t>
      </w:r>
      <w:r w:rsidR="00323457" w:rsidRPr="0059638B">
        <w:rPr>
          <w:sz w:val="20"/>
          <w:szCs w:val="20"/>
        </w:rPr>
        <w:t>death</w:t>
      </w:r>
      <w:r w:rsidR="00FF41A0">
        <w:rPr>
          <w:sz w:val="20"/>
          <w:szCs w:val="20"/>
        </w:rPr>
        <w:t xml:space="preserve"> </w:t>
      </w:r>
      <w:r w:rsidR="00323457" w:rsidRPr="0059638B">
        <w:rPr>
          <w:sz w:val="20"/>
          <w:szCs w:val="20"/>
        </w:rPr>
        <w:t>penalty</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11</w:t>
      </w:r>
      <w:r w:rsidR="00FF41A0">
        <w:rPr>
          <w:sz w:val="20"/>
          <w:szCs w:val="20"/>
        </w:rPr>
        <w:t xml:space="preserve"> </w:t>
      </w:r>
      <w:r w:rsidR="00323457" w:rsidRPr="0059638B">
        <w:rPr>
          <w:sz w:val="20"/>
          <w:szCs w:val="20"/>
        </w:rPr>
        <w:t>criminal</w:t>
      </w:r>
      <w:r w:rsidR="00FF41A0">
        <w:rPr>
          <w:sz w:val="20"/>
          <w:szCs w:val="20"/>
        </w:rPr>
        <w:t xml:space="preserve"> </w:t>
      </w:r>
      <w:r w:rsidR="00323457" w:rsidRPr="0059638B">
        <w:rPr>
          <w:sz w:val="20"/>
          <w:szCs w:val="20"/>
        </w:rPr>
        <w:t>offences.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decision</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part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step-by-step</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balanced</w:t>
      </w:r>
      <w:r w:rsidR="00FF41A0">
        <w:rPr>
          <w:sz w:val="20"/>
          <w:szCs w:val="20"/>
        </w:rPr>
        <w:t xml:space="preserve"> </w:t>
      </w:r>
      <w:r w:rsidR="00323457" w:rsidRPr="0059638B">
        <w:rPr>
          <w:sz w:val="20"/>
          <w:szCs w:val="20"/>
        </w:rPr>
        <w:t>approach</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this</w:t>
      </w:r>
      <w:r w:rsidR="00FF41A0">
        <w:rPr>
          <w:sz w:val="20"/>
          <w:szCs w:val="20"/>
        </w:rPr>
        <w:t xml:space="preserve"> </w:t>
      </w:r>
      <w:r w:rsidR="00323457" w:rsidRPr="0059638B">
        <w:rPr>
          <w:sz w:val="20"/>
          <w:szCs w:val="20"/>
        </w:rPr>
        <w:t>issue.</w:t>
      </w:r>
      <w:r w:rsidR="00FF41A0">
        <w:rPr>
          <w:sz w:val="20"/>
          <w:szCs w:val="20"/>
        </w:rPr>
        <w:t xml:space="preserve"> </w:t>
      </w:r>
    </w:p>
    <w:p w14:paraId="3D29E7E4" w14:textId="39755958" w:rsidR="00323457" w:rsidRPr="0059638B" w:rsidRDefault="00323457" w:rsidP="00323457">
      <w:pPr>
        <w:pStyle w:val="H23G"/>
        <w:rPr>
          <w:bCs/>
          <w:sz w:val="20"/>
          <w:szCs w:val="20"/>
        </w:rPr>
      </w:pPr>
      <w:r w:rsidRPr="0059638B">
        <w:rPr>
          <w:sz w:val="20"/>
          <w:szCs w:val="20"/>
        </w:rPr>
        <w:tab/>
        <w:t>2.</w:t>
      </w:r>
      <w:r w:rsidRPr="0059638B">
        <w:rPr>
          <w:sz w:val="20"/>
          <w:szCs w:val="20"/>
        </w:rPr>
        <w:tab/>
        <w:t>General</w:t>
      </w:r>
      <w:r w:rsidR="00FF41A0">
        <w:rPr>
          <w:sz w:val="20"/>
          <w:szCs w:val="20"/>
        </w:rPr>
        <w:t xml:space="preserve"> </w:t>
      </w:r>
      <w:r w:rsidRPr="0059638B">
        <w:rPr>
          <w:sz w:val="20"/>
          <w:szCs w:val="20"/>
        </w:rPr>
        <w:t>comments</w:t>
      </w:r>
      <w:r w:rsidR="00FF41A0">
        <w:rPr>
          <w:sz w:val="20"/>
          <w:szCs w:val="20"/>
        </w:rPr>
        <w:t xml:space="preserve"> </w:t>
      </w:r>
      <w:r w:rsidRPr="0059638B">
        <w:rPr>
          <w:sz w:val="20"/>
          <w:szCs w:val="20"/>
        </w:rPr>
        <w:t>made</w:t>
      </w:r>
      <w:r w:rsidR="00FF41A0">
        <w:rPr>
          <w:sz w:val="20"/>
          <w:szCs w:val="20"/>
        </w:rPr>
        <w:t xml:space="preserve"> </w:t>
      </w:r>
      <w:r w:rsidRPr="0059638B">
        <w:rPr>
          <w:sz w:val="20"/>
          <w:szCs w:val="20"/>
        </w:rPr>
        <w:t>by</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national</w:t>
      </w:r>
      <w:r w:rsidR="00FF41A0">
        <w:rPr>
          <w:sz w:val="20"/>
          <w:szCs w:val="20"/>
        </w:rPr>
        <w:t xml:space="preserve"> </w:t>
      </w:r>
      <w:r w:rsidRPr="0059638B">
        <w:rPr>
          <w:sz w:val="20"/>
          <w:szCs w:val="20"/>
        </w:rPr>
        <w:t>human</w:t>
      </w:r>
      <w:r w:rsidR="00FF41A0">
        <w:rPr>
          <w:sz w:val="20"/>
          <w:szCs w:val="20"/>
        </w:rPr>
        <w:t xml:space="preserve"> </w:t>
      </w:r>
      <w:r w:rsidRPr="0059638B">
        <w:rPr>
          <w:sz w:val="20"/>
          <w:szCs w:val="20"/>
        </w:rPr>
        <w:t>rights</w:t>
      </w:r>
      <w:r w:rsidR="00FF41A0">
        <w:rPr>
          <w:sz w:val="20"/>
          <w:szCs w:val="20"/>
        </w:rPr>
        <w:t xml:space="preserve"> </w:t>
      </w:r>
      <w:r w:rsidRPr="0059638B">
        <w:rPr>
          <w:sz w:val="20"/>
          <w:szCs w:val="20"/>
        </w:rPr>
        <w:t>institution</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State</w:t>
      </w:r>
      <w:r w:rsidR="00FF41A0">
        <w:rPr>
          <w:sz w:val="20"/>
          <w:szCs w:val="20"/>
        </w:rPr>
        <w:t xml:space="preserve"> </w:t>
      </w:r>
      <w:r w:rsidRPr="0059638B">
        <w:rPr>
          <w:sz w:val="20"/>
          <w:szCs w:val="20"/>
        </w:rPr>
        <w:t>under</w:t>
      </w:r>
      <w:r w:rsidR="00FF41A0">
        <w:rPr>
          <w:sz w:val="20"/>
          <w:szCs w:val="20"/>
        </w:rPr>
        <w:t xml:space="preserve"> </w:t>
      </w:r>
      <w:r w:rsidRPr="0059638B">
        <w:rPr>
          <w:sz w:val="20"/>
          <w:szCs w:val="20"/>
        </w:rPr>
        <w:t>review</w:t>
      </w:r>
      <w:r w:rsidR="00FF41A0">
        <w:rPr>
          <w:bCs/>
          <w:sz w:val="20"/>
          <w:szCs w:val="20"/>
        </w:rPr>
        <w:t xml:space="preserve"> </w:t>
      </w:r>
    </w:p>
    <w:p w14:paraId="0BB1F54A" w14:textId="71B531BC" w:rsidR="00323457" w:rsidRPr="0059638B" w:rsidRDefault="00972F1E" w:rsidP="00323457">
      <w:pPr>
        <w:pStyle w:val="SingleTxtG"/>
        <w:rPr>
          <w:sz w:val="20"/>
          <w:szCs w:val="20"/>
        </w:rPr>
      </w:pPr>
      <w:r>
        <w:rPr>
          <w:sz w:val="20"/>
          <w:szCs w:val="20"/>
        </w:rPr>
        <w:t>640</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Commission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Malaysia</w:t>
      </w:r>
      <w:r w:rsidR="00FF41A0">
        <w:rPr>
          <w:sz w:val="20"/>
          <w:szCs w:val="20"/>
        </w:rPr>
        <w:t xml:space="preserve"> </w:t>
      </w:r>
      <w:r w:rsidR="00323457" w:rsidRPr="0059638B">
        <w:rPr>
          <w:sz w:val="20"/>
          <w:szCs w:val="20"/>
        </w:rPr>
        <w:t>(Suhakam)</w:t>
      </w:r>
      <w:r w:rsidR="00FF41A0">
        <w:rPr>
          <w:sz w:val="20"/>
          <w:szCs w:val="20"/>
        </w:rPr>
        <w:t xml:space="preserve"> </w:t>
      </w:r>
      <w:r w:rsidR="00323457" w:rsidRPr="0059638B">
        <w:rPr>
          <w:sz w:val="20"/>
          <w:szCs w:val="20"/>
        </w:rPr>
        <w:t>acknowledged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improved</w:t>
      </w:r>
      <w:r w:rsidR="00FF41A0">
        <w:rPr>
          <w:sz w:val="20"/>
          <w:szCs w:val="20"/>
        </w:rPr>
        <w:t xml:space="preserve"> </w:t>
      </w:r>
      <w:r w:rsidR="00323457" w:rsidRPr="0059638B">
        <w:rPr>
          <w:sz w:val="20"/>
          <w:szCs w:val="20"/>
        </w:rPr>
        <w:t>greatly</w:t>
      </w:r>
      <w:r w:rsidR="00FF41A0">
        <w:rPr>
          <w:sz w:val="20"/>
          <w:szCs w:val="20"/>
        </w:rPr>
        <w:t xml:space="preserve"> </w:t>
      </w:r>
      <w:r w:rsidR="00323457" w:rsidRPr="0059638B">
        <w:rPr>
          <w:sz w:val="20"/>
          <w:szCs w:val="20"/>
        </w:rPr>
        <w:t>since</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first</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called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act</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these</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within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new</w:t>
      </w:r>
      <w:r w:rsidR="00FF41A0">
        <w:rPr>
          <w:sz w:val="20"/>
          <w:szCs w:val="20"/>
        </w:rPr>
        <w:t xml:space="preserve"> </w:t>
      </w:r>
      <w:r w:rsidR="00323457" w:rsidRPr="0059638B">
        <w:rPr>
          <w:sz w:val="20"/>
          <w:szCs w:val="20"/>
        </w:rPr>
        <w:t>promises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commended</w:t>
      </w:r>
      <w:r w:rsidR="00FF41A0">
        <w:rPr>
          <w:sz w:val="20"/>
          <w:szCs w:val="20"/>
        </w:rPr>
        <w:t xml:space="preserve"> </w:t>
      </w:r>
      <w:r w:rsidR="00323457" w:rsidRPr="0059638B">
        <w:rPr>
          <w:sz w:val="20"/>
          <w:szCs w:val="20"/>
        </w:rPr>
        <w:t>increased</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institutionalize</w:t>
      </w:r>
      <w:r w:rsidR="00FF41A0">
        <w:rPr>
          <w:sz w:val="20"/>
          <w:szCs w:val="20"/>
        </w:rPr>
        <w:t xml:space="preserve"> </w:t>
      </w:r>
      <w:r w:rsidR="00323457" w:rsidRPr="0059638B">
        <w:rPr>
          <w:sz w:val="20"/>
          <w:szCs w:val="20"/>
        </w:rPr>
        <w:t>engagements</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Commission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civil</w:t>
      </w:r>
      <w:r w:rsidR="00FF41A0">
        <w:rPr>
          <w:sz w:val="20"/>
          <w:szCs w:val="20"/>
        </w:rPr>
        <w:t xml:space="preserve"> </w:t>
      </w:r>
      <w:r w:rsidR="00323457" w:rsidRPr="0059638B">
        <w:rPr>
          <w:sz w:val="20"/>
          <w:szCs w:val="20"/>
        </w:rPr>
        <w:t>society,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called</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establishment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permanent</w:t>
      </w:r>
      <w:r w:rsidR="00FF41A0">
        <w:rPr>
          <w:sz w:val="20"/>
          <w:szCs w:val="20"/>
        </w:rPr>
        <w:t xml:space="preserve"> </w:t>
      </w:r>
      <w:r w:rsidR="00323457" w:rsidRPr="0059638B">
        <w:rPr>
          <w:sz w:val="20"/>
          <w:szCs w:val="20"/>
        </w:rPr>
        <w:t>inter-ministerial</w:t>
      </w:r>
      <w:r w:rsidR="00FF41A0">
        <w:rPr>
          <w:sz w:val="20"/>
          <w:szCs w:val="20"/>
        </w:rPr>
        <w:t xml:space="preserve"> </w:t>
      </w:r>
      <w:r w:rsidR="00323457" w:rsidRPr="0059638B">
        <w:rPr>
          <w:sz w:val="20"/>
          <w:szCs w:val="20"/>
        </w:rPr>
        <w:t>tracking</w:t>
      </w:r>
      <w:r w:rsidR="00FF41A0">
        <w:rPr>
          <w:sz w:val="20"/>
          <w:szCs w:val="20"/>
        </w:rPr>
        <w:t xml:space="preserve"> </w:t>
      </w:r>
      <w:r w:rsidR="00323457" w:rsidRPr="0059638B">
        <w:rPr>
          <w:sz w:val="20"/>
          <w:szCs w:val="20"/>
        </w:rPr>
        <w:t>system.</w:t>
      </w:r>
    </w:p>
    <w:p w14:paraId="451BDB18" w14:textId="6B73F5BE" w:rsidR="00323457" w:rsidRPr="0059638B" w:rsidRDefault="00972F1E" w:rsidP="00323457">
      <w:pPr>
        <w:pStyle w:val="SingleTxtG"/>
        <w:rPr>
          <w:sz w:val="20"/>
          <w:szCs w:val="20"/>
        </w:rPr>
      </w:pPr>
      <w:r>
        <w:rPr>
          <w:sz w:val="20"/>
          <w:szCs w:val="20"/>
        </w:rPr>
        <w:t>641</w:t>
      </w:r>
      <w:r w:rsidR="00D7475F">
        <w:rPr>
          <w:sz w:val="20"/>
          <w:szCs w:val="20"/>
        </w:rPr>
        <w:t>.</w:t>
      </w:r>
      <w:r w:rsidR="00D7475F">
        <w:rPr>
          <w:sz w:val="20"/>
          <w:szCs w:val="20"/>
        </w:rPr>
        <w:tab/>
      </w:r>
      <w:r w:rsidR="00323457" w:rsidRPr="0059638B">
        <w:rPr>
          <w:sz w:val="20"/>
          <w:szCs w:val="20"/>
        </w:rPr>
        <w:t>It</w:t>
      </w:r>
      <w:r w:rsidR="00FF41A0">
        <w:rPr>
          <w:sz w:val="20"/>
          <w:szCs w:val="20"/>
        </w:rPr>
        <w:t xml:space="preserve"> </w:t>
      </w:r>
      <w:r w:rsidR="00323457" w:rsidRPr="0059638B">
        <w:rPr>
          <w:sz w:val="20"/>
          <w:szCs w:val="20"/>
        </w:rPr>
        <w:t>commended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decision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accept</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abolish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death</w:t>
      </w:r>
      <w:r w:rsidR="00FF41A0">
        <w:rPr>
          <w:sz w:val="20"/>
          <w:szCs w:val="20"/>
        </w:rPr>
        <w:t xml:space="preserve"> </w:t>
      </w:r>
      <w:r w:rsidR="00323457" w:rsidRPr="0059638B">
        <w:rPr>
          <w:sz w:val="20"/>
          <w:szCs w:val="20"/>
        </w:rPr>
        <w:t>penalty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place</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moratorium</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However,</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expressed</w:t>
      </w:r>
      <w:r w:rsidR="00FF41A0">
        <w:rPr>
          <w:sz w:val="20"/>
          <w:szCs w:val="20"/>
        </w:rPr>
        <w:t xml:space="preserve"> </w:t>
      </w:r>
      <w:r w:rsidR="00323457" w:rsidRPr="0059638B">
        <w:rPr>
          <w:sz w:val="20"/>
          <w:szCs w:val="20"/>
        </w:rPr>
        <w:t>concern</w:t>
      </w:r>
      <w:r w:rsidR="00FF41A0">
        <w:rPr>
          <w:sz w:val="20"/>
          <w:szCs w:val="20"/>
        </w:rPr>
        <w:t xml:space="preserve"> </w:t>
      </w:r>
      <w:r w:rsidR="00323457" w:rsidRPr="0059638B">
        <w:rPr>
          <w:sz w:val="20"/>
          <w:szCs w:val="20"/>
        </w:rPr>
        <w:t>over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announcement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Cabinet</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decision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withdraw</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moratorium</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laws</w:t>
      </w:r>
      <w:r w:rsidR="00FF41A0">
        <w:rPr>
          <w:sz w:val="20"/>
          <w:szCs w:val="20"/>
        </w:rPr>
        <w:t xml:space="preserve"> </w:t>
      </w:r>
      <w:r w:rsidR="00323457" w:rsidRPr="0059638B">
        <w:rPr>
          <w:sz w:val="20"/>
          <w:szCs w:val="20"/>
        </w:rPr>
        <w:t>such</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Prevention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Crime</w:t>
      </w:r>
      <w:r w:rsidR="00FF41A0">
        <w:rPr>
          <w:sz w:val="20"/>
          <w:szCs w:val="20"/>
        </w:rPr>
        <w:t xml:space="preserve"> </w:t>
      </w:r>
      <w:r w:rsidR="00323457" w:rsidRPr="0059638B">
        <w:rPr>
          <w:sz w:val="20"/>
          <w:szCs w:val="20"/>
        </w:rPr>
        <w:t>Act</w:t>
      </w:r>
      <w:r w:rsidR="00FF41A0">
        <w:rPr>
          <w:sz w:val="20"/>
          <w:szCs w:val="20"/>
        </w:rPr>
        <w:t xml:space="preserve"> </w:t>
      </w:r>
      <w:r w:rsidR="00323457" w:rsidRPr="0059638B">
        <w:rPr>
          <w:sz w:val="20"/>
          <w:szCs w:val="20"/>
        </w:rPr>
        <w:t>2017</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Sedition</w:t>
      </w:r>
      <w:r w:rsidR="00FF41A0">
        <w:rPr>
          <w:sz w:val="20"/>
          <w:szCs w:val="20"/>
        </w:rPr>
        <w:t xml:space="preserve"> </w:t>
      </w:r>
      <w:r w:rsidR="00323457" w:rsidRPr="0059638B">
        <w:rPr>
          <w:sz w:val="20"/>
          <w:szCs w:val="20"/>
        </w:rPr>
        <w:t>Act</w:t>
      </w:r>
      <w:r w:rsidR="00FF41A0">
        <w:rPr>
          <w:sz w:val="20"/>
          <w:szCs w:val="20"/>
        </w:rPr>
        <w:t xml:space="preserve"> </w:t>
      </w:r>
      <w:r w:rsidR="00323457" w:rsidRPr="0059638B">
        <w:rPr>
          <w:sz w:val="20"/>
          <w:szCs w:val="20"/>
        </w:rPr>
        <w:t>1948,</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well</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keeping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death</w:t>
      </w:r>
      <w:r w:rsidR="00FF41A0">
        <w:rPr>
          <w:sz w:val="20"/>
          <w:szCs w:val="20"/>
        </w:rPr>
        <w:t xml:space="preserve"> </w:t>
      </w:r>
      <w:r w:rsidR="00323457" w:rsidRPr="0059638B">
        <w:rPr>
          <w:sz w:val="20"/>
          <w:szCs w:val="20"/>
        </w:rPr>
        <w:t>penalty.</w:t>
      </w:r>
    </w:p>
    <w:p w14:paraId="58B0FEEF" w14:textId="623C3D46" w:rsidR="00323457" w:rsidRPr="0059638B" w:rsidRDefault="00972F1E" w:rsidP="00323457">
      <w:pPr>
        <w:pStyle w:val="SingleTxtG"/>
        <w:rPr>
          <w:color w:val="000000"/>
          <w:sz w:val="20"/>
          <w:szCs w:val="20"/>
          <w:lang w:eastAsia="en-GB" w:bidi="en-GB"/>
        </w:rPr>
      </w:pPr>
      <w:r>
        <w:rPr>
          <w:color w:val="000000"/>
          <w:sz w:val="20"/>
          <w:szCs w:val="20"/>
          <w:lang w:eastAsia="en-GB" w:bidi="en-GB"/>
        </w:rPr>
        <w:lastRenderedPageBreak/>
        <w:t>642</w:t>
      </w:r>
      <w:r w:rsidR="00D7475F">
        <w:rPr>
          <w:color w:val="000000"/>
          <w:sz w:val="20"/>
          <w:szCs w:val="20"/>
          <w:lang w:eastAsia="en-GB" w:bidi="en-GB"/>
        </w:rPr>
        <w:t>.</w:t>
      </w:r>
      <w:r w:rsidR="00D7475F">
        <w:rPr>
          <w:color w:val="000000"/>
          <w:sz w:val="20"/>
          <w:szCs w:val="20"/>
          <w:lang w:eastAsia="en-GB" w:bidi="en-GB"/>
        </w:rPr>
        <w:tab/>
      </w:r>
      <w:r w:rsidR="00323457" w:rsidRPr="0059638B">
        <w:rPr>
          <w:color w:val="000000"/>
          <w:sz w:val="20"/>
          <w:szCs w:val="20"/>
          <w:lang w:eastAsia="en-GB" w:bidi="en-GB"/>
        </w:rPr>
        <w:t>It</w:t>
      </w:r>
      <w:r w:rsidR="00FF41A0">
        <w:rPr>
          <w:color w:val="000000"/>
          <w:sz w:val="20"/>
          <w:szCs w:val="20"/>
          <w:lang w:eastAsia="en-GB" w:bidi="en-GB"/>
        </w:rPr>
        <w:t xml:space="preserve"> </w:t>
      </w:r>
      <w:r w:rsidR="00323457" w:rsidRPr="0059638B">
        <w:rPr>
          <w:color w:val="000000"/>
          <w:sz w:val="20"/>
          <w:szCs w:val="20"/>
          <w:lang w:eastAsia="en-GB" w:bidi="en-GB"/>
        </w:rPr>
        <w:t>stated</w:t>
      </w:r>
      <w:r w:rsidR="00FF41A0">
        <w:rPr>
          <w:color w:val="000000"/>
          <w:sz w:val="20"/>
          <w:szCs w:val="20"/>
          <w:lang w:eastAsia="en-GB" w:bidi="en-GB"/>
        </w:rPr>
        <w:t xml:space="preserve"> </w:t>
      </w:r>
      <w:r w:rsidR="00323457" w:rsidRPr="0059638B">
        <w:rPr>
          <w:color w:val="000000"/>
          <w:sz w:val="20"/>
          <w:szCs w:val="20"/>
          <w:lang w:eastAsia="en-GB" w:bidi="en-GB"/>
        </w:rPr>
        <w:t>that</w:t>
      </w:r>
      <w:r w:rsidR="00FF41A0">
        <w:rPr>
          <w:color w:val="000000"/>
          <w:sz w:val="20"/>
          <w:szCs w:val="20"/>
          <w:lang w:eastAsia="en-GB" w:bidi="en-GB"/>
        </w:rPr>
        <w:t xml:space="preserve"> </w:t>
      </w:r>
      <w:r w:rsidR="00323457" w:rsidRPr="0059638B">
        <w:rPr>
          <w:color w:val="000000"/>
          <w:sz w:val="20"/>
          <w:szCs w:val="20"/>
          <w:lang w:eastAsia="en-GB" w:bidi="en-GB"/>
        </w:rPr>
        <w:t>Malaysia</w:t>
      </w:r>
      <w:r w:rsidR="00FF41A0">
        <w:rPr>
          <w:color w:val="000000"/>
          <w:sz w:val="20"/>
          <w:szCs w:val="20"/>
          <w:lang w:eastAsia="en-GB" w:bidi="en-GB"/>
        </w:rPr>
        <w:t xml:space="preserve"> </w:t>
      </w:r>
      <w:r w:rsidR="00323457" w:rsidRPr="0059638B">
        <w:rPr>
          <w:color w:val="000000"/>
          <w:sz w:val="20"/>
          <w:szCs w:val="20"/>
          <w:lang w:eastAsia="en-GB" w:bidi="en-GB"/>
        </w:rPr>
        <w:t>must</w:t>
      </w:r>
      <w:r w:rsidR="00FF41A0">
        <w:rPr>
          <w:color w:val="000000"/>
          <w:sz w:val="20"/>
          <w:szCs w:val="20"/>
          <w:lang w:eastAsia="en-GB" w:bidi="en-GB"/>
        </w:rPr>
        <w:t xml:space="preserve"> </w:t>
      </w:r>
      <w:r w:rsidR="00323457" w:rsidRPr="0059638B">
        <w:rPr>
          <w:color w:val="000000"/>
          <w:sz w:val="20"/>
          <w:szCs w:val="20"/>
          <w:lang w:eastAsia="en-GB" w:bidi="en-GB"/>
        </w:rPr>
        <w:t>give</w:t>
      </w:r>
      <w:r w:rsidR="00FF41A0">
        <w:rPr>
          <w:color w:val="000000"/>
          <w:sz w:val="20"/>
          <w:szCs w:val="20"/>
          <w:lang w:eastAsia="en-GB" w:bidi="en-GB"/>
        </w:rPr>
        <w:t xml:space="preserve"> </w:t>
      </w:r>
      <w:r w:rsidR="00323457" w:rsidRPr="0059638B">
        <w:rPr>
          <w:color w:val="000000"/>
          <w:sz w:val="20"/>
          <w:szCs w:val="20"/>
          <w:lang w:eastAsia="en-GB" w:bidi="en-GB"/>
        </w:rPr>
        <w:t>priority</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accession</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all</w:t>
      </w:r>
      <w:r w:rsidR="00FF41A0">
        <w:rPr>
          <w:color w:val="000000"/>
          <w:sz w:val="20"/>
          <w:szCs w:val="20"/>
          <w:lang w:eastAsia="en-GB" w:bidi="en-GB"/>
        </w:rPr>
        <w:t xml:space="preserve"> </w:t>
      </w:r>
      <w:r w:rsidR="00323457" w:rsidRPr="0059638B">
        <w:rPr>
          <w:color w:val="000000"/>
          <w:sz w:val="20"/>
          <w:szCs w:val="20"/>
          <w:lang w:eastAsia="en-GB" w:bidi="en-GB"/>
        </w:rPr>
        <w:t>remaining</w:t>
      </w:r>
      <w:r w:rsidR="00FF41A0">
        <w:rPr>
          <w:color w:val="000000"/>
          <w:sz w:val="20"/>
          <w:szCs w:val="20"/>
          <w:lang w:eastAsia="en-GB" w:bidi="en-GB"/>
        </w:rPr>
        <w:t xml:space="preserve"> </w:t>
      </w:r>
      <w:r w:rsidR="00323457" w:rsidRPr="0059638B">
        <w:rPr>
          <w:color w:val="000000"/>
          <w:sz w:val="20"/>
          <w:szCs w:val="20"/>
          <w:lang w:eastAsia="en-GB" w:bidi="en-GB"/>
        </w:rPr>
        <w:t>core</w:t>
      </w:r>
      <w:r w:rsidR="00FF41A0">
        <w:rPr>
          <w:color w:val="000000"/>
          <w:sz w:val="20"/>
          <w:szCs w:val="20"/>
          <w:lang w:eastAsia="en-GB" w:bidi="en-GB"/>
        </w:rPr>
        <w:t xml:space="preserve"> </w:t>
      </w:r>
      <w:r w:rsidR="00323457" w:rsidRPr="0059638B">
        <w:rPr>
          <w:color w:val="000000"/>
          <w:sz w:val="20"/>
          <w:szCs w:val="20"/>
          <w:lang w:eastAsia="en-GB" w:bidi="en-GB"/>
        </w:rPr>
        <w:t>human</w:t>
      </w:r>
      <w:r w:rsidR="00FF41A0">
        <w:rPr>
          <w:color w:val="000000"/>
          <w:sz w:val="20"/>
          <w:szCs w:val="20"/>
          <w:lang w:eastAsia="en-GB" w:bidi="en-GB"/>
        </w:rPr>
        <w:t xml:space="preserve"> </w:t>
      </w:r>
      <w:r w:rsidR="00323457" w:rsidRPr="0059638B">
        <w:rPr>
          <w:color w:val="000000"/>
          <w:sz w:val="20"/>
          <w:szCs w:val="20"/>
          <w:lang w:eastAsia="en-GB" w:bidi="en-GB"/>
        </w:rPr>
        <w:t>rights</w:t>
      </w:r>
      <w:r w:rsidR="00FF41A0">
        <w:rPr>
          <w:color w:val="000000"/>
          <w:sz w:val="20"/>
          <w:szCs w:val="20"/>
          <w:lang w:eastAsia="en-GB" w:bidi="en-GB"/>
        </w:rPr>
        <w:t xml:space="preserve"> </w:t>
      </w:r>
      <w:r w:rsidR="00323457" w:rsidRPr="0059638B">
        <w:rPr>
          <w:color w:val="000000"/>
          <w:sz w:val="20"/>
          <w:szCs w:val="20"/>
          <w:lang w:eastAsia="en-GB" w:bidi="en-GB"/>
        </w:rPr>
        <w:t>treaties</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was</w:t>
      </w:r>
      <w:r w:rsidR="00FF41A0">
        <w:rPr>
          <w:color w:val="000000"/>
          <w:sz w:val="20"/>
          <w:szCs w:val="20"/>
          <w:lang w:eastAsia="en-GB" w:bidi="en-GB"/>
        </w:rPr>
        <w:t xml:space="preserve"> </w:t>
      </w:r>
      <w:r w:rsidR="00323457" w:rsidRPr="0059638B">
        <w:rPr>
          <w:color w:val="000000"/>
          <w:sz w:val="20"/>
          <w:szCs w:val="20"/>
          <w:lang w:eastAsia="en-GB" w:bidi="en-GB"/>
        </w:rPr>
        <w:t>disappointed</w:t>
      </w:r>
      <w:r w:rsidR="00FF41A0">
        <w:rPr>
          <w:color w:val="000000"/>
          <w:sz w:val="20"/>
          <w:szCs w:val="20"/>
          <w:lang w:eastAsia="en-GB" w:bidi="en-GB"/>
        </w:rPr>
        <w:t xml:space="preserve"> </w:t>
      </w:r>
      <w:r w:rsidR="00323457" w:rsidRPr="0059638B">
        <w:rPr>
          <w:color w:val="000000"/>
          <w:sz w:val="20"/>
          <w:szCs w:val="20"/>
          <w:lang w:eastAsia="en-GB" w:bidi="en-GB"/>
        </w:rPr>
        <w:t>at</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decision</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Malaysia</w:t>
      </w:r>
      <w:r w:rsidR="00FF41A0">
        <w:rPr>
          <w:color w:val="000000"/>
          <w:sz w:val="20"/>
          <w:szCs w:val="20"/>
          <w:lang w:eastAsia="en-GB" w:bidi="en-GB"/>
        </w:rPr>
        <w:t xml:space="preserve"> </w:t>
      </w:r>
      <w:r w:rsidR="00323457" w:rsidRPr="0059638B">
        <w:rPr>
          <w:color w:val="000000"/>
          <w:sz w:val="20"/>
          <w:szCs w:val="20"/>
          <w:lang w:eastAsia="en-GB" w:bidi="en-GB"/>
        </w:rPr>
        <w:t>not</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accede</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International</w:t>
      </w:r>
      <w:r w:rsidR="00FF41A0">
        <w:rPr>
          <w:color w:val="000000"/>
          <w:sz w:val="20"/>
          <w:szCs w:val="20"/>
          <w:lang w:eastAsia="en-GB" w:bidi="en-GB"/>
        </w:rPr>
        <w:t xml:space="preserve"> </w:t>
      </w:r>
      <w:r w:rsidR="00323457" w:rsidRPr="0059638B">
        <w:rPr>
          <w:color w:val="000000"/>
          <w:sz w:val="20"/>
          <w:szCs w:val="20"/>
          <w:lang w:eastAsia="en-GB" w:bidi="en-GB"/>
        </w:rPr>
        <w:t>Convention</w:t>
      </w:r>
      <w:r w:rsidR="00FF41A0">
        <w:rPr>
          <w:color w:val="000000"/>
          <w:sz w:val="20"/>
          <w:szCs w:val="20"/>
          <w:lang w:eastAsia="en-GB" w:bidi="en-GB"/>
        </w:rPr>
        <w:t xml:space="preserve"> </w:t>
      </w:r>
      <w:r w:rsidR="00323457" w:rsidRPr="0059638B">
        <w:rPr>
          <w:color w:val="000000"/>
          <w:sz w:val="20"/>
          <w:szCs w:val="20"/>
          <w:lang w:eastAsia="en-GB" w:bidi="en-GB"/>
        </w:rPr>
        <w:t>on</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Elimination</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All</w:t>
      </w:r>
      <w:r w:rsidR="00FF41A0">
        <w:rPr>
          <w:color w:val="000000"/>
          <w:sz w:val="20"/>
          <w:szCs w:val="20"/>
          <w:lang w:eastAsia="en-GB" w:bidi="en-GB"/>
        </w:rPr>
        <w:t xml:space="preserve"> </w:t>
      </w:r>
      <w:r w:rsidR="00323457" w:rsidRPr="0059638B">
        <w:rPr>
          <w:color w:val="000000"/>
          <w:sz w:val="20"/>
          <w:szCs w:val="20"/>
          <w:lang w:eastAsia="en-GB" w:bidi="en-GB"/>
        </w:rPr>
        <w:t>Forms</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Racial</w:t>
      </w:r>
      <w:r w:rsidR="00FF41A0">
        <w:rPr>
          <w:color w:val="000000"/>
          <w:sz w:val="20"/>
          <w:szCs w:val="20"/>
          <w:lang w:eastAsia="en-GB" w:bidi="en-GB"/>
        </w:rPr>
        <w:t xml:space="preserve"> </w:t>
      </w:r>
      <w:r w:rsidR="00323457" w:rsidRPr="0059638B">
        <w:rPr>
          <w:color w:val="000000"/>
          <w:sz w:val="20"/>
          <w:szCs w:val="20"/>
          <w:lang w:eastAsia="en-GB" w:bidi="en-GB"/>
        </w:rPr>
        <w:t>Discrimination.</w:t>
      </w:r>
      <w:r w:rsidR="00FF41A0">
        <w:rPr>
          <w:color w:val="000000"/>
          <w:sz w:val="20"/>
          <w:szCs w:val="20"/>
          <w:lang w:eastAsia="en-GB" w:bidi="en-GB"/>
        </w:rPr>
        <w:t xml:space="preserve"> </w:t>
      </w:r>
    </w:p>
    <w:p w14:paraId="19310126" w14:textId="37238212" w:rsidR="00323457" w:rsidRPr="0059638B" w:rsidRDefault="00972F1E" w:rsidP="00323457">
      <w:pPr>
        <w:pStyle w:val="SingleTxtG"/>
        <w:rPr>
          <w:color w:val="000000"/>
          <w:sz w:val="20"/>
          <w:szCs w:val="20"/>
          <w:lang w:eastAsia="en-GB" w:bidi="en-GB"/>
        </w:rPr>
      </w:pPr>
      <w:r>
        <w:rPr>
          <w:color w:val="000000"/>
          <w:sz w:val="20"/>
          <w:szCs w:val="20"/>
          <w:lang w:eastAsia="en-GB" w:bidi="en-GB"/>
        </w:rPr>
        <w:t>643</w:t>
      </w:r>
      <w:r w:rsidR="00D7475F">
        <w:rPr>
          <w:color w:val="000000"/>
          <w:sz w:val="20"/>
          <w:szCs w:val="20"/>
          <w:lang w:eastAsia="en-GB" w:bidi="en-GB"/>
        </w:rPr>
        <w:t>.</w:t>
      </w:r>
      <w:r w:rsidR="00D7475F">
        <w:rPr>
          <w:color w:val="000000"/>
          <w:sz w:val="20"/>
          <w:szCs w:val="20"/>
          <w:lang w:eastAsia="en-GB" w:bidi="en-GB"/>
        </w:rPr>
        <w:tab/>
      </w:r>
      <w:r w:rsidR="00323457" w:rsidRPr="0059638B">
        <w:rPr>
          <w:color w:val="000000"/>
          <w:sz w:val="20"/>
          <w:szCs w:val="20"/>
          <w:lang w:eastAsia="en-GB" w:bidi="en-GB"/>
        </w:rPr>
        <w:t>It</w:t>
      </w:r>
      <w:r w:rsidR="00FF41A0">
        <w:rPr>
          <w:color w:val="000000"/>
          <w:sz w:val="20"/>
          <w:szCs w:val="20"/>
          <w:lang w:eastAsia="en-GB" w:bidi="en-GB"/>
        </w:rPr>
        <w:t xml:space="preserve"> </w:t>
      </w:r>
      <w:r w:rsidR="00323457" w:rsidRPr="0059638B">
        <w:rPr>
          <w:color w:val="000000"/>
          <w:sz w:val="20"/>
          <w:szCs w:val="20"/>
          <w:lang w:eastAsia="en-GB" w:bidi="en-GB"/>
        </w:rPr>
        <w:t>stated</w:t>
      </w:r>
      <w:r w:rsidR="00FF41A0">
        <w:rPr>
          <w:color w:val="000000"/>
          <w:sz w:val="20"/>
          <w:szCs w:val="20"/>
          <w:lang w:eastAsia="en-GB" w:bidi="en-GB"/>
        </w:rPr>
        <w:t xml:space="preserve"> </w:t>
      </w:r>
      <w:r w:rsidR="00323457" w:rsidRPr="0059638B">
        <w:rPr>
          <w:color w:val="000000"/>
          <w:sz w:val="20"/>
          <w:szCs w:val="20"/>
          <w:lang w:eastAsia="en-GB" w:bidi="en-GB"/>
        </w:rPr>
        <w:t>that</w:t>
      </w:r>
      <w:r w:rsidR="00FF41A0">
        <w:rPr>
          <w:color w:val="000000"/>
          <w:sz w:val="20"/>
          <w:szCs w:val="20"/>
          <w:lang w:eastAsia="en-GB" w:bidi="en-GB"/>
        </w:rPr>
        <w:t xml:space="preserve"> </w:t>
      </w:r>
      <w:r w:rsidR="00323457" w:rsidRPr="0059638B">
        <w:rPr>
          <w:color w:val="000000"/>
          <w:sz w:val="20"/>
          <w:szCs w:val="20"/>
          <w:lang w:eastAsia="en-GB" w:bidi="en-GB"/>
        </w:rPr>
        <w:t>recommendations</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review</w:t>
      </w:r>
      <w:r w:rsidR="00FF41A0">
        <w:rPr>
          <w:color w:val="000000"/>
          <w:sz w:val="20"/>
          <w:szCs w:val="20"/>
          <w:lang w:eastAsia="en-GB" w:bidi="en-GB"/>
        </w:rPr>
        <w:t xml:space="preserve"> </w:t>
      </w:r>
      <w:r w:rsidR="00323457" w:rsidRPr="0059638B">
        <w:rPr>
          <w:color w:val="000000"/>
          <w:sz w:val="20"/>
          <w:szCs w:val="20"/>
          <w:lang w:eastAsia="en-GB" w:bidi="en-GB"/>
        </w:rPr>
        <w:t>repressive</w:t>
      </w:r>
      <w:r w:rsidR="00FF41A0">
        <w:rPr>
          <w:color w:val="000000"/>
          <w:sz w:val="20"/>
          <w:szCs w:val="20"/>
          <w:lang w:eastAsia="en-GB" w:bidi="en-GB"/>
        </w:rPr>
        <w:t xml:space="preserve"> </w:t>
      </w:r>
      <w:r w:rsidR="00323457" w:rsidRPr="0059638B">
        <w:rPr>
          <w:color w:val="000000"/>
          <w:sz w:val="20"/>
          <w:szCs w:val="20"/>
          <w:lang w:eastAsia="en-GB" w:bidi="en-GB"/>
        </w:rPr>
        <w:t>legislations,</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accede</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Refugee</w:t>
      </w:r>
      <w:r w:rsidR="00FF41A0">
        <w:rPr>
          <w:color w:val="000000"/>
          <w:sz w:val="20"/>
          <w:szCs w:val="20"/>
          <w:lang w:eastAsia="en-GB" w:bidi="en-GB"/>
        </w:rPr>
        <w:t xml:space="preserve"> </w:t>
      </w:r>
      <w:r w:rsidR="00323457" w:rsidRPr="0059638B">
        <w:rPr>
          <w:color w:val="000000"/>
          <w:sz w:val="20"/>
          <w:szCs w:val="20"/>
          <w:lang w:eastAsia="en-GB" w:bidi="en-GB"/>
        </w:rPr>
        <w:t>Convention</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1951</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Convention</w:t>
      </w:r>
      <w:r w:rsidR="00FF41A0">
        <w:rPr>
          <w:color w:val="000000"/>
          <w:sz w:val="20"/>
          <w:szCs w:val="20"/>
          <w:lang w:eastAsia="en-GB" w:bidi="en-GB"/>
        </w:rPr>
        <w:t xml:space="preserve"> </w:t>
      </w:r>
      <w:r w:rsidR="00323457" w:rsidRPr="0059638B">
        <w:rPr>
          <w:color w:val="000000"/>
          <w:sz w:val="20"/>
          <w:szCs w:val="20"/>
          <w:lang w:eastAsia="en-GB" w:bidi="en-GB"/>
        </w:rPr>
        <w:t>against</w:t>
      </w:r>
      <w:r w:rsidR="00FF41A0">
        <w:rPr>
          <w:color w:val="000000"/>
          <w:sz w:val="20"/>
          <w:szCs w:val="20"/>
          <w:lang w:eastAsia="en-GB" w:bidi="en-GB"/>
        </w:rPr>
        <w:t xml:space="preserve"> </w:t>
      </w:r>
      <w:r w:rsidR="00323457" w:rsidRPr="0059638B">
        <w:rPr>
          <w:color w:val="000000"/>
          <w:sz w:val="20"/>
          <w:szCs w:val="20"/>
          <w:lang w:eastAsia="en-GB" w:bidi="en-GB"/>
        </w:rPr>
        <w:t>Torture,</w:t>
      </w:r>
      <w:r w:rsidR="00FF41A0">
        <w:rPr>
          <w:color w:val="000000"/>
          <w:sz w:val="20"/>
          <w:szCs w:val="20"/>
          <w:lang w:eastAsia="en-GB" w:bidi="en-GB"/>
        </w:rPr>
        <w:t xml:space="preserve"> </w:t>
      </w:r>
      <w:r w:rsidR="00323457" w:rsidRPr="0059638B">
        <w:rPr>
          <w:color w:val="000000"/>
          <w:sz w:val="20"/>
          <w:szCs w:val="20"/>
          <w:lang w:eastAsia="en-GB" w:bidi="en-GB"/>
        </w:rPr>
        <w:t>as</w:t>
      </w:r>
      <w:r w:rsidR="00FF41A0">
        <w:rPr>
          <w:color w:val="000000"/>
          <w:sz w:val="20"/>
          <w:szCs w:val="20"/>
          <w:lang w:eastAsia="en-GB" w:bidi="en-GB"/>
        </w:rPr>
        <w:t xml:space="preserve"> </w:t>
      </w:r>
      <w:r w:rsidR="00323457" w:rsidRPr="0059638B">
        <w:rPr>
          <w:color w:val="000000"/>
          <w:sz w:val="20"/>
          <w:szCs w:val="20"/>
          <w:lang w:eastAsia="en-GB" w:bidi="en-GB"/>
        </w:rPr>
        <w:t>well</w:t>
      </w:r>
      <w:r w:rsidR="00FF41A0">
        <w:rPr>
          <w:color w:val="000000"/>
          <w:sz w:val="20"/>
          <w:szCs w:val="20"/>
          <w:lang w:eastAsia="en-GB" w:bidi="en-GB"/>
        </w:rPr>
        <w:t xml:space="preserve"> </w:t>
      </w:r>
      <w:r w:rsidR="00323457" w:rsidRPr="0059638B">
        <w:rPr>
          <w:color w:val="000000"/>
          <w:sz w:val="20"/>
          <w:szCs w:val="20"/>
          <w:lang w:eastAsia="en-GB" w:bidi="en-GB"/>
        </w:rPr>
        <w:t>as</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increase</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minimum</w:t>
      </w:r>
      <w:r w:rsidR="00FF41A0">
        <w:rPr>
          <w:color w:val="000000"/>
          <w:sz w:val="20"/>
          <w:szCs w:val="20"/>
          <w:lang w:eastAsia="en-GB" w:bidi="en-GB"/>
        </w:rPr>
        <w:t xml:space="preserve"> </w:t>
      </w:r>
      <w:r w:rsidR="00323457" w:rsidRPr="0059638B">
        <w:rPr>
          <w:color w:val="000000"/>
          <w:sz w:val="20"/>
          <w:szCs w:val="20"/>
          <w:lang w:eastAsia="en-GB" w:bidi="en-GB"/>
        </w:rPr>
        <w:t>legal</w:t>
      </w:r>
      <w:r w:rsidR="00FF41A0">
        <w:rPr>
          <w:color w:val="000000"/>
          <w:sz w:val="20"/>
          <w:szCs w:val="20"/>
          <w:lang w:eastAsia="en-GB" w:bidi="en-GB"/>
        </w:rPr>
        <w:t xml:space="preserve"> </w:t>
      </w:r>
      <w:r w:rsidR="00323457" w:rsidRPr="0059638B">
        <w:rPr>
          <w:color w:val="000000"/>
          <w:sz w:val="20"/>
          <w:szCs w:val="20"/>
          <w:lang w:eastAsia="en-GB" w:bidi="en-GB"/>
        </w:rPr>
        <w:t>age</w:t>
      </w:r>
      <w:r w:rsidR="00FF41A0">
        <w:rPr>
          <w:color w:val="000000"/>
          <w:sz w:val="20"/>
          <w:szCs w:val="20"/>
          <w:lang w:eastAsia="en-GB" w:bidi="en-GB"/>
        </w:rPr>
        <w:t xml:space="preserve"> </w:t>
      </w:r>
      <w:r w:rsidR="00323457" w:rsidRPr="0059638B">
        <w:rPr>
          <w:color w:val="000000"/>
          <w:sz w:val="20"/>
          <w:szCs w:val="20"/>
          <w:lang w:eastAsia="en-GB" w:bidi="en-GB"/>
        </w:rPr>
        <w:t>for</w:t>
      </w:r>
      <w:r w:rsidR="00FF41A0">
        <w:rPr>
          <w:color w:val="000000"/>
          <w:sz w:val="20"/>
          <w:szCs w:val="20"/>
          <w:lang w:eastAsia="en-GB" w:bidi="en-GB"/>
        </w:rPr>
        <w:t xml:space="preserve"> </w:t>
      </w:r>
      <w:r w:rsidR="00323457" w:rsidRPr="0059638B">
        <w:rPr>
          <w:color w:val="000000"/>
          <w:sz w:val="20"/>
          <w:szCs w:val="20"/>
          <w:lang w:eastAsia="en-GB" w:bidi="en-GB"/>
        </w:rPr>
        <w:t>marriage</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18</w:t>
      </w:r>
      <w:r w:rsidR="00FF41A0">
        <w:rPr>
          <w:color w:val="000000"/>
          <w:sz w:val="20"/>
          <w:szCs w:val="20"/>
          <w:lang w:eastAsia="en-GB" w:bidi="en-GB"/>
        </w:rPr>
        <w:t xml:space="preserve"> </w:t>
      </w:r>
      <w:r w:rsidR="00323457" w:rsidRPr="0059638B">
        <w:rPr>
          <w:color w:val="000000"/>
          <w:sz w:val="20"/>
          <w:szCs w:val="20"/>
          <w:lang w:eastAsia="en-GB" w:bidi="en-GB"/>
        </w:rPr>
        <w:t>years</w:t>
      </w:r>
      <w:r w:rsidR="00FF41A0">
        <w:rPr>
          <w:color w:val="000000"/>
          <w:sz w:val="20"/>
          <w:szCs w:val="20"/>
          <w:lang w:eastAsia="en-GB" w:bidi="en-GB"/>
        </w:rPr>
        <w:t xml:space="preserve"> </w:t>
      </w:r>
      <w:r w:rsidR="00323457" w:rsidRPr="0059638B">
        <w:rPr>
          <w:color w:val="000000"/>
          <w:sz w:val="20"/>
          <w:szCs w:val="20"/>
          <w:lang w:eastAsia="en-GB" w:bidi="en-GB"/>
        </w:rPr>
        <w:t>old</w:t>
      </w:r>
      <w:r w:rsidR="00FF41A0">
        <w:rPr>
          <w:color w:val="000000"/>
          <w:sz w:val="20"/>
          <w:szCs w:val="20"/>
          <w:lang w:eastAsia="en-GB" w:bidi="en-GB"/>
        </w:rPr>
        <w:t xml:space="preserve"> </w:t>
      </w:r>
      <w:r w:rsidR="00323457" w:rsidRPr="0059638B">
        <w:rPr>
          <w:color w:val="000000"/>
          <w:sz w:val="20"/>
          <w:szCs w:val="20"/>
          <w:lang w:eastAsia="en-GB" w:bidi="en-GB"/>
        </w:rPr>
        <w:t>were</w:t>
      </w:r>
      <w:r w:rsidR="00FF41A0">
        <w:rPr>
          <w:color w:val="000000"/>
          <w:sz w:val="20"/>
          <w:szCs w:val="20"/>
          <w:lang w:eastAsia="en-GB" w:bidi="en-GB"/>
        </w:rPr>
        <w:t xml:space="preserve"> </w:t>
      </w:r>
      <w:r w:rsidR="00323457" w:rsidRPr="0059638B">
        <w:rPr>
          <w:color w:val="000000"/>
          <w:sz w:val="20"/>
          <w:szCs w:val="20"/>
          <w:lang w:eastAsia="en-GB" w:bidi="en-GB"/>
        </w:rPr>
        <w:t>positions</w:t>
      </w:r>
      <w:r w:rsidR="00FF41A0">
        <w:rPr>
          <w:color w:val="000000"/>
          <w:sz w:val="20"/>
          <w:szCs w:val="20"/>
          <w:lang w:eastAsia="en-GB" w:bidi="en-GB"/>
        </w:rPr>
        <w:t xml:space="preserve"> </w:t>
      </w:r>
      <w:r w:rsidR="00323457" w:rsidRPr="0059638B">
        <w:rPr>
          <w:color w:val="000000"/>
          <w:sz w:val="20"/>
          <w:szCs w:val="20"/>
          <w:lang w:eastAsia="en-GB" w:bidi="en-GB"/>
        </w:rPr>
        <w:t>previously</w:t>
      </w:r>
      <w:r w:rsidR="00FF41A0">
        <w:rPr>
          <w:color w:val="000000"/>
          <w:sz w:val="20"/>
          <w:szCs w:val="20"/>
          <w:lang w:eastAsia="en-GB" w:bidi="en-GB"/>
        </w:rPr>
        <w:t xml:space="preserve"> </w:t>
      </w:r>
      <w:r w:rsidR="00323457" w:rsidRPr="0059638B">
        <w:rPr>
          <w:color w:val="000000"/>
          <w:sz w:val="20"/>
          <w:szCs w:val="20"/>
          <w:lang w:eastAsia="en-GB" w:bidi="en-GB"/>
        </w:rPr>
        <w:t>publicly</w:t>
      </w:r>
      <w:r w:rsidR="00FF41A0">
        <w:rPr>
          <w:color w:val="000000"/>
          <w:sz w:val="20"/>
          <w:szCs w:val="20"/>
          <w:lang w:eastAsia="en-GB" w:bidi="en-GB"/>
        </w:rPr>
        <w:t xml:space="preserve"> </w:t>
      </w:r>
      <w:r w:rsidR="00323457" w:rsidRPr="0059638B">
        <w:rPr>
          <w:color w:val="000000"/>
          <w:sz w:val="20"/>
          <w:szCs w:val="20"/>
          <w:lang w:eastAsia="en-GB" w:bidi="en-GB"/>
        </w:rPr>
        <w:t>endorsed</w:t>
      </w:r>
      <w:r w:rsidR="00FF41A0">
        <w:rPr>
          <w:color w:val="000000"/>
          <w:sz w:val="20"/>
          <w:szCs w:val="20"/>
          <w:lang w:eastAsia="en-GB" w:bidi="en-GB"/>
        </w:rPr>
        <w:t xml:space="preserve"> </w:t>
      </w:r>
      <w:r w:rsidR="00323457" w:rsidRPr="0059638B">
        <w:rPr>
          <w:color w:val="000000"/>
          <w:sz w:val="20"/>
          <w:szCs w:val="20"/>
          <w:lang w:eastAsia="en-GB" w:bidi="en-GB"/>
        </w:rPr>
        <w:t>by</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Government,</w:t>
      </w:r>
      <w:r w:rsidR="00FF41A0">
        <w:rPr>
          <w:color w:val="000000"/>
          <w:sz w:val="20"/>
          <w:szCs w:val="20"/>
          <w:lang w:eastAsia="en-GB" w:bidi="en-GB"/>
        </w:rPr>
        <w:t xml:space="preserve"> </w:t>
      </w:r>
      <w:r w:rsidR="00323457" w:rsidRPr="0059638B">
        <w:rPr>
          <w:color w:val="000000"/>
          <w:sz w:val="20"/>
          <w:szCs w:val="20"/>
          <w:lang w:eastAsia="en-GB" w:bidi="en-GB"/>
        </w:rPr>
        <w:t>but</w:t>
      </w:r>
      <w:r w:rsidR="00FF41A0">
        <w:rPr>
          <w:color w:val="000000"/>
          <w:sz w:val="20"/>
          <w:szCs w:val="20"/>
          <w:lang w:eastAsia="en-GB" w:bidi="en-GB"/>
        </w:rPr>
        <w:t xml:space="preserve"> </w:t>
      </w:r>
      <w:r w:rsidR="00323457" w:rsidRPr="0059638B">
        <w:rPr>
          <w:color w:val="000000"/>
          <w:sz w:val="20"/>
          <w:szCs w:val="20"/>
          <w:lang w:eastAsia="en-GB" w:bidi="en-GB"/>
        </w:rPr>
        <w:t>that</w:t>
      </w:r>
      <w:r w:rsidR="00FF41A0">
        <w:rPr>
          <w:color w:val="000000"/>
          <w:sz w:val="20"/>
          <w:szCs w:val="20"/>
          <w:lang w:eastAsia="en-GB" w:bidi="en-GB"/>
        </w:rPr>
        <w:t xml:space="preserve"> </w:t>
      </w:r>
      <w:r w:rsidR="00323457" w:rsidRPr="0059638B">
        <w:rPr>
          <w:color w:val="000000"/>
          <w:sz w:val="20"/>
          <w:szCs w:val="20"/>
          <w:lang w:eastAsia="en-GB" w:bidi="en-GB"/>
        </w:rPr>
        <w:t>these</w:t>
      </w:r>
      <w:r w:rsidR="00FF41A0">
        <w:rPr>
          <w:color w:val="000000"/>
          <w:sz w:val="20"/>
          <w:szCs w:val="20"/>
          <w:lang w:eastAsia="en-GB" w:bidi="en-GB"/>
        </w:rPr>
        <w:t xml:space="preserve"> </w:t>
      </w:r>
      <w:r w:rsidR="00323457" w:rsidRPr="0059638B">
        <w:rPr>
          <w:color w:val="000000"/>
          <w:sz w:val="20"/>
          <w:szCs w:val="20"/>
          <w:lang w:eastAsia="en-GB" w:bidi="en-GB"/>
        </w:rPr>
        <w:t>had</w:t>
      </w:r>
      <w:r w:rsidR="00FF41A0">
        <w:rPr>
          <w:color w:val="000000"/>
          <w:sz w:val="20"/>
          <w:szCs w:val="20"/>
          <w:lang w:eastAsia="en-GB" w:bidi="en-GB"/>
        </w:rPr>
        <w:t xml:space="preserve"> </w:t>
      </w:r>
      <w:r w:rsidR="00323457" w:rsidRPr="0059638B">
        <w:rPr>
          <w:color w:val="000000"/>
          <w:sz w:val="20"/>
          <w:szCs w:val="20"/>
          <w:lang w:eastAsia="en-GB" w:bidi="en-GB"/>
        </w:rPr>
        <w:t>not</w:t>
      </w:r>
      <w:r w:rsidR="00FF41A0">
        <w:rPr>
          <w:color w:val="000000"/>
          <w:sz w:val="20"/>
          <w:szCs w:val="20"/>
          <w:lang w:eastAsia="en-GB" w:bidi="en-GB"/>
        </w:rPr>
        <w:t xml:space="preserve"> </w:t>
      </w:r>
      <w:r w:rsidR="00323457" w:rsidRPr="0059638B">
        <w:rPr>
          <w:color w:val="000000"/>
          <w:sz w:val="20"/>
          <w:szCs w:val="20"/>
          <w:lang w:eastAsia="en-GB" w:bidi="en-GB"/>
        </w:rPr>
        <w:t>been</w:t>
      </w:r>
      <w:r w:rsidR="00FF41A0">
        <w:rPr>
          <w:color w:val="000000"/>
          <w:sz w:val="20"/>
          <w:szCs w:val="20"/>
          <w:lang w:eastAsia="en-GB" w:bidi="en-GB"/>
        </w:rPr>
        <w:t xml:space="preserve"> </w:t>
      </w:r>
      <w:r w:rsidR="00323457" w:rsidRPr="0059638B">
        <w:rPr>
          <w:color w:val="000000"/>
          <w:sz w:val="20"/>
          <w:szCs w:val="20"/>
          <w:lang w:eastAsia="en-GB" w:bidi="en-GB"/>
        </w:rPr>
        <w:t>accepted.</w:t>
      </w:r>
      <w:r w:rsidR="00FF41A0">
        <w:rPr>
          <w:color w:val="000000"/>
          <w:sz w:val="20"/>
          <w:szCs w:val="20"/>
          <w:lang w:eastAsia="en-GB" w:bidi="en-GB"/>
        </w:rPr>
        <w:t xml:space="preserve"> </w:t>
      </w:r>
    </w:p>
    <w:p w14:paraId="0805DEFB" w14:textId="2CB503CF" w:rsidR="00323457" w:rsidRPr="0059638B" w:rsidRDefault="00972F1E" w:rsidP="00323457">
      <w:pPr>
        <w:pStyle w:val="SingleTxtG"/>
        <w:rPr>
          <w:sz w:val="20"/>
          <w:szCs w:val="20"/>
        </w:rPr>
      </w:pPr>
      <w:r>
        <w:rPr>
          <w:color w:val="000000"/>
          <w:sz w:val="20"/>
          <w:szCs w:val="20"/>
          <w:lang w:eastAsia="en-GB" w:bidi="en-GB"/>
        </w:rPr>
        <w:t>644</w:t>
      </w:r>
      <w:r w:rsidR="00D7475F">
        <w:rPr>
          <w:color w:val="000000"/>
          <w:sz w:val="20"/>
          <w:szCs w:val="20"/>
          <w:lang w:eastAsia="en-GB" w:bidi="en-GB"/>
        </w:rPr>
        <w:t>.</w:t>
      </w:r>
      <w:r w:rsidR="00D7475F">
        <w:rPr>
          <w:color w:val="000000"/>
          <w:sz w:val="20"/>
          <w:szCs w:val="20"/>
          <w:lang w:eastAsia="en-GB" w:bidi="en-GB"/>
        </w:rPr>
        <w:tab/>
      </w:r>
      <w:r w:rsidR="00323457" w:rsidRPr="0059638B">
        <w:rPr>
          <w:color w:val="000000"/>
          <w:sz w:val="20"/>
          <w:szCs w:val="20"/>
          <w:lang w:eastAsia="en-GB" w:bidi="en-GB"/>
        </w:rPr>
        <w:t>It</w:t>
      </w:r>
      <w:r w:rsidR="00FF41A0">
        <w:rPr>
          <w:color w:val="000000"/>
          <w:sz w:val="20"/>
          <w:szCs w:val="20"/>
          <w:lang w:eastAsia="en-GB" w:bidi="en-GB"/>
        </w:rPr>
        <w:t xml:space="preserve"> </w:t>
      </w:r>
      <w:r w:rsidR="00323457" w:rsidRPr="0059638B">
        <w:rPr>
          <w:color w:val="000000"/>
          <w:sz w:val="20"/>
          <w:szCs w:val="20"/>
          <w:lang w:eastAsia="en-GB" w:bidi="en-GB"/>
        </w:rPr>
        <w:t>also</w:t>
      </w:r>
      <w:r w:rsidR="00FF41A0">
        <w:rPr>
          <w:color w:val="000000"/>
          <w:sz w:val="20"/>
          <w:szCs w:val="20"/>
          <w:lang w:eastAsia="en-GB" w:bidi="en-GB"/>
        </w:rPr>
        <w:t xml:space="preserve"> </w:t>
      </w:r>
      <w:r w:rsidR="00323457" w:rsidRPr="0059638B">
        <w:rPr>
          <w:color w:val="000000"/>
          <w:sz w:val="20"/>
          <w:szCs w:val="20"/>
          <w:lang w:eastAsia="en-GB" w:bidi="en-GB"/>
        </w:rPr>
        <w:t>stated</w:t>
      </w:r>
      <w:r w:rsidR="00FF41A0">
        <w:rPr>
          <w:color w:val="000000"/>
          <w:sz w:val="20"/>
          <w:szCs w:val="20"/>
          <w:lang w:eastAsia="en-GB" w:bidi="en-GB"/>
        </w:rPr>
        <w:t xml:space="preserve"> </w:t>
      </w:r>
      <w:r w:rsidR="00323457" w:rsidRPr="0059638B">
        <w:rPr>
          <w:color w:val="000000"/>
          <w:sz w:val="20"/>
          <w:szCs w:val="20"/>
          <w:lang w:eastAsia="en-GB" w:bidi="en-GB"/>
        </w:rPr>
        <w:t>that</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new</w:t>
      </w:r>
      <w:r w:rsidR="00FF41A0">
        <w:rPr>
          <w:color w:val="000000"/>
          <w:sz w:val="20"/>
          <w:szCs w:val="20"/>
          <w:lang w:eastAsia="en-GB" w:bidi="en-GB"/>
        </w:rPr>
        <w:t xml:space="preserve"> </w:t>
      </w:r>
      <w:r w:rsidR="00323457" w:rsidRPr="0059638B">
        <w:rPr>
          <w:color w:val="000000"/>
          <w:sz w:val="20"/>
          <w:szCs w:val="20"/>
          <w:lang w:eastAsia="en-GB" w:bidi="en-GB"/>
        </w:rPr>
        <w:t>Government</w:t>
      </w:r>
      <w:r w:rsidR="00FF41A0">
        <w:rPr>
          <w:color w:val="000000"/>
          <w:sz w:val="20"/>
          <w:szCs w:val="20"/>
          <w:lang w:eastAsia="en-GB" w:bidi="en-GB"/>
        </w:rPr>
        <w:t xml:space="preserve"> </w:t>
      </w:r>
      <w:r w:rsidR="00323457" w:rsidRPr="0059638B">
        <w:rPr>
          <w:color w:val="000000"/>
          <w:sz w:val="20"/>
          <w:szCs w:val="20"/>
          <w:lang w:eastAsia="en-GB" w:bidi="en-GB"/>
        </w:rPr>
        <w:t>must</w:t>
      </w:r>
      <w:r w:rsidR="00FF41A0">
        <w:rPr>
          <w:color w:val="000000"/>
          <w:sz w:val="20"/>
          <w:szCs w:val="20"/>
          <w:lang w:eastAsia="en-GB" w:bidi="en-GB"/>
        </w:rPr>
        <w:t xml:space="preserve"> </w:t>
      </w:r>
      <w:r w:rsidR="00323457" w:rsidRPr="0059638B">
        <w:rPr>
          <w:color w:val="000000"/>
          <w:sz w:val="20"/>
          <w:szCs w:val="20"/>
          <w:lang w:eastAsia="en-GB" w:bidi="en-GB"/>
        </w:rPr>
        <w:t>reaffirm</w:t>
      </w:r>
      <w:r w:rsidR="00FF41A0">
        <w:rPr>
          <w:color w:val="000000"/>
          <w:sz w:val="20"/>
          <w:szCs w:val="20"/>
          <w:lang w:eastAsia="en-GB" w:bidi="en-GB"/>
        </w:rPr>
        <w:t xml:space="preserve"> </w:t>
      </w:r>
      <w:r w:rsidR="00323457" w:rsidRPr="0059638B">
        <w:rPr>
          <w:color w:val="000000"/>
          <w:sz w:val="20"/>
          <w:szCs w:val="20"/>
          <w:lang w:eastAsia="en-GB" w:bidi="en-GB"/>
        </w:rPr>
        <w:t>its</w:t>
      </w:r>
      <w:r w:rsidR="00FF41A0">
        <w:rPr>
          <w:color w:val="000000"/>
          <w:sz w:val="20"/>
          <w:szCs w:val="20"/>
          <w:lang w:eastAsia="en-GB" w:bidi="en-GB"/>
        </w:rPr>
        <w:t xml:space="preserve"> </w:t>
      </w:r>
      <w:r w:rsidR="00323457" w:rsidRPr="0059638B">
        <w:rPr>
          <w:color w:val="000000"/>
          <w:sz w:val="20"/>
          <w:szCs w:val="20"/>
          <w:lang w:eastAsia="en-GB" w:bidi="en-GB"/>
        </w:rPr>
        <w:t>commitment</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human</w:t>
      </w:r>
      <w:r w:rsidR="00FF41A0">
        <w:rPr>
          <w:color w:val="000000"/>
          <w:sz w:val="20"/>
          <w:szCs w:val="20"/>
          <w:lang w:eastAsia="en-GB" w:bidi="en-GB"/>
        </w:rPr>
        <w:t xml:space="preserve"> </w:t>
      </w:r>
      <w:r w:rsidR="00323457" w:rsidRPr="0059638B">
        <w:rPr>
          <w:color w:val="000000"/>
          <w:sz w:val="20"/>
          <w:szCs w:val="20"/>
          <w:lang w:eastAsia="en-GB" w:bidi="en-GB"/>
        </w:rPr>
        <w:t>rights</w:t>
      </w:r>
      <w:r w:rsidR="00FF41A0">
        <w:rPr>
          <w:color w:val="000000"/>
          <w:sz w:val="20"/>
          <w:szCs w:val="20"/>
          <w:lang w:eastAsia="en-GB" w:bidi="en-GB"/>
        </w:rPr>
        <w:t xml:space="preserve"> </w:t>
      </w:r>
      <w:r w:rsidR="00323457" w:rsidRPr="0059638B">
        <w:rPr>
          <w:color w:val="000000"/>
          <w:sz w:val="20"/>
          <w:szCs w:val="20"/>
          <w:lang w:eastAsia="en-GB" w:bidi="en-GB"/>
        </w:rPr>
        <w:t>for</w:t>
      </w:r>
      <w:r w:rsidR="00FF41A0">
        <w:rPr>
          <w:color w:val="000000"/>
          <w:sz w:val="20"/>
          <w:szCs w:val="20"/>
          <w:lang w:eastAsia="en-GB" w:bidi="en-GB"/>
        </w:rPr>
        <w:t xml:space="preserve"> </w:t>
      </w:r>
      <w:r w:rsidR="00323457" w:rsidRPr="0059638B">
        <w:rPr>
          <w:color w:val="000000"/>
          <w:sz w:val="20"/>
          <w:szCs w:val="20"/>
          <w:lang w:eastAsia="en-GB" w:bidi="en-GB"/>
        </w:rPr>
        <w:t>all,</w:t>
      </w:r>
      <w:r w:rsidR="00FF41A0">
        <w:rPr>
          <w:color w:val="000000"/>
          <w:sz w:val="20"/>
          <w:szCs w:val="20"/>
          <w:lang w:eastAsia="en-GB" w:bidi="en-GB"/>
        </w:rPr>
        <w:t xml:space="preserve"> </w:t>
      </w:r>
      <w:r w:rsidR="00323457" w:rsidRPr="0059638B">
        <w:rPr>
          <w:color w:val="000000"/>
          <w:sz w:val="20"/>
          <w:szCs w:val="20"/>
          <w:lang w:eastAsia="en-GB" w:bidi="en-GB"/>
        </w:rPr>
        <w:t>as</w:t>
      </w:r>
      <w:r w:rsidR="00FF41A0">
        <w:rPr>
          <w:color w:val="000000"/>
          <w:sz w:val="20"/>
          <w:szCs w:val="20"/>
          <w:lang w:eastAsia="en-GB" w:bidi="en-GB"/>
        </w:rPr>
        <w:t xml:space="preserve"> </w:t>
      </w:r>
      <w:r w:rsidR="00323457" w:rsidRPr="0059638B">
        <w:rPr>
          <w:color w:val="000000"/>
          <w:sz w:val="20"/>
          <w:szCs w:val="20"/>
          <w:lang w:eastAsia="en-GB" w:bidi="en-GB"/>
        </w:rPr>
        <w:t>per</w:t>
      </w:r>
      <w:r w:rsidR="00FF41A0">
        <w:rPr>
          <w:color w:val="000000"/>
          <w:sz w:val="20"/>
          <w:szCs w:val="20"/>
          <w:lang w:eastAsia="en-GB" w:bidi="en-GB"/>
        </w:rPr>
        <w:t xml:space="preserve"> </w:t>
      </w:r>
      <w:r w:rsidR="00323457" w:rsidRPr="0059638B">
        <w:rPr>
          <w:color w:val="000000"/>
          <w:sz w:val="20"/>
          <w:szCs w:val="20"/>
          <w:lang w:eastAsia="en-GB" w:bidi="en-GB"/>
        </w:rPr>
        <w:t>their</w:t>
      </w:r>
      <w:r w:rsidR="00FF41A0">
        <w:rPr>
          <w:color w:val="000000"/>
          <w:sz w:val="20"/>
          <w:szCs w:val="20"/>
          <w:lang w:eastAsia="en-GB" w:bidi="en-GB"/>
        </w:rPr>
        <w:t xml:space="preserve"> </w:t>
      </w:r>
      <w:r w:rsidR="00323457" w:rsidRPr="0059638B">
        <w:rPr>
          <w:color w:val="000000"/>
          <w:sz w:val="20"/>
          <w:szCs w:val="20"/>
          <w:lang w:eastAsia="en-GB" w:bidi="en-GB"/>
        </w:rPr>
        <w:t>election</w:t>
      </w:r>
      <w:r w:rsidR="00FF41A0">
        <w:rPr>
          <w:color w:val="000000"/>
          <w:sz w:val="20"/>
          <w:szCs w:val="20"/>
          <w:lang w:eastAsia="en-GB" w:bidi="en-GB"/>
        </w:rPr>
        <w:t xml:space="preserve"> </w:t>
      </w:r>
      <w:r w:rsidR="00323457" w:rsidRPr="0059638B">
        <w:rPr>
          <w:color w:val="000000"/>
          <w:sz w:val="20"/>
          <w:szCs w:val="20"/>
          <w:lang w:eastAsia="en-GB" w:bidi="en-GB"/>
        </w:rPr>
        <w:t>promises.</w:t>
      </w:r>
      <w:r w:rsidR="00FF41A0">
        <w:rPr>
          <w:color w:val="000000"/>
          <w:sz w:val="20"/>
          <w:szCs w:val="20"/>
          <w:lang w:eastAsia="en-GB" w:bidi="en-GB"/>
        </w:rPr>
        <w:t xml:space="preserve"> </w:t>
      </w:r>
      <w:r w:rsidR="00323457" w:rsidRPr="0059638B">
        <w:rPr>
          <w:color w:val="000000"/>
          <w:sz w:val="20"/>
          <w:szCs w:val="20"/>
          <w:lang w:eastAsia="en-GB" w:bidi="en-GB"/>
        </w:rPr>
        <w:t>It</w:t>
      </w:r>
      <w:r w:rsidR="00FF41A0">
        <w:rPr>
          <w:color w:val="000000"/>
          <w:sz w:val="20"/>
          <w:szCs w:val="20"/>
          <w:lang w:eastAsia="en-GB" w:bidi="en-GB"/>
        </w:rPr>
        <w:t xml:space="preserve"> </w:t>
      </w:r>
      <w:r w:rsidR="00323457" w:rsidRPr="0059638B">
        <w:rPr>
          <w:color w:val="000000"/>
          <w:sz w:val="20"/>
          <w:szCs w:val="20"/>
          <w:lang w:eastAsia="en-GB" w:bidi="en-GB"/>
        </w:rPr>
        <w:t>stood</w:t>
      </w:r>
      <w:r w:rsidR="00FF41A0">
        <w:rPr>
          <w:color w:val="000000"/>
          <w:sz w:val="20"/>
          <w:szCs w:val="20"/>
          <w:lang w:eastAsia="en-GB" w:bidi="en-GB"/>
        </w:rPr>
        <w:t xml:space="preserve"> </w:t>
      </w:r>
      <w:r w:rsidR="00323457" w:rsidRPr="0059638B">
        <w:rPr>
          <w:color w:val="000000"/>
          <w:sz w:val="20"/>
          <w:szCs w:val="20"/>
          <w:lang w:eastAsia="en-GB" w:bidi="en-GB"/>
        </w:rPr>
        <w:t>ready</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work</w:t>
      </w:r>
      <w:r w:rsidR="00FF41A0">
        <w:rPr>
          <w:color w:val="000000"/>
          <w:sz w:val="20"/>
          <w:szCs w:val="20"/>
          <w:lang w:eastAsia="en-GB" w:bidi="en-GB"/>
        </w:rPr>
        <w:t xml:space="preserve"> </w:t>
      </w:r>
      <w:r w:rsidR="00323457" w:rsidRPr="0059638B">
        <w:rPr>
          <w:color w:val="000000"/>
          <w:sz w:val="20"/>
          <w:szCs w:val="20"/>
          <w:lang w:eastAsia="en-GB" w:bidi="en-GB"/>
        </w:rPr>
        <w:t>with</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Government</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improve</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state</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human</w:t>
      </w:r>
      <w:r w:rsidR="00FF41A0">
        <w:rPr>
          <w:color w:val="000000"/>
          <w:sz w:val="20"/>
          <w:szCs w:val="20"/>
          <w:lang w:eastAsia="en-GB" w:bidi="en-GB"/>
        </w:rPr>
        <w:t xml:space="preserve"> </w:t>
      </w:r>
      <w:r w:rsidR="00323457" w:rsidRPr="0059638B">
        <w:rPr>
          <w:color w:val="000000"/>
          <w:sz w:val="20"/>
          <w:szCs w:val="20"/>
          <w:lang w:eastAsia="en-GB" w:bidi="en-GB"/>
        </w:rPr>
        <w:t>rights</w:t>
      </w:r>
      <w:r w:rsidR="00FF41A0">
        <w:rPr>
          <w:color w:val="000000"/>
          <w:sz w:val="20"/>
          <w:szCs w:val="20"/>
          <w:lang w:eastAsia="en-GB" w:bidi="en-GB"/>
        </w:rPr>
        <w:t xml:space="preserve"> </w:t>
      </w:r>
      <w:r w:rsidR="00323457" w:rsidRPr="0059638B">
        <w:rPr>
          <w:color w:val="000000"/>
          <w:sz w:val="20"/>
          <w:szCs w:val="20"/>
          <w:lang w:eastAsia="en-GB" w:bidi="en-GB"/>
        </w:rPr>
        <w:t>in</w:t>
      </w:r>
      <w:r w:rsidR="00FF41A0">
        <w:rPr>
          <w:color w:val="000000"/>
          <w:sz w:val="20"/>
          <w:szCs w:val="20"/>
          <w:lang w:eastAsia="en-GB" w:bidi="en-GB"/>
        </w:rPr>
        <w:t xml:space="preserve"> </w:t>
      </w:r>
      <w:r w:rsidR="00323457" w:rsidRPr="0059638B">
        <w:rPr>
          <w:color w:val="000000"/>
          <w:sz w:val="20"/>
          <w:szCs w:val="20"/>
          <w:lang w:eastAsia="en-GB" w:bidi="en-GB"/>
        </w:rPr>
        <w:t>Malaysia.</w:t>
      </w:r>
    </w:p>
    <w:p w14:paraId="6448044B" w14:textId="01ED5726" w:rsidR="00323457" w:rsidRPr="0059638B" w:rsidRDefault="00323457" w:rsidP="00323457">
      <w:pPr>
        <w:pStyle w:val="H23G"/>
        <w:rPr>
          <w:sz w:val="20"/>
          <w:szCs w:val="20"/>
        </w:rPr>
      </w:pPr>
      <w:r w:rsidRPr="0059638B">
        <w:rPr>
          <w:sz w:val="20"/>
          <w:szCs w:val="20"/>
        </w:rPr>
        <w:tab/>
        <w:t>3.</w:t>
      </w:r>
      <w:r w:rsidRPr="0059638B">
        <w:rPr>
          <w:sz w:val="20"/>
          <w:szCs w:val="20"/>
        </w:rPr>
        <w:tab/>
        <w:t>Views</w:t>
      </w:r>
      <w:r w:rsidR="00FF41A0">
        <w:rPr>
          <w:sz w:val="20"/>
          <w:szCs w:val="20"/>
        </w:rPr>
        <w:t xml:space="preserve"> </w:t>
      </w:r>
      <w:r w:rsidRPr="0059638B">
        <w:rPr>
          <w:sz w:val="20"/>
          <w:szCs w:val="20"/>
        </w:rPr>
        <w:t>expressed</w:t>
      </w:r>
      <w:r w:rsidR="00FF41A0">
        <w:rPr>
          <w:sz w:val="20"/>
          <w:szCs w:val="20"/>
        </w:rPr>
        <w:t xml:space="preserve"> </w:t>
      </w:r>
      <w:r w:rsidRPr="0059638B">
        <w:rPr>
          <w:sz w:val="20"/>
          <w:szCs w:val="20"/>
        </w:rPr>
        <w:t>by</w:t>
      </w:r>
      <w:r w:rsidR="00FF41A0">
        <w:rPr>
          <w:sz w:val="20"/>
          <w:szCs w:val="20"/>
        </w:rPr>
        <w:t xml:space="preserve"> </w:t>
      </w:r>
      <w:r w:rsidRPr="0059638B">
        <w:rPr>
          <w:sz w:val="20"/>
          <w:szCs w:val="20"/>
        </w:rPr>
        <w:t>Member</w:t>
      </w:r>
      <w:r w:rsidR="00FF41A0">
        <w:rPr>
          <w:sz w:val="20"/>
          <w:szCs w:val="20"/>
        </w:rPr>
        <w:t xml:space="preserve"> </w:t>
      </w:r>
      <w:r w:rsidRPr="0059638B">
        <w:rPr>
          <w:sz w:val="20"/>
          <w:szCs w:val="20"/>
        </w:rPr>
        <w:t>and</w:t>
      </w:r>
      <w:r w:rsidR="00FF41A0">
        <w:rPr>
          <w:sz w:val="20"/>
          <w:szCs w:val="20"/>
        </w:rPr>
        <w:t xml:space="preserve"> </w:t>
      </w:r>
      <w:r w:rsidRPr="0059638B">
        <w:rPr>
          <w:sz w:val="20"/>
          <w:szCs w:val="20"/>
        </w:rPr>
        <w:t>observer</w:t>
      </w:r>
      <w:r w:rsidR="00FF41A0">
        <w:rPr>
          <w:sz w:val="20"/>
          <w:szCs w:val="20"/>
        </w:rPr>
        <w:t xml:space="preserve"> </w:t>
      </w:r>
      <w:r w:rsidRPr="0059638B">
        <w:rPr>
          <w:sz w:val="20"/>
          <w:szCs w:val="20"/>
        </w:rPr>
        <w:t>States</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on</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outcome</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review</w:t>
      </w:r>
      <w:r w:rsidR="00FF41A0">
        <w:rPr>
          <w:sz w:val="20"/>
          <w:szCs w:val="20"/>
        </w:rPr>
        <w:t xml:space="preserve"> </w:t>
      </w:r>
    </w:p>
    <w:p w14:paraId="39D9AB88" w14:textId="1BABF86E" w:rsidR="00323457" w:rsidRPr="0059638B" w:rsidRDefault="00972F1E" w:rsidP="00323457">
      <w:pPr>
        <w:pStyle w:val="SingleTxtG"/>
        <w:rPr>
          <w:sz w:val="20"/>
          <w:szCs w:val="20"/>
        </w:rPr>
      </w:pPr>
      <w:r>
        <w:rPr>
          <w:sz w:val="20"/>
          <w:szCs w:val="20"/>
        </w:rPr>
        <w:t>645</w:t>
      </w:r>
      <w:r w:rsidR="00D7475F">
        <w:rPr>
          <w:sz w:val="20"/>
          <w:szCs w:val="20"/>
        </w:rPr>
        <w:t>.</w:t>
      </w:r>
      <w:r w:rsidR="00D7475F">
        <w:rPr>
          <w:sz w:val="20"/>
          <w:szCs w:val="20"/>
        </w:rPr>
        <w:tab/>
      </w:r>
      <w:r w:rsidR="00323457" w:rsidRPr="0059638B">
        <w:rPr>
          <w:sz w:val="20"/>
          <w:szCs w:val="20"/>
        </w:rPr>
        <w:t>During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adoption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outcome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Malaysia,</w:t>
      </w:r>
      <w:r w:rsidR="00FF41A0">
        <w:rPr>
          <w:sz w:val="20"/>
          <w:szCs w:val="20"/>
        </w:rPr>
        <w:t xml:space="preserve"> </w:t>
      </w:r>
      <w:r w:rsidR="00323457" w:rsidRPr="0059638B">
        <w:rPr>
          <w:sz w:val="20"/>
          <w:szCs w:val="20"/>
        </w:rPr>
        <w:t>13</w:t>
      </w:r>
      <w:r w:rsidR="00FF41A0">
        <w:rPr>
          <w:sz w:val="20"/>
          <w:szCs w:val="20"/>
        </w:rPr>
        <w:t xml:space="preserve"> </w:t>
      </w:r>
      <w:r w:rsidR="00323457" w:rsidRPr="0059638B">
        <w:rPr>
          <w:sz w:val="20"/>
          <w:szCs w:val="20"/>
        </w:rPr>
        <w:t>delegations</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statements.</w:t>
      </w:r>
      <w:r w:rsidR="00CC5A8D" w:rsidRPr="00CC5A8D">
        <w:rPr>
          <w:rStyle w:val="FootnoteReference"/>
          <w:sz w:val="20"/>
          <w:szCs w:val="20"/>
          <w:vertAlign w:val="baseline"/>
        </w:rPr>
        <w:footnoteReference w:customMarkFollows="1" w:id="55"/>
        <w:t>**</w:t>
      </w:r>
      <w:r w:rsidR="00FF41A0">
        <w:rPr>
          <w:sz w:val="20"/>
          <w:szCs w:val="20"/>
        </w:rPr>
        <w:t xml:space="preserve"> </w:t>
      </w:r>
    </w:p>
    <w:p w14:paraId="6E9644AA" w14:textId="6A0BBC61" w:rsidR="00323457" w:rsidRPr="0059638B" w:rsidRDefault="00972F1E" w:rsidP="00323457">
      <w:pPr>
        <w:pStyle w:val="SingleTxtG"/>
        <w:rPr>
          <w:color w:val="000000"/>
          <w:sz w:val="20"/>
          <w:szCs w:val="20"/>
          <w:lang w:eastAsia="en-GB" w:bidi="en-GB"/>
        </w:rPr>
      </w:pPr>
      <w:r>
        <w:rPr>
          <w:color w:val="000000"/>
          <w:sz w:val="20"/>
          <w:szCs w:val="20"/>
          <w:lang w:eastAsia="en-GB" w:bidi="en-GB"/>
        </w:rPr>
        <w:t>646</w:t>
      </w:r>
      <w:r w:rsidR="00D7475F">
        <w:rPr>
          <w:color w:val="000000"/>
          <w:sz w:val="20"/>
          <w:szCs w:val="20"/>
          <w:lang w:eastAsia="en-GB" w:bidi="en-GB"/>
        </w:rPr>
        <w:t>.</w:t>
      </w:r>
      <w:r w:rsidR="00D7475F">
        <w:rPr>
          <w:color w:val="000000"/>
          <w:sz w:val="20"/>
          <w:szCs w:val="20"/>
          <w:lang w:eastAsia="en-GB" w:bidi="en-GB"/>
        </w:rPr>
        <w:tab/>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Russian</w:t>
      </w:r>
      <w:r w:rsidR="00FF41A0">
        <w:rPr>
          <w:color w:val="000000"/>
          <w:sz w:val="20"/>
          <w:szCs w:val="20"/>
          <w:lang w:eastAsia="en-GB" w:bidi="en-GB"/>
        </w:rPr>
        <w:t xml:space="preserve"> </w:t>
      </w:r>
      <w:r w:rsidR="00323457" w:rsidRPr="0059638B">
        <w:rPr>
          <w:color w:val="000000"/>
          <w:sz w:val="20"/>
          <w:szCs w:val="20"/>
          <w:lang w:eastAsia="en-GB" w:bidi="en-GB"/>
        </w:rPr>
        <w:t>Federation</w:t>
      </w:r>
      <w:r w:rsidR="00FF41A0">
        <w:rPr>
          <w:color w:val="000000"/>
          <w:sz w:val="20"/>
          <w:szCs w:val="20"/>
          <w:lang w:eastAsia="en-GB" w:bidi="en-GB"/>
        </w:rPr>
        <w:t xml:space="preserve"> </w:t>
      </w:r>
      <w:r w:rsidR="00323457" w:rsidRPr="0059638B">
        <w:rPr>
          <w:color w:val="000000"/>
          <w:sz w:val="20"/>
          <w:szCs w:val="20"/>
          <w:lang w:eastAsia="en-GB" w:bidi="en-GB"/>
        </w:rPr>
        <w:t>noted</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success</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Malaysia</w:t>
      </w:r>
      <w:r w:rsidR="00FF41A0">
        <w:rPr>
          <w:color w:val="000000"/>
          <w:sz w:val="20"/>
          <w:szCs w:val="20"/>
          <w:lang w:eastAsia="en-GB" w:bidi="en-GB"/>
        </w:rPr>
        <w:t xml:space="preserve"> </w:t>
      </w:r>
      <w:r w:rsidR="00323457" w:rsidRPr="0059638B">
        <w:rPr>
          <w:color w:val="000000"/>
          <w:sz w:val="20"/>
          <w:szCs w:val="20"/>
          <w:lang w:eastAsia="en-GB" w:bidi="en-GB"/>
        </w:rPr>
        <w:t>in</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promotion</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protection</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human</w:t>
      </w:r>
      <w:r w:rsidR="00FF41A0">
        <w:rPr>
          <w:color w:val="000000"/>
          <w:sz w:val="20"/>
          <w:szCs w:val="20"/>
          <w:lang w:eastAsia="en-GB" w:bidi="en-GB"/>
        </w:rPr>
        <w:t xml:space="preserve"> </w:t>
      </w:r>
      <w:r w:rsidR="00323457" w:rsidRPr="0059638B">
        <w:rPr>
          <w:color w:val="000000"/>
          <w:sz w:val="20"/>
          <w:szCs w:val="20"/>
          <w:lang w:eastAsia="en-GB" w:bidi="en-GB"/>
        </w:rPr>
        <w:t>rights</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its</w:t>
      </w:r>
      <w:r w:rsidR="00FF41A0">
        <w:rPr>
          <w:color w:val="000000"/>
          <w:sz w:val="20"/>
          <w:szCs w:val="20"/>
          <w:lang w:eastAsia="en-GB" w:bidi="en-GB"/>
        </w:rPr>
        <w:t xml:space="preserve"> </w:t>
      </w:r>
      <w:r w:rsidR="00323457" w:rsidRPr="0059638B">
        <w:rPr>
          <w:color w:val="000000"/>
          <w:sz w:val="20"/>
          <w:szCs w:val="20"/>
          <w:lang w:eastAsia="en-GB" w:bidi="en-GB"/>
        </w:rPr>
        <w:t>willingness</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cooperate</w:t>
      </w:r>
      <w:r w:rsidR="00FF41A0">
        <w:rPr>
          <w:color w:val="000000"/>
          <w:sz w:val="20"/>
          <w:szCs w:val="20"/>
          <w:lang w:eastAsia="en-GB" w:bidi="en-GB"/>
        </w:rPr>
        <w:t xml:space="preserve"> </w:t>
      </w:r>
      <w:r w:rsidR="00323457" w:rsidRPr="0059638B">
        <w:rPr>
          <w:color w:val="000000"/>
          <w:sz w:val="20"/>
          <w:szCs w:val="20"/>
          <w:lang w:eastAsia="en-GB" w:bidi="en-GB"/>
        </w:rPr>
        <w:t>with</w:t>
      </w:r>
      <w:r w:rsidR="00FF41A0">
        <w:rPr>
          <w:color w:val="000000"/>
          <w:sz w:val="20"/>
          <w:szCs w:val="20"/>
          <w:lang w:eastAsia="en-GB" w:bidi="en-GB"/>
        </w:rPr>
        <w:t xml:space="preserve"> </w:t>
      </w:r>
      <w:r w:rsidR="00323457" w:rsidRPr="0059638B">
        <w:rPr>
          <w:color w:val="000000"/>
          <w:sz w:val="20"/>
          <w:szCs w:val="20"/>
          <w:lang w:eastAsia="en-GB" w:bidi="en-GB"/>
        </w:rPr>
        <w:t>universal</w:t>
      </w:r>
      <w:r w:rsidR="00FF41A0">
        <w:rPr>
          <w:color w:val="000000"/>
          <w:sz w:val="20"/>
          <w:szCs w:val="20"/>
          <w:lang w:eastAsia="en-GB" w:bidi="en-GB"/>
        </w:rPr>
        <w:t xml:space="preserve"> </w:t>
      </w:r>
      <w:r w:rsidR="00323457" w:rsidRPr="0059638B">
        <w:rPr>
          <w:color w:val="000000"/>
          <w:sz w:val="20"/>
          <w:szCs w:val="20"/>
          <w:lang w:eastAsia="en-GB" w:bidi="en-GB"/>
        </w:rPr>
        <w:t>mechanisms</w:t>
      </w:r>
      <w:r w:rsidR="00FF41A0">
        <w:rPr>
          <w:color w:val="000000"/>
          <w:sz w:val="20"/>
          <w:szCs w:val="20"/>
          <w:lang w:eastAsia="en-GB" w:bidi="en-GB"/>
        </w:rPr>
        <w:t xml:space="preserve"> </w:t>
      </w:r>
      <w:r w:rsidR="00323457" w:rsidRPr="0059638B">
        <w:rPr>
          <w:color w:val="000000"/>
          <w:sz w:val="20"/>
          <w:szCs w:val="20"/>
          <w:lang w:eastAsia="en-GB" w:bidi="en-GB"/>
        </w:rPr>
        <w:t>for</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international</w:t>
      </w:r>
      <w:r w:rsidR="00FF41A0">
        <w:rPr>
          <w:color w:val="000000"/>
          <w:sz w:val="20"/>
          <w:szCs w:val="20"/>
          <w:lang w:eastAsia="en-GB" w:bidi="en-GB"/>
        </w:rPr>
        <w:t xml:space="preserve"> </w:t>
      </w:r>
      <w:r w:rsidR="00323457" w:rsidRPr="0059638B">
        <w:rPr>
          <w:color w:val="000000"/>
          <w:sz w:val="20"/>
          <w:szCs w:val="20"/>
          <w:lang w:eastAsia="en-GB" w:bidi="en-GB"/>
        </w:rPr>
        <w:t>monitoring</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human</w:t>
      </w:r>
      <w:r w:rsidR="00FF41A0">
        <w:rPr>
          <w:color w:val="000000"/>
          <w:sz w:val="20"/>
          <w:szCs w:val="20"/>
          <w:lang w:eastAsia="en-GB" w:bidi="en-GB"/>
        </w:rPr>
        <w:t xml:space="preserve"> </w:t>
      </w:r>
      <w:r w:rsidR="00323457" w:rsidRPr="0059638B">
        <w:rPr>
          <w:color w:val="000000"/>
          <w:sz w:val="20"/>
          <w:szCs w:val="20"/>
          <w:lang w:eastAsia="en-GB" w:bidi="en-GB"/>
        </w:rPr>
        <w:t>rights,</w:t>
      </w:r>
      <w:r w:rsidR="00FF41A0">
        <w:rPr>
          <w:color w:val="000000"/>
          <w:sz w:val="20"/>
          <w:szCs w:val="20"/>
          <w:lang w:eastAsia="en-GB" w:bidi="en-GB"/>
        </w:rPr>
        <w:t xml:space="preserve"> </w:t>
      </w:r>
      <w:r w:rsidR="00323457" w:rsidRPr="0059638B">
        <w:rPr>
          <w:color w:val="000000"/>
          <w:sz w:val="20"/>
          <w:szCs w:val="20"/>
          <w:lang w:eastAsia="en-GB" w:bidi="en-GB"/>
        </w:rPr>
        <w:t>particularly</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universal</w:t>
      </w:r>
      <w:r w:rsidR="00FF41A0">
        <w:rPr>
          <w:color w:val="000000"/>
          <w:sz w:val="20"/>
          <w:szCs w:val="20"/>
          <w:lang w:eastAsia="en-GB" w:bidi="en-GB"/>
        </w:rPr>
        <w:t xml:space="preserve"> </w:t>
      </w:r>
      <w:r w:rsidR="00323457" w:rsidRPr="0059638B">
        <w:rPr>
          <w:color w:val="000000"/>
          <w:sz w:val="20"/>
          <w:szCs w:val="20"/>
          <w:lang w:eastAsia="en-GB" w:bidi="en-GB"/>
        </w:rPr>
        <w:t>periodic</w:t>
      </w:r>
      <w:r w:rsidR="00FF41A0">
        <w:rPr>
          <w:color w:val="000000"/>
          <w:sz w:val="20"/>
          <w:szCs w:val="20"/>
          <w:lang w:eastAsia="en-GB" w:bidi="en-GB"/>
        </w:rPr>
        <w:t xml:space="preserve"> </w:t>
      </w:r>
      <w:r w:rsidR="00323457" w:rsidRPr="0059638B">
        <w:rPr>
          <w:color w:val="000000"/>
          <w:sz w:val="20"/>
          <w:szCs w:val="20"/>
          <w:lang w:eastAsia="en-GB" w:bidi="en-GB"/>
        </w:rPr>
        <w:t>review.</w:t>
      </w:r>
      <w:r w:rsidR="00FF41A0">
        <w:rPr>
          <w:color w:val="000000"/>
          <w:sz w:val="20"/>
          <w:szCs w:val="20"/>
          <w:lang w:eastAsia="en-GB" w:bidi="en-GB"/>
        </w:rPr>
        <w:t xml:space="preserve"> </w:t>
      </w:r>
      <w:r w:rsidR="00323457" w:rsidRPr="0059638B">
        <w:rPr>
          <w:color w:val="000000"/>
          <w:sz w:val="20"/>
          <w:szCs w:val="20"/>
          <w:lang w:eastAsia="en-GB" w:bidi="en-GB"/>
        </w:rPr>
        <w:t>It</w:t>
      </w:r>
      <w:r w:rsidR="00FF41A0">
        <w:rPr>
          <w:color w:val="000000"/>
          <w:sz w:val="20"/>
          <w:szCs w:val="20"/>
          <w:lang w:eastAsia="en-GB" w:bidi="en-GB"/>
        </w:rPr>
        <w:t xml:space="preserve"> </w:t>
      </w:r>
      <w:r w:rsidR="00323457" w:rsidRPr="0059638B">
        <w:rPr>
          <w:color w:val="000000"/>
          <w:sz w:val="20"/>
          <w:szCs w:val="20"/>
          <w:lang w:eastAsia="en-GB" w:bidi="en-GB"/>
        </w:rPr>
        <w:t>noted</w:t>
      </w:r>
      <w:r w:rsidR="00FF41A0">
        <w:rPr>
          <w:color w:val="000000"/>
          <w:sz w:val="20"/>
          <w:szCs w:val="20"/>
          <w:lang w:eastAsia="en-GB" w:bidi="en-GB"/>
        </w:rPr>
        <w:t xml:space="preserve"> </w:t>
      </w:r>
      <w:r w:rsidR="00323457" w:rsidRPr="0059638B">
        <w:rPr>
          <w:color w:val="000000"/>
          <w:sz w:val="20"/>
          <w:szCs w:val="20"/>
          <w:lang w:eastAsia="en-GB" w:bidi="en-GB"/>
        </w:rPr>
        <w:t>with</w:t>
      </w:r>
      <w:r w:rsidR="00FF41A0">
        <w:rPr>
          <w:color w:val="000000"/>
          <w:sz w:val="20"/>
          <w:szCs w:val="20"/>
          <w:lang w:eastAsia="en-GB" w:bidi="en-GB"/>
        </w:rPr>
        <w:t xml:space="preserve"> </w:t>
      </w:r>
      <w:r w:rsidR="00323457" w:rsidRPr="0059638B">
        <w:rPr>
          <w:color w:val="000000"/>
          <w:sz w:val="20"/>
          <w:szCs w:val="20"/>
          <w:lang w:eastAsia="en-GB" w:bidi="en-GB"/>
        </w:rPr>
        <w:t>satisfaction</w:t>
      </w:r>
      <w:r w:rsidR="00FF41A0">
        <w:rPr>
          <w:color w:val="000000"/>
          <w:sz w:val="20"/>
          <w:szCs w:val="20"/>
          <w:lang w:eastAsia="en-GB" w:bidi="en-GB"/>
        </w:rPr>
        <w:t xml:space="preserve"> </w:t>
      </w:r>
      <w:r w:rsidR="00323457" w:rsidRPr="0059638B">
        <w:rPr>
          <w:color w:val="000000"/>
          <w:sz w:val="20"/>
          <w:szCs w:val="20"/>
          <w:lang w:eastAsia="en-GB" w:bidi="en-GB"/>
        </w:rPr>
        <w:t>that</w:t>
      </w:r>
      <w:r w:rsidR="00FF41A0">
        <w:rPr>
          <w:color w:val="000000"/>
          <w:sz w:val="20"/>
          <w:szCs w:val="20"/>
          <w:lang w:eastAsia="en-GB" w:bidi="en-GB"/>
        </w:rPr>
        <w:t xml:space="preserve"> </w:t>
      </w:r>
      <w:r w:rsidR="00323457" w:rsidRPr="0059638B">
        <w:rPr>
          <w:color w:val="000000"/>
          <w:sz w:val="20"/>
          <w:szCs w:val="20"/>
          <w:lang w:eastAsia="en-GB" w:bidi="en-GB"/>
        </w:rPr>
        <w:t>Malaysia</w:t>
      </w:r>
      <w:r w:rsidR="00FF41A0">
        <w:rPr>
          <w:color w:val="000000"/>
          <w:sz w:val="20"/>
          <w:szCs w:val="20"/>
          <w:lang w:eastAsia="en-GB" w:bidi="en-GB"/>
        </w:rPr>
        <w:t xml:space="preserve"> </w:t>
      </w:r>
      <w:r w:rsidR="00323457" w:rsidRPr="0059638B">
        <w:rPr>
          <w:color w:val="000000"/>
          <w:sz w:val="20"/>
          <w:szCs w:val="20"/>
          <w:lang w:eastAsia="en-GB" w:bidi="en-GB"/>
        </w:rPr>
        <w:t>accepted</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majority</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recommendations</w:t>
      </w:r>
      <w:r w:rsidR="00FF41A0">
        <w:rPr>
          <w:color w:val="000000"/>
          <w:sz w:val="20"/>
          <w:szCs w:val="20"/>
          <w:lang w:eastAsia="en-GB" w:bidi="en-GB"/>
        </w:rPr>
        <w:t xml:space="preserve"> </w:t>
      </w:r>
      <w:r w:rsidR="00323457" w:rsidRPr="0059638B">
        <w:rPr>
          <w:color w:val="000000"/>
          <w:sz w:val="20"/>
          <w:szCs w:val="20"/>
          <w:lang w:eastAsia="en-GB" w:bidi="en-GB"/>
        </w:rPr>
        <w:t>received</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expressed</w:t>
      </w:r>
      <w:r w:rsidR="00FF41A0">
        <w:rPr>
          <w:color w:val="000000"/>
          <w:sz w:val="20"/>
          <w:szCs w:val="20"/>
          <w:lang w:eastAsia="en-GB" w:bidi="en-GB"/>
        </w:rPr>
        <w:t xml:space="preserve"> </w:t>
      </w:r>
      <w:r w:rsidR="00323457" w:rsidRPr="0059638B">
        <w:rPr>
          <w:color w:val="000000"/>
          <w:sz w:val="20"/>
          <w:szCs w:val="20"/>
          <w:lang w:eastAsia="en-GB" w:bidi="en-GB"/>
        </w:rPr>
        <w:t>that</w:t>
      </w:r>
      <w:r w:rsidR="00FF41A0">
        <w:rPr>
          <w:color w:val="000000"/>
          <w:sz w:val="20"/>
          <w:szCs w:val="20"/>
          <w:lang w:eastAsia="en-GB" w:bidi="en-GB"/>
        </w:rPr>
        <w:t xml:space="preserve"> </w:t>
      </w:r>
      <w:r w:rsidR="00323457" w:rsidRPr="0059638B">
        <w:rPr>
          <w:color w:val="000000"/>
          <w:sz w:val="20"/>
          <w:szCs w:val="20"/>
          <w:lang w:eastAsia="en-GB" w:bidi="en-GB"/>
        </w:rPr>
        <w:t>it</w:t>
      </w:r>
      <w:r w:rsidR="00FF41A0">
        <w:rPr>
          <w:color w:val="000000"/>
          <w:sz w:val="20"/>
          <w:szCs w:val="20"/>
          <w:lang w:eastAsia="en-GB" w:bidi="en-GB"/>
        </w:rPr>
        <w:t xml:space="preserve"> </w:t>
      </w:r>
      <w:r w:rsidR="00323457" w:rsidRPr="0059638B">
        <w:rPr>
          <w:color w:val="000000"/>
          <w:sz w:val="20"/>
          <w:szCs w:val="20"/>
          <w:lang w:eastAsia="en-GB" w:bidi="en-GB"/>
        </w:rPr>
        <w:t>counted</w:t>
      </w:r>
      <w:r w:rsidR="00FF41A0">
        <w:rPr>
          <w:color w:val="000000"/>
          <w:sz w:val="20"/>
          <w:szCs w:val="20"/>
          <w:lang w:eastAsia="en-GB" w:bidi="en-GB"/>
        </w:rPr>
        <w:t xml:space="preserve"> </w:t>
      </w:r>
      <w:r w:rsidR="00323457" w:rsidRPr="0059638B">
        <w:rPr>
          <w:color w:val="000000"/>
          <w:sz w:val="20"/>
          <w:szCs w:val="20"/>
          <w:lang w:eastAsia="en-GB" w:bidi="en-GB"/>
        </w:rPr>
        <w:t>on</w:t>
      </w:r>
      <w:r w:rsidR="00FF41A0">
        <w:rPr>
          <w:color w:val="000000"/>
          <w:sz w:val="20"/>
          <w:szCs w:val="20"/>
          <w:lang w:eastAsia="en-GB" w:bidi="en-GB"/>
        </w:rPr>
        <w:t xml:space="preserve"> </w:t>
      </w:r>
      <w:r w:rsidR="00323457" w:rsidRPr="0059638B">
        <w:rPr>
          <w:color w:val="000000"/>
          <w:sz w:val="20"/>
          <w:szCs w:val="20"/>
          <w:lang w:eastAsia="en-GB" w:bidi="en-GB"/>
        </w:rPr>
        <w:t>their</w:t>
      </w:r>
      <w:r w:rsidR="00FF41A0">
        <w:rPr>
          <w:color w:val="000000"/>
          <w:sz w:val="20"/>
          <w:szCs w:val="20"/>
          <w:lang w:eastAsia="en-GB" w:bidi="en-GB"/>
        </w:rPr>
        <w:t xml:space="preserve"> </w:t>
      </w:r>
      <w:r w:rsidR="00323457" w:rsidRPr="0059638B">
        <w:rPr>
          <w:color w:val="000000"/>
          <w:sz w:val="20"/>
          <w:szCs w:val="20"/>
          <w:lang w:eastAsia="en-GB" w:bidi="en-GB"/>
        </w:rPr>
        <w:t>effective</w:t>
      </w:r>
      <w:r w:rsidR="00FF41A0">
        <w:rPr>
          <w:color w:val="000000"/>
          <w:sz w:val="20"/>
          <w:szCs w:val="20"/>
          <w:lang w:eastAsia="en-GB" w:bidi="en-GB"/>
        </w:rPr>
        <w:t xml:space="preserve"> </w:t>
      </w:r>
      <w:r w:rsidR="00323457" w:rsidRPr="0059638B">
        <w:rPr>
          <w:color w:val="000000"/>
          <w:sz w:val="20"/>
          <w:szCs w:val="20"/>
          <w:lang w:eastAsia="en-GB" w:bidi="en-GB"/>
        </w:rPr>
        <w:t>implementation.</w:t>
      </w:r>
    </w:p>
    <w:p w14:paraId="15D519CF" w14:textId="4D20D138" w:rsidR="00323457" w:rsidRPr="0059638B" w:rsidRDefault="00972F1E" w:rsidP="00323457">
      <w:pPr>
        <w:pStyle w:val="SingleTxtG"/>
        <w:rPr>
          <w:color w:val="000000"/>
          <w:sz w:val="20"/>
          <w:szCs w:val="20"/>
          <w:lang w:eastAsia="en-GB" w:bidi="en-GB"/>
        </w:rPr>
      </w:pPr>
      <w:r>
        <w:rPr>
          <w:color w:val="000000"/>
          <w:sz w:val="20"/>
          <w:szCs w:val="20"/>
          <w:lang w:eastAsia="en-GB" w:bidi="en-GB"/>
        </w:rPr>
        <w:t>647</w:t>
      </w:r>
      <w:r w:rsidR="00D7475F">
        <w:rPr>
          <w:color w:val="000000"/>
          <w:sz w:val="20"/>
          <w:szCs w:val="20"/>
          <w:lang w:eastAsia="en-GB" w:bidi="en-GB"/>
        </w:rPr>
        <w:t>.</w:t>
      </w:r>
      <w:r w:rsidR="00D7475F">
        <w:rPr>
          <w:color w:val="000000"/>
          <w:sz w:val="20"/>
          <w:szCs w:val="20"/>
          <w:lang w:eastAsia="en-GB" w:bidi="en-GB"/>
        </w:rPr>
        <w:tab/>
      </w:r>
      <w:r w:rsidR="00323457" w:rsidRPr="0059638B">
        <w:rPr>
          <w:color w:val="000000"/>
          <w:sz w:val="20"/>
          <w:szCs w:val="20"/>
          <w:lang w:eastAsia="en-GB" w:bidi="en-GB"/>
        </w:rPr>
        <w:t>Saudi</w:t>
      </w:r>
      <w:r w:rsidR="00FF41A0">
        <w:rPr>
          <w:color w:val="000000"/>
          <w:sz w:val="20"/>
          <w:szCs w:val="20"/>
          <w:lang w:eastAsia="en-GB" w:bidi="en-GB"/>
        </w:rPr>
        <w:t xml:space="preserve"> </w:t>
      </w:r>
      <w:r w:rsidR="00323457" w:rsidRPr="0059638B">
        <w:rPr>
          <w:color w:val="000000"/>
          <w:sz w:val="20"/>
          <w:szCs w:val="20"/>
          <w:lang w:eastAsia="en-GB" w:bidi="en-GB"/>
        </w:rPr>
        <w:t>Arabia</w:t>
      </w:r>
      <w:r w:rsidR="00FF41A0">
        <w:rPr>
          <w:color w:val="000000"/>
          <w:sz w:val="20"/>
          <w:szCs w:val="20"/>
          <w:lang w:eastAsia="en-GB" w:bidi="en-GB"/>
        </w:rPr>
        <w:t xml:space="preserve"> </w:t>
      </w:r>
      <w:r w:rsidR="00323457" w:rsidRPr="0059638B">
        <w:rPr>
          <w:color w:val="000000"/>
          <w:sz w:val="20"/>
          <w:szCs w:val="20"/>
          <w:lang w:eastAsia="en-GB" w:bidi="en-GB"/>
        </w:rPr>
        <w:t>lauded</w:t>
      </w:r>
      <w:r w:rsidR="00FF41A0">
        <w:rPr>
          <w:color w:val="000000"/>
          <w:sz w:val="20"/>
          <w:szCs w:val="20"/>
          <w:lang w:eastAsia="en-GB" w:bidi="en-GB"/>
        </w:rPr>
        <w:t xml:space="preserve"> </w:t>
      </w:r>
      <w:r w:rsidR="00323457" w:rsidRPr="0059638B">
        <w:rPr>
          <w:color w:val="000000"/>
          <w:sz w:val="20"/>
          <w:szCs w:val="20"/>
          <w:lang w:eastAsia="en-GB" w:bidi="en-GB"/>
        </w:rPr>
        <w:t>efforts</w:t>
      </w:r>
      <w:r w:rsidR="00FF41A0">
        <w:rPr>
          <w:color w:val="000000"/>
          <w:sz w:val="20"/>
          <w:szCs w:val="20"/>
          <w:lang w:eastAsia="en-GB" w:bidi="en-GB"/>
        </w:rPr>
        <w:t xml:space="preserve"> </w:t>
      </w:r>
      <w:r w:rsidR="00323457" w:rsidRPr="0059638B">
        <w:rPr>
          <w:color w:val="000000"/>
          <w:sz w:val="20"/>
          <w:szCs w:val="20"/>
          <w:lang w:eastAsia="en-GB" w:bidi="en-GB"/>
        </w:rPr>
        <w:t>made</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eradicate</w:t>
      </w:r>
      <w:r w:rsidR="00FF41A0">
        <w:rPr>
          <w:color w:val="000000"/>
          <w:sz w:val="20"/>
          <w:szCs w:val="20"/>
          <w:lang w:eastAsia="en-GB" w:bidi="en-GB"/>
        </w:rPr>
        <w:t xml:space="preserve"> </w:t>
      </w:r>
      <w:r w:rsidR="00323457" w:rsidRPr="0059638B">
        <w:rPr>
          <w:color w:val="000000"/>
          <w:sz w:val="20"/>
          <w:szCs w:val="20"/>
          <w:lang w:eastAsia="en-GB" w:bidi="en-GB"/>
        </w:rPr>
        <w:t>poverty,</w:t>
      </w:r>
      <w:r w:rsidR="00FF41A0">
        <w:rPr>
          <w:color w:val="000000"/>
          <w:sz w:val="20"/>
          <w:szCs w:val="20"/>
          <w:lang w:eastAsia="en-GB" w:bidi="en-GB"/>
        </w:rPr>
        <w:t xml:space="preserve"> </w:t>
      </w:r>
      <w:r w:rsidR="00323457" w:rsidRPr="0059638B">
        <w:rPr>
          <w:color w:val="000000"/>
          <w:sz w:val="20"/>
          <w:szCs w:val="20"/>
          <w:lang w:eastAsia="en-GB" w:bidi="en-GB"/>
        </w:rPr>
        <w:t>especially</w:t>
      </w:r>
      <w:r w:rsidR="00FF41A0">
        <w:rPr>
          <w:color w:val="000000"/>
          <w:sz w:val="20"/>
          <w:szCs w:val="20"/>
          <w:lang w:eastAsia="en-GB" w:bidi="en-GB"/>
        </w:rPr>
        <w:t xml:space="preserve"> </w:t>
      </w:r>
      <w:r w:rsidR="00323457" w:rsidRPr="0059638B">
        <w:rPr>
          <w:color w:val="000000"/>
          <w:sz w:val="20"/>
          <w:szCs w:val="20"/>
          <w:lang w:eastAsia="en-GB" w:bidi="en-GB"/>
        </w:rPr>
        <w:t>given</w:t>
      </w:r>
      <w:r w:rsidR="00FF41A0">
        <w:rPr>
          <w:color w:val="000000"/>
          <w:sz w:val="20"/>
          <w:szCs w:val="20"/>
          <w:lang w:eastAsia="en-GB" w:bidi="en-GB"/>
        </w:rPr>
        <w:t xml:space="preserve"> </w:t>
      </w:r>
      <w:r w:rsidR="00323457" w:rsidRPr="0059638B">
        <w:rPr>
          <w:color w:val="000000"/>
          <w:sz w:val="20"/>
          <w:szCs w:val="20"/>
          <w:lang w:eastAsia="en-GB" w:bidi="en-GB"/>
        </w:rPr>
        <w:t>that</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Government</w:t>
      </w:r>
      <w:r w:rsidR="00FF41A0">
        <w:rPr>
          <w:color w:val="000000"/>
          <w:sz w:val="20"/>
          <w:szCs w:val="20"/>
          <w:lang w:eastAsia="en-GB" w:bidi="en-GB"/>
        </w:rPr>
        <w:t xml:space="preserve"> </w:t>
      </w:r>
      <w:r w:rsidR="00323457" w:rsidRPr="0059638B">
        <w:rPr>
          <w:color w:val="000000"/>
          <w:sz w:val="20"/>
          <w:szCs w:val="20"/>
          <w:lang w:eastAsia="en-GB" w:bidi="en-GB"/>
        </w:rPr>
        <w:t>had</w:t>
      </w:r>
      <w:r w:rsidR="00FF41A0">
        <w:rPr>
          <w:color w:val="000000"/>
          <w:sz w:val="20"/>
          <w:szCs w:val="20"/>
          <w:lang w:eastAsia="en-GB" w:bidi="en-GB"/>
        </w:rPr>
        <w:t xml:space="preserve"> </w:t>
      </w:r>
      <w:r w:rsidR="00323457" w:rsidRPr="0059638B">
        <w:rPr>
          <w:color w:val="000000"/>
          <w:sz w:val="20"/>
          <w:szCs w:val="20"/>
          <w:lang w:eastAsia="en-GB" w:bidi="en-GB"/>
        </w:rPr>
        <w:t>amended</w:t>
      </w:r>
      <w:r w:rsidR="00FF41A0">
        <w:rPr>
          <w:color w:val="000000"/>
          <w:sz w:val="20"/>
          <w:szCs w:val="20"/>
          <w:lang w:eastAsia="en-GB" w:bidi="en-GB"/>
        </w:rPr>
        <w:t xml:space="preserve"> </w:t>
      </w:r>
      <w:r w:rsidR="00323457" w:rsidRPr="0059638B">
        <w:rPr>
          <w:color w:val="000000"/>
          <w:sz w:val="20"/>
          <w:szCs w:val="20"/>
          <w:lang w:eastAsia="en-GB" w:bidi="en-GB"/>
        </w:rPr>
        <w:t>its</w:t>
      </w:r>
      <w:r w:rsidR="00FF41A0">
        <w:rPr>
          <w:color w:val="000000"/>
          <w:sz w:val="20"/>
          <w:szCs w:val="20"/>
          <w:lang w:eastAsia="en-GB" w:bidi="en-GB"/>
        </w:rPr>
        <w:t xml:space="preserve"> </w:t>
      </w:r>
      <w:r w:rsidR="00323457" w:rsidRPr="0059638B">
        <w:rPr>
          <w:color w:val="000000"/>
          <w:sz w:val="20"/>
          <w:szCs w:val="20"/>
          <w:lang w:eastAsia="en-GB" w:bidi="en-GB"/>
        </w:rPr>
        <w:t>programme</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fight</w:t>
      </w:r>
      <w:r w:rsidR="00FF41A0">
        <w:rPr>
          <w:color w:val="000000"/>
          <w:sz w:val="20"/>
          <w:szCs w:val="20"/>
          <w:lang w:eastAsia="en-GB" w:bidi="en-GB"/>
        </w:rPr>
        <w:t xml:space="preserve"> </w:t>
      </w:r>
      <w:r w:rsidR="00323457" w:rsidRPr="0059638B">
        <w:rPr>
          <w:color w:val="000000"/>
          <w:sz w:val="20"/>
          <w:szCs w:val="20"/>
          <w:lang w:eastAsia="en-GB" w:bidi="en-GB"/>
        </w:rPr>
        <w:t>against</w:t>
      </w:r>
      <w:r w:rsidR="00FF41A0">
        <w:rPr>
          <w:color w:val="000000"/>
          <w:sz w:val="20"/>
          <w:szCs w:val="20"/>
          <w:lang w:eastAsia="en-GB" w:bidi="en-GB"/>
        </w:rPr>
        <w:t xml:space="preserve"> </w:t>
      </w:r>
      <w:r w:rsidR="00323457" w:rsidRPr="0059638B">
        <w:rPr>
          <w:color w:val="000000"/>
          <w:sz w:val="20"/>
          <w:szCs w:val="20"/>
          <w:lang w:eastAsia="en-GB" w:bidi="en-GB"/>
        </w:rPr>
        <w:t>poverty</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be</w:t>
      </w:r>
      <w:r w:rsidR="00FF41A0">
        <w:rPr>
          <w:color w:val="000000"/>
          <w:sz w:val="20"/>
          <w:szCs w:val="20"/>
          <w:lang w:eastAsia="en-GB" w:bidi="en-GB"/>
        </w:rPr>
        <w:t xml:space="preserve"> </w:t>
      </w:r>
      <w:r w:rsidR="00323457" w:rsidRPr="0059638B">
        <w:rPr>
          <w:color w:val="000000"/>
          <w:sz w:val="20"/>
          <w:szCs w:val="20"/>
          <w:lang w:eastAsia="en-GB" w:bidi="en-GB"/>
        </w:rPr>
        <w:t>more</w:t>
      </w:r>
      <w:r w:rsidR="00FF41A0">
        <w:rPr>
          <w:color w:val="000000"/>
          <w:sz w:val="20"/>
          <w:szCs w:val="20"/>
          <w:lang w:eastAsia="en-GB" w:bidi="en-GB"/>
        </w:rPr>
        <w:t xml:space="preserve"> </w:t>
      </w:r>
      <w:r w:rsidR="00323457" w:rsidRPr="0059638B">
        <w:rPr>
          <w:color w:val="000000"/>
          <w:sz w:val="20"/>
          <w:szCs w:val="20"/>
          <w:lang w:eastAsia="en-GB" w:bidi="en-GB"/>
        </w:rPr>
        <w:t>inclusive</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low-income</w:t>
      </w:r>
      <w:r w:rsidR="00FF41A0">
        <w:rPr>
          <w:color w:val="000000"/>
          <w:sz w:val="20"/>
          <w:szCs w:val="20"/>
          <w:lang w:eastAsia="en-GB" w:bidi="en-GB"/>
        </w:rPr>
        <w:t xml:space="preserve"> </w:t>
      </w:r>
      <w:r w:rsidR="00323457" w:rsidRPr="0059638B">
        <w:rPr>
          <w:color w:val="000000"/>
          <w:sz w:val="20"/>
          <w:szCs w:val="20"/>
          <w:lang w:eastAsia="en-GB" w:bidi="en-GB"/>
        </w:rPr>
        <w:t>families.</w:t>
      </w:r>
      <w:r w:rsidR="00FF41A0">
        <w:rPr>
          <w:color w:val="000000"/>
          <w:sz w:val="20"/>
          <w:szCs w:val="20"/>
          <w:lang w:eastAsia="en-GB" w:bidi="en-GB"/>
        </w:rPr>
        <w:t xml:space="preserve"> </w:t>
      </w:r>
    </w:p>
    <w:p w14:paraId="2B4BCAFB" w14:textId="5FAAD389" w:rsidR="00323457" w:rsidRPr="0059638B" w:rsidRDefault="00972F1E" w:rsidP="00323457">
      <w:pPr>
        <w:pStyle w:val="SingleTxtG"/>
        <w:rPr>
          <w:color w:val="000000"/>
          <w:sz w:val="20"/>
          <w:szCs w:val="20"/>
          <w:lang w:eastAsia="en-GB" w:bidi="en-GB"/>
        </w:rPr>
      </w:pPr>
      <w:r>
        <w:rPr>
          <w:color w:val="000000"/>
          <w:sz w:val="20"/>
          <w:szCs w:val="20"/>
          <w:lang w:eastAsia="en-GB" w:bidi="en-GB"/>
        </w:rPr>
        <w:t>648</w:t>
      </w:r>
      <w:r w:rsidR="00D7475F">
        <w:rPr>
          <w:color w:val="000000"/>
          <w:sz w:val="20"/>
          <w:szCs w:val="20"/>
          <w:lang w:eastAsia="en-GB" w:bidi="en-GB"/>
        </w:rPr>
        <w:t>.</w:t>
      </w:r>
      <w:r w:rsidR="00D7475F">
        <w:rPr>
          <w:color w:val="000000"/>
          <w:sz w:val="20"/>
          <w:szCs w:val="20"/>
          <w:lang w:eastAsia="en-GB" w:bidi="en-GB"/>
        </w:rPr>
        <w:tab/>
      </w:r>
      <w:r w:rsidR="00323457" w:rsidRPr="0059638B">
        <w:rPr>
          <w:color w:val="000000"/>
          <w:sz w:val="20"/>
          <w:szCs w:val="20"/>
          <w:lang w:eastAsia="en-GB" w:bidi="en-GB"/>
        </w:rPr>
        <w:t>Singapore</w:t>
      </w:r>
      <w:r w:rsidR="00FF41A0">
        <w:rPr>
          <w:color w:val="000000"/>
          <w:sz w:val="20"/>
          <w:szCs w:val="20"/>
          <w:lang w:eastAsia="en-GB" w:bidi="en-GB"/>
        </w:rPr>
        <w:t xml:space="preserve"> </w:t>
      </w:r>
      <w:r w:rsidR="00323457" w:rsidRPr="0059638B">
        <w:rPr>
          <w:color w:val="000000"/>
          <w:sz w:val="20"/>
          <w:szCs w:val="20"/>
          <w:lang w:eastAsia="en-GB" w:bidi="en-GB"/>
        </w:rPr>
        <w:t>acknowledged</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fulfilment</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commitment</w:t>
      </w:r>
      <w:r w:rsidR="00FF41A0">
        <w:rPr>
          <w:color w:val="000000"/>
          <w:sz w:val="20"/>
          <w:szCs w:val="20"/>
          <w:lang w:eastAsia="en-GB" w:bidi="en-GB"/>
        </w:rPr>
        <w:t xml:space="preserve"> </w:t>
      </w:r>
      <w:r w:rsidR="00323457" w:rsidRPr="0059638B">
        <w:rPr>
          <w:color w:val="000000"/>
          <w:sz w:val="20"/>
          <w:szCs w:val="20"/>
          <w:lang w:eastAsia="en-GB" w:bidi="en-GB"/>
        </w:rPr>
        <w:t>by</w:t>
      </w:r>
      <w:r w:rsidR="00FF41A0">
        <w:rPr>
          <w:color w:val="000000"/>
          <w:sz w:val="20"/>
          <w:szCs w:val="20"/>
          <w:lang w:eastAsia="en-GB" w:bidi="en-GB"/>
        </w:rPr>
        <w:t xml:space="preserve"> </w:t>
      </w:r>
      <w:r w:rsidR="00323457" w:rsidRPr="0059638B">
        <w:rPr>
          <w:color w:val="000000"/>
          <w:sz w:val="20"/>
          <w:szCs w:val="20"/>
          <w:lang w:eastAsia="en-GB" w:bidi="en-GB"/>
        </w:rPr>
        <w:t>Malaysia</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engaging</w:t>
      </w:r>
      <w:r w:rsidR="00FF41A0">
        <w:rPr>
          <w:color w:val="000000"/>
          <w:sz w:val="20"/>
          <w:szCs w:val="20"/>
          <w:lang w:eastAsia="en-GB" w:bidi="en-GB"/>
        </w:rPr>
        <w:t xml:space="preserve"> </w:t>
      </w:r>
      <w:r w:rsidR="00323457" w:rsidRPr="0059638B">
        <w:rPr>
          <w:color w:val="000000"/>
          <w:sz w:val="20"/>
          <w:szCs w:val="20"/>
          <w:lang w:eastAsia="en-GB" w:bidi="en-GB"/>
        </w:rPr>
        <w:t>its</w:t>
      </w:r>
      <w:r w:rsidR="00FF41A0">
        <w:rPr>
          <w:color w:val="000000"/>
          <w:sz w:val="20"/>
          <w:szCs w:val="20"/>
          <w:lang w:eastAsia="en-GB" w:bidi="en-GB"/>
        </w:rPr>
        <w:t xml:space="preserve"> </w:t>
      </w:r>
      <w:r w:rsidR="00323457" w:rsidRPr="0059638B">
        <w:rPr>
          <w:color w:val="000000"/>
          <w:sz w:val="20"/>
          <w:szCs w:val="20"/>
          <w:lang w:eastAsia="en-GB" w:bidi="en-GB"/>
        </w:rPr>
        <w:t>National</w:t>
      </w:r>
      <w:r w:rsidR="00FF41A0">
        <w:rPr>
          <w:color w:val="000000"/>
          <w:sz w:val="20"/>
          <w:szCs w:val="20"/>
          <w:lang w:eastAsia="en-GB" w:bidi="en-GB"/>
        </w:rPr>
        <w:t xml:space="preserve"> </w:t>
      </w:r>
      <w:r w:rsidR="00323457" w:rsidRPr="0059638B">
        <w:rPr>
          <w:color w:val="000000"/>
          <w:sz w:val="20"/>
          <w:szCs w:val="20"/>
          <w:lang w:eastAsia="en-GB" w:bidi="en-GB"/>
        </w:rPr>
        <w:t>Human</w:t>
      </w:r>
      <w:r w:rsidR="00FF41A0">
        <w:rPr>
          <w:color w:val="000000"/>
          <w:sz w:val="20"/>
          <w:szCs w:val="20"/>
          <w:lang w:eastAsia="en-GB" w:bidi="en-GB"/>
        </w:rPr>
        <w:t xml:space="preserve"> </w:t>
      </w:r>
      <w:r w:rsidR="00323457" w:rsidRPr="0059638B">
        <w:rPr>
          <w:color w:val="000000"/>
          <w:sz w:val="20"/>
          <w:szCs w:val="20"/>
          <w:lang w:eastAsia="en-GB" w:bidi="en-GB"/>
        </w:rPr>
        <w:t>Rights</w:t>
      </w:r>
      <w:r w:rsidR="00FF41A0">
        <w:rPr>
          <w:color w:val="000000"/>
          <w:sz w:val="20"/>
          <w:szCs w:val="20"/>
          <w:lang w:eastAsia="en-GB" w:bidi="en-GB"/>
        </w:rPr>
        <w:t xml:space="preserve"> </w:t>
      </w:r>
      <w:r w:rsidR="00323457" w:rsidRPr="0059638B">
        <w:rPr>
          <w:color w:val="000000"/>
          <w:sz w:val="20"/>
          <w:szCs w:val="20"/>
          <w:lang w:eastAsia="en-GB" w:bidi="en-GB"/>
        </w:rPr>
        <w:t>Commission</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civil</w:t>
      </w:r>
      <w:r w:rsidR="00FF41A0">
        <w:rPr>
          <w:color w:val="000000"/>
          <w:sz w:val="20"/>
          <w:szCs w:val="20"/>
          <w:lang w:eastAsia="en-GB" w:bidi="en-GB"/>
        </w:rPr>
        <w:t xml:space="preserve"> </w:t>
      </w:r>
      <w:r w:rsidR="00323457" w:rsidRPr="0059638B">
        <w:rPr>
          <w:color w:val="000000"/>
          <w:sz w:val="20"/>
          <w:szCs w:val="20"/>
          <w:lang w:eastAsia="en-GB" w:bidi="en-GB"/>
        </w:rPr>
        <w:t>society</w:t>
      </w:r>
      <w:r w:rsidR="00FF41A0">
        <w:rPr>
          <w:color w:val="000000"/>
          <w:sz w:val="20"/>
          <w:szCs w:val="20"/>
          <w:lang w:eastAsia="en-GB" w:bidi="en-GB"/>
        </w:rPr>
        <w:t xml:space="preserve"> </w:t>
      </w:r>
      <w:r w:rsidR="00323457" w:rsidRPr="0059638B">
        <w:rPr>
          <w:color w:val="000000"/>
          <w:sz w:val="20"/>
          <w:szCs w:val="20"/>
          <w:lang w:eastAsia="en-GB" w:bidi="en-GB"/>
        </w:rPr>
        <w:t>organizations</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discuss</w:t>
      </w:r>
      <w:r w:rsidR="00FF41A0">
        <w:rPr>
          <w:color w:val="000000"/>
          <w:sz w:val="20"/>
          <w:szCs w:val="20"/>
          <w:lang w:eastAsia="en-GB" w:bidi="en-GB"/>
        </w:rPr>
        <w:t xml:space="preserve"> </w:t>
      </w:r>
      <w:r w:rsidR="00323457" w:rsidRPr="0059638B">
        <w:rPr>
          <w:color w:val="000000"/>
          <w:sz w:val="20"/>
          <w:szCs w:val="20"/>
          <w:lang w:eastAsia="en-GB" w:bidi="en-GB"/>
        </w:rPr>
        <w:t>recommendations</w:t>
      </w:r>
      <w:r w:rsidR="00FF41A0">
        <w:rPr>
          <w:color w:val="000000"/>
          <w:sz w:val="20"/>
          <w:szCs w:val="20"/>
          <w:lang w:eastAsia="en-GB" w:bidi="en-GB"/>
        </w:rPr>
        <w:t xml:space="preserve"> </w:t>
      </w:r>
      <w:r w:rsidR="00323457" w:rsidRPr="0059638B">
        <w:rPr>
          <w:color w:val="000000"/>
          <w:sz w:val="20"/>
          <w:szCs w:val="20"/>
          <w:lang w:eastAsia="en-GB" w:bidi="en-GB"/>
        </w:rPr>
        <w:t>received</w:t>
      </w:r>
      <w:r w:rsidR="00FF41A0">
        <w:rPr>
          <w:color w:val="000000"/>
          <w:sz w:val="20"/>
          <w:szCs w:val="20"/>
          <w:lang w:eastAsia="en-GB" w:bidi="en-GB"/>
        </w:rPr>
        <w:t xml:space="preserve"> </w:t>
      </w:r>
      <w:r w:rsidR="00323457" w:rsidRPr="0059638B">
        <w:rPr>
          <w:color w:val="000000"/>
          <w:sz w:val="20"/>
          <w:szCs w:val="20"/>
          <w:lang w:eastAsia="en-GB" w:bidi="en-GB"/>
        </w:rPr>
        <w:t>during</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third</w:t>
      </w:r>
      <w:r w:rsidR="00FF41A0">
        <w:rPr>
          <w:color w:val="000000"/>
          <w:sz w:val="20"/>
          <w:szCs w:val="20"/>
          <w:lang w:eastAsia="en-GB" w:bidi="en-GB"/>
        </w:rPr>
        <w:t xml:space="preserve"> </w:t>
      </w:r>
      <w:r w:rsidR="00323457" w:rsidRPr="0059638B">
        <w:rPr>
          <w:color w:val="000000"/>
          <w:sz w:val="20"/>
          <w:szCs w:val="20"/>
          <w:lang w:eastAsia="en-GB" w:bidi="en-GB"/>
        </w:rPr>
        <w:t>cycle</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welcomed</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stated</w:t>
      </w:r>
      <w:r w:rsidR="00FF41A0">
        <w:rPr>
          <w:color w:val="000000"/>
          <w:sz w:val="20"/>
          <w:szCs w:val="20"/>
          <w:lang w:eastAsia="en-GB" w:bidi="en-GB"/>
        </w:rPr>
        <w:t xml:space="preserve"> </w:t>
      </w:r>
      <w:r w:rsidR="00323457" w:rsidRPr="0059638B">
        <w:rPr>
          <w:color w:val="000000"/>
          <w:sz w:val="20"/>
          <w:szCs w:val="20"/>
          <w:lang w:eastAsia="en-GB" w:bidi="en-GB"/>
        </w:rPr>
        <w:t>intent</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new</w:t>
      </w:r>
      <w:r w:rsidR="00FF41A0">
        <w:rPr>
          <w:color w:val="000000"/>
          <w:sz w:val="20"/>
          <w:szCs w:val="20"/>
          <w:lang w:eastAsia="en-GB" w:bidi="en-GB"/>
        </w:rPr>
        <w:t xml:space="preserve"> </w:t>
      </w:r>
      <w:r w:rsidR="00323457" w:rsidRPr="0059638B">
        <w:rPr>
          <w:color w:val="000000"/>
          <w:sz w:val="20"/>
          <w:szCs w:val="20"/>
          <w:lang w:eastAsia="en-GB" w:bidi="en-GB"/>
        </w:rPr>
        <w:t>Government</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advance</w:t>
      </w:r>
      <w:r w:rsidR="00FF41A0">
        <w:rPr>
          <w:color w:val="000000"/>
          <w:sz w:val="20"/>
          <w:szCs w:val="20"/>
          <w:lang w:eastAsia="en-GB" w:bidi="en-GB"/>
        </w:rPr>
        <w:t xml:space="preserve"> </w:t>
      </w:r>
      <w:r w:rsidR="00323457" w:rsidRPr="0059638B">
        <w:rPr>
          <w:color w:val="000000"/>
          <w:sz w:val="20"/>
          <w:szCs w:val="20"/>
          <w:lang w:eastAsia="en-GB" w:bidi="en-GB"/>
        </w:rPr>
        <w:t>human</w:t>
      </w:r>
      <w:r w:rsidR="00FF41A0">
        <w:rPr>
          <w:color w:val="000000"/>
          <w:sz w:val="20"/>
          <w:szCs w:val="20"/>
          <w:lang w:eastAsia="en-GB" w:bidi="en-GB"/>
        </w:rPr>
        <w:t xml:space="preserve"> </w:t>
      </w:r>
      <w:r w:rsidR="00323457" w:rsidRPr="0059638B">
        <w:rPr>
          <w:color w:val="000000"/>
          <w:sz w:val="20"/>
          <w:szCs w:val="20"/>
          <w:lang w:eastAsia="en-GB" w:bidi="en-GB"/>
        </w:rPr>
        <w:t>rights,</w:t>
      </w:r>
      <w:r w:rsidR="00FF41A0">
        <w:rPr>
          <w:color w:val="000000"/>
          <w:sz w:val="20"/>
          <w:szCs w:val="20"/>
          <w:lang w:eastAsia="en-GB" w:bidi="en-GB"/>
        </w:rPr>
        <w:t xml:space="preserve"> </w:t>
      </w:r>
      <w:r w:rsidR="00323457" w:rsidRPr="0059638B">
        <w:rPr>
          <w:color w:val="000000"/>
          <w:sz w:val="20"/>
          <w:szCs w:val="20"/>
          <w:lang w:eastAsia="en-GB" w:bidi="en-GB"/>
        </w:rPr>
        <w:t>promote</w:t>
      </w:r>
      <w:r w:rsidR="00FF41A0">
        <w:rPr>
          <w:color w:val="000000"/>
          <w:sz w:val="20"/>
          <w:szCs w:val="20"/>
          <w:lang w:eastAsia="en-GB" w:bidi="en-GB"/>
        </w:rPr>
        <w:t xml:space="preserve"> </w:t>
      </w:r>
      <w:r w:rsidR="00323457" w:rsidRPr="0059638B">
        <w:rPr>
          <w:color w:val="000000"/>
          <w:sz w:val="20"/>
          <w:szCs w:val="20"/>
          <w:lang w:eastAsia="en-GB" w:bidi="en-GB"/>
        </w:rPr>
        <w:t>democratic</w:t>
      </w:r>
      <w:r w:rsidR="00FF41A0">
        <w:rPr>
          <w:color w:val="000000"/>
          <w:sz w:val="20"/>
          <w:szCs w:val="20"/>
          <w:lang w:eastAsia="en-GB" w:bidi="en-GB"/>
        </w:rPr>
        <w:t xml:space="preserve"> </w:t>
      </w:r>
      <w:r w:rsidR="00323457" w:rsidRPr="0059638B">
        <w:rPr>
          <w:color w:val="000000"/>
          <w:sz w:val="20"/>
          <w:szCs w:val="20"/>
          <w:lang w:eastAsia="en-GB" w:bidi="en-GB"/>
        </w:rPr>
        <w:t>principles,</w:t>
      </w:r>
      <w:r w:rsidR="00FF41A0">
        <w:rPr>
          <w:color w:val="000000"/>
          <w:sz w:val="20"/>
          <w:szCs w:val="20"/>
          <w:lang w:eastAsia="en-GB" w:bidi="en-GB"/>
        </w:rPr>
        <w:t xml:space="preserve"> </w:t>
      </w:r>
      <w:r w:rsidR="00323457" w:rsidRPr="0059638B">
        <w:rPr>
          <w:color w:val="000000"/>
          <w:sz w:val="20"/>
          <w:szCs w:val="20"/>
          <w:lang w:eastAsia="en-GB" w:bidi="en-GB"/>
        </w:rPr>
        <w:t>rule</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law,</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good</w:t>
      </w:r>
      <w:r w:rsidR="00FF41A0">
        <w:rPr>
          <w:color w:val="000000"/>
          <w:sz w:val="20"/>
          <w:szCs w:val="20"/>
          <w:lang w:eastAsia="en-GB" w:bidi="en-GB"/>
        </w:rPr>
        <w:t xml:space="preserve"> </w:t>
      </w:r>
      <w:r w:rsidR="00323457" w:rsidRPr="0059638B">
        <w:rPr>
          <w:color w:val="000000"/>
          <w:sz w:val="20"/>
          <w:szCs w:val="20"/>
          <w:lang w:eastAsia="en-GB" w:bidi="en-GB"/>
        </w:rPr>
        <w:t>governance.</w:t>
      </w:r>
    </w:p>
    <w:p w14:paraId="15B6BC2E" w14:textId="3B994BA0" w:rsidR="00323457" w:rsidRPr="0059638B" w:rsidRDefault="00972F1E" w:rsidP="00323457">
      <w:pPr>
        <w:pStyle w:val="SingleTxtG"/>
        <w:rPr>
          <w:color w:val="000000"/>
          <w:sz w:val="20"/>
          <w:szCs w:val="20"/>
          <w:lang w:eastAsia="en-GB" w:bidi="en-GB"/>
        </w:rPr>
      </w:pPr>
      <w:r>
        <w:rPr>
          <w:color w:val="000000"/>
          <w:sz w:val="20"/>
          <w:szCs w:val="20"/>
          <w:lang w:eastAsia="en-GB" w:bidi="en-GB"/>
        </w:rPr>
        <w:t>649</w:t>
      </w:r>
      <w:r w:rsidR="00D7475F">
        <w:rPr>
          <w:color w:val="000000"/>
          <w:sz w:val="20"/>
          <w:szCs w:val="20"/>
          <w:lang w:eastAsia="en-GB" w:bidi="en-GB"/>
        </w:rPr>
        <w:t>.</w:t>
      </w:r>
      <w:r w:rsidR="00D7475F">
        <w:rPr>
          <w:color w:val="000000"/>
          <w:sz w:val="20"/>
          <w:szCs w:val="20"/>
          <w:lang w:eastAsia="en-GB" w:bidi="en-GB"/>
        </w:rPr>
        <w:tab/>
      </w:r>
      <w:r w:rsidR="00323457" w:rsidRPr="0059638B">
        <w:rPr>
          <w:color w:val="000000"/>
          <w:sz w:val="20"/>
          <w:szCs w:val="20"/>
          <w:lang w:eastAsia="en-GB" w:bidi="en-GB"/>
        </w:rPr>
        <w:t>South</w:t>
      </w:r>
      <w:r w:rsidR="00FF41A0">
        <w:rPr>
          <w:color w:val="000000"/>
          <w:sz w:val="20"/>
          <w:szCs w:val="20"/>
          <w:lang w:eastAsia="en-GB" w:bidi="en-GB"/>
        </w:rPr>
        <w:t xml:space="preserve"> </w:t>
      </w:r>
      <w:r w:rsidR="00323457" w:rsidRPr="0059638B">
        <w:rPr>
          <w:color w:val="000000"/>
          <w:sz w:val="20"/>
          <w:szCs w:val="20"/>
          <w:lang w:eastAsia="en-GB" w:bidi="en-GB"/>
        </w:rPr>
        <w:t>Africa</w:t>
      </w:r>
      <w:r w:rsidR="00FF41A0">
        <w:rPr>
          <w:color w:val="000000"/>
          <w:sz w:val="20"/>
          <w:szCs w:val="20"/>
          <w:lang w:eastAsia="en-GB" w:bidi="en-GB"/>
        </w:rPr>
        <w:t xml:space="preserve"> </w:t>
      </w:r>
      <w:r w:rsidR="00323457" w:rsidRPr="0059638B">
        <w:rPr>
          <w:color w:val="000000"/>
          <w:sz w:val="20"/>
          <w:szCs w:val="20"/>
          <w:lang w:eastAsia="en-GB" w:bidi="en-GB"/>
        </w:rPr>
        <w:t>commended</w:t>
      </w:r>
      <w:r w:rsidR="00FF41A0">
        <w:rPr>
          <w:color w:val="000000"/>
          <w:sz w:val="20"/>
          <w:szCs w:val="20"/>
          <w:lang w:eastAsia="en-GB" w:bidi="en-GB"/>
        </w:rPr>
        <w:t xml:space="preserve"> </w:t>
      </w:r>
      <w:r w:rsidR="00323457" w:rsidRPr="0059638B">
        <w:rPr>
          <w:color w:val="000000"/>
          <w:sz w:val="20"/>
          <w:szCs w:val="20"/>
          <w:lang w:eastAsia="en-GB" w:bidi="en-GB"/>
        </w:rPr>
        <w:t>Malaysia</w:t>
      </w:r>
      <w:r w:rsidR="00FF41A0">
        <w:rPr>
          <w:color w:val="000000"/>
          <w:sz w:val="20"/>
          <w:szCs w:val="20"/>
          <w:lang w:eastAsia="en-GB" w:bidi="en-GB"/>
        </w:rPr>
        <w:t xml:space="preserve"> </w:t>
      </w:r>
      <w:r w:rsidR="00323457" w:rsidRPr="0059638B">
        <w:rPr>
          <w:color w:val="000000"/>
          <w:sz w:val="20"/>
          <w:szCs w:val="20"/>
          <w:lang w:eastAsia="en-GB" w:bidi="en-GB"/>
        </w:rPr>
        <w:t>for</w:t>
      </w:r>
      <w:r w:rsidR="00FF41A0">
        <w:rPr>
          <w:color w:val="000000"/>
          <w:sz w:val="20"/>
          <w:szCs w:val="20"/>
          <w:lang w:eastAsia="en-GB" w:bidi="en-GB"/>
        </w:rPr>
        <w:t xml:space="preserve"> </w:t>
      </w:r>
      <w:r w:rsidR="00323457" w:rsidRPr="0059638B">
        <w:rPr>
          <w:color w:val="000000"/>
          <w:sz w:val="20"/>
          <w:szCs w:val="20"/>
          <w:lang w:eastAsia="en-GB" w:bidi="en-GB"/>
        </w:rPr>
        <w:t>its</w:t>
      </w:r>
      <w:r w:rsidR="00FF41A0">
        <w:rPr>
          <w:color w:val="000000"/>
          <w:sz w:val="20"/>
          <w:szCs w:val="20"/>
          <w:lang w:eastAsia="en-GB" w:bidi="en-GB"/>
        </w:rPr>
        <w:t xml:space="preserve"> </w:t>
      </w:r>
      <w:r w:rsidR="00323457" w:rsidRPr="0059638B">
        <w:rPr>
          <w:color w:val="000000"/>
          <w:sz w:val="20"/>
          <w:szCs w:val="20"/>
          <w:lang w:eastAsia="en-GB" w:bidi="en-GB"/>
        </w:rPr>
        <w:t>commitment</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ratifying</w:t>
      </w:r>
      <w:r w:rsidR="00FF41A0">
        <w:rPr>
          <w:color w:val="000000"/>
          <w:sz w:val="20"/>
          <w:szCs w:val="20"/>
          <w:lang w:eastAsia="en-GB" w:bidi="en-GB"/>
        </w:rPr>
        <w:t xml:space="preserve"> </w:t>
      </w:r>
      <w:r w:rsidR="00323457" w:rsidRPr="0059638B">
        <w:rPr>
          <w:color w:val="000000"/>
          <w:sz w:val="20"/>
          <w:szCs w:val="20"/>
          <w:lang w:eastAsia="en-GB" w:bidi="en-GB"/>
        </w:rPr>
        <w:t>all</w:t>
      </w:r>
      <w:r w:rsidR="00FF41A0">
        <w:rPr>
          <w:color w:val="000000"/>
          <w:sz w:val="20"/>
          <w:szCs w:val="20"/>
          <w:lang w:eastAsia="en-GB" w:bidi="en-GB"/>
        </w:rPr>
        <w:t xml:space="preserve"> </w:t>
      </w:r>
      <w:r w:rsidR="00323457" w:rsidRPr="0059638B">
        <w:rPr>
          <w:color w:val="000000"/>
          <w:sz w:val="20"/>
          <w:szCs w:val="20"/>
          <w:lang w:eastAsia="en-GB" w:bidi="en-GB"/>
        </w:rPr>
        <w:t>remaining</w:t>
      </w:r>
      <w:r w:rsidR="00FF41A0">
        <w:rPr>
          <w:color w:val="000000"/>
          <w:sz w:val="20"/>
          <w:szCs w:val="20"/>
          <w:lang w:eastAsia="en-GB" w:bidi="en-GB"/>
        </w:rPr>
        <w:t xml:space="preserve"> </w:t>
      </w:r>
      <w:r w:rsidR="00323457" w:rsidRPr="0059638B">
        <w:rPr>
          <w:color w:val="000000"/>
          <w:sz w:val="20"/>
          <w:szCs w:val="20"/>
          <w:lang w:eastAsia="en-GB" w:bidi="en-GB"/>
        </w:rPr>
        <w:t>core</w:t>
      </w:r>
      <w:r w:rsidR="00FF41A0">
        <w:rPr>
          <w:color w:val="000000"/>
          <w:sz w:val="20"/>
          <w:szCs w:val="20"/>
          <w:lang w:eastAsia="en-GB" w:bidi="en-GB"/>
        </w:rPr>
        <w:t xml:space="preserve"> </w:t>
      </w:r>
      <w:r w:rsidR="00323457" w:rsidRPr="0059638B">
        <w:rPr>
          <w:color w:val="000000"/>
          <w:sz w:val="20"/>
          <w:szCs w:val="20"/>
          <w:lang w:eastAsia="en-GB" w:bidi="en-GB"/>
        </w:rPr>
        <w:t>international</w:t>
      </w:r>
      <w:r w:rsidR="00FF41A0">
        <w:rPr>
          <w:color w:val="000000"/>
          <w:sz w:val="20"/>
          <w:szCs w:val="20"/>
          <w:lang w:eastAsia="en-GB" w:bidi="en-GB"/>
        </w:rPr>
        <w:t xml:space="preserve"> </w:t>
      </w:r>
      <w:r w:rsidR="00323457" w:rsidRPr="0059638B">
        <w:rPr>
          <w:color w:val="000000"/>
          <w:sz w:val="20"/>
          <w:szCs w:val="20"/>
          <w:lang w:eastAsia="en-GB" w:bidi="en-GB"/>
        </w:rPr>
        <w:t>human</w:t>
      </w:r>
      <w:r w:rsidR="00FF41A0">
        <w:rPr>
          <w:color w:val="000000"/>
          <w:sz w:val="20"/>
          <w:szCs w:val="20"/>
          <w:lang w:eastAsia="en-GB" w:bidi="en-GB"/>
        </w:rPr>
        <w:t xml:space="preserve"> </w:t>
      </w:r>
      <w:r w:rsidR="00323457" w:rsidRPr="0059638B">
        <w:rPr>
          <w:color w:val="000000"/>
          <w:sz w:val="20"/>
          <w:szCs w:val="20"/>
          <w:lang w:eastAsia="en-GB" w:bidi="en-GB"/>
        </w:rPr>
        <w:t>rights</w:t>
      </w:r>
      <w:r w:rsidR="00FF41A0">
        <w:rPr>
          <w:color w:val="000000"/>
          <w:sz w:val="20"/>
          <w:szCs w:val="20"/>
          <w:lang w:eastAsia="en-GB" w:bidi="en-GB"/>
        </w:rPr>
        <w:t xml:space="preserve"> </w:t>
      </w:r>
      <w:r w:rsidR="00323457" w:rsidRPr="0059638B">
        <w:rPr>
          <w:color w:val="000000"/>
          <w:sz w:val="20"/>
          <w:szCs w:val="20"/>
          <w:lang w:eastAsia="en-GB" w:bidi="en-GB"/>
        </w:rPr>
        <w:t>instruments</w:t>
      </w:r>
      <w:r w:rsidR="00FF41A0">
        <w:rPr>
          <w:color w:val="000000"/>
          <w:sz w:val="20"/>
          <w:szCs w:val="20"/>
          <w:lang w:eastAsia="en-GB" w:bidi="en-GB"/>
        </w:rPr>
        <w:t xml:space="preserve"> </w:t>
      </w:r>
      <w:r w:rsidR="00323457" w:rsidRPr="0059638B">
        <w:rPr>
          <w:color w:val="000000"/>
          <w:sz w:val="20"/>
          <w:szCs w:val="20"/>
          <w:lang w:eastAsia="en-GB" w:bidi="en-GB"/>
        </w:rPr>
        <w:t>as</w:t>
      </w:r>
      <w:r w:rsidR="00FF41A0">
        <w:rPr>
          <w:color w:val="000000"/>
          <w:sz w:val="20"/>
          <w:szCs w:val="20"/>
          <w:lang w:eastAsia="en-GB" w:bidi="en-GB"/>
        </w:rPr>
        <w:t xml:space="preserve"> </w:t>
      </w:r>
      <w:r w:rsidR="00323457" w:rsidRPr="0059638B">
        <w:rPr>
          <w:color w:val="000000"/>
          <w:sz w:val="20"/>
          <w:szCs w:val="20"/>
          <w:lang w:eastAsia="en-GB" w:bidi="en-GB"/>
        </w:rPr>
        <w:t>well</w:t>
      </w:r>
      <w:r w:rsidR="00FF41A0">
        <w:rPr>
          <w:color w:val="000000"/>
          <w:sz w:val="20"/>
          <w:szCs w:val="20"/>
          <w:lang w:eastAsia="en-GB" w:bidi="en-GB"/>
        </w:rPr>
        <w:t xml:space="preserve"> </w:t>
      </w:r>
      <w:r w:rsidR="00323457" w:rsidRPr="0059638B">
        <w:rPr>
          <w:color w:val="000000"/>
          <w:sz w:val="20"/>
          <w:szCs w:val="20"/>
          <w:lang w:eastAsia="en-GB" w:bidi="en-GB"/>
        </w:rPr>
        <w:t>as</w:t>
      </w:r>
      <w:r w:rsidR="00FF41A0">
        <w:rPr>
          <w:color w:val="000000"/>
          <w:sz w:val="20"/>
          <w:szCs w:val="20"/>
          <w:lang w:eastAsia="en-GB" w:bidi="en-GB"/>
        </w:rPr>
        <w:t xml:space="preserve"> </w:t>
      </w:r>
      <w:r w:rsidR="00323457" w:rsidRPr="0059638B">
        <w:rPr>
          <w:color w:val="000000"/>
          <w:sz w:val="20"/>
          <w:szCs w:val="20"/>
          <w:lang w:eastAsia="en-GB" w:bidi="en-GB"/>
        </w:rPr>
        <w:t>its</w:t>
      </w:r>
      <w:r w:rsidR="00FF41A0">
        <w:rPr>
          <w:color w:val="000000"/>
          <w:sz w:val="20"/>
          <w:szCs w:val="20"/>
          <w:lang w:eastAsia="en-GB" w:bidi="en-GB"/>
        </w:rPr>
        <w:t xml:space="preserve"> </w:t>
      </w:r>
      <w:r w:rsidR="00323457" w:rsidRPr="0059638B">
        <w:rPr>
          <w:color w:val="000000"/>
          <w:sz w:val="20"/>
          <w:szCs w:val="20"/>
          <w:lang w:eastAsia="en-GB" w:bidi="en-GB"/>
        </w:rPr>
        <w:t>continued</w:t>
      </w:r>
      <w:r w:rsidR="00FF41A0">
        <w:rPr>
          <w:color w:val="000000"/>
          <w:sz w:val="20"/>
          <w:szCs w:val="20"/>
          <w:lang w:eastAsia="en-GB" w:bidi="en-GB"/>
        </w:rPr>
        <w:t xml:space="preserve"> </w:t>
      </w:r>
      <w:r w:rsidR="00323457" w:rsidRPr="0059638B">
        <w:rPr>
          <w:color w:val="000000"/>
          <w:sz w:val="20"/>
          <w:szCs w:val="20"/>
          <w:lang w:eastAsia="en-GB" w:bidi="en-GB"/>
        </w:rPr>
        <w:t>commitment</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promoting</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protecting</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exercise</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civil</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political</w:t>
      </w:r>
      <w:r w:rsidR="00FF41A0">
        <w:rPr>
          <w:color w:val="000000"/>
          <w:sz w:val="20"/>
          <w:szCs w:val="20"/>
          <w:lang w:eastAsia="en-GB" w:bidi="en-GB"/>
        </w:rPr>
        <w:t xml:space="preserve"> </w:t>
      </w:r>
      <w:r w:rsidR="00323457" w:rsidRPr="0059638B">
        <w:rPr>
          <w:color w:val="000000"/>
          <w:sz w:val="20"/>
          <w:szCs w:val="20"/>
          <w:lang w:eastAsia="en-GB" w:bidi="en-GB"/>
        </w:rPr>
        <w:t>rights</w:t>
      </w:r>
      <w:r w:rsidR="00FF41A0">
        <w:rPr>
          <w:color w:val="000000"/>
          <w:sz w:val="20"/>
          <w:szCs w:val="20"/>
          <w:lang w:eastAsia="en-GB" w:bidi="en-GB"/>
        </w:rPr>
        <w:t xml:space="preserve"> </w:t>
      </w:r>
      <w:r w:rsidR="00323457" w:rsidRPr="0059638B">
        <w:rPr>
          <w:color w:val="000000"/>
          <w:sz w:val="20"/>
          <w:szCs w:val="20"/>
          <w:lang w:eastAsia="en-GB" w:bidi="en-GB"/>
        </w:rPr>
        <w:t>in</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renewal</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country</w:t>
      </w:r>
      <w:r w:rsidR="00D72627">
        <w:rPr>
          <w:color w:val="000000"/>
          <w:sz w:val="20"/>
          <w:szCs w:val="20"/>
          <w:lang w:eastAsia="en-GB" w:bidi="en-GB"/>
        </w:rPr>
        <w:t>’</w:t>
      </w:r>
      <w:r w:rsidR="00323457" w:rsidRPr="0059638B">
        <w:rPr>
          <w:color w:val="000000"/>
          <w:sz w:val="20"/>
          <w:szCs w:val="20"/>
          <w:lang w:eastAsia="en-GB" w:bidi="en-GB"/>
        </w:rPr>
        <w:t>s</w:t>
      </w:r>
      <w:r w:rsidR="00FF41A0">
        <w:rPr>
          <w:color w:val="000000"/>
          <w:sz w:val="20"/>
          <w:szCs w:val="20"/>
          <w:lang w:eastAsia="en-GB" w:bidi="en-GB"/>
        </w:rPr>
        <w:t xml:space="preserve"> </w:t>
      </w:r>
      <w:r w:rsidR="00323457" w:rsidRPr="0059638B">
        <w:rPr>
          <w:color w:val="000000"/>
          <w:sz w:val="20"/>
          <w:szCs w:val="20"/>
          <w:lang w:eastAsia="en-GB" w:bidi="en-GB"/>
        </w:rPr>
        <w:t>democracy.</w:t>
      </w:r>
      <w:r w:rsidR="00FF41A0">
        <w:rPr>
          <w:color w:val="000000"/>
          <w:sz w:val="20"/>
          <w:szCs w:val="20"/>
          <w:lang w:eastAsia="en-GB" w:bidi="en-GB"/>
        </w:rPr>
        <w:t xml:space="preserve"> </w:t>
      </w:r>
      <w:r w:rsidR="00323457" w:rsidRPr="0059638B">
        <w:rPr>
          <w:color w:val="000000"/>
          <w:sz w:val="20"/>
          <w:szCs w:val="20"/>
          <w:lang w:eastAsia="en-GB" w:bidi="en-GB"/>
        </w:rPr>
        <w:t>It</w:t>
      </w:r>
      <w:r w:rsidR="00FF41A0">
        <w:rPr>
          <w:color w:val="000000"/>
          <w:sz w:val="20"/>
          <w:szCs w:val="20"/>
          <w:lang w:eastAsia="en-GB" w:bidi="en-GB"/>
        </w:rPr>
        <w:t xml:space="preserve"> </w:t>
      </w:r>
      <w:r w:rsidR="00323457" w:rsidRPr="0059638B">
        <w:rPr>
          <w:color w:val="000000"/>
          <w:sz w:val="20"/>
          <w:szCs w:val="20"/>
          <w:lang w:eastAsia="en-GB" w:bidi="en-GB"/>
        </w:rPr>
        <w:t>applauded</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achievements</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Malaysia</w:t>
      </w:r>
      <w:r w:rsidR="00FF41A0">
        <w:rPr>
          <w:color w:val="000000"/>
          <w:sz w:val="20"/>
          <w:szCs w:val="20"/>
          <w:lang w:eastAsia="en-GB" w:bidi="en-GB"/>
        </w:rPr>
        <w:t xml:space="preserve"> </w:t>
      </w:r>
      <w:r w:rsidR="00323457" w:rsidRPr="0059638B">
        <w:rPr>
          <w:color w:val="000000"/>
          <w:sz w:val="20"/>
          <w:szCs w:val="20"/>
          <w:lang w:eastAsia="en-GB" w:bidi="en-GB"/>
        </w:rPr>
        <w:t>in</w:t>
      </w:r>
      <w:r w:rsidR="00FF41A0">
        <w:rPr>
          <w:color w:val="000000"/>
          <w:sz w:val="20"/>
          <w:szCs w:val="20"/>
          <w:lang w:eastAsia="en-GB" w:bidi="en-GB"/>
        </w:rPr>
        <w:t xml:space="preserve"> </w:t>
      </w:r>
      <w:r w:rsidR="00323457" w:rsidRPr="0059638B">
        <w:rPr>
          <w:color w:val="000000"/>
          <w:sz w:val="20"/>
          <w:szCs w:val="20"/>
          <w:lang w:eastAsia="en-GB" w:bidi="en-GB"/>
        </w:rPr>
        <w:t>reducing</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poverty</w:t>
      </w:r>
      <w:r w:rsidR="00FF41A0">
        <w:rPr>
          <w:color w:val="000000"/>
          <w:sz w:val="20"/>
          <w:szCs w:val="20"/>
          <w:lang w:eastAsia="en-GB" w:bidi="en-GB"/>
        </w:rPr>
        <w:t xml:space="preserve"> </w:t>
      </w:r>
      <w:r w:rsidR="00323457" w:rsidRPr="0059638B">
        <w:rPr>
          <w:color w:val="000000"/>
          <w:sz w:val="20"/>
          <w:szCs w:val="20"/>
          <w:lang w:eastAsia="en-GB" w:bidi="en-GB"/>
        </w:rPr>
        <w:t>gap</w:t>
      </w:r>
      <w:r w:rsidR="00FF41A0">
        <w:rPr>
          <w:color w:val="000000"/>
          <w:sz w:val="20"/>
          <w:szCs w:val="20"/>
          <w:lang w:eastAsia="en-GB" w:bidi="en-GB"/>
        </w:rPr>
        <w:t xml:space="preserve"> </w:t>
      </w:r>
      <w:r w:rsidR="00323457" w:rsidRPr="0059638B">
        <w:rPr>
          <w:color w:val="000000"/>
          <w:sz w:val="20"/>
          <w:szCs w:val="20"/>
          <w:lang w:eastAsia="en-GB" w:bidi="en-GB"/>
        </w:rPr>
        <w:t>by,</w:t>
      </w:r>
      <w:r w:rsidR="00FF41A0">
        <w:rPr>
          <w:color w:val="000000"/>
          <w:sz w:val="20"/>
          <w:szCs w:val="20"/>
          <w:lang w:eastAsia="en-GB" w:bidi="en-GB"/>
        </w:rPr>
        <w:t xml:space="preserve"> </w:t>
      </w:r>
      <w:r w:rsidR="00323457" w:rsidRPr="0059638B">
        <w:rPr>
          <w:color w:val="000000"/>
          <w:sz w:val="20"/>
          <w:szCs w:val="20"/>
          <w:lang w:eastAsia="en-GB" w:bidi="en-GB"/>
        </w:rPr>
        <w:t>inter</w:t>
      </w:r>
      <w:r w:rsidR="00FF41A0">
        <w:rPr>
          <w:color w:val="000000"/>
          <w:sz w:val="20"/>
          <w:szCs w:val="20"/>
          <w:lang w:eastAsia="en-GB" w:bidi="en-GB"/>
        </w:rPr>
        <w:t xml:space="preserve"> </w:t>
      </w:r>
      <w:r w:rsidR="00323457" w:rsidRPr="0059638B">
        <w:rPr>
          <w:color w:val="000000"/>
          <w:sz w:val="20"/>
          <w:szCs w:val="20"/>
          <w:lang w:eastAsia="en-GB" w:bidi="en-GB"/>
        </w:rPr>
        <w:t>alia,</w:t>
      </w:r>
      <w:r w:rsidR="00FF41A0">
        <w:rPr>
          <w:color w:val="000000"/>
          <w:sz w:val="20"/>
          <w:szCs w:val="20"/>
          <w:lang w:eastAsia="en-GB" w:bidi="en-GB"/>
        </w:rPr>
        <w:t xml:space="preserve"> </w:t>
      </w:r>
      <w:r w:rsidR="00323457" w:rsidRPr="0059638B">
        <w:rPr>
          <w:color w:val="000000"/>
          <w:sz w:val="20"/>
          <w:szCs w:val="20"/>
          <w:lang w:eastAsia="en-GB" w:bidi="en-GB"/>
        </w:rPr>
        <w:t>providing</w:t>
      </w:r>
      <w:r w:rsidR="00FF41A0">
        <w:rPr>
          <w:color w:val="000000"/>
          <w:sz w:val="20"/>
          <w:szCs w:val="20"/>
          <w:lang w:eastAsia="en-GB" w:bidi="en-GB"/>
        </w:rPr>
        <w:t xml:space="preserve"> </w:t>
      </w:r>
      <w:r w:rsidR="00323457" w:rsidRPr="0059638B">
        <w:rPr>
          <w:color w:val="000000"/>
          <w:sz w:val="20"/>
          <w:szCs w:val="20"/>
          <w:lang w:eastAsia="en-GB" w:bidi="en-GB"/>
        </w:rPr>
        <w:t>infrastructure</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utilities,</w:t>
      </w:r>
      <w:r w:rsidR="00FF41A0">
        <w:rPr>
          <w:color w:val="000000"/>
          <w:sz w:val="20"/>
          <w:szCs w:val="20"/>
          <w:lang w:eastAsia="en-GB" w:bidi="en-GB"/>
        </w:rPr>
        <w:t xml:space="preserve"> </w:t>
      </w:r>
      <w:r w:rsidR="00323457" w:rsidRPr="0059638B">
        <w:rPr>
          <w:color w:val="000000"/>
          <w:sz w:val="20"/>
          <w:szCs w:val="20"/>
          <w:lang w:eastAsia="en-GB" w:bidi="en-GB"/>
        </w:rPr>
        <w:t>promoting</w:t>
      </w:r>
      <w:r w:rsidR="00FF41A0">
        <w:rPr>
          <w:color w:val="000000"/>
          <w:sz w:val="20"/>
          <w:szCs w:val="20"/>
          <w:lang w:eastAsia="en-GB" w:bidi="en-GB"/>
        </w:rPr>
        <w:t xml:space="preserve"> </w:t>
      </w:r>
      <w:r w:rsidR="00323457" w:rsidRPr="0059638B">
        <w:rPr>
          <w:color w:val="000000"/>
          <w:sz w:val="20"/>
          <w:szCs w:val="20"/>
          <w:lang w:eastAsia="en-GB" w:bidi="en-GB"/>
        </w:rPr>
        <w:t>economic</w:t>
      </w:r>
      <w:r w:rsidR="00FF41A0">
        <w:rPr>
          <w:color w:val="000000"/>
          <w:sz w:val="20"/>
          <w:szCs w:val="20"/>
          <w:lang w:eastAsia="en-GB" w:bidi="en-GB"/>
        </w:rPr>
        <w:t xml:space="preserve"> </w:t>
      </w:r>
      <w:r w:rsidR="00323457" w:rsidRPr="0059638B">
        <w:rPr>
          <w:color w:val="000000"/>
          <w:sz w:val="20"/>
          <w:szCs w:val="20"/>
          <w:lang w:eastAsia="en-GB" w:bidi="en-GB"/>
        </w:rPr>
        <w:t>development</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sociocultural</w:t>
      </w:r>
      <w:r w:rsidR="00FF41A0">
        <w:rPr>
          <w:color w:val="000000"/>
          <w:sz w:val="20"/>
          <w:szCs w:val="20"/>
          <w:lang w:eastAsia="en-GB" w:bidi="en-GB"/>
        </w:rPr>
        <w:t xml:space="preserve"> </w:t>
      </w:r>
      <w:r w:rsidR="00323457" w:rsidRPr="0059638B">
        <w:rPr>
          <w:color w:val="000000"/>
          <w:sz w:val="20"/>
          <w:szCs w:val="20"/>
          <w:lang w:eastAsia="en-GB" w:bidi="en-GB"/>
        </w:rPr>
        <w:t>rights,</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its</w:t>
      </w:r>
      <w:r w:rsidR="00FF41A0">
        <w:rPr>
          <w:color w:val="000000"/>
          <w:sz w:val="20"/>
          <w:szCs w:val="20"/>
          <w:lang w:eastAsia="en-GB" w:bidi="en-GB"/>
        </w:rPr>
        <w:t xml:space="preserve"> </w:t>
      </w:r>
      <w:r w:rsidR="00323457" w:rsidRPr="0059638B">
        <w:rPr>
          <w:color w:val="000000"/>
          <w:sz w:val="20"/>
          <w:szCs w:val="20"/>
          <w:lang w:eastAsia="en-GB" w:bidi="en-GB"/>
        </w:rPr>
        <w:t>commitment</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eliminating</w:t>
      </w:r>
      <w:r w:rsidR="00FF41A0">
        <w:rPr>
          <w:color w:val="000000"/>
          <w:sz w:val="20"/>
          <w:szCs w:val="20"/>
          <w:lang w:eastAsia="en-GB" w:bidi="en-GB"/>
        </w:rPr>
        <w:t xml:space="preserve"> </w:t>
      </w:r>
      <w:r w:rsidR="00323457" w:rsidRPr="0059638B">
        <w:rPr>
          <w:color w:val="000000"/>
          <w:sz w:val="20"/>
          <w:szCs w:val="20"/>
          <w:lang w:eastAsia="en-GB" w:bidi="en-GB"/>
        </w:rPr>
        <w:t>discrimination</w:t>
      </w:r>
      <w:r w:rsidR="00FF41A0">
        <w:rPr>
          <w:color w:val="000000"/>
          <w:sz w:val="20"/>
          <w:szCs w:val="20"/>
          <w:lang w:eastAsia="en-GB" w:bidi="en-GB"/>
        </w:rPr>
        <w:t xml:space="preserve"> </w:t>
      </w:r>
      <w:r w:rsidR="00323457" w:rsidRPr="0059638B">
        <w:rPr>
          <w:color w:val="000000"/>
          <w:sz w:val="20"/>
          <w:szCs w:val="20"/>
          <w:lang w:eastAsia="en-GB" w:bidi="en-GB"/>
        </w:rPr>
        <w:t>against</w:t>
      </w:r>
      <w:r w:rsidR="00FF41A0">
        <w:rPr>
          <w:color w:val="000000"/>
          <w:sz w:val="20"/>
          <w:szCs w:val="20"/>
          <w:lang w:eastAsia="en-GB" w:bidi="en-GB"/>
        </w:rPr>
        <w:t xml:space="preserve"> </w:t>
      </w:r>
      <w:r w:rsidR="00323457" w:rsidRPr="0059638B">
        <w:rPr>
          <w:color w:val="000000"/>
          <w:sz w:val="20"/>
          <w:szCs w:val="20"/>
          <w:lang w:eastAsia="en-GB" w:bidi="en-GB"/>
        </w:rPr>
        <w:t>women</w:t>
      </w:r>
      <w:r w:rsidR="00FF41A0">
        <w:rPr>
          <w:color w:val="000000"/>
          <w:sz w:val="20"/>
          <w:szCs w:val="20"/>
          <w:lang w:eastAsia="en-GB" w:bidi="en-GB"/>
        </w:rPr>
        <w:t xml:space="preserve"> </w:t>
      </w:r>
    </w:p>
    <w:p w14:paraId="1E5DDEA5" w14:textId="37CE8C76" w:rsidR="00323457" w:rsidRPr="0059638B" w:rsidRDefault="00972F1E" w:rsidP="00323457">
      <w:pPr>
        <w:pStyle w:val="SingleTxtG"/>
        <w:rPr>
          <w:color w:val="000000"/>
          <w:sz w:val="20"/>
          <w:szCs w:val="20"/>
          <w:lang w:eastAsia="en-GB" w:bidi="en-GB"/>
        </w:rPr>
      </w:pPr>
      <w:r>
        <w:rPr>
          <w:color w:val="000000"/>
          <w:sz w:val="20"/>
          <w:szCs w:val="20"/>
          <w:lang w:eastAsia="en-GB" w:bidi="en-GB"/>
        </w:rPr>
        <w:t>650</w:t>
      </w:r>
      <w:r w:rsidR="00D7475F">
        <w:rPr>
          <w:color w:val="000000"/>
          <w:sz w:val="20"/>
          <w:szCs w:val="20"/>
          <w:lang w:eastAsia="en-GB" w:bidi="en-GB"/>
        </w:rPr>
        <w:t>.</w:t>
      </w:r>
      <w:r w:rsidR="00D7475F">
        <w:rPr>
          <w:color w:val="000000"/>
          <w:sz w:val="20"/>
          <w:szCs w:val="20"/>
          <w:lang w:eastAsia="en-GB" w:bidi="en-GB"/>
        </w:rPr>
        <w:tab/>
      </w:r>
      <w:r w:rsidR="00323457" w:rsidRPr="0059638B">
        <w:rPr>
          <w:color w:val="000000"/>
          <w:sz w:val="20"/>
          <w:szCs w:val="20"/>
          <w:lang w:eastAsia="en-GB" w:bidi="en-GB"/>
        </w:rPr>
        <w:t>Sri</w:t>
      </w:r>
      <w:r w:rsidR="00FF41A0">
        <w:rPr>
          <w:color w:val="000000"/>
          <w:sz w:val="20"/>
          <w:szCs w:val="20"/>
          <w:lang w:eastAsia="en-GB" w:bidi="en-GB"/>
        </w:rPr>
        <w:t xml:space="preserve"> </w:t>
      </w:r>
      <w:r w:rsidR="00323457" w:rsidRPr="0059638B">
        <w:rPr>
          <w:color w:val="000000"/>
          <w:sz w:val="20"/>
          <w:szCs w:val="20"/>
          <w:lang w:eastAsia="en-GB" w:bidi="en-GB"/>
        </w:rPr>
        <w:t>Lanka</w:t>
      </w:r>
      <w:r w:rsidR="00FF41A0">
        <w:rPr>
          <w:color w:val="000000"/>
          <w:sz w:val="20"/>
          <w:szCs w:val="20"/>
          <w:lang w:eastAsia="en-GB" w:bidi="en-GB"/>
        </w:rPr>
        <w:t xml:space="preserve"> </w:t>
      </w:r>
      <w:r w:rsidR="00323457" w:rsidRPr="0059638B">
        <w:rPr>
          <w:color w:val="000000"/>
          <w:sz w:val="20"/>
          <w:szCs w:val="20"/>
          <w:lang w:eastAsia="en-GB" w:bidi="en-GB"/>
        </w:rPr>
        <w:t>noted</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significant</w:t>
      </w:r>
      <w:r w:rsidR="00FF41A0">
        <w:rPr>
          <w:color w:val="000000"/>
          <w:sz w:val="20"/>
          <w:szCs w:val="20"/>
          <w:lang w:eastAsia="en-GB" w:bidi="en-GB"/>
        </w:rPr>
        <w:t xml:space="preserve"> </w:t>
      </w:r>
      <w:r w:rsidR="00323457" w:rsidRPr="0059638B">
        <w:rPr>
          <w:color w:val="000000"/>
          <w:sz w:val="20"/>
          <w:szCs w:val="20"/>
          <w:lang w:eastAsia="en-GB" w:bidi="en-GB"/>
        </w:rPr>
        <w:t>steps</w:t>
      </w:r>
      <w:r w:rsidR="00FF41A0">
        <w:rPr>
          <w:color w:val="000000"/>
          <w:sz w:val="20"/>
          <w:szCs w:val="20"/>
          <w:lang w:eastAsia="en-GB" w:bidi="en-GB"/>
        </w:rPr>
        <w:t xml:space="preserve"> </w:t>
      </w:r>
      <w:r w:rsidR="00323457" w:rsidRPr="0059638B">
        <w:rPr>
          <w:color w:val="000000"/>
          <w:sz w:val="20"/>
          <w:szCs w:val="20"/>
          <w:lang w:eastAsia="en-GB" w:bidi="en-GB"/>
        </w:rPr>
        <w:t>taken</w:t>
      </w:r>
      <w:r w:rsidR="00FF41A0">
        <w:rPr>
          <w:color w:val="000000"/>
          <w:sz w:val="20"/>
          <w:szCs w:val="20"/>
          <w:lang w:eastAsia="en-GB" w:bidi="en-GB"/>
        </w:rPr>
        <w:t xml:space="preserve"> </w:t>
      </w:r>
      <w:r w:rsidR="00323457" w:rsidRPr="0059638B">
        <w:rPr>
          <w:color w:val="000000"/>
          <w:sz w:val="20"/>
          <w:szCs w:val="20"/>
          <w:lang w:eastAsia="en-GB" w:bidi="en-GB"/>
        </w:rPr>
        <w:t>by</w:t>
      </w:r>
      <w:r w:rsidR="00FF41A0">
        <w:rPr>
          <w:color w:val="000000"/>
          <w:sz w:val="20"/>
          <w:szCs w:val="20"/>
          <w:lang w:eastAsia="en-GB" w:bidi="en-GB"/>
        </w:rPr>
        <w:t xml:space="preserve"> </w:t>
      </w:r>
      <w:r w:rsidR="00323457" w:rsidRPr="0059638B">
        <w:rPr>
          <w:color w:val="000000"/>
          <w:sz w:val="20"/>
          <w:szCs w:val="20"/>
          <w:lang w:eastAsia="en-GB" w:bidi="en-GB"/>
        </w:rPr>
        <w:t>Malaysia</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promote</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protect</w:t>
      </w:r>
      <w:r w:rsidR="00FF41A0">
        <w:rPr>
          <w:color w:val="000000"/>
          <w:sz w:val="20"/>
          <w:szCs w:val="20"/>
          <w:lang w:eastAsia="en-GB" w:bidi="en-GB"/>
        </w:rPr>
        <w:t xml:space="preserve"> </w:t>
      </w:r>
      <w:r w:rsidR="00323457" w:rsidRPr="0059638B">
        <w:rPr>
          <w:color w:val="000000"/>
          <w:sz w:val="20"/>
          <w:szCs w:val="20"/>
          <w:lang w:eastAsia="en-GB" w:bidi="en-GB"/>
        </w:rPr>
        <w:t>human</w:t>
      </w:r>
      <w:r w:rsidR="00FF41A0">
        <w:rPr>
          <w:color w:val="000000"/>
          <w:sz w:val="20"/>
          <w:szCs w:val="20"/>
          <w:lang w:eastAsia="en-GB" w:bidi="en-GB"/>
        </w:rPr>
        <w:t xml:space="preserve"> </w:t>
      </w:r>
      <w:r w:rsidR="00323457" w:rsidRPr="0059638B">
        <w:rPr>
          <w:color w:val="000000"/>
          <w:sz w:val="20"/>
          <w:szCs w:val="20"/>
          <w:lang w:eastAsia="en-GB" w:bidi="en-GB"/>
        </w:rPr>
        <w:t>rights,</w:t>
      </w:r>
      <w:r w:rsidR="00FF41A0">
        <w:rPr>
          <w:color w:val="000000"/>
          <w:sz w:val="20"/>
          <w:szCs w:val="20"/>
          <w:lang w:eastAsia="en-GB" w:bidi="en-GB"/>
        </w:rPr>
        <w:t xml:space="preserve"> </w:t>
      </w:r>
      <w:r w:rsidR="00323457" w:rsidRPr="0059638B">
        <w:rPr>
          <w:color w:val="000000"/>
          <w:sz w:val="20"/>
          <w:szCs w:val="20"/>
          <w:lang w:eastAsia="en-GB" w:bidi="en-GB"/>
        </w:rPr>
        <w:t>including</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launch</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National</w:t>
      </w:r>
      <w:r w:rsidR="00FF41A0">
        <w:rPr>
          <w:color w:val="000000"/>
          <w:sz w:val="20"/>
          <w:szCs w:val="20"/>
          <w:lang w:eastAsia="en-GB" w:bidi="en-GB"/>
        </w:rPr>
        <w:t xml:space="preserve"> </w:t>
      </w:r>
      <w:r w:rsidR="00323457" w:rsidRPr="0059638B">
        <w:rPr>
          <w:color w:val="000000"/>
          <w:sz w:val="20"/>
          <w:szCs w:val="20"/>
          <w:lang w:eastAsia="en-GB" w:bidi="en-GB"/>
        </w:rPr>
        <w:t>Human</w:t>
      </w:r>
      <w:r w:rsidR="00FF41A0">
        <w:rPr>
          <w:color w:val="000000"/>
          <w:sz w:val="20"/>
          <w:szCs w:val="20"/>
          <w:lang w:eastAsia="en-GB" w:bidi="en-GB"/>
        </w:rPr>
        <w:t xml:space="preserve"> </w:t>
      </w:r>
      <w:r w:rsidR="00323457" w:rsidRPr="0059638B">
        <w:rPr>
          <w:color w:val="000000"/>
          <w:sz w:val="20"/>
          <w:szCs w:val="20"/>
          <w:lang w:eastAsia="en-GB" w:bidi="en-GB"/>
        </w:rPr>
        <w:t>Rights</w:t>
      </w:r>
      <w:r w:rsidR="00FF41A0">
        <w:rPr>
          <w:color w:val="000000"/>
          <w:sz w:val="20"/>
          <w:szCs w:val="20"/>
          <w:lang w:eastAsia="en-GB" w:bidi="en-GB"/>
        </w:rPr>
        <w:t xml:space="preserve"> </w:t>
      </w:r>
      <w:r w:rsidR="00323457" w:rsidRPr="0059638B">
        <w:rPr>
          <w:color w:val="000000"/>
          <w:sz w:val="20"/>
          <w:szCs w:val="20"/>
          <w:lang w:eastAsia="en-GB" w:bidi="en-GB"/>
        </w:rPr>
        <w:t>Action</w:t>
      </w:r>
      <w:r w:rsidR="00FF41A0">
        <w:rPr>
          <w:color w:val="000000"/>
          <w:sz w:val="20"/>
          <w:szCs w:val="20"/>
          <w:lang w:eastAsia="en-GB" w:bidi="en-GB"/>
        </w:rPr>
        <w:t xml:space="preserve"> </w:t>
      </w:r>
      <w:r w:rsidR="00323457" w:rsidRPr="0059638B">
        <w:rPr>
          <w:color w:val="000000"/>
          <w:sz w:val="20"/>
          <w:szCs w:val="20"/>
          <w:lang w:eastAsia="en-GB" w:bidi="en-GB"/>
        </w:rPr>
        <w:t>Plan</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Human</w:t>
      </w:r>
      <w:r w:rsidR="00FF41A0">
        <w:rPr>
          <w:color w:val="000000"/>
          <w:sz w:val="20"/>
          <w:szCs w:val="20"/>
          <w:lang w:eastAsia="en-GB" w:bidi="en-GB"/>
        </w:rPr>
        <w:t xml:space="preserve"> </w:t>
      </w:r>
      <w:r w:rsidR="00323457" w:rsidRPr="0059638B">
        <w:rPr>
          <w:color w:val="000000"/>
          <w:sz w:val="20"/>
          <w:szCs w:val="20"/>
          <w:lang w:eastAsia="en-GB" w:bidi="en-GB"/>
        </w:rPr>
        <w:t>Rights</w:t>
      </w:r>
      <w:r w:rsidR="00FF41A0">
        <w:rPr>
          <w:color w:val="000000"/>
          <w:sz w:val="20"/>
          <w:szCs w:val="20"/>
          <w:lang w:eastAsia="en-GB" w:bidi="en-GB"/>
        </w:rPr>
        <w:t xml:space="preserve"> </w:t>
      </w:r>
      <w:r w:rsidR="00323457" w:rsidRPr="0059638B">
        <w:rPr>
          <w:color w:val="000000"/>
          <w:sz w:val="20"/>
          <w:szCs w:val="20"/>
          <w:lang w:eastAsia="en-GB" w:bidi="en-GB"/>
        </w:rPr>
        <w:t>Based</w:t>
      </w:r>
      <w:r w:rsidR="00FF41A0">
        <w:rPr>
          <w:color w:val="000000"/>
          <w:sz w:val="20"/>
          <w:szCs w:val="20"/>
          <w:lang w:eastAsia="en-GB" w:bidi="en-GB"/>
        </w:rPr>
        <w:t xml:space="preserve"> </w:t>
      </w:r>
      <w:r w:rsidR="00323457" w:rsidRPr="0059638B">
        <w:rPr>
          <w:color w:val="000000"/>
          <w:sz w:val="20"/>
          <w:szCs w:val="20"/>
          <w:lang w:eastAsia="en-GB" w:bidi="en-GB"/>
        </w:rPr>
        <w:t>Best</w:t>
      </w:r>
      <w:r w:rsidR="00FF41A0">
        <w:rPr>
          <w:color w:val="000000"/>
          <w:sz w:val="20"/>
          <w:szCs w:val="20"/>
          <w:lang w:eastAsia="en-GB" w:bidi="en-GB"/>
        </w:rPr>
        <w:t xml:space="preserve"> </w:t>
      </w:r>
      <w:r w:rsidR="00323457" w:rsidRPr="0059638B">
        <w:rPr>
          <w:color w:val="000000"/>
          <w:sz w:val="20"/>
          <w:szCs w:val="20"/>
          <w:lang w:eastAsia="en-GB" w:bidi="en-GB"/>
        </w:rPr>
        <w:t>Practices</w:t>
      </w:r>
      <w:r w:rsidR="00FF41A0">
        <w:rPr>
          <w:color w:val="000000"/>
          <w:sz w:val="20"/>
          <w:szCs w:val="20"/>
          <w:lang w:eastAsia="en-GB" w:bidi="en-GB"/>
        </w:rPr>
        <w:t xml:space="preserve"> </w:t>
      </w:r>
      <w:r w:rsidR="00323457" w:rsidRPr="0059638B">
        <w:rPr>
          <w:color w:val="000000"/>
          <w:sz w:val="20"/>
          <w:szCs w:val="20"/>
          <w:lang w:eastAsia="en-GB" w:bidi="en-GB"/>
        </w:rPr>
        <w:t>Programme</w:t>
      </w:r>
      <w:r w:rsidR="00FF41A0">
        <w:rPr>
          <w:color w:val="000000"/>
          <w:sz w:val="20"/>
          <w:szCs w:val="20"/>
          <w:lang w:eastAsia="en-GB" w:bidi="en-GB"/>
        </w:rPr>
        <w:t xml:space="preserve"> </w:t>
      </w:r>
      <w:r w:rsidR="00323457" w:rsidRPr="0059638B">
        <w:rPr>
          <w:color w:val="000000"/>
          <w:sz w:val="20"/>
          <w:szCs w:val="20"/>
          <w:lang w:eastAsia="en-GB" w:bidi="en-GB"/>
        </w:rPr>
        <w:t>involving</w:t>
      </w:r>
      <w:r w:rsidR="00FF41A0">
        <w:rPr>
          <w:color w:val="000000"/>
          <w:sz w:val="20"/>
          <w:szCs w:val="20"/>
          <w:lang w:eastAsia="en-GB" w:bidi="en-GB"/>
        </w:rPr>
        <w:t xml:space="preserve"> </w:t>
      </w:r>
      <w:r w:rsidR="00323457" w:rsidRPr="0059638B">
        <w:rPr>
          <w:color w:val="000000"/>
          <w:sz w:val="20"/>
          <w:szCs w:val="20"/>
          <w:lang w:eastAsia="en-GB" w:bidi="en-GB"/>
        </w:rPr>
        <w:t>schools</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enhance</w:t>
      </w:r>
      <w:r w:rsidR="00FF41A0">
        <w:rPr>
          <w:color w:val="000000"/>
          <w:sz w:val="20"/>
          <w:szCs w:val="20"/>
          <w:lang w:eastAsia="en-GB" w:bidi="en-GB"/>
        </w:rPr>
        <w:t xml:space="preserve"> </w:t>
      </w:r>
      <w:r w:rsidR="00323457" w:rsidRPr="0059638B">
        <w:rPr>
          <w:color w:val="000000"/>
          <w:sz w:val="20"/>
          <w:szCs w:val="20"/>
          <w:lang w:eastAsia="en-GB" w:bidi="en-GB"/>
        </w:rPr>
        <w:t>respect</w:t>
      </w:r>
      <w:r w:rsidR="00FF41A0">
        <w:rPr>
          <w:color w:val="000000"/>
          <w:sz w:val="20"/>
          <w:szCs w:val="20"/>
          <w:lang w:eastAsia="en-GB" w:bidi="en-GB"/>
        </w:rPr>
        <w:t xml:space="preserve"> </w:t>
      </w:r>
      <w:r w:rsidR="00323457" w:rsidRPr="0059638B">
        <w:rPr>
          <w:color w:val="000000"/>
          <w:sz w:val="20"/>
          <w:szCs w:val="20"/>
          <w:lang w:eastAsia="en-GB" w:bidi="en-GB"/>
        </w:rPr>
        <w:t>for</w:t>
      </w:r>
      <w:r w:rsidR="00FF41A0">
        <w:rPr>
          <w:color w:val="000000"/>
          <w:sz w:val="20"/>
          <w:szCs w:val="20"/>
          <w:lang w:eastAsia="en-GB" w:bidi="en-GB"/>
        </w:rPr>
        <w:t xml:space="preserve"> </w:t>
      </w:r>
      <w:r w:rsidR="00323457" w:rsidRPr="0059638B">
        <w:rPr>
          <w:color w:val="000000"/>
          <w:sz w:val="20"/>
          <w:szCs w:val="20"/>
          <w:lang w:eastAsia="en-GB" w:bidi="en-GB"/>
        </w:rPr>
        <w:t>human</w:t>
      </w:r>
      <w:r w:rsidR="00FF41A0">
        <w:rPr>
          <w:color w:val="000000"/>
          <w:sz w:val="20"/>
          <w:szCs w:val="20"/>
          <w:lang w:eastAsia="en-GB" w:bidi="en-GB"/>
        </w:rPr>
        <w:t xml:space="preserve"> </w:t>
      </w:r>
      <w:r w:rsidR="00323457" w:rsidRPr="0059638B">
        <w:rPr>
          <w:color w:val="000000"/>
          <w:sz w:val="20"/>
          <w:szCs w:val="20"/>
          <w:lang w:eastAsia="en-GB" w:bidi="en-GB"/>
        </w:rPr>
        <w:t>rights</w:t>
      </w:r>
      <w:r w:rsidR="00FF41A0">
        <w:rPr>
          <w:color w:val="000000"/>
          <w:sz w:val="20"/>
          <w:szCs w:val="20"/>
          <w:lang w:eastAsia="en-GB" w:bidi="en-GB"/>
        </w:rPr>
        <w:t xml:space="preserve"> </w:t>
      </w:r>
      <w:r w:rsidR="00323457" w:rsidRPr="0059638B">
        <w:rPr>
          <w:color w:val="000000"/>
          <w:sz w:val="20"/>
          <w:szCs w:val="20"/>
          <w:lang w:eastAsia="en-GB" w:bidi="en-GB"/>
        </w:rPr>
        <w:t>through</w:t>
      </w:r>
      <w:r w:rsidR="00FF41A0">
        <w:rPr>
          <w:color w:val="000000"/>
          <w:sz w:val="20"/>
          <w:szCs w:val="20"/>
          <w:lang w:eastAsia="en-GB" w:bidi="en-GB"/>
        </w:rPr>
        <w:t xml:space="preserve"> </w:t>
      </w:r>
      <w:r w:rsidR="00323457" w:rsidRPr="0059638B">
        <w:rPr>
          <w:color w:val="000000"/>
          <w:sz w:val="20"/>
          <w:szCs w:val="20"/>
          <w:lang w:eastAsia="en-GB" w:bidi="en-GB"/>
        </w:rPr>
        <w:t>education.</w:t>
      </w:r>
      <w:r w:rsidR="00FF41A0">
        <w:rPr>
          <w:color w:val="000000"/>
          <w:sz w:val="20"/>
          <w:szCs w:val="20"/>
          <w:lang w:eastAsia="en-GB" w:bidi="en-GB"/>
        </w:rPr>
        <w:t xml:space="preserve"> </w:t>
      </w:r>
      <w:r w:rsidR="00323457" w:rsidRPr="0059638B">
        <w:rPr>
          <w:color w:val="000000"/>
          <w:sz w:val="20"/>
          <w:szCs w:val="20"/>
          <w:lang w:eastAsia="en-GB" w:bidi="en-GB"/>
        </w:rPr>
        <w:t>It</w:t>
      </w:r>
      <w:r w:rsidR="00FF41A0">
        <w:rPr>
          <w:color w:val="000000"/>
          <w:sz w:val="20"/>
          <w:szCs w:val="20"/>
          <w:lang w:eastAsia="en-GB" w:bidi="en-GB"/>
        </w:rPr>
        <w:t xml:space="preserve"> </w:t>
      </w:r>
      <w:r w:rsidR="00323457" w:rsidRPr="0059638B">
        <w:rPr>
          <w:color w:val="000000"/>
          <w:sz w:val="20"/>
          <w:szCs w:val="20"/>
          <w:lang w:eastAsia="en-GB" w:bidi="en-GB"/>
        </w:rPr>
        <w:t>encouraged</w:t>
      </w:r>
      <w:r w:rsidR="00FF41A0">
        <w:rPr>
          <w:color w:val="000000"/>
          <w:sz w:val="20"/>
          <w:szCs w:val="20"/>
          <w:lang w:eastAsia="en-GB" w:bidi="en-GB"/>
        </w:rPr>
        <w:t xml:space="preserve"> </w:t>
      </w:r>
      <w:r w:rsidR="00323457" w:rsidRPr="0059638B">
        <w:rPr>
          <w:color w:val="000000"/>
          <w:sz w:val="20"/>
          <w:szCs w:val="20"/>
          <w:lang w:eastAsia="en-GB" w:bidi="en-GB"/>
        </w:rPr>
        <w:t>Malaysia</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consider</w:t>
      </w:r>
      <w:r w:rsidR="00FF41A0">
        <w:rPr>
          <w:color w:val="000000"/>
          <w:sz w:val="20"/>
          <w:szCs w:val="20"/>
          <w:lang w:eastAsia="en-GB" w:bidi="en-GB"/>
        </w:rPr>
        <w:t xml:space="preserve"> </w:t>
      </w:r>
      <w:r w:rsidR="00323457" w:rsidRPr="0059638B">
        <w:rPr>
          <w:color w:val="000000"/>
          <w:sz w:val="20"/>
          <w:szCs w:val="20"/>
          <w:lang w:eastAsia="en-GB" w:bidi="en-GB"/>
        </w:rPr>
        <w:t>acceding</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International</w:t>
      </w:r>
      <w:r w:rsidR="00FF41A0">
        <w:rPr>
          <w:color w:val="000000"/>
          <w:sz w:val="20"/>
          <w:szCs w:val="20"/>
          <w:lang w:eastAsia="en-GB" w:bidi="en-GB"/>
        </w:rPr>
        <w:t xml:space="preserve"> </w:t>
      </w:r>
      <w:r w:rsidR="00323457" w:rsidRPr="0059638B">
        <w:rPr>
          <w:color w:val="000000"/>
          <w:sz w:val="20"/>
          <w:szCs w:val="20"/>
          <w:lang w:eastAsia="en-GB" w:bidi="en-GB"/>
        </w:rPr>
        <w:t>Convention</w:t>
      </w:r>
      <w:r w:rsidR="00FF41A0">
        <w:rPr>
          <w:color w:val="000000"/>
          <w:sz w:val="20"/>
          <w:szCs w:val="20"/>
          <w:lang w:eastAsia="en-GB" w:bidi="en-GB"/>
        </w:rPr>
        <w:t xml:space="preserve"> </w:t>
      </w:r>
      <w:r w:rsidR="00323457" w:rsidRPr="0059638B">
        <w:rPr>
          <w:color w:val="000000"/>
          <w:sz w:val="20"/>
          <w:szCs w:val="20"/>
          <w:lang w:eastAsia="en-GB" w:bidi="en-GB"/>
        </w:rPr>
        <w:t>on</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Protection</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Rights</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All</w:t>
      </w:r>
      <w:r w:rsidR="00FF41A0">
        <w:rPr>
          <w:color w:val="000000"/>
          <w:sz w:val="20"/>
          <w:szCs w:val="20"/>
          <w:lang w:eastAsia="en-GB" w:bidi="en-GB"/>
        </w:rPr>
        <w:t xml:space="preserve"> </w:t>
      </w:r>
      <w:r w:rsidR="00323457" w:rsidRPr="0059638B">
        <w:rPr>
          <w:color w:val="000000"/>
          <w:sz w:val="20"/>
          <w:szCs w:val="20"/>
          <w:lang w:eastAsia="en-GB" w:bidi="en-GB"/>
        </w:rPr>
        <w:t>Migrant</w:t>
      </w:r>
      <w:r w:rsidR="00FF41A0">
        <w:rPr>
          <w:color w:val="000000"/>
          <w:sz w:val="20"/>
          <w:szCs w:val="20"/>
          <w:lang w:eastAsia="en-GB" w:bidi="en-GB"/>
        </w:rPr>
        <w:t xml:space="preserve"> </w:t>
      </w:r>
      <w:r w:rsidR="00323457" w:rsidRPr="0059638B">
        <w:rPr>
          <w:color w:val="000000"/>
          <w:sz w:val="20"/>
          <w:szCs w:val="20"/>
          <w:lang w:eastAsia="en-GB" w:bidi="en-GB"/>
        </w:rPr>
        <w:t>Workers</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Members</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Their</w:t>
      </w:r>
      <w:r w:rsidR="00FF41A0">
        <w:rPr>
          <w:color w:val="000000"/>
          <w:sz w:val="20"/>
          <w:szCs w:val="20"/>
          <w:lang w:eastAsia="en-GB" w:bidi="en-GB"/>
        </w:rPr>
        <w:t xml:space="preserve"> </w:t>
      </w:r>
      <w:r w:rsidR="00323457" w:rsidRPr="0059638B">
        <w:rPr>
          <w:color w:val="000000"/>
          <w:sz w:val="20"/>
          <w:szCs w:val="20"/>
          <w:lang w:eastAsia="en-GB" w:bidi="en-GB"/>
        </w:rPr>
        <w:t>Families</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Convention</w:t>
      </w:r>
      <w:r w:rsidR="00FF41A0">
        <w:rPr>
          <w:color w:val="000000"/>
          <w:sz w:val="20"/>
          <w:szCs w:val="20"/>
          <w:lang w:eastAsia="en-GB" w:bidi="en-GB"/>
        </w:rPr>
        <w:t xml:space="preserve"> </w:t>
      </w:r>
      <w:r w:rsidR="00323457" w:rsidRPr="0059638B">
        <w:rPr>
          <w:color w:val="000000"/>
          <w:sz w:val="20"/>
          <w:szCs w:val="20"/>
          <w:lang w:eastAsia="en-GB" w:bidi="en-GB"/>
        </w:rPr>
        <w:t>against</w:t>
      </w:r>
      <w:r w:rsidR="00FF41A0">
        <w:rPr>
          <w:color w:val="000000"/>
          <w:sz w:val="20"/>
          <w:szCs w:val="20"/>
          <w:lang w:eastAsia="en-GB" w:bidi="en-GB"/>
        </w:rPr>
        <w:t xml:space="preserve"> </w:t>
      </w:r>
      <w:r w:rsidR="00323457" w:rsidRPr="0059638B">
        <w:rPr>
          <w:color w:val="000000"/>
          <w:sz w:val="20"/>
          <w:szCs w:val="20"/>
          <w:lang w:eastAsia="en-GB" w:bidi="en-GB"/>
        </w:rPr>
        <w:t>Torture</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other</w:t>
      </w:r>
      <w:r w:rsidR="00FF41A0">
        <w:rPr>
          <w:color w:val="000000"/>
          <w:sz w:val="20"/>
          <w:szCs w:val="20"/>
          <w:lang w:eastAsia="en-GB" w:bidi="en-GB"/>
        </w:rPr>
        <w:t xml:space="preserve"> </w:t>
      </w:r>
      <w:r w:rsidR="00323457" w:rsidRPr="0059638B">
        <w:rPr>
          <w:color w:val="000000"/>
          <w:sz w:val="20"/>
          <w:szCs w:val="20"/>
          <w:lang w:eastAsia="en-GB" w:bidi="en-GB"/>
        </w:rPr>
        <w:t>Cruel,</w:t>
      </w:r>
      <w:r w:rsidR="00FF41A0">
        <w:rPr>
          <w:color w:val="000000"/>
          <w:sz w:val="20"/>
          <w:szCs w:val="20"/>
          <w:lang w:eastAsia="en-GB" w:bidi="en-GB"/>
        </w:rPr>
        <w:t xml:space="preserve"> </w:t>
      </w:r>
      <w:r w:rsidR="00323457" w:rsidRPr="0059638B">
        <w:rPr>
          <w:color w:val="000000"/>
          <w:sz w:val="20"/>
          <w:szCs w:val="20"/>
          <w:lang w:eastAsia="en-GB" w:bidi="en-GB"/>
        </w:rPr>
        <w:t>Inhuman,</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Degrading</w:t>
      </w:r>
      <w:r w:rsidR="00FF41A0">
        <w:rPr>
          <w:color w:val="000000"/>
          <w:sz w:val="20"/>
          <w:szCs w:val="20"/>
          <w:lang w:eastAsia="en-GB" w:bidi="en-GB"/>
        </w:rPr>
        <w:t xml:space="preserve"> </w:t>
      </w:r>
      <w:r w:rsidR="00323457" w:rsidRPr="0059638B">
        <w:rPr>
          <w:color w:val="000000"/>
          <w:sz w:val="20"/>
          <w:szCs w:val="20"/>
          <w:lang w:eastAsia="en-GB" w:bidi="en-GB"/>
        </w:rPr>
        <w:t>Treatment</w:t>
      </w:r>
      <w:r w:rsidR="00FF41A0">
        <w:rPr>
          <w:color w:val="000000"/>
          <w:sz w:val="20"/>
          <w:szCs w:val="20"/>
          <w:lang w:eastAsia="en-GB" w:bidi="en-GB"/>
        </w:rPr>
        <w:t xml:space="preserve"> </w:t>
      </w:r>
      <w:r w:rsidR="00323457" w:rsidRPr="0059638B">
        <w:rPr>
          <w:color w:val="000000"/>
          <w:sz w:val="20"/>
          <w:szCs w:val="20"/>
          <w:lang w:eastAsia="en-GB" w:bidi="en-GB"/>
        </w:rPr>
        <w:t>or</w:t>
      </w:r>
      <w:r w:rsidR="00FF41A0">
        <w:rPr>
          <w:color w:val="000000"/>
          <w:sz w:val="20"/>
          <w:szCs w:val="20"/>
          <w:lang w:eastAsia="en-GB" w:bidi="en-GB"/>
        </w:rPr>
        <w:t xml:space="preserve"> </w:t>
      </w:r>
      <w:r w:rsidR="00323457" w:rsidRPr="0059638B">
        <w:rPr>
          <w:color w:val="000000"/>
          <w:sz w:val="20"/>
          <w:szCs w:val="20"/>
          <w:lang w:eastAsia="en-GB" w:bidi="en-GB"/>
        </w:rPr>
        <w:t>Punishment.</w:t>
      </w:r>
      <w:r w:rsidR="00FF41A0">
        <w:rPr>
          <w:color w:val="000000"/>
          <w:sz w:val="20"/>
          <w:szCs w:val="20"/>
          <w:lang w:eastAsia="en-GB" w:bidi="en-GB"/>
        </w:rPr>
        <w:t xml:space="preserve"> </w:t>
      </w:r>
    </w:p>
    <w:p w14:paraId="123320AF" w14:textId="7516EC20" w:rsidR="00323457" w:rsidRPr="0059638B" w:rsidRDefault="00972F1E" w:rsidP="00323457">
      <w:pPr>
        <w:pStyle w:val="SingleTxtG"/>
        <w:rPr>
          <w:color w:val="000000"/>
          <w:sz w:val="20"/>
          <w:szCs w:val="20"/>
          <w:lang w:eastAsia="en-GB" w:bidi="en-GB"/>
        </w:rPr>
      </w:pPr>
      <w:r>
        <w:rPr>
          <w:color w:val="000000"/>
          <w:sz w:val="20"/>
          <w:szCs w:val="20"/>
          <w:lang w:eastAsia="en-GB" w:bidi="en-GB"/>
        </w:rPr>
        <w:t>651</w:t>
      </w:r>
      <w:r w:rsidR="00D7475F">
        <w:rPr>
          <w:color w:val="000000"/>
          <w:sz w:val="20"/>
          <w:szCs w:val="20"/>
          <w:lang w:eastAsia="en-GB" w:bidi="en-GB"/>
        </w:rPr>
        <w:t>.</w:t>
      </w:r>
      <w:r w:rsidR="00D7475F">
        <w:rPr>
          <w:color w:val="000000"/>
          <w:sz w:val="20"/>
          <w:szCs w:val="20"/>
          <w:lang w:eastAsia="en-GB" w:bidi="en-GB"/>
        </w:rPr>
        <w:tab/>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Sudan</w:t>
      </w:r>
      <w:r w:rsidR="00FF41A0">
        <w:rPr>
          <w:color w:val="000000"/>
          <w:sz w:val="20"/>
          <w:szCs w:val="20"/>
          <w:lang w:eastAsia="en-GB" w:bidi="en-GB"/>
        </w:rPr>
        <w:t xml:space="preserve"> </w:t>
      </w:r>
      <w:r w:rsidR="00323457" w:rsidRPr="0059638B">
        <w:rPr>
          <w:color w:val="000000"/>
          <w:sz w:val="20"/>
          <w:szCs w:val="20"/>
          <w:lang w:eastAsia="en-GB" w:bidi="en-GB"/>
        </w:rPr>
        <w:t>commended</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commitments</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positive</w:t>
      </w:r>
      <w:r w:rsidR="00FF41A0">
        <w:rPr>
          <w:color w:val="000000"/>
          <w:sz w:val="20"/>
          <w:szCs w:val="20"/>
          <w:lang w:eastAsia="en-GB" w:bidi="en-GB"/>
        </w:rPr>
        <w:t xml:space="preserve"> </w:t>
      </w:r>
      <w:r w:rsidR="00323457" w:rsidRPr="0059638B">
        <w:rPr>
          <w:color w:val="000000"/>
          <w:sz w:val="20"/>
          <w:szCs w:val="20"/>
          <w:lang w:eastAsia="en-GB" w:bidi="en-GB"/>
        </w:rPr>
        <w:t>engagement</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Malaysia</w:t>
      </w:r>
      <w:r w:rsidR="00FF41A0">
        <w:rPr>
          <w:color w:val="000000"/>
          <w:sz w:val="20"/>
          <w:szCs w:val="20"/>
          <w:lang w:eastAsia="en-GB" w:bidi="en-GB"/>
        </w:rPr>
        <w:t xml:space="preserve"> </w:t>
      </w:r>
      <w:r w:rsidR="00323457" w:rsidRPr="0059638B">
        <w:rPr>
          <w:color w:val="000000"/>
          <w:sz w:val="20"/>
          <w:szCs w:val="20"/>
          <w:lang w:eastAsia="en-GB" w:bidi="en-GB"/>
        </w:rPr>
        <w:t>with</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universal</w:t>
      </w:r>
      <w:r w:rsidR="00FF41A0">
        <w:rPr>
          <w:color w:val="000000"/>
          <w:sz w:val="20"/>
          <w:szCs w:val="20"/>
          <w:lang w:eastAsia="en-GB" w:bidi="en-GB"/>
        </w:rPr>
        <w:t xml:space="preserve"> </w:t>
      </w:r>
      <w:r w:rsidR="00323457" w:rsidRPr="0059638B">
        <w:rPr>
          <w:color w:val="000000"/>
          <w:sz w:val="20"/>
          <w:szCs w:val="20"/>
          <w:lang w:eastAsia="en-GB" w:bidi="en-GB"/>
        </w:rPr>
        <w:t>periodic</w:t>
      </w:r>
      <w:r w:rsidR="00FF41A0">
        <w:rPr>
          <w:color w:val="000000"/>
          <w:sz w:val="20"/>
          <w:szCs w:val="20"/>
          <w:lang w:eastAsia="en-GB" w:bidi="en-GB"/>
        </w:rPr>
        <w:t xml:space="preserve"> </w:t>
      </w:r>
      <w:r w:rsidR="00323457" w:rsidRPr="0059638B">
        <w:rPr>
          <w:color w:val="000000"/>
          <w:sz w:val="20"/>
          <w:szCs w:val="20"/>
          <w:lang w:eastAsia="en-GB" w:bidi="en-GB"/>
        </w:rPr>
        <w:t>review</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appreciated</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acceptance</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Malaysia</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most</w:t>
      </w:r>
      <w:r w:rsidR="00FF41A0">
        <w:rPr>
          <w:color w:val="000000"/>
          <w:sz w:val="20"/>
          <w:szCs w:val="20"/>
          <w:lang w:eastAsia="en-GB" w:bidi="en-GB"/>
        </w:rPr>
        <w:t xml:space="preserve"> </w:t>
      </w:r>
      <w:r w:rsidR="00323457" w:rsidRPr="0059638B">
        <w:rPr>
          <w:color w:val="000000"/>
          <w:sz w:val="20"/>
          <w:szCs w:val="20"/>
          <w:lang w:eastAsia="en-GB" w:bidi="en-GB"/>
        </w:rPr>
        <w:t>recommendations</w:t>
      </w:r>
      <w:r w:rsidR="00FF41A0">
        <w:rPr>
          <w:color w:val="000000"/>
          <w:sz w:val="20"/>
          <w:szCs w:val="20"/>
          <w:lang w:eastAsia="en-GB" w:bidi="en-GB"/>
        </w:rPr>
        <w:t xml:space="preserve"> </w:t>
      </w:r>
      <w:r w:rsidR="00323457" w:rsidRPr="0059638B">
        <w:rPr>
          <w:color w:val="000000"/>
          <w:sz w:val="20"/>
          <w:szCs w:val="20"/>
          <w:lang w:eastAsia="en-GB" w:bidi="en-GB"/>
        </w:rPr>
        <w:t>made,</w:t>
      </w:r>
      <w:r w:rsidR="00FF41A0">
        <w:rPr>
          <w:color w:val="000000"/>
          <w:sz w:val="20"/>
          <w:szCs w:val="20"/>
          <w:lang w:eastAsia="en-GB" w:bidi="en-GB"/>
        </w:rPr>
        <w:t xml:space="preserve"> </w:t>
      </w:r>
      <w:r w:rsidR="00323457" w:rsidRPr="0059638B">
        <w:rPr>
          <w:color w:val="000000"/>
          <w:sz w:val="20"/>
          <w:szCs w:val="20"/>
          <w:lang w:eastAsia="en-GB" w:bidi="en-GB"/>
        </w:rPr>
        <w:t>including</w:t>
      </w:r>
      <w:r w:rsidR="00FF41A0">
        <w:rPr>
          <w:color w:val="000000"/>
          <w:sz w:val="20"/>
          <w:szCs w:val="20"/>
          <w:lang w:eastAsia="en-GB" w:bidi="en-GB"/>
        </w:rPr>
        <w:t xml:space="preserve"> </w:t>
      </w:r>
      <w:r w:rsidR="00323457" w:rsidRPr="0059638B">
        <w:rPr>
          <w:color w:val="000000"/>
          <w:sz w:val="20"/>
          <w:szCs w:val="20"/>
          <w:lang w:eastAsia="en-GB" w:bidi="en-GB"/>
        </w:rPr>
        <w:t>those</w:t>
      </w:r>
      <w:r w:rsidR="00FF41A0">
        <w:rPr>
          <w:color w:val="000000"/>
          <w:sz w:val="20"/>
          <w:szCs w:val="20"/>
          <w:lang w:eastAsia="en-GB" w:bidi="en-GB"/>
        </w:rPr>
        <w:t xml:space="preserve"> </w:t>
      </w:r>
      <w:r w:rsidR="00323457" w:rsidRPr="0059638B">
        <w:rPr>
          <w:color w:val="000000"/>
          <w:sz w:val="20"/>
          <w:szCs w:val="20"/>
          <w:lang w:eastAsia="en-GB" w:bidi="en-GB"/>
        </w:rPr>
        <w:t>made</w:t>
      </w:r>
      <w:r w:rsidR="00FF41A0">
        <w:rPr>
          <w:color w:val="000000"/>
          <w:sz w:val="20"/>
          <w:szCs w:val="20"/>
          <w:lang w:eastAsia="en-GB" w:bidi="en-GB"/>
        </w:rPr>
        <w:t xml:space="preserve"> </w:t>
      </w:r>
      <w:r w:rsidR="00323457" w:rsidRPr="0059638B">
        <w:rPr>
          <w:color w:val="000000"/>
          <w:sz w:val="20"/>
          <w:szCs w:val="20"/>
          <w:lang w:eastAsia="en-GB" w:bidi="en-GB"/>
        </w:rPr>
        <w:t>by</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Sudan.</w:t>
      </w:r>
      <w:r w:rsidR="00FF41A0">
        <w:rPr>
          <w:color w:val="000000"/>
          <w:sz w:val="20"/>
          <w:szCs w:val="20"/>
          <w:lang w:eastAsia="en-GB" w:bidi="en-GB"/>
        </w:rPr>
        <w:t xml:space="preserve"> </w:t>
      </w:r>
    </w:p>
    <w:p w14:paraId="4E798AA7" w14:textId="0CC22774" w:rsidR="00323457" w:rsidRPr="0059638B" w:rsidRDefault="00972F1E" w:rsidP="00323457">
      <w:pPr>
        <w:pStyle w:val="SingleTxtG"/>
        <w:rPr>
          <w:color w:val="000000"/>
          <w:sz w:val="20"/>
          <w:szCs w:val="20"/>
          <w:lang w:eastAsia="en-GB" w:bidi="en-GB"/>
        </w:rPr>
      </w:pPr>
      <w:r>
        <w:rPr>
          <w:color w:val="000000"/>
          <w:sz w:val="20"/>
          <w:szCs w:val="20"/>
          <w:lang w:eastAsia="en-GB" w:bidi="en-GB"/>
        </w:rPr>
        <w:t>652</w:t>
      </w:r>
      <w:r w:rsidR="00D7475F">
        <w:rPr>
          <w:color w:val="000000"/>
          <w:sz w:val="20"/>
          <w:szCs w:val="20"/>
          <w:lang w:eastAsia="en-GB" w:bidi="en-GB"/>
        </w:rPr>
        <w:t>.</w:t>
      </w:r>
      <w:r w:rsidR="00D7475F">
        <w:rPr>
          <w:color w:val="000000"/>
          <w:sz w:val="20"/>
          <w:szCs w:val="20"/>
          <w:lang w:eastAsia="en-GB" w:bidi="en-GB"/>
        </w:rPr>
        <w:tab/>
      </w:r>
      <w:r w:rsidR="00323457" w:rsidRPr="0059638B">
        <w:rPr>
          <w:color w:val="000000"/>
          <w:sz w:val="20"/>
          <w:szCs w:val="20"/>
          <w:lang w:eastAsia="en-GB" w:bidi="en-GB"/>
        </w:rPr>
        <w:t>Thailand</w:t>
      </w:r>
      <w:r w:rsidR="00FF41A0">
        <w:rPr>
          <w:color w:val="000000"/>
          <w:sz w:val="20"/>
          <w:szCs w:val="20"/>
          <w:lang w:eastAsia="en-GB" w:bidi="en-GB"/>
        </w:rPr>
        <w:t xml:space="preserve"> </w:t>
      </w:r>
      <w:r w:rsidR="00323457" w:rsidRPr="0059638B">
        <w:rPr>
          <w:color w:val="000000"/>
          <w:sz w:val="20"/>
          <w:szCs w:val="20"/>
          <w:lang w:eastAsia="en-GB" w:bidi="en-GB"/>
        </w:rPr>
        <w:t>commended</w:t>
      </w:r>
      <w:r w:rsidR="00FF41A0">
        <w:rPr>
          <w:color w:val="000000"/>
          <w:sz w:val="20"/>
          <w:szCs w:val="20"/>
          <w:lang w:eastAsia="en-GB" w:bidi="en-GB"/>
        </w:rPr>
        <w:t xml:space="preserve"> </w:t>
      </w:r>
      <w:r w:rsidR="00323457" w:rsidRPr="0059638B">
        <w:rPr>
          <w:color w:val="000000"/>
          <w:sz w:val="20"/>
          <w:szCs w:val="20"/>
          <w:lang w:eastAsia="en-GB" w:bidi="en-GB"/>
        </w:rPr>
        <w:t>Malaysia</w:t>
      </w:r>
      <w:r w:rsidR="00FF41A0">
        <w:rPr>
          <w:color w:val="000000"/>
          <w:sz w:val="20"/>
          <w:szCs w:val="20"/>
          <w:lang w:eastAsia="en-GB" w:bidi="en-GB"/>
        </w:rPr>
        <w:t xml:space="preserve"> </w:t>
      </w:r>
      <w:r w:rsidR="00323457" w:rsidRPr="0059638B">
        <w:rPr>
          <w:color w:val="000000"/>
          <w:sz w:val="20"/>
          <w:szCs w:val="20"/>
          <w:lang w:eastAsia="en-GB" w:bidi="en-GB"/>
        </w:rPr>
        <w:t>for</w:t>
      </w:r>
      <w:r w:rsidR="00FF41A0">
        <w:rPr>
          <w:color w:val="000000"/>
          <w:sz w:val="20"/>
          <w:szCs w:val="20"/>
          <w:lang w:eastAsia="en-GB" w:bidi="en-GB"/>
        </w:rPr>
        <w:t xml:space="preserve"> </w:t>
      </w:r>
      <w:r w:rsidR="00323457" w:rsidRPr="0059638B">
        <w:rPr>
          <w:color w:val="000000"/>
          <w:sz w:val="20"/>
          <w:szCs w:val="20"/>
          <w:lang w:eastAsia="en-GB" w:bidi="en-GB"/>
        </w:rPr>
        <w:t>accepting</w:t>
      </w:r>
      <w:r w:rsidR="00FF41A0">
        <w:rPr>
          <w:color w:val="000000"/>
          <w:sz w:val="20"/>
          <w:szCs w:val="20"/>
          <w:lang w:eastAsia="en-GB" w:bidi="en-GB"/>
        </w:rPr>
        <w:t xml:space="preserve"> </w:t>
      </w:r>
      <w:r w:rsidR="00323457" w:rsidRPr="0059638B">
        <w:rPr>
          <w:color w:val="000000"/>
          <w:sz w:val="20"/>
          <w:szCs w:val="20"/>
          <w:lang w:eastAsia="en-GB" w:bidi="en-GB"/>
        </w:rPr>
        <w:t>more</w:t>
      </w:r>
      <w:r w:rsidR="00FF41A0">
        <w:rPr>
          <w:color w:val="000000"/>
          <w:sz w:val="20"/>
          <w:szCs w:val="20"/>
          <w:lang w:eastAsia="en-GB" w:bidi="en-GB"/>
        </w:rPr>
        <w:t xml:space="preserve"> </w:t>
      </w:r>
      <w:r w:rsidR="00323457" w:rsidRPr="0059638B">
        <w:rPr>
          <w:color w:val="000000"/>
          <w:sz w:val="20"/>
          <w:szCs w:val="20"/>
          <w:lang w:eastAsia="en-GB" w:bidi="en-GB"/>
        </w:rPr>
        <w:t>than</w:t>
      </w:r>
      <w:r w:rsidR="00FF41A0">
        <w:rPr>
          <w:color w:val="000000"/>
          <w:sz w:val="20"/>
          <w:szCs w:val="20"/>
          <w:lang w:eastAsia="en-GB" w:bidi="en-GB"/>
        </w:rPr>
        <w:t xml:space="preserve"> </w:t>
      </w:r>
      <w:r w:rsidR="00323457" w:rsidRPr="0059638B">
        <w:rPr>
          <w:color w:val="000000"/>
          <w:sz w:val="20"/>
          <w:szCs w:val="20"/>
          <w:lang w:eastAsia="en-GB" w:bidi="en-GB"/>
        </w:rPr>
        <w:t>two-thirds</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all</w:t>
      </w:r>
      <w:r w:rsidR="00FF41A0">
        <w:rPr>
          <w:color w:val="000000"/>
          <w:sz w:val="20"/>
          <w:szCs w:val="20"/>
          <w:lang w:eastAsia="en-GB" w:bidi="en-GB"/>
        </w:rPr>
        <w:t xml:space="preserve"> </w:t>
      </w:r>
      <w:r w:rsidR="00323457" w:rsidRPr="0059638B">
        <w:rPr>
          <w:color w:val="000000"/>
          <w:sz w:val="20"/>
          <w:szCs w:val="20"/>
          <w:lang w:eastAsia="en-GB" w:bidi="en-GB"/>
        </w:rPr>
        <w:t>recommendations,</w:t>
      </w:r>
      <w:r w:rsidR="00FF41A0">
        <w:rPr>
          <w:color w:val="000000"/>
          <w:sz w:val="20"/>
          <w:szCs w:val="20"/>
          <w:lang w:eastAsia="en-GB" w:bidi="en-GB"/>
        </w:rPr>
        <w:t xml:space="preserve"> </w:t>
      </w:r>
      <w:r w:rsidR="00323457" w:rsidRPr="0059638B">
        <w:rPr>
          <w:color w:val="000000"/>
          <w:sz w:val="20"/>
          <w:szCs w:val="20"/>
          <w:lang w:eastAsia="en-GB" w:bidi="en-GB"/>
        </w:rPr>
        <w:t>including</w:t>
      </w:r>
      <w:r w:rsidR="00FF41A0">
        <w:rPr>
          <w:color w:val="000000"/>
          <w:sz w:val="20"/>
          <w:szCs w:val="20"/>
          <w:lang w:eastAsia="en-GB" w:bidi="en-GB"/>
        </w:rPr>
        <w:t xml:space="preserve"> </w:t>
      </w:r>
      <w:r w:rsidR="00323457" w:rsidRPr="0059638B">
        <w:rPr>
          <w:color w:val="000000"/>
          <w:sz w:val="20"/>
          <w:szCs w:val="20"/>
          <w:lang w:eastAsia="en-GB" w:bidi="en-GB"/>
        </w:rPr>
        <w:t>those</w:t>
      </w:r>
      <w:r w:rsidR="00FF41A0">
        <w:rPr>
          <w:color w:val="000000"/>
          <w:sz w:val="20"/>
          <w:szCs w:val="20"/>
          <w:lang w:eastAsia="en-GB" w:bidi="en-GB"/>
        </w:rPr>
        <w:t xml:space="preserve"> </w:t>
      </w:r>
      <w:r w:rsidR="00323457" w:rsidRPr="0059638B">
        <w:rPr>
          <w:color w:val="000000"/>
          <w:sz w:val="20"/>
          <w:szCs w:val="20"/>
          <w:lang w:eastAsia="en-GB" w:bidi="en-GB"/>
        </w:rPr>
        <w:t>made</w:t>
      </w:r>
      <w:r w:rsidR="00FF41A0">
        <w:rPr>
          <w:color w:val="000000"/>
          <w:sz w:val="20"/>
          <w:szCs w:val="20"/>
          <w:lang w:eastAsia="en-GB" w:bidi="en-GB"/>
        </w:rPr>
        <w:t xml:space="preserve"> </w:t>
      </w:r>
      <w:r w:rsidR="00323457" w:rsidRPr="0059638B">
        <w:rPr>
          <w:color w:val="000000"/>
          <w:sz w:val="20"/>
          <w:szCs w:val="20"/>
          <w:lang w:eastAsia="en-GB" w:bidi="en-GB"/>
        </w:rPr>
        <w:t>by</w:t>
      </w:r>
      <w:r w:rsidR="00FF41A0">
        <w:rPr>
          <w:color w:val="000000"/>
          <w:sz w:val="20"/>
          <w:szCs w:val="20"/>
          <w:lang w:eastAsia="en-GB" w:bidi="en-GB"/>
        </w:rPr>
        <w:t xml:space="preserve"> </w:t>
      </w:r>
      <w:r w:rsidR="00323457" w:rsidRPr="0059638B">
        <w:rPr>
          <w:color w:val="000000"/>
          <w:sz w:val="20"/>
          <w:szCs w:val="20"/>
          <w:lang w:eastAsia="en-GB" w:bidi="en-GB"/>
        </w:rPr>
        <w:t>Thailand</w:t>
      </w:r>
      <w:r w:rsidR="00FF41A0">
        <w:rPr>
          <w:color w:val="000000"/>
          <w:sz w:val="20"/>
          <w:szCs w:val="20"/>
          <w:lang w:eastAsia="en-GB" w:bidi="en-GB"/>
        </w:rPr>
        <w:t xml:space="preserve"> </w:t>
      </w:r>
      <w:r w:rsidR="00323457" w:rsidRPr="0059638B">
        <w:rPr>
          <w:color w:val="000000"/>
          <w:sz w:val="20"/>
          <w:szCs w:val="20"/>
          <w:lang w:eastAsia="en-GB" w:bidi="en-GB"/>
        </w:rPr>
        <w:t>on</w:t>
      </w:r>
      <w:r w:rsidR="00FF41A0">
        <w:rPr>
          <w:color w:val="000000"/>
          <w:sz w:val="20"/>
          <w:szCs w:val="20"/>
          <w:lang w:eastAsia="en-GB" w:bidi="en-GB"/>
        </w:rPr>
        <w:t xml:space="preserve"> </w:t>
      </w:r>
      <w:r w:rsidR="00323457" w:rsidRPr="0059638B">
        <w:rPr>
          <w:color w:val="000000"/>
          <w:sz w:val="20"/>
          <w:szCs w:val="20"/>
          <w:lang w:eastAsia="en-GB" w:bidi="en-GB"/>
        </w:rPr>
        <w:t>combatting</w:t>
      </w:r>
      <w:r w:rsidR="00FF41A0">
        <w:rPr>
          <w:color w:val="000000"/>
          <w:sz w:val="20"/>
          <w:szCs w:val="20"/>
          <w:lang w:eastAsia="en-GB" w:bidi="en-GB"/>
        </w:rPr>
        <w:t xml:space="preserve"> </w:t>
      </w:r>
      <w:r w:rsidR="00323457" w:rsidRPr="0059638B">
        <w:rPr>
          <w:color w:val="000000"/>
          <w:sz w:val="20"/>
          <w:szCs w:val="20"/>
          <w:lang w:eastAsia="en-GB" w:bidi="en-GB"/>
        </w:rPr>
        <w:t>child</w:t>
      </w:r>
      <w:r w:rsidR="00FF41A0">
        <w:rPr>
          <w:color w:val="000000"/>
          <w:sz w:val="20"/>
          <w:szCs w:val="20"/>
          <w:lang w:eastAsia="en-GB" w:bidi="en-GB"/>
        </w:rPr>
        <w:t xml:space="preserve"> </w:t>
      </w:r>
      <w:r w:rsidR="00323457" w:rsidRPr="0059638B">
        <w:rPr>
          <w:color w:val="000000"/>
          <w:sz w:val="20"/>
          <w:szCs w:val="20"/>
          <w:lang w:eastAsia="en-GB" w:bidi="en-GB"/>
        </w:rPr>
        <w:t>labour</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lastRenderedPageBreak/>
        <w:t>trafficking</w:t>
      </w:r>
      <w:r w:rsidR="00FF41A0">
        <w:rPr>
          <w:color w:val="000000"/>
          <w:sz w:val="20"/>
          <w:szCs w:val="20"/>
          <w:lang w:eastAsia="en-GB" w:bidi="en-GB"/>
        </w:rPr>
        <w:t xml:space="preserve"> </w:t>
      </w:r>
      <w:r w:rsidR="00323457" w:rsidRPr="0059638B">
        <w:rPr>
          <w:color w:val="000000"/>
          <w:sz w:val="20"/>
          <w:szCs w:val="20"/>
          <w:lang w:eastAsia="en-GB" w:bidi="en-GB"/>
        </w:rPr>
        <w:t>in</w:t>
      </w:r>
      <w:r w:rsidR="00FF41A0">
        <w:rPr>
          <w:color w:val="000000"/>
          <w:sz w:val="20"/>
          <w:szCs w:val="20"/>
          <w:lang w:eastAsia="en-GB" w:bidi="en-GB"/>
        </w:rPr>
        <w:t xml:space="preserve"> </w:t>
      </w:r>
      <w:r w:rsidR="00323457" w:rsidRPr="0059638B">
        <w:rPr>
          <w:color w:val="000000"/>
          <w:sz w:val="20"/>
          <w:szCs w:val="20"/>
          <w:lang w:eastAsia="en-GB" w:bidi="en-GB"/>
        </w:rPr>
        <w:t>persons</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taking</w:t>
      </w:r>
      <w:r w:rsidR="00FF41A0">
        <w:rPr>
          <w:color w:val="000000"/>
          <w:sz w:val="20"/>
          <w:szCs w:val="20"/>
          <w:lang w:eastAsia="en-GB" w:bidi="en-GB"/>
        </w:rPr>
        <w:t xml:space="preserve"> </w:t>
      </w:r>
      <w:r w:rsidR="00323457" w:rsidRPr="0059638B">
        <w:rPr>
          <w:color w:val="000000"/>
          <w:sz w:val="20"/>
          <w:szCs w:val="20"/>
          <w:lang w:eastAsia="en-GB" w:bidi="en-GB"/>
        </w:rPr>
        <w:t>measures</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realize</w:t>
      </w:r>
      <w:r w:rsidR="00FF41A0">
        <w:rPr>
          <w:color w:val="000000"/>
          <w:sz w:val="20"/>
          <w:szCs w:val="20"/>
          <w:lang w:eastAsia="en-GB" w:bidi="en-GB"/>
        </w:rPr>
        <w:t xml:space="preserve"> </w:t>
      </w:r>
      <w:r w:rsidR="00323457" w:rsidRPr="0059638B">
        <w:rPr>
          <w:color w:val="000000"/>
          <w:sz w:val="20"/>
          <w:szCs w:val="20"/>
          <w:lang w:eastAsia="en-GB" w:bidi="en-GB"/>
        </w:rPr>
        <w:t>universal</w:t>
      </w:r>
      <w:r w:rsidR="00FF41A0">
        <w:rPr>
          <w:color w:val="000000"/>
          <w:sz w:val="20"/>
          <w:szCs w:val="20"/>
          <w:lang w:eastAsia="en-GB" w:bidi="en-GB"/>
        </w:rPr>
        <w:t xml:space="preserve"> </w:t>
      </w:r>
      <w:r w:rsidR="00323457" w:rsidRPr="0059638B">
        <w:rPr>
          <w:color w:val="000000"/>
          <w:sz w:val="20"/>
          <w:szCs w:val="20"/>
          <w:lang w:eastAsia="en-GB" w:bidi="en-GB"/>
        </w:rPr>
        <w:t>health</w:t>
      </w:r>
      <w:r w:rsidR="00FF41A0">
        <w:rPr>
          <w:color w:val="000000"/>
          <w:sz w:val="20"/>
          <w:szCs w:val="20"/>
          <w:lang w:eastAsia="en-GB" w:bidi="en-GB"/>
        </w:rPr>
        <w:t xml:space="preserve"> </w:t>
      </w:r>
      <w:r w:rsidR="00323457" w:rsidRPr="0059638B">
        <w:rPr>
          <w:color w:val="000000"/>
          <w:sz w:val="20"/>
          <w:szCs w:val="20"/>
          <w:lang w:eastAsia="en-GB" w:bidi="en-GB"/>
        </w:rPr>
        <w:t>coverage.</w:t>
      </w:r>
      <w:r w:rsidR="00FF41A0">
        <w:rPr>
          <w:color w:val="000000"/>
          <w:sz w:val="20"/>
          <w:szCs w:val="20"/>
          <w:lang w:eastAsia="en-GB" w:bidi="en-GB"/>
        </w:rPr>
        <w:t xml:space="preserve"> </w:t>
      </w:r>
      <w:r w:rsidR="00323457" w:rsidRPr="0059638B">
        <w:rPr>
          <w:color w:val="000000"/>
          <w:sz w:val="20"/>
          <w:szCs w:val="20"/>
          <w:lang w:eastAsia="en-GB" w:bidi="en-GB"/>
        </w:rPr>
        <w:t>It</w:t>
      </w:r>
      <w:r w:rsidR="00FF41A0">
        <w:rPr>
          <w:color w:val="000000"/>
          <w:sz w:val="20"/>
          <w:szCs w:val="20"/>
          <w:lang w:eastAsia="en-GB" w:bidi="en-GB"/>
        </w:rPr>
        <w:t xml:space="preserve"> </w:t>
      </w:r>
      <w:r w:rsidR="00323457" w:rsidRPr="0059638B">
        <w:rPr>
          <w:color w:val="000000"/>
          <w:sz w:val="20"/>
          <w:szCs w:val="20"/>
          <w:lang w:eastAsia="en-GB" w:bidi="en-GB"/>
        </w:rPr>
        <w:t>encouraged</w:t>
      </w:r>
      <w:r w:rsidR="00FF41A0">
        <w:rPr>
          <w:color w:val="000000"/>
          <w:sz w:val="20"/>
          <w:szCs w:val="20"/>
          <w:lang w:eastAsia="en-GB" w:bidi="en-GB"/>
        </w:rPr>
        <w:t xml:space="preserve"> </w:t>
      </w:r>
      <w:r w:rsidR="00323457" w:rsidRPr="0059638B">
        <w:rPr>
          <w:color w:val="000000"/>
          <w:sz w:val="20"/>
          <w:szCs w:val="20"/>
          <w:lang w:eastAsia="en-GB" w:bidi="en-GB"/>
        </w:rPr>
        <w:t>Malaysia</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consider</w:t>
      </w:r>
      <w:r w:rsidR="00FF41A0">
        <w:rPr>
          <w:color w:val="000000"/>
          <w:sz w:val="20"/>
          <w:szCs w:val="20"/>
          <w:lang w:eastAsia="en-GB" w:bidi="en-GB"/>
        </w:rPr>
        <w:t xml:space="preserve"> </w:t>
      </w:r>
      <w:r w:rsidR="00323457" w:rsidRPr="0059638B">
        <w:rPr>
          <w:color w:val="000000"/>
          <w:sz w:val="20"/>
          <w:szCs w:val="20"/>
          <w:lang w:eastAsia="en-GB" w:bidi="en-GB"/>
        </w:rPr>
        <w:t>submitting</w:t>
      </w:r>
      <w:r w:rsidR="00FF41A0">
        <w:rPr>
          <w:color w:val="000000"/>
          <w:sz w:val="20"/>
          <w:szCs w:val="20"/>
          <w:lang w:eastAsia="en-GB" w:bidi="en-GB"/>
        </w:rPr>
        <w:t xml:space="preserve"> </w:t>
      </w:r>
      <w:r w:rsidR="00323457" w:rsidRPr="0059638B">
        <w:rPr>
          <w:color w:val="000000"/>
          <w:sz w:val="20"/>
          <w:szCs w:val="20"/>
          <w:lang w:eastAsia="en-GB" w:bidi="en-GB"/>
        </w:rPr>
        <w:t>a</w:t>
      </w:r>
      <w:r w:rsidR="00FF41A0">
        <w:rPr>
          <w:color w:val="000000"/>
          <w:sz w:val="20"/>
          <w:szCs w:val="20"/>
          <w:lang w:eastAsia="en-GB" w:bidi="en-GB"/>
        </w:rPr>
        <w:t xml:space="preserve"> </w:t>
      </w:r>
      <w:r w:rsidR="00323457" w:rsidRPr="0059638B">
        <w:rPr>
          <w:color w:val="000000"/>
          <w:sz w:val="20"/>
          <w:szCs w:val="20"/>
          <w:lang w:eastAsia="en-GB" w:bidi="en-GB"/>
        </w:rPr>
        <w:t>voluntary</w:t>
      </w:r>
      <w:r w:rsidR="00FF41A0">
        <w:rPr>
          <w:color w:val="000000"/>
          <w:sz w:val="20"/>
          <w:szCs w:val="20"/>
          <w:lang w:eastAsia="en-GB" w:bidi="en-GB"/>
        </w:rPr>
        <w:t xml:space="preserve"> </w:t>
      </w:r>
      <w:r w:rsidR="00323457" w:rsidRPr="0059638B">
        <w:rPr>
          <w:color w:val="000000"/>
          <w:sz w:val="20"/>
          <w:szCs w:val="20"/>
          <w:lang w:eastAsia="en-GB" w:bidi="en-GB"/>
        </w:rPr>
        <w:t>mid-term</w:t>
      </w:r>
      <w:r w:rsidR="00FF41A0">
        <w:rPr>
          <w:color w:val="000000"/>
          <w:sz w:val="20"/>
          <w:szCs w:val="20"/>
          <w:lang w:eastAsia="en-GB" w:bidi="en-GB"/>
        </w:rPr>
        <w:t xml:space="preserve"> </w:t>
      </w:r>
      <w:r w:rsidR="00323457" w:rsidRPr="0059638B">
        <w:rPr>
          <w:color w:val="000000"/>
          <w:sz w:val="20"/>
          <w:szCs w:val="20"/>
          <w:lang w:eastAsia="en-GB" w:bidi="en-GB"/>
        </w:rPr>
        <w:t>report.</w:t>
      </w:r>
      <w:r w:rsidR="00FF41A0">
        <w:rPr>
          <w:color w:val="000000"/>
          <w:sz w:val="20"/>
          <w:szCs w:val="20"/>
          <w:lang w:eastAsia="en-GB" w:bidi="en-GB"/>
        </w:rPr>
        <w:t xml:space="preserve"> </w:t>
      </w:r>
    </w:p>
    <w:p w14:paraId="27C90189" w14:textId="1B5E2169" w:rsidR="00323457" w:rsidRPr="0059638B" w:rsidRDefault="00972F1E" w:rsidP="00323457">
      <w:pPr>
        <w:pStyle w:val="SingleTxtG"/>
        <w:rPr>
          <w:color w:val="000000"/>
          <w:sz w:val="20"/>
          <w:szCs w:val="20"/>
          <w:lang w:eastAsia="en-GB" w:bidi="en-GB"/>
        </w:rPr>
      </w:pPr>
      <w:r>
        <w:rPr>
          <w:color w:val="000000"/>
          <w:sz w:val="20"/>
          <w:szCs w:val="20"/>
          <w:lang w:eastAsia="en-GB" w:bidi="en-GB"/>
        </w:rPr>
        <w:t>653</w:t>
      </w:r>
      <w:r w:rsidR="00D7475F">
        <w:rPr>
          <w:color w:val="000000"/>
          <w:sz w:val="20"/>
          <w:szCs w:val="20"/>
          <w:lang w:eastAsia="en-GB" w:bidi="en-GB"/>
        </w:rPr>
        <w:t>.</w:t>
      </w:r>
      <w:r w:rsidR="00D7475F">
        <w:rPr>
          <w:color w:val="000000"/>
          <w:sz w:val="20"/>
          <w:szCs w:val="20"/>
          <w:lang w:eastAsia="en-GB" w:bidi="en-GB"/>
        </w:rPr>
        <w:tab/>
      </w:r>
      <w:r w:rsidR="00323457" w:rsidRPr="0059638B">
        <w:rPr>
          <w:color w:val="000000"/>
          <w:sz w:val="20"/>
          <w:szCs w:val="20"/>
          <w:lang w:eastAsia="en-GB" w:bidi="en-GB"/>
        </w:rPr>
        <w:t>Tunisia</w:t>
      </w:r>
      <w:r w:rsidR="00FF41A0">
        <w:rPr>
          <w:color w:val="000000"/>
          <w:sz w:val="20"/>
          <w:szCs w:val="20"/>
          <w:lang w:eastAsia="en-GB" w:bidi="en-GB"/>
        </w:rPr>
        <w:t xml:space="preserve"> </w:t>
      </w:r>
      <w:r w:rsidR="00323457" w:rsidRPr="0059638B">
        <w:rPr>
          <w:color w:val="000000"/>
          <w:sz w:val="20"/>
          <w:szCs w:val="20"/>
          <w:lang w:eastAsia="en-GB" w:bidi="en-GB"/>
        </w:rPr>
        <w:t>welcomed</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adoption</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new</w:t>
      </w:r>
      <w:r w:rsidR="00FF41A0">
        <w:rPr>
          <w:color w:val="000000"/>
          <w:sz w:val="20"/>
          <w:szCs w:val="20"/>
          <w:lang w:eastAsia="en-GB" w:bidi="en-GB"/>
        </w:rPr>
        <w:t xml:space="preserve"> </w:t>
      </w:r>
      <w:r w:rsidR="00323457" w:rsidRPr="0059638B">
        <w:rPr>
          <w:color w:val="000000"/>
          <w:sz w:val="20"/>
          <w:szCs w:val="20"/>
          <w:lang w:eastAsia="en-GB" w:bidi="en-GB"/>
        </w:rPr>
        <w:t>law</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improve</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human</w:t>
      </w:r>
      <w:r w:rsidR="00FF41A0">
        <w:rPr>
          <w:color w:val="000000"/>
          <w:sz w:val="20"/>
          <w:szCs w:val="20"/>
          <w:lang w:eastAsia="en-GB" w:bidi="en-GB"/>
        </w:rPr>
        <w:t xml:space="preserve"> </w:t>
      </w:r>
      <w:r w:rsidR="00323457" w:rsidRPr="0059638B">
        <w:rPr>
          <w:color w:val="000000"/>
          <w:sz w:val="20"/>
          <w:szCs w:val="20"/>
          <w:lang w:eastAsia="en-GB" w:bidi="en-GB"/>
        </w:rPr>
        <w:t>rights</w:t>
      </w:r>
      <w:r w:rsidR="00FF41A0">
        <w:rPr>
          <w:color w:val="000000"/>
          <w:sz w:val="20"/>
          <w:szCs w:val="20"/>
          <w:lang w:eastAsia="en-GB" w:bidi="en-GB"/>
        </w:rPr>
        <w:t xml:space="preserve"> </w:t>
      </w:r>
      <w:r w:rsidR="00323457" w:rsidRPr="0059638B">
        <w:rPr>
          <w:color w:val="000000"/>
          <w:sz w:val="20"/>
          <w:szCs w:val="20"/>
          <w:lang w:eastAsia="en-GB" w:bidi="en-GB"/>
        </w:rPr>
        <w:t>situation</w:t>
      </w:r>
      <w:r w:rsidR="00FF41A0">
        <w:rPr>
          <w:color w:val="000000"/>
          <w:sz w:val="20"/>
          <w:szCs w:val="20"/>
          <w:lang w:eastAsia="en-GB" w:bidi="en-GB"/>
        </w:rPr>
        <w:t xml:space="preserve"> </w:t>
      </w:r>
      <w:r w:rsidR="00323457" w:rsidRPr="0059638B">
        <w:rPr>
          <w:color w:val="000000"/>
          <w:sz w:val="20"/>
          <w:szCs w:val="20"/>
          <w:lang w:eastAsia="en-GB" w:bidi="en-GB"/>
        </w:rPr>
        <w:t>in</w:t>
      </w:r>
      <w:r w:rsidR="00FF41A0">
        <w:rPr>
          <w:color w:val="000000"/>
          <w:sz w:val="20"/>
          <w:szCs w:val="20"/>
          <w:lang w:eastAsia="en-GB" w:bidi="en-GB"/>
        </w:rPr>
        <w:t xml:space="preserve"> </w:t>
      </w:r>
      <w:r w:rsidR="00323457" w:rsidRPr="0059638B">
        <w:rPr>
          <w:color w:val="000000"/>
          <w:sz w:val="20"/>
          <w:szCs w:val="20"/>
          <w:lang w:eastAsia="en-GB" w:bidi="en-GB"/>
        </w:rPr>
        <w:t>Malaysia,</w:t>
      </w:r>
      <w:r w:rsidR="00FF41A0">
        <w:rPr>
          <w:color w:val="000000"/>
          <w:sz w:val="20"/>
          <w:szCs w:val="20"/>
          <w:lang w:eastAsia="en-GB" w:bidi="en-GB"/>
        </w:rPr>
        <w:t xml:space="preserve"> </w:t>
      </w:r>
      <w:r w:rsidR="00323457" w:rsidRPr="0059638B">
        <w:rPr>
          <w:color w:val="000000"/>
          <w:sz w:val="20"/>
          <w:szCs w:val="20"/>
          <w:lang w:eastAsia="en-GB" w:bidi="en-GB"/>
        </w:rPr>
        <w:t>particularly</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strengthen</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quality</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teaching</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improve</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quality</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life</w:t>
      </w:r>
      <w:r w:rsidR="00FF41A0">
        <w:rPr>
          <w:color w:val="000000"/>
          <w:sz w:val="20"/>
          <w:szCs w:val="20"/>
          <w:lang w:eastAsia="en-GB" w:bidi="en-GB"/>
        </w:rPr>
        <w:t xml:space="preserve"> </w:t>
      </w:r>
      <w:r w:rsidR="00323457" w:rsidRPr="0059638B">
        <w:rPr>
          <w:color w:val="000000"/>
          <w:sz w:val="20"/>
          <w:szCs w:val="20"/>
          <w:lang w:eastAsia="en-GB" w:bidi="en-GB"/>
        </w:rPr>
        <w:t>for</w:t>
      </w:r>
      <w:r w:rsidR="00FF41A0">
        <w:rPr>
          <w:color w:val="000000"/>
          <w:sz w:val="20"/>
          <w:szCs w:val="20"/>
          <w:lang w:eastAsia="en-GB" w:bidi="en-GB"/>
        </w:rPr>
        <w:t xml:space="preserve"> </w:t>
      </w:r>
      <w:r w:rsidR="00323457" w:rsidRPr="0059638B">
        <w:rPr>
          <w:color w:val="000000"/>
          <w:sz w:val="20"/>
          <w:szCs w:val="20"/>
          <w:lang w:eastAsia="en-GB" w:bidi="en-GB"/>
        </w:rPr>
        <w:t>Malaysians,</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a</w:t>
      </w:r>
      <w:r w:rsidR="00FF41A0">
        <w:rPr>
          <w:color w:val="000000"/>
          <w:sz w:val="20"/>
          <w:szCs w:val="20"/>
          <w:lang w:eastAsia="en-GB" w:bidi="en-GB"/>
        </w:rPr>
        <w:t xml:space="preserve"> </w:t>
      </w:r>
      <w:r w:rsidR="00323457" w:rsidRPr="0059638B">
        <w:rPr>
          <w:color w:val="000000"/>
          <w:sz w:val="20"/>
          <w:szCs w:val="20"/>
          <w:lang w:eastAsia="en-GB" w:bidi="en-GB"/>
        </w:rPr>
        <w:t>number</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programmes</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reduce</w:t>
      </w:r>
      <w:r w:rsidR="00FF41A0">
        <w:rPr>
          <w:color w:val="000000"/>
          <w:sz w:val="20"/>
          <w:szCs w:val="20"/>
          <w:lang w:eastAsia="en-GB" w:bidi="en-GB"/>
        </w:rPr>
        <w:t xml:space="preserve"> </w:t>
      </w:r>
      <w:r w:rsidR="00323457" w:rsidRPr="0059638B">
        <w:rPr>
          <w:color w:val="000000"/>
          <w:sz w:val="20"/>
          <w:szCs w:val="20"/>
          <w:lang w:eastAsia="en-GB" w:bidi="en-GB"/>
        </w:rPr>
        <w:t>poverty.</w:t>
      </w:r>
      <w:r w:rsidR="00FF41A0">
        <w:rPr>
          <w:color w:val="000000"/>
          <w:sz w:val="20"/>
          <w:szCs w:val="20"/>
          <w:lang w:eastAsia="en-GB" w:bidi="en-GB"/>
        </w:rPr>
        <w:t xml:space="preserve"> </w:t>
      </w:r>
      <w:r w:rsidR="00323457" w:rsidRPr="0059638B">
        <w:rPr>
          <w:color w:val="000000"/>
          <w:sz w:val="20"/>
          <w:szCs w:val="20"/>
          <w:lang w:eastAsia="en-GB" w:bidi="en-GB"/>
        </w:rPr>
        <w:t>It</w:t>
      </w:r>
      <w:r w:rsidR="00FF41A0">
        <w:rPr>
          <w:color w:val="000000"/>
          <w:sz w:val="20"/>
          <w:szCs w:val="20"/>
          <w:lang w:eastAsia="en-GB" w:bidi="en-GB"/>
        </w:rPr>
        <w:t xml:space="preserve"> </w:t>
      </w:r>
      <w:r w:rsidR="00323457" w:rsidRPr="0059638B">
        <w:rPr>
          <w:color w:val="000000"/>
          <w:sz w:val="20"/>
          <w:szCs w:val="20"/>
          <w:lang w:eastAsia="en-GB" w:bidi="en-GB"/>
        </w:rPr>
        <w:t>commended</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acceptance</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recommendations,</w:t>
      </w:r>
      <w:r w:rsidR="00FF41A0">
        <w:rPr>
          <w:color w:val="000000"/>
          <w:sz w:val="20"/>
          <w:szCs w:val="20"/>
          <w:lang w:eastAsia="en-GB" w:bidi="en-GB"/>
        </w:rPr>
        <w:t xml:space="preserve"> </w:t>
      </w:r>
      <w:r w:rsidR="00323457" w:rsidRPr="0059638B">
        <w:rPr>
          <w:color w:val="000000"/>
          <w:sz w:val="20"/>
          <w:szCs w:val="20"/>
          <w:lang w:eastAsia="en-GB" w:bidi="en-GB"/>
        </w:rPr>
        <w:t>especially</w:t>
      </w:r>
      <w:r w:rsidR="00FF41A0">
        <w:rPr>
          <w:color w:val="000000"/>
          <w:sz w:val="20"/>
          <w:szCs w:val="20"/>
          <w:lang w:eastAsia="en-GB" w:bidi="en-GB"/>
        </w:rPr>
        <w:t xml:space="preserve"> </w:t>
      </w:r>
      <w:r w:rsidR="00323457" w:rsidRPr="0059638B">
        <w:rPr>
          <w:color w:val="000000"/>
          <w:sz w:val="20"/>
          <w:szCs w:val="20"/>
          <w:lang w:eastAsia="en-GB" w:bidi="en-GB"/>
        </w:rPr>
        <w:t>those</w:t>
      </w:r>
      <w:r w:rsidR="00FF41A0">
        <w:rPr>
          <w:color w:val="000000"/>
          <w:sz w:val="20"/>
          <w:szCs w:val="20"/>
          <w:lang w:eastAsia="en-GB" w:bidi="en-GB"/>
        </w:rPr>
        <w:t xml:space="preserve"> </w:t>
      </w:r>
      <w:r w:rsidR="00323457" w:rsidRPr="0059638B">
        <w:rPr>
          <w:color w:val="000000"/>
          <w:sz w:val="20"/>
          <w:szCs w:val="20"/>
          <w:lang w:eastAsia="en-GB" w:bidi="en-GB"/>
        </w:rPr>
        <w:t>made</w:t>
      </w:r>
      <w:r w:rsidR="00FF41A0">
        <w:rPr>
          <w:color w:val="000000"/>
          <w:sz w:val="20"/>
          <w:szCs w:val="20"/>
          <w:lang w:eastAsia="en-GB" w:bidi="en-GB"/>
        </w:rPr>
        <w:t xml:space="preserve"> </w:t>
      </w:r>
      <w:r w:rsidR="00323457" w:rsidRPr="0059638B">
        <w:rPr>
          <w:color w:val="000000"/>
          <w:sz w:val="20"/>
          <w:szCs w:val="20"/>
          <w:lang w:eastAsia="en-GB" w:bidi="en-GB"/>
        </w:rPr>
        <w:t>by</w:t>
      </w:r>
      <w:r w:rsidR="00FF41A0">
        <w:rPr>
          <w:color w:val="000000"/>
          <w:sz w:val="20"/>
          <w:szCs w:val="20"/>
          <w:lang w:eastAsia="en-GB" w:bidi="en-GB"/>
        </w:rPr>
        <w:t xml:space="preserve"> </w:t>
      </w:r>
      <w:r w:rsidR="00323457" w:rsidRPr="0059638B">
        <w:rPr>
          <w:color w:val="000000"/>
          <w:sz w:val="20"/>
          <w:szCs w:val="20"/>
          <w:lang w:eastAsia="en-GB" w:bidi="en-GB"/>
        </w:rPr>
        <w:t>Tunisia.</w:t>
      </w:r>
      <w:r w:rsidR="00FF41A0">
        <w:rPr>
          <w:color w:val="000000"/>
          <w:sz w:val="20"/>
          <w:szCs w:val="20"/>
          <w:lang w:eastAsia="en-GB" w:bidi="en-GB"/>
        </w:rPr>
        <w:t xml:space="preserve"> </w:t>
      </w:r>
    </w:p>
    <w:p w14:paraId="654CA894" w14:textId="08282238" w:rsidR="00323457" w:rsidRPr="0059638B" w:rsidRDefault="00972F1E" w:rsidP="00323457">
      <w:pPr>
        <w:pStyle w:val="SingleTxtG"/>
        <w:rPr>
          <w:color w:val="000000"/>
          <w:sz w:val="20"/>
          <w:szCs w:val="20"/>
          <w:lang w:eastAsia="en-GB" w:bidi="en-GB"/>
        </w:rPr>
      </w:pPr>
      <w:r>
        <w:rPr>
          <w:color w:val="000000"/>
          <w:sz w:val="20"/>
          <w:szCs w:val="20"/>
          <w:lang w:eastAsia="en-GB" w:bidi="en-GB"/>
        </w:rPr>
        <w:t>654</w:t>
      </w:r>
      <w:r w:rsidR="00D7475F">
        <w:rPr>
          <w:color w:val="000000"/>
          <w:sz w:val="20"/>
          <w:szCs w:val="20"/>
          <w:lang w:eastAsia="en-GB" w:bidi="en-GB"/>
        </w:rPr>
        <w:t>.</w:t>
      </w:r>
      <w:r w:rsidR="00D7475F">
        <w:rPr>
          <w:color w:val="000000"/>
          <w:sz w:val="20"/>
          <w:szCs w:val="20"/>
          <w:lang w:eastAsia="en-GB" w:bidi="en-GB"/>
        </w:rPr>
        <w:tab/>
      </w:r>
      <w:r w:rsidR="00323457" w:rsidRPr="0059638B">
        <w:rPr>
          <w:color w:val="000000"/>
          <w:sz w:val="20"/>
          <w:szCs w:val="20"/>
          <w:lang w:eastAsia="en-GB" w:bidi="en-GB"/>
        </w:rPr>
        <w:t>Turkmenistan</w:t>
      </w:r>
      <w:r w:rsidR="00FF41A0">
        <w:rPr>
          <w:color w:val="000000"/>
          <w:sz w:val="20"/>
          <w:szCs w:val="20"/>
          <w:lang w:eastAsia="en-GB" w:bidi="en-GB"/>
        </w:rPr>
        <w:t xml:space="preserve"> </w:t>
      </w:r>
      <w:r w:rsidR="00323457" w:rsidRPr="0059638B">
        <w:rPr>
          <w:color w:val="000000"/>
          <w:sz w:val="20"/>
          <w:szCs w:val="20"/>
          <w:lang w:eastAsia="en-GB" w:bidi="en-GB"/>
        </w:rPr>
        <w:t>commended</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acceptance</w:t>
      </w:r>
      <w:r w:rsidR="00FF41A0">
        <w:rPr>
          <w:color w:val="000000"/>
          <w:sz w:val="20"/>
          <w:szCs w:val="20"/>
          <w:lang w:eastAsia="en-GB" w:bidi="en-GB"/>
        </w:rPr>
        <w:t xml:space="preserve"> </w:t>
      </w:r>
      <w:r w:rsidR="00323457" w:rsidRPr="0059638B">
        <w:rPr>
          <w:color w:val="000000"/>
          <w:sz w:val="20"/>
          <w:szCs w:val="20"/>
          <w:lang w:eastAsia="en-GB" w:bidi="en-GB"/>
        </w:rPr>
        <w:t>by</w:t>
      </w:r>
      <w:r w:rsidR="00FF41A0">
        <w:rPr>
          <w:color w:val="000000"/>
          <w:sz w:val="20"/>
          <w:szCs w:val="20"/>
          <w:lang w:eastAsia="en-GB" w:bidi="en-GB"/>
        </w:rPr>
        <w:t xml:space="preserve"> </w:t>
      </w:r>
      <w:r w:rsidR="00323457" w:rsidRPr="0059638B">
        <w:rPr>
          <w:color w:val="000000"/>
          <w:sz w:val="20"/>
          <w:szCs w:val="20"/>
          <w:lang w:eastAsia="en-GB" w:bidi="en-GB"/>
        </w:rPr>
        <w:t>Malaysia</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many</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recommendations</w:t>
      </w:r>
      <w:r w:rsidR="00FF41A0">
        <w:rPr>
          <w:color w:val="000000"/>
          <w:sz w:val="20"/>
          <w:szCs w:val="20"/>
          <w:lang w:eastAsia="en-GB" w:bidi="en-GB"/>
        </w:rPr>
        <w:t xml:space="preserve"> </w:t>
      </w:r>
      <w:r w:rsidR="00323457" w:rsidRPr="0059638B">
        <w:rPr>
          <w:color w:val="000000"/>
          <w:sz w:val="20"/>
          <w:szCs w:val="20"/>
          <w:lang w:eastAsia="en-GB" w:bidi="en-GB"/>
        </w:rPr>
        <w:t>as</w:t>
      </w:r>
      <w:r w:rsidR="00FF41A0">
        <w:rPr>
          <w:color w:val="000000"/>
          <w:sz w:val="20"/>
          <w:szCs w:val="20"/>
          <w:lang w:eastAsia="en-GB" w:bidi="en-GB"/>
        </w:rPr>
        <w:t xml:space="preserve"> </w:t>
      </w:r>
      <w:r w:rsidR="00323457" w:rsidRPr="0059638B">
        <w:rPr>
          <w:color w:val="000000"/>
          <w:sz w:val="20"/>
          <w:szCs w:val="20"/>
          <w:lang w:eastAsia="en-GB" w:bidi="en-GB"/>
        </w:rPr>
        <w:t>a</w:t>
      </w:r>
      <w:r w:rsidR="00FF41A0">
        <w:rPr>
          <w:color w:val="000000"/>
          <w:sz w:val="20"/>
          <w:szCs w:val="20"/>
          <w:lang w:eastAsia="en-GB" w:bidi="en-GB"/>
        </w:rPr>
        <w:t xml:space="preserve"> </w:t>
      </w:r>
      <w:r w:rsidR="00323457" w:rsidRPr="0059638B">
        <w:rPr>
          <w:color w:val="000000"/>
          <w:sz w:val="20"/>
          <w:szCs w:val="20"/>
          <w:lang w:eastAsia="en-GB" w:bidi="en-GB"/>
        </w:rPr>
        <w:t>full</w:t>
      </w:r>
      <w:r w:rsidR="00FF41A0">
        <w:rPr>
          <w:color w:val="000000"/>
          <w:sz w:val="20"/>
          <w:szCs w:val="20"/>
          <w:lang w:eastAsia="en-GB" w:bidi="en-GB"/>
        </w:rPr>
        <w:t xml:space="preserve"> </w:t>
      </w:r>
      <w:r w:rsidR="00323457" w:rsidRPr="0059638B">
        <w:rPr>
          <w:color w:val="000000"/>
          <w:sz w:val="20"/>
          <w:szCs w:val="20"/>
          <w:lang w:eastAsia="en-GB" w:bidi="en-GB"/>
        </w:rPr>
        <w:t>demonstration</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its</w:t>
      </w:r>
      <w:r w:rsidR="00FF41A0">
        <w:rPr>
          <w:color w:val="000000"/>
          <w:sz w:val="20"/>
          <w:szCs w:val="20"/>
          <w:lang w:eastAsia="en-GB" w:bidi="en-GB"/>
        </w:rPr>
        <w:t xml:space="preserve"> </w:t>
      </w:r>
      <w:r w:rsidR="00323457" w:rsidRPr="0059638B">
        <w:rPr>
          <w:color w:val="000000"/>
          <w:sz w:val="20"/>
          <w:szCs w:val="20"/>
          <w:lang w:eastAsia="en-GB" w:bidi="en-GB"/>
        </w:rPr>
        <w:t>will</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make</w:t>
      </w:r>
      <w:r w:rsidR="00FF41A0">
        <w:rPr>
          <w:color w:val="000000"/>
          <w:sz w:val="20"/>
          <w:szCs w:val="20"/>
          <w:lang w:eastAsia="en-GB" w:bidi="en-GB"/>
        </w:rPr>
        <w:t xml:space="preserve"> </w:t>
      </w:r>
      <w:r w:rsidR="00323457" w:rsidRPr="0059638B">
        <w:rPr>
          <w:color w:val="000000"/>
          <w:sz w:val="20"/>
          <w:szCs w:val="20"/>
          <w:lang w:eastAsia="en-GB" w:bidi="en-GB"/>
        </w:rPr>
        <w:t>further</w:t>
      </w:r>
      <w:r w:rsidR="00FF41A0">
        <w:rPr>
          <w:color w:val="000000"/>
          <w:sz w:val="20"/>
          <w:szCs w:val="20"/>
          <w:lang w:eastAsia="en-GB" w:bidi="en-GB"/>
        </w:rPr>
        <w:t xml:space="preserve"> </w:t>
      </w:r>
      <w:r w:rsidR="00323457" w:rsidRPr="0059638B">
        <w:rPr>
          <w:color w:val="000000"/>
          <w:sz w:val="20"/>
          <w:szCs w:val="20"/>
          <w:lang w:eastAsia="en-GB" w:bidi="en-GB"/>
        </w:rPr>
        <w:t>efforts</w:t>
      </w:r>
      <w:r w:rsidR="00FF41A0">
        <w:rPr>
          <w:color w:val="000000"/>
          <w:sz w:val="20"/>
          <w:szCs w:val="20"/>
          <w:lang w:eastAsia="en-GB" w:bidi="en-GB"/>
        </w:rPr>
        <w:t xml:space="preserve"> </w:t>
      </w:r>
      <w:r w:rsidR="00323457" w:rsidRPr="0059638B">
        <w:rPr>
          <w:color w:val="000000"/>
          <w:sz w:val="20"/>
          <w:szCs w:val="20"/>
          <w:lang w:eastAsia="en-GB" w:bidi="en-GB"/>
        </w:rPr>
        <w:t>in</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field</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human</w:t>
      </w:r>
      <w:r w:rsidR="00FF41A0">
        <w:rPr>
          <w:color w:val="000000"/>
          <w:sz w:val="20"/>
          <w:szCs w:val="20"/>
          <w:lang w:eastAsia="en-GB" w:bidi="en-GB"/>
        </w:rPr>
        <w:t xml:space="preserve"> </w:t>
      </w:r>
      <w:r w:rsidR="00323457" w:rsidRPr="0059638B">
        <w:rPr>
          <w:color w:val="000000"/>
          <w:sz w:val="20"/>
          <w:szCs w:val="20"/>
          <w:lang w:eastAsia="en-GB" w:bidi="en-GB"/>
        </w:rPr>
        <w:t>rights.</w:t>
      </w:r>
      <w:r w:rsidR="00FF41A0">
        <w:rPr>
          <w:color w:val="000000"/>
          <w:sz w:val="20"/>
          <w:szCs w:val="20"/>
          <w:lang w:eastAsia="en-GB" w:bidi="en-GB"/>
        </w:rPr>
        <w:t xml:space="preserve"> </w:t>
      </w:r>
    </w:p>
    <w:p w14:paraId="48EC1E5E" w14:textId="4EFE68BD" w:rsidR="00323457" w:rsidRPr="0059638B" w:rsidRDefault="00972F1E" w:rsidP="00323457">
      <w:pPr>
        <w:pStyle w:val="SingleTxtG"/>
        <w:rPr>
          <w:color w:val="000000"/>
          <w:sz w:val="20"/>
          <w:szCs w:val="20"/>
          <w:lang w:eastAsia="en-GB" w:bidi="en-GB"/>
        </w:rPr>
      </w:pPr>
      <w:r>
        <w:rPr>
          <w:color w:val="000000"/>
          <w:sz w:val="20"/>
          <w:szCs w:val="20"/>
          <w:lang w:eastAsia="en-GB" w:bidi="en-GB"/>
        </w:rPr>
        <w:t>655</w:t>
      </w:r>
      <w:r w:rsidR="00D7475F">
        <w:rPr>
          <w:color w:val="000000"/>
          <w:sz w:val="20"/>
          <w:szCs w:val="20"/>
          <w:lang w:eastAsia="en-GB" w:bidi="en-GB"/>
        </w:rPr>
        <w:t>.</w:t>
      </w:r>
      <w:r w:rsidR="00D7475F">
        <w:rPr>
          <w:color w:val="000000"/>
          <w:sz w:val="20"/>
          <w:szCs w:val="20"/>
          <w:lang w:eastAsia="en-GB" w:bidi="en-GB"/>
        </w:rPr>
        <w:tab/>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United</w:t>
      </w:r>
      <w:r w:rsidR="00FF41A0">
        <w:rPr>
          <w:color w:val="000000"/>
          <w:sz w:val="20"/>
          <w:szCs w:val="20"/>
          <w:lang w:eastAsia="en-GB" w:bidi="en-GB"/>
        </w:rPr>
        <w:t xml:space="preserve"> </w:t>
      </w:r>
      <w:r w:rsidR="00323457" w:rsidRPr="0059638B">
        <w:rPr>
          <w:color w:val="000000"/>
          <w:sz w:val="20"/>
          <w:szCs w:val="20"/>
          <w:lang w:eastAsia="en-GB" w:bidi="en-GB"/>
        </w:rPr>
        <w:t>Arab</w:t>
      </w:r>
      <w:r w:rsidR="00FF41A0">
        <w:rPr>
          <w:color w:val="000000"/>
          <w:sz w:val="20"/>
          <w:szCs w:val="20"/>
          <w:lang w:eastAsia="en-GB" w:bidi="en-GB"/>
        </w:rPr>
        <w:t xml:space="preserve"> </w:t>
      </w:r>
      <w:r w:rsidR="00323457" w:rsidRPr="0059638B">
        <w:rPr>
          <w:color w:val="000000"/>
          <w:sz w:val="20"/>
          <w:szCs w:val="20"/>
          <w:lang w:eastAsia="en-GB" w:bidi="en-GB"/>
        </w:rPr>
        <w:t>Emirates</w:t>
      </w:r>
      <w:r w:rsidR="00FF41A0">
        <w:rPr>
          <w:color w:val="000000"/>
          <w:sz w:val="20"/>
          <w:szCs w:val="20"/>
          <w:lang w:eastAsia="en-GB" w:bidi="en-GB"/>
        </w:rPr>
        <w:t xml:space="preserve"> </w:t>
      </w:r>
      <w:r w:rsidR="00323457" w:rsidRPr="0059638B">
        <w:rPr>
          <w:color w:val="000000"/>
          <w:sz w:val="20"/>
          <w:szCs w:val="20"/>
          <w:lang w:eastAsia="en-GB" w:bidi="en-GB"/>
        </w:rPr>
        <w:t>appreciated</w:t>
      </w:r>
      <w:r w:rsidR="00FF41A0">
        <w:rPr>
          <w:color w:val="000000"/>
          <w:sz w:val="20"/>
          <w:szCs w:val="20"/>
          <w:lang w:eastAsia="en-GB" w:bidi="en-GB"/>
        </w:rPr>
        <w:t xml:space="preserve"> </w:t>
      </w:r>
      <w:r w:rsidR="00323457" w:rsidRPr="0059638B">
        <w:rPr>
          <w:color w:val="000000"/>
          <w:sz w:val="20"/>
          <w:szCs w:val="20"/>
          <w:lang w:eastAsia="en-GB" w:bidi="en-GB"/>
        </w:rPr>
        <w:t>continued</w:t>
      </w:r>
      <w:r w:rsidR="00FF41A0">
        <w:rPr>
          <w:color w:val="000000"/>
          <w:sz w:val="20"/>
          <w:szCs w:val="20"/>
          <w:lang w:eastAsia="en-GB" w:bidi="en-GB"/>
        </w:rPr>
        <w:t xml:space="preserve"> </w:t>
      </w:r>
      <w:r w:rsidR="00323457" w:rsidRPr="0059638B">
        <w:rPr>
          <w:color w:val="000000"/>
          <w:sz w:val="20"/>
          <w:szCs w:val="20"/>
          <w:lang w:eastAsia="en-GB" w:bidi="en-GB"/>
        </w:rPr>
        <w:t>efforts</w:t>
      </w:r>
      <w:r w:rsidR="00FF41A0">
        <w:rPr>
          <w:color w:val="000000"/>
          <w:sz w:val="20"/>
          <w:szCs w:val="20"/>
          <w:lang w:eastAsia="en-GB" w:bidi="en-GB"/>
        </w:rPr>
        <w:t xml:space="preserve"> </w:t>
      </w:r>
      <w:r w:rsidR="00323457" w:rsidRPr="0059638B">
        <w:rPr>
          <w:color w:val="000000"/>
          <w:sz w:val="20"/>
          <w:szCs w:val="20"/>
          <w:lang w:eastAsia="en-GB" w:bidi="en-GB"/>
        </w:rPr>
        <w:t>by</w:t>
      </w:r>
      <w:r w:rsidR="00FF41A0">
        <w:rPr>
          <w:color w:val="000000"/>
          <w:sz w:val="20"/>
          <w:szCs w:val="20"/>
          <w:lang w:eastAsia="en-GB" w:bidi="en-GB"/>
        </w:rPr>
        <w:t xml:space="preserve"> </w:t>
      </w:r>
      <w:r w:rsidR="00323457" w:rsidRPr="0059638B">
        <w:rPr>
          <w:color w:val="000000"/>
          <w:sz w:val="20"/>
          <w:szCs w:val="20"/>
          <w:lang w:eastAsia="en-GB" w:bidi="en-GB"/>
        </w:rPr>
        <w:t>Malaysia</w:t>
      </w:r>
      <w:r w:rsidR="00FF41A0">
        <w:rPr>
          <w:color w:val="000000"/>
          <w:sz w:val="20"/>
          <w:szCs w:val="20"/>
          <w:lang w:eastAsia="en-GB" w:bidi="en-GB"/>
        </w:rPr>
        <w:t xml:space="preserve"> </w:t>
      </w:r>
      <w:r w:rsidR="00323457" w:rsidRPr="0059638B">
        <w:rPr>
          <w:color w:val="000000"/>
          <w:sz w:val="20"/>
          <w:szCs w:val="20"/>
          <w:lang w:eastAsia="en-GB" w:bidi="en-GB"/>
        </w:rPr>
        <w:t>in</w:t>
      </w:r>
      <w:r w:rsidR="00FF41A0">
        <w:rPr>
          <w:color w:val="000000"/>
          <w:sz w:val="20"/>
          <w:szCs w:val="20"/>
          <w:lang w:eastAsia="en-GB" w:bidi="en-GB"/>
        </w:rPr>
        <w:t xml:space="preserve"> </w:t>
      </w:r>
      <w:r w:rsidR="00323457" w:rsidRPr="0059638B">
        <w:rPr>
          <w:color w:val="000000"/>
          <w:sz w:val="20"/>
          <w:szCs w:val="20"/>
          <w:lang w:eastAsia="en-GB" w:bidi="en-GB"/>
        </w:rPr>
        <w:t>order</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ensure</w:t>
      </w:r>
      <w:r w:rsidR="00FF41A0">
        <w:rPr>
          <w:color w:val="000000"/>
          <w:sz w:val="20"/>
          <w:szCs w:val="20"/>
          <w:lang w:eastAsia="en-GB" w:bidi="en-GB"/>
        </w:rPr>
        <w:t xml:space="preserve"> </w:t>
      </w:r>
      <w:r w:rsidR="00323457" w:rsidRPr="0059638B">
        <w:rPr>
          <w:color w:val="000000"/>
          <w:sz w:val="20"/>
          <w:szCs w:val="20"/>
          <w:lang w:eastAsia="en-GB" w:bidi="en-GB"/>
        </w:rPr>
        <w:t>good</w:t>
      </w:r>
      <w:r w:rsidR="00FF41A0">
        <w:rPr>
          <w:color w:val="000000"/>
          <w:sz w:val="20"/>
          <w:szCs w:val="20"/>
          <w:lang w:eastAsia="en-GB" w:bidi="en-GB"/>
        </w:rPr>
        <w:t xml:space="preserve"> </w:t>
      </w:r>
      <w:r w:rsidR="00323457" w:rsidRPr="0059638B">
        <w:rPr>
          <w:color w:val="000000"/>
          <w:sz w:val="20"/>
          <w:szCs w:val="20"/>
          <w:lang w:eastAsia="en-GB" w:bidi="en-GB"/>
        </w:rPr>
        <w:t>governance</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rule</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law,</w:t>
      </w:r>
      <w:r w:rsidR="00FF41A0">
        <w:rPr>
          <w:color w:val="000000"/>
          <w:sz w:val="20"/>
          <w:szCs w:val="20"/>
          <w:lang w:eastAsia="en-GB" w:bidi="en-GB"/>
        </w:rPr>
        <w:t xml:space="preserve"> </w:t>
      </w:r>
      <w:r w:rsidR="00323457" w:rsidRPr="0059638B">
        <w:rPr>
          <w:color w:val="000000"/>
          <w:sz w:val="20"/>
          <w:szCs w:val="20"/>
          <w:lang w:eastAsia="en-GB" w:bidi="en-GB"/>
        </w:rPr>
        <w:t>as</w:t>
      </w:r>
      <w:r w:rsidR="00FF41A0">
        <w:rPr>
          <w:color w:val="000000"/>
          <w:sz w:val="20"/>
          <w:szCs w:val="20"/>
          <w:lang w:eastAsia="en-GB" w:bidi="en-GB"/>
        </w:rPr>
        <w:t xml:space="preserve"> </w:t>
      </w:r>
      <w:r w:rsidR="00323457" w:rsidRPr="0059638B">
        <w:rPr>
          <w:color w:val="000000"/>
          <w:sz w:val="20"/>
          <w:szCs w:val="20"/>
          <w:lang w:eastAsia="en-GB" w:bidi="en-GB"/>
        </w:rPr>
        <w:t>well</w:t>
      </w:r>
      <w:r w:rsidR="00FF41A0">
        <w:rPr>
          <w:color w:val="000000"/>
          <w:sz w:val="20"/>
          <w:szCs w:val="20"/>
          <w:lang w:eastAsia="en-GB" w:bidi="en-GB"/>
        </w:rPr>
        <w:t xml:space="preserve"> </w:t>
      </w:r>
      <w:r w:rsidR="00323457" w:rsidRPr="0059638B">
        <w:rPr>
          <w:color w:val="000000"/>
          <w:sz w:val="20"/>
          <w:szCs w:val="20"/>
          <w:lang w:eastAsia="en-GB" w:bidi="en-GB"/>
        </w:rPr>
        <w:t>as</w:t>
      </w:r>
      <w:r w:rsidR="00FF41A0">
        <w:rPr>
          <w:color w:val="000000"/>
          <w:sz w:val="20"/>
          <w:szCs w:val="20"/>
          <w:lang w:eastAsia="en-GB" w:bidi="en-GB"/>
        </w:rPr>
        <w:t xml:space="preserve"> </w:t>
      </w:r>
      <w:r w:rsidR="00323457" w:rsidRPr="0059638B">
        <w:rPr>
          <w:color w:val="000000"/>
          <w:sz w:val="20"/>
          <w:szCs w:val="20"/>
          <w:lang w:eastAsia="en-GB" w:bidi="en-GB"/>
        </w:rPr>
        <w:t>measures</w:t>
      </w:r>
      <w:r w:rsidR="00FF41A0">
        <w:rPr>
          <w:color w:val="000000"/>
          <w:sz w:val="20"/>
          <w:szCs w:val="20"/>
          <w:lang w:eastAsia="en-GB" w:bidi="en-GB"/>
        </w:rPr>
        <w:t xml:space="preserve"> </w:t>
      </w:r>
      <w:r w:rsidR="00323457" w:rsidRPr="0059638B">
        <w:rPr>
          <w:color w:val="000000"/>
          <w:sz w:val="20"/>
          <w:szCs w:val="20"/>
          <w:lang w:eastAsia="en-GB" w:bidi="en-GB"/>
        </w:rPr>
        <w:t>that</w:t>
      </w:r>
      <w:r w:rsidR="00FF41A0">
        <w:rPr>
          <w:color w:val="000000"/>
          <w:sz w:val="20"/>
          <w:szCs w:val="20"/>
          <w:lang w:eastAsia="en-GB" w:bidi="en-GB"/>
        </w:rPr>
        <w:t xml:space="preserve"> </w:t>
      </w:r>
      <w:r w:rsidR="00323457" w:rsidRPr="0059638B">
        <w:rPr>
          <w:color w:val="000000"/>
          <w:sz w:val="20"/>
          <w:szCs w:val="20"/>
          <w:lang w:eastAsia="en-GB" w:bidi="en-GB"/>
        </w:rPr>
        <w:t>had</w:t>
      </w:r>
      <w:r w:rsidR="00FF41A0">
        <w:rPr>
          <w:color w:val="000000"/>
          <w:sz w:val="20"/>
          <w:szCs w:val="20"/>
          <w:lang w:eastAsia="en-GB" w:bidi="en-GB"/>
        </w:rPr>
        <w:t xml:space="preserve"> </w:t>
      </w:r>
      <w:r w:rsidR="00323457" w:rsidRPr="0059638B">
        <w:rPr>
          <w:color w:val="000000"/>
          <w:sz w:val="20"/>
          <w:szCs w:val="20"/>
          <w:lang w:eastAsia="en-GB" w:bidi="en-GB"/>
        </w:rPr>
        <w:t>been</w:t>
      </w:r>
      <w:r w:rsidR="00FF41A0">
        <w:rPr>
          <w:color w:val="000000"/>
          <w:sz w:val="20"/>
          <w:szCs w:val="20"/>
          <w:lang w:eastAsia="en-GB" w:bidi="en-GB"/>
        </w:rPr>
        <w:t xml:space="preserve"> </w:t>
      </w:r>
      <w:r w:rsidR="00323457" w:rsidRPr="0059638B">
        <w:rPr>
          <w:color w:val="000000"/>
          <w:sz w:val="20"/>
          <w:szCs w:val="20"/>
          <w:lang w:eastAsia="en-GB" w:bidi="en-GB"/>
        </w:rPr>
        <w:t>adopted</w:t>
      </w:r>
      <w:r w:rsidR="00FF41A0">
        <w:rPr>
          <w:color w:val="000000"/>
          <w:sz w:val="20"/>
          <w:szCs w:val="20"/>
          <w:lang w:eastAsia="en-GB" w:bidi="en-GB"/>
        </w:rPr>
        <w:t xml:space="preserve"> </w:t>
      </w:r>
      <w:r w:rsidR="00323457" w:rsidRPr="0059638B">
        <w:rPr>
          <w:color w:val="000000"/>
          <w:sz w:val="20"/>
          <w:szCs w:val="20"/>
          <w:lang w:eastAsia="en-GB" w:bidi="en-GB"/>
        </w:rPr>
        <w:t>in</w:t>
      </w:r>
      <w:r w:rsidR="00FF41A0">
        <w:rPr>
          <w:color w:val="000000"/>
          <w:sz w:val="20"/>
          <w:szCs w:val="20"/>
          <w:lang w:eastAsia="en-GB" w:bidi="en-GB"/>
        </w:rPr>
        <w:t xml:space="preserve"> </w:t>
      </w:r>
      <w:r w:rsidR="00323457" w:rsidRPr="0059638B">
        <w:rPr>
          <w:color w:val="000000"/>
          <w:sz w:val="20"/>
          <w:szCs w:val="20"/>
          <w:lang w:eastAsia="en-GB" w:bidi="en-GB"/>
        </w:rPr>
        <w:t>order</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guarantee</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freedom</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all</w:t>
      </w:r>
      <w:r w:rsidR="00FF41A0">
        <w:rPr>
          <w:color w:val="000000"/>
          <w:sz w:val="20"/>
          <w:szCs w:val="20"/>
          <w:lang w:eastAsia="en-GB" w:bidi="en-GB"/>
        </w:rPr>
        <w:t xml:space="preserve"> </w:t>
      </w:r>
      <w:r w:rsidR="00323457" w:rsidRPr="0059638B">
        <w:rPr>
          <w:color w:val="000000"/>
          <w:sz w:val="20"/>
          <w:szCs w:val="20"/>
          <w:lang w:eastAsia="en-GB" w:bidi="en-GB"/>
        </w:rPr>
        <w:t>citizens</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social</w:t>
      </w:r>
      <w:r w:rsidR="00FF41A0">
        <w:rPr>
          <w:color w:val="000000"/>
          <w:sz w:val="20"/>
          <w:szCs w:val="20"/>
          <w:lang w:eastAsia="en-GB" w:bidi="en-GB"/>
        </w:rPr>
        <w:t xml:space="preserve"> </w:t>
      </w:r>
      <w:r w:rsidR="00323457" w:rsidRPr="0059638B">
        <w:rPr>
          <w:color w:val="000000"/>
          <w:sz w:val="20"/>
          <w:szCs w:val="20"/>
          <w:lang w:eastAsia="en-GB" w:bidi="en-GB"/>
        </w:rPr>
        <w:t>justice</w:t>
      </w:r>
      <w:r w:rsidR="00FF41A0">
        <w:rPr>
          <w:color w:val="000000"/>
          <w:sz w:val="20"/>
          <w:szCs w:val="20"/>
          <w:lang w:eastAsia="en-GB" w:bidi="en-GB"/>
        </w:rPr>
        <w:t xml:space="preserve"> </w:t>
      </w:r>
      <w:r w:rsidR="00323457" w:rsidRPr="0059638B">
        <w:rPr>
          <w:color w:val="000000"/>
          <w:sz w:val="20"/>
          <w:szCs w:val="20"/>
          <w:lang w:eastAsia="en-GB" w:bidi="en-GB"/>
        </w:rPr>
        <w:t>for</w:t>
      </w:r>
      <w:r w:rsidR="00FF41A0">
        <w:rPr>
          <w:color w:val="000000"/>
          <w:sz w:val="20"/>
          <w:szCs w:val="20"/>
          <w:lang w:eastAsia="en-GB" w:bidi="en-GB"/>
        </w:rPr>
        <w:t xml:space="preserve"> </w:t>
      </w:r>
      <w:r w:rsidR="00323457" w:rsidRPr="0059638B">
        <w:rPr>
          <w:color w:val="000000"/>
          <w:sz w:val="20"/>
          <w:szCs w:val="20"/>
          <w:lang w:eastAsia="en-GB" w:bidi="en-GB"/>
        </w:rPr>
        <w:t>all.</w:t>
      </w:r>
      <w:r w:rsidR="00FF41A0">
        <w:rPr>
          <w:color w:val="000000"/>
          <w:sz w:val="20"/>
          <w:szCs w:val="20"/>
          <w:lang w:eastAsia="en-GB" w:bidi="en-GB"/>
        </w:rPr>
        <w:t xml:space="preserve"> </w:t>
      </w:r>
    </w:p>
    <w:p w14:paraId="2555C581" w14:textId="1C07DC78" w:rsidR="00323457" w:rsidRPr="0059638B" w:rsidRDefault="00972F1E" w:rsidP="00323457">
      <w:pPr>
        <w:pStyle w:val="SingleTxtG"/>
        <w:rPr>
          <w:color w:val="000000"/>
          <w:sz w:val="20"/>
          <w:szCs w:val="20"/>
          <w:lang w:eastAsia="en-GB" w:bidi="en-GB"/>
        </w:rPr>
      </w:pPr>
      <w:r>
        <w:rPr>
          <w:color w:val="000000"/>
          <w:sz w:val="20"/>
          <w:szCs w:val="20"/>
          <w:lang w:eastAsia="en-GB" w:bidi="en-GB"/>
        </w:rPr>
        <w:t>656</w:t>
      </w:r>
      <w:r w:rsidR="00D7475F">
        <w:rPr>
          <w:color w:val="000000"/>
          <w:sz w:val="20"/>
          <w:szCs w:val="20"/>
          <w:lang w:eastAsia="en-GB" w:bidi="en-GB"/>
        </w:rPr>
        <w:t>.</w:t>
      </w:r>
      <w:r w:rsidR="00D7475F">
        <w:rPr>
          <w:color w:val="000000"/>
          <w:sz w:val="20"/>
          <w:szCs w:val="20"/>
          <w:lang w:eastAsia="en-GB" w:bidi="en-GB"/>
        </w:rPr>
        <w:tab/>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United</w:t>
      </w:r>
      <w:r w:rsidR="00FF41A0">
        <w:rPr>
          <w:color w:val="000000"/>
          <w:sz w:val="20"/>
          <w:szCs w:val="20"/>
          <w:lang w:eastAsia="en-GB" w:bidi="en-GB"/>
        </w:rPr>
        <w:t xml:space="preserve"> </w:t>
      </w:r>
      <w:r w:rsidR="00323457" w:rsidRPr="0059638B">
        <w:rPr>
          <w:color w:val="000000"/>
          <w:sz w:val="20"/>
          <w:szCs w:val="20"/>
          <w:lang w:eastAsia="en-GB" w:bidi="en-GB"/>
        </w:rPr>
        <w:t>Nations</w:t>
      </w:r>
      <w:r w:rsidR="00FF41A0">
        <w:rPr>
          <w:color w:val="000000"/>
          <w:sz w:val="20"/>
          <w:szCs w:val="20"/>
          <w:lang w:eastAsia="en-GB" w:bidi="en-GB"/>
        </w:rPr>
        <w:t xml:space="preserve"> </w:t>
      </w:r>
      <w:r w:rsidR="00323457" w:rsidRPr="0059638B">
        <w:rPr>
          <w:color w:val="000000"/>
          <w:sz w:val="20"/>
          <w:szCs w:val="20"/>
          <w:lang w:eastAsia="en-GB" w:bidi="en-GB"/>
        </w:rPr>
        <w:t>Population</w:t>
      </w:r>
      <w:r w:rsidR="00FF41A0">
        <w:rPr>
          <w:color w:val="000000"/>
          <w:sz w:val="20"/>
          <w:szCs w:val="20"/>
          <w:lang w:eastAsia="en-GB" w:bidi="en-GB"/>
        </w:rPr>
        <w:t xml:space="preserve"> </w:t>
      </w:r>
      <w:r w:rsidR="00323457" w:rsidRPr="0059638B">
        <w:rPr>
          <w:color w:val="000000"/>
          <w:sz w:val="20"/>
          <w:szCs w:val="20"/>
          <w:lang w:eastAsia="en-GB" w:bidi="en-GB"/>
        </w:rPr>
        <w:t>Fund</w:t>
      </w:r>
      <w:r w:rsidR="00FF41A0">
        <w:rPr>
          <w:color w:val="000000"/>
          <w:sz w:val="20"/>
          <w:szCs w:val="20"/>
          <w:lang w:eastAsia="en-GB" w:bidi="en-GB"/>
        </w:rPr>
        <w:t xml:space="preserve"> </w:t>
      </w:r>
      <w:r w:rsidR="00323457" w:rsidRPr="0059638B">
        <w:rPr>
          <w:color w:val="000000"/>
          <w:sz w:val="20"/>
          <w:szCs w:val="20"/>
          <w:lang w:eastAsia="en-GB" w:bidi="en-GB"/>
        </w:rPr>
        <w:t>pledged</w:t>
      </w:r>
      <w:r w:rsidR="00FF41A0">
        <w:rPr>
          <w:color w:val="000000"/>
          <w:sz w:val="20"/>
          <w:szCs w:val="20"/>
          <w:lang w:eastAsia="en-GB" w:bidi="en-GB"/>
        </w:rPr>
        <w:t xml:space="preserve"> </w:t>
      </w:r>
      <w:r w:rsidR="00323457" w:rsidRPr="0059638B">
        <w:rPr>
          <w:color w:val="000000"/>
          <w:sz w:val="20"/>
          <w:szCs w:val="20"/>
          <w:lang w:eastAsia="en-GB" w:bidi="en-GB"/>
        </w:rPr>
        <w:t>its</w:t>
      </w:r>
      <w:r w:rsidR="00FF41A0">
        <w:rPr>
          <w:color w:val="000000"/>
          <w:sz w:val="20"/>
          <w:szCs w:val="20"/>
          <w:lang w:eastAsia="en-GB" w:bidi="en-GB"/>
        </w:rPr>
        <w:t xml:space="preserve"> </w:t>
      </w:r>
      <w:r w:rsidR="00323457" w:rsidRPr="0059638B">
        <w:rPr>
          <w:color w:val="000000"/>
          <w:sz w:val="20"/>
          <w:szCs w:val="20"/>
          <w:lang w:eastAsia="en-GB" w:bidi="en-GB"/>
        </w:rPr>
        <w:t>ongoing</w:t>
      </w:r>
      <w:r w:rsidR="00FF41A0">
        <w:rPr>
          <w:color w:val="000000"/>
          <w:sz w:val="20"/>
          <w:szCs w:val="20"/>
          <w:lang w:eastAsia="en-GB" w:bidi="en-GB"/>
        </w:rPr>
        <w:t xml:space="preserve"> </w:t>
      </w:r>
      <w:r w:rsidR="00323457" w:rsidRPr="0059638B">
        <w:rPr>
          <w:color w:val="000000"/>
          <w:sz w:val="20"/>
          <w:szCs w:val="20"/>
          <w:lang w:eastAsia="en-GB" w:bidi="en-GB"/>
        </w:rPr>
        <w:t>support</w:t>
      </w:r>
      <w:r w:rsidR="00FF41A0">
        <w:rPr>
          <w:color w:val="000000"/>
          <w:sz w:val="20"/>
          <w:szCs w:val="20"/>
          <w:lang w:eastAsia="en-GB" w:bidi="en-GB"/>
        </w:rPr>
        <w:t xml:space="preserve"> </w:t>
      </w:r>
      <w:r w:rsidR="00323457" w:rsidRPr="0059638B">
        <w:rPr>
          <w:color w:val="000000"/>
          <w:sz w:val="20"/>
          <w:szCs w:val="20"/>
          <w:lang w:eastAsia="en-GB" w:bidi="en-GB"/>
        </w:rPr>
        <w:t>towards</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enactment</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Gender</w:t>
      </w:r>
      <w:r w:rsidR="00FF41A0">
        <w:rPr>
          <w:color w:val="000000"/>
          <w:sz w:val="20"/>
          <w:szCs w:val="20"/>
          <w:lang w:eastAsia="en-GB" w:bidi="en-GB"/>
        </w:rPr>
        <w:t xml:space="preserve"> </w:t>
      </w:r>
      <w:r w:rsidR="00323457" w:rsidRPr="0059638B">
        <w:rPr>
          <w:color w:val="000000"/>
          <w:sz w:val="20"/>
          <w:szCs w:val="20"/>
          <w:lang w:eastAsia="en-GB" w:bidi="en-GB"/>
        </w:rPr>
        <w:t>Equality</w:t>
      </w:r>
      <w:r w:rsidR="00FF41A0">
        <w:rPr>
          <w:color w:val="000000"/>
          <w:sz w:val="20"/>
          <w:szCs w:val="20"/>
          <w:lang w:eastAsia="en-GB" w:bidi="en-GB"/>
        </w:rPr>
        <w:t xml:space="preserve"> </w:t>
      </w:r>
      <w:r w:rsidR="00323457" w:rsidRPr="0059638B">
        <w:rPr>
          <w:color w:val="000000"/>
          <w:sz w:val="20"/>
          <w:szCs w:val="20"/>
          <w:lang w:eastAsia="en-GB" w:bidi="en-GB"/>
        </w:rPr>
        <w:t>Bill</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Sexual</w:t>
      </w:r>
      <w:r w:rsidR="00FF41A0">
        <w:rPr>
          <w:color w:val="000000"/>
          <w:sz w:val="20"/>
          <w:szCs w:val="20"/>
          <w:lang w:eastAsia="en-GB" w:bidi="en-GB"/>
        </w:rPr>
        <w:t xml:space="preserve"> </w:t>
      </w:r>
      <w:r w:rsidR="00323457" w:rsidRPr="0059638B">
        <w:rPr>
          <w:color w:val="000000"/>
          <w:sz w:val="20"/>
          <w:szCs w:val="20"/>
          <w:lang w:eastAsia="en-GB" w:bidi="en-GB"/>
        </w:rPr>
        <w:t>Harassment</w:t>
      </w:r>
      <w:r w:rsidR="00FF41A0">
        <w:rPr>
          <w:color w:val="000000"/>
          <w:sz w:val="20"/>
          <w:szCs w:val="20"/>
          <w:lang w:eastAsia="en-GB" w:bidi="en-GB"/>
        </w:rPr>
        <w:t xml:space="preserve"> </w:t>
      </w:r>
      <w:r w:rsidR="00323457" w:rsidRPr="0059638B">
        <w:rPr>
          <w:color w:val="000000"/>
          <w:sz w:val="20"/>
          <w:szCs w:val="20"/>
          <w:lang w:eastAsia="en-GB" w:bidi="en-GB"/>
        </w:rPr>
        <w:t>Bill</w:t>
      </w:r>
      <w:r w:rsidR="00FF41A0">
        <w:rPr>
          <w:color w:val="000000"/>
          <w:sz w:val="20"/>
          <w:szCs w:val="20"/>
          <w:lang w:eastAsia="en-GB" w:bidi="en-GB"/>
        </w:rPr>
        <w:t xml:space="preserve"> </w:t>
      </w:r>
      <w:r w:rsidR="00323457" w:rsidRPr="0059638B">
        <w:rPr>
          <w:color w:val="000000"/>
          <w:sz w:val="20"/>
          <w:szCs w:val="20"/>
          <w:lang w:eastAsia="en-GB" w:bidi="en-GB"/>
        </w:rPr>
        <w:t>as</w:t>
      </w:r>
      <w:r w:rsidR="00FF41A0">
        <w:rPr>
          <w:color w:val="000000"/>
          <w:sz w:val="20"/>
          <w:szCs w:val="20"/>
          <w:lang w:eastAsia="en-GB" w:bidi="en-GB"/>
        </w:rPr>
        <w:t xml:space="preserve"> </w:t>
      </w:r>
      <w:r w:rsidR="00323457" w:rsidRPr="0059638B">
        <w:rPr>
          <w:color w:val="000000"/>
          <w:sz w:val="20"/>
          <w:szCs w:val="20"/>
          <w:lang w:eastAsia="en-GB" w:bidi="en-GB"/>
        </w:rPr>
        <w:t>well</w:t>
      </w:r>
      <w:r w:rsidR="00FF41A0">
        <w:rPr>
          <w:color w:val="000000"/>
          <w:sz w:val="20"/>
          <w:szCs w:val="20"/>
          <w:lang w:eastAsia="en-GB" w:bidi="en-GB"/>
        </w:rPr>
        <w:t xml:space="preserve"> </w:t>
      </w:r>
      <w:r w:rsidR="00323457" w:rsidRPr="0059638B">
        <w:rPr>
          <w:color w:val="000000"/>
          <w:sz w:val="20"/>
          <w:szCs w:val="20"/>
          <w:lang w:eastAsia="en-GB" w:bidi="en-GB"/>
        </w:rPr>
        <w:t>as</w:t>
      </w:r>
      <w:r w:rsidR="00FF41A0">
        <w:rPr>
          <w:color w:val="000000"/>
          <w:sz w:val="20"/>
          <w:szCs w:val="20"/>
          <w:lang w:eastAsia="en-GB" w:bidi="en-GB"/>
        </w:rPr>
        <w:t xml:space="preserve"> </w:t>
      </w:r>
      <w:r w:rsidR="00323457" w:rsidRPr="0059638B">
        <w:rPr>
          <w:color w:val="000000"/>
          <w:sz w:val="20"/>
          <w:szCs w:val="20"/>
          <w:lang w:eastAsia="en-GB" w:bidi="en-GB"/>
        </w:rPr>
        <w:t>other</w:t>
      </w:r>
      <w:r w:rsidR="00FF41A0">
        <w:rPr>
          <w:color w:val="000000"/>
          <w:sz w:val="20"/>
          <w:szCs w:val="20"/>
          <w:lang w:eastAsia="en-GB" w:bidi="en-GB"/>
        </w:rPr>
        <w:t xml:space="preserve"> </w:t>
      </w:r>
      <w:r w:rsidR="00323457" w:rsidRPr="0059638B">
        <w:rPr>
          <w:color w:val="000000"/>
          <w:sz w:val="20"/>
          <w:szCs w:val="20"/>
          <w:lang w:eastAsia="en-GB" w:bidi="en-GB"/>
        </w:rPr>
        <w:t>legal</w:t>
      </w:r>
      <w:r w:rsidR="00FF41A0">
        <w:rPr>
          <w:color w:val="000000"/>
          <w:sz w:val="20"/>
          <w:szCs w:val="20"/>
          <w:lang w:eastAsia="en-GB" w:bidi="en-GB"/>
        </w:rPr>
        <w:t xml:space="preserve"> </w:t>
      </w:r>
      <w:r w:rsidR="00323457" w:rsidRPr="0059638B">
        <w:rPr>
          <w:color w:val="000000"/>
          <w:sz w:val="20"/>
          <w:szCs w:val="20"/>
          <w:lang w:eastAsia="en-GB" w:bidi="en-GB"/>
        </w:rPr>
        <w:t>instruments</w:t>
      </w:r>
      <w:r w:rsidR="00FF41A0">
        <w:rPr>
          <w:color w:val="000000"/>
          <w:sz w:val="20"/>
          <w:szCs w:val="20"/>
          <w:lang w:eastAsia="en-GB" w:bidi="en-GB"/>
        </w:rPr>
        <w:t xml:space="preserve"> </w:t>
      </w:r>
      <w:r w:rsidR="00323457" w:rsidRPr="0059638B">
        <w:rPr>
          <w:color w:val="000000"/>
          <w:sz w:val="20"/>
          <w:szCs w:val="20"/>
          <w:lang w:eastAsia="en-GB" w:bidi="en-GB"/>
        </w:rPr>
        <w:t>with</w:t>
      </w:r>
      <w:r w:rsidR="00FF41A0">
        <w:rPr>
          <w:color w:val="000000"/>
          <w:sz w:val="20"/>
          <w:szCs w:val="20"/>
          <w:lang w:eastAsia="en-GB" w:bidi="en-GB"/>
        </w:rPr>
        <w:t xml:space="preserve"> </w:t>
      </w:r>
      <w:r w:rsidR="00323457" w:rsidRPr="0059638B">
        <w:rPr>
          <w:color w:val="000000"/>
          <w:sz w:val="20"/>
          <w:szCs w:val="20"/>
          <w:lang w:eastAsia="en-GB" w:bidi="en-GB"/>
        </w:rPr>
        <w:t>a</w:t>
      </w:r>
      <w:r w:rsidR="00FF41A0">
        <w:rPr>
          <w:color w:val="000000"/>
          <w:sz w:val="20"/>
          <w:szCs w:val="20"/>
          <w:lang w:eastAsia="en-GB" w:bidi="en-GB"/>
        </w:rPr>
        <w:t xml:space="preserve"> </w:t>
      </w:r>
      <w:r w:rsidR="00323457" w:rsidRPr="0059638B">
        <w:rPr>
          <w:color w:val="000000"/>
          <w:sz w:val="20"/>
          <w:szCs w:val="20"/>
          <w:lang w:eastAsia="en-GB" w:bidi="en-GB"/>
        </w:rPr>
        <w:t>focus</w:t>
      </w:r>
      <w:r w:rsidR="00FF41A0">
        <w:rPr>
          <w:color w:val="000000"/>
          <w:sz w:val="20"/>
          <w:szCs w:val="20"/>
          <w:lang w:eastAsia="en-GB" w:bidi="en-GB"/>
        </w:rPr>
        <w:t xml:space="preserve"> </w:t>
      </w:r>
      <w:r w:rsidR="00323457" w:rsidRPr="0059638B">
        <w:rPr>
          <w:color w:val="000000"/>
          <w:sz w:val="20"/>
          <w:szCs w:val="20"/>
          <w:lang w:eastAsia="en-GB" w:bidi="en-GB"/>
        </w:rPr>
        <w:t>on</w:t>
      </w:r>
      <w:r w:rsidR="00FF41A0">
        <w:rPr>
          <w:color w:val="000000"/>
          <w:sz w:val="20"/>
          <w:szCs w:val="20"/>
          <w:lang w:eastAsia="en-GB" w:bidi="en-GB"/>
        </w:rPr>
        <w:t xml:space="preserve"> </w:t>
      </w:r>
      <w:r w:rsidR="00323457" w:rsidRPr="0059638B">
        <w:rPr>
          <w:color w:val="000000"/>
          <w:sz w:val="20"/>
          <w:szCs w:val="20"/>
          <w:lang w:eastAsia="en-GB" w:bidi="en-GB"/>
        </w:rPr>
        <w:t>preventing</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addressing</w:t>
      </w:r>
      <w:r w:rsidR="00FF41A0">
        <w:rPr>
          <w:color w:val="000000"/>
          <w:sz w:val="20"/>
          <w:szCs w:val="20"/>
          <w:lang w:eastAsia="en-GB" w:bidi="en-GB"/>
        </w:rPr>
        <w:t xml:space="preserve"> </w:t>
      </w:r>
      <w:r w:rsidR="00323457" w:rsidRPr="0059638B">
        <w:rPr>
          <w:color w:val="000000"/>
          <w:sz w:val="20"/>
          <w:szCs w:val="20"/>
          <w:lang w:eastAsia="en-GB" w:bidi="en-GB"/>
        </w:rPr>
        <w:t>all</w:t>
      </w:r>
      <w:r w:rsidR="00FF41A0">
        <w:rPr>
          <w:color w:val="000000"/>
          <w:sz w:val="20"/>
          <w:szCs w:val="20"/>
          <w:lang w:eastAsia="en-GB" w:bidi="en-GB"/>
        </w:rPr>
        <w:t xml:space="preserve"> </w:t>
      </w:r>
      <w:r w:rsidR="00323457" w:rsidRPr="0059638B">
        <w:rPr>
          <w:color w:val="000000"/>
          <w:sz w:val="20"/>
          <w:szCs w:val="20"/>
          <w:lang w:eastAsia="en-GB" w:bidi="en-GB"/>
        </w:rPr>
        <w:t>forms</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violence</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harmful</w:t>
      </w:r>
      <w:r w:rsidR="00FF41A0">
        <w:rPr>
          <w:color w:val="000000"/>
          <w:sz w:val="20"/>
          <w:szCs w:val="20"/>
          <w:lang w:eastAsia="en-GB" w:bidi="en-GB"/>
        </w:rPr>
        <w:t xml:space="preserve"> </w:t>
      </w:r>
      <w:r w:rsidR="00323457" w:rsidRPr="0059638B">
        <w:rPr>
          <w:color w:val="000000"/>
          <w:sz w:val="20"/>
          <w:szCs w:val="20"/>
          <w:lang w:eastAsia="en-GB" w:bidi="en-GB"/>
        </w:rPr>
        <w:t>practices,</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enhancing</w:t>
      </w:r>
      <w:r w:rsidR="00FF41A0">
        <w:rPr>
          <w:color w:val="000000"/>
          <w:sz w:val="20"/>
          <w:szCs w:val="20"/>
          <w:lang w:eastAsia="en-GB" w:bidi="en-GB"/>
        </w:rPr>
        <w:t xml:space="preserve"> </w:t>
      </w:r>
      <w:r w:rsidR="00323457" w:rsidRPr="0059638B">
        <w:rPr>
          <w:color w:val="000000"/>
          <w:sz w:val="20"/>
          <w:szCs w:val="20"/>
          <w:lang w:eastAsia="en-GB" w:bidi="en-GB"/>
        </w:rPr>
        <w:t>access</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women</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girls</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highest</w:t>
      </w:r>
      <w:r w:rsidR="00FF41A0">
        <w:rPr>
          <w:color w:val="000000"/>
          <w:sz w:val="20"/>
          <w:szCs w:val="20"/>
          <w:lang w:eastAsia="en-GB" w:bidi="en-GB"/>
        </w:rPr>
        <w:t xml:space="preserve"> </w:t>
      </w:r>
      <w:r w:rsidR="00323457" w:rsidRPr="0059638B">
        <w:rPr>
          <w:color w:val="000000"/>
          <w:sz w:val="20"/>
          <w:szCs w:val="20"/>
          <w:lang w:eastAsia="en-GB" w:bidi="en-GB"/>
        </w:rPr>
        <w:t>attainable</w:t>
      </w:r>
      <w:r w:rsidR="00FF41A0">
        <w:rPr>
          <w:color w:val="000000"/>
          <w:sz w:val="20"/>
          <w:szCs w:val="20"/>
          <w:lang w:eastAsia="en-GB" w:bidi="en-GB"/>
        </w:rPr>
        <w:t xml:space="preserve"> </w:t>
      </w:r>
      <w:r w:rsidR="00323457" w:rsidRPr="0059638B">
        <w:rPr>
          <w:color w:val="000000"/>
          <w:sz w:val="20"/>
          <w:szCs w:val="20"/>
          <w:lang w:eastAsia="en-GB" w:bidi="en-GB"/>
        </w:rPr>
        <w:t>standard</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healthcare</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other</w:t>
      </w:r>
      <w:r w:rsidR="00FF41A0">
        <w:rPr>
          <w:color w:val="000000"/>
          <w:sz w:val="20"/>
          <w:szCs w:val="20"/>
          <w:lang w:eastAsia="en-GB" w:bidi="en-GB"/>
        </w:rPr>
        <w:t xml:space="preserve"> </w:t>
      </w:r>
      <w:r w:rsidR="00323457" w:rsidRPr="0059638B">
        <w:rPr>
          <w:color w:val="000000"/>
          <w:sz w:val="20"/>
          <w:szCs w:val="20"/>
          <w:lang w:eastAsia="en-GB" w:bidi="en-GB"/>
        </w:rPr>
        <w:t>services.</w:t>
      </w:r>
      <w:r w:rsidR="00FF41A0">
        <w:rPr>
          <w:color w:val="000000"/>
          <w:sz w:val="20"/>
          <w:szCs w:val="20"/>
          <w:lang w:eastAsia="en-GB" w:bidi="en-GB"/>
        </w:rPr>
        <w:t xml:space="preserve"> </w:t>
      </w:r>
      <w:r w:rsidR="00323457" w:rsidRPr="0059638B">
        <w:rPr>
          <w:color w:val="000000"/>
          <w:sz w:val="20"/>
          <w:szCs w:val="20"/>
          <w:lang w:eastAsia="en-GB" w:bidi="en-GB"/>
        </w:rPr>
        <w:t>It</w:t>
      </w:r>
      <w:r w:rsidR="00FF41A0">
        <w:rPr>
          <w:color w:val="000000"/>
          <w:sz w:val="20"/>
          <w:szCs w:val="20"/>
          <w:lang w:eastAsia="en-GB" w:bidi="en-GB"/>
        </w:rPr>
        <w:t xml:space="preserve"> </w:t>
      </w:r>
      <w:r w:rsidR="00323457" w:rsidRPr="0059638B">
        <w:rPr>
          <w:color w:val="000000"/>
          <w:sz w:val="20"/>
          <w:szCs w:val="20"/>
          <w:lang w:eastAsia="en-GB" w:bidi="en-GB"/>
        </w:rPr>
        <w:t>noted</w:t>
      </w:r>
      <w:r w:rsidR="00FF41A0">
        <w:rPr>
          <w:color w:val="000000"/>
          <w:sz w:val="20"/>
          <w:szCs w:val="20"/>
          <w:lang w:eastAsia="en-GB" w:bidi="en-GB"/>
        </w:rPr>
        <w:t xml:space="preserve"> </w:t>
      </w:r>
      <w:r w:rsidR="00323457" w:rsidRPr="0059638B">
        <w:rPr>
          <w:color w:val="000000"/>
          <w:sz w:val="20"/>
          <w:szCs w:val="20"/>
          <w:lang w:eastAsia="en-GB" w:bidi="en-GB"/>
        </w:rPr>
        <w:t>that</w:t>
      </w:r>
      <w:r w:rsidR="00FF41A0">
        <w:rPr>
          <w:color w:val="000000"/>
          <w:sz w:val="20"/>
          <w:szCs w:val="20"/>
          <w:lang w:eastAsia="en-GB" w:bidi="en-GB"/>
        </w:rPr>
        <w:t xml:space="preserve"> </w:t>
      </w:r>
      <w:r w:rsidR="00323457" w:rsidRPr="0059638B">
        <w:rPr>
          <w:color w:val="000000"/>
          <w:sz w:val="20"/>
          <w:szCs w:val="20"/>
          <w:lang w:eastAsia="en-GB" w:bidi="en-GB"/>
        </w:rPr>
        <w:t>there</w:t>
      </w:r>
      <w:r w:rsidR="00FF41A0">
        <w:rPr>
          <w:color w:val="000000"/>
          <w:sz w:val="20"/>
          <w:szCs w:val="20"/>
          <w:lang w:eastAsia="en-GB" w:bidi="en-GB"/>
        </w:rPr>
        <w:t xml:space="preserve"> </w:t>
      </w:r>
      <w:r w:rsidR="00323457" w:rsidRPr="0059638B">
        <w:rPr>
          <w:color w:val="000000"/>
          <w:sz w:val="20"/>
          <w:szCs w:val="20"/>
          <w:lang w:eastAsia="en-GB" w:bidi="en-GB"/>
        </w:rPr>
        <w:t>was</w:t>
      </w:r>
      <w:r w:rsidR="00FF41A0">
        <w:rPr>
          <w:color w:val="000000"/>
          <w:sz w:val="20"/>
          <w:szCs w:val="20"/>
          <w:lang w:eastAsia="en-GB" w:bidi="en-GB"/>
        </w:rPr>
        <w:t xml:space="preserve"> </w:t>
      </w:r>
      <w:r w:rsidR="00323457" w:rsidRPr="0059638B">
        <w:rPr>
          <w:color w:val="000000"/>
          <w:sz w:val="20"/>
          <w:szCs w:val="20"/>
          <w:lang w:eastAsia="en-GB" w:bidi="en-GB"/>
        </w:rPr>
        <w:t>insufficient</w:t>
      </w:r>
      <w:r w:rsidR="00FF41A0">
        <w:rPr>
          <w:color w:val="000000"/>
          <w:sz w:val="20"/>
          <w:szCs w:val="20"/>
          <w:lang w:eastAsia="en-GB" w:bidi="en-GB"/>
        </w:rPr>
        <w:t xml:space="preserve"> </w:t>
      </w:r>
      <w:r w:rsidR="00323457" w:rsidRPr="0059638B">
        <w:rPr>
          <w:color w:val="000000"/>
          <w:sz w:val="20"/>
          <w:szCs w:val="20"/>
          <w:lang w:eastAsia="en-GB" w:bidi="en-GB"/>
        </w:rPr>
        <w:t>data</w:t>
      </w:r>
      <w:r w:rsidR="00FF41A0">
        <w:rPr>
          <w:color w:val="000000"/>
          <w:sz w:val="20"/>
          <w:szCs w:val="20"/>
          <w:lang w:eastAsia="en-GB" w:bidi="en-GB"/>
        </w:rPr>
        <w:t xml:space="preserve"> </w:t>
      </w:r>
      <w:r w:rsidR="00323457" w:rsidRPr="0059638B">
        <w:rPr>
          <w:color w:val="000000"/>
          <w:sz w:val="20"/>
          <w:szCs w:val="20"/>
          <w:lang w:eastAsia="en-GB" w:bidi="en-GB"/>
        </w:rPr>
        <w:t>on</w:t>
      </w:r>
      <w:r w:rsidR="00FF41A0">
        <w:rPr>
          <w:color w:val="000000"/>
          <w:sz w:val="20"/>
          <w:szCs w:val="20"/>
          <w:lang w:eastAsia="en-GB" w:bidi="en-GB"/>
        </w:rPr>
        <w:t xml:space="preserve"> </w:t>
      </w:r>
      <w:r w:rsidR="00323457" w:rsidRPr="0059638B">
        <w:rPr>
          <w:color w:val="000000"/>
          <w:sz w:val="20"/>
          <w:szCs w:val="20"/>
          <w:lang w:eastAsia="en-GB" w:bidi="en-GB"/>
        </w:rPr>
        <w:t>universal</w:t>
      </w:r>
      <w:r w:rsidR="00FF41A0">
        <w:rPr>
          <w:color w:val="000000"/>
          <w:sz w:val="20"/>
          <w:szCs w:val="20"/>
          <w:lang w:eastAsia="en-GB" w:bidi="en-GB"/>
        </w:rPr>
        <w:t xml:space="preserve"> </w:t>
      </w:r>
      <w:r w:rsidR="00323457" w:rsidRPr="0059638B">
        <w:rPr>
          <w:color w:val="000000"/>
          <w:sz w:val="20"/>
          <w:szCs w:val="20"/>
          <w:lang w:eastAsia="en-GB" w:bidi="en-GB"/>
        </w:rPr>
        <w:t>access</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sexual</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reproductive</w:t>
      </w:r>
      <w:r w:rsidR="00FF41A0">
        <w:rPr>
          <w:color w:val="000000"/>
          <w:sz w:val="20"/>
          <w:szCs w:val="20"/>
          <w:lang w:eastAsia="en-GB" w:bidi="en-GB"/>
        </w:rPr>
        <w:t xml:space="preserve"> </w:t>
      </w:r>
      <w:r w:rsidR="00323457" w:rsidRPr="0059638B">
        <w:rPr>
          <w:color w:val="000000"/>
          <w:sz w:val="20"/>
          <w:szCs w:val="20"/>
          <w:lang w:eastAsia="en-GB" w:bidi="en-GB"/>
        </w:rPr>
        <w:t>health</w:t>
      </w:r>
      <w:r w:rsidR="00FF41A0">
        <w:rPr>
          <w:color w:val="000000"/>
          <w:sz w:val="20"/>
          <w:szCs w:val="20"/>
          <w:lang w:eastAsia="en-GB" w:bidi="en-GB"/>
        </w:rPr>
        <w:t xml:space="preserve"> </w:t>
      </w:r>
      <w:r w:rsidR="00323457" w:rsidRPr="0059638B">
        <w:rPr>
          <w:color w:val="000000"/>
          <w:sz w:val="20"/>
          <w:szCs w:val="20"/>
          <w:lang w:eastAsia="en-GB" w:bidi="en-GB"/>
        </w:rPr>
        <w:t>information</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services.</w:t>
      </w:r>
      <w:r w:rsidR="00FF41A0">
        <w:rPr>
          <w:color w:val="000000"/>
          <w:sz w:val="20"/>
          <w:szCs w:val="20"/>
          <w:lang w:eastAsia="en-GB" w:bidi="en-GB"/>
        </w:rPr>
        <w:t xml:space="preserve"> </w:t>
      </w:r>
      <w:r w:rsidR="00323457" w:rsidRPr="0059638B">
        <w:rPr>
          <w:color w:val="000000"/>
          <w:sz w:val="20"/>
          <w:szCs w:val="20"/>
          <w:lang w:eastAsia="en-GB" w:bidi="en-GB"/>
        </w:rPr>
        <w:t>It</w:t>
      </w:r>
      <w:r w:rsidR="00FF41A0">
        <w:rPr>
          <w:color w:val="000000"/>
          <w:sz w:val="20"/>
          <w:szCs w:val="20"/>
          <w:lang w:eastAsia="en-GB" w:bidi="en-GB"/>
        </w:rPr>
        <w:t xml:space="preserve"> </w:t>
      </w:r>
      <w:r w:rsidR="00323457" w:rsidRPr="0059638B">
        <w:rPr>
          <w:color w:val="000000"/>
          <w:sz w:val="20"/>
          <w:szCs w:val="20"/>
          <w:lang w:eastAsia="en-GB" w:bidi="en-GB"/>
        </w:rPr>
        <w:t>commended</w:t>
      </w:r>
      <w:r w:rsidR="00FF41A0">
        <w:rPr>
          <w:color w:val="000000"/>
          <w:sz w:val="20"/>
          <w:szCs w:val="20"/>
          <w:lang w:eastAsia="en-GB" w:bidi="en-GB"/>
        </w:rPr>
        <w:t xml:space="preserve"> </w:t>
      </w:r>
      <w:r w:rsidR="00323457" w:rsidRPr="0059638B">
        <w:rPr>
          <w:color w:val="000000"/>
          <w:sz w:val="20"/>
          <w:szCs w:val="20"/>
          <w:lang w:eastAsia="en-GB" w:bidi="en-GB"/>
        </w:rPr>
        <w:t>Malaysia</w:t>
      </w:r>
      <w:r w:rsidR="00FF41A0">
        <w:rPr>
          <w:color w:val="000000"/>
          <w:sz w:val="20"/>
          <w:szCs w:val="20"/>
          <w:lang w:eastAsia="en-GB" w:bidi="en-GB"/>
        </w:rPr>
        <w:t xml:space="preserve"> </w:t>
      </w:r>
      <w:r w:rsidR="00323457" w:rsidRPr="0059638B">
        <w:rPr>
          <w:color w:val="000000"/>
          <w:sz w:val="20"/>
          <w:szCs w:val="20"/>
          <w:lang w:eastAsia="en-GB" w:bidi="en-GB"/>
        </w:rPr>
        <w:t>for</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establishment</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parliamentary</w:t>
      </w:r>
      <w:r w:rsidR="00FF41A0">
        <w:rPr>
          <w:color w:val="000000"/>
          <w:sz w:val="20"/>
          <w:szCs w:val="20"/>
          <w:lang w:eastAsia="en-GB" w:bidi="en-GB"/>
        </w:rPr>
        <w:t xml:space="preserve"> </w:t>
      </w:r>
      <w:r w:rsidR="00323457" w:rsidRPr="0059638B">
        <w:rPr>
          <w:color w:val="000000"/>
          <w:sz w:val="20"/>
          <w:szCs w:val="20"/>
          <w:lang w:eastAsia="en-GB" w:bidi="en-GB"/>
        </w:rPr>
        <w:t>Special</w:t>
      </w:r>
      <w:r w:rsidR="00FF41A0">
        <w:rPr>
          <w:color w:val="000000"/>
          <w:sz w:val="20"/>
          <w:szCs w:val="20"/>
          <w:lang w:eastAsia="en-GB" w:bidi="en-GB"/>
        </w:rPr>
        <w:t xml:space="preserve"> </w:t>
      </w:r>
      <w:r w:rsidR="00323457" w:rsidRPr="0059638B">
        <w:rPr>
          <w:color w:val="000000"/>
          <w:sz w:val="20"/>
          <w:szCs w:val="20"/>
          <w:lang w:eastAsia="en-GB" w:bidi="en-GB"/>
        </w:rPr>
        <w:t>Select</w:t>
      </w:r>
      <w:r w:rsidR="00FF41A0">
        <w:rPr>
          <w:color w:val="000000"/>
          <w:sz w:val="20"/>
          <w:szCs w:val="20"/>
          <w:lang w:eastAsia="en-GB" w:bidi="en-GB"/>
        </w:rPr>
        <w:t xml:space="preserve"> </w:t>
      </w:r>
      <w:r w:rsidR="00323457" w:rsidRPr="0059638B">
        <w:rPr>
          <w:color w:val="000000"/>
          <w:sz w:val="20"/>
          <w:szCs w:val="20"/>
          <w:lang w:eastAsia="en-GB" w:bidi="en-GB"/>
        </w:rPr>
        <w:t>Committee</w:t>
      </w:r>
      <w:r w:rsidR="00FF41A0">
        <w:rPr>
          <w:color w:val="000000"/>
          <w:sz w:val="20"/>
          <w:szCs w:val="20"/>
          <w:lang w:eastAsia="en-GB" w:bidi="en-GB"/>
        </w:rPr>
        <w:t xml:space="preserve"> </w:t>
      </w:r>
      <w:r w:rsidR="00323457" w:rsidRPr="0059638B">
        <w:rPr>
          <w:color w:val="000000"/>
          <w:sz w:val="20"/>
          <w:szCs w:val="20"/>
          <w:lang w:eastAsia="en-GB" w:bidi="en-GB"/>
        </w:rPr>
        <w:t>on</w:t>
      </w:r>
      <w:r w:rsidR="00FF41A0">
        <w:rPr>
          <w:color w:val="000000"/>
          <w:sz w:val="20"/>
          <w:szCs w:val="20"/>
          <w:lang w:eastAsia="en-GB" w:bidi="en-GB"/>
        </w:rPr>
        <w:t xml:space="preserve"> </w:t>
      </w:r>
      <w:r w:rsidR="00323457" w:rsidRPr="0059638B">
        <w:rPr>
          <w:color w:val="000000"/>
          <w:sz w:val="20"/>
          <w:szCs w:val="20"/>
          <w:lang w:eastAsia="en-GB" w:bidi="en-GB"/>
        </w:rPr>
        <w:t>Rights</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Gender</w:t>
      </w:r>
      <w:r w:rsidR="00FF41A0">
        <w:rPr>
          <w:color w:val="000000"/>
          <w:sz w:val="20"/>
          <w:szCs w:val="20"/>
          <w:lang w:eastAsia="en-GB" w:bidi="en-GB"/>
        </w:rPr>
        <w:t xml:space="preserve"> </w:t>
      </w:r>
      <w:r w:rsidR="00323457" w:rsidRPr="0059638B">
        <w:rPr>
          <w:color w:val="000000"/>
          <w:sz w:val="20"/>
          <w:szCs w:val="20"/>
          <w:lang w:eastAsia="en-GB" w:bidi="en-GB"/>
        </w:rPr>
        <w:t>Equality.</w:t>
      </w:r>
      <w:r w:rsidR="00FF41A0">
        <w:rPr>
          <w:color w:val="000000"/>
          <w:sz w:val="20"/>
          <w:szCs w:val="20"/>
          <w:lang w:eastAsia="en-GB" w:bidi="en-GB"/>
        </w:rPr>
        <w:t xml:space="preserve"> </w:t>
      </w:r>
      <w:r w:rsidR="00323457" w:rsidRPr="0059638B">
        <w:rPr>
          <w:color w:val="000000"/>
          <w:sz w:val="20"/>
          <w:szCs w:val="20"/>
          <w:lang w:eastAsia="en-GB" w:bidi="en-GB"/>
        </w:rPr>
        <w:t>It</w:t>
      </w:r>
      <w:r w:rsidR="00FF41A0">
        <w:rPr>
          <w:color w:val="000000"/>
          <w:sz w:val="20"/>
          <w:szCs w:val="20"/>
          <w:lang w:eastAsia="en-GB" w:bidi="en-GB"/>
        </w:rPr>
        <w:t xml:space="preserve"> </w:t>
      </w:r>
      <w:r w:rsidR="00323457" w:rsidRPr="0059638B">
        <w:rPr>
          <w:color w:val="000000"/>
          <w:sz w:val="20"/>
          <w:szCs w:val="20"/>
          <w:lang w:eastAsia="en-GB" w:bidi="en-GB"/>
        </w:rPr>
        <w:t>would</w:t>
      </w:r>
      <w:r w:rsidR="00FF41A0">
        <w:rPr>
          <w:color w:val="000000"/>
          <w:sz w:val="20"/>
          <w:szCs w:val="20"/>
          <w:lang w:eastAsia="en-GB" w:bidi="en-GB"/>
        </w:rPr>
        <w:t xml:space="preserve"> </w:t>
      </w:r>
      <w:r w:rsidR="00323457" w:rsidRPr="0059638B">
        <w:rPr>
          <w:color w:val="000000"/>
          <w:sz w:val="20"/>
          <w:szCs w:val="20"/>
          <w:lang w:eastAsia="en-GB" w:bidi="en-GB"/>
        </w:rPr>
        <w:t>support</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empowerment</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young</w:t>
      </w:r>
      <w:r w:rsidR="00FF41A0">
        <w:rPr>
          <w:color w:val="000000"/>
          <w:sz w:val="20"/>
          <w:szCs w:val="20"/>
          <w:lang w:eastAsia="en-GB" w:bidi="en-GB"/>
        </w:rPr>
        <w:t xml:space="preserve"> </w:t>
      </w:r>
      <w:r w:rsidR="00323457" w:rsidRPr="0059638B">
        <w:rPr>
          <w:color w:val="000000"/>
          <w:sz w:val="20"/>
          <w:szCs w:val="20"/>
          <w:lang w:eastAsia="en-GB" w:bidi="en-GB"/>
        </w:rPr>
        <w:t>people</w:t>
      </w:r>
      <w:r w:rsidR="00FF41A0">
        <w:rPr>
          <w:color w:val="000000"/>
          <w:sz w:val="20"/>
          <w:szCs w:val="20"/>
          <w:lang w:eastAsia="en-GB" w:bidi="en-GB"/>
        </w:rPr>
        <w:t xml:space="preserve"> </w:t>
      </w:r>
      <w:r w:rsidR="00323457" w:rsidRPr="0059638B">
        <w:rPr>
          <w:color w:val="000000"/>
          <w:sz w:val="20"/>
          <w:szCs w:val="20"/>
          <w:lang w:eastAsia="en-GB" w:bidi="en-GB"/>
        </w:rPr>
        <w:t>through</w:t>
      </w:r>
      <w:r w:rsidR="00FF41A0">
        <w:rPr>
          <w:color w:val="000000"/>
          <w:sz w:val="20"/>
          <w:szCs w:val="20"/>
          <w:lang w:eastAsia="en-GB" w:bidi="en-GB"/>
        </w:rPr>
        <w:t xml:space="preserve"> </w:t>
      </w:r>
      <w:r w:rsidR="00323457" w:rsidRPr="0059638B">
        <w:rPr>
          <w:color w:val="000000"/>
          <w:sz w:val="20"/>
          <w:szCs w:val="20"/>
          <w:lang w:eastAsia="en-GB" w:bidi="en-GB"/>
        </w:rPr>
        <w:t>life</w:t>
      </w:r>
      <w:r w:rsidR="00FF41A0">
        <w:rPr>
          <w:color w:val="000000"/>
          <w:sz w:val="20"/>
          <w:szCs w:val="20"/>
          <w:lang w:eastAsia="en-GB" w:bidi="en-GB"/>
        </w:rPr>
        <w:t xml:space="preserve"> </w:t>
      </w:r>
      <w:r w:rsidR="00323457" w:rsidRPr="0059638B">
        <w:rPr>
          <w:color w:val="000000"/>
          <w:sz w:val="20"/>
          <w:szCs w:val="20"/>
          <w:lang w:eastAsia="en-GB" w:bidi="en-GB"/>
        </w:rPr>
        <w:t>skills</w:t>
      </w:r>
      <w:r w:rsidR="00FF41A0">
        <w:rPr>
          <w:color w:val="000000"/>
          <w:sz w:val="20"/>
          <w:szCs w:val="20"/>
          <w:lang w:eastAsia="en-GB" w:bidi="en-GB"/>
        </w:rPr>
        <w:t xml:space="preserve"> </w:t>
      </w:r>
      <w:r w:rsidR="00323457" w:rsidRPr="0059638B">
        <w:rPr>
          <w:color w:val="000000"/>
          <w:sz w:val="20"/>
          <w:szCs w:val="20"/>
          <w:lang w:eastAsia="en-GB" w:bidi="en-GB"/>
        </w:rPr>
        <w:t>education</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advocate</w:t>
      </w:r>
      <w:r w:rsidR="00FF41A0">
        <w:rPr>
          <w:color w:val="000000"/>
          <w:sz w:val="20"/>
          <w:szCs w:val="20"/>
          <w:lang w:eastAsia="en-GB" w:bidi="en-GB"/>
        </w:rPr>
        <w:t xml:space="preserve"> </w:t>
      </w:r>
      <w:r w:rsidR="00323457" w:rsidRPr="0059638B">
        <w:rPr>
          <w:color w:val="000000"/>
          <w:sz w:val="20"/>
          <w:szCs w:val="20"/>
          <w:lang w:eastAsia="en-GB" w:bidi="en-GB"/>
        </w:rPr>
        <w:t>for</w:t>
      </w:r>
      <w:r w:rsidR="00FF41A0">
        <w:rPr>
          <w:color w:val="000000"/>
          <w:sz w:val="20"/>
          <w:szCs w:val="20"/>
          <w:lang w:eastAsia="en-GB" w:bidi="en-GB"/>
        </w:rPr>
        <w:t xml:space="preserve"> </w:t>
      </w:r>
      <w:r w:rsidR="00323457" w:rsidRPr="0059638B">
        <w:rPr>
          <w:color w:val="000000"/>
          <w:sz w:val="20"/>
          <w:szCs w:val="20"/>
          <w:lang w:eastAsia="en-GB" w:bidi="en-GB"/>
        </w:rPr>
        <w:t>their</w:t>
      </w:r>
      <w:r w:rsidR="00FF41A0">
        <w:rPr>
          <w:color w:val="000000"/>
          <w:sz w:val="20"/>
          <w:szCs w:val="20"/>
          <w:lang w:eastAsia="en-GB" w:bidi="en-GB"/>
        </w:rPr>
        <w:t xml:space="preserve"> </w:t>
      </w:r>
      <w:r w:rsidR="00323457" w:rsidRPr="0059638B">
        <w:rPr>
          <w:color w:val="000000"/>
          <w:sz w:val="20"/>
          <w:szCs w:val="20"/>
          <w:lang w:eastAsia="en-GB" w:bidi="en-GB"/>
        </w:rPr>
        <w:t>protection</w:t>
      </w:r>
      <w:r w:rsidR="00FF41A0">
        <w:rPr>
          <w:color w:val="000000"/>
          <w:sz w:val="20"/>
          <w:szCs w:val="20"/>
          <w:lang w:eastAsia="en-GB" w:bidi="en-GB"/>
        </w:rPr>
        <w:t xml:space="preserve"> </w:t>
      </w:r>
      <w:r w:rsidR="00323457" w:rsidRPr="0059638B">
        <w:rPr>
          <w:color w:val="000000"/>
          <w:sz w:val="20"/>
          <w:szCs w:val="20"/>
          <w:lang w:eastAsia="en-GB" w:bidi="en-GB"/>
        </w:rPr>
        <w:t>from</w:t>
      </w:r>
      <w:r w:rsidR="00FF41A0">
        <w:rPr>
          <w:color w:val="000000"/>
          <w:sz w:val="20"/>
          <w:szCs w:val="20"/>
          <w:lang w:eastAsia="en-GB" w:bidi="en-GB"/>
        </w:rPr>
        <w:t xml:space="preserve"> </w:t>
      </w:r>
      <w:r w:rsidR="00323457" w:rsidRPr="0059638B">
        <w:rPr>
          <w:color w:val="000000"/>
          <w:sz w:val="20"/>
          <w:szCs w:val="20"/>
          <w:lang w:eastAsia="en-GB" w:bidi="en-GB"/>
        </w:rPr>
        <w:t>harmful</w:t>
      </w:r>
      <w:r w:rsidR="00FF41A0">
        <w:rPr>
          <w:color w:val="000000"/>
          <w:sz w:val="20"/>
          <w:szCs w:val="20"/>
          <w:lang w:eastAsia="en-GB" w:bidi="en-GB"/>
        </w:rPr>
        <w:t xml:space="preserve"> </w:t>
      </w:r>
      <w:r w:rsidR="00323457" w:rsidRPr="0059638B">
        <w:rPr>
          <w:color w:val="000000"/>
          <w:sz w:val="20"/>
          <w:szCs w:val="20"/>
          <w:lang w:eastAsia="en-GB" w:bidi="en-GB"/>
        </w:rPr>
        <w:t>practices,</w:t>
      </w:r>
      <w:r w:rsidR="00FF41A0">
        <w:rPr>
          <w:color w:val="000000"/>
          <w:sz w:val="20"/>
          <w:szCs w:val="20"/>
          <w:lang w:eastAsia="en-GB" w:bidi="en-GB"/>
        </w:rPr>
        <w:t xml:space="preserve"> </w:t>
      </w:r>
      <w:r w:rsidR="00323457" w:rsidRPr="0059638B">
        <w:rPr>
          <w:color w:val="000000"/>
          <w:sz w:val="20"/>
          <w:szCs w:val="20"/>
          <w:lang w:eastAsia="en-GB" w:bidi="en-GB"/>
        </w:rPr>
        <w:t>including</w:t>
      </w:r>
      <w:r w:rsidR="00FF41A0">
        <w:rPr>
          <w:color w:val="000000"/>
          <w:sz w:val="20"/>
          <w:szCs w:val="20"/>
          <w:lang w:eastAsia="en-GB" w:bidi="en-GB"/>
        </w:rPr>
        <w:t xml:space="preserve"> </w:t>
      </w:r>
      <w:r w:rsidR="00323457" w:rsidRPr="0059638B">
        <w:rPr>
          <w:color w:val="000000"/>
          <w:sz w:val="20"/>
          <w:szCs w:val="20"/>
          <w:lang w:eastAsia="en-GB" w:bidi="en-GB"/>
        </w:rPr>
        <w:t>female</w:t>
      </w:r>
      <w:r w:rsidR="00FF41A0">
        <w:rPr>
          <w:color w:val="000000"/>
          <w:sz w:val="20"/>
          <w:szCs w:val="20"/>
          <w:lang w:eastAsia="en-GB" w:bidi="en-GB"/>
        </w:rPr>
        <w:t xml:space="preserve"> </w:t>
      </w:r>
      <w:r w:rsidR="00323457" w:rsidRPr="0059638B">
        <w:rPr>
          <w:color w:val="000000"/>
          <w:sz w:val="20"/>
          <w:szCs w:val="20"/>
          <w:lang w:eastAsia="en-GB" w:bidi="en-GB"/>
        </w:rPr>
        <w:t>genital</w:t>
      </w:r>
      <w:r w:rsidR="00FF41A0">
        <w:rPr>
          <w:color w:val="000000"/>
          <w:sz w:val="20"/>
          <w:szCs w:val="20"/>
          <w:lang w:eastAsia="en-GB" w:bidi="en-GB"/>
        </w:rPr>
        <w:t xml:space="preserve"> </w:t>
      </w:r>
      <w:r w:rsidR="00323457" w:rsidRPr="0059638B">
        <w:rPr>
          <w:color w:val="000000"/>
          <w:sz w:val="20"/>
          <w:szCs w:val="20"/>
          <w:lang w:eastAsia="en-GB" w:bidi="en-GB"/>
        </w:rPr>
        <w:t>cutting.</w:t>
      </w:r>
      <w:r w:rsidR="00FF41A0">
        <w:rPr>
          <w:color w:val="000000"/>
          <w:sz w:val="20"/>
          <w:szCs w:val="20"/>
          <w:lang w:eastAsia="en-GB" w:bidi="en-GB"/>
        </w:rPr>
        <w:t xml:space="preserve"> </w:t>
      </w:r>
    </w:p>
    <w:p w14:paraId="6686B908" w14:textId="03EC374C" w:rsidR="00323457" w:rsidRPr="0059638B" w:rsidRDefault="00972F1E" w:rsidP="00323457">
      <w:pPr>
        <w:pStyle w:val="SingleTxtG"/>
        <w:rPr>
          <w:color w:val="000000"/>
          <w:sz w:val="20"/>
          <w:szCs w:val="20"/>
          <w:lang w:eastAsia="en-GB" w:bidi="en-GB"/>
        </w:rPr>
      </w:pPr>
      <w:r>
        <w:rPr>
          <w:color w:val="000000"/>
          <w:sz w:val="20"/>
          <w:szCs w:val="20"/>
          <w:lang w:eastAsia="en-GB" w:bidi="en-GB"/>
        </w:rPr>
        <w:t>657</w:t>
      </w:r>
      <w:r w:rsidR="00D7475F">
        <w:rPr>
          <w:color w:val="000000"/>
          <w:sz w:val="20"/>
          <w:szCs w:val="20"/>
          <w:lang w:eastAsia="en-GB" w:bidi="en-GB"/>
        </w:rPr>
        <w:t>.</w:t>
      </w:r>
      <w:r w:rsidR="00D7475F">
        <w:rPr>
          <w:color w:val="000000"/>
          <w:sz w:val="20"/>
          <w:szCs w:val="20"/>
          <w:lang w:eastAsia="en-GB" w:bidi="en-GB"/>
        </w:rPr>
        <w:tab/>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Bolivarian</w:t>
      </w:r>
      <w:r w:rsidR="00FF41A0">
        <w:rPr>
          <w:color w:val="000000"/>
          <w:sz w:val="20"/>
          <w:szCs w:val="20"/>
          <w:lang w:eastAsia="en-GB" w:bidi="en-GB"/>
        </w:rPr>
        <w:t xml:space="preserve"> </w:t>
      </w:r>
      <w:r w:rsidR="00323457" w:rsidRPr="0059638B">
        <w:rPr>
          <w:color w:val="000000"/>
          <w:sz w:val="20"/>
          <w:szCs w:val="20"/>
          <w:lang w:eastAsia="en-GB" w:bidi="en-GB"/>
        </w:rPr>
        <w:t>Republic</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Venezuela</w:t>
      </w:r>
      <w:r w:rsidR="00FF41A0">
        <w:rPr>
          <w:color w:val="000000"/>
          <w:sz w:val="20"/>
          <w:szCs w:val="20"/>
          <w:lang w:eastAsia="en-GB" w:bidi="en-GB"/>
        </w:rPr>
        <w:t xml:space="preserve"> </w:t>
      </w:r>
      <w:r w:rsidR="00323457" w:rsidRPr="0059638B">
        <w:rPr>
          <w:color w:val="000000"/>
          <w:sz w:val="20"/>
          <w:szCs w:val="20"/>
          <w:lang w:eastAsia="en-GB" w:bidi="en-GB"/>
        </w:rPr>
        <w:t>welcomed</w:t>
      </w:r>
      <w:r w:rsidR="00FF41A0">
        <w:rPr>
          <w:color w:val="000000"/>
          <w:sz w:val="20"/>
          <w:szCs w:val="20"/>
          <w:lang w:eastAsia="en-GB" w:bidi="en-GB"/>
        </w:rPr>
        <w:t xml:space="preserve"> </w:t>
      </w:r>
      <w:r w:rsidR="00323457" w:rsidRPr="0059638B">
        <w:rPr>
          <w:color w:val="000000"/>
          <w:sz w:val="20"/>
          <w:szCs w:val="20"/>
          <w:lang w:eastAsia="en-GB" w:bidi="en-GB"/>
        </w:rPr>
        <w:t>programmes</w:t>
      </w:r>
      <w:r w:rsidR="00FF41A0">
        <w:rPr>
          <w:color w:val="000000"/>
          <w:sz w:val="20"/>
          <w:szCs w:val="20"/>
          <w:lang w:eastAsia="en-GB" w:bidi="en-GB"/>
        </w:rPr>
        <w:t xml:space="preserve"> </w:t>
      </w:r>
      <w:r w:rsidR="00323457" w:rsidRPr="0059638B">
        <w:rPr>
          <w:color w:val="000000"/>
          <w:sz w:val="20"/>
          <w:szCs w:val="20"/>
          <w:lang w:eastAsia="en-GB" w:bidi="en-GB"/>
        </w:rPr>
        <w:t>launched</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strengthen</w:t>
      </w:r>
      <w:r w:rsidR="00FF41A0">
        <w:rPr>
          <w:color w:val="000000"/>
          <w:sz w:val="20"/>
          <w:szCs w:val="20"/>
          <w:lang w:eastAsia="en-GB" w:bidi="en-GB"/>
        </w:rPr>
        <w:t xml:space="preserve"> </w:t>
      </w:r>
      <w:r w:rsidR="00323457" w:rsidRPr="0059638B">
        <w:rPr>
          <w:color w:val="000000"/>
          <w:sz w:val="20"/>
          <w:szCs w:val="20"/>
          <w:lang w:eastAsia="en-GB" w:bidi="en-GB"/>
        </w:rPr>
        <w:t>interactions</w:t>
      </w:r>
      <w:r w:rsidR="00FF41A0">
        <w:rPr>
          <w:color w:val="000000"/>
          <w:sz w:val="20"/>
          <w:szCs w:val="20"/>
          <w:lang w:eastAsia="en-GB" w:bidi="en-GB"/>
        </w:rPr>
        <w:t xml:space="preserve"> </w:t>
      </w:r>
      <w:r w:rsidR="00323457" w:rsidRPr="0059638B">
        <w:rPr>
          <w:color w:val="000000"/>
          <w:sz w:val="20"/>
          <w:szCs w:val="20"/>
          <w:lang w:eastAsia="en-GB" w:bidi="en-GB"/>
        </w:rPr>
        <w:t>between</w:t>
      </w:r>
      <w:r w:rsidR="00FF41A0">
        <w:rPr>
          <w:color w:val="000000"/>
          <w:sz w:val="20"/>
          <w:szCs w:val="20"/>
          <w:lang w:eastAsia="en-GB" w:bidi="en-GB"/>
        </w:rPr>
        <w:t xml:space="preserve"> </w:t>
      </w:r>
      <w:r w:rsidR="00323457" w:rsidRPr="0059638B">
        <w:rPr>
          <w:color w:val="000000"/>
          <w:sz w:val="20"/>
          <w:szCs w:val="20"/>
          <w:lang w:eastAsia="en-GB" w:bidi="en-GB"/>
        </w:rPr>
        <w:t>races</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religions</w:t>
      </w:r>
      <w:r w:rsidR="00FF41A0">
        <w:rPr>
          <w:color w:val="000000"/>
          <w:sz w:val="20"/>
          <w:szCs w:val="20"/>
          <w:lang w:eastAsia="en-GB" w:bidi="en-GB"/>
        </w:rPr>
        <w:t xml:space="preserve"> </w:t>
      </w:r>
      <w:r w:rsidR="00323457" w:rsidRPr="0059638B">
        <w:rPr>
          <w:color w:val="000000"/>
          <w:sz w:val="20"/>
          <w:szCs w:val="20"/>
          <w:lang w:eastAsia="en-GB" w:bidi="en-GB"/>
        </w:rPr>
        <w:t>in</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country</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respect</w:t>
      </w:r>
      <w:r w:rsidR="00FF41A0">
        <w:rPr>
          <w:color w:val="000000"/>
          <w:sz w:val="20"/>
          <w:szCs w:val="20"/>
          <w:lang w:eastAsia="en-GB" w:bidi="en-GB"/>
        </w:rPr>
        <w:t xml:space="preserve"> </w:t>
      </w:r>
      <w:r w:rsidR="00323457" w:rsidRPr="0059638B">
        <w:rPr>
          <w:color w:val="000000"/>
          <w:sz w:val="20"/>
          <w:szCs w:val="20"/>
          <w:lang w:eastAsia="en-GB" w:bidi="en-GB"/>
        </w:rPr>
        <w:t>between</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various</w:t>
      </w:r>
      <w:r w:rsidR="00FF41A0">
        <w:rPr>
          <w:color w:val="000000"/>
          <w:sz w:val="20"/>
          <w:szCs w:val="20"/>
          <w:lang w:eastAsia="en-GB" w:bidi="en-GB"/>
        </w:rPr>
        <w:t xml:space="preserve"> </w:t>
      </w:r>
      <w:r w:rsidR="00323457" w:rsidRPr="0059638B">
        <w:rPr>
          <w:color w:val="000000"/>
          <w:sz w:val="20"/>
          <w:szCs w:val="20"/>
          <w:lang w:eastAsia="en-GB" w:bidi="en-GB"/>
        </w:rPr>
        <w:t>religious</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ethnic</w:t>
      </w:r>
      <w:r w:rsidR="00FF41A0">
        <w:rPr>
          <w:color w:val="000000"/>
          <w:sz w:val="20"/>
          <w:szCs w:val="20"/>
          <w:lang w:eastAsia="en-GB" w:bidi="en-GB"/>
        </w:rPr>
        <w:t xml:space="preserve"> </w:t>
      </w:r>
      <w:r w:rsidR="00323457" w:rsidRPr="0059638B">
        <w:rPr>
          <w:color w:val="000000"/>
          <w:sz w:val="20"/>
          <w:szCs w:val="20"/>
          <w:lang w:eastAsia="en-GB" w:bidi="en-GB"/>
        </w:rPr>
        <w:t>groups</w:t>
      </w:r>
      <w:r w:rsidR="00FF41A0">
        <w:rPr>
          <w:color w:val="000000"/>
          <w:sz w:val="20"/>
          <w:szCs w:val="20"/>
          <w:lang w:eastAsia="en-GB" w:bidi="en-GB"/>
        </w:rPr>
        <w:t xml:space="preserve"> </w:t>
      </w:r>
      <w:r w:rsidR="00323457" w:rsidRPr="0059638B">
        <w:rPr>
          <w:color w:val="000000"/>
          <w:sz w:val="20"/>
          <w:szCs w:val="20"/>
          <w:lang w:eastAsia="en-GB" w:bidi="en-GB"/>
        </w:rPr>
        <w:t>through</w:t>
      </w:r>
      <w:r w:rsidR="00FF41A0">
        <w:rPr>
          <w:color w:val="000000"/>
          <w:sz w:val="20"/>
          <w:szCs w:val="20"/>
          <w:lang w:eastAsia="en-GB" w:bidi="en-GB"/>
        </w:rPr>
        <w:t xml:space="preserve"> </w:t>
      </w:r>
      <w:r w:rsidR="00323457" w:rsidRPr="0059638B">
        <w:rPr>
          <w:color w:val="000000"/>
          <w:sz w:val="20"/>
          <w:szCs w:val="20"/>
          <w:lang w:eastAsia="en-GB" w:bidi="en-GB"/>
        </w:rPr>
        <w:t>interfaith</w:t>
      </w:r>
      <w:r w:rsidR="00FF41A0">
        <w:rPr>
          <w:color w:val="000000"/>
          <w:sz w:val="20"/>
          <w:szCs w:val="20"/>
          <w:lang w:eastAsia="en-GB" w:bidi="en-GB"/>
        </w:rPr>
        <w:t xml:space="preserve"> </w:t>
      </w:r>
      <w:r w:rsidR="00323457" w:rsidRPr="0059638B">
        <w:rPr>
          <w:color w:val="000000"/>
          <w:sz w:val="20"/>
          <w:szCs w:val="20"/>
          <w:lang w:eastAsia="en-GB" w:bidi="en-GB"/>
        </w:rPr>
        <w:t>dialogues</w:t>
      </w:r>
      <w:r w:rsidR="00FF41A0">
        <w:rPr>
          <w:color w:val="000000"/>
          <w:sz w:val="20"/>
          <w:szCs w:val="20"/>
          <w:lang w:eastAsia="en-GB" w:bidi="en-GB"/>
        </w:rPr>
        <w:t xml:space="preserve"> </w:t>
      </w:r>
      <w:r w:rsidR="00323457" w:rsidRPr="0059638B">
        <w:rPr>
          <w:color w:val="000000"/>
          <w:sz w:val="20"/>
          <w:szCs w:val="20"/>
          <w:lang w:eastAsia="en-GB" w:bidi="en-GB"/>
        </w:rPr>
        <w:t>at</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local,</w:t>
      </w:r>
      <w:r w:rsidR="00FF41A0">
        <w:rPr>
          <w:color w:val="000000"/>
          <w:sz w:val="20"/>
          <w:szCs w:val="20"/>
          <w:lang w:eastAsia="en-GB" w:bidi="en-GB"/>
        </w:rPr>
        <w:t xml:space="preserve"> </w:t>
      </w:r>
      <w:r w:rsidR="00323457" w:rsidRPr="0059638B">
        <w:rPr>
          <w:color w:val="000000"/>
          <w:sz w:val="20"/>
          <w:szCs w:val="20"/>
          <w:lang w:eastAsia="en-GB" w:bidi="en-GB"/>
        </w:rPr>
        <w:t>regional,</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international</w:t>
      </w:r>
      <w:r w:rsidR="00FF41A0">
        <w:rPr>
          <w:color w:val="000000"/>
          <w:sz w:val="20"/>
          <w:szCs w:val="20"/>
          <w:lang w:eastAsia="en-GB" w:bidi="en-GB"/>
        </w:rPr>
        <w:t xml:space="preserve"> </w:t>
      </w:r>
      <w:r w:rsidR="00323457" w:rsidRPr="0059638B">
        <w:rPr>
          <w:color w:val="000000"/>
          <w:sz w:val="20"/>
          <w:szCs w:val="20"/>
          <w:lang w:eastAsia="en-GB" w:bidi="en-GB"/>
        </w:rPr>
        <w:t>levels.</w:t>
      </w:r>
      <w:r w:rsidR="00FF41A0">
        <w:rPr>
          <w:color w:val="000000"/>
          <w:sz w:val="20"/>
          <w:szCs w:val="20"/>
          <w:lang w:eastAsia="en-GB" w:bidi="en-GB"/>
        </w:rPr>
        <w:t xml:space="preserve"> </w:t>
      </w:r>
      <w:r w:rsidR="00323457" w:rsidRPr="0059638B">
        <w:rPr>
          <w:color w:val="000000"/>
          <w:sz w:val="20"/>
          <w:szCs w:val="20"/>
          <w:lang w:eastAsia="en-GB" w:bidi="en-GB"/>
        </w:rPr>
        <w:t>It</w:t>
      </w:r>
      <w:r w:rsidR="00FF41A0">
        <w:rPr>
          <w:color w:val="000000"/>
          <w:sz w:val="20"/>
          <w:szCs w:val="20"/>
          <w:lang w:eastAsia="en-GB" w:bidi="en-GB"/>
        </w:rPr>
        <w:t xml:space="preserve"> </w:t>
      </w:r>
      <w:r w:rsidR="00323457" w:rsidRPr="0059638B">
        <w:rPr>
          <w:color w:val="000000"/>
          <w:sz w:val="20"/>
          <w:szCs w:val="20"/>
          <w:lang w:eastAsia="en-GB" w:bidi="en-GB"/>
        </w:rPr>
        <w:t>welcomed</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Malaysia</w:t>
      </w:r>
      <w:r w:rsidR="00FF41A0">
        <w:rPr>
          <w:color w:val="000000"/>
          <w:sz w:val="20"/>
          <w:szCs w:val="20"/>
          <w:lang w:eastAsia="en-GB" w:bidi="en-GB"/>
        </w:rPr>
        <w:t xml:space="preserve"> </w:t>
      </w:r>
      <w:r w:rsidR="00323457" w:rsidRPr="0059638B">
        <w:rPr>
          <w:color w:val="000000"/>
          <w:sz w:val="20"/>
          <w:szCs w:val="20"/>
          <w:lang w:eastAsia="en-GB" w:bidi="en-GB"/>
        </w:rPr>
        <w:t>Plan</w:t>
      </w:r>
      <w:r w:rsidR="00FF41A0">
        <w:rPr>
          <w:color w:val="000000"/>
          <w:sz w:val="20"/>
          <w:szCs w:val="20"/>
          <w:lang w:eastAsia="en-GB" w:bidi="en-GB"/>
        </w:rPr>
        <w:t xml:space="preserve"> </w:t>
      </w:r>
      <w:r w:rsidR="00323457" w:rsidRPr="0059638B">
        <w:rPr>
          <w:color w:val="000000"/>
          <w:sz w:val="20"/>
          <w:szCs w:val="20"/>
          <w:lang w:eastAsia="en-GB" w:bidi="en-GB"/>
        </w:rPr>
        <w:t>that</w:t>
      </w:r>
      <w:r w:rsidR="00FF41A0">
        <w:rPr>
          <w:color w:val="000000"/>
          <w:sz w:val="20"/>
          <w:szCs w:val="20"/>
          <w:lang w:eastAsia="en-GB" w:bidi="en-GB"/>
        </w:rPr>
        <w:t xml:space="preserve"> </w:t>
      </w:r>
      <w:r w:rsidR="00323457" w:rsidRPr="0059638B">
        <w:rPr>
          <w:color w:val="000000"/>
          <w:sz w:val="20"/>
          <w:szCs w:val="20"/>
          <w:lang w:eastAsia="en-GB" w:bidi="en-GB"/>
        </w:rPr>
        <w:t>prioritized</w:t>
      </w:r>
      <w:r w:rsidR="00FF41A0">
        <w:rPr>
          <w:color w:val="000000"/>
          <w:sz w:val="20"/>
          <w:szCs w:val="20"/>
          <w:lang w:eastAsia="en-GB" w:bidi="en-GB"/>
        </w:rPr>
        <w:t xml:space="preserve"> </w:t>
      </w:r>
      <w:r w:rsidR="00323457" w:rsidRPr="0059638B">
        <w:rPr>
          <w:color w:val="000000"/>
          <w:sz w:val="20"/>
          <w:szCs w:val="20"/>
          <w:lang w:eastAsia="en-GB" w:bidi="en-GB"/>
        </w:rPr>
        <w:t>improvements</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wellness</w:t>
      </w:r>
      <w:r w:rsidR="00FF41A0">
        <w:rPr>
          <w:color w:val="000000"/>
          <w:sz w:val="20"/>
          <w:szCs w:val="20"/>
          <w:lang w:eastAsia="en-GB" w:bidi="en-GB"/>
        </w:rPr>
        <w:t xml:space="preserve"> </w:t>
      </w:r>
      <w:r w:rsidR="00323457" w:rsidRPr="0059638B">
        <w:rPr>
          <w:color w:val="000000"/>
          <w:sz w:val="20"/>
          <w:szCs w:val="20"/>
          <w:lang w:eastAsia="en-GB" w:bidi="en-GB"/>
        </w:rPr>
        <w:t>in</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health</w:t>
      </w:r>
      <w:r w:rsidR="00FF41A0">
        <w:rPr>
          <w:color w:val="000000"/>
          <w:sz w:val="20"/>
          <w:szCs w:val="20"/>
          <w:lang w:eastAsia="en-GB" w:bidi="en-GB"/>
        </w:rPr>
        <w:t xml:space="preserve"> </w:t>
      </w:r>
      <w:r w:rsidR="00323457" w:rsidRPr="0059638B">
        <w:rPr>
          <w:color w:val="000000"/>
          <w:sz w:val="20"/>
          <w:szCs w:val="20"/>
          <w:lang w:eastAsia="en-GB" w:bidi="en-GB"/>
        </w:rPr>
        <w:t>system,</w:t>
      </w:r>
      <w:r w:rsidR="00FF41A0">
        <w:rPr>
          <w:color w:val="000000"/>
          <w:sz w:val="20"/>
          <w:szCs w:val="20"/>
          <w:lang w:eastAsia="en-GB" w:bidi="en-GB"/>
        </w:rPr>
        <w:t xml:space="preserve"> </w:t>
      </w:r>
      <w:r w:rsidR="00323457" w:rsidRPr="0059638B">
        <w:rPr>
          <w:color w:val="000000"/>
          <w:sz w:val="20"/>
          <w:szCs w:val="20"/>
          <w:lang w:eastAsia="en-GB" w:bidi="en-GB"/>
        </w:rPr>
        <w:t>aligned</w:t>
      </w:r>
      <w:r w:rsidR="00FF41A0">
        <w:rPr>
          <w:color w:val="000000"/>
          <w:sz w:val="20"/>
          <w:szCs w:val="20"/>
          <w:lang w:eastAsia="en-GB" w:bidi="en-GB"/>
        </w:rPr>
        <w:t xml:space="preserve"> </w:t>
      </w:r>
      <w:r w:rsidR="00323457" w:rsidRPr="0059638B">
        <w:rPr>
          <w:color w:val="000000"/>
          <w:sz w:val="20"/>
          <w:szCs w:val="20"/>
          <w:lang w:eastAsia="en-GB" w:bidi="en-GB"/>
        </w:rPr>
        <w:t>with</w:t>
      </w:r>
      <w:r w:rsidR="00FF41A0">
        <w:rPr>
          <w:color w:val="000000"/>
          <w:sz w:val="20"/>
          <w:szCs w:val="20"/>
          <w:lang w:eastAsia="en-GB" w:bidi="en-GB"/>
        </w:rPr>
        <w:t xml:space="preserve"> </w:t>
      </w:r>
      <w:r w:rsidR="00323457" w:rsidRPr="0059638B">
        <w:rPr>
          <w:color w:val="000000"/>
          <w:sz w:val="20"/>
          <w:szCs w:val="20"/>
          <w:lang w:eastAsia="en-GB" w:bidi="en-GB"/>
        </w:rPr>
        <w:t>Sustainable</w:t>
      </w:r>
      <w:r w:rsidR="00FF41A0">
        <w:rPr>
          <w:color w:val="000000"/>
          <w:sz w:val="20"/>
          <w:szCs w:val="20"/>
          <w:lang w:eastAsia="en-GB" w:bidi="en-GB"/>
        </w:rPr>
        <w:t xml:space="preserve"> </w:t>
      </w:r>
      <w:r w:rsidR="00323457" w:rsidRPr="0059638B">
        <w:rPr>
          <w:color w:val="000000"/>
          <w:sz w:val="20"/>
          <w:szCs w:val="20"/>
          <w:lang w:eastAsia="en-GB" w:bidi="en-GB"/>
        </w:rPr>
        <w:t>Development</w:t>
      </w:r>
      <w:r w:rsidR="00FF41A0">
        <w:rPr>
          <w:color w:val="000000"/>
          <w:sz w:val="20"/>
          <w:szCs w:val="20"/>
          <w:lang w:eastAsia="en-GB" w:bidi="en-GB"/>
        </w:rPr>
        <w:t xml:space="preserve"> </w:t>
      </w:r>
      <w:r w:rsidR="00323457" w:rsidRPr="0059638B">
        <w:rPr>
          <w:color w:val="000000"/>
          <w:sz w:val="20"/>
          <w:szCs w:val="20"/>
          <w:lang w:eastAsia="en-GB" w:bidi="en-GB"/>
        </w:rPr>
        <w:t>Goal</w:t>
      </w:r>
      <w:r w:rsidR="00FF41A0">
        <w:rPr>
          <w:color w:val="000000"/>
          <w:sz w:val="20"/>
          <w:szCs w:val="20"/>
          <w:lang w:eastAsia="en-GB" w:bidi="en-GB"/>
        </w:rPr>
        <w:t xml:space="preserve"> </w:t>
      </w:r>
      <w:r w:rsidR="00323457" w:rsidRPr="0059638B">
        <w:rPr>
          <w:color w:val="000000"/>
          <w:sz w:val="20"/>
          <w:szCs w:val="20"/>
          <w:lang w:eastAsia="en-GB" w:bidi="en-GB"/>
        </w:rPr>
        <w:t>3,</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achieve</w:t>
      </w:r>
      <w:r w:rsidR="00FF41A0">
        <w:rPr>
          <w:color w:val="000000"/>
          <w:sz w:val="20"/>
          <w:szCs w:val="20"/>
          <w:lang w:eastAsia="en-GB" w:bidi="en-GB"/>
        </w:rPr>
        <w:t xml:space="preserve"> </w:t>
      </w:r>
      <w:r w:rsidR="00323457" w:rsidRPr="0059638B">
        <w:rPr>
          <w:color w:val="000000"/>
          <w:sz w:val="20"/>
          <w:szCs w:val="20"/>
          <w:lang w:eastAsia="en-GB" w:bidi="en-GB"/>
        </w:rPr>
        <w:t>universal</w:t>
      </w:r>
      <w:r w:rsidR="00FF41A0">
        <w:rPr>
          <w:color w:val="000000"/>
          <w:sz w:val="20"/>
          <w:szCs w:val="20"/>
          <w:lang w:eastAsia="en-GB" w:bidi="en-GB"/>
        </w:rPr>
        <w:t xml:space="preserve"> </w:t>
      </w:r>
      <w:r w:rsidR="00323457" w:rsidRPr="0059638B">
        <w:rPr>
          <w:color w:val="000000"/>
          <w:sz w:val="20"/>
          <w:szCs w:val="20"/>
          <w:lang w:eastAsia="en-GB" w:bidi="en-GB"/>
        </w:rPr>
        <w:t>coverage</w:t>
      </w:r>
      <w:r w:rsidR="00FF41A0">
        <w:rPr>
          <w:color w:val="000000"/>
          <w:sz w:val="20"/>
          <w:szCs w:val="20"/>
          <w:lang w:eastAsia="en-GB" w:bidi="en-GB"/>
        </w:rPr>
        <w:t xml:space="preserve"> </w:t>
      </w:r>
      <w:r w:rsidR="00323457" w:rsidRPr="0059638B">
        <w:rPr>
          <w:color w:val="000000"/>
          <w:sz w:val="20"/>
          <w:szCs w:val="20"/>
          <w:lang w:eastAsia="en-GB" w:bidi="en-GB"/>
        </w:rPr>
        <w:t>in</w:t>
      </w:r>
      <w:r w:rsidR="00FF41A0">
        <w:rPr>
          <w:color w:val="000000"/>
          <w:sz w:val="20"/>
          <w:szCs w:val="20"/>
          <w:lang w:eastAsia="en-GB" w:bidi="en-GB"/>
        </w:rPr>
        <w:t xml:space="preserve"> </w:t>
      </w:r>
      <w:r w:rsidR="00323457" w:rsidRPr="0059638B">
        <w:rPr>
          <w:color w:val="000000"/>
          <w:sz w:val="20"/>
          <w:szCs w:val="20"/>
          <w:lang w:eastAsia="en-GB" w:bidi="en-GB"/>
        </w:rPr>
        <w:t>care.</w:t>
      </w:r>
    </w:p>
    <w:p w14:paraId="59755992" w14:textId="2DAB15BE" w:rsidR="00323457" w:rsidRPr="0059638B" w:rsidRDefault="00972F1E" w:rsidP="00323457">
      <w:pPr>
        <w:pStyle w:val="SingleTxtG"/>
        <w:rPr>
          <w:color w:val="000000"/>
          <w:sz w:val="20"/>
          <w:szCs w:val="20"/>
          <w:lang w:eastAsia="en-GB" w:bidi="en-GB"/>
        </w:rPr>
      </w:pPr>
      <w:r>
        <w:rPr>
          <w:color w:val="000000"/>
          <w:sz w:val="20"/>
          <w:szCs w:val="20"/>
          <w:lang w:eastAsia="en-GB" w:bidi="en-GB"/>
        </w:rPr>
        <w:t>658</w:t>
      </w:r>
      <w:r w:rsidR="00D7475F">
        <w:rPr>
          <w:color w:val="000000"/>
          <w:sz w:val="20"/>
          <w:szCs w:val="20"/>
          <w:lang w:eastAsia="en-GB" w:bidi="en-GB"/>
        </w:rPr>
        <w:t>.</w:t>
      </w:r>
      <w:r w:rsidR="00D7475F">
        <w:rPr>
          <w:color w:val="000000"/>
          <w:sz w:val="20"/>
          <w:szCs w:val="20"/>
          <w:lang w:eastAsia="en-GB" w:bidi="en-GB"/>
        </w:rPr>
        <w:tab/>
      </w:r>
      <w:r w:rsidR="00323457" w:rsidRPr="0059638B">
        <w:rPr>
          <w:color w:val="000000"/>
          <w:sz w:val="20"/>
          <w:szCs w:val="20"/>
          <w:lang w:eastAsia="en-GB" w:bidi="en-GB"/>
        </w:rPr>
        <w:t>Viet</w:t>
      </w:r>
      <w:r w:rsidR="00FF41A0">
        <w:rPr>
          <w:color w:val="000000"/>
          <w:sz w:val="20"/>
          <w:szCs w:val="20"/>
          <w:lang w:eastAsia="en-GB" w:bidi="en-GB"/>
        </w:rPr>
        <w:t xml:space="preserve"> </w:t>
      </w:r>
      <w:r w:rsidR="00323457" w:rsidRPr="0059638B">
        <w:rPr>
          <w:color w:val="000000"/>
          <w:sz w:val="20"/>
          <w:szCs w:val="20"/>
          <w:lang w:eastAsia="en-GB" w:bidi="en-GB"/>
        </w:rPr>
        <w:t>Nam</w:t>
      </w:r>
      <w:r w:rsidR="00FF41A0">
        <w:rPr>
          <w:color w:val="000000"/>
          <w:sz w:val="20"/>
          <w:szCs w:val="20"/>
          <w:lang w:eastAsia="en-GB" w:bidi="en-GB"/>
        </w:rPr>
        <w:t xml:space="preserve"> </w:t>
      </w:r>
      <w:r w:rsidR="00323457" w:rsidRPr="0059638B">
        <w:rPr>
          <w:color w:val="000000"/>
          <w:sz w:val="20"/>
          <w:szCs w:val="20"/>
          <w:lang w:eastAsia="en-GB" w:bidi="en-GB"/>
        </w:rPr>
        <w:t>stated</w:t>
      </w:r>
      <w:r w:rsidR="00FF41A0">
        <w:rPr>
          <w:color w:val="000000"/>
          <w:sz w:val="20"/>
          <w:szCs w:val="20"/>
          <w:lang w:eastAsia="en-GB" w:bidi="en-GB"/>
        </w:rPr>
        <w:t xml:space="preserve"> </w:t>
      </w:r>
      <w:r w:rsidR="00323457" w:rsidRPr="0059638B">
        <w:rPr>
          <w:color w:val="000000"/>
          <w:sz w:val="20"/>
          <w:szCs w:val="20"/>
          <w:lang w:eastAsia="en-GB" w:bidi="en-GB"/>
        </w:rPr>
        <w:t>that</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high</w:t>
      </w:r>
      <w:r w:rsidR="00FF41A0">
        <w:rPr>
          <w:color w:val="000000"/>
          <w:sz w:val="20"/>
          <w:szCs w:val="20"/>
          <w:lang w:eastAsia="en-GB" w:bidi="en-GB"/>
        </w:rPr>
        <w:t xml:space="preserve"> </w:t>
      </w:r>
      <w:r w:rsidR="00323457" w:rsidRPr="0059638B">
        <w:rPr>
          <w:color w:val="000000"/>
          <w:sz w:val="20"/>
          <w:szCs w:val="20"/>
          <w:lang w:eastAsia="en-GB" w:bidi="en-GB"/>
        </w:rPr>
        <w:t>ratio</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large</w:t>
      </w:r>
      <w:r w:rsidR="00FF41A0">
        <w:rPr>
          <w:color w:val="000000"/>
          <w:sz w:val="20"/>
          <w:szCs w:val="20"/>
          <w:lang w:eastAsia="en-GB" w:bidi="en-GB"/>
        </w:rPr>
        <w:t xml:space="preserve"> </w:t>
      </w:r>
      <w:r w:rsidR="00323457" w:rsidRPr="0059638B">
        <w:rPr>
          <w:color w:val="000000"/>
          <w:sz w:val="20"/>
          <w:szCs w:val="20"/>
          <w:lang w:eastAsia="en-GB" w:bidi="en-GB"/>
        </w:rPr>
        <w:t>spectrum</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accepted</w:t>
      </w:r>
      <w:r w:rsidR="00FF41A0">
        <w:rPr>
          <w:color w:val="000000"/>
          <w:sz w:val="20"/>
          <w:szCs w:val="20"/>
          <w:lang w:eastAsia="en-GB" w:bidi="en-GB"/>
        </w:rPr>
        <w:t xml:space="preserve"> </w:t>
      </w:r>
      <w:r w:rsidR="00323457" w:rsidRPr="0059638B">
        <w:rPr>
          <w:color w:val="000000"/>
          <w:sz w:val="20"/>
          <w:szCs w:val="20"/>
          <w:lang w:eastAsia="en-GB" w:bidi="en-GB"/>
        </w:rPr>
        <w:t>recommendations</w:t>
      </w:r>
      <w:r w:rsidR="00FF41A0">
        <w:rPr>
          <w:color w:val="000000"/>
          <w:sz w:val="20"/>
          <w:szCs w:val="20"/>
          <w:lang w:eastAsia="en-GB" w:bidi="en-GB"/>
        </w:rPr>
        <w:t xml:space="preserve"> </w:t>
      </w:r>
      <w:r w:rsidR="00323457" w:rsidRPr="0059638B">
        <w:rPr>
          <w:color w:val="000000"/>
          <w:sz w:val="20"/>
          <w:szCs w:val="20"/>
          <w:lang w:eastAsia="en-GB" w:bidi="en-GB"/>
        </w:rPr>
        <w:t>showed</w:t>
      </w:r>
      <w:r w:rsidR="00FF41A0">
        <w:rPr>
          <w:color w:val="000000"/>
          <w:sz w:val="20"/>
          <w:szCs w:val="20"/>
          <w:lang w:eastAsia="en-GB" w:bidi="en-GB"/>
        </w:rPr>
        <w:t xml:space="preserve"> </w:t>
      </w:r>
      <w:r w:rsidR="00323457" w:rsidRPr="0059638B">
        <w:rPr>
          <w:color w:val="000000"/>
          <w:sz w:val="20"/>
          <w:szCs w:val="20"/>
          <w:lang w:eastAsia="en-GB" w:bidi="en-GB"/>
        </w:rPr>
        <w:t>strong</w:t>
      </w:r>
      <w:r w:rsidR="00FF41A0">
        <w:rPr>
          <w:color w:val="000000"/>
          <w:sz w:val="20"/>
          <w:szCs w:val="20"/>
          <w:lang w:eastAsia="en-GB" w:bidi="en-GB"/>
        </w:rPr>
        <w:t xml:space="preserve"> </w:t>
      </w:r>
      <w:r w:rsidR="00323457" w:rsidRPr="0059638B">
        <w:rPr>
          <w:color w:val="000000"/>
          <w:sz w:val="20"/>
          <w:szCs w:val="20"/>
          <w:lang w:eastAsia="en-GB" w:bidi="en-GB"/>
        </w:rPr>
        <w:t>commitments</w:t>
      </w:r>
      <w:r w:rsidR="00FF41A0">
        <w:rPr>
          <w:color w:val="000000"/>
          <w:sz w:val="20"/>
          <w:szCs w:val="20"/>
          <w:lang w:eastAsia="en-GB" w:bidi="en-GB"/>
        </w:rPr>
        <w:t xml:space="preserve"> </w:t>
      </w:r>
      <w:r w:rsidR="00323457" w:rsidRPr="0059638B">
        <w:rPr>
          <w:color w:val="000000"/>
          <w:sz w:val="20"/>
          <w:szCs w:val="20"/>
          <w:lang w:eastAsia="en-GB" w:bidi="en-GB"/>
        </w:rPr>
        <w:t>by</w:t>
      </w:r>
      <w:r w:rsidR="00FF41A0">
        <w:rPr>
          <w:color w:val="000000"/>
          <w:sz w:val="20"/>
          <w:szCs w:val="20"/>
          <w:lang w:eastAsia="en-GB" w:bidi="en-GB"/>
        </w:rPr>
        <w:t xml:space="preserve"> </w:t>
      </w:r>
      <w:r w:rsidR="00323457" w:rsidRPr="0059638B">
        <w:rPr>
          <w:color w:val="000000"/>
          <w:sz w:val="20"/>
          <w:szCs w:val="20"/>
          <w:lang w:eastAsia="en-GB" w:bidi="en-GB"/>
        </w:rPr>
        <w:t>Malaysia</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strongly</w:t>
      </w:r>
      <w:r w:rsidR="00FF41A0">
        <w:rPr>
          <w:color w:val="000000"/>
          <w:sz w:val="20"/>
          <w:szCs w:val="20"/>
          <w:lang w:eastAsia="en-GB" w:bidi="en-GB"/>
        </w:rPr>
        <w:t xml:space="preserve"> </w:t>
      </w:r>
      <w:r w:rsidR="00323457" w:rsidRPr="0059638B">
        <w:rPr>
          <w:color w:val="000000"/>
          <w:sz w:val="20"/>
          <w:szCs w:val="20"/>
          <w:lang w:eastAsia="en-GB" w:bidi="en-GB"/>
        </w:rPr>
        <w:t>believed</w:t>
      </w:r>
      <w:r w:rsidR="00FF41A0">
        <w:rPr>
          <w:color w:val="000000"/>
          <w:sz w:val="20"/>
          <w:szCs w:val="20"/>
          <w:lang w:eastAsia="en-GB" w:bidi="en-GB"/>
        </w:rPr>
        <w:t xml:space="preserve"> </w:t>
      </w:r>
      <w:r w:rsidR="00323457" w:rsidRPr="0059638B">
        <w:rPr>
          <w:color w:val="000000"/>
          <w:sz w:val="20"/>
          <w:szCs w:val="20"/>
          <w:lang w:eastAsia="en-GB" w:bidi="en-GB"/>
        </w:rPr>
        <w:t>that</w:t>
      </w:r>
      <w:r w:rsidR="00FF41A0">
        <w:rPr>
          <w:color w:val="000000"/>
          <w:sz w:val="20"/>
          <w:szCs w:val="20"/>
          <w:lang w:eastAsia="en-GB" w:bidi="en-GB"/>
        </w:rPr>
        <w:t xml:space="preserve"> </w:t>
      </w:r>
      <w:r w:rsidR="00323457" w:rsidRPr="0059638B">
        <w:rPr>
          <w:color w:val="000000"/>
          <w:sz w:val="20"/>
          <w:szCs w:val="20"/>
          <w:lang w:eastAsia="en-GB" w:bidi="en-GB"/>
        </w:rPr>
        <w:t>Malaysia</w:t>
      </w:r>
      <w:r w:rsidR="00FF41A0">
        <w:rPr>
          <w:color w:val="000000"/>
          <w:sz w:val="20"/>
          <w:szCs w:val="20"/>
          <w:lang w:eastAsia="en-GB" w:bidi="en-GB"/>
        </w:rPr>
        <w:t xml:space="preserve"> </w:t>
      </w:r>
      <w:r w:rsidR="00323457" w:rsidRPr="0059638B">
        <w:rPr>
          <w:color w:val="000000"/>
          <w:sz w:val="20"/>
          <w:szCs w:val="20"/>
          <w:lang w:eastAsia="en-GB" w:bidi="en-GB"/>
        </w:rPr>
        <w:t>would</w:t>
      </w:r>
      <w:r w:rsidR="00FF41A0">
        <w:rPr>
          <w:color w:val="000000"/>
          <w:sz w:val="20"/>
          <w:szCs w:val="20"/>
          <w:lang w:eastAsia="en-GB" w:bidi="en-GB"/>
        </w:rPr>
        <w:t xml:space="preserve"> </w:t>
      </w:r>
      <w:r w:rsidR="00323457" w:rsidRPr="0059638B">
        <w:rPr>
          <w:color w:val="000000"/>
          <w:sz w:val="20"/>
          <w:szCs w:val="20"/>
          <w:lang w:eastAsia="en-GB" w:bidi="en-GB"/>
        </w:rPr>
        <w:t>spare</w:t>
      </w:r>
      <w:r w:rsidR="00FF41A0">
        <w:rPr>
          <w:color w:val="000000"/>
          <w:sz w:val="20"/>
          <w:szCs w:val="20"/>
          <w:lang w:eastAsia="en-GB" w:bidi="en-GB"/>
        </w:rPr>
        <w:t xml:space="preserve"> </w:t>
      </w:r>
      <w:r w:rsidR="00323457" w:rsidRPr="0059638B">
        <w:rPr>
          <w:color w:val="000000"/>
          <w:sz w:val="20"/>
          <w:szCs w:val="20"/>
          <w:lang w:eastAsia="en-GB" w:bidi="en-GB"/>
        </w:rPr>
        <w:t>no</w:t>
      </w:r>
      <w:r w:rsidR="00FF41A0">
        <w:rPr>
          <w:color w:val="000000"/>
          <w:sz w:val="20"/>
          <w:szCs w:val="20"/>
          <w:lang w:eastAsia="en-GB" w:bidi="en-GB"/>
        </w:rPr>
        <w:t xml:space="preserve"> </w:t>
      </w:r>
      <w:r w:rsidR="00323457" w:rsidRPr="0059638B">
        <w:rPr>
          <w:color w:val="000000"/>
          <w:sz w:val="20"/>
          <w:szCs w:val="20"/>
          <w:lang w:eastAsia="en-GB" w:bidi="en-GB"/>
        </w:rPr>
        <w:t>efforts</w:t>
      </w:r>
      <w:r w:rsidR="00FF41A0">
        <w:rPr>
          <w:color w:val="000000"/>
          <w:sz w:val="20"/>
          <w:szCs w:val="20"/>
          <w:lang w:eastAsia="en-GB" w:bidi="en-GB"/>
        </w:rPr>
        <w:t xml:space="preserve"> </w:t>
      </w:r>
      <w:r w:rsidR="00323457" w:rsidRPr="0059638B">
        <w:rPr>
          <w:color w:val="000000"/>
          <w:sz w:val="20"/>
          <w:szCs w:val="20"/>
          <w:lang w:eastAsia="en-GB" w:bidi="en-GB"/>
        </w:rPr>
        <w:t>in</w:t>
      </w:r>
      <w:r w:rsidR="00FF41A0">
        <w:rPr>
          <w:color w:val="000000"/>
          <w:sz w:val="20"/>
          <w:szCs w:val="20"/>
          <w:lang w:eastAsia="en-GB" w:bidi="en-GB"/>
        </w:rPr>
        <w:t xml:space="preserve"> </w:t>
      </w:r>
      <w:r w:rsidR="00323457" w:rsidRPr="0059638B">
        <w:rPr>
          <w:color w:val="000000"/>
          <w:sz w:val="20"/>
          <w:szCs w:val="20"/>
          <w:lang w:eastAsia="en-GB" w:bidi="en-GB"/>
        </w:rPr>
        <w:t>implementing</w:t>
      </w:r>
      <w:r w:rsidR="00FF41A0">
        <w:rPr>
          <w:color w:val="000000"/>
          <w:sz w:val="20"/>
          <w:szCs w:val="20"/>
          <w:lang w:eastAsia="en-GB" w:bidi="en-GB"/>
        </w:rPr>
        <w:t xml:space="preserve"> </w:t>
      </w:r>
      <w:r w:rsidR="00323457" w:rsidRPr="0059638B">
        <w:rPr>
          <w:color w:val="000000"/>
          <w:sz w:val="20"/>
          <w:szCs w:val="20"/>
          <w:lang w:eastAsia="en-GB" w:bidi="en-GB"/>
        </w:rPr>
        <w:t>them.</w:t>
      </w:r>
      <w:r w:rsidR="00FF41A0">
        <w:rPr>
          <w:color w:val="000000"/>
          <w:sz w:val="20"/>
          <w:szCs w:val="20"/>
          <w:lang w:eastAsia="en-GB" w:bidi="en-GB"/>
        </w:rPr>
        <w:t xml:space="preserve"> </w:t>
      </w:r>
    </w:p>
    <w:p w14:paraId="05FA24F0" w14:textId="1A856B66" w:rsidR="00323457" w:rsidRPr="0059638B" w:rsidRDefault="00323457" w:rsidP="00323457">
      <w:pPr>
        <w:pStyle w:val="H23G"/>
        <w:rPr>
          <w:sz w:val="20"/>
          <w:szCs w:val="20"/>
        </w:rPr>
      </w:pPr>
      <w:r w:rsidRPr="0059638B">
        <w:rPr>
          <w:sz w:val="20"/>
          <w:szCs w:val="20"/>
        </w:rPr>
        <w:tab/>
        <w:t>4.</w:t>
      </w:r>
      <w:r w:rsidRPr="0059638B">
        <w:rPr>
          <w:sz w:val="20"/>
          <w:szCs w:val="20"/>
        </w:rPr>
        <w:tab/>
        <w:t>General</w:t>
      </w:r>
      <w:r w:rsidR="00FF41A0">
        <w:rPr>
          <w:sz w:val="20"/>
          <w:szCs w:val="20"/>
        </w:rPr>
        <w:t xml:space="preserve"> </w:t>
      </w:r>
      <w:r w:rsidRPr="0059638B">
        <w:rPr>
          <w:sz w:val="20"/>
          <w:szCs w:val="20"/>
        </w:rPr>
        <w:t>comments</w:t>
      </w:r>
      <w:r w:rsidR="00FF41A0">
        <w:rPr>
          <w:sz w:val="20"/>
          <w:szCs w:val="20"/>
        </w:rPr>
        <w:t xml:space="preserve"> </w:t>
      </w:r>
      <w:r w:rsidRPr="0059638B">
        <w:rPr>
          <w:sz w:val="20"/>
          <w:szCs w:val="20"/>
        </w:rPr>
        <w:t>made</w:t>
      </w:r>
      <w:r w:rsidR="00FF41A0">
        <w:rPr>
          <w:sz w:val="20"/>
          <w:szCs w:val="20"/>
        </w:rPr>
        <w:t xml:space="preserve"> </w:t>
      </w:r>
      <w:r w:rsidRPr="0059638B">
        <w:rPr>
          <w:sz w:val="20"/>
          <w:szCs w:val="20"/>
        </w:rPr>
        <w:t>by</w:t>
      </w:r>
      <w:r w:rsidR="00FF41A0">
        <w:rPr>
          <w:sz w:val="20"/>
          <w:szCs w:val="20"/>
        </w:rPr>
        <w:t xml:space="preserve"> </w:t>
      </w:r>
      <w:r w:rsidRPr="0059638B">
        <w:rPr>
          <w:sz w:val="20"/>
          <w:szCs w:val="20"/>
        </w:rPr>
        <w:t>other</w:t>
      </w:r>
      <w:r w:rsidR="00FF41A0">
        <w:rPr>
          <w:sz w:val="20"/>
          <w:szCs w:val="20"/>
        </w:rPr>
        <w:t xml:space="preserve"> </w:t>
      </w:r>
      <w:r w:rsidRPr="0059638B">
        <w:rPr>
          <w:sz w:val="20"/>
          <w:szCs w:val="20"/>
        </w:rPr>
        <w:t>stakeholders</w:t>
      </w:r>
    </w:p>
    <w:p w14:paraId="6867B811" w14:textId="65939C1C" w:rsidR="00323457" w:rsidRPr="0059638B" w:rsidRDefault="00972F1E" w:rsidP="00323457">
      <w:pPr>
        <w:pStyle w:val="SingleTxtG"/>
        <w:rPr>
          <w:sz w:val="20"/>
          <w:szCs w:val="20"/>
        </w:rPr>
      </w:pPr>
      <w:r>
        <w:rPr>
          <w:sz w:val="20"/>
          <w:szCs w:val="20"/>
        </w:rPr>
        <w:t>659</w:t>
      </w:r>
      <w:r w:rsidR="00D7475F">
        <w:rPr>
          <w:sz w:val="20"/>
          <w:szCs w:val="20"/>
        </w:rPr>
        <w:t>.</w:t>
      </w:r>
      <w:r w:rsidR="00D7475F">
        <w:rPr>
          <w:sz w:val="20"/>
          <w:szCs w:val="20"/>
        </w:rPr>
        <w:tab/>
      </w:r>
      <w:r w:rsidR="00323457" w:rsidRPr="0059638B">
        <w:rPr>
          <w:sz w:val="20"/>
          <w:szCs w:val="20"/>
        </w:rPr>
        <w:t>During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adoption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outcome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Malaysia,</w:t>
      </w:r>
      <w:r w:rsidR="00FF41A0">
        <w:rPr>
          <w:sz w:val="20"/>
          <w:szCs w:val="20"/>
        </w:rPr>
        <w:t xml:space="preserve"> </w:t>
      </w:r>
      <w:r w:rsidR="00323457" w:rsidRPr="0059638B">
        <w:rPr>
          <w:sz w:val="20"/>
          <w:szCs w:val="20"/>
        </w:rPr>
        <w:t>10</w:t>
      </w:r>
      <w:r w:rsidR="00FF41A0">
        <w:rPr>
          <w:sz w:val="20"/>
          <w:szCs w:val="20"/>
        </w:rPr>
        <w:t xml:space="preserve"> </w:t>
      </w:r>
      <w:r w:rsidR="00323457" w:rsidRPr="0059638B">
        <w:rPr>
          <w:sz w:val="20"/>
          <w:szCs w:val="20"/>
        </w:rPr>
        <w:t>other</w:t>
      </w:r>
      <w:r w:rsidR="00FF41A0">
        <w:rPr>
          <w:sz w:val="20"/>
          <w:szCs w:val="20"/>
        </w:rPr>
        <w:t xml:space="preserve"> </w:t>
      </w:r>
      <w:r w:rsidR="00323457" w:rsidRPr="0059638B">
        <w:rPr>
          <w:sz w:val="20"/>
          <w:szCs w:val="20"/>
        </w:rPr>
        <w:t>stakeholders</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statements.</w:t>
      </w:r>
      <w:r w:rsidR="00CC5A8D" w:rsidRPr="00CC5A8D">
        <w:rPr>
          <w:rStyle w:val="FootnoteReference"/>
          <w:sz w:val="20"/>
          <w:szCs w:val="20"/>
          <w:vertAlign w:val="baseline"/>
        </w:rPr>
        <w:footnoteReference w:customMarkFollows="1" w:id="56"/>
        <w:t>**</w:t>
      </w:r>
      <w:r w:rsidR="00FF41A0">
        <w:rPr>
          <w:sz w:val="20"/>
          <w:szCs w:val="20"/>
        </w:rPr>
        <w:t xml:space="preserve"> </w:t>
      </w:r>
    </w:p>
    <w:p w14:paraId="6E0D5CCF" w14:textId="602E2C41" w:rsidR="00323457" w:rsidRPr="0059638B" w:rsidRDefault="00972F1E" w:rsidP="00323457">
      <w:pPr>
        <w:pStyle w:val="SingleTxtG"/>
        <w:rPr>
          <w:color w:val="000000"/>
          <w:sz w:val="20"/>
          <w:szCs w:val="20"/>
          <w:lang w:eastAsia="en-GB" w:bidi="en-GB"/>
        </w:rPr>
      </w:pPr>
      <w:r>
        <w:rPr>
          <w:color w:val="000000"/>
          <w:sz w:val="20"/>
          <w:szCs w:val="20"/>
          <w:lang w:eastAsia="en-GB" w:bidi="en-GB"/>
        </w:rPr>
        <w:t>660</w:t>
      </w:r>
      <w:r w:rsidR="00D7475F">
        <w:rPr>
          <w:color w:val="000000"/>
          <w:sz w:val="20"/>
          <w:szCs w:val="20"/>
          <w:lang w:eastAsia="en-GB" w:bidi="en-GB"/>
        </w:rPr>
        <w:t>.</w:t>
      </w:r>
      <w:r w:rsidR="00D7475F">
        <w:rPr>
          <w:color w:val="000000"/>
          <w:sz w:val="20"/>
          <w:szCs w:val="20"/>
          <w:lang w:eastAsia="en-GB" w:bidi="en-GB"/>
        </w:rPr>
        <w:tab/>
      </w:r>
      <w:r w:rsidR="00323457" w:rsidRPr="0059638B">
        <w:rPr>
          <w:color w:val="000000"/>
          <w:sz w:val="20"/>
          <w:szCs w:val="20"/>
          <w:lang w:eastAsia="en-GB" w:bidi="en-GB"/>
        </w:rPr>
        <w:t>Franciscans</w:t>
      </w:r>
      <w:r w:rsidR="00FF41A0">
        <w:rPr>
          <w:color w:val="000000"/>
          <w:sz w:val="20"/>
          <w:szCs w:val="20"/>
          <w:lang w:eastAsia="en-GB" w:bidi="en-GB"/>
        </w:rPr>
        <w:t xml:space="preserve"> </w:t>
      </w:r>
      <w:r w:rsidR="00323457" w:rsidRPr="0059638B">
        <w:rPr>
          <w:color w:val="000000"/>
          <w:sz w:val="20"/>
          <w:szCs w:val="20"/>
          <w:lang w:eastAsia="en-GB" w:bidi="en-GB"/>
        </w:rPr>
        <w:t>International,</w:t>
      </w:r>
      <w:r w:rsidR="00FF41A0">
        <w:rPr>
          <w:color w:val="000000"/>
          <w:sz w:val="20"/>
          <w:szCs w:val="20"/>
          <w:lang w:eastAsia="en-GB" w:bidi="en-GB"/>
        </w:rPr>
        <w:t xml:space="preserve"> </w:t>
      </w:r>
      <w:r w:rsidR="00323457" w:rsidRPr="0059638B">
        <w:rPr>
          <w:color w:val="000000"/>
          <w:sz w:val="20"/>
          <w:szCs w:val="20"/>
          <w:lang w:eastAsia="en-GB" w:bidi="en-GB"/>
        </w:rPr>
        <w:t>in</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joint</w:t>
      </w:r>
      <w:r w:rsidR="00FF41A0">
        <w:rPr>
          <w:color w:val="000000"/>
          <w:sz w:val="20"/>
          <w:szCs w:val="20"/>
          <w:lang w:eastAsia="en-GB" w:bidi="en-GB"/>
        </w:rPr>
        <w:t xml:space="preserve"> </w:t>
      </w:r>
      <w:r w:rsidR="00323457" w:rsidRPr="0059638B">
        <w:rPr>
          <w:color w:val="000000"/>
          <w:sz w:val="20"/>
          <w:szCs w:val="20"/>
          <w:lang w:eastAsia="en-GB" w:bidi="en-GB"/>
        </w:rPr>
        <w:t>statement</w:t>
      </w:r>
      <w:r w:rsidR="00FF41A0">
        <w:rPr>
          <w:color w:val="000000"/>
          <w:sz w:val="20"/>
          <w:szCs w:val="20"/>
          <w:lang w:eastAsia="en-GB" w:bidi="en-GB"/>
        </w:rPr>
        <w:t xml:space="preserve"> </w:t>
      </w:r>
      <w:r w:rsidR="00323457" w:rsidRPr="0059638B">
        <w:rPr>
          <w:color w:val="000000"/>
          <w:sz w:val="20"/>
          <w:szCs w:val="20"/>
          <w:lang w:eastAsia="en-GB" w:bidi="en-GB"/>
        </w:rPr>
        <w:t>with</w:t>
      </w:r>
      <w:r w:rsidR="00FF41A0">
        <w:rPr>
          <w:color w:val="000000"/>
          <w:sz w:val="20"/>
          <w:szCs w:val="20"/>
          <w:lang w:eastAsia="en-GB" w:bidi="en-GB"/>
        </w:rPr>
        <w:t xml:space="preserve"> </w:t>
      </w:r>
      <w:r w:rsidR="00323457" w:rsidRPr="0059638B">
        <w:rPr>
          <w:color w:val="000000"/>
          <w:sz w:val="20"/>
          <w:szCs w:val="20"/>
          <w:lang w:eastAsia="en-GB" w:bidi="en-GB"/>
        </w:rPr>
        <w:t>VIVAT</w:t>
      </w:r>
      <w:r w:rsidR="00FF41A0">
        <w:rPr>
          <w:color w:val="000000"/>
          <w:sz w:val="20"/>
          <w:szCs w:val="20"/>
          <w:lang w:eastAsia="en-GB" w:bidi="en-GB"/>
        </w:rPr>
        <w:t xml:space="preserve"> </w:t>
      </w:r>
      <w:r w:rsidR="00323457" w:rsidRPr="0059638B">
        <w:rPr>
          <w:color w:val="000000"/>
          <w:sz w:val="20"/>
          <w:szCs w:val="20"/>
          <w:lang w:eastAsia="en-GB" w:bidi="en-GB"/>
        </w:rPr>
        <w:t>International,</w:t>
      </w:r>
      <w:r w:rsidR="00FF41A0">
        <w:rPr>
          <w:color w:val="000000"/>
          <w:sz w:val="20"/>
          <w:szCs w:val="20"/>
          <w:lang w:eastAsia="en-GB" w:bidi="en-GB"/>
        </w:rPr>
        <w:t xml:space="preserve"> </w:t>
      </w:r>
      <w:r w:rsidR="00323457" w:rsidRPr="0059638B">
        <w:rPr>
          <w:color w:val="000000"/>
          <w:sz w:val="20"/>
          <w:szCs w:val="20"/>
          <w:lang w:eastAsia="en-GB" w:bidi="en-GB"/>
        </w:rPr>
        <w:t>appreciated</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acceptance</w:t>
      </w:r>
      <w:r w:rsidR="00FF41A0">
        <w:rPr>
          <w:color w:val="000000"/>
          <w:sz w:val="20"/>
          <w:szCs w:val="20"/>
          <w:lang w:eastAsia="en-GB" w:bidi="en-GB"/>
        </w:rPr>
        <w:t xml:space="preserve"> </w:t>
      </w:r>
      <w:r w:rsidR="00323457" w:rsidRPr="0059638B">
        <w:rPr>
          <w:color w:val="000000"/>
          <w:sz w:val="20"/>
          <w:szCs w:val="20"/>
          <w:lang w:eastAsia="en-GB" w:bidi="en-GB"/>
        </w:rPr>
        <w:t>by</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Government</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several</w:t>
      </w:r>
      <w:r w:rsidR="00FF41A0">
        <w:rPr>
          <w:color w:val="000000"/>
          <w:sz w:val="20"/>
          <w:szCs w:val="20"/>
          <w:lang w:eastAsia="en-GB" w:bidi="en-GB"/>
        </w:rPr>
        <w:t xml:space="preserve"> </w:t>
      </w:r>
      <w:r w:rsidR="00323457" w:rsidRPr="0059638B">
        <w:rPr>
          <w:color w:val="000000"/>
          <w:sz w:val="20"/>
          <w:szCs w:val="20"/>
          <w:lang w:eastAsia="en-GB" w:bidi="en-GB"/>
        </w:rPr>
        <w:t>recommendations</w:t>
      </w:r>
      <w:r w:rsidR="00FF41A0">
        <w:rPr>
          <w:color w:val="000000"/>
          <w:sz w:val="20"/>
          <w:szCs w:val="20"/>
          <w:lang w:eastAsia="en-GB" w:bidi="en-GB"/>
        </w:rPr>
        <w:t xml:space="preserve"> </w:t>
      </w:r>
      <w:r w:rsidR="00323457" w:rsidRPr="0059638B">
        <w:rPr>
          <w:color w:val="000000"/>
          <w:sz w:val="20"/>
          <w:szCs w:val="20"/>
          <w:lang w:eastAsia="en-GB" w:bidi="en-GB"/>
        </w:rPr>
        <w:t>on</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human</w:t>
      </w:r>
      <w:r w:rsidR="00FF41A0">
        <w:rPr>
          <w:color w:val="000000"/>
          <w:sz w:val="20"/>
          <w:szCs w:val="20"/>
          <w:lang w:eastAsia="en-GB" w:bidi="en-GB"/>
        </w:rPr>
        <w:t xml:space="preserve"> </w:t>
      </w:r>
      <w:r w:rsidR="00323457" w:rsidRPr="0059638B">
        <w:rPr>
          <w:color w:val="000000"/>
          <w:sz w:val="20"/>
          <w:szCs w:val="20"/>
          <w:lang w:eastAsia="en-GB" w:bidi="en-GB"/>
        </w:rPr>
        <w:t>rights</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migrant</w:t>
      </w:r>
      <w:r w:rsidR="00FF41A0">
        <w:rPr>
          <w:color w:val="000000"/>
          <w:sz w:val="20"/>
          <w:szCs w:val="20"/>
          <w:lang w:eastAsia="en-GB" w:bidi="en-GB"/>
        </w:rPr>
        <w:t xml:space="preserve"> </w:t>
      </w:r>
      <w:r w:rsidR="00323457" w:rsidRPr="0059638B">
        <w:rPr>
          <w:color w:val="000000"/>
          <w:sz w:val="20"/>
          <w:szCs w:val="20"/>
          <w:lang w:eastAsia="en-GB" w:bidi="en-GB"/>
        </w:rPr>
        <w:t>workers,</w:t>
      </w:r>
      <w:r w:rsidR="00FF41A0">
        <w:rPr>
          <w:color w:val="000000"/>
          <w:sz w:val="20"/>
          <w:szCs w:val="20"/>
          <w:lang w:eastAsia="en-GB" w:bidi="en-GB"/>
        </w:rPr>
        <w:t xml:space="preserve"> </w:t>
      </w:r>
      <w:r w:rsidR="00323457" w:rsidRPr="0059638B">
        <w:rPr>
          <w:color w:val="000000"/>
          <w:sz w:val="20"/>
          <w:szCs w:val="20"/>
          <w:lang w:eastAsia="en-GB" w:bidi="en-GB"/>
        </w:rPr>
        <w:t>trafficking</w:t>
      </w:r>
      <w:r w:rsidR="00FF41A0">
        <w:rPr>
          <w:color w:val="000000"/>
          <w:sz w:val="20"/>
          <w:szCs w:val="20"/>
          <w:lang w:eastAsia="en-GB" w:bidi="en-GB"/>
        </w:rPr>
        <w:t xml:space="preserve"> </w:t>
      </w:r>
      <w:r w:rsidR="00323457" w:rsidRPr="0059638B">
        <w:rPr>
          <w:color w:val="000000"/>
          <w:sz w:val="20"/>
          <w:szCs w:val="20"/>
          <w:lang w:eastAsia="en-GB" w:bidi="en-GB"/>
        </w:rPr>
        <w:t>in</w:t>
      </w:r>
      <w:r w:rsidR="00FF41A0">
        <w:rPr>
          <w:color w:val="000000"/>
          <w:sz w:val="20"/>
          <w:szCs w:val="20"/>
          <w:lang w:eastAsia="en-GB" w:bidi="en-GB"/>
        </w:rPr>
        <w:t xml:space="preserve"> </w:t>
      </w:r>
      <w:r w:rsidR="00323457" w:rsidRPr="0059638B">
        <w:rPr>
          <w:color w:val="000000"/>
          <w:sz w:val="20"/>
          <w:szCs w:val="20"/>
          <w:lang w:eastAsia="en-GB" w:bidi="en-GB"/>
        </w:rPr>
        <w:t>persons</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freedom</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religion,</w:t>
      </w:r>
      <w:r w:rsidR="00FF41A0">
        <w:rPr>
          <w:color w:val="000000"/>
          <w:sz w:val="20"/>
          <w:szCs w:val="20"/>
          <w:lang w:eastAsia="en-GB" w:bidi="en-GB"/>
        </w:rPr>
        <w:t xml:space="preserve"> </w:t>
      </w:r>
      <w:r w:rsidR="00323457" w:rsidRPr="0059638B">
        <w:rPr>
          <w:color w:val="000000"/>
          <w:sz w:val="20"/>
          <w:szCs w:val="20"/>
          <w:lang w:eastAsia="en-GB" w:bidi="en-GB"/>
        </w:rPr>
        <w:t>but</w:t>
      </w:r>
      <w:r w:rsidR="00FF41A0">
        <w:rPr>
          <w:color w:val="000000"/>
          <w:sz w:val="20"/>
          <w:szCs w:val="20"/>
          <w:lang w:eastAsia="en-GB" w:bidi="en-GB"/>
        </w:rPr>
        <w:t xml:space="preserve"> </w:t>
      </w:r>
      <w:r w:rsidR="00323457" w:rsidRPr="0059638B">
        <w:rPr>
          <w:color w:val="000000"/>
          <w:sz w:val="20"/>
          <w:szCs w:val="20"/>
          <w:lang w:eastAsia="en-GB" w:bidi="en-GB"/>
        </w:rPr>
        <w:t>deeply</w:t>
      </w:r>
      <w:r w:rsidR="00FF41A0">
        <w:rPr>
          <w:color w:val="000000"/>
          <w:sz w:val="20"/>
          <w:szCs w:val="20"/>
          <w:lang w:eastAsia="en-GB" w:bidi="en-GB"/>
        </w:rPr>
        <w:t xml:space="preserve"> </w:t>
      </w:r>
      <w:r w:rsidR="00323457" w:rsidRPr="0059638B">
        <w:rPr>
          <w:color w:val="000000"/>
          <w:sz w:val="20"/>
          <w:szCs w:val="20"/>
          <w:lang w:eastAsia="en-GB" w:bidi="en-GB"/>
        </w:rPr>
        <w:t>regretted</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rejection</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four</w:t>
      </w:r>
      <w:r w:rsidR="00FF41A0">
        <w:rPr>
          <w:color w:val="000000"/>
          <w:sz w:val="20"/>
          <w:szCs w:val="20"/>
          <w:lang w:eastAsia="en-GB" w:bidi="en-GB"/>
        </w:rPr>
        <w:t xml:space="preserve"> </w:t>
      </w:r>
      <w:r w:rsidR="00323457" w:rsidRPr="0059638B">
        <w:rPr>
          <w:color w:val="000000"/>
          <w:sz w:val="20"/>
          <w:szCs w:val="20"/>
          <w:lang w:eastAsia="en-GB" w:bidi="en-GB"/>
        </w:rPr>
        <w:t>important</w:t>
      </w:r>
      <w:r w:rsidR="00FF41A0">
        <w:rPr>
          <w:color w:val="000000"/>
          <w:sz w:val="20"/>
          <w:szCs w:val="20"/>
          <w:lang w:eastAsia="en-GB" w:bidi="en-GB"/>
        </w:rPr>
        <w:t xml:space="preserve"> </w:t>
      </w:r>
      <w:r w:rsidR="00323457" w:rsidRPr="0059638B">
        <w:rPr>
          <w:color w:val="000000"/>
          <w:sz w:val="20"/>
          <w:szCs w:val="20"/>
          <w:lang w:eastAsia="en-GB" w:bidi="en-GB"/>
        </w:rPr>
        <w:t>recommendations</w:t>
      </w:r>
      <w:r w:rsidR="00FF41A0">
        <w:rPr>
          <w:color w:val="000000"/>
          <w:sz w:val="20"/>
          <w:szCs w:val="20"/>
          <w:lang w:eastAsia="en-GB" w:bidi="en-GB"/>
        </w:rPr>
        <w:t xml:space="preserve"> </w:t>
      </w:r>
      <w:r w:rsidR="00323457" w:rsidRPr="0059638B">
        <w:rPr>
          <w:color w:val="000000"/>
          <w:sz w:val="20"/>
          <w:szCs w:val="20"/>
          <w:lang w:eastAsia="en-GB" w:bidi="en-GB"/>
        </w:rPr>
        <w:t>on</w:t>
      </w:r>
      <w:r w:rsidR="00FF41A0">
        <w:rPr>
          <w:color w:val="000000"/>
          <w:sz w:val="20"/>
          <w:szCs w:val="20"/>
          <w:lang w:eastAsia="en-GB" w:bidi="en-GB"/>
        </w:rPr>
        <w:t xml:space="preserve"> </w:t>
      </w:r>
      <w:r w:rsidR="00323457" w:rsidRPr="0059638B">
        <w:rPr>
          <w:color w:val="000000"/>
          <w:sz w:val="20"/>
          <w:szCs w:val="20"/>
          <w:lang w:eastAsia="en-GB" w:bidi="en-GB"/>
        </w:rPr>
        <w:t>guaranteeing</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right</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freedom</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religion</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belief,</w:t>
      </w:r>
      <w:r w:rsidR="00FF41A0">
        <w:rPr>
          <w:color w:val="000000"/>
          <w:sz w:val="20"/>
          <w:szCs w:val="20"/>
          <w:lang w:eastAsia="en-GB" w:bidi="en-GB"/>
        </w:rPr>
        <w:t xml:space="preserve"> </w:t>
      </w:r>
      <w:r w:rsidR="00323457" w:rsidRPr="0059638B">
        <w:rPr>
          <w:color w:val="000000"/>
          <w:sz w:val="20"/>
          <w:szCs w:val="20"/>
          <w:lang w:eastAsia="en-GB" w:bidi="en-GB"/>
        </w:rPr>
        <w:t>including</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right</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freely</w:t>
      </w:r>
      <w:r w:rsidR="00FF41A0">
        <w:rPr>
          <w:color w:val="000000"/>
          <w:sz w:val="20"/>
          <w:szCs w:val="20"/>
          <w:lang w:eastAsia="en-GB" w:bidi="en-GB"/>
        </w:rPr>
        <w:t xml:space="preserve"> </w:t>
      </w:r>
      <w:r w:rsidR="00323457" w:rsidRPr="0059638B">
        <w:rPr>
          <w:color w:val="000000"/>
          <w:sz w:val="20"/>
          <w:szCs w:val="20"/>
          <w:lang w:eastAsia="en-GB" w:bidi="en-GB"/>
        </w:rPr>
        <w:t>choose</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practise</w:t>
      </w:r>
      <w:r w:rsidR="00FF41A0">
        <w:rPr>
          <w:color w:val="000000"/>
          <w:sz w:val="20"/>
          <w:szCs w:val="20"/>
          <w:lang w:eastAsia="en-GB" w:bidi="en-GB"/>
        </w:rPr>
        <w:t xml:space="preserve"> </w:t>
      </w:r>
      <w:r w:rsidR="00323457" w:rsidRPr="0059638B">
        <w:rPr>
          <w:color w:val="000000"/>
          <w:sz w:val="20"/>
          <w:szCs w:val="20"/>
          <w:lang w:eastAsia="en-GB" w:bidi="en-GB"/>
        </w:rPr>
        <w:t>their</w:t>
      </w:r>
      <w:r w:rsidR="00FF41A0">
        <w:rPr>
          <w:color w:val="000000"/>
          <w:sz w:val="20"/>
          <w:szCs w:val="20"/>
          <w:lang w:eastAsia="en-GB" w:bidi="en-GB"/>
        </w:rPr>
        <w:t xml:space="preserve"> </w:t>
      </w:r>
      <w:r w:rsidR="00323457" w:rsidRPr="0059638B">
        <w:rPr>
          <w:color w:val="000000"/>
          <w:sz w:val="20"/>
          <w:szCs w:val="20"/>
          <w:lang w:eastAsia="en-GB" w:bidi="en-GB"/>
        </w:rPr>
        <w:t>faith.</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organizations</w:t>
      </w:r>
      <w:r w:rsidR="00FF41A0">
        <w:rPr>
          <w:color w:val="000000"/>
          <w:sz w:val="20"/>
          <w:szCs w:val="20"/>
          <w:lang w:eastAsia="en-GB" w:bidi="en-GB"/>
        </w:rPr>
        <w:t xml:space="preserve"> </w:t>
      </w:r>
      <w:r w:rsidR="00323457" w:rsidRPr="0059638B">
        <w:rPr>
          <w:color w:val="000000"/>
          <w:sz w:val="20"/>
          <w:szCs w:val="20"/>
          <w:lang w:eastAsia="en-GB" w:bidi="en-GB"/>
        </w:rPr>
        <w:t>reported</w:t>
      </w:r>
      <w:r w:rsidR="00FF41A0">
        <w:rPr>
          <w:color w:val="000000"/>
          <w:sz w:val="20"/>
          <w:szCs w:val="20"/>
          <w:lang w:eastAsia="en-GB" w:bidi="en-GB"/>
        </w:rPr>
        <w:t xml:space="preserve"> </w:t>
      </w:r>
      <w:r w:rsidR="00323457" w:rsidRPr="0059638B">
        <w:rPr>
          <w:color w:val="000000"/>
          <w:sz w:val="20"/>
          <w:szCs w:val="20"/>
          <w:lang w:eastAsia="en-GB" w:bidi="en-GB"/>
        </w:rPr>
        <w:t>that</w:t>
      </w:r>
      <w:r w:rsidR="00FF41A0">
        <w:rPr>
          <w:color w:val="000000"/>
          <w:sz w:val="20"/>
          <w:szCs w:val="20"/>
          <w:lang w:eastAsia="en-GB" w:bidi="en-GB"/>
        </w:rPr>
        <w:t xml:space="preserve"> </w:t>
      </w:r>
      <w:r w:rsidR="00323457" w:rsidRPr="0059638B">
        <w:rPr>
          <w:color w:val="000000"/>
          <w:sz w:val="20"/>
          <w:szCs w:val="20"/>
          <w:lang w:eastAsia="en-GB" w:bidi="en-GB"/>
        </w:rPr>
        <w:t>they</w:t>
      </w:r>
      <w:r w:rsidR="00FF41A0">
        <w:rPr>
          <w:color w:val="000000"/>
          <w:sz w:val="20"/>
          <w:szCs w:val="20"/>
          <w:lang w:eastAsia="en-GB" w:bidi="en-GB"/>
        </w:rPr>
        <w:t xml:space="preserve"> </w:t>
      </w:r>
      <w:r w:rsidR="00323457" w:rsidRPr="0059638B">
        <w:rPr>
          <w:color w:val="000000"/>
          <w:sz w:val="20"/>
          <w:szCs w:val="20"/>
          <w:lang w:eastAsia="en-GB" w:bidi="en-GB"/>
        </w:rPr>
        <w:t>had</w:t>
      </w:r>
      <w:r w:rsidR="00FF41A0">
        <w:rPr>
          <w:color w:val="000000"/>
          <w:sz w:val="20"/>
          <w:szCs w:val="20"/>
          <w:lang w:eastAsia="en-GB" w:bidi="en-GB"/>
        </w:rPr>
        <w:t xml:space="preserve"> </w:t>
      </w:r>
      <w:r w:rsidR="00323457" w:rsidRPr="0059638B">
        <w:rPr>
          <w:color w:val="000000"/>
          <w:sz w:val="20"/>
          <w:szCs w:val="20"/>
          <w:lang w:eastAsia="en-GB" w:bidi="en-GB"/>
        </w:rPr>
        <w:t>received</w:t>
      </w:r>
      <w:r w:rsidR="00FF41A0">
        <w:rPr>
          <w:color w:val="000000"/>
          <w:sz w:val="20"/>
          <w:szCs w:val="20"/>
          <w:lang w:eastAsia="en-GB" w:bidi="en-GB"/>
        </w:rPr>
        <w:t xml:space="preserve"> </w:t>
      </w:r>
      <w:r w:rsidR="00323457" w:rsidRPr="0059638B">
        <w:rPr>
          <w:color w:val="000000"/>
          <w:sz w:val="20"/>
          <w:szCs w:val="20"/>
          <w:lang w:eastAsia="en-GB" w:bidi="en-GB"/>
        </w:rPr>
        <w:t>complaints</w:t>
      </w:r>
      <w:r w:rsidR="00FF41A0">
        <w:rPr>
          <w:color w:val="000000"/>
          <w:sz w:val="20"/>
          <w:szCs w:val="20"/>
          <w:lang w:eastAsia="en-GB" w:bidi="en-GB"/>
        </w:rPr>
        <w:t xml:space="preserve"> </w:t>
      </w:r>
      <w:r w:rsidR="00323457" w:rsidRPr="0059638B">
        <w:rPr>
          <w:color w:val="000000"/>
          <w:sz w:val="20"/>
          <w:szCs w:val="20"/>
          <w:lang w:eastAsia="en-GB" w:bidi="en-GB"/>
        </w:rPr>
        <w:t>from</w:t>
      </w:r>
      <w:r w:rsidR="00FF41A0">
        <w:rPr>
          <w:color w:val="000000"/>
          <w:sz w:val="20"/>
          <w:szCs w:val="20"/>
          <w:lang w:eastAsia="en-GB" w:bidi="en-GB"/>
        </w:rPr>
        <w:t xml:space="preserve"> </w:t>
      </w:r>
      <w:r w:rsidR="00323457" w:rsidRPr="0059638B">
        <w:rPr>
          <w:color w:val="000000"/>
          <w:sz w:val="20"/>
          <w:szCs w:val="20"/>
          <w:lang w:eastAsia="en-GB" w:bidi="en-GB"/>
        </w:rPr>
        <w:t>indigenous</w:t>
      </w:r>
      <w:r w:rsidR="00FF41A0">
        <w:rPr>
          <w:color w:val="000000"/>
          <w:sz w:val="20"/>
          <w:szCs w:val="20"/>
          <w:lang w:eastAsia="en-GB" w:bidi="en-GB"/>
        </w:rPr>
        <w:t xml:space="preserve"> </w:t>
      </w:r>
      <w:r w:rsidR="00323457" w:rsidRPr="0059638B">
        <w:rPr>
          <w:color w:val="000000"/>
          <w:sz w:val="20"/>
          <w:szCs w:val="20"/>
          <w:lang w:eastAsia="en-GB" w:bidi="en-GB"/>
        </w:rPr>
        <w:t>people</w:t>
      </w:r>
      <w:r w:rsidR="00FF41A0">
        <w:rPr>
          <w:color w:val="000000"/>
          <w:sz w:val="20"/>
          <w:szCs w:val="20"/>
          <w:lang w:eastAsia="en-GB" w:bidi="en-GB"/>
        </w:rPr>
        <w:t xml:space="preserve"> </w:t>
      </w:r>
      <w:r w:rsidR="00323457" w:rsidRPr="0059638B">
        <w:rPr>
          <w:color w:val="000000"/>
          <w:sz w:val="20"/>
          <w:szCs w:val="20"/>
          <w:lang w:eastAsia="en-GB" w:bidi="en-GB"/>
        </w:rPr>
        <w:t>that</w:t>
      </w:r>
      <w:r w:rsidR="00FF41A0">
        <w:rPr>
          <w:color w:val="000000"/>
          <w:sz w:val="20"/>
          <w:szCs w:val="20"/>
          <w:lang w:eastAsia="en-GB" w:bidi="en-GB"/>
        </w:rPr>
        <w:t xml:space="preserve"> </w:t>
      </w:r>
      <w:r w:rsidR="00323457" w:rsidRPr="0059638B">
        <w:rPr>
          <w:color w:val="000000"/>
          <w:sz w:val="20"/>
          <w:szCs w:val="20"/>
          <w:lang w:eastAsia="en-GB" w:bidi="en-GB"/>
        </w:rPr>
        <w:t>there</w:t>
      </w:r>
      <w:r w:rsidR="00FF41A0">
        <w:rPr>
          <w:color w:val="000000"/>
          <w:sz w:val="20"/>
          <w:szCs w:val="20"/>
          <w:lang w:eastAsia="en-GB" w:bidi="en-GB"/>
        </w:rPr>
        <w:t xml:space="preserve"> </w:t>
      </w:r>
      <w:r w:rsidR="00323457" w:rsidRPr="0059638B">
        <w:rPr>
          <w:color w:val="000000"/>
          <w:sz w:val="20"/>
          <w:szCs w:val="20"/>
          <w:lang w:eastAsia="en-GB" w:bidi="en-GB"/>
        </w:rPr>
        <w:t>had</w:t>
      </w:r>
      <w:r w:rsidR="00FF41A0">
        <w:rPr>
          <w:color w:val="000000"/>
          <w:sz w:val="20"/>
          <w:szCs w:val="20"/>
          <w:lang w:eastAsia="en-GB" w:bidi="en-GB"/>
        </w:rPr>
        <w:t xml:space="preserve"> </w:t>
      </w:r>
      <w:r w:rsidR="00323457" w:rsidRPr="0059638B">
        <w:rPr>
          <w:color w:val="000000"/>
          <w:sz w:val="20"/>
          <w:szCs w:val="20"/>
          <w:lang w:eastAsia="en-GB" w:bidi="en-GB"/>
        </w:rPr>
        <w:t>been</w:t>
      </w:r>
      <w:r w:rsidR="00FF41A0">
        <w:rPr>
          <w:color w:val="000000"/>
          <w:sz w:val="20"/>
          <w:szCs w:val="20"/>
          <w:lang w:eastAsia="en-GB" w:bidi="en-GB"/>
        </w:rPr>
        <w:t xml:space="preserve"> </w:t>
      </w:r>
      <w:r w:rsidR="00323457" w:rsidRPr="0059638B">
        <w:rPr>
          <w:color w:val="000000"/>
          <w:sz w:val="20"/>
          <w:szCs w:val="20"/>
          <w:lang w:eastAsia="en-GB" w:bidi="en-GB"/>
        </w:rPr>
        <w:t>attempts</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influence</w:t>
      </w:r>
      <w:r w:rsidR="00FF41A0">
        <w:rPr>
          <w:color w:val="000000"/>
          <w:sz w:val="20"/>
          <w:szCs w:val="20"/>
          <w:lang w:eastAsia="en-GB" w:bidi="en-GB"/>
        </w:rPr>
        <w:t xml:space="preserve"> </w:t>
      </w:r>
      <w:r w:rsidR="00323457" w:rsidRPr="0059638B">
        <w:rPr>
          <w:color w:val="000000"/>
          <w:sz w:val="20"/>
          <w:szCs w:val="20"/>
          <w:lang w:eastAsia="en-GB" w:bidi="en-GB"/>
        </w:rPr>
        <w:t>indigenous</w:t>
      </w:r>
      <w:r w:rsidR="00FF41A0">
        <w:rPr>
          <w:color w:val="000000"/>
          <w:sz w:val="20"/>
          <w:szCs w:val="20"/>
          <w:lang w:eastAsia="en-GB" w:bidi="en-GB"/>
        </w:rPr>
        <w:t xml:space="preserve"> </w:t>
      </w:r>
      <w:r w:rsidR="00323457" w:rsidRPr="0059638B">
        <w:rPr>
          <w:color w:val="000000"/>
          <w:sz w:val="20"/>
          <w:szCs w:val="20"/>
          <w:lang w:eastAsia="en-GB" w:bidi="en-GB"/>
        </w:rPr>
        <w:t>peoples</w:t>
      </w:r>
      <w:r w:rsidR="00FF41A0">
        <w:rPr>
          <w:color w:val="000000"/>
          <w:sz w:val="20"/>
          <w:szCs w:val="20"/>
          <w:lang w:eastAsia="en-GB" w:bidi="en-GB"/>
        </w:rPr>
        <w:t xml:space="preserve"> </w:t>
      </w:r>
      <w:r w:rsidR="00323457" w:rsidRPr="0059638B">
        <w:rPr>
          <w:color w:val="000000"/>
          <w:sz w:val="20"/>
          <w:szCs w:val="20"/>
          <w:lang w:eastAsia="en-GB" w:bidi="en-GB"/>
        </w:rPr>
        <w:t>into</w:t>
      </w:r>
      <w:r w:rsidR="00FF41A0">
        <w:rPr>
          <w:color w:val="000000"/>
          <w:sz w:val="20"/>
          <w:szCs w:val="20"/>
          <w:lang w:eastAsia="en-GB" w:bidi="en-GB"/>
        </w:rPr>
        <w:t xml:space="preserve"> </w:t>
      </w:r>
      <w:r w:rsidR="00323457" w:rsidRPr="0059638B">
        <w:rPr>
          <w:color w:val="000000"/>
          <w:sz w:val="20"/>
          <w:szCs w:val="20"/>
          <w:lang w:eastAsia="en-GB" w:bidi="en-GB"/>
        </w:rPr>
        <w:t>embracing</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national</w:t>
      </w:r>
      <w:r w:rsidR="00FF41A0">
        <w:rPr>
          <w:color w:val="000000"/>
          <w:sz w:val="20"/>
          <w:szCs w:val="20"/>
          <w:lang w:eastAsia="en-GB" w:bidi="en-GB"/>
        </w:rPr>
        <w:t xml:space="preserve"> </w:t>
      </w:r>
      <w:r w:rsidR="00323457" w:rsidRPr="0059638B">
        <w:rPr>
          <w:color w:val="000000"/>
          <w:sz w:val="20"/>
          <w:szCs w:val="20"/>
          <w:lang w:eastAsia="en-GB" w:bidi="en-GB"/>
        </w:rPr>
        <w:t>religion</w:t>
      </w:r>
      <w:r w:rsidR="00FF41A0">
        <w:rPr>
          <w:color w:val="000000"/>
          <w:sz w:val="20"/>
          <w:szCs w:val="20"/>
          <w:lang w:eastAsia="en-GB" w:bidi="en-GB"/>
        </w:rPr>
        <w:t xml:space="preserve"> </w:t>
      </w:r>
      <w:r w:rsidR="00323457" w:rsidRPr="0059638B">
        <w:rPr>
          <w:color w:val="000000"/>
          <w:sz w:val="20"/>
          <w:szCs w:val="20"/>
          <w:lang w:eastAsia="en-GB" w:bidi="en-GB"/>
        </w:rPr>
        <w:t>by</w:t>
      </w:r>
      <w:r w:rsidR="00FF41A0">
        <w:rPr>
          <w:color w:val="000000"/>
          <w:sz w:val="20"/>
          <w:szCs w:val="20"/>
          <w:lang w:eastAsia="en-GB" w:bidi="en-GB"/>
        </w:rPr>
        <w:t xml:space="preserve"> </w:t>
      </w:r>
      <w:r w:rsidR="00323457" w:rsidRPr="0059638B">
        <w:rPr>
          <w:color w:val="000000"/>
          <w:sz w:val="20"/>
          <w:szCs w:val="20"/>
          <w:lang w:eastAsia="en-GB" w:bidi="en-GB"/>
        </w:rPr>
        <w:t>offering</w:t>
      </w:r>
      <w:r w:rsidR="00FF41A0">
        <w:rPr>
          <w:color w:val="000000"/>
          <w:sz w:val="20"/>
          <w:szCs w:val="20"/>
          <w:lang w:eastAsia="en-GB" w:bidi="en-GB"/>
        </w:rPr>
        <w:t xml:space="preserve"> </w:t>
      </w:r>
      <w:r w:rsidR="00323457" w:rsidRPr="0059638B">
        <w:rPr>
          <w:color w:val="000000"/>
          <w:sz w:val="20"/>
          <w:szCs w:val="20"/>
          <w:lang w:eastAsia="en-GB" w:bidi="en-GB"/>
        </w:rPr>
        <w:t>more</w:t>
      </w:r>
      <w:r w:rsidR="00FF41A0">
        <w:rPr>
          <w:color w:val="000000"/>
          <w:sz w:val="20"/>
          <w:szCs w:val="20"/>
          <w:lang w:eastAsia="en-GB" w:bidi="en-GB"/>
        </w:rPr>
        <w:t xml:space="preserve"> </w:t>
      </w:r>
      <w:r w:rsidR="00323457" w:rsidRPr="0059638B">
        <w:rPr>
          <w:color w:val="000000"/>
          <w:sz w:val="20"/>
          <w:szCs w:val="20"/>
          <w:lang w:eastAsia="en-GB" w:bidi="en-GB"/>
        </w:rPr>
        <w:t>development</w:t>
      </w:r>
      <w:r w:rsidR="00FF41A0">
        <w:rPr>
          <w:color w:val="000000"/>
          <w:sz w:val="20"/>
          <w:szCs w:val="20"/>
          <w:lang w:eastAsia="en-GB" w:bidi="en-GB"/>
        </w:rPr>
        <w:t xml:space="preserve"> </w:t>
      </w:r>
      <w:r w:rsidR="00323457" w:rsidRPr="0059638B">
        <w:rPr>
          <w:color w:val="000000"/>
          <w:sz w:val="20"/>
          <w:szCs w:val="20"/>
          <w:lang w:eastAsia="en-GB" w:bidi="en-GB"/>
        </w:rPr>
        <w:t>projects</w:t>
      </w:r>
      <w:r w:rsidR="00FF41A0">
        <w:rPr>
          <w:color w:val="000000"/>
          <w:sz w:val="20"/>
          <w:szCs w:val="20"/>
          <w:lang w:eastAsia="en-GB" w:bidi="en-GB"/>
        </w:rPr>
        <w:t xml:space="preserve"> </w:t>
      </w:r>
      <w:r w:rsidR="00323457" w:rsidRPr="0059638B">
        <w:rPr>
          <w:color w:val="000000"/>
          <w:sz w:val="20"/>
          <w:szCs w:val="20"/>
          <w:lang w:eastAsia="en-GB" w:bidi="en-GB"/>
        </w:rPr>
        <w:t>if</w:t>
      </w:r>
      <w:r w:rsidR="00FF41A0">
        <w:rPr>
          <w:color w:val="000000"/>
          <w:sz w:val="20"/>
          <w:szCs w:val="20"/>
          <w:lang w:eastAsia="en-GB" w:bidi="en-GB"/>
        </w:rPr>
        <w:t xml:space="preserve"> </w:t>
      </w:r>
      <w:r w:rsidR="00323457" w:rsidRPr="0059638B">
        <w:rPr>
          <w:color w:val="000000"/>
          <w:sz w:val="20"/>
          <w:szCs w:val="20"/>
          <w:lang w:eastAsia="en-GB" w:bidi="en-GB"/>
        </w:rPr>
        <w:t>they</w:t>
      </w:r>
      <w:r w:rsidR="00FF41A0">
        <w:rPr>
          <w:color w:val="000000"/>
          <w:sz w:val="20"/>
          <w:szCs w:val="20"/>
          <w:lang w:eastAsia="en-GB" w:bidi="en-GB"/>
        </w:rPr>
        <w:t xml:space="preserve"> </w:t>
      </w:r>
      <w:r w:rsidR="00323457" w:rsidRPr="0059638B">
        <w:rPr>
          <w:color w:val="000000"/>
          <w:sz w:val="20"/>
          <w:szCs w:val="20"/>
          <w:lang w:eastAsia="en-GB" w:bidi="en-GB"/>
        </w:rPr>
        <w:t>did</w:t>
      </w:r>
      <w:r w:rsidR="00FF41A0">
        <w:rPr>
          <w:color w:val="000000"/>
          <w:sz w:val="20"/>
          <w:szCs w:val="20"/>
          <w:lang w:eastAsia="en-GB" w:bidi="en-GB"/>
        </w:rPr>
        <w:t xml:space="preserve"> </w:t>
      </w:r>
      <w:r w:rsidR="00323457" w:rsidRPr="0059638B">
        <w:rPr>
          <w:color w:val="000000"/>
          <w:sz w:val="20"/>
          <w:szCs w:val="20"/>
          <w:lang w:eastAsia="en-GB" w:bidi="en-GB"/>
        </w:rPr>
        <w:t>so.</w:t>
      </w:r>
      <w:r w:rsidR="00FF41A0">
        <w:rPr>
          <w:color w:val="000000"/>
          <w:sz w:val="20"/>
          <w:szCs w:val="20"/>
          <w:lang w:eastAsia="en-GB" w:bidi="en-GB"/>
        </w:rPr>
        <w:t xml:space="preserve"> </w:t>
      </w:r>
      <w:r w:rsidR="00323457" w:rsidRPr="0059638B">
        <w:rPr>
          <w:color w:val="000000"/>
          <w:sz w:val="20"/>
          <w:szCs w:val="20"/>
          <w:lang w:eastAsia="en-GB" w:bidi="en-GB"/>
        </w:rPr>
        <w:t>They</w:t>
      </w:r>
      <w:r w:rsidR="00FF41A0">
        <w:rPr>
          <w:color w:val="000000"/>
          <w:sz w:val="20"/>
          <w:szCs w:val="20"/>
          <w:lang w:eastAsia="en-GB" w:bidi="en-GB"/>
        </w:rPr>
        <w:t xml:space="preserve"> </w:t>
      </w:r>
      <w:r w:rsidR="00323457" w:rsidRPr="0059638B">
        <w:rPr>
          <w:color w:val="000000"/>
          <w:sz w:val="20"/>
          <w:szCs w:val="20"/>
          <w:lang w:eastAsia="en-GB" w:bidi="en-GB"/>
        </w:rPr>
        <w:t>furthermore</w:t>
      </w:r>
      <w:r w:rsidR="00FF41A0">
        <w:rPr>
          <w:color w:val="000000"/>
          <w:sz w:val="20"/>
          <w:szCs w:val="20"/>
          <w:lang w:eastAsia="en-GB" w:bidi="en-GB"/>
        </w:rPr>
        <w:t xml:space="preserve"> </w:t>
      </w:r>
      <w:r w:rsidR="00323457" w:rsidRPr="0059638B">
        <w:rPr>
          <w:color w:val="000000"/>
          <w:sz w:val="20"/>
          <w:szCs w:val="20"/>
          <w:lang w:eastAsia="en-GB" w:bidi="en-GB"/>
        </w:rPr>
        <w:t>raised</w:t>
      </w:r>
      <w:r w:rsidR="00FF41A0">
        <w:rPr>
          <w:color w:val="000000"/>
          <w:sz w:val="20"/>
          <w:szCs w:val="20"/>
          <w:lang w:eastAsia="en-GB" w:bidi="en-GB"/>
        </w:rPr>
        <w:t xml:space="preserve"> </w:t>
      </w:r>
      <w:r w:rsidR="00323457" w:rsidRPr="0059638B">
        <w:rPr>
          <w:color w:val="000000"/>
          <w:sz w:val="20"/>
          <w:szCs w:val="20"/>
          <w:lang w:eastAsia="en-GB" w:bidi="en-GB"/>
        </w:rPr>
        <w:t>their</w:t>
      </w:r>
      <w:r w:rsidR="00FF41A0">
        <w:rPr>
          <w:color w:val="000000"/>
          <w:sz w:val="20"/>
          <w:szCs w:val="20"/>
          <w:lang w:eastAsia="en-GB" w:bidi="en-GB"/>
        </w:rPr>
        <w:t xml:space="preserve"> </w:t>
      </w:r>
      <w:r w:rsidR="00323457" w:rsidRPr="0059638B">
        <w:rPr>
          <w:color w:val="000000"/>
          <w:sz w:val="20"/>
          <w:szCs w:val="20"/>
          <w:lang w:eastAsia="en-GB" w:bidi="en-GB"/>
        </w:rPr>
        <w:t>concern</w:t>
      </w:r>
      <w:r w:rsidR="00FF41A0">
        <w:rPr>
          <w:color w:val="000000"/>
          <w:sz w:val="20"/>
          <w:szCs w:val="20"/>
          <w:lang w:eastAsia="en-GB" w:bidi="en-GB"/>
        </w:rPr>
        <w:t xml:space="preserve"> </w:t>
      </w:r>
      <w:r w:rsidR="00323457" w:rsidRPr="0059638B">
        <w:rPr>
          <w:color w:val="000000"/>
          <w:sz w:val="20"/>
          <w:szCs w:val="20"/>
          <w:lang w:eastAsia="en-GB" w:bidi="en-GB"/>
        </w:rPr>
        <w:t>regarding</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high</w:t>
      </w:r>
      <w:r w:rsidR="00FF41A0">
        <w:rPr>
          <w:color w:val="000000"/>
          <w:sz w:val="20"/>
          <w:szCs w:val="20"/>
          <w:lang w:eastAsia="en-GB" w:bidi="en-GB"/>
        </w:rPr>
        <w:t xml:space="preserve"> </w:t>
      </w:r>
      <w:r w:rsidR="00323457" w:rsidRPr="0059638B">
        <w:rPr>
          <w:color w:val="000000"/>
          <w:sz w:val="20"/>
          <w:szCs w:val="20"/>
          <w:lang w:eastAsia="en-GB" w:bidi="en-GB"/>
        </w:rPr>
        <w:t>number</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victims</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trafficking,</w:t>
      </w:r>
      <w:r w:rsidR="00FF41A0">
        <w:rPr>
          <w:color w:val="000000"/>
          <w:sz w:val="20"/>
          <w:szCs w:val="20"/>
          <w:lang w:eastAsia="en-GB" w:bidi="en-GB"/>
        </w:rPr>
        <w:t xml:space="preserve"> </w:t>
      </w:r>
      <w:r w:rsidR="00323457" w:rsidRPr="0059638B">
        <w:rPr>
          <w:color w:val="000000"/>
          <w:sz w:val="20"/>
          <w:szCs w:val="20"/>
          <w:lang w:eastAsia="en-GB" w:bidi="en-GB"/>
        </w:rPr>
        <w:t>many</w:t>
      </w:r>
      <w:r w:rsidR="00FF41A0">
        <w:rPr>
          <w:color w:val="000000"/>
          <w:sz w:val="20"/>
          <w:szCs w:val="20"/>
          <w:lang w:eastAsia="en-GB" w:bidi="en-GB"/>
        </w:rPr>
        <w:t xml:space="preserve"> </w:t>
      </w:r>
      <w:r w:rsidR="00323457" w:rsidRPr="0059638B">
        <w:rPr>
          <w:color w:val="000000"/>
          <w:sz w:val="20"/>
          <w:szCs w:val="20"/>
          <w:lang w:eastAsia="en-GB" w:bidi="en-GB"/>
        </w:rPr>
        <w:t>working</w:t>
      </w:r>
      <w:r w:rsidR="00FF41A0">
        <w:rPr>
          <w:color w:val="000000"/>
          <w:sz w:val="20"/>
          <w:szCs w:val="20"/>
          <w:lang w:eastAsia="en-GB" w:bidi="en-GB"/>
        </w:rPr>
        <w:t xml:space="preserve"> </w:t>
      </w:r>
      <w:r w:rsidR="00323457" w:rsidRPr="0059638B">
        <w:rPr>
          <w:color w:val="000000"/>
          <w:sz w:val="20"/>
          <w:szCs w:val="20"/>
          <w:lang w:eastAsia="en-GB" w:bidi="en-GB"/>
        </w:rPr>
        <w:t>as</w:t>
      </w:r>
      <w:r w:rsidR="00FF41A0">
        <w:rPr>
          <w:color w:val="000000"/>
          <w:sz w:val="20"/>
          <w:szCs w:val="20"/>
          <w:lang w:eastAsia="en-GB" w:bidi="en-GB"/>
        </w:rPr>
        <w:t xml:space="preserve"> </w:t>
      </w:r>
      <w:r w:rsidR="00323457" w:rsidRPr="0059638B">
        <w:rPr>
          <w:color w:val="000000"/>
          <w:sz w:val="20"/>
          <w:szCs w:val="20"/>
          <w:lang w:eastAsia="en-GB" w:bidi="en-GB"/>
        </w:rPr>
        <w:t>domestic</w:t>
      </w:r>
      <w:r w:rsidR="00FF41A0">
        <w:rPr>
          <w:color w:val="000000"/>
          <w:sz w:val="20"/>
          <w:szCs w:val="20"/>
          <w:lang w:eastAsia="en-GB" w:bidi="en-GB"/>
        </w:rPr>
        <w:t xml:space="preserve"> </w:t>
      </w:r>
      <w:r w:rsidR="00323457" w:rsidRPr="0059638B">
        <w:rPr>
          <w:color w:val="000000"/>
          <w:sz w:val="20"/>
          <w:szCs w:val="20"/>
          <w:lang w:eastAsia="en-GB" w:bidi="en-GB"/>
        </w:rPr>
        <w:t>workers.</w:t>
      </w:r>
    </w:p>
    <w:p w14:paraId="11AE5BFA" w14:textId="66BBBF41" w:rsidR="00323457" w:rsidRPr="0059638B" w:rsidRDefault="00972F1E" w:rsidP="00323457">
      <w:pPr>
        <w:pStyle w:val="SingleTxtG"/>
        <w:rPr>
          <w:color w:val="000000"/>
          <w:sz w:val="20"/>
          <w:szCs w:val="20"/>
          <w:lang w:eastAsia="en-GB" w:bidi="en-GB"/>
        </w:rPr>
      </w:pPr>
      <w:r>
        <w:rPr>
          <w:color w:val="000000"/>
          <w:sz w:val="20"/>
          <w:szCs w:val="20"/>
          <w:lang w:eastAsia="en-GB" w:bidi="en-GB"/>
        </w:rPr>
        <w:t>661</w:t>
      </w:r>
      <w:r w:rsidR="00D7475F">
        <w:rPr>
          <w:color w:val="000000"/>
          <w:sz w:val="20"/>
          <w:szCs w:val="20"/>
          <w:lang w:eastAsia="en-GB" w:bidi="en-GB"/>
        </w:rPr>
        <w:t>.</w:t>
      </w:r>
      <w:r w:rsidR="00D7475F">
        <w:rPr>
          <w:color w:val="000000"/>
          <w:sz w:val="20"/>
          <w:szCs w:val="20"/>
          <w:lang w:eastAsia="en-GB" w:bidi="en-GB"/>
        </w:rPr>
        <w:tab/>
      </w:r>
      <w:r w:rsidR="00323457" w:rsidRPr="0059638B">
        <w:rPr>
          <w:color w:val="000000"/>
          <w:sz w:val="20"/>
          <w:szCs w:val="20"/>
          <w:lang w:eastAsia="en-GB" w:bidi="en-GB"/>
        </w:rPr>
        <w:t>Asian</w:t>
      </w:r>
      <w:r w:rsidR="00FF41A0">
        <w:rPr>
          <w:color w:val="000000"/>
          <w:sz w:val="20"/>
          <w:szCs w:val="20"/>
          <w:lang w:eastAsia="en-GB" w:bidi="en-GB"/>
        </w:rPr>
        <w:t xml:space="preserve"> </w:t>
      </w:r>
      <w:r w:rsidR="00323457" w:rsidRPr="0059638B">
        <w:rPr>
          <w:color w:val="000000"/>
          <w:sz w:val="20"/>
          <w:szCs w:val="20"/>
          <w:lang w:eastAsia="en-GB" w:bidi="en-GB"/>
        </w:rPr>
        <w:t>Forum</w:t>
      </w:r>
      <w:r w:rsidR="00FF41A0">
        <w:rPr>
          <w:color w:val="000000"/>
          <w:sz w:val="20"/>
          <w:szCs w:val="20"/>
          <w:lang w:eastAsia="en-GB" w:bidi="en-GB"/>
        </w:rPr>
        <w:t xml:space="preserve"> </w:t>
      </w:r>
      <w:r w:rsidR="00323457" w:rsidRPr="0059638B">
        <w:rPr>
          <w:color w:val="000000"/>
          <w:sz w:val="20"/>
          <w:szCs w:val="20"/>
          <w:lang w:eastAsia="en-GB" w:bidi="en-GB"/>
        </w:rPr>
        <w:t>for</w:t>
      </w:r>
      <w:r w:rsidR="00FF41A0">
        <w:rPr>
          <w:color w:val="000000"/>
          <w:sz w:val="20"/>
          <w:szCs w:val="20"/>
          <w:lang w:eastAsia="en-GB" w:bidi="en-GB"/>
        </w:rPr>
        <w:t xml:space="preserve"> </w:t>
      </w:r>
      <w:r w:rsidR="00323457" w:rsidRPr="0059638B">
        <w:rPr>
          <w:color w:val="000000"/>
          <w:sz w:val="20"/>
          <w:szCs w:val="20"/>
          <w:lang w:eastAsia="en-GB" w:bidi="en-GB"/>
        </w:rPr>
        <w:t>Human</w:t>
      </w:r>
      <w:r w:rsidR="00FF41A0">
        <w:rPr>
          <w:color w:val="000000"/>
          <w:sz w:val="20"/>
          <w:szCs w:val="20"/>
          <w:lang w:eastAsia="en-GB" w:bidi="en-GB"/>
        </w:rPr>
        <w:t xml:space="preserve"> </w:t>
      </w:r>
      <w:r w:rsidR="00323457" w:rsidRPr="0059638B">
        <w:rPr>
          <w:color w:val="000000"/>
          <w:sz w:val="20"/>
          <w:szCs w:val="20"/>
          <w:lang w:eastAsia="en-GB" w:bidi="en-GB"/>
        </w:rPr>
        <w:t>Rights</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Development,</w:t>
      </w:r>
      <w:r w:rsidR="00FF41A0">
        <w:rPr>
          <w:color w:val="000000"/>
          <w:sz w:val="20"/>
          <w:szCs w:val="20"/>
          <w:lang w:eastAsia="en-GB" w:bidi="en-GB"/>
        </w:rPr>
        <w:t xml:space="preserve"> </w:t>
      </w:r>
      <w:r w:rsidR="00323457" w:rsidRPr="0059638B">
        <w:rPr>
          <w:color w:val="000000"/>
          <w:sz w:val="20"/>
          <w:szCs w:val="20"/>
          <w:lang w:eastAsia="en-GB" w:bidi="en-GB"/>
        </w:rPr>
        <w:t>in</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joint</w:t>
      </w:r>
      <w:r w:rsidR="00FF41A0">
        <w:rPr>
          <w:color w:val="000000"/>
          <w:sz w:val="20"/>
          <w:szCs w:val="20"/>
          <w:lang w:eastAsia="en-GB" w:bidi="en-GB"/>
        </w:rPr>
        <w:t xml:space="preserve"> </w:t>
      </w:r>
      <w:r w:rsidR="00323457" w:rsidRPr="0059638B">
        <w:rPr>
          <w:color w:val="000000"/>
          <w:sz w:val="20"/>
          <w:szCs w:val="20"/>
          <w:lang w:eastAsia="en-GB" w:bidi="en-GB"/>
        </w:rPr>
        <w:t>statement</w:t>
      </w:r>
      <w:r w:rsidR="00FF41A0">
        <w:rPr>
          <w:color w:val="000000"/>
          <w:sz w:val="20"/>
          <w:szCs w:val="20"/>
          <w:lang w:eastAsia="en-GB" w:bidi="en-GB"/>
        </w:rPr>
        <w:t xml:space="preserve"> </w:t>
      </w:r>
      <w:r w:rsidR="00323457" w:rsidRPr="0059638B">
        <w:rPr>
          <w:color w:val="000000"/>
          <w:sz w:val="20"/>
          <w:szCs w:val="20"/>
          <w:lang w:eastAsia="en-GB" w:bidi="en-GB"/>
        </w:rPr>
        <w:t>with</w:t>
      </w:r>
      <w:r w:rsidR="00FF41A0">
        <w:rPr>
          <w:color w:val="000000"/>
          <w:sz w:val="20"/>
          <w:szCs w:val="20"/>
          <w:lang w:eastAsia="en-GB" w:bidi="en-GB"/>
        </w:rPr>
        <w:t xml:space="preserve"> </w:t>
      </w:r>
      <w:r w:rsidR="00323457" w:rsidRPr="0059638B">
        <w:rPr>
          <w:color w:val="000000"/>
          <w:sz w:val="20"/>
          <w:szCs w:val="20"/>
          <w:lang w:eastAsia="en-GB" w:bidi="en-GB"/>
        </w:rPr>
        <w:t>Commonwealth</w:t>
      </w:r>
      <w:r w:rsidR="00FF41A0">
        <w:rPr>
          <w:color w:val="000000"/>
          <w:sz w:val="20"/>
          <w:szCs w:val="20"/>
          <w:lang w:eastAsia="en-GB" w:bidi="en-GB"/>
        </w:rPr>
        <w:t xml:space="preserve"> </w:t>
      </w:r>
      <w:r w:rsidR="00323457" w:rsidRPr="0059638B">
        <w:rPr>
          <w:color w:val="000000"/>
          <w:sz w:val="20"/>
          <w:szCs w:val="20"/>
          <w:lang w:eastAsia="en-GB" w:bidi="en-GB"/>
        </w:rPr>
        <w:t>Human</w:t>
      </w:r>
      <w:r w:rsidR="00FF41A0">
        <w:rPr>
          <w:color w:val="000000"/>
          <w:sz w:val="20"/>
          <w:szCs w:val="20"/>
          <w:lang w:eastAsia="en-GB" w:bidi="en-GB"/>
        </w:rPr>
        <w:t xml:space="preserve"> </w:t>
      </w:r>
      <w:r w:rsidR="00323457" w:rsidRPr="0059638B">
        <w:rPr>
          <w:color w:val="000000"/>
          <w:sz w:val="20"/>
          <w:szCs w:val="20"/>
          <w:lang w:eastAsia="en-GB" w:bidi="en-GB"/>
        </w:rPr>
        <w:t>Rights</w:t>
      </w:r>
      <w:r w:rsidR="00FF41A0">
        <w:rPr>
          <w:color w:val="000000"/>
          <w:sz w:val="20"/>
          <w:szCs w:val="20"/>
          <w:lang w:eastAsia="en-GB" w:bidi="en-GB"/>
        </w:rPr>
        <w:t xml:space="preserve"> </w:t>
      </w:r>
      <w:r w:rsidR="00323457" w:rsidRPr="0059638B">
        <w:rPr>
          <w:color w:val="000000"/>
          <w:sz w:val="20"/>
          <w:szCs w:val="20"/>
          <w:lang w:eastAsia="en-GB" w:bidi="en-GB"/>
        </w:rPr>
        <w:t>Initiative</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Article</w:t>
      </w:r>
      <w:r w:rsidR="00FF41A0">
        <w:rPr>
          <w:color w:val="000000"/>
          <w:sz w:val="20"/>
          <w:szCs w:val="20"/>
          <w:lang w:eastAsia="en-GB" w:bidi="en-GB"/>
        </w:rPr>
        <w:t xml:space="preserve"> </w:t>
      </w:r>
      <w:r w:rsidR="00323457" w:rsidRPr="0059638B">
        <w:rPr>
          <w:color w:val="000000"/>
          <w:sz w:val="20"/>
          <w:szCs w:val="20"/>
          <w:lang w:eastAsia="en-GB" w:bidi="en-GB"/>
        </w:rPr>
        <w:t>19</w:t>
      </w:r>
      <w:r w:rsidR="00FF41A0">
        <w:rPr>
          <w:color w:val="000000"/>
          <w:sz w:val="20"/>
          <w:szCs w:val="20"/>
          <w:lang w:eastAsia="en-GB" w:bidi="en-GB"/>
        </w:rPr>
        <w:t xml:space="preserve"> </w:t>
      </w:r>
      <w:r w:rsidR="00323457" w:rsidRPr="0059638B">
        <w:rPr>
          <w:color w:val="000000"/>
          <w:sz w:val="20"/>
          <w:szCs w:val="20"/>
          <w:lang w:eastAsia="en-GB" w:bidi="en-GB"/>
        </w:rPr>
        <w:t>–</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International</w:t>
      </w:r>
      <w:r w:rsidR="00FF41A0">
        <w:rPr>
          <w:color w:val="000000"/>
          <w:sz w:val="20"/>
          <w:szCs w:val="20"/>
          <w:lang w:eastAsia="en-GB" w:bidi="en-GB"/>
        </w:rPr>
        <w:t xml:space="preserve"> </w:t>
      </w:r>
      <w:r w:rsidR="00323457" w:rsidRPr="0059638B">
        <w:rPr>
          <w:color w:val="000000"/>
          <w:sz w:val="20"/>
          <w:szCs w:val="20"/>
          <w:lang w:eastAsia="en-GB" w:bidi="en-GB"/>
        </w:rPr>
        <w:t>Centre</w:t>
      </w:r>
      <w:r w:rsidR="00FF41A0">
        <w:rPr>
          <w:color w:val="000000"/>
          <w:sz w:val="20"/>
          <w:szCs w:val="20"/>
          <w:lang w:eastAsia="en-GB" w:bidi="en-GB"/>
        </w:rPr>
        <w:t xml:space="preserve"> </w:t>
      </w:r>
      <w:r w:rsidR="00323457" w:rsidRPr="0059638B">
        <w:rPr>
          <w:color w:val="000000"/>
          <w:sz w:val="20"/>
          <w:szCs w:val="20"/>
          <w:lang w:eastAsia="en-GB" w:bidi="en-GB"/>
        </w:rPr>
        <w:t>Against</w:t>
      </w:r>
      <w:r w:rsidR="00FF41A0">
        <w:rPr>
          <w:color w:val="000000"/>
          <w:sz w:val="20"/>
          <w:szCs w:val="20"/>
          <w:lang w:eastAsia="en-GB" w:bidi="en-GB"/>
        </w:rPr>
        <w:t xml:space="preserve"> </w:t>
      </w:r>
      <w:r w:rsidR="00323457" w:rsidRPr="0059638B">
        <w:rPr>
          <w:color w:val="000000"/>
          <w:sz w:val="20"/>
          <w:szCs w:val="20"/>
          <w:lang w:eastAsia="en-GB" w:bidi="en-GB"/>
        </w:rPr>
        <w:t>Censorship,</w:t>
      </w:r>
      <w:r w:rsidR="00FF41A0">
        <w:rPr>
          <w:color w:val="000000"/>
          <w:sz w:val="20"/>
          <w:szCs w:val="20"/>
          <w:lang w:eastAsia="en-GB" w:bidi="en-GB"/>
        </w:rPr>
        <w:t xml:space="preserve"> </w:t>
      </w:r>
      <w:r w:rsidR="00323457" w:rsidRPr="0059638B">
        <w:rPr>
          <w:color w:val="000000"/>
          <w:sz w:val="20"/>
          <w:szCs w:val="20"/>
          <w:lang w:eastAsia="en-GB" w:bidi="en-GB"/>
        </w:rPr>
        <w:t>called</w:t>
      </w:r>
      <w:r w:rsidR="00FF41A0">
        <w:rPr>
          <w:color w:val="000000"/>
          <w:sz w:val="20"/>
          <w:szCs w:val="20"/>
          <w:lang w:eastAsia="en-GB" w:bidi="en-GB"/>
        </w:rPr>
        <w:t xml:space="preserve"> </w:t>
      </w:r>
      <w:r w:rsidR="00323457" w:rsidRPr="0059638B">
        <w:rPr>
          <w:color w:val="000000"/>
          <w:sz w:val="20"/>
          <w:szCs w:val="20"/>
          <w:lang w:eastAsia="en-GB" w:bidi="en-GB"/>
        </w:rPr>
        <w:t>on</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Government</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ratify</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International</w:t>
      </w:r>
      <w:r w:rsidR="00FF41A0">
        <w:rPr>
          <w:color w:val="000000"/>
          <w:sz w:val="20"/>
          <w:szCs w:val="20"/>
          <w:lang w:eastAsia="en-GB" w:bidi="en-GB"/>
        </w:rPr>
        <w:t xml:space="preserve"> </w:t>
      </w:r>
      <w:r w:rsidR="00323457" w:rsidRPr="0059638B">
        <w:rPr>
          <w:color w:val="000000"/>
          <w:sz w:val="20"/>
          <w:szCs w:val="20"/>
          <w:lang w:eastAsia="en-GB" w:bidi="en-GB"/>
        </w:rPr>
        <w:t>Covenant</w:t>
      </w:r>
      <w:r w:rsidR="00FF41A0">
        <w:rPr>
          <w:color w:val="000000"/>
          <w:sz w:val="20"/>
          <w:szCs w:val="20"/>
          <w:lang w:eastAsia="en-GB" w:bidi="en-GB"/>
        </w:rPr>
        <w:t xml:space="preserve"> </w:t>
      </w:r>
      <w:r w:rsidR="00323457" w:rsidRPr="0059638B">
        <w:rPr>
          <w:color w:val="000000"/>
          <w:sz w:val="20"/>
          <w:szCs w:val="20"/>
          <w:lang w:eastAsia="en-GB" w:bidi="en-GB"/>
        </w:rPr>
        <w:t>on</w:t>
      </w:r>
      <w:r w:rsidR="00FF41A0">
        <w:rPr>
          <w:color w:val="000000"/>
          <w:sz w:val="20"/>
          <w:szCs w:val="20"/>
          <w:lang w:eastAsia="en-GB" w:bidi="en-GB"/>
        </w:rPr>
        <w:t xml:space="preserve"> </w:t>
      </w:r>
      <w:r w:rsidR="00323457" w:rsidRPr="0059638B">
        <w:rPr>
          <w:color w:val="000000"/>
          <w:sz w:val="20"/>
          <w:szCs w:val="20"/>
          <w:lang w:eastAsia="en-GB" w:bidi="en-GB"/>
        </w:rPr>
        <w:t>Civil</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Political</w:t>
      </w:r>
      <w:r w:rsidR="00FF41A0">
        <w:rPr>
          <w:color w:val="000000"/>
          <w:sz w:val="20"/>
          <w:szCs w:val="20"/>
          <w:lang w:eastAsia="en-GB" w:bidi="en-GB"/>
        </w:rPr>
        <w:t xml:space="preserve"> </w:t>
      </w:r>
      <w:r w:rsidR="00323457" w:rsidRPr="0059638B">
        <w:rPr>
          <w:color w:val="000000"/>
          <w:sz w:val="20"/>
          <w:szCs w:val="20"/>
          <w:lang w:eastAsia="en-GB" w:bidi="en-GB"/>
        </w:rPr>
        <w:t>Rights</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other</w:t>
      </w:r>
      <w:r w:rsidR="00FF41A0">
        <w:rPr>
          <w:color w:val="000000"/>
          <w:sz w:val="20"/>
          <w:szCs w:val="20"/>
          <w:lang w:eastAsia="en-GB" w:bidi="en-GB"/>
        </w:rPr>
        <w:t xml:space="preserve"> </w:t>
      </w:r>
      <w:r w:rsidR="00323457" w:rsidRPr="0059638B">
        <w:rPr>
          <w:color w:val="000000"/>
          <w:sz w:val="20"/>
          <w:szCs w:val="20"/>
          <w:lang w:eastAsia="en-GB" w:bidi="en-GB"/>
        </w:rPr>
        <w:t>core</w:t>
      </w:r>
      <w:r w:rsidR="00FF41A0">
        <w:rPr>
          <w:color w:val="000000"/>
          <w:sz w:val="20"/>
          <w:szCs w:val="20"/>
          <w:lang w:eastAsia="en-GB" w:bidi="en-GB"/>
        </w:rPr>
        <w:t xml:space="preserve"> </w:t>
      </w:r>
      <w:r w:rsidR="00323457" w:rsidRPr="0059638B">
        <w:rPr>
          <w:color w:val="000000"/>
          <w:sz w:val="20"/>
          <w:szCs w:val="20"/>
          <w:lang w:eastAsia="en-GB" w:bidi="en-GB"/>
        </w:rPr>
        <w:t>international</w:t>
      </w:r>
      <w:r w:rsidR="00FF41A0">
        <w:rPr>
          <w:color w:val="000000"/>
          <w:sz w:val="20"/>
          <w:szCs w:val="20"/>
          <w:lang w:eastAsia="en-GB" w:bidi="en-GB"/>
        </w:rPr>
        <w:t xml:space="preserve"> </w:t>
      </w:r>
      <w:r w:rsidR="00323457" w:rsidRPr="0059638B">
        <w:rPr>
          <w:color w:val="000000"/>
          <w:sz w:val="20"/>
          <w:szCs w:val="20"/>
          <w:lang w:eastAsia="en-GB" w:bidi="en-GB"/>
        </w:rPr>
        <w:t>human</w:t>
      </w:r>
      <w:r w:rsidR="00FF41A0">
        <w:rPr>
          <w:color w:val="000000"/>
          <w:sz w:val="20"/>
          <w:szCs w:val="20"/>
          <w:lang w:eastAsia="en-GB" w:bidi="en-GB"/>
        </w:rPr>
        <w:t xml:space="preserve"> </w:t>
      </w:r>
      <w:r w:rsidR="00323457" w:rsidRPr="0059638B">
        <w:rPr>
          <w:color w:val="000000"/>
          <w:sz w:val="20"/>
          <w:szCs w:val="20"/>
          <w:lang w:eastAsia="en-GB" w:bidi="en-GB"/>
        </w:rPr>
        <w:t>rights</w:t>
      </w:r>
      <w:r w:rsidR="00FF41A0">
        <w:rPr>
          <w:color w:val="000000"/>
          <w:sz w:val="20"/>
          <w:szCs w:val="20"/>
          <w:lang w:eastAsia="en-GB" w:bidi="en-GB"/>
        </w:rPr>
        <w:t xml:space="preserve"> </w:t>
      </w:r>
      <w:r w:rsidR="00323457" w:rsidRPr="0059638B">
        <w:rPr>
          <w:color w:val="000000"/>
          <w:sz w:val="20"/>
          <w:szCs w:val="20"/>
          <w:lang w:eastAsia="en-GB" w:bidi="en-GB"/>
        </w:rPr>
        <w:t>treaties,</w:t>
      </w:r>
      <w:r w:rsidR="00FF41A0">
        <w:rPr>
          <w:color w:val="000000"/>
          <w:sz w:val="20"/>
          <w:szCs w:val="20"/>
          <w:lang w:eastAsia="en-GB" w:bidi="en-GB"/>
        </w:rPr>
        <w:t xml:space="preserve"> </w:t>
      </w:r>
      <w:r w:rsidR="00323457" w:rsidRPr="0059638B">
        <w:rPr>
          <w:color w:val="000000"/>
          <w:sz w:val="20"/>
          <w:szCs w:val="20"/>
          <w:lang w:eastAsia="en-GB" w:bidi="en-GB"/>
        </w:rPr>
        <w:t>abolish</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death</w:t>
      </w:r>
      <w:r w:rsidR="00FF41A0">
        <w:rPr>
          <w:color w:val="000000"/>
          <w:sz w:val="20"/>
          <w:szCs w:val="20"/>
          <w:lang w:eastAsia="en-GB" w:bidi="en-GB"/>
        </w:rPr>
        <w:t xml:space="preserve"> </w:t>
      </w:r>
      <w:r w:rsidR="00323457" w:rsidRPr="0059638B">
        <w:rPr>
          <w:color w:val="000000"/>
          <w:sz w:val="20"/>
          <w:szCs w:val="20"/>
          <w:lang w:eastAsia="en-GB" w:bidi="en-GB"/>
        </w:rPr>
        <w:t>penalty,</w:t>
      </w:r>
      <w:r w:rsidR="00FF41A0">
        <w:rPr>
          <w:color w:val="000000"/>
          <w:sz w:val="20"/>
          <w:szCs w:val="20"/>
          <w:lang w:eastAsia="en-GB" w:bidi="en-GB"/>
        </w:rPr>
        <w:t xml:space="preserve"> </w:t>
      </w:r>
      <w:r w:rsidR="00323457" w:rsidRPr="0059638B">
        <w:rPr>
          <w:color w:val="000000"/>
          <w:sz w:val="20"/>
          <w:szCs w:val="20"/>
          <w:lang w:eastAsia="en-GB" w:bidi="en-GB"/>
        </w:rPr>
        <w:lastRenderedPageBreak/>
        <w:t>and</w:t>
      </w:r>
      <w:r w:rsidR="00FF41A0">
        <w:rPr>
          <w:color w:val="000000"/>
          <w:sz w:val="20"/>
          <w:szCs w:val="20"/>
          <w:lang w:eastAsia="en-GB" w:bidi="en-GB"/>
        </w:rPr>
        <w:t xml:space="preserve"> </w:t>
      </w:r>
      <w:r w:rsidR="00323457" w:rsidRPr="0059638B">
        <w:rPr>
          <w:color w:val="000000"/>
          <w:sz w:val="20"/>
          <w:szCs w:val="20"/>
          <w:lang w:eastAsia="en-GB" w:bidi="en-GB"/>
        </w:rPr>
        <w:t>repeal</w:t>
      </w:r>
      <w:r w:rsidR="00FF41A0">
        <w:rPr>
          <w:color w:val="000000"/>
          <w:sz w:val="20"/>
          <w:szCs w:val="20"/>
          <w:lang w:eastAsia="en-GB" w:bidi="en-GB"/>
        </w:rPr>
        <w:t xml:space="preserve"> </w:t>
      </w:r>
      <w:r w:rsidR="00323457" w:rsidRPr="0059638B">
        <w:rPr>
          <w:color w:val="000000"/>
          <w:sz w:val="20"/>
          <w:szCs w:val="20"/>
          <w:lang w:eastAsia="en-GB" w:bidi="en-GB"/>
        </w:rPr>
        <w:t>or</w:t>
      </w:r>
      <w:r w:rsidR="00FF41A0">
        <w:rPr>
          <w:color w:val="000000"/>
          <w:sz w:val="20"/>
          <w:szCs w:val="20"/>
          <w:lang w:eastAsia="en-GB" w:bidi="en-GB"/>
        </w:rPr>
        <w:t xml:space="preserve"> </w:t>
      </w:r>
      <w:r w:rsidR="00323457" w:rsidRPr="0059638B">
        <w:rPr>
          <w:color w:val="000000"/>
          <w:sz w:val="20"/>
          <w:szCs w:val="20"/>
          <w:lang w:eastAsia="en-GB" w:bidi="en-GB"/>
        </w:rPr>
        <w:t>amend</w:t>
      </w:r>
      <w:r w:rsidR="00FF41A0">
        <w:rPr>
          <w:color w:val="000000"/>
          <w:sz w:val="20"/>
          <w:szCs w:val="20"/>
          <w:lang w:eastAsia="en-GB" w:bidi="en-GB"/>
        </w:rPr>
        <w:t xml:space="preserve"> </w:t>
      </w:r>
      <w:r w:rsidR="00323457" w:rsidRPr="0059638B">
        <w:rPr>
          <w:color w:val="000000"/>
          <w:sz w:val="20"/>
          <w:szCs w:val="20"/>
          <w:lang w:eastAsia="en-GB" w:bidi="en-GB"/>
        </w:rPr>
        <w:t>restrictive</w:t>
      </w:r>
      <w:r w:rsidR="00FF41A0">
        <w:rPr>
          <w:color w:val="000000"/>
          <w:sz w:val="20"/>
          <w:szCs w:val="20"/>
          <w:lang w:eastAsia="en-GB" w:bidi="en-GB"/>
        </w:rPr>
        <w:t xml:space="preserve"> </w:t>
      </w:r>
      <w:r w:rsidR="00323457" w:rsidRPr="0059638B">
        <w:rPr>
          <w:color w:val="000000"/>
          <w:sz w:val="20"/>
          <w:szCs w:val="20"/>
          <w:lang w:eastAsia="en-GB" w:bidi="en-GB"/>
        </w:rPr>
        <w:t>legislation</w:t>
      </w:r>
      <w:r w:rsidR="00FF41A0">
        <w:rPr>
          <w:color w:val="000000"/>
          <w:sz w:val="20"/>
          <w:szCs w:val="20"/>
          <w:lang w:eastAsia="en-GB" w:bidi="en-GB"/>
        </w:rPr>
        <w:t xml:space="preserve"> </w:t>
      </w:r>
      <w:r w:rsidR="00323457" w:rsidRPr="0059638B">
        <w:rPr>
          <w:color w:val="000000"/>
          <w:sz w:val="20"/>
          <w:szCs w:val="20"/>
          <w:lang w:eastAsia="en-GB" w:bidi="en-GB"/>
        </w:rPr>
        <w:t>in</w:t>
      </w:r>
      <w:r w:rsidR="00FF41A0">
        <w:rPr>
          <w:color w:val="000000"/>
          <w:sz w:val="20"/>
          <w:szCs w:val="20"/>
          <w:lang w:eastAsia="en-GB" w:bidi="en-GB"/>
        </w:rPr>
        <w:t xml:space="preserve"> </w:t>
      </w:r>
      <w:r w:rsidR="00323457" w:rsidRPr="0059638B">
        <w:rPr>
          <w:color w:val="000000"/>
          <w:sz w:val="20"/>
          <w:szCs w:val="20"/>
          <w:lang w:eastAsia="en-GB" w:bidi="en-GB"/>
        </w:rPr>
        <w:t>line</w:t>
      </w:r>
      <w:r w:rsidR="00FF41A0">
        <w:rPr>
          <w:color w:val="000000"/>
          <w:sz w:val="20"/>
          <w:szCs w:val="20"/>
          <w:lang w:eastAsia="en-GB" w:bidi="en-GB"/>
        </w:rPr>
        <w:t xml:space="preserve"> </w:t>
      </w:r>
      <w:r w:rsidR="00323457" w:rsidRPr="0059638B">
        <w:rPr>
          <w:color w:val="000000"/>
          <w:sz w:val="20"/>
          <w:szCs w:val="20"/>
          <w:lang w:eastAsia="en-GB" w:bidi="en-GB"/>
        </w:rPr>
        <w:t>with</w:t>
      </w:r>
      <w:r w:rsidR="00FF41A0">
        <w:rPr>
          <w:color w:val="000000"/>
          <w:sz w:val="20"/>
          <w:szCs w:val="20"/>
          <w:lang w:eastAsia="en-GB" w:bidi="en-GB"/>
        </w:rPr>
        <w:t xml:space="preserve"> </w:t>
      </w:r>
      <w:r w:rsidR="00323457" w:rsidRPr="0059638B">
        <w:rPr>
          <w:color w:val="000000"/>
          <w:sz w:val="20"/>
          <w:szCs w:val="20"/>
          <w:lang w:eastAsia="en-GB" w:bidi="en-GB"/>
        </w:rPr>
        <w:t>international</w:t>
      </w:r>
      <w:r w:rsidR="00FF41A0">
        <w:rPr>
          <w:color w:val="000000"/>
          <w:sz w:val="20"/>
          <w:szCs w:val="20"/>
          <w:lang w:eastAsia="en-GB" w:bidi="en-GB"/>
        </w:rPr>
        <w:t xml:space="preserve"> </w:t>
      </w:r>
      <w:r w:rsidR="00323457" w:rsidRPr="0059638B">
        <w:rPr>
          <w:color w:val="000000"/>
          <w:sz w:val="20"/>
          <w:szCs w:val="20"/>
          <w:lang w:eastAsia="en-GB" w:bidi="en-GB"/>
        </w:rPr>
        <w:t>human</w:t>
      </w:r>
      <w:r w:rsidR="00FF41A0">
        <w:rPr>
          <w:color w:val="000000"/>
          <w:sz w:val="20"/>
          <w:szCs w:val="20"/>
          <w:lang w:eastAsia="en-GB" w:bidi="en-GB"/>
        </w:rPr>
        <w:t xml:space="preserve"> </w:t>
      </w:r>
      <w:r w:rsidR="00323457" w:rsidRPr="0059638B">
        <w:rPr>
          <w:color w:val="000000"/>
          <w:sz w:val="20"/>
          <w:szCs w:val="20"/>
          <w:lang w:eastAsia="en-GB" w:bidi="en-GB"/>
        </w:rPr>
        <w:t>rights</w:t>
      </w:r>
      <w:r w:rsidR="00FF41A0">
        <w:rPr>
          <w:color w:val="000000"/>
          <w:sz w:val="20"/>
          <w:szCs w:val="20"/>
          <w:lang w:eastAsia="en-GB" w:bidi="en-GB"/>
        </w:rPr>
        <w:t xml:space="preserve"> </w:t>
      </w:r>
      <w:r w:rsidR="00323457" w:rsidRPr="0059638B">
        <w:rPr>
          <w:color w:val="000000"/>
          <w:sz w:val="20"/>
          <w:szCs w:val="20"/>
          <w:lang w:eastAsia="en-GB" w:bidi="en-GB"/>
        </w:rPr>
        <w:t>standards.</w:t>
      </w:r>
      <w:r w:rsidR="00FF41A0">
        <w:rPr>
          <w:color w:val="000000"/>
          <w:sz w:val="20"/>
          <w:szCs w:val="20"/>
          <w:lang w:eastAsia="en-GB" w:bidi="en-GB"/>
        </w:rPr>
        <w:t xml:space="preserve"> </w:t>
      </w:r>
      <w:r w:rsidR="00323457" w:rsidRPr="0059638B">
        <w:rPr>
          <w:color w:val="000000"/>
          <w:sz w:val="20"/>
          <w:szCs w:val="20"/>
          <w:lang w:eastAsia="en-GB" w:bidi="en-GB"/>
        </w:rPr>
        <w:t>They</w:t>
      </w:r>
      <w:r w:rsidR="00FF41A0">
        <w:rPr>
          <w:color w:val="000000"/>
          <w:sz w:val="20"/>
          <w:szCs w:val="20"/>
          <w:lang w:eastAsia="en-GB" w:bidi="en-GB"/>
        </w:rPr>
        <w:t xml:space="preserve"> </w:t>
      </w:r>
      <w:r w:rsidR="00323457" w:rsidRPr="0059638B">
        <w:rPr>
          <w:color w:val="000000"/>
          <w:sz w:val="20"/>
          <w:szCs w:val="20"/>
          <w:lang w:eastAsia="en-GB" w:bidi="en-GB"/>
        </w:rPr>
        <w:t>were</w:t>
      </w:r>
      <w:r w:rsidR="00FF41A0">
        <w:rPr>
          <w:color w:val="000000"/>
          <w:sz w:val="20"/>
          <w:szCs w:val="20"/>
          <w:lang w:eastAsia="en-GB" w:bidi="en-GB"/>
        </w:rPr>
        <w:t xml:space="preserve"> </w:t>
      </w:r>
      <w:r w:rsidR="00323457" w:rsidRPr="0059638B">
        <w:rPr>
          <w:color w:val="000000"/>
          <w:sz w:val="20"/>
          <w:szCs w:val="20"/>
          <w:lang w:eastAsia="en-GB" w:bidi="en-GB"/>
        </w:rPr>
        <w:t>concerned</w:t>
      </w:r>
      <w:r w:rsidR="00FF41A0">
        <w:rPr>
          <w:color w:val="000000"/>
          <w:sz w:val="20"/>
          <w:szCs w:val="20"/>
          <w:lang w:eastAsia="en-GB" w:bidi="en-GB"/>
        </w:rPr>
        <w:t xml:space="preserve"> </w:t>
      </w:r>
      <w:r w:rsidR="00323457" w:rsidRPr="0059638B">
        <w:rPr>
          <w:color w:val="000000"/>
          <w:sz w:val="20"/>
          <w:szCs w:val="20"/>
          <w:lang w:eastAsia="en-GB" w:bidi="en-GB"/>
        </w:rPr>
        <w:t>by</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backtracking</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Government</w:t>
      </w:r>
      <w:r w:rsidR="00FF41A0">
        <w:rPr>
          <w:color w:val="000000"/>
          <w:sz w:val="20"/>
          <w:szCs w:val="20"/>
          <w:lang w:eastAsia="en-GB" w:bidi="en-GB"/>
        </w:rPr>
        <w:t xml:space="preserve"> </w:t>
      </w:r>
      <w:r w:rsidR="00323457" w:rsidRPr="0059638B">
        <w:rPr>
          <w:color w:val="000000"/>
          <w:sz w:val="20"/>
          <w:szCs w:val="20"/>
          <w:lang w:eastAsia="en-GB" w:bidi="en-GB"/>
        </w:rPr>
        <w:t>on</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commitment</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ratify</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International</w:t>
      </w:r>
      <w:r w:rsidR="00FF41A0">
        <w:rPr>
          <w:color w:val="000000"/>
          <w:sz w:val="20"/>
          <w:szCs w:val="20"/>
          <w:lang w:eastAsia="en-GB" w:bidi="en-GB"/>
        </w:rPr>
        <w:t xml:space="preserve"> </w:t>
      </w:r>
      <w:r w:rsidR="00323457" w:rsidRPr="0059638B">
        <w:rPr>
          <w:color w:val="000000"/>
          <w:sz w:val="20"/>
          <w:szCs w:val="20"/>
          <w:lang w:eastAsia="en-GB" w:bidi="en-GB"/>
        </w:rPr>
        <w:t>Convention</w:t>
      </w:r>
      <w:r w:rsidR="00FF41A0">
        <w:rPr>
          <w:color w:val="000000"/>
          <w:sz w:val="20"/>
          <w:szCs w:val="20"/>
          <w:lang w:eastAsia="en-GB" w:bidi="en-GB"/>
        </w:rPr>
        <w:t xml:space="preserve"> </w:t>
      </w:r>
      <w:r w:rsidR="00323457" w:rsidRPr="0059638B">
        <w:rPr>
          <w:color w:val="000000"/>
          <w:sz w:val="20"/>
          <w:szCs w:val="20"/>
          <w:lang w:eastAsia="en-GB" w:bidi="en-GB"/>
        </w:rPr>
        <w:t>on</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Elimination</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All</w:t>
      </w:r>
      <w:r w:rsidR="00FF41A0">
        <w:rPr>
          <w:color w:val="000000"/>
          <w:sz w:val="20"/>
          <w:szCs w:val="20"/>
          <w:lang w:eastAsia="en-GB" w:bidi="en-GB"/>
        </w:rPr>
        <w:t xml:space="preserve"> </w:t>
      </w:r>
      <w:r w:rsidR="00323457" w:rsidRPr="0059638B">
        <w:rPr>
          <w:color w:val="000000"/>
          <w:sz w:val="20"/>
          <w:szCs w:val="20"/>
          <w:lang w:eastAsia="en-GB" w:bidi="en-GB"/>
        </w:rPr>
        <w:t>Forms</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Racial</w:t>
      </w:r>
      <w:r w:rsidR="00FF41A0">
        <w:rPr>
          <w:color w:val="000000"/>
          <w:sz w:val="20"/>
          <w:szCs w:val="20"/>
          <w:lang w:eastAsia="en-GB" w:bidi="en-GB"/>
        </w:rPr>
        <w:t xml:space="preserve"> </w:t>
      </w:r>
      <w:r w:rsidR="00323457" w:rsidRPr="0059638B">
        <w:rPr>
          <w:color w:val="000000"/>
          <w:sz w:val="20"/>
          <w:szCs w:val="20"/>
          <w:lang w:eastAsia="en-GB" w:bidi="en-GB"/>
        </w:rPr>
        <w:t>Discrimination.</w:t>
      </w:r>
      <w:r w:rsidR="00FF41A0">
        <w:rPr>
          <w:color w:val="000000"/>
          <w:sz w:val="20"/>
          <w:szCs w:val="20"/>
          <w:lang w:eastAsia="en-GB" w:bidi="en-GB"/>
        </w:rPr>
        <w:t xml:space="preserve"> </w:t>
      </w:r>
      <w:r w:rsidR="00323457" w:rsidRPr="0059638B">
        <w:rPr>
          <w:color w:val="000000"/>
          <w:sz w:val="20"/>
          <w:szCs w:val="20"/>
          <w:lang w:eastAsia="en-GB" w:bidi="en-GB"/>
        </w:rPr>
        <w:t>They</w:t>
      </w:r>
      <w:r w:rsidR="00FF41A0">
        <w:rPr>
          <w:color w:val="000000"/>
          <w:sz w:val="20"/>
          <w:szCs w:val="20"/>
          <w:lang w:eastAsia="en-GB" w:bidi="en-GB"/>
        </w:rPr>
        <w:t xml:space="preserve"> </w:t>
      </w:r>
      <w:r w:rsidR="00323457" w:rsidRPr="0059638B">
        <w:rPr>
          <w:color w:val="000000"/>
          <w:sz w:val="20"/>
          <w:szCs w:val="20"/>
          <w:lang w:eastAsia="en-GB" w:bidi="en-GB"/>
        </w:rPr>
        <w:t>regretted</w:t>
      </w:r>
      <w:r w:rsidR="00FF41A0">
        <w:rPr>
          <w:color w:val="000000"/>
          <w:sz w:val="20"/>
          <w:szCs w:val="20"/>
          <w:lang w:eastAsia="en-GB" w:bidi="en-GB"/>
        </w:rPr>
        <w:t xml:space="preserve"> </w:t>
      </w:r>
      <w:r w:rsidR="00323457" w:rsidRPr="0059638B">
        <w:rPr>
          <w:color w:val="000000"/>
          <w:sz w:val="20"/>
          <w:szCs w:val="20"/>
          <w:lang w:eastAsia="en-GB" w:bidi="en-GB"/>
        </w:rPr>
        <w:t>that</w:t>
      </w:r>
      <w:r w:rsidR="00FF41A0">
        <w:rPr>
          <w:color w:val="000000"/>
          <w:sz w:val="20"/>
          <w:szCs w:val="20"/>
          <w:lang w:eastAsia="en-GB" w:bidi="en-GB"/>
        </w:rPr>
        <w:t xml:space="preserve"> </w:t>
      </w:r>
      <w:r w:rsidR="00323457" w:rsidRPr="0059638B">
        <w:rPr>
          <w:color w:val="000000"/>
          <w:sz w:val="20"/>
          <w:szCs w:val="20"/>
          <w:lang w:eastAsia="en-GB" w:bidi="en-GB"/>
        </w:rPr>
        <w:t>Malaysia</w:t>
      </w:r>
      <w:r w:rsidR="00FF41A0">
        <w:rPr>
          <w:color w:val="000000"/>
          <w:sz w:val="20"/>
          <w:szCs w:val="20"/>
          <w:lang w:eastAsia="en-GB" w:bidi="en-GB"/>
        </w:rPr>
        <w:t xml:space="preserve"> </w:t>
      </w:r>
      <w:r w:rsidR="00323457" w:rsidRPr="0059638B">
        <w:rPr>
          <w:color w:val="000000"/>
          <w:sz w:val="20"/>
          <w:szCs w:val="20"/>
          <w:lang w:eastAsia="en-GB" w:bidi="en-GB"/>
        </w:rPr>
        <w:t>had</w:t>
      </w:r>
      <w:r w:rsidR="00FF41A0">
        <w:rPr>
          <w:color w:val="000000"/>
          <w:sz w:val="20"/>
          <w:szCs w:val="20"/>
          <w:lang w:eastAsia="en-GB" w:bidi="en-GB"/>
        </w:rPr>
        <w:t xml:space="preserve"> </w:t>
      </w:r>
      <w:r w:rsidR="00323457" w:rsidRPr="0059638B">
        <w:rPr>
          <w:color w:val="000000"/>
          <w:sz w:val="20"/>
          <w:szCs w:val="20"/>
          <w:lang w:eastAsia="en-GB" w:bidi="en-GB"/>
        </w:rPr>
        <w:t>not</w:t>
      </w:r>
      <w:r w:rsidR="00FF41A0">
        <w:rPr>
          <w:color w:val="000000"/>
          <w:sz w:val="20"/>
          <w:szCs w:val="20"/>
          <w:lang w:eastAsia="en-GB" w:bidi="en-GB"/>
        </w:rPr>
        <w:t xml:space="preserve"> </w:t>
      </w:r>
      <w:r w:rsidR="00323457" w:rsidRPr="0059638B">
        <w:rPr>
          <w:color w:val="000000"/>
          <w:sz w:val="20"/>
          <w:szCs w:val="20"/>
          <w:lang w:eastAsia="en-GB" w:bidi="en-GB"/>
        </w:rPr>
        <w:t>fully</w:t>
      </w:r>
      <w:r w:rsidR="00FF41A0">
        <w:rPr>
          <w:color w:val="000000"/>
          <w:sz w:val="20"/>
          <w:szCs w:val="20"/>
          <w:lang w:eastAsia="en-GB" w:bidi="en-GB"/>
        </w:rPr>
        <w:t xml:space="preserve"> </w:t>
      </w:r>
      <w:r w:rsidR="00323457" w:rsidRPr="0059638B">
        <w:rPr>
          <w:color w:val="000000"/>
          <w:sz w:val="20"/>
          <w:szCs w:val="20"/>
          <w:lang w:eastAsia="en-GB" w:bidi="en-GB"/>
        </w:rPr>
        <w:t>accepted</w:t>
      </w:r>
      <w:r w:rsidR="00FF41A0">
        <w:rPr>
          <w:color w:val="000000"/>
          <w:sz w:val="20"/>
          <w:szCs w:val="20"/>
          <w:lang w:eastAsia="en-GB" w:bidi="en-GB"/>
        </w:rPr>
        <w:t xml:space="preserve"> </w:t>
      </w:r>
      <w:r w:rsidR="00323457" w:rsidRPr="0059638B">
        <w:rPr>
          <w:color w:val="000000"/>
          <w:sz w:val="20"/>
          <w:szCs w:val="20"/>
          <w:lang w:eastAsia="en-GB" w:bidi="en-GB"/>
        </w:rPr>
        <w:t>several</w:t>
      </w:r>
      <w:r w:rsidR="00FF41A0">
        <w:rPr>
          <w:color w:val="000000"/>
          <w:sz w:val="20"/>
          <w:szCs w:val="20"/>
          <w:lang w:eastAsia="en-GB" w:bidi="en-GB"/>
        </w:rPr>
        <w:t xml:space="preserve"> </w:t>
      </w:r>
      <w:r w:rsidR="00323457" w:rsidRPr="0059638B">
        <w:rPr>
          <w:color w:val="000000"/>
          <w:sz w:val="20"/>
          <w:szCs w:val="20"/>
          <w:lang w:eastAsia="en-GB" w:bidi="en-GB"/>
        </w:rPr>
        <w:t>key</w:t>
      </w:r>
      <w:r w:rsidR="00FF41A0">
        <w:rPr>
          <w:color w:val="000000"/>
          <w:sz w:val="20"/>
          <w:szCs w:val="20"/>
          <w:lang w:eastAsia="en-GB" w:bidi="en-GB"/>
        </w:rPr>
        <w:t xml:space="preserve"> </w:t>
      </w:r>
      <w:r w:rsidR="00323457" w:rsidRPr="0059638B">
        <w:rPr>
          <w:color w:val="000000"/>
          <w:sz w:val="20"/>
          <w:szCs w:val="20"/>
          <w:lang w:eastAsia="en-GB" w:bidi="en-GB"/>
        </w:rPr>
        <w:t>recommendations</w:t>
      </w:r>
      <w:r w:rsidR="00FF41A0">
        <w:rPr>
          <w:color w:val="000000"/>
          <w:sz w:val="20"/>
          <w:szCs w:val="20"/>
          <w:lang w:eastAsia="en-GB" w:bidi="en-GB"/>
        </w:rPr>
        <w:t xml:space="preserve"> </w:t>
      </w:r>
      <w:r w:rsidR="00323457" w:rsidRPr="0059638B">
        <w:rPr>
          <w:color w:val="000000"/>
          <w:sz w:val="20"/>
          <w:szCs w:val="20"/>
          <w:lang w:eastAsia="en-GB" w:bidi="en-GB"/>
        </w:rPr>
        <w:t>on</w:t>
      </w:r>
      <w:r w:rsidR="00FF41A0">
        <w:rPr>
          <w:color w:val="000000"/>
          <w:sz w:val="20"/>
          <w:szCs w:val="20"/>
          <w:lang w:eastAsia="en-GB" w:bidi="en-GB"/>
        </w:rPr>
        <w:t xml:space="preserve"> </w:t>
      </w:r>
      <w:r w:rsidR="00323457" w:rsidRPr="0059638B">
        <w:rPr>
          <w:color w:val="000000"/>
          <w:sz w:val="20"/>
          <w:szCs w:val="20"/>
          <w:lang w:eastAsia="en-GB" w:bidi="en-GB"/>
        </w:rPr>
        <w:t>freedom</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expression,</w:t>
      </w:r>
      <w:r w:rsidR="00FF41A0">
        <w:rPr>
          <w:color w:val="000000"/>
          <w:sz w:val="20"/>
          <w:szCs w:val="20"/>
          <w:lang w:eastAsia="en-GB" w:bidi="en-GB"/>
        </w:rPr>
        <w:t xml:space="preserve"> </w:t>
      </w:r>
      <w:r w:rsidR="00323457" w:rsidRPr="0059638B">
        <w:rPr>
          <w:color w:val="000000"/>
          <w:sz w:val="20"/>
          <w:szCs w:val="20"/>
          <w:lang w:eastAsia="en-GB" w:bidi="en-GB"/>
        </w:rPr>
        <w:t>peaceful</w:t>
      </w:r>
      <w:r w:rsidR="00FF41A0">
        <w:rPr>
          <w:color w:val="000000"/>
          <w:sz w:val="20"/>
          <w:szCs w:val="20"/>
          <w:lang w:eastAsia="en-GB" w:bidi="en-GB"/>
        </w:rPr>
        <w:t xml:space="preserve"> </w:t>
      </w:r>
      <w:r w:rsidR="00323457" w:rsidRPr="0059638B">
        <w:rPr>
          <w:color w:val="000000"/>
          <w:sz w:val="20"/>
          <w:szCs w:val="20"/>
          <w:lang w:eastAsia="en-GB" w:bidi="en-GB"/>
        </w:rPr>
        <w:t>assembly</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association,</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protection</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human</w:t>
      </w:r>
      <w:r w:rsidR="00FF41A0">
        <w:rPr>
          <w:color w:val="000000"/>
          <w:sz w:val="20"/>
          <w:szCs w:val="20"/>
          <w:lang w:eastAsia="en-GB" w:bidi="en-GB"/>
        </w:rPr>
        <w:t xml:space="preserve"> </w:t>
      </w:r>
      <w:r w:rsidR="00323457" w:rsidRPr="0059638B">
        <w:rPr>
          <w:color w:val="000000"/>
          <w:sz w:val="20"/>
          <w:szCs w:val="20"/>
          <w:lang w:eastAsia="en-GB" w:bidi="en-GB"/>
        </w:rPr>
        <w:t>rights</w:t>
      </w:r>
      <w:r w:rsidR="00FF41A0">
        <w:rPr>
          <w:color w:val="000000"/>
          <w:sz w:val="20"/>
          <w:szCs w:val="20"/>
          <w:lang w:eastAsia="en-GB" w:bidi="en-GB"/>
        </w:rPr>
        <w:t xml:space="preserve"> </w:t>
      </w:r>
      <w:r w:rsidR="00323457" w:rsidRPr="0059638B">
        <w:rPr>
          <w:color w:val="000000"/>
          <w:sz w:val="20"/>
          <w:szCs w:val="20"/>
          <w:lang w:eastAsia="en-GB" w:bidi="en-GB"/>
        </w:rPr>
        <w:t>defenders,</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called</w:t>
      </w:r>
      <w:r w:rsidR="00FF41A0">
        <w:rPr>
          <w:color w:val="000000"/>
          <w:sz w:val="20"/>
          <w:szCs w:val="20"/>
          <w:lang w:eastAsia="en-GB" w:bidi="en-GB"/>
        </w:rPr>
        <w:t xml:space="preserve"> </w:t>
      </w:r>
      <w:r w:rsidR="00323457" w:rsidRPr="0059638B">
        <w:rPr>
          <w:color w:val="000000"/>
          <w:sz w:val="20"/>
          <w:szCs w:val="20"/>
          <w:lang w:eastAsia="en-GB" w:bidi="en-GB"/>
        </w:rPr>
        <w:t>on</w:t>
      </w:r>
      <w:r w:rsidR="00FF41A0">
        <w:rPr>
          <w:color w:val="000000"/>
          <w:sz w:val="20"/>
          <w:szCs w:val="20"/>
          <w:lang w:eastAsia="en-GB" w:bidi="en-GB"/>
        </w:rPr>
        <w:t xml:space="preserve"> </w:t>
      </w:r>
      <w:r w:rsidR="00323457" w:rsidRPr="0059638B">
        <w:rPr>
          <w:color w:val="000000"/>
          <w:sz w:val="20"/>
          <w:szCs w:val="20"/>
          <w:lang w:eastAsia="en-GB" w:bidi="en-GB"/>
        </w:rPr>
        <w:t>Malaysia</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repeal</w:t>
      </w:r>
      <w:r w:rsidR="00FF41A0">
        <w:rPr>
          <w:color w:val="000000"/>
          <w:sz w:val="20"/>
          <w:szCs w:val="20"/>
          <w:lang w:eastAsia="en-GB" w:bidi="en-GB"/>
        </w:rPr>
        <w:t xml:space="preserve"> </w:t>
      </w:r>
      <w:r w:rsidR="00323457" w:rsidRPr="0059638B">
        <w:rPr>
          <w:color w:val="000000"/>
          <w:sz w:val="20"/>
          <w:szCs w:val="20"/>
          <w:lang w:eastAsia="en-GB" w:bidi="en-GB"/>
        </w:rPr>
        <w:t>restrictive</w:t>
      </w:r>
      <w:r w:rsidR="00FF41A0">
        <w:rPr>
          <w:color w:val="000000"/>
          <w:sz w:val="20"/>
          <w:szCs w:val="20"/>
          <w:lang w:eastAsia="en-GB" w:bidi="en-GB"/>
        </w:rPr>
        <w:t xml:space="preserve"> </w:t>
      </w:r>
      <w:r w:rsidR="00323457" w:rsidRPr="0059638B">
        <w:rPr>
          <w:color w:val="000000"/>
          <w:sz w:val="20"/>
          <w:szCs w:val="20"/>
          <w:lang w:eastAsia="en-GB" w:bidi="en-GB"/>
        </w:rPr>
        <w:t>legislation,</w:t>
      </w:r>
      <w:r w:rsidR="00FF41A0">
        <w:rPr>
          <w:color w:val="000000"/>
          <w:sz w:val="20"/>
          <w:szCs w:val="20"/>
          <w:lang w:eastAsia="en-GB" w:bidi="en-GB"/>
        </w:rPr>
        <w:t xml:space="preserve"> </w:t>
      </w:r>
      <w:r w:rsidR="00323457" w:rsidRPr="0059638B">
        <w:rPr>
          <w:color w:val="000000"/>
          <w:sz w:val="20"/>
          <w:szCs w:val="20"/>
          <w:lang w:eastAsia="en-GB" w:bidi="en-GB"/>
        </w:rPr>
        <w:t>including</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Sedition</w:t>
      </w:r>
      <w:r w:rsidR="00FF41A0">
        <w:rPr>
          <w:color w:val="000000"/>
          <w:sz w:val="20"/>
          <w:szCs w:val="20"/>
          <w:lang w:eastAsia="en-GB" w:bidi="en-GB"/>
        </w:rPr>
        <w:t xml:space="preserve"> </w:t>
      </w:r>
      <w:r w:rsidR="00323457" w:rsidRPr="0059638B">
        <w:rPr>
          <w:color w:val="000000"/>
          <w:sz w:val="20"/>
          <w:szCs w:val="20"/>
          <w:lang w:eastAsia="en-GB" w:bidi="en-GB"/>
        </w:rPr>
        <w:t>Act,</w:t>
      </w:r>
      <w:r w:rsidR="00FF41A0">
        <w:rPr>
          <w:color w:val="000000"/>
          <w:sz w:val="20"/>
          <w:szCs w:val="20"/>
          <w:lang w:eastAsia="en-GB" w:bidi="en-GB"/>
        </w:rPr>
        <w:t xml:space="preserve"> </w:t>
      </w:r>
      <w:r w:rsidR="00323457" w:rsidRPr="0059638B">
        <w:rPr>
          <w:color w:val="000000"/>
          <w:sz w:val="20"/>
          <w:szCs w:val="20"/>
          <w:lang w:eastAsia="en-GB" w:bidi="en-GB"/>
        </w:rPr>
        <w:t>Section</w:t>
      </w:r>
      <w:r w:rsidR="00FF41A0">
        <w:rPr>
          <w:color w:val="000000"/>
          <w:sz w:val="20"/>
          <w:szCs w:val="20"/>
          <w:lang w:eastAsia="en-GB" w:bidi="en-GB"/>
        </w:rPr>
        <w:t xml:space="preserve"> </w:t>
      </w:r>
      <w:r w:rsidR="00323457" w:rsidRPr="0059638B">
        <w:rPr>
          <w:color w:val="000000"/>
          <w:sz w:val="20"/>
          <w:szCs w:val="20"/>
          <w:lang w:eastAsia="en-GB" w:bidi="en-GB"/>
        </w:rPr>
        <w:t>233</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Communication</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Multimedia</w:t>
      </w:r>
      <w:r w:rsidR="00FF41A0">
        <w:rPr>
          <w:color w:val="000000"/>
          <w:sz w:val="20"/>
          <w:szCs w:val="20"/>
          <w:lang w:eastAsia="en-GB" w:bidi="en-GB"/>
        </w:rPr>
        <w:t xml:space="preserve"> </w:t>
      </w:r>
      <w:r w:rsidR="00323457" w:rsidRPr="0059638B">
        <w:rPr>
          <w:color w:val="000000"/>
          <w:sz w:val="20"/>
          <w:szCs w:val="20"/>
          <w:lang w:eastAsia="en-GB" w:bidi="en-GB"/>
        </w:rPr>
        <w:t>Act,</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Peaceful</w:t>
      </w:r>
      <w:r w:rsidR="00FF41A0">
        <w:rPr>
          <w:color w:val="000000"/>
          <w:sz w:val="20"/>
          <w:szCs w:val="20"/>
          <w:lang w:eastAsia="en-GB" w:bidi="en-GB"/>
        </w:rPr>
        <w:t xml:space="preserve"> </w:t>
      </w:r>
      <w:r w:rsidR="00323457" w:rsidRPr="0059638B">
        <w:rPr>
          <w:color w:val="000000"/>
          <w:sz w:val="20"/>
          <w:szCs w:val="20"/>
          <w:lang w:eastAsia="en-GB" w:bidi="en-GB"/>
        </w:rPr>
        <w:t>Assembly</w:t>
      </w:r>
      <w:r w:rsidR="00FF41A0">
        <w:rPr>
          <w:color w:val="000000"/>
          <w:sz w:val="20"/>
          <w:szCs w:val="20"/>
          <w:lang w:eastAsia="en-GB" w:bidi="en-GB"/>
        </w:rPr>
        <w:t xml:space="preserve"> </w:t>
      </w:r>
      <w:r w:rsidR="00323457" w:rsidRPr="0059638B">
        <w:rPr>
          <w:color w:val="000000"/>
          <w:sz w:val="20"/>
          <w:szCs w:val="20"/>
          <w:lang w:eastAsia="en-GB" w:bidi="en-GB"/>
        </w:rPr>
        <w:t>Act.</w:t>
      </w:r>
      <w:r w:rsidR="00FF41A0">
        <w:rPr>
          <w:color w:val="000000"/>
          <w:sz w:val="20"/>
          <w:szCs w:val="20"/>
          <w:lang w:eastAsia="en-GB" w:bidi="en-GB"/>
        </w:rPr>
        <w:t xml:space="preserve"> </w:t>
      </w:r>
      <w:r w:rsidR="00323457" w:rsidRPr="0059638B">
        <w:rPr>
          <w:color w:val="000000"/>
          <w:sz w:val="20"/>
          <w:szCs w:val="20"/>
          <w:lang w:eastAsia="en-GB" w:bidi="en-GB"/>
        </w:rPr>
        <w:t>They</w:t>
      </w:r>
      <w:r w:rsidR="00FF41A0">
        <w:rPr>
          <w:color w:val="000000"/>
          <w:sz w:val="20"/>
          <w:szCs w:val="20"/>
          <w:lang w:eastAsia="en-GB" w:bidi="en-GB"/>
        </w:rPr>
        <w:t xml:space="preserve"> </w:t>
      </w:r>
      <w:r w:rsidR="00323457" w:rsidRPr="0059638B">
        <w:rPr>
          <w:color w:val="000000"/>
          <w:sz w:val="20"/>
          <w:szCs w:val="20"/>
          <w:lang w:eastAsia="en-GB" w:bidi="en-GB"/>
        </w:rPr>
        <w:t>further</w:t>
      </w:r>
      <w:r w:rsidR="00FF41A0">
        <w:rPr>
          <w:color w:val="000000"/>
          <w:sz w:val="20"/>
          <w:szCs w:val="20"/>
          <w:lang w:eastAsia="en-GB" w:bidi="en-GB"/>
        </w:rPr>
        <w:t xml:space="preserve"> </w:t>
      </w:r>
      <w:r w:rsidR="00323457" w:rsidRPr="0059638B">
        <w:rPr>
          <w:color w:val="000000"/>
          <w:sz w:val="20"/>
          <w:szCs w:val="20"/>
          <w:lang w:eastAsia="en-GB" w:bidi="en-GB"/>
        </w:rPr>
        <w:t>called</w:t>
      </w:r>
      <w:r w:rsidR="00FF41A0">
        <w:rPr>
          <w:color w:val="000000"/>
          <w:sz w:val="20"/>
          <w:szCs w:val="20"/>
          <w:lang w:eastAsia="en-GB" w:bidi="en-GB"/>
        </w:rPr>
        <w:t xml:space="preserve"> </w:t>
      </w:r>
      <w:r w:rsidR="00323457" w:rsidRPr="0059638B">
        <w:rPr>
          <w:color w:val="000000"/>
          <w:sz w:val="20"/>
          <w:szCs w:val="20"/>
          <w:lang w:eastAsia="en-GB" w:bidi="en-GB"/>
        </w:rPr>
        <w:t>on</w:t>
      </w:r>
      <w:r w:rsidR="00FF41A0">
        <w:rPr>
          <w:color w:val="000000"/>
          <w:sz w:val="20"/>
          <w:szCs w:val="20"/>
          <w:lang w:eastAsia="en-GB" w:bidi="en-GB"/>
        </w:rPr>
        <w:t xml:space="preserve"> </w:t>
      </w:r>
      <w:r w:rsidR="00323457" w:rsidRPr="0059638B">
        <w:rPr>
          <w:color w:val="000000"/>
          <w:sz w:val="20"/>
          <w:szCs w:val="20"/>
          <w:lang w:eastAsia="en-GB" w:bidi="en-GB"/>
        </w:rPr>
        <w:t>Malaysia</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fully</w:t>
      </w:r>
      <w:r w:rsidR="00FF41A0">
        <w:rPr>
          <w:color w:val="000000"/>
          <w:sz w:val="20"/>
          <w:szCs w:val="20"/>
          <w:lang w:eastAsia="en-GB" w:bidi="en-GB"/>
        </w:rPr>
        <w:t xml:space="preserve"> </w:t>
      </w:r>
      <w:r w:rsidR="00323457" w:rsidRPr="0059638B">
        <w:rPr>
          <w:color w:val="000000"/>
          <w:sz w:val="20"/>
          <w:szCs w:val="20"/>
          <w:lang w:eastAsia="en-GB" w:bidi="en-GB"/>
        </w:rPr>
        <w:t>implement</w:t>
      </w:r>
      <w:r w:rsidR="00FF41A0">
        <w:rPr>
          <w:color w:val="000000"/>
          <w:sz w:val="20"/>
          <w:szCs w:val="20"/>
          <w:lang w:eastAsia="en-GB" w:bidi="en-GB"/>
        </w:rPr>
        <w:t xml:space="preserve"> </w:t>
      </w:r>
      <w:r w:rsidR="00323457" w:rsidRPr="0059638B">
        <w:rPr>
          <w:color w:val="000000"/>
          <w:sz w:val="20"/>
          <w:szCs w:val="20"/>
          <w:lang w:eastAsia="en-GB" w:bidi="en-GB"/>
        </w:rPr>
        <w:t>recommendations</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repeal</w:t>
      </w:r>
      <w:r w:rsidR="00FF41A0">
        <w:rPr>
          <w:color w:val="000000"/>
          <w:sz w:val="20"/>
          <w:szCs w:val="20"/>
          <w:lang w:eastAsia="en-GB" w:bidi="en-GB"/>
        </w:rPr>
        <w:t xml:space="preserve"> </w:t>
      </w:r>
      <w:r w:rsidR="00323457" w:rsidRPr="0059638B">
        <w:rPr>
          <w:color w:val="000000"/>
          <w:sz w:val="20"/>
          <w:szCs w:val="20"/>
          <w:lang w:eastAsia="en-GB" w:bidi="en-GB"/>
        </w:rPr>
        <w:t>or</w:t>
      </w:r>
      <w:r w:rsidR="00FF41A0">
        <w:rPr>
          <w:color w:val="000000"/>
          <w:sz w:val="20"/>
          <w:szCs w:val="20"/>
          <w:lang w:eastAsia="en-GB" w:bidi="en-GB"/>
        </w:rPr>
        <w:t xml:space="preserve"> </w:t>
      </w:r>
      <w:r w:rsidR="00323457" w:rsidRPr="0059638B">
        <w:rPr>
          <w:color w:val="000000"/>
          <w:sz w:val="20"/>
          <w:szCs w:val="20"/>
          <w:lang w:eastAsia="en-GB" w:bidi="en-GB"/>
        </w:rPr>
        <w:t>amend</w:t>
      </w:r>
      <w:r w:rsidR="00FF41A0">
        <w:rPr>
          <w:color w:val="000000"/>
          <w:sz w:val="20"/>
          <w:szCs w:val="20"/>
          <w:lang w:eastAsia="en-GB" w:bidi="en-GB"/>
        </w:rPr>
        <w:t xml:space="preserve"> </w:t>
      </w:r>
      <w:r w:rsidR="00323457" w:rsidRPr="0059638B">
        <w:rPr>
          <w:color w:val="000000"/>
          <w:sz w:val="20"/>
          <w:szCs w:val="20"/>
          <w:lang w:eastAsia="en-GB" w:bidi="en-GB"/>
        </w:rPr>
        <w:t>legislation</w:t>
      </w:r>
      <w:r w:rsidR="00FF41A0">
        <w:rPr>
          <w:color w:val="000000"/>
          <w:sz w:val="20"/>
          <w:szCs w:val="20"/>
          <w:lang w:eastAsia="en-GB" w:bidi="en-GB"/>
        </w:rPr>
        <w:t xml:space="preserve"> </w:t>
      </w:r>
      <w:r w:rsidR="00323457" w:rsidRPr="0059638B">
        <w:rPr>
          <w:color w:val="000000"/>
          <w:sz w:val="20"/>
          <w:szCs w:val="20"/>
          <w:lang w:eastAsia="en-GB" w:bidi="en-GB"/>
        </w:rPr>
        <w:t>which</w:t>
      </w:r>
      <w:r w:rsidR="00FF41A0">
        <w:rPr>
          <w:color w:val="000000"/>
          <w:sz w:val="20"/>
          <w:szCs w:val="20"/>
          <w:lang w:eastAsia="en-GB" w:bidi="en-GB"/>
        </w:rPr>
        <w:t xml:space="preserve"> </w:t>
      </w:r>
      <w:r w:rsidR="00323457" w:rsidRPr="0059638B">
        <w:rPr>
          <w:color w:val="000000"/>
          <w:sz w:val="20"/>
          <w:szCs w:val="20"/>
          <w:lang w:eastAsia="en-GB" w:bidi="en-GB"/>
        </w:rPr>
        <w:t>continued</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be</w:t>
      </w:r>
      <w:r w:rsidR="00FF41A0">
        <w:rPr>
          <w:color w:val="000000"/>
          <w:sz w:val="20"/>
          <w:szCs w:val="20"/>
          <w:lang w:eastAsia="en-GB" w:bidi="en-GB"/>
        </w:rPr>
        <w:t xml:space="preserve"> </w:t>
      </w:r>
      <w:r w:rsidR="00323457" w:rsidRPr="0059638B">
        <w:rPr>
          <w:color w:val="000000"/>
          <w:sz w:val="20"/>
          <w:szCs w:val="20"/>
          <w:lang w:eastAsia="en-GB" w:bidi="en-GB"/>
        </w:rPr>
        <w:t>misused</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arbitrarily</w:t>
      </w:r>
      <w:r w:rsidR="00FF41A0">
        <w:rPr>
          <w:color w:val="000000"/>
          <w:sz w:val="20"/>
          <w:szCs w:val="20"/>
          <w:lang w:eastAsia="en-GB" w:bidi="en-GB"/>
        </w:rPr>
        <w:t xml:space="preserve"> </w:t>
      </w:r>
      <w:r w:rsidR="00323457" w:rsidRPr="0059638B">
        <w:rPr>
          <w:color w:val="000000"/>
          <w:sz w:val="20"/>
          <w:szCs w:val="20"/>
          <w:lang w:eastAsia="en-GB" w:bidi="en-GB"/>
        </w:rPr>
        <w:t>detain</w:t>
      </w:r>
      <w:r w:rsidR="00FF41A0">
        <w:rPr>
          <w:color w:val="000000"/>
          <w:sz w:val="20"/>
          <w:szCs w:val="20"/>
          <w:lang w:eastAsia="en-GB" w:bidi="en-GB"/>
        </w:rPr>
        <w:t xml:space="preserve"> </w:t>
      </w:r>
      <w:r w:rsidR="00323457" w:rsidRPr="0059638B">
        <w:rPr>
          <w:color w:val="000000"/>
          <w:sz w:val="20"/>
          <w:szCs w:val="20"/>
          <w:lang w:eastAsia="en-GB" w:bidi="en-GB"/>
        </w:rPr>
        <w:t>individuals</w:t>
      </w:r>
      <w:r w:rsidR="00FF41A0">
        <w:rPr>
          <w:color w:val="000000"/>
          <w:sz w:val="20"/>
          <w:szCs w:val="20"/>
          <w:lang w:eastAsia="en-GB" w:bidi="en-GB"/>
        </w:rPr>
        <w:t xml:space="preserve"> </w:t>
      </w:r>
      <w:r w:rsidR="00323457" w:rsidRPr="0059638B">
        <w:rPr>
          <w:color w:val="000000"/>
          <w:sz w:val="20"/>
          <w:szCs w:val="20"/>
          <w:lang w:eastAsia="en-GB" w:bidi="en-GB"/>
        </w:rPr>
        <w:t>without</w:t>
      </w:r>
      <w:r w:rsidR="00FF41A0">
        <w:rPr>
          <w:color w:val="000000"/>
          <w:sz w:val="20"/>
          <w:szCs w:val="20"/>
          <w:lang w:eastAsia="en-GB" w:bidi="en-GB"/>
        </w:rPr>
        <w:t xml:space="preserve"> </w:t>
      </w:r>
      <w:r w:rsidR="00323457" w:rsidRPr="0059638B">
        <w:rPr>
          <w:color w:val="000000"/>
          <w:sz w:val="20"/>
          <w:szCs w:val="20"/>
          <w:lang w:eastAsia="en-GB" w:bidi="en-GB"/>
        </w:rPr>
        <w:t>trial,</w:t>
      </w:r>
      <w:r w:rsidR="00FF41A0">
        <w:rPr>
          <w:color w:val="000000"/>
          <w:sz w:val="20"/>
          <w:szCs w:val="20"/>
          <w:lang w:eastAsia="en-GB" w:bidi="en-GB"/>
        </w:rPr>
        <w:t xml:space="preserve"> </w:t>
      </w:r>
      <w:r w:rsidR="00323457" w:rsidRPr="0059638B">
        <w:rPr>
          <w:color w:val="000000"/>
          <w:sz w:val="20"/>
          <w:szCs w:val="20"/>
          <w:lang w:eastAsia="en-GB" w:bidi="en-GB"/>
        </w:rPr>
        <w:t>including</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Security</w:t>
      </w:r>
      <w:r w:rsidR="00FF41A0">
        <w:rPr>
          <w:color w:val="000000"/>
          <w:sz w:val="20"/>
          <w:szCs w:val="20"/>
          <w:lang w:eastAsia="en-GB" w:bidi="en-GB"/>
        </w:rPr>
        <w:t xml:space="preserve"> </w:t>
      </w:r>
      <w:r w:rsidR="00323457" w:rsidRPr="0059638B">
        <w:rPr>
          <w:color w:val="000000"/>
          <w:sz w:val="20"/>
          <w:szCs w:val="20"/>
          <w:lang w:eastAsia="en-GB" w:bidi="en-GB"/>
        </w:rPr>
        <w:t>Offences</w:t>
      </w:r>
      <w:r w:rsidR="00FF41A0">
        <w:rPr>
          <w:color w:val="000000"/>
          <w:sz w:val="20"/>
          <w:szCs w:val="20"/>
          <w:lang w:eastAsia="en-GB" w:bidi="en-GB"/>
        </w:rPr>
        <w:t xml:space="preserve"> </w:t>
      </w:r>
      <w:r w:rsidR="00323457" w:rsidRPr="0059638B">
        <w:rPr>
          <w:color w:val="000000"/>
          <w:sz w:val="20"/>
          <w:szCs w:val="20"/>
          <w:lang w:eastAsia="en-GB" w:bidi="en-GB"/>
        </w:rPr>
        <w:t>(Special</w:t>
      </w:r>
      <w:r w:rsidR="00FF41A0">
        <w:rPr>
          <w:color w:val="000000"/>
          <w:sz w:val="20"/>
          <w:szCs w:val="20"/>
          <w:lang w:eastAsia="en-GB" w:bidi="en-GB"/>
        </w:rPr>
        <w:t xml:space="preserve"> </w:t>
      </w:r>
      <w:r w:rsidR="00323457" w:rsidRPr="0059638B">
        <w:rPr>
          <w:color w:val="000000"/>
          <w:sz w:val="20"/>
          <w:szCs w:val="20"/>
          <w:lang w:eastAsia="en-GB" w:bidi="en-GB"/>
        </w:rPr>
        <w:t>Measures)</w:t>
      </w:r>
      <w:r w:rsidR="00FF41A0">
        <w:rPr>
          <w:color w:val="000000"/>
          <w:sz w:val="20"/>
          <w:szCs w:val="20"/>
          <w:lang w:eastAsia="en-GB" w:bidi="en-GB"/>
        </w:rPr>
        <w:t xml:space="preserve"> </w:t>
      </w:r>
      <w:r w:rsidR="00323457" w:rsidRPr="0059638B">
        <w:rPr>
          <w:color w:val="000000"/>
          <w:sz w:val="20"/>
          <w:szCs w:val="20"/>
          <w:lang w:eastAsia="en-GB" w:bidi="en-GB"/>
        </w:rPr>
        <w:t>Act,</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Prevention</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Terrorism</w:t>
      </w:r>
      <w:r w:rsidR="00FF41A0">
        <w:rPr>
          <w:color w:val="000000"/>
          <w:sz w:val="20"/>
          <w:szCs w:val="20"/>
          <w:lang w:eastAsia="en-GB" w:bidi="en-GB"/>
        </w:rPr>
        <w:t xml:space="preserve"> </w:t>
      </w:r>
      <w:r w:rsidR="00323457" w:rsidRPr="0059638B">
        <w:rPr>
          <w:color w:val="000000"/>
          <w:sz w:val="20"/>
          <w:szCs w:val="20"/>
          <w:lang w:eastAsia="en-GB" w:bidi="en-GB"/>
        </w:rPr>
        <w:t>Act,</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Prevention</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Crime</w:t>
      </w:r>
      <w:r w:rsidR="00FF41A0">
        <w:rPr>
          <w:color w:val="000000"/>
          <w:sz w:val="20"/>
          <w:szCs w:val="20"/>
          <w:lang w:eastAsia="en-GB" w:bidi="en-GB"/>
        </w:rPr>
        <w:t xml:space="preserve"> </w:t>
      </w:r>
      <w:r w:rsidR="00323457" w:rsidRPr="0059638B">
        <w:rPr>
          <w:color w:val="000000"/>
          <w:sz w:val="20"/>
          <w:szCs w:val="20"/>
          <w:lang w:eastAsia="en-GB" w:bidi="en-GB"/>
        </w:rPr>
        <w:t>Act.</w:t>
      </w:r>
      <w:r w:rsidR="00FF41A0">
        <w:rPr>
          <w:color w:val="000000"/>
          <w:sz w:val="20"/>
          <w:szCs w:val="20"/>
          <w:lang w:eastAsia="en-GB" w:bidi="en-GB"/>
        </w:rPr>
        <w:t xml:space="preserve"> </w:t>
      </w:r>
      <w:r w:rsidR="00323457" w:rsidRPr="0059638B">
        <w:rPr>
          <w:color w:val="000000"/>
          <w:sz w:val="20"/>
          <w:szCs w:val="20"/>
          <w:lang w:eastAsia="en-GB" w:bidi="en-GB"/>
        </w:rPr>
        <w:t>They</w:t>
      </w:r>
      <w:r w:rsidR="00FF41A0">
        <w:rPr>
          <w:color w:val="000000"/>
          <w:sz w:val="20"/>
          <w:szCs w:val="20"/>
          <w:lang w:eastAsia="en-GB" w:bidi="en-GB"/>
        </w:rPr>
        <w:t xml:space="preserve"> </w:t>
      </w:r>
      <w:r w:rsidR="00323457" w:rsidRPr="0059638B">
        <w:rPr>
          <w:color w:val="000000"/>
          <w:sz w:val="20"/>
          <w:szCs w:val="20"/>
          <w:lang w:eastAsia="en-GB" w:bidi="en-GB"/>
        </w:rPr>
        <w:t>called</w:t>
      </w:r>
      <w:r w:rsidR="00FF41A0">
        <w:rPr>
          <w:color w:val="000000"/>
          <w:sz w:val="20"/>
          <w:szCs w:val="20"/>
          <w:lang w:eastAsia="en-GB" w:bidi="en-GB"/>
        </w:rPr>
        <w:t xml:space="preserve"> </w:t>
      </w:r>
      <w:r w:rsidR="00323457" w:rsidRPr="0059638B">
        <w:rPr>
          <w:color w:val="000000"/>
          <w:sz w:val="20"/>
          <w:szCs w:val="20"/>
          <w:lang w:eastAsia="en-GB" w:bidi="en-GB"/>
        </w:rPr>
        <w:t>on</w:t>
      </w:r>
      <w:r w:rsidR="00FF41A0">
        <w:rPr>
          <w:color w:val="000000"/>
          <w:sz w:val="20"/>
          <w:szCs w:val="20"/>
          <w:lang w:eastAsia="en-GB" w:bidi="en-GB"/>
        </w:rPr>
        <w:t xml:space="preserve"> </w:t>
      </w:r>
      <w:r w:rsidR="00323457" w:rsidRPr="0059638B">
        <w:rPr>
          <w:color w:val="000000"/>
          <w:sz w:val="20"/>
          <w:szCs w:val="20"/>
          <w:lang w:eastAsia="en-GB" w:bidi="en-GB"/>
        </w:rPr>
        <w:t>Malaysia</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end</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forms</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discrimination</w:t>
      </w:r>
      <w:r w:rsidR="00FF41A0">
        <w:rPr>
          <w:color w:val="000000"/>
          <w:sz w:val="20"/>
          <w:szCs w:val="20"/>
          <w:lang w:eastAsia="en-GB" w:bidi="en-GB"/>
        </w:rPr>
        <w:t xml:space="preserve"> </w:t>
      </w:r>
      <w:r w:rsidR="00323457" w:rsidRPr="0059638B">
        <w:rPr>
          <w:color w:val="000000"/>
          <w:sz w:val="20"/>
          <w:szCs w:val="20"/>
          <w:lang w:eastAsia="en-GB" w:bidi="en-GB"/>
        </w:rPr>
        <w:t>based</w:t>
      </w:r>
      <w:r w:rsidR="00FF41A0">
        <w:rPr>
          <w:color w:val="000000"/>
          <w:sz w:val="20"/>
          <w:szCs w:val="20"/>
          <w:lang w:eastAsia="en-GB" w:bidi="en-GB"/>
        </w:rPr>
        <w:t xml:space="preserve"> </w:t>
      </w:r>
      <w:r w:rsidR="00323457" w:rsidRPr="0059638B">
        <w:rPr>
          <w:color w:val="000000"/>
          <w:sz w:val="20"/>
          <w:szCs w:val="20"/>
          <w:lang w:eastAsia="en-GB" w:bidi="en-GB"/>
        </w:rPr>
        <w:t>on</w:t>
      </w:r>
      <w:r w:rsidR="00FF41A0">
        <w:rPr>
          <w:color w:val="000000"/>
          <w:sz w:val="20"/>
          <w:szCs w:val="20"/>
          <w:lang w:eastAsia="en-GB" w:bidi="en-GB"/>
        </w:rPr>
        <w:t xml:space="preserve"> </w:t>
      </w:r>
      <w:r w:rsidR="00323457" w:rsidRPr="0059638B">
        <w:rPr>
          <w:color w:val="000000"/>
          <w:sz w:val="20"/>
          <w:szCs w:val="20"/>
          <w:lang w:eastAsia="en-GB" w:bidi="en-GB"/>
        </w:rPr>
        <w:t>sexual</w:t>
      </w:r>
      <w:r w:rsidR="00FF41A0">
        <w:rPr>
          <w:color w:val="000000"/>
          <w:sz w:val="20"/>
          <w:szCs w:val="20"/>
          <w:lang w:eastAsia="en-GB" w:bidi="en-GB"/>
        </w:rPr>
        <w:t xml:space="preserve"> </w:t>
      </w:r>
      <w:r w:rsidR="00323457" w:rsidRPr="0059638B">
        <w:rPr>
          <w:color w:val="000000"/>
          <w:sz w:val="20"/>
          <w:szCs w:val="20"/>
          <w:lang w:eastAsia="en-GB" w:bidi="en-GB"/>
        </w:rPr>
        <w:t>orientation</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gender</w:t>
      </w:r>
      <w:r w:rsidR="00FF41A0">
        <w:rPr>
          <w:color w:val="000000"/>
          <w:sz w:val="20"/>
          <w:szCs w:val="20"/>
          <w:lang w:eastAsia="en-GB" w:bidi="en-GB"/>
        </w:rPr>
        <w:t xml:space="preserve"> </w:t>
      </w:r>
      <w:r w:rsidR="00323457" w:rsidRPr="0059638B">
        <w:rPr>
          <w:color w:val="000000"/>
          <w:sz w:val="20"/>
          <w:szCs w:val="20"/>
          <w:lang w:eastAsia="en-GB" w:bidi="en-GB"/>
        </w:rPr>
        <w:t>identity.</w:t>
      </w:r>
    </w:p>
    <w:p w14:paraId="690B3326" w14:textId="07972BA2" w:rsidR="00323457" w:rsidRPr="0059638B" w:rsidRDefault="00972F1E" w:rsidP="00323457">
      <w:pPr>
        <w:pStyle w:val="SingleTxtG"/>
        <w:rPr>
          <w:color w:val="000000"/>
          <w:sz w:val="20"/>
          <w:szCs w:val="20"/>
          <w:lang w:eastAsia="en-GB" w:bidi="en-GB"/>
        </w:rPr>
      </w:pPr>
      <w:r>
        <w:rPr>
          <w:color w:val="000000"/>
          <w:sz w:val="20"/>
          <w:szCs w:val="20"/>
          <w:lang w:eastAsia="en-GB" w:bidi="en-GB"/>
        </w:rPr>
        <w:t>662</w:t>
      </w:r>
      <w:r w:rsidR="00D7475F">
        <w:rPr>
          <w:color w:val="000000"/>
          <w:sz w:val="20"/>
          <w:szCs w:val="20"/>
          <w:lang w:eastAsia="en-GB" w:bidi="en-GB"/>
        </w:rPr>
        <w:t>.</w:t>
      </w:r>
      <w:r w:rsidR="00D7475F">
        <w:rPr>
          <w:color w:val="000000"/>
          <w:sz w:val="20"/>
          <w:szCs w:val="20"/>
          <w:lang w:eastAsia="en-GB" w:bidi="en-GB"/>
        </w:rPr>
        <w:tab/>
      </w:r>
      <w:r w:rsidR="00323457" w:rsidRPr="0059638B">
        <w:rPr>
          <w:color w:val="000000"/>
          <w:sz w:val="20"/>
          <w:szCs w:val="20"/>
          <w:lang w:eastAsia="en-GB" w:bidi="en-GB"/>
        </w:rPr>
        <w:t>Alliance</w:t>
      </w:r>
      <w:r w:rsidR="00FF41A0">
        <w:rPr>
          <w:color w:val="000000"/>
          <w:sz w:val="20"/>
          <w:szCs w:val="20"/>
          <w:lang w:eastAsia="en-GB" w:bidi="en-GB"/>
        </w:rPr>
        <w:t xml:space="preserve"> </w:t>
      </w:r>
      <w:r w:rsidR="00323457" w:rsidRPr="0059638B">
        <w:rPr>
          <w:color w:val="000000"/>
          <w:sz w:val="20"/>
          <w:szCs w:val="20"/>
          <w:lang w:eastAsia="en-GB" w:bidi="en-GB"/>
        </w:rPr>
        <w:t>Defending</w:t>
      </w:r>
      <w:r w:rsidR="00FF41A0">
        <w:rPr>
          <w:color w:val="000000"/>
          <w:sz w:val="20"/>
          <w:szCs w:val="20"/>
          <w:lang w:eastAsia="en-GB" w:bidi="en-GB"/>
        </w:rPr>
        <w:t xml:space="preserve"> </w:t>
      </w:r>
      <w:r w:rsidR="00323457" w:rsidRPr="0059638B">
        <w:rPr>
          <w:color w:val="000000"/>
          <w:sz w:val="20"/>
          <w:szCs w:val="20"/>
          <w:lang w:eastAsia="en-GB" w:bidi="en-GB"/>
        </w:rPr>
        <w:t>Freedom,</w:t>
      </w:r>
      <w:r w:rsidR="00FF41A0">
        <w:rPr>
          <w:color w:val="000000"/>
          <w:sz w:val="20"/>
          <w:szCs w:val="20"/>
          <w:lang w:eastAsia="en-GB" w:bidi="en-GB"/>
        </w:rPr>
        <w:t xml:space="preserve"> </w:t>
      </w:r>
      <w:r w:rsidR="00323457" w:rsidRPr="0059638B">
        <w:rPr>
          <w:color w:val="000000"/>
          <w:sz w:val="20"/>
          <w:szCs w:val="20"/>
          <w:lang w:eastAsia="en-GB" w:bidi="en-GB"/>
        </w:rPr>
        <w:t>in</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joint</w:t>
      </w:r>
      <w:r w:rsidR="00FF41A0">
        <w:rPr>
          <w:color w:val="000000"/>
          <w:sz w:val="20"/>
          <w:szCs w:val="20"/>
          <w:lang w:eastAsia="en-GB" w:bidi="en-GB"/>
        </w:rPr>
        <w:t xml:space="preserve"> </w:t>
      </w:r>
      <w:r w:rsidR="00323457" w:rsidRPr="0059638B">
        <w:rPr>
          <w:color w:val="000000"/>
          <w:sz w:val="20"/>
          <w:szCs w:val="20"/>
          <w:lang w:eastAsia="en-GB" w:bidi="en-GB"/>
        </w:rPr>
        <w:t>statement</w:t>
      </w:r>
      <w:r w:rsidR="00FF41A0">
        <w:rPr>
          <w:color w:val="000000"/>
          <w:sz w:val="20"/>
          <w:szCs w:val="20"/>
          <w:lang w:eastAsia="en-GB" w:bidi="en-GB"/>
        </w:rPr>
        <w:t xml:space="preserve"> </w:t>
      </w:r>
      <w:r w:rsidR="00323457" w:rsidRPr="0059638B">
        <w:rPr>
          <w:color w:val="000000"/>
          <w:sz w:val="20"/>
          <w:szCs w:val="20"/>
          <w:lang w:eastAsia="en-GB" w:bidi="en-GB"/>
        </w:rPr>
        <w:t>with</w:t>
      </w:r>
      <w:r w:rsidR="00FF41A0">
        <w:rPr>
          <w:color w:val="000000"/>
          <w:sz w:val="20"/>
          <w:szCs w:val="20"/>
          <w:lang w:eastAsia="en-GB" w:bidi="en-GB"/>
        </w:rPr>
        <w:t xml:space="preserve"> </w:t>
      </w:r>
      <w:r w:rsidR="00323457" w:rsidRPr="0059638B">
        <w:rPr>
          <w:color w:val="000000"/>
          <w:sz w:val="20"/>
          <w:szCs w:val="20"/>
          <w:lang w:eastAsia="en-GB" w:bidi="en-GB"/>
        </w:rPr>
        <w:t>World</w:t>
      </w:r>
      <w:r w:rsidR="00FF41A0">
        <w:rPr>
          <w:color w:val="000000"/>
          <w:sz w:val="20"/>
          <w:szCs w:val="20"/>
          <w:lang w:eastAsia="en-GB" w:bidi="en-GB"/>
        </w:rPr>
        <w:t xml:space="preserve"> </w:t>
      </w:r>
      <w:r w:rsidR="00323457" w:rsidRPr="0059638B">
        <w:rPr>
          <w:color w:val="000000"/>
          <w:sz w:val="20"/>
          <w:szCs w:val="20"/>
          <w:lang w:eastAsia="en-GB" w:bidi="en-GB"/>
        </w:rPr>
        <w:t>Evangelical</w:t>
      </w:r>
      <w:r w:rsidR="00FF41A0">
        <w:rPr>
          <w:color w:val="000000"/>
          <w:sz w:val="20"/>
          <w:szCs w:val="20"/>
          <w:lang w:eastAsia="en-GB" w:bidi="en-GB"/>
        </w:rPr>
        <w:t xml:space="preserve"> </w:t>
      </w:r>
      <w:r w:rsidR="00323457" w:rsidRPr="0059638B">
        <w:rPr>
          <w:color w:val="000000"/>
          <w:sz w:val="20"/>
          <w:szCs w:val="20"/>
          <w:lang w:eastAsia="en-GB" w:bidi="en-GB"/>
        </w:rPr>
        <w:t>Alliance,</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Ethics</w:t>
      </w:r>
      <w:r w:rsidR="00FF41A0">
        <w:rPr>
          <w:color w:val="000000"/>
          <w:sz w:val="20"/>
          <w:szCs w:val="20"/>
          <w:lang w:eastAsia="en-GB" w:bidi="en-GB"/>
        </w:rPr>
        <w:t xml:space="preserve"> </w:t>
      </w:r>
      <w:r w:rsidR="00323457" w:rsidRPr="0059638B">
        <w:rPr>
          <w:color w:val="000000"/>
          <w:sz w:val="20"/>
          <w:szCs w:val="20"/>
          <w:lang w:eastAsia="en-GB" w:bidi="en-GB"/>
        </w:rPr>
        <w:t>&amp;</w:t>
      </w:r>
      <w:r w:rsidR="00FF41A0">
        <w:rPr>
          <w:color w:val="000000"/>
          <w:sz w:val="20"/>
          <w:szCs w:val="20"/>
          <w:lang w:eastAsia="en-GB" w:bidi="en-GB"/>
        </w:rPr>
        <w:t xml:space="preserve"> </w:t>
      </w:r>
      <w:r w:rsidR="00323457" w:rsidRPr="0059638B">
        <w:rPr>
          <w:color w:val="000000"/>
          <w:sz w:val="20"/>
          <w:szCs w:val="20"/>
          <w:lang w:eastAsia="en-GB" w:bidi="en-GB"/>
        </w:rPr>
        <w:t>Religious</w:t>
      </w:r>
      <w:r w:rsidR="00FF41A0">
        <w:rPr>
          <w:color w:val="000000"/>
          <w:sz w:val="20"/>
          <w:szCs w:val="20"/>
          <w:lang w:eastAsia="en-GB" w:bidi="en-GB"/>
        </w:rPr>
        <w:t xml:space="preserve"> </w:t>
      </w:r>
      <w:r w:rsidR="00323457" w:rsidRPr="0059638B">
        <w:rPr>
          <w:color w:val="000000"/>
          <w:sz w:val="20"/>
          <w:szCs w:val="20"/>
          <w:lang w:eastAsia="en-GB" w:bidi="en-GB"/>
        </w:rPr>
        <w:t>Liberty</w:t>
      </w:r>
      <w:r w:rsidR="00FF41A0">
        <w:rPr>
          <w:color w:val="000000"/>
          <w:sz w:val="20"/>
          <w:szCs w:val="20"/>
          <w:lang w:eastAsia="en-GB" w:bidi="en-GB"/>
        </w:rPr>
        <w:t xml:space="preserve"> </w:t>
      </w:r>
      <w:r w:rsidR="00323457" w:rsidRPr="0059638B">
        <w:rPr>
          <w:color w:val="000000"/>
          <w:sz w:val="20"/>
          <w:szCs w:val="20"/>
          <w:lang w:eastAsia="en-GB" w:bidi="en-GB"/>
        </w:rPr>
        <w:t>Commission</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Southern</w:t>
      </w:r>
      <w:r w:rsidR="00FF41A0">
        <w:rPr>
          <w:color w:val="000000"/>
          <w:sz w:val="20"/>
          <w:szCs w:val="20"/>
          <w:lang w:eastAsia="en-GB" w:bidi="en-GB"/>
        </w:rPr>
        <w:t xml:space="preserve"> </w:t>
      </w:r>
      <w:r w:rsidR="00323457" w:rsidRPr="0059638B">
        <w:rPr>
          <w:color w:val="000000"/>
          <w:sz w:val="20"/>
          <w:szCs w:val="20"/>
          <w:lang w:eastAsia="en-GB" w:bidi="en-GB"/>
        </w:rPr>
        <w:t>Baptist</w:t>
      </w:r>
      <w:r w:rsidR="00FF41A0">
        <w:rPr>
          <w:color w:val="000000"/>
          <w:sz w:val="20"/>
          <w:szCs w:val="20"/>
          <w:lang w:eastAsia="en-GB" w:bidi="en-GB"/>
        </w:rPr>
        <w:t xml:space="preserve"> </w:t>
      </w:r>
      <w:r w:rsidR="00323457" w:rsidRPr="0059638B">
        <w:rPr>
          <w:color w:val="000000"/>
          <w:sz w:val="20"/>
          <w:szCs w:val="20"/>
          <w:lang w:eastAsia="en-GB" w:bidi="en-GB"/>
        </w:rPr>
        <w:t>Convention</w:t>
      </w:r>
      <w:r w:rsidR="00FF41A0">
        <w:rPr>
          <w:color w:val="000000"/>
          <w:sz w:val="20"/>
          <w:szCs w:val="20"/>
          <w:lang w:eastAsia="en-GB" w:bidi="en-GB"/>
        </w:rPr>
        <w:t xml:space="preserve"> </w:t>
      </w:r>
      <w:r w:rsidR="00323457" w:rsidRPr="0059638B">
        <w:rPr>
          <w:color w:val="000000"/>
          <w:sz w:val="20"/>
          <w:szCs w:val="20"/>
          <w:lang w:eastAsia="en-GB" w:bidi="en-GB"/>
        </w:rPr>
        <w:t>(ERLC),</w:t>
      </w:r>
      <w:r w:rsidR="00FF41A0">
        <w:rPr>
          <w:color w:val="000000"/>
          <w:sz w:val="20"/>
          <w:szCs w:val="20"/>
          <w:lang w:eastAsia="en-GB" w:bidi="en-GB"/>
        </w:rPr>
        <w:t xml:space="preserve"> </w:t>
      </w:r>
      <w:r w:rsidR="00323457" w:rsidRPr="0059638B">
        <w:rPr>
          <w:color w:val="000000"/>
          <w:sz w:val="20"/>
          <w:szCs w:val="20"/>
          <w:lang w:eastAsia="en-GB" w:bidi="en-GB"/>
        </w:rPr>
        <w:t>Youth</w:t>
      </w:r>
      <w:r w:rsidR="00FF41A0">
        <w:rPr>
          <w:color w:val="000000"/>
          <w:sz w:val="20"/>
          <w:szCs w:val="20"/>
          <w:lang w:eastAsia="en-GB" w:bidi="en-GB"/>
        </w:rPr>
        <w:t xml:space="preserve"> </w:t>
      </w:r>
      <w:r w:rsidR="00323457" w:rsidRPr="0059638B">
        <w:rPr>
          <w:color w:val="000000"/>
          <w:sz w:val="20"/>
          <w:szCs w:val="20"/>
          <w:lang w:eastAsia="en-GB" w:bidi="en-GB"/>
        </w:rPr>
        <w:t>with</w:t>
      </w:r>
      <w:r w:rsidR="00FF41A0">
        <w:rPr>
          <w:color w:val="000000"/>
          <w:sz w:val="20"/>
          <w:szCs w:val="20"/>
          <w:lang w:eastAsia="en-GB" w:bidi="en-GB"/>
        </w:rPr>
        <w:t xml:space="preserve"> </w:t>
      </w:r>
      <w:r w:rsidR="00323457" w:rsidRPr="0059638B">
        <w:rPr>
          <w:color w:val="000000"/>
          <w:sz w:val="20"/>
          <w:szCs w:val="20"/>
          <w:lang w:eastAsia="en-GB" w:bidi="en-GB"/>
        </w:rPr>
        <w:t>a</w:t>
      </w:r>
      <w:r w:rsidR="00FF41A0">
        <w:rPr>
          <w:color w:val="000000"/>
          <w:sz w:val="20"/>
          <w:szCs w:val="20"/>
          <w:lang w:eastAsia="en-GB" w:bidi="en-GB"/>
        </w:rPr>
        <w:t xml:space="preserve"> </w:t>
      </w:r>
      <w:r w:rsidR="00323457" w:rsidRPr="0059638B">
        <w:rPr>
          <w:color w:val="000000"/>
          <w:sz w:val="20"/>
          <w:szCs w:val="20"/>
          <w:lang w:eastAsia="en-GB" w:bidi="en-GB"/>
        </w:rPr>
        <w:t>Mission,</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Asociacion</w:t>
      </w:r>
      <w:r w:rsidR="00FF41A0">
        <w:rPr>
          <w:color w:val="000000"/>
          <w:sz w:val="20"/>
          <w:szCs w:val="20"/>
          <w:lang w:eastAsia="en-GB" w:bidi="en-GB"/>
        </w:rPr>
        <w:t xml:space="preserve"> </w:t>
      </w:r>
      <w:r w:rsidR="00323457" w:rsidRPr="0059638B">
        <w:rPr>
          <w:color w:val="000000"/>
          <w:sz w:val="20"/>
          <w:szCs w:val="20"/>
          <w:lang w:eastAsia="en-GB" w:bidi="en-GB"/>
        </w:rPr>
        <w:t>HazteOir.org,</w:t>
      </w:r>
      <w:r w:rsidR="00FF41A0">
        <w:rPr>
          <w:color w:val="000000"/>
          <w:sz w:val="20"/>
          <w:szCs w:val="20"/>
          <w:lang w:eastAsia="en-GB" w:bidi="en-GB"/>
        </w:rPr>
        <w:t xml:space="preserve"> </w:t>
      </w:r>
      <w:r w:rsidR="00323457" w:rsidRPr="0059638B">
        <w:rPr>
          <w:color w:val="000000"/>
          <w:sz w:val="20"/>
          <w:szCs w:val="20"/>
          <w:lang w:eastAsia="en-GB" w:bidi="en-GB"/>
        </w:rPr>
        <w:t>regretted</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rejection</w:t>
      </w:r>
      <w:r w:rsidR="00FF41A0">
        <w:rPr>
          <w:color w:val="000000"/>
          <w:sz w:val="20"/>
          <w:szCs w:val="20"/>
          <w:lang w:eastAsia="en-GB" w:bidi="en-GB"/>
        </w:rPr>
        <w:t xml:space="preserve"> </w:t>
      </w:r>
      <w:r w:rsidR="00323457" w:rsidRPr="0059638B">
        <w:rPr>
          <w:color w:val="000000"/>
          <w:sz w:val="20"/>
          <w:szCs w:val="20"/>
          <w:lang w:eastAsia="en-GB" w:bidi="en-GB"/>
        </w:rPr>
        <w:t>by</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Government</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Malaysia</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nine</w:t>
      </w:r>
      <w:r w:rsidR="00FF41A0">
        <w:rPr>
          <w:color w:val="000000"/>
          <w:sz w:val="20"/>
          <w:szCs w:val="20"/>
          <w:lang w:eastAsia="en-GB" w:bidi="en-GB"/>
        </w:rPr>
        <w:t xml:space="preserve"> </w:t>
      </w:r>
      <w:r w:rsidR="00323457" w:rsidRPr="0059638B">
        <w:rPr>
          <w:color w:val="000000"/>
          <w:sz w:val="20"/>
          <w:szCs w:val="20"/>
          <w:lang w:eastAsia="en-GB" w:bidi="en-GB"/>
        </w:rPr>
        <w:t>out</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ten</w:t>
      </w:r>
      <w:r w:rsidR="00FF41A0">
        <w:rPr>
          <w:color w:val="000000"/>
          <w:sz w:val="20"/>
          <w:szCs w:val="20"/>
          <w:lang w:eastAsia="en-GB" w:bidi="en-GB"/>
        </w:rPr>
        <w:t xml:space="preserve"> </w:t>
      </w:r>
      <w:r w:rsidR="00323457" w:rsidRPr="0059638B">
        <w:rPr>
          <w:color w:val="000000"/>
          <w:sz w:val="20"/>
          <w:szCs w:val="20"/>
          <w:lang w:eastAsia="en-GB" w:bidi="en-GB"/>
        </w:rPr>
        <w:t>recommendations</w:t>
      </w:r>
      <w:r w:rsidR="00FF41A0">
        <w:rPr>
          <w:color w:val="000000"/>
          <w:sz w:val="20"/>
          <w:szCs w:val="20"/>
          <w:lang w:eastAsia="en-GB" w:bidi="en-GB"/>
        </w:rPr>
        <w:t xml:space="preserve"> </w:t>
      </w:r>
      <w:r w:rsidR="00323457" w:rsidRPr="0059638B">
        <w:rPr>
          <w:color w:val="000000"/>
          <w:sz w:val="20"/>
          <w:szCs w:val="20"/>
          <w:lang w:eastAsia="en-GB" w:bidi="en-GB"/>
        </w:rPr>
        <w:t>addressing</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deteriorating</w:t>
      </w:r>
      <w:r w:rsidR="00FF41A0">
        <w:rPr>
          <w:color w:val="000000"/>
          <w:sz w:val="20"/>
          <w:szCs w:val="20"/>
          <w:lang w:eastAsia="en-GB" w:bidi="en-GB"/>
        </w:rPr>
        <w:t xml:space="preserve"> </w:t>
      </w:r>
      <w:r w:rsidR="00323457" w:rsidRPr="0059638B">
        <w:rPr>
          <w:color w:val="000000"/>
          <w:sz w:val="20"/>
          <w:szCs w:val="20"/>
          <w:lang w:eastAsia="en-GB" w:bidi="en-GB"/>
        </w:rPr>
        <w:t>situation</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freedom</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religion</w:t>
      </w:r>
      <w:r w:rsidR="00FF41A0">
        <w:rPr>
          <w:color w:val="000000"/>
          <w:sz w:val="20"/>
          <w:szCs w:val="20"/>
          <w:lang w:eastAsia="en-GB" w:bidi="en-GB"/>
        </w:rPr>
        <w:t xml:space="preserve"> </w:t>
      </w:r>
      <w:r w:rsidR="00323457" w:rsidRPr="0059638B">
        <w:rPr>
          <w:color w:val="000000"/>
          <w:sz w:val="20"/>
          <w:szCs w:val="20"/>
          <w:lang w:eastAsia="en-GB" w:bidi="en-GB"/>
        </w:rPr>
        <w:t>or</w:t>
      </w:r>
      <w:r w:rsidR="00FF41A0">
        <w:rPr>
          <w:color w:val="000000"/>
          <w:sz w:val="20"/>
          <w:szCs w:val="20"/>
          <w:lang w:eastAsia="en-GB" w:bidi="en-GB"/>
        </w:rPr>
        <w:t xml:space="preserve"> </w:t>
      </w:r>
      <w:r w:rsidR="00323457" w:rsidRPr="0059638B">
        <w:rPr>
          <w:color w:val="000000"/>
          <w:sz w:val="20"/>
          <w:szCs w:val="20"/>
          <w:lang w:eastAsia="en-GB" w:bidi="en-GB"/>
        </w:rPr>
        <w:t>belief</w:t>
      </w:r>
      <w:r w:rsidR="00FF41A0">
        <w:rPr>
          <w:color w:val="000000"/>
          <w:sz w:val="20"/>
          <w:szCs w:val="20"/>
          <w:lang w:eastAsia="en-GB" w:bidi="en-GB"/>
        </w:rPr>
        <w:t xml:space="preserve"> </w:t>
      </w:r>
      <w:r w:rsidR="00323457" w:rsidRPr="0059638B">
        <w:rPr>
          <w:color w:val="000000"/>
          <w:sz w:val="20"/>
          <w:szCs w:val="20"/>
          <w:lang w:eastAsia="en-GB" w:bidi="en-GB"/>
        </w:rPr>
        <w:t>in</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country.</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organizations</w:t>
      </w:r>
      <w:r w:rsidR="00FF41A0">
        <w:rPr>
          <w:color w:val="000000"/>
          <w:sz w:val="20"/>
          <w:szCs w:val="20"/>
          <w:lang w:eastAsia="en-GB" w:bidi="en-GB"/>
        </w:rPr>
        <w:t xml:space="preserve"> </w:t>
      </w:r>
      <w:r w:rsidR="00323457" w:rsidRPr="0059638B">
        <w:rPr>
          <w:color w:val="000000"/>
          <w:sz w:val="20"/>
          <w:szCs w:val="20"/>
          <w:lang w:eastAsia="en-GB" w:bidi="en-GB"/>
        </w:rPr>
        <w:t>were</w:t>
      </w:r>
      <w:r w:rsidR="00FF41A0">
        <w:rPr>
          <w:color w:val="000000"/>
          <w:sz w:val="20"/>
          <w:szCs w:val="20"/>
          <w:lang w:eastAsia="en-GB" w:bidi="en-GB"/>
        </w:rPr>
        <w:t xml:space="preserve"> </w:t>
      </w:r>
      <w:r w:rsidR="00323457" w:rsidRPr="0059638B">
        <w:rPr>
          <w:color w:val="000000"/>
          <w:sz w:val="20"/>
          <w:szCs w:val="20"/>
          <w:lang w:eastAsia="en-GB" w:bidi="en-GB"/>
        </w:rPr>
        <w:t>concerned</w:t>
      </w:r>
      <w:r w:rsidR="00FF41A0">
        <w:rPr>
          <w:color w:val="000000"/>
          <w:sz w:val="20"/>
          <w:szCs w:val="20"/>
          <w:lang w:eastAsia="en-GB" w:bidi="en-GB"/>
        </w:rPr>
        <w:t xml:space="preserve"> </w:t>
      </w:r>
      <w:r w:rsidR="00323457" w:rsidRPr="0059638B">
        <w:rPr>
          <w:color w:val="000000"/>
          <w:sz w:val="20"/>
          <w:szCs w:val="20"/>
          <w:lang w:eastAsia="en-GB" w:bidi="en-GB"/>
        </w:rPr>
        <w:t>that</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Government</w:t>
      </w:r>
      <w:r w:rsidR="00FF41A0">
        <w:rPr>
          <w:color w:val="000000"/>
          <w:sz w:val="20"/>
          <w:szCs w:val="20"/>
          <w:lang w:eastAsia="en-GB" w:bidi="en-GB"/>
        </w:rPr>
        <w:t xml:space="preserve"> </w:t>
      </w:r>
      <w:r w:rsidR="00323457" w:rsidRPr="0059638B">
        <w:rPr>
          <w:color w:val="000000"/>
          <w:sz w:val="20"/>
          <w:szCs w:val="20"/>
          <w:lang w:eastAsia="en-GB" w:bidi="en-GB"/>
        </w:rPr>
        <w:t>was</w:t>
      </w:r>
      <w:r w:rsidR="00FF41A0">
        <w:rPr>
          <w:color w:val="000000"/>
          <w:sz w:val="20"/>
          <w:szCs w:val="20"/>
          <w:lang w:eastAsia="en-GB" w:bidi="en-GB"/>
        </w:rPr>
        <w:t xml:space="preserve"> </w:t>
      </w:r>
      <w:r w:rsidR="00323457" w:rsidRPr="0059638B">
        <w:rPr>
          <w:color w:val="000000"/>
          <w:sz w:val="20"/>
          <w:szCs w:val="20"/>
          <w:lang w:eastAsia="en-GB" w:bidi="en-GB"/>
        </w:rPr>
        <w:t>willing</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undertake</w:t>
      </w:r>
      <w:r w:rsidR="00FF41A0">
        <w:rPr>
          <w:color w:val="000000"/>
          <w:sz w:val="20"/>
          <w:szCs w:val="20"/>
          <w:lang w:eastAsia="en-GB" w:bidi="en-GB"/>
        </w:rPr>
        <w:t xml:space="preserve"> </w:t>
      </w:r>
      <w:r w:rsidR="00323457" w:rsidRPr="0059638B">
        <w:rPr>
          <w:color w:val="000000"/>
          <w:sz w:val="20"/>
          <w:szCs w:val="20"/>
          <w:lang w:eastAsia="en-GB" w:bidi="en-GB"/>
        </w:rPr>
        <w:t>measures</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guarantee</w:t>
      </w:r>
      <w:r w:rsidR="00FF41A0">
        <w:rPr>
          <w:color w:val="000000"/>
          <w:sz w:val="20"/>
          <w:szCs w:val="20"/>
          <w:lang w:eastAsia="en-GB" w:bidi="en-GB"/>
        </w:rPr>
        <w:t xml:space="preserve"> </w:t>
      </w:r>
      <w:r w:rsidR="00323457" w:rsidRPr="0059638B">
        <w:rPr>
          <w:color w:val="000000"/>
          <w:sz w:val="20"/>
          <w:szCs w:val="20"/>
          <w:lang w:eastAsia="en-GB" w:bidi="en-GB"/>
        </w:rPr>
        <w:t>freedom</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religion</w:t>
      </w:r>
      <w:r w:rsidR="00FF41A0">
        <w:rPr>
          <w:color w:val="000000"/>
          <w:sz w:val="20"/>
          <w:szCs w:val="20"/>
          <w:lang w:eastAsia="en-GB" w:bidi="en-GB"/>
        </w:rPr>
        <w:t xml:space="preserve"> </w:t>
      </w:r>
      <w:r w:rsidR="00323457" w:rsidRPr="0059638B">
        <w:rPr>
          <w:color w:val="000000"/>
          <w:sz w:val="20"/>
          <w:szCs w:val="20"/>
          <w:lang w:eastAsia="en-GB" w:bidi="en-GB"/>
        </w:rPr>
        <w:t>or</w:t>
      </w:r>
      <w:r w:rsidR="00FF41A0">
        <w:rPr>
          <w:color w:val="000000"/>
          <w:sz w:val="20"/>
          <w:szCs w:val="20"/>
          <w:lang w:eastAsia="en-GB" w:bidi="en-GB"/>
        </w:rPr>
        <w:t xml:space="preserve"> </w:t>
      </w:r>
      <w:r w:rsidR="00323457" w:rsidRPr="0059638B">
        <w:rPr>
          <w:color w:val="000000"/>
          <w:sz w:val="20"/>
          <w:szCs w:val="20"/>
          <w:lang w:eastAsia="en-GB" w:bidi="en-GB"/>
        </w:rPr>
        <w:t>belief</w:t>
      </w:r>
      <w:r w:rsidR="00FF41A0">
        <w:rPr>
          <w:color w:val="000000"/>
          <w:sz w:val="20"/>
          <w:szCs w:val="20"/>
          <w:lang w:eastAsia="en-GB" w:bidi="en-GB"/>
        </w:rPr>
        <w:t xml:space="preserve"> </w:t>
      </w:r>
      <w:r w:rsidR="00323457" w:rsidRPr="0059638B">
        <w:rPr>
          <w:color w:val="000000"/>
          <w:sz w:val="20"/>
          <w:szCs w:val="20"/>
          <w:lang w:eastAsia="en-GB" w:bidi="en-GB"/>
        </w:rPr>
        <w:t>only</w:t>
      </w:r>
      <w:r w:rsidR="00FF41A0">
        <w:rPr>
          <w:color w:val="000000"/>
          <w:sz w:val="20"/>
          <w:szCs w:val="20"/>
          <w:lang w:eastAsia="en-GB" w:bidi="en-GB"/>
        </w:rPr>
        <w:t xml:space="preserve"> </w:t>
      </w:r>
      <w:r w:rsidR="00323457" w:rsidRPr="0059638B">
        <w:rPr>
          <w:color w:val="000000"/>
          <w:sz w:val="20"/>
          <w:szCs w:val="20"/>
          <w:lang w:eastAsia="en-GB" w:bidi="en-GB"/>
        </w:rPr>
        <w:t>insofar</w:t>
      </w:r>
      <w:r w:rsidR="00FF41A0">
        <w:rPr>
          <w:color w:val="000000"/>
          <w:sz w:val="20"/>
          <w:szCs w:val="20"/>
          <w:lang w:eastAsia="en-GB" w:bidi="en-GB"/>
        </w:rPr>
        <w:t xml:space="preserve"> </w:t>
      </w:r>
      <w:r w:rsidR="00323457" w:rsidRPr="0059638B">
        <w:rPr>
          <w:color w:val="000000"/>
          <w:sz w:val="20"/>
          <w:szCs w:val="20"/>
          <w:lang w:eastAsia="en-GB" w:bidi="en-GB"/>
        </w:rPr>
        <w:t>as</w:t>
      </w:r>
      <w:r w:rsidR="00FF41A0">
        <w:rPr>
          <w:color w:val="000000"/>
          <w:sz w:val="20"/>
          <w:szCs w:val="20"/>
          <w:lang w:eastAsia="en-GB" w:bidi="en-GB"/>
        </w:rPr>
        <w:t xml:space="preserve"> </w:t>
      </w:r>
      <w:r w:rsidR="00323457" w:rsidRPr="0059638B">
        <w:rPr>
          <w:color w:val="000000"/>
          <w:sz w:val="20"/>
          <w:szCs w:val="20"/>
          <w:lang w:eastAsia="en-GB" w:bidi="en-GB"/>
        </w:rPr>
        <w:t>they</w:t>
      </w:r>
      <w:r w:rsidR="00FF41A0">
        <w:rPr>
          <w:color w:val="000000"/>
          <w:sz w:val="20"/>
          <w:szCs w:val="20"/>
          <w:lang w:eastAsia="en-GB" w:bidi="en-GB"/>
        </w:rPr>
        <w:t xml:space="preserve"> </w:t>
      </w:r>
      <w:r w:rsidR="00323457" w:rsidRPr="0059638B">
        <w:rPr>
          <w:color w:val="000000"/>
          <w:sz w:val="20"/>
          <w:szCs w:val="20"/>
          <w:lang w:eastAsia="en-GB" w:bidi="en-GB"/>
        </w:rPr>
        <w:t>are</w:t>
      </w:r>
      <w:r w:rsidR="00FF41A0">
        <w:rPr>
          <w:color w:val="000000"/>
          <w:sz w:val="20"/>
          <w:szCs w:val="20"/>
          <w:lang w:eastAsia="en-GB" w:bidi="en-GB"/>
        </w:rPr>
        <w:t xml:space="preserve"> </w:t>
      </w:r>
      <w:r w:rsidR="00323457" w:rsidRPr="0059638B">
        <w:rPr>
          <w:color w:val="000000"/>
          <w:sz w:val="20"/>
          <w:szCs w:val="20"/>
          <w:lang w:eastAsia="en-GB" w:bidi="en-GB"/>
        </w:rPr>
        <w:t>within</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framework</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its</w:t>
      </w:r>
      <w:r w:rsidR="00FF41A0">
        <w:rPr>
          <w:color w:val="000000"/>
          <w:sz w:val="20"/>
          <w:szCs w:val="20"/>
          <w:lang w:eastAsia="en-GB" w:bidi="en-GB"/>
        </w:rPr>
        <w:t xml:space="preserve"> </w:t>
      </w:r>
      <w:r w:rsidR="00323457" w:rsidRPr="0059638B">
        <w:rPr>
          <w:color w:val="000000"/>
          <w:sz w:val="20"/>
          <w:szCs w:val="20"/>
          <w:lang w:eastAsia="en-GB" w:bidi="en-GB"/>
        </w:rPr>
        <w:t>Constitution,</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a</w:t>
      </w:r>
      <w:r w:rsidR="00FF41A0">
        <w:rPr>
          <w:color w:val="000000"/>
          <w:sz w:val="20"/>
          <w:szCs w:val="20"/>
          <w:lang w:eastAsia="en-GB" w:bidi="en-GB"/>
        </w:rPr>
        <w:t xml:space="preserve"> </w:t>
      </w:r>
      <w:r w:rsidR="00323457" w:rsidRPr="0059638B">
        <w:rPr>
          <w:color w:val="000000"/>
          <w:sz w:val="20"/>
          <w:szCs w:val="20"/>
          <w:lang w:eastAsia="en-GB" w:bidi="en-GB"/>
        </w:rPr>
        <w:t>provision</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Constitution</w:t>
      </w:r>
      <w:r w:rsidR="00FF41A0">
        <w:rPr>
          <w:color w:val="000000"/>
          <w:sz w:val="20"/>
          <w:szCs w:val="20"/>
          <w:lang w:eastAsia="en-GB" w:bidi="en-GB"/>
        </w:rPr>
        <w:t xml:space="preserve"> </w:t>
      </w:r>
      <w:r w:rsidR="00323457" w:rsidRPr="0059638B">
        <w:rPr>
          <w:color w:val="000000"/>
          <w:sz w:val="20"/>
          <w:szCs w:val="20"/>
          <w:lang w:eastAsia="en-GB" w:bidi="en-GB"/>
        </w:rPr>
        <w:t>had</w:t>
      </w:r>
      <w:r w:rsidR="00FF41A0">
        <w:rPr>
          <w:color w:val="000000"/>
          <w:sz w:val="20"/>
          <w:szCs w:val="20"/>
          <w:lang w:eastAsia="en-GB" w:bidi="en-GB"/>
        </w:rPr>
        <w:t xml:space="preserve"> </w:t>
      </w:r>
      <w:r w:rsidR="00323457" w:rsidRPr="0059638B">
        <w:rPr>
          <w:color w:val="000000"/>
          <w:sz w:val="20"/>
          <w:szCs w:val="20"/>
          <w:lang w:eastAsia="en-GB" w:bidi="en-GB"/>
        </w:rPr>
        <w:t>been</w:t>
      </w:r>
      <w:r w:rsidR="00FF41A0">
        <w:rPr>
          <w:color w:val="000000"/>
          <w:sz w:val="20"/>
          <w:szCs w:val="20"/>
          <w:lang w:eastAsia="en-GB" w:bidi="en-GB"/>
        </w:rPr>
        <w:t xml:space="preserve"> </w:t>
      </w:r>
      <w:r w:rsidR="00323457" w:rsidRPr="0059638B">
        <w:rPr>
          <w:color w:val="000000"/>
          <w:sz w:val="20"/>
          <w:szCs w:val="20"/>
          <w:lang w:eastAsia="en-GB" w:bidi="en-GB"/>
        </w:rPr>
        <w:t>used</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prohibit</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free</w:t>
      </w:r>
      <w:r w:rsidR="00FF41A0">
        <w:rPr>
          <w:color w:val="000000"/>
          <w:sz w:val="20"/>
          <w:szCs w:val="20"/>
          <w:lang w:eastAsia="en-GB" w:bidi="en-GB"/>
        </w:rPr>
        <w:t xml:space="preserve"> </w:t>
      </w:r>
      <w:r w:rsidR="00323457" w:rsidRPr="0059638B">
        <w:rPr>
          <w:color w:val="000000"/>
          <w:sz w:val="20"/>
          <w:szCs w:val="20"/>
          <w:lang w:eastAsia="en-GB" w:bidi="en-GB"/>
        </w:rPr>
        <w:t>expression</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individuals</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manifestation</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religious</w:t>
      </w:r>
      <w:r w:rsidR="00FF41A0">
        <w:rPr>
          <w:color w:val="000000"/>
          <w:sz w:val="20"/>
          <w:szCs w:val="20"/>
          <w:lang w:eastAsia="en-GB" w:bidi="en-GB"/>
        </w:rPr>
        <w:t xml:space="preserve"> </w:t>
      </w:r>
      <w:r w:rsidR="00323457" w:rsidRPr="0059638B">
        <w:rPr>
          <w:color w:val="000000"/>
          <w:sz w:val="20"/>
          <w:szCs w:val="20"/>
          <w:lang w:eastAsia="en-GB" w:bidi="en-GB"/>
        </w:rPr>
        <w:t>practices</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minority</w:t>
      </w:r>
      <w:r w:rsidR="00FF41A0">
        <w:rPr>
          <w:color w:val="000000"/>
          <w:sz w:val="20"/>
          <w:szCs w:val="20"/>
          <w:lang w:eastAsia="en-GB" w:bidi="en-GB"/>
        </w:rPr>
        <w:t xml:space="preserve"> </w:t>
      </w:r>
      <w:r w:rsidR="00323457" w:rsidRPr="0059638B">
        <w:rPr>
          <w:color w:val="000000"/>
          <w:sz w:val="20"/>
          <w:szCs w:val="20"/>
          <w:lang w:eastAsia="en-GB" w:bidi="en-GB"/>
        </w:rPr>
        <w:t>religious</w:t>
      </w:r>
      <w:r w:rsidR="00FF41A0">
        <w:rPr>
          <w:color w:val="000000"/>
          <w:sz w:val="20"/>
          <w:szCs w:val="20"/>
          <w:lang w:eastAsia="en-GB" w:bidi="en-GB"/>
        </w:rPr>
        <w:t xml:space="preserve"> </w:t>
      </w:r>
      <w:r w:rsidR="00323457" w:rsidRPr="0059638B">
        <w:rPr>
          <w:color w:val="000000"/>
          <w:sz w:val="20"/>
          <w:szCs w:val="20"/>
          <w:lang w:eastAsia="en-GB" w:bidi="en-GB"/>
        </w:rPr>
        <w:t>groups.</w:t>
      </w:r>
      <w:r w:rsidR="00FF41A0">
        <w:rPr>
          <w:color w:val="000000"/>
          <w:sz w:val="20"/>
          <w:szCs w:val="20"/>
          <w:lang w:eastAsia="en-GB" w:bidi="en-GB"/>
        </w:rPr>
        <w:t xml:space="preserve"> </w:t>
      </w:r>
      <w:r w:rsidR="00323457" w:rsidRPr="0059638B">
        <w:rPr>
          <w:color w:val="000000"/>
          <w:sz w:val="20"/>
          <w:szCs w:val="20"/>
          <w:lang w:eastAsia="en-GB" w:bidi="en-GB"/>
        </w:rPr>
        <w:t>They</w:t>
      </w:r>
      <w:r w:rsidR="00FF41A0">
        <w:rPr>
          <w:color w:val="000000"/>
          <w:sz w:val="20"/>
          <w:szCs w:val="20"/>
          <w:lang w:eastAsia="en-GB" w:bidi="en-GB"/>
        </w:rPr>
        <w:t xml:space="preserve"> </w:t>
      </w:r>
      <w:r w:rsidR="00323457" w:rsidRPr="0059638B">
        <w:rPr>
          <w:color w:val="000000"/>
          <w:sz w:val="20"/>
          <w:szCs w:val="20"/>
          <w:lang w:eastAsia="en-GB" w:bidi="en-GB"/>
        </w:rPr>
        <w:t>expressed</w:t>
      </w:r>
      <w:r w:rsidR="00FF41A0">
        <w:rPr>
          <w:color w:val="000000"/>
          <w:sz w:val="20"/>
          <w:szCs w:val="20"/>
          <w:lang w:eastAsia="en-GB" w:bidi="en-GB"/>
        </w:rPr>
        <w:t xml:space="preserve"> </w:t>
      </w:r>
      <w:r w:rsidR="00323457" w:rsidRPr="0059638B">
        <w:rPr>
          <w:color w:val="000000"/>
          <w:sz w:val="20"/>
          <w:szCs w:val="20"/>
          <w:lang w:eastAsia="en-GB" w:bidi="en-GB"/>
        </w:rPr>
        <w:t>disappointment</w:t>
      </w:r>
      <w:r w:rsidR="00FF41A0">
        <w:rPr>
          <w:color w:val="000000"/>
          <w:sz w:val="20"/>
          <w:szCs w:val="20"/>
          <w:lang w:eastAsia="en-GB" w:bidi="en-GB"/>
        </w:rPr>
        <w:t xml:space="preserve"> </w:t>
      </w:r>
      <w:r w:rsidR="00323457" w:rsidRPr="0059638B">
        <w:rPr>
          <w:color w:val="000000"/>
          <w:sz w:val="20"/>
          <w:szCs w:val="20"/>
          <w:lang w:eastAsia="en-GB" w:bidi="en-GB"/>
        </w:rPr>
        <w:t>over</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rejection</w:t>
      </w:r>
      <w:r w:rsidR="00FF41A0">
        <w:rPr>
          <w:color w:val="000000"/>
          <w:sz w:val="20"/>
          <w:szCs w:val="20"/>
          <w:lang w:eastAsia="en-GB" w:bidi="en-GB"/>
        </w:rPr>
        <w:t xml:space="preserve"> </w:t>
      </w:r>
      <w:r w:rsidR="00323457" w:rsidRPr="0059638B">
        <w:rPr>
          <w:color w:val="000000"/>
          <w:sz w:val="20"/>
          <w:szCs w:val="20"/>
          <w:lang w:eastAsia="en-GB" w:bidi="en-GB"/>
        </w:rPr>
        <w:t>by</w:t>
      </w:r>
      <w:r w:rsidR="00FF41A0">
        <w:rPr>
          <w:color w:val="000000"/>
          <w:sz w:val="20"/>
          <w:szCs w:val="20"/>
          <w:lang w:eastAsia="en-GB" w:bidi="en-GB"/>
        </w:rPr>
        <w:t xml:space="preserve"> </w:t>
      </w:r>
      <w:r w:rsidR="00323457" w:rsidRPr="0059638B">
        <w:rPr>
          <w:color w:val="000000"/>
          <w:sz w:val="20"/>
          <w:szCs w:val="20"/>
          <w:lang w:eastAsia="en-GB" w:bidi="en-GB"/>
        </w:rPr>
        <w:t>Malaysia</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a</w:t>
      </w:r>
      <w:r w:rsidR="00FF41A0">
        <w:rPr>
          <w:color w:val="000000"/>
          <w:sz w:val="20"/>
          <w:szCs w:val="20"/>
          <w:lang w:eastAsia="en-GB" w:bidi="en-GB"/>
        </w:rPr>
        <w:t xml:space="preserve"> </w:t>
      </w:r>
      <w:r w:rsidR="00323457" w:rsidRPr="0059638B">
        <w:rPr>
          <w:color w:val="000000"/>
          <w:sz w:val="20"/>
          <w:szCs w:val="20"/>
          <w:lang w:eastAsia="en-GB" w:bidi="en-GB"/>
        </w:rPr>
        <w:t>recommendation</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amend</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national</w:t>
      </w:r>
      <w:r w:rsidR="00FF41A0">
        <w:rPr>
          <w:color w:val="000000"/>
          <w:sz w:val="20"/>
          <w:szCs w:val="20"/>
          <w:lang w:eastAsia="en-GB" w:bidi="en-GB"/>
        </w:rPr>
        <w:t xml:space="preserve"> </w:t>
      </w:r>
      <w:r w:rsidR="00323457" w:rsidRPr="0059638B">
        <w:rPr>
          <w:color w:val="000000"/>
          <w:sz w:val="20"/>
          <w:szCs w:val="20"/>
          <w:lang w:eastAsia="en-GB" w:bidi="en-GB"/>
        </w:rPr>
        <w:t>registration</w:t>
      </w:r>
      <w:r w:rsidR="00FF41A0">
        <w:rPr>
          <w:color w:val="000000"/>
          <w:sz w:val="20"/>
          <w:szCs w:val="20"/>
          <w:lang w:eastAsia="en-GB" w:bidi="en-GB"/>
        </w:rPr>
        <w:t xml:space="preserve"> </w:t>
      </w:r>
      <w:r w:rsidR="00323457" w:rsidRPr="0059638B">
        <w:rPr>
          <w:color w:val="000000"/>
          <w:sz w:val="20"/>
          <w:szCs w:val="20"/>
          <w:lang w:eastAsia="en-GB" w:bidi="en-GB"/>
        </w:rPr>
        <w:t>act</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remove</w:t>
      </w:r>
      <w:r w:rsidR="00FF41A0">
        <w:rPr>
          <w:color w:val="000000"/>
          <w:sz w:val="20"/>
          <w:szCs w:val="20"/>
          <w:lang w:eastAsia="en-GB" w:bidi="en-GB"/>
        </w:rPr>
        <w:t xml:space="preserve"> </w:t>
      </w:r>
      <w:r w:rsidR="00323457" w:rsidRPr="0059638B">
        <w:rPr>
          <w:color w:val="000000"/>
          <w:sz w:val="20"/>
          <w:szCs w:val="20"/>
          <w:lang w:eastAsia="en-GB" w:bidi="en-GB"/>
        </w:rPr>
        <w:t>all</w:t>
      </w:r>
      <w:r w:rsidR="00FF41A0">
        <w:rPr>
          <w:color w:val="000000"/>
          <w:sz w:val="20"/>
          <w:szCs w:val="20"/>
          <w:lang w:eastAsia="en-GB" w:bidi="en-GB"/>
        </w:rPr>
        <w:t xml:space="preserve"> </w:t>
      </w:r>
      <w:r w:rsidR="00323457" w:rsidRPr="0059638B">
        <w:rPr>
          <w:color w:val="000000"/>
          <w:sz w:val="20"/>
          <w:szCs w:val="20"/>
          <w:lang w:eastAsia="en-GB" w:bidi="en-GB"/>
        </w:rPr>
        <w:t>references</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religion</w:t>
      </w:r>
      <w:r w:rsidR="00FF41A0">
        <w:rPr>
          <w:color w:val="000000"/>
          <w:sz w:val="20"/>
          <w:szCs w:val="20"/>
          <w:lang w:eastAsia="en-GB" w:bidi="en-GB"/>
        </w:rPr>
        <w:t xml:space="preserve"> </w:t>
      </w:r>
      <w:r w:rsidR="00323457" w:rsidRPr="0059638B">
        <w:rPr>
          <w:color w:val="000000"/>
          <w:sz w:val="20"/>
          <w:szCs w:val="20"/>
          <w:lang w:eastAsia="en-GB" w:bidi="en-GB"/>
        </w:rPr>
        <w:t>on</w:t>
      </w:r>
      <w:r w:rsidR="00FF41A0">
        <w:rPr>
          <w:color w:val="000000"/>
          <w:sz w:val="20"/>
          <w:szCs w:val="20"/>
          <w:lang w:eastAsia="en-GB" w:bidi="en-GB"/>
        </w:rPr>
        <w:t xml:space="preserve"> </w:t>
      </w:r>
      <w:r w:rsidR="00323457" w:rsidRPr="0059638B">
        <w:rPr>
          <w:color w:val="000000"/>
          <w:sz w:val="20"/>
          <w:szCs w:val="20"/>
          <w:lang w:eastAsia="en-GB" w:bidi="en-GB"/>
        </w:rPr>
        <w:t>identity</w:t>
      </w:r>
      <w:r w:rsidR="00FF41A0">
        <w:rPr>
          <w:color w:val="000000"/>
          <w:sz w:val="20"/>
          <w:szCs w:val="20"/>
          <w:lang w:eastAsia="en-GB" w:bidi="en-GB"/>
        </w:rPr>
        <w:t xml:space="preserve"> </w:t>
      </w:r>
      <w:r w:rsidR="00323457" w:rsidRPr="0059638B">
        <w:rPr>
          <w:color w:val="000000"/>
          <w:sz w:val="20"/>
          <w:szCs w:val="20"/>
          <w:lang w:eastAsia="en-GB" w:bidi="en-GB"/>
        </w:rPr>
        <w:t>cards.</w:t>
      </w:r>
      <w:r w:rsidR="00FF41A0">
        <w:rPr>
          <w:color w:val="000000"/>
          <w:sz w:val="20"/>
          <w:szCs w:val="20"/>
          <w:lang w:eastAsia="en-GB" w:bidi="en-GB"/>
        </w:rPr>
        <w:t xml:space="preserve"> </w:t>
      </w:r>
    </w:p>
    <w:p w14:paraId="6DB634E2" w14:textId="1C216E52" w:rsidR="00323457" w:rsidRPr="0059638B" w:rsidRDefault="00972F1E" w:rsidP="00323457">
      <w:pPr>
        <w:pStyle w:val="SingleTxtG"/>
        <w:rPr>
          <w:color w:val="000000"/>
          <w:sz w:val="20"/>
          <w:szCs w:val="20"/>
          <w:lang w:eastAsia="en-GB" w:bidi="en-GB"/>
        </w:rPr>
      </w:pPr>
      <w:r>
        <w:rPr>
          <w:color w:val="000000"/>
          <w:sz w:val="20"/>
          <w:szCs w:val="20"/>
          <w:lang w:eastAsia="en-GB" w:bidi="en-GB"/>
        </w:rPr>
        <w:t>663</w:t>
      </w:r>
      <w:r w:rsidR="00D7475F">
        <w:rPr>
          <w:color w:val="000000"/>
          <w:sz w:val="20"/>
          <w:szCs w:val="20"/>
          <w:lang w:eastAsia="en-GB" w:bidi="en-GB"/>
        </w:rPr>
        <w:t>.</w:t>
      </w:r>
      <w:r w:rsidR="00D7475F">
        <w:rPr>
          <w:color w:val="000000"/>
          <w:sz w:val="20"/>
          <w:szCs w:val="20"/>
          <w:lang w:eastAsia="en-GB" w:bidi="en-GB"/>
        </w:rPr>
        <w:tab/>
      </w:r>
      <w:r w:rsidR="00323457" w:rsidRPr="0059638B">
        <w:rPr>
          <w:color w:val="000000"/>
          <w:sz w:val="20"/>
          <w:szCs w:val="20"/>
          <w:lang w:eastAsia="en-GB" w:bidi="en-GB"/>
        </w:rPr>
        <w:t>VIVAT</w:t>
      </w:r>
      <w:r w:rsidR="00FF41A0">
        <w:rPr>
          <w:color w:val="000000"/>
          <w:sz w:val="20"/>
          <w:szCs w:val="20"/>
          <w:lang w:eastAsia="en-GB" w:bidi="en-GB"/>
        </w:rPr>
        <w:t xml:space="preserve"> </w:t>
      </w:r>
      <w:r w:rsidR="00323457" w:rsidRPr="0059638B">
        <w:rPr>
          <w:color w:val="000000"/>
          <w:sz w:val="20"/>
          <w:szCs w:val="20"/>
          <w:lang w:eastAsia="en-GB" w:bidi="en-GB"/>
        </w:rPr>
        <w:t>International,</w:t>
      </w:r>
      <w:r w:rsidR="00FF41A0">
        <w:rPr>
          <w:color w:val="000000"/>
          <w:sz w:val="20"/>
          <w:szCs w:val="20"/>
          <w:lang w:eastAsia="en-GB" w:bidi="en-GB"/>
        </w:rPr>
        <w:t xml:space="preserve"> </w:t>
      </w:r>
      <w:r w:rsidR="00323457" w:rsidRPr="0059638B">
        <w:rPr>
          <w:color w:val="000000"/>
          <w:sz w:val="20"/>
          <w:szCs w:val="20"/>
          <w:lang w:eastAsia="en-GB" w:bidi="en-GB"/>
        </w:rPr>
        <w:t>in</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joint</w:t>
      </w:r>
      <w:r w:rsidR="00FF41A0">
        <w:rPr>
          <w:color w:val="000000"/>
          <w:sz w:val="20"/>
          <w:szCs w:val="20"/>
          <w:lang w:eastAsia="en-GB" w:bidi="en-GB"/>
        </w:rPr>
        <w:t xml:space="preserve"> </w:t>
      </w:r>
      <w:r w:rsidR="00323457" w:rsidRPr="0059638B">
        <w:rPr>
          <w:color w:val="000000"/>
          <w:sz w:val="20"/>
          <w:szCs w:val="20"/>
          <w:lang w:eastAsia="en-GB" w:bidi="en-GB"/>
        </w:rPr>
        <w:t>statement</w:t>
      </w:r>
      <w:r w:rsidR="00FF41A0">
        <w:rPr>
          <w:color w:val="000000"/>
          <w:sz w:val="20"/>
          <w:szCs w:val="20"/>
          <w:lang w:eastAsia="en-GB" w:bidi="en-GB"/>
        </w:rPr>
        <w:t xml:space="preserve"> </w:t>
      </w:r>
      <w:r w:rsidR="00323457" w:rsidRPr="0059638B">
        <w:rPr>
          <w:color w:val="000000"/>
          <w:sz w:val="20"/>
          <w:szCs w:val="20"/>
          <w:lang w:eastAsia="en-GB" w:bidi="en-GB"/>
        </w:rPr>
        <w:t>with</w:t>
      </w:r>
      <w:r w:rsidR="00FF41A0">
        <w:rPr>
          <w:color w:val="000000"/>
          <w:sz w:val="20"/>
          <w:szCs w:val="20"/>
          <w:lang w:eastAsia="en-GB" w:bidi="en-GB"/>
        </w:rPr>
        <w:t xml:space="preserve"> </w:t>
      </w:r>
      <w:r w:rsidR="00323457" w:rsidRPr="0059638B">
        <w:rPr>
          <w:color w:val="000000"/>
          <w:sz w:val="20"/>
          <w:szCs w:val="20"/>
          <w:lang w:eastAsia="en-GB" w:bidi="en-GB"/>
        </w:rPr>
        <w:t>Franciscans</w:t>
      </w:r>
      <w:r w:rsidR="00FF41A0">
        <w:rPr>
          <w:color w:val="000000"/>
          <w:sz w:val="20"/>
          <w:szCs w:val="20"/>
          <w:lang w:eastAsia="en-GB" w:bidi="en-GB"/>
        </w:rPr>
        <w:t xml:space="preserve"> </w:t>
      </w:r>
      <w:r w:rsidR="00323457" w:rsidRPr="0059638B">
        <w:rPr>
          <w:color w:val="000000"/>
          <w:sz w:val="20"/>
          <w:szCs w:val="20"/>
          <w:lang w:eastAsia="en-GB" w:bidi="en-GB"/>
        </w:rPr>
        <w:t>International,</w:t>
      </w:r>
      <w:r w:rsidR="00FF41A0">
        <w:rPr>
          <w:color w:val="000000"/>
          <w:sz w:val="20"/>
          <w:szCs w:val="20"/>
          <w:lang w:eastAsia="en-GB" w:bidi="en-GB"/>
        </w:rPr>
        <w:t xml:space="preserve"> </w:t>
      </w:r>
      <w:r w:rsidR="00323457" w:rsidRPr="0059638B">
        <w:rPr>
          <w:color w:val="000000"/>
          <w:sz w:val="20"/>
          <w:szCs w:val="20"/>
          <w:lang w:eastAsia="en-GB" w:bidi="en-GB"/>
        </w:rPr>
        <w:t>was</w:t>
      </w:r>
      <w:r w:rsidR="00FF41A0">
        <w:rPr>
          <w:color w:val="000000"/>
          <w:sz w:val="20"/>
          <w:szCs w:val="20"/>
          <w:lang w:eastAsia="en-GB" w:bidi="en-GB"/>
        </w:rPr>
        <w:t xml:space="preserve"> </w:t>
      </w:r>
      <w:r w:rsidR="00323457" w:rsidRPr="0059638B">
        <w:rPr>
          <w:color w:val="000000"/>
          <w:sz w:val="20"/>
          <w:szCs w:val="20"/>
          <w:lang w:eastAsia="en-GB" w:bidi="en-GB"/>
        </w:rPr>
        <w:t>concerned</w:t>
      </w:r>
      <w:r w:rsidR="00FF41A0">
        <w:rPr>
          <w:color w:val="000000"/>
          <w:sz w:val="20"/>
          <w:szCs w:val="20"/>
          <w:lang w:eastAsia="en-GB" w:bidi="en-GB"/>
        </w:rPr>
        <w:t xml:space="preserve"> </w:t>
      </w:r>
      <w:r w:rsidR="00323457" w:rsidRPr="0059638B">
        <w:rPr>
          <w:color w:val="000000"/>
          <w:sz w:val="20"/>
          <w:szCs w:val="20"/>
          <w:lang w:eastAsia="en-GB" w:bidi="en-GB"/>
        </w:rPr>
        <w:t>about</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human</w:t>
      </w:r>
      <w:r w:rsidR="00FF41A0">
        <w:rPr>
          <w:color w:val="000000"/>
          <w:sz w:val="20"/>
          <w:szCs w:val="20"/>
          <w:lang w:eastAsia="en-GB" w:bidi="en-GB"/>
        </w:rPr>
        <w:t xml:space="preserve"> </w:t>
      </w:r>
      <w:r w:rsidR="00323457" w:rsidRPr="0059638B">
        <w:rPr>
          <w:color w:val="000000"/>
          <w:sz w:val="20"/>
          <w:szCs w:val="20"/>
          <w:lang w:eastAsia="en-GB" w:bidi="en-GB"/>
        </w:rPr>
        <w:t>rights</w:t>
      </w:r>
      <w:r w:rsidR="00FF41A0">
        <w:rPr>
          <w:color w:val="000000"/>
          <w:sz w:val="20"/>
          <w:szCs w:val="20"/>
          <w:lang w:eastAsia="en-GB" w:bidi="en-GB"/>
        </w:rPr>
        <w:t xml:space="preserve"> </w:t>
      </w:r>
      <w:r w:rsidR="00323457" w:rsidRPr="0059638B">
        <w:rPr>
          <w:color w:val="000000"/>
          <w:sz w:val="20"/>
          <w:szCs w:val="20"/>
          <w:lang w:eastAsia="en-GB" w:bidi="en-GB"/>
        </w:rPr>
        <w:t>situation</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migrant</w:t>
      </w:r>
      <w:r w:rsidR="00FF41A0">
        <w:rPr>
          <w:color w:val="000000"/>
          <w:sz w:val="20"/>
          <w:szCs w:val="20"/>
          <w:lang w:eastAsia="en-GB" w:bidi="en-GB"/>
        </w:rPr>
        <w:t xml:space="preserve"> </w:t>
      </w:r>
      <w:r w:rsidR="00323457" w:rsidRPr="0059638B">
        <w:rPr>
          <w:color w:val="000000"/>
          <w:sz w:val="20"/>
          <w:szCs w:val="20"/>
          <w:lang w:eastAsia="en-GB" w:bidi="en-GB"/>
        </w:rPr>
        <w:t>workers</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victims</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trafficking</w:t>
      </w:r>
      <w:r w:rsidR="00FF41A0">
        <w:rPr>
          <w:color w:val="000000"/>
          <w:sz w:val="20"/>
          <w:szCs w:val="20"/>
          <w:lang w:eastAsia="en-GB" w:bidi="en-GB"/>
        </w:rPr>
        <w:t xml:space="preserve"> </w:t>
      </w:r>
      <w:r w:rsidR="00323457" w:rsidRPr="0059638B">
        <w:rPr>
          <w:color w:val="000000"/>
          <w:sz w:val="20"/>
          <w:szCs w:val="20"/>
          <w:lang w:eastAsia="en-GB" w:bidi="en-GB"/>
        </w:rPr>
        <w:t>in</w:t>
      </w:r>
      <w:r w:rsidR="00FF41A0">
        <w:rPr>
          <w:color w:val="000000"/>
          <w:sz w:val="20"/>
          <w:szCs w:val="20"/>
          <w:lang w:eastAsia="en-GB" w:bidi="en-GB"/>
        </w:rPr>
        <w:t xml:space="preserve"> </w:t>
      </w:r>
      <w:r w:rsidR="00323457" w:rsidRPr="0059638B">
        <w:rPr>
          <w:color w:val="000000"/>
          <w:sz w:val="20"/>
          <w:szCs w:val="20"/>
          <w:lang w:eastAsia="en-GB" w:bidi="en-GB"/>
        </w:rPr>
        <w:t>persons.</w:t>
      </w:r>
      <w:r w:rsidR="00FF41A0">
        <w:rPr>
          <w:color w:val="000000"/>
          <w:sz w:val="20"/>
          <w:szCs w:val="20"/>
          <w:lang w:eastAsia="en-GB" w:bidi="en-GB"/>
        </w:rPr>
        <w:t xml:space="preserve"> </w:t>
      </w:r>
      <w:r w:rsidR="00323457" w:rsidRPr="0059638B">
        <w:rPr>
          <w:color w:val="000000"/>
          <w:sz w:val="20"/>
          <w:szCs w:val="20"/>
          <w:lang w:eastAsia="en-GB" w:bidi="en-GB"/>
        </w:rPr>
        <w:t>They</w:t>
      </w:r>
      <w:r w:rsidR="00FF41A0">
        <w:rPr>
          <w:color w:val="000000"/>
          <w:sz w:val="20"/>
          <w:szCs w:val="20"/>
          <w:lang w:eastAsia="en-GB" w:bidi="en-GB"/>
        </w:rPr>
        <w:t xml:space="preserve"> </w:t>
      </w:r>
      <w:r w:rsidR="00323457" w:rsidRPr="0059638B">
        <w:rPr>
          <w:color w:val="000000"/>
          <w:sz w:val="20"/>
          <w:szCs w:val="20"/>
          <w:lang w:eastAsia="en-GB" w:bidi="en-GB"/>
        </w:rPr>
        <w:t>reported</w:t>
      </w:r>
      <w:r w:rsidR="00FF41A0">
        <w:rPr>
          <w:color w:val="000000"/>
          <w:sz w:val="20"/>
          <w:szCs w:val="20"/>
          <w:lang w:eastAsia="en-GB" w:bidi="en-GB"/>
        </w:rPr>
        <w:t xml:space="preserve"> </w:t>
      </w:r>
      <w:r w:rsidR="00323457" w:rsidRPr="0059638B">
        <w:rPr>
          <w:color w:val="000000"/>
          <w:sz w:val="20"/>
          <w:szCs w:val="20"/>
          <w:lang w:eastAsia="en-GB" w:bidi="en-GB"/>
        </w:rPr>
        <w:t>that,</w:t>
      </w:r>
      <w:r w:rsidR="00FF41A0">
        <w:rPr>
          <w:color w:val="000000"/>
          <w:sz w:val="20"/>
          <w:szCs w:val="20"/>
          <w:lang w:eastAsia="en-GB" w:bidi="en-GB"/>
        </w:rPr>
        <w:t xml:space="preserve"> </w:t>
      </w:r>
      <w:r w:rsidR="00323457" w:rsidRPr="0059638B">
        <w:rPr>
          <w:color w:val="000000"/>
          <w:sz w:val="20"/>
          <w:szCs w:val="20"/>
          <w:lang w:eastAsia="en-GB" w:bidi="en-GB"/>
        </w:rPr>
        <w:t>based</w:t>
      </w:r>
      <w:r w:rsidR="00FF41A0">
        <w:rPr>
          <w:color w:val="000000"/>
          <w:sz w:val="20"/>
          <w:szCs w:val="20"/>
          <w:lang w:eastAsia="en-GB" w:bidi="en-GB"/>
        </w:rPr>
        <w:t xml:space="preserve"> </w:t>
      </w:r>
      <w:r w:rsidR="00323457" w:rsidRPr="0059638B">
        <w:rPr>
          <w:color w:val="000000"/>
          <w:sz w:val="20"/>
          <w:szCs w:val="20"/>
          <w:lang w:eastAsia="en-GB" w:bidi="en-GB"/>
        </w:rPr>
        <w:t>on</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available</w:t>
      </w:r>
      <w:r w:rsidR="00FF41A0">
        <w:rPr>
          <w:color w:val="000000"/>
          <w:sz w:val="20"/>
          <w:szCs w:val="20"/>
          <w:lang w:eastAsia="en-GB" w:bidi="en-GB"/>
        </w:rPr>
        <w:t xml:space="preserve"> </w:t>
      </w:r>
      <w:r w:rsidR="00323457" w:rsidRPr="0059638B">
        <w:rPr>
          <w:color w:val="000000"/>
          <w:sz w:val="20"/>
          <w:szCs w:val="20"/>
          <w:lang w:eastAsia="en-GB" w:bidi="en-GB"/>
        </w:rPr>
        <w:t>data</w:t>
      </w:r>
      <w:r w:rsidR="00FF41A0">
        <w:rPr>
          <w:color w:val="000000"/>
          <w:sz w:val="20"/>
          <w:szCs w:val="20"/>
          <w:lang w:eastAsia="en-GB" w:bidi="en-GB"/>
        </w:rPr>
        <w:t xml:space="preserve"> </w:t>
      </w:r>
      <w:r w:rsidR="00323457" w:rsidRPr="0059638B">
        <w:rPr>
          <w:color w:val="000000"/>
          <w:sz w:val="20"/>
          <w:szCs w:val="20"/>
          <w:lang w:eastAsia="en-GB" w:bidi="en-GB"/>
        </w:rPr>
        <w:t>for</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period</w:t>
      </w:r>
      <w:r w:rsidR="00FF41A0">
        <w:rPr>
          <w:color w:val="000000"/>
          <w:sz w:val="20"/>
          <w:szCs w:val="20"/>
          <w:lang w:eastAsia="en-GB" w:bidi="en-GB"/>
        </w:rPr>
        <w:t xml:space="preserve"> </w:t>
      </w:r>
      <w:r w:rsidR="00323457" w:rsidRPr="0059638B">
        <w:rPr>
          <w:color w:val="000000"/>
          <w:sz w:val="20"/>
          <w:szCs w:val="20"/>
          <w:lang w:eastAsia="en-GB" w:bidi="en-GB"/>
        </w:rPr>
        <w:t>from</w:t>
      </w:r>
      <w:r w:rsidR="00FF41A0">
        <w:rPr>
          <w:color w:val="000000"/>
          <w:sz w:val="20"/>
          <w:szCs w:val="20"/>
          <w:lang w:eastAsia="en-GB" w:bidi="en-GB"/>
        </w:rPr>
        <w:t xml:space="preserve"> </w:t>
      </w:r>
      <w:r w:rsidR="00323457" w:rsidRPr="0059638B">
        <w:rPr>
          <w:color w:val="000000"/>
          <w:sz w:val="20"/>
          <w:szCs w:val="20"/>
          <w:lang w:eastAsia="en-GB" w:bidi="en-GB"/>
        </w:rPr>
        <w:t>2013</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2018,</w:t>
      </w:r>
      <w:r w:rsidR="00FF41A0">
        <w:rPr>
          <w:color w:val="000000"/>
          <w:sz w:val="20"/>
          <w:szCs w:val="20"/>
          <w:lang w:eastAsia="en-GB" w:bidi="en-GB"/>
        </w:rPr>
        <w:t xml:space="preserve"> </w:t>
      </w:r>
      <w:r w:rsidR="00323457" w:rsidRPr="0059638B">
        <w:rPr>
          <w:color w:val="000000"/>
          <w:sz w:val="20"/>
          <w:szCs w:val="20"/>
          <w:lang w:eastAsia="en-GB" w:bidi="en-GB"/>
        </w:rPr>
        <w:t>34</w:t>
      </w:r>
      <w:r w:rsidR="00FF41A0">
        <w:rPr>
          <w:color w:val="000000"/>
          <w:sz w:val="20"/>
          <w:szCs w:val="20"/>
          <w:lang w:eastAsia="en-GB" w:bidi="en-GB"/>
        </w:rPr>
        <w:t xml:space="preserve"> </w:t>
      </w:r>
      <w:r w:rsidR="00323457" w:rsidRPr="0059638B">
        <w:rPr>
          <w:color w:val="000000"/>
          <w:sz w:val="20"/>
          <w:szCs w:val="20"/>
          <w:lang w:eastAsia="en-GB" w:bidi="en-GB"/>
        </w:rPr>
        <w:t>per</w:t>
      </w:r>
      <w:r w:rsidR="00FF41A0">
        <w:rPr>
          <w:color w:val="000000"/>
          <w:sz w:val="20"/>
          <w:szCs w:val="20"/>
          <w:lang w:eastAsia="en-GB" w:bidi="en-GB"/>
        </w:rPr>
        <w:t xml:space="preserve"> </w:t>
      </w:r>
      <w:r w:rsidR="00323457" w:rsidRPr="0059638B">
        <w:rPr>
          <w:color w:val="000000"/>
          <w:sz w:val="20"/>
          <w:szCs w:val="20"/>
          <w:lang w:eastAsia="en-GB" w:bidi="en-GB"/>
        </w:rPr>
        <w:t>cent</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migrant</w:t>
      </w:r>
      <w:r w:rsidR="00FF41A0">
        <w:rPr>
          <w:color w:val="000000"/>
          <w:sz w:val="20"/>
          <w:szCs w:val="20"/>
          <w:lang w:eastAsia="en-GB" w:bidi="en-GB"/>
        </w:rPr>
        <w:t xml:space="preserve"> </w:t>
      </w:r>
      <w:r w:rsidR="00323457" w:rsidRPr="0059638B">
        <w:rPr>
          <w:color w:val="000000"/>
          <w:sz w:val="20"/>
          <w:szCs w:val="20"/>
          <w:lang w:eastAsia="en-GB" w:bidi="en-GB"/>
        </w:rPr>
        <w:t>workers</w:t>
      </w:r>
      <w:r w:rsidR="00FF41A0">
        <w:rPr>
          <w:color w:val="000000"/>
          <w:sz w:val="20"/>
          <w:szCs w:val="20"/>
          <w:lang w:eastAsia="en-GB" w:bidi="en-GB"/>
        </w:rPr>
        <w:t xml:space="preserve"> </w:t>
      </w:r>
      <w:r w:rsidR="00323457" w:rsidRPr="0059638B">
        <w:rPr>
          <w:color w:val="000000"/>
          <w:sz w:val="20"/>
          <w:szCs w:val="20"/>
          <w:lang w:eastAsia="en-GB" w:bidi="en-GB"/>
        </w:rPr>
        <w:t>who</w:t>
      </w:r>
      <w:r w:rsidR="00FF41A0">
        <w:rPr>
          <w:color w:val="000000"/>
          <w:sz w:val="20"/>
          <w:szCs w:val="20"/>
          <w:lang w:eastAsia="en-GB" w:bidi="en-GB"/>
        </w:rPr>
        <w:t xml:space="preserve"> </w:t>
      </w:r>
      <w:r w:rsidR="00323457" w:rsidRPr="0059638B">
        <w:rPr>
          <w:color w:val="000000"/>
          <w:sz w:val="20"/>
          <w:szCs w:val="20"/>
          <w:lang w:eastAsia="en-GB" w:bidi="en-GB"/>
        </w:rPr>
        <w:t>had</w:t>
      </w:r>
      <w:r w:rsidR="00FF41A0">
        <w:rPr>
          <w:color w:val="000000"/>
          <w:sz w:val="20"/>
          <w:szCs w:val="20"/>
          <w:lang w:eastAsia="en-GB" w:bidi="en-GB"/>
        </w:rPr>
        <w:t xml:space="preserve"> </w:t>
      </w:r>
      <w:r w:rsidR="00323457" w:rsidRPr="0059638B">
        <w:rPr>
          <w:color w:val="000000"/>
          <w:sz w:val="20"/>
          <w:szCs w:val="20"/>
          <w:lang w:eastAsia="en-GB" w:bidi="en-GB"/>
        </w:rPr>
        <w:t>worked</w:t>
      </w:r>
      <w:r w:rsidR="00FF41A0">
        <w:rPr>
          <w:color w:val="000000"/>
          <w:sz w:val="20"/>
          <w:szCs w:val="20"/>
          <w:lang w:eastAsia="en-GB" w:bidi="en-GB"/>
        </w:rPr>
        <w:t xml:space="preserve"> </w:t>
      </w:r>
      <w:r w:rsidR="00323457" w:rsidRPr="0059638B">
        <w:rPr>
          <w:color w:val="000000"/>
          <w:sz w:val="20"/>
          <w:szCs w:val="20"/>
          <w:lang w:eastAsia="en-GB" w:bidi="en-GB"/>
        </w:rPr>
        <w:t>in</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domestic</w:t>
      </w:r>
      <w:r w:rsidR="00FF41A0">
        <w:rPr>
          <w:color w:val="000000"/>
          <w:sz w:val="20"/>
          <w:szCs w:val="20"/>
          <w:lang w:eastAsia="en-GB" w:bidi="en-GB"/>
        </w:rPr>
        <w:t xml:space="preserve"> </w:t>
      </w:r>
      <w:r w:rsidR="00323457" w:rsidRPr="0059638B">
        <w:rPr>
          <w:color w:val="000000"/>
          <w:sz w:val="20"/>
          <w:szCs w:val="20"/>
          <w:lang w:eastAsia="en-GB" w:bidi="en-GB"/>
        </w:rPr>
        <w:t>sector</w:t>
      </w:r>
      <w:r w:rsidR="00FF41A0">
        <w:rPr>
          <w:color w:val="000000"/>
          <w:sz w:val="20"/>
          <w:szCs w:val="20"/>
          <w:lang w:eastAsia="en-GB" w:bidi="en-GB"/>
        </w:rPr>
        <w:t xml:space="preserve"> </w:t>
      </w:r>
      <w:r w:rsidR="00323457" w:rsidRPr="0059638B">
        <w:rPr>
          <w:color w:val="000000"/>
          <w:sz w:val="20"/>
          <w:szCs w:val="20"/>
          <w:lang w:eastAsia="en-GB" w:bidi="en-GB"/>
        </w:rPr>
        <w:t>in</w:t>
      </w:r>
      <w:r w:rsidR="00FF41A0">
        <w:rPr>
          <w:color w:val="000000"/>
          <w:sz w:val="20"/>
          <w:szCs w:val="20"/>
          <w:lang w:eastAsia="en-GB" w:bidi="en-GB"/>
        </w:rPr>
        <w:t xml:space="preserve"> </w:t>
      </w:r>
      <w:r w:rsidR="00323457" w:rsidRPr="0059638B">
        <w:rPr>
          <w:color w:val="000000"/>
          <w:sz w:val="20"/>
          <w:szCs w:val="20"/>
          <w:lang w:eastAsia="en-GB" w:bidi="en-GB"/>
        </w:rPr>
        <w:t>Malaysia</w:t>
      </w:r>
      <w:r w:rsidR="00FF41A0">
        <w:rPr>
          <w:color w:val="000000"/>
          <w:sz w:val="20"/>
          <w:szCs w:val="20"/>
          <w:lang w:eastAsia="en-GB" w:bidi="en-GB"/>
        </w:rPr>
        <w:t xml:space="preserve"> </w:t>
      </w:r>
      <w:r w:rsidR="00323457" w:rsidRPr="0059638B">
        <w:rPr>
          <w:color w:val="000000"/>
          <w:sz w:val="20"/>
          <w:szCs w:val="20"/>
          <w:lang w:eastAsia="en-GB" w:bidi="en-GB"/>
        </w:rPr>
        <w:t>were</w:t>
      </w:r>
      <w:r w:rsidR="00FF41A0">
        <w:rPr>
          <w:color w:val="000000"/>
          <w:sz w:val="20"/>
          <w:szCs w:val="20"/>
          <w:lang w:eastAsia="en-GB" w:bidi="en-GB"/>
        </w:rPr>
        <w:t xml:space="preserve"> </w:t>
      </w:r>
      <w:r w:rsidR="00323457" w:rsidRPr="0059638B">
        <w:rPr>
          <w:color w:val="000000"/>
          <w:sz w:val="20"/>
          <w:szCs w:val="20"/>
          <w:lang w:eastAsia="en-GB" w:bidi="en-GB"/>
        </w:rPr>
        <w:t>Indonesian</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these,</w:t>
      </w:r>
      <w:r w:rsidR="00FF41A0">
        <w:rPr>
          <w:color w:val="000000"/>
          <w:sz w:val="20"/>
          <w:szCs w:val="20"/>
          <w:lang w:eastAsia="en-GB" w:bidi="en-GB"/>
        </w:rPr>
        <w:t xml:space="preserve"> </w:t>
      </w:r>
      <w:r w:rsidR="00323457" w:rsidRPr="0059638B">
        <w:rPr>
          <w:color w:val="000000"/>
          <w:sz w:val="20"/>
          <w:szCs w:val="20"/>
          <w:lang w:eastAsia="en-GB" w:bidi="en-GB"/>
        </w:rPr>
        <w:t>99</w:t>
      </w:r>
      <w:r w:rsidR="00FF41A0">
        <w:rPr>
          <w:color w:val="000000"/>
          <w:sz w:val="20"/>
          <w:szCs w:val="20"/>
          <w:lang w:eastAsia="en-GB" w:bidi="en-GB"/>
        </w:rPr>
        <w:t xml:space="preserve"> </w:t>
      </w:r>
      <w:r w:rsidR="00323457" w:rsidRPr="0059638B">
        <w:rPr>
          <w:color w:val="000000"/>
          <w:sz w:val="20"/>
          <w:szCs w:val="20"/>
          <w:lang w:eastAsia="en-GB" w:bidi="en-GB"/>
        </w:rPr>
        <w:t>per</w:t>
      </w:r>
      <w:r w:rsidR="00FF41A0">
        <w:rPr>
          <w:color w:val="000000"/>
          <w:sz w:val="20"/>
          <w:szCs w:val="20"/>
          <w:lang w:eastAsia="en-GB" w:bidi="en-GB"/>
        </w:rPr>
        <w:t xml:space="preserve"> </w:t>
      </w:r>
      <w:r w:rsidR="00323457" w:rsidRPr="0059638B">
        <w:rPr>
          <w:color w:val="000000"/>
          <w:sz w:val="20"/>
          <w:szCs w:val="20"/>
          <w:lang w:eastAsia="en-GB" w:bidi="en-GB"/>
        </w:rPr>
        <w:t>cent</w:t>
      </w:r>
      <w:r w:rsidR="00FF41A0">
        <w:rPr>
          <w:color w:val="000000"/>
          <w:sz w:val="20"/>
          <w:szCs w:val="20"/>
          <w:lang w:eastAsia="en-GB" w:bidi="en-GB"/>
        </w:rPr>
        <w:t xml:space="preserve"> </w:t>
      </w:r>
      <w:r w:rsidR="00323457" w:rsidRPr="0059638B">
        <w:rPr>
          <w:color w:val="000000"/>
          <w:sz w:val="20"/>
          <w:szCs w:val="20"/>
          <w:lang w:eastAsia="en-GB" w:bidi="en-GB"/>
        </w:rPr>
        <w:t>were</w:t>
      </w:r>
      <w:r w:rsidR="00FF41A0">
        <w:rPr>
          <w:color w:val="000000"/>
          <w:sz w:val="20"/>
          <w:szCs w:val="20"/>
          <w:lang w:eastAsia="en-GB" w:bidi="en-GB"/>
        </w:rPr>
        <w:t xml:space="preserve"> </w:t>
      </w:r>
      <w:r w:rsidR="00323457" w:rsidRPr="0059638B">
        <w:rPr>
          <w:color w:val="000000"/>
          <w:sz w:val="20"/>
          <w:szCs w:val="20"/>
          <w:lang w:eastAsia="en-GB" w:bidi="en-GB"/>
        </w:rPr>
        <w:t>women</w:t>
      </w:r>
      <w:r w:rsidR="00FF41A0">
        <w:rPr>
          <w:color w:val="000000"/>
          <w:sz w:val="20"/>
          <w:szCs w:val="20"/>
          <w:lang w:eastAsia="en-GB" w:bidi="en-GB"/>
        </w:rPr>
        <w:t xml:space="preserve"> </w:t>
      </w:r>
      <w:r w:rsidR="00323457" w:rsidRPr="0059638B">
        <w:rPr>
          <w:color w:val="000000"/>
          <w:sz w:val="20"/>
          <w:szCs w:val="20"/>
          <w:lang w:eastAsia="en-GB" w:bidi="en-GB"/>
        </w:rPr>
        <w:t>vulnerable</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physical,</w:t>
      </w:r>
      <w:r w:rsidR="00FF41A0">
        <w:rPr>
          <w:color w:val="000000"/>
          <w:sz w:val="20"/>
          <w:szCs w:val="20"/>
          <w:lang w:eastAsia="en-GB" w:bidi="en-GB"/>
        </w:rPr>
        <w:t xml:space="preserve"> </w:t>
      </w:r>
      <w:r w:rsidR="00323457" w:rsidRPr="0059638B">
        <w:rPr>
          <w:color w:val="000000"/>
          <w:sz w:val="20"/>
          <w:szCs w:val="20"/>
          <w:lang w:eastAsia="en-GB" w:bidi="en-GB"/>
        </w:rPr>
        <w:t>psychological,</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sexual</w:t>
      </w:r>
      <w:r w:rsidR="00FF41A0">
        <w:rPr>
          <w:color w:val="000000"/>
          <w:sz w:val="20"/>
          <w:szCs w:val="20"/>
          <w:lang w:eastAsia="en-GB" w:bidi="en-GB"/>
        </w:rPr>
        <w:t xml:space="preserve"> </w:t>
      </w:r>
      <w:r w:rsidR="00323457" w:rsidRPr="0059638B">
        <w:rPr>
          <w:color w:val="000000"/>
          <w:sz w:val="20"/>
          <w:szCs w:val="20"/>
          <w:lang w:eastAsia="en-GB" w:bidi="en-GB"/>
        </w:rPr>
        <w:t>violence</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exploitation</w:t>
      </w:r>
      <w:r w:rsidR="00FF41A0">
        <w:rPr>
          <w:color w:val="000000"/>
          <w:sz w:val="20"/>
          <w:szCs w:val="20"/>
          <w:lang w:eastAsia="en-GB" w:bidi="en-GB"/>
        </w:rPr>
        <w:t xml:space="preserve"> </w:t>
      </w:r>
      <w:r w:rsidR="00323457" w:rsidRPr="0059638B">
        <w:rPr>
          <w:color w:val="000000"/>
          <w:sz w:val="20"/>
          <w:szCs w:val="20"/>
          <w:lang w:eastAsia="en-GB" w:bidi="en-GB"/>
        </w:rPr>
        <w:t>due</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excessive</w:t>
      </w:r>
      <w:r w:rsidR="00FF41A0">
        <w:rPr>
          <w:color w:val="000000"/>
          <w:sz w:val="20"/>
          <w:szCs w:val="20"/>
          <w:lang w:eastAsia="en-GB" w:bidi="en-GB"/>
        </w:rPr>
        <w:t xml:space="preserve"> </w:t>
      </w:r>
      <w:r w:rsidR="00323457" w:rsidRPr="0059638B">
        <w:rPr>
          <w:color w:val="000000"/>
          <w:sz w:val="20"/>
          <w:szCs w:val="20"/>
          <w:lang w:eastAsia="en-GB" w:bidi="en-GB"/>
        </w:rPr>
        <w:t>working</w:t>
      </w:r>
      <w:r w:rsidR="00FF41A0">
        <w:rPr>
          <w:color w:val="000000"/>
          <w:sz w:val="20"/>
          <w:szCs w:val="20"/>
          <w:lang w:eastAsia="en-GB" w:bidi="en-GB"/>
        </w:rPr>
        <w:t xml:space="preserve"> </w:t>
      </w:r>
      <w:r w:rsidR="00323457" w:rsidRPr="0059638B">
        <w:rPr>
          <w:color w:val="000000"/>
          <w:sz w:val="20"/>
          <w:szCs w:val="20"/>
          <w:lang w:eastAsia="en-GB" w:bidi="en-GB"/>
        </w:rPr>
        <w:t>hours.</w:t>
      </w:r>
      <w:r w:rsidR="00FF41A0">
        <w:rPr>
          <w:color w:val="000000"/>
          <w:sz w:val="20"/>
          <w:szCs w:val="20"/>
          <w:lang w:eastAsia="en-GB" w:bidi="en-GB"/>
        </w:rPr>
        <w:t xml:space="preserve"> </w:t>
      </w:r>
      <w:r w:rsidR="00323457" w:rsidRPr="0059638B">
        <w:rPr>
          <w:color w:val="000000"/>
          <w:sz w:val="20"/>
          <w:szCs w:val="20"/>
          <w:lang w:eastAsia="en-GB" w:bidi="en-GB"/>
        </w:rPr>
        <w:t>They</w:t>
      </w:r>
      <w:r w:rsidR="00FF41A0">
        <w:rPr>
          <w:color w:val="000000"/>
          <w:sz w:val="20"/>
          <w:szCs w:val="20"/>
          <w:lang w:eastAsia="en-GB" w:bidi="en-GB"/>
        </w:rPr>
        <w:t xml:space="preserve"> </w:t>
      </w:r>
      <w:r w:rsidR="00323457" w:rsidRPr="0059638B">
        <w:rPr>
          <w:color w:val="000000"/>
          <w:sz w:val="20"/>
          <w:szCs w:val="20"/>
          <w:lang w:eastAsia="en-GB" w:bidi="en-GB"/>
        </w:rPr>
        <w:t>urged</w:t>
      </w:r>
      <w:r w:rsidR="00FF41A0">
        <w:rPr>
          <w:color w:val="000000"/>
          <w:sz w:val="20"/>
          <w:szCs w:val="20"/>
          <w:lang w:eastAsia="en-GB" w:bidi="en-GB"/>
        </w:rPr>
        <w:t xml:space="preserve"> </w:t>
      </w:r>
      <w:r w:rsidR="00323457" w:rsidRPr="0059638B">
        <w:rPr>
          <w:color w:val="000000"/>
          <w:sz w:val="20"/>
          <w:szCs w:val="20"/>
          <w:lang w:eastAsia="en-GB" w:bidi="en-GB"/>
        </w:rPr>
        <w:t>Malaysia</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adopt</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ratify</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International</w:t>
      </w:r>
      <w:r w:rsidR="00FF41A0">
        <w:rPr>
          <w:color w:val="000000"/>
          <w:sz w:val="20"/>
          <w:szCs w:val="20"/>
          <w:lang w:eastAsia="en-GB" w:bidi="en-GB"/>
        </w:rPr>
        <w:t xml:space="preserve"> </w:t>
      </w:r>
      <w:r w:rsidR="00323457" w:rsidRPr="0059638B">
        <w:rPr>
          <w:color w:val="000000"/>
          <w:sz w:val="20"/>
          <w:szCs w:val="20"/>
          <w:lang w:eastAsia="en-GB" w:bidi="en-GB"/>
        </w:rPr>
        <w:t>Convention</w:t>
      </w:r>
      <w:r w:rsidR="00FF41A0">
        <w:rPr>
          <w:color w:val="000000"/>
          <w:sz w:val="20"/>
          <w:szCs w:val="20"/>
          <w:lang w:eastAsia="en-GB" w:bidi="en-GB"/>
        </w:rPr>
        <w:t xml:space="preserve"> </w:t>
      </w:r>
      <w:r w:rsidR="00323457" w:rsidRPr="0059638B">
        <w:rPr>
          <w:color w:val="000000"/>
          <w:sz w:val="20"/>
          <w:szCs w:val="20"/>
          <w:lang w:eastAsia="en-GB" w:bidi="en-GB"/>
        </w:rPr>
        <w:t>on</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Protection</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Rights</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All</w:t>
      </w:r>
      <w:r w:rsidR="00FF41A0">
        <w:rPr>
          <w:color w:val="000000"/>
          <w:sz w:val="20"/>
          <w:szCs w:val="20"/>
          <w:lang w:eastAsia="en-GB" w:bidi="en-GB"/>
        </w:rPr>
        <w:t xml:space="preserve"> </w:t>
      </w:r>
      <w:r w:rsidR="00323457" w:rsidRPr="0059638B">
        <w:rPr>
          <w:color w:val="000000"/>
          <w:sz w:val="20"/>
          <w:szCs w:val="20"/>
          <w:lang w:eastAsia="en-GB" w:bidi="en-GB"/>
        </w:rPr>
        <w:t>Migrant</w:t>
      </w:r>
      <w:r w:rsidR="00FF41A0">
        <w:rPr>
          <w:color w:val="000000"/>
          <w:sz w:val="20"/>
          <w:szCs w:val="20"/>
          <w:lang w:eastAsia="en-GB" w:bidi="en-GB"/>
        </w:rPr>
        <w:t xml:space="preserve"> </w:t>
      </w:r>
      <w:r w:rsidR="00323457" w:rsidRPr="0059638B">
        <w:rPr>
          <w:color w:val="000000"/>
          <w:sz w:val="20"/>
          <w:szCs w:val="20"/>
          <w:lang w:eastAsia="en-GB" w:bidi="en-GB"/>
        </w:rPr>
        <w:t>Workers</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Members</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Their</w:t>
      </w:r>
      <w:r w:rsidR="00FF41A0">
        <w:rPr>
          <w:color w:val="000000"/>
          <w:sz w:val="20"/>
          <w:szCs w:val="20"/>
          <w:lang w:eastAsia="en-GB" w:bidi="en-GB"/>
        </w:rPr>
        <w:t xml:space="preserve"> </w:t>
      </w:r>
      <w:r w:rsidR="00323457" w:rsidRPr="0059638B">
        <w:rPr>
          <w:color w:val="000000"/>
          <w:sz w:val="20"/>
          <w:szCs w:val="20"/>
          <w:lang w:eastAsia="en-GB" w:bidi="en-GB"/>
        </w:rPr>
        <w:t>Families,</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International</w:t>
      </w:r>
      <w:r w:rsidR="00FF41A0">
        <w:rPr>
          <w:color w:val="000000"/>
          <w:sz w:val="20"/>
          <w:szCs w:val="20"/>
          <w:lang w:eastAsia="en-GB" w:bidi="en-GB"/>
        </w:rPr>
        <w:t xml:space="preserve"> </w:t>
      </w:r>
      <w:r w:rsidR="00323457" w:rsidRPr="0059638B">
        <w:rPr>
          <w:color w:val="000000"/>
          <w:sz w:val="20"/>
          <w:szCs w:val="20"/>
          <w:lang w:eastAsia="en-GB" w:bidi="en-GB"/>
        </w:rPr>
        <w:t>Labour</w:t>
      </w:r>
      <w:r w:rsidR="00FF41A0">
        <w:rPr>
          <w:color w:val="000000"/>
          <w:sz w:val="20"/>
          <w:szCs w:val="20"/>
          <w:lang w:eastAsia="en-GB" w:bidi="en-GB"/>
        </w:rPr>
        <w:t xml:space="preserve"> </w:t>
      </w:r>
      <w:r w:rsidR="00323457" w:rsidRPr="0059638B">
        <w:rPr>
          <w:color w:val="000000"/>
          <w:sz w:val="20"/>
          <w:szCs w:val="20"/>
          <w:lang w:eastAsia="en-GB" w:bidi="en-GB"/>
        </w:rPr>
        <w:t>Organization</w:t>
      </w:r>
      <w:r w:rsidR="00FF41A0">
        <w:rPr>
          <w:color w:val="000000"/>
          <w:sz w:val="20"/>
          <w:szCs w:val="20"/>
          <w:lang w:eastAsia="en-GB" w:bidi="en-GB"/>
        </w:rPr>
        <w:t xml:space="preserve"> </w:t>
      </w:r>
      <w:r w:rsidR="00323457" w:rsidRPr="0059638B">
        <w:rPr>
          <w:color w:val="000000"/>
          <w:sz w:val="20"/>
          <w:szCs w:val="20"/>
          <w:lang w:eastAsia="en-GB" w:bidi="en-GB"/>
        </w:rPr>
        <w:t>Domestic</w:t>
      </w:r>
      <w:r w:rsidR="00FF41A0">
        <w:rPr>
          <w:color w:val="000000"/>
          <w:sz w:val="20"/>
          <w:szCs w:val="20"/>
          <w:lang w:eastAsia="en-GB" w:bidi="en-GB"/>
        </w:rPr>
        <w:t xml:space="preserve"> </w:t>
      </w:r>
      <w:r w:rsidR="00323457" w:rsidRPr="0059638B">
        <w:rPr>
          <w:color w:val="000000"/>
          <w:sz w:val="20"/>
          <w:szCs w:val="20"/>
          <w:lang w:eastAsia="en-GB" w:bidi="en-GB"/>
        </w:rPr>
        <w:t>Workers</w:t>
      </w:r>
      <w:r w:rsidR="00FF41A0">
        <w:rPr>
          <w:color w:val="000000"/>
          <w:sz w:val="20"/>
          <w:szCs w:val="20"/>
          <w:lang w:eastAsia="en-GB" w:bidi="en-GB"/>
        </w:rPr>
        <w:t xml:space="preserve"> </w:t>
      </w:r>
      <w:r w:rsidR="00323457" w:rsidRPr="0059638B">
        <w:rPr>
          <w:color w:val="000000"/>
          <w:sz w:val="20"/>
          <w:szCs w:val="20"/>
          <w:lang w:eastAsia="en-GB" w:bidi="en-GB"/>
        </w:rPr>
        <w:t>Convention,</w:t>
      </w:r>
      <w:r w:rsidR="00FF41A0">
        <w:rPr>
          <w:color w:val="000000"/>
          <w:sz w:val="20"/>
          <w:szCs w:val="20"/>
          <w:lang w:eastAsia="en-GB" w:bidi="en-GB"/>
        </w:rPr>
        <w:t xml:space="preserve"> </w:t>
      </w:r>
      <w:r w:rsidR="00323457" w:rsidRPr="0059638B">
        <w:rPr>
          <w:color w:val="000000"/>
          <w:sz w:val="20"/>
          <w:szCs w:val="20"/>
          <w:lang w:eastAsia="en-GB" w:bidi="en-GB"/>
        </w:rPr>
        <w:t>2011</w:t>
      </w:r>
      <w:r w:rsidR="00FF41A0">
        <w:rPr>
          <w:color w:val="000000"/>
          <w:sz w:val="20"/>
          <w:szCs w:val="20"/>
          <w:lang w:eastAsia="en-GB" w:bidi="en-GB"/>
        </w:rPr>
        <w:t xml:space="preserve"> </w:t>
      </w:r>
      <w:r w:rsidR="00323457" w:rsidRPr="0059638B">
        <w:rPr>
          <w:color w:val="000000"/>
          <w:sz w:val="20"/>
          <w:szCs w:val="20"/>
          <w:lang w:eastAsia="en-GB" w:bidi="en-GB"/>
        </w:rPr>
        <w:t>(No.</w:t>
      </w:r>
      <w:r w:rsidR="00FF41A0">
        <w:rPr>
          <w:color w:val="000000"/>
          <w:sz w:val="20"/>
          <w:szCs w:val="20"/>
          <w:lang w:eastAsia="en-GB" w:bidi="en-GB"/>
        </w:rPr>
        <w:t xml:space="preserve"> </w:t>
      </w:r>
      <w:r w:rsidR="00323457" w:rsidRPr="0059638B">
        <w:rPr>
          <w:color w:val="000000"/>
          <w:sz w:val="20"/>
          <w:szCs w:val="20"/>
          <w:lang w:eastAsia="en-GB" w:bidi="en-GB"/>
        </w:rPr>
        <w:t>189),</w:t>
      </w:r>
      <w:r w:rsidR="00FF41A0">
        <w:rPr>
          <w:color w:val="000000"/>
          <w:sz w:val="20"/>
          <w:szCs w:val="20"/>
          <w:lang w:eastAsia="en-GB" w:bidi="en-GB"/>
        </w:rPr>
        <w:t xml:space="preserve"> </w:t>
      </w:r>
      <w:r w:rsidR="00323457" w:rsidRPr="0059638B">
        <w:rPr>
          <w:color w:val="000000"/>
          <w:sz w:val="20"/>
          <w:szCs w:val="20"/>
          <w:lang w:eastAsia="en-GB" w:bidi="en-GB"/>
        </w:rPr>
        <w:t>as</w:t>
      </w:r>
      <w:r w:rsidR="00FF41A0">
        <w:rPr>
          <w:color w:val="000000"/>
          <w:sz w:val="20"/>
          <w:szCs w:val="20"/>
          <w:lang w:eastAsia="en-GB" w:bidi="en-GB"/>
        </w:rPr>
        <w:t xml:space="preserve"> </w:t>
      </w:r>
      <w:r w:rsidR="00323457" w:rsidRPr="0059638B">
        <w:rPr>
          <w:color w:val="000000"/>
          <w:sz w:val="20"/>
          <w:szCs w:val="20"/>
          <w:lang w:eastAsia="en-GB" w:bidi="en-GB"/>
        </w:rPr>
        <w:t>well</w:t>
      </w:r>
      <w:r w:rsidR="00FF41A0">
        <w:rPr>
          <w:color w:val="000000"/>
          <w:sz w:val="20"/>
          <w:szCs w:val="20"/>
          <w:lang w:eastAsia="en-GB" w:bidi="en-GB"/>
        </w:rPr>
        <w:t xml:space="preserve"> </w:t>
      </w:r>
      <w:r w:rsidR="00323457" w:rsidRPr="0059638B">
        <w:rPr>
          <w:color w:val="000000"/>
          <w:sz w:val="20"/>
          <w:szCs w:val="20"/>
          <w:lang w:eastAsia="en-GB" w:bidi="en-GB"/>
        </w:rPr>
        <w:t>as</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Palermo</w:t>
      </w:r>
      <w:r w:rsidR="00FF41A0">
        <w:rPr>
          <w:color w:val="000000"/>
          <w:sz w:val="20"/>
          <w:szCs w:val="20"/>
          <w:lang w:eastAsia="en-GB" w:bidi="en-GB"/>
        </w:rPr>
        <w:t xml:space="preserve"> </w:t>
      </w:r>
      <w:r w:rsidR="00323457" w:rsidRPr="0059638B">
        <w:rPr>
          <w:color w:val="000000"/>
          <w:sz w:val="20"/>
          <w:szCs w:val="20"/>
          <w:lang w:eastAsia="en-GB" w:bidi="en-GB"/>
        </w:rPr>
        <w:t>Protocol</w:t>
      </w:r>
      <w:r w:rsidR="00FF41A0">
        <w:rPr>
          <w:color w:val="000000"/>
          <w:sz w:val="20"/>
          <w:szCs w:val="20"/>
          <w:lang w:eastAsia="en-GB" w:bidi="en-GB"/>
        </w:rPr>
        <w:t xml:space="preserve"> </w:t>
      </w:r>
      <w:r w:rsidR="00323457" w:rsidRPr="0059638B">
        <w:rPr>
          <w:color w:val="000000"/>
          <w:sz w:val="20"/>
          <w:szCs w:val="20"/>
          <w:lang w:eastAsia="en-GB" w:bidi="en-GB"/>
        </w:rPr>
        <w:t>on</w:t>
      </w:r>
      <w:r w:rsidR="00FF41A0">
        <w:rPr>
          <w:color w:val="000000"/>
          <w:sz w:val="20"/>
          <w:szCs w:val="20"/>
          <w:lang w:eastAsia="en-GB" w:bidi="en-GB"/>
        </w:rPr>
        <w:t xml:space="preserve"> </w:t>
      </w:r>
      <w:r w:rsidR="00323457" w:rsidRPr="0059638B">
        <w:rPr>
          <w:color w:val="000000"/>
          <w:sz w:val="20"/>
          <w:szCs w:val="20"/>
          <w:lang w:eastAsia="en-GB" w:bidi="en-GB"/>
        </w:rPr>
        <w:t>prevention</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protection</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trafficking</w:t>
      </w:r>
      <w:r w:rsidR="00FF41A0">
        <w:rPr>
          <w:color w:val="000000"/>
          <w:sz w:val="20"/>
          <w:szCs w:val="20"/>
          <w:lang w:eastAsia="en-GB" w:bidi="en-GB"/>
        </w:rPr>
        <w:t xml:space="preserve"> </w:t>
      </w:r>
      <w:r w:rsidR="00323457" w:rsidRPr="0059638B">
        <w:rPr>
          <w:color w:val="000000"/>
          <w:sz w:val="20"/>
          <w:szCs w:val="20"/>
          <w:lang w:eastAsia="en-GB" w:bidi="en-GB"/>
        </w:rPr>
        <w:t>in</w:t>
      </w:r>
      <w:r w:rsidR="00FF41A0">
        <w:rPr>
          <w:color w:val="000000"/>
          <w:sz w:val="20"/>
          <w:szCs w:val="20"/>
          <w:lang w:eastAsia="en-GB" w:bidi="en-GB"/>
        </w:rPr>
        <w:t xml:space="preserve"> </w:t>
      </w:r>
      <w:r w:rsidR="00323457" w:rsidRPr="0059638B">
        <w:rPr>
          <w:color w:val="000000"/>
          <w:sz w:val="20"/>
          <w:szCs w:val="20"/>
          <w:lang w:eastAsia="en-GB" w:bidi="en-GB"/>
        </w:rPr>
        <w:t>persons.</w:t>
      </w:r>
      <w:r w:rsidR="00FF41A0">
        <w:rPr>
          <w:color w:val="000000"/>
          <w:sz w:val="20"/>
          <w:szCs w:val="20"/>
          <w:lang w:eastAsia="en-GB" w:bidi="en-GB"/>
        </w:rPr>
        <w:t xml:space="preserve"> </w:t>
      </w:r>
      <w:r w:rsidR="00323457" w:rsidRPr="0059638B">
        <w:rPr>
          <w:color w:val="000000"/>
          <w:sz w:val="20"/>
          <w:szCs w:val="20"/>
          <w:lang w:eastAsia="en-GB" w:bidi="en-GB"/>
        </w:rPr>
        <w:t>They</w:t>
      </w:r>
      <w:r w:rsidR="00FF41A0">
        <w:rPr>
          <w:color w:val="000000"/>
          <w:sz w:val="20"/>
          <w:szCs w:val="20"/>
          <w:lang w:eastAsia="en-GB" w:bidi="en-GB"/>
        </w:rPr>
        <w:t xml:space="preserve"> </w:t>
      </w:r>
      <w:r w:rsidR="00323457" w:rsidRPr="0059638B">
        <w:rPr>
          <w:color w:val="000000"/>
          <w:sz w:val="20"/>
          <w:szCs w:val="20"/>
          <w:lang w:eastAsia="en-GB" w:bidi="en-GB"/>
        </w:rPr>
        <w:t>also</w:t>
      </w:r>
      <w:r w:rsidR="00FF41A0">
        <w:rPr>
          <w:color w:val="000000"/>
          <w:sz w:val="20"/>
          <w:szCs w:val="20"/>
          <w:lang w:eastAsia="en-GB" w:bidi="en-GB"/>
        </w:rPr>
        <w:t xml:space="preserve"> </w:t>
      </w:r>
      <w:r w:rsidR="00323457" w:rsidRPr="0059638B">
        <w:rPr>
          <w:color w:val="000000"/>
          <w:sz w:val="20"/>
          <w:szCs w:val="20"/>
          <w:lang w:eastAsia="en-GB" w:bidi="en-GB"/>
        </w:rPr>
        <w:t>urged</w:t>
      </w:r>
      <w:r w:rsidR="00FF41A0">
        <w:rPr>
          <w:color w:val="000000"/>
          <w:sz w:val="20"/>
          <w:szCs w:val="20"/>
          <w:lang w:eastAsia="en-GB" w:bidi="en-GB"/>
        </w:rPr>
        <w:t xml:space="preserve"> </w:t>
      </w:r>
      <w:r w:rsidR="00323457" w:rsidRPr="0059638B">
        <w:rPr>
          <w:color w:val="000000"/>
          <w:sz w:val="20"/>
          <w:szCs w:val="20"/>
          <w:lang w:eastAsia="en-GB" w:bidi="en-GB"/>
        </w:rPr>
        <w:t>Malaysia</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ensure</w:t>
      </w:r>
      <w:r w:rsidR="00FF41A0">
        <w:rPr>
          <w:color w:val="000000"/>
          <w:sz w:val="20"/>
          <w:szCs w:val="20"/>
          <w:lang w:eastAsia="en-GB" w:bidi="en-GB"/>
        </w:rPr>
        <w:t xml:space="preserve"> </w:t>
      </w:r>
      <w:r w:rsidR="00323457" w:rsidRPr="0059638B">
        <w:rPr>
          <w:color w:val="000000"/>
          <w:sz w:val="20"/>
          <w:szCs w:val="20"/>
          <w:lang w:eastAsia="en-GB" w:bidi="en-GB"/>
        </w:rPr>
        <w:t>security,</w:t>
      </w:r>
      <w:r w:rsidR="00FF41A0">
        <w:rPr>
          <w:color w:val="000000"/>
          <w:sz w:val="20"/>
          <w:szCs w:val="20"/>
          <w:lang w:eastAsia="en-GB" w:bidi="en-GB"/>
        </w:rPr>
        <w:t xml:space="preserve"> </w:t>
      </w:r>
      <w:r w:rsidR="00323457" w:rsidRPr="0059638B">
        <w:rPr>
          <w:color w:val="000000"/>
          <w:sz w:val="20"/>
          <w:szCs w:val="20"/>
          <w:lang w:eastAsia="en-GB" w:bidi="en-GB"/>
        </w:rPr>
        <w:t>health</w:t>
      </w:r>
      <w:r w:rsidR="00FF41A0">
        <w:rPr>
          <w:color w:val="000000"/>
          <w:sz w:val="20"/>
          <w:szCs w:val="20"/>
          <w:lang w:eastAsia="en-GB" w:bidi="en-GB"/>
        </w:rPr>
        <w:t xml:space="preserve"> </w:t>
      </w:r>
      <w:r w:rsidR="00323457" w:rsidRPr="0059638B">
        <w:rPr>
          <w:color w:val="000000"/>
          <w:sz w:val="20"/>
          <w:szCs w:val="20"/>
          <w:lang w:eastAsia="en-GB" w:bidi="en-GB"/>
        </w:rPr>
        <w:t>care,</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work</w:t>
      </w:r>
      <w:r w:rsidR="00FF41A0">
        <w:rPr>
          <w:color w:val="000000"/>
          <w:sz w:val="20"/>
          <w:szCs w:val="20"/>
          <w:lang w:eastAsia="en-GB" w:bidi="en-GB"/>
        </w:rPr>
        <w:t xml:space="preserve"> </w:t>
      </w:r>
      <w:r w:rsidR="00323457" w:rsidRPr="0059638B">
        <w:rPr>
          <w:color w:val="000000"/>
          <w:sz w:val="20"/>
          <w:szCs w:val="20"/>
          <w:lang w:eastAsia="en-GB" w:bidi="en-GB"/>
        </w:rPr>
        <w:t>safety</w:t>
      </w:r>
      <w:r w:rsidR="00FF41A0">
        <w:rPr>
          <w:color w:val="000000"/>
          <w:sz w:val="20"/>
          <w:szCs w:val="20"/>
          <w:lang w:eastAsia="en-GB" w:bidi="en-GB"/>
        </w:rPr>
        <w:t xml:space="preserve"> </w:t>
      </w:r>
      <w:r w:rsidR="00323457" w:rsidRPr="0059638B">
        <w:rPr>
          <w:color w:val="000000"/>
          <w:sz w:val="20"/>
          <w:szCs w:val="20"/>
          <w:lang w:eastAsia="en-GB" w:bidi="en-GB"/>
        </w:rPr>
        <w:t>for</w:t>
      </w:r>
      <w:r w:rsidR="00FF41A0">
        <w:rPr>
          <w:color w:val="000000"/>
          <w:sz w:val="20"/>
          <w:szCs w:val="20"/>
          <w:lang w:eastAsia="en-GB" w:bidi="en-GB"/>
        </w:rPr>
        <w:t xml:space="preserve"> </w:t>
      </w:r>
      <w:r w:rsidR="00323457" w:rsidRPr="0059638B">
        <w:rPr>
          <w:color w:val="000000"/>
          <w:sz w:val="20"/>
          <w:szCs w:val="20"/>
          <w:lang w:eastAsia="en-GB" w:bidi="en-GB"/>
        </w:rPr>
        <w:t>migrant</w:t>
      </w:r>
      <w:r w:rsidR="00FF41A0">
        <w:rPr>
          <w:color w:val="000000"/>
          <w:sz w:val="20"/>
          <w:szCs w:val="20"/>
          <w:lang w:eastAsia="en-GB" w:bidi="en-GB"/>
        </w:rPr>
        <w:t xml:space="preserve"> </w:t>
      </w:r>
      <w:r w:rsidR="00323457" w:rsidRPr="0059638B">
        <w:rPr>
          <w:color w:val="000000"/>
          <w:sz w:val="20"/>
          <w:szCs w:val="20"/>
          <w:lang w:eastAsia="en-GB" w:bidi="en-GB"/>
        </w:rPr>
        <w:t>workers</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investigate</w:t>
      </w:r>
      <w:r w:rsidR="00FF41A0">
        <w:rPr>
          <w:color w:val="000000"/>
          <w:sz w:val="20"/>
          <w:szCs w:val="20"/>
          <w:lang w:eastAsia="en-GB" w:bidi="en-GB"/>
        </w:rPr>
        <w:t xml:space="preserve"> </w:t>
      </w:r>
      <w:r w:rsidR="00323457" w:rsidRPr="0059638B">
        <w:rPr>
          <w:color w:val="000000"/>
          <w:sz w:val="20"/>
          <w:szCs w:val="20"/>
          <w:lang w:eastAsia="en-GB" w:bidi="en-GB"/>
        </w:rPr>
        <w:t>cases</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violence</w:t>
      </w:r>
      <w:r w:rsidR="00FF41A0">
        <w:rPr>
          <w:color w:val="000000"/>
          <w:sz w:val="20"/>
          <w:szCs w:val="20"/>
          <w:lang w:eastAsia="en-GB" w:bidi="en-GB"/>
        </w:rPr>
        <w:t xml:space="preserve"> </w:t>
      </w:r>
      <w:r w:rsidR="00323457" w:rsidRPr="0059638B">
        <w:rPr>
          <w:color w:val="000000"/>
          <w:sz w:val="20"/>
          <w:szCs w:val="20"/>
          <w:lang w:eastAsia="en-GB" w:bidi="en-GB"/>
        </w:rPr>
        <w:t>against</w:t>
      </w:r>
      <w:r w:rsidR="00FF41A0">
        <w:rPr>
          <w:color w:val="000000"/>
          <w:sz w:val="20"/>
          <w:szCs w:val="20"/>
          <w:lang w:eastAsia="en-GB" w:bidi="en-GB"/>
        </w:rPr>
        <w:t xml:space="preserve"> </w:t>
      </w:r>
      <w:r w:rsidR="00323457" w:rsidRPr="0059638B">
        <w:rPr>
          <w:color w:val="000000"/>
          <w:sz w:val="20"/>
          <w:szCs w:val="20"/>
          <w:lang w:eastAsia="en-GB" w:bidi="en-GB"/>
        </w:rPr>
        <w:t>all</w:t>
      </w:r>
      <w:r w:rsidR="00FF41A0">
        <w:rPr>
          <w:color w:val="000000"/>
          <w:sz w:val="20"/>
          <w:szCs w:val="20"/>
          <w:lang w:eastAsia="en-GB" w:bidi="en-GB"/>
        </w:rPr>
        <w:t xml:space="preserve"> </w:t>
      </w:r>
      <w:r w:rsidR="00323457" w:rsidRPr="0059638B">
        <w:rPr>
          <w:color w:val="000000"/>
          <w:sz w:val="20"/>
          <w:szCs w:val="20"/>
          <w:lang w:eastAsia="en-GB" w:bidi="en-GB"/>
        </w:rPr>
        <w:t>migrant</w:t>
      </w:r>
      <w:r w:rsidR="00FF41A0">
        <w:rPr>
          <w:color w:val="000000"/>
          <w:sz w:val="20"/>
          <w:szCs w:val="20"/>
          <w:lang w:eastAsia="en-GB" w:bidi="en-GB"/>
        </w:rPr>
        <w:t xml:space="preserve"> </w:t>
      </w:r>
      <w:r w:rsidR="00323457" w:rsidRPr="0059638B">
        <w:rPr>
          <w:color w:val="000000"/>
          <w:sz w:val="20"/>
          <w:szCs w:val="20"/>
          <w:lang w:eastAsia="en-GB" w:bidi="en-GB"/>
        </w:rPr>
        <w:t>workers</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bring</w:t>
      </w:r>
      <w:r w:rsidR="00FF41A0">
        <w:rPr>
          <w:color w:val="000000"/>
          <w:sz w:val="20"/>
          <w:szCs w:val="20"/>
          <w:lang w:eastAsia="en-GB" w:bidi="en-GB"/>
        </w:rPr>
        <w:t xml:space="preserve"> </w:t>
      </w:r>
      <w:r w:rsidR="00323457" w:rsidRPr="0059638B">
        <w:rPr>
          <w:color w:val="000000"/>
          <w:sz w:val="20"/>
          <w:szCs w:val="20"/>
          <w:lang w:eastAsia="en-GB" w:bidi="en-GB"/>
        </w:rPr>
        <w:t>perpetrators</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justice.</w:t>
      </w:r>
    </w:p>
    <w:p w14:paraId="0217BA84" w14:textId="63A926DD" w:rsidR="00323457" w:rsidRPr="0059638B" w:rsidRDefault="00972F1E" w:rsidP="00323457">
      <w:pPr>
        <w:pStyle w:val="SingleTxtG"/>
        <w:rPr>
          <w:color w:val="000000"/>
          <w:sz w:val="20"/>
          <w:szCs w:val="20"/>
          <w:lang w:eastAsia="en-GB" w:bidi="en-GB"/>
        </w:rPr>
      </w:pPr>
      <w:r>
        <w:rPr>
          <w:color w:val="000000"/>
          <w:sz w:val="20"/>
          <w:szCs w:val="20"/>
          <w:lang w:eastAsia="en-GB" w:bidi="en-GB"/>
        </w:rPr>
        <w:t>664</w:t>
      </w:r>
      <w:r w:rsidR="00D7475F">
        <w:rPr>
          <w:color w:val="000000"/>
          <w:sz w:val="20"/>
          <w:szCs w:val="20"/>
          <w:lang w:eastAsia="en-GB" w:bidi="en-GB"/>
        </w:rPr>
        <w:t>.</w:t>
      </w:r>
      <w:r w:rsidR="00D7475F">
        <w:rPr>
          <w:color w:val="000000"/>
          <w:sz w:val="20"/>
          <w:szCs w:val="20"/>
          <w:lang w:eastAsia="en-GB" w:bidi="en-GB"/>
        </w:rPr>
        <w:tab/>
      </w:r>
      <w:r w:rsidR="00323457" w:rsidRPr="0059638B">
        <w:rPr>
          <w:color w:val="000000"/>
          <w:sz w:val="20"/>
          <w:szCs w:val="20"/>
          <w:lang w:eastAsia="en-GB" w:bidi="en-GB"/>
        </w:rPr>
        <w:t>International</w:t>
      </w:r>
      <w:r w:rsidR="00FF41A0">
        <w:rPr>
          <w:color w:val="000000"/>
          <w:sz w:val="20"/>
          <w:szCs w:val="20"/>
          <w:lang w:eastAsia="en-GB" w:bidi="en-GB"/>
        </w:rPr>
        <w:t xml:space="preserve"> </w:t>
      </w:r>
      <w:r w:rsidR="00323457" w:rsidRPr="0059638B">
        <w:rPr>
          <w:color w:val="000000"/>
          <w:sz w:val="20"/>
          <w:szCs w:val="20"/>
          <w:lang w:eastAsia="en-GB" w:bidi="en-GB"/>
        </w:rPr>
        <w:t>Planned</w:t>
      </w:r>
      <w:r w:rsidR="00FF41A0">
        <w:rPr>
          <w:color w:val="000000"/>
          <w:sz w:val="20"/>
          <w:szCs w:val="20"/>
          <w:lang w:eastAsia="en-GB" w:bidi="en-GB"/>
        </w:rPr>
        <w:t xml:space="preserve"> </w:t>
      </w:r>
      <w:r w:rsidR="00323457" w:rsidRPr="0059638B">
        <w:rPr>
          <w:color w:val="000000"/>
          <w:sz w:val="20"/>
          <w:szCs w:val="20"/>
          <w:lang w:eastAsia="en-GB" w:bidi="en-GB"/>
        </w:rPr>
        <w:t>Parenthood</w:t>
      </w:r>
      <w:r w:rsidR="00FF41A0">
        <w:rPr>
          <w:color w:val="000000"/>
          <w:sz w:val="20"/>
          <w:szCs w:val="20"/>
          <w:lang w:eastAsia="en-GB" w:bidi="en-GB"/>
        </w:rPr>
        <w:t xml:space="preserve"> </w:t>
      </w:r>
      <w:r w:rsidR="00323457" w:rsidRPr="0059638B">
        <w:rPr>
          <w:color w:val="000000"/>
          <w:sz w:val="20"/>
          <w:szCs w:val="20"/>
          <w:lang w:eastAsia="en-GB" w:bidi="en-GB"/>
        </w:rPr>
        <w:t>Federation,</w:t>
      </w:r>
      <w:r w:rsidR="00FF41A0">
        <w:rPr>
          <w:color w:val="000000"/>
          <w:sz w:val="20"/>
          <w:szCs w:val="20"/>
          <w:lang w:eastAsia="en-GB" w:bidi="en-GB"/>
        </w:rPr>
        <w:t xml:space="preserve"> </w:t>
      </w:r>
      <w:r w:rsidR="00323457" w:rsidRPr="0059638B">
        <w:rPr>
          <w:color w:val="000000"/>
          <w:sz w:val="20"/>
          <w:szCs w:val="20"/>
          <w:lang w:eastAsia="en-GB" w:bidi="en-GB"/>
        </w:rPr>
        <w:t>in</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joint</w:t>
      </w:r>
      <w:r w:rsidR="00FF41A0">
        <w:rPr>
          <w:color w:val="000000"/>
          <w:sz w:val="20"/>
          <w:szCs w:val="20"/>
          <w:lang w:eastAsia="en-GB" w:bidi="en-GB"/>
        </w:rPr>
        <w:t xml:space="preserve"> </w:t>
      </w:r>
      <w:r w:rsidR="00323457" w:rsidRPr="0059638B">
        <w:rPr>
          <w:color w:val="000000"/>
          <w:sz w:val="20"/>
          <w:szCs w:val="20"/>
          <w:lang w:eastAsia="en-GB" w:bidi="en-GB"/>
        </w:rPr>
        <w:t>statement</w:t>
      </w:r>
      <w:r w:rsidR="00FF41A0">
        <w:rPr>
          <w:color w:val="000000"/>
          <w:sz w:val="20"/>
          <w:szCs w:val="20"/>
          <w:lang w:eastAsia="en-GB" w:bidi="en-GB"/>
        </w:rPr>
        <w:t xml:space="preserve"> </w:t>
      </w:r>
      <w:r w:rsidR="00323457" w:rsidRPr="0059638B">
        <w:rPr>
          <w:color w:val="000000"/>
          <w:sz w:val="20"/>
          <w:szCs w:val="20"/>
          <w:lang w:eastAsia="en-GB" w:bidi="en-GB"/>
        </w:rPr>
        <w:t>with</w:t>
      </w:r>
      <w:r w:rsidR="00FF41A0">
        <w:rPr>
          <w:color w:val="000000"/>
          <w:sz w:val="20"/>
          <w:szCs w:val="20"/>
          <w:lang w:eastAsia="en-GB" w:bidi="en-GB"/>
        </w:rPr>
        <w:t xml:space="preserve"> </w:t>
      </w:r>
      <w:r w:rsidR="00323457" w:rsidRPr="0059638B">
        <w:rPr>
          <w:color w:val="000000"/>
          <w:sz w:val="20"/>
          <w:szCs w:val="20"/>
          <w:lang w:eastAsia="en-GB" w:bidi="en-GB"/>
        </w:rPr>
        <w:t>Swedish</w:t>
      </w:r>
      <w:r w:rsidR="00FF41A0">
        <w:rPr>
          <w:color w:val="000000"/>
          <w:sz w:val="20"/>
          <w:szCs w:val="20"/>
          <w:lang w:eastAsia="en-GB" w:bidi="en-GB"/>
        </w:rPr>
        <w:t xml:space="preserve"> </w:t>
      </w:r>
      <w:r w:rsidR="00323457" w:rsidRPr="0059638B">
        <w:rPr>
          <w:color w:val="000000"/>
          <w:sz w:val="20"/>
          <w:szCs w:val="20"/>
          <w:lang w:eastAsia="en-GB" w:bidi="en-GB"/>
        </w:rPr>
        <w:t>Association</w:t>
      </w:r>
      <w:r w:rsidR="00FF41A0">
        <w:rPr>
          <w:color w:val="000000"/>
          <w:sz w:val="20"/>
          <w:szCs w:val="20"/>
          <w:lang w:eastAsia="en-GB" w:bidi="en-GB"/>
        </w:rPr>
        <w:t xml:space="preserve"> </w:t>
      </w:r>
      <w:r w:rsidR="00323457" w:rsidRPr="0059638B">
        <w:rPr>
          <w:color w:val="000000"/>
          <w:sz w:val="20"/>
          <w:szCs w:val="20"/>
          <w:lang w:eastAsia="en-GB" w:bidi="en-GB"/>
        </w:rPr>
        <w:t>for</w:t>
      </w:r>
      <w:r w:rsidR="00FF41A0">
        <w:rPr>
          <w:color w:val="000000"/>
          <w:sz w:val="20"/>
          <w:szCs w:val="20"/>
          <w:lang w:eastAsia="en-GB" w:bidi="en-GB"/>
        </w:rPr>
        <w:t xml:space="preserve"> </w:t>
      </w:r>
      <w:r w:rsidR="00323457" w:rsidRPr="0059638B">
        <w:rPr>
          <w:color w:val="000000"/>
          <w:sz w:val="20"/>
          <w:szCs w:val="20"/>
          <w:lang w:eastAsia="en-GB" w:bidi="en-GB"/>
        </w:rPr>
        <w:t>Sexuality</w:t>
      </w:r>
      <w:r w:rsidR="00FF41A0">
        <w:rPr>
          <w:color w:val="000000"/>
          <w:sz w:val="20"/>
          <w:szCs w:val="20"/>
          <w:lang w:eastAsia="en-GB" w:bidi="en-GB"/>
        </w:rPr>
        <w:t xml:space="preserve"> </w:t>
      </w:r>
      <w:r w:rsidR="00323457" w:rsidRPr="0059638B">
        <w:rPr>
          <w:color w:val="000000"/>
          <w:sz w:val="20"/>
          <w:szCs w:val="20"/>
          <w:lang w:eastAsia="en-GB" w:bidi="en-GB"/>
        </w:rPr>
        <w:t>Education,</w:t>
      </w:r>
      <w:r w:rsidR="00FF41A0">
        <w:rPr>
          <w:color w:val="000000"/>
          <w:sz w:val="20"/>
          <w:szCs w:val="20"/>
          <w:lang w:eastAsia="en-GB" w:bidi="en-GB"/>
        </w:rPr>
        <w:t xml:space="preserve"> </w:t>
      </w:r>
      <w:r w:rsidR="00323457" w:rsidRPr="0059638B">
        <w:rPr>
          <w:color w:val="000000"/>
          <w:sz w:val="20"/>
          <w:szCs w:val="20"/>
          <w:lang w:eastAsia="en-GB" w:bidi="en-GB"/>
        </w:rPr>
        <w:t>expressed</w:t>
      </w:r>
      <w:r w:rsidR="00FF41A0">
        <w:rPr>
          <w:color w:val="000000"/>
          <w:sz w:val="20"/>
          <w:szCs w:val="20"/>
          <w:lang w:eastAsia="en-GB" w:bidi="en-GB"/>
        </w:rPr>
        <w:t xml:space="preserve"> </w:t>
      </w:r>
      <w:r w:rsidR="00323457" w:rsidRPr="0059638B">
        <w:rPr>
          <w:color w:val="000000"/>
          <w:sz w:val="20"/>
          <w:szCs w:val="20"/>
          <w:lang w:eastAsia="en-GB" w:bidi="en-GB"/>
        </w:rPr>
        <w:t>appreciation</w:t>
      </w:r>
      <w:r w:rsidR="00FF41A0">
        <w:rPr>
          <w:color w:val="000000"/>
          <w:sz w:val="20"/>
          <w:szCs w:val="20"/>
          <w:lang w:eastAsia="en-GB" w:bidi="en-GB"/>
        </w:rPr>
        <w:t xml:space="preserve"> </w:t>
      </w:r>
      <w:r w:rsidR="00323457" w:rsidRPr="0059638B">
        <w:rPr>
          <w:color w:val="000000"/>
          <w:sz w:val="20"/>
          <w:szCs w:val="20"/>
          <w:lang w:eastAsia="en-GB" w:bidi="en-GB"/>
        </w:rPr>
        <w:t>for</w:t>
      </w:r>
      <w:r w:rsidR="00FF41A0">
        <w:rPr>
          <w:color w:val="000000"/>
          <w:sz w:val="20"/>
          <w:szCs w:val="20"/>
          <w:lang w:eastAsia="en-GB" w:bidi="en-GB"/>
        </w:rPr>
        <w:t xml:space="preserve"> </w:t>
      </w:r>
      <w:r w:rsidR="00323457" w:rsidRPr="0059638B">
        <w:rPr>
          <w:color w:val="000000"/>
          <w:sz w:val="20"/>
          <w:szCs w:val="20"/>
          <w:lang w:eastAsia="en-GB" w:bidi="en-GB"/>
        </w:rPr>
        <w:t>Malaysia</w:t>
      </w:r>
      <w:r w:rsidR="00FF41A0">
        <w:rPr>
          <w:color w:val="000000"/>
          <w:sz w:val="20"/>
          <w:szCs w:val="20"/>
          <w:lang w:eastAsia="en-GB" w:bidi="en-GB"/>
        </w:rPr>
        <w:t xml:space="preserve"> </w:t>
      </w:r>
      <w:r w:rsidR="00323457" w:rsidRPr="0059638B">
        <w:rPr>
          <w:color w:val="000000"/>
          <w:sz w:val="20"/>
          <w:szCs w:val="20"/>
          <w:lang w:eastAsia="en-GB" w:bidi="en-GB"/>
        </w:rPr>
        <w:t>in</w:t>
      </w:r>
      <w:r w:rsidR="00FF41A0">
        <w:rPr>
          <w:color w:val="000000"/>
          <w:sz w:val="20"/>
          <w:szCs w:val="20"/>
          <w:lang w:eastAsia="en-GB" w:bidi="en-GB"/>
        </w:rPr>
        <w:t xml:space="preserve"> </w:t>
      </w:r>
      <w:r w:rsidR="00323457" w:rsidRPr="0059638B">
        <w:rPr>
          <w:color w:val="000000"/>
          <w:sz w:val="20"/>
          <w:szCs w:val="20"/>
          <w:lang w:eastAsia="en-GB" w:bidi="en-GB"/>
        </w:rPr>
        <w:t>ensuring</w:t>
      </w:r>
      <w:r w:rsidR="00FF41A0">
        <w:rPr>
          <w:color w:val="000000"/>
          <w:sz w:val="20"/>
          <w:szCs w:val="20"/>
          <w:lang w:eastAsia="en-GB" w:bidi="en-GB"/>
        </w:rPr>
        <w:t xml:space="preserve"> </w:t>
      </w:r>
      <w:r w:rsidR="00323457" w:rsidRPr="0059638B">
        <w:rPr>
          <w:color w:val="000000"/>
          <w:sz w:val="20"/>
          <w:szCs w:val="20"/>
          <w:lang w:eastAsia="en-GB" w:bidi="en-GB"/>
        </w:rPr>
        <w:t>universal</w:t>
      </w:r>
      <w:r w:rsidR="00FF41A0">
        <w:rPr>
          <w:color w:val="000000"/>
          <w:sz w:val="20"/>
          <w:szCs w:val="20"/>
          <w:lang w:eastAsia="en-GB" w:bidi="en-GB"/>
        </w:rPr>
        <w:t xml:space="preserve"> </w:t>
      </w:r>
      <w:r w:rsidR="00323457" w:rsidRPr="0059638B">
        <w:rPr>
          <w:color w:val="000000"/>
          <w:sz w:val="20"/>
          <w:szCs w:val="20"/>
          <w:lang w:eastAsia="en-GB" w:bidi="en-GB"/>
        </w:rPr>
        <w:t>access</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stigma-free</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friendly</w:t>
      </w:r>
      <w:r w:rsidR="00FF41A0">
        <w:rPr>
          <w:color w:val="000000"/>
          <w:sz w:val="20"/>
          <w:szCs w:val="20"/>
          <w:lang w:eastAsia="en-GB" w:bidi="en-GB"/>
        </w:rPr>
        <w:t xml:space="preserve"> </w:t>
      </w:r>
      <w:r w:rsidR="00323457" w:rsidRPr="0059638B">
        <w:rPr>
          <w:color w:val="000000"/>
          <w:sz w:val="20"/>
          <w:szCs w:val="20"/>
          <w:lang w:eastAsia="en-GB" w:bidi="en-GB"/>
        </w:rPr>
        <w:t>services</w:t>
      </w:r>
      <w:r w:rsidR="00FF41A0">
        <w:rPr>
          <w:color w:val="000000"/>
          <w:sz w:val="20"/>
          <w:szCs w:val="20"/>
          <w:lang w:eastAsia="en-GB" w:bidi="en-GB"/>
        </w:rPr>
        <w:t xml:space="preserve"> </w:t>
      </w:r>
      <w:r w:rsidR="00323457" w:rsidRPr="0059638B">
        <w:rPr>
          <w:color w:val="000000"/>
          <w:sz w:val="20"/>
          <w:szCs w:val="20"/>
          <w:lang w:eastAsia="en-GB" w:bidi="en-GB"/>
        </w:rPr>
        <w:t>for</w:t>
      </w:r>
      <w:r w:rsidR="00FF41A0">
        <w:rPr>
          <w:color w:val="000000"/>
          <w:sz w:val="20"/>
          <w:szCs w:val="20"/>
          <w:lang w:eastAsia="en-GB" w:bidi="en-GB"/>
        </w:rPr>
        <w:t xml:space="preserve"> </w:t>
      </w:r>
      <w:r w:rsidR="00323457" w:rsidRPr="0059638B">
        <w:rPr>
          <w:color w:val="000000"/>
          <w:sz w:val="20"/>
          <w:szCs w:val="20"/>
          <w:lang w:eastAsia="en-GB" w:bidi="en-GB"/>
        </w:rPr>
        <w:t>all</w:t>
      </w:r>
      <w:r w:rsidR="00FF41A0">
        <w:rPr>
          <w:color w:val="000000"/>
          <w:sz w:val="20"/>
          <w:szCs w:val="20"/>
          <w:lang w:eastAsia="en-GB" w:bidi="en-GB"/>
        </w:rPr>
        <w:t xml:space="preserve"> </w:t>
      </w:r>
      <w:r w:rsidR="00323457" w:rsidRPr="0059638B">
        <w:rPr>
          <w:color w:val="000000"/>
          <w:sz w:val="20"/>
          <w:szCs w:val="20"/>
          <w:lang w:eastAsia="en-GB" w:bidi="en-GB"/>
        </w:rPr>
        <w:t>people,</w:t>
      </w:r>
      <w:r w:rsidR="00FF41A0">
        <w:rPr>
          <w:color w:val="000000"/>
          <w:sz w:val="20"/>
          <w:szCs w:val="20"/>
          <w:lang w:eastAsia="en-GB" w:bidi="en-GB"/>
        </w:rPr>
        <w:t xml:space="preserve"> </w:t>
      </w:r>
      <w:r w:rsidR="00323457" w:rsidRPr="0059638B">
        <w:rPr>
          <w:color w:val="000000"/>
          <w:sz w:val="20"/>
          <w:szCs w:val="20"/>
          <w:lang w:eastAsia="en-GB" w:bidi="en-GB"/>
        </w:rPr>
        <w:t>especially</w:t>
      </w:r>
      <w:r w:rsidR="00FF41A0">
        <w:rPr>
          <w:color w:val="000000"/>
          <w:sz w:val="20"/>
          <w:szCs w:val="20"/>
          <w:lang w:eastAsia="en-GB" w:bidi="en-GB"/>
        </w:rPr>
        <w:t xml:space="preserve"> </w:t>
      </w:r>
      <w:r w:rsidR="00323457" w:rsidRPr="0059638B">
        <w:rPr>
          <w:color w:val="000000"/>
          <w:sz w:val="20"/>
          <w:szCs w:val="20"/>
          <w:lang w:eastAsia="en-GB" w:bidi="en-GB"/>
        </w:rPr>
        <w:t>unmarried</w:t>
      </w:r>
      <w:r w:rsidR="00FF41A0">
        <w:rPr>
          <w:color w:val="000000"/>
          <w:sz w:val="20"/>
          <w:szCs w:val="20"/>
          <w:lang w:eastAsia="en-GB" w:bidi="en-GB"/>
        </w:rPr>
        <w:t xml:space="preserve"> </w:t>
      </w:r>
      <w:r w:rsidR="00323457" w:rsidRPr="0059638B">
        <w:rPr>
          <w:color w:val="000000"/>
          <w:sz w:val="20"/>
          <w:szCs w:val="20"/>
          <w:lang w:eastAsia="en-GB" w:bidi="en-GB"/>
        </w:rPr>
        <w:t>women,</w:t>
      </w:r>
      <w:r w:rsidR="00FF41A0">
        <w:rPr>
          <w:color w:val="000000"/>
          <w:sz w:val="20"/>
          <w:szCs w:val="20"/>
          <w:lang w:eastAsia="en-GB" w:bidi="en-GB"/>
        </w:rPr>
        <w:t xml:space="preserve"> </w:t>
      </w:r>
      <w:r w:rsidR="00323457" w:rsidRPr="0059638B">
        <w:rPr>
          <w:color w:val="000000"/>
          <w:sz w:val="20"/>
          <w:szCs w:val="20"/>
          <w:lang w:eastAsia="en-GB" w:bidi="en-GB"/>
        </w:rPr>
        <w:t>adolescents</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vulnerable</w:t>
      </w:r>
      <w:r w:rsidR="00FF41A0">
        <w:rPr>
          <w:color w:val="000000"/>
          <w:sz w:val="20"/>
          <w:szCs w:val="20"/>
          <w:lang w:eastAsia="en-GB" w:bidi="en-GB"/>
        </w:rPr>
        <w:t xml:space="preserve"> </w:t>
      </w:r>
      <w:r w:rsidR="00323457" w:rsidRPr="0059638B">
        <w:rPr>
          <w:color w:val="000000"/>
          <w:sz w:val="20"/>
          <w:szCs w:val="20"/>
          <w:lang w:eastAsia="en-GB" w:bidi="en-GB"/>
        </w:rPr>
        <w:t>groups.</w:t>
      </w:r>
      <w:r w:rsidR="00FF41A0">
        <w:rPr>
          <w:color w:val="000000"/>
          <w:sz w:val="20"/>
          <w:szCs w:val="20"/>
          <w:lang w:eastAsia="en-GB" w:bidi="en-GB"/>
        </w:rPr>
        <w:t xml:space="preserve"> </w:t>
      </w:r>
      <w:r w:rsidR="00323457" w:rsidRPr="0059638B">
        <w:rPr>
          <w:color w:val="000000"/>
          <w:sz w:val="20"/>
          <w:szCs w:val="20"/>
          <w:lang w:eastAsia="en-GB" w:bidi="en-GB"/>
        </w:rPr>
        <w:t>They</w:t>
      </w:r>
      <w:r w:rsidR="00FF41A0">
        <w:rPr>
          <w:color w:val="000000"/>
          <w:sz w:val="20"/>
          <w:szCs w:val="20"/>
          <w:lang w:eastAsia="en-GB" w:bidi="en-GB"/>
        </w:rPr>
        <w:t xml:space="preserve"> </w:t>
      </w:r>
      <w:r w:rsidR="00323457" w:rsidRPr="0059638B">
        <w:rPr>
          <w:color w:val="000000"/>
          <w:sz w:val="20"/>
          <w:szCs w:val="20"/>
          <w:lang w:eastAsia="en-GB" w:bidi="en-GB"/>
        </w:rPr>
        <w:t>encouraged</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new</w:t>
      </w:r>
      <w:r w:rsidR="00FF41A0">
        <w:rPr>
          <w:color w:val="000000"/>
          <w:sz w:val="20"/>
          <w:szCs w:val="20"/>
          <w:lang w:eastAsia="en-GB" w:bidi="en-GB"/>
        </w:rPr>
        <w:t xml:space="preserve"> </w:t>
      </w:r>
      <w:r w:rsidR="00323457" w:rsidRPr="0059638B">
        <w:rPr>
          <w:color w:val="000000"/>
          <w:sz w:val="20"/>
          <w:szCs w:val="20"/>
          <w:lang w:eastAsia="en-GB" w:bidi="en-GB"/>
        </w:rPr>
        <w:t>Government</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maintain</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scale</w:t>
      </w:r>
      <w:r w:rsidR="00FF41A0">
        <w:rPr>
          <w:color w:val="000000"/>
          <w:sz w:val="20"/>
          <w:szCs w:val="20"/>
          <w:lang w:eastAsia="en-GB" w:bidi="en-GB"/>
        </w:rPr>
        <w:t xml:space="preserve"> </w:t>
      </w:r>
      <w:r w:rsidR="00323457" w:rsidRPr="0059638B">
        <w:rPr>
          <w:color w:val="000000"/>
          <w:sz w:val="20"/>
          <w:szCs w:val="20"/>
          <w:lang w:eastAsia="en-GB" w:bidi="en-GB"/>
        </w:rPr>
        <w:t>up</w:t>
      </w:r>
      <w:r w:rsidR="00FF41A0">
        <w:rPr>
          <w:color w:val="000000"/>
          <w:sz w:val="20"/>
          <w:szCs w:val="20"/>
          <w:lang w:eastAsia="en-GB" w:bidi="en-GB"/>
        </w:rPr>
        <w:t xml:space="preserve"> </w:t>
      </w:r>
      <w:r w:rsidR="00323457" w:rsidRPr="0059638B">
        <w:rPr>
          <w:color w:val="000000"/>
          <w:sz w:val="20"/>
          <w:szCs w:val="20"/>
          <w:lang w:eastAsia="en-GB" w:bidi="en-GB"/>
        </w:rPr>
        <w:t>efforts</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reduce</w:t>
      </w:r>
      <w:r w:rsidR="00FF41A0">
        <w:rPr>
          <w:color w:val="000000"/>
          <w:sz w:val="20"/>
          <w:szCs w:val="20"/>
          <w:lang w:eastAsia="en-GB" w:bidi="en-GB"/>
        </w:rPr>
        <w:t xml:space="preserve"> </w:t>
      </w:r>
      <w:r w:rsidR="00323457" w:rsidRPr="0059638B">
        <w:rPr>
          <w:color w:val="000000"/>
          <w:sz w:val="20"/>
          <w:szCs w:val="20"/>
          <w:lang w:eastAsia="en-GB" w:bidi="en-GB"/>
        </w:rPr>
        <w:t>rising</w:t>
      </w:r>
      <w:r w:rsidR="00FF41A0">
        <w:rPr>
          <w:color w:val="000000"/>
          <w:sz w:val="20"/>
          <w:szCs w:val="20"/>
          <w:lang w:eastAsia="en-GB" w:bidi="en-GB"/>
        </w:rPr>
        <w:t xml:space="preserve"> </w:t>
      </w:r>
      <w:r w:rsidR="00323457" w:rsidRPr="0059638B">
        <w:rPr>
          <w:color w:val="000000"/>
          <w:sz w:val="20"/>
          <w:szCs w:val="20"/>
          <w:lang w:eastAsia="en-GB" w:bidi="en-GB"/>
        </w:rPr>
        <w:t>maternal</w:t>
      </w:r>
      <w:r w:rsidR="00FF41A0">
        <w:rPr>
          <w:color w:val="000000"/>
          <w:sz w:val="20"/>
          <w:szCs w:val="20"/>
          <w:lang w:eastAsia="en-GB" w:bidi="en-GB"/>
        </w:rPr>
        <w:t xml:space="preserve"> </w:t>
      </w:r>
      <w:r w:rsidR="00323457" w:rsidRPr="0059638B">
        <w:rPr>
          <w:color w:val="000000"/>
          <w:sz w:val="20"/>
          <w:szCs w:val="20"/>
          <w:lang w:eastAsia="en-GB" w:bidi="en-GB"/>
        </w:rPr>
        <w:t>mortality</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guarantee</w:t>
      </w:r>
      <w:r w:rsidR="00FF41A0">
        <w:rPr>
          <w:color w:val="000000"/>
          <w:sz w:val="20"/>
          <w:szCs w:val="20"/>
          <w:lang w:eastAsia="en-GB" w:bidi="en-GB"/>
        </w:rPr>
        <w:t xml:space="preserve"> </w:t>
      </w:r>
      <w:r w:rsidR="00323457" w:rsidRPr="0059638B">
        <w:rPr>
          <w:color w:val="000000"/>
          <w:sz w:val="20"/>
          <w:szCs w:val="20"/>
          <w:lang w:eastAsia="en-GB" w:bidi="en-GB"/>
        </w:rPr>
        <w:t>full</w:t>
      </w:r>
      <w:r w:rsidR="00FF41A0">
        <w:rPr>
          <w:color w:val="000000"/>
          <w:sz w:val="20"/>
          <w:szCs w:val="20"/>
          <w:lang w:eastAsia="en-GB" w:bidi="en-GB"/>
        </w:rPr>
        <w:t xml:space="preserve"> </w:t>
      </w:r>
      <w:r w:rsidR="00323457" w:rsidRPr="0059638B">
        <w:rPr>
          <w:color w:val="000000"/>
          <w:sz w:val="20"/>
          <w:szCs w:val="20"/>
          <w:lang w:eastAsia="en-GB" w:bidi="en-GB"/>
        </w:rPr>
        <w:t>access</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safe</w:t>
      </w:r>
      <w:r w:rsidR="00FF41A0">
        <w:rPr>
          <w:color w:val="000000"/>
          <w:sz w:val="20"/>
          <w:szCs w:val="20"/>
          <w:lang w:eastAsia="en-GB" w:bidi="en-GB"/>
        </w:rPr>
        <w:t xml:space="preserve"> </w:t>
      </w:r>
      <w:r w:rsidR="00323457" w:rsidRPr="0059638B">
        <w:rPr>
          <w:color w:val="000000"/>
          <w:sz w:val="20"/>
          <w:szCs w:val="20"/>
          <w:lang w:eastAsia="en-GB" w:bidi="en-GB"/>
        </w:rPr>
        <w:t>abortions.</w:t>
      </w:r>
      <w:r w:rsidR="00FF41A0">
        <w:rPr>
          <w:color w:val="000000"/>
          <w:sz w:val="20"/>
          <w:szCs w:val="20"/>
          <w:lang w:eastAsia="en-GB" w:bidi="en-GB"/>
        </w:rPr>
        <w:t xml:space="preserve"> </w:t>
      </w:r>
      <w:r w:rsidR="00323457" w:rsidRPr="0059638B">
        <w:rPr>
          <w:color w:val="000000"/>
          <w:sz w:val="20"/>
          <w:szCs w:val="20"/>
          <w:lang w:eastAsia="en-GB" w:bidi="en-GB"/>
        </w:rPr>
        <w:t>They</w:t>
      </w:r>
      <w:r w:rsidR="00FF41A0">
        <w:rPr>
          <w:color w:val="000000"/>
          <w:sz w:val="20"/>
          <w:szCs w:val="20"/>
          <w:lang w:eastAsia="en-GB" w:bidi="en-GB"/>
        </w:rPr>
        <w:t xml:space="preserve"> </w:t>
      </w:r>
      <w:r w:rsidR="00323457" w:rsidRPr="0059638B">
        <w:rPr>
          <w:color w:val="000000"/>
          <w:sz w:val="20"/>
          <w:szCs w:val="20"/>
          <w:lang w:eastAsia="en-GB" w:bidi="en-GB"/>
        </w:rPr>
        <w:t>commended</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intention</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Malaysia</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enable</w:t>
      </w:r>
      <w:r w:rsidR="00FF41A0">
        <w:rPr>
          <w:color w:val="000000"/>
          <w:sz w:val="20"/>
          <w:szCs w:val="20"/>
          <w:lang w:eastAsia="en-GB" w:bidi="en-GB"/>
        </w:rPr>
        <w:t xml:space="preserve"> </w:t>
      </w:r>
      <w:r w:rsidR="00323457" w:rsidRPr="0059638B">
        <w:rPr>
          <w:color w:val="000000"/>
          <w:sz w:val="20"/>
          <w:szCs w:val="20"/>
          <w:lang w:eastAsia="en-GB" w:bidi="en-GB"/>
        </w:rPr>
        <w:t>young</w:t>
      </w:r>
      <w:r w:rsidR="00FF41A0">
        <w:rPr>
          <w:color w:val="000000"/>
          <w:sz w:val="20"/>
          <w:szCs w:val="20"/>
          <w:lang w:eastAsia="en-GB" w:bidi="en-GB"/>
        </w:rPr>
        <w:t xml:space="preserve"> </w:t>
      </w:r>
      <w:r w:rsidR="00323457" w:rsidRPr="0059638B">
        <w:rPr>
          <w:color w:val="000000"/>
          <w:sz w:val="20"/>
          <w:szCs w:val="20"/>
          <w:lang w:eastAsia="en-GB" w:bidi="en-GB"/>
        </w:rPr>
        <w:t>people</w:t>
      </w:r>
      <w:r w:rsidR="00FF41A0">
        <w:rPr>
          <w:color w:val="000000"/>
          <w:sz w:val="20"/>
          <w:szCs w:val="20"/>
          <w:lang w:eastAsia="en-GB" w:bidi="en-GB"/>
        </w:rPr>
        <w:t xml:space="preserve"> </w:t>
      </w:r>
      <w:r w:rsidR="00323457" w:rsidRPr="0059638B">
        <w:rPr>
          <w:color w:val="000000"/>
          <w:sz w:val="20"/>
          <w:szCs w:val="20"/>
          <w:lang w:eastAsia="en-GB" w:bidi="en-GB"/>
        </w:rPr>
        <w:t>in</w:t>
      </w:r>
      <w:r w:rsidR="00FF41A0">
        <w:rPr>
          <w:color w:val="000000"/>
          <w:sz w:val="20"/>
          <w:szCs w:val="20"/>
          <w:lang w:eastAsia="en-GB" w:bidi="en-GB"/>
        </w:rPr>
        <w:t xml:space="preserve"> </w:t>
      </w:r>
      <w:r w:rsidR="00323457" w:rsidRPr="0059638B">
        <w:rPr>
          <w:color w:val="000000"/>
          <w:sz w:val="20"/>
          <w:szCs w:val="20"/>
          <w:lang w:eastAsia="en-GB" w:bidi="en-GB"/>
        </w:rPr>
        <w:t>Malaysia</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be</w:t>
      </w:r>
      <w:r w:rsidR="00FF41A0">
        <w:rPr>
          <w:color w:val="000000"/>
          <w:sz w:val="20"/>
          <w:szCs w:val="20"/>
          <w:lang w:eastAsia="en-GB" w:bidi="en-GB"/>
        </w:rPr>
        <w:t xml:space="preserve"> </w:t>
      </w:r>
      <w:r w:rsidR="00323457" w:rsidRPr="0059638B">
        <w:rPr>
          <w:color w:val="000000"/>
          <w:sz w:val="20"/>
          <w:szCs w:val="20"/>
          <w:lang w:eastAsia="en-GB" w:bidi="en-GB"/>
        </w:rPr>
        <w:t>fully</w:t>
      </w:r>
      <w:r w:rsidR="00FF41A0">
        <w:rPr>
          <w:color w:val="000000"/>
          <w:sz w:val="20"/>
          <w:szCs w:val="20"/>
          <w:lang w:eastAsia="en-GB" w:bidi="en-GB"/>
        </w:rPr>
        <w:t xml:space="preserve"> </w:t>
      </w:r>
      <w:r w:rsidR="00323457" w:rsidRPr="0059638B">
        <w:rPr>
          <w:color w:val="000000"/>
          <w:sz w:val="20"/>
          <w:szCs w:val="20"/>
          <w:lang w:eastAsia="en-GB" w:bidi="en-GB"/>
        </w:rPr>
        <w:t>informed</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their</w:t>
      </w:r>
      <w:r w:rsidR="00FF41A0">
        <w:rPr>
          <w:color w:val="000000"/>
          <w:sz w:val="20"/>
          <w:szCs w:val="20"/>
          <w:lang w:eastAsia="en-GB" w:bidi="en-GB"/>
        </w:rPr>
        <w:t xml:space="preserve"> </w:t>
      </w:r>
      <w:r w:rsidR="00323457" w:rsidRPr="0059638B">
        <w:rPr>
          <w:color w:val="000000"/>
          <w:sz w:val="20"/>
          <w:szCs w:val="20"/>
          <w:lang w:eastAsia="en-GB" w:bidi="en-GB"/>
        </w:rPr>
        <w:t>sexual</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reproductive</w:t>
      </w:r>
      <w:r w:rsidR="00FF41A0">
        <w:rPr>
          <w:color w:val="000000"/>
          <w:sz w:val="20"/>
          <w:szCs w:val="20"/>
          <w:lang w:eastAsia="en-GB" w:bidi="en-GB"/>
        </w:rPr>
        <w:t xml:space="preserve"> </w:t>
      </w:r>
      <w:r w:rsidR="00323457" w:rsidRPr="0059638B">
        <w:rPr>
          <w:color w:val="000000"/>
          <w:sz w:val="20"/>
          <w:szCs w:val="20"/>
          <w:lang w:eastAsia="en-GB" w:bidi="en-GB"/>
        </w:rPr>
        <w:t>health</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rights.</w:t>
      </w:r>
    </w:p>
    <w:p w14:paraId="635B0988" w14:textId="5B0552D1" w:rsidR="00323457" w:rsidRPr="0059638B" w:rsidRDefault="00972F1E" w:rsidP="00323457">
      <w:pPr>
        <w:pStyle w:val="SingleTxtG"/>
        <w:rPr>
          <w:color w:val="000000"/>
          <w:sz w:val="20"/>
          <w:szCs w:val="20"/>
          <w:lang w:eastAsia="en-GB" w:bidi="en-GB"/>
        </w:rPr>
      </w:pPr>
      <w:r>
        <w:rPr>
          <w:color w:val="000000"/>
          <w:sz w:val="20"/>
          <w:szCs w:val="20"/>
          <w:lang w:eastAsia="en-GB" w:bidi="en-GB"/>
        </w:rPr>
        <w:t>665</w:t>
      </w:r>
      <w:r w:rsidR="00D7475F">
        <w:rPr>
          <w:color w:val="000000"/>
          <w:sz w:val="20"/>
          <w:szCs w:val="20"/>
          <w:lang w:eastAsia="en-GB" w:bidi="en-GB"/>
        </w:rPr>
        <w:t>.</w:t>
      </w:r>
      <w:r w:rsidR="00D7475F">
        <w:rPr>
          <w:color w:val="000000"/>
          <w:sz w:val="20"/>
          <w:szCs w:val="20"/>
          <w:lang w:eastAsia="en-GB" w:bidi="en-GB"/>
        </w:rPr>
        <w:tab/>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International</w:t>
      </w:r>
      <w:r w:rsidR="00FF41A0">
        <w:rPr>
          <w:color w:val="000000"/>
          <w:sz w:val="20"/>
          <w:szCs w:val="20"/>
          <w:lang w:eastAsia="en-GB" w:bidi="en-GB"/>
        </w:rPr>
        <w:t xml:space="preserve"> </w:t>
      </w:r>
      <w:r w:rsidR="00323457" w:rsidRPr="0059638B">
        <w:rPr>
          <w:color w:val="000000"/>
          <w:sz w:val="20"/>
          <w:szCs w:val="20"/>
          <w:lang w:eastAsia="en-GB" w:bidi="en-GB"/>
        </w:rPr>
        <w:t>Lesbian</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Gay</w:t>
      </w:r>
      <w:r w:rsidR="00FF41A0">
        <w:rPr>
          <w:color w:val="000000"/>
          <w:sz w:val="20"/>
          <w:szCs w:val="20"/>
          <w:lang w:eastAsia="en-GB" w:bidi="en-GB"/>
        </w:rPr>
        <w:t xml:space="preserve"> </w:t>
      </w:r>
      <w:r w:rsidR="00323457" w:rsidRPr="0059638B">
        <w:rPr>
          <w:color w:val="000000"/>
          <w:sz w:val="20"/>
          <w:szCs w:val="20"/>
          <w:lang w:eastAsia="en-GB" w:bidi="en-GB"/>
        </w:rPr>
        <w:t>Association</w:t>
      </w:r>
      <w:r w:rsidR="00FF41A0">
        <w:rPr>
          <w:color w:val="000000"/>
          <w:sz w:val="20"/>
          <w:szCs w:val="20"/>
          <w:lang w:eastAsia="en-GB" w:bidi="en-GB"/>
        </w:rPr>
        <w:t xml:space="preserve"> </w:t>
      </w:r>
      <w:r w:rsidR="00323457" w:rsidRPr="0059638B">
        <w:rPr>
          <w:color w:val="000000"/>
          <w:sz w:val="20"/>
          <w:szCs w:val="20"/>
          <w:lang w:eastAsia="en-GB" w:bidi="en-GB"/>
        </w:rPr>
        <w:t>welcomed</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11</w:t>
      </w:r>
      <w:r w:rsidR="00FF41A0">
        <w:rPr>
          <w:color w:val="000000"/>
          <w:sz w:val="20"/>
          <w:szCs w:val="20"/>
          <w:lang w:eastAsia="en-GB" w:bidi="en-GB"/>
        </w:rPr>
        <w:t xml:space="preserve"> </w:t>
      </w:r>
      <w:r w:rsidR="00323457" w:rsidRPr="0059638B">
        <w:rPr>
          <w:color w:val="000000"/>
          <w:sz w:val="20"/>
          <w:szCs w:val="20"/>
          <w:lang w:eastAsia="en-GB" w:bidi="en-GB"/>
        </w:rPr>
        <w:t>recommendations</w:t>
      </w:r>
      <w:r w:rsidR="00FF41A0">
        <w:rPr>
          <w:color w:val="000000"/>
          <w:sz w:val="20"/>
          <w:szCs w:val="20"/>
          <w:lang w:eastAsia="en-GB" w:bidi="en-GB"/>
        </w:rPr>
        <w:t xml:space="preserve"> </w:t>
      </w:r>
      <w:r w:rsidR="00323457" w:rsidRPr="0059638B">
        <w:rPr>
          <w:color w:val="000000"/>
          <w:sz w:val="20"/>
          <w:szCs w:val="20"/>
          <w:lang w:eastAsia="en-GB" w:bidi="en-GB"/>
        </w:rPr>
        <w:t>made</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Malaysia</w:t>
      </w:r>
      <w:r w:rsidR="00FF41A0">
        <w:rPr>
          <w:color w:val="000000"/>
          <w:sz w:val="20"/>
          <w:szCs w:val="20"/>
          <w:lang w:eastAsia="en-GB" w:bidi="en-GB"/>
        </w:rPr>
        <w:t xml:space="preserve"> </w:t>
      </w:r>
      <w:r w:rsidR="00323457" w:rsidRPr="0059638B">
        <w:rPr>
          <w:color w:val="000000"/>
          <w:sz w:val="20"/>
          <w:szCs w:val="20"/>
          <w:lang w:eastAsia="en-GB" w:bidi="en-GB"/>
        </w:rPr>
        <w:t>by</w:t>
      </w:r>
      <w:r w:rsidR="00FF41A0">
        <w:rPr>
          <w:color w:val="000000"/>
          <w:sz w:val="20"/>
          <w:szCs w:val="20"/>
          <w:lang w:eastAsia="en-GB" w:bidi="en-GB"/>
        </w:rPr>
        <w:t xml:space="preserve"> </w:t>
      </w:r>
      <w:r w:rsidR="00323457" w:rsidRPr="0059638B">
        <w:rPr>
          <w:color w:val="000000"/>
          <w:sz w:val="20"/>
          <w:szCs w:val="20"/>
          <w:lang w:eastAsia="en-GB" w:bidi="en-GB"/>
        </w:rPr>
        <w:t>various</w:t>
      </w:r>
      <w:r w:rsidR="00FF41A0">
        <w:rPr>
          <w:color w:val="000000"/>
          <w:sz w:val="20"/>
          <w:szCs w:val="20"/>
          <w:lang w:eastAsia="en-GB" w:bidi="en-GB"/>
        </w:rPr>
        <w:t xml:space="preserve"> </w:t>
      </w:r>
      <w:r w:rsidR="00323457" w:rsidRPr="0059638B">
        <w:rPr>
          <w:color w:val="000000"/>
          <w:sz w:val="20"/>
          <w:szCs w:val="20"/>
          <w:lang w:eastAsia="en-GB" w:bidi="en-GB"/>
        </w:rPr>
        <w:t>Member</w:t>
      </w:r>
      <w:r w:rsidR="00FF41A0">
        <w:rPr>
          <w:color w:val="000000"/>
          <w:sz w:val="20"/>
          <w:szCs w:val="20"/>
          <w:lang w:eastAsia="en-GB" w:bidi="en-GB"/>
        </w:rPr>
        <w:t xml:space="preserve"> </w:t>
      </w:r>
      <w:r w:rsidR="00323457" w:rsidRPr="0059638B">
        <w:rPr>
          <w:color w:val="000000"/>
          <w:sz w:val="20"/>
          <w:szCs w:val="20"/>
          <w:lang w:eastAsia="en-GB" w:bidi="en-GB"/>
        </w:rPr>
        <w:t>States</w:t>
      </w:r>
      <w:r w:rsidR="00FF41A0">
        <w:rPr>
          <w:color w:val="000000"/>
          <w:sz w:val="20"/>
          <w:szCs w:val="20"/>
          <w:lang w:eastAsia="en-GB" w:bidi="en-GB"/>
        </w:rPr>
        <w:t xml:space="preserve"> </w:t>
      </w:r>
      <w:r w:rsidR="00323457" w:rsidRPr="0059638B">
        <w:rPr>
          <w:color w:val="000000"/>
          <w:sz w:val="20"/>
          <w:szCs w:val="20"/>
          <w:lang w:eastAsia="en-GB" w:bidi="en-GB"/>
        </w:rPr>
        <w:t>on</w:t>
      </w:r>
      <w:r w:rsidR="00FF41A0">
        <w:rPr>
          <w:color w:val="000000"/>
          <w:sz w:val="20"/>
          <w:szCs w:val="20"/>
          <w:lang w:eastAsia="en-GB" w:bidi="en-GB"/>
        </w:rPr>
        <w:t xml:space="preserve"> </w:t>
      </w:r>
      <w:r w:rsidR="00323457" w:rsidRPr="0059638B">
        <w:rPr>
          <w:color w:val="000000"/>
          <w:sz w:val="20"/>
          <w:szCs w:val="20"/>
          <w:lang w:eastAsia="en-GB" w:bidi="en-GB"/>
        </w:rPr>
        <w:t>sexual</w:t>
      </w:r>
      <w:r w:rsidR="00FF41A0">
        <w:rPr>
          <w:color w:val="000000"/>
          <w:sz w:val="20"/>
          <w:szCs w:val="20"/>
          <w:lang w:eastAsia="en-GB" w:bidi="en-GB"/>
        </w:rPr>
        <w:t xml:space="preserve"> </w:t>
      </w:r>
      <w:r w:rsidR="00323457" w:rsidRPr="0059638B">
        <w:rPr>
          <w:color w:val="000000"/>
          <w:sz w:val="20"/>
          <w:szCs w:val="20"/>
          <w:lang w:eastAsia="en-GB" w:bidi="en-GB"/>
        </w:rPr>
        <w:t>orientation,</w:t>
      </w:r>
      <w:r w:rsidR="00FF41A0">
        <w:rPr>
          <w:color w:val="000000"/>
          <w:sz w:val="20"/>
          <w:szCs w:val="20"/>
          <w:lang w:eastAsia="en-GB" w:bidi="en-GB"/>
        </w:rPr>
        <w:t xml:space="preserve"> </w:t>
      </w:r>
      <w:r w:rsidR="00323457" w:rsidRPr="0059638B">
        <w:rPr>
          <w:color w:val="000000"/>
          <w:sz w:val="20"/>
          <w:szCs w:val="20"/>
          <w:lang w:eastAsia="en-GB" w:bidi="en-GB"/>
        </w:rPr>
        <w:t>gender</w:t>
      </w:r>
      <w:r w:rsidR="00FF41A0">
        <w:rPr>
          <w:color w:val="000000"/>
          <w:sz w:val="20"/>
          <w:szCs w:val="20"/>
          <w:lang w:eastAsia="en-GB" w:bidi="en-GB"/>
        </w:rPr>
        <w:t xml:space="preserve"> </w:t>
      </w:r>
      <w:r w:rsidR="00323457" w:rsidRPr="0059638B">
        <w:rPr>
          <w:color w:val="000000"/>
          <w:sz w:val="20"/>
          <w:szCs w:val="20"/>
          <w:lang w:eastAsia="en-GB" w:bidi="en-GB"/>
        </w:rPr>
        <w:t>identity</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expression,</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sex</w:t>
      </w:r>
      <w:r w:rsidR="00FF41A0">
        <w:rPr>
          <w:color w:val="000000"/>
          <w:sz w:val="20"/>
          <w:szCs w:val="20"/>
          <w:lang w:eastAsia="en-GB" w:bidi="en-GB"/>
        </w:rPr>
        <w:t xml:space="preserve"> </w:t>
      </w:r>
      <w:r w:rsidR="00323457" w:rsidRPr="0059638B">
        <w:rPr>
          <w:color w:val="000000"/>
          <w:sz w:val="20"/>
          <w:szCs w:val="20"/>
          <w:lang w:eastAsia="en-GB" w:bidi="en-GB"/>
        </w:rPr>
        <w:t>characteristics</w:t>
      </w:r>
      <w:r w:rsidR="00FF41A0">
        <w:rPr>
          <w:color w:val="000000"/>
          <w:sz w:val="20"/>
          <w:szCs w:val="20"/>
          <w:lang w:eastAsia="en-GB" w:bidi="en-GB"/>
        </w:rPr>
        <w:t xml:space="preserve"> </w:t>
      </w:r>
      <w:r w:rsidR="00323457" w:rsidRPr="0059638B">
        <w:rPr>
          <w:color w:val="000000"/>
          <w:sz w:val="20"/>
          <w:szCs w:val="20"/>
          <w:lang w:eastAsia="en-GB" w:bidi="en-GB"/>
        </w:rPr>
        <w:t>issues,</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acceptance</w:t>
      </w:r>
      <w:r w:rsidR="00FF41A0">
        <w:rPr>
          <w:color w:val="000000"/>
          <w:sz w:val="20"/>
          <w:szCs w:val="20"/>
          <w:lang w:eastAsia="en-GB" w:bidi="en-GB"/>
        </w:rPr>
        <w:t xml:space="preserve"> </w:t>
      </w:r>
      <w:r w:rsidR="00323457" w:rsidRPr="0059638B">
        <w:rPr>
          <w:color w:val="000000"/>
          <w:sz w:val="20"/>
          <w:szCs w:val="20"/>
          <w:lang w:eastAsia="en-GB" w:bidi="en-GB"/>
        </w:rPr>
        <w:t>by</w:t>
      </w:r>
      <w:r w:rsidR="00FF41A0">
        <w:rPr>
          <w:color w:val="000000"/>
          <w:sz w:val="20"/>
          <w:szCs w:val="20"/>
          <w:lang w:eastAsia="en-GB" w:bidi="en-GB"/>
        </w:rPr>
        <w:t xml:space="preserve"> </w:t>
      </w:r>
      <w:r w:rsidR="00323457" w:rsidRPr="0059638B">
        <w:rPr>
          <w:color w:val="000000"/>
          <w:sz w:val="20"/>
          <w:szCs w:val="20"/>
          <w:lang w:eastAsia="en-GB" w:bidi="en-GB"/>
        </w:rPr>
        <w:t>Malaysia</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recommendation</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implement</w:t>
      </w:r>
      <w:r w:rsidR="00FF41A0">
        <w:rPr>
          <w:color w:val="000000"/>
          <w:sz w:val="20"/>
          <w:szCs w:val="20"/>
          <w:lang w:eastAsia="en-GB" w:bidi="en-GB"/>
        </w:rPr>
        <w:t xml:space="preserve"> </w:t>
      </w:r>
      <w:r w:rsidR="00323457" w:rsidRPr="0059638B">
        <w:rPr>
          <w:color w:val="000000"/>
          <w:sz w:val="20"/>
          <w:szCs w:val="20"/>
          <w:lang w:eastAsia="en-GB" w:bidi="en-GB"/>
        </w:rPr>
        <w:t>anti-bullying</w:t>
      </w:r>
      <w:r w:rsidR="00FF41A0">
        <w:rPr>
          <w:color w:val="000000"/>
          <w:sz w:val="20"/>
          <w:szCs w:val="20"/>
          <w:lang w:eastAsia="en-GB" w:bidi="en-GB"/>
        </w:rPr>
        <w:t xml:space="preserve"> </w:t>
      </w:r>
      <w:r w:rsidR="00323457" w:rsidRPr="0059638B">
        <w:rPr>
          <w:color w:val="000000"/>
          <w:sz w:val="20"/>
          <w:szCs w:val="20"/>
          <w:lang w:eastAsia="en-GB" w:bidi="en-GB"/>
        </w:rPr>
        <w:t>campaigns</w:t>
      </w:r>
      <w:r w:rsidR="00FF41A0">
        <w:rPr>
          <w:color w:val="000000"/>
          <w:sz w:val="20"/>
          <w:szCs w:val="20"/>
          <w:lang w:eastAsia="en-GB" w:bidi="en-GB"/>
        </w:rPr>
        <w:t xml:space="preserve"> </w:t>
      </w:r>
      <w:r w:rsidR="00323457" w:rsidRPr="0059638B">
        <w:rPr>
          <w:color w:val="000000"/>
          <w:sz w:val="20"/>
          <w:szCs w:val="20"/>
          <w:lang w:eastAsia="en-GB" w:bidi="en-GB"/>
        </w:rPr>
        <w:t>in</w:t>
      </w:r>
      <w:r w:rsidR="00FF41A0">
        <w:rPr>
          <w:color w:val="000000"/>
          <w:sz w:val="20"/>
          <w:szCs w:val="20"/>
          <w:lang w:eastAsia="en-GB" w:bidi="en-GB"/>
        </w:rPr>
        <w:t xml:space="preserve"> </w:t>
      </w:r>
      <w:r w:rsidR="00323457" w:rsidRPr="0059638B">
        <w:rPr>
          <w:color w:val="000000"/>
          <w:sz w:val="20"/>
          <w:szCs w:val="20"/>
          <w:lang w:eastAsia="en-GB" w:bidi="en-GB"/>
        </w:rPr>
        <w:t>schools,</w:t>
      </w:r>
      <w:r w:rsidR="00FF41A0">
        <w:rPr>
          <w:color w:val="000000"/>
          <w:sz w:val="20"/>
          <w:szCs w:val="20"/>
          <w:lang w:eastAsia="en-GB" w:bidi="en-GB"/>
        </w:rPr>
        <w:t xml:space="preserve"> </w:t>
      </w:r>
      <w:r w:rsidR="00323457" w:rsidRPr="0059638B">
        <w:rPr>
          <w:color w:val="000000"/>
          <w:sz w:val="20"/>
          <w:szCs w:val="20"/>
          <w:lang w:eastAsia="en-GB" w:bidi="en-GB"/>
        </w:rPr>
        <w:t>but</w:t>
      </w:r>
      <w:r w:rsidR="00FF41A0">
        <w:rPr>
          <w:color w:val="000000"/>
          <w:sz w:val="20"/>
          <w:szCs w:val="20"/>
          <w:lang w:eastAsia="en-GB" w:bidi="en-GB"/>
        </w:rPr>
        <w:t xml:space="preserve"> </w:t>
      </w:r>
      <w:r w:rsidR="00323457" w:rsidRPr="0059638B">
        <w:rPr>
          <w:color w:val="000000"/>
          <w:sz w:val="20"/>
          <w:szCs w:val="20"/>
          <w:lang w:eastAsia="en-GB" w:bidi="en-GB"/>
        </w:rPr>
        <w:t>was</w:t>
      </w:r>
      <w:r w:rsidR="00FF41A0">
        <w:rPr>
          <w:color w:val="000000"/>
          <w:sz w:val="20"/>
          <w:szCs w:val="20"/>
          <w:lang w:eastAsia="en-GB" w:bidi="en-GB"/>
        </w:rPr>
        <w:t xml:space="preserve"> </w:t>
      </w:r>
      <w:r w:rsidR="00323457" w:rsidRPr="0059638B">
        <w:rPr>
          <w:color w:val="000000"/>
          <w:sz w:val="20"/>
          <w:szCs w:val="20"/>
          <w:lang w:eastAsia="en-GB" w:bidi="en-GB"/>
        </w:rPr>
        <w:t>deeply</w:t>
      </w:r>
      <w:r w:rsidR="00FF41A0">
        <w:rPr>
          <w:color w:val="000000"/>
          <w:sz w:val="20"/>
          <w:szCs w:val="20"/>
          <w:lang w:eastAsia="en-GB" w:bidi="en-GB"/>
        </w:rPr>
        <w:t xml:space="preserve"> </w:t>
      </w:r>
      <w:r w:rsidR="00323457" w:rsidRPr="0059638B">
        <w:rPr>
          <w:color w:val="000000"/>
          <w:sz w:val="20"/>
          <w:szCs w:val="20"/>
          <w:lang w:eastAsia="en-GB" w:bidi="en-GB"/>
        </w:rPr>
        <w:t>concerned</w:t>
      </w:r>
      <w:r w:rsidR="00FF41A0">
        <w:rPr>
          <w:color w:val="000000"/>
          <w:sz w:val="20"/>
          <w:szCs w:val="20"/>
          <w:lang w:eastAsia="en-GB" w:bidi="en-GB"/>
        </w:rPr>
        <w:t xml:space="preserve"> </w:t>
      </w:r>
      <w:r w:rsidR="00323457" w:rsidRPr="0059638B">
        <w:rPr>
          <w:color w:val="000000"/>
          <w:sz w:val="20"/>
          <w:szCs w:val="20"/>
          <w:lang w:eastAsia="en-GB" w:bidi="en-GB"/>
        </w:rPr>
        <w:t>that</w:t>
      </w:r>
      <w:r w:rsidR="00FF41A0">
        <w:rPr>
          <w:color w:val="000000"/>
          <w:sz w:val="20"/>
          <w:szCs w:val="20"/>
          <w:lang w:eastAsia="en-GB" w:bidi="en-GB"/>
        </w:rPr>
        <w:t xml:space="preserve"> </w:t>
      </w:r>
      <w:r w:rsidR="00323457" w:rsidRPr="0059638B">
        <w:rPr>
          <w:color w:val="000000"/>
          <w:sz w:val="20"/>
          <w:szCs w:val="20"/>
          <w:lang w:eastAsia="en-GB" w:bidi="en-GB"/>
        </w:rPr>
        <w:t>Malaysia</w:t>
      </w:r>
      <w:r w:rsidR="00FF41A0">
        <w:rPr>
          <w:color w:val="000000"/>
          <w:sz w:val="20"/>
          <w:szCs w:val="20"/>
          <w:lang w:eastAsia="en-GB" w:bidi="en-GB"/>
        </w:rPr>
        <w:t xml:space="preserve"> </w:t>
      </w:r>
      <w:r w:rsidR="00323457" w:rsidRPr="0059638B">
        <w:rPr>
          <w:color w:val="000000"/>
          <w:sz w:val="20"/>
          <w:szCs w:val="20"/>
          <w:lang w:eastAsia="en-GB" w:bidi="en-GB"/>
        </w:rPr>
        <w:t>noted</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remaining</w:t>
      </w:r>
      <w:r w:rsidR="00FF41A0">
        <w:rPr>
          <w:color w:val="000000"/>
          <w:sz w:val="20"/>
          <w:szCs w:val="20"/>
          <w:lang w:eastAsia="en-GB" w:bidi="en-GB"/>
        </w:rPr>
        <w:t xml:space="preserve"> </w:t>
      </w:r>
      <w:r w:rsidR="00323457" w:rsidRPr="0059638B">
        <w:rPr>
          <w:color w:val="000000"/>
          <w:sz w:val="20"/>
          <w:szCs w:val="20"/>
          <w:lang w:eastAsia="en-GB" w:bidi="en-GB"/>
        </w:rPr>
        <w:t>10</w:t>
      </w:r>
      <w:r w:rsidR="00FF41A0">
        <w:rPr>
          <w:color w:val="000000"/>
          <w:sz w:val="20"/>
          <w:szCs w:val="20"/>
          <w:lang w:eastAsia="en-GB" w:bidi="en-GB"/>
        </w:rPr>
        <w:t xml:space="preserve"> </w:t>
      </w:r>
      <w:r w:rsidR="00323457" w:rsidRPr="0059638B">
        <w:rPr>
          <w:color w:val="000000"/>
          <w:sz w:val="20"/>
          <w:szCs w:val="20"/>
          <w:lang w:eastAsia="en-GB" w:bidi="en-GB"/>
        </w:rPr>
        <w:t>recommendations</w:t>
      </w:r>
      <w:r w:rsidR="00FF41A0">
        <w:rPr>
          <w:color w:val="000000"/>
          <w:sz w:val="20"/>
          <w:szCs w:val="20"/>
          <w:lang w:eastAsia="en-GB" w:bidi="en-GB"/>
        </w:rPr>
        <w:t xml:space="preserve"> </w:t>
      </w:r>
      <w:r w:rsidR="00323457" w:rsidRPr="0059638B">
        <w:rPr>
          <w:color w:val="000000"/>
          <w:sz w:val="20"/>
          <w:szCs w:val="20"/>
          <w:lang w:eastAsia="en-GB" w:bidi="en-GB"/>
        </w:rPr>
        <w:t>on</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issues.</w:t>
      </w:r>
      <w:r w:rsidR="00FF41A0">
        <w:rPr>
          <w:color w:val="000000"/>
          <w:sz w:val="20"/>
          <w:szCs w:val="20"/>
          <w:lang w:eastAsia="en-GB" w:bidi="en-GB"/>
        </w:rPr>
        <w:t xml:space="preserve"> </w:t>
      </w:r>
      <w:r w:rsidR="00323457" w:rsidRPr="0059638B">
        <w:rPr>
          <w:color w:val="000000"/>
          <w:sz w:val="20"/>
          <w:szCs w:val="20"/>
          <w:lang w:eastAsia="en-GB" w:bidi="en-GB"/>
        </w:rPr>
        <w:t>It</w:t>
      </w:r>
      <w:r w:rsidR="00FF41A0">
        <w:rPr>
          <w:color w:val="000000"/>
          <w:sz w:val="20"/>
          <w:szCs w:val="20"/>
          <w:lang w:eastAsia="en-GB" w:bidi="en-GB"/>
        </w:rPr>
        <w:t xml:space="preserve"> </w:t>
      </w:r>
      <w:r w:rsidR="00323457" w:rsidRPr="0059638B">
        <w:rPr>
          <w:color w:val="000000"/>
          <w:sz w:val="20"/>
          <w:szCs w:val="20"/>
          <w:lang w:eastAsia="en-GB" w:bidi="en-GB"/>
        </w:rPr>
        <w:t>stated</w:t>
      </w:r>
      <w:r w:rsidR="00FF41A0">
        <w:rPr>
          <w:color w:val="000000"/>
          <w:sz w:val="20"/>
          <w:szCs w:val="20"/>
          <w:lang w:eastAsia="en-GB" w:bidi="en-GB"/>
        </w:rPr>
        <w:t xml:space="preserve"> </w:t>
      </w:r>
      <w:r w:rsidR="00323457" w:rsidRPr="0059638B">
        <w:rPr>
          <w:color w:val="000000"/>
          <w:sz w:val="20"/>
          <w:szCs w:val="20"/>
          <w:lang w:eastAsia="en-GB" w:bidi="en-GB"/>
        </w:rPr>
        <w:t>that</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recent</w:t>
      </w:r>
      <w:r w:rsidR="00FF41A0">
        <w:rPr>
          <w:color w:val="000000"/>
          <w:sz w:val="20"/>
          <w:szCs w:val="20"/>
          <w:lang w:eastAsia="en-GB" w:bidi="en-GB"/>
        </w:rPr>
        <w:t xml:space="preserve"> </w:t>
      </w:r>
      <w:r w:rsidR="00323457" w:rsidRPr="0059638B">
        <w:rPr>
          <w:color w:val="000000"/>
          <w:sz w:val="20"/>
          <w:szCs w:val="20"/>
          <w:lang w:eastAsia="en-GB" w:bidi="en-GB"/>
        </w:rPr>
        <w:t>Women</w:t>
      </w:r>
      <w:r w:rsidR="00D72627">
        <w:rPr>
          <w:color w:val="000000"/>
          <w:sz w:val="20"/>
          <w:szCs w:val="20"/>
          <w:lang w:eastAsia="en-GB" w:bidi="en-GB"/>
        </w:rPr>
        <w:t>’</w:t>
      </w:r>
      <w:r w:rsidR="00323457" w:rsidRPr="0059638B">
        <w:rPr>
          <w:color w:val="000000"/>
          <w:sz w:val="20"/>
          <w:szCs w:val="20"/>
          <w:lang w:eastAsia="en-GB" w:bidi="en-GB"/>
        </w:rPr>
        <w:t>s</w:t>
      </w:r>
      <w:r w:rsidR="00FF41A0">
        <w:rPr>
          <w:color w:val="000000"/>
          <w:sz w:val="20"/>
          <w:szCs w:val="20"/>
          <w:lang w:eastAsia="en-GB" w:bidi="en-GB"/>
        </w:rPr>
        <w:t xml:space="preserve"> </w:t>
      </w:r>
      <w:r w:rsidR="00323457" w:rsidRPr="0059638B">
        <w:rPr>
          <w:color w:val="000000"/>
          <w:sz w:val="20"/>
          <w:szCs w:val="20"/>
          <w:lang w:eastAsia="en-GB" w:bidi="en-GB"/>
        </w:rPr>
        <w:t>March</w:t>
      </w:r>
      <w:r w:rsidR="00FF41A0">
        <w:rPr>
          <w:color w:val="000000"/>
          <w:sz w:val="20"/>
          <w:szCs w:val="20"/>
          <w:lang w:eastAsia="en-GB" w:bidi="en-GB"/>
        </w:rPr>
        <w:t xml:space="preserve"> </w:t>
      </w:r>
      <w:r w:rsidR="00323457" w:rsidRPr="0059638B">
        <w:rPr>
          <w:color w:val="000000"/>
          <w:sz w:val="20"/>
          <w:szCs w:val="20"/>
          <w:lang w:eastAsia="en-GB" w:bidi="en-GB"/>
        </w:rPr>
        <w:t>had</w:t>
      </w:r>
      <w:r w:rsidR="00FF41A0">
        <w:rPr>
          <w:color w:val="000000"/>
          <w:sz w:val="20"/>
          <w:szCs w:val="20"/>
          <w:lang w:eastAsia="en-GB" w:bidi="en-GB"/>
        </w:rPr>
        <w:t xml:space="preserve"> </w:t>
      </w:r>
      <w:r w:rsidR="00323457" w:rsidRPr="0059638B">
        <w:rPr>
          <w:color w:val="000000"/>
          <w:sz w:val="20"/>
          <w:szCs w:val="20"/>
          <w:lang w:eastAsia="en-GB" w:bidi="en-GB"/>
        </w:rPr>
        <w:t>created</w:t>
      </w:r>
      <w:r w:rsidR="00FF41A0">
        <w:rPr>
          <w:color w:val="000000"/>
          <w:sz w:val="20"/>
          <w:szCs w:val="20"/>
          <w:lang w:eastAsia="en-GB" w:bidi="en-GB"/>
        </w:rPr>
        <w:t xml:space="preserve"> </w:t>
      </w:r>
      <w:r w:rsidR="00323457" w:rsidRPr="0059638B">
        <w:rPr>
          <w:color w:val="000000"/>
          <w:sz w:val="20"/>
          <w:szCs w:val="20"/>
          <w:lang w:eastAsia="en-GB" w:bidi="en-GB"/>
        </w:rPr>
        <w:t>an</w:t>
      </w:r>
      <w:r w:rsidR="00FF41A0">
        <w:rPr>
          <w:color w:val="000000"/>
          <w:sz w:val="20"/>
          <w:szCs w:val="20"/>
          <w:lang w:eastAsia="en-GB" w:bidi="en-GB"/>
        </w:rPr>
        <w:t xml:space="preserve"> </w:t>
      </w:r>
      <w:r w:rsidR="00323457" w:rsidRPr="0059638B">
        <w:rPr>
          <w:color w:val="000000"/>
          <w:sz w:val="20"/>
          <w:szCs w:val="20"/>
          <w:lang w:eastAsia="en-GB" w:bidi="en-GB"/>
        </w:rPr>
        <w:t>environment</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impunity</w:t>
      </w:r>
      <w:r w:rsidR="00FF41A0">
        <w:rPr>
          <w:color w:val="000000"/>
          <w:sz w:val="20"/>
          <w:szCs w:val="20"/>
          <w:lang w:eastAsia="en-GB" w:bidi="en-GB"/>
        </w:rPr>
        <w:t xml:space="preserve"> </w:t>
      </w:r>
      <w:r w:rsidR="00323457" w:rsidRPr="0059638B">
        <w:rPr>
          <w:color w:val="000000"/>
          <w:sz w:val="20"/>
          <w:szCs w:val="20"/>
          <w:lang w:eastAsia="en-GB" w:bidi="en-GB"/>
        </w:rPr>
        <w:t>for</w:t>
      </w:r>
      <w:r w:rsidR="00FF41A0">
        <w:rPr>
          <w:color w:val="000000"/>
          <w:sz w:val="20"/>
          <w:szCs w:val="20"/>
          <w:lang w:eastAsia="en-GB" w:bidi="en-GB"/>
        </w:rPr>
        <w:t xml:space="preserve"> </w:t>
      </w:r>
      <w:r w:rsidR="00323457" w:rsidRPr="0059638B">
        <w:rPr>
          <w:color w:val="000000"/>
          <w:sz w:val="20"/>
          <w:szCs w:val="20"/>
          <w:lang w:eastAsia="en-GB" w:bidi="en-GB"/>
        </w:rPr>
        <w:t>harassment,</w:t>
      </w:r>
      <w:r w:rsidR="00FF41A0">
        <w:rPr>
          <w:color w:val="000000"/>
          <w:sz w:val="20"/>
          <w:szCs w:val="20"/>
          <w:lang w:eastAsia="en-GB" w:bidi="en-GB"/>
        </w:rPr>
        <w:t xml:space="preserve"> </w:t>
      </w:r>
      <w:r w:rsidR="00323457" w:rsidRPr="0059638B">
        <w:rPr>
          <w:color w:val="000000"/>
          <w:sz w:val="20"/>
          <w:szCs w:val="20"/>
          <w:lang w:eastAsia="en-GB" w:bidi="en-GB"/>
        </w:rPr>
        <w:t>intimidation</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hate</w:t>
      </w:r>
      <w:r w:rsidR="00FF41A0">
        <w:rPr>
          <w:color w:val="000000"/>
          <w:sz w:val="20"/>
          <w:szCs w:val="20"/>
          <w:lang w:eastAsia="en-GB" w:bidi="en-GB"/>
        </w:rPr>
        <w:t xml:space="preserve"> </w:t>
      </w:r>
      <w:r w:rsidR="00323457" w:rsidRPr="0059638B">
        <w:rPr>
          <w:color w:val="000000"/>
          <w:sz w:val="20"/>
          <w:szCs w:val="20"/>
          <w:lang w:eastAsia="en-GB" w:bidi="en-GB"/>
        </w:rPr>
        <w:t>towards</w:t>
      </w:r>
      <w:r w:rsidR="00FF41A0">
        <w:rPr>
          <w:color w:val="000000"/>
          <w:sz w:val="20"/>
          <w:szCs w:val="20"/>
          <w:lang w:eastAsia="en-GB" w:bidi="en-GB"/>
        </w:rPr>
        <w:t xml:space="preserve"> </w:t>
      </w:r>
      <w:r w:rsidR="00323457" w:rsidRPr="0059638B">
        <w:rPr>
          <w:color w:val="000000"/>
          <w:sz w:val="20"/>
          <w:szCs w:val="20"/>
          <w:lang w:eastAsia="en-GB" w:bidi="en-GB"/>
        </w:rPr>
        <w:t>LGBTIQ</w:t>
      </w:r>
      <w:r w:rsidR="00FF41A0">
        <w:rPr>
          <w:color w:val="000000"/>
          <w:sz w:val="20"/>
          <w:szCs w:val="20"/>
          <w:lang w:eastAsia="en-GB" w:bidi="en-GB"/>
        </w:rPr>
        <w:t xml:space="preserve"> </w:t>
      </w:r>
      <w:r w:rsidR="00323457" w:rsidRPr="0059638B">
        <w:rPr>
          <w:color w:val="000000"/>
          <w:sz w:val="20"/>
          <w:szCs w:val="20"/>
          <w:lang w:eastAsia="en-GB" w:bidi="en-GB"/>
        </w:rPr>
        <w:t>persons.</w:t>
      </w:r>
      <w:r w:rsidR="00FF41A0">
        <w:rPr>
          <w:color w:val="000000"/>
          <w:sz w:val="20"/>
          <w:szCs w:val="20"/>
          <w:lang w:eastAsia="en-GB" w:bidi="en-GB"/>
        </w:rPr>
        <w:t xml:space="preserve"> </w:t>
      </w:r>
      <w:r w:rsidR="00323457" w:rsidRPr="0059638B">
        <w:rPr>
          <w:color w:val="000000"/>
          <w:sz w:val="20"/>
          <w:szCs w:val="20"/>
          <w:lang w:eastAsia="en-GB" w:bidi="en-GB"/>
        </w:rPr>
        <w:t>It</w:t>
      </w:r>
      <w:r w:rsidR="00FF41A0">
        <w:rPr>
          <w:color w:val="000000"/>
          <w:sz w:val="20"/>
          <w:szCs w:val="20"/>
          <w:lang w:eastAsia="en-GB" w:bidi="en-GB"/>
        </w:rPr>
        <w:t xml:space="preserve"> </w:t>
      </w:r>
      <w:r w:rsidR="00323457" w:rsidRPr="0059638B">
        <w:rPr>
          <w:color w:val="000000"/>
          <w:sz w:val="20"/>
          <w:szCs w:val="20"/>
          <w:lang w:eastAsia="en-GB" w:bidi="en-GB"/>
        </w:rPr>
        <w:t>called</w:t>
      </w:r>
      <w:r w:rsidR="00FF41A0">
        <w:rPr>
          <w:color w:val="000000"/>
          <w:sz w:val="20"/>
          <w:szCs w:val="20"/>
          <w:lang w:eastAsia="en-GB" w:bidi="en-GB"/>
        </w:rPr>
        <w:t xml:space="preserve"> </w:t>
      </w:r>
      <w:r w:rsidR="00323457" w:rsidRPr="0059638B">
        <w:rPr>
          <w:color w:val="000000"/>
          <w:sz w:val="20"/>
          <w:szCs w:val="20"/>
          <w:lang w:eastAsia="en-GB" w:bidi="en-GB"/>
        </w:rPr>
        <w:t>for</w:t>
      </w:r>
      <w:r w:rsidR="00FF41A0">
        <w:rPr>
          <w:color w:val="000000"/>
          <w:sz w:val="20"/>
          <w:szCs w:val="20"/>
          <w:lang w:eastAsia="en-GB" w:bidi="en-GB"/>
        </w:rPr>
        <w:t xml:space="preserve"> </w:t>
      </w:r>
      <w:r w:rsidR="00323457" w:rsidRPr="0059638B">
        <w:rPr>
          <w:color w:val="000000"/>
          <w:sz w:val="20"/>
          <w:szCs w:val="20"/>
          <w:lang w:eastAsia="en-GB" w:bidi="en-GB"/>
        </w:rPr>
        <w:t>dialogue</w:t>
      </w:r>
      <w:r w:rsidR="00FF41A0">
        <w:rPr>
          <w:color w:val="000000"/>
          <w:sz w:val="20"/>
          <w:szCs w:val="20"/>
          <w:lang w:eastAsia="en-GB" w:bidi="en-GB"/>
        </w:rPr>
        <w:t xml:space="preserve"> </w:t>
      </w:r>
      <w:r w:rsidR="00323457" w:rsidRPr="0059638B">
        <w:rPr>
          <w:color w:val="000000"/>
          <w:sz w:val="20"/>
          <w:szCs w:val="20"/>
          <w:lang w:eastAsia="en-GB" w:bidi="en-GB"/>
        </w:rPr>
        <w:t>with</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Government</w:t>
      </w:r>
      <w:r w:rsidR="00FF41A0">
        <w:rPr>
          <w:color w:val="000000"/>
          <w:sz w:val="20"/>
          <w:szCs w:val="20"/>
          <w:lang w:eastAsia="en-GB" w:bidi="en-GB"/>
        </w:rPr>
        <w:t xml:space="preserve"> </w:t>
      </w:r>
      <w:r w:rsidR="00323457" w:rsidRPr="0059638B">
        <w:rPr>
          <w:color w:val="000000"/>
          <w:sz w:val="20"/>
          <w:szCs w:val="20"/>
          <w:lang w:eastAsia="en-GB" w:bidi="en-GB"/>
        </w:rPr>
        <w:t>on</w:t>
      </w:r>
      <w:r w:rsidR="00FF41A0">
        <w:rPr>
          <w:color w:val="000000"/>
          <w:sz w:val="20"/>
          <w:szCs w:val="20"/>
          <w:lang w:eastAsia="en-GB" w:bidi="en-GB"/>
        </w:rPr>
        <w:t xml:space="preserve"> </w:t>
      </w:r>
      <w:r w:rsidR="00323457" w:rsidRPr="0059638B">
        <w:rPr>
          <w:color w:val="000000"/>
          <w:sz w:val="20"/>
          <w:szCs w:val="20"/>
          <w:lang w:eastAsia="en-GB" w:bidi="en-GB"/>
        </w:rPr>
        <w:t>LGBTIQ</w:t>
      </w:r>
      <w:r w:rsidR="00FF41A0">
        <w:rPr>
          <w:color w:val="000000"/>
          <w:sz w:val="20"/>
          <w:szCs w:val="20"/>
          <w:lang w:eastAsia="en-GB" w:bidi="en-GB"/>
        </w:rPr>
        <w:t xml:space="preserve"> </w:t>
      </w:r>
      <w:r w:rsidR="00323457" w:rsidRPr="0059638B">
        <w:rPr>
          <w:color w:val="000000"/>
          <w:sz w:val="20"/>
          <w:szCs w:val="20"/>
          <w:lang w:eastAsia="en-GB" w:bidi="en-GB"/>
        </w:rPr>
        <w:t>issues,</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called</w:t>
      </w:r>
      <w:r w:rsidR="00FF41A0">
        <w:rPr>
          <w:color w:val="000000"/>
          <w:sz w:val="20"/>
          <w:szCs w:val="20"/>
          <w:lang w:eastAsia="en-GB" w:bidi="en-GB"/>
        </w:rPr>
        <w:t xml:space="preserve"> </w:t>
      </w:r>
      <w:r w:rsidR="00323457" w:rsidRPr="0059638B">
        <w:rPr>
          <w:color w:val="000000"/>
          <w:sz w:val="20"/>
          <w:szCs w:val="20"/>
          <w:lang w:eastAsia="en-GB" w:bidi="en-GB"/>
        </w:rPr>
        <w:t>upon</w:t>
      </w:r>
      <w:r w:rsidR="00FF41A0">
        <w:rPr>
          <w:color w:val="000000"/>
          <w:sz w:val="20"/>
          <w:szCs w:val="20"/>
          <w:lang w:eastAsia="en-GB" w:bidi="en-GB"/>
        </w:rPr>
        <w:t xml:space="preserve"> </w:t>
      </w:r>
      <w:r w:rsidR="00323457" w:rsidRPr="0059638B">
        <w:rPr>
          <w:color w:val="000000"/>
          <w:sz w:val="20"/>
          <w:szCs w:val="20"/>
          <w:lang w:eastAsia="en-GB" w:bidi="en-GB"/>
        </w:rPr>
        <w:t>Malaysia</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stop</w:t>
      </w:r>
      <w:r w:rsidR="00FF41A0">
        <w:rPr>
          <w:color w:val="000000"/>
          <w:sz w:val="20"/>
          <w:szCs w:val="20"/>
          <w:lang w:eastAsia="en-GB" w:bidi="en-GB"/>
        </w:rPr>
        <w:t xml:space="preserve"> </w:t>
      </w:r>
      <w:r w:rsidR="00323457" w:rsidRPr="0059638B">
        <w:rPr>
          <w:color w:val="000000"/>
          <w:sz w:val="20"/>
          <w:szCs w:val="20"/>
          <w:lang w:eastAsia="en-GB" w:bidi="en-GB"/>
        </w:rPr>
        <w:t>all</w:t>
      </w:r>
      <w:r w:rsidR="00FF41A0">
        <w:rPr>
          <w:color w:val="000000"/>
          <w:sz w:val="20"/>
          <w:szCs w:val="20"/>
          <w:lang w:eastAsia="en-GB" w:bidi="en-GB"/>
        </w:rPr>
        <w:t xml:space="preserve"> </w:t>
      </w:r>
      <w:r w:rsidR="00323457" w:rsidRPr="0059638B">
        <w:rPr>
          <w:color w:val="000000"/>
          <w:sz w:val="20"/>
          <w:szCs w:val="20"/>
          <w:lang w:eastAsia="en-GB" w:bidi="en-GB"/>
        </w:rPr>
        <w:t>forms</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state</w:t>
      </w:r>
      <w:r w:rsidR="00FF41A0">
        <w:rPr>
          <w:color w:val="000000"/>
          <w:sz w:val="20"/>
          <w:szCs w:val="20"/>
          <w:lang w:eastAsia="en-GB" w:bidi="en-GB"/>
        </w:rPr>
        <w:t xml:space="preserve"> </w:t>
      </w:r>
      <w:r w:rsidR="00323457" w:rsidRPr="0059638B">
        <w:rPr>
          <w:color w:val="000000"/>
          <w:sz w:val="20"/>
          <w:szCs w:val="20"/>
          <w:lang w:eastAsia="en-GB" w:bidi="en-GB"/>
        </w:rPr>
        <w:t>sponsored</w:t>
      </w:r>
      <w:r w:rsidR="00FF41A0">
        <w:rPr>
          <w:color w:val="000000"/>
          <w:sz w:val="20"/>
          <w:szCs w:val="20"/>
          <w:lang w:eastAsia="en-GB" w:bidi="en-GB"/>
        </w:rPr>
        <w:t xml:space="preserve"> </w:t>
      </w:r>
      <w:r w:rsidR="00323457" w:rsidRPr="0059638B">
        <w:rPr>
          <w:color w:val="000000"/>
          <w:sz w:val="20"/>
          <w:szCs w:val="20"/>
          <w:lang w:eastAsia="en-GB" w:bidi="en-GB"/>
        </w:rPr>
        <w:t>violence</w:t>
      </w:r>
      <w:r w:rsidR="00FF41A0">
        <w:rPr>
          <w:color w:val="000000"/>
          <w:sz w:val="20"/>
          <w:szCs w:val="20"/>
          <w:lang w:eastAsia="en-GB" w:bidi="en-GB"/>
        </w:rPr>
        <w:t xml:space="preserve"> </w:t>
      </w:r>
      <w:r w:rsidR="00323457" w:rsidRPr="0059638B">
        <w:rPr>
          <w:color w:val="000000"/>
          <w:sz w:val="20"/>
          <w:szCs w:val="20"/>
          <w:lang w:eastAsia="en-GB" w:bidi="en-GB"/>
        </w:rPr>
        <w:t>against</w:t>
      </w:r>
      <w:r w:rsidR="00FF41A0">
        <w:rPr>
          <w:color w:val="000000"/>
          <w:sz w:val="20"/>
          <w:szCs w:val="20"/>
          <w:lang w:eastAsia="en-GB" w:bidi="en-GB"/>
        </w:rPr>
        <w:t xml:space="preserve"> </w:t>
      </w:r>
      <w:r w:rsidR="00323457" w:rsidRPr="0059638B">
        <w:rPr>
          <w:color w:val="000000"/>
          <w:sz w:val="20"/>
          <w:szCs w:val="20"/>
          <w:lang w:eastAsia="en-GB" w:bidi="en-GB"/>
        </w:rPr>
        <w:t>people</w:t>
      </w:r>
      <w:r w:rsidR="00FF41A0">
        <w:rPr>
          <w:color w:val="000000"/>
          <w:sz w:val="20"/>
          <w:szCs w:val="20"/>
          <w:lang w:eastAsia="en-GB" w:bidi="en-GB"/>
        </w:rPr>
        <w:t xml:space="preserve"> </w:t>
      </w:r>
      <w:r w:rsidR="00323457" w:rsidRPr="0059638B">
        <w:rPr>
          <w:color w:val="000000"/>
          <w:sz w:val="20"/>
          <w:szCs w:val="20"/>
          <w:lang w:eastAsia="en-GB" w:bidi="en-GB"/>
        </w:rPr>
        <w:t>based</w:t>
      </w:r>
      <w:r w:rsidR="00FF41A0">
        <w:rPr>
          <w:color w:val="000000"/>
          <w:sz w:val="20"/>
          <w:szCs w:val="20"/>
          <w:lang w:eastAsia="en-GB" w:bidi="en-GB"/>
        </w:rPr>
        <w:t xml:space="preserve"> </w:t>
      </w:r>
      <w:r w:rsidR="00323457" w:rsidRPr="0059638B">
        <w:rPr>
          <w:color w:val="000000"/>
          <w:sz w:val="20"/>
          <w:szCs w:val="20"/>
          <w:lang w:eastAsia="en-GB" w:bidi="en-GB"/>
        </w:rPr>
        <w:t>on</w:t>
      </w:r>
      <w:r w:rsidR="00FF41A0">
        <w:rPr>
          <w:color w:val="000000"/>
          <w:sz w:val="20"/>
          <w:szCs w:val="20"/>
          <w:lang w:eastAsia="en-GB" w:bidi="en-GB"/>
        </w:rPr>
        <w:t xml:space="preserve"> </w:t>
      </w:r>
      <w:r w:rsidR="00323457" w:rsidRPr="0059638B">
        <w:rPr>
          <w:color w:val="000000"/>
          <w:sz w:val="20"/>
          <w:szCs w:val="20"/>
          <w:lang w:eastAsia="en-GB" w:bidi="en-GB"/>
        </w:rPr>
        <w:t>their</w:t>
      </w:r>
      <w:r w:rsidR="00FF41A0">
        <w:rPr>
          <w:color w:val="000000"/>
          <w:sz w:val="20"/>
          <w:szCs w:val="20"/>
          <w:lang w:eastAsia="en-GB" w:bidi="en-GB"/>
        </w:rPr>
        <w:t xml:space="preserve"> </w:t>
      </w:r>
      <w:r w:rsidR="00323457" w:rsidRPr="0059638B">
        <w:rPr>
          <w:color w:val="000000"/>
          <w:sz w:val="20"/>
          <w:szCs w:val="20"/>
          <w:lang w:eastAsia="en-GB" w:bidi="en-GB"/>
        </w:rPr>
        <w:t>real</w:t>
      </w:r>
      <w:r w:rsidR="00FF41A0">
        <w:rPr>
          <w:color w:val="000000"/>
          <w:sz w:val="20"/>
          <w:szCs w:val="20"/>
          <w:lang w:eastAsia="en-GB" w:bidi="en-GB"/>
        </w:rPr>
        <w:t xml:space="preserve"> </w:t>
      </w:r>
      <w:r w:rsidR="00323457" w:rsidRPr="0059638B">
        <w:rPr>
          <w:color w:val="000000"/>
          <w:sz w:val="20"/>
          <w:szCs w:val="20"/>
          <w:lang w:eastAsia="en-GB" w:bidi="en-GB"/>
        </w:rPr>
        <w:t>or</w:t>
      </w:r>
      <w:r w:rsidR="00FF41A0">
        <w:rPr>
          <w:color w:val="000000"/>
          <w:sz w:val="20"/>
          <w:szCs w:val="20"/>
          <w:lang w:eastAsia="en-GB" w:bidi="en-GB"/>
        </w:rPr>
        <w:t xml:space="preserve"> </w:t>
      </w:r>
      <w:r w:rsidR="00323457" w:rsidRPr="0059638B">
        <w:rPr>
          <w:color w:val="000000"/>
          <w:sz w:val="20"/>
          <w:szCs w:val="20"/>
          <w:lang w:eastAsia="en-GB" w:bidi="en-GB"/>
        </w:rPr>
        <w:t>perceived</w:t>
      </w:r>
      <w:r w:rsidR="00FF41A0">
        <w:rPr>
          <w:color w:val="000000"/>
          <w:sz w:val="20"/>
          <w:szCs w:val="20"/>
          <w:lang w:eastAsia="en-GB" w:bidi="en-GB"/>
        </w:rPr>
        <w:t xml:space="preserve"> </w:t>
      </w:r>
      <w:r w:rsidR="00323457" w:rsidRPr="0059638B">
        <w:rPr>
          <w:color w:val="000000"/>
          <w:sz w:val="20"/>
          <w:szCs w:val="20"/>
          <w:lang w:eastAsia="en-GB" w:bidi="en-GB"/>
        </w:rPr>
        <w:t>sexual</w:t>
      </w:r>
      <w:r w:rsidR="00FF41A0">
        <w:rPr>
          <w:color w:val="000000"/>
          <w:sz w:val="20"/>
          <w:szCs w:val="20"/>
          <w:lang w:eastAsia="en-GB" w:bidi="en-GB"/>
        </w:rPr>
        <w:t xml:space="preserve"> </w:t>
      </w:r>
      <w:r w:rsidR="00323457" w:rsidRPr="0059638B">
        <w:rPr>
          <w:color w:val="000000"/>
          <w:sz w:val="20"/>
          <w:szCs w:val="20"/>
          <w:lang w:eastAsia="en-GB" w:bidi="en-GB"/>
        </w:rPr>
        <w:t>orientation,</w:t>
      </w:r>
      <w:r w:rsidR="00FF41A0">
        <w:rPr>
          <w:color w:val="000000"/>
          <w:sz w:val="20"/>
          <w:szCs w:val="20"/>
          <w:lang w:eastAsia="en-GB" w:bidi="en-GB"/>
        </w:rPr>
        <w:t xml:space="preserve"> </w:t>
      </w:r>
      <w:r w:rsidR="00323457" w:rsidRPr="0059638B">
        <w:rPr>
          <w:color w:val="000000"/>
          <w:sz w:val="20"/>
          <w:szCs w:val="20"/>
          <w:lang w:eastAsia="en-GB" w:bidi="en-GB"/>
        </w:rPr>
        <w:t>gender</w:t>
      </w:r>
      <w:r w:rsidR="00FF41A0">
        <w:rPr>
          <w:color w:val="000000"/>
          <w:sz w:val="20"/>
          <w:szCs w:val="20"/>
          <w:lang w:eastAsia="en-GB" w:bidi="en-GB"/>
        </w:rPr>
        <w:t xml:space="preserve"> </w:t>
      </w:r>
      <w:r w:rsidR="00323457" w:rsidRPr="0059638B">
        <w:rPr>
          <w:color w:val="000000"/>
          <w:sz w:val="20"/>
          <w:szCs w:val="20"/>
          <w:lang w:eastAsia="en-GB" w:bidi="en-GB"/>
        </w:rPr>
        <w:t>identity</w:t>
      </w:r>
      <w:r w:rsidR="00FF41A0">
        <w:rPr>
          <w:color w:val="000000"/>
          <w:sz w:val="20"/>
          <w:szCs w:val="20"/>
          <w:lang w:eastAsia="en-GB" w:bidi="en-GB"/>
        </w:rPr>
        <w:t xml:space="preserve"> </w:t>
      </w:r>
      <w:r w:rsidR="00323457" w:rsidRPr="0059638B">
        <w:rPr>
          <w:color w:val="000000"/>
          <w:sz w:val="20"/>
          <w:szCs w:val="20"/>
          <w:lang w:eastAsia="en-GB" w:bidi="en-GB"/>
        </w:rPr>
        <w:t>and/or</w:t>
      </w:r>
      <w:r w:rsidR="00FF41A0">
        <w:rPr>
          <w:color w:val="000000"/>
          <w:sz w:val="20"/>
          <w:szCs w:val="20"/>
          <w:lang w:eastAsia="en-GB" w:bidi="en-GB"/>
        </w:rPr>
        <w:t xml:space="preserve"> </w:t>
      </w:r>
      <w:r w:rsidR="00323457" w:rsidRPr="0059638B">
        <w:rPr>
          <w:color w:val="000000"/>
          <w:sz w:val="20"/>
          <w:szCs w:val="20"/>
          <w:lang w:eastAsia="en-GB" w:bidi="en-GB"/>
        </w:rPr>
        <w:t>expression,</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stop</w:t>
      </w:r>
      <w:r w:rsidR="00FF41A0">
        <w:rPr>
          <w:color w:val="000000"/>
          <w:sz w:val="20"/>
          <w:szCs w:val="20"/>
          <w:lang w:eastAsia="en-GB" w:bidi="en-GB"/>
        </w:rPr>
        <w:t xml:space="preserve"> </w:t>
      </w:r>
      <w:r w:rsidR="00323457" w:rsidRPr="0059638B">
        <w:rPr>
          <w:color w:val="000000"/>
          <w:sz w:val="20"/>
          <w:szCs w:val="20"/>
          <w:lang w:eastAsia="en-GB" w:bidi="en-GB"/>
        </w:rPr>
        <w:t>politicising</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protect</w:t>
      </w:r>
      <w:r w:rsidR="00FF41A0">
        <w:rPr>
          <w:color w:val="000000"/>
          <w:sz w:val="20"/>
          <w:szCs w:val="20"/>
          <w:lang w:eastAsia="en-GB" w:bidi="en-GB"/>
        </w:rPr>
        <w:t xml:space="preserve"> </w:t>
      </w:r>
      <w:r w:rsidR="00323457" w:rsidRPr="0059638B">
        <w:rPr>
          <w:color w:val="000000"/>
          <w:sz w:val="20"/>
          <w:szCs w:val="20"/>
          <w:lang w:eastAsia="en-GB" w:bidi="en-GB"/>
        </w:rPr>
        <w:t>LGBTIQ</w:t>
      </w:r>
      <w:r w:rsidR="00FF41A0">
        <w:rPr>
          <w:color w:val="000000"/>
          <w:sz w:val="20"/>
          <w:szCs w:val="20"/>
          <w:lang w:eastAsia="en-GB" w:bidi="en-GB"/>
        </w:rPr>
        <w:t xml:space="preserve"> </w:t>
      </w:r>
      <w:r w:rsidR="00323457" w:rsidRPr="0059638B">
        <w:rPr>
          <w:color w:val="000000"/>
          <w:sz w:val="20"/>
          <w:szCs w:val="20"/>
          <w:lang w:eastAsia="en-GB" w:bidi="en-GB"/>
        </w:rPr>
        <w:t>persons</w:t>
      </w:r>
      <w:r w:rsidR="00FF41A0">
        <w:rPr>
          <w:color w:val="000000"/>
          <w:sz w:val="20"/>
          <w:szCs w:val="20"/>
          <w:lang w:eastAsia="en-GB" w:bidi="en-GB"/>
        </w:rPr>
        <w:t xml:space="preserve"> </w:t>
      </w:r>
      <w:r w:rsidR="00323457" w:rsidRPr="0059638B">
        <w:rPr>
          <w:color w:val="000000"/>
          <w:sz w:val="20"/>
          <w:szCs w:val="20"/>
          <w:lang w:eastAsia="en-GB" w:bidi="en-GB"/>
        </w:rPr>
        <w:t>from</w:t>
      </w:r>
      <w:r w:rsidR="00FF41A0">
        <w:rPr>
          <w:color w:val="000000"/>
          <w:sz w:val="20"/>
          <w:szCs w:val="20"/>
          <w:lang w:eastAsia="en-GB" w:bidi="en-GB"/>
        </w:rPr>
        <w:t xml:space="preserve"> </w:t>
      </w:r>
      <w:r w:rsidR="00323457" w:rsidRPr="0059638B">
        <w:rPr>
          <w:color w:val="000000"/>
          <w:sz w:val="20"/>
          <w:szCs w:val="20"/>
          <w:lang w:eastAsia="en-GB" w:bidi="en-GB"/>
        </w:rPr>
        <w:t>violence</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discrimination.</w:t>
      </w:r>
    </w:p>
    <w:p w14:paraId="36898D5C" w14:textId="3737CC50" w:rsidR="00323457" w:rsidRPr="0059638B" w:rsidRDefault="00972F1E" w:rsidP="00323457">
      <w:pPr>
        <w:pStyle w:val="SingleTxtG"/>
        <w:rPr>
          <w:color w:val="000000"/>
          <w:sz w:val="20"/>
          <w:szCs w:val="20"/>
          <w:lang w:eastAsia="en-GB" w:bidi="en-GB"/>
        </w:rPr>
      </w:pPr>
      <w:r>
        <w:rPr>
          <w:color w:val="000000"/>
          <w:sz w:val="20"/>
          <w:szCs w:val="20"/>
          <w:lang w:eastAsia="en-GB" w:bidi="en-GB"/>
        </w:rPr>
        <w:lastRenderedPageBreak/>
        <w:t>666</w:t>
      </w:r>
      <w:r w:rsidR="00D7475F">
        <w:rPr>
          <w:color w:val="000000"/>
          <w:sz w:val="20"/>
          <w:szCs w:val="20"/>
          <w:lang w:eastAsia="en-GB" w:bidi="en-GB"/>
        </w:rPr>
        <w:t>.</w:t>
      </w:r>
      <w:r w:rsidR="00D7475F">
        <w:rPr>
          <w:color w:val="000000"/>
          <w:sz w:val="20"/>
          <w:szCs w:val="20"/>
          <w:lang w:eastAsia="en-GB" w:bidi="en-GB"/>
        </w:rPr>
        <w:tab/>
      </w:r>
      <w:r w:rsidR="00323457" w:rsidRPr="0059638B">
        <w:rPr>
          <w:color w:val="000000"/>
          <w:sz w:val="20"/>
          <w:szCs w:val="20"/>
          <w:lang w:eastAsia="en-GB" w:bidi="en-GB"/>
        </w:rPr>
        <w:t>International</w:t>
      </w:r>
      <w:r w:rsidR="00FF41A0">
        <w:rPr>
          <w:color w:val="000000"/>
          <w:sz w:val="20"/>
          <w:szCs w:val="20"/>
          <w:lang w:eastAsia="en-GB" w:bidi="en-GB"/>
        </w:rPr>
        <w:t xml:space="preserve"> </w:t>
      </w:r>
      <w:r w:rsidR="00323457" w:rsidRPr="0059638B">
        <w:rPr>
          <w:color w:val="000000"/>
          <w:sz w:val="20"/>
          <w:szCs w:val="20"/>
          <w:lang w:eastAsia="en-GB" w:bidi="en-GB"/>
        </w:rPr>
        <w:t>Humanist</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Ethical</w:t>
      </w:r>
      <w:r w:rsidR="00FF41A0">
        <w:rPr>
          <w:color w:val="000000"/>
          <w:sz w:val="20"/>
          <w:szCs w:val="20"/>
          <w:lang w:eastAsia="en-GB" w:bidi="en-GB"/>
        </w:rPr>
        <w:t xml:space="preserve"> </w:t>
      </w:r>
      <w:r w:rsidR="00323457" w:rsidRPr="0059638B">
        <w:rPr>
          <w:color w:val="000000"/>
          <w:sz w:val="20"/>
          <w:szCs w:val="20"/>
          <w:lang w:eastAsia="en-GB" w:bidi="en-GB"/>
        </w:rPr>
        <w:t>Union</w:t>
      </w:r>
      <w:r w:rsidR="00FF41A0">
        <w:rPr>
          <w:color w:val="000000"/>
          <w:sz w:val="20"/>
          <w:szCs w:val="20"/>
          <w:lang w:eastAsia="en-GB" w:bidi="en-GB"/>
        </w:rPr>
        <w:t xml:space="preserve"> </w:t>
      </w:r>
      <w:r w:rsidR="00323457" w:rsidRPr="0059638B">
        <w:rPr>
          <w:color w:val="000000"/>
          <w:sz w:val="20"/>
          <w:szCs w:val="20"/>
          <w:lang w:eastAsia="en-GB" w:bidi="en-GB"/>
        </w:rPr>
        <w:t>noted</w:t>
      </w:r>
      <w:r w:rsidR="00FF41A0">
        <w:rPr>
          <w:color w:val="000000"/>
          <w:sz w:val="20"/>
          <w:szCs w:val="20"/>
          <w:lang w:eastAsia="en-GB" w:bidi="en-GB"/>
        </w:rPr>
        <w:t xml:space="preserve"> </w:t>
      </w:r>
      <w:r w:rsidR="00323457" w:rsidRPr="0059638B">
        <w:rPr>
          <w:color w:val="000000"/>
          <w:sz w:val="20"/>
          <w:szCs w:val="20"/>
          <w:lang w:eastAsia="en-GB" w:bidi="en-GB"/>
        </w:rPr>
        <w:t>that</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Malaysian</w:t>
      </w:r>
      <w:r w:rsidR="00FF41A0">
        <w:rPr>
          <w:color w:val="000000"/>
          <w:sz w:val="20"/>
          <w:szCs w:val="20"/>
          <w:lang w:eastAsia="en-GB" w:bidi="en-GB"/>
        </w:rPr>
        <w:t xml:space="preserve"> </w:t>
      </w:r>
      <w:r w:rsidR="00323457" w:rsidRPr="0059638B">
        <w:rPr>
          <w:color w:val="000000"/>
          <w:sz w:val="20"/>
          <w:szCs w:val="20"/>
          <w:lang w:eastAsia="en-GB" w:bidi="en-GB"/>
        </w:rPr>
        <w:t>Penal</w:t>
      </w:r>
      <w:r w:rsidR="00FF41A0">
        <w:rPr>
          <w:color w:val="000000"/>
          <w:sz w:val="20"/>
          <w:szCs w:val="20"/>
          <w:lang w:eastAsia="en-GB" w:bidi="en-GB"/>
        </w:rPr>
        <w:t xml:space="preserve"> </w:t>
      </w:r>
      <w:r w:rsidR="00323457" w:rsidRPr="0059638B">
        <w:rPr>
          <w:color w:val="000000"/>
          <w:sz w:val="20"/>
          <w:szCs w:val="20"/>
          <w:lang w:eastAsia="en-GB" w:bidi="en-GB"/>
        </w:rPr>
        <w:t>Code</w:t>
      </w:r>
      <w:r w:rsidR="00FF41A0">
        <w:rPr>
          <w:color w:val="000000"/>
          <w:sz w:val="20"/>
          <w:szCs w:val="20"/>
          <w:lang w:eastAsia="en-GB" w:bidi="en-GB"/>
        </w:rPr>
        <w:t xml:space="preserve"> </w:t>
      </w:r>
      <w:r w:rsidR="00323457" w:rsidRPr="0059638B">
        <w:rPr>
          <w:color w:val="000000"/>
          <w:sz w:val="20"/>
          <w:szCs w:val="20"/>
          <w:lang w:eastAsia="en-GB" w:bidi="en-GB"/>
        </w:rPr>
        <w:t>provided</w:t>
      </w:r>
      <w:r w:rsidR="00FF41A0">
        <w:rPr>
          <w:color w:val="000000"/>
          <w:sz w:val="20"/>
          <w:szCs w:val="20"/>
          <w:lang w:eastAsia="en-GB" w:bidi="en-GB"/>
        </w:rPr>
        <w:t xml:space="preserve"> </w:t>
      </w:r>
      <w:r w:rsidR="00323457" w:rsidRPr="0059638B">
        <w:rPr>
          <w:color w:val="000000"/>
          <w:sz w:val="20"/>
          <w:szCs w:val="20"/>
          <w:lang w:eastAsia="en-GB" w:bidi="en-GB"/>
        </w:rPr>
        <w:t>penalties</w:t>
      </w:r>
      <w:r w:rsidR="00FF41A0">
        <w:rPr>
          <w:color w:val="000000"/>
          <w:sz w:val="20"/>
          <w:szCs w:val="20"/>
          <w:lang w:eastAsia="en-GB" w:bidi="en-GB"/>
        </w:rPr>
        <w:t xml:space="preserve"> </w:t>
      </w:r>
      <w:r w:rsidR="00323457" w:rsidRPr="0059638B">
        <w:rPr>
          <w:color w:val="000000"/>
          <w:sz w:val="20"/>
          <w:szCs w:val="20"/>
          <w:lang w:eastAsia="en-GB" w:bidi="en-GB"/>
        </w:rPr>
        <w:t>for</w:t>
      </w:r>
      <w:r w:rsidR="00FF41A0">
        <w:rPr>
          <w:color w:val="000000"/>
          <w:sz w:val="20"/>
          <w:szCs w:val="20"/>
          <w:lang w:eastAsia="en-GB" w:bidi="en-GB"/>
        </w:rPr>
        <w:t xml:space="preserve"> </w:t>
      </w:r>
      <w:r w:rsidR="00323457" w:rsidRPr="0059638B">
        <w:rPr>
          <w:color w:val="000000"/>
          <w:sz w:val="20"/>
          <w:szCs w:val="20"/>
          <w:lang w:eastAsia="en-GB" w:bidi="en-GB"/>
        </w:rPr>
        <w:t>those</w:t>
      </w:r>
      <w:r w:rsidR="00FF41A0">
        <w:rPr>
          <w:color w:val="000000"/>
          <w:sz w:val="20"/>
          <w:szCs w:val="20"/>
          <w:lang w:eastAsia="en-GB" w:bidi="en-GB"/>
        </w:rPr>
        <w:t xml:space="preserve"> </w:t>
      </w:r>
      <w:r w:rsidR="00323457" w:rsidRPr="0059638B">
        <w:rPr>
          <w:color w:val="000000"/>
          <w:sz w:val="20"/>
          <w:szCs w:val="20"/>
          <w:lang w:eastAsia="en-GB" w:bidi="en-GB"/>
        </w:rPr>
        <w:t>who</w:t>
      </w:r>
      <w:r w:rsidR="00FF41A0">
        <w:rPr>
          <w:color w:val="000000"/>
          <w:sz w:val="20"/>
          <w:szCs w:val="20"/>
          <w:lang w:eastAsia="en-GB" w:bidi="en-GB"/>
        </w:rPr>
        <w:t xml:space="preserve"> </w:t>
      </w:r>
      <w:r w:rsidR="00323457" w:rsidRPr="0059638B">
        <w:rPr>
          <w:color w:val="000000"/>
          <w:sz w:val="20"/>
          <w:szCs w:val="20"/>
          <w:lang w:eastAsia="en-GB" w:bidi="en-GB"/>
        </w:rPr>
        <w:t>commit</w:t>
      </w:r>
      <w:r w:rsidR="00FF41A0">
        <w:rPr>
          <w:color w:val="000000"/>
          <w:sz w:val="20"/>
          <w:szCs w:val="20"/>
          <w:lang w:eastAsia="en-GB" w:bidi="en-GB"/>
        </w:rPr>
        <w:t xml:space="preserve"> </w:t>
      </w:r>
      <w:r w:rsidR="00323457" w:rsidRPr="0059638B">
        <w:rPr>
          <w:color w:val="000000"/>
          <w:sz w:val="20"/>
          <w:szCs w:val="20"/>
          <w:lang w:eastAsia="en-GB" w:bidi="en-GB"/>
        </w:rPr>
        <w:t>offenses</w:t>
      </w:r>
      <w:r w:rsidR="00FF41A0">
        <w:rPr>
          <w:color w:val="000000"/>
          <w:sz w:val="20"/>
          <w:szCs w:val="20"/>
          <w:lang w:eastAsia="en-GB" w:bidi="en-GB"/>
        </w:rPr>
        <w:t xml:space="preserve"> </w:t>
      </w:r>
      <w:r w:rsidR="00323457" w:rsidRPr="0059638B">
        <w:rPr>
          <w:color w:val="000000"/>
          <w:sz w:val="20"/>
          <w:szCs w:val="20"/>
          <w:lang w:eastAsia="en-GB" w:bidi="en-GB"/>
        </w:rPr>
        <w:t>against</w:t>
      </w:r>
      <w:r w:rsidR="00FF41A0">
        <w:rPr>
          <w:color w:val="000000"/>
          <w:sz w:val="20"/>
          <w:szCs w:val="20"/>
          <w:lang w:eastAsia="en-GB" w:bidi="en-GB"/>
        </w:rPr>
        <w:t xml:space="preserve"> </w:t>
      </w:r>
      <w:r w:rsidR="00323457" w:rsidRPr="0059638B">
        <w:rPr>
          <w:color w:val="000000"/>
          <w:sz w:val="20"/>
          <w:szCs w:val="20"/>
          <w:lang w:eastAsia="en-GB" w:bidi="en-GB"/>
        </w:rPr>
        <w:t>religion</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that</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penalties</w:t>
      </w:r>
      <w:r w:rsidR="00FF41A0">
        <w:rPr>
          <w:color w:val="000000"/>
          <w:sz w:val="20"/>
          <w:szCs w:val="20"/>
          <w:lang w:eastAsia="en-GB" w:bidi="en-GB"/>
        </w:rPr>
        <w:t xml:space="preserve"> </w:t>
      </w:r>
      <w:r w:rsidR="00323457" w:rsidRPr="0059638B">
        <w:rPr>
          <w:color w:val="000000"/>
          <w:sz w:val="20"/>
          <w:szCs w:val="20"/>
          <w:lang w:eastAsia="en-GB" w:bidi="en-GB"/>
        </w:rPr>
        <w:t>include</w:t>
      </w:r>
      <w:r w:rsidR="00FF41A0">
        <w:rPr>
          <w:color w:val="000000"/>
          <w:sz w:val="20"/>
          <w:szCs w:val="20"/>
          <w:lang w:eastAsia="en-GB" w:bidi="en-GB"/>
        </w:rPr>
        <w:t xml:space="preserve"> </w:t>
      </w:r>
      <w:r w:rsidR="00323457" w:rsidRPr="0059638B">
        <w:rPr>
          <w:color w:val="000000"/>
          <w:sz w:val="20"/>
          <w:szCs w:val="20"/>
          <w:lang w:eastAsia="en-GB" w:bidi="en-GB"/>
        </w:rPr>
        <w:t>up</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three</w:t>
      </w:r>
      <w:r w:rsidR="00FF41A0">
        <w:rPr>
          <w:color w:val="000000"/>
          <w:sz w:val="20"/>
          <w:szCs w:val="20"/>
          <w:lang w:eastAsia="en-GB" w:bidi="en-GB"/>
        </w:rPr>
        <w:t xml:space="preserve"> </w:t>
      </w:r>
      <w:r w:rsidR="00323457" w:rsidRPr="0059638B">
        <w:rPr>
          <w:color w:val="000000"/>
          <w:sz w:val="20"/>
          <w:szCs w:val="20"/>
          <w:lang w:eastAsia="en-GB" w:bidi="en-GB"/>
        </w:rPr>
        <w:t>years</w:t>
      </w:r>
      <w:r w:rsidR="00FF41A0">
        <w:rPr>
          <w:color w:val="000000"/>
          <w:sz w:val="20"/>
          <w:szCs w:val="20"/>
          <w:lang w:eastAsia="en-GB" w:bidi="en-GB"/>
        </w:rPr>
        <w:t xml:space="preserve"> </w:t>
      </w:r>
      <w:r w:rsidR="00323457" w:rsidRPr="0059638B">
        <w:rPr>
          <w:color w:val="000000"/>
          <w:sz w:val="20"/>
          <w:szCs w:val="20"/>
          <w:lang w:eastAsia="en-GB" w:bidi="en-GB"/>
        </w:rPr>
        <w:t>in</w:t>
      </w:r>
      <w:r w:rsidR="00FF41A0">
        <w:rPr>
          <w:color w:val="000000"/>
          <w:sz w:val="20"/>
          <w:szCs w:val="20"/>
          <w:lang w:eastAsia="en-GB" w:bidi="en-GB"/>
        </w:rPr>
        <w:t xml:space="preserve"> </w:t>
      </w:r>
      <w:r w:rsidR="00323457" w:rsidRPr="0059638B">
        <w:rPr>
          <w:color w:val="000000"/>
          <w:sz w:val="20"/>
          <w:szCs w:val="20"/>
          <w:lang w:eastAsia="en-GB" w:bidi="en-GB"/>
        </w:rPr>
        <w:t>prison</w:t>
      </w:r>
      <w:r w:rsidR="00FF41A0">
        <w:rPr>
          <w:color w:val="000000"/>
          <w:sz w:val="20"/>
          <w:szCs w:val="20"/>
          <w:lang w:eastAsia="en-GB" w:bidi="en-GB"/>
        </w:rPr>
        <w:t xml:space="preserve"> </w:t>
      </w:r>
      <w:r w:rsidR="00323457" w:rsidRPr="0059638B">
        <w:rPr>
          <w:color w:val="000000"/>
          <w:sz w:val="20"/>
          <w:szCs w:val="20"/>
          <w:lang w:eastAsia="en-GB" w:bidi="en-GB"/>
        </w:rPr>
        <w:t>or</w:t>
      </w:r>
      <w:r w:rsidR="00FF41A0">
        <w:rPr>
          <w:color w:val="000000"/>
          <w:sz w:val="20"/>
          <w:szCs w:val="20"/>
          <w:lang w:eastAsia="en-GB" w:bidi="en-GB"/>
        </w:rPr>
        <w:t xml:space="preserve"> </w:t>
      </w:r>
      <w:r w:rsidR="00323457" w:rsidRPr="0059638B">
        <w:rPr>
          <w:color w:val="000000"/>
          <w:sz w:val="20"/>
          <w:szCs w:val="20"/>
          <w:lang w:eastAsia="en-GB" w:bidi="en-GB"/>
        </w:rPr>
        <w:t>a</w:t>
      </w:r>
      <w:r w:rsidR="00FF41A0">
        <w:rPr>
          <w:color w:val="000000"/>
          <w:sz w:val="20"/>
          <w:szCs w:val="20"/>
          <w:lang w:eastAsia="en-GB" w:bidi="en-GB"/>
        </w:rPr>
        <w:t xml:space="preserve"> </w:t>
      </w:r>
      <w:r w:rsidR="00323457" w:rsidRPr="0059638B">
        <w:rPr>
          <w:color w:val="000000"/>
          <w:sz w:val="20"/>
          <w:szCs w:val="20"/>
          <w:lang w:eastAsia="en-GB" w:bidi="en-GB"/>
        </w:rPr>
        <w:t>large</w:t>
      </w:r>
      <w:r w:rsidR="00FF41A0">
        <w:rPr>
          <w:color w:val="000000"/>
          <w:sz w:val="20"/>
          <w:szCs w:val="20"/>
          <w:lang w:eastAsia="en-GB" w:bidi="en-GB"/>
        </w:rPr>
        <w:t xml:space="preserve"> </w:t>
      </w:r>
      <w:r w:rsidR="00323457" w:rsidRPr="0059638B">
        <w:rPr>
          <w:color w:val="000000"/>
          <w:sz w:val="20"/>
          <w:szCs w:val="20"/>
          <w:lang w:eastAsia="en-GB" w:bidi="en-GB"/>
        </w:rPr>
        <w:t>fine.</w:t>
      </w:r>
      <w:r w:rsidR="00FF41A0">
        <w:rPr>
          <w:color w:val="000000"/>
          <w:sz w:val="20"/>
          <w:szCs w:val="20"/>
          <w:lang w:eastAsia="en-GB" w:bidi="en-GB"/>
        </w:rPr>
        <w:t xml:space="preserve"> </w:t>
      </w:r>
      <w:r w:rsidR="00323457" w:rsidRPr="0059638B">
        <w:rPr>
          <w:color w:val="000000"/>
          <w:sz w:val="20"/>
          <w:szCs w:val="20"/>
          <w:lang w:eastAsia="en-GB" w:bidi="en-GB"/>
        </w:rPr>
        <w:t>It</w:t>
      </w:r>
      <w:r w:rsidR="00FF41A0">
        <w:rPr>
          <w:color w:val="000000"/>
          <w:sz w:val="20"/>
          <w:szCs w:val="20"/>
          <w:lang w:eastAsia="en-GB" w:bidi="en-GB"/>
        </w:rPr>
        <w:t xml:space="preserve"> </w:t>
      </w:r>
      <w:r w:rsidR="00323457" w:rsidRPr="0059638B">
        <w:rPr>
          <w:color w:val="000000"/>
          <w:sz w:val="20"/>
          <w:szCs w:val="20"/>
          <w:lang w:eastAsia="en-GB" w:bidi="en-GB"/>
        </w:rPr>
        <w:t>urged</w:t>
      </w:r>
      <w:r w:rsidR="00FF41A0">
        <w:rPr>
          <w:color w:val="000000"/>
          <w:sz w:val="20"/>
          <w:szCs w:val="20"/>
          <w:lang w:eastAsia="en-GB" w:bidi="en-GB"/>
        </w:rPr>
        <w:t xml:space="preserve"> </w:t>
      </w:r>
      <w:r w:rsidR="00323457" w:rsidRPr="0059638B">
        <w:rPr>
          <w:color w:val="000000"/>
          <w:sz w:val="20"/>
          <w:szCs w:val="20"/>
          <w:lang w:eastAsia="en-GB" w:bidi="en-GB"/>
        </w:rPr>
        <w:t>Malaysia</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reconsider</w:t>
      </w:r>
      <w:r w:rsidR="00FF41A0">
        <w:rPr>
          <w:color w:val="000000"/>
          <w:sz w:val="20"/>
          <w:szCs w:val="20"/>
          <w:lang w:eastAsia="en-GB" w:bidi="en-GB"/>
        </w:rPr>
        <w:t xml:space="preserve"> </w:t>
      </w:r>
      <w:r w:rsidR="00323457" w:rsidRPr="0059638B">
        <w:rPr>
          <w:color w:val="000000"/>
          <w:sz w:val="20"/>
          <w:szCs w:val="20"/>
          <w:lang w:eastAsia="en-GB" w:bidi="en-GB"/>
        </w:rPr>
        <w:t>its</w:t>
      </w:r>
      <w:r w:rsidR="00FF41A0">
        <w:rPr>
          <w:color w:val="000000"/>
          <w:sz w:val="20"/>
          <w:szCs w:val="20"/>
          <w:lang w:eastAsia="en-GB" w:bidi="en-GB"/>
        </w:rPr>
        <w:t xml:space="preserve"> </w:t>
      </w:r>
      <w:r w:rsidR="00323457" w:rsidRPr="0059638B">
        <w:rPr>
          <w:color w:val="000000"/>
          <w:sz w:val="20"/>
          <w:szCs w:val="20"/>
          <w:lang w:eastAsia="en-GB" w:bidi="en-GB"/>
        </w:rPr>
        <w:t>rejection</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recommendations</w:t>
      </w:r>
      <w:r w:rsidR="00FF41A0">
        <w:rPr>
          <w:color w:val="000000"/>
          <w:sz w:val="20"/>
          <w:szCs w:val="20"/>
          <w:lang w:eastAsia="en-GB" w:bidi="en-GB"/>
        </w:rPr>
        <w:t xml:space="preserve"> </w:t>
      </w:r>
      <w:r w:rsidR="00323457" w:rsidRPr="0059638B">
        <w:rPr>
          <w:color w:val="000000"/>
          <w:sz w:val="20"/>
          <w:szCs w:val="20"/>
          <w:lang w:eastAsia="en-GB" w:bidi="en-GB"/>
        </w:rPr>
        <w:t>calling</w:t>
      </w:r>
      <w:r w:rsidR="00FF41A0">
        <w:rPr>
          <w:color w:val="000000"/>
          <w:sz w:val="20"/>
          <w:szCs w:val="20"/>
          <w:lang w:eastAsia="en-GB" w:bidi="en-GB"/>
        </w:rPr>
        <w:t xml:space="preserve"> </w:t>
      </w:r>
      <w:r w:rsidR="00323457" w:rsidRPr="0059638B">
        <w:rPr>
          <w:color w:val="000000"/>
          <w:sz w:val="20"/>
          <w:szCs w:val="20"/>
          <w:lang w:eastAsia="en-GB" w:bidi="en-GB"/>
        </w:rPr>
        <w:t>for</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rights</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freedom</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religion</w:t>
      </w:r>
      <w:r w:rsidR="00FF41A0">
        <w:rPr>
          <w:color w:val="000000"/>
          <w:sz w:val="20"/>
          <w:szCs w:val="20"/>
          <w:lang w:eastAsia="en-GB" w:bidi="en-GB"/>
        </w:rPr>
        <w:t xml:space="preserve"> </w:t>
      </w:r>
      <w:r w:rsidR="00323457" w:rsidRPr="0059638B">
        <w:rPr>
          <w:color w:val="000000"/>
          <w:sz w:val="20"/>
          <w:szCs w:val="20"/>
          <w:lang w:eastAsia="en-GB" w:bidi="en-GB"/>
        </w:rPr>
        <w:t>or</w:t>
      </w:r>
      <w:r w:rsidR="00FF41A0">
        <w:rPr>
          <w:color w:val="000000"/>
          <w:sz w:val="20"/>
          <w:szCs w:val="20"/>
          <w:lang w:eastAsia="en-GB" w:bidi="en-GB"/>
        </w:rPr>
        <w:t xml:space="preserve"> </w:t>
      </w:r>
      <w:r w:rsidR="00323457" w:rsidRPr="0059638B">
        <w:rPr>
          <w:color w:val="000000"/>
          <w:sz w:val="20"/>
          <w:szCs w:val="20"/>
          <w:lang w:eastAsia="en-GB" w:bidi="en-GB"/>
        </w:rPr>
        <w:t>belief</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be</w:t>
      </w:r>
      <w:r w:rsidR="00FF41A0">
        <w:rPr>
          <w:color w:val="000000"/>
          <w:sz w:val="20"/>
          <w:szCs w:val="20"/>
          <w:lang w:eastAsia="en-GB" w:bidi="en-GB"/>
        </w:rPr>
        <w:t xml:space="preserve"> </w:t>
      </w:r>
      <w:r w:rsidR="00323457" w:rsidRPr="0059638B">
        <w:rPr>
          <w:color w:val="000000"/>
          <w:sz w:val="20"/>
          <w:szCs w:val="20"/>
          <w:lang w:eastAsia="en-GB" w:bidi="en-GB"/>
        </w:rPr>
        <w:t>protected</w:t>
      </w:r>
      <w:r w:rsidR="00FF41A0">
        <w:rPr>
          <w:color w:val="000000"/>
          <w:sz w:val="20"/>
          <w:szCs w:val="20"/>
          <w:lang w:eastAsia="en-GB" w:bidi="en-GB"/>
        </w:rPr>
        <w:t xml:space="preserve"> </w:t>
      </w:r>
      <w:r w:rsidR="00323457" w:rsidRPr="0059638B">
        <w:rPr>
          <w:color w:val="000000"/>
          <w:sz w:val="20"/>
          <w:szCs w:val="20"/>
          <w:lang w:eastAsia="en-GB" w:bidi="en-GB"/>
        </w:rPr>
        <w:t>in</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country</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called</w:t>
      </w:r>
      <w:r w:rsidR="00FF41A0">
        <w:rPr>
          <w:color w:val="000000"/>
          <w:sz w:val="20"/>
          <w:szCs w:val="20"/>
          <w:lang w:eastAsia="en-GB" w:bidi="en-GB"/>
        </w:rPr>
        <w:t xml:space="preserve"> </w:t>
      </w:r>
      <w:r w:rsidR="00323457" w:rsidRPr="0059638B">
        <w:rPr>
          <w:color w:val="000000"/>
          <w:sz w:val="20"/>
          <w:szCs w:val="20"/>
          <w:lang w:eastAsia="en-GB" w:bidi="en-GB"/>
        </w:rPr>
        <w:t>on</w:t>
      </w:r>
      <w:r w:rsidR="00FF41A0">
        <w:rPr>
          <w:color w:val="000000"/>
          <w:sz w:val="20"/>
          <w:szCs w:val="20"/>
          <w:lang w:eastAsia="en-GB" w:bidi="en-GB"/>
        </w:rPr>
        <w:t xml:space="preserve"> </w:t>
      </w:r>
      <w:r w:rsidR="00323457" w:rsidRPr="0059638B">
        <w:rPr>
          <w:color w:val="000000"/>
          <w:sz w:val="20"/>
          <w:szCs w:val="20"/>
          <w:lang w:eastAsia="en-GB" w:bidi="en-GB"/>
        </w:rPr>
        <w:t>Malaysia</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repeal</w:t>
      </w:r>
      <w:r w:rsidR="00FF41A0">
        <w:rPr>
          <w:color w:val="000000"/>
          <w:sz w:val="20"/>
          <w:szCs w:val="20"/>
          <w:lang w:eastAsia="en-GB" w:bidi="en-GB"/>
        </w:rPr>
        <w:t xml:space="preserve"> </w:t>
      </w:r>
      <w:r w:rsidR="00323457" w:rsidRPr="0059638B">
        <w:rPr>
          <w:color w:val="000000"/>
          <w:sz w:val="20"/>
          <w:szCs w:val="20"/>
          <w:lang w:eastAsia="en-GB" w:bidi="en-GB"/>
        </w:rPr>
        <w:t>laws</w:t>
      </w:r>
      <w:r w:rsidR="00FF41A0">
        <w:rPr>
          <w:color w:val="000000"/>
          <w:sz w:val="20"/>
          <w:szCs w:val="20"/>
          <w:lang w:eastAsia="en-GB" w:bidi="en-GB"/>
        </w:rPr>
        <w:t xml:space="preserve"> </w:t>
      </w:r>
      <w:r w:rsidR="00323457" w:rsidRPr="0059638B">
        <w:rPr>
          <w:color w:val="000000"/>
          <w:sz w:val="20"/>
          <w:szCs w:val="20"/>
          <w:lang w:eastAsia="en-GB" w:bidi="en-GB"/>
        </w:rPr>
        <w:t>criminalizing</w:t>
      </w:r>
      <w:r w:rsidR="00FF41A0">
        <w:rPr>
          <w:color w:val="000000"/>
          <w:sz w:val="20"/>
          <w:szCs w:val="20"/>
          <w:lang w:eastAsia="en-GB" w:bidi="en-GB"/>
        </w:rPr>
        <w:t xml:space="preserve"> </w:t>
      </w:r>
      <w:r w:rsidR="00323457" w:rsidRPr="0059638B">
        <w:rPr>
          <w:color w:val="000000"/>
          <w:sz w:val="20"/>
          <w:szCs w:val="20"/>
          <w:lang w:eastAsia="en-GB" w:bidi="en-GB"/>
        </w:rPr>
        <w:t>blasphemy.</w:t>
      </w:r>
      <w:r w:rsidR="00FF41A0">
        <w:rPr>
          <w:color w:val="000000"/>
          <w:sz w:val="20"/>
          <w:szCs w:val="20"/>
          <w:lang w:eastAsia="en-GB" w:bidi="en-GB"/>
        </w:rPr>
        <w:t xml:space="preserve"> </w:t>
      </w:r>
    </w:p>
    <w:p w14:paraId="5600E2EE" w14:textId="37499AB0" w:rsidR="00323457" w:rsidRPr="0059638B" w:rsidRDefault="00972F1E" w:rsidP="00323457">
      <w:pPr>
        <w:pStyle w:val="SingleTxtG"/>
        <w:rPr>
          <w:color w:val="000000"/>
          <w:sz w:val="20"/>
          <w:szCs w:val="20"/>
          <w:lang w:eastAsia="en-GB" w:bidi="en-GB"/>
        </w:rPr>
      </w:pPr>
      <w:r>
        <w:rPr>
          <w:color w:val="000000"/>
          <w:sz w:val="20"/>
          <w:szCs w:val="20"/>
          <w:lang w:eastAsia="en-GB" w:bidi="en-GB"/>
        </w:rPr>
        <w:t>667</w:t>
      </w:r>
      <w:r w:rsidR="00D7475F">
        <w:rPr>
          <w:color w:val="000000"/>
          <w:sz w:val="20"/>
          <w:szCs w:val="20"/>
          <w:lang w:eastAsia="en-GB" w:bidi="en-GB"/>
        </w:rPr>
        <w:t>.</w:t>
      </w:r>
      <w:r w:rsidR="00D7475F">
        <w:rPr>
          <w:color w:val="000000"/>
          <w:sz w:val="20"/>
          <w:szCs w:val="20"/>
          <w:lang w:eastAsia="en-GB" w:bidi="en-GB"/>
        </w:rPr>
        <w:tab/>
      </w:r>
      <w:r w:rsidR="00323457" w:rsidRPr="0059638B">
        <w:rPr>
          <w:color w:val="000000"/>
          <w:sz w:val="20"/>
          <w:szCs w:val="20"/>
          <w:lang w:eastAsia="en-GB" w:bidi="en-GB"/>
        </w:rPr>
        <w:t>International</w:t>
      </w:r>
      <w:r w:rsidR="00FF41A0">
        <w:rPr>
          <w:color w:val="000000"/>
          <w:sz w:val="20"/>
          <w:szCs w:val="20"/>
          <w:lang w:eastAsia="en-GB" w:bidi="en-GB"/>
        </w:rPr>
        <w:t xml:space="preserve"> </w:t>
      </w:r>
      <w:r w:rsidR="00323457" w:rsidRPr="0059638B">
        <w:rPr>
          <w:color w:val="000000"/>
          <w:sz w:val="20"/>
          <w:szCs w:val="20"/>
          <w:lang w:eastAsia="en-GB" w:bidi="en-GB"/>
        </w:rPr>
        <w:t>Service</w:t>
      </w:r>
      <w:r w:rsidR="00FF41A0">
        <w:rPr>
          <w:color w:val="000000"/>
          <w:sz w:val="20"/>
          <w:szCs w:val="20"/>
          <w:lang w:eastAsia="en-GB" w:bidi="en-GB"/>
        </w:rPr>
        <w:t xml:space="preserve"> </w:t>
      </w:r>
      <w:r w:rsidR="00323457" w:rsidRPr="0059638B">
        <w:rPr>
          <w:color w:val="000000"/>
          <w:sz w:val="20"/>
          <w:szCs w:val="20"/>
          <w:lang w:eastAsia="en-GB" w:bidi="en-GB"/>
        </w:rPr>
        <w:t>for</w:t>
      </w:r>
      <w:r w:rsidR="00FF41A0">
        <w:rPr>
          <w:color w:val="000000"/>
          <w:sz w:val="20"/>
          <w:szCs w:val="20"/>
          <w:lang w:eastAsia="en-GB" w:bidi="en-GB"/>
        </w:rPr>
        <w:t xml:space="preserve"> </w:t>
      </w:r>
      <w:r w:rsidR="00323457" w:rsidRPr="0059638B">
        <w:rPr>
          <w:color w:val="000000"/>
          <w:sz w:val="20"/>
          <w:szCs w:val="20"/>
          <w:lang w:eastAsia="en-GB" w:bidi="en-GB"/>
        </w:rPr>
        <w:t>Human</w:t>
      </w:r>
      <w:r w:rsidR="00FF41A0">
        <w:rPr>
          <w:color w:val="000000"/>
          <w:sz w:val="20"/>
          <w:szCs w:val="20"/>
          <w:lang w:eastAsia="en-GB" w:bidi="en-GB"/>
        </w:rPr>
        <w:t xml:space="preserve"> </w:t>
      </w:r>
      <w:r w:rsidR="00323457" w:rsidRPr="0059638B">
        <w:rPr>
          <w:color w:val="000000"/>
          <w:sz w:val="20"/>
          <w:szCs w:val="20"/>
          <w:lang w:eastAsia="en-GB" w:bidi="en-GB"/>
        </w:rPr>
        <w:t>Rights</w:t>
      </w:r>
      <w:r w:rsidR="00FF41A0">
        <w:rPr>
          <w:color w:val="000000"/>
          <w:sz w:val="20"/>
          <w:szCs w:val="20"/>
          <w:lang w:eastAsia="en-GB" w:bidi="en-GB"/>
        </w:rPr>
        <w:t xml:space="preserve"> </w:t>
      </w:r>
      <w:r w:rsidR="00323457" w:rsidRPr="0059638B">
        <w:rPr>
          <w:color w:val="000000"/>
          <w:sz w:val="20"/>
          <w:szCs w:val="20"/>
          <w:lang w:eastAsia="en-GB" w:bidi="en-GB"/>
        </w:rPr>
        <w:t>stated</w:t>
      </w:r>
      <w:r w:rsidR="00FF41A0">
        <w:rPr>
          <w:color w:val="000000"/>
          <w:sz w:val="20"/>
          <w:szCs w:val="20"/>
          <w:lang w:eastAsia="en-GB" w:bidi="en-GB"/>
        </w:rPr>
        <w:t xml:space="preserve"> </w:t>
      </w:r>
      <w:r w:rsidR="00323457" w:rsidRPr="0059638B">
        <w:rPr>
          <w:color w:val="000000"/>
          <w:sz w:val="20"/>
          <w:szCs w:val="20"/>
          <w:lang w:eastAsia="en-GB" w:bidi="en-GB"/>
        </w:rPr>
        <w:t>that</w:t>
      </w:r>
      <w:r w:rsidR="00FF41A0">
        <w:rPr>
          <w:color w:val="000000"/>
          <w:sz w:val="20"/>
          <w:szCs w:val="20"/>
          <w:lang w:eastAsia="en-GB" w:bidi="en-GB"/>
        </w:rPr>
        <w:t xml:space="preserve"> </w:t>
      </w:r>
      <w:r w:rsidR="00323457" w:rsidRPr="0059638B">
        <w:rPr>
          <w:color w:val="000000"/>
          <w:sz w:val="20"/>
          <w:szCs w:val="20"/>
          <w:lang w:eastAsia="en-GB" w:bidi="en-GB"/>
        </w:rPr>
        <w:t>human</w:t>
      </w:r>
      <w:r w:rsidR="00FF41A0">
        <w:rPr>
          <w:color w:val="000000"/>
          <w:sz w:val="20"/>
          <w:szCs w:val="20"/>
          <w:lang w:eastAsia="en-GB" w:bidi="en-GB"/>
        </w:rPr>
        <w:t xml:space="preserve"> </w:t>
      </w:r>
      <w:r w:rsidR="00323457" w:rsidRPr="0059638B">
        <w:rPr>
          <w:color w:val="000000"/>
          <w:sz w:val="20"/>
          <w:szCs w:val="20"/>
          <w:lang w:eastAsia="en-GB" w:bidi="en-GB"/>
        </w:rPr>
        <w:t>rights</w:t>
      </w:r>
      <w:r w:rsidR="00FF41A0">
        <w:rPr>
          <w:color w:val="000000"/>
          <w:sz w:val="20"/>
          <w:szCs w:val="20"/>
          <w:lang w:eastAsia="en-GB" w:bidi="en-GB"/>
        </w:rPr>
        <w:t xml:space="preserve"> </w:t>
      </w:r>
      <w:r w:rsidR="00323457" w:rsidRPr="0059638B">
        <w:rPr>
          <w:color w:val="000000"/>
          <w:sz w:val="20"/>
          <w:szCs w:val="20"/>
          <w:lang w:eastAsia="en-GB" w:bidi="en-GB"/>
        </w:rPr>
        <w:t>defenders,</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in</w:t>
      </w:r>
      <w:r w:rsidR="00FF41A0">
        <w:rPr>
          <w:color w:val="000000"/>
          <w:sz w:val="20"/>
          <w:szCs w:val="20"/>
          <w:lang w:eastAsia="en-GB" w:bidi="en-GB"/>
        </w:rPr>
        <w:t xml:space="preserve"> </w:t>
      </w:r>
      <w:r w:rsidR="00323457" w:rsidRPr="0059638B">
        <w:rPr>
          <w:color w:val="000000"/>
          <w:sz w:val="20"/>
          <w:szCs w:val="20"/>
          <w:lang w:eastAsia="en-GB" w:bidi="en-GB"/>
        </w:rPr>
        <w:t>particular</w:t>
      </w:r>
      <w:r w:rsidR="00FF41A0">
        <w:rPr>
          <w:color w:val="000000"/>
          <w:sz w:val="20"/>
          <w:szCs w:val="20"/>
          <w:lang w:eastAsia="en-GB" w:bidi="en-GB"/>
        </w:rPr>
        <w:t xml:space="preserve"> </w:t>
      </w:r>
      <w:r w:rsidR="00323457" w:rsidRPr="0059638B">
        <w:rPr>
          <w:color w:val="000000"/>
          <w:sz w:val="20"/>
          <w:szCs w:val="20"/>
          <w:lang w:eastAsia="en-GB" w:bidi="en-GB"/>
        </w:rPr>
        <w:t>women</w:t>
      </w:r>
      <w:r w:rsidR="00FF41A0">
        <w:rPr>
          <w:color w:val="000000"/>
          <w:sz w:val="20"/>
          <w:szCs w:val="20"/>
          <w:lang w:eastAsia="en-GB" w:bidi="en-GB"/>
        </w:rPr>
        <w:t xml:space="preserve"> </w:t>
      </w:r>
      <w:r w:rsidR="00323457" w:rsidRPr="0059638B">
        <w:rPr>
          <w:color w:val="000000"/>
          <w:sz w:val="20"/>
          <w:szCs w:val="20"/>
          <w:lang w:eastAsia="en-GB" w:bidi="en-GB"/>
        </w:rPr>
        <w:t>human</w:t>
      </w:r>
      <w:r w:rsidR="00FF41A0">
        <w:rPr>
          <w:color w:val="000000"/>
          <w:sz w:val="20"/>
          <w:szCs w:val="20"/>
          <w:lang w:eastAsia="en-GB" w:bidi="en-GB"/>
        </w:rPr>
        <w:t xml:space="preserve"> </w:t>
      </w:r>
      <w:r w:rsidR="00323457" w:rsidRPr="0059638B">
        <w:rPr>
          <w:color w:val="000000"/>
          <w:sz w:val="20"/>
          <w:szCs w:val="20"/>
          <w:lang w:eastAsia="en-GB" w:bidi="en-GB"/>
        </w:rPr>
        <w:t>rights</w:t>
      </w:r>
      <w:r w:rsidR="00FF41A0">
        <w:rPr>
          <w:color w:val="000000"/>
          <w:sz w:val="20"/>
          <w:szCs w:val="20"/>
          <w:lang w:eastAsia="en-GB" w:bidi="en-GB"/>
        </w:rPr>
        <w:t xml:space="preserve"> </w:t>
      </w:r>
      <w:r w:rsidR="00323457" w:rsidRPr="0059638B">
        <w:rPr>
          <w:color w:val="000000"/>
          <w:sz w:val="20"/>
          <w:szCs w:val="20"/>
          <w:lang w:eastAsia="en-GB" w:bidi="en-GB"/>
        </w:rPr>
        <w:t>defenders,</w:t>
      </w:r>
      <w:r w:rsidR="00FF41A0">
        <w:rPr>
          <w:color w:val="000000"/>
          <w:sz w:val="20"/>
          <w:szCs w:val="20"/>
          <w:lang w:eastAsia="en-GB" w:bidi="en-GB"/>
        </w:rPr>
        <w:t xml:space="preserve"> </w:t>
      </w:r>
      <w:r w:rsidR="00323457" w:rsidRPr="0059638B">
        <w:rPr>
          <w:color w:val="000000"/>
          <w:sz w:val="20"/>
          <w:szCs w:val="20"/>
          <w:lang w:eastAsia="en-GB" w:bidi="en-GB"/>
        </w:rPr>
        <w:t>still</w:t>
      </w:r>
      <w:r w:rsidR="00FF41A0">
        <w:rPr>
          <w:color w:val="000000"/>
          <w:sz w:val="20"/>
          <w:szCs w:val="20"/>
          <w:lang w:eastAsia="en-GB" w:bidi="en-GB"/>
        </w:rPr>
        <w:t xml:space="preserve"> </w:t>
      </w:r>
      <w:r w:rsidR="00323457" w:rsidRPr="0059638B">
        <w:rPr>
          <w:color w:val="000000"/>
          <w:sz w:val="20"/>
          <w:szCs w:val="20"/>
          <w:lang w:eastAsia="en-GB" w:bidi="en-GB"/>
        </w:rPr>
        <w:t>faced</w:t>
      </w:r>
      <w:r w:rsidR="00FF41A0">
        <w:rPr>
          <w:color w:val="000000"/>
          <w:sz w:val="20"/>
          <w:szCs w:val="20"/>
          <w:lang w:eastAsia="en-GB" w:bidi="en-GB"/>
        </w:rPr>
        <w:t xml:space="preserve"> </w:t>
      </w:r>
      <w:r w:rsidR="00323457" w:rsidRPr="0059638B">
        <w:rPr>
          <w:color w:val="000000"/>
          <w:sz w:val="20"/>
          <w:szCs w:val="20"/>
          <w:lang w:eastAsia="en-GB" w:bidi="en-GB"/>
        </w:rPr>
        <w:t>significant</w:t>
      </w:r>
      <w:r w:rsidR="00FF41A0">
        <w:rPr>
          <w:color w:val="000000"/>
          <w:sz w:val="20"/>
          <w:szCs w:val="20"/>
          <w:lang w:eastAsia="en-GB" w:bidi="en-GB"/>
        </w:rPr>
        <w:t xml:space="preserve"> </w:t>
      </w:r>
      <w:r w:rsidR="00323457" w:rsidRPr="0059638B">
        <w:rPr>
          <w:color w:val="000000"/>
          <w:sz w:val="20"/>
          <w:szCs w:val="20"/>
          <w:lang w:eastAsia="en-GB" w:bidi="en-GB"/>
        </w:rPr>
        <w:t>challenges.</w:t>
      </w:r>
      <w:r w:rsidR="00FF41A0">
        <w:rPr>
          <w:color w:val="000000"/>
          <w:sz w:val="20"/>
          <w:szCs w:val="20"/>
          <w:lang w:eastAsia="en-GB" w:bidi="en-GB"/>
        </w:rPr>
        <w:t xml:space="preserve"> </w:t>
      </w:r>
      <w:r w:rsidR="00323457" w:rsidRPr="0059638B">
        <w:rPr>
          <w:color w:val="000000"/>
          <w:sz w:val="20"/>
          <w:szCs w:val="20"/>
          <w:lang w:eastAsia="en-GB" w:bidi="en-GB"/>
        </w:rPr>
        <w:t>It</w:t>
      </w:r>
      <w:r w:rsidR="00FF41A0">
        <w:rPr>
          <w:color w:val="000000"/>
          <w:sz w:val="20"/>
          <w:szCs w:val="20"/>
          <w:lang w:eastAsia="en-GB" w:bidi="en-GB"/>
        </w:rPr>
        <w:t xml:space="preserve"> </w:t>
      </w:r>
      <w:r w:rsidR="00323457" w:rsidRPr="0059638B">
        <w:rPr>
          <w:color w:val="000000"/>
          <w:sz w:val="20"/>
          <w:szCs w:val="20"/>
          <w:lang w:eastAsia="en-GB" w:bidi="en-GB"/>
        </w:rPr>
        <w:t>stated</w:t>
      </w:r>
      <w:r w:rsidR="00FF41A0">
        <w:rPr>
          <w:color w:val="000000"/>
          <w:sz w:val="20"/>
          <w:szCs w:val="20"/>
          <w:lang w:eastAsia="en-GB" w:bidi="en-GB"/>
        </w:rPr>
        <w:t xml:space="preserve"> </w:t>
      </w:r>
      <w:r w:rsidR="00323457" w:rsidRPr="0059638B">
        <w:rPr>
          <w:color w:val="000000"/>
          <w:sz w:val="20"/>
          <w:szCs w:val="20"/>
          <w:lang w:eastAsia="en-GB" w:bidi="en-GB"/>
        </w:rPr>
        <w:t>that</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Government</w:t>
      </w:r>
      <w:r w:rsidR="00FF41A0">
        <w:rPr>
          <w:color w:val="000000"/>
          <w:sz w:val="20"/>
          <w:szCs w:val="20"/>
          <w:lang w:eastAsia="en-GB" w:bidi="en-GB"/>
        </w:rPr>
        <w:t xml:space="preserve"> </w:t>
      </w:r>
      <w:r w:rsidR="00323457" w:rsidRPr="0059638B">
        <w:rPr>
          <w:color w:val="000000"/>
          <w:sz w:val="20"/>
          <w:szCs w:val="20"/>
          <w:lang w:eastAsia="en-GB" w:bidi="en-GB"/>
        </w:rPr>
        <w:t>should</w:t>
      </w:r>
      <w:r w:rsidR="00FF41A0">
        <w:rPr>
          <w:color w:val="000000"/>
          <w:sz w:val="20"/>
          <w:szCs w:val="20"/>
          <w:lang w:eastAsia="en-GB" w:bidi="en-GB"/>
        </w:rPr>
        <w:t xml:space="preserve"> </w:t>
      </w:r>
      <w:r w:rsidR="00323457" w:rsidRPr="0059638B">
        <w:rPr>
          <w:color w:val="000000"/>
          <w:sz w:val="20"/>
          <w:szCs w:val="20"/>
          <w:lang w:eastAsia="en-GB" w:bidi="en-GB"/>
        </w:rPr>
        <w:t>take</w:t>
      </w:r>
      <w:r w:rsidR="00FF41A0">
        <w:rPr>
          <w:color w:val="000000"/>
          <w:sz w:val="20"/>
          <w:szCs w:val="20"/>
          <w:lang w:eastAsia="en-GB" w:bidi="en-GB"/>
        </w:rPr>
        <w:t xml:space="preserve"> </w:t>
      </w:r>
      <w:r w:rsidR="00323457" w:rsidRPr="0059638B">
        <w:rPr>
          <w:color w:val="000000"/>
          <w:sz w:val="20"/>
          <w:szCs w:val="20"/>
          <w:lang w:eastAsia="en-GB" w:bidi="en-GB"/>
        </w:rPr>
        <w:t>additional</w:t>
      </w:r>
      <w:r w:rsidR="00FF41A0">
        <w:rPr>
          <w:color w:val="000000"/>
          <w:sz w:val="20"/>
          <w:szCs w:val="20"/>
          <w:lang w:eastAsia="en-GB" w:bidi="en-GB"/>
        </w:rPr>
        <w:t xml:space="preserve"> </w:t>
      </w:r>
      <w:r w:rsidR="00323457" w:rsidRPr="0059638B">
        <w:rPr>
          <w:color w:val="000000"/>
          <w:sz w:val="20"/>
          <w:szCs w:val="20"/>
          <w:lang w:eastAsia="en-GB" w:bidi="en-GB"/>
        </w:rPr>
        <w:t>steps</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acknowledge,</w:t>
      </w:r>
      <w:r w:rsidR="00FF41A0">
        <w:rPr>
          <w:color w:val="000000"/>
          <w:sz w:val="20"/>
          <w:szCs w:val="20"/>
          <w:lang w:eastAsia="en-GB" w:bidi="en-GB"/>
        </w:rPr>
        <w:t xml:space="preserve"> </w:t>
      </w:r>
      <w:r w:rsidR="00323457" w:rsidRPr="0059638B">
        <w:rPr>
          <w:color w:val="000000"/>
          <w:sz w:val="20"/>
          <w:szCs w:val="20"/>
          <w:lang w:eastAsia="en-GB" w:bidi="en-GB"/>
        </w:rPr>
        <w:t>promote,</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protect</w:t>
      </w:r>
      <w:r w:rsidR="00FF41A0">
        <w:rPr>
          <w:color w:val="000000"/>
          <w:sz w:val="20"/>
          <w:szCs w:val="20"/>
          <w:lang w:eastAsia="en-GB" w:bidi="en-GB"/>
        </w:rPr>
        <w:t xml:space="preserve"> </w:t>
      </w:r>
      <w:r w:rsidR="00323457" w:rsidRPr="0059638B">
        <w:rPr>
          <w:color w:val="000000"/>
          <w:sz w:val="20"/>
          <w:szCs w:val="20"/>
          <w:lang w:eastAsia="en-GB" w:bidi="en-GB"/>
        </w:rPr>
        <w:t>human</w:t>
      </w:r>
      <w:r w:rsidR="00FF41A0">
        <w:rPr>
          <w:color w:val="000000"/>
          <w:sz w:val="20"/>
          <w:szCs w:val="20"/>
          <w:lang w:eastAsia="en-GB" w:bidi="en-GB"/>
        </w:rPr>
        <w:t xml:space="preserve"> </w:t>
      </w:r>
      <w:r w:rsidR="00323457" w:rsidRPr="0059638B">
        <w:rPr>
          <w:color w:val="000000"/>
          <w:sz w:val="20"/>
          <w:szCs w:val="20"/>
          <w:lang w:eastAsia="en-GB" w:bidi="en-GB"/>
        </w:rPr>
        <w:t>rights</w:t>
      </w:r>
      <w:r w:rsidR="00FF41A0">
        <w:rPr>
          <w:color w:val="000000"/>
          <w:sz w:val="20"/>
          <w:szCs w:val="20"/>
          <w:lang w:eastAsia="en-GB" w:bidi="en-GB"/>
        </w:rPr>
        <w:t xml:space="preserve"> </w:t>
      </w:r>
      <w:r w:rsidR="00323457" w:rsidRPr="0059638B">
        <w:rPr>
          <w:color w:val="000000"/>
          <w:sz w:val="20"/>
          <w:szCs w:val="20"/>
          <w:lang w:eastAsia="en-GB" w:bidi="en-GB"/>
        </w:rPr>
        <w:t>defenders</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fully</w:t>
      </w:r>
      <w:r w:rsidR="00FF41A0">
        <w:rPr>
          <w:color w:val="000000"/>
          <w:sz w:val="20"/>
          <w:szCs w:val="20"/>
          <w:lang w:eastAsia="en-GB" w:bidi="en-GB"/>
        </w:rPr>
        <w:t xml:space="preserve"> </w:t>
      </w:r>
      <w:r w:rsidR="00323457" w:rsidRPr="0059638B">
        <w:rPr>
          <w:color w:val="000000"/>
          <w:sz w:val="20"/>
          <w:szCs w:val="20"/>
          <w:lang w:eastAsia="en-GB" w:bidi="en-GB"/>
        </w:rPr>
        <w:t>implement</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United</w:t>
      </w:r>
      <w:r w:rsidR="00FF41A0">
        <w:rPr>
          <w:color w:val="000000"/>
          <w:sz w:val="20"/>
          <w:szCs w:val="20"/>
          <w:lang w:eastAsia="en-GB" w:bidi="en-GB"/>
        </w:rPr>
        <w:t xml:space="preserve"> </w:t>
      </w:r>
      <w:r w:rsidR="00323457" w:rsidRPr="0059638B">
        <w:rPr>
          <w:color w:val="000000"/>
          <w:sz w:val="20"/>
          <w:szCs w:val="20"/>
          <w:lang w:eastAsia="en-GB" w:bidi="en-GB"/>
        </w:rPr>
        <w:t>Nations</w:t>
      </w:r>
      <w:r w:rsidR="00FF41A0">
        <w:rPr>
          <w:color w:val="000000"/>
          <w:sz w:val="20"/>
          <w:szCs w:val="20"/>
          <w:lang w:eastAsia="en-GB" w:bidi="en-GB"/>
        </w:rPr>
        <w:t xml:space="preserve"> </w:t>
      </w:r>
      <w:r w:rsidR="00323457" w:rsidRPr="0059638B">
        <w:rPr>
          <w:color w:val="000000"/>
          <w:sz w:val="20"/>
          <w:szCs w:val="20"/>
          <w:lang w:eastAsia="en-GB" w:bidi="en-GB"/>
        </w:rPr>
        <w:t>Declaration</w:t>
      </w:r>
      <w:r w:rsidR="00FF41A0">
        <w:rPr>
          <w:color w:val="000000"/>
          <w:sz w:val="20"/>
          <w:szCs w:val="20"/>
          <w:lang w:eastAsia="en-GB" w:bidi="en-GB"/>
        </w:rPr>
        <w:t xml:space="preserve"> </w:t>
      </w:r>
      <w:r w:rsidR="00323457" w:rsidRPr="0059638B">
        <w:rPr>
          <w:color w:val="000000"/>
          <w:sz w:val="20"/>
          <w:szCs w:val="20"/>
          <w:lang w:eastAsia="en-GB" w:bidi="en-GB"/>
        </w:rPr>
        <w:t>on</w:t>
      </w:r>
      <w:r w:rsidR="00FF41A0">
        <w:rPr>
          <w:color w:val="000000"/>
          <w:sz w:val="20"/>
          <w:szCs w:val="20"/>
          <w:lang w:eastAsia="en-GB" w:bidi="en-GB"/>
        </w:rPr>
        <w:t xml:space="preserve"> </w:t>
      </w:r>
      <w:r w:rsidR="00323457" w:rsidRPr="0059638B">
        <w:rPr>
          <w:color w:val="000000"/>
          <w:sz w:val="20"/>
          <w:szCs w:val="20"/>
          <w:lang w:eastAsia="en-GB" w:bidi="en-GB"/>
        </w:rPr>
        <w:t>Human</w:t>
      </w:r>
      <w:r w:rsidR="00FF41A0">
        <w:rPr>
          <w:color w:val="000000"/>
          <w:sz w:val="20"/>
          <w:szCs w:val="20"/>
          <w:lang w:eastAsia="en-GB" w:bidi="en-GB"/>
        </w:rPr>
        <w:t xml:space="preserve"> </w:t>
      </w:r>
      <w:r w:rsidR="00323457" w:rsidRPr="0059638B">
        <w:rPr>
          <w:color w:val="000000"/>
          <w:sz w:val="20"/>
          <w:szCs w:val="20"/>
          <w:lang w:eastAsia="en-GB" w:bidi="en-GB"/>
        </w:rPr>
        <w:t>Rights</w:t>
      </w:r>
      <w:r w:rsidR="00FF41A0">
        <w:rPr>
          <w:color w:val="000000"/>
          <w:sz w:val="20"/>
          <w:szCs w:val="20"/>
          <w:lang w:eastAsia="en-GB" w:bidi="en-GB"/>
        </w:rPr>
        <w:t xml:space="preserve"> </w:t>
      </w:r>
      <w:r w:rsidR="00323457" w:rsidRPr="0059638B">
        <w:rPr>
          <w:color w:val="000000"/>
          <w:sz w:val="20"/>
          <w:szCs w:val="20"/>
          <w:lang w:eastAsia="en-GB" w:bidi="en-GB"/>
        </w:rPr>
        <w:t>Defenders.</w:t>
      </w:r>
      <w:r w:rsidR="00FF41A0">
        <w:rPr>
          <w:color w:val="000000"/>
          <w:sz w:val="20"/>
          <w:szCs w:val="20"/>
          <w:lang w:eastAsia="en-GB" w:bidi="en-GB"/>
        </w:rPr>
        <w:t xml:space="preserve"> </w:t>
      </w:r>
      <w:r w:rsidR="00323457" w:rsidRPr="0059638B">
        <w:rPr>
          <w:color w:val="000000"/>
          <w:sz w:val="20"/>
          <w:szCs w:val="20"/>
          <w:lang w:eastAsia="en-GB" w:bidi="en-GB"/>
        </w:rPr>
        <w:t>It</w:t>
      </w:r>
      <w:r w:rsidR="00FF41A0">
        <w:rPr>
          <w:color w:val="000000"/>
          <w:sz w:val="20"/>
          <w:szCs w:val="20"/>
          <w:lang w:eastAsia="en-GB" w:bidi="en-GB"/>
        </w:rPr>
        <w:t xml:space="preserve"> </w:t>
      </w:r>
      <w:r w:rsidR="00323457" w:rsidRPr="0059638B">
        <w:rPr>
          <w:color w:val="000000"/>
          <w:sz w:val="20"/>
          <w:szCs w:val="20"/>
          <w:lang w:eastAsia="en-GB" w:bidi="en-GB"/>
        </w:rPr>
        <w:t>also</w:t>
      </w:r>
      <w:r w:rsidR="00FF41A0">
        <w:rPr>
          <w:color w:val="000000"/>
          <w:sz w:val="20"/>
          <w:szCs w:val="20"/>
          <w:lang w:eastAsia="en-GB" w:bidi="en-GB"/>
        </w:rPr>
        <w:t xml:space="preserve"> </w:t>
      </w:r>
      <w:r w:rsidR="00323457" w:rsidRPr="0059638B">
        <w:rPr>
          <w:color w:val="000000"/>
          <w:sz w:val="20"/>
          <w:szCs w:val="20"/>
          <w:lang w:eastAsia="en-GB" w:bidi="en-GB"/>
        </w:rPr>
        <w:t>stated</w:t>
      </w:r>
      <w:r w:rsidR="00FF41A0">
        <w:rPr>
          <w:color w:val="000000"/>
          <w:sz w:val="20"/>
          <w:szCs w:val="20"/>
          <w:lang w:eastAsia="en-GB" w:bidi="en-GB"/>
        </w:rPr>
        <w:t xml:space="preserve"> </w:t>
      </w:r>
      <w:r w:rsidR="00323457" w:rsidRPr="0059638B">
        <w:rPr>
          <w:color w:val="000000"/>
          <w:sz w:val="20"/>
          <w:szCs w:val="20"/>
          <w:lang w:eastAsia="en-GB" w:bidi="en-GB"/>
        </w:rPr>
        <w:t>that</w:t>
      </w:r>
      <w:r w:rsidR="00FF41A0">
        <w:rPr>
          <w:color w:val="000000"/>
          <w:sz w:val="20"/>
          <w:szCs w:val="20"/>
          <w:lang w:eastAsia="en-GB" w:bidi="en-GB"/>
        </w:rPr>
        <w:t xml:space="preserve"> </w:t>
      </w:r>
      <w:r w:rsidR="00323457" w:rsidRPr="0059638B">
        <w:rPr>
          <w:color w:val="000000"/>
          <w:sz w:val="20"/>
          <w:szCs w:val="20"/>
          <w:lang w:eastAsia="en-GB" w:bidi="en-GB"/>
        </w:rPr>
        <w:t>awareness-raising</w:t>
      </w:r>
      <w:r w:rsidR="00FF41A0">
        <w:rPr>
          <w:color w:val="000000"/>
          <w:sz w:val="20"/>
          <w:szCs w:val="20"/>
          <w:lang w:eastAsia="en-GB" w:bidi="en-GB"/>
        </w:rPr>
        <w:t xml:space="preserve"> </w:t>
      </w:r>
      <w:r w:rsidR="00323457" w:rsidRPr="0059638B">
        <w:rPr>
          <w:color w:val="000000"/>
          <w:sz w:val="20"/>
          <w:szCs w:val="20"/>
          <w:lang w:eastAsia="en-GB" w:bidi="en-GB"/>
        </w:rPr>
        <w:t>on</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universality</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human</w:t>
      </w:r>
      <w:r w:rsidR="00FF41A0">
        <w:rPr>
          <w:color w:val="000000"/>
          <w:sz w:val="20"/>
          <w:szCs w:val="20"/>
          <w:lang w:eastAsia="en-GB" w:bidi="en-GB"/>
        </w:rPr>
        <w:t xml:space="preserve"> </w:t>
      </w:r>
      <w:r w:rsidR="00323457" w:rsidRPr="0059638B">
        <w:rPr>
          <w:color w:val="000000"/>
          <w:sz w:val="20"/>
          <w:szCs w:val="20"/>
          <w:lang w:eastAsia="en-GB" w:bidi="en-GB"/>
        </w:rPr>
        <w:t>rights</w:t>
      </w:r>
      <w:r w:rsidR="00FF41A0">
        <w:rPr>
          <w:color w:val="000000"/>
          <w:sz w:val="20"/>
          <w:szCs w:val="20"/>
          <w:lang w:eastAsia="en-GB" w:bidi="en-GB"/>
        </w:rPr>
        <w:t xml:space="preserve"> </w:t>
      </w:r>
      <w:r w:rsidR="00323457" w:rsidRPr="0059638B">
        <w:rPr>
          <w:color w:val="000000"/>
          <w:sz w:val="20"/>
          <w:szCs w:val="20"/>
          <w:lang w:eastAsia="en-GB" w:bidi="en-GB"/>
        </w:rPr>
        <w:t>was</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utmost</w:t>
      </w:r>
      <w:r w:rsidR="00FF41A0">
        <w:rPr>
          <w:color w:val="000000"/>
          <w:sz w:val="20"/>
          <w:szCs w:val="20"/>
          <w:lang w:eastAsia="en-GB" w:bidi="en-GB"/>
        </w:rPr>
        <w:t xml:space="preserve"> </w:t>
      </w:r>
      <w:r w:rsidR="00323457" w:rsidRPr="0059638B">
        <w:rPr>
          <w:color w:val="000000"/>
          <w:sz w:val="20"/>
          <w:szCs w:val="20"/>
          <w:lang w:eastAsia="en-GB" w:bidi="en-GB"/>
        </w:rPr>
        <w:t>importance</w:t>
      </w:r>
      <w:r w:rsidR="00FF41A0">
        <w:rPr>
          <w:color w:val="000000"/>
          <w:sz w:val="20"/>
          <w:szCs w:val="20"/>
          <w:lang w:eastAsia="en-GB" w:bidi="en-GB"/>
        </w:rPr>
        <w:t xml:space="preserve"> </w:t>
      </w:r>
      <w:r w:rsidR="00323457" w:rsidRPr="0059638B">
        <w:rPr>
          <w:color w:val="000000"/>
          <w:sz w:val="20"/>
          <w:szCs w:val="20"/>
          <w:lang w:eastAsia="en-GB" w:bidi="en-GB"/>
        </w:rPr>
        <w:t>in</w:t>
      </w:r>
      <w:r w:rsidR="00FF41A0">
        <w:rPr>
          <w:color w:val="000000"/>
          <w:sz w:val="20"/>
          <w:szCs w:val="20"/>
          <w:lang w:eastAsia="en-GB" w:bidi="en-GB"/>
        </w:rPr>
        <w:t xml:space="preserve"> </w:t>
      </w:r>
      <w:r w:rsidR="00323457" w:rsidRPr="0059638B">
        <w:rPr>
          <w:color w:val="000000"/>
          <w:sz w:val="20"/>
          <w:szCs w:val="20"/>
          <w:lang w:eastAsia="en-GB" w:bidi="en-GB"/>
        </w:rPr>
        <w:t>Malaysia.</w:t>
      </w:r>
      <w:r w:rsidR="00FF41A0">
        <w:rPr>
          <w:color w:val="000000"/>
          <w:sz w:val="20"/>
          <w:szCs w:val="20"/>
          <w:lang w:eastAsia="en-GB" w:bidi="en-GB"/>
        </w:rPr>
        <w:t xml:space="preserve"> </w:t>
      </w:r>
    </w:p>
    <w:p w14:paraId="7B0E9C80" w14:textId="64F44745" w:rsidR="00323457" w:rsidRPr="0059638B" w:rsidRDefault="00972F1E" w:rsidP="00323457">
      <w:pPr>
        <w:pStyle w:val="SingleTxtG"/>
        <w:rPr>
          <w:color w:val="000000"/>
          <w:sz w:val="20"/>
          <w:szCs w:val="20"/>
          <w:lang w:eastAsia="en-GB" w:bidi="en-GB"/>
        </w:rPr>
      </w:pPr>
      <w:r>
        <w:rPr>
          <w:color w:val="000000"/>
          <w:sz w:val="20"/>
          <w:szCs w:val="20"/>
          <w:lang w:eastAsia="en-GB" w:bidi="en-GB"/>
        </w:rPr>
        <w:t>668</w:t>
      </w:r>
      <w:r w:rsidR="00D7475F">
        <w:rPr>
          <w:color w:val="000000"/>
          <w:sz w:val="20"/>
          <w:szCs w:val="20"/>
          <w:lang w:eastAsia="en-GB" w:bidi="en-GB"/>
        </w:rPr>
        <w:t>.</w:t>
      </w:r>
      <w:r w:rsidR="00D7475F">
        <w:rPr>
          <w:color w:val="000000"/>
          <w:sz w:val="20"/>
          <w:szCs w:val="20"/>
          <w:lang w:eastAsia="en-GB" w:bidi="en-GB"/>
        </w:rPr>
        <w:tab/>
      </w:r>
      <w:r w:rsidR="00323457" w:rsidRPr="0059638B">
        <w:rPr>
          <w:color w:val="000000"/>
          <w:sz w:val="20"/>
          <w:szCs w:val="20"/>
          <w:lang w:eastAsia="en-GB" w:bidi="en-GB"/>
        </w:rPr>
        <w:t>CIVICUS</w:t>
      </w:r>
      <w:r w:rsidR="00FF41A0">
        <w:rPr>
          <w:color w:val="000000"/>
          <w:sz w:val="20"/>
          <w:szCs w:val="20"/>
          <w:lang w:eastAsia="en-GB" w:bidi="en-GB"/>
        </w:rPr>
        <w:t xml:space="preserve"> </w:t>
      </w:r>
      <w:r w:rsidR="00323457" w:rsidRPr="0059638B">
        <w:rPr>
          <w:color w:val="000000"/>
          <w:sz w:val="20"/>
          <w:szCs w:val="20"/>
          <w:lang w:eastAsia="en-GB" w:bidi="en-GB"/>
        </w:rPr>
        <w:t>-</w:t>
      </w:r>
      <w:r w:rsidR="00FF41A0">
        <w:rPr>
          <w:color w:val="000000"/>
          <w:sz w:val="20"/>
          <w:szCs w:val="20"/>
          <w:lang w:eastAsia="en-GB" w:bidi="en-GB"/>
        </w:rPr>
        <w:t xml:space="preserve"> </w:t>
      </w:r>
      <w:r w:rsidR="00323457" w:rsidRPr="0059638B">
        <w:rPr>
          <w:color w:val="000000"/>
          <w:sz w:val="20"/>
          <w:szCs w:val="20"/>
          <w:lang w:eastAsia="en-GB" w:bidi="en-GB"/>
        </w:rPr>
        <w:t>World</w:t>
      </w:r>
      <w:r w:rsidR="00FF41A0">
        <w:rPr>
          <w:color w:val="000000"/>
          <w:sz w:val="20"/>
          <w:szCs w:val="20"/>
          <w:lang w:eastAsia="en-GB" w:bidi="en-GB"/>
        </w:rPr>
        <w:t xml:space="preserve"> </w:t>
      </w:r>
      <w:r w:rsidR="00323457" w:rsidRPr="0059638B">
        <w:rPr>
          <w:color w:val="000000"/>
          <w:sz w:val="20"/>
          <w:szCs w:val="20"/>
          <w:lang w:eastAsia="en-GB" w:bidi="en-GB"/>
        </w:rPr>
        <w:t>Alliance</w:t>
      </w:r>
      <w:r w:rsidR="00FF41A0">
        <w:rPr>
          <w:color w:val="000000"/>
          <w:sz w:val="20"/>
          <w:szCs w:val="20"/>
          <w:lang w:eastAsia="en-GB" w:bidi="en-GB"/>
        </w:rPr>
        <w:t xml:space="preserve"> </w:t>
      </w:r>
      <w:r w:rsidR="00323457" w:rsidRPr="0059638B">
        <w:rPr>
          <w:color w:val="000000"/>
          <w:sz w:val="20"/>
          <w:szCs w:val="20"/>
          <w:lang w:eastAsia="en-GB" w:bidi="en-GB"/>
        </w:rPr>
        <w:t>for</w:t>
      </w:r>
      <w:r w:rsidR="00FF41A0">
        <w:rPr>
          <w:color w:val="000000"/>
          <w:sz w:val="20"/>
          <w:szCs w:val="20"/>
          <w:lang w:eastAsia="en-GB" w:bidi="en-GB"/>
        </w:rPr>
        <w:t xml:space="preserve"> </w:t>
      </w:r>
      <w:r w:rsidR="00323457" w:rsidRPr="0059638B">
        <w:rPr>
          <w:color w:val="000000"/>
          <w:sz w:val="20"/>
          <w:szCs w:val="20"/>
          <w:lang w:eastAsia="en-GB" w:bidi="en-GB"/>
        </w:rPr>
        <w:t>Citizen</w:t>
      </w:r>
      <w:r w:rsidR="00FF41A0">
        <w:rPr>
          <w:color w:val="000000"/>
          <w:sz w:val="20"/>
          <w:szCs w:val="20"/>
          <w:lang w:eastAsia="en-GB" w:bidi="en-GB"/>
        </w:rPr>
        <w:t xml:space="preserve"> </w:t>
      </w:r>
      <w:r w:rsidR="00323457" w:rsidRPr="0059638B">
        <w:rPr>
          <w:color w:val="000000"/>
          <w:sz w:val="20"/>
          <w:szCs w:val="20"/>
          <w:lang w:eastAsia="en-GB" w:bidi="en-GB"/>
        </w:rPr>
        <w:t>Participation</w:t>
      </w:r>
      <w:r w:rsidR="00FF41A0">
        <w:rPr>
          <w:color w:val="000000"/>
          <w:sz w:val="20"/>
          <w:szCs w:val="20"/>
          <w:lang w:eastAsia="en-GB" w:bidi="en-GB"/>
        </w:rPr>
        <w:t xml:space="preserve"> </w:t>
      </w:r>
      <w:r w:rsidR="00323457" w:rsidRPr="0059638B">
        <w:rPr>
          <w:color w:val="000000"/>
          <w:sz w:val="20"/>
          <w:szCs w:val="20"/>
          <w:lang w:eastAsia="en-GB" w:bidi="en-GB"/>
        </w:rPr>
        <w:t>regretted</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decision</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Government</w:t>
      </w:r>
      <w:r w:rsidR="00FF41A0">
        <w:rPr>
          <w:color w:val="000000"/>
          <w:sz w:val="20"/>
          <w:szCs w:val="20"/>
          <w:lang w:eastAsia="en-GB" w:bidi="en-GB"/>
        </w:rPr>
        <w:t xml:space="preserve"> </w:t>
      </w:r>
      <w:r w:rsidR="00323457" w:rsidRPr="0059638B">
        <w:rPr>
          <w:color w:val="000000"/>
          <w:sz w:val="20"/>
          <w:szCs w:val="20"/>
          <w:lang w:eastAsia="en-GB" w:bidi="en-GB"/>
        </w:rPr>
        <w:t>in</w:t>
      </w:r>
      <w:r w:rsidR="00FF41A0">
        <w:rPr>
          <w:color w:val="000000"/>
          <w:sz w:val="20"/>
          <w:szCs w:val="20"/>
          <w:lang w:eastAsia="en-GB" w:bidi="en-GB"/>
        </w:rPr>
        <w:t xml:space="preserve"> </w:t>
      </w:r>
      <w:r w:rsidR="00323457" w:rsidRPr="0059638B">
        <w:rPr>
          <w:color w:val="000000"/>
          <w:sz w:val="20"/>
          <w:szCs w:val="20"/>
          <w:lang w:eastAsia="en-GB" w:bidi="en-GB"/>
        </w:rPr>
        <w:t>November</w:t>
      </w:r>
      <w:r w:rsidR="00FF41A0">
        <w:rPr>
          <w:color w:val="000000"/>
          <w:sz w:val="20"/>
          <w:szCs w:val="20"/>
          <w:lang w:eastAsia="en-GB" w:bidi="en-GB"/>
        </w:rPr>
        <w:t xml:space="preserve"> </w:t>
      </w:r>
      <w:r w:rsidR="00323457" w:rsidRPr="0059638B">
        <w:rPr>
          <w:color w:val="000000"/>
          <w:sz w:val="20"/>
          <w:szCs w:val="20"/>
          <w:lang w:eastAsia="en-GB" w:bidi="en-GB"/>
        </w:rPr>
        <w:t>2018</w:t>
      </w:r>
      <w:r w:rsidR="00FF41A0">
        <w:rPr>
          <w:color w:val="000000"/>
          <w:sz w:val="20"/>
          <w:szCs w:val="20"/>
          <w:lang w:eastAsia="en-GB" w:bidi="en-GB"/>
        </w:rPr>
        <w:t xml:space="preserve"> </w:t>
      </w:r>
      <w:r w:rsidR="00323457" w:rsidRPr="0059638B">
        <w:rPr>
          <w:color w:val="000000"/>
          <w:sz w:val="20"/>
          <w:szCs w:val="20"/>
          <w:lang w:eastAsia="en-GB" w:bidi="en-GB"/>
        </w:rPr>
        <w:t>not</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ratify</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International</w:t>
      </w:r>
      <w:r w:rsidR="00FF41A0">
        <w:rPr>
          <w:color w:val="000000"/>
          <w:sz w:val="20"/>
          <w:szCs w:val="20"/>
          <w:lang w:eastAsia="en-GB" w:bidi="en-GB"/>
        </w:rPr>
        <w:t xml:space="preserve"> </w:t>
      </w:r>
      <w:r w:rsidR="00323457" w:rsidRPr="0059638B">
        <w:rPr>
          <w:color w:val="000000"/>
          <w:sz w:val="20"/>
          <w:szCs w:val="20"/>
          <w:lang w:eastAsia="en-GB" w:bidi="en-GB"/>
        </w:rPr>
        <w:t>Convention</w:t>
      </w:r>
      <w:r w:rsidR="00FF41A0">
        <w:rPr>
          <w:color w:val="000000"/>
          <w:sz w:val="20"/>
          <w:szCs w:val="20"/>
          <w:lang w:eastAsia="en-GB" w:bidi="en-GB"/>
        </w:rPr>
        <w:t xml:space="preserve"> </w:t>
      </w:r>
      <w:r w:rsidR="00323457" w:rsidRPr="0059638B">
        <w:rPr>
          <w:color w:val="000000"/>
          <w:sz w:val="20"/>
          <w:szCs w:val="20"/>
          <w:lang w:eastAsia="en-GB" w:bidi="en-GB"/>
        </w:rPr>
        <w:t>on</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Elimination</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All</w:t>
      </w:r>
      <w:r w:rsidR="00FF41A0">
        <w:rPr>
          <w:color w:val="000000"/>
          <w:sz w:val="20"/>
          <w:szCs w:val="20"/>
          <w:lang w:eastAsia="en-GB" w:bidi="en-GB"/>
        </w:rPr>
        <w:t xml:space="preserve"> </w:t>
      </w:r>
      <w:r w:rsidR="00323457" w:rsidRPr="0059638B">
        <w:rPr>
          <w:color w:val="000000"/>
          <w:sz w:val="20"/>
          <w:szCs w:val="20"/>
          <w:lang w:eastAsia="en-GB" w:bidi="en-GB"/>
        </w:rPr>
        <w:t>Forms</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Racial</w:t>
      </w:r>
      <w:r w:rsidR="00FF41A0">
        <w:rPr>
          <w:color w:val="000000"/>
          <w:sz w:val="20"/>
          <w:szCs w:val="20"/>
          <w:lang w:eastAsia="en-GB" w:bidi="en-GB"/>
        </w:rPr>
        <w:t xml:space="preserve"> </w:t>
      </w:r>
      <w:r w:rsidR="00323457" w:rsidRPr="0059638B">
        <w:rPr>
          <w:color w:val="000000"/>
          <w:sz w:val="20"/>
          <w:szCs w:val="20"/>
          <w:lang w:eastAsia="en-GB" w:bidi="en-GB"/>
        </w:rPr>
        <w:t>Discrimination</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was</w:t>
      </w:r>
      <w:r w:rsidR="00FF41A0">
        <w:rPr>
          <w:color w:val="000000"/>
          <w:sz w:val="20"/>
          <w:szCs w:val="20"/>
          <w:lang w:eastAsia="en-GB" w:bidi="en-GB"/>
        </w:rPr>
        <w:t xml:space="preserve"> </w:t>
      </w:r>
      <w:r w:rsidR="00323457" w:rsidRPr="0059638B">
        <w:rPr>
          <w:color w:val="000000"/>
          <w:sz w:val="20"/>
          <w:szCs w:val="20"/>
          <w:lang w:eastAsia="en-GB" w:bidi="en-GB"/>
        </w:rPr>
        <w:t>concerned</w:t>
      </w:r>
      <w:r w:rsidR="00FF41A0">
        <w:rPr>
          <w:color w:val="000000"/>
          <w:sz w:val="20"/>
          <w:szCs w:val="20"/>
          <w:lang w:eastAsia="en-GB" w:bidi="en-GB"/>
        </w:rPr>
        <w:t xml:space="preserve"> </w:t>
      </w:r>
      <w:r w:rsidR="00323457" w:rsidRPr="0059638B">
        <w:rPr>
          <w:color w:val="000000"/>
          <w:sz w:val="20"/>
          <w:szCs w:val="20"/>
          <w:lang w:eastAsia="en-GB" w:bidi="en-GB"/>
        </w:rPr>
        <w:t>by</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lack</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a</w:t>
      </w:r>
      <w:r w:rsidR="00FF41A0">
        <w:rPr>
          <w:color w:val="000000"/>
          <w:sz w:val="20"/>
          <w:szCs w:val="20"/>
          <w:lang w:eastAsia="en-GB" w:bidi="en-GB"/>
        </w:rPr>
        <w:t xml:space="preserve"> </w:t>
      </w:r>
      <w:r w:rsidR="00323457" w:rsidRPr="0059638B">
        <w:rPr>
          <w:color w:val="000000"/>
          <w:sz w:val="20"/>
          <w:szCs w:val="20"/>
          <w:lang w:eastAsia="en-GB" w:bidi="en-GB"/>
        </w:rPr>
        <w:t>clear</w:t>
      </w:r>
      <w:r w:rsidR="00FF41A0">
        <w:rPr>
          <w:color w:val="000000"/>
          <w:sz w:val="20"/>
          <w:szCs w:val="20"/>
          <w:lang w:eastAsia="en-GB" w:bidi="en-GB"/>
        </w:rPr>
        <w:t xml:space="preserve"> </w:t>
      </w:r>
      <w:r w:rsidR="00323457" w:rsidRPr="0059638B">
        <w:rPr>
          <w:color w:val="000000"/>
          <w:sz w:val="20"/>
          <w:szCs w:val="20"/>
          <w:lang w:eastAsia="en-GB" w:bidi="en-GB"/>
        </w:rPr>
        <w:t>timetable</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ratify</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other</w:t>
      </w:r>
      <w:r w:rsidR="00FF41A0">
        <w:rPr>
          <w:color w:val="000000"/>
          <w:sz w:val="20"/>
          <w:szCs w:val="20"/>
          <w:lang w:eastAsia="en-GB" w:bidi="en-GB"/>
        </w:rPr>
        <w:t xml:space="preserve"> </w:t>
      </w:r>
      <w:r w:rsidR="00323457" w:rsidRPr="0059638B">
        <w:rPr>
          <w:color w:val="000000"/>
          <w:sz w:val="20"/>
          <w:szCs w:val="20"/>
          <w:lang w:eastAsia="en-GB" w:bidi="en-GB"/>
        </w:rPr>
        <w:t>core</w:t>
      </w:r>
      <w:r w:rsidR="00FF41A0">
        <w:rPr>
          <w:color w:val="000000"/>
          <w:sz w:val="20"/>
          <w:szCs w:val="20"/>
          <w:lang w:eastAsia="en-GB" w:bidi="en-GB"/>
        </w:rPr>
        <w:t xml:space="preserve"> </w:t>
      </w:r>
      <w:r w:rsidR="00323457" w:rsidRPr="0059638B">
        <w:rPr>
          <w:color w:val="000000"/>
          <w:sz w:val="20"/>
          <w:szCs w:val="20"/>
          <w:lang w:eastAsia="en-GB" w:bidi="en-GB"/>
        </w:rPr>
        <w:t>treaties.</w:t>
      </w:r>
      <w:r w:rsidR="00FF41A0">
        <w:rPr>
          <w:color w:val="000000"/>
          <w:sz w:val="20"/>
          <w:szCs w:val="20"/>
          <w:lang w:eastAsia="en-GB" w:bidi="en-GB"/>
        </w:rPr>
        <w:t xml:space="preserve"> </w:t>
      </w:r>
      <w:r w:rsidR="00323457" w:rsidRPr="0059638B">
        <w:rPr>
          <w:color w:val="000000"/>
          <w:sz w:val="20"/>
          <w:szCs w:val="20"/>
          <w:lang w:eastAsia="en-GB" w:bidi="en-GB"/>
        </w:rPr>
        <w:t>It</w:t>
      </w:r>
      <w:r w:rsidR="00FF41A0">
        <w:rPr>
          <w:color w:val="000000"/>
          <w:sz w:val="20"/>
          <w:szCs w:val="20"/>
          <w:lang w:eastAsia="en-GB" w:bidi="en-GB"/>
        </w:rPr>
        <w:t xml:space="preserve"> </w:t>
      </w:r>
      <w:r w:rsidR="00323457" w:rsidRPr="0059638B">
        <w:rPr>
          <w:color w:val="000000"/>
          <w:sz w:val="20"/>
          <w:szCs w:val="20"/>
          <w:lang w:eastAsia="en-GB" w:bidi="en-GB"/>
        </w:rPr>
        <w:t>regretted</w:t>
      </w:r>
      <w:r w:rsidR="00FF41A0">
        <w:rPr>
          <w:color w:val="000000"/>
          <w:sz w:val="20"/>
          <w:szCs w:val="20"/>
          <w:lang w:eastAsia="en-GB" w:bidi="en-GB"/>
        </w:rPr>
        <w:t xml:space="preserve"> </w:t>
      </w:r>
      <w:r w:rsidR="00323457" w:rsidRPr="0059638B">
        <w:rPr>
          <w:color w:val="000000"/>
          <w:sz w:val="20"/>
          <w:szCs w:val="20"/>
          <w:lang w:eastAsia="en-GB" w:bidi="en-GB"/>
        </w:rPr>
        <w:t>that,</w:t>
      </w:r>
      <w:r w:rsidR="00FF41A0">
        <w:rPr>
          <w:color w:val="000000"/>
          <w:sz w:val="20"/>
          <w:szCs w:val="20"/>
          <w:lang w:eastAsia="en-GB" w:bidi="en-GB"/>
        </w:rPr>
        <w:t xml:space="preserve"> </w:t>
      </w:r>
      <w:r w:rsidR="00323457" w:rsidRPr="0059638B">
        <w:rPr>
          <w:color w:val="000000"/>
          <w:sz w:val="20"/>
          <w:szCs w:val="20"/>
          <w:lang w:eastAsia="en-GB" w:bidi="en-GB"/>
        </w:rPr>
        <w:t>since</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universal</w:t>
      </w:r>
      <w:r w:rsidR="00FF41A0">
        <w:rPr>
          <w:color w:val="000000"/>
          <w:sz w:val="20"/>
          <w:szCs w:val="20"/>
          <w:lang w:eastAsia="en-GB" w:bidi="en-GB"/>
        </w:rPr>
        <w:t xml:space="preserve"> </w:t>
      </w:r>
      <w:r w:rsidR="00323457" w:rsidRPr="0059638B">
        <w:rPr>
          <w:color w:val="000000"/>
          <w:sz w:val="20"/>
          <w:szCs w:val="20"/>
          <w:lang w:eastAsia="en-GB" w:bidi="en-GB"/>
        </w:rPr>
        <w:t>periodic</w:t>
      </w:r>
      <w:r w:rsidR="00FF41A0">
        <w:rPr>
          <w:color w:val="000000"/>
          <w:sz w:val="20"/>
          <w:szCs w:val="20"/>
          <w:lang w:eastAsia="en-GB" w:bidi="en-GB"/>
        </w:rPr>
        <w:t xml:space="preserve"> </w:t>
      </w:r>
      <w:r w:rsidR="00323457" w:rsidRPr="0059638B">
        <w:rPr>
          <w:color w:val="000000"/>
          <w:sz w:val="20"/>
          <w:szCs w:val="20"/>
          <w:lang w:eastAsia="en-GB" w:bidi="en-GB"/>
        </w:rPr>
        <w:t>review,</w:t>
      </w:r>
      <w:r w:rsidR="00FF41A0">
        <w:rPr>
          <w:color w:val="000000"/>
          <w:sz w:val="20"/>
          <w:szCs w:val="20"/>
          <w:lang w:eastAsia="en-GB" w:bidi="en-GB"/>
        </w:rPr>
        <w:t xml:space="preserve"> </w:t>
      </w:r>
      <w:r w:rsidR="00323457" w:rsidRPr="0059638B">
        <w:rPr>
          <w:color w:val="000000"/>
          <w:sz w:val="20"/>
          <w:szCs w:val="20"/>
          <w:lang w:eastAsia="en-GB" w:bidi="en-GB"/>
        </w:rPr>
        <w:t>a</w:t>
      </w:r>
      <w:r w:rsidR="00FF41A0">
        <w:rPr>
          <w:color w:val="000000"/>
          <w:sz w:val="20"/>
          <w:szCs w:val="20"/>
          <w:lang w:eastAsia="en-GB" w:bidi="en-GB"/>
        </w:rPr>
        <w:t xml:space="preserve"> </w:t>
      </w:r>
      <w:r w:rsidR="00323457" w:rsidRPr="0059638B">
        <w:rPr>
          <w:color w:val="000000"/>
          <w:sz w:val="20"/>
          <w:szCs w:val="20"/>
          <w:lang w:eastAsia="en-GB" w:bidi="en-GB"/>
        </w:rPr>
        <w:t>moratorium</w:t>
      </w:r>
      <w:r w:rsidR="00FF41A0">
        <w:rPr>
          <w:color w:val="000000"/>
          <w:sz w:val="20"/>
          <w:szCs w:val="20"/>
          <w:lang w:eastAsia="en-GB" w:bidi="en-GB"/>
        </w:rPr>
        <w:t xml:space="preserve"> </w:t>
      </w:r>
      <w:r w:rsidR="00323457" w:rsidRPr="0059638B">
        <w:rPr>
          <w:color w:val="000000"/>
          <w:sz w:val="20"/>
          <w:szCs w:val="20"/>
          <w:lang w:eastAsia="en-GB" w:bidi="en-GB"/>
        </w:rPr>
        <w:t>on</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use</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Sedition</w:t>
      </w:r>
      <w:r w:rsidR="00FF41A0">
        <w:rPr>
          <w:color w:val="000000"/>
          <w:sz w:val="20"/>
          <w:szCs w:val="20"/>
          <w:lang w:eastAsia="en-GB" w:bidi="en-GB"/>
        </w:rPr>
        <w:t xml:space="preserve"> </w:t>
      </w:r>
      <w:r w:rsidR="00323457" w:rsidRPr="0059638B">
        <w:rPr>
          <w:color w:val="000000"/>
          <w:sz w:val="20"/>
          <w:szCs w:val="20"/>
          <w:lang w:eastAsia="en-GB" w:bidi="en-GB"/>
        </w:rPr>
        <w:t>Act</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other</w:t>
      </w:r>
      <w:r w:rsidR="00FF41A0">
        <w:rPr>
          <w:color w:val="000000"/>
          <w:sz w:val="20"/>
          <w:szCs w:val="20"/>
          <w:lang w:eastAsia="en-GB" w:bidi="en-GB"/>
        </w:rPr>
        <w:t xml:space="preserve"> </w:t>
      </w:r>
      <w:r w:rsidR="00323457" w:rsidRPr="0059638B">
        <w:rPr>
          <w:color w:val="000000"/>
          <w:sz w:val="20"/>
          <w:szCs w:val="20"/>
          <w:lang w:eastAsia="en-GB" w:bidi="en-GB"/>
        </w:rPr>
        <w:t>laws</w:t>
      </w:r>
      <w:r w:rsidR="00FF41A0">
        <w:rPr>
          <w:color w:val="000000"/>
          <w:sz w:val="20"/>
          <w:szCs w:val="20"/>
          <w:lang w:eastAsia="en-GB" w:bidi="en-GB"/>
        </w:rPr>
        <w:t xml:space="preserve"> </w:t>
      </w:r>
      <w:r w:rsidR="00323457" w:rsidRPr="0059638B">
        <w:rPr>
          <w:color w:val="000000"/>
          <w:sz w:val="20"/>
          <w:szCs w:val="20"/>
          <w:lang w:eastAsia="en-GB" w:bidi="en-GB"/>
        </w:rPr>
        <w:t>that</w:t>
      </w:r>
      <w:r w:rsidR="00FF41A0">
        <w:rPr>
          <w:color w:val="000000"/>
          <w:sz w:val="20"/>
          <w:szCs w:val="20"/>
          <w:lang w:eastAsia="en-GB" w:bidi="en-GB"/>
        </w:rPr>
        <w:t xml:space="preserve"> </w:t>
      </w:r>
      <w:r w:rsidR="00323457" w:rsidRPr="0059638B">
        <w:rPr>
          <w:color w:val="000000"/>
          <w:sz w:val="20"/>
          <w:szCs w:val="20"/>
          <w:lang w:eastAsia="en-GB" w:bidi="en-GB"/>
        </w:rPr>
        <w:t>restrict</w:t>
      </w:r>
      <w:r w:rsidR="00FF41A0">
        <w:rPr>
          <w:color w:val="000000"/>
          <w:sz w:val="20"/>
          <w:szCs w:val="20"/>
          <w:lang w:eastAsia="en-GB" w:bidi="en-GB"/>
        </w:rPr>
        <w:t xml:space="preserve"> </w:t>
      </w:r>
      <w:r w:rsidR="00323457" w:rsidRPr="0059638B">
        <w:rPr>
          <w:color w:val="000000"/>
          <w:sz w:val="20"/>
          <w:szCs w:val="20"/>
          <w:lang w:eastAsia="en-GB" w:bidi="en-GB"/>
        </w:rPr>
        <w:t>fundamental</w:t>
      </w:r>
      <w:r w:rsidR="00FF41A0">
        <w:rPr>
          <w:color w:val="000000"/>
          <w:sz w:val="20"/>
          <w:szCs w:val="20"/>
          <w:lang w:eastAsia="en-GB" w:bidi="en-GB"/>
        </w:rPr>
        <w:t xml:space="preserve"> </w:t>
      </w:r>
      <w:r w:rsidR="00323457" w:rsidRPr="0059638B">
        <w:rPr>
          <w:color w:val="000000"/>
          <w:sz w:val="20"/>
          <w:szCs w:val="20"/>
          <w:lang w:eastAsia="en-GB" w:bidi="en-GB"/>
        </w:rPr>
        <w:t>freedoms</w:t>
      </w:r>
      <w:r w:rsidR="00FF41A0">
        <w:rPr>
          <w:color w:val="000000"/>
          <w:sz w:val="20"/>
          <w:szCs w:val="20"/>
          <w:lang w:eastAsia="en-GB" w:bidi="en-GB"/>
        </w:rPr>
        <w:t xml:space="preserve"> </w:t>
      </w:r>
      <w:r w:rsidR="00323457" w:rsidRPr="0059638B">
        <w:rPr>
          <w:color w:val="000000"/>
          <w:sz w:val="20"/>
          <w:szCs w:val="20"/>
          <w:lang w:eastAsia="en-GB" w:bidi="en-GB"/>
        </w:rPr>
        <w:t>had</w:t>
      </w:r>
      <w:r w:rsidR="00FF41A0">
        <w:rPr>
          <w:color w:val="000000"/>
          <w:sz w:val="20"/>
          <w:szCs w:val="20"/>
          <w:lang w:eastAsia="en-GB" w:bidi="en-GB"/>
        </w:rPr>
        <w:t xml:space="preserve"> </w:t>
      </w:r>
      <w:r w:rsidR="00323457" w:rsidRPr="0059638B">
        <w:rPr>
          <w:color w:val="000000"/>
          <w:sz w:val="20"/>
          <w:szCs w:val="20"/>
          <w:lang w:eastAsia="en-GB" w:bidi="en-GB"/>
        </w:rPr>
        <w:t>been</w:t>
      </w:r>
      <w:r w:rsidR="00FF41A0">
        <w:rPr>
          <w:color w:val="000000"/>
          <w:sz w:val="20"/>
          <w:szCs w:val="20"/>
          <w:lang w:eastAsia="en-GB" w:bidi="en-GB"/>
        </w:rPr>
        <w:t xml:space="preserve"> </w:t>
      </w:r>
      <w:r w:rsidR="00323457" w:rsidRPr="0059638B">
        <w:rPr>
          <w:color w:val="000000"/>
          <w:sz w:val="20"/>
          <w:szCs w:val="20"/>
          <w:lang w:eastAsia="en-GB" w:bidi="en-GB"/>
        </w:rPr>
        <w:t>lifted</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that</w:t>
      </w:r>
      <w:r w:rsidR="00FF41A0">
        <w:rPr>
          <w:color w:val="000000"/>
          <w:sz w:val="20"/>
          <w:szCs w:val="20"/>
          <w:lang w:eastAsia="en-GB" w:bidi="en-GB"/>
        </w:rPr>
        <w:t xml:space="preserve"> </w:t>
      </w:r>
      <w:r w:rsidR="00323457" w:rsidRPr="0059638B">
        <w:rPr>
          <w:color w:val="000000"/>
          <w:sz w:val="20"/>
          <w:szCs w:val="20"/>
          <w:lang w:eastAsia="en-GB" w:bidi="en-GB"/>
        </w:rPr>
        <w:t>there</w:t>
      </w:r>
      <w:r w:rsidR="00FF41A0">
        <w:rPr>
          <w:color w:val="000000"/>
          <w:sz w:val="20"/>
          <w:szCs w:val="20"/>
          <w:lang w:eastAsia="en-GB" w:bidi="en-GB"/>
        </w:rPr>
        <w:t xml:space="preserve"> </w:t>
      </w:r>
      <w:r w:rsidR="00323457" w:rsidRPr="0059638B">
        <w:rPr>
          <w:color w:val="000000"/>
          <w:sz w:val="20"/>
          <w:szCs w:val="20"/>
          <w:lang w:eastAsia="en-GB" w:bidi="en-GB"/>
        </w:rPr>
        <w:t>had</w:t>
      </w:r>
      <w:r w:rsidR="00FF41A0">
        <w:rPr>
          <w:color w:val="000000"/>
          <w:sz w:val="20"/>
          <w:szCs w:val="20"/>
          <w:lang w:eastAsia="en-GB" w:bidi="en-GB"/>
        </w:rPr>
        <w:t xml:space="preserve"> </w:t>
      </w:r>
      <w:r w:rsidR="00323457" w:rsidRPr="0059638B">
        <w:rPr>
          <w:color w:val="000000"/>
          <w:sz w:val="20"/>
          <w:szCs w:val="20"/>
          <w:lang w:eastAsia="en-GB" w:bidi="en-GB"/>
        </w:rPr>
        <w:t>been</w:t>
      </w:r>
      <w:r w:rsidR="00FF41A0">
        <w:rPr>
          <w:color w:val="000000"/>
          <w:sz w:val="20"/>
          <w:szCs w:val="20"/>
          <w:lang w:eastAsia="en-GB" w:bidi="en-GB"/>
        </w:rPr>
        <w:t xml:space="preserve"> </w:t>
      </w:r>
      <w:r w:rsidR="00323457" w:rsidRPr="0059638B">
        <w:rPr>
          <w:color w:val="000000"/>
          <w:sz w:val="20"/>
          <w:szCs w:val="20"/>
          <w:lang w:eastAsia="en-GB" w:bidi="en-GB"/>
        </w:rPr>
        <w:t>arrests</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individuals</w:t>
      </w:r>
      <w:r w:rsidR="00FF41A0">
        <w:rPr>
          <w:color w:val="000000"/>
          <w:sz w:val="20"/>
          <w:szCs w:val="20"/>
          <w:lang w:eastAsia="en-GB" w:bidi="en-GB"/>
        </w:rPr>
        <w:t xml:space="preserve"> </w:t>
      </w:r>
      <w:r w:rsidR="00323457" w:rsidRPr="0059638B">
        <w:rPr>
          <w:color w:val="000000"/>
          <w:sz w:val="20"/>
          <w:szCs w:val="20"/>
          <w:lang w:eastAsia="en-GB" w:bidi="en-GB"/>
        </w:rPr>
        <w:t>under</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Sedition</w:t>
      </w:r>
      <w:r w:rsidR="00FF41A0">
        <w:rPr>
          <w:color w:val="000000"/>
          <w:sz w:val="20"/>
          <w:szCs w:val="20"/>
          <w:lang w:eastAsia="en-GB" w:bidi="en-GB"/>
        </w:rPr>
        <w:t xml:space="preserve"> </w:t>
      </w:r>
      <w:r w:rsidR="00323457" w:rsidRPr="0059638B">
        <w:rPr>
          <w:color w:val="000000"/>
          <w:sz w:val="20"/>
          <w:szCs w:val="20"/>
          <w:lang w:eastAsia="en-GB" w:bidi="en-GB"/>
        </w:rPr>
        <w:t>Act</w:t>
      </w:r>
      <w:r w:rsidR="00FF41A0">
        <w:rPr>
          <w:color w:val="000000"/>
          <w:sz w:val="20"/>
          <w:szCs w:val="20"/>
          <w:lang w:eastAsia="en-GB" w:bidi="en-GB"/>
        </w:rPr>
        <w:t xml:space="preserve"> </w:t>
      </w:r>
      <w:r w:rsidR="00323457" w:rsidRPr="0059638B">
        <w:rPr>
          <w:color w:val="000000"/>
          <w:sz w:val="20"/>
          <w:szCs w:val="20"/>
          <w:lang w:eastAsia="en-GB" w:bidi="en-GB"/>
        </w:rPr>
        <w:t>for</w:t>
      </w:r>
      <w:r w:rsidR="00FF41A0">
        <w:rPr>
          <w:color w:val="000000"/>
          <w:sz w:val="20"/>
          <w:szCs w:val="20"/>
          <w:lang w:eastAsia="en-GB" w:bidi="en-GB"/>
        </w:rPr>
        <w:t xml:space="preserve"> </w:t>
      </w:r>
      <w:r w:rsidR="00323457" w:rsidRPr="0059638B">
        <w:rPr>
          <w:color w:val="000000"/>
          <w:sz w:val="20"/>
          <w:szCs w:val="20"/>
          <w:lang w:eastAsia="en-GB" w:bidi="en-GB"/>
        </w:rPr>
        <w:t>exercising</w:t>
      </w:r>
      <w:r w:rsidR="00FF41A0">
        <w:rPr>
          <w:color w:val="000000"/>
          <w:sz w:val="20"/>
          <w:szCs w:val="20"/>
          <w:lang w:eastAsia="en-GB" w:bidi="en-GB"/>
        </w:rPr>
        <w:t xml:space="preserve"> </w:t>
      </w:r>
      <w:r w:rsidR="00323457" w:rsidRPr="0059638B">
        <w:rPr>
          <w:color w:val="000000"/>
          <w:sz w:val="20"/>
          <w:szCs w:val="20"/>
          <w:lang w:eastAsia="en-GB" w:bidi="en-GB"/>
        </w:rPr>
        <w:t>their</w:t>
      </w:r>
      <w:r w:rsidR="00FF41A0">
        <w:rPr>
          <w:color w:val="000000"/>
          <w:sz w:val="20"/>
          <w:szCs w:val="20"/>
          <w:lang w:eastAsia="en-GB" w:bidi="en-GB"/>
        </w:rPr>
        <w:t xml:space="preserve"> </w:t>
      </w:r>
      <w:r w:rsidR="00323457" w:rsidRPr="0059638B">
        <w:rPr>
          <w:color w:val="000000"/>
          <w:sz w:val="20"/>
          <w:szCs w:val="20"/>
          <w:lang w:eastAsia="en-GB" w:bidi="en-GB"/>
        </w:rPr>
        <w:t>right</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expression.</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Government</w:t>
      </w:r>
      <w:r w:rsidR="00FF41A0">
        <w:rPr>
          <w:color w:val="000000"/>
          <w:sz w:val="20"/>
          <w:szCs w:val="20"/>
          <w:lang w:eastAsia="en-GB" w:bidi="en-GB"/>
        </w:rPr>
        <w:t xml:space="preserve"> </w:t>
      </w:r>
      <w:r w:rsidR="00323457" w:rsidRPr="0059638B">
        <w:rPr>
          <w:color w:val="000000"/>
          <w:sz w:val="20"/>
          <w:szCs w:val="20"/>
          <w:lang w:eastAsia="en-GB" w:bidi="en-GB"/>
        </w:rPr>
        <w:t>had</w:t>
      </w:r>
      <w:r w:rsidR="00FF41A0">
        <w:rPr>
          <w:color w:val="000000"/>
          <w:sz w:val="20"/>
          <w:szCs w:val="20"/>
          <w:lang w:eastAsia="en-GB" w:bidi="en-GB"/>
        </w:rPr>
        <w:t xml:space="preserve"> </w:t>
      </w:r>
      <w:r w:rsidR="00323457" w:rsidRPr="0059638B">
        <w:rPr>
          <w:color w:val="000000"/>
          <w:sz w:val="20"/>
          <w:szCs w:val="20"/>
          <w:lang w:eastAsia="en-GB" w:bidi="en-GB"/>
        </w:rPr>
        <w:t>also</w:t>
      </w:r>
      <w:r w:rsidR="00FF41A0">
        <w:rPr>
          <w:color w:val="000000"/>
          <w:sz w:val="20"/>
          <w:szCs w:val="20"/>
          <w:lang w:eastAsia="en-GB" w:bidi="en-GB"/>
        </w:rPr>
        <w:t xml:space="preserve"> </w:t>
      </w:r>
      <w:r w:rsidR="00323457" w:rsidRPr="0059638B">
        <w:rPr>
          <w:color w:val="000000"/>
          <w:sz w:val="20"/>
          <w:szCs w:val="20"/>
          <w:lang w:eastAsia="en-GB" w:bidi="en-GB"/>
        </w:rPr>
        <w:t>failed</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denounce</w:t>
      </w:r>
      <w:r w:rsidR="00FF41A0">
        <w:rPr>
          <w:color w:val="000000"/>
          <w:sz w:val="20"/>
          <w:szCs w:val="20"/>
          <w:lang w:eastAsia="en-GB" w:bidi="en-GB"/>
        </w:rPr>
        <w:t xml:space="preserve"> </w:t>
      </w:r>
      <w:r w:rsidR="00323457" w:rsidRPr="0059638B">
        <w:rPr>
          <w:color w:val="000000"/>
          <w:sz w:val="20"/>
          <w:szCs w:val="20"/>
          <w:lang w:eastAsia="en-GB" w:bidi="en-GB"/>
        </w:rPr>
        <w:t>racism</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bigotry</w:t>
      </w:r>
      <w:r w:rsidR="00FF41A0">
        <w:rPr>
          <w:color w:val="000000"/>
          <w:sz w:val="20"/>
          <w:szCs w:val="20"/>
          <w:lang w:eastAsia="en-GB" w:bidi="en-GB"/>
        </w:rPr>
        <w:t xml:space="preserve"> </w:t>
      </w:r>
      <w:r w:rsidR="00323457" w:rsidRPr="0059638B">
        <w:rPr>
          <w:color w:val="000000"/>
          <w:sz w:val="20"/>
          <w:szCs w:val="20"/>
          <w:lang w:eastAsia="en-GB" w:bidi="en-GB"/>
        </w:rPr>
        <w:t>by</w:t>
      </w:r>
      <w:r w:rsidR="00FF41A0">
        <w:rPr>
          <w:color w:val="000000"/>
          <w:sz w:val="20"/>
          <w:szCs w:val="20"/>
          <w:lang w:eastAsia="en-GB" w:bidi="en-GB"/>
        </w:rPr>
        <w:t xml:space="preserve"> </w:t>
      </w:r>
      <w:r w:rsidR="00323457" w:rsidRPr="0059638B">
        <w:rPr>
          <w:color w:val="000000"/>
          <w:sz w:val="20"/>
          <w:szCs w:val="20"/>
          <w:lang w:eastAsia="en-GB" w:bidi="en-GB"/>
        </w:rPr>
        <w:t>opposition</w:t>
      </w:r>
      <w:r w:rsidR="00FF41A0">
        <w:rPr>
          <w:color w:val="000000"/>
          <w:sz w:val="20"/>
          <w:szCs w:val="20"/>
          <w:lang w:eastAsia="en-GB" w:bidi="en-GB"/>
        </w:rPr>
        <w:t xml:space="preserve"> </w:t>
      </w:r>
      <w:r w:rsidR="00323457" w:rsidRPr="0059638B">
        <w:rPr>
          <w:color w:val="000000"/>
          <w:sz w:val="20"/>
          <w:szCs w:val="20"/>
          <w:lang w:eastAsia="en-GB" w:bidi="en-GB"/>
        </w:rPr>
        <w:t>political</w:t>
      </w:r>
      <w:r w:rsidR="00FF41A0">
        <w:rPr>
          <w:color w:val="000000"/>
          <w:sz w:val="20"/>
          <w:szCs w:val="20"/>
          <w:lang w:eastAsia="en-GB" w:bidi="en-GB"/>
        </w:rPr>
        <w:t xml:space="preserve"> </w:t>
      </w:r>
      <w:r w:rsidR="00323457" w:rsidRPr="0059638B">
        <w:rPr>
          <w:color w:val="000000"/>
          <w:sz w:val="20"/>
          <w:szCs w:val="20"/>
          <w:lang w:eastAsia="en-GB" w:bidi="en-GB"/>
        </w:rPr>
        <w:t>leaders.</w:t>
      </w:r>
      <w:r w:rsidR="00FF41A0">
        <w:rPr>
          <w:color w:val="000000"/>
          <w:sz w:val="20"/>
          <w:szCs w:val="20"/>
          <w:lang w:eastAsia="en-GB" w:bidi="en-GB"/>
        </w:rPr>
        <w:t xml:space="preserve"> </w:t>
      </w:r>
      <w:r w:rsidR="00323457" w:rsidRPr="0059638B">
        <w:rPr>
          <w:color w:val="000000"/>
          <w:sz w:val="20"/>
          <w:szCs w:val="20"/>
          <w:lang w:eastAsia="en-GB" w:bidi="en-GB"/>
        </w:rPr>
        <w:t>It</w:t>
      </w:r>
      <w:r w:rsidR="00FF41A0">
        <w:rPr>
          <w:color w:val="000000"/>
          <w:sz w:val="20"/>
          <w:szCs w:val="20"/>
          <w:lang w:eastAsia="en-GB" w:bidi="en-GB"/>
        </w:rPr>
        <w:t xml:space="preserve"> </w:t>
      </w:r>
      <w:r w:rsidR="00323457" w:rsidRPr="0059638B">
        <w:rPr>
          <w:color w:val="000000"/>
          <w:sz w:val="20"/>
          <w:szCs w:val="20"/>
          <w:lang w:eastAsia="en-GB" w:bidi="en-GB"/>
        </w:rPr>
        <w:t>was</w:t>
      </w:r>
      <w:r w:rsidR="00FF41A0">
        <w:rPr>
          <w:color w:val="000000"/>
          <w:sz w:val="20"/>
          <w:szCs w:val="20"/>
          <w:lang w:eastAsia="en-GB" w:bidi="en-GB"/>
        </w:rPr>
        <w:t xml:space="preserve"> </w:t>
      </w:r>
      <w:r w:rsidR="00323457" w:rsidRPr="0059638B">
        <w:rPr>
          <w:color w:val="000000"/>
          <w:sz w:val="20"/>
          <w:szCs w:val="20"/>
          <w:lang w:eastAsia="en-GB" w:bidi="en-GB"/>
        </w:rPr>
        <w:t>concerned</w:t>
      </w:r>
      <w:r w:rsidR="00FF41A0">
        <w:rPr>
          <w:color w:val="000000"/>
          <w:sz w:val="20"/>
          <w:szCs w:val="20"/>
          <w:lang w:eastAsia="en-GB" w:bidi="en-GB"/>
        </w:rPr>
        <w:t xml:space="preserve"> </w:t>
      </w:r>
      <w:r w:rsidR="00323457" w:rsidRPr="0059638B">
        <w:rPr>
          <w:color w:val="000000"/>
          <w:sz w:val="20"/>
          <w:szCs w:val="20"/>
          <w:lang w:eastAsia="en-GB" w:bidi="en-GB"/>
        </w:rPr>
        <w:t>that</w:t>
      </w:r>
      <w:r w:rsidR="00FF41A0">
        <w:rPr>
          <w:color w:val="000000"/>
          <w:sz w:val="20"/>
          <w:szCs w:val="20"/>
          <w:lang w:eastAsia="en-GB" w:bidi="en-GB"/>
        </w:rPr>
        <w:t xml:space="preserve"> </w:t>
      </w:r>
      <w:r w:rsidR="00323457" w:rsidRPr="0059638B">
        <w:rPr>
          <w:color w:val="000000"/>
          <w:sz w:val="20"/>
          <w:szCs w:val="20"/>
          <w:lang w:eastAsia="en-GB" w:bidi="en-GB"/>
        </w:rPr>
        <w:t>activists</w:t>
      </w:r>
      <w:r w:rsidR="00FF41A0">
        <w:rPr>
          <w:color w:val="000000"/>
          <w:sz w:val="20"/>
          <w:szCs w:val="20"/>
          <w:lang w:eastAsia="en-GB" w:bidi="en-GB"/>
        </w:rPr>
        <w:t xml:space="preserve"> </w:t>
      </w:r>
      <w:r w:rsidR="00323457" w:rsidRPr="0059638B">
        <w:rPr>
          <w:color w:val="000000"/>
          <w:sz w:val="20"/>
          <w:szCs w:val="20"/>
          <w:lang w:eastAsia="en-GB" w:bidi="en-GB"/>
        </w:rPr>
        <w:t>continued</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face</w:t>
      </w:r>
      <w:r w:rsidR="00FF41A0">
        <w:rPr>
          <w:color w:val="000000"/>
          <w:sz w:val="20"/>
          <w:szCs w:val="20"/>
          <w:lang w:eastAsia="en-GB" w:bidi="en-GB"/>
        </w:rPr>
        <w:t xml:space="preserve"> </w:t>
      </w:r>
      <w:r w:rsidR="00323457" w:rsidRPr="0059638B">
        <w:rPr>
          <w:color w:val="000000"/>
          <w:sz w:val="20"/>
          <w:szCs w:val="20"/>
          <w:lang w:eastAsia="en-GB" w:bidi="en-GB"/>
        </w:rPr>
        <w:t>arrests</w:t>
      </w:r>
      <w:r w:rsidR="00FF41A0">
        <w:rPr>
          <w:color w:val="000000"/>
          <w:sz w:val="20"/>
          <w:szCs w:val="20"/>
          <w:lang w:eastAsia="en-GB" w:bidi="en-GB"/>
        </w:rPr>
        <w:t xml:space="preserve"> </w:t>
      </w:r>
      <w:r w:rsidR="00323457" w:rsidRPr="0059638B">
        <w:rPr>
          <w:color w:val="000000"/>
          <w:sz w:val="20"/>
          <w:szCs w:val="20"/>
          <w:lang w:eastAsia="en-GB" w:bidi="en-GB"/>
        </w:rPr>
        <w:t>for</w:t>
      </w:r>
      <w:r w:rsidR="00FF41A0">
        <w:rPr>
          <w:color w:val="000000"/>
          <w:sz w:val="20"/>
          <w:szCs w:val="20"/>
          <w:lang w:eastAsia="en-GB" w:bidi="en-GB"/>
        </w:rPr>
        <w:t xml:space="preserve"> </w:t>
      </w:r>
      <w:r w:rsidR="00323457" w:rsidRPr="0059638B">
        <w:rPr>
          <w:color w:val="000000"/>
          <w:sz w:val="20"/>
          <w:szCs w:val="20"/>
          <w:lang w:eastAsia="en-GB" w:bidi="en-GB"/>
        </w:rPr>
        <w:t>their</w:t>
      </w:r>
      <w:r w:rsidR="00FF41A0">
        <w:rPr>
          <w:color w:val="000000"/>
          <w:sz w:val="20"/>
          <w:szCs w:val="20"/>
          <w:lang w:eastAsia="en-GB" w:bidi="en-GB"/>
        </w:rPr>
        <w:t xml:space="preserve"> </w:t>
      </w:r>
      <w:r w:rsidR="00323457" w:rsidRPr="0059638B">
        <w:rPr>
          <w:color w:val="000000"/>
          <w:sz w:val="20"/>
          <w:szCs w:val="20"/>
          <w:lang w:eastAsia="en-GB" w:bidi="en-GB"/>
        </w:rPr>
        <w:t>involvement</w:t>
      </w:r>
      <w:r w:rsidR="00FF41A0">
        <w:rPr>
          <w:color w:val="000000"/>
          <w:sz w:val="20"/>
          <w:szCs w:val="20"/>
          <w:lang w:eastAsia="en-GB" w:bidi="en-GB"/>
        </w:rPr>
        <w:t xml:space="preserve"> </w:t>
      </w:r>
      <w:r w:rsidR="00323457" w:rsidRPr="0059638B">
        <w:rPr>
          <w:color w:val="000000"/>
          <w:sz w:val="20"/>
          <w:szCs w:val="20"/>
          <w:lang w:eastAsia="en-GB" w:bidi="en-GB"/>
        </w:rPr>
        <w:t>in</w:t>
      </w:r>
      <w:r w:rsidR="00FF41A0">
        <w:rPr>
          <w:color w:val="000000"/>
          <w:sz w:val="20"/>
          <w:szCs w:val="20"/>
          <w:lang w:eastAsia="en-GB" w:bidi="en-GB"/>
        </w:rPr>
        <w:t xml:space="preserve"> </w:t>
      </w:r>
      <w:r w:rsidR="00323457" w:rsidRPr="0059638B">
        <w:rPr>
          <w:color w:val="000000"/>
          <w:sz w:val="20"/>
          <w:szCs w:val="20"/>
          <w:lang w:eastAsia="en-GB" w:bidi="en-GB"/>
        </w:rPr>
        <w:t>demonstrations.</w:t>
      </w:r>
      <w:r w:rsidR="00FF41A0">
        <w:rPr>
          <w:color w:val="000000"/>
          <w:sz w:val="20"/>
          <w:szCs w:val="20"/>
          <w:lang w:eastAsia="en-GB" w:bidi="en-GB"/>
        </w:rPr>
        <w:t xml:space="preserve"> </w:t>
      </w:r>
      <w:r w:rsidR="00323457" w:rsidRPr="0059638B">
        <w:rPr>
          <w:color w:val="000000"/>
          <w:sz w:val="20"/>
          <w:szCs w:val="20"/>
          <w:lang w:eastAsia="en-GB" w:bidi="en-GB"/>
        </w:rPr>
        <w:t>It</w:t>
      </w:r>
      <w:r w:rsidR="00FF41A0">
        <w:rPr>
          <w:color w:val="000000"/>
          <w:sz w:val="20"/>
          <w:szCs w:val="20"/>
          <w:lang w:eastAsia="en-GB" w:bidi="en-GB"/>
        </w:rPr>
        <w:t xml:space="preserve"> </w:t>
      </w:r>
      <w:r w:rsidR="00323457" w:rsidRPr="0059638B">
        <w:rPr>
          <w:color w:val="000000"/>
          <w:sz w:val="20"/>
          <w:szCs w:val="20"/>
          <w:lang w:eastAsia="en-GB" w:bidi="en-GB"/>
        </w:rPr>
        <w:t>called</w:t>
      </w:r>
      <w:r w:rsidR="00FF41A0">
        <w:rPr>
          <w:color w:val="000000"/>
          <w:sz w:val="20"/>
          <w:szCs w:val="20"/>
          <w:lang w:eastAsia="en-GB" w:bidi="en-GB"/>
        </w:rPr>
        <w:t xml:space="preserve"> </w:t>
      </w:r>
      <w:r w:rsidR="00323457" w:rsidRPr="0059638B">
        <w:rPr>
          <w:color w:val="000000"/>
          <w:sz w:val="20"/>
          <w:szCs w:val="20"/>
          <w:lang w:eastAsia="en-GB" w:bidi="en-GB"/>
        </w:rPr>
        <w:t>on</w:t>
      </w:r>
      <w:r w:rsidR="00FF41A0">
        <w:rPr>
          <w:color w:val="000000"/>
          <w:sz w:val="20"/>
          <w:szCs w:val="20"/>
          <w:lang w:eastAsia="en-GB" w:bidi="en-GB"/>
        </w:rPr>
        <w:t xml:space="preserve"> </w:t>
      </w:r>
      <w:r w:rsidR="00323457" w:rsidRPr="0059638B">
        <w:rPr>
          <w:color w:val="000000"/>
          <w:sz w:val="20"/>
          <w:szCs w:val="20"/>
          <w:lang w:eastAsia="en-GB" w:bidi="en-GB"/>
        </w:rPr>
        <w:t>Malaysia</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implement</w:t>
      </w:r>
      <w:r w:rsidR="00FF41A0">
        <w:rPr>
          <w:color w:val="000000"/>
          <w:sz w:val="20"/>
          <w:szCs w:val="20"/>
          <w:lang w:eastAsia="en-GB" w:bidi="en-GB"/>
        </w:rPr>
        <w:t xml:space="preserve"> </w:t>
      </w:r>
      <w:r w:rsidR="00323457" w:rsidRPr="0059638B">
        <w:rPr>
          <w:color w:val="000000"/>
          <w:sz w:val="20"/>
          <w:szCs w:val="20"/>
          <w:lang w:eastAsia="en-GB" w:bidi="en-GB"/>
        </w:rPr>
        <w:t>recommendations</w:t>
      </w:r>
      <w:r w:rsidR="00FF41A0">
        <w:rPr>
          <w:color w:val="000000"/>
          <w:sz w:val="20"/>
          <w:szCs w:val="20"/>
          <w:lang w:eastAsia="en-GB" w:bidi="en-GB"/>
        </w:rPr>
        <w:t xml:space="preserve"> </w:t>
      </w:r>
      <w:r w:rsidR="00323457" w:rsidRPr="0059638B">
        <w:rPr>
          <w:color w:val="000000"/>
          <w:sz w:val="20"/>
          <w:szCs w:val="20"/>
          <w:lang w:eastAsia="en-GB" w:bidi="en-GB"/>
        </w:rPr>
        <w:t>it</w:t>
      </w:r>
      <w:r w:rsidR="00FF41A0">
        <w:rPr>
          <w:color w:val="000000"/>
          <w:sz w:val="20"/>
          <w:szCs w:val="20"/>
          <w:lang w:eastAsia="en-GB" w:bidi="en-GB"/>
        </w:rPr>
        <w:t xml:space="preserve"> </w:t>
      </w:r>
      <w:r w:rsidR="00323457" w:rsidRPr="0059638B">
        <w:rPr>
          <w:color w:val="000000"/>
          <w:sz w:val="20"/>
          <w:szCs w:val="20"/>
          <w:lang w:eastAsia="en-GB" w:bidi="en-GB"/>
        </w:rPr>
        <w:t>had</w:t>
      </w:r>
      <w:r w:rsidR="00FF41A0">
        <w:rPr>
          <w:color w:val="000000"/>
          <w:sz w:val="20"/>
          <w:szCs w:val="20"/>
          <w:lang w:eastAsia="en-GB" w:bidi="en-GB"/>
        </w:rPr>
        <w:t xml:space="preserve"> </w:t>
      </w:r>
      <w:r w:rsidR="00323457" w:rsidRPr="0059638B">
        <w:rPr>
          <w:color w:val="000000"/>
          <w:sz w:val="20"/>
          <w:szCs w:val="20"/>
          <w:lang w:eastAsia="en-GB" w:bidi="en-GB"/>
        </w:rPr>
        <w:t>accepted</w:t>
      </w:r>
      <w:r w:rsidR="00FF41A0">
        <w:rPr>
          <w:color w:val="000000"/>
          <w:sz w:val="20"/>
          <w:szCs w:val="20"/>
          <w:lang w:eastAsia="en-GB" w:bidi="en-GB"/>
        </w:rPr>
        <w:t xml:space="preserve"> </w:t>
      </w:r>
      <w:r w:rsidR="00323457" w:rsidRPr="0059638B">
        <w:rPr>
          <w:color w:val="000000"/>
          <w:sz w:val="20"/>
          <w:szCs w:val="20"/>
          <w:lang w:eastAsia="en-GB" w:bidi="en-GB"/>
        </w:rPr>
        <w:t>on</w:t>
      </w:r>
      <w:r w:rsidR="00FF41A0">
        <w:rPr>
          <w:color w:val="000000"/>
          <w:sz w:val="20"/>
          <w:szCs w:val="20"/>
          <w:lang w:eastAsia="en-GB" w:bidi="en-GB"/>
        </w:rPr>
        <w:t xml:space="preserve"> </w:t>
      </w:r>
      <w:r w:rsidR="00323457" w:rsidRPr="0059638B">
        <w:rPr>
          <w:color w:val="000000"/>
          <w:sz w:val="20"/>
          <w:szCs w:val="20"/>
          <w:lang w:eastAsia="en-GB" w:bidi="en-GB"/>
        </w:rPr>
        <w:t>protecting</w:t>
      </w:r>
      <w:r w:rsidR="00FF41A0">
        <w:rPr>
          <w:color w:val="000000"/>
          <w:sz w:val="20"/>
          <w:szCs w:val="20"/>
          <w:lang w:eastAsia="en-GB" w:bidi="en-GB"/>
        </w:rPr>
        <w:t xml:space="preserve"> </w:t>
      </w:r>
      <w:r w:rsidR="00323457" w:rsidRPr="0059638B">
        <w:rPr>
          <w:color w:val="000000"/>
          <w:sz w:val="20"/>
          <w:szCs w:val="20"/>
          <w:lang w:eastAsia="en-GB" w:bidi="en-GB"/>
        </w:rPr>
        <w:t>fundamental</w:t>
      </w:r>
      <w:r w:rsidR="00FF41A0">
        <w:rPr>
          <w:color w:val="000000"/>
          <w:sz w:val="20"/>
          <w:szCs w:val="20"/>
          <w:lang w:eastAsia="en-GB" w:bidi="en-GB"/>
        </w:rPr>
        <w:t xml:space="preserve"> </w:t>
      </w:r>
      <w:r w:rsidR="00323457" w:rsidRPr="0059638B">
        <w:rPr>
          <w:color w:val="000000"/>
          <w:sz w:val="20"/>
          <w:szCs w:val="20"/>
          <w:lang w:eastAsia="en-GB" w:bidi="en-GB"/>
        </w:rPr>
        <w:t>freedoms</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immediately</w:t>
      </w:r>
      <w:r w:rsidR="00FF41A0">
        <w:rPr>
          <w:color w:val="000000"/>
          <w:sz w:val="20"/>
          <w:szCs w:val="20"/>
          <w:lang w:eastAsia="en-GB" w:bidi="en-GB"/>
        </w:rPr>
        <w:t xml:space="preserve"> </w:t>
      </w:r>
      <w:r w:rsidR="00323457" w:rsidRPr="0059638B">
        <w:rPr>
          <w:color w:val="000000"/>
          <w:sz w:val="20"/>
          <w:szCs w:val="20"/>
          <w:lang w:eastAsia="en-GB" w:bidi="en-GB"/>
        </w:rPr>
        <w:t>review</w:t>
      </w:r>
      <w:r w:rsidR="00FF41A0">
        <w:rPr>
          <w:color w:val="000000"/>
          <w:sz w:val="20"/>
          <w:szCs w:val="20"/>
          <w:lang w:eastAsia="en-GB" w:bidi="en-GB"/>
        </w:rPr>
        <w:t xml:space="preserve"> </w:t>
      </w:r>
      <w:r w:rsidR="00323457" w:rsidRPr="0059638B">
        <w:rPr>
          <w:color w:val="000000"/>
          <w:sz w:val="20"/>
          <w:szCs w:val="20"/>
          <w:lang w:eastAsia="en-GB" w:bidi="en-GB"/>
        </w:rPr>
        <w:t>or</w:t>
      </w:r>
      <w:r w:rsidR="00FF41A0">
        <w:rPr>
          <w:color w:val="000000"/>
          <w:sz w:val="20"/>
          <w:szCs w:val="20"/>
          <w:lang w:eastAsia="en-GB" w:bidi="en-GB"/>
        </w:rPr>
        <w:t xml:space="preserve"> </w:t>
      </w:r>
      <w:r w:rsidR="00323457" w:rsidRPr="0059638B">
        <w:rPr>
          <w:color w:val="000000"/>
          <w:sz w:val="20"/>
          <w:szCs w:val="20"/>
          <w:lang w:eastAsia="en-GB" w:bidi="en-GB"/>
        </w:rPr>
        <w:t>repeal</w:t>
      </w:r>
      <w:r w:rsidR="00FF41A0">
        <w:rPr>
          <w:color w:val="000000"/>
          <w:sz w:val="20"/>
          <w:szCs w:val="20"/>
          <w:lang w:eastAsia="en-GB" w:bidi="en-GB"/>
        </w:rPr>
        <w:t xml:space="preserve"> </w:t>
      </w:r>
      <w:r w:rsidR="00323457" w:rsidRPr="0059638B">
        <w:rPr>
          <w:color w:val="000000"/>
          <w:sz w:val="20"/>
          <w:szCs w:val="20"/>
          <w:lang w:eastAsia="en-GB" w:bidi="en-GB"/>
        </w:rPr>
        <w:t>all</w:t>
      </w:r>
      <w:r w:rsidR="00FF41A0">
        <w:rPr>
          <w:color w:val="000000"/>
          <w:sz w:val="20"/>
          <w:szCs w:val="20"/>
          <w:lang w:eastAsia="en-GB" w:bidi="en-GB"/>
        </w:rPr>
        <w:t xml:space="preserve"> </w:t>
      </w:r>
      <w:r w:rsidR="00323457" w:rsidRPr="0059638B">
        <w:rPr>
          <w:color w:val="000000"/>
          <w:sz w:val="20"/>
          <w:szCs w:val="20"/>
          <w:lang w:eastAsia="en-GB" w:bidi="en-GB"/>
        </w:rPr>
        <w:t>restrictive</w:t>
      </w:r>
      <w:r w:rsidR="00FF41A0">
        <w:rPr>
          <w:color w:val="000000"/>
          <w:sz w:val="20"/>
          <w:szCs w:val="20"/>
          <w:lang w:eastAsia="en-GB" w:bidi="en-GB"/>
        </w:rPr>
        <w:t xml:space="preserve"> </w:t>
      </w:r>
      <w:r w:rsidR="00323457" w:rsidRPr="0059638B">
        <w:rPr>
          <w:color w:val="000000"/>
          <w:sz w:val="20"/>
          <w:szCs w:val="20"/>
          <w:lang w:eastAsia="en-GB" w:bidi="en-GB"/>
        </w:rPr>
        <w:t>laws</w:t>
      </w:r>
      <w:r w:rsidR="00FF41A0">
        <w:rPr>
          <w:color w:val="000000"/>
          <w:sz w:val="20"/>
          <w:szCs w:val="20"/>
          <w:lang w:eastAsia="en-GB" w:bidi="en-GB"/>
        </w:rPr>
        <w:t xml:space="preserve"> </w:t>
      </w:r>
      <w:r w:rsidR="00323457" w:rsidRPr="0059638B">
        <w:rPr>
          <w:color w:val="000000"/>
          <w:sz w:val="20"/>
          <w:szCs w:val="20"/>
          <w:lang w:eastAsia="en-GB" w:bidi="en-GB"/>
        </w:rPr>
        <w:t>that</w:t>
      </w:r>
      <w:r w:rsidR="00FF41A0">
        <w:rPr>
          <w:color w:val="000000"/>
          <w:sz w:val="20"/>
          <w:szCs w:val="20"/>
          <w:lang w:eastAsia="en-GB" w:bidi="en-GB"/>
        </w:rPr>
        <w:t xml:space="preserve"> </w:t>
      </w:r>
      <w:r w:rsidR="00323457" w:rsidRPr="0059638B">
        <w:rPr>
          <w:color w:val="000000"/>
          <w:sz w:val="20"/>
          <w:szCs w:val="20"/>
          <w:lang w:eastAsia="en-GB" w:bidi="en-GB"/>
        </w:rPr>
        <w:t>undermined</w:t>
      </w:r>
      <w:r w:rsidR="00FF41A0">
        <w:rPr>
          <w:color w:val="000000"/>
          <w:sz w:val="20"/>
          <w:szCs w:val="20"/>
          <w:lang w:eastAsia="en-GB" w:bidi="en-GB"/>
        </w:rPr>
        <w:t xml:space="preserve"> </w:t>
      </w:r>
      <w:r w:rsidR="00323457" w:rsidRPr="0059638B">
        <w:rPr>
          <w:color w:val="000000"/>
          <w:sz w:val="20"/>
          <w:szCs w:val="20"/>
          <w:lang w:eastAsia="en-GB" w:bidi="en-GB"/>
        </w:rPr>
        <w:t>civic</w:t>
      </w:r>
      <w:r w:rsidR="00FF41A0">
        <w:rPr>
          <w:color w:val="000000"/>
          <w:sz w:val="20"/>
          <w:szCs w:val="20"/>
          <w:lang w:eastAsia="en-GB" w:bidi="en-GB"/>
        </w:rPr>
        <w:t xml:space="preserve"> </w:t>
      </w:r>
      <w:r w:rsidR="00323457" w:rsidRPr="0059638B">
        <w:rPr>
          <w:color w:val="000000"/>
          <w:sz w:val="20"/>
          <w:szCs w:val="20"/>
          <w:lang w:eastAsia="en-GB" w:bidi="en-GB"/>
        </w:rPr>
        <w:t>space,</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immediately</w:t>
      </w:r>
      <w:r w:rsidR="00FF41A0">
        <w:rPr>
          <w:color w:val="000000"/>
          <w:sz w:val="20"/>
          <w:szCs w:val="20"/>
          <w:lang w:eastAsia="en-GB" w:bidi="en-GB"/>
        </w:rPr>
        <w:t xml:space="preserve"> </w:t>
      </w:r>
      <w:r w:rsidR="00323457" w:rsidRPr="0059638B">
        <w:rPr>
          <w:color w:val="000000"/>
          <w:sz w:val="20"/>
          <w:szCs w:val="20"/>
          <w:lang w:eastAsia="en-GB" w:bidi="en-GB"/>
        </w:rPr>
        <w:t>halt</w:t>
      </w:r>
      <w:r w:rsidR="00FF41A0">
        <w:rPr>
          <w:color w:val="000000"/>
          <w:sz w:val="20"/>
          <w:szCs w:val="20"/>
          <w:lang w:eastAsia="en-GB" w:bidi="en-GB"/>
        </w:rPr>
        <w:t xml:space="preserve"> </w:t>
      </w:r>
      <w:r w:rsidR="00323457" w:rsidRPr="0059638B">
        <w:rPr>
          <w:color w:val="000000"/>
          <w:sz w:val="20"/>
          <w:szCs w:val="20"/>
          <w:lang w:eastAsia="en-GB" w:bidi="en-GB"/>
        </w:rPr>
        <w:t>their</w:t>
      </w:r>
      <w:r w:rsidR="00FF41A0">
        <w:rPr>
          <w:color w:val="000000"/>
          <w:sz w:val="20"/>
          <w:szCs w:val="20"/>
          <w:lang w:eastAsia="en-GB" w:bidi="en-GB"/>
        </w:rPr>
        <w:t xml:space="preserve"> </w:t>
      </w:r>
      <w:r w:rsidR="00323457" w:rsidRPr="0059638B">
        <w:rPr>
          <w:color w:val="000000"/>
          <w:sz w:val="20"/>
          <w:szCs w:val="20"/>
          <w:lang w:eastAsia="en-GB" w:bidi="en-GB"/>
        </w:rPr>
        <w:t>use</w:t>
      </w:r>
      <w:r w:rsidR="00FF41A0">
        <w:rPr>
          <w:color w:val="000000"/>
          <w:sz w:val="20"/>
          <w:szCs w:val="20"/>
          <w:lang w:eastAsia="en-GB" w:bidi="en-GB"/>
        </w:rPr>
        <w:t xml:space="preserve"> </w:t>
      </w:r>
      <w:r w:rsidR="00323457" w:rsidRPr="0059638B">
        <w:rPr>
          <w:color w:val="000000"/>
          <w:sz w:val="20"/>
          <w:szCs w:val="20"/>
          <w:lang w:eastAsia="en-GB" w:bidi="en-GB"/>
        </w:rPr>
        <w:t>against</w:t>
      </w:r>
      <w:r w:rsidR="00FF41A0">
        <w:rPr>
          <w:color w:val="000000"/>
          <w:sz w:val="20"/>
          <w:szCs w:val="20"/>
          <w:lang w:eastAsia="en-GB" w:bidi="en-GB"/>
        </w:rPr>
        <w:t xml:space="preserve"> </w:t>
      </w:r>
      <w:r w:rsidR="00323457" w:rsidRPr="0059638B">
        <w:rPr>
          <w:color w:val="000000"/>
          <w:sz w:val="20"/>
          <w:szCs w:val="20"/>
          <w:lang w:eastAsia="en-GB" w:bidi="en-GB"/>
        </w:rPr>
        <w:t>government</w:t>
      </w:r>
      <w:r w:rsidR="00FF41A0">
        <w:rPr>
          <w:color w:val="000000"/>
          <w:sz w:val="20"/>
          <w:szCs w:val="20"/>
          <w:lang w:eastAsia="en-GB" w:bidi="en-GB"/>
        </w:rPr>
        <w:t xml:space="preserve"> </w:t>
      </w:r>
      <w:r w:rsidR="00323457" w:rsidRPr="0059638B">
        <w:rPr>
          <w:color w:val="000000"/>
          <w:sz w:val="20"/>
          <w:szCs w:val="20"/>
          <w:lang w:eastAsia="en-GB" w:bidi="en-GB"/>
        </w:rPr>
        <w:t>critics</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create</w:t>
      </w:r>
      <w:r w:rsidR="00FF41A0">
        <w:rPr>
          <w:color w:val="000000"/>
          <w:sz w:val="20"/>
          <w:szCs w:val="20"/>
          <w:lang w:eastAsia="en-GB" w:bidi="en-GB"/>
        </w:rPr>
        <w:t xml:space="preserve"> </w:t>
      </w:r>
      <w:r w:rsidR="00323457" w:rsidRPr="0059638B">
        <w:rPr>
          <w:color w:val="000000"/>
          <w:sz w:val="20"/>
          <w:szCs w:val="20"/>
          <w:lang w:eastAsia="en-GB" w:bidi="en-GB"/>
        </w:rPr>
        <w:t>an</w:t>
      </w:r>
      <w:r w:rsidR="00FF41A0">
        <w:rPr>
          <w:color w:val="000000"/>
          <w:sz w:val="20"/>
          <w:szCs w:val="20"/>
          <w:lang w:eastAsia="en-GB" w:bidi="en-GB"/>
        </w:rPr>
        <w:t xml:space="preserve"> </w:t>
      </w:r>
      <w:r w:rsidR="00323457" w:rsidRPr="0059638B">
        <w:rPr>
          <w:color w:val="000000"/>
          <w:sz w:val="20"/>
          <w:szCs w:val="20"/>
          <w:lang w:eastAsia="en-GB" w:bidi="en-GB"/>
        </w:rPr>
        <w:t>enabling</w:t>
      </w:r>
      <w:r w:rsidR="00FF41A0">
        <w:rPr>
          <w:color w:val="000000"/>
          <w:sz w:val="20"/>
          <w:szCs w:val="20"/>
          <w:lang w:eastAsia="en-GB" w:bidi="en-GB"/>
        </w:rPr>
        <w:t xml:space="preserve"> </w:t>
      </w:r>
      <w:r w:rsidR="00323457" w:rsidRPr="0059638B">
        <w:rPr>
          <w:color w:val="000000"/>
          <w:sz w:val="20"/>
          <w:szCs w:val="20"/>
          <w:lang w:eastAsia="en-GB" w:bidi="en-GB"/>
        </w:rPr>
        <w:t>environment</w:t>
      </w:r>
      <w:r w:rsidR="00FF41A0">
        <w:rPr>
          <w:color w:val="000000"/>
          <w:sz w:val="20"/>
          <w:szCs w:val="20"/>
          <w:lang w:eastAsia="en-GB" w:bidi="en-GB"/>
        </w:rPr>
        <w:t xml:space="preserve"> </w:t>
      </w:r>
      <w:r w:rsidR="00323457" w:rsidRPr="0059638B">
        <w:rPr>
          <w:color w:val="000000"/>
          <w:sz w:val="20"/>
          <w:szCs w:val="20"/>
          <w:lang w:eastAsia="en-GB" w:bidi="en-GB"/>
        </w:rPr>
        <w:t>for</w:t>
      </w:r>
      <w:r w:rsidR="00FF41A0">
        <w:rPr>
          <w:color w:val="000000"/>
          <w:sz w:val="20"/>
          <w:szCs w:val="20"/>
          <w:lang w:eastAsia="en-GB" w:bidi="en-GB"/>
        </w:rPr>
        <w:t xml:space="preserve"> </w:t>
      </w:r>
      <w:r w:rsidR="00323457" w:rsidRPr="0059638B">
        <w:rPr>
          <w:color w:val="000000"/>
          <w:sz w:val="20"/>
          <w:szCs w:val="20"/>
          <w:lang w:eastAsia="en-GB" w:bidi="en-GB"/>
        </w:rPr>
        <w:t>civil</w:t>
      </w:r>
      <w:r w:rsidR="00FF41A0">
        <w:rPr>
          <w:color w:val="000000"/>
          <w:sz w:val="20"/>
          <w:szCs w:val="20"/>
          <w:lang w:eastAsia="en-GB" w:bidi="en-GB"/>
        </w:rPr>
        <w:t xml:space="preserve"> </w:t>
      </w:r>
      <w:r w:rsidR="00323457" w:rsidRPr="0059638B">
        <w:rPr>
          <w:color w:val="000000"/>
          <w:sz w:val="20"/>
          <w:szCs w:val="20"/>
          <w:lang w:eastAsia="en-GB" w:bidi="en-GB"/>
        </w:rPr>
        <w:t>society</w:t>
      </w:r>
      <w:r w:rsidR="00FF41A0">
        <w:rPr>
          <w:color w:val="000000"/>
          <w:sz w:val="20"/>
          <w:szCs w:val="20"/>
          <w:lang w:eastAsia="en-GB" w:bidi="en-GB"/>
        </w:rPr>
        <w:t xml:space="preserve"> </w:t>
      </w:r>
      <w:r w:rsidR="00323457" w:rsidRPr="0059638B">
        <w:rPr>
          <w:color w:val="000000"/>
          <w:sz w:val="20"/>
          <w:szCs w:val="20"/>
          <w:lang w:eastAsia="en-GB" w:bidi="en-GB"/>
        </w:rPr>
        <w:t>organizations</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human</w:t>
      </w:r>
      <w:r w:rsidR="00FF41A0">
        <w:rPr>
          <w:color w:val="000000"/>
          <w:sz w:val="20"/>
          <w:szCs w:val="20"/>
          <w:lang w:eastAsia="en-GB" w:bidi="en-GB"/>
        </w:rPr>
        <w:t xml:space="preserve"> </w:t>
      </w:r>
      <w:r w:rsidR="00323457" w:rsidRPr="0059638B">
        <w:rPr>
          <w:color w:val="000000"/>
          <w:sz w:val="20"/>
          <w:szCs w:val="20"/>
          <w:lang w:eastAsia="en-GB" w:bidi="en-GB"/>
        </w:rPr>
        <w:t>rights</w:t>
      </w:r>
      <w:r w:rsidR="00FF41A0">
        <w:rPr>
          <w:color w:val="000000"/>
          <w:sz w:val="20"/>
          <w:szCs w:val="20"/>
          <w:lang w:eastAsia="en-GB" w:bidi="en-GB"/>
        </w:rPr>
        <w:t xml:space="preserve"> </w:t>
      </w:r>
      <w:r w:rsidR="00323457" w:rsidRPr="0059638B">
        <w:rPr>
          <w:color w:val="000000"/>
          <w:sz w:val="20"/>
          <w:szCs w:val="20"/>
          <w:lang w:eastAsia="en-GB" w:bidi="en-GB"/>
        </w:rPr>
        <w:t>defenders.</w:t>
      </w:r>
    </w:p>
    <w:p w14:paraId="7A96C4BF" w14:textId="336880AE" w:rsidR="00323457" w:rsidRPr="0059638B" w:rsidRDefault="00972F1E" w:rsidP="00323457">
      <w:pPr>
        <w:pStyle w:val="SingleTxtG"/>
        <w:rPr>
          <w:color w:val="000000"/>
          <w:sz w:val="20"/>
          <w:szCs w:val="20"/>
          <w:lang w:eastAsia="en-GB" w:bidi="en-GB"/>
        </w:rPr>
      </w:pPr>
      <w:r>
        <w:rPr>
          <w:color w:val="000000"/>
          <w:sz w:val="20"/>
          <w:szCs w:val="20"/>
          <w:lang w:eastAsia="en-GB" w:bidi="en-GB"/>
        </w:rPr>
        <w:t>669</w:t>
      </w:r>
      <w:r w:rsidR="00D7475F">
        <w:rPr>
          <w:color w:val="000000"/>
          <w:sz w:val="20"/>
          <w:szCs w:val="20"/>
          <w:lang w:eastAsia="en-GB" w:bidi="en-GB"/>
        </w:rPr>
        <w:t>.</w:t>
      </w:r>
      <w:r w:rsidR="00D7475F">
        <w:rPr>
          <w:color w:val="000000"/>
          <w:sz w:val="20"/>
          <w:szCs w:val="20"/>
          <w:lang w:eastAsia="en-GB" w:bidi="en-GB"/>
        </w:rPr>
        <w:tab/>
      </w:r>
      <w:r w:rsidR="00323457" w:rsidRPr="0059638B">
        <w:rPr>
          <w:color w:val="000000"/>
          <w:sz w:val="20"/>
          <w:szCs w:val="20"/>
          <w:lang w:eastAsia="en-GB" w:bidi="en-GB"/>
        </w:rPr>
        <w:t>Amnesty</w:t>
      </w:r>
      <w:r w:rsidR="00FF41A0">
        <w:rPr>
          <w:color w:val="000000"/>
          <w:sz w:val="20"/>
          <w:szCs w:val="20"/>
          <w:lang w:eastAsia="en-GB" w:bidi="en-GB"/>
        </w:rPr>
        <w:t xml:space="preserve"> </w:t>
      </w:r>
      <w:r w:rsidR="00323457" w:rsidRPr="0059638B">
        <w:rPr>
          <w:color w:val="000000"/>
          <w:sz w:val="20"/>
          <w:szCs w:val="20"/>
          <w:lang w:eastAsia="en-GB" w:bidi="en-GB"/>
        </w:rPr>
        <w:t>International</w:t>
      </w:r>
      <w:r w:rsidR="00FF41A0">
        <w:rPr>
          <w:color w:val="000000"/>
          <w:sz w:val="20"/>
          <w:szCs w:val="20"/>
          <w:lang w:eastAsia="en-GB" w:bidi="en-GB"/>
        </w:rPr>
        <w:t xml:space="preserve"> </w:t>
      </w:r>
      <w:r w:rsidR="00323457" w:rsidRPr="0059638B">
        <w:rPr>
          <w:color w:val="000000"/>
          <w:sz w:val="20"/>
          <w:szCs w:val="20"/>
          <w:lang w:eastAsia="en-GB" w:bidi="en-GB"/>
        </w:rPr>
        <w:t>welcomed</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accession</w:t>
      </w:r>
      <w:r w:rsidR="00FF41A0">
        <w:rPr>
          <w:color w:val="000000"/>
          <w:sz w:val="20"/>
          <w:szCs w:val="20"/>
          <w:lang w:eastAsia="en-GB" w:bidi="en-GB"/>
        </w:rPr>
        <w:t xml:space="preserve"> </w:t>
      </w:r>
      <w:r w:rsidR="00323457" w:rsidRPr="0059638B">
        <w:rPr>
          <w:color w:val="000000"/>
          <w:sz w:val="20"/>
          <w:szCs w:val="20"/>
          <w:lang w:eastAsia="en-GB" w:bidi="en-GB"/>
        </w:rPr>
        <w:t>by</w:t>
      </w:r>
      <w:r w:rsidR="00FF41A0">
        <w:rPr>
          <w:color w:val="000000"/>
          <w:sz w:val="20"/>
          <w:szCs w:val="20"/>
          <w:lang w:eastAsia="en-GB" w:bidi="en-GB"/>
        </w:rPr>
        <w:t xml:space="preserve"> </w:t>
      </w:r>
      <w:r w:rsidR="00323457" w:rsidRPr="0059638B">
        <w:rPr>
          <w:color w:val="000000"/>
          <w:sz w:val="20"/>
          <w:szCs w:val="20"/>
          <w:lang w:eastAsia="en-GB" w:bidi="en-GB"/>
        </w:rPr>
        <w:t>Malaysia</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Rome</w:t>
      </w:r>
      <w:r w:rsidR="00FF41A0">
        <w:rPr>
          <w:color w:val="000000"/>
          <w:sz w:val="20"/>
          <w:szCs w:val="20"/>
          <w:lang w:eastAsia="en-GB" w:bidi="en-GB"/>
        </w:rPr>
        <w:t xml:space="preserve"> </w:t>
      </w:r>
      <w:r w:rsidR="00323457" w:rsidRPr="0059638B">
        <w:rPr>
          <w:color w:val="000000"/>
          <w:sz w:val="20"/>
          <w:szCs w:val="20"/>
          <w:lang w:eastAsia="en-GB" w:bidi="en-GB"/>
        </w:rPr>
        <w:t>Statute</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International</w:t>
      </w:r>
      <w:r w:rsidR="00FF41A0">
        <w:rPr>
          <w:color w:val="000000"/>
          <w:sz w:val="20"/>
          <w:szCs w:val="20"/>
          <w:lang w:eastAsia="en-GB" w:bidi="en-GB"/>
        </w:rPr>
        <w:t xml:space="preserve"> </w:t>
      </w:r>
      <w:r w:rsidR="00323457" w:rsidRPr="0059638B">
        <w:rPr>
          <w:color w:val="000000"/>
          <w:sz w:val="20"/>
          <w:szCs w:val="20"/>
          <w:lang w:eastAsia="en-GB" w:bidi="en-GB"/>
        </w:rPr>
        <w:t>Criminal</w:t>
      </w:r>
      <w:r w:rsidR="00FF41A0">
        <w:rPr>
          <w:color w:val="000000"/>
          <w:sz w:val="20"/>
          <w:szCs w:val="20"/>
          <w:lang w:eastAsia="en-GB" w:bidi="en-GB"/>
        </w:rPr>
        <w:t xml:space="preserve"> </w:t>
      </w:r>
      <w:r w:rsidR="00323457" w:rsidRPr="0059638B">
        <w:rPr>
          <w:color w:val="000000"/>
          <w:sz w:val="20"/>
          <w:szCs w:val="20"/>
          <w:lang w:eastAsia="en-GB" w:bidi="en-GB"/>
        </w:rPr>
        <w:t>Court</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called</w:t>
      </w:r>
      <w:r w:rsidR="00FF41A0">
        <w:rPr>
          <w:color w:val="000000"/>
          <w:sz w:val="20"/>
          <w:szCs w:val="20"/>
          <w:lang w:eastAsia="en-GB" w:bidi="en-GB"/>
        </w:rPr>
        <w:t xml:space="preserve"> </w:t>
      </w:r>
      <w:r w:rsidR="00323457" w:rsidRPr="0059638B">
        <w:rPr>
          <w:color w:val="000000"/>
          <w:sz w:val="20"/>
          <w:szCs w:val="20"/>
          <w:lang w:eastAsia="en-GB" w:bidi="en-GB"/>
        </w:rPr>
        <w:t>on</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Government</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strengthen</w:t>
      </w:r>
      <w:r w:rsidR="00FF41A0">
        <w:rPr>
          <w:color w:val="000000"/>
          <w:sz w:val="20"/>
          <w:szCs w:val="20"/>
          <w:lang w:eastAsia="en-GB" w:bidi="en-GB"/>
        </w:rPr>
        <w:t xml:space="preserve"> </w:t>
      </w:r>
      <w:r w:rsidR="00323457" w:rsidRPr="0059638B">
        <w:rPr>
          <w:color w:val="000000"/>
          <w:sz w:val="20"/>
          <w:szCs w:val="20"/>
          <w:lang w:eastAsia="en-GB" w:bidi="en-GB"/>
        </w:rPr>
        <w:t>human</w:t>
      </w:r>
      <w:r w:rsidR="00FF41A0">
        <w:rPr>
          <w:color w:val="000000"/>
          <w:sz w:val="20"/>
          <w:szCs w:val="20"/>
          <w:lang w:eastAsia="en-GB" w:bidi="en-GB"/>
        </w:rPr>
        <w:t xml:space="preserve"> </w:t>
      </w:r>
      <w:r w:rsidR="00323457" w:rsidRPr="0059638B">
        <w:rPr>
          <w:color w:val="000000"/>
          <w:sz w:val="20"/>
          <w:szCs w:val="20"/>
          <w:lang w:eastAsia="en-GB" w:bidi="en-GB"/>
        </w:rPr>
        <w:t>rights</w:t>
      </w:r>
      <w:r w:rsidR="00FF41A0">
        <w:rPr>
          <w:color w:val="000000"/>
          <w:sz w:val="20"/>
          <w:szCs w:val="20"/>
          <w:lang w:eastAsia="en-GB" w:bidi="en-GB"/>
        </w:rPr>
        <w:t xml:space="preserve"> </w:t>
      </w:r>
      <w:r w:rsidR="00323457" w:rsidRPr="0059638B">
        <w:rPr>
          <w:color w:val="000000"/>
          <w:sz w:val="20"/>
          <w:szCs w:val="20"/>
          <w:lang w:eastAsia="en-GB" w:bidi="en-GB"/>
        </w:rPr>
        <w:t>protections</w:t>
      </w:r>
      <w:r w:rsidR="00FF41A0">
        <w:rPr>
          <w:color w:val="000000"/>
          <w:sz w:val="20"/>
          <w:szCs w:val="20"/>
          <w:lang w:eastAsia="en-GB" w:bidi="en-GB"/>
        </w:rPr>
        <w:t xml:space="preserve"> </w:t>
      </w:r>
      <w:r w:rsidR="00323457" w:rsidRPr="0059638B">
        <w:rPr>
          <w:color w:val="000000"/>
          <w:sz w:val="20"/>
          <w:szCs w:val="20"/>
          <w:lang w:eastAsia="en-GB" w:bidi="en-GB"/>
        </w:rPr>
        <w:t>by</w:t>
      </w:r>
      <w:r w:rsidR="00FF41A0">
        <w:rPr>
          <w:color w:val="000000"/>
          <w:sz w:val="20"/>
          <w:szCs w:val="20"/>
          <w:lang w:eastAsia="en-GB" w:bidi="en-GB"/>
        </w:rPr>
        <w:t xml:space="preserve"> </w:t>
      </w:r>
      <w:r w:rsidR="00323457" w:rsidRPr="0059638B">
        <w:rPr>
          <w:color w:val="000000"/>
          <w:sz w:val="20"/>
          <w:szCs w:val="20"/>
          <w:lang w:eastAsia="en-GB" w:bidi="en-GB"/>
        </w:rPr>
        <w:t>ratifying</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remaining</w:t>
      </w:r>
      <w:r w:rsidR="00FF41A0">
        <w:rPr>
          <w:color w:val="000000"/>
          <w:sz w:val="20"/>
          <w:szCs w:val="20"/>
          <w:lang w:eastAsia="en-GB" w:bidi="en-GB"/>
        </w:rPr>
        <w:t xml:space="preserve"> </w:t>
      </w:r>
      <w:r w:rsidR="00323457" w:rsidRPr="0059638B">
        <w:rPr>
          <w:color w:val="000000"/>
          <w:sz w:val="20"/>
          <w:szCs w:val="20"/>
          <w:lang w:eastAsia="en-GB" w:bidi="en-GB"/>
        </w:rPr>
        <w:t>core</w:t>
      </w:r>
      <w:r w:rsidR="00FF41A0">
        <w:rPr>
          <w:color w:val="000000"/>
          <w:sz w:val="20"/>
          <w:szCs w:val="20"/>
          <w:lang w:eastAsia="en-GB" w:bidi="en-GB"/>
        </w:rPr>
        <w:t xml:space="preserve"> </w:t>
      </w:r>
      <w:r w:rsidR="00323457" w:rsidRPr="0059638B">
        <w:rPr>
          <w:color w:val="000000"/>
          <w:sz w:val="20"/>
          <w:szCs w:val="20"/>
          <w:lang w:eastAsia="en-GB" w:bidi="en-GB"/>
        </w:rPr>
        <w:t>international</w:t>
      </w:r>
      <w:r w:rsidR="00FF41A0">
        <w:rPr>
          <w:color w:val="000000"/>
          <w:sz w:val="20"/>
          <w:szCs w:val="20"/>
          <w:lang w:eastAsia="en-GB" w:bidi="en-GB"/>
        </w:rPr>
        <w:t xml:space="preserve"> </w:t>
      </w:r>
      <w:r w:rsidR="00323457" w:rsidRPr="0059638B">
        <w:rPr>
          <w:color w:val="000000"/>
          <w:sz w:val="20"/>
          <w:szCs w:val="20"/>
          <w:lang w:eastAsia="en-GB" w:bidi="en-GB"/>
        </w:rPr>
        <w:t>treaties</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removing</w:t>
      </w:r>
      <w:r w:rsidR="00FF41A0">
        <w:rPr>
          <w:color w:val="000000"/>
          <w:sz w:val="20"/>
          <w:szCs w:val="20"/>
          <w:lang w:eastAsia="en-GB" w:bidi="en-GB"/>
        </w:rPr>
        <w:t xml:space="preserve"> </w:t>
      </w:r>
      <w:r w:rsidR="00323457" w:rsidRPr="0059638B">
        <w:rPr>
          <w:color w:val="000000"/>
          <w:sz w:val="20"/>
          <w:szCs w:val="20"/>
          <w:lang w:eastAsia="en-GB" w:bidi="en-GB"/>
        </w:rPr>
        <w:t>reservations</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treaties</w:t>
      </w:r>
      <w:r w:rsidR="00FF41A0">
        <w:rPr>
          <w:color w:val="000000"/>
          <w:sz w:val="20"/>
          <w:szCs w:val="20"/>
          <w:lang w:eastAsia="en-GB" w:bidi="en-GB"/>
        </w:rPr>
        <w:t xml:space="preserve"> </w:t>
      </w:r>
      <w:r w:rsidR="00323457" w:rsidRPr="0059638B">
        <w:rPr>
          <w:color w:val="000000"/>
          <w:sz w:val="20"/>
          <w:szCs w:val="20"/>
          <w:lang w:eastAsia="en-GB" w:bidi="en-GB"/>
        </w:rPr>
        <w:t>it</w:t>
      </w:r>
      <w:r w:rsidR="00FF41A0">
        <w:rPr>
          <w:color w:val="000000"/>
          <w:sz w:val="20"/>
          <w:szCs w:val="20"/>
          <w:lang w:eastAsia="en-GB" w:bidi="en-GB"/>
        </w:rPr>
        <w:t xml:space="preserve"> </w:t>
      </w:r>
      <w:r w:rsidR="00323457" w:rsidRPr="0059638B">
        <w:rPr>
          <w:color w:val="000000"/>
          <w:sz w:val="20"/>
          <w:szCs w:val="20"/>
          <w:lang w:eastAsia="en-GB" w:bidi="en-GB"/>
        </w:rPr>
        <w:t>had</w:t>
      </w:r>
      <w:r w:rsidR="00FF41A0">
        <w:rPr>
          <w:color w:val="000000"/>
          <w:sz w:val="20"/>
          <w:szCs w:val="20"/>
          <w:lang w:eastAsia="en-GB" w:bidi="en-GB"/>
        </w:rPr>
        <w:t xml:space="preserve"> </w:t>
      </w:r>
      <w:r w:rsidR="00323457" w:rsidRPr="0059638B">
        <w:rPr>
          <w:color w:val="000000"/>
          <w:sz w:val="20"/>
          <w:szCs w:val="20"/>
          <w:lang w:eastAsia="en-GB" w:bidi="en-GB"/>
        </w:rPr>
        <w:t>already</w:t>
      </w:r>
      <w:r w:rsidR="00FF41A0">
        <w:rPr>
          <w:color w:val="000000"/>
          <w:sz w:val="20"/>
          <w:szCs w:val="20"/>
          <w:lang w:eastAsia="en-GB" w:bidi="en-GB"/>
        </w:rPr>
        <w:t xml:space="preserve"> </w:t>
      </w:r>
      <w:r w:rsidR="00323457" w:rsidRPr="0059638B">
        <w:rPr>
          <w:color w:val="000000"/>
          <w:sz w:val="20"/>
          <w:szCs w:val="20"/>
          <w:lang w:eastAsia="en-GB" w:bidi="en-GB"/>
        </w:rPr>
        <w:t>ratified.</w:t>
      </w:r>
      <w:r w:rsidR="00FF41A0">
        <w:rPr>
          <w:color w:val="000000"/>
          <w:sz w:val="20"/>
          <w:szCs w:val="20"/>
          <w:lang w:eastAsia="en-GB" w:bidi="en-GB"/>
        </w:rPr>
        <w:t xml:space="preserve"> </w:t>
      </w:r>
      <w:r w:rsidR="00323457" w:rsidRPr="0059638B">
        <w:rPr>
          <w:color w:val="000000"/>
          <w:sz w:val="20"/>
          <w:szCs w:val="20"/>
          <w:lang w:eastAsia="en-GB" w:bidi="en-GB"/>
        </w:rPr>
        <w:t>It</w:t>
      </w:r>
      <w:r w:rsidR="00FF41A0">
        <w:rPr>
          <w:color w:val="000000"/>
          <w:sz w:val="20"/>
          <w:szCs w:val="20"/>
          <w:lang w:eastAsia="en-GB" w:bidi="en-GB"/>
        </w:rPr>
        <w:t xml:space="preserve"> </w:t>
      </w:r>
      <w:r w:rsidR="00323457" w:rsidRPr="0059638B">
        <w:rPr>
          <w:color w:val="000000"/>
          <w:sz w:val="20"/>
          <w:szCs w:val="20"/>
          <w:lang w:eastAsia="en-GB" w:bidi="en-GB"/>
        </w:rPr>
        <w:t>called</w:t>
      </w:r>
      <w:r w:rsidR="00FF41A0">
        <w:rPr>
          <w:color w:val="000000"/>
          <w:sz w:val="20"/>
          <w:szCs w:val="20"/>
          <w:lang w:eastAsia="en-GB" w:bidi="en-GB"/>
        </w:rPr>
        <w:t xml:space="preserve"> </w:t>
      </w:r>
      <w:r w:rsidR="00323457" w:rsidRPr="0059638B">
        <w:rPr>
          <w:color w:val="000000"/>
          <w:sz w:val="20"/>
          <w:szCs w:val="20"/>
          <w:lang w:eastAsia="en-GB" w:bidi="en-GB"/>
        </w:rPr>
        <w:t>for</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prompt</w:t>
      </w:r>
      <w:r w:rsidR="00FF41A0">
        <w:rPr>
          <w:color w:val="000000"/>
          <w:sz w:val="20"/>
          <w:szCs w:val="20"/>
          <w:lang w:eastAsia="en-GB" w:bidi="en-GB"/>
        </w:rPr>
        <w:t xml:space="preserve"> </w:t>
      </w:r>
      <w:r w:rsidR="00323457" w:rsidRPr="0059638B">
        <w:rPr>
          <w:color w:val="000000"/>
          <w:sz w:val="20"/>
          <w:szCs w:val="20"/>
          <w:lang w:eastAsia="en-GB" w:bidi="en-GB"/>
        </w:rPr>
        <w:t>abolishment</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practices</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caning</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children</w:t>
      </w:r>
      <w:r w:rsidR="00FF41A0">
        <w:rPr>
          <w:color w:val="000000"/>
          <w:sz w:val="20"/>
          <w:szCs w:val="20"/>
          <w:lang w:eastAsia="en-GB" w:bidi="en-GB"/>
        </w:rPr>
        <w:t xml:space="preserve"> </w:t>
      </w:r>
      <w:r w:rsidR="00323457" w:rsidRPr="0059638B">
        <w:rPr>
          <w:color w:val="000000"/>
          <w:sz w:val="20"/>
          <w:szCs w:val="20"/>
          <w:lang w:eastAsia="en-GB" w:bidi="en-GB"/>
        </w:rPr>
        <w:t>in</w:t>
      </w:r>
      <w:r w:rsidR="00FF41A0">
        <w:rPr>
          <w:color w:val="000000"/>
          <w:sz w:val="20"/>
          <w:szCs w:val="20"/>
          <w:lang w:eastAsia="en-GB" w:bidi="en-GB"/>
        </w:rPr>
        <w:t xml:space="preserve"> </w:t>
      </w:r>
      <w:r w:rsidR="00323457" w:rsidRPr="0059638B">
        <w:rPr>
          <w:color w:val="000000"/>
          <w:sz w:val="20"/>
          <w:szCs w:val="20"/>
          <w:lang w:eastAsia="en-GB" w:bidi="en-GB"/>
        </w:rPr>
        <w:t>schools</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whipping</w:t>
      </w:r>
      <w:r w:rsidR="00FF41A0">
        <w:rPr>
          <w:color w:val="000000"/>
          <w:sz w:val="20"/>
          <w:szCs w:val="20"/>
          <w:lang w:eastAsia="en-GB" w:bidi="en-GB"/>
        </w:rPr>
        <w:t xml:space="preserve"> </w:t>
      </w:r>
      <w:r w:rsidR="00323457" w:rsidRPr="0059638B">
        <w:rPr>
          <w:color w:val="000000"/>
          <w:sz w:val="20"/>
          <w:szCs w:val="20"/>
          <w:lang w:eastAsia="en-GB" w:bidi="en-GB"/>
        </w:rPr>
        <w:t>under</w:t>
      </w:r>
      <w:r w:rsidR="00FF41A0">
        <w:rPr>
          <w:color w:val="000000"/>
          <w:sz w:val="20"/>
          <w:szCs w:val="20"/>
          <w:lang w:eastAsia="en-GB" w:bidi="en-GB"/>
        </w:rPr>
        <w:t xml:space="preserve"> </w:t>
      </w:r>
      <w:r w:rsidR="00323457" w:rsidRPr="0059638B">
        <w:rPr>
          <w:color w:val="000000"/>
          <w:sz w:val="20"/>
          <w:szCs w:val="20"/>
          <w:lang w:eastAsia="en-GB" w:bidi="en-GB"/>
        </w:rPr>
        <w:t>Shariah</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common</w:t>
      </w:r>
      <w:r w:rsidR="00FF41A0">
        <w:rPr>
          <w:color w:val="000000"/>
          <w:sz w:val="20"/>
          <w:szCs w:val="20"/>
          <w:lang w:eastAsia="en-GB" w:bidi="en-GB"/>
        </w:rPr>
        <w:t xml:space="preserve"> </w:t>
      </w:r>
      <w:r w:rsidR="00323457" w:rsidRPr="0059638B">
        <w:rPr>
          <w:color w:val="000000"/>
          <w:sz w:val="20"/>
          <w:szCs w:val="20"/>
          <w:lang w:eastAsia="en-GB" w:bidi="en-GB"/>
        </w:rPr>
        <w:t>law.</w:t>
      </w:r>
      <w:r w:rsidR="00FF41A0">
        <w:rPr>
          <w:color w:val="000000"/>
          <w:sz w:val="20"/>
          <w:szCs w:val="20"/>
          <w:lang w:eastAsia="en-GB" w:bidi="en-GB"/>
        </w:rPr>
        <w:t xml:space="preserve"> </w:t>
      </w:r>
      <w:r w:rsidR="00323457" w:rsidRPr="0059638B">
        <w:rPr>
          <w:color w:val="000000"/>
          <w:sz w:val="20"/>
          <w:szCs w:val="20"/>
          <w:lang w:eastAsia="en-GB" w:bidi="en-GB"/>
        </w:rPr>
        <w:t>It</w:t>
      </w:r>
      <w:r w:rsidR="00FF41A0">
        <w:rPr>
          <w:color w:val="000000"/>
          <w:sz w:val="20"/>
          <w:szCs w:val="20"/>
          <w:lang w:eastAsia="en-GB" w:bidi="en-GB"/>
        </w:rPr>
        <w:t xml:space="preserve"> </w:t>
      </w:r>
      <w:r w:rsidR="00323457" w:rsidRPr="0059638B">
        <w:rPr>
          <w:color w:val="000000"/>
          <w:sz w:val="20"/>
          <w:szCs w:val="20"/>
          <w:lang w:eastAsia="en-GB" w:bidi="en-GB"/>
        </w:rPr>
        <w:t>called</w:t>
      </w:r>
      <w:r w:rsidR="00FF41A0">
        <w:rPr>
          <w:color w:val="000000"/>
          <w:sz w:val="20"/>
          <w:szCs w:val="20"/>
          <w:lang w:eastAsia="en-GB" w:bidi="en-GB"/>
        </w:rPr>
        <w:t xml:space="preserve"> </w:t>
      </w:r>
      <w:r w:rsidR="00323457" w:rsidRPr="0059638B">
        <w:rPr>
          <w:color w:val="000000"/>
          <w:sz w:val="20"/>
          <w:szCs w:val="20"/>
          <w:lang w:eastAsia="en-GB" w:bidi="en-GB"/>
        </w:rPr>
        <w:t>on</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Government</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abolish</w:t>
      </w:r>
      <w:r w:rsidR="00FF41A0">
        <w:rPr>
          <w:color w:val="000000"/>
          <w:sz w:val="20"/>
          <w:szCs w:val="20"/>
          <w:lang w:eastAsia="en-GB" w:bidi="en-GB"/>
        </w:rPr>
        <w:t xml:space="preserve"> </w:t>
      </w:r>
      <w:r w:rsidR="00323457" w:rsidRPr="0059638B">
        <w:rPr>
          <w:color w:val="000000"/>
          <w:sz w:val="20"/>
          <w:szCs w:val="20"/>
          <w:lang w:eastAsia="en-GB" w:bidi="en-GB"/>
        </w:rPr>
        <w:t>laws</w:t>
      </w:r>
      <w:r w:rsidR="00FF41A0">
        <w:rPr>
          <w:color w:val="000000"/>
          <w:sz w:val="20"/>
          <w:szCs w:val="20"/>
          <w:lang w:eastAsia="en-GB" w:bidi="en-GB"/>
        </w:rPr>
        <w:t xml:space="preserve"> </w:t>
      </w:r>
      <w:r w:rsidR="00323457" w:rsidRPr="0059638B">
        <w:rPr>
          <w:color w:val="000000"/>
          <w:sz w:val="20"/>
          <w:szCs w:val="20"/>
          <w:lang w:eastAsia="en-GB" w:bidi="en-GB"/>
        </w:rPr>
        <w:t>that</w:t>
      </w:r>
      <w:r w:rsidR="00FF41A0">
        <w:rPr>
          <w:color w:val="000000"/>
          <w:sz w:val="20"/>
          <w:szCs w:val="20"/>
          <w:lang w:eastAsia="en-GB" w:bidi="en-GB"/>
        </w:rPr>
        <w:t xml:space="preserve"> </w:t>
      </w:r>
      <w:r w:rsidR="00323457" w:rsidRPr="0059638B">
        <w:rPr>
          <w:color w:val="000000"/>
          <w:sz w:val="20"/>
          <w:szCs w:val="20"/>
          <w:lang w:eastAsia="en-GB" w:bidi="en-GB"/>
        </w:rPr>
        <w:t>restrict</w:t>
      </w:r>
      <w:r w:rsidR="00FF41A0">
        <w:rPr>
          <w:color w:val="000000"/>
          <w:sz w:val="20"/>
          <w:szCs w:val="20"/>
          <w:lang w:eastAsia="en-GB" w:bidi="en-GB"/>
        </w:rPr>
        <w:t xml:space="preserve"> </w:t>
      </w:r>
      <w:r w:rsidR="00323457" w:rsidRPr="0059638B">
        <w:rPr>
          <w:color w:val="000000"/>
          <w:sz w:val="20"/>
          <w:szCs w:val="20"/>
          <w:lang w:eastAsia="en-GB" w:bidi="en-GB"/>
        </w:rPr>
        <w:t>freedom</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expression,</w:t>
      </w:r>
      <w:r w:rsidR="00FF41A0">
        <w:rPr>
          <w:color w:val="000000"/>
          <w:sz w:val="20"/>
          <w:szCs w:val="20"/>
          <w:lang w:eastAsia="en-GB" w:bidi="en-GB"/>
        </w:rPr>
        <w:t xml:space="preserve"> </w:t>
      </w:r>
      <w:r w:rsidR="00323457" w:rsidRPr="0059638B">
        <w:rPr>
          <w:color w:val="000000"/>
          <w:sz w:val="20"/>
          <w:szCs w:val="20"/>
          <w:lang w:eastAsia="en-GB" w:bidi="en-GB"/>
        </w:rPr>
        <w:t>such</w:t>
      </w:r>
      <w:r w:rsidR="00FF41A0">
        <w:rPr>
          <w:color w:val="000000"/>
          <w:sz w:val="20"/>
          <w:szCs w:val="20"/>
          <w:lang w:eastAsia="en-GB" w:bidi="en-GB"/>
        </w:rPr>
        <w:t xml:space="preserve"> </w:t>
      </w:r>
      <w:r w:rsidR="00323457" w:rsidRPr="0059638B">
        <w:rPr>
          <w:color w:val="000000"/>
          <w:sz w:val="20"/>
          <w:szCs w:val="20"/>
          <w:lang w:eastAsia="en-GB" w:bidi="en-GB"/>
        </w:rPr>
        <w:t>as</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Sedition</w:t>
      </w:r>
      <w:r w:rsidR="00FF41A0">
        <w:rPr>
          <w:color w:val="000000"/>
          <w:sz w:val="20"/>
          <w:szCs w:val="20"/>
          <w:lang w:eastAsia="en-GB" w:bidi="en-GB"/>
        </w:rPr>
        <w:t xml:space="preserve"> </w:t>
      </w:r>
      <w:r w:rsidR="00323457" w:rsidRPr="0059638B">
        <w:rPr>
          <w:color w:val="000000"/>
          <w:sz w:val="20"/>
          <w:szCs w:val="20"/>
          <w:lang w:eastAsia="en-GB" w:bidi="en-GB"/>
        </w:rPr>
        <w:t>Act,</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repeal</w:t>
      </w:r>
      <w:r w:rsidR="00FF41A0">
        <w:rPr>
          <w:color w:val="000000"/>
          <w:sz w:val="20"/>
          <w:szCs w:val="20"/>
          <w:lang w:eastAsia="en-GB" w:bidi="en-GB"/>
        </w:rPr>
        <w:t xml:space="preserve"> </w:t>
      </w:r>
      <w:r w:rsidR="00323457" w:rsidRPr="0059638B">
        <w:rPr>
          <w:color w:val="000000"/>
          <w:sz w:val="20"/>
          <w:szCs w:val="20"/>
          <w:lang w:eastAsia="en-GB" w:bidi="en-GB"/>
        </w:rPr>
        <w:t>or</w:t>
      </w:r>
      <w:r w:rsidR="00FF41A0">
        <w:rPr>
          <w:color w:val="000000"/>
          <w:sz w:val="20"/>
          <w:szCs w:val="20"/>
          <w:lang w:eastAsia="en-GB" w:bidi="en-GB"/>
        </w:rPr>
        <w:t xml:space="preserve"> </w:t>
      </w:r>
      <w:r w:rsidR="00323457" w:rsidRPr="0059638B">
        <w:rPr>
          <w:color w:val="000000"/>
          <w:sz w:val="20"/>
          <w:szCs w:val="20"/>
          <w:lang w:eastAsia="en-GB" w:bidi="en-GB"/>
        </w:rPr>
        <w:t>amend</w:t>
      </w:r>
      <w:r w:rsidR="00FF41A0">
        <w:rPr>
          <w:color w:val="000000"/>
          <w:sz w:val="20"/>
          <w:szCs w:val="20"/>
          <w:lang w:eastAsia="en-GB" w:bidi="en-GB"/>
        </w:rPr>
        <w:t xml:space="preserve"> </w:t>
      </w:r>
      <w:r w:rsidR="00323457" w:rsidRPr="0059638B">
        <w:rPr>
          <w:color w:val="000000"/>
          <w:sz w:val="20"/>
          <w:szCs w:val="20"/>
          <w:lang w:eastAsia="en-GB" w:bidi="en-GB"/>
        </w:rPr>
        <w:t>legislation</w:t>
      </w:r>
      <w:r w:rsidR="00FF41A0">
        <w:rPr>
          <w:color w:val="000000"/>
          <w:sz w:val="20"/>
          <w:szCs w:val="20"/>
          <w:lang w:eastAsia="en-GB" w:bidi="en-GB"/>
        </w:rPr>
        <w:t xml:space="preserve"> </w:t>
      </w:r>
      <w:r w:rsidR="00323457" w:rsidRPr="0059638B">
        <w:rPr>
          <w:color w:val="000000"/>
          <w:sz w:val="20"/>
          <w:szCs w:val="20"/>
          <w:lang w:eastAsia="en-GB" w:bidi="en-GB"/>
        </w:rPr>
        <w:t>that</w:t>
      </w:r>
      <w:r w:rsidR="00FF41A0">
        <w:rPr>
          <w:color w:val="000000"/>
          <w:sz w:val="20"/>
          <w:szCs w:val="20"/>
          <w:lang w:eastAsia="en-GB" w:bidi="en-GB"/>
        </w:rPr>
        <w:t xml:space="preserve"> </w:t>
      </w:r>
      <w:r w:rsidR="00323457" w:rsidRPr="0059638B">
        <w:rPr>
          <w:color w:val="000000"/>
          <w:sz w:val="20"/>
          <w:szCs w:val="20"/>
          <w:lang w:eastAsia="en-GB" w:bidi="en-GB"/>
        </w:rPr>
        <w:t>allows</w:t>
      </w:r>
      <w:r w:rsidR="00FF41A0">
        <w:rPr>
          <w:color w:val="000000"/>
          <w:sz w:val="20"/>
          <w:szCs w:val="20"/>
          <w:lang w:eastAsia="en-GB" w:bidi="en-GB"/>
        </w:rPr>
        <w:t xml:space="preserve"> </w:t>
      </w:r>
      <w:r w:rsidR="00323457" w:rsidRPr="0059638B">
        <w:rPr>
          <w:color w:val="000000"/>
          <w:sz w:val="20"/>
          <w:szCs w:val="20"/>
          <w:lang w:eastAsia="en-GB" w:bidi="en-GB"/>
        </w:rPr>
        <w:t>for</w:t>
      </w:r>
      <w:r w:rsidR="00FF41A0">
        <w:rPr>
          <w:color w:val="000000"/>
          <w:sz w:val="20"/>
          <w:szCs w:val="20"/>
          <w:lang w:eastAsia="en-GB" w:bidi="en-GB"/>
        </w:rPr>
        <w:t xml:space="preserve"> </w:t>
      </w:r>
      <w:r w:rsidR="00323457" w:rsidRPr="0059638B">
        <w:rPr>
          <w:color w:val="000000"/>
          <w:sz w:val="20"/>
          <w:szCs w:val="20"/>
          <w:lang w:eastAsia="en-GB" w:bidi="en-GB"/>
        </w:rPr>
        <w:t>preventive</w:t>
      </w:r>
      <w:r w:rsidR="00FF41A0">
        <w:rPr>
          <w:color w:val="000000"/>
          <w:sz w:val="20"/>
          <w:szCs w:val="20"/>
          <w:lang w:eastAsia="en-GB" w:bidi="en-GB"/>
        </w:rPr>
        <w:t xml:space="preserve"> </w:t>
      </w:r>
      <w:r w:rsidR="00323457" w:rsidRPr="0059638B">
        <w:rPr>
          <w:color w:val="000000"/>
          <w:sz w:val="20"/>
          <w:szCs w:val="20"/>
          <w:lang w:eastAsia="en-GB" w:bidi="en-GB"/>
        </w:rPr>
        <w:t>detention,</w:t>
      </w:r>
      <w:r w:rsidR="00FF41A0">
        <w:rPr>
          <w:color w:val="000000"/>
          <w:sz w:val="20"/>
          <w:szCs w:val="20"/>
          <w:lang w:eastAsia="en-GB" w:bidi="en-GB"/>
        </w:rPr>
        <w:t xml:space="preserve"> </w:t>
      </w:r>
      <w:r w:rsidR="00323457" w:rsidRPr="0059638B">
        <w:rPr>
          <w:color w:val="000000"/>
          <w:sz w:val="20"/>
          <w:szCs w:val="20"/>
          <w:lang w:eastAsia="en-GB" w:bidi="en-GB"/>
        </w:rPr>
        <w:t>such</w:t>
      </w:r>
      <w:r w:rsidR="00FF41A0">
        <w:rPr>
          <w:color w:val="000000"/>
          <w:sz w:val="20"/>
          <w:szCs w:val="20"/>
          <w:lang w:eastAsia="en-GB" w:bidi="en-GB"/>
        </w:rPr>
        <w:t xml:space="preserve"> </w:t>
      </w:r>
      <w:r w:rsidR="00323457" w:rsidRPr="0059638B">
        <w:rPr>
          <w:color w:val="000000"/>
          <w:sz w:val="20"/>
          <w:szCs w:val="20"/>
          <w:lang w:eastAsia="en-GB" w:bidi="en-GB"/>
        </w:rPr>
        <w:t>as</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Prevention</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Crime</w:t>
      </w:r>
      <w:r w:rsidR="00FF41A0">
        <w:rPr>
          <w:color w:val="000000"/>
          <w:sz w:val="20"/>
          <w:szCs w:val="20"/>
          <w:lang w:eastAsia="en-GB" w:bidi="en-GB"/>
        </w:rPr>
        <w:t xml:space="preserve"> </w:t>
      </w:r>
      <w:r w:rsidR="00323457" w:rsidRPr="0059638B">
        <w:rPr>
          <w:color w:val="000000"/>
          <w:sz w:val="20"/>
          <w:szCs w:val="20"/>
          <w:lang w:eastAsia="en-GB" w:bidi="en-GB"/>
        </w:rPr>
        <w:t>Act,</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Prevention</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Terrorism</w:t>
      </w:r>
      <w:r w:rsidR="00FF41A0">
        <w:rPr>
          <w:color w:val="000000"/>
          <w:sz w:val="20"/>
          <w:szCs w:val="20"/>
          <w:lang w:eastAsia="en-GB" w:bidi="en-GB"/>
        </w:rPr>
        <w:t xml:space="preserve"> </w:t>
      </w:r>
      <w:r w:rsidR="00323457" w:rsidRPr="0059638B">
        <w:rPr>
          <w:color w:val="000000"/>
          <w:sz w:val="20"/>
          <w:szCs w:val="20"/>
          <w:lang w:eastAsia="en-GB" w:bidi="en-GB"/>
        </w:rPr>
        <w:t>Act,</w:t>
      </w:r>
      <w:r w:rsidR="00FF41A0">
        <w:rPr>
          <w:color w:val="000000"/>
          <w:sz w:val="20"/>
          <w:szCs w:val="20"/>
          <w:lang w:eastAsia="en-GB" w:bidi="en-GB"/>
        </w:rPr>
        <w:t xml:space="preserve"> </w:t>
      </w:r>
      <w:r w:rsidR="00323457" w:rsidRPr="0059638B">
        <w:rPr>
          <w:color w:val="000000"/>
          <w:sz w:val="20"/>
          <w:szCs w:val="20"/>
          <w:lang w:eastAsia="en-GB" w:bidi="en-GB"/>
        </w:rPr>
        <w:t>Security</w:t>
      </w:r>
      <w:r w:rsidR="00FF41A0">
        <w:rPr>
          <w:color w:val="000000"/>
          <w:sz w:val="20"/>
          <w:szCs w:val="20"/>
          <w:lang w:eastAsia="en-GB" w:bidi="en-GB"/>
        </w:rPr>
        <w:t xml:space="preserve"> </w:t>
      </w:r>
      <w:r w:rsidR="00323457" w:rsidRPr="0059638B">
        <w:rPr>
          <w:color w:val="000000"/>
          <w:sz w:val="20"/>
          <w:szCs w:val="20"/>
          <w:lang w:eastAsia="en-GB" w:bidi="en-GB"/>
        </w:rPr>
        <w:t>Offenses</w:t>
      </w:r>
      <w:r w:rsidR="00FF41A0">
        <w:rPr>
          <w:color w:val="000000"/>
          <w:sz w:val="20"/>
          <w:szCs w:val="20"/>
          <w:lang w:eastAsia="en-GB" w:bidi="en-GB"/>
        </w:rPr>
        <w:t xml:space="preserve"> </w:t>
      </w:r>
      <w:r w:rsidR="00323457" w:rsidRPr="0059638B">
        <w:rPr>
          <w:color w:val="000000"/>
          <w:sz w:val="20"/>
          <w:szCs w:val="20"/>
          <w:lang w:eastAsia="en-GB" w:bidi="en-GB"/>
        </w:rPr>
        <w:t>(Special</w:t>
      </w:r>
      <w:r w:rsidR="00FF41A0">
        <w:rPr>
          <w:color w:val="000000"/>
          <w:sz w:val="20"/>
          <w:szCs w:val="20"/>
          <w:lang w:eastAsia="en-GB" w:bidi="en-GB"/>
        </w:rPr>
        <w:t xml:space="preserve"> </w:t>
      </w:r>
      <w:r w:rsidR="00323457" w:rsidRPr="0059638B">
        <w:rPr>
          <w:color w:val="000000"/>
          <w:sz w:val="20"/>
          <w:szCs w:val="20"/>
          <w:lang w:eastAsia="en-GB" w:bidi="en-GB"/>
        </w:rPr>
        <w:t>Measures)</w:t>
      </w:r>
      <w:r w:rsidR="00FF41A0">
        <w:rPr>
          <w:color w:val="000000"/>
          <w:sz w:val="20"/>
          <w:szCs w:val="20"/>
          <w:lang w:eastAsia="en-GB" w:bidi="en-GB"/>
        </w:rPr>
        <w:t xml:space="preserve"> </w:t>
      </w:r>
      <w:r w:rsidR="00323457" w:rsidRPr="0059638B">
        <w:rPr>
          <w:color w:val="000000"/>
          <w:sz w:val="20"/>
          <w:szCs w:val="20"/>
          <w:lang w:eastAsia="en-GB" w:bidi="en-GB"/>
        </w:rPr>
        <w:t>Act,</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Dangerous</w:t>
      </w:r>
      <w:r w:rsidR="00FF41A0">
        <w:rPr>
          <w:color w:val="000000"/>
          <w:sz w:val="20"/>
          <w:szCs w:val="20"/>
          <w:lang w:eastAsia="en-GB" w:bidi="en-GB"/>
        </w:rPr>
        <w:t xml:space="preserve"> </w:t>
      </w:r>
      <w:r w:rsidR="00323457" w:rsidRPr="0059638B">
        <w:rPr>
          <w:color w:val="000000"/>
          <w:sz w:val="20"/>
          <w:szCs w:val="20"/>
          <w:lang w:eastAsia="en-GB" w:bidi="en-GB"/>
        </w:rPr>
        <w:t>Drugs</w:t>
      </w:r>
      <w:r w:rsidR="00FF41A0">
        <w:rPr>
          <w:color w:val="000000"/>
          <w:sz w:val="20"/>
          <w:szCs w:val="20"/>
          <w:lang w:eastAsia="en-GB" w:bidi="en-GB"/>
        </w:rPr>
        <w:t xml:space="preserve"> </w:t>
      </w:r>
      <w:r w:rsidR="00323457" w:rsidRPr="0059638B">
        <w:rPr>
          <w:color w:val="000000"/>
          <w:sz w:val="20"/>
          <w:szCs w:val="20"/>
          <w:lang w:eastAsia="en-GB" w:bidi="en-GB"/>
        </w:rPr>
        <w:t>(Special</w:t>
      </w:r>
      <w:r w:rsidR="00FF41A0">
        <w:rPr>
          <w:color w:val="000000"/>
          <w:sz w:val="20"/>
          <w:szCs w:val="20"/>
          <w:lang w:eastAsia="en-GB" w:bidi="en-GB"/>
        </w:rPr>
        <w:t xml:space="preserve"> </w:t>
      </w:r>
      <w:r w:rsidR="00323457" w:rsidRPr="0059638B">
        <w:rPr>
          <w:color w:val="000000"/>
          <w:sz w:val="20"/>
          <w:szCs w:val="20"/>
          <w:lang w:eastAsia="en-GB" w:bidi="en-GB"/>
        </w:rPr>
        <w:t>Measures)</w:t>
      </w:r>
      <w:r w:rsidR="00FF41A0">
        <w:rPr>
          <w:color w:val="000000"/>
          <w:sz w:val="20"/>
          <w:szCs w:val="20"/>
          <w:lang w:eastAsia="en-GB" w:bidi="en-GB"/>
        </w:rPr>
        <w:t xml:space="preserve"> </w:t>
      </w:r>
      <w:r w:rsidR="00323457" w:rsidRPr="0059638B">
        <w:rPr>
          <w:color w:val="000000"/>
          <w:sz w:val="20"/>
          <w:szCs w:val="20"/>
          <w:lang w:eastAsia="en-GB" w:bidi="en-GB"/>
        </w:rPr>
        <w:t>Act.</w:t>
      </w:r>
      <w:r w:rsidR="00FF41A0">
        <w:rPr>
          <w:color w:val="000000"/>
          <w:sz w:val="20"/>
          <w:szCs w:val="20"/>
          <w:lang w:eastAsia="en-GB" w:bidi="en-GB"/>
        </w:rPr>
        <w:t xml:space="preserve"> </w:t>
      </w:r>
      <w:r w:rsidR="00323457" w:rsidRPr="0059638B">
        <w:rPr>
          <w:color w:val="000000"/>
          <w:sz w:val="20"/>
          <w:szCs w:val="20"/>
          <w:lang w:eastAsia="en-GB" w:bidi="en-GB"/>
        </w:rPr>
        <w:t>It</w:t>
      </w:r>
      <w:r w:rsidR="00FF41A0">
        <w:rPr>
          <w:color w:val="000000"/>
          <w:sz w:val="20"/>
          <w:szCs w:val="20"/>
          <w:lang w:eastAsia="en-GB" w:bidi="en-GB"/>
        </w:rPr>
        <w:t xml:space="preserve"> </w:t>
      </w:r>
      <w:r w:rsidR="00323457" w:rsidRPr="0059638B">
        <w:rPr>
          <w:color w:val="000000"/>
          <w:sz w:val="20"/>
          <w:szCs w:val="20"/>
          <w:lang w:eastAsia="en-GB" w:bidi="en-GB"/>
        </w:rPr>
        <w:t>acknowledged</w:t>
      </w:r>
      <w:r w:rsidR="00FF41A0">
        <w:rPr>
          <w:color w:val="000000"/>
          <w:sz w:val="20"/>
          <w:szCs w:val="20"/>
          <w:lang w:eastAsia="en-GB" w:bidi="en-GB"/>
        </w:rPr>
        <w:t xml:space="preserve"> </w:t>
      </w:r>
      <w:r w:rsidR="00323457" w:rsidRPr="0059638B">
        <w:rPr>
          <w:color w:val="000000"/>
          <w:sz w:val="20"/>
          <w:szCs w:val="20"/>
          <w:lang w:eastAsia="en-GB" w:bidi="en-GB"/>
        </w:rPr>
        <w:t>that</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Government</w:t>
      </w:r>
      <w:r w:rsidR="00FF41A0">
        <w:rPr>
          <w:color w:val="000000"/>
          <w:sz w:val="20"/>
          <w:szCs w:val="20"/>
          <w:lang w:eastAsia="en-GB" w:bidi="en-GB"/>
        </w:rPr>
        <w:t xml:space="preserve"> </w:t>
      </w:r>
      <w:r w:rsidR="00323457" w:rsidRPr="0059638B">
        <w:rPr>
          <w:color w:val="000000"/>
          <w:sz w:val="20"/>
          <w:szCs w:val="20"/>
          <w:lang w:eastAsia="en-GB" w:bidi="en-GB"/>
        </w:rPr>
        <w:t>had</w:t>
      </w:r>
      <w:r w:rsidR="00FF41A0">
        <w:rPr>
          <w:color w:val="000000"/>
          <w:sz w:val="20"/>
          <w:szCs w:val="20"/>
          <w:lang w:eastAsia="en-GB" w:bidi="en-GB"/>
        </w:rPr>
        <w:t xml:space="preserve"> </w:t>
      </w:r>
      <w:r w:rsidR="00323457" w:rsidRPr="0059638B">
        <w:rPr>
          <w:color w:val="000000"/>
          <w:sz w:val="20"/>
          <w:szCs w:val="20"/>
          <w:lang w:eastAsia="en-GB" w:bidi="en-GB"/>
        </w:rPr>
        <w:t>pledged</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amend</w:t>
      </w:r>
      <w:r w:rsidR="00FF41A0">
        <w:rPr>
          <w:color w:val="000000"/>
          <w:sz w:val="20"/>
          <w:szCs w:val="20"/>
          <w:lang w:eastAsia="en-GB" w:bidi="en-GB"/>
        </w:rPr>
        <w:t xml:space="preserve"> </w:t>
      </w:r>
      <w:r w:rsidR="00323457" w:rsidRPr="0059638B">
        <w:rPr>
          <w:color w:val="000000"/>
          <w:sz w:val="20"/>
          <w:szCs w:val="20"/>
          <w:lang w:eastAsia="en-GB" w:bidi="en-GB"/>
        </w:rPr>
        <w:t>death</w:t>
      </w:r>
      <w:r w:rsidR="00FF41A0">
        <w:rPr>
          <w:color w:val="000000"/>
          <w:sz w:val="20"/>
          <w:szCs w:val="20"/>
          <w:lang w:eastAsia="en-GB" w:bidi="en-GB"/>
        </w:rPr>
        <w:t xml:space="preserve"> </w:t>
      </w:r>
      <w:r w:rsidR="00323457" w:rsidRPr="0059638B">
        <w:rPr>
          <w:color w:val="000000"/>
          <w:sz w:val="20"/>
          <w:szCs w:val="20"/>
          <w:lang w:eastAsia="en-GB" w:bidi="en-GB"/>
        </w:rPr>
        <w:t>penalty</w:t>
      </w:r>
      <w:r w:rsidR="00FF41A0">
        <w:rPr>
          <w:color w:val="000000"/>
          <w:sz w:val="20"/>
          <w:szCs w:val="20"/>
          <w:lang w:eastAsia="en-GB" w:bidi="en-GB"/>
        </w:rPr>
        <w:t xml:space="preserve"> </w:t>
      </w:r>
      <w:r w:rsidR="00323457" w:rsidRPr="0059638B">
        <w:rPr>
          <w:color w:val="000000"/>
          <w:sz w:val="20"/>
          <w:szCs w:val="20"/>
          <w:lang w:eastAsia="en-GB" w:bidi="en-GB"/>
        </w:rPr>
        <w:t>legislation,</w:t>
      </w:r>
      <w:r w:rsidR="00FF41A0">
        <w:rPr>
          <w:color w:val="000000"/>
          <w:sz w:val="20"/>
          <w:szCs w:val="20"/>
          <w:lang w:eastAsia="en-GB" w:bidi="en-GB"/>
        </w:rPr>
        <w:t xml:space="preserve"> </w:t>
      </w:r>
      <w:r w:rsidR="00323457" w:rsidRPr="0059638B">
        <w:rPr>
          <w:color w:val="000000"/>
          <w:sz w:val="20"/>
          <w:szCs w:val="20"/>
          <w:lang w:eastAsia="en-GB" w:bidi="en-GB"/>
        </w:rPr>
        <w:t>but</w:t>
      </w:r>
      <w:r w:rsidR="00FF41A0">
        <w:rPr>
          <w:color w:val="000000"/>
          <w:sz w:val="20"/>
          <w:szCs w:val="20"/>
          <w:lang w:eastAsia="en-GB" w:bidi="en-GB"/>
        </w:rPr>
        <w:t xml:space="preserve"> </w:t>
      </w:r>
      <w:r w:rsidR="00323457" w:rsidRPr="0059638B">
        <w:rPr>
          <w:color w:val="000000"/>
          <w:sz w:val="20"/>
          <w:szCs w:val="20"/>
          <w:lang w:eastAsia="en-GB" w:bidi="en-GB"/>
        </w:rPr>
        <w:t>was</w:t>
      </w:r>
      <w:r w:rsidR="00FF41A0">
        <w:rPr>
          <w:color w:val="000000"/>
          <w:sz w:val="20"/>
          <w:szCs w:val="20"/>
          <w:lang w:eastAsia="en-GB" w:bidi="en-GB"/>
        </w:rPr>
        <w:t xml:space="preserve"> </w:t>
      </w:r>
      <w:r w:rsidR="00323457" w:rsidRPr="0059638B">
        <w:rPr>
          <w:color w:val="000000"/>
          <w:sz w:val="20"/>
          <w:szCs w:val="20"/>
          <w:lang w:eastAsia="en-GB" w:bidi="en-GB"/>
        </w:rPr>
        <w:t>deeply</w:t>
      </w:r>
      <w:r w:rsidR="00FF41A0">
        <w:rPr>
          <w:color w:val="000000"/>
          <w:sz w:val="20"/>
          <w:szCs w:val="20"/>
          <w:lang w:eastAsia="en-GB" w:bidi="en-GB"/>
        </w:rPr>
        <w:t xml:space="preserve"> </w:t>
      </w:r>
      <w:r w:rsidR="00323457" w:rsidRPr="0059638B">
        <w:rPr>
          <w:color w:val="000000"/>
          <w:sz w:val="20"/>
          <w:szCs w:val="20"/>
          <w:lang w:eastAsia="en-GB" w:bidi="en-GB"/>
        </w:rPr>
        <w:t>disappointed</w:t>
      </w:r>
      <w:r w:rsidR="00FF41A0">
        <w:rPr>
          <w:color w:val="000000"/>
          <w:sz w:val="20"/>
          <w:szCs w:val="20"/>
          <w:lang w:eastAsia="en-GB" w:bidi="en-GB"/>
        </w:rPr>
        <w:t xml:space="preserve"> </w:t>
      </w:r>
      <w:r w:rsidR="00323457" w:rsidRPr="0059638B">
        <w:rPr>
          <w:color w:val="000000"/>
          <w:sz w:val="20"/>
          <w:szCs w:val="20"/>
          <w:lang w:eastAsia="en-GB" w:bidi="en-GB"/>
        </w:rPr>
        <w:t>that</w:t>
      </w:r>
      <w:r w:rsidR="00FF41A0">
        <w:rPr>
          <w:color w:val="000000"/>
          <w:sz w:val="20"/>
          <w:szCs w:val="20"/>
          <w:lang w:eastAsia="en-GB" w:bidi="en-GB"/>
        </w:rPr>
        <w:t xml:space="preserve"> </w:t>
      </w:r>
      <w:r w:rsidR="00323457" w:rsidRPr="0059638B">
        <w:rPr>
          <w:color w:val="000000"/>
          <w:sz w:val="20"/>
          <w:szCs w:val="20"/>
          <w:lang w:eastAsia="en-GB" w:bidi="en-GB"/>
        </w:rPr>
        <w:t>it</w:t>
      </w:r>
      <w:r w:rsidR="00FF41A0">
        <w:rPr>
          <w:color w:val="000000"/>
          <w:sz w:val="20"/>
          <w:szCs w:val="20"/>
          <w:lang w:eastAsia="en-GB" w:bidi="en-GB"/>
        </w:rPr>
        <w:t xml:space="preserve"> </w:t>
      </w:r>
      <w:r w:rsidR="00323457" w:rsidRPr="0059638B">
        <w:rPr>
          <w:color w:val="000000"/>
          <w:sz w:val="20"/>
          <w:szCs w:val="20"/>
          <w:lang w:eastAsia="en-GB" w:bidi="en-GB"/>
        </w:rPr>
        <w:t>had</w:t>
      </w:r>
      <w:r w:rsidR="00FF41A0">
        <w:rPr>
          <w:color w:val="000000"/>
          <w:sz w:val="20"/>
          <w:szCs w:val="20"/>
          <w:lang w:eastAsia="en-GB" w:bidi="en-GB"/>
        </w:rPr>
        <w:t xml:space="preserve"> </w:t>
      </w:r>
      <w:r w:rsidR="00323457" w:rsidRPr="0059638B">
        <w:rPr>
          <w:color w:val="000000"/>
          <w:sz w:val="20"/>
          <w:szCs w:val="20"/>
          <w:lang w:eastAsia="en-GB" w:bidi="en-GB"/>
        </w:rPr>
        <w:t>rejected</w:t>
      </w:r>
      <w:r w:rsidR="00FF41A0">
        <w:rPr>
          <w:color w:val="000000"/>
          <w:sz w:val="20"/>
          <w:szCs w:val="20"/>
          <w:lang w:eastAsia="en-GB" w:bidi="en-GB"/>
        </w:rPr>
        <w:t xml:space="preserve"> </w:t>
      </w:r>
      <w:r w:rsidR="00323457" w:rsidRPr="0059638B">
        <w:rPr>
          <w:color w:val="000000"/>
          <w:sz w:val="20"/>
          <w:szCs w:val="20"/>
          <w:lang w:eastAsia="en-GB" w:bidi="en-GB"/>
        </w:rPr>
        <w:t>recommendations</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abolish</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death</w:t>
      </w:r>
      <w:r w:rsidR="00FF41A0">
        <w:rPr>
          <w:color w:val="000000"/>
          <w:sz w:val="20"/>
          <w:szCs w:val="20"/>
          <w:lang w:eastAsia="en-GB" w:bidi="en-GB"/>
        </w:rPr>
        <w:t xml:space="preserve"> </w:t>
      </w:r>
      <w:r w:rsidR="00323457" w:rsidRPr="0059638B">
        <w:rPr>
          <w:color w:val="000000"/>
          <w:sz w:val="20"/>
          <w:szCs w:val="20"/>
          <w:lang w:eastAsia="en-GB" w:bidi="en-GB"/>
        </w:rPr>
        <w:t>penalty</w:t>
      </w:r>
      <w:r w:rsidR="00FF41A0">
        <w:rPr>
          <w:color w:val="000000"/>
          <w:sz w:val="20"/>
          <w:szCs w:val="20"/>
          <w:lang w:eastAsia="en-GB" w:bidi="en-GB"/>
        </w:rPr>
        <w:t xml:space="preserve"> </w:t>
      </w:r>
      <w:r w:rsidR="00323457" w:rsidRPr="0059638B">
        <w:rPr>
          <w:color w:val="000000"/>
          <w:sz w:val="20"/>
          <w:szCs w:val="20"/>
          <w:lang w:eastAsia="en-GB" w:bidi="en-GB"/>
        </w:rPr>
        <w:t>for</w:t>
      </w:r>
      <w:r w:rsidR="00FF41A0">
        <w:rPr>
          <w:color w:val="000000"/>
          <w:sz w:val="20"/>
          <w:szCs w:val="20"/>
          <w:lang w:eastAsia="en-GB" w:bidi="en-GB"/>
        </w:rPr>
        <w:t xml:space="preserve"> </w:t>
      </w:r>
      <w:r w:rsidR="00323457" w:rsidRPr="0059638B">
        <w:rPr>
          <w:color w:val="000000"/>
          <w:sz w:val="20"/>
          <w:szCs w:val="20"/>
          <w:lang w:eastAsia="en-GB" w:bidi="en-GB"/>
        </w:rPr>
        <w:t>all</w:t>
      </w:r>
      <w:r w:rsidR="00FF41A0">
        <w:rPr>
          <w:color w:val="000000"/>
          <w:sz w:val="20"/>
          <w:szCs w:val="20"/>
          <w:lang w:eastAsia="en-GB" w:bidi="en-GB"/>
        </w:rPr>
        <w:t xml:space="preserve"> </w:t>
      </w:r>
      <w:r w:rsidR="00323457" w:rsidRPr="0059638B">
        <w:rPr>
          <w:color w:val="000000"/>
          <w:sz w:val="20"/>
          <w:szCs w:val="20"/>
          <w:lang w:eastAsia="en-GB" w:bidi="en-GB"/>
        </w:rPr>
        <w:t>crimes,</w:t>
      </w:r>
      <w:r w:rsidR="00FF41A0">
        <w:rPr>
          <w:color w:val="000000"/>
          <w:sz w:val="20"/>
          <w:szCs w:val="20"/>
          <w:lang w:eastAsia="en-GB" w:bidi="en-GB"/>
        </w:rPr>
        <w:t xml:space="preserve"> </w:t>
      </w:r>
      <w:r w:rsidR="00323457" w:rsidRPr="0059638B">
        <w:rPr>
          <w:color w:val="000000"/>
          <w:sz w:val="20"/>
          <w:szCs w:val="20"/>
          <w:lang w:eastAsia="en-GB" w:bidi="en-GB"/>
        </w:rPr>
        <w:t>contrary</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its</w:t>
      </w:r>
      <w:r w:rsidR="00FF41A0">
        <w:rPr>
          <w:color w:val="000000"/>
          <w:sz w:val="20"/>
          <w:szCs w:val="20"/>
          <w:lang w:eastAsia="en-GB" w:bidi="en-GB"/>
        </w:rPr>
        <w:t xml:space="preserve"> </w:t>
      </w:r>
      <w:r w:rsidR="00323457" w:rsidRPr="0059638B">
        <w:rPr>
          <w:color w:val="000000"/>
          <w:sz w:val="20"/>
          <w:szCs w:val="20"/>
          <w:lang w:eastAsia="en-GB" w:bidi="en-GB"/>
        </w:rPr>
        <w:t>promises.</w:t>
      </w:r>
      <w:r w:rsidR="00FF41A0">
        <w:rPr>
          <w:color w:val="000000"/>
          <w:sz w:val="20"/>
          <w:szCs w:val="20"/>
          <w:lang w:eastAsia="en-GB" w:bidi="en-GB"/>
        </w:rPr>
        <w:t xml:space="preserve"> </w:t>
      </w:r>
      <w:r w:rsidR="00323457" w:rsidRPr="0059638B">
        <w:rPr>
          <w:color w:val="000000"/>
          <w:sz w:val="20"/>
          <w:szCs w:val="20"/>
          <w:lang w:eastAsia="en-GB" w:bidi="en-GB"/>
        </w:rPr>
        <w:t>It</w:t>
      </w:r>
      <w:r w:rsidR="00FF41A0">
        <w:rPr>
          <w:color w:val="000000"/>
          <w:sz w:val="20"/>
          <w:szCs w:val="20"/>
          <w:lang w:eastAsia="en-GB" w:bidi="en-GB"/>
        </w:rPr>
        <w:t xml:space="preserve"> </w:t>
      </w:r>
      <w:r w:rsidR="00323457" w:rsidRPr="0059638B">
        <w:rPr>
          <w:color w:val="000000"/>
          <w:sz w:val="20"/>
          <w:szCs w:val="20"/>
          <w:lang w:eastAsia="en-GB" w:bidi="en-GB"/>
        </w:rPr>
        <w:t>further</w:t>
      </w:r>
      <w:r w:rsidR="00FF41A0">
        <w:rPr>
          <w:color w:val="000000"/>
          <w:sz w:val="20"/>
          <w:szCs w:val="20"/>
          <w:lang w:eastAsia="en-GB" w:bidi="en-GB"/>
        </w:rPr>
        <w:t xml:space="preserve"> </w:t>
      </w:r>
      <w:r w:rsidR="00323457" w:rsidRPr="0059638B">
        <w:rPr>
          <w:color w:val="000000"/>
          <w:sz w:val="20"/>
          <w:szCs w:val="20"/>
          <w:lang w:eastAsia="en-GB" w:bidi="en-GB"/>
        </w:rPr>
        <w:t>called</w:t>
      </w:r>
      <w:r w:rsidR="00FF41A0">
        <w:rPr>
          <w:color w:val="000000"/>
          <w:sz w:val="20"/>
          <w:szCs w:val="20"/>
          <w:lang w:eastAsia="en-GB" w:bidi="en-GB"/>
        </w:rPr>
        <w:t xml:space="preserve"> </w:t>
      </w:r>
      <w:r w:rsidR="00323457" w:rsidRPr="0059638B">
        <w:rPr>
          <w:color w:val="000000"/>
          <w:sz w:val="20"/>
          <w:szCs w:val="20"/>
          <w:lang w:eastAsia="en-GB" w:bidi="en-GB"/>
        </w:rPr>
        <w:t>on</w:t>
      </w:r>
      <w:r w:rsidR="00FF41A0">
        <w:rPr>
          <w:color w:val="000000"/>
          <w:sz w:val="20"/>
          <w:szCs w:val="20"/>
          <w:lang w:eastAsia="en-GB" w:bidi="en-GB"/>
        </w:rPr>
        <w:t xml:space="preserve"> </w:t>
      </w:r>
      <w:r w:rsidR="00323457" w:rsidRPr="0059638B">
        <w:rPr>
          <w:color w:val="000000"/>
          <w:sz w:val="20"/>
          <w:szCs w:val="20"/>
          <w:lang w:eastAsia="en-GB" w:bidi="en-GB"/>
        </w:rPr>
        <w:t>Malaysia</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adopt</w:t>
      </w:r>
      <w:r w:rsidR="00FF41A0">
        <w:rPr>
          <w:color w:val="000000"/>
          <w:sz w:val="20"/>
          <w:szCs w:val="20"/>
          <w:lang w:eastAsia="en-GB" w:bidi="en-GB"/>
        </w:rPr>
        <w:t xml:space="preserve"> </w:t>
      </w:r>
      <w:r w:rsidR="00323457" w:rsidRPr="0059638B">
        <w:rPr>
          <w:color w:val="000000"/>
          <w:sz w:val="20"/>
          <w:szCs w:val="20"/>
          <w:lang w:eastAsia="en-GB" w:bidi="en-GB"/>
        </w:rPr>
        <w:t>legislation</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recognise</w:t>
      </w:r>
      <w:r w:rsidR="00FF41A0">
        <w:rPr>
          <w:color w:val="000000"/>
          <w:sz w:val="20"/>
          <w:szCs w:val="20"/>
          <w:lang w:eastAsia="en-GB" w:bidi="en-GB"/>
        </w:rPr>
        <w:t xml:space="preserve"> </w:t>
      </w:r>
      <w:r w:rsidR="00323457" w:rsidRPr="0059638B">
        <w:rPr>
          <w:color w:val="000000"/>
          <w:sz w:val="20"/>
          <w:szCs w:val="20"/>
          <w:lang w:eastAsia="en-GB" w:bidi="en-GB"/>
        </w:rPr>
        <w:t>the</w:t>
      </w:r>
      <w:r w:rsidR="00FF41A0">
        <w:rPr>
          <w:color w:val="000000"/>
          <w:sz w:val="20"/>
          <w:szCs w:val="20"/>
          <w:lang w:eastAsia="en-GB" w:bidi="en-GB"/>
        </w:rPr>
        <w:t xml:space="preserve"> </w:t>
      </w:r>
      <w:r w:rsidR="00323457" w:rsidRPr="0059638B">
        <w:rPr>
          <w:color w:val="000000"/>
          <w:sz w:val="20"/>
          <w:szCs w:val="20"/>
          <w:lang w:eastAsia="en-GB" w:bidi="en-GB"/>
        </w:rPr>
        <w:t>rights</w:t>
      </w:r>
      <w:r w:rsidR="00FF41A0">
        <w:rPr>
          <w:color w:val="000000"/>
          <w:sz w:val="20"/>
          <w:szCs w:val="20"/>
          <w:lang w:eastAsia="en-GB" w:bidi="en-GB"/>
        </w:rPr>
        <w:t xml:space="preserve"> </w:t>
      </w:r>
      <w:r w:rsidR="00323457" w:rsidRPr="0059638B">
        <w:rPr>
          <w:color w:val="000000"/>
          <w:sz w:val="20"/>
          <w:szCs w:val="20"/>
          <w:lang w:eastAsia="en-GB" w:bidi="en-GB"/>
        </w:rPr>
        <w:t>of</w:t>
      </w:r>
      <w:r w:rsidR="00FF41A0">
        <w:rPr>
          <w:color w:val="000000"/>
          <w:sz w:val="20"/>
          <w:szCs w:val="20"/>
          <w:lang w:eastAsia="en-GB" w:bidi="en-GB"/>
        </w:rPr>
        <w:t xml:space="preserve"> </w:t>
      </w:r>
      <w:r w:rsidR="00323457" w:rsidRPr="0059638B">
        <w:rPr>
          <w:color w:val="000000"/>
          <w:sz w:val="20"/>
          <w:szCs w:val="20"/>
          <w:lang w:eastAsia="en-GB" w:bidi="en-GB"/>
        </w:rPr>
        <w:t>LGBTI</w:t>
      </w:r>
      <w:r w:rsidR="00FF41A0">
        <w:rPr>
          <w:color w:val="000000"/>
          <w:sz w:val="20"/>
          <w:szCs w:val="20"/>
          <w:lang w:eastAsia="en-GB" w:bidi="en-GB"/>
        </w:rPr>
        <w:t xml:space="preserve"> </w:t>
      </w:r>
      <w:r w:rsidR="00323457" w:rsidRPr="0059638B">
        <w:rPr>
          <w:color w:val="000000"/>
          <w:sz w:val="20"/>
          <w:szCs w:val="20"/>
          <w:lang w:eastAsia="en-GB" w:bidi="en-GB"/>
        </w:rPr>
        <w:t>people</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indigenous</w:t>
      </w:r>
      <w:r w:rsidR="00FF41A0">
        <w:rPr>
          <w:color w:val="000000"/>
          <w:sz w:val="20"/>
          <w:szCs w:val="20"/>
          <w:lang w:eastAsia="en-GB" w:bidi="en-GB"/>
        </w:rPr>
        <w:t xml:space="preserve"> </w:t>
      </w:r>
      <w:r w:rsidR="00323457" w:rsidRPr="0059638B">
        <w:rPr>
          <w:color w:val="000000"/>
          <w:sz w:val="20"/>
          <w:szCs w:val="20"/>
          <w:lang w:eastAsia="en-GB" w:bidi="en-GB"/>
        </w:rPr>
        <w:t>peoples</w:t>
      </w:r>
      <w:r w:rsidR="00FF41A0">
        <w:rPr>
          <w:color w:val="000000"/>
          <w:sz w:val="20"/>
          <w:szCs w:val="20"/>
          <w:lang w:eastAsia="en-GB" w:bidi="en-GB"/>
        </w:rPr>
        <w:t xml:space="preserve"> </w:t>
      </w:r>
      <w:r w:rsidR="00323457" w:rsidRPr="0059638B">
        <w:rPr>
          <w:color w:val="000000"/>
          <w:sz w:val="20"/>
          <w:szCs w:val="20"/>
          <w:lang w:eastAsia="en-GB" w:bidi="en-GB"/>
        </w:rPr>
        <w:t>and</w:t>
      </w:r>
      <w:r w:rsidR="00FF41A0">
        <w:rPr>
          <w:color w:val="000000"/>
          <w:sz w:val="20"/>
          <w:szCs w:val="20"/>
          <w:lang w:eastAsia="en-GB" w:bidi="en-GB"/>
        </w:rPr>
        <w:t xml:space="preserve"> </w:t>
      </w:r>
      <w:r w:rsidR="00323457" w:rsidRPr="0059638B">
        <w:rPr>
          <w:color w:val="000000"/>
          <w:sz w:val="20"/>
          <w:szCs w:val="20"/>
          <w:lang w:eastAsia="en-GB" w:bidi="en-GB"/>
        </w:rPr>
        <w:t>to</w:t>
      </w:r>
      <w:r w:rsidR="00FF41A0">
        <w:rPr>
          <w:color w:val="000000"/>
          <w:sz w:val="20"/>
          <w:szCs w:val="20"/>
          <w:lang w:eastAsia="en-GB" w:bidi="en-GB"/>
        </w:rPr>
        <w:t xml:space="preserve"> </w:t>
      </w:r>
      <w:r w:rsidR="00323457" w:rsidRPr="0059638B">
        <w:rPr>
          <w:color w:val="000000"/>
          <w:sz w:val="20"/>
          <w:szCs w:val="20"/>
          <w:lang w:eastAsia="en-GB" w:bidi="en-GB"/>
        </w:rPr>
        <w:t>end</w:t>
      </w:r>
      <w:r w:rsidR="00FF41A0">
        <w:rPr>
          <w:color w:val="000000"/>
          <w:sz w:val="20"/>
          <w:szCs w:val="20"/>
          <w:lang w:eastAsia="en-GB" w:bidi="en-GB"/>
        </w:rPr>
        <w:t xml:space="preserve"> </w:t>
      </w:r>
      <w:r w:rsidR="00323457" w:rsidRPr="0059638B">
        <w:rPr>
          <w:color w:val="000000"/>
          <w:sz w:val="20"/>
          <w:szCs w:val="20"/>
          <w:lang w:eastAsia="en-GB" w:bidi="en-GB"/>
        </w:rPr>
        <w:t>discriminatory</w:t>
      </w:r>
      <w:r w:rsidR="00FF41A0">
        <w:rPr>
          <w:color w:val="000000"/>
          <w:sz w:val="20"/>
          <w:szCs w:val="20"/>
          <w:lang w:eastAsia="en-GB" w:bidi="en-GB"/>
        </w:rPr>
        <w:t xml:space="preserve"> </w:t>
      </w:r>
      <w:r w:rsidR="00323457" w:rsidRPr="0059638B">
        <w:rPr>
          <w:color w:val="000000"/>
          <w:sz w:val="20"/>
          <w:szCs w:val="20"/>
          <w:lang w:eastAsia="en-GB" w:bidi="en-GB"/>
        </w:rPr>
        <w:t>practices</w:t>
      </w:r>
      <w:r w:rsidR="00FF41A0">
        <w:rPr>
          <w:color w:val="000000"/>
          <w:sz w:val="20"/>
          <w:szCs w:val="20"/>
          <w:lang w:eastAsia="en-GB" w:bidi="en-GB"/>
        </w:rPr>
        <w:t xml:space="preserve"> </w:t>
      </w:r>
      <w:r w:rsidR="00323457" w:rsidRPr="0059638B">
        <w:rPr>
          <w:color w:val="000000"/>
          <w:sz w:val="20"/>
          <w:szCs w:val="20"/>
          <w:lang w:eastAsia="en-GB" w:bidi="en-GB"/>
        </w:rPr>
        <w:t>towards</w:t>
      </w:r>
      <w:r w:rsidR="00FF41A0">
        <w:rPr>
          <w:color w:val="000000"/>
          <w:sz w:val="20"/>
          <w:szCs w:val="20"/>
          <w:lang w:eastAsia="en-GB" w:bidi="en-GB"/>
        </w:rPr>
        <w:t xml:space="preserve"> </w:t>
      </w:r>
      <w:r w:rsidR="00323457" w:rsidRPr="0059638B">
        <w:rPr>
          <w:color w:val="000000"/>
          <w:sz w:val="20"/>
          <w:szCs w:val="20"/>
          <w:lang w:eastAsia="en-GB" w:bidi="en-GB"/>
        </w:rPr>
        <w:t>minorities.</w:t>
      </w:r>
      <w:r w:rsidR="00FF41A0">
        <w:rPr>
          <w:color w:val="000000"/>
          <w:sz w:val="20"/>
          <w:szCs w:val="20"/>
          <w:lang w:eastAsia="en-GB" w:bidi="en-GB"/>
        </w:rPr>
        <w:t xml:space="preserve"> </w:t>
      </w:r>
    </w:p>
    <w:p w14:paraId="0506C31C" w14:textId="355B8E88" w:rsidR="00323457" w:rsidRPr="0059638B" w:rsidRDefault="00323457" w:rsidP="00323457">
      <w:pPr>
        <w:pStyle w:val="H23G"/>
        <w:ind w:left="705" w:firstLine="0"/>
        <w:rPr>
          <w:sz w:val="20"/>
          <w:szCs w:val="20"/>
        </w:rPr>
      </w:pPr>
      <w:r w:rsidRPr="0059638B">
        <w:rPr>
          <w:sz w:val="20"/>
          <w:szCs w:val="20"/>
        </w:rPr>
        <w:t>5.</w:t>
      </w:r>
      <w:r w:rsidRPr="0059638B">
        <w:rPr>
          <w:sz w:val="20"/>
          <w:szCs w:val="20"/>
        </w:rPr>
        <w:tab/>
        <w:t>Concluding</w:t>
      </w:r>
      <w:r w:rsidR="00FF41A0">
        <w:rPr>
          <w:sz w:val="20"/>
          <w:szCs w:val="20"/>
        </w:rPr>
        <w:t xml:space="preserve"> </w:t>
      </w:r>
      <w:r w:rsidRPr="0059638B">
        <w:rPr>
          <w:sz w:val="20"/>
          <w:szCs w:val="20"/>
        </w:rPr>
        <w:t>remarks</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State</w:t>
      </w:r>
      <w:r w:rsidR="00FF41A0">
        <w:rPr>
          <w:sz w:val="20"/>
          <w:szCs w:val="20"/>
        </w:rPr>
        <w:t xml:space="preserve"> </w:t>
      </w:r>
      <w:r w:rsidRPr="0059638B">
        <w:rPr>
          <w:sz w:val="20"/>
          <w:szCs w:val="20"/>
        </w:rPr>
        <w:t>under</w:t>
      </w:r>
      <w:r w:rsidR="00FF41A0">
        <w:rPr>
          <w:sz w:val="20"/>
          <w:szCs w:val="20"/>
        </w:rPr>
        <w:t xml:space="preserve"> </w:t>
      </w:r>
      <w:r w:rsidRPr="0059638B">
        <w:rPr>
          <w:sz w:val="20"/>
          <w:szCs w:val="20"/>
        </w:rPr>
        <w:t>review</w:t>
      </w:r>
    </w:p>
    <w:p w14:paraId="6F77B60D" w14:textId="074E61FA" w:rsidR="00323457" w:rsidRPr="0059638B" w:rsidRDefault="00972F1E" w:rsidP="00323457">
      <w:pPr>
        <w:pStyle w:val="SingleTxtG"/>
        <w:rPr>
          <w:sz w:val="20"/>
          <w:szCs w:val="20"/>
        </w:rPr>
      </w:pPr>
      <w:r>
        <w:rPr>
          <w:sz w:val="20"/>
          <w:szCs w:val="20"/>
        </w:rPr>
        <w:t>670</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President</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based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information</w:t>
      </w:r>
      <w:r w:rsidR="00FF41A0">
        <w:rPr>
          <w:sz w:val="20"/>
          <w:szCs w:val="20"/>
        </w:rPr>
        <w:t xml:space="preserve"> </w:t>
      </w:r>
      <w:r w:rsidR="00323457" w:rsidRPr="0059638B">
        <w:rPr>
          <w:sz w:val="20"/>
          <w:szCs w:val="20"/>
        </w:rPr>
        <w:t>provided,</w:t>
      </w:r>
      <w:r w:rsidR="00FF41A0">
        <w:rPr>
          <w:sz w:val="20"/>
          <w:szCs w:val="20"/>
        </w:rPr>
        <w:t xml:space="preserve"> </w:t>
      </w:r>
      <w:r w:rsidR="00323457" w:rsidRPr="0059638B">
        <w:rPr>
          <w:sz w:val="20"/>
          <w:szCs w:val="20"/>
        </w:rPr>
        <w:t>out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268</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received,</w:t>
      </w:r>
      <w:r w:rsidR="00FF41A0">
        <w:rPr>
          <w:sz w:val="20"/>
          <w:szCs w:val="20"/>
        </w:rPr>
        <w:t xml:space="preserve"> </w:t>
      </w:r>
      <w:r w:rsidR="00323457" w:rsidRPr="0059638B">
        <w:rPr>
          <w:sz w:val="20"/>
          <w:szCs w:val="20"/>
        </w:rPr>
        <w:t>148</w:t>
      </w:r>
      <w:r w:rsidR="00FF41A0">
        <w:rPr>
          <w:sz w:val="20"/>
          <w:szCs w:val="20"/>
        </w:rPr>
        <w:t xml:space="preserve"> </w:t>
      </w:r>
      <w:r w:rsidR="00323457" w:rsidRPr="0059638B">
        <w:rPr>
          <w:sz w:val="20"/>
          <w:szCs w:val="20"/>
        </w:rPr>
        <w:t>enjoyed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support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Malaysia,</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120</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noted.</w:t>
      </w:r>
    </w:p>
    <w:p w14:paraId="5E90095B" w14:textId="78E17582" w:rsidR="00323457" w:rsidRPr="0059638B" w:rsidRDefault="00972F1E" w:rsidP="00323457">
      <w:pPr>
        <w:pStyle w:val="SingleTxtG"/>
        <w:rPr>
          <w:sz w:val="20"/>
          <w:szCs w:val="20"/>
        </w:rPr>
      </w:pPr>
      <w:r>
        <w:rPr>
          <w:sz w:val="20"/>
          <w:szCs w:val="20"/>
        </w:rPr>
        <w:t>671</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head</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delegation</w:t>
      </w:r>
      <w:r w:rsidR="00FF41A0">
        <w:rPr>
          <w:sz w:val="20"/>
          <w:szCs w:val="20"/>
        </w:rPr>
        <w:t xml:space="preserve"> </w:t>
      </w:r>
      <w:r w:rsidR="00323457" w:rsidRPr="0059638B">
        <w:rPr>
          <w:sz w:val="20"/>
          <w:szCs w:val="20"/>
        </w:rPr>
        <w:t>thanked</w:t>
      </w:r>
      <w:r w:rsidR="00FF41A0">
        <w:rPr>
          <w:sz w:val="20"/>
          <w:szCs w:val="20"/>
        </w:rPr>
        <w:t xml:space="preserve"> </w:t>
      </w:r>
      <w:r w:rsidR="00323457" w:rsidRPr="0059638B">
        <w:rPr>
          <w:sz w:val="20"/>
          <w:szCs w:val="20"/>
        </w:rPr>
        <w:t>States,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Vice</w:t>
      </w:r>
      <w:r w:rsidR="00FF41A0">
        <w:rPr>
          <w:sz w:val="20"/>
          <w:szCs w:val="20"/>
        </w:rPr>
        <w:t xml:space="preserve"> </w:t>
      </w:r>
      <w:r w:rsidR="00323457" w:rsidRPr="0059638B">
        <w:rPr>
          <w:sz w:val="20"/>
          <w:szCs w:val="20"/>
        </w:rPr>
        <w:t>Chairman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Commission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Malaysia</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representatives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non-governmental</w:t>
      </w:r>
      <w:r w:rsidR="00FF41A0">
        <w:rPr>
          <w:sz w:val="20"/>
          <w:szCs w:val="20"/>
        </w:rPr>
        <w:t xml:space="preserve"> </w:t>
      </w:r>
      <w:r w:rsidR="00323457" w:rsidRPr="0059638B">
        <w:rPr>
          <w:sz w:val="20"/>
          <w:szCs w:val="20"/>
        </w:rPr>
        <w:t>organizations</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their</w:t>
      </w:r>
      <w:r w:rsidR="00FF41A0">
        <w:rPr>
          <w:sz w:val="20"/>
          <w:szCs w:val="20"/>
        </w:rPr>
        <w:t xml:space="preserve"> </w:t>
      </w:r>
      <w:r w:rsidR="00323457" w:rsidRPr="0059638B">
        <w:rPr>
          <w:sz w:val="20"/>
          <w:szCs w:val="20"/>
        </w:rPr>
        <w:t>statements,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gave</w:t>
      </w:r>
      <w:r w:rsidR="00FF41A0">
        <w:rPr>
          <w:sz w:val="20"/>
          <w:szCs w:val="20"/>
        </w:rPr>
        <w:t xml:space="preserve"> </w:t>
      </w:r>
      <w:r w:rsidR="00323457" w:rsidRPr="0059638B">
        <w:rPr>
          <w:sz w:val="20"/>
          <w:szCs w:val="20"/>
        </w:rPr>
        <w:t>further</w:t>
      </w:r>
      <w:r w:rsidR="00FF41A0">
        <w:rPr>
          <w:sz w:val="20"/>
          <w:szCs w:val="20"/>
        </w:rPr>
        <w:t xml:space="preserve"> </w:t>
      </w:r>
      <w:r w:rsidR="00323457" w:rsidRPr="0059638B">
        <w:rPr>
          <w:sz w:val="20"/>
          <w:szCs w:val="20"/>
        </w:rPr>
        <w:t>clarifications</w:t>
      </w:r>
      <w:r w:rsidR="00FF41A0">
        <w:rPr>
          <w:sz w:val="20"/>
          <w:szCs w:val="20"/>
        </w:rPr>
        <w:t xml:space="preserve"> </w:t>
      </w:r>
      <w:r w:rsidR="00323457" w:rsidRPr="0059638B">
        <w:rPr>
          <w:sz w:val="20"/>
          <w:szCs w:val="20"/>
        </w:rPr>
        <w:t>regarding</w:t>
      </w:r>
      <w:r w:rsidR="00FF41A0">
        <w:rPr>
          <w:sz w:val="20"/>
          <w:szCs w:val="20"/>
        </w:rPr>
        <w:t xml:space="preserve"> </w:t>
      </w:r>
      <w:r w:rsidR="00323457" w:rsidRPr="0059638B">
        <w:rPr>
          <w:sz w:val="20"/>
          <w:szCs w:val="20"/>
        </w:rPr>
        <w:t>points</w:t>
      </w:r>
      <w:r w:rsidR="00FF41A0">
        <w:rPr>
          <w:sz w:val="20"/>
          <w:szCs w:val="20"/>
        </w:rPr>
        <w:t xml:space="preserve"> </w:t>
      </w:r>
      <w:r w:rsidR="00323457" w:rsidRPr="0059638B">
        <w:rPr>
          <w:sz w:val="20"/>
          <w:szCs w:val="20"/>
        </w:rPr>
        <w:t>raised.</w:t>
      </w:r>
    </w:p>
    <w:p w14:paraId="56C3D2FB" w14:textId="09CCC270" w:rsidR="00323457" w:rsidRPr="0059638B" w:rsidRDefault="00972F1E" w:rsidP="00323457">
      <w:pPr>
        <w:pStyle w:val="SingleTxtG"/>
        <w:rPr>
          <w:sz w:val="20"/>
          <w:szCs w:val="20"/>
        </w:rPr>
      </w:pPr>
      <w:r>
        <w:rPr>
          <w:sz w:val="20"/>
          <w:szCs w:val="20"/>
        </w:rPr>
        <w:t>672</w:t>
      </w:r>
      <w:r w:rsidR="00D7475F">
        <w:rPr>
          <w:sz w:val="20"/>
          <w:szCs w:val="20"/>
        </w:rPr>
        <w:t>.</w:t>
      </w:r>
      <w:r w:rsidR="00D7475F">
        <w:rPr>
          <w:sz w:val="20"/>
          <w:szCs w:val="20"/>
        </w:rPr>
        <w:tab/>
      </w:r>
      <w:r w:rsidR="00323457" w:rsidRPr="0059638B">
        <w:rPr>
          <w:sz w:val="20"/>
          <w:szCs w:val="20"/>
        </w:rPr>
        <w:t>Regarding</w:t>
      </w:r>
      <w:r w:rsidR="00FF41A0">
        <w:rPr>
          <w:sz w:val="20"/>
          <w:szCs w:val="20"/>
        </w:rPr>
        <w:t xml:space="preserve"> </w:t>
      </w:r>
      <w:r w:rsidR="00323457" w:rsidRPr="0059638B">
        <w:rPr>
          <w:sz w:val="20"/>
          <w:szCs w:val="20"/>
        </w:rPr>
        <w:t>accession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conventions,</w:t>
      </w:r>
      <w:r w:rsidR="00FF41A0">
        <w:rPr>
          <w:sz w:val="20"/>
          <w:szCs w:val="20"/>
        </w:rPr>
        <w:t xml:space="preserve"> </w:t>
      </w:r>
      <w:r w:rsidR="00323457" w:rsidRPr="0059638B">
        <w:rPr>
          <w:sz w:val="20"/>
          <w:szCs w:val="20"/>
        </w:rPr>
        <w:t>Malaysia</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committed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ratifying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remaining</w:t>
      </w:r>
      <w:r w:rsidR="00FF41A0">
        <w:rPr>
          <w:sz w:val="20"/>
          <w:szCs w:val="20"/>
        </w:rPr>
        <w:t xml:space="preserve"> </w:t>
      </w:r>
      <w:r w:rsidR="00323457" w:rsidRPr="0059638B">
        <w:rPr>
          <w:sz w:val="20"/>
          <w:szCs w:val="20"/>
        </w:rPr>
        <w:t>core</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instruments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established</w:t>
      </w:r>
      <w:r w:rsidR="00FF41A0">
        <w:rPr>
          <w:sz w:val="20"/>
          <w:szCs w:val="20"/>
        </w:rPr>
        <w:t xml:space="preserve"> </w:t>
      </w:r>
      <w:r w:rsidR="00323457" w:rsidRPr="0059638B">
        <w:rPr>
          <w:sz w:val="20"/>
          <w:szCs w:val="20"/>
        </w:rPr>
        <w:t>inter-ministerial</w:t>
      </w:r>
      <w:r w:rsidR="00FF41A0">
        <w:rPr>
          <w:sz w:val="20"/>
          <w:szCs w:val="20"/>
        </w:rPr>
        <w:t xml:space="preserve"> </w:t>
      </w:r>
      <w:r w:rsidR="00323457" w:rsidRPr="0059638B">
        <w:rPr>
          <w:sz w:val="20"/>
          <w:szCs w:val="20"/>
        </w:rPr>
        <w:t>committees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advance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this</w:t>
      </w:r>
      <w:r w:rsidR="00FF41A0">
        <w:rPr>
          <w:sz w:val="20"/>
          <w:szCs w:val="20"/>
        </w:rPr>
        <w:t xml:space="preserve"> </w:t>
      </w:r>
      <w:r w:rsidR="00323457" w:rsidRPr="0059638B">
        <w:rPr>
          <w:sz w:val="20"/>
          <w:szCs w:val="20"/>
        </w:rPr>
        <w:t>regard.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work</w:t>
      </w:r>
      <w:r w:rsidR="00FF41A0">
        <w:rPr>
          <w:sz w:val="20"/>
          <w:szCs w:val="20"/>
        </w:rPr>
        <w:t xml:space="preserve"> </w:t>
      </w:r>
      <w:r w:rsidR="00323457" w:rsidRPr="0059638B">
        <w:rPr>
          <w:sz w:val="20"/>
          <w:szCs w:val="20"/>
        </w:rPr>
        <w:t>on</w:t>
      </w:r>
      <w:r w:rsidR="00FF41A0">
        <w:rPr>
          <w:sz w:val="20"/>
          <w:szCs w:val="20"/>
        </w:rPr>
        <w:t xml:space="preserve"> </w:t>
      </w:r>
      <w:r w:rsidR="00D72627">
        <w:rPr>
          <w:sz w:val="20"/>
          <w:szCs w:val="20"/>
        </w:rPr>
        <w:t>‘</w:t>
      </w:r>
      <w:r w:rsidR="00323457" w:rsidRPr="0059638B">
        <w:rPr>
          <w:sz w:val="20"/>
          <w:szCs w:val="20"/>
        </w:rPr>
        <w:t>low</w:t>
      </w:r>
      <w:r w:rsidR="00FF41A0">
        <w:rPr>
          <w:sz w:val="20"/>
          <w:szCs w:val="20"/>
        </w:rPr>
        <w:t xml:space="preserve"> </w:t>
      </w:r>
      <w:r w:rsidR="00323457" w:rsidRPr="0059638B">
        <w:rPr>
          <w:sz w:val="20"/>
          <w:szCs w:val="20"/>
        </w:rPr>
        <w:t>hanging</w:t>
      </w:r>
      <w:r w:rsidR="00FF41A0">
        <w:rPr>
          <w:sz w:val="20"/>
          <w:szCs w:val="20"/>
        </w:rPr>
        <w:t xml:space="preserve"> </w:t>
      </w:r>
      <w:r w:rsidR="00323457" w:rsidRPr="0059638B">
        <w:rPr>
          <w:sz w:val="20"/>
          <w:szCs w:val="20"/>
        </w:rPr>
        <w:t>fruits</w:t>
      </w:r>
      <w:r w:rsidR="00D72627">
        <w:rPr>
          <w:sz w:val="20"/>
          <w:szCs w:val="20"/>
        </w:rPr>
        <w:t>’</w:t>
      </w:r>
      <w:r w:rsidR="00FF41A0">
        <w:rPr>
          <w:sz w:val="20"/>
          <w:szCs w:val="20"/>
        </w:rPr>
        <w:t xml:space="preserve"> </w:t>
      </w:r>
      <w:r w:rsidR="00323457" w:rsidRPr="0059638B">
        <w:rPr>
          <w:sz w:val="20"/>
          <w:szCs w:val="20"/>
        </w:rPr>
        <w:t>such</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Convention</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Torture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Other</w:t>
      </w:r>
      <w:r w:rsidR="00FF41A0">
        <w:rPr>
          <w:sz w:val="20"/>
          <w:szCs w:val="20"/>
        </w:rPr>
        <w:t xml:space="preserve"> </w:t>
      </w:r>
      <w:r w:rsidR="00323457" w:rsidRPr="0059638B">
        <w:rPr>
          <w:sz w:val="20"/>
          <w:szCs w:val="20"/>
        </w:rPr>
        <w:t>Cruel,</w:t>
      </w:r>
      <w:r w:rsidR="00FF41A0">
        <w:rPr>
          <w:sz w:val="20"/>
          <w:szCs w:val="20"/>
        </w:rPr>
        <w:t xml:space="preserve"> </w:t>
      </w:r>
      <w:r w:rsidR="00323457" w:rsidRPr="0059638B">
        <w:rPr>
          <w:sz w:val="20"/>
          <w:szCs w:val="20"/>
        </w:rPr>
        <w:t>Inhuman</w:t>
      </w:r>
      <w:r w:rsidR="00FF41A0">
        <w:rPr>
          <w:sz w:val="20"/>
          <w:szCs w:val="20"/>
        </w:rPr>
        <w:t xml:space="preserve"> </w:t>
      </w:r>
      <w:r w:rsidR="00323457" w:rsidRPr="0059638B">
        <w:rPr>
          <w:sz w:val="20"/>
          <w:szCs w:val="20"/>
        </w:rPr>
        <w:t>or</w:t>
      </w:r>
      <w:r w:rsidR="00FF41A0">
        <w:rPr>
          <w:sz w:val="20"/>
          <w:szCs w:val="20"/>
        </w:rPr>
        <w:t xml:space="preserve"> </w:t>
      </w:r>
      <w:r w:rsidR="00323457" w:rsidRPr="0059638B">
        <w:rPr>
          <w:sz w:val="20"/>
          <w:szCs w:val="20"/>
        </w:rPr>
        <w:t>Degrading</w:t>
      </w:r>
      <w:r w:rsidR="00FF41A0">
        <w:rPr>
          <w:sz w:val="20"/>
          <w:szCs w:val="20"/>
        </w:rPr>
        <w:t xml:space="preserve"> </w:t>
      </w:r>
      <w:r w:rsidR="00323457" w:rsidRPr="0059638B">
        <w:rPr>
          <w:sz w:val="20"/>
          <w:szCs w:val="20"/>
        </w:rPr>
        <w:t>Treatment</w:t>
      </w:r>
      <w:r w:rsidR="00FF41A0">
        <w:rPr>
          <w:sz w:val="20"/>
          <w:szCs w:val="20"/>
        </w:rPr>
        <w:t xml:space="preserve"> </w:t>
      </w:r>
      <w:r w:rsidR="00323457" w:rsidRPr="0059638B">
        <w:rPr>
          <w:sz w:val="20"/>
          <w:szCs w:val="20"/>
        </w:rPr>
        <w:t>or</w:t>
      </w:r>
      <w:r w:rsidR="00FF41A0">
        <w:rPr>
          <w:sz w:val="20"/>
          <w:szCs w:val="20"/>
        </w:rPr>
        <w:t xml:space="preserve"> </w:t>
      </w:r>
      <w:r w:rsidR="00323457" w:rsidRPr="0059638B">
        <w:rPr>
          <w:sz w:val="20"/>
          <w:szCs w:val="20"/>
        </w:rPr>
        <w:t>Punishment</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well</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Convention</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Persons</w:t>
      </w:r>
      <w:r w:rsidR="00FF41A0">
        <w:rPr>
          <w:sz w:val="20"/>
          <w:szCs w:val="20"/>
        </w:rPr>
        <w:t xml:space="preserve"> </w:t>
      </w:r>
      <w:r w:rsidR="00323457" w:rsidRPr="0059638B">
        <w:rPr>
          <w:sz w:val="20"/>
          <w:szCs w:val="20"/>
        </w:rPr>
        <w:t>from</w:t>
      </w:r>
      <w:r w:rsidR="00FF41A0">
        <w:rPr>
          <w:sz w:val="20"/>
          <w:szCs w:val="20"/>
        </w:rPr>
        <w:t xml:space="preserve"> </w:t>
      </w:r>
      <w:r w:rsidR="00323457" w:rsidRPr="0059638B">
        <w:rPr>
          <w:sz w:val="20"/>
          <w:szCs w:val="20"/>
        </w:rPr>
        <w:t>Enforced</w:t>
      </w:r>
      <w:r w:rsidR="00FF41A0">
        <w:rPr>
          <w:sz w:val="20"/>
          <w:szCs w:val="20"/>
        </w:rPr>
        <w:t xml:space="preserve"> </w:t>
      </w:r>
      <w:r w:rsidR="00323457" w:rsidRPr="0059638B">
        <w:rPr>
          <w:sz w:val="20"/>
          <w:szCs w:val="20"/>
        </w:rPr>
        <w:t>Disappearance.</w:t>
      </w:r>
      <w:r w:rsidR="00FF41A0">
        <w:rPr>
          <w:sz w:val="20"/>
          <w:szCs w:val="20"/>
        </w:rPr>
        <w:t xml:space="preserve"> </w:t>
      </w:r>
    </w:p>
    <w:p w14:paraId="3181C8BE" w14:textId="0EF7EC6A" w:rsidR="00323457" w:rsidRPr="0059638B" w:rsidRDefault="00972F1E" w:rsidP="00323457">
      <w:pPr>
        <w:pStyle w:val="SingleTxtG"/>
        <w:rPr>
          <w:sz w:val="20"/>
          <w:szCs w:val="20"/>
        </w:rPr>
      </w:pPr>
      <w:r>
        <w:rPr>
          <w:sz w:val="20"/>
          <w:szCs w:val="20"/>
        </w:rPr>
        <w:t>673</w:t>
      </w:r>
      <w:r w:rsidR="00D7475F">
        <w:rPr>
          <w:sz w:val="20"/>
          <w:szCs w:val="20"/>
        </w:rPr>
        <w:t>.</w:t>
      </w:r>
      <w:r w:rsidR="00D7475F">
        <w:rPr>
          <w:sz w:val="20"/>
          <w:szCs w:val="20"/>
        </w:rPr>
        <w:tab/>
      </w:r>
      <w:r w:rsidR="00323457" w:rsidRPr="0059638B">
        <w:rPr>
          <w:sz w:val="20"/>
          <w:szCs w:val="20"/>
        </w:rPr>
        <w:t>It</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emphasised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freedom</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religion</w:t>
      </w:r>
      <w:r w:rsidR="00FF41A0">
        <w:rPr>
          <w:sz w:val="20"/>
          <w:szCs w:val="20"/>
        </w:rPr>
        <w:t xml:space="preserve"> </w:t>
      </w:r>
      <w:r w:rsidR="00323457" w:rsidRPr="0059638B">
        <w:rPr>
          <w:sz w:val="20"/>
          <w:szCs w:val="20"/>
        </w:rPr>
        <w:t>or</w:t>
      </w:r>
      <w:r w:rsidR="00FF41A0">
        <w:rPr>
          <w:sz w:val="20"/>
          <w:szCs w:val="20"/>
        </w:rPr>
        <w:t xml:space="preserve"> </w:t>
      </w:r>
      <w:r w:rsidR="00323457" w:rsidRPr="0059638B">
        <w:rPr>
          <w:sz w:val="20"/>
          <w:szCs w:val="20"/>
        </w:rPr>
        <w:t>belief</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constitutionally</w:t>
      </w:r>
      <w:r w:rsidR="00FF41A0">
        <w:rPr>
          <w:sz w:val="20"/>
          <w:szCs w:val="20"/>
        </w:rPr>
        <w:t xml:space="preserve"> </w:t>
      </w:r>
      <w:r w:rsidR="00323457" w:rsidRPr="0059638B">
        <w:rPr>
          <w:sz w:val="20"/>
          <w:szCs w:val="20"/>
        </w:rPr>
        <w:t>guaranteed</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necessary</w:t>
      </w:r>
      <w:r w:rsidR="00FF41A0">
        <w:rPr>
          <w:sz w:val="20"/>
          <w:szCs w:val="20"/>
        </w:rPr>
        <w:t xml:space="preserve"> </w:t>
      </w:r>
      <w:r w:rsidR="00323457" w:rsidRPr="0059638B">
        <w:rPr>
          <w:sz w:val="20"/>
          <w:szCs w:val="20"/>
        </w:rPr>
        <w:t>checks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balances</w:t>
      </w:r>
      <w:r w:rsidR="00FF41A0">
        <w:rPr>
          <w:sz w:val="20"/>
          <w:szCs w:val="20"/>
        </w:rPr>
        <w:t xml:space="preserve"> </w:t>
      </w:r>
      <w:r w:rsidR="00323457" w:rsidRPr="0059638B">
        <w:rPr>
          <w:sz w:val="20"/>
          <w:szCs w:val="20"/>
        </w:rPr>
        <w:t>through</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policies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programmes</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acts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lastRenderedPageBreak/>
        <w:t>discrimination,</w:t>
      </w:r>
      <w:r w:rsidR="00FF41A0">
        <w:rPr>
          <w:sz w:val="20"/>
          <w:szCs w:val="20"/>
        </w:rPr>
        <w:t xml:space="preserve"> </w:t>
      </w:r>
      <w:r w:rsidR="00323457" w:rsidRPr="0059638B">
        <w:rPr>
          <w:sz w:val="20"/>
          <w:szCs w:val="20"/>
        </w:rPr>
        <w:t>stigmatization,</w:t>
      </w:r>
      <w:r w:rsidR="00FF41A0">
        <w:rPr>
          <w:sz w:val="20"/>
          <w:szCs w:val="20"/>
        </w:rPr>
        <w:t xml:space="preserve"> </w:t>
      </w:r>
      <w:r w:rsidR="00323457" w:rsidRPr="0059638B">
        <w:rPr>
          <w:sz w:val="20"/>
          <w:szCs w:val="20"/>
        </w:rPr>
        <w:t>stereotyping</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hate</w:t>
      </w:r>
      <w:r w:rsidR="00FF41A0">
        <w:rPr>
          <w:sz w:val="20"/>
          <w:szCs w:val="20"/>
        </w:rPr>
        <w:t xml:space="preserve"> </w:t>
      </w:r>
      <w:r w:rsidR="00323457" w:rsidRPr="0059638B">
        <w:rPr>
          <w:sz w:val="20"/>
          <w:szCs w:val="20"/>
        </w:rPr>
        <w:t>crimes,</w:t>
      </w:r>
      <w:r w:rsidR="00FF41A0">
        <w:rPr>
          <w:sz w:val="20"/>
          <w:szCs w:val="20"/>
        </w:rPr>
        <w:t xml:space="preserve"> </w:t>
      </w:r>
      <w:r w:rsidR="00323457" w:rsidRPr="0059638B">
        <w:rPr>
          <w:sz w:val="20"/>
          <w:szCs w:val="20"/>
        </w:rPr>
        <w:t>based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religion</w:t>
      </w:r>
      <w:r w:rsidR="00FF41A0">
        <w:rPr>
          <w:sz w:val="20"/>
          <w:szCs w:val="20"/>
        </w:rPr>
        <w:t xml:space="preserve"> </w:t>
      </w:r>
      <w:r w:rsidR="00323457" w:rsidRPr="0059638B">
        <w:rPr>
          <w:sz w:val="20"/>
          <w:szCs w:val="20"/>
        </w:rPr>
        <w:t>or</w:t>
      </w:r>
      <w:r w:rsidR="00FF41A0">
        <w:rPr>
          <w:sz w:val="20"/>
          <w:szCs w:val="20"/>
        </w:rPr>
        <w:t xml:space="preserve"> </w:t>
      </w:r>
      <w:r w:rsidR="00323457" w:rsidRPr="0059638B">
        <w:rPr>
          <w:sz w:val="20"/>
          <w:szCs w:val="20"/>
        </w:rPr>
        <w:t>belief</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place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Malaysia.</w:t>
      </w:r>
      <w:r w:rsidR="00FF41A0">
        <w:rPr>
          <w:sz w:val="20"/>
          <w:szCs w:val="20"/>
        </w:rPr>
        <w:t xml:space="preserve"> </w:t>
      </w:r>
      <w:r w:rsidR="00323457" w:rsidRPr="0059638B">
        <w:rPr>
          <w:sz w:val="20"/>
          <w:szCs w:val="20"/>
        </w:rPr>
        <w:t>Furthermore,</w:t>
      </w:r>
      <w:r w:rsidR="00FF41A0">
        <w:rPr>
          <w:sz w:val="20"/>
          <w:szCs w:val="20"/>
        </w:rPr>
        <w:t xml:space="preserve"> </w:t>
      </w:r>
      <w:r w:rsidR="00323457" w:rsidRPr="0059638B">
        <w:rPr>
          <w:sz w:val="20"/>
          <w:szCs w:val="20"/>
        </w:rPr>
        <w:t>Malaysia</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enacted</w:t>
      </w:r>
      <w:r w:rsidR="00FF41A0">
        <w:rPr>
          <w:sz w:val="20"/>
          <w:szCs w:val="20"/>
        </w:rPr>
        <w:t xml:space="preserve"> </w:t>
      </w:r>
      <w:r w:rsidR="00323457" w:rsidRPr="0059638B">
        <w:rPr>
          <w:sz w:val="20"/>
          <w:szCs w:val="20"/>
        </w:rPr>
        <w:t>laws</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are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conformity</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article</w:t>
      </w:r>
      <w:r w:rsidR="00FF41A0">
        <w:rPr>
          <w:sz w:val="20"/>
          <w:szCs w:val="20"/>
        </w:rPr>
        <w:t xml:space="preserve"> </w:t>
      </w:r>
      <w:r w:rsidR="00323457" w:rsidRPr="0059638B">
        <w:rPr>
          <w:sz w:val="20"/>
          <w:szCs w:val="20"/>
        </w:rPr>
        <w:t>18</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Covenant</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Civil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Political</w:t>
      </w:r>
      <w:r w:rsidR="00FF41A0">
        <w:rPr>
          <w:sz w:val="20"/>
          <w:szCs w:val="20"/>
        </w:rPr>
        <w:t xml:space="preserve"> </w:t>
      </w:r>
      <w:r w:rsidR="00323457" w:rsidRPr="0059638B">
        <w:rPr>
          <w:sz w:val="20"/>
          <w:szCs w:val="20"/>
        </w:rPr>
        <w:t>Rights.</w:t>
      </w:r>
    </w:p>
    <w:p w14:paraId="5AFEE788" w14:textId="4BD97938" w:rsidR="00323457" w:rsidRPr="0059638B" w:rsidRDefault="00972F1E" w:rsidP="00323457">
      <w:pPr>
        <w:pStyle w:val="SingleTxtG"/>
        <w:rPr>
          <w:sz w:val="20"/>
          <w:szCs w:val="20"/>
        </w:rPr>
      </w:pPr>
      <w:r>
        <w:rPr>
          <w:sz w:val="20"/>
          <w:szCs w:val="20"/>
        </w:rPr>
        <w:t>674</w:t>
      </w:r>
      <w:r w:rsidR="00D7475F">
        <w:rPr>
          <w:sz w:val="20"/>
          <w:szCs w:val="20"/>
        </w:rPr>
        <w:t>.</w:t>
      </w:r>
      <w:r w:rsidR="00D7475F">
        <w:rPr>
          <w:sz w:val="20"/>
          <w:szCs w:val="20"/>
        </w:rPr>
        <w:tab/>
      </w:r>
      <w:r w:rsidR="00323457" w:rsidRPr="0059638B">
        <w:rPr>
          <w:sz w:val="20"/>
          <w:szCs w:val="20"/>
        </w:rPr>
        <w:t>Regarding</w:t>
      </w:r>
      <w:r w:rsidR="00FF41A0">
        <w:rPr>
          <w:sz w:val="20"/>
          <w:szCs w:val="20"/>
        </w:rPr>
        <w:t xml:space="preserve"> </w:t>
      </w:r>
      <w:r w:rsidR="00323457" w:rsidRPr="0059638B">
        <w:rPr>
          <w:sz w:val="20"/>
          <w:szCs w:val="20"/>
        </w:rPr>
        <w:t>discrimination,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head</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delegation</w:t>
      </w:r>
      <w:r w:rsidR="00FF41A0">
        <w:rPr>
          <w:sz w:val="20"/>
          <w:szCs w:val="20"/>
        </w:rPr>
        <w:t xml:space="preserve"> </w:t>
      </w:r>
      <w:r w:rsidR="00323457" w:rsidRPr="0059638B">
        <w:rPr>
          <w:sz w:val="20"/>
          <w:szCs w:val="20"/>
        </w:rPr>
        <w:t>stressed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discrimination,</w:t>
      </w:r>
      <w:r w:rsidR="00FF41A0">
        <w:rPr>
          <w:sz w:val="20"/>
          <w:szCs w:val="20"/>
        </w:rPr>
        <w:t xml:space="preserve"> </w:t>
      </w:r>
      <w:r w:rsidR="00323457" w:rsidRPr="0059638B">
        <w:rPr>
          <w:sz w:val="20"/>
          <w:szCs w:val="20"/>
        </w:rPr>
        <w:t>hatred</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racism</w:t>
      </w:r>
      <w:r w:rsidR="00FF41A0">
        <w:rPr>
          <w:sz w:val="20"/>
          <w:szCs w:val="20"/>
        </w:rPr>
        <w:t xml:space="preserve"> </w:t>
      </w:r>
      <w:r w:rsidR="00323457" w:rsidRPr="0059638B">
        <w:rPr>
          <w:sz w:val="20"/>
          <w:szCs w:val="20"/>
        </w:rPr>
        <w:t>has</w:t>
      </w:r>
      <w:r w:rsidR="00FF41A0">
        <w:rPr>
          <w:sz w:val="20"/>
          <w:szCs w:val="20"/>
        </w:rPr>
        <w:t xml:space="preserve"> </w:t>
      </w:r>
      <w:r w:rsidR="00323457" w:rsidRPr="0059638B">
        <w:rPr>
          <w:sz w:val="20"/>
          <w:szCs w:val="20"/>
        </w:rPr>
        <w:t>no</w:t>
      </w:r>
      <w:r w:rsidR="00FF41A0">
        <w:rPr>
          <w:sz w:val="20"/>
          <w:szCs w:val="20"/>
        </w:rPr>
        <w:t xml:space="preserve"> </w:t>
      </w:r>
      <w:r w:rsidR="00323457" w:rsidRPr="0059638B">
        <w:rPr>
          <w:sz w:val="20"/>
          <w:szCs w:val="20"/>
        </w:rPr>
        <w:t>place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new</w:t>
      </w:r>
      <w:r w:rsidR="00FF41A0">
        <w:rPr>
          <w:sz w:val="20"/>
          <w:szCs w:val="20"/>
        </w:rPr>
        <w:t xml:space="preserve"> </w:t>
      </w:r>
      <w:r w:rsidR="00323457" w:rsidRPr="0059638B">
        <w:rPr>
          <w:sz w:val="20"/>
          <w:szCs w:val="20"/>
        </w:rPr>
        <w:t>Malaysia.</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looking</w:t>
      </w:r>
      <w:r w:rsidR="00FF41A0">
        <w:rPr>
          <w:sz w:val="20"/>
          <w:szCs w:val="20"/>
        </w:rPr>
        <w:t xml:space="preserve"> </w:t>
      </w:r>
      <w:r w:rsidR="00323457" w:rsidRPr="0059638B">
        <w:rPr>
          <w:sz w:val="20"/>
          <w:szCs w:val="20"/>
        </w:rPr>
        <w:t>into</w:t>
      </w:r>
      <w:r w:rsidR="00FF41A0">
        <w:rPr>
          <w:sz w:val="20"/>
          <w:szCs w:val="20"/>
        </w:rPr>
        <w:t xml:space="preserve"> </w:t>
      </w:r>
      <w:r w:rsidR="00323457" w:rsidRPr="0059638B">
        <w:rPr>
          <w:sz w:val="20"/>
          <w:szCs w:val="20"/>
        </w:rPr>
        <w:t>formulating</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Harmony</w:t>
      </w:r>
      <w:r w:rsidR="00FF41A0">
        <w:rPr>
          <w:sz w:val="20"/>
          <w:szCs w:val="20"/>
        </w:rPr>
        <w:t xml:space="preserve"> </w:t>
      </w:r>
      <w:r w:rsidR="00323457" w:rsidRPr="0059638B">
        <w:rPr>
          <w:sz w:val="20"/>
          <w:szCs w:val="20"/>
        </w:rPr>
        <w:t>Bill</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order</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solidify</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enhance</w:t>
      </w:r>
      <w:r w:rsidR="00FF41A0">
        <w:rPr>
          <w:sz w:val="20"/>
          <w:szCs w:val="20"/>
        </w:rPr>
        <w:t xml:space="preserve"> </w:t>
      </w:r>
      <w:r w:rsidR="00323457" w:rsidRPr="0059638B">
        <w:rPr>
          <w:sz w:val="20"/>
          <w:szCs w:val="20"/>
        </w:rPr>
        <w:t>race</w:t>
      </w:r>
      <w:r w:rsidR="00FF41A0">
        <w:rPr>
          <w:sz w:val="20"/>
          <w:szCs w:val="20"/>
        </w:rPr>
        <w:t xml:space="preserve"> </w:t>
      </w:r>
      <w:r w:rsidR="00323457" w:rsidRPr="0059638B">
        <w:rPr>
          <w:sz w:val="20"/>
          <w:szCs w:val="20"/>
        </w:rPr>
        <w:t>relations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promoting</w:t>
      </w:r>
      <w:r w:rsidR="00FF41A0">
        <w:rPr>
          <w:sz w:val="20"/>
          <w:szCs w:val="20"/>
        </w:rPr>
        <w:t xml:space="preserve"> </w:t>
      </w:r>
      <w:r w:rsidR="00323457" w:rsidRPr="0059638B">
        <w:rPr>
          <w:sz w:val="20"/>
          <w:szCs w:val="20"/>
        </w:rPr>
        <w:t>mutual</w:t>
      </w:r>
      <w:r w:rsidR="00FF41A0">
        <w:rPr>
          <w:sz w:val="20"/>
          <w:szCs w:val="20"/>
        </w:rPr>
        <w:t xml:space="preserve"> </w:t>
      </w:r>
      <w:r w:rsidR="00323457" w:rsidRPr="0059638B">
        <w:rPr>
          <w:sz w:val="20"/>
          <w:szCs w:val="20"/>
        </w:rPr>
        <w:t>respect,</w:t>
      </w:r>
      <w:r w:rsidR="00FF41A0">
        <w:rPr>
          <w:sz w:val="20"/>
          <w:szCs w:val="20"/>
        </w:rPr>
        <w:t xml:space="preserve"> </w:t>
      </w:r>
      <w:r w:rsidR="00323457" w:rsidRPr="0059638B">
        <w:rPr>
          <w:sz w:val="20"/>
          <w:szCs w:val="20"/>
        </w:rPr>
        <w:t>unity,</w:t>
      </w:r>
      <w:r w:rsidR="00FF41A0">
        <w:rPr>
          <w:sz w:val="20"/>
          <w:szCs w:val="20"/>
        </w:rPr>
        <w:t xml:space="preserve"> </w:t>
      </w:r>
      <w:r w:rsidR="00323457" w:rsidRPr="0059638B">
        <w:rPr>
          <w:sz w:val="20"/>
          <w:szCs w:val="20"/>
        </w:rPr>
        <w:t>reconciliation,</w:t>
      </w:r>
      <w:r w:rsidR="00FF41A0">
        <w:rPr>
          <w:sz w:val="20"/>
          <w:szCs w:val="20"/>
        </w:rPr>
        <w:t xml:space="preserve"> </w:t>
      </w:r>
      <w:r w:rsidR="00323457" w:rsidRPr="0059638B">
        <w:rPr>
          <w:sz w:val="20"/>
          <w:szCs w:val="20"/>
        </w:rPr>
        <w:t>integration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non-discrimination.</w:t>
      </w:r>
    </w:p>
    <w:p w14:paraId="00052354" w14:textId="2B4524ED" w:rsidR="00323457" w:rsidRPr="0059638B" w:rsidRDefault="00972F1E" w:rsidP="00323457">
      <w:pPr>
        <w:pStyle w:val="SingleTxtG"/>
        <w:rPr>
          <w:sz w:val="20"/>
          <w:szCs w:val="20"/>
        </w:rPr>
      </w:pPr>
      <w:r>
        <w:rPr>
          <w:sz w:val="20"/>
          <w:szCs w:val="20"/>
        </w:rPr>
        <w:t>675</w:t>
      </w:r>
      <w:r w:rsidR="00D7475F">
        <w:rPr>
          <w:sz w:val="20"/>
          <w:szCs w:val="20"/>
        </w:rPr>
        <w:t>.</w:t>
      </w:r>
      <w:r w:rsidR="00D7475F">
        <w:rPr>
          <w:sz w:val="20"/>
          <w:szCs w:val="20"/>
        </w:rPr>
        <w:tab/>
      </w:r>
      <w:r w:rsidR="00323457" w:rsidRPr="0059638B">
        <w:rPr>
          <w:sz w:val="20"/>
          <w:szCs w:val="20"/>
        </w:rPr>
        <w:t>Malaysia</w:t>
      </w:r>
      <w:r w:rsidR="00FF41A0">
        <w:rPr>
          <w:sz w:val="20"/>
          <w:szCs w:val="20"/>
        </w:rPr>
        <w:t xml:space="preserve"> </w:t>
      </w:r>
      <w:r w:rsidR="00323457" w:rsidRPr="0059638B">
        <w:rPr>
          <w:sz w:val="20"/>
          <w:szCs w:val="20"/>
        </w:rPr>
        <w:t>acknowledged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gender</w:t>
      </w:r>
      <w:r w:rsidR="00FF41A0">
        <w:rPr>
          <w:sz w:val="20"/>
          <w:szCs w:val="20"/>
        </w:rPr>
        <w:t xml:space="preserve"> </w:t>
      </w:r>
      <w:r w:rsidR="00323457" w:rsidRPr="0059638B">
        <w:rPr>
          <w:sz w:val="20"/>
          <w:szCs w:val="20"/>
        </w:rPr>
        <w:t>equality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women</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empowerment</w:t>
      </w:r>
      <w:r w:rsidR="00FF41A0">
        <w:rPr>
          <w:sz w:val="20"/>
          <w:szCs w:val="20"/>
        </w:rPr>
        <w:t xml:space="preserve"> </w:t>
      </w:r>
      <w:r w:rsidR="00323457" w:rsidRPr="0059638B">
        <w:rPr>
          <w:sz w:val="20"/>
          <w:szCs w:val="20"/>
        </w:rPr>
        <w:t>are</w:t>
      </w:r>
      <w:r w:rsidR="00FF41A0">
        <w:rPr>
          <w:sz w:val="20"/>
          <w:szCs w:val="20"/>
        </w:rPr>
        <w:t xml:space="preserve"> </w:t>
      </w:r>
      <w:r w:rsidR="00323457" w:rsidRPr="0059638B">
        <w:rPr>
          <w:sz w:val="20"/>
          <w:szCs w:val="20"/>
        </w:rPr>
        <w:t>vital,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March</w:t>
      </w:r>
      <w:r w:rsidR="00FF41A0">
        <w:rPr>
          <w:sz w:val="20"/>
          <w:szCs w:val="20"/>
        </w:rPr>
        <w:t xml:space="preserve"> </w:t>
      </w:r>
      <w:r w:rsidR="00323457" w:rsidRPr="0059638B">
        <w:rPr>
          <w:sz w:val="20"/>
          <w:szCs w:val="20"/>
        </w:rPr>
        <w:t>2019,</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established</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special</w:t>
      </w:r>
      <w:r w:rsidR="00FF41A0">
        <w:rPr>
          <w:sz w:val="20"/>
          <w:szCs w:val="20"/>
        </w:rPr>
        <w:t xml:space="preserve"> </w:t>
      </w:r>
      <w:r w:rsidR="00323457" w:rsidRPr="0059638B">
        <w:rPr>
          <w:sz w:val="20"/>
          <w:szCs w:val="20"/>
        </w:rPr>
        <w:t>project</w:t>
      </w:r>
      <w:r w:rsidR="00FF41A0">
        <w:rPr>
          <w:sz w:val="20"/>
          <w:szCs w:val="20"/>
        </w:rPr>
        <w:t xml:space="preserve"> </w:t>
      </w:r>
      <w:r w:rsidR="00323457" w:rsidRPr="0059638B">
        <w:rPr>
          <w:sz w:val="20"/>
          <w:szCs w:val="20"/>
        </w:rPr>
        <w:t>team</w:t>
      </w:r>
      <w:r w:rsidR="00FF41A0">
        <w:rPr>
          <w:sz w:val="20"/>
          <w:szCs w:val="20"/>
        </w:rPr>
        <w:t xml:space="preserve"> </w:t>
      </w:r>
      <w:r w:rsidR="00323457" w:rsidRPr="0059638B">
        <w:rPr>
          <w:sz w:val="20"/>
          <w:szCs w:val="20"/>
        </w:rPr>
        <w:t>comprising</w:t>
      </w:r>
      <w:r w:rsidR="00FF41A0">
        <w:rPr>
          <w:sz w:val="20"/>
          <w:szCs w:val="20"/>
        </w:rPr>
        <w:t xml:space="preserve"> </w:t>
      </w:r>
      <w:r w:rsidR="00323457" w:rsidRPr="0059638B">
        <w:rPr>
          <w:sz w:val="20"/>
          <w:szCs w:val="20"/>
        </w:rPr>
        <w:t>representatives</w:t>
      </w:r>
      <w:r w:rsidR="00FF41A0">
        <w:rPr>
          <w:sz w:val="20"/>
          <w:szCs w:val="20"/>
        </w:rPr>
        <w:t xml:space="preserve"> </w:t>
      </w:r>
      <w:r w:rsidR="00323457" w:rsidRPr="0059638B">
        <w:rPr>
          <w:sz w:val="20"/>
          <w:szCs w:val="20"/>
        </w:rPr>
        <w:t>from</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civil</w:t>
      </w:r>
      <w:r w:rsidR="00FF41A0">
        <w:rPr>
          <w:sz w:val="20"/>
          <w:szCs w:val="20"/>
        </w:rPr>
        <w:t xml:space="preserve"> </w:t>
      </w:r>
      <w:r w:rsidR="00323457" w:rsidRPr="0059638B">
        <w:rPr>
          <w:sz w:val="20"/>
          <w:szCs w:val="20"/>
        </w:rPr>
        <w:t>society</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draft</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Gender</w:t>
      </w:r>
      <w:r w:rsidR="00FF41A0">
        <w:rPr>
          <w:sz w:val="20"/>
          <w:szCs w:val="20"/>
        </w:rPr>
        <w:t xml:space="preserve"> </w:t>
      </w:r>
      <w:r w:rsidR="00323457" w:rsidRPr="0059638B">
        <w:rPr>
          <w:sz w:val="20"/>
          <w:szCs w:val="20"/>
        </w:rPr>
        <w:t>Equality</w:t>
      </w:r>
      <w:r w:rsidR="00FF41A0">
        <w:rPr>
          <w:sz w:val="20"/>
          <w:szCs w:val="20"/>
        </w:rPr>
        <w:t xml:space="preserve"> </w:t>
      </w:r>
      <w:r w:rsidR="00323457" w:rsidRPr="0059638B">
        <w:rPr>
          <w:sz w:val="20"/>
          <w:szCs w:val="20"/>
        </w:rPr>
        <w:t>Bill.</w:t>
      </w:r>
      <w:r w:rsidR="00FF41A0">
        <w:rPr>
          <w:sz w:val="20"/>
          <w:szCs w:val="20"/>
        </w:rPr>
        <w:t xml:space="preserve"> </w:t>
      </w:r>
    </w:p>
    <w:p w14:paraId="557508C9" w14:textId="27895E48" w:rsidR="00323457" w:rsidRPr="0059638B" w:rsidRDefault="00972F1E" w:rsidP="00F2244D">
      <w:pPr>
        <w:pStyle w:val="SingleTxtG"/>
        <w:rPr>
          <w:sz w:val="20"/>
          <w:szCs w:val="20"/>
        </w:rPr>
      </w:pPr>
      <w:r>
        <w:rPr>
          <w:sz w:val="20"/>
          <w:szCs w:val="20"/>
        </w:rPr>
        <w:t>676</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head</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delegation</w:t>
      </w:r>
      <w:r w:rsidR="00FF41A0">
        <w:rPr>
          <w:sz w:val="20"/>
          <w:szCs w:val="20"/>
        </w:rPr>
        <w:t xml:space="preserve"> </w:t>
      </w:r>
      <w:r w:rsidR="00323457" w:rsidRPr="0059638B">
        <w:rPr>
          <w:sz w:val="20"/>
          <w:szCs w:val="20"/>
        </w:rPr>
        <w:t>reiterated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statement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Minister</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Foreign</w:t>
      </w:r>
      <w:r w:rsidR="00FF41A0">
        <w:rPr>
          <w:sz w:val="20"/>
          <w:szCs w:val="20"/>
        </w:rPr>
        <w:t xml:space="preserve"> </w:t>
      </w:r>
      <w:r w:rsidR="00323457" w:rsidRPr="0059638B">
        <w:rPr>
          <w:sz w:val="20"/>
          <w:szCs w:val="20"/>
        </w:rPr>
        <w:t>Affairs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Malaysia</w:t>
      </w:r>
      <w:r w:rsidR="00FF41A0">
        <w:rPr>
          <w:sz w:val="20"/>
          <w:szCs w:val="20"/>
        </w:rPr>
        <w:t xml:space="preserve"> </w:t>
      </w:r>
      <w:r w:rsidR="00323457" w:rsidRPr="0059638B">
        <w:rPr>
          <w:sz w:val="20"/>
          <w:szCs w:val="20"/>
        </w:rPr>
        <w:t>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Council</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Malaysia</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fully</w:t>
      </w:r>
      <w:r w:rsidR="00FF41A0">
        <w:rPr>
          <w:sz w:val="20"/>
          <w:szCs w:val="20"/>
        </w:rPr>
        <w:t xml:space="preserve"> </w:t>
      </w:r>
      <w:r w:rsidR="00323457" w:rsidRPr="0059638B">
        <w:rPr>
          <w:sz w:val="20"/>
          <w:szCs w:val="20"/>
        </w:rPr>
        <w:t>committed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cause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both</w:t>
      </w:r>
      <w:r w:rsidR="00FF41A0">
        <w:rPr>
          <w:sz w:val="20"/>
          <w:szCs w:val="20"/>
        </w:rPr>
        <w:t xml:space="preserve"> </w:t>
      </w:r>
      <w:r w:rsidR="00323457" w:rsidRPr="0059638B">
        <w:rPr>
          <w:sz w:val="20"/>
          <w:szCs w:val="20"/>
        </w:rPr>
        <w:t>at</w:t>
      </w:r>
      <w:r w:rsidR="00FF41A0">
        <w:rPr>
          <w:sz w:val="20"/>
          <w:szCs w:val="20"/>
        </w:rPr>
        <w:t xml:space="preserve"> </w:t>
      </w:r>
      <w:r w:rsidR="00323457" w:rsidRPr="0059638B">
        <w:rPr>
          <w:sz w:val="20"/>
          <w:szCs w:val="20"/>
        </w:rPr>
        <w:t>home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globally.</w:t>
      </w:r>
      <w:r w:rsidR="00FF41A0">
        <w:rPr>
          <w:sz w:val="20"/>
          <w:szCs w:val="20"/>
        </w:rPr>
        <w:t xml:space="preserve"> </w:t>
      </w:r>
      <w:r w:rsidR="00323457" w:rsidRPr="0059638B">
        <w:rPr>
          <w:sz w:val="20"/>
          <w:szCs w:val="20"/>
        </w:rPr>
        <w:t>Malaysia</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real</w:t>
      </w:r>
      <w:r w:rsidR="00FF41A0">
        <w:rPr>
          <w:sz w:val="20"/>
          <w:szCs w:val="20"/>
        </w:rPr>
        <w:t xml:space="preserve"> </w:t>
      </w:r>
      <w:r w:rsidR="00323457" w:rsidRPr="0059638B">
        <w:rPr>
          <w:sz w:val="20"/>
          <w:szCs w:val="20"/>
        </w:rPr>
        <w:t>progress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do</w:t>
      </w:r>
      <w:r w:rsidR="00FF41A0">
        <w:rPr>
          <w:sz w:val="20"/>
          <w:szCs w:val="20"/>
        </w:rPr>
        <w:t xml:space="preserve"> </w:t>
      </w:r>
      <w:r w:rsidR="00323457" w:rsidRPr="0059638B">
        <w:rPr>
          <w:sz w:val="20"/>
          <w:szCs w:val="20"/>
        </w:rPr>
        <w:t>more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expedite</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this</w:t>
      </w:r>
      <w:r w:rsidR="00FF41A0">
        <w:rPr>
          <w:sz w:val="20"/>
          <w:szCs w:val="20"/>
        </w:rPr>
        <w:t xml:space="preserve"> </w:t>
      </w:r>
      <w:r w:rsidR="00323457" w:rsidRPr="0059638B">
        <w:rPr>
          <w:sz w:val="20"/>
          <w:szCs w:val="20"/>
        </w:rPr>
        <w:t>regard.</w:t>
      </w:r>
      <w:r w:rsidR="00FF41A0">
        <w:rPr>
          <w:sz w:val="20"/>
          <w:szCs w:val="20"/>
        </w:rPr>
        <w:t xml:space="preserve"> </w:t>
      </w:r>
      <w:r w:rsidR="00323457" w:rsidRPr="0059638B">
        <w:rPr>
          <w:sz w:val="20"/>
          <w:szCs w:val="20"/>
        </w:rPr>
        <w:t>Malaysia</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determined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implement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recommendations.</w:t>
      </w:r>
    </w:p>
    <w:p w14:paraId="05DED9D2" w14:textId="6E76FEE4" w:rsidR="00323457" w:rsidRPr="00F2244D" w:rsidRDefault="00F2244D" w:rsidP="00F2244D">
      <w:pPr>
        <w:pStyle w:val="H23G"/>
        <w:ind w:left="705" w:firstLine="0"/>
        <w:rPr>
          <w:sz w:val="20"/>
          <w:szCs w:val="20"/>
        </w:rPr>
      </w:pPr>
      <w:r>
        <w:rPr>
          <w:sz w:val="20"/>
          <w:szCs w:val="20"/>
        </w:rPr>
        <w:tab/>
      </w:r>
      <w:r>
        <w:rPr>
          <w:sz w:val="20"/>
          <w:szCs w:val="20"/>
        </w:rPr>
        <w:tab/>
      </w:r>
      <w:r w:rsidR="00323457" w:rsidRPr="00F2244D">
        <w:rPr>
          <w:sz w:val="20"/>
          <w:szCs w:val="20"/>
        </w:rPr>
        <w:t>Central</w:t>
      </w:r>
      <w:r w:rsidR="00FF41A0" w:rsidRPr="00F2244D">
        <w:rPr>
          <w:sz w:val="20"/>
          <w:szCs w:val="20"/>
        </w:rPr>
        <w:t xml:space="preserve"> </w:t>
      </w:r>
      <w:r w:rsidR="00323457" w:rsidRPr="00F2244D">
        <w:rPr>
          <w:sz w:val="20"/>
          <w:szCs w:val="20"/>
        </w:rPr>
        <w:t>African</w:t>
      </w:r>
      <w:r w:rsidR="00FF41A0" w:rsidRPr="00F2244D">
        <w:rPr>
          <w:sz w:val="20"/>
          <w:szCs w:val="20"/>
        </w:rPr>
        <w:t xml:space="preserve"> </w:t>
      </w:r>
      <w:r w:rsidR="00323457" w:rsidRPr="00F2244D">
        <w:rPr>
          <w:sz w:val="20"/>
          <w:szCs w:val="20"/>
        </w:rPr>
        <w:t>Republic</w:t>
      </w:r>
    </w:p>
    <w:p w14:paraId="0974C681" w14:textId="0E51974A" w:rsidR="00F2244D" w:rsidRDefault="00972F1E" w:rsidP="00F2244D">
      <w:pPr>
        <w:pStyle w:val="SingleTxtG"/>
        <w:rPr>
          <w:sz w:val="20"/>
          <w:szCs w:val="20"/>
        </w:rPr>
      </w:pPr>
      <w:r>
        <w:rPr>
          <w:sz w:val="20"/>
          <w:szCs w:val="20"/>
        </w:rPr>
        <w:t>677</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Central</w:t>
      </w:r>
      <w:r w:rsidR="00FF41A0">
        <w:rPr>
          <w:sz w:val="20"/>
          <w:szCs w:val="20"/>
        </w:rPr>
        <w:t xml:space="preserve"> </w:t>
      </w:r>
      <w:r w:rsidR="00323457" w:rsidRPr="0059638B">
        <w:rPr>
          <w:sz w:val="20"/>
          <w:szCs w:val="20"/>
        </w:rPr>
        <w:t>African</w:t>
      </w:r>
      <w:r w:rsidR="00FF41A0">
        <w:rPr>
          <w:sz w:val="20"/>
          <w:szCs w:val="20"/>
        </w:rPr>
        <w:t xml:space="preserve"> </w:t>
      </w:r>
      <w:r w:rsidR="00323457" w:rsidRPr="0059638B">
        <w:rPr>
          <w:sz w:val="20"/>
          <w:szCs w:val="20"/>
        </w:rPr>
        <w:t>Republic</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held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9</w:t>
      </w:r>
      <w:r w:rsidR="00FF41A0">
        <w:rPr>
          <w:sz w:val="20"/>
          <w:szCs w:val="20"/>
        </w:rPr>
        <w:t xml:space="preserve"> </w:t>
      </w:r>
      <w:r w:rsidR="00323457" w:rsidRPr="0059638B">
        <w:rPr>
          <w:sz w:val="20"/>
          <w:szCs w:val="20"/>
        </w:rPr>
        <w:t>November</w:t>
      </w:r>
      <w:r w:rsidR="00FF41A0">
        <w:rPr>
          <w:sz w:val="20"/>
          <w:szCs w:val="20"/>
        </w:rPr>
        <w:t xml:space="preserve"> </w:t>
      </w:r>
      <w:r w:rsidR="00323457" w:rsidRPr="0059638B">
        <w:rPr>
          <w:sz w:val="20"/>
          <w:szCs w:val="20"/>
        </w:rPr>
        <w:t>2018</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conformity</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relevant</w:t>
      </w:r>
      <w:r w:rsidR="00FF41A0">
        <w:rPr>
          <w:sz w:val="20"/>
          <w:szCs w:val="20"/>
        </w:rPr>
        <w:t xml:space="preserve"> </w:t>
      </w:r>
      <w:r w:rsidR="00323457" w:rsidRPr="0059638B">
        <w:rPr>
          <w:sz w:val="20"/>
          <w:szCs w:val="20"/>
        </w:rPr>
        <w:t>provisions</w:t>
      </w:r>
      <w:r w:rsidR="00FF41A0">
        <w:rPr>
          <w:sz w:val="20"/>
          <w:szCs w:val="20"/>
        </w:rPr>
        <w:t xml:space="preserve"> </w:t>
      </w:r>
      <w:r w:rsidR="00323457" w:rsidRPr="0059638B">
        <w:rPr>
          <w:sz w:val="20"/>
          <w:szCs w:val="20"/>
        </w:rPr>
        <w:t>contained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relevant</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Council</w:t>
      </w:r>
      <w:r w:rsidR="00FF41A0">
        <w:rPr>
          <w:sz w:val="20"/>
          <w:szCs w:val="20"/>
        </w:rPr>
        <w:t xml:space="preserve"> </w:t>
      </w:r>
      <w:r w:rsidR="00323457" w:rsidRPr="0059638B">
        <w:rPr>
          <w:sz w:val="20"/>
          <w:szCs w:val="20"/>
        </w:rPr>
        <w:t>resolutions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decisions,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based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following</w:t>
      </w:r>
      <w:r w:rsidR="00FF41A0">
        <w:rPr>
          <w:sz w:val="20"/>
          <w:szCs w:val="20"/>
        </w:rPr>
        <w:t xml:space="preserve"> </w:t>
      </w:r>
      <w:r w:rsidR="00323457" w:rsidRPr="0059638B">
        <w:rPr>
          <w:sz w:val="20"/>
          <w:szCs w:val="20"/>
        </w:rPr>
        <w:t>documents:</w:t>
      </w:r>
    </w:p>
    <w:p w14:paraId="02820CD7" w14:textId="5A65AB98" w:rsidR="00323457" w:rsidRPr="0059638B" w:rsidRDefault="00323457" w:rsidP="00F2244D">
      <w:pPr>
        <w:pStyle w:val="SingleTxtG"/>
        <w:ind w:firstLine="567"/>
        <w:rPr>
          <w:sz w:val="20"/>
          <w:szCs w:val="20"/>
        </w:rPr>
      </w:pPr>
      <w:r w:rsidRPr="0059638B">
        <w:rPr>
          <w:sz w:val="20"/>
          <w:szCs w:val="20"/>
        </w:rPr>
        <w:t>(a)</w:t>
      </w:r>
      <w:r w:rsidRPr="0059638B">
        <w:rPr>
          <w:sz w:val="20"/>
          <w:szCs w:val="20"/>
        </w:rPr>
        <w:tab/>
        <w:t>The</w:t>
      </w:r>
      <w:r w:rsidR="00FF41A0">
        <w:rPr>
          <w:sz w:val="20"/>
          <w:szCs w:val="20"/>
        </w:rPr>
        <w:t xml:space="preserve"> </w:t>
      </w:r>
      <w:r w:rsidRPr="0059638B">
        <w:rPr>
          <w:sz w:val="20"/>
          <w:szCs w:val="20"/>
        </w:rPr>
        <w:t>national</w:t>
      </w:r>
      <w:r w:rsidR="00FF41A0">
        <w:rPr>
          <w:sz w:val="20"/>
          <w:szCs w:val="20"/>
        </w:rPr>
        <w:t xml:space="preserve"> </w:t>
      </w:r>
      <w:r w:rsidRPr="0059638B">
        <w:rPr>
          <w:sz w:val="20"/>
          <w:szCs w:val="20"/>
        </w:rPr>
        <w:t>report</w:t>
      </w:r>
      <w:r w:rsidR="00FF41A0">
        <w:rPr>
          <w:sz w:val="20"/>
          <w:szCs w:val="20"/>
        </w:rPr>
        <w:t xml:space="preserve"> </w:t>
      </w:r>
      <w:r w:rsidRPr="0059638B">
        <w:rPr>
          <w:sz w:val="20"/>
          <w:szCs w:val="20"/>
        </w:rPr>
        <w:t>submitted</w:t>
      </w:r>
      <w:r w:rsidR="00FF41A0">
        <w:rPr>
          <w:sz w:val="20"/>
          <w:szCs w:val="20"/>
        </w:rPr>
        <w:t xml:space="preserve"> </w:t>
      </w:r>
      <w:r w:rsidRPr="0059638B">
        <w:rPr>
          <w:sz w:val="20"/>
          <w:szCs w:val="20"/>
        </w:rPr>
        <w:t>by</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Central</w:t>
      </w:r>
      <w:r w:rsidR="00FF41A0">
        <w:rPr>
          <w:sz w:val="20"/>
          <w:szCs w:val="20"/>
        </w:rPr>
        <w:t xml:space="preserve"> </w:t>
      </w:r>
      <w:r w:rsidRPr="0059638B">
        <w:rPr>
          <w:sz w:val="20"/>
          <w:szCs w:val="20"/>
        </w:rPr>
        <w:t>African</w:t>
      </w:r>
      <w:r w:rsidR="00FF41A0">
        <w:rPr>
          <w:sz w:val="20"/>
          <w:szCs w:val="20"/>
        </w:rPr>
        <w:t xml:space="preserve"> </w:t>
      </w:r>
      <w:r w:rsidRPr="0059638B">
        <w:rPr>
          <w:sz w:val="20"/>
          <w:szCs w:val="20"/>
        </w:rPr>
        <w:t>Republic</w:t>
      </w:r>
      <w:r w:rsidR="00FF41A0">
        <w:rPr>
          <w:sz w:val="20"/>
          <w:szCs w:val="20"/>
        </w:rPr>
        <w:t xml:space="preserve"> </w:t>
      </w:r>
      <w:r w:rsidRPr="0059638B">
        <w:rPr>
          <w:sz w:val="20"/>
          <w:szCs w:val="20"/>
        </w:rPr>
        <w:t>in</w:t>
      </w:r>
      <w:r w:rsidR="00FF41A0">
        <w:rPr>
          <w:sz w:val="20"/>
          <w:szCs w:val="20"/>
        </w:rPr>
        <w:t xml:space="preserve"> </w:t>
      </w:r>
      <w:r w:rsidRPr="0059638B">
        <w:rPr>
          <w:sz w:val="20"/>
          <w:szCs w:val="20"/>
        </w:rPr>
        <w:t>accordance</w:t>
      </w:r>
      <w:r w:rsidR="00FF41A0">
        <w:rPr>
          <w:sz w:val="20"/>
          <w:szCs w:val="20"/>
        </w:rPr>
        <w:t xml:space="preserve"> </w:t>
      </w:r>
      <w:r w:rsidRPr="0059638B">
        <w:rPr>
          <w:sz w:val="20"/>
          <w:szCs w:val="20"/>
        </w:rPr>
        <w:t>with</w:t>
      </w:r>
      <w:r w:rsidR="00FF41A0">
        <w:rPr>
          <w:sz w:val="20"/>
          <w:szCs w:val="20"/>
        </w:rPr>
        <w:t xml:space="preserve"> </w:t>
      </w:r>
      <w:r w:rsidRPr="0059638B">
        <w:rPr>
          <w:sz w:val="20"/>
          <w:szCs w:val="20"/>
        </w:rPr>
        <w:t>paragraph</w:t>
      </w:r>
      <w:r w:rsidR="00FF41A0">
        <w:rPr>
          <w:sz w:val="20"/>
          <w:szCs w:val="20"/>
        </w:rPr>
        <w:t xml:space="preserve"> </w:t>
      </w:r>
      <w:r w:rsidRPr="0059638B">
        <w:rPr>
          <w:sz w:val="20"/>
          <w:szCs w:val="20"/>
        </w:rPr>
        <w:t>15</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annex</w:t>
      </w:r>
      <w:r w:rsidR="00FF41A0">
        <w:rPr>
          <w:sz w:val="20"/>
          <w:szCs w:val="20"/>
        </w:rPr>
        <w:t xml:space="preserve"> </w:t>
      </w:r>
      <w:r w:rsidRPr="0059638B">
        <w:rPr>
          <w:sz w:val="20"/>
          <w:szCs w:val="20"/>
        </w:rPr>
        <w:t>to</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resolution</w:t>
      </w:r>
      <w:r w:rsidR="00FF41A0">
        <w:rPr>
          <w:sz w:val="20"/>
          <w:szCs w:val="20"/>
        </w:rPr>
        <w:t xml:space="preserve"> </w:t>
      </w:r>
      <w:r w:rsidRPr="0059638B">
        <w:rPr>
          <w:sz w:val="20"/>
          <w:szCs w:val="20"/>
        </w:rPr>
        <w:t>5/1</w:t>
      </w:r>
      <w:r w:rsidR="00FF41A0">
        <w:rPr>
          <w:sz w:val="20"/>
          <w:szCs w:val="20"/>
        </w:rPr>
        <w:t xml:space="preserve"> </w:t>
      </w:r>
      <w:r w:rsidRPr="0059638B">
        <w:rPr>
          <w:sz w:val="20"/>
          <w:szCs w:val="20"/>
        </w:rPr>
        <w:t>and</w:t>
      </w:r>
      <w:r w:rsidR="00FF41A0">
        <w:rPr>
          <w:sz w:val="20"/>
          <w:szCs w:val="20"/>
        </w:rPr>
        <w:t xml:space="preserve"> </w:t>
      </w:r>
      <w:r w:rsidRPr="0059638B">
        <w:rPr>
          <w:sz w:val="20"/>
          <w:szCs w:val="20"/>
        </w:rPr>
        <w:t>paragraph</w:t>
      </w:r>
      <w:r w:rsidR="00FF41A0">
        <w:rPr>
          <w:sz w:val="20"/>
          <w:szCs w:val="20"/>
        </w:rPr>
        <w:t xml:space="preserve"> </w:t>
      </w:r>
      <w:r w:rsidRPr="0059638B">
        <w:rPr>
          <w:sz w:val="20"/>
          <w:szCs w:val="20"/>
        </w:rPr>
        <w:t>5</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annex</w:t>
      </w:r>
      <w:r w:rsidR="00FF41A0">
        <w:rPr>
          <w:sz w:val="20"/>
          <w:szCs w:val="20"/>
        </w:rPr>
        <w:t xml:space="preserve"> </w:t>
      </w:r>
      <w:r w:rsidRPr="0059638B">
        <w:rPr>
          <w:sz w:val="20"/>
          <w:szCs w:val="20"/>
        </w:rPr>
        <w:t>to</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resolution</w:t>
      </w:r>
      <w:r w:rsidR="00FF41A0">
        <w:rPr>
          <w:sz w:val="20"/>
          <w:szCs w:val="20"/>
        </w:rPr>
        <w:t xml:space="preserve"> </w:t>
      </w:r>
      <w:r w:rsidRPr="0059638B">
        <w:rPr>
          <w:sz w:val="20"/>
          <w:szCs w:val="20"/>
        </w:rPr>
        <w:t>16/21</w:t>
      </w:r>
      <w:r w:rsidR="00FF41A0">
        <w:rPr>
          <w:sz w:val="20"/>
          <w:szCs w:val="20"/>
        </w:rPr>
        <w:t xml:space="preserve"> </w:t>
      </w:r>
      <w:r w:rsidRPr="0059638B">
        <w:rPr>
          <w:sz w:val="20"/>
          <w:szCs w:val="20"/>
        </w:rPr>
        <w:t>(A/HRC/WG.6/31/CAF/1);</w:t>
      </w:r>
    </w:p>
    <w:p w14:paraId="5233519F" w14:textId="7BC7AD3E" w:rsidR="00323457" w:rsidRPr="0059638B" w:rsidRDefault="00323457" w:rsidP="00F2244D">
      <w:pPr>
        <w:pStyle w:val="SingleTxtG"/>
        <w:ind w:firstLine="567"/>
        <w:rPr>
          <w:sz w:val="20"/>
          <w:szCs w:val="20"/>
        </w:rPr>
      </w:pPr>
      <w:r w:rsidRPr="0059638B">
        <w:rPr>
          <w:sz w:val="20"/>
          <w:szCs w:val="20"/>
        </w:rPr>
        <w:tab/>
        <w:t>(b)</w:t>
      </w:r>
      <w:r w:rsidRPr="0059638B">
        <w:rPr>
          <w:sz w:val="20"/>
          <w:szCs w:val="20"/>
        </w:rPr>
        <w:tab/>
        <w:t>The</w:t>
      </w:r>
      <w:r w:rsidR="00FF41A0">
        <w:rPr>
          <w:sz w:val="20"/>
          <w:szCs w:val="20"/>
        </w:rPr>
        <w:t xml:space="preserve"> </w:t>
      </w:r>
      <w:r w:rsidRPr="0059638B">
        <w:rPr>
          <w:sz w:val="20"/>
          <w:szCs w:val="20"/>
        </w:rPr>
        <w:t>compilation</w:t>
      </w:r>
      <w:r w:rsidR="00FF41A0">
        <w:rPr>
          <w:sz w:val="20"/>
          <w:szCs w:val="20"/>
        </w:rPr>
        <w:t xml:space="preserve"> </w:t>
      </w:r>
      <w:r w:rsidRPr="0059638B">
        <w:rPr>
          <w:sz w:val="20"/>
          <w:szCs w:val="20"/>
        </w:rPr>
        <w:t>prepared</w:t>
      </w:r>
      <w:r w:rsidR="00FF41A0">
        <w:rPr>
          <w:sz w:val="20"/>
          <w:szCs w:val="20"/>
        </w:rPr>
        <w:t xml:space="preserve"> </w:t>
      </w:r>
      <w:r w:rsidRPr="0059638B">
        <w:rPr>
          <w:sz w:val="20"/>
          <w:szCs w:val="20"/>
        </w:rPr>
        <w:t>by</w:t>
      </w:r>
      <w:r w:rsidR="00FF41A0">
        <w:rPr>
          <w:sz w:val="20"/>
          <w:szCs w:val="20"/>
        </w:rPr>
        <w:t xml:space="preserve"> </w:t>
      </w:r>
      <w:r>
        <w:rPr>
          <w:sz w:val="20"/>
          <w:szCs w:val="20"/>
        </w:rPr>
        <w:t>the</w:t>
      </w:r>
      <w:r w:rsidR="00FF41A0">
        <w:rPr>
          <w:sz w:val="20"/>
          <w:szCs w:val="20"/>
        </w:rPr>
        <w:t xml:space="preserve"> </w:t>
      </w:r>
      <w:r w:rsidRPr="00F2244D">
        <w:rPr>
          <w:sz w:val="20"/>
          <w:szCs w:val="20"/>
        </w:rPr>
        <w:t>Office</w:t>
      </w:r>
      <w:r w:rsidR="00FF41A0" w:rsidRPr="00F2244D">
        <w:rPr>
          <w:sz w:val="20"/>
          <w:szCs w:val="20"/>
        </w:rPr>
        <w:t xml:space="preserve"> </w:t>
      </w:r>
      <w:r w:rsidRPr="00F2244D">
        <w:rPr>
          <w:sz w:val="20"/>
          <w:szCs w:val="20"/>
        </w:rPr>
        <w:t>of</w:t>
      </w:r>
      <w:r w:rsidR="00FF41A0" w:rsidRPr="00F2244D">
        <w:rPr>
          <w:sz w:val="20"/>
          <w:szCs w:val="20"/>
        </w:rPr>
        <w:t xml:space="preserve"> </w:t>
      </w:r>
      <w:r w:rsidRPr="00F2244D">
        <w:rPr>
          <w:sz w:val="20"/>
          <w:szCs w:val="20"/>
        </w:rPr>
        <w:t>the</w:t>
      </w:r>
      <w:r w:rsidR="00FF41A0" w:rsidRPr="00F2244D">
        <w:rPr>
          <w:sz w:val="20"/>
          <w:szCs w:val="20"/>
        </w:rPr>
        <w:t xml:space="preserve"> </w:t>
      </w:r>
      <w:r w:rsidRPr="00F2244D">
        <w:rPr>
          <w:sz w:val="20"/>
          <w:szCs w:val="20"/>
        </w:rPr>
        <w:t>United</w:t>
      </w:r>
      <w:r w:rsidR="00FF41A0" w:rsidRPr="00F2244D">
        <w:rPr>
          <w:sz w:val="20"/>
          <w:szCs w:val="20"/>
        </w:rPr>
        <w:t xml:space="preserve"> </w:t>
      </w:r>
      <w:r w:rsidRPr="00F2244D">
        <w:rPr>
          <w:sz w:val="20"/>
          <w:szCs w:val="20"/>
        </w:rPr>
        <w:t>Nations</w:t>
      </w:r>
      <w:r w:rsidR="00FF41A0" w:rsidRPr="00F2244D">
        <w:rPr>
          <w:sz w:val="20"/>
          <w:szCs w:val="20"/>
        </w:rPr>
        <w:t xml:space="preserve"> </w:t>
      </w:r>
      <w:r w:rsidRPr="00F2244D">
        <w:rPr>
          <w:sz w:val="20"/>
          <w:szCs w:val="20"/>
        </w:rPr>
        <w:t>High</w:t>
      </w:r>
      <w:r w:rsidR="00FF41A0" w:rsidRPr="00F2244D">
        <w:rPr>
          <w:sz w:val="20"/>
          <w:szCs w:val="20"/>
        </w:rPr>
        <w:t xml:space="preserve"> </w:t>
      </w:r>
      <w:r w:rsidRPr="00F2244D">
        <w:rPr>
          <w:sz w:val="20"/>
          <w:szCs w:val="20"/>
        </w:rPr>
        <w:t>Commissioner</w:t>
      </w:r>
      <w:r w:rsidR="00FF41A0" w:rsidRPr="00F2244D">
        <w:rPr>
          <w:sz w:val="20"/>
          <w:szCs w:val="20"/>
        </w:rPr>
        <w:t xml:space="preserve"> </w:t>
      </w:r>
      <w:r w:rsidRPr="00F2244D">
        <w:rPr>
          <w:sz w:val="20"/>
          <w:szCs w:val="20"/>
        </w:rPr>
        <w:t>for</w:t>
      </w:r>
      <w:r w:rsidR="00FF41A0" w:rsidRPr="00F2244D">
        <w:rPr>
          <w:sz w:val="20"/>
          <w:szCs w:val="20"/>
        </w:rPr>
        <w:t xml:space="preserve"> </w:t>
      </w:r>
      <w:r w:rsidRPr="00F2244D">
        <w:rPr>
          <w:sz w:val="20"/>
          <w:szCs w:val="20"/>
        </w:rPr>
        <w:t>Human</w:t>
      </w:r>
      <w:r w:rsidR="00FF41A0" w:rsidRPr="00F2244D">
        <w:rPr>
          <w:sz w:val="20"/>
          <w:szCs w:val="20"/>
        </w:rPr>
        <w:t xml:space="preserve"> </w:t>
      </w:r>
      <w:r w:rsidRPr="00F2244D">
        <w:rPr>
          <w:sz w:val="20"/>
          <w:szCs w:val="20"/>
        </w:rPr>
        <w:t>Rights</w:t>
      </w:r>
      <w:r w:rsidR="00FF41A0">
        <w:rPr>
          <w:sz w:val="20"/>
          <w:szCs w:val="20"/>
        </w:rPr>
        <w:t xml:space="preserve"> </w:t>
      </w:r>
      <w:r w:rsidRPr="0059638B">
        <w:rPr>
          <w:sz w:val="20"/>
          <w:szCs w:val="20"/>
        </w:rPr>
        <w:t>in</w:t>
      </w:r>
      <w:r w:rsidR="00FF41A0">
        <w:rPr>
          <w:sz w:val="20"/>
          <w:szCs w:val="20"/>
        </w:rPr>
        <w:t xml:space="preserve"> </w:t>
      </w:r>
      <w:r w:rsidRPr="0059638B">
        <w:rPr>
          <w:sz w:val="20"/>
          <w:szCs w:val="20"/>
        </w:rPr>
        <w:t>accordance</w:t>
      </w:r>
      <w:r w:rsidR="00FF41A0">
        <w:rPr>
          <w:sz w:val="20"/>
          <w:szCs w:val="20"/>
        </w:rPr>
        <w:t xml:space="preserve"> </w:t>
      </w:r>
      <w:r w:rsidRPr="0059638B">
        <w:rPr>
          <w:sz w:val="20"/>
          <w:szCs w:val="20"/>
        </w:rPr>
        <w:t>with</w:t>
      </w:r>
      <w:r w:rsidR="00FF41A0">
        <w:rPr>
          <w:sz w:val="20"/>
          <w:szCs w:val="20"/>
        </w:rPr>
        <w:t xml:space="preserve"> </w:t>
      </w:r>
      <w:r w:rsidRPr="0059638B">
        <w:rPr>
          <w:sz w:val="20"/>
          <w:szCs w:val="20"/>
        </w:rPr>
        <w:t>paragraph</w:t>
      </w:r>
      <w:r w:rsidR="00FF41A0">
        <w:rPr>
          <w:sz w:val="20"/>
          <w:szCs w:val="20"/>
        </w:rPr>
        <w:t xml:space="preserve"> </w:t>
      </w:r>
      <w:r w:rsidRPr="0059638B">
        <w:rPr>
          <w:sz w:val="20"/>
          <w:szCs w:val="20"/>
        </w:rPr>
        <w:t>15</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annex</w:t>
      </w:r>
      <w:r w:rsidR="00FF41A0">
        <w:rPr>
          <w:sz w:val="20"/>
          <w:szCs w:val="20"/>
        </w:rPr>
        <w:t xml:space="preserve"> </w:t>
      </w:r>
      <w:r w:rsidRPr="0059638B">
        <w:rPr>
          <w:sz w:val="20"/>
          <w:szCs w:val="20"/>
        </w:rPr>
        <w:t>to</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resolution</w:t>
      </w:r>
      <w:r w:rsidR="00FF41A0">
        <w:rPr>
          <w:sz w:val="20"/>
          <w:szCs w:val="20"/>
        </w:rPr>
        <w:t xml:space="preserve"> </w:t>
      </w:r>
      <w:r w:rsidRPr="0059638B">
        <w:rPr>
          <w:sz w:val="20"/>
          <w:szCs w:val="20"/>
        </w:rPr>
        <w:t>5/1</w:t>
      </w:r>
      <w:r w:rsidR="00FF41A0">
        <w:rPr>
          <w:sz w:val="20"/>
          <w:szCs w:val="20"/>
        </w:rPr>
        <w:t xml:space="preserve"> </w:t>
      </w:r>
      <w:r w:rsidRPr="0059638B">
        <w:rPr>
          <w:sz w:val="20"/>
          <w:szCs w:val="20"/>
        </w:rPr>
        <w:t>and</w:t>
      </w:r>
      <w:r w:rsidR="00FF41A0">
        <w:rPr>
          <w:sz w:val="20"/>
          <w:szCs w:val="20"/>
        </w:rPr>
        <w:t xml:space="preserve"> </w:t>
      </w:r>
      <w:r w:rsidRPr="0059638B">
        <w:rPr>
          <w:sz w:val="20"/>
          <w:szCs w:val="20"/>
        </w:rPr>
        <w:t>paragraph</w:t>
      </w:r>
      <w:r w:rsidR="00FF41A0">
        <w:rPr>
          <w:sz w:val="20"/>
          <w:szCs w:val="20"/>
        </w:rPr>
        <w:t xml:space="preserve"> </w:t>
      </w:r>
      <w:r w:rsidRPr="0059638B">
        <w:rPr>
          <w:sz w:val="20"/>
          <w:szCs w:val="20"/>
        </w:rPr>
        <w:t>5</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annex</w:t>
      </w:r>
      <w:r w:rsidR="00FF41A0">
        <w:rPr>
          <w:sz w:val="20"/>
          <w:szCs w:val="20"/>
        </w:rPr>
        <w:t xml:space="preserve"> </w:t>
      </w:r>
      <w:r w:rsidRPr="0059638B">
        <w:rPr>
          <w:sz w:val="20"/>
          <w:szCs w:val="20"/>
        </w:rPr>
        <w:t>to</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resolution</w:t>
      </w:r>
      <w:r w:rsidR="00FF41A0">
        <w:rPr>
          <w:sz w:val="20"/>
          <w:szCs w:val="20"/>
        </w:rPr>
        <w:t xml:space="preserve"> </w:t>
      </w:r>
      <w:r w:rsidRPr="0059638B">
        <w:rPr>
          <w:sz w:val="20"/>
          <w:szCs w:val="20"/>
        </w:rPr>
        <w:t>16/21</w:t>
      </w:r>
      <w:r w:rsidR="00FF41A0">
        <w:rPr>
          <w:sz w:val="20"/>
          <w:szCs w:val="20"/>
        </w:rPr>
        <w:t xml:space="preserve"> </w:t>
      </w:r>
      <w:r w:rsidRPr="0059638B">
        <w:rPr>
          <w:sz w:val="20"/>
          <w:szCs w:val="20"/>
        </w:rPr>
        <w:t>(A/HRC/WG.6/31/CAF/2);</w:t>
      </w:r>
    </w:p>
    <w:p w14:paraId="15CF1F7A" w14:textId="53899489" w:rsidR="00323457" w:rsidRPr="0059638B" w:rsidRDefault="00323457" w:rsidP="00F2244D">
      <w:pPr>
        <w:pStyle w:val="SingleTxtG"/>
        <w:ind w:firstLine="567"/>
        <w:rPr>
          <w:sz w:val="20"/>
          <w:szCs w:val="20"/>
        </w:rPr>
      </w:pPr>
      <w:r w:rsidRPr="0059638B">
        <w:rPr>
          <w:sz w:val="20"/>
          <w:szCs w:val="20"/>
        </w:rPr>
        <w:tab/>
        <w:t>(c)</w:t>
      </w:r>
      <w:r w:rsidRPr="0059638B">
        <w:rPr>
          <w:sz w:val="20"/>
          <w:szCs w:val="20"/>
        </w:rPr>
        <w:tab/>
        <w:t>The</w:t>
      </w:r>
      <w:r w:rsidR="00FF41A0">
        <w:rPr>
          <w:sz w:val="20"/>
          <w:szCs w:val="20"/>
        </w:rPr>
        <w:t xml:space="preserve"> </w:t>
      </w:r>
      <w:r w:rsidRPr="0059638B">
        <w:rPr>
          <w:sz w:val="20"/>
          <w:szCs w:val="20"/>
        </w:rPr>
        <w:t>summary</w:t>
      </w:r>
      <w:r w:rsidR="00FF41A0">
        <w:rPr>
          <w:sz w:val="20"/>
          <w:szCs w:val="20"/>
        </w:rPr>
        <w:t xml:space="preserve"> </w:t>
      </w:r>
      <w:r w:rsidRPr="0059638B">
        <w:rPr>
          <w:sz w:val="20"/>
          <w:szCs w:val="20"/>
        </w:rPr>
        <w:t>prepared</w:t>
      </w:r>
      <w:r w:rsidR="00FF41A0">
        <w:rPr>
          <w:sz w:val="20"/>
          <w:szCs w:val="20"/>
        </w:rPr>
        <w:t xml:space="preserve"> </w:t>
      </w:r>
      <w:r w:rsidRPr="0059638B">
        <w:rPr>
          <w:sz w:val="20"/>
          <w:szCs w:val="20"/>
        </w:rPr>
        <w:t>by</w:t>
      </w:r>
      <w:r w:rsidR="00FF41A0">
        <w:rPr>
          <w:sz w:val="20"/>
          <w:szCs w:val="20"/>
        </w:rPr>
        <w:t xml:space="preserve"> </w:t>
      </w:r>
      <w:r>
        <w:rPr>
          <w:sz w:val="20"/>
          <w:szCs w:val="20"/>
        </w:rPr>
        <w:t>the</w:t>
      </w:r>
      <w:r w:rsidR="00FF41A0">
        <w:rPr>
          <w:sz w:val="20"/>
          <w:szCs w:val="20"/>
        </w:rPr>
        <w:t xml:space="preserve"> </w:t>
      </w:r>
      <w:r w:rsidRPr="00F2244D">
        <w:rPr>
          <w:sz w:val="20"/>
          <w:szCs w:val="20"/>
        </w:rPr>
        <w:t>Office</w:t>
      </w:r>
      <w:r w:rsidR="00FF41A0" w:rsidRPr="00F2244D">
        <w:rPr>
          <w:sz w:val="20"/>
          <w:szCs w:val="20"/>
        </w:rPr>
        <w:t xml:space="preserve"> </w:t>
      </w:r>
      <w:r w:rsidRPr="00F2244D">
        <w:rPr>
          <w:sz w:val="20"/>
          <w:szCs w:val="20"/>
        </w:rPr>
        <w:t>of</w:t>
      </w:r>
      <w:r w:rsidR="00FF41A0" w:rsidRPr="00F2244D">
        <w:rPr>
          <w:sz w:val="20"/>
          <w:szCs w:val="20"/>
        </w:rPr>
        <w:t xml:space="preserve"> </w:t>
      </w:r>
      <w:r w:rsidRPr="00F2244D">
        <w:rPr>
          <w:sz w:val="20"/>
          <w:szCs w:val="20"/>
        </w:rPr>
        <w:t>the</w:t>
      </w:r>
      <w:r w:rsidR="00FF41A0" w:rsidRPr="00F2244D">
        <w:rPr>
          <w:sz w:val="20"/>
          <w:szCs w:val="20"/>
        </w:rPr>
        <w:t xml:space="preserve"> </w:t>
      </w:r>
      <w:r w:rsidRPr="00F2244D">
        <w:rPr>
          <w:sz w:val="20"/>
          <w:szCs w:val="20"/>
        </w:rPr>
        <w:t>United</w:t>
      </w:r>
      <w:r w:rsidR="00FF41A0" w:rsidRPr="00F2244D">
        <w:rPr>
          <w:sz w:val="20"/>
          <w:szCs w:val="20"/>
        </w:rPr>
        <w:t xml:space="preserve"> </w:t>
      </w:r>
      <w:r w:rsidRPr="00F2244D">
        <w:rPr>
          <w:sz w:val="20"/>
          <w:szCs w:val="20"/>
        </w:rPr>
        <w:t>Nations</w:t>
      </w:r>
      <w:r w:rsidR="00FF41A0" w:rsidRPr="00F2244D">
        <w:rPr>
          <w:sz w:val="20"/>
          <w:szCs w:val="20"/>
        </w:rPr>
        <w:t xml:space="preserve"> </w:t>
      </w:r>
      <w:r w:rsidRPr="00F2244D">
        <w:rPr>
          <w:sz w:val="20"/>
          <w:szCs w:val="20"/>
        </w:rPr>
        <w:t>High</w:t>
      </w:r>
      <w:r w:rsidR="00FF41A0" w:rsidRPr="00F2244D">
        <w:rPr>
          <w:sz w:val="20"/>
          <w:szCs w:val="20"/>
        </w:rPr>
        <w:t xml:space="preserve"> </w:t>
      </w:r>
      <w:r w:rsidRPr="00F2244D">
        <w:rPr>
          <w:sz w:val="20"/>
          <w:szCs w:val="20"/>
        </w:rPr>
        <w:t>Commissioner</w:t>
      </w:r>
      <w:r w:rsidR="00FF41A0" w:rsidRPr="00F2244D">
        <w:rPr>
          <w:sz w:val="20"/>
          <w:szCs w:val="20"/>
        </w:rPr>
        <w:t xml:space="preserve"> </w:t>
      </w:r>
      <w:r w:rsidRPr="00F2244D">
        <w:rPr>
          <w:sz w:val="20"/>
          <w:szCs w:val="20"/>
        </w:rPr>
        <w:t>for</w:t>
      </w:r>
      <w:r w:rsidR="00FF41A0" w:rsidRPr="00F2244D">
        <w:rPr>
          <w:sz w:val="20"/>
          <w:szCs w:val="20"/>
        </w:rPr>
        <w:t xml:space="preserve"> </w:t>
      </w:r>
      <w:r w:rsidRPr="00F2244D">
        <w:rPr>
          <w:sz w:val="20"/>
          <w:szCs w:val="20"/>
        </w:rPr>
        <w:t>Human</w:t>
      </w:r>
      <w:r w:rsidR="00FF41A0" w:rsidRPr="00F2244D">
        <w:rPr>
          <w:sz w:val="20"/>
          <w:szCs w:val="20"/>
        </w:rPr>
        <w:t xml:space="preserve"> </w:t>
      </w:r>
      <w:r w:rsidRPr="00F2244D">
        <w:rPr>
          <w:sz w:val="20"/>
          <w:szCs w:val="20"/>
        </w:rPr>
        <w:t>Rights</w:t>
      </w:r>
      <w:r w:rsidR="00FF41A0">
        <w:rPr>
          <w:sz w:val="20"/>
          <w:szCs w:val="20"/>
        </w:rPr>
        <w:t xml:space="preserve"> </w:t>
      </w:r>
      <w:r w:rsidRPr="0059638B">
        <w:rPr>
          <w:sz w:val="20"/>
          <w:szCs w:val="20"/>
        </w:rPr>
        <w:t>in</w:t>
      </w:r>
      <w:r w:rsidR="00FF41A0">
        <w:rPr>
          <w:sz w:val="20"/>
          <w:szCs w:val="20"/>
        </w:rPr>
        <w:t xml:space="preserve"> </w:t>
      </w:r>
      <w:r w:rsidRPr="0059638B">
        <w:rPr>
          <w:sz w:val="20"/>
          <w:szCs w:val="20"/>
        </w:rPr>
        <w:t>accordance</w:t>
      </w:r>
      <w:r w:rsidR="00FF41A0">
        <w:rPr>
          <w:sz w:val="20"/>
          <w:szCs w:val="20"/>
        </w:rPr>
        <w:t xml:space="preserve"> </w:t>
      </w:r>
      <w:r w:rsidRPr="0059638B">
        <w:rPr>
          <w:sz w:val="20"/>
          <w:szCs w:val="20"/>
        </w:rPr>
        <w:t>with</w:t>
      </w:r>
      <w:r w:rsidR="00FF41A0">
        <w:rPr>
          <w:sz w:val="20"/>
          <w:szCs w:val="20"/>
        </w:rPr>
        <w:t xml:space="preserve"> </w:t>
      </w:r>
      <w:r w:rsidRPr="0059638B">
        <w:rPr>
          <w:sz w:val="20"/>
          <w:szCs w:val="20"/>
        </w:rPr>
        <w:t>paragraph</w:t>
      </w:r>
      <w:r w:rsidR="00FF41A0">
        <w:rPr>
          <w:sz w:val="20"/>
          <w:szCs w:val="20"/>
        </w:rPr>
        <w:t xml:space="preserve"> </w:t>
      </w:r>
      <w:r w:rsidRPr="0059638B">
        <w:rPr>
          <w:sz w:val="20"/>
          <w:szCs w:val="20"/>
        </w:rPr>
        <w:t>15</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annex</w:t>
      </w:r>
      <w:r w:rsidR="00FF41A0">
        <w:rPr>
          <w:sz w:val="20"/>
          <w:szCs w:val="20"/>
        </w:rPr>
        <w:t xml:space="preserve"> </w:t>
      </w:r>
      <w:r w:rsidRPr="0059638B">
        <w:rPr>
          <w:sz w:val="20"/>
          <w:szCs w:val="20"/>
        </w:rPr>
        <w:t>to</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resolution</w:t>
      </w:r>
      <w:r w:rsidR="00FF41A0">
        <w:rPr>
          <w:sz w:val="20"/>
          <w:szCs w:val="20"/>
        </w:rPr>
        <w:t xml:space="preserve"> </w:t>
      </w:r>
      <w:r w:rsidRPr="0059638B">
        <w:rPr>
          <w:sz w:val="20"/>
          <w:szCs w:val="20"/>
        </w:rPr>
        <w:t>5/1</w:t>
      </w:r>
      <w:r w:rsidR="00FF41A0">
        <w:rPr>
          <w:sz w:val="20"/>
          <w:szCs w:val="20"/>
        </w:rPr>
        <w:t xml:space="preserve"> </w:t>
      </w:r>
      <w:r w:rsidRPr="0059638B">
        <w:rPr>
          <w:sz w:val="20"/>
          <w:szCs w:val="20"/>
        </w:rPr>
        <w:t>and</w:t>
      </w:r>
      <w:r w:rsidR="00FF41A0">
        <w:rPr>
          <w:sz w:val="20"/>
          <w:szCs w:val="20"/>
        </w:rPr>
        <w:t xml:space="preserve"> </w:t>
      </w:r>
      <w:r w:rsidRPr="0059638B">
        <w:rPr>
          <w:sz w:val="20"/>
          <w:szCs w:val="20"/>
        </w:rPr>
        <w:t>paragraph</w:t>
      </w:r>
      <w:r w:rsidR="00FF41A0">
        <w:rPr>
          <w:sz w:val="20"/>
          <w:szCs w:val="20"/>
        </w:rPr>
        <w:t xml:space="preserve"> </w:t>
      </w:r>
      <w:r w:rsidRPr="0059638B">
        <w:rPr>
          <w:sz w:val="20"/>
          <w:szCs w:val="20"/>
        </w:rPr>
        <w:t>5</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annex</w:t>
      </w:r>
      <w:r w:rsidR="00FF41A0">
        <w:rPr>
          <w:sz w:val="20"/>
          <w:szCs w:val="20"/>
        </w:rPr>
        <w:t xml:space="preserve"> </w:t>
      </w:r>
      <w:r w:rsidRPr="0059638B">
        <w:rPr>
          <w:sz w:val="20"/>
          <w:szCs w:val="20"/>
        </w:rPr>
        <w:t>to</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resolution</w:t>
      </w:r>
      <w:r w:rsidR="00FF41A0">
        <w:rPr>
          <w:sz w:val="20"/>
          <w:szCs w:val="20"/>
        </w:rPr>
        <w:t xml:space="preserve"> </w:t>
      </w:r>
      <w:r w:rsidRPr="0059638B">
        <w:rPr>
          <w:sz w:val="20"/>
          <w:szCs w:val="20"/>
        </w:rPr>
        <w:t>16/21</w:t>
      </w:r>
      <w:r w:rsidR="00FF41A0">
        <w:rPr>
          <w:sz w:val="20"/>
          <w:szCs w:val="20"/>
        </w:rPr>
        <w:t xml:space="preserve"> </w:t>
      </w:r>
      <w:r w:rsidRPr="0059638B">
        <w:rPr>
          <w:sz w:val="20"/>
          <w:szCs w:val="20"/>
        </w:rPr>
        <w:t>(A/HRC/WG.6/31/CAF/3).</w:t>
      </w:r>
    </w:p>
    <w:p w14:paraId="45F74637" w14:textId="5F0983CA" w:rsidR="00323457" w:rsidRPr="0059638B" w:rsidRDefault="00972F1E" w:rsidP="00323457">
      <w:pPr>
        <w:pStyle w:val="SingleTxtG"/>
        <w:rPr>
          <w:sz w:val="20"/>
          <w:szCs w:val="20"/>
        </w:rPr>
      </w:pPr>
      <w:r>
        <w:rPr>
          <w:sz w:val="20"/>
          <w:szCs w:val="20"/>
        </w:rPr>
        <w:t>678</w:t>
      </w:r>
      <w:r w:rsidR="00D7475F">
        <w:rPr>
          <w:sz w:val="20"/>
          <w:szCs w:val="20"/>
        </w:rPr>
        <w:t>.</w:t>
      </w:r>
      <w:r w:rsidR="00D7475F">
        <w:rPr>
          <w:sz w:val="20"/>
          <w:szCs w:val="20"/>
        </w:rPr>
        <w:tab/>
      </w:r>
      <w:r w:rsidR="00323457" w:rsidRPr="0059638B">
        <w:rPr>
          <w:sz w:val="20"/>
          <w:szCs w:val="20"/>
        </w:rPr>
        <w:t>At</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37th</w:t>
      </w:r>
      <w:r w:rsidR="00FF41A0">
        <w:rPr>
          <w:sz w:val="20"/>
          <w:szCs w:val="20"/>
        </w:rPr>
        <w:t xml:space="preserve"> </w:t>
      </w:r>
      <w:r w:rsidR="00323457" w:rsidRPr="0059638B">
        <w:rPr>
          <w:sz w:val="20"/>
          <w:szCs w:val="20"/>
        </w:rPr>
        <w:t>meeting,</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14</w:t>
      </w:r>
      <w:r w:rsidR="00FF41A0">
        <w:rPr>
          <w:sz w:val="20"/>
          <w:szCs w:val="20"/>
        </w:rPr>
        <w:t xml:space="preserve"> </w:t>
      </w:r>
      <w:r w:rsidR="00323457" w:rsidRPr="0059638B">
        <w:rPr>
          <w:sz w:val="20"/>
          <w:szCs w:val="20"/>
        </w:rPr>
        <w:t>March</w:t>
      </w:r>
      <w:r w:rsidR="00FF41A0">
        <w:rPr>
          <w:sz w:val="20"/>
          <w:szCs w:val="20"/>
        </w:rPr>
        <w:t xml:space="preserve"> </w:t>
      </w:r>
      <w:r w:rsidR="00323457" w:rsidRPr="0059638B">
        <w:rPr>
          <w:sz w:val="20"/>
          <w:szCs w:val="20"/>
        </w:rPr>
        <w:t>2019,</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Council</w:t>
      </w:r>
      <w:r w:rsidR="00FF41A0">
        <w:rPr>
          <w:sz w:val="20"/>
          <w:szCs w:val="20"/>
        </w:rPr>
        <w:t xml:space="preserve"> </w:t>
      </w:r>
      <w:r w:rsidR="00323457" w:rsidRPr="0059638B">
        <w:rPr>
          <w:sz w:val="20"/>
          <w:szCs w:val="20"/>
        </w:rPr>
        <w:t>considered</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adopted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outcome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Central</w:t>
      </w:r>
      <w:r w:rsidR="00FF41A0">
        <w:rPr>
          <w:sz w:val="20"/>
          <w:szCs w:val="20"/>
        </w:rPr>
        <w:t xml:space="preserve"> </w:t>
      </w:r>
      <w:r w:rsidR="00323457" w:rsidRPr="0059638B">
        <w:rPr>
          <w:sz w:val="20"/>
          <w:szCs w:val="20"/>
        </w:rPr>
        <w:t>African</w:t>
      </w:r>
      <w:r w:rsidR="00FF41A0">
        <w:rPr>
          <w:sz w:val="20"/>
          <w:szCs w:val="20"/>
        </w:rPr>
        <w:t xml:space="preserve"> </w:t>
      </w:r>
      <w:r w:rsidR="00323457" w:rsidRPr="0059638B">
        <w:rPr>
          <w:sz w:val="20"/>
          <w:szCs w:val="20"/>
        </w:rPr>
        <w:t>Republic</w:t>
      </w:r>
      <w:r w:rsidR="00FF41A0">
        <w:rPr>
          <w:sz w:val="20"/>
          <w:szCs w:val="20"/>
        </w:rPr>
        <w:t xml:space="preserve"> </w:t>
      </w:r>
      <w:r w:rsidR="00323457" w:rsidRPr="0059638B">
        <w:rPr>
          <w:sz w:val="20"/>
          <w:szCs w:val="20"/>
        </w:rPr>
        <w:t>(see</w:t>
      </w:r>
      <w:r w:rsidR="00FF41A0">
        <w:rPr>
          <w:sz w:val="20"/>
          <w:szCs w:val="20"/>
        </w:rPr>
        <w:t xml:space="preserve"> </w:t>
      </w:r>
      <w:r w:rsidR="00323457" w:rsidRPr="0059638B">
        <w:rPr>
          <w:sz w:val="20"/>
          <w:szCs w:val="20"/>
        </w:rPr>
        <w:t>sect.</w:t>
      </w:r>
      <w:r w:rsidR="00FF41A0">
        <w:rPr>
          <w:sz w:val="20"/>
          <w:szCs w:val="20"/>
        </w:rPr>
        <w:t xml:space="preserve"> </w:t>
      </w:r>
      <w:r w:rsidR="00323457" w:rsidRPr="0059638B">
        <w:rPr>
          <w:sz w:val="20"/>
          <w:szCs w:val="20"/>
        </w:rPr>
        <w:t>C</w:t>
      </w:r>
      <w:r w:rsidR="00FF41A0">
        <w:rPr>
          <w:sz w:val="20"/>
          <w:szCs w:val="20"/>
        </w:rPr>
        <w:t xml:space="preserve"> </w:t>
      </w:r>
      <w:r w:rsidR="00323457" w:rsidRPr="0059638B">
        <w:rPr>
          <w:sz w:val="20"/>
          <w:szCs w:val="20"/>
        </w:rPr>
        <w:t>below).</w:t>
      </w:r>
    </w:p>
    <w:p w14:paraId="3A4D7CFB" w14:textId="6EC679BB" w:rsidR="00323457" w:rsidRPr="0059638B" w:rsidRDefault="00972F1E" w:rsidP="00323457">
      <w:pPr>
        <w:pStyle w:val="SingleTxtG"/>
        <w:rPr>
          <w:sz w:val="20"/>
          <w:szCs w:val="20"/>
        </w:rPr>
      </w:pPr>
      <w:r>
        <w:rPr>
          <w:sz w:val="20"/>
          <w:szCs w:val="20"/>
        </w:rPr>
        <w:t>679</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outcome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Central</w:t>
      </w:r>
      <w:r w:rsidR="00FF41A0">
        <w:rPr>
          <w:sz w:val="20"/>
          <w:szCs w:val="20"/>
        </w:rPr>
        <w:t xml:space="preserve"> </w:t>
      </w:r>
      <w:r w:rsidR="00323457" w:rsidRPr="0059638B">
        <w:rPr>
          <w:sz w:val="20"/>
          <w:szCs w:val="20"/>
        </w:rPr>
        <w:t>African</w:t>
      </w:r>
      <w:r w:rsidR="00FF41A0">
        <w:rPr>
          <w:sz w:val="20"/>
          <w:szCs w:val="20"/>
        </w:rPr>
        <w:t xml:space="preserve"> </w:t>
      </w:r>
      <w:r w:rsidR="00323457" w:rsidRPr="0059638B">
        <w:rPr>
          <w:sz w:val="20"/>
          <w:szCs w:val="20"/>
        </w:rPr>
        <w:t>Republic</w:t>
      </w:r>
      <w:r w:rsidR="00FF41A0">
        <w:rPr>
          <w:sz w:val="20"/>
          <w:szCs w:val="20"/>
        </w:rPr>
        <w:t xml:space="preserve"> </w:t>
      </w:r>
      <w:r w:rsidR="00323457" w:rsidRPr="0059638B">
        <w:rPr>
          <w:sz w:val="20"/>
          <w:szCs w:val="20"/>
        </w:rPr>
        <w:t>comprises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report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Working</w:t>
      </w:r>
      <w:r w:rsidR="00FF41A0">
        <w:rPr>
          <w:sz w:val="20"/>
          <w:szCs w:val="20"/>
        </w:rPr>
        <w:t xml:space="preserve"> </w:t>
      </w:r>
      <w:r w:rsidR="00323457" w:rsidRPr="0059638B">
        <w:rPr>
          <w:sz w:val="20"/>
          <w:szCs w:val="20"/>
        </w:rPr>
        <w:t>Group</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(A/HRC/40/12)</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views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Central</w:t>
      </w:r>
      <w:r w:rsidR="00FF41A0">
        <w:rPr>
          <w:sz w:val="20"/>
          <w:szCs w:val="20"/>
        </w:rPr>
        <w:t xml:space="preserve"> </w:t>
      </w:r>
      <w:r w:rsidR="00323457" w:rsidRPr="0059638B">
        <w:rPr>
          <w:sz w:val="20"/>
          <w:szCs w:val="20"/>
        </w:rPr>
        <w:t>African</w:t>
      </w:r>
      <w:r w:rsidR="00FF41A0">
        <w:rPr>
          <w:sz w:val="20"/>
          <w:szCs w:val="20"/>
        </w:rPr>
        <w:t xml:space="preserve"> </w:t>
      </w:r>
      <w:r w:rsidR="00323457" w:rsidRPr="0059638B">
        <w:rPr>
          <w:sz w:val="20"/>
          <w:szCs w:val="20"/>
        </w:rPr>
        <w:t>Republic</w:t>
      </w:r>
      <w:r w:rsidR="00FF41A0">
        <w:rPr>
          <w:sz w:val="20"/>
          <w:szCs w:val="20"/>
        </w:rPr>
        <w:t xml:space="preserve"> </w:t>
      </w:r>
      <w:r w:rsidR="00323457" w:rsidRPr="0059638B">
        <w:rPr>
          <w:sz w:val="20"/>
          <w:szCs w:val="20"/>
        </w:rPr>
        <w:t>concerning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and/or</w:t>
      </w:r>
      <w:r w:rsidR="00FF41A0">
        <w:rPr>
          <w:sz w:val="20"/>
          <w:szCs w:val="20"/>
        </w:rPr>
        <w:t xml:space="preserve"> </w:t>
      </w:r>
      <w:r w:rsidR="00323457" w:rsidRPr="0059638B">
        <w:rPr>
          <w:sz w:val="20"/>
          <w:szCs w:val="20"/>
        </w:rPr>
        <w:t>conclusions,</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well</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voluntary</w:t>
      </w:r>
      <w:r w:rsidR="00FF41A0">
        <w:rPr>
          <w:sz w:val="20"/>
          <w:szCs w:val="20"/>
        </w:rPr>
        <w:t xml:space="preserve"> </w:t>
      </w:r>
      <w:r w:rsidR="00323457" w:rsidRPr="0059638B">
        <w:rPr>
          <w:sz w:val="20"/>
          <w:szCs w:val="20"/>
        </w:rPr>
        <w:t>commitments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replies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questions</w:t>
      </w:r>
      <w:r w:rsidR="00FF41A0">
        <w:rPr>
          <w:sz w:val="20"/>
          <w:szCs w:val="20"/>
        </w:rPr>
        <w:t xml:space="preserve"> </w:t>
      </w:r>
      <w:r w:rsidR="00323457" w:rsidRPr="0059638B">
        <w:rPr>
          <w:sz w:val="20"/>
          <w:szCs w:val="20"/>
        </w:rPr>
        <w:t>or</w:t>
      </w:r>
      <w:r w:rsidR="00FF41A0">
        <w:rPr>
          <w:sz w:val="20"/>
          <w:szCs w:val="20"/>
        </w:rPr>
        <w:t xml:space="preserve"> </w:t>
      </w:r>
      <w:r w:rsidR="00323457" w:rsidRPr="0059638B">
        <w:rPr>
          <w:sz w:val="20"/>
          <w:szCs w:val="20"/>
        </w:rPr>
        <w:t>issues</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not</w:t>
      </w:r>
      <w:r w:rsidR="00FF41A0">
        <w:rPr>
          <w:sz w:val="20"/>
          <w:szCs w:val="20"/>
        </w:rPr>
        <w:t xml:space="preserve"> </w:t>
      </w:r>
      <w:r w:rsidR="00323457" w:rsidRPr="0059638B">
        <w:rPr>
          <w:sz w:val="20"/>
          <w:szCs w:val="20"/>
        </w:rPr>
        <w:t>sufficiently</w:t>
      </w:r>
      <w:r w:rsidR="00FF41A0">
        <w:rPr>
          <w:sz w:val="20"/>
          <w:szCs w:val="20"/>
        </w:rPr>
        <w:t xml:space="preserve"> </w:t>
      </w:r>
      <w:r w:rsidR="00323457" w:rsidRPr="0059638B">
        <w:rPr>
          <w:sz w:val="20"/>
          <w:szCs w:val="20"/>
        </w:rPr>
        <w:t>addressed</w:t>
      </w:r>
      <w:r w:rsidR="00FF41A0">
        <w:rPr>
          <w:sz w:val="20"/>
          <w:szCs w:val="20"/>
        </w:rPr>
        <w:t xml:space="preserve"> </w:t>
      </w:r>
      <w:r w:rsidR="00323457" w:rsidRPr="0059638B">
        <w:rPr>
          <w:sz w:val="20"/>
          <w:szCs w:val="20"/>
        </w:rPr>
        <w:t>during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interactive</w:t>
      </w:r>
      <w:r w:rsidR="00FF41A0">
        <w:rPr>
          <w:sz w:val="20"/>
          <w:szCs w:val="20"/>
        </w:rPr>
        <w:t xml:space="preserve"> </w:t>
      </w:r>
      <w:r w:rsidR="00323457" w:rsidRPr="0059638B">
        <w:rPr>
          <w:sz w:val="20"/>
          <w:szCs w:val="20"/>
        </w:rPr>
        <w:t>dialogue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Working</w:t>
      </w:r>
      <w:r w:rsidR="00FF41A0">
        <w:rPr>
          <w:sz w:val="20"/>
          <w:szCs w:val="20"/>
        </w:rPr>
        <w:t xml:space="preserve"> </w:t>
      </w:r>
      <w:r w:rsidR="00323457" w:rsidRPr="0059638B">
        <w:rPr>
          <w:sz w:val="20"/>
          <w:szCs w:val="20"/>
        </w:rPr>
        <w:t>Group,</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presented</w:t>
      </w:r>
      <w:r w:rsidR="00FF41A0">
        <w:rPr>
          <w:sz w:val="20"/>
          <w:szCs w:val="20"/>
        </w:rPr>
        <w:t xml:space="preserve"> </w:t>
      </w:r>
      <w:r w:rsidR="00323457" w:rsidRPr="0059638B">
        <w:rPr>
          <w:sz w:val="20"/>
          <w:szCs w:val="20"/>
        </w:rPr>
        <w:t>before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adoption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outcome</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plenary</w:t>
      </w:r>
      <w:r w:rsidR="00FF41A0">
        <w:rPr>
          <w:sz w:val="20"/>
          <w:szCs w:val="20"/>
        </w:rPr>
        <w:t xml:space="preserve"> </w:t>
      </w:r>
      <w:r w:rsidR="00323457" w:rsidRPr="0059638B">
        <w:rPr>
          <w:sz w:val="20"/>
          <w:szCs w:val="20"/>
        </w:rPr>
        <w:t>(see</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A/HRC/40/12/Add.1).</w:t>
      </w:r>
    </w:p>
    <w:p w14:paraId="49C06A39" w14:textId="2467164D" w:rsidR="00323457" w:rsidRPr="0059638B" w:rsidRDefault="00323457" w:rsidP="00323457">
      <w:pPr>
        <w:pStyle w:val="H23G"/>
        <w:rPr>
          <w:sz w:val="20"/>
          <w:szCs w:val="20"/>
        </w:rPr>
      </w:pPr>
      <w:r w:rsidRPr="0059638B">
        <w:rPr>
          <w:sz w:val="20"/>
          <w:szCs w:val="20"/>
        </w:rPr>
        <w:tab/>
        <w:t>1.</w:t>
      </w:r>
      <w:r w:rsidRPr="0059638B">
        <w:rPr>
          <w:sz w:val="20"/>
          <w:szCs w:val="20"/>
        </w:rPr>
        <w:tab/>
        <w:t>Views</w:t>
      </w:r>
      <w:r w:rsidR="00FF41A0">
        <w:rPr>
          <w:sz w:val="20"/>
          <w:szCs w:val="20"/>
        </w:rPr>
        <w:t xml:space="preserve"> </w:t>
      </w:r>
      <w:r w:rsidRPr="0059638B">
        <w:rPr>
          <w:sz w:val="20"/>
          <w:szCs w:val="20"/>
        </w:rPr>
        <w:t>expressed</w:t>
      </w:r>
      <w:r w:rsidR="00FF41A0">
        <w:rPr>
          <w:sz w:val="20"/>
          <w:szCs w:val="20"/>
        </w:rPr>
        <w:t xml:space="preserve"> </w:t>
      </w:r>
      <w:r w:rsidRPr="0059638B">
        <w:rPr>
          <w:sz w:val="20"/>
          <w:szCs w:val="20"/>
        </w:rPr>
        <w:t>by</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State</w:t>
      </w:r>
      <w:r w:rsidR="00FF41A0">
        <w:rPr>
          <w:sz w:val="20"/>
          <w:szCs w:val="20"/>
        </w:rPr>
        <w:t xml:space="preserve"> </w:t>
      </w:r>
      <w:r w:rsidRPr="0059638B">
        <w:rPr>
          <w:sz w:val="20"/>
          <w:szCs w:val="20"/>
        </w:rPr>
        <w:t>under</w:t>
      </w:r>
      <w:r w:rsidR="00FF41A0">
        <w:rPr>
          <w:sz w:val="20"/>
          <w:szCs w:val="20"/>
        </w:rPr>
        <w:t xml:space="preserve"> </w:t>
      </w:r>
      <w:r w:rsidRPr="0059638B">
        <w:rPr>
          <w:sz w:val="20"/>
          <w:szCs w:val="20"/>
        </w:rPr>
        <w:t>review</w:t>
      </w:r>
      <w:r w:rsidR="00FF41A0">
        <w:rPr>
          <w:sz w:val="20"/>
          <w:szCs w:val="20"/>
        </w:rPr>
        <w:t xml:space="preserve"> </w:t>
      </w:r>
      <w:r w:rsidRPr="0059638B">
        <w:rPr>
          <w:sz w:val="20"/>
          <w:szCs w:val="20"/>
        </w:rPr>
        <w:t>on</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recommendations</w:t>
      </w:r>
      <w:r w:rsidR="00FF41A0">
        <w:rPr>
          <w:sz w:val="20"/>
          <w:szCs w:val="20"/>
        </w:rPr>
        <w:t xml:space="preserve"> </w:t>
      </w:r>
      <w:r w:rsidRPr="0059638B">
        <w:rPr>
          <w:sz w:val="20"/>
          <w:szCs w:val="20"/>
        </w:rPr>
        <w:t>and/or</w:t>
      </w:r>
      <w:r w:rsidR="00FF41A0">
        <w:rPr>
          <w:sz w:val="20"/>
          <w:szCs w:val="20"/>
        </w:rPr>
        <w:t xml:space="preserve"> </w:t>
      </w:r>
      <w:r w:rsidRPr="0059638B">
        <w:rPr>
          <w:sz w:val="20"/>
          <w:szCs w:val="20"/>
        </w:rPr>
        <w:t>conclusions,</w:t>
      </w:r>
      <w:r w:rsidR="00FF41A0">
        <w:rPr>
          <w:sz w:val="20"/>
          <w:szCs w:val="20"/>
        </w:rPr>
        <w:t xml:space="preserve"> </w:t>
      </w:r>
      <w:r w:rsidRPr="0059638B">
        <w:rPr>
          <w:sz w:val="20"/>
          <w:szCs w:val="20"/>
        </w:rPr>
        <w:t>its</w:t>
      </w:r>
      <w:r w:rsidR="00FF41A0">
        <w:rPr>
          <w:sz w:val="20"/>
          <w:szCs w:val="20"/>
        </w:rPr>
        <w:t xml:space="preserve"> </w:t>
      </w:r>
      <w:r w:rsidRPr="0059638B">
        <w:rPr>
          <w:sz w:val="20"/>
          <w:szCs w:val="20"/>
        </w:rPr>
        <w:t>voluntary</w:t>
      </w:r>
      <w:r w:rsidR="00FF41A0">
        <w:rPr>
          <w:sz w:val="20"/>
          <w:szCs w:val="20"/>
        </w:rPr>
        <w:t xml:space="preserve"> </w:t>
      </w:r>
      <w:r w:rsidRPr="0059638B">
        <w:rPr>
          <w:sz w:val="20"/>
          <w:szCs w:val="20"/>
        </w:rPr>
        <w:t>commitments</w:t>
      </w:r>
      <w:r w:rsidR="00FF41A0">
        <w:rPr>
          <w:sz w:val="20"/>
          <w:szCs w:val="20"/>
        </w:rPr>
        <w:t xml:space="preserve"> </w:t>
      </w:r>
      <w:r w:rsidRPr="0059638B">
        <w:rPr>
          <w:sz w:val="20"/>
          <w:szCs w:val="20"/>
        </w:rPr>
        <w:t>and</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outcome</w:t>
      </w:r>
    </w:p>
    <w:p w14:paraId="75B7D9A8" w14:textId="7FD70458" w:rsidR="00323457" w:rsidRPr="0059638B" w:rsidRDefault="00972F1E" w:rsidP="00323457">
      <w:pPr>
        <w:pStyle w:val="SingleTxtG"/>
        <w:rPr>
          <w:sz w:val="20"/>
          <w:szCs w:val="20"/>
        </w:rPr>
      </w:pPr>
      <w:r>
        <w:rPr>
          <w:sz w:val="20"/>
          <w:szCs w:val="20"/>
        </w:rPr>
        <w:t>680</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delegation</w:t>
      </w:r>
      <w:r w:rsidR="00FF41A0">
        <w:rPr>
          <w:sz w:val="20"/>
          <w:szCs w:val="20"/>
        </w:rPr>
        <w:t xml:space="preserve"> </w:t>
      </w:r>
      <w:r w:rsidR="00323457" w:rsidRPr="0059638B">
        <w:rPr>
          <w:sz w:val="20"/>
          <w:szCs w:val="20"/>
        </w:rPr>
        <w:t>indicated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two</w:t>
      </w:r>
      <w:r w:rsidR="00FF41A0">
        <w:rPr>
          <w:sz w:val="20"/>
          <w:szCs w:val="20"/>
        </w:rPr>
        <w:t xml:space="preserve"> </w:t>
      </w:r>
      <w:r w:rsidR="00323457" w:rsidRPr="0059638B">
        <w:rPr>
          <w:sz w:val="20"/>
          <w:szCs w:val="20"/>
        </w:rPr>
        <w:t>years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dialogue</w:t>
      </w:r>
      <w:r w:rsidR="00FF41A0">
        <w:rPr>
          <w:sz w:val="20"/>
          <w:szCs w:val="20"/>
        </w:rPr>
        <w:t xml:space="preserve"> </w:t>
      </w:r>
      <w:r w:rsidR="00323457" w:rsidRPr="0059638B">
        <w:rPr>
          <w:sz w:val="20"/>
          <w:szCs w:val="20"/>
        </w:rPr>
        <w:t>between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14</w:t>
      </w:r>
      <w:r w:rsidR="00FF41A0">
        <w:rPr>
          <w:sz w:val="20"/>
          <w:szCs w:val="20"/>
        </w:rPr>
        <w:t xml:space="preserve"> </w:t>
      </w:r>
      <w:r w:rsidR="00323457" w:rsidRPr="0059638B">
        <w:rPr>
          <w:sz w:val="20"/>
          <w:szCs w:val="20"/>
        </w:rPr>
        <w:t>armed</w:t>
      </w:r>
      <w:r w:rsidR="00FF41A0">
        <w:rPr>
          <w:sz w:val="20"/>
          <w:szCs w:val="20"/>
        </w:rPr>
        <w:t xml:space="preserve"> </w:t>
      </w:r>
      <w:r w:rsidR="00323457" w:rsidRPr="0059638B">
        <w:rPr>
          <w:sz w:val="20"/>
          <w:szCs w:val="20"/>
        </w:rPr>
        <w:t>groups</w:t>
      </w:r>
      <w:r w:rsidR="00FF41A0">
        <w:rPr>
          <w:sz w:val="20"/>
          <w:szCs w:val="20"/>
        </w:rPr>
        <w:t xml:space="preserve"> </w:t>
      </w:r>
      <w:r w:rsidR="00323457" w:rsidRPr="0059638B">
        <w:rPr>
          <w:sz w:val="20"/>
          <w:szCs w:val="20"/>
        </w:rPr>
        <w:t>led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conclusion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Political</w:t>
      </w:r>
      <w:r w:rsidR="00FF41A0">
        <w:rPr>
          <w:sz w:val="20"/>
          <w:szCs w:val="20"/>
        </w:rPr>
        <w:t xml:space="preserve"> </w:t>
      </w:r>
      <w:r w:rsidR="00323457" w:rsidRPr="0059638B">
        <w:rPr>
          <w:sz w:val="20"/>
          <w:szCs w:val="20"/>
        </w:rPr>
        <w:t>Agreement</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Peace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Reconciliation,</w:t>
      </w:r>
      <w:r w:rsidR="00FF41A0">
        <w:rPr>
          <w:sz w:val="20"/>
          <w:szCs w:val="20"/>
        </w:rPr>
        <w:t xml:space="preserve"> </w:t>
      </w:r>
      <w:r w:rsidR="00323457" w:rsidRPr="0059638B">
        <w:rPr>
          <w:sz w:val="20"/>
          <w:szCs w:val="20"/>
        </w:rPr>
        <w:t>signed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Bangui</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bCs/>
          <w:sz w:val="20"/>
          <w:szCs w:val="20"/>
        </w:rPr>
        <w:t>February</w:t>
      </w:r>
      <w:r w:rsidR="00FF41A0">
        <w:rPr>
          <w:bCs/>
          <w:sz w:val="20"/>
          <w:szCs w:val="20"/>
        </w:rPr>
        <w:t xml:space="preserve"> </w:t>
      </w:r>
      <w:r w:rsidR="00323457" w:rsidRPr="0059638B">
        <w:rPr>
          <w:bCs/>
          <w:sz w:val="20"/>
          <w:szCs w:val="20"/>
        </w:rPr>
        <w:t>2019</w:t>
      </w:r>
      <w:r w:rsidR="00323457" w:rsidRPr="0059638B">
        <w:rPr>
          <w:sz w:val="20"/>
          <w:szCs w:val="20"/>
        </w:rPr>
        <w:t>.</w:t>
      </w:r>
    </w:p>
    <w:p w14:paraId="2925F0C7" w14:textId="67533638" w:rsidR="00323457" w:rsidRPr="0059638B" w:rsidRDefault="00972F1E" w:rsidP="00323457">
      <w:pPr>
        <w:pStyle w:val="SingleTxtG"/>
        <w:rPr>
          <w:sz w:val="20"/>
          <w:szCs w:val="20"/>
        </w:rPr>
      </w:pPr>
      <w:r>
        <w:rPr>
          <w:sz w:val="20"/>
          <w:szCs w:val="20"/>
        </w:rPr>
        <w:t>681</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process,</w:t>
      </w:r>
      <w:r w:rsidR="00FF41A0">
        <w:rPr>
          <w:sz w:val="20"/>
          <w:szCs w:val="20"/>
        </w:rPr>
        <w:t xml:space="preserve"> </w:t>
      </w:r>
      <w:r w:rsidR="00323457" w:rsidRPr="0059638B">
        <w:rPr>
          <w:sz w:val="20"/>
          <w:szCs w:val="20"/>
        </w:rPr>
        <w:t>led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African</w:t>
      </w:r>
      <w:r w:rsidR="00FF41A0">
        <w:rPr>
          <w:sz w:val="20"/>
          <w:szCs w:val="20"/>
        </w:rPr>
        <w:t xml:space="preserve"> </w:t>
      </w:r>
      <w:r w:rsidR="00323457" w:rsidRPr="0059638B">
        <w:rPr>
          <w:sz w:val="20"/>
          <w:szCs w:val="20"/>
        </w:rPr>
        <w:t>Union</w:t>
      </w:r>
      <w:r w:rsidR="00FF41A0">
        <w:rPr>
          <w:sz w:val="20"/>
          <w:szCs w:val="20"/>
        </w:rPr>
        <w:t xml:space="preserve"> </w:t>
      </w:r>
      <w:r w:rsidR="00323457" w:rsidRPr="0059638B">
        <w:rPr>
          <w:sz w:val="20"/>
          <w:szCs w:val="20"/>
        </w:rPr>
        <w:t>within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framework</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African</w:t>
      </w:r>
      <w:r w:rsidR="00FF41A0">
        <w:rPr>
          <w:sz w:val="20"/>
          <w:szCs w:val="20"/>
        </w:rPr>
        <w:t xml:space="preserve"> </w:t>
      </w:r>
      <w:r w:rsidR="00323457" w:rsidRPr="0059638B">
        <w:rPr>
          <w:sz w:val="20"/>
          <w:szCs w:val="20"/>
        </w:rPr>
        <w:t>Initiative</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Peace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Reconciliation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Central</w:t>
      </w:r>
      <w:r w:rsidR="00FF41A0">
        <w:rPr>
          <w:sz w:val="20"/>
          <w:szCs w:val="20"/>
        </w:rPr>
        <w:t xml:space="preserve"> </w:t>
      </w:r>
      <w:r w:rsidR="00323457" w:rsidRPr="0059638B">
        <w:rPr>
          <w:sz w:val="20"/>
          <w:szCs w:val="20"/>
        </w:rPr>
        <w:t>African</w:t>
      </w:r>
      <w:r w:rsidR="00FF41A0">
        <w:rPr>
          <w:sz w:val="20"/>
          <w:szCs w:val="20"/>
        </w:rPr>
        <w:t xml:space="preserve"> </w:t>
      </w:r>
      <w:r w:rsidR="00323457" w:rsidRPr="0059638B">
        <w:rPr>
          <w:sz w:val="20"/>
          <w:szCs w:val="20"/>
        </w:rPr>
        <w:t>Republic,</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not</w:t>
      </w:r>
      <w:r w:rsidR="00FF41A0">
        <w:rPr>
          <w:sz w:val="20"/>
          <w:szCs w:val="20"/>
        </w:rPr>
        <w:t xml:space="preserve"> </w:t>
      </w:r>
      <w:r w:rsidR="00323457" w:rsidRPr="0059638B">
        <w:rPr>
          <w:sz w:val="20"/>
          <w:szCs w:val="20"/>
        </w:rPr>
        <w:t>have</w:t>
      </w:r>
      <w:r w:rsidR="00FF41A0">
        <w:rPr>
          <w:sz w:val="20"/>
          <w:szCs w:val="20"/>
        </w:rPr>
        <w:t xml:space="preserve"> </w:t>
      </w:r>
      <w:r w:rsidR="00323457" w:rsidRPr="0059638B">
        <w:rPr>
          <w:sz w:val="20"/>
          <w:szCs w:val="20"/>
        </w:rPr>
        <w:t>succeeded</w:t>
      </w:r>
      <w:r w:rsidR="00FF41A0">
        <w:rPr>
          <w:sz w:val="20"/>
          <w:szCs w:val="20"/>
        </w:rPr>
        <w:t xml:space="preserve"> </w:t>
      </w:r>
      <w:r w:rsidR="00323457" w:rsidRPr="0059638B">
        <w:rPr>
          <w:sz w:val="20"/>
          <w:szCs w:val="20"/>
        </w:rPr>
        <w:t>without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support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partners</w:t>
      </w:r>
      <w:r w:rsidR="00FF41A0">
        <w:rPr>
          <w:sz w:val="20"/>
          <w:szCs w:val="20"/>
        </w:rPr>
        <w:t xml:space="preserve"> </w:t>
      </w:r>
      <w:r w:rsidR="00323457" w:rsidRPr="0059638B">
        <w:rPr>
          <w:sz w:val="20"/>
          <w:szCs w:val="20"/>
        </w:rPr>
        <w:t>such</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United</w:t>
      </w:r>
      <w:r w:rsidR="00FF41A0">
        <w:rPr>
          <w:sz w:val="20"/>
          <w:szCs w:val="20"/>
        </w:rPr>
        <w:t xml:space="preserve"> </w:t>
      </w:r>
      <w:r w:rsidR="00323457" w:rsidRPr="0059638B">
        <w:rPr>
          <w:sz w:val="20"/>
          <w:szCs w:val="20"/>
        </w:rPr>
        <w:t>Nations,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European</w:t>
      </w:r>
      <w:r w:rsidR="00FF41A0">
        <w:rPr>
          <w:sz w:val="20"/>
          <w:szCs w:val="20"/>
        </w:rPr>
        <w:t xml:space="preserve"> </w:t>
      </w:r>
      <w:r w:rsidR="00323457" w:rsidRPr="0059638B">
        <w:rPr>
          <w:sz w:val="20"/>
          <w:szCs w:val="20"/>
        </w:rPr>
        <w:t>Union,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Economic</w:t>
      </w:r>
      <w:r w:rsidR="00FF41A0">
        <w:rPr>
          <w:sz w:val="20"/>
          <w:szCs w:val="20"/>
        </w:rPr>
        <w:t xml:space="preserve"> </w:t>
      </w:r>
      <w:r w:rsidR="00323457" w:rsidRPr="0059638B">
        <w:rPr>
          <w:sz w:val="20"/>
          <w:szCs w:val="20"/>
        </w:rPr>
        <w:t>Community</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Central</w:t>
      </w:r>
      <w:r w:rsidR="00FF41A0">
        <w:rPr>
          <w:sz w:val="20"/>
          <w:szCs w:val="20"/>
        </w:rPr>
        <w:t xml:space="preserve"> </w:t>
      </w:r>
      <w:r w:rsidR="00323457" w:rsidRPr="0059638B">
        <w:rPr>
          <w:sz w:val="20"/>
          <w:szCs w:val="20"/>
        </w:rPr>
        <w:t>African</w:t>
      </w:r>
      <w:r w:rsidR="00FF41A0">
        <w:rPr>
          <w:sz w:val="20"/>
          <w:szCs w:val="20"/>
        </w:rPr>
        <w:t xml:space="preserve"> </w:t>
      </w:r>
      <w:r w:rsidR="00323457" w:rsidRPr="0059638B">
        <w:rPr>
          <w:sz w:val="20"/>
          <w:szCs w:val="20"/>
        </w:rPr>
        <w:t>States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countries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sub-region.</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part</w:t>
      </w:r>
      <w:r w:rsidR="00FF41A0">
        <w:rPr>
          <w:sz w:val="20"/>
          <w:szCs w:val="20"/>
        </w:rPr>
        <w:t xml:space="preserve"> </w:t>
      </w:r>
      <w:r w:rsidR="00323457" w:rsidRPr="0059638B">
        <w:rPr>
          <w:sz w:val="20"/>
          <w:szCs w:val="20"/>
        </w:rPr>
        <w:lastRenderedPageBreak/>
        <w:t>of</w:t>
      </w:r>
      <w:r w:rsidR="00FF41A0">
        <w:rPr>
          <w:sz w:val="20"/>
          <w:szCs w:val="20"/>
        </w:rPr>
        <w:t xml:space="preserve"> </w:t>
      </w:r>
      <w:r w:rsidR="00323457" w:rsidRPr="0059638B">
        <w:rPr>
          <w:sz w:val="20"/>
          <w:szCs w:val="20"/>
        </w:rPr>
        <w:t>this</w:t>
      </w:r>
      <w:r w:rsidR="00FF41A0">
        <w:rPr>
          <w:sz w:val="20"/>
          <w:szCs w:val="20"/>
        </w:rPr>
        <w:t xml:space="preserve"> </w:t>
      </w:r>
      <w:r w:rsidR="00323457" w:rsidRPr="0059638B">
        <w:rPr>
          <w:sz w:val="20"/>
          <w:szCs w:val="20"/>
        </w:rPr>
        <w:t>African</w:t>
      </w:r>
      <w:r w:rsidR="00FF41A0">
        <w:rPr>
          <w:sz w:val="20"/>
          <w:szCs w:val="20"/>
        </w:rPr>
        <w:t xml:space="preserve"> </w:t>
      </w:r>
      <w:r w:rsidR="00323457" w:rsidRPr="0059638B">
        <w:rPr>
          <w:sz w:val="20"/>
          <w:szCs w:val="20"/>
        </w:rPr>
        <w:t>initiative,</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agreed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capitalize</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achievements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2015</w:t>
      </w:r>
      <w:r w:rsidR="00FF41A0">
        <w:rPr>
          <w:sz w:val="20"/>
          <w:szCs w:val="20"/>
        </w:rPr>
        <w:t xml:space="preserve"> </w:t>
      </w:r>
      <w:r w:rsidR="00323457" w:rsidRPr="0059638B">
        <w:rPr>
          <w:sz w:val="20"/>
          <w:szCs w:val="20"/>
        </w:rPr>
        <w:t>Bangui</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Forum</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ensure</w:t>
      </w:r>
      <w:r w:rsidR="00FF41A0">
        <w:rPr>
          <w:sz w:val="20"/>
          <w:szCs w:val="20"/>
        </w:rPr>
        <w:t xml:space="preserve"> </w:t>
      </w:r>
      <w:r w:rsidR="00323457" w:rsidRPr="0059638B">
        <w:rPr>
          <w:sz w:val="20"/>
          <w:szCs w:val="20"/>
        </w:rPr>
        <w:t>strict</w:t>
      </w:r>
      <w:r w:rsidR="00FF41A0">
        <w:rPr>
          <w:sz w:val="20"/>
          <w:szCs w:val="20"/>
        </w:rPr>
        <w:t xml:space="preserve"> </w:t>
      </w:r>
      <w:r w:rsidR="00323457" w:rsidRPr="0059638B">
        <w:rPr>
          <w:sz w:val="20"/>
          <w:szCs w:val="20"/>
        </w:rPr>
        <w:t>observation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basic</w:t>
      </w:r>
      <w:r w:rsidR="00FF41A0">
        <w:rPr>
          <w:sz w:val="20"/>
          <w:szCs w:val="20"/>
        </w:rPr>
        <w:t xml:space="preserve"> </w:t>
      </w:r>
      <w:r w:rsidR="00323457" w:rsidRPr="0059638B">
        <w:rPr>
          <w:sz w:val="20"/>
          <w:szCs w:val="20"/>
        </w:rPr>
        <w:t>principles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democratic</w:t>
      </w:r>
      <w:r w:rsidR="00FF41A0">
        <w:rPr>
          <w:sz w:val="20"/>
          <w:szCs w:val="20"/>
        </w:rPr>
        <w:t xml:space="preserve"> </w:t>
      </w:r>
      <w:r w:rsidR="00323457" w:rsidRPr="0059638B">
        <w:rPr>
          <w:sz w:val="20"/>
          <w:szCs w:val="20"/>
        </w:rPr>
        <w:t>governance.</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new</w:t>
      </w:r>
      <w:r w:rsidR="00FF41A0">
        <w:rPr>
          <w:sz w:val="20"/>
          <w:szCs w:val="20"/>
        </w:rPr>
        <w:t xml:space="preserve"> </w:t>
      </w:r>
      <w:r w:rsidR="00323457" w:rsidRPr="0059638B">
        <w:rPr>
          <w:sz w:val="20"/>
          <w:szCs w:val="20"/>
        </w:rPr>
        <w:t>inclusive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team</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put</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place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implement</w:t>
      </w:r>
      <w:r w:rsidR="00FF41A0">
        <w:rPr>
          <w:sz w:val="20"/>
          <w:szCs w:val="20"/>
        </w:rPr>
        <w:t xml:space="preserve"> </w:t>
      </w:r>
      <w:r w:rsidR="00323457" w:rsidRPr="0059638B">
        <w:rPr>
          <w:sz w:val="20"/>
          <w:szCs w:val="20"/>
        </w:rPr>
        <w:t>this</w:t>
      </w:r>
      <w:r w:rsidR="00FF41A0">
        <w:rPr>
          <w:sz w:val="20"/>
          <w:szCs w:val="20"/>
        </w:rPr>
        <w:t xml:space="preserve"> </w:t>
      </w:r>
      <w:r w:rsidR="00323457" w:rsidRPr="0059638B">
        <w:rPr>
          <w:sz w:val="20"/>
          <w:szCs w:val="20"/>
        </w:rPr>
        <w:t>agreement,</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should</w:t>
      </w:r>
      <w:r w:rsidR="00FF41A0">
        <w:rPr>
          <w:sz w:val="20"/>
          <w:szCs w:val="20"/>
        </w:rPr>
        <w:t xml:space="preserve"> </w:t>
      </w:r>
      <w:r w:rsidR="00323457" w:rsidRPr="0059638B">
        <w:rPr>
          <w:sz w:val="20"/>
          <w:szCs w:val="20"/>
        </w:rPr>
        <w:t>allow</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country</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return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peace.</w:t>
      </w:r>
    </w:p>
    <w:p w14:paraId="2F92C7C1" w14:textId="7B53CE83" w:rsidR="00323457" w:rsidRPr="0059638B" w:rsidRDefault="00972F1E" w:rsidP="00323457">
      <w:pPr>
        <w:pStyle w:val="SingleTxtG"/>
        <w:rPr>
          <w:sz w:val="20"/>
          <w:szCs w:val="20"/>
        </w:rPr>
      </w:pPr>
      <w:r>
        <w:rPr>
          <w:sz w:val="20"/>
          <w:szCs w:val="20"/>
        </w:rPr>
        <w:t>682</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delegation</w:t>
      </w:r>
      <w:r w:rsidR="00FF41A0">
        <w:rPr>
          <w:sz w:val="20"/>
          <w:szCs w:val="20"/>
        </w:rPr>
        <w:t xml:space="preserve"> </w:t>
      </w:r>
      <w:r w:rsidR="00323457" w:rsidRPr="0059638B">
        <w:rPr>
          <w:sz w:val="20"/>
          <w:szCs w:val="20"/>
        </w:rPr>
        <w:t>further</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order</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reach</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lasting</w:t>
      </w:r>
      <w:r w:rsidR="00FF41A0">
        <w:rPr>
          <w:sz w:val="20"/>
          <w:szCs w:val="20"/>
        </w:rPr>
        <w:t xml:space="preserve"> </w:t>
      </w:r>
      <w:r w:rsidR="00323457" w:rsidRPr="0059638B">
        <w:rPr>
          <w:sz w:val="20"/>
          <w:szCs w:val="20"/>
        </w:rPr>
        <w:t>settlement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conflict,</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undermined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Central</w:t>
      </w:r>
      <w:r w:rsidR="00FF41A0">
        <w:rPr>
          <w:sz w:val="20"/>
          <w:szCs w:val="20"/>
        </w:rPr>
        <w:t xml:space="preserve"> </w:t>
      </w:r>
      <w:r w:rsidR="00323457" w:rsidRPr="0059638B">
        <w:rPr>
          <w:sz w:val="20"/>
          <w:szCs w:val="20"/>
        </w:rPr>
        <w:t>African</w:t>
      </w:r>
      <w:r w:rsidR="00FF41A0">
        <w:rPr>
          <w:sz w:val="20"/>
          <w:szCs w:val="20"/>
        </w:rPr>
        <w:t xml:space="preserve"> </w:t>
      </w:r>
      <w:r w:rsidR="00323457" w:rsidRPr="0059638B">
        <w:rPr>
          <w:sz w:val="20"/>
          <w:szCs w:val="20"/>
        </w:rPr>
        <w:t>nation</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years,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must</w:t>
      </w:r>
      <w:r w:rsidR="00FF41A0">
        <w:rPr>
          <w:sz w:val="20"/>
          <w:szCs w:val="20"/>
        </w:rPr>
        <w:t xml:space="preserve"> </w:t>
      </w:r>
      <w:r w:rsidR="00323457" w:rsidRPr="0059638B">
        <w:rPr>
          <w:sz w:val="20"/>
          <w:szCs w:val="20"/>
        </w:rPr>
        <w:t>implement</w:t>
      </w:r>
      <w:r w:rsidR="00FF41A0">
        <w:rPr>
          <w:sz w:val="20"/>
          <w:szCs w:val="20"/>
        </w:rPr>
        <w:t xml:space="preserve"> </w:t>
      </w:r>
      <w:r w:rsidR="00323457" w:rsidRPr="0059638B">
        <w:rPr>
          <w:sz w:val="20"/>
          <w:szCs w:val="20"/>
        </w:rPr>
        <w:t>effective</w:t>
      </w:r>
      <w:r w:rsidR="00FF41A0">
        <w:rPr>
          <w:sz w:val="20"/>
          <w:szCs w:val="20"/>
        </w:rPr>
        <w:t xml:space="preserve"> </w:t>
      </w:r>
      <w:r w:rsidR="00323457" w:rsidRPr="0059638B">
        <w:rPr>
          <w:sz w:val="20"/>
          <w:szCs w:val="20"/>
        </w:rPr>
        <w:t>mechanisms</w:t>
      </w:r>
      <w:r w:rsidR="00FF41A0">
        <w:rPr>
          <w:sz w:val="20"/>
          <w:szCs w:val="20"/>
        </w:rPr>
        <w:t xml:space="preserve"> </w:t>
      </w:r>
      <w:r w:rsidR="00323457" w:rsidRPr="0059638B">
        <w:rPr>
          <w:sz w:val="20"/>
          <w:szCs w:val="20"/>
        </w:rPr>
        <w:t>leading</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reconstruct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social</w:t>
      </w:r>
      <w:r w:rsidR="00FF41A0">
        <w:rPr>
          <w:sz w:val="20"/>
          <w:szCs w:val="20"/>
        </w:rPr>
        <w:t xml:space="preserve"> </w:t>
      </w:r>
      <w:r w:rsidR="00323457" w:rsidRPr="0059638B">
        <w:rPr>
          <w:sz w:val="20"/>
          <w:szCs w:val="20"/>
        </w:rPr>
        <w:t>net</w:t>
      </w:r>
      <w:r w:rsidR="00FF41A0">
        <w:rPr>
          <w:sz w:val="20"/>
          <w:szCs w:val="20"/>
        </w:rPr>
        <w:t xml:space="preserve"> </w:t>
      </w:r>
      <w:r w:rsidR="00323457" w:rsidRPr="0059638B">
        <w:rPr>
          <w:sz w:val="20"/>
          <w:szCs w:val="20"/>
        </w:rPr>
        <w:t>affected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discrimination,</w:t>
      </w:r>
      <w:r w:rsidR="00FF41A0">
        <w:rPr>
          <w:sz w:val="20"/>
          <w:szCs w:val="20"/>
        </w:rPr>
        <w:t xml:space="preserve"> </w:t>
      </w:r>
      <w:r w:rsidR="00323457" w:rsidRPr="0059638B">
        <w:rPr>
          <w:sz w:val="20"/>
          <w:szCs w:val="20"/>
        </w:rPr>
        <w:t>exclusion,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culture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impunity.</w:t>
      </w:r>
    </w:p>
    <w:p w14:paraId="2D05F934" w14:textId="6ED3AF58" w:rsidR="00323457" w:rsidRPr="0059638B" w:rsidRDefault="00972F1E" w:rsidP="00323457">
      <w:pPr>
        <w:pStyle w:val="SingleTxtG"/>
        <w:rPr>
          <w:sz w:val="20"/>
          <w:szCs w:val="20"/>
        </w:rPr>
      </w:pPr>
      <w:r>
        <w:rPr>
          <w:sz w:val="20"/>
          <w:szCs w:val="20"/>
        </w:rPr>
        <w:t>683</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committed</w:t>
      </w:r>
      <w:r w:rsidR="00FF41A0">
        <w:rPr>
          <w:sz w:val="20"/>
          <w:szCs w:val="20"/>
        </w:rPr>
        <w:t xml:space="preserve"> </w:t>
      </w:r>
      <w:r w:rsidR="00323457" w:rsidRPr="0059638B">
        <w:rPr>
          <w:sz w:val="20"/>
          <w:szCs w:val="20"/>
        </w:rPr>
        <w:t>through</w:t>
      </w:r>
      <w:r w:rsidR="00FF41A0">
        <w:rPr>
          <w:sz w:val="20"/>
          <w:szCs w:val="20"/>
        </w:rPr>
        <w:t xml:space="preserve"> </w:t>
      </w:r>
      <w:r w:rsidR="00323457" w:rsidRPr="0059638B">
        <w:rPr>
          <w:sz w:val="20"/>
          <w:szCs w:val="20"/>
        </w:rPr>
        <w:t>strong</w:t>
      </w:r>
      <w:r w:rsidR="00FF41A0">
        <w:rPr>
          <w:sz w:val="20"/>
          <w:szCs w:val="20"/>
        </w:rPr>
        <w:t xml:space="preserve"> </w:t>
      </w:r>
      <w:r w:rsidR="00323457" w:rsidRPr="0059638B">
        <w:rPr>
          <w:sz w:val="20"/>
          <w:szCs w:val="20"/>
        </w:rPr>
        <w:t>actions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meeting</w:t>
      </w:r>
      <w:r w:rsidR="00FF41A0">
        <w:rPr>
          <w:sz w:val="20"/>
          <w:szCs w:val="20"/>
        </w:rPr>
        <w:t xml:space="preserve"> </w:t>
      </w:r>
      <w:r w:rsidR="00323457" w:rsidRPr="0059638B">
        <w:rPr>
          <w:sz w:val="20"/>
          <w:szCs w:val="20"/>
        </w:rPr>
        <w:t>challenges</w:t>
      </w:r>
      <w:r w:rsidR="00FF41A0">
        <w:rPr>
          <w:sz w:val="20"/>
          <w:szCs w:val="20"/>
        </w:rPr>
        <w:t xml:space="preserve"> </w:t>
      </w:r>
      <w:r w:rsidR="00323457" w:rsidRPr="0059638B">
        <w:rPr>
          <w:sz w:val="20"/>
          <w:szCs w:val="20"/>
        </w:rPr>
        <w:t>posed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armed</w:t>
      </w:r>
      <w:r w:rsidR="00FF41A0">
        <w:rPr>
          <w:sz w:val="20"/>
          <w:szCs w:val="20"/>
        </w:rPr>
        <w:t xml:space="preserve"> </w:t>
      </w:r>
      <w:r w:rsidR="00323457" w:rsidRPr="0059638B">
        <w:rPr>
          <w:sz w:val="20"/>
          <w:szCs w:val="20"/>
        </w:rPr>
        <w:t>groups,</w:t>
      </w:r>
      <w:r w:rsidR="00FF41A0">
        <w:rPr>
          <w:sz w:val="20"/>
          <w:szCs w:val="20"/>
        </w:rPr>
        <w:t xml:space="preserve"> </w:t>
      </w:r>
      <w:r w:rsidR="00323457" w:rsidRPr="0059638B">
        <w:rPr>
          <w:sz w:val="20"/>
          <w:szCs w:val="20"/>
        </w:rPr>
        <w:t>addressing</w:t>
      </w:r>
      <w:r w:rsidR="00FF41A0">
        <w:rPr>
          <w:sz w:val="20"/>
          <w:szCs w:val="20"/>
        </w:rPr>
        <w:t xml:space="preserve"> </w:t>
      </w:r>
      <w:r w:rsidR="00323457" w:rsidRPr="0059638B">
        <w:rPr>
          <w:sz w:val="20"/>
          <w:szCs w:val="20"/>
        </w:rPr>
        <w:t>persistent</w:t>
      </w:r>
      <w:r w:rsidR="00FF41A0">
        <w:rPr>
          <w:sz w:val="20"/>
          <w:szCs w:val="20"/>
        </w:rPr>
        <w:t xml:space="preserve"> </w:t>
      </w:r>
      <w:r w:rsidR="00323457" w:rsidRPr="0059638B">
        <w:rPr>
          <w:sz w:val="20"/>
          <w:szCs w:val="20"/>
        </w:rPr>
        <w:t>discrimination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forms,</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are</w:t>
      </w:r>
      <w:r w:rsidR="00FF41A0">
        <w:rPr>
          <w:sz w:val="20"/>
          <w:szCs w:val="20"/>
        </w:rPr>
        <w:t xml:space="preserve"> </w:t>
      </w:r>
      <w:r w:rsidR="00323457" w:rsidRPr="0059638B">
        <w:rPr>
          <w:sz w:val="20"/>
          <w:szCs w:val="20"/>
        </w:rPr>
        <w:t>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basis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conflict.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this</w:t>
      </w:r>
      <w:r w:rsidR="00FF41A0">
        <w:rPr>
          <w:sz w:val="20"/>
          <w:szCs w:val="20"/>
        </w:rPr>
        <w:t xml:space="preserve"> </w:t>
      </w:r>
      <w:r w:rsidR="00323457" w:rsidRPr="0059638B">
        <w:rPr>
          <w:sz w:val="20"/>
          <w:szCs w:val="20"/>
        </w:rPr>
        <w:t>end,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will</w:t>
      </w:r>
      <w:r w:rsidR="00FF41A0">
        <w:rPr>
          <w:sz w:val="20"/>
          <w:szCs w:val="20"/>
        </w:rPr>
        <w:t xml:space="preserve"> </w:t>
      </w:r>
      <w:r w:rsidR="00323457" w:rsidRPr="0059638B">
        <w:rPr>
          <w:sz w:val="20"/>
          <w:szCs w:val="20"/>
        </w:rPr>
        <w:t>ensure</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law</w:t>
      </w:r>
      <w:r w:rsidR="00FF41A0">
        <w:rPr>
          <w:sz w:val="20"/>
          <w:szCs w:val="20"/>
        </w:rPr>
        <w:t xml:space="preserve"> </w:t>
      </w:r>
      <w:r w:rsidR="00323457" w:rsidRPr="0059638B">
        <w:rPr>
          <w:sz w:val="20"/>
          <w:szCs w:val="20"/>
        </w:rPr>
        <w:t>is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only</w:t>
      </w:r>
      <w:r w:rsidR="00FF41A0">
        <w:rPr>
          <w:sz w:val="20"/>
          <w:szCs w:val="20"/>
        </w:rPr>
        <w:t xml:space="preserve"> </w:t>
      </w:r>
      <w:r w:rsidR="00323457" w:rsidRPr="0059638B">
        <w:rPr>
          <w:sz w:val="20"/>
          <w:szCs w:val="20"/>
        </w:rPr>
        <w:t>reference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regulation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social,</w:t>
      </w:r>
      <w:r w:rsidR="00FF41A0">
        <w:rPr>
          <w:sz w:val="20"/>
          <w:szCs w:val="20"/>
        </w:rPr>
        <w:t xml:space="preserve"> </w:t>
      </w:r>
      <w:r w:rsidR="00323457" w:rsidRPr="0059638B">
        <w:rPr>
          <w:sz w:val="20"/>
          <w:szCs w:val="20"/>
        </w:rPr>
        <w:t>political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economic</w:t>
      </w:r>
      <w:r w:rsidR="00FF41A0">
        <w:rPr>
          <w:sz w:val="20"/>
          <w:szCs w:val="20"/>
        </w:rPr>
        <w:t xml:space="preserve"> </w:t>
      </w:r>
      <w:r w:rsidR="00323457" w:rsidRPr="0059638B">
        <w:rPr>
          <w:sz w:val="20"/>
          <w:szCs w:val="20"/>
        </w:rPr>
        <w:t>life,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order</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avoid</w:t>
      </w:r>
      <w:r w:rsidR="00FF41A0">
        <w:rPr>
          <w:sz w:val="20"/>
          <w:szCs w:val="20"/>
        </w:rPr>
        <w:t xml:space="preserve"> </w:t>
      </w:r>
      <w:r w:rsidR="00323457" w:rsidRPr="0059638B">
        <w:rPr>
          <w:sz w:val="20"/>
          <w:szCs w:val="20"/>
        </w:rPr>
        <w:t>arbitrariness.</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ensuring</w:t>
      </w:r>
      <w:r w:rsidR="00FF41A0">
        <w:rPr>
          <w:sz w:val="20"/>
          <w:szCs w:val="20"/>
        </w:rPr>
        <w:t xml:space="preserve"> </w:t>
      </w:r>
      <w:r w:rsidR="00323457" w:rsidRPr="0059638B">
        <w:rPr>
          <w:sz w:val="20"/>
          <w:szCs w:val="20"/>
        </w:rPr>
        <w:t>justice</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vital</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redress</w:t>
      </w:r>
      <w:r w:rsidR="00FF41A0">
        <w:rPr>
          <w:sz w:val="20"/>
          <w:szCs w:val="20"/>
        </w:rPr>
        <w:t xml:space="preserve"> </w:t>
      </w:r>
      <w:r w:rsidR="00323457" w:rsidRPr="0059638B">
        <w:rPr>
          <w:sz w:val="20"/>
          <w:szCs w:val="20"/>
        </w:rPr>
        <w:t>multiple</w:t>
      </w:r>
      <w:r w:rsidR="00FF41A0">
        <w:rPr>
          <w:sz w:val="20"/>
          <w:szCs w:val="20"/>
        </w:rPr>
        <w:t xml:space="preserve"> </w:t>
      </w:r>
      <w:r w:rsidR="00323457" w:rsidRPr="0059638B">
        <w:rPr>
          <w:sz w:val="20"/>
          <w:szCs w:val="20"/>
        </w:rPr>
        <w:t>consequences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continuing</w:t>
      </w:r>
      <w:r w:rsidR="00FF41A0">
        <w:rPr>
          <w:sz w:val="20"/>
          <w:szCs w:val="20"/>
        </w:rPr>
        <w:t xml:space="preserve"> </w:t>
      </w:r>
      <w:r w:rsidR="00323457" w:rsidRPr="0059638B">
        <w:rPr>
          <w:sz w:val="20"/>
          <w:szCs w:val="20"/>
        </w:rPr>
        <w:t>crisis.</w:t>
      </w:r>
      <w:r w:rsidR="00FF41A0">
        <w:rPr>
          <w:sz w:val="20"/>
          <w:szCs w:val="20"/>
        </w:rPr>
        <w:t xml:space="preserve"> </w:t>
      </w:r>
      <w:r w:rsidR="00323457" w:rsidRPr="0059638B">
        <w:rPr>
          <w:sz w:val="20"/>
          <w:szCs w:val="20"/>
        </w:rPr>
        <w:t>While</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being</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rebuild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ordinary</w:t>
      </w:r>
      <w:r w:rsidR="00FF41A0">
        <w:rPr>
          <w:sz w:val="20"/>
          <w:szCs w:val="20"/>
        </w:rPr>
        <w:t xml:space="preserve"> </w:t>
      </w:r>
      <w:r w:rsidR="00323457" w:rsidRPr="0059638B">
        <w:rPr>
          <w:sz w:val="20"/>
          <w:szCs w:val="20"/>
        </w:rPr>
        <w:t>courts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tribunals,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parties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Khartoum</w:t>
      </w:r>
      <w:r w:rsidR="00FF41A0">
        <w:rPr>
          <w:sz w:val="20"/>
          <w:szCs w:val="20"/>
        </w:rPr>
        <w:t xml:space="preserve"> </w:t>
      </w:r>
      <w:r w:rsidR="00323457" w:rsidRPr="0059638B">
        <w:rPr>
          <w:sz w:val="20"/>
          <w:szCs w:val="20"/>
        </w:rPr>
        <w:t>Agreement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agreed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include</w:t>
      </w:r>
      <w:r w:rsidR="00FF41A0">
        <w:rPr>
          <w:sz w:val="20"/>
          <w:szCs w:val="20"/>
        </w:rPr>
        <w:t xml:space="preserve"> </w:t>
      </w:r>
      <w:r w:rsidR="00323457" w:rsidRPr="0059638B">
        <w:rPr>
          <w:sz w:val="20"/>
          <w:szCs w:val="20"/>
        </w:rPr>
        <w:t>alternative</w:t>
      </w:r>
      <w:r w:rsidR="00FF41A0">
        <w:rPr>
          <w:sz w:val="20"/>
          <w:szCs w:val="20"/>
        </w:rPr>
        <w:t xml:space="preserve"> </w:t>
      </w:r>
      <w:r w:rsidR="00323457" w:rsidRPr="0059638B">
        <w:rPr>
          <w:sz w:val="20"/>
          <w:szCs w:val="20"/>
        </w:rPr>
        <w:t>mechanisms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transitional</w:t>
      </w:r>
      <w:r w:rsidR="00FF41A0">
        <w:rPr>
          <w:sz w:val="20"/>
          <w:szCs w:val="20"/>
        </w:rPr>
        <w:t xml:space="preserve"> </w:t>
      </w:r>
      <w:r w:rsidR="00323457" w:rsidRPr="0059638B">
        <w:rPr>
          <w:sz w:val="20"/>
          <w:szCs w:val="20"/>
        </w:rPr>
        <w:t>justice,</w:t>
      </w:r>
      <w:r w:rsidR="00FF41A0">
        <w:rPr>
          <w:sz w:val="20"/>
          <w:szCs w:val="20"/>
        </w:rPr>
        <w:t xml:space="preserve"> </w:t>
      </w:r>
      <w:r w:rsidR="00323457" w:rsidRPr="0059638B">
        <w:rPr>
          <w:sz w:val="20"/>
          <w:szCs w:val="20"/>
        </w:rPr>
        <w:t>through</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process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truth,</w:t>
      </w:r>
      <w:r w:rsidR="00FF41A0">
        <w:rPr>
          <w:sz w:val="20"/>
          <w:szCs w:val="20"/>
        </w:rPr>
        <w:t xml:space="preserve"> </w:t>
      </w:r>
      <w:r w:rsidR="00323457" w:rsidRPr="0059638B">
        <w:rPr>
          <w:sz w:val="20"/>
          <w:szCs w:val="20"/>
        </w:rPr>
        <w:t>justice,</w:t>
      </w:r>
      <w:r w:rsidR="00FF41A0">
        <w:rPr>
          <w:sz w:val="20"/>
          <w:szCs w:val="20"/>
        </w:rPr>
        <w:t xml:space="preserve"> </w:t>
      </w:r>
      <w:r w:rsidR="00323457" w:rsidRPr="0059638B">
        <w:rPr>
          <w:sz w:val="20"/>
          <w:szCs w:val="20"/>
        </w:rPr>
        <w:t>reparation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reconciliation.</w:t>
      </w:r>
    </w:p>
    <w:p w14:paraId="5935FB4F" w14:textId="1FF3E049" w:rsidR="00323457" w:rsidRPr="0059638B" w:rsidRDefault="00972F1E" w:rsidP="00323457">
      <w:pPr>
        <w:pStyle w:val="SingleTxtG"/>
        <w:rPr>
          <w:sz w:val="20"/>
          <w:szCs w:val="20"/>
        </w:rPr>
      </w:pPr>
      <w:r>
        <w:rPr>
          <w:sz w:val="20"/>
          <w:szCs w:val="20"/>
        </w:rPr>
        <w:t>684</w:t>
      </w:r>
      <w:r w:rsidR="00D7475F">
        <w:rPr>
          <w:sz w:val="20"/>
          <w:szCs w:val="20"/>
        </w:rPr>
        <w:t>.</w:t>
      </w:r>
      <w:r w:rsidR="00D7475F">
        <w:rPr>
          <w:sz w:val="20"/>
          <w:szCs w:val="20"/>
        </w:rPr>
        <w:tab/>
      </w:r>
      <w:r w:rsidR="00323457" w:rsidRPr="0059638B">
        <w:rPr>
          <w:sz w:val="20"/>
          <w:szCs w:val="20"/>
        </w:rPr>
        <w:t>Regarding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207</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received</w:t>
      </w:r>
      <w:r w:rsidR="00FF41A0">
        <w:rPr>
          <w:sz w:val="20"/>
          <w:szCs w:val="20"/>
        </w:rPr>
        <w:t xml:space="preserve"> </w:t>
      </w:r>
      <w:r w:rsidR="00323457" w:rsidRPr="0059638B">
        <w:rPr>
          <w:sz w:val="20"/>
          <w:szCs w:val="20"/>
        </w:rPr>
        <w:t>during</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third</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Central</w:t>
      </w:r>
      <w:r w:rsidR="00FF41A0">
        <w:rPr>
          <w:sz w:val="20"/>
          <w:szCs w:val="20"/>
        </w:rPr>
        <w:t xml:space="preserve"> </w:t>
      </w:r>
      <w:r w:rsidR="00323457" w:rsidRPr="0059638B">
        <w:rPr>
          <w:sz w:val="20"/>
          <w:szCs w:val="20"/>
        </w:rPr>
        <w:t>African</w:t>
      </w:r>
      <w:r w:rsidR="00FF41A0">
        <w:rPr>
          <w:sz w:val="20"/>
          <w:szCs w:val="20"/>
        </w:rPr>
        <w:t xml:space="preserve"> </w:t>
      </w:r>
      <w:r w:rsidR="00323457" w:rsidRPr="0059638B">
        <w:rPr>
          <w:sz w:val="20"/>
          <w:szCs w:val="20"/>
        </w:rPr>
        <w:t>Republic</w:t>
      </w:r>
      <w:r w:rsidR="00FF41A0">
        <w:rPr>
          <w:sz w:val="20"/>
          <w:szCs w:val="20"/>
        </w:rPr>
        <w:t xml:space="preserve"> </w:t>
      </w:r>
      <w:r w:rsidR="00323457" w:rsidRPr="0059638B">
        <w:rPr>
          <w:sz w:val="20"/>
          <w:szCs w:val="20"/>
        </w:rPr>
        <w:t>took</w:t>
      </w:r>
      <w:r w:rsidR="00FF41A0">
        <w:rPr>
          <w:sz w:val="20"/>
          <w:szCs w:val="20"/>
        </w:rPr>
        <w:t xml:space="preserve"> </w:t>
      </w:r>
      <w:r w:rsidR="00323457" w:rsidRPr="0059638B">
        <w:rPr>
          <w:sz w:val="20"/>
          <w:szCs w:val="20"/>
        </w:rPr>
        <w:t>note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28</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supported</w:t>
      </w:r>
      <w:r w:rsidR="00FF41A0">
        <w:rPr>
          <w:sz w:val="20"/>
          <w:szCs w:val="20"/>
        </w:rPr>
        <w:t xml:space="preserve"> </w:t>
      </w:r>
      <w:r w:rsidR="00323457" w:rsidRPr="0059638B">
        <w:rPr>
          <w:sz w:val="20"/>
          <w:szCs w:val="20"/>
        </w:rPr>
        <w:t>179</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related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reinstatement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authority</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State;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efficient</w:t>
      </w:r>
      <w:r w:rsidR="00FF41A0">
        <w:rPr>
          <w:sz w:val="20"/>
          <w:szCs w:val="20"/>
        </w:rPr>
        <w:t xml:space="preserve"> </w:t>
      </w:r>
      <w:r w:rsidR="00323457" w:rsidRPr="0059638B">
        <w:rPr>
          <w:sz w:val="20"/>
          <w:szCs w:val="20"/>
        </w:rPr>
        <w:t>functioning</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institutions</w:t>
      </w:r>
      <w:r w:rsidR="00FF41A0">
        <w:rPr>
          <w:sz w:val="20"/>
          <w:szCs w:val="20"/>
        </w:rPr>
        <w:t xml:space="preserve"> </w:t>
      </w:r>
      <w:r w:rsidR="00323457" w:rsidRPr="0059638B">
        <w:rPr>
          <w:sz w:val="20"/>
          <w:szCs w:val="20"/>
        </w:rPr>
        <w:t>through</w:t>
      </w:r>
      <w:r w:rsidR="00FF41A0">
        <w:rPr>
          <w:sz w:val="20"/>
          <w:szCs w:val="20"/>
        </w:rPr>
        <w:t xml:space="preserve"> </w:t>
      </w:r>
      <w:r w:rsidR="00323457" w:rsidRPr="0059638B">
        <w:rPr>
          <w:sz w:val="20"/>
          <w:szCs w:val="20"/>
        </w:rPr>
        <w:t>reforms,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provision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adequate</w:t>
      </w:r>
      <w:r w:rsidR="00FF41A0">
        <w:rPr>
          <w:sz w:val="20"/>
          <w:szCs w:val="20"/>
        </w:rPr>
        <w:t xml:space="preserve"> </w:t>
      </w:r>
      <w:r w:rsidR="00323457" w:rsidRPr="0059638B">
        <w:rPr>
          <w:sz w:val="20"/>
          <w:szCs w:val="20"/>
        </w:rPr>
        <w:t>financial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resources;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measures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ensure</w:t>
      </w:r>
      <w:r w:rsidR="00FF41A0">
        <w:rPr>
          <w:sz w:val="20"/>
          <w:szCs w:val="20"/>
        </w:rPr>
        <w:t xml:space="preserve"> </w:t>
      </w:r>
      <w:r w:rsidR="00323457" w:rsidRPr="0059638B">
        <w:rPr>
          <w:sz w:val="20"/>
          <w:szCs w:val="20"/>
        </w:rPr>
        <w:t>peaceful</w:t>
      </w:r>
      <w:r w:rsidR="00FF41A0">
        <w:rPr>
          <w:sz w:val="20"/>
          <w:szCs w:val="20"/>
        </w:rPr>
        <w:t xml:space="preserve"> </w:t>
      </w:r>
      <w:r w:rsidR="00323457" w:rsidRPr="0059638B">
        <w:rPr>
          <w:sz w:val="20"/>
          <w:szCs w:val="20"/>
        </w:rPr>
        <w:t>solutions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conflict</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is</w:t>
      </w:r>
      <w:r w:rsidR="00FF41A0">
        <w:rPr>
          <w:sz w:val="20"/>
          <w:szCs w:val="20"/>
        </w:rPr>
        <w:t xml:space="preserve"> </w:t>
      </w:r>
      <w:r w:rsidR="00323457" w:rsidRPr="0059638B">
        <w:rPr>
          <w:sz w:val="20"/>
          <w:szCs w:val="20"/>
        </w:rPr>
        <w:t>undermining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country</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order</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restore</w:t>
      </w:r>
      <w:r w:rsidR="00FF41A0">
        <w:rPr>
          <w:sz w:val="20"/>
          <w:szCs w:val="20"/>
        </w:rPr>
        <w:t xml:space="preserve"> </w:t>
      </w:r>
      <w:r w:rsidR="00323457" w:rsidRPr="0059638B">
        <w:rPr>
          <w:sz w:val="20"/>
          <w:szCs w:val="20"/>
        </w:rPr>
        <w:t>peace,</w:t>
      </w:r>
      <w:r w:rsidR="00FF41A0">
        <w:rPr>
          <w:sz w:val="20"/>
          <w:szCs w:val="20"/>
        </w:rPr>
        <w:t xml:space="preserve"> </w:t>
      </w:r>
      <w:r w:rsidR="00323457" w:rsidRPr="0059638B">
        <w:rPr>
          <w:sz w:val="20"/>
          <w:szCs w:val="20"/>
        </w:rPr>
        <w:t>security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reconciliation.</w:t>
      </w:r>
    </w:p>
    <w:p w14:paraId="06F6E11E" w14:textId="3BF7F994" w:rsidR="00323457" w:rsidRPr="0059638B" w:rsidRDefault="00972F1E" w:rsidP="00323457">
      <w:pPr>
        <w:pStyle w:val="SingleTxtG"/>
        <w:rPr>
          <w:sz w:val="20"/>
          <w:szCs w:val="20"/>
        </w:rPr>
      </w:pPr>
      <w:r>
        <w:rPr>
          <w:sz w:val="20"/>
          <w:szCs w:val="20"/>
        </w:rPr>
        <w:t>685</w:t>
      </w:r>
      <w:r w:rsidR="00D7475F">
        <w:rPr>
          <w:sz w:val="20"/>
          <w:szCs w:val="20"/>
        </w:rPr>
        <w:t>.</w:t>
      </w:r>
      <w:r w:rsidR="00D7475F">
        <w:rPr>
          <w:sz w:val="20"/>
          <w:szCs w:val="20"/>
        </w:rPr>
        <w:tab/>
      </w:r>
      <w:r w:rsidR="00323457" w:rsidRPr="0059638B">
        <w:rPr>
          <w:sz w:val="20"/>
          <w:szCs w:val="20"/>
        </w:rPr>
        <w:t>Regarding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fight</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impunity,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delegation</w:t>
      </w:r>
      <w:r w:rsidR="00FF41A0">
        <w:rPr>
          <w:sz w:val="20"/>
          <w:szCs w:val="20"/>
        </w:rPr>
        <w:t xml:space="preserve"> </w:t>
      </w:r>
      <w:r w:rsidR="00323457" w:rsidRPr="0059638B">
        <w:rPr>
          <w:sz w:val="20"/>
          <w:szCs w:val="20"/>
        </w:rPr>
        <w:t>stressed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Department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Justice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working</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several</w:t>
      </w:r>
      <w:r w:rsidR="00FF41A0">
        <w:rPr>
          <w:sz w:val="20"/>
          <w:szCs w:val="20"/>
        </w:rPr>
        <w:t xml:space="preserve"> </w:t>
      </w:r>
      <w:r w:rsidR="00323457" w:rsidRPr="0059638B">
        <w:rPr>
          <w:sz w:val="20"/>
          <w:szCs w:val="20"/>
        </w:rPr>
        <w:t>months</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help</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Mission</w:t>
      </w:r>
      <w:r w:rsidR="00FF41A0">
        <w:rPr>
          <w:sz w:val="20"/>
          <w:szCs w:val="20"/>
        </w:rPr>
        <w:t xml:space="preserve"> </w:t>
      </w:r>
      <w:r w:rsidR="00323457" w:rsidRPr="0059638B">
        <w:rPr>
          <w:sz w:val="20"/>
          <w:szCs w:val="20"/>
        </w:rPr>
        <w:t>multidimensionnelle</w:t>
      </w:r>
      <w:r w:rsidR="00FF41A0">
        <w:rPr>
          <w:sz w:val="20"/>
          <w:szCs w:val="20"/>
        </w:rPr>
        <w:t xml:space="preserve"> </w:t>
      </w:r>
      <w:r w:rsidR="00323457" w:rsidRPr="0059638B">
        <w:rPr>
          <w:sz w:val="20"/>
          <w:szCs w:val="20"/>
        </w:rPr>
        <w:t>intégrée</w:t>
      </w:r>
      <w:r w:rsidR="00FF41A0">
        <w:rPr>
          <w:sz w:val="20"/>
          <w:szCs w:val="20"/>
        </w:rPr>
        <w:t xml:space="preserve"> </w:t>
      </w:r>
      <w:r w:rsidR="00323457" w:rsidRPr="0059638B">
        <w:rPr>
          <w:sz w:val="20"/>
          <w:szCs w:val="20"/>
        </w:rPr>
        <w:t>des</w:t>
      </w:r>
      <w:r w:rsidR="00FF41A0">
        <w:rPr>
          <w:sz w:val="20"/>
          <w:szCs w:val="20"/>
        </w:rPr>
        <w:t xml:space="preserve"> </w:t>
      </w:r>
      <w:r w:rsidR="00323457" w:rsidRPr="0059638B">
        <w:rPr>
          <w:sz w:val="20"/>
          <w:szCs w:val="20"/>
        </w:rPr>
        <w:t>Nations</w:t>
      </w:r>
      <w:r w:rsidR="00FF41A0">
        <w:rPr>
          <w:sz w:val="20"/>
          <w:szCs w:val="20"/>
        </w:rPr>
        <w:t xml:space="preserve"> </w:t>
      </w:r>
      <w:r w:rsidR="00323457" w:rsidRPr="0059638B">
        <w:rPr>
          <w:sz w:val="20"/>
          <w:szCs w:val="20"/>
        </w:rPr>
        <w:t>Unies</w:t>
      </w:r>
      <w:r w:rsidR="00FF41A0">
        <w:rPr>
          <w:sz w:val="20"/>
          <w:szCs w:val="20"/>
        </w:rPr>
        <w:t xml:space="preserve"> </w:t>
      </w:r>
      <w:r w:rsidR="00323457" w:rsidRPr="0059638B">
        <w:rPr>
          <w:sz w:val="20"/>
          <w:szCs w:val="20"/>
        </w:rPr>
        <w:t>pour</w:t>
      </w:r>
      <w:r w:rsidR="00FF41A0">
        <w:rPr>
          <w:sz w:val="20"/>
          <w:szCs w:val="20"/>
        </w:rPr>
        <w:t xml:space="preserve"> </w:t>
      </w:r>
      <w:r w:rsidR="00323457" w:rsidRPr="0059638B">
        <w:rPr>
          <w:sz w:val="20"/>
          <w:szCs w:val="20"/>
        </w:rPr>
        <w:t>la</w:t>
      </w:r>
      <w:r w:rsidR="00FF41A0">
        <w:rPr>
          <w:sz w:val="20"/>
          <w:szCs w:val="20"/>
        </w:rPr>
        <w:t xml:space="preserve"> </w:t>
      </w:r>
      <w:r w:rsidR="00323457" w:rsidRPr="0059638B">
        <w:rPr>
          <w:sz w:val="20"/>
          <w:szCs w:val="20"/>
        </w:rPr>
        <w:t>stabilisation</w:t>
      </w:r>
      <w:r w:rsidR="00FF41A0">
        <w:rPr>
          <w:sz w:val="20"/>
          <w:szCs w:val="20"/>
        </w:rPr>
        <w:t xml:space="preserve"> </w:t>
      </w:r>
      <w:r w:rsidR="00323457" w:rsidRPr="0059638B">
        <w:rPr>
          <w:sz w:val="20"/>
          <w:szCs w:val="20"/>
        </w:rPr>
        <w:t>en</w:t>
      </w:r>
      <w:r w:rsidR="00FF41A0">
        <w:rPr>
          <w:sz w:val="20"/>
          <w:szCs w:val="20"/>
        </w:rPr>
        <w:t xml:space="preserve"> </w:t>
      </w:r>
      <w:r w:rsidR="00323457" w:rsidRPr="0059638B">
        <w:rPr>
          <w:sz w:val="20"/>
          <w:szCs w:val="20"/>
        </w:rPr>
        <w:t>République</w:t>
      </w:r>
      <w:r w:rsidR="00FF41A0">
        <w:rPr>
          <w:sz w:val="20"/>
          <w:szCs w:val="20"/>
        </w:rPr>
        <w:t xml:space="preserve"> </w:t>
      </w:r>
      <w:r w:rsidR="00323457" w:rsidRPr="0059638B">
        <w:rPr>
          <w:sz w:val="20"/>
          <w:szCs w:val="20"/>
        </w:rPr>
        <w:t>centrafricaine</w:t>
      </w:r>
      <w:r w:rsidR="00FF41A0">
        <w:rPr>
          <w:sz w:val="20"/>
          <w:szCs w:val="20"/>
        </w:rPr>
        <w:t xml:space="preserve"> </w:t>
      </w:r>
      <w:r w:rsidR="00323457" w:rsidRPr="0059638B">
        <w:rPr>
          <w:sz w:val="20"/>
          <w:szCs w:val="20"/>
        </w:rPr>
        <w:t>(MINUSCA)</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redeploy</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magistrates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other</w:t>
      </w:r>
      <w:r w:rsidR="00FF41A0">
        <w:rPr>
          <w:sz w:val="20"/>
          <w:szCs w:val="20"/>
        </w:rPr>
        <w:t xml:space="preserve"> </w:t>
      </w:r>
      <w:r w:rsidR="00323457" w:rsidRPr="0059638B">
        <w:rPr>
          <w:sz w:val="20"/>
          <w:szCs w:val="20"/>
        </w:rPr>
        <w:t>judicial</w:t>
      </w:r>
      <w:r w:rsidR="00FF41A0">
        <w:rPr>
          <w:sz w:val="20"/>
          <w:szCs w:val="20"/>
        </w:rPr>
        <w:t xml:space="preserve"> </w:t>
      </w:r>
      <w:r w:rsidR="00323457" w:rsidRPr="0059638B">
        <w:rPr>
          <w:sz w:val="20"/>
          <w:szCs w:val="20"/>
        </w:rPr>
        <w:t>actors</w:t>
      </w:r>
      <w:r w:rsidR="00FF41A0">
        <w:rPr>
          <w:sz w:val="20"/>
          <w:szCs w:val="20"/>
        </w:rPr>
        <w:t xml:space="preserve"> </w:t>
      </w:r>
      <w:r w:rsidR="00323457" w:rsidRPr="0059638B">
        <w:rPr>
          <w:sz w:val="20"/>
          <w:szCs w:val="20"/>
        </w:rPr>
        <w:t>throughout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territory.</w:t>
      </w:r>
      <w:r w:rsidR="00FF41A0">
        <w:rPr>
          <w:sz w:val="20"/>
          <w:szCs w:val="20"/>
        </w:rPr>
        <w:t xml:space="preserve"> </w:t>
      </w:r>
      <w:r w:rsidR="00323457" w:rsidRPr="0059638B">
        <w:rPr>
          <w:sz w:val="20"/>
          <w:szCs w:val="20"/>
        </w:rPr>
        <w:t>Similarly,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Territorial</w:t>
      </w:r>
      <w:r w:rsidR="00FF41A0">
        <w:rPr>
          <w:sz w:val="20"/>
          <w:szCs w:val="20"/>
        </w:rPr>
        <w:t xml:space="preserve"> </w:t>
      </w:r>
      <w:r w:rsidR="00323457" w:rsidRPr="0059638B">
        <w:rPr>
          <w:sz w:val="20"/>
          <w:szCs w:val="20"/>
        </w:rPr>
        <w:t>Administration</w:t>
      </w:r>
      <w:r w:rsidR="00FF41A0">
        <w:rPr>
          <w:sz w:val="20"/>
          <w:szCs w:val="20"/>
        </w:rPr>
        <w:t xml:space="preserve"> </w:t>
      </w:r>
      <w:r w:rsidR="00323457" w:rsidRPr="0059638B">
        <w:rPr>
          <w:sz w:val="20"/>
          <w:szCs w:val="20"/>
        </w:rPr>
        <w:t>is</w:t>
      </w:r>
      <w:r w:rsidR="00FF41A0">
        <w:rPr>
          <w:sz w:val="20"/>
          <w:szCs w:val="20"/>
        </w:rPr>
        <w:t xml:space="preserve"> </w:t>
      </w:r>
      <w:r w:rsidR="00323457" w:rsidRPr="0059638B">
        <w:rPr>
          <w:sz w:val="20"/>
          <w:szCs w:val="20"/>
        </w:rPr>
        <w:t>gradually</w:t>
      </w:r>
      <w:r w:rsidR="00FF41A0">
        <w:rPr>
          <w:sz w:val="20"/>
          <w:szCs w:val="20"/>
        </w:rPr>
        <w:t xml:space="preserve"> </w:t>
      </w:r>
      <w:r w:rsidR="00323457" w:rsidRPr="0059638B">
        <w:rPr>
          <w:sz w:val="20"/>
          <w:szCs w:val="20"/>
        </w:rPr>
        <w:t>recovering</w:t>
      </w:r>
      <w:r w:rsidR="00FF41A0">
        <w:rPr>
          <w:sz w:val="20"/>
          <w:szCs w:val="20"/>
        </w:rPr>
        <w:t xml:space="preserve"> </w:t>
      </w:r>
      <w:r w:rsidR="00323457" w:rsidRPr="0059638B">
        <w:rPr>
          <w:sz w:val="20"/>
          <w:szCs w:val="20"/>
        </w:rPr>
        <w:t>after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installation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16</w:t>
      </w:r>
      <w:r w:rsidR="00FF41A0">
        <w:rPr>
          <w:sz w:val="20"/>
          <w:szCs w:val="20"/>
        </w:rPr>
        <w:t xml:space="preserve"> </w:t>
      </w:r>
      <w:r w:rsidR="00323457" w:rsidRPr="0059638B">
        <w:rPr>
          <w:sz w:val="20"/>
          <w:szCs w:val="20"/>
        </w:rPr>
        <w:t>prefects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their</w:t>
      </w:r>
      <w:r w:rsidR="00FF41A0">
        <w:rPr>
          <w:sz w:val="20"/>
          <w:szCs w:val="20"/>
        </w:rPr>
        <w:t xml:space="preserve"> </w:t>
      </w:r>
      <w:r w:rsidR="00323457" w:rsidRPr="0059638B">
        <w:rPr>
          <w:sz w:val="20"/>
          <w:szCs w:val="20"/>
        </w:rPr>
        <w:t>area</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jurisdiction,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French</w:t>
      </w:r>
      <w:r w:rsidR="00FF41A0">
        <w:rPr>
          <w:sz w:val="20"/>
          <w:szCs w:val="20"/>
        </w:rPr>
        <w:t xml:space="preserve"> </w:t>
      </w:r>
      <w:r w:rsidR="00323457" w:rsidRPr="0059638B">
        <w:rPr>
          <w:sz w:val="20"/>
          <w:szCs w:val="20"/>
        </w:rPr>
        <w:t>cooperation,</w:t>
      </w:r>
      <w:r w:rsidR="00FF41A0">
        <w:rPr>
          <w:sz w:val="20"/>
          <w:szCs w:val="20"/>
        </w:rPr>
        <w:t xml:space="preserve"> </w:t>
      </w:r>
      <w:r w:rsidR="00323457" w:rsidRPr="0059638B">
        <w:rPr>
          <w:sz w:val="20"/>
          <w:szCs w:val="20"/>
        </w:rPr>
        <w:t>training</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provided</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public</w:t>
      </w:r>
      <w:r w:rsidR="00FF41A0">
        <w:rPr>
          <w:sz w:val="20"/>
          <w:szCs w:val="20"/>
        </w:rPr>
        <w:t xml:space="preserve"> </w:t>
      </w:r>
      <w:r w:rsidR="00323457" w:rsidRPr="0059638B">
        <w:rPr>
          <w:sz w:val="20"/>
          <w:szCs w:val="20"/>
        </w:rPr>
        <w:t>servants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public</w:t>
      </w:r>
      <w:r w:rsidR="00FF41A0">
        <w:rPr>
          <w:sz w:val="20"/>
          <w:szCs w:val="20"/>
        </w:rPr>
        <w:t xml:space="preserve"> </w:t>
      </w:r>
      <w:r w:rsidR="00323457" w:rsidRPr="0059638B">
        <w:rPr>
          <w:sz w:val="20"/>
          <w:szCs w:val="20"/>
        </w:rPr>
        <w:t>officials.</w:t>
      </w:r>
    </w:p>
    <w:p w14:paraId="4826E017" w14:textId="375CD093" w:rsidR="00323457" w:rsidRPr="0059638B" w:rsidRDefault="00972F1E" w:rsidP="00323457">
      <w:pPr>
        <w:pStyle w:val="SingleTxtG"/>
        <w:rPr>
          <w:sz w:val="20"/>
          <w:szCs w:val="20"/>
        </w:rPr>
      </w:pPr>
      <w:r>
        <w:rPr>
          <w:sz w:val="20"/>
          <w:szCs w:val="20"/>
        </w:rPr>
        <w:t>686</w:t>
      </w:r>
      <w:r w:rsidR="00D7475F">
        <w:rPr>
          <w:sz w:val="20"/>
          <w:szCs w:val="20"/>
        </w:rPr>
        <w:t>.</w:t>
      </w:r>
      <w:r w:rsidR="00D7475F">
        <w:rPr>
          <w:sz w:val="20"/>
          <w:szCs w:val="20"/>
        </w:rPr>
        <w:tab/>
      </w:r>
      <w:r w:rsidR="00323457" w:rsidRPr="0059638B">
        <w:rPr>
          <w:sz w:val="20"/>
          <w:szCs w:val="20"/>
        </w:rPr>
        <w:t>Pursuant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Khartoum</w:t>
      </w:r>
      <w:r w:rsidR="00FF41A0">
        <w:rPr>
          <w:sz w:val="20"/>
          <w:szCs w:val="20"/>
        </w:rPr>
        <w:t xml:space="preserve"> </w:t>
      </w:r>
      <w:r w:rsidR="00323457" w:rsidRPr="0059638B">
        <w:rPr>
          <w:sz w:val="20"/>
          <w:szCs w:val="20"/>
        </w:rPr>
        <w:t>Agreement,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parties</w:t>
      </w:r>
      <w:r w:rsidR="00FF41A0">
        <w:rPr>
          <w:sz w:val="20"/>
          <w:szCs w:val="20"/>
        </w:rPr>
        <w:t xml:space="preserve"> </w:t>
      </w:r>
      <w:r w:rsidR="00323457" w:rsidRPr="0059638B">
        <w:rPr>
          <w:sz w:val="20"/>
          <w:szCs w:val="20"/>
        </w:rPr>
        <w:t>agreed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waive</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recourse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armed</w:t>
      </w:r>
      <w:r w:rsidR="00FF41A0">
        <w:rPr>
          <w:sz w:val="20"/>
          <w:szCs w:val="20"/>
        </w:rPr>
        <w:t xml:space="preserve"> </w:t>
      </w:r>
      <w:r w:rsidR="00323457" w:rsidRPr="0059638B">
        <w:rPr>
          <w:sz w:val="20"/>
          <w:szCs w:val="20"/>
        </w:rPr>
        <w:t>force</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settlement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dispute.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State</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committed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continuing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reform</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security</w:t>
      </w:r>
      <w:r w:rsidR="00FF41A0">
        <w:rPr>
          <w:sz w:val="20"/>
          <w:szCs w:val="20"/>
        </w:rPr>
        <w:t xml:space="preserve"> </w:t>
      </w:r>
      <w:r w:rsidR="00323457" w:rsidRPr="0059638B">
        <w:rPr>
          <w:sz w:val="20"/>
          <w:szCs w:val="20"/>
        </w:rPr>
        <w:t>sector</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ensuring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army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security</w:t>
      </w:r>
      <w:r w:rsidR="00FF41A0">
        <w:rPr>
          <w:sz w:val="20"/>
          <w:szCs w:val="20"/>
        </w:rPr>
        <w:t xml:space="preserve"> </w:t>
      </w:r>
      <w:r w:rsidR="00323457" w:rsidRPr="0059638B">
        <w:rPr>
          <w:sz w:val="20"/>
          <w:szCs w:val="20"/>
        </w:rPr>
        <w:t>forces</w:t>
      </w:r>
      <w:r w:rsidR="00FF41A0">
        <w:rPr>
          <w:sz w:val="20"/>
          <w:szCs w:val="20"/>
        </w:rPr>
        <w:t xml:space="preserve"> </w:t>
      </w:r>
      <w:r w:rsidR="00323457" w:rsidRPr="0059638B">
        <w:rPr>
          <w:sz w:val="20"/>
          <w:szCs w:val="20"/>
        </w:rPr>
        <w:t>behave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line</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principles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Republic.</w:t>
      </w:r>
      <w:r w:rsidR="00FF41A0">
        <w:rPr>
          <w:sz w:val="20"/>
          <w:szCs w:val="20"/>
        </w:rPr>
        <w:t xml:space="preserve"> </w:t>
      </w:r>
      <w:r w:rsidR="00323457" w:rsidRPr="0059638B">
        <w:rPr>
          <w:sz w:val="20"/>
          <w:szCs w:val="20"/>
        </w:rPr>
        <w:t>Moreover,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armed</w:t>
      </w:r>
      <w:r w:rsidR="00FF41A0">
        <w:rPr>
          <w:sz w:val="20"/>
          <w:szCs w:val="20"/>
        </w:rPr>
        <w:t xml:space="preserve"> </w:t>
      </w:r>
      <w:r w:rsidR="00323457" w:rsidRPr="0059638B">
        <w:rPr>
          <w:sz w:val="20"/>
          <w:szCs w:val="20"/>
        </w:rPr>
        <w:t>groups</w:t>
      </w:r>
      <w:r w:rsidR="00FF41A0">
        <w:rPr>
          <w:sz w:val="20"/>
          <w:szCs w:val="20"/>
        </w:rPr>
        <w:t xml:space="preserve"> </w:t>
      </w:r>
      <w:r w:rsidR="00323457" w:rsidRPr="0059638B">
        <w:rPr>
          <w:sz w:val="20"/>
          <w:szCs w:val="20"/>
        </w:rPr>
        <w:t>recognized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importance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Programme</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Disarmament,</w:t>
      </w:r>
      <w:r w:rsidR="00FF41A0">
        <w:rPr>
          <w:sz w:val="20"/>
          <w:szCs w:val="20"/>
        </w:rPr>
        <w:t xml:space="preserve"> </w:t>
      </w:r>
      <w:r w:rsidR="00323457" w:rsidRPr="0059638B">
        <w:rPr>
          <w:sz w:val="20"/>
          <w:szCs w:val="20"/>
        </w:rPr>
        <w:t>Demobilization,</w:t>
      </w:r>
      <w:r w:rsidR="00FF41A0">
        <w:rPr>
          <w:sz w:val="20"/>
          <w:szCs w:val="20"/>
        </w:rPr>
        <w:t xml:space="preserve"> </w:t>
      </w:r>
      <w:r w:rsidR="00323457" w:rsidRPr="0059638B">
        <w:rPr>
          <w:sz w:val="20"/>
          <w:szCs w:val="20"/>
        </w:rPr>
        <w:t>Reintegration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Repatriation</w:t>
      </w:r>
      <w:r w:rsidR="00FF41A0">
        <w:rPr>
          <w:sz w:val="20"/>
          <w:szCs w:val="20"/>
        </w:rPr>
        <w:t xml:space="preserve"> </w:t>
      </w:r>
      <w:r w:rsidR="00323457" w:rsidRPr="0059638B">
        <w:rPr>
          <w:sz w:val="20"/>
          <w:szCs w:val="20"/>
        </w:rPr>
        <w:t>(PNDDRR)</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an</w:t>
      </w:r>
      <w:r w:rsidR="00FF41A0">
        <w:rPr>
          <w:sz w:val="20"/>
          <w:szCs w:val="20"/>
        </w:rPr>
        <w:t xml:space="preserve"> </w:t>
      </w:r>
      <w:r w:rsidR="00323457" w:rsidRPr="0059638B">
        <w:rPr>
          <w:sz w:val="20"/>
          <w:szCs w:val="20"/>
        </w:rPr>
        <w:t>implementation</w:t>
      </w:r>
      <w:r w:rsidR="00FF41A0">
        <w:rPr>
          <w:sz w:val="20"/>
          <w:szCs w:val="20"/>
        </w:rPr>
        <w:t xml:space="preserve"> </w:t>
      </w:r>
      <w:r w:rsidR="00323457" w:rsidRPr="0059638B">
        <w:rPr>
          <w:sz w:val="20"/>
          <w:szCs w:val="20"/>
        </w:rPr>
        <w:t>strategy</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country</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stabilization</w:t>
      </w:r>
      <w:r w:rsidR="00FF41A0">
        <w:rPr>
          <w:sz w:val="20"/>
          <w:szCs w:val="20"/>
        </w:rPr>
        <w:t xml:space="preserve"> </w:t>
      </w:r>
      <w:r w:rsidR="00323457" w:rsidRPr="0059638B">
        <w:rPr>
          <w:sz w:val="20"/>
          <w:szCs w:val="20"/>
        </w:rPr>
        <w:t>process.</w:t>
      </w:r>
      <w:r w:rsidR="00FF41A0">
        <w:rPr>
          <w:sz w:val="20"/>
          <w:szCs w:val="20"/>
        </w:rPr>
        <w:t xml:space="preserve"> </w:t>
      </w:r>
      <w:r w:rsidR="00323457" w:rsidRPr="0059638B">
        <w:rPr>
          <w:sz w:val="20"/>
          <w:szCs w:val="20"/>
        </w:rPr>
        <w:t>They</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agreed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ensure</w:t>
      </w:r>
      <w:r w:rsidR="00FF41A0">
        <w:rPr>
          <w:sz w:val="20"/>
          <w:szCs w:val="20"/>
        </w:rPr>
        <w:t xml:space="preserve"> </w:t>
      </w:r>
      <w:r w:rsidR="00323457" w:rsidRPr="0059638B">
        <w:rPr>
          <w:sz w:val="20"/>
          <w:szCs w:val="20"/>
        </w:rPr>
        <w:t>rigorous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transparent</w:t>
      </w:r>
      <w:r w:rsidR="00FF41A0">
        <w:rPr>
          <w:sz w:val="20"/>
          <w:szCs w:val="20"/>
        </w:rPr>
        <w:t xml:space="preserve"> </w:t>
      </w:r>
      <w:r w:rsidR="00323457" w:rsidRPr="0059638B">
        <w:rPr>
          <w:sz w:val="20"/>
          <w:szCs w:val="20"/>
        </w:rPr>
        <w:t>management</w:t>
      </w:r>
      <w:r w:rsidR="00FF41A0">
        <w:rPr>
          <w:sz w:val="20"/>
          <w:szCs w:val="20"/>
        </w:rPr>
        <w:t xml:space="preserve"> </w:t>
      </w:r>
      <w:r w:rsidR="00323457" w:rsidRPr="0059638B">
        <w:rPr>
          <w:sz w:val="20"/>
          <w:szCs w:val="20"/>
        </w:rPr>
        <w:t>through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involvement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armed</w:t>
      </w:r>
      <w:r w:rsidR="00FF41A0">
        <w:rPr>
          <w:sz w:val="20"/>
          <w:szCs w:val="20"/>
        </w:rPr>
        <w:t xml:space="preserve"> </w:t>
      </w:r>
      <w:r w:rsidR="00323457" w:rsidRPr="0059638B">
        <w:rPr>
          <w:sz w:val="20"/>
          <w:szCs w:val="20"/>
        </w:rPr>
        <w:t>groups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strategic</w:t>
      </w:r>
      <w:r w:rsidR="00FF41A0">
        <w:rPr>
          <w:sz w:val="20"/>
          <w:szCs w:val="20"/>
        </w:rPr>
        <w:t xml:space="preserve"> </w:t>
      </w:r>
      <w:r w:rsidR="00323457" w:rsidRPr="0059638B">
        <w:rPr>
          <w:sz w:val="20"/>
          <w:szCs w:val="20"/>
        </w:rPr>
        <w:t>committee,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technical</w:t>
      </w:r>
      <w:r w:rsidR="00FF41A0">
        <w:rPr>
          <w:sz w:val="20"/>
          <w:szCs w:val="20"/>
        </w:rPr>
        <w:t xml:space="preserve"> </w:t>
      </w:r>
      <w:r w:rsidR="00323457" w:rsidRPr="0059638B">
        <w:rPr>
          <w:sz w:val="20"/>
          <w:szCs w:val="20"/>
        </w:rPr>
        <w:t>committee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coordination.</w:t>
      </w:r>
    </w:p>
    <w:p w14:paraId="166FA1EF" w14:textId="0579F9F6" w:rsidR="00323457" w:rsidRPr="0059638B" w:rsidRDefault="00972F1E" w:rsidP="00323457">
      <w:pPr>
        <w:pStyle w:val="SingleTxtG"/>
        <w:rPr>
          <w:sz w:val="20"/>
          <w:szCs w:val="20"/>
        </w:rPr>
      </w:pPr>
      <w:r>
        <w:rPr>
          <w:sz w:val="20"/>
          <w:szCs w:val="20"/>
        </w:rPr>
        <w:t>687</w:t>
      </w:r>
      <w:r w:rsidR="00D7475F">
        <w:rPr>
          <w:sz w:val="20"/>
          <w:szCs w:val="20"/>
        </w:rPr>
        <w:t>.</w:t>
      </w:r>
      <w:r w:rsidR="00D7475F">
        <w:rPr>
          <w:sz w:val="20"/>
          <w:szCs w:val="20"/>
        </w:rPr>
        <w:tab/>
      </w:r>
      <w:r w:rsidR="00323457" w:rsidRPr="0059638B">
        <w:rPr>
          <w:sz w:val="20"/>
          <w:szCs w:val="20"/>
        </w:rPr>
        <w:t>Similarly,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Security</w:t>
      </w:r>
      <w:r w:rsidR="00FF41A0">
        <w:rPr>
          <w:sz w:val="20"/>
          <w:szCs w:val="20"/>
        </w:rPr>
        <w:t xml:space="preserve"> </w:t>
      </w:r>
      <w:r w:rsidR="00323457" w:rsidRPr="0059638B">
        <w:rPr>
          <w:sz w:val="20"/>
          <w:szCs w:val="20"/>
        </w:rPr>
        <w:t>Sector</w:t>
      </w:r>
      <w:r w:rsidR="00FF41A0">
        <w:rPr>
          <w:sz w:val="20"/>
          <w:szCs w:val="20"/>
        </w:rPr>
        <w:t xml:space="preserve"> </w:t>
      </w:r>
      <w:r w:rsidR="00323457" w:rsidRPr="0059638B">
        <w:rPr>
          <w:sz w:val="20"/>
          <w:szCs w:val="20"/>
        </w:rPr>
        <w:t>Reform</w:t>
      </w:r>
      <w:r w:rsidR="00FF41A0">
        <w:rPr>
          <w:sz w:val="20"/>
          <w:szCs w:val="20"/>
        </w:rPr>
        <w:t xml:space="preserve"> </w:t>
      </w:r>
      <w:r w:rsidR="00323457" w:rsidRPr="0059638B">
        <w:rPr>
          <w:sz w:val="20"/>
          <w:szCs w:val="20"/>
        </w:rPr>
        <w:t>Strategy</w:t>
      </w:r>
      <w:r w:rsidR="00FF41A0">
        <w:rPr>
          <w:sz w:val="20"/>
          <w:szCs w:val="20"/>
        </w:rPr>
        <w:t xml:space="preserve"> </w:t>
      </w:r>
      <w:r w:rsidR="00323457" w:rsidRPr="0059638B">
        <w:rPr>
          <w:sz w:val="20"/>
          <w:szCs w:val="20"/>
        </w:rPr>
        <w:t>will</w:t>
      </w:r>
      <w:r w:rsidR="00FF41A0">
        <w:rPr>
          <w:sz w:val="20"/>
          <w:szCs w:val="20"/>
        </w:rPr>
        <w:t xml:space="preserve"> </w:t>
      </w:r>
      <w:r w:rsidR="00323457" w:rsidRPr="0059638B">
        <w:rPr>
          <w:sz w:val="20"/>
          <w:szCs w:val="20"/>
        </w:rPr>
        <w:t>continue.</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process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analysis,</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enforcement,</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well</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monitoring</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evaluation,</w:t>
      </w:r>
      <w:r w:rsidR="00FF41A0">
        <w:rPr>
          <w:sz w:val="20"/>
          <w:szCs w:val="20"/>
        </w:rPr>
        <w:t xml:space="preserve"> </w:t>
      </w:r>
      <w:r w:rsidR="00323457" w:rsidRPr="0059638B">
        <w:rPr>
          <w:sz w:val="20"/>
          <w:szCs w:val="20"/>
        </w:rPr>
        <w:t>aimed</w:t>
      </w:r>
      <w:r w:rsidR="00FF41A0">
        <w:rPr>
          <w:sz w:val="20"/>
          <w:szCs w:val="20"/>
        </w:rPr>
        <w:t xml:space="preserve"> </w:t>
      </w:r>
      <w:r w:rsidR="00323457" w:rsidRPr="0059638B">
        <w:rPr>
          <w:sz w:val="20"/>
          <w:szCs w:val="20"/>
        </w:rPr>
        <w:t>at</w:t>
      </w:r>
      <w:r w:rsidR="00FF41A0">
        <w:rPr>
          <w:sz w:val="20"/>
          <w:szCs w:val="20"/>
        </w:rPr>
        <w:t xml:space="preserve"> </w:t>
      </w:r>
      <w:r w:rsidR="00323457" w:rsidRPr="0059638B">
        <w:rPr>
          <w:sz w:val="20"/>
          <w:szCs w:val="20"/>
        </w:rPr>
        <w:t>establishing</w:t>
      </w:r>
      <w:r w:rsidR="00FF41A0">
        <w:rPr>
          <w:sz w:val="20"/>
          <w:szCs w:val="20"/>
        </w:rPr>
        <w:t xml:space="preserve"> </w:t>
      </w:r>
      <w:r w:rsidR="00323457" w:rsidRPr="0059638B">
        <w:rPr>
          <w:sz w:val="20"/>
          <w:szCs w:val="20"/>
        </w:rPr>
        <w:t>an</w:t>
      </w:r>
      <w:r w:rsidR="00FF41A0">
        <w:rPr>
          <w:sz w:val="20"/>
          <w:szCs w:val="20"/>
        </w:rPr>
        <w:t xml:space="preserve"> </w:t>
      </w:r>
      <w:r w:rsidR="00323457" w:rsidRPr="0059638B">
        <w:rPr>
          <w:sz w:val="20"/>
          <w:szCs w:val="20"/>
        </w:rPr>
        <w:t>effective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accountable</w:t>
      </w:r>
      <w:r w:rsidR="00FF41A0">
        <w:rPr>
          <w:sz w:val="20"/>
          <w:szCs w:val="20"/>
        </w:rPr>
        <w:t xml:space="preserve"> </w:t>
      </w:r>
      <w:r w:rsidR="00323457" w:rsidRPr="0059638B">
        <w:rPr>
          <w:sz w:val="20"/>
          <w:szCs w:val="20"/>
        </w:rPr>
        <w:t>security</w:t>
      </w:r>
      <w:r w:rsidR="00FF41A0">
        <w:rPr>
          <w:sz w:val="20"/>
          <w:szCs w:val="20"/>
        </w:rPr>
        <w:t xml:space="preserve"> </w:t>
      </w:r>
      <w:r w:rsidR="00323457" w:rsidRPr="0059638B">
        <w:rPr>
          <w:sz w:val="20"/>
          <w:szCs w:val="20"/>
        </w:rPr>
        <w:t>system</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State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citizens,</w:t>
      </w:r>
      <w:r w:rsidR="00FF41A0">
        <w:rPr>
          <w:sz w:val="20"/>
          <w:szCs w:val="20"/>
        </w:rPr>
        <w:t xml:space="preserve"> </w:t>
      </w:r>
      <w:r w:rsidR="00323457" w:rsidRPr="0059638B">
        <w:rPr>
          <w:sz w:val="20"/>
          <w:szCs w:val="20"/>
        </w:rPr>
        <w:t>without</w:t>
      </w:r>
      <w:r w:rsidR="00FF41A0">
        <w:rPr>
          <w:sz w:val="20"/>
          <w:szCs w:val="20"/>
        </w:rPr>
        <w:t xml:space="preserve"> </w:t>
      </w:r>
      <w:r w:rsidR="00323457" w:rsidRPr="0059638B">
        <w:rPr>
          <w:sz w:val="20"/>
          <w:szCs w:val="20"/>
        </w:rPr>
        <w:t>discrimination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full</w:t>
      </w:r>
      <w:r w:rsidR="00FF41A0">
        <w:rPr>
          <w:sz w:val="20"/>
          <w:szCs w:val="20"/>
        </w:rPr>
        <w:t xml:space="preserve"> </w:t>
      </w:r>
      <w:r w:rsidR="00323457" w:rsidRPr="0059638B">
        <w:rPr>
          <w:sz w:val="20"/>
          <w:szCs w:val="20"/>
        </w:rPr>
        <w:t>respect</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rule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law.</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is</w:t>
      </w:r>
      <w:r w:rsidR="00FF41A0">
        <w:rPr>
          <w:sz w:val="20"/>
          <w:szCs w:val="20"/>
        </w:rPr>
        <w:t xml:space="preserve"> </w:t>
      </w:r>
      <w:r w:rsidR="00323457" w:rsidRPr="0059638B">
        <w:rPr>
          <w:sz w:val="20"/>
          <w:szCs w:val="20"/>
        </w:rPr>
        <w:t>conceived</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an</w:t>
      </w:r>
      <w:r w:rsidR="00FF41A0">
        <w:rPr>
          <w:sz w:val="20"/>
          <w:szCs w:val="20"/>
        </w:rPr>
        <w:t xml:space="preserve"> </w:t>
      </w:r>
      <w:r w:rsidR="00323457" w:rsidRPr="0059638B">
        <w:rPr>
          <w:sz w:val="20"/>
          <w:szCs w:val="20"/>
        </w:rPr>
        <w:t>inclusive</w:t>
      </w:r>
      <w:r w:rsidR="00FF41A0">
        <w:rPr>
          <w:sz w:val="20"/>
          <w:szCs w:val="20"/>
        </w:rPr>
        <w:t xml:space="preserve"> </w:t>
      </w:r>
      <w:r w:rsidR="00323457" w:rsidRPr="0059638B">
        <w:rPr>
          <w:sz w:val="20"/>
          <w:szCs w:val="20"/>
        </w:rPr>
        <w:t>political</w:t>
      </w:r>
      <w:r w:rsidR="00FF41A0">
        <w:rPr>
          <w:sz w:val="20"/>
          <w:szCs w:val="20"/>
        </w:rPr>
        <w:t xml:space="preserve"> </w:t>
      </w:r>
      <w:r w:rsidR="00323457" w:rsidRPr="0059638B">
        <w:rPr>
          <w:sz w:val="20"/>
          <w:szCs w:val="20"/>
        </w:rPr>
        <w:t>process</w:t>
      </w:r>
      <w:r w:rsidR="00FF41A0">
        <w:rPr>
          <w:sz w:val="20"/>
          <w:szCs w:val="20"/>
        </w:rPr>
        <w:t xml:space="preserve"> </w:t>
      </w:r>
      <w:r w:rsidR="00323457" w:rsidRPr="0059638B">
        <w:rPr>
          <w:sz w:val="20"/>
          <w:szCs w:val="20"/>
        </w:rPr>
        <w:t>grounded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ownership</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holistic</w:t>
      </w:r>
      <w:r w:rsidR="00FF41A0">
        <w:rPr>
          <w:sz w:val="20"/>
          <w:szCs w:val="20"/>
        </w:rPr>
        <w:t xml:space="preserve"> </w:t>
      </w:r>
      <w:r w:rsidR="00323457" w:rsidRPr="0059638B">
        <w:rPr>
          <w:sz w:val="20"/>
          <w:szCs w:val="20"/>
        </w:rPr>
        <w:t>approach</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security.</w:t>
      </w:r>
    </w:p>
    <w:p w14:paraId="53A3FD8D" w14:textId="3FD3743E" w:rsidR="00323457" w:rsidRPr="0059638B" w:rsidRDefault="00972F1E" w:rsidP="00323457">
      <w:pPr>
        <w:pStyle w:val="SingleTxtG"/>
        <w:rPr>
          <w:sz w:val="20"/>
          <w:szCs w:val="20"/>
        </w:rPr>
      </w:pPr>
      <w:r>
        <w:rPr>
          <w:sz w:val="20"/>
          <w:szCs w:val="20"/>
        </w:rPr>
        <w:t>688</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delegation</w:t>
      </w:r>
      <w:r w:rsidR="00FF41A0">
        <w:rPr>
          <w:sz w:val="20"/>
          <w:szCs w:val="20"/>
        </w:rPr>
        <w:t xml:space="preserve"> </w:t>
      </w:r>
      <w:r w:rsidR="00323457" w:rsidRPr="0059638B">
        <w:rPr>
          <w:sz w:val="20"/>
          <w:szCs w:val="20"/>
        </w:rPr>
        <w:t>highlighted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Central</w:t>
      </w:r>
      <w:r w:rsidR="00FF41A0">
        <w:rPr>
          <w:sz w:val="20"/>
          <w:szCs w:val="20"/>
        </w:rPr>
        <w:t xml:space="preserve"> </w:t>
      </w:r>
      <w:r w:rsidR="00323457" w:rsidRPr="0059638B">
        <w:rPr>
          <w:sz w:val="20"/>
          <w:szCs w:val="20"/>
        </w:rPr>
        <w:t>African</w:t>
      </w:r>
      <w:r w:rsidR="00FF41A0">
        <w:rPr>
          <w:sz w:val="20"/>
          <w:szCs w:val="20"/>
        </w:rPr>
        <w:t xml:space="preserve"> </w:t>
      </w:r>
      <w:r w:rsidR="00323457" w:rsidRPr="0059638B">
        <w:rPr>
          <w:sz w:val="20"/>
          <w:szCs w:val="20"/>
        </w:rPr>
        <w:t>Republic</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already</w:t>
      </w:r>
      <w:r w:rsidR="00FF41A0">
        <w:rPr>
          <w:sz w:val="20"/>
          <w:szCs w:val="20"/>
        </w:rPr>
        <w:t xml:space="preserve"> </w:t>
      </w:r>
      <w:r w:rsidR="00323457" w:rsidRPr="0059638B">
        <w:rPr>
          <w:sz w:val="20"/>
          <w:szCs w:val="20"/>
        </w:rPr>
        <w:t>ratified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Optional</w:t>
      </w:r>
      <w:r w:rsidR="00FF41A0">
        <w:rPr>
          <w:sz w:val="20"/>
          <w:szCs w:val="20"/>
        </w:rPr>
        <w:t xml:space="preserve"> </w:t>
      </w:r>
      <w:r w:rsidR="00323457" w:rsidRPr="0059638B">
        <w:rPr>
          <w:sz w:val="20"/>
          <w:szCs w:val="20"/>
        </w:rPr>
        <w:t>Protocol</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Convention</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Child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sale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children,</w:t>
      </w:r>
      <w:r w:rsidR="00FF41A0">
        <w:rPr>
          <w:sz w:val="20"/>
          <w:szCs w:val="20"/>
        </w:rPr>
        <w:t xml:space="preserve"> </w:t>
      </w:r>
      <w:r w:rsidR="00323457" w:rsidRPr="0059638B">
        <w:rPr>
          <w:sz w:val="20"/>
          <w:szCs w:val="20"/>
        </w:rPr>
        <w:t>child</w:t>
      </w:r>
      <w:r w:rsidR="00FF41A0">
        <w:rPr>
          <w:sz w:val="20"/>
          <w:szCs w:val="20"/>
        </w:rPr>
        <w:t xml:space="preserve"> </w:t>
      </w:r>
      <w:r w:rsidR="00323457" w:rsidRPr="0059638B">
        <w:rPr>
          <w:sz w:val="20"/>
          <w:szCs w:val="20"/>
        </w:rPr>
        <w:t>prostitution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child</w:t>
      </w:r>
      <w:r w:rsidR="00FF41A0">
        <w:rPr>
          <w:sz w:val="20"/>
          <w:szCs w:val="20"/>
        </w:rPr>
        <w:t xml:space="preserve"> </w:t>
      </w:r>
      <w:r w:rsidR="00323457" w:rsidRPr="0059638B">
        <w:rPr>
          <w:sz w:val="20"/>
          <w:szCs w:val="20"/>
        </w:rPr>
        <w:t>pornography;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Optional</w:t>
      </w:r>
      <w:r w:rsidR="00FF41A0">
        <w:rPr>
          <w:sz w:val="20"/>
          <w:szCs w:val="20"/>
        </w:rPr>
        <w:t xml:space="preserve"> </w:t>
      </w:r>
      <w:r w:rsidR="00323457" w:rsidRPr="0059638B">
        <w:rPr>
          <w:sz w:val="20"/>
          <w:szCs w:val="20"/>
        </w:rPr>
        <w:t>Protocol</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Convention</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Child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involvement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children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armed</w:t>
      </w:r>
      <w:r w:rsidR="00FF41A0">
        <w:rPr>
          <w:sz w:val="20"/>
          <w:szCs w:val="20"/>
        </w:rPr>
        <w:t xml:space="preserve"> </w:t>
      </w:r>
      <w:r w:rsidR="00323457" w:rsidRPr="0059638B">
        <w:rPr>
          <w:sz w:val="20"/>
          <w:szCs w:val="20"/>
        </w:rPr>
        <w:t>conflict.</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addition,</w:t>
      </w:r>
      <w:r w:rsidR="00FF41A0">
        <w:rPr>
          <w:sz w:val="20"/>
          <w:szCs w:val="20"/>
        </w:rPr>
        <w:t xml:space="preserve"> </w:t>
      </w:r>
      <w:r w:rsidR="00323457" w:rsidRPr="0059638B">
        <w:rPr>
          <w:sz w:val="20"/>
          <w:szCs w:val="20"/>
        </w:rPr>
        <w:t>measures</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being</w:t>
      </w:r>
      <w:r w:rsidR="00FF41A0">
        <w:rPr>
          <w:sz w:val="20"/>
          <w:szCs w:val="20"/>
        </w:rPr>
        <w:t xml:space="preserve"> </w:t>
      </w:r>
      <w:r w:rsidR="00323457" w:rsidRPr="0059638B">
        <w:rPr>
          <w:sz w:val="20"/>
          <w:szCs w:val="20"/>
        </w:rPr>
        <w:t>taken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ratify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Optional</w:t>
      </w:r>
      <w:r w:rsidR="00FF41A0">
        <w:rPr>
          <w:sz w:val="20"/>
          <w:szCs w:val="20"/>
        </w:rPr>
        <w:t xml:space="preserve"> </w:t>
      </w:r>
      <w:r w:rsidR="00323457" w:rsidRPr="0059638B">
        <w:rPr>
          <w:sz w:val="20"/>
          <w:szCs w:val="20"/>
        </w:rPr>
        <w:t>Protocol</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Convention</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Child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communications</w:t>
      </w:r>
      <w:r w:rsidR="00FF41A0">
        <w:rPr>
          <w:sz w:val="20"/>
          <w:szCs w:val="20"/>
        </w:rPr>
        <w:t xml:space="preserve"> </w:t>
      </w:r>
      <w:r w:rsidR="00323457" w:rsidRPr="0059638B">
        <w:rPr>
          <w:sz w:val="20"/>
          <w:szCs w:val="20"/>
        </w:rPr>
        <w:t>procedure,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very</w:t>
      </w:r>
      <w:r w:rsidR="00FF41A0">
        <w:rPr>
          <w:sz w:val="20"/>
          <w:szCs w:val="20"/>
        </w:rPr>
        <w:t xml:space="preserve"> </w:t>
      </w:r>
      <w:r w:rsidR="00323457" w:rsidRPr="0059638B">
        <w:rPr>
          <w:sz w:val="20"/>
          <w:szCs w:val="20"/>
        </w:rPr>
        <w:t>near</w:t>
      </w:r>
      <w:r w:rsidR="00FF41A0">
        <w:rPr>
          <w:sz w:val="20"/>
          <w:szCs w:val="20"/>
        </w:rPr>
        <w:t xml:space="preserve"> </w:t>
      </w:r>
      <w:r w:rsidR="00323457" w:rsidRPr="0059638B">
        <w:rPr>
          <w:sz w:val="20"/>
          <w:szCs w:val="20"/>
        </w:rPr>
        <w:t>future.</w:t>
      </w:r>
      <w:r w:rsidR="00FF41A0">
        <w:rPr>
          <w:sz w:val="20"/>
          <w:szCs w:val="20"/>
        </w:rPr>
        <w:t xml:space="preserve"> </w:t>
      </w:r>
      <w:r w:rsidR="00323457" w:rsidRPr="0059638B">
        <w:rPr>
          <w:sz w:val="20"/>
          <w:szCs w:val="20"/>
        </w:rPr>
        <w:t>Thus,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transmitted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Assembly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bill</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Code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child</w:t>
      </w:r>
      <w:r w:rsidR="00FF41A0">
        <w:rPr>
          <w:sz w:val="20"/>
          <w:szCs w:val="20"/>
        </w:rPr>
        <w:t xml:space="preserve"> </w:t>
      </w:r>
      <w:r w:rsidR="00323457" w:rsidRPr="0059638B">
        <w:rPr>
          <w:sz w:val="20"/>
          <w:szCs w:val="20"/>
        </w:rPr>
        <w:t>protection.</w:t>
      </w:r>
    </w:p>
    <w:p w14:paraId="5542FF1C" w14:textId="60FB68B2" w:rsidR="00323457" w:rsidRPr="0059638B" w:rsidRDefault="00972F1E" w:rsidP="00323457">
      <w:pPr>
        <w:pStyle w:val="SingleTxtG"/>
        <w:rPr>
          <w:sz w:val="20"/>
          <w:szCs w:val="20"/>
        </w:rPr>
      </w:pPr>
      <w:r>
        <w:rPr>
          <w:sz w:val="20"/>
          <w:szCs w:val="20"/>
        </w:rPr>
        <w:lastRenderedPageBreak/>
        <w:t>689</w:t>
      </w:r>
      <w:r w:rsidR="00D7475F">
        <w:rPr>
          <w:sz w:val="20"/>
          <w:szCs w:val="20"/>
        </w:rPr>
        <w:t>.</w:t>
      </w:r>
      <w:r w:rsidR="00D7475F">
        <w:rPr>
          <w:sz w:val="20"/>
          <w:szCs w:val="20"/>
        </w:rPr>
        <w:tab/>
      </w:r>
      <w:r w:rsidR="00323457" w:rsidRPr="0059638B">
        <w:rPr>
          <w:sz w:val="20"/>
          <w:szCs w:val="20"/>
        </w:rPr>
        <w:t>Regarding</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abolition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death</w:t>
      </w:r>
      <w:r w:rsidR="00FF41A0">
        <w:rPr>
          <w:sz w:val="20"/>
          <w:szCs w:val="20"/>
        </w:rPr>
        <w:t xml:space="preserve"> </w:t>
      </w:r>
      <w:r w:rsidR="00323457" w:rsidRPr="0059638B">
        <w:rPr>
          <w:sz w:val="20"/>
          <w:szCs w:val="20"/>
        </w:rPr>
        <w:t>penalty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ratification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Second</w:t>
      </w:r>
      <w:r w:rsidR="00FF41A0">
        <w:rPr>
          <w:sz w:val="20"/>
          <w:szCs w:val="20"/>
        </w:rPr>
        <w:t xml:space="preserve"> </w:t>
      </w:r>
      <w:r w:rsidR="00323457" w:rsidRPr="0059638B">
        <w:rPr>
          <w:sz w:val="20"/>
          <w:szCs w:val="20"/>
        </w:rPr>
        <w:t>Optional</w:t>
      </w:r>
      <w:r w:rsidR="00FF41A0">
        <w:rPr>
          <w:sz w:val="20"/>
          <w:szCs w:val="20"/>
        </w:rPr>
        <w:t xml:space="preserve"> </w:t>
      </w:r>
      <w:r w:rsidR="00323457" w:rsidRPr="0059638B">
        <w:rPr>
          <w:sz w:val="20"/>
          <w:szCs w:val="20"/>
        </w:rPr>
        <w:t>Protocol</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Covenant</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Civil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Political</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aiming</w:t>
      </w:r>
      <w:r w:rsidR="00FF41A0">
        <w:rPr>
          <w:sz w:val="20"/>
          <w:szCs w:val="20"/>
        </w:rPr>
        <w:t xml:space="preserve"> </w:t>
      </w:r>
      <w:r w:rsidR="00323457" w:rsidRPr="0059638B">
        <w:rPr>
          <w:sz w:val="20"/>
          <w:szCs w:val="20"/>
        </w:rPr>
        <w:t>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abolition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death</w:t>
      </w:r>
      <w:r w:rsidR="00FF41A0">
        <w:rPr>
          <w:sz w:val="20"/>
          <w:szCs w:val="20"/>
        </w:rPr>
        <w:t xml:space="preserve"> </w:t>
      </w:r>
      <w:r w:rsidR="00323457" w:rsidRPr="0059638B">
        <w:rPr>
          <w:sz w:val="20"/>
          <w:szCs w:val="20"/>
        </w:rPr>
        <w:t>penalty,</w:t>
      </w:r>
      <w:r w:rsidR="00FF41A0">
        <w:rPr>
          <w:sz w:val="20"/>
          <w:szCs w:val="20"/>
        </w:rPr>
        <w:t xml:space="preserve"> </w:t>
      </w:r>
      <w:r w:rsidR="00323457" w:rsidRPr="0059638B">
        <w:rPr>
          <w:sz w:val="20"/>
          <w:szCs w:val="20"/>
        </w:rPr>
        <w:t>according</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delegation,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Central</w:t>
      </w:r>
      <w:r w:rsidR="00FF41A0">
        <w:rPr>
          <w:sz w:val="20"/>
          <w:szCs w:val="20"/>
        </w:rPr>
        <w:t xml:space="preserve"> </w:t>
      </w:r>
      <w:r w:rsidR="00323457" w:rsidRPr="0059638B">
        <w:rPr>
          <w:sz w:val="20"/>
          <w:szCs w:val="20"/>
        </w:rPr>
        <w:t>African</w:t>
      </w:r>
      <w:r w:rsidR="00FF41A0">
        <w:rPr>
          <w:sz w:val="20"/>
          <w:szCs w:val="20"/>
        </w:rPr>
        <w:t xml:space="preserve"> </w:t>
      </w:r>
      <w:r w:rsidR="00323457" w:rsidRPr="0059638B">
        <w:rPr>
          <w:sz w:val="20"/>
          <w:szCs w:val="20"/>
        </w:rPr>
        <w:t>Republic</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resolutely</w:t>
      </w:r>
      <w:r w:rsidR="00FF41A0">
        <w:rPr>
          <w:sz w:val="20"/>
          <w:szCs w:val="20"/>
        </w:rPr>
        <w:t xml:space="preserve"> </w:t>
      </w:r>
      <w:r w:rsidR="00323457" w:rsidRPr="0059638B">
        <w:rPr>
          <w:sz w:val="20"/>
          <w:szCs w:val="20"/>
        </w:rPr>
        <w:t>embarked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process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abolishing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death</w:t>
      </w:r>
      <w:r w:rsidR="00FF41A0">
        <w:rPr>
          <w:sz w:val="20"/>
          <w:szCs w:val="20"/>
        </w:rPr>
        <w:t xml:space="preserve"> </w:t>
      </w:r>
      <w:r w:rsidR="00323457" w:rsidRPr="0059638B">
        <w:rPr>
          <w:sz w:val="20"/>
          <w:szCs w:val="20"/>
        </w:rPr>
        <w:t>penalty.</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first</w:t>
      </w:r>
      <w:r w:rsidR="00FF41A0">
        <w:rPr>
          <w:sz w:val="20"/>
          <w:szCs w:val="20"/>
        </w:rPr>
        <w:t xml:space="preserve"> </w:t>
      </w:r>
      <w:r w:rsidR="00323457" w:rsidRPr="0059638B">
        <w:rPr>
          <w:sz w:val="20"/>
          <w:szCs w:val="20"/>
        </w:rPr>
        <w:t>step,</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Code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Military</w:t>
      </w:r>
      <w:r w:rsidR="00FF41A0">
        <w:rPr>
          <w:sz w:val="20"/>
          <w:szCs w:val="20"/>
        </w:rPr>
        <w:t xml:space="preserve"> </w:t>
      </w:r>
      <w:r w:rsidR="00323457" w:rsidRPr="0059638B">
        <w:rPr>
          <w:sz w:val="20"/>
          <w:szCs w:val="20"/>
        </w:rPr>
        <w:t>Justice</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adopted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2017,</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did</w:t>
      </w:r>
      <w:r w:rsidR="00FF41A0">
        <w:rPr>
          <w:sz w:val="20"/>
          <w:szCs w:val="20"/>
        </w:rPr>
        <w:t xml:space="preserve"> </w:t>
      </w:r>
      <w:r w:rsidR="00323457" w:rsidRPr="0059638B">
        <w:rPr>
          <w:sz w:val="20"/>
          <w:szCs w:val="20"/>
        </w:rPr>
        <w:t>not</w:t>
      </w:r>
      <w:r w:rsidR="00FF41A0">
        <w:rPr>
          <w:sz w:val="20"/>
          <w:szCs w:val="20"/>
        </w:rPr>
        <w:t xml:space="preserve"> </w:t>
      </w:r>
      <w:r w:rsidR="00323457" w:rsidRPr="0059638B">
        <w:rPr>
          <w:sz w:val="20"/>
          <w:szCs w:val="20"/>
        </w:rPr>
        <w:t>provide</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death</w:t>
      </w:r>
      <w:r w:rsidR="00FF41A0">
        <w:rPr>
          <w:sz w:val="20"/>
          <w:szCs w:val="20"/>
        </w:rPr>
        <w:t xml:space="preserve"> </w:t>
      </w:r>
      <w:r w:rsidR="00323457" w:rsidRPr="0059638B">
        <w:rPr>
          <w:sz w:val="20"/>
          <w:szCs w:val="20"/>
        </w:rPr>
        <w:t>penalty.</w:t>
      </w:r>
      <w:r w:rsidR="00FF41A0">
        <w:rPr>
          <w:sz w:val="20"/>
          <w:szCs w:val="20"/>
        </w:rPr>
        <w:t xml:space="preserve"> </w:t>
      </w:r>
      <w:r w:rsidR="00323457" w:rsidRPr="0059638B">
        <w:rPr>
          <w:sz w:val="20"/>
          <w:szCs w:val="20"/>
        </w:rPr>
        <w:t>Furthermore,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moratorium</w:t>
      </w:r>
      <w:r w:rsidR="00FF41A0">
        <w:rPr>
          <w:sz w:val="20"/>
          <w:szCs w:val="20"/>
        </w:rPr>
        <w:t xml:space="preserve"> </w:t>
      </w:r>
      <w:r w:rsidR="00323457" w:rsidRPr="0059638B">
        <w:rPr>
          <w:sz w:val="20"/>
          <w:szCs w:val="20"/>
        </w:rPr>
        <w:t>observed</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several</w:t>
      </w:r>
      <w:r w:rsidR="00FF41A0">
        <w:rPr>
          <w:sz w:val="20"/>
          <w:szCs w:val="20"/>
        </w:rPr>
        <w:t xml:space="preserve"> </w:t>
      </w:r>
      <w:r w:rsidR="00323457" w:rsidRPr="0059638B">
        <w:rPr>
          <w:sz w:val="20"/>
          <w:szCs w:val="20"/>
        </w:rPr>
        <w:t>years</w:t>
      </w:r>
      <w:r w:rsidR="00FF41A0">
        <w:rPr>
          <w:sz w:val="20"/>
          <w:szCs w:val="20"/>
        </w:rPr>
        <w:t xml:space="preserve"> </w:t>
      </w:r>
      <w:r w:rsidR="00323457" w:rsidRPr="0059638B">
        <w:rPr>
          <w:sz w:val="20"/>
          <w:szCs w:val="20"/>
        </w:rPr>
        <w:t>continued,</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no</w:t>
      </w:r>
      <w:r w:rsidR="00FF41A0">
        <w:rPr>
          <w:sz w:val="20"/>
          <w:szCs w:val="20"/>
        </w:rPr>
        <w:t xml:space="preserve"> </w:t>
      </w:r>
      <w:r w:rsidR="00323457" w:rsidRPr="0059638B">
        <w:rPr>
          <w:sz w:val="20"/>
          <w:szCs w:val="20"/>
        </w:rPr>
        <w:t>death</w:t>
      </w:r>
      <w:r w:rsidR="00FF41A0">
        <w:rPr>
          <w:sz w:val="20"/>
          <w:szCs w:val="20"/>
        </w:rPr>
        <w:t xml:space="preserve"> </w:t>
      </w:r>
      <w:r w:rsidR="00323457" w:rsidRPr="0059638B">
        <w:rPr>
          <w:sz w:val="20"/>
          <w:szCs w:val="20"/>
        </w:rPr>
        <w:t>sentence</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pronounced</w:t>
      </w:r>
      <w:r w:rsidR="00FF41A0">
        <w:rPr>
          <w:sz w:val="20"/>
          <w:szCs w:val="20"/>
        </w:rPr>
        <w:t xml:space="preserve"> </w:t>
      </w:r>
      <w:r w:rsidR="00323457" w:rsidRPr="0059638B">
        <w:rPr>
          <w:sz w:val="20"/>
          <w:szCs w:val="20"/>
        </w:rPr>
        <w:t>since</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criminal</w:t>
      </w:r>
      <w:r w:rsidR="00FF41A0">
        <w:rPr>
          <w:sz w:val="20"/>
          <w:szCs w:val="20"/>
        </w:rPr>
        <w:t xml:space="preserve"> </w:t>
      </w:r>
      <w:r w:rsidR="00323457" w:rsidRPr="0059638B">
        <w:rPr>
          <w:sz w:val="20"/>
          <w:szCs w:val="20"/>
        </w:rPr>
        <w:t>sessions.</w:t>
      </w:r>
      <w:r w:rsidR="00FF41A0">
        <w:rPr>
          <w:sz w:val="20"/>
          <w:szCs w:val="20"/>
        </w:rPr>
        <w:t xml:space="preserve"> </w:t>
      </w:r>
      <w:r w:rsidR="00323457" w:rsidRPr="0059638B">
        <w:rPr>
          <w:sz w:val="20"/>
          <w:szCs w:val="20"/>
        </w:rPr>
        <w:t>Furthermore,</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bill</w:t>
      </w:r>
      <w:r w:rsidR="00FF41A0">
        <w:rPr>
          <w:sz w:val="20"/>
          <w:szCs w:val="20"/>
        </w:rPr>
        <w:t xml:space="preserve"> </w:t>
      </w:r>
      <w:r w:rsidR="00323457" w:rsidRPr="0059638B">
        <w:rPr>
          <w:sz w:val="20"/>
          <w:szCs w:val="20"/>
        </w:rPr>
        <w:t>proposing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abolition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death</w:t>
      </w:r>
      <w:r w:rsidR="00FF41A0">
        <w:rPr>
          <w:sz w:val="20"/>
          <w:szCs w:val="20"/>
        </w:rPr>
        <w:t xml:space="preserve"> </w:t>
      </w:r>
      <w:r w:rsidR="00323457" w:rsidRPr="0059638B">
        <w:rPr>
          <w:sz w:val="20"/>
          <w:szCs w:val="20"/>
        </w:rPr>
        <w:t>penalty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amending</w:t>
      </w:r>
      <w:r w:rsidR="00FF41A0">
        <w:rPr>
          <w:sz w:val="20"/>
          <w:szCs w:val="20"/>
        </w:rPr>
        <w:t xml:space="preserve"> </w:t>
      </w:r>
      <w:r w:rsidR="00323457" w:rsidRPr="0059638B">
        <w:rPr>
          <w:sz w:val="20"/>
          <w:szCs w:val="20"/>
        </w:rPr>
        <w:t>certain</w:t>
      </w:r>
      <w:r w:rsidR="00FF41A0">
        <w:rPr>
          <w:sz w:val="20"/>
          <w:szCs w:val="20"/>
        </w:rPr>
        <w:t xml:space="preserve"> </w:t>
      </w:r>
      <w:r w:rsidR="00323457" w:rsidRPr="0059638B">
        <w:rPr>
          <w:sz w:val="20"/>
          <w:szCs w:val="20"/>
        </w:rPr>
        <w:t>provisions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Penal</w:t>
      </w:r>
      <w:r w:rsidR="00FF41A0">
        <w:rPr>
          <w:sz w:val="20"/>
          <w:szCs w:val="20"/>
        </w:rPr>
        <w:t xml:space="preserve"> </w:t>
      </w:r>
      <w:r w:rsidR="00323457" w:rsidRPr="0059638B">
        <w:rPr>
          <w:sz w:val="20"/>
          <w:szCs w:val="20"/>
        </w:rPr>
        <w:t>Code</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currently</w:t>
      </w:r>
      <w:r w:rsidR="00FF41A0">
        <w:rPr>
          <w:sz w:val="20"/>
          <w:szCs w:val="20"/>
        </w:rPr>
        <w:t xml:space="preserve"> </w:t>
      </w:r>
      <w:r w:rsidR="00323457" w:rsidRPr="0059638B">
        <w:rPr>
          <w:sz w:val="20"/>
          <w:szCs w:val="20"/>
        </w:rPr>
        <w:t>being</w:t>
      </w:r>
      <w:r w:rsidR="00FF41A0">
        <w:rPr>
          <w:sz w:val="20"/>
          <w:szCs w:val="20"/>
        </w:rPr>
        <w:t xml:space="preserve"> </w:t>
      </w:r>
      <w:r w:rsidR="00323457" w:rsidRPr="0059638B">
        <w:rPr>
          <w:sz w:val="20"/>
          <w:szCs w:val="20"/>
        </w:rPr>
        <w:t>examined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before</w:t>
      </w:r>
      <w:r w:rsidR="00FF41A0">
        <w:rPr>
          <w:sz w:val="20"/>
          <w:szCs w:val="20"/>
        </w:rPr>
        <w:t xml:space="preserve"> </w:t>
      </w:r>
      <w:r w:rsidR="00323457" w:rsidRPr="0059638B">
        <w:rPr>
          <w:sz w:val="20"/>
          <w:szCs w:val="20"/>
        </w:rPr>
        <w:t>being</w:t>
      </w:r>
      <w:r w:rsidR="00FF41A0">
        <w:rPr>
          <w:sz w:val="20"/>
          <w:szCs w:val="20"/>
        </w:rPr>
        <w:t xml:space="preserve"> </w:t>
      </w:r>
      <w:r w:rsidR="00323457" w:rsidRPr="0059638B">
        <w:rPr>
          <w:sz w:val="20"/>
          <w:szCs w:val="20"/>
        </w:rPr>
        <w:t>transmitted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Assembly</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debate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vote.</w:t>
      </w:r>
      <w:r w:rsidR="00FF41A0">
        <w:rPr>
          <w:sz w:val="20"/>
          <w:szCs w:val="20"/>
        </w:rPr>
        <w:t xml:space="preserve"> </w:t>
      </w:r>
      <w:r w:rsidR="00323457" w:rsidRPr="0059638B">
        <w:rPr>
          <w:sz w:val="20"/>
          <w:szCs w:val="20"/>
        </w:rPr>
        <w:t>Once</w:t>
      </w:r>
      <w:r w:rsidR="00FF41A0">
        <w:rPr>
          <w:sz w:val="20"/>
          <w:szCs w:val="20"/>
        </w:rPr>
        <w:t xml:space="preserve"> </w:t>
      </w:r>
      <w:r w:rsidR="00323457" w:rsidRPr="0059638B">
        <w:rPr>
          <w:sz w:val="20"/>
          <w:szCs w:val="20"/>
        </w:rPr>
        <w:t>adopted,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will</w:t>
      </w:r>
      <w:r w:rsidR="00FF41A0">
        <w:rPr>
          <w:sz w:val="20"/>
          <w:szCs w:val="20"/>
        </w:rPr>
        <w:t xml:space="preserve"> </w:t>
      </w:r>
      <w:r w:rsidR="00323457" w:rsidRPr="0059638B">
        <w:rPr>
          <w:sz w:val="20"/>
          <w:szCs w:val="20"/>
        </w:rPr>
        <w:t>initiate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ratification</w:t>
      </w:r>
      <w:r w:rsidR="00FF41A0">
        <w:rPr>
          <w:sz w:val="20"/>
          <w:szCs w:val="20"/>
        </w:rPr>
        <w:t xml:space="preserve"> </w:t>
      </w:r>
      <w:r w:rsidR="00323457" w:rsidRPr="0059638B">
        <w:rPr>
          <w:sz w:val="20"/>
          <w:szCs w:val="20"/>
        </w:rPr>
        <w:t>procedure</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Second</w:t>
      </w:r>
      <w:r w:rsidR="00FF41A0">
        <w:rPr>
          <w:sz w:val="20"/>
          <w:szCs w:val="20"/>
        </w:rPr>
        <w:t xml:space="preserve"> </w:t>
      </w:r>
      <w:r w:rsidR="00323457" w:rsidRPr="0059638B">
        <w:rPr>
          <w:sz w:val="20"/>
          <w:szCs w:val="20"/>
        </w:rPr>
        <w:t>Optional</w:t>
      </w:r>
      <w:r w:rsidR="00FF41A0">
        <w:rPr>
          <w:sz w:val="20"/>
          <w:szCs w:val="20"/>
        </w:rPr>
        <w:t xml:space="preserve"> </w:t>
      </w:r>
      <w:r w:rsidR="00323457" w:rsidRPr="0059638B">
        <w:rPr>
          <w:sz w:val="20"/>
          <w:szCs w:val="20"/>
        </w:rPr>
        <w:t>Protocol</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Covenant</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Civil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Political</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without</w:t>
      </w:r>
      <w:r w:rsidR="00FF41A0">
        <w:rPr>
          <w:sz w:val="20"/>
          <w:szCs w:val="20"/>
        </w:rPr>
        <w:t xml:space="preserve"> </w:t>
      </w:r>
      <w:r w:rsidR="00323457" w:rsidRPr="0059638B">
        <w:rPr>
          <w:sz w:val="20"/>
          <w:szCs w:val="20"/>
        </w:rPr>
        <w:t>delay.</w:t>
      </w:r>
    </w:p>
    <w:p w14:paraId="0641BCCD" w14:textId="6B4F84FA" w:rsidR="00323457" w:rsidRPr="0059638B" w:rsidRDefault="00972F1E" w:rsidP="00323457">
      <w:pPr>
        <w:pStyle w:val="SingleTxtG"/>
        <w:rPr>
          <w:sz w:val="20"/>
          <w:szCs w:val="20"/>
        </w:rPr>
      </w:pPr>
      <w:r>
        <w:rPr>
          <w:sz w:val="20"/>
          <w:szCs w:val="20"/>
        </w:rPr>
        <w:t>690</w:t>
      </w:r>
      <w:r w:rsidR="00D7475F">
        <w:rPr>
          <w:sz w:val="20"/>
          <w:szCs w:val="20"/>
        </w:rPr>
        <w:t>.</w:t>
      </w:r>
      <w:r w:rsidR="00D7475F">
        <w:rPr>
          <w:sz w:val="20"/>
          <w:szCs w:val="20"/>
        </w:rPr>
        <w:tab/>
      </w:r>
      <w:r w:rsidR="00323457" w:rsidRPr="0059638B">
        <w:rPr>
          <w:sz w:val="20"/>
          <w:szCs w:val="20"/>
        </w:rPr>
        <w:t>Regarding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situation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minority</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question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decriminalization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homosexuality,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delegation</w:t>
      </w:r>
      <w:r w:rsidR="00FF41A0">
        <w:rPr>
          <w:sz w:val="20"/>
          <w:szCs w:val="20"/>
        </w:rPr>
        <w:t xml:space="preserve"> </w:t>
      </w:r>
      <w:r w:rsidR="00323457" w:rsidRPr="0059638B">
        <w:rPr>
          <w:sz w:val="20"/>
          <w:szCs w:val="20"/>
        </w:rPr>
        <w:t>indicated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accordance</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Khartoum</w:t>
      </w:r>
      <w:r w:rsidR="00FF41A0">
        <w:rPr>
          <w:sz w:val="20"/>
          <w:szCs w:val="20"/>
        </w:rPr>
        <w:t xml:space="preserve"> </w:t>
      </w:r>
      <w:r w:rsidR="00323457" w:rsidRPr="0059638B">
        <w:rPr>
          <w:sz w:val="20"/>
          <w:szCs w:val="20"/>
        </w:rPr>
        <w:t>Agreement,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committed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promoting</w:t>
      </w:r>
      <w:r w:rsidR="00FF41A0">
        <w:rPr>
          <w:sz w:val="20"/>
          <w:szCs w:val="20"/>
        </w:rPr>
        <w:t xml:space="preserve"> </w:t>
      </w:r>
      <w:r w:rsidR="00323457" w:rsidRPr="0059638B">
        <w:rPr>
          <w:sz w:val="20"/>
          <w:szCs w:val="20"/>
        </w:rPr>
        <w:t>inclusion,</w:t>
      </w:r>
      <w:r w:rsidR="00FF41A0">
        <w:rPr>
          <w:sz w:val="20"/>
          <w:szCs w:val="20"/>
        </w:rPr>
        <w:t xml:space="preserve"> </w:t>
      </w:r>
      <w:r w:rsidR="00323457" w:rsidRPr="0059638B">
        <w:rPr>
          <w:sz w:val="20"/>
          <w:szCs w:val="20"/>
        </w:rPr>
        <w:t>affirmative</w:t>
      </w:r>
      <w:r w:rsidR="00FF41A0">
        <w:rPr>
          <w:sz w:val="20"/>
          <w:szCs w:val="20"/>
        </w:rPr>
        <w:t xml:space="preserve"> </w:t>
      </w:r>
      <w:r w:rsidR="00323457" w:rsidRPr="0059638B">
        <w:rPr>
          <w:sz w:val="20"/>
          <w:szCs w:val="20"/>
        </w:rPr>
        <w:t>action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temporary</w:t>
      </w:r>
      <w:r w:rsidR="00FF41A0">
        <w:rPr>
          <w:sz w:val="20"/>
          <w:szCs w:val="20"/>
        </w:rPr>
        <w:t xml:space="preserve"> </w:t>
      </w:r>
      <w:r w:rsidR="00323457" w:rsidRPr="0059638B">
        <w:rPr>
          <w:sz w:val="20"/>
          <w:szCs w:val="20"/>
        </w:rPr>
        <w:t>special</w:t>
      </w:r>
      <w:r w:rsidR="00FF41A0">
        <w:rPr>
          <w:sz w:val="20"/>
          <w:szCs w:val="20"/>
        </w:rPr>
        <w:t xml:space="preserve"> </w:t>
      </w:r>
      <w:r w:rsidR="00323457" w:rsidRPr="0059638B">
        <w:rPr>
          <w:sz w:val="20"/>
          <w:szCs w:val="20"/>
        </w:rPr>
        <w:t>measures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redress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inequalities</w:t>
      </w:r>
      <w:r w:rsidR="00FF41A0">
        <w:rPr>
          <w:sz w:val="20"/>
          <w:szCs w:val="20"/>
        </w:rPr>
        <w:t xml:space="preserve"> </w:t>
      </w:r>
      <w:r w:rsidR="00323457" w:rsidRPr="0059638B">
        <w:rPr>
          <w:sz w:val="20"/>
          <w:szCs w:val="20"/>
        </w:rPr>
        <w:t>affecting</w:t>
      </w:r>
      <w:r w:rsidR="00FF41A0">
        <w:rPr>
          <w:sz w:val="20"/>
          <w:szCs w:val="20"/>
        </w:rPr>
        <w:t xml:space="preserve"> </w:t>
      </w:r>
      <w:r w:rsidR="00323457" w:rsidRPr="0059638B">
        <w:rPr>
          <w:sz w:val="20"/>
          <w:szCs w:val="20"/>
        </w:rPr>
        <w:t>communities</w:t>
      </w:r>
      <w:r w:rsidR="00FF41A0">
        <w:rPr>
          <w:sz w:val="20"/>
          <w:szCs w:val="20"/>
        </w:rPr>
        <w:t xml:space="preserve"> </w:t>
      </w:r>
      <w:r w:rsidR="00323457" w:rsidRPr="0059638B">
        <w:rPr>
          <w:sz w:val="20"/>
          <w:szCs w:val="20"/>
        </w:rPr>
        <w:t>harmed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past,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ensure</w:t>
      </w:r>
      <w:r w:rsidR="00FF41A0">
        <w:rPr>
          <w:sz w:val="20"/>
          <w:szCs w:val="20"/>
        </w:rPr>
        <w:t xml:space="preserve"> </w:t>
      </w:r>
      <w:r w:rsidR="00323457" w:rsidRPr="0059638B">
        <w:rPr>
          <w:sz w:val="20"/>
          <w:szCs w:val="20"/>
        </w:rPr>
        <w:t>their</w:t>
      </w:r>
      <w:r w:rsidR="00FF41A0">
        <w:rPr>
          <w:sz w:val="20"/>
          <w:szCs w:val="20"/>
        </w:rPr>
        <w:t xml:space="preserve"> </w:t>
      </w:r>
      <w:r w:rsidR="00323457" w:rsidRPr="0059638B">
        <w:rPr>
          <w:sz w:val="20"/>
          <w:szCs w:val="20"/>
        </w:rPr>
        <w:t>full</w:t>
      </w:r>
      <w:r w:rsidR="00FF41A0">
        <w:rPr>
          <w:sz w:val="20"/>
          <w:szCs w:val="20"/>
        </w:rPr>
        <w:t xml:space="preserve"> </w:t>
      </w:r>
      <w:r w:rsidR="00323457" w:rsidRPr="0059638B">
        <w:rPr>
          <w:sz w:val="20"/>
          <w:szCs w:val="20"/>
        </w:rPr>
        <w:t>participation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political,</w:t>
      </w:r>
      <w:r w:rsidR="00FF41A0">
        <w:rPr>
          <w:sz w:val="20"/>
          <w:szCs w:val="20"/>
        </w:rPr>
        <w:t xml:space="preserve"> </w:t>
      </w:r>
      <w:r w:rsidR="00323457" w:rsidRPr="0059638B">
        <w:rPr>
          <w:sz w:val="20"/>
          <w:szCs w:val="20"/>
        </w:rPr>
        <w:t>economic</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social</w:t>
      </w:r>
      <w:r w:rsidR="00FF41A0">
        <w:rPr>
          <w:sz w:val="20"/>
          <w:szCs w:val="20"/>
        </w:rPr>
        <w:t xml:space="preserve"> </w:t>
      </w:r>
      <w:r w:rsidR="00323457" w:rsidRPr="0059638B">
        <w:rPr>
          <w:sz w:val="20"/>
          <w:szCs w:val="20"/>
        </w:rPr>
        <w:t>life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nation.</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such,</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recognized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cultural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religious</w:t>
      </w:r>
      <w:r w:rsidR="00FF41A0">
        <w:rPr>
          <w:sz w:val="20"/>
          <w:szCs w:val="20"/>
        </w:rPr>
        <w:t xml:space="preserve"> </w:t>
      </w:r>
      <w:r w:rsidR="00323457" w:rsidRPr="0059638B">
        <w:rPr>
          <w:sz w:val="20"/>
          <w:szCs w:val="20"/>
        </w:rPr>
        <w:t>diversity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committed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enhancing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contribution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constituents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Central</w:t>
      </w:r>
      <w:r w:rsidR="00FF41A0">
        <w:rPr>
          <w:sz w:val="20"/>
          <w:szCs w:val="20"/>
        </w:rPr>
        <w:t xml:space="preserve"> </w:t>
      </w:r>
      <w:r w:rsidR="00323457" w:rsidRPr="0059638B">
        <w:rPr>
          <w:sz w:val="20"/>
          <w:szCs w:val="20"/>
        </w:rPr>
        <w:t>African</w:t>
      </w:r>
      <w:r w:rsidR="00FF41A0">
        <w:rPr>
          <w:sz w:val="20"/>
          <w:szCs w:val="20"/>
        </w:rPr>
        <w:t xml:space="preserve"> </w:t>
      </w:r>
      <w:r w:rsidR="00323457" w:rsidRPr="0059638B">
        <w:rPr>
          <w:sz w:val="20"/>
          <w:szCs w:val="20"/>
        </w:rPr>
        <w:t>people,</w:t>
      </w:r>
      <w:r w:rsidR="00FF41A0">
        <w:rPr>
          <w:sz w:val="20"/>
          <w:szCs w:val="20"/>
        </w:rPr>
        <w:t xml:space="preserve"> </w:t>
      </w:r>
      <w:r w:rsidR="00323457" w:rsidRPr="0059638B">
        <w:rPr>
          <w:sz w:val="20"/>
          <w:szCs w:val="20"/>
        </w:rPr>
        <w:t>promoting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inclusiveness,</w:t>
      </w:r>
      <w:r w:rsidR="00FF41A0">
        <w:rPr>
          <w:sz w:val="20"/>
          <w:szCs w:val="20"/>
        </w:rPr>
        <w:t xml:space="preserve"> </w:t>
      </w:r>
      <w:r w:rsidR="00323457" w:rsidRPr="0059638B">
        <w:rPr>
          <w:sz w:val="20"/>
          <w:szCs w:val="20"/>
        </w:rPr>
        <w:t>particularly</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minorities,</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young</w:t>
      </w:r>
      <w:r w:rsidR="00FF41A0">
        <w:rPr>
          <w:sz w:val="20"/>
          <w:szCs w:val="20"/>
        </w:rPr>
        <w:t xml:space="preserve"> </w:t>
      </w:r>
      <w:r w:rsidR="00323457" w:rsidRPr="0059638B">
        <w:rPr>
          <w:sz w:val="20"/>
          <w:szCs w:val="20"/>
        </w:rPr>
        <w:t>people,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State</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management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reconstruction.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delegation</w:t>
      </w:r>
      <w:r w:rsidR="00FF41A0">
        <w:rPr>
          <w:sz w:val="20"/>
          <w:szCs w:val="20"/>
        </w:rPr>
        <w:t xml:space="preserve"> </w:t>
      </w:r>
      <w:r w:rsidR="00323457" w:rsidRPr="0059638B">
        <w:rPr>
          <w:sz w:val="20"/>
          <w:szCs w:val="20"/>
        </w:rPr>
        <w:t>particularly</w:t>
      </w:r>
      <w:r w:rsidR="00FF41A0">
        <w:rPr>
          <w:sz w:val="20"/>
          <w:szCs w:val="20"/>
        </w:rPr>
        <w:t xml:space="preserve"> </w:t>
      </w:r>
      <w:r w:rsidR="00323457" w:rsidRPr="0059638B">
        <w:rPr>
          <w:sz w:val="20"/>
          <w:szCs w:val="20"/>
        </w:rPr>
        <w:t>indicated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none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articles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Penal</w:t>
      </w:r>
      <w:r w:rsidR="00FF41A0">
        <w:rPr>
          <w:sz w:val="20"/>
          <w:szCs w:val="20"/>
        </w:rPr>
        <w:t xml:space="preserve"> </w:t>
      </w:r>
      <w:r w:rsidR="00323457" w:rsidRPr="0059638B">
        <w:rPr>
          <w:sz w:val="20"/>
          <w:szCs w:val="20"/>
        </w:rPr>
        <w:t>Code</w:t>
      </w:r>
      <w:r w:rsidR="00FF41A0">
        <w:rPr>
          <w:sz w:val="20"/>
          <w:szCs w:val="20"/>
        </w:rPr>
        <w:t xml:space="preserve"> </w:t>
      </w:r>
      <w:r w:rsidR="00323457" w:rsidRPr="0059638B">
        <w:rPr>
          <w:sz w:val="20"/>
          <w:szCs w:val="20"/>
        </w:rPr>
        <w:t>criminalized</w:t>
      </w:r>
      <w:r w:rsidR="00FF41A0">
        <w:rPr>
          <w:sz w:val="20"/>
          <w:szCs w:val="20"/>
        </w:rPr>
        <w:t xml:space="preserve"> </w:t>
      </w:r>
      <w:r w:rsidR="00323457" w:rsidRPr="0059638B">
        <w:rPr>
          <w:sz w:val="20"/>
          <w:szCs w:val="20"/>
        </w:rPr>
        <w:t>sexual</w:t>
      </w:r>
      <w:r w:rsidR="00FF41A0">
        <w:rPr>
          <w:sz w:val="20"/>
          <w:szCs w:val="20"/>
        </w:rPr>
        <w:t xml:space="preserve"> </w:t>
      </w:r>
      <w:r w:rsidR="00323457" w:rsidRPr="0059638B">
        <w:rPr>
          <w:sz w:val="20"/>
          <w:szCs w:val="20"/>
        </w:rPr>
        <w:t>orientation,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article</w:t>
      </w:r>
      <w:r w:rsidR="00FF41A0">
        <w:rPr>
          <w:sz w:val="20"/>
          <w:szCs w:val="20"/>
        </w:rPr>
        <w:t xml:space="preserve"> </w:t>
      </w:r>
      <w:r w:rsidR="00323457" w:rsidRPr="0059638B">
        <w:rPr>
          <w:sz w:val="20"/>
          <w:szCs w:val="20"/>
        </w:rPr>
        <w:t>115</w:t>
      </w:r>
      <w:r w:rsidR="00FF41A0">
        <w:rPr>
          <w:sz w:val="20"/>
          <w:szCs w:val="20"/>
        </w:rPr>
        <w:t xml:space="preserve"> </w:t>
      </w:r>
      <w:r w:rsidR="00323457" w:rsidRPr="0059638B">
        <w:rPr>
          <w:sz w:val="20"/>
          <w:szCs w:val="20"/>
        </w:rPr>
        <w:t>2)</w:t>
      </w:r>
      <w:r w:rsidR="00FF41A0">
        <w:rPr>
          <w:sz w:val="20"/>
          <w:szCs w:val="20"/>
        </w:rPr>
        <w:t xml:space="preserve"> </w:t>
      </w:r>
      <w:r w:rsidR="00323457" w:rsidRPr="0059638B">
        <w:rPr>
          <w:sz w:val="20"/>
          <w:szCs w:val="20"/>
        </w:rPr>
        <w:t>only</w:t>
      </w:r>
      <w:r w:rsidR="00FF41A0">
        <w:rPr>
          <w:sz w:val="20"/>
          <w:szCs w:val="20"/>
        </w:rPr>
        <w:t xml:space="preserve"> </w:t>
      </w:r>
      <w:r w:rsidR="00323457" w:rsidRPr="0059638B">
        <w:rPr>
          <w:sz w:val="20"/>
          <w:szCs w:val="20"/>
        </w:rPr>
        <w:t>referred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case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attacks</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morals</w:t>
      </w:r>
      <w:r w:rsidR="00FF41A0">
        <w:rPr>
          <w:sz w:val="20"/>
          <w:szCs w:val="20"/>
        </w:rPr>
        <w:t xml:space="preserve"> </w:t>
      </w:r>
      <w:r w:rsidR="00323457" w:rsidRPr="0059638B">
        <w:rPr>
          <w:sz w:val="20"/>
          <w:szCs w:val="20"/>
        </w:rPr>
        <w:t>committed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public</w:t>
      </w:r>
      <w:r w:rsidR="00FF41A0">
        <w:rPr>
          <w:sz w:val="20"/>
          <w:szCs w:val="20"/>
        </w:rPr>
        <w:t xml:space="preserve"> </w:t>
      </w:r>
      <w:r w:rsidR="00323457" w:rsidRPr="0059638B">
        <w:rPr>
          <w:sz w:val="20"/>
          <w:szCs w:val="20"/>
        </w:rPr>
        <w:t>place.</w:t>
      </w:r>
    </w:p>
    <w:p w14:paraId="22F4BFF8" w14:textId="6F83F89E" w:rsidR="00323457" w:rsidRPr="0059638B" w:rsidRDefault="00972F1E" w:rsidP="00323457">
      <w:pPr>
        <w:pStyle w:val="SingleTxtG"/>
        <w:rPr>
          <w:sz w:val="20"/>
          <w:szCs w:val="20"/>
        </w:rPr>
      </w:pPr>
      <w:r>
        <w:rPr>
          <w:sz w:val="20"/>
          <w:szCs w:val="20"/>
        </w:rPr>
        <w:t>691</w:t>
      </w:r>
      <w:r w:rsidR="00D7475F">
        <w:rPr>
          <w:sz w:val="20"/>
          <w:szCs w:val="20"/>
        </w:rPr>
        <w:t>.</w:t>
      </w:r>
      <w:r w:rsidR="00D7475F">
        <w:rPr>
          <w:sz w:val="20"/>
          <w:szCs w:val="20"/>
        </w:rPr>
        <w:tab/>
      </w:r>
      <w:r w:rsidR="00323457" w:rsidRPr="0059638B">
        <w:rPr>
          <w:sz w:val="20"/>
          <w:szCs w:val="20"/>
        </w:rPr>
        <w:t>To</w:t>
      </w:r>
      <w:r w:rsidR="00FF41A0">
        <w:rPr>
          <w:sz w:val="20"/>
          <w:szCs w:val="20"/>
        </w:rPr>
        <w:t xml:space="preserve"> </w:t>
      </w:r>
      <w:r w:rsidR="00323457" w:rsidRPr="0059638B">
        <w:rPr>
          <w:sz w:val="20"/>
          <w:szCs w:val="20"/>
        </w:rPr>
        <w:t>conclude,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delegation</w:t>
      </w:r>
      <w:r w:rsidR="00FF41A0">
        <w:rPr>
          <w:sz w:val="20"/>
          <w:szCs w:val="20"/>
        </w:rPr>
        <w:t xml:space="preserve"> </w:t>
      </w:r>
      <w:r w:rsidR="00323457" w:rsidRPr="0059638B">
        <w:rPr>
          <w:sz w:val="20"/>
          <w:szCs w:val="20"/>
        </w:rPr>
        <w:t>reaffirmed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importance</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Central</w:t>
      </w:r>
      <w:r w:rsidR="00FF41A0">
        <w:rPr>
          <w:sz w:val="20"/>
          <w:szCs w:val="20"/>
        </w:rPr>
        <w:t xml:space="preserve"> </w:t>
      </w:r>
      <w:r w:rsidR="00323457" w:rsidRPr="0059638B">
        <w:rPr>
          <w:sz w:val="20"/>
          <w:szCs w:val="20"/>
        </w:rPr>
        <w:t>African</w:t>
      </w:r>
      <w:r w:rsidR="00FF41A0">
        <w:rPr>
          <w:sz w:val="20"/>
          <w:szCs w:val="20"/>
        </w:rPr>
        <w:t xml:space="preserve"> </w:t>
      </w:r>
      <w:r w:rsidR="00323457" w:rsidRPr="0059638B">
        <w:rPr>
          <w:sz w:val="20"/>
          <w:szCs w:val="20"/>
        </w:rPr>
        <w:t>Republic</w:t>
      </w:r>
      <w:r w:rsidR="00FF41A0">
        <w:rPr>
          <w:sz w:val="20"/>
          <w:szCs w:val="20"/>
        </w:rPr>
        <w:t xml:space="preserve"> </w:t>
      </w:r>
      <w:r w:rsidR="00323457" w:rsidRPr="0059638B">
        <w:rPr>
          <w:sz w:val="20"/>
          <w:szCs w:val="20"/>
        </w:rPr>
        <w:t>payed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disposition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implement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received.</w:t>
      </w:r>
    </w:p>
    <w:p w14:paraId="2275491D" w14:textId="1F2D9FA4" w:rsidR="00323457" w:rsidRPr="0059638B" w:rsidRDefault="00323457" w:rsidP="00323457">
      <w:pPr>
        <w:pStyle w:val="H23G"/>
        <w:rPr>
          <w:sz w:val="20"/>
          <w:szCs w:val="20"/>
        </w:rPr>
      </w:pPr>
      <w:r w:rsidRPr="0059638B">
        <w:rPr>
          <w:sz w:val="20"/>
          <w:szCs w:val="20"/>
        </w:rPr>
        <w:tab/>
        <w:t>2.</w:t>
      </w:r>
      <w:r w:rsidRPr="0059638B">
        <w:rPr>
          <w:sz w:val="20"/>
          <w:szCs w:val="20"/>
        </w:rPr>
        <w:tab/>
        <w:t>Views</w:t>
      </w:r>
      <w:r w:rsidR="00FF41A0">
        <w:rPr>
          <w:sz w:val="20"/>
          <w:szCs w:val="20"/>
        </w:rPr>
        <w:t xml:space="preserve"> </w:t>
      </w:r>
      <w:r w:rsidRPr="0059638B">
        <w:rPr>
          <w:sz w:val="20"/>
          <w:szCs w:val="20"/>
        </w:rPr>
        <w:t>expressed</w:t>
      </w:r>
      <w:r w:rsidR="00FF41A0">
        <w:rPr>
          <w:sz w:val="20"/>
          <w:szCs w:val="20"/>
        </w:rPr>
        <w:t xml:space="preserve"> </w:t>
      </w:r>
      <w:r w:rsidRPr="0059638B">
        <w:rPr>
          <w:sz w:val="20"/>
          <w:szCs w:val="20"/>
        </w:rPr>
        <w:t>by</w:t>
      </w:r>
      <w:r w:rsidR="00FF41A0">
        <w:rPr>
          <w:sz w:val="20"/>
          <w:szCs w:val="20"/>
        </w:rPr>
        <w:t xml:space="preserve"> </w:t>
      </w:r>
      <w:r w:rsidRPr="0059638B">
        <w:rPr>
          <w:sz w:val="20"/>
          <w:szCs w:val="20"/>
        </w:rPr>
        <w:t>Member</w:t>
      </w:r>
      <w:r w:rsidR="00FF41A0">
        <w:rPr>
          <w:sz w:val="20"/>
          <w:szCs w:val="20"/>
        </w:rPr>
        <w:t xml:space="preserve"> </w:t>
      </w:r>
      <w:r w:rsidRPr="0059638B">
        <w:rPr>
          <w:sz w:val="20"/>
          <w:szCs w:val="20"/>
        </w:rPr>
        <w:t>and</w:t>
      </w:r>
      <w:r w:rsidR="00FF41A0">
        <w:rPr>
          <w:sz w:val="20"/>
          <w:szCs w:val="20"/>
        </w:rPr>
        <w:t xml:space="preserve"> </w:t>
      </w:r>
      <w:r w:rsidRPr="0059638B">
        <w:rPr>
          <w:sz w:val="20"/>
          <w:szCs w:val="20"/>
        </w:rPr>
        <w:t>observer</w:t>
      </w:r>
      <w:r w:rsidR="00FF41A0">
        <w:rPr>
          <w:sz w:val="20"/>
          <w:szCs w:val="20"/>
        </w:rPr>
        <w:t xml:space="preserve"> </w:t>
      </w:r>
      <w:r w:rsidRPr="0059638B">
        <w:rPr>
          <w:sz w:val="20"/>
          <w:szCs w:val="20"/>
        </w:rPr>
        <w:t>States</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on</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outcome</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review.</w:t>
      </w:r>
    </w:p>
    <w:p w14:paraId="0882A3F9" w14:textId="108A2A74" w:rsidR="00323457" w:rsidRPr="0059638B" w:rsidRDefault="00972F1E" w:rsidP="00323457">
      <w:pPr>
        <w:pStyle w:val="SingleTxtG"/>
        <w:rPr>
          <w:sz w:val="20"/>
          <w:szCs w:val="20"/>
        </w:rPr>
      </w:pPr>
      <w:r>
        <w:rPr>
          <w:sz w:val="20"/>
          <w:szCs w:val="20"/>
        </w:rPr>
        <w:t>692</w:t>
      </w:r>
      <w:r w:rsidR="00D7475F">
        <w:rPr>
          <w:sz w:val="20"/>
          <w:szCs w:val="20"/>
        </w:rPr>
        <w:t>.</w:t>
      </w:r>
      <w:r w:rsidR="00D7475F">
        <w:rPr>
          <w:sz w:val="20"/>
          <w:szCs w:val="20"/>
        </w:rPr>
        <w:tab/>
      </w:r>
      <w:r w:rsidR="00323457" w:rsidRPr="0059638B">
        <w:rPr>
          <w:sz w:val="20"/>
          <w:szCs w:val="20"/>
        </w:rPr>
        <w:t>During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adoption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outcome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Central</w:t>
      </w:r>
      <w:r w:rsidR="00FF41A0">
        <w:rPr>
          <w:sz w:val="20"/>
          <w:szCs w:val="20"/>
        </w:rPr>
        <w:t xml:space="preserve"> </w:t>
      </w:r>
      <w:r w:rsidR="00323457" w:rsidRPr="0059638B">
        <w:rPr>
          <w:sz w:val="20"/>
          <w:szCs w:val="20"/>
        </w:rPr>
        <w:t>African</w:t>
      </w:r>
      <w:r w:rsidR="00FF41A0">
        <w:rPr>
          <w:sz w:val="20"/>
          <w:szCs w:val="20"/>
        </w:rPr>
        <w:t xml:space="preserve"> </w:t>
      </w:r>
      <w:r w:rsidR="00323457" w:rsidRPr="0059638B">
        <w:rPr>
          <w:sz w:val="20"/>
          <w:szCs w:val="20"/>
        </w:rPr>
        <w:t>Republic,</w:t>
      </w:r>
      <w:r w:rsidR="00FF41A0">
        <w:rPr>
          <w:sz w:val="20"/>
          <w:szCs w:val="20"/>
        </w:rPr>
        <w:t xml:space="preserve"> </w:t>
      </w:r>
      <w:r w:rsidR="00323457" w:rsidRPr="0059638B">
        <w:rPr>
          <w:sz w:val="20"/>
          <w:szCs w:val="20"/>
        </w:rPr>
        <w:t>13</w:t>
      </w:r>
      <w:r w:rsidR="00FF41A0">
        <w:rPr>
          <w:sz w:val="20"/>
          <w:szCs w:val="20"/>
        </w:rPr>
        <w:t xml:space="preserve"> </w:t>
      </w:r>
      <w:r w:rsidR="00323457" w:rsidRPr="0059638B">
        <w:rPr>
          <w:sz w:val="20"/>
          <w:szCs w:val="20"/>
        </w:rPr>
        <w:t>delegations</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statements.</w:t>
      </w:r>
      <w:r w:rsidR="00CC5A8D" w:rsidRPr="00CC5A8D">
        <w:rPr>
          <w:rStyle w:val="FootnoteReference"/>
          <w:sz w:val="20"/>
          <w:szCs w:val="20"/>
          <w:vertAlign w:val="baseline"/>
        </w:rPr>
        <w:footnoteReference w:customMarkFollows="1" w:id="57"/>
        <w:t>**</w:t>
      </w:r>
    </w:p>
    <w:p w14:paraId="16D9310C" w14:textId="1A949A5D" w:rsidR="00323457" w:rsidRPr="0059638B" w:rsidRDefault="00972F1E" w:rsidP="00323457">
      <w:pPr>
        <w:pStyle w:val="SingleTxtG"/>
        <w:rPr>
          <w:sz w:val="20"/>
          <w:szCs w:val="20"/>
        </w:rPr>
      </w:pPr>
      <w:r>
        <w:rPr>
          <w:sz w:val="20"/>
          <w:szCs w:val="20"/>
        </w:rPr>
        <w:t>693</w:t>
      </w:r>
      <w:r w:rsidR="00D7475F">
        <w:rPr>
          <w:sz w:val="20"/>
          <w:szCs w:val="20"/>
        </w:rPr>
        <w:t>.</w:t>
      </w:r>
      <w:r w:rsidR="00D7475F">
        <w:rPr>
          <w:sz w:val="20"/>
          <w:szCs w:val="20"/>
        </w:rPr>
        <w:tab/>
      </w:r>
      <w:r w:rsidR="00323457" w:rsidRPr="0059638B">
        <w:rPr>
          <w:sz w:val="20"/>
          <w:szCs w:val="20"/>
        </w:rPr>
        <w:t>China</w:t>
      </w:r>
      <w:r w:rsidR="00FF41A0">
        <w:rPr>
          <w:sz w:val="20"/>
          <w:szCs w:val="20"/>
        </w:rPr>
        <w:t xml:space="preserve"> </w:t>
      </w:r>
      <w:r w:rsidR="00323457" w:rsidRPr="0059638B">
        <w:rPr>
          <w:sz w:val="20"/>
          <w:szCs w:val="20"/>
        </w:rPr>
        <w:t>hoped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Central</w:t>
      </w:r>
      <w:r w:rsidR="00FF41A0">
        <w:rPr>
          <w:sz w:val="20"/>
          <w:szCs w:val="20"/>
        </w:rPr>
        <w:t xml:space="preserve"> </w:t>
      </w:r>
      <w:r w:rsidR="00323457" w:rsidRPr="0059638B">
        <w:rPr>
          <w:sz w:val="20"/>
          <w:szCs w:val="20"/>
        </w:rPr>
        <w:t>African</w:t>
      </w:r>
      <w:r w:rsidR="00FF41A0">
        <w:rPr>
          <w:sz w:val="20"/>
          <w:szCs w:val="20"/>
        </w:rPr>
        <w:t xml:space="preserve"> </w:t>
      </w:r>
      <w:r w:rsidR="00323457" w:rsidRPr="0059638B">
        <w:rPr>
          <w:sz w:val="20"/>
          <w:szCs w:val="20"/>
        </w:rPr>
        <w:t>Republic</w:t>
      </w:r>
      <w:r w:rsidR="00FF41A0">
        <w:rPr>
          <w:sz w:val="20"/>
          <w:szCs w:val="20"/>
        </w:rPr>
        <w:t xml:space="preserve"> </w:t>
      </w:r>
      <w:r w:rsidR="00323457" w:rsidRPr="0059638B">
        <w:rPr>
          <w:sz w:val="20"/>
          <w:szCs w:val="20"/>
        </w:rPr>
        <w:t>continued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adopt</w:t>
      </w:r>
      <w:r w:rsidR="00FF41A0">
        <w:rPr>
          <w:sz w:val="20"/>
          <w:szCs w:val="20"/>
        </w:rPr>
        <w:t xml:space="preserve"> </w:t>
      </w:r>
      <w:r w:rsidR="00323457" w:rsidRPr="0059638B">
        <w:rPr>
          <w:sz w:val="20"/>
          <w:szCs w:val="20"/>
        </w:rPr>
        <w:t>effective</w:t>
      </w:r>
      <w:r w:rsidR="00FF41A0">
        <w:rPr>
          <w:sz w:val="20"/>
          <w:szCs w:val="20"/>
        </w:rPr>
        <w:t xml:space="preserve"> </w:t>
      </w:r>
      <w:r w:rsidR="00323457" w:rsidRPr="0059638B">
        <w:rPr>
          <w:sz w:val="20"/>
          <w:szCs w:val="20"/>
        </w:rPr>
        <w:t>measures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advance</w:t>
      </w:r>
      <w:r w:rsidR="00FF41A0">
        <w:rPr>
          <w:sz w:val="20"/>
          <w:szCs w:val="20"/>
        </w:rPr>
        <w:t xml:space="preserve"> </w:t>
      </w:r>
      <w:r w:rsidR="00323457" w:rsidRPr="0059638B">
        <w:rPr>
          <w:sz w:val="20"/>
          <w:szCs w:val="20"/>
        </w:rPr>
        <w:t>peace,</w:t>
      </w:r>
      <w:r w:rsidR="00FF41A0">
        <w:rPr>
          <w:sz w:val="20"/>
          <w:szCs w:val="20"/>
        </w:rPr>
        <w:t xml:space="preserve"> </w:t>
      </w:r>
      <w:r w:rsidR="00323457" w:rsidRPr="0059638B">
        <w:rPr>
          <w:sz w:val="20"/>
          <w:szCs w:val="20"/>
        </w:rPr>
        <w:t>reconciliation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disarming</w:t>
      </w:r>
      <w:r w:rsidR="00FF41A0">
        <w:rPr>
          <w:sz w:val="20"/>
          <w:szCs w:val="20"/>
        </w:rPr>
        <w:t xml:space="preserve"> </w:t>
      </w:r>
      <w:r w:rsidR="00323457" w:rsidRPr="0059638B">
        <w:rPr>
          <w:sz w:val="20"/>
          <w:szCs w:val="20"/>
        </w:rPr>
        <w:t>process;</w:t>
      </w:r>
      <w:r w:rsidR="00FF41A0">
        <w:rPr>
          <w:sz w:val="20"/>
          <w:szCs w:val="20"/>
        </w:rPr>
        <w:t xml:space="preserve"> </w:t>
      </w:r>
      <w:r w:rsidR="00323457" w:rsidRPr="0059638B">
        <w:rPr>
          <w:sz w:val="20"/>
          <w:szCs w:val="20"/>
        </w:rPr>
        <w:t>promote</w:t>
      </w:r>
      <w:r w:rsidR="00FF41A0">
        <w:rPr>
          <w:sz w:val="20"/>
          <w:szCs w:val="20"/>
        </w:rPr>
        <w:t xml:space="preserve"> </w:t>
      </w:r>
      <w:r w:rsidR="00323457" w:rsidRPr="0059638B">
        <w:rPr>
          <w:sz w:val="20"/>
          <w:szCs w:val="20"/>
        </w:rPr>
        <w:t>economic</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social</w:t>
      </w:r>
      <w:r w:rsidR="00FF41A0">
        <w:rPr>
          <w:sz w:val="20"/>
          <w:szCs w:val="20"/>
        </w:rPr>
        <w:t xml:space="preserve"> </w:t>
      </w:r>
      <w:r w:rsidR="00323457" w:rsidRPr="0059638B">
        <w:rPr>
          <w:sz w:val="20"/>
          <w:szCs w:val="20"/>
        </w:rPr>
        <w:t>development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reduce</w:t>
      </w:r>
      <w:r w:rsidR="00FF41A0">
        <w:rPr>
          <w:sz w:val="20"/>
          <w:szCs w:val="20"/>
        </w:rPr>
        <w:t xml:space="preserve"> </w:t>
      </w:r>
      <w:r w:rsidR="00323457" w:rsidRPr="0059638B">
        <w:rPr>
          <w:sz w:val="20"/>
          <w:szCs w:val="20"/>
        </w:rPr>
        <w:t>poverty,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better</w:t>
      </w:r>
      <w:r w:rsidR="00FF41A0">
        <w:rPr>
          <w:sz w:val="20"/>
          <w:szCs w:val="20"/>
        </w:rPr>
        <w:t xml:space="preserve"> </w:t>
      </w:r>
      <w:r w:rsidR="00323457" w:rsidRPr="0059638B">
        <w:rPr>
          <w:sz w:val="20"/>
          <w:szCs w:val="20"/>
        </w:rPr>
        <w:t>safeguard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children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persons</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disabilities.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congratulated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Central</w:t>
      </w:r>
      <w:r w:rsidR="00FF41A0">
        <w:rPr>
          <w:sz w:val="20"/>
          <w:szCs w:val="20"/>
        </w:rPr>
        <w:t xml:space="preserve"> </w:t>
      </w:r>
      <w:r w:rsidR="00323457" w:rsidRPr="0059638B">
        <w:rPr>
          <w:sz w:val="20"/>
          <w:szCs w:val="20"/>
        </w:rPr>
        <w:t>African</w:t>
      </w:r>
      <w:r w:rsidR="00FF41A0">
        <w:rPr>
          <w:sz w:val="20"/>
          <w:szCs w:val="20"/>
        </w:rPr>
        <w:t xml:space="preserve"> </w:t>
      </w:r>
      <w:r w:rsidR="00323457" w:rsidRPr="0059638B">
        <w:rPr>
          <w:sz w:val="20"/>
          <w:szCs w:val="20"/>
        </w:rPr>
        <w:t>Republic</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reaffirming</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commitment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promotion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hoped</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will</w:t>
      </w:r>
      <w:r w:rsidR="00FF41A0">
        <w:rPr>
          <w:sz w:val="20"/>
          <w:szCs w:val="20"/>
        </w:rPr>
        <w:t xml:space="preserve"> </w:t>
      </w:r>
      <w:r w:rsidR="00323457" w:rsidRPr="0059638B">
        <w:rPr>
          <w:sz w:val="20"/>
          <w:szCs w:val="20"/>
        </w:rPr>
        <w:t>make</w:t>
      </w:r>
      <w:r w:rsidR="00FF41A0">
        <w:rPr>
          <w:sz w:val="20"/>
          <w:szCs w:val="20"/>
        </w:rPr>
        <w:t xml:space="preserve"> </w:t>
      </w:r>
      <w:r w:rsidR="00323457" w:rsidRPr="0059638B">
        <w:rPr>
          <w:sz w:val="20"/>
          <w:szCs w:val="20"/>
        </w:rPr>
        <w:t>further</w:t>
      </w:r>
      <w:r w:rsidR="00FF41A0">
        <w:rPr>
          <w:sz w:val="20"/>
          <w:szCs w:val="20"/>
        </w:rPr>
        <w:t xml:space="preserve"> </w:t>
      </w:r>
      <w:r w:rsidR="00323457" w:rsidRPr="0059638B">
        <w:rPr>
          <w:sz w:val="20"/>
          <w:szCs w:val="20"/>
        </w:rPr>
        <w:t>progress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field</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p>
    <w:p w14:paraId="253B4592" w14:textId="2F802E39" w:rsidR="00323457" w:rsidRPr="0059638B" w:rsidRDefault="00972F1E" w:rsidP="00323457">
      <w:pPr>
        <w:pStyle w:val="SingleTxtG"/>
        <w:rPr>
          <w:sz w:val="20"/>
          <w:szCs w:val="20"/>
        </w:rPr>
      </w:pPr>
      <w:r>
        <w:rPr>
          <w:sz w:val="20"/>
          <w:szCs w:val="20"/>
        </w:rPr>
        <w:t>694</w:t>
      </w:r>
      <w:r w:rsidR="00D7475F">
        <w:rPr>
          <w:sz w:val="20"/>
          <w:szCs w:val="20"/>
        </w:rPr>
        <w:t>.</w:t>
      </w:r>
      <w:r w:rsidR="00D7475F">
        <w:rPr>
          <w:sz w:val="20"/>
          <w:szCs w:val="20"/>
        </w:rPr>
        <w:tab/>
      </w:r>
      <w:r w:rsidR="00323457" w:rsidRPr="0059638B">
        <w:rPr>
          <w:sz w:val="20"/>
          <w:szCs w:val="20"/>
        </w:rPr>
        <w:t>Cote</w:t>
      </w:r>
      <w:r w:rsidR="00FF41A0">
        <w:rPr>
          <w:sz w:val="20"/>
          <w:szCs w:val="20"/>
        </w:rPr>
        <w:t xml:space="preserve"> </w:t>
      </w:r>
      <w:r w:rsidR="00323457" w:rsidRPr="0059638B">
        <w:rPr>
          <w:sz w:val="20"/>
          <w:szCs w:val="20"/>
        </w:rPr>
        <w:t>d</w:t>
      </w:r>
      <w:r w:rsidR="00D72627">
        <w:rPr>
          <w:sz w:val="20"/>
          <w:szCs w:val="20"/>
        </w:rPr>
        <w:t>’</w:t>
      </w:r>
      <w:r w:rsidR="00323457" w:rsidRPr="0059638B">
        <w:rPr>
          <w:sz w:val="20"/>
          <w:szCs w:val="20"/>
        </w:rPr>
        <w:t>Ivoire</w:t>
      </w:r>
      <w:r w:rsidR="00FF41A0">
        <w:rPr>
          <w:sz w:val="20"/>
          <w:szCs w:val="20"/>
        </w:rPr>
        <w:t xml:space="preserve"> </w:t>
      </w:r>
      <w:r w:rsidR="00323457" w:rsidRPr="0059638B">
        <w:rPr>
          <w:sz w:val="20"/>
          <w:szCs w:val="20"/>
        </w:rPr>
        <w:t>remained</w:t>
      </w:r>
      <w:r w:rsidR="00FF41A0">
        <w:rPr>
          <w:sz w:val="20"/>
          <w:szCs w:val="20"/>
        </w:rPr>
        <w:t xml:space="preserve"> </w:t>
      </w:r>
      <w:r w:rsidR="00323457" w:rsidRPr="0059638B">
        <w:rPr>
          <w:sz w:val="20"/>
          <w:szCs w:val="20"/>
        </w:rPr>
        <w:t>convinced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effective</w:t>
      </w:r>
      <w:r w:rsidR="00FF41A0">
        <w:rPr>
          <w:sz w:val="20"/>
          <w:szCs w:val="20"/>
        </w:rPr>
        <w:t xml:space="preserve"> </w:t>
      </w:r>
      <w:r w:rsidR="00323457" w:rsidRPr="0059638B">
        <w:rPr>
          <w:sz w:val="20"/>
          <w:szCs w:val="20"/>
        </w:rPr>
        <w:t>implementation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likelihood</w:t>
      </w:r>
      <w:r w:rsidR="00FF41A0">
        <w:rPr>
          <w:sz w:val="20"/>
          <w:szCs w:val="20"/>
        </w:rPr>
        <w:t xml:space="preserve"> </w:t>
      </w:r>
      <w:r w:rsidR="00323457" w:rsidRPr="0059638B">
        <w:rPr>
          <w:sz w:val="20"/>
          <w:szCs w:val="20"/>
        </w:rPr>
        <w:t>contribute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improvement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situation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country.</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appreciation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whole</w:t>
      </w:r>
      <w:r w:rsidR="00FF41A0">
        <w:rPr>
          <w:sz w:val="20"/>
          <w:szCs w:val="20"/>
        </w:rPr>
        <w:t xml:space="preserve"> </w:t>
      </w:r>
      <w:r w:rsidR="00323457" w:rsidRPr="0059638B">
        <w:rPr>
          <w:sz w:val="20"/>
          <w:szCs w:val="20"/>
        </w:rPr>
        <w:t>set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Central</w:t>
      </w:r>
      <w:r w:rsidR="00FF41A0">
        <w:rPr>
          <w:sz w:val="20"/>
          <w:szCs w:val="20"/>
        </w:rPr>
        <w:t xml:space="preserve"> </w:t>
      </w:r>
      <w:r w:rsidR="00323457" w:rsidRPr="0059638B">
        <w:rPr>
          <w:sz w:val="20"/>
          <w:szCs w:val="20"/>
        </w:rPr>
        <w:t>African</w:t>
      </w:r>
      <w:r w:rsidR="00FF41A0">
        <w:rPr>
          <w:sz w:val="20"/>
          <w:szCs w:val="20"/>
        </w:rPr>
        <w:t xml:space="preserve"> </w:t>
      </w:r>
      <w:r w:rsidR="00323457" w:rsidRPr="0059638B">
        <w:rPr>
          <w:sz w:val="20"/>
          <w:szCs w:val="20"/>
        </w:rPr>
        <w:t>Republic</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areas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security,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restoration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authority</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State,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reconciliation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peace.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order</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consolidate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achievements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better</w:t>
      </w:r>
      <w:r w:rsidR="00FF41A0">
        <w:rPr>
          <w:sz w:val="20"/>
          <w:szCs w:val="20"/>
        </w:rPr>
        <w:t xml:space="preserve"> </w:t>
      </w:r>
      <w:r w:rsidR="00323457" w:rsidRPr="0059638B">
        <w:rPr>
          <w:sz w:val="20"/>
          <w:szCs w:val="20"/>
        </w:rPr>
        <w:t>meet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challenges</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remained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country,</w:t>
      </w:r>
      <w:r w:rsidR="00FF41A0">
        <w:rPr>
          <w:sz w:val="20"/>
          <w:szCs w:val="20"/>
        </w:rPr>
        <w:t xml:space="preserve"> </w:t>
      </w:r>
      <w:r w:rsidR="00323457" w:rsidRPr="0059638B">
        <w:rPr>
          <w:sz w:val="20"/>
          <w:szCs w:val="20"/>
        </w:rPr>
        <w:t>Cote</w:t>
      </w:r>
      <w:r w:rsidR="00FF41A0">
        <w:rPr>
          <w:sz w:val="20"/>
          <w:szCs w:val="20"/>
        </w:rPr>
        <w:t xml:space="preserve"> </w:t>
      </w:r>
      <w:r w:rsidR="00323457" w:rsidRPr="0059638B">
        <w:rPr>
          <w:sz w:val="20"/>
          <w:szCs w:val="20"/>
        </w:rPr>
        <w:t>d</w:t>
      </w:r>
      <w:r w:rsidR="00D72627">
        <w:rPr>
          <w:sz w:val="20"/>
          <w:szCs w:val="20"/>
        </w:rPr>
        <w:t>’</w:t>
      </w:r>
      <w:r w:rsidR="00323457" w:rsidRPr="0059638B">
        <w:rPr>
          <w:sz w:val="20"/>
          <w:szCs w:val="20"/>
        </w:rPr>
        <w:t>Ivoire</w:t>
      </w:r>
      <w:r w:rsidR="00FF41A0">
        <w:rPr>
          <w:sz w:val="20"/>
          <w:szCs w:val="20"/>
        </w:rPr>
        <w:t xml:space="preserve"> </w:t>
      </w:r>
      <w:r w:rsidR="00323457" w:rsidRPr="0059638B">
        <w:rPr>
          <w:sz w:val="20"/>
          <w:szCs w:val="20"/>
        </w:rPr>
        <w:t>encouraged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country</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continue</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full</w:t>
      </w:r>
      <w:r w:rsidR="00FF41A0">
        <w:rPr>
          <w:sz w:val="20"/>
          <w:szCs w:val="20"/>
        </w:rPr>
        <w:t xml:space="preserve"> </w:t>
      </w:r>
      <w:r w:rsidR="00323457" w:rsidRPr="0059638B">
        <w:rPr>
          <w:sz w:val="20"/>
          <w:szCs w:val="20"/>
        </w:rPr>
        <w:t>cooperation</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United</w:t>
      </w:r>
      <w:r w:rsidR="00FF41A0">
        <w:rPr>
          <w:sz w:val="20"/>
          <w:szCs w:val="20"/>
        </w:rPr>
        <w:t xml:space="preserve"> </w:t>
      </w:r>
      <w:r w:rsidR="00323457" w:rsidRPr="0059638B">
        <w:rPr>
          <w:sz w:val="20"/>
          <w:szCs w:val="20"/>
        </w:rPr>
        <w:t>Nations</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mechanisms,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particular,</w:t>
      </w:r>
      <w:r w:rsidR="00FF41A0">
        <w:rPr>
          <w:sz w:val="20"/>
          <w:szCs w:val="20"/>
        </w:rPr>
        <w:t xml:space="preserve"> </w:t>
      </w:r>
      <w:r w:rsidR="00323457" w:rsidRPr="0059638B">
        <w:rPr>
          <w:sz w:val="20"/>
          <w:szCs w:val="20"/>
        </w:rPr>
        <w:t>corporation</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Independent</w:t>
      </w:r>
      <w:r w:rsidR="00FF41A0">
        <w:rPr>
          <w:sz w:val="20"/>
          <w:szCs w:val="20"/>
        </w:rPr>
        <w:t xml:space="preserve"> </w:t>
      </w:r>
      <w:r w:rsidR="00323457" w:rsidRPr="0059638B">
        <w:rPr>
          <w:sz w:val="20"/>
          <w:szCs w:val="20"/>
        </w:rPr>
        <w:t>Expert</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situation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Central</w:t>
      </w:r>
      <w:r w:rsidR="00FF41A0">
        <w:rPr>
          <w:sz w:val="20"/>
          <w:szCs w:val="20"/>
        </w:rPr>
        <w:t xml:space="preserve"> </w:t>
      </w:r>
      <w:r w:rsidR="00323457" w:rsidRPr="0059638B">
        <w:rPr>
          <w:sz w:val="20"/>
          <w:szCs w:val="20"/>
        </w:rPr>
        <w:t>African</w:t>
      </w:r>
      <w:r w:rsidR="00FF41A0">
        <w:rPr>
          <w:sz w:val="20"/>
          <w:szCs w:val="20"/>
        </w:rPr>
        <w:t xml:space="preserve"> </w:t>
      </w:r>
      <w:r w:rsidR="00323457" w:rsidRPr="0059638B">
        <w:rPr>
          <w:sz w:val="20"/>
          <w:szCs w:val="20"/>
        </w:rPr>
        <w:t>Republic.</w:t>
      </w:r>
    </w:p>
    <w:p w14:paraId="6DE8ABF5" w14:textId="7E008BE4" w:rsidR="00323457" w:rsidRPr="0059638B" w:rsidRDefault="00972F1E" w:rsidP="00323457">
      <w:pPr>
        <w:pStyle w:val="SingleTxtG"/>
        <w:rPr>
          <w:sz w:val="20"/>
          <w:szCs w:val="20"/>
        </w:rPr>
      </w:pPr>
      <w:r>
        <w:rPr>
          <w:sz w:val="20"/>
          <w:szCs w:val="20"/>
        </w:rPr>
        <w:t>695</w:t>
      </w:r>
      <w:r w:rsidR="00D7475F">
        <w:rPr>
          <w:sz w:val="20"/>
          <w:szCs w:val="20"/>
        </w:rPr>
        <w:t>.</w:t>
      </w:r>
      <w:r w:rsidR="00D7475F">
        <w:rPr>
          <w:sz w:val="20"/>
          <w:szCs w:val="20"/>
        </w:rPr>
        <w:tab/>
      </w:r>
      <w:r w:rsidR="00323457" w:rsidRPr="0059638B">
        <w:rPr>
          <w:sz w:val="20"/>
          <w:szCs w:val="20"/>
        </w:rPr>
        <w:t>Cuba</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grateful</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fact</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Central</w:t>
      </w:r>
      <w:r w:rsidR="00FF41A0">
        <w:rPr>
          <w:sz w:val="20"/>
          <w:szCs w:val="20"/>
        </w:rPr>
        <w:t xml:space="preserve"> </w:t>
      </w:r>
      <w:r w:rsidR="00323457" w:rsidRPr="0059638B">
        <w:rPr>
          <w:sz w:val="20"/>
          <w:szCs w:val="20"/>
        </w:rPr>
        <w:t>African</w:t>
      </w:r>
      <w:r w:rsidR="00FF41A0">
        <w:rPr>
          <w:sz w:val="20"/>
          <w:szCs w:val="20"/>
        </w:rPr>
        <w:t xml:space="preserve"> </w:t>
      </w:r>
      <w:r w:rsidR="00323457" w:rsidRPr="0059638B">
        <w:rPr>
          <w:sz w:val="20"/>
          <w:szCs w:val="20"/>
        </w:rPr>
        <w:t>Republic</w:t>
      </w:r>
      <w:r w:rsidR="00FF41A0">
        <w:rPr>
          <w:sz w:val="20"/>
          <w:szCs w:val="20"/>
        </w:rPr>
        <w:t xml:space="preserve"> </w:t>
      </w:r>
      <w:r w:rsidR="00323457" w:rsidRPr="0059638B">
        <w:rPr>
          <w:sz w:val="20"/>
          <w:szCs w:val="20"/>
        </w:rPr>
        <w:t>accepted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improvement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health</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education</w:t>
      </w:r>
      <w:r w:rsidR="00FF41A0">
        <w:rPr>
          <w:sz w:val="20"/>
          <w:szCs w:val="20"/>
        </w:rPr>
        <w:t xml:space="preserve"> </w:t>
      </w:r>
      <w:r w:rsidR="00323457" w:rsidRPr="0059638B">
        <w:rPr>
          <w:sz w:val="20"/>
          <w:szCs w:val="20"/>
        </w:rPr>
        <w:t>services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promotion</w:t>
      </w:r>
      <w:r w:rsidR="00FF41A0">
        <w:rPr>
          <w:sz w:val="20"/>
          <w:szCs w:val="20"/>
        </w:rPr>
        <w:t xml:space="preserve"> </w:t>
      </w:r>
      <w:r w:rsidR="00323457" w:rsidRPr="0059638B">
        <w:rPr>
          <w:sz w:val="20"/>
          <w:szCs w:val="20"/>
        </w:rPr>
        <w:lastRenderedPageBreak/>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persons</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disabilities,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particular,</w:t>
      </w:r>
      <w:r w:rsidR="00FF41A0">
        <w:rPr>
          <w:sz w:val="20"/>
          <w:szCs w:val="20"/>
        </w:rPr>
        <w:t xml:space="preserve"> </w:t>
      </w:r>
      <w:r w:rsidR="00323457" w:rsidRPr="0059638B">
        <w:rPr>
          <w:sz w:val="20"/>
          <w:szCs w:val="20"/>
        </w:rPr>
        <w:t>boys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girls.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invited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Central</w:t>
      </w:r>
      <w:r w:rsidR="00FF41A0">
        <w:rPr>
          <w:sz w:val="20"/>
          <w:szCs w:val="20"/>
        </w:rPr>
        <w:t xml:space="preserve"> </w:t>
      </w:r>
      <w:r w:rsidR="00323457" w:rsidRPr="0059638B">
        <w:rPr>
          <w:sz w:val="20"/>
          <w:szCs w:val="20"/>
        </w:rPr>
        <w:t>African</w:t>
      </w:r>
      <w:r w:rsidR="00FF41A0">
        <w:rPr>
          <w:sz w:val="20"/>
          <w:szCs w:val="20"/>
        </w:rPr>
        <w:t xml:space="preserve"> </w:t>
      </w:r>
      <w:r w:rsidR="00323457" w:rsidRPr="0059638B">
        <w:rPr>
          <w:sz w:val="20"/>
          <w:szCs w:val="20"/>
        </w:rPr>
        <w:t>Republic</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consider</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accepted</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guide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help</w:t>
      </w:r>
      <w:r w:rsidR="00FF41A0">
        <w:rPr>
          <w:sz w:val="20"/>
          <w:szCs w:val="20"/>
        </w:rPr>
        <w:t xml:space="preserve"> </w:t>
      </w:r>
      <w:r w:rsidR="00323457" w:rsidRPr="0059638B">
        <w:rPr>
          <w:sz w:val="20"/>
          <w:szCs w:val="20"/>
        </w:rPr>
        <w:t>them</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their</w:t>
      </w:r>
      <w:r w:rsidR="00FF41A0">
        <w:rPr>
          <w:sz w:val="20"/>
          <w:szCs w:val="20"/>
        </w:rPr>
        <w:t xml:space="preserve"> </w:t>
      </w:r>
      <w:r w:rsidR="00323457" w:rsidRPr="0059638B">
        <w:rPr>
          <w:sz w:val="20"/>
          <w:szCs w:val="20"/>
        </w:rPr>
        <w:t>future</w:t>
      </w:r>
      <w:r w:rsidR="00FF41A0">
        <w:rPr>
          <w:sz w:val="20"/>
          <w:szCs w:val="20"/>
        </w:rPr>
        <w:t xml:space="preserve"> </w:t>
      </w:r>
      <w:r w:rsidR="00323457" w:rsidRPr="0059638B">
        <w:rPr>
          <w:sz w:val="20"/>
          <w:szCs w:val="20"/>
        </w:rPr>
        <w:t>policies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area</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p>
    <w:p w14:paraId="1219BF82" w14:textId="45F7A26A" w:rsidR="00323457" w:rsidRPr="0059638B" w:rsidRDefault="00972F1E" w:rsidP="00323457">
      <w:pPr>
        <w:pStyle w:val="SingleTxtG"/>
        <w:rPr>
          <w:sz w:val="20"/>
          <w:szCs w:val="20"/>
        </w:rPr>
      </w:pPr>
      <w:r>
        <w:rPr>
          <w:sz w:val="20"/>
          <w:szCs w:val="20"/>
        </w:rPr>
        <w:t>696</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Democratic</w:t>
      </w:r>
      <w:r w:rsidR="00FF41A0">
        <w:rPr>
          <w:sz w:val="20"/>
          <w:szCs w:val="20"/>
        </w:rPr>
        <w:t xml:space="preserve"> </w:t>
      </w:r>
      <w:r w:rsidR="00323457" w:rsidRPr="0059638B">
        <w:rPr>
          <w:sz w:val="20"/>
          <w:szCs w:val="20"/>
        </w:rPr>
        <w:t>Republic</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Congo</w:t>
      </w:r>
      <w:r w:rsidR="00FF41A0">
        <w:rPr>
          <w:sz w:val="20"/>
          <w:szCs w:val="20"/>
        </w:rPr>
        <w:t xml:space="preserve"> </w:t>
      </w:r>
      <w:r w:rsidR="00323457" w:rsidRPr="0059638B">
        <w:rPr>
          <w:sz w:val="20"/>
          <w:szCs w:val="20"/>
        </w:rPr>
        <w:t>thanked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Central</w:t>
      </w:r>
      <w:r w:rsidR="00FF41A0">
        <w:rPr>
          <w:sz w:val="20"/>
          <w:szCs w:val="20"/>
        </w:rPr>
        <w:t xml:space="preserve"> </w:t>
      </w:r>
      <w:r w:rsidR="00323457" w:rsidRPr="0059638B">
        <w:rPr>
          <w:sz w:val="20"/>
          <w:szCs w:val="20"/>
        </w:rPr>
        <w:t>African</w:t>
      </w:r>
      <w:r w:rsidR="00FF41A0">
        <w:rPr>
          <w:sz w:val="20"/>
          <w:szCs w:val="20"/>
        </w:rPr>
        <w:t xml:space="preserve"> </w:t>
      </w:r>
      <w:r w:rsidR="00323457" w:rsidRPr="0059638B">
        <w:rPr>
          <w:sz w:val="20"/>
          <w:szCs w:val="20"/>
        </w:rPr>
        <w:t>Republic</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having</w:t>
      </w:r>
      <w:r w:rsidR="00FF41A0">
        <w:rPr>
          <w:sz w:val="20"/>
          <w:szCs w:val="20"/>
        </w:rPr>
        <w:t xml:space="preserve"> </w:t>
      </w:r>
      <w:r w:rsidR="00323457" w:rsidRPr="0059638B">
        <w:rPr>
          <w:sz w:val="20"/>
          <w:szCs w:val="20"/>
        </w:rPr>
        <w:t>accepted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majority</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particular,</w:t>
      </w:r>
      <w:r w:rsidR="00FF41A0">
        <w:rPr>
          <w:sz w:val="20"/>
          <w:szCs w:val="20"/>
        </w:rPr>
        <w:t xml:space="preserve"> </w:t>
      </w:r>
      <w:r w:rsidR="00323457" w:rsidRPr="0059638B">
        <w:rPr>
          <w:sz w:val="20"/>
          <w:szCs w:val="20"/>
        </w:rPr>
        <w:t>ratification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2018,</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Convention</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Prevention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Punishment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Crime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Genocide,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give</w:t>
      </w:r>
      <w:r w:rsidR="00FF41A0">
        <w:rPr>
          <w:sz w:val="20"/>
          <w:szCs w:val="20"/>
        </w:rPr>
        <w:t xml:space="preserve"> </w:t>
      </w:r>
      <w:r w:rsidR="00323457" w:rsidRPr="0059638B">
        <w:rPr>
          <w:sz w:val="20"/>
          <w:szCs w:val="20"/>
        </w:rPr>
        <w:t>effect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those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urged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technical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financial</w:t>
      </w:r>
      <w:r w:rsidR="00FF41A0">
        <w:rPr>
          <w:sz w:val="20"/>
          <w:szCs w:val="20"/>
        </w:rPr>
        <w:t xml:space="preserve"> </w:t>
      </w:r>
      <w:r w:rsidR="00323457" w:rsidRPr="0059638B">
        <w:rPr>
          <w:sz w:val="20"/>
          <w:szCs w:val="20"/>
        </w:rPr>
        <w:t>partners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support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Central</w:t>
      </w:r>
      <w:r w:rsidR="00FF41A0">
        <w:rPr>
          <w:sz w:val="20"/>
          <w:szCs w:val="20"/>
        </w:rPr>
        <w:t xml:space="preserve"> </w:t>
      </w:r>
      <w:r w:rsidR="00323457" w:rsidRPr="0059638B">
        <w:rPr>
          <w:sz w:val="20"/>
          <w:szCs w:val="20"/>
        </w:rPr>
        <w:t>African</w:t>
      </w:r>
      <w:r w:rsidR="00FF41A0">
        <w:rPr>
          <w:sz w:val="20"/>
          <w:szCs w:val="20"/>
        </w:rPr>
        <w:t xml:space="preserve"> </w:t>
      </w:r>
      <w:r w:rsidR="00323457" w:rsidRPr="0059638B">
        <w:rPr>
          <w:sz w:val="20"/>
          <w:szCs w:val="20"/>
        </w:rPr>
        <w:t>Republic</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implementing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strengthen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promotion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country.</w:t>
      </w:r>
    </w:p>
    <w:p w14:paraId="00D4881E" w14:textId="12B7B93E" w:rsidR="00323457" w:rsidRPr="0059638B" w:rsidRDefault="00972F1E" w:rsidP="00323457">
      <w:pPr>
        <w:pStyle w:val="SingleTxtG"/>
        <w:rPr>
          <w:sz w:val="20"/>
          <w:szCs w:val="20"/>
        </w:rPr>
      </w:pPr>
      <w:r>
        <w:rPr>
          <w:sz w:val="20"/>
          <w:szCs w:val="20"/>
        </w:rPr>
        <w:t>697</w:t>
      </w:r>
      <w:r w:rsidR="00D7475F">
        <w:rPr>
          <w:sz w:val="20"/>
          <w:szCs w:val="20"/>
        </w:rPr>
        <w:t>.</w:t>
      </w:r>
      <w:r w:rsidR="00D7475F">
        <w:rPr>
          <w:sz w:val="20"/>
          <w:szCs w:val="20"/>
        </w:rPr>
        <w:tab/>
      </w:r>
      <w:r w:rsidR="00323457" w:rsidRPr="0059638B">
        <w:rPr>
          <w:sz w:val="20"/>
          <w:szCs w:val="20"/>
        </w:rPr>
        <w:t>Djibouti</w:t>
      </w:r>
      <w:r w:rsidR="00FF41A0">
        <w:rPr>
          <w:sz w:val="20"/>
          <w:szCs w:val="20"/>
        </w:rPr>
        <w:t xml:space="preserve"> </w:t>
      </w:r>
      <w:r w:rsidR="00323457" w:rsidRPr="0059638B">
        <w:rPr>
          <w:sz w:val="20"/>
          <w:szCs w:val="20"/>
        </w:rPr>
        <w:t>commended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Central</w:t>
      </w:r>
      <w:r w:rsidR="00FF41A0">
        <w:rPr>
          <w:sz w:val="20"/>
          <w:szCs w:val="20"/>
        </w:rPr>
        <w:t xml:space="preserve"> </w:t>
      </w:r>
      <w:r w:rsidR="00323457" w:rsidRPr="0059638B">
        <w:rPr>
          <w:sz w:val="20"/>
          <w:szCs w:val="20"/>
        </w:rPr>
        <w:t>African</w:t>
      </w:r>
      <w:r w:rsidR="00FF41A0">
        <w:rPr>
          <w:sz w:val="20"/>
          <w:szCs w:val="20"/>
        </w:rPr>
        <w:t xml:space="preserve"> </w:t>
      </w:r>
      <w:r w:rsidR="00323457" w:rsidRPr="0059638B">
        <w:rPr>
          <w:sz w:val="20"/>
          <w:szCs w:val="20"/>
        </w:rPr>
        <w:t>Republic</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accepting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majority</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received</w:t>
      </w:r>
      <w:r w:rsidR="00FF41A0">
        <w:rPr>
          <w:sz w:val="20"/>
          <w:szCs w:val="20"/>
        </w:rPr>
        <w:t xml:space="preserve"> </w:t>
      </w:r>
      <w:r w:rsidR="00323457" w:rsidRPr="0059638B">
        <w:rPr>
          <w:sz w:val="20"/>
          <w:szCs w:val="20"/>
        </w:rPr>
        <w:t>under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third</w:t>
      </w:r>
      <w:r w:rsidR="00FF41A0">
        <w:rPr>
          <w:sz w:val="20"/>
          <w:szCs w:val="20"/>
        </w:rPr>
        <w:t xml:space="preserve"> </w:t>
      </w:r>
      <w:r w:rsidR="00323457" w:rsidRPr="0059638B">
        <w:rPr>
          <w:sz w:val="20"/>
          <w:szCs w:val="20"/>
        </w:rPr>
        <w:t>cycle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delighted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acceptance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two</w:t>
      </w:r>
      <w:r w:rsidR="00FF41A0">
        <w:rPr>
          <w:sz w:val="20"/>
          <w:szCs w:val="20"/>
        </w:rPr>
        <w:t xml:space="preserve"> </w:t>
      </w:r>
      <w:r w:rsidR="00323457" w:rsidRPr="0059638B">
        <w:rPr>
          <w:sz w:val="20"/>
          <w:szCs w:val="20"/>
        </w:rPr>
        <w:t>out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three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presented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Djibouti</w:t>
      </w:r>
      <w:r w:rsidR="00FF41A0">
        <w:rPr>
          <w:sz w:val="20"/>
          <w:szCs w:val="20"/>
        </w:rPr>
        <w:t xml:space="preserve"> </w:t>
      </w:r>
      <w:r w:rsidR="00323457" w:rsidRPr="0059638B">
        <w:rPr>
          <w:sz w:val="20"/>
          <w:szCs w:val="20"/>
        </w:rPr>
        <w:t>regarding</w:t>
      </w:r>
      <w:r w:rsidR="00FF41A0">
        <w:rPr>
          <w:sz w:val="20"/>
          <w:szCs w:val="20"/>
        </w:rPr>
        <w:t xml:space="preserve"> </w:t>
      </w:r>
      <w:r w:rsidR="00323457" w:rsidRPr="0059638B">
        <w:rPr>
          <w:sz w:val="20"/>
          <w:szCs w:val="20"/>
        </w:rPr>
        <w:t>violence</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impunity,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measures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end</w:t>
      </w:r>
      <w:r w:rsidR="00FF41A0">
        <w:rPr>
          <w:sz w:val="20"/>
          <w:szCs w:val="20"/>
        </w:rPr>
        <w:t xml:space="preserve"> </w:t>
      </w:r>
      <w:r w:rsidR="00323457" w:rsidRPr="0059638B">
        <w:rPr>
          <w:sz w:val="20"/>
          <w:szCs w:val="20"/>
        </w:rPr>
        <w:t>recruitment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child</w:t>
      </w:r>
      <w:r w:rsidR="00FF41A0">
        <w:rPr>
          <w:sz w:val="20"/>
          <w:szCs w:val="20"/>
        </w:rPr>
        <w:t xml:space="preserve"> </w:t>
      </w:r>
      <w:r w:rsidR="00323457" w:rsidRPr="0059638B">
        <w:rPr>
          <w:sz w:val="20"/>
          <w:szCs w:val="20"/>
        </w:rPr>
        <w:t>soldiers.</w:t>
      </w:r>
    </w:p>
    <w:p w14:paraId="7476889D" w14:textId="7F353A99" w:rsidR="00323457" w:rsidRPr="0059638B" w:rsidRDefault="00972F1E" w:rsidP="00323457">
      <w:pPr>
        <w:pStyle w:val="SingleTxtG"/>
        <w:rPr>
          <w:sz w:val="20"/>
          <w:szCs w:val="20"/>
        </w:rPr>
      </w:pPr>
      <w:r>
        <w:rPr>
          <w:sz w:val="20"/>
          <w:szCs w:val="20"/>
        </w:rPr>
        <w:t>698</w:t>
      </w:r>
      <w:r w:rsidR="00D7475F">
        <w:rPr>
          <w:sz w:val="20"/>
          <w:szCs w:val="20"/>
        </w:rPr>
        <w:t>.</w:t>
      </w:r>
      <w:r w:rsidR="00D7475F">
        <w:rPr>
          <w:sz w:val="20"/>
          <w:szCs w:val="20"/>
        </w:rPr>
        <w:tab/>
      </w:r>
      <w:r w:rsidR="00323457" w:rsidRPr="0059638B">
        <w:rPr>
          <w:sz w:val="20"/>
          <w:szCs w:val="20"/>
        </w:rPr>
        <w:t>Egypt</w:t>
      </w:r>
      <w:r w:rsidR="00FF41A0">
        <w:rPr>
          <w:sz w:val="20"/>
          <w:szCs w:val="20"/>
        </w:rPr>
        <w:t xml:space="preserve"> </w:t>
      </w:r>
      <w:r w:rsidR="00323457" w:rsidRPr="0059638B">
        <w:rPr>
          <w:sz w:val="20"/>
          <w:szCs w:val="20"/>
        </w:rPr>
        <w:t>valued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acceptance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most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submitted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reflected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readiness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cooperate</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Council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mechanisms.</w:t>
      </w:r>
      <w:r w:rsidR="00FF41A0">
        <w:rPr>
          <w:sz w:val="20"/>
          <w:szCs w:val="20"/>
        </w:rPr>
        <w:t xml:space="preserve"> </w:t>
      </w:r>
      <w:r w:rsidR="00323457" w:rsidRPr="0059638B">
        <w:rPr>
          <w:sz w:val="20"/>
          <w:szCs w:val="20"/>
        </w:rPr>
        <w:t>Egypt</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appreciated</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improve</w:t>
      </w:r>
      <w:r w:rsidR="00FF41A0">
        <w:rPr>
          <w:sz w:val="20"/>
          <w:szCs w:val="20"/>
        </w:rPr>
        <w:t xml:space="preserve"> </w:t>
      </w:r>
      <w:r w:rsidR="00323457" w:rsidRPr="0059638B">
        <w:rPr>
          <w:sz w:val="20"/>
          <w:szCs w:val="20"/>
        </w:rPr>
        <w:t>implementation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regarding</w:t>
      </w:r>
      <w:r w:rsidR="00FF41A0">
        <w:rPr>
          <w:sz w:val="20"/>
          <w:szCs w:val="20"/>
        </w:rPr>
        <w:t xml:space="preserve"> </w:t>
      </w:r>
      <w:r w:rsidR="00323457" w:rsidRPr="0059638B">
        <w:rPr>
          <w:sz w:val="20"/>
          <w:szCs w:val="20"/>
        </w:rPr>
        <w:t>respect</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p>
    <w:p w14:paraId="0263E534" w14:textId="41D08C34" w:rsidR="00323457" w:rsidRPr="0059638B" w:rsidRDefault="00972F1E" w:rsidP="00323457">
      <w:pPr>
        <w:pStyle w:val="SingleTxtG"/>
        <w:rPr>
          <w:sz w:val="20"/>
          <w:szCs w:val="20"/>
        </w:rPr>
      </w:pPr>
      <w:r>
        <w:rPr>
          <w:sz w:val="20"/>
          <w:szCs w:val="20"/>
        </w:rPr>
        <w:t>699</w:t>
      </w:r>
      <w:r w:rsidR="00D7475F">
        <w:rPr>
          <w:sz w:val="20"/>
          <w:szCs w:val="20"/>
        </w:rPr>
        <w:t>.</w:t>
      </w:r>
      <w:r w:rsidR="00D7475F">
        <w:rPr>
          <w:sz w:val="20"/>
          <w:szCs w:val="20"/>
        </w:rPr>
        <w:tab/>
      </w:r>
      <w:r w:rsidR="00323457" w:rsidRPr="0059638B">
        <w:rPr>
          <w:sz w:val="20"/>
          <w:szCs w:val="20"/>
        </w:rPr>
        <w:t>Ethiopia</w:t>
      </w:r>
      <w:r w:rsidR="00FF41A0">
        <w:rPr>
          <w:sz w:val="20"/>
          <w:szCs w:val="20"/>
        </w:rPr>
        <w:t xml:space="preserve"> </w:t>
      </w:r>
      <w:r w:rsidR="00323457" w:rsidRPr="0059638B">
        <w:rPr>
          <w:sz w:val="20"/>
          <w:szCs w:val="20"/>
        </w:rPr>
        <w:t>commended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Central</w:t>
      </w:r>
      <w:r w:rsidR="00FF41A0">
        <w:rPr>
          <w:sz w:val="20"/>
          <w:szCs w:val="20"/>
        </w:rPr>
        <w:t xml:space="preserve"> </w:t>
      </w:r>
      <w:r w:rsidR="00323457" w:rsidRPr="0059638B">
        <w:rPr>
          <w:sz w:val="20"/>
          <w:szCs w:val="20"/>
        </w:rPr>
        <w:t>African</w:t>
      </w:r>
      <w:r w:rsidR="00FF41A0">
        <w:rPr>
          <w:sz w:val="20"/>
          <w:szCs w:val="20"/>
        </w:rPr>
        <w:t xml:space="preserve"> </w:t>
      </w:r>
      <w:r w:rsidR="00323457" w:rsidRPr="0059638B">
        <w:rPr>
          <w:sz w:val="20"/>
          <w:szCs w:val="20"/>
        </w:rPr>
        <w:t>Republic</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accepting</w:t>
      </w:r>
      <w:r w:rsidR="00FF41A0">
        <w:rPr>
          <w:sz w:val="20"/>
          <w:szCs w:val="20"/>
        </w:rPr>
        <w:t xml:space="preserve"> </w:t>
      </w:r>
      <w:r w:rsidR="00323457" w:rsidRPr="0059638B">
        <w:rPr>
          <w:sz w:val="20"/>
          <w:szCs w:val="20"/>
        </w:rPr>
        <w:t>many</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including</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own,</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aimed</w:t>
      </w:r>
      <w:r w:rsidR="00FF41A0">
        <w:rPr>
          <w:sz w:val="20"/>
          <w:szCs w:val="20"/>
        </w:rPr>
        <w:t xml:space="preserve"> </w:t>
      </w:r>
      <w:r w:rsidR="00323457" w:rsidRPr="0059638B">
        <w:rPr>
          <w:sz w:val="20"/>
          <w:szCs w:val="20"/>
        </w:rPr>
        <w:t>at</w:t>
      </w:r>
      <w:r w:rsidR="00FF41A0">
        <w:rPr>
          <w:sz w:val="20"/>
          <w:szCs w:val="20"/>
        </w:rPr>
        <w:t xml:space="preserve"> </w:t>
      </w:r>
      <w:r w:rsidR="00323457" w:rsidRPr="0059638B">
        <w:rPr>
          <w:sz w:val="20"/>
          <w:szCs w:val="20"/>
        </w:rPr>
        <w:t>strengthening</w:t>
      </w:r>
      <w:r w:rsidR="00FF41A0">
        <w:rPr>
          <w:sz w:val="20"/>
          <w:szCs w:val="20"/>
        </w:rPr>
        <w:t xml:space="preserve"> </w:t>
      </w:r>
      <w:r w:rsidR="00323457" w:rsidRPr="0059638B">
        <w:rPr>
          <w:sz w:val="20"/>
          <w:szCs w:val="20"/>
        </w:rPr>
        <w:t>commitment</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implementation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policies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legislation,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continuing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concerted</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improve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strengthen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mechanisms</w:t>
      </w:r>
      <w:r w:rsidR="00FF41A0">
        <w:rPr>
          <w:sz w:val="20"/>
          <w:szCs w:val="20"/>
        </w:rPr>
        <w:t xml:space="preserve"> </w:t>
      </w:r>
      <w:r w:rsidR="00323457" w:rsidRPr="0059638B">
        <w:rPr>
          <w:sz w:val="20"/>
          <w:szCs w:val="20"/>
        </w:rPr>
        <w:t>put</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place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combat</w:t>
      </w:r>
      <w:r w:rsidR="00FF41A0">
        <w:rPr>
          <w:sz w:val="20"/>
          <w:szCs w:val="20"/>
        </w:rPr>
        <w:t xml:space="preserve"> </w:t>
      </w:r>
      <w:r w:rsidR="00323457" w:rsidRPr="0059638B">
        <w:rPr>
          <w:sz w:val="20"/>
          <w:szCs w:val="20"/>
        </w:rPr>
        <w:t>harmful</w:t>
      </w:r>
      <w:r w:rsidR="00FF41A0">
        <w:rPr>
          <w:sz w:val="20"/>
          <w:szCs w:val="20"/>
        </w:rPr>
        <w:t xml:space="preserve"> </w:t>
      </w:r>
      <w:r w:rsidR="00323457" w:rsidRPr="0059638B">
        <w:rPr>
          <w:sz w:val="20"/>
          <w:szCs w:val="20"/>
        </w:rPr>
        <w:t>social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cultural</w:t>
      </w:r>
      <w:r w:rsidR="00FF41A0">
        <w:rPr>
          <w:sz w:val="20"/>
          <w:szCs w:val="20"/>
        </w:rPr>
        <w:t xml:space="preserve"> </w:t>
      </w:r>
      <w:r w:rsidR="00323457" w:rsidRPr="0059638B">
        <w:rPr>
          <w:sz w:val="20"/>
          <w:szCs w:val="20"/>
        </w:rPr>
        <w:t>practice</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children.</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encouraged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Central</w:t>
      </w:r>
      <w:r w:rsidR="00FF41A0">
        <w:rPr>
          <w:sz w:val="20"/>
          <w:szCs w:val="20"/>
        </w:rPr>
        <w:t xml:space="preserve"> </w:t>
      </w:r>
      <w:r w:rsidR="00323457" w:rsidRPr="0059638B">
        <w:rPr>
          <w:sz w:val="20"/>
          <w:szCs w:val="20"/>
        </w:rPr>
        <w:t>African</w:t>
      </w:r>
      <w:r w:rsidR="00FF41A0">
        <w:rPr>
          <w:sz w:val="20"/>
          <w:szCs w:val="20"/>
        </w:rPr>
        <w:t xml:space="preserve"> </w:t>
      </w:r>
      <w:r w:rsidR="00323457" w:rsidRPr="0059638B">
        <w:rPr>
          <w:sz w:val="20"/>
          <w:szCs w:val="20"/>
        </w:rPr>
        <w:t>Republic</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take</w:t>
      </w:r>
      <w:r w:rsidR="00FF41A0">
        <w:rPr>
          <w:sz w:val="20"/>
          <w:szCs w:val="20"/>
        </w:rPr>
        <w:t xml:space="preserve"> </w:t>
      </w:r>
      <w:r w:rsidR="00323457" w:rsidRPr="0059638B">
        <w:rPr>
          <w:sz w:val="20"/>
          <w:szCs w:val="20"/>
        </w:rPr>
        <w:t>measures</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full</w:t>
      </w:r>
      <w:r w:rsidR="00FF41A0">
        <w:rPr>
          <w:sz w:val="20"/>
          <w:szCs w:val="20"/>
        </w:rPr>
        <w:t xml:space="preserve"> </w:t>
      </w:r>
      <w:r w:rsidR="00323457" w:rsidRPr="0059638B">
        <w:rPr>
          <w:sz w:val="20"/>
          <w:szCs w:val="20"/>
        </w:rPr>
        <w:t>implementation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accepted</w:t>
      </w:r>
      <w:r w:rsidR="00FF41A0">
        <w:rPr>
          <w:sz w:val="20"/>
          <w:szCs w:val="20"/>
        </w:rPr>
        <w:t xml:space="preserve"> </w:t>
      </w:r>
      <w:r w:rsidR="00323457" w:rsidRPr="0059638B">
        <w:rPr>
          <w:sz w:val="20"/>
          <w:szCs w:val="20"/>
        </w:rPr>
        <w:t>recommendations.</w:t>
      </w:r>
    </w:p>
    <w:p w14:paraId="4D5CA5C6" w14:textId="267E7E7C" w:rsidR="00323457" w:rsidRPr="0059638B" w:rsidRDefault="00972F1E" w:rsidP="00323457">
      <w:pPr>
        <w:pStyle w:val="SingleTxtG"/>
        <w:rPr>
          <w:sz w:val="20"/>
          <w:szCs w:val="20"/>
        </w:rPr>
      </w:pPr>
      <w:r>
        <w:rPr>
          <w:sz w:val="20"/>
          <w:szCs w:val="20"/>
        </w:rPr>
        <w:t>700</w:t>
      </w:r>
      <w:r w:rsidR="00D7475F">
        <w:rPr>
          <w:sz w:val="20"/>
          <w:szCs w:val="20"/>
        </w:rPr>
        <w:t>.</w:t>
      </w:r>
      <w:r w:rsidR="00D7475F">
        <w:rPr>
          <w:sz w:val="20"/>
          <w:szCs w:val="20"/>
        </w:rPr>
        <w:tab/>
      </w:r>
      <w:r w:rsidR="00323457" w:rsidRPr="0059638B">
        <w:rPr>
          <w:sz w:val="20"/>
          <w:szCs w:val="20"/>
        </w:rPr>
        <w:t>Gabon</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Central</w:t>
      </w:r>
      <w:r w:rsidR="00FF41A0">
        <w:rPr>
          <w:sz w:val="20"/>
          <w:szCs w:val="20"/>
        </w:rPr>
        <w:t xml:space="preserve"> </w:t>
      </w:r>
      <w:r w:rsidR="00323457" w:rsidRPr="0059638B">
        <w:rPr>
          <w:sz w:val="20"/>
          <w:szCs w:val="20"/>
        </w:rPr>
        <w:t>African</w:t>
      </w:r>
      <w:r w:rsidR="00FF41A0">
        <w:rPr>
          <w:sz w:val="20"/>
          <w:szCs w:val="20"/>
        </w:rPr>
        <w:t xml:space="preserve"> </w:t>
      </w:r>
      <w:r w:rsidR="00323457" w:rsidRPr="0059638B">
        <w:rPr>
          <w:sz w:val="20"/>
          <w:szCs w:val="20"/>
        </w:rPr>
        <w:t>Republic</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ensure</w:t>
      </w:r>
      <w:r w:rsidR="00FF41A0">
        <w:rPr>
          <w:sz w:val="20"/>
          <w:szCs w:val="20"/>
        </w:rPr>
        <w:t xml:space="preserve"> </w:t>
      </w:r>
      <w:r w:rsidR="00323457" w:rsidRPr="0059638B">
        <w:rPr>
          <w:sz w:val="20"/>
          <w:szCs w:val="20"/>
        </w:rPr>
        <w:t>peace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security</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territory.</w:t>
      </w:r>
      <w:r w:rsidR="00FF41A0">
        <w:rPr>
          <w:sz w:val="20"/>
          <w:szCs w:val="20"/>
        </w:rPr>
        <w:t xml:space="preserve"> </w:t>
      </w:r>
      <w:r w:rsidR="00323457" w:rsidRPr="0059638B">
        <w:rPr>
          <w:sz w:val="20"/>
          <w:szCs w:val="20"/>
        </w:rPr>
        <w:t>Gabon</w:t>
      </w:r>
      <w:r w:rsidR="00FF41A0">
        <w:rPr>
          <w:sz w:val="20"/>
          <w:szCs w:val="20"/>
        </w:rPr>
        <w:t xml:space="preserve"> </w:t>
      </w:r>
      <w:r w:rsidR="00323457" w:rsidRPr="0059638B">
        <w:rPr>
          <w:sz w:val="20"/>
          <w:szCs w:val="20"/>
        </w:rPr>
        <w:t>commended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country</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cooperation</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Council</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special</w:t>
      </w:r>
      <w:r w:rsidR="00FF41A0">
        <w:rPr>
          <w:sz w:val="20"/>
          <w:szCs w:val="20"/>
        </w:rPr>
        <w:t xml:space="preserve"> </w:t>
      </w:r>
      <w:r w:rsidR="00323457" w:rsidRPr="0059638B">
        <w:rPr>
          <w:sz w:val="20"/>
          <w:szCs w:val="20"/>
        </w:rPr>
        <w:t>procedures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mechanisms,</w:t>
      </w:r>
      <w:r w:rsidR="00FF41A0">
        <w:rPr>
          <w:sz w:val="20"/>
          <w:szCs w:val="20"/>
        </w:rPr>
        <w:t xml:space="preserve"> </w:t>
      </w:r>
      <w:r w:rsidR="00323457" w:rsidRPr="0059638B">
        <w:rPr>
          <w:sz w:val="20"/>
          <w:szCs w:val="20"/>
        </w:rPr>
        <w:t>demonstrated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ratification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several</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instruments</w:t>
      </w:r>
      <w:r w:rsidR="00FF41A0">
        <w:rPr>
          <w:sz w:val="20"/>
          <w:szCs w:val="20"/>
        </w:rPr>
        <w:t xml:space="preserve"> </w:t>
      </w:r>
      <w:r w:rsidR="00323457" w:rsidRPr="0059638B">
        <w:rPr>
          <w:sz w:val="20"/>
          <w:szCs w:val="20"/>
        </w:rPr>
        <w:t>such</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Optional</w:t>
      </w:r>
      <w:r w:rsidR="00FF41A0">
        <w:rPr>
          <w:sz w:val="20"/>
          <w:szCs w:val="20"/>
        </w:rPr>
        <w:t xml:space="preserve"> </w:t>
      </w:r>
      <w:r w:rsidR="00323457" w:rsidRPr="0059638B">
        <w:rPr>
          <w:sz w:val="20"/>
          <w:szCs w:val="20"/>
        </w:rPr>
        <w:t>Protocol</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Convention</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Child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involvement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children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armed</w:t>
      </w:r>
      <w:r w:rsidR="00FF41A0">
        <w:rPr>
          <w:sz w:val="20"/>
          <w:szCs w:val="20"/>
        </w:rPr>
        <w:t xml:space="preserve"> </w:t>
      </w:r>
      <w:r w:rsidR="00323457" w:rsidRPr="0059638B">
        <w:rPr>
          <w:sz w:val="20"/>
          <w:szCs w:val="20"/>
        </w:rPr>
        <w:t>conflict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measures</w:t>
      </w:r>
      <w:r w:rsidR="00FF41A0">
        <w:rPr>
          <w:sz w:val="20"/>
          <w:szCs w:val="20"/>
        </w:rPr>
        <w:t xml:space="preserve"> </w:t>
      </w:r>
      <w:r w:rsidR="00323457" w:rsidRPr="0059638B">
        <w:rPr>
          <w:sz w:val="20"/>
          <w:szCs w:val="20"/>
        </w:rPr>
        <w:t>aiming</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combat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recruitment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use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children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conflict.</w:t>
      </w:r>
    </w:p>
    <w:p w14:paraId="76508B60" w14:textId="482E4365" w:rsidR="00323457" w:rsidRPr="0059638B" w:rsidRDefault="00972F1E" w:rsidP="00323457">
      <w:pPr>
        <w:pStyle w:val="SingleTxtG"/>
        <w:rPr>
          <w:sz w:val="20"/>
          <w:szCs w:val="20"/>
        </w:rPr>
      </w:pPr>
      <w:r>
        <w:rPr>
          <w:sz w:val="20"/>
          <w:szCs w:val="20"/>
        </w:rPr>
        <w:t>701</w:t>
      </w:r>
      <w:r w:rsidR="00D7475F">
        <w:rPr>
          <w:sz w:val="20"/>
          <w:szCs w:val="20"/>
        </w:rPr>
        <w:t>.</w:t>
      </w:r>
      <w:r w:rsidR="00D7475F">
        <w:rPr>
          <w:sz w:val="20"/>
          <w:szCs w:val="20"/>
        </w:rPr>
        <w:tab/>
      </w:r>
      <w:r w:rsidR="00323457" w:rsidRPr="0059638B">
        <w:rPr>
          <w:sz w:val="20"/>
          <w:szCs w:val="20"/>
        </w:rPr>
        <w:t>Iraq</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delighted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fact</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Central</w:t>
      </w:r>
      <w:r w:rsidR="00FF41A0">
        <w:rPr>
          <w:sz w:val="20"/>
          <w:szCs w:val="20"/>
        </w:rPr>
        <w:t xml:space="preserve"> </w:t>
      </w:r>
      <w:r w:rsidR="00323457" w:rsidRPr="0059638B">
        <w:rPr>
          <w:sz w:val="20"/>
          <w:szCs w:val="20"/>
        </w:rPr>
        <w:t>African</w:t>
      </w:r>
      <w:r w:rsidR="00FF41A0">
        <w:rPr>
          <w:sz w:val="20"/>
          <w:szCs w:val="20"/>
        </w:rPr>
        <w:t xml:space="preserve"> </w:t>
      </w:r>
      <w:r w:rsidR="00323457" w:rsidRPr="0059638B">
        <w:rPr>
          <w:sz w:val="20"/>
          <w:szCs w:val="20"/>
        </w:rPr>
        <w:t>Republic</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accepted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three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commended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country</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having</w:t>
      </w:r>
      <w:r w:rsidR="00FF41A0">
        <w:rPr>
          <w:sz w:val="20"/>
          <w:szCs w:val="20"/>
        </w:rPr>
        <w:t xml:space="preserve"> </w:t>
      </w:r>
      <w:r w:rsidR="00323457" w:rsidRPr="0059638B">
        <w:rPr>
          <w:sz w:val="20"/>
          <w:szCs w:val="20"/>
        </w:rPr>
        <w:t>accepted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majority</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hoped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they</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be</w:t>
      </w:r>
      <w:r w:rsidR="00FF41A0">
        <w:rPr>
          <w:sz w:val="20"/>
          <w:szCs w:val="20"/>
        </w:rPr>
        <w:t xml:space="preserve"> </w:t>
      </w:r>
      <w:r w:rsidR="00323457" w:rsidRPr="0059638B">
        <w:rPr>
          <w:sz w:val="20"/>
          <w:szCs w:val="20"/>
        </w:rPr>
        <w:t>implemented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accordance</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obligations.</w:t>
      </w:r>
    </w:p>
    <w:p w14:paraId="0AFFC8AE" w14:textId="5EB75217" w:rsidR="00323457" w:rsidRPr="0059638B" w:rsidRDefault="00972F1E" w:rsidP="00323457">
      <w:pPr>
        <w:pStyle w:val="SingleTxtG"/>
        <w:rPr>
          <w:sz w:val="20"/>
          <w:szCs w:val="20"/>
        </w:rPr>
      </w:pPr>
      <w:r>
        <w:rPr>
          <w:sz w:val="20"/>
          <w:szCs w:val="20"/>
        </w:rPr>
        <w:t>702</w:t>
      </w:r>
      <w:r w:rsidR="00D7475F">
        <w:rPr>
          <w:sz w:val="20"/>
          <w:szCs w:val="20"/>
        </w:rPr>
        <w:t>.</w:t>
      </w:r>
      <w:r w:rsidR="00D7475F">
        <w:rPr>
          <w:sz w:val="20"/>
          <w:szCs w:val="20"/>
        </w:rPr>
        <w:tab/>
      </w:r>
      <w:r w:rsidR="00323457" w:rsidRPr="0059638B">
        <w:rPr>
          <w:sz w:val="20"/>
          <w:szCs w:val="20"/>
        </w:rPr>
        <w:t>Madagascar</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satisfaction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actions</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taken</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authorities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Central</w:t>
      </w:r>
      <w:r w:rsidR="00FF41A0">
        <w:rPr>
          <w:sz w:val="20"/>
          <w:szCs w:val="20"/>
        </w:rPr>
        <w:t xml:space="preserve"> </w:t>
      </w:r>
      <w:r w:rsidR="00323457" w:rsidRPr="0059638B">
        <w:rPr>
          <w:sz w:val="20"/>
          <w:szCs w:val="20"/>
        </w:rPr>
        <w:t>African</w:t>
      </w:r>
      <w:r w:rsidR="00FF41A0">
        <w:rPr>
          <w:sz w:val="20"/>
          <w:szCs w:val="20"/>
        </w:rPr>
        <w:t xml:space="preserve"> </w:t>
      </w:r>
      <w:r w:rsidR="00323457" w:rsidRPr="0059638B">
        <w:rPr>
          <w:sz w:val="20"/>
          <w:szCs w:val="20"/>
        </w:rPr>
        <w:t>Republic</w:t>
      </w:r>
      <w:r w:rsidR="00FF41A0">
        <w:rPr>
          <w:sz w:val="20"/>
          <w:szCs w:val="20"/>
        </w:rPr>
        <w:t xml:space="preserve"> </w:t>
      </w:r>
      <w:r w:rsidR="00323457" w:rsidRPr="0059638B">
        <w:rPr>
          <w:sz w:val="20"/>
          <w:szCs w:val="20"/>
        </w:rPr>
        <w:t>since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return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constitutional</w:t>
      </w:r>
      <w:r w:rsidR="00FF41A0">
        <w:rPr>
          <w:sz w:val="20"/>
          <w:szCs w:val="20"/>
        </w:rPr>
        <w:t xml:space="preserve"> </w:t>
      </w:r>
      <w:r w:rsidR="00323457" w:rsidRPr="0059638B">
        <w:rPr>
          <w:sz w:val="20"/>
          <w:szCs w:val="20"/>
        </w:rPr>
        <w:t>legality,</w:t>
      </w:r>
      <w:r w:rsidR="00FF41A0">
        <w:rPr>
          <w:sz w:val="20"/>
          <w:szCs w:val="20"/>
        </w:rPr>
        <w:t xml:space="preserve"> </w:t>
      </w:r>
      <w:r w:rsidR="00323457" w:rsidRPr="0059638B">
        <w:rPr>
          <w:sz w:val="20"/>
          <w:szCs w:val="20"/>
        </w:rPr>
        <w:t>particularly,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undertaking</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legislative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regulatory</w:t>
      </w:r>
      <w:r w:rsidR="00FF41A0">
        <w:rPr>
          <w:sz w:val="20"/>
          <w:szCs w:val="20"/>
        </w:rPr>
        <w:t xml:space="preserve"> </w:t>
      </w:r>
      <w:r w:rsidR="00323457" w:rsidRPr="0059638B">
        <w:rPr>
          <w:sz w:val="20"/>
          <w:szCs w:val="20"/>
        </w:rPr>
        <w:t>measures</w:t>
      </w:r>
      <w:r w:rsidR="00FF41A0">
        <w:rPr>
          <w:sz w:val="20"/>
          <w:szCs w:val="20"/>
        </w:rPr>
        <w:t xml:space="preserve"> </w:t>
      </w:r>
      <w:r w:rsidR="00323457" w:rsidRPr="0059638B">
        <w:rPr>
          <w:sz w:val="20"/>
          <w:szCs w:val="20"/>
        </w:rPr>
        <w:t>aiming</w:t>
      </w:r>
      <w:r w:rsidR="00FF41A0">
        <w:rPr>
          <w:sz w:val="20"/>
          <w:szCs w:val="20"/>
        </w:rPr>
        <w:t xml:space="preserve"> </w:t>
      </w:r>
      <w:r w:rsidR="00323457" w:rsidRPr="0059638B">
        <w:rPr>
          <w:sz w:val="20"/>
          <w:szCs w:val="20"/>
        </w:rPr>
        <w:t>at</w:t>
      </w:r>
      <w:r w:rsidR="00FF41A0">
        <w:rPr>
          <w:sz w:val="20"/>
          <w:szCs w:val="20"/>
        </w:rPr>
        <w:t xml:space="preserve"> </w:t>
      </w:r>
      <w:r w:rsidR="00323457" w:rsidRPr="0059638B">
        <w:rPr>
          <w:sz w:val="20"/>
          <w:szCs w:val="20"/>
        </w:rPr>
        <w:t>prohibiting</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punishing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recruitment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use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children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conflict.</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disarmament,</w:t>
      </w:r>
      <w:r w:rsidR="00FF41A0">
        <w:rPr>
          <w:sz w:val="20"/>
          <w:szCs w:val="20"/>
        </w:rPr>
        <w:t xml:space="preserve"> </w:t>
      </w:r>
      <w:r w:rsidR="00323457" w:rsidRPr="0059638B">
        <w:rPr>
          <w:sz w:val="20"/>
          <w:szCs w:val="20"/>
        </w:rPr>
        <w:t>demobilisation,</w:t>
      </w:r>
      <w:r w:rsidR="00FF41A0">
        <w:rPr>
          <w:sz w:val="20"/>
          <w:szCs w:val="20"/>
        </w:rPr>
        <w:t xml:space="preserve"> </w:t>
      </w:r>
      <w:r w:rsidR="00323457" w:rsidRPr="0059638B">
        <w:rPr>
          <w:sz w:val="20"/>
          <w:szCs w:val="20"/>
        </w:rPr>
        <w:t>reintegration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repatriation</w:t>
      </w:r>
      <w:r w:rsidR="00FF41A0">
        <w:rPr>
          <w:sz w:val="20"/>
          <w:szCs w:val="20"/>
        </w:rPr>
        <w:t xml:space="preserve"> </w:t>
      </w:r>
      <w:r w:rsidR="00323457" w:rsidRPr="0059638B">
        <w:rPr>
          <w:sz w:val="20"/>
          <w:szCs w:val="20"/>
        </w:rPr>
        <w:t>programme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security</w:t>
      </w:r>
      <w:r w:rsidR="00FF41A0">
        <w:rPr>
          <w:sz w:val="20"/>
          <w:szCs w:val="20"/>
        </w:rPr>
        <w:t xml:space="preserve"> </w:t>
      </w:r>
      <w:r w:rsidR="00323457" w:rsidRPr="0059638B">
        <w:rPr>
          <w:sz w:val="20"/>
          <w:szCs w:val="20"/>
        </w:rPr>
        <w:t>sector</w:t>
      </w:r>
      <w:r w:rsidR="00FF41A0">
        <w:rPr>
          <w:sz w:val="20"/>
          <w:szCs w:val="20"/>
        </w:rPr>
        <w:t xml:space="preserve"> </w:t>
      </w:r>
      <w:r w:rsidR="00323457" w:rsidRPr="0059638B">
        <w:rPr>
          <w:sz w:val="20"/>
          <w:szCs w:val="20"/>
        </w:rPr>
        <w:t>strategy.</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encouraged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continue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this</w:t>
      </w:r>
      <w:r w:rsidR="00FF41A0">
        <w:rPr>
          <w:sz w:val="20"/>
          <w:szCs w:val="20"/>
        </w:rPr>
        <w:t xml:space="preserve"> </w:t>
      </w:r>
      <w:r w:rsidR="00323457" w:rsidRPr="0059638B">
        <w:rPr>
          <w:sz w:val="20"/>
          <w:szCs w:val="20"/>
        </w:rPr>
        <w:t>direction,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order</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consolidate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rule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law</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respect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country.</w:t>
      </w:r>
    </w:p>
    <w:p w14:paraId="11C276C8" w14:textId="772248C7" w:rsidR="00323457" w:rsidRPr="0059638B" w:rsidRDefault="00972F1E" w:rsidP="00323457">
      <w:pPr>
        <w:pStyle w:val="SingleTxtG"/>
        <w:rPr>
          <w:sz w:val="20"/>
          <w:szCs w:val="20"/>
        </w:rPr>
      </w:pPr>
      <w:r>
        <w:rPr>
          <w:sz w:val="20"/>
          <w:szCs w:val="20"/>
        </w:rPr>
        <w:t>703</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Philippines</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acceptance</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most</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thanked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Central</w:t>
      </w:r>
      <w:r w:rsidR="00FF41A0">
        <w:rPr>
          <w:sz w:val="20"/>
          <w:szCs w:val="20"/>
        </w:rPr>
        <w:t xml:space="preserve"> </w:t>
      </w:r>
      <w:r w:rsidR="00323457" w:rsidRPr="0059638B">
        <w:rPr>
          <w:sz w:val="20"/>
          <w:szCs w:val="20"/>
        </w:rPr>
        <w:t>African</w:t>
      </w:r>
      <w:r w:rsidR="00FF41A0">
        <w:rPr>
          <w:sz w:val="20"/>
          <w:szCs w:val="20"/>
        </w:rPr>
        <w:t xml:space="preserve"> </w:t>
      </w:r>
      <w:r w:rsidR="00323457" w:rsidRPr="0059638B">
        <w:rPr>
          <w:sz w:val="20"/>
          <w:szCs w:val="20"/>
        </w:rPr>
        <w:t>Republic</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accepting</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addressing</w:t>
      </w:r>
      <w:r w:rsidR="00FF41A0">
        <w:rPr>
          <w:sz w:val="20"/>
          <w:szCs w:val="20"/>
        </w:rPr>
        <w:t xml:space="preserve"> </w:t>
      </w:r>
      <w:r w:rsidR="00323457" w:rsidRPr="0059638B">
        <w:rPr>
          <w:sz w:val="20"/>
          <w:szCs w:val="20"/>
        </w:rPr>
        <w:t>gender-based</w:t>
      </w:r>
      <w:r w:rsidR="00FF41A0">
        <w:rPr>
          <w:sz w:val="20"/>
          <w:szCs w:val="20"/>
        </w:rPr>
        <w:t xml:space="preserve"> </w:t>
      </w:r>
      <w:r w:rsidR="00323457" w:rsidRPr="0059638B">
        <w:rPr>
          <w:sz w:val="20"/>
          <w:szCs w:val="20"/>
        </w:rPr>
        <w:t>violence,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children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armed</w:t>
      </w:r>
      <w:r w:rsidR="00FF41A0">
        <w:rPr>
          <w:sz w:val="20"/>
          <w:szCs w:val="20"/>
        </w:rPr>
        <w:t xml:space="preserve"> </w:t>
      </w:r>
      <w:r w:rsidR="00323457" w:rsidRPr="0059638B">
        <w:rPr>
          <w:sz w:val="20"/>
          <w:szCs w:val="20"/>
        </w:rPr>
        <w:t>conflict.</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Central</w:t>
      </w:r>
      <w:r w:rsidR="00FF41A0">
        <w:rPr>
          <w:sz w:val="20"/>
          <w:szCs w:val="20"/>
        </w:rPr>
        <w:t xml:space="preserve"> </w:t>
      </w:r>
      <w:r w:rsidR="00323457" w:rsidRPr="0059638B">
        <w:rPr>
          <w:sz w:val="20"/>
          <w:szCs w:val="20"/>
        </w:rPr>
        <w:t>African</w:t>
      </w:r>
      <w:r w:rsidR="00FF41A0">
        <w:rPr>
          <w:sz w:val="20"/>
          <w:szCs w:val="20"/>
        </w:rPr>
        <w:t xml:space="preserve"> </w:t>
      </w:r>
      <w:r w:rsidR="00323457" w:rsidRPr="0059638B">
        <w:rPr>
          <w:sz w:val="20"/>
          <w:szCs w:val="20"/>
        </w:rPr>
        <w:t>Republic</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recommendation</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continuing</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engage</w:t>
      </w:r>
      <w:r w:rsidR="00FF41A0">
        <w:rPr>
          <w:sz w:val="20"/>
          <w:szCs w:val="20"/>
        </w:rPr>
        <w:t xml:space="preserve"> </w:t>
      </w:r>
      <w:r w:rsidR="00323457" w:rsidRPr="0059638B">
        <w:rPr>
          <w:sz w:val="20"/>
          <w:szCs w:val="20"/>
        </w:rPr>
        <w:t>partners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capacity</w:t>
      </w:r>
      <w:r w:rsidR="00FF41A0">
        <w:rPr>
          <w:sz w:val="20"/>
          <w:szCs w:val="20"/>
        </w:rPr>
        <w:t xml:space="preserve"> </w:t>
      </w:r>
      <w:r w:rsidR="00323457" w:rsidRPr="0059638B">
        <w:rPr>
          <w:sz w:val="20"/>
          <w:szCs w:val="20"/>
        </w:rPr>
        <w:t>building</w:t>
      </w:r>
      <w:r w:rsidR="00FF41A0">
        <w:rPr>
          <w:sz w:val="20"/>
          <w:szCs w:val="20"/>
        </w:rPr>
        <w:t xml:space="preserve"> </w:t>
      </w:r>
      <w:r w:rsidR="00323457" w:rsidRPr="0059638B">
        <w:rPr>
          <w:sz w:val="20"/>
          <w:szCs w:val="20"/>
        </w:rPr>
        <w:t>activities.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Philippines</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encouraged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commitment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continuing</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advance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promotion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country.</w:t>
      </w:r>
    </w:p>
    <w:p w14:paraId="6C5399A4" w14:textId="646881B6" w:rsidR="00323457" w:rsidRPr="0059638B" w:rsidRDefault="00972F1E" w:rsidP="00323457">
      <w:pPr>
        <w:pStyle w:val="SingleTxtG"/>
        <w:rPr>
          <w:sz w:val="20"/>
          <w:szCs w:val="20"/>
        </w:rPr>
      </w:pPr>
      <w:r>
        <w:rPr>
          <w:sz w:val="20"/>
          <w:szCs w:val="20"/>
        </w:rPr>
        <w:t>704</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Russian</w:t>
      </w:r>
      <w:r w:rsidR="00FF41A0">
        <w:rPr>
          <w:sz w:val="20"/>
          <w:szCs w:val="20"/>
        </w:rPr>
        <w:t xml:space="preserve"> </w:t>
      </w:r>
      <w:r w:rsidR="00323457" w:rsidRPr="0059638B">
        <w:rPr>
          <w:sz w:val="20"/>
          <w:szCs w:val="20"/>
        </w:rPr>
        <w:t>Federation</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progress</w:t>
      </w:r>
      <w:r w:rsidR="00FF41A0">
        <w:rPr>
          <w:sz w:val="20"/>
          <w:szCs w:val="20"/>
        </w:rPr>
        <w:t xml:space="preserve"> </w:t>
      </w:r>
      <w:r w:rsidR="00323457" w:rsidRPr="0059638B">
        <w:rPr>
          <w:sz w:val="20"/>
          <w:szCs w:val="20"/>
        </w:rPr>
        <w:t>achieved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promotion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despite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difficult</w:t>
      </w:r>
      <w:r w:rsidR="00FF41A0">
        <w:rPr>
          <w:sz w:val="20"/>
          <w:szCs w:val="20"/>
        </w:rPr>
        <w:t xml:space="preserve"> </w:t>
      </w:r>
      <w:r w:rsidR="00323457" w:rsidRPr="0059638B">
        <w:rPr>
          <w:sz w:val="20"/>
          <w:szCs w:val="20"/>
        </w:rPr>
        <w:t>political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economic</w:t>
      </w:r>
      <w:r w:rsidR="00FF41A0">
        <w:rPr>
          <w:sz w:val="20"/>
          <w:szCs w:val="20"/>
        </w:rPr>
        <w:t xml:space="preserve"> </w:t>
      </w:r>
      <w:r w:rsidR="00323457" w:rsidRPr="0059638B">
        <w:rPr>
          <w:sz w:val="20"/>
          <w:szCs w:val="20"/>
        </w:rPr>
        <w:t>situation,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authorities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Central</w:t>
      </w:r>
      <w:r w:rsidR="00FF41A0">
        <w:rPr>
          <w:sz w:val="20"/>
          <w:szCs w:val="20"/>
        </w:rPr>
        <w:t xml:space="preserve"> </w:t>
      </w:r>
      <w:r w:rsidR="00323457" w:rsidRPr="0059638B">
        <w:rPr>
          <w:sz w:val="20"/>
          <w:szCs w:val="20"/>
        </w:rPr>
        <w:t>African</w:t>
      </w:r>
      <w:r w:rsidR="00FF41A0">
        <w:rPr>
          <w:sz w:val="20"/>
          <w:szCs w:val="20"/>
        </w:rPr>
        <w:t xml:space="preserve"> </w:t>
      </w:r>
      <w:r w:rsidR="00323457" w:rsidRPr="0059638B">
        <w:rPr>
          <w:sz w:val="20"/>
          <w:szCs w:val="20"/>
        </w:rPr>
        <w:t>Republic</w:t>
      </w:r>
      <w:r w:rsidR="00FF41A0">
        <w:rPr>
          <w:sz w:val="20"/>
          <w:szCs w:val="20"/>
        </w:rPr>
        <w:t xml:space="preserve"> </w:t>
      </w:r>
      <w:r w:rsidR="00323457" w:rsidRPr="0059638B">
        <w:rPr>
          <w:sz w:val="20"/>
          <w:szCs w:val="20"/>
        </w:rPr>
        <w:t>deserved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be</w:t>
      </w:r>
      <w:r w:rsidR="00FF41A0">
        <w:rPr>
          <w:sz w:val="20"/>
          <w:szCs w:val="20"/>
        </w:rPr>
        <w:t xml:space="preserve"> </w:t>
      </w:r>
      <w:r w:rsidR="00323457" w:rsidRPr="0059638B">
        <w:rPr>
          <w:sz w:val="20"/>
          <w:szCs w:val="20"/>
        </w:rPr>
        <w:t>commended</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their</w:t>
      </w:r>
      <w:r w:rsidR="00FF41A0">
        <w:rPr>
          <w:sz w:val="20"/>
          <w:szCs w:val="20"/>
        </w:rPr>
        <w:t xml:space="preserve"> </w:t>
      </w:r>
      <w:r w:rsidR="00323457" w:rsidRPr="0059638B">
        <w:rPr>
          <w:sz w:val="20"/>
          <w:szCs w:val="20"/>
        </w:rPr>
        <w:t>willingness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cooperate</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mechanisms.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lastRenderedPageBreak/>
        <w:t>noted</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satisfaction</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Central</w:t>
      </w:r>
      <w:r w:rsidR="00FF41A0">
        <w:rPr>
          <w:sz w:val="20"/>
          <w:szCs w:val="20"/>
        </w:rPr>
        <w:t xml:space="preserve"> </w:t>
      </w:r>
      <w:r w:rsidR="00323457" w:rsidRPr="0059638B">
        <w:rPr>
          <w:sz w:val="20"/>
          <w:szCs w:val="20"/>
        </w:rPr>
        <w:t>African</w:t>
      </w:r>
      <w:r w:rsidR="00FF41A0">
        <w:rPr>
          <w:sz w:val="20"/>
          <w:szCs w:val="20"/>
        </w:rPr>
        <w:t xml:space="preserve"> </w:t>
      </w:r>
      <w:r w:rsidR="00323457" w:rsidRPr="0059638B">
        <w:rPr>
          <w:sz w:val="20"/>
          <w:szCs w:val="20"/>
        </w:rPr>
        <w:t>Republic</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accepted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majority</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received</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they</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counting</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their</w:t>
      </w:r>
      <w:r w:rsidR="00FF41A0">
        <w:rPr>
          <w:sz w:val="20"/>
          <w:szCs w:val="20"/>
        </w:rPr>
        <w:t xml:space="preserve"> </w:t>
      </w:r>
      <w:r w:rsidR="00323457" w:rsidRPr="0059638B">
        <w:rPr>
          <w:sz w:val="20"/>
          <w:szCs w:val="20"/>
        </w:rPr>
        <w:t>effective</w:t>
      </w:r>
      <w:r w:rsidR="00FF41A0">
        <w:rPr>
          <w:sz w:val="20"/>
          <w:szCs w:val="20"/>
        </w:rPr>
        <w:t xml:space="preserve"> </w:t>
      </w:r>
      <w:r w:rsidR="00323457" w:rsidRPr="0059638B">
        <w:rPr>
          <w:sz w:val="20"/>
          <w:szCs w:val="20"/>
        </w:rPr>
        <w:t>implementation.</w:t>
      </w:r>
    </w:p>
    <w:p w14:paraId="5E3A1140" w14:textId="060749E9" w:rsidR="00323457" w:rsidRPr="0059638B" w:rsidRDefault="00972F1E" w:rsidP="00323457">
      <w:pPr>
        <w:pStyle w:val="SingleTxtG"/>
        <w:rPr>
          <w:sz w:val="20"/>
          <w:szCs w:val="20"/>
        </w:rPr>
      </w:pPr>
      <w:r>
        <w:rPr>
          <w:sz w:val="20"/>
          <w:szCs w:val="20"/>
        </w:rPr>
        <w:t>705</w:t>
      </w:r>
      <w:r w:rsidR="00D7475F">
        <w:rPr>
          <w:sz w:val="20"/>
          <w:szCs w:val="20"/>
        </w:rPr>
        <w:t>.</w:t>
      </w:r>
      <w:r w:rsidR="00D7475F">
        <w:rPr>
          <w:sz w:val="20"/>
          <w:szCs w:val="20"/>
        </w:rPr>
        <w:tab/>
      </w:r>
      <w:r w:rsidR="00323457" w:rsidRPr="0059638B">
        <w:rPr>
          <w:sz w:val="20"/>
          <w:szCs w:val="20"/>
        </w:rPr>
        <w:t>Senegal</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authorities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Central</w:t>
      </w:r>
      <w:r w:rsidR="00FF41A0">
        <w:rPr>
          <w:sz w:val="20"/>
          <w:szCs w:val="20"/>
        </w:rPr>
        <w:t xml:space="preserve"> </w:t>
      </w:r>
      <w:r w:rsidR="00323457" w:rsidRPr="0059638B">
        <w:rPr>
          <w:sz w:val="20"/>
          <w:szCs w:val="20"/>
        </w:rPr>
        <w:t>African</w:t>
      </w:r>
      <w:r w:rsidR="00FF41A0">
        <w:rPr>
          <w:sz w:val="20"/>
          <w:szCs w:val="20"/>
        </w:rPr>
        <w:t xml:space="preserve"> </w:t>
      </w:r>
      <w:r w:rsidR="00323457" w:rsidRPr="0059638B">
        <w:rPr>
          <w:sz w:val="20"/>
          <w:szCs w:val="20"/>
        </w:rPr>
        <w:t>Republic</w:t>
      </w:r>
      <w:r w:rsidR="00FF41A0">
        <w:rPr>
          <w:sz w:val="20"/>
          <w:szCs w:val="20"/>
        </w:rPr>
        <w:t xml:space="preserve"> </w:t>
      </w:r>
      <w:r w:rsidR="00323457" w:rsidRPr="0059638B">
        <w:rPr>
          <w:sz w:val="20"/>
          <w:szCs w:val="20"/>
        </w:rPr>
        <w:t>aiming</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restore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rule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law,</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combat</w:t>
      </w:r>
      <w:r w:rsidR="00FF41A0">
        <w:rPr>
          <w:sz w:val="20"/>
          <w:szCs w:val="20"/>
        </w:rPr>
        <w:t xml:space="preserve"> </w:t>
      </w:r>
      <w:r w:rsidR="00323457" w:rsidRPr="0059638B">
        <w:rPr>
          <w:sz w:val="20"/>
          <w:szCs w:val="20"/>
        </w:rPr>
        <w:t>impunity,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promote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reconciliation.</w:t>
      </w:r>
      <w:r w:rsidR="00FF41A0">
        <w:rPr>
          <w:sz w:val="20"/>
          <w:szCs w:val="20"/>
        </w:rPr>
        <w:t xml:space="preserve"> </w:t>
      </w:r>
      <w:r w:rsidR="00323457" w:rsidRPr="0059638B">
        <w:rPr>
          <w:sz w:val="20"/>
          <w:szCs w:val="20"/>
        </w:rPr>
        <w:t>Senegal</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commended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signing</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Khartoum</w:t>
      </w:r>
      <w:r w:rsidR="00FF41A0">
        <w:rPr>
          <w:sz w:val="20"/>
          <w:szCs w:val="20"/>
        </w:rPr>
        <w:t xml:space="preserve"> </w:t>
      </w:r>
      <w:r w:rsidR="00323457" w:rsidRPr="0059638B">
        <w:rPr>
          <w:sz w:val="20"/>
          <w:szCs w:val="20"/>
        </w:rPr>
        <w:t>Agreement</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2019,</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stressed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importance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implementing</w:t>
      </w:r>
      <w:r w:rsidR="00FF41A0">
        <w:rPr>
          <w:sz w:val="20"/>
          <w:szCs w:val="20"/>
        </w:rPr>
        <w:t xml:space="preserve"> </w:t>
      </w:r>
      <w:r w:rsidR="00323457" w:rsidRPr="0059638B">
        <w:rPr>
          <w:sz w:val="20"/>
          <w:szCs w:val="20"/>
        </w:rPr>
        <w:t>this</w:t>
      </w:r>
      <w:r w:rsidR="00FF41A0">
        <w:rPr>
          <w:sz w:val="20"/>
          <w:szCs w:val="20"/>
        </w:rPr>
        <w:t xml:space="preserve"> </w:t>
      </w:r>
      <w:r w:rsidR="00323457" w:rsidRPr="0059638B">
        <w:rPr>
          <w:sz w:val="20"/>
          <w:szCs w:val="20"/>
        </w:rPr>
        <w:t>agreement,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end</w:t>
      </w:r>
      <w:r w:rsidR="00FF41A0">
        <w:rPr>
          <w:sz w:val="20"/>
          <w:szCs w:val="20"/>
        </w:rPr>
        <w:t xml:space="preserve"> </w:t>
      </w:r>
      <w:r w:rsidR="00323457" w:rsidRPr="0059638B">
        <w:rPr>
          <w:sz w:val="20"/>
          <w:szCs w:val="20"/>
        </w:rPr>
        <w:t>years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crisis,</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support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neighbouring</w:t>
      </w:r>
      <w:r w:rsidR="00FF41A0">
        <w:rPr>
          <w:sz w:val="20"/>
          <w:szCs w:val="20"/>
        </w:rPr>
        <w:t xml:space="preserve"> </w:t>
      </w:r>
      <w:r w:rsidR="00323457" w:rsidRPr="0059638B">
        <w:rPr>
          <w:sz w:val="20"/>
          <w:szCs w:val="20"/>
        </w:rPr>
        <w:t>countries,</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well</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African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organisations.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this</w:t>
      </w:r>
      <w:r w:rsidR="00FF41A0">
        <w:rPr>
          <w:sz w:val="20"/>
          <w:szCs w:val="20"/>
        </w:rPr>
        <w:t xml:space="preserve"> </w:t>
      </w:r>
      <w:r w:rsidR="00323457" w:rsidRPr="0059638B">
        <w:rPr>
          <w:sz w:val="20"/>
          <w:szCs w:val="20"/>
        </w:rPr>
        <w:t>regard,</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hoped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appointment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new</w:t>
      </w:r>
      <w:r w:rsidR="00FF41A0">
        <w:rPr>
          <w:sz w:val="20"/>
          <w:szCs w:val="20"/>
        </w:rPr>
        <w:t xml:space="preserve"> </w:t>
      </w:r>
      <w:r w:rsidR="00323457" w:rsidRPr="0059638B">
        <w:rPr>
          <w:sz w:val="20"/>
          <w:szCs w:val="20"/>
        </w:rPr>
        <w:t>head</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MINUSCA</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help</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consolidate</w:t>
      </w:r>
      <w:r w:rsidR="00FF41A0">
        <w:rPr>
          <w:sz w:val="20"/>
          <w:szCs w:val="20"/>
        </w:rPr>
        <w:t xml:space="preserve"> </w:t>
      </w:r>
      <w:r w:rsidR="00323457" w:rsidRPr="0059638B">
        <w:rPr>
          <w:sz w:val="20"/>
          <w:szCs w:val="20"/>
        </w:rPr>
        <w:t>achievements</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already</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order</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assure</w:t>
      </w:r>
      <w:r w:rsidR="00FF41A0">
        <w:rPr>
          <w:sz w:val="20"/>
          <w:szCs w:val="20"/>
        </w:rPr>
        <w:t xml:space="preserve"> </w:t>
      </w:r>
      <w:r w:rsidR="00323457" w:rsidRPr="0059638B">
        <w:rPr>
          <w:sz w:val="20"/>
          <w:szCs w:val="20"/>
        </w:rPr>
        <w:t>lasting</w:t>
      </w:r>
      <w:r w:rsidR="00FF41A0">
        <w:rPr>
          <w:sz w:val="20"/>
          <w:szCs w:val="20"/>
        </w:rPr>
        <w:t xml:space="preserve"> </w:t>
      </w:r>
      <w:r w:rsidR="00323457" w:rsidRPr="0059638B">
        <w:rPr>
          <w:sz w:val="20"/>
          <w:szCs w:val="20"/>
        </w:rPr>
        <w:t>peace</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country.</w:t>
      </w:r>
    </w:p>
    <w:p w14:paraId="74B4BB02" w14:textId="431A7854" w:rsidR="00323457" w:rsidRPr="0059638B" w:rsidRDefault="00323457" w:rsidP="00323457">
      <w:pPr>
        <w:pStyle w:val="H23G"/>
        <w:rPr>
          <w:sz w:val="20"/>
          <w:szCs w:val="20"/>
        </w:rPr>
      </w:pPr>
      <w:r w:rsidRPr="0059638B">
        <w:rPr>
          <w:sz w:val="20"/>
          <w:szCs w:val="20"/>
        </w:rPr>
        <w:tab/>
        <w:t>3.</w:t>
      </w:r>
      <w:r w:rsidRPr="0059638B">
        <w:rPr>
          <w:sz w:val="20"/>
          <w:szCs w:val="20"/>
        </w:rPr>
        <w:tab/>
        <w:t>General</w:t>
      </w:r>
      <w:r w:rsidR="00FF41A0">
        <w:rPr>
          <w:sz w:val="20"/>
          <w:szCs w:val="20"/>
        </w:rPr>
        <w:t xml:space="preserve"> </w:t>
      </w:r>
      <w:r w:rsidRPr="0059638B">
        <w:rPr>
          <w:sz w:val="20"/>
          <w:szCs w:val="20"/>
        </w:rPr>
        <w:t>comments</w:t>
      </w:r>
      <w:r w:rsidR="00FF41A0">
        <w:rPr>
          <w:sz w:val="20"/>
          <w:szCs w:val="20"/>
        </w:rPr>
        <w:t xml:space="preserve"> </w:t>
      </w:r>
      <w:r w:rsidRPr="0059638B">
        <w:rPr>
          <w:sz w:val="20"/>
          <w:szCs w:val="20"/>
        </w:rPr>
        <w:t>made</w:t>
      </w:r>
      <w:r w:rsidR="00FF41A0">
        <w:rPr>
          <w:sz w:val="20"/>
          <w:szCs w:val="20"/>
        </w:rPr>
        <w:t xml:space="preserve"> </w:t>
      </w:r>
      <w:r w:rsidRPr="0059638B">
        <w:rPr>
          <w:sz w:val="20"/>
          <w:szCs w:val="20"/>
        </w:rPr>
        <w:t>by</w:t>
      </w:r>
      <w:r w:rsidR="00FF41A0">
        <w:rPr>
          <w:sz w:val="20"/>
          <w:szCs w:val="20"/>
        </w:rPr>
        <w:t xml:space="preserve"> </w:t>
      </w:r>
      <w:r w:rsidRPr="0059638B">
        <w:rPr>
          <w:sz w:val="20"/>
          <w:szCs w:val="20"/>
        </w:rPr>
        <w:t>other</w:t>
      </w:r>
      <w:r w:rsidR="00FF41A0">
        <w:rPr>
          <w:sz w:val="20"/>
          <w:szCs w:val="20"/>
        </w:rPr>
        <w:t xml:space="preserve"> </w:t>
      </w:r>
      <w:r w:rsidRPr="0059638B">
        <w:rPr>
          <w:sz w:val="20"/>
          <w:szCs w:val="20"/>
        </w:rPr>
        <w:t>stakeholders</w:t>
      </w:r>
    </w:p>
    <w:p w14:paraId="5477381B" w14:textId="0BDB6258" w:rsidR="00323457" w:rsidRPr="0059638B" w:rsidRDefault="00972F1E" w:rsidP="00323457">
      <w:pPr>
        <w:pStyle w:val="SingleTxtG"/>
        <w:rPr>
          <w:sz w:val="20"/>
          <w:szCs w:val="20"/>
        </w:rPr>
      </w:pPr>
      <w:r>
        <w:rPr>
          <w:sz w:val="20"/>
          <w:szCs w:val="20"/>
        </w:rPr>
        <w:t>706</w:t>
      </w:r>
      <w:r w:rsidR="00D7475F">
        <w:rPr>
          <w:sz w:val="20"/>
          <w:szCs w:val="20"/>
        </w:rPr>
        <w:t>.</w:t>
      </w:r>
      <w:r w:rsidR="00D7475F">
        <w:rPr>
          <w:sz w:val="20"/>
          <w:szCs w:val="20"/>
        </w:rPr>
        <w:tab/>
      </w:r>
      <w:r w:rsidR="00323457" w:rsidRPr="0059638B">
        <w:rPr>
          <w:sz w:val="20"/>
          <w:szCs w:val="20"/>
        </w:rPr>
        <w:t>During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adoption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outcome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Central</w:t>
      </w:r>
      <w:r w:rsidR="00FF41A0">
        <w:rPr>
          <w:sz w:val="20"/>
          <w:szCs w:val="20"/>
        </w:rPr>
        <w:t xml:space="preserve"> </w:t>
      </w:r>
      <w:r w:rsidR="00323457" w:rsidRPr="0059638B">
        <w:rPr>
          <w:sz w:val="20"/>
          <w:szCs w:val="20"/>
        </w:rPr>
        <w:t>African</w:t>
      </w:r>
      <w:r w:rsidR="00FF41A0">
        <w:rPr>
          <w:sz w:val="20"/>
          <w:szCs w:val="20"/>
        </w:rPr>
        <w:t xml:space="preserve"> </w:t>
      </w:r>
      <w:r w:rsidR="00323457" w:rsidRPr="0059638B">
        <w:rPr>
          <w:sz w:val="20"/>
          <w:szCs w:val="20"/>
        </w:rPr>
        <w:t>Republic,</w:t>
      </w:r>
      <w:r w:rsidR="00FF41A0">
        <w:rPr>
          <w:sz w:val="20"/>
          <w:szCs w:val="20"/>
        </w:rPr>
        <w:t xml:space="preserve"> </w:t>
      </w:r>
      <w:r w:rsidR="00323457" w:rsidRPr="0059638B">
        <w:rPr>
          <w:sz w:val="20"/>
          <w:szCs w:val="20"/>
        </w:rPr>
        <w:t>five</w:t>
      </w:r>
      <w:r w:rsidR="00FF41A0">
        <w:rPr>
          <w:sz w:val="20"/>
          <w:szCs w:val="20"/>
        </w:rPr>
        <w:t xml:space="preserve"> </w:t>
      </w:r>
      <w:r w:rsidR="00323457" w:rsidRPr="0059638B">
        <w:rPr>
          <w:sz w:val="20"/>
          <w:szCs w:val="20"/>
        </w:rPr>
        <w:t>other</w:t>
      </w:r>
      <w:r w:rsidR="00FF41A0">
        <w:rPr>
          <w:sz w:val="20"/>
          <w:szCs w:val="20"/>
        </w:rPr>
        <w:t xml:space="preserve"> </w:t>
      </w:r>
      <w:r w:rsidR="00323457" w:rsidRPr="0059638B">
        <w:rPr>
          <w:sz w:val="20"/>
          <w:szCs w:val="20"/>
        </w:rPr>
        <w:t>stakeholders</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statements.</w:t>
      </w:r>
    </w:p>
    <w:p w14:paraId="7CB051BA" w14:textId="6F0D9605" w:rsidR="00323457" w:rsidRPr="0059638B" w:rsidRDefault="00972F1E" w:rsidP="00323457">
      <w:pPr>
        <w:pStyle w:val="SingleTxtG"/>
        <w:rPr>
          <w:sz w:val="20"/>
          <w:szCs w:val="20"/>
        </w:rPr>
      </w:pPr>
      <w:r>
        <w:rPr>
          <w:sz w:val="20"/>
          <w:szCs w:val="20"/>
        </w:rPr>
        <w:t>707</w:t>
      </w:r>
      <w:r w:rsidR="00D7475F">
        <w:rPr>
          <w:sz w:val="20"/>
          <w:szCs w:val="20"/>
        </w:rPr>
        <w:t>.</w:t>
      </w:r>
      <w:r w:rsidR="00D7475F">
        <w:rPr>
          <w:sz w:val="20"/>
          <w:szCs w:val="20"/>
        </w:rPr>
        <w:tab/>
      </w:r>
      <w:r w:rsidR="00323457" w:rsidRPr="0059638B">
        <w:rPr>
          <w:sz w:val="20"/>
          <w:szCs w:val="20"/>
        </w:rPr>
        <w:t>Christian</w:t>
      </w:r>
      <w:r w:rsidR="00FF41A0">
        <w:rPr>
          <w:sz w:val="20"/>
          <w:szCs w:val="20"/>
        </w:rPr>
        <w:t xml:space="preserve"> </w:t>
      </w:r>
      <w:r w:rsidR="00323457" w:rsidRPr="0059638B">
        <w:rPr>
          <w:sz w:val="20"/>
          <w:szCs w:val="20"/>
        </w:rPr>
        <w:t>Solidarity</w:t>
      </w:r>
      <w:r w:rsidR="00FF41A0">
        <w:rPr>
          <w:sz w:val="20"/>
          <w:szCs w:val="20"/>
        </w:rPr>
        <w:t xml:space="preserve"> </w:t>
      </w:r>
      <w:r w:rsidR="00323457" w:rsidRPr="0059638B">
        <w:rPr>
          <w:sz w:val="20"/>
          <w:szCs w:val="20"/>
        </w:rPr>
        <w:t>Worldwide</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concerned</w:t>
      </w:r>
      <w:r w:rsidR="00FF41A0">
        <w:rPr>
          <w:sz w:val="20"/>
          <w:szCs w:val="20"/>
        </w:rPr>
        <w:t xml:space="preserve"> </w:t>
      </w:r>
      <w:r w:rsidR="00323457" w:rsidRPr="0059638B">
        <w:rPr>
          <w:sz w:val="20"/>
          <w:szCs w:val="20"/>
        </w:rPr>
        <w:t>at</w:t>
      </w:r>
      <w:r w:rsidR="00FF41A0">
        <w:rPr>
          <w:sz w:val="20"/>
          <w:szCs w:val="20"/>
        </w:rPr>
        <w:t xml:space="preserve"> </w:t>
      </w:r>
      <w:r w:rsidR="00323457" w:rsidRPr="0059638B">
        <w:rPr>
          <w:sz w:val="20"/>
          <w:szCs w:val="20"/>
        </w:rPr>
        <w:t>violations</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civilians</w:t>
      </w:r>
      <w:r w:rsidR="00FF41A0">
        <w:rPr>
          <w:sz w:val="20"/>
          <w:szCs w:val="20"/>
        </w:rPr>
        <w:t xml:space="preserve"> </w:t>
      </w:r>
      <w:r w:rsidR="00323457" w:rsidRPr="0059638B">
        <w:rPr>
          <w:sz w:val="20"/>
          <w:szCs w:val="20"/>
        </w:rPr>
        <w:t>based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their</w:t>
      </w:r>
      <w:r w:rsidR="00FF41A0">
        <w:rPr>
          <w:sz w:val="20"/>
          <w:szCs w:val="20"/>
        </w:rPr>
        <w:t xml:space="preserve"> </w:t>
      </w:r>
      <w:r w:rsidR="00323457" w:rsidRPr="0059638B">
        <w:rPr>
          <w:sz w:val="20"/>
          <w:szCs w:val="20"/>
        </w:rPr>
        <w:t>religious</w:t>
      </w:r>
      <w:r w:rsidR="00FF41A0">
        <w:rPr>
          <w:sz w:val="20"/>
          <w:szCs w:val="20"/>
        </w:rPr>
        <w:t xml:space="preserve"> </w:t>
      </w:r>
      <w:r w:rsidR="00323457" w:rsidRPr="0059638B">
        <w:rPr>
          <w:sz w:val="20"/>
          <w:szCs w:val="20"/>
        </w:rPr>
        <w:t>or</w:t>
      </w:r>
      <w:r w:rsidR="00FF41A0">
        <w:rPr>
          <w:sz w:val="20"/>
          <w:szCs w:val="20"/>
        </w:rPr>
        <w:t xml:space="preserve"> </w:t>
      </w:r>
      <w:r w:rsidR="00323457" w:rsidRPr="0059638B">
        <w:rPr>
          <w:sz w:val="20"/>
          <w:szCs w:val="20"/>
        </w:rPr>
        <w:t>ethnic</w:t>
      </w:r>
      <w:r w:rsidR="00FF41A0">
        <w:rPr>
          <w:sz w:val="20"/>
          <w:szCs w:val="20"/>
        </w:rPr>
        <w:t xml:space="preserve"> </w:t>
      </w:r>
      <w:r w:rsidR="00323457" w:rsidRPr="0059638B">
        <w:rPr>
          <w:sz w:val="20"/>
          <w:szCs w:val="20"/>
        </w:rPr>
        <w:t>identity.</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urged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ensure</w:t>
      </w:r>
      <w:r w:rsidR="00FF41A0">
        <w:rPr>
          <w:sz w:val="20"/>
          <w:szCs w:val="20"/>
        </w:rPr>
        <w:t xml:space="preserve"> </w:t>
      </w:r>
      <w:r w:rsidR="00323457" w:rsidRPr="0059638B">
        <w:rPr>
          <w:sz w:val="20"/>
          <w:szCs w:val="20"/>
        </w:rPr>
        <w:t>adequate</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communities</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are</w:t>
      </w:r>
      <w:r w:rsidR="00FF41A0">
        <w:rPr>
          <w:sz w:val="20"/>
          <w:szCs w:val="20"/>
        </w:rPr>
        <w:t xml:space="preserve"> </w:t>
      </w:r>
      <w:r w:rsidR="00323457" w:rsidRPr="0059638B">
        <w:rPr>
          <w:sz w:val="20"/>
          <w:szCs w:val="20"/>
        </w:rPr>
        <w:t>vulnerable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attack</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armed</w:t>
      </w:r>
      <w:r w:rsidR="00FF41A0">
        <w:rPr>
          <w:sz w:val="20"/>
          <w:szCs w:val="20"/>
        </w:rPr>
        <w:t xml:space="preserve"> </w:t>
      </w:r>
      <w:r w:rsidR="00323457" w:rsidRPr="0059638B">
        <w:rPr>
          <w:sz w:val="20"/>
          <w:szCs w:val="20"/>
        </w:rPr>
        <w:t>groups.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concern</w:t>
      </w:r>
      <w:r w:rsidR="00FF41A0">
        <w:rPr>
          <w:sz w:val="20"/>
          <w:szCs w:val="20"/>
        </w:rPr>
        <w:t xml:space="preserve"> </w:t>
      </w:r>
      <w:r w:rsidR="00323457" w:rsidRPr="0059638B">
        <w:rPr>
          <w:sz w:val="20"/>
          <w:szCs w:val="20"/>
        </w:rPr>
        <w:t>attacks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IDP</w:t>
      </w:r>
      <w:r w:rsidR="00FF41A0">
        <w:rPr>
          <w:sz w:val="20"/>
          <w:szCs w:val="20"/>
        </w:rPr>
        <w:t xml:space="preserve"> </w:t>
      </w:r>
      <w:r w:rsidR="00323457" w:rsidRPr="0059638B">
        <w:rPr>
          <w:sz w:val="20"/>
          <w:szCs w:val="20"/>
        </w:rPr>
        <w:t>camps</w:t>
      </w:r>
      <w:r w:rsidR="00FF41A0">
        <w:rPr>
          <w:sz w:val="20"/>
          <w:szCs w:val="20"/>
        </w:rPr>
        <w:t xml:space="preserve"> </w:t>
      </w:r>
      <w:r w:rsidR="00323457" w:rsidRPr="0059638B">
        <w:rPr>
          <w:sz w:val="20"/>
          <w:szCs w:val="20"/>
        </w:rPr>
        <w:t>or</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nearby</w:t>
      </w:r>
      <w:r w:rsidR="00FF41A0">
        <w:rPr>
          <w:sz w:val="20"/>
          <w:szCs w:val="20"/>
        </w:rPr>
        <w:t xml:space="preserve"> </w:t>
      </w:r>
      <w:r w:rsidR="00323457" w:rsidRPr="0059638B">
        <w:rPr>
          <w:sz w:val="20"/>
          <w:szCs w:val="20"/>
        </w:rPr>
        <w:t>church</w:t>
      </w:r>
      <w:r w:rsidR="00FF41A0">
        <w:rPr>
          <w:sz w:val="20"/>
          <w:szCs w:val="20"/>
        </w:rPr>
        <w:t xml:space="preserve"> </w:t>
      </w:r>
      <w:r w:rsidR="00323457" w:rsidRPr="0059638B">
        <w:rPr>
          <w:sz w:val="20"/>
          <w:szCs w:val="20"/>
        </w:rPr>
        <w:t>properties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Aliando</w:t>
      </w:r>
      <w:r w:rsidR="00FF41A0">
        <w:rPr>
          <w:sz w:val="20"/>
          <w:szCs w:val="20"/>
        </w:rPr>
        <w:t xml:space="preserve"> </w:t>
      </w:r>
      <w:r w:rsidR="00323457" w:rsidRPr="0059638B">
        <w:rPr>
          <w:sz w:val="20"/>
          <w:szCs w:val="20"/>
        </w:rPr>
        <w:t>town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Ippy,</w:t>
      </w:r>
      <w:r w:rsidR="00FF41A0">
        <w:rPr>
          <w:sz w:val="20"/>
          <w:szCs w:val="20"/>
        </w:rPr>
        <w:t xml:space="preserve"> </w:t>
      </w:r>
      <w:r w:rsidR="00323457" w:rsidRPr="0059638B">
        <w:rPr>
          <w:sz w:val="20"/>
          <w:szCs w:val="20"/>
        </w:rPr>
        <w:t>where</w:t>
      </w:r>
      <w:r w:rsidR="00FF41A0">
        <w:rPr>
          <w:sz w:val="20"/>
          <w:szCs w:val="20"/>
        </w:rPr>
        <w:t xml:space="preserve"> </w:t>
      </w:r>
      <w:r w:rsidR="00323457" w:rsidRPr="0059638B">
        <w:rPr>
          <w:sz w:val="20"/>
          <w:szCs w:val="20"/>
        </w:rPr>
        <w:t>more</w:t>
      </w:r>
      <w:r w:rsidR="00FF41A0">
        <w:rPr>
          <w:sz w:val="20"/>
          <w:szCs w:val="20"/>
        </w:rPr>
        <w:t xml:space="preserve"> </w:t>
      </w:r>
      <w:r w:rsidR="00323457" w:rsidRPr="0059638B">
        <w:rPr>
          <w:sz w:val="20"/>
          <w:szCs w:val="20"/>
        </w:rPr>
        <w:t>than</w:t>
      </w:r>
      <w:r w:rsidR="00FF41A0">
        <w:rPr>
          <w:sz w:val="20"/>
          <w:szCs w:val="20"/>
        </w:rPr>
        <w:t xml:space="preserve"> </w:t>
      </w:r>
      <w:r w:rsidR="00323457" w:rsidRPr="0059638B">
        <w:rPr>
          <w:sz w:val="20"/>
          <w:szCs w:val="20"/>
        </w:rPr>
        <w:t>40</w:t>
      </w:r>
      <w:r w:rsidR="00FF41A0">
        <w:rPr>
          <w:sz w:val="20"/>
          <w:szCs w:val="20"/>
        </w:rPr>
        <w:t xml:space="preserve"> </w:t>
      </w:r>
      <w:r w:rsidR="00323457" w:rsidRPr="0059638B">
        <w:rPr>
          <w:sz w:val="20"/>
          <w:szCs w:val="20"/>
        </w:rPr>
        <w:t>persons</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killed</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over</w:t>
      </w:r>
      <w:r w:rsidR="00FF41A0">
        <w:rPr>
          <w:sz w:val="20"/>
          <w:szCs w:val="20"/>
        </w:rPr>
        <w:t xml:space="preserve"> </w:t>
      </w:r>
      <w:r w:rsidR="00323457" w:rsidRPr="0059638B">
        <w:rPr>
          <w:sz w:val="20"/>
          <w:szCs w:val="20"/>
        </w:rPr>
        <w:t>20,000</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displaced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these</w:t>
      </w:r>
      <w:r w:rsidR="00FF41A0">
        <w:rPr>
          <w:sz w:val="20"/>
          <w:szCs w:val="20"/>
        </w:rPr>
        <w:t xml:space="preserve"> </w:t>
      </w:r>
      <w:r w:rsidR="00323457" w:rsidRPr="0059638B">
        <w:rPr>
          <w:sz w:val="20"/>
          <w:szCs w:val="20"/>
        </w:rPr>
        <w:t>attacks.</w:t>
      </w:r>
      <w:r w:rsidR="00FF41A0">
        <w:rPr>
          <w:sz w:val="20"/>
          <w:szCs w:val="20"/>
        </w:rPr>
        <w:t xml:space="preserve"> </w:t>
      </w:r>
      <w:r w:rsidR="00323457" w:rsidRPr="0059638B">
        <w:rPr>
          <w:sz w:val="20"/>
          <w:szCs w:val="20"/>
        </w:rPr>
        <w:t>While</w:t>
      </w:r>
      <w:r w:rsidR="00FF41A0">
        <w:rPr>
          <w:sz w:val="20"/>
          <w:szCs w:val="20"/>
        </w:rPr>
        <w:t xml:space="preserve"> </w:t>
      </w:r>
      <w:r w:rsidR="00323457" w:rsidRPr="0059638B">
        <w:rPr>
          <w:sz w:val="20"/>
          <w:szCs w:val="20"/>
        </w:rPr>
        <w:t>recognizing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restore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State</w:t>
      </w:r>
      <w:r w:rsidR="00FF41A0">
        <w:rPr>
          <w:sz w:val="20"/>
          <w:szCs w:val="20"/>
        </w:rPr>
        <w:t xml:space="preserve"> </w:t>
      </w:r>
      <w:r w:rsidR="00323457" w:rsidRPr="0059638B">
        <w:rPr>
          <w:sz w:val="20"/>
          <w:szCs w:val="20"/>
        </w:rPr>
        <w:t>authority</w:t>
      </w:r>
      <w:r w:rsidR="00FF41A0">
        <w:rPr>
          <w:sz w:val="20"/>
          <w:szCs w:val="20"/>
        </w:rPr>
        <w:t xml:space="preserve"> </w:t>
      </w:r>
      <w:r w:rsidR="00323457" w:rsidRPr="0059638B">
        <w:rPr>
          <w:sz w:val="20"/>
          <w:szCs w:val="20"/>
        </w:rPr>
        <w:t>throughout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country,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presence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armed</w:t>
      </w:r>
      <w:r w:rsidR="00FF41A0">
        <w:rPr>
          <w:sz w:val="20"/>
          <w:szCs w:val="20"/>
        </w:rPr>
        <w:t xml:space="preserve"> </w:t>
      </w:r>
      <w:r w:rsidR="00323457" w:rsidRPr="0059638B">
        <w:rPr>
          <w:sz w:val="20"/>
          <w:szCs w:val="20"/>
        </w:rPr>
        <w:t>groups</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led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restrictions</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freedom</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movement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freedom</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religion</w:t>
      </w:r>
      <w:r w:rsidR="00FF41A0">
        <w:rPr>
          <w:sz w:val="20"/>
          <w:szCs w:val="20"/>
        </w:rPr>
        <w:t xml:space="preserve"> </w:t>
      </w:r>
      <w:r w:rsidR="00323457" w:rsidRPr="0059638B">
        <w:rPr>
          <w:sz w:val="20"/>
          <w:szCs w:val="20"/>
        </w:rPr>
        <w:t>or</w:t>
      </w:r>
      <w:r w:rsidR="00FF41A0">
        <w:rPr>
          <w:sz w:val="20"/>
          <w:szCs w:val="20"/>
        </w:rPr>
        <w:t xml:space="preserve"> </w:t>
      </w:r>
      <w:r w:rsidR="00323457" w:rsidRPr="0059638B">
        <w:rPr>
          <w:sz w:val="20"/>
          <w:szCs w:val="20"/>
        </w:rPr>
        <w:t>belief,</w:t>
      </w:r>
      <w:r w:rsidR="00FF41A0">
        <w:rPr>
          <w:sz w:val="20"/>
          <w:szCs w:val="20"/>
        </w:rPr>
        <w:t xml:space="preserve"> </w:t>
      </w:r>
      <w:r w:rsidR="00323457" w:rsidRPr="0059638B">
        <w:rPr>
          <w:sz w:val="20"/>
          <w:szCs w:val="20"/>
        </w:rPr>
        <w:t>illegal</w:t>
      </w:r>
      <w:r w:rsidR="00FF41A0">
        <w:rPr>
          <w:sz w:val="20"/>
          <w:szCs w:val="20"/>
        </w:rPr>
        <w:t xml:space="preserve"> </w:t>
      </w:r>
      <w:r w:rsidR="00323457" w:rsidRPr="0059638B">
        <w:rPr>
          <w:sz w:val="20"/>
          <w:szCs w:val="20"/>
        </w:rPr>
        <w:t>taxation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arbitrary</w:t>
      </w:r>
      <w:r w:rsidR="00FF41A0">
        <w:rPr>
          <w:sz w:val="20"/>
          <w:szCs w:val="20"/>
        </w:rPr>
        <w:t xml:space="preserve"> </w:t>
      </w:r>
      <w:r w:rsidR="00323457" w:rsidRPr="0059638B">
        <w:rPr>
          <w:sz w:val="20"/>
          <w:szCs w:val="20"/>
        </w:rPr>
        <w:t>detention.</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establish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Special</w:t>
      </w:r>
      <w:r w:rsidR="00FF41A0">
        <w:rPr>
          <w:sz w:val="20"/>
          <w:szCs w:val="20"/>
        </w:rPr>
        <w:t xml:space="preserve"> </w:t>
      </w:r>
      <w:r w:rsidR="00323457" w:rsidRPr="0059638B">
        <w:rPr>
          <w:sz w:val="20"/>
          <w:szCs w:val="20"/>
        </w:rPr>
        <w:t>Criminal</w:t>
      </w:r>
      <w:r w:rsidR="00FF41A0">
        <w:rPr>
          <w:sz w:val="20"/>
          <w:szCs w:val="20"/>
        </w:rPr>
        <w:t xml:space="preserve"> </w:t>
      </w:r>
      <w:r w:rsidR="00323457" w:rsidRPr="0059638B">
        <w:rPr>
          <w:sz w:val="20"/>
          <w:szCs w:val="20"/>
        </w:rPr>
        <w:t>Court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recommended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ensure</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court</w:t>
      </w:r>
      <w:r w:rsidR="00FF41A0">
        <w:rPr>
          <w:sz w:val="20"/>
          <w:szCs w:val="20"/>
        </w:rPr>
        <w:t xml:space="preserve"> </w:t>
      </w:r>
      <w:r w:rsidR="00323457" w:rsidRPr="0059638B">
        <w:rPr>
          <w:sz w:val="20"/>
          <w:szCs w:val="20"/>
        </w:rPr>
        <w:t>has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necessary</w:t>
      </w:r>
      <w:r w:rsidR="00FF41A0">
        <w:rPr>
          <w:sz w:val="20"/>
          <w:szCs w:val="20"/>
        </w:rPr>
        <w:t xml:space="preserve"> </w:t>
      </w:r>
      <w:r w:rsidR="00323457" w:rsidRPr="0059638B">
        <w:rPr>
          <w:sz w:val="20"/>
          <w:szCs w:val="20"/>
        </w:rPr>
        <w:t>resources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execute</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mandate,</w:t>
      </w:r>
      <w:r w:rsidR="00FF41A0">
        <w:rPr>
          <w:sz w:val="20"/>
          <w:szCs w:val="20"/>
        </w:rPr>
        <w:t xml:space="preserve"> </w:t>
      </w:r>
      <w:r w:rsidR="00323457" w:rsidRPr="0059638B">
        <w:rPr>
          <w:sz w:val="20"/>
          <w:szCs w:val="20"/>
        </w:rPr>
        <w:t>restore</w:t>
      </w:r>
      <w:r w:rsidR="00FF41A0">
        <w:rPr>
          <w:sz w:val="20"/>
          <w:szCs w:val="20"/>
        </w:rPr>
        <w:t xml:space="preserve"> </w:t>
      </w:r>
      <w:r w:rsidR="00323457" w:rsidRPr="0059638B">
        <w:rPr>
          <w:sz w:val="20"/>
          <w:szCs w:val="20"/>
        </w:rPr>
        <w:t>justice</w:t>
      </w:r>
      <w:r w:rsidR="00FF41A0">
        <w:rPr>
          <w:sz w:val="20"/>
          <w:szCs w:val="20"/>
        </w:rPr>
        <w:t xml:space="preserve"> </w:t>
      </w:r>
      <w:r w:rsidR="00323457" w:rsidRPr="0059638B">
        <w:rPr>
          <w:sz w:val="20"/>
          <w:szCs w:val="20"/>
        </w:rPr>
        <w:t>mechanisms</w:t>
      </w:r>
      <w:r w:rsidR="00FF41A0">
        <w:rPr>
          <w:sz w:val="20"/>
          <w:szCs w:val="20"/>
        </w:rPr>
        <w:t xml:space="preserve"> </w:t>
      </w:r>
      <w:r w:rsidR="00323457" w:rsidRPr="0059638B">
        <w:rPr>
          <w:sz w:val="20"/>
          <w:szCs w:val="20"/>
        </w:rPr>
        <w:t>at</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levels,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combat</w:t>
      </w:r>
      <w:r w:rsidR="00FF41A0">
        <w:rPr>
          <w:sz w:val="20"/>
          <w:szCs w:val="20"/>
        </w:rPr>
        <w:t xml:space="preserve"> </w:t>
      </w:r>
      <w:r w:rsidR="00323457" w:rsidRPr="0059638B">
        <w:rPr>
          <w:sz w:val="20"/>
          <w:szCs w:val="20"/>
        </w:rPr>
        <w:t>impunity.</w:t>
      </w:r>
    </w:p>
    <w:p w14:paraId="133C3852" w14:textId="708EC83E" w:rsidR="00323457" w:rsidRPr="0059638B" w:rsidRDefault="00972F1E" w:rsidP="00323457">
      <w:pPr>
        <w:pStyle w:val="SingleTxtG"/>
        <w:rPr>
          <w:sz w:val="20"/>
          <w:szCs w:val="20"/>
        </w:rPr>
      </w:pPr>
      <w:r>
        <w:rPr>
          <w:sz w:val="20"/>
          <w:szCs w:val="20"/>
        </w:rPr>
        <w:t>708</w:t>
      </w:r>
      <w:r w:rsidR="00D7475F">
        <w:rPr>
          <w:sz w:val="20"/>
          <w:szCs w:val="20"/>
        </w:rPr>
        <w:t>.</w:t>
      </w:r>
      <w:r w:rsidR="00D7475F">
        <w:rPr>
          <w:sz w:val="20"/>
          <w:szCs w:val="20"/>
        </w:rPr>
        <w:tab/>
      </w:r>
      <w:r w:rsidR="00323457" w:rsidRPr="0059638B">
        <w:rPr>
          <w:sz w:val="20"/>
          <w:szCs w:val="20"/>
        </w:rPr>
        <w:t>Amnesty</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concerned</w:t>
      </w:r>
      <w:r w:rsidR="00FF41A0">
        <w:rPr>
          <w:sz w:val="20"/>
          <w:szCs w:val="20"/>
        </w:rPr>
        <w:t xml:space="preserve"> </w:t>
      </w:r>
      <w:r w:rsidR="00323457" w:rsidRPr="0059638B">
        <w:rPr>
          <w:sz w:val="20"/>
          <w:szCs w:val="20"/>
        </w:rPr>
        <w:t>at</w:t>
      </w:r>
      <w:r w:rsidR="00FF41A0">
        <w:rPr>
          <w:sz w:val="20"/>
          <w:szCs w:val="20"/>
        </w:rPr>
        <w:t xml:space="preserve"> </w:t>
      </w:r>
      <w:r w:rsidR="00323457" w:rsidRPr="0059638B">
        <w:rPr>
          <w:sz w:val="20"/>
          <w:szCs w:val="20"/>
        </w:rPr>
        <w:t>continued</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serious</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abuses</w:t>
      </w:r>
      <w:r w:rsidR="00FF41A0">
        <w:rPr>
          <w:sz w:val="20"/>
          <w:szCs w:val="20"/>
        </w:rPr>
        <w:t xml:space="preserve"> </w:t>
      </w:r>
      <w:r w:rsidR="00323457" w:rsidRPr="0059638B">
        <w:rPr>
          <w:sz w:val="20"/>
          <w:szCs w:val="20"/>
        </w:rPr>
        <w:t>committed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armed</w:t>
      </w:r>
      <w:r w:rsidR="00FF41A0">
        <w:rPr>
          <w:sz w:val="20"/>
          <w:szCs w:val="20"/>
        </w:rPr>
        <w:t xml:space="preserve"> </w:t>
      </w:r>
      <w:r w:rsidR="00323457" w:rsidRPr="0059638B">
        <w:rPr>
          <w:sz w:val="20"/>
          <w:szCs w:val="20"/>
        </w:rPr>
        <w:t>groups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acceptance</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continue</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achieve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disarmament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demobilization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armed</w:t>
      </w:r>
      <w:r w:rsidR="00FF41A0">
        <w:rPr>
          <w:sz w:val="20"/>
          <w:szCs w:val="20"/>
        </w:rPr>
        <w:t xml:space="preserve"> </w:t>
      </w:r>
      <w:r w:rsidR="00323457" w:rsidRPr="0059638B">
        <w:rPr>
          <w:sz w:val="20"/>
          <w:szCs w:val="20"/>
        </w:rPr>
        <w:t>groups</w:t>
      </w:r>
      <w:r w:rsidR="00FF41A0">
        <w:rPr>
          <w:sz w:val="20"/>
          <w:szCs w:val="20"/>
        </w:rPr>
        <w:t xml:space="preserve"> </w:t>
      </w:r>
      <w:r w:rsidR="00323457" w:rsidRPr="0059638B">
        <w:rPr>
          <w:sz w:val="20"/>
          <w:szCs w:val="20"/>
        </w:rPr>
        <w:t>operating</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territory,</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order</w:t>
      </w:r>
      <w:r w:rsidR="00FF41A0">
        <w:rPr>
          <w:sz w:val="20"/>
          <w:szCs w:val="20"/>
        </w:rPr>
        <w:t xml:space="preserve"> </w:t>
      </w:r>
      <w:r w:rsidR="00323457" w:rsidRPr="0059638B">
        <w:rPr>
          <w:sz w:val="20"/>
          <w:szCs w:val="20"/>
        </w:rPr>
        <w:t>restore</w:t>
      </w:r>
      <w:r w:rsidR="00FF41A0">
        <w:rPr>
          <w:sz w:val="20"/>
          <w:szCs w:val="20"/>
        </w:rPr>
        <w:t xml:space="preserve"> </w:t>
      </w:r>
      <w:r w:rsidR="00323457" w:rsidRPr="0059638B">
        <w:rPr>
          <w:sz w:val="20"/>
          <w:szCs w:val="20"/>
        </w:rPr>
        <w:t>security</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country.</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inauguration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Special</w:t>
      </w:r>
      <w:r w:rsidR="00FF41A0">
        <w:rPr>
          <w:sz w:val="20"/>
          <w:szCs w:val="20"/>
        </w:rPr>
        <w:t xml:space="preserve"> </w:t>
      </w:r>
      <w:r w:rsidR="00323457" w:rsidRPr="0059638B">
        <w:rPr>
          <w:sz w:val="20"/>
          <w:szCs w:val="20"/>
        </w:rPr>
        <w:t>Criminal</w:t>
      </w:r>
      <w:r w:rsidR="00FF41A0">
        <w:rPr>
          <w:sz w:val="20"/>
          <w:szCs w:val="20"/>
        </w:rPr>
        <w:t xml:space="preserve"> </w:t>
      </w:r>
      <w:r w:rsidR="00323457" w:rsidRPr="0059638B">
        <w:rPr>
          <w:sz w:val="20"/>
          <w:szCs w:val="20"/>
        </w:rPr>
        <w:t>Court</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2018,</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transfer</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warlord</w:t>
      </w:r>
      <w:r w:rsidR="00FF41A0">
        <w:rPr>
          <w:sz w:val="20"/>
          <w:szCs w:val="20"/>
        </w:rPr>
        <w:t xml:space="preserve"> </w:t>
      </w:r>
      <w:r w:rsidR="00323457" w:rsidRPr="0059638B">
        <w:rPr>
          <w:sz w:val="20"/>
          <w:szCs w:val="20"/>
        </w:rPr>
        <w:t>Rambo</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Special</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Criminal</w:t>
      </w:r>
      <w:r w:rsidR="00FF41A0">
        <w:rPr>
          <w:sz w:val="20"/>
          <w:szCs w:val="20"/>
        </w:rPr>
        <w:t xml:space="preserve"> </w:t>
      </w:r>
      <w:r w:rsidR="00323457" w:rsidRPr="0059638B">
        <w:rPr>
          <w:sz w:val="20"/>
          <w:szCs w:val="20"/>
        </w:rPr>
        <w:t>Court</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November</w:t>
      </w:r>
      <w:r w:rsidR="00FF41A0">
        <w:rPr>
          <w:sz w:val="20"/>
          <w:szCs w:val="20"/>
        </w:rPr>
        <w:t xml:space="preserve"> </w:t>
      </w:r>
      <w:r w:rsidR="00323457" w:rsidRPr="0059638B">
        <w:rPr>
          <w:sz w:val="20"/>
          <w:szCs w:val="20"/>
        </w:rPr>
        <w:t>2018.</w:t>
      </w:r>
      <w:r w:rsidR="00FF41A0">
        <w:rPr>
          <w:sz w:val="20"/>
          <w:szCs w:val="20"/>
        </w:rPr>
        <w:t xml:space="preserve"> </w:t>
      </w:r>
      <w:r w:rsidR="00323457" w:rsidRPr="0059638B">
        <w:rPr>
          <w:sz w:val="20"/>
          <w:szCs w:val="20"/>
        </w:rPr>
        <w:t>However,</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remained</w:t>
      </w:r>
      <w:r w:rsidR="00FF41A0">
        <w:rPr>
          <w:sz w:val="20"/>
          <w:szCs w:val="20"/>
        </w:rPr>
        <w:t xml:space="preserve"> </w:t>
      </w:r>
      <w:r w:rsidR="00323457" w:rsidRPr="0059638B">
        <w:rPr>
          <w:sz w:val="20"/>
          <w:szCs w:val="20"/>
        </w:rPr>
        <w:t>concerned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progress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bringing</w:t>
      </w:r>
      <w:r w:rsidR="00FF41A0">
        <w:rPr>
          <w:sz w:val="20"/>
          <w:szCs w:val="20"/>
        </w:rPr>
        <w:t xml:space="preserve"> </w:t>
      </w:r>
      <w:r w:rsidR="00323457" w:rsidRPr="0059638B">
        <w:rPr>
          <w:sz w:val="20"/>
          <w:szCs w:val="20"/>
        </w:rPr>
        <w:t>perpetrators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justice</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slow</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at</w:t>
      </w:r>
      <w:r w:rsidR="00FF41A0">
        <w:rPr>
          <w:sz w:val="20"/>
          <w:szCs w:val="20"/>
        </w:rPr>
        <w:t xml:space="preserve"> </w:t>
      </w:r>
      <w:r w:rsidR="00323457" w:rsidRPr="0059638B">
        <w:rPr>
          <w:sz w:val="20"/>
          <w:szCs w:val="20"/>
        </w:rPr>
        <w:t>persistence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impunity.</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therefore</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acceptance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ensure</w:t>
      </w:r>
      <w:r w:rsidR="00FF41A0">
        <w:rPr>
          <w:sz w:val="20"/>
          <w:szCs w:val="20"/>
        </w:rPr>
        <w:t xml:space="preserve"> </w:t>
      </w:r>
      <w:r w:rsidR="00323457" w:rsidRPr="0059638B">
        <w:rPr>
          <w:sz w:val="20"/>
          <w:szCs w:val="20"/>
        </w:rPr>
        <w:t>accountability</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violations,</w:t>
      </w:r>
      <w:r w:rsidR="00FF41A0">
        <w:rPr>
          <w:sz w:val="20"/>
          <w:szCs w:val="20"/>
        </w:rPr>
        <w:t xml:space="preserve"> </w:t>
      </w:r>
      <w:r w:rsidR="00323457" w:rsidRPr="0059638B">
        <w:rPr>
          <w:sz w:val="20"/>
          <w:szCs w:val="20"/>
        </w:rPr>
        <w:t>including</w:t>
      </w:r>
      <w:r w:rsidR="00FF41A0">
        <w:rPr>
          <w:sz w:val="20"/>
          <w:szCs w:val="20"/>
        </w:rPr>
        <w:t xml:space="preserve"> </w:t>
      </w:r>
      <w:r w:rsidR="00323457" w:rsidRPr="0059638B">
        <w:rPr>
          <w:sz w:val="20"/>
          <w:szCs w:val="20"/>
        </w:rPr>
        <w:t>within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armed</w:t>
      </w:r>
      <w:r w:rsidR="00FF41A0">
        <w:rPr>
          <w:sz w:val="20"/>
          <w:szCs w:val="20"/>
        </w:rPr>
        <w:t xml:space="preserve"> </w:t>
      </w:r>
      <w:r w:rsidR="00323457" w:rsidRPr="0059638B">
        <w:rPr>
          <w:sz w:val="20"/>
          <w:szCs w:val="20"/>
        </w:rPr>
        <w:t>forces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parties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peace</w:t>
      </w:r>
      <w:r w:rsidR="00FF41A0">
        <w:rPr>
          <w:sz w:val="20"/>
          <w:szCs w:val="20"/>
        </w:rPr>
        <w:t xml:space="preserve"> </w:t>
      </w:r>
      <w:r w:rsidR="00323457" w:rsidRPr="0059638B">
        <w:rPr>
          <w:sz w:val="20"/>
          <w:szCs w:val="20"/>
        </w:rPr>
        <w:t>process.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regretted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despite</w:t>
      </w:r>
      <w:r w:rsidR="00FF41A0">
        <w:rPr>
          <w:sz w:val="20"/>
          <w:szCs w:val="20"/>
        </w:rPr>
        <w:t xml:space="preserve"> </w:t>
      </w:r>
      <w:r w:rsidR="00323457" w:rsidRPr="0059638B">
        <w:rPr>
          <w:sz w:val="20"/>
          <w:szCs w:val="20"/>
        </w:rPr>
        <w:t>accepting</w:t>
      </w:r>
      <w:r w:rsidR="00FF41A0">
        <w:rPr>
          <w:sz w:val="20"/>
          <w:szCs w:val="20"/>
        </w:rPr>
        <w:t xml:space="preserve"> </w:t>
      </w:r>
      <w:r w:rsidR="00323457" w:rsidRPr="0059638B">
        <w:rPr>
          <w:sz w:val="20"/>
          <w:szCs w:val="20"/>
        </w:rPr>
        <w:t>recommendation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2013</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abolish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death</w:t>
      </w:r>
      <w:r w:rsidR="00FF41A0">
        <w:rPr>
          <w:sz w:val="20"/>
          <w:szCs w:val="20"/>
        </w:rPr>
        <w:t xml:space="preserve"> </w:t>
      </w:r>
      <w:r w:rsidR="00323457" w:rsidRPr="0059638B">
        <w:rPr>
          <w:sz w:val="20"/>
          <w:szCs w:val="20"/>
        </w:rPr>
        <w:t>penalty,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has</w:t>
      </w:r>
      <w:r w:rsidR="00FF41A0">
        <w:rPr>
          <w:sz w:val="20"/>
          <w:szCs w:val="20"/>
        </w:rPr>
        <w:t xml:space="preserve"> </w:t>
      </w:r>
      <w:r w:rsidR="00323457" w:rsidRPr="0059638B">
        <w:rPr>
          <w:sz w:val="20"/>
          <w:szCs w:val="20"/>
        </w:rPr>
        <w:t>yet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do</w:t>
      </w:r>
      <w:r w:rsidR="00FF41A0">
        <w:rPr>
          <w:sz w:val="20"/>
          <w:szCs w:val="20"/>
        </w:rPr>
        <w:t xml:space="preserve"> </w:t>
      </w:r>
      <w:r w:rsidR="00323457" w:rsidRPr="0059638B">
        <w:rPr>
          <w:sz w:val="20"/>
          <w:szCs w:val="20"/>
        </w:rPr>
        <w:t>so.</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urged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Central</w:t>
      </w:r>
      <w:r w:rsidR="00FF41A0">
        <w:rPr>
          <w:sz w:val="20"/>
          <w:szCs w:val="20"/>
        </w:rPr>
        <w:t xml:space="preserve"> </w:t>
      </w:r>
      <w:r w:rsidR="00323457" w:rsidRPr="0059638B">
        <w:rPr>
          <w:sz w:val="20"/>
          <w:szCs w:val="20"/>
        </w:rPr>
        <w:t>African</w:t>
      </w:r>
      <w:r w:rsidR="00FF41A0">
        <w:rPr>
          <w:sz w:val="20"/>
          <w:szCs w:val="20"/>
        </w:rPr>
        <w:t xml:space="preserve"> </w:t>
      </w:r>
      <w:r w:rsidR="00323457" w:rsidRPr="0059638B">
        <w:rPr>
          <w:sz w:val="20"/>
          <w:szCs w:val="20"/>
        </w:rPr>
        <w:t>Republic</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implement</w:t>
      </w:r>
      <w:r w:rsidR="00FF41A0">
        <w:rPr>
          <w:sz w:val="20"/>
          <w:szCs w:val="20"/>
        </w:rPr>
        <w:t xml:space="preserve"> </w:t>
      </w:r>
      <w:r w:rsidR="00323457" w:rsidRPr="0059638B">
        <w:rPr>
          <w:sz w:val="20"/>
          <w:szCs w:val="20"/>
        </w:rPr>
        <w:t>this</w:t>
      </w:r>
      <w:r w:rsidR="00FF41A0">
        <w:rPr>
          <w:sz w:val="20"/>
          <w:szCs w:val="20"/>
        </w:rPr>
        <w:t xml:space="preserve"> </w:t>
      </w:r>
      <w:r w:rsidR="00323457" w:rsidRPr="0059638B">
        <w:rPr>
          <w:sz w:val="20"/>
          <w:szCs w:val="20"/>
        </w:rPr>
        <w:t>recommendation,</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accepted</w:t>
      </w:r>
      <w:r w:rsidR="00FF41A0">
        <w:rPr>
          <w:sz w:val="20"/>
          <w:szCs w:val="20"/>
        </w:rPr>
        <w:t xml:space="preserve"> </w:t>
      </w:r>
      <w:r w:rsidR="00323457" w:rsidRPr="0059638B">
        <w:rPr>
          <w:sz w:val="20"/>
          <w:szCs w:val="20"/>
        </w:rPr>
        <w:t>during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3rd</w:t>
      </w:r>
      <w:r w:rsidR="00FF41A0">
        <w:rPr>
          <w:sz w:val="20"/>
          <w:szCs w:val="20"/>
        </w:rPr>
        <w:t xml:space="preserve"> </w:t>
      </w:r>
      <w:r w:rsidR="00323457" w:rsidRPr="0059638B">
        <w:rPr>
          <w:sz w:val="20"/>
          <w:szCs w:val="20"/>
        </w:rPr>
        <w:t>cycle.</w:t>
      </w:r>
    </w:p>
    <w:p w14:paraId="08495D10" w14:textId="5AC281A0" w:rsidR="00323457" w:rsidRPr="0059638B" w:rsidRDefault="00972F1E" w:rsidP="00323457">
      <w:pPr>
        <w:pStyle w:val="SingleTxtG"/>
        <w:rPr>
          <w:sz w:val="20"/>
          <w:szCs w:val="20"/>
        </w:rPr>
      </w:pPr>
      <w:r>
        <w:rPr>
          <w:sz w:val="20"/>
          <w:szCs w:val="20"/>
        </w:rPr>
        <w:t>709</w:t>
      </w:r>
      <w:r w:rsidR="00D7475F">
        <w:rPr>
          <w:sz w:val="20"/>
          <w:szCs w:val="20"/>
        </w:rPr>
        <w:t>.</w:t>
      </w:r>
      <w:r w:rsidR="00D7475F">
        <w:rPr>
          <w:sz w:val="20"/>
          <w:szCs w:val="20"/>
        </w:rPr>
        <w:tab/>
      </w:r>
      <w:r w:rsidR="00323457" w:rsidRPr="0059638B">
        <w:rPr>
          <w:sz w:val="20"/>
          <w:szCs w:val="20"/>
        </w:rPr>
        <w:t>Rencontre</w:t>
      </w:r>
      <w:r w:rsidR="00FF41A0">
        <w:rPr>
          <w:sz w:val="20"/>
          <w:szCs w:val="20"/>
        </w:rPr>
        <w:t xml:space="preserve"> </w:t>
      </w:r>
      <w:r w:rsidR="00323457" w:rsidRPr="0059638B">
        <w:rPr>
          <w:sz w:val="20"/>
          <w:szCs w:val="20"/>
        </w:rPr>
        <w:t>africaine</w:t>
      </w:r>
      <w:r w:rsidR="00FF41A0">
        <w:rPr>
          <w:sz w:val="20"/>
          <w:szCs w:val="20"/>
        </w:rPr>
        <w:t xml:space="preserve"> </w:t>
      </w:r>
      <w:r w:rsidR="00323457" w:rsidRPr="0059638B">
        <w:rPr>
          <w:sz w:val="20"/>
          <w:szCs w:val="20"/>
        </w:rPr>
        <w:t>pour</w:t>
      </w:r>
      <w:r w:rsidR="00FF41A0">
        <w:rPr>
          <w:sz w:val="20"/>
          <w:szCs w:val="20"/>
        </w:rPr>
        <w:t xml:space="preserve"> </w:t>
      </w:r>
      <w:r w:rsidR="00323457" w:rsidRPr="0059638B">
        <w:rPr>
          <w:sz w:val="20"/>
          <w:szCs w:val="20"/>
        </w:rPr>
        <w:t>la</w:t>
      </w:r>
      <w:r w:rsidR="00FF41A0">
        <w:rPr>
          <w:sz w:val="20"/>
          <w:szCs w:val="20"/>
        </w:rPr>
        <w:t xml:space="preserve"> </w:t>
      </w:r>
      <w:r w:rsidR="00323457" w:rsidRPr="0059638B">
        <w:rPr>
          <w:sz w:val="20"/>
          <w:szCs w:val="20"/>
        </w:rPr>
        <w:t>defense</w:t>
      </w:r>
      <w:r w:rsidR="00FF41A0">
        <w:rPr>
          <w:sz w:val="20"/>
          <w:szCs w:val="20"/>
        </w:rPr>
        <w:t xml:space="preserve"> </w:t>
      </w:r>
      <w:r w:rsidR="00323457" w:rsidRPr="0059638B">
        <w:rPr>
          <w:sz w:val="20"/>
          <w:szCs w:val="20"/>
        </w:rPr>
        <w:t>des</w:t>
      </w:r>
      <w:r w:rsidR="00FF41A0">
        <w:rPr>
          <w:sz w:val="20"/>
          <w:szCs w:val="20"/>
        </w:rPr>
        <w:t xml:space="preserve"> </w:t>
      </w:r>
      <w:r w:rsidR="00323457" w:rsidRPr="0059638B">
        <w:rPr>
          <w:sz w:val="20"/>
          <w:szCs w:val="20"/>
        </w:rPr>
        <w:t>droits</w:t>
      </w:r>
      <w:r w:rsidR="00FF41A0">
        <w:rPr>
          <w:sz w:val="20"/>
          <w:szCs w:val="20"/>
        </w:rPr>
        <w:t xml:space="preserve"> </w:t>
      </w:r>
      <w:r w:rsidR="00323457" w:rsidRPr="0059638B">
        <w:rPr>
          <w:sz w:val="20"/>
          <w:szCs w:val="20"/>
        </w:rPr>
        <w:t>de</w:t>
      </w:r>
      <w:r w:rsidR="00FF41A0">
        <w:rPr>
          <w:sz w:val="20"/>
          <w:szCs w:val="20"/>
        </w:rPr>
        <w:t xml:space="preserve"> </w:t>
      </w:r>
      <w:r w:rsidR="00323457" w:rsidRPr="0059638B">
        <w:rPr>
          <w:sz w:val="20"/>
          <w:szCs w:val="20"/>
        </w:rPr>
        <w:t>l</w:t>
      </w:r>
      <w:r w:rsidR="00D72627">
        <w:rPr>
          <w:sz w:val="20"/>
          <w:szCs w:val="20"/>
        </w:rPr>
        <w:t>’</w:t>
      </w:r>
      <w:r w:rsidR="00323457" w:rsidRPr="0059638B">
        <w:rPr>
          <w:sz w:val="20"/>
          <w:szCs w:val="20"/>
        </w:rPr>
        <w:t>homme</w:t>
      </w:r>
      <w:r w:rsidR="00FF41A0">
        <w:rPr>
          <w:sz w:val="20"/>
          <w:szCs w:val="20"/>
        </w:rPr>
        <w:t xml:space="preserve"> </w:t>
      </w:r>
      <w:r w:rsidR="00323457" w:rsidRPr="0059638B">
        <w:rPr>
          <w:sz w:val="20"/>
          <w:szCs w:val="20"/>
        </w:rPr>
        <w:t>indicated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situations</w:t>
      </w:r>
      <w:r w:rsidR="00FF41A0">
        <w:rPr>
          <w:sz w:val="20"/>
          <w:szCs w:val="20"/>
        </w:rPr>
        <w:t xml:space="preserve"> </w:t>
      </w:r>
      <w:r w:rsidR="00323457" w:rsidRPr="0059638B">
        <w:rPr>
          <w:sz w:val="20"/>
          <w:szCs w:val="20"/>
        </w:rPr>
        <w:t>has</w:t>
      </w:r>
      <w:r w:rsidR="00FF41A0">
        <w:rPr>
          <w:sz w:val="20"/>
          <w:szCs w:val="20"/>
        </w:rPr>
        <w:t xml:space="preserve"> </w:t>
      </w:r>
      <w:r w:rsidR="00323457" w:rsidRPr="0059638B">
        <w:rPr>
          <w:sz w:val="20"/>
          <w:szCs w:val="20"/>
        </w:rPr>
        <w:t>improved</w:t>
      </w:r>
      <w:r w:rsidR="00FF41A0">
        <w:rPr>
          <w:sz w:val="20"/>
          <w:szCs w:val="20"/>
        </w:rPr>
        <w:t xml:space="preserve"> </w:t>
      </w:r>
      <w:r w:rsidR="00323457" w:rsidRPr="0059638B">
        <w:rPr>
          <w:sz w:val="20"/>
          <w:szCs w:val="20"/>
        </w:rPr>
        <w:t>last</w:t>
      </w:r>
      <w:r w:rsidR="00FF41A0">
        <w:rPr>
          <w:sz w:val="20"/>
          <w:szCs w:val="20"/>
        </w:rPr>
        <w:t xml:space="preserve"> </w:t>
      </w:r>
      <w:r w:rsidR="00323457" w:rsidRPr="0059638B">
        <w:rPr>
          <w:sz w:val="20"/>
          <w:szCs w:val="20"/>
        </w:rPr>
        <w:t>years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Central</w:t>
      </w:r>
      <w:r w:rsidR="00FF41A0">
        <w:rPr>
          <w:sz w:val="20"/>
          <w:szCs w:val="20"/>
        </w:rPr>
        <w:t xml:space="preserve"> </w:t>
      </w:r>
      <w:r w:rsidR="00323457" w:rsidRPr="0059638B">
        <w:rPr>
          <w:sz w:val="20"/>
          <w:szCs w:val="20"/>
        </w:rPr>
        <w:t>African</w:t>
      </w:r>
      <w:r w:rsidR="00FF41A0">
        <w:rPr>
          <w:sz w:val="20"/>
          <w:szCs w:val="20"/>
        </w:rPr>
        <w:t xml:space="preserve"> </w:t>
      </w:r>
      <w:r w:rsidR="00323457" w:rsidRPr="0059638B">
        <w:rPr>
          <w:sz w:val="20"/>
          <w:szCs w:val="20"/>
        </w:rPr>
        <w:t>Republic.</w:t>
      </w:r>
      <w:r w:rsidR="00FF41A0">
        <w:rPr>
          <w:sz w:val="20"/>
          <w:szCs w:val="20"/>
        </w:rPr>
        <w:t xml:space="preserve"> </w:t>
      </w:r>
      <w:r w:rsidR="00323457" w:rsidRPr="0059638B">
        <w:rPr>
          <w:sz w:val="20"/>
          <w:szCs w:val="20"/>
        </w:rPr>
        <w:t>However,</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should</w:t>
      </w:r>
      <w:r w:rsidR="00FF41A0">
        <w:rPr>
          <w:sz w:val="20"/>
          <w:szCs w:val="20"/>
        </w:rPr>
        <w:t xml:space="preserve"> </w:t>
      </w:r>
      <w:r w:rsidR="00323457" w:rsidRPr="0059638B">
        <w:rPr>
          <w:sz w:val="20"/>
          <w:szCs w:val="20"/>
        </w:rPr>
        <w:t>still</w:t>
      </w:r>
      <w:r w:rsidR="00FF41A0">
        <w:rPr>
          <w:sz w:val="20"/>
          <w:szCs w:val="20"/>
        </w:rPr>
        <w:t xml:space="preserve"> </w:t>
      </w:r>
      <w:r w:rsidR="00323457" w:rsidRPr="0059638B">
        <w:rPr>
          <w:sz w:val="20"/>
          <w:szCs w:val="20"/>
        </w:rPr>
        <w:t>be</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combat</w:t>
      </w:r>
      <w:r w:rsidR="00FF41A0">
        <w:rPr>
          <w:sz w:val="20"/>
          <w:szCs w:val="20"/>
        </w:rPr>
        <w:t xml:space="preserve"> </w:t>
      </w:r>
      <w:r w:rsidR="00323457" w:rsidRPr="0059638B">
        <w:rPr>
          <w:sz w:val="20"/>
          <w:szCs w:val="20"/>
        </w:rPr>
        <w:t>proliferation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small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light</w:t>
      </w:r>
      <w:r w:rsidR="00FF41A0">
        <w:rPr>
          <w:sz w:val="20"/>
          <w:szCs w:val="20"/>
        </w:rPr>
        <w:t xml:space="preserve"> </w:t>
      </w:r>
      <w:r w:rsidR="00323457" w:rsidRPr="0059638B">
        <w:rPr>
          <w:sz w:val="20"/>
          <w:szCs w:val="20"/>
        </w:rPr>
        <w:t>weapons,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order</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ensure</w:t>
      </w:r>
      <w:r w:rsidR="00FF41A0">
        <w:rPr>
          <w:sz w:val="20"/>
          <w:szCs w:val="20"/>
        </w:rPr>
        <w:t xml:space="preserve"> </w:t>
      </w:r>
      <w:r w:rsidR="00323457" w:rsidRPr="0059638B">
        <w:rPr>
          <w:sz w:val="20"/>
          <w:szCs w:val="20"/>
        </w:rPr>
        <w:t>security</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whole</w:t>
      </w:r>
      <w:r w:rsidR="00FF41A0">
        <w:rPr>
          <w:sz w:val="20"/>
          <w:szCs w:val="20"/>
        </w:rPr>
        <w:t xml:space="preserve"> </w:t>
      </w:r>
      <w:r w:rsidR="00323457" w:rsidRPr="0059638B">
        <w:rPr>
          <w:sz w:val="20"/>
          <w:szCs w:val="20"/>
        </w:rPr>
        <w:t>country.</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invited</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actors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ensure</w:t>
      </w:r>
      <w:r w:rsidR="00FF41A0">
        <w:rPr>
          <w:sz w:val="20"/>
          <w:szCs w:val="20"/>
        </w:rPr>
        <w:t xml:space="preserve"> </w:t>
      </w:r>
      <w:r w:rsidR="00323457" w:rsidRPr="0059638B">
        <w:rPr>
          <w:sz w:val="20"/>
          <w:szCs w:val="20"/>
        </w:rPr>
        <w:t>implementation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Khartoum</w:t>
      </w:r>
      <w:r w:rsidR="00FF41A0">
        <w:rPr>
          <w:sz w:val="20"/>
          <w:szCs w:val="20"/>
        </w:rPr>
        <w:t xml:space="preserve"> </w:t>
      </w:r>
      <w:r w:rsidR="00323457" w:rsidRPr="0059638B">
        <w:rPr>
          <w:sz w:val="20"/>
          <w:szCs w:val="20"/>
        </w:rPr>
        <w:t>peace</w:t>
      </w:r>
      <w:r w:rsidR="00FF41A0">
        <w:rPr>
          <w:sz w:val="20"/>
          <w:szCs w:val="20"/>
        </w:rPr>
        <w:t xml:space="preserve"> </w:t>
      </w:r>
      <w:r w:rsidR="00323457" w:rsidRPr="0059638B">
        <w:rPr>
          <w:sz w:val="20"/>
          <w:szCs w:val="20"/>
        </w:rPr>
        <w:t>agreement.</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concerned</w:t>
      </w:r>
      <w:r w:rsidR="00FF41A0">
        <w:rPr>
          <w:sz w:val="20"/>
          <w:szCs w:val="20"/>
        </w:rPr>
        <w:t xml:space="preserve"> </w:t>
      </w:r>
      <w:r w:rsidR="00323457" w:rsidRPr="0059638B">
        <w:rPr>
          <w:sz w:val="20"/>
          <w:szCs w:val="20"/>
        </w:rPr>
        <w:t>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widespread</w:t>
      </w:r>
      <w:r w:rsidR="00FF41A0">
        <w:rPr>
          <w:sz w:val="20"/>
          <w:szCs w:val="20"/>
        </w:rPr>
        <w:t xml:space="preserve"> </w:t>
      </w:r>
      <w:r w:rsidR="00323457" w:rsidRPr="0059638B">
        <w:rPr>
          <w:sz w:val="20"/>
          <w:szCs w:val="20"/>
        </w:rPr>
        <w:t>food</w:t>
      </w:r>
      <w:r w:rsidR="00FF41A0">
        <w:rPr>
          <w:sz w:val="20"/>
          <w:szCs w:val="20"/>
        </w:rPr>
        <w:t xml:space="preserve"> </w:t>
      </w:r>
      <w:r w:rsidR="00323457" w:rsidRPr="0059638B">
        <w:rPr>
          <w:sz w:val="20"/>
          <w:szCs w:val="20"/>
        </w:rPr>
        <w:t>insecurity</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country,</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deserved</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better</w:t>
      </w:r>
      <w:r w:rsidR="00FF41A0">
        <w:rPr>
          <w:sz w:val="20"/>
          <w:szCs w:val="20"/>
        </w:rPr>
        <w:t xml:space="preserve"> </w:t>
      </w:r>
      <w:r w:rsidR="00323457" w:rsidRPr="0059638B">
        <w:rPr>
          <w:sz w:val="20"/>
          <w:szCs w:val="20"/>
        </w:rPr>
        <w:t>coordination</w:t>
      </w:r>
      <w:r w:rsidR="00FF41A0">
        <w:rPr>
          <w:sz w:val="20"/>
          <w:szCs w:val="20"/>
        </w:rPr>
        <w:t xml:space="preserve"> </w:t>
      </w:r>
      <w:r w:rsidR="00323457" w:rsidRPr="0059638B">
        <w:rPr>
          <w:sz w:val="20"/>
          <w:szCs w:val="20"/>
        </w:rPr>
        <w:t>among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United</w:t>
      </w:r>
      <w:r w:rsidR="00FF41A0">
        <w:rPr>
          <w:sz w:val="20"/>
          <w:szCs w:val="20"/>
        </w:rPr>
        <w:t xml:space="preserve"> </w:t>
      </w:r>
      <w:r w:rsidR="00323457" w:rsidRPr="0059638B">
        <w:rPr>
          <w:sz w:val="20"/>
          <w:szCs w:val="20"/>
        </w:rPr>
        <w:t>Nations</w:t>
      </w:r>
      <w:r w:rsidR="00FF41A0">
        <w:rPr>
          <w:sz w:val="20"/>
          <w:szCs w:val="20"/>
        </w:rPr>
        <w:t xml:space="preserve"> </w:t>
      </w:r>
      <w:r w:rsidR="00323457" w:rsidRPr="0059638B">
        <w:rPr>
          <w:sz w:val="20"/>
          <w:szCs w:val="20"/>
        </w:rPr>
        <w:t>agencies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order</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assist</w:t>
      </w:r>
      <w:r w:rsidR="00FF41A0">
        <w:rPr>
          <w:sz w:val="20"/>
          <w:szCs w:val="20"/>
        </w:rPr>
        <w:t xml:space="preserve"> </w:t>
      </w:r>
      <w:r w:rsidR="00323457" w:rsidRPr="0059638B">
        <w:rPr>
          <w:sz w:val="20"/>
          <w:szCs w:val="20"/>
        </w:rPr>
        <w:t>IDPs.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called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authorities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develop</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strategy</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fight</w:t>
      </w:r>
      <w:r w:rsidR="00FF41A0">
        <w:rPr>
          <w:sz w:val="20"/>
          <w:szCs w:val="20"/>
        </w:rPr>
        <w:t xml:space="preserve"> </w:t>
      </w:r>
      <w:r w:rsidR="00323457" w:rsidRPr="0059638B">
        <w:rPr>
          <w:sz w:val="20"/>
          <w:szCs w:val="20"/>
        </w:rPr>
        <w:t>corruption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sexual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gender</w:t>
      </w:r>
      <w:r w:rsidR="00FF41A0">
        <w:rPr>
          <w:sz w:val="20"/>
          <w:szCs w:val="20"/>
        </w:rPr>
        <w:t xml:space="preserve"> </w:t>
      </w:r>
      <w:r w:rsidR="00323457" w:rsidRPr="0059638B">
        <w:rPr>
          <w:sz w:val="20"/>
          <w:szCs w:val="20"/>
        </w:rPr>
        <w:t>violence.</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invited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community</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assist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country</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consolidate</w:t>
      </w:r>
      <w:r w:rsidR="00FF41A0">
        <w:rPr>
          <w:sz w:val="20"/>
          <w:szCs w:val="20"/>
        </w:rPr>
        <w:t xml:space="preserve"> </w:t>
      </w:r>
      <w:r w:rsidR="00323457" w:rsidRPr="0059638B">
        <w:rPr>
          <w:sz w:val="20"/>
          <w:szCs w:val="20"/>
        </w:rPr>
        <w:t>peace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democracy.</w:t>
      </w:r>
    </w:p>
    <w:p w14:paraId="0183D5EE" w14:textId="526AA6A9" w:rsidR="00323457" w:rsidRPr="0059638B" w:rsidRDefault="00972F1E" w:rsidP="00323457">
      <w:pPr>
        <w:pStyle w:val="SingleTxtG"/>
        <w:rPr>
          <w:sz w:val="20"/>
          <w:szCs w:val="20"/>
        </w:rPr>
      </w:pPr>
      <w:r>
        <w:rPr>
          <w:sz w:val="20"/>
          <w:szCs w:val="20"/>
        </w:rPr>
        <w:t>710</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Association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World</w:t>
      </w:r>
      <w:r w:rsidR="00FF41A0">
        <w:rPr>
          <w:sz w:val="20"/>
          <w:szCs w:val="20"/>
        </w:rPr>
        <w:t xml:space="preserve"> </w:t>
      </w:r>
      <w:r w:rsidR="00323457" w:rsidRPr="0059638B">
        <w:rPr>
          <w:sz w:val="20"/>
          <w:szCs w:val="20"/>
        </w:rPr>
        <w:t>Citizens</w:t>
      </w:r>
      <w:r w:rsidR="00FF41A0">
        <w:rPr>
          <w:sz w:val="20"/>
          <w:szCs w:val="20"/>
        </w:rPr>
        <w:t xml:space="preserve"> </w:t>
      </w:r>
      <w:r w:rsidR="00323457" w:rsidRPr="0059638B">
        <w:rPr>
          <w:sz w:val="20"/>
          <w:szCs w:val="20"/>
        </w:rPr>
        <w:t>expressed</w:t>
      </w:r>
      <w:r w:rsidR="00FF41A0">
        <w:rPr>
          <w:sz w:val="20"/>
          <w:szCs w:val="20"/>
        </w:rPr>
        <w:t xml:space="preserve"> </w:t>
      </w:r>
      <w:r w:rsidR="00323457" w:rsidRPr="0059638B">
        <w:rPr>
          <w:sz w:val="20"/>
          <w:szCs w:val="20"/>
        </w:rPr>
        <w:t>concern</w:t>
      </w:r>
      <w:r w:rsidR="00FF41A0">
        <w:rPr>
          <w:sz w:val="20"/>
          <w:szCs w:val="20"/>
        </w:rPr>
        <w:t xml:space="preserve"> </w:t>
      </w:r>
      <w:r w:rsidR="00323457" w:rsidRPr="0059638B">
        <w:rPr>
          <w:sz w:val="20"/>
          <w:szCs w:val="20"/>
        </w:rPr>
        <w:t>at</w:t>
      </w:r>
      <w:r w:rsidR="00FF41A0">
        <w:rPr>
          <w:sz w:val="20"/>
          <w:szCs w:val="20"/>
        </w:rPr>
        <w:t xml:space="preserve"> </w:t>
      </w:r>
      <w:r w:rsidR="00323457" w:rsidRPr="0059638B">
        <w:rPr>
          <w:sz w:val="20"/>
          <w:szCs w:val="20"/>
        </w:rPr>
        <w:t>violation</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girls,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implementation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121.139</w:t>
      </w:r>
      <w:r w:rsidR="00FF41A0">
        <w:rPr>
          <w:sz w:val="20"/>
          <w:szCs w:val="20"/>
        </w:rPr>
        <w:t xml:space="preserve"> </w:t>
      </w:r>
      <w:r w:rsidR="00323457" w:rsidRPr="0059638B">
        <w:rPr>
          <w:sz w:val="20"/>
          <w:szCs w:val="20"/>
        </w:rPr>
        <w:t>setting</w:t>
      </w:r>
      <w:r w:rsidR="00FF41A0">
        <w:rPr>
          <w:sz w:val="20"/>
          <w:szCs w:val="20"/>
        </w:rPr>
        <w:t xml:space="preserve"> </w:t>
      </w:r>
      <w:r w:rsidR="00323457" w:rsidRPr="0059638B">
        <w:rPr>
          <w:sz w:val="20"/>
          <w:szCs w:val="20"/>
        </w:rPr>
        <w:t>equal</w:t>
      </w:r>
      <w:r w:rsidR="00FF41A0">
        <w:rPr>
          <w:sz w:val="20"/>
          <w:szCs w:val="20"/>
        </w:rPr>
        <w:t xml:space="preserve"> </w:t>
      </w:r>
      <w:r w:rsidR="00323457" w:rsidRPr="0059638B">
        <w:rPr>
          <w:sz w:val="20"/>
          <w:szCs w:val="20"/>
        </w:rPr>
        <w:t>minimum</w:t>
      </w:r>
      <w:r w:rsidR="00FF41A0">
        <w:rPr>
          <w:sz w:val="20"/>
          <w:szCs w:val="20"/>
        </w:rPr>
        <w:t xml:space="preserve"> </w:t>
      </w:r>
      <w:r w:rsidR="00323457" w:rsidRPr="0059638B">
        <w:rPr>
          <w:sz w:val="20"/>
          <w:szCs w:val="20"/>
        </w:rPr>
        <w:t>age</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boys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girls;</w:t>
      </w:r>
      <w:r w:rsidR="00FF41A0">
        <w:rPr>
          <w:sz w:val="20"/>
          <w:szCs w:val="20"/>
        </w:rPr>
        <w:t xml:space="preserve"> </w:t>
      </w:r>
      <w:r w:rsidR="00323457" w:rsidRPr="0059638B">
        <w:rPr>
          <w:sz w:val="20"/>
          <w:szCs w:val="20"/>
        </w:rPr>
        <w:t>121.145</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creating</w:t>
      </w:r>
      <w:r w:rsidR="00FF41A0">
        <w:rPr>
          <w:sz w:val="20"/>
          <w:szCs w:val="20"/>
        </w:rPr>
        <w:t xml:space="preserve"> </w:t>
      </w:r>
      <w:r w:rsidR="00323457" w:rsidRPr="0059638B">
        <w:rPr>
          <w:sz w:val="20"/>
          <w:szCs w:val="20"/>
        </w:rPr>
        <w:t>an</w:t>
      </w:r>
      <w:r w:rsidR="00FF41A0">
        <w:rPr>
          <w:sz w:val="20"/>
          <w:szCs w:val="20"/>
        </w:rPr>
        <w:t xml:space="preserve"> </w:t>
      </w:r>
      <w:r w:rsidR="00323457" w:rsidRPr="0059638B">
        <w:rPr>
          <w:sz w:val="20"/>
          <w:szCs w:val="20"/>
        </w:rPr>
        <w:t>early</w:t>
      </w:r>
      <w:r w:rsidR="00FF41A0">
        <w:rPr>
          <w:sz w:val="20"/>
          <w:szCs w:val="20"/>
        </w:rPr>
        <w:t xml:space="preserve"> </w:t>
      </w:r>
      <w:r w:rsidR="00323457" w:rsidRPr="0059638B">
        <w:rPr>
          <w:sz w:val="20"/>
          <w:szCs w:val="20"/>
        </w:rPr>
        <w:t>warning</w:t>
      </w:r>
      <w:r w:rsidR="00FF41A0">
        <w:rPr>
          <w:sz w:val="20"/>
          <w:szCs w:val="20"/>
        </w:rPr>
        <w:t xml:space="preserve"> </w:t>
      </w:r>
      <w:r w:rsidR="00323457" w:rsidRPr="0059638B">
        <w:rPr>
          <w:sz w:val="20"/>
          <w:szCs w:val="20"/>
        </w:rPr>
        <w:t>mechanism</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combat</w:t>
      </w:r>
      <w:r w:rsidR="00FF41A0">
        <w:rPr>
          <w:sz w:val="20"/>
          <w:szCs w:val="20"/>
        </w:rPr>
        <w:t xml:space="preserve"> </w:t>
      </w:r>
      <w:r w:rsidR="00323457" w:rsidRPr="0059638B">
        <w:rPr>
          <w:sz w:val="20"/>
          <w:szCs w:val="20"/>
        </w:rPr>
        <w:t>forced</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early</w:t>
      </w:r>
      <w:r w:rsidR="00FF41A0">
        <w:rPr>
          <w:sz w:val="20"/>
          <w:szCs w:val="20"/>
        </w:rPr>
        <w:t xml:space="preserve"> </w:t>
      </w:r>
      <w:r w:rsidR="00323457" w:rsidRPr="0059638B">
        <w:rPr>
          <w:sz w:val="20"/>
          <w:szCs w:val="20"/>
        </w:rPr>
        <w:t>marriage;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121.147</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continuing</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eliminate</w:t>
      </w:r>
      <w:r w:rsidR="00FF41A0">
        <w:rPr>
          <w:sz w:val="20"/>
          <w:szCs w:val="20"/>
        </w:rPr>
        <w:t xml:space="preserve"> </w:t>
      </w:r>
      <w:r w:rsidR="00323457" w:rsidRPr="0059638B">
        <w:rPr>
          <w:sz w:val="20"/>
          <w:szCs w:val="20"/>
        </w:rPr>
        <w:t>FGM</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harmful</w:t>
      </w:r>
      <w:r w:rsidR="00FF41A0">
        <w:rPr>
          <w:sz w:val="20"/>
          <w:szCs w:val="20"/>
        </w:rPr>
        <w:t xml:space="preserve"> </w:t>
      </w:r>
      <w:r w:rsidR="00323457" w:rsidRPr="0059638B">
        <w:rPr>
          <w:sz w:val="20"/>
          <w:szCs w:val="20"/>
        </w:rPr>
        <w:t>traditional</w:t>
      </w:r>
      <w:r w:rsidR="00FF41A0">
        <w:rPr>
          <w:sz w:val="20"/>
          <w:szCs w:val="20"/>
        </w:rPr>
        <w:t xml:space="preserve"> </w:t>
      </w:r>
      <w:r w:rsidR="00323457" w:rsidRPr="0059638B">
        <w:rPr>
          <w:sz w:val="20"/>
          <w:szCs w:val="20"/>
        </w:rPr>
        <w:t>practices</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help</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improve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situation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girls.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lastRenderedPageBreak/>
        <w:t>also</w:t>
      </w:r>
      <w:r w:rsidR="00FF41A0">
        <w:rPr>
          <w:sz w:val="20"/>
          <w:szCs w:val="20"/>
        </w:rPr>
        <w:t xml:space="preserve"> </w:t>
      </w:r>
      <w:r w:rsidR="00323457" w:rsidRPr="0059638B">
        <w:rPr>
          <w:sz w:val="20"/>
          <w:szCs w:val="20"/>
        </w:rPr>
        <w:t>indicated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is</w:t>
      </w:r>
      <w:r w:rsidR="00FF41A0">
        <w:rPr>
          <w:sz w:val="20"/>
          <w:szCs w:val="20"/>
        </w:rPr>
        <w:t xml:space="preserve"> </w:t>
      </w:r>
      <w:r w:rsidR="00323457" w:rsidRPr="0059638B">
        <w:rPr>
          <w:sz w:val="20"/>
          <w:szCs w:val="20"/>
        </w:rPr>
        <w:t>crucial</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bring</w:t>
      </w:r>
      <w:r w:rsidR="00FF41A0">
        <w:rPr>
          <w:sz w:val="20"/>
          <w:szCs w:val="20"/>
        </w:rPr>
        <w:t xml:space="preserve"> </w:t>
      </w:r>
      <w:r w:rsidR="00323457" w:rsidRPr="0059638B">
        <w:rPr>
          <w:sz w:val="20"/>
          <w:szCs w:val="20"/>
        </w:rPr>
        <w:t>perpetrators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sexual</w:t>
      </w:r>
      <w:r w:rsidR="00FF41A0">
        <w:rPr>
          <w:sz w:val="20"/>
          <w:szCs w:val="20"/>
        </w:rPr>
        <w:t xml:space="preserve"> </w:t>
      </w:r>
      <w:r w:rsidR="00323457" w:rsidRPr="0059638B">
        <w:rPr>
          <w:sz w:val="20"/>
          <w:szCs w:val="20"/>
        </w:rPr>
        <w:t>violence</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before</w:t>
      </w:r>
      <w:r w:rsidR="00FF41A0">
        <w:rPr>
          <w:sz w:val="20"/>
          <w:szCs w:val="20"/>
        </w:rPr>
        <w:t xml:space="preserve"> </w:t>
      </w:r>
      <w:r w:rsidR="00323457" w:rsidRPr="0059638B">
        <w:rPr>
          <w:sz w:val="20"/>
          <w:szCs w:val="20"/>
        </w:rPr>
        <w:t>justice.</w:t>
      </w:r>
    </w:p>
    <w:p w14:paraId="18459B05" w14:textId="7D56093B" w:rsidR="00323457" w:rsidRPr="0059638B" w:rsidRDefault="00972F1E" w:rsidP="00323457">
      <w:pPr>
        <w:pStyle w:val="SingleTxtG"/>
        <w:rPr>
          <w:sz w:val="20"/>
          <w:szCs w:val="20"/>
        </w:rPr>
      </w:pPr>
      <w:r>
        <w:rPr>
          <w:sz w:val="20"/>
          <w:szCs w:val="20"/>
        </w:rPr>
        <w:t>711</w:t>
      </w:r>
      <w:r w:rsidR="00D7475F">
        <w:rPr>
          <w:sz w:val="20"/>
          <w:szCs w:val="20"/>
        </w:rPr>
        <w:t>.</w:t>
      </w:r>
      <w:r w:rsidR="00D7475F">
        <w:rPr>
          <w:sz w:val="20"/>
          <w:szCs w:val="20"/>
        </w:rPr>
        <w:tab/>
      </w:r>
      <w:r w:rsidR="00323457" w:rsidRPr="0059638B">
        <w:rPr>
          <w:sz w:val="20"/>
          <w:szCs w:val="20"/>
        </w:rPr>
        <w:t>International</w:t>
      </w:r>
      <w:r w:rsidR="00FF41A0">
        <w:rPr>
          <w:sz w:val="20"/>
          <w:szCs w:val="20"/>
        </w:rPr>
        <w:t xml:space="preserve"> </w:t>
      </w:r>
      <w:r w:rsidR="00323457" w:rsidRPr="0059638B">
        <w:rPr>
          <w:sz w:val="20"/>
          <w:szCs w:val="20"/>
        </w:rPr>
        <w:t>Organisation</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Elimination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Forms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Racial</w:t>
      </w:r>
      <w:r w:rsidR="00FF41A0">
        <w:rPr>
          <w:sz w:val="20"/>
          <w:szCs w:val="20"/>
        </w:rPr>
        <w:t xml:space="preserve"> </w:t>
      </w:r>
      <w:r w:rsidR="00323457" w:rsidRPr="0059638B">
        <w:rPr>
          <w:sz w:val="20"/>
          <w:szCs w:val="20"/>
        </w:rPr>
        <w:t>Discrimination</w:t>
      </w:r>
      <w:r w:rsidR="00FF41A0">
        <w:rPr>
          <w:sz w:val="20"/>
          <w:szCs w:val="20"/>
        </w:rPr>
        <w:t xml:space="preserve"> </w:t>
      </w:r>
      <w:r w:rsidR="00323457" w:rsidRPr="0059638B">
        <w:rPr>
          <w:sz w:val="20"/>
          <w:szCs w:val="20"/>
        </w:rPr>
        <w:t>acknowledged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establishment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Special</w:t>
      </w:r>
      <w:r w:rsidR="00FF41A0">
        <w:rPr>
          <w:sz w:val="20"/>
          <w:szCs w:val="20"/>
        </w:rPr>
        <w:t xml:space="preserve"> </w:t>
      </w:r>
      <w:r w:rsidR="00323457" w:rsidRPr="0059638B">
        <w:rPr>
          <w:sz w:val="20"/>
          <w:szCs w:val="20"/>
        </w:rPr>
        <w:t>Criminal</w:t>
      </w:r>
      <w:r w:rsidR="00FF41A0">
        <w:rPr>
          <w:sz w:val="20"/>
          <w:szCs w:val="20"/>
        </w:rPr>
        <w:t xml:space="preserve"> </w:t>
      </w:r>
      <w:r w:rsidR="00323457" w:rsidRPr="0059638B">
        <w:rPr>
          <w:sz w:val="20"/>
          <w:szCs w:val="20"/>
        </w:rPr>
        <w:t>Court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criminal</w:t>
      </w:r>
      <w:r w:rsidR="00FF41A0">
        <w:rPr>
          <w:sz w:val="20"/>
          <w:szCs w:val="20"/>
        </w:rPr>
        <w:t xml:space="preserve"> </w:t>
      </w:r>
      <w:r w:rsidR="00323457" w:rsidRPr="0059638B">
        <w:rPr>
          <w:sz w:val="20"/>
          <w:szCs w:val="20"/>
        </w:rPr>
        <w:t>sessions</w:t>
      </w:r>
      <w:r w:rsidR="00FF41A0">
        <w:rPr>
          <w:sz w:val="20"/>
          <w:szCs w:val="20"/>
        </w:rPr>
        <w:t xml:space="preserve"> </w:t>
      </w:r>
      <w:r w:rsidR="00323457" w:rsidRPr="0059638B">
        <w:rPr>
          <w:sz w:val="20"/>
          <w:szCs w:val="20"/>
        </w:rPr>
        <w:t>held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Court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Appeal</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Bangui.</w:t>
      </w:r>
      <w:r w:rsidR="00FF41A0">
        <w:rPr>
          <w:sz w:val="20"/>
          <w:szCs w:val="20"/>
        </w:rPr>
        <w:t xml:space="preserve"> </w:t>
      </w:r>
      <w:r w:rsidR="00323457" w:rsidRPr="0059638B">
        <w:rPr>
          <w:sz w:val="20"/>
          <w:szCs w:val="20"/>
        </w:rPr>
        <w:t>However,</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remained</w:t>
      </w:r>
      <w:r w:rsidR="00FF41A0">
        <w:rPr>
          <w:sz w:val="20"/>
          <w:szCs w:val="20"/>
        </w:rPr>
        <w:t xml:space="preserve"> </w:t>
      </w:r>
      <w:r w:rsidR="00323457" w:rsidRPr="0059638B">
        <w:rPr>
          <w:sz w:val="20"/>
          <w:szCs w:val="20"/>
        </w:rPr>
        <w:t>concerned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perpetrators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sexual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gender</w:t>
      </w:r>
      <w:r w:rsidR="00FF41A0">
        <w:rPr>
          <w:sz w:val="20"/>
          <w:szCs w:val="20"/>
        </w:rPr>
        <w:t xml:space="preserve"> </w:t>
      </w:r>
      <w:r w:rsidR="00323457" w:rsidRPr="0059638B">
        <w:rPr>
          <w:sz w:val="20"/>
          <w:szCs w:val="20"/>
        </w:rPr>
        <w:t>based</w:t>
      </w:r>
      <w:r w:rsidR="00FF41A0">
        <w:rPr>
          <w:sz w:val="20"/>
          <w:szCs w:val="20"/>
        </w:rPr>
        <w:t xml:space="preserve"> </w:t>
      </w:r>
      <w:r w:rsidR="00323457" w:rsidRPr="0059638B">
        <w:rPr>
          <w:sz w:val="20"/>
          <w:szCs w:val="20"/>
        </w:rPr>
        <w:t>violence</w:t>
      </w:r>
      <w:r w:rsidR="00FF41A0">
        <w:rPr>
          <w:sz w:val="20"/>
          <w:szCs w:val="20"/>
        </w:rPr>
        <w:t xml:space="preserve"> </w:t>
      </w:r>
      <w:r w:rsidR="00323457" w:rsidRPr="0059638B">
        <w:rPr>
          <w:sz w:val="20"/>
          <w:szCs w:val="20"/>
        </w:rPr>
        <w:t>continued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enjoy</w:t>
      </w:r>
      <w:r w:rsidR="00FF41A0">
        <w:rPr>
          <w:sz w:val="20"/>
          <w:szCs w:val="20"/>
        </w:rPr>
        <w:t xml:space="preserve"> </w:t>
      </w:r>
      <w:r w:rsidR="00323457" w:rsidRPr="0059638B">
        <w:rPr>
          <w:sz w:val="20"/>
          <w:szCs w:val="20"/>
        </w:rPr>
        <w:t>impunity,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therefore</w:t>
      </w:r>
      <w:r w:rsidR="00FF41A0">
        <w:rPr>
          <w:sz w:val="20"/>
          <w:szCs w:val="20"/>
        </w:rPr>
        <w:t xml:space="preserve"> </w:t>
      </w:r>
      <w:r w:rsidR="00323457" w:rsidRPr="0059638B">
        <w:rPr>
          <w:sz w:val="20"/>
          <w:szCs w:val="20"/>
        </w:rPr>
        <w:t>civilians,</w:t>
      </w:r>
      <w:r w:rsidR="00FF41A0">
        <w:rPr>
          <w:sz w:val="20"/>
          <w:szCs w:val="20"/>
        </w:rPr>
        <w:t xml:space="preserve"> </w:t>
      </w:r>
      <w:r w:rsidR="00323457" w:rsidRPr="0059638B">
        <w:rPr>
          <w:sz w:val="20"/>
          <w:szCs w:val="20"/>
        </w:rPr>
        <w:t>including</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children,</w:t>
      </w:r>
      <w:r w:rsidR="00FF41A0">
        <w:rPr>
          <w:sz w:val="20"/>
          <w:szCs w:val="20"/>
        </w:rPr>
        <w:t xml:space="preserve"> </w:t>
      </w:r>
      <w:r w:rsidR="00323457" w:rsidRPr="0059638B">
        <w:rPr>
          <w:sz w:val="20"/>
          <w:szCs w:val="20"/>
        </w:rPr>
        <w:t>continued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be</w:t>
      </w:r>
      <w:r w:rsidR="00FF41A0">
        <w:rPr>
          <w:sz w:val="20"/>
          <w:szCs w:val="20"/>
        </w:rPr>
        <w:t xml:space="preserve"> </w:t>
      </w:r>
      <w:r w:rsidR="00323457" w:rsidRPr="0059638B">
        <w:rPr>
          <w:sz w:val="20"/>
          <w:szCs w:val="20"/>
        </w:rPr>
        <w:t>threated.</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urged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continue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strengthen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justice</w:t>
      </w:r>
      <w:r w:rsidR="00FF41A0">
        <w:rPr>
          <w:sz w:val="20"/>
          <w:szCs w:val="20"/>
        </w:rPr>
        <w:t xml:space="preserve"> </w:t>
      </w:r>
      <w:r w:rsidR="00323457" w:rsidRPr="0059638B">
        <w:rPr>
          <w:sz w:val="20"/>
          <w:szCs w:val="20"/>
        </w:rPr>
        <w:t>system</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speed</w:t>
      </w:r>
      <w:r w:rsidR="00FF41A0">
        <w:rPr>
          <w:sz w:val="20"/>
          <w:szCs w:val="20"/>
        </w:rPr>
        <w:t xml:space="preserve"> </w:t>
      </w:r>
      <w:r w:rsidR="00323457" w:rsidRPr="0059638B">
        <w:rPr>
          <w:sz w:val="20"/>
          <w:szCs w:val="20"/>
        </w:rPr>
        <w:t>up</w:t>
      </w:r>
      <w:r w:rsidR="00FF41A0">
        <w:rPr>
          <w:sz w:val="20"/>
          <w:szCs w:val="20"/>
        </w:rPr>
        <w:t xml:space="preserve"> </w:t>
      </w:r>
      <w:r w:rsidR="00323457" w:rsidRPr="0059638B">
        <w:rPr>
          <w:sz w:val="20"/>
          <w:szCs w:val="20"/>
        </w:rPr>
        <w:t>progress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opening</w:t>
      </w:r>
      <w:r w:rsidR="00FF41A0">
        <w:rPr>
          <w:sz w:val="20"/>
          <w:szCs w:val="20"/>
        </w:rPr>
        <w:t xml:space="preserve"> </w:t>
      </w:r>
      <w:r w:rsidR="00323457" w:rsidRPr="0059638B">
        <w:rPr>
          <w:sz w:val="20"/>
          <w:szCs w:val="20"/>
        </w:rPr>
        <w:t>further</w:t>
      </w:r>
      <w:r w:rsidR="00FF41A0">
        <w:rPr>
          <w:sz w:val="20"/>
          <w:szCs w:val="20"/>
        </w:rPr>
        <w:t xml:space="preserve"> </w:t>
      </w:r>
      <w:r w:rsidR="00323457" w:rsidRPr="0059638B">
        <w:rPr>
          <w:sz w:val="20"/>
          <w:szCs w:val="20"/>
        </w:rPr>
        <w:t>investigations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such</w:t>
      </w:r>
      <w:r w:rsidR="00FF41A0">
        <w:rPr>
          <w:sz w:val="20"/>
          <w:szCs w:val="20"/>
        </w:rPr>
        <w:t xml:space="preserve"> </w:t>
      </w:r>
      <w:r w:rsidR="00323457" w:rsidRPr="0059638B">
        <w:rPr>
          <w:sz w:val="20"/>
          <w:szCs w:val="20"/>
        </w:rPr>
        <w:t>crimes</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cooperation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commission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inquiry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Criminal</w:t>
      </w:r>
      <w:r w:rsidR="00FF41A0">
        <w:rPr>
          <w:sz w:val="20"/>
          <w:szCs w:val="20"/>
        </w:rPr>
        <w:t xml:space="preserve"> </w:t>
      </w:r>
      <w:r w:rsidR="00323457" w:rsidRPr="0059638B">
        <w:rPr>
          <w:sz w:val="20"/>
          <w:szCs w:val="20"/>
        </w:rPr>
        <w:t>Court.</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peace,</w:t>
      </w:r>
      <w:r w:rsidR="00FF41A0">
        <w:rPr>
          <w:sz w:val="20"/>
          <w:szCs w:val="20"/>
        </w:rPr>
        <w:t xml:space="preserve"> </w:t>
      </w:r>
      <w:r w:rsidR="00323457" w:rsidRPr="0059638B">
        <w:rPr>
          <w:sz w:val="20"/>
          <w:szCs w:val="20"/>
        </w:rPr>
        <w:t>stabilities,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security</w:t>
      </w:r>
      <w:r w:rsidR="00FF41A0">
        <w:rPr>
          <w:sz w:val="20"/>
          <w:szCs w:val="20"/>
        </w:rPr>
        <w:t xml:space="preserve"> </w:t>
      </w:r>
      <w:r w:rsidR="00323457" w:rsidRPr="0059638B">
        <w:rPr>
          <w:sz w:val="20"/>
          <w:szCs w:val="20"/>
        </w:rPr>
        <w:t>could</w:t>
      </w:r>
      <w:r w:rsidR="00FF41A0">
        <w:rPr>
          <w:sz w:val="20"/>
          <w:szCs w:val="20"/>
        </w:rPr>
        <w:t xml:space="preserve"> </w:t>
      </w:r>
      <w:r w:rsidR="00323457" w:rsidRPr="0059638B">
        <w:rPr>
          <w:sz w:val="20"/>
          <w:szCs w:val="20"/>
        </w:rPr>
        <w:t>only</w:t>
      </w:r>
      <w:r w:rsidR="00FF41A0">
        <w:rPr>
          <w:sz w:val="20"/>
          <w:szCs w:val="20"/>
        </w:rPr>
        <w:t xml:space="preserve"> </w:t>
      </w:r>
      <w:r w:rsidR="00323457" w:rsidRPr="0059638B">
        <w:rPr>
          <w:sz w:val="20"/>
          <w:szCs w:val="20"/>
        </w:rPr>
        <w:t>be</w:t>
      </w:r>
      <w:r w:rsidR="00FF41A0">
        <w:rPr>
          <w:sz w:val="20"/>
          <w:szCs w:val="20"/>
        </w:rPr>
        <w:t xml:space="preserve"> </w:t>
      </w:r>
      <w:r w:rsidR="00323457" w:rsidRPr="0059638B">
        <w:rPr>
          <w:sz w:val="20"/>
          <w:szCs w:val="20"/>
        </w:rPr>
        <w:t>achieved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ending</w:t>
      </w:r>
      <w:r w:rsidR="00FF41A0">
        <w:rPr>
          <w:sz w:val="20"/>
          <w:szCs w:val="20"/>
        </w:rPr>
        <w:t xml:space="preserve"> </w:t>
      </w:r>
      <w:r w:rsidR="00323457" w:rsidRPr="0059638B">
        <w:rPr>
          <w:sz w:val="20"/>
          <w:szCs w:val="20"/>
        </w:rPr>
        <w:t>impunity.</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addressing</w:t>
      </w:r>
      <w:r w:rsidR="00FF41A0">
        <w:rPr>
          <w:sz w:val="20"/>
          <w:szCs w:val="20"/>
        </w:rPr>
        <w:t xml:space="preserve"> </w:t>
      </w:r>
      <w:r w:rsidR="00323457" w:rsidRPr="0059638B">
        <w:rPr>
          <w:sz w:val="20"/>
          <w:szCs w:val="20"/>
        </w:rPr>
        <w:t>justice</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victims,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acceptance</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country</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establish</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truth</w:t>
      </w:r>
      <w:r w:rsidR="00FF41A0">
        <w:rPr>
          <w:sz w:val="20"/>
          <w:szCs w:val="20"/>
        </w:rPr>
        <w:t xml:space="preserve"> </w:t>
      </w:r>
      <w:r w:rsidR="00323457" w:rsidRPr="0059638B">
        <w:rPr>
          <w:sz w:val="20"/>
          <w:szCs w:val="20"/>
        </w:rPr>
        <w:t>commission.</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recommended</w:t>
      </w:r>
      <w:r w:rsidR="00FF41A0">
        <w:rPr>
          <w:sz w:val="20"/>
          <w:szCs w:val="20"/>
        </w:rPr>
        <w:t xml:space="preserve"> </w:t>
      </w:r>
      <w:r w:rsidR="00323457" w:rsidRPr="0059638B">
        <w:rPr>
          <w:sz w:val="20"/>
          <w:szCs w:val="20"/>
        </w:rPr>
        <w:t>enhancing</w:t>
      </w:r>
      <w:r w:rsidR="00FF41A0">
        <w:rPr>
          <w:sz w:val="20"/>
          <w:szCs w:val="20"/>
        </w:rPr>
        <w:t xml:space="preserve"> </w:t>
      </w:r>
      <w:r w:rsidR="00323457" w:rsidRPr="0059638B">
        <w:rPr>
          <w:sz w:val="20"/>
          <w:szCs w:val="20"/>
        </w:rPr>
        <w:t>partnership</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community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special</w:t>
      </w:r>
      <w:r w:rsidR="00FF41A0">
        <w:rPr>
          <w:sz w:val="20"/>
          <w:szCs w:val="20"/>
        </w:rPr>
        <w:t xml:space="preserve"> </w:t>
      </w:r>
      <w:r w:rsidR="00323457" w:rsidRPr="0059638B">
        <w:rPr>
          <w:sz w:val="20"/>
          <w:szCs w:val="20"/>
        </w:rPr>
        <w:t>procedures.</w:t>
      </w:r>
    </w:p>
    <w:p w14:paraId="4158D10E" w14:textId="7C5123D6" w:rsidR="00323457" w:rsidRPr="0059638B" w:rsidRDefault="00323457" w:rsidP="00323457">
      <w:pPr>
        <w:pStyle w:val="H23G"/>
        <w:rPr>
          <w:sz w:val="20"/>
          <w:szCs w:val="20"/>
        </w:rPr>
      </w:pPr>
      <w:r w:rsidRPr="0059638B">
        <w:rPr>
          <w:sz w:val="20"/>
          <w:szCs w:val="20"/>
        </w:rPr>
        <w:tab/>
        <w:t>4.</w:t>
      </w:r>
      <w:r w:rsidRPr="0059638B">
        <w:rPr>
          <w:sz w:val="20"/>
          <w:szCs w:val="20"/>
        </w:rPr>
        <w:tab/>
        <w:t>Concluding</w:t>
      </w:r>
      <w:r w:rsidR="00FF41A0">
        <w:rPr>
          <w:sz w:val="20"/>
          <w:szCs w:val="20"/>
        </w:rPr>
        <w:t xml:space="preserve"> </w:t>
      </w:r>
      <w:r w:rsidRPr="0059638B">
        <w:rPr>
          <w:sz w:val="20"/>
          <w:szCs w:val="20"/>
        </w:rPr>
        <w:t>remarks</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State</w:t>
      </w:r>
      <w:r w:rsidR="00FF41A0">
        <w:rPr>
          <w:sz w:val="20"/>
          <w:szCs w:val="20"/>
        </w:rPr>
        <w:t xml:space="preserve"> </w:t>
      </w:r>
      <w:r w:rsidRPr="0059638B">
        <w:rPr>
          <w:sz w:val="20"/>
          <w:szCs w:val="20"/>
        </w:rPr>
        <w:t>under</w:t>
      </w:r>
      <w:r w:rsidR="00FF41A0">
        <w:rPr>
          <w:sz w:val="20"/>
          <w:szCs w:val="20"/>
        </w:rPr>
        <w:t xml:space="preserve"> </w:t>
      </w:r>
      <w:r w:rsidRPr="0059638B">
        <w:rPr>
          <w:sz w:val="20"/>
          <w:szCs w:val="20"/>
        </w:rPr>
        <w:t>review</w:t>
      </w:r>
    </w:p>
    <w:p w14:paraId="0758CF72" w14:textId="0B028F96" w:rsidR="00323457" w:rsidRPr="0059638B" w:rsidRDefault="00972F1E" w:rsidP="00323457">
      <w:pPr>
        <w:pStyle w:val="SingleTxtG"/>
        <w:rPr>
          <w:sz w:val="20"/>
          <w:szCs w:val="20"/>
        </w:rPr>
      </w:pPr>
      <w:r>
        <w:rPr>
          <w:sz w:val="20"/>
          <w:szCs w:val="20"/>
        </w:rPr>
        <w:t>712</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President</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based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information</w:t>
      </w:r>
      <w:r w:rsidR="00FF41A0">
        <w:rPr>
          <w:sz w:val="20"/>
          <w:szCs w:val="20"/>
        </w:rPr>
        <w:t xml:space="preserve"> </w:t>
      </w:r>
      <w:r w:rsidR="00323457" w:rsidRPr="0059638B">
        <w:rPr>
          <w:sz w:val="20"/>
          <w:szCs w:val="20"/>
        </w:rPr>
        <w:t>provided,</w:t>
      </w:r>
      <w:r w:rsidR="00FF41A0">
        <w:rPr>
          <w:sz w:val="20"/>
          <w:szCs w:val="20"/>
        </w:rPr>
        <w:t xml:space="preserve"> </w:t>
      </w:r>
      <w:r w:rsidR="00323457" w:rsidRPr="0059638B">
        <w:rPr>
          <w:sz w:val="20"/>
          <w:szCs w:val="20"/>
        </w:rPr>
        <w:t>out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207</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received,</w:t>
      </w:r>
      <w:r w:rsidR="00FF41A0">
        <w:rPr>
          <w:sz w:val="20"/>
          <w:szCs w:val="20"/>
        </w:rPr>
        <w:t xml:space="preserve"> </w:t>
      </w:r>
      <w:r w:rsidR="00323457" w:rsidRPr="0059638B">
        <w:rPr>
          <w:sz w:val="20"/>
          <w:szCs w:val="20"/>
        </w:rPr>
        <w:t>179</w:t>
      </w:r>
      <w:r w:rsidR="00FF41A0">
        <w:rPr>
          <w:sz w:val="20"/>
          <w:szCs w:val="20"/>
        </w:rPr>
        <w:t xml:space="preserve"> </w:t>
      </w:r>
      <w:r w:rsidR="00323457" w:rsidRPr="0059638B">
        <w:rPr>
          <w:sz w:val="20"/>
          <w:szCs w:val="20"/>
        </w:rPr>
        <w:t>enjoyed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support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Central</w:t>
      </w:r>
      <w:r w:rsidR="00FF41A0">
        <w:rPr>
          <w:sz w:val="20"/>
          <w:szCs w:val="20"/>
        </w:rPr>
        <w:t xml:space="preserve"> </w:t>
      </w:r>
      <w:r w:rsidR="00323457" w:rsidRPr="0059638B">
        <w:rPr>
          <w:sz w:val="20"/>
          <w:szCs w:val="20"/>
        </w:rPr>
        <w:t>African</w:t>
      </w:r>
      <w:r w:rsidR="00FF41A0">
        <w:rPr>
          <w:sz w:val="20"/>
          <w:szCs w:val="20"/>
        </w:rPr>
        <w:t xml:space="preserve"> </w:t>
      </w:r>
      <w:r w:rsidR="00323457" w:rsidRPr="0059638B">
        <w:rPr>
          <w:sz w:val="20"/>
          <w:szCs w:val="20"/>
        </w:rPr>
        <w:t>Republic,</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28</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noted.</w:t>
      </w:r>
    </w:p>
    <w:p w14:paraId="263E5703" w14:textId="301F4509" w:rsidR="00323457" w:rsidRPr="0059638B" w:rsidRDefault="00972F1E" w:rsidP="00323457">
      <w:pPr>
        <w:pStyle w:val="SingleTxtG"/>
        <w:rPr>
          <w:b/>
          <w:bCs/>
          <w:sz w:val="20"/>
          <w:szCs w:val="20"/>
        </w:rPr>
      </w:pPr>
      <w:r>
        <w:rPr>
          <w:sz w:val="20"/>
          <w:szCs w:val="20"/>
        </w:rPr>
        <w:t>713</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delegation</w:t>
      </w:r>
      <w:r w:rsidR="00FF41A0">
        <w:rPr>
          <w:sz w:val="20"/>
          <w:szCs w:val="20"/>
        </w:rPr>
        <w:t xml:space="preserve"> </w:t>
      </w:r>
      <w:r w:rsidR="00323457" w:rsidRPr="0059638B">
        <w:rPr>
          <w:sz w:val="20"/>
          <w:szCs w:val="20"/>
        </w:rPr>
        <w:t>thanked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Member</w:t>
      </w:r>
      <w:r w:rsidR="00FF41A0">
        <w:rPr>
          <w:sz w:val="20"/>
          <w:szCs w:val="20"/>
        </w:rPr>
        <w:t xml:space="preserve"> </w:t>
      </w:r>
      <w:r w:rsidR="00323457" w:rsidRPr="0059638B">
        <w:rPr>
          <w:sz w:val="20"/>
          <w:szCs w:val="20"/>
        </w:rPr>
        <w:t>States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non-governmental</w:t>
      </w:r>
      <w:r w:rsidR="00FF41A0">
        <w:rPr>
          <w:sz w:val="20"/>
          <w:szCs w:val="20"/>
        </w:rPr>
        <w:t xml:space="preserve"> </w:t>
      </w:r>
      <w:r w:rsidR="00323457" w:rsidRPr="0059638B">
        <w:rPr>
          <w:sz w:val="20"/>
          <w:szCs w:val="20"/>
        </w:rPr>
        <w:t>organizations</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their</w:t>
      </w:r>
      <w:r w:rsidR="00FF41A0">
        <w:rPr>
          <w:sz w:val="20"/>
          <w:szCs w:val="20"/>
        </w:rPr>
        <w:t xml:space="preserve"> </w:t>
      </w:r>
      <w:r w:rsidR="00323457" w:rsidRPr="0059638B">
        <w:rPr>
          <w:sz w:val="20"/>
          <w:szCs w:val="20"/>
        </w:rPr>
        <w:t>statements</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will</w:t>
      </w:r>
      <w:r w:rsidR="00FF41A0">
        <w:rPr>
          <w:sz w:val="20"/>
          <w:szCs w:val="20"/>
        </w:rPr>
        <w:t xml:space="preserve"> </w:t>
      </w:r>
      <w:r w:rsidR="00323457" w:rsidRPr="0059638B">
        <w:rPr>
          <w:sz w:val="20"/>
          <w:szCs w:val="20"/>
        </w:rPr>
        <w:t>help</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implementation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delegation</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thanked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troika</w:t>
      </w:r>
      <w:r w:rsidR="00FF41A0">
        <w:rPr>
          <w:sz w:val="20"/>
          <w:szCs w:val="20"/>
        </w:rPr>
        <w:t xml:space="preserve"> </w:t>
      </w:r>
      <w:r w:rsidR="00323457" w:rsidRPr="0059638B">
        <w:rPr>
          <w:sz w:val="20"/>
          <w:szCs w:val="20"/>
        </w:rPr>
        <w:t>composed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Angola,</w:t>
      </w:r>
      <w:r w:rsidR="00FF41A0">
        <w:rPr>
          <w:sz w:val="20"/>
          <w:szCs w:val="20"/>
        </w:rPr>
        <w:t xml:space="preserve"> </w:t>
      </w:r>
      <w:r w:rsidR="00323457" w:rsidRPr="0059638B">
        <w:rPr>
          <w:sz w:val="20"/>
          <w:szCs w:val="20"/>
        </w:rPr>
        <w:t>Pakistan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Slovenia,</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reaffirmed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full</w:t>
      </w:r>
      <w:r w:rsidR="00FF41A0">
        <w:rPr>
          <w:sz w:val="20"/>
          <w:szCs w:val="20"/>
        </w:rPr>
        <w:t xml:space="preserve"> </w:t>
      </w:r>
      <w:r w:rsidR="00323457" w:rsidRPr="0059638B">
        <w:rPr>
          <w:sz w:val="20"/>
          <w:szCs w:val="20"/>
        </w:rPr>
        <w:t>adhesion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country</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process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willingness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implement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Khartoum</w:t>
      </w:r>
      <w:r w:rsidR="00FF41A0">
        <w:rPr>
          <w:sz w:val="20"/>
          <w:szCs w:val="20"/>
        </w:rPr>
        <w:t xml:space="preserve"> </w:t>
      </w:r>
      <w:r w:rsidR="00323457" w:rsidRPr="0059638B">
        <w:rPr>
          <w:sz w:val="20"/>
          <w:szCs w:val="20"/>
        </w:rPr>
        <w:t>agreement</w:t>
      </w:r>
      <w:r w:rsidR="00FF41A0">
        <w:rPr>
          <w:sz w:val="20"/>
          <w:szCs w:val="20"/>
        </w:rPr>
        <w:t xml:space="preserve"> </w:t>
      </w:r>
      <w:r w:rsidR="00323457" w:rsidRPr="0059638B">
        <w:rPr>
          <w:sz w:val="20"/>
          <w:szCs w:val="20"/>
        </w:rPr>
        <w:t>give</w:t>
      </w:r>
      <w:r w:rsidR="00FF41A0">
        <w:rPr>
          <w:sz w:val="20"/>
          <w:szCs w:val="20"/>
        </w:rPr>
        <w:t xml:space="preserve"> </w:t>
      </w:r>
      <w:r w:rsidR="00323457" w:rsidRPr="0059638B">
        <w:rPr>
          <w:sz w:val="20"/>
          <w:szCs w:val="20"/>
        </w:rPr>
        <w:t>hope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should</w:t>
      </w:r>
      <w:r w:rsidR="00FF41A0">
        <w:rPr>
          <w:sz w:val="20"/>
          <w:szCs w:val="20"/>
        </w:rPr>
        <w:t xml:space="preserve"> </w:t>
      </w:r>
      <w:r w:rsidR="00323457" w:rsidRPr="0059638B">
        <w:rPr>
          <w:sz w:val="20"/>
          <w:szCs w:val="20"/>
        </w:rPr>
        <w:t>be</w:t>
      </w:r>
      <w:r w:rsidR="00FF41A0">
        <w:rPr>
          <w:sz w:val="20"/>
          <w:szCs w:val="20"/>
        </w:rPr>
        <w:t xml:space="preserve"> </w:t>
      </w:r>
      <w:r w:rsidR="00323457" w:rsidRPr="0059638B">
        <w:rPr>
          <w:sz w:val="20"/>
          <w:szCs w:val="20"/>
        </w:rPr>
        <w:t>implemented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parties.</w:t>
      </w:r>
    </w:p>
    <w:p w14:paraId="409CD6B2" w14:textId="77777777" w:rsidR="00323457" w:rsidRPr="0059638B" w:rsidRDefault="00323457" w:rsidP="00323457">
      <w:pPr>
        <w:pStyle w:val="SingleTxtG"/>
        <w:rPr>
          <w:b/>
          <w:bCs/>
          <w:sz w:val="20"/>
          <w:szCs w:val="20"/>
        </w:rPr>
      </w:pPr>
      <w:r w:rsidRPr="0059638B">
        <w:rPr>
          <w:b/>
          <w:bCs/>
          <w:sz w:val="20"/>
          <w:szCs w:val="20"/>
        </w:rPr>
        <w:t>Monaco</w:t>
      </w:r>
    </w:p>
    <w:p w14:paraId="3A34B80F" w14:textId="2E778F5C" w:rsidR="00F2244D" w:rsidRDefault="00972F1E" w:rsidP="00F2244D">
      <w:pPr>
        <w:pStyle w:val="SingleTxtG"/>
        <w:rPr>
          <w:sz w:val="20"/>
          <w:szCs w:val="20"/>
        </w:rPr>
      </w:pPr>
      <w:r>
        <w:rPr>
          <w:sz w:val="20"/>
          <w:szCs w:val="20"/>
        </w:rPr>
        <w:t>714</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Monaco</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held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12</w:t>
      </w:r>
      <w:r w:rsidR="00FF41A0">
        <w:rPr>
          <w:sz w:val="20"/>
          <w:szCs w:val="20"/>
        </w:rPr>
        <w:t xml:space="preserve"> </w:t>
      </w:r>
      <w:r w:rsidR="00323457" w:rsidRPr="0059638B">
        <w:rPr>
          <w:sz w:val="20"/>
          <w:szCs w:val="20"/>
        </w:rPr>
        <w:t>November</w:t>
      </w:r>
      <w:r w:rsidR="00FF41A0">
        <w:rPr>
          <w:sz w:val="20"/>
          <w:szCs w:val="20"/>
        </w:rPr>
        <w:t xml:space="preserve"> </w:t>
      </w:r>
      <w:r w:rsidR="00323457" w:rsidRPr="0059638B">
        <w:rPr>
          <w:sz w:val="20"/>
          <w:szCs w:val="20"/>
        </w:rPr>
        <w:t>2018</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conformity</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relevant</w:t>
      </w:r>
      <w:r w:rsidR="00FF41A0">
        <w:rPr>
          <w:sz w:val="20"/>
          <w:szCs w:val="20"/>
        </w:rPr>
        <w:t xml:space="preserve"> </w:t>
      </w:r>
      <w:r w:rsidR="00323457" w:rsidRPr="0059638B">
        <w:rPr>
          <w:sz w:val="20"/>
          <w:szCs w:val="20"/>
        </w:rPr>
        <w:t>provisions</w:t>
      </w:r>
      <w:r w:rsidR="00FF41A0">
        <w:rPr>
          <w:sz w:val="20"/>
          <w:szCs w:val="20"/>
        </w:rPr>
        <w:t xml:space="preserve"> </w:t>
      </w:r>
      <w:r w:rsidR="00323457" w:rsidRPr="0059638B">
        <w:rPr>
          <w:sz w:val="20"/>
          <w:szCs w:val="20"/>
        </w:rPr>
        <w:t>contained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relevant</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Council</w:t>
      </w:r>
      <w:r w:rsidR="00FF41A0">
        <w:rPr>
          <w:sz w:val="20"/>
          <w:szCs w:val="20"/>
        </w:rPr>
        <w:t xml:space="preserve"> </w:t>
      </w:r>
      <w:r w:rsidR="00323457" w:rsidRPr="0059638B">
        <w:rPr>
          <w:sz w:val="20"/>
          <w:szCs w:val="20"/>
        </w:rPr>
        <w:t>resolutions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decisions,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based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following</w:t>
      </w:r>
      <w:r w:rsidR="00FF41A0">
        <w:rPr>
          <w:sz w:val="20"/>
          <w:szCs w:val="20"/>
        </w:rPr>
        <w:t xml:space="preserve"> </w:t>
      </w:r>
      <w:r w:rsidR="00323457" w:rsidRPr="0059638B">
        <w:rPr>
          <w:sz w:val="20"/>
          <w:szCs w:val="20"/>
        </w:rPr>
        <w:t>documents:</w:t>
      </w:r>
    </w:p>
    <w:p w14:paraId="059039E4" w14:textId="75618B95" w:rsidR="00323457" w:rsidRPr="0059638B" w:rsidRDefault="00323457" w:rsidP="00F2244D">
      <w:pPr>
        <w:pStyle w:val="SingleTxtG"/>
        <w:ind w:firstLine="555"/>
        <w:rPr>
          <w:sz w:val="20"/>
          <w:szCs w:val="20"/>
        </w:rPr>
      </w:pPr>
      <w:r w:rsidRPr="0059638B">
        <w:rPr>
          <w:sz w:val="20"/>
          <w:szCs w:val="20"/>
        </w:rPr>
        <w:t>(a)</w:t>
      </w:r>
      <w:r w:rsidRPr="0059638B">
        <w:rPr>
          <w:sz w:val="20"/>
          <w:szCs w:val="20"/>
        </w:rPr>
        <w:tab/>
        <w:t>The</w:t>
      </w:r>
      <w:r w:rsidR="00FF41A0">
        <w:rPr>
          <w:sz w:val="20"/>
          <w:szCs w:val="20"/>
        </w:rPr>
        <w:t xml:space="preserve"> </w:t>
      </w:r>
      <w:r w:rsidRPr="0059638B">
        <w:rPr>
          <w:sz w:val="20"/>
          <w:szCs w:val="20"/>
        </w:rPr>
        <w:t>national</w:t>
      </w:r>
      <w:r w:rsidR="00FF41A0">
        <w:rPr>
          <w:sz w:val="20"/>
          <w:szCs w:val="20"/>
        </w:rPr>
        <w:t xml:space="preserve"> </w:t>
      </w:r>
      <w:r w:rsidRPr="0059638B">
        <w:rPr>
          <w:sz w:val="20"/>
          <w:szCs w:val="20"/>
        </w:rPr>
        <w:t>report</w:t>
      </w:r>
      <w:r w:rsidR="00FF41A0">
        <w:rPr>
          <w:sz w:val="20"/>
          <w:szCs w:val="20"/>
        </w:rPr>
        <w:t xml:space="preserve"> </w:t>
      </w:r>
      <w:r w:rsidRPr="0059638B">
        <w:rPr>
          <w:sz w:val="20"/>
          <w:szCs w:val="20"/>
        </w:rPr>
        <w:t>submitted</w:t>
      </w:r>
      <w:r w:rsidR="00FF41A0">
        <w:rPr>
          <w:sz w:val="20"/>
          <w:szCs w:val="20"/>
        </w:rPr>
        <w:t xml:space="preserve"> </w:t>
      </w:r>
      <w:r w:rsidRPr="0059638B">
        <w:rPr>
          <w:sz w:val="20"/>
          <w:szCs w:val="20"/>
        </w:rPr>
        <w:t>by</w:t>
      </w:r>
      <w:r w:rsidR="00FF41A0">
        <w:rPr>
          <w:sz w:val="20"/>
          <w:szCs w:val="20"/>
        </w:rPr>
        <w:t xml:space="preserve"> </w:t>
      </w:r>
      <w:r w:rsidRPr="0059638B">
        <w:rPr>
          <w:sz w:val="20"/>
          <w:szCs w:val="20"/>
        </w:rPr>
        <w:t>Monaco</w:t>
      </w:r>
      <w:r w:rsidR="00FF41A0">
        <w:rPr>
          <w:sz w:val="20"/>
          <w:szCs w:val="20"/>
        </w:rPr>
        <w:t xml:space="preserve"> </w:t>
      </w:r>
      <w:r w:rsidRPr="0059638B">
        <w:rPr>
          <w:sz w:val="20"/>
          <w:szCs w:val="20"/>
        </w:rPr>
        <w:t>in</w:t>
      </w:r>
      <w:r w:rsidR="00FF41A0">
        <w:rPr>
          <w:sz w:val="20"/>
          <w:szCs w:val="20"/>
        </w:rPr>
        <w:t xml:space="preserve"> </w:t>
      </w:r>
      <w:r w:rsidRPr="0059638B">
        <w:rPr>
          <w:sz w:val="20"/>
          <w:szCs w:val="20"/>
        </w:rPr>
        <w:t>accordance</w:t>
      </w:r>
      <w:r w:rsidR="00FF41A0">
        <w:rPr>
          <w:sz w:val="20"/>
          <w:szCs w:val="20"/>
        </w:rPr>
        <w:t xml:space="preserve"> </w:t>
      </w:r>
      <w:r w:rsidRPr="0059638B">
        <w:rPr>
          <w:sz w:val="20"/>
          <w:szCs w:val="20"/>
        </w:rPr>
        <w:t>with</w:t>
      </w:r>
      <w:r w:rsidR="00FF41A0">
        <w:rPr>
          <w:sz w:val="20"/>
          <w:szCs w:val="20"/>
        </w:rPr>
        <w:t xml:space="preserve"> </w:t>
      </w:r>
      <w:r w:rsidRPr="0059638B">
        <w:rPr>
          <w:sz w:val="20"/>
          <w:szCs w:val="20"/>
        </w:rPr>
        <w:t>paragraph</w:t>
      </w:r>
      <w:r w:rsidR="00FF41A0">
        <w:rPr>
          <w:sz w:val="20"/>
          <w:szCs w:val="20"/>
        </w:rPr>
        <w:t xml:space="preserve"> </w:t>
      </w:r>
      <w:r w:rsidRPr="0059638B">
        <w:rPr>
          <w:sz w:val="20"/>
          <w:szCs w:val="20"/>
        </w:rPr>
        <w:t>15</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annex</w:t>
      </w:r>
      <w:r w:rsidR="00FF41A0">
        <w:rPr>
          <w:sz w:val="20"/>
          <w:szCs w:val="20"/>
        </w:rPr>
        <w:t xml:space="preserve"> </w:t>
      </w:r>
      <w:r w:rsidRPr="0059638B">
        <w:rPr>
          <w:sz w:val="20"/>
          <w:szCs w:val="20"/>
        </w:rPr>
        <w:t>to</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resolution</w:t>
      </w:r>
      <w:r w:rsidR="00FF41A0">
        <w:rPr>
          <w:sz w:val="20"/>
          <w:szCs w:val="20"/>
        </w:rPr>
        <w:t xml:space="preserve"> </w:t>
      </w:r>
      <w:r w:rsidRPr="0059638B">
        <w:rPr>
          <w:sz w:val="20"/>
          <w:szCs w:val="20"/>
        </w:rPr>
        <w:t>5/1</w:t>
      </w:r>
      <w:r w:rsidR="00FF41A0">
        <w:rPr>
          <w:sz w:val="20"/>
          <w:szCs w:val="20"/>
        </w:rPr>
        <w:t xml:space="preserve"> </w:t>
      </w:r>
      <w:r w:rsidRPr="0059638B">
        <w:rPr>
          <w:sz w:val="20"/>
          <w:szCs w:val="20"/>
        </w:rPr>
        <w:t>and</w:t>
      </w:r>
      <w:r w:rsidR="00FF41A0">
        <w:rPr>
          <w:sz w:val="20"/>
          <w:szCs w:val="20"/>
        </w:rPr>
        <w:t xml:space="preserve"> </w:t>
      </w:r>
      <w:r w:rsidRPr="0059638B">
        <w:rPr>
          <w:sz w:val="20"/>
          <w:szCs w:val="20"/>
        </w:rPr>
        <w:t>paragraph</w:t>
      </w:r>
      <w:r w:rsidR="00FF41A0">
        <w:rPr>
          <w:sz w:val="20"/>
          <w:szCs w:val="20"/>
        </w:rPr>
        <w:t xml:space="preserve"> </w:t>
      </w:r>
      <w:r w:rsidRPr="0059638B">
        <w:rPr>
          <w:sz w:val="20"/>
          <w:szCs w:val="20"/>
        </w:rPr>
        <w:t>5</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annex</w:t>
      </w:r>
      <w:r w:rsidR="00FF41A0">
        <w:rPr>
          <w:sz w:val="20"/>
          <w:szCs w:val="20"/>
        </w:rPr>
        <w:t xml:space="preserve"> </w:t>
      </w:r>
      <w:r w:rsidRPr="0059638B">
        <w:rPr>
          <w:sz w:val="20"/>
          <w:szCs w:val="20"/>
        </w:rPr>
        <w:t>to</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resolution</w:t>
      </w:r>
      <w:r w:rsidR="00FF41A0">
        <w:rPr>
          <w:sz w:val="20"/>
          <w:szCs w:val="20"/>
        </w:rPr>
        <w:t xml:space="preserve"> </w:t>
      </w:r>
      <w:r w:rsidRPr="0059638B">
        <w:rPr>
          <w:sz w:val="20"/>
          <w:szCs w:val="20"/>
        </w:rPr>
        <w:t>16/21</w:t>
      </w:r>
      <w:r w:rsidR="00FF41A0">
        <w:rPr>
          <w:sz w:val="20"/>
          <w:szCs w:val="20"/>
        </w:rPr>
        <w:t xml:space="preserve"> </w:t>
      </w:r>
      <w:r w:rsidRPr="0059638B">
        <w:rPr>
          <w:sz w:val="20"/>
          <w:szCs w:val="20"/>
        </w:rPr>
        <w:t>(A/HRC/WG.6/31/MCO/1);</w:t>
      </w:r>
      <w:r w:rsidR="00FF41A0">
        <w:rPr>
          <w:sz w:val="20"/>
          <w:szCs w:val="20"/>
        </w:rPr>
        <w:t xml:space="preserve"> </w:t>
      </w:r>
    </w:p>
    <w:p w14:paraId="0909A49E" w14:textId="6C97B9AC" w:rsidR="00323457" w:rsidRPr="0059638B" w:rsidRDefault="00323457" w:rsidP="00F2244D">
      <w:pPr>
        <w:pStyle w:val="SingleTxtG"/>
        <w:ind w:firstLine="555"/>
        <w:rPr>
          <w:sz w:val="20"/>
          <w:szCs w:val="20"/>
        </w:rPr>
      </w:pPr>
      <w:r w:rsidRPr="0059638B">
        <w:rPr>
          <w:sz w:val="20"/>
          <w:szCs w:val="20"/>
        </w:rPr>
        <w:t>(b)</w:t>
      </w:r>
      <w:r w:rsidRPr="0059638B">
        <w:rPr>
          <w:sz w:val="20"/>
          <w:szCs w:val="20"/>
        </w:rPr>
        <w:tab/>
        <w:t>The</w:t>
      </w:r>
      <w:r w:rsidR="00FF41A0">
        <w:rPr>
          <w:sz w:val="20"/>
          <w:szCs w:val="20"/>
        </w:rPr>
        <w:t xml:space="preserve"> </w:t>
      </w:r>
      <w:r w:rsidRPr="0059638B">
        <w:rPr>
          <w:sz w:val="20"/>
          <w:szCs w:val="20"/>
        </w:rPr>
        <w:t>compilation</w:t>
      </w:r>
      <w:r w:rsidR="00FF41A0">
        <w:rPr>
          <w:sz w:val="20"/>
          <w:szCs w:val="20"/>
        </w:rPr>
        <w:t xml:space="preserve"> </w:t>
      </w:r>
      <w:r w:rsidRPr="0059638B">
        <w:rPr>
          <w:sz w:val="20"/>
          <w:szCs w:val="20"/>
        </w:rPr>
        <w:t>prepared</w:t>
      </w:r>
      <w:r w:rsidR="00FF41A0">
        <w:rPr>
          <w:sz w:val="20"/>
          <w:szCs w:val="20"/>
        </w:rPr>
        <w:t xml:space="preserve"> </w:t>
      </w:r>
      <w:r w:rsidRPr="0059638B">
        <w:rPr>
          <w:sz w:val="20"/>
          <w:szCs w:val="20"/>
        </w:rPr>
        <w:t>by</w:t>
      </w:r>
      <w:r w:rsidR="00FF41A0">
        <w:rPr>
          <w:sz w:val="20"/>
          <w:szCs w:val="20"/>
        </w:rPr>
        <w:t xml:space="preserve"> </w:t>
      </w:r>
      <w:r>
        <w:rPr>
          <w:sz w:val="20"/>
          <w:szCs w:val="20"/>
        </w:rPr>
        <w:t>the</w:t>
      </w:r>
      <w:r w:rsidR="00FF41A0">
        <w:rPr>
          <w:sz w:val="20"/>
          <w:szCs w:val="20"/>
        </w:rPr>
        <w:t xml:space="preserve"> </w:t>
      </w:r>
      <w:r w:rsidRPr="00F2244D">
        <w:rPr>
          <w:sz w:val="20"/>
          <w:szCs w:val="20"/>
        </w:rPr>
        <w:t>Office</w:t>
      </w:r>
      <w:r w:rsidR="00FF41A0" w:rsidRPr="00F2244D">
        <w:rPr>
          <w:sz w:val="20"/>
          <w:szCs w:val="20"/>
        </w:rPr>
        <w:t xml:space="preserve"> </w:t>
      </w:r>
      <w:r w:rsidRPr="00F2244D">
        <w:rPr>
          <w:sz w:val="20"/>
          <w:szCs w:val="20"/>
        </w:rPr>
        <w:t>of</w:t>
      </w:r>
      <w:r w:rsidR="00FF41A0" w:rsidRPr="00F2244D">
        <w:rPr>
          <w:sz w:val="20"/>
          <w:szCs w:val="20"/>
        </w:rPr>
        <w:t xml:space="preserve"> </w:t>
      </w:r>
      <w:r w:rsidRPr="00F2244D">
        <w:rPr>
          <w:sz w:val="20"/>
          <w:szCs w:val="20"/>
        </w:rPr>
        <w:t>the</w:t>
      </w:r>
      <w:r w:rsidR="00FF41A0" w:rsidRPr="00F2244D">
        <w:rPr>
          <w:sz w:val="20"/>
          <w:szCs w:val="20"/>
        </w:rPr>
        <w:t xml:space="preserve"> </w:t>
      </w:r>
      <w:r w:rsidRPr="00F2244D">
        <w:rPr>
          <w:sz w:val="20"/>
          <w:szCs w:val="20"/>
        </w:rPr>
        <w:t>United</w:t>
      </w:r>
      <w:r w:rsidR="00FF41A0" w:rsidRPr="00F2244D">
        <w:rPr>
          <w:sz w:val="20"/>
          <w:szCs w:val="20"/>
        </w:rPr>
        <w:t xml:space="preserve"> </w:t>
      </w:r>
      <w:r w:rsidRPr="00F2244D">
        <w:rPr>
          <w:sz w:val="20"/>
          <w:szCs w:val="20"/>
        </w:rPr>
        <w:t>Nations</w:t>
      </w:r>
      <w:r w:rsidR="00FF41A0" w:rsidRPr="00F2244D">
        <w:rPr>
          <w:sz w:val="20"/>
          <w:szCs w:val="20"/>
        </w:rPr>
        <w:t xml:space="preserve"> </w:t>
      </w:r>
      <w:r w:rsidRPr="00F2244D">
        <w:rPr>
          <w:sz w:val="20"/>
          <w:szCs w:val="20"/>
        </w:rPr>
        <w:t>High</w:t>
      </w:r>
      <w:r w:rsidR="00FF41A0" w:rsidRPr="00F2244D">
        <w:rPr>
          <w:sz w:val="20"/>
          <w:szCs w:val="20"/>
        </w:rPr>
        <w:t xml:space="preserve"> </w:t>
      </w:r>
      <w:r w:rsidRPr="00F2244D">
        <w:rPr>
          <w:sz w:val="20"/>
          <w:szCs w:val="20"/>
        </w:rPr>
        <w:t>Commissioner</w:t>
      </w:r>
      <w:r w:rsidR="00FF41A0" w:rsidRPr="00F2244D">
        <w:rPr>
          <w:sz w:val="20"/>
          <w:szCs w:val="20"/>
        </w:rPr>
        <w:t xml:space="preserve"> </w:t>
      </w:r>
      <w:r w:rsidRPr="00F2244D">
        <w:rPr>
          <w:sz w:val="20"/>
          <w:szCs w:val="20"/>
        </w:rPr>
        <w:t>for</w:t>
      </w:r>
      <w:r w:rsidR="00FF41A0" w:rsidRPr="00F2244D">
        <w:rPr>
          <w:sz w:val="20"/>
          <w:szCs w:val="20"/>
        </w:rPr>
        <w:t xml:space="preserve"> </w:t>
      </w:r>
      <w:r w:rsidRPr="00F2244D">
        <w:rPr>
          <w:sz w:val="20"/>
          <w:szCs w:val="20"/>
        </w:rPr>
        <w:t>Human</w:t>
      </w:r>
      <w:r w:rsidR="00FF41A0" w:rsidRPr="00F2244D">
        <w:rPr>
          <w:sz w:val="20"/>
          <w:szCs w:val="20"/>
        </w:rPr>
        <w:t xml:space="preserve"> </w:t>
      </w:r>
      <w:r w:rsidRPr="00F2244D">
        <w:rPr>
          <w:sz w:val="20"/>
          <w:szCs w:val="20"/>
        </w:rPr>
        <w:t>Rights</w:t>
      </w:r>
      <w:r w:rsidR="00FF41A0">
        <w:rPr>
          <w:sz w:val="20"/>
          <w:szCs w:val="20"/>
        </w:rPr>
        <w:t xml:space="preserve"> </w:t>
      </w:r>
      <w:r w:rsidRPr="0059638B">
        <w:rPr>
          <w:sz w:val="20"/>
          <w:szCs w:val="20"/>
        </w:rPr>
        <w:t>in</w:t>
      </w:r>
      <w:r w:rsidR="00FF41A0">
        <w:rPr>
          <w:sz w:val="20"/>
          <w:szCs w:val="20"/>
        </w:rPr>
        <w:t xml:space="preserve"> </w:t>
      </w:r>
      <w:r w:rsidRPr="0059638B">
        <w:rPr>
          <w:sz w:val="20"/>
          <w:szCs w:val="20"/>
        </w:rPr>
        <w:t>accordance</w:t>
      </w:r>
      <w:r w:rsidR="00FF41A0">
        <w:rPr>
          <w:sz w:val="20"/>
          <w:szCs w:val="20"/>
        </w:rPr>
        <w:t xml:space="preserve"> </w:t>
      </w:r>
      <w:r w:rsidRPr="0059638B">
        <w:rPr>
          <w:sz w:val="20"/>
          <w:szCs w:val="20"/>
        </w:rPr>
        <w:t>with</w:t>
      </w:r>
      <w:r w:rsidR="00FF41A0">
        <w:rPr>
          <w:sz w:val="20"/>
          <w:szCs w:val="20"/>
        </w:rPr>
        <w:t xml:space="preserve"> </w:t>
      </w:r>
      <w:r w:rsidRPr="0059638B">
        <w:rPr>
          <w:sz w:val="20"/>
          <w:szCs w:val="20"/>
        </w:rPr>
        <w:t>paragraph</w:t>
      </w:r>
      <w:r w:rsidR="00FF41A0">
        <w:rPr>
          <w:sz w:val="20"/>
          <w:szCs w:val="20"/>
        </w:rPr>
        <w:t xml:space="preserve"> </w:t>
      </w:r>
      <w:r w:rsidRPr="0059638B">
        <w:rPr>
          <w:sz w:val="20"/>
          <w:szCs w:val="20"/>
        </w:rPr>
        <w:t>15</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annex</w:t>
      </w:r>
      <w:r w:rsidR="00FF41A0">
        <w:rPr>
          <w:sz w:val="20"/>
          <w:szCs w:val="20"/>
        </w:rPr>
        <w:t xml:space="preserve"> </w:t>
      </w:r>
      <w:r w:rsidRPr="0059638B">
        <w:rPr>
          <w:sz w:val="20"/>
          <w:szCs w:val="20"/>
        </w:rPr>
        <w:t>to</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resolution</w:t>
      </w:r>
      <w:r w:rsidR="00FF41A0">
        <w:rPr>
          <w:sz w:val="20"/>
          <w:szCs w:val="20"/>
        </w:rPr>
        <w:t xml:space="preserve"> </w:t>
      </w:r>
      <w:r w:rsidRPr="0059638B">
        <w:rPr>
          <w:sz w:val="20"/>
          <w:szCs w:val="20"/>
        </w:rPr>
        <w:t>5/1</w:t>
      </w:r>
      <w:r w:rsidR="00FF41A0">
        <w:rPr>
          <w:sz w:val="20"/>
          <w:szCs w:val="20"/>
        </w:rPr>
        <w:t xml:space="preserve"> </w:t>
      </w:r>
      <w:r w:rsidRPr="0059638B">
        <w:rPr>
          <w:sz w:val="20"/>
          <w:szCs w:val="20"/>
        </w:rPr>
        <w:t>and</w:t>
      </w:r>
      <w:r w:rsidR="00FF41A0">
        <w:rPr>
          <w:sz w:val="20"/>
          <w:szCs w:val="20"/>
        </w:rPr>
        <w:t xml:space="preserve"> </w:t>
      </w:r>
      <w:r w:rsidRPr="0059638B">
        <w:rPr>
          <w:sz w:val="20"/>
          <w:szCs w:val="20"/>
        </w:rPr>
        <w:t>paragraph</w:t>
      </w:r>
      <w:r w:rsidR="00FF41A0">
        <w:rPr>
          <w:sz w:val="20"/>
          <w:szCs w:val="20"/>
        </w:rPr>
        <w:t xml:space="preserve"> </w:t>
      </w:r>
      <w:r w:rsidRPr="0059638B">
        <w:rPr>
          <w:sz w:val="20"/>
          <w:szCs w:val="20"/>
        </w:rPr>
        <w:t>5</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annex</w:t>
      </w:r>
      <w:r w:rsidR="00FF41A0">
        <w:rPr>
          <w:sz w:val="20"/>
          <w:szCs w:val="20"/>
        </w:rPr>
        <w:t xml:space="preserve"> </w:t>
      </w:r>
      <w:r w:rsidRPr="0059638B">
        <w:rPr>
          <w:sz w:val="20"/>
          <w:szCs w:val="20"/>
        </w:rPr>
        <w:t>to</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resolution</w:t>
      </w:r>
      <w:r w:rsidR="00FF41A0">
        <w:rPr>
          <w:sz w:val="20"/>
          <w:szCs w:val="20"/>
        </w:rPr>
        <w:t xml:space="preserve"> </w:t>
      </w:r>
      <w:r w:rsidRPr="0059638B">
        <w:rPr>
          <w:sz w:val="20"/>
          <w:szCs w:val="20"/>
        </w:rPr>
        <w:t>16/21</w:t>
      </w:r>
      <w:r w:rsidR="00FF41A0">
        <w:rPr>
          <w:sz w:val="20"/>
          <w:szCs w:val="20"/>
        </w:rPr>
        <w:t xml:space="preserve"> </w:t>
      </w:r>
      <w:r w:rsidRPr="0059638B">
        <w:rPr>
          <w:sz w:val="20"/>
          <w:szCs w:val="20"/>
        </w:rPr>
        <w:t>(A/HRC/WG.6/31/MCO/2);</w:t>
      </w:r>
      <w:r w:rsidR="00FF41A0">
        <w:rPr>
          <w:sz w:val="20"/>
          <w:szCs w:val="20"/>
        </w:rPr>
        <w:t xml:space="preserve"> </w:t>
      </w:r>
    </w:p>
    <w:p w14:paraId="51FCEB22" w14:textId="1CAE9B39" w:rsidR="00323457" w:rsidRPr="0059638B" w:rsidRDefault="00323457" w:rsidP="00F2244D">
      <w:pPr>
        <w:pStyle w:val="SingleTxtG"/>
        <w:ind w:firstLine="555"/>
        <w:rPr>
          <w:sz w:val="20"/>
          <w:szCs w:val="20"/>
        </w:rPr>
      </w:pPr>
      <w:r w:rsidRPr="0059638B">
        <w:rPr>
          <w:sz w:val="20"/>
          <w:szCs w:val="20"/>
        </w:rPr>
        <w:t>(c)</w:t>
      </w:r>
      <w:r w:rsidRPr="0059638B">
        <w:rPr>
          <w:sz w:val="20"/>
          <w:szCs w:val="20"/>
        </w:rPr>
        <w:tab/>
        <w:t>The</w:t>
      </w:r>
      <w:r w:rsidR="00FF41A0">
        <w:rPr>
          <w:sz w:val="20"/>
          <w:szCs w:val="20"/>
        </w:rPr>
        <w:t xml:space="preserve"> </w:t>
      </w:r>
      <w:r w:rsidRPr="0059638B">
        <w:rPr>
          <w:sz w:val="20"/>
          <w:szCs w:val="20"/>
        </w:rPr>
        <w:t>summary</w:t>
      </w:r>
      <w:r w:rsidR="00FF41A0">
        <w:rPr>
          <w:sz w:val="20"/>
          <w:szCs w:val="20"/>
        </w:rPr>
        <w:t xml:space="preserve"> </w:t>
      </w:r>
      <w:r w:rsidRPr="0059638B">
        <w:rPr>
          <w:sz w:val="20"/>
          <w:szCs w:val="20"/>
        </w:rPr>
        <w:t>prepared</w:t>
      </w:r>
      <w:r w:rsidR="00FF41A0">
        <w:rPr>
          <w:sz w:val="20"/>
          <w:szCs w:val="20"/>
        </w:rPr>
        <w:t xml:space="preserve"> </w:t>
      </w:r>
      <w:r w:rsidRPr="0059638B">
        <w:rPr>
          <w:sz w:val="20"/>
          <w:szCs w:val="20"/>
        </w:rPr>
        <w:t>by</w:t>
      </w:r>
      <w:r w:rsidR="00FF41A0">
        <w:rPr>
          <w:sz w:val="20"/>
          <w:szCs w:val="20"/>
        </w:rPr>
        <w:t xml:space="preserve"> </w:t>
      </w:r>
      <w:r>
        <w:rPr>
          <w:sz w:val="20"/>
          <w:szCs w:val="20"/>
        </w:rPr>
        <w:t>the</w:t>
      </w:r>
      <w:r w:rsidR="00FF41A0">
        <w:rPr>
          <w:sz w:val="20"/>
          <w:szCs w:val="20"/>
        </w:rPr>
        <w:t xml:space="preserve"> </w:t>
      </w:r>
      <w:r w:rsidRPr="00F2244D">
        <w:rPr>
          <w:sz w:val="20"/>
          <w:szCs w:val="20"/>
        </w:rPr>
        <w:t>Office</w:t>
      </w:r>
      <w:r w:rsidR="00FF41A0" w:rsidRPr="00F2244D">
        <w:rPr>
          <w:sz w:val="20"/>
          <w:szCs w:val="20"/>
        </w:rPr>
        <w:t xml:space="preserve"> </w:t>
      </w:r>
      <w:r w:rsidRPr="00F2244D">
        <w:rPr>
          <w:sz w:val="20"/>
          <w:szCs w:val="20"/>
        </w:rPr>
        <w:t>of</w:t>
      </w:r>
      <w:r w:rsidR="00FF41A0" w:rsidRPr="00F2244D">
        <w:rPr>
          <w:sz w:val="20"/>
          <w:szCs w:val="20"/>
        </w:rPr>
        <w:t xml:space="preserve"> </w:t>
      </w:r>
      <w:r w:rsidRPr="00F2244D">
        <w:rPr>
          <w:sz w:val="20"/>
          <w:szCs w:val="20"/>
        </w:rPr>
        <w:t>the</w:t>
      </w:r>
      <w:r w:rsidR="00FF41A0" w:rsidRPr="00F2244D">
        <w:rPr>
          <w:sz w:val="20"/>
          <w:szCs w:val="20"/>
        </w:rPr>
        <w:t xml:space="preserve"> </w:t>
      </w:r>
      <w:r w:rsidRPr="00F2244D">
        <w:rPr>
          <w:sz w:val="20"/>
          <w:szCs w:val="20"/>
        </w:rPr>
        <w:t>United</w:t>
      </w:r>
      <w:r w:rsidR="00FF41A0" w:rsidRPr="00F2244D">
        <w:rPr>
          <w:sz w:val="20"/>
          <w:szCs w:val="20"/>
        </w:rPr>
        <w:t xml:space="preserve"> </w:t>
      </w:r>
      <w:r w:rsidRPr="00F2244D">
        <w:rPr>
          <w:sz w:val="20"/>
          <w:szCs w:val="20"/>
        </w:rPr>
        <w:t>Nations</w:t>
      </w:r>
      <w:r w:rsidR="00FF41A0" w:rsidRPr="00F2244D">
        <w:rPr>
          <w:sz w:val="20"/>
          <w:szCs w:val="20"/>
        </w:rPr>
        <w:t xml:space="preserve"> </w:t>
      </w:r>
      <w:r w:rsidRPr="00F2244D">
        <w:rPr>
          <w:sz w:val="20"/>
          <w:szCs w:val="20"/>
        </w:rPr>
        <w:t>High</w:t>
      </w:r>
      <w:r w:rsidR="00FF41A0" w:rsidRPr="00F2244D">
        <w:rPr>
          <w:sz w:val="20"/>
          <w:szCs w:val="20"/>
        </w:rPr>
        <w:t xml:space="preserve"> </w:t>
      </w:r>
      <w:r w:rsidRPr="00F2244D">
        <w:rPr>
          <w:sz w:val="20"/>
          <w:szCs w:val="20"/>
        </w:rPr>
        <w:t>Commissioner</w:t>
      </w:r>
      <w:r w:rsidR="00FF41A0" w:rsidRPr="00F2244D">
        <w:rPr>
          <w:sz w:val="20"/>
          <w:szCs w:val="20"/>
        </w:rPr>
        <w:t xml:space="preserve"> </w:t>
      </w:r>
      <w:r w:rsidRPr="00F2244D">
        <w:rPr>
          <w:sz w:val="20"/>
          <w:szCs w:val="20"/>
        </w:rPr>
        <w:t>for</w:t>
      </w:r>
      <w:r w:rsidR="00FF41A0" w:rsidRPr="00F2244D">
        <w:rPr>
          <w:sz w:val="20"/>
          <w:szCs w:val="20"/>
        </w:rPr>
        <w:t xml:space="preserve"> </w:t>
      </w:r>
      <w:r w:rsidRPr="00F2244D">
        <w:rPr>
          <w:sz w:val="20"/>
          <w:szCs w:val="20"/>
        </w:rPr>
        <w:t>Human</w:t>
      </w:r>
      <w:r w:rsidR="00FF41A0" w:rsidRPr="00F2244D">
        <w:rPr>
          <w:sz w:val="20"/>
          <w:szCs w:val="20"/>
        </w:rPr>
        <w:t xml:space="preserve"> </w:t>
      </w:r>
      <w:r w:rsidRPr="00F2244D">
        <w:rPr>
          <w:sz w:val="20"/>
          <w:szCs w:val="20"/>
        </w:rPr>
        <w:t>Rights</w:t>
      </w:r>
      <w:r w:rsidR="00FF41A0">
        <w:rPr>
          <w:sz w:val="20"/>
          <w:szCs w:val="20"/>
        </w:rPr>
        <w:t xml:space="preserve"> </w:t>
      </w:r>
      <w:r w:rsidRPr="0059638B">
        <w:rPr>
          <w:sz w:val="20"/>
          <w:szCs w:val="20"/>
        </w:rPr>
        <w:t>in</w:t>
      </w:r>
      <w:r w:rsidR="00FF41A0">
        <w:rPr>
          <w:sz w:val="20"/>
          <w:szCs w:val="20"/>
        </w:rPr>
        <w:t xml:space="preserve"> </w:t>
      </w:r>
      <w:r w:rsidRPr="0059638B">
        <w:rPr>
          <w:sz w:val="20"/>
          <w:szCs w:val="20"/>
        </w:rPr>
        <w:t>accordance</w:t>
      </w:r>
      <w:r w:rsidR="00FF41A0">
        <w:rPr>
          <w:sz w:val="20"/>
          <w:szCs w:val="20"/>
        </w:rPr>
        <w:t xml:space="preserve"> </w:t>
      </w:r>
      <w:r w:rsidRPr="0059638B">
        <w:rPr>
          <w:sz w:val="20"/>
          <w:szCs w:val="20"/>
        </w:rPr>
        <w:t>with</w:t>
      </w:r>
      <w:r w:rsidR="00FF41A0">
        <w:rPr>
          <w:sz w:val="20"/>
          <w:szCs w:val="20"/>
        </w:rPr>
        <w:t xml:space="preserve"> </w:t>
      </w:r>
      <w:r w:rsidRPr="0059638B">
        <w:rPr>
          <w:sz w:val="20"/>
          <w:szCs w:val="20"/>
        </w:rPr>
        <w:t>paragraph</w:t>
      </w:r>
      <w:r w:rsidR="00FF41A0">
        <w:rPr>
          <w:sz w:val="20"/>
          <w:szCs w:val="20"/>
        </w:rPr>
        <w:t xml:space="preserve"> </w:t>
      </w:r>
      <w:r w:rsidRPr="0059638B">
        <w:rPr>
          <w:sz w:val="20"/>
          <w:szCs w:val="20"/>
        </w:rPr>
        <w:t>15</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annex</w:t>
      </w:r>
      <w:r w:rsidR="00FF41A0">
        <w:rPr>
          <w:sz w:val="20"/>
          <w:szCs w:val="20"/>
        </w:rPr>
        <w:t xml:space="preserve"> </w:t>
      </w:r>
      <w:r w:rsidRPr="0059638B">
        <w:rPr>
          <w:sz w:val="20"/>
          <w:szCs w:val="20"/>
        </w:rPr>
        <w:t>to</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resolution</w:t>
      </w:r>
      <w:r w:rsidR="00FF41A0">
        <w:rPr>
          <w:sz w:val="20"/>
          <w:szCs w:val="20"/>
        </w:rPr>
        <w:t xml:space="preserve"> </w:t>
      </w:r>
      <w:r w:rsidRPr="0059638B">
        <w:rPr>
          <w:sz w:val="20"/>
          <w:szCs w:val="20"/>
        </w:rPr>
        <w:t>5/1</w:t>
      </w:r>
      <w:r w:rsidR="00FF41A0">
        <w:rPr>
          <w:sz w:val="20"/>
          <w:szCs w:val="20"/>
        </w:rPr>
        <w:t xml:space="preserve"> </w:t>
      </w:r>
      <w:r w:rsidRPr="0059638B">
        <w:rPr>
          <w:sz w:val="20"/>
          <w:szCs w:val="20"/>
        </w:rPr>
        <w:t>and</w:t>
      </w:r>
      <w:r w:rsidR="00FF41A0">
        <w:rPr>
          <w:sz w:val="20"/>
          <w:szCs w:val="20"/>
        </w:rPr>
        <w:t xml:space="preserve"> </w:t>
      </w:r>
      <w:r w:rsidRPr="0059638B">
        <w:rPr>
          <w:sz w:val="20"/>
          <w:szCs w:val="20"/>
        </w:rPr>
        <w:t>paragraph</w:t>
      </w:r>
      <w:r w:rsidR="00FF41A0">
        <w:rPr>
          <w:sz w:val="20"/>
          <w:szCs w:val="20"/>
        </w:rPr>
        <w:t xml:space="preserve"> </w:t>
      </w:r>
      <w:r w:rsidRPr="0059638B">
        <w:rPr>
          <w:sz w:val="20"/>
          <w:szCs w:val="20"/>
        </w:rPr>
        <w:t>5</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annex</w:t>
      </w:r>
      <w:r w:rsidR="00FF41A0">
        <w:rPr>
          <w:sz w:val="20"/>
          <w:szCs w:val="20"/>
        </w:rPr>
        <w:t xml:space="preserve"> </w:t>
      </w:r>
      <w:r w:rsidRPr="0059638B">
        <w:rPr>
          <w:sz w:val="20"/>
          <w:szCs w:val="20"/>
        </w:rPr>
        <w:t>to</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resolution</w:t>
      </w:r>
      <w:r w:rsidR="00FF41A0">
        <w:rPr>
          <w:sz w:val="20"/>
          <w:szCs w:val="20"/>
        </w:rPr>
        <w:t xml:space="preserve"> </w:t>
      </w:r>
      <w:r w:rsidRPr="0059638B">
        <w:rPr>
          <w:sz w:val="20"/>
          <w:szCs w:val="20"/>
        </w:rPr>
        <w:t>16/21</w:t>
      </w:r>
      <w:r w:rsidR="00FF41A0">
        <w:rPr>
          <w:sz w:val="20"/>
          <w:szCs w:val="20"/>
        </w:rPr>
        <w:t xml:space="preserve"> </w:t>
      </w:r>
      <w:r w:rsidRPr="0059638B">
        <w:rPr>
          <w:sz w:val="20"/>
          <w:szCs w:val="20"/>
        </w:rPr>
        <w:t>(A/HRC/WG.6/31/MCO/3).</w:t>
      </w:r>
    </w:p>
    <w:p w14:paraId="6ED557DB" w14:textId="3E0A42CC" w:rsidR="00323457" w:rsidRPr="0059638B" w:rsidRDefault="00972F1E" w:rsidP="00323457">
      <w:pPr>
        <w:pStyle w:val="SingleTxtG"/>
        <w:rPr>
          <w:sz w:val="20"/>
          <w:szCs w:val="20"/>
        </w:rPr>
      </w:pPr>
      <w:r>
        <w:rPr>
          <w:sz w:val="20"/>
          <w:szCs w:val="20"/>
        </w:rPr>
        <w:t>715</w:t>
      </w:r>
      <w:r w:rsidR="00D7475F">
        <w:rPr>
          <w:sz w:val="20"/>
          <w:szCs w:val="20"/>
        </w:rPr>
        <w:t>.</w:t>
      </w:r>
      <w:r w:rsidR="00D7475F">
        <w:rPr>
          <w:sz w:val="20"/>
          <w:szCs w:val="20"/>
        </w:rPr>
        <w:tab/>
      </w:r>
      <w:r w:rsidR="00323457" w:rsidRPr="0059638B">
        <w:rPr>
          <w:sz w:val="20"/>
          <w:szCs w:val="20"/>
        </w:rPr>
        <w:t>At</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37th</w:t>
      </w:r>
      <w:r w:rsidR="00FF41A0">
        <w:rPr>
          <w:sz w:val="20"/>
          <w:szCs w:val="20"/>
        </w:rPr>
        <w:t xml:space="preserve"> </w:t>
      </w:r>
      <w:r w:rsidR="00323457" w:rsidRPr="0059638B">
        <w:rPr>
          <w:sz w:val="20"/>
          <w:szCs w:val="20"/>
        </w:rPr>
        <w:t>meeting,</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14</w:t>
      </w:r>
      <w:r w:rsidR="00FF41A0">
        <w:rPr>
          <w:sz w:val="20"/>
          <w:szCs w:val="20"/>
        </w:rPr>
        <w:t xml:space="preserve"> </w:t>
      </w:r>
      <w:r w:rsidR="00323457" w:rsidRPr="0059638B">
        <w:rPr>
          <w:sz w:val="20"/>
          <w:szCs w:val="20"/>
        </w:rPr>
        <w:t>March</w:t>
      </w:r>
      <w:r w:rsidR="00FF41A0">
        <w:rPr>
          <w:sz w:val="20"/>
          <w:szCs w:val="20"/>
        </w:rPr>
        <w:t xml:space="preserve"> </w:t>
      </w:r>
      <w:r w:rsidR="00323457" w:rsidRPr="0059638B">
        <w:rPr>
          <w:sz w:val="20"/>
          <w:szCs w:val="20"/>
        </w:rPr>
        <w:t>2019,</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Council</w:t>
      </w:r>
      <w:r w:rsidR="00FF41A0">
        <w:rPr>
          <w:sz w:val="20"/>
          <w:szCs w:val="20"/>
        </w:rPr>
        <w:t xml:space="preserve"> </w:t>
      </w:r>
      <w:r w:rsidR="00323457" w:rsidRPr="0059638B">
        <w:rPr>
          <w:sz w:val="20"/>
          <w:szCs w:val="20"/>
        </w:rPr>
        <w:t>considered</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adopted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outcome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Monaco</w:t>
      </w:r>
      <w:r w:rsidR="00FF41A0">
        <w:rPr>
          <w:sz w:val="20"/>
          <w:szCs w:val="20"/>
        </w:rPr>
        <w:t xml:space="preserve"> </w:t>
      </w:r>
      <w:r w:rsidR="00323457" w:rsidRPr="0059638B">
        <w:rPr>
          <w:sz w:val="20"/>
          <w:szCs w:val="20"/>
        </w:rPr>
        <w:t>(see</w:t>
      </w:r>
      <w:r w:rsidR="00FF41A0">
        <w:rPr>
          <w:sz w:val="20"/>
          <w:szCs w:val="20"/>
        </w:rPr>
        <w:t xml:space="preserve"> </w:t>
      </w:r>
      <w:r w:rsidR="00323457" w:rsidRPr="0059638B">
        <w:rPr>
          <w:sz w:val="20"/>
          <w:szCs w:val="20"/>
        </w:rPr>
        <w:t>sect.</w:t>
      </w:r>
      <w:r w:rsidR="00FF41A0">
        <w:rPr>
          <w:sz w:val="20"/>
          <w:szCs w:val="20"/>
        </w:rPr>
        <w:t xml:space="preserve"> </w:t>
      </w:r>
      <w:r w:rsidR="00323457" w:rsidRPr="0059638B">
        <w:rPr>
          <w:sz w:val="20"/>
          <w:szCs w:val="20"/>
        </w:rPr>
        <w:t>C</w:t>
      </w:r>
      <w:r w:rsidR="00FF41A0">
        <w:rPr>
          <w:sz w:val="20"/>
          <w:szCs w:val="20"/>
        </w:rPr>
        <w:t xml:space="preserve"> </w:t>
      </w:r>
      <w:r w:rsidR="00323457" w:rsidRPr="0059638B">
        <w:rPr>
          <w:sz w:val="20"/>
          <w:szCs w:val="20"/>
        </w:rPr>
        <w:t>below).</w:t>
      </w:r>
    </w:p>
    <w:p w14:paraId="09986AF7" w14:textId="3BB50085" w:rsidR="00323457" w:rsidRPr="0059638B" w:rsidRDefault="00972F1E" w:rsidP="00323457">
      <w:pPr>
        <w:pStyle w:val="SingleTxtG"/>
        <w:rPr>
          <w:color w:val="FF0000"/>
          <w:sz w:val="20"/>
          <w:szCs w:val="20"/>
        </w:rPr>
      </w:pPr>
      <w:r>
        <w:rPr>
          <w:sz w:val="20"/>
          <w:szCs w:val="20"/>
        </w:rPr>
        <w:t>716</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outcome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Monaco</w:t>
      </w:r>
      <w:r w:rsidR="00FF41A0">
        <w:rPr>
          <w:sz w:val="20"/>
          <w:szCs w:val="20"/>
        </w:rPr>
        <w:t xml:space="preserve"> </w:t>
      </w:r>
      <w:r w:rsidR="00323457" w:rsidRPr="0059638B">
        <w:rPr>
          <w:sz w:val="20"/>
          <w:szCs w:val="20"/>
        </w:rPr>
        <w:t>comprises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report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Working</w:t>
      </w:r>
      <w:r w:rsidR="00FF41A0">
        <w:rPr>
          <w:sz w:val="20"/>
          <w:szCs w:val="20"/>
        </w:rPr>
        <w:t xml:space="preserve"> </w:t>
      </w:r>
      <w:r w:rsidR="00323457" w:rsidRPr="0059638B">
        <w:rPr>
          <w:sz w:val="20"/>
          <w:szCs w:val="20"/>
        </w:rPr>
        <w:t>Group</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(A/HRC/40/13</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A/HRC/40/13/Corr.1)</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views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Monaco</w:t>
      </w:r>
      <w:r w:rsidR="00FF41A0">
        <w:rPr>
          <w:sz w:val="20"/>
          <w:szCs w:val="20"/>
        </w:rPr>
        <w:t xml:space="preserve"> </w:t>
      </w:r>
      <w:r w:rsidR="00323457" w:rsidRPr="0059638B">
        <w:rPr>
          <w:sz w:val="20"/>
          <w:szCs w:val="20"/>
        </w:rPr>
        <w:t>concerning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and/or</w:t>
      </w:r>
      <w:r w:rsidR="00FF41A0">
        <w:rPr>
          <w:sz w:val="20"/>
          <w:szCs w:val="20"/>
        </w:rPr>
        <w:t xml:space="preserve"> </w:t>
      </w:r>
      <w:r w:rsidR="00323457" w:rsidRPr="0059638B">
        <w:rPr>
          <w:sz w:val="20"/>
          <w:szCs w:val="20"/>
        </w:rPr>
        <w:t>conclusions,</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well</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voluntary</w:t>
      </w:r>
      <w:r w:rsidR="00FF41A0">
        <w:rPr>
          <w:sz w:val="20"/>
          <w:szCs w:val="20"/>
        </w:rPr>
        <w:t xml:space="preserve"> </w:t>
      </w:r>
      <w:r w:rsidR="00323457" w:rsidRPr="0059638B">
        <w:rPr>
          <w:sz w:val="20"/>
          <w:szCs w:val="20"/>
        </w:rPr>
        <w:t>commitments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replies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questions</w:t>
      </w:r>
      <w:r w:rsidR="00FF41A0">
        <w:rPr>
          <w:sz w:val="20"/>
          <w:szCs w:val="20"/>
        </w:rPr>
        <w:t xml:space="preserve"> </w:t>
      </w:r>
      <w:r w:rsidR="00323457" w:rsidRPr="0059638B">
        <w:rPr>
          <w:sz w:val="20"/>
          <w:szCs w:val="20"/>
        </w:rPr>
        <w:t>or</w:t>
      </w:r>
      <w:r w:rsidR="00FF41A0">
        <w:rPr>
          <w:sz w:val="20"/>
          <w:szCs w:val="20"/>
        </w:rPr>
        <w:t xml:space="preserve"> </w:t>
      </w:r>
      <w:r w:rsidR="00323457" w:rsidRPr="0059638B">
        <w:rPr>
          <w:sz w:val="20"/>
          <w:szCs w:val="20"/>
        </w:rPr>
        <w:t>issues</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not</w:t>
      </w:r>
      <w:r w:rsidR="00FF41A0">
        <w:rPr>
          <w:sz w:val="20"/>
          <w:szCs w:val="20"/>
        </w:rPr>
        <w:t xml:space="preserve"> </w:t>
      </w:r>
      <w:r w:rsidR="00323457" w:rsidRPr="0059638B">
        <w:rPr>
          <w:sz w:val="20"/>
          <w:szCs w:val="20"/>
        </w:rPr>
        <w:t>sufficiently</w:t>
      </w:r>
      <w:r w:rsidR="00FF41A0">
        <w:rPr>
          <w:sz w:val="20"/>
          <w:szCs w:val="20"/>
        </w:rPr>
        <w:t xml:space="preserve"> </w:t>
      </w:r>
      <w:r w:rsidR="00323457" w:rsidRPr="0059638B">
        <w:rPr>
          <w:sz w:val="20"/>
          <w:szCs w:val="20"/>
        </w:rPr>
        <w:t>addressed</w:t>
      </w:r>
      <w:r w:rsidR="00FF41A0">
        <w:rPr>
          <w:sz w:val="20"/>
          <w:szCs w:val="20"/>
        </w:rPr>
        <w:t xml:space="preserve"> </w:t>
      </w:r>
      <w:r w:rsidR="00323457" w:rsidRPr="0059638B">
        <w:rPr>
          <w:sz w:val="20"/>
          <w:szCs w:val="20"/>
        </w:rPr>
        <w:t>during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interactive</w:t>
      </w:r>
      <w:r w:rsidR="00FF41A0">
        <w:rPr>
          <w:sz w:val="20"/>
          <w:szCs w:val="20"/>
        </w:rPr>
        <w:t xml:space="preserve"> </w:t>
      </w:r>
      <w:r w:rsidR="00323457" w:rsidRPr="0059638B">
        <w:rPr>
          <w:sz w:val="20"/>
          <w:szCs w:val="20"/>
        </w:rPr>
        <w:t>dialogue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Working</w:t>
      </w:r>
      <w:r w:rsidR="00FF41A0">
        <w:rPr>
          <w:sz w:val="20"/>
          <w:szCs w:val="20"/>
        </w:rPr>
        <w:t xml:space="preserve"> </w:t>
      </w:r>
      <w:r w:rsidR="00323457" w:rsidRPr="0059638B">
        <w:rPr>
          <w:sz w:val="20"/>
          <w:szCs w:val="20"/>
        </w:rPr>
        <w:t>Group,</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presented</w:t>
      </w:r>
      <w:r w:rsidR="00FF41A0">
        <w:rPr>
          <w:sz w:val="20"/>
          <w:szCs w:val="20"/>
        </w:rPr>
        <w:t xml:space="preserve"> </w:t>
      </w:r>
      <w:r w:rsidR="00323457" w:rsidRPr="0059638B">
        <w:rPr>
          <w:sz w:val="20"/>
          <w:szCs w:val="20"/>
        </w:rPr>
        <w:t>before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adoption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outcome</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plenary</w:t>
      </w:r>
      <w:r w:rsidR="00FF41A0">
        <w:rPr>
          <w:sz w:val="20"/>
          <w:szCs w:val="20"/>
        </w:rPr>
        <w:t xml:space="preserve"> </w:t>
      </w:r>
      <w:r w:rsidR="00323457" w:rsidRPr="0059638B">
        <w:rPr>
          <w:sz w:val="20"/>
          <w:szCs w:val="20"/>
        </w:rPr>
        <w:t>(see</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A/HRC/40/13/Add.1).</w:t>
      </w:r>
    </w:p>
    <w:p w14:paraId="374C49B1" w14:textId="354F6BC3" w:rsidR="00323457" w:rsidRPr="0059638B" w:rsidRDefault="00323457" w:rsidP="00323457">
      <w:pPr>
        <w:pStyle w:val="H23G"/>
        <w:rPr>
          <w:sz w:val="20"/>
          <w:szCs w:val="20"/>
        </w:rPr>
      </w:pPr>
      <w:r w:rsidRPr="0059638B">
        <w:rPr>
          <w:sz w:val="20"/>
          <w:szCs w:val="20"/>
        </w:rPr>
        <w:lastRenderedPageBreak/>
        <w:tab/>
        <w:t>1.</w:t>
      </w:r>
      <w:r w:rsidRPr="0059638B">
        <w:rPr>
          <w:sz w:val="20"/>
          <w:szCs w:val="20"/>
        </w:rPr>
        <w:tab/>
        <w:t>Views</w:t>
      </w:r>
      <w:r w:rsidR="00FF41A0">
        <w:rPr>
          <w:sz w:val="20"/>
          <w:szCs w:val="20"/>
        </w:rPr>
        <w:t xml:space="preserve"> </w:t>
      </w:r>
      <w:r w:rsidRPr="0059638B">
        <w:rPr>
          <w:sz w:val="20"/>
          <w:szCs w:val="20"/>
        </w:rPr>
        <w:t>expressed</w:t>
      </w:r>
      <w:r w:rsidR="00FF41A0">
        <w:rPr>
          <w:sz w:val="20"/>
          <w:szCs w:val="20"/>
        </w:rPr>
        <w:t xml:space="preserve"> </w:t>
      </w:r>
      <w:r w:rsidRPr="0059638B">
        <w:rPr>
          <w:sz w:val="20"/>
          <w:szCs w:val="20"/>
        </w:rPr>
        <w:t>by</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State</w:t>
      </w:r>
      <w:r w:rsidR="00FF41A0">
        <w:rPr>
          <w:sz w:val="20"/>
          <w:szCs w:val="20"/>
        </w:rPr>
        <w:t xml:space="preserve"> </w:t>
      </w:r>
      <w:r w:rsidRPr="0059638B">
        <w:rPr>
          <w:sz w:val="20"/>
          <w:szCs w:val="20"/>
        </w:rPr>
        <w:t>under</w:t>
      </w:r>
      <w:r w:rsidR="00FF41A0">
        <w:rPr>
          <w:sz w:val="20"/>
          <w:szCs w:val="20"/>
        </w:rPr>
        <w:t xml:space="preserve"> </w:t>
      </w:r>
      <w:r w:rsidRPr="0059638B">
        <w:rPr>
          <w:sz w:val="20"/>
          <w:szCs w:val="20"/>
        </w:rPr>
        <w:t>review</w:t>
      </w:r>
      <w:r w:rsidR="00FF41A0">
        <w:rPr>
          <w:sz w:val="20"/>
          <w:szCs w:val="20"/>
        </w:rPr>
        <w:t xml:space="preserve"> </w:t>
      </w:r>
      <w:r w:rsidRPr="0059638B">
        <w:rPr>
          <w:sz w:val="20"/>
          <w:szCs w:val="20"/>
        </w:rPr>
        <w:t>on</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recommendations</w:t>
      </w:r>
      <w:r w:rsidR="00FF41A0">
        <w:rPr>
          <w:sz w:val="20"/>
          <w:szCs w:val="20"/>
        </w:rPr>
        <w:t xml:space="preserve"> </w:t>
      </w:r>
      <w:r w:rsidRPr="0059638B">
        <w:rPr>
          <w:sz w:val="20"/>
          <w:szCs w:val="20"/>
        </w:rPr>
        <w:t>and/or</w:t>
      </w:r>
      <w:r w:rsidR="00FF41A0">
        <w:rPr>
          <w:sz w:val="20"/>
          <w:szCs w:val="20"/>
        </w:rPr>
        <w:t xml:space="preserve"> </w:t>
      </w:r>
      <w:r w:rsidRPr="0059638B">
        <w:rPr>
          <w:sz w:val="20"/>
          <w:szCs w:val="20"/>
        </w:rPr>
        <w:t>conclusions,</w:t>
      </w:r>
      <w:r w:rsidR="00FF41A0">
        <w:rPr>
          <w:sz w:val="20"/>
          <w:szCs w:val="20"/>
        </w:rPr>
        <w:t xml:space="preserve"> </w:t>
      </w:r>
      <w:r w:rsidRPr="0059638B">
        <w:rPr>
          <w:sz w:val="20"/>
          <w:szCs w:val="20"/>
        </w:rPr>
        <w:t>its</w:t>
      </w:r>
      <w:r w:rsidR="00FF41A0">
        <w:rPr>
          <w:sz w:val="20"/>
          <w:szCs w:val="20"/>
        </w:rPr>
        <w:t xml:space="preserve"> </w:t>
      </w:r>
      <w:r w:rsidRPr="0059638B">
        <w:rPr>
          <w:sz w:val="20"/>
          <w:szCs w:val="20"/>
        </w:rPr>
        <w:t>voluntary</w:t>
      </w:r>
      <w:r w:rsidR="00FF41A0">
        <w:rPr>
          <w:sz w:val="20"/>
          <w:szCs w:val="20"/>
        </w:rPr>
        <w:t xml:space="preserve"> </w:t>
      </w:r>
      <w:r w:rsidRPr="0059638B">
        <w:rPr>
          <w:sz w:val="20"/>
          <w:szCs w:val="20"/>
        </w:rPr>
        <w:t>commitments</w:t>
      </w:r>
      <w:r w:rsidR="00FF41A0">
        <w:rPr>
          <w:sz w:val="20"/>
          <w:szCs w:val="20"/>
        </w:rPr>
        <w:t xml:space="preserve"> </w:t>
      </w:r>
      <w:r w:rsidRPr="0059638B">
        <w:rPr>
          <w:sz w:val="20"/>
          <w:szCs w:val="20"/>
        </w:rPr>
        <w:t>and</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outcome</w:t>
      </w:r>
      <w:r w:rsidRPr="0059638B">
        <w:rPr>
          <w:sz w:val="20"/>
          <w:szCs w:val="20"/>
        </w:rPr>
        <w:tab/>
      </w:r>
    </w:p>
    <w:p w14:paraId="04B3DB7A" w14:textId="67039549" w:rsidR="00323457" w:rsidRPr="0059638B" w:rsidRDefault="00972F1E" w:rsidP="00323457">
      <w:pPr>
        <w:pStyle w:val="SingleTxtG"/>
        <w:rPr>
          <w:sz w:val="20"/>
          <w:szCs w:val="20"/>
        </w:rPr>
      </w:pPr>
      <w:r>
        <w:rPr>
          <w:sz w:val="20"/>
          <w:szCs w:val="20"/>
          <w:lang w:val="en"/>
        </w:rPr>
        <w:t>717</w:t>
      </w:r>
      <w:r w:rsidR="00D7475F">
        <w:rPr>
          <w:sz w:val="20"/>
          <w:szCs w:val="20"/>
          <w:lang w:val="en"/>
        </w:rPr>
        <w:t>.</w:t>
      </w:r>
      <w:r w:rsidR="00D7475F">
        <w:rPr>
          <w:sz w:val="20"/>
          <w:szCs w:val="20"/>
          <w:lang w:val="en"/>
        </w:rPr>
        <w:tab/>
      </w:r>
      <w:r w:rsidR="00D1034B">
        <w:rPr>
          <w:sz w:val="20"/>
          <w:szCs w:val="20"/>
          <w:lang w:val="en"/>
        </w:rPr>
        <w:t>The head of the delegation,</w:t>
      </w:r>
      <w:r w:rsidR="00FF41A0">
        <w:rPr>
          <w:sz w:val="20"/>
          <w:szCs w:val="20"/>
          <w:lang w:val="en"/>
        </w:rPr>
        <w:t xml:space="preserve"> </w:t>
      </w:r>
      <w:r w:rsidR="00323457" w:rsidRPr="0059638B">
        <w:rPr>
          <w:sz w:val="20"/>
          <w:szCs w:val="20"/>
          <w:lang w:val="en"/>
        </w:rPr>
        <w:t>Ambassador</w:t>
      </w:r>
      <w:r w:rsidR="00FF41A0">
        <w:rPr>
          <w:sz w:val="20"/>
          <w:szCs w:val="20"/>
          <w:lang w:val="en"/>
        </w:rPr>
        <w:t xml:space="preserve"> </w:t>
      </w:r>
      <w:r w:rsidR="00323457" w:rsidRPr="0059638B">
        <w:rPr>
          <w:sz w:val="20"/>
          <w:szCs w:val="20"/>
          <w:lang w:val="en"/>
        </w:rPr>
        <w:t>Extraordinary</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Plenipotentiary,</w:t>
      </w:r>
      <w:r w:rsidR="00FF41A0">
        <w:rPr>
          <w:sz w:val="20"/>
          <w:szCs w:val="20"/>
          <w:lang w:val="en"/>
        </w:rPr>
        <w:t xml:space="preserve"> </w:t>
      </w:r>
      <w:r w:rsidR="00323457" w:rsidRPr="0059638B">
        <w:rPr>
          <w:sz w:val="20"/>
          <w:szCs w:val="20"/>
          <w:lang w:val="en"/>
        </w:rPr>
        <w:t>Permanent</w:t>
      </w:r>
      <w:r w:rsidR="00FF41A0">
        <w:rPr>
          <w:sz w:val="20"/>
          <w:szCs w:val="20"/>
          <w:lang w:val="en"/>
        </w:rPr>
        <w:t xml:space="preserve"> </w:t>
      </w:r>
      <w:r w:rsidR="00323457" w:rsidRPr="0059638B">
        <w:rPr>
          <w:sz w:val="20"/>
          <w:szCs w:val="20"/>
          <w:lang w:val="en"/>
        </w:rPr>
        <w:t>Representative</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Principality</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Monaco</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United</w:t>
      </w:r>
      <w:r w:rsidR="00FF41A0">
        <w:rPr>
          <w:sz w:val="20"/>
          <w:szCs w:val="20"/>
          <w:lang w:val="en"/>
        </w:rPr>
        <w:t xml:space="preserve"> </w:t>
      </w:r>
      <w:r w:rsidR="00323457" w:rsidRPr="0059638B">
        <w:rPr>
          <w:sz w:val="20"/>
          <w:szCs w:val="20"/>
          <w:lang w:val="en"/>
        </w:rPr>
        <w:t>Nations</w:t>
      </w:r>
      <w:r w:rsidR="00FF41A0">
        <w:rPr>
          <w:sz w:val="20"/>
          <w:szCs w:val="20"/>
          <w:lang w:val="en"/>
        </w:rPr>
        <w:t xml:space="preserve"> </w:t>
      </w:r>
      <w:r w:rsidR="00323457" w:rsidRPr="0059638B">
        <w:rPr>
          <w:sz w:val="20"/>
          <w:szCs w:val="20"/>
          <w:lang w:val="en"/>
        </w:rPr>
        <w:t>Office</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other</w:t>
      </w:r>
      <w:r w:rsidR="00FF41A0">
        <w:rPr>
          <w:sz w:val="20"/>
          <w:szCs w:val="20"/>
          <w:lang w:val="en"/>
        </w:rPr>
        <w:t xml:space="preserve"> </w:t>
      </w:r>
      <w:r w:rsidR="00323457" w:rsidRPr="0059638B">
        <w:rPr>
          <w:sz w:val="20"/>
          <w:szCs w:val="20"/>
          <w:lang w:val="en"/>
        </w:rPr>
        <w:t>international</w:t>
      </w:r>
      <w:r w:rsidR="00FF41A0">
        <w:rPr>
          <w:sz w:val="20"/>
          <w:szCs w:val="20"/>
          <w:lang w:val="en"/>
        </w:rPr>
        <w:t xml:space="preserve"> </w:t>
      </w:r>
      <w:r w:rsidR="00323457" w:rsidRPr="0059638B">
        <w:rPr>
          <w:sz w:val="20"/>
          <w:szCs w:val="20"/>
          <w:lang w:val="en"/>
        </w:rPr>
        <w:t>organizations</w:t>
      </w:r>
      <w:r w:rsidR="00FF41A0">
        <w:rPr>
          <w:sz w:val="20"/>
          <w:szCs w:val="20"/>
          <w:lang w:val="en"/>
        </w:rPr>
        <w:t xml:space="preserve"> </w:t>
      </w:r>
      <w:r w:rsidR="00323457" w:rsidRPr="0059638B">
        <w:rPr>
          <w:sz w:val="20"/>
          <w:szCs w:val="20"/>
          <w:lang w:val="en"/>
        </w:rPr>
        <w:t>in</w:t>
      </w:r>
      <w:r w:rsidR="00FF41A0">
        <w:rPr>
          <w:sz w:val="20"/>
          <w:szCs w:val="20"/>
          <w:lang w:val="en"/>
        </w:rPr>
        <w:t xml:space="preserve"> </w:t>
      </w:r>
      <w:r w:rsidR="00323457" w:rsidRPr="0059638B">
        <w:rPr>
          <w:sz w:val="20"/>
          <w:szCs w:val="20"/>
          <w:lang w:val="en"/>
        </w:rPr>
        <w:t>Switzerland</w:t>
      </w:r>
      <w:r w:rsidR="00D1034B">
        <w:rPr>
          <w:sz w:val="20"/>
          <w:szCs w:val="20"/>
          <w:lang w:val="en"/>
        </w:rPr>
        <w:t>,</w:t>
      </w:r>
      <w:r w:rsidR="00FF41A0">
        <w:rPr>
          <w:sz w:val="20"/>
          <w:szCs w:val="20"/>
        </w:rPr>
        <w:t xml:space="preserve"> </w:t>
      </w:r>
      <w:r w:rsidR="00D1034B" w:rsidRPr="0059638B">
        <w:rPr>
          <w:sz w:val="20"/>
          <w:szCs w:val="20"/>
          <w:lang w:val="en"/>
        </w:rPr>
        <w:t>Carole</w:t>
      </w:r>
      <w:r w:rsidR="00D1034B">
        <w:rPr>
          <w:sz w:val="20"/>
          <w:szCs w:val="20"/>
          <w:lang w:val="en"/>
        </w:rPr>
        <w:t xml:space="preserve"> </w:t>
      </w:r>
      <w:r w:rsidR="00D1034B" w:rsidRPr="0059638B">
        <w:rPr>
          <w:sz w:val="20"/>
          <w:szCs w:val="20"/>
          <w:lang w:val="en"/>
        </w:rPr>
        <w:t>Lanteri,</w:t>
      </w:r>
      <w:r w:rsidR="00D1034B">
        <w:rPr>
          <w:sz w:val="20"/>
          <w:szCs w:val="20"/>
          <w:lang w:val="en"/>
        </w:rPr>
        <w:t xml:space="preserve"> </w:t>
      </w:r>
      <w:r w:rsidR="00323457" w:rsidRPr="0059638B">
        <w:rPr>
          <w:sz w:val="20"/>
          <w:szCs w:val="20"/>
        </w:rPr>
        <w:t>introduced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position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Monaco</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received</w:t>
      </w:r>
      <w:r w:rsidR="00FF41A0">
        <w:rPr>
          <w:sz w:val="20"/>
          <w:szCs w:val="20"/>
        </w:rPr>
        <w:t xml:space="preserve"> </w:t>
      </w:r>
      <w:r w:rsidR="00323457" w:rsidRPr="0059638B">
        <w:rPr>
          <w:sz w:val="20"/>
          <w:szCs w:val="20"/>
        </w:rPr>
        <w:t>during</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third</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Council.</w:t>
      </w:r>
    </w:p>
    <w:p w14:paraId="02F79870" w14:textId="1218A2A7" w:rsidR="00323457" w:rsidRPr="0059638B" w:rsidRDefault="00972F1E" w:rsidP="00323457">
      <w:pPr>
        <w:pStyle w:val="SingleTxtG"/>
        <w:rPr>
          <w:sz w:val="20"/>
          <w:szCs w:val="20"/>
        </w:rPr>
      </w:pPr>
      <w:r>
        <w:rPr>
          <w:sz w:val="20"/>
          <w:szCs w:val="20"/>
        </w:rPr>
        <w:t>718</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delegation</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Monaco</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deeply</w:t>
      </w:r>
      <w:r w:rsidR="00FF41A0">
        <w:rPr>
          <w:sz w:val="20"/>
          <w:szCs w:val="20"/>
        </w:rPr>
        <w:t xml:space="preserve"> </w:t>
      </w:r>
      <w:r w:rsidR="00323457" w:rsidRPr="0059638B">
        <w:rPr>
          <w:sz w:val="20"/>
          <w:szCs w:val="20"/>
        </w:rPr>
        <w:t>attached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promotion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well</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allowed</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strengthen</w:t>
      </w:r>
      <w:r w:rsidR="00FF41A0">
        <w:rPr>
          <w:sz w:val="20"/>
          <w:szCs w:val="20"/>
        </w:rPr>
        <w:t xml:space="preserve"> </w:t>
      </w:r>
      <w:r w:rsidR="00323457" w:rsidRPr="0059638B">
        <w:rPr>
          <w:sz w:val="20"/>
          <w:szCs w:val="20"/>
        </w:rPr>
        <w:t>these</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therefore</w:t>
      </w:r>
      <w:r w:rsidR="00FF41A0">
        <w:rPr>
          <w:sz w:val="20"/>
          <w:szCs w:val="20"/>
        </w:rPr>
        <w:t xml:space="preserve"> </w:t>
      </w:r>
      <w:r w:rsidR="00323457" w:rsidRPr="0059638B">
        <w:rPr>
          <w:sz w:val="20"/>
          <w:szCs w:val="20"/>
        </w:rPr>
        <w:t>sought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provide</w:t>
      </w:r>
      <w:r w:rsidR="00FF41A0">
        <w:rPr>
          <w:sz w:val="20"/>
          <w:szCs w:val="20"/>
        </w:rPr>
        <w:t xml:space="preserve"> </w:t>
      </w:r>
      <w:r w:rsidR="00323457" w:rsidRPr="0059638B">
        <w:rPr>
          <w:sz w:val="20"/>
          <w:szCs w:val="20"/>
        </w:rPr>
        <w:t>detailed</w:t>
      </w:r>
      <w:r w:rsidR="00FF41A0">
        <w:rPr>
          <w:sz w:val="20"/>
          <w:szCs w:val="20"/>
        </w:rPr>
        <w:t xml:space="preserve"> </w:t>
      </w:r>
      <w:r w:rsidR="00323457" w:rsidRPr="0059638B">
        <w:rPr>
          <w:sz w:val="20"/>
          <w:szCs w:val="20"/>
        </w:rPr>
        <w:t>replies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addendum,</w:t>
      </w:r>
      <w:r w:rsidR="00FF41A0">
        <w:rPr>
          <w:sz w:val="20"/>
          <w:szCs w:val="20"/>
        </w:rPr>
        <w:t xml:space="preserve"> </w:t>
      </w:r>
      <w:r w:rsidR="00323457" w:rsidRPr="0059638B">
        <w:rPr>
          <w:sz w:val="20"/>
          <w:szCs w:val="20"/>
        </w:rPr>
        <w:t>presented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Council</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February</w:t>
      </w:r>
      <w:r w:rsidR="00FF41A0">
        <w:rPr>
          <w:sz w:val="20"/>
          <w:szCs w:val="20"/>
        </w:rPr>
        <w:t xml:space="preserve"> </w:t>
      </w:r>
      <w:r w:rsidR="00323457" w:rsidRPr="0059638B">
        <w:rPr>
          <w:sz w:val="20"/>
          <w:szCs w:val="20"/>
        </w:rPr>
        <w:t>2019,</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number</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received.</w:t>
      </w:r>
      <w:r w:rsidR="00FF41A0">
        <w:rPr>
          <w:sz w:val="20"/>
          <w:szCs w:val="20"/>
        </w:rPr>
        <w:t xml:space="preserve"> </w:t>
      </w:r>
      <w:r w:rsidR="00323457" w:rsidRPr="0059638B">
        <w:rPr>
          <w:sz w:val="20"/>
          <w:szCs w:val="20"/>
        </w:rPr>
        <w:t>Monaco</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aimed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carry</w:t>
      </w:r>
      <w:r w:rsidR="00FF41A0">
        <w:rPr>
          <w:sz w:val="20"/>
          <w:szCs w:val="20"/>
        </w:rPr>
        <w:t xml:space="preserve"> </w:t>
      </w:r>
      <w:r w:rsidR="00323457" w:rsidRPr="0059638B">
        <w:rPr>
          <w:sz w:val="20"/>
          <w:szCs w:val="20"/>
        </w:rPr>
        <w:t>out</w:t>
      </w:r>
      <w:r w:rsidR="00FF41A0">
        <w:rPr>
          <w:sz w:val="20"/>
          <w:szCs w:val="20"/>
        </w:rPr>
        <w:t xml:space="preserve"> </w:t>
      </w:r>
      <w:r w:rsidR="00323457" w:rsidRPr="0059638B">
        <w:rPr>
          <w:sz w:val="20"/>
          <w:szCs w:val="20"/>
        </w:rPr>
        <w:t>this</w:t>
      </w:r>
      <w:r w:rsidR="00FF41A0">
        <w:rPr>
          <w:sz w:val="20"/>
          <w:szCs w:val="20"/>
        </w:rPr>
        <w:t xml:space="preserve"> </w:t>
      </w:r>
      <w:r w:rsidR="00323457" w:rsidRPr="0059638B">
        <w:rPr>
          <w:sz w:val="20"/>
          <w:szCs w:val="20"/>
        </w:rPr>
        <w:t>exercise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collegial</w:t>
      </w:r>
      <w:r w:rsidR="00FF41A0">
        <w:rPr>
          <w:sz w:val="20"/>
          <w:szCs w:val="20"/>
        </w:rPr>
        <w:t xml:space="preserve"> </w:t>
      </w:r>
      <w:r w:rsidR="00323457" w:rsidRPr="0059638B">
        <w:rPr>
          <w:sz w:val="20"/>
          <w:szCs w:val="20"/>
        </w:rPr>
        <w:t>manner</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participation,</w:t>
      </w:r>
      <w:r w:rsidR="00FF41A0">
        <w:rPr>
          <w:sz w:val="20"/>
          <w:szCs w:val="20"/>
        </w:rPr>
        <w:t xml:space="preserve"> </w:t>
      </w:r>
      <w:r w:rsidR="00323457" w:rsidRPr="0059638B">
        <w:rPr>
          <w:sz w:val="20"/>
          <w:szCs w:val="20"/>
        </w:rPr>
        <w:t>during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November</w:t>
      </w:r>
      <w:r w:rsidR="00FF41A0">
        <w:rPr>
          <w:sz w:val="20"/>
          <w:szCs w:val="20"/>
        </w:rPr>
        <w:t xml:space="preserve"> </w:t>
      </w:r>
      <w:r w:rsidR="00323457" w:rsidRPr="0059638B">
        <w:rPr>
          <w:sz w:val="20"/>
          <w:szCs w:val="20"/>
        </w:rPr>
        <w:t>2018,</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Minister</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Foreign</w:t>
      </w:r>
      <w:r w:rsidR="00FF41A0">
        <w:rPr>
          <w:sz w:val="20"/>
          <w:szCs w:val="20"/>
        </w:rPr>
        <w:t xml:space="preserve"> </w:t>
      </w:r>
      <w:r w:rsidR="00323457" w:rsidRPr="0059638B">
        <w:rPr>
          <w:sz w:val="20"/>
          <w:szCs w:val="20"/>
        </w:rPr>
        <w:t>Affairs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Cooperation,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President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Commission</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Foreign</w:t>
      </w:r>
      <w:r w:rsidR="00FF41A0">
        <w:rPr>
          <w:sz w:val="20"/>
          <w:szCs w:val="20"/>
        </w:rPr>
        <w:t xml:space="preserve"> </w:t>
      </w:r>
      <w:r w:rsidR="00323457" w:rsidRPr="0059638B">
        <w:rPr>
          <w:sz w:val="20"/>
          <w:szCs w:val="20"/>
        </w:rPr>
        <w:t>Affairs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Council,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Director</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Judicial</w:t>
      </w:r>
      <w:r w:rsidR="00FF41A0">
        <w:rPr>
          <w:sz w:val="20"/>
          <w:szCs w:val="20"/>
        </w:rPr>
        <w:t xml:space="preserve"> </w:t>
      </w:r>
      <w:r w:rsidR="00323457" w:rsidRPr="0059638B">
        <w:rPr>
          <w:sz w:val="20"/>
          <w:szCs w:val="20"/>
        </w:rPr>
        <w:t>Services.</w:t>
      </w:r>
      <w:r w:rsidR="00FF41A0">
        <w:rPr>
          <w:sz w:val="20"/>
          <w:szCs w:val="20"/>
        </w:rPr>
        <w:t xml:space="preserve"> </w:t>
      </w:r>
      <w:r w:rsidR="00323457" w:rsidRPr="0059638B">
        <w:rPr>
          <w:sz w:val="20"/>
          <w:szCs w:val="20"/>
        </w:rPr>
        <w:t>Civil</w:t>
      </w:r>
      <w:r w:rsidR="00FF41A0">
        <w:rPr>
          <w:sz w:val="20"/>
          <w:szCs w:val="20"/>
        </w:rPr>
        <w:t xml:space="preserve"> </w:t>
      </w:r>
      <w:r w:rsidR="00323457" w:rsidRPr="0059638B">
        <w:rPr>
          <w:sz w:val="20"/>
          <w:szCs w:val="20"/>
        </w:rPr>
        <w:t>society</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evidently,</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consulted.</w:t>
      </w:r>
    </w:p>
    <w:p w14:paraId="6F9FAE3E" w14:textId="1F24E229" w:rsidR="00323457" w:rsidRPr="0059638B" w:rsidRDefault="00972F1E" w:rsidP="00323457">
      <w:pPr>
        <w:pStyle w:val="SingleTxtG"/>
        <w:rPr>
          <w:sz w:val="20"/>
          <w:szCs w:val="20"/>
        </w:rPr>
      </w:pPr>
      <w:r>
        <w:rPr>
          <w:sz w:val="20"/>
          <w:szCs w:val="20"/>
        </w:rPr>
        <w:t>719</w:t>
      </w:r>
      <w:r w:rsidR="00D7475F">
        <w:rPr>
          <w:sz w:val="20"/>
          <w:szCs w:val="20"/>
        </w:rPr>
        <w:t>.</w:t>
      </w:r>
      <w:r w:rsidR="00D7475F">
        <w:rPr>
          <w:sz w:val="20"/>
          <w:szCs w:val="20"/>
        </w:rPr>
        <w:tab/>
      </w:r>
      <w:r w:rsidR="00323457" w:rsidRPr="0059638B">
        <w:rPr>
          <w:sz w:val="20"/>
          <w:szCs w:val="20"/>
        </w:rPr>
        <w:t>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adoption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report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Working</w:t>
      </w:r>
      <w:r w:rsidR="00FF41A0">
        <w:rPr>
          <w:sz w:val="20"/>
          <w:szCs w:val="20"/>
        </w:rPr>
        <w:t xml:space="preserve"> </w:t>
      </w:r>
      <w:r w:rsidR="00323457" w:rsidRPr="0059638B">
        <w:rPr>
          <w:sz w:val="20"/>
          <w:szCs w:val="20"/>
        </w:rPr>
        <w:t>Group</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November</w:t>
      </w:r>
      <w:r w:rsidR="00FF41A0">
        <w:rPr>
          <w:sz w:val="20"/>
          <w:szCs w:val="20"/>
        </w:rPr>
        <w:t xml:space="preserve"> </w:t>
      </w:r>
      <w:r w:rsidR="00323457" w:rsidRPr="0059638B">
        <w:rPr>
          <w:sz w:val="20"/>
          <w:szCs w:val="20"/>
        </w:rPr>
        <w:t>2018,</w:t>
      </w:r>
      <w:r w:rsidR="00FF41A0">
        <w:rPr>
          <w:sz w:val="20"/>
          <w:szCs w:val="20"/>
        </w:rPr>
        <w:t xml:space="preserve"> </w:t>
      </w:r>
      <w:r w:rsidR="00323457" w:rsidRPr="0059638B">
        <w:rPr>
          <w:sz w:val="20"/>
          <w:szCs w:val="20"/>
        </w:rPr>
        <w:t>Monaco</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supported</w:t>
      </w:r>
      <w:r w:rsidR="00FF41A0">
        <w:rPr>
          <w:sz w:val="20"/>
          <w:szCs w:val="20"/>
        </w:rPr>
        <w:t xml:space="preserve"> </w:t>
      </w:r>
      <w:r w:rsidR="00323457" w:rsidRPr="0059638B">
        <w:rPr>
          <w:sz w:val="20"/>
          <w:szCs w:val="20"/>
        </w:rPr>
        <w:t>72</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113</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received,</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35</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deferred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position</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remaining</w:t>
      </w:r>
      <w:r w:rsidR="00FF41A0">
        <w:rPr>
          <w:sz w:val="20"/>
          <w:szCs w:val="20"/>
        </w:rPr>
        <w:t xml:space="preserve"> </w:t>
      </w:r>
      <w:r w:rsidR="00323457" w:rsidRPr="0059638B">
        <w:rPr>
          <w:sz w:val="20"/>
          <w:szCs w:val="20"/>
        </w:rPr>
        <w:t>six</w:t>
      </w:r>
      <w:r w:rsidR="00FF41A0">
        <w:rPr>
          <w:sz w:val="20"/>
          <w:szCs w:val="20"/>
        </w:rPr>
        <w:t xml:space="preserve"> </w:t>
      </w:r>
      <w:r w:rsidR="00323457" w:rsidRPr="0059638B">
        <w:rPr>
          <w:sz w:val="20"/>
          <w:szCs w:val="20"/>
        </w:rPr>
        <w:t>recommendations.</w:t>
      </w:r>
      <w:r w:rsidR="00D72627">
        <w:rPr>
          <w:sz w:val="20"/>
          <w:szCs w:val="20"/>
        </w:rPr>
        <w:t xml:space="preserve"> </w:t>
      </w:r>
    </w:p>
    <w:p w14:paraId="5BEC6B26" w14:textId="28622D6E" w:rsidR="00323457" w:rsidRPr="0059638B" w:rsidRDefault="00972F1E" w:rsidP="00323457">
      <w:pPr>
        <w:pStyle w:val="SingleTxtG"/>
        <w:rPr>
          <w:sz w:val="20"/>
          <w:szCs w:val="20"/>
        </w:rPr>
      </w:pPr>
      <w:r>
        <w:rPr>
          <w:sz w:val="20"/>
          <w:szCs w:val="20"/>
        </w:rPr>
        <w:t>720</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72</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fully</w:t>
      </w:r>
      <w:r w:rsidR="00FF41A0">
        <w:rPr>
          <w:sz w:val="20"/>
          <w:szCs w:val="20"/>
        </w:rPr>
        <w:t xml:space="preserve"> </w:t>
      </w:r>
      <w:r w:rsidR="00323457" w:rsidRPr="0059638B">
        <w:rPr>
          <w:sz w:val="20"/>
          <w:szCs w:val="20"/>
        </w:rPr>
        <w:t>supported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Monaco</w:t>
      </w:r>
      <w:r w:rsidR="00FF41A0">
        <w:rPr>
          <w:sz w:val="20"/>
          <w:szCs w:val="20"/>
        </w:rPr>
        <w:t xml:space="preserve"> </w:t>
      </w:r>
      <w:r w:rsidR="00323457" w:rsidRPr="0059638B">
        <w:rPr>
          <w:sz w:val="20"/>
          <w:szCs w:val="20"/>
        </w:rPr>
        <w:t>addressed</w:t>
      </w:r>
      <w:r w:rsidR="00FF41A0">
        <w:rPr>
          <w:sz w:val="20"/>
          <w:szCs w:val="20"/>
        </w:rPr>
        <w:t xml:space="preserve"> </w:t>
      </w:r>
      <w:r w:rsidR="00323457" w:rsidRPr="0059638B">
        <w:rPr>
          <w:sz w:val="20"/>
          <w:szCs w:val="20"/>
        </w:rPr>
        <w:t>measures</w:t>
      </w:r>
      <w:r w:rsidR="00FF41A0">
        <w:rPr>
          <w:sz w:val="20"/>
          <w:szCs w:val="20"/>
        </w:rPr>
        <w:t xml:space="preserve"> </w:t>
      </w:r>
      <w:r w:rsidR="00323457" w:rsidRPr="0059638B">
        <w:rPr>
          <w:sz w:val="20"/>
          <w:szCs w:val="20"/>
        </w:rPr>
        <w:t>already</w:t>
      </w:r>
      <w:r w:rsidR="00FF41A0">
        <w:rPr>
          <w:sz w:val="20"/>
          <w:szCs w:val="20"/>
        </w:rPr>
        <w:t xml:space="preserve"> </w:t>
      </w:r>
      <w:r w:rsidR="00323457" w:rsidRPr="0059638B">
        <w:rPr>
          <w:sz w:val="20"/>
          <w:szCs w:val="20"/>
        </w:rPr>
        <w:t>implemented</w:t>
      </w:r>
      <w:r w:rsidR="00FF41A0">
        <w:rPr>
          <w:sz w:val="20"/>
          <w:szCs w:val="20"/>
        </w:rPr>
        <w:t xml:space="preserve"> </w:t>
      </w:r>
      <w:r w:rsidR="00323457" w:rsidRPr="0059638B">
        <w:rPr>
          <w:sz w:val="20"/>
          <w:szCs w:val="20"/>
        </w:rPr>
        <w:t>or</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are</w:t>
      </w:r>
      <w:r w:rsidR="00FF41A0">
        <w:rPr>
          <w:sz w:val="20"/>
          <w:szCs w:val="20"/>
        </w:rPr>
        <w:t xml:space="preserve"> </w:t>
      </w:r>
      <w:r w:rsidR="00323457" w:rsidRPr="0059638B">
        <w:rPr>
          <w:sz w:val="20"/>
          <w:szCs w:val="20"/>
        </w:rPr>
        <w:t>being</w:t>
      </w:r>
      <w:r w:rsidR="00FF41A0">
        <w:rPr>
          <w:sz w:val="20"/>
          <w:szCs w:val="20"/>
        </w:rPr>
        <w:t xml:space="preserve"> </w:t>
      </w:r>
      <w:r w:rsidR="00323457" w:rsidRPr="0059638B">
        <w:rPr>
          <w:sz w:val="20"/>
          <w:szCs w:val="20"/>
        </w:rPr>
        <w:t>finalised.</w:t>
      </w:r>
      <w:r w:rsidR="00D72627">
        <w:rPr>
          <w:sz w:val="20"/>
          <w:szCs w:val="20"/>
        </w:rPr>
        <w:t xml:space="preserve"> </w:t>
      </w:r>
    </w:p>
    <w:p w14:paraId="17D76D7E" w14:textId="60406D57" w:rsidR="00323457" w:rsidRPr="0059638B" w:rsidRDefault="00972F1E" w:rsidP="00323457">
      <w:pPr>
        <w:pStyle w:val="SingleTxtG"/>
        <w:rPr>
          <w:sz w:val="20"/>
          <w:szCs w:val="20"/>
        </w:rPr>
      </w:pPr>
      <w:r>
        <w:rPr>
          <w:sz w:val="20"/>
          <w:szCs w:val="20"/>
        </w:rPr>
        <w:t>721</w:t>
      </w:r>
      <w:r w:rsidR="00D7475F">
        <w:rPr>
          <w:sz w:val="20"/>
          <w:szCs w:val="20"/>
        </w:rPr>
        <w:t>.</w:t>
      </w:r>
      <w:r w:rsidR="00D7475F">
        <w:rPr>
          <w:sz w:val="20"/>
          <w:szCs w:val="20"/>
        </w:rPr>
        <w:tab/>
      </w:r>
      <w:r w:rsidR="00323457" w:rsidRPr="0059638B">
        <w:rPr>
          <w:sz w:val="20"/>
          <w:szCs w:val="20"/>
        </w:rPr>
        <w:t>With</w:t>
      </w:r>
      <w:r w:rsidR="00FF41A0">
        <w:rPr>
          <w:sz w:val="20"/>
          <w:szCs w:val="20"/>
        </w:rPr>
        <w:t xml:space="preserve"> </w:t>
      </w:r>
      <w:r w:rsidR="00323457" w:rsidRPr="0059638B">
        <w:rPr>
          <w:sz w:val="20"/>
          <w:szCs w:val="20"/>
        </w:rPr>
        <w:t>regard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delegation</w:t>
      </w:r>
      <w:r w:rsidR="00FF41A0">
        <w:rPr>
          <w:sz w:val="20"/>
          <w:szCs w:val="20"/>
        </w:rPr>
        <w:t xml:space="preserve"> </w:t>
      </w:r>
      <w:r w:rsidR="00323457" w:rsidRPr="0059638B">
        <w:rPr>
          <w:sz w:val="20"/>
          <w:szCs w:val="20"/>
        </w:rPr>
        <w:t>highlighted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establishment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Committee</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Promotion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Women</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October</w:t>
      </w:r>
      <w:r w:rsidR="00FF41A0">
        <w:rPr>
          <w:sz w:val="20"/>
          <w:szCs w:val="20"/>
        </w:rPr>
        <w:t xml:space="preserve"> </w:t>
      </w:r>
      <w:r w:rsidR="00323457" w:rsidRPr="0059638B">
        <w:rPr>
          <w:sz w:val="20"/>
          <w:szCs w:val="20"/>
        </w:rPr>
        <w:t>2018,</w:t>
      </w:r>
      <w:r w:rsidR="00FF41A0">
        <w:rPr>
          <w:sz w:val="20"/>
          <w:szCs w:val="20"/>
        </w:rPr>
        <w:t xml:space="preserve"> </w:t>
      </w:r>
      <w:r w:rsidR="00323457" w:rsidRPr="0059638B">
        <w:rPr>
          <w:sz w:val="20"/>
          <w:szCs w:val="20"/>
        </w:rPr>
        <w:t>under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Minister</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State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chaired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Minister</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Foreign</w:t>
      </w:r>
      <w:r w:rsidR="00FF41A0">
        <w:rPr>
          <w:sz w:val="20"/>
          <w:szCs w:val="20"/>
        </w:rPr>
        <w:t xml:space="preserve"> </w:t>
      </w:r>
      <w:r w:rsidR="00323457" w:rsidRPr="0059638B">
        <w:rPr>
          <w:sz w:val="20"/>
          <w:szCs w:val="20"/>
        </w:rPr>
        <w:t>Affairs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Cooperation.</w:t>
      </w:r>
      <w:r w:rsidR="00FF41A0">
        <w:rPr>
          <w:sz w:val="20"/>
          <w:szCs w:val="20"/>
        </w:rPr>
        <w:t xml:space="preserve"> </w:t>
      </w:r>
      <w:r w:rsidR="00323457" w:rsidRPr="0059638B">
        <w:rPr>
          <w:sz w:val="20"/>
          <w:szCs w:val="20"/>
        </w:rPr>
        <w:t>This</w:t>
      </w:r>
      <w:r w:rsidR="00FF41A0">
        <w:rPr>
          <w:sz w:val="20"/>
          <w:szCs w:val="20"/>
        </w:rPr>
        <w:t xml:space="preserve"> </w:t>
      </w:r>
      <w:r w:rsidR="00323457" w:rsidRPr="0059638B">
        <w:rPr>
          <w:sz w:val="20"/>
          <w:szCs w:val="20"/>
        </w:rPr>
        <w:t>Committee</w:t>
      </w:r>
      <w:r w:rsidR="00FF41A0">
        <w:rPr>
          <w:sz w:val="20"/>
          <w:szCs w:val="20"/>
        </w:rPr>
        <w:t xml:space="preserve"> </w:t>
      </w:r>
      <w:r w:rsidR="00323457" w:rsidRPr="0059638B">
        <w:rPr>
          <w:sz w:val="20"/>
          <w:szCs w:val="20"/>
        </w:rPr>
        <w:t>included</w:t>
      </w:r>
      <w:r w:rsidR="00FF41A0">
        <w:rPr>
          <w:sz w:val="20"/>
          <w:szCs w:val="20"/>
        </w:rPr>
        <w:t xml:space="preserve"> </w:t>
      </w:r>
      <w:r w:rsidR="00323457" w:rsidRPr="0059638B">
        <w:rPr>
          <w:sz w:val="20"/>
          <w:szCs w:val="20"/>
        </w:rPr>
        <w:t>representatives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relevant</w:t>
      </w:r>
      <w:r w:rsidR="00FF41A0">
        <w:rPr>
          <w:sz w:val="20"/>
          <w:szCs w:val="20"/>
        </w:rPr>
        <w:t xml:space="preserve"> </w:t>
      </w:r>
      <w:r w:rsidR="00323457" w:rsidRPr="0059638B">
        <w:rPr>
          <w:sz w:val="20"/>
          <w:szCs w:val="20"/>
        </w:rPr>
        <w:t>Departments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Administrative</w:t>
      </w:r>
      <w:r w:rsidR="00FF41A0">
        <w:rPr>
          <w:sz w:val="20"/>
          <w:szCs w:val="20"/>
        </w:rPr>
        <w:t xml:space="preserve"> </w:t>
      </w:r>
      <w:r w:rsidR="00323457" w:rsidRPr="0059638B">
        <w:rPr>
          <w:sz w:val="20"/>
          <w:szCs w:val="20"/>
        </w:rPr>
        <w:t>services,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Director</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Judicial</w:t>
      </w:r>
      <w:r w:rsidR="00FF41A0">
        <w:rPr>
          <w:sz w:val="20"/>
          <w:szCs w:val="20"/>
        </w:rPr>
        <w:t xml:space="preserve"> </w:t>
      </w:r>
      <w:r w:rsidR="00323457" w:rsidRPr="0059638B">
        <w:rPr>
          <w:sz w:val="20"/>
          <w:szCs w:val="20"/>
        </w:rPr>
        <w:t>Services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involved,</w:t>
      </w:r>
      <w:r w:rsidR="00FF41A0">
        <w:rPr>
          <w:sz w:val="20"/>
          <w:szCs w:val="20"/>
        </w:rPr>
        <w:t xml:space="preserve"> </w:t>
      </w:r>
      <w:r w:rsidR="00323457" w:rsidRPr="0059638B">
        <w:rPr>
          <w:sz w:val="20"/>
          <w:szCs w:val="20"/>
        </w:rPr>
        <w:t>among</w:t>
      </w:r>
      <w:r w:rsidR="00FF41A0">
        <w:rPr>
          <w:sz w:val="20"/>
          <w:szCs w:val="20"/>
        </w:rPr>
        <w:t xml:space="preserve"> </w:t>
      </w:r>
      <w:r w:rsidR="00323457" w:rsidRPr="0059638B">
        <w:rPr>
          <w:sz w:val="20"/>
          <w:szCs w:val="20"/>
        </w:rPr>
        <w:t>others,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Office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High</w:t>
      </w:r>
      <w:r w:rsidR="00FF41A0">
        <w:rPr>
          <w:sz w:val="20"/>
          <w:szCs w:val="20"/>
        </w:rPr>
        <w:t xml:space="preserve"> </w:t>
      </w:r>
      <w:r w:rsidR="00323457" w:rsidRPr="0059638B">
        <w:rPr>
          <w:sz w:val="20"/>
          <w:szCs w:val="20"/>
        </w:rPr>
        <w:t>Commissioner</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Liberties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Mediation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representatives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associations</w:t>
      </w:r>
      <w:r w:rsidR="00FF41A0">
        <w:rPr>
          <w:sz w:val="20"/>
          <w:szCs w:val="20"/>
        </w:rPr>
        <w:t xml:space="preserve"> </w:t>
      </w:r>
      <w:r w:rsidR="00323457" w:rsidRPr="0059638B">
        <w:rPr>
          <w:sz w:val="20"/>
          <w:szCs w:val="20"/>
        </w:rPr>
        <w:t>working</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issue.</w:t>
      </w:r>
    </w:p>
    <w:p w14:paraId="3E9048B3" w14:textId="28FC15D4" w:rsidR="00323457" w:rsidRPr="0059638B" w:rsidRDefault="00972F1E" w:rsidP="00323457">
      <w:pPr>
        <w:pStyle w:val="SingleTxtG"/>
        <w:rPr>
          <w:rStyle w:val="tlid-translation"/>
          <w:sz w:val="20"/>
          <w:szCs w:val="20"/>
          <w:lang w:val="en"/>
        </w:rPr>
      </w:pPr>
      <w:r>
        <w:rPr>
          <w:sz w:val="20"/>
          <w:szCs w:val="20"/>
        </w:rPr>
        <w:t>722</w:t>
      </w:r>
      <w:r w:rsidR="00D7475F">
        <w:rPr>
          <w:sz w:val="20"/>
          <w:szCs w:val="20"/>
        </w:rPr>
        <w:t>.</w:t>
      </w:r>
      <w:r w:rsidR="00D7475F">
        <w:rPr>
          <w:sz w:val="20"/>
          <w:szCs w:val="20"/>
        </w:rPr>
        <w:tab/>
      </w:r>
      <w:r w:rsidR="00323457" w:rsidRPr="0059638B">
        <w:rPr>
          <w:sz w:val="20"/>
          <w:szCs w:val="20"/>
        </w:rPr>
        <w:t>Concerning</w:t>
      </w:r>
      <w:r w:rsidR="00FF41A0">
        <w:rPr>
          <w:sz w:val="20"/>
          <w:szCs w:val="20"/>
        </w:rPr>
        <w:t xml:space="preserve"> </w:t>
      </w:r>
      <w:r w:rsidR="00323457" w:rsidRPr="0059638B">
        <w:rPr>
          <w:sz w:val="20"/>
          <w:szCs w:val="20"/>
        </w:rPr>
        <w:t>children</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delegation</w:t>
      </w:r>
      <w:r w:rsidR="00FF41A0">
        <w:rPr>
          <w:sz w:val="20"/>
          <w:szCs w:val="20"/>
        </w:rPr>
        <w:t xml:space="preserve"> </w:t>
      </w:r>
      <w:r w:rsidR="00323457" w:rsidRPr="0059638B">
        <w:rPr>
          <w:sz w:val="20"/>
          <w:szCs w:val="20"/>
        </w:rPr>
        <w:t>recalled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equal</w:t>
      </w:r>
      <w:r w:rsidR="00FF41A0">
        <w:rPr>
          <w:sz w:val="20"/>
          <w:szCs w:val="20"/>
        </w:rPr>
        <w:t xml:space="preserve"> </w:t>
      </w:r>
      <w:r w:rsidR="00323457" w:rsidRPr="0059638B">
        <w:rPr>
          <w:sz w:val="20"/>
          <w:szCs w:val="20"/>
        </w:rPr>
        <w:t>access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education</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guaranteed</w:t>
      </w:r>
      <w:r w:rsidR="00FF41A0">
        <w:rPr>
          <w:sz w:val="20"/>
          <w:szCs w:val="20"/>
        </w:rPr>
        <w:t xml:space="preserve"> </w:t>
      </w:r>
      <w:r w:rsidR="00323457" w:rsidRPr="0059638B">
        <w:rPr>
          <w:sz w:val="20"/>
          <w:szCs w:val="20"/>
        </w:rPr>
        <w:t>under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Act</w:t>
      </w:r>
      <w:r w:rsidR="00FF41A0">
        <w:rPr>
          <w:sz w:val="20"/>
          <w:szCs w:val="20"/>
        </w:rPr>
        <w:t xml:space="preserve"> </w:t>
      </w:r>
      <w:r w:rsidR="00323457" w:rsidRPr="0059638B">
        <w:rPr>
          <w:sz w:val="20"/>
          <w:szCs w:val="20"/>
        </w:rPr>
        <w:t>No.</w:t>
      </w:r>
      <w:r w:rsidR="00FF41A0">
        <w:rPr>
          <w:sz w:val="20"/>
          <w:szCs w:val="20"/>
        </w:rPr>
        <w:t xml:space="preserve"> </w:t>
      </w:r>
      <w:r w:rsidR="00323457" w:rsidRPr="0059638B">
        <w:rPr>
          <w:sz w:val="20"/>
          <w:szCs w:val="20"/>
        </w:rPr>
        <w:t>1.334</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12</w:t>
      </w:r>
      <w:r w:rsidR="00FF41A0">
        <w:rPr>
          <w:sz w:val="20"/>
          <w:szCs w:val="20"/>
        </w:rPr>
        <w:t xml:space="preserve"> </w:t>
      </w:r>
      <w:r w:rsidR="00323457" w:rsidRPr="0059638B">
        <w:rPr>
          <w:sz w:val="20"/>
          <w:szCs w:val="20"/>
        </w:rPr>
        <w:t>July</w:t>
      </w:r>
      <w:r w:rsidR="00FF41A0">
        <w:rPr>
          <w:sz w:val="20"/>
          <w:szCs w:val="20"/>
        </w:rPr>
        <w:t xml:space="preserve"> </w:t>
      </w:r>
      <w:r w:rsidR="00323457" w:rsidRPr="0059638B">
        <w:rPr>
          <w:sz w:val="20"/>
          <w:szCs w:val="20"/>
        </w:rPr>
        <w:t>2007.</w:t>
      </w:r>
      <w:r w:rsidR="00FF41A0">
        <w:rPr>
          <w:sz w:val="20"/>
          <w:szCs w:val="20"/>
        </w:rPr>
        <w:t xml:space="preserve"> </w:t>
      </w:r>
      <w:r w:rsidR="00323457" w:rsidRPr="0059638B">
        <w:rPr>
          <w:sz w:val="20"/>
          <w:szCs w:val="20"/>
        </w:rPr>
        <w:t>Equal</w:t>
      </w:r>
      <w:r w:rsidR="00FF41A0">
        <w:rPr>
          <w:rStyle w:val="tlid-translation"/>
          <w:sz w:val="20"/>
          <w:szCs w:val="20"/>
          <w:lang w:val="en"/>
        </w:rPr>
        <w:t xml:space="preserve"> </w:t>
      </w:r>
      <w:r w:rsidR="00323457" w:rsidRPr="0059638B">
        <w:rPr>
          <w:rStyle w:val="tlid-translation"/>
          <w:sz w:val="20"/>
          <w:szCs w:val="20"/>
          <w:lang w:val="en"/>
        </w:rPr>
        <w:t>access</w:t>
      </w:r>
      <w:r w:rsidR="00FF41A0">
        <w:rPr>
          <w:rStyle w:val="tlid-translation"/>
          <w:sz w:val="20"/>
          <w:szCs w:val="20"/>
          <w:lang w:val="en"/>
        </w:rPr>
        <w:t xml:space="preserve"> </w:t>
      </w:r>
      <w:r w:rsidR="00323457" w:rsidRPr="0059638B">
        <w:rPr>
          <w:rStyle w:val="tlid-translation"/>
          <w:sz w:val="20"/>
          <w:szCs w:val="20"/>
          <w:lang w:val="en"/>
        </w:rPr>
        <w:t>to</w:t>
      </w:r>
      <w:r w:rsidR="00FF41A0">
        <w:rPr>
          <w:rStyle w:val="tlid-translation"/>
          <w:sz w:val="20"/>
          <w:szCs w:val="20"/>
          <w:lang w:val="en"/>
        </w:rPr>
        <w:t xml:space="preserve"> </w:t>
      </w:r>
      <w:r w:rsidR="00323457" w:rsidRPr="0059638B">
        <w:rPr>
          <w:rStyle w:val="tlid-translation"/>
          <w:sz w:val="20"/>
          <w:szCs w:val="20"/>
          <w:lang w:val="en"/>
        </w:rPr>
        <w:t>health</w:t>
      </w:r>
      <w:r w:rsidR="00FF41A0">
        <w:rPr>
          <w:rStyle w:val="tlid-translation"/>
          <w:sz w:val="20"/>
          <w:szCs w:val="20"/>
          <w:lang w:val="en"/>
        </w:rPr>
        <w:t xml:space="preserve"> </w:t>
      </w:r>
      <w:r w:rsidR="00323457" w:rsidRPr="0059638B">
        <w:rPr>
          <w:rStyle w:val="tlid-translation"/>
          <w:sz w:val="20"/>
          <w:szCs w:val="20"/>
          <w:lang w:val="en"/>
        </w:rPr>
        <w:t>care</w:t>
      </w:r>
      <w:r w:rsidR="00FF41A0">
        <w:rPr>
          <w:rStyle w:val="tlid-translation"/>
          <w:sz w:val="20"/>
          <w:szCs w:val="20"/>
          <w:lang w:val="en"/>
        </w:rPr>
        <w:t xml:space="preserve"> </w:t>
      </w:r>
      <w:r w:rsidR="00323457" w:rsidRPr="0059638B">
        <w:rPr>
          <w:rStyle w:val="tlid-translation"/>
          <w:sz w:val="20"/>
          <w:szCs w:val="20"/>
          <w:lang w:val="en"/>
        </w:rPr>
        <w:t>was</w:t>
      </w:r>
      <w:r w:rsidR="00FF41A0">
        <w:rPr>
          <w:rStyle w:val="tlid-translation"/>
          <w:sz w:val="20"/>
          <w:szCs w:val="20"/>
          <w:lang w:val="en"/>
        </w:rPr>
        <w:t xml:space="preserve"> </w:t>
      </w:r>
      <w:r w:rsidR="00323457" w:rsidRPr="0059638B">
        <w:rPr>
          <w:rStyle w:val="tlid-translation"/>
          <w:sz w:val="20"/>
          <w:szCs w:val="20"/>
          <w:lang w:val="en"/>
        </w:rPr>
        <w:t>also</w:t>
      </w:r>
      <w:r w:rsidR="00FF41A0">
        <w:rPr>
          <w:rStyle w:val="tlid-translation"/>
          <w:sz w:val="20"/>
          <w:szCs w:val="20"/>
          <w:lang w:val="en"/>
        </w:rPr>
        <w:t xml:space="preserve"> </w:t>
      </w:r>
      <w:r w:rsidR="00323457" w:rsidRPr="0059638B">
        <w:rPr>
          <w:rStyle w:val="tlid-translation"/>
          <w:sz w:val="20"/>
          <w:szCs w:val="20"/>
          <w:lang w:val="en"/>
        </w:rPr>
        <w:t>ensured</w:t>
      </w:r>
      <w:r w:rsidR="00FF41A0">
        <w:rPr>
          <w:rStyle w:val="tlid-translation"/>
          <w:sz w:val="20"/>
          <w:szCs w:val="20"/>
          <w:lang w:val="en"/>
        </w:rPr>
        <w:t xml:space="preserve"> </w:t>
      </w:r>
      <w:r w:rsidR="00323457" w:rsidRPr="0059638B">
        <w:rPr>
          <w:rStyle w:val="tlid-translation"/>
          <w:sz w:val="20"/>
          <w:szCs w:val="20"/>
          <w:lang w:val="en"/>
        </w:rPr>
        <w:t>for</w:t>
      </w:r>
      <w:r w:rsidR="00FF41A0">
        <w:rPr>
          <w:rStyle w:val="tlid-translation"/>
          <w:sz w:val="20"/>
          <w:szCs w:val="20"/>
          <w:lang w:val="en"/>
        </w:rPr>
        <w:t xml:space="preserve"> </w:t>
      </w:r>
      <w:r w:rsidR="00323457" w:rsidRPr="0059638B">
        <w:rPr>
          <w:rStyle w:val="tlid-translation"/>
          <w:sz w:val="20"/>
          <w:szCs w:val="20"/>
          <w:lang w:val="en"/>
        </w:rPr>
        <w:t>all</w:t>
      </w:r>
      <w:r w:rsidR="00FF41A0">
        <w:rPr>
          <w:rStyle w:val="tlid-translation"/>
          <w:sz w:val="20"/>
          <w:szCs w:val="20"/>
          <w:lang w:val="en"/>
        </w:rPr>
        <w:t xml:space="preserve"> </w:t>
      </w:r>
      <w:r w:rsidR="00323457" w:rsidRPr="0059638B">
        <w:rPr>
          <w:rStyle w:val="tlid-translation"/>
          <w:sz w:val="20"/>
          <w:szCs w:val="20"/>
          <w:lang w:val="en"/>
        </w:rPr>
        <w:t>children</w:t>
      </w:r>
      <w:r w:rsidR="00FF41A0">
        <w:rPr>
          <w:rStyle w:val="tlid-translation"/>
          <w:sz w:val="20"/>
          <w:szCs w:val="20"/>
          <w:lang w:val="en"/>
        </w:rPr>
        <w:t xml:space="preserve"> </w:t>
      </w:r>
      <w:r w:rsidR="00323457" w:rsidRPr="0059638B">
        <w:rPr>
          <w:rStyle w:val="tlid-translation"/>
          <w:sz w:val="20"/>
          <w:szCs w:val="20"/>
          <w:lang w:val="en"/>
        </w:rPr>
        <w:t>residing</w:t>
      </w:r>
      <w:r w:rsidR="00FF41A0">
        <w:rPr>
          <w:rStyle w:val="tlid-translation"/>
          <w:sz w:val="20"/>
          <w:szCs w:val="20"/>
          <w:lang w:val="en"/>
        </w:rPr>
        <w:t xml:space="preserve"> </w:t>
      </w:r>
      <w:r w:rsidR="00323457" w:rsidRPr="0059638B">
        <w:rPr>
          <w:rStyle w:val="tlid-translation"/>
          <w:sz w:val="20"/>
          <w:szCs w:val="20"/>
          <w:lang w:val="en"/>
        </w:rPr>
        <w:t>in</w:t>
      </w:r>
      <w:r w:rsidR="00FF41A0">
        <w:rPr>
          <w:rStyle w:val="tlid-translation"/>
          <w:sz w:val="20"/>
          <w:szCs w:val="20"/>
          <w:lang w:val="en"/>
        </w:rPr>
        <w:t xml:space="preserve"> </w:t>
      </w:r>
      <w:r w:rsidR="00323457" w:rsidRPr="0059638B">
        <w:rPr>
          <w:rStyle w:val="tlid-translation"/>
          <w:sz w:val="20"/>
          <w:szCs w:val="20"/>
          <w:lang w:val="en"/>
        </w:rPr>
        <w:t>Monaco</w:t>
      </w:r>
      <w:r w:rsidR="00FF41A0">
        <w:rPr>
          <w:rStyle w:val="tlid-translation"/>
          <w:sz w:val="20"/>
          <w:szCs w:val="20"/>
          <w:lang w:val="en"/>
        </w:rPr>
        <w:t xml:space="preserve"> </w:t>
      </w:r>
      <w:r w:rsidR="00323457" w:rsidRPr="0059638B">
        <w:rPr>
          <w:rStyle w:val="tlid-translation"/>
          <w:sz w:val="20"/>
          <w:szCs w:val="20"/>
          <w:lang w:val="en"/>
        </w:rPr>
        <w:t>or</w:t>
      </w:r>
      <w:r w:rsidR="00FF41A0">
        <w:rPr>
          <w:rStyle w:val="tlid-translation"/>
          <w:sz w:val="20"/>
          <w:szCs w:val="20"/>
          <w:lang w:val="en"/>
        </w:rPr>
        <w:t xml:space="preserve"> </w:t>
      </w:r>
      <w:r w:rsidR="00323457" w:rsidRPr="0059638B">
        <w:rPr>
          <w:rStyle w:val="tlid-translation"/>
          <w:sz w:val="20"/>
          <w:szCs w:val="20"/>
          <w:lang w:val="en"/>
        </w:rPr>
        <w:t>who</w:t>
      </w:r>
      <w:r w:rsidR="00FF41A0">
        <w:rPr>
          <w:rStyle w:val="tlid-translation"/>
          <w:sz w:val="20"/>
          <w:szCs w:val="20"/>
          <w:lang w:val="en"/>
        </w:rPr>
        <w:t xml:space="preserve"> </w:t>
      </w:r>
      <w:r w:rsidR="00323457" w:rsidRPr="0059638B">
        <w:rPr>
          <w:rStyle w:val="tlid-translation"/>
          <w:sz w:val="20"/>
          <w:szCs w:val="20"/>
          <w:lang w:val="en"/>
        </w:rPr>
        <w:t>had</w:t>
      </w:r>
      <w:r w:rsidR="00FF41A0">
        <w:rPr>
          <w:rStyle w:val="tlid-translation"/>
          <w:sz w:val="20"/>
          <w:szCs w:val="20"/>
          <w:lang w:val="en"/>
        </w:rPr>
        <w:t xml:space="preserve"> </w:t>
      </w:r>
      <w:r w:rsidR="00323457" w:rsidRPr="0059638B">
        <w:rPr>
          <w:rStyle w:val="tlid-translation"/>
          <w:sz w:val="20"/>
          <w:szCs w:val="20"/>
          <w:lang w:val="en"/>
        </w:rPr>
        <w:t>one</w:t>
      </w:r>
      <w:r w:rsidR="00FF41A0">
        <w:rPr>
          <w:rStyle w:val="tlid-translation"/>
          <w:sz w:val="20"/>
          <w:szCs w:val="20"/>
          <w:lang w:val="en"/>
        </w:rPr>
        <w:t xml:space="preserve"> </w:t>
      </w:r>
      <w:r w:rsidR="00323457" w:rsidRPr="0059638B">
        <w:rPr>
          <w:rStyle w:val="tlid-translation"/>
          <w:sz w:val="20"/>
          <w:szCs w:val="20"/>
          <w:lang w:val="en"/>
        </w:rPr>
        <w:t>parent</w:t>
      </w:r>
      <w:r w:rsidR="00FF41A0">
        <w:rPr>
          <w:rStyle w:val="tlid-translation"/>
          <w:sz w:val="20"/>
          <w:szCs w:val="20"/>
          <w:lang w:val="en"/>
        </w:rPr>
        <w:t xml:space="preserve"> </w:t>
      </w:r>
      <w:r w:rsidR="00323457" w:rsidRPr="0059638B">
        <w:rPr>
          <w:rStyle w:val="tlid-translation"/>
          <w:sz w:val="20"/>
          <w:szCs w:val="20"/>
          <w:lang w:val="en"/>
        </w:rPr>
        <w:t>working</w:t>
      </w:r>
      <w:r w:rsidR="00FF41A0">
        <w:rPr>
          <w:rStyle w:val="tlid-translation"/>
          <w:sz w:val="20"/>
          <w:szCs w:val="20"/>
          <w:lang w:val="en"/>
        </w:rPr>
        <w:t xml:space="preserve"> </w:t>
      </w:r>
      <w:r w:rsidR="00323457" w:rsidRPr="0059638B">
        <w:rPr>
          <w:rStyle w:val="tlid-translation"/>
          <w:sz w:val="20"/>
          <w:szCs w:val="20"/>
          <w:lang w:val="en"/>
        </w:rPr>
        <w:t>in</w:t>
      </w:r>
      <w:r w:rsidR="00FF41A0">
        <w:rPr>
          <w:rStyle w:val="tlid-translation"/>
          <w:sz w:val="20"/>
          <w:szCs w:val="20"/>
          <w:lang w:val="en"/>
        </w:rPr>
        <w:t xml:space="preserve"> </w:t>
      </w:r>
      <w:r w:rsidR="00323457" w:rsidRPr="0059638B">
        <w:rPr>
          <w:rStyle w:val="tlid-translation"/>
          <w:sz w:val="20"/>
          <w:szCs w:val="20"/>
          <w:lang w:val="en"/>
        </w:rPr>
        <w:t>the</w:t>
      </w:r>
      <w:r w:rsidR="00FF41A0">
        <w:rPr>
          <w:rStyle w:val="tlid-translation"/>
          <w:sz w:val="20"/>
          <w:szCs w:val="20"/>
          <w:lang w:val="en"/>
        </w:rPr>
        <w:t xml:space="preserve"> </w:t>
      </w:r>
      <w:r w:rsidR="00323457" w:rsidRPr="0059638B">
        <w:rPr>
          <w:rStyle w:val="tlid-translation"/>
          <w:sz w:val="20"/>
          <w:szCs w:val="20"/>
          <w:lang w:val="en"/>
        </w:rPr>
        <w:t>Principality,</w:t>
      </w:r>
      <w:r w:rsidR="00FF41A0">
        <w:rPr>
          <w:rStyle w:val="tlid-translation"/>
          <w:sz w:val="20"/>
          <w:szCs w:val="20"/>
          <w:lang w:val="en"/>
        </w:rPr>
        <w:t xml:space="preserve"> </w:t>
      </w:r>
      <w:r w:rsidR="00323457" w:rsidRPr="0059638B">
        <w:rPr>
          <w:rStyle w:val="tlid-translation"/>
          <w:sz w:val="20"/>
          <w:szCs w:val="20"/>
          <w:lang w:val="en"/>
        </w:rPr>
        <w:t>whatever</w:t>
      </w:r>
      <w:r w:rsidR="00FF41A0">
        <w:rPr>
          <w:rStyle w:val="tlid-translation"/>
          <w:sz w:val="20"/>
          <w:szCs w:val="20"/>
          <w:lang w:val="en"/>
        </w:rPr>
        <w:t xml:space="preserve"> </w:t>
      </w:r>
      <w:r w:rsidR="00323457" w:rsidRPr="0059638B">
        <w:rPr>
          <w:rStyle w:val="tlid-translation"/>
          <w:sz w:val="20"/>
          <w:szCs w:val="20"/>
          <w:lang w:val="en"/>
        </w:rPr>
        <w:t>their</w:t>
      </w:r>
      <w:r w:rsidR="00FF41A0">
        <w:rPr>
          <w:rStyle w:val="tlid-translation"/>
          <w:sz w:val="20"/>
          <w:szCs w:val="20"/>
          <w:lang w:val="en"/>
        </w:rPr>
        <w:t xml:space="preserve"> </w:t>
      </w:r>
      <w:r w:rsidR="00323457" w:rsidRPr="0059638B">
        <w:rPr>
          <w:rStyle w:val="tlid-translation"/>
          <w:sz w:val="20"/>
          <w:szCs w:val="20"/>
          <w:lang w:val="en"/>
        </w:rPr>
        <w:t>nationality</w:t>
      </w:r>
      <w:r w:rsidR="00FF41A0">
        <w:rPr>
          <w:rStyle w:val="tlid-translation"/>
          <w:sz w:val="20"/>
          <w:szCs w:val="20"/>
          <w:lang w:val="en"/>
        </w:rPr>
        <w:t xml:space="preserve"> </w:t>
      </w:r>
      <w:r w:rsidR="00323457" w:rsidRPr="0059638B">
        <w:rPr>
          <w:rStyle w:val="tlid-translation"/>
          <w:sz w:val="20"/>
          <w:szCs w:val="20"/>
          <w:lang w:val="en"/>
        </w:rPr>
        <w:t>and</w:t>
      </w:r>
      <w:r w:rsidR="00FF41A0">
        <w:rPr>
          <w:rStyle w:val="tlid-translation"/>
          <w:sz w:val="20"/>
          <w:szCs w:val="20"/>
          <w:lang w:val="en"/>
        </w:rPr>
        <w:t xml:space="preserve"> </w:t>
      </w:r>
      <w:r w:rsidR="00323457" w:rsidRPr="0059638B">
        <w:rPr>
          <w:rStyle w:val="tlid-translation"/>
          <w:sz w:val="20"/>
          <w:szCs w:val="20"/>
          <w:lang w:val="en"/>
        </w:rPr>
        <w:t>without</w:t>
      </w:r>
      <w:r w:rsidR="00FF41A0">
        <w:rPr>
          <w:rStyle w:val="tlid-translation"/>
          <w:sz w:val="20"/>
          <w:szCs w:val="20"/>
          <w:lang w:val="en"/>
        </w:rPr>
        <w:t xml:space="preserve"> </w:t>
      </w:r>
      <w:r w:rsidR="00323457" w:rsidRPr="0059638B">
        <w:rPr>
          <w:rStyle w:val="tlid-translation"/>
          <w:sz w:val="20"/>
          <w:szCs w:val="20"/>
          <w:lang w:val="en"/>
        </w:rPr>
        <w:t>any</w:t>
      </w:r>
      <w:r w:rsidR="00FF41A0">
        <w:rPr>
          <w:rStyle w:val="tlid-translation"/>
          <w:sz w:val="20"/>
          <w:szCs w:val="20"/>
          <w:lang w:val="en"/>
        </w:rPr>
        <w:t xml:space="preserve"> </w:t>
      </w:r>
      <w:r w:rsidR="00323457" w:rsidRPr="0059638B">
        <w:rPr>
          <w:rStyle w:val="tlid-translation"/>
          <w:sz w:val="20"/>
          <w:szCs w:val="20"/>
          <w:lang w:val="en"/>
        </w:rPr>
        <w:t>distinction</w:t>
      </w:r>
      <w:r w:rsidR="00FF41A0">
        <w:rPr>
          <w:rStyle w:val="tlid-translation"/>
          <w:sz w:val="20"/>
          <w:szCs w:val="20"/>
          <w:lang w:val="en"/>
        </w:rPr>
        <w:t xml:space="preserve"> </w:t>
      </w:r>
      <w:r w:rsidR="00323457" w:rsidRPr="0059638B">
        <w:rPr>
          <w:rStyle w:val="tlid-translation"/>
          <w:sz w:val="20"/>
          <w:szCs w:val="20"/>
          <w:lang w:val="en"/>
        </w:rPr>
        <w:t>of</w:t>
      </w:r>
      <w:r w:rsidR="00FF41A0">
        <w:rPr>
          <w:rStyle w:val="tlid-translation"/>
          <w:sz w:val="20"/>
          <w:szCs w:val="20"/>
          <w:lang w:val="en"/>
        </w:rPr>
        <w:t xml:space="preserve"> </w:t>
      </w:r>
      <w:r w:rsidR="00323457" w:rsidRPr="0059638B">
        <w:rPr>
          <w:rStyle w:val="tlid-translation"/>
          <w:sz w:val="20"/>
          <w:szCs w:val="20"/>
          <w:lang w:val="en"/>
        </w:rPr>
        <w:t>gender</w:t>
      </w:r>
      <w:r w:rsidR="00FF41A0">
        <w:rPr>
          <w:rStyle w:val="tlid-translation"/>
          <w:sz w:val="20"/>
          <w:szCs w:val="20"/>
          <w:lang w:val="en"/>
        </w:rPr>
        <w:t xml:space="preserve"> </w:t>
      </w:r>
      <w:r w:rsidR="00323457" w:rsidRPr="0059638B">
        <w:rPr>
          <w:rStyle w:val="tlid-translation"/>
          <w:sz w:val="20"/>
          <w:szCs w:val="20"/>
          <w:lang w:val="en"/>
        </w:rPr>
        <w:t>or</w:t>
      </w:r>
      <w:r w:rsidR="00FF41A0">
        <w:rPr>
          <w:rStyle w:val="tlid-translation"/>
          <w:sz w:val="20"/>
          <w:szCs w:val="20"/>
          <w:lang w:val="en"/>
        </w:rPr>
        <w:t xml:space="preserve"> </w:t>
      </w:r>
      <w:r w:rsidR="00323457" w:rsidRPr="0059638B">
        <w:rPr>
          <w:rStyle w:val="tlid-translation"/>
          <w:sz w:val="20"/>
          <w:szCs w:val="20"/>
          <w:lang w:val="en"/>
        </w:rPr>
        <w:t>age.</w:t>
      </w:r>
    </w:p>
    <w:p w14:paraId="4041D145" w14:textId="5E7B6579" w:rsidR="00323457" w:rsidRPr="0059638B" w:rsidRDefault="00972F1E" w:rsidP="00323457">
      <w:pPr>
        <w:pStyle w:val="SingleTxtG"/>
        <w:rPr>
          <w:sz w:val="20"/>
          <w:szCs w:val="20"/>
        </w:rPr>
      </w:pPr>
      <w:r>
        <w:rPr>
          <w:rStyle w:val="tlid-translation"/>
          <w:sz w:val="20"/>
          <w:szCs w:val="20"/>
          <w:lang w:val="en"/>
        </w:rPr>
        <w:t>723</w:t>
      </w:r>
      <w:r w:rsidR="00D7475F">
        <w:rPr>
          <w:rStyle w:val="tlid-translation"/>
          <w:sz w:val="20"/>
          <w:szCs w:val="20"/>
          <w:lang w:val="en"/>
        </w:rPr>
        <w:t>.</w:t>
      </w:r>
      <w:r w:rsidR="00D7475F">
        <w:rPr>
          <w:rStyle w:val="tlid-translation"/>
          <w:sz w:val="20"/>
          <w:szCs w:val="20"/>
          <w:lang w:val="en"/>
        </w:rPr>
        <w:tab/>
      </w:r>
      <w:r w:rsidR="00323457" w:rsidRPr="0059638B">
        <w:rPr>
          <w:rStyle w:val="tlid-translation"/>
          <w:sz w:val="20"/>
          <w:szCs w:val="20"/>
          <w:lang w:val="en"/>
        </w:rPr>
        <w:t>Policies</w:t>
      </w:r>
      <w:r w:rsidR="00FF41A0">
        <w:rPr>
          <w:rStyle w:val="tlid-translation"/>
          <w:sz w:val="20"/>
          <w:szCs w:val="20"/>
          <w:lang w:val="en"/>
        </w:rPr>
        <w:t xml:space="preserve"> </w:t>
      </w:r>
      <w:r w:rsidR="00323457" w:rsidRPr="0059638B">
        <w:rPr>
          <w:rStyle w:val="tlid-translation"/>
          <w:sz w:val="20"/>
          <w:szCs w:val="20"/>
          <w:lang w:val="en"/>
        </w:rPr>
        <w:t>intended</w:t>
      </w:r>
      <w:r w:rsidR="00FF41A0">
        <w:rPr>
          <w:rStyle w:val="tlid-translation"/>
          <w:sz w:val="20"/>
          <w:szCs w:val="20"/>
          <w:lang w:val="en"/>
        </w:rPr>
        <w:t xml:space="preserve"> </w:t>
      </w:r>
      <w:r w:rsidR="00323457" w:rsidRPr="0059638B">
        <w:rPr>
          <w:rStyle w:val="tlid-translation"/>
          <w:sz w:val="20"/>
          <w:szCs w:val="20"/>
          <w:lang w:val="en"/>
        </w:rPr>
        <w:t>for</w:t>
      </w:r>
      <w:r w:rsidR="00FF41A0">
        <w:rPr>
          <w:rStyle w:val="tlid-translation"/>
          <w:sz w:val="20"/>
          <w:szCs w:val="20"/>
          <w:lang w:val="en"/>
        </w:rPr>
        <w:t xml:space="preserve"> </w:t>
      </w:r>
      <w:r w:rsidR="00323457" w:rsidRPr="0059638B">
        <w:rPr>
          <w:rStyle w:val="tlid-translation"/>
          <w:sz w:val="20"/>
          <w:szCs w:val="20"/>
          <w:lang w:val="en"/>
        </w:rPr>
        <w:t>older</w:t>
      </w:r>
      <w:r w:rsidR="00FF41A0">
        <w:rPr>
          <w:rStyle w:val="tlid-translation"/>
          <w:sz w:val="20"/>
          <w:szCs w:val="20"/>
          <w:lang w:val="en"/>
        </w:rPr>
        <w:t xml:space="preserve"> </w:t>
      </w:r>
      <w:r w:rsidR="00323457" w:rsidRPr="0059638B">
        <w:rPr>
          <w:rStyle w:val="tlid-translation"/>
          <w:sz w:val="20"/>
          <w:szCs w:val="20"/>
          <w:lang w:val="en"/>
        </w:rPr>
        <w:t>persons</w:t>
      </w:r>
      <w:r w:rsidR="00FF41A0">
        <w:rPr>
          <w:rStyle w:val="tlid-translation"/>
          <w:sz w:val="20"/>
          <w:szCs w:val="20"/>
          <w:lang w:val="en"/>
        </w:rPr>
        <w:t xml:space="preserve"> </w:t>
      </w:r>
      <w:r w:rsidR="00323457" w:rsidRPr="0059638B">
        <w:rPr>
          <w:rStyle w:val="tlid-translation"/>
          <w:sz w:val="20"/>
          <w:szCs w:val="20"/>
          <w:lang w:val="en"/>
        </w:rPr>
        <w:t>included,</w:t>
      </w:r>
      <w:r w:rsidR="00FF41A0">
        <w:rPr>
          <w:rStyle w:val="tlid-translation"/>
          <w:sz w:val="20"/>
          <w:szCs w:val="20"/>
          <w:lang w:val="en"/>
        </w:rPr>
        <w:t xml:space="preserve"> </w:t>
      </w:r>
      <w:r w:rsidR="00323457" w:rsidRPr="0059638B">
        <w:rPr>
          <w:rStyle w:val="tlid-translation"/>
          <w:sz w:val="20"/>
          <w:szCs w:val="20"/>
          <w:lang w:val="en"/>
        </w:rPr>
        <w:t>in</w:t>
      </w:r>
      <w:r w:rsidR="00FF41A0">
        <w:rPr>
          <w:rStyle w:val="tlid-translation"/>
          <w:sz w:val="20"/>
          <w:szCs w:val="20"/>
          <w:lang w:val="en"/>
        </w:rPr>
        <w:t xml:space="preserve"> </w:t>
      </w:r>
      <w:r w:rsidR="00323457" w:rsidRPr="0059638B">
        <w:rPr>
          <w:rStyle w:val="tlid-translation"/>
          <w:sz w:val="20"/>
          <w:szCs w:val="20"/>
          <w:lang w:val="en"/>
        </w:rPr>
        <w:t>addition</w:t>
      </w:r>
      <w:r w:rsidR="00FF41A0">
        <w:rPr>
          <w:rStyle w:val="tlid-translation"/>
          <w:sz w:val="20"/>
          <w:szCs w:val="20"/>
          <w:lang w:val="en"/>
        </w:rPr>
        <w:t xml:space="preserve"> </w:t>
      </w:r>
      <w:r w:rsidR="00323457" w:rsidRPr="0059638B">
        <w:rPr>
          <w:rStyle w:val="tlid-translation"/>
          <w:sz w:val="20"/>
          <w:szCs w:val="20"/>
          <w:lang w:val="en"/>
        </w:rPr>
        <w:t>to</w:t>
      </w:r>
      <w:r w:rsidR="00FF41A0">
        <w:rPr>
          <w:rStyle w:val="tlid-translation"/>
          <w:sz w:val="20"/>
          <w:szCs w:val="20"/>
          <w:lang w:val="en"/>
        </w:rPr>
        <w:t xml:space="preserve"> </w:t>
      </w:r>
      <w:r w:rsidR="00323457" w:rsidRPr="0059638B">
        <w:rPr>
          <w:rStyle w:val="tlid-translation"/>
          <w:sz w:val="20"/>
          <w:szCs w:val="20"/>
          <w:lang w:val="en"/>
        </w:rPr>
        <w:t>already</w:t>
      </w:r>
      <w:r w:rsidR="00FF41A0">
        <w:rPr>
          <w:rStyle w:val="tlid-translation"/>
          <w:sz w:val="20"/>
          <w:szCs w:val="20"/>
          <w:lang w:val="en"/>
        </w:rPr>
        <w:t xml:space="preserve"> </w:t>
      </w:r>
      <w:r w:rsidR="00323457" w:rsidRPr="0059638B">
        <w:rPr>
          <w:rStyle w:val="tlid-translation"/>
          <w:sz w:val="20"/>
          <w:szCs w:val="20"/>
          <w:lang w:val="en"/>
        </w:rPr>
        <w:t>existing</w:t>
      </w:r>
      <w:r w:rsidR="00FF41A0">
        <w:rPr>
          <w:rStyle w:val="tlid-translation"/>
          <w:sz w:val="20"/>
          <w:szCs w:val="20"/>
          <w:lang w:val="en"/>
        </w:rPr>
        <w:t xml:space="preserve"> </w:t>
      </w:r>
      <w:r w:rsidR="00323457" w:rsidRPr="0059638B">
        <w:rPr>
          <w:rStyle w:val="tlid-translation"/>
          <w:sz w:val="20"/>
          <w:szCs w:val="20"/>
          <w:lang w:val="en"/>
        </w:rPr>
        <w:t>measures</w:t>
      </w:r>
      <w:r w:rsidR="00FF41A0">
        <w:rPr>
          <w:rStyle w:val="tlid-translation"/>
          <w:sz w:val="20"/>
          <w:szCs w:val="20"/>
          <w:lang w:val="en"/>
        </w:rPr>
        <w:t xml:space="preserve"> </w:t>
      </w:r>
      <w:r w:rsidR="00323457" w:rsidRPr="0059638B">
        <w:rPr>
          <w:rStyle w:val="tlid-translation"/>
          <w:sz w:val="20"/>
          <w:szCs w:val="20"/>
          <w:lang w:val="en"/>
        </w:rPr>
        <w:t>for</w:t>
      </w:r>
      <w:r w:rsidR="00FF41A0">
        <w:rPr>
          <w:rStyle w:val="tlid-translation"/>
          <w:sz w:val="20"/>
          <w:szCs w:val="20"/>
          <w:lang w:val="en"/>
        </w:rPr>
        <w:t xml:space="preserve"> </w:t>
      </w:r>
      <w:r w:rsidR="00323457" w:rsidRPr="0059638B">
        <w:rPr>
          <w:rStyle w:val="tlid-translation"/>
          <w:sz w:val="20"/>
          <w:szCs w:val="20"/>
          <w:lang w:val="en"/>
        </w:rPr>
        <w:t>their</w:t>
      </w:r>
      <w:r w:rsidR="00FF41A0">
        <w:rPr>
          <w:rStyle w:val="tlid-translation"/>
          <w:sz w:val="20"/>
          <w:szCs w:val="20"/>
          <w:lang w:val="en"/>
        </w:rPr>
        <w:t xml:space="preserve"> </w:t>
      </w:r>
      <w:r w:rsidR="00323457" w:rsidRPr="0059638B">
        <w:rPr>
          <w:rStyle w:val="tlid-translation"/>
          <w:sz w:val="20"/>
          <w:szCs w:val="20"/>
          <w:lang w:val="en"/>
        </w:rPr>
        <w:t>accommodation</w:t>
      </w:r>
      <w:r w:rsidR="00FF41A0">
        <w:rPr>
          <w:rStyle w:val="tlid-translation"/>
          <w:sz w:val="20"/>
          <w:szCs w:val="20"/>
          <w:lang w:val="en"/>
        </w:rPr>
        <w:t xml:space="preserve"> </w:t>
      </w:r>
      <w:r w:rsidR="00323457" w:rsidRPr="0059638B">
        <w:rPr>
          <w:rStyle w:val="tlid-translation"/>
          <w:sz w:val="20"/>
          <w:szCs w:val="20"/>
          <w:lang w:val="en"/>
        </w:rPr>
        <w:t>and</w:t>
      </w:r>
      <w:r w:rsidR="00FF41A0">
        <w:rPr>
          <w:rStyle w:val="tlid-translation"/>
          <w:sz w:val="20"/>
          <w:szCs w:val="20"/>
          <w:lang w:val="en"/>
        </w:rPr>
        <w:t xml:space="preserve"> </w:t>
      </w:r>
      <w:r w:rsidR="00323457" w:rsidRPr="0059638B">
        <w:rPr>
          <w:rStyle w:val="tlid-translation"/>
          <w:sz w:val="20"/>
          <w:szCs w:val="20"/>
          <w:lang w:val="en"/>
        </w:rPr>
        <w:t>support,</w:t>
      </w:r>
      <w:r w:rsidR="00FF41A0">
        <w:rPr>
          <w:rStyle w:val="tlid-translation"/>
          <w:sz w:val="20"/>
          <w:szCs w:val="20"/>
          <w:lang w:val="en"/>
        </w:rPr>
        <w:t xml:space="preserve"> </w:t>
      </w:r>
      <w:r w:rsidR="00323457" w:rsidRPr="0059638B">
        <w:rPr>
          <w:rStyle w:val="tlid-translation"/>
          <w:sz w:val="20"/>
          <w:szCs w:val="20"/>
          <w:lang w:val="en"/>
        </w:rPr>
        <w:t>the</w:t>
      </w:r>
      <w:r w:rsidR="00FF41A0">
        <w:rPr>
          <w:rStyle w:val="tlid-translation"/>
          <w:sz w:val="20"/>
          <w:szCs w:val="20"/>
          <w:lang w:val="en"/>
        </w:rPr>
        <w:t xml:space="preserve"> </w:t>
      </w:r>
      <w:r w:rsidR="00323457" w:rsidRPr="0059638B">
        <w:rPr>
          <w:rStyle w:val="tlid-translation"/>
          <w:sz w:val="20"/>
          <w:szCs w:val="20"/>
          <w:lang w:val="en"/>
        </w:rPr>
        <w:t>plans</w:t>
      </w:r>
      <w:r w:rsidR="00FF41A0">
        <w:rPr>
          <w:rStyle w:val="tlid-translation"/>
          <w:sz w:val="20"/>
          <w:szCs w:val="20"/>
          <w:lang w:val="en"/>
        </w:rPr>
        <w:t xml:space="preserve"> </w:t>
      </w:r>
      <w:r w:rsidR="00323457" w:rsidRPr="0059638B">
        <w:rPr>
          <w:rStyle w:val="tlid-translation"/>
          <w:sz w:val="20"/>
          <w:szCs w:val="20"/>
          <w:lang w:val="en"/>
        </w:rPr>
        <w:t>for</w:t>
      </w:r>
      <w:r w:rsidR="00FF41A0">
        <w:rPr>
          <w:rStyle w:val="tlid-translation"/>
          <w:sz w:val="20"/>
          <w:szCs w:val="20"/>
          <w:lang w:val="en"/>
        </w:rPr>
        <w:t xml:space="preserve"> </w:t>
      </w:r>
      <w:r w:rsidR="00323457" w:rsidRPr="0059638B">
        <w:rPr>
          <w:rStyle w:val="tlid-translation"/>
          <w:sz w:val="20"/>
          <w:szCs w:val="20"/>
          <w:lang w:val="en"/>
        </w:rPr>
        <w:t>a</w:t>
      </w:r>
      <w:r w:rsidR="00FF41A0">
        <w:rPr>
          <w:rStyle w:val="tlid-translation"/>
          <w:sz w:val="20"/>
          <w:szCs w:val="20"/>
          <w:lang w:val="en"/>
        </w:rPr>
        <w:t xml:space="preserve"> </w:t>
      </w:r>
      <w:r w:rsidR="00323457" w:rsidRPr="0059638B">
        <w:rPr>
          <w:rStyle w:val="tlid-translation"/>
          <w:sz w:val="20"/>
          <w:szCs w:val="20"/>
          <w:lang w:val="en"/>
        </w:rPr>
        <w:t>new</w:t>
      </w:r>
      <w:r w:rsidR="00FF41A0">
        <w:rPr>
          <w:rStyle w:val="tlid-translation"/>
          <w:sz w:val="20"/>
          <w:szCs w:val="20"/>
          <w:lang w:val="en"/>
        </w:rPr>
        <w:t xml:space="preserve"> </w:t>
      </w:r>
      <w:r w:rsidR="00323457" w:rsidRPr="0059638B">
        <w:rPr>
          <w:sz w:val="20"/>
          <w:szCs w:val="20"/>
        </w:rPr>
        <w:t>residential</w:t>
      </w:r>
      <w:r w:rsidR="00FF41A0">
        <w:rPr>
          <w:sz w:val="20"/>
          <w:szCs w:val="20"/>
        </w:rPr>
        <w:t xml:space="preserve"> </w:t>
      </w:r>
      <w:r w:rsidR="00323457" w:rsidRPr="0059638B">
        <w:rPr>
          <w:sz w:val="20"/>
          <w:szCs w:val="20"/>
        </w:rPr>
        <w:t>facility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establishment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structure</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older</w:t>
      </w:r>
      <w:r w:rsidR="00FF41A0">
        <w:rPr>
          <w:sz w:val="20"/>
          <w:szCs w:val="20"/>
        </w:rPr>
        <w:t xml:space="preserve"> </w:t>
      </w:r>
      <w:r w:rsidR="00323457" w:rsidRPr="0059638B">
        <w:rPr>
          <w:sz w:val="20"/>
          <w:szCs w:val="20"/>
        </w:rPr>
        <w:t>persons</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psychosocial</w:t>
      </w:r>
      <w:r w:rsidR="00FF41A0">
        <w:rPr>
          <w:sz w:val="20"/>
          <w:szCs w:val="20"/>
        </w:rPr>
        <w:t xml:space="preserve"> </w:t>
      </w:r>
      <w:r w:rsidR="00323457" w:rsidRPr="0059638B">
        <w:rPr>
          <w:sz w:val="20"/>
          <w:szCs w:val="20"/>
        </w:rPr>
        <w:t>disabilities.</w:t>
      </w:r>
    </w:p>
    <w:p w14:paraId="38062087" w14:textId="23A0258C" w:rsidR="00323457" w:rsidRPr="0059638B" w:rsidRDefault="00972F1E" w:rsidP="00323457">
      <w:pPr>
        <w:pStyle w:val="SingleTxtG"/>
        <w:rPr>
          <w:sz w:val="20"/>
          <w:szCs w:val="20"/>
        </w:rPr>
      </w:pPr>
      <w:r>
        <w:rPr>
          <w:sz w:val="20"/>
          <w:szCs w:val="20"/>
        </w:rPr>
        <w:t>724</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delegation</w:t>
      </w:r>
      <w:r w:rsidR="00FF41A0">
        <w:rPr>
          <w:sz w:val="20"/>
          <w:szCs w:val="20"/>
        </w:rPr>
        <w:t xml:space="preserve"> </w:t>
      </w:r>
      <w:r w:rsidR="00323457" w:rsidRPr="0059638B">
        <w:rPr>
          <w:sz w:val="20"/>
          <w:szCs w:val="20"/>
        </w:rPr>
        <w:t>recalled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35</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during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Working</w:t>
      </w:r>
      <w:r w:rsidR="00FF41A0">
        <w:rPr>
          <w:sz w:val="20"/>
          <w:szCs w:val="20"/>
        </w:rPr>
        <w:t xml:space="preserve"> </w:t>
      </w:r>
      <w:r w:rsidR="00323457" w:rsidRPr="0059638B">
        <w:rPr>
          <w:sz w:val="20"/>
          <w:szCs w:val="20"/>
        </w:rPr>
        <w:t>Group</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six</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Monaco</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deferred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position</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number</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these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incompatible</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country</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specificities</w:t>
      </w:r>
      <w:r w:rsidR="00FF41A0">
        <w:rPr>
          <w:sz w:val="20"/>
          <w:szCs w:val="20"/>
        </w:rPr>
        <w:t xml:space="preserve"> </w:t>
      </w:r>
      <w:r w:rsidR="00323457" w:rsidRPr="0059638B">
        <w:rPr>
          <w:sz w:val="20"/>
          <w:szCs w:val="20"/>
        </w:rPr>
        <w:t>while</w:t>
      </w:r>
      <w:r w:rsidR="00FF41A0">
        <w:rPr>
          <w:sz w:val="20"/>
          <w:szCs w:val="20"/>
        </w:rPr>
        <w:t xml:space="preserve"> </w:t>
      </w:r>
      <w:r w:rsidR="00323457" w:rsidRPr="0059638B">
        <w:rPr>
          <w:sz w:val="20"/>
          <w:szCs w:val="20"/>
        </w:rPr>
        <w:t>others</w:t>
      </w:r>
      <w:r w:rsidR="00FF41A0">
        <w:rPr>
          <w:sz w:val="20"/>
          <w:szCs w:val="20"/>
        </w:rPr>
        <w:t xml:space="preserve"> </w:t>
      </w:r>
      <w:r w:rsidR="00323457" w:rsidRPr="0059638B">
        <w:rPr>
          <w:sz w:val="20"/>
          <w:szCs w:val="20"/>
        </w:rPr>
        <w:t>required</w:t>
      </w:r>
      <w:r w:rsidR="00FF41A0">
        <w:rPr>
          <w:sz w:val="20"/>
          <w:szCs w:val="20"/>
        </w:rPr>
        <w:t xml:space="preserve"> </w:t>
      </w:r>
      <w:r w:rsidR="00323457" w:rsidRPr="0059638B">
        <w:rPr>
          <w:sz w:val="20"/>
          <w:szCs w:val="20"/>
        </w:rPr>
        <w:t>mechanisms</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different</w:t>
      </w:r>
      <w:r w:rsidR="00FF41A0">
        <w:rPr>
          <w:sz w:val="20"/>
          <w:szCs w:val="20"/>
        </w:rPr>
        <w:t xml:space="preserve"> </w:t>
      </w:r>
      <w:r w:rsidR="00323457" w:rsidRPr="0059638B">
        <w:rPr>
          <w:sz w:val="20"/>
          <w:szCs w:val="20"/>
        </w:rPr>
        <w:t>from</w:t>
      </w:r>
      <w:r w:rsidR="00FF41A0">
        <w:rPr>
          <w:sz w:val="20"/>
          <w:szCs w:val="20"/>
        </w:rPr>
        <w:t xml:space="preserve"> </w:t>
      </w:r>
      <w:r w:rsidR="00323457" w:rsidRPr="0059638B">
        <w:rPr>
          <w:sz w:val="20"/>
          <w:szCs w:val="20"/>
        </w:rPr>
        <w:t>those</w:t>
      </w:r>
      <w:r w:rsidR="00FF41A0">
        <w:rPr>
          <w:sz w:val="20"/>
          <w:szCs w:val="20"/>
        </w:rPr>
        <w:t xml:space="preserve"> </w:t>
      </w:r>
      <w:r w:rsidR="00323457" w:rsidRPr="0059638B">
        <w:rPr>
          <w:sz w:val="20"/>
          <w:szCs w:val="20"/>
        </w:rPr>
        <w:t>already</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place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achieve</w:t>
      </w:r>
      <w:r w:rsidR="00FF41A0">
        <w:rPr>
          <w:sz w:val="20"/>
          <w:szCs w:val="20"/>
        </w:rPr>
        <w:t xml:space="preserve"> </w:t>
      </w:r>
      <w:r w:rsidR="00323457" w:rsidRPr="0059638B">
        <w:rPr>
          <w:sz w:val="20"/>
          <w:szCs w:val="20"/>
        </w:rPr>
        <w:t>similar</w:t>
      </w:r>
      <w:r w:rsidR="00FF41A0">
        <w:rPr>
          <w:sz w:val="20"/>
          <w:szCs w:val="20"/>
        </w:rPr>
        <w:t xml:space="preserve"> </w:t>
      </w:r>
      <w:r w:rsidR="00323457" w:rsidRPr="0059638B">
        <w:rPr>
          <w:sz w:val="20"/>
          <w:szCs w:val="20"/>
        </w:rPr>
        <w:t>objectives.</w:t>
      </w:r>
      <w:r w:rsidR="00FF41A0">
        <w:rPr>
          <w:sz w:val="20"/>
          <w:szCs w:val="20"/>
        </w:rPr>
        <w:t xml:space="preserve"> </w:t>
      </w:r>
    </w:p>
    <w:p w14:paraId="5E1ABA6D" w14:textId="2F295C82" w:rsidR="00323457" w:rsidRPr="0059638B" w:rsidRDefault="00972F1E" w:rsidP="00323457">
      <w:pPr>
        <w:pStyle w:val="SingleTxtG"/>
        <w:rPr>
          <w:sz w:val="20"/>
          <w:szCs w:val="20"/>
        </w:rPr>
      </w:pPr>
      <w:r>
        <w:rPr>
          <w:sz w:val="20"/>
          <w:szCs w:val="20"/>
        </w:rPr>
        <w:t>725</w:t>
      </w:r>
      <w:r w:rsidR="00D7475F">
        <w:rPr>
          <w:sz w:val="20"/>
          <w:szCs w:val="20"/>
        </w:rPr>
        <w:t>.</w:t>
      </w:r>
      <w:r w:rsidR="00D7475F">
        <w:rPr>
          <w:sz w:val="20"/>
          <w:szCs w:val="20"/>
        </w:rPr>
        <w:tab/>
      </w:r>
      <w:r w:rsidR="00323457" w:rsidRPr="0059638B">
        <w:rPr>
          <w:sz w:val="20"/>
          <w:szCs w:val="20"/>
        </w:rPr>
        <w:t>Regarding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ratification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Rome</w:t>
      </w:r>
      <w:r w:rsidR="00FF41A0">
        <w:rPr>
          <w:sz w:val="20"/>
          <w:szCs w:val="20"/>
        </w:rPr>
        <w:t xml:space="preserve"> </w:t>
      </w:r>
      <w:r w:rsidR="00323457" w:rsidRPr="0059638B">
        <w:rPr>
          <w:sz w:val="20"/>
          <w:szCs w:val="20"/>
        </w:rPr>
        <w:t>Statute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Criminal</w:t>
      </w:r>
      <w:r w:rsidR="00FF41A0">
        <w:rPr>
          <w:sz w:val="20"/>
          <w:szCs w:val="20"/>
        </w:rPr>
        <w:t xml:space="preserve"> </w:t>
      </w:r>
      <w:r w:rsidR="00323457" w:rsidRPr="0059638B">
        <w:rPr>
          <w:sz w:val="20"/>
          <w:szCs w:val="20"/>
        </w:rPr>
        <w:t>Court,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delegation</w:t>
      </w:r>
      <w:r w:rsidR="00FF41A0">
        <w:rPr>
          <w:sz w:val="20"/>
          <w:szCs w:val="20"/>
        </w:rPr>
        <w:t xml:space="preserve"> </w:t>
      </w:r>
      <w:r w:rsidR="00323457" w:rsidRPr="0059638B">
        <w:rPr>
          <w:sz w:val="20"/>
          <w:szCs w:val="20"/>
        </w:rPr>
        <w:t>indicated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becoming</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party</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instrument</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require</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profound</w:t>
      </w:r>
      <w:r w:rsidR="00FF41A0">
        <w:rPr>
          <w:sz w:val="20"/>
          <w:szCs w:val="20"/>
        </w:rPr>
        <w:t xml:space="preserve"> </w:t>
      </w:r>
      <w:r w:rsidR="00323457" w:rsidRPr="0059638B">
        <w:rPr>
          <w:sz w:val="20"/>
          <w:szCs w:val="20"/>
        </w:rPr>
        <w:t>reform</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several</w:t>
      </w:r>
      <w:r w:rsidR="00FF41A0">
        <w:rPr>
          <w:sz w:val="20"/>
          <w:szCs w:val="20"/>
        </w:rPr>
        <w:t xml:space="preserve"> </w:t>
      </w:r>
      <w:r w:rsidR="00323457" w:rsidRPr="0059638B">
        <w:rPr>
          <w:sz w:val="20"/>
          <w:szCs w:val="20"/>
        </w:rPr>
        <w:t>legal</w:t>
      </w:r>
      <w:r w:rsidR="00FF41A0">
        <w:rPr>
          <w:sz w:val="20"/>
          <w:szCs w:val="20"/>
        </w:rPr>
        <w:t xml:space="preserve"> </w:t>
      </w:r>
      <w:r w:rsidR="00323457" w:rsidRPr="0059638B">
        <w:rPr>
          <w:sz w:val="20"/>
          <w:szCs w:val="20"/>
        </w:rPr>
        <w:t>texts,</w:t>
      </w:r>
      <w:r w:rsidR="00FF41A0">
        <w:rPr>
          <w:sz w:val="20"/>
          <w:szCs w:val="20"/>
        </w:rPr>
        <w:t xml:space="preserve"> </w:t>
      </w:r>
      <w:r w:rsidR="00323457" w:rsidRPr="0059638B">
        <w:rPr>
          <w:sz w:val="20"/>
          <w:szCs w:val="20"/>
        </w:rPr>
        <w:t>including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Constitution,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Criminal</w:t>
      </w:r>
      <w:r w:rsidR="00FF41A0">
        <w:rPr>
          <w:sz w:val="20"/>
          <w:szCs w:val="20"/>
        </w:rPr>
        <w:t xml:space="preserve"> </w:t>
      </w:r>
      <w:r w:rsidR="00323457" w:rsidRPr="0059638B">
        <w:rPr>
          <w:sz w:val="20"/>
          <w:szCs w:val="20"/>
        </w:rPr>
        <w:t>Code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Code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Criminal</w:t>
      </w:r>
      <w:r w:rsidR="00FF41A0">
        <w:rPr>
          <w:sz w:val="20"/>
          <w:szCs w:val="20"/>
        </w:rPr>
        <w:t xml:space="preserve"> </w:t>
      </w:r>
      <w:r w:rsidR="00323457" w:rsidRPr="0059638B">
        <w:rPr>
          <w:sz w:val="20"/>
          <w:szCs w:val="20"/>
        </w:rPr>
        <w:t>Procedure.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Principality</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nonetheless</w:t>
      </w:r>
      <w:r w:rsidR="00FF41A0">
        <w:rPr>
          <w:sz w:val="20"/>
          <w:szCs w:val="20"/>
        </w:rPr>
        <w:t xml:space="preserve"> </w:t>
      </w:r>
      <w:r w:rsidR="00323457" w:rsidRPr="0059638B">
        <w:rPr>
          <w:sz w:val="20"/>
          <w:szCs w:val="20"/>
        </w:rPr>
        <w:t>committed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collaborating</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Criminal</w:t>
      </w:r>
      <w:r w:rsidR="00FF41A0">
        <w:rPr>
          <w:sz w:val="20"/>
          <w:szCs w:val="20"/>
        </w:rPr>
        <w:t xml:space="preserve"> </w:t>
      </w:r>
      <w:r w:rsidR="00323457" w:rsidRPr="0059638B">
        <w:rPr>
          <w:sz w:val="20"/>
          <w:szCs w:val="20"/>
        </w:rPr>
        <w:t>Court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already</w:t>
      </w:r>
      <w:r w:rsidR="00FF41A0">
        <w:rPr>
          <w:sz w:val="20"/>
          <w:szCs w:val="20"/>
        </w:rPr>
        <w:t xml:space="preserve"> </w:t>
      </w:r>
      <w:r w:rsidR="00323457" w:rsidRPr="0059638B">
        <w:rPr>
          <w:sz w:val="20"/>
          <w:szCs w:val="20"/>
        </w:rPr>
        <w:t>implemented</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request</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cooperation</w:t>
      </w:r>
      <w:r w:rsidR="00FF41A0">
        <w:rPr>
          <w:sz w:val="20"/>
          <w:szCs w:val="20"/>
        </w:rPr>
        <w:t xml:space="preserve"> </w:t>
      </w:r>
      <w:r w:rsidR="00323457" w:rsidRPr="0059638B">
        <w:rPr>
          <w:sz w:val="20"/>
          <w:szCs w:val="20"/>
        </w:rPr>
        <w:t>from</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Court</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Prosecutor.</w:t>
      </w:r>
      <w:r w:rsidR="00FF41A0">
        <w:rPr>
          <w:sz w:val="20"/>
          <w:szCs w:val="20"/>
        </w:rPr>
        <w:t xml:space="preserve"> </w:t>
      </w:r>
    </w:p>
    <w:p w14:paraId="426ECA34" w14:textId="1636B380" w:rsidR="00323457" w:rsidRPr="0059638B" w:rsidRDefault="00972F1E" w:rsidP="00323457">
      <w:pPr>
        <w:pStyle w:val="SingleTxtG"/>
        <w:rPr>
          <w:sz w:val="20"/>
          <w:szCs w:val="20"/>
        </w:rPr>
      </w:pPr>
      <w:r>
        <w:rPr>
          <w:sz w:val="20"/>
          <w:szCs w:val="20"/>
        </w:rPr>
        <w:t>726</w:t>
      </w:r>
      <w:r w:rsidR="00D7475F">
        <w:rPr>
          <w:sz w:val="20"/>
          <w:szCs w:val="20"/>
        </w:rPr>
        <w:t>.</w:t>
      </w:r>
      <w:r w:rsidR="00D7475F">
        <w:rPr>
          <w:sz w:val="20"/>
          <w:szCs w:val="20"/>
        </w:rPr>
        <w:tab/>
      </w:r>
      <w:r w:rsidR="00323457" w:rsidRPr="0059638B">
        <w:rPr>
          <w:sz w:val="20"/>
          <w:szCs w:val="20"/>
        </w:rPr>
        <w:t>With</w:t>
      </w:r>
      <w:r w:rsidR="00FF41A0">
        <w:rPr>
          <w:sz w:val="20"/>
          <w:szCs w:val="20"/>
        </w:rPr>
        <w:t xml:space="preserve"> </w:t>
      </w:r>
      <w:r w:rsidR="00323457" w:rsidRPr="0059638B">
        <w:rPr>
          <w:sz w:val="20"/>
          <w:szCs w:val="20"/>
        </w:rPr>
        <w:t>regard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repression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offences</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person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Prince,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delegation</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this</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not</w:t>
      </w:r>
      <w:r w:rsidR="00FF41A0">
        <w:rPr>
          <w:sz w:val="20"/>
          <w:szCs w:val="20"/>
        </w:rPr>
        <w:t xml:space="preserve"> </w:t>
      </w:r>
      <w:r w:rsidR="00323457" w:rsidRPr="0059638B">
        <w:rPr>
          <w:sz w:val="20"/>
          <w:szCs w:val="20"/>
        </w:rPr>
        <w:t>unique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Monaco,</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not</w:t>
      </w:r>
      <w:r w:rsidR="00FF41A0">
        <w:rPr>
          <w:sz w:val="20"/>
          <w:szCs w:val="20"/>
        </w:rPr>
        <w:t xml:space="preserve"> </w:t>
      </w:r>
      <w:r w:rsidR="00323457" w:rsidRPr="0059638B">
        <w:rPr>
          <w:sz w:val="20"/>
          <w:szCs w:val="20"/>
        </w:rPr>
        <w:t>dissimilar</w:t>
      </w:r>
      <w:r w:rsidR="00FF41A0">
        <w:rPr>
          <w:sz w:val="20"/>
          <w:szCs w:val="20"/>
        </w:rPr>
        <w:t xml:space="preserve"> </w:t>
      </w:r>
      <w:r w:rsidR="00323457" w:rsidRPr="0059638B">
        <w:rPr>
          <w:sz w:val="20"/>
          <w:szCs w:val="20"/>
        </w:rPr>
        <w:t>from</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majority</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legislation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force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other</w:t>
      </w:r>
      <w:r w:rsidR="00FF41A0">
        <w:rPr>
          <w:sz w:val="20"/>
          <w:szCs w:val="20"/>
        </w:rPr>
        <w:t xml:space="preserve"> </w:t>
      </w:r>
      <w:r w:rsidR="00323457" w:rsidRPr="0059638B">
        <w:rPr>
          <w:sz w:val="20"/>
          <w:szCs w:val="20"/>
        </w:rPr>
        <w:t>European</w:t>
      </w:r>
      <w:r w:rsidR="00FF41A0">
        <w:rPr>
          <w:sz w:val="20"/>
          <w:szCs w:val="20"/>
        </w:rPr>
        <w:t xml:space="preserve"> </w:t>
      </w:r>
      <w:r w:rsidR="00323457" w:rsidRPr="0059638B">
        <w:rPr>
          <w:sz w:val="20"/>
          <w:szCs w:val="20"/>
        </w:rPr>
        <w:t>monarchies.</w:t>
      </w:r>
      <w:r w:rsidR="00FF41A0">
        <w:rPr>
          <w:sz w:val="20"/>
          <w:szCs w:val="20"/>
        </w:rPr>
        <w:t xml:space="preserve"> </w:t>
      </w:r>
      <w:r w:rsidR="00323457" w:rsidRPr="0059638B">
        <w:rPr>
          <w:sz w:val="20"/>
          <w:szCs w:val="20"/>
        </w:rPr>
        <w:t>Such</w:t>
      </w:r>
      <w:r w:rsidR="00FF41A0">
        <w:rPr>
          <w:sz w:val="20"/>
          <w:szCs w:val="20"/>
        </w:rPr>
        <w:t xml:space="preserve"> </w:t>
      </w:r>
      <w:r w:rsidR="00323457" w:rsidRPr="0059638B">
        <w:rPr>
          <w:sz w:val="20"/>
          <w:szCs w:val="20"/>
        </w:rPr>
        <w:t>legislation</w:t>
      </w:r>
      <w:r w:rsidR="00FF41A0">
        <w:rPr>
          <w:sz w:val="20"/>
          <w:szCs w:val="20"/>
        </w:rPr>
        <w:t xml:space="preserve"> </w:t>
      </w:r>
      <w:r w:rsidR="00323457" w:rsidRPr="0059638B">
        <w:rPr>
          <w:sz w:val="20"/>
          <w:szCs w:val="20"/>
        </w:rPr>
        <w:t>sought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ensure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lastRenderedPageBreak/>
        <w:t>jurisdictional</w:t>
      </w:r>
      <w:r w:rsidR="00FF41A0">
        <w:rPr>
          <w:sz w:val="20"/>
          <w:szCs w:val="20"/>
        </w:rPr>
        <w:t xml:space="preserve"> </w:t>
      </w:r>
      <w:r w:rsidR="00323457" w:rsidRPr="0059638B">
        <w:rPr>
          <w:sz w:val="20"/>
          <w:szCs w:val="20"/>
        </w:rPr>
        <w:t>immunity</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Sovereign</w:t>
      </w:r>
      <w:r w:rsidR="00FF41A0">
        <w:rPr>
          <w:sz w:val="20"/>
          <w:szCs w:val="20"/>
        </w:rPr>
        <w:t xml:space="preserve"> </w:t>
      </w:r>
      <w:r w:rsidR="00323457" w:rsidRPr="0059638B">
        <w:rPr>
          <w:sz w:val="20"/>
          <w:szCs w:val="20"/>
        </w:rPr>
        <w:t>Prince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not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impede</w:t>
      </w:r>
      <w:r w:rsidR="00FF41A0">
        <w:rPr>
          <w:sz w:val="20"/>
          <w:szCs w:val="20"/>
        </w:rPr>
        <w:t xml:space="preserve"> </w:t>
      </w:r>
      <w:r w:rsidR="00323457" w:rsidRPr="0059638B">
        <w:rPr>
          <w:sz w:val="20"/>
          <w:szCs w:val="20"/>
        </w:rPr>
        <w:t>free</w:t>
      </w:r>
      <w:r w:rsidR="00FF41A0">
        <w:rPr>
          <w:sz w:val="20"/>
          <w:szCs w:val="20"/>
        </w:rPr>
        <w:t xml:space="preserve"> </w:t>
      </w:r>
      <w:r w:rsidR="00323457" w:rsidRPr="0059638B">
        <w:rPr>
          <w:sz w:val="20"/>
          <w:szCs w:val="20"/>
        </w:rPr>
        <w:t>debate</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matters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public</w:t>
      </w:r>
      <w:r w:rsidR="00FF41A0">
        <w:rPr>
          <w:sz w:val="20"/>
          <w:szCs w:val="20"/>
        </w:rPr>
        <w:t xml:space="preserve"> </w:t>
      </w:r>
      <w:r w:rsidR="00323457" w:rsidRPr="0059638B">
        <w:rPr>
          <w:sz w:val="20"/>
          <w:szCs w:val="20"/>
        </w:rPr>
        <w:t>interest.</w:t>
      </w:r>
      <w:r w:rsidR="00FF41A0">
        <w:rPr>
          <w:sz w:val="20"/>
          <w:szCs w:val="20"/>
        </w:rPr>
        <w:t xml:space="preserve"> </w:t>
      </w:r>
    </w:p>
    <w:p w14:paraId="2F50083B" w14:textId="19EA743B" w:rsidR="00323457" w:rsidRPr="0059638B" w:rsidRDefault="00972F1E" w:rsidP="00323457">
      <w:pPr>
        <w:pStyle w:val="SingleTxtG"/>
        <w:rPr>
          <w:sz w:val="20"/>
          <w:szCs w:val="20"/>
        </w:rPr>
      </w:pPr>
      <w:r>
        <w:rPr>
          <w:sz w:val="20"/>
          <w:szCs w:val="20"/>
        </w:rPr>
        <w:t>727</w:t>
      </w:r>
      <w:r w:rsidR="00D7475F">
        <w:rPr>
          <w:sz w:val="20"/>
          <w:szCs w:val="20"/>
        </w:rPr>
        <w:t>.</w:t>
      </w:r>
      <w:r w:rsidR="00D7475F">
        <w:rPr>
          <w:sz w:val="20"/>
          <w:szCs w:val="20"/>
        </w:rPr>
        <w:tab/>
      </w:r>
      <w:r w:rsidR="00323457" w:rsidRPr="0059638B">
        <w:rPr>
          <w:sz w:val="20"/>
          <w:szCs w:val="20"/>
        </w:rPr>
        <w:t>Similarly,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issue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becoming</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member</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Labour</w:t>
      </w:r>
      <w:r w:rsidR="00FF41A0">
        <w:rPr>
          <w:sz w:val="20"/>
          <w:szCs w:val="20"/>
        </w:rPr>
        <w:t xml:space="preserve"> </w:t>
      </w:r>
      <w:r w:rsidR="00323457" w:rsidRPr="0059638B">
        <w:rPr>
          <w:sz w:val="20"/>
          <w:szCs w:val="20"/>
        </w:rPr>
        <w:t>Organisation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ratification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certain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conventions</w:t>
      </w:r>
      <w:r w:rsidR="00FF41A0">
        <w:rPr>
          <w:sz w:val="20"/>
          <w:szCs w:val="20"/>
        </w:rPr>
        <w:t xml:space="preserve"> </w:t>
      </w:r>
      <w:r w:rsidR="00323457" w:rsidRPr="0059638B">
        <w:rPr>
          <w:sz w:val="20"/>
          <w:szCs w:val="20"/>
        </w:rPr>
        <w:t>raised</w:t>
      </w:r>
      <w:r w:rsidR="00FF41A0">
        <w:rPr>
          <w:sz w:val="20"/>
          <w:szCs w:val="20"/>
        </w:rPr>
        <w:t xml:space="preserve"> </w:t>
      </w:r>
      <w:r w:rsidR="00323457" w:rsidRPr="0059638B">
        <w:rPr>
          <w:sz w:val="20"/>
          <w:szCs w:val="20"/>
        </w:rPr>
        <w:t>questions</w:t>
      </w:r>
      <w:r w:rsidR="00FF41A0">
        <w:rPr>
          <w:sz w:val="20"/>
          <w:szCs w:val="20"/>
        </w:rPr>
        <w:t xml:space="preserve"> </w:t>
      </w:r>
      <w:r w:rsidR="00323457" w:rsidRPr="0059638B">
        <w:rPr>
          <w:sz w:val="20"/>
          <w:szCs w:val="20"/>
        </w:rPr>
        <w:t>regarding</w:t>
      </w:r>
      <w:r w:rsidR="00FF41A0">
        <w:rPr>
          <w:sz w:val="20"/>
          <w:szCs w:val="20"/>
        </w:rPr>
        <w:t xml:space="preserve"> </w:t>
      </w:r>
      <w:r w:rsidR="00323457" w:rsidRPr="0059638B">
        <w:rPr>
          <w:sz w:val="20"/>
          <w:szCs w:val="20"/>
        </w:rPr>
        <w:t>trade</w:t>
      </w:r>
      <w:r w:rsidR="00FF41A0">
        <w:rPr>
          <w:sz w:val="20"/>
          <w:szCs w:val="20"/>
        </w:rPr>
        <w:t xml:space="preserve"> </w:t>
      </w:r>
      <w:r w:rsidR="00323457" w:rsidRPr="0059638B">
        <w:rPr>
          <w:sz w:val="20"/>
          <w:szCs w:val="20"/>
        </w:rPr>
        <w:t>union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country</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system</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preferential</w:t>
      </w:r>
      <w:r w:rsidR="00FF41A0">
        <w:rPr>
          <w:sz w:val="20"/>
          <w:szCs w:val="20"/>
        </w:rPr>
        <w:t xml:space="preserve"> </w:t>
      </w:r>
      <w:r w:rsidR="00323457" w:rsidRPr="0059638B">
        <w:rPr>
          <w:sz w:val="20"/>
          <w:szCs w:val="20"/>
        </w:rPr>
        <w:t>treatment</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nationals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employment.</w:t>
      </w:r>
      <w:r w:rsidR="00FF41A0">
        <w:rPr>
          <w:sz w:val="20"/>
          <w:szCs w:val="20"/>
        </w:rPr>
        <w:t xml:space="preserve"> </w:t>
      </w:r>
    </w:p>
    <w:p w14:paraId="2C588305" w14:textId="491FCF41" w:rsidR="00323457" w:rsidRPr="0059638B" w:rsidRDefault="00972F1E" w:rsidP="00323457">
      <w:pPr>
        <w:pStyle w:val="SingleTxtG"/>
        <w:rPr>
          <w:rStyle w:val="tlid-translation"/>
          <w:sz w:val="20"/>
          <w:szCs w:val="20"/>
          <w:lang w:val="en"/>
        </w:rPr>
      </w:pPr>
      <w:r>
        <w:rPr>
          <w:rStyle w:val="tlid-translation"/>
          <w:sz w:val="20"/>
          <w:szCs w:val="20"/>
          <w:lang w:val="en"/>
        </w:rPr>
        <w:t>728</w:t>
      </w:r>
      <w:r w:rsidR="00D7475F">
        <w:rPr>
          <w:rStyle w:val="tlid-translation"/>
          <w:sz w:val="20"/>
          <w:szCs w:val="20"/>
          <w:lang w:val="en"/>
        </w:rPr>
        <w:t>.</w:t>
      </w:r>
      <w:r w:rsidR="00D7475F">
        <w:rPr>
          <w:rStyle w:val="tlid-translation"/>
          <w:sz w:val="20"/>
          <w:szCs w:val="20"/>
          <w:lang w:val="en"/>
        </w:rPr>
        <w:tab/>
      </w:r>
      <w:r w:rsidR="00323457" w:rsidRPr="0059638B">
        <w:rPr>
          <w:rStyle w:val="tlid-translation"/>
          <w:sz w:val="20"/>
          <w:szCs w:val="20"/>
          <w:lang w:val="en"/>
        </w:rPr>
        <w:t>The</w:t>
      </w:r>
      <w:r w:rsidR="00FF41A0">
        <w:rPr>
          <w:rStyle w:val="tlid-translation"/>
          <w:sz w:val="20"/>
          <w:szCs w:val="20"/>
          <w:lang w:val="en"/>
        </w:rPr>
        <w:t xml:space="preserve"> </w:t>
      </w:r>
      <w:r w:rsidR="00323457" w:rsidRPr="0059638B">
        <w:rPr>
          <w:rStyle w:val="tlid-translation"/>
          <w:sz w:val="20"/>
          <w:szCs w:val="20"/>
          <w:lang w:val="en"/>
        </w:rPr>
        <w:t>Constitution</w:t>
      </w:r>
      <w:r w:rsidR="00FF41A0">
        <w:rPr>
          <w:rStyle w:val="tlid-translation"/>
          <w:sz w:val="20"/>
          <w:szCs w:val="20"/>
          <w:lang w:val="en"/>
        </w:rPr>
        <w:t xml:space="preserve"> </w:t>
      </w:r>
      <w:r w:rsidR="00323457" w:rsidRPr="0059638B">
        <w:rPr>
          <w:rStyle w:val="tlid-translation"/>
          <w:sz w:val="20"/>
          <w:szCs w:val="20"/>
          <w:lang w:val="en"/>
        </w:rPr>
        <w:t>and</w:t>
      </w:r>
      <w:r w:rsidR="00FF41A0">
        <w:rPr>
          <w:rStyle w:val="tlid-translation"/>
          <w:sz w:val="20"/>
          <w:szCs w:val="20"/>
          <w:lang w:val="en"/>
        </w:rPr>
        <w:t xml:space="preserve"> </w:t>
      </w:r>
      <w:r w:rsidR="00323457" w:rsidRPr="0059638B">
        <w:rPr>
          <w:rStyle w:val="tlid-translation"/>
          <w:sz w:val="20"/>
          <w:szCs w:val="20"/>
          <w:lang w:val="en"/>
        </w:rPr>
        <w:t>the</w:t>
      </w:r>
      <w:r w:rsidR="00FF41A0">
        <w:rPr>
          <w:rStyle w:val="tlid-translation"/>
          <w:sz w:val="20"/>
          <w:szCs w:val="20"/>
          <w:lang w:val="en"/>
        </w:rPr>
        <w:t xml:space="preserve"> </w:t>
      </w:r>
      <w:r w:rsidR="00323457" w:rsidRPr="0059638B">
        <w:rPr>
          <w:rStyle w:val="tlid-translation"/>
          <w:sz w:val="20"/>
          <w:szCs w:val="20"/>
          <w:lang w:val="en"/>
        </w:rPr>
        <w:t>laws</w:t>
      </w:r>
      <w:r w:rsidR="00FF41A0">
        <w:rPr>
          <w:rStyle w:val="tlid-translation"/>
          <w:sz w:val="20"/>
          <w:szCs w:val="20"/>
          <w:lang w:val="en"/>
        </w:rPr>
        <w:t xml:space="preserve"> </w:t>
      </w:r>
      <w:r w:rsidR="00323457" w:rsidRPr="0059638B">
        <w:rPr>
          <w:rStyle w:val="tlid-translation"/>
          <w:sz w:val="20"/>
          <w:szCs w:val="20"/>
          <w:lang w:val="en"/>
        </w:rPr>
        <w:t>and</w:t>
      </w:r>
      <w:r w:rsidR="00FF41A0">
        <w:rPr>
          <w:rStyle w:val="tlid-translation"/>
          <w:sz w:val="20"/>
          <w:szCs w:val="20"/>
          <w:lang w:val="en"/>
        </w:rPr>
        <w:t xml:space="preserve"> </w:t>
      </w:r>
      <w:r w:rsidR="00323457" w:rsidRPr="0059638B">
        <w:rPr>
          <w:rStyle w:val="tlid-translation"/>
          <w:sz w:val="20"/>
          <w:szCs w:val="20"/>
          <w:lang w:val="en"/>
        </w:rPr>
        <w:t>regulations</w:t>
      </w:r>
      <w:r w:rsidR="00FF41A0">
        <w:rPr>
          <w:rStyle w:val="tlid-translation"/>
          <w:sz w:val="20"/>
          <w:szCs w:val="20"/>
          <w:lang w:val="en"/>
        </w:rPr>
        <w:t xml:space="preserve"> </w:t>
      </w:r>
      <w:r w:rsidR="00323457" w:rsidRPr="0059638B">
        <w:rPr>
          <w:rStyle w:val="tlid-translation"/>
          <w:sz w:val="20"/>
          <w:szCs w:val="20"/>
          <w:lang w:val="en"/>
        </w:rPr>
        <w:t>currently</w:t>
      </w:r>
      <w:r w:rsidR="00FF41A0">
        <w:rPr>
          <w:rStyle w:val="tlid-translation"/>
          <w:sz w:val="20"/>
          <w:szCs w:val="20"/>
          <w:lang w:val="en"/>
        </w:rPr>
        <w:t xml:space="preserve"> </w:t>
      </w:r>
      <w:r w:rsidR="00323457" w:rsidRPr="0059638B">
        <w:rPr>
          <w:rStyle w:val="tlid-translation"/>
          <w:sz w:val="20"/>
          <w:szCs w:val="20"/>
          <w:lang w:val="en"/>
        </w:rPr>
        <w:t>in</w:t>
      </w:r>
      <w:r w:rsidR="00FF41A0">
        <w:rPr>
          <w:rStyle w:val="tlid-translation"/>
          <w:sz w:val="20"/>
          <w:szCs w:val="20"/>
          <w:lang w:val="en"/>
        </w:rPr>
        <w:t xml:space="preserve"> </w:t>
      </w:r>
      <w:r w:rsidR="00323457" w:rsidRPr="0059638B">
        <w:rPr>
          <w:rStyle w:val="tlid-translation"/>
          <w:sz w:val="20"/>
          <w:szCs w:val="20"/>
          <w:lang w:val="en"/>
        </w:rPr>
        <w:t>force</w:t>
      </w:r>
      <w:r w:rsidR="00FF41A0">
        <w:rPr>
          <w:rStyle w:val="tlid-translation"/>
          <w:sz w:val="20"/>
          <w:szCs w:val="20"/>
          <w:lang w:val="en"/>
        </w:rPr>
        <w:t xml:space="preserve"> </w:t>
      </w:r>
      <w:r w:rsidR="00323457" w:rsidRPr="0059638B">
        <w:rPr>
          <w:rStyle w:val="tlid-translation"/>
          <w:sz w:val="20"/>
          <w:szCs w:val="20"/>
          <w:lang w:val="en"/>
        </w:rPr>
        <w:t>in</w:t>
      </w:r>
      <w:r w:rsidR="00FF41A0">
        <w:rPr>
          <w:rStyle w:val="tlid-translation"/>
          <w:sz w:val="20"/>
          <w:szCs w:val="20"/>
          <w:lang w:val="en"/>
        </w:rPr>
        <w:t xml:space="preserve"> </w:t>
      </w:r>
      <w:r w:rsidR="00323457" w:rsidRPr="0059638B">
        <w:rPr>
          <w:rStyle w:val="tlid-translation"/>
          <w:sz w:val="20"/>
          <w:szCs w:val="20"/>
          <w:lang w:val="en"/>
        </w:rPr>
        <w:t>the</w:t>
      </w:r>
      <w:r w:rsidR="00FF41A0">
        <w:rPr>
          <w:rStyle w:val="tlid-translation"/>
          <w:sz w:val="20"/>
          <w:szCs w:val="20"/>
          <w:lang w:val="en"/>
        </w:rPr>
        <w:t xml:space="preserve"> </w:t>
      </w:r>
      <w:r w:rsidR="00323457" w:rsidRPr="0059638B">
        <w:rPr>
          <w:rStyle w:val="tlid-translation"/>
          <w:sz w:val="20"/>
          <w:szCs w:val="20"/>
          <w:lang w:val="en"/>
        </w:rPr>
        <w:t>Principality</w:t>
      </w:r>
      <w:r w:rsidR="00FF41A0">
        <w:rPr>
          <w:rStyle w:val="tlid-translation"/>
          <w:sz w:val="20"/>
          <w:szCs w:val="20"/>
          <w:lang w:val="en"/>
        </w:rPr>
        <w:t xml:space="preserve"> </w:t>
      </w:r>
      <w:r w:rsidR="00323457" w:rsidRPr="0059638B">
        <w:rPr>
          <w:rStyle w:val="tlid-translation"/>
          <w:sz w:val="20"/>
          <w:szCs w:val="20"/>
          <w:lang w:val="en"/>
        </w:rPr>
        <w:t>did</w:t>
      </w:r>
      <w:r w:rsidR="00FF41A0">
        <w:rPr>
          <w:rStyle w:val="tlid-translation"/>
          <w:sz w:val="20"/>
          <w:szCs w:val="20"/>
          <w:lang w:val="en"/>
        </w:rPr>
        <w:t xml:space="preserve"> </w:t>
      </w:r>
      <w:r w:rsidR="00323457" w:rsidRPr="0059638B">
        <w:rPr>
          <w:rStyle w:val="tlid-translation"/>
          <w:sz w:val="20"/>
          <w:szCs w:val="20"/>
          <w:lang w:val="en"/>
        </w:rPr>
        <w:t>not</w:t>
      </w:r>
      <w:r w:rsidR="00FF41A0">
        <w:rPr>
          <w:rStyle w:val="tlid-translation"/>
          <w:sz w:val="20"/>
          <w:szCs w:val="20"/>
          <w:lang w:val="en"/>
        </w:rPr>
        <w:t xml:space="preserve"> </w:t>
      </w:r>
      <w:r w:rsidR="00323457" w:rsidRPr="0059638B">
        <w:rPr>
          <w:rStyle w:val="tlid-translation"/>
          <w:sz w:val="20"/>
          <w:szCs w:val="20"/>
          <w:lang w:val="en"/>
        </w:rPr>
        <w:t>discriminate</w:t>
      </w:r>
      <w:r w:rsidR="00FF41A0">
        <w:rPr>
          <w:rStyle w:val="tlid-translation"/>
          <w:sz w:val="20"/>
          <w:szCs w:val="20"/>
          <w:lang w:val="en"/>
        </w:rPr>
        <w:t xml:space="preserve"> </w:t>
      </w:r>
      <w:r w:rsidR="00323457" w:rsidRPr="0059638B">
        <w:rPr>
          <w:rStyle w:val="tlid-translation"/>
          <w:sz w:val="20"/>
          <w:szCs w:val="20"/>
          <w:lang w:val="en"/>
        </w:rPr>
        <w:t>on</w:t>
      </w:r>
      <w:r w:rsidR="00FF41A0">
        <w:rPr>
          <w:rStyle w:val="tlid-translation"/>
          <w:sz w:val="20"/>
          <w:szCs w:val="20"/>
          <w:lang w:val="en"/>
        </w:rPr>
        <w:t xml:space="preserve"> </w:t>
      </w:r>
      <w:r w:rsidR="00323457" w:rsidRPr="0059638B">
        <w:rPr>
          <w:rStyle w:val="tlid-translation"/>
          <w:sz w:val="20"/>
          <w:szCs w:val="20"/>
          <w:lang w:val="en"/>
        </w:rPr>
        <w:t>the</w:t>
      </w:r>
      <w:r w:rsidR="00FF41A0">
        <w:rPr>
          <w:rStyle w:val="tlid-translation"/>
          <w:sz w:val="20"/>
          <w:szCs w:val="20"/>
          <w:lang w:val="en"/>
        </w:rPr>
        <w:t xml:space="preserve"> </w:t>
      </w:r>
      <w:r w:rsidR="00323457" w:rsidRPr="0059638B">
        <w:rPr>
          <w:rStyle w:val="tlid-translation"/>
          <w:sz w:val="20"/>
          <w:szCs w:val="20"/>
          <w:lang w:val="en"/>
        </w:rPr>
        <w:t>basis</w:t>
      </w:r>
      <w:r w:rsidR="00FF41A0">
        <w:rPr>
          <w:rStyle w:val="tlid-translation"/>
          <w:sz w:val="20"/>
          <w:szCs w:val="20"/>
          <w:lang w:val="en"/>
        </w:rPr>
        <w:t xml:space="preserve"> </w:t>
      </w:r>
      <w:r w:rsidR="00323457" w:rsidRPr="0059638B">
        <w:rPr>
          <w:rStyle w:val="tlid-translation"/>
          <w:sz w:val="20"/>
          <w:szCs w:val="20"/>
          <w:lang w:val="en"/>
        </w:rPr>
        <w:t>of</w:t>
      </w:r>
      <w:r w:rsidR="00FF41A0">
        <w:rPr>
          <w:rStyle w:val="tlid-translation"/>
          <w:sz w:val="20"/>
          <w:szCs w:val="20"/>
          <w:lang w:val="en"/>
        </w:rPr>
        <w:t xml:space="preserve"> </w:t>
      </w:r>
      <w:r w:rsidR="00323457" w:rsidRPr="0059638B">
        <w:rPr>
          <w:rStyle w:val="tlid-translation"/>
          <w:sz w:val="20"/>
          <w:szCs w:val="20"/>
          <w:lang w:val="en"/>
        </w:rPr>
        <w:t>race,</w:t>
      </w:r>
      <w:r w:rsidR="00FF41A0">
        <w:rPr>
          <w:rStyle w:val="tlid-translation"/>
          <w:sz w:val="20"/>
          <w:szCs w:val="20"/>
          <w:lang w:val="en"/>
        </w:rPr>
        <w:t xml:space="preserve"> </w:t>
      </w:r>
      <w:r w:rsidR="00323457" w:rsidRPr="0059638B">
        <w:rPr>
          <w:rStyle w:val="tlid-translation"/>
          <w:sz w:val="20"/>
          <w:szCs w:val="20"/>
          <w:lang w:val="en"/>
        </w:rPr>
        <w:t>color,</w:t>
      </w:r>
      <w:r w:rsidR="00FF41A0">
        <w:rPr>
          <w:rStyle w:val="tlid-translation"/>
          <w:sz w:val="20"/>
          <w:szCs w:val="20"/>
          <w:lang w:val="en"/>
        </w:rPr>
        <w:t xml:space="preserve"> </w:t>
      </w:r>
      <w:r w:rsidR="00323457" w:rsidRPr="0059638B">
        <w:rPr>
          <w:rStyle w:val="tlid-translation"/>
          <w:sz w:val="20"/>
          <w:szCs w:val="20"/>
          <w:lang w:val="en"/>
        </w:rPr>
        <w:t>gender,</w:t>
      </w:r>
      <w:r w:rsidR="00FF41A0">
        <w:rPr>
          <w:rStyle w:val="tlid-translation"/>
          <w:sz w:val="20"/>
          <w:szCs w:val="20"/>
          <w:lang w:val="en"/>
        </w:rPr>
        <w:t xml:space="preserve"> </w:t>
      </w:r>
      <w:r w:rsidR="00323457" w:rsidRPr="0059638B">
        <w:rPr>
          <w:rStyle w:val="tlid-translation"/>
          <w:sz w:val="20"/>
          <w:szCs w:val="20"/>
          <w:lang w:val="en"/>
        </w:rPr>
        <w:t>language</w:t>
      </w:r>
      <w:r w:rsidR="00FF41A0">
        <w:rPr>
          <w:rStyle w:val="tlid-translation"/>
          <w:sz w:val="20"/>
          <w:szCs w:val="20"/>
          <w:lang w:val="en"/>
        </w:rPr>
        <w:t xml:space="preserve"> </w:t>
      </w:r>
      <w:r w:rsidR="00323457" w:rsidRPr="0059638B">
        <w:rPr>
          <w:rStyle w:val="tlid-translation"/>
          <w:sz w:val="20"/>
          <w:szCs w:val="20"/>
          <w:lang w:val="en"/>
        </w:rPr>
        <w:t>or</w:t>
      </w:r>
      <w:r w:rsidR="00FF41A0">
        <w:rPr>
          <w:rStyle w:val="tlid-translation"/>
          <w:sz w:val="20"/>
          <w:szCs w:val="20"/>
          <w:lang w:val="en"/>
        </w:rPr>
        <w:t xml:space="preserve"> </w:t>
      </w:r>
      <w:r w:rsidR="00323457" w:rsidRPr="0059638B">
        <w:rPr>
          <w:rStyle w:val="tlid-translation"/>
          <w:sz w:val="20"/>
          <w:szCs w:val="20"/>
          <w:lang w:val="en"/>
        </w:rPr>
        <w:t>religion.</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system</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p</w:t>
      </w:r>
      <w:r w:rsidR="00323457" w:rsidRPr="0059638B">
        <w:rPr>
          <w:rStyle w:val="alt-edited2"/>
          <w:sz w:val="20"/>
          <w:szCs w:val="20"/>
          <w:lang w:val="en"/>
        </w:rPr>
        <w:t>referential</w:t>
      </w:r>
      <w:r w:rsidR="00FF41A0">
        <w:rPr>
          <w:rStyle w:val="alt-edited2"/>
          <w:sz w:val="20"/>
          <w:szCs w:val="20"/>
          <w:lang w:val="en"/>
        </w:rPr>
        <w:t xml:space="preserve"> </w:t>
      </w:r>
      <w:r w:rsidR="00323457" w:rsidRPr="0059638B">
        <w:rPr>
          <w:rStyle w:val="alt-edited2"/>
          <w:sz w:val="20"/>
          <w:szCs w:val="20"/>
          <w:lang w:val="en"/>
        </w:rPr>
        <w:t>treatment</w:t>
      </w:r>
      <w:r w:rsidR="00FF41A0">
        <w:rPr>
          <w:rStyle w:val="alt-edited2"/>
          <w:sz w:val="20"/>
          <w:szCs w:val="20"/>
          <w:lang w:val="en"/>
        </w:rPr>
        <w:t xml:space="preserve"> </w:t>
      </w:r>
      <w:r w:rsidR="00323457" w:rsidRPr="0059638B">
        <w:rPr>
          <w:rStyle w:val="alt-edited2"/>
          <w:sz w:val="20"/>
          <w:szCs w:val="20"/>
          <w:lang w:val="en"/>
        </w:rPr>
        <w:t>in</w:t>
      </w:r>
      <w:r w:rsidR="00FF41A0">
        <w:rPr>
          <w:rStyle w:val="alt-edited2"/>
          <w:sz w:val="20"/>
          <w:szCs w:val="20"/>
          <w:lang w:val="en"/>
        </w:rPr>
        <w:t xml:space="preserve"> </w:t>
      </w:r>
      <w:r w:rsidR="00323457" w:rsidRPr="0059638B">
        <w:rPr>
          <w:rStyle w:val="alt-edited2"/>
          <w:sz w:val="20"/>
          <w:szCs w:val="20"/>
          <w:lang w:val="en"/>
        </w:rPr>
        <w:t>employment</w:t>
      </w:r>
      <w:r w:rsidR="00FF41A0">
        <w:rPr>
          <w:rStyle w:val="alt-edited2"/>
          <w:sz w:val="20"/>
          <w:szCs w:val="20"/>
          <w:lang w:val="en"/>
        </w:rPr>
        <w:t xml:space="preserve"> </w:t>
      </w:r>
      <w:r w:rsidR="00323457" w:rsidRPr="0059638B">
        <w:rPr>
          <w:rStyle w:val="alt-edited2"/>
          <w:sz w:val="20"/>
          <w:szCs w:val="20"/>
          <w:lang w:val="en"/>
        </w:rPr>
        <w:t>was</w:t>
      </w:r>
      <w:r w:rsidR="00FF41A0">
        <w:rPr>
          <w:rStyle w:val="alt-edited2"/>
          <w:sz w:val="20"/>
          <w:szCs w:val="20"/>
          <w:lang w:val="en"/>
        </w:rPr>
        <w:t xml:space="preserve"> </w:t>
      </w:r>
      <w:r w:rsidR="00323457" w:rsidRPr="0059638B">
        <w:rPr>
          <w:rStyle w:val="alt-edited2"/>
          <w:sz w:val="20"/>
          <w:szCs w:val="20"/>
          <w:lang w:val="en"/>
        </w:rPr>
        <w:t>intended</w:t>
      </w:r>
      <w:r w:rsidR="00FF41A0">
        <w:rPr>
          <w:rStyle w:val="alt-edited2"/>
          <w:sz w:val="20"/>
          <w:szCs w:val="20"/>
          <w:lang w:val="en"/>
        </w:rPr>
        <w:t xml:space="preserve"> </w:t>
      </w:r>
      <w:r w:rsidR="00323457" w:rsidRPr="0059638B">
        <w:rPr>
          <w:rStyle w:val="alt-edited2"/>
          <w:sz w:val="20"/>
          <w:szCs w:val="20"/>
          <w:lang w:val="en"/>
        </w:rPr>
        <w:t>only</w:t>
      </w:r>
      <w:r w:rsidR="00FF41A0">
        <w:rPr>
          <w:rStyle w:val="alt-edited2"/>
          <w:sz w:val="20"/>
          <w:szCs w:val="20"/>
          <w:lang w:val="en"/>
        </w:rPr>
        <w:t xml:space="preserve"> </w:t>
      </w:r>
      <w:r w:rsidR="00323457" w:rsidRPr="0059638B">
        <w:rPr>
          <w:rStyle w:val="alt-edited2"/>
          <w:sz w:val="20"/>
          <w:szCs w:val="20"/>
          <w:lang w:val="en"/>
        </w:rPr>
        <w:t>to</w:t>
      </w:r>
      <w:r w:rsidR="00FF41A0">
        <w:rPr>
          <w:rStyle w:val="alt-edited2"/>
          <w:sz w:val="20"/>
          <w:szCs w:val="20"/>
          <w:lang w:val="en"/>
        </w:rPr>
        <w:t xml:space="preserve"> </w:t>
      </w:r>
      <w:r w:rsidR="00323457" w:rsidRPr="0059638B">
        <w:rPr>
          <w:rStyle w:val="alt-edited2"/>
          <w:sz w:val="20"/>
          <w:szCs w:val="20"/>
          <w:lang w:val="en"/>
        </w:rPr>
        <w:t>protect</w:t>
      </w:r>
      <w:r w:rsidR="00FF41A0">
        <w:rPr>
          <w:rStyle w:val="alt-edited2"/>
          <w:sz w:val="20"/>
          <w:szCs w:val="20"/>
          <w:lang w:val="en"/>
        </w:rPr>
        <w:t xml:space="preserve"> </w:t>
      </w:r>
      <w:r w:rsidR="00323457" w:rsidRPr="0059638B">
        <w:rPr>
          <w:rStyle w:val="alt-edited2"/>
          <w:sz w:val="20"/>
          <w:szCs w:val="20"/>
          <w:lang w:val="en"/>
        </w:rPr>
        <w:t>Monegasque</w:t>
      </w:r>
      <w:r w:rsidR="00FF41A0">
        <w:rPr>
          <w:rStyle w:val="alt-edited2"/>
          <w:sz w:val="20"/>
          <w:szCs w:val="20"/>
          <w:lang w:val="en"/>
        </w:rPr>
        <w:t xml:space="preserve"> </w:t>
      </w:r>
      <w:r w:rsidR="00323457" w:rsidRPr="0059638B">
        <w:rPr>
          <w:rStyle w:val="alt-edited2"/>
          <w:sz w:val="20"/>
          <w:szCs w:val="20"/>
          <w:lang w:val="en"/>
        </w:rPr>
        <w:t>nationals,</w:t>
      </w:r>
      <w:r w:rsidR="00FF41A0">
        <w:rPr>
          <w:rStyle w:val="alt-edited2"/>
          <w:sz w:val="20"/>
          <w:szCs w:val="20"/>
          <w:lang w:val="en"/>
        </w:rPr>
        <w:t xml:space="preserve"> </w:t>
      </w:r>
      <w:r w:rsidR="00323457" w:rsidRPr="0059638B">
        <w:rPr>
          <w:rStyle w:val="alt-edited2"/>
          <w:sz w:val="20"/>
          <w:szCs w:val="20"/>
          <w:lang w:val="en"/>
        </w:rPr>
        <w:t>who</w:t>
      </w:r>
      <w:r w:rsidR="00FF41A0">
        <w:rPr>
          <w:rStyle w:val="alt-edited2"/>
          <w:sz w:val="20"/>
          <w:szCs w:val="20"/>
          <w:lang w:val="en"/>
        </w:rPr>
        <w:t xml:space="preserve"> </w:t>
      </w:r>
      <w:r w:rsidR="00323457" w:rsidRPr="0059638B">
        <w:rPr>
          <w:rStyle w:val="alt-edited2"/>
          <w:sz w:val="20"/>
          <w:szCs w:val="20"/>
          <w:lang w:val="en"/>
        </w:rPr>
        <w:t>were</w:t>
      </w:r>
      <w:r w:rsidR="00FF41A0">
        <w:rPr>
          <w:rStyle w:val="alt-edited2"/>
          <w:sz w:val="20"/>
          <w:szCs w:val="20"/>
          <w:lang w:val="en"/>
        </w:rPr>
        <w:t xml:space="preserve"> </w:t>
      </w:r>
      <w:r w:rsidR="00323457" w:rsidRPr="0059638B">
        <w:rPr>
          <w:rStyle w:val="alt-edited2"/>
          <w:sz w:val="20"/>
          <w:szCs w:val="20"/>
          <w:lang w:val="en"/>
        </w:rPr>
        <w:t>a</w:t>
      </w:r>
      <w:r w:rsidR="00FF41A0">
        <w:rPr>
          <w:rStyle w:val="alt-edited2"/>
          <w:sz w:val="20"/>
          <w:szCs w:val="20"/>
          <w:lang w:val="en"/>
        </w:rPr>
        <w:t xml:space="preserve"> </w:t>
      </w:r>
      <w:r w:rsidR="00323457" w:rsidRPr="0059638B">
        <w:rPr>
          <w:rStyle w:val="alt-edited2"/>
          <w:sz w:val="20"/>
          <w:szCs w:val="20"/>
          <w:lang w:val="en"/>
        </w:rPr>
        <w:t>minority</w:t>
      </w:r>
      <w:r w:rsidR="00FF41A0">
        <w:rPr>
          <w:rStyle w:val="alt-edited2"/>
          <w:sz w:val="20"/>
          <w:szCs w:val="20"/>
          <w:lang w:val="en"/>
        </w:rPr>
        <w:t xml:space="preserve"> </w:t>
      </w:r>
      <w:r w:rsidR="00323457" w:rsidRPr="0059638B">
        <w:rPr>
          <w:rStyle w:val="alt-edited2"/>
          <w:sz w:val="20"/>
          <w:szCs w:val="20"/>
          <w:lang w:val="en"/>
        </w:rPr>
        <w:t>in</w:t>
      </w:r>
      <w:r w:rsidR="00FF41A0">
        <w:rPr>
          <w:rStyle w:val="alt-edited2"/>
          <w:sz w:val="20"/>
          <w:szCs w:val="20"/>
          <w:lang w:val="en"/>
        </w:rPr>
        <w:t xml:space="preserve"> </w:t>
      </w:r>
      <w:r w:rsidR="00323457" w:rsidRPr="0059638B">
        <w:rPr>
          <w:rStyle w:val="alt-edited2"/>
          <w:sz w:val="20"/>
          <w:szCs w:val="20"/>
          <w:lang w:val="en"/>
        </w:rPr>
        <w:t>their</w:t>
      </w:r>
      <w:r w:rsidR="00FF41A0">
        <w:rPr>
          <w:rStyle w:val="alt-edited2"/>
          <w:sz w:val="20"/>
          <w:szCs w:val="20"/>
          <w:lang w:val="en"/>
        </w:rPr>
        <w:t xml:space="preserve"> </w:t>
      </w:r>
      <w:r w:rsidR="00323457" w:rsidRPr="0059638B">
        <w:rPr>
          <w:rStyle w:val="alt-edited2"/>
          <w:sz w:val="20"/>
          <w:szCs w:val="20"/>
          <w:lang w:val="en"/>
        </w:rPr>
        <w:t>own</w:t>
      </w:r>
      <w:r w:rsidR="00FF41A0">
        <w:rPr>
          <w:rStyle w:val="alt-edited2"/>
          <w:sz w:val="20"/>
          <w:szCs w:val="20"/>
          <w:lang w:val="en"/>
        </w:rPr>
        <w:t xml:space="preserve"> </w:t>
      </w:r>
      <w:r w:rsidR="00323457" w:rsidRPr="0059638B">
        <w:rPr>
          <w:rStyle w:val="alt-edited2"/>
          <w:sz w:val="20"/>
          <w:szCs w:val="20"/>
          <w:lang w:val="en"/>
        </w:rPr>
        <w:t>country.</w:t>
      </w:r>
      <w:r w:rsidR="00FF41A0">
        <w:rPr>
          <w:rStyle w:val="tlid-translation"/>
          <w:sz w:val="20"/>
          <w:szCs w:val="20"/>
          <w:lang w:val="en"/>
        </w:rPr>
        <w:t xml:space="preserve"> </w:t>
      </w:r>
      <w:r w:rsidR="00323457" w:rsidRPr="0059638B">
        <w:rPr>
          <w:rStyle w:val="tlid-translation"/>
          <w:sz w:val="20"/>
          <w:szCs w:val="20"/>
          <w:lang w:val="en"/>
        </w:rPr>
        <w:t>Monaco</w:t>
      </w:r>
      <w:r w:rsidR="00FF41A0">
        <w:rPr>
          <w:rStyle w:val="tlid-translation"/>
          <w:sz w:val="20"/>
          <w:szCs w:val="20"/>
          <w:lang w:val="en"/>
        </w:rPr>
        <w:t xml:space="preserve"> </w:t>
      </w:r>
      <w:r w:rsidR="00323457" w:rsidRPr="0059638B">
        <w:rPr>
          <w:rStyle w:val="tlid-translation"/>
          <w:sz w:val="20"/>
          <w:szCs w:val="20"/>
          <w:lang w:val="en"/>
        </w:rPr>
        <w:t>had</w:t>
      </w:r>
      <w:r w:rsidR="00FF41A0">
        <w:rPr>
          <w:rStyle w:val="tlid-translation"/>
          <w:sz w:val="20"/>
          <w:szCs w:val="20"/>
          <w:lang w:val="en"/>
        </w:rPr>
        <w:t xml:space="preserve"> </w:t>
      </w:r>
      <w:r w:rsidR="00323457" w:rsidRPr="0059638B">
        <w:rPr>
          <w:rStyle w:val="tlid-translation"/>
          <w:sz w:val="20"/>
          <w:szCs w:val="20"/>
          <w:lang w:val="en"/>
        </w:rPr>
        <w:t>a</w:t>
      </w:r>
      <w:r w:rsidR="00FF41A0">
        <w:rPr>
          <w:rStyle w:val="tlid-translation"/>
          <w:sz w:val="20"/>
          <w:szCs w:val="20"/>
          <w:lang w:val="en"/>
        </w:rPr>
        <w:t xml:space="preserve"> </w:t>
      </w:r>
      <w:r w:rsidR="00323457" w:rsidRPr="0059638B">
        <w:rPr>
          <w:rStyle w:val="tlid-translation"/>
          <w:sz w:val="20"/>
          <w:szCs w:val="20"/>
          <w:lang w:val="en"/>
        </w:rPr>
        <w:t>territory</w:t>
      </w:r>
      <w:r w:rsidR="00FF41A0">
        <w:rPr>
          <w:rStyle w:val="tlid-translation"/>
          <w:sz w:val="20"/>
          <w:szCs w:val="20"/>
          <w:lang w:val="en"/>
        </w:rPr>
        <w:t xml:space="preserve"> </w:t>
      </w:r>
      <w:r w:rsidR="00323457" w:rsidRPr="0059638B">
        <w:rPr>
          <w:rStyle w:val="tlid-translation"/>
          <w:sz w:val="20"/>
          <w:szCs w:val="20"/>
          <w:lang w:val="en"/>
        </w:rPr>
        <w:t>of</w:t>
      </w:r>
      <w:r w:rsidR="00FF41A0">
        <w:rPr>
          <w:rStyle w:val="tlid-translation"/>
          <w:sz w:val="20"/>
          <w:szCs w:val="20"/>
          <w:lang w:val="en"/>
        </w:rPr>
        <w:t xml:space="preserve"> </w:t>
      </w:r>
      <w:r w:rsidR="00323457" w:rsidRPr="0059638B">
        <w:rPr>
          <w:rStyle w:val="tlid-translation"/>
          <w:sz w:val="20"/>
          <w:szCs w:val="20"/>
          <w:lang w:val="en"/>
        </w:rPr>
        <w:t>2.03</w:t>
      </w:r>
      <w:r w:rsidR="00FF41A0">
        <w:rPr>
          <w:rStyle w:val="tlid-translation"/>
          <w:sz w:val="20"/>
          <w:szCs w:val="20"/>
          <w:lang w:val="en"/>
        </w:rPr>
        <w:t xml:space="preserve"> </w:t>
      </w:r>
      <w:r w:rsidR="00323457" w:rsidRPr="0059638B">
        <w:rPr>
          <w:rStyle w:val="tlid-translation"/>
          <w:sz w:val="20"/>
          <w:szCs w:val="20"/>
          <w:lang w:val="en"/>
        </w:rPr>
        <w:t>km2</w:t>
      </w:r>
      <w:r w:rsidR="00FF41A0">
        <w:rPr>
          <w:rStyle w:val="tlid-translation"/>
          <w:sz w:val="20"/>
          <w:szCs w:val="20"/>
          <w:lang w:val="en"/>
        </w:rPr>
        <w:t xml:space="preserve"> </w:t>
      </w:r>
      <w:r w:rsidR="00323457" w:rsidRPr="0059638B">
        <w:rPr>
          <w:rStyle w:val="tlid-translation"/>
          <w:sz w:val="20"/>
          <w:szCs w:val="20"/>
          <w:lang w:val="en"/>
        </w:rPr>
        <w:t>with</w:t>
      </w:r>
      <w:r w:rsidR="00FF41A0">
        <w:rPr>
          <w:rStyle w:val="tlid-translation"/>
          <w:sz w:val="20"/>
          <w:szCs w:val="20"/>
          <w:lang w:val="en"/>
        </w:rPr>
        <w:t xml:space="preserve"> </w:t>
      </w:r>
      <w:r w:rsidR="00323457" w:rsidRPr="0059638B">
        <w:rPr>
          <w:rStyle w:val="tlid-translation"/>
          <w:sz w:val="20"/>
          <w:szCs w:val="20"/>
          <w:lang w:val="en"/>
        </w:rPr>
        <w:t>a</w:t>
      </w:r>
      <w:r w:rsidR="00FF41A0">
        <w:rPr>
          <w:rStyle w:val="tlid-translation"/>
          <w:sz w:val="20"/>
          <w:szCs w:val="20"/>
          <w:lang w:val="en"/>
        </w:rPr>
        <w:t xml:space="preserve"> </w:t>
      </w:r>
      <w:r w:rsidR="00323457" w:rsidRPr="0059638B">
        <w:rPr>
          <w:rStyle w:val="tlid-translation"/>
          <w:sz w:val="20"/>
          <w:szCs w:val="20"/>
          <w:lang w:val="en"/>
        </w:rPr>
        <w:t>population</w:t>
      </w:r>
      <w:r w:rsidR="00FF41A0">
        <w:rPr>
          <w:rStyle w:val="tlid-translation"/>
          <w:sz w:val="20"/>
          <w:szCs w:val="20"/>
          <w:lang w:val="en"/>
        </w:rPr>
        <w:t xml:space="preserve"> </w:t>
      </w:r>
      <w:r w:rsidR="00323457" w:rsidRPr="0059638B">
        <w:rPr>
          <w:rStyle w:val="tlid-translation"/>
          <w:sz w:val="20"/>
          <w:szCs w:val="20"/>
          <w:lang w:val="en"/>
        </w:rPr>
        <w:t>of</w:t>
      </w:r>
      <w:r w:rsidR="00FF41A0">
        <w:rPr>
          <w:rStyle w:val="tlid-translation"/>
          <w:sz w:val="20"/>
          <w:szCs w:val="20"/>
          <w:lang w:val="en"/>
        </w:rPr>
        <w:t xml:space="preserve"> </w:t>
      </w:r>
      <w:r w:rsidR="00323457" w:rsidRPr="0059638B">
        <w:rPr>
          <w:rStyle w:val="tlid-translation"/>
          <w:sz w:val="20"/>
          <w:szCs w:val="20"/>
          <w:lang w:val="en"/>
        </w:rPr>
        <w:t>38,300</w:t>
      </w:r>
      <w:r w:rsidR="00FF41A0">
        <w:rPr>
          <w:rStyle w:val="tlid-translation"/>
          <w:sz w:val="20"/>
          <w:szCs w:val="20"/>
          <w:lang w:val="en"/>
        </w:rPr>
        <w:t xml:space="preserve"> </w:t>
      </w:r>
      <w:r w:rsidR="00323457" w:rsidRPr="0059638B">
        <w:rPr>
          <w:rStyle w:val="tlid-translation"/>
          <w:sz w:val="20"/>
          <w:szCs w:val="20"/>
          <w:lang w:val="en"/>
        </w:rPr>
        <w:t>of</w:t>
      </w:r>
      <w:r w:rsidR="00FF41A0">
        <w:rPr>
          <w:rStyle w:val="tlid-translation"/>
          <w:sz w:val="20"/>
          <w:szCs w:val="20"/>
          <w:lang w:val="en"/>
        </w:rPr>
        <w:t xml:space="preserve"> </w:t>
      </w:r>
      <w:r w:rsidR="00323457" w:rsidRPr="0059638B">
        <w:rPr>
          <w:rStyle w:val="tlid-translation"/>
          <w:sz w:val="20"/>
          <w:szCs w:val="20"/>
          <w:lang w:val="en"/>
        </w:rPr>
        <w:t>which</w:t>
      </w:r>
      <w:r w:rsidR="00FF41A0">
        <w:rPr>
          <w:rStyle w:val="tlid-translation"/>
          <w:sz w:val="20"/>
          <w:szCs w:val="20"/>
          <w:lang w:val="en"/>
        </w:rPr>
        <w:t xml:space="preserve"> </w:t>
      </w:r>
      <w:r w:rsidR="00323457" w:rsidRPr="0059638B">
        <w:rPr>
          <w:rStyle w:val="tlid-translation"/>
          <w:sz w:val="20"/>
          <w:szCs w:val="20"/>
          <w:lang w:val="en"/>
        </w:rPr>
        <w:t>only</w:t>
      </w:r>
      <w:r w:rsidR="00FF41A0">
        <w:rPr>
          <w:rStyle w:val="tlid-translation"/>
          <w:sz w:val="20"/>
          <w:szCs w:val="20"/>
          <w:lang w:val="en"/>
        </w:rPr>
        <w:t xml:space="preserve"> </w:t>
      </w:r>
      <w:r w:rsidR="00323457" w:rsidRPr="0059638B">
        <w:rPr>
          <w:rStyle w:val="tlid-translation"/>
          <w:sz w:val="20"/>
          <w:szCs w:val="20"/>
          <w:lang w:val="en"/>
        </w:rPr>
        <w:t>9,259</w:t>
      </w:r>
      <w:r w:rsidR="00FF41A0">
        <w:rPr>
          <w:rStyle w:val="tlid-translation"/>
          <w:sz w:val="20"/>
          <w:szCs w:val="20"/>
          <w:lang w:val="en"/>
        </w:rPr>
        <w:t xml:space="preserve"> </w:t>
      </w:r>
      <w:r w:rsidR="00323457" w:rsidRPr="0059638B">
        <w:rPr>
          <w:rStyle w:val="tlid-translation"/>
          <w:sz w:val="20"/>
          <w:szCs w:val="20"/>
          <w:lang w:val="en"/>
        </w:rPr>
        <w:t>were</w:t>
      </w:r>
      <w:r w:rsidR="00FF41A0">
        <w:rPr>
          <w:rStyle w:val="tlid-translation"/>
          <w:sz w:val="20"/>
          <w:szCs w:val="20"/>
          <w:lang w:val="en"/>
        </w:rPr>
        <w:t xml:space="preserve"> </w:t>
      </w:r>
      <w:r w:rsidR="00323457" w:rsidRPr="0059638B">
        <w:rPr>
          <w:rStyle w:val="tlid-translation"/>
          <w:sz w:val="20"/>
          <w:szCs w:val="20"/>
          <w:lang w:val="en"/>
        </w:rPr>
        <w:t>of</w:t>
      </w:r>
      <w:r w:rsidR="00FF41A0">
        <w:rPr>
          <w:rStyle w:val="tlid-translation"/>
          <w:sz w:val="20"/>
          <w:szCs w:val="20"/>
          <w:lang w:val="en"/>
        </w:rPr>
        <w:t xml:space="preserve"> </w:t>
      </w:r>
      <w:r w:rsidR="00323457" w:rsidRPr="0059638B">
        <w:rPr>
          <w:rStyle w:val="tlid-translation"/>
          <w:sz w:val="20"/>
          <w:szCs w:val="20"/>
          <w:lang w:val="en"/>
        </w:rPr>
        <w:t>Monegasque</w:t>
      </w:r>
      <w:r w:rsidR="00FF41A0">
        <w:rPr>
          <w:rStyle w:val="tlid-translation"/>
          <w:sz w:val="20"/>
          <w:szCs w:val="20"/>
          <w:lang w:val="en"/>
        </w:rPr>
        <w:t xml:space="preserve"> </w:t>
      </w:r>
      <w:r w:rsidR="00323457" w:rsidRPr="0059638B">
        <w:rPr>
          <w:rStyle w:val="tlid-translation"/>
          <w:sz w:val="20"/>
          <w:szCs w:val="20"/>
          <w:lang w:val="en"/>
        </w:rPr>
        <w:t>nationality.</w:t>
      </w:r>
      <w:r w:rsidR="00FF41A0">
        <w:rPr>
          <w:sz w:val="20"/>
          <w:szCs w:val="20"/>
          <w:lang w:val="en"/>
        </w:rPr>
        <w:t xml:space="preserve"> </w:t>
      </w:r>
      <w:r w:rsidR="00323457" w:rsidRPr="0059638B">
        <w:rPr>
          <w:sz w:val="20"/>
          <w:szCs w:val="20"/>
          <w:lang w:val="en"/>
        </w:rPr>
        <w:t>In</w:t>
      </w:r>
      <w:r w:rsidR="00FF41A0">
        <w:rPr>
          <w:sz w:val="20"/>
          <w:szCs w:val="20"/>
          <w:lang w:val="en"/>
        </w:rPr>
        <w:t xml:space="preserve"> </w:t>
      </w:r>
      <w:r w:rsidR="00323457" w:rsidRPr="0059638B">
        <w:rPr>
          <w:sz w:val="20"/>
          <w:szCs w:val="20"/>
          <w:lang w:val="en"/>
        </w:rPr>
        <w:t>all</w:t>
      </w:r>
      <w:r w:rsidR="00323457" w:rsidRPr="0059638B">
        <w:rPr>
          <w:sz w:val="20"/>
          <w:szCs w:val="20"/>
        </w:rPr>
        <w:t>,</w:t>
      </w:r>
      <w:r w:rsidR="00FF41A0">
        <w:rPr>
          <w:sz w:val="20"/>
          <w:szCs w:val="20"/>
        </w:rPr>
        <w:t xml:space="preserve"> </w:t>
      </w:r>
      <w:r w:rsidR="00323457" w:rsidRPr="0059638B">
        <w:rPr>
          <w:rStyle w:val="tlid-translation"/>
          <w:sz w:val="20"/>
          <w:szCs w:val="20"/>
          <w:lang w:val="en"/>
        </w:rPr>
        <w:t>98</w:t>
      </w:r>
      <w:r w:rsidR="00FF41A0">
        <w:rPr>
          <w:sz w:val="20"/>
          <w:szCs w:val="20"/>
          <w:lang w:val="en"/>
        </w:rPr>
        <w:t xml:space="preserve"> </w:t>
      </w:r>
      <w:r w:rsidR="00323457" w:rsidRPr="0059638B">
        <w:rPr>
          <w:sz w:val="20"/>
          <w:szCs w:val="20"/>
          <w:lang w:val="en"/>
        </w:rPr>
        <w:t>per</w:t>
      </w:r>
      <w:r w:rsidR="00FF41A0">
        <w:rPr>
          <w:sz w:val="20"/>
          <w:szCs w:val="20"/>
          <w:lang w:val="en"/>
        </w:rPr>
        <w:t xml:space="preserve"> </w:t>
      </w:r>
      <w:r w:rsidR="00323457" w:rsidRPr="0059638B">
        <w:rPr>
          <w:sz w:val="20"/>
          <w:szCs w:val="20"/>
          <w:lang w:val="en"/>
        </w:rPr>
        <w:t>cent</w:t>
      </w:r>
      <w:r w:rsidR="00FF41A0">
        <w:rPr>
          <w:rStyle w:val="tlid-translation"/>
          <w:sz w:val="20"/>
          <w:szCs w:val="20"/>
          <w:lang w:val="en"/>
        </w:rPr>
        <w:t xml:space="preserve"> </w:t>
      </w:r>
      <w:r w:rsidR="00323457" w:rsidRPr="0059638B">
        <w:rPr>
          <w:rStyle w:val="tlid-translation"/>
          <w:sz w:val="20"/>
          <w:szCs w:val="20"/>
          <w:lang w:val="en"/>
        </w:rPr>
        <w:t>of</w:t>
      </w:r>
      <w:r w:rsidR="00FF41A0">
        <w:rPr>
          <w:rStyle w:val="tlid-translation"/>
          <w:sz w:val="20"/>
          <w:szCs w:val="20"/>
          <w:lang w:val="en"/>
        </w:rPr>
        <w:t xml:space="preserve"> </w:t>
      </w:r>
      <w:r w:rsidR="00323457" w:rsidRPr="0059638B">
        <w:rPr>
          <w:rStyle w:val="tlid-translation"/>
          <w:sz w:val="20"/>
          <w:szCs w:val="20"/>
          <w:lang w:val="en"/>
        </w:rPr>
        <w:t>employees</w:t>
      </w:r>
      <w:r w:rsidR="00FF41A0">
        <w:rPr>
          <w:rStyle w:val="tlid-translation"/>
          <w:sz w:val="20"/>
          <w:szCs w:val="20"/>
          <w:lang w:val="en"/>
        </w:rPr>
        <w:t xml:space="preserve"> </w:t>
      </w:r>
      <w:r w:rsidR="00323457" w:rsidRPr="0059638B">
        <w:rPr>
          <w:rStyle w:val="tlid-translation"/>
          <w:sz w:val="20"/>
          <w:szCs w:val="20"/>
          <w:lang w:val="en"/>
        </w:rPr>
        <w:t>of</w:t>
      </w:r>
      <w:r w:rsidR="00FF41A0">
        <w:rPr>
          <w:rStyle w:val="tlid-translation"/>
          <w:sz w:val="20"/>
          <w:szCs w:val="20"/>
          <w:lang w:val="en"/>
        </w:rPr>
        <w:t xml:space="preserve"> </w:t>
      </w:r>
      <w:r w:rsidR="00323457" w:rsidRPr="0059638B">
        <w:rPr>
          <w:rStyle w:val="tlid-translation"/>
          <w:sz w:val="20"/>
          <w:szCs w:val="20"/>
          <w:lang w:val="en"/>
        </w:rPr>
        <w:t>the</w:t>
      </w:r>
      <w:r w:rsidR="00FF41A0">
        <w:rPr>
          <w:rStyle w:val="tlid-translation"/>
          <w:sz w:val="20"/>
          <w:szCs w:val="20"/>
          <w:lang w:val="en"/>
        </w:rPr>
        <w:t xml:space="preserve"> </w:t>
      </w:r>
      <w:r w:rsidR="00323457" w:rsidRPr="0059638B">
        <w:rPr>
          <w:rStyle w:val="tlid-translation"/>
          <w:sz w:val="20"/>
          <w:szCs w:val="20"/>
          <w:lang w:val="en"/>
        </w:rPr>
        <w:t>companies</w:t>
      </w:r>
      <w:r w:rsidR="00FF41A0">
        <w:rPr>
          <w:rStyle w:val="tlid-translation"/>
          <w:sz w:val="20"/>
          <w:szCs w:val="20"/>
          <w:lang w:val="en"/>
        </w:rPr>
        <w:t xml:space="preserve"> </w:t>
      </w:r>
      <w:r w:rsidR="00323457" w:rsidRPr="0059638B">
        <w:rPr>
          <w:rStyle w:val="tlid-translation"/>
          <w:sz w:val="20"/>
          <w:szCs w:val="20"/>
          <w:lang w:val="en"/>
        </w:rPr>
        <w:t>and</w:t>
      </w:r>
      <w:r w:rsidR="00FF41A0">
        <w:rPr>
          <w:rStyle w:val="tlid-translation"/>
          <w:sz w:val="20"/>
          <w:szCs w:val="20"/>
          <w:lang w:val="en"/>
        </w:rPr>
        <w:t xml:space="preserve"> </w:t>
      </w:r>
      <w:r w:rsidR="00323457" w:rsidRPr="0059638B">
        <w:rPr>
          <w:rStyle w:val="tlid-translation"/>
          <w:sz w:val="20"/>
          <w:szCs w:val="20"/>
          <w:lang w:val="en"/>
        </w:rPr>
        <w:t>enterprises</w:t>
      </w:r>
      <w:r w:rsidR="00FF41A0">
        <w:rPr>
          <w:rStyle w:val="tlid-translation"/>
          <w:sz w:val="20"/>
          <w:szCs w:val="20"/>
          <w:lang w:val="en"/>
        </w:rPr>
        <w:t xml:space="preserve"> </w:t>
      </w:r>
      <w:r w:rsidR="00323457" w:rsidRPr="0059638B">
        <w:rPr>
          <w:rStyle w:val="tlid-translation"/>
          <w:sz w:val="20"/>
          <w:szCs w:val="20"/>
          <w:lang w:val="en"/>
        </w:rPr>
        <w:t>in</w:t>
      </w:r>
      <w:r w:rsidR="00FF41A0">
        <w:rPr>
          <w:rStyle w:val="tlid-translation"/>
          <w:sz w:val="20"/>
          <w:szCs w:val="20"/>
          <w:lang w:val="en"/>
        </w:rPr>
        <w:t xml:space="preserve"> </w:t>
      </w:r>
      <w:r w:rsidR="00323457" w:rsidRPr="0059638B">
        <w:rPr>
          <w:rStyle w:val="tlid-translation"/>
          <w:sz w:val="20"/>
          <w:szCs w:val="20"/>
          <w:lang w:val="en"/>
        </w:rPr>
        <w:t>the</w:t>
      </w:r>
      <w:r w:rsidR="00FF41A0">
        <w:rPr>
          <w:rStyle w:val="tlid-translation"/>
          <w:sz w:val="20"/>
          <w:szCs w:val="20"/>
          <w:lang w:val="en"/>
        </w:rPr>
        <w:t xml:space="preserve"> </w:t>
      </w:r>
      <w:r w:rsidR="00323457" w:rsidRPr="0059638B">
        <w:rPr>
          <w:rStyle w:val="tlid-translation"/>
          <w:sz w:val="20"/>
          <w:szCs w:val="20"/>
          <w:lang w:val="en"/>
        </w:rPr>
        <w:t>Principality</w:t>
      </w:r>
      <w:r w:rsidR="00FF41A0">
        <w:rPr>
          <w:rStyle w:val="tlid-translation"/>
          <w:sz w:val="20"/>
          <w:szCs w:val="20"/>
          <w:lang w:val="en"/>
        </w:rPr>
        <w:t xml:space="preserve"> </w:t>
      </w:r>
      <w:r w:rsidR="00323457" w:rsidRPr="0059638B">
        <w:rPr>
          <w:rStyle w:val="tlid-translation"/>
          <w:sz w:val="20"/>
          <w:szCs w:val="20"/>
          <w:lang w:val="en"/>
        </w:rPr>
        <w:t>were</w:t>
      </w:r>
      <w:r w:rsidR="00FF41A0">
        <w:rPr>
          <w:rStyle w:val="tlid-translation"/>
          <w:sz w:val="20"/>
          <w:szCs w:val="20"/>
          <w:lang w:val="en"/>
        </w:rPr>
        <w:t xml:space="preserve"> </w:t>
      </w:r>
      <w:r w:rsidR="00323457" w:rsidRPr="0059638B">
        <w:rPr>
          <w:rStyle w:val="tlid-translation"/>
          <w:sz w:val="20"/>
          <w:szCs w:val="20"/>
          <w:lang w:val="en"/>
        </w:rPr>
        <w:t>non-Monegasque,</w:t>
      </w:r>
      <w:r w:rsidR="00FF41A0">
        <w:rPr>
          <w:rStyle w:val="tlid-translation"/>
          <w:sz w:val="20"/>
          <w:szCs w:val="20"/>
          <w:lang w:val="en"/>
        </w:rPr>
        <w:t xml:space="preserve"> </w:t>
      </w:r>
      <w:r w:rsidR="00323457" w:rsidRPr="0059638B">
        <w:rPr>
          <w:rStyle w:val="tlid-translation"/>
          <w:sz w:val="20"/>
          <w:szCs w:val="20"/>
          <w:lang w:val="en"/>
        </w:rPr>
        <w:t>which</w:t>
      </w:r>
      <w:r w:rsidR="00FF41A0">
        <w:rPr>
          <w:rStyle w:val="tlid-translation"/>
          <w:sz w:val="20"/>
          <w:szCs w:val="20"/>
          <w:lang w:val="en"/>
        </w:rPr>
        <w:t xml:space="preserve"> </w:t>
      </w:r>
      <w:r w:rsidR="00323457" w:rsidRPr="0059638B">
        <w:rPr>
          <w:rStyle w:val="tlid-translation"/>
          <w:sz w:val="20"/>
          <w:szCs w:val="20"/>
          <w:lang w:val="en"/>
        </w:rPr>
        <w:t>demonstrated</w:t>
      </w:r>
      <w:r w:rsidR="00FF41A0">
        <w:rPr>
          <w:rStyle w:val="tlid-translation"/>
          <w:sz w:val="20"/>
          <w:szCs w:val="20"/>
          <w:lang w:val="en"/>
        </w:rPr>
        <w:t xml:space="preserve"> </w:t>
      </w:r>
      <w:r w:rsidR="00323457" w:rsidRPr="0059638B">
        <w:rPr>
          <w:rStyle w:val="tlid-translation"/>
          <w:sz w:val="20"/>
          <w:szCs w:val="20"/>
          <w:lang w:val="en"/>
        </w:rPr>
        <w:t>that</w:t>
      </w:r>
      <w:r w:rsidR="00FF41A0">
        <w:rPr>
          <w:rStyle w:val="tlid-translation"/>
          <w:sz w:val="20"/>
          <w:szCs w:val="20"/>
          <w:lang w:val="en"/>
        </w:rPr>
        <w:t xml:space="preserve"> </w:t>
      </w:r>
      <w:r w:rsidR="00323457" w:rsidRPr="0059638B">
        <w:rPr>
          <w:rStyle w:val="tlid-translation"/>
          <w:sz w:val="20"/>
          <w:szCs w:val="20"/>
          <w:lang w:val="en"/>
        </w:rPr>
        <w:t>the</w:t>
      </w:r>
      <w:r w:rsidR="00FF41A0">
        <w:rPr>
          <w:rStyle w:val="tlid-translation"/>
          <w:sz w:val="20"/>
          <w:szCs w:val="20"/>
          <w:lang w:val="en"/>
        </w:rPr>
        <w:t xml:space="preserve"> </w:t>
      </w:r>
      <w:r w:rsidR="00323457" w:rsidRPr="0059638B">
        <w:rPr>
          <w:rStyle w:val="tlid-translation"/>
          <w:sz w:val="20"/>
          <w:szCs w:val="20"/>
          <w:lang w:val="en"/>
        </w:rPr>
        <w:t>system</w:t>
      </w:r>
      <w:r w:rsidR="00FF41A0">
        <w:rPr>
          <w:rStyle w:val="tlid-translation"/>
          <w:sz w:val="20"/>
          <w:szCs w:val="20"/>
          <w:lang w:val="en"/>
        </w:rPr>
        <w:t xml:space="preserve"> </w:t>
      </w:r>
      <w:r w:rsidR="00323457" w:rsidRPr="0059638B">
        <w:rPr>
          <w:rStyle w:val="tlid-translation"/>
          <w:sz w:val="20"/>
          <w:szCs w:val="20"/>
          <w:lang w:val="en"/>
        </w:rPr>
        <w:t>of</w:t>
      </w:r>
      <w:r w:rsidR="00FF41A0">
        <w:rPr>
          <w:rStyle w:val="tlid-translation"/>
          <w:sz w:val="20"/>
          <w:szCs w:val="20"/>
          <w:lang w:val="en"/>
        </w:rPr>
        <w:t xml:space="preserve"> </w:t>
      </w:r>
      <w:r w:rsidR="00323457" w:rsidRPr="0059638B">
        <w:rPr>
          <w:rStyle w:val="tlid-translation"/>
          <w:sz w:val="20"/>
          <w:szCs w:val="20"/>
          <w:lang w:val="en"/>
        </w:rPr>
        <w:t>priorities</w:t>
      </w:r>
      <w:r w:rsidR="00FF41A0">
        <w:rPr>
          <w:rStyle w:val="tlid-translation"/>
          <w:sz w:val="20"/>
          <w:szCs w:val="20"/>
          <w:lang w:val="en"/>
        </w:rPr>
        <w:t xml:space="preserve"> </w:t>
      </w:r>
      <w:r w:rsidR="00323457" w:rsidRPr="0059638B">
        <w:rPr>
          <w:rStyle w:val="tlid-translation"/>
          <w:sz w:val="20"/>
          <w:szCs w:val="20"/>
          <w:lang w:val="en"/>
        </w:rPr>
        <w:t>did</w:t>
      </w:r>
      <w:r w:rsidR="00FF41A0">
        <w:rPr>
          <w:rStyle w:val="tlid-translation"/>
          <w:sz w:val="20"/>
          <w:szCs w:val="20"/>
          <w:lang w:val="en"/>
        </w:rPr>
        <w:t xml:space="preserve"> </w:t>
      </w:r>
      <w:r w:rsidR="00323457" w:rsidRPr="0059638B">
        <w:rPr>
          <w:rStyle w:val="tlid-translation"/>
          <w:sz w:val="20"/>
          <w:szCs w:val="20"/>
          <w:lang w:val="en"/>
        </w:rPr>
        <w:t>not</w:t>
      </w:r>
      <w:r w:rsidR="00FF41A0">
        <w:rPr>
          <w:rStyle w:val="tlid-translation"/>
          <w:sz w:val="20"/>
          <w:szCs w:val="20"/>
          <w:lang w:val="en"/>
        </w:rPr>
        <w:t xml:space="preserve"> </w:t>
      </w:r>
      <w:r w:rsidR="00323457" w:rsidRPr="0059638B">
        <w:rPr>
          <w:rStyle w:val="tlid-translation"/>
          <w:sz w:val="20"/>
          <w:szCs w:val="20"/>
          <w:lang w:val="en"/>
        </w:rPr>
        <w:t>have</w:t>
      </w:r>
      <w:r w:rsidR="00FF41A0">
        <w:rPr>
          <w:rStyle w:val="tlid-translation"/>
          <w:sz w:val="20"/>
          <w:szCs w:val="20"/>
          <w:lang w:val="en"/>
        </w:rPr>
        <w:t xml:space="preserve"> </w:t>
      </w:r>
      <w:r w:rsidR="00323457" w:rsidRPr="0059638B">
        <w:rPr>
          <w:rStyle w:val="tlid-translation"/>
          <w:sz w:val="20"/>
          <w:szCs w:val="20"/>
          <w:lang w:val="en"/>
        </w:rPr>
        <w:t>any</w:t>
      </w:r>
      <w:r w:rsidR="00FF41A0">
        <w:rPr>
          <w:rStyle w:val="tlid-translation"/>
          <w:sz w:val="20"/>
          <w:szCs w:val="20"/>
          <w:lang w:val="en"/>
        </w:rPr>
        <w:t xml:space="preserve"> </w:t>
      </w:r>
      <w:r w:rsidR="00323457" w:rsidRPr="0059638B">
        <w:rPr>
          <w:rStyle w:val="tlid-translation"/>
          <w:sz w:val="20"/>
          <w:szCs w:val="20"/>
          <w:lang w:val="en"/>
        </w:rPr>
        <w:t>negative</w:t>
      </w:r>
      <w:r w:rsidR="00FF41A0">
        <w:rPr>
          <w:rStyle w:val="tlid-translation"/>
          <w:sz w:val="20"/>
          <w:szCs w:val="20"/>
          <w:lang w:val="en"/>
        </w:rPr>
        <w:t xml:space="preserve"> </w:t>
      </w:r>
      <w:r w:rsidR="00323457" w:rsidRPr="0059638B">
        <w:rPr>
          <w:rStyle w:val="tlid-translation"/>
          <w:sz w:val="20"/>
          <w:szCs w:val="20"/>
          <w:lang w:val="en"/>
        </w:rPr>
        <w:t>impact</w:t>
      </w:r>
      <w:r w:rsidR="00FF41A0">
        <w:rPr>
          <w:rStyle w:val="tlid-translation"/>
          <w:sz w:val="20"/>
          <w:szCs w:val="20"/>
          <w:lang w:val="en"/>
        </w:rPr>
        <w:t xml:space="preserve"> </w:t>
      </w:r>
      <w:r w:rsidR="00323457" w:rsidRPr="0059638B">
        <w:rPr>
          <w:rStyle w:val="tlid-translation"/>
          <w:sz w:val="20"/>
          <w:szCs w:val="20"/>
          <w:lang w:val="en"/>
        </w:rPr>
        <w:t>on</w:t>
      </w:r>
      <w:r w:rsidR="00FF41A0">
        <w:rPr>
          <w:rStyle w:val="tlid-translation"/>
          <w:sz w:val="20"/>
          <w:szCs w:val="20"/>
          <w:lang w:val="en"/>
        </w:rPr>
        <w:t xml:space="preserve"> </w:t>
      </w:r>
      <w:r w:rsidR="00323457" w:rsidRPr="0059638B">
        <w:rPr>
          <w:rStyle w:val="tlid-translation"/>
          <w:sz w:val="20"/>
          <w:szCs w:val="20"/>
          <w:lang w:val="en"/>
        </w:rPr>
        <w:t>access</w:t>
      </w:r>
      <w:r w:rsidR="00FF41A0">
        <w:rPr>
          <w:rStyle w:val="tlid-translation"/>
          <w:sz w:val="20"/>
          <w:szCs w:val="20"/>
          <w:lang w:val="en"/>
        </w:rPr>
        <w:t xml:space="preserve"> </w:t>
      </w:r>
      <w:r w:rsidR="00323457" w:rsidRPr="0059638B">
        <w:rPr>
          <w:rStyle w:val="tlid-translation"/>
          <w:sz w:val="20"/>
          <w:szCs w:val="20"/>
          <w:lang w:val="en"/>
        </w:rPr>
        <w:t>to</w:t>
      </w:r>
      <w:r w:rsidR="00FF41A0">
        <w:rPr>
          <w:rStyle w:val="tlid-translation"/>
          <w:sz w:val="20"/>
          <w:szCs w:val="20"/>
          <w:lang w:val="en"/>
        </w:rPr>
        <w:t xml:space="preserve"> </w:t>
      </w:r>
      <w:r w:rsidR="00323457" w:rsidRPr="0059638B">
        <w:rPr>
          <w:rStyle w:val="tlid-translation"/>
          <w:sz w:val="20"/>
          <w:szCs w:val="20"/>
          <w:lang w:val="en"/>
        </w:rPr>
        <w:t>employment</w:t>
      </w:r>
      <w:r w:rsidR="00FF41A0">
        <w:rPr>
          <w:rStyle w:val="tlid-translation"/>
          <w:sz w:val="20"/>
          <w:szCs w:val="20"/>
          <w:lang w:val="en"/>
        </w:rPr>
        <w:t xml:space="preserve"> </w:t>
      </w:r>
      <w:r w:rsidR="00323457" w:rsidRPr="0059638B">
        <w:rPr>
          <w:rStyle w:val="tlid-translation"/>
          <w:sz w:val="20"/>
          <w:szCs w:val="20"/>
          <w:lang w:val="en"/>
        </w:rPr>
        <w:t>in</w:t>
      </w:r>
      <w:r w:rsidR="00FF41A0">
        <w:rPr>
          <w:rStyle w:val="tlid-translation"/>
          <w:sz w:val="20"/>
          <w:szCs w:val="20"/>
          <w:lang w:val="en"/>
        </w:rPr>
        <w:t xml:space="preserve"> </w:t>
      </w:r>
      <w:r w:rsidR="00323457" w:rsidRPr="0059638B">
        <w:rPr>
          <w:rStyle w:val="tlid-translation"/>
          <w:sz w:val="20"/>
          <w:szCs w:val="20"/>
          <w:lang w:val="en"/>
        </w:rPr>
        <w:t>the</w:t>
      </w:r>
      <w:r w:rsidR="00FF41A0">
        <w:rPr>
          <w:rStyle w:val="tlid-translation"/>
          <w:sz w:val="20"/>
          <w:szCs w:val="20"/>
          <w:lang w:val="en"/>
        </w:rPr>
        <w:t xml:space="preserve"> </w:t>
      </w:r>
      <w:r w:rsidR="00323457" w:rsidRPr="0059638B">
        <w:rPr>
          <w:rStyle w:val="tlid-translation"/>
          <w:sz w:val="20"/>
          <w:szCs w:val="20"/>
          <w:lang w:val="en"/>
        </w:rPr>
        <w:t>country</w:t>
      </w:r>
      <w:r w:rsidR="00FF41A0">
        <w:rPr>
          <w:rStyle w:val="tlid-translation"/>
          <w:sz w:val="20"/>
          <w:szCs w:val="20"/>
          <w:lang w:val="en"/>
        </w:rPr>
        <w:t xml:space="preserve"> </w:t>
      </w:r>
      <w:r w:rsidR="00323457" w:rsidRPr="0059638B">
        <w:rPr>
          <w:rStyle w:val="tlid-translation"/>
          <w:sz w:val="20"/>
          <w:szCs w:val="20"/>
          <w:lang w:val="en"/>
        </w:rPr>
        <w:t>for</w:t>
      </w:r>
      <w:r w:rsidR="00FF41A0">
        <w:rPr>
          <w:rStyle w:val="tlid-translation"/>
          <w:sz w:val="20"/>
          <w:szCs w:val="20"/>
          <w:lang w:val="en"/>
        </w:rPr>
        <w:t xml:space="preserve"> </w:t>
      </w:r>
      <w:r w:rsidR="00323457" w:rsidRPr="0059638B">
        <w:rPr>
          <w:rStyle w:val="tlid-translation"/>
          <w:sz w:val="20"/>
          <w:szCs w:val="20"/>
          <w:lang w:val="en"/>
        </w:rPr>
        <w:t>foreign</w:t>
      </w:r>
      <w:r w:rsidR="00FF41A0">
        <w:rPr>
          <w:rStyle w:val="tlid-translation"/>
          <w:sz w:val="20"/>
          <w:szCs w:val="20"/>
          <w:lang w:val="en"/>
        </w:rPr>
        <w:t xml:space="preserve"> </w:t>
      </w:r>
      <w:r w:rsidR="00323457" w:rsidRPr="0059638B">
        <w:rPr>
          <w:rStyle w:val="tlid-translation"/>
          <w:sz w:val="20"/>
          <w:szCs w:val="20"/>
          <w:lang w:val="en"/>
        </w:rPr>
        <w:t>nationals.</w:t>
      </w:r>
    </w:p>
    <w:p w14:paraId="5AA72A83" w14:textId="29289F10" w:rsidR="00323457" w:rsidRPr="0059638B" w:rsidRDefault="00972F1E" w:rsidP="00323457">
      <w:pPr>
        <w:pStyle w:val="SingleTxtG"/>
        <w:rPr>
          <w:sz w:val="20"/>
          <w:szCs w:val="20"/>
          <w:lang w:val="en"/>
        </w:rPr>
      </w:pPr>
      <w:r>
        <w:rPr>
          <w:sz w:val="20"/>
          <w:szCs w:val="20"/>
          <w:lang w:val="en"/>
        </w:rPr>
        <w:t>729</w:t>
      </w:r>
      <w:r w:rsidR="00D7475F">
        <w:rPr>
          <w:sz w:val="20"/>
          <w:szCs w:val="20"/>
          <w:lang w:val="en"/>
        </w:rPr>
        <w:t>.</w:t>
      </w:r>
      <w:r w:rsidR="00D7475F">
        <w:rPr>
          <w:sz w:val="20"/>
          <w:szCs w:val="20"/>
          <w:lang w:val="en"/>
        </w:rPr>
        <w:tab/>
      </w:r>
      <w:r w:rsidR="00323457" w:rsidRPr="0059638B">
        <w:rPr>
          <w:sz w:val="20"/>
          <w:szCs w:val="20"/>
          <w:lang w:val="en"/>
        </w:rPr>
        <w:t>Similarly,</w:t>
      </w:r>
      <w:r w:rsidR="00FF41A0">
        <w:rPr>
          <w:sz w:val="20"/>
          <w:szCs w:val="20"/>
          <w:lang w:val="en"/>
        </w:rPr>
        <w:t xml:space="preserve"> </w:t>
      </w:r>
      <w:r w:rsidR="00323457" w:rsidRPr="0059638B">
        <w:rPr>
          <w:sz w:val="20"/>
          <w:szCs w:val="20"/>
          <w:lang w:val="en"/>
        </w:rPr>
        <w:t>regarding</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ratification</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rPr>
        <w:t>International</w:t>
      </w:r>
      <w:r w:rsidR="00FF41A0">
        <w:rPr>
          <w:sz w:val="20"/>
          <w:szCs w:val="20"/>
        </w:rPr>
        <w:t xml:space="preserve"> </w:t>
      </w:r>
      <w:r w:rsidR="00323457" w:rsidRPr="0059638B">
        <w:rPr>
          <w:sz w:val="20"/>
          <w:szCs w:val="20"/>
        </w:rPr>
        <w:t>Convention</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Migrant</w:t>
      </w:r>
      <w:r w:rsidR="00FF41A0">
        <w:rPr>
          <w:sz w:val="20"/>
          <w:szCs w:val="20"/>
        </w:rPr>
        <w:t xml:space="preserve"> </w:t>
      </w:r>
      <w:r w:rsidR="00323457" w:rsidRPr="0059638B">
        <w:rPr>
          <w:sz w:val="20"/>
          <w:szCs w:val="20"/>
        </w:rPr>
        <w:t>Workers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Members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Their</w:t>
      </w:r>
      <w:r w:rsidR="00FF41A0">
        <w:rPr>
          <w:sz w:val="20"/>
          <w:szCs w:val="20"/>
        </w:rPr>
        <w:t xml:space="preserve"> </w:t>
      </w:r>
      <w:r w:rsidR="00323457" w:rsidRPr="0059638B">
        <w:rPr>
          <w:sz w:val="20"/>
          <w:szCs w:val="20"/>
        </w:rPr>
        <w:t>Families,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delegation</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lang w:val="en"/>
        </w:rPr>
        <w:t xml:space="preserve"> </w:t>
      </w:r>
      <w:r w:rsidR="00323457" w:rsidRPr="0059638B">
        <w:rPr>
          <w:sz w:val="20"/>
          <w:szCs w:val="20"/>
          <w:lang w:val="en"/>
        </w:rPr>
        <w:t>priority</w:t>
      </w:r>
      <w:r w:rsidR="00FF41A0">
        <w:rPr>
          <w:sz w:val="20"/>
          <w:szCs w:val="20"/>
          <w:lang w:val="en"/>
        </w:rPr>
        <w:t xml:space="preserve"> </w:t>
      </w:r>
      <w:r w:rsidR="00323457" w:rsidRPr="0059638B">
        <w:rPr>
          <w:sz w:val="20"/>
          <w:szCs w:val="20"/>
          <w:lang w:val="en"/>
        </w:rPr>
        <w:t>given</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nationals</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housing</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employment,</w:t>
      </w:r>
      <w:r w:rsidR="00FF41A0">
        <w:rPr>
          <w:sz w:val="20"/>
          <w:szCs w:val="20"/>
          <w:lang w:val="en"/>
        </w:rPr>
        <w:t xml:space="preserve"> </w:t>
      </w:r>
      <w:r w:rsidR="00323457" w:rsidRPr="0059638B">
        <w:rPr>
          <w:sz w:val="20"/>
          <w:szCs w:val="20"/>
          <w:lang w:val="en"/>
        </w:rPr>
        <w:t>as</w:t>
      </w:r>
      <w:r w:rsidR="00FF41A0">
        <w:rPr>
          <w:sz w:val="20"/>
          <w:szCs w:val="20"/>
          <w:lang w:val="en"/>
        </w:rPr>
        <w:t xml:space="preserve"> </w:t>
      </w:r>
      <w:r w:rsidR="00323457" w:rsidRPr="0059638B">
        <w:rPr>
          <w:sz w:val="20"/>
          <w:szCs w:val="20"/>
          <w:lang w:val="en"/>
        </w:rPr>
        <w:t>they</w:t>
      </w:r>
      <w:r w:rsidR="00FF41A0">
        <w:rPr>
          <w:sz w:val="20"/>
          <w:szCs w:val="20"/>
          <w:lang w:val="en"/>
        </w:rPr>
        <w:t xml:space="preserve"> </w:t>
      </w:r>
      <w:r w:rsidR="00323457" w:rsidRPr="0059638B">
        <w:rPr>
          <w:sz w:val="20"/>
          <w:szCs w:val="20"/>
          <w:lang w:val="en"/>
        </w:rPr>
        <w:t>are</w:t>
      </w:r>
      <w:r w:rsidR="00FF41A0">
        <w:rPr>
          <w:sz w:val="20"/>
          <w:szCs w:val="20"/>
          <w:lang w:val="en"/>
        </w:rPr>
        <w:t xml:space="preserve"> </w:t>
      </w:r>
      <w:r w:rsidR="00323457" w:rsidRPr="0059638B">
        <w:rPr>
          <w:sz w:val="20"/>
          <w:szCs w:val="20"/>
          <w:lang w:val="en"/>
        </w:rPr>
        <w:t>a</w:t>
      </w:r>
      <w:r w:rsidR="00FF41A0">
        <w:rPr>
          <w:sz w:val="20"/>
          <w:szCs w:val="20"/>
          <w:lang w:val="en"/>
        </w:rPr>
        <w:t xml:space="preserve"> </w:t>
      </w:r>
      <w:r w:rsidR="00323457" w:rsidRPr="0059638B">
        <w:rPr>
          <w:sz w:val="20"/>
          <w:szCs w:val="20"/>
          <w:lang w:val="en"/>
        </w:rPr>
        <w:t>minority</w:t>
      </w:r>
      <w:r w:rsidR="00FF41A0">
        <w:rPr>
          <w:sz w:val="20"/>
          <w:szCs w:val="20"/>
          <w:lang w:val="en"/>
        </w:rPr>
        <w:t xml:space="preserve"> </w:t>
      </w:r>
      <w:r w:rsidR="00323457" w:rsidRPr="0059638B">
        <w:rPr>
          <w:sz w:val="20"/>
          <w:szCs w:val="20"/>
          <w:lang w:val="en"/>
        </w:rPr>
        <w:t>in</w:t>
      </w:r>
      <w:r w:rsidR="00FF41A0">
        <w:rPr>
          <w:sz w:val="20"/>
          <w:szCs w:val="20"/>
          <w:lang w:val="en"/>
        </w:rPr>
        <w:t xml:space="preserve"> </w:t>
      </w:r>
      <w:r w:rsidR="00323457" w:rsidRPr="0059638B">
        <w:rPr>
          <w:sz w:val="20"/>
          <w:szCs w:val="20"/>
          <w:lang w:val="en"/>
        </w:rPr>
        <w:t>their</w:t>
      </w:r>
      <w:r w:rsidR="00FF41A0">
        <w:rPr>
          <w:sz w:val="20"/>
          <w:szCs w:val="20"/>
          <w:lang w:val="en"/>
        </w:rPr>
        <w:t xml:space="preserve"> </w:t>
      </w:r>
      <w:r w:rsidR="00323457" w:rsidRPr="0059638B">
        <w:rPr>
          <w:sz w:val="20"/>
          <w:szCs w:val="20"/>
          <w:lang w:val="en"/>
        </w:rPr>
        <w:t>own</w:t>
      </w:r>
      <w:r w:rsidR="00FF41A0">
        <w:rPr>
          <w:sz w:val="20"/>
          <w:szCs w:val="20"/>
          <w:lang w:val="en"/>
        </w:rPr>
        <w:t xml:space="preserve"> </w:t>
      </w:r>
      <w:r w:rsidR="00323457" w:rsidRPr="0059638B">
        <w:rPr>
          <w:sz w:val="20"/>
          <w:szCs w:val="20"/>
          <w:lang w:val="en"/>
        </w:rPr>
        <w:t>country,</w:t>
      </w:r>
      <w:r w:rsidR="00FF41A0">
        <w:rPr>
          <w:sz w:val="20"/>
          <w:szCs w:val="20"/>
          <w:lang w:val="en"/>
        </w:rPr>
        <w:t xml:space="preserve"> </w:t>
      </w:r>
      <w:r w:rsidR="00323457" w:rsidRPr="0059638B">
        <w:rPr>
          <w:sz w:val="20"/>
          <w:szCs w:val="20"/>
          <w:lang w:val="en"/>
        </w:rPr>
        <w:t>did</w:t>
      </w:r>
      <w:r w:rsidR="00FF41A0">
        <w:rPr>
          <w:sz w:val="20"/>
          <w:szCs w:val="20"/>
          <w:lang w:val="en"/>
        </w:rPr>
        <w:t xml:space="preserve"> </w:t>
      </w:r>
      <w:r w:rsidR="00323457" w:rsidRPr="0059638B">
        <w:rPr>
          <w:sz w:val="20"/>
          <w:szCs w:val="20"/>
          <w:lang w:val="en"/>
        </w:rPr>
        <w:t>not</w:t>
      </w:r>
      <w:r w:rsidR="00FF41A0">
        <w:rPr>
          <w:sz w:val="20"/>
          <w:szCs w:val="20"/>
          <w:lang w:val="en"/>
        </w:rPr>
        <w:t xml:space="preserve"> </w:t>
      </w:r>
      <w:r w:rsidR="00323457" w:rsidRPr="0059638B">
        <w:rPr>
          <w:sz w:val="20"/>
          <w:szCs w:val="20"/>
          <w:lang w:val="en"/>
        </w:rPr>
        <w:t>allow</w:t>
      </w:r>
      <w:r w:rsidR="00FF41A0">
        <w:rPr>
          <w:sz w:val="20"/>
          <w:szCs w:val="20"/>
          <w:lang w:val="en"/>
        </w:rPr>
        <w:t xml:space="preserve"> </w:t>
      </w:r>
      <w:r w:rsidR="00323457" w:rsidRPr="0059638B">
        <w:rPr>
          <w:sz w:val="20"/>
          <w:szCs w:val="20"/>
          <w:lang w:val="en"/>
        </w:rPr>
        <w:t>for</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ratification</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this</w:t>
      </w:r>
      <w:r w:rsidR="00FF41A0">
        <w:rPr>
          <w:sz w:val="20"/>
          <w:szCs w:val="20"/>
          <w:lang w:val="en"/>
        </w:rPr>
        <w:t xml:space="preserve"> </w:t>
      </w:r>
      <w:r w:rsidR="00323457" w:rsidRPr="0059638B">
        <w:rPr>
          <w:sz w:val="20"/>
          <w:szCs w:val="20"/>
          <w:lang w:val="en"/>
        </w:rPr>
        <w:t>Convention</w:t>
      </w:r>
      <w:r w:rsidR="00FF41A0">
        <w:rPr>
          <w:sz w:val="20"/>
          <w:szCs w:val="20"/>
          <w:lang w:val="en"/>
        </w:rPr>
        <w:t xml:space="preserve"> </w:t>
      </w:r>
      <w:r w:rsidR="00323457" w:rsidRPr="0059638B">
        <w:rPr>
          <w:sz w:val="20"/>
          <w:szCs w:val="20"/>
          <w:lang w:val="en"/>
        </w:rPr>
        <w:t>for</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moment.</w:t>
      </w:r>
      <w:r w:rsidR="00FF41A0">
        <w:rPr>
          <w:sz w:val="20"/>
          <w:szCs w:val="20"/>
          <w:lang w:val="en"/>
        </w:rPr>
        <w:t xml:space="preserve"> </w:t>
      </w:r>
      <w:r w:rsidR="00323457" w:rsidRPr="0059638B">
        <w:rPr>
          <w:sz w:val="20"/>
          <w:szCs w:val="20"/>
          <w:lang w:val="en"/>
        </w:rPr>
        <w:t>Monaco</w:t>
      </w:r>
      <w:r w:rsidR="00D72627">
        <w:rPr>
          <w:sz w:val="20"/>
          <w:szCs w:val="20"/>
          <w:lang w:val="en"/>
        </w:rPr>
        <w:t>’</w:t>
      </w:r>
      <w:r w:rsidR="00323457" w:rsidRPr="0059638B">
        <w:rPr>
          <w:sz w:val="20"/>
          <w:szCs w:val="20"/>
          <w:lang w:val="en"/>
        </w:rPr>
        <w:t>s</w:t>
      </w:r>
      <w:r w:rsidR="00FF41A0">
        <w:rPr>
          <w:sz w:val="20"/>
          <w:szCs w:val="20"/>
          <w:lang w:val="en"/>
        </w:rPr>
        <w:t xml:space="preserve"> </w:t>
      </w:r>
      <w:r w:rsidR="00323457" w:rsidRPr="0059638B">
        <w:rPr>
          <w:sz w:val="20"/>
          <w:szCs w:val="20"/>
          <w:lang w:val="en"/>
        </w:rPr>
        <w:t>small</w:t>
      </w:r>
      <w:r w:rsidR="00FF41A0">
        <w:rPr>
          <w:sz w:val="20"/>
          <w:szCs w:val="20"/>
          <w:lang w:val="en"/>
        </w:rPr>
        <w:t xml:space="preserve"> </w:t>
      </w:r>
      <w:r w:rsidR="00323457" w:rsidRPr="0059638B">
        <w:rPr>
          <w:sz w:val="20"/>
          <w:szCs w:val="20"/>
          <w:lang w:val="en"/>
        </w:rPr>
        <w:t>territory,</w:t>
      </w:r>
      <w:r w:rsidR="00FF41A0">
        <w:rPr>
          <w:sz w:val="20"/>
          <w:szCs w:val="20"/>
          <w:lang w:val="en"/>
        </w:rPr>
        <w:t xml:space="preserve"> </w:t>
      </w:r>
      <w:r w:rsidR="00323457" w:rsidRPr="0059638B">
        <w:rPr>
          <w:sz w:val="20"/>
          <w:szCs w:val="20"/>
          <w:lang w:val="en"/>
        </w:rPr>
        <w:t>combined</w:t>
      </w:r>
      <w:r w:rsidR="00FF41A0">
        <w:rPr>
          <w:sz w:val="20"/>
          <w:szCs w:val="20"/>
          <w:lang w:val="en"/>
        </w:rPr>
        <w:t xml:space="preserve"> </w:t>
      </w:r>
      <w:r w:rsidR="00323457" w:rsidRPr="0059638B">
        <w:rPr>
          <w:sz w:val="20"/>
          <w:szCs w:val="20"/>
          <w:lang w:val="en"/>
        </w:rPr>
        <w:t>with</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monitoring</w:t>
      </w:r>
      <w:r w:rsidR="00FF41A0">
        <w:rPr>
          <w:sz w:val="20"/>
          <w:szCs w:val="20"/>
          <w:lang w:val="en"/>
        </w:rPr>
        <w:t xml:space="preserve"> </w:t>
      </w:r>
      <w:r w:rsidR="00323457" w:rsidRPr="0059638B">
        <w:rPr>
          <w:sz w:val="20"/>
          <w:szCs w:val="20"/>
          <w:lang w:val="en"/>
        </w:rPr>
        <w:t>by</w:t>
      </w:r>
      <w:r w:rsidR="00FF41A0">
        <w:rPr>
          <w:sz w:val="20"/>
          <w:szCs w:val="20"/>
          <w:lang w:val="en"/>
        </w:rPr>
        <w:t xml:space="preserve"> </w:t>
      </w:r>
      <w:r w:rsidR="00323457" w:rsidRPr="0059638B">
        <w:rPr>
          <w:sz w:val="20"/>
          <w:szCs w:val="20"/>
          <w:lang w:val="en"/>
        </w:rPr>
        <w:t>Labour</w:t>
      </w:r>
      <w:r w:rsidR="00FF41A0">
        <w:rPr>
          <w:sz w:val="20"/>
          <w:szCs w:val="20"/>
          <w:lang w:val="en"/>
        </w:rPr>
        <w:t xml:space="preserve"> </w:t>
      </w:r>
      <w:r w:rsidR="00323457" w:rsidRPr="0059638B">
        <w:rPr>
          <w:sz w:val="20"/>
          <w:szCs w:val="20"/>
          <w:lang w:val="en"/>
        </w:rPr>
        <w:t>Inspectors</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surveillance</w:t>
      </w:r>
      <w:r w:rsidR="00FF41A0">
        <w:rPr>
          <w:sz w:val="20"/>
          <w:szCs w:val="20"/>
          <w:lang w:val="en"/>
        </w:rPr>
        <w:t xml:space="preserve"> </w:t>
      </w:r>
      <w:r w:rsidR="00323457" w:rsidRPr="0059638B">
        <w:rPr>
          <w:sz w:val="20"/>
          <w:szCs w:val="20"/>
          <w:lang w:val="en"/>
        </w:rPr>
        <w:t>by</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police,</w:t>
      </w:r>
      <w:r w:rsidR="00FF41A0">
        <w:rPr>
          <w:sz w:val="20"/>
          <w:szCs w:val="20"/>
          <w:lang w:val="en"/>
        </w:rPr>
        <w:t xml:space="preserve"> </w:t>
      </w:r>
      <w:r w:rsidR="00323457" w:rsidRPr="0059638B">
        <w:rPr>
          <w:sz w:val="20"/>
          <w:szCs w:val="20"/>
          <w:lang w:val="en"/>
        </w:rPr>
        <w:t>made</w:t>
      </w:r>
      <w:r w:rsidR="00FF41A0">
        <w:rPr>
          <w:sz w:val="20"/>
          <w:szCs w:val="20"/>
          <w:lang w:val="en"/>
        </w:rPr>
        <w:t xml:space="preserve"> </w:t>
      </w:r>
      <w:r w:rsidR="00323457" w:rsidRPr="0059638B">
        <w:rPr>
          <w:sz w:val="20"/>
          <w:szCs w:val="20"/>
          <w:lang w:val="en"/>
        </w:rPr>
        <w:t>it</w:t>
      </w:r>
      <w:r w:rsidR="00FF41A0">
        <w:rPr>
          <w:sz w:val="20"/>
          <w:szCs w:val="20"/>
          <w:lang w:val="en"/>
        </w:rPr>
        <w:t xml:space="preserve"> </w:t>
      </w:r>
      <w:r w:rsidR="00323457" w:rsidRPr="0059638B">
        <w:rPr>
          <w:sz w:val="20"/>
          <w:szCs w:val="20"/>
          <w:lang w:val="en"/>
        </w:rPr>
        <w:t>unlikely</w:t>
      </w:r>
      <w:r w:rsidR="00FF41A0">
        <w:rPr>
          <w:sz w:val="20"/>
          <w:szCs w:val="20"/>
          <w:lang w:val="en"/>
        </w:rPr>
        <w:t xml:space="preserve"> </w:t>
      </w:r>
      <w:r w:rsidR="00323457" w:rsidRPr="0059638B">
        <w:rPr>
          <w:sz w:val="20"/>
          <w:szCs w:val="20"/>
          <w:lang w:val="en"/>
        </w:rPr>
        <w:t>that</w:t>
      </w:r>
      <w:r w:rsidR="00FF41A0">
        <w:rPr>
          <w:sz w:val="20"/>
          <w:szCs w:val="20"/>
          <w:lang w:val="en"/>
        </w:rPr>
        <w:t xml:space="preserve"> </w:t>
      </w:r>
      <w:r w:rsidR="00323457" w:rsidRPr="0059638B">
        <w:rPr>
          <w:sz w:val="20"/>
          <w:szCs w:val="20"/>
          <w:lang w:val="en"/>
        </w:rPr>
        <w:t>there</w:t>
      </w:r>
      <w:r w:rsidR="00FF41A0">
        <w:rPr>
          <w:sz w:val="20"/>
          <w:szCs w:val="20"/>
          <w:lang w:val="en"/>
        </w:rPr>
        <w:t xml:space="preserve"> </w:t>
      </w:r>
      <w:r w:rsidR="00323457" w:rsidRPr="0059638B">
        <w:rPr>
          <w:sz w:val="20"/>
          <w:szCs w:val="20"/>
          <w:lang w:val="en"/>
        </w:rPr>
        <w:t>would</w:t>
      </w:r>
      <w:r w:rsidR="00FF41A0">
        <w:rPr>
          <w:sz w:val="20"/>
          <w:szCs w:val="20"/>
          <w:lang w:val="en"/>
        </w:rPr>
        <w:t xml:space="preserve"> </w:t>
      </w:r>
      <w:r w:rsidR="00323457" w:rsidRPr="0059638B">
        <w:rPr>
          <w:sz w:val="20"/>
          <w:szCs w:val="20"/>
          <w:lang w:val="en"/>
        </w:rPr>
        <w:t>be</w:t>
      </w:r>
      <w:r w:rsidR="00FF41A0">
        <w:rPr>
          <w:sz w:val="20"/>
          <w:szCs w:val="20"/>
          <w:lang w:val="en"/>
        </w:rPr>
        <w:t xml:space="preserve"> </w:t>
      </w:r>
      <w:r w:rsidR="00323457" w:rsidRPr="0059638B">
        <w:rPr>
          <w:sz w:val="20"/>
          <w:szCs w:val="20"/>
          <w:lang w:val="en"/>
        </w:rPr>
        <w:t>persons</w:t>
      </w:r>
      <w:r w:rsidR="00FF41A0">
        <w:rPr>
          <w:sz w:val="20"/>
          <w:szCs w:val="20"/>
          <w:lang w:val="en"/>
        </w:rPr>
        <w:t xml:space="preserve"> </w:t>
      </w:r>
      <w:r w:rsidR="00323457" w:rsidRPr="0059638B">
        <w:rPr>
          <w:sz w:val="20"/>
          <w:szCs w:val="20"/>
          <w:lang w:val="en"/>
        </w:rPr>
        <w:t>in</w:t>
      </w:r>
      <w:r w:rsidR="00FF41A0">
        <w:rPr>
          <w:sz w:val="20"/>
          <w:szCs w:val="20"/>
          <w:lang w:val="en"/>
        </w:rPr>
        <w:t xml:space="preserve"> </w:t>
      </w:r>
      <w:r w:rsidR="00323457" w:rsidRPr="0059638B">
        <w:rPr>
          <w:sz w:val="20"/>
          <w:szCs w:val="20"/>
          <w:lang w:val="en"/>
        </w:rPr>
        <w:t>an</w:t>
      </w:r>
      <w:r w:rsidR="00FF41A0">
        <w:rPr>
          <w:sz w:val="20"/>
          <w:szCs w:val="20"/>
          <w:lang w:val="en"/>
        </w:rPr>
        <w:t xml:space="preserve"> </w:t>
      </w:r>
      <w:r w:rsidR="00323457" w:rsidRPr="0059638B">
        <w:rPr>
          <w:sz w:val="20"/>
          <w:szCs w:val="20"/>
          <w:lang w:val="en"/>
        </w:rPr>
        <w:t>irregular</w:t>
      </w:r>
      <w:r w:rsidR="00FF41A0">
        <w:rPr>
          <w:sz w:val="20"/>
          <w:szCs w:val="20"/>
          <w:lang w:val="en"/>
        </w:rPr>
        <w:t xml:space="preserve"> </w:t>
      </w:r>
      <w:r w:rsidR="00323457" w:rsidRPr="0059638B">
        <w:rPr>
          <w:sz w:val="20"/>
          <w:szCs w:val="20"/>
          <w:lang w:val="en"/>
        </w:rPr>
        <w:t>situation</w:t>
      </w:r>
      <w:r w:rsidR="00FF41A0">
        <w:rPr>
          <w:sz w:val="20"/>
          <w:szCs w:val="20"/>
          <w:lang w:val="en"/>
        </w:rPr>
        <w:t xml:space="preserve"> </w:t>
      </w:r>
      <w:r w:rsidR="00323457" w:rsidRPr="0059638B">
        <w:rPr>
          <w:sz w:val="20"/>
          <w:szCs w:val="20"/>
          <w:lang w:val="en"/>
        </w:rPr>
        <w:t>in</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Principality.</w:t>
      </w:r>
      <w:r w:rsidR="00FF41A0">
        <w:rPr>
          <w:sz w:val="20"/>
          <w:szCs w:val="20"/>
          <w:lang w:val="en"/>
        </w:rPr>
        <w:t xml:space="preserve"> </w:t>
      </w:r>
      <w:r w:rsidR="00323457" w:rsidRPr="0059638B">
        <w:rPr>
          <w:sz w:val="20"/>
          <w:szCs w:val="20"/>
          <w:lang w:val="en"/>
        </w:rPr>
        <w:t>In</w:t>
      </w:r>
      <w:r w:rsidR="00FF41A0">
        <w:rPr>
          <w:sz w:val="20"/>
          <w:szCs w:val="20"/>
          <w:lang w:val="en"/>
        </w:rPr>
        <w:t xml:space="preserve"> </w:t>
      </w:r>
      <w:r w:rsidR="00323457" w:rsidRPr="0059638B">
        <w:rPr>
          <w:sz w:val="20"/>
          <w:szCs w:val="20"/>
          <w:lang w:val="en"/>
        </w:rPr>
        <w:t>addition,</w:t>
      </w:r>
      <w:r w:rsidR="00FF41A0">
        <w:rPr>
          <w:sz w:val="20"/>
          <w:szCs w:val="20"/>
          <w:lang w:val="en"/>
        </w:rPr>
        <w:t xml:space="preserve"> </w:t>
      </w:r>
      <w:r w:rsidR="00323457" w:rsidRPr="0059638B">
        <w:rPr>
          <w:sz w:val="20"/>
          <w:szCs w:val="20"/>
          <w:lang w:val="en"/>
        </w:rPr>
        <w:t>non-Monegasque</w:t>
      </w:r>
      <w:r w:rsidR="00FF41A0">
        <w:rPr>
          <w:sz w:val="20"/>
          <w:szCs w:val="20"/>
          <w:lang w:val="en"/>
        </w:rPr>
        <w:t xml:space="preserve"> </w:t>
      </w:r>
      <w:r w:rsidR="00323457" w:rsidRPr="0059638B">
        <w:rPr>
          <w:sz w:val="20"/>
          <w:szCs w:val="20"/>
          <w:lang w:val="en"/>
        </w:rPr>
        <w:t>workers</w:t>
      </w:r>
      <w:r w:rsidR="00FF41A0">
        <w:rPr>
          <w:sz w:val="20"/>
          <w:szCs w:val="20"/>
          <w:lang w:val="en"/>
        </w:rPr>
        <w:t xml:space="preserve"> </w:t>
      </w:r>
      <w:r w:rsidR="00323457" w:rsidRPr="0059638B">
        <w:rPr>
          <w:sz w:val="20"/>
          <w:szCs w:val="20"/>
          <w:lang w:val="en"/>
        </w:rPr>
        <w:t>fully</w:t>
      </w:r>
      <w:r w:rsidR="00FF41A0">
        <w:rPr>
          <w:sz w:val="20"/>
          <w:szCs w:val="20"/>
          <w:lang w:val="en"/>
        </w:rPr>
        <w:t xml:space="preserve"> </w:t>
      </w:r>
      <w:r w:rsidR="00323457" w:rsidRPr="0059638B">
        <w:rPr>
          <w:sz w:val="20"/>
          <w:szCs w:val="20"/>
          <w:lang w:val="en"/>
        </w:rPr>
        <w:t>enjoyed</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rights</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health</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education.</w:t>
      </w:r>
      <w:r w:rsidR="00FF41A0">
        <w:rPr>
          <w:sz w:val="20"/>
          <w:szCs w:val="20"/>
          <w:lang w:val="en"/>
        </w:rPr>
        <w:t xml:space="preserve"> </w:t>
      </w:r>
      <w:r w:rsidR="00323457" w:rsidRPr="0059638B">
        <w:rPr>
          <w:sz w:val="20"/>
          <w:szCs w:val="20"/>
          <w:lang w:val="en"/>
        </w:rPr>
        <w:t>Targeted</w:t>
      </w:r>
      <w:r w:rsidR="00FF41A0">
        <w:rPr>
          <w:sz w:val="20"/>
          <w:szCs w:val="20"/>
          <w:lang w:val="en"/>
        </w:rPr>
        <w:t xml:space="preserve"> </w:t>
      </w:r>
      <w:r w:rsidR="00323457" w:rsidRPr="0059638B">
        <w:rPr>
          <w:sz w:val="20"/>
          <w:szCs w:val="20"/>
          <w:lang w:val="en"/>
        </w:rPr>
        <w:t>support</w:t>
      </w:r>
      <w:r w:rsidR="00FF41A0">
        <w:rPr>
          <w:sz w:val="20"/>
          <w:szCs w:val="20"/>
          <w:lang w:val="en"/>
        </w:rPr>
        <w:t xml:space="preserve"> </w:t>
      </w:r>
      <w:r w:rsidR="00323457" w:rsidRPr="0059638B">
        <w:rPr>
          <w:sz w:val="20"/>
          <w:szCs w:val="20"/>
          <w:lang w:val="en"/>
        </w:rPr>
        <w:t>measures</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help</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most</w:t>
      </w:r>
      <w:r w:rsidR="00FF41A0">
        <w:rPr>
          <w:sz w:val="20"/>
          <w:szCs w:val="20"/>
          <w:lang w:val="en"/>
        </w:rPr>
        <w:t xml:space="preserve"> </w:t>
      </w:r>
      <w:r w:rsidR="00323457" w:rsidRPr="0059638B">
        <w:rPr>
          <w:sz w:val="20"/>
          <w:szCs w:val="20"/>
          <w:lang w:val="en"/>
        </w:rPr>
        <w:t>vulnerable</w:t>
      </w:r>
      <w:r w:rsidR="00FF41A0">
        <w:rPr>
          <w:sz w:val="20"/>
          <w:szCs w:val="20"/>
          <w:lang w:val="en"/>
        </w:rPr>
        <w:t xml:space="preserve"> </w:t>
      </w:r>
      <w:r w:rsidR="00323457" w:rsidRPr="0059638B">
        <w:rPr>
          <w:sz w:val="20"/>
          <w:szCs w:val="20"/>
          <w:lang w:val="en"/>
        </w:rPr>
        <w:t>wereprovided</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rigorous</w:t>
      </w:r>
      <w:r w:rsidR="00FF41A0">
        <w:rPr>
          <w:sz w:val="20"/>
          <w:szCs w:val="20"/>
          <w:lang w:val="en"/>
        </w:rPr>
        <w:t xml:space="preserve"> </w:t>
      </w:r>
      <w:r w:rsidR="00323457" w:rsidRPr="0059638B">
        <w:rPr>
          <w:sz w:val="20"/>
          <w:szCs w:val="20"/>
          <w:lang w:val="en"/>
        </w:rPr>
        <w:t>inspections</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labour</w:t>
      </w:r>
      <w:r w:rsidR="00FF41A0">
        <w:rPr>
          <w:sz w:val="20"/>
          <w:szCs w:val="20"/>
          <w:lang w:val="en"/>
        </w:rPr>
        <w:t xml:space="preserve"> </w:t>
      </w:r>
      <w:r w:rsidR="00323457" w:rsidRPr="0059638B">
        <w:rPr>
          <w:sz w:val="20"/>
          <w:szCs w:val="20"/>
          <w:lang w:val="en"/>
        </w:rPr>
        <w:t>conditions</w:t>
      </w:r>
      <w:r w:rsidR="00FF41A0">
        <w:rPr>
          <w:sz w:val="20"/>
          <w:szCs w:val="20"/>
          <w:lang w:val="en"/>
        </w:rPr>
        <w:t xml:space="preserve"> </w:t>
      </w:r>
      <w:r w:rsidR="00323457" w:rsidRPr="0059638B">
        <w:rPr>
          <w:sz w:val="20"/>
          <w:szCs w:val="20"/>
          <w:lang w:val="en"/>
        </w:rPr>
        <w:t>were</w:t>
      </w:r>
      <w:r w:rsidR="00FF41A0">
        <w:rPr>
          <w:sz w:val="20"/>
          <w:szCs w:val="20"/>
          <w:lang w:val="en"/>
        </w:rPr>
        <w:t xml:space="preserve"> </w:t>
      </w:r>
      <w:r w:rsidR="00323457" w:rsidRPr="0059638B">
        <w:rPr>
          <w:sz w:val="20"/>
          <w:szCs w:val="20"/>
          <w:lang w:val="en"/>
        </w:rPr>
        <w:t>carried</w:t>
      </w:r>
      <w:r w:rsidR="00FF41A0">
        <w:rPr>
          <w:sz w:val="20"/>
          <w:szCs w:val="20"/>
          <w:lang w:val="en"/>
        </w:rPr>
        <w:t xml:space="preserve"> </w:t>
      </w:r>
      <w:r w:rsidR="00323457" w:rsidRPr="0059638B">
        <w:rPr>
          <w:sz w:val="20"/>
          <w:szCs w:val="20"/>
          <w:lang w:val="en"/>
        </w:rPr>
        <w:t>out</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prevent</w:t>
      </w:r>
      <w:r w:rsidR="00FF41A0">
        <w:rPr>
          <w:sz w:val="20"/>
          <w:szCs w:val="20"/>
          <w:lang w:val="en"/>
        </w:rPr>
        <w:t xml:space="preserve"> </w:t>
      </w:r>
      <w:r w:rsidR="00323457" w:rsidRPr="0059638B">
        <w:rPr>
          <w:sz w:val="20"/>
          <w:szCs w:val="20"/>
          <w:lang w:val="en"/>
        </w:rPr>
        <w:t>any</w:t>
      </w:r>
      <w:r w:rsidR="00FF41A0">
        <w:rPr>
          <w:sz w:val="20"/>
          <w:szCs w:val="20"/>
          <w:lang w:val="en"/>
        </w:rPr>
        <w:t xml:space="preserve"> </w:t>
      </w:r>
      <w:r w:rsidR="00323457" w:rsidRPr="0059638B">
        <w:rPr>
          <w:sz w:val="20"/>
          <w:szCs w:val="20"/>
          <w:lang w:val="en"/>
        </w:rPr>
        <w:t>form</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exploitation.</w:t>
      </w:r>
      <w:r w:rsidR="00FF41A0">
        <w:rPr>
          <w:sz w:val="20"/>
          <w:szCs w:val="20"/>
          <w:lang w:val="en"/>
        </w:rPr>
        <w:t xml:space="preserve"> </w:t>
      </w:r>
    </w:p>
    <w:p w14:paraId="5A16B94E" w14:textId="555543F1" w:rsidR="00323457" w:rsidRPr="0059638B" w:rsidRDefault="00972F1E" w:rsidP="00323457">
      <w:pPr>
        <w:pStyle w:val="SingleTxtG"/>
        <w:rPr>
          <w:sz w:val="20"/>
          <w:szCs w:val="20"/>
          <w:lang w:val="en"/>
        </w:rPr>
      </w:pPr>
      <w:r>
        <w:rPr>
          <w:sz w:val="20"/>
          <w:szCs w:val="20"/>
          <w:lang w:val="en"/>
        </w:rPr>
        <w:t>730</w:t>
      </w:r>
      <w:r w:rsidR="00D7475F">
        <w:rPr>
          <w:sz w:val="20"/>
          <w:szCs w:val="20"/>
          <w:lang w:val="en"/>
        </w:rPr>
        <w:t>.</w:t>
      </w:r>
      <w:r w:rsidR="00D7475F">
        <w:rPr>
          <w:sz w:val="20"/>
          <w:szCs w:val="20"/>
          <w:lang w:val="en"/>
        </w:rPr>
        <w:tab/>
      </w:r>
      <w:r w:rsidR="00323457" w:rsidRPr="0059638B">
        <w:rPr>
          <w:sz w:val="20"/>
          <w:szCs w:val="20"/>
          <w:lang w:val="en"/>
        </w:rPr>
        <w:t>Regarding</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recommendation</w:t>
      </w:r>
      <w:r w:rsidR="00FF41A0">
        <w:rPr>
          <w:sz w:val="20"/>
          <w:szCs w:val="20"/>
          <w:lang w:val="en"/>
        </w:rPr>
        <w:t xml:space="preserve"> </w:t>
      </w:r>
      <w:r w:rsidR="00323457" w:rsidRPr="0059638B">
        <w:rPr>
          <w:sz w:val="20"/>
          <w:szCs w:val="20"/>
          <w:lang w:val="en"/>
        </w:rPr>
        <w:t>on</w:t>
      </w:r>
      <w:r w:rsidR="00FF41A0">
        <w:rPr>
          <w:sz w:val="20"/>
          <w:szCs w:val="20"/>
          <w:lang w:val="en"/>
        </w:rPr>
        <w:t xml:space="preserve"> </w:t>
      </w:r>
      <w:r w:rsidR="00323457" w:rsidRPr="0059638B">
        <w:rPr>
          <w:sz w:val="20"/>
          <w:szCs w:val="20"/>
          <w:lang w:val="en"/>
        </w:rPr>
        <w:t>official</w:t>
      </w:r>
      <w:r w:rsidR="00FF41A0">
        <w:rPr>
          <w:sz w:val="20"/>
          <w:szCs w:val="20"/>
          <w:lang w:val="en"/>
        </w:rPr>
        <w:t xml:space="preserve"> </w:t>
      </w:r>
      <w:r w:rsidR="00323457" w:rsidRPr="0059638B">
        <w:rPr>
          <w:sz w:val="20"/>
          <w:szCs w:val="20"/>
          <w:lang w:val="en"/>
        </w:rPr>
        <w:t>development</w:t>
      </w:r>
      <w:r w:rsidR="00FF41A0">
        <w:rPr>
          <w:sz w:val="20"/>
          <w:szCs w:val="20"/>
          <w:lang w:val="en"/>
        </w:rPr>
        <w:t xml:space="preserve"> </w:t>
      </w:r>
      <w:r w:rsidR="00323457" w:rsidRPr="0059638B">
        <w:rPr>
          <w:sz w:val="20"/>
          <w:szCs w:val="20"/>
          <w:lang w:val="en"/>
        </w:rPr>
        <w:t>assistance,</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delegation</w:t>
      </w:r>
      <w:r w:rsidR="00FF41A0">
        <w:rPr>
          <w:sz w:val="20"/>
          <w:szCs w:val="20"/>
          <w:lang w:val="en"/>
        </w:rPr>
        <w:t xml:space="preserve"> </w:t>
      </w:r>
      <w:r w:rsidR="00323457" w:rsidRPr="0059638B">
        <w:rPr>
          <w:sz w:val="20"/>
          <w:szCs w:val="20"/>
          <w:lang w:val="en"/>
        </w:rPr>
        <w:t>indicated</w:t>
      </w:r>
      <w:r w:rsidR="00FF41A0">
        <w:rPr>
          <w:sz w:val="20"/>
          <w:szCs w:val="20"/>
          <w:lang w:val="en"/>
        </w:rPr>
        <w:t xml:space="preserve"> </w:t>
      </w:r>
      <w:r w:rsidR="00323457" w:rsidRPr="0059638B">
        <w:rPr>
          <w:sz w:val="20"/>
          <w:szCs w:val="20"/>
          <w:lang w:val="en"/>
        </w:rPr>
        <w:t>that</w:t>
      </w:r>
      <w:r w:rsidR="00FF41A0">
        <w:rPr>
          <w:sz w:val="20"/>
          <w:szCs w:val="20"/>
          <w:lang w:val="en"/>
        </w:rPr>
        <w:t xml:space="preserve"> </w:t>
      </w:r>
      <w:r w:rsidR="00323457" w:rsidRPr="0059638B">
        <w:rPr>
          <w:sz w:val="20"/>
          <w:szCs w:val="20"/>
          <w:lang w:val="en"/>
        </w:rPr>
        <w:t>Monaco</w:t>
      </w:r>
      <w:r w:rsidR="00FF41A0">
        <w:rPr>
          <w:sz w:val="20"/>
          <w:szCs w:val="20"/>
          <w:lang w:val="en"/>
        </w:rPr>
        <w:t xml:space="preserve"> </w:t>
      </w:r>
      <w:r w:rsidR="00323457" w:rsidRPr="0059638B">
        <w:rPr>
          <w:sz w:val="20"/>
          <w:szCs w:val="20"/>
          <w:lang w:val="en"/>
        </w:rPr>
        <w:t>had</w:t>
      </w:r>
      <w:r w:rsidR="00FF41A0">
        <w:rPr>
          <w:sz w:val="20"/>
          <w:szCs w:val="20"/>
          <w:lang w:val="en"/>
        </w:rPr>
        <w:t xml:space="preserve"> </w:t>
      </w:r>
      <w:r w:rsidR="00323457" w:rsidRPr="0059638B">
        <w:rPr>
          <w:sz w:val="20"/>
          <w:szCs w:val="20"/>
          <w:lang w:val="en"/>
        </w:rPr>
        <w:t>increased</w:t>
      </w:r>
      <w:r w:rsidR="00FF41A0">
        <w:rPr>
          <w:sz w:val="20"/>
          <w:szCs w:val="20"/>
          <w:lang w:val="en"/>
        </w:rPr>
        <w:t xml:space="preserve"> </w:t>
      </w:r>
      <w:r w:rsidR="00323457" w:rsidRPr="0059638B">
        <w:rPr>
          <w:sz w:val="20"/>
          <w:szCs w:val="20"/>
          <w:lang w:val="en"/>
        </w:rPr>
        <w:t>its</w:t>
      </w:r>
      <w:r w:rsidR="00FF41A0">
        <w:rPr>
          <w:sz w:val="20"/>
          <w:szCs w:val="20"/>
          <w:lang w:val="en"/>
        </w:rPr>
        <w:t xml:space="preserve"> </w:t>
      </w:r>
      <w:r w:rsidR="00323457" w:rsidRPr="0059638B">
        <w:rPr>
          <w:sz w:val="20"/>
          <w:szCs w:val="20"/>
          <w:lang w:val="en"/>
        </w:rPr>
        <w:t>development</w:t>
      </w:r>
      <w:r w:rsidR="00FF41A0">
        <w:rPr>
          <w:sz w:val="20"/>
          <w:szCs w:val="20"/>
          <w:lang w:val="en"/>
        </w:rPr>
        <w:t xml:space="preserve"> </w:t>
      </w:r>
      <w:r w:rsidR="00323457" w:rsidRPr="0059638B">
        <w:rPr>
          <w:sz w:val="20"/>
          <w:szCs w:val="20"/>
          <w:lang w:val="en"/>
        </w:rPr>
        <w:t>aid</w:t>
      </w:r>
      <w:r w:rsidR="00FF41A0">
        <w:rPr>
          <w:sz w:val="20"/>
          <w:szCs w:val="20"/>
          <w:lang w:val="en"/>
        </w:rPr>
        <w:t xml:space="preserve"> </w:t>
      </w:r>
      <w:r w:rsidR="00323457" w:rsidRPr="0059638B">
        <w:rPr>
          <w:sz w:val="20"/>
          <w:szCs w:val="20"/>
          <w:lang w:val="en"/>
        </w:rPr>
        <w:t>each</w:t>
      </w:r>
      <w:r w:rsidR="00FF41A0">
        <w:rPr>
          <w:sz w:val="20"/>
          <w:szCs w:val="20"/>
          <w:lang w:val="en"/>
        </w:rPr>
        <w:t xml:space="preserve"> </w:t>
      </w:r>
      <w:r w:rsidR="00323457" w:rsidRPr="0059638B">
        <w:rPr>
          <w:sz w:val="20"/>
          <w:szCs w:val="20"/>
          <w:lang w:val="en"/>
        </w:rPr>
        <w:t>year</w:t>
      </w:r>
      <w:r w:rsidR="00FF41A0">
        <w:rPr>
          <w:sz w:val="20"/>
          <w:szCs w:val="20"/>
          <w:lang w:val="en"/>
        </w:rPr>
        <w:t xml:space="preserve"> </w:t>
      </w:r>
      <w:r w:rsidR="00323457" w:rsidRPr="0059638B">
        <w:rPr>
          <w:sz w:val="20"/>
          <w:szCs w:val="20"/>
          <w:lang w:val="en"/>
        </w:rPr>
        <w:t>doubling</w:t>
      </w:r>
      <w:r w:rsidR="00FF41A0">
        <w:rPr>
          <w:sz w:val="20"/>
          <w:szCs w:val="20"/>
          <w:lang w:val="en"/>
        </w:rPr>
        <w:t xml:space="preserve"> </w:t>
      </w:r>
      <w:r w:rsidR="00323457" w:rsidRPr="0059638B">
        <w:rPr>
          <w:sz w:val="20"/>
          <w:szCs w:val="20"/>
          <w:lang w:val="en"/>
        </w:rPr>
        <w:t>its</w:t>
      </w:r>
      <w:r w:rsidR="00FF41A0">
        <w:rPr>
          <w:sz w:val="20"/>
          <w:szCs w:val="20"/>
          <w:lang w:val="en"/>
        </w:rPr>
        <w:t xml:space="preserve"> </w:t>
      </w:r>
      <w:r w:rsidR="00323457" w:rsidRPr="0059638B">
        <w:rPr>
          <w:sz w:val="20"/>
          <w:szCs w:val="20"/>
          <w:lang w:val="en"/>
        </w:rPr>
        <w:t>assistance</w:t>
      </w:r>
      <w:r w:rsidR="00FF41A0">
        <w:rPr>
          <w:sz w:val="20"/>
          <w:szCs w:val="20"/>
          <w:lang w:val="en"/>
        </w:rPr>
        <w:t xml:space="preserve"> </w:t>
      </w:r>
      <w:r w:rsidR="00323457" w:rsidRPr="0059638B">
        <w:rPr>
          <w:sz w:val="20"/>
          <w:szCs w:val="20"/>
          <w:lang w:val="en"/>
        </w:rPr>
        <w:t>in</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last</w:t>
      </w:r>
      <w:r w:rsidR="00FF41A0">
        <w:rPr>
          <w:sz w:val="20"/>
          <w:szCs w:val="20"/>
          <w:lang w:val="en"/>
        </w:rPr>
        <w:t xml:space="preserve"> </w:t>
      </w:r>
      <w:r w:rsidR="00323457" w:rsidRPr="0059638B">
        <w:rPr>
          <w:sz w:val="20"/>
          <w:szCs w:val="20"/>
          <w:lang w:val="en"/>
        </w:rPr>
        <w:t>ten</w:t>
      </w:r>
      <w:r w:rsidR="00FF41A0">
        <w:rPr>
          <w:sz w:val="20"/>
          <w:szCs w:val="20"/>
          <w:lang w:val="en"/>
        </w:rPr>
        <w:t xml:space="preserve"> </w:t>
      </w:r>
      <w:r w:rsidR="00323457" w:rsidRPr="0059638B">
        <w:rPr>
          <w:sz w:val="20"/>
          <w:szCs w:val="20"/>
          <w:lang w:val="en"/>
        </w:rPr>
        <w:t>years.</w:t>
      </w:r>
      <w:r w:rsidR="00FF41A0">
        <w:rPr>
          <w:sz w:val="20"/>
          <w:szCs w:val="20"/>
          <w:lang w:val="en"/>
        </w:rPr>
        <w:t xml:space="preserve"> </w:t>
      </w:r>
      <w:r w:rsidR="00323457" w:rsidRPr="0059638B">
        <w:rPr>
          <w:sz w:val="20"/>
          <w:szCs w:val="20"/>
          <w:lang w:val="en"/>
        </w:rPr>
        <w:t>Official</w:t>
      </w:r>
      <w:r w:rsidR="00FF41A0">
        <w:rPr>
          <w:sz w:val="20"/>
          <w:szCs w:val="20"/>
          <w:lang w:val="en"/>
        </w:rPr>
        <w:t xml:space="preserve"> </w:t>
      </w:r>
      <w:r w:rsidR="00323457" w:rsidRPr="0059638B">
        <w:rPr>
          <w:sz w:val="20"/>
          <w:szCs w:val="20"/>
          <w:lang w:val="en"/>
        </w:rPr>
        <w:t>development</w:t>
      </w:r>
      <w:r w:rsidR="00FF41A0">
        <w:rPr>
          <w:sz w:val="20"/>
          <w:szCs w:val="20"/>
          <w:lang w:val="en"/>
        </w:rPr>
        <w:t xml:space="preserve"> </w:t>
      </w:r>
      <w:r w:rsidR="00323457" w:rsidRPr="0059638B">
        <w:rPr>
          <w:sz w:val="20"/>
          <w:szCs w:val="20"/>
          <w:lang w:val="en"/>
        </w:rPr>
        <w:t>assistance</w:t>
      </w:r>
      <w:r w:rsidR="00FF41A0">
        <w:rPr>
          <w:sz w:val="20"/>
          <w:szCs w:val="20"/>
          <w:lang w:val="en"/>
        </w:rPr>
        <w:t xml:space="preserve"> </w:t>
      </w:r>
      <w:r w:rsidR="00323457" w:rsidRPr="0059638B">
        <w:rPr>
          <w:sz w:val="20"/>
          <w:szCs w:val="20"/>
          <w:lang w:val="en"/>
        </w:rPr>
        <w:t>(ODA)</w:t>
      </w:r>
      <w:r w:rsidR="00FF41A0">
        <w:rPr>
          <w:sz w:val="20"/>
          <w:szCs w:val="20"/>
          <w:lang w:val="en"/>
        </w:rPr>
        <w:t xml:space="preserve"> </w:t>
      </w:r>
      <w:r w:rsidR="00323457" w:rsidRPr="0059638B">
        <w:rPr>
          <w:sz w:val="20"/>
          <w:szCs w:val="20"/>
          <w:lang w:val="en"/>
        </w:rPr>
        <w:t>had</w:t>
      </w:r>
      <w:r w:rsidR="00FF41A0">
        <w:rPr>
          <w:sz w:val="20"/>
          <w:szCs w:val="20"/>
          <w:lang w:val="en"/>
        </w:rPr>
        <w:t xml:space="preserve"> </w:t>
      </w:r>
      <w:r w:rsidR="00323457" w:rsidRPr="0059638B">
        <w:rPr>
          <w:sz w:val="20"/>
          <w:szCs w:val="20"/>
          <w:lang w:val="en"/>
        </w:rPr>
        <w:t>increased</w:t>
      </w:r>
      <w:r w:rsidR="00FF41A0">
        <w:rPr>
          <w:sz w:val="20"/>
          <w:szCs w:val="20"/>
          <w:lang w:val="en"/>
        </w:rPr>
        <w:t xml:space="preserve"> </w:t>
      </w:r>
      <w:r w:rsidR="00323457" w:rsidRPr="0059638B">
        <w:rPr>
          <w:sz w:val="20"/>
          <w:szCs w:val="20"/>
          <w:lang w:val="en"/>
        </w:rPr>
        <w:t>by</w:t>
      </w:r>
      <w:r w:rsidR="00FF41A0">
        <w:rPr>
          <w:sz w:val="20"/>
          <w:szCs w:val="20"/>
          <w:lang w:val="en"/>
        </w:rPr>
        <w:t xml:space="preserve"> </w:t>
      </w:r>
      <w:r w:rsidR="00323457" w:rsidRPr="0059638B">
        <w:rPr>
          <w:sz w:val="20"/>
          <w:szCs w:val="20"/>
          <w:lang w:val="en"/>
        </w:rPr>
        <w:t>at</w:t>
      </w:r>
      <w:r w:rsidR="00FF41A0">
        <w:rPr>
          <w:sz w:val="20"/>
          <w:szCs w:val="20"/>
          <w:lang w:val="en"/>
        </w:rPr>
        <w:t xml:space="preserve"> </w:t>
      </w:r>
      <w:r w:rsidR="00323457" w:rsidRPr="0059638B">
        <w:rPr>
          <w:sz w:val="20"/>
          <w:szCs w:val="20"/>
          <w:lang w:val="en"/>
        </w:rPr>
        <w:t>least</w:t>
      </w:r>
      <w:r w:rsidR="00FF41A0">
        <w:rPr>
          <w:sz w:val="20"/>
          <w:szCs w:val="20"/>
          <w:lang w:val="en"/>
        </w:rPr>
        <w:t xml:space="preserve"> </w:t>
      </w:r>
      <w:r w:rsidR="00323457" w:rsidRPr="0059638B">
        <w:rPr>
          <w:sz w:val="20"/>
          <w:szCs w:val="20"/>
          <w:lang w:val="en"/>
        </w:rPr>
        <w:t>10</w:t>
      </w:r>
      <w:r w:rsidR="00FF41A0">
        <w:rPr>
          <w:sz w:val="20"/>
          <w:szCs w:val="20"/>
          <w:lang w:val="en"/>
        </w:rPr>
        <w:t xml:space="preserve"> </w:t>
      </w:r>
      <w:r w:rsidR="00323457" w:rsidRPr="0059638B">
        <w:rPr>
          <w:sz w:val="20"/>
          <w:szCs w:val="20"/>
          <w:lang w:val="en"/>
        </w:rPr>
        <w:t>per</w:t>
      </w:r>
      <w:r w:rsidR="00FF41A0">
        <w:rPr>
          <w:sz w:val="20"/>
          <w:szCs w:val="20"/>
          <w:lang w:val="en"/>
        </w:rPr>
        <w:t xml:space="preserve"> </w:t>
      </w:r>
      <w:r w:rsidR="00323457" w:rsidRPr="0059638B">
        <w:rPr>
          <w:sz w:val="20"/>
          <w:szCs w:val="20"/>
          <w:lang w:val="en"/>
        </w:rPr>
        <w:t>cent</w:t>
      </w:r>
      <w:r w:rsidR="00FF41A0">
        <w:rPr>
          <w:sz w:val="20"/>
          <w:szCs w:val="20"/>
          <w:lang w:val="en"/>
        </w:rPr>
        <w:t xml:space="preserve"> </w:t>
      </w:r>
      <w:r w:rsidR="00323457" w:rsidRPr="0059638B">
        <w:rPr>
          <w:sz w:val="20"/>
          <w:szCs w:val="20"/>
          <w:lang w:val="en"/>
        </w:rPr>
        <w:t>each</w:t>
      </w:r>
      <w:r w:rsidR="00FF41A0">
        <w:rPr>
          <w:sz w:val="20"/>
          <w:szCs w:val="20"/>
          <w:lang w:val="en"/>
        </w:rPr>
        <w:t xml:space="preserve"> </w:t>
      </w:r>
      <w:r w:rsidR="00323457" w:rsidRPr="0059638B">
        <w:rPr>
          <w:sz w:val="20"/>
          <w:szCs w:val="20"/>
          <w:lang w:val="en"/>
        </w:rPr>
        <w:t>year,</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Monegasque</w:t>
      </w:r>
      <w:r w:rsidR="00FF41A0">
        <w:rPr>
          <w:sz w:val="20"/>
          <w:szCs w:val="20"/>
          <w:lang w:val="en"/>
        </w:rPr>
        <w:t xml:space="preserve"> </w:t>
      </w:r>
      <w:r w:rsidR="00323457" w:rsidRPr="0059638B">
        <w:rPr>
          <w:sz w:val="20"/>
          <w:szCs w:val="20"/>
          <w:lang w:val="en"/>
        </w:rPr>
        <w:t>ODA</w:t>
      </w:r>
      <w:r w:rsidR="00FF41A0">
        <w:rPr>
          <w:sz w:val="20"/>
          <w:szCs w:val="20"/>
          <w:lang w:val="en"/>
        </w:rPr>
        <w:t xml:space="preserve"> </w:t>
      </w:r>
      <w:r w:rsidR="00323457" w:rsidRPr="0059638B">
        <w:rPr>
          <w:sz w:val="20"/>
          <w:szCs w:val="20"/>
          <w:lang w:val="en"/>
        </w:rPr>
        <w:t>should</w:t>
      </w:r>
      <w:r w:rsidR="00FF41A0">
        <w:rPr>
          <w:sz w:val="20"/>
          <w:szCs w:val="20"/>
          <w:lang w:val="en"/>
        </w:rPr>
        <w:t xml:space="preserve"> </w:t>
      </w:r>
      <w:r w:rsidR="00323457" w:rsidRPr="0059638B">
        <w:rPr>
          <w:sz w:val="20"/>
          <w:szCs w:val="20"/>
          <w:lang w:val="en"/>
        </w:rPr>
        <w:t>reach</w:t>
      </w:r>
      <w:r w:rsidR="00FF41A0">
        <w:rPr>
          <w:sz w:val="20"/>
          <w:szCs w:val="20"/>
          <w:lang w:val="en"/>
        </w:rPr>
        <w:t xml:space="preserve"> </w:t>
      </w:r>
      <w:r w:rsidR="00323457" w:rsidRPr="0059638B">
        <w:rPr>
          <w:sz w:val="20"/>
          <w:szCs w:val="20"/>
          <w:lang w:val="en"/>
        </w:rPr>
        <w:t>€</w:t>
      </w:r>
      <w:r w:rsidR="00FF41A0">
        <w:rPr>
          <w:sz w:val="20"/>
          <w:szCs w:val="20"/>
          <w:lang w:val="en"/>
        </w:rPr>
        <w:t xml:space="preserve"> </w:t>
      </w:r>
      <w:r w:rsidR="00323457" w:rsidRPr="0059638B">
        <w:rPr>
          <w:sz w:val="20"/>
          <w:szCs w:val="20"/>
          <w:lang w:val="en"/>
        </w:rPr>
        <w:t>20</w:t>
      </w:r>
      <w:r w:rsidR="00FF41A0">
        <w:rPr>
          <w:sz w:val="20"/>
          <w:szCs w:val="20"/>
          <w:lang w:val="en"/>
        </w:rPr>
        <w:t xml:space="preserve"> </w:t>
      </w:r>
      <w:r w:rsidR="00323457" w:rsidRPr="0059638B">
        <w:rPr>
          <w:sz w:val="20"/>
          <w:szCs w:val="20"/>
          <w:lang w:val="en"/>
        </w:rPr>
        <w:t>million</w:t>
      </w:r>
      <w:r w:rsidR="00FF41A0">
        <w:rPr>
          <w:sz w:val="20"/>
          <w:szCs w:val="20"/>
          <w:lang w:val="en"/>
        </w:rPr>
        <w:t xml:space="preserve"> </w:t>
      </w:r>
      <w:r w:rsidR="00323457" w:rsidRPr="0059638B">
        <w:rPr>
          <w:sz w:val="20"/>
          <w:szCs w:val="20"/>
          <w:lang w:val="en"/>
        </w:rPr>
        <w:t>in</w:t>
      </w:r>
      <w:r w:rsidR="00FF41A0">
        <w:rPr>
          <w:sz w:val="20"/>
          <w:szCs w:val="20"/>
          <w:lang w:val="en"/>
        </w:rPr>
        <w:t xml:space="preserve"> </w:t>
      </w:r>
      <w:r w:rsidR="00323457" w:rsidRPr="0059638B">
        <w:rPr>
          <w:sz w:val="20"/>
          <w:szCs w:val="20"/>
          <w:lang w:val="en"/>
        </w:rPr>
        <w:t>2020.This</w:t>
      </w:r>
      <w:r w:rsidR="00FF41A0">
        <w:rPr>
          <w:sz w:val="20"/>
          <w:szCs w:val="20"/>
          <w:lang w:val="en"/>
        </w:rPr>
        <w:t xml:space="preserve"> </w:t>
      </w:r>
      <w:r w:rsidR="00323457" w:rsidRPr="0059638B">
        <w:rPr>
          <w:sz w:val="20"/>
          <w:szCs w:val="20"/>
          <w:lang w:val="en"/>
        </w:rPr>
        <w:t>effort</w:t>
      </w:r>
      <w:r w:rsidR="00FF41A0">
        <w:rPr>
          <w:sz w:val="20"/>
          <w:szCs w:val="20"/>
          <w:lang w:val="en"/>
        </w:rPr>
        <w:t xml:space="preserve"> </w:t>
      </w:r>
      <w:r w:rsidR="00323457" w:rsidRPr="0059638B">
        <w:rPr>
          <w:sz w:val="20"/>
          <w:szCs w:val="20"/>
          <w:lang w:val="en"/>
        </w:rPr>
        <w:t>-</w:t>
      </w:r>
      <w:r w:rsidR="00FF41A0">
        <w:rPr>
          <w:sz w:val="20"/>
          <w:szCs w:val="20"/>
          <w:lang w:val="en"/>
        </w:rPr>
        <w:t xml:space="preserve"> </w:t>
      </w:r>
      <w:r w:rsidR="00323457" w:rsidRPr="0059638B">
        <w:rPr>
          <w:sz w:val="20"/>
          <w:szCs w:val="20"/>
          <w:lang w:val="en"/>
        </w:rPr>
        <w:t>unique</w:t>
      </w:r>
      <w:r w:rsidR="00FF41A0">
        <w:rPr>
          <w:sz w:val="20"/>
          <w:szCs w:val="20"/>
          <w:lang w:val="en"/>
        </w:rPr>
        <w:t xml:space="preserve"> </w:t>
      </w:r>
      <w:r w:rsidR="00323457" w:rsidRPr="0059638B">
        <w:rPr>
          <w:sz w:val="20"/>
          <w:szCs w:val="20"/>
          <w:lang w:val="en"/>
        </w:rPr>
        <w:t>in</w:t>
      </w:r>
      <w:r w:rsidR="00FF41A0">
        <w:rPr>
          <w:sz w:val="20"/>
          <w:szCs w:val="20"/>
          <w:lang w:val="en"/>
        </w:rPr>
        <w:t xml:space="preserve"> </w:t>
      </w:r>
      <w:r w:rsidR="00323457" w:rsidRPr="0059638B">
        <w:rPr>
          <w:sz w:val="20"/>
          <w:szCs w:val="20"/>
          <w:lang w:val="en"/>
        </w:rPr>
        <w:t>Europe</w:t>
      </w:r>
      <w:r w:rsidR="00FF41A0">
        <w:rPr>
          <w:sz w:val="20"/>
          <w:szCs w:val="20"/>
          <w:lang w:val="en"/>
        </w:rPr>
        <w:t xml:space="preserve"> </w:t>
      </w:r>
      <w:r w:rsidR="00323457" w:rsidRPr="0059638B">
        <w:rPr>
          <w:sz w:val="20"/>
          <w:szCs w:val="20"/>
          <w:lang w:val="en"/>
        </w:rPr>
        <w:t>-</w:t>
      </w:r>
      <w:r w:rsidR="00FF41A0">
        <w:rPr>
          <w:sz w:val="20"/>
          <w:szCs w:val="20"/>
          <w:lang w:val="en"/>
        </w:rPr>
        <w:t xml:space="preserve"> </w:t>
      </w:r>
      <w:r w:rsidR="00323457" w:rsidRPr="0059638B">
        <w:rPr>
          <w:sz w:val="20"/>
          <w:szCs w:val="20"/>
          <w:lang w:val="en"/>
        </w:rPr>
        <w:t>was</w:t>
      </w:r>
      <w:r w:rsidR="00FF41A0">
        <w:rPr>
          <w:sz w:val="20"/>
          <w:szCs w:val="20"/>
          <w:lang w:val="en"/>
        </w:rPr>
        <w:t xml:space="preserve"> </w:t>
      </w:r>
      <w:r w:rsidR="00323457" w:rsidRPr="0059638B">
        <w:rPr>
          <w:sz w:val="20"/>
          <w:szCs w:val="20"/>
          <w:lang w:val="en"/>
        </w:rPr>
        <w:t>accompanied</w:t>
      </w:r>
      <w:r w:rsidR="00FF41A0">
        <w:rPr>
          <w:sz w:val="20"/>
          <w:szCs w:val="20"/>
          <w:lang w:val="en"/>
        </w:rPr>
        <w:t xml:space="preserve"> </w:t>
      </w:r>
      <w:r w:rsidR="00323457" w:rsidRPr="0059638B">
        <w:rPr>
          <w:sz w:val="20"/>
          <w:szCs w:val="20"/>
          <w:lang w:val="en"/>
        </w:rPr>
        <w:t>by</w:t>
      </w:r>
      <w:r w:rsidR="00FF41A0">
        <w:rPr>
          <w:sz w:val="20"/>
          <w:szCs w:val="20"/>
          <w:lang w:val="en"/>
        </w:rPr>
        <w:t xml:space="preserve"> </w:t>
      </w:r>
      <w:r w:rsidR="00323457" w:rsidRPr="0059638B">
        <w:rPr>
          <w:sz w:val="20"/>
          <w:szCs w:val="20"/>
          <w:lang w:val="en"/>
        </w:rPr>
        <w:t>greater</w:t>
      </w:r>
      <w:r w:rsidR="00FF41A0">
        <w:rPr>
          <w:sz w:val="20"/>
          <w:szCs w:val="20"/>
          <w:lang w:val="en"/>
        </w:rPr>
        <w:t xml:space="preserve"> </w:t>
      </w:r>
      <w:r w:rsidR="00323457" w:rsidRPr="0059638B">
        <w:rPr>
          <w:sz w:val="20"/>
          <w:szCs w:val="20"/>
          <w:lang w:val="en"/>
        </w:rPr>
        <w:t>rationalization,</w:t>
      </w:r>
      <w:r w:rsidR="00FF41A0">
        <w:rPr>
          <w:sz w:val="20"/>
          <w:szCs w:val="20"/>
          <w:lang w:val="en"/>
        </w:rPr>
        <w:t xml:space="preserve"> </w:t>
      </w:r>
      <w:r w:rsidR="00323457" w:rsidRPr="0059638B">
        <w:rPr>
          <w:sz w:val="20"/>
          <w:szCs w:val="20"/>
          <w:lang w:val="en"/>
        </w:rPr>
        <w:t>with</w:t>
      </w:r>
      <w:r w:rsidR="00FF41A0">
        <w:rPr>
          <w:sz w:val="20"/>
          <w:szCs w:val="20"/>
          <w:lang w:val="en"/>
        </w:rPr>
        <w:t xml:space="preserve"> </w:t>
      </w:r>
      <w:r w:rsidR="00323457" w:rsidRPr="0059638B">
        <w:rPr>
          <w:sz w:val="20"/>
          <w:szCs w:val="20"/>
          <w:lang w:val="en"/>
        </w:rPr>
        <w:t>Monaco</w:t>
      </w:r>
      <w:r w:rsidR="00FF41A0">
        <w:rPr>
          <w:sz w:val="20"/>
          <w:szCs w:val="20"/>
          <w:lang w:val="en"/>
        </w:rPr>
        <w:t xml:space="preserve"> </w:t>
      </w:r>
      <w:r w:rsidR="00323457" w:rsidRPr="0059638B">
        <w:rPr>
          <w:sz w:val="20"/>
          <w:szCs w:val="20"/>
          <w:lang w:val="en"/>
        </w:rPr>
        <w:t>concentrating</w:t>
      </w:r>
      <w:r w:rsidR="00FF41A0">
        <w:rPr>
          <w:sz w:val="20"/>
          <w:szCs w:val="20"/>
          <w:lang w:val="en"/>
        </w:rPr>
        <w:t xml:space="preserve"> </w:t>
      </w:r>
      <w:r w:rsidR="00323457" w:rsidRPr="0059638B">
        <w:rPr>
          <w:sz w:val="20"/>
          <w:szCs w:val="20"/>
          <w:lang w:val="en"/>
        </w:rPr>
        <w:t>its</w:t>
      </w:r>
      <w:r w:rsidR="00FF41A0">
        <w:rPr>
          <w:sz w:val="20"/>
          <w:szCs w:val="20"/>
          <w:lang w:val="en"/>
        </w:rPr>
        <w:t xml:space="preserve"> </w:t>
      </w:r>
      <w:r w:rsidR="00323457" w:rsidRPr="0059638B">
        <w:rPr>
          <w:sz w:val="20"/>
          <w:szCs w:val="20"/>
          <w:lang w:val="en"/>
        </w:rPr>
        <w:t>resources</w:t>
      </w:r>
      <w:r w:rsidR="00FF41A0">
        <w:rPr>
          <w:sz w:val="20"/>
          <w:szCs w:val="20"/>
          <w:lang w:val="en"/>
        </w:rPr>
        <w:t xml:space="preserve"> </w:t>
      </w:r>
      <w:r w:rsidR="00323457" w:rsidRPr="0059638B">
        <w:rPr>
          <w:sz w:val="20"/>
          <w:szCs w:val="20"/>
          <w:lang w:val="en"/>
        </w:rPr>
        <w:t>on</w:t>
      </w:r>
      <w:r w:rsidR="00FF41A0">
        <w:rPr>
          <w:sz w:val="20"/>
          <w:szCs w:val="20"/>
          <w:lang w:val="en"/>
        </w:rPr>
        <w:t xml:space="preserve"> </w:t>
      </w:r>
      <w:r w:rsidR="00323457" w:rsidRPr="0059638B">
        <w:rPr>
          <w:sz w:val="20"/>
          <w:szCs w:val="20"/>
          <w:lang w:val="en"/>
        </w:rPr>
        <w:t>a</w:t>
      </w:r>
      <w:r w:rsidR="00FF41A0">
        <w:rPr>
          <w:sz w:val="20"/>
          <w:szCs w:val="20"/>
          <w:lang w:val="en"/>
        </w:rPr>
        <w:t xml:space="preserve"> </w:t>
      </w:r>
      <w:r w:rsidR="00323457" w:rsidRPr="0059638B">
        <w:rPr>
          <w:sz w:val="20"/>
          <w:szCs w:val="20"/>
          <w:lang w:val="en"/>
        </w:rPr>
        <w:t>limited</w:t>
      </w:r>
      <w:r w:rsidR="00FF41A0">
        <w:rPr>
          <w:sz w:val="20"/>
          <w:szCs w:val="20"/>
          <w:lang w:val="en"/>
        </w:rPr>
        <w:t xml:space="preserve"> </w:t>
      </w:r>
      <w:r w:rsidR="00323457" w:rsidRPr="0059638B">
        <w:rPr>
          <w:sz w:val="20"/>
          <w:szCs w:val="20"/>
          <w:lang w:val="en"/>
        </w:rPr>
        <w:t>number</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partner</w:t>
      </w:r>
      <w:r w:rsidR="00FF41A0">
        <w:rPr>
          <w:sz w:val="20"/>
          <w:szCs w:val="20"/>
          <w:lang w:val="en"/>
        </w:rPr>
        <w:t xml:space="preserve"> </w:t>
      </w:r>
      <w:r w:rsidR="00323457" w:rsidRPr="0059638B">
        <w:rPr>
          <w:sz w:val="20"/>
          <w:szCs w:val="20"/>
          <w:lang w:val="en"/>
        </w:rPr>
        <w:t>countries,</w:t>
      </w:r>
      <w:r w:rsidR="00FF41A0">
        <w:rPr>
          <w:sz w:val="20"/>
          <w:szCs w:val="20"/>
          <w:lang w:val="en"/>
        </w:rPr>
        <w:t xml:space="preserve"> </w:t>
      </w:r>
      <w:r w:rsidR="00323457" w:rsidRPr="0059638B">
        <w:rPr>
          <w:sz w:val="20"/>
          <w:szCs w:val="20"/>
          <w:lang w:val="en"/>
        </w:rPr>
        <w:t>mainly</w:t>
      </w:r>
      <w:r w:rsidR="00FF41A0">
        <w:rPr>
          <w:sz w:val="20"/>
          <w:szCs w:val="20"/>
          <w:lang w:val="en"/>
        </w:rPr>
        <w:t xml:space="preserve"> </w:t>
      </w:r>
      <w:r w:rsidR="00323457" w:rsidRPr="0059638B">
        <w:rPr>
          <w:sz w:val="20"/>
          <w:szCs w:val="20"/>
          <w:lang w:val="en"/>
        </w:rPr>
        <w:t>Least</w:t>
      </w:r>
      <w:r w:rsidR="00FF41A0">
        <w:rPr>
          <w:sz w:val="20"/>
          <w:szCs w:val="20"/>
          <w:lang w:val="en"/>
        </w:rPr>
        <w:t xml:space="preserve"> </w:t>
      </w:r>
      <w:r w:rsidR="00323457" w:rsidRPr="0059638B">
        <w:rPr>
          <w:sz w:val="20"/>
          <w:szCs w:val="20"/>
          <w:lang w:val="en"/>
        </w:rPr>
        <w:t>Developed</w:t>
      </w:r>
      <w:r w:rsidR="00FF41A0">
        <w:rPr>
          <w:sz w:val="20"/>
          <w:szCs w:val="20"/>
          <w:lang w:val="en"/>
        </w:rPr>
        <w:t xml:space="preserve"> </w:t>
      </w:r>
      <w:r w:rsidR="00323457" w:rsidRPr="0059638B">
        <w:rPr>
          <w:sz w:val="20"/>
          <w:szCs w:val="20"/>
          <w:lang w:val="en"/>
        </w:rPr>
        <w:t>Countries</w:t>
      </w:r>
      <w:r w:rsidR="00FF41A0">
        <w:rPr>
          <w:sz w:val="20"/>
          <w:szCs w:val="20"/>
          <w:lang w:val="en"/>
        </w:rPr>
        <w:t xml:space="preserve"> </w:t>
      </w:r>
      <w:r w:rsidR="00323457" w:rsidRPr="0059638B">
        <w:rPr>
          <w:sz w:val="20"/>
          <w:szCs w:val="20"/>
          <w:lang w:val="en"/>
        </w:rPr>
        <w:t>(LDCs).</w:t>
      </w:r>
      <w:r w:rsidR="00FF41A0">
        <w:rPr>
          <w:sz w:val="20"/>
          <w:szCs w:val="20"/>
          <w:lang w:val="en"/>
        </w:rPr>
        <w:t xml:space="preserve"> </w:t>
      </w:r>
      <w:r w:rsidR="00323457" w:rsidRPr="0059638B">
        <w:rPr>
          <w:sz w:val="20"/>
          <w:szCs w:val="20"/>
          <w:lang w:val="en"/>
        </w:rPr>
        <w:t>Monegasque</w:t>
      </w:r>
      <w:r w:rsidR="00FF41A0">
        <w:rPr>
          <w:sz w:val="20"/>
          <w:szCs w:val="20"/>
          <w:lang w:val="en"/>
        </w:rPr>
        <w:t xml:space="preserve"> </w:t>
      </w:r>
      <w:r w:rsidR="00323457" w:rsidRPr="0059638B">
        <w:rPr>
          <w:sz w:val="20"/>
          <w:szCs w:val="20"/>
          <w:lang w:val="en"/>
        </w:rPr>
        <w:t>ODA</w:t>
      </w:r>
      <w:r w:rsidR="00FF41A0">
        <w:rPr>
          <w:sz w:val="20"/>
          <w:szCs w:val="20"/>
          <w:lang w:val="en"/>
        </w:rPr>
        <w:t xml:space="preserve"> </w:t>
      </w:r>
      <w:r w:rsidR="00323457" w:rsidRPr="0059638B">
        <w:rPr>
          <w:sz w:val="20"/>
          <w:szCs w:val="20"/>
          <w:lang w:val="en"/>
        </w:rPr>
        <w:t>was</w:t>
      </w:r>
      <w:r w:rsidR="00FF41A0">
        <w:rPr>
          <w:sz w:val="20"/>
          <w:szCs w:val="20"/>
          <w:lang w:val="en"/>
        </w:rPr>
        <w:t xml:space="preserve"> </w:t>
      </w:r>
      <w:r w:rsidR="00323457" w:rsidRPr="0059638B">
        <w:rPr>
          <w:sz w:val="20"/>
          <w:szCs w:val="20"/>
          <w:lang w:val="en"/>
        </w:rPr>
        <w:t>exclusively</w:t>
      </w:r>
      <w:r w:rsidR="00FF41A0">
        <w:rPr>
          <w:sz w:val="20"/>
          <w:szCs w:val="20"/>
          <w:lang w:val="en"/>
        </w:rPr>
        <w:t xml:space="preserve"> </w:t>
      </w:r>
      <w:r w:rsidR="00323457" w:rsidRPr="0059638B">
        <w:rPr>
          <w:sz w:val="20"/>
          <w:szCs w:val="20"/>
          <w:lang w:val="en"/>
        </w:rPr>
        <w:t>concessional</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was</w:t>
      </w:r>
      <w:r w:rsidR="00FF41A0">
        <w:rPr>
          <w:sz w:val="20"/>
          <w:szCs w:val="20"/>
          <w:lang w:val="en"/>
        </w:rPr>
        <w:t xml:space="preserve"> </w:t>
      </w:r>
      <w:r w:rsidR="00323457" w:rsidRPr="0059638B">
        <w:rPr>
          <w:sz w:val="20"/>
          <w:szCs w:val="20"/>
          <w:lang w:val="en"/>
        </w:rPr>
        <w:t>provided</w:t>
      </w:r>
      <w:r w:rsidR="00FF41A0">
        <w:rPr>
          <w:sz w:val="20"/>
          <w:szCs w:val="20"/>
          <w:lang w:val="en"/>
        </w:rPr>
        <w:t xml:space="preserve"> </w:t>
      </w:r>
      <w:r w:rsidR="00323457" w:rsidRPr="0059638B">
        <w:rPr>
          <w:sz w:val="20"/>
          <w:szCs w:val="20"/>
          <w:lang w:val="en"/>
        </w:rPr>
        <w:t>through</w:t>
      </w:r>
      <w:r w:rsidR="00FF41A0">
        <w:rPr>
          <w:sz w:val="20"/>
          <w:szCs w:val="20"/>
          <w:lang w:val="en"/>
        </w:rPr>
        <w:t xml:space="preserve"> </w:t>
      </w:r>
      <w:r w:rsidR="00323457" w:rsidRPr="0059638B">
        <w:rPr>
          <w:sz w:val="20"/>
          <w:szCs w:val="20"/>
          <w:lang w:val="en"/>
        </w:rPr>
        <w:t>subsidies</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/or</w:t>
      </w:r>
      <w:r w:rsidR="00FF41A0">
        <w:rPr>
          <w:sz w:val="20"/>
          <w:szCs w:val="20"/>
          <w:lang w:val="en"/>
        </w:rPr>
        <w:t xml:space="preserve"> </w:t>
      </w:r>
      <w:r w:rsidR="00323457" w:rsidRPr="0059638B">
        <w:rPr>
          <w:sz w:val="20"/>
          <w:szCs w:val="20"/>
          <w:lang w:val="en"/>
        </w:rPr>
        <w:t>technical</w:t>
      </w:r>
      <w:r w:rsidR="00FF41A0">
        <w:rPr>
          <w:sz w:val="20"/>
          <w:szCs w:val="20"/>
          <w:lang w:val="en"/>
        </w:rPr>
        <w:t xml:space="preserve"> </w:t>
      </w:r>
      <w:r w:rsidR="00323457" w:rsidRPr="0059638B">
        <w:rPr>
          <w:sz w:val="20"/>
          <w:szCs w:val="20"/>
          <w:lang w:val="en"/>
        </w:rPr>
        <w:t>assistance.</w:t>
      </w:r>
      <w:r w:rsidR="00FF41A0">
        <w:rPr>
          <w:sz w:val="20"/>
          <w:szCs w:val="20"/>
          <w:lang w:val="en"/>
        </w:rPr>
        <w:t xml:space="preserve"> </w:t>
      </w:r>
      <w:r w:rsidR="00323457" w:rsidRPr="0059638B">
        <w:rPr>
          <w:sz w:val="20"/>
          <w:szCs w:val="20"/>
          <w:lang w:val="en"/>
        </w:rPr>
        <w:t>More</w:t>
      </w:r>
      <w:r w:rsidR="00FF41A0">
        <w:rPr>
          <w:sz w:val="20"/>
          <w:szCs w:val="20"/>
          <w:lang w:val="en"/>
        </w:rPr>
        <w:t xml:space="preserve"> </w:t>
      </w:r>
      <w:r w:rsidR="00323457" w:rsidRPr="0059638B">
        <w:rPr>
          <w:sz w:val="20"/>
          <w:szCs w:val="20"/>
          <w:lang w:val="en"/>
        </w:rPr>
        <w:t>than</w:t>
      </w:r>
      <w:r w:rsidR="00FF41A0">
        <w:rPr>
          <w:sz w:val="20"/>
          <w:szCs w:val="20"/>
          <w:lang w:val="en"/>
        </w:rPr>
        <w:t xml:space="preserve"> </w:t>
      </w:r>
      <w:r w:rsidR="00323457" w:rsidRPr="0059638B">
        <w:rPr>
          <w:sz w:val="20"/>
          <w:szCs w:val="20"/>
          <w:lang w:val="en"/>
        </w:rPr>
        <w:t>70</w:t>
      </w:r>
      <w:r w:rsidR="00FF41A0">
        <w:rPr>
          <w:sz w:val="20"/>
          <w:szCs w:val="20"/>
          <w:lang w:val="en"/>
        </w:rPr>
        <w:t xml:space="preserve"> </w:t>
      </w:r>
      <w:r w:rsidR="00323457" w:rsidRPr="0059638B">
        <w:rPr>
          <w:sz w:val="20"/>
          <w:szCs w:val="20"/>
          <w:lang w:val="en"/>
        </w:rPr>
        <w:t>per</w:t>
      </w:r>
      <w:r w:rsidR="00FF41A0">
        <w:rPr>
          <w:sz w:val="20"/>
          <w:szCs w:val="20"/>
          <w:lang w:val="en"/>
        </w:rPr>
        <w:t xml:space="preserve"> </w:t>
      </w:r>
      <w:r w:rsidR="00323457" w:rsidRPr="0059638B">
        <w:rPr>
          <w:sz w:val="20"/>
          <w:szCs w:val="20"/>
          <w:lang w:val="en"/>
        </w:rPr>
        <w:t>cent</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resources</w:t>
      </w:r>
      <w:r w:rsidR="00FF41A0">
        <w:rPr>
          <w:sz w:val="20"/>
          <w:szCs w:val="20"/>
          <w:lang w:val="en"/>
        </w:rPr>
        <w:t xml:space="preserve"> </w:t>
      </w:r>
      <w:r w:rsidR="00323457" w:rsidRPr="0059638B">
        <w:rPr>
          <w:sz w:val="20"/>
          <w:szCs w:val="20"/>
          <w:lang w:val="en"/>
        </w:rPr>
        <w:t>provided</w:t>
      </w:r>
      <w:r w:rsidR="00FF41A0">
        <w:rPr>
          <w:sz w:val="20"/>
          <w:szCs w:val="20"/>
          <w:lang w:val="en"/>
        </w:rPr>
        <w:t xml:space="preserve"> </w:t>
      </w:r>
      <w:r w:rsidR="00323457" w:rsidRPr="0059638B">
        <w:rPr>
          <w:sz w:val="20"/>
          <w:szCs w:val="20"/>
          <w:lang w:val="en"/>
        </w:rPr>
        <w:t>by</w:t>
      </w:r>
      <w:r w:rsidR="00FF41A0">
        <w:rPr>
          <w:sz w:val="20"/>
          <w:szCs w:val="20"/>
          <w:lang w:val="en"/>
        </w:rPr>
        <w:t xml:space="preserve"> </w:t>
      </w:r>
      <w:r w:rsidR="00323457" w:rsidRPr="0059638B">
        <w:rPr>
          <w:sz w:val="20"/>
          <w:szCs w:val="20"/>
          <w:lang w:val="en"/>
        </w:rPr>
        <w:t>Monaco</w:t>
      </w:r>
      <w:r w:rsidR="00FF41A0">
        <w:rPr>
          <w:sz w:val="20"/>
          <w:szCs w:val="20"/>
          <w:lang w:val="en"/>
        </w:rPr>
        <w:t xml:space="preserve"> </w:t>
      </w:r>
      <w:r w:rsidR="00323457" w:rsidRPr="0059638B">
        <w:rPr>
          <w:sz w:val="20"/>
          <w:szCs w:val="20"/>
          <w:lang w:val="en"/>
        </w:rPr>
        <w:t>benefited</w:t>
      </w:r>
      <w:r w:rsidR="00FF41A0">
        <w:rPr>
          <w:sz w:val="20"/>
          <w:szCs w:val="20"/>
          <w:lang w:val="en"/>
        </w:rPr>
        <w:t xml:space="preserve"> </w:t>
      </w:r>
      <w:r w:rsidR="00323457" w:rsidRPr="0059638B">
        <w:rPr>
          <w:sz w:val="20"/>
          <w:szCs w:val="20"/>
          <w:lang w:val="en"/>
        </w:rPr>
        <w:t>seven</w:t>
      </w:r>
      <w:r w:rsidR="00FF41A0">
        <w:rPr>
          <w:sz w:val="20"/>
          <w:szCs w:val="20"/>
          <w:lang w:val="en"/>
        </w:rPr>
        <w:t xml:space="preserve"> </w:t>
      </w:r>
      <w:r w:rsidR="00323457" w:rsidRPr="0059638B">
        <w:rPr>
          <w:sz w:val="20"/>
          <w:szCs w:val="20"/>
          <w:lang w:val="en"/>
        </w:rPr>
        <w:t>African</w:t>
      </w:r>
      <w:r w:rsidR="00FF41A0">
        <w:rPr>
          <w:sz w:val="20"/>
          <w:szCs w:val="20"/>
          <w:lang w:val="en"/>
        </w:rPr>
        <w:t xml:space="preserve"> </w:t>
      </w:r>
      <w:r w:rsidR="00323457" w:rsidRPr="0059638B">
        <w:rPr>
          <w:sz w:val="20"/>
          <w:szCs w:val="20"/>
          <w:lang w:val="en"/>
        </w:rPr>
        <w:t>LDCs,</w:t>
      </w:r>
      <w:r w:rsidR="00FF41A0">
        <w:rPr>
          <w:sz w:val="20"/>
          <w:szCs w:val="20"/>
          <w:lang w:val="en"/>
        </w:rPr>
        <w:t xml:space="preserve"> </w:t>
      </w:r>
      <w:r w:rsidR="00323457" w:rsidRPr="0059638B">
        <w:rPr>
          <w:sz w:val="20"/>
          <w:szCs w:val="20"/>
          <w:lang w:val="en"/>
        </w:rPr>
        <w:t>enabling</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Principality</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achieve</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Addis</w:t>
      </w:r>
      <w:r w:rsidR="00FF41A0">
        <w:rPr>
          <w:sz w:val="20"/>
          <w:szCs w:val="20"/>
          <w:lang w:val="en"/>
        </w:rPr>
        <w:t xml:space="preserve"> </w:t>
      </w:r>
      <w:r w:rsidR="00323457" w:rsidRPr="0059638B">
        <w:rPr>
          <w:sz w:val="20"/>
          <w:szCs w:val="20"/>
          <w:lang w:val="en"/>
        </w:rPr>
        <w:t>Ababa</w:t>
      </w:r>
      <w:r w:rsidR="00FF41A0">
        <w:rPr>
          <w:sz w:val="20"/>
          <w:szCs w:val="20"/>
          <w:lang w:val="en"/>
        </w:rPr>
        <w:t xml:space="preserve"> </w:t>
      </w:r>
      <w:r w:rsidR="00323457" w:rsidRPr="0059638B">
        <w:rPr>
          <w:sz w:val="20"/>
          <w:szCs w:val="20"/>
          <w:lang w:val="en"/>
        </w:rPr>
        <w:t>target</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devoting</w:t>
      </w:r>
      <w:r w:rsidR="00FF41A0">
        <w:rPr>
          <w:sz w:val="20"/>
          <w:szCs w:val="20"/>
          <w:lang w:val="en"/>
        </w:rPr>
        <w:t xml:space="preserve"> </w:t>
      </w:r>
      <w:r w:rsidR="00323457" w:rsidRPr="0059638B">
        <w:rPr>
          <w:sz w:val="20"/>
          <w:szCs w:val="20"/>
          <w:lang w:val="en"/>
        </w:rPr>
        <w:t>at</w:t>
      </w:r>
      <w:r w:rsidR="00FF41A0">
        <w:rPr>
          <w:sz w:val="20"/>
          <w:szCs w:val="20"/>
          <w:lang w:val="en"/>
        </w:rPr>
        <w:t xml:space="preserve"> </w:t>
      </w:r>
      <w:r w:rsidR="00323457" w:rsidRPr="0059638B">
        <w:rPr>
          <w:sz w:val="20"/>
          <w:szCs w:val="20"/>
          <w:lang w:val="en"/>
        </w:rPr>
        <w:t>least</w:t>
      </w:r>
      <w:r w:rsidR="00FF41A0">
        <w:rPr>
          <w:sz w:val="20"/>
          <w:szCs w:val="20"/>
          <w:lang w:val="en"/>
        </w:rPr>
        <w:t xml:space="preserve"> </w:t>
      </w:r>
      <w:r w:rsidR="00323457" w:rsidRPr="0059638B">
        <w:rPr>
          <w:sz w:val="20"/>
          <w:szCs w:val="20"/>
          <w:lang w:val="en"/>
        </w:rPr>
        <w:t>0.15</w:t>
      </w:r>
      <w:r w:rsidR="00FF41A0">
        <w:rPr>
          <w:sz w:val="20"/>
          <w:szCs w:val="20"/>
          <w:lang w:val="en"/>
        </w:rPr>
        <w:t xml:space="preserve"> </w:t>
      </w:r>
      <w:r w:rsidR="00323457" w:rsidRPr="0059638B">
        <w:rPr>
          <w:sz w:val="20"/>
          <w:szCs w:val="20"/>
          <w:lang w:val="en"/>
        </w:rPr>
        <w:t>per</w:t>
      </w:r>
      <w:r w:rsidR="00FF41A0">
        <w:rPr>
          <w:sz w:val="20"/>
          <w:szCs w:val="20"/>
          <w:lang w:val="en"/>
        </w:rPr>
        <w:t xml:space="preserve"> </w:t>
      </w:r>
      <w:r w:rsidR="00323457" w:rsidRPr="0059638B">
        <w:rPr>
          <w:sz w:val="20"/>
          <w:szCs w:val="20"/>
          <w:lang w:val="en"/>
        </w:rPr>
        <w:t>cent</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its</w:t>
      </w:r>
      <w:r w:rsidR="00FF41A0">
        <w:rPr>
          <w:sz w:val="20"/>
          <w:szCs w:val="20"/>
          <w:lang w:val="en"/>
        </w:rPr>
        <w:t xml:space="preserve"> </w:t>
      </w:r>
      <w:r w:rsidR="00323457" w:rsidRPr="0059638B">
        <w:rPr>
          <w:sz w:val="20"/>
          <w:szCs w:val="20"/>
          <w:lang w:val="en"/>
        </w:rPr>
        <w:t>national</w:t>
      </w:r>
      <w:r w:rsidR="00FF41A0">
        <w:rPr>
          <w:sz w:val="20"/>
          <w:szCs w:val="20"/>
          <w:lang w:val="en"/>
        </w:rPr>
        <w:t xml:space="preserve"> </w:t>
      </w:r>
      <w:r w:rsidR="00323457" w:rsidRPr="0059638B">
        <w:rPr>
          <w:sz w:val="20"/>
          <w:szCs w:val="20"/>
          <w:lang w:val="en"/>
        </w:rPr>
        <w:t>wealth</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LDCs.</w:t>
      </w:r>
      <w:r w:rsidR="00FF41A0">
        <w:rPr>
          <w:sz w:val="20"/>
          <w:szCs w:val="20"/>
          <w:lang w:val="en"/>
        </w:rPr>
        <w:t xml:space="preserve"> </w:t>
      </w:r>
    </w:p>
    <w:p w14:paraId="34CFDDBF" w14:textId="766B0287" w:rsidR="00323457" w:rsidRPr="0059638B" w:rsidRDefault="00972F1E" w:rsidP="00323457">
      <w:pPr>
        <w:pStyle w:val="SingleTxtG"/>
        <w:rPr>
          <w:sz w:val="20"/>
          <w:szCs w:val="20"/>
          <w:lang w:val="en"/>
        </w:rPr>
      </w:pPr>
      <w:r>
        <w:rPr>
          <w:sz w:val="20"/>
          <w:szCs w:val="20"/>
          <w:lang w:val="en"/>
        </w:rPr>
        <w:t>731</w:t>
      </w:r>
      <w:r w:rsidR="00D7475F">
        <w:rPr>
          <w:sz w:val="20"/>
          <w:szCs w:val="20"/>
          <w:lang w:val="en"/>
        </w:rPr>
        <w:t>.</w:t>
      </w:r>
      <w:r w:rsidR="00D7475F">
        <w:rPr>
          <w:sz w:val="20"/>
          <w:szCs w:val="20"/>
          <w:lang w:val="en"/>
        </w:rPr>
        <w:tab/>
      </w:r>
      <w:r w:rsidR="00323457" w:rsidRPr="0059638B">
        <w:rPr>
          <w:sz w:val="20"/>
          <w:szCs w:val="20"/>
          <w:lang w:val="en"/>
        </w:rPr>
        <w:t>Monaco</w:t>
      </w:r>
      <w:r w:rsidR="00FF41A0">
        <w:rPr>
          <w:sz w:val="20"/>
          <w:szCs w:val="20"/>
          <w:lang w:val="en"/>
        </w:rPr>
        <w:t xml:space="preserve"> </w:t>
      </w:r>
      <w:r w:rsidR="00323457" w:rsidRPr="0059638B">
        <w:rPr>
          <w:sz w:val="20"/>
          <w:szCs w:val="20"/>
          <w:lang w:val="en"/>
        </w:rPr>
        <w:t>was</w:t>
      </w:r>
      <w:r w:rsidR="00FF41A0">
        <w:rPr>
          <w:sz w:val="20"/>
          <w:szCs w:val="20"/>
          <w:lang w:val="en"/>
        </w:rPr>
        <w:t xml:space="preserve"> </w:t>
      </w:r>
      <w:r w:rsidR="00323457" w:rsidRPr="0059638B">
        <w:rPr>
          <w:sz w:val="20"/>
          <w:szCs w:val="20"/>
          <w:lang w:val="en"/>
        </w:rPr>
        <w:t>also</w:t>
      </w:r>
      <w:r w:rsidR="00FF41A0">
        <w:rPr>
          <w:sz w:val="20"/>
          <w:szCs w:val="20"/>
          <w:lang w:val="en"/>
        </w:rPr>
        <w:t xml:space="preserve"> </w:t>
      </w:r>
      <w:r w:rsidR="00323457" w:rsidRPr="0059638B">
        <w:rPr>
          <w:sz w:val="20"/>
          <w:szCs w:val="20"/>
          <w:lang w:val="en"/>
        </w:rPr>
        <w:t>committed</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providing</w:t>
      </w:r>
      <w:r w:rsidR="00FF41A0">
        <w:rPr>
          <w:sz w:val="20"/>
          <w:szCs w:val="20"/>
          <w:lang w:val="en"/>
        </w:rPr>
        <w:t xml:space="preserve"> </w:t>
      </w:r>
      <w:r w:rsidR="00323457" w:rsidRPr="0059638B">
        <w:rPr>
          <w:sz w:val="20"/>
          <w:szCs w:val="20"/>
          <w:lang w:val="en"/>
        </w:rPr>
        <w:t>more</w:t>
      </w:r>
      <w:r w:rsidR="00FF41A0">
        <w:rPr>
          <w:sz w:val="20"/>
          <w:szCs w:val="20"/>
          <w:lang w:val="en"/>
        </w:rPr>
        <w:t xml:space="preserve"> </w:t>
      </w:r>
      <w:r w:rsidR="00323457" w:rsidRPr="0059638B">
        <w:rPr>
          <w:sz w:val="20"/>
          <w:szCs w:val="20"/>
          <w:lang w:val="en"/>
        </w:rPr>
        <w:t>support</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main</w:t>
      </w:r>
      <w:r w:rsidR="00FF41A0">
        <w:rPr>
          <w:sz w:val="20"/>
          <w:szCs w:val="20"/>
          <w:lang w:val="en"/>
        </w:rPr>
        <w:t xml:space="preserve"> </w:t>
      </w:r>
      <w:r w:rsidR="00323457" w:rsidRPr="0059638B">
        <w:rPr>
          <w:sz w:val="20"/>
          <w:szCs w:val="20"/>
          <w:lang w:val="en"/>
        </w:rPr>
        <w:t>actors</w:t>
      </w:r>
      <w:r w:rsidR="00FF41A0">
        <w:rPr>
          <w:sz w:val="20"/>
          <w:szCs w:val="20"/>
          <w:lang w:val="en"/>
        </w:rPr>
        <w:t xml:space="preserve"> </w:t>
      </w:r>
      <w:r w:rsidR="00323457" w:rsidRPr="0059638B">
        <w:rPr>
          <w:sz w:val="20"/>
          <w:szCs w:val="20"/>
          <w:lang w:val="en"/>
        </w:rPr>
        <w:t>in</w:t>
      </w:r>
      <w:r w:rsidR="00FF41A0">
        <w:rPr>
          <w:sz w:val="20"/>
          <w:szCs w:val="20"/>
          <w:lang w:val="en"/>
        </w:rPr>
        <w:t xml:space="preserve"> </w:t>
      </w:r>
      <w:r w:rsidR="00323457" w:rsidRPr="0059638B">
        <w:rPr>
          <w:sz w:val="20"/>
          <w:szCs w:val="20"/>
          <w:lang w:val="en"/>
        </w:rPr>
        <w:t>partner</w:t>
      </w:r>
      <w:r w:rsidR="00FF41A0">
        <w:rPr>
          <w:sz w:val="20"/>
          <w:szCs w:val="20"/>
          <w:lang w:val="en"/>
        </w:rPr>
        <w:t xml:space="preserve"> </w:t>
      </w:r>
      <w:r w:rsidR="00323457" w:rsidRPr="0059638B">
        <w:rPr>
          <w:sz w:val="20"/>
          <w:szCs w:val="20"/>
          <w:lang w:val="en"/>
        </w:rPr>
        <w:t>countries,</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in</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spirit</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Istanbul</w:t>
      </w:r>
      <w:r w:rsidR="00FF41A0">
        <w:rPr>
          <w:sz w:val="20"/>
          <w:szCs w:val="20"/>
          <w:lang w:val="en"/>
        </w:rPr>
        <w:t xml:space="preserve"> </w:t>
      </w:r>
      <w:r w:rsidR="00323457" w:rsidRPr="0059638B">
        <w:rPr>
          <w:sz w:val="20"/>
          <w:szCs w:val="20"/>
          <w:lang w:val="en"/>
        </w:rPr>
        <w:t>Humanitarian</w:t>
      </w:r>
      <w:r w:rsidR="00FF41A0">
        <w:rPr>
          <w:sz w:val="20"/>
          <w:szCs w:val="20"/>
          <w:lang w:val="en"/>
        </w:rPr>
        <w:t xml:space="preserve"> </w:t>
      </w:r>
      <w:r w:rsidR="00323457" w:rsidRPr="0059638B">
        <w:rPr>
          <w:sz w:val="20"/>
          <w:szCs w:val="20"/>
          <w:lang w:val="en"/>
        </w:rPr>
        <w:t>Summit,</w:t>
      </w:r>
      <w:r w:rsidR="00FF41A0">
        <w:rPr>
          <w:sz w:val="20"/>
          <w:szCs w:val="20"/>
          <w:lang w:val="en"/>
        </w:rPr>
        <w:t xml:space="preserve"> </w:t>
      </w:r>
      <w:r w:rsidR="00323457" w:rsidRPr="0059638B">
        <w:rPr>
          <w:sz w:val="20"/>
          <w:szCs w:val="20"/>
          <w:lang w:val="en"/>
        </w:rPr>
        <w:t>Monaco</w:t>
      </w:r>
      <w:r w:rsidR="00FF41A0">
        <w:rPr>
          <w:sz w:val="20"/>
          <w:szCs w:val="20"/>
          <w:lang w:val="en"/>
        </w:rPr>
        <w:t xml:space="preserve"> </w:t>
      </w:r>
      <w:r w:rsidR="00323457" w:rsidRPr="0059638B">
        <w:rPr>
          <w:sz w:val="20"/>
          <w:szCs w:val="20"/>
          <w:lang w:val="en"/>
        </w:rPr>
        <w:t>had</w:t>
      </w:r>
      <w:r w:rsidR="00FF41A0">
        <w:rPr>
          <w:sz w:val="20"/>
          <w:szCs w:val="20"/>
          <w:lang w:val="en"/>
        </w:rPr>
        <w:t xml:space="preserve"> </w:t>
      </w:r>
      <w:r w:rsidR="00323457" w:rsidRPr="0059638B">
        <w:rPr>
          <w:sz w:val="20"/>
          <w:szCs w:val="20"/>
          <w:lang w:val="en"/>
        </w:rPr>
        <w:t>pledged</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devote</w:t>
      </w:r>
      <w:r w:rsidR="00FF41A0">
        <w:rPr>
          <w:sz w:val="20"/>
          <w:szCs w:val="20"/>
          <w:lang w:val="en"/>
        </w:rPr>
        <w:t xml:space="preserve"> </w:t>
      </w:r>
      <w:r w:rsidR="00323457" w:rsidRPr="0059638B">
        <w:rPr>
          <w:sz w:val="20"/>
          <w:szCs w:val="20"/>
          <w:lang w:val="en"/>
        </w:rPr>
        <w:t>at</w:t>
      </w:r>
      <w:r w:rsidR="00FF41A0">
        <w:rPr>
          <w:sz w:val="20"/>
          <w:szCs w:val="20"/>
          <w:lang w:val="en"/>
        </w:rPr>
        <w:t xml:space="preserve"> </w:t>
      </w:r>
      <w:r w:rsidR="00323457" w:rsidRPr="0059638B">
        <w:rPr>
          <w:sz w:val="20"/>
          <w:szCs w:val="20"/>
          <w:lang w:val="en"/>
        </w:rPr>
        <w:t>least</w:t>
      </w:r>
      <w:r w:rsidR="00FF41A0">
        <w:rPr>
          <w:sz w:val="20"/>
          <w:szCs w:val="20"/>
          <w:lang w:val="en"/>
        </w:rPr>
        <w:t xml:space="preserve"> </w:t>
      </w:r>
      <w:r w:rsidR="00323457" w:rsidRPr="0059638B">
        <w:rPr>
          <w:sz w:val="20"/>
          <w:szCs w:val="20"/>
          <w:lang w:val="en"/>
        </w:rPr>
        <w:t>30</w:t>
      </w:r>
      <w:r w:rsidR="00FF41A0">
        <w:rPr>
          <w:sz w:val="20"/>
          <w:szCs w:val="20"/>
          <w:lang w:val="en"/>
        </w:rPr>
        <w:t xml:space="preserve"> </w:t>
      </w:r>
      <w:r w:rsidR="00323457" w:rsidRPr="0059638B">
        <w:rPr>
          <w:sz w:val="20"/>
          <w:szCs w:val="20"/>
          <w:lang w:val="en"/>
        </w:rPr>
        <w:t>per</w:t>
      </w:r>
      <w:r w:rsidR="00FF41A0">
        <w:rPr>
          <w:sz w:val="20"/>
          <w:szCs w:val="20"/>
          <w:lang w:val="en"/>
        </w:rPr>
        <w:t xml:space="preserve"> </w:t>
      </w:r>
      <w:r w:rsidR="00323457" w:rsidRPr="0059638B">
        <w:rPr>
          <w:sz w:val="20"/>
          <w:szCs w:val="20"/>
          <w:lang w:val="en"/>
        </w:rPr>
        <w:t>cent</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its</w:t>
      </w:r>
      <w:r w:rsidR="00FF41A0">
        <w:rPr>
          <w:sz w:val="20"/>
          <w:szCs w:val="20"/>
          <w:lang w:val="en"/>
        </w:rPr>
        <w:t xml:space="preserve"> </w:t>
      </w:r>
      <w:r w:rsidR="00323457" w:rsidRPr="0059638B">
        <w:rPr>
          <w:sz w:val="20"/>
          <w:szCs w:val="20"/>
          <w:lang w:val="en"/>
        </w:rPr>
        <w:t>funding</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local</w:t>
      </w:r>
      <w:r w:rsidR="00FF41A0">
        <w:rPr>
          <w:sz w:val="20"/>
          <w:szCs w:val="20"/>
          <w:lang w:val="en"/>
        </w:rPr>
        <w:t xml:space="preserve"> </w:t>
      </w:r>
      <w:r w:rsidR="00323457" w:rsidRPr="0059638B">
        <w:rPr>
          <w:sz w:val="20"/>
          <w:szCs w:val="20"/>
          <w:lang w:val="en"/>
        </w:rPr>
        <w:t>actors,</w:t>
      </w:r>
      <w:r w:rsidR="00FF41A0">
        <w:rPr>
          <w:sz w:val="20"/>
          <w:szCs w:val="20"/>
          <w:lang w:val="en"/>
        </w:rPr>
        <w:t xml:space="preserve"> </w:t>
      </w:r>
      <w:r w:rsidR="00323457" w:rsidRPr="0059638B">
        <w:rPr>
          <w:sz w:val="20"/>
          <w:szCs w:val="20"/>
          <w:lang w:val="en"/>
        </w:rPr>
        <w:t>authorities</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civil</w:t>
      </w:r>
      <w:r w:rsidR="00FF41A0">
        <w:rPr>
          <w:sz w:val="20"/>
          <w:szCs w:val="20"/>
          <w:lang w:val="en"/>
        </w:rPr>
        <w:t xml:space="preserve"> </w:t>
      </w:r>
      <w:r w:rsidR="00323457" w:rsidRPr="0059638B">
        <w:rPr>
          <w:sz w:val="20"/>
          <w:szCs w:val="20"/>
          <w:lang w:val="en"/>
        </w:rPr>
        <w:t>society,</w:t>
      </w:r>
      <w:r w:rsidR="00FF41A0">
        <w:rPr>
          <w:sz w:val="20"/>
          <w:szCs w:val="20"/>
          <w:lang w:val="en"/>
        </w:rPr>
        <w:t xml:space="preserve"> </w:t>
      </w:r>
      <w:r w:rsidR="00323457" w:rsidRPr="0059638B">
        <w:rPr>
          <w:sz w:val="20"/>
          <w:szCs w:val="20"/>
          <w:lang w:val="en"/>
        </w:rPr>
        <w:t>in</w:t>
      </w:r>
      <w:r w:rsidR="00FF41A0">
        <w:rPr>
          <w:sz w:val="20"/>
          <w:szCs w:val="20"/>
          <w:lang w:val="en"/>
        </w:rPr>
        <w:t xml:space="preserve"> </w:t>
      </w:r>
      <w:r w:rsidR="00323457" w:rsidRPr="0059638B">
        <w:rPr>
          <w:sz w:val="20"/>
          <w:szCs w:val="20"/>
          <w:lang w:val="en"/>
        </w:rPr>
        <w:t>order</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promote</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effectiveness</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sustainability</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its</w:t>
      </w:r>
      <w:r w:rsidR="00FF41A0">
        <w:rPr>
          <w:sz w:val="20"/>
          <w:szCs w:val="20"/>
          <w:lang w:val="en"/>
        </w:rPr>
        <w:t xml:space="preserve"> </w:t>
      </w:r>
      <w:r w:rsidR="00323457" w:rsidRPr="0059638B">
        <w:rPr>
          <w:sz w:val="20"/>
          <w:szCs w:val="20"/>
          <w:lang w:val="en"/>
        </w:rPr>
        <w:t>operations.</w:t>
      </w:r>
    </w:p>
    <w:p w14:paraId="257ABE42" w14:textId="4CE415A4" w:rsidR="00323457" w:rsidRPr="0059638B" w:rsidRDefault="00972F1E" w:rsidP="00323457">
      <w:pPr>
        <w:pStyle w:val="SingleTxtG"/>
        <w:rPr>
          <w:sz w:val="20"/>
          <w:szCs w:val="20"/>
          <w:lang w:val="en"/>
        </w:rPr>
      </w:pPr>
      <w:r>
        <w:rPr>
          <w:sz w:val="20"/>
          <w:szCs w:val="20"/>
          <w:lang w:val="en"/>
        </w:rPr>
        <w:t>732</w:t>
      </w:r>
      <w:r w:rsidR="00D7475F">
        <w:rPr>
          <w:sz w:val="20"/>
          <w:szCs w:val="20"/>
          <w:lang w:val="en"/>
        </w:rPr>
        <w:t>.</w:t>
      </w:r>
      <w:r w:rsidR="00D7475F">
        <w:rPr>
          <w:sz w:val="20"/>
          <w:szCs w:val="20"/>
          <w:lang w:val="en"/>
        </w:rPr>
        <w:tab/>
      </w:r>
      <w:r w:rsidR="00323457" w:rsidRPr="0059638B">
        <w:rPr>
          <w:sz w:val="20"/>
          <w:szCs w:val="20"/>
          <w:lang w:val="en"/>
        </w:rPr>
        <w:t>Furthermore,</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contribute</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gender</w:t>
      </w:r>
      <w:r w:rsidR="00FF41A0">
        <w:rPr>
          <w:sz w:val="20"/>
          <w:szCs w:val="20"/>
          <w:lang w:val="en"/>
        </w:rPr>
        <w:t xml:space="preserve"> </w:t>
      </w:r>
      <w:r w:rsidR="00323457" w:rsidRPr="0059638B">
        <w:rPr>
          <w:sz w:val="20"/>
          <w:szCs w:val="20"/>
          <w:lang w:val="en"/>
        </w:rPr>
        <w:t>equality</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achieve</w:t>
      </w:r>
      <w:r w:rsidR="00FF41A0">
        <w:rPr>
          <w:sz w:val="20"/>
          <w:szCs w:val="20"/>
          <w:lang w:val="en"/>
        </w:rPr>
        <w:t xml:space="preserve"> </w:t>
      </w:r>
      <w:r w:rsidR="00323457" w:rsidRPr="0059638B">
        <w:rPr>
          <w:sz w:val="20"/>
          <w:szCs w:val="20"/>
          <w:lang w:val="en"/>
        </w:rPr>
        <w:t>Sustainable</w:t>
      </w:r>
      <w:r w:rsidR="00FF41A0">
        <w:rPr>
          <w:sz w:val="20"/>
          <w:szCs w:val="20"/>
          <w:lang w:val="en"/>
        </w:rPr>
        <w:t xml:space="preserve"> </w:t>
      </w:r>
      <w:r w:rsidR="00323457" w:rsidRPr="0059638B">
        <w:rPr>
          <w:sz w:val="20"/>
          <w:szCs w:val="20"/>
          <w:lang w:val="en"/>
        </w:rPr>
        <w:t>Development</w:t>
      </w:r>
      <w:r w:rsidR="00FF41A0">
        <w:rPr>
          <w:sz w:val="20"/>
          <w:szCs w:val="20"/>
          <w:lang w:val="en"/>
        </w:rPr>
        <w:t xml:space="preserve"> </w:t>
      </w:r>
      <w:r w:rsidR="00323457" w:rsidRPr="0059638B">
        <w:rPr>
          <w:sz w:val="20"/>
          <w:szCs w:val="20"/>
          <w:lang w:val="en"/>
        </w:rPr>
        <w:t>Goal</w:t>
      </w:r>
      <w:r w:rsidR="00FF41A0">
        <w:rPr>
          <w:sz w:val="20"/>
          <w:szCs w:val="20"/>
          <w:lang w:val="en"/>
        </w:rPr>
        <w:t xml:space="preserve"> </w:t>
      </w:r>
      <w:r w:rsidR="00323457" w:rsidRPr="0059638B">
        <w:rPr>
          <w:sz w:val="20"/>
          <w:szCs w:val="20"/>
          <w:lang w:val="en"/>
        </w:rPr>
        <w:t>5</w:t>
      </w:r>
      <w:r w:rsidR="00FF41A0">
        <w:rPr>
          <w:sz w:val="20"/>
          <w:szCs w:val="20"/>
          <w:lang w:val="en"/>
        </w:rPr>
        <w:t xml:space="preserve"> </w:t>
      </w:r>
      <w:r w:rsidR="00323457" w:rsidRPr="0059638B">
        <w:rPr>
          <w:sz w:val="20"/>
          <w:szCs w:val="20"/>
          <w:lang w:val="en"/>
        </w:rPr>
        <w:t>worldwide,</w:t>
      </w:r>
      <w:r w:rsidR="00FF41A0">
        <w:rPr>
          <w:sz w:val="20"/>
          <w:szCs w:val="20"/>
          <w:lang w:val="en"/>
        </w:rPr>
        <w:t xml:space="preserve"> </w:t>
      </w:r>
      <w:r w:rsidR="00323457" w:rsidRPr="0059638B">
        <w:rPr>
          <w:sz w:val="20"/>
          <w:szCs w:val="20"/>
          <w:lang w:val="en"/>
        </w:rPr>
        <w:t>Monaco</w:t>
      </w:r>
      <w:r w:rsidR="00D72627">
        <w:rPr>
          <w:sz w:val="20"/>
          <w:szCs w:val="20"/>
          <w:lang w:val="en"/>
        </w:rPr>
        <w:t>’</w:t>
      </w:r>
      <w:r w:rsidR="00323457" w:rsidRPr="0059638B">
        <w:rPr>
          <w:sz w:val="20"/>
          <w:szCs w:val="20"/>
          <w:lang w:val="en"/>
        </w:rPr>
        <w:t>s</w:t>
      </w:r>
      <w:r w:rsidR="00FF41A0">
        <w:rPr>
          <w:sz w:val="20"/>
          <w:szCs w:val="20"/>
          <w:lang w:val="en"/>
        </w:rPr>
        <w:t xml:space="preserve"> </w:t>
      </w:r>
      <w:r w:rsidR="00323457" w:rsidRPr="0059638B">
        <w:rPr>
          <w:sz w:val="20"/>
          <w:szCs w:val="20"/>
          <w:lang w:val="en"/>
        </w:rPr>
        <w:t>actions</w:t>
      </w:r>
      <w:r w:rsidR="00FF41A0">
        <w:rPr>
          <w:sz w:val="20"/>
          <w:szCs w:val="20"/>
          <w:lang w:val="en"/>
        </w:rPr>
        <w:t xml:space="preserve"> </w:t>
      </w:r>
      <w:r w:rsidR="00323457" w:rsidRPr="0059638B">
        <w:rPr>
          <w:sz w:val="20"/>
          <w:szCs w:val="20"/>
          <w:lang w:val="en"/>
        </w:rPr>
        <w:t>were</w:t>
      </w:r>
      <w:r w:rsidR="00FF41A0">
        <w:rPr>
          <w:sz w:val="20"/>
          <w:szCs w:val="20"/>
          <w:lang w:val="en"/>
        </w:rPr>
        <w:t xml:space="preserve"> </w:t>
      </w:r>
      <w:r w:rsidR="00323457" w:rsidRPr="0059638B">
        <w:rPr>
          <w:sz w:val="20"/>
          <w:szCs w:val="20"/>
          <w:lang w:val="en"/>
        </w:rPr>
        <w:t>based</w:t>
      </w:r>
      <w:r w:rsidR="00FF41A0">
        <w:rPr>
          <w:sz w:val="20"/>
          <w:szCs w:val="20"/>
          <w:lang w:val="en"/>
        </w:rPr>
        <w:t xml:space="preserve"> </w:t>
      </w:r>
      <w:r w:rsidR="00323457" w:rsidRPr="0059638B">
        <w:rPr>
          <w:sz w:val="20"/>
          <w:szCs w:val="20"/>
          <w:lang w:val="en"/>
        </w:rPr>
        <w:t>on</w:t>
      </w:r>
      <w:r w:rsidR="00FF41A0">
        <w:rPr>
          <w:sz w:val="20"/>
          <w:szCs w:val="20"/>
          <w:lang w:val="en"/>
        </w:rPr>
        <w:t xml:space="preserve"> </w:t>
      </w:r>
      <w:r w:rsidR="00323457" w:rsidRPr="0059638B">
        <w:rPr>
          <w:sz w:val="20"/>
          <w:szCs w:val="20"/>
          <w:lang w:val="en"/>
        </w:rPr>
        <w:t>an</w:t>
      </w:r>
      <w:r w:rsidR="00FF41A0">
        <w:rPr>
          <w:sz w:val="20"/>
          <w:szCs w:val="20"/>
          <w:lang w:val="en"/>
        </w:rPr>
        <w:t xml:space="preserve"> </w:t>
      </w:r>
      <w:r w:rsidR="00323457" w:rsidRPr="0059638B">
        <w:rPr>
          <w:sz w:val="20"/>
          <w:szCs w:val="20"/>
          <w:lang w:val="en"/>
        </w:rPr>
        <w:t>integrated</w:t>
      </w:r>
      <w:r w:rsidR="00FF41A0">
        <w:rPr>
          <w:sz w:val="20"/>
          <w:szCs w:val="20"/>
          <w:lang w:val="en"/>
        </w:rPr>
        <w:t xml:space="preserve"> </w:t>
      </w:r>
      <w:r w:rsidR="00323457" w:rsidRPr="0059638B">
        <w:rPr>
          <w:sz w:val="20"/>
          <w:szCs w:val="20"/>
          <w:lang w:val="en"/>
        </w:rPr>
        <w:t>approach.</w:t>
      </w:r>
      <w:r w:rsidR="00FF41A0">
        <w:rPr>
          <w:sz w:val="20"/>
          <w:szCs w:val="20"/>
          <w:lang w:val="en"/>
        </w:rPr>
        <w:t xml:space="preserve"> </w:t>
      </w:r>
      <w:r w:rsidR="00323457" w:rsidRPr="0059638B">
        <w:rPr>
          <w:sz w:val="20"/>
          <w:szCs w:val="20"/>
          <w:lang w:val="en"/>
        </w:rPr>
        <w:t>Such</w:t>
      </w:r>
      <w:r w:rsidR="00FF41A0">
        <w:rPr>
          <w:sz w:val="20"/>
          <w:szCs w:val="20"/>
          <w:lang w:val="en"/>
        </w:rPr>
        <w:t xml:space="preserve"> </w:t>
      </w:r>
      <w:r w:rsidR="00323457" w:rsidRPr="0059638B">
        <w:rPr>
          <w:sz w:val="20"/>
          <w:szCs w:val="20"/>
          <w:lang w:val="en"/>
        </w:rPr>
        <w:t>action</w:t>
      </w:r>
      <w:r w:rsidR="00FF41A0">
        <w:rPr>
          <w:sz w:val="20"/>
          <w:szCs w:val="20"/>
          <w:lang w:val="en"/>
        </w:rPr>
        <w:t xml:space="preserve"> </w:t>
      </w:r>
      <w:r w:rsidR="00323457" w:rsidRPr="0059638B">
        <w:rPr>
          <w:sz w:val="20"/>
          <w:szCs w:val="20"/>
          <w:lang w:val="en"/>
        </w:rPr>
        <w:t>concerned:</w:t>
      </w:r>
      <w:r w:rsidR="00FF41A0">
        <w:rPr>
          <w:sz w:val="20"/>
          <w:szCs w:val="20"/>
          <w:lang w:val="en"/>
        </w:rPr>
        <w:t xml:space="preserve"> </w:t>
      </w:r>
      <w:r w:rsidR="00323457" w:rsidRPr="0059638B">
        <w:rPr>
          <w:sz w:val="20"/>
          <w:szCs w:val="20"/>
          <w:lang w:val="en"/>
        </w:rPr>
        <w:t>improving</w:t>
      </w:r>
      <w:r w:rsidR="00FF41A0">
        <w:rPr>
          <w:sz w:val="20"/>
          <w:szCs w:val="20"/>
          <w:lang w:val="en"/>
        </w:rPr>
        <w:t xml:space="preserve"> </w:t>
      </w:r>
      <w:r w:rsidR="00323457" w:rsidRPr="0059638B">
        <w:rPr>
          <w:sz w:val="20"/>
          <w:szCs w:val="20"/>
          <w:lang w:val="en"/>
        </w:rPr>
        <w:t>maternal</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infant</w:t>
      </w:r>
      <w:r w:rsidR="00FF41A0">
        <w:rPr>
          <w:sz w:val="20"/>
          <w:szCs w:val="20"/>
          <w:lang w:val="en"/>
        </w:rPr>
        <w:t xml:space="preserve"> </w:t>
      </w:r>
      <w:r w:rsidR="00323457" w:rsidRPr="0059638B">
        <w:rPr>
          <w:sz w:val="20"/>
          <w:szCs w:val="20"/>
          <w:lang w:val="en"/>
        </w:rPr>
        <w:t>health,</w:t>
      </w:r>
      <w:r w:rsidR="00FF41A0">
        <w:rPr>
          <w:sz w:val="20"/>
          <w:szCs w:val="20"/>
          <w:lang w:val="en"/>
        </w:rPr>
        <w:t xml:space="preserve"> </w:t>
      </w:r>
      <w:r w:rsidR="00323457" w:rsidRPr="0059638B">
        <w:rPr>
          <w:sz w:val="20"/>
          <w:szCs w:val="20"/>
          <w:lang w:val="en"/>
        </w:rPr>
        <w:t>food</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nutritional</w:t>
      </w:r>
      <w:r w:rsidR="00FF41A0">
        <w:rPr>
          <w:sz w:val="20"/>
          <w:szCs w:val="20"/>
          <w:lang w:val="en"/>
        </w:rPr>
        <w:t xml:space="preserve"> </w:t>
      </w:r>
      <w:r w:rsidR="00323457" w:rsidRPr="0059638B">
        <w:rPr>
          <w:sz w:val="20"/>
          <w:szCs w:val="20"/>
          <w:lang w:val="en"/>
        </w:rPr>
        <w:t>security</w:t>
      </w:r>
      <w:r w:rsidR="00FF41A0">
        <w:rPr>
          <w:sz w:val="20"/>
          <w:szCs w:val="20"/>
          <w:lang w:val="en"/>
        </w:rPr>
        <w:t xml:space="preserve"> </w:t>
      </w:r>
      <w:r w:rsidR="00323457" w:rsidRPr="0059638B">
        <w:rPr>
          <w:sz w:val="20"/>
          <w:szCs w:val="20"/>
          <w:lang w:val="en"/>
        </w:rPr>
        <w:t>for</w:t>
      </w:r>
      <w:r w:rsidR="00FF41A0">
        <w:rPr>
          <w:sz w:val="20"/>
          <w:szCs w:val="20"/>
          <w:lang w:val="en"/>
        </w:rPr>
        <w:t xml:space="preserve"> </w:t>
      </w:r>
      <w:r w:rsidR="00323457" w:rsidRPr="0059638B">
        <w:rPr>
          <w:sz w:val="20"/>
          <w:szCs w:val="20"/>
          <w:lang w:val="en"/>
        </w:rPr>
        <w:t>families,</w:t>
      </w:r>
      <w:r w:rsidR="00FF41A0">
        <w:rPr>
          <w:sz w:val="20"/>
          <w:szCs w:val="20"/>
          <w:lang w:val="en"/>
        </w:rPr>
        <w:t xml:space="preserve"> </w:t>
      </w:r>
      <w:r w:rsidR="00323457" w:rsidRPr="0059638B">
        <w:rPr>
          <w:sz w:val="20"/>
          <w:szCs w:val="20"/>
          <w:lang w:val="en"/>
        </w:rPr>
        <w:t>education</w:t>
      </w:r>
      <w:r w:rsidR="00FF41A0">
        <w:rPr>
          <w:sz w:val="20"/>
          <w:szCs w:val="20"/>
          <w:lang w:val="en"/>
        </w:rPr>
        <w:t xml:space="preserve"> </w:t>
      </w:r>
      <w:r w:rsidR="00323457" w:rsidRPr="0059638B">
        <w:rPr>
          <w:sz w:val="20"/>
          <w:szCs w:val="20"/>
          <w:lang w:val="en"/>
        </w:rPr>
        <w:t>for</w:t>
      </w:r>
      <w:r w:rsidR="00FF41A0">
        <w:rPr>
          <w:sz w:val="20"/>
          <w:szCs w:val="20"/>
          <w:lang w:val="en"/>
        </w:rPr>
        <w:t xml:space="preserve"> </w:t>
      </w:r>
      <w:r w:rsidR="00323457" w:rsidRPr="0059638B">
        <w:rPr>
          <w:sz w:val="20"/>
          <w:szCs w:val="20"/>
          <w:lang w:val="en"/>
        </w:rPr>
        <w:t>girls</w:t>
      </w:r>
      <w:r w:rsidR="00FF41A0">
        <w:rPr>
          <w:sz w:val="20"/>
          <w:szCs w:val="20"/>
          <w:lang w:val="en"/>
        </w:rPr>
        <w:t xml:space="preserve"> </w:t>
      </w:r>
      <w:r w:rsidR="00323457" w:rsidRPr="0059638B">
        <w:rPr>
          <w:sz w:val="20"/>
          <w:szCs w:val="20"/>
          <w:lang w:val="en"/>
        </w:rPr>
        <w:t>from</w:t>
      </w:r>
      <w:r w:rsidR="00FF41A0">
        <w:rPr>
          <w:sz w:val="20"/>
          <w:szCs w:val="20"/>
          <w:lang w:val="en"/>
        </w:rPr>
        <w:t xml:space="preserve"> </w:t>
      </w:r>
      <w:r w:rsidR="00323457" w:rsidRPr="0059638B">
        <w:rPr>
          <w:sz w:val="20"/>
          <w:szCs w:val="20"/>
          <w:lang w:val="en"/>
        </w:rPr>
        <w:t>pre-school</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higher</w:t>
      </w:r>
      <w:r w:rsidR="00FF41A0">
        <w:rPr>
          <w:sz w:val="20"/>
          <w:szCs w:val="20"/>
          <w:lang w:val="en"/>
        </w:rPr>
        <w:t xml:space="preserve"> </w:t>
      </w:r>
      <w:r w:rsidR="00323457" w:rsidRPr="0059638B">
        <w:rPr>
          <w:sz w:val="20"/>
          <w:szCs w:val="20"/>
          <w:lang w:val="en"/>
        </w:rPr>
        <w:t>education,</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supporting</w:t>
      </w:r>
      <w:r w:rsidR="00FF41A0">
        <w:rPr>
          <w:sz w:val="20"/>
          <w:szCs w:val="20"/>
          <w:lang w:val="en"/>
        </w:rPr>
        <w:t xml:space="preserve"> </w:t>
      </w:r>
      <w:r w:rsidR="00323457" w:rsidRPr="0059638B">
        <w:rPr>
          <w:sz w:val="20"/>
          <w:szCs w:val="20"/>
          <w:lang w:val="en"/>
        </w:rPr>
        <w:t>employment</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entrepreneurship</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women,</w:t>
      </w:r>
      <w:r w:rsidR="00FF41A0">
        <w:rPr>
          <w:sz w:val="20"/>
          <w:szCs w:val="20"/>
          <w:lang w:val="en"/>
        </w:rPr>
        <w:t xml:space="preserve"> </w:t>
      </w:r>
      <w:r w:rsidR="00323457" w:rsidRPr="0059638B">
        <w:rPr>
          <w:sz w:val="20"/>
          <w:szCs w:val="20"/>
          <w:lang w:val="en"/>
        </w:rPr>
        <w:t>especially</w:t>
      </w:r>
      <w:r w:rsidR="00FF41A0">
        <w:rPr>
          <w:sz w:val="20"/>
          <w:szCs w:val="20"/>
          <w:lang w:val="en"/>
        </w:rPr>
        <w:t xml:space="preserve"> </w:t>
      </w:r>
      <w:r w:rsidR="00323457" w:rsidRPr="0059638B">
        <w:rPr>
          <w:sz w:val="20"/>
          <w:szCs w:val="20"/>
          <w:lang w:val="en"/>
        </w:rPr>
        <w:t>in</w:t>
      </w:r>
      <w:r w:rsidR="00FF41A0">
        <w:rPr>
          <w:sz w:val="20"/>
          <w:szCs w:val="20"/>
          <w:lang w:val="en"/>
        </w:rPr>
        <w:t xml:space="preserve"> </w:t>
      </w:r>
      <w:r w:rsidR="00323457" w:rsidRPr="0059638B">
        <w:rPr>
          <w:sz w:val="20"/>
          <w:szCs w:val="20"/>
          <w:lang w:val="en"/>
        </w:rPr>
        <w:t>rural</w:t>
      </w:r>
      <w:r w:rsidR="00FF41A0">
        <w:rPr>
          <w:sz w:val="20"/>
          <w:szCs w:val="20"/>
          <w:lang w:val="en"/>
        </w:rPr>
        <w:t xml:space="preserve"> </w:t>
      </w:r>
      <w:r w:rsidR="00323457" w:rsidRPr="0059638B">
        <w:rPr>
          <w:sz w:val="20"/>
          <w:szCs w:val="20"/>
          <w:lang w:val="en"/>
        </w:rPr>
        <w:t>areas</w:t>
      </w:r>
      <w:r w:rsidR="00FF41A0">
        <w:rPr>
          <w:sz w:val="20"/>
          <w:szCs w:val="20"/>
          <w:lang w:val="en"/>
        </w:rPr>
        <w:t xml:space="preserve"> </w:t>
      </w:r>
      <w:r w:rsidR="00323457" w:rsidRPr="0059638B">
        <w:rPr>
          <w:sz w:val="20"/>
          <w:szCs w:val="20"/>
          <w:lang w:val="en"/>
        </w:rPr>
        <w:t>through</w:t>
      </w:r>
      <w:r w:rsidR="00FF41A0">
        <w:rPr>
          <w:sz w:val="20"/>
          <w:szCs w:val="20"/>
          <w:lang w:val="en"/>
        </w:rPr>
        <w:t xml:space="preserve"> </w:t>
      </w:r>
      <w:r w:rsidR="00323457" w:rsidRPr="0059638B">
        <w:rPr>
          <w:sz w:val="20"/>
          <w:szCs w:val="20"/>
          <w:lang w:val="en"/>
        </w:rPr>
        <w:t>vocational</w:t>
      </w:r>
      <w:r w:rsidR="00FF41A0">
        <w:rPr>
          <w:sz w:val="20"/>
          <w:szCs w:val="20"/>
          <w:lang w:val="en"/>
        </w:rPr>
        <w:t xml:space="preserve"> </w:t>
      </w:r>
      <w:r w:rsidR="00323457" w:rsidRPr="0059638B">
        <w:rPr>
          <w:sz w:val="20"/>
          <w:szCs w:val="20"/>
          <w:lang w:val="en"/>
        </w:rPr>
        <w:t>training</w:t>
      </w:r>
      <w:r w:rsidR="00FF41A0">
        <w:rPr>
          <w:sz w:val="20"/>
          <w:szCs w:val="20"/>
          <w:lang w:val="en"/>
        </w:rPr>
        <w:t xml:space="preserve"> </w:t>
      </w:r>
      <w:r w:rsidR="00323457" w:rsidRPr="0059638B">
        <w:rPr>
          <w:sz w:val="20"/>
          <w:szCs w:val="20"/>
          <w:lang w:val="en"/>
        </w:rPr>
        <w:t>or</w:t>
      </w:r>
      <w:r w:rsidR="00FF41A0">
        <w:rPr>
          <w:sz w:val="20"/>
          <w:szCs w:val="20"/>
          <w:lang w:val="en"/>
        </w:rPr>
        <w:t xml:space="preserve"> </w:t>
      </w:r>
      <w:r w:rsidR="00323457" w:rsidRPr="0059638B">
        <w:rPr>
          <w:sz w:val="20"/>
          <w:szCs w:val="20"/>
          <w:lang w:val="en"/>
        </w:rPr>
        <w:t>access</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finance.</w:t>
      </w:r>
      <w:r w:rsidR="00FF41A0">
        <w:rPr>
          <w:sz w:val="20"/>
          <w:szCs w:val="20"/>
          <w:lang w:val="en"/>
        </w:rPr>
        <w:t xml:space="preserve"> </w:t>
      </w:r>
      <w:r w:rsidR="00323457" w:rsidRPr="0059638B">
        <w:rPr>
          <w:sz w:val="20"/>
          <w:szCs w:val="20"/>
          <w:lang w:val="en"/>
        </w:rPr>
        <w:t>Finally,</w:t>
      </w:r>
      <w:r w:rsidR="00FF41A0">
        <w:rPr>
          <w:sz w:val="20"/>
          <w:szCs w:val="20"/>
          <w:lang w:val="en"/>
        </w:rPr>
        <w:t xml:space="preserve"> </w:t>
      </w:r>
      <w:r w:rsidR="00323457" w:rsidRPr="0059638B">
        <w:rPr>
          <w:sz w:val="20"/>
          <w:szCs w:val="20"/>
          <w:lang w:val="en"/>
        </w:rPr>
        <w:t>special</w:t>
      </w:r>
      <w:r w:rsidR="00FF41A0">
        <w:rPr>
          <w:sz w:val="20"/>
          <w:szCs w:val="20"/>
          <w:lang w:val="en"/>
        </w:rPr>
        <w:t xml:space="preserve"> </w:t>
      </w:r>
      <w:r w:rsidR="00323457" w:rsidRPr="0059638B">
        <w:rPr>
          <w:sz w:val="20"/>
          <w:szCs w:val="20"/>
          <w:lang w:val="en"/>
        </w:rPr>
        <w:t>attention</w:t>
      </w:r>
      <w:r w:rsidR="00FF41A0">
        <w:rPr>
          <w:sz w:val="20"/>
          <w:szCs w:val="20"/>
          <w:lang w:val="en"/>
        </w:rPr>
        <w:t xml:space="preserve"> </w:t>
      </w:r>
      <w:r w:rsidR="00323457" w:rsidRPr="0059638B">
        <w:rPr>
          <w:sz w:val="20"/>
          <w:szCs w:val="20"/>
          <w:lang w:val="en"/>
        </w:rPr>
        <w:t>is</w:t>
      </w:r>
      <w:r w:rsidR="00FF41A0">
        <w:rPr>
          <w:sz w:val="20"/>
          <w:szCs w:val="20"/>
          <w:lang w:val="en"/>
        </w:rPr>
        <w:t xml:space="preserve"> </w:t>
      </w:r>
      <w:r w:rsidR="00323457" w:rsidRPr="0059638B">
        <w:rPr>
          <w:sz w:val="20"/>
          <w:szCs w:val="20"/>
          <w:lang w:val="en"/>
        </w:rPr>
        <w:t>given</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women</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girls</w:t>
      </w:r>
      <w:r w:rsidR="00FF41A0">
        <w:rPr>
          <w:sz w:val="20"/>
          <w:szCs w:val="20"/>
          <w:lang w:val="en"/>
        </w:rPr>
        <w:t xml:space="preserve"> </w:t>
      </w:r>
      <w:r w:rsidR="00323457" w:rsidRPr="0059638B">
        <w:rPr>
          <w:sz w:val="20"/>
          <w:szCs w:val="20"/>
          <w:lang w:val="en"/>
        </w:rPr>
        <w:t>who</w:t>
      </w:r>
      <w:r w:rsidR="00FF41A0">
        <w:rPr>
          <w:sz w:val="20"/>
          <w:szCs w:val="20"/>
          <w:lang w:val="en"/>
        </w:rPr>
        <w:t xml:space="preserve"> </w:t>
      </w:r>
      <w:r w:rsidR="00323457" w:rsidRPr="0059638B">
        <w:rPr>
          <w:sz w:val="20"/>
          <w:szCs w:val="20"/>
          <w:lang w:val="en"/>
        </w:rPr>
        <w:t>are</w:t>
      </w:r>
      <w:r w:rsidR="00FF41A0">
        <w:rPr>
          <w:sz w:val="20"/>
          <w:szCs w:val="20"/>
          <w:lang w:val="en"/>
        </w:rPr>
        <w:t xml:space="preserve"> </w:t>
      </w:r>
      <w:r w:rsidR="00323457" w:rsidRPr="0059638B">
        <w:rPr>
          <w:sz w:val="20"/>
          <w:szCs w:val="20"/>
          <w:lang w:val="en"/>
        </w:rPr>
        <w:t>particularly</w:t>
      </w:r>
      <w:r w:rsidR="00FF41A0">
        <w:rPr>
          <w:sz w:val="20"/>
          <w:szCs w:val="20"/>
          <w:lang w:val="en"/>
        </w:rPr>
        <w:t xml:space="preserve"> </w:t>
      </w:r>
      <w:r w:rsidR="00323457" w:rsidRPr="0059638B">
        <w:rPr>
          <w:sz w:val="20"/>
          <w:szCs w:val="20"/>
          <w:lang w:val="en"/>
        </w:rPr>
        <w:t>vulnerable,</w:t>
      </w:r>
      <w:r w:rsidR="00FF41A0">
        <w:rPr>
          <w:sz w:val="20"/>
          <w:szCs w:val="20"/>
          <w:lang w:val="en"/>
        </w:rPr>
        <w:t xml:space="preserve"> </w:t>
      </w:r>
      <w:r w:rsidR="00323457" w:rsidRPr="0059638B">
        <w:rPr>
          <w:sz w:val="20"/>
          <w:szCs w:val="20"/>
          <w:lang w:val="en"/>
        </w:rPr>
        <w:t>such</w:t>
      </w:r>
      <w:r w:rsidR="00FF41A0">
        <w:rPr>
          <w:sz w:val="20"/>
          <w:szCs w:val="20"/>
          <w:lang w:val="en"/>
        </w:rPr>
        <w:t xml:space="preserve"> </w:t>
      </w:r>
      <w:r w:rsidR="00323457" w:rsidRPr="0059638B">
        <w:rPr>
          <w:sz w:val="20"/>
          <w:szCs w:val="20"/>
          <w:lang w:val="en"/>
        </w:rPr>
        <w:t>as</w:t>
      </w:r>
      <w:r w:rsidR="00FF41A0">
        <w:rPr>
          <w:sz w:val="20"/>
          <w:szCs w:val="20"/>
          <w:lang w:val="en"/>
        </w:rPr>
        <w:t xml:space="preserve"> </w:t>
      </w:r>
      <w:r w:rsidR="00323457" w:rsidRPr="0059638B">
        <w:rPr>
          <w:sz w:val="20"/>
          <w:szCs w:val="20"/>
          <w:lang w:val="en"/>
        </w:rPr>
        <w:t>those</w:t>
      </w:r>
      <w:r w:rsidR="00FF41A0">
        <w:rPr>
          <w:sz w:val="20"/>
          <w:szCs w:val="20"/>
          <w:lang w:val="en"/>
        </w:rPr>
        <w:t xml:space="preserve"> </w:t>
      </w:r>
      <w:r w:rsidR="00323457" w:rsidRPr="0059638B">
        <w:rPr>
          <w:sz w:val="20"/>
          <w:szCs w:val="20"/>
          <w:lang w:val="en"/>
        </w:rPr>
        <w:t>who</w:t>
      </w:r>
      <w:r w:rsidR="00FF41A0">
        <w:rPr>
          <w:sz w:val="20"/>
          <w:szCs w:val="20"/>
          <w:lang w:val="en"/>
        </w:rPr>
        <w:t xml:space="preserve"> </w:t>
      </w:r>
      <w:r w:rsidR="00323457" w:rsidRPr="0059638B">
        <w:rPr>
          <w:sz w:val="20"/>
          <w:szCs w:val="20"/>
          <w:lang w:val="en"/>
        </w:rPr>
        <w:t>are</w:t>
      </w:r>
      <w:r w:rsidR="00FF41A0">
        <w:rPr>
          <w:sz w:val="20"/>
          <w:szCs w:val="20"/>
          <w:lang w:val="en"/>
        </w:rPr>
        <w:t xml:space="preserve"> </w:t>
      </w:r>
      <w:r w:rsidR="00323457" w:rsidRPr="0059638B">
        <w:rPr>
          <w:sz w:val="20"/>
          <w:szCs w:val="20"/>
          <w:lang w:val="en"/>
        </w:rPr>
        <w:t>disabled,</w:t>
      </w:r>
      <w:r w:rsidR="00FF41A0">
        <w:rPr>
          <w:sz w:val="20"/>
          <w:szCs w:val="20"/>
          <w:lang w:val="en"/>
        </w:rPr>
        <w:t xml:space="preserve"> </w:t>
      </w:r>
      <w:r w:rsidR="00323457" w:rsidRPr="0059638B">
        <w:rPr>
          <w:sz w:val="20"/>
          <w:szCs w:val="20"/>
          <w:lang w:val="en"/>
        </w:rPr>
        <w:t>refugees,</w:t>
      </w:r>
      <w:r w:rsidR="00FF41A0">
        <w:rPr>
          <w:sz w:val="20"/>
          <w:szCs w:val="20"/>
          <w:lang w:val="en"/>
        </w:rPr>
        <w:t xml:space="preserve"> </w:t>
      </w:r>
      <w:r w:rsidR="00323457" w:rsidRPr="0059638B">
        <w:rPr>
          <w:sz w:val="20"/>
          <w:szCs w:val="20"/>
          <w:lang w:val="en"/>
        </w:rPr>
        <w:t>without</w:t>
      </w:r>
      <w:r w:rsidR="00FF41A0">
        <w:rPr>
          <w:sz w:val="20"/>
          <w:szCs w:val="20"/>
          <w:lang w:val="en"/>
        </w:rPr>
        <w:t xml:space="preserve"> </w:t>
      </w:r>
      <w:r w:rsidR="00323457" w:rsidRPr="0059638B">
        <w:rPr>
          <w:sz w:val="20"/>
          <w:szCs w:val="20"/>
          <w:lang w:val="en"/>
        </w:rPr>
        <w:t>family</w:t>
      </w:r>
      <w:r w:rsidR="00FF41A0">
        <w:rPr>
          <w:sz w:val="20"/>
          <w:szCs w:val="20"/>
          <w:lang w:val="en"/>
        </w:rPr>
        <w:t xml:space="preserve"> </w:t>
      </w:r>
      <w:r w:rsidR="00323457" w:rsidRPr="0059638B">
        <w:rPr>
          <w:sz w:val="20"/>
          <w:szCs w:val="20"/>
          <w:lang w:val="en"/>
        </w:rPr>
        <w:t>support,</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victims</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violence</w:t>
      </w:r>
      <w:r w:rsidR="00FF41A0">
        <w:rPr>
          <w:sz w:val="20"/>
          <w:szCs w:val="20"/>
          <w:lang w:val="en"/>
        </w:rPr>
        <w:t xml:space="preserve"> </w:t>
      </w:r>
      <w:r w:rsidR="00323457" w:rsidRPr="0059638B">
        <w:rPr>
          <w:sz w:val="20"/>
          <w:szCs w:val="20"/>
          <w:lang w:val="en"/>
        </w:rPr>
        <w:t>or</w:t>
      </w:r>
      <w:r w:rsidR="00FF41A0">
        <w:rPr>
          <w:sz w:val="20"/>
          <w:szCs w:val="20"/>
          <w:lang w:val="en"/>
        </w:rPr>
        <w:t xml:space="preserve"> </w:t>
      </w:r>
      <w:r w:rsidR="00323457" w:rsidRPr="0059638B">
        <w:rPr>
          <w:sz w:val="20"/>
          <w:szCs w:val="20"/>
          <w:lang w:val="en"/>
        </w:rPr>
        <w:t>trafficking.</w:t>
      </w:r>
    </w:p>
    <w:p w14:paraId="1B4DF236" w14:textId="248BF3E8" w:rsidR="00323457" w:rsidRPr="0059638B" w:rsidRDefault="00972F1E" w:rsidP="00D1034B">
      <w:pPr>
        <w:pStyle w:val="SingleTxtG"/>
        <w:rPr>
          <w:sz w:val="20"/>
          <w:szCs w:val="20"/>
          <w:lang w:val="en"/>
        </w:rPr>
      </w:pPr>
      <w:r>
        <w:rPr>
          <w:sz w:val="20"/>
          <w:szCs w:val="20"/>
          <w:lang w:val="en"/>
        </w:rPr>
        <w:t>733</w:t>
      </w:r>
      <w:r w:rsidR="00D7475F">
        <w:rPr>
          <w:sz w:val="20"/>
          <w:szCs w:val="20"/>
          <w:lang w:val="en"/>
        </w:rPr>
        <w:t>.</w:t>
      </w:r>
      <w:r w:rsidR="00D7475F">
        <w:rPr>
          <w:sz w:val="20"/>
          <w:szCs w:val="20"/>
          <w:lang w:val="en"/>
        </w:rPr>
        <w:tab/>
      </w:r>
      <w:r w:rsidR="00323457" w:rsidRPr="0059638B">
        <w:rPr>
          <w:sz w:val="20"/>
          <w:szCs w:val="20"/>
          <w:lang w:val="en"/>
        </w:rPr>
        <w:t>In</w:t>
      </w:r>
      <w:r w:rsidR="00FF41A0">
        <w:rPr>
          <w:sz w:val="20"/>
          <w:szCs w:val="20"/>
          <w:lang w:val="en"/>
        </w:rPr>
        <w:t xml:space="preserve"> </w:t>
      </w:r>
      <w:r w:rsidR="00323457" w:rsidRPr="0059638B">
        <w:rPr>
          <w:sz w:val="20"/>
          <w:szCs w:val="20"/>
          <w:lang w:val="en"/>
        </w:rPr>
        <w:t>conclusion,</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delegation</w:t>
      </w:r>
      <w:r w:rsidR="00FF41A0">
        <w:rPr>
          <w:sz w:val="20"/>
          <w:szCs w:val="20"/>
          <w:lang w:val="en"/>
        </w:rPr>
        <w:t xml:space="preserve"> </w:t>
      </w:r>
      <w:r w:rsidR="00323457" w:rsidRPr="0059638B">
        <w:rPr>
          <w:sz w:val="20"/>
          <w:szCs w:val="20"/>
          <w:lang w:val="en"/>
        </w:rPr>
        <w:t>indicated</w:t>
      </w:r>
      <w:r w:rsidR="00FF41A0">
        <w:rPr>
          <w:sz w:val="20"/>
          <w:szCs w:val="20"/>
          <w:lang w:val="en"/>
        </w:rPr>
        <w:t xml:space="preserve"> </w:t>
      </w:r>
      <w:r w:rsidR="00323457" w:rsidRPr="0059638B">
        <w:rPr>
          <w:sz w:val="20"/>
          <w:szCs w:val="20"/>
          <w:lang w:val="en"/>
        </w:rPr>
        <w:t>that</w:t>
      </w:r>
      <w:r w:rsidR="00FF41A0">
        <w:rPr>
          <w:sz w:val="20"/>
          <w:szCs w:val="20"/>
          <w:lang w:val="en"/>
        </w:rPr>
        <w:t xml:space="preserve"> </w:t>
      </w:r>
      <w:r w:rsidR="00323457" w:rsidRPr="0059638B">
        <w:rPr>
          <w:sz w:val="20"/>
          <w:szCs w:val="20"/>
          <w:lang w:val="en"/>
        </w:rPr>
        <w:t>it</w:t>
      </w:r>
      <w:r w:rsidR="00FF41A0">
        <w:rPr>
          <w:sz w:val="20"/>
          <w:szCs w:val="20"/>
          <w:lang w:val="en"/>
        </w:rPr>
        <w:t xml:space="preserve"> </w:t>
      </w:r>
      <w:r w:rsidR="00323457" w:rsidRPr="0059638B">
        <w:rPr>
          <w:sz w:val="20"/>
          <w:szCs w:val="20"/>
          <w:lang w:val="en"/>
        </w:rPr>
        <w:t>hoped</w:t>
      </w:r>
      <w:r w:rsidR="00FF41A0">
        <w:rPr>
          <w:sz w:val="20"/>
          <w:szCs w:val="20"/>
          <w:lang w:val="en"/>
        </w:rPr>
        <w:t xml:space="preserve"> </w:t>
      </w:r>
      <w:r w:rsidR="00323457" w:rsidRPr="0059638B">
        <w:rPr>
          <w:sz w:val="20"/>
          <w:szCs w:val="20"/>
          <w:lang w:val="en"/>
        </w:rPr>
        <w:t>that</w:t>
      </w:r>
      <w:r w:rsidR="00FF41A0">
        <w:rPr>
          <w:sz w:val="20"/>
          <w:szCs w:val="20"/>
          <w:lang w:val="en"/>
        </w:rPr>
        <w:t xml:space="preserve"> </w:t>
      </w:r>
      <w:r w:rsidR="00323457" w:rsidRPr="0059638B">
        <w:rPr>
          <w:sz w:val="20"/>
          <w:szCs w:val="20"/>
          <w:lang w:val="en"/>
        </w:rPr>
        <w:t>this</w:t>
      </w:r>
      <w:r w:rsidR="00FF41A0">
        <w:rPr>
          <w:sz w:val="20"/>
          <w:szCs w:val="20"/>
          <w:lang w:val="en"/>
        </w:rPr>
        <w:t xml:space="preserve"> </w:t>
      </w:r>
      <w:r w:rsidR="00323457" w:rsidRPr="0059638B">
        <w:rPr>
          <w:sz w:val="20"/>
          <w:szCs w:val="20"/>
          <w:lang w:val="en"/>
        </w:rPr>
        <w:t>third</w:t>
      </w:r>
      <w:r w:rsidR="00FF41A0">
        <w:rPr>
          <w:sz w:val="20"/>
          <w:szCs w:val="20"/>
          <w:lang w:val="en"/>
        </w:rPr>
        <w:t xml:space="preserve"> </w:t>
      </w:r>
      <w:r w:rsidR="00323457" w:rsidRPr="0059638B">
        <w:rPr>
          <w:sz w:val="20"/>
          <w:szCs w:val="20"/>
          <w:lang w:val="en"/>
        </w:rPr>
        <w:t>review</w:t>
      </w:r>
      <w:r w:rsidR="00FF41A0">
        <w:rPr>
          <w:sz w:val="20"/>
          <w:szCs w:val="20"/>
          <w:lang w:val="en"/>
        </w:rPr>
        <w:t xml:space="preserve"> </w:t>
      </w:r>
      <w:r w:rsidR="00323457" w:rsidRPr="0059638B">
        <w:rPr>
          <w:sz w:val="20"/>
          <w:szCs w:val="20"/>
          <w:lang w:val="en"/>
        </w:rPr>
        <w:t>had</w:t>
      </w:r>
      <w:r w:rsidR="00FF41A0">
        <w:rPr>
          <w:sz w:val="20"/>
          <w:szCs w:val="20"/>
          <w:lang w:val="en"/>
        </w:rPr>
        <w:t xml:space="preserve"> </w:t>
      </w:r>
      <w:r w:rsidR="00323457" w:rsidRPr="0059638B">
        <w:rPr>
          <w:sz w:val="20"/>
          <w:szCs w:val="20"/>
          <w:lang w:val="en"/>
        </w:rPr>
        <w:t>allowed</w:t>
      </w:r>
      <w:r w:rsidR="00FF41A0">
        <w:rPr>
          <w:sz w:val="20"/>
          <w:szCs w:val="20"/>
          <w:lang w:val="en"/>
        </w:rPr>
        <w:t xml:space="preserve"> </w:t>
      </w:r>
      <w:r w:rsidR="00323457" w:rsidRPr="0059638B">
        <w:rPr>
          <w:sz w:val="20"/>
          <w:szCs w:val="20"/>
          <w:lang w:val="en"/>
        </w:rPr>
        <w:t>for</w:t>
      </w:r>
      <w:r w:rsidR="00FF41A0">
        <w:rPr>
          <w:sz w:val="20"/>
          <w:szCs w:val="20"/>
          <w:lang w:val="en"/>
        </w:rPr>
        <w:t xml:space="preserve"> </w:t>
      </w:r>
      <w:r w:rsidR="00323457" w:rsidRPr="0059638B">
        <w:rPr>
          <w:sz w:val="20"/>
          <w:szCs w:val="20"/>
          <w:lang w:val="en"/>
        </w:rPr>
        <w:t>a</w:t>
      </w:r>
      <w:r w:rsidR="00FF41A0">
        <w:rPr>
          <w:sz w:val="20"/>
          <w:szCs w:val="20"/>
          <w:lang w:val="en"/>
        </w:rPr>
        <w:t xml:space="preserve"> </w:t>
      </w:r>
      <w:r w:rsidR="00323457" w:rsidRPr="0059638B">
        <w:rPr>
          <w:sz w:val="20"/>
          <w:szCs w:val="20"/>
          <w:lang w:val="en"/>
        </w:rPr>
        <w:t>better</w:t>
      </w:r>
      <w:r w:rsidR="00FF41A0">
        <w:rPr>
          <w:sz w:val="20"/>
          <w:szCs w:val="20"/>
          <w:lang w:val="en"/>
        </w:rPr>
        <w:t xml:space="preserve"> </w:t>
      </w:r>
      <w:r w:rsidR="00323457" w:rsidRPr="0059638B">
        <w:rPr>
          <w:sz w:val="20"/>
          <w:szCs w:val="20"/>
          <w:lang w:val="en"/>
        </w:rPr>
        <w:t>understanding</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Monaco</w:t>
      </w:r>
      <w:r w:rsidR="00D72627">
        <w:rPr>
          <w:sz w:val="20"/>
          <w:szCs w:val="20"/>
          <w:lang w:val="en"/>
        </w:rPr>
        <w:t>’</w:t>
      </w:r>
      <w:r w:rsidR="00323457" w:rsidRPr="0059638B">
        <w:rPr>
          <w:sz w:val="20"/>
          <w:szCs w:val="20"/>
          <w:lang w:val="en"/>
        </w:rPr>
        <w:t>s</w:t>
      </w:r>
      <w:r w:rsidR="00FF41A0">
        <w:rPr>
          <w:sz w:val="20"/>
          <w:szCs w:val="20"/>
          <w:lang w:val="en"/>
        </w:rPr>
        <w:t xml:space="preserve"> </w:t>
      </w:r>
      <w:r w:rsidR="00323457" w:rsidRPr="0059638B">
        <w:rPr>
          <w:sz w:val="20"/>
          <w:szCs w:val="20"/>
          <w:lang w:val="en"/>
        </w:rPr>
        <w:t>specificities,</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also</w:t>
      </w:r>
      <w:r w:rsidR="00FF41A0">
        <w:rPr>
          <w:sz w:val="20"/>
          <w:szCs w:val="20"/>
          <w:lang w:val="en"/>
        </w:rPr>
        <w:t xml:space="preserve"> </w:t>
      </w:r>
      <w:r w:rsidR="00323457" w:rsidRPr="0059638B">
        <w:rPr>
          <w:sz w:val="20"/>
          <w:szCs w:val="20"/>
          <w:lang w:val="en"/>
        </w:rPr>
        <w:t>reaffirmed</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country</w:t>
      </w:r>
      <w:r w:rsidR="00D72627">
        <w:rPr>
          <w:sz w:val="20"/>
          <w:szCs w:val="20"/>
          <w:lang w:val="en"/>
        </w:rPr>
        <w:t>’</w:t>
      </w:r>
      <w:r w:rsidR="00323457" w:rsidRPr="0059638B">
        <w:rPr>
          <w:sz w:val="20"/>
          <w:szCs w:val="20"/>
          <w:lang w:val="en"/>
        </w:rPr>
        <w:t>s</w:t>
      </w:r>
      <w:r w:rsidR="00FF41A0">
        <w:rPr>
          <w:sz w:val="20"/>
          <w:szCs w:val="20"/>
          <w:lang w:val="en"/>
        </w:rPr>
        <w:t xml:space="preserve"> </w:t>
      </w:r>
      <w:r w:rsidR="00323457" w:rsidRPr="0059638B">
        <w:rPr>
          <w:sz w:val="20"/>
          <w:szCs w:val="20"/>
          <w:lang w:val="en"/>
        </w:rPr>
        <w:t>commitment</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maintaining</w:t>
      </w:r>
      <w:r w:rsidR="00FF41A0">
        <w:rPr>
          <w:sz w:val="20"/>
          <w:szCs w:val="20"/>
          <w:lang w:val="en"/>
        </w:rPr>
        <w:t xml:space="preserve"> </w:t>
      </w:r>
      <w:r w:rsidR="00323457" w:rsidRPr="0059638B">
        <w:rPr>
          <w:sz w:val="20"/>
          <w:szCs w:val="20"/>
          <w:lang w:val="en"/>
        </w:rPr>
        <w:t>a</w:t>
      </w:r>
      <w:r w:rsidR="00FF41A0">
        <w:rPr>
          <w:sz w:val="20"/>
          <w:szCs w:val="20"/>
          <w:lang w:val="en"/>
        </w:rPr>
        <w:t xml:space="preserve"> </w:t>
      </w:r>
      <w:r w:rsidR="00323457" w:rsidRPr="0059638B">
        <w:rPr>
          <w:sz w:val="20"/>
          <w:szCs w:val="20"/>
          <w:lang w:val="en"/>
        </w:rPr>
        <w:t>constructive</w:t>
      </w:r>
      <w:r w:rsidR="00FF41A0">
        <w:rPr>
          <w:sz w:val="20"/>
          <w:szCs w:val="20"/>
          <w:lang w:val="en"/>
        </w:rPr>
        <w:t xml:space="preserve"> </w:t>
      </w:r>
      <w:r w:rsidR="00323457" w:rsidRPr="0059638B">
        <w:rPr>
          <w:sz w:val="20"/>
          <w:szCs w:val="20"/>
          <w:lang w:val="en"/>
        </w:rPr>
        <w:t>dialogue</w:t>
      </w:r>
      <w:r w:rsidR="00FF41A0">
        <w:rPr>
          <w:sz w:val="20"/>
          <w:szCs w:val="20"/>
          <w:lang w:val="en"/>
        </w:rPr>
        <w:t xml:space="preserve"> </w:t>
      </w:r>
      <w:r w:rsidR="00323457" w:rsidRPr="0059638B">
        <w:rPr>
          <w:sz w:val="20"/>
          <w:szCs w:val="20"/>
          <w:lang w:val="en"/>
        </w:rPr>
        <w:t>with</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Human</w:t>
      </w:r>
      <w:r w:rsidR="00FF41A0">
        <w:rPr>
          <w:sz w:val="20"/>
          <w:szCs w:val="20"/>
          <w:lang w:val="en"/>
        </w:rPr>
        <w:t xml:space="preserve"> </w:t>
      </w:r>
      <w:r w:rsidR="00323457" w:rsidRPr="0059638B">
        <w:rPr>
          <w:sz w:val="20"/>
          <w:szCs w:val="20"/>
          <w:lang w:val="en"/>
        </w:rPr>
        <w:t>Rights</w:t>
      </w:r>
      <w:r w:rsidR="00FF41A0">
        <w:rPr>
          <w:sz w:val="20"/>
          <w:szCs w:val="20"/>
          <w:lang w:val="en"/>
        </w:rPr>
        <w:t xml:space="preserve"> </w:t>
      </w:r>
      <w:r w:rsidR="00323457" w:rsidRPr="0059638B">
        <w:rPr>
          <w:sz w:val="20"/>
          <w:szCs w:val="20"/>
          <w:lang w:val="en"/>
        </w:rPr>
        <w:t>Council</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develop</w:t>
      </w:r>
      <w:r w:rsidR="00FF41A0">
        <w:rPr>
          <w:sz w:val="20"/>
          <w:szCs w:val="20"/>
          <w:lang w:val="en"/>
        </w:rPr>
        <w:t xml:space="preserve"> </w:t>
      </w:r>
      <w:r w:rsidR="00323457" w:rsidRPr="0059638B">
        <w:rPr>
          <w:sz w:val="20"/>
          <w:szCs w:val="20"/>
          <w:lang w:val="en"/>
        </w:rPr>
        <w:t>effective</w:t>
      </w:r>
      <w:r w:rsidR="00FF41A0">
        <w:rPr>
          <w:sz w:val="20"/>
          <w:szCs w:val="20"/>
          <w:lang w:val="en"/>
        </w:rPr>
        <w:t xml:space="preserve"> </w:t>
      </w:r>
      <w:r w:rsidR="00323457" w:rsidRPr="0059638B">
        <w:rPr>
          <w:sz w:val="20"/>
          <w:szCs w:val="20"/>
          <w:lang w:val="en"/>
        </w:rPr>
        <w:t>international</w:t>
      </w:r>
      <w:r w:rsidR="00FF41A0">
        <w:rPr>
          <w:sz w:val="20"/>
          <w:szCs w:val="20"/>
          <w:lang w:val="en"/>
        </w:rPr>
        <w:t xml:space="preserve"> </w:t>
      </w:r>
      <w:r w:rsidR="00323457" w:rsidRPr="0059638B">
        <w:rPr>
          <w:sz w:val="20"/>
          <w:szCs w:val="20"/>
          <w:lang w:val="en"/>
        </w:rPr>
        <w:t>cooperation</w:t>
      </w:r>
      <w:r w:rsidR="00FF41A0">
        <w:rPr>
          <w:sz w:val="20"/>
          <w:szCs w:val="20"/>
          <w:lang w:val="en"/>
        </w:rPr>
        <w:t xml:space="preserve"> </w:t>
      </w:r>
      <w:r w:rsidR="00323457" w:rsidRPr="0059638B">
        <w:rPr>
          <w:sz w:val="20"/>
          <w:szCs w:val="20"/>
          <w:lang w:val="en"/>
        </w:rPr>
        <w:t>in</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service</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those</w:t>
      </w:r>
      <w:r w:rsidR="00FF41A0">
        <w:rPr>
          <w:sz w:val="20"/>
          <w:szCs w:val="20"/>
          <w:lang w:val="en"/>
        </w:rPr>
        <w:t xml:space="preserve"> </w:t>
      </w:r>
      <w:r w:rsidR="00323457" w:rsidRPr="0059638B">
        <w:rPr>
          <w:sz w:val="20"/>
          <w:szCs w:val="20"/>
          <w:lang w:val="en"/>
        </w:rPr>
        <w:t>who</w:t>
      </w:r>
      <w:r w:rsidR="00FF41A0">
        <w:rPr>
          <w:sz w:val="20"/>
          <w:szCs w:val="20"/>
          <w:lang w:val="en"/>
        </w:rPr>
        <w:t xml:space="preserve"> </w:t>
      </w:r>
      <w:r w:rsidR="00323457" w:rsidRPr="0059638B">
        <w:rPr>
          <w:sz w:val="20"/>
          <w:szCs w:val="20"/>
          <w:lang w:val="en"/>
        </w:rPr>
        <w:t>are</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most</w:t>
      </w:r>
      <w:r w:rsidR="00FF41A0">
        <w:rPr>
          <w:sz w:val="20"/>
          <w:szCs w:val="20"/>
          <w:lang w:val="en"/>
        </w:rPr>
        <w:t xml:space="preserve"> </w:t>
      </w:r>
      <w:r w:rsidR="00323457" w:rsidRPr="0059638B">
        <w:rPr>
          <w:sz w:val="20"/>
          <w:szCs w:val="20"/>
          <w:lang w:val="en"/>
        </w:rPr>
        <w:t>vulnerable.</w:t>
      </w:r>
    </w:p>
    <w:p w14:paraId="1851BBFD" w14:textId="147E0943" w:rsidR="00323457" w:rsidRPr="0059638B" w:rsidRDefault="00323457" w:rsidP="00323457">
      <w:pPr>
        <w:pStyle w:val="H23G"/>
        <w:rPr>
          <w:sz w:val="20"/>
          <w:szCs w:val="20"/>
        </w:rPr>
      </w:pPr>
      <w:r w:rsidRPr="0059638B">
        <w:rPr>
          <w:sz w:val="20"/>
          <w:szCs w:val="20"/>
        </w:rPr>
        <w:lastRenderedPageBreak/>
        <w:tab/>
        <w:t>2.</w:t>
      </w:r>
      <w:r w:rsidRPr="0059638B">
        <w:rPr>
          <w:sz w:val="20"/>
          <w:szCs w:val="20"/>
        </w:rPr>
        <w:tab/>
        <w:t>Views</w:t>
      </w:r>
      <w:r w:rsidR="00FF41A0">
        <w:rPr>
          <w:sz w:val="20"/>
          <w:szCs w:val="20"/>
        </w:rPr>
        <w:t xml:space="preserve"> </w:t>
      </w:r>
      <w:r w:rsidRPr="0059638B">
        <w:rPr>
          <w:sz w:val="20"/>
          <w:szCs w:val="20"/>
        </w:rPr>
        <w:t>expressed</w:t>
      </w:r>
      <w:r w:rsidR="00FF41A0">
        <w:rPr>
          <w:sz w:val="20"/>
          <w:szCs w:val="20"/>
        </w:rPr>
        <w:t xml:space="preserve"> </w:t>
      </w:r>
      <w:r w:rsidRPr="0059638B">
        <w:rPr>
          <w:sz w:val="20"/>
          <w:szCs w:val="20"/>
        </w:rPr>
        <w:t>by</w:t>
      </w:r>
      <w:r w:rsidR="00FF41A0">
        <w:rPr>
          <w:sz w:val="20"/>
          <w:szCs w:val="20"/>
        </w:rPr>
        <w:t xml:space="preserve"> </w:t>
      </w:r>
      <w:r w:rsidRPr="0059638B">
        <w:rPr>
          <w:sz w:val="20"/>
          <w:szCs w:val="20"/>
        </w:rPr>
        <w:t>Member</w:t>
      </w:r>
      <w:r w:rsidR="00FF41A0">
        <w:rPr>
          <w:sz w:val="20"/>
          <w:szCs w:val="20"/>
        </w:rPr>
        <w:t xml:space="preserve"> </w:t>
      </w:r>
      <w:r w:rsidRPr="0059638B">
        <w:rPr>
          <w:sz w:val="20"/>
          <w:szCs w:val="20"/>
        </w:rPr>
        <w:t>and</w:t>
      </w:r>
      <w:r w:rsidR="00FF41A0">
        <w:rPr>
          <w:sz w:val="20"/>
          <w:szCs w:val="20"/>
        </w:rPr>
        <w:t xml:space="preserve"> </w:t>
      </w:r>
      <w:r w:rsidRPr="0059638B">
        <w:rPr>
          <w:sz w:val="20"/>
          <w:szCs w:val="20"/>
        </w:rPr>
        <w:t>observer</w:t>
      </w:r>
      <w:r w:rsidR="00FF41A0">
        <w:rPr>
          <w:sz w:val="20"/>
          <w:szCs w:val="20"/>
        </w:rPr>
        <w:t xml:space="preserve"> </w:t>
      </w:r>
      <w:r w:rsidRPr="0059638B">
        <w:rPr>
          <w:sz w:val="20"/>
          <w:szCs w:val="20"/>
        </w:rPr>
        <w:t>States</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on</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outcome</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review</w:t>
      </w:r>
      <w:r w:rsidR="00FF41A0">
        <w:rPr>
          <w:sz w:val="20"/>
          <w:szCs w:val="20"/>
        </w:rPr>
        <w:t xml:space="preserve"> </w:t>
      </w:r>
    </w:p>
    <w:p w14:paraId="12A59F7F" w14:textId="238F4FE7" w:rsidR="00323457" w:rsidRPr="0059638B" w:rsidRDefault="00972F1E" w:rsidP="00323457">
      <w:pPr>
        <w:pStyle w:val="SingleTxtG"/>
        <w:rPr>
          <w:sz w:val="20"/>
          <w:szCs w:val="20"/>
        </w:rPr>
      </w:pPr>
      <w:r>
        <w:rPr>
          <w:sz w:val="20"/>
          <w:szCs w:val="20"/>
        </w:rPr>
        <w:t>734</w:t>
      </w:r>
      <w:r w:rsidR="00D7475F">
        <w:rPr>
          <w:sz w:val="20"/>
          <w:szCs w:val="20"/>
        </w:rPr>
        <w:t>.</w:t>
      </w:r>
      <w:r w:rsidR="00D7475F">
        <w:rPr>
          <w:sz w:val="20"/>
          <w:szCs w:val="20"/>
        </w:rPr>
        <w:tab/>
      </w:r>
      <w:r w:rsidR="00323457" w:rsidRPr="0059638B">
        <w:rPr>
          <w:sz w:val="20"/>
          <w:szCs w:val="20"/>
        </w:rPr>
        <w:t>During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adoption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outcome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Monaco,</w:t>
      </w:r>
      <w:r w:rsidR="00FF41A0">
        <w:rPr>
          <w:sz w:val="20"/>
          <w:szCs w:val="20"/>
        </w:rPr>
        <w:t xml:space="preserve"> </w:t>
      </w:r>
      <w:r w:rsidR="00323457" w:rsidRPr="0059638B">
        <w:rPr>
          <w:sz w:val="20"/>
          <w:szCs w:val="20"/>
        </w:rPr>
        <w:t>10</w:t>
      </w:r>
      <w:r w:rsidR="00FF41A0">
        <w:rPr>
          <w:sz w:val="20"/>
          <w:szCs w:val="20"/>
        </w:rPr>
        <w:t xml:space="preserve"> </w:t>
      </w:r>
      <w:r w:rsidR="00323457" w:rsidRPr="0059638B">
        <w:rPr>
          <w:sz w:val="20"/>
          <w:szCs w:val="20"/>
        </w:rPr>
        <w:t>delegations</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statements.</w:t>
      </w:r>
      <w:r w:rsidR="000A2EBB" w:rsidRPr="0059638B">
        <w:rPr>
          <w:rStyle w:val="FootnoteReference"/>
          <w:sz w:val="20"/>
          <w:szCs w:val="20"/>
        </w:rPr>
        <w:footnoteReference w:customMarkFollows="1" w:id="58"/>
        <w:t>**</w:t>
      </w:r>
    </w:p>
    <w:p w14:paraId="76E482A8" w14:textId="711A92A7" w:rsidR="00323457" w:rsidRPr="0059638B" w:rsidRDefault="00972F1E" w:rsidP="00323457">
      <w:pPr>
        <w:pStyle w:val="SingleTxtG"/>
        <w:rPr>
          <w:sz w:val="20"/>
          <w:szCs w:val="20"/>
        </w:rPr>
      </w:pPr>
      <w:r>
        <w:rPr>
          <w:sz w:val="20"/>
          <w:szCs w:val="20"/>
        </w:rPr>
        <w:t>735</w:t>
      </w:r>
      <w:r w:rsidR="00D7475F">
        <w:rPr>
          <w:sz w:val="20"/>
          <w:szCs w:val="20"/>
        </w:rPr>
        <w:t>.</w:t>
      </w:r>
      <w:r w:rsidR="00D7475F">
        <w:rPr>
          <w:sz w:val="20"/>
          <w:szCs w:val="20"/>
        </w:rPr>
        <w:tab/>
      </w:r>
      <w:r w:rsidR="00323457" w:rsidRPr="0059638B">
        <w:rPr>
          <w:sz w:val="20"/>
          <w:szCs w:val="20"/>
        </w:rPr>
        <w:t>Madagascar</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pleased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creation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new</w:t>
      </w:r>
      <w:r w:rsidR="00FF41A0">
        <w:rPr>
          <w:sz w:val="20"/>
          <w:szCs w:val="20"/>
        </w:rPr>
        <w:t xml:space="preserve"> </w:t>
      </w:r>
      <w:r w:rsidR="00323457" w:rsidRPr="0059638B">
        <w:rPr>
          <w:sz w:val="20"/>
          <w:szCs w:val="20"/>
        </w:rPr>
        <w:t>institutions</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promotion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establishment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Committee</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Promotion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Women</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Madagascar</w:t>
      </w:r>
      <w:r w:rsidR="00FF41A0">
        <w:rPr>
          <w:sz w:val="20"/>
          <w:szCs w:val="20"/>
        </w:rPr>
        <w:t xml:space="preserve"> </w:t>
      </w:r>
      <w:r w:rsidR="00323457" w:rsidRPr="0059638B">
        <w:rPr>
          <w:sz w:val="20"/>
          <w:szCs w:val="20"/>
        </w:rPr>
        <w:t>encouraged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pursue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intensify</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effectively</w:t>
      </w:r>
      <w:r w:rsidR="00FF41A0">
        <w:rPr>
          <w:sz w:val="20"/>
          <w:szCs w:val="20"/>
        </w:rPr>
        <w:t xml:space="preserve"> </w:t>
      </w:r>
      <w:r w:rsidR="00323457" w:rsidRPr="0059638B">
        <w:rPr>
          <w:sz w:val="20"/>
          <w:szCs w:val="20"/>
        </w:rPr>
        <w:t>protect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promote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country.</w:t>
      </w:r>
      <w:r w:rsidR="00FF41A0">
        <w:rPr>
          <w:sz w:val="20"/>
          <w:szCs w:val="20"/>
        </w:rPr>
        <w:t xml:space="preserve"> </w:t>
      </w:r>
      <w:r w:rsidR="00323457" w:rsidRPr="0059638B">
        <w:rPr>
          <w:sz w:val="20"/>
          <w:szCs w:val="20"/>
        </w:rPr>
        <w:t>Finally,</w:t>
      </w:r>
      <w:r w:rsidR="00FF41A0">
        <w:rPr>
          <w:sz w:val="20"/>
          <w:szCs w:val="20"/>
        </w:rPr>
        <w:t xml:space="preserve"> </w:t>
      </w:r>
      <w:r w:rsidR="00323457" w:rsidRPr="0059638B">
        <w:rPr>
          <w:sz w:val="20"/>
          <w:szCs w:val="20"/>
        </w:rPr>
        <w:t>Madagascar</w:t>
      </w:r>
      <w:r w:rsidR="00FF41A0">
        <w:rPr>
          <w:sz w:val="20"/>
          <w:szCs w:val="20"/>
        </w:rPr>
        <w:t xml:space="preserve"> </w:t>
      </w:r>
      <w:r w:rsidR="00323457" w:rsidRPr="0059638B">
        <w:rPr>
          <w:sz w:val="20"/>
          <w:szCs w:val="20"/>
        </w:rPr>
        <w:t>invited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w:t>
      </w:r>
      <w:r w:rsidR="00FF41A0">
        <w:rPr>
          <w:sz w:val="20"/>
          <w:szCs w:val="20"/>
        </w:rPr>
        <w:t xml:space="preserve"> </w:t>
      </w:r>
      <w:r w:rsidR="00323457" w:rsidRPr="0059638B">
        <w:rPr>
          <w:sz w:val="20"/>
          <w:szCs w:val="20"/>
        </w:rPr>
        <w:t>Council</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adopt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Working</w:t>
      </w:r>
      <w:r w:rsidR="00FF41A0">
        <w:rPr>
          <w:sz w:val="20"/>
          <w:szCs w:val="20"/>
        </w:rPr>
        <w:t xml:space="preserve"> </w:t>
      </w:r>
      <w:r w:rsidR="00323457" w:rsidRPr="0059638B">
        <w:rPr>
          <w:sz w:val="20"/>
          <w:szCs w:val="20"/>
        </w:rPr>
        <w:t>Group</w:t>
      </w:r>
      <w:r w:rsidR="00FF41A0">
        <w:rPr>
          <w:sz w:val="20"/>
          <w:szCs w:val="20"/>
        </w:rPr>
        <w:t xml:space="preserve"> </w:t>
      </w:r>
      <w:r w:rsidR="00323457" w:rsidRPr="0059638B">
        <w:rPr>
          <w:sz w:val="20"/>
          <w:szCs w:val="20"/>
        </w:rPr>
        <w:t>report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wished</w:t>
      </w:r>
      <w:r w:rsidR="00FF41A0">
        <w:rPr>
          <w:sz w:val="20"/>
          <w:szCs w:val="20"/>
        </w:rPr>
        <w:t xml:space="preserve"> </w:t>
      </w:r>
      <w:r w:rsidR="00323457" w:rsidRPr="0059638B">
        <w:rPr>
          <w:sz w:val="20"/>
          <w:szCs w:val="20"/>
        </w:rPr>
        <w:t>Monaco</w:t>
      </w:r>
      <w:r w:rsidR="00FF41A0">
        <w:rPr>
          <w:sz w:val="20"/>
          <w:szCs w:val="20"/>
        </w:rPr>
        <w:t xml:space="preserve"> </w:t>
      </w:r>
      <w:r w:rsidR="00323457" w:rsidRPr="0059638B">
        <w:rPr>
          <w:sz w:val="20"/>
          <w:szCs w:val="20"/>
        </w:rPr>
        <w:t>success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implementation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accepted</w:t>
      </w:r>
      <w:r w:rsidR="00FF41A0">
        <w:rPr>
          <w:sz w:val="20"/>
          <w:szCs w:val="20"/>
        </w:rPr>
        <w:t xml:space="preserve"> </w:t>
      </w:r>
      <w:r w:rsidR="00323457" w:rsidRPr="0059638B">
        <w:rPr>
          <w:sz w:val="20"/>
          <w:szCs w:val="20"/>
        </w:rPr>
        <w:t>recommendations.</w:t>
      </w:r>
      <w:r w:rsidR="00FF41A0">
        <w:rPr>
          <w:sz w:val="20"/>
          <w:szCs w:val="20"/>
        </w:rPr>
        <w:t xml:space="preserve"> </w:t>
      </w:r>
    </w:p>
    <w:p w14:paraId="377557B9" w14:textId="4DAA9F90" w:rsidR="00323457" w:rsidRPr="0059638B" w:rsidRDefault="00972F1E" w:rsidP="00323457">
      <w:pPr>
        <w:pStyle w:val="SingleTxtG"/>
        <w:rPr>
          <w:sz w:val="20"/>
          <w:szCs w:val="20"/>
        </w:rPr>
      </w:pPr>
      <w:r>
        <w:rPr>
          <w:sz w:val="20"/>
          <w:szCs w:val="20"/>
        </w:rPr>
        <w:t>736</w:t>
      </w:r>
      <w:r w:rsidR="00D7475F">
        <w:rPr>
          <w:sz w:val="20"/>
          <w:szCs w:val="20"/>
        </w:rPr>
        <w:t>.</w:t>
      </w:r>
      <w:r w:rsidR="00D7475F">
        <w:rPr>
          <w:sz w:val="20"/>
          <w:szCs w:val="20"/>
        </w:rPr>
        <w:tab/>
      </w:r>
      <w:r w:rsidR="00323457" w:rsidRPr="0059638B">
        <w:rPr>
          <w:sz w:val="20"/>
          <w:szCs w:val="20"/>
        </w:rPr>
        <w:t>Pakistan</w:t>
      </w:r>
      <w:r w:rsidR="00FF41A0">
        <w:rPr>
          <w:sz w:val="20"/>
          <w:szCs w:val="20"/>
        </w:rPr>
        <w:t xml:space="preserve"> </w:t>
      </w:r>
      <w:r w:rsidR="00323457" w:rsidRPr="0059638B">
        <w:rPr>
          <w:sz w:val="20"/>
          <w:szCs w:val="20"/>
        </w:rPr>
        <w:t>commended</w:t>
      </w:r>
      <w:r w:rsidR="00FF41A0">
        <w:rPr>
          <w:sz w:val="20"/>
          <w:szCs w:val="20"/>
        </w:rPr>
        <w:t xml:space="preserve"> </w:t>
      </w:r>
      <w:r w:rsidR="00323457" w:rsidRPr="0059638B">
        <w:rPr>
          <w:sz w:val="20"/>
          <w:szCs w:val="20"/>
        </w:rPr>
        <w:t>Monaco</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accepting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majority</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received</w:t>
      </w:r>
      <w:r w:rsidR="00FF41A0">
        <w:rPr>
          <w:sz w:val="20"/>
          <w:szCs w:val="20"/>
        </w:rPr>
        <w:t xml:space="preserve"> </w:t>
      </w:r>
      <w:r w:rsidR="00323457" w:rsidRPr="0059638B">
        <w:rPr>
          <w:sz w:val="20"/>
          <w:szCs w:val="20"/>
        </w:rPr>
        <w:t>during</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November</w:t>
      </w:r>
      <w:r w:rsidR="00FF41A0">
        <w:rPr>
          <w:sz w:val="20"/>
          <w:szCs w:val="20"/>
        </w:rPr>
        <w:t xml:space="preserve"> </w:t>
      </w:r>
      <w:r w:rsidR="00323457" w:rsidRPr="0059638B">
        <w:rPr>
          <w:sz w:val="20"/>
          <w:szCs w:val="20"/>
        </w:rPr>
        <w:t>2018,</w:t>
      </w:r>
      <w:r w:rsidR="00FF41A0">
        <w:rPr>
          <w:sz w:val="20"/>
          <w:szCs w:val="20"/>
        </w:rPr>
        <w:t xml:space="preserve"> </w:t>
      </w:r>
      <w:r w:rsidR="00323457" w:rsidRPr="0059638B">
        <w:rPr>
          <w:sz w:val="20"/>
          <w:szCs w:val="20"/>
        </w:rPr>
        <w:t>including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ones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Pakistan</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steps</w:t>
      </w:r>
      <w:r w:rsidR="00FF41A0">
        <w:rPr>
          <w:sz w:val="20"/>
          <w:szCs w:val="20"/>
        </w:rPr>
        <w:t xml:space="preserve"> </w:t>
      </w:r>
      <w:r w:rsidR="00323457" w:rsidRPr="0059638B">
        <w:rPr>
          <w:sz w:val="20"/>
          <w:szCs w:val="20"/>
        </w:rPr>
        <w:t>taken</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Monaco</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empower</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ensure</w:t>
      </w:r>
      <w:r w:rsidR="00FF41A0">
        <w:rPr>
          <w:sz w:val="20"/>
          <w:szCs w:val="20"/>
        </w:rPr>
        <w:t xml:space="preserve"> </w:t>
      </w:r>
      <w:r w:rsidR="00323457" w:rsidRPr="0059638B">
        <w:rPr>
          <w:sz w:val="20"/>
          <w:szCs w:val="20"/>
        </w:rPr>
        <w:t>access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health</w:t>
      </w:r>
      <w:r w:rsidR="00FF41A0">
        <w:rPr>
          <w:sz w:val="20"/>
          <w:szCs w:val="20"/>
        </w:rPr>
        <w:t xml:space="preserve"> </w:t>
      </w:r>
      <w:r w:rsidR="00323457" w:rsidRPr="0059638B">
        <w:rPr>
          <w:sz w:val="20"/>
          <w:szCs w:val="20"/>
        </w:rPr>
        <w:t>care</w:t>
      </w:r>
      <w:r w:rsidR="00FF41A0">
        <w:rPr>
          <w:sz w:val="20"/>
          <w:szCs w:val="20"/>
        </w:rPr>
        <w:t xml:space="preserve"> </w:t>
      </w:r>
      <w:r w:rsidR="00323457" w:rsidRPr="0059638B">
        <w:rPr>
          <w:sz w:val="20"/>
          <w:szCs w:val="20"/>
        </w:rPr>
        <w:t>services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children.</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wished</w:t>
      </w:r>
      <w:r w:rsidR="00FF41A0">
        <w:rPr>
          <w:sz w:val="20"/>
          <w:szCs w:val="20"/>
        </w:rPr>
        <w:t xml:space="preserve"> </w:t>
      </w:r>
      <w:r w:rsidR="00323457" w:rsidRPr="0059638B">
        <w:rPr>
          <w:sz w:val="20"/>
          <w:szCs w:val="20"/>
        </w:rPr>
        <w:t>Monaco</w:t>
      </w:r>
      <w:r w:rsidR="00FF41A0">
        <w:rPr>
          <w:sz w:val="20"/>
          <w:szCs w:val="20"/>
        </w:rPr>
        <w:t xml:space="preserve"> </w:t>
      </w:r>
      <w:r w:rsidR="00323457" w:rsidRPr="0059638B">
        <w:rPr>
          <w:sz w:val="20"/>
          <w:szCs w:val="20"/>
        </w:rPr>
        <w:t>every</w:t>
      </w:r>
      <w:r w:rsidR="00FF41A0">
        <w:rPr>
          <w:sz w:val="20"/>
          <w:szCs w:val="20"/>
        </w:rPr>
        <w:t xml:space="preserve"> </w:t>
      </w:r>
      <w:r w:rsidR="00323457" w:rsidRPr="0059638B">
        <w:rPr>
          <w:sz w:val="20"/>
          <w:szCs w:val="20"/>
        </w:rPr>
        <w:t>success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implementation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accepted</w:t>
      </w:r>
      <w:r w:rsidR="00FF41A0">
        <w:rPr>
          <w:sz w:val="20"/>
          <w:szCs w:val="20"/>
        </w:rPr>
        <w:t xml:space="preserve"> </w:t>
      </w:r>
      <w:r w:rsidR="00323457" w:rsidRPr="0059638B">
        <w:rPr>
          <w:sz w:val="20"/>
          <w:szCs w:val="20"/>
        </w:rPr>
        <w:t>recommendations.</w:t>
      </w:r>
      <w:r w:rsidR="00FF41A0">
        <w:rPr>
          <w:sz w:val="20"/>
          <w:szCs w:val="20"/>
        </w:rPr>
        <w:t xml:space="preserve"> </w:t>
      </w:r>
    </w:p>
    <w:p w14:paraId="2BB3353E" w14:textId="17D00DF6" w:rsidR="00323457" w:rsidRPr="0059638B" w:rsidRDefault="00972F1E" w:rsidP="00323457">
      <w:pPr>
        <w:pStyle w:val="SingleTxtG"/>
        <w:rPr>
          <w:sz w:val="20"/>
          <w:szCs w:val="20"/>
        </w:rPr>
      </w:pPr>
      <w:r>
        <w:rPr>
          <w:sz w:val="20"/>
          <w:szCs w:val="20"/>
        </w:rPr>
        <w:t>737</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Philippines</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acceptance</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Monaco</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most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received.</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observed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ratification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Convention</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Migrant</w:t>
      </w:r>
      <w:r w:rsidR="00FF41A0">
        <w:rPr>
          <w:sz w:val="20"/>
          <w:szCs w:val="20"/>
        </w:rPr>
        <w:t xml:space="preserve"> </w:t>
      </w:r>
      <w:r w:rsidR="00323457" w:rsidRPr="0059638B">
        <w:rPr>
          <w:sz w:val="20"/>
          <w:szCs w:val="20"/>
        </w:rPr>
        <w:t>Workers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Members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Their</w:t>
      </w:r>
      <w:r w:rsidR="00FF41A0">
        <w:rPr>
          <w:sz w:val="20"/>
          <w:szCs w:val="20"/>
        </w:rPr>
        <w:t xml:space="preserve"> </w:t>
      </w:r>
      <w:r w:rsidR="00323457" w:rsidRPr="0059638B">
        <w:rPr>
          <w:sz w:val="20"/>
          <w:szCs w:val="20"/>
        </w:rPr>
        <w:t>Families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regarding</w:t>
      </w:r>
      <w:r w:rsidR="00FF41A0">
        <w:rPr>
          <w:sz w:val="20"/>
          <w:szCs w:val="20"/>
        </w:rPr>
        <w:t xml:space="preserve"> </w:t>
      </w:r>
      <w:r w:rsidR="00323457" w:rsidRPr="0059638B">
        <w:rPr>
          <w:sz w:val="20"/>
          <w:szCs w:val="20"/>
        </w:rPr>
        <w:t>membership</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Organization</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Migration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Labour</w:t>
      </w:r>
      <w:r w:rsidR="00FF41A0">
        <w:rPr>
          <w:sz w:val="20"/>
          <w:szCs w:val="20"/>
        </w:rPr>
        <w:t xml:space="preserve"> </w:t>
      </w:r>
      <w:r w:rsidR="00323457" w:rsidRPr="0059638B">
        <w:rPr>
          <w:sz w:val="20"/>
          <w:szCs w:val="20"/>
        </w:rPr>
        <w:t>Organization</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Philippines</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Monaco</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implement</w:t>
      </w:r>
      <w:r w:rsidR="00FF41A0">
        <w:rPr>
          <w:sz w:val="20"/>
          <w:szCs w:val="20"/>
        </w:rPr>
        <w:t xml:space="preserve"> </w:t>
      </w:r>
      <w:r w:rsidR="00323457" w:rsidRPr="0059638B">
        <w:rPr>
          <w:sz w:val="20"/>
          <w:szCs w:val="20"/>
        </w:rPr>
        <w:t>measures</w:t>
      </w:r>
      <w:r w:rsidR="00FF41A0">
        <w:rPr>
          <w:sz w:val="20"/>
          <w:szCs w:val="20"/>
        </w:rPr>
        <w:t xml:space="preserve"> </w:t>
      </w:r>
      <w:r w:rsidR="00323457" w:rsidRPr="0059638B">
        <w:rPr>
          <w:sz w:val="20"/>
          <w:szCs w:val="20"/>
        </w:rPr>
        <w:t>aimed</w:t>
      </w:r>
      <w:r w:rsidR="00FF41A0">
        <w:rPr>
          <w:sz w:val="20"/>
          <w:szCs w:val="20"/>
        </w:rPr>
        <w:t xml:space="preserve"> </w:t>
      </w:r>
      <w:r w:rsidR="00323457" w:rsidRPr="0059638B">
        <w:rPr>
          <w:sz w:val="20"/>
          <w:szCs w:val="20"/>
        </w:rPr>
        <w:t>at</w:t>
      </w:r>
      <w:r w:rsidR="00FF41A0">
        <w:rPr>
          <w:sz w:val="20"/>
          <w:szCs w:val="20"/>
        </w:rPr>
        <w:t xml:space="preserve"> </w:t>
      </w:r>
      <w:r w:rsidR="00323457" w:rsidRPr="0059638B">
        <w:rPr>
          <w:sz w:val="20"/>
          <w:szCs w:val="20"/>
        </w:rPr>
        <w:t>further</w:t>
      </w:r>
      <w:r w:rsidR="00FF41A0">
        <w:rPr>
          <w:sz w:val="20"/>
          <w:szCs w:val="20"/>
        </w:rPr>
        <w:t xml:space="preserve"> </w:t>
      </w:r>
      <w:r w:rsidR="00323457" w:rsidRPr="0059638B">
        <w:rPr>
          <w:sz w:val="20"/>
          <w:szCs w:val="20"/>
        </w:rPr>
        <w:t>enhancing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promotion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endorsed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adoption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Working</w:t>
      </w:r>
      <w:r w:rsidR="00FF41A0">
        <w:rPr>
          <w:sz w:val="20"/>
          <w:szCs w:val="20"/>
        </w:rPr>
        <w:t xml:space="preserve"> </w:t>
      </w:r>
      <w:r w:rsidR="00323457" w:rsidRPr="0059638B">
        <w:rPr>
          <w:sz w:val="20"/>
          <w:szCs w:val="20"/>
        </w:rPr>
        <w:t>Group</w:t>
      </w:r>
      <w:r w:rsidR="00FF41A0">
        <w:rPr>
          <w:sz w:val="20"/>
          <w:szCs w:val="20"/>
        </w:rPr>
        <w:t xml:space="preserve"> </w:t>
      </w:r>
      <w:r w:rsidR="00323457" w:rsidRPr="0059638B">
        <w:rPr>
          <w:sz w:val="20"/>
          <w:szCs w:val="20"/>
        </w:rPr>
        <w:t>report</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Council.</w:t>
      </w:r>
    </w:p>
    <w:p w14:paraId="150E479E" w14:textId="76716970" w:rsidR="00323457" w:rsidRPr="0059638B" w:rsidRDefault="00972F1E" w:rsidP="00323457">
      <w:pPr>
        <w:pStyle w:val="SingleTxtG"/>
        <w:rPr>
          <w:sz w:val="20"/>
          <w:szCs w:val="20"/>
        </w:rPr>
      </w:pPr>
      <w:r>
        <w:rPr>
          <w:sz w:val="20"/>
          <w:szCs w:val="20"/>
        </w:rPr>
        <w:t>738</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Republic</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Moldova</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pleased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Monaco</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accepted</w:t>
      </w:r>
      <w:r w:rsidR="00FF41A0">
        <w:rPr>
          <w:sz w:val="20"/>
          <w:szCs w:val="20"/>
        </w:rPr>
        <w:t xml:space="preserve"> </w:t>
      </w:r>
      <w:r w:rsidR="00323457" w:rsidRPr="0059638B">
        <w:rPr>
          <w:sz w:val="20"/>
          <w:szCs w:val="20"/>
        </w:rPr>
        <w:t>most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received,</w:t>
      </w:r>
      <w:r w:rsidR="00FF41A0">
        <w:rPr>
          <w:sz w:val="20"/>
          <w:szCs w:val="20"/>
        </w:rPr>
        <w:t xml:space="preserve"> </w:t>
      </w:r>
      <w:r w:rsidR="00323457" w:rsidRPr="0059638B">
        <w:rPr>
          <w:sz w:val="20"/>
          <w:szCs w:val="20"/>
        </w:rPr>
        <w:t>including</w:t>
      </w:r>
      <w:r w:rsidR="00FF41A0">
        <w:rPr>
          <w:sz w:val="20"/>
          <w:szCs w:val="20"/>
        </w:rPr>
        <w:t xml:space="preserve"> </w:t>
      </w:r>
      <w:r w:rsidR="00323457" w:rsidRPr="0059638B">
        <w:rPr>
          <w:sz w:val="20"/>
          <w:szCs w:val="20"/>
        </w:rPr>
        <w:t>those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further</w:t>
      </w:r>
      <w:r w:rsidR="00FF41A0">
        <w:rPr>
          <w:sz w:val="20"/>
          <w:szCs w:val="20"/>
        </w:rPr>
        <w:t xml:space="preserve"> </w:t>
      </w:r>
      <w:r w:rsidR="00323457" w:rsidRPr="0059638B">
        <w:rPr>
          <w:sz w:val="20"/>
          <w:szCs w:val="20"/>
        </w:rPr>
        <w:t>ensure</w:t>
      </w:r>
      <w:r w:rsidR="00FF41A0">
        <w:rPr>
          <w:sz w:val="20"/>
          <w:szCs w:val="20"/>
        </w:rPr>
        <w:t xml:space="preserve"> </w:t>
      </w:r>
      <w:r w:rsidR="00323457" w:rsidRPr="0059638B">
        <w:rPr>
          <w:sz w:val="20"/>
          <w:szCs w:val="20"/>
        </w:rPr>
        <w:t>inclusive</w:t>
      </w:r>
      <w:r w:rsidR="00FF41A0">
        <w:rPr>
          <w:sz w:val="20"/>
          <w:szCs w:val="20"/>
        </w:rPr>
        <w:t xml:space="preserve"> </w:t>
      </w:r>
      <w:r w:rsidR="00323457" w:rsidRPr="0059638B">
        <w:rPr>
          <w:sz w:val="20"/>
          <w:szCs w:val="20"/>
        </w:rPr>
        <w:t>education</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submitted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Republic</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Moldova.</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commended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establishing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Committee</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Promotion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Women</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holding</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first</w:t>
      </w:r>
      <w:r w:rsidR="00FF41A0">
        <w:rPr>
          <w:sz w:val="20"/>
          <w:szCs w:val="20"/>
        </w:rPr>
        <w:t xml:space="preserve"> </w:t>
      </w:r>
      <w:r w:rsidR="00323457" w:rsidRPr="0059638B">
        <w:rPr>
          <w:sz w:val="20"/>
          <w:szCs w:val="20"/>
        </w:rPr>
        <w:t>meeting</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four</w:t>
      </w:r>
      <w:r w:rsidR="00FF41A0">
        <w:rPr>
          <w:sz w:val="20"/>
          <w:szCs w:val="20"/>
        </w:rPr>
        <w:t xml:space="preserve"> </w:t>
      </w:r>
      <w:r w:rsidR="00323457" w:rsidRPr="0059638B">
        <w:rPr>
          <w:sz w:val="20"/>
          <w:szCs w:val="20"/>
        </w:rPr>
        <w:t>new</w:t>
      </w:r>
      <w:r w:rsidR="00FF41A0">
        <w:rPr>
          <w:sz w:val="20"/>
          <w:szCs w:val="20"/>
        </w:rPr>
        <w:t xml:space="preserve"> </w:t>
      </w:r>
      <w:r w:rsidR="00323457" w:rsidRPr="0059638B">
        <w:rPr>
          <w:sz w:val="20"/>
          <w:szCs w:val="20"/>
        </w:rPr>
        <w:t>measures</w:t>
      </w:r>
      <w:r w:rsidR="00FF41A0">
        <w:rPr>
          <w:sz w:val="20"/>
          <w:szCs w:val="20"/>
        </w:rPr>
        <w:t xml:space="preserve"> </w:t>
      </w:r>
      <w:r w:rsidR="00323457" w:rsidRPr="0059638B">
        <w:rPr>
          <w:sz w:val="20"/>
          <w:szCs w:val="20"/>
        </w:rPr>
        <w:t>ensuring</w:t>
      </w:r>
      <w:r w:rsidR="00FF41A0">
        <w:rPr>
          <w:sz w:val="20"/>
          <w:szCs w:val="20"/>
        </w:rPr>
        <w:t xml:space="preserve"> </w:t>
      </w:r>
      <w:r w:rsidR="00323457" w:rsidRPr="0059638B">
        <w:rPr>
          <w:sz w:val="20"/>
          <w:szCs w:val="20"/>
        </w:rPr>
        <w:t>women</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put</w:t>
      </w:r>
      <w:r w:rsidR="00FF41A0">
        <w:rPr>
          <w:sz w:val="20"/>
          <w:szCs w:val="20"/>
        </w:rPr>
        <w:t xml:space="preserve"> </w:t>
      </w:r>
      <w:r w:rsidR="00323457" w:rsidRPr="0059638B">
        <w:rPr>
          <w:sz w:val="20"/>
          <w:szCs w:val="20"/>
        </w:rPr>
        <w:t>forward.</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wished</w:t>
      </w:r>
      <w:r w:rsidR="00FF41A0">
        <w:rPr>
          <w:sz w:val="20"/>
          <w:szCs w:val="20"/>
        </w:rPr>
        <w:t xml:space="preserve"> </w:t>
      </w:r>
      <w:r w:rsidR="00323457" w:rsidRPr="0059638B">
        <w:rPr>
          <w:sz w:val="20"/>
          <w:szCs w:val="20"/>
        </w:rPr>
        <w:t>every</w:t>
      </w:r>
      <w:r w:rsidR="00FF41A0">
        <w:rPr>
          <w:sz w:val="20"/>
          <w:szCs w:val="20"/>
        </w:rPr>
        <w:t xml:space="preserve"> </w:t>
      </w:r>
      <w:r w:rsidR="00323457" w:rsidRPr="0059638B">
        <w:rPr>
          <w:sz w:val="20"/>
          <w:szCs w:val="20"/>
        </w:rPr>
        <w:t>success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Monaco</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implementation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accepted</w:t>
      </w:r>
      <w:r w:rsidR="00FF41A0">
        <w:rPr>
          <w:sz w:val="20"/>
          <w:szCs w:val="20"/>
        </w:rPr>
        <w:t xml:space="preserve"> </w:t>
      </w:r>
      <w:r w:rsidR="00323457" w:rsidRPr="0059638B">
        <w:rPr>
          <w:sz w:val="20"/>
          <w:szCs w:val="20"/>
        </w:rPr>
        <w:t>recommendations.</w:t>
      </w:r>
      <w:r w:rsidR="00FF41A0">
        <w:rPr>
          <w:sz w:val="20"/>
          <w:szCs w:val="20"/>
        </w:rPr>
        <w:t xml:space="preserve"> </w:t>
      </w:r>
    </w:p>
    <w:p w14:paraId="5FDE45CC" w14:textId="0A28A970" w:rsidR="00323457" w:rsidRPr="0059638B" w:rsidRDefault="00972F1E" w:rsidP="00323457">
      <w:pPr>
        <w:pStyle w:val="SingleTxtG"/>
        <w:rPr>
          <w:sz w:val="20"/>
          <w:szCs w:val="20"/>
        </w:rPr>
      </w:pPr>
      <w:r>
        <w:rPr>
          <w:sz w:val="20"/>
          <w:szCs w:val="20"/>
        </w:rPr>
        <w:t>739</w:t>
      </w:r>
      <w:r w:rsidR="00D7475F">
        <w:rPr>
          <w:sz w:val="20"/>
          <w:szCs w:val="20"/>
        </w:rPr>
        <w:t>.</w:t>
      </w:r>
      <w:r w:rsidR="00D7475F">
        <w:rPr>
          <w:sz w:val="20"/>
          <w:szCs w:val="20"/>
        </w:rPr>
        <w:tab/>
      </w:r>
      <w:r w:rsidR="00323457" w:rsidRPr="0059638B">
        <w:rPr>
          <w:sz w:val="20"/>
          <w:szCs w:val="20"/>
        </w:rPr>
        <w:t>Tunisia</w:t>
      </w:r>
      <w:r w:rsidR="00FF41A0">
        <w:rPr>
          <w:sz w:val="20"/>
          <w:szCs w:val="20"/>
        </w:rPr>
        <w:t xml:space="preserve"> </w:t>
      </w:r>
      <w:r w:rsidR="00323457" w:rsidRPr="0059638B">
        <w:rPr>
          <w:sz w:val="20"/>
          <w:szCs w:val="20"/>
        </w:rPr>
        <w:t>commended</w:t>
      </w:r>
      <w:r w:rsidR="00FF41A0">
        <w:rPr>
          <w:sz w:val="20"/>
          <w:szCs w:val="20"/>
        </w:rPr>
        <w:t xml:space="preserve"> </w:t>
      </w:r>
      <w:r w:rsidR="00323457" w:rsidRPr="0059638B">
        <w:rPr>
          <w:sz w:val="20"/>
          <w:szCs w:val="20"/>
        </w:rPr>
        <w:t>Monaco</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creation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new</w:t>
      </w:r>
      <w:r w:rsidR="00FF41A0">
        <w:rPr>
          <w:sz w:val="20"/>
          <w:szCs w:val="20"/>
        </w:rPr>
        <w:t xml:space="preserve"> </w:t>
      </w:r>
      <w:r w:rsidR="00323457" w:rsidRPr="0059638B">
        <w:rPr>
          <w:sz w:val="20"/>
          <w:szCs w:val="20"/>
        </w:rPr>
        <w:t>institutions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field</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notably</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children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migrants.</w:t>
      </w:r>
      <w:r w:rsidR="00FF41A0">
        <w:rPr>
          <w:sz w:val="20"/>
          <w:szCs w:val="20"/>
        </w:rPr>
        <w:t xml:space="preserve"> </w:t>
      </w:r>
      <w:r w:rsidR="00323457" w:rsidRPr="0059638B">
        <w:rPr>
          <w:sz w:val="20"/>
          <w:szCs w:val="20"/>
        </w:rPr>
        <w:t>Tunisia</w:t>
      </w:r>
      <w:r w:rsidR="00FF41A0">
        <w:rPr>
          <w:sz w:val="20"/>
          <w:szCs w:val="20"/>
        </w:rPr>
        <w:t xml:space="preserve"> </w:t>
      </w:r>
      <w:r w:rsidR="00323457" w:rsidRPr="0059638B">
        <w:rPr>
          <w:sz w:val="20"/>
          <w:szCs w:val="20"/>
        </w:rPr>
        <w:t>congratulated</w:t>
      </w:r>
      <w:r w:rsidR="00FF41A0">
        <w:rPr>
          <w:sz w:val="20"/>
          <w:szCs w:val="20"/>
        </w:rPr>
        <w:t xml:space="preserve"> </w:t>
      </w:r>
      <w:r w:rsidR="00323457" w:rsidRPr="0059638B">
        <w:rPr>
          <w:sz w:val="20"/>
          <w:szCs w:val="20"/>
        </w:rPr>
        <w:t>Monaco</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acceptance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majority</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received</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wished</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every</w:t>
      </w:r>
      <w:r w:rsidR="00FF41A0">
        <w:rPr>
          <w:sz w:val="20"/>
          <w:szCs w:val="20"/>
        </w:rPr>
        <w:t xml:space="preserve"> </w:t>
      </w:r>
      <w:r w:rsidR="00323457" w:rsidRPr="0059638B">
        <w:rPr>
          <w:sz w:val="20"/>
          <w:szCs w:val="20"/>
        </w:rPr>
        <w:t>success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their</w:t>
      </w:r>
      <w:r w:rsidR="00FF41A0">
        <w:rPr>
          <w:sz w:val="20"/>
          <w:szCs w:val="20"/>
        </w:rPr>
        <w:t xml:space="preserve"> </w:t>
      </w:r>
      <w:r w:rsidR="00323457" w:rsidRPr="0059638B">
        <w:rPr>
          <w:sz w:val="20"/>
          <w:szCs w:val="20"/>
        </w:rPr>
        <w:t>implementation.</w:t>
      </w:r>
      <w:r w:rsidR="00FF41A0">
        <w:rPr>
          <w:sz w:val="20"/>
          <w:szCs w:val="20"/>
        </w:rPr>
        <w:t xml:space="preserve"> </w:t>
      </w:r>
      <w:r w:rsidR="00323457" w:rsidRPr="0059638B">
        <w:rPr>
          <w:sz w:val="20"/>
          <w:szCs w:val="20"/>
        </w:rPr>
        <w:t>Finally,</w:t>
      </w:r>
      <w:r w:rsidR="00FF41A0">
        <w:rPr>
          <w:sz w:val="20"/>
          <w:szCs w:val="20"/>
        </w:rPr>
        <w:t xml:space="preserve"> </w:t>
      </w:r>
      <w:r w:rsidR="00323457" w:rsidRPr="0059638B">
        <w:rPr>
          <w:sz w:val="20"/>
          <w:szCs w:val="20"/>
        </w:rPr>
        <w:t>Tunisia</w:t>
      </w:r>
      <w:r w:rsidR="00FF41A0">
        <w:rPr>
          <w:sz w:val="20"/>
          <w:szCs w:val="20"/>
        </w:rPr>
        <w:t xml:space="preserve"> </w:t>
      </w:r>
      <w:r w:rsidR="00323457" w:rsidRPr="0059638B">
        <w:rPr>
          <w:sz w:val="20"/>
          <w:szCs w:val="20"/>
        </w:rPr>
        <w:t>recommended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Council</w:t>
      </w:r>
      <w:r w:rsidR="00FF41A0">
        <w:rPr>
          <w:sz w:val="20"/>
          <w:szCs w:val="20"/>
        </w:rPr>
        <w:t xml:space="preserve"> </w:t>
      </w:r>
      <w:r w:rsidR="00323457" w:rsidRPr="0059638B">
        <w:rPr>
          <w:sz w:val="20"/>
          <w:szCs w:val="20"/>
        </w:rPr>
        <w:t>adopt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report.</w:t>
      </w:r>
      <w:r w:rsidR="00FF41A0">
        <w:rPr>
          <w:sz w:val="20"/>
          <w:szCs w:val="20"/>
        </w:rPr>
        <w:t xml:space="preserve"> </w:t>
      </w:r>
    </w:p>
    <w:p w14:paraId="6D28954C" w14:textId="3B87C29D" w:rsidR="00323457" w:rsidRPr="0059638B" w:rsidRDefault="00972F1E" w:rsidP="00323457">
      <w:pPr>
        <w:pStyle w:val="SingleTxtG"/>
        <w:rPr>
          <w:sz w:val="20"/>
          <w:szCs w:val="20"/>
        </w:rPr>
      </w:pPr>
      <w:r>
        <w:rPr>
          <w:sz w:val="20"/>
          <w:szCs w:val="20"/>
        </w:rPr>
        <w:t>740</w:t>
      </w:r>
      <w:r w:rsidR="00D7475F">
        <w:rPr>
          <w:sz w:val="20"/>
          <w:szCs w:val="20"/>
        </w:rPr>
        <w:t>.</w:t>
      </w:r>
      <w:r w:rsidR="00D7475F">
        <w:rPr>
          <w:sz w:val="20"/>
          <w:szCs w:val="20"/>
        </w:rPr>
        <w:tab/>
      </w:r>
      <w:r w:rsidR="00323457" w:rsidRPr="0059638B">
        <w:rPr>
          <w:sz w:val="20"/>
          <w:szCs w:val="20"/>
        </w:rPr>
        <w:t>Turkmenistan</w:t>
      </w:r>
      <w:r w:rsidR="00FF41A0">
        <w:rPr>
          <w:sz w:val="20"/>
          <w:szCs w:val="20"/>
        </w:rPr>
        <w:t xml:space="preserve"> </w:t>
      </w:r>
      <w:r w:rsidR="00323457" w:rsidRPr="0059638B">
        <w:rPr>
          <w:sz w:val="20"/>
          <w:szCs w:val="20"/>
        </w:rPr>
        <w:t>expressed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appreciation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highly</w:t>
      </w:r>
      <w:r w:rsidR="00FF41A0">
        <w:rPr>
          <w:sz w:val="20"/>
          <w:szCs w:val="20"/>
        </w:rPr>
        <w:t xml:space="preserve"> </w:t>
      </w:r>
      <w:r w:rsidR="00323457" w:rsidRPr="0059638B">
        <w:rPr>
          <w:sz w:val="20"/>
          <w:szCs w:val="20"/>
        </w:rPr>
        <w:t>constructive</w:t>
      </w:r>
      <w:r w:rsidR="00FF41A0">
        <w:rPr>
          <w:sz w:val="20"/>
          <w:szCs w:val="20"/>
        </w:rPr>
        <w:t xml:space="preserve"> </w:t>
      </w:r>
      <w:r w:rsidR="00323457" w:rsidRPr="0059638B">
        <w:rPr>
          <w:sz w:val="20"/>
          <w:szCs w:val="20"/>
        </w:rPr>
        <w:t>dialogue</w:t>
      </w:r>
      <w:r w:rsidR="00FF41A0">
        <w:rPr>
          <w:sz w:val="20"/>
          <w:szCs w:val="20"/>
        </w:rPr>
        <w:t xml:space="preserve"> </w:t>
      </w:r>
      <w:r w:rsidR="00323457" w:rsidRPr="0059638B">
        <w:rPr>
          <w:sz w:val="20"/>
          <w:szCs w:val="20"/>
        </w:rPr>
        <w:t>carried</w:t>
      </w:r>
      <w:r w:rsidR="00FF41A0">
        <w:rPr>
          <w:sz w:val="20"/>
          <w:szCs w:val="20"/>
        </w:rPr>
        <w:t xml:space="preserve"> </w:t>
      </w:r>
      <w:r w:rsidR="00323457" w:rsidRPr="0059638B">
        <w:rPr>
          <w:sz w:val="20"/>
          <w:szCs w:val="20"/>
        </w:rPr>
        <w:t>out</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Monaco</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third</w:t>
      </w:r>
      <w:r w:rsidR="00FF41A0">
        <w:rPr>
          <w:sz w:val="20"/>
          <w:szCs w:val="20"/>
        </w:rPr>
        <w:t xml:space="preserve"> </w:t>
      </w:r>
      <w:r w:rsidR="00323457" w:rsidRPr="0059638B">
        <w:rPr>
          <w:sz w:val="20"/>
          <w:szCs w:val="20"/>
        </w:rPr>
        <w:t>cycle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their</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recommended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Council</w:t>
      </w:r>
      <w:r w:rsidR="00FF41A0">
        <w:rPr>
          <w:sz w:val="20"/>
          <w:szCs w:val="20"/>
        </w:rPr>
        <w:t xml:space="preserve"> </w:t>
      </w:r>
      <w:r w:rsidR="00323457" w:rsidRPr="0059638B">
        <w:rPr>
          <w:sz w:val="20"/>
          <w:szCs w:val="20"/>
        </w:rPr>
        <w:t>adopt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outcome</w:t>
      </w:r>
      <w:r w:rsidR="00FF41A0">
        <w:rPr>
          <w:sz w:val="20"/>
          <w:szCs w:val="20"/>
        </w:rPr>
        <w:t xml:space="preserve"> </w:t>
      </w:r>
      <w:r w:rsidR="00323457" w:rsidRPr="0059638B">
        <w:rPr>
          <w:sz w:val="20"/>
          <w:szCs w:val="20"/>
        </w:rPr>
        <w:t>report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Monaco.</w:t>
      </w:r>
      <w:r w:rsidR="00FF41A0">
        <w:rPr>
          <w:sz w:val="20"/>
          <w:szCs w:val="20"/>
        </w:rPr>
        <w:t xml:space="preserve"> </w:t>
      </w:r>
      <w:r w:rsidR="00323457" w:rsidRPr="0059638B">
        <w:rPr>
          <w:sz w:val="20"/>
          <w:szCs w:val="20"/>
        </w:rPr>
        <w:t>Finally,</w:t>
      </w:r>
      <w:r w:rsidR="00FF41A0">
        <w:rPr>
          <w:sz w:val="20"/>
          <w:szCs w:val="20"/>
        </w:rPr>
        <w:t xml:space="preserve"> </w:t>
      </w:r>
      <w:r w:rsidR="00323457" w:rsidRPr="0059638B">
        <w:rPr>
          <w:sz w:val="20"/>
          <w:szCs w:val="20"/>
        </w:rPr>
        <w:t>Turkmenistan</w:t>
      </w:r>
      <w:r w:rsidR="00FF41A0">
        <w:rPr>
          <w:sz w:val="20"/>
          <w:szCs w:val="20"/>
        </w:rPr>
        <w:t xml:space="preserve"> </w:t>
      </w:r>
      <w:r w:rsidR="00323457" w:rsidRPr="0059638B">
        <w:rPr>
          <w:sz w:val="20"/>
          <w:szCs w:val="20"/>
        </w:rPr>
        <w:t>wished</w:t>
      </w:r>
      <w:r w:rsidR="00FF41A0">
        <w:rPr>
          <w:sz w:val="20"/>
          <w:szCs w:val="20"/>
        </w:rPr>
        <w:t xml:space="preserve"> </w:t>
      </w:r>
      <w:r w:rsidR="00323457" w:rsidRPr="0059638B">
        <w:rPr>
          <w:sz w:val="20"/>
          <w:szCs w:val="20"/>
        </w:rPr>
        <w:t>Monaco</w:t>
      </w:r>
      <w:r w:rsidR="00FF41A0">
        <w:rPr>
          <w:sz w:val="20"/>
          <w:szCs w:val="20"/>
        </w:rPr>
        <w:t xml:space="preserve"> </w:t>
      </w:r>
      <w:r w:rsidR="00323457" w:rsidRPr="0059638B">
        <w:rPr>
          <w:sz w:val="20"/>
          <w:szCs w:val="20"/>
        </w:rPr>
        <w:t>success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implementation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accepted</w:t>
      </w:r>
      <w:r w:rsidR="00FF41A0">
        <w:rPr>
          <w:sz w:val="20"/>
          <w:szCs w:val="20"/>
        </w:rPr>
        <w:t xml:space="preserve"> </w:t>
      </w:r>
      <w:r w:rsidR="00323457" w:rsidRPr="0059638B">
        <w:rPr>
          <w:sz w:val="20"/>
          <w:szCs w:val="20"/>
        </w:rPr>
        <w:t>recommendations.</w:t>
      </w:r>
    </w:p>
    <w:p w14:paraId="48F47DEB" w14:textId="7C2C27F7" w:rsidR="00323457" w:rsidRPr="0059638B" w:rsidRDefault="00972F1E" w:rsidP="00323457">
      <w:pPr>
        <w:pStyle w:val="SingleTxtG"/>
        <w:rPr>
          <w:sz w:val="20"/>
          <w:szCs w:val="20"/>
        </w:rPr>
      </w:pPr>
      <w:r>
        <w:rPr>
          <w:sz w:val="20"/>
          <w:szCs w:val="20"/>
        </w:rPr>
        <w:t>741</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Bolivarian</w:t>
      </w:r>
      <w:r w:rsidR="00FF41A0">
        <w:rPr>
          <w:sz w:val="20"/>
          <w:szCs w:val="20"/>
        </w:rPr>
        <w:t xml:space="preserve"> </w:t>
      </w:r>
      <w:r w:rsidR="00323457" w:rsidRPr="0059638B">
        <w:rPr>
          <w:sz w:val="20"/>
          <w:szCs w:val="20"/>
        </w:rPr>
        <w:t>Republic</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Venezuela</w:t>
      </w:r>
      <w:r w:rsidR="00FF41A0">
        <w:rPr>
          <w:sz w:val="20"/>
          <w:szCs w:val="20"/>
        </w:rPr>
        <w:t xml:space="preserve"> </w:t>
      </w:r>
      <w:r w:rsidR="00323457" w:rsidRPr="0059638B">
        <w:rPr>
          <w:sz w:val="20"/>
          <w:szCs w:val="20"/>
        </w:rPr>
        <w:t>appreciated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Monaco</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ensure</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most</w:t>
      </w:r>
      <w:r w:rsidR="00FF41A0">
        <w:rPr>
          <w:sz w:val="20"/>
          <w:szCs w:val="20"/>
        </w:rPr>
        <w:t xml:space="preserve"> </w:t>
      </w:r>
      <w:r w:rsidR="00323457" w:rsidRPr="0059638B">
        <w:rPr>
          <w:sz w:val="20"/>
          <w:szCs w:val="20"/>
        </w:rPr>
        <w:t>vulnerable,</w:t>
      </w:r>
      <w:r w:rsidR="00FF41A0">
        <w:rPr>
          <w:sz w:val="20"/>
          <w:szCs w:val="20"/>
        </w:rPr>
        <w:t xml:space="preserve"> </w:t>
      </w:r>
      <w:r w:rsidR="00323457" w:rsidRPr="0059638B">
        <w:rPr>
          <w:sz w:val="20"/>
          <w:szCs w:val="20"/>
        </w:rPr>
        <w:t>including</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children,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persons</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disabilities.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commended</w:t>
      </w:r>
      <w:r w:rsidR="00FF41A0">
        <w:rPr>
          <w:sz w:val="20"/>
          <w:szCs w:val="20"/>
        </w:rPr>
        <w:t xml:space="preserve"> </w:t>
      </w:r>
      <w:r w:rsidR="00323457" w:rsidRPr="0059638B">
        <w:rPr>
          <w:sz w:val="20"/>
          <w:szCs w:val="20"/>
        </w:rPr>
        <w:t>Monaco</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making</w:t>
      </w:r>
      <w:r w:rsidR="00FF41A0">
        <w:rPr>
          <w:sz w:val="20"/>
          <w:szCs w:val="20"/>
        </w:rPr>
        <w:t xml:space="preserve"> </w:t>
      </w:r>
      <w:r w:rsidR="00323457" w:rsidRPr="0059638B">
        <w:rPr>
          <w:sz w:val="20"/>
          <w:szCs w:val="20"/>
        </w:rPr>
        <w:t>free</w:t>
      </w:r>
      <w:r w:rsidR="00FF41A0">
        <w:rPr>
          <w:sz w:val="20"/>
          <w:szCs w:val="20"/>
        </w:rPr>
        <w:t xml:space="preserve"> </w:t>
      </w:r>
      <w:r w:rsidR="00323457" w:rsidRPr="0059638B">
        <w:rPr>
          <w:sz w:val="20"/>
          <w:szCs w:val="20"/>
        </w:rPr>
        <w:t>education</w:t>
      </w:r>
      <w:r w:rsidR="00FF41A0">
        <w:rPr>
          <w:sz w:val="20"/>
          <w:szCs w:val="20"/>
        </w:rPr>
        <w:t xml:space="preserve"> </w:t>
      </w:r>
      <w:r w:rsidR="00323457" w:rsidRPr="0059638B">
        <w:rPr>
          <w:sz w:val="20"/>
          <w:szCs w:val="20"/>
        </w:rPr>
        <w:t>available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compulsory</w:t>
      </w:r>
      <w:r w:rsidR="00FF41A0">
        <w:rPr>
          <w:sz w:val="20"/>
          <w:szCs w:val="20"/>
        </w:rPr>
        <w:t xml:space="preserve"> </w:t>
      </w:r>
      <w:r w:rsidR="00323457" w:rsidRPr="0059638B">
        <w:rPr>
          <w:sz w:val="20"/>
          <w:szCs w:val="20"/>
        </w:rPr>
        <w:t>up</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age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16,</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primary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secondary</w:t>
      </w:r>
      <w:r w:rsidR="00FF41A0">
        <w:rPr>
          <w:sz w:val="20"/>
          <w:szCs w:val="20"/>
        </w:rPr>
        <w:t xml:space="preserve"> </w:t>
      </w:r>
      <w:r w:rsidR="00323457" w:rsidRPr="0059638B">
        <w:rPr>
          <w:sz w:val="20"/>
          <w:szCs w:val="20"/>
        </w:rPr>
        <w:t>education</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free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public</w:t>
      </w:r>
      <w:r w:rsidR="00FF41A0">
        <w:rPr>
          <w:sz w:val="20"/>
          <w:szCs w:val="20"/>
        </w:rPr>
        <w:t xml:space="preserve"> </w:t>
      </w:r>
      <w:r w:rsidR="00323457" w:rsidRPr="0059638B">
        <w:rPr>
          <w:sz w:val="20"/>
          <w:szCs w:val="20"/>
        </w:rPr>
        <w:t>schools.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recommended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adoption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report</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Council.</w:t>
      </w:r>
    </w:p>
    <w:p w14:paraId="668F7D35" w14:textId="4A91DF93" w:rsidR="00323457" w:rsidRPr="0059638B" w:rsidRDefault="00972F1E" w:rsidP="00323457">
      <w:pPr>
        <w:pStyle w:val="SingleTxtG"/>
        <w:rPr>
          <w:sz w:val="20"/>
          <w:szCs w:val="20"/>
        </w:rPr>
      </w:pPr>
      <w:r>
        <w:rPr>
          <w:sz w:val="20"/>
          <w:szCs w:val="20"/>
        </w:rPr>
        <w:t>742</w:t>
      </w:r>
      <w:r w:rsidR="00D7475F">
        <w:rPr>
          <w:sz w:val="20"/>
          <w:szCs w:val="20"/>
        </w:rPr>
        <w:t>.</w:t>
      </w:r>
      <w:r w:rsidR="00D7475F">
        <w:rPr>
          <w:sz w:val="20"/>
          <w:szCs w:val="20"/>
        </w:rPr>
        <w:tab/>
      </w:r>
      <w:r w:rsidR="00323457" w:rsidRPr="0059638B">
        <w:rPr>
          <w:sz w:val="20"/>
          <w:szCs w:val="20"/>
        </w:rPr>
        <w:t>Burkina</w:t>
      </w:r>
      <w:r w:rsidR="00FF41A0">
        <w:rPr>
          <w:sz w:val="20"/>
          <w:szCs w:val="20"/>
        </w:rPr>
        <w:t xml:space="preserve"> </w:t>
      </w:r>
      <w:r w:rsidR="00323457" w:rsidRPr="0059638B">
        <w:rPr>
          <w:sz w:val="20"/>
          <w:szCs w:val="20"/>
        </w:rPr>
        <w:t>Faso</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significant</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Monaco</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implementation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from</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second</w:t>
      </w:r>
      <w:r w:rsidR="00FF41A0">
        <w:rPr>
          <w:sz w:val="20"/>
          <w:szCs w:val="20"/>
        </w:rPr>
        <w:t xml:space="preserve"> </w:t>
      </w:r>
      <w:r w:rsidR="00323457" w:rsidRPr="0059638B">
        <w:rPr>
          <w:sz w:val="20"/>
          <w:szCs w:val="20"/>
        </w:rPr>
        <w:t>cycle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Burkina</w:t>
      </w:r>
      <w:r w:rsidR="00FF41A0">
        <w:rPr>
          <w:sz w:val="20"/>
          <w:szCs w:val="20"/>
        </w:rPr>
        <w:t xml:space="preserve"> </w:t>
      </w:r>
      <w:r w:rsidR="00323457" w:rsidRPr="0059638B">
        <w:rPr>
          <w:sz w:val="20"/>
          <w:szCs w:val="20"/>
        </w:rPr>
        <w:t>Faso</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satisfaction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acceptance</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Monaco</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most</w:t>
      </w:r>
      <w:r w:rsidR="00FF41A0">
        <w:rPr>
          <w:sz w:val="20"/>
          <w:szCs w:val="20"/>
        </w:rPr>
        <w:t xml:space="preserve"> </w:t>
      </w:r>
      <w:r w:rsidR="00323457" w:rsidRPr="0059638B">
        <w:rPr>
          <w:sz w:val="20"/>
          <w:szCs w:val="20"/>
        </w:rPr>
        <w:lastRenderedPageBreak/>
        <w:t>recommendations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received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third</w:t>
      </w:r>
      <w:r w:rsidR="00FF41A0">
        <w:rPr>
          <w:sz w:val="20"/>
          <w:szCs w:val="20"/>
        </w:rPr>
        <w:t xml:space="preserve"> </w:t>
      </w:r>
      <w:r w:rsidR="00323457" w:rsidRPr="0059638B">
        <w:rPr>
          <w:sz w:val="20"/>
          <w:szCs w:val="20"/>
        </w:rPr>
        <w:t>cycle,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encouraged</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implement</w:t>
      </w:r>
      <w:r w:rsidR="00FF41A0">
        <w:rPr>
          <w:sz w:val="20"/>
          <w:szCs w:val="20"/>
        </w:rPr>
        <w:t xml:space="preserve"> </w:t>
      </w:r>
      <w:r w:rsidR="00323457" w:rsidRPr="0059638B">
        <w:rPr>
          <w:sz w:val="20"/>
          <w:szCs w:val="20"/>
        </w:rPr>
        <w:t>these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recommended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Council</w:t>
      </w:r>
      <w:r w:rsidR="00FF41A0">
        <w:rPr>
          <w:sz w:val="20"/>
          <w:szCs w:val="20"/>
        </w:rPr>
        <w:t xml:space="preserve"> </w:t>
      </w:r>
      <w:r w:rsidR="00323457" w:rsidRPr="0059638B">
        <w:rPr>
          <w:sz w:val="20"/>
          <w:szCs w:val="20"/>
        </w:rPr>
        <w:t>adopt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report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third</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Monaco.</w:t>
      </w:r>
      <w:r w:rsidR="00FF41A0">
        <w:rPr>
          <w:sz w:val="20"/>
          <w:szCs w:val="20"/>
        </w:rPr>
        <w:t xml:space="preserve"> </w:t>
      </w:r>
    </w:p>
    <w:p w14:paraId="29C3361E" w14:textId="22B71163" w:rsidR="00323457" w:rsidRPr="0059638B" w:rsidRDefault="00972F1E" w:rsidP="00323457">
      <w:pPr>
        <w:pStyle w:val="SingleTxtG"/>
        <w:rPr>
          <w:sz w:val="20"/>
          <w:szCs w:val="20"/>
        </w:rPr>
      </w:pPr>
      <w:r>
        <w:rPr>
          <w:sz w:val="20"/>
          <w:szCs w:val="20"/>
        </w:rPr>
        <w:t>743</w:t>
      </w:r>
      <w:r w:rsidR="00D7475F">
        <w:rPr>
          <w:sz w:val="20"/>
          <w:szCs w:val="20"/>
        </w:rPr>
        <w:t>.</w:t>
      </w:r>
      <w:r w:rsidR="00D7475F">
        <w:rPr>
          <w:sz w:val="20"/>
          <w:szCs w:val="20"/>
        </w:rPr>
        <w:tab/>
      </w:r>
      <w:r w:rsidR="00323457" w:rsidRPr="0059638B">
        <w:rPr>
          <w:sz w:val="20"/>
          <w:szCs w:val="20"/>
        </w:rPr>
        <w:t>China</w:t>
      </w:r>
      <w:r w:rsidR="00FF41A0">
        <w:rPr>
          <w:sz w:val="20"/>
          <w:szCs w:val="20"/>
        </w:rPr>
        <w:t xml:space="preserve"> </w:t>
      </w:r>
      <w:r w:rsidR="00323457" w:rsidRPr="0059638B">
        <w:rPr>
          <w:sz w:val="20"/>
          <w:szCs w:val="20"/>
        </w:rPr>
        <w:t>commended</w:t>
      </w:r>
      <w:r w:rsidR="00FF41A0">
        <w:rPr>
          <w:sz w:val="20"/>
          <w:szCs w:val="20"/>
        </w:rPr>
        <w:t xml:space="preserve"> </w:t>
      </w:r>
      <w:r w:rsidR="00323457" w:rsidRPr="0059638B">
        <w:rPr>
          <w:sz w:val="20"/>
          <w:szCs w:val="20"/>
        </w:rPr>
        <w:t>Monaco</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constructive</w:t>
      </w:r>
      <w:r w:rsidR="00FF41A0">
        <w:rPr>
          <w:sz w:val="20"/>
          <w:szCs w:val="20"/>
        </w:rPr>
        <w:t xml:space="preserve"> </w:t>
      </w:r>
      <w:r w:rsidR="00323457" w:rsidRPr="0059638B">
        <w:rPr>
          <w:sz w:val="20"/>
          <w:szCs w:val="20"/>
        </w:rPr>
        <w:t>participation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expressed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hope</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Monaco</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continue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adopt</w:t>
      </w:r>
      <w:r w:rsidR="00FF41A0">
        <w:rPr>
          <w:sz w:val="20"/>
          <w:szCs w:val="20"/>
        </w:rPr>
        <w:t xml:space="preserve"> </w:t>
      </w:r>
      <w:r w:rsidR="00323457" w:rsidRPr="0059638B">
        <w:rPr>
          <w:sz w:val="20"/>
          <w:szCs w:val="20"/>
        </w:rPr>
        <w:t>effective</w:t>
      </w:r>
      <w:r w:rsidR="00FF41A0">
        <w:rPr>
          <w:sz w:val="20"/>
          <w:szCs w:val="20"/>
        </w:rPr>
        <w:t xml:space="preserve"> </w:t>
      </w:r>
      <w:r w:rsidR="00323457" w:rsidRPr="0059638B">
        <w:rPr>
          <w:sz w:val="20"/>
          <w:szCs w:val="20"/>
        </w:rPr>
        <w:t>measures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promote</w:t>
      </w:r>
      <w:r w:rsidR="00FF41A0">
        <w:rPr>
          <w:sz w:val="20"/>
          <w:szCs w:val="20"/>
        </w:rPr>
        <w:t xml:space="preserve"> </w:t>
      </w:r>
      <w:r w:rsidR="00323457" w:rsidRPr="0059638B">
        <w:rPr>
          <w:sz w:val="20"/>
          <w:szCs w:val="20"/>
        </w:rPr>
        <w:t>gender</w:t>
      </w:r>
      <w:r w:rsidR="00FF41A0">
        <w:rPr>
          <w:sz w:val="20"/>
          <w:szCs w:val="20"/>
        </w:rPr>
        <w:t xml:space="preserve"> </w:t>
      </w:r>
      <w:r w:rsidR="00323457" w:rsidRPr="0059638B">
        <w:rPr>
          <w:sz w:val="20"/>
          <w:szCs w:val="20"/>
        </w:rPr>
        <w:t>equality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protect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vulnerable</w:t>
      </w:r>
      <w:r w:rsidR="00FF41A0">
        <w:rPr>
          <w:sz w:val="20"/>
          <w:szCs w:val="20"/>
        </w:rPr>
        <w:t xml:space="preserve"> </w:t>
      </w:r>
      <w:r w:rsidR="00323457" w:rsidRPr="0059638B">
        <w:rPr>
          <w:sz w:val="20"/>
          <w:szCs w:val="20"/>
        </w:rPr>
        <w:t>groups,</w:t>
      </w:r>
      <w:r w:rsidR="00FF41A0">
        <w:rPr>
          <w:sz w:val="20"/>
          <w:szCs w:val="20"/>
        </w:rPr>
        <w:t xml:space="preserve"> </w:t>
      </w:r>
      <w:r w:rsidR="00323457" w:rsidRPr="0059638B">
        <w:rPr>
          <w:sz w:val="20"/>
          <w:szCs w:val="20"/>
        </w:rPr>
        <w:t>including</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children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persons</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disabilities.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hoped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Monaco</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continue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promote</w:t>
      </w:r>
      <w:r w:rsidR="00FF41A0">
        <w:rPr>
          <w:sz w:val="20"/>
          <w:szCs w:val="20"/>
        </w:rPr>
        <w:t xml:space="preserve"> </w:t>
      </w:r>
      <w:r w:rsidR="00323457" w:rsidRPr="0059638B">
        <w:rPr>
          <w:sz w:val="20"/>
          <w:szCs w:val="20"/>
        </w:rPr>
        <w:t>economic</w:t>
      </w:r>
      <w:r w:rsidR="00FF41A0">
        <w:rPr>
          <w:sz w:val="20"/>
          <w:szCs w:val="20"/>
        </w:rPr>
        <w:t xml:space="preserve"> </w:t>
      </w:r>
      <w:r w:rsidR="00323457" w:rsidRPr="0059638B">
        <w:rPr>
          <w:sz w:val="20"/>
          <w:szCs w:val="20"/>
        </w:rPr>
        <w:t>social</w:t>
      </w:r>
      <w:r w:rsidR="00FF41A0">
        <w:rPr>
          <w:sz w:val="20"/>
          <w:szCs w:val="20"/>
        </w:rPr>
        <w:t xml:space="preserve"> </w:t>
      </w:r>
      <w:r w:rsidR="00323457" w:rsidRPr="0059638B">
        <w:rPr>
          <w:sz w:val="20"/>
          <w:szCs w:val="20"/>
        </w:rPr>
        <w:t>development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provide</w:t>
      </w:r>
      <w:r w:rsidR="00FF41A0">
        <w:rPr>
          <w:sz w:val="20"/>
          <w:szCs w:val="20"/>
        </w:rPr>
        <w:t xml:space="preserve"> </w:t>
      </w:r>
      <w:r w:rsidR="00323457" w:rsidRPr="0059638B">
        <w:rPr>
          <w:sz w:val="20"/>
          <w:szCs w:val="20"/>
        </w:rPr>
        <w:t>development</w:t>
      </w:r>
      <w:r w:rsidR="00FF41A0">
        <w:rPr>
          <w:sz w:val="20"/>
          <w:szCs w:val="20"/>
        </w:rPr>
        <w:t xml:space="preserve"> </w:t>
      </w:r>
      <w:r w:rsidR="00323457" w:rsidRPr="0059638B">
        <w:rPr>
          <w:sz w:val="20"/>
          <w:szCs w:val="20"/>
        </w:rPr>
        <w:t>assistance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developing</w:t>
      </w:r>
      <w:r w:rsidR="00FF41A0">
        <w:rPr>
          <w:sz w:val="20"/>
          <w:szCs w:val="20"/>
        </w:rPr>
        <w:t xml:space="preserve"> </w:t>
      </w:r>
      <w:r w:rsidR="00323457" w:rsidRPr="0059638B">
        <w:rPr>
          <w:sz w:val="20"/>
          <w:szCs w:val="20"/>
        </w:rPr>
        <w:t>countries.</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supported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adoption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outcome</w:t>
      </w:r>
      <w:r w:rsidR="00FF41A0">
        <w:rPr>
          <w:sz w:val="20"/>
          <w:szCs w:val="20"/>
        </w:rPr>
        <w:t xml:space="preserve"> </w:t>
      </w:r>
      <w:r w:rsidR="00323457" w:rsidRPr="0059638B">
        <w:rPr>
          <w:sz w:val="20"/>
          <w:szCs w:val="20"/>
        </w:rPr>
        <w:t>report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Monaco</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Council.</w:t>
      </w:r>
    </w:p>
    <w:p w14:paraId="1084758C" w14:textId="40A80AF4" w:rsidR="00323457" w:rsidRPr="0059638B" w:rsidRDefault="00972F1E" w:rsidP="00323457">
      <w:pPr>
        <w:pStyle w:val="SingleTxtG"/>
        <w:rPr>
          <w:sz w:val="20"/>
          <w:szCs w:val="20"/>
        </w:rPr>
      </w:pPr>
      <w:r>
        <w:rPr>
          <w:sz w:val="20"/>
          <w:szCs w:val="20"/>
        </w:rPr>
        <w:t>744</w:t>
      </w:r>
      <w:r w:rsidR="00D7475F">
        <w:rPr>
          <w:sz w:val="20"/>
          <w:szCs w:val="20"/>
        </w:rPr>
        <w:t>.</w:t>
      </w:r>
      <w:r w:rsidR="00D7475F">
        <w:rPr>
          <w:sz w:val="20"/>
          <w:szCs w:val="20"/>
        </w:rPr>
        <w:tab/>
      </w:r>
      <w:r w:rsidR="00323457" w:rsidRPr="0059638B">
        <w:rPr>
          <w:sz w:val="20"/>
          <w:szCs w:val="20"/>
        </w:rPr>
        <w:t>Iraq</w:t>
      </w:r>
      <w:r w:rsidR="00FF41A0">
        <w:rPr>
          <w:sz w:val="20"/>
          <w:szCs w:val="20"/>
        </w:rPr>
        <w:t xml:space="preserve"> </w:t>
      </w:r>
      <w:r w:rsidR="00323457" w:rsidRPr="0059638B">
        <w:rPr>
          <w:sz w:val="20"/>
          <w:szCs w:val="20"/>
        </w:rPr>
        <w:t>expressed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satisfaction</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acceptance</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Monaco</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two</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presented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delegation.</w:t>
      </w:r>
      <w:r w:rsidR="00FF41A0">
        <w:rPr>
          <w:sz w:val="20"/>
          <w:szCs w:val="20"/>
        </w:rPr>
        <w:t xml:space="preserve"> </w:t>
      </w:r>
      <w:r w:rsidR="00323457" w:rsidRPr="0059638B">
        <w:rPr>
          <w:sz w:val="20"/>
          <w:szCs w:val="20"/>
        </w:rPr>
        <w:t>Iraq</w:t>
      </w:r>
      <w:r w:rsidR="00FF41A0">
        <w:rPr>
          <w:sz w:val="20"/>
          <w:szCs w:val="20"/>
        </w:rPr>
        <w:t xml:space="preserve"> </w:t>
      </w:r>
      <w:r w:rsidR="00323457" w:rsidRPr="0059638B">
        <w:rPr>
          <w:sz w:val="20"/>
          <w:szCs w:val="20"/>
        </w:rPr>
        <w:t>recommended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Council</w:t>
      </w:r>
      <w:r w:rsidR="00FF41A0">
        <w:rPr>
          <w:sz w:val="20"/>
          <w:szCs w:val="20"/>
        </w:rPr>
        <w:t xml:space="preserve"> </w:t>
      </w:r>
      <w:r w:rsidR="00323457" w:rsidRPr="0059638B">
        <w:rPr>
          <w:sz w:val="20"/>
          <w:szCs w:val="20"/>
        </w:rPr>
        <w:t>adopt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report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Monaco</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congratulated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country</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accepting</w:t>
      </w:r>
      <w:r w:rsidR="00FF41A0">
        <w:rPr>
          <w:sz w:val="20"/>
          <w:szCs w:val="20"/>
        </w:rPr>
        <w:t xml:space="preserve"> </w:t>
      </w:r>
      <w:r w:rsidR="00323457" w:rsidRPr="0059638B">
        <w:rPr>
          <w:sz w:val="20"/>
          <w:szCs w:val="20"/>
        </w:rPr>
        <w:t>most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received</w:t>
      </w:r>
      <w:r w:rsidR="00FF41A0">
        <w:rPr>
          <w:sz w:val="20"/>
          <w:szCs w:val="20"/>
        </w:rPr>
        <w:t xml:space="preserve"> </w:t>
      </w:r>
      <w:r w:rsidR="00323457" w:rsidRPr="0059638B">
        <w:rPr>
          <w:sz w:val="20"/>
          <w:szCs w:val="20"/>
        </w:rPr>
        <w:t>during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process.</w:t>
      </w:r>
      <w:r w:rsidR="00FF41A0">
        <w:rPr>
          <w:sz w:val="20"/>
          <w:szCs w:val="20"/>
        </w:rPr>
        <w:t xml:space="preserve"> </w:t>
      </w:r>
      <w:r w:rsidR="00323457" w:rsidRPr="0059638B">
        <w:rPr>
          <w:sz w:val="20"/>
          <w:szCs w:val="20"/>
        </w:rPr>
        <w:t>Finally,</w:t>
      </w:r>
      <w:r w:rsidR="00FF41A0">
        <w:rPr>
          <w:sz w:val="20"/>
          <w:szCs w:val="20"/>
        </w:rPr>
        <w:t xml:space="preserve"> </w:t>
      </w:r>
      <w:r w:rsidR="00323457" w:rsidRPr="0059638B">
        <w:rPr>
          <w:sz w:val="20"/>
          <w:szCs w:val="20"/>
        </w:rPr>
        <w:t>Iraq</w:t>
      </w:r>
      <w:r w:rsidR="00FF41A0">
        <w:rPr>
          <w:sz w:val="20"/>
          <w:szCs w:val="20"/>
        </w:rPr>
        <w:t xml:space="preserve"> </w:t>
      </w:r>
      <w:r w:rsidR="00323457" w:rsidRPr="0059638B">
        <w:rPr>
          <w:sz w:val="20"/>
          <w:szCs w:val="20"/>
        </w:rPr>
        <w:t>hoped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Monaco</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implement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accepted,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accordance</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obligations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undertaken.</w:t>
      </w:r>
      <w:r w:rsidR="00FF41A0">
        <w:rPr>
          <w:sz w:val="20"/>
          <w:szCs w:val="20"/>
        </w:rPr>
        <w:t xml:space="preserve"> </w:t>
      </w:r>
    </w:p>
    <w:p w14:paraId="449E3541" w14:textId="34145710" w:rsidR="00323457" w:rsidRPr="0059638B" w:rsidRDefault="00323457" w:rsidP="00323457">
      <w:pPr>
        <w:pStyle w:val="H23G"/>
        <w:rPr>
          <w:sz w:val="20"/>
          <w:szCs w:val="20"/>
        </w:rPr>
      </w:pPr>
      <w:r w:rsidRPr="0059638B">
        <w:rPr>
          <w:sz w:val="20"/>
          <w:szCs w:val="20"/>
        </w:rPr>
        <w:tab/>
        <w:t>3.</w:t>
      </w:r>
      <w:r w:rsidRPr="0059638B">
        <w:rPr>
          <w:sz w:val="20"/>
          <w:szCs w:val="20"/>
        </w:rPr>
        <w:tab/>
        <w:t>General</w:t>
      </w:r>
      <w:r w:rsidR="00FF41A0">
        <w:rPr>
          <w:sz w:val="20"/>
          <w:szCs w:val="20"/>
        </w:rPr>
        <w:t xml:space="preserve"> </w:t>
      </w:r>
      <w:r w:rsidRPr="0059638B">
        <w:rPr>
          <w:sz w:val="20"/>
          <w:szCs w:val="20"/>
        </w:rPr>
        <w:t>comments</w:t>
      </w:r>
      <w:r w:rsidR="00FF41A0">
        <w:rPr>
          <w:sz w:val="20"/>
          <w:szCs w:val="20"/>
        </w:rPr>
        <w:t xml:space="preserve"> </w:t>
      </w:r>
      <w:r w:rsidRPr="0059638B">
        <w:rPr>
          <w:sz w:val="20"/>
          <w:szCs w:val="20"/>
        </w:rPr>
        <w:t>made</w:t>
      </w:r>
      <w:r w:rsidR="00FF41A0">
        <w:rPr>
          <w:sz w:val="20"/>
          <w:szCs w:val="20"/>
        </w:rPr>
        <w:t xml:space="preserve"> </w:t>
      </w:r>
      <w:r w:rsidRPr="0059638B">
        <w:rPr>
          <w:sz w:val="20"/>
          <w:szCs w:val="20"/>
        </w:rPr>
        <w:t>by</w:t>
      </w:r>
      <w:r w:rsidR="00FF41A0">
        <w:rPr>
          <w:sz w:val="20"/>
          <w:szCs w:val="20"/>
        </w:rPr>
        <w:t xml:space="preserve"> </w:t>
      </w:r>
      <w:r w:rsidRPr="0059638B">
        <w:rPr>
          <w:sz w:val="20"/>
          <w:szCs w:val="20"/>
        </w:rPr>
        <w:t>other</w:t>
      </w:r>
      <w:r w:rsidR="00FF41A0">
        <w:rPr>
          <w:sz w:val="20"/>
          <w:szCs w:val="20"/>
        </w:rPr>
        <w:t xml:space="preserve"> </w:t>
      </w:r>
      <w:r w:rsidRPr="0059638B">
        <w:rPr>
          <w:sz w:val="20"/>
          <w:szCs w:val="20"/>
        </w:rPr>
        <w:t>stakeholders</w:t>
      </w:r>
    </w:p>
    <w:p w14:paraId="046DDDB4" w14:textId="31E57901" w:rsidR="00323457" w:rsidRPr="0059638B" w:rsidRDefault="00972F1E" w:rsidP="00323457">
      <w:pPr>
        <w:pStyle w:val="SingleTxtG"/>
        <w:rPr>
          <w:sz w:val="20"/>
          <w:szCs w:val="20"/>
        </w:rPr>
      </w:pPr>
      <w:r>
        <w:rPr>
          <w:sz w:val="20"/>
          <w:szCs w:val="20"/>
        </w:rPr>
        <w:t>745</w:t>
      </w:r>
      <w:r w:rsidR="00D7475F">
        <w:rPr>
          <w:sz w:val="20"/>
          <w:szCs w:val="20"/>
        </w:rPr>
        <w:t>.</w:t>
      </w:r>
      <w:r w:rsidR="00D7475F">
        <w:rPr>
          <w:sz w:val="20"/>
          <w:szCs w:val="20"/>
        </w:rPr>
        <w:tab/>
      </w:r>
      <w:r w:rsidR="00323457" w:rsidRPr="0059638B">
        <w:rPr>
          <w:sz w:val="20"/>
          <w:szCs w:val="20"/>
        </w:rPr>
        <w:t>During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adoption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outcome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Monaco,</w:t>
      </w:r>
      <w:r w:rsidR="00FF41A0">
        <w:rPr>
          <w:sz w:val="20"/>
          <w:szCs w:val="20"/>
        </w:rPr>
        <w:t xml:space="preserve"> </w:t>
      </w:r>
      <w:r w:rsidR="00323457" w:rsidRPr="0059638B">
        <w:rPr>
          <w:sz w:val="20"/>
          <w:szCs w:val="20"/>
        </w:rPr>
        <w:t>three</w:t>
      </w:r>
      <w:r w:rsidR="00FF41A0">
        <w:rPr>
          <w:sz w:val="20"/>
          <w:szCs w:val="20"/>
        </w:rPr>
        <w:t xml:space="preserve"> </w:t>
      </w:r>
      <w:r w:rsidR="00323457" w:rsidRPr="0059638B">
        <w:rPr>
          <w:sz w:val="20"/>
          <w:szCs w:val="20"/>
        </w:rPr>
        <w:t>other</w:t>
      </w:r>
      <w:r w:rsidR="00FF41A0">
        <w:rPr>
          <w:sz w:val="20"/>
          <w:szCs w:val="20"/>
        </w:rPr>
        <w:t xml:space="preserve"> </w:t>
      </w:r>
      <w:r w:rsidR="00323457" w:rsidRPr="0059638B">
        <w:rPr>
          <w:sz w:val="20"/>
          <w:szCs w:val="20"/>
        </w:rPr>
        <w:t>stakeholders</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statements.</w:t>
      </w:r>
      <w:r w:rsidR="00FF41A0">
        <w:rPr>
          <w:sz w:val="20"/>
          <w:szCs w:val="20"/>
        </w:rPr>
        <w:t xml:space="preserve"> </w:t>
      </w:r>
    </w:p>
    <w:p w14:paraId="05DEE2C3" w14:textId="3A8775D6" w:rsidR="00323457" w:rsidRPr="0059638B" w:rsidRDefault="00972F1E" w:rsidP="00323457">
      <w:pPr>
        <w:pStyle w:val="SingleTxtG"/>
        <w:rPr>
          <w:sz w:val="20"/>
          <w:szCs w:val="20"/>
        </w:rPr>
      </w:pPr>
      <w:r>
        <w:rPr>
          <w:sz w:val="20"/>
          <w:szCs w:val="20"/>
        </w:rPr>
        <w:t>746</w:t>
      </w:r>
      <w:r w:rsidR="00D7475F">
        <w:rPr>
          <w:sz w:val="20"/>
          <w:szCs w:val="20"/>
        </w:rPr>
        <w:t>.</w:t>
      </w:r>
      <w:r w:rsidR="00D7475F">
        <w:rPr>
          <w:sz w:val="20"/>
          <w:szCs w:val="20"/>
        </w:rPr>
        <w:tab/>
      </w:r>
      <w:r w:rsidR="00323457" w:rsidRPr="0059638B">
        <w:rPr>
          <w:sz w:val="20"/>
          <w:szCs w:val="20"/>
        </w:rPr>
        <w:t>Villages</w:t>
      </w:r>
      <w:r w:rsidR="00FF41A0">
        <w:rPr>
          <w:sz w:val="20"/>
          <w:szCs w:val="20"/>
        </w:rPr>
        <w:t xml:space="preserve"> </w:t>
      </w:r>
      <w:r w:rsidR="00323457" w:rsidRPr="0059638B">
        <w:rPr>
          <w:sz w:val="20"/>
          <w:szCs w:val="20"/>
        </w:rPr>
        <w:t>Unis</w:t>
      </w:r>
      <w:r w:rsidR="00FF41A0">
        <w:rPr>
          <w:sz w:val="20"/>
          <w:szCs w:val="20"/>
        </w:rPr>
        <w:t xml:space="preserve"> </w:t>
      </w:r>
      <w:r w:rsidR="00323457" w:rsidRPr="0059638B">
        <w:rPr>
          <w:sz w:val="20"/>
          <w:szCs w:val="20"/>
        </w:rPr>
        <w:t>(United</w:t>
      </w:r>
      <w:r w:rsidR="00FF41A0">
        <w:rPr>
          <w:sz w:val="20"/>
          <w:szCs w:val="20"/>
        </w:rPr>
        <w:t xml:space="preserve"> </w:t>
      </w:r>
      <w:r w:rsidR="00323457" w:rsidRPr="0059638B">
        <w:rPr>
          <w:sz w:val="20"/>
          <w:szCs w:val="20"/>
        </w:rPr>
        <w:t>Villages)</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pleased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Monaco</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taken</w:t>
      </w:r>
      <w:r w:rsidR="00FF41A0">
        <w:rPr>
          <w:sz w:val="20"/>
          <w:szCs w:val="20"/>
        </w:rPr>
        <w:t xml:space="preserve"> </w:t>
      </w:r>
      <w:r w:rsidR="00323457" w:rsidRPr="0059638B">
        <w:rPr>
          <w:sz w:val="20"/>
          <w:szCs w:val="20"/>
        </w:rPr>
        <w:t>positive</w:t>
      </w:r>
      <w:r w:rsidR="00FF41A0">
        <w:rPr>
          <w:sz w:val="20"/>
          <w:szCs w:val="20"/>
        </w:rPr>
        <w:t xml:space="preserve"> </w:t>
      </w:r>
      <w:r w:rsidR="00323457" w:rsidRPr="0059638B">
        <w:rPr>
          <w:sz w:val="20"/>
          <w:szCs w:val="20"/>
        </w:rPr>
        <w:t>steps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protect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promote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including</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reviewing</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domestic</w:t>
      </w:r>
      <w:r w:rsidR="00FF41A0">
        <w:rPr>
          <w:sz w:val="20"/>
          <w:szCs w:val="20"/>
        </w:rPr>
        <w:t xml:space="preserve"> </w:t>
      </w:r>
      <w:r w:rsidR="00323457" w:rsidRPr="0059638B">
        <w:rPr>
          <w:sz w:val="20"/>
          <w:szCs w:val="20"/>
        </w:rPr>
        <w:t>laws,</w:t>
      </w:r>
      <w:r w:rsidR="00FF41A0">
        <w:rPr>
          <w:sz w:val="20"/>
          <w:szCs w:val="20"/>
        </w:rPr>
        <w:t xml:space="preserve"> </w:t>
      </w:r>
      <w:r w:rsidR="00323457" w:rsidRPr="0059638B">
        <w:rPr>
          <w:sz w:val="20"/>
          <w:szCs w:val="20"/>
        </w:rPr>
        <w:t>noting</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particular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establishment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High</w:t>
      </w:r>
      <w:r w:rsidR="00FF41A0">
        <w:rPr>
          <w:sz w:val="20"/>
          <w:szCs w:val="20"/>
        </w:rPr>
        <w:t xml:space="preserve"> </w:t>
      </w:r>
      <w:r w:rsidR="00323457" w:rsidRPr="0059638B">
        <w:rPr>
          <w:sz w:val="20"/>
          <w:szCs w:val="20"/>
        </w:rPr>
        <w:t>Commissioner</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Liberties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Mediation.</w:t>
      </w:r>
      <w:r w:rsidR="00D72627">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took</w:t>
      </w:r>
      <w:r w:rsidR="00FF41A0">
        <w:rPr>
          <w:sz w:val="20"/>
          <w:szCs w:val="20"/>
        </w:rPr>
        <w:t xml:space="preserve"> </w:t>
      </w:r>
      <w:r w:rsidR="00323457" w:rsidRPr="0059638B">
        <w:rPr>
          <w:sz w:val="20"/>
          <w:szCs w:val="20"/>
        </w:rPr>
        <w:t>note</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Monaco</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ratified</w:t>
      </w:r>
      <w:r w:rsidR="00FF41A0">
        <w:rPr>
          <w:sz w:val="20"/>
          <w:szCs w:val="20"/>
        </w:rPr>
        <w:t xml:space="preserve"> </w:t>
      </w:r>
      <w:r w:rsidR="00323457" w:rsidRPr="0059638B">
        <w:rPr>
          <w:sz w:val="20"/>
          <w:szCs w:val="20"/>
        </w:rPr>
        <w:t>numerous</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instruments,</w:t>
      </w:r>
      <w:r w:rsidR="00FF41A0">
        <w:rPr>
          <w:sz w:val="20"/>
          <w:szCs w:val="20"/>
        </w:rPr>
        <w:t xml:space="preserve"> </w:t>
      </w:r>
      <w:r w:rsidR="00323457" w:rsidRPr="0059638B">
        <w:rPr>
          <w:sz w:val="20"/>
          <w:szCs w:val="20"/>
        </w:rPr>
        <w:t>including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Council</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Europe</w:t>
      </w:r>
      <w:r w:rsidR="00FF41A0">
        <w:rPr>
          <w:sz w:val="20"/>
          <w:szCs w:val="20"/>
        </w:rPr>
        <w:t xml:space="preserve"> </w:t>
      </w:r>
      <w:r w:rsidR="00323457" w:rsidRPr="0059638B">
        <w:rPr>
          <w:sz w:val="20"/>
          <w:szCs w:val="20"/>
        </w:rPr>
        <w:t>Convention</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Children</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Sexual</w:t>
      </w:r>
      <w:r w:rsidR="00FF41A0">
        <w:rPr>
          <w:sz w:val="20"/>
          <w:szCs w:val="20"/>
        </w:rPr>
        <w:t xml:space="preserve"> </w:t>
      </w:r>
      <w:r w:rsidR="00323457" w:rsidRPr="0059638B">
        <w:rPr>
          <w:sz w:val="20"/>
          <w:szCs w:val="20"/>
        </w:rPr>
        <w:t>Exploitation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Sexual</w:t>
      </w:r>
      <w:r w:rsidR="00FF41A0">
        <w:rPr>
          <w:sz w:val="20"/>
          <w:szCs w:val="20"/>
        </w:rPr>
        <w:t xml:space="preserve"> </w:t>
      </w:r>
      <w:r w:rsidR="00323457" w:rsidRPr="0059638B">
        <w:rPr>
          <w:sz w:val="20"/>
          <w:szCs w:val="20"/>
        </w:rPr>
        <w:t>Abuse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Council</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Europe</w:t>
      </w:r>
      <w:r w:rsidR="00FF41A0">
        <w:rPr>
          <w:sz w:val="20"/>
          <w:szCs w:val="20"/>
        </w:rPr>
        <w:t xml:space="preserve"> </w:t>
      </w:r>
      <w:r w:rsidR="00323457" w:rsidRPr="0059638B">
        <w:rPr>
          <w:sz w:val="20"/>
          <w:szCs w:val="20"/>
        </w:rPr>
        <w:t>Convention</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Preventing</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Combating</w:t>
      </w:r>
      <w:r w:rsidR="00FF41A0">
        <w:rPr>
          <w:sz w:val="20"/>
          <w:szCs w:val="20"/>
        </w:rPr>
        <w:t xml:space="preserve"> </w:t>
      </w:r>
      <w:r w:rsidR="00323457" w:rsidRPr="0059638B">
        <w:rPr>
          <w:sz w:val="20"/>
          <w:szCs w:val="20"/>
        </w:rPr>
        <w:t>Violence</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Domestic</w:t>
      </w:r>
      <w:r w:rsidR="00FF41A0">
        <w:rPr>
          <w:sz w:val="20"/>
          <w:szCs w:val="20"/>
        </w:rPr>
        <w:t xml:space="preserve"> </w:t>
      </w:r>
      <w:r w:rsidR="00323457" w:rsidRPr="0059638B">
        <w:rPr>
          <w:sz w:val="20"/>
          <w:szCs w:val="20"/>
        </w:rPr>
        <w:t>Violence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Istanbul</w:t>
      </w:r>
      <w:r w:rsidR="00FF41A0">
        <w:rPr>
          <w:sz w:val="20"/>
          <w:szCs w:val="20"/>
        </w:rPr>
        <w:t xml:space="preserve"> </w:t>
      </w:r>
      <w:r w:rsidR="00323457" w:rsidRPr="0059638B">
        <w:rPr>
          <w:sz w:val="20"/>
          <w:szCs w:val="20"/>
        </w:rPr>
        <w:t>Convention)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2014;</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Optional</w:t>
      </w:r>
      <w:r w:rsidR="00FF41A0">
        <w:rPr>
          <w:sz w:val="20"/>
          <w:szCs w:val="20"/>
        </w:rPr>
        <w:t xml:space="preserve"> </w:t>
      </w:r>
      <w:r w:rsidR="00323457" w:rsidRPr="0059638B">
        <w:rPr>
          <w:sz w:val="20"/>
          <w:szCs w:val="20"/>
        </w:rPr>
        <w:t>Protocol</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Convention</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Elimination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Forms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Discrimination</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2016.</w:t>
      </w:r>
    </w:p>
    <w:p w14:paraId="52AE184C" w14:textId="7F18EE35" w:rsidR="00323457" w:rsidRPr="0059638B" w:rsidRDefault="00972F1E" w:rsidP="00323457">
      <w:pPr>
        <w:pStyle w:val="SingleTxtG"/>
        <w:rPr>
          <w:sz w:val="20"/>
          <w:szCs w:val="20"/>
        </w:rPr>
      </w:pPr>
      <w:r>
        <w:rPr>
          <w:sz w:val="20"/>
          <w:szCs w:val="20"/>
        </w:rPr>
        <w:t>747</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Association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World</w:t>
      </w:r>
      <w:r w:rsidR="00FF41A0">
        <w:rPr>
          <w:sz w:val="20"/>
          <w:szCs w:val="20"/>
        </w:rPr>
        <w:t xml:space="preserve"> </w:t>
      </w:r>
      <w:r w:rsidR="00323457" w:rsidRPr="0059638B">
        <w:rPr>
          <w:sz w:val="20"/>
          <w:szCs w:val="20"/>
        </w:rPr>
        <w:t>Citizens</w:t>
      </w:r>
      <w:r w:rsidR="00FF41A0">
        <w:rPr>
          <w:sz w:val="20"/>
          <w:szCs w:val="20"/>
        </w:rPr>
        <w:t xml:space="preserve"> </w:t>
      </w:r>
      <w:r w:rsidR="00323457" w:rsidRPr="0059638B">
        <w:rPr>
          <w:sz w:val="20"/>
          <w:szCs w:val="20"/>
        </w:rPr>
        <w:t>regretted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Monaco</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not</w:t>
      </w:r>
      <w:r w:rsidR="00FF41A0">
        <w:rPr>
          <w:sz w:val="20"/>
          <w:szCs w:val="20"/>
        </w:rPr>
        <w:t xml:space="preserve"> </w:t>
      </w:r>
      <w:r w:rsidR="00323457" w:rsidRPr="0059638B">
        <w:rPr>
          <w:sz w:val="20"/>
          <w:szCs w:val="20"/>
        </w:rPr>
        <w:t>accepted</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to:</w:t>
      </w:r>
      <w:r w:rsidR="00FF41A0">
        <w:rPr>
          <w:bCs/>
          <w:sz w:val="20"/>
          <w:szCs w:val="20"/>
        </w:rPr>
        <w:t xml:space="preserve"> </w:t>
      </w:r>
      <w:r w:rsidR="00323457" w:rsidRPr="0059638B">
        <w:rPr>
          <w:bCs/>
          <w:sz w:val="20"/>
          <w:szCs w:val="20"/>
        </w:rPr>
        <w:t>open</w:t>
      </w:r>
      <w:r w:rsidR="00FF41A0">
        <w:rPr>
          <w:bCs/>
          <w:sz w:val="20"/>
          <w:szCs w:val="20"/>
        </w:rPr>
        <w:t xml:space="preserve"> </w:t>
      </w:r>
      <w:r w:rsidR="00323457" w:rsidRPr="0059638B">
        <w:rPr>
          <w:bCs/>
          <w:sz w:val="20"/>
          <w:szCs w:val="20"/>
        </w:rPr>
        <w:t>discussions</w:t>
      </w:r>
      <w:r w:rsidR="00FF41A0">
        <w:rPr>
          <w:bCs/>
          <w:sz w:val="20"/>
          <w:szCs w:val="20"/>
        </w:rPr>
        <w:t xml:space="preserve"> </w:t>
      </w:r>
      <w:r w:rsidR="00323457" w:rsidRPr="0059638B">
        <w:rPr>
          <w:bCs/>
          <w:sz w:val="20"/>
          <w:szCs w:val="20"/>
        </w:rPr>
        <w:t>with</w:t>
      </w:r>
      <w:r w:rsidR="00FF41A0">
        <w:rPr>
          <w:bCs/>
          <w:sz w:val="20"/>
          <w:szCs w:val="20"/>
        </w:rPr>
        <w:t xml:space="preserve"> </w:t>
      </w:r>
      <w:r w:rsidR="00323457" w:rsidRPr="0059638B">
        <w:rPr>
          <w:bCs/>
          <w:sz w:val="20"/>
          <w:szCs w:val="20"/>
        </w:rPr>
        <w:t>civil</w:t>
      </w:r>
      <w:r w:rsidR="00FF41A0">
        <w:rPr>
          <w:bCs/>
          <w:sz w:val="20"/>
          <w:szCs w:val="20"/>
        </w:rPr>
        <w:t xml:space="preserve"> </w:t>
      </w:r>
      <w:r w:rsidR="00323457" w:rsidRPr="0059638B">
        <w:rPr>
          <w:bCs/>
          <w:sz w:val="20"/>
          <w:szCs w:val="20"/>
        </w:rPr>
        <w:t>society</w:t>
      </w:r>
      <w:r w:rsidR="00FF41A0">
        <w:rPr>
          <w:bCs/>
          <w:sz w:val="20"/>
          <w:szCs w:val="20"/>
        </w:rPr>
        <w:t xml:space="preserve"> </w:t>
      </w:r>
      <w:r w:rsidR="00323457" w:rsidRPr="0059638B">
        <w:rPr>
          <w:bCs/>
          <w:sz w:val="20"/>
          <w:szCs w:val="20"/>
        </w:rPr>
        <w:t>groups</w:t>
      </w:r>
      <w:r w:rsidR="00FF41A0">
        <w:rPr>
          <w:bCs/>
          <w:sz w:val="20"/>
          <w:szCs w:val="20"/>
        </w:rPr>
        <w:t xml:space="preserve"> </w:t>
      </w:r>
      <w:r w:rsidR="00323457" w:rsidRPr="0059638B">
        <w:rPr>
          <w:bCs/>
          <w:sz w:val="20"/>
          <w:szCs w:val="20"/>
        </w:rPr>
        <w:t>and</w:t>
      </w:r>
      <w:r w:rsidR="00FF41A0">
        <w:rPr>
          <w:bCs/>
          <w:sz w:val="20"/>
          <w:szCs w:val="20"/>
        </w:rPr>
        <w:t xml:space="preserve"> </w:t>
      </w:r>
      <w:r w:rsidR="00323457" w:rsidRPr="0059638B">
        <w:rPr>
          <w:bCs/>
          <w:sz w:val="20"/>
          <w:szCs w:val="20"/>
        </w:rPr>
        <w:t>stakeholders</w:t>
      </w:r>
      <w:r w:rsidR="00FF41A0">
        <w:rPr>
          <w:bCs/>
          <w:sz w:val="20"/>
          <w:szCs w:val="20"/>
        </w:rPr>
        <w:t xml:space="preserve"> </w:t>
      </w:r>
      <w:r w:rsidR="00323457" w:rsidRPr="0059638B">
        <w:rPr>
          <w:bCs/>
          <w:sz w:val="20"/>
          <w:szCs w:val="20"/>
        </w:rPr>
        <w:t>on</w:t>
      </w:r>
      <w:r w:rsidR="00FF41A0">
        <w:rPr>
          <w:bCs/>
          <w:sz w:val="20"/>
          <w:szCs w:val="20"/>
        </w:rPr>
        <w:t xml:space="preserve"> </w:t>
      </w:r>
      <w:r w:rsidR="00323457" w:rsidRPr="0059638B">
        <w:rPr>
          <w:bCs/>
          <w:sz w:val="20"/>
          <w:szCs w:val="20"/>
        </w:rPr>
        <w:t>the</w:t>
      </w:r>
      <w:r w:rsidR="00FF41A0">
        <w:rPr>
          <w:bCs/>
          <w:sz w:val="20"/>
          <w:szCs w:val="20"/>
        </w:rPr>
        <w:t xml:space="preserve"> </w:t>
      </w:r>
      <w:r w:rsidR="00323457" w:rsidRPr="0059638B">
        <w:rPr>
          <w:bCs/>
          <w:sz w:val="20"/>
          <w:szCs w:val="20"/>
        </w:rPr>
        <w:t>sexual</w:t>
      </w:r>
      <w:r w:rsidR="00FF41A0">
        <w:rPr>
          <w:bCs/>
          <w:sz w:val="20"/>
          <w:szCs w:val="20"/>
        </w:rPr>
        <w:t xml:space="preserve"> </w:t>
      </w:r>
      <w:r w:rsidR="00323457" w:rsidRPr="0059638B">
        <w:rPr>
          <w:bCs/>
          <w:sz w:val="20"/>
          <w:szCs w:val="20"/>
        </w:rPr>
        <w:t>and</w:t>
      </w:r>
      <w:r w:rsidR="00FF41A0">
        <w:rPr>
          <w:bCs/>
          <w:sz w:val="20"/>
          <w:szCs w:val="20"/>
        </w:rPr>
        <w:t xml:space="preserve"> </w:t>
      </w:r>
      <w:r w:rsidR="00323457" w:rsidRPr="0059638B">
        <w:rPr>
          <w:bCs/>
          <w:sz w:val="20"/>
          <w:szCs w:val="20"/>
        </w:rPr>
        <w:t>reproductive</w:t>
      </w:r>
      <w:r w:rsidR="00FF41A0">
        <w:rPr>
          <w:bCs/>
          <w:sz w:val="20"/>
          <w:szCs w:val="20"/>
        </w:rPr>
        <w:t xml:space="preserve"> </w:t>
      </w:r>
      <w:r w:rsidR="00323457" w:rsidRPr="0059638B">
        <w:rPr>
          <w:bCs/>
          <w:sz w:val="20"/>
          <w:szCs w:val="20"/>
        </w:rPr>
        <w:t>rights</w:t>
      </w:r>
      <w:r w:rsidR="00FF41A0">
        <w:rPr>
          <w:bCs/>
          <w:sz w:val="20"/>
          <w:szCs w:val="20"/>
        </w:rPr>
        <w:t xml:space="preserve"> </w:t>
      </w:r>
      <w:r w:rsidR="00323457" w:rsidRPr="0059638B">
        <w:rPr>
          <w:bCs/>
          <w:sz w:val="20"/>
          <w:szCs w:val="20"/>
        </w:rPr>
        <w:t>of</w:t>
      </w:r>
      <w:r w:rsidR="00FF41A0">
        <w:rPr>
          <w:bCs/>
          <w:sz w:val="20"/>
          <w:szCs w:val="20"/>
        </w:rPr>
        <w:t xml:space="preserve"> </w:t>
      </w:r>
      <w:r w:rsidR="00323457" w:rsidRPr="0059638B">
        <w:rPr>
          <w:bCs/>
          <w:sz w:val="20"/>
          <w:szCs w:val="20"/>
        </w:rPr>
        <w:t>women</w:t>
      </w:r>
      <w:r w:rsidR="00FF41A0">
        <w:rPr>
          <w:bCs/>
          <w:sz w:val="20"/>
          <w:szCs w:val="20"/>
        </w:rPr>
        <w:t xml:space="preserve"> </w:t>
      </w:r>
      <w:r w:rsidR="00323457" w:rsidRPr="0059638B">
        <w:rPr>
          <w:bCs/>
          <w:sz w:val="20"/>
          <w:szCs w:val="20"/>
        </w:rPr>
        <w:t>and</w:t>
      </w:r>
      <w:r w:rsidR="00FF41A0">
        <w:rPr>
          <w:bCs/>
          <w:sz w:val="20"/>
          <w:szCs w:val="20"/>
        </w:rPr>
        <w:t xml:space="preserve"> </w:t>
      </w:r>
      <w:r w:rsidR="00323457" w:rsidRPr="0059638B">
        <w:rPr>
          <w:bCs/>
          <w:sz w:val="20"/>
          <w:szCs w:val="20"/>
        </w:rPr>
        <w:t>girls;</w:t>
      </w:r>
      <w:r w:rsidR="00FF41A0">
        <w:rPr>
          <w:bCs/>
          <w:sz w:val="20"/>
          <w:szCs w:val="20"/>
        </w:rPr>
        <w:t xml:space="preserve"> </w:t>
      </w:r>
      <w:r w:rsidR="00323457" w:rsidRPr="0059638B">
        <w:rPr>
          <w:bCs/>
          <w:sz w:val="20"/>
          <w:szCs w:val="20"/>
        </w:rPr>
        <w:t>repeal</w:t>
      </w:r>
      <w:r w:rsidR="00FF41A0">
        <w:rPr>
          <w:bCs/>
          <w:sz w:val="20"/>
          <w:szCs w:val="20"/>
        </w:rPr>
        <w:t xml:space="preserve"> </w:t>
      </w:r>
      <w:r w:rsidR="00323457" w:rsidRPr="0059638B">
        <w:rPr>
          <w:bCs/>
          <w:sz w:val="20"/>
          <w:szCs w:val="20"/>
        </w:rPr>
        <w:t>discriminatory</w:t>
      </w:r>
      <w:r w:rsidR="00FF41A0">
        <w:rPr>
          <w:bCs/>
          <w:sz w:val="20"/>
          <w:szCs w:val="20"/>
        </w:rPr>
        <w:t xml:space="preserve"> </w:t>
      </w:r>
      <w:r w:rsidR="00323457" w:rsidRPr="0059638B">
        <w:rPr>
          <w:bCs/>
          <w:sz w:val="20"/>
          <w:szCs w:val="20"/>
        </w:rPr>
        <w:t>legislation</w:t>
      </w:r>
      <w:r w:rsidR="00FF41A0">
        <w:rPr>
          <w:bCs/>
          <w:sz w:val="20"/>
          <w:szCs w:val="20"/>
        </w:rPr>
        <w:t xml:space="preserve"> </w:t>
      </w:r>
      <w:r w:rsidR="00323457" w:rsidRPr="0059638B">
        <w:rPr>
          <w:bCs/>
          <w:sz w:val="20"/>
          <w:szCs w:val="20"/>
        </w:rPr>
        <w:t>and</w:t>
      </w:r>
      <w:r w:rsidR="00FF41A0">
        <w:rPr>
          <w:bCs/>
          <w:sz w:val="20"/>
          <w:szCs w:val="20"/>
        </w:rPr>
        <w:t xml:space="preserve"> </w:t>
      </w:r>
      <w:r w:rsidR="00323457" w:rsidRPr="0059638B">
        <w:rPr>
          <w:bCs/>
          <w:sz w:val="20"/>
          <w:szCs w:val="20"/>
        </w:rPr>
        <w:t>decriminalize</w:t>
      </w:r>
      <w:r w:rsidR="00FF41A0">
        <w:rPr>
          <w:bCs/>
          <w:sz w:val="20"/>
          <w:szCs w:val="20"/>
        </w:rPr>
        <w:t xml:space="preserve"> </w:t>
      </w:r>
      <w:r w:rsidR="00323457" w:rsidRPr="0059638B">
        <w:rPr>
          <w:bCs/>
          <w:sz w:val="20"/>
          <w:szCs w:val="20"/>
        </w:rPr>
        <w:t>elective</w:t>
      </w:r>
      <w:r w:rsidR="00FF41A0">
        <w:rPr>
          <w:bCs/>
          <w:sz w:val="20"/>
          <w:szCs w:val="20"/>
        </w:rPr>
        <w:t xml:space="preserve"> </w:t>
      </w:r>
      <w:r w:rsidR="00323457" w:rsidRPr="0059638B">
        <w:rPr>
          <w:bCs/>
          <w:sz w:val="20"/>
          <w:szCs w:val="20"/>
        </w:rPr>
        <w:t>abortion</w:t>
      </w:r>
      <w:r w:rsidR="00323457" w:rsidRPr="0059638B">
        <w:rPr>
          <w:sz w:val="20"/>
          <w:szCs w:val="20"/>
        </w:rPr>
        <w:t>;</w:t>
      </w:r>
      <w:r w:rsidR="00FF41A0">
        <w:rPr>
          <w:sz w:val="20"/>
          <w:szCs w:val="20"/>
        </w:rPr>
        <w:t xml:space="preserve"> </w:t>
      </w:r>
      <w:r w:rsidR="00323457" w:rsidRPr="0059638B">
        <w:rPr>
          <w:sz w:val="20"/>
          <w:szCs w:val="20"/>
        </w:rPr>
        <w:t>withdraw</w:t>
      </w:r>
      <w:r w:rsidR="00FF41A0">
        <w:rPr>
          <w:sz w:val="20"/>
          <w:szCs w:val="20"/>
        </w:rPr>
        <w:t xml:space="preserve"> </w:t>
      </w:r>
      <w:r w:rsidR="00323457" w:rsidRPr="0059638B">
        <w:rPr>
          <w:sz w:val="20"/>
          <w:szCs w:val="20"/>
        </w:rPr>
        <w:t>reservations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Convention</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Elimination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Forms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Discrimination</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ratify</w:t>
      </w:r>
      <w:r w:rsidR="00FF41A0">
        <w:rPr>
          <w:sz w:val="20"/>
          <w:szCs w:val="20"/>
        </w:rPr>
        <w:t xml:space="preserve"> </w:t>
      </w:r>
      <w:r w:rsidR="00323457" w:rsidRPr="0059638B">
        <w:rPr>
          <w:sz w:val="20"/>
          <w:szCs w:val="20"/>
        </w:rPr>
        <w:t>certain</w:t>
      </w:r>
      <w:r w:rsidR="00FF41A0">
        <w:rPr>
          <w:sz w:val="20"/>
          <w:szCs w:val="20"/>
        </w:rPr>
        <w:t xml:space="preserve"> </w:t>
      </w:r>
      <w:r w:rsidR="00323457" w:rsidRPr="0059638B">
        <w:rPr>
          <w:sz w:val="20"/>
          <w:szCs w:val="20"/>
        </w:rPr>
        <w:t>optional</w:t>
      </w:r>
      <w:r w:rsidR="00FF41A0">
        <w:rPr>
          <w:sz w:val="20"/>
          <w:szCs w:val="20"/>
        </w:rPr>
        <w:t xml:space="preserve"> </w:t>
      </w:r>
      <w:r w:rsidR="00323457" w:rsidRPr="0059638B">
        <w:rPr>
          <w:sz w:val="20"/>
          <w:szCs w:val="20"/>
        </w:rPr>
        <w:t>protocols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treaties.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Monaco</w:t>
      </w:r>
      <w:r w:rsidR="00FF41A0">
        <w:rPr>
          <w:sz w:val="20"/>
          <w:szCs w:val="20"/>
        </w:rPr>
        <w:t xml:space="preserve"> </w:t>
      </w:r>
      <w:r w:rsidR="00323457" w:rsidRPr="0059638B">
        <w:rPr>
          <w:sz w:val="20"/>
          <w:szCs w:val="20"/>
        </w:rPr>
        <w:t>should</w:t>
      </w:r>
      <w:r w:rsidR="00FF41A0">
        <w:rPr>
          <w:sz w:val="20"/>
          <w:szCs w:val="20"/>
        </w:rPr>
        <w:t xml:space="preserve"> </w:t>
      </w:r>
      <w:r w:rsidR="00323457" w:rsidRPr="0059638B">
        <w:rPr>
          <w:sz w:val="20"/>
          <w:szCs w:val="20"/>
        </w:rPr>
        <w:t>ratify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Rome</w:t>
      </w:r>
      <w:r w:rsidR="00FF41A0">
        <w:rPr>
          <w:sz w:val="20"/>
          <w:szCs w:val="20"/>
        </w:rPr>
        <w:t xml:space="preserve"> </w:t>
      </w:r>
      <w:r w:rsidR="00323457" w:rsidRPr="0059638B">
        <w:rPr>
          <w:sz w:val="20"/>
          <w:szCs w:val="20"/>
        </w:rPr>
        <w:t>Statute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Criminal</w:t>
      </w:r>
      <w:r w:rsidR="00FF41A0">
        <w:rPr>
          <w:sz w:val="20"/>
          <w:szCs w:val="20"/>
        </w:rPr>
        <w:t xml:space="preserve"> </w:t>
      </w:r>
      <w:r w:rsidR="00323457" w:rsidRPr="0059638B">
        <w:rPr>
          <w:sz w:val="20"/>
          <w:szCs w:val="20"/>
        </w:rPr>
        <w:t>Court</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soon</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possible.</w:t>
      </w:r>
      <w:r w:rsidR="00FF41A0">
        <w:rPr>
          <w:sz w:val="20"/>
          <w:szCs w:val="20"/>
        </w:rPr>
        <w:t xml:space="preserve"> </w:t>
      </w:r>
    </w:p>
    <w:p w14:paraId="6893953A" w14:textId="323AA8C4" w:rsidR="00323457" w:rsidRPr="0059638B" w:rsidRDefault="00972F1E" w:rsidP="00323457">
      <w:pPr>
        <w:pStyle w:val="SingleTxtG"/>
        <w:rPr>
          <w:sz w:val="20"/>
          <w:szCs w:val="20"/>
        </w:rPr>
      </w:pPr>
      <w:r>
        <w:rPr>
          <w:sz w:val="20"/>
          <w:szCs w:val="20"/>
        </w:rPr>
        <w:t>748</w:t>
      </w:r>
      <w:r w:rsidR="00D7475F">
        <w:rPr>
          <w:sz w:val="20"/>
          <w:szCs w:val="20"/>
        </w:rPr>
        <w:t>.</w:t>
      </w:r>
      <w:r w:rsidR="00D7475F">
        <w:rPr>
          <w:sz w:val="20"/>
          <w:szCs w:val="20"/>
        </w:rPr>
        <w:tab/>
      </w:r>
      <w:r w:rsidR="00323457" w:rsidRPr="0059638B">
        <w:rPr>
          <w:sz w:val="20"/>
          <w:szCs w:val="20"/>
        </w:rPr>
        <w:t>Campagne</w:t>
      </w:r>
      <w:r w:rsidR="00FF41A0">
        <w:rPr>
          <w:sz w:val="20"/>
          <w:szCs w:val="20"/>
        </w:rPr>
        <w:t xml:space="preserve"> </w:t>
      </w:r>
      <w:r w:rsidR="00323457" w:rsidRPr="0059638B">
        <w:rPr>
          <w:sz w:val="20"/>
          <w:szCs w:val="20"/>
        </w:rPr>
        <w:t>Internationale</w:t>
      </w:r>
      <w:r w:rsidR="00FF41A0">
        <w:rPr>
          <w:sz w:val="20"/>
          <w:szCs w:val="20"/>
        </w:rPr>
        <w:t xml:space="preserve"> </w:t>
      </w:r>
      <w:r w:rsidR="00323457" w:rsidRPr="0059638B">
        <w:rPr>
          <w:sz w:val="20"/>
          <w:szCs w:val="20"/>
        </w:rPr>
        <w:t>pour</w:t>
      </w:r>
      <w:r w:rsidR="00FF41A0">
        <w:rPr>
          <w:sz w:val="20"/>
          <w:szCs w:val="20"/>
        </w:rPr>
        <w:t xml:space="preserve"> </w:t>
      </w:r>
      <w:r w:rsidR="00323457" w:rsidRPr="0059638B">
        <w:rPr>
          <w:sz w:val="20"/>
          <w:szCs w:val="20"/>
        </w:rPr>
        <w:t>l</w:t>
      </w:r>
      <w:r w:rsidR="00D72627">
        <w:rPr>
          <w:sz w:val="20"/>
          <w:szCs w:val="20"/>
        </w:rPr>
        <w:t>’</w:t>
      </w:r>
      <w:r w:rsidR="00323457" w:rsidRPr="0059638B">
        <w:rPr>
          <w:sz w:val="20"/>
          <w:szCs w:val="20"/>
        </w:rPr>
        <w:t>Abolition</w:t>
      </w:r>
      <w:r w:rsidR="00FF41A0">
        <w:rPr>
          <w:sz w:val="20"/>
          <w:szCs w:val="20"/>
        </w:rPr>
        <w:t xml:space="preserve"> </w:t>
      </w:r>
      <w:r w:rsidR="00323457" w:rsidRPr="0059638B">
        <w:rPr>
          <w:sz w:val="20"/>
          <w:szCs w:val="20"/>
        </w:rPr>
        <w:t>des</w:t>
      </w:r>
      <w:r w:rsidR="00FF41A0">
        <w:rPr>
          <w:sz w:val="20"/>
          <w:szCs w:val="20"/>
        </w:rPr>
        <w:t xml:space="preserve"> </w:t>
      </w:r>
      <w:r w:rsidR="00323457" w:rsidRPr="0059638B">
        <w:rPr>
          <w:sz w:val="20"/>
          <w:szCs w:val="20"/>
        </w:rPr>
        <w:t>Armes</w:t>
      </w:r>
      <w:r w:rsidR="00FF41A0">
        <w:rPr>
          <w:sz w:val="20"/>
          <w:szCs w:val="20"/>
        </w:rPr>
        <w:t xml:space="preserve"> </w:t>
      </w:r>
      <w:r w:rsidR="00323457" w:rsidRPr="0059638B">
        <w:rPr>
          <w:sz w:val="20"/>
          <w:szCs w:val="20"/>
        </w:rPr>
        <w:t>Nucléaires</w:t>
      </w:r>
      <w:r w:rsidR="00FF41A0">
        <w:rPr>
          <w:sz w:val="20"/>
          <w:szCs w:val="20"/>
        </w:rPr>
        <w:t xml:space="preserve"> </w:t>
      </w:r>
      <w:r w:rsidR="00323457" w:rsidRPr="0059638B">
        <w:rPr>
          <w:sz w:val="20"/>
          <w:szCs w:val="20"/>
        </w:rPr>
        <w:t>asked</w:t>
      </w:r>
      <w:r w:rsidR="00FF41A0">
        <w:rPr>
          <w:sz w:val="20"/>
          <w:szCs w:val="20"/>
        </w:rPr>
        <w:t xml:space="preserve"> </w:t>
      </w:r>
      <w:r w:rsidR="00323457" w:rsidRPr="0059638B">
        <w:rPr>
          <w:sz w:val="20"/>
          <w:szCs w:val="20"/>
        </w:rPr>
        <w:t>Monaco</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sign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ratify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Treaty</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Prohibition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Nuclear</w:t>
      </w:r>
      <w:r w:rsidR="00FF41A0">
        <w:rPr>
          <w:sz w:val="20"/>
          <w:szCs w:val="20"/>
        </w:rPr>
        <w:t xml:space="preserve"> </w:t>
      </w:r>
      <w:r w:rsidR="00323457" w:rsidRPr="0059638B">
        <w:rPr>
          <w:sz w:val="20"/>
          <w:szCs w:val="20"/>
        </w:rPr>
        <w:t>Weapons</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matter</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urgency,</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outlined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w:t>
      </w:r>
      <w:r w:rsidR="00FF41A0">
        <w:rPr>
          <w:sz w:val="20"/>
          <w:szCs w:val="20"/>
        </w:rPr>
        <w:t xml:space="preserve"> </w:t>
      </w:r>
      <w:r w:rsidR="00323457" w:rsidRPr="0059638B">
        <w:rPr>
          <w:sz w:val="20"/>
          <w:szCs w:val="20"/>
        </w:rPr>
        <w:t>contained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paragraph</w:t>
      </w:r>
      <w:r w:rsidR="00FF41A0">
        <w:rPr>
          <w:sz w:val="20"/>
          <w:szCs w:val="20"/>
        </w:rPr>
        <w:t xml:space="preserve"> </w:t>
      </w:r>
      <w:r w:rsidR="00323457" w:rsidRPr="0059638B">
        <w:rPr>
          <w:sz w:val="20"/>
          <w:szCs w:val="20"/>
        </w:rPr>
        <w:t>78.16</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Working</w:t>
      </w:r>
      <w:r w:rsidR="00FF41A0">
        <w:rPr>
          <w:sz w:val="20"/>
          <w:szCs w:val="20"/>
        </w:rPr>
        <w:t xml:space="preserve"> </w:t>
      </w:r>
      <w:r w:rsidR="00323457" w:rsidRPr="0059638B">
        <w:rPr>
          <w:sz w:val="20"/>
          <w:szCs w:val="20"/>
        </w:rPr>
        <w:t>Group</w:t>
      </w:r>
      <w:r w:rsidR="00FF41A0">
        <w:rPr>
          <w:sz w:val="20"/>
          <w:szCs w:val="20"/>
        </w:rPr>
        <w:t xml:space="preserve"> </w:t>
      </w:r>
      <w:r w:rsidR="00323457" w:rsidRPr="0059638B">
        <w:rPr>
          <w:sz w:val="20"/>
          <w:szCs w:val="20"/>
        </w:rPr>
        <w:t>report.</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Principality</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commitment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respect</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humanitarian</w:t>
      </w:r>
      <w:r w:rsidR="00FF41A0">
        <w:rPr>
          <w:sz w:val="20"/>
          <w:szCs w:val="20"/>
        </w:rPr>
        <w:t xml:space="preserve"> </w:t>
      </w:r>
      <w:r w:rsidR="00323457" w:rsidRPr="0059638B">
        <w:rPr>
          <w:sz w:val="20"/>
          <w:szCs w:val="20"/>
        </w:rPr>
        <w:t>law</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demonstrated</w:t>
      </w:r>
      <w:r w:rsidR="00FF41A0">
        <w:rPr>
          <w:sz w:val="20"/>
          <w:szCs w:val="20"/>
        </w:rPr>
        <w:t xml:space="preserve"> </w:t>
      </w:r>
      <w:r w:rsidR="00323457" w:rsidRPr="0059638B">
        <w:rPr>
          <w:sz w:val="20"/>
          <w:szCs w:val="20"/>
        </w:rPr>
        <w:t>through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ratification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treaties</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chemical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biological</w:t>
      </w:r>
      <w:r w:rsidR="00FF41A0">
        <w:rPr>
          <w:sz w:val="20"/>
          <w:szCs w:val="20"/>
        </w:rPr>
        <w:t xml:space="preserve"> </w:t>
      </w:r>
      <w:r w:rsidR="00323457" w:rsidRPr="0059638B">
        <w:rPr>
          <w:sz w:val="20"/>
          <w:szCs w:val="20"/>
        </w:rPr>
        <w:t>weapons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cluster</w:t>
      </w:r>
      <w:r w:rsidR="00FF41A0">
        <w:rPr>
          <w:sz w:val="20"/>
          <w:szCs w:val="20"/>
        </w:rPr>
        <w:t xml:space="preserve"> </w:t>
      </w:r>
      <w:r w:rsidR="00323457" w:rsidRPr="0059638B">
        <w:rPr>
          <w:sz w:val="20"/>
          <w:szCs w:val="20"/>
        </w:rPr>
        <w:t>munitions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landmines.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Monaco</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complete</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commitment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disarmament</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becoming</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State</w:t>
      </w:r>
      <w:r w:rsidR="00FF41A0">
        <w:rPr>
          <w:sz w:val="20"/>
          <w:szCs w:val="20"/>
        </w:rPr>
        <w:t xml:space="preserve"> </w:t>
      </w:r>
      <w:r w:rsidR="00323457" w:rsidRPr="0059638B">
        <w:rPr>
          <w:sz w:val="20"/>
          <w:szCs w:val="20"/>
        </w:rPr>
        <w:t>party</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Treaty</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Prohibition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Nuclear</w:t>
      </w:r>
      <w:r w:rsidR="00FF41A0">
        <w:rPr>
          <w:sz w:val="20"/>
          <w:szCs w:val="20"/>
        </w:rPr>
        <w:t xml:space="preserve"> </w:t>
      </w:r>
      <w:r w:rsidR="00323457" w:rsidRPr="0059638B">
        <w:rPr>
          <w:sz w:val="20"/>
          <w:szCs w:val="20"/>
        </w:rPr>
        <w:t>Weapons.</w:t>
      </w:r>
      <w:r w:rsidR="00FF41A0">
        <w:rPr>
          <w:sz w:val="20"/>
          <w:szCs w:val="20"/>
        </w:rPr>
        <w:t xml:space="preserve"> </w:t>
      </w:r>
    </w:p>
    <w:p w14:paraId="00D0D3ED" w14:textId="07AD38A2" w:rsidR="00323457" w:rsidRPr="0059638B" w:rsidRDefault="00323457" w:rsidP="00323457">
      <w:pPr>
        <w:pStyle w:val="H23G"/>
        <w:ind w:left="705" w:firstLine="0"/>
        <w:rPr>
          <w:sz w:val="20"/>
          <w:szCs w:val="20"/>
        </w:rPr>
      </w:pPr>
      <w:r w:rsidRPr="0059638B">
        <w:rPr>
          <w:sz w:val="20"/>
          <w:szCs w:val="20"/>
        </w:rPr>
        <w:t>4.</w:t>
      </w:r>
      <w:r w:rsidRPr="0059638B">
        <w:rPr>
          <w:sz w:val="20"/>
          <w:szCs w:val="20"/>
        </w:rPr>
        <w:tab/>
        <w:t>Concluding</w:t>
      </w:r>
      <w:r w:rsidR="00FF41A0">
        <w:rPr>
          <w:sz w:val="20"/>
          <w:szCs w:val="20"/>
        </w:rPr>
        <w:t xml:space="preserve"> </w:t>
      </w:r>
      <w:r w:rsidRPr="0059638B">
        <w:rPr>
          <w:sz w:val="20"/>
          <w:szCs w:val="20"/>
        </w:rPr>
        <w:t>remarks</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State</w:t>
      </w:r>
      <w:r w:rsidR="00FF41A0">
        <w:rPr>
          <w:sz w:val="20"/>
          <w:szCs w:val="20"/>
        </w:rPr>
        <w:t xml:space="preserve"> </w:t>
      </w:r>
      <w:r w:rsidRPr="0059638B">
        <w:rPr>
          <w:sz w:val="20"/>
          <w:szCs w:val="20"/>
        </w:rPr>
        <w:t>under</w:t>
      </w:r>
      <w:r w:rsidR="00FF41A0">
        <w:rPr>
          <w:sz w:val="20"/>
          <w:szCs w:val="20"/>
        </w:rPr>
        <w:t xml:space="preserve"> </w:t>
      </w:r>
      <w:r w:rsidRPr="0059638B">
        <w:rPr>
          <w:sz w:val="20"/>
          <w:szCs w:val="20"/>
        </w:rPr>
        <w:t>review</w:t>
      </w:r>
    </w:p>
    <w:p w14:paraId="665ED641" w14:textId="3D754E8C" w:rsidR="00323457" w:rsidRPr="0059638B" w:rsidRDefault="00972F1E" w:rsidP="00323457">
      <w:pPr>
        <w:pStyle w:val="SingleTxtG"/>
        <w:rPr>
          <w:sz w:val="20"/>
          <w:szCs w:val="20"/>
        </w:rPr>
      </w:pPr>
      <w:r>
        <w:rPr>
          <w:sz w:val="20"/>
          <w:szCs w:val="20"/>
        </w:rPr>
        <w:t>749</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President</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based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information</w:t>
      </w:r>
      <w:r w:rsidR="00FF41A0">
        <w:rPr>
          <w:sz w:val="20"/>
          <w:szCs w:val="20"/>
        </w:rPr>
        <w:t xml:space="preserve"> </w:t>
      </w:r>
      <w:r w:rsidR="00323457" w:rsidRPr="0059638B">
        <w:rPr>
          <w:sz w:val="20"/>
          <w:szCs w:val="20"/>
        </w:rPr>
        <w:t>provided,</w:t>
      </w:r>
      <w:r w:rsidR="00FF41A0">
        <w:rPr>
          <w:sz w:val="20"/>
          <w:szCs w:val="20"/>
        </w:rPr>
        <w:t xml:space="preserve"> </w:t>
      </w:r>
      <w:r w:rsidR="00323457" w:rsidRPr="0059638B">
        <w:rPr>
          <w:sz w:val="20"/>
          <w:szCs w:val="20"/>
        </w:rPr>
        <w:t>out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113</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received,</w:t>
      </w:r>
      <w:r w:rsidR="00FF41A0">
        <w:rPr>
          <w:sz w:val="20"/>
          <w:szCs w:val="20"/>
        </w:rPr>
        <w:t xml:space="preserve"> </w:t>
      </w:r>
      <w:r w:rsidR="00323457" w:rsidRPr="0059638B">
        <w:rPr>
          <w:sz w:val="20"/>
          <w:szCs w:val="20"/>
        </w:rPr>
        <w:t>72</w:t>
      </w:r>
      <w:r w:rsidR="00FF41A0">
        <w:rPr>
          <w:sz w:val="20"/>
          <w:szCs w:val="20"/>
        </w:rPr>
        <w:t xml:space="preserve"> </w:t>
      </w:r>
      <w:r w:rsidR="00323457" w:rsidRPr="0059638B">
        <w:rPr>
          <w:sz w:val="20"/>
          <w:szCs w:val="20"/>
        </w:rPr>
        <w:t>enjoyed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support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Monaco,</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41</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noted.</w:t>
      </w:r>
    </w:p>
    <w:p w14:paraId="5EC8F6E4" w14:textId="65BF67E4" w:rsidR="00323457" w:rsidRPr="0059638B" w:rsidRDefault="00972F1E" w:rsidP="00323457">
      <w:pPr>
        <w:pStyle w:val="SingleTxtG"/>
        <w:rPr>
          <w:b/>
          <w:bCs/>
          <w:sz w:val="20"/>
          <w:szCs w:val="20"/>
          <w:lang w:val="en"/>
        </w:rPr>
      </w:pPr>
      <w:r>
        <w:rPr>
          <w:sz w:val="20"/>
          <w:szCs w:val="20"/>
          <w:lang w:val="en"/>
        </w:rPr>
        <w:t>750</w:t>
      </w:r>
      <w:r w:rsidR="00D7475F">
        <w:rPr>
          <w:sz w:val="20"/>
          <w:szCs w:val="20"/>
          <w:lang w:val="en"/>
        </w:rPr>
        <w:t>.</w:t>
      </w:r>
      <w:r w:rsidR="00D7475F">
        <w:rPr>
          <w:sz w:val="20"/>
          <w:szCs w:val="20"/>
          <w:lang w:val="en"/>
        </w:rPr>
        <w:tab/>
      </w:r>
      <w:r w:rsidR="00323457" w:rsidRPr="0059638B">
        <w:rPr>
          <w:sz w:val="20"/>
          <w:szCs w:val="20"/>
          <w:lang w:val="en"/>
        </w:rPr>
        <w:t>The</w:t>
      </w:r>
      <w:r w:rsidR="00FF41A0">
        <w:rPr>
          <w:sz w:val="20"/>
          <w:szCs w:val="20"/>
          <w:lang w:val="en"/>
        </w:rPr>
        <w:t xml:space="preserve"> </w:t>
      </w:r>
      <w:r w:rsidR="00323457" w:rsidRPr="0059638B">
        <w:rPr>
          <w:sz w:val="20"/>
          <w:szCs w:val="20"/>
          <w:lang w:val="en"/>
        </w:rPr>
        <w:t>delegation</w:t>
      </w:r>
      <w:r w:rsidR="00FF41A0">
        <w:rPr>
          <w:sz w:val="20"/>
          <w:szCs w:val="20"/>
          <w:lang w:val="en"/>
        </w:rPr>
        <w:t xml:space="preserve"> </w:t>
      </w:r>
      <w:r w:rsidR="00323457" w:rsidRPr="0059638B">
        <w:rPr>
          <w:sz w:val="20"/>
          <w:szCs w:val="20"/>
          <w:lang w:val="en"/>
        </w:rPr>
        <w:t>thanked</w:t>
      </w:r>
      <w:r w:rsidR="00FF41A0">
        <w:rPr>
          <w:sz w:val="20"/>
          <w:szCs w:val="20"/>
          <w:lang w:val="en"/>
        </w:rPr>
        <w:t xml:space="preserve"> </w:t>
      </w:r>
      <w:r w:rsidR="00323457" w:rsidRPr="0059638B">
        <w:rPr>
          <w:sz w:val="20"/>
          <w:szCs w:val="20"/>
          <w:lang w:val="en"/>
        </w:rPr>
        <w:t>all</w:t>
      </w:r>
      <w:r w:rsidR="00FF41A0">
        <w:rPr>
          <w:sz w:val="20"/>
          <w:szCs w:val="20"/>
          <w:lang w:val="en"/>
        </w:rPr>
        <w:t xml:space="preserve"> </w:t>
      </w:r>
      <w:r w:rsidR="00323457" w:rsidRPr="0059638B">
        <w:rPr>
          <w:sz w:val="20"/>
          <w:szCs w:val="20"/>
          <w:lang w:val="en"/>
        </w:rPr>
        <w:t>States</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NGO</w:t>
      </w:r>
      <w:r w:rsidR="00FF41A0">
        <w:rPr>
          <w:sz w:val="20"/>
          <w:szCs w:val="20"/>
          <w:lang w:val="en"/>
        </w:rPr>
        <w:t xml:space="preserve"> </w:t>
      </w:r>
      <w:r w:rsidR="00323457" w:rsidRPr="0059638B">
        <w:rPr>
          <w:sz w:val="20"/>
          <w:szCs w:val="20"/>
          <w:lang w:val="en"/>
        </w:rPr>
        <w:t>representatives</w:t>
      </w:r>
      <w:r w:rsidR="00FF41A0">
        <w:rPr>
          <w:sz w:val="20"/>
          <w:szCs w:val="20"/>
          <w:lang w:val="en"/>
        </w:rPr>
        <w:t xml:space="preserve"> </w:t>
      </w:r>
      <w:r w:rsidR="00323457" w:rsidRPr="0059638B">
        <w:rPr>
          <w:sz w:val="20"/>
          <w:szCs w:val="20"/>
          <w:lang w:val="en"/>
        </w:rPr>
        <w:t>who</w:t>
      </w:r>
      <w:r w:rsidR="00FF41A0">
        <w:rPr>
          <w:sz w:val="20"/>
          <w:szCs w:val="20"/>
          <w:lang w:val="en"/>
        </w:rPr>
        <w:t xml:space="preserve"> </w:t>
      </w:r>
      <w:r w:rsidR="00323457" w:rsidRPr="0059638B">
        <w:rPr>
          <w:sz w:val="20"/>
          <w:szCs w:val="20"/>
          <w:lang w:val="en"/>
        </w:rPr>
        <w:t>participated</w:t>
      </w:r>
      <w:r w:rsidR="00FF41A0">
        <w:rPr>
          <w:sz w:val="20"/>
          <w:szCs w:val="20"/>
          <w:lang w:val="en"/>
        </w:rPr>
        <w:t xml:space="preserve"> </w:t>
      </w:r>
      <w:r w:rsidR="00323457" w:rsidRPr="0059638B">
        <w:rPr>
          <w:sz w:val="20"/>
          <w:szCs w:val="20"/>
          <w:lang w:val="en"/>
        </w:rPr>
        <w:t>in</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review</w:t>
      </w:r>
      <w:r w:rsidR="00FF41A0">
        <w:rPr>
          <w:sz w:val="20"/>
          <w:szCs w:val="20"/>
          <w:lang w:val="en"/>
        </w:rPr>
        <w:t xml:space="preserve"> </w:t>
      </w:r>
      <w:r w:rsidR="00323457" w:rsidRPr="0059638B">
        <w:rPr>
          <w:sz w:val="20"/>
          <w:szCs w:val="20"/>
          <w:lang w:val="en"/>
        </w:rPr>
        <w:t>with</w:t>
      </w:r>
      <w:r w:rsidR="00FF41A0">
        <w:rPr>
          <w:sz w:val="20"/>
          <w:szCs w:val="20"/>
          <w:lang w:val="en"/>
        </w:rPr>
        <w:t xml:space="preserve"> </w:t>
      </w:r>
      <w:r w:rsidR="00323457" w:rsidRPr="0059638B">
        <w:rPr>
          <w:sz w:val="20"/>
          <w:szCs w:val="20"/>
          <w:lang w:val="en"/>
        </w:rPr>
        <w:t>their</w:t>
      </w:r>
      <w:r w:rsidR="00FF41A0">
        <w:rPr>
          <w:sz w:val="20"/>
          <w:szCs w:val="20"/>
          <w:lang w:val="en"/>
        </w:rPr>
        <w:t xml:space="preserve"> </w:t>
      </w:r>
      <w:r w:rsidR="00323457" w:rsidRPr="0059638B">
        <w:rPr>
          <w:sz w:val="20"/>
          <w:szCs w:val="20"/>
          <w:lang w:val="en"/>
        </w:rPr>
        <w:t>comments</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recommendations</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expressed</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hope</w:t>
      </w:r>
      <w:r w:rsidR="00FF41A0">
        <w:rPr>
          <w:sz w:val="20"/>
          <w:szCs w:val="20"/>
          <w:lang w:val="en"/>
        </w:rPr>
        <w:t xml:space="preserve"> </w:t>
      </w:r>
      <w:r w:rsidR="00323457" w:rsidRPr="0059638B">
        <w:rPr>
          <w:sz w:val="20"/>
          <w:szCs w:val="20"/>
          <w:lang w:val="en"/>
        </w:rPr>
        <w:t>that,</w:t>
      </w:r>
      <w:r w:rsidR="00FF41A0">
        <w:rPr>
          <w:sz w:val="20"/>
          <w:szCs w:val="20"/>
          <w:lang w:val="en"/>
        </w:rPr>
        <w:t xml:space="preserve"> </w:t>
      </w:r>
      <w:r w:rsidR="00323457" w:rsidRPr="0059638B">
        <w:rPr>
          <w:sz w:val="20"/>
          <w:szCs w:val="20"/>
          <w:lang w:val="en"/>
        </w:rPr>
        <w:t>at</w:t>
      </w:r>
      <w:r w:rsidR="00FF41A0">
        <w:rPr>
          <w:sz w:val="20"/>
          <w:szCs w:val="20"/>
          <w:lang w:val="en"/>
        </w:rPr>
        <w:t xml:space="preserve"> </w:t>
      </w:r>
      <w:r w:rsidR="00323457" w:rsidRPr="0059638B">
        <w:rPr>
          <w:sz w:val="20"/>
          <w:szCs w:val="20"/>
          <w:lang w:val="en"/>
        </w:rPr>
        <w:t>next</w:t>
      </w:r>
      <w:r w:rsidR="00FF41A0">
        <w:rPr>
          <w:sz w:val="20"/>
          <w:szCs w:val="20"/>
          <w:lang w:val="en"/>
        </w:rPr>
        <w:t xml:space="preserve"> </w:t>
      </w:r>
      <w:r w:rsidR="00323457" w:rsidRPr="0059638B">
        <w:rPr>
          <w:sz w:val="20"/>
          <w:szCs w:val="20"/>
          <w:lang w:val="en"/>
        </w:rPr>
        <w:t>universal</w:t>
      </w:r>
      <w:r w:rsidR="00FF41A0">
        <w:rPr>
          <w:sz w:val="20"/>
          <w:szCs w:val="20"/>
          <w:lang w:val="en"/>
        </w:rPr>
        <w:t xml:space="preserve"> </w:t>
      </w:r>
      <w:r w:rsidR="00323457" w:rsidRPr="0059638B">
        <w:rPr>
          <w:sz w:val="20"/>
          <w:szCs w:val="20"/>
          <w:lang w:val="en"/>
        </w:rPr>
        <w:t>periodic</w:t>
      </w:r>
      <w:r w:rsidR="00FF41A0">
        <w:rPr>
          <w:sz w:val="20"/>
          <w:szCs w:val="20"/>
          <w:lang w:val="en"/>
        </w:rPr>
        <w:t xml:space="preserve"> </w:t>
      </w:r>
      <w:r w:rsidR="00323457" w:rsidRPr="0059638B">
        <w:rPr>
          <w:sz w:val="20"/>
          <w:szCs w:val="20"/>
          <w:lang w:val="en"/>
        </w:rPr>
        <w:t>review,</w:t>
      </w:r>
      <w:r w:rsidR="00FF41A0">
        <w:rPr>
          <w:sz w:val="20"/>
          <w:szCs w:val="20"/>
          <w:lang w:val="en"/>
        </w:rPr>
        <w:t xml:space="preserve"> </w:t>
      </w:r>
      <w:r w:rsidR="00323457" w:rsidRPr="0059638B">
        <w:rPr>
          <w:sz w:val="20"/>
          <w:szCs w:val="20"/>
          <w:lang w:val="en"/>
        </w:rPr>
        <w:t>further</w:t>
      </w:r>
      <w:r w:rsidR="00FF41A0">
        <w:rPr>
          <w:sz w:val="20"/>
          <w:szCs w:val="20"/>
          <w:lang w:val="en"/>
        </w:rPr>
        <w:t xml:space="preserve"> </w:t>
      </w:r>
      <w:r w:rsidR="00323457" w:rsidRPr="0059638B">
        <w:rPr>
          <w:sz w:val="20"/>
          <w:szCs w:val="20"/>
          <w:lang w:val="en"/>
        </w:rPr>
        <w:t>progress</w:t>
      </w:r>
      <w:r w:rsidR="00FF41A0">
        <w:rPr>
          <w:sz w:val="20"/>
          <w:szCs w:val="20"/>
          <w:lang w:val="en"/>
        </w:rPr>
        <w:t xml:space="preserve"> </w:t>
      </w:r>
      <w:r w:rsidR="00323457" w:rsidRPr="0059638B">
        <w:rPr>
          <w:sz w:val="20"/>
          <w:szCs w:val="20"/>
          <w:lang w:val="en"/>
        </w:rPr>
        <w:t>will</w:t>
      </w:r>
      <w:r w:rsidR="00FF41A0">
        <w:rPr>
          <w:sz w:val="20"/>
          <w:szCs w:val="20"/>
          <w:lang w:val="en"/>
        </w:rPr>
        <w:t xml:space="preserve"> </w:t>
      </w:r>
      <w:r w:rsidR="00323457" w:rsidRPr="0059638B">
        <w:rPr>
          <w:sz w:val="20"/>
          <w:szCs w:val="20"/>
          <w:lang w:val="en"/>
        </w:rPr>
        <w:t>have</w:t>
      </w:r>
      <w:r w:rsidR="00FF41A0">
        <w:rPr>
          <w:sz w:val="20"/>
          <w:szCs w:val="20"/>
          <w:lang w:val="en"/>
        </w:rPr>
        <w:t xml:space="preserve"> </w:t>
      </w:r>
      <w:r w:rsidR="00323457" w:rsidRPr="0059638B">
        <w:rPr>
          <w:sz w:val="20"/>
          <w:szCs w:val="20"/>
          <w:lang w:val="en"/>
        </w:rPr>
        <w:t>been</w:t>
      </w:r>
      <w:r w:rsidR="00FF41A0">
        <w:rPr>
          <w:sz w:val="20"/>
          <w:szCs w:val="20"/>
          <w:lang w:val="en"/>
        </w:rPr>
        <w:t xml:space="preserve"> </w:t>
      </w:r>
      <w:r w:rsidR="00323457" w:rsidRPr="0059638B">
        <w:rPr>
          <w:sz w:val="20"/>
          <w:szCs w:val="20"/>
          <w:lang w:val="en"/>
        </w:rPr>
        <w:t>achieved</w:t>
      </w:r>
      <w:r w:rsidR="00FF41A0">
        <w:rPr>
          <w:sz w:val="20"/>
          <w:szCs w:val="20"/>
          <w:lang w:val="en"/>
        </w:rPr>
        <w:t xml:space="preserve"> </w:t>
      </w:r>
      <w:r w:rsidR="00323457" w:rsidRPr="0059638B">
        <w:rPr>
          <w:sz w:val="20"/>
          <w:szCs w:val="20"/>
          <w:lang w:val="en"/>
        </w:rPr>
        <w:t>by</w:t>
      </w:r>
      <w:r w:rsidR="00FF41A0">
        <w:rPr>
          <w:sz w:val="20"/>
          <w:szCs w:val="20"/>
          <w:lang w:val="en"/>
        </w:rPr>
        <w:t xml:space="preserve"> </w:t>
      </w:r>
      <w:r w:rsidR="00323457" w:rsidRPr="0059638B">
        <w:rPr>
          <w:sz w:val="20"/>
          <w:szCs w:val="20"/>
          <w:lang w:val="en"/>
        </w:rPr>
        <w:t>Monaco.</w:t>
      </w:r>
    </w:p>
    <w:p w14:paraId="5EB4722D" w14:textId="77777777" w:rsidR="00323457" w:rsidRPr="0059638B" w:rsidRDefault="00323457" w:rsidP="00323457">
      <w:pPr>
        <w:pStyle w:val="SingleTxtG"/>
        <w:rPr>
          <w:b/>
          <w:sz w:val="20"/>
          <w:szCs w:val="20"/>
        </w:rPr>
      </w:pPr>
      <w:r w:rsidRPr="0059638B">
        <w:rPr>
          <w:b/>
          <w:sz w:val="20"/>
          <w:szCs w:val="20"/>
        </w:rPr>
        <w:lastRenderedPageBreak/>
        <w:t>Belize</w:t>
      </w:r>
    </w:p>
    <w:p w14:paraId="30843693" w14:textId="209472FC" w:rsidR="00D1034B" w:rsidRDefault="00972F1E" w:rsidP="00D1034B">
      <w:pPr>
        <w:pStyle w:val="SingleTxtG"/>
        <w:rPr>
          <w:sz w:val="20"/>
          <w:szCs w:val="20"/>
        </w:rPr>
      </w:pPr>
      <w:r>
        <w:rPr>
          <w:sz w:val="20"/>
          <w:szCs w:val="20"/>
        </w:rPr>
        <w:t>751</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held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12</w:t>
      </w:r>
      <w:r w:rsidR="00FF41A0">
        <w:rPr>
          <w:sz w:val="20"/>
          <w:szCs w:val="20"/>
        </w:rPr>
        <w:t xml:space="preserve"> </w:t>
      </w:r>
      <w:r w:rsidR="00323457" w:rsidRPr="0059638B">
        <w:rPr>
          <w:sz w:val="20"/>
          <w:szCs w:val="20"/>
        </w:rPr>
        <w:t>November</w:t>
      </w:r>
      <w:r w:rsidR="00FF41A0">
        <w:rPr>
          <w:sz w:val="20"/>
          <w:szCs w:val="20"/>
        </w:rPr>
        <w:t xml:space="preserve"> </w:t>
      </w:r>
      <w:r w:rsidR="00323457" w:rsidRPr="0059638B">
        <w:rPr>
          <w:sz w:val="20"/>
          <w:szCs w:val="20"/>
        </w:rPr>
        <w:t>2018</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conformity</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relevant</w:t>
      </w:r>
      <w:r w:rsidR="00FF41A0">
        <w:rPr>
          <w:sz w:val="20"/>
          <w:szCs w:val="20"/>
        </w:rPr>
        <w:t xml:space="preserve"> </w:t>
      </w:r>
      <w:r w:rsidR="00323457" w:rsidRPr="0059638B">
        <w:rPr>
          <w:sz w:val="20"/>
          <w:szCs w:val="20"/>
        </w:rPr>
        <w:t>provisions</w:t>
      </w:r>
      <w:r w:rsidR="00FF41A0">
        <w:rPr>
          <w:sz w:val="20"/>
          <w:szCs w:val="20"/>
        </w:rPr>
        <w:t xml:space="preserve"> </w:t>
      </w:r>
      <w:r w:rsidR="00323457" w:rsidRPr="0059638B">
        <w:rPr>
          <w:sz w:val="20"/>
          <w:szCs w:val="20"/>
        </w:rPr>
        <w:t>contained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relevant</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Council</w:t>
      </w:r>
      <w:r w:rsidR="00FF41A0">
        <w:rPr>
          <w:sz w:val="20"/>
          <w:szCs w:val="20"/>
        </w:rPr>
        <w:t xml:space="preserve"> </w:t>
      </w:r>
      <w:r w:rsidR="00323457" w:rsidRPr="0059638B">
        <w:rPr>
          <w:sz w:val="20"/>
          <w:szCs w:val="20"/>
        </w:rPr>
        <w:t>resolutions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decisions,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based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following</w:t>
      </w:r>
      <w:r w:rsidR="00FF41A0">
        <w:rPr>
          <w:sz w:val="20"/>
          <w:szCs w:val="20"/>
        </w:rPr>
        <w:t xml:space="preserve"> </w:t>
      </w:r>
      <w:r w:rsidR="00323457" w:rsidRPr="0059638B">
        <w:rPr>
          <w:sz w:val="20"/>
          <w:szCs w:val="20"/>
        </w:rPr>
        <w:t>documents:</w:t>
      </w:r>
      <w:r w:rsidR="00FF41A0">
        <w:rPr>
          <w:sz w:val="20"/>
          <w:szCs w:val="20"/>
        </w:rPr>
        <w:t xml:space="preserve"> </w:t>
      </w:r>
    </w:p>
    <w:p w14:paraId="7DD2E380" w14:textId="575D4746" w:rsidR="00323457" w:rsidRPr="0059638B" w:rsidRDefault="00323457" w:rsidP="00D1034B">
      <w:pPr>
        <w:pStyle w:val="SingleTxtG"/>
        <w:ind w:firstLine="555"/>
        <w:rPr>
          <w:sz w:val="20"/>
          <w:szCs w:val="20"/>
        </w:rPr>
      </w:pPr>
      <w:r w:rsidRPr="0059638B">
        <w:rPr>
          <w:sz w:val="20"/>
          <w:szCs w:val="20"/>
        </w:rPr>
        <w:t>(a)</w:t>
      </w:r>
      <w:r w:rsidRPr="0059638B">
        <w:rPr>
          <w:sz w:val="20"/>
          <w:szCs w:val="20"/>
        </w:rPr>
        <w:tab/>
        <w:t>The</w:t>
      </w:r>
      <w:r w:rsidR="00FF41A0">
        <w:rPr>
          <w:sz w:val="20"/>
          <w:szCs w:val="20"/>
        </w:rPr>
        <w:t xml:space="preserve"> </w:t>
      </w:r>
      <w:r w:rsidRPr="0059638B">
        <w:rPr>
          <w:sz w:val="20"/>
          <w:szCs w:val="20"/>
        </w:rPr>
        <w:t>national</w:t>
      </w:r>
      <w:r w:rsidR="00FF41A0">
        <w:rPr>
          <w:sz w:val="20"/>
          <w:szCs w:val="20"/>
        </w:rPr>
        <w:t xml:space="preserve"> </w:t>
      </w:r>
      <w:r w:rsidRPr="0059638B">
        <w:rPr>
          <w:sz w:val="20"/>
          <w:szCs w:val="20"/>
        </w:rPr>
        <w:t>report</w:t>
      </w:r>
      <w:r w:rsidR="00FF41A0">
        <w:rPr>
          <w:sz w:val="20"/>
          <w:szCs w:val="20"/>
        </w:rPr>
        <w:t xml:space="preserve"> </w:t>
      </w:r>
      <w:r w:rsidRPr="0059638B">
        <w:rPr>
          <w:sz w:val="20"/>
          <w:szCs w:val="20"/>
        </w:rPr>
        <w:t>submitted</w:t>
      </w:r>
      <w:r w:rsidR="00FF41A0">
        <w:rPr>
          <w:sz w:val="20"/>
          <w:szCs w:val="20"/>
        </w:rPr>
        <w:t xml:space="preserve"> </w:t>
      </w:r>
      <w:r w:rsidRPr="0059638B">
        <w:rPr>
          <w:sz w:val="20"/>
          <w:szCs w:val="20"/>
        </w:rPr>
        <w:t>by</w:t>
      </w:r>
      <w:r w:rsidR="00FF41A0">
        <w:rPr>
          <w:sz w:val="20"/>
          <w:szCs w:val="20"/>
        </w:rPr>
        <w:t xml:space="preserve"> </w:t>
      </w:r>
      <w:r w:rsidRPr="0059638B">
        <w:rPr>
          <w:sz w:val="20"/>
          <w:szCs w:val="20"/>
        </w:rPr>
        <w:t>Belize</w:t>
      </w:r>
      <w:r w:rsidR="00FF41A0">
        <w:rPr>
          <w:sz w:val="20"/>
          <w:szCs w:val="20"/>
        </w:rPr>
        <w:t xml:space="preserve"> </w:t>
      </w:r>
      <w:r w:rsidRPr="0059638B">
        <w:rPr>
          <w:sz w:val="20"/>
          <w:szCs w:val="20"/>
        </w:rPr>
        <w:t>in</w:t>
      </w:r>
      <w:r w:rsidR="00FF41A0">
        <w:rPr>
          <w:sz w:val="20"/>
          <w:szCs w:val="20"/>
        </w:rPr>
        <w:t xml:space="preserve"> </w:t>
      </w:r>
      <w:r w:rsidRPr="0059638B">
        <w:rPr>
          <w:sz w:val="20"/>
          <w:szCs w:val="20"/>
        </w:rPr>
        <w:t>accordance</w:t>
      </w:r>
      <w:r w:rsidR="00FF41A0">
        <w:rPr>
          <w:sz w:val="20"/>
          <w:szCs w:val="20"/>
        </w:rPr>
        <w:t xml:space="preserve"> </w:t>
      </w:r>
      <w:r w:rsidRPr="0059638B">
        <w:rPr>
          <w:sz w:val="20"/>
          <w:szCs w:val="20"/>
        </w:rPr>
        <w:t>with</w:t>
      </w:r>
      <w:r w:rsidR="00FF41A0">
        <w:rPr>
          <w:sz w:val="20"/>
          <w:szCs w:val="20"/>
        </w:rPr>
        <w:t xml:space="preserve"> </w:t>
      </w:r>
      <w:r w:rsidRPr="0059638B">
        <w:rPr>
          <w:sz w:val="20"/>
          <w:szCs w:val="20"/>
        </w:rPr>
        <w:t>paragraph</w:t>
      </w:r>
      <w:r w:rsidR="00FF41A0">
        <w:rPr>
          <w:sz w:val="20"/>
          <w:szCs w:val="20"/>
        </w:rPr>
        <w:t xml:space="preserve"> </w:t>
      </w:r>
      <w:r w:rsidRPr="0059638B">
        <w:rPr>
          <w:sz w:val="20"/>
          <w:szCs w:val="20"/>
        </w:rPr>
        <w:t>15</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annex</w:t>
      </w:r>
      <w:r w:rsidR="00FF41A0">
        <w:rPr>
          <w:sz w:val="20"/>
          <w:szCs w:val="20"/>
        </w:rPr>
        <w:t xml:space="preserve"> </w:t>
      </w:r>
      <w:r w:rsidRPr="0059638B">
        <w:rPr>
          <w:sz w:val="20"/>
          <w:szCs w:val="20"/>
        </w:rPr>
        <w:t>to</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resolution</w:t>
      </w:r>
      <w:r w:rsidR="00FF41A0">
        <w:rPr>
          <w:sz w:val="20"/>
          <w:szCs w:val="20"/>
        </w:rPr>
        <w:t xml:space="preserve"> </w:t>
      </w:r>
      <w:r w:rsidRPr="0059638B">
        <w:rPr>
          <w:sz w:val="20"/>
          <w:szCs w:val="20"/>
        </w:rPr>
        <w:t>5/1</w:t>
      </w:r>
      <w:r w:rsidR="00FF41A0">
        <w:rPr>
          <w:sz w:val="20"/>
          <w:szCs w:val="20"/>
        </w:rPr>
        <w:t xml:space="preserve"> </w:t>
      </w:r>
      <w:r w:rsidRPr="0059638B">
        <w:rPr>
          <w:sz w:val="20"/>
          <w:szCs w:val="20"/>
        </w:rPr>
        <w:t>and</w:t>
      </w:r>
      <w:r w:rsidR="00FF41A0">
        <w:rPr>
          <w:sz w:val="20"/>
          <w:szCs w:val="20"/>
        </w:rPr>
        <w:t xml:space="preserve"> </w:t>
      </w:r>
      <w:r w:rsidRPr="0059638B">
        <w:rPr>
          <w:sz w:val="20"/>
          <w:szCs w:val="20"/>
        </w:rPr>
        <w:t>paragraph</w:t>
      </w:r>
      <w:r w:rsidR="00FF41A0">
        <w:rPr>
          <w:sz w:val="20"/>
          <w:szCs w:val="20"/>
        </w:rPr>
        <w:t xml:space="preserve"> </w:t>
      </w:r>
      <w:r w:rsidRPr="0059638B">
        <w:rPr>
          <w:sz w:val="20"/>
          <w:szCs w:val="20"/>
        </w:rPr>
        <w:t>5</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annex</w:t>
      </w:r>
      <w:r w:rsidR="00FF41A0">
        <w:rPr>
          <w:sz w:val="20"/>
          <w:szCs w:val="20"/>
        </w:rPr>
        <w:t xml:space="preserve"> </w:t>
      </w:r>
      <w:r w:rsidRPr="0059638B">
        <w:rPr>
          <w:sz w:val="20"/>
          <w:szCs w:val="20"/>
        </w:rPr>
        <w:t>to</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resolution</w:t>
      </w:r>
      <w:r w:rsidR="00FF41A0">
        <w:rPr>
          <w:sz w:val="20"/>
          <w:szCs w:val="20"/>
        </w:rPr>
        <w:t xml:space="preserve"> </w:t>
      </w:r>
      <w:r w:rsidRPr="0059638B">
        <w:rPr>
          <w:sz w:val="20"/>
          <w:szCs w:val="20"/>
        </w:rPr>
        <w:t>16/21</w:t>
      </w:r>
      <w:r w:rsidR="00FF41A0">
        <w:rPr>
          <w:sz w:val="20"/>
          <w:szCs w:val="20"/>
        </w:rPr>
        <w:t xml:space="preserve"> </w:t>
      </w:r>
      <w:r w:rsidRPr="0059638B">
        <w:rPr>
          <w:sz w:val="20"/>
          <w:szCs w:val="20"/>
        </w:rPr>
        <w:t>(A/HRC/WG.6/31/BLZ/1);</w:t>
      </w:r>
      <w:r w:rsidR="00FF41A0">
        <w:rPr>
          <w:sz w:val="20"/>
          <w:szCs w:val="20"/>
        </w:rPr>
        <w:t xml:space="preserve"> </w:t>
      </w:r>
    </w:p>
    <w:p w14:paraId="1E6E9AEA" w14:textId="107FEEC6" w:rsidR="00323457" w:rsidRPr="0059638B" w:rsidRDefault="00323457" w:rsidP="00D1034B">
      <w:pPr>
        <w:pStyle w:val="SingleTxtG"/>
        <w:ind w:firstLine="555"/>
        <w:rPr>
          <w:sz w:val="20"/>
          <w:szCs w:val="20"/>
        </w:rPr>
      </w:pPr>
      <w:r w:rsidRPr="0059638B">
        <w:rPr>
          <w:sz w:val="20"/>
          <w:szCs w:val="20"/>
        </w:rPr>
        <w:t>(b)</w:t>
      </w:r>
      <w:r w:rsidRPr="0059638B">
        <w:rPr>
          <w:sz w:val="20"/>
          <w:szCs w:val="20"/>
        </w:rPr>
        <w:tab/>
        <w:t>The</w:t>
      </w:r>
      <w:r w:rsidR="00FF41A0">
        <w:rPr>
          <w:sz w:val="20"/>
          <w:szCs w:val="20"/>
        </w:rPr>
        <w:t xml:space="preserve"> </w:t>
      </w:r>
      <w:r w:rsidRPr="0059638B">
        <w:rPr>
          <w:sz w:val="20"/>
          <w:szCs w:val="20"/>
        </w:rPr>
        <w:t>compilation</w:t>
      </w:r>
      <w:r w:rsidR="00FF41A0">
        <w:rPr>
          <w:sz w:val="20"/>
          <w:szCs w:val="20"/>
        </w:rPr>
        <w:t xml:space="preserve"> </w:t>
      </w:r>
      <w:r w:rsidRPr="0059638B">
        <w:rPr>
          <w:sz w:val="20"/>
          <w:szCs w:val="20"/>
        </w:rPr>
        <w:t>prepared</w:t>
      </w:r>
      <w:r w:rsidR="00FF41A0">
        <w:rPr>
          <w:sz w:val="20"/>
          <w:szCs w:val="20"/>
        </w:rPr>
        <w:t xml:space="preserve"> </w:t>
      </w:r>
      <w:r w:rsidRPr="0059638B">
        <w:rPr>
          <w:sz w:val="20"/>
          <w:szCs w:val="20"/>
        </w:rPr>
        <w:t>by</w:t>
      </w:r>
      <w:r w:rsidR="00FF41A0">
        <w:rPr>
          <w:sz w:val="20"/>
          <w:szCs w:val="20"/>
        </w:rPr>
        <w:t xml:space="preserve"> </w:t>
      </w:r>
      <w:r>
        <w:rPr>
          <w:sz w:val="20"/>
          <w:szCs w:val="20"/>
        </w:rPr>
        <w:t>the</w:t>
      </w:r>
      <w:r w:rsidR="00FF41A0">
        <w:rPr>
          <w:sz w:val="20"/>
          <w:szCs w:val="20"/>
        </w:rPr>
        <w:t xml:space="preserve"> </w:t>
      </w:r>
      <w:r w:rsidRPr="00D1034B">
        <w:rPr>
          <w:sz w:val="20"/>
          <w:szCs w:val="20"/>
        </w:rPr>
        <w:t>Office</w:t>
      </w:r>
      <w:r w:rsidR="00FF41A0" w:rsidRPr="00D1034B">
        <w:rPr>
          <w:sz w:val="20"/>
          <w:szCs w:val="20"/>
        </w:rPr>
        <w:t xml:space="preserve"> </w:t>
      </w:r>
      <w:r w:rsidRPr="00D1034B">
        <w:rPr>
          <w:sz w:val="20"/>
          <w:szCs w:val="20"/>
        </w:rPr>
        <w:t>of</w:t>
      </w:r>
      <w:r w:rsidR="00FF41A0" w:rsidRPr="00D1034B">
        <w:rPr>
          <w:sz w:val="20"/>
          <w:szCs w:val="20"/>
        </w:rPr>
        <w:t xml:space="preserve"> </w:t>
      </w:r>
      <w:r w:rsidRPr="00D1034B">
        <w:rPr>
          <w:sz w:val="20"/>
          <w:szCs w:val="20"/>
        </w:rPr>
        <w:t>the</w:t>
      </w:r>
      <w:r w:rsidR="00FF41A0" w:rsidRPr="00D1034B">
        <w:rPr>
          <w:sz w:val="20"/>
          <w:szCs w:val="20"/>
        </w:rPr>
        <w:t xml:space="preserve"> </w:t>
      </w:r>
      <w:r w:rsidRPr="00D1034B">
        <w:rPr>
          <w:sz w:val="20"/>
          <w:szCs w:val="20"/>
        </w:rPr>
        <w:t>United</w:t>
      </w:r>
      <w:r w:rsidR="00FF41A0" w:rsidRPr="00D1034B">
        <w:rPr>
          <w:sz w:val="20"/>
          <w:szCs w:val="20"/>
        </w:rPr>
        <w:t xml:space="preserve"> </w:t>
      </w:r>
      <w:r w:rsidRPr="00D1034B">
        <w:rPr>
          <w:sz w:val="20"/>
          <w:szCs w:val="20"/>
        </w:rPr>
        <w:t>Nations</w:t>
      </w:r>
      <w:r w:rsidR="00FF41A0" w:rsidRPr="00D1034B">
        <w:rPr>
          <w:sz w:val="20"/>
          <w:szCs w:val="20"/>
        </w:rPr>
        <w:t xml:space="preserve"> </w:t>
      </w:r>
      <w:r w:rsidRPr="00D1034B">
        <w:rPr>
          <w:sz w:val="20"/>
          <w:szCs w:val="20"/>
        </w:rPr>
        <w:t>High</w:t>
      </w:r>
      <w:r w:rsidR="00FF41A0" w:rsidRPr="00D1034B">
        <w:rPr>
          <w:sz w:val="20"/>
          <w:szCs w:val="20"/>
        </w:rPr>
        <w:t xml:space="preserve"> </w:t>
      </w:r>
      <w:r w:rsidRPr="00D1034B">
        <w:rPr>
          <w:sz w:val="20"/>
          <w:szCs w:val="20"/>
        </w:rPr>
        <w:t>Commissioner</w:t>
      </w:r>
      <w:r w:rsidR="00FF41A0" w:rsidRPr="00D1034B">
        <w:rPr>
          <w:sz w:val="20"/>
          <w:szCs w:val="20"/>
        </w:rPr>
        <w:t xml:space="preserve"> </w:t>
      </w:r>
      <w:r w:rsidRPr="00D1034B">
        <w:rPr>
          <w:sz w:val="20"/>
          <w:szCs w:val="20"/>
        </w:rPr>
        <w:t>for</w:t>
      </w:r>
      <w:r w:rsidR="00FF41A0" w:rsidRPr="00D1034B">
        <w:rPr>
          <w:sz w:val="20"/>
          <w:szCs w:val="20"/>
        </w:rPr>
        <w:t xml:space="preserve"> </w:t>
      </w:r>
      <w:r w:rsidRPr="00D1034B">
        <w:rPr>
          <w:sz w:val="20"/>
          <w:szCs w:val="20"/>
        </w:rPr>
        <w:t>Human</w:t>
      </w:r>
      <w:r w:rsidR="00FF41A0" w:rsidRPr="00D1034B">
        <w:rPr>
          <w:sz w:val="20"/>
          <w:szCs w:val="20"/>
        </w:rPr>
        <w:t xml:space="preserve"> </w:t>
      </w:r>
      <w:r w:rsidRPr="00D1034B">
        <w:rPr>
          <w:sz w:val="20"/>
          <w:szCs w:val="20"/>
        </w:rPr>
        <w:t>Rights</w:t>
      </w:r>
      <w:r w:rsidR="00FF41A0">
        <w:rPr>
          <w:sz w:val="20"/>
          <w:szCs w:val="20"/>
        </w:rPr>
        <w:t xml:space="preserve"> </w:t>
      </w:r>
      <w:r w:rsidRPr="0059638B">
        <w:rPr>
          <w:sz w:val="20"/>
          <w:szCs w:val="20"/>
        </w:rPr>
        <w:t>in</w:t>
      </w:r>
      <w:r w:rsidR="00FF41A0">
        <w:rPr>
          <w:sz w:val="20"/>
          <w:szCs w:val="20"/>
        </w:rPr>
        <w:t xml:space="preserve"> </w:t>
      </w:r>
      <w:r w:rsidRPr="0059638B">
        <w:rPr>
          <w:sz w:val="20"/>
          <w:szCs w:val="20"/>
        </w:rPr>
        <w:t>accordance</w:t>
      </w:r>
      <w:r w:rsidR="00FF41A0">
        <w:rPr>
          <w:sz w:val="20"/>
          <w:szCs w:val="20"/>
        </w:rPr>
        <w:t xml:space="preserve"> </w:t>
      </w:r>
      <w:r w:rsidRPr="0059638B">
        <w:rPr>
          <w:sz w:val="20"/>
          <w:szCs w:val="20"/>
        </w:rPr>
        <w:t>with</w:t>
      </w:r>
      <w:r w:rsidR="00FF41A0">
        <w:rPr>
          <w:sz w:val="20"/>
          <w:szCs w:val="20"/>
        </w:rPr>
        <w:t xml:space="preserve"> </w:t>
      </w:r>
      <w:r w:rsidRPr="0059638B">
        <w:rPr>
          <w:sz w:val="20"/>
          <w:szCs w:val="20"/>
        </w:rPr>
        <w:t>paragraph</w:t>
      </w:r>
      <w:r w:rsidR="00FF41A0">
        <w:rPr>
          <w:sz w:val="20"/>
          <w:szCs w:val="20"/>
        </w:rPr>
        <w:t xml:space="preserve"> </w:t>
      </w:r>
      <w:r w:rsidRPr="0059638B">
        <w:rPr>
          <w:sz w:val="20"/>
          <w:szCs w:val="20"/>
        </w:rPr>
        <w:t>15</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annex</w:t>
      </w:r>
      <w:r w:rsidR="00FF41A0">
        <w:rPr>
          <w:sz w:val="20"/>
          <w:szCs w:val="20"/>
        </w:rPr>
        <w:t xml:space="preserve"> </w:t>
      </w:r>
      <w:r w:rsidRPr="0059638B">
        <w:rPr>
          <w:sz w:val="20"/>
          <w:szCs w:val="20"/>
        </w:rPr>
        <w:t>to</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resolution</w:t>
      </w:r>
      <w:r w:rsidR="00FF41A0">
        <w:rPr>
          <w:sz w:val="20"/>
          <w:szCs w:val="20"/>
        </w:rPr>
        <w:t xml:space="preserve"> </w:t>
      </w:r>
      <w:r w:rsidRPr="0059638B">
        <w:rPr>
          <w:sz w:val="20"/>
          <w:szCs w:val="20"/>
        </w:rPr>
        <w:t>5/1</w:t>
      </w:r>
      <w:r w:rsidR="00FF41A0">
        <w:rPr>
          <w:sz w:val="20"/>
          <w:szCs w:val="20"/>
        </w:rPr>
        <w:t xml:space="preserve"> </w:t>
      </w:r>
      <w:r w:rsidRPr="0059638B">
        <w:rPr>
          <w:sz w:val="20"/>
          <w:szCs w:val="20"/>
        </w:rPr>
        <w:t>and</w:t>
      </w:r>
      <w:r w:rsidR="00FF41A0">
        <w:rPr>
          <w:sz w:val="20"/>
          <w:szCs w:val="20"/>
        </w:rPr>
        <w:t xml:space="preserve"> </w:t>
      </w:r>
      <w:r w:rsidRPr="0059638B">
        <w:rPr>
          <w:sz w:val="20"/>
          <w:szCs w:val="20"/>
        </w:rPr>
        <w:t>paragraph</w:t>
      </w:r>
      <w:r w:rsidR="00FF41A0">
        <w:rPr>
          <w:sz w:val="20"/>
          <w:szCs w:val="20"/>
        </w:rPr>
        <w:t xml:space="preserve"> </w:t>
      </w:r>
      <w:r w:rsidRPr="0059638B">
        <w:rPr>
          <w:sz w:val="20"/>
          <w:szCs w:val="20"/>
        </w:rPr>
        <w:t>5</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annex</w:t>
      </w:r>
      <w:r w:rsidR="00FF41A0">
        <w:rPr>
          <w:sz w:val="20"/>
          <w:szCs w:val="20"/>
        </w:rPr>
        <w:t xml:space="preserve"> </w:t>
      </w:r>
      <w:r w:rsidRPr="0059638B">
        <w:rPr>
          <w:sz w:val="20"/>
          <w:szCs w:val="20"/>
        </w:rPr>
        <w:t>to</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resolution</w:t>
      </w:r>
      <w:r w:rsidR="00FF41A0">
        <w:rPr>
          <w:sz w:val="20"/>
          <w:szCs w:val="20"/>
        </w:rPr>
        <w:t xml:space="preserve"> </w:t>
      </w:r>
      <w:r w:rsidRPr="0059638B">
        <w:rPr>
          <w:sz w:val="20"/>
          <w:szCs w:val="20"/>
        </w:rPr>
        <w:t>16/21</w:t>
      </w:r>
      <w:r w:rsidR="00FF41A0">
        <w:rPr>
          <w:sz w:val="20"/>
          <w:szCs w:val="20"/>
        </w:rPr>
        <w:t xml:space="preserve"> </w:t>
      </w:r>
      <w:r w:rsidRPr="0059638B">
        <w:rPr>
          <w:sz w:val="20"/>
          <w:szCs w:val="20"/>
        </w:rPr>
        <w:t>(A/HRC/WG.6/31/BLZ/2);</w:t>
      </w:r>
      <w:r w:rsidR="00FF41A0">
        <w:rPr>
          <w:sz w:val="20"/>
          <w:szCs w:val="20"/>
        </w:rPr>
        <w:t xml:space="preserve"> </w:t>
      </w:r>
    </w:p>
    <w:p w14:paraId="1439CEC3" w14:textId="5C039256" w:rsidR="00323457" w:rsidRPr="0059638B" w:rsidRDefault="00323457" w:rsidP="00D1034B">
      <w:pPr>
        <w:pStyle w:val="SingleTxtG"/>
        <w:ind w:firstLine="555"/>
        <w:rPr>
          <w:sz w:val="20"/>
          <w:szCs w:val="20"/>
        </w:rPr>
      </w:pPr>
      <w:r w:rsidRPr="0059638B">
        <w:rPr>
          <w:sz w:val="20"/>
          <w:szCs w:val="20"/>
        </w:rPr>
        <w:t>(c)</w:t>
      </w:r>
      <w:r w:rsidRPr="0059638B">
        <w:rPr>
          <w:sz w:val="20"/>
          <w:szCs w:val="20"/>
        </w:rPr>
        <w:tab/>
        <w:t>The</w:t>
      </w:r>
      <w:r w:rsidR="00FF41A0">
        <w:rPr>
          <w:sz w:val="20"/>
          <w:szCs w:val="20"/>
        </w:rPr>
        <w:t xml:space="preserve"> </w:t>
      </w:r>
      <w:r w:rsidRPr="0059638B">
        <w:rPr>
          <w:sz w:val="20"/>
          <w:szCs w:val="20"/>
        </w:rPr>
        <w:t>summary</w:t>
      </w:r>
      <w:r w:rsidR="00FF41A0">
        <w:rPr>
          <w:sz w:val="20"/>
          <w:szCs w:val="20"/>
        </w:rPr>
        <w:t xml:space="preserve"> </w:t>
      </w:r>
      <w:r w:rsidRPr="0059638B">
        <w:rPr>
          <w:sz w:val="20"/>
          <w:szCs w:val="20"/>
        </w:rPr>
        <w:t>prepared</w:t>
      </w:r>
      <w:r w:rsidR="00FF41A0">
        <w:rPr>
          <w:sz w:val="20"/>
          <w:szCs w:val="20"/>
        </w:rPr>
        <w:t xml:space="preserve"> </w:t>
      </w:r>
      <w:r w:rsidRPr="0059638B">
        <w:rPr>
          <w:sz w:val="20"/>
          <w:szCs w:val="20"/>
        </w:rPr>
        <w:t>by</w:t>
      </w:r>
      <w:r w:rsidR="00FF41A0">
        <w:rPr>
          <w:sz w:val="20"/>
          <w:szCs w:val="20"/>
        </w:rPr>
        <w:t xml:space="preserve"> </w:t>
      </w:r>
      <w:r>
        <w:rPr>
          <w:sz w:val="20"/>
          <w:szCs w:val="20"/>
        </w:rPr>
        <w:t>the</w:t>
      </w:r>
      <w:r w:rsidR="00FF41A0">
        <w:rPr>
          <w:sz w:val="20"/>
          <w:szCs w:val="20"/>
        </w:rPr>
        <w:t xml:space="preserve"> </w:t>
      </w:r>
      <w:r w:rsidRPr="00D1034B">
        <w:rPr>
          <w:sz w:val="20"/>
          <w:szCs w:val="20"/>
        </w:rPr>
        <w:t>Office</w:t>
      </w:r>
      <w:r w:rsidR="00FF41A0" w:rsidRPr="00D1034B">
        <w:rPr>
          <w:sz w:val="20"/>
          <w:szCs w:val="20"/>
        </w:rPr>
        <w:t xml:space="preserve"> </w:t>
      </w:r>
      <w:r w:rsidRPr="00D1034B">
        <w:rPr>
          <w:sz w:val="20"/>
          <w:szCs w:val="20"/>
        </w:rPr>
        <w:t>of</w:t>
      </w:r>
      <w:r w:rsidR="00FF41A0" w:rsidRPr="00D1034B">
        <w:rPr>
          <w:sz w:val="20"/>
          <w:szCs w:val="20"/>
        </w:rPr>
        <w:t xml:space="preserve"> </w:t>
      </w:r>
      <w:r w:rsidRPr="00D1034B">
        <w:rPr>
          <w:sz w:val="20"/>
          <w:szCs w:val="20"/>
        </w:rPr>
        <w:t>the</w:t>
      </w:r>
      <w:r w:rsidR="00FF41A0" w:rsidRPr="00D1034B">
        <w:rPr>
          <w:sz w:val="20"/>
          <w:szCs w:val="20"/>
        </w:rPr>
        <w:t xml:space="preserve"> </w:t>
      </w:r>
      <w:r w:rsidRPr="00D1034B">
        <w:rPr>
          <w:sz w:val="20"/>
          <w:szCs w:val="20"/>
        </w:rPr>
        <w:t>United</w:t>
      </w:r>
      <w:r w:rsidR="00FF41A0" w:rsidRPr="00D1034B">
        <w:rPr>
          <w:sz w:val="20"/>
          <w:szCs w:val="20"/>
        </w:rPr>
        <w:t xml:space="preserve"> </w:t>
      </w:r>
      <w:r w:rsidRPr="00D1034B">
        <w:rPr>
          <w:sz w:val="20"/>
          <w:szCs w:val="20"/>
        </w:rPr>
        <w:t>Nations</w:t>
      </w:r>
      <w:r w:rsidR="00FF41A0" w:rsidRPr="00D1034B">
        <w:rPr>
          <w:sz w:val="20"/>
          <w:szCs w:val="20"/>
        </w:rPr>
        <w:t xml:space="preserve"> </w:t>
      </w:r>
      <w:r w:rsidRPr="00D1034B">
        <w:rPr>
          <w:sz w:val="20"/>
          <w:szCs w:val="20"/>
        </w:rPr>
        <w:t>High</w:t>
      </w:r>
      <w:r w:rsidR="00FF41A0" w:rsidRPr="00D1034B">
        <w:rPr>
          <w:sz w:val="20"/>
          <w:szCs w:val="20"/>
        </w:rPr>
        <w:t xml:space="preserve"> </w:t>
      </w:r>
      <w:r w:rsidRPr="00D1034B">
        <w:rPr>
          <w:sz w:val="20"/>
          <w:szCs w:val="20"/>
        </w:rPr>
        <w:t>Commissioner</w:t>
      </w:r>
      <w:r w:rsidR="00FF41A0" w:rsidRPr="00D1034B">
        <w:rPr>
          <w:sz w:val="20"/>
          <w:szCs w:val="20"/>
        </w:rPr>
        <w:t xml:space="preserve"> </w:t>
      </w:r>
      <w:r w:rsidRPr="00D1034B">
        <w:rPr>
          <w:sz w:val="20"/>
          <w:szCs w:val="20"/>
        </w:rPr>
        <w:t>for</w:t>
      </w:r>
      <w:r w:rsidR="00FF41A0" w:rsidRPr="00D1034B">
        <w:rPr>
          <w:sz w:val="20"/>
          <w:szCs w:val="20"/>
        </w:rPr>
        <w:t xml:space="preserve"> </w:t>
      </w:r>
      <w:r w:rsidRPr="00D1034B">
        <w:rPr>
          <w:sz w:val="20"/>
          <w:szCs w:val="20"/>
        </w:rPr>
        <w:t>Human</w:t>
      </w:r>
      <w:r w:rsidR="00FF41A0" w:rsidRPr="00D1034B">
        <w:rPr>
          <w:sz w:val="20"/>
          <w:szCs w:val="20"/>
        </w:rPr>
        <w:t xml:space="preserve"> </w:t>
      </w:r>
      <w:r w:rsidRPr="00D1034B">
        <w:rPr>
          <w:sz w:val="20"/>
          <w:szCs w:val="20"/>
        </w:rPr>
        <w:t>Rights</w:t>
      </w:r>
      <w:r w:rsidR="00FF41A0">
        <w:rPr>
          <w:sz w:val="20"/>
          <w:szCs w:val="20"/>
        </w:rPr>
        <w:t xml:space="preserve"> </w:t>
      </w:r>
      <w:r w:rsidRPr="0059638B">
        <w:rPr>
          <w:sz w:val="20"/>
          <w:szCs w:val="20"/>
        </w:rPr>
        <w:t>in</w:t>
      </w:r>
      <w:r w:rsidR="00FF41A0">
        <w:rPr>
          <w:sz w:val="20"/>
          <w:szCs w:val="20"/>
        </w:rPr>
        <w:t xml:space="preserve"> </w:t>
      </w:r>
      <w:r w:rsidRPr="0059638B">
        <w:rPr>
          <w:sz w:val="20"/>
          <w:szCs w:val="20"/>
        </w:rPr>
        <w:t>accordance</w:t>
      </w:r>
      <w:r w:rsidR="00FF41A0">
        <w:rPr>
          <w:sz w:val="20"/>
          <w:szCs w:val="20"/>
        </w:rPr>
        <w:t xml:space="preserve"> </w:t>
      </w:r>
      <w:r w:rsidRPr="0059638B">
        <w:rPr>
          <w:sz w:val="20"/>
          <w:szCs w:val="20"/>
        </w:rPr>
        <w:t>with</w:t>
      </w:r>
      <w:r w:rsidR="00FF41A0">
        <w:rPr>
          <w:sz w:val="20"/>
          <w:szCs w:val="20"/>
        </w:rPr>
        <w:t xml:space="preserve"> </w:t>
      </w:r>
      <w:r w:rsidRPr="0059638B">
        <w:rPr>
          <w:sz w:val="20"/>
          <w:szCs w:val="20"/>
        </w:rPr>
        <w:t>paragraph</w:t>
      </w:r>
      <w:r w:rsidR="00FF41A0">
        <w:rPr>
          <w:sz w:val="20"/>
          <w:szCs w:val="20"/>
        </w:rPr>
        <w:t xml:space="preserve"> </w:t>
      </w:r>
      <w:r w:rsidRPr="0059638B">
        <w:rPr>
          <w:sz w:val="20"/>
          <w:szCs w:val="20"/>
        </w:rPr>
        <w:t>15</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annex</w:t>
      </w:r>
      <w:r w:rsidR="00FF41A0">
        <w:rPr>
          <w:sz w:val="20"/>
          <w:szCs w:val="20"/>
        </w:rPr>
        <w:t xml:space="preserve"> </w:t>
      </w:r>
      <w:r w:rsidRPr="0059638B">
        <w:rPr>
          <w:sz w:val="20"/>
          <w:szCs w:val="20"/>
        </w:rPr>
        <w:t>to</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resolution</w:t>
      </w:r>
      <w:r w:rsidR="00FF41A0">
        <w:rPr>
          <w:sz w:val="20"/>
          <w:szCs w:val="20"/>
        </w:rPr>
        <w:t xml:space="preserve"> </w:t>
      </w:r>
      <w:r w:rsidRPr="0059638B">
        <w:rPr>
          <w:sz w:val="20"/>
          <w:szCs w:val="20"/>
        </w:rPr>
        <w:t>5/1</w:t>
      </w:r>
      <w:r w:rsidR="00FF41A0">
        <w:rPr>
          <w:sz w:val="20"/>
          <w:szCs w:val="20"/>
        </w:rPr>
        <w:t xml:space="preserve"> </w:t>
      </w:r>
      <w:r w:rsidRPr="0059638B">
        <w:rPr>
          <w:sz w:val="20"/>
          <w:szCs w:val="20"/>
        </w:rPr>
        <w:t>and</w:t>
      </w:r>
      <w:r w:rsidR="00FF41A0">
        <w:rPr>
          <w:sz w:val="20"/>
          <w:szCs w:val="20"/>
        </w:rPr>
        <w:t xml:space="preserve"> </w:t>
      </w:r>
      <w:r w:rsidRPr="0059638B">
        <w:rPr>
          <w:sz w:val="20"/>
          <w:szCs w:val="20"/>
        </w:rPr>
        <w:t>paragraph</w:t>
      </w:r>
      <w:r w:rsidR="00FF41A0">
        <w:rPr>
          <w:sz w:val="20"/>
          <w:szCs w:val="20"/>
        </w:rPr>
        <w:t xml:space="preserve"> </w:t>
      </w:r>
      <w:r w:rsidRPr="0059638B">
        <w:rPr>
          <w:sz w:val="20"/>
          <w:szCs w:val="20"/>
        </w:rPr>
        <w:t>5</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annex</w:t>
      </w:r>
      <w:r w:rsidR="00FF41A0">
        <w:rPr>
          <w:sz w:val="20"/>
          <w:szCs w:val="20"/>
        </w:rPr>
        <w:t xml:space="preserve"> </w:t>
      </w:r>
      <w:r w:rsidRPr="0059638B">
        <w:rPr>
          <w:sz w:val="20"/>
          <w:szCs w:val="20"/>
        </w:rPr>
        <w:t>to</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resolution</w:t>
      </w:r>
      <w:r w:rsidR="00FF41A0">
        <w:rPr>
          <w:sz w:val="20"/>
          <w:szCs w:val="20"/>
        </w:rPr>
        <w:t xml:space="preserve"> </w:t>
      </w:r>
      <w:r w:rsidRPr="0059638B">
        <w:rPr>
          <w:sz w:val="20"/>
          <w:szCs w:val="20"/>
        </w:rPr>
        <w:t>16/21</w:t>
      </w:r>
      <w:r w:rsidR="00FF41A0">
        <w:rPr>
          <w:sz w:val="20"/>
          <w:szCs w:val="20"/>
        </w:rPr>
        <w:t xml:space="preserve"> </w:t>
      </w:r>
      <w:r w:rsidRPr="0059638B">
        <w:rPr>
          <w:sz w:val="20"/>
          <w:szCs w:val="20"/>
        </w:rPr>
        <w:t>(A/HRC/WG.6/31/BLZ/3).</w:t>
      </w:r>
    </w:p>
    <w:p w14:paraId="08BDDAD2" w14:textId="4C68CBEE" w:rsidR="00323457" w:rsidRPr="0059638B" w:rsidRDefault="00972F1E" w:rsidP="00323457">
      <w:pPr>
        <w:pStyle w:val="SingleTxtG"/>
        <w:rPr>
          <w:sz w:val="20"/>
          <w:szCs w:val="20"/>
        </w:rPr>
      </w:pPr>
      <w:r>
        <w:rPr>
          <w:sz w:val="20"/>
          <w:szCs w:val="20"/>
        </w:rPr>
        <w:t>752</w:t>
      </w:r>
      <w:r w:rsidR="00D7475F">
        <w:rPr>
          <w:sz w:val="20"/>
          <w:szCs w:val="20"/>
        </w:rPr>
        <w:t>.</w:t>
      </w:r>
      <w:r w:rsidR="00D7475F">
        <w:rPr>
          <w:sz w:val="20"/>
          <w:szCs w:val="20"/>
        </w:rPr>
        <w:tab/>
      </w:r>
      <w:r w:rsidR="00323457" w:rsidRPr="0059638B">
        <w:rPr>
          <w:sz w:val="20"/>
          <w:szCs w:val="20"/>
        </w:rPr>
        <w:t>At</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38th</w:t>
      </w:r>
      <w:r w:rsidR="00FF41A0">
        <w:rPr>
          <w:sz w:val="20"/>
          <w:szCs w:val="20"/>
        </w:rPr>
        <w:t xml:space="preserve"> </w:t>
      </w:r>
      <w:r w:rsidR="00323457" w:rsidRPr="0059638B">
        <w:rPr>
          <w:sz w:val="20"/>
          <w:szCs w:val="20"/>
        </w:rPr>
        <w:t>meeting,</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15</w:t>
      </w:r>
      <w:r w:rsidR="00FF41A0">
        <w:rPr>
          <w:sz w:val="20"/>
          <w:szCs w:val="20"/>
        </w:rPr>
        <w:t xml:space="preserve"> </w:t>
      </w:r>
      <w:r w:rsidR="00323457" w:rsidRPr="0059638B">
        <w:rPr>
          <w:sz w:val="20"/>
          <w:szCs w:val="20"/>
        </w:rPr>
        <w:t>March</w:t>
      </w:r>
      <w:r w:rsidR="00FF41A0">
        <w:rPr>
          <w:sz w:val="20"/>
          <w:szCs w:val="20"/>
        </w:rPr>
        <w:t xml:space="preserve"> </w:t>
      </w:r>
      <w:r w:rsidR="00323457" w:rsidRPr="0059638B">
        <w:rPr>
          <w:sz w:val="20"/>
          <w:szCs w:val="20"/>
        </w:rPr>
        <w:t>2019,</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Council</w:t>
      </w:r>
      <w:r w:rsidR="00FF41A0">
        <w:rPr>
          <w:sz w:val="20"/>
          <w:szCs w:val="20"/>
        </w:rPr>
        <w:t xml:space="preserve"> </w:t>
      </w:r>
      <w:r w:rsidR="00323457" w:rsidRPr="0059638B">
        <w:rPr>
          <w:sz w:val="20"/>
          <w:szCs w:val="20"/>
        </w:rPr>
        <w:t>considered</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adopted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outcome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(see</w:t>
      </w:r>
      <w:r w:rsidR="00FF41A0">
        <w:rPr>
          <w:sz w:val="20"/>
          <w:szCs w:val="20"/>
        </w:rPr>
        <w:t xml:space="preserve"> </w:t>
      </w:r>
      <w:r w:rsidR="00323457" w:rsidRPr="0059638B">
        <w:rPr>
          <w:sz w:val="20"/>
          <w:szCs w:val="20"/>
        </w:rPr>
        <w:t>sect.</w:t>
      </w:r>
      <w:r w:rsidR="00FF41A0">
        <w:rPr>
          <w:sz w:val="20"/>
          <w:szCs w:val="20"/>
        </w:rPr>
        <w:t xml:space="preserve"> </w:t>
      </w:r>
      <w:r w:rsidR="00323457" w:rsidRPr="0059638B">
        <w:rPr>
          <w:sz w:val="20"/>
          <w:szCs w:val="20"/>
        </w:rPr>
        <w:t>C</w:t>
      </w:r>
      <w:r w:rsidR="00FF41A0">
        <w:rPr>
          <w:sz w:val="20"/>
          <w:szCs w:val="20"/>
        </w:rPr>
        <w:t xml:space="preserve"> </w:t>
      </w:r>
      <w:r w:rsidR="00323457" w:rsidRPr="0059638B">
        <w:rPr>
          <w:sz w:val="20"/>
          <w:szCs w:val="20"/>
        </w:rPr>
        <w:t>below).</w:t>
      </w:r>
    </w:p>
    <w:p w14:paraId="768064CE" w14:textId="5ACD8CB9" w:rsidR="00323457" w:rsidRPr="0059638B" w:rsidRDefault="00972F1E" w:rsidP="00323457">
      <w:pPr>
        <w:pStyle w:val="SingleTxtG"/>
        <w:rPr>
          <w:color w:val="FF0000"/>
          <w:sz w:val="20"/>
          <w:szCs w:val="20"/>
        </w:rPr>
      </w:pPr>
      <w:r>
        <w:rPr>
          <w:sz w:val="20"/>
          <w:szCs w:val="20"/>
        </w:rPr>
        <w:t>753</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outcome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comprises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report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Working</w:t>
      </w:r>
      <w:r w:rsidR="00FF41A0">
        <w:rPr>
          <w:sz w:val="20"/>
          <w:szCs w:val="20"/>
        </w:rPr>
        <w:t xml:space="preserve"> </w:t>
      </w:r>
      <w:r w:rsidR="00323457" w:rsidRPr="0059638B">
        <w:rPr>
          <w:sz w:val="20"/>
          <w:szCs w:val="20"/>
        </w:rPr>
        <w:t>Group</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(A/HRC/40/14)</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views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concerning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and/or</w:t>
      </w:r>
      <w:r w:rsidR="00FF41A0">
        <w:rPr>
          <w:sz w:val="20"/>
          <w:szCs w:val="20"/>
        </w:rPr>
        <w:t xml:space="preserve"> </w:t>
      </w:r>
      <w:r w:rsidR="00323457" w:rsidRPr="0059638B">
        <w:rPr>
          <w:sz w:val="20"/>
          <w:szCs w:val="20"/>
        </w:rPr>
        <w:t>conclusions,</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well</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voluntary</w:t>
      </w:r>
      <w:r w:rsidR="00FF41A0">
        <w:rPr>
          <w:sz w:val="20"/>
          <w:szCs w:val="20"/>
        </w:rPr>
        <w:t xml:space="preserve"> </w:t>
      </w:r>
      <w:r w:rsidR="00323457" w:rsidRPr="0059638B">
        <w:rPr>
          <w:sz w:val="20"/>
          <w:szCs w:val="20"/>
        </w:rPr>
        <w:t>commitments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replies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questions</w:t>
      </w:r>
      <w:r w:rsidR="00FF41A0">
        <w:rPr>
          <w:sz w:val="20"/>
          <w:szCs w:val="20"/>
        </w:rPr>
        <w:t xml:space="preserve"> </w:t>
      </w:r>
      <w:r w:rsidR="00323457" w:rsidRPr="0059638B">
        <w:rPr>
          <w:sz w:val="20"/>
          <w:szCs w:val="20"/>
        </w:rPr>
        <w:t>or</w:t>
      </w:r>
      <w:r w:rsidR="00FF41A0">
        <w:rPr>
          <w:sz w:val="20"/>
          <w:szCs w:val="20"/>
        </w:rPr>
        <w:t xml:space="preserve"> </w:t>
      </w:r>
      <w:r w:rsidR="00323457" w:rsidRPr="0059638B">
        <w:rPr>
          <w:sz w:val="20"/>
          <w:szCs w:val="20"/>
        </w:rPr>
        <w:t>issues</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not</w:t>
      </w:r>
      <w:r w:rsidR="00FF41A0">
        <w:rPr>
          <w:sz w:val="20"/>
          <w:szCs w:val="20"/>
        </w:rPr>
        <w:t xml:space="preserve"> </w:t>
      </w:r>
      <w:r w:rsidR="00323457" w:rsidRPr="0059638B">
        <w:rPr>
          <w:sz w:val="20"/>
          <w:szCs w:val="20"/>
        </w:rPr>
        <w:t>sufficiently</w:t>
      </w:r>
      <w:r w:rsidR="00FF41A0">
        <w:rPr>
          <w:sz w:val="20"/>
          <w:szCs w:val="20"/>
        </w:rPr>
        <w:t xml:space="preserve"> </w:t>
      </w:r>
      <w:r w:rsidR="00323457" w:rsidRPr="0059638B">
        <w:rPr>
          <w:sz w:val="20"/>
          <w:szCs w:val="20"/>
        </w:rPr>
        <w:t>addressed</w:t>
      </w:r>
      <w:r w:rsidR="00FF41A0">
        <w:rPr>
          <w:sz w:val="20"/>
          <w:szCs w:val="20"/>
        </w:rPr>
        <w:t xml:space="preserve"> </w:t>
      </w:r>
      <w:r w:rsidR="00323457" w:rsidRPr="0059638B">
        <w:rPr>
          <w:sz w:val="20"/>
          <w:szCs w:val="20"/>
        </w:rPr>
        <w:t>during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interactive</w:t>
      </w:r>
      <w:r w:rsidR="00FF41A0">
        <w:rPr>
          <w:sz w:val="20"/>
          <w:szCs w:val="20"/>
        </w:rPr>
        <w:t xml:space="preserve"> </w:t>
      </w:r>
      <w:r w:rsidR="00323457" w:rsidRPr="0059638B">
        <w:rPr>
          <w:sz w:val="20"/>
          <w:szCs w:val="20"/>
        </w:rPr>
        <w:t>dialogue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Working</w:t>
      </w:r>
      <w:r w:rsidR="00FF41A0">
        <w:rPr>
          <w:sz w:val="20"/>
          <w:szCs w:val="20"/>
        </w:rPr>
        <w:t xml:space="preserve"> </w:t>
      </w:r>
      <w:r w:rsidR="00323457" w:rsidRPr="0059638B">
        <w:rPr>
          <w:sz w:val="20"/>
          <w:szCs w:val="20"/>
        </w:rPr>
        <w:t>Group,</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presented</w:t>
      </w:r>
      <w:r w:rsidR="00FF41A0">
        <w:rPr>
          <w:sz w:val="20"/>
          <w:szCs w:val="20"/>
        </w:rPr>
        <w:t xml:space="preserve"> </w:t>
      </w:r>
      <w:r w:rsidR="00323457" w:rsidRPr="0059638B">
        <w:rPr>
          <w:sz w:val="20"/>
          <w:szCs w:val="20"/>
        </w:rPr>
        <w:t>before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adoption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outcome</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plenary</w:t>
      </w:r>
      <w:r w:rsidR="00FF41A0">
        <w:rPr>
          <w:sz w:val="20"/>
          <w:szCs w:val="20"/>
        </w:rPr>
        <w:t xml:space="preserve"> </w:t>
      </w:r>
      <w:r w:rsidR="00323457" w:rsidRPr="0059638B">
        <w:rPr>
          <w:sz w:val="20"/>
          <w:szCs w:val="20"/>
        </w:rPr>
        <w:t>(see</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A/HRC/40/14/Add.1).</w:t>
      </w:r>
    </w:p>
    <w:p w14:paraId="36A82DB8" w14:textId="6ED21E9E" w:rsidR="00323457" w:rsidRPr="0059638B" w:rsidRDefault="00323457" w:rsidP="00323457">
      <w:pPr>
        <w:pStyle w:val="H23G"/>
        <w:rPr>
          <w:sz w:val="20"/>
          <w:szCs w:val="20"/>
        </w:rPr>
      </w:pPr>
      <w:r w:rsidRPr="0059638B">
        <w:rPr>
          <w:sz w:val="20"/>
          <w:szCs w:val="20"/>
        </w:rPr>
        <w:tab/>
        <w:t>1.</w:t>
      </w:r>
      <w:r w:rsidRPr="0059638B">
        <w:rPr>
          <w:sz w:val="20"/>
          <w:szCs w:val="20"/>
        </w:rPr>
        <w:tab/>
        <w:t>Views</w:t>
      </w:r>
      <w:r w:rsidR="00FF41A0">
        <w:rPr>
          <w:sz w:val="20"/>
          <w:szCs w:val="20"/>
        </w:rPr>
        <w:t xml:space="preserve"> </w:t>
      </w:r>
      <w:r w:rsidRPr="0059638B">
        <w:rPr>
          <w:sz w:val="20"/>
          <w:szCs w:val="20"/>
        </w:rPr>
        <w:t>expressed</w:t>
      </w:r>
      <w:r w:rsidR="00FF41A0">
        <w:rPr>
          <w:sz w:val="20"/>
          <w:szCs w:val="20"/>
        </w:rPr>
        <w:t xml:space="preserve"> </w:t>
      </w:r>
      <w:r w:rsidRPr="0059638B">
        <w:rPr>
          <w:sz w:val="20"/>
          <w:szCs w:val="20"/>
        </w:rPr>
        <w:t>by</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State</w:t>
      </w:r>
      <w:r w:rsidR="00FF41A0">
        <w:rPr>
          <w:sz w:val="20"/>
          <w:szCs w:val="20"/>
        </w:rPr>
        <w:t xml:space="preserve"> </w:t>
      </w:r>
      <w:r w:rsidRPr="0059638B">
        <w:rPr>
          <w:sz w:val="20"/>
          <w:szCs w:val="20"/>
        </w:rPr>
        <w:t>under</w:t>
      </w:r>
      <w:r w:rsidR="00FF41A0">
        <w:rPr>
          <w:sz w:val="20"/>
          <w:szCs w:val="20"/>
        </w:rPr>
        <w:t xml:space="preserve"> </w:t>
      </w:r>
      <w:r w:rsidRPr="0059638B">
        <w:rPr>
          <w:sz w:val="20"/>
          <w:szCs w:val="20"/>
        </w:rPr>
        <w:t>review</w:t>
      </w:r>
      <w:r w:rsidR="00FF41A0">
        <w:rPr>
          <w:sz w:val="20"/>
          <w:szCs w:val="20"/>
        </w:rPr>
        <w:t xml:space="preserve"> </w:t>
      </w:r>
      <w:r w:rsidRPr="0059638B">
        <w:rPr>
          <w:sz w:val="20"/>
          <w:szCs w:val="20"/>
        </w:rPr>
        <w:t>on</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recommendations</w:t>
      </w:r>
      <w:r w:rsidR="00FF41A0">
        <w:rPr>
          <w:sz w:val="20"/>
          <w:szCs w:val="20"/>
        </w:rPr>
        <w:t xml:space="preserve"> </w:t>
      </w:r>
      <w:r w:rsidRPr="0059638B">
        <w:rPr>
          <w:sz w:val="20"/>
          <w:szCs w:val="20"/>
        </w:rPr>
        <w:t>and/or</w:t>
      </w:r>
      <w:r w:rsidR="00FF41A0">
        <w:rPr>
          <w:sz w:val="20"/>
          <w:szCs w:val="20"/>
        </w:rPr>
        <w:t xml:space="preserve"> </w:t>
      </w:r>
      <w:r w:rsidRPr="0059638B">
        <w:rPr>
          <w:sz w:val="20"/>
          <w:szCs w:val="20"/>
        </w:rPr>
        <w:t>conclusions,</w:t>
      </w:r>
      <w:r w:rsidR="00FF41A0">
        <w:rPr>
          <w:sz w:val="20"/>
          <w:szCs w:val="20"/>
        </w:rPr>
        <w:t xml:space="preserve"> </w:t>
      </w:r>
      <w:r w:rsidRPr="0059638B">
        <w:rPr>
          <w:sz w:val="20"/>
          <w:szCs w:val="20"/>
        </w:rPr>
        <w:t>its</w:t>
      </w:r>
      <w:r w:rsidR="00FF41A0">
        <w:rPr>
          <w:sz w:val="20"/>
          <w:szCs w:val="20"/>
        </w:rPr>
        <w:t xml:space="preserve"> </w:t>
      </w:r>
      <w:r w:rsidRPr="0059638B">
        <w:rPr>
          <w:sz w:val="20"/>
          <w:szCs w:val="20"/>
        </w:rPr>
        <w:t>voluntary</w:t>
      </w:r>
      <w:r w:rsidR="00FF41A0">
        <w:rPr>
          <w:sz w:val="20"/>
          <w:szCs w:val="20"/>
        </w:rPr>
        <w:t xml:space="preserve"> </w:t>
      </w:r>
      <w:r w:rsidRPr="0059638B">
        <w:rPr>
          <w:sz w:val="20"/>
          <w:szCs w:val="20"/>
        </w:rPr>
        <w:t>commitments</w:t>
      </w:r>
      <w:r w:rsidR="00FF41A0">
        <w:rPr>
          <w:sz w:val="20"/>
          <w:szCs w:val="20"/>
        </w:rPr>
        <w:t xml:space="preserve"> </w:t>
      </w:r>
      <w:r w:rsidRPr="0059638B">
        <w:rPr>
          <w:sz w:val="20"/>
          <w:szCs w:val="20"/>
        </w:rPr>
        <w:t>and</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outcome</w:t>
      </w:r>
    </w:p>
    <w:p w14:paraId="6CEEC17C" w14:textId="0E7B66C2" w:rsidR="00323457" w:rsidRPr="0059638B" w:rsidRDefault="00972F1E" w:rsidP="00323457">
      <w:pPr>
        <w:pStyle w:val="SingleTxtG"/>
        <w:rPr>
          <w:sz w:val="20"/>
          <w:szCs w:val="20"/>
        </w:rPr>
      </w:pPr>
      <w:r>
        <w:rPr>
          <w:sz w:val="20"/>
          <w:szCs w:val="20"/>
        </w:rPr>
        <w:t>754</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delegation</w:t>
      </w:r>
      <w:r w:rsidR="00FF41A0">
        <w:rPr>
          <w:sz w:val="20"/>
          <w:szCs w:val="20"/>
        </w:rPr>
        <w:t xml:space="preserve"> </w:t>
      </w:r>
      <w:r w:rsidR="00323457" w:rsidRPr="0059638B">
        <w:rPr>
          <w:sz w:val="20"/>
          <w:szCs w:val="20"/>
        </w:rPr>
        <w:t>reiterated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continued</w:t>
      </w:r>
      <w:r w:rsidR="00FF41A0">
        <w:rPr>
          <w:sz w:val="20"/>
          <w:szCs w:val="20"/>
        </w:rPr>
        <w:t xml:space="preserve"> </w:t>
      </w:r>
      <w:r w:rsidR="00323457" w:rsidRPr="0059638B">
        <w:rPr>
          <w:sz w:val="20"/>
          <w:szCs w:val="20"/>
        </w:rPr>
        <w:t>commitment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promoting</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protecting</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expressed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there</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an</w:t>
      </w:r>
      <w:r w:rsidR="00FF41A0">
        <w:rPr>
          <w:sz w:val="20"/>
          <w:szCs w:val="20"/>
        </w:rPr>
        <w:t xml:space="preserve"> </w:t>
      </w:r>
      <w:r w:rsidR="00323457" w:rsidRPr="0059638B">
        <w:rPr>
          <w:sz w:val="20"/>
          <w:szCs w:val="20"/>
        </w:rPr>
        <w:t>inextricable</w:t>
      </w:r>
      <w:r w:rsidR="00FF41A0">
        <w:rPr>
          <w:sz w:val="20"/>
          <w:szCs w:val="20"/>
        </w:rPr>
        <w:t xml:space="preserve"> </w:t>
      </w:r>
      <w:r w:rsidR="00323457" w:rsidRPr="0059638B">
        <w:rPr>
          <w:sz w:val="20"/>
          <w:szCs w:val="20"/>
        </w:rPr>
        <w:t>link</w:t>
      </w:r>
      <w:r w:rsidR="00FF41A0">
        <w:rPr>
          <w:sz w:val="20"/>
          <w:szCs w:val="20"/>
        </w:rPr>
        <w:t xml:space="preserve"> </w:t>
      </w:r>
      <w:r w:rsidR="00323457" w:rsidRPr="0059638B">
        <w:rPr>
          <w:sz w:val="20"/>
          <w:szCs w:val="20"/>
        </w:rPr>
        <w:t>between</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development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long</w:t>
      </w:r>
      <w:r w:rsidR="00FF41A0">
        <w:rPr>
          <w:sz w:val="20"/>
          <w:szCs w:val="20"/>
        </w:rPr>
        <w:t xml:space="preserve"> </w:t>
      </w:r>
      <w:r w:rsidR="00323457" w:rsidRPr="0059638B">
        <w:rPr>
          <w:sz w:val="20"/>
          <w:szCs w:val="20"/>
        </w:rPr>
        <w:t>adopted</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rights-based</w:t>
      </w:r>
      <w:r w:rsidR="00FF41A0">
        <w:rPr>
          <w:sz w:val="20"/>
          <w:szCs w:val="20"/>
        </w:rPr>
        <w:t xml:space="preserve"> </w:t>
      </w:r>
      <w:r w:rsidR="00323457" w:rsidRPr="0059638B">
        <w:rPr>
          <w:sz w:val="20"/>
          <w:szCs w:val="20"/>
        </w:rPr>
        <w:t>approach</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development,</w:t>
      </w:r>
      <w:r w:rsidR="00FF41A0">
        <w:rPr>
          <w:sz w:val="20"/>
          <w:szCs w:val="20"/>
        </w:rPr>
        <w:t xml:space="preserve"> </w:t>
      </w:r>
      <w:r w:rsidR="00323457" w:rsidRPr="0059638B">
        <w:rPr>
          <w:sz w:val="20"/>
          <w:szCs w:val="20"/>
        </w:rPr>
        <w:t>deeply</w:t>
      </w:r>
      <w:r w:rsidR="00FF41A0">
        <w:rPr>
          <w:sz w:val="20"/>
          <w:szCs w:val="20"/>
        </w:rPr>
        <w:t xml:space="preserve"> </w:t>
      </w:r>
      <w:r w:rsidR="00323457" w:rsidRPr="0059638B">
        <w:rPr>
          <w:sz w:val="20"/>
          <w:szCs w:val="20"/>
        </w:rPr>
        <w:t>embedding</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fabric</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Belizean</w:t>
      </w:r>
      <w:r w:rsidR="00FF41A0">
        <w:rPr>
          <w:sz w:val="20"/>
          <w:szCs w:val="20"/>
        </w:rPr>
        <w:t xml:space="preserve"> </w:t>
      </w:r>
      <w:r w:rsidR="00323457" w:rsidRPr="0059638B">
        <w:rPr>
          <w:sz w:val="20"/>
          <w:szCs w:val="20"/>
        </w:rPr>
        <w:t>society.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experience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showed</w:t>
      </w:r>
      <w:r w:rsidR="00FF41A0">
        <w:rPr>
          <w:sz w:val="20"/>
          <w:szCs w:val="20"/>
        </w:rPr>
        <w:t xml:space="preserve"> </w:t>
      </w:r>
      <w:r w:rsidR="00323457" w:rsidRPr="0059638B">
        <w:rPr>
          <w:sz w:val="20"/>
          <w:szCs w:val="20"/>
        </w:rPr>
        <w:t>how</w:t>
      </w:r>
      <w:r w:rsidR="00FF41A0">
        <w:rPr>
          <w:sz w:val="20"/>
          <w:szCs w:val="20"/>
        </w:rPr>
        <w:t xml:space="preserve"> </w:t>
      </w:r>
      <w:r w:rsidR="00323457" w:rsidRPr="0059638B">
        <w:rPr>
          <w:sz w:val="20"/>
          <w:szCs w:val="20"/>
        </w:rPr>
        <w:t>improving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situation</w:t>
      </w:r>
      <w:r w:rsidR="00FF41A0">
        <w:rPr>
          <w:sz w:val="20"/>
          <w:szCs w:val="20"/>
        </w:rPr>
        <w:t xml:space="preserve"> </w:t>
      </w:r>
      <w:r w:rsidR="00323457" w:rsidRPr="0059638B">
        <w:rPr>
          <w:sz w:val="20"/>
          <w:szCs w:val="20"/>
        </w:rPr>
        <w:t>contributed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advancing</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development,</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well</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realization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sustainable</w:t>
      </w:r>
      <w:r w:rsidR="00FF41A0">
        <w:rPr>
          <w:sz w:val="20"/>
          <w:szCs w:val="20"/>
        </w:rPr>
        <w:t xml:space="preserve"> </w:t>
      </w:r>
      <w:r w:rsidR="00323457" w:rsidRPr="0059638B">
        <w:rPr>
          <w:sz w:val="20"/>
          <w:szCs w:val="20"/>
        </w:rPr>
        <w:t>development</w:t>
      </w:r>
      <w:r w:rsidR="00FF41A0">
        <w:rPr>
          <w:sz w:val="20"/>
          <w:szCs w:val="20"/>
        </w:rPr>
        <w:t xml:space="preserve"> </w:t>
      </w:r>
      <w:r w:rsidR="00323457" w:rsidRPr="0059638B">
        <w:rPr>
          <w:sz w:val="20"/>
          <w:szCs w:val="20"/>
        </w:rPr>
        <w:t>agenda.</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this</w:t>
      </w:r>
      <w:r w:rsidR="00FF41A0">
        <w:rPr>
          <w:sz w:val="20"/>
          <w:szCs w:val="20"/>
        </w:rPr>
        <w:t xml:space="preserve"> </w:t>
      </w:r>
      <w:r w:rsidR="00323457" w:rsidRPr="0059638B">
        <w:rPr>
          <w:sz w:val="20"/>
          <w:szCs w:val="20"/>
        </w:rPr>
        <w:t>spirit,</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continued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value</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participation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mechanism</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regarded</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an</w:t>
      </w:r>
      <w:r w:rsidR="00FF41A0">
        <w:rPr>
          <w:sz w:val="20"/>
          <w:szCs w:val="20"/>
        </w:rPr>
        <w:t xml:space="preserve"> </w:t>
      </w:r>
      <w:r w:rsidR="00323457" w:rsidRPr="0059638B">
        <w:rPr>
          <w:sz w:val="20"/>
          <w:szCs w:val="20"/>
        </w:rPr>
        <w:t>important</w:t>
      </w:r>
      <w:r w:rsidR="00FF41A0">
        <w:rPr>
          <w:sz w:val="20"/>
          <w:szCs w:val="20"/>
        </w:rPr>
        <w:t xml:space="preserve"> </w:t>
      </w:r>
      <w:r w:rsidR="00323457" w:rsidRPr="0059638B">
        <w:rPr>
          <w:sz w:val="20"/>
          <w:szCs w:val="20"/>
        </w:rPr>
        <w:t>tool</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promote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protect</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around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world.</w:t>
      </w:r>
      <w:r w:rsidR="00FF41A0">
        <w:rPr>
          <w:sz w:val="20"/>
          <w:szCs w:val="20"/>
        </w:rPr>
        <w:t xml:space="preserve"> </w:t>
      </w:r>
    </w:p>
    <w:p w14:paraId="1E81A37E" w14:textId="09245A74" w:rsidR="00323457" w:rsidRPr="0059638B" w:rsidRDefault="00972F1E" w:rsidP="00323457">
      <w:pPr>
        <w:pStyle w:val="SingleTxtG"/>
        <w:rPr>
          <w:sz w:val="20"/>
          <w:szCs w:val="20"/>
        </w:rPr>
      </w:pPr>
      <w:r>
        <w:rPr>
          <w:sz w:val="20"/>
          <w:szCs w:val="20"/>
        </w:rPr>
        <w:t>755</w:t>
      </w:r>
      <w:r w:rsidR="00D7475F">
        <w:rPr>
          <w:sz w:val="20"/>
          <w:szCs w:val="20"/>
        </w:rPr>
        <w:t>.</w:t>
      </w:r>
      <w:r w:rsidR="00D7475F">
        <w:rPr>
          <w:sz w:val="20"/>
          <w:szCs w:val="20"/>
        </w:rPr>
        <w:tab/>
      </w:r>
      <w:r w:rsidR="00323457" w:rsidRPr="0059638B">
        <w:rPr>
          <w:sz w:val="20"/>
          <w:szCs w:val="20"/>
        </w:rPr>
        <w:t>During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31st</w:t>
      </w:r>
      <w:r w:rsidR="00FF41A0">
        <w:rPr>
          <w:sz w:val="20"/>
          <w:szCs w:val="20"/>
        </w:rPr>
        <w:t xml:space="preserve"> </w:t>
      </w:r>
      <w:r w:rsidR="00323457" w:rsidRPr="0059638B">
        <w:rPr>
          <w:sz w:val="20"/>
          <w:szCs w:val="20"/>
        </w:rPr>
        <w:t>session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Working</w:t>
      </w:r>
      <w:r w:rsidR="00FF41A0">
        <w:rPr>
          <w:sz w:val="20"/>
          <w:szCs w:val="20"/>
        </w:rPr>
        <w:t xml:space="preserve"> </w:t>
      </w:r>
      <w:r w:rsidR="00323457" w:rsidRPr="0059638B">
        <w:rPr>
          <w:sz w:val="20"/>
          <w:szCs w:val="20"/>
        </w:rPr>
        <w:t>Group</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November</w:t>
      </w:r>
      <w:r w:rsidR="00FF41A0">
        <w:rPr>
          <w:sz w:val="20"/>
          <w:szCs w:val="20"/>
        </w:rPr>
        <w:t xml:space="preserve"> </w:t>
      </w:r>
      <w:r w:rsidR="00323457" w:rsidRPr="0059638B">
        <w:rPr>
          <w:sz w:val="20"/>
          <w:szCs w:val="20"/>
        </w:rPr>
        <w:t>2018,</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received</w:t>
      </w:r>
      <w:r w:rsidR="00FF41A0">
        <w:rPr>
          <w:sz w:val="20"/>
          <w:szCs w:val="20"/>
        </w:rPr>
        <w:t xml:space="preserve"> </w:t>
      </w:r>
      <w:r w:rsidR="00323457" w:rsidRPr="0059638B">
        <w:rPr>
          <w:sz w:val="20"/>
          <w:szCs w:val="20"/>
        </w:rPr>
        <w:t>124</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several</w:t>
      </w:r>
      <w:r w:rsidR="00FF41A0">
        <w:rPr>
          <w:sz w:val="20"/>
          <w:szCs w:val="20"/>
        </w:rPr>
        <w:t xml:space="preserve"> </w:t>
      </w:r>
      <w:r w:rsidR="00323457" w:rsidRPr="0059638B">
        <w:rPr>
          <w:sz w:val="20"/>
          <w:szCs w:val="20"/>
        </w:rPr>
        <w:t>important</w:t>
      </w:r>
      <w:r w:rsidR="00FF41A0">
        <w:rPr>
          <w:sz w:val="20"/>
          <w:szCs w:val="20"/>
        </w:rPr>
        <w:t xml:space="preserve"> </w:t>
      </w:r>
      <w:r w:rsidR="00323457" w:rsidRPr="0059638B">
        <w:rPr>
          <w:sz w:val="20"/>
          <w:szCs w:val="20"/>
        </w:rPr>
        <w:t>issues.</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immediately</w:t>
      </w:r>
      <w:r w:rsidR="00FF41A0">
        <w:rPr>
          <w:sz w:val="20"/>
          <w:szCs w:val="20"/>
        </w:rPr>
        <w:t xml:space="preserve"> </w:t>
      </w:r>
      <w:r w:rsidR="00323457" w:rsidRPr="0059638B">
        <w:rPr>
          <w:sz w:val="20"/>
          <w:szCs w:val="20"/>
        </w:rPr>
        <w:t>accepted</w:t>
      </w:r>
      <w:r w:rsidR="00FF41A0">
        <w:rPr>
          <w:sz w:val="20"/>
          <w:szCs w:val="20"/>
        </w:rPr>
        <w:t xml:space="preserve"> </w:t>
      </w:r>
      <w:r w:rsidR="00323457" w:rsidRPr="0059638B">
        <w:rPr>
          <w:sz w:val="20"/>
          <w:szCs w:val="20"/>
        </w:rPr>
        <w:t>98</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close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80</w:t>
      </w:r>
      <w:r w:rsidR="00FF41A0">
        <w:rPr>
          <w:sz w:val="20"/>
          <w:szCs w:val="20"/>
        </w:rPr>
        <w:t xml:space="preserve"> </w:t>
      </w:r>
      <w:r w:rsidR="00323457" w:rsidRPr="0059638B">
        <w:rPr>
          <w:sz w:val="20"/>
          <w:szCs w:val="20"/>
        </w:rPr>
        <w:t>per</w:t>
      </w:r>
      <w:r w:rsidR="00FF41A0">
        <w:rPr>
          <w:sz w:val="20"/>
          <w:szCs w:val="20"/>
        </w:rPr>
        <w:t xml:space="preserve"> </w:t>
      </w:r>
      <w:r w:rsidR="00323457" w:rsidRPr="0059638B">
        <w:rPr>
          <w:sz w:val="20"/>
          <w:szCs w:val="20"/>
        </w:rPr>
        <w:t>cent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total</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received.</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able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readily</w:t>
      </w:r>
      <w:r w:rsidR="00FF41A0">
        <w:rPr>
          <w:sz w:val="20"/>
          <w:szCs w:val="20"/>
        </w:rPr>
        <w:t xml:space="preserve"> </w:t>
      </w:r>
      <w:r w:rsidR="00323457" w:rsidRPr="0059638B">
        <w:rPr>
          <w:sz w:val="20"/>
          <w:szCs w:val="20"/>
        </w:rPr>
        <w:t>accept</w:t>
      </w:r>
      <w:r w:rsidR="00FF41A0">
        <w:rPr>
          <w:sz w:val="20"/>
          <w:szCs w:val="20"/>
        </w:rPr>
        <w:t xml:space="preserve"> </w:t>
      </w:r>
      <w:r w:rsidR="00323457" w:rsidRPr="0059638B">
        <w:rPr>
          <w:sz w:val="20"/>
          <w:szCs w:val="20"/>
        </w:rPr>
        <w:t>these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considered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majority</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them</w:t>
      </w:r>
      <w:r w:rsidR="00FF41A0">
        <w:rPr>
          <w:sz w:val="20"/>
          <w:szCs w:val="20"/>
        </w:rPr>
        <w:t xml:space="preserve"> </w:t>
      </w:r>
      <w:r w:rsidR="00323457" w:rsidRPr="0059638B">
        <w:rPr>
          <w:sz w:val="20"/>
          <w:szCs w:val="20"/>
        </w:rPr>
        <w:t>aligned</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policies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processes</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undertaken</w:t>
      </w:r>
      <w:r w:rsidR="00FF41A0">
        <w:rPr>
          <w:sz w:val="20"/>
          <w:szCs w:val="20"/>
        </w:rPr>
        <w:t xml:space="preserve"> </w:t>
      </w:r>
      <w:r w:rsidR="00323457" w:rsidRPr="0059638B">
        <w:rPr>
          <w:sz w:val="20"/>
          <w:szCs w:val="20"/>
        </w:rPr>
        <w:t>or</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process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implementing.</w:t>
      </w:r>
      <w:r w:rsidR="00FF41A0">
        <w:rPr>
          <w:sz w:val="20"/>
          <w:szCs w:val="20"/>
        </w:rPr>
        <w:t xml:space="preserve"> </w:t>
      </w:r>
      <w:r w:rsidR="00323457" w:rsidRPr="0059638B">
        <w:rPr>
          <w:sz w:val="20"/>
          <w:szCs w:val="20"/>
        </w:rPr>
        <w:t>Other</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accepted</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they</w:t>
      </w:r>
      <w:r w:rsidR="00FF41A0">
        <w:rPr>
          <w:sz w:val="20"/>
          <w:szCs w:val="20"/>
        </w:rPr>
        <w:t xml:space="preserve"> </w:t>
      </w:r>
      <w:r w:rsidR="00323457" w:rsidRPr="0059638B">
        <w:rPr>
          <w:sz w:val="20"/>
          <w:szCs w:val="20"/>
        </w:rPr>
        <w:t>clearly</w:t>
      </w:r>
      <w:r w:rsidR="00FF41A0">
        <w:rPr>
          <w:sz w:val="20"/>
          <w:szCs w:val="20"/>
        </w:rPr>
        <w:t xml:space="preserve"> </w:t>
      </w:r>
      <w:r w:rsidR="00323457" w:rsidRPr="0059638B">
        <w:rPr>
          <w:sz w:val="20"/>
          <w:szCs w:val="20"/>
        </w:rPr>
        <w:t>built</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supported</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from</w:t>
      </w:r>
      <w:r w:rsidR="00FF41A0">
        <w:rPr>
          <w:sz w:val="20"/>
          <w:szCs w:val="20"/>
        </w:rPr>
        <w:t xml:space="preserve"> </w:t>
      </w:r>
      <w:r w:rsidR="00323457" w:rsidRPr="0059638B">
        <w:rPr>
          <w:sz w:val="20"/>
          <w:szCs w:val="20"/>
        </w:rPr>
        <w:t>previous</w:t>
      </w:r>
      <w:r w:rsidR="00FF41A0">
        <w:rPr>
          <w:sz w:val="20"/>
          <w:szCs w:val="20"/>
        </w:rPr>
        <w:t xml:space="preserve"> </w:t>
      </w:r>
      <w:r w:rsidR="00323457" w:rsidRPr="0059638B">
        <w:rPr>
          <w:sz w:val="20"/>
          <w:szCs w:val="20"/>
        </w:rPr>
        <w:t>cycles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demonstrating</w:t>
      </w:r>
      <w:r w:rsidR="00FF41A0">
        <w:rPr>
          <w:sz w:val="20"/>
          <w:szCs w:val="20"/>
        </w:rPr>
        <w:t xml:space="preserve"> </w:t>
      </w:r>
      <w:r w:rsidR="00323457" w:rsidRPr="0059638B">
        <w:rPr>
          <w:sz w:val="20"/>
          <w:szCs w:val="20"/>
        </w:rPr>
        <w:t>Belize</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progress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commitment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promotion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p>
    <w:p w14:paraId="6E69CC8C" w14:textId="51F363C6" w:rsidR="00323457" w:rsidRPr="0059638B" w:rsidRDefault="00972F1E" w:rsidP="00323457">
      <w:pPr>
        <w:pStyle w:val="SingleTxtG"/>
        <w:rPr>
          <w:sz w:val="20"/>
          <w:szCs w:val="20"/>
        </w:rPr>
      </w:pPr>
      <w:r>
        <w:rPr>
          <w:sz w:val="20"/>
          <w:szCs w:val="20"/>
        </w:rPr>
        <w:t>756</w:t>
      </w:r>
      <w:r w:rsidR="00D7475F">
        <w:rPr>
          <w:sz w:val="20"/>
          <w:szCs w:val="20"/>
        </w:rPr>
        <w:t>.</w:t>
      </w:r>
      <w:r w:rsidR="00D7475F">
        <w:rPr>
          <w:sz w:val="20"/>
          <w:szCs w:val="20"/>
        </w:rPr>
        <w:tab/>
      </w:r>
      <w:r w:rsidR="00323457" w:rsidRPr="0059638B">
        <w:rPr>
          <w:sz w:val="20"/>
          <w:szCs w:val="20"/>
        </w:rPr>
        <w:t>While</w:t>
      </w:r>
      <w:r w:rsidR="00FF41A0">
        <w:rPr>
          <w:sz w:val="20"/>
          <w:szCs w:val="20"/>
        </w:rPr>
        <w:t xml:space="preserve"> </w:t>
      </w:r>
      <w:r w:rsidR="00323457" w:rsidRPr="0059638B">
        <w:rPr>
          <w:sz w:val="20"/>
          <w:szCs w:val="20"/>
        </w:rPr>
        <w:t>acknowledging</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received</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given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constructive</w:t>
      </w:r>
      <w:r w:rsidR="00FF41A0">
        <w:rPr>
          <w:sz w:val="20"/>
          <w:szCs w:val="20"/>
        </w:rPr>
        <w:t xml:space="preserve"> </w:t>
      </w:r>
      <w:r w:rsidR="00323457" w:rsidRPr="0059638B">
        <w:rPr>
          <w:sz w:val="20"/>
          <w:szCs w:val="20"/>
        </w:rPr>
        <w:t>spirit,</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20</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after</w:t>
      </w:r>
      <w:r w:rsidR="00FF41A0">
        <w:rPr>
          <w:sz w:val="20"/>
          <w:szCs w:val="20"/>
        </w:rPr>
        <w:t xml:space="preserve"> </w:t>
      </w:r>
      <w:r w:rsidR="00323457" w:rsidRPr="0059638B">
        <w:rPr>
          <w:sz w:val="20"/>
          <w:szCs w:val="20"/>
        </w:rPr>
        <w:t>thoughtful</w:t>
      </w:r>
      <w:r w:rsidR="00FF41A0">
        <w:rPr>
          <w:sz w:val="20"/>
          <w:szCs w:val="20"/>
        </w:rPr>
        <w:t xml:space="preserve"> </w:t>
      </w:r>
      <w:r w:rsidR="00323457" w:rsidRPr="0059638B">
        <w:rPr>
          <w:sz w:val="20"/>
          <w:szCs w:val="20"/>
        </w:rPr>
        <w:t>consideration.</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reserved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position</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six</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so</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carefully</w:t>
      </w:r>
      <w:r w:rsidR="00FF41A0">
        <w:rPr>
          <w:sz w:val="20"/>
          <w:szCs w:val="20"/>
        </w:rPr>
        <w:t xml:space="preserve"> </w:t>
      </w:r>
      <w:r w:rsidR="00323457" w:rsidRPr="0059638B">
        <w:rPr>
          <w:sz w:val="20"/>
          <w:szCs w:val="20"/>
        </w:rPr>
        <w:t>consider</w:t>
      </w:r>
      <w:r w:rsidR="00FF41A0">
        <w:rPr>
          <w:sz w:val="20"/>
          <w:szCs w:val="20"/>
        </w:rPr>
        <w:t xml:space="preserve"> </w:t>
      </w:r>
      <w:r w:rsidR="00323457" w:rsidRPr="0059638B">
        <w:rPr>
          <w:sz w:val="20"/>
          <w:szCs w:val="20"/>
        </w:rPr>
        <w:t>them</w:t>
      </w:r>
      <w:r w:rsidR="00FF41A0">
        <w:rPr>
          <w:sz w:val="20"/>
          <w:szCs w:val="20"/>
        </w:rPr>
        <w:t xml:space="preserve"> </w:t>
      </w:r>
      <w:r w:rsidR="00323457" w:rsidRPr="0059638B">
        <w:rPr>
          <w:sz w:val="20"/>
          <w:szCs w:val="20"/>
        </w:rPr>
        <w:t>through</w:t>
      </w:r>
      <w:r w:rsidR="00FF41A0">
        <w:rPr>
          <w:sz w:val="20"/>
          <w:szCs w:val="20"/>
        </w:rPr>
        <w:t xml:space="preserve"> </w:t>
      </w:r>
      <w:r w:rsidR="00323457" w:rsidRPr="0059638B">
        <w:rPr>
          <w:sz w:val="20"/>
          <w:szCs w:val="20"/>
        </w:rPr>
        <w:t>consultations</w:t>
      </w:r>
      <w:r w:rsidR="00FF41A0">
        <w:rPr>
          <w:sz w:val="20"/>
          <w:szCs w:val="20"/>
        </w:rPr>
        <w:t xml:space="preserve"> </w:t>
      </w:r>
      <w:r w:rsidR="00323457" w:rsidRPr="0059638B">
        <w:rPr>
          <w:sz w:val="20"/>
          <w:szCs w:val="20"/>
        </w:rPr>
        <w:t>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level.</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delegation</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now</w:t>
      </w:r>
      <w:r w:rsidR="00FF41A0">
        <w:rPr>
          <w:sz w:val="20"/>
          <w:szCs w:val="20"/>
        </w:rPr>
        <w:t xml:space="preserve"> </w:t>
      </w:r>
      <w:r w:rsidR="00323457" w:rsidRPr="0059638B">
        <w:rPr>
          <w:sz w:val="20"/>
          <w:szCs w:val="20"/>
        </w:rPr>
        <w:t>pleased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indicate</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decided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accept</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further</w:t>
      </w:r>
      <w:r w:rsidR="00FF41A0">
        <w:rPr>
          <w:sz w:val="20"/>
          <w:szCs w:val="20"/>
        </w:rPr>
        <w:t xml:space="preserve"> </w:t>
      </w:r>
      <w:r w:rsidR="00323457" w:rsidRPr="0059638B">
        <w:rPr>
          <w:sz w:val="20"/>
          <w:szCs w:val="20"/>
        </w:rPr>
        <w:t>two</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bringing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total</w:t>
      </w:r>
      <w:r w:rsidR="00FF41A0">
        <w:rPr>
          <w:sz w:val="20"/>
          <w:szCs w:val="20"/>
        </w:rPr>
        <w:t xml:space="preserve"> </w:t>
      </w:r>
      <w:r w:rsidR="00323457" w:rsidRPr="0059638B">
        <w:rPr>
          <w:sz w:val="20"/>
          <w:szCs w:val="20"/>
        </w:rPr>
        <w:t>number</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accepted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100.</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an</w:t>
      </w:r>
      <w:r w:rsidR="00FF41A0">
        <w:rPr>
          <w:sz w:val="20"/>
          <w:szCs w:val="20"/>
        </w:rPr>
        <w:t xml:space="preserve"> </w:t>
      </w:r>
      <w:r w:rsidR="00323457" w:rsidRPr="0059638B">
        <w:rPr>
          <w:sz w:val="20"/>
          <w:szCs w:val="20"/>
        </w:rPr>
        <w:t>additional</w:t>
      </w:r>
      <w:r w:rsidR="00FF41A0">
        <w:rPr>
          <w:sz w:val="20"/>
          <w:szCs w:val="20"/>
        </w:rPr>
        <w:t xml:space="preserve"> </w:t>
      </w:r>
      <w:r w:rsidR="00323457" w:rsidRPr="0059638B">
        <w:rPr>
          <w:sz w:val="20"/>
          <w:szCs w:val="20"/>
        </w:rPr>
        <w:t>four</w:t>
      </w:r>
      <w:r w:rsidR="00FF41A0">
        <w:rPr>
          <w:sz w:val="20"/>
          <w:szCs w:val="20"/>
        </w:rPr>
        <w:t xml:space="preserve"> </w:t>
      </w:r>
      <w:r w:rsidR="00323457" w:rsidRPr="0059638B">
        <w:rPr>
          <w:sz w:val="20"/>
          <w:szCs w:val="20"/>
        </w:rPr>
        <w:lastRenderedPageBreak/>
        <w:t>recommendations,</w:t>
      </w:r>
      <w:r w:rsidR="00FF41A0">
        <w:rPr>
          <w:sz w:val="20"/>
          <w:szCs w:val="20"/>
        </w:rPr>
        <w:t xml:space="preserve"> </w:t>
      </w:r>
      <w:r w:rsidR="00323457" w:rsidRPr="0059638B">
        <w:rPr>
          <w:sz w:val="20"/>
          <w:szCs w:val="20"/>
        </w:rPr>
        <w:t>one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based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inaccurate</w:t>
      </w:r>
      <w:r w:rsidR="00FF41A0">
        <w:rPr>
          <w:sz w:val="20"/>
          <w:szCs w:val="20"/>
        </w:rPr>
        <w:t xml:space="preserve"> </w:t>
      </w:r>
      <w:r w:rsidR="00323457" w:rsidRPr="0059638B">
        <w:rPr>
          <w:sz w:val="20"/>
          <w:szCs w:val="20"/>
        </w:rPr>
        <w:t>information,</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explained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addendum</w:t>
      </w:r>
      <w:r w:rsidR="00FF41A0">
        <w:rPr>
          <w:sz w:val="20"/>
          <w:szCs w:val="20"/>
        </w:rPr>
        <w:t xml:space="preserve"> </w:t>
      </w:r>
      <w:r w:rsidR="00323457" w:rsidRPr="0059638B">
        <w:rPr>
          <w:sz w:val="20"/>
          <w:szCs w:val="20"/>
        </w:rPr>
        <w:t>document.</w:t>
      </w:r>
    </w:p>
    <w:p w14:paraId="6BD90467" w14:textId="6C1D504E" w:rsidR="00323457" w:rsidRPr="0059638B" w:rsidRDefault="00972F1E" w:rsidP="00323457">
      <w:pPr>
        <w:pStyle w:val="SingleTxtG"/>
        <w:rPr>
          <w:sz w:val="20"/>
          <w:szCs w:val="20"/>
        </w:rPr>
      </w:pPr>
      <w:r>
        <w:rPr>
          <w:sz w:val="20"/>
          <w:szCs w:val="20"/>
        </w:rPr>
        <w:t>757</w:t>
      </w:r>
      <w:r w:rsidR="00D7475F">
        <w:rPr>
          <w:sz w:val="20"/>
          <w:szCs w:val="20"/>
        </w:rPr>
        <w:t>.</w:t>
      </w:r>
      <w:r w:rsidR="00D7475F">
        <w:rPr>
          <w:sz w:val="20"/>
          <w:szCs w:val="20"/>
        </w:rPr>
        <w:tab/>
      </w:r>
      <w:r w:rsidR="00323457" w:rsidRPr="0059638B">
        <w:rPr>
          <w:sz w:val="20"/>
          <w:szCs w:val="20"/>
        </w:rPr>
        <w:t>With</w:t>
      </w:r>
      <w:r w:rsidR="00FF41A0">
        <w:rPr>
          <w:sz w:val="20"/>
          <w:szCs w:val="20"/>
        </w:rPr>
        <w:t xml:space="preserve"> </w:t>
      </w:r>
      <w:r w:rsidR="00323457" w:rsidRPr="0059638B">
        <w:rPr>
          <w:sz w:val="20"/>
          <w:szCs w:val="20"/>
        </w:rPr>
        <w:t>regard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accepted</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acknowledged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need</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an</w:t>
      </w:r>
      <w:r w:rsidR="00FF41A0">
        <w:rPr>
          <w:sz w:val="20"/>
          <w:szCs w:val="20"/>
        </w:rPr>
        <w:t xml:space="preserve"> </w:t>
      </w:r>
      <w:r w:rsidR="00323457" w:rsidRPr="0059638B">
        <w:rPr>
          <w:sz w:val="20"/>
          <w:szCs w:val="20"/>
        </w:rPr>
        <w:t>independent</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institution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line</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Paris</w:t>
      </w:r>
      <w:r w:rsidR="00FF41A0">
        <w:rPr>
          <w:sz w:val="20"/>
          <w:szCs w:val="20"/>
        </w:rPr>
        <w:t xml:space="preserve"> </w:t>
      </w:r>
      <w:r w:rsidR="00323457" w:rsidRPr="0059638B">
        <w:rPr>
          <w:sz w:val="20"/>
          <w:szCs w:val="20"/>
        </w:rPr>
        <w:t>Principles.</w:t>
      </w:r>
      <w:r w:rsidR="00FF41A0">
        <w:rPr>
          <w:sz w:val="20"/>
          <w:szCs w:val="20"/>
        </w:rPr>
        <w:t xml:space="preserve"> </w:t>
      </w:r>
      <w:r w:rsidR="00323457" w:rsidRPr="0059638B">
        <w:rPr>
          <w:sz w:val="20"/>
          <w:szCs w:val="20"/>
        </w:rPr>
        <w:t>While</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did</w:t>
      </w:r>
      <w:r w:rsidR="00FF41A0">
        <w:rPr>
          <w:sz w:val="20"/>
          <w:szCs w:val="20"/>
        </w:rPr>
        <w:t xml:space="preserve"> </w:t>
      </w:r>
      <w:r w:rsidR="00323457" w:rsidRPr="0059638B">
        <w:rPr>
          <w:sz w:val="20"/>
          <w:szCs w:val="20"/>
        </w:rPr>
        <w:t>not</w:t>
      </w:r>
      <w:r w:rsidR="00FF41A0">
        <w:rPr>
          <w:sz w:val="20"/>
          <w:szCs w:val="20"/>
        </w:rPr>
        <w:t xml:space="preserve"> </w:t>
      </w:r>
      <w:r w:rsidR="00323457" w:rsidRPr="0059638B">
        <w:rPr>
          <w:sz w:val="20"/>
          <w:szCs w:val="20"/>
        </w:rPr>
        <w:t>have</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single</w:t>
      </w:r>
      <w:r w:rsidR="00FF41A0">
        <w:rPr>
          <w:sz w:val="20"/>
          <w:szCs w:val="20"/>
        </w:rPr>
        <w:t xml:space="preserve"> </w:t>
      </w:r>
      <w:r w:rsidR="00323457" w:rsidRPr="0059638B">
        <w:rPr>
          <w:sz w:val="20"/>
          <w:szCs w:val="20"/>
        </w:rPr>
        <w:t>overarching</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institution,</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several</w:t>
      </w:r>
      <w:r w:rsidR="00FF41A0">
        <w:rPr>
          <w:sz w:val="20"/>
          <w:szCs w:val="20"/>
        </w:rPr>
        <w:t xml:space="preserve"> </w:t>
      </w:r>
      <w:r w:rsidR="00323457" w:rsidRPr="0059638B">
        <w:rPr>
          <w:sz w:val="20"/>
          <w:szCs w:val="20"/>
        </w:rPr>
        <w:t>specialized</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institutions</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focused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implementation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specific</w:t>
      </w:r>
      <w:r w:rsidR="00FF41A0">
        <w:rPr>
          <w:sz w:val="20"/>
          <w:szCs w:val="20"/>
        </w:rPr>
        <w:t xml:space="preserve"> </w:t>
      </w:r>
      <w:r w:rsidR="00323457" w:rsidRPr="0059638B">
        <w:rPr>
          <w:sz w:val="20"/>
          <w:szCs w:val="20"/>
        </w:rPr>
        <w:t>conventions,</w:t>
      </w:r>
      <w:r w:rsidR="00FF41A0">
        <w:rPr>
          <w:sz w:val="20"/>
          <w:szCs w:val="20"/>
        </w:rPr>
        <w:t xml:space="preserve"> </w:t>
      </w:r>
      <w:r w:rsidR="00323457" w:rsidRPr="0059638B">
        <w:rPr>
          <w:sz w:val="20"/>
          <w:szCs w:val="20"/>
        </w:rPr>
        <w:t>including</w:t>
      </w:r>
      <w:r w:rsidR="00FF41A0">
        <w:rPr>
          <w:sz w:val="20"/>
          <w:szCs w:val="20"/>
        </w:rPr>
        <w:t xml:space="preserve"> </w:t>
      </w:r>
      <w:r w:rsidR="00323457" w:rsidRPr="0059638B">
        <w:rPr>
          <w:sz w:val="20"/>
          <w:szCs w:val="20"/>
        </w:rPr>
        <w:t>those</w:t>
      </w:r>
      <w:r w:rsidR="00FF41A0">
        <w:rPr>
          <w:sz w:val="20"/>
          <w:szCs w:val="20"/>
        </w:rPr>
        <w:t xml:space="preserve"> </w:t>
      </w:r>
      <w:r w:rsidR="00323457" w:rsidRPr="0059638B">
        <w:rPr>
          <w:sz w:val="20"/>
          <w:szCs w:val="20"/>
        </w:rPr>
        <w:t>relating</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children,</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elderly,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those</w:t>
      </w:r>
      <w:r w:rsidR="00FF41A0">
        <w:rPr>
          <w:sz w:val="20"/>
          <w:szCs w:val="20"/>
        </w:rPr>
        <w:t xml:space="preserve"> </w:t>
      </w:r>
      <w:r w:rsidR="00323457" w:rsidRPr="0059638B">
        <w:rPr>
          <w:sz w:val="20"/>
          <w:szCs w:val="20"/>
        </w:rPr>
        <w:t>living</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HIV.</w:t>
      </w:r>
      <w:r w:rsidR="00FF41A0">
        <w:rPr>
          <w:sz w:val="20"/>
          <w:szCs w:val="20"/>
        </w:rPr>
        <w:t xml:space="preserve"> </w:t>
      </w:r>
      <w:r w:rsidR="00323457" w:rsidRPr="0059638B">
        <w:rPr>
          <w:sz w:val="20"/>
          <w:szCs w:val="20"/>
        </w:rPr>
        <w:t>Additionally,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Office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Ombudsman</w:t>
      </w:r>
      <w:r w:rsidR="00FF41A0">
        <w:rPr>
          <w:sz w:val="20"/>
          <w:szCs w:val="20"/>
        </w:rPr>
        <w:t xml:space="preserve"> </w:t>
      </w:r>
      <w:r w:rsidR="00323457" w:rsidRPr="0059638B">
        <w:rPr>
          <w:sz w:val="20"/>
          <w:szCs w:val="20"/>
        </w:rPr>
        <w:t>received</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investigated</w:t>
      </w:r>
      <w:r w:rsidR="00FF41A0">
        <w:rPr>
          <w:sz w:val="20"/>
          <w:szCs w:val="20"/>
        </w:rPr>
        <w:t xml:space="preserve"> </w:t>
      </w:r>
      <w:r w:rsidR="00323457" w:rsidRPr="0059638B">
        <w:rPr>
          <w:sz w:val="20"/>
          <w:szCs w:val="20"/>
        </w:rPr>
        <w:t>complaints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relation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any</w:t>
      </w:r>
      <w:r w:rsidR="00FF41A0">
        <w:rPr>
          <w:sz w:val="20"/>
          <w:szCs w:val="20"/>
        </w:rPr>
        <w:t xml:space="preserve"> </w:t>
      </w:r>
      <w:r w:rsidR="00323457" w:rsidRPr="0059638B">
        <w:rPr>
          <w:sz w:val="20"/>
          <w:szCs w:val="20"/>
        </w:rPr>
        <w:t>public</w:t>
      </w:r>
      <w:r w:rsidR="00FF41A0">
        <w:rPr>
          <w:sz w:val="20"/>
          <w:szCs w:val="20"/>
        </w:rPr>
        <w:t xml:space="preserve"> </w:t>
      </w:r>
      <w:r w:rsidR="00323457" w:rsidRPr="0059638B">
        <w:rPr>
          <w:sz w:val="20"/>
          <w:szCs w:val="20"/>
        </w:rPr>
        <w:t>authority.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is</w:t>
      </w:r>
      <w:r w:rsidR="00FF41A0">
        <w:rPr>
          <w:sz w:val="20"/>
          <w:szCs w:val="20"/>
        </w:rPr>
        <w:t xml:space="preserve"> </w:t>
      </w:r>
      <w:r w:rsidR="00323457" w:rsidRPr="0059638B">
        <w:rPr>
          <w:sz w:val="20"/>
          <w:szCs w:val="20"/>
        </w:rPr>
        <w:t>working</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undertaking</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feasibility</w:t>
      </w:r>
      <w:r w:rsidR="00FF41A0">
        <w:rPr>
          <w:sz w:val="20"/>
          <w:szCs w:val="20"/>
        </w:rPr>
        <w:t xml:space="preserve"> </w:t>
      </w:r>
      <w:r w:rsidR="00323457" w:rsidRPr="0059638B">
        <w:rPr>
          <w:sz w:val="20"/>
          <w:szCs w:val="20"/>
        </w:rPr>
        <w:t>study</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establishment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institution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accordance</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Paris</w:t>
      </w:r>
      <w:r w:rsidR="00FF41A0">
        <w:rPr>
          <w:sz w:val="20"/>
          <w:szCs w:val="20"/>
        </w:rPr>
        <w:t xml:space="preserve"> </w:t>
      </w:r>
      <w:r w:rsidR="00323457" w:rsidRPr="0059638B">
        <w:rPr>
          <w:sz w:val="20"/>
          <w:szCs w:val="20"/>
        </w:rPr>
        <w:t>Principles,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continues</w:t>
      </w:r>
      <w:r w:rsidR="00FF41A0">
        <w:rPr>
          <w:sz w:val="20"/>
          <w:szCs w:val="20"/>
        </w:rPr>
        <w:t xml:space="preserve"> </w:t>
      </w:r>
      <w:r w:rsidR="00323457" w:rsidRPr="0059638B">
        <w:rPr>
          <w:sz w:val="20"/>
          <w:szCs w:val="20"/>
        </w:rPr>
        <w:t>dialogue</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partners,</w:t>
      </w:r>
      <w:r w:rsidR="00FF41A0">
        <w:rPr>
          <w:sz w:val="20"/>
          <w:szCs w:val="20"/>
        </w:rPr>
        <w:t xml:space="preserve"> </w:t>
      </w:r>
      <w:r w:rsidR="00323457" w:rsidRPr="0059638B">
        <w:rPr>
          <w:sz w:val="20"/>
          <w:szCs w:val="20"/>
        </w:rPr>
        <w:t>including</w:t>
      </w:r>
      <w:r w:rsidR="00FF41A0">
        <w:rPr>
          <w:sz w:val="20"/>
          <w:szCs w:val="20"/>
        </w:rPr>
        <w:t xml:space="preserve"> </w:t>
      </w:r>
      <w:r w:rsidR="00323457">
        <w:rPr>
          <w:sz w:val="20"/>
          <w:szCs w:val="20"/>
        </w:rPr>
        <w:t>the</w:t>
      </w:r>
      <w:r w:rsidR="00FF41A0">
        <w:rPr>
          <w:sz w:val="20"/>
          <w:szCs w:val="20"/>
        </w:rPr>
        <w:t xml:space="preserve"> </w:t>
      </w:r>
      <w:r w:rsidR="00323457" w:rsidRPr="00805366">
        <w:rPr>
          <w:color w:val="000000" w:themeColor="text1"/>
          <w:sz w:val="20"/>
          <w:szCs w:val="20"/>
        </w:rPr>
        <w:t>Office</w:t>
      </w:r>
      <w:r w:rsidR="00FF41A0">
        <w:rPr>
          <w:color w:val="000000" w:themeColor="text1"/>
          <w:sz w:val="20"/>
          <w:szCs w:val="20"/>
        </w:rPr>
        <w:t xml:space="preserve"> </w:t>
      </w:r>
      <w:r w:rsidR="00323457" w:rsidRPr="00805366">
        <w:rPr>
          <w:color w:val="000000" w:themeColor="text1"/>
          <w:sz w:val="20"/>
          <w:szCs w:val="20"/>
        </w:rPr>
        <w:t>of</w:t>
      </w:r>
      <w:r w:rsidR="00FF41A0">
        <w:rPr>
          <w:color w:val="000000" w:themeColor="text1"/>
          <w:sz w:val="20"/>
          <w:szCs w:val="20"/>
        </w:rPr>
        <w:t xml:space="preserve"> </w:t>
      </w:r>
      <w:r w:rsidR="00323457" w:rsidRPr="00805366">
        <w:rPr>
          <w:color w:val="000000" w:themeColor="text1"/>
          <w:sz w:val="20"/>
          <w:szCs w:val="20"/>
        </w:rPr>
        <w:t>the</w:t>
      </w:r>
      <w:r w:rsidR="00FF41A0">
        <w:rPr>
          <w:color w:val="000000" w:themeColor="text1"/>
          <w:sz w:val="20"/>
          <w:szCs w:val="20"/>
        </w:rPr>
        <w:t xml:space="preserve"> </w:t>
      </w:r>
      <w:r w:rsidR="00323457" w:rsidRPr="00805366">
        <w:rPr>
          <w:color w:val="000000" w:themeColor="text1"/>
          <w:sz w:val="20"/>
          <w:szCs w:val="20"/>
        </w:rPr>
        <w:t>United</w:t>
      </w:r>
      <w:r w:rsidR="00FF41A0">
        <w:rPr>
          <w:color w:val="000000" w:themeColor="text1"/>
          <w:sz w:val="20"/>
          <w:szCs w:val="20"/>
        </w:rPr>
        <w:t xml:space="preserve"> </w:t>
      </w:r>
      <w:r w:rsidR="00323457" w:rsidRPr="00805366">
        <w:rPr>
          <w:color w:val="000000" w:themeColor="text1"/>
          <w:sz w:val="20"/>
          <w:szCs w:val="20"/>
        </w:rPr>
        <w:t>Nations</w:t>
      </w:r>
      <w:r w:rsidR="00FF41A0">
        <w:rPr>
          <w:color w:val="000000" w:themeColor="text1"/>
          <w:sz w:val="20"/>
          <w:szCs w:val="20"/>
        </w:rPr>
        <w:t xml:space="preserve"> </w:t>
      </w:r>
      <w:r w:rsidR="00323457" w:rsidRPr="00805366">
        <w:rPr>
          <w:color w:val="000000" w:themeColor="text1"/>
          <w:sz w:val="20"/>
          <w:szCs w:val="20"/>
        </w:rPr>
        <w:t>High</w:t>
      </w:r>
      <w:r w:rsidR="00FF41A0">
        <w:rPr>
          <w:color w:val="000000" w:themeColor="text1"/>
          <w:sz w:val="20"/>
          <w:szCs w:val="20"/>
        </w:rPr>
        <w:t xml:space="preserve"> </w:t>
      </w:r>
      <w:r w:rsidR="00323457" w:rsidRPr="00805366">
        <w:rPr>
          <w:color w:val="000000" w:themeColor="text1"/>
          <w:sz w:val="20"/>
          <w:szCs w:val="20"/>
        </w:rPr>
        <w:t>Commissioner</w:t>
      </w:r>
      <w:r w:rsidR="00FF41A0">
        <w:rPr>
          <w:color w:val="000000" w:themeColor="text1"/>
          <w:sz w:val="20"/>
          <w:szCs w:val="20"/>
        </w:rPr>
        <w:t xml:space="preserve"> </w:t>
      </w:r>
      <w:r w:rsidR="00323457" w:rsidRPr="00805366">
        <w:rPr>
          <w:color w:val="000000" w:themeColor="text1"/>
          <w:sz w:val="20"/>
          <w:szCs w:val="20"/>
        </w:rPr>
        <w:t>for</w:t>
      </w:r>
      <w:r w:rsidR="00FF41A0">
        <w:rPr>
          <w:color w:val="000000" w:themeColor="text1"/>
          <w:sz w:val="20"/>
          <w:szCs w:val="20"/>
        </w:rPr>
        <w:t xml:space="preserve"> </w:t>
      </w:r>
      <w:r w:rsidR="00323457" w:rsidRPr="00805366">
        <w:rPr>
          <w:color w:val="000000" w:themeColor="text1"/>
          <w:sz w:val="20"/>
          <w:szCs w:val="20"/>
        </w:rPr>
        <w:t>Human</w:t>
      </w:r>
      <w:r w:rsidR="00FF41A0">
        <w:rPr>
          <w:color w:val="000000" w:themeColor="text1"/>
          <w:sz w:val="20"/>
          <w:szCs w:val="20"/>
        </w:rPr>
        <w:t xml:space="preserve"> </w:t>
      </w:r>
      <w:r w:rsidR="00323457" w:rsidRPr="00805366">
        <w:rPr>
          <w:color w:val="000000" w:themeColor="text1"/>
          <w:sz w:val="20"/>
          <w:szCs w:val="20"/>
        </w:rPr>
        <w:t>Rights</w:t>
      </w:r>
      <w:r w:rsidR="00323457" w:rsidRPr="0059638B">
        <w:rPr>
          <w:sz w:val="20"/>
          <w:szCs w:val="20"/>
        </w:rPr>
        <w:t>,</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matter.</w:t>
      </w:r>
      <w:r w:rsidR="00FF41A0">
        <w:rPr>
          <w:sz w:val="20"/>
          <w:szCs w:val="20"/>
        </w:rPr>
        <w:t xml:space="preserve"> </w:t>
      </w:r>
    </w:p>
    <w:p w14:paraId="7F8AD2D5" w14:textId="6DC7FE2D" w:rsidR="00323457" w:rsidRPr="0059638B" w:rsidRDefault="00972F1E" w:rsidP="00323457">
      <w:pPr>
        <w:pStyle w:val="SingleTxtG"/>
        <w:rPr>
          <w:sz w:val="20"/>
          <w:szCs w:val="20"/>
        </w:rPr>
      </w:pPr>
      <w:r>
        <w:rPr>
          <w:sz w:val="20"/>
          <w:szCs w:val="20"/>
        </w:rPr>
        <w:t>758</w:t>
      </w:r>
      <w:r w:rsidR="00D7475F">
        <w:rPr>
          <w:sz w:val="20"/>
          <w:szCs w:val="20"/>
        </w:rPr>
        <w:t>.</w:t>
      </w:r>
      <w:r w:rsidR="00D7475F">
        <w:rPr>
          <w:sz w:val="20"/>
          <w:szCs w:val="20"/>
        </w:rPr>
        <w:tab/>
      </w:r>
      <w:r w:rsidR="00323457" w:rsidRPr="0059638B">
        <w:rPr>
          <w:sz w:val="20"/>
          <w:szCs w:val="20"/>
        </w:rPr>
        <w:t>Belize</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accepted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majority</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concerning</w:t>
      </w:r>
      <w:r w:rsidR="00FF41A0">
        <w:rPr>
          <w:sz w:val="20"/>
          <w:szCs w:val="20"/>
        </w:rPr>
        <w:t xml:space="preserve"> </w:t>
      </w:r>
      <w:r w:rsidR="00323457" w:rsidRPr="0059638B">
        <w:rPr>
          <w:sz w:val="20"/>
          <w:szCs w:val="20"/>
        </w:rPr>
        <w:t>equality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non-discrimination.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Constitution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guaranteed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every</w:t>
      </w:r>
      <w:r w:rsidR="00FF41A0">
        <w:rPr>
          <w:sz w:val="20"/>
          <w:szCs w:val="20"/>
        </w:rPr>
        <w:t xml:space="preserve"> </w:t>
      </w:r>
      <w:r w:rsidR="00323457" w:rsidRPr="0059638B">
        <w:rPr>
          <w:sz w:val="20"/>
          <w:szCs w:val="20"/>
        </w:rPr>
        <w:t>person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country</w:t>
      </w:r>
      <w:r w:rsidR="00FF41A0">
        <w:rPr>
          <w:sz w:val="20"/>
          <w:szCs w:val="20"/>
        </w:rPr>
        <w:t xml:space="preserve"> </w:t>
      </w:r>
      <w:r w:rsidR="00323457" w:rsidRPr="0059638B">
        <w:rPr>
          <w:sz w:val="20"/>
          <w:szCs w:val="20"/>
        </w:rPr>
        <w:t>from</w:t>
      </w:r>
      <w:r w:rsidR="00FF41A0">
        <w:rPr>
          <w:sz w:val="20"/>
          <w:szCs w:val="20"/>
        </w:rPr>
        <w:t xml:space="preserve"> </w:t>
      </w:r>
      <w:r w:rsidR="00323457" w:rsidRPr="0059638B">
        <w:rPr>
          <w:sz w:val="20"/>
          <w:szCs w:val="20"/>
        </w:rPr>
        <w:t>any</w:t>
      </w:r>
      <w:r w:rsidR="00FF41A0">
        <w:rPr>
          <w:sz w:val="20"/>
          <w:szCs w:val="20"/>
        </w:rPr>
        <w:t xml:space="preserve"> </w:t>
      </w:r>
      <w:r w:rsidR="00323457" w:rsidRPr="0059638B">
        <w:rPr>
          <w:sz w:val="20"/>
          <w:szCs w:val="20"/>
        </w:rPr>
        <w:t>type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discrimination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Supreme</w:t>
      </w:r>
      <w:r w:rsidR="00FF41A0">
        <w:rPr>
          <w:sz w:val="20"/>
          <w:szCs w:val="20"/>
        </w:rPr>
        <w:t xml:space="preserve"> </w:t>
      </w:r>
      <w:r w:rsidR="00323457" w:rsidRPr="0059638B">
        <w:rPr>
          <w:sz w:val="20"/>
          <w:szCs w:val="20"/>
        </w:rPr>
        <w:t>Court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recently</w:t>
      </w:r>
      <w:r w:rsidR="00FF41A0">
        <w:rPr>
          <w:sz w:val="20"/>
          <w:szCs w:val="20"/>
        </w:rPr>
        <w:t xml:space="preserve"> </w:t>
      </w:r>
      <w:r w:rsidR="00323457" w:rsidRPr="0059638B">
        <w:rPr>
          <w:sz w:val="20"/>
          <w:szCs w:val="20"/>
        </w:rPr>
        <w:t>upheld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constitutional</w:t>
      </w:r>
      <w:r w:rsidR="00FF41A0">
        <w:rPr>
          <w:sz w:val="20"/>
          <w:szCs w:val="20"/>
        </w:rPr>
        <w:t xml:space="preserve"> </w:t>
      </w:r>
      <w:r w:rsidR="00323457" w:rsidRPr="0059638B">
        <w:rPr>
          <w:sz w:val="20"/>
          <w:szCs w:val="20"/>
        </w:rPr>
        <w:t>guarantee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non-discrimination</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striking</w:t>
      </w:r>
      <w:r w:rsidR="00FF41A0">
        <w:rPr>
          <w:sz w:val="20"/>
          <w:szCs w:val="20"/>
        </w:rPr>
        <w:t xml:space="preserve"> </w:t>
      </w:r>
      <w:r w:rsidR="00323457" w:rsidRPr="0059638B">
        <w:rPr>
          <w:sz w:val="20"/>
          <w:szCs w:val="20"/>
        </w:rPr>
        <w:t>down</w:t>
      </w:r>
      <w:r w:rsidR="00FF41A0">
        <w:rPr>
          <w:sz w:val="20"/>
          <w:szCs w:val="20"/>
        </w:rPr>
        <w:t xml:space="preserve"> </w:t>
      </w:r>
      <w:r w:rsidR="00323457" w:rsidRPr="0059638B">
        <w:rPr>
          <w:sz w:val="20"/>
          <w:szCs w:val="20"/>
        </w:rPr>
        <w:t>Section</w:t>
      </w:r>
      <w:r w:rsidR="00FF41A0">
        <w:rPr>
          <w:sz w:val="20"/>
          <w:szCs w:val="20"/>
        </w:rPr>
        <w:t xml:space="preserve"> </w:t>
      </w:r>
      <w:r w:rsidR="00323457" w:rsidRPr="0059638B">
        <w:rPr>
          <w:sz w:val="20"/>
          <w:szCs w:val="20"/>
        </w:rPr>
        <w:t>53</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Criminal</w:t>
      </w:r>
      <w:r w:rsidR="00FF41A0">
        <w:rPr>
          <w:sz w:val="20"/>
          <w:szCs w:val="20"/>
        </w:rPr>
        <w:t xml:space="preserve"> </w:t>
      </w:r>
      <w:r w:rsidR="00323457" w:rsidRPr="0059638B">
        <w:rPr>
          <w:sz w:val="20"/>
          <w:szCs w:val="20"/>
        </w:rPr>
        <w:t>Code,</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criminalized</w:t>
      </w:r>
      <w:r w:rsidR="00FF41A0">
        <w:rPr>
          <w:sz w:val="20"/>
          <w:szCs w:val="20"/>
        </w:rPr>
        <w:t xml:space="preserve"> </w:t>
      </w:r>
      <w:r w:rsidR="00323457" w:rsidRPr="0059638B">
        <w:rPr>
          <w:sz w:val="20"/>
          <w:szCs w:val="20"/>
        </w:rPr>
        <w:t>consensual</w:t>
      </w:r>
      <w:r w:rsidR="00FF41A0">
        <w:rPr>
          <w:sz w:val="20"/>
          <w:szCs w:val="20"/>
        </w:rPr>
        <w:t xml:space="preserve"> </w:t>
      </w:r>
      <w:r w:rsidR="00323457" w:rsidRPr="0059638B">
        <w:rPr>
          <w:sz w:val="20"/>
          <w:szCs w:val="20"/>
        </w:rPr>
        <w:t>sexual</w:t>
      </w:r>
      <w:r w:rsidR="00FF41A0">
        <w:rPr>
          <w:sz w:val="20"/>
          <w:szCs w:val="20"/>
        </w:rPr>
        <w:t xml:space="preserve"> </w:t>
      </w:r>
      <w:r w:rsidR="00323457" w:rsidRPr="0059638B">
        <w:rPr>
          <w:sz w:val="20"/>
          <w:szCs w:val="20"/>
        </w:rPr>
        <w:t>intercourse</w:t>
      </w:r>
      <w:r w:rsidR="00FF41A0">
        <w:rPr>
          <w:sz w:val="20"/>
          <w:szCs w:val="20"/>
        </w:rPr>
        <w:t xml:space="preserve"> </w:t>
      </w:r>
      <w:r w:rsidR="00323457" w:rsidRPr="0059638B">
        <w:rPr>
          <w:sz w:val="20"/>
          <w:szCs w:val="20"/>
        </w:rPr>
        <w:t>between</w:t>
      </w:r>
      <w:r w:rsidR="00FF41A0">
        <w:rPr>
          <w:sz w:val="20"/>
          <w:szCs w:val="20"/>
        </w:rPr>
        <w:t xml:space="preserve"> </w:t>
      </w:r>
      <w:r w:rsidR="00323457" w:rsidRPr="0059638B">
        <w:rPr>
          <w:sz w:val="20"/>
          <w:szCs w:val="20"/>
        </w:rPr>
        <w:t>two</w:t>
      </w:r>
      <w:r w:rsidR="00FF41A0">
        <w:rPr>
          <w:sz w:val="20"/>
          <w:szCs w:val="20"/>
        </w:rPr>
        <w:t xml:space="preserve"> </w:t>
      </w:r>
      <w:r w:rsidR="00323457" w:rsidRPr="0059638B">
        <w:rPr>
          <w:sz w:val="20"/>
          <w:szCs w:val="20"/>
        </w:rPr>
        <w:t>adults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same</w:t>
      </w:r>
      <w:r w:rsidR="00FF41A0">
        <w:rPr>
          <w:sz w:val="20"/>
          <w:szCs w:val="20"/>
        </w:rPr>
        <w:t xml:space="preserve"> </w:t>
      </w:r>
      <w:r w:rsidR="00323457" w:rsidRPr="0059638B">
        <w:rPr>
          <w:sz w:val="20"/>
          <w:szCs w:val="20"/>
        </w:rPr>
        <w:t>sex.</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informed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process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developing</w:t>
      </w:r>
      <w:r w:rsidR="00FF41A0">
        <w:rPr>
          <w:sz w:val="20"/>
          <w:szCs w:val="20"/>
        </w:rPr>
        <w:t xml:space="preserve"> </w:t>
      </w:r>
      <w:r w:rsidR="00323457" w:rsidRPr="0059638B">
        <w:rPr>
          <w:sz w:val="20"/>
          <w:szCs w:val="20"/>
        </w:rPr>
        <w:t>an</w:t>
      </w:r>
      <w:r w:rsidR="00FF41A0">
        <w:rPr>
          <w:sz w:val="20"/>
          <w:szCs w:val="20"/>
        </w:rPr>
        <w:t xml:space="preserve"> </w:t>
      </w:r>
      <w:r w:rsidR="00323457" w:rsidRPr="0059638B">
        <w:rPr>
          <w:sz w:val="20"/>
          <w:szCs w:val="20"/>
        </w:rPr>
        <w:t>Anti-Discrimination</w:t>
      </w:r>
      <w:r w:rsidR="00FF41A0">
        <w:rPr>
          <w:sz w:val="20"/>
          <w:szCs w:val="20"/>
        </w:rPr>
        <w:t xml:space="preserve"> </w:t>
      </w:r>
      <w:r w:rsidR="00323457" w:rsidRPr="0059638B">
        <w:rPr>
          <w:sz w:val="20"/>
          <w:szCs w:val="20"/>
        </w:rPr>
        <w:t>Bill</w:t>
      </w:r>
      <w:r w:rsidR="00FF41A0">
        <w:rPr>
          <w:sz w:val="20"/>
          <w:szCs w:val="20"/>
        </w:rPr>
        <w:t xml:space="preserve"> </w:t>
      </w:r>
      <w:r w:rsidR="00323457" w:rsidRPr="0059638B">
        <w:rPr>
          <w:sz w:val="20"/>
          <w:szCs w:val="20"/>
        </w:rPr>
        <w:t>intended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address</w:t>
      </w:r>
      <w:r w:rsidR="00FF41A0">
        <w:rPr>
          <w:sz w:val="20"/>
          <w:szCs w:val="20"/>
        </w:rPr>
        <w:t xml:space="preserve"> </w:t>
      </w:r>
      <w:r w:rsidR="00323457" w:rsidRPr="0059638B">
        <w:rPr>
          <w:sz w:val="20"/>
          <w:szCs w:val="20"/>
        </w:rPr>
        <w:t>non-discrimination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comprehensive</w:t>
      </w:r>
      <w:r w:rsidR="00FF41A0">
        <w:rPr>
          <w:sz w:val="20"/>
          <w:szCs w:val="20"/>
        </w:rPr>
        <w:t xml:space="preserve"> </w:t>
      </w:r>
      <w:r w:rsidR="00323457" w:rsidRPr="0059638B">
        <w:rPr>
          <w:sz w:val="20"/>
          <w:szCs w:val="20"/>
        </w:rPr>
        <w:t>manner.</w:t>
      </w:r>
      <w:r w:rsidR="00FF41A0">
        <w:rPr>
          <w:sz w:val="20"/>
          <w:szCs w:val="20"/>
        </w:rPr>
        <w:t xml:space="preserve"> </w:t>
      </w:r>
    </w:p>
    <w:p w14:paraId="0BC7397B" w14:textId="6C4686F7" w:rsidR="00323457" w:rsidRPr="0059638B" w:rsidRDefault="00972F1E" w:rsidP="00323457">
      <w:pPr>
        <w:pStyle w:val="SingleTxtG"/>
        <w:rPr>
          <w:sz w:val="20"/>
          <w:szCs w:val="20"/>
        </w:rPr>
      </w:pPr>
      <w:r>
        <w:rPr>
          <w:sz w:val="20"/>
          <w:szCs w:val="20"/>
        </w:rPr>
        <w:t>759</w:t>
      </w:r>
      <w:r w:rsidR="00D7475F">
        <w:rPr>
          <w:sz w:val="20"/>
          <w:szCs w:val="20"/>
        </w:rPr>
        <w:t>.</w:t>
      </w:r>
      <w:r w:rsidR="00D7475F">
        <w:rPr>
          <w:sz w:val="20"/>
          <w:szCs w:val="20"/>
        </w:rPr>
        <w:tab/>
      </w:r>
      <w:r w:rsidR="00323457" w:rsidRPr="0059638B">
        <w:rPr>
          <w:sz w:val="20"/>
          <w:szCs w:val="20"/>
        </w:rPr>
        <w:t>Belize</w:t>
      </w:r>
      <w:r w:rsidR="00FF41A0">
        <w:rPr>
          <w:sz w:val="20"/>
          <w:szCs w:val="20"/>
        </w:rPr>
        <w:t xml:space="preserve"> </w:t>
      </w:r>
      <w:r w:rsidR="00323457" w:rsidRPr="0059638B">
        <w:rPr>
          <w:sz w:val="20"/>
          <w:szCs w:val="20"/>
        </w:rPr>
        <w:t>accepted</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concerning</w:t>
      </w:r>
      <w:r w:rsidR="00FF41A0">
        <w:rPr>
          <w:sz w:val="20"/>
          <w:szCs w:val="20"/>
        </w:rPr>
        <w:t xml:space="preserve"> </w:t>
      </w:r>
      <w:r w:rsidR="00323457" w:rsidRPr="0059638B">
        <w:rPr>
          <w:sz w:val="20"/>
          <w:szCs w:val="20"/>
        </w:rPr>
        <w:t>trafficking</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persons.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2013,</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revised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Trafficking</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Persons</w:t>
      </w:r>
      <w:r w:rsidR="00FF41A0">
        <w:rPr>
          <w:sz w:val="20"/>
          <w:szCs w:val="20"/>
        </w:rPr>
        <w:t xml:space="preserve"> </w:t>
      </w:r>
      <w:r w:rsidR="00323457" w:rsidRPr="0059638B">
        <w:rPr>
          <w:sz w:val="20"/>
          <w:szCs w:val="20"/>
        </w:rPr>
        <w:t>Prohibition</w:t>
      </w:r>
      <w:r w:rsidR="00FF41A0">
        <w:rPr>
          <w:sz w:val="20"/>
          <w:szCs w:val="20"/>
        </w:rPr>
        <w:t xml:space="preserve"> </w:t>
      </w:r>
      <w:r w:rsidR="00323457" w:rsidRPr="0059638B">
        <w:rPr>
          <w:sz w:val="20"/>
          <w:szCs w:val="20"/>
        </w:rPr>
        <w:t>Act,</w:t>
      </w:r>
      <w:r w:rsidR="00FF41A0">
        <w:rPr>
          <w:sz w:val="20"/>
          <w:szCs w:val="20"/>
        </w:rPr>
        <w:t xml:space="preserve"> </w:t>
      </w:r>
      <w:r w:rsidR="00323457" w:rsidRPr="0059638B">
        <w:rPr>
          <w:sz w:val="20"/>
          <w:szCs w:val="20"/>
        </w:rPr>
        <w:t>increasing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penalties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establishing</w:t>
      </w:r>
      <w:r w:rsidR="00FF41A0">
        <w:rPr>
          <w:sz w:val="20"/>
          <w:szCs w:val="20"/>
        </w:rPr>
        <w:t xml:space="preserve"> </w:t>
      </w:r>
      <w:r w:rsidR="00323457" w:rsidRPr="0059638B">
        <w:rPr>
          <w:sz w:val="20"/>
          <w:szCs w:val="20"/>
        </w:rPr>
        <w:t>an</w:t>
      </w:r>
      <w:r w:rsidR="00FF41A0">
        <w:rPr>
          <w:sz w:val="20"/>
          <w:szCs w:val="20"/>
        </w:rPr>
        <w:t xml:space="preserve"> </w:t>
      </w:r>
      <w:r w:rsidR="00323457" w:rsidRPr="0059638B">
        <w:rPr>
          <w:sz w:val="20"/>
          <w:szCs w:val="20"/>
        </w:rPr>
        <w:t>Anti-trafficking</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Persons</w:t>
      </w:r>
      <w:r w:rsidR="00FF41A0">
        <w:rPr>
          <w:sz w:val="20"/>
          <w:szCs w:val="20"/>
        </w:rPr>
        <w:t xml:space="preserve"> </w:t>
      </w:r>
      <w:r w:rsidR="00323457" w:rsidRPr="0059638B">
        <w:rPr>
          <w:sz w:val="20"/>
          <w:szCs w:val="20"/>
        </w:rPr>
        <w:t>Council.</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continued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public</w:t>
      </w:r>
      <w:r w:rsidR="00FF41A0">
        <w:rPr>
          <w:sz w:val="20"/>
          <w:szCs w:val="20"/>
        </w:rPr>
        <w:t xml:space="preserve"> </w:t>
      </w:r>
      <w:r w:rsidR="00323457" w:rsidRPr="0059638B">
        <w:rPr>
          <w:sz w:val="20"/>
          <w:szCs w:val="20"/>
        </w:rPr>
        <w:t>education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training</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front</w:t>
      </w:r>
      <w:r w:rsidR="00FF41A0">
        <w:rPr>
          <w:sz w:val="20"/>
          <w:szCs w:val="20"/>
        </w:rPr>
        <w:t xml:space="preserve"> </w:t>
      </w:r>
      <w:r w:rsidR="00323457" w:rsidRPr="0059638B">
        <w:rPr>
          <w:sz w:val="20"/>
          <w:szCs w:val="20"/>
        </w:rPr>
        <w:t>line</w:t>
      </w:r>
      <w:r w:rsidR="00FF41A0">
        <w:rPr>
          <w:sz w:val="20"/>
          <w:szCs w:val="20"/>
        </w:rPr>
        <w:t xml:space="preserve"> </w:t>
      </w:r>
      <w:r w:rsidR="00323457" w:rsidRPr="0059638B">
        <w:rPr>
          <w:sz w:val="20"/>
          <w:szCs w:val="20"/>
        </w:rPr>
        <w:t>stakeholders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victim</w:t>
      </w:r>
      <w:r w:rsidR="00FF41A0">
        <w:rPr>
          <w:sz w:val="20"/>
          <w:szCs w:val="20"/>
        </w:rPr>
        <w:t xml:space="preserve"> </w:t>
      </w:r>
      <w:r w:rsidR="00323457" w:rsidRPr="0059638B">
        <w:rPr>
          <w:sz w:val="20"/>
          <w:szCs w:val="20"/>
        </w:rPr>
        <w:t>identification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referral.</w:t>
      </w:r>
      <w:r w:rsidR="00FF41A0">
        <w:rPr>
          <w:sz w:val="20"/>
          <w:szCs w:val="20"/>
        </w:rPr>
        <w:t xml:space="preserve"> </w:t>
      </w:r>
      <w:r w:rsidR="00323457" w:rsidRPr="0059638B">
        <w:rPr>
          <w:sz w:val="20"/>
          <w:szCs w:val="20"/>
        </w:rPr>
        <w:t>Furthermore,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2017,</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Executive</w:t>
      </w:r>
      <w:r w:rsidR="00FF41A0">
        <w:rPr>
          <w:sz w:val="20"/>
          <w:szCs w:val="20"/>
        </w:rPr>
        <w:t xml:space="preserve"> </w:t>
      </w:r>
      <w:r w:rsidR="00323457" w:rsidRPr="0059638B">
        <w:rPr>
          <w:sz w:val="20"/>
          <w:szCs w:val="20"/>
        </w:rPr>
        <w:t>directed</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number</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measures</w:t>
      </w:r>
      <w:r w:rsidR="00FF41A0">
        <w:rPr>
          <w:sz w:val="20"/>
          <w:szCs w:val="20"/>
        </w:rPr>
        <w:t xml:space="preserve"> </w:t>
      </w:r>
      <w:r w:rsidR="00323457" w:rsidRPr="0059638B">
        <w:rPr>
          <w:sz w:val="20"/>
          <w:szCs w:val="20"/>
        </w:rPr>
        <w:t>aimed</w:t>
      </w:r>
      <w:r w:rsidR="00FF41A0">
        <w:rPr>
          <w:sz w:val="20"/>
          <w:szCs w:val="20"/>
        </w:rPr>
        <w:t xml:space="preserve"> </w:t>
      </w:r>
      <w:r w:rsidR="00323457" w:rsidRPr="0059638B">
        <w:rPr>
          <w:sz w:val="20"/>
          <w:szCs w:val="20"/>
        </w:rPr>
        <w:t>at</w:t>
      </w:r>
      <w:r w:rsidR="00FF41A0">
        <w:rPr>
          <w:sz w:val="20"/>
          <w:szCs w:val="20"/>
        </w:rPr>
        <w:t xml:space="preserve"> </w:t>
      </w:r>
      <w:r w:rsidR="00323457" w:rsidRPr="0059638B">
        <w:rPr>
          <w:sz w:val="20"/>
          <w:szCs w:val="20"/>
        </w:rPr>
        <w:t>improving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prosecution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trafficking</w:t>
      </w:r>
      <w:r w:rsidR="00FF41A0">
        <w:rPr>
          <w:sz w:val="20"/>
          <w:szCs w:val="20"/>
        </w:rPr>
        <w:t xml:space="preserve"> </w:t>
      </w:r>
      <w:r w:rsidR="00323457" w:rsidRPr="0059638B">
        <w:rPr>
          <w:sz w:val="20"/>
          <w:szCs w:val="20"/>
        </w:rPr>
        <w:t>cases.</w:t>
      </w:r>
      <w:r w:rsidR="00FF41A0">
        <w:rPr>
          <w:sz w:val="20"/>
          <w:szCs w:val="20"/>
        </w:rPr>
        <w:t xml:space="preserve"> </w:t>
      </w:r>
    </w:p>
    <w:p w14:paraId="74F4E026" w14:textId="0B2B7503" w:rsidR="00323457" w:rsidRPr="0059638B" w:rsidRDefault="00972F1E" w:rsidP="00323457">
      <w:pPr>
        <w:pStyle w:val="SingleTxtG"/>
        <w:rPr>
          <w:sz w:val="20"/>
          <w:szCs w:val="20"/>
        </w:rPr>
      </w:pPr>
      <w:r>
        <w:rPr>
          <w:sz w:val="20"/>
          <w:szCs w:val="20"/>
        </w:rPr>
        <w:t>760</w:t>
      </w:r>
      <w:r w:rsidR="00D7475F">
        <w:rPr>
          <w:sz w:val="20"/>
          <w:szCs w:val="20"/>
        </w:rPr>
        <w:t>.</w:t>
      </w:r>
      <w:r w:rsidR="00D7475F">
        <w:rPr>
          <w:sz w:val="20"/>
          <w:szCs w:val="20"/>
        </w:rPr>
        <w:tab/>
      </w:r>
      <w:r w:rsidR="00323457" w:rsidRPr="0059638B">
        <w:rPr>
          <w:sz w:val="20"/>
          <w:szCs w:val="20"/>
        </w:rPr>
        <w:t>Belize</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large</w:t>
      </w:r>
      <w:r w:rsidR="00FF41A0">
        <w:rPr>
          <w:sz w:val="20"/>
          <w:szCs w:val="20"/>
        </w:rPr>
        <w:t xml:space="preserve"> </w:t>
      </w:r>
      <w:r w:rsidR="00323457" w:rsidRPr="0059638B">
        <w:rPr>
          <w:sz w:val="20"/>
          <w:szCs w:val="20"/>
        </w:rPr>
        <w:t>number</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received</w:t>
      </w:r>
      <w:r w:rsidR="00FF41A0">
        <w:rPr>
          <w:sz w:val="20"/>
          <w:szCs w:val="20"/>
        </w:rPr>
        <w:t xml:space="preserve"> </w:t>
      </w:r>
      <w:r w:rsidR="00323457" w:rsidRPr="0059638B">
        <w:rPr>
          <w:sz w:val="20"/>
          <w:szCs w:val="20"/>
        </w:rPr>
        <w:t>related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discrimination</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accepted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majority</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them.</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long</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advancing</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work</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implementation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Policy</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Gender</w:t>
      </w:r>
      <w:r w:rsidR="00FF41A0">
        <w:rPr>
          <w:sz w:val="20"/>
          <w:szCs w:val="20"/>
        </w:rPr>
        <w:t xml:space="preserve"> </w:t>
      </w:r>
      <w:r w:rsidR="00323457" w:rsidRPr="0059638B">
        <w:rPr>
          <w:sz w:val="20"/>
          <w:szCs w:val="20"/>
        </w:rPr>
        <w:t>Equality</w:t>
      </w:r>
      <w:r w:rsidR="00FF41A0">
        <w:rPr>
          <w:sz w:val="20"/>
          <w:szCs w:val="20"/>
        </w:rPr>
        <w:t xml:space="preserve"> </w:t>
      </w:r>
      <w:r w:rsidR="00323457" w:rsidRPr="0059638B">
        <w:rPr>
          <w:sz w:val="20"/>
          <w:szCs w:val="20"/>
        </w:rPr>
        <w:t>adopted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March</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2013.</w:t>
      </w:r>
      <w:r w:rsidR="00FF41A0">
        <w:rPr>
          <w:sz w:val="20"/>
          <w:szCs w:val="20"/>
        </w:rPr>
        <w:t xml:space="preserve"> </w:t>
      </w:r>
      <w:r w:rsidR="00323457" w:rsidRPr="0059638B">
        <w:rPr>
          <w:sz w:val="20"/>
          <w:szCs w:val="20"/>
        </w:rPr>
        <w:t>Furthermore,</w:t>
      </w:r>
      <w:r w:rsidR="00FF41A0">
        <w:rPr>
          <w:sz w:val="20"/>
          <w:szCs w:val="20"/>
        </w:rPr>
        <w:t xml:space="preserve"> </w:t>
      </w:r>
      <w:r w:rsidR="00323457" w:rsidRPr="0059638B">
        <w:rPr>
          <w:sz w:val="20"/>
          <w:szCs w:val="20"/>
        </w:rPr>
        <w:t>Belize</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Women</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Commission</w:t>
      </w:r>
      <w:r w:rsidR="00FF41A0">
        <w:rPr>
          <w:sz w:val="20"/>
          <w:szCs w:val="20"/>
        </w:rPr>
        <w:t xml:space="preserve"> </w:t>
      </w:r>
      <w:r w:rsidR="00323457" w:rsidRPr="0059638B">
        <w:rPr>
          <w:sz w:val="20"/>
          <w:szCs w:val="20"/>
        </w:rPr>
        <w:t>established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Gender</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Gender-based</w:t>
      </w:r>
      <w:r w:rsidR="00FF41A0">
        <w:rPr>
          <w:sz w:val="20"/>
          <w:szCs w:val="20"/>
        </w:rPr>
        <w:t xml:space="preserve"> </w:t>
      </w:r>
      <w:r w:rsidR="00323457" w:rsidRPr="0059638B">
        <w:rPr>
          <w:sz w:val="20"/>
          <w:szCs w:val="20"/>
        </w:rPr>
        <w:t>Violence</w:t>
      </w:r>
      <w:r w:rsidR="00FF41A0">
        <w:rPr>
          <w:sz w:val="20"/>
          <w:szCs w:val="20"/>
        </w:rPr>
        <w:t xml:space="preserve"> </w:t>
      </w:r>
      <w:r w:rsidR="00323457" w:rsidRPr="0059638B">
        <w:rPr>
          <w:sz w:val="20"/>
          <w:szCs w:val="20"/>
        </w:rPr>
        <w:t>Committee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District</w:t>
      </w:r>
      <w:r w:rsidR="00FF41A0">
        <w:rPr>
          <w:sz w:val="20"/>
          <w:szCs w:val="20"/>
        </w:rPr>
        <w:t xml:space="preserve"> </w:t>
      </w:r>
      <w:r w:rsidR="00323457" w:rsidRPr="0059638B">
        <w:rPr>
          <w:sz w:val="20"/>
          <w:szCs w:val="20"/>
        </w:rPr>
        <w:t>Gender-based</w:t>
      </w:r>
      <w:r w:rsidR="00FF41A0">
        <w:rPr>
          <w:sz w:val="20"/>
          <w:szCs w:val="20"/>
        </w:rPr>
        <w:t xml:space="preserve"> </w:t>
      </w:r>
      <w:r w:rsidR="00323457" w:rsidRPr="0059638B">
        <w:rPr>
          <w:sz w:val="20"/>
          <w:szCs w:val="20"/>
        </w:rPr>
        <w:t>Violence</w:t>
      </w:r>
      <w:r w:rsidR="00FF41A0">
        <w:rPr>
          <w:sz w:val="20"/>
          <w:szCs w:val="20"/>
        </w:rPr>
        <w:t xml:space="preserve"> </w:t>
      </w:r>
      <w:r w:rsidR="00323457" w:rsidRPr="0059638B">
        <w:rPr>
          <w:sz w:val="20"/>
          <w:szCs w:val="20"/>
        </w:rPr>
        <w:t>Committees</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an</w:t>
      </w:r>
      <w:r w:rsidR="00FF41A0">
        <w:rPr>
          <w:sz w:val="20"/>
          <w:szCs w:val="20"/>
        </w:rPr>
        <w:t xml:space="preserve"> </w:t>
      </w:r>
      <w:r w:rsidR="00323457" w:rsidRPr="0059638B">
        <w:rPr>
          <w:sz w:val="20"/>
          <w:szCs w:val="20"/>
        </w:rPr>
        <w:t>integrated,</w:t>
      </w:r>
      <w:r w:rsidR="00FF41A0">
        <w:rPr>
          <w:sz w:val="20"/>
          <w:szCs w:val="20"/>
        </w:rPr>
        <w:t xml:space="preserve"> </w:t>
      </w:r>
      <w:r w:rsidR="00323457" w:rsidRPr="0059638B">
        <w:rPr>
          <w:sz w:val="20"/>
          <w:szCs w:val="20"/>
        </w:rPr>
        <w:t>multifaceted,</w:t>
      </w:r>
      <w:r w:rsidR="00FF41A0">
        <w:rPr>
          <w:sz w:val="20"/>
          <w:szCs w:val="20"/>
        </w:rPr>
        <w:t xml:space="preserve"> </w:t>
      </w:r>
      <w:r w:rsidR="00323457" w:rsidRPr="0059638B">
        <w:rPr>
          <w:sz w:val="20"/>
          <w:szCs w:val="20"/>
        </w:rPr>
        <w:t>multi-sectorial</w:t>
      </w:r>
      <w:r w:rsidR="00FF41A0">
        <w:rPr>
          <w:sz w:val="20"/>
          <w:szCs w:val="20"/>
        </w:rPr>
        <w:t xml:space="preserve"> </w:t>
      </w:r>
      <w:r w:rsidR="00323457" w:rsidRPr="0059638B">
        <w:rPr>
          <w:sz w:val="20"/>
          <w:szCs w:val="20"/>
        </w:rPr>
        <w:t>response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addressing</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forms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gender</w:t>
      </w:r>
      <w:r w:rsidR="00FF41A0">
        <w:rPr>
          <w:sz w:val="20"/>
          <w:szCs w:val="20"/>
        </w:rPr>
        <w:t xml:space="preserve"> </w:t>
      </w:r>
      <w:r w:rsidR="00323457" w:rsidRPr="0059638B">
        <w:rPr>
          <w:sz w:val="20"/>
          <w:szCs w:val="20"/>
        </w:rPr>
        <w:t>issues</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respect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five</w:t>
      </w:r>
      <w:r w:rsidR="00FF41A0">
        <w:rPr>
          <w:sz w:val="20"/>
          <w:szCs w:val="20"/>
        </w:rPr>
        <w:t xml:space="preserve"> </w:t>
      </w:r>
      <w:r w:rsidR="00323457" w:rsidRPr="0059638B">
        <w:rPr>
          <w:sz w:val="20"/>
          <w:szCs w:val="20"/>
        </w:rPr>
        <w:t>priority</w:t>
      </w:r>
      <w:r w:rsidR="00FF41A0">
        <w:rPr>
          <w:sz w:val="20"/>
          <w:szCs w:val="20"/>
        </w:rPr>
        <w:t xml:space="preserve"> </w:t>
      </w:r>
      <w:r w:rsidR="00323457" w:rsidRPr="0059638B">
        <w:rPr>
          <w:sz w:val="20"/>
          <w:szCs w:val="20"/>
        </w:rPr>
        <w:t>areas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Health,</w:t>
      </w:r>
      <w:r w:rsidR="00FF41A0">
        <w:rPr>
          <w:sz w:val="20"/>
          <w:szCs w:val="20"/>
        </w:rPr>
        <w:t xml:space="preserve"> </w:t>
      </w:r>
      <w:r w:rsidR="00323457" w:rsidRPr="0059638B">
        <w:rPr>
          <w:sz w:val="20"/>
          <w:szCs w:val="20"/>
        </w:rPr>
        <w:t>Education,</w:t>
      </w:r>
      <w:r w:rsidR="00FF41A0">
        <w:rPr>
          <w:sz w:val="20"/>
          <w:szCs w:val="20"/>
        </w:rPr>
        <w:t xml:space="preserve"> </w:t>
      </w:r>
      <w:r w:rsidR="00323457" w:rsidRPr="0059638B">
        <w:rPr>
          <w:sz w:val="20"/>
          <w:szCs w:val="20"/>
        </w:rPr>
        <w:t>Wealth</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Employment,</w:t>
      </w:r>
      <w:r w:rsidR="00FF41A0">
        <w:rPr>
          <w:sz w:val="20"/>
          <w:szCs w:val="20"/>
        </w:rPr>
        <w:t xml:space="preserve"> </w:t>
      </w:r>
      <w:r w:rsidR="00323457" w:rsidRPr="0059638B">
        <w:rPr>
          <w:sz w:val="20"/>
          <w:szCs w:val="20"/>
        </w:rPr>
        <w:t>Power</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Decision-making,</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Gender-Based</w:t>
      </w:r>
      <w:r w:rsidR="00FF41A0">
        <w:rPr>
          <w:sz w:val="20"/>
          <w:szCs w:val="20"/>
        </w:rPr>
        <w:t xml:space="preserve"> </w:t>
      </w:r>
      <w:r w:rsidR="00323457" w:rsidRPr="0059638B">
        <w:rPr>
          <w:sz w:val="20"/>
          <w:szCs w:val="20"/>
        </w:rPr>
        <w:t>Violence.</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committed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continue</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combat</w:t>
      </w:r>
      <w:r w:rsidR="00FF41A0">
        <w:rPr>
          <w:sz w:val="20"/>
          <w:szCs w:val="20"/>
        </w:rPr>
        <w:t xml:space="preserve"> </w:t>
      </w:r>
      <w:r w:rsidR="00323457" w:rsidRPr="0059638B">
        <w:rPr>
          <w:sz w:val="20"/>
          <w:szCs w:val="20"/>
        </w:rPr>
        <w:t>violence</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including,</w:t>
      </w:r>
      <w:r w:rsidR="00FF41A0">
        <w:rPr>
          <w:sz w:val="20"/>
          <w:szCs w:val="20"/>
        </w:rPr>
        <w:t xml:space="preserve"> </w:t>
      </w:r>
      <w:r w:rsidR="00323457" w:rsidRPr="0059638B">
        <w:rPr>
          <w:sz w:val="20"/>
          <w:szCs w:val="20"/>
        </w:rPr>
        <w:t>inter</w:t>
      </w:r>
      <w:r w:rsidR="00FF41A0">
        <w:rPr>
          <w:sz w:val="20"/>
          <w:szCs w:val="20"/>
        </w:rPr>
        <w:t xml:space="preserve"> </w:t>
      </w:r>
      <w:r w:rsidR="00323457" w:rsidRPr="0059638B">
        <w:rPr>
          <w:sz w:val="20"/>
          <w:szCs w:val="20"/>
        </w:rPr>
        <w:t>alia,</w:t>
      </w:r>
      <w:r w:rsidR="00FF41A0">
        <w:rPr>
          <w:sz w:val="20"/>
          <w:szCs w:val="20"/>
        </w:rPr>
        <w:t xml:space="preserve"> </w:t>
      </w:r>
      <w:r w:rsidR="00323457" w:rsidRPr="0059638B">
        <w:rPr>
          <w:sz w:val="20"/>
          <w:szCs w:val="20"/>
        </w:rPr>
        <w:t>through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drafting</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updated</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implementation</w:t>
      </w:r>
      <w:r w:rsidR="00FF41A0">
        <w:rPr>
          <w:sz w:val="20"/>
          <w:szCs w:val="20"/>
        </w:rPr>
        <w:t xml:space="preserve"> </w:t>
      </w:r>
      <w:r w:rsidR="00323457" w:rsidRPr="0059638B">
        <w:rPr>
          <w:sz w:val="20"/>
          <w:szCs w:val="20"/>
        </w:rPr>
        <w:t>plans</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Gender-Based</w:t>
      </w:r>
      <w:r w:rsidR="00FF41A0">
        <w:rPr>
          <w:sz w:val="20"/>
          <w:szCs w:val="20"/>
        </w:rPr>
        <w:t xml:space="preserve"> </w:t>
      </w:r>
      <w:r w:rsidR="00323457" w:rsidRPr="0059638B">
        <w:rPr>
          <w:sz w:val="20"/>
          <w:szCs w:val="20"/>
        </w:rPr>
        <w:t>Violence,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cross-sectional</w:t>
      </w:r>
      <w:r w:rsidR="00FF41A0">
        <w:rPr>
          <w:sz w:val="20"/>
          <w:szCs w:val="20"/>
        </w:rPr>
        <w:t xml:space="preserve"> </w:t>
      </w:r>
      <w:r w:rsidR="00323457" w:rsidRPr="0059638B">
        <w:rPr>
          <w:sz w:val="20"/>
          <w:szCs w:val="20"/>
        </w:rPr>
        <w:t>training</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front-line</w:t>
      </w:r>
      <w:r w:rsidR="00FF41A0">
        <w:rPr>
          <w:sz w:val="20"/>
          <w:szCs w:val="20"/>
        </w:rPr>
        <w:t xml:space="preserve"> </w:t>
      </w:r>
      <w:r w:rsidR="00323457" w:rsidRPr="0059638B">
        <w:rPr>
          <w:sz w:val="20"/>
          <w:szCs w:val="20"/>
        </w:rPr>
        <w:t>officers,</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surveillance</w:t>
      </w:r>
      <w:r w:rsidR="00FF41A0">
        <w:rPr>
          <w:sz w:val="20"/>
          <w:szCs w:val="20"/>
        </w:rPr>
        <w:t xml:space="preserve"> </w:t>
      </w:r>
      <w:r w:rsidR="00323457" w:rsidRPr="0059638B">
        <w:rPr>
          <w:sz w:val="20"/>
          <w:szCs w:val="20"/>
        </w:rPr>
        <w:t>systems,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strengthened</w:t>
      </w:r>
      <w:r w:rsidR="00FF41A0">
        <w:rPr>
          <w:sz w:val="20"/>
          <w:szCs w:val="20"/>
        </w:rPr>
        <w:t xml:space="preserve"> </w:t>
      </w:r>
      <w:r w:rsidR="00323457" w:rsidRPr="0059638B">
        <w:rPr>
          <w:sz w:val="20"/>
          <w:szCs w:val="20"/>
        </w:rPr>
        <w:t>psychosocial</w:t>
      </w:r>
      <w:r w:rsidR="00FF41A0">
        <w:rPr>
          <w:sz w:val="20"/>
          <w:szCs w:val="20"/>
        </w:rPr>
        <w:t xml:space="preserve"> </w:t>
      </w:r>
      <w:r w:rsidR="00323457" w:rsidRPr="0059638B">
        <w:rPr>
          <w:sz w:val="20"/>
          <w:szCs w:val="20"/>
        </w:rPr>
        <w:t>support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survivors.</w:t>
      </w:r>
    </w:p>
    <w:p w14:paraId="7148020B" w14:textId="4194A8E0" w:rsidR="00323457" w:rsidRPr="0059638B" w:rsidRDefault="00972F1E" w:rsidP="00323457">
      <w:pPr>
        <w:pStyle w:val="SingleTxtG"/>
        <w:rPr>
          <w:sz w:val="20"/>
          <w:szCs w:val="20"/>
        </w:rPr>
      </w:pPr>
      <w:r>
        <w:rPr>
          <w:sz w:val="20"/>
          <w:szCs w:val="20"/>
        </w:rPr>
        <w:t>761</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delegation</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number</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states</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called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continue</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work</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fields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education,</w:t>
      </w:r>
      <w:r w:rsidR="00FF41A0">
        <w:rPr>
          <w:sz w:val="20"/>
          <w:szCs w:val="20"/>
        </w:rPr>
        <w:t xml:space="preserve"> </w:t>
      </w:r>
      <w:r w:rsidR="00323457" w:rsidRPr="0059638B">
        <w:rPr>
          <w:sz w:val="20"/>
          <w:szCs w:val="20"/>
        </w:rPr>
        <w:t>health</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development.</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accepted</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these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recognized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there</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always</w:t>
      </w:r>
      <w:r w:rsidR="00FF41A0">
        <w:rPr>
          <w:sz w:val="20"/>
          <w:szCs w:val="20"/>
        </w:rPr>
        <w:t xml:space="preserve"> </w:t>
      </w:r>
      <w:r w:rsidR="00323457" w:rsidRPr="0059638B">
        <w:rPr>
          <w:sz w:val="20"/>
          <w:szCs w:val="20"/>
        </w:rPr>
        <w:t>more</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could</w:t>
      </w:r>
      <w:r w:rsidR="00FF41A0">
        <w:rPr>
          <w:sz w:val="20"/>
          <w:szCs w:val="20"/>
        </w:rPr>
        <w:t xml:space="preserve"> </w:t>
      </w:r>
      <w:r w:rsidR="00323457" w:rsidRPr="0059638B">
        <w:rPr>
          <w:sz w:val="20"/>
          <w:szCs w:val="20"/>
        </w:rPr>
        <w:t>be</w:t>
      </w:r>
      <w:r w:rsidR="00FF41A0">
        <w:rPr>
          <w:sz w:val="20"/>
          <w:szCs w:val="20"/>
        </w:rPr>
        <w:t xml:space="preserve"> </w:t>
      </w:r>
      <w:r w:rsidR="00323457" w:rsidRPr="0059638B">
        <w:rPr>
          <w:sz w:val="20"/>
          <w:szCs w:val="20"/>
        </w:rPr>
        <w:t>done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these</w:t>
      </w:r>
      <w:r w:rsidR="00FF41A0">
        <w:rPr>
          <w:sz w:val="20"/>
          <w:szCs w:val="20"/>
        </w:rPr>
        <w:t xml:space="preserve"> </w:t>
      </w:r>
      <w:r w:rsidR="00323457" w:rsidRPr="0059638B">
        <w:rPr>
          <w:sz w:val="20"/>
          <w:szCs w:val="20"/>
        </w:rPr>
        <w:t>sectors.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continued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invest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expand</w:t>
      </w:r>
      <w:r w:rsidR="00FF41A0">
        <w:rPr>
          <w:sz w:val="20"/>
          <w:szCs w:val="20"/>
        </w:rPr>
        <w:t xml:space="preserve"> </w:t>
      </w:r>
      <w:r w:rsidR="00323457" w:rsidRPr="0059638B">
        <w:rPr>
          <w:sz w:val="20"/>
          <w:szCs w:val="20"/>
        </w:rPr>
        <w:t>access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education,</w:t>
      </w:r>
      <w:r w:rsidR="00FF41A0">
        <w:rPr>
          <w:sz w:val="20"/>
          <w:szCs w:val="20"/>
        </w:rPr>
        <w:t xml:space="preserve"> </w:t>
      </w:r>
      <w:r w:rsidR="00323457" w:rsidRPr="0059638B">
        <w:rPr>
          <w:sz w:val="20"/>
          <w:szCs w:val="20"/>
        </w:rPr>
        <w:t>health</w:t>
      </w:r>
      <w:r w:rsidR="00FF41A0">
        <w:rPr>
          <w:sz w:val="20"/>
          <w:szCs w:val="20"/>
        </w:rPr>
        <w:t xml:space="preserve"> </w:t>
      </w:r>
      <w:r w:rsidR="00323457" w:rsidRPr="0059638B">
        <w:rPr>
          <w:sz w:val="20"/>
          <w:szCs w:val="20"/>
        </w:rPr>
        <w:t>care,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strengthen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social</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system.</w:t>
      </w:r>
    </w:p>
    <w:p w14:paraId="72836418" w14:textId="38AAC426" w:rsidR="00323457" w:rsidRPr="0059638B" w:rsidRDefault="00972F1E" w:rsidP="00323457">
      <w:pPr>
        <w:pStyle w:val="SingleTxtG"/>
        <w:rPr>
          <w:sz w:val="20"/>
          <w:szCs w:val="20"/>
        </w:rPr>
      </w:pPr>
      <w:r>
        <w:rPr>
          <w:sz w:val="20"/>
          <w:szCs w:val="20"/>
        </w:rPr>
        <w:t>762</w:t>
      </w:r>
      <w:r w:rsidR="00D7475F">
        <w:rPr>
          <w:sz w:val="20"/>
          <w:szCs w:val="20"/>
        </w:rPr>
        <w:t>.</w:t>
      </w:r>
      <w:r w:rsidR="00D7475F">
        <w:rPr>
          <w:sz w:val="20"/>
          <w:szCs w:val="20"/>
        </w:rPr>
        <w:tab/>
      </w:r>
      <w:r w:rsidR="00323457" w:rsidRPr="0059638B">
        <w:rPr>
          <w:sz w:val="20"/>
          <w:szCs w:val="20"/>
        </w:rPr>
        <w:t>With</w:t>
      </w:r>
      <w:r w:rsidR="00FF41A0">
        <w:rPr>
          <w:sz w:val="20"/>
          <w:szCs w:val="20"/>
        </w:rPr>
        <w:t xml:space="preserve"> </w:t>
      </w:r>
      <w:r w:rsidR="00323457" w:rsidRPr="0059638B">
        <w:rPr>
          <w:sz w:val="20"/>
          <w:szCs w:val="20"/>
        </w:rPr>
        <w:t>regard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24</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indicated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while</w:t>
      </w:r>
      <w:r w:rsidR="00FF41A0">
        <w:rPr>
          <w:sz w:val="20"/>
          <w:szCs w:val="20"/>
        </w:rPr>
        <w:t xml:space="preserve"> </w:t>
      </w:r>
      <w:r w:rsidR="00323457" w:rsidRPr="0059638B">
        <w:rPr>
          <w:sz w:val="20"/>
          <w:szCs w:val="20"/>
        </w:rPr>
        <w:t>not</w:t>
      </w:r>
      <w:r w:rsidR="00FF41A0">
        <w:rPr>
          <w:sz w:val="20"/>
          <w:szCs w:val="20"/>
        </w:rPr>
        <w:t xml:space="preserve"> </w:t>
      </w:r>
      <w:r w:rsidR="00323457" w:rsidRPr="0059638B">
        <w:rPr>
          <w:sz w:val="20"/>
          <w:szCs w:val="20"/>
        </w:rPr>
        <w:t>supporting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relating</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extending</w:t>
      </w:r>
      <w:r w:rsidR="00FF41A0">
        <w:rPr>
          <w:sz w:val="20"/>
          <w:szCs w:val="20"/>
        </w:rPr>
        <w:t xml:space="preserve"> </w:t>
      </w:r>
      <w:r w:rsidR="00323457" w:rsidRPr="0059638B">
        <w:rPr>
          <w:sz w:val="20"/>
          <w:szCs w:val="20"/>
        </w:rPr>
        <w:t>standing</w:t>
      </w:r>
      <w:r w:rsidR="00FF41A0">
        <w:rPr>
          <w:sz w:val="20"/>
          <w:szCs w:val="20"/>
        </w:rPr>
        <w:t xml:space="preserve"> </w:t>
      </w:r>
      <w:r w:rsidR="00323457" w:rsidRPr="0059638B">
        <w:rPr>
          <w:sz w:val="20"/>
          <w:szCs w:val="20"/>
        </w:rPr>
        <w:t>invitations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special</w:t>
      </w:r>
      <w:r w:rsidR="00FF41A0">
        <w:rPr>
          <w:sz w:val="20"/>
          <w:szCs w:val="20"/>
        </w:rPr>
        <w:t xml:space="preserve"> </w:t>
      </w:r>
      <w:r w:rsidR="00323457" w:rsidRPr="0059638B">
        <w:rPr>
          <w:sz w:val="20"/>
          <w:szCs w:val="20"/>
        </w:rPr>
        <w:t>procedures</w:t>
      </w:r>
      <w:r w:rsidR="00FF41A0">
        <w:rPr>
          <w:sz w:val="20"/>
          <w:szCs w:val="20"/>
        </w:rPr>
        <w:t xml:space="preserve"> </w:t>
      </w:r>
      <w:r w:rsidR="00323457" w:rsidRPr="0059638B">
        <w:rPr>
          <w:sz w:val="20"/>
          <w:szCs w:val="20"/>
        </w:rPr>
        <w:t>mandate</w:t>
      </w:r>
      <w:r w:rsidR="00FF41A0">
        <w:rPr>
          <w:sz w:val="20"/>
          <w:szCs w:val="20"/>
        </w:rPr>
        <w:t xml:space="preserve"> </w:t>
      </w:r>
      <w:r w:rsidR="00323457" w:rsidRPr="0059638B">
        <w:rPr>
          <w:sz w:val="20"/>
          <w:szCs w:val="20"/>
        </w:rPr>
        <w:t>holders,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open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considering</w:t>
      </w:r>
      <w:r w:rsidR="00FF41A0">
        <w:rPr>
          <w:sz w:val="20"/>
          <w:szCs w:val="20"/>
        </w:rPr>
        <w:t xml:space="preserve"> </w:t>
      </w:r>
      <w:r w:rsidR="00323457" w:rsidRPr="0059638B">
        <w:rPr>
          <w:sz w:val="20"/>
          <w:szCs w:val="20"/>
        </w:rPr>
        <w:t>such</w:t>
      </w:r>
      <w:r w:rsidR="00FF41A0">
        <w:rPr>
          <w:sz w:val="20"/>
          <w:szCs w:val="20"/>
        </w:rPr>
        <w:t xml:space="preserve"> </w:t>
      </w:r>
      <w:r w:rsidR="00323457" w:rsidRPr="0059638B">
        <w:rPr>
          <w:sz w:val="20"/>
          <w:szCs w:val="20"/>
        </w:rPr>
        <w:t>invitations</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case-by-case</w:t>
      </w:r>
      <w:r w:rsidR="00FF41A0">
        <w:rPr>
          <w:sz w:val="20"/>
          <w:szCs w:val="20"/>
        </w:rPr>
        <w:t xml:space="preserve"> </w:t>
      </w:r>
      <w:r w:rsidR="00323457" w:rsidRPr="0059638B">
        <w:rPr>
          <w:sz w:val="20"/>
          <w:szCs w:val="20"/>
        </w:rPr>
        <w:t>basis.</w:t>
      </w:r>
      <w:r w:rsidR="00FF41A0">
        <w:rPr>
          <w:sz w:val="20"/>
          <w:szCs w:val="20"/>
        </w:rPr>
        <w:t xml:space="preserve"> </w:t>
      </w:r>
      <w:r w:rsidR="00323457" w:rsidRPr="0059638B">
        <w:rPr>
          <w:sz w:val="20"/>
          <w:szCs w:val="20"/>
        </w:rPr>
        <w:t>Regarding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relating</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Second</w:t>
      </w:r>
      <w:r w:rsidR="00FF41A0">
        <w:rPr>
          <w:sz w:val="20"/>
          <w:szCs w:val="20"/>
        </w:rPr>
        <w:t xml:space="preserve"> </w:t>
      </w:r>
      <w:r w:rsidR="00323457" w:rsidRPr="0059638B">
        <w:rPr>
          <w:sz w:val="20"/>
          <w:szCs w:val="20"/>
        </w:rPr>
        <w:t>Optional</w:t>
      </w:r>
      <w:r w:rsidR="00FF41A0">
        <w:rPr>
          <w:sz w:val="20"/>
          <w:szCs w:val="20"/>
        </w:rPr>
        <w:t xml:space="preserve"> </w:t>
      </w:r>
      <w:r w:rsidR="00323457" w:rsidRPr="0059638B">
        <w:rPr>
          <w:sz w:val="20"/>
          <w:szCs w:val="20"/>
        </w:rPr>
        <w:t>Protocol</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Covenant</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Civil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Political</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abolition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death</w:t>
      </w:r>
      <w:r w:rsidR="00FF41A0">
        <w:rPr>
          <w:sz w:val="20"/>
          <w:szCs w:val="20"/>
        </w:rPr>
        <w:t xml:space="preserve"> </w:t>
      </w:r>
      <w:r w:rsidR="00323457" w:rsidRPr="0059638B">
        <w:rPr>
          <w:sz w:val="20"/>
          <w:szCs w:val="20"/>
        </w:rPr>
        <w:t>penalty,</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reiterated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has</w:t>
      </w:r>
      <w:r w:rsidR="00FF41A0">
        <w:rPr>
          <w:sz w:val="20"/>
          <w:szCs w:val="20"/>
        </w:rPr>
        <w:t xml:space="preserve"> </w:t>
      </w:r>
      <w:r w:rsidR="00323457" w:rsidRPr="0059638B">
        <w:rPr>
          <w:sz w:val="20"/>
          <w:szCs w:val="20"/>
        </w:rPr>
        <w:t>reported</w:t>
      </w:r>
      <w:r w:rsidR="00FF41A0">
        <w:rPr>
          <w:sz w:val="20"/>
          <w:szCs w:val="20"/>
        </w:rPr>
        <w:t xml:space="preserve"> </w:t>
      </w:r>
      <w:r w:rsidR="00323457" w:rsidRPr="0059638B">
        <w:rPr>
          <w:sz w:val="20"/>
          <w:szCs w:val="20"/>
        </w:rPr>
        <w:t>no</w:t>
      </w:r>
      <w:r w:rsidR="00FF41A0">
        <w:rPr>
          <w:sz w:val="20"/>
          <w:szCs w:val="20"/>
        </w:rPr>
        <w:t xml:space="preserve"> </w:t>
      </w:r>
      <w:r w:rsidR="00323457" w:rsidRPr="0059638B">
        <w:rPr>
          <w:sz w:val="20"/>
          <w:szCs w:val="20"/>
        </w:rPr>
        <w:t>use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death</w:t>
      </w:r>
      <w:r w:rsidR="00FF41A0">
        <w:rPr>
          <w:sz w:val="20"/>
          <w:szCs w:val="20"/>
        </w:rPr>
        <w:t xml:space="preserve"> </w:t>
      </w:r>
      <w:r w:rsidR="00323457" w:rsidRPr="0059638B">
        <w:rPr>
          <w:sz w:val="20"/>
          <w:szCs w:val="20"/>
        </w:rPr>
        <w:t>penalty</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close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35</w:t>
      </w:r>
      <w:r w:rsidR="00FF41A0">
        <w:rPr>
          <w:sz w:val="20"/>
          <w:szCs w:val="20"/>
        </w:rPr>
        <w:t xml:space="preserve"> </w:t>
      </w:r>
      <w:r w:rsidR="00323457" w:rsidRPr="0059638B">
        <w:rPr>
          <w:sz w:val="20"/>
          <w:szCs w:val="20"/>
        </w:rPr>
        <w:t>years</w:t>
      </w:r>
      <w:r w:rsidR="00FF41A0">
        <w:rPr>
          <w:sz w:val="20"/>
          <w:szCs w:val="20"/>
        </w:rPr>
        <w:t xml:space="preserve"> </w:t>
      </w:r>
      <w:r w:rsidR="00323457" w:rsidRPr="0059638B">
        <w:rPr>
          <w:sz w:val="20"/>
          <w:szCs w:val="20"/>
        </w:rPr>
        <w:t>now,</w:t>
      </w:r>
      <w:r w:rsidR="00FF41A0">
        <w:rPr>
          <w:sz w:val="20"/>
          <w:szCs w:val="20"/>
        </w:rPr>
        <w:t xml:space="preserve"> </w:t>
      </w:r>
      <w:r w:rsidR="00323457" w:rsidRPr="0059638B">
        <w:rPr>
          <w:sz w:val="20"/>
          <w:szCs w:val="20"/>
        </w:rPr>
        <w:t>even</w:t>
      </w:r>
      <w:r w:rsidR="00FF41A0">
        <w:rPr>
          <w:sz w:val="20"/>
          <w:szCs w:val="20"/>
        </w:rPr>
        <w:t xml:space="preserve"> </w:t>
      </w:r>
      <w:r w:rsidR="00323457" w:rsidRPr="0059638B">
        <w:rPr>
          <w:sz w:val="20"/>
          <w:szCs w:val="20"/>
        </w:rPr>
        <w:t>though</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remained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law</w:t>
      </w:r>
      <w:r w:rsidR="00FF41A0">
        <w:rPr>
          <w:sz w:val="20"/>
          <w:szCs w:val="20"/>
        </w:rPr>
        <w:t xml:space="preserve"> </w:t>
      </w:r>
      <w:r w:rsidR="00323457" w:rsidRPr="0059638B">
        <w:rPr>
          <w:sz w:val="20"/>
          <w:szCs w:val="20"/>
        </w:rPr>
        <w:t>books.</w:t>
      </w:r>
      <w:r w:rsidR="00FF41A0">
        <w:rPr>
          <w:sz w:val="20"/>
          <w:szCs w:val="20"/>
        </w:rPr>
        <w:t xml:space="preserve"> </w:t>
      </w:r>
      <w:r w:rsidR="00323457" w:rsidRPr="0059638B">
        <w:rPr>
          <w:sz w:val="20"/>
          <w:szCs w:val="20"/>
        </w:rPr>
        <w:t>Many</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other</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continued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be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subject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further</w:t>
      </w:r>
      <w:r w:rsidR="00FF41A0">
        <w:rPr>
          <w:sz w:val="20"/>
          <w:szCs w:val="20"/>
        </w:rPr>
        <w:t xml:space="preserve"> </w:t>
      </w:r>
      <w:r w:rsidR="00323457" w:rsidRPr="0059638B">
        <w:rPr>
          <w:sz w:val="20"/>
          <w:szCs w:val="20"/>
        </w:rPr>
        <w:t>necessary</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consultation,</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some</w:t>
      </w:r>
      <w:r w:rsidR="00FF41A0">
        <w:rPr>
          <w:sz w:val="20"/>
          <w:szCs w:val="20"/>
        </w:rPr>
        <w:t xml:space="preserve"> </w:t>
      </w:r>
      <w:r w:rsidR="00323457" w:rsidRPr="0059638B">
        <w:rPr>
          <w:sz w:val="20"/>
          <w:szCs w:val="20"/>
        </w:rPr>
        <w:t>instances</w:t>
      </w:r>
      <w:r w:rsidR="00FF41A0">
        <w:rPr>
          <w:sz w:val="20"/>
          <w:szCs w:val="20"/>
        </w:rPr>
        <w:t xml:space="preserve"> </w:t>
      </w:r>
      <w:r w:rsidR="00323457" w:rsidRPr="0059638B">
        <w:rPr>
          <w:sz w:val="20"/>
          <w:szCs w:val="20"/>
        </w:rPr>
        <w:t>they</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require</w:t>
      </w:r>
      <w:r w:rsidR="00FF41A0">
        <w:rPr>
          <w:sz w:val="20"/>
          <w:szCs w:val="20"/>
        </w:rPr>
        <w:t xml:space="preserve"> </w:t>
      </w:r>
      <w:r w:rsidR="00323457" w:rsidRPr="0059638B">
        <w:rPr>
          <w:sz w:val="20"/>
          <w:szCs w:val="20"/>
        </w:rPr>
        <w:t>Constitutional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legislative</w:t>
      </w:r>
      <w:r w:rsidR="00FF41A0">
        <w:rPr>
          <w:sz w:val="20"/>
          <w:szCs w:val="20"/>
        </w:rPr>
        <w:t xml:space="preserve"> </w:t>
      </w:r>
      <w:r w:rsidR="00323457" w:rsidRPr="0059638B">
        <w:rPr>
          <w:sz w:val="20"/>
          <w:szCs w:val="20"/>
        </w:rPr>
        <w:t>amendments,</w:t>
      </w:r>
      <w:r w:rsidR="00FF41A0">
        <w:rPr>
          <w:sz w:val="20"/>
          <w:szCs w:val="20"/>
        </w:rPr>
        <w:t xml:space="preserve"> </w:t>
      </w:r>
      <w:r w:rsidR="00323457" w:rsidRPr="0059638B">
        <w:rPr>
          <w:sz w:val="20"/>
          <w:szCs w:val="20"/>
        </w:rPr>
        <w:t>while</w:t>
      </w:r>
      <w:r w:rsidR="00FF41A0">
        <w:rPr>
          <w:sz w:val="20"/>
          <w:szCs w:val="20"/>
        </w:rPr>
        <w:t xml:space="preserve"> </w:t>
      </w:r>
      <w:r w:rsidR="00323457" w:rsidRPr="0059638B">
        <w:rPr>
          <w:sz w:val="20"/>
          <w:szCs w:val="20"/>
        </w:rPr>
        <w:t>others</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financial</w:t>
      </w:r>
      <w:r w:rsidR="00FF41A0">
        <w:rPr>
          <w:sz w:val="20"/>
          <w:szCs w:val="20"/>
        </w:rPr>
        <w:t xml:space="preserve"> </w:t>
      </w:r>
      <w:r w:rsidR="00323457" w:rsidRPr="0059638B">
        <w:rPr>
          <w:sz w:val="20"/>
          <w:szCs w:val="20"/>
        </w:rPr>
        <w:t>implications.</w:t>
      </w:r>
      <w:r w:rsidR="00FF41A0">
        <w:rPr>
          <w:sz w:val="20"/>
          <w:szCs w:val="20"/>
        </w:rPr>
        <w:t xml:space="preserve"> </w:t>
      </w:r>
    </w:p>
    <w:p w14:paraId="35A3CF8D" w14:textId="19B3A685" w:rsidR="00323457" w:rsidRPr="0059638B" w:rsidRDefault="00972F1E" w:rsidP="00323457">
      <w:pPr>
        <w:pStyle w:val="SingleTxtG"/>
        <w:rPr>
          <w:sz w:val="20"/>
          <w:szCs w:val="20"/>
        </w:rPr>
      </w:pPr>
      <w:r>
        <w:rPr>
          <w:sz w:val="20"/>
          <w:szCs w:val="20"/>
        </w:rPr>
        <w:lastRenderedPageBreak/>
        <w:t>763</w:t>
      </w:r>
      <w:r w:rsidR="00D7475F">
        <w:rPr>
          <w:sz w:val="20"/>
          <w:szCs w:val="20"/>
        </w:rPr>
        <w:t>.</w:t>
      </w:r>
      <w:r w:rsidR="00D7475F">
        <w:rPr>
          <w:sz w:val="20"/>
          <w:szCs w:val="20"/>
        </w:rPr>
        <w:tab/>
      </w:r>
      <w:r w:rsidR="00323457" w:rsidRPr="0059638B">
        <w:rPr>
          <w:sz w:val="20"/>
          <w:szCs w:val="20"/>
        </w:rPr>
        <w:t>Belize</w:t>
      </w:r>
      <w:r w:rsidR="00FF41A0">
        <w:rPr>
          <w:sz w:val="20"/>
          <w:szCs w:val="20"/>
        </w:rPr>
        <w:t xml:space="preserve"> </w:t>
      </w:r>
      <w:r w:rsidR="00323457" w:rsidRPr="0059638B">
        <w:rPr>
          <w:sz w:val="20"/>
          <w:szCs w:val="20"/>
        </w:rPr>
        <w:t>underscored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continued</w:t>
      </w:r>
      <w:r w:rsidR="00FF41A0">
        <w:rPr>
          <w:sz w:val="20"/>
          <w:szCs w:val="20"/>
        </w:rPr>
        <w:t xml:space="preserve"> </w:t>
      </w:r>
      <w:r w:rsidR="00323457" w:rsidRPr="0059638B">
        <w:rPr>
          <w:sz w:val="20"/>
          <w:szCs w:val="20"/>
        </w:rPr>
        <w:t>commitment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promotion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mechanism,</w:t>
      </w:r>
      <w:r w:rsidR="00FF41A0">
        <w:rPr>
          <w:sz w:val="20"/>
          <w:szCs w:val="20"/>
        </w:rPr>
        <w:t xml:space="preserve"> </w:t>
      </w:r>
      <w:r w:rsidR="00323457" w:rsidRPr="0059638B">
        <w:rPr>
          <w:sz w:val="20"/>
          <w:szCs w:val="20"/>
        </w:rPr>
        <w:t>notwithstanding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limited</w:t>
      </w:r>
      <w:r w:rsidR="00FF41A0">
        <w:rPr>
          <w:sz w:val="20"/>
          <w:szCs w:val="20"/>
        </w:rPr>
        <w:t xml:space="preserve"> </w:t>
      </w:r>
      <w:r w:rsidR="00323457" w:rsidRPr="0059638B">
        <w:rPr>
          <w:sz w:val="20"/>
          <w:szCs w:val="20"/>
        </w:rPr>
        <w:t>financial,</w:t>
      </w:r>
      <w:r w:rsidR="00FF41A0">
        <w:rPr>
          <w:sz w:val="20"/>
          <w:szCs w:val="20"/>
        </w:rPr>
        <w:t xml:space="preserve"> </w:t>
      </w:r>
      <w:r w:rsidR="00323457" w:rsidRPr="0059638B">
        <w:rPr>
          <w:sz w:val="20"/>
          <w:szCs w:val="20"/>
        </w:rPr>
        <w:t>technical,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resource</w:t>
      </w:r>
      <w:r w:rsidR="00FF41A0">
        <w:rPr>
          <w:sz w:val="20"/>
          <w:szCs w:val="20"/>
        </w:rPr>
        <w:t xml:space="preserve"> </w:t>
      </w:r>
      <w:r w:rsidR="00323457" w:rsidRPr="0059638B">
        <w:rPr>
          <w:sz w:val="20"/>
          <w:szCs w:val="20"/>
        </w:rPr>
        <w:t>constraints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faced.</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remained</w:t>
      </w:r>
      <w:r w:rsidR="00FF41A0">
        <w:rPr>
          <w:sz w:val="20"/>
          <w:szCs w:val="20"/>
        </w:rPr>
        <w:t xml:space="preserve"> </w:t>
      </w:r>
      <w:r w:rsidR="00323457" w:rsidRPr="0059638B">
        <w:rPr>
          <w:sz w:val="20"/>
          <w:szCs w:val="20"/>
        </w:rPr>
        <w:t>fully</w:t>
      </w:r>
      <w:r w:rsidR="00FF41A0">
        <w:rPr>
          <w:sz w:val="20"/>
          <w:szCs w:val="20"/>
        </w:rPr>
        <w:t xml:space="preserve"> </w:t>
      </w:r>
      <w:r w:rsidR="00323457" w:rsidRPr="0059638B">
        <w:rPr>
          <w:sz w:val="20"/>
          <w:szCs w:val="20"/>
        </w:rPr>
        <w:t>committed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fulfil</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reporting</w:t>
      </w:r>
      <w:r w:rsidR="00FF41A0">
        <w:rPr>
          <w:sz w:val="20"/>
          <w:szCs w:val="20"/>
        </w:rPr>
        <w:t xml:space="preserve"> </w:t>
      </w:r>
      <w:r w:rsidR="00323457" w:rsidRPr="0059638B">
        <w:rPr>
          <w:sz w:val="20"/>
          <w:szCs w:val="20"/>
        </w:rPr>
        <w:t>obligations,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informed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this</w:t>
      </w:r>
      <w:r w:rsidR="00FF41A0">
        <w:rPr>
          <w:sz w:val="20"/>
          <w:szCs w:val="20"/>
        </w:rPr>
        <w:t xml:space="preserve"> </w:t>
      </w:r>
      <w:r w:rsidR="00323457" w:rsidRPr="0059638B">
        <w:rPr>
          <w:sz w:val="20"/>
          <w:szCs w:val="20"/>
        </w:rPr>
        <w:t>year</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prioritized</w:t>
      </w:r>
      <w:r w:rsidR="00FF41A0">
        <w:rPr>
          <w:sz w:val="20"/>
          <w:szCs w:val="20"/>
        </w:rPr>
        <w:t xml:space="preserve"> </w:t>
      </w:r>
      <w:r w:rsidR="00323457" w:rsidRPr="0059638B">
        <w:rPr>
          <w:sz w:val="20"/>
          <w:szCs w:val="20"/>
        </w:rPr>
        <w:t>reporting</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number</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treaties,</w:t>
      </w:r>
      <w:r w:rsidR="00FF41A0">
        <w:rPr>
          <w:sz w:val="20"/>
          <w:szCs w:val="20"/>
        </w:rPr>
        <w:t xml:space="preserve"> </w:t>
      </w:r>
      <w:r w:rsidR="00323457" w:rsidRPr="0059638B">
        <w:rPr>
          <w:sz w:val="20"/>
          <w:szCs w:val="20"/>
        </w:rPr>
        <w:t>including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Convention</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Elimination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Forms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Racial</w:t>
      </w:r>
      <w:r w:rsidR="00FF41A0">
        <w:rPr>
          <w:sz w:val="20"/>
          <w:szCs w:val="20"/>
        </w:rPr>
        <w:t xml:space="preserve"> </w:t>
      </w:r>
      <w:r w:rsidR="00323457" w:rsidRPr="0059638B">
        <w:rPr>
          <w:sz w:val="20"/>
          <w:szCs w:val="20"/>
        </w:rPr>
        <w:t>Discrimination,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Convention</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Migrant</w:t>
      </w:r>
      <w:r w:rsidR="00FF41A0">
        <w:rPr>
          <w:sz w:val="20"/>
          <w:szCs w:val="20"/>
        </w:rPr>
        <w:t xml:space="preserve"> </w:t>
      </w:r>
      <w:r w:rsidR="00323457" w:rsidRPr="0059638B">
        <w:rPr>
          <w:sz w:val="20"/>
          <w:szCs w:val="20"/>
        </w:rPr>
        <w:t>Workers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Members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Their</w:t>
      </w:r>
      <w:r w:rsidR="00FF41A0">
        <w:rPr>
          <w:sz w:val="20"/>
          <w:szCs w:val="20"/>
        </w:rPr>
        <w:t xml:space="preserve"> </w:t>
      </w:r>
      <w:r w:rsidR="00323457" w:rsidRPr="0059638B">
        <w:rPr>
          <w:sz w:val="20"/>
          <w:szCs w:val="20"/>
        </w:rPr>
        <w:t>Families,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Convention</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Child</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Convention</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Elimination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Forms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Discrimination</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Women.</w:t>
      </w:r>
    </w:p>
    <w:p w14:paraId="7DB888E6" w14:textId="0E718B74" w:rsidR="00323457" w:rsidRPr="0059638B" w:rsidRDefault="00972F1E" w:rsidP="00323457">
      <w:pPr>
        <w:pStyle w:val="SingleTxtG"/>
        <w:rPr>
          <w:sz w:val="20"/>
          <w:szCs w:val="20"/>
        </w:rPr>
      </w:pPr>
      <w:r>
        <w:rPr>
          <w:sz w:val="20"/>
          <w:szCs w:val="20"/>
        </w:rPr>
        <w:t>764</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delegation</w:t>
      </w:r>
      <w:r w:rsidR="00FF41A0">
        <w:rPr>
          <w:sz w:val="20"/>
          <w:szCs w:val="20"/>
        </w:rPr>
        <w:t xml:space="preserve"> </w:t>
      </w:r>
      <w:r w:rsidR="00323457" w:rsidRPr="0059638B">
        <w:rPr>
          <w:sz w:val="20"/>
          <w:szCs w:val="20"/>
        </w:rPr>
        <w:t>reiterated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continue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work</w:t>
      </w:r>
      <w:r w:rsidR="00FF41A0">
        <w:rPr>
          <w:sz w:val="20"/>
          <w:szCs w:val="20"/>
        </w:rPr>
        <w:t xml:space="preserve"> </w:t>
      </w:r>
      <w:r w:rsidR="00323457" w:rsidRPr="0059638B">
        <w:rPr>
          <w:sz w:val="20"/>
          <w:szCs w:val="20"/>
        </w:rPr>
        <w:t>steadily</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implementation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new</w:t>
      </w:r>
      <w:r w:rsidR="00FF41A0">
        <w:rPr>
          <w:sz w:val="20"/>
          <w:szCs w:val="20"/>
        </w:rPr>
        <w:t xml:space="preserve"> </w:t>
      </w:r>
      <w:r w:rsidR="00323457" w:rsidRPr="0059638B">
        <w:rPr>
          <w:sz w:val="20"/>
          <w:szCs w:val="20"/>
        </w:rPr>
        <w:t>commitments</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through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process.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role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Governments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ensure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promotion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assisted</w:t>
      </w:r>
      <w:r w:rsidR="00FF41A0">
        <w:rPr>
          <w:sz w:val="20"/>
          <w:szCs w:val="20"/>
        </w:rPr>
        <w:t xml:space="preserve"> </w:t>
      </w:r>
      <w:r w:rsidR="00323457" w:rsidRPr="0059638B">
        <w:rPr>
          <w:sz w:val="20"/>
          <w:szCs w:val="20"/>
        </w:rPr>
        <w:t>greatly</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community</w:t>
      </w:r>
      <w:r w:rsidR="00FF41A0">
        <w:rPr>
          <w:sz w:val="20"/>
          <w:szCs w:val="20"/>
        </w:rPr>
        <w:t xml:space="preserve"> </w:t>
      </w:r>
      <w:r w:rsidR="00323457" w:rsidRPr="0059638B">
        <w:rPr>
          <w:sz w:val="20"/>
          <w:szCs w:val="20"/>
        </w:rPr>
        <w:t>through</w:t>
      </w:r>
      <w:r w:rsidR="00FF41A0">
        <w:rPr>
          <w:sz w:val="20"/>
          <w:szCs w:val="20"/>
        </w:rPr>
        <w:t xml:space="preserve"> </w:t>
      </w:r>
      <w:r w:rsidR="00323457" w:rsidRPr="0059638B">
        <w:rPr>
          <w:sz w:val="20"/>
          <w:szCs w:val="20"/>
        </w:rPr>
        <w:t>processes</w:t>
      </w:r>
      <w:r w:rsidR="00FF41A0">
        <w:rPr>
          <w:sz w:val="20"/>
          <w:szCs w:val="20"/>
        </w:rPr>
        <w:t xml:space="preserve"> </w:t>
      </w:r>
      <w:r w:rsidR="00323457" w:rsidRPr="0059638B">
        <w:rPr>
          <w:sz w:val="20"/>
          <w:szCs w:val="20"/>
        </w:rPr>
        <w:t>such</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small</w:t>
      </w:r>
      <w:r w:rsidR="00FF41A0">
        <w:rPr>
          <w:sz w:val="20"/>
          <w:szCs w:val="20"/>
        </w:rPr>
        <w:t xml:space="preserve"> </w:t>
      </w:r>
      <w:r w:rsidR="00323457" w:rsidRPr="0059638B">
        <w:rPr>
          <w:sz w:val="20"/>
          <w:szCs w:val="20"/>
        </w:rPr>
        <w:t>states</w:t>
      </w:r>
      <w:r w:rsidR="00FF41A0">
        <w:rPr>
          <w:sz w:val="20"/>
          <w:szCs w:val="20"/>
        </w:rPr>
        <w:t xml:space="preserve"> </w:t>
      </w:r>
      <w:r w:rsidR="00323457" w:rsidRPr="0059638B">
        <w:rPr>
          <w:sz w:val="20"/>
          <w:szCs w:val="20"/>
        </w:rPr>
        <w:t>like</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assistance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community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United</w:t>
      </w:r>
      <w:r w:rsidR="00FF41A0">
        <w:rPr>
          <w:sz w:val="20"/>
          <w:szCs w:val="20"/>
        </w:rPr>
        <w:t xml:space="preserve"> </w:t>
      </w:r>
      <w:r w:rsidR="00323457" w:rsidRPr="0059638B">
        <w:rPr>
          <w:sz w:val="20"/>
          <w:szCs w:val="20"/>
        </w:rPr>
        <w:t>Nations</w:t>
      </w:r>
      <w:r w:rsidR="00FF41A0">
        <w:rPr>
          <w:sz w:val="20"/>
          <w:szCs w:val="20"/>
        </w:rPr>
        <w:t xml:space="preserve"> </w:t>
      </w:r>
      <w:r w:rsidR="00323457" w:rsidRPr="0059638B">
        <w:rPr>
          <w:sz w:val="20"/>
          <w:szCs w:val="20"/>
        </w:rPr>
        <w:t>agencies</w:t>
      </w:r>
      <w:r w:rsidR="00FF41A0">
        <w:rPr>
          <w:sz w:val="20"/>
          <w:szCs w:val="20"/>
        </w:rPr>
        <w:t xml:space="preserve"> </w:t>
      </w:r>
      <w:r w:rsidR="00323457" w:rsidRPr="0059638B">
        <w:rPr>
          <w:sz w:val="20"/>
          <w:szCs w:val="20"/>
        </w:rPr>
        <w:t>continued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be</w:t>
      </w:r>
      <w:r w:rsidR="00FF41A0">
        <w:rPr>
          <w:sz w:val="20"/>
          <w:szCs w:val="20"/>
        </w:rPr>
        <w:t xml:space="preserve"> </w:t>
      </w:r>
      <w:r w:rsidR="00323457" w:rsidRPr="0059638B">
        <w:rPr>
          <w:sz w:val="20"/>
          <w:szCs w:val="20"/>
        </w:rPr>
        <w:t>an</w:t>
      </w:r>
      <w:r w:rsidR="00FF41A0">
        <w:rPr>
          <w:sz w:val="20"/>
          <w:szCs w:val="20"/>
        </w:rPr>
        <w:t xml:space="preserve"> </w:t>
      </w:r>
      <w:r w:rsidR="00323457" w:rsidRPr="0059638B">
        <w:rPr>
          <w:sz w:val="20"/>
          <w:szCs w:val="20"/>
        </w:rPr>
        <w:t>important</w:t>
      </w:r>
      <w:r w:rsidR="00FF41A0">
        <w:rPr>
          <w:sz w:val="20"/>
          <w:szCs w:val="20"/>
        </w:rPr>
        <w:t xml:space="preserve"> </w:t>
      </w:r>
      <w:r w:rsidR="00323457" w:rsidRPr="0059638B">
        <w:rPr>
          <w:sz w:val="20"/>
          <w:szCs w:val="20"/>
        </w:rPr>
        <w:t>source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capacity</w:t>
      </w:r>
      <w:r w:rsidR="00FF41A0">
        <w:rPr>
          <w:sz w:val="20"/>
          <w:szCs w:val="20"/>
        </w:rPr>
        <w:t xml:space="preserve"> </w:t>
      </w:r>
      <w:r w:rsidR="00323457" w:rsidRPr="0059638B">
        <w:rPr>
          <w:sz w:val="20"/>
          <w:szCs w:val="20"/>
        </w:rPr>
        <w:t>building</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support.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delegation</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thanked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staff</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Office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High</w:t>
      </w:r>
      <w:r w:rsidR="00FF41A0">
        <w:rPr>
          <w:sz w:val="20"/>
          <w:szCs w:val="20"/>
        </w:rPr>
        <w:t xml:space="preserve"> </w:t>
      </w:r>
      <w:r w:rsidR="00323457" w:rsidRPr="0059638B">
        <w:rPr>
          <w:sz w:val="20"/>
          <w:szCs w:val="20"/>
        </w:rPr>
        <w:t>Commissioner</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Geneva</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their</w:t>
      </w:r>
      <w:r w:rsidR="00FF41A0">
        <w:rPr>
          <w:sz w:val="20"/>
          <w:szCs w:val="20"/>
        </w:rPr>
        <w:t xml:space="preserve"> </w:t>
      </w:r>
      <w:r w:rsidR="00323457" w:rsidRPr="0059638B">
        <w:rPr>
          <w:sz w:val="20"/>
          <w:szCs w:val="20"/>
        </w:rPr>
        <w:t>guidance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assistance.</w:t>
      </w:r>
      <w:r w:rsidR="00FF41A0">
        <w:rPr>
          <w:sz w:val="20"/>
          <w:szCs w:val="20"/>
        </w:rPr>
        <w:t xml:space="preserve"> </w:t>
      </w:r>
    </w:p>
    <w:p w14:paraId="2B68D69E" w14:textId="01AEC556" w:rsidR="00323457" w:rsidRPr="0059638B" w:rsidRDefault="00323457" w:rsidP="00323457">
      <w:pPr>
        <w:pStyle w:val="H23G"/>
        <w:rPr>
          <w:sz w:val="20"/>
          <w:szCs w:val="20"/>
        </w:rPr>
      </w:pPr>
      <w:r w:rsidRPr="0059638B">
        <w:rPr>
          <w:sz w:val="20"/>
          <w:szCs w:val="20"/>
        </w:rPr>
        <w:tab/>
        <w:t>2.</w:t>
      </w:r>
      <w:r w:rsidRPr="0059638B">
        <w:rPr>
          <w:sz w:val="20"/>
          <w:szCs w:val="20"/>
        </w:rPr>
        <w:tab/>
        <w:t>Views</w:t>
      </w:r>
      <w:r w:rsidR="00FF41A0">
        <w:rPr>
          <w:sz w:val="20"/>
          <w:szCs w:val="20"/>
        </w:rPr>
        <w:t xml:space="preserve"> </w:t>
      </w:r>
      <w:r w:rsidRPr="0059638B">
        <w:rPr>
          <w:sz w:val="20"/>
          <w:szCs w:val="20"/>
        </w:rPr>
        <w:t>expressed</w:t>
      </w:r>
      <w:r w:rsidR="00FF41A0">
        <w:rPr>
          <w:sz w:val="20"/>
          <w:szCs w:val="20"/>
        </w:rPr>
        <w:t xml:space="preserve"> </w:t>
      </w:r>
      <w:r w:rsidRPr="0059638B">
        <w:rPr>
          <w:sz w:val="20"/>
          <w:szCs w:val="20"/>
        </w:rPr>
        <w:t>by</w:t>
      </w:r>
      <w:r w:rsidR="00FF41A0">
        <w:rPr>
          <w:sz w:val="20"/>
          <w:szCs w:val="20"/>
        </w:rPr>
        <w:t xml:space="preserve"> </w:t>
      </w:r>
      <w:r w:rsidRPr="0059638B">
        <w:rPr>
          <w:sz w:val="20"/>
          <w:szCs w:val="20"/>
        </w:rPr>
        <w:t>Member</w:t>
      </w:r>
      <w:r w:rsidR="00FF41A0">
        <w:rPr>
          <w:sz w:val="20"/>
          <w:szCs w:val="20"/>
        </w:rPr>
        <w:t xml:space="preserve"> </w:t>
      </w:r>
      <w:r w:rsidRPr="0059638B">
        <w:rPr>
          <w:sz w:val="20"/>
          <w:szCs w:val="20"/>
        </w:rPr>
        <w:t>and</w:t>
      </w:r>
      <w:r w:rsidR="00FF41A0">
        <w:rPr>
          <w:sz w:val="20"/>
          <w:szCs w:val="20"/>
        </w:rPr>
        <w:t xml:space="preserve"> </w:t>
      </w:r>
      <w:r w:rsidRPr="0059638B">
        <w:rPr>
          <w:sz w:val="20"/>
          <w:szCs w:val="20"/>
        </w:rPr>
        <w:t>observer</w:t>
      </w:r>
      <w:r w:rsidR="00FF41A0">
        <w:rPr>
          <w:sz w:val="20"/>
          <w:szCs w:val="20"/>
        </w:rPr>
        <w:t xml:space="preserve"> </w:t>
      </w:r>
      <w:r w:rsidRPr="0059638B">
        <w:rPr>
          <w:sz w:val="20"/>
          <w:szCs w:val="20"/>
        </w:rPr>
        <w:t>States</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on</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outcome</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review</w:t>
      </w:r>
      <w:r w:rsidR="00FF41A0">
        <w:rPr>
          <w:sz w:val="20"/>
          <w:szCs w:val="20"/>
        </w:rPr>
        <w:t xml:space="preserve"> </w:t>
      </w:r>
    </w:p>
    <w:p w14:paraId="6FFE3700" w14:textId="158A0B7B" w:rsidR="00323457" w:rsidRPr="0059638B" w:rsidRDefault="00972F1E" w:rsidP="00323457">
      <w:pPr>
        <w:pStyle w:val="SingleTxtG"/>
        <w:rPr>
          <w:sz w:val="20"/>
          <w:szCs w:val="20"/>
        </w:rPr>
      </w:pPr>
      <w:r>
        <w:rPr>
          <w:sz w:val="20"/>
          <w:szCs w:val="20"/>
        </w:rPr>
        <w:t>765</w:t>
      </w:r>
      <w:r w:rsidR="00D7475F">
        <w:rPr>
          <w:sz w:val="20"/>
          <w:szCs w:val="20"/>
        </w:rPr>
        <w:t>.</w:t>
      </w:r>
      <w:r w:rsidR="00D7475F">
        <w:rPr>
          <w:sz w:val="20"/>
          <w:szCs w:val="20"/>
        </w:rPr>
        <w:tab/>
      </w:r>
      <w:r w:rsidR="00323457" w:rsidRPr="0059638B">
        <w:rPr>
          <w:sz w:val="20"/>
          <w:szCs w:val="20"/>
        </w:rPr>
        <w:t>During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adoption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outcome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10</w:t>
      </w:r>
      <w:r w:rsidR="00FF41A0">
        <w:rPr>
          <w:sz w:val="20"/>
          <w:szCs w:val="20"/>
        </w:rPr>
        <w:t xml:space="preserve"> </w:t>
      </w:r>
      <w:r w:rsidR="00323457" w:rsidRPr="0059638B">
        <w:rPr>
          <w:sz w:val="20"/>
          <w:szCs w:val="20"/>
        </w:rPr>
        <w:t>delegations</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statements</w:t>
      </w:r>
      <w:r w:rsidR="000943B0">
        <w:rPr>
          <w:sz w:val="20"/>
          <w:szCs w:val="20"/>
        </w:rPr>
        <w:t>.</w:t>
      </w:r>
    </w:p>
    <w:p w14:paraId="0690DF68" w14:textId="18979D57" w:rsidR="00323457" w:rsidRPr="0059638B" w:rsidRDefault="00972F1E" w:rsidP="00323457">
      <w:pPr>
        <w:pStyle w:val="SingleTxtG"/>
        <w:rPr>
          <w:sz w:val="20"/>
          <w:szCs w:val="20"/>
        </w:rPr>
      </w:pPr>
      <w:r>
        <w:rPr>
          <w:sz w:val="20"/>
          <w:szCs w:val="20"/>
        </w:rPr>
        <w:t>766</w:t>
      </w:r>
      <w:r w:rsidR="00D7475F">
        <w:rPr>
          <w:sz w:val="20"/>
          <w:szCs w:val="20"/>
        </w:rPr>
        <w:t>.</w:t>
      </w:r>
      <w:r w:rsidR="00D7475F">
        <w:rPr>
          <w:sz w:val="20"/>
          <w:szCs w:val="20"/>
        </w:rPr>
        <w:tab/>
      </w:r>
      <w:r w:rsidR="00323457" w:rsidRPr="0059638B">
        <w:rPr>
          <w:sz w:val="20"/>
          <w:szCs w:val="20"/>
        </w:rPr>
        <w:t>Chile</w:t>
      </w:r>
      <w:r w:rsidR="00FF41A0">
        <w:rPr>
          <w:sz w:val="20"/>
          <w:szCs w:val="20"/>
        </w:rPr>
        <w:t xml:space="preserve"> </w:t>
      </w:r>
      <w:r w:rsidR="00323457" w:rsidRPr="0059638B">
        <w:rPr>
          <w:sz w:val="20"/>
          <w:szCs w:val="20"/>
        </w:rPr>
        <w:t>acknowledged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strengthen</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juridical</w:t>
      </w:r>
      <w:r w:rsidR="00FF41A0">
        <w:rPr>
          <w:sz w:val="20"/>
          <w:szCs w:val="20"/>
        </w:rPr>
        <w:t xml:space="preserve"> </w:t>
      </w:r>
      <w:r w:rsidR="00323457" w:rsidRPr="0059638B">
        <w:rPr>
          <w:sz w:val="20"/>
          <w:szCs w:val="20"/>
        </w:rPr>
        <w:t>framework</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promotion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this</w:t>
      </w:r>
      <w:r w:rsidR="00FF41A0">
        <w:rPr>
          <w:sz w:val="20"/>
          <w:szCs w:val="20"/>
        </w:rPr>
        <w:t xml:space="preserve"> </w:t>
      </w:r>
      <w:r w:rsidR="00323457" w:rsidRPr="0059638B">
        <w:rPr>
          <w:sz w:val="20"/>
          <w:szCs w:val="20"/>
        </w:rPr>
        <w:t>regard,</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ratification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several</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instruments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implementation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inclusive</w:t>
      </w:r>
      <w:r w:rsidR="00FF41A0">
        <w:rPr>
          <w:sz w:val="20"/>
          <w:szCs w:val="20"/>
        </w:rPr>
        <w:t xml:space="preserve"> </w:t>
      </w:r>
      <w:r w:rsidR="00323457" w:rsidRPr="0059638B">
        <w:rPr>
          <w:sz w:val="20"/>
          <w:szCs w:val="20"/>
        </w:rPr>
        <w:t>education</w:t>
      </w:r>
      <w:r w:rsidR="00FF41A0">
        <w:rPr>
          <w:sz w:val="20"/>
          <w:szCs w:val="20"/>
        </w:rPr>
        <w:t xml:space="preserve"> </w:t>
      </w:r>
      <w:r w:rsidR="00323457" w:rsidRPr="0059638B">
        <w:rPr>
          <w:sz w:val="20"/>
          <w:szCs w:val="20"/>
        </w:rPr>
        <w:t>policies</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children</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disabilities.</w:t>
      </w:r>
      <w:r w:rsidR="00FF41A0">
        <w:rPr>
          <w:sz w:val="20"/>
          <w:szCs w:val="20"/>
        </w:rPr>
        <w:t xml:space="preserve"> </w:t>
      </w:r>
      <w:r w:rsidR="00323457" w:rsidRPr="0059638B">
        <w:rPr>
          <w:sz w:val="20"/>
          <w:szCs w:val="20"/>
        </w:rPr>
        <w:t>Chile</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congratulated</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accepting</w:t>
      </w:r>
      <w:r w:rsidR="00FF41A0">
        <w:rPr>
          <w:sz w:val="20"/>
          <w:szCs w:val="20"/>
        </w:rPr>
        <w:t xml:space="preserve"> </w:t>
      </w:r>
      <w:r w:rsidR="00323457" w:rsidRPr="0059638B">
        <w:rPr>
          <w:sz w:val="20"/>
          <w:szCs w:val="20"/>
        </w:rPr>
        <w:t>100</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124</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received,</w:t>
      </w:r>
      <w:r w:rsidR="00FF41A0">
        <w:rPr>
          <w:sz w:val="20"/>
          <w:szCs w:val="20"/>
        </w:rPr>
        <w:t xml:space="preserve"> </w:t>
      </w:r>
      <w:r w:rsidR="00323457" w:rsidRPr="0059638B">
        <w:rPr>
          <w:sz w:val="20"/>
          <w:szCs w:val="20"/>
        </w:rPr>
        <w:t>including</w:t>
      </w:r>
      <w:r w:rsidR="00FF41A0">
        <w:rPr>
          <w:sz w:val="20"/>
          <w:szCs w:val="20"/>
        </w:rPr>
        <w:t xml:space="preserve"> </w:t>
      </w:r>
      <w:r w:rsidR="00323457" w:rsidRPr="0059638B">
        <w:rPr>
          <w:sz w:val="20"/>
          <w:szCs w:val="20"/>
        </w:rPr>
        <w:t>those</w:t>
      </w:r>
      <w:r w:rsidR="00FF41A0">
        <w:rPr>
          <w:sz w:val="20"/>
          <w:szCs w:val="20"/>
        </w:rPr>
        <w:t xml:space="preserve"> </w:t>
      </w:r>
      <w:r w:rsidR="00323457" w:rsidRPr="0059638B">
        <w:rPr>
          <w:sz w:val="20"/>
          <w:szCs w:val="20"/>
        </w:rPr>
        <w:t>formulated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Chile</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furthering</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establish</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institution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compliance</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Paris</w:t>
      </w:r>
      <w:r w:rsidR="00FF41A0">
        <w:rPr>
          <w:sz w:val="20"/>
          <w:szCs w:val="20"/>
        </w:rPr>
        <w:t xml:space="preserve"> </w:t>
      </w:r>
      <w:r w:rsidR="00323457" w:rsidRPr="0059638B">
        <w:rPr>
          <w:sz w:val="20"/>
          <w:szCs w:val="20"/>
        </w:rPr>
        <w:t>Principles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adopting</w:t>
      </w:r>
      <w:r w:rsidR="00FF41A0">
        <w:rPr>
          <w:sz w:val="20"/>
          <w:szCs w:val="20"/>
        </w:rPr>
        <w:t xml:space="preserve"> </w:t>
      </w:r>
      <w:r w:rsidR="00323457" w:rsidRPr="0059638B">
        <w:rPr>
          <w:sz w:val="20"/>
          <w:szCs w:val="20"/>
        </w:rPr>
        <w:t>legislation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prevent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sanction</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forms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discrimination,</w:t>
      </w:r>
      <w:r w:rsidR="00FF41A0">
        <w:rPr>
          <w:sz w:val="20"/>
          <w:szCs w:val="20"/>
        </w:rPr>
        <w:t xml:space="preserve"> </w:t>
      </w:r>
      <w:r w:rsidR="00323457" w:rsidRPr="0059638B">
        <w:rPr>
          <w:sz w:val="20"/>
          <w:szCs w:val="20"/>
        </w:rPr>
        <w:t>violence</w:t>
      </w:r>
      <w:r w:rsidR="00FF41A0">
        <w:rPr>
          <w:sz w:val="20"/>
          <w:szCs w:val="20"/>
        </w:rPr>
        <w:t xml:space="preserve"> </w:t>
      </w:r>
      <w:r w:rsidR="00323457" w:rsidRPr="0059638B">
        <w:rPr>
          <w:sz w:val="20"/>
          <w:szCs w:val="20"/>
        </w:rPr>
        <w:t>or</w:t>
      </w:r>
      <w:r w:rsidR="00FF41A0">
        <w:rPr>
          <w:sz w:val="20"/>
          <w:szCs w:val="20"/>
        </w:rPr>
        <w:t xml:space="preserve"> </w:t>
      </w:r>
      <w:r w:rsidR="00323457" w:rsidRPr="0059638B">
        <w:rPr>
          <w:sz w:val="20"/>
          <w:szCs w:val="20"/>
        </w:rPr>
        <w:t>abuse</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grounds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sexual</w:t>
      </w:r>
      <w:r w:rsidR="00FF41A0">
        <w:rPr>
          <w:sz w:val="20"/>
          <w:szCs w:val="20"/>
        </w:rPr>
        <w:t xml:space="preserve"> </w:t>
      </w:r>
      <w:r w:rsidR="00323457" w:rsidRPr="0059638B">
        <w:rPr>
          <w:sz w:val="20"/>
          <w:szCs w:val="20"/>
        </w:rPr>
        <w:t>orientation</w:t>
      </w:r>
      <w:r w:rsidR="00FF41A0">
        <w:rPr>
          <w:sz w:val="20"/>
          <w:szCs w:val="20"/>
        </w:rPr>
        <w:t xml:space="preserve"> </w:t>
      </w:r>
      <w:r w:rsidR="00323457" w:rsidRPr="0059638B">
        <w:rPr>
          <w:sz w:val="20"/>
          <w:szCs w:val="20"/>
        </w:rPr>
        <w:t>or</w:t>
      </w:r>
      <w:r w:rsidR="00FF41A0">
        <w:rPr>
          <w:sz w:val="20"/>
          <w:szCs w:val="20"/>
        </w:rPr>
        <w:t xml:space="preserve"> </w:t>
      </w:r>
      <w:r w:rsidR="00323457" w:rsidRPr="0059638B">
        <w:rPr>
          <w:sz w:val="20"/>
          <w:szCs w:val="20"/>
        </w:rPr>
        <w:t>gender</w:t>
      </w:r>
      <w:r w:rsidR="00FF41A0">
        <w:rPr>
          <w:sz w:val="20"/>
          <w:szCs w:val="20"/>
        </w:rPr>
        <w:t xml:space="preserve"> </w:t>
      </w:r>
      <w:r w:rsidR="00323457" w:rsidRPr="0059638B">
        <w:rPr>
          <w:sz w:val="20"/>
          <w:szCs w:val="20"/>
        </w:rPr>
        <w:t>identity.</w:t>
      </w:r>
    </w:p>
    <w:p w14:paraId="7ED75B8A" w14:textId="6B6A2C85" w:rsidR="00323457" w:rsidRPr="0059638B" w:rsidRDefault="00972F1E" w:rsidP="00323457">
      <w:pPr>
        <w:pStyle w:val="SingleTxtG"/>
        <w:rPr>
          <w:sz w:val="20"/>
          <w:szCs w:val="20"/>
        </w:rPr>
      </w:pPr>
      <w:r>
        <w:rPr>
          <w:sz w:val="20"/>
          <w:szCs w:val="20"/>
        </w:rPr>
        <w:t>767</w:t>
      </w:r>
      <w:r w:rsidR="00D7475F">
        <w:rPr>
          <w:sz w:val="20"/>
          <w:szCs w:val="20"/>
        </w:rPr>
        <w:t>.</w:t>
      </w:r>
      <w:r w:rsidR="00D7475F">
        <w:rPr>
          <w:sz w:val="20"/>
          <w:szCs w:val="20"/>
        </w:rPr>
        <w:tab/>
      </w:r>
      <w:r w:rsidR="00323457" w:rsidRPr="0059638B">
        <w:rPr>
          <w:sz w:val="20"/>
          <w:szCs w:val="20"/>
        </w:rPr>
        <w:t>Cuba</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active</w:t>
      </w:r>
      <w:r w:rsidR="00FF41A0">
        <w:rPr>
          <w:sz w:val="20"/>
          <w:szCs w:val="20"/>
        </w:rPr>
        <w:t xml:space="preserve"> </w:t>
      </w:r>
      <w:r w:rsidR="00323457" w:rsidRPr="0059638B">
        <w:rPr>
          <w:sz w:val="20"/>
          <w:szCs w:val="20"/>
        </w:rPr>
        <w:t>participation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third</w:t>
      </w:r>
      <w:r w:rsidR="00FF41A0">
        <w:rPr>
          <w:sz w:val="20"/>
          <w:szCs w:val="20"/>
        </w:rPr>
        <w:t xml:space="preserve"> </w:t>
      </w:r>
      <w:r w:rsidR="00323457" w:rsidRPr="0059638B">
        <w:rPr>
          <w:sz w:val="20"/>
          <w:szCs w:val="20"/>
        </w:rPr>
        <w:t>cycle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pleased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accepted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formulated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Cuba</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implementation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Strategic</w:t>
      </w:r>
      <w:r w:rsidR="00FF41A0">
        <w:rPr>
          <w:sz w:val="20"/>
          <w:szCs w:val="20"/>
        </w:rPr>
        <w:t xml:space="preserve"> </w:t>
      </w:r>
      <w:r w:rsidR="00323457" w:rsidRPr="0059638B">
        <w:rPr>
          <w:sz w:val="20"/>
          <w:szCs w:val="20"/>
        </w:rPr>
        <w:t>Health</w:t>
      </w:r>
      <w:r w:rsidR="00FF41A0">
        <w:rPr>
          <w:sz w:val="20"/>
          <w:szCs w:val="20"/>
        </w:rPr>
        <w:t xml:space="preserve"> </w:t>
      </w:r>
      <w:r w:rsidR="00323457" w:rsidRPr="0059638B">
        <w:rPr>
          <w:sz w:val="20"/>
          <w:szCs w:val="20"/>
        </w:rPr>
        <w:t>Plan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access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inclusive</w:t>
      </w:r>
      <w:r w:rsidR="00FF41A0">
        <w:rPr>
          <w:sz w:val="20"/>
          <w:szCs w:val="20"/>
        </w:rPr>
        <w:t xml:space="preserve"> </w:t>
      </w:r>
      <w:r w:rsidR="00323457" w:rsidRPr="0059638B">
        <w:rPr>
          <w:sz w:val="20"/>
          <w:szCs w:val="20"/>
        </w:rPr>
        <w:t>education</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children</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disabilities.</w:t>
      </w:r>
      <w:r w:rsidR="00FF41A0">
        <w:rPr>
          <w:sz w:val="20"/>
          <w:szCs w:val="20"/>
        </w:rPr>
        <w:t xml:space="preserve"> </w:t>
      </w:r>
      <w:r w:rsidR="00323457" w:rsidRPr="0059638B">
        <w:rPr>
          <w:sz w:val="20"/>
          <w:szCs w:val="20"/>
        </w:rPr>
        <w:t>Cuba</w:t>
      </w:r>
      <w:r w:rsidR="00FF41A0">
        <w:rPr>
          <w:sz w:val="20"/>
          <w:szCs w:val="20"/>
        </w:rPr>
        <w:t xml:space="preserve"> </w:t>
      </w:r>
      <w:r w:rsidR="00323457" w:rsidRPr="0059638B">
        <w:rPr>
          <w:sz w:val="20"/>
          <w:szCs w:val="20"/>
        </w:rPr>
        <w:t>encouraged</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effectively</w:t>
      </w:r>
      <w:r w:rsidR="00FF41A0">
        <w:rPr>
          <w:sz w:val="20"/>
          <w:szCs w:val="20"/>
        </w:rPr>
        <w:t xml:space="preserve"> </w:t>
      </w:r>
      <w:r w:rsidR="00323457" w:rsidRPr="0059638B">
        <w:rPr>
          <w:sz w:val="20"/>
          <w:szCs w:val="20"/>
        </w:rPr>
        <w:t>implement</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accepted</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whished</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success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this</w:t>
      </w:r>
      <w:r w:rsidR="00FF41A0">
        <w:rPr>
          <w:sz w:val="20"/>
          <w:szCs w:val="20"/>
        </w:rPr>
        <w:t xml:space="preserve"> </w:t>
      </w:r>
      <w:r w:rsidR="00323457" w:rsidRPr="0059638B">
        <w:rPr>
          <w:sz w:val="20"/>
          <w:szCs w:val="20"/>
        </w:rPr>
        <w:t>endeavour.</w:t>
      </w:r>
      <w:r w:rsidR="00FF41A0">
        <w:rPr>
          <w:sz w:val="20"/>
          <w:szCs w:val="20"/>
        </w:rPr>
        <w:t xml:space="preserve"> </w:t>
      </w:r>
    </w:p>
    <w:p w14:paraId="26DFB745" w14:textId="33CB6C10" w:rsidR="00323457" w:rsidRPr="0059638B" w:rsidRDefault="00972F1E" w:rsidP="00323457">
      <w:pPr>
        <w:pStyle w:val="SingleTxtG"/>
        <w:rPr>
          <w:sz w:val="20"/>
          <w:szCs w:val="20"/>
        </w:rPr>
      </w:pPr>
      <w:r>
        <w:rPr>
          <w:sz w:val="20"/>
          <w:szCs w:val="20"/>
        </w:rPr>
        <w:t>768</w:t>
      </w:r>
      <w:r w:rsidR="00D7475F">
        <w:rPr>
          <w:sz w:val="20"/>
          <w:szCs w:val="20"/>
        </w:rPr>
        <w:t>.</w:t>
      </w:r>
      <w:r w:rsidR="00D7475F">
        <w:rPr>
          <w:sz w:val="20"/>
          <w:szCs w:val="20"/>
        </w:rPr>
        <w:tab/>
      </w:r>
      <w:r w:rsidR="00323457" w:rsidRPr="0059638B">
        <w:rPr>
          <w:sz w:val="20"/>
          <w:szCs w:val="20"/>
        </w:rPr>
        <w:t>Iraq</w:t>
      </w:r>
      <w:r w:rsidR="00FF41A0">
        <w:rPr>
          <w:sz w:val="20"/>
          <w:szCs w:val="20"/>
        </w:rPr>
        <w:t xml:space="preserve"> </w:t>
      </w:r>
      <w:r w:rsidR="00323457" w:rsidRPr="0059638B">
        <w:rPr>
          <w:sz w:val="20"/>
          <w:szCs w:val="20"/>
        </w:rPr>
        <w:t>congratulated</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participation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expressed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appreciation</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acceptance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three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submitted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delegation.</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expressed</w:t>
      </w:r>
      <w:r w:rsidR="00FF41A0">
        <w:rPr>
          <w:sz w:val="20"/>
          <w:szCs w:val="20"/>
        </w:rPr>
        <w:t xml:space="preserve"> </w:t>
      </w:r>
      <w:r w:rsidR="00323457" w:rsidRPr="0059638B">
        <w:rPr>
          <w:sz w:val="20"/>
          <w:szCs w:val="20"/>
        </w:rPr>
        <w:t>appreciation</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acceptance</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most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received</w:t>
      </w:r>
      <w:r w:rsidR="00FF41A0">
        <w:rPr>
          <w:sz w:val="20"/>
          <w:szCs w:val="20"/>
        </w:rPr>
        <w:t xml:space="preserve"> </w:t>
      </w:r>
      <w:r w:rsidR="00323457" w:rsidRPr="0059638B">
        <w:rPr>
          <w:sz w:val="20"/>
          <w:szCs w:val="20"/>
        </w:rPr>
        <w:t>during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process.</w:t>
      </w:r>
      <w:r w:rsidR="00FF41A0">
        <w:rPr>
          <w:sz w:val="20"/>
          <w:szCs w:val="20"/>
        </w:rPr>
        <w:t xml:space="preserve"> </w:t>
      </w:r>
      <w:r w:rsidR="00323457" w:rsidRPr="0059638B">
        <w:rPr>
          <w:sz w:val="20"/>
          <w:szCs w:val="20"/>
        </w:rPr>
        <w:t>Finally,</w:t>
      </w:r>
      <w:r w:rsidR="00FF41A0">
        <w:rPr>
          <w:sz w:val="20"/>
          <w:szCs w:val="20"/>
        </w:rPr>
        <w:t xml:space="preserve"> </w:t>
      </w:r>
      <w:r w:rsidR="00323457" w:rsidRPr="0059638B">
        <w:rPr>
          <w:sz w:val="20"/>
          <w:szCs w:val="20"/>
        </w:rPr>
        <w:t>Iraq</w:t>
      </w:r>
      <w:r w:rsidR="00FF41A0">
        <w:rPr>
          <w:sz w:val="20"/>
          <w:szCs w:val="20"/>
        </w:rPr>
        <w:t xml:space="preserve"> </w:t>
      </w:r>
      <w:r w:rsidR="00323457" w:rsidRPr="0059638B">
        <w:rPr>
          <w:sz w:val="20"/>
          <w:szCs w:val="20"/>
        </w:rPr>
        <w:t>hoped</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implementation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accepted</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accordance</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obligations</w:t>
      </w:r>
      <w:r w:rsidR="00FF41A0">
        <w:rPr>
          <w:sz w:val="20"/>
          <w:szCs w:val="20"/>
        </w:rPr>
        <w:t xml:space="preserve"> </w:t>
      </w:r>
      <w:r w:rsidR="00323457" w:rsidRPr="0059638B">
        <w:rPr>
          <w:sz w:val="20"/>
          <w:szCs w:val="20"/>
        </w:rPr>
        <w:t>undertaken</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Belize.</w:t>
      </w:r>
      <w:r w:rsidR="00FF41A0">
        <w:rPr>
          <w:sz w:val="20"/>
          <w:szCs w:val="20"/>
        </w:rPr>
        <w:t xml:space="preserve"> </w:t>
      </w:r>
    </w:p>
    <w:p w14:paraId="6F868889" w14:textId="0681DE5D" w:rsidR="00323457" w:rsidRPr="0059638B" w:rsidRDefault="00972F1E" w:rsidP="00323457">
      <w:pPr>
        <w:pStyle w:val="SingleTxtG"/>
        <w:rPr>
          <w:sz w:val="20"/>
          <w:szCs w:val="20"/>
        </w:rPr>
      </w:pPr>
      <w:r>
        <w:rPr>
          <w:sz w:val="20"/>
          <w:szCs w:val="20"/>
        </w:rPr>
        <w:t>769</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Office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United</w:t>
      </w:r>
      <w:r w:rsidR="00FF41A0">
        <w:rPr>
          <w:sz w:val="20"/>
          <w:szCs w:val="20"/>
        </w:rPr>
        <w:t xml:space="preserve"> </w:t>
      </w:r>
      <w:r w:rsidR="00323457" w:rsidRPr="0059638B">
        <w:rPr>
          <w:sz w:val="20"/>
          <w:szCs w:val="20"/>
        </w:rPr>
        <w:t>Nations</w:t>
      </w:r>
      <w:r w:rsidR="00FF41A0">
        <w:rPr>
          <w:sz w:val="20"/>
          <w:szCs w:val="20"/>
        </w:rPr>
        <w:t xml:space="preserve"> </w:t>
      </w:r>
      <w:r w:rsidR="00323457" w:rsidRPr="0059638B">
        <w:rPr>
          <w:sz w:val="20"/>
          <w:szCs w:val="20"/>
        </w:rPr>
        <w:t>High</w:t>
      </w:r>
      <w:r w:rsidR="00FF41A0">
        <w:rPr>
          <w:sz w:val="20"/>
          <w:szCs w:val="20"/>
        </w:rPr>
        <w:t xml:space="preserve"> </w:t>
      </w:r>
      <w:r w:rsidR="00323457" w:rsidRPr="0059638B">
        <w:rPr>
          <w:sz w:val="20"/>
          <w:szCs w:val="20"/>
        </w:rPr>
        <w:t>Commissioner</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Refugees</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support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calling</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greater</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vulnerable</w:t>
      </w:r>
      <w:r w:rsidR="00FF41A0">
        <w:rPr>
          <w:sz w:val="20"/>
          <w:szCs w:val="20"/>
        </w:rPr>
        <w:t xml:space="preserve"> </w:t>
      </w:r>
      <w:r w:rsidR="00323457" w:rsidRPr="0059638B">
        <w:rPr>
          <w:sz w:val="20"/>
          <w:szCs w:val="20"/>
        </w:rPr>
        <w:t>persons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ensuring</w:t>
      </w:r>
      <w:r w:rsidR="00FF41A0">
        <w:rPr>
          <w:sz w:val="20"/>
          <w:szCs w:val="20"/>
        </w:rPr>
        <w:t xml:space="preserve"> </w:t>
      </w:r>
      <w:r w:rsidR="00323457" w:rsidRPr="0059638B">
        <w:rPr>
          <w:sz w:val="20"/>
          <w:szCs w:val="20"/>
        </w:rPr>
        <w:t>full</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these</w:t>
      </w:r>
      <w:r w:rsidR="00FF41A0">
        <w:rPr>
          <w:sz w:val="20"/>
          <w:szCs w:val="20"/>
        </w:rPr>
        <w:t xml:space="preserve"> </w:t>
      </w:r>
      <w:r w:rsidR="00323457" w:rsidRPr="0059638B">
        <w:rPr>
          <w:sz w:val="20"/>
          <w:szCs w:val="20"/>
        </w:rPr>
        <w:t>persons</w:t>
      </w:r>
      <w:r w:rsidR="00FF41A0">
        <w:rPr>
          <w:sz w:val="20"/>
          <w:szCs w:val="20"/>
        </w:rPr>
        <w:t xml:space="preserve"> </w:t>
      </w:r>
      <w:r w:rsidR="00323457" w:rsidRPr="0059638B">
        <w:rPr>
          <w:sz w:val="20"/>
          <w:szCs w:val="20"/>
        </w:rPr>
        <w:t>without</w:t>
      </w:r>
      <w:r w:rsidR="00FF41A0">
        <w:rPr>
          <w:sz w:val="20"/>
          <w:szCs w:val="20"/>
        </w:rPr>
        <w:t xml:space="preserve"> </w:t>
      </w:r>
      <w:r w:rsidR="00323457" w:rsidRPr="0059638B">
        <w:rPr>
          <w:sz w:val="20"/>
          <w:szCs w:val="20"/>
        </w:rPr>
        <w:t>discrimination</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require</w:t>
      </w:r>
      <w:r w:rsidR="00FF41A0">
        <w:rPr>
          <w:sz w:val="20"/>
          <w:szCs w:val="20"/>
        </w:rPr>
        <w:t xml:space="preserve"> </w:t>
      </w:r>
      <w:r w:rsidR="00323457" w:rsidRPr="0059638B">
        <w:rPr>
          <w:sz w:val="20"/>
          <w:szCs w:val="20"/>
        </w:rPr>
        <w:t>guaranteeing</w:t>
      </w:r>
      <w:r w:rsidR="00FF41A0">
        <w:rPr>
          <w:sz w:val="20"/>
          <w:szCs w:val="20"/>
        </w:rPr>
        <w:t xml:space="preserve"> </w:t>
      </w:r>
      <w:r w:rsidR="00323457" w:rsidRPr="0059638B">
        <w:rPr>
          <w:sz w:val="20"/>
          <w:szCs w:val="20"/>
        </w:rPr>
        <w:t>access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any</w:t>
      </w:r>
      <w:r w:rsidR="00FF41A0">
        <w:rPr>
          <w:sz w:val="20"/>
          <w:szCs w:val="20"/>
        </w:rPr>
        <w:t xml:space="preserve"> </w:t>
      </w:r>
      <w:r w:rsidR="00323457" w:rsidRPr="0059638B">
        <w:rPr>
          <w:sz w:val="20"/>
          <w:szCs w:val="20"/>
        </w:rPr>
        <w:t>non-citizen</w:t>
      </w:r>
      <w:r w:rsidR="00FF41A0">
        <w:rPr>
          <w:sz w:val="20"/>
          <w:szCs w:val="20"/>
        </w:rPr>
        <w:t xml:space="preserve"> </w:t>
      </w:r>
      <w:r w:rsidR="00323457" w:rsidRPr="0059638B">
        <w:rPr>
          <w:sz w:val="20"/>
          <w:szCs w:val="20"/>
        </w:rPr>
        <w:t>who</w:t>
      </w:r>
      <w:r w:rsidR="00FF41A0">
        <w:rPr>
          <w:sz w:val="20"/>
          <w:szCs w:val="20"/>
        </w:rPr>
        <w:t xml:space="preserve"> </w:t>
      </w:r>
      <w:r w:rsidR="00323457" w:rsidRPr="0059638B">
        <w:rPr>
          <w:sz w:val="20"/>
          <w:szCs w:val="20"/>
        </w:rPr>
        <w:t>may</w:t>
      </w:r>
      <w:r w:rsidR="00FF41A0">
        <w:rPr>
          <w:sz w:val="20"/>
          <w:szCs w:val="20"/>
        </w:rPr>
        <w:t xml:space="preserve"> </w:t>
      </w:r>
      <w:r w:rsidR="00323457" w:rsidRPr="0059638B">
        <w:rPr>
          <w:sz w:val="20"/>
          <w:szCs w:val="20"/>
        </w:rPr>
        <w:t>be</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refugee.</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appealed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reconsider</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accept</w:t>
      </w:r>
      <w:r w:rsidR="00FF41A0">
        <w:rPr>
          <w:sz w:val="20"/>
          <w:szCs w:val="20"/>
        </w:rPr>
        <w:t xml:space="preserve"> </w:t>
      </w:r>
      <w:r w:rsidR="00323457" w:rsidRPr="0059638B">
        <w:rPr>
          <w:sz w:val="20"/>
          <w:szCs w:val="20"/>
        </w:rPr>
        <w:t>recommendation</w:t>
      </w:r>
      <w:r w:rsidR="00FF41A0">
        <w:rPr>
          <w:sz w:val="20"/>
          <w:szCs w:val="20"/>
        </w:rPr>
        <w:t xml:space="preserve"> </w:t>
      </w:r>
      <w:r w:rsidR="00323457" w:rsidRPr="0059638B">
        <w:rPr>
          <w:sz w:val="20"/>
          <w:szCs w:val="20"/>
        </w:rPr>
        <w:t>79.20,</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called</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comprehensive</w:t>
      </w:r>
      <w:r w:rsidR="00FF41A0">
        <w:rPr>
          <w:sz w:val="20"/>
          <w:szCs w:val="20"/>
        </w:rPr>
        <w:t xml:space="preserve"> </w:t>
      </w:r>
      <w:r w:rsidR="00323457" w:rsidRPr="0059638B">
        <w:rPr>
          <w:sz w:val="20"/>
          <w:szCs w:val="20"/>
        </w:rPr>
        <w:t>update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migration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asylum</w:t>
      </w:r>
      <w:r w:rsidR="00FF41A0">
        <w:rPr>
          <w:sz w:val="20"/>
          <w:szCs w:val="20"/>
        </w:rPr>
        <w:t xml:space="preserve"> </w:t>
      </w:r>
      <w:r w:rsidR="00323457" w:rsidRPr="0059638B">
        <w:rPr>
          <w:sz w:val="20"/>
          <w:szCs w:val="20"/>
        </w:rPr>
        <w:t>legislation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order</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align</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standards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notably</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ensure</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persons</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access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asylum</w:t>
      </w:r>
      <w:r w:rsidR="00FF41A0">
        <w:rPr>
          <w:sz w:val="20"/>
          <w:szCs w:val="20"/>
        </w:rPr>
        <w:t xml:space="preserve"> </w:t>
      </w:r>
      <w:r w:rsidR="00323457" w:rsidRPr="0059638B">
        <w:rPr>
          <w:sz w:val="20"/>
          <w:szCs w:val="20"/>
        </w:rPr>
        <w:t>procedures</w:t>
      </w:r>
      <w:r w:rsidR="00FF41A0">
        <w:rPr>
          <w:sz w:val="20"/>
          <w:szCs w:val="20"/>
        </w:rPr>
        <w:t xml:space="preserve"> </w:t>
      </w:r>
      <w:r w:rsidR="00323457" w:rsidRPr="0059638B">
        <w:rPr>
          <w:sz w:val="20"/>
          <w:szCs w:val="20"/>
        </w:rPr>
        <w:t>regardless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time</w:t>
      </w:r>
      <w:r w:rsidR="00FF41A0">
        <w:rPr>
          <w:sz w:val="20"/>
          <w:szCs w:val="20"/>
        </w:rPr>
        <w:t xml:space="preserve"> </w:t>
      </w:r>
      <w:r w:rsidR="00323457" w:rsidRPr="0059638B">
        <w:rPr>
          <w:sz w:val="20"/>
          <w:szCs w:val="20"/>
        </w:rPr>
        <w:t>when</w:t>
      </w:r>
      <w:r w:rsidR="00FF41A0">
        <w:rPr>
          <w:sz w:val="20"/>
          <w:szCs w:val="20"/>
        </w:rPr>
        <w:t xml:space="preserve"> </w:t>
      </w:r>
      <w:r w:rsidR="00323457" w:rsidRPr="0059638B">
        <w:rPr>
          <w:sz w:val="20"/>
          <w:szCs w:val="20"/>
        </w:rPr>
        <w:t>they</w:t>
      </w:r>
      <w:r w:rsidR="00FF41A0">
        <w:rPr>
          <w:sz w:val="20"/>
          <w:szCs w:val="20"/>
        </w:rPr>
        <w:t xml:space="preserve"> </w:t>
      </w:r>
      <w:r w:rsidR="00323457" w:rsidRPr="0059638B">
        <w:rPr>
          <w:sz w:val="20"/>
          <w:szCs w:val="20"/>
        </w:rPr>
        <w:t>submitted</w:t>
      </w:r>
      <w:r w:rsidR="00FF41A0">
        <w:rPr>
          <w:sz w:val="20"/>
          <w:szCs w:val="20"/>
        </w:rPr>
        <w:t xml:space="preserve"> </w:t>
      </w:r>
      <w:r w:rsidR="00323457" w:rsidRPr="0059638B">
        <w:rPr>
          <w:sz w:val="20"/>
          <w:szCs w:val="20"/>
        </w:rPr>
        <w:t>asylum</w:t>
      </w:r>
      <w:r w:rsidR="00FF41A0">
        <w:rPr>
          <w:sz w:val="20"/>
          <w:szCs w:val="20"/>
        </w:rPr>
        <w:t xml:space="preserve"> </w:t>
      </w:r>
      <w:r w:rsidR="00323457" w:rsidRPr="0059638B">
        <w:rPr>
          <w:sz w:val="20"/>
          <w:szCs w:val="20"/>
        </w:rPr>
        <w:t>claims.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acceptance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several</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regarding</w:t>
      </w:r>
      <w:r w:rsidR="00FF41A0">
        <w:rPr>
          <w:sz w:val="20"/>
          <w:szCs w:val="20"/>
        </w:rPr>
        <w:t xml:space="preserve"> </w:t>
      </w:r>
      <w:r w:rsidR="00323457" w:rsidRPr="0059638B">
        <w:rPr>
          <w:sz w:val="20"/>
          <w:szCs w:val="20"/>
        </w:rPr>
        <w:t>statelessness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reaffirmed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readiness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assist</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implementing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received</w:t>
      </w:r>
      <w:r w:rsidR="00FF41A0">
        <w:rPr>
          <w:sz w:val="20"/>
          <w:szCs w:val="20"/>
        </w:rPr>
        <w:t xml:space="preserve"> </w:t>
      </w:r>
      <w:r w:rsidR="00323457" w:rsidRPr="0059638B">
        <w:rPr>
          <w:sz w:val="20"/>
          <w:szCs w:val="20"/>
        </w:rPr>
        <w:t>during</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third</w:t>
      </w:r>
      <w:r w:rsidR="00FF41A0">
        <w:rPr>
          <w:sz w:val="20"/>
          <w:szCs w:val="20"/>
        </w:rPr>
        <w:t xml:space="preserve"> </w:t>
      </w:r>
      <w:r w:rsidR="00323457" w:rsidRPr="0059638B">
        <w:rPr>
          <w:sz w:val="20"/>
          <w:szCs w:val="20"/>
        </w:rPr>
        <w:t>review.</w:t>
      </w:r>
    </w:p>
    <w:p w14:paraId="1730F1FF" w14:textId="0EB444DB" w:rsidR="00323457" w:rsidRPr="0059638B" w:rsidRDefault="00972F1E" w:rsidP="00323457">
      <w:pPr>
        <w:pStyle w:val="SingleTxtG"/>
        <w:rPr>
          <w:sz w:val="20"/>
          <w:szCs w:val="20"/>
        </w:rPr>
      </w:pPr>
      <w:r>
        <w:rPr>
          <w:sz w:val="20"/>
          <w:szCs w:val="20"/>
        </w:rPr>
        <w:lastRenderedPageBreak/>
        <w:t>770</w:t>
      </w:r>
      <w:r w:rsidR="00D7475F">
        <w:rPr>
          <w:sz w:val="20"/>
          <w:szCs w:val="20"/>
        </w:rPr>
        <w:t>.</w:t>
      </w:r>
      <w:r w:rsidR="00D7475F">
        <w:rPr>
          <w:sz w:val="20"/>
          <w:szCs w:val="20"/>
        </w:rPr>
        <w:tab/>
      </w:r>
      <w:r w:rsidR="00323457" w:rsidRPr="0059638B">
        <w:rPr>
          <w:sz w:val="20"/>
          <w:szCs w:val="20"/>
        </w:rPr>
        <w:t>Tunisia</w:t>
      </w:r>
      <w:r w:rsidR="00FF41A0">
        <w:rPr>
          <w:sz w:val="20"/>
          <w:szCs w:val="20"/>
        </w:rPr>
        <w:t xml:space="preserve"> </w:t>
      </w:r>
      <w:r w:rsidR="00323457" w:rsidRPr="0059638B">
        <w:rPr>
          <w:sz w:val="20"/>
          <w:szCs w:val="20"/>
        </w:rPr>
        <w:t>thanked</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detailed</w:t>
      </w:r>
      <w:r w:rsidR="00FF41A0">
        <w:rPr>
          <w:sz w:val="20"/>
          <w:szCs w:val="20"/>
        </w:rPr>
        <w:t xml:space="preserve"> </w:t>
      </w:r>
      <w:r w:rsidR="00323457" w:rsidRPr="0059638B">
        <w:rPr>
          <w:sz w:val="20"/>
          <w:szCs w:val="20"/>
        </w:rPr>
        <w:t>presentation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improve</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legislation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order</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comply</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standards.</w:t>
      </w:r>
      <w:r w:rsidR="00FF41A0">
        <w:rPr>
          <w:sz w:val="20"/>
          <w:szCs w:val="20"/>
        </w:rPr>
        <w:t xml:space="preserve"> </w:t>
      </w:r>
      <w:r w:rsidR="00323457" w:rsidRPr="0059638B">
        <w:rPr>
          <w:sz w:val="20"/>
          <w:szCs w:val="20"/>
        </w:rPr>
        <w:t>Tunisia</w:t>
      </w:r>
      <w:r w:rsidR="00FF41A0">
        <w:rPr>
          <w:sz w:val="20"/>
          <w:szCs w:val="20"/>
        </w:rPr>
        <w:t xml:space="preserve"> </w:t>
      </w:r>
      <w:r w:rsidR="00323457" w:rsidRPr="0059638B">
        <w:rPr>
          <w:sz w:val="20"/>
          <w:szCs w:val="20"/>
        </w:rPr>
        <w:t>commended</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acceptance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an</w:t>
      </w:r>
      <w:r w:rsidR="00FF41A0">
        <w:rPr>
          <w:sz w:val="20"/>
          <w:szCs w:val="20"/>
        </w:rPr>
        <w:t xml:space="preserve"> </w:t>
      </w:r>
      <w:r w:rsidR="00323457" w:rsidRPr="0059638B">
        <w:rPr>
          <w:sz w:val="20"/>
          <w:szCs w:val="20"/>
        </w:rPr>
        <w:t>important</w:t>
      </w:r>
      <w:r w:rsidR="00FF41A0">
        <w:rPr>
          <w:sz w:val="20"/>
          <w:szCs w:val="20"/>
        </w:rPr>
        <w:t xml:space="preserve"> </w:t>
      </w:r>
      <w:r w:rsidR="00323457" w:rsidRPr="0059638B">
        <w:rPr>
          <w:sz w:val="20"/>
          <w:szCs w:val="20"/>
        </w:rPr>
        <w:t>number</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received,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particular</w:t>
      </w:r>
      <w:r w:rsidR="00FF41A0">
        <w:rPr>
          <w:sz w:val="20"/>
          <w:szCs w:val="20"/>
        </w:rPr>
        <w:t xml:space="preserve"> </w:t>
      </w:r>
      <w:r w:rsidR="00323457" w:rsidRPr="0059638B">
        <w:rPr>
          <w:sz w:val="20"/>
          <w:szCs w:val="20"/>
        </w:rPr>
        <w:t>those</w:t>
      </w:r>
      <w:r w:rsidR="00FF41A0">
        <w:rPr>
          <w:sz w:val="20"/>
          <w:szCs w:val="20"/>
        </w:rPr>
        <w:t xml:space="preserve"> </w:t>
      </w:r>
      <w:r w:rsidR="00323457" w:rsidRPr="0059638B">
        <w:rPr>
          <w:sz w:val="20"/>
          <w:szCs w:val="20"/>
        </w:rPr>
        <w:t>related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violence</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children.</w:t>
      </w:r>
      <w:r w:rsidR="00FF41A0">
        <w:rPr>
          <w:sz w:val="20"/>
          <w:szCs w:val="20"/>
        </w:rPr>
        <w:t xml:space="preserve"> </w:t>
      </w:r>
      <w:r w:rsidR="00323457" w:rsidRPr="0059638B">
        <w:rPr>
          <w:sz w:val="20"/>
          <w:szCs w:val="20"/>
        </w:rPr>
        <w:t>Finally,</w:t>
      </w:r>
      <w:r w:rsidR="00FF41A0">
        <w:rPr>
          <w:sz w:val="20"/>
          <w:szCs w:val="20"/>
        </w:rPr>
        <w:t xml:space="preserve"> </w:t>
      </w:r>
      <w:r w:rsidR="00323457" w:rsidRPr="0059638B">
        <w:rPr>
          <w:sz w:val="20"/>
          <w:szCs w:val="20"/>
        </w:rPr>
        <w:t>Tunisia</w:t>
      </w:r>
      <w:r w:rsidR="00FF41A0">
        <w:rPr>
          <w:sz w:val="20"/>
          <w:szCs w:val="20"/>
        </w:rPr>
        <w:t xml:space="preserve"> </w:t>
      </w:r>
      <w:r w:rsidR="00323457" w:rsidRPr="0059638B">
        <w:rPr>
          <w:sz w:val="20"/>
          <w:szCs w:val="20"/>
        </w:rPr>
        <w:t>wished</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every</w:t>
      </w:r>
      <w:r w:rsidR="00FF41A0">
        <w:rPr>
          <w:sz w:val="20"/>
          <w:szCs w:val="20"/>
        </w:rPr>
        <w:t xml:space="preserve"> </w:t>
      </w:r>
      <w:r w:rsidR="00323457" w:rsidRPr="0059638B">
        <w:rPr>
          <w:sz w:val="20"/>
          <w:szCs w:val="20"/>
        </w:rPr>
        <w:t>success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implementation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p>
    <w:p w14:paraId="4BC091C9" w14:textId="37295F9A" w:rsidR="00323457" w:rsidRPr="0059638B" w:rsidRDefault="00972F1E" w:rsidP="00323457">
      <w:pPr>
        <w:pStyle w:val="SingleTxtG"/>
        <w:rPr>
          <w:sz w:val="20"/>
          <w:szCs w:val="20"/>
        </w:rPr>
      </w:pPr>
      <w:r>
        <w:rPr>
          <w:sz w:val="20"/>
          <w:szCs w:val="20"/>
        </w:rPr>
        <w:t>771</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United</w:t>
      </w:r>
      <w:r w:rsidR="00FF41A0">
        <w:rPr>
          <w:sz w:val="20"/>
          <w:szCs w:val="20"/>
        </w:rPr>
        <w:t xml:space="preserve"> </w:t>
      </w:r>
      <w:r w:rsidR="00323457" w:rsidRPr="0059638B">
        <w:rPr>
          <w:sz w:val="20"/>
          <w:szCs w:val="20"/>
        </w:rPr>
        <w:t>Nations</w:t>
      </w:r>
      <w:r w:rsidR="00FF41A0">
        <w:rPr>
          <w:sz w:val="20"/>
          <w:szCs w:val="20"/>
        </w:rPr>
        <w:t xml:space="preserve"> </w:t>
      </w:r>
      <w:r w:rsidR="00323457" w:rsidRPr="0059638B">
        <w:rPr>
          <w:sz w:val="20"/>
          <w:szCs w:val="20"/>
        </w:rPr>
        <w:t>Population</w:t>
      </w:r>
      <w:r w:rsidR="00FF41A0">
        <w:rPr>
          <w:sz w:val="20"/>
          <w:szCs w:val="20"/>
        </w:rPr>
        <w:t xml:space="preserve"> </w:t>
      </w:r>
      <w:r w:rsidR="00323457" w:rsidRPr="0059638B">
        <w:rPr>
          <w:sz w:val="20"/>
          <w:szCs w:val="20"/>
        </w:rPr>
        <w:t>Fund</w:t>
      </w:r>
      <w:r w:rsidR="00FF41A0">
        <w:rPr>
          <w:sz w:val="20"/>
          <w:szCs w:val="20"/>
        </w:rPr>
        <w:t xml:space="preserve"> </w:t>
      </w:r>
      <w:r w:rsidR="00323457" w:rsidRPr="0059638B">
        <w:rPr>
          <w:sz w:val="20"/>
          <w:szCs w:val="20"/>
        </w:rPr>
        <w:t>reaffirmed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commitment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work</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towards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elimination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forms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discrimination</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this</w:t>
      </w:r>
      <w:r w:rsidR="00FF41A0">
        <w:rPr>
          <w:sz w:val="20"/>
          <w:szCs w:val="20"/>
        </w:rPr>
        <w:t xml:space="preserve"> </w:t>
      </w:r>
      <w:r w:rsidR="00323457" w:rsidRPr="0059638B">
        <w:rPr>
          <w:sz w:val="20"/>
          <w:szCs w:val="20"/>
        </w:rPr>
        <w:t>regard,</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continue</w:t>
      </w:r>
      <w:r w:rsidR="00FF41A0">
        <w:rPr>
          <w:sz w:val="20"/>
          <w:szCs w:val="20"/>
        </w:rPr>
        <w:t xml:space="preserve"> </w:t>
      </w:r>
      <w:r w:rsidR="00323457" w:rsidRPr="0059638B">
        <w:rPr>
          <w:sz w:val="20"/>
          <w:szCs w:val="20"/>
        </w:rPr>
        <w:t>supporting,</w:t>
      </w:r>
      <w:r w:rsidR="00FF41A0">
        <w:rPr>
          <w:sz w:val="20"/>
          <w:szCs w:val="20"/>
        </w:rPr>
        <w:t xml:space="preserve"> </w:t>
      </w:r>
      <w:r w:rsidR="00323457" w:rsidRPr="0059638B">
        <w:rPr>
          <w:sz w:val="20"/>
          <w:szCs w:val="20"/>
        </w:rPr>
        <w:t>inter</w:t>
      </w:r>
      <w:r w:rsidR="00FF41A0">
        <w:rPr>
          <w:sz w:val="20"/>
          <w:szCs w:val="20"/>
        </w:rPr>
        <w:t xml:space="preserve"> </w:t>
      </w:r>
      <w:r w:rsidR="00323457" w:rsidRPr="0059638B">
        <w:rPr>
          <w:sz w:val="20"/>
          <w:szCs w:val="20"/>
        </w:rPr>
        <w:t>alia,</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Gender</w:t>
      </w:r>
      <w:r w:rsidR="00FF41A0">
        <w:rPr>
          <w:sz w:val="20"/>
          <w:szCs w:val="20"/>
        </w:rPr>
        <w:t xml:space="preserve"> </w:t>
      </w:r>
      <w:r w:rsidR="00323457" w:rsidRPr="0059638B">
        <w:rPr>
          <w:sz w:val="20"/>
          <w:szCs w:val="20"/>
        </w:rPr>
        <w:t>Policy,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Gender</w:t>
      </w:r>
      <w:r w:rsidR="00FF41A0">
        <w:rPr>
          <w:sz w:val="20"/>
          <w:szCs w:val="20"/>
        </w:rPr>
        <w:t xml:space="preserve"> </w:t>
      </w:r>
      <w:r w:rsidR="00323457" w:rsidRPr="0059638B">
        <w:rPr>
          <w:sz w:val="20"/>
          <w:szCs w:val="20"/>
        </w:rPr>
        <w:t>Based</w:t>
      </w:r>
      <w:r w:rsidR="00FF41A0">
        <w:rPr>
          <w:sz w:val="20"/>
          <w:szCs w:val="20"/>
        </w:rPr>
        <w:t xml:space="preserve"> </w:t>
      </w:r>
      <w:r w:rsidR="00323457" w:rsidRPr="0059638B">
        <w:rPr>
          <w:sz w:val="20"/>
          <w:szCs w:val="20"/>
        </w:rPr>
        <w:t>Violence</w:t>
      </w:r>
      <w:r w:rsidR="00FF41A0">
        <w:rPr>
          <w:sz w:val="20"/>
          <w:szCs w:val="20"/>
        </w:rPr>
        <w:t xml:space="preserve"> </w:t>
      </w:r>
      <w:r w:rsidR="00323457" w:rsidRPr="0059638B">
        <w:rPr>
          <w:sz w:val="20"/>
          <w:szCs w:val="20"/>
        </w:rPr>
        <w:t>Action</w:t>
      </w:r>
      <w:r w:rsidR="00FF41A0">
        <w:rPr>
          <w:sz w:val="20"/>
          <w:szCs w:val="20"/>
        </w:rPr>
        <w:t xml:space="preserve"> </w:t>
      </w:r>
      <w:r w:rsidR="00323457" w:rsidRPr="0059638B">
        <w:rPr>
          <w:sz w:val="20"/>
          <w:szCs w:val="20"/>
        </w:rPr>
        <w:t>Plan,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strengthening</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Gender</w:t>
      </w:r>
      <w:r w:rsidR="00FF41A0">
        <w:rPr>
          <w:sz w:val="20"/>
          <w:szCs w:val="20"/>
        </w:rPr>
        <w:t xml:space="preserve"> </w:t>
      </w:r>
      <w:r w:rsidR="00323457" w:rsidRPr="0059638B">
        <w:rPr>
          <w:sz w:val="20"/>
          <w:szCs w:val="20"/>
        </w:rPr>
        <w:t>Based</w:t>
      </w:r>
      <w:r w:rsidR="00FF41A0">
        <w:rPr>
          <w:sz w:val="20"/>
          <w:szCs w:val="20"/>
        </w:rPr>
        <w:t xml:space="preserve"> </w:t>
      </w:r>
      <w:r w:rsidR="00323457" w:rsidRPr="0059638B">
        <w:rPr>
          <w:sz w:val="20"/>
          <w:szCs w:val="20"/>
        </w:rPr>
        <w:t>Violence</w:t>
      </w:r>
      <w:r w:rsidR="00FF41A0">
        <w:rPr>
          <w:sz w:val="20"/>
          <w:szCs w:val="20"/>
        </w:rPr>
        <w:t xml:space="preserve"> </w:t>
      </w:r>
      <w:r w:rsidR="00323457" w:rsidRPr="0059638B">
        <w:rPr>
          <w:sz w:val="20"/>
          <w:szCs w:val="20"/>
        </w:rPr>
        <w:t>surveillance</w:t>
      </w:r>
      <w:r w:rsidR="00FF41A0">
        <w:rPr>
          <w:sz w:val="20"/>
          <w:szCs w:val="20"/>
        </w:rPr>
        <w:t xml:space="preserve"> </w:t>
      </w:r>
      <w:r w:rsidR="00323457" w:rsidRPr="0059638B">
        <w:rPr>
          <w:sz w:val="20"/>
          <w:szCs w:val="20"/>
        </w:rPr>
        <w:t>system,</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development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comprehensive</w:t>
      </w:r>
      <w:r w:rsidR="00FF41A0">
        <w:rPr>
          <w:sz w:val="20"/>
          <w:szCs w:val="20"/>
        </w:rPr>
        <w:t xml:space="preserve"> </w:t>
      </w:r>
      <w:r w:rsidR="00323457" w:rsidRPr="0059638B">
        <w:rPr>
          <w:sz w:val="20"/>
          <w:szCs w:val="20"/>
        </w:rPr>
        <w:t>adolescent</w:t>
      </w:r>
      <w:r w:rsidR="00FF41A0">
        <w:rPr>
          <w:sz w:val="20"/>
          <w:szCs w:val="20"/>
        </w:rPr>
        <w:t xml:space="preserve"> </w:t>
      </w:r>
      <w:r w:rsidR="00323457" w:rsidRPr="0059638B">
        <w:rPr>
          <w:sz w:val="20"/>
          <w:szCs w:val="20"/>
        </w:rPr>
        <w:t>health</w:t>
      </w:r>
      <w:r w:rsidR="00FF41A0">
        <w:rPr>
          <w:sz w:val="20"/>
          <w:szCs w:val="20"/>
        </w:rPr>
        <w:t xml:space="preserve"> </w:t>
      </w:r>
      <w:r w:rsidR="00323457" w:rsidRPr="0059638B">
        <w:rPr>
          <w:sz w:val="20"/>
          <w:szCs w:val="20"/>
        </w:rPr>
        <w:t>strategy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road</w:t>
      </w:r>
      <w:r w:rsidR="00FF41A0">
        <w:rPr>
          <w:sz w:val="20"/>
          <w:szCs w:val="20"/>
        </w:rPr>
        <w:t xml:space="preserve"> </w:t>
      </w:r>
      <w:r w:rsidR="00323457" w:rsidRPr="0059638B">
        <w:rPr>
          <w:sz w:val="20"/>
          <w:szCs w:val="20"/>
        </w:rPr>
        <w:t>map</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end</w:t>
      </w:r>
      <w:r w:rsidR="00FF41A0">
        <w:rPr>
          <w:sz w:val="20"/>
          <w:szCs w:val="20"/>
        </w:rPr>
        <w:t xml:space="preserve"> </w:t>
      </w:r>
      <w:r w:rsidR="00323457" w:rsidRPr="0059638B">
        <w:rPr>
          <w:sz w:val="20"/>
          <w:szCs w:val="20"/>
        </w:rPr>
        <w:t>child</w:t>
      </w:r>
      <w:r w:rsidR="00FF41A0">
        <w:rPr>
          <w:sz w:val="20"/>
          <w:szCs w:val="20"/>
        </w:rPr>
        <w:t xml:space="preserve"> </w:t>
      </w:r>
      <w:r w:rsidR="00323457" w:rsidRPr="0059638B">
        <w:rPr>
          <w:sz w:val="20"/>
          <w:szCs w:val="20"/>
        </w:rPr>
        <w:t>marriage.</w:t>
      </w:r>
      <w:r w:rsidR="00FF41A0">
        <w:rPr>
          <w:sz w:val="20"/>
          <w:szCs w:val="20"/>
        </w:rPr>
        <w:t xml:space="preserve"> </w:t>
      </w:r>
      <w:r w:rsidR="00323457" w:rsidRPr="0059638B">
        <w:rPr>
          <w:sz w:val="20"/>
          <w:szCs w:val="20"/>
        </w:rPr>
        <w:t>Finally,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United</w:t>
      </w:r>
      <w:r w:rsidR="00FF41A0">
        <w:rPr>
          <w:sz w:val="20"/>
          <w:szCs w:val="20"/>
        </w:rPr>
        <w:t xml:space="preserve"> </w:t>
      </w:r>
      <w:r w:rsidR="00323457" w:rsidRPr="0059638B">
        <w:rPr>
          <w:sz w:val="20"/>
          <w:szCs w:val="20"/>
        </w:rPr>
        <w:t>Nations</w:t>
      </w:r>
      <w:r w:rsidR="00FF41A0">
        <w:rPr>
          <w:sz w:val="20"/>
          <w:szCs w:val="20"/>
        </w:rPr>
        <w:t xml:space="preserve"> </w:t>
      </w:r>
      <w:r w:rsidR="00323457" w:rsidRPr="0059638B">
        <w:rPr>
          <w:sz w:val="20"/>
          <w:szCs w:val="20"/>
        </w:rPr>
        <w:t>Population</w:t>
      </w:r>
      <w:r w:rsidR="00FF41A0">
        <w:rPr>
          <w:sz w:val="20"/>
          <w:szCs w:val="20"/>
        </w:rPr>
        <w:t xml:space="preserve"> </w:t>
      </w:r>
      <w:r w:rsidR="00323457" w:rsidRPr="0059638B">
        <w:rPr>
          <w:sz w:val="20"/>
          <w:szCs w:val="20"/>
        </w:rPr>
        <w:t>Fund</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continue</w:t>
      </w:r>
      <w:r w:rsidR="00FF41A0">
        <w:rPr>
          <w:sz w:val="20"/>
          <w:szCs w:val="20"/>
        </w:rPr>
        <w:t xml:space="preserve"> </w:t>
      </w:r>
      <w:r w:rsidR="00323457" w:rsidRPr="0059638B">
        <w:rPr>
          <w:sz w:val="20"/>
          <w:szCs w:val="20"/>
        </w:rPr>
        <w:t>supporting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Ministry</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Health</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revision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Sexual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Reproductive</w:t>
      </w:r>
      <w:r w:rsidR="00FF41A0">
        <w:rPr>
          <w:sz w:val="20"/>
          <w:szCs w:val="20"/>
        </w:rPr>
        <w:t xml:space="preserve"> </w:t>
      </w:r>
      <w:r w:rsidR="00323457" w:rsidRPr="0059638B">
        <w:rPr>
          <w:sz w:val="20"/>
          <w:szCs w:val="20"/>
        </w:rPr>
        <w:t>Health</w:t>
      </w:r>
      <w:r w:rsidR="00FF41A0">
        <w:rPr>
          <w:sz w:val="20"/>
          <w:szCs w:val="20"/>
        </w:rPr>
        <w:t xml:space="preserve"> </w:t>
      </w:r>
      <w:r w:rsidR="00323457" w:rsidRPr="0059638B">
        <w:rPr>
          <w:sz w:val="20"/>
          <w:szCs w:val="20"/>
        </w:rPr>
        <w:t>Policy</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line</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rights-based</w:t>
      </w:r>
      <w:r w:rsidR="00FF41A0">
        <w:rPr>
          <w:sz w:val="20"/>
          <w:szCs w:val="20"/>
        </w:rPr>
        <w:t xml:space="preserve"> </w:t>
      </w:r>
      <w:r w:rsidR="00323457" w:rsidRPr="0059638B">
        <w:rPr>
          <w:sz w:val="20"/>
          <w:szCs w:val="20"/>
        </w:rPr>
        <w:t>approach</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achieving</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health</w:t>
      </w:r>
      <w:r w:rsidR="00FF41A0">
        <w:rPr>
          <w:sz w:val="20"/>
          <w:szCs w:val="20"/>
        </w:rPr>
        <w:t xml:space="preserve"> </w:t>
      </w:r>
      <w:r w:rsidR="00323457" w:rsidRPr="0059638B">
        <w:rPr>
          <w:sz w:val="20"/>
          <w:szCs w:val="20"/>
        </w:rPr>
        <w:t>coverage.</w:t>
      </w:r>
    </w:p>
    <w:p w14:paraId="35A5B72B" w14:textId="44568602" w:rsidR="00323457" w:rsidRPr="0059638B" w:rsidRDefault="00972F1E" w:rsidP="00323457">
      <w:pPr>
        <w:pStyle w:val="SingleTxtG"/>
        <w:rPr>
          <w:sz w:val="20"/>
          <w:szCs w:val="20"/>
        </w:rPr>
      </w:pPr>
      <w:r>
        <w:rPr>
          <w:sz w:val="20"/>
          <w:szCs w:val="20"/>
        </w:rPr>
        <w:t>772</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Bolivarian</w:t>
      </w:r>
      <w:r w:rsidR="00FF41A0">
        <w:rPr>
          <w:sz w:val="20"/>
          <w:szCs w:val="20"/>
        </w:rPr>
        <w:t xml:space="preserve"> </w:t>
      </w:r>
      <w:r w:rsidR="00323457" w:rsidRPr="0059638B">
        <w:rPr>
          <w:sz w:val="20"/>
          <w:szCs w:val="20"/>
        </w:rPr>
        <w:t>Republic</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Venezuela</w:t>
      </w:r>
      <w:r w:rsidR="00FF41A0">
        <w:rPr>
          <w:sz w:val="20"/>
          <w:szCs w:val="20"/>
        </w:rPr>
        <w:t xml:space="preserve"> </w:t>
      </w:r>
      <w:r w:rsidR="00323457" w:rsidRPr="0059638B">
        <w:rPr>
          <w:sz w:val="20"/>
          <w:szCs w:val="20"/>
        </w:rPr>
        <w:t>appreciated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implement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accepted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second</w:t>
      </w:r>
      <w:r w:rsidR="00FF41A0">
        <w:rPr>
          <w:sz w:val="20"/>
          <w:szCs w:val="20"/>
        </w:rPr>
        <w:t xml:space="preserve"> </w:t>
      </w:r>
      <w:r w:rsidR="00323457" w:rsidRPr="0059638B">
        <w:rPr>
          <w:sz w:val="20"/>
          <w:szCs w:val="20"/>
        </w:rPr>
        <w:t>cycle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valued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Growth</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Sustainable</w:t>
      </w:r>
      <w:r w:rsidR="00FF41A0">
        <w:rPr>
          <w:sz w:val="20"/>
          <w:szCs w:val="20"/>
        </w:rPr>
        <w:t xml:space="preserve"> </w:t>
      </w:r>
      <w:r w:rsidR="00323457" w:rsidRPr="0059638B">
        <w:rPr>
          <w:sz w:val="20"/>
          <w:szCs w:val="20"/>
        </w:rPr>
        <w:t>Development</w:t>
      </w:r>
      <w:r w:rsidR="00FF41A0">
        <w:rPr>
          <w:sz w:val="20"/>
          <w:szCs w:val="20"/>
        </w:rPr>
        <w:t xml:space="preserve"> </w:t>
      </w:r>
      <w:r w:rsidR="00323457" w:rsidRPr="0059638B">
        <w:rPr>
          <w:sz w:val="20"/>
          <w:szCs w:val="20"/>
        </w:rPr>
        <w:t>Strategy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commended</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implementation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Programme</w:t>
      </w:r>
      <w:r w:rsidR="00FF41A0">
        <w:rPr>
          <w:sz w:val="20"/>
          <w:szCs w:val="20"/>
        </w:rPr>
        <w:t xml:space="preserve"> </w:t>
      </w:r>
      <w:r w:rsidR="00323457" w:rsidRPr="0059638B">
        <w:rPr>
          <w:sz w:val="20"/>
          <w:szCs w:val="20"/>
        </w:rPr>
        <w:t>“Building</w:t>
      </w:r>
      <w:r w:rsidR="00FF41A0">
        <w:rPr>
          <w:sz w:val="20"/>
          <w:szCs w:val="20"/>
        </w:rPr>
        <w:t xml:space="preserve"> </w:t>
      </w:r>
      <w:r w:rsidR="00323457" w:rsidRPr="0059638B">
        <w:rPr>
          <w:sz w:val="20"/>
          <w:szCs w:val="20"/>
        </w:rPr>
        <w:t>Opportunities</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Our</w:t>
      </w:r>
      <w:r w:rsidR="00FF41A0">
        <w:rPr>
          <w:sz w:val="20"/>
          <w:szCs w:val="20"/>
        </w:rPr>
        <w:t xml:space="preserve"> </w:t>
      </w:r>
      <w:r w:rsidR="00323457" w:rsidRPr="0059638B">
        <w:rPr>
          <w:sz w:val="20"/>
          <w:szCs w:val="20"/>
        </w:rPr>
        <w:t>Social</w:t>
      </w:r>
      <w:r w:rsidR="00FF41A0">
        <w:rPr>
          <w:sz w:val="20"/>
          <w:szCs w:val="20"/>
        </w:rPr>
        <w:t xml:space="preserve"> </w:t>
      </w:r>
      <w:r w:rsidR="00323457" w:rsidRPr="0059638B">
        <w:rPr>
          <w:sz w:val="20"/>
          <w:szCs w:val="20"/>
        </w:rPr>
        <w:t>Transformation”,</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provided</w:t>
      </w:r>
      <w:r w:rsidR="00FF41A0">
        <w:rPr>
          <w:sz w:val="20"/>
          <w:szCs w:val="20"/>
        </w:rPr>
        <w:t xml:space="preserve"> </w:t>
      </w:r>
      <w:r w:rsidR="00323457" w:rsidRPr="0059638B">
        <w:rPr>
          <w:sz w:val="20"/>
          <w:szCs w:val="20"/>
        </w:rPr>
        <w:t>economic</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social</w:t>
      </w:r>
      <w:r w:rsidR="00FF41A0">
        <w:rPr>
          <w:sz w:val="20"/>
          <w:szCs w:val="20"/>
        </w:rPr>
        <w:t xml:space="preserve"> </w:t>
      </w:r>
      <w:r w:rsidR="00323457" w:rsidRPr="0059638B">
        <w:rPr>
          <w:sz w:val="20"/>
          <w:szCs w:val="20"/>
        </w:rPr>
        <w:t>support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families</w:t>
      </w:r>
      <w:r w:rsidR="00FF41A0">
        <w:rPr>
          <w:sz w:val="20"/>
          <w:szCs w:val="20"/>
        </w:rPr>
        <w:t xml:space="preserve"> </w:t>
      </w:r>
      <w:r w:rsidR="00323457" w:rsidRPr="0059638B">
        <w:rPr>
          <w:sz w:val="20"/>
          <w:szCs w:val="20"/>
        </w:rPr>
        <w:t>without</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regular</w:t>
      </w:r>
      <w:r w:rsidR="00FF41A0">
        <w:rPr>
          <w:sz w:val="20"/>
          <w:szCs w:val="20"/>
        </w:rPr>
        <w:t xml:space="preserve"> </w:t>
      </w:r>
      <w:r w:rsidR="00323457" w:rsidRPr="0059638B">
        <w:rPr>
          <w:sz w:val="20"/>
          <w:szCs w:val="20"/>
        </w:rPr>
        <w:t>source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income.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Bolivarian</w:t>
      </w:r>
      <w:r w:rsidR="00FF41A0">
        <w:rPr>
          <w:sz w:val="20"/>
          <w:szCs w:val="20"/>
        </w:rPr>
        <w:t xml:space="preserve"> </w:t>
      </w:r>
      <w:r w:rsidR="00323457" w:rsidRPr="0059638B">
        <w:rPr>
          <w:sz w:val="20"/>
          <w:szCs w:val="20"/>
        </w:rPr>
        <w:t>Republic</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Venezuela</w:t>
      </w:r>
      <w:r w:rsidR="00FF41A0">
        <w:rPr>
          <w:sz w:val="20"/>
          <w:szCs w:val="20"/>
        </w:rPr>
        <w:t xml:space="preserve"> </w:t>
      </w:r>
      <w:r w:rsidR="00323457" w:rsidRPr="0059638B">
        <w:rPr>
          <w:sz w:val="20"/>
          <w:szCs w:val="20"/>
        </w:rPr>
        <w:t>encouraged</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continue</w:t>
      </w:r>
      <w:r w:rsidR="00FF41A0">
        <w:rPr>
          <w:sz w:val="20"/>
          <w:szCs w:val="20"/>
        </w:rPr>
        <w:t xml:space="preserve"> </w:t>
      </w:r>
      <w:r w:rsidR="00323457" w:rsidRPr="0059638B">
        <w:rPr>
          <w:sz w:val="20"/>
          <w:szCs w:val="20"/>
        </w:rPr>
        <w:t>strengthening</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social</w:t>
      </w:r>
      <w:r w:rsidR="00FF41A0">
        <w:rPr>
          <w:sz w:val="20"/>
          <w:szCs w:val="20"/>
        </w:rPr>
        <w:t xml:space="preserve"> </w:t>
      </w:r>
      <w:r w:rsidR="00323457" w:rsidRPr="0059638B">
        <w:rPr>
          <w:sz w:val="20"/>
          <w:szCs w:val="20"/>
        </w:rPr>
        <w:t>policies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favour</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most</w:t>
      </w:r>
      <w:r w:rsidR="00FF41A0">
        <w:rPr>
          <w:sz w:val="20"/>
          <w:szCs w:val="20"/>
        </w:rPr>
        <w:t xml:space="preserve"> </w:t>
      </w:r>
      <w:r w:rsidR="00323457" w:rsidRPr="0059638B">
        <w:rPr>
          <w:sz w:val="20"/>
          <w:szCs w:val="20"/>
        </w:rPr>
        <w:t>vulnerable</w:t>
      </w:r>
      <w:r w:rsidR="00FF41A0">
        <w:rPr>
          <w:sz w:val="20"/>
          <w:szCs w:val="20"/>
        </w:rPr>
        <w:t xml:space="preserve"> </w:t>
      </w:r>
      <w:r w:rsidR="00323457" w:rsidRPr="0059638B">
        <w:rPr>
          <w:sz w:val="20"/>
          <w:szCs w:val="20"/>
        </w:rPr>
        <w:t>sectors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population.</w:t>
      </w:r>
    </w:p>
    <w:p w14:paraId="3170BCB8" w14:textId="0E405B1E" w:rsidR="00323457" w:rsidRPr="0059638B" w:rsidRDefault="00972F1E" w:rsidP="00323457">
      <w:pPr>
        <w:pStyle w:val="SingleTxtG"/>
        <w:rPr>
          <w:sz w:val="20"/>
          <w:szCs w:val="20"/>
        </w:rPr>
      </w:pPr>
      <w:r>
        <w:rPr>
          <w:sz w:val="20"/>
          <w:szCs w:val="20"/>
        </w:rPr>
        <w:t>773</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Bahamas</w:t>
      </w:r>
      <w:r w:rsidR="00FF41A0">
        <w:rPr>
          <w:sz w:val="20"/>
          <w:szCs w:val="20"/>
        </w:rPr>
        <w:t xml:space="preserve"> </w:t>
      </w:r>
      <w:r w:rsidR="00323457" w:rsidRPr="0059638B">
        <w:rPr>
          <w:sz w:val="20"/>
          <w:szCs w:val="20"/>
        </w:rPr>
        <w:t>congratulated</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promotion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acceptance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significant</w:t>
      </w:r>
      <w:r w:rsidR="00FF41A0">
        <w:rPr>
          <w:sz w:val="20"/>
          <w:szCs w:val="20"/>
        </w:rPr>
        <w:t xml:space="preserve"> </w:t>
      </w:r>
      <w:r w:rsidR="00323457" w:rsidRPr="0059638B">
        <w:rPr>
          <w:sz w:val="20"/>
          <w:szCs w:val="20"/>
        </w:rPr>
        <w:t>majority</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received.</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acceptance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Bahamas</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establishment</w:t>
      </w:r>
      <w:r w:rsidR="00FF41A0">
        <w:rPr>
          <w:sz w:val="20"/>
          <w:szCs w:val="20"/>
        </w:rPr>
        <w:t xml:space="preserve"> </w:t>
      </w:r>
      <w:r w:rsidR="00323457" w:rsidRPr="0059638B">
        <w:rPr>
          <w:sz w:val="20"/>
          <w:szCs w:val="20"/>
        </w:rPr>
        <w:t>or</w:t>
      </w:r>
      <w:r w:rsidR="00FF41A0">
        <w:rPr>
          <w:sz w:val="20"/>
          <w:szCs w:val="20"/>
        </w:rPr>
        <w:t xml:space="preserve"> </w:t>
      </w:r>
      <w:r w:rsidR="00323457" w:rsidRPr="0059638B">
        <w:rPr>
          <w:sz w:val="20"/>
          <w:szCs w:val="20"/>
        </w:rPr>
        <w:t>strengthening</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process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assist</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coordination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reporting</w:t>
      </w:r>
      <w:r w:rsidR="00FF41A0">
        <w:rPr>
          <w:sz w:val="20"/>
          <w:szCs w:val="20"/>
        </w:rPr>
        <w:t xml:space="preserve"> </w:t>
      </w:r>
      <w:r w:rsidR="00323457" w:rsidRPr="0059638B">
        <w:rPr>
          <w:sz w:val="20"/>
          <w:szCs w:val="20"/>
        </w:rPr>
        <w:t>process</w:t>
      </w:r>
      <w:r w:rsidR="00FF41A0">
        <w:rPr>
          <w:sz w:val="20"/>
          <w:szCs w:val="20"/>
        </w:rPr>
        <w:t xml:space="preserve"> </w:t>
      </w:r>
      <w:r w:rsidR="00323457" w:rsidRPr="0059638B">
        <w:rPr>
          <w:sz w:val="20"/>
          <w:szCs w:val="20"/>
        </w:rPr>
        <w:t>under</w:t>
      </w:r>
      <w:r w:rsidR="00FF41A0">
        <w:rPr>
          <w:sz w:val="20"/>
          <w:szCs w:val="20"/>
        </w:rPr>
        <w:t xml:space="preserve"> </w:t>
      </w:r>
      <w:r w:rsidR="00323457" w:rsidRPr="0059638B">
        <w:rPr>
          <w:sz w:val="20"/>
          <w:szCs w:val="20"/>
        </w:rPr>
        <w:t>different</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instruments,</w:t>
      </w:r>
      <w:r w:rsidR="00FF41A0">
        <w:rPr>
          <w:sz w:val="20"/>
          <w:szCs w:val="20"/>
        </w:rPr>
        <w:t xml:space="preserve"> </w:t>
      </w:r>
      <w:r w:rsidR="00323457" w:rsidRPr="0059638B">
        <w:rPr>
          <w:sz w:val="20"/>
          <w:szCs w:val="20"/>
        </w:rPr>
        <w:t>such</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mechanism</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implementation,</w:t>
      </w:r>
      <w:r w:rsidR="00FF41A0">
        <w:rPr>
          <w:sz w:val="20"/>
          <w:szCs w:val="20"/>
        </w:rPr>
        <w:t xml:space="preserve"> </w:t>
      </w:r>
      <w:r w:rsidR="00323457" w:rsidRPr="0059638B">
        <w:rPr>
          <w:sz w:val="20"/>
          <w:szCs w:val="20"/>
        </w:rPr>
        <w:t>reporting</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follow-up.</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encouraged</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consider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Bahamas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extend</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standing</w:t>
      </w:r>
      <w:r w:rsidR="00FF41A0">
        <w:rPr>
          <w:sz w:val="20"/>
          <w:szCs w:val="20"/>
        </w:rPr>
        <w:t xml:space="preserve"> </w:t>
      </w:r>
      <w:r w:rsidR="00323457" w:rsidRPr="0059638B">
        <w:rPr>
          <w:sz w:val="20"/>
          <w:szCs w:val="20"/>
        </w:rPr>
        <w:t>invitation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special</w:t>
      </w:r>
      <w:r w:rsidR="00FF41A0">
        <w:rPr>
          <w:sz w:val="20"/>
          <w:szCs w:val="20"/>
        </w:rPr>
        <w:t xml:space="preserve"> </w:t>
      </w:r>
      <w:r w:rsidR="00323457" w:rsidRPr="0059638B">
        <w:rPr>
          <w:sz w:val="20"/>
          <w:szCs w:val="20"/>
        </w:rPr>
        <w:t>procedure</w:t>
      </w:r>
      <w:r w:rsidR="00FF41A0">
        <w:rPr>
          <w:sz w:val="20"/>
          <w:szCs w:val="20"/>
        </w:rPr>
        <w:t xml:space="preserve"> </w:t>
      </w:r>
      <w:r w:rsidR="00323457" w:rsidRPr="0059638B">
        <w:rPr>
          <w:sz w:val="20"/>
          <w:szCs w:val="20"/>
        </w:rPr>
        <w:t>mandate</w:t>
      </w:r>
      <w:r w:rsidR="00FF41A0">
        <w:rPr>
          <w:sz w:val="20"/>
          <w:szCs w:val="20"/>
        </w:rPr>
        <w:t xml:space="preserve"> </w:t>
      </w:r>
      <w:r w:rsidR="00323457" w:rsidRPr="0059638B">
        <w:rPr>
          <w:sz w:val="20"/>
          <w:szCs w:val="20"/>
        </w:rPr>
        <w:t>holders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Council.</w:t>
      </w:r>
      <w:r w:rsidR="00FF41A0">
        <w:rPr>
          <w:sz w:val="20"/>
          <w:szCs w:val="20"/>
        </w:rPr>
        <w:t xml:space="preserve"> </w:t>
      </w:r>
      <w:r w:rsidR="00323457" w:rsidRPr="0059638B">
        <w:rPr>
          <w:sz w:val="20"/>
          <w:szCs w:val="20"/>
        </w:rPr>
        <w:t>Finally,</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encouraged</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continue</w:t>
      </w:r>
      <w:r w:rsidR="00FF41A0">
        <w:rPr>
          <w:sz w:val="20"/>
          <w:szCs w:val="20"/>
        </w:rPr>
        <w:t xml:space="preserve"> </w:t>
      </w:r>
      <w:r w:rsidR="00323457" w:rsidRPr="0059638B">
        <w:rPr>
          <w:sz w:val="20"/>
          <w:szCs w:val="20"/>
        </w:rPr>
        <w:t>strengthening</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commendable</w:t>
      </w:r>
      <w:r w:rsidR="00FF41A0">
        <w:rPr>
          <w:sz w:val="20"/>
          <w:szCs w:val="20"/>
        </w:rPr>
        <w:t xml:space="preserve"> </w:t>
      </w:r>
      <w:r w:rsidR="00323457" w:rsidRPr="0059638B">
        <w:rPr>
          <w:sz w:val="20"/>
          <w:szCs w:val="20"/>
        </w:rPr>
        <w:t>climate</w:t>
      </w:r>
      <w:r w:rsidR="00FF41A0">
        <w:rPr>
          <w:sz w:val="20"/>
          <w:szCs w:val="20"/>
        </w:rPr>
        <w:t xml:space="preserve"> </w:t>
      </w:r>
      <w:r w:rsidR="00323457" w:rsidRPr="0059638B">
        <w:rPr>
          <w:sz w:val="20"/>
          <w:szCs w:val="20"/>
        </w:rPr>
        <w:t>change</w:t>
      </w:r>
      <w:r w:rsidR="00FF41A0">
        <w:rPr>
          <w:sz w:val="20"/>
          <w:szCs w:val="20"/>
        </w:rPr>
        <w:t xml:space="preserve"> </w:t>
      </w:r>
      <w:r w:rsidR="00323457" w:rsidRPr="0059638B">
        <w:rPr>
          <w:sz w:val="20"/>
          <w:szCs w:val="20"/>
        </w:rPr>
        <w:t>strategies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called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community</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provide</w:t>
      </w:r>
      <w:r w:rsidR="00FF41A0">
        <w:rPr>
          <w:sz w:val="20"/>
          <w:szCs w:val="20"/>
        </w:rPr>
        <w:t xml:space="preserve"> </w:t>
      </w:r>
      <w:r w:rsidR="00323457" w:rsidRPr="0059638B">
        <w:rPr>
          <w:sz w:val="20"/>
          <w:szCs w:val="20"/>
        </w:rPr>
        <w:t>support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country</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this</w:t>
      </w:r>
      <w:r w:rsidR="00FF41A0">
        <w:rPr>
          <w:sz w:val="20"/>
          <w:szCs w:val="20"/>
        </w:rPr>
        <w:t xml:space="preserve"> </w:t>
      </w:r>
      <w:r w:rsidR="00323457" w:rsidRPr="0059638B">
        <w:rPr>
          <w:sz w:val="20"/>
          <w:szCs w:val="20"/>
        </w:rPr>
        <w:t>regard.</w:t>
      </w:r>
    </w:p>
    <w:p w14:paraId="4D04BF5A" w14:textId="5BFA836E" w:rsidR="00323457" w:rsidRPr="0059638B" w:rsidRDefault="00972F1E" w:rsidP="00323457">
      <w:pPr>
        <w:pStyle w:val="SingleTxtG"/>
        <w:rPr>
          <w:sz w:val="20"/>
          <w:szCs w:val="20"/>
        </w:rPr>
      </w:pPr>
      <w:r>
        <w:rPr>
          <w:sz w:val="20"/>
          <w:szCs w:val="20"/>
        </w:rPr>
        <w:t>774</w:t>
      </w:r>
      <w:r w:rsidR="00D7475F">
        <w:rPr>
          <w:sz w:val="20"/>
          <w:szCs w:val="20"/>
        </w:rPr>
        <w:t>.</w:t>
      </w:r>
      <w:r w:rsidR="00D7475F">
        <w:rPr>
          <w:sz w:val="20"/>
          <w:szCs w:val="20"/>
        </w:rPr>
        <w:tab/>
      </w:r>
      <w:r w:rsidR="00323457" w:rsidRPr="0059638B">
        <w:rPr>
          <w:sz w:val="20"/>
          <w:szCs w:val="20"/>
        </w:rPr>
        <w:t>Barbados</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engagement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process</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well</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commitment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strengthening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implementation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existing</w:t>
      </w:r>
      <w:r w:rsidR="00FF41A0">
        <w:rPr>
          <w:sz w:val="20"/>
          <w:szCs w:val="20"/>
        </w:rPr>
        <w:t xml:space="preserve"> </w:t>
      </w:r>
      <w:r w:rsidR="00323457" w:rsidRPr="0059638B">
        <w:rPr>
          <w:sz w:val="20"/>
          <w:szCs w:val="20"/>
        </w:rPr>
        <w:t>legislation,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particular</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regard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children</w:t>
      </w:r>
      <w:r w:rsidR="00FF41A0">
        <w:rPr>
          <w:sz w:val="20"/>
          <w:szCs w:val="20"/>
        </w:rPr>
        <w:t xml:space="preserve"> </w:t>
      </w:r>
      <w:r w:rsidR="00323457" w:rsidRPr="0059638B">
        <w:rPr>
          <w:sz w:val="20"/>
          <w:szCs w:val="20"/>
        </w:rPr>
        <w:t>under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Convention</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Child.</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appreciated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transition</w:t>
      </w:r>
      <w:r w:rsidR="00FF41A0">
        <w:rPr>
          <w:sz w:val="20"/>
          <w:szCs w:val="20"/>
        </w:rPr>
        <w:t xml:space="preserve"> </w:t>
      </w:r>
      <w:r w:rsidR="00323457" w:rsidRPr="0059638B">
        <w:rPr>
          <w:sz w:val="20"/>
          <w:szCs w:val="20"/>
        </w:rPr>
        <w:t>from</w:t>
      </w:r>
      <w:r w:rsidR="00FF41A0">
        <w:rPr>
          <w:sz w:val="20"/>
          <w:szCs w:val="20"/>
        </w:rPr>
        <w:t xml:space="preserve"> </w:t>
      </w:r>
      <w:r w:rsidR="00323457" w:rsidRPr="0059638B">
        <w:rPr>
          <w:sz w:val="20"/>
          <w:szCs w:val="20"/>
        </w:rPr>
        <w:t>an</w:t>
      </w:r>
      <w:r w:rsidR="00FF41A0">
        <w:rPr>
          <w:sz w:val="20"/>
          <w:szCs w:val="20"/>
        </w:rPr>
        <w:t xml:space="preserve"> </w:t>
      </w:r>
      <w:r w:rsidR="00323457" w:rsidRPr="0059638B">
        <w:rPr>
          <w:sz w:val="20"/>
          <w:szCs w:val="20"/>
        </w:rPr>
        <w:t>Office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Ombudsman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establishment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an</w:t>
      </w:r>
      <w:r w:rsidR="00FF41A0">
        <w:rPr>
          <w:sz w:val="20"/>
          <w:szCs w:val="20"/>
        </w:rPr>
        <w:t xml:space="preserve"> </w:t>
      </w:r>
      <w:r w:rsidR="00323457" w:rsidRPr="0059638B">
        <w:rPr>
          <w:sz w:val="20"/>
          <w:szCs w:val="20"/>
        </w:rPr>
        <w:t>institution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compliance</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Paris</w:t>
      </w:r>
      <w:r w:rsidR="00FF41A0">
        <w:rPr>
          <w:sz w:val="20"/>
          <w:szCs w:val="20"/>
        </w:rPr>
        <w:t xml:space="preserve"> </w:t>
      </w:r>
      <w:r w:rsidR="00323457" w:rsidRPr="0059638B">
        <w:rPr>
          <w:sz w:val="20"/>
          <w:szCs w:val="20"/>
        </w:rPr>
        <w:t>Principles.</w:t>
      </w:r>
      <w:r w:rsidR="00FF41A0">
        <w:rPr>
          <w:sz w:val="20"/>
          <w:szCs w:val="20"/>
        </w:rPr>
        <w:t xml:space="preserve"> </w:t>
      </w:r>
      <w:r w:rsidR="00323457" w:rsidRPr="0059638B">
        <w:rPr>
          <w:sz w:val="20"/>
          <w:szCs w:val="20"/>
        </w:rPr>
        <w:t>Taking</w:t>
      </w:r>
      <w:r w:rsidR="00FF41A0">
        <w:rPr>
          <w:sz w:val="20"/>
          <w:szCs w:val="20"/>
        </w:rPr>
        <w:t xml:space="preserve"> </w:t>
      </w:r>
      <w:r w:rsidR="00323457" w:rsidRPr="0059638B">
        <w:rPr>
          <w:sz w:val="20"/>
          <w:szCs w:val="20"/>
        </w:rPr>
        <w:t>into</w:t>
      </w:r>
      <w:r w:rsidR="00FF41A0">
        <w:rPr>
          <w:sz w:val="20"/>
          <w:szCs w:val="20"/>
        </w:rPr>
        <w:t xml:space="preserve"> </w:t>
      </w:r>
      <w:r w:rsidR="00323457" w:rsidRPr="0059638B">
        <w:rPr>
          <w:sz w:val="20"/>
          <w:szCs w:val="20"/>
        </w:rPr>
        <w:t>consideration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difficulties</w:t>
      </w:r>
      <w:r w:rsidR="00FF41A0">
        <w:rPr>
          <w:sz w:val="20"/>
          <w:szCs w:val="20"/>
        </w:rPr>
        <w:t xml:space="preserve"> </w:t>
      </w:r>
      <w:r w:rsidR="00323457" w:rsidRPr="0059638B">
        <w:rPr>
          <w:sz w:val="20"/>
          <w:szCs w:val="20"/>
        </w:rPr>
        <w:t>related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these</w:t>
      </w:r>
      <w:r w:rsidR="00FF41A0">
        <w:rPr>
          <w:sz w:val="20"/>
          <w:szCs w:val="20"/>
        </w:rPr>
        <w:t xml:space="preserve"> </w:t>
      </w:r>
      <w:r w:rsidR="00323457" w:rsidRPr="0059638B">
        <w:rPr>
          <w:sz w:val="20"/>
          <w:szCs w:val="20"/>
        </w:rPr>
        <w:t>important</w:t>
      </w:r>
      <w:r w:rsidR="00FF41A0">
        <w:rPr>
          <w:sz w:val="20"/>
          <w:szCs w:val="20"/>
        </w:rPr>
        <w:t xml:space="preserve"> </w:t>
      </w:r>
      <w:r w:rsidR="00323457" w:rsidRPr="0059638B">
        <w:rPr>
          <w:sz w:val="20"/>
          <w:szCs w:val="20"/>
        </w:rPr>
        <w:t>steps,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encouraged</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seek</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obtain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necessary</w:t>
      </w:r>
      <w:r w:rsidR="00FF41A0">
        <w:rPr>
          <w:sz w:val="20"/>
          <w:szCs w:val="20"/>
        </w:rPr>
        <w:t xml:space="preserve"> </w:t>
      </w:r>
      <w:r w:rsidR="00323457" w:rsidRPr="0059638B">
        <w:rPr>
          <w:sz w:val="20"/>
          <w:szCs w:val="20"/>
        </w:rPr>
        <w:t>technical</w:t>
      </w:r>
      <w:r w:rsidR="00FF41A0">
        <w:rPr>
          <w:sz w:val="20"/>
          <w:szCs w:val="20"/>
        </w:rPr>
        <w:t xml:space="preserve"> </w:t>
      </w:r>
      <w:r w:rsidR="00323457" w:rsidRPr="0059638B">
        <w:rPr>
          <w:sz w:val="20"/>
          <w:szCs w:val="20"/>
        </w:rPr>
        <w:t>assistance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meet</w:t>
      </w:r>
      <w:r w:rsidR="00FF41A0">
        <w:rPr>
          <w:sz w:val="20"/>
          <w:szCs w:val="20"/>
        </w:rPr>
        <w:t xml:space="preserve"> </w:t>
      </w:r>
      <w:r w:rsidR="00323457" w:rsidRPr="0059638B">
        <w:rPr>
          <w:sz w:val="20"/>
          <w:szCs w:val="20"/>
        </w:rPr>
        <w:t>compliance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course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next</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cycle.</w:t>
      </w:r>
      <w:r w:rsidR="00FF41A0">
        <w:rPr>
          <w:sz w:val="20"/>
          <w:szCs w:val="20"/>
        </w:rPr>
        <w:t xml:space="preserve"> </w:t>
      </w:r>
    </w:p>
    <w:p w14:paraId="4A2DB7BC" w14:textId="43D5102E" w:rsidR="00323457" w:rsidRPr="0059638B" w:rsidRDefault="00972F1E" w:rsidP="00323457">
      <w:pPr>
        <w:pStyle w:val="SingleTxtG"/>
        <w:rPr>
          <w:sz w:val="20"/>
          <w:szCs w:val="20"/>
        </w:rPr>
      </w:pPr>
      <w:r>
        <w:rPr>
          <w:sz w:val="20"/>
          <w:szCs w:val="20"/>
        </w:rPr>
        <w:t>775</w:t>
      </w:r>
      <w:r w:rsidR="00D7475F">
        <w:rPr>
          <w:sz w:val="20"/>
          <w:szCs w:val="20"/>
        </w:rPr>
        <w:t>.</w:t>
      </w:r>
      <w:r w:rsidR="00D7475F">
        <w:rPr>
          <w:sz w:val="20"/>
          <w:szCs w:val="20"/>
        </w:rPr>
        <w:tab/>
      </w:r>
      <w:r w:rsidR="00323457" w:rsidRPr="0059638B">
        <w:rPr>
          <w:sz w:val="20"/>
          <w:szCs w:val="20"/>
        </w:rPr>
        <w:t>Brazil</w:t>
      </w:r>
      <w:r w:rsidR="00FF41A0">
        <w:rPr>
          <w:sz w:val="20"/>
          <w:szCs w:val="20"/>
        </w:rPr>
        <w:t xml:space="preserve"> </w:t>
      </w:r>
      <w:r w:rsidR="00323457" w:rsidRPr="0059638B">
        <w:rPr>
          <w:sz w:val="20"/>
          <w:szCs w:val="20"/>
        </w:rPr>
        <w:t>commended</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engage</w:t>
      </w:r>
      <w:r w:rsidR="00FF41A0">
        <w:rPr>
          <w:sz w:val="20"/>
          <w:szCs w:val="20"/>
        </w:rPr>
        <w:t xml:space="preserve"> </w:t>
      </w:r>
      <w:r w:rsidR="00323457" w:rsidRPr="0059638B">
        <w:rPr>
          <w:sz w:val="20"/>
          <w:szCs w:val="20"/>
        </w:rPr>
        <w:t>constructively</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an</w:t>
      </w:r>
      <w:r w:rsidR="00FF41A0">
        <w:rPr>
          <w:sz w:val="20"/>
          <w:szCs w:val="20"/>
        </w:rPr>
        <w:t xml:space="preserve"> </w:t>
      </w:r>
      <w:r w:rsidR="00323457" w:rsidRPr="0059638B">
        <w:rPr>
          <w:sz w:val="20"/>
          <w:szCs w:val="20"/>
        </w:rPr>
        <w:t>open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fruitful</w:t>
      </w:r>
      <w:r w:rsidR="00FF41A0">
        <w:rPr>
          <w:sz w:val="20"/>
          <w:szCs w:val="20"/>
        </w:rPr>
        <w:t xml:space="preserve"> </w:t>
      </w:r>
      <w:r w:rsidR="00323457" w:rsidRPr="0059638B">
        <w:rPr>
          <w:sz w:val="20"/>
          <w:szCs w:val="20"/>
        </w:rPr>
        <w:t>dialogue</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community.</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commended</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accepting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majority</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received</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confident</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continue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dialogue</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not</w:t>
      </w:r>
      <w:r w:rsidR="00FF41A0">
        <w:rPr>
          <w:sz w:val="20"/>
          <w:szCs w:val="20"/>
        </w:rPr>
        <w:t xml:space="preserve"> </w:t>
      </w:r>
      <w:r w:rsidR="00323457" w:rsidRPr="0059638B">
        <w:rPr>
          <w:sz w:val="20"/>
          <w:szCs w:val="20"/>
        </w:rPr>
        <w:t>able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accept.</w:t>
      </w:r>
      <w:r w:rsidR="00FF41A0">
        <w:rPr>
          <w:sz w:val="20"/>
          <w:szCs w:val="20"/>
        </w:rPr>
        <w:t xml:space="preserve"> </w:t>
      </w:r>
      <w:r w:rsidR="00323457" w:rsidRPr="0059638B">
        <w:rPr>
          <w:sz w:val="20"/>
          <w:szCs w:val="20"/>
        </w:rPr>
        <w:t>Brazil</w:t>
      </w:r>
      <w:r w:rsidR="00FF41A0">
        <w:rPr>
          <w:sz w:val="20"/>
          <w:szCs w:val="20"/>
        </w:rPr>
        <w:t xml:space="preserve"> </w:t>
      </w:r>
      <w:r w:rsidR="00323457" w:rsidRPr="0059638B">
        <w:rPr>
          <w:sz w:val="20"/>
          <w:szCs w:val="20"/>
        </w:rPr>
        <w:t>reiterated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appreciation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positive</w:t>
      </w:r>
      <w:r w:rsidR="00FF41A0">
        <w:rPr>
          <w:sz w:val="20"/>
          <w:szCs w:val="20"/>
        </w:rPr>
        <w:t xml:space="preserve"> </w:t>
      </w:r>
      <w:r w:rsidR="00323457" w:rsidRPr="0059638B">
        <w:rPr>
          <w:sz w:val="20"/>
          <w:szCs w:val="20"/>
        </w:rPr>
        <w:t>achievements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field</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such</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ensure</w:t>
      </w:r>
      <w:r w:rsidR="00FF41A0">
        <w:rPr>
          <w:sz w:val="20"/>
          <w:szCs w:val="20"/>
        </w:rPr>
        <w:t xml:space="preserve"> </w:t>
      </w:r>
      <w:r w:rsidR="00323457" w:rsidRPr="0059638B">
        <w:rPr>
          <w:sz w:val="20"/>
          <w:szCs w:val="20"/>
        </w:rPr>
        <w:t>access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quality</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food</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nutrition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children</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well</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w:t>
      </w:r>
      <w:r w:rsidR="00FF41A0">
        <w:rPr>
          <w:sz w:val="20"/>
          <w:szCs w:val="20"/>
        </w:rPr>
        <w:t xml:space="preserve"> </w:t>
      </w:r>
      <w:r w:rsidR="00323457" w:rsidRPr="0059638B">
        <w:rPr>
          <w:sz w:val="20"/>
          <w:szCs w:val="20"/>
        </w:rPr>
        <w:t>facto”</w:t>
      </w:r>
      <w:r w:rsidR="00FF41A0">
        <w:rPr>
          <w:sz w:val="20"/>
          <w:szCs w:val="20"/>
        </w:rPr>
        <w:t xml:space="preserve"> </w:t>
      </w:r>
      <w:r w:rsidR="00323457" w:rsidRPr="0059638B">
        <w:rPr>
          <w:sz w:val="20"/>
          <w:szCs w:val="20"/>
        </w:rPr>
        <w:t>moratorium</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death</w:t>
      </w:r>
      <w:r w:rsidR="00FF41A0">
        <w:rPr>
          <w:sz w:val="20"/>
          <w:szCs w:val="20"/>
        </w:rPr>
        <w:t xml:space="preserve"> </w:t>
      </w:r>
      <w:r w:rsidR="00323457" w:rsidRPr="0059638B">
        <w:rPr>
          <w:sz w:val="20"/>
          <w:szCs w:val="20"/>
        </w:rPr>
        <w:t>penalty.</w:t>
      </w:r>
      <w:r w:rsidR="00FF41A0">
        <w:rPr>
          <w:sz w:val="20"/>
          <w:szCs w:val="20"/>
        </w:rPr>
        <w:t xml:space="preserve"> </w:t>
      </w:r>
      <w:r w:rsidR="00323457" w:rsidRPr="0059638B">
        <w:rPr>
          <w:sz w:val="20"/>
          <w:szCs w:val="20"/>
        </w:rPr>
        <w:t>Brazil</w:t>
      </w:r>
      <w:r w:rsidR="00FF41A0">
        <w:rPr>
          <w:sz w:val="20"/>
          <w:szCs w:val="20"/>
        </w:rPr>
        <w:t xml:space="preserve"> </w:t>
      </w:r>
      <w:r w:rsidR="00323457" w:rsidRPr="0059638B">
        <w:rPr>
          <w:sz w:val="20"/>
          <w:szCs w:val="20"/>
        </w:rPr>
        <w:t>reaffirmed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specific</w:t>
      </w:r>
      <w:r w:rsidR="00FF41A0">
        <w:rPr>
          <w:sz w:val="20"/>
          <w:szCs w:val="20"/>
        </w:rPr>
        <w:t xml:space="preserve"> </w:t>
      </w:r>
      <w:r w:rsidR="00323457" w:rsidRPr="0059638B">
        <w:rPr>
          <w:sz w:val="20"/>
          <w:szCs w:val="20"/>
        </w:rPr>
        <w:t>concerns</w:t>
      </w:r>
      <w:r w:rsidR="00FF41A0">
        <w:rPr>
          <w:sz w:val="20"/>
          <w:szCs w:val="20"/>
        </w:rPr>
        <w:t xml:space="preserve"> </w:t>
      </w:r>
      <w:r w:rsidR="00323457" w:rsidRPr="0059638B">
        <w:rPr>
          <w:sz w:val="20"/>
          <w:szCs w:val="20"/>
        </w:rPr>
        <w:t>regarding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need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enhance</w:t>
      </w:r>
      <w:r w:rsidR="00FF41A0">
        <w:rPr>
          <w:sz w:val="20"/>
          <w:szCs w:val="20"/>
        </w:rPr>
        <w:t xml:space="preserve"> </w:t>
      </w:r>
      <w:r w:rsidR="00323457" w:rsidRPr="0059638B">
        <w:rPr>
          <w:sz w:val="20"/>
          <w:szCs w:val="20"/>
        </w:rPr>
        <w:t>women</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participation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political</w:t>
      </w:r>
      <w:r w:rsidR="00FF41A0">
        <w:rPr>
          <w:sz w:val="20"/>
          <w:szCs w:val="20"/>
        </w:rPr>
        <w:t xml:space="preserve"> </w:t>
      </w:r>
      <w:r w:rsidR="00323457" w:rsidRPr="0059638B">
        <w:rPr>
          <w:sz w:val="20"/>
          <w:szCs w:val="20"/>
        </w:rPr>
        <w:t>life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wished</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every</w:t>
      </w:r>
      <w:r w:rsidR="00FF41A0">
        <w:rPr>
          <w:sz w:val="20"/>
          <w:szCs w:val="20"/>
        </w:rPr>
        <w:t xml:space="preserve"> </w:t>
      </w:r>
      <w:r w:rsidR="00323457" w:rsidRPr="0059638B">
        <w:rPr>
          <w:sz w:val="20"/>
          <w:szCs w:val="20"/>
        </w:rPr>
        <w:t>success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implementation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accepted</w:t>
      </w:r>
      <w:r w:rsidR="00FF41A0">
        <w:rPr>
          <w:sz w:val="20"/>
          <w:szCs w:val="20"/>
        </w:rPr>
        <w:t xml:space="preserve"> </w:t>
      </w:r>
      <w:r w:rsidR="00323457" w:rsidRPr="0059638B">
        <w:rPr>
          <w:sz w:val="20"/>
          <w:szCs w:val="20"/>
        </w:rPr>
        <w:t>recommendations.</w:t>
      </w:r>
    </w:p>
    <w:p w14:paraId="56EE918B" w14:textId="30478642" w:rsidR="00323457" w:rsidRPr="0059638B" w:rsidRDefault="00323457" w:rsidP="00323457">
      <w:pPr>
        <w:pStyle w:val="H23G"/>
        <w:rPr>
          <w:sz w:val="20"/>
          <w:szCs w:val="20"/>
        </w:rPr>
      </w:pPr>
      <w:r w:rsidRPr="0059638B">
        <w:rPr>
          <w:sz w:val="20"/>
          <w:szCs w:val="20"/>
        </w:rPr>
        <w:tab/>
        <w:t>3.</w:t>
      </w:r>
      <w:r w:rsidRPr="0059638B">
        <w:rPr>
          <w:sz w:val="20"/>
          <w:szCs w:val="20"/>
        </w:rPr>
        <w:tab/>
        <w:t>General</w:t>
      </w:r>
      <w:r w:rsidR="00FF41A0">
        <w:rPr>
          <w:sz w:val="20"/>
          <w:szCs w:val="20"/>
        </w:rPr>
        <w:t xml:space="preserve"> </w:t>
      </w:r>
      <w:r w:rsidRPr="0059638B">
        <w:rPr>
          <w:sz w:val="20"/>
          <w:szCs w:val="20"/>
        </w:rPr>
        <w:t>comments</w:t>
      </w:r>
      <w:r w:rsidR="00FF41A0">
        <w:rPr>
          <w:sz w:val="20"/>
          <w:szCs w:val="20"/>
        </w:rPr>
        <w:t xml:space="preserve"> </w:t>
      </w:r>
      <w:r w:rsidRPr="0059638B">
        <w:rPr>
          <w:sz w:val="20"/>
          <w:szCs w:val="20"/>
        </w:rPr>
        <w:t>made</w:t>
      </w:r>
      <w:r w:rsidR="00FF41A0">
        <w:rPr>
          <w:sz w:val="20"/>
          <w:szCs w:val="20"/>
        </w:rPr>
        <w:t xml:space="preserve"> </w:t>
      </w:r>
      <w:r w:rsidRPr="0059638B">
        <w:rPr>
          <w:sz w:val="20"/>
          <w:szCs w:val="20"/>
        </w:rPr>
        <w:t>by</w:t>
      </w:r>
      <w:r w:rsidR="00FF41A0">
        <w:rPr>
          <w:sz w:val="20"/>
          <w:szCs w:val="20"/>
        </w:rPr>
        <w:t xml:space="preserve"> </w:t>
      </w:r>
      <w:r w:rsidRPr="0059638B">
        <w:rPr>
          <w:sz w:val="20"/>
          <w:szCs w:val="20"/>
        </w:rPr>
        <w:t>other</w:t>
      </w:r>
      <w:r w:rsidR="00FF41A0">
        <w:rPr>
          <w:sz w:val="20"/>
          <w:szCs w:val="20"/>
        </w:rPr>
        <w:t xml:space="preserve"> </w:t>
      </w:r>
      <w:r w:rsidRPr="0059638B">
        <w:rPr>
          <w:sz w:val="20"/>
          <w:szCs w:val="20"/>
        </w:rPr>
        <w:t>stakeholders</w:t>
      </w:r>
      <w:r w:rsidR="00FF41A0">
        <w:rPr>
          <w:sz w:val="20"/>
          <w:szCs w:val="20"/>
        </w:rPr>
        <w:t xml:space="preserve"> </w:t>
      </w:r>
    </w:p>
    <w:p w14:paraId="19527111" w14:textId="14A20A7D" w:rsidR="00323457" w:rsidRPr="0059638B" w:rsidRDefault="00972F1E" w:rsidP="00323457">
      <w:pPr>
        <w:pStyle w:val="SingleTxtG"/>
        <w:rPr>
          <w:sz w:val="20"/>
          <w:szCs w:val="20"/>
        </w:rPr>
      </w:pPr>
      <w:r>
        <w:rPr>
          <w:sz w:val="20"/>
          <w:szCs w:val="20"/>
        </w:rPr>
        <w:t>776</w:t>
      </w:r>
      <w:r w:rsidR="00D7475F">
        <w:rPr>
          <w:sz w:val="20"/>
          <w:szCs w:val="20"/>
        </w:rPr>
        <w:t>.</w:t>
      </w:r>
      <w:r w:rsidR="00D7475F">
        <w:rPr>
          <w:sz w:val="20"/>
          <w:szCs w:val="20"/>
        </w:rPr>
        <w:tab/>
      </w:r>
      <w:r w:rsidR="00323457" w:rsidRPr="0059638B">
        <w:rPr>
          <w:sz w:val="20"/>
          <w:szCs w:val="20"/>
        </w:rPr>
        <w:t>During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adoption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outcome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three</w:t>
      </w:r>
      <w:r w:rsidR="00FF41A0">
        <w:rPr>
          <w:sz w:val="20"/>
          <w:szCs w:val="20"/>
        </w:rPr>
        <w:t xml:space="preserve"> </w:t>
      </w:r>
      <w:r w:rsidR="00323457" w:rsidRPr="0059638B">
        <w:rPr>
          <w:sz w:val="20"/>
          <w:szCs w:val="20"/>
        </w:rPr>
        <w:t>other</w:t>
      </w:r>
      <w:r w:rsidR="00FF41A0">
        <w:rPr>
          <w:sz w:val="20"/>
          <w:szCs w:val="20"/>
        </w:rPr>
        <w:t xml:space="preserve"> </w:t>
      </w:r>
      <w:r w:rsidR="00323457" w:rsidRPr="0059638B">
        <w:rPr>
          <w:sz w:val="20"/>
          <w:szCs w:val="20"/>
        </w:rPr>
        <w:t>stakeholders</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statements.</w:t>
      </w:r>
    </w:p>
    <w:p w14:paraId="0AC85E6A" w14:textId="1A198E27" w:rsidR="00323457" w:rsidRPr="0059638B" w:rsidRDefault="00972F1E" w:rsidP="00323457">
      <w:pPr>
        <w:pStyle w:val="SingleTxtG"/>
        <w:rPr>
          <w:sz w:val="20"/>
          <w:szCs w:val="20"/>
        </w:rPr>
      </w:pPr>
      <w:r>
        <w:rPr>
          <w:sz w:val="20"/>
          <w:szCs w:val="20"/>
        </w:rPr>
        <w:lastRenderedPageBreak/>
        <w:t>777</w:t>
      </w:r>
      <w:r w:rsidR="00D7475F">
        <w:rPr>
          <w:sz w:val="20"/>
          <w:szCs w:val="20"/>
        </w:rPr>
        <w:t>.</w:t>
      </w:r>
      <w:r w:rsidR="00D7475F">
        <w:rPr>
          <w:sz w:val="20"/>
          <w:szCs w:val="20"/>
        </w:rPr>
        <w:tab/>
      </w:r>
      <w:r w:rsidR="00323457" w:rsidRPr="0059638B">
        <w:rPr>
          <w:sz w:val="20"/>
          <w:szCs w:val="20"/>
        </w:rPr>
        <w:t>International</w:t>
      </w:r>
      <w:r w:rsidR="00FF41A0">
        <w:rPr>
          <w:sz w:val="20"/>
          <w:szCs w:val="20"/>
        </w:rPr>
        <w:t xml:space="preserve"> </w:t>
      </w:r>
      <w:r w:rsidR="00323457" w:rsidRPr="0059638B">
        <w:rPr>
          <w:sz w:val="20"/>
          <w:szCs w:val="20"/>
        </w:rPr>
        <w:t>Planned</w:t>
      </w:r>
      <w:r w:rsidR="00FF41A0">
        <w:rPr>
          <w:sz w:val="20"/>
          <w:szCs w:val="20"/>
        </w:rPr>
        <w:t xml:space="preserve"> </w:t>
      </w:r>
      <w:r w:rsidR="00323457" w:rsidRPr="0059638B">
        <w:rPr>
          <w:sz w:val="20"/>
          <w:szCs w:val="20"/>
        </w:rPr>
        <w:t>Parenthood</w:t>
      </w:r>
      <w:r w:rsidR="00FF41A0">
        <w:rPr>
          <w:sz w:val="20"/>
          <w:szCs w:val="20"/>
        </w:rPr>
        <w:t xml:space="preserve"> </w:t>
      </w:r>
      <w:r w:rsidR="00323457" w:rsidRPr="0059638B">
        <w:rPr>
          <w:sz w:val="20"/>
          <w:szCs w:val="20"/>
        </w:rPr>
        <w:t>Federation,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joint</w:t>
      </w:r>
      <w:r w:rsidR="00FF41A0">
        <w:rPr>
          <w:sz w:val="20"/>
          <w:szCs w:val="20"/>
        </w:rPr>
        <w:t xml:space="preserve"> </w:t>
      </w:r>
      <w:r w:rsidR="00323457" w:rsidRPr="0059638B">
        <w:rPr>
          <w:sz w:val="20"/>
          <w:szCs w:val="20"/>
        </w:rPr>
        <w:t>statement</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Swedish</w:t>
      </w:r>
      <w:r w:rsidR="00FF41A0">
        <w:rPr>
          <w:sz w:val="20"/>
          <w:szCs w:val="20"/>
        </w:rPr>
        <w:t xml:space="preserve"> </w:t>
      </w:r>
      <w:r w:rsidR="00323457" w:rsidRPr="0059638B">
        <w:rPr>
          <w:sz w:val="20"/>
          <w:szCs w:val="20"/>
        </w:rPr>
        <w:t>Association</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Sexuality</w:t>
      </w:r>
      <w:r w:rsidR="00FF41A0">
        <w:rPr>
          <w:sz w:val="20"/>
          <w:szCs w:val="20"/>
        </w:rPr>
        <w:t xml:space="preserve"> </w:t>
      </w:r>
      <w:r w:rsidR="00323457" w:rsidRPr="0059638B">
        <w:rPr>
          <w:sz w:val="20"/>
          <w:szCs w:val="20"/>
        </w:rPr>
        <w:t>Education,</w:t>
      </w:r>
      <w:r w:rsidR="00FF41A0">
        <w:rPr>
          <w:sz w:val="20"/>
          <w:szCs w:val="20"/>
        </w:rPr>
        <w:t xml:space="preserve"> </w:t>
      </w:r>
      <w:r w:rsidR="00323457" w:rsidRPr="0059638B">
        <w:rPr>
          <w:sz w:val="20"/>
          <w:szCs w:val="20"/>
        </w:rPr>
        <w:t>celebrated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commitment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increasing</w:t>
      </w:r>
      <w:r w:rsidR="00FF41A0">
        <w:rPr>
          <w:sz w:val="20"/>
          <w:szCs w:val="20"/>
        </w:rPr>
        <w:t xml:space="preserve"> </w:t>
      </w:r>
      <w:r w:rsidR="00323457" w:rsidRPr="0059638B">
        <w:rPr>
          <w:sz w:val="20"/>
          <w:szCs w:val="20"/>
        </w:rPr>
        <w:t>access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quality</w:t>
      </w:r>
      <w:r w:rsidR="00FF41A0">
        <w:rPr>
          <w:sz w:val="20"/>
          <w:szCs w:val="20"/>
        </w:rPr>
        <w:t xml:space="preserve"> </w:t>
      </w:r>
      <w:r w:rsidR="00323457" w:rsidRPr="0059638B">
        <w:rPr>
          <w:sz w:val="20"/>
          <w:szCs w:val="20"/>
        </w:rPr>
        <w:t>sexual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reproductive</w:t>
      </w:r>
      <w:r w:rsidR="00FF41A0">
        <w:rPr>
          <w:sz w:val="20"/>
          <w:szCs w:val="20"/>
        </w:rPr>
        <w:t xml:space="preserve"> </w:t>
      </w:r>
      <w:r w:rsidR="00323457" w:rsidRPr="0059638B">
        <w:rPr>
          <w:sz w:val="20"/>
          <w:szCs w:val="20"/>
        </w:rPr>
        <w:t>health</w:t>
      </w:r>
      <w:r w:rsidR="00FF41A0">
        <w:rPr>
          <w:sz w:val="20"/>
          <w:szCs w:val="20"/>
        </w:rPr>
        <w:t xml:space="preserve"> </w:t>
      </w:r>
      <w:r w:rsidR="00323457" w:rsidRPr="0059638B">
        <w:rPr>
          <w:sz w:val="20"/>
          <w:szCs w:val="20"/>
        </w:rPr>
        <w:t>education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ensuring</w:t>
      </w:r>
      <w:r w:rsidR="00FF41A0">
        <w:rPr>
          <w:sz w:val="20"/>
          <w:szCs w:val="20"/>
        </w:rPr>
        <w:t xml:space="preserve"> </w:t>
      </w:r>
      <w:r w:rsidR="00323457" w:rsidRPr="0059638B">
        <w:rPr>
          <w:sz w:val="20"/>
          <w:szCs w:val="20"/>
        </w:rPr>
        <w:t>continued</w:t>
      </w:r>
      <w:r w:rsidR="00FF41A0">
        <w:rPr>
          <w:sz w:val="20"/>
          <w:szCs w:val="20"/>
        </w:rPr>
        <w:t xml:space="preserve"> </w:t>
      </w:r>
      <w:r w:rsidR="00323457" w:rsidRPr="0059638B">
        <w:rPr>
          <w:sz w:val="20"/>
          <w:szCs w:val="20"/>
        </w:rPr>
        <w:t>education</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pregnant</w:t>
      </w:r>
      <w:r w:rsidR="00FF41A0">
        <w:rPr>
          <w:sz w:val="20"/>
          <w:szCs w:val="20"/>
        </w:rPr>
        <w:t xml:space="preserve"> </w:t>
      </w:r>
      <w:r w:rsidR="00323457" w:rsidRPr="0059638B">
        <w:rPr>
          <w:sz w:val="20"/>
          <w:szCs w:val="20"/>
        </w:rPr>
        <w:t>teenage</w:t>
      </w:r>
      <w:r w:rsidR="00FF41A0">
        <w:rPr>
          <w:sz w:val="20"/>
          <w:szCs w:val="20"/>
        </w:rPr>
        <w:t xml:space="preserve"> </w:t>
      </w:r>
      <w:r w:rsidR="00323457" w:rsidRPr="0059638B">
        <w:rPr>
          <w:sz w:val="20"/>
          <w:szCs w:val="20"/>
        </w:rPr>
        <w:t>girls.</w:t>
      </w:r>
      <w:r w:rsidR="00FF41A0">
        <w:rPr>
          <w:sz w:val="20"/>
          <w:szCs w:val="20"/>
        </w:rPr>
        <w:t xml:space="preserve"> </w:t>
      </w:r>
      <w:r w:rsidR="00323457" w:rsidRPr="0059638B">
        <w:rPr>
          <w:sz w:val="20"/>
          <w:szCs w:val="20"/>
        </w:rPr>
        <w:t>They</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commended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willingness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reform</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health</w:t>
      </w:r>
      <w:r w:rsidR="00FF41A0">
        <w:rPr>
          <w:sz w:val="20"/>
          <w:szCs w:val="20"/>
        </w:rPr>
        <w:t xml:space="preserve"> </w:t>
      </w:r>
      <w:r w:rsidR="00323457" w:rsidRPr="0059638B">
        <w:rPr>
          <w:sz w:val="20"/>
          <w:szCs w:val="20"/>
        </w:rPr>
        <w:t>care</w:t>
      </w:r>
      <w:r w:rsidR="00FF41A0">
        <w:rPr>
          <w:sz w:val="20"/>
          <w:szCs w:val="20"/>
        </w:rPr>
        <w:t xml:space="preserve"> </w:t>
      </w:r>
      <w:r w:rsidR="00323457" w:rsidRPr="0059638B">
        <w:rPr>
          <w:sz w:val="20"/>
          <w:szCs w:val="20"/>
        </w:rPr>
        <w:t>system</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ensure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removal</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barriers</w:t>
      </w:r>
      <w:r w:rsidR="00FF41A0">
        <w:rPr>
          <w:sz w:val="20"/>
          <w:szCs w:val="20"/>
        </w:rPr>
        <w:t xml:space="preserve"> </w:t>
      </w:r>
      <w:r w:rsidR="00323457" w:rsidRPr="0059638B">
        <w:rPr>
          <w:sz w:val="20"/>
          <w:szCs w:val="20"/>
        </w:rPr>
        <w:t>preventing</w:t>
      </w:r>
      <w:r w:rsidR="00FF41A0">
        <w:rPr>
          <w:sz w:val="20"/>
          <w:szCs w:val="20"/>
        </w:rPr>
        <w:t xml:space="preserve"> </w:t>
      </w:r>
      <w:r w:rsidR="00323457" w:rsidRPr="0059638B">
        <w:rPr>
          <w:sz w:val="20"/>
          <w:szCs w:val="20"/>
        </w:rPr>
        <w:t>access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girls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LGBTI</w:t>
      </w:r>
      <w:r w:rsidR="00FF41A0">
        <w:rPr>
          <w:sz w:val="20"/>
          <w:szCs w:val="20"/>
        </w:rPr>
        <w:t xml:space="preserve"> </w:t>
      </w:r>
      <w:r w:rsidR="00323457" w:rsidRPr="0059638B">
        <w:rPr>
          <w:sz w:val="20"/>
          <w:szCs w:val="20"/>
        </w:rPr>
        <w:t>persons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non-discriminatory,</w:t>
      </w:r>
      <w:r w:rsidR="00FF41A0">
        <w:rPr>
          <w:sz w:val="20"/>
          <w:szCs w:val="20"/>
        </w:rPr>
        <w:t xml:space="preserve"> </w:t>
      </w:r>
      <w:r w:rsidR="00323457" w:rsidRPr="0059638B">
        <w:rPr>
          <w:sz w:val="20"/>
          <w:szCs w:val="20"/>
        </w:rPr>
        <w:t>rights-based,</w:t>
      </w:r>
      <w:r w:rsidR="00FF41A0">
        <w:rPr>
          <w:sz w:val="20"/>
          <w:szCs w:val="20"/>
        </w:rPr>
        <w:t xml:space="preserve"> </w:t>
      </w:r>
      <w:r w:rsidR="00323457" w:rsidRPr="0059638B">
        <w:rPr>
          <w:sz w:val="20"/>
          <w:szCs w:val="20"/>
        </w:rPr>
        <w:t>integrated,</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quality</w:t>
      </w:r>
      <w:r w:rsidR="00FF41A0">
        <w:rPr>
          <w:sz w:val="20"/>
          <w:szCs w:val="20"/>
        </w:rPr>
        <w:t xml:space="preserve"> </w:t>
      </w:r>
      <w:r w:rsidR="00323457" w:rsidRPr="0059638B">
        <w:rPr>
          <w:sz w:val="20"/>
          <w:szCs w:val="20"/>
        </w:rPr>
        <w:t>sexual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reproductive</w:t>
      </w:r>
      <w:r w:rsidR="00FF41A0">
        <w:rPr>
          <w:sz w:val="20"/>
          <w:szCs w:val="20"/>
        </w:rPr>
        <w:t xml:space="preserve"> </w:t>
      </w:r>
      <w:r w:rsidR="00323457" w:rsidRPr="0059638B">
        <w:rPr>
          <w:sz w:val="20"/>
          <w:szCs w:val="20"/>
        </w:rPr>
        <w:t>health</w:t>
      </w:r>
      <w:r w:rsidR="00FF41A0">
        <w:rPr>
          <w:sz w:val="20"/>
          <w:szCs w:val="20"/>
        </w:rPr>
        <w:t xml:space="preserve"> </w:t>
      </w:r>
      <w:r w:rsidR="00323457" w:rsidRPr="0059638B">
        <w:rPr>
          <w:sz w:val="20"/>
          <w:szCs w:val="20"/>
        </w:rPr>
        <w:t>services,</w:t>
      </w:r>
      <w:r w:rsidR="00FF41A0">
        <w:rPr>
          <w:sz w:val="20"/>
          <w:szCs w:val="20"/>
        </w:rPr>
        <w:t xml:space="preserve"> </w:t>
      </w:r>
      <w:r w:rsidR="00323457" w:rsidRPr="0059638B">
        <w:rPr>
          <w:sz w:val="20"/>
          <w:szCs w:val="20"/>
        </w:rPr>
        <w:t>including</w:t>
      </w:r>
      <w:r w:rsidR="00FF41A0">
        <w:rPr>
          <w:sz w:val="20"/>
          <w:szCs w:val="20"/>
        </w:rPr>
        <w:t xml:space="preserve"> </w:t>
      </w:r>
      <w:r w:rsidR="00323457" w:rsidRPr="0059638B">
        <w:rPr>
          <w:sz w:val="20"/>
          <w:szCs w:val="20"/>
        </w:rPr>
        <w:t>HIV/AIDS</w:t>
      </w:r>
      <w:r w:rsidR="00FF41A0">
        <w:rPr>
          <w:sz w:val="20"/>
          <w:szCs w:val="20"/>
        </w:rPr>
        <w:t xml:space="preserve"> </w:t>
      </w:r>
      <w:r w:rsidR="00323457" w:rsidRPr="0059638B">
        <w:rPr>
          <w:sz w:val="20"/>
          <w:szCs w:val="20"/>
        </w:rPr>
        <w:t>prevention</w:t>
      </w:r>
      <w:r w:rsidR="00FF41A0">
        <w:rPr>
          <w:sz w:val="20"/>
          <w:szCs w:val="20"/>
        </w:rPr>
        <w:t xml:space="preserve"> </w:t>
      </w:r>
      <w:r w:rsidR="00323457" w:rsidRPr="0059638B">
        <w:rPr>
          <w:sz w:val="20"/>
          <w:szCs w:val="20"/>
        </w:rPr>
        <w:t>services.</w:t>
      </w:r>
      <w:r w:rsidR="00FF41A0">
        <w:rPr>
          <w:sz w:val="20"/>
          <w:szCs w:val="20"/>
        </w:rPr>
        <w:t xml:space="preserve"> </w:t>
      </w:r>
      <w:r w:rsidR="00323457" w:rsidRPr="0059638B">
        <w:rPr>
          <w:sz w:val="20"/>
          <w:szCs w:val="20"/>
        </w:rPr>
        <w:t>Finally,</w:t>
      </w:r>
      <w:r w:rsidR="00FF41A0">
        <w:rPr>
          <w:sz w:val="20"/>
          <w:szCs w:val="20"/>
        </w:rPr>
        <w:t xml:space="preserve"> </w:t>
      </w:r>
      <w:r w:rsidR="00323457" w:rsidRPr="0059638B">
        <w:rPr>
          <w:sz w:val="20"/>
          <w:szCs w:val="20"/>
        </w:rPr>
        <w:t>they</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pleased</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commitment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securing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LGBTI</w:t>
      </w:r>
      <w:r w:rsidR="00FF41A0">
        <w:rPr>
          <w:sz w:val="20"/>
          <w:szCs w:val="20"/>
        </w:rPr>
        <w:t xml:space="preserve"> </w:t>
      </w:r>
      <w:r w:rsidR="00323457" w:rsidRPr="0059638B">
        <w:rPr>
          <w:sz w:val="20"/>
          <w:szCs w:val="20"/>
        </w:rPr>
        <w:t>persons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expressed</w:t>
      </w:r>
      <w:r w:rsidR="00FF41A0">
        <w:rPr>
          <w:sz w:val="20"/>
          <w:szCs w:val="20"/>
        </w:rPr>
        <w:t xml:space="preserve"> </w:t>
      </w:r>
      <w:r w:rsidR="00323457" w:rsidRPr="0059638B">
        <w:rPr>
          <w:sz w:val="20"/>
          <w:szCs w:val="20"/>
        </w:rPr>
        <w:t>their</w:t>
      </w:r>
      <w:r w:rsidR="00FF41A0">
        <w:rPr>
          <w:sz w:val="20"/>
          <w:szCs w:val="20"/>
        </w:rPr>
        <w:t xml:space="preserve"> </w:t>
      </w:r>
      <w:r w:rsidR="00323457" w:rsidRPr="0059638B">
        <w:rPr>
          <w:sz w:val="20"/>
          <w:szCs w:val="20"/>
        </w:rPr>
        <w:t>readiness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support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ensure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implementation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these</w:t>
      </w:r>
      <w:r w:rsidR="00FF41A0">
        <w:rPr>
          <w:sz w:val="20"/>
          <w:szCs w:val="20"/>
        </w:rPr>
        <w:t xml:space="preserve"> </w:t>
      </w:r>
      <w:r w:rsidR="00323457" w:rsidRPr="0059638B">
        <w:rPr>
          <w:sz w:val="20"/>
          <w:szCs w:val="20"/>
        </w:rPr>
        <w:t>recommendations.</w:t>
      </w:r>
    </w:p>
    <w:p w14:paraId="43DAB5B1" w14:textId="7363BA9F" w:rsidR="00323457" w:rsidRPr="0059638B" w:rsidRDefault="00972F1E" w:rsidP="00323457">
      <w:pPr>
        <w:pStyle w:val="SingleTxtG"/>
        <w:rPr>
          <w:sz w:val="20"/>
          <w:szCs w:val="20"/>
        </w:rPr>
      </w:pPr>
      <w:r>
        <w:rPr>
          <w:sz w:val="20"/>
          <w:szCs w:val="20"/>
        </w:rPr>
        <w:t>778</w:t>
      </w:r>
      <w:r w:rsidR="00D7475F">
        <w:rPr>
          <w:sz w:val="20"/>
          <w:szCs w:val="20"/>
        </w:rPr>
        <w:t>.</w:t>
      </w:r>
      <w:r w:rsidR="00D7475F">
        <w:rPr>
          <w:sz w:val="20"/>
          <w:szCs w:val="20"/>
        </w:rPr>
        <w:tab/>
      </w:r>
      <w:r w:rsidR="00323457" w:rsidRPr="0059638B">
        <w:rPr>
          <w:sz w:val="20"/>
          <w:szCs w:val="20"/>
        </w:rPr>
        <w:t>Federatie</w:t>
      </w:r>
      <w:r w:rsidR="00FF41A0">
        <w:rPr>
          <w:sz w:val="20"/>
          <w:szCs w:val="20"/>
        </w:rPr>
        <w:t xml:space="preserve"> </w:t>
      </w:r>
      <w:r w:rsidR="00323457" w:rsidRPr="0059638B">
        <w:rPr>
          <w:sz w:val="20"/>
          <w:szCs w:val="20"/>
        </w:rPr>
        <w:t>van</w:t>
      </w:r>
      <w:r w:rsidR="00FF41A0">
        <w:rPr>
          <w:sz w:val="20"/>
          <w:szCs w:val="20"/>
        </w:rPr>
        <w:t xml:space="preserve"> </w:t>
      </w:r>
      <w:r w:rsidR="00323457" w:rsidRPr="0059638B">
        <w:rPr>
          <w:sz w:val="20"/>
          <w:szCs w:val="20"/>
        </w:rPr>
        <w:t>Nederlandse</w:t>
      </w:r>
      <w:r w:rsidR="00FF41A0">
        <w:rPr>
          <w:sz w:val="20"/>
          <w:szCs w:val="20"/>
        </w:rPr>
        <w:t xml:space="preserve"> </w:t>
      </w:r>
      <w:r w:rsidR="00323457" w:rsidRPr="0059638B">
        <w:rPr>
          <w:sz w:val="20"/>
          <w:szCs w:val="20"/>
        </w:rPr>
        <w:t>Verenigingen</w:t>
      </w:r>
      <w:r w:rsidR="00FF41A0">
        <w:rPr>
          <w:sz w:val="20"/>
          <w:szCs w:val="20"/>
        </w:rPr>
        <w:t xml:space="preserve"> </w:t>
      </w:r>
      <w:r w:rsidR="00323457" w:rsidRPr="0059638B">
        <w:rPr>
          <w:sz w:val="20"/>
          <w:szCs w:val="20"/>
        </w:rPr>
        <w:t>tot</w:t>
      </w:r>
      <w:r w:rsidR="00FF41A0">
        <w:rPr>
          <w:sz w:val="20"/>
          <w:szCs w:val="20"/>
        </w:rPr>
        <w:t xml:space="preserve"> </w:t>
      </w:r>
      <w:r w:rsidR="00323457" w:rsidRPr="0059638B">
        <w:rPr>
          <w:sz w:val="20"/>
          <w:szCs w:val="20"/>
        </w:rPr>
        <w:t>Integratie</w:t>
      </w:r>
      <w:r w:rsidR="00FF41A0">
        <w:rPr>
          <w:sz w:val="20"/>
          <w:szCs w:val="20"/>
        </w:rPr>
        <w:t xml:space="preserve"> </w:t>
      </w:r>
      <w:r w:rsidR="00323457" w:rsidRPr="0059638B">
        <w:rPr>
          <w:sz w:val="20"/>
          <w:szCs w:val="20"/>
        </w:rPr>
        <w:t>Van</w:t>
      </w:r>
      <w:r w:rsidR="00FF41A0">
        <w:rPr>
          <w:sz w:val="20"/>
          <w:szCs w:val="20"/>
        </w:rPr>
        <w:t xml:space="preserve"> </w:t>
      </w:r>
      <w:r w:rsidR="00323457" w:rsidRPr="0059638B">
        <w:rPr>
          <w:sz w:val="20"/>
          <w:szCs w:val="20"/>
        </w:rPr>
        <w:t>Homoseksualitaite</w:t>
      </w:r>
      <w:r w:rsidR="00FF41A0">
        <w:rPr>
          <w:sz w:val="20"/>
          <w:szCs w:val="20"/>
        </w:rPr>
        <w:t xml:space="preserve"> </w:t>
      </w:r>
      <w:r w:rsidR="00323457" w:rsidRPr="0059638B">
        <w:rPr>
          <w:sz w:val="20"/>
          <w:szCs w:val="20"/>
        </w:rPr>
        <w:t>–</w:t>
      </w:r>
      <w:r w:rsidR="00FF41A0">
        <w:rPr>
          <w:sz w:val="20"/>
          <w:szCs w:val="20"/>
        </w:rPr>
        <w:t xml:space="preserve"> </w:t>
      </w:r>
      <w:r w:rsidR="00323457" w:rsidRPr="0059638B">
        <w:rPr>
          <w:sz w:val="20"/>
          <w:szCs w:val="20"/>
        </w:rPr>
        <w:t>COC</w:t>
      </w:r>
      <w:r w:rsidR="00FF41A0">
        <w:rPr>
          <w:sz w:val="20"/>
          <w:szCs w:val="20"/>
        </w:rPr>
        <w:t xml:space="preserve"> </w:t>
      </w:r>
      <w:r w:rsidR="00323457" w:rsidRPr="0059638B">
        <w:rPr>
          <w:sz w:val="20"/>
          <w:szCs w:val="20"/>
        </w:rPr>
        <w:t>Nederland,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joint</w:t>
      </w:r>
      <w:r w:rsidR="00FF41A0">
        <w:rPr>
          <w:sz w:val="20"/>
          <w:szCs w:val="20"/>
        </w:rPr>
        <w:t xml:space="preserve"> </w:t>
      </w:r>
      <w:r w:rsidR="00323457" w:rsidRPr="0059638B">
        <w:rPr>
          <w:sz w:val="20"/>
          <w:szCs w:val="20"/>
        </w:rPr>
        <w:t>statement</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Lesbian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Gay</w:t>
      </w:r>
      <w:r w:rsidR="00FF41A0">
        <w:rPr>
          <w:sz w:val="20"/>
          <w:szCs w:val="20"/>
        </w:rPr>
        <w:t xml:space="preserve"> </w:t>
      </w:r>
      <w:r w:rsidR="00323457" w:rsidRPr="0059638B">
        <w:rPr>
          <w:sz w:val="20"/>
          <w:szCs w:val="20"/>
        </w:rPr>
        <w:t>Association,</w:t>
      </w:r>
      <w:r w:rsidR="00FF41A0">
        <w:rPr>
          <w:sz w:val="20"/>
          <w:szCs w:val="20"/>
        </w:rPr>
        <w:t xml:space="preserve"> </w:t>
      </w:r>
      <w:r w:rsidR="00323457" w:rsidRPr="0059638B">
        <w:rPr>
          <w:sz w:val="20"/>
          <w:szCs w:val="20"/>
        </w:rPr>
        <w:t>thanked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members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Council</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formulated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sexual</w:t>
      </w:r>
      <w:r w:rsidR="00FF41A0">
        <w:rPr>
          <w:sz w:val="20"/>
          <w:szCs w:val="20"/>
        </w:rPr>
        <w:t xml:space="preserve"> </w:t>
      </w:r>
      <w:r w:rsidR="00323457" w:rsidRPr="0059638B">
        <w:rPr>
          <w:sz w:val="20"/>
          <w:szCs w:val="20"/>
        </w:rPr>
        <w:t>orientation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gender</w:t>
      </w:r>
      <w:r w:rsidR="00FF41A0">
        <w:rPr>
          <w:sz w:val="20"/>
          <w:szCs w:val="20"/>
        </w:rPr>
        <w:t xml:space="preserve"> </w:t>
      </w:r>
      <w:r w:rsidR="00323457" w:rsidRPr="0059638B">
        <w:rPr>
          <w:sz w:val="20"/>
          <w:szCs w:val="20"/>
        </w:rPr>
        <w:t>identity,</w:t>
      </w:r>
      <w:r w:rsidR="00FF41A0">
        <w:rPr>
          <w:sz w:val="20"/>
          <w:szCs w:val="20"/>
        </w:rPr>
        <w:t xml:space="preserve"> </w:t>
      </w:r>
      <w:r w:rsidR="00323457" w:rsidRPr="0059638B">
        <w:rPr>
          <w:sz w:val="20"/>
          <w:szCs w:val="20"/>
        </w:rPr>
        <w:t>15</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accepted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They</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announcements</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during</w:t>
      </w:r>
      <w:r w:rsidR="00FF41A0">
        <w:rPr>
          <w:sz w:val="20"/>
          <w:szCs w:val="20"/>
        </w:rPr>
        <w:t xml:space="preserve"> </w:t>
      </w:r>
      <w:r w:rsidR="00323457" w:rsidRPr="0059638B">
        <w:rPr>
          <w:sz w:val="20"/>
          <w:szCs w:val="20"/>
        </w:rPr>
        <w:t>both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Committee</w:t>
      </w:r>
      <w:r w:rsidR="00FF41A0">
        <w:rPr>
          <w:sz w:val="20"/>
          <w:szCs w:val="20"/>
        </w:rPr>
        <w:t xml:space="preserve"> </w:t>
      </w:r>
      <w:r w:rsidR="00323457" w:rsidRPr="0059638B">
        <w:rPr>
          <w:sz w:val="20"/>
          <w:szCs w:val="20"/>
        </w:rPr>
        <w:t>sessions,</w:t>
      </w:r>
      <w:r w:rsidR="00FF41A0">
        <w:rPr>
          <w:sz w:val="20"/>
          <w:szCs w:val="20"/>
        </w:rPr>
        <w:t xml:space="preserve"> </w:t>
      </w:r>
      <w:r w:rsidR="00323457" w:rsidRPr="0059638B">
        <w:rPr>
          <w:sz w:val="20"/>
          <w:szCs w:val="20"/>
        </w:rPr>
        <w:t>regarding</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work</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AIDS</w:t>
      </w:r>
      <w:r w:rsidR="00FF41A0">
        <w:rPr>
          <w:sz w:val="20"/>
          <w:szCs w:val="20"/>
        </w:rPr>
        <w:t xml:space="preserve"> </w:t>
      </w:r>
      <w:r w:rsidR="00323457" w:rsidRPr="0059638B">
        <w:rPr>
          <w:sz w:val="20"/>
          <w:szCs w:val="20"/>
        </w:rPr>
        <w:t>Commission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advance</w:t>
      </w:r>
      <w:r w:rsidR="00FF41A0">
        <w:rPr>
          <w:sz w:val="20"/>
          <w:szCs w:val="20"/>
        </w:rPr>
        <w:t xml:space="preserve"> </w:t>
      </w:r>
      <w:r w:rsidR="00323457" w:rsidRPr="0059638B">
        <w:rPr>
          <w:sz w:val="20"/>
          <w:szCs w:val="20"/>
        </w:rPr>
        <w:t>anti-discrimination</w:t>
      </w:r>
      <w:r w:rsidR="00FF41A0">
        <w:rPr>
          <w:sz w:val="20"/>
          <w:szCs w:val="20"/>
        </w:rPr>
        <w:t xml:space="preserve"> </w:t>
      </w:r>
      <w:r w:rsidR="00323457" w:rsidRPr="0059638B">
        <w:rPr>
          <w:sz w:val="20"/>
          <w:szCs w:val="20"/>
        </w:rPr>
        <w:t>legislation.</w:t>
      </w:r>
      <w:r w:rsidR="00FF41A0">
        <w:rPr>
          <w:sz w:val="20"/>
          <w:szCs w:val="20"/>
        </w:rPr>
        <w:t xml:space="preserve"> </w:t>
      </w:r>
      <w:r w:rsidR="00323457" w:rsidRPr="0059638B">
        <w:rPr>
          <w:sz w:val="20"/>
          <w:szCs w:val="20"/>
        </w:rPr>
        <w:t>However,</w:t>
      </w:r>
      <w:r w:rsidR="00FF41A0">
        <w:rPr>
          <w:sz w:val="20"/>
          <w:szCs w:val="20"/>
        </w:rPr>
        <w:t xml:space="preserve"> </w:t>
      </w:r>
      <w:r w:rsidR="00323457" w:rsidRPr="0059638B">
        <w:rPr>
          <w:sz w:val="20"/>
          <w:szCs w:val="20"/>
        </w:rPr>
        <w:t>they</w:t>
      </w:r>
      <w:r w:rsidR="00FF41A0">
        <w:rPr>
          <w:sz w:val="20"/>
          <w:szCs w:val="20"/>
        </w:rPr>
        <w:t xml:space="preserve"> </w:t>
      </w:r>
      <w:r w:rsidR="00323457" w:rsidRPr="0059638B">
        <w:rPr>
          <w:sz w:val="20"/>
          <w:szCs w:val="20"/>
        </w:rPr>
        <w:t>remained</w:t>
      </w:r>
      <w:r w:rsidR="00FF41A0">
        <w:rPr>
          <w:sz w:val="20"/>
          <w:szCs w:val="20"/>
        </w:rPr>
        <w:t xml:space="preserve"> </w:t>
      </w:r>
      <w:r w:rsidR="00323457" w:rsidRPr="0059638B">
        <w:rPr>
          <w:sz w:val="20"/>
          <w:szCs w:val="20"/>
        </w:rPr>
        <w:t>concerned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no</w:t>
      </w:r>
      <w:r w:rsidR="00FF41A0">
        <w:rPr>
          <w:sz w:val="20"/>
          <w:szCs w:val="20"/>
        </w:rPr>
        <w:t xml:space="preserve"> </w:t>
      </w:r>
      <w:r w:rsidR="00323457" w:rsidRPr="0059638B">
        <w:rPr>
          <w:sz w:val="20"/>
          <w:szCs w:val="20"/>
        </w:rPr>
        <w:t>deadline</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set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present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anti-discrimination</w:t>
      </w:r>
      <w:r w:rsidR="00FF41A0">
        <w:rPr>
          <w:sz w:val="20"/>
          <w:szCs w:val="20"/>
        </w:rPr>
        <w:t xml:space="preserve"> </w:t>
      </w:r>
      <w:r w:rsidR="00323457" w:rsidRPr="0059638B">
        <w:rPr>
          <w:sz w:val="20"/>
          <w:szCs w:val="20"/>
        </w:rPr>
        <w:t>bill</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parliament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after</w:t>
      </w:r>
      <w:r w:rsidR="00FF41A0">
        <w:rPr>
          <w:sz w:val="20"/>
          <w:szCs w:val="20"/>
        </w:rPr>
        <w:t xml:space="preserve"> </w:t>
      </w:r>
      <w:r w:rsidR="00323457" w:rsidRPr="0059638B">
        <w:rPr>
          <w:sz w:val="20"/>
          <w:szCs w:val="20"/>
        </w:rPr>
        <w:t>nine</w:t>
      </w:r>
      <w:r w:rsidR="00FF41A0">
        <w:rPr>
          <w:sz w:val="20"/>
          <w:szCs w:val="20"/>
        </w:rPr>
        <w:t xml:space="preserve"> </w:t>
      </w:r>
      <w:r w:rsidR="00323457" w:rsidRPr="0059638B">
        <w:rPr>
          <w:sz w:val="20"/>
          <w:szCs w:val="20"/>
        </w:rPr>
        <w:t>years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accepting</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develop</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institution,</w:t>
      </w:r>
      <w:r w:rsidR="00FF41A0">
        <w:rPr>
          <w:sz w:val="20"/>
          <w:szCs w:val="20"/>
        </w:rPr>
        <w:t xml:space="preserve"> </w:t>
      </w:r>
      <w:r w:rsidR="00323457" w:rsidRPr="0059638B">
        <w:rPr>
          <w:sz w:val="20"/>
          <w:szCs w:val="20"/>
        </w:rPr>
        <w:t>no</w:t>
      </w:r>
      <w:r w:rsidR="00FF41A0">
        <w:rPr>
          <w:sz w:val="20"/>
          <w:szCs w:val="20"/>
        </w:rPr>
        <w:t xml:space="preserve"> </w:t>
      </w:r>
      <w:r w:rsidR="00323457" w:rsidRPr="0059638B">
        <w:rPr>
          <w:sz w:val="20"/>
          <w:szCs w:val="20"/>
        </w:rPr>
        <w:t>deadline</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defined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conduct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finalise</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feasibility</w:t>
      </w:r>
      <w:r w:rsidR="00FF41A0">
        <w:rPr>
          <w:sz w:val="20"/>
          <w:szCs w:val="20"/>
        </w:rPr>
        <w:t xml:space="preserve"> </w:t>
      </w:r>
      <w:r w:rsidR="00323457" w:rsidRPr="0059638B">
        <w:rPr>
          <w:sz w:val="20"/>
          <w:szCs w:val="20"/>
        </w:rPr>
        <w:t>study.</w:t>
      </w:r>
      <w:r w:rsidR="00FF41A0">
        <w:rPr>
          <w:sz w:val="20"/>
          <w:szCs w:val="20"/>
        </w:rPr>
        <w:t xml:space="preserve"> </w:t>
      </w:r>
      <w:r w:rsidR="00323457" w:rsidRPr="0059638B">
        <w:rPr>
          <w:sz w:val="20"/>
          <w:szCs w:val="20"/>
        </w:rPr>
        <w:t>Furthermore,</w:t>
      </w:r>
      <w:r w:rsidR="00FF41A0">
        <w:rPr>
          <w:sz w:val="20"/>
          <w:szCs w:val="20"/>
        </w:rPr>
        <w:t xml:space="preserve"> </w:t>
      </w:r>
      <w:r w:rsidR="00323457" w:rsidRPr="0059638B">
        <w:rPr>
          <w:sz w:val="20"/>
          <w:szCs w:val="20"/>
        </w:rPr>
        <w:t>they</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gender</w:t>
      </w:r>
      <w:r w:rsidR="00FF41A0">
        <w:rPr>
          <w:sz w:val="20"/>
          <w:szCs w:val="20"/>
        </w:rPr>
        <w:t xml:space="preserve"> </w:t>
      </w:r>
      <w:r w:rsidR="00323457" w:rsidRPr="0059638B">
        <w:rPr>
          <w:sz w:val="20"/>
          <w:szCs w:val="20"/>
        </w:rPr>
        <w:t>equality</w:t>
      </w:r>
      <w:r w:rsidR="00FF41A0">
        <w:rPr>
          <w:sz w:val="20"/>
          <w:szCs w:val="20"/>
        </w:rPr>
        <w:t xml:space="preserve"> </w:t>
      </w:r>
      <w:r w:rsidR="00323457" w:rsidRPr="0059638B">
        <w:rPr>
          <w:sz w:val="20"/>
          <w:szCs w:val="20"/>
        </w:rPr>
        <w:t>framework</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developed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paper</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not</w:t>
      </w:r>
      <w:r w:rsidR="00FF41A0">
        <w:rPr>
          <w:sz w:val="20"/>
          <w:szCs w:val="20"/>
        </w:rPr>
        <w:t xml:space="preserve"> </w:t>
      </w:r>
      <w:r w:rsidR="00323457" w:rsidRPr="0059638B">
        <w:rPr>
          <w:sz w:val="20"/>
          <w:szCs w:val="20"/>
        </w:rPr>
        <w:t>fully</w:t>
      </w:r>
      <w:r w:rsidR="00FF41A0">
        <w:rPr>
          <w:sz w:val="20"/>
          <w:szCs w:val="20"/>
        </w:rPr>
        <w:t xml:space="preserve"> </w:t>
      </w:r>
      <w:r w:rsidR="00323457" w:rsidRPr="0059638B">
        <w:rPr>
          <w:sz w:val="20"/>
          <w:szCs w:val="20"/>
        </w:rPr>
        <w:t>implemented</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strong</w:t>
      </w:r>
      <w:r w:rsidR="00FF41A0">
        <w:rPr>
          <w:sz w:val="20"/>
          <w:szCs w:val="20"/>
        </w:rPr>
        <w:t xml:space="preserve"> </w:t>
      </w:r>
      <w:r w:rsidR="00323457" w:rsidRPr="0059638B">
        <w:rPr>
          <w:sz w:val="20"/>
          <w:szCs w:val="20"/>
        </w:rPr>
        <w:t>accountability</w:t>
      </w:r>
      <w:r w:rsidR="00FF41A0">
        <w:rPr>
          <w:sz w:val="20"/>
          <w:szCs w:val="20"/>
        </w:rPr>
        <w:t xml:space="preserve"> </w:t>
      </w:r>
      <w:r w:rsidR="00323457" w:rsidRPr="0059638B">
        <w:rPr>
          <w:sz w:val="20"/>
          <w:szCs w:val="20"/>
        </w:rPr>
        <w:t>mechanism</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address</w:t>
      </w:r>
      <w:r w:rsidR="00FF41A0">
        <w:rPr>
          <w:sz w:val="20"/>
          <w:szCs w:val="20"/>
        </w:rPr>
        <w:t xml:space="preserve"> </w:t>
      </w:r>
      <w:r w:rsidR="00323457" w:rsidRPr="0059638B">
        <w:rPr>
          <w:sz w:val="20"/>
          <w:szCs w:val="20"/>
        </w:rPr>
        <w:t>abuse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power</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police</w:t>
      </w:r>
      <w:r w:rsidR="00FF41A0">
        <w:rPr>
          <w:sz w:val="20"/>
          <w:szCs w:val="20"/>
        </w:rPr>
        <w:t xml:space="preserve"> </w:t>
      </w:r>
      <w:r w:rsidR="00323457" w:rsidRPr="0059638B">
        <w:rPr>
          <w:sz w:val="20"/>
          <w:szCs w:val="20"/>
        </w:rPr>
        <w:t>officers</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still</w:t>
      </w:r>
      <w:r w:rsidR="00FF41A0">
        <w:rPr>
          <w:sz w:val="20"/>
          <w:szCs w:val="20"/>
        </w:rPr>
        <w:t xml:space="preserve"> </w:t>
      </w:r>
      <w:r w:rsidR="00323457" w:rsidRPr="0059638B">
        <w:rPr>
          <w:sz w:val="20"/>
          <w:szCs w:val="20"/>
        </w:rPr>
        <w:t>lacking.</w:t>
      </w:r>
      <w:r w:rsidR="00FF41A0">
        <w:rPr>
          <w:sz w:val="20"/>
          <w:szCs w:val="20"/>
        </w:rPr>
        <w:t xml:space="preserve"> </w:t>
      </w:r>
    </w:p>
    <w:p w14:paraId="174472EC" w14:textId="3E9C2A1C" w:rsidR="00323457" w:rsidRPr="0059638B" w:rsidRDefault="00972F1E" w:rsidP="00323457">
      <w:pPr>
        <w:pStyle w:val="SingleTxtG"/>
        <w:rPr>
          <w:sz w:val="20"/>
          <w:szCs w:val="20"/>
        </w:rPr>
      </w:pPr>
      <w:r>
        <w:rPr>
          <w:sz w:val="20"/>
          <w:szCs w:val="20"/>
        </w:rPr>
        <w:t>779</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Association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World</w:t>
      </w:r>
      <w:r w:rsidR="00FF41A0">
        <w:rPr>
          <w:sz w:val="20"/>
          <w:szCs w:val="20"/>
        </w:rPr>
        <w:t xml:space="preserve"> </w:t>
      </w:r>
      <w:r w:rsidR="00323457" w:rsidRPr="0059638B">
        <w:rPr>
          <w:sz w:val="20"/>
          <w:szCs w:val="20"/>
        </w:rPr>
        <w:t>Citizens</w:t>
      </w:r>
      <w:r w:rsidR="00FF41A0">
        <w:rPr>
          <w:sz w:val="20"/>
          <w:szCs w:val="20"/>
        </w:rPr>
        <w:t xml:space="preserve"> </w:t>
      </w:r>
      <w:r w:rsidR="00323457" w:rsidRPr="0059638B">
        <w:rPr>
          <w:sz w:val="20"/>
          <w:szCs w:val="20"/>
        </w:rPr>
        <w:t>appreciated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acceptance</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regarding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establishment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institute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recommended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although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death</w:t>
      </w:r>
      <w:r w:rsidR="00FF41A0">
        <w:rPr>
          <w:sz w:val="20"/>
          <w:szCs w:val="20"/>
        </w:rPr>
        <w:t xml:space="preserve"> </w:t>
      </w:r>
      <w:r w:rsidR="00323457" w:rsidRPr="0059638B">
        <w:rPr>
          <w:sz w:val="20"/>
          <w:szCs w:val="20"/>
        </w:rPr>
        <w:t>penalty</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not</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implemented</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almost</w:t>
      </w:r>
      <w:r w:rsidR="00FF41A0">
        <w:rPr>
          <w:sz w:val="20"/>
          <w:szCs w:val="20"/>
        </w:rPr>
        <w:t xml:space="preserve"> </w:t>
      </w:r>
      <w:r w:rsidR="00323457" w:rsidRPr="0059638B">
        <w:rPr>
          <w:sz w:val="20"/>
          <w:szCs w:val="20"/>
        </w:rPr>
        <w:t>35</w:t>
      </w:r>
      <w:r w:rsidR="00FF41A0">
        <w:rPr>
          <w:sz w:val="20"/>
          <w:szCs w:val="20"/>
        </w:rPr>
        <w:t xml:space="preserve"> </w:t>
      </w:r>
      <w:r w:rsidR="00323457" w:rsidRPr="0059638B">
        <w:rPr>
          <w:sz w:val="20"/>
          <w:szCs w:val="20"/>
        </w:rPr>
        <w:t>years,</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change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law</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this</w:t>
      </w:r>
      <w:r w:rsidR="00FF41A0">
        <w:rPr>
          <w:sz w:val="20"/>
          <w:szCs w:val="20"/>
        </w:rPr>
        <w:t xml:space="preserve"> </w:t>
      </w:r>
      <w:r w:rsidR="00323457" w:rsidRPr="0059638B">
        <w:rPr>
          <w:sz w:val="20"/>
          <w:szCs w:val="20"/>
        </w:rPr>
        <w:t>regard.</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accepted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revise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age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marriage</w:t>
      </w:r>
      <w:r w:rsidR="00FF41A0">
        <w:rPr>
          <w:sz w:val="20"/>
          <w:szCs w:val="20"/>
        </w:rPr>
        <w:t xml:space="preserve"> </w:t>
      </w:r>
      <w:r w:rsidR="00323457" w:rsidRPr="0059638B">
        <w:rPr>
          <w:sz w:val="20"/>
          <w:szCs w:val="20"/>
        </w:rPr>
        <w:t>without</w:t>
      </w:r>
      <w:r w:rsidR="00FF41A0">
        <w:rPr>
          <w:sz w:val="20"/>
          <w:szCs w:val="20"/>
        </w:rPr>
        <w:t xml:space="preserve"> </w:t>
      </w:r>
      <w:r w:rsidR="00323457" w:rsidRPr="0059638B">
        <w:rPr>
          <w:sz w:val="20"/>
          <w:szCs w:val="20"/>
        </w:rPr>
        <w:t>any</w:t>
      </w:r>
      <w:r w:rsidR="00FF41A0">
        <w:rPr>
          <w:sz w:val="20"/>
          <w:szCs w:val="20"/>
        </w:rPr>
        <w:t xml:space="preserve"> </w:t>
      </w:r>
      <w:r w:rsidR="00323457" w:rsidRPr="0059638B">
        <w:rPr>
          <w:sz w:val="20"/>
          <w:szCs w:val="20"/>
        </w:rPr>
        <w:t>exception</w:t>
      </w:r>
      <w:r w:rsidR="00FF41A0">
        <w:rPr>
          <w:sz w:val="20"/>
          <w:szCs w:val="20"/>
        </w:rPr>
        <w:t xml:space="preserve"> </w:t>
      </w:r>
      <w:r w:rsidR="00323457" w:rsidRPr="0059638B">
        <w:rPr>
          <w:sz w:val="20"/>
          <w:szCs w:val="20"/>
        </w:rPr>
        <w:t>from</w:t>
      </w:r>
      <w:r w:rsidR="00FF41A0">
        <w:rPr>
          <w:sz w:val="20"/>
          <w:szCs w:val="20"/>
        </w:rPr>
        <w:t xml:space="preserve"> </w:t>
      </w:r>
      <w:r w:rsidR="00323457" w:rsidRPr="0059638B">
        <w:rPr>
          <w:sz w:val="20"/>
          <w:szCs w:val="20"/>
        </w:rPr>
        <w:t>16</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18</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girls.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hoped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before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next</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cycle,</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accept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guaranteeing</w:t>
      </w:r>
      <w:r w:rsidR="00FF41A0">
        <w:rPr>
          <w:sz w:val="20"/>
          <w:szCs w:val="20"/>
        </w:rPr>
        <w:t xml:space="preserve"> </w:t>
      </w:r>
      <w:r w:rsidR="00323457" w:rsidRPr="0059638B">
        <w:rPr>
          <w:sz w:val="20"/>
          <w:szCs w:val="20"/>
        </w:rPr>
        <w:t>independent</w:t>
      </w:r>
      <w:r w:rsidR="00FF41A0">
        <w:rPr>
          <w:sz w:val="20"/>
          <w:szCs w:val="20"/>
        </w:rPr>
        <w:t xml:space="preserve"> </w:t>
      </w:r>
      <w:r w:rsidR="00323457" w:rsidRPr="0059638B">
        <w:rPr>
          <w:sz w:val="20"/>
          <w:szCs w:val="20"/>
        </w:rPr>
        <w:t>access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sexual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reproductive</w:t>
      </w:r>
      <w:r w:rsidR="00FF41A0">
        <w:rPr>
          <w:sz w:val="20"/>
          <w:szCs w:val="20"/>
        </w:rPr>
        <w:t xml:space="preserve"> </w:t>
      </w:r>
      <w:r w:rsidR="00323457" w:rsidRPr="0059638B">
        <w:rPr>
          <w:sz w:val="20"/>
          <w:szCs w:val="20"/>
        </w:rPr>
        <w:t>health</w:t>
      </w:r>
      <w:r w:rsidR="00FF41A0">
        <w:rPr>
          <w:sz w:val="20"/>
          <w:szCs w:val="20"/>
        </w:rPr>
        <w:t xml:space="preserve"> </w:t>
      </w:r>
      <w:r w:rsidR="00323457" w:rsidRPr="0059638B">
        <w:rPr>
          <w:sz w:val="20"/>
          <w:szCs w:val="20"/>
        </w:rPr>
        <w:t>services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accordance</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age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consent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without</w:t>
      </w:r>
      <w:r w:rsidR="00FF41A0">
        <w:rPr>
          <w:sz w:val="20"/>
          <w:szCs w:val="20"/>
        </w:rPr>
        <w:t xml:space="preserve"> </w:t>
      </w:r>
      <w:r w:rsidR="00323457" w:rsidRPr="0059638B">
        <w:rPr>
          <w:sz w:val="20"/>
          <w:szCs w:val="20"/>
        </w:rPr>
        <w:t>parental</w:t>
      </w:r>
      <w:r w:rsidR="00FF41A0">
        <w:rPr>
          <w:sz w:val="20"/>
          <w:szCs w:val="20"/>
        </w:rPr>
        <w:t xml:space="preserve"> </w:t>
      </w:r>
      <w:r w:rsidR="00323457" w:rsidRPr="0059638B">
        <w:rPr>
          <w:sz w:val="20"/>
          <w:szCs w:val="20"/>
        </w:rPr>
        <w:t>permission.</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greatly</w:t>
      </w:r>
      <w:r w:rsidR="00FF41A0">
        <w:rPr>
          <w:sz w:val="20"/>
          <w:szCs w:val="20"/>
        </w:rPr>
        <w:t xml:space="preserve"> </w:t>
      </w:r>
      <w:r w:rsidR="00323457" w:rsidRPr="0059638B">
        <w:rPr>
          <w:sz w:val="20"/>
          <w:szCs w:val="20"/>
        </w:rPr>
        <w:t>concerned</w:t>
      </w:r>
      <w:r w:rsidR="00FF41A0">
        <w:rPr>
          <w:sz w:val="20"/>
          <w:szCs w:val="20"/>
        </w:rPr>
        <w:t xml:space="preserve"> </w:t>
      </w:r>
      <w:r w:rsidR="00323457" w:rsidRPr="0059638B">
        <w:rPr>
          <w:sz w:val="20"/>
          <w:szCs w:val="20"/>
        </w:rPr>
        <w:t>about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increase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violence</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femicide.</w:t>
      </w:r>
      <w:r w:rsidR="00FF41A0">
        <w:rPr>
          <w:sz w:val="20"/>
          <w:szCs w:val="20"/>
        </w:rPr>
        <w:t xml:space="preserve"> </w:t>
      </w:r>
      <w:r w:rsidR="00323457" w:rsidRPr="0059638B">
        <w:rPr>
          <w:sz w:val="20"/>
          <w:szCs w:val="20"/>
        </w:rPr>
        <w:t>Finally,</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disappointed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rejected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approve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draft</w:t>
      </w:r>
      <w:r w:rsidR="00FF41A0">
        <w:rPr>
          <w:sz w:val="20"/>
          <w:szCs w:val="20"/>
        </w:rPr>
        <w:t xml:space="preserve"> </w:t>
      </w:r>
      <w:r w:rsidR="00323457" w:rsidRPr="0059638B">
        <w:rPr>
          <w:sz w:val="20"/>
          <w:szCs w:val="20"/>
        </w:rPr>
        <w:t>amendment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Representation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People</w:t>
      </w:r>
      <w:r w:rsidR="00FF41A0">
        <w:rPr>
          <w:sz w:val="20"/>
          <w:szCs w:val="20"/>
        </w:rPr>
        <w:t xml:space="preserve"> </w:t>
      </w:r>
      <w:r w:rsidR="00323457" w:rsidRPr="0059638B">
        <w:rPr>
          <w:sz w:val="20"/>
          <w:szCs w:val="20"/>
        </w:rPr>
        <w:t>Act</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establish</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33</w:t>
      </w:r>
      <w:r w:rsidR="00FF41A0">
        <w:rPr>
          <w:sz w:val="20"/>
          <w:szCs w:val="20"/>
        </w:rPr>
        <w:t xml:space="preserve"> </w:t>
      </w:r>
      <w:r w:rsidR="00323457" w:rsidRPr="0059638B">
        <w:rPr>
          <w:sz w:val="20"/>
          <w:szCs w:val="20"/>
        </w:rPr>
        <w:t>per</w:t>
      </w:r>
      <w:r w:rsidR="00FF41A0">
        <w:rPr>
          <w:sz w:val="20"/>
          <w:szCs w:val="20"/>
        </w:rPr>
        <w:t xml:space="preserve"> </w:t>
      </w:r>
      <w:r w:rsidR="00323457" w:rsidRPr="0059638B">
        <w:rPr>
          <w:sz w:val="20"/>
          <w:szCs w:val="20"/>
        </w:rPr>
        <w:t>cent</w:t>
      </w:r>
      <w:r w:rsidR="00FF41A0">
        <w:rPr>
          <w:sz w:val="20"/>
          <w:szCs w:val="20"/>
        </w:rPr>
        <w:t xml:space="preserve"> </w:t>
      </w:r>
      <w:r w:rsidR="00323457" w:rsidRPr="0059638B">
        <w:rPr>
          <w:sz w:val="20"/>
          <w:szCs w:val="20"/>
        </w:rPr>
        <w:t>quota</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Assembly.</w:t>
      </w:r>
    </w:p>
    <w:p w14:paraId="37F9767E" w14:textId="2736ADAD" w:rsidR="00323457" w:rsidRPr="0059638B" w:rsidRDefault="00323457" w:rsidP="00323457">
      <w:pPr>
        <w:pStyle w:val="H23G"/>
        <w:ind w:left="705" w:firstLine="0"/>
        <w:rPr>
          <w:sz w:val="20"/>
          <w:szCs w:val="20"/>
        </w:rPr>
      </w:pPr>
      <w:r w:rsidRPr="0059638B">
        <w:rPr>
          <w:sz w:val="20"/>
          <w:szCs w:val="20"/>
        </w:rPr>
        <w:t>4.</w:t>
      </w:r>
      <w:r w:rsidRPr="0059638B">
        <w:rPr>
          <w:sz w:val="20"/>
          <w:szCs w:val="20"/>
        </w:rPr>
        <w:tab/>
        <w:t>Concluding</w:t>
      </w:r>
      <w:r w:rsidR="00FF41A0">
        <w:rPr>
          <w:sz w:val="20"/>
          <w:szCs w:val="20"/>
        </w:rPr>
        <w:t xml:space="preserve"> </w:t>
      </w:r>
      <w:r w:rsidRPr="0059638B">
        <w:rPr>
          <w:sz w:val="20"/>
          <w:szCs w:val="20"/>
        </w:rPr>
        <w:t>remarks</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State</w:t>
      </w:r>
      <w:r w:rsidR="00FF41A0">
        <w:rPr>
          <w:sz w:val="20"/>
          <w:szCs w:val="20"/>
        </w:rPr>
        <w:t xml:space="preserve"> </w:t>
      </w:r>
      <w:r w:rsidRPr="0059638B">
        <w:rPr>
          <w:sz w:val="20"/>
          <w:szCs w:val="20"/>
        </w:rPr>
        <w:t>under</w:t>
      </w:r>
      <w:r w:rsidR="00FF41A0">
        <w:rPr>
          <w:sz w:val="20"/>
          <w:szCs w:val="20"/>
        </w:rPr>
        <w:t xml:space="preserve"> </w:t>
      </w:r>
      <w:r w:rsidRPr="0059638B">
        <w:rPr>
          <w:sz w:val="20"/>
          <w:szCs w:val="20"/>
        </w:rPr>
        <w:t>review</w:t>
      </w:r>
    </w:p>
    <w:p w14:paraId="7843806F" w14:textId="6EA41425" w:rsidR="00323457" w:rsidRPr="0059638B" w:rsidRDefault="00972F1E" w:rsidP="00323457">
      <w:pPr>
        <w:pStyle w:val="SingleTxtG"/>
        <w:rPr>
          <w:sz w:val="20"/>
          <w:szCs w:val="20"/>
        </w:rPr>
      </w:pPr>
      <w:r>
        <w:rPr>
          <w:sz w:val="20"/>
          <w:szCs w:val="20"/>
        </w:rPr>
        <w:t>780</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President</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based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information</w:t>
      </w:r>
      <w:r w:rsidR="00FF41A0">
        <w:rPr>
          <w:sz w:val="20"/>
          <w:szCs w:val="20"/>
        </w:rPr>
        <w:t xml:space="preserve"> </w:t>
      </w:r>
      <w:r w:rsidR="00323457" w:rsidRPr="0059638B">
        <w:rPr>
          <w:sz w:val="20"/>
          <w:szCs w:val="20"/>
        </w:rPr>
        <w:t>provided,</w:t>
      </w:r>
      <w:r w:rsidR="00FF41A0">
        <w:rPr>
          <w:sz w:val="20"/>
          <w:szCs w:val="20"/>
        </w:rPr>
        <w:t xml:space="preserve"> </w:t>
      </w:r>
      <w:r w:rsidR="00323457" w:rsidRPr="0059638B">
        <w:rPr>
          <w:sz w:val="20"/>
          <w:szCs w:val="20"/>
        </w:rPr>
        <w:t>out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124</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received,</w:t>
      </w:r>
      <w:r w:rsidR="00FF41A0">
        <w:rPr>
          <w:sz w:val="20"/>
          <w:szCs w:val="20"/>
        </w:rPr>
        <w:t xml:space="preserve"> </w:t>
      </w:r>
      <w:r w:rsidR="00323457" w:rsidRPr="0059638B">
        <w:rPr>
          <w:sz w:val="20"/>
          <w:szCs w:val="20"/>
        </w:rPr>
        <w:t>100</w:t>
      </w:r>
      <w:r w:rsidR="00FF41A0">
        <w:rPr>
          <w:sz w:val="20"/>
          <w:szCs w:val="20"/>
        </w:rPr>
        <w:t xml:space="preserve"> </w:t>
      </w:r>
      <w:r w:rsidR="00323457" w:rsidRPr="0059638B">
        <w:rPr>
          <w:sz w:val="20"/>
          <w:szCs w:val="20"/>
        </w:rPr>
        <w:t>enjoyed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support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24</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noted.</w:t>
      </w:r>
    </w:p>
    <w:p w14:paraId="1C091708" w14:textId="3F9F5732" w:rsidR="00323457" w:rsidRPr="0059638B" w:rsidRDefault="00972F1E" w:rsidP="00323457">
      <w:pPr>
        <w:pStyle w:val="SingleTxtG"/>
        <w:rPr>
          <w:b/>
          <w:bCs/>
          <w:sz w:val="20"/>
          <w:szCs w:val="20"/>
        </w:rPr>
      </w:pPr>
      <w:r>
        <w:rPr>
          <w:sz w:val="20"/>
          <w:szCs w:val="20"/>
        </w:rPr>
        <w:t>781</w:t>
      </w:r>
      <w:r w:rsidR="00D7475F">
        <w:rPr>
          <w:sz w:val="20"/>
          <w:szCs w:val="20"/>
        </w:rPr>
        <w:t>.</w:t>
      </w:r>
      <w:r w:rsidR="00D7475F">
        <w:rPr>
          <w:sz w:val="20"/>
          <w:szCs w:val="20"/>
        </w:rPr>
        <w:tab/>
      </w:r>
      <w:r w:rsidR="00323457" w:rsidRPr="0059638B">
        <w:rPr>
          <w:sz w:val="20"/>
          <w:szCs w:val="20"/>
        </w:rPr>
        <w:t>In</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concluding</w:t>
      </w:r>
      <w:r w:rsidR="00FF41A0">
        <w:rPr>
          <w:sz w:val="20"/>
          <w:szCs w:val="20"/>
        </w:rPr>
        <w:t xml:space="preserve"> </w:t>
      </w:r>
      <w:r w:rsidR="00323457" w:rsidRPr="0059638B">
        <w:rPr>
          <w:sz w:val="20"/>
          <w:szCs w:val="20"/>
        </w:rPr>
        <w:t>remarks,</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thanked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delegations</w:t>
      </w:r>
      <w:r w:rsidR="00FF41A0">
        <w:rPr>
          <w:sz w:val="20"/>
          <w:szCs w:val="20"/>
        </w:rPr>
        <w:t xml:space="preserve"> </w:t>
      </w:r>
      <w:r w:rsidR="00323457" w:rsidRPr="0059638B">
        <w:rPr>
          <w:sz w:val="20"/>
          <w:szCs w:val="20"/>
        </w:rPr>
        <w:t>present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taken</w:t>
      </w:r>
      <w:r w:rsidR="00FF41A0">
        <w:rPr>
          <w:sz w:val="20"/>
          <w:szCs w:val="20"/>
        </w:rPr>
        <w:t xml:space="preserve"> </w:t>
      </w:r>
      <w:r w:rsidR="00323457" w:rsidRPr="0059638B">
        <w:rPr>
          <w:sz w:val="20"/>
          <w:szCs w:val="20"/>
        </w:rPr>
        <w:t>note</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great</w:t>
      </w:r>
      <w:r w:rsidR="00FF41A0">
        <w:rPr>
          <w:sz w:val="20"/>
          <w:szCs w:val="20"/>
        </w:rPr>
        <w:t xml:space="preserve"> </w:t>
      </w:r>
      <w:r w:rsidR="00323457" w:rsidRPr="0059638B">
        <w:rPr>
          <w:sz w:val="20"/>
          <w:szCs w:val="20"/>
        </w:rPr>
        <w:t>respect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their</w:t>
      </w:r>
      <w:r w:rsidR="00FF41A0">
        <w:rPr>
          <w:sz w:val="20"/>
          <w:szCs w:val="20"/>
        </w:rPr>
        <w:t xml:space="preserve"> </w:t>
      </w:r>
      <w:r w:rsidR="00323457" w:rsidRPr="0059638B">
        <w:rPr>
          <w:sz w:val="20"/>
          <w:szCs w:val="20"/>
        </w:rPr>
        <w:t>constructive</w:t>
      </w:r>
      <w:r w:rsidR="00FF41A0">
        <w:rPr>
          <w:sz w:val="20"/>
          <w:szCs w:val="20"/>
        </w:rPr>
        <w:t xml:space="preserve"> </w:t>
      </w:r>
      <w:r w:rsidR="00323457" w:rsidRPr="0059638B">
        <w:rPr>
          <w:sz w:val="20"/>
          <w:szCs w:val="20"/>
        </w:rPr>
        <w:t>comments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consider</w:t>
      </w:r>
      <w:r w:rsidR="00FF41A0">
        <w:rPr>
          <w:sz w:val="20"/>
          <w:szCs w:val="20"/>
        </w:rPr>
        <w:t xml:space="preserve"> </w:t>
      </w:r>
      <w:r w:rsidR="00323457" w:rsidRPr="0059638B">
        <w:rPr>
          <w:sz w:val="20"/>
          <w:szCs w:val="20"/>
        </w:rPr>
        <w:t>them</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takes</w:t>
      </w:r>
      <w:r w:rsidR="00FF41A0">
        <w:rPr>
          <w:sz w:val="20"/>
          <w:szCs w:val="20"/>
        </w:rPr>
        <w:t xml:space="preserve"> </w:t>
      </w:r>
      <w:r w:rsidR="00323457" w:rsidRPr="0059638B">
        <w:rPr>
          <w:sz w:val="20"/>
          <w:szCs w:val="20"/>
        </w:rPr>
        <w:t>further</w:t>
      </w:r>
      <w:r w:rsidR="00FF41A0">
        <w:rPr>
          <w:sz w:val="20"/>
          <w:szCs w:val="20"/>
        </w:rPr>
        <w:t xml:space="preserve"> </w:t>
      </w:r>
      <w:r w:rsidR="00323457" w:rsidRPr="0059638B">
        <w:rPr>
          <w:sz w:val="20"/>
          <w:szCs w:val="20"/>
        </w:rPr>
        <w:t>action</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Belize</w:t>
      </w:r>
      <w:r w:rsidR="00FF41A0">
        <w:rPr>
          <w:sz w:val="20"/>
          <w:szCs w:val="20"/>
        </w:rPr>
        <w:t xml:space="preserve"> </w:t>
      </w:r>
      <w:r w:rsidR="00323457" w:rsidRPr="0059638B">
        <w:rPr>
          <w:sz w:val="20"/>
          <w:szCs w:val="20"/>
        </w:rPr>
        <w:t>thanked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Council</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opportunity</w:t>
      </w:r>
      <w:r w:rsidR="00FF41A0">
        <w:rPr>
          <w:sz w:val="20"/>
          <w:szCs w:val="20"/>
        </w:rPr>
        <w:t xml:space="preserve"> </w:t>
      </w:r>
      <w:r w:rsidR="00323457" w:rsidRPr="0059638B">
        <w:rPr>
          <w:sz w:val="20"/>
          <w:szCs w:val="20"/>
        </w:rPr>
        <w:t>provided</w:t>
      </w:r>
      <w:r w:rsidR="00FF41A0">
        <w:rPr>
          <w:sz w:val="20"/>
          <w:szCs w:val="20"/>
        </w:rPr>
        <w:t xml:space="preserve"> </w:t>
      </w:r>
      <w:r w:rsidR="00323457" w:rsidRPr="0059638B">
        <w:rPr>
          <w:sz w:val="20"/>
          <w:szCs w:val="20"/>
        </w:rPr>
        <w:t>through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indicated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looked</w:t>
      </w:r>
      <w:r w:rsidR="00FF41A0">
        <w:rPr>
          <w:sz w:val="20"/>
          <w:szCs w:val="20"/>
        </w:rPr>
        <w:t xml:space="preserve"> </w:t>
      </w:r>
      <w:r w:rsidR="00323457" w:rsidRPr="0059638B">
        <w:rPr>
          <w:sz w:val="20"/>
          <w:szCs w:val="20"/>
        </w:rPr>
        <w:t>forward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next</w:t>
      </w:r>
      <w:r w:rsidR="00FF41A0">
        <w:rPr>
          <w:sz w:val="20"/>
          <w:szCs w:val="20"/>
        </w:rPr>
        <w:t xml:space="preserve"> </w:t>
      </w:r>
      <w:r w:rsidR="00323457" w:rsidRPr="0059638B">
        <w:rPr>
          <w:sz w:val="20"/>
          <w:szCs w:val="20"/>
        </w:rPr>
        <w:t>constructive</w:t>
      </w:r>
      <w:r w:rsidR="00FF41A0">
        <w:rPr>
          <w:sz w:val="20"/>
          <w:szCs w:val="20"/>
        </w:rPr>
        <w:t xml:space="preserve"> </w:t>
      </w:r>
      <w:r w:rsidR="00323457" w:rsidRPr="0059638B">
        <w:rPr>
          <w:sz w:val="20"/>
          <w:szCs w:val="20"/>
        </w:rPr>
        <w:t>engagement</w:t>
      </w:r>
      <w:r w:rsidR="00FF41A0">
        <w:rPr>
          <w:sz w:val="20"/>
          <w:szCs w:val="20"/>
        </w:rPr>
        <w:t xml:space="preserve"> </w:t>
      </w:r>
      <w:r w:rsidR="00323457" w:rsidRPr="0059638B">
        <w:rPr>
          <w:sz w:val="20"/>
          <w:szCs w:val="20"/>
        </w:rPr>
        <w:t>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Council.</w:t>
      </w:r>
    </w:p>
    <w:p w14:paraId="23C55F48" w14:textId="77777777" w:rsidR="00323457" w:rsidRPr="0059638B" w:rsidRDefault="00323457" w:rsidP="00323457">
      <w:pPr>
        <w:pStyle w:val="SingleTxtG"/>
        <w:rPr>
          <w:b/>
          <w:bCs/>
          <w:sz w:val="20"/>
          <w:szCs w:val="20"/>
        </w:rPr>
      </w:pPr>
      <w:r w:rsidRPr="0059638B">
        <w:rPr>
          <w:b/>
          <w:bCs/>
          <w:sz w:val="20"/>
          <w:szCs w:val="20"/>
        </w:rPr>
        <w:t>Chad</w:t>
      </w:r>
    </w:p>
    <w:p w14:paraId="17FD2D4F" w14:textId="3824FA90" w:rsidR="00D1034B" w:rsidRDefault="00972F1E" w:rsidP="00D1034B">
      <w:pPr>
        <w:pStyle w:val="SingleTxtG"/>
        <w:rPr>
          <w:sz w:val="20"/>
          <w:szCs w:val="20"/>
        </w:rPr>
      </w:pPr>
      <w:r>
        <w:rPr>
          <w:sz w:val="20"/>
          <w:szCs w:val="20"/>
        </w:rPr>
        <w:t>782</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Chad</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held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13</w:t>
      </w:r>
      <w:r w:rsidR="00FF41A0">
        <w:rPr>
          <w:sz w:val="20"/>
          <w:szCs w:val="20"/>
        </w:rPr>
        <w:t xml:space="preserve"> </w:t>
      </w:r>
      <w:r w:rsidR="00323457" w:rsidRPr="0059638B">
        <w:rPr>
          <w:sz w:val="20"/>
          <w:szCs w:val="20"/>
        </w:rPr>
        <w:t>November</w:t>
      </w:r>
      <w:r w:rsidR="00FF41A0">
        <w:rPr>
          <w:sz w:val="20"/>
          <w:szCs w:val="20"/>
        </w:rPr>
        <w:t xml:space="preserve"> </w:t>
      </w:r>
      <w:r w:rsidR="00323457" w:rsidRPr="0059638B">
        <w:rPr>
          <w:sz w:val="20"/>
          <w:szCs w:val="20"/>
        </w:rPr>
        <w:t>2018</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conformity</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relevant</w:t>
      </w:r>
      <w:r w:rsidR="00FF41A0">
        <w:rPr>
          <w:sz w:val="20"/>
          <w:szCs w:val="20"/>
        </w:rPr>
        <w:t xml:space="preserve"> </w:t>
      </w:r>
      <w:r w:rsidR="00323457" w:rsidRPr="0059638B">
        <w:rPr>
          <w:sz w:val="20"/>
          <w:szCs w:val="20"/>
        </w:rPr>
        <w:t>provisions</w:t>
      </w:r>
      <w:r w:rsidR="00FF41A0">
        <w:rPr>
          <w:sz w:val="20"/>
          <w:szCs w:val="20"/>
        </w:rPr>
        <w:t xml:space="preserve"> </w:t>
      </w:r>
      <w:r w:rsidR="00323457" w:rsidRPr="0059638B">
        <w:rPr>
          <w:sz w:val="20"/>
          <w:szCs w:val="20"/>
        </w:rPr>
        <w:t>contained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relevant</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Council</w:t>
      </w:r>
      <w:r w:rsidR="00FF41A0">
        <w:rPr>
          <w:sz w:val="20"/>
          <w:szCs w:val="20"/>
        </w:rPr>
        <w:t xml:space="preserve"> </w:t>
      </w:r>
      <w:r w:rsidR="00323457" w:rsidRPr="0059638B">
        <w:rPr>
          <w:sz w:val="20"/>
          <w:szCs w:val="20"/>
        </w:rPr>
        <w:t>resolutions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decisions,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based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following</w:t>
      </w:r>
      <w:r w:rsidR="00FF41A0">
        <w:rPr>
          <w:sz w:val="20"/>
          <w:szCs w:val="20"/>
        </w:rPr>
        <w:t xml:space="preserve"> </w:t>
      </w:r>
      <w:r w:rsidR="00323457" w:rsidRPr="0059638B">
        <w:rPr>
          <w:sz w:val="20"/>
          <w:szCs w:val="20"/>
        </w:rPr>
        <w:t>documents:</w:t>
      </w:r>
      <w:r w:rsidR="00FF41A0">
        <w:rPr>
          <w:sz w:val="20"/>
          <w:szCs w:val="20"/>
        </w:rPr>
        <w:t xml:space="preserve"> </w:t>
      </w:r>
    </w:p>
    <w:p w14:paraId="1ED74732" w14:textId="2351E64F" w:rsidR="00323457" w:rsidRPr="0059638B" w:rsidRDefault="00323457" w:rsidP="00D1034B">
      <w:pPr>
        <w:pStyle w:val="SingleTxtG"/>
        <w:ind w:firstLine="555"/>
        <w:rPr>
          <w:sz w:val="20"/>
          <w:szCs w:val="20"/>
        </w:rPr>
      </w:pPr>
      <w:r w:rsidRPr="0059638B">
        <w:rPr>
          <w:sz w:val="20"/>
          <w:szCs w:val="20"/>
        </w:rPr>
        <w:t>(a)</w:t>
      </w:r>
      <w:r w:rsidRPr="0059638B">
        <w:rPr>
          <w:sz w:val="20"/>
          <w:szCs w:val="20"/>
        </w:rPr>
        <w:tab/>
        <w:t>The</w:t>
      </w:r>
      <w:r w:rsidR="00FF41A0">
        <w:rPr>
          <w:sz w:val="20"/>
          <w:szCs w:val="20"/>
        </w:rPr>
        <w:t xml:space="preserve"> </w:t>
      </w:r>
      <w:r w:rsidRPr="0059638B">
        <w:rPr>
          <w:sz w:val="20"/>
          <w:szCs w:val="20"/>
        </w:rPr>
        <w:t>national</w:t>
      </w:r>
      <w:r w:rsidR="00FF41A0">
        <w:rPr>
          <w:sz w:val="20"/>
          <w:szCs w:val="20"/>
        </w:rPr>
        <w:t xml:space="preserve"> </w:t>
      </w:r>
      <w:r w:rsidRPr="0059638B">
        <w:rPr>
          <w:sz w:val="20"/>
          <w:szCs w:val="20"/>
        </w:rPr>
        <w:t>report</w:t>
      </w:r>
      <w:r w:rsidR="00FF41A0">
        <w:rPr>
          <w:sz w:val="20"/>
          <w:szCs w:val="20"/>
        </w:rPr>
        <w:t xml:space="preserve"> </w:t>
      </w:r>
      <w:r w:rsidRPr="0059638B">
        <w:rPr>
          <w:sz w:val="20"/>
          <w:szCs w:val="20"/>
        </w:rPr>
        <w:t>submitted</w:t>
      </w:r>
      <w:r w:rsidR="00FF41A0">
        <w:rPr>
          <w:sz w:val="20"/>
          <w:szCs w:val="20"/>
        </w:rPr>
        <w:t xml:space="preserve"> </w:t>
      </w:r>
      <w:r w:rsidRPr="0059638B">
        <w:rPr>
          <w:sz w:val="20"/>
          <w:szCs w:val="20"/>
        </w:rPr>
        <w:t>by</w:t>
      </w:r>
      <w:r w:rsidR="00FF41A0">
        <w:rPr>
          <w:sz w:val="20"/>
          <w:szCs w:val="20"/>
        </w:rPr>
        <w:t xml:space="preserve"> </w:t>
      </w:r>
      <w:r w:rsidRPr="0059638B">
        <w:rPr>
          <w:sz w:val="20"/>
          <w:szCs w:val="20"/>
        </w:rPr>
        <w:t>Chad</w:t>
      </w:r>
      <w:r w:rsidR="00FF41A0">
        <w:rPr>
          <w:sz w:val="20"/>
          <w:szCs w:val="20"/>
        </w:rPr>
        <w:t xml:space="preserve"> </w:t>
      </w:r>
      <w:r w:rsidRPr="0059638B">
        <w:rPr>
          <w:sz w:val="20"/>
          <w:szCs w:val="20"/>
        </w:rPr>
        <w:t>in</w:t>
      </w:r>
      <w:r w:rsidR="00FF41A0">
        <w:rPr>
          <w:sz w:val="20"/>
          <w:szCs w:val="20"/>
        </w:rPr>
        <w:t xml:space="preserve"> </w:t>
      </w:r>
      <w:r w:rsidRPr="0059638B">
        <w:rPr>
          <w:sz w:val="20"/>
          <w:szCs w:val="20"/>
        </w:rPr>
        <w:t>accordance</w:t>
      </w:r>
      <w:r w:rsidR="00FF41A0">
        <w:rPr>
          <w:sz w:val="20"/>
          <w:szCs w:val="20"/>
        </w:rPr>
        <w:t xml:space="preserve"> </w:t>
      </w:r>
      <w:r w:rsidRPr="0059638B">
        <w:rPr>
          <w:sz w:val="20"/>
          <w:szCs w:val="20"/>
        </w:rPr>
        <w:t>with</w:t>
      </w:r>
      <w:r w:rsidR="00FF41A0">
        <w:rPr>
          <w:sz w:val="20"/>
          <w:szCs w:val="20"/>
        </w:rPr>
        <w:t xml:space="preserve"> </w:t>
      </w:r>
      <w:r w:rsidRPr="0059638B">
        <w:rPr>
          <w:sz w:val="20"/>
          <w:szCs w:val="20"/>
        </w:rPr>
        <w:t>paragraph</w:t>
      </w:r>
      <w:r w:rsidR="00FF41A0">
        <w:rPr>
          <w:sz w:val="20"/>
          <w:szCs w:val="20"/>
        </w:rPr>
        <w:t xml:space="preserve"> </w:t>
      </w:r>
      <w:r w:rsidRPr="0059638B">
        <w:rPr>
          <w:sz w:val="20"/>
          <w:szCs w:val="20"/>
        </w:rPr>
        <w:t>15</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annex</w:t>
      </w:r>
      <w:r w:rsidR="00FF41A0">
        <w:rPr>
          <w:sz w:val="20"/>
          <w:szCs w:val="20"/>
        </w:rPr>
        <w:t xml:space="preserve"> </w:t>
      </w:r>
      <w:r w:rsidRPr="0059638B">
        <w:rPr>
          <w:sz w:val="20"/>
          <w:szCs w:val="20"/>
        </w:rPr>
        <w:t>to</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resolution</w:t>
      </w:r>
      <w:r w:rsidR="00FF41A0">
        <w:rPr>
          <w:sz w:val="20"/>
          <w:szCs w:val="20"/>
        </w:rPr>
        <w:t xml:space="preserve"> </w:t>
      </w:r>
      <w:r w:rsidRPr="0059638B">
        <w:rPr>
          <w:sz w:val="20"/>
          <w:szCs w:val="20"/>
        </w:rPr>
        <w:t>5/1</w:t>
      </w:r>
      <w:r w:rsidR="00FF41A0">
        <w:rPr>
          <w:sz w:val="20"/>
          <w:szCs w:val="20"/>
        </w:rPr>
        <w:t xml:space="preserve"> </w:t>
      </w:r>
      <w:r w:rsidRPr="0059638B">
        <w:rPr>
          <w:sz w:val="20"/>
          <w:szCs w:val="20"/>
        </w:rPr>
        <w:t>and</w:t>
      </w:r>
      <w:r w:rsidR="00FF41A0">
        <w:rPr>
          <w:sz w:val="20"/>
          <w:szCs w:val="20"/>
        </w:rPr>
        <w:t xml:space="preserve"> </w:t>
      </w:r>
      <w:r w:rsidRPr="0059638B">
        <w:rPr>
          <w:sz w:val="20"/>
          <w:szCs w:val="20"/>
        </w:rPr>
        <w:t>paragraph</w:t>
      </w:r>
      <w:r w:rsidR="00FF41A0">
        <w:rPr>
          <w:sz w:val="20"/>
          <w:szCs w:val="20"/>
        </w:rPr>
        <w:t xml:space="preserve"> </w:t>
      </w:r>
      <w:r w:rsidRPr="0059638B">
        <w:rPr>
          <w:sz w:val="20"/>
          <w:szCs w:val="20"/>
        </w:rPr>
        <w:t>5</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annex</w:t>
      </w:r>
      <w:r w:rsidR="00FF41A0">
        <w:rPr>
          <w:sz w:val="20"/>
          <w:szCs w:val="20"/>
        </w:rPr>
        <w:t xml:space="preserve"> </w:t>
      </w:r>
      <w:r w:rsidRPr="0059638B">
        <w:rPr>
          <w:sz w:val="20"/>
          <w:szCs w:val="20"/>
        </w:rPr>
        <w:t>to</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resolution</w:t>
      </w:r>
      <w:r w:rsidR="00FF41A0">
        <w:rPr>
          <w:sz w:val="20"/>
          <w:szCs w:val="20"/>
        </w:rPr>
        <w:t xml:space="preserve"> </w:t>
      </w:r>
      <w:r w:rsidRPr="0059638B">
        <w:rPr>
          <w:sz w:val="20"/>
          <w:szCs w:val="20"/>
        </w:rPr>
        <w:t>16/21</w:t>
      </w:r>
      <w:r w:rsidR="00FF41A0">
        <w:rPr>
          <w:sz w:val="20"/>
          <w:szCs w:val="20"/>
        </w:rPr>
        <w:t xml:space="preserve"> </w:t>
      </w:r>
      <w:r w:rsidRPr="0059638B">
        <w:rPr>
          <w:sz w:val="20"/>
          <w:szCs w:val="20"/>
        </w:rPr>
        <w:t>(A/HRC/WG.6/31/TCD/1);</w:t>
      </w:r>
      <w:r w:rsidR="00FF41A0">
        <w:rPr>
          <w:sz w:val="20"/>
          <w:szCs w:val="20"/>
        </w:rPr>
        <w:t xml:space="preserve"> </w:t>
      </w:r>
    </w:p>
    <w:p w14:paraId="43D3136B" w14:textId="14562C3B" w:rsidR="00323457" w:rsidRPr="0059638B" w:rsidRDefault="00323457" w:rsidP="00D1034B">
      <w:pPr>
        <w:pStyle w:val="SingleTxtG"/>
        <w:ind w:firstLine="555"/>
        <w:rPr>
          <w:sz w:val="20"/>
          <w:szCs w:val="20"/>
        </w:rPr>
      </w:pPr>
      <w:r w:rsidRPr="0059638B">
        <w:rPr>
          <w:sz w:val="20"/>
          <w:szCs w:val="20"/>
        </w:rPr>
        <w:lastRenderedPageBreak/>
        <w:t>(b)</w:t>
      </w:r>
      <w:r w:rsidRPr="0059638B">
        <w:rPr>
          <w:sz w:val="20"/>
          <w:szCs w:val="20"/>
        </w:rPr>
        <w:tab/>
        <w:t>The</w:t>
      </w:r>
      <w:r w:rsidR="00FF41A0">
        <w:rPr>
          <w:sz w:val="20"/>
          <w:szCs w:val="20"/>
        </w:rPr>
        <w:t xml:space="preserve"> </w:t>
      </w:r>
      <w:r w:rsidRPr="0059638B">
        <w:rPr>
          <w:sz w:val="20"/>
          <w:szCs w:val="20"/>
        </w:rPr>
        <w:t>compilation</w:t>
      </w:r>
      <w:r w:rsidR="00FF41A0">
        <w:rPr>
          <w:sz w:val="20"/>
          <w:szCs w:val="20"/>
        </w:rPr>
        <w:t xml:space="preserve"> </w:t>
      </w:r>
      <w:r w:rsidRPr="0059638B">
        <w:rPr>
          <w:sz w:val="20"/>
          <w:szCs w:val="20"/>
        </w:rPr>
        <w:t>prepared</w:t>
      </w:r>
      <w:r w:rsidR="00FF41A0">
        <w:rPr>
          <w:sz w:val="20"/>
          <w:szCs w:val="20"/>
        </w:rPr>
        <w:t xml:space="preserve"> </w:t>
      </w:r>
      <w:r w:rsidRPr="0059638B">
        <w:rPr>
          <w:sz w:val="20"/>
          <w:szCs w:val="20"/>
        </w:rPr>
        <w:t>by</w:t>
      </w:r>
      <w:r w:rsidR="00FF41A0">
        <w:rPr>
          <w:sz w:val="20"/>
          <w:szCs w:val="20"/>
        </w:rPr>
        <w:t xml:space="preserve"> </w:t>
      </w:r>
      <w:r>
        <w:rPr>
          <w:sz w:val="20"/>
          <w:szCs w:val="20"/>
        </w:rPr>
        <w:t>the</w:t>
      </w:r>
      <w:r w:rsidR="00FF41A0">
        <w:rPr>
          <w:sz w:val="20"/>
          <w:szCs w:val="20"/>
        </w:rPr>
        <w:t xml:space="preserve"> </w:t>
      </w:r>
      <w:r w:rsidRPr="00D1034B">
        <w:rPr>
          <w:sz w:val="20"/>
          <w:szCs w:val="20"/>
        </w:rPr>
        <w:t>Office</w:t>
      </w:r>
      <w:r w:rsidR="00FF41A0" w:rsidRPr="00D1034B">
        <w:rPr>
          <w:sz w:val="20"/>
          <w:szCs w:val="20"/>
        </w:rPr>
        <w:t xml:space="preserve"> </w:t>
      </w:r>
      <w:r w:rsidRPr="00D1034B">
        <w:rPr>
          <w:sz w:val="20"/>
          <w:szCs w:val="20"/>
        </w:rPr>
        <w:t>of</w:t>
      </w:r>
      <w:r w:rsidR="00FF41A0" w:rsidRPr="00D1034B">
        <w:rPr>
          <w:sz w:val="20"/>
          <w:szCs w:val="20"/>
        </w:rPr>
        <w:t xml:space="preserve"> </w:t>
      </w:r>
      <w:r w:rsidRPr="00D1034B">
        <w:rPr>
          <w:sz w:val="20"/>
          <w:szCs w:val="20"/>
        </w:rPr>
        <w:t>the</w:t>
      </w:r>
      <w:r w:rsidR="00FF41A0" w:rsidRPr="00D1034B">
        <w:rPr>
          <w:sz w:val="20"/>
          <w:szCs w:val="20"/>
        </w:rPr>
        <w:t xml:space="preserve"> </w:t>
      </w:r>
      <w:r w:rsidRPr="00D1034B">
        <w:rPr>
          <w:sz w:val="20"/>
          <w:szCs w:val="20"/>
        </w:rPr>
        <w:t>United</w:t>
      </w:r>
      <w:r w:rsidR="00FF41A0" w:rsidRPr="00D1034B">
        <w:rPr>
          <w:sz w:val="20"/>
          <w:szCs w:val="20"/>
        </w:rPr>
        <w:t xml:space="preserve"> </w:t>
      </w:r>
      <w:r w:rsidRPr="00D1034B">
        <w:rPr>
          <w:sz w:val="20"/>
          <w:szCs w:val="20"/>
        </w:rPr>
        <w:t>Nations</w:t>
      </w:r>
      <w:r w:rsidR="00FF41A0" w:rsidRPr="00D1034B">
        <w:rPr>
          <w:sz w:val="20"/>
          <w:szCs w:val="20"/>
        </w:rPr>
        <w:t xml:space="preserve"> </w:t>
      </w:r>
      <w:r w:rsidRPr="00D1034B">
        <w:rPr>
          <w:sz w:val="20"/>
          <w:szCs w:val="20"/>
        </w:rPr>
        <w:t>High</w:t>
      </w:r>
      <w:r w:rsidR="00FF41A0" w:rsidRPr="00D1034B">
        <w:rPr>
          <w:sz w:val="20"/>
          <w:szCs w:val="20"/>
        </w:rPr>
        <w:t xml:space="preserve"> </w:t>
      </w:r>
      <w:r w:rsidRPr="00D1034B">
        <w:rPr>
          <w:sz w:val="20"/>
          <w:szCs w:val="20"/>
        </w:rPr>
        <w:t>Commissioner</w:t>
      </w:r>
      <w:r w:rsidR="00FF41A0" w:rsidRPr="00D1034B">
        <w:rPr>
          <w:sz w:val="20"/>
          <w:szCs w:val="20"/>
        </w:rPr>
        <w:t xml:space="preserve"> </w:t>
      </w:r>
      <w:r w:rsidRPr="00D1034B">
        <w:rPr>
          <w:sz w:val="20"/>
          <w:szCs w:val="20"/>
        </w:rPr>
        <w:t>for</w:t>
      </w:r>
      <w:r w:rsidR="00FF41A0" w:rsidRPr="00D1034B">
        <w:rPr>
          <w:sz w:val="20"/>
          <w:szCs w:val="20"/>
        </w:rPr>
        <w:t xml:space="preserve"> </w:t>
      </w:r>
      <w:r w:rsidRPr="00D1034B">
        <w:rPr>
          <w:sz w:val="20"/>
          <w:szCs w:val="20"/>
        </w:rPr>
        <w:t>Human</w:t>
      </w:r>
      <w:r w:rsidR="00FF41A0" w:rsidRPr="00D1034B">
        <w:rPr>
          <w:sz w:val="20"/>
          <w:szCs w:val="20"/>
        </w:rPr>
        <w:t xml:space="preserve"> </w:t>
      </w:r>
      <w:r w:rsidRPr="00D1034B">
        <w:rPr>
          <w:sz w:val="20"/>
          <w:szCs w:val="20"/>
        </w:rPr>
        <w:t>Rights</w:t>
      </w:r>
      <w:r w:rsidR="00FF41A0">
        <w:rPr>
          <w:sz w:val="20"/>
          <w:szCs w:val="20"/>
        </w:rPr>
        <w:t xml:space="preserve"> </w:t>
      </w:r>
      <w:r w:rsidRPr="0059638B">
        <w:rPr>
          <w:sz w:val="20"/>
          <w:szCs w:val="20"/>
        </w:rPr>
        <w:t>in</w:t>
      </w:r>
      <w:r w:rsidR="00FF41A0">
        <w:rPr>
          <w:sz w:val="20"/>
          <w:szCs w:val="20"/>
        </w:rPr>
        <w:t xml:space="preserve"> </w:t>
      </w:r>
      <w:r w:rsidRPr="0059638B">
        <w:rPr>
          <w:sz w:val="20"/>
          <w:szCs w:val="20"/>
        </w:rPr>
        <w:t>accordance</w:t>
      </w:r>
      <w:r w:rsidR="00FF41A0">
        <w:rPr>
          <w:sz w:val="20"/>
          <w:szCs w:val="20"/>
        </w:rPr>
        <w:t xml:space="preserve"> </w:t>
      </w:r>
      <w:r w:rsidRPr="0059638B">
        <w:rPr>
          <w:sz w:val="20"/>
          <w:szCs w:val="20"/>
        </w:rPr>
        <w:t>with</w:t>
      </w:r>
      <w:r w:rsidR="00FF41A0">
        <w:rPr>
          <w:sz w:val="20"/>
          <w:szCs w:val="20"/>
        </w:rPr>
        <w:t xml:space="preserve"> </w:t>
      </w:r>
      <w:r w:rsidRPr="0059638B">
        <w:rPr>
          <w:sz w:val="20"/>
          <w:szCs w:val="20"/>
        </w:rPr>
        <w:t>paragraph</w:t>
      </w:r>
      <w:r w:rsidR="00FF41A0">
        <w:rPr>
          <w:sz w:val="20"/>
          <w:szCs w:val="20"/>
        </w:rPr>
        <w:t xml:space="preserve"> </w:t>
      </w:r>
      <w:r w:rsidRPr="0059638B">
        <w:rPr>
          <w:sz w:val="20"/>
          <w:szCs w:val="20"/>
        </w:rPr>
        <w:t>15</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annex</w:t>
      </w:r>
      <w:r w:rsidR="00FF41A0">
        <w:rPr>
          <w:sz w:val="20"/>
          <w:szCs w:val="20"/>
        </w:rPr>
        <w:t xml:space="preserve"> </w:t>
      </w:r>
      <w:r w:rsidRPr="0059638B">
        <w:rPr>
          <w:sz w:val="20"/>
          <w:szCs w:val="20"/>
        </w:rPr>
        <w:t>to</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resolution</w:t>
      </w:r>
      <w:r w:rsidR="00FF41A0">
        <w:rPr>
          <w:sz w:val="20"/>
          <w:szCs w:val="20"/>
        </w:rPr>
        <w:t xml:space="preserve"> </w:t>
      </w:r>
      <w:r w:rsidRPr="0059638B">
        <w:rPr>
          <w:sz w:val="20"/>
          <w:szCs w:val="20"/>
        </w:rPr>
        <w:t>5/1</w:t>
      </w:r>
      <w:r w:rsidR="00FF41A0">
        <w:rPr>
          <w:sz w:val="20"/>
          <w:szCs w:val="20"/>
        </w:rPr>
        <w:t xml:space="preserve"> </w:t>
      </w:r>
      <w:r w:rsidRPr="0059638B">
        <w:rPr>
          <w:sz w:val="20"/>
          <w:szCs w:val="20"/>
        </w:rPr>
        <w:t>and</w:t>
      </w:r>
      <w:r w:rsidR="00FF41A0">
        <w:rPr>
          <w:sz w:val="20"/>
          <w:szCs w:val="20"/>
        </w:rPr>
        <w:t xml:space="preserve"> </w:t>
      </w:r>
      <w:r w:rsidRPr="0059638B">
        <w:rPr>
          <w:sz w:val="20"/>
          <w:szCs w:val="20"/>
        </w:rPr>
        <w:t>paragraph</w:t>
      </w:r>
      <w:r w:rsidR="00FF41A0">
        <w:rPr>
          <w:sz w:val="20"/>
          <w:szCs w:val="20"/>
        </w:rPr>
        <w:t xml:space="preserve"> </w:t>
      </w:r>
      <w:r w:rsidRPr="0059638B">
        <w:rPr>
          <w:sz w:val="20"/>
          <w:szCs w:val="20"/>
        </w:rPr>
        <w:t>5</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annex</w:t>
      </w:r>
      <w:r w:rsidR="00FF41A0">
        <w:rPr>
          <w:sz w:val="20"/>
          <w:szCs w:val="20"/>
        </w:rPr>
        <w:t xml:space="preserve"> </w:t>
      </w:r>
      <w:r w:rsidRPr="0059638B">
        <w:rPr>
          <w:sz w:val="20"/>
          <w:szCs w:val="20"/>
        </w:rPr>
        <w:t>to</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resolution</w:t>
      </w:r>
      <w:r w:rsidR="00FF41A0">
        <w:rPr>
          <w:sz w:val="20"/>
          <w:szCs w:val="20"/>
        </w:rPr>
        <w:t xml:space="preserve"> </w:t>
      </w:r>
      <w:r w:rsidRPr="0059638B">
        <w:rPr>
          <w:sz w:val="20"/>
          <w:szCs w:val="20"/>
        </w:rPr>
        <w:t>16/21</w:t>
      </w:r>
      <w:r w:rsidR="00FF41A0">
        <w:rPr>
          <w:sz w:val="20"/>
          <w:szCs w:val="20"/>
        </w:rPr>
        <w:t xml:space="preserve"> </w:t>
      </w:r>
      <w:r w:rsidRPr="0059638B">
        <w:rPr>
          <w:sz w:val="20"/>
          <w:szCs w:val="20"/>
        </w:rPr>
        <w:t>(A/HRC/WG.6/31/TCD/2);</w:t>
      </w:r>
      <w:r w:rsidR="00FF41A0">
        <w:rPr>
          <w:sz w:val="20"/>
          <w:szCs w:val="20"/>
        </w:rPr>
        <w:t xml:space="preserve"> </w:t>
      </w:r>
    </w:p>
    <w:p w14:paraId="139CC9F0" w14:textId="1E25E3C8" w:rsidR="00323457" w:rsidRPr="0059638B" w:rsidRDefault="00323457" w:rsidP="00D1034B">
      <w:pPr>
        <w:pStyle w:val="SingleTxtG"/>
        <w:ind w:firstLine="555"/>
        <w:rPr>
          <w:sz w:val="20"/>
          <w:szCs w:val="20"/>
        </w:rPr>
      </w:pPr>
      <w:r w:rsidRPr="0059638B">
        <w:rPr>
          <w:sz w:val="20"/>
          <w:szCs w:val="20"/>
        </w:rPr>
        <w:t>(c)</w:t>
      </w:r>
      <w:r w:rsidRPr="0059638B">
        <w:rPr>
          <w:sz w:val="20"/>
          <w:szCs w:val="20"/>
        </w:rPr>
        <w:tab/>
        <w:t>The</w:t>
      </w:r>
      <w:r w:rsidR="00FF41A0">
        <w:rPr>
          <w:sz w:val="20"/>
          <w:szCs w:val="20"/>
        </w:rPr>
        <w:t xml:space="preserve"> </w:t>
      </w:r>
      <w:r w:rsidRPr="0059638B">
        <w:rPr>
          <w:sz w:val="20"/>
          <w:szCs w:val="20"/>
        </w:rPr>
        <w:t>summary</w:t>
      </w:r>
      <w:r w:rsidR="00FF41A0">
        <w:rPr>
          <w:sz w:val="20"/>
          <w:szCs w:val="20"/>
        </w:rPr>
        <w:t xml:space="preserve"> </w:t>
      </w:r>
      <w:r w:rsidRPr="0059638B">
        <w:rPr>
          <w:sz w:val="20"/>
          <w:szCs w:val="20"/>
        </w:rPr>
        <w:t>prepared</w:t>
      </w:r>
      <w:r w:rsidR="00FF41A0">
        <w:rPr>
          <w:sz w:val="20"/>
          <w:szCs w:val="20"/>
        </w:rPr>
        <w:t xml:space="preserve"> </w:t>
      </w:r>
      <w:r w:rsidRPr="0059638B">
        <w:rPr>
          <w:sz w:val="20"/>
          <w:szCs w:val="20"/>
        </w:rPr>
        <w:t>by</w:t>
      </w:r>
      <w:r w:rsidR="00FF41A0">
        <w:rPr>
          <w:sz w:val="20"/>
          <w:szCs w:val="20"/>
        </w:rPr>
        <w:t xml:space="preserve"> </w:t>
      </w:r>
      <w:r>
        <w:rPr>
          <w:sz w:val="20"/>
          <w:szCs w:val="20"/>
        </w:rPr>
        <w:t>the</w:t>
      </w:r>
      <w:r w:rsidR="00FF41A0">
        <w:rPr>
          <w:sz w:val="20"/>
          <w:szCs w:val="20"/>
        </w:rPr>
        <w:t xml:space="preserve"> </w:t>
      </w:r>
      <w:r w:rsidRPr="00D1034B">
        <w:rPr>
          <w:sz w:val="20"/>
          <w:szCs w:val="20"/>
        </w:rPr>
        <w:t>Office</w:t>
      </w:r>
      <w:r w:rsidR="00FF41A0" w:rsidRPr="00D1034B">
        <w:rPr>
          <w:sz w:val="20"/>
          <w:szCs w:val="20"/>
        </w:rPr>
        <w:t xml:space="preserve"> </w:t>
      </w:r>
      <w:r w:rsidRPr="00D1034B">
        <w:rPr>
          <w:sz w:val="20"/>
          <w:szCs w:val="20"/>
        </w:rPr>
        <w:t>of</w:t>
      </w:r>
      <w:r w:rsidR="00FF41A0" w:rsidRPr="00D1034B">
        <w:rPr>
          <w:sz w:val="20"/>
          <w:szCs w:val="20"/>
        </w:rPr>
        <w:t xml:space="preserve"> </w:t>
      </w:r>
      <w:r w:rsidRPr="00D1034B">
        <w:rPr>
          <w:sz w:val="20"/>
          <w:szCs w:val="20"/>
        </w:rPr>
        <w:t>the</w:t>
      </w:r>
      <w:r w:rsidR="00FF41A0" w:rsidRPr="00D1034B">
        <w:rPr>
          <w:sz w:val="20"/>
          <w:szCs w:val="20"/>
        </w:rPr>
        <w:t xml:space="preserve"> </w:t>
      </w:r>
      <w:r w:rsidRPr="00D1034B">
        <w:rPr>
          <w:sz w:val="20"/>
          <w:szCs w:val="20"/>
        </w:rPr>
        <w:t>United</w:t>
      </w:r>
      <w:r w:rsidR="00FF41A0" w:rsidRPr="00D1034B">
        <w:rPr>
          <w:sz w:val="20"/>
          <w:szCs w:val="20"/>
        </w:rPr>
        <w:t xml:space="preserve"> </w:t>
      </w:r>
      <w:r w:rsidRPr="00D1034B">
        <w:rPr>
          <w:sz w:val="20"/>
          <w:szCs w:val="20"/>
        </w:rPr>
        <w:t>Nations</w:t>
      </w:r>
      <w:r w:rsidR="00FF41A0" w:rsidRPr="00D1034B">
        <w:rPr>
          <w:sz w:val="20"/>
          <w:szCs w:val="20"/>
        </w:rPr>
        <w:t xml:space="preserve"> </w:t>
      </w:r>
      <w:r w:rsidRPr="00D1034B">
        <w:rPr>
          <w:sz w:val="20"/>
          <w:szCs w:val="20"/>
        </w:rPr>
        <w:t>High</w:t>
      </w:r>
      <w:r w:rsidR="00FF41A0" w:rsidRPr="00D1034B">
        <w:rPr>
          <w:sz w:val="20"/>
          <w:szCs w:val="20"/>
        </w:rPr>
        <w:t xml:space="preserve"> </w:t>
      </w:r>
      <w:r w:rsidRPr="00D1034B">
        <w:rPr>
          <w:sz w:val="20"/>
          <w:szCs w:val="20"/>
        </w:rPr>
        <w:t>Commissioner</w:t>
      </w:r>
      <w:r w:rsidR="00FF41A0" w:rsidRPr="00D1034B">
        <w:rPr>
          <w:sz w:val="20"/>
          <w:szCs w:val="20"/>
        </w:rPr>
        <w:t xml:space="preserve"> </w:t>
      </w:r>
      <w:r w:rsidRPr="00D1034B">
        <w:rPr>
          <w:sz w:val="20"/>
          <w:szCs w:val="20"/>
        </w:rPr>
        <w:t>for</w:t>
      </w:r>
      <w:r w:rsidR="00FF41A0" w:rsidRPr="00D1034B">
        <w:rPr>
          <w:sz w:val="20"/>
          <w:szCs w:val="20"/>
        </w:rPr>
        <w:t xml:space="preserve"> </w:t>
      </w:r>
      <w:r w:rsidRPr="00D1034B">
        <w:rPr>
          <w:sz w:val="20"/>
          <w:szCs w:val="20"/>
        </w:rPr>
        <w:t>Human</w:t>
      </w:r>
      <w:r w:rsidR="00FF41A0" w:rsidRPr="00D1034B">
        <w:rPr>
          <w:sz w:val="20"/>
          <w:szCs w:val="20"/>
        </w:rPr>
        <w:t xml:space="preserve"> </w:t>
      </w:r>
      <w:r w:rsidRPr="00D1034B">
        <w:rPr>
          <w:sz w:val="20"/>
          <w:szCs w:val="20"/>
        </w:rPr>
        <w:t>Rights</w:t>
      </w:r>
      <w:r w:rsidR="00FF41A0">
        <w:rPr>
          <w:sz w:val="20"/>
          <w:szCs w:val="20"/>
        </w:rPr>
        <w:t xml:space="preserve"> </w:t>
      </w:r>
      <w:r w:rsidRPr="0059638B">
        <w:rPr>
          <w:sz w:val="20"/>
          <w:szCs w:val="20"/>
        </w:rPr>
        <w:t>in</w:t>
      </w:r>
      <w:r w:rsidR="00FF41A0">
        <w:rPr>
          <w:sz w:val="20"/>
          <w:szCs w:val="20"/>
        </w:rPr>
        <w:t xml:space="preserve"> </w:t>
      </w:r>
      <w:r w:rsidRPr="0059638B">
        <w:rPr>
          <w:sz w:val="20"/>
          <w:szCs w:val="20"/>
        </w:rPr>
        <w:t>accordance</w:t>
      </w:r>
      <w:r w:rsidR="00FF41A0">
        <w:rPr>
          <w:sz w:val="20"/>
          <w:szCs w:val="20"/>
        </w:rPr>
        <w:t xml:space="preserve"> </w:t>
      </w:r>
      <w:r w:rsidRPr="0059638B">
        <w:rPr>
          <w:sz w:val="20"/>
          <w:szCs w:val="20"/>
        </w:rPr>
        <w:t>with</w:t>
      </w:r>
      <w:r w:rsidR="00FF41A0">
        <w:rPr>
          <w:sz w:val="20"/>
          <w:szCs w:val="20"/>
        </w:rPr>
        <w:t xml:space="preserve"> </w:t>
      </w:r>
      <w:r w:rsidRPr="0059638B">
        <w:rPr>
          <w:sz w:val="20"/>
          <w:szCs w:val="20"/>
        </w:rPr>
        <w:t>paragraph</w:t>
      </w:r>
      <w:r w:rsidR="00FF41A0">
        <w:rPr>
          <w:sz w:val="20"/>
          <w:szCs w:val="20"/>
        </w:rPr>
        <w:t xml:space="preserve"> </w:t>
      </w:r>
      <w:r w:rsidRPr="0059638B">
        <w:rPr>
          <w:sz w:val="20"/>
          <w:szCs w:val="20"/>
        </w:rPr>
        <w:t>15</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annex</w:t>
      </w:r>
      <w:r w:rsidR="00FF41A0">
        <w:rPr>
          <w:sz w:val="20"/>
          <w:szCs w:val="20"/>
        </w:rPr>
        <w:t xml:space="preserve"> </w:t>
      </w:r>
      <w:r w:rsidRPr="0059638B">
        <w:rPr>
          <w:sz w:val="20"/>
          <w:szCs w:val="20"/>
        </w:rPr>
        <w:t>to</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resolution</w:t>
      </w:r>
      <w:r w:rsidR="00FF41A0">
        <w:rPr>
          <w:sz w:val="20"/>
          <w:szCs w:val="20"/>
        </w:rPr>
        <w:t xml:space="preserve"> </w:t>
      </w:r>
      <w:r w:rsidRPr="0059638B">
        <w:rPr>
          <w:sz w:val="20"/>
          <w:szCs w:val="20"/>
        </w:rPr>
        <w:t>5/1</w:t>
      </w:r>
      <w:r w:rsidR="00FF41A0">
        <w:rPr>
          <w:sz w:val="20"/>
          <w:szCs w:val="20"/>
        </w:rPr>
        <w:t xml:space="preserve"> </w:t>
      </w:r>
      <w:r w:rsidRPr="0059638B">
        <w:rPr>
          <w:sz w:val="20"/>
          <w:szCs w:val="20"/>
        </w:rPr>
        <w:t>and</w:t>
      </w:r>
      <w:r w:rsidR="00FF41A0">
        <w:rPr>
          <w:sz w:val="20"/>
          <w:szCs w:val="20"/>
        </w:rPr>
        <w:t xml:space="preserve"> </w:t>
      </w:r>
      <w:r w:rsidRPr="0059638B">
        <w:rPr>
          <w:sz w:val="20"/>
          <w:szCs w:val="20"/>
        </w:rPr>
        <w:t>paragraph</w:t>
      </w:r>
      <w:r w:rsidR="00FF41A0">
        <w:rPr>
          <w:sz w:val="20"/>
          <w:szCs w:val="20"/>
        </w:rPr>
        <w:t xml:space="preserve"> </w:t>
      </w:r>
      <w:r w:rsidRPr="0059638B">
        <w:rPr>
          <w:sz w:val="20"/>
          <w:szCs w:val="20"/>
        </w:rPr>
        <w:t>5</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annex</w:t>
      </w:r>
      <w:r w:rsidR="00FF41A0">
        <w:rPr>
          <w:sz w:val="20"/>
          <w:szCs w:val="20"/>
        </w:rPr>
        <w:t xml:space="preserve"> </w:t>
      </w:r>
      <w:r w:rsidRPr="0059638B">
        <w:rPr>
          <w:sz w:val="20"/>
          <w:szCs w:val="20"/>
        </w:rPr>
        <w:t>to</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resolution</w:t>
      </w:r>
      <w:r w:rsidR="00FF41A0">
        <w:rPr>
          <w:sz w:val="20"/>
          <w:szCs w:val="20"/>
        </w:rPr>
        <w:t xml:space="preserve"> </w:t>
      </w:r>
      <w:r w:rsidRPr="0059638B">
        <w:rPr>
          <w:sz w:val="20"/>
          <w:szCs w:val="20"/>
        </w:rPr>
        <w:t>16/21</w:t>
      </w:r>
      <w:r w:rsidR="00FF41A0">
        <w:rPr>
          <w:sz w:val="20"/>
          <w:szCs w:val="20"/>
        </w:rPr>
        <w:t xml:space="preserve"> </w:t>
      </w:r>
      <w:r w:rsidRPr="0059638B">
        <w:rPr>
          <w:sz w:val="20"/>
          <w:szCs w:val="20"/>
        </w:rPr>
        <w:t>(A/HRC/WG.6/31/TCD/3</w:t>
      </w:r>
      <w:r w:rsidR="00FF41A0">
        <w:rPr>
          <w:sz w:val="20"/>
          <w:szCs w:val="20"/>
        </w:rPr>
        <w:t xml:space="preserve"> </w:t>
      </w:r>
      <w:r w:rsidRPr="0059638B">
        <w:rPr>
          <w:sz w:val="20"/>
          <w:szCs w:val="20"/>
        </w:rPr>
        <w:t>and</w:t>
      </w:r>
      <w:r w:rsidR="00FF41A0">
        <w:rPr>
          <w:sz w:val="20"/>
          <w:szCs w:val="20"/>
        </w:rPr>
        <w:t xml:space="preserve"> </w:t>
      </w:r>
      <w:r w:rsidRPr="0059638B">
        <w:rPr>
          <w:sz w:val="20"/>
          <w:szCs w:val="20"/>
        </w:rPr>
        <w:t>A/HRC/WG.6/31/TCD/3/Corr.1).</w:t>
      </w:r>
    </w:p>
    <w:p w14:paraId="00FBBC68" w14:textId="1F0A3737" w:rsidR="00323457" w:rsidRPr="0059638B" w:rsidRDefault="00972F1E" w:rsidP="00323457">
      <w:pPr>
        <w:pStyle w:val="SingleTxtG"/>
        <w:rPr>
          <w:sz w:val="20"/>
          <w:szCs w:val="20"/>
        </w:rPr>
      </w:pPr>
      <w:r>
        <w:rPr>
          <w:sz w:val="20"/>
          <w:szCs w:val="20"/>
        </w:rPr>
        <w:t>783</w:t>
      </w:r>
      <w:r w:rsidR="00D7475F">
        <w:rPr>
          <w:sz w:val="20"/>
          <w:szCs w:val="20"/>
        </w:rPr>
        <w:t>.</w:t>
      </w:r>
      <w:r w:rsidR="00D7475F">
        <w:rPr>
          <w:sz w:val="20"/>
          <w:szCs w:val="20"/>
        </w:rPr>
        <w:tab/>
      </w:r>
      <w:r w:rsidR="00323457" w:rsidRPr="0059638B">
        <w:rPr>
          <w:sz w:val="20"/>
          <w:szCs w:val="20"/>
        </w:rPr>
        <w:t>At</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38th</w:t>
      </w:r>
      <w:r w:rsidR="00FF41A0">
        <w:rPr>
          <w:sz w:val="20"/>
          <w:szCs w:val="20"/>
        </w:rPr>
        <w:t xml:space="preserve"> </w:t>
      </w:r>
      <w:r w:rsidR="00323457" w:rsidRPr="0059638B">
        <w:rPr>
          <w:sz w:val="20"/>
          <w:szCs w:val="20"/>
        </w:rPr>
        <w:t>meeting,</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15</w:t>
      </w:r>
      <w:r w:rsidR="00FF41A0">
        <w:rPr>
          <w:sz w:val="20"/>
          <w:szCs w:val="20"/>
        </w:rPr>
        <w:t xml:space="preserve"> </w:t>
      </w:r>
      <w:r w:rsidR="00323457" w:rsidRPr="0059638B">
        <w:rPr>
          <w:sz w:val="20"/>
          <w:szCs w:val="20"/>
        </w:rPr>
        <w:t>March</w:t>
      </w:r>
      <w:r w:rsidR="00FF41A0">
        <w:rPr>
          <w:sz w:val="20"/>
          <w:szCs w:val="20"/>
        </w:rPr>
        <w:t xml:space="preserve"> </w:t>
      </w:r>
      <w:r w:rsidR="00323457" w:rsidRPr="0059638B">
        <w:rPr>
          <w:sz w:val="20"/>
          <w:szCs w:val="20"/>
        </w:rPr>
        <w:t>2019,</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Council</w:t>
      </w:r>
      <w:r w:rsidR="00FF41A0">
        <w:rPr>
          <w:sz w:val="20"/>
          <w:szCs w:val="20"/>
        </w:rPr>
        <w:t xml:space="preserve"> </w:t>
      </w:r>
      <w:r w:rsidR="00323457" w:rsidRPr="0059638B">
        <w:rPr>
          <w:sz w:val="20"/>
          <w:szCs w:val="20"/>
        </w:rPr>
        <w:t>considered</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adopted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outcome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Chad</w:t>
      </w:r>
      <w:r w:rsidR="00FF41A0">
        <w:rPr>
          <w:sz w:val="20"/>
          <w:szCs w:val="20"/>
        </w:rPr>
        <w:t xml:space="preserve"> </w:t>
      </w:r>
      <w:r w:rsidR="00323457" w:rsidRPr="0059638B">
        <w:rPr>
          <w:sz w:val="20"/>
          <w:szCs w:val="20"/>
        </w:rPr>
        <w:t>(see</w:t>
      </w:r>
      <w:r w:rsidR="00FF41A0">
        <w:rPr>
          <w:sz w:val="20"/>
          <w:szCs w:val="20"/>
        </w:rPr>
        <w:t xml:space="preserve"> </w:t>
      </w:r>
      <w:r w:rsidR="00323457" w:rsidRPr="0059638B">
        <w:rPr>
          <w:sz w:val="20"/>
          <w:szCs w:val="20"/>
        </w:rPr>
        <w:t>sect.</w:t>
      </w:r>
      <w:r w:rsidR="00FF41A0">
        <w:rPr>
          <w:sz w:val="20"/>
          <w:szCs w:val="20"/>
        </w:rPr>
        <w:t xml:space="preserve"> </w:t>
      </w:r>
      <w:r w:rsidR="00323457" w:rsidRPr="0059638B">
        <w:rPr>
          <w:sz w:val="20"/>
          <w:szCs w:val="20"/>
        </w:rPr>
        <w:t>C</w:t>
      </w:r>
      <w:r w:rsidR="00FF41A0">
        <w:rPr>
          <w:sz w:val="20"/>
          <w:szCs w:val="20"/>
        </w:rPr>
        <w:t xml:space="preserve"> </w:t>
      </w:r>
      <w:r w:rsidR="00323457" w:rsidRPr="0059638B">
        <w:rPr>
          <w:sz w:val="20"/>
          <w:szCs w:val="20"/>
        </w:rPr>
        <w:t>below).</w:t>
      </w:r>
    </w:p>
    <w:p w14:paraId="08BA4CC5" w14:textId="5BCF74AB" w:rsidR="00323457" w:rsidRPr="0059638B" w:rsidRDefault="00972F1E" w:rsidP="00323457">
      <w:pPr>
        <w:pStyle w:val="SingleTxtG"/>
        <w:rPr>
          <w:sz w:val="20"/>
          <w:szCs w:val="20"/>
        </w:rPr>
      </w:pPr>
      <w:r>
        <w:rPr>
          <w:sz w:val="20"/>
          <w:szCs w:val="20"/>
        </w:rPr>
        <w:t>784</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outcome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Chad</w:t>
      </w:r>
      <w:r w:rsidR="00FF41A0">
        <w:rPr>
          <w:sz w:val="20"/>
          <w:szCs w:val="20"/>
        </w:rPr>
        <w:t xml:space="preserve"> </w:t>
      </w:r>
      <w:r w:rsidR="00323457" w:rsidRPr="0059638B">
        <w:rPr>
          <w:sz w:val="20"/>
          <w:szCs w:val="20"/>
        </w:rPr>
        <w:t>comprises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report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Working</w:t>
      </w:r>
      <w:r w:rsidR="00FF41A0">
        <w:rPr>
          <w:sz w:val="20"/>
          <w:szCs w:val="20"/>
        </w:rPr>
        <w:t xml:space="preserve"> </w:t>
      </w:r>
      <w:r w:rsidR="00323457" w:rsidRPr="0059638B">
        <w:rPr>
          <w:sz w:val="20"/>
          <w:szCs w:val="20"/>
        </w:rPr>
        <w:t>Group</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(A/HRC/40/15)</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views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Chad</w:t>
      </w:r>
      <w:r w:rsidR="00FF41A0">
        <w:rPr>
          <w:sz w:val="20"/>
          <w:szCs w:val="20"/>
        </w:rPr>
        <w:t xml:space="preserve"> </w:t>
      </w:r>
      <w:r w:rsidR="00323457" w:rsidRPr="0059638B">
        <w:rPr>
          <w:sz w:val="20"/>
          <w:szCs w:val="20"/>
        </w:rPr>
        <w:t>concerning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and/or</w:t>
      </w:r>
      <w:r w:rsidR="00FF41A0">
        <w:rPr>
          <w:sz w:val="20"/>
          <w:szCs w:val="20"/>
        </w:rPr>
        <w:t xml:space="preserve"> </w:t>
      </w:r>
      <w:r w:rsidR="00323457" w:rsidRPr="0059638B">
        <w:rPr>
          <w:sz w:val="20"/>
          <w:szCs w:val="20"/>
        </w:rPr>
        <w:t>conclusions,</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well</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voluntary</w:t>
      </w:r>
      <w:r w:rsidR="00FF41A0">
        <w:rPr>
          <w:sz w:val="20"/>
          <w:szCs w:val="20"/>
        </w:rPr>
        <w:t xml:space="preserve"> </w:t>
      </w:r>
      <w:r w:rsidR="00323457" w:rsidRPr="0059638B">
        <w:rPr>
          <w:sz w:val="20"/>
          <w:szCs w:val="20"/>
        </w:rPr>
        <w:t>commitments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replies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questions</w:t>
      </w:r>
      <w:r w:rsidR="00FF41A0">
        <w:rPr>
          <w:sz w:val="20"/>
          <w:szCs w:val="20"/>
        </w:rPr>
        <w:t xml:space="preserve"> </w:t>
      </w:r>
      <w:r w:rsidR="00323457" w:rsidRPr="0059638B">
        <w:rPr>
          <w:sz w:val="20"/>
          <w:szCs w:val="20"/>
        </w:rPr>
        <w:t>or</w:t>
      </w:r>
      <w:r w:rsidR="00FF41A0">
        <w:rPr>
          <w:sz w:val="20"/>
          <w:szCs w:val="20"/>
        </w:rPr>
        <w:t xml:space="preserve"> </w:t>
      </w:r>
      <w:r w:rsidR="00323457" w:rsidRPr="0059638B">
        <w:rPr>
          <w:sz w:val="20"/>
          <w:szCs w:val="20"/>
        </w:rPr>
        <w:t>issues</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not</w:t>
      </w:r>
      <w:r w:rsidR="00FF41A0">
        <w:rPr>
          <w:sz w:val="20"/>
          <w:szCs w:val="20"/>
        </w:rPr>
        <w:t xml:space="preserve"> </w:t>
      </w:r>
      <w:r w:rsidR="00323457" w:rsidRPr="0059638B">
        <w:rPr>
          <w:sz w:val="20"/>
          <w:szCs w:val="20"/>
        </w:rPr>
        <w:t>sufficiently</w:t>
      </w:r>
      <w:r w:rsidR="00FF41A0">
        <w:rPr>
          <w:sz w:val="20"/>
          <w:szCs w:val="20"/>
        </w:rPr>
        <w:t xml:space="preserve"> </w:t>
      </w:r>
      <w:r w:rsidR="00323457" w:rsidRPr="0059638B">
        <w:rPr>
          <w:sz w:val="20"/>
          <w:szCs w:val="20"/>
        </w:rPr>
        <w:t>addressed</w:t>
      </w:r>
      <w:r w:rsidR="00FF41A0">
        <w:rPr>
          <w:sz w:val="20"/>
          <w:szCs w:val="20"/>
        </w:rPr>
        <w:t xml:space="preserve"> </w:t>
      </w:r>
      <w:r w:rsidR="00323457" w:rsidRPr="0059638B">
        <w:rPr>
          <w:sz w:val="20"/>
          <w:szCs w:val="20"/>
        </w:rPr>
        <w:t>during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interactive</w:t>
      </w:r>
      <w:r w:rsidR="00FF41A0">
        <w:rPr>
          <w:sz w:val="20"/>
          <w:szCs w:val="20"/>
        </w:rPr>
        <w:t xml:space="preserve"> </w:t>
      </w:r>
      <w:r w:rsidR="00323457" w:rsidRPr="0059638B">
        <w:rPr>
          <w:sz w:val="20"/>
          <w:szCs w:val="20"/>
        </w:rPr>
        <w:t>dialogue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Working</w:t>
      </w:r>
      <w:r w:rsidR="00FF41A0">
        <w:rPr>
          <w:sz w:val="20"/>
          <w:szCs w:val="20"/>
        </w:rPr>
        <w:t xml:space="preserve"> </w:t>
      </w:r>
      <w:r w:rsidR="00323457" w:rsidRPr="0059638B">
        <w:rPr>
          <w:sz w:val="20"/>
          <w:szCs w:val="20"/>
        </w:rPr>
        <w:t>Group,</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presented</w:t>
      </w:r>
      <w:r w:rsidR="00FF41A0">
        <w:rPr>
          <w:sz w:val="20"/>
          <w:szCs w:val="20"/>
        </w:rPr>
        <w:t xml:space="preserve"> </w:t>
      </w:r>
      <w:r w:rsidR="00323457" w:rsidRPr="0059638B">
        <w:rPr>
          <w:sz w:val="20"/>
          <w:szCs w:val="20"/>
        </w:rPr>
        <w:t>before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adoption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outcome</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plenary.</w:t>
      </w:r>
    </w:p>
    <w:p w14:paraId="6E1FC7DA" w14:textId="56A5C73E" w:rsidR="00323457" w:rsidRPr="0059638B" w:rsidRDefault="00323457" w:rsidP="00323457">
      <w:pPr>
        <w:pStyle w:val="H23G"/>
        <w:rPr>
          <w:sz w:val="20"/>
          <w:szCs w:val="20"/>
        </w:rPr>
      </w:pPr>
      <w:r w:rsidRPr="0059638B">
        <w:rPr>
          <w:sz w:val="20"/>
          <w:szCs w:val="20"/>
        </w:rPr>
        <w:tab/>
        <w:t>1.</w:t>
      </w:r>
      <w:r w:rsidRPr="0059638B">
        <w:rPr>
          <w:sz w:val="20"/>
          <w:szCs w:val="20"/>
        </w:rPr>
        <w:tab/>
        <w:t>Views</w:t>
      </w:r>
      <w:r w:rsidR="00FF41A0">
        <w:rPr>
          <w:sz w:val="20"/>
          <w:szCs w:val="20"/>
        </w:rPr>
        <w:t xml:space="preserve"> </w:t>
      </w:r>
      <w:r w:rsidRPr="0059638B">
        <w:rPr>
          <w:sz w:val="20"/>
          <w:szCs w:val="20"/>
        </w:rPr>
        <w:t>expressed</w:t>
      </w:r>
      <w:r w:rsidR="00FF41A0">
        <w:rPr>
          <w:sz w:val="20"/>
          <w:szCs w:val="20"/>
        </w:rPr>
        <w:t xml:space="preserve"> </w:t>
      </w:r>
      <w:r w:rsidRPr="0059638B">
        <w:rPr>
          <w:sz w:val="20"/>
          <w:szCs w:val="20"/>
        </w:rPr>
        <w:t>by</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State</w:t>
      </w:r>
      <w:r w:rsidR="00FF41A0">
        <w:rPr>
          <w:sz w:val="20"/>
          <w:szCs w:val="20"/>
        </w:rPr>
        <w:t xml:space="preserve"> </w:t>
      </w:r>
      <w:r w:rsidRPr="0059638B">
        <w:rPr>
          <w:sz w:val="20"/>
          <w:szCs w:val="20"/>
        </w:rPr>
        <w:t>under</w:t>
      </w:r>
      <w:r w:rsidR="00FF41A0">
        <w:rPr>
          <w:sz w:val="20"/>
          <w:szCs w:val="20"/>
        </w:rPr>
        <w:t xml:space="preserve"> </w:t>
      </w:r>
      <w:r w:rsidRPr="0059638B">
        <w:rPr>
          <w:sz w:val="20"/>
          <w:szCs w:val="20"/>
        </w:rPr>
        <w:t>review</w:t>
      </w:r>
      <w:r w:rsidR="00FF41A0">
        <w:rPr>
          <w:sz w:val="20"/>
          <w:szCs w:val="20"/>
        </w:rPr>
        <w:t xml:space="preserve"> </w:t>
      </w:r>
      <w:r w:rsidRPr="0059638B">
        <w:rPr>
          <w:sz w:val="20"/>
          <w:szCs w:val="20"/>
        </w:rPr>
        <w:t>on</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recommendations</w:t>
      </w:r>
      <w:r w:rsidR="00FF41A0">
        <w:rPr>
          <w:sz w:val="20"/>
          <w:szCs w:val="20"/>
        </w:rPr>
        <w:t xml:space="preserve"> </w:t>
      </w:r>
      <w:r w:rsidRPr="0059638B">
        <w:rPr>
          <w:sz w:val="20"/>
          <w:szCs w:val="20"/>
        </w:rPr>
        <w:t>and/or</w:t>
      </w:r>
      <w:r w:rsidR="00FF41A0">
        <w:rPr>
          <w:sz w:val="20"/>
          <w:szCs w:val="20"/>
        </w:rPr>
        <w:t xml:space="preserve"> </w:t>
      </w:r>
      <w:r w:rsidRPr="0059638B">
        <w:rPr>
          <w:sz w:val="20"/>
          <w:szCs w:val="20"/>
        </w:rPr>
        <w:t>conclusions,</w:t>
      </w:r>
      <w:r w:rsidR="00FF41A0">
        <w:rPr>
          <w:sz w:val="20"/>
          <w:szCs w:val="20"/>
        </w:rPr>
        <w:t xml:space="preserve"> </w:t>
      </w:r>
      <w:r w:rsidRPr="0059638B">
        <w:rPr>
          <w:sz w:val="20"/>
          <w:szCs w:val="20"/>
        </w:rPr>
        <w:t>its</w:t>
      </w:r>
      <w:r w:rsidR="00FF41A0">
        <w:rPr>
          <w:sz w:val="20"/>
          <w:szCs w:val="20"/>
        </w:rPr>
        <w:t xml:space="preserve"> </w:t>
      </w:r>
      <w:r w:rsidRPr="0059638B">
        <w:rPr>
          <w:sz w:val="20"/>
          <w:szCs w:val="20"/>
        </w:rPr>
        <w:t>voluntary</w:t>
      </w:r>
      <w:r w:rsidR="00FF41A0">
        <w:rPr>
          <w:sz w:val="20"/>
          <w:szCs w:val="20"/>
        </w:rPr>
        <w:t xml:space="preserve"> </w:t>
      </w:r>
      <w:r w:rsidRPr="0059638B">
        <w:rPr>
          <w:sz w:val="20"/>
          <w:szCs w:val="20"/>
        </w:rPr>
        <w:t>commitments</w:t>
      </w:r>
      <w:r w:rsidR="00FF41A0">
        <w:rPr>
          <w:sz w:val="20"/>
          <w:szCs w:val="20"/>
        </w:rPr>
        <w:t xml:space="preserve"> </w:t>
      </w:r>
      <w:r w:rsidRPr="0059638B">
        <w:rPr>
          <w:sz w:val="20"/>
          <w:szCs w:val="20"/>
        </w:rPr>
        <w:t>and</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outcome</w:t>
      </w:r>
    </w:p>
    <w:p w14:paraId="5442EF6E" w14:textId="378DAE0A" w:rsidR="00323457" w:rsidRPr="0059638B" w:rsidRDefault="00972F1E" w:rsidP="00323457">
      <w:pPr>
        <w:pStyle w:val="SingleTxtG"/>
        <w:rPr>
          <w:sz w:val="20"/>
          <w:szCs w:val="20"/>
          <w:lang w:val="en"/>
        </w:rPr>
      </w:pPr>
      <w:r>
        <w:rPr>
          <w:sz w:val="20"/>
          <w:szCs w:val="20"/>
          <w:lang w:val="en"/>
        </w:rPr>
        <w:t>785</w:t>
      </w:r>
      <w:r w:rsidR="00D7475F">
        <w:rPr>
          <w:sz w:val="20"/>
          <w:szCs w:val="20"/>
          <w:lang w:val="en"/>
        </w:rPr>
        <w:t>.</w:t>
      </w:r>
      <w:r w:rsidR="00D7475F">
        <w:rPr>
          <w:sz w:val="20"/>
          <w:szCs w:val="20"/>
          <w:lang w:val="en"/>
        </w:rPr>
        <w:tab/>
      </w:r>
      <w:r w:rsidR="00323457" w:rsidRPr="0059638B">
        <w:rPr>
          <w:sz w:val="20"/>
          <w:szCs w:val="20"/>
          <w:lang w:val="en"/>
        </w:rPr>
        <w:t>The</w:t>
      </w:r>
      <w:r w:rsidR="00FF41A0">
        <w:rPr>
          <w:sz w:val="20"/>
          <w:szCs w:val="20"/>
          <w:lang w:val="en"/>
        </w:rPr>
        <w:t xml:space="preserve"> </w:t>
      </w:r>
      <w:r w:rsidR="00323457" w:rsidRPr="0059638B">
        <w:rPr>
          <w:sz w:val="20"/>
          <w:szCs w:val="20"/>
          <w:lang w:val="en"/>
        </w:rPr>
        <w:t>Minister</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Justice</w:t>
      </w:r>
      <w:r w:rsidR="00FF41A0">
        <w:rPr>
          <w:sz w:val="20"/>
          <w:szCs w:val="20"/>
          <w:lang w:val="en"/>
        </w:rPr>
        <w:t xml:space="preserve"> </w:t>
      </w:r>
      <w:r w:rsidR="00323457" w:rsidRPr="0059638B">
        <w:rPr>
          <w:sz w:val="20"/>
          <w:szCs w:val="20"/>
          <w:lang w:val="en"/>
        </w:rPr>
        <w:t>in</w:t>
      </w:r>
      <w:r w:rsidR="00FF41A0">
        <w:rPr>
          <w:sz w:val="20"/>
          <w:szCs w:val="20"/>
          <w:lang w:val="en"/>
        </w:rPr>
        <w:t xml:space="preserve"> </w:t>
      </w:r>
      <w:r w:rsidR="00323457" w:rsidRPr="0059638B">
        <w:rPr>
          <w:sz w:val="20"/>
          <w:szCs w:val="20"/>
          <w:lang w:val="en"/>
        </w:rPr>
        <w:t>charge</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Human</w:t>
      </w:r>
      <w:r w:rsidR="00FF41A0">
        <w:rPr>
          <w:sz w:val="20"/>
          <w:szCs w:val="20"/>
          <w:lang w:val="en"/>
        </w:rPr>
        <w:t xml:space="preserve"> </w:t>
      </w:r>
      <w:r w:rsidR="00323457" w:rsidRPr="0059638B">
        <w:rPr>
          <w:sz w:val="20"/>
          <w:szCs w:val="20"/>
          <w:lang w:val="en"/>
        </w:rPr>
        <w:t>Rights</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Chad</w:t>
      </w:r>
      <w:r w:rsidR="000A2EBB">
        <w:rPr>
          <w:sz w:val="20"/>
          <w:szCs w:val="20"/>
          <w:lang w:val="en"/>
        </w:rPr>
        <w:t>,</w:t>
      </w:r>
      <w:r w:rsidR="00FF41A0">
        <w:rPr>
          <w:sz w:val="20"/>
          <w:szCs w:val="20"/>
          <w:lang w:val="en"/>
        </w:rPr>
        <w:t xml:space="preserve"> </w:t>
      </w:r>
      <w:r w:rsidR="00323457" w:rsidRPr="0059638B">
        <w:rPr>
          <w:sz w:val="20"/>
          <w:szCs w:val="20"/>
          <w:lang w:val="en"/>
        </w:rPr>
        <w:t>Mr.</w:t>
      </w:r>
      <w:r w:rsidR="00FF41A0">
        <w:rPr>
          <w:sz w:val="20"/>
          <w:szCs w:val="20"/>
          <w:lang w:val="en"/>
        </w:rPr>
        <w:t xml:space="preserve"> </w:t>
      </w:r>
      <w:r w:rsidR="00323457" w:rsidRPr="0059638B">
        <w:rPr>
          <w:sz w:val="20"/>
          <w:szCs w:val="20"/>
          <w:lang w:val="en"/>
        </w:rPr>
        <w:t>Djimet</w:t>
      </w:r>
      <w:r w:rsidR="00FF41A0">
        <w:rPr>
          <w:sz w:val="20"/>
          <w:szCs w:val="20"/>
          <w:lang w:val="en"/>
        </w:rPr>
        <w:t xml:space="preserve"> </w:t>
      </w:r>
      <w:r w:rsidR="00323457" w:rsidRPr="0059638B">
        <w:rPr>
          <w:sz w:val="20"/>
          <w:szCs w:val="20"/>
          <w:lang w:val="en"/>
        </w:rPr>
        <w:t>Arabi</w:t>
      </w:r>
      <w:r w:rsidR="000A2EBB">
        <w:rPr>
          <w:sz w:val="20"/>
          <w:szCs w:val="20"/>
          <w:lang w:val="en"/>
        </w:rPr>
        <w:t>,</w:t>
      </w:r>
      <w:r w:rsidR="00FF41A0">
        <w:rPr>
          <w:sz w:val="20"/>
          <w:szCs w:val="20"/>
          <w:lang w:val="en"/>
        </w:rPr>
        <w:t xml:space="preserve"> </w:t>
      </w:r>
      <w:r w:rsidR="00323457" w:rsidRPr="0059638B">
        <w:rPr>
          <w:sz w:val="20"/>
          <w:szCs w:val="20"/>
          <w:lang w:val="en"/>
        </w:rPr>
        <w:t>was</w:t>
      </w:r>
      <w:r w:rsidR="00FF41A0">
        <w:rPr>
          <w:sz w:val="20"/>
          <w:szCs w:val="20"/>
          <w:lang w:val="en"/>
        </w:rPr>
        <w:t xml:space="preserve"> </w:t>
      </w:r>
      <w:r w:rsidR="00323457" w:rsidRPr="0059638B">
        <w:rPr>
          <w:sz w:val="20"/>
          <w:szCs w:val="20"/>
          <w:lang w:val="en"/>
        </w:rPr>
        <w:t>pleased</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note</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rising</w:t>
      </w:r>
      <w:r w:rsidR="00FF41A0">
        <w:rPr>
          <w:sz w:val="20"/>
          <w:szCs w:val="20"/>
          <w:lang w:val="en"/>
        </w:rPr>
        <w:t xml:space="preserve"> </w:t>
      </w:r>
      <w:r w:rsidR="00323457" w:rsidRPr="0059638B">
        <w:rPr>
          <w:sz w:val="20"/>
          <w:szCs w:val="20"/>
          <w:lang w:val="en"/>
        </w:rPr>
        <w:t>interest</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support</w:t>
      </w:r>
      <w:r w:rsidR="00FF41A0">
        <w:rPr>
          <w:sz w:val="20"/>
          <w:szCs w:val="20"/>
          <w:lang w:val="en"/>
        </w:rPr>
        <w:t xml:space="preserve"> </w:t>
      </w:r>
      <w:r w:rsidR="00323457" w:rsidRPr="0059638B">
        <w:rPr>
          <w:sz w:val="20"/>
          <w:szCs w:val="20"/>
          <w:lang w:val="en"/>
        </w:rPr>
        <w:t>shown</w:t>
      </w:r>
      <w:r w:rsidR="00FF41A0">
        <w:rPr>
          <w:sz w:val="20"/>
          <w:szCs w:val="20"/>
          <w:lang w:val="en"/>
        </w:rPr>
        <w:t xml:space="preserve"> </w:t>
      </w:r>
      <w:r w:rsidR="00323457" w:rsidRPr="0059638B">
        <w:rPr>
          <w:sz w:val="20"/>
          <w:szCs w:val="20"/>
          <w:lang w:val="en"/>
        </w:rPr>
        <w:t>by</w:t>
      </w:r>
      <w:r w:rsidR="00FF41A0">
        <w:rPr>
          <w:sz w:val="20"/>
          <w:szCs w:val="20"/>
          <w:lang w:val="en"/>
        </w:rPr>
        <w:t xml:space="preserve"> </w:t>
      </w:r>
      <w:r w:rsidR="00323457" w:rsidRPr="0059638B">
        <w:rPr>
          <w:sz w:val="20"/>
          <w:szCs w:val="20"/>
          <w:lang w:val="en"/>
        </w:rPr>
        <w:t>Member</w:t>
      </w:r>
      <w:r w:rsidR="00FF41A0">
        <w:rPr>
          <w:sz w:val="20"/>
          <w:szCs w:val="20"/>
          <w:lang w:val="en"/>
        </w:rPr>
        <w:t xml:space="preserve"> </w:t>
      </w:r>
      <w:r w:rsidR="00323457" w:rsidRPr="0059638B">
        <w:rPr>
          <w:sz w:val="20"/>
          <w:szCs w:val="20"/>
          <w:lang w:val="en"/>
        </w:rPr>
        <w:t>States</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Human</w:t>
      </w:r>
      <w:r w:rsidR="00FF41A0">
        <w:rPr>
          <w:sz w:val="20"/>
          <w:szCs w:val="20"/>
          <w:lang w:val="en"/>
        </w:rPr>
        <w:t xml:space="preserve"> </w:t>
      </w:r>
      <w:r w:rsidR="00323457" w:rsidRPr="0059638B">
        <w:rPr>
          <w:sz w:val="20"/>
          <w:szCs w:val="20"/>
          <w:lang w:val="en"/>
        </w:rPr>
        <w:t>Rights</w:t>
      </w:r>
      <w:r w:rsidR="00FF41A0">
        <w:rPr>
          <w:sz w:val="20"/>
          <w:szCs w:val="20"/>
          <w:lang w:val="en"/>
        </w:rPr>
        <w:t xml:space="preserve"> </w:t>
      </w:r>
      <w:r w:rsidR="00323457" w:rsidRPr="0059638B">
        <w:rPr>
          <w:sz w:val="20"/>
          <w:szCs w:val="20"/>
          <w:lang w:val="en"/>
        </w:rPr>
        <w:t>Council</w:t>
      </w:r>
      <w:r w:rsidR="00FF41A0">
        <w:rPr>
          <w:sz w:val="20"/>
          <w:szCs w:val="20"/>
          <w:lang w:val="en"/>
        </w:rPr>
        <w:t xml:space="preserve"> </w:t>
      </w:r>
      <w:r w:rsidR="00323457" w:rsidRPr="0059638B">
        <w:rPr>
          <w:sz w:val="20"/>
          <w:szCs w:val="20"/>
          <w:lang w:val="en"/>
        </w:rPr>
        <w:t>during</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review</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Chad</w:t>
      </w:r>
      <w:r w:rsidR="00FF41A0">
        <w:rPr>
          <w:sz w:val="20"/>
          <w:szCs w:val="20"/>
          <w:lang w:val="en"/>
        </w:rPr>
        <w:t xml:space="preserve"> </w:t>
      </w:r>
      <w:r w:rsidR="00323457" w:rsidRPr="0059638B">
        <w:rPr>
          <w:sz w:val="20"/>
          <w:szCs w:val="20"/>
          <w:lang w:val="en"/>
        </w:rPr>
        <w:t>by</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Universal</w:t>
      </w:r>
      <w:r w:rsidR="00FF41A0">
        <w:rPr>
          <w:sz w:val="20"/>
          <w:szCs w:val="20"/>
          <w:lang w:val="en"/>
        </w:rPr>
        <w:t xml:space="preserve"> </w:t>
      </w:r>
      <w:r w:rsidR="00323457" w:rsidRPr="0059638B">
        <w:rPr>
          <w:sz w:val="20"/>
          <w:szCs w:val="20"/>
          <w:lang w:val="en"/>
        </w:rPr>
        <w:t>Periodic</w:t>
      </w:r>
      <w:r w:rsidR="00FF41A0">
        <w:rPr>
          <w:sz w:val="20"/>
          <w:szCs w:val="20"/>
          <w:lang w:val="en"/>
        </w:rPr>
        <w:t xml:space="preserve"> </w:t>
      </w:r>
      <w:r w:rsidR="00323457" w:rsidRPr="0059638B">
        <w:rPr>
          <w:sz w:val="20"/>
          <w:szCs w:val="20"/>
          <w:lang w:val="en"/>
        </w:rPr>
        <w:t>Review</w:t>
      </w:r>
      <w:r w:rsidR="00FF41A0">
        <w:rPr>
          <w:sz w:val="20"/>
          <w:szCs w:val="20"/>
          <w:lang w:val="en"/>
        </w:rPr>
        <w:t xml:space="preserve"> </w:t>
      </w:r>
      <w:r w:rsidR="00323457" w:rsidRPr="0059638B">
        <w:rPr>
          <w:sz w:val="20"/>
          <w:szCs w:val="20"/>
          <w:lang w:val="en"/>
        </w:rPr>
        <w:t>Working</w:t>
      </w:r>
      <w:r w:rsidR="00FF41A0">
        <w:rPr>
          <w:sz w:val="20"/>
          <w:szCs w:val="20"/>
          <w:lang w:val="en"/>
        </w:rPr>
        <w:t xml:space="preserve"> </w:t>
      </w:r>
      <w:r w:rsidR="00323457" w:rsidRPr="0059638B">
        <w:rPr>
          <w:sz w:val="20"/>
          <w:szCs w:val="20"/>
          <w:lang w:val="en"/>
        </w:rPr>
        <w:t>Group.</w:t>
      </w:r>
      <w:r w:rsidR="00FF41A0">
        <w:rPr>
          <w:sz w:val="20"/>
          <w:szCs w:val="20"/>
          <w:lang w:val="en"/>
        </w:rPr>
        <w:t xml:space="preserve"> </w:t>
      </w:r>
      <w:r w:rsidR="00323457" w:rsidRPr="0059638B">
        <w:rPr>
          <w:sz w:val="20"/>
          <w:szCs w:val="20"/>
          <w:lang w:val="en"/>
        </w:rPr>
        <w:t>This</w:t>
      </w:r>
      <w:r w:rsidR="00FF41A0">
        <w:rPr>
          <w:sz w:val="20"/>
          <w:szCs w:val="20"/>
          <w:lang w:val="en"/>
        </w:rPr>
        <w:t xml:space="preserve"> </w:t>
      </w:r>
      <w:r w:rsidR="00323457" w:rsidRPr="0059638B">
        <w:rPr>
          <w:sz w:val="20"/>
          <w:szCs w:val="20"/>
          <w:lang w:val="en"/>
        </w:rPr>
        <w:t>demonstration</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interest</w:t>
      </w:r>
      <w:r w:rsidR="00FF41A0">
        <w:rPr>
          <w:sz w:val="20"/>
          <w:szCs w:val="20"/>
          <w:lang w:val="en"/>
        </w:rPr>
        <w:t xml:space="preserve"> </w:t>
      </w:r>
      <w:r w:rsidR="00323457" w:rsidRPr="0059638B">
        <w:rPr>
          <w:sz w:val="20"/>
          <w:szCs w:val="20"/>
          <w:lang w:val="en"/>
        </w:rPr>
        <w:t>has</w:t>
      </w:r>
      <w:r w:rsidR="00FF41A0">
        <w:rPr>
          <w:sz w:val="20"/>
          <w:szCs w:val="20"/>
          <w:lang w:val="en"/>
        </w:rPr>
        <w:t xml:space="preserve"> </w:t>
      </w:r>
      <w:r w:rsidR="00323457" w:rsidRPr="0059638B">
        <w:rPr>
          <w:sz w:val="20"/>
          <w:szCs w:val="20"/>
          <w:lang w:val="en"/>
        </w:rPr>
        <w:t>also</w:t>
      </w:r>
      <w:r w:rsidR="00FF41A0">
        <w:rPr>
          <w:sz w:val="20"/>
          <w:szCs w:val="20"/>
          <w:lang w:val="en"/>
        </w:rPr>
        <w:t xml:space="preserve"> </w:t>
      </w:r>
      <w:r w:rsidR="00323457" w:rsidRPr="0059638B">
        <w:rPr>
          <w:sz w:val="20"/>
          <w:szCs w:val="20"/>
          <w:lang w:val="en"/>
        </w:rPr>
        <w:t>been</w:t>
      </w:r>
      <w:r w:rsidR="00FF41A0">
        <w:rPr>
          <w:sz w:val="20"/>
          <w:szCs w:val="20"/>
          <w:lang w:val="en"/>
        </w:rPr>
        <w:t xml:space="preserve"> </w:t>
      </w:r>
      <w:r w:rsidR="00323457" w:rsidRPr="0059638B">
        <w:rPr>
          <w:sz w:val="20"/>
          <w:szCs w:val="20"/>
          <w:lang w:val="en"/>
        </w:rPr>
        <w:t>shown</w:t>
      </w:r>
      <w:r w:rsidR="00FF41A0">
        <w:rPr>
          <w:sz w:val="20"/>
          <w:szCs w:val="20"/>
          <w:lang w:val="en"/>
        </w:rPr>
        <w:t xml:space="preserve"> </w:t>
      </w:r>
      <w:r w:rsidR="00323457" w:rsidRPr="0059638B">
        <w:rPr>
          <w:sz w:val="20"/>
          <w:szCs w:val="20"/>
          <w:lang w:val="en"/>
        </w:rPr>
        <w:t>through</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204</w:t>
      </w:r>
      <w:r w:rsidR="00FF41A0">
        <w:rPr>
          <w:sz w:val="20"/>
          <w:szCs w:val="20"/>
          <w:lang w:val="en"/>
        </w:rPr>
        <w:t xml:space="preserve"> </w:t>
      </w:r>
      <w:r w:rsidR="00323457" w:rsidRPr="0059638B">
        <w:rPr>
          <w:sz w:val="20"/>
          <w:szCs w:val="20"/>
          <w:lang w:val="en"/>
        </w:rPr>
        <w:t>recommendations</w:t>
      </w:r>
      <w:r w:rsidR="00FF41A0">
        <w:rPr>
          <w:sz w:val="20"/>
          <w:szCs w:val="20"/>
          <w:lang w:val="en"/>
        </w:rPr>
        <w:t xml:space="preserve"> </w:t>
      </w:r>
      <w:r w:rsidR="00323457" w:rsidRPr="0059638B">
        <w:rPr>
          <w:sz w:val="20"/>
          <w:szCs w:val="20"/>
          <w:lang w:val="en"/>
        </w:rPr>
        <w:t>issued</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Chad,</w:t>
      </w:r>
      <w:r w:rsidR="00FF41A0">
        <w:rPr>
          <w:sz w:val="20"/>
          <w:szCs w:val="20"/>
          <w:lang w:val="en"/>
        </w:rPr>
        <w:t xml:space="preserve"> </w:t>
      </w:r>
      <w:r w:rsidR="00323457" w:rsidRPr="0059638B">
        <w:rPr>
          <w:sz w:val="20"/>
          <w:szCs w:val="20"/>
          <w:lang w:val="en"/>
        </w:rPr>
        <w:t>which</w:t>
      </w:r>
      <w:r w:rsidR="00FF41A0">
        <w:rPr>
          <w:sz w:val="20"/>
          <w:szCs w:val="20"/>
          <w:lang w:val="en"/>
        </w:rPr>
        <w:t xml:space="preserve"> </w:t>
      </w:r>
      <w:r w:rsidR="00323457" w:rsidRPr="0059638B">
        <w:rPr>
          <w:sz w:val="20"/>
          <w:szCs w:val="20"/>
          <w:lang w:val="en"/>
        </w:rPr>
        <w:t>accepted</w:t>
      </w:r>
      <w:r w:rsidR="00FF41A0">
        <w:rPr>
          <w:sz w:val="20"/>
          <w:szCs w:val="20"/>
          <w:lang w:val="en"/>
        </w:rPr>
        <w:t xml:space="preserve"> </w:t>
      </w:r>
      <w:r w:rsidR="00323457" w:rsidRPr="0059638B">
        <w:rPr>
          <w:sz w:val="20"/>
          <w:szCs w:val="20"/>
          <w:lang w:val="en"/>
        </w:rPr>
        <w:t>195</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continues</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study</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feasibility</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nine</w:t>
      </w:r>
      <w:r w:rsidR="00FF41A0">
        <w:rPr>
          <w:sz w:val="20"/>
          <w:szCs w:val="20"/>
          <w:lang w:val="en"/>
        </w:rPr>
        <w:t xml:space="preserve"> </w:t>
      </w:r>
      <w:r w:rsidR="00323457" w:rsidRPr="0059638B">
        <w:rPr>
          <w:sz w:val="20"/>
          <w:szCs w:val="20"/>
          <w:lang w:val="en"/>
        </w:rPr>
        <w:t>recommendations</w:t>
      </w:r>
      <w:r w:rsidR="00FF41A0">
        <w:rPr>
          <w:sz w:val="20"/>
          <w:szCs w:val="20"/>
          <w:lang w:val="en"/>
        </w:rPr>
        <w:t xml:space="preserve"> </w:t>
      </w:r>
      <w:r w:rsidR="00323457" w:rsidRPr="0059638B">
        <w:rPr>
          <w:sz w:val="20"/>
          <w:szCs w:val="20"/>
          <w:lang w:val="en"/>
        </w:rPr>
        <w:t>noted.</w:t>
      </w:r>
    </w:p>
    <w:p w14:paraId="26E824E8" w14:textId="341267F4" w:rsidR="00323457" w:rsidRPr="0059638B" w:rsidRDefault="00972F1E" w:rsidP="00323457">
      <w:pPr>
        <w:pStyle w:val="SingleTxtG"/>
        <w:rPr>
          <w:sz w:val="20"/>
          <w:szCs w:val="20"/>
          <w:lang w:val="en"/>
        </w:rPr>
      </w:pPr>
      <w:r>
        <w:rPr>
          <w:sz w:val="20"/>
          <w:szCs w:val="20"/>
          <w:lang w:val="en"/>
        </w:rPr>
        <w:t>786</w:t>
      </w:r>
      <w:r w:rsidR="00D7475F">
        <w:rPr>
          <w:sz w:val="20"/>
          <w:szCs w:val="20"/>
          <w:lang w:val="en"/>
        </w:rPr>
        <w:t>.</w:t>
      </w:r>
      <w:r w:rsidR="00D7475F">
        <w:rPr>
          <w:sz w:val="20"/>
          <w:szCs w:val="20"/>
          <w:lang w:val="en"/>
        </w:rPr>
        <w:tab/>
      </w:r>
      <w:r w:rsidR="00323457" w:rsidRPr="0059638B">
        <w:rPr>
          <w:sz w:val="20"/>
          <w:szCs w:val="20"/>
          <w:lang w:val="en"/>
        </w:rPr>
        <w:t>With</w:t>
      </w:r>
      <w:r w:rsidR="00FF41A0">
        <w:rPr>
          <w:sz w:val="20"/>
          <w:szCs w:val="20"/>
          <w:lang w:val="en"/>
        </w:rPr>
        <w:t xml:space="preserve"> </w:t>
      </w:r>
      <w:r w:rsidR="00323457" w:rsidRPr="0059638B">
        <w:rPr>
          <w:sz w:val="20"/>
          <w:szCs w:val="20"/>
          <w:lang w:val="en"/>
        </w:rPr>
        <w:t>respect</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death</w:t>
      </w:r>
      <w:r w:rsidR="00FF41A0">
        <w:rPr>
          <w:sz w:val="20"/>
          <w:szCs w:val="20"/>
          <w:lang w:val="en"/>
        </w:rPr>
        <w:t xml:space="preserve"> </w:t>
      </w:r>
      <w:r w:rsidR="00323457" w:rsidRPr="0059638B">
        <w:rPr>
          <w:sz w:val="20"/>
          <w:szCs w:val="20"/>
          <w:lang w:val="en"/>
        </w:rPr>
        <w:t>penalty,</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Government</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Chad</w:t>
      </w:r>
      <w:r w:rsidR="00FF41A0">
        <w:rPr>
          <w:sz w:val="20"/>
          <w:szCs w:val="20"/>
          <w:lang w:val="en"/>
        </w:rPr>
        <w:t xml:space="preserve"> </w:t>
      </w:r>
      <w:r w:rsidR="00323457" w:rsidRPr="0059638B">
        <w:rPr>
          <w:sz w:val="20"/>
          <w:szCs w:val="20"/>
          <w:lang w:val="en"/>
        </w:rPr>
        <w:t>solemnly</w:t>
      </w:r>
      <w:r w:rsidR="00FF41A0">
        <w:rPr>
          <w:sz w:val="20"/>
          <w:szCs w:val="20"/>
          <w:lang w:val="en"/>
        </w:rPr>
        <w:t xml:space="preserve"> </w:t>
      </w:r>
      <w:r w:rsidR="00323457" w:rsidRPr="0059638B">
        <w:rPr>
          <w:sz w:val="20"/>
          <w:szCs w:val="20"/>
          <w:lang w:val="en"/>
        </w:rPr>
        <w:t>engaged</w:t>
      </w:r>
      <w:r w:rsidR="00FF41A0">
        <w:rPr>
          <w:sz w:val="20"/>
          <w:szCs w:val="20"/>
          <w:lang w:val="en"/>
        </w:rPr>
        <w:t xml:space="preserve"> </w:t>
      </w:r>
      <w:r w:rsidR="00323457" w:rsidRPr="0059638B">
        <w:rPr>
          <w:sz w:val="20"/>
          <w:szCs w:val="20"/>
          <w:lang w:val="en"/>
        </w:rPr>
        <w:t>itself</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observe</w:t>
      </w:r>
      <w:r w:rsidR="00FF41A0">
        <w:rPr>
          <w:sz w:val="20"/>
          <w:szCs w:val="20"/>
          <w:lang w:val="en"/>
        </w:rPr>
        <w:t xml:space="preserve"> </w:t>
      </w:r>
      <w:r w:rsidR="00323457" w:rsidRPr="0059638B">
        <w:rPr>
          <w:sz w:val="20"/>
          <w:szCs w:val="20"/>
          <w:lang w:val="en"/>
        </w:rPr>
        <w:t>a</w:t>
      </w:r>
      <w:r w:rsidR="00FF41A0">
        <w:rPr>
          <w:sz w:val="20"/>
          <w:szCs w:val="20"/>
          <w:lang w:val="en"/>
        </w:rPr>
        <w:t xml:space="preserve"> </w:t>
      </w:r>
      <w:r w:rsidR="00323457" w:rsidRPr="0059638B">
        <w:rPr>
          <w:sz w:val="20"/>
          <w:szCs w:val="20"/>
          <w:lang w:val="en"/>
        </w:rPr>
        <w:t>moratorium</w:t>
      </w:r>
      <w:r w:rsidR="00FF41A0">
        <w:rPr>
          <w:sz w:val="20"/>
          <w:szCs w:val="20"/>
          <w:lang w:val="en"/>
        </w:rPr>
        <w:t xml:space="preserve"> </w:t>
      </w:r>
      <w:r w:rsidR="00323457" w:rsidRPr="0059638B">
        <w:rPr>
          <w:sz w:val="20"/>
          <w:szCs w:val="20"/>
          <w:lang w:val="en"/>
        </w:rPr>
        <w:t>on</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death</w:t>
      </w:r>
      <w:r w:rsidR="00FF41A0">
        <w:rPr>
          <w:sz w:val="20"/>
          <w:szCs w:val="20"/>
          <w:lang w:val="en"/>
        </w:rPr>
        <w:t xml:space="preserve"> </w:t>
      </w:r>
      <w:r w:rsidR="00323457" w:rsidRPr="0059638B">
        <w:rPr>
          <w:sz w:val="20"/>
          <w:szCs w:val="20"/>
          <w:lang w:val="en"/>
        </w:rPr>
        <w:t>penalty.</w:t>
      </w:r>
      <w:r w:rsidR="00FF41A0">
        <w:rPr>
          <w:sz w:val="20"/>
          <w:szCs w:val="20"/>
          <w:lang w:val="en"/>
        </w:rPr>
        <w:t xml:space="preserve"> </w:t>
      </w:r>
      <w:r w:rsidR="00323457" w:rsidRPr="0059638B">
        <w:rPr>
          <w:sz w:val="20"/>
          <w:szCs w:val="20"/>
          <w:lang w:val="en"/>
        </w:rPr>
        <w:t>It</w:t>
      </w:r>
      <w:r w:rsidR="00FF41A0">
        <w:rPr>
          <w:sz w:val="20"/>
          <w:szCs w:val="20"/>
          <w:lang w:val="en"/>
        </w:rPr>
        <w:t xml:space="preserve"> </w:t>
      </w:r>
      <w:r w:rsidR="00323457" w:rsidRPr="0059638B">
        <w:rPr>
          <w:sz w:val="20"/>
          <w:szCs w:val="20"/>
          <w:lang w:val="en"/>
        </w:rPr>
        <w:t>is</w:t>
      </w:r>
      <w:r w:rsidR="00FF41A0">
        <w:rPr>
          <w:sz w:val="20"/>
          <w:szCs w:val="20"/>
          <w:lang w:val="en"/>
        </w:rPr>
        <w:t xml:space="preserve"> </w:t>
      </w:r>
      <w:r w:rsidR="00323457" w:rsidRPr="0059638B">
        <w:rPr>
          <w:sz w:val="20"/>
          <w:szCs w:val="20"/>
          <w:lang w:val="en"/>
        </w:rPr>
        <w:t>quite</w:t>
      </w:r>
      <w:r w:rsidR="00FF41A0">
        <w:rPr>
          <w:sz w:val="20"/>
          <w:szCs w:val="20"/>
          <w:lang w:val="en"/>
        </w:rPr>
        <w:t xml:space="preserve"> </w:t>
      </w:r>
      <w:r w:rsidR="00323457" w:rsidRPr="0059638B">
        <w:rPr>
          <w:sz w:val="20"/>
          <w:szCs w:val="20"/>
          <w:lang w:val="en"/>
        </w:rPr>
        <w:t>true</w:t>
      </w:r>
      <w:r w:rsidR="00FF41A0">
        <w:rPr>
          <w:sz w:val="20"/>
          <w:szCs w:val="20"/>
          <w:lang w:val="en"/>
        </w:rPr>
        <w:t xml:space="preserve"> </w:t>
      </w:r>
      <w:r w:rsidR="00323457" w:rsidRPr="0059638B">
        <w:rPr>
          <w:sz w:val="20"/>
          <w:szCs w:val="20"/>
          <w:lang w:val="en"/>
        </w:rPr>
        <w:t>that</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death</w:t>
      </w:r>
      <w:r w:rsidR="00FF41A0">
        <w:rPr>
          <w:sz w:val="20"/>
          <w:szCs w:val="20"/>
          <w:lang w:val="en"/>
        </w:rPr>
        <w:t xml:space="preserve"> </w:t>
      </w:r>
      <w:r w:rsidR="00323457" w:rsidRPr="0059638B">
        <w:rPr>
          <w:sz w:val="20"/>
          <w:szCs w:val="20"/>
          <w:lang w:val="en"/>
        </w:rPr>
        <w:t>penalty</w:t>
      </w:r>
      <w:r w:rsidR="00FF41A0">
        <w:rPr>
          <w:sz w:val="20"/>
          <w:szCs w:val="20"/>
          <w:lang w:val="en"/>
        </w:rPr>
        <w:t xml:space="preserve"> </w:t>
      </w:r>
      <w:r w:rsidR="00323457" w:rsidRPr="0059638B">
        <w:rPr>
          <w:sz w:val="20"/>
          <w:szCs w:val="20"/>
          <w:lang w:val="en"/>
        </w:rPr>
        <w:t>is</w:t>
      </w:r>
      <w:r w:rsidR="00FF41A0">
        <w:rPr>
          <w:sz w:val="20"/>
          <w:szCs w:val="20"/>
          <w:lang w:val="en"/>
        </w:rPr>
        <w:t xml:space="preserve"> </w:t>
      </w:r>
      <w:r w:rsidR="00323457" w:rsidRPr="0059638B">
        <w:rPr>
          <w:sz w:val="20"/>
          <w:szCs w:val="20"/>
          <w:lang w:val="en"/>
        </w:rPr>
        <w:t>abolished</w:t>
      </w:r>
      <w:r w:rsidR="00FF41A0">
        <w:rPr>
          <w:sz w:val="20"/>
          <w:szCs w:val="20"/>
          <w:lang w:val="en"/>
        </w:rPr>
        <w:t xml:space="preserve"> </w:t>
      </w:r>
      <w:r w:rsidR="00323457" w:rsidRPr="0059638B">
        <w:rPr>
          <w:sz w:val="20"/>
          <w:szCs w:val="20"/>
          <w:lang w:val="en"/>
        </w:rPr>
        <w:t>for</w:t>
      </w:r>
      <w:r w:rsidR="00FF41A0">
        <w:rPr>
          <w:sz w:val="20"/>
          <w:szCs w:val="20"/>
          <w:lang w:val="en"/>
        </w:rPr>
        <w:t xml:space="preserve"> </w:t>
      </w:r>
      <w:r w:rsidR="00323457" w:rsidRPr="0059638B">
        <w:rPr>
          <w:sz w:val="20"/>
          <w:szCs w:val="20"/>
          <w:lang w:val="en"/>
        </w:rPr>
        <w:t>ordinary</w:t>
      </w:r>
      <w:r w:rsidR="00FF41A0">
        <w:rPr>
          <w:sz w:val="20"/>
          <w:szCs w:val="20"/>
          <w:lang w:val="en"/>
        </w:rPr>
        <w:t xml:space="preserve"> </w:t>
      </w:r>
      <w:r w:rsidR="00323457" w:rsidRPr="0059638B">
        <w:rPr>
          <w:sz w:val="20"/>
          <w:szCs w:val="20"/>
          <w:lang w:val="en"/>
        </w:rPr>
        <w:t>crimes</w:t>
      </w:r>
      <w:r w:rsidR="00FF41A0">
        <w:rPr>
          <w:sz w:val="20"/>
          <w:szCs w:val="20"/>
          <w:lang w:val="en"/>
        </w:rPr>
        <w:t xml:space="preserve"> </w:t>
      </w:r>
      <w:r w:rsidR="00323457" w:rsidRPr="0059638B">
        <w:rPr>
          <w:sz w:val="20"/>
          <w:szCs w:val="20"/>
          <w:lang w:val="en"/>
        </w:rPr>
        <w:t>since</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adoption</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2017</w:t>
      </w:r>
      <w:r w:rsidR="00FF41A0">
        <w:rPr>
          <w:sz w:val="20"/>
          <w:szCs w:val="20"/>
          <w:lang w:val="en"/>
        </w:rPr>
        <w:t xml:space="preserve"> </w:t>
      </w:r>
      <w:r w:rsidR="00323457" w:rsidRPr="0059638B">
        <w:rPr>
          <w:sz w:val="20"/>
          <w:szCs w:val="20"/>
          <w:lang w:val="en"/>
        </w:rPr>
        <w:t>Criminal</w:t>
      </w:r>
      <w:r w:rsidR="00FF41A0">
        <w:rPr>
          <w:sz w:val="20"/>
          <w:szCs w:val="20"/>
          <w:lang w:val="en"/>
        </w:rPr>
        <w:t xml:space="preserve"> </w:t>
      </w:r>
      <w:r w:rsidR="00323457" w:rsidRPr="0059638B">
        <w:rPr>
          <w:sz w:val="20"/>
          <w:szCs w:val="20"/>
          <w:lang w:val="en"/>
        </w:rPr>
        <w:t>Code.</w:t>
      </w:r>
      <w:r w:rsidR="00FF41A0">
        <w:rPr>
          <w:sz w:val="20"/>
          <w:szCs w:val="20"/>
          <w:lang w:val="en"/>
        </w:rPr>
        <w:t xml:space="preserve"> </w:t>
      </w:r>
      <w:r w:rsidR="00323457" w:rsidRPr="0059638B">
        <w:rPr>
          <w:sz w:val="20"/>
          <w:szCs w:val="20"/>
          <w:lang w:val="en"/>
        </w:rPr>
        <w:t>However,</w:t>
      </w:r>
      <w:r w:rsidR="00FF41A0">
        <w:rPr>
          <w:sz w:val="20"/>
          <w:szCs w:val="20"/>
          <w:lang w:val="en"/>
        </w:rPr>
        <w:t xml:space="preserve"> </w:t>
      </w:r>
      <w:r w:rsidR="00323457" w:rsidRPr="0059638B">
        <w:rPr>
          <w:sz w:val="20"/>
          <w:szCs w:val="20"/>
          <w:lang w:val="en"/>
        </w:rPr>
        <w:t>it</w:t>
      </w:r>
      <w:r w:rsidR="00FF41A0">
        <w:rPr>
          <w:sz w:val="20"/>
          <w:szCs w:val="20"/>
          <w:lang w:val="en"/>
        </w:rPr>
        <w:t xml:space="preserve"> </w:t>
      </w:r>
      <w:r w:rsidR="00323457" w:rsidRPr="0059638B">
        <w:rPr>
          <w:sz w:val="20"/>
          <w:szCs w:val="20"/>
          <w:lang w:val="en"/>
        </w:rPr>
        <w:t>remains</w:t>
      </w:r>
      <w:r w:rsidR="00FF41A0">
        <w:rPr>
          <w:sz w:val="20"/>
          <w:szCs w:val="20"/>
          <w:lang w:val="en"/>
        </w:rPr>
        <w:t xml:space="preserve"> </w:t>
      </w:r>
      <w:r w:rsidR="00323457" w:rsidRPr="0059638B">
        <w:rPr>
          <w:sz w:val="20"/>
          <w:szCs w:val="20"/>
          <w:lang w:val="en"/>
        </w:rPr>
        <w:t>in</w:t>
      </w:r>
      <w:r w:rsidR="00FF41A0">
        <w:rPr>
          <w:sz w:val="20"/>
          <w:szCs w:val="20"/>
          <w:lang w:val="en"/>
        </w:rPr>
        <w:t xml:space="preserve"> </w:t>
      </w:r>
      <w:r w:rsidR="00323457" w:rsidRPr="0059638B">
        <w:rPr>
          <w:sz w:val="20"/>
          <w:szCs w:val="20"/>
          <w:lang w:val="en"/>
        </w:rPr>
        <w:t>law</w:t>
      </w:r>
      <w:r w:rsidR="00FF41A0">
        <w:rPr>
          <w:sz w:val="20"/>
          <w:szCs w:val="20"/>
          <w:lang w:val="en"/>
        </w:rPr>
        <w:t xml:space="preserve"> </w:t>
      </w:r>
      <w:r w:rsidR="00323457" w:rsidRPr="0059638B">
        <w:rPr>
          <w:sz w:val="20"/>
          <w:szCs w:val="20"/>
          <w:lang w:val="en"/>
        </w:rPr>
        <w:t>34</w:t>
      </w:r>
      <w:r w:rsidR="00FF41A0">
        <w:rPr>
          <w:sz w:val="20"/>
          <w:szCs w:val="20"/>
          <w:lang w:val="en"/>
        </w:rPr>
        <w:t xml:space="preserve"> </w:t>
      </w:r>
      <w:r w:rsidR="00323457" w:rsidRPr="0059638B">
        <w:rPr>
          <w:sz w:val="20"/>
          <w:szCs w:val="20"/>
          <w:lang w:val="en"/>
        </w:rPr>
        <w:t>on</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fight</w:t>
      </w:r>
      <w:r w:rsidR="00FF41A0">
        <w:rPr>
          <w:sz w:val="20"/>
          <w:szCs w:val="20"/>
          <w:lang w:val="en"/>
        </w:rPr>
        <w:t xml:space="preserve"> </w:t>
      </w:r>
      <w:r w:rsidR="00323457" w:rsidRPr="0059638B">
        <w:rPr>
          <w:sz w:val="20"/>
          <w:szCs w:val="20"/>
          <w:lang w:val="en"/>
        </w:rPr>
        <w:t>against</w:t>
      </w:r>
      <w:r w:rsidR="00FF41A0">
        <w:rPr>
          <w:sz w:val="20"/>
          <w:szCs w:val="20"/>
          <w:lang w:val="en"/>
        </w:rPr>
        <w:t xml:space="preserve"> </w:t>
      </w:r>
      <w:r w:rsidR="00323457" w:rsidRPr="0059638B">
        <w:rPr>
          <w:sz w:val="20"/>
          <w:szCs w:val="20"/>
          <w:lang w:val="en"/>
        </w:rPr>
        <w:t>terrorism</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a</w:t>
      </w:r>
      <w:r w:rsidR="00FF41A0">
        <w:rPr>
          <w:sz w:val="20"/>
          <w:szCs w:val="20"/>
          <w:lang w:val="en"/>
        </w:rPr>
        <w:t xml:space="preserve"> </w:t>
      </w:r>
      <w:r w:rsidR="00323457" w:rsidRPr="0059638B">
        <w:rPr>
          <w:sz w:val="20"/>
          <w:szCs w:val="20"/>
          <w:lang w:val="en"/>
        </w:rPr>
        <w:t>subject</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debate</w:t>
      </w:r>
      <w:r w:rsidR="00FF41A0">
        <w:rPr>
          <w:sz w:val="20"/>
          <w:szCs w:val="20"/>
          <w:lang w:val="en"/>
        </w:rPr>
        <w:t xml:space="preserve"> </w:t>
      </w:r>
      <w:r w:rsidR="00323457" w:rsidRPr="0059638B">
        <w:rPr>
          <w:sz w:val="20"/>
          <w:szCs w:val="20"/>
          <w:lang w:val="en"/>
        </w:rPr>
        <w:t>amongst</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people.</w:t>
      </w:r>
      <w:r w:rsidR="00FF41A0">
        <w:rPr>
          <w:sz w:val="20"/>
          <w:szCs w:val="20"/>
          <w:lang w:val="en"/>
        </w:rPr>
        <w:t xml:space="preserve"> </w:t>
      </w:r>
      <w:r w:rsidR="00323457" w:rsidRPr="0059638B">
        <w:rPr>
          <w:sz w:val="20"/>
          <w:szCs w:val="20"/>
          <w:lang w:val="en"/>
        </w:rPr>
        <w:t>In</w:t>
      </w:r>
      <w:r w:rsidR="00FF41A0">
        <w:rPr>
          <w:sz w:val="20"/>
          <w:szCs w:val="20"/>
          <w:lang w:val="en"/>
        </w:rPr>
        <w:t xml:space="preserve"> </w:t>
      </w:r>
      <w:r w:rsidR="00323457" w:rsidRPr="0059638B">
        <w:rPr>
          <w:sz w:val="20"/>
          <w:szCs w:val="20"/>
          <w:lang w:val="en"/>
        </w:rPr>
        <w:t>November</w:t>
      </w:r>
      <w:r w:rsidR="00FF41A0">
        <w:rPr>
          <w:sz w:val="20"/>
          <w:szCs w:val="20"/>
          <w:lang w:val="en"/>
        </w:rPr>
        <w:t xml:space="preserve"> </w:t>
      </w:r>
      <w:r w:rsidR="00323457" w:rsidRPr="0059638B">
        <w:rPr>
          <w:sz w:val="20"/>
          <w:szCs w:val="20"/>
          <w:lang w:val="en"/>
        </w:rPr>
        <w:t>2018,</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Ministry</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Justice</w:t>
      </w:r>
      <w:r w:rsidR="00FF41A0">
        <w:rPr>
          <w:sz w:val="20"/>
          <w:szCs w:val="20"/>
          <w:lang w:val="en"/>
        </w:rPr>
        <w:t xml:space="preserve"> </w:t>
      </w:r>
      <w:r w:rsidR="00323457" w:rsidRPr="0059638B">
        <w:rPr>
          <w:sz w:val="20"/>
          <w:szCs w:val="20"/>
          <w:lang w:val="en"/>
        </w:rPr>
        <w:t>convened</w:t>
      </w:r>
      <w:r w:rsidR="00FF41A0">
        <w:rPr>
          <w:sz w:val="20"/>
          <w:szCs w:val="20"/>
          <w:lang w:val="en"/>
        </w:rPr>
        <w:t xml:space="preserve"> </w:t>
      </w:r>
      <w:r w:rsidR="00323457" w:rsidRPr="0059638B">
        <w:rPr>
          <w:sz w:val="20"/>
          <w:szCs w:val="20"/>
          <w:lang w:val="en"/>
        </w:rPr>
        <w:t>an</w:t>
      </w:r>
      <w:r w:rsidR="00FF41A0">
        <w:rPr>
          <w:sz w:val="20"/>
          <w:szCs w:val="20"/>
          <w:lang w:val="en"/>
        </w:rPr>
        <w:t xml:space="preserve"> </w:t>
      </w:r>
      <w:r w:rsidR="00323457" w:rsidRPr="0059638B">
        <w:rPr>
          <w:sz w:val="20"/>
          <w:szCs w:val="20"/>
          <w:lang w:val="en"/>
        </w:rPr>
        <w:t>experts</w:t>
      </w:r>
      <w:r w:rsidR="00D72627">
        <w:rPr>
          <w:sz w:val="20"/>
          <w:szCs w:val="20"/>
          <w:lang w:val="en"/>
        </w:rPr>
        <w:t>’</w:t>
      </w:r>
      <w:r w:rsidR="00FF41A0">
        <w:rPr>
          <w:sz w:val="20"/>
          <w:szCs w:val="20"/>
          <w:lang w:val="en"/>
        </w:rPr>
        <w:t xml:space="preserve"> </w:t>
      </w:r>
      <w:r w:rsidR="00323457" w:rsidRPr="0059638B">
        <w:rPr>
          <w:sz w:val="20"/>
          <w:szCs w:val="20"/>
          <w:lang w:val="en"/>
        </w:rPr>
        <w:t>workshop</w:t>
      </w:r>
      <w:r w:rsidR="00FF41A0">
        <w:rPr>
          <w:sz w:val="20"/>
          <w:szCs w:val="20"/>
          <w:lang w:val="en"/>
        </w:rPr>
        <w:t xml:space="preserve"> </w:t>
      </w:r>
      <w:r w:rsidR="00323457" w:rsidRPr="0059638B">
        <w:rPr>
          <w:sz w:val="20"/>
          <w:szCs w:val="20"/>
          <w:lang w:val="en"/>
        </w:rPr>
        <w:t>which</w:t>
      </w:r>
      <w:r w:rsidR="00FF41A0">
        <w:rPr>
          <w:sz w:val="20"/>
          <w:szCs w:val="20"/>
          <w:lang w:val="en"/>
        </w:rPr>
        <w:t xml:space="preserve"> </w:t>
      </w:r>
      <w:r w:rsidR="00323457" w:rsidRPr="0059638B">
        <w:rPr>
          <w:sz w:val="20"/>
          <w:szCs w:val="20"/>
          <w:lang w:val="en"/>
        </w:rPr>
        <w:t>put</w:t>
      </w:r>
      <w:r w:rsidR="00FF41A0">
        <w:rPr>
          <w:sz w:val="20"/>
          <w:szCs w:val="20"/>
          <w:lang w:val="en"/>
        </w:rPr>
        <w:t xml:space="preserve"> </w:t>
      </w:r>
      <w:r w:rsidR="00323457" w:rsidRPr="0059638B">
        <w:rPr>
          <w:sz w:val="20"/>
          <w:szCs w:val="20"/>
          <w:lang w:val="en"/>
        </w:rPr>
        <w:t>forward</w:t>
      </w:r>
      <w:r w:rsidR="00FF41A0">
        <w:rPr>
          <w:sz w:val="20"/>
          <w:szCs w:val="20"/>
          <w:lang w:val="en"/>
        </w:rPr>
        <w:t xml:space="preserve"> </w:t>
      </w:r>
      <w:r w:rsidR="00323457" w:rsidRPr="0059638B">
        <w:rPr>
          <w:sz w:val="20"/>
          <w:szCs w:val="20"/>
          <w:lang w:val="en"/>
        </w:rPr>
        <w:t>a</w:t>
      </w:r>
      <w:r w:rsidR="00FF41A0">
        <w:rPr>
          <w:sz w:val="20"/>
          <w:szCs w:val="20"/>
          <w:lang w:val="en"/>
        </w:rPr>
        <w:t xml:space="preserve"> </w:t>
      </w:r>
      <w:r w:rsidR="00323457" w:rsidRPr="0059638B">
        <w:rPr>
          <w:sz w:val="20"/>
          <w:szCs w:val="20"/>
          <w:lang w:val="en"/>
        </w:rPr>
        <w:t>draft</w:t>
      </w:r>
      <w:r w:rsidR="00FF41A0">
        <w:rPr>
          <w:sz w:val="20"/>
          <w:szCs w:val="20"/>
          <w:lang w:val="en"/>
        </w:rPr>
        <w:t xml:space="preserve"> </w:t>
      </w:r>
      <w:r w:rsidR="00323457" w:rsidRPr="0059638B">
        <w:rPr>
          <w:sz w:val="20"/>
          <w:szCs w:val="20"/>
          <w:lang w:val="en"/>
        </w:rPr>
        <w:t>bill</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Government</w:t>
      </w:r>
      <w:r w:rsidR="00FF41A0">
        <w:rPr>
          <w:sz w:val="20"/>
          <w:szCs w:val="20"/>
          <w:lang w:val="en"/>
        </w:rPr>
        <w:t xml:space="preserve"> </w:t>
      </w:r>
      <w:r w:rsidR="00323457" w:rsidRPr="0059638B">
        <w:rPr>
          <w:sz w:val="20"/>
          <w:szCs w:val="20"/>
          <w:lang w:val="en"/>
        </w:rPr>
        <w:t>that</w:t>
      </w:r>
      <w:r w:rsidR="00FF41A0">
        <w:rPr>
          <w:sz w:val="20"/>
          <w:szCs w:val="20"/>
          <w:lang w:val="en"/>
        </w:rPr>
        <w:t xml:space="preserve"> </w:t>
      </w:r>
      <w:r w:rsidR="00323457" w:rsidRPr="0059638B">
        <w:rPr>
          <w:sz w:val="20"/>
          <w:szCs w:val="20"/>
          <w:lang w:val="en"/>
        </w:rPr>
        <w:t>reforms</w:t>
      </w:r>
      <w:r w:rsidR="00FF41A0">
        <w:rPr>
          <w:sz w:val="20"/>
          <w:szCs w:val="20"/>
          <w:lang w:val="en"/>
        </w:rPr>
        <w:t xml:space="preserve"> </w:t>
      </w:r>
      <w:r w:rsidR="00323457" w:rsidRPr="0059638B">
        <w:rPr>
          <w:sz w:val="20"/>
          <w:szCs w:val="20"/>
          <w:lang w:val="en"/>
        </w:rPr>
        <w:t>law</w:t>
      </w:r>
      <w:r w:rsidR="00FF41A0">
        <w:rPr>
          <w:sz w:val="20"/>
          <w:szCs w:val="20"/>
          <w:lang w:val="en"/>
        </w:rPr>
        <w:t xml:space="preserve"> </w:t>
      </w:r>
      <w:r w:rsidR="00323457" w:rsidRPr="0059638B">
        <w:rPr>
          <w:sz w:val="20"/>
          <w:szCs w:val="20"/>
          <w:lang w:val="en"/>
        </w:rPr>
        <w:t>34</w:t>
      </w:r>
      <w:r w:rsidR="00FF41A0">
        <w:rPr>
          <w:sz w:val="20"/>
          <w:szCs w:val="20"/>
          <w:lang w:val="en"/>
        </w:rPr>
        <w:t xml:space="preserve"> </w:t>
      </w:r>
      <w:r w:rsidR="00323457" w:rsidRPr="0059638B">
        <w:rPr>
          <w:sz w:val="20"/>
          <w:szCs w:val="20"/>
          <w:lang w:val="en"/>
        </w:rPr>
        <w:t>in</w:t>
      </w:r>
      <w:r w:rsidR="00FF41A0">
        <w:rPr>
          <w:sz w:val="20"/>
          <w:szCs w:val="20"/>
          <w:lang w:val="en"/>
        </w:rPr>
        <w:t xml:space="preserve"> </w:t>
      </w:r>
      <w:r w:rsidR="00323457" w:rsidRPr="0059638B">
        <w:rPr>
          <w:sz w:val="20"/>
          <w:szCs w:val="20"/>
          <w:lang w:val="en"/>
        </w:rPr>
        <w:t>its</w:t>
      </w:r>
      <w:r w:rsidR="00FF41A0">
        <w:rPr>
          <w:sz w:val="20"/>
          <w:szCs w:val="20"/>
          <w:lang w:val="en"/>
        </w:rPr>
        <w:t xml:space="preserve"> </w:t>
      </w:r>
      <w:r w:rsidR="00323457" w:rsidRPr="0059638B">
        <w:rPr>
          <w:sz w:val="20"/>
          <w:szCs w:val="20"/>
          <w:lang w:val="en"/>
        </w:rPr>
        <w:t>provisions</w:t>
      </w:r>
      <w:r w:rsidR="00FF41A0">
        <w:rPr>
          <w:sz w:val="20"/>
          <w:szCs w:val="20"/>
          <w:lang w:val="en"/>
        </w:rPr>
        <w:t xml:space="preserve"> </w:t>
      </w:r>
      <w:r w:rsidR="00323457" w:rsidRPr="0059638B">
        <w:rPr>
          <w:sz w:val="20"/>
          <w:szCs w:val="20"/>
          <w:lang w:val="en"/>
        </w:rPr>
        <w:t>pertaining</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death</w:t>
      </w:r>
      <w:r w:rsidR="00FF41A0">
        <w:rPr>
          <w:sz w:val="20"/>
          <w:szCs w:val="20"/>
          <w:lang w:val="en"/>
        </w:rPr>
        <w:t xml:space="preserve"> </w:t>
      </w:r>
      <w:r w:rsidR="00323457" w:rsidRPr="0059638B">
        <w:rPr>
          <w:sz w:val="20"/>
          <w:szCs w:val="20"/>
          <w:lang w:val="en"/>
        </w:rPr>
        <w:t>penalty.</w:t>
      </w:r>
    </w:p>
    <w:p w14:paraId="32DC98DF" w14:textId="7FDA63B8" w:rsidR="00323457" w:rsidRPr="0059638B" w:rsidRDefault="00972F1E" w:rsidP="00323457">
      <w:pPr>
        <w:pStyle w:val="SingleTxtG"/>
        <w:rPr>
          <w:sz w:val="20"/>
          <w:szCs w:val="20"/>
          <w:lang w:val="en" w:eastAsia="en-GB"/>
        </w:rPr>
      </w:pPr>
      <w:r>
        <w:rPr>
          <w:sz w:val="20"/>
          <w:szCs w:val="20"/>
          <w:lang w:val="en" w:eastAsia="en-GB"/>
        </w:rPr>
        <w:t>787</w:t>
      </w:r>
      <w:r w:rsidR="00D7475F">
        <w:rPr>
          <w:sz w:val="20"/>
          <w:szCs w:val="20"/>
          <w:lang w:val="en" w:eastAsia="en-GB"/>
        </w:rPr>
        <w:t>.</w:t>
      </w:r>
      <w:r w:rsidR="00D7475F">
        <w:rPr>
          <w:sz w:val="20"/>
          <w:szCs w:val="20"/>
          <w:lang w:val="en" w:eastAsia="en-GB"/>
        </w:rPr>
        <w:tab/>
      </w:r>
      <w:r w:rsidR="00323457" w:rsidRPr="0059638B">
        <w:rPr>
          <w:sz w:val="20"/>
          <w:szCs w:val="20"/>
          <w:lang w:val="en" w:eastAsia="en-GB"/>
        </w:rPr>
        <w:t>The</w:t>
      </w:r>
      <w:r w:rsidR="00FF41A0">
        <w:rPr>
          <w:sz w:val="20"/>
          <w:szCs w:val="20"/>
          <w:lang w:val="en" w:eastAsia="en-GB"/>
        </w:rPr>
        <w:t xml:space="preserve"> </w:t>
      </w:r>
      <w:r w:rsidR="00323457" w:rsidRPr="0059638B">
        <w:rPr>
          <w:sz w:val="20"/>
          <w:szCs w:val="20"/>
          <w:lang w:val="en" w:eastAsia="en-GB"/>
        </w:rPr>
        <w:t>implementation</w:t>
      </w:r>
      <w:r w:rsidR="00FF41A0">
        <w:rPr>
          <w:sz w:val="20"/>
          <w:szCs w:val="20"/>
          <w:lang w:val="en" w:eastAsia="en-GB"/>
        </w:rPr>
        <w:t xml:space="preserve"> </w:t>
      </w:r>
      <w:r w:rsidR="00323457" w:rsidRPr="0059638B">
        <w:rPr>
          <w:sz w:val="20"/>
          <w:szCs w:val="20"/>
          <w:lang w:val="en" w:eastAsia="en-GB"/>
        </w:rPr>
        <w:t>of</w:t>
      </w:r>
      <w:r w:rsidR="00FF41A0">
        <w:rPr>
          <w:sz w:val="20"/>
          <w:szCs w:val="20"/>
          <w:lang w:val="en" w:eastAsia="en-GB"/>
        </w:rPr>
        <w:t xml:space="preserve"> </w:t>
      </w:r>
      <w:r w:rsidR="00323457" w:rsidRPr="0059638B">
        <w:rPr>
          <w:sz w:val="20"/>
          <w:szCs w:val="20"/>
          <w:lang w:val="en" w:eastAsia="en-GB"/>
        </w:rPr>
        <w:t>recommendations</w:t>
      </w:r>
      <w:r w:rsidR="00FF41A0">
        <w:rPr>
          <w:sz w:val="20"/>
          <w:szCs w:val="20"/>
          <w:lang w:val="en" w:eastAsia="en-GB"/>
        </w:rPr>
        <w:t xml:space="preserve"> </w:t>
      </w:r>
      <w:r w:rsidR="00323457" w:rsidRPr="0059638B">
        <w:rPr>
          <w:sz w:val="20"/>
          <w:szCs w:val="20"/>
          <w:lang w:val="en" w:eastAsia="en-GB"/>
        </w:rPr>
        <w:t>with</w:t>
      </w:r>
      <w:r w:rsidR="00FF41A0">
        <w:rPr>
          <w:sz w:val="20"/>
          <w:szCs w:val="20"/>
          <w:lang w:val="en" w:eastAsia="en-GB"/>
        </w:rPr>
        <w:t xml:space="preserve"> </w:t>
      </w:r>
      <w:r w:rsidR="00323457" w:rsidRPr="0059638B">
        <w:rPr>
          <w:sz w:val="20"/>
          <w:szCs w:val="20"/>
          <w:lang w:val="en" w:eastAsia="en-GB"/>
        </w:rPr>
        <w:t>a</w:t>
      </w:r>
      <w:r w:rsidR="00FF41A0">
        <w:rPr>
          <w:sz w:val="20"/>
          <w:szCs w:val="20"/>
          <w:lang w:val="en" w:eastAsia="en-GB"/>
        </w:rPr>
        <w:t xml:space="preserve"> </w:t>
      </w:r>
      <w:r w:rsidR="00323457" w:rsidRPr="0059638B">
        <w:rPr>
          <w:sz w:val="20"/>
          <w:szCs w:val="20"/>
          <w:lang w:val="en" w:eastAsia="en-GB"/>
        </w:rPr>
        <w:t>security</w:t>
      </w:r>
      <w:r w:rsidR="00FF41A0">
        <w:rPr>
          <w:sz w:val="20"/>
          <w:szCs w:val="20"/>
          <w:lang w:val="en" w:eastAsia="en-GB"/>
        </w:rPr>
        <w:t xml:space="preserve"> </w:t>
      </w:r>
      <w:r w:rsidR="00323457" w:rsidRPr="0059638B">
        <w:rPr>
          <w:sz w:val="20"/>
          <w:szCs w:val="20"/>
          <w:lang w:val="en" w:eastAsia="en-GB"/>
        </w:rPr>
        <w:t>focus</w:t>
      </w:r>
      <w:r w:rsidR="00FF41A0">
        <w:rPr>
          <w:sz w:val="20"/>
          <w:szCs w:val="20"/>
          <w:lang w:val="en" w:eastAsia="en-GB"/>
        </w:rPr>
        <w:t xml:space="preserve"> </w:t>
      </w:r>
      <w:r w:rsidR="00323457" w:rsidRPr="0059638B">
        <w:rPr>
          <w:sz w:val="20"/>
          <w:szCs w:val="20"/>
          <w:lang w:val="en" w:eastAsia="en-GB"/>
        </w:rPr>
        <w:t>must</w:t>
      </w:r>
      <w:r w:rsidR="00FF41A0">
        <w:rPr>
          <w:sz w:val="20"/>
          <w:szCs w:val="20"/>
          <w:lang w:val="en" w:eastAsia="en-GB"/>
        </w:rPr>
        <w:t xml:space="preserve"> </w:t>
      </w:r>
      <w:r w:rsidR="00323457" w:rsidRPr="0059638B">
        <w:rPr>
          <w:sz w:val="20"/>
          <w:szCs w:val="20"/>
          <w:lang w:val="en" w:eastAsia="en-GB"/>
        </w:rPr>
        <w:t>imperatively</w:t>
      </w:r>
      <w:r w:rsidR="00FF41A0">
        <w:rPr>
          <w:sz w:val="20"/>
          <w:szCs w:val="20"/>
          <w:lang w:val="en" w:eastAsia="en-GB"/>
        </w:rPr>
        <w:t xml:space="preserve"> </w:t>
      </w:r>
      <w:r w:rsidR="00323457" w:rsidRPr="0059638B">
        <w:rPr>
          <w:sz w:val="20"/>
          <w:szCs w:val="20"/>
          <w:lang w:val="en" w:eastAsia="en-GB"/>
        </w:rPr>
        <w:t>take</w:t>
      </w:r>
      <w:r w:rsidR="00FF41A0">
        <w:rPr>
          <w:sz w:val="20"/>
          <w:szCs w:val="20"/>
          <w:lang w:val="en" w:eastAsia="en-GB"/>
        </w:rPr>
        <w:t xml:space="preserve"> </w:t>
      </w:r>
      <w:r w:rsidR="00323457" w:rsidRPr="0059638B">
        <w:rPr>
          <w:sz w:val="20"/>
          <w:szCs w:val="20"/>
          <w:lang w:val="en" w:eastAsia="en-GB"/>
        </w:rPr>
        <w:t>into</w:t>
      </w:r>
      <w:r w:rsidR="00FF41A0">
        <w:rPr>
          <w:sz w:val="20"/>
          <w:szCs w:val="20"/>
          <w:lang w:val="en" w:eastAsia="en-GB"/>
        </w:rPr>
        <w:t xml:space="preserve"> </w:t>
      </w:r>
      <w:r w:rsidR="00323457" w:rsidRPr="0059638B">
        <w:rPr>
          <w:sz w:val="20"/>
          <w:szCs w:val="20"/>
          <w:lang w:val="en" w:eastAsia="en-GB"/>
        </w:rPr>
        <w:t>account</w:t>
      </w:r>
      <w:r w:rsidR="00FF41A0">
        <w:rPr>
          <w:sz w:val="20"/>
          <w:szCs w:val="20"/>
          <w:lang w:val="en" w:eastAsia="en-GB"/>
        </w:rPr>
        <w:t xml:space="preserve"> </w:t>
      </w:r>
      <w:r w:rsidR="00323457" w:rsidRPr="0059638B">
        <w:rPr>
          <w:sz w:val="20"/>
          <w:szCs w:val="20"/>
          <w:lang w:val="en" w:eastAsia="en-GB"/>
        </w:rPr>
        <w:t>security</w:t>
      </w:r>
      <w:r w:rsidR="00FF41A0">
        <w:rPr>
          <w:sz w:val="20"/>
          <w:szCs w:val="20"/>
          <w:lang w:val="en" w:eastAsia="en-GB"/>
        </w:rPr>
        <w:t xml:space="preserve"> </w:t>
      </w:r>
      <w:r w:rsidR="00323457" w:rsidRPr="0059638B">
        <w:rPr>
          <w:sz w:val="20"/>
          <w:szCs w:val="20"/>
          <w:lang w:val="en" w:eastAsia="en-GB"/>
        </w:rPr>
        <w:t>issues</w:t>
      </w:r>
      <w:r w:rsidR="00FF41A0">
        <w:rPr>
          <w:sz w:val="20"/>
          <w:szCs w:val="20"/>
          <w:lang w:val="en" w:eastAsia="en-GB"/>
        </w:rPr>
        <w:t xml:space="preserve"> </w:t>
      </w:r>
      <w:r w:rsidR="00323457" w:rsidRPr="0059638B">
        <w:rPr>
          <w:sz w:val="20"/>
          <w:szCs w:val="20"/>
          <w:lang w:val="en" w:eastAsia="en-GB"/>
        </w:rPr>
        <w:t>in</w:t>
      </w:r>
      <w:r w:rsidR="00FF41A0">
        <w:rPr>
          <w:sz w:val="20"/>
          <w:szCs w:val="20"/>
          <w:lang w:val="en" w:eastAsia="en-GB"/>
        </w:rPr>
        <w:t xml:space="preserve"> </w:t>
      </w:r>
      <w:r w:rsidR="00323457" w:rsidRPr="0059638B">
        <w:rPr>
          <w:sz w:val="20"/>
          <w:szCs w:val="20"/>
          <w:lang w:val="en" w:eastAsia="en-GB"/>
        </w:rPr>
        <w:t>the</w:t>
      </w:r>
      <w:r w:rsidR="00FF41A0">
        <w:rPr>
          <w:sz w:val="20"/>
          <w:szCs w:val="20"/>
          <w:lang w:val="en" w:eastAsia="en-GB"/>
        </w:rPr>
        <w:t xml:space="preserve"> </w:t>
      </w:r>
      <w:r w:rsidR="00323457" w:rsidRPr="0059638B">
        <w:rPr>
          <w:sz w:val="20"/>
          <w:szCs w:val="20"/>
          <w:lang w:val="en" w:eastAsia="en-GB"/>
        </w:rPr>
        <w:t>Sahel</w:t>
      </w:r>
      <w:r w:rsidR="00FF41A0">
        <w:rPr>
          <w:sz w:val="20"/>
          <w:szCs w:val="20"/>
          <w:lang w:val="en" w:eastAsia="en-GB"/>
        </w:rPr>
        <w:t xml:space="preserve"> </w:t>
      </w:r>
      <w:r w:rsidR="00323457" w:rsidRPr="0059638B">
        <w:rPr>
          <w:sz w:val="20"/>
          <w:szCs w:val="20"/>
          <w:lang w:val="en" w:eastAsia="en-GB"/>
        </w:rPr>
        <w:t>region,</w:t>
      </w:r>
      <w:r w:rsidR="00FF41A0">
        <w:rPr>
          <w:sz w:val="20"/>
          <w:szCs w:val="20"/>
          <w:lang w:val="en" w:eastAsia="en-GB"/>
        </w:rPr>
        <w:t xml:space="preserve"> </w:t>
      </w:r>
      <w:r w:rsidR="00323457" w:rsidRPr="0059638B">
        <w:rPr>
          <w:sz w:val="20"/>
          <w:szCs w:val="20"/>
          <w:lang w:val="en" w:eastAsia="en-GB"/>
        </w:rPr>
        <w:t>the</w:t>
      </w:r>
      <w:r w:rsidR="00FF41A0">
        <w:rPr>
          <w:sz w:val="20"/>
          <w:szCs w:val="20"/>
          <w:lang w:val="en" w:eastAsia="en-GB"/>
        </w:rPr>
        <w:t xml:space="preserve"> </w:t>
      </w:r>
      <w:r w:rsidR="00323457" w:rsidRPr="0059638B">
        <w:rPr>
          <w:sz w:val="20"/>
          <w:szCs w:val="20"/>
          <w:lang w:val="en" w:eastAsia="en-GB"/>
        </w:rPr>
        <w:t>complexity</w:t>
      </w:r>
      <w:r w:rsidR="00FF41A0">
        <w:rPr>
          <w:sz w:val="20"/>
          <w:szCs w:val="20"/>
          <w:lang w:val="en" w:eastAsia="en-GB"/>
        </w:rPr>
        <w:t xml:space="preserve"> </w:t>
      </w:r>
      <w:r w:rsidR="00323457" w:rsidRPr="0059638B">
        <w:rPr>
          <w:sz w:val="20"/>
          <w:szCs w:val="20"/>
          <w:lang w:val="en" w:eastAsia="en-GB"/>
        </w:rPr>
        <w:t>of</w:t>
      </w:r>
      <w:r w:rsidR="00FF41A0">
        <w:rPr>
          <w:sz w:val="20"/>
          <w:szCs w:val="20"/>
          <w:lang w:val="en" w:eastAsia="en-GB"/>
        </w:rPr>
        <w:t xml:space="preserve"> </w:t>
      </w:r>
      <w:r w:rsidR="00323457" w:rsidRPr="0059638B">
        <w:rPr>
          <w:sz w:val="20"/>
          <w:szCs w:val="20"/>
          <w:lang w:val="en" w:eastAsia="en-GB"/>
        </w:rPr>
        <w:t>this</w:t>
      </w:r>
      <w:r w:rsidR="00FF41A0">
        <w:rPr>
          <w:sz w:val="20"/>
          <w:szCs w:val="20"/>
          <w:lang w:val="en" w:eastAsia="en-GB"/>
        </w:rPr>
        <w:t xml:space="preserve"> </w:t>
      </w:r>
      <w:r w:rsidR="00323457" w:rsidRPr="0059638B">
        <w:rPr>
          <w:sz w:val="20"/>
          <w:szCs w:val="20"/>
          <w:lang w:val="en" w:eastAsia="en-GB"/>
        </w:rPr>
        <w:t>struggle</w:t>
      </w:r>
      <w:r w:rsidR="00FF41A0">
        <w:rPr>
          <w:sz w:val="20"/>
          <w:szCs w:val="20"/>
          <w:lang w:val="en" w:eastAsia="en-GB"/>
        </w:rPr>
        <w:t xml:space="preserve"> </w:t>
      </w:r>
      <w:r w:rsidR="00323457" w:rsidRPr="0059638B">
        <w:rPr>
          <w:sz w:val="20"/>
          <w:szCs w:val="20"/>
          <w:lang w:val="en" w:eastAsia="en-GB"/>
        </w:rPr>
        <w:t>with</w:t>
      </w:r>
      <w:r w:rsidR="00FF41A0">
        <w:rPr>
          <w:sz w:val="20"/>
          <w:szCs w:val="20"/>
          <w:lang w:val="en" w:eastAsia="en-GB"/>
        </w:rPr>
        <w:t xml:space="preserve"> </w:t>
      </w:r>
      <w:r w:rsidR="00323457" w:rsidRPr="0059638B">
        <w:rPr>
          <w:sz w:val="20"/>
          <w:szCs w:val="20"/>
          <w:lang w:val="en" w:eastAsia="en-GB"/>
        </w:rPr>
        <w:t>an</w:t>
      </w:r>
      <w:r w:rsidR="00FF41A0">
        <w:rPr>
          <w:sz w:val="20"/>
          <w:szCs w:val="20"/>
          <w:lang w:val="en" w:eastAsia="en-GB"/>
        </w:rPr>
        <w:t xml:space="preserve"> </w:t>
      </w:r>
      <w:r w:rsidR="00323457" w:rsidRPr="0059638B">
        <w:rPr>
          <w:sz w:val="20"/>
          <w:szCs w:val="20"/>
          <w:lang w:val="en" w:eastAsia="en-GB"/>
        </w:rPr>
        <w:t>enemy</w:t>
      </w:r>
      <w:r w:rsidR="00FF41A0">
        <w:rPr>
          <w:sz w:val="20"/>
          <w:szCs w:val="20"/>
          <w:lang w:val="en" w:eastAsia="en-GB"/>
        </w:rPr>
        <w:t xml:space="preserve"> </w:t>
      </w:r>
      <w:r w:rsidR="00323457" w:rsidRPr="0059638B">
        <w:rPr>
          <w:sz w:val="20"/>
          <w:szCs w:val="20"/>
          <w:lang w:val="en" w:eastAsia="en-GB"/>
        </w:rPr>
        <w:t>who</w:t>
      </w:r>
      <w:r w:rsidR="00FF41A0">
        <w:rPr>
          <w:sz w:val="20"/>
          <w:szCs w:val="20"/>
          <w:lang w:val="en" w:eastAsia="en-GB"/>
        </w:rPr>
        <w:t xml:space="preserve"> </w:t>
      </w:r>
      <w:r w:rsidR="00323457" w:rsidRPr="0059638B">
        <w:rPr>
          <w:sz w:val="20"/>
          <w:szCs w:val="20"/>
          <w:lang w:val="en" w:eastAsia="en-GB"/>
        </w:rPr>
        <w:t>uses</w:t>
      </w:r>
      <w:r w:rsidR="00FF41A0">
        <w:rPr>
          <w:sz w:val="20"/>
          <w:szCs w:val="20"/>
          <w:lang w:val="en" w:eastAsia="en-GB"/>
        </w:rPr>
        <w:t xml:space="preserve"> </w:t>
      </w:r>
      <w:r w:rsidR="00323457" w:rsidRPr="0059638B">
        <w:rPr>
          <w:sz w:val="20"/>
          <w:szCs w:val="20"/>
          <w:lang w:val="en" w:eastAsia="en-GB"/>
        </w:rPr>
        <w:t>asymmetric</w:t>
      </w:r>
      <w:r w:rsidR="00FF41A0">
        <w:rPr>
          <w:sz w:val="20"/>
          <w:szCs w:val="20"/>
          <w:lang w:val="en" w:eastAsia="en-GB"/>
        </w:rPr>
        <w:t xml:space="preserve"> </w:t>
      </w:r>
      <w:r w:rsidR="00323457" w:rsidRPr="0059638B">
        <w:rPr>
          <w:sz w:val="20"/>
          <w:szCs w:val="20"/>
          <w:lang w:val="en" w:eastAsia="en-GB"/>
        </w:rPr>
        <w:t>means.</w:t>
      </w:r>
    </w:p>
    <w:p w14:paraId="53E16C84" w14:textId="4013B895" w:rsidR="00323457" w:rsidRPr="0059638B" w:rsidRDefault="00972F1E" w:rsidP="00323457">
      <w:pPr>
        <w:pStyle w:val="SingleTxtG"/>
        <w:rPr>
          <w:sz w:val="20"/>
          <w:szCs w:val="20"/>
          <w:lang w:val="en" w:eastAsia="en-GB"/>
        </w:rPr>
      </w:pPr>
      <w:r>
        <w:rPr>
          <w:sz w:val="20"/>
          <w:szCs w:val="20"/>
          <w:lang w:val="en" w:eastAsia="en-GB"/>
        </w:rPr>
        <w:t>788</w:t>
      </w:r>
      <w:r w:rsidR="00D7475F">
        <w:rPr>
          <w:sz w:val="20"/>
          <w:szCs w:val="20"/>
          <w:lang w:val="en" w:eastAsia="en-GB"/>
        </w:rPr>
        <w:t>.</w:t>
      </w:r>
      <w:r w:rsidR="00D7475F">
        <w:rPr>
          <w:sz w:val="20"/>
          <w:szCs w:val="20"/>
          <w:lang w:val="en" w:eastAsia="en-GB"/>
        </w:rPr>
        <w:tab/>
      </w:r>
      <w:r w:rsidR="00323457" w:rsidRPr="0059638B">
        <w:rPr>
          <w:sz w:val="20"/>
          <w:szCs w:val="20"/>
          <w:lang w:val="en" w:eastAsia="en-GB"/>
        </w:rPr>
        <w:t>Indeed,</w:t>
      </w:r>
      <w:r w:rsidR="00FF41A0">
        <w:rPr>
          <w:sz w:val="20"/>
          <w:szCs w:val="20"/>
          <w:lang w:val="en" w:eastAsia="en-GB"/>
        </w:rPr>
        <w:t xml:space="preserve"> </w:t>
      </w:r>
      <w:r w:rsidR="00323457" w:rsidRPr="0059638B">
        <w:rPr>
          <w:sz w:val="20"/>
          <w:szCs w:val="20"/>
          <w:lang w:val="en" w:eastAsia="en-GB"/>
        </w:rPr>
        <w:t>the</w:t>
      </w:r>
      <w:r w:rsidR="00FF41A0">
        <w:rPr>
          <w:sz w:val="20"/>
          <w:szCs w:val="20"/>
          <w:lang w:val="en" w:eastAsia="en-GB"/>
        </w:rPr>
        <w:t xml:space="preserve"> </w:t>
      </w:r>
      <w:r w:rsidR="00323457" w:rsidRPr="0059638B">
        <w:rPr>
          <w:sz w:val="20"/>
          <w:szCs w:val="20"/>
          <w:lang w:val="en" w:eastAsia="en-GB"/>
        </w:rPr>
        <w:t>country</w:t>
      </w:r>
      <w:r w:rsidR="00FF41A0">
        <w:rPr>
          <w:sz w:val="20"/>
          <w:szCs w:val="20"/>
          <w:lang w:val="en" w:eastAsia="en-GB"/>
        </w:rPr>
        <w:t xml:space="preserve"> </w:t>
      </w:r>
      <w:r w:rsidR="00323457" w:rsidRPr="0059638B">
        <w:rPr>
          <w:sz w:val="20"/>
          <w:szCs w:val="20"/>
          <w:lang w:val="en" w:eastAsia="en-GB"/>
        </w:rPr>
        <w:t>faces</w:t>
      </w:r>
      <w:r w:rsidR="00FF41A0">
        <w:rPr>
          <w:sz w:val="20"/>
          <w:szCs w:val="20"/>
          <w:lang w:val="en" w:eastAsia="en-GB"/>
        </w:rPr>
        <w:t xml:space="preserve"> </w:t>
      </w:r>
      <w:r w:rsidR="00323457" w:rsidRPr="0059638B">
        <w:rPr>
          <w:sz w:val="20"/>
          <w:szCs w:val="20"/>
          <w:lang w:val="en" w:eastAsia="en-GB"/>
        </w:rPr>
        <w:t>countless</w:t>
      </w:r>
      <w:r w:rsidR="00FF41A0">
        <w:rPr>
          <w:sz w:val="20"/>
          <w:szCs w:val="20"/>
          <w:lang w:val="en" w:eastAsia="en-GB"/>
        </w:rPr>
        <w:t xml:space="preserve"> </w:t>
      </w:r>
      <w:r w:rsidR="00323457" w:rsidRPr="0059638B">
        <w:rPr>
          <w:sz w:val="20"/>
          <w:szCs w:val="20"/>
          <w:lang w:val="en" w:eastAsia="en-GB"/>
        </w:rPr>
        <w:t>challenges</w:t>
      </w:r>
      <w:r w:rsidR="00FF41A0">
        <w:rPr>
          <w:sz w:val="20"/>
          <w:szCs w:val="20"/>
          <w:lang w:val="en" w:eastAsia="en-GB"/>
        </w:rPr>
        <w:t xml:space="preserve"> </w:t>
      </w:r>
      <w:r w:rsidR="00323457" w:rsidRPr="0059638B">
        <w:rPr>
          <w:sz w:val="20"/>
          <w:szCs w:val="20"/>
          <w:lang w:val="en" w:eastAsia="en-GB"/>
        </w:rPr>
        <w:t>the</w:t>
      </w:r>
      <w:r w:rsidR="00FF41A0">
        <w:rPr>
          <w:sz w:val="20"/>
          <w:szCs w:val="20"/>
          <w:lang w:val="en" w:eastAsia="en-GB"/>
        </w:rPr>
        <w:t xml:space="preserve"> </w:t>
      </w:r>
      <w:r w:rsidR="00323457" w:rsidRPr="0059638B">
        <w:rPr>
          <w:sz w:val="20"/>
          <w:szCs w:val="20"/>
          <w:lang w:val="en" w:eastAsia="en-GB"/>
        </w:rPr>
        <w:t>most</w:t>
      </w:r>
      <w:r w:rsidR="00FF41A0">
        <w:rPr>
          <w:sz w:val="20"/>
          <w:szCs w:val="20"/>
          <w:lang w:val="en" w:eastAsia="en-GB"/>
        </w:rPr>
        <w:t xml:space="preserve"> </w:t>
      </w:r>
      <w:r w:rsidR="00323457" w:rsidRPr="0059638B">
        <w:rPr>
          <w:sz w:val="20"/>
          <w:szCs w:val="20"/>
          <w:lang w:val="en" w:eastAsia="en-GB"/>
        </w:rPr>
        <w:t>significant</w:t>
      </w:r>
      <w:r w:rsidR="00FF41A0">
        <w:rPr>
          <w:sz w:val="20"/>
          <w:szCs w:val="20"/>
          <w:lang w:val="en" w:eastAsia="en-GB"/>
        </w:rPr>
        <w:t xml:space="preserve"> </w:t>
      </w:r>
      <w:r w:rsidR="00323457" w:rsidRPr="0059638B">
        <w:rPr>
          <w:sz w:val="20"/>
          <w:szCs w:val="20"/>
          <w:lang w:val="en" w:eastAsia="en-GB"/>
        </w:rPr>
        <w:t>of</w:t>
      </w:r>
      <w:r w:rsidR="00FF41A0">
        <w:rPr>
          <w:sz w:val="20"/>
          <w:szCs w:val="20"/>
          <w:lang w:val="en" w:eastAsia="en-GB"/>
        </w:rPr>
        <w:t xml:space="preserve"> </w:t>
      </w:r>
      <w:r w:rsidR="00323457" w:rsidRPr="0059638B">
        <w:rPr>
          <w:sz w:val="20"/>
          <w:szCs w:val="20"/>
          <w:lang w:val="en" w:eastAsia="en-GB"/>
        </w:rPr>
        <w:t>these</w:t>
      </w:r>
      <w:r w:rsidR="00FF41A0">
        <w:rPr>
          <w:sz w:val="20"/>
          <w:szCs w:val="20"/>
          <w:lang w:val="en" w:eastAsia="en-GB"/>
        </w:rPr>
        <w:t xml:space="preserve"> </w:t>
      </w:r>
      <w:r w:rsidR="00323457" w:rsidRPr="0059638B">
        <w:rPr>
          <w:sz w:val="20"/>
          <w:szCs w:val="20"/>
          <w:lang w:val="en" w:eastAsia="en-GB"/>
        </w:rPr>
        <w:t>are</w:t>
      </w:r>
      <w:r w:rsidR="00FF41A0">
        <w:rPr>
          <w:sz w:val="20"/>
          <w:szCs w:val="20"/>
          <w:lang w:val="en" w:eastAsia="en-GB"/>
        </w:rPr>
        <w:t xml:space="preserve"> </w:t>
      </w:r>
      <w:r w:rsidR="00323457" w:rsidRPr="0059638B">
        <w:rPr>
          <w:sz w:val="20"/>
          <w:szCs w:val="20"/>
          <w:lang w:val="en" w:eastAsia="en-GB"/>
        </w:rPr>
        <w:t>the</w:t>
      </w:r>
      <w:r w:rsidR="00FF41A0">
        <w:rPr>
          <w:sz w:val="20"/>
          <w:szCs w:val="20"/>
          <w:lang w:val="en" w:eastAsia="en-GB"/>
        </w:rPr>
        <w:t xml:space="preserve"> </w:t>
      </w:r>
      <w:r w:rsidR="00323457" w:rsidRPr="0059638B">
        <w:rPr>
          <w:sz w:val="20"/>
          <w:szCs w:val="20"/>
          <w:lang w:val="en" w:eastAsia="en-GB"/>
        </w:rPr>
        <w:t>terrorist</w:t>
      </w:r>
      <w:r w:rsidR="00FF41A0">
        <w:rPr>
          <w:sz w:val="20"/>
          <w:szCs w:val="20"/>
          <w:lang w:val="en" w:eastAsia="en-GB"/>
        </w:rPr>
        <w:t xml:space="preserve"> </w:t>
      </w:r>
      <w:r w:rsidR="00323457" w:rsidRPr="0059638B">
        <w:rPr>
          <w:sz w:val="20"/>
          <w:szCs w:val="20"/>
          <w:lang w:val="en" w:eastAsia="en-GB"/>
        </w:rPr>
        <w:t>threat,</w:t>
      </w:r>
      <w:r w:rsidR="00FF41A0">
        <w:rPr>
          <w:sz w:val="20"/>
          <w:szCs w:val="20"/>
          <w:lang w:val="en" w:eastAsia="en-GB"/>
        </w:rPr>
        <w:t xml:space="preserve"> </w:t>
      </w:r>
      <w:r w:rsidR="00323457" w:rsidRPr="0059638B">
        <w:rPr>
          <w:sz w:val="20"/>
          <w:szCs w:val="20"/>
          <w:lang w:val="en" w:eastAsia="en-GB"/>
        </w:rPr>
        <w:t>climate</w:t>
      </w:r>
      <w:r w:rsidR="00FF41A0">
        <w:rPr>
          <w:sz w:val="20"/>
          <w:szCs w:val="20"/>
          <w:lang w:val="en" w:eastAsia="en-GB"/>
        </w:rPr>
        <w:t xml:space="preserve"> </w:t>
      </w:r>
      <w:r w:rsidR="00323457" w:rsidRPr="0059638B">
        <w:rPr>
          <w:sz w:val="20"/>
          <w:szCs w:val="20"/>
          <w:lang w:val="en" w:eastAsia="en-GB"/>
        </w:rPr>
        <w:t>change,</w:t>
      </w:r>
      <w:r w:rsidR="00FF41A0">
        <w:rPr>
          <w:sz w:val="20"/>
          <w:szCs w:val="20"/>
          <w:lang w:val="en" w:eastAsia="en-GB"/>
        </w:rPr>
        <w:t xml:space="preserve"> </w:t>
      </w:r>
      <w:r w:rsidR="00323457" w:rsidRPr="0059638B">
        <w:rPr>
          <w:sz w:val="20"/>
          <w:szCs w:val="20"/>
          <w:lang w:val="en" w:eastAsia="en-GB"/>
        </w:rPr>
        <w:t>which</w:t>
      </w:r>
      <w:r w:rsidR="00FF41A0">
        <w:rPr>
          <w:sz w:val="20"/>
          <w:szCs w:val="20"/>
          <w:lang w:val="en" w:eastAsia="en-GB"/>
        </w:rPr>
        <w:t xml:space="preserve"> </w:t>
      </w:r>
      <w:r w:rsidR="00323457" w:rsidRPr="0059638B">
        <w:rPr>
          <w:sz w:val="20"/>
          <w:szCs w:val="20"/>
          <w:lang w:val="en" w:eastAsia="en-GB"/>
        </w:rPr>
        <w:t>is</w:t>
      </w:r>
      <w:r w:rsidR="00FF41A0">
        <w:rPr>
          <w:sz w:val="20"/>
          <w:szCs w:val="20"/>
          <w:lang w:val="en" w:eastAsia="en-GB"/>
        </w:rPr>
        <w:t xml:space="preserve"> </w:t>
      </w:r>
      <w:r w:rsidR="00323457" w:rsidRPr="0059638B">
        <w:rPr>
          <w:sz w:val="20"/>
          <w:szCs w:val="20"/>
          <w:lang w:val="en" w:eastAsia="en-GB"/>
        </w:rPr>
        <w:t>drying</w:t>
      </w:r>
      <w:r w:rsidR="00FF41A0">
        <w:rPr>
          <w:sz w:val="20"/>
          <w:szCs w:val="20"/>
          <w:lang w:val="en" w:eastAsia="en-GB"/>
        </w:rPr>
        <w:t xml:space="preserve"> </w:t>
      </w:r>
      <w:r w:rsidR="00323457" w:rsidRPr="0059638B">
        <w:rPr>
          <w:sz w:val="20"/>
          <w:szCs w:val="20"/>
          <w:lang w:val="en" w:eastAsia="en-GB"/>
        </w:rPr>
        <w:t>up</w:t>
      </w:r>
      <w:r w:rsidR="00FF41A0">
        <w:rPr>
          <w:sz w:val="20"/>
          <w:szCs w:val="20"/>
          <w:lang w:val="en" w:eastAsia="en-GB"/>
        </w:rPr>
        <w:t xml:space="preserve"> </w:t>
      </w:r>
      <w:r w:rsidR="00323457" w:rsidRPr="0059638B">
        <w:rPr>
          <w:sz w:val="20"/>
          <w:szCs w:val="20"/>
          <w:lang w:val="en" w:eastAsia="en-GB"/>
        </w:rPr>
        <w:t>Lake</w:t>
      </w:r>
      <w:r w:rsidR="00FF41A0">
        <w:rPr>
          <w:sz w:val="20"/>
          <w:szCs w:val="20"/>
          <w:lang w:val="en" w:eastAsia="en-GB"/>
        </w:rPr>
        <w:t xml:space="preserve"> </w:t>
      </w:r>
      <w:r w:rsidR="00323457" w:rsidRPr="0059638B">
        <w:rPr>
          <w:sz w:val="20"/>
          <w:szCs w:val="20"/>
          <w:lang w:val="en" w:eastAsia="en-GB"/>
        </w:rPr>
        <w:t>Chad,</w:t>
      </w:r>
      <w:r w:rsidR="00FF41A0">
        <w:rPr>
          <w:sz w:val="20"/>
          <w:szCs w:val="20"/>
          <w:lang w:val="en" w:eastAsia="en-GB"/>
        </w:rPr>
        <w:t xml:space="preserve"> </w:t>
      </w:r>
      <w:r w:rsidR="00323457" w:rsidRPr="0059638B">
        <w:rPr>
          <w:sz w:val="20"/>
          <w:szCs w:val="20"/>
          <w:lang w:val="en" w:eastAsia="en-GB"/>
        </w:rPr>
        <w:t>and</w:t>
      </w:r>
      <w:r w:rsidR="00FF41A0">
        <w:rPr>
          <w:sz w:val="20"/>
          <w:szCs w:val="20"/>
          <w:lang w:val="en" w:eastAsia="en-GB"/>
        </w:rPr>
        <w:t xml:space="preserve"> </w:t>
      </w:r>
      <w:r w:rsidR="00323457" w:rsidRPr="0059638B">
        <w:rPr>
          <w:sz w:val="20"/>
          <w:szCs w:val="20"/>
          <w:lang w:val="en" w:eastAsia="en-GB"/>
        </w:rPr>
        <w:t>poverty.</w:t>
      </w:r>
      <w:r w:rsidR="00FF41A0">
        <w:rPr>
          <w:sz w:val="20"/>
          <w:szCs w:val="20"/>
          <w:lang w:val="en" w:eastAsia="en-GB"/>
        </w:rPr>
        <w:t xml:space="preserve"> </w:t>
      </w:r>
      <w:r w:rsidR="00323457" w:rsidRPr="0059638B">
        <w:rPr>
          <w:sz w:val="20"/>
          <w:szCs w:val="20"/>
          <w:lang w:val="en" w:eastAsia="en-GB"/>
        </w:rPr>
        <w:t>Tremendous</w:t>
      </w:r>
      <w:r w:rsidR="00FF41A0">
        <w:rPr>
          <w:sz w:val="20"/>
          <w:szCs w:val="20"/>
          <w:lang w:val="en" w:eastAsia="en-GB"/>
        </w:rPr>
        <w:t xml:space="preserve"> </w:t>
      </w:r>
      <w:r w:rsidR="00323457" w:rsidRPr="0059638B">
        <w:rPr>
          <w:sz w:val="20"/>
          <w:szCs w:val="20"/>
          <w:lang w:val="en" w:eastAsia="en-GB"/>
        </w:rPr>
        <w:t>efforts</w:t>
      </w:r>
      <w:r w:rsidR="00FF41A0">
        <w:rPr>
          <w:sz w:val="20"/>
          <w:szCs w:val="20"/>
          <w:lang w:val="en" w:eastAsia="en-GB"/>
        </w:rPr>
        <w:t xml:space="preserve"> </w:t>
      </w:r>
      <w:r w:rsidR="00323457" w:rsidRPr="0059638B">
        <w:rPr>
          <w:sz w:val="20"/>
          <w:szCs w:val="20"/>
          <w:lang w:val="en" w:eastAsia="en-GB"/>
        </w:rPr>
        <w:t>are</w:t>
      </w:r>
      <w:r w:rsidR="00FF41A0">
        <w:rPr>
          <w:sz w:val="20"/>
          <w:szCs w:val="20"/>
          <w:lang w:val="en" w:eastAsia="en-GB"/>
        </w:rPr>
        <w:t xml:space="preserve"> </w:t>
      </w:r>
      <w:r w:rsidR="00323457" w:rsidRPr="0059638B">
        <w:rPr>
          <w:sz w:val="20"/>
          <w:szCs w:val="20"/>
          <w:lang w:val="en" w:eastAsia="en-GB"/>
        </w:rPr>
        <w:t>undertaken</w:t>
      </w:r>
      <w:r w:rsidR="00FF41A0">
        <w:rPr>
          <w:sz w:val="20"/>
          <w:szCs w:val="20"/>
          <w:lang w:val="en" w:eastAsia="en-GB"/>
        </w:rPr>
        <w:t xml:space="preserve"> </w:t>
      </w:r>
      <w:r w:rsidR="00323457" w:rsidRPr="0059638B">
        <w:rPr>
          <w:sz w:val="20"/>
          <w:szCs w:val="20"/>
          <w:lang w:val="en" w:eastAsia="en-GB"/>
        </w:rPr>
        <w:t>by</w:t>
      </w:r>
      <w:r w:rsidR="00FF41A0">
        <w:rPr>
          <w:sz w:val="20"/>
          <w:szCs w:val="20"/>
          <w:lang w:val="en" w:eastAsia="en-GB"/>
        </w:rPr>
        <w:t xml:space="preserve"> </w:t>
      </w:r>
      <w:r w:rsidR="00323457" w:rsidRPr="0059638B">
        <w:rPr>
          <w:sz w:val="20"/>
          <w:szCs w:val="20"/>
          <w:lang w:val="en" w:eastAsia="en-GB"/>
        </w:rPr>
        <w:t>the</w:t>
      </w:r>
      <w:r w:rsidR="00FF41A0">
        <w:rPr>
          <w:sz w:val="20"/>
          <w:szCs w:val="20"/>
          <w:lang w:val="en" w:eastAsia="en-GB"/>
        </w:rPr>
        <w:t xml:space="preserve"> </w:t>
      </w:r>
      <w:r w:rsidR="00323457" w:rsidRPr="0059638B">
        <w:rPr>
          <w:sz w:val="20"/>
          <w:szCs w:val="20"/>
          <w:lang w:val="en" w:eastAsia="en-GB"/>
        </w:rPr>
        <w:t>Government</w:t>
      </w:r>
      <w:r w:rsidR="00FF41A0">
        <w:rPr>
          <w:sz w:val="20"/>
          <w:szCs w:val="20"/>
          <w:lang w:val="en" w:eastAsia="en-GB"/>
        </w:rPr>
        <w:t xml:space="preserve"> </w:t>
      </w:r>
      <w:r w:rsidR="00323457" w:rsidRPr="0059638B">
        <w:rPr>
          <w:sz w:val="20"/>
          <w:szCs w:val="20"/>
          <w:lang w:val="en" w:eastAsia="en-GB"/>
        </w:rPr>
        <w:t>to</w:t>
      </w:r>
      <w:r w:rsidR="00FF41A0">
        <w:rPr>
          <w:sz w:val="20"/>
          <w:szCs w:val="20"/>
          <w:lang w:val="en" w:eastAsia="en-GB"/>
        </w:rPr>
        <w:t xml:space="preserve"> </w:t>
      </w:r>
      <w:r w:rsidR="00323457" w:rsidRPr="0059638B">
        <w:rPr>
          <w:sz w:val="20"/>
          <w:szCs w:val="20"/>
          <w:lang w:val="en" w:eastAsia="en-GB"/>
        </w:rPr>
        <w:t>combat</w:t>
      </w:r>
      <w:r w:rsidR="00FF41A0">
        <w:rPr>
          <w:sz w:val="20"/>
          <w:szCs w:val="20"/>
          <w:lang w:val="en" w:eastAsia="en-GB"/>
        </w:rPr>
        <w:t xml:space="preserve"> </w:t>
      </w:r>
      <w:r w:rsidR="00323457" w:rsidRPr="0059638B">
        <w:rPr>
          <w:sz w:val="20"/>
          <w:szCs w:val="20"/>
          <w:lang w:val="en" w:eastAsia="en-GB"/>
        </w:rPr>
        <w:t>these</w:t>
      </w:r>
      <w:r w:rsidR="00FF41A0">
        <w:rPr>
          <w:sz w:val="20"/>
          <w:szCs w:val="20"/>
          <w:lang w:val="en" w:eastAsia="en-GB"/>
        </w:rPr>
        <w:t xml:space="preserve"> </w:t>
      </w:r>
      <w:r w:rsidR="00323457" w:rsidRPr="0059638B">
        <w:rPr>
          <w:sz w:val="20"/>
          <w:szCs w:val="20"/>
          <w:lang w:val="en" w:eastAsia="en-GB"/>
        </w:rPr>
        <w:t>scourges.</w:t>
      </w:r>
    </w:p>
    <w:p w14:paraId="0A0CE510" w14:textId="0B1327F5" w:rsidR="00323457" w:rsidRPr="0059638B" w:rsidRDefault="00972F1E" w:rsidP="00323457">
      <w:pPr>
        <w:pStyle w:val="SingleTxtG"/>
        <w:rPr>
          <w:sz w:val="20"/>
          <w:szCs w:val="20"/>
          <w:lang w:val="en"/>
        </w:rPr>
      </w:pPr>
      <w:r>
        <w:rPr>
          <w:sz w:val="20"/>
          <w:szCs w:val="20"/>
          <w:lang w:val="en"/>
        </w:rPr>
        <w:t>789</w:t>
      </w:r>
      <w:r w:rsidR="00D7475F">
        <w:rPr>
          <w:sz w:val="20"/>
          <w:szCs w:val="20"/>
          <w:lang w:val="en"/>
        </w:rPr>
        <w:t>.</w:t>
      </w:r>
      <w:r w:rsidR="00D7475F">
        <w:rPr>
          <w:sz w:val="20"/>
          <w:szCs w:val="20"/>
          <w:lang w:val="en"/>
        </w:rPr>
        <w:tab/>
      </w:r>
      <w:r w:rsidR="00323457" w:rsidRPr="0059638B">
        <w:rPr>
          <w:sz w:val="20"/>
          <w:szCs w:val="20"/>
          <w:lang w:val="en"/>
        </w:rPr>
        <w:t>The</w:t>
      </w:r>
      <w:r w:rsidR="00FF41A0">
        <w:rPr>
          <w:sz w:val="20"/>
          <w:szCs w:val="20"/>
          <w:lang w:val="en"/>
        </w:rPr>
        <w:t xml:space="preserve"> </w:t>
      </w:r>
      <w:r w:rsidR="00323457" w:rsidRPr="0059638B">
        <w:rPr>
          <w:sz w:val="20"/>
          <w:szCs w:val="20"/>
          <w:lang w:val="en"/>
        </w:rPr>
        <w:t>Government</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its</w:t>
      </w:r>
      <w:r w:rsidR="00FF41A0">
        <w:rPr>
          <w:sz w:val="20"/>
          <w:szCs w:val="20"/>
          <w:lang w:val="en"/>
        </w:rPr>
        <w:t xml:space="preserve"> </w:t>
      </w:r>
      <w:r w:rsidR="00323457" w:rsidRPr="0059638B">
        <w:rPr>
          <w:sz w:val="20"/>
          <w:szCs w:val="20"/>
          <w:lang w:val="en"/>
        </w:rPr>
        <w:t>partners</w:t>
      </w:r>
      <w:r w:rsidR="00FF41A0">
        <w:rPr>
          <w:sz w:val="20"/>
          <w:szCs w:val="20"/>
          <w:lang w:val="en"/>
        </w:rPr>
        <w:t xml:space="preserve"> </w:t>
      </w:r>
      <w:r w:rsidR="00323457" w:rsidRPr="0059638B">
        <w:rPr>
          <w:sz w:val="20"/>
          <w:szCs w:val="20"/>
          <w:lang w:val="en"/>
        </w:rPr>
        <w:t>are</w:t>
      </w:r>
      <w:r w:rsidR="00FF41A0">
        <w:rPr>
          <w:sz w:val="20"/>
          <w:szCs w:val="20"/>
          <w:lang w:val="en"/>
        </w:rPr>
        <w:t xml:space="preserve"> </w:t>
      </w:r>
      <w:r w:rsidR="00323457" w:rsidRPr="0059638B">
        <w:rPr>
          <w:sz w:val="20"/>
          <w:szCs w:val="20"/>
          <w:lang w:val="en"/>
        </w:rPr>
        <w:t>setting</w:t>
      </w:r>
      <w:r w:rsidR="00FF41A0">
        <w:rPr>
          <w:sz w:val="20"/>
          <w:szCs w:val="20"/>
          <w:lang w:val="en"/>
        </w:rPr>
        <w:t xml:space="preserve"> </w:t>
      </w:r>
      <w:r w:rsidR="00323457" w:rsidRPr="0059638B">
        <w:rPr>
          <w:sz w:val="20"/>
          <w:szCs w:val="20"/>
          <w:lang w:val="en"/>
        </w:rPr>
        <w:t>up</w:t>
      </w:r>
      <w:r w:rsidR="00FF41A0">
        <w:rPr>
          <w:sz w:val="20"/>
          <w:szCs w:val="20"/>
          <w:lang w:val="en"/>
        </w:rPr>
        <w:t xml:space="preserve"> </w:t>
      </w:r>
      <w:r w:rsidR="00323457" w:rsidRPr="0059638B">
        <w:rPr>
          <w:sz w:val="20"/>
          <w:szCs w:val="20"/>
          <w:lang w:val="en"/>
        </w:rPr>
        <w:t>a</w:t>
      </w:r>
      <w:r w:rsidR="00FF41A0">
        <w:rPr>
          <w:sz w:val="20"/>
          <w:szCs w:val="20"/>
          <w:lang w:val="en"/>
        </w:rPr>
        <w:t xml:space="preserve"> </w:t>
      </w:r>
      <w:r w:rsidR="00323457" w:rsidRPr="0059638B">
        <w:rPr>
          <w:sz w:val="20"/>
          <w:szCs w:val="20"/>
          <w:lang w:val="en"/>
        </w:rPr>
        <w:t>number</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programmes</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projects</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support</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National</w:t>
      </w:r>
      <w:r w:rsidR="00FF41A0">
        <w:rPr>
          <w:sz w:val="20"/>
          <w:szCs w:val="20"/>
          <w:lang w:val="en"/>
        </w:rPr>
        <w:t xml:space="preserve"> </w:t>
      </w:r>
      <w:r w:rsidR="00323457" w:rsidRPr="0059638B">
        <w:rPr>
          <w:sz w:val="20"/>
          <w:szCs w:val="20"/>
          <w:lang w:val="en"/>
        </w:rPr>
        <w:t>Development</w:t>
      </w:r>
      <w:r w:rsidR="00FF41A0">
        <w:rPr>
          <w:sz w:val="20"/>
          <w:szCs w:val="20"/>
          <w:lang w:val="en"/>
        </w:rPr>
        <w:t xml:space="preserve"> </w:t>
      </w:r>
      <w:r w:rsidR="00323457" w:rsidRPr="0059638B">
        <w:rPr>
          <w:sz w:val="20"/>
          <w:szCs w:val="20"/>
          <w:lang w:val="en"/>
        </w:rPr>
        <w:t>Plan,</w:t>
      </w:r>
      <w:r w:rsidR="00FF41A0">
        <w:rPr>
          <w:sz w:val="20"/>
          <w:szCs w:val="20"/>
          <w:lang w:val="en"/>
        </w:rPr>
        <w:t xml:space="preserve"> </w:t>
      </w:r>
      <w:r w:rsidR="00323457" w:rsidRPr="0059638B">
        <w:rPr>
          <w:sz w:val="20"/>
          <w:szCs w:val="20"/>
          <w:lang w:val="en"/>
        </w:rPr>
        <w:t>which</w:t>
      </w:r>
      <w:r w:rsidR="00FF41A0">
        <w:rPr>
          <w:sz w:val="20"/>
          <w:szCs w:val="20"/>
          <w:lang w:val="en"/>
        </w:rPr>
        <w:t xml:space="preserve"> </w:t>
      </w:r>
      <w:r w:rsidR="00323457" w:rsidRPr="0059638B">
        <w:rPr>
          <w:sz w:val="20"/>
          <w:szCs w:val="20"/>
          <w:lang w:val="en"/>
        </w:rPr>
        <w:t>is</w:t>
      </w:r>
      <w:r w:rsidR="00FF41A0">
        <w:rPr>
          <w:sz w:val="20"/>
          <w:szCs w:val="20"/>
          <w:lang w:val="en"/>
        </w:rPr>
        <w:t xml:space="preserve"> </w:t>
      </w:r>
      <w:r w:rsidR="00323457" w:rsidRPr="0059638B">
        <w:rPr>
          <w:sz w:val="20"/>
          <w:szCs w:val="20"/>
          <w:lang w:val="en"/>
        </w:rPr>
        <w:t>a</w:t>
      </w:r>
      <w:r w:rsidR="00FF41A0">
        <w:rPr>
          <w:sz w:val="20"/>
          <w:szCs w:val="20"/>
          <w:lang w:val="en"/>
        </w:rPr>
        <w:t xml:space="preserve"> </w:t>
      </w:r>
      <w:r w:rsidR="00323457" w:rsidRPr="0059638B">
        <w:rPr>
          <w:sz w:val="20"/>
          <w:szCs w:val="20"/>
          <w:lang w:val="en"/>
        </w:rPr>
        <w:t>true</w:t>
      </w:r>
      <w:r w:rsidR="00FF41A0">
        <w:rPr>
          <w:sz w:val="20"/>
          <w:szCs w:val="20"/>
          <w:lang w:val="en"/>
        </w:rPr>
        <w:t xml:space="preserve"> </w:t>
      </w:r>
      <w:r w:rsidR="00323457" w:rsidRPr="0059638B">
        <w:rPr>
          <w:sz w:val="20"/>
          <w:szCs w:val="20"/>
          <w:lang w:val="en"/>
        </w:rPr>
        <w:t>leverage</w:t>
      </w:r>
      <w:r w:rsidR="00FF41A0">
        <w:rPr>
          <w:sz w:val="20"/>
          <w:szCs w:val="20"/>
          <w:lang w:val="en"/>
        </w:rPr>
        <w:t xml:space="preserve"> </w:t>
      </w:r>
      <w:r w:rsidR="00323457" w:rsidRPr="0059638B">
        <w:rPr>
          <w:sz w:val="20"/>
          <w:szCs w:val="20"/>
          <w:lang w:val="en"/>
        </w:rPr>
        <w:t>in</w:t>
      </w:r>
      <w:r w:rsidR="00FF41A0">
        <w:rPr>
          <w:sz w:val="20"/>
          <w:szCs w:val="20"/>
          <w:lang w:val="en"/>
        </w:rPr>
        <w:t xml:space="preserve"> </w:t>
      </w:r>
      <w:r w:rsidR="00323457" w:rsidRPr="0059638B">
        <w:rPr>
          <w:sz w:val="20"/>
          <w:szCs w:val="20"/>
          <w:lang w:val="en"/>
        </w:rPr>
        <w:t>order</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combat</w:t>
      </w:r>
      <w:r w:rsidR="00FF41A0">
        <w:rPr>
          <w:sz w:val="20"/>
          <w:szCs w:val="20"/>
          <w:lang w:val="en"/>
        </w:rPr>
        <w:t xml:space="preserve"> </w:t>
      </w:r>
      <w:r w:rsidR="00323457" w:rsidRPr="0059638B">
        <w:rPr>
          <w:sz w:val="20"/>
          <w:szCs w:val="20"/>
          <w:lang w:val="en"/>
        </w:rPr>
        <w:t>poverty.</w:t>
      </w:r>
      <w:r w:rsidR="00FF41A0">
        <w:rPr>
          <w:sz w:val="20"/>
          <w:szCs w:val="20"/>
          <w:lang w:val="en"/>
        </w:rPr>
        <w:t xml:space="preserve"> </w:t>
      </w:r>
      <w:r w:rsidR="00323457" w:rsidRPr="0059638B">
        <w:rPr>
          <w:sz w:val="20"/>
          <w:szCs w:val="20"/>
          <w:lang w:val="en"/>
        </w:rPr>
        <w:t>A</w:t>
      </w:r>
      <w:r w:rsidR="00FF41A0">
        <w:rPr>
          <w:sz w:val="20"/>
          <w:szCs w:val="20"/>
          <w:lang w:val="en"/>
        </w:rPr>
        <w:t xml:space="preserve"> </w:t>
      </w:r>
      <w:r w:rsidR="00323457" w:rsidRPr="0059638B">
        <w:rPr>
          <w:sz w:val="20"/>
          <w:szCs w:val="20"/>
          <w:lang w:val="en"/>
        </w:rPr>
        <w:t>strong</w:t>
      </w:r>
      <w:r w:rsidR="00FF41A0">
        <w:rPr>
          <w:sz w:val="20"/>
          <w:szCs w:val="20"/>
          <w:lang w:val="en"/>
        </w:rPr>
        <w:t xml:space="preserve"> </w:t>
      </w:r>
      <w:r w:rsidR="00323457" w:rsidRPr="0059638B">
        <w:rPr>
          <w:sz w:val="20"/>
          <w:szCs w:val="20"/>
          <w:lang w:val="en"/>
        </w:rPr>
        <w:t>appeal</w:t>
      </w:r>
      <w:r w:rsidR="00FF41A0">
        <w:rPr>
          <w:sz w:val="20"/>
          <w:szCs w:val="20"/>
          <w:lang w:val="en"/>
        </w:rPr>
        <w:t xml:space="preserve"> </w:t>
      </w:r>
      <w:r w:rsidR="00323457" w:rsidRPr="0059638B">
        <w:rPr>
          <w:sz w:val="20"/>
          <w:szCs w:val="20"/>
          <w:lang w:val="en"/>
        </w:rPr>
        <w:t>was</w:t>
      </w:r>
      <w:r w:rsidR="00FF41A0">
        <w:rPr>
          <w:sz w:val="20"/>
          <w:szCs w:val="20"/>
          <w:lang w:val="en"/>
        </w:rPr>
        <w:t xml:space="preserve"> </w:t>
      </w:r>
      <w:r w:rsidR="00323457" w:rsidRPr="0059638B">
        <w:rPr>
          <w:sz w:val="20"/>
          <w:szCs w:val="20"/>
          <w:lang w:val="en"/>
        </w:rPr>
        <w:t>launched</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all</w:t>
      </w:r>
      <w:r w:rsidR="00FF41A0">
        <w:rPr>
          <w:sz w:val="20"/>
          <w:szCs w:val="20"/>
          <w:lang w:val="en"/>
        </w:rPr>
        <w:t xml:space="preserve"> </w:t>
      </w:r>
      <w:r w:rsidR="00323457" w:rsidRPr="0059638B">
        <w:rPr>
          <w:sz w:val="20"/>
          <w:szCs w:val="20"/>
          <w:lang w:val="en"/>
        </w:rPr>
        <w:t>friendly</w:t>
      </w:r>
      <w:r w:rsidR="00FF41A0">
        <w:rPr>
          <w:sz w:val="20"/>
          <w:szCs w:val="20"/>
          <w:lang w:val="en"/>
        </w:rPr>
        <w:t xml:space="preserve"> </w:t>
      </w:r>
      <w:r w:rsidR="00323457" w:rsidRPr="0059638B">
        <w:rPr>
          <w:sz w:val="20"/>
          <w:szCs w:val="20"/>
          <w:lang w:val="en"/>
        </w:rPr>
        <w:t>States</w:t>
      </w:r>
      <w:r w:rsidR="00FF41A0">
        <w:rPr>
          <w:sz w:val="20"/>
          <w:szCs w:val="20"/>
          <w:lang w:val="en"/>
        </w:rPr>
        <w:t xml:space="preserve"> </w:t>
      </w:r>
      <w:r w:rsidR="00323457" w:rsidRPr="0059638B">
        <w:rPr>
          <w:sz w:val="20"/>
          <w:szCs w:val="20"/>
          <w:lang w:val="en"/>
        </w:rPr>
        <w:t>who</w:t>
      </w:r>
      <w:r w:rsidR="00FF41A0">
        <w:rPr>
          <w:sz w:val="20"/>
          <w:szCs w:val="20"/>
          <w:lang w:val="en"/>
        </w:rPr>
        <w:t xml:space="preserve"> </w:t>
      </w:r>
      <w:r w:rsidR="00323457" w:rsidRPr="0059638B">
        <w:rPr>
          <w:sz w:val="20"/>
          <w:szCs w:val="20"/>
          <w:lang w:val="en"/>
        </w:rPr>
        <w:t>took</w:t>
      </w:r>
      <w:r w:rsidR="00FF41A0">
        <w:rPr>
          <w:sz w:val="20"/>
          <w:szCs w:val="20"/>
          <w:lang w:val="en"/>
        </w:rPr>
        <w:t xml:space="preserve"> </w:t>
      </w:r>
      <w:r w:rsidR="00323457" w:rsidRPr="0059638B">
        <w:rPr>
          <w:sz w:val="20"/>
          <w:szCs w:val="20"/>
          <w:lang w:val="en"/>
        </w:rPr>
        <w:t>a</w:t>
      </w:r>
      <w:r w:rsidR="00FF41A0">
        <w:rPr>
          <w:sz w:val="20"/>
          <w:szCs w:val="20"/>
          <w:lang w:val="en"/>
        </w:rPr>
        <w:t xml:space="preserve"> </w:t>
      </w:r>
      <w:r w:rsidR="00323457" w:rsidRPr="0059638B">
        <w:rPr>
          <w:sz w:val="20"/>
          <w:szCs w:val="20"/>
          <w:lang w:val="en"/>
        </w:rPr>
        <w:t>position</w:t>
      </w:r>
      <w:r w:rsidR="00FF41A0">
        <w:rPr>
          <w:sz w:val="20"/>
          <w:szCs w:val="20"/>
          <w:lang w:val="en"/>
        </w:rPr>
        <w:t xml:space="preserve"> </w:t>
      </w:r>
      <w:r w:rsidR="00323457" w:rsidRPr="0059638B">
        <w:rPr>
          <w:sz w:val="20"/>
          <w:szCs w:val="20"/>
          <w:lang w:val="en"/>
        </w:rPr>
        <w:t>during</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round</w:t>
      </w:r>
      <w:r w:rsidR="00FF41A0">
        <w:rPr>
          <w:sz w:val="20"/>
          <w:szCs w:val="20"/>
          <w:lang w:val="en"/>
        </w:rPr>
        <w:t xml:space="preserve"> </w:t>
      </w:r>
      <w:r w:rsidR="00323457" w:rsidRPr="0059638B">
        <w:rPr>
          <w:sz w:val="20"/>
          <w:szCs w:val="20"/>
          <w:lang w:val="en"/>
        </w:rPr>
        <w:t>table</w:t>
      </w:r>
      <w:r w:rsidR="00FF41A0">
        <w:rPr>
          <w:sz w:val="20"/>
          <w:szCs w:val="20"/>
          <w:lang w:val="en"/>
        </w:rPr>
        <w:t xml:space="preserve"> </w:t>
      </w:r>
      <w:r w:rsidR="00323457" w:rsidRPr="0059638B">
        <w:rPr>
          <w:sz w:val="20"/>
          <w:szCs w:val="20"/>
          <w:lang w:val="en"/>
        </w:rPr>
        <w:t>in</w:t>
      </w:r>
      <w:r w:rsidR="00FF41A0">
        <w:rPr>
          <w:sz w:val="20"/>
          <w:szCs w:val="20"/>
          <w:lang w:val="en"/>
        </w:rPr>
        <w:t xml:space="preserve"> </w:t>
      </w:r>
      <w:r w:rsidR="00323457" w:rsidRPr="0059638B">
        <w:rPr>
          <w:sz w:val="20"/>
          <w:szCs w:val="20"/>
          <w:lang w:val="en"/>
        </w:rPr>
        <w:t>Paris</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step</w:t>
      </w:r>
      <w:r w:rsidR="00FF41A0">
        <w:rPr>
          <w:sz w:val="20"/>
          <w:szCs w:val="20"/>
          <w:lang w:val="en"/>
        </w:rPr>
        <w:t xml:space="preserve"> </w:t>
      </w:r>
      <w:r w:rsidR="00323457" w:rsidRPr="0059638B">
        <w:rPr>
          <w:sz w:val="20"/>
          <w:szCs w:val="20"/>
          <w:lang w:val="en"/>
        </w:rPr>
        <w:t>up</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implementation</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their</w:t>
      </w:r>
      <w:r w:rsidR="00FF41A0">
        <w:rPr>
          <w:sz w:val="20"/>
          <w:szCs w:val="20"/>
          <w:lang w:val="en"/>
        </w:rPr>
        <w:t xml:space="preserve"> </w:t>
      </w:r>
      <w:r w:rsidR="00323457" w:rsidRPr="0059638B">
        <w:rPr>
          <w:sz w:val="20"/>
          <w:szCs w:val="20"/>
          <w:lang w:val="en"/>
        </w:rPr>
        <w:t>promises</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pledges.</w:t>
      </w:r>
    </w:p>
    <w:p w14:paraId="73D0AFA7" w14:textId="00CE68B9" w:rsidR="00323457" w:rsidRPr="0059638B" w:rsidRDefault="00972F1E" w:rsidP="00323457">
      <w:pPr>
        <w:pStyle w:val="SingleTxtG"/>
        <w:rPr>
          <w:sz w:val="20"/>
          <w:szCs w:val="20"/>
          <w:lang w:val="en"/>
        </w:rPr>
      </w:pPr>
      <w:r>
        <w:rPr>
          <w:sz w:val="20"/>
          <w:szCs w:val="20"/>
          <w:lang w:val="en"/>
        </w:rPr>
        <w:t>790</w:t>
      </w:r>
      <w:r w:rsidR="00D7475F">
        <w:rPr>
          <w:sz w:val="20"/>
          <w:szCs w:val="20"/>
          <w:lang w:val="en"/>
        </w:rPr>
        <w:t>.</w:t>
      </w:r>
      <w:r w:rsidR="00D7475F">
        <w:rPr>
          <w:sz w:val="20"/>
          <w:szCs w:val="20"/>
          <w:lang w:val="en"/>
        </w:rPr>
        <w:tab/>
      </w:r>
      <w:r w:rsidR="00323457" w:rsidRPr="0059638B">
        <w:rPr>
          <w:sz w:val="20"/>
          <w:szCs w:val="20"/>
          <w:lang w:val="en"/>
        </w:rPr>
        <w:t>Following</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establishment</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National</w:t>
      </w:r>
      <w:r w:rsidR="00FF41A0">
        <w:rPr>
          <w:sz w:val="20"/>
          <w:szCs w:val="20"/>
          <w:lang w:val="en"/>
        </w:rPr>
        <w:t xml:space="preserve"> </w:t>
      </w:r>
      <w:r w:rsidR="00323457" w:rsidRPr="0059638B">
        <w:rPr>
          <w:sz w:val="20"/>
          <w:szCs w:val="20"/>
          <w:lang w:val="en"/>
        </w:rPr>
        <w:t>Framework</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Political</w:t>
      </w:r>
      <w:r w:rsidR="00FF41A0">
        <w:rPr>
          <w:sz w:val="20"/>
          <w:szCs w:val="20"/>
          <w:lang w:val="en"/>
        </w:rPr>
        <w:t xml:space="preserve"> </w:t>
      </w:r>
      <w:r w:rsidR="00323457" w:rsidRPr="0059638B">
        <w:rPr>
          <w:sz w:val="20"/>
          <w:szCs w:val="20"/>
          <w:lang w:val="en"/>
        </w:rPr>
        <w:t>Dialogue,</w:t>
      </w:r>
      <w:r w:rsidR="00FF41A0">
        <w:rPr>
          <w:sz w:val="20"/>
          <w:szCs w:val="20"/>
          <w:lang w:val="en"/>
        </w:rPr>
        <w:t xml:space="preserve"> </w:t>
      </w:r>
      <w:r w:rsidR="00323457" w:rsidRPr="0059638B">
        <w:rPr>
          <w:sz w:val="20"/>
          <w:szCs w:val="20"/>
          <w:lang w:val="en"/>
        </w:rPr>
        <w:t>which</w:t>
      </w:r>
      <w:r w:rsidR="00FF41A0">
        <w:rPr>
          <w:sz w:val="20"/>
          <w:szCs w:val="20"/>
          <w:lang w:val="en"/>
        </w:rPr>
        <w:t xml:space="preserve"> </w:t>
      </w:r>
      <w:r w:rsidR="00323457" w:rsidRPr="0059638B">
        <w:rPr>
          <w:sz w:val="20"/>
          <w:szCs w:val="20"/>
          <w:lang w:val="en"/>
        </w:rPr>
        <w:t>is</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platform</w:t>
      </w:r>
      <w:r w:rsidR="00FF41A0">
        <w:rPr>
          <w:sz w:val="20"/>
          <w:szCs w:val="20"/>
          <w:lang w:val="en"/>
        </w:rPr>
        <w:t xml:space="preserve"> </w:t>
      </w:r>
      <w:r w:rsidR="00323457" w:rsidRPr="0059638B">
        <w:rPr>
          <w:sz w:val="20"/>
          <w:szCs w:val="20"/>
          <w:lang w:val="en"/>
        </w:rPr>
        <w:t>for</w:t>
      </w:r>
      <w:r w:rsidR="00FF41A0">
        <w:rPr>
          <w:sz w:val="20"/>
          <w:szCs w:val="20"/>
          <w:lang w:val="en"/>
        </w:rPr>
        <w:t xml:space="preserve"> </w:t>
      </w:r>
      <w:r w:rsidR="00323457" w:rsidRPr="0059638B">
        <w:rPr>
          <w:sz w:val="20"/>
          <w:szCs w:val="20"/>
          <w:lang w:val="en"/>
        </w:rPr>
        <w:t>exchanges</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discussion</w:t>
      </w:r>
      <w:r w:rsidR="00FF41A0">
        <w:rPr>
          <w:sz w:val="20"/>
          <w:szCs w:val="20"/>
          <w:lang w:val="en"/>
        </w:rPr>
        <w:t xml:space="preserve"> </w:t>
      </w:r>
      <w:r w:rsidR="00323457" w:rsidRPr="0059638B">
        <w:rPr>
          <w:sz w:val="20"/>
          <w:szCs w:val="20"/>
          <w:lang w:val="en"/>
        </w:rPr>
        <w:t>amongst</w:t>
      </w:r>
      <w:r w:rsidR="00FF41A0">
        <w:rPr>
          <w:sz w:val="20"/>
          <w:szCs w:val="20"/>
          <w:lang w:val="en"/>
        </w:rPr>
        <w:t xml:space="preserve"> </w:t>
      </w:r>
      <w:r w:rsidR="00323457" w:rsidRPr="0059638B">
        <w:rPr>
          <w:sz w:val="20"/>
          <w:szCs w:val="20"/>
          <w:lang w:val="en"/>
        </w:rPr>
        <w:t>political</w:t>
      </w:r>
      <w:r w:rsidR="00FF41A0">
        <w:rPr>
          <w:sz w:val="20"/>
          <w:szCs w:val="20"/>
          <w:lang w:val="en"/>
        </w:rPr>
        <w:t xml:space="preserve"> </w:t>
      </w:r>
      <w:r w:rsidR="00323457" w:rsidRPr="0059638B">
        <w:rPr>
          <w:sz w:val="20"/>
          <w:szCs w:val="20"/>
          <w:lang w:val="en"/>
        </w:rPr>
        <w:t>parties</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opposition</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majority,</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Head</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State,</w:t>
      </w:r>
      <w:r w:rsidR="00FF41A0">
        <w:rPr>
          <w:sz w:val="20"/>
          <w:szCs w:val="20"/>
          <w:lang w:val="en"/>
        </w:rPr>
        <w:t xml:space="preserve"> </w:t>
      </w:r>
      <w:r w:rsidR="00323457" w:rsidRPr="0059638B">
        <w:rPr>
          <w:sz w:val="20"/>
          <w:szCs w:val="20"/>
          <w:lang w:val="en"/>
        </w:rPr>
        <w:t>His</w:t>
      </w:r>
      <w:r w:rsidR="00FF41A0">
        <w:rPr>
          <w:sz w:val="20"/>
          <w:szCs w:val="20"/>
          <w:lang w:val="en"/>
        </w:rPr>
        <w:t xml:space="preserve"> </w:t>
      </w:r>
      <w:r w:rsidR="00323457" w:rsidRPr="0059638B">
        <w:rPr>
          <w:sz w:val="20"/>
          <w:szCs w:val="20"/>
          <w:lang w:val="en"/>
        </w:rPr>
        <w:t>Excellency</w:t>
      </w:r>
      <w:r w:rsidR="00FF41A0">
        <w:rPr>
          <w:sz w:val="20"/>
          <w:szCs w:val="20"/>
          <w:lang w:val="en"/>
        </w:rPr>
        <w:t xml:space="preserve"> </w:t>
      </w:r>
      <w:r w:rsidR="00323457" w:rsidRPr="0059638B">
        <w:rPr>
          <w:sz w:val="20"/>
          <w:szCs w:val="20"/>
          <w:lang w:val="en"/>
        </w:rPr>
        <w:t>Idriss</w:t>
      </w:r>
      <w:r w:rsidR="00FF41A0">
        <w:rPr>
          <w:sz w:val="20"/>
          <w:szCs w:val="20"/>
          <w:lang w:val="en"/>
        </w:rPr>
        <w:t xml:space="preserve"> </w:t>
      </w:r>
      <w:r w:rsidR="00323457" w:rsidRPr="0059638B">
        <w:rPr>
          <w:sz w:val="20"/>
          <w:szCs w:val="20"/>
          <w:lang w:val="en"/>
        </w:rPr>
        <w:t>DEBY</w:t>
      </w:r>
      <w:r w:rsidR="00FF41A0">
        <w:rPr>
          <w:sz w:val="20"/>
          <w:szCs w:val="20"/>
          <w:lang w:val="en"/>
        </w:rPr>
        <w:t xml:space="preserve"> </w:t>
      </w:r>
      <w:r w:rsidR="00323457" w:rsidRPr="0059638B">
        <w:rPr>
          <w:sz w:val="20"/>
          <w:szCs w:val="20"/>
          <w:lang w:val="en"/>
        </w:rPr>
        <w:t>ITNO,</w:t>
      </w:r>
      <w:r w:rsidR="00FF41A0">
        <w:rPr>
          <w:sz w:val="20"/>
          <w:szCs w:val="20"/>
          <w:lang w:val="en"/>
        </w:rPr>
        <w:t xml:space="preserve"> </w:t>
      </w:r>
      <w:r w:rsidR="00323457" w:rsidRPr="0059638B">
        <w:rPr>
          <w:sz w:val="20"/>
          <w:szCs w:val="20"/>
          <w:lang w:val="en"/>
        </w:rPr>
        <w:t>signed</w:t>
      </w:r>
      <w:r w:rsidR="00FF41A0">
        <w:rPr>
          <w:sz w:val="20"/>
          <w:szCs w:val="20"/>
          <w:lang w:val="en"/>
        </w:rPr>
        <w:t xml:space="preserve"> </w:t>
      </w:r>
      <w:r w:rsidR="00323457" w:rsidRPr="0059638B">
        <w:rPr>
          <w:sz w:val="20"/>
          <w:szCs w:val="20"/>
          <w:lang w:val="en"/>
        </w:rPr>
        <w:t>a</w:t>
      </w:r>
      <w:r w:rsidR="00FF41A0">
        <w:rPr>
          <w:sz w:val="20"/>
          <w:szCs w:val="20"/>
          <w:lang w:val="en"/>
        </w:rPr>
        <w:t xml:space="preserve"> </w:t>
      </w:r>
      <w:r w:rsidR="00323457" w:rsidRPr="0059638B">
        <w:rPr>
          <w:sz w:val="20"/>
          <w:szCs w:val="20"/>
          <w:lang w:val="en"/>
        </w:rPr>
        <w:t>decree</w:t>
      </w:r>
      <w:r w:rsidR="00FF41A0">
        <w:rPr>
          <w:sz w:val="20"/>
          <w:szCs w:val="20"/>
          <w:lang w:val="en"/>
        </w:rPr>
        <w:t xml:space="preserve"> </w:t>
      </w:r>
      <w:r w:rsidR="00323457" w:rsidRPr="0059638B">
        <w:rPr>
          <w:sz w:val="20"/>
          <w:szCs w:val="20"/>
          <w:lang w:val="en"/>
        </w:rPr>
        <w:t>setting</w:t>
      </w:r>
      <w:r w:rsidR="00FF41A0">
        <w:rPr>
          <w:sz w:val="20"/>
          <w:szCs w:val="20"/>
          <w:lang w:val="en"/>
        </w:rPr>
        <w:t xml:space="preserve"> </w:t>
      </w:r>
      <w:r w:rsidR="00323457" w:rsidRPr="0059638B">
        <w:rPr>
          <w:sz w:val="20"/>
          <w:szCs w:val="20"/>
          <w:lang w:val="en"/>
        </w:rPr>
        <w:t>up</w:t>
      </w:r>
      <w:r w:rsidR="00FF41A0">
        <w:rPr>
          <w:sz w:val="20"/>
          <w:szCs w:val="20"/>
          <w:lang w:val="en"/>
        </w:rPr>
        <w:t xml:space="preserve"> </w:t>
      </w:r>
      <w:r w:rsidR="00323457" w:rsidRPr="0059638B">
        <w:rPr>
          <w:sz w:val="20"/>
          <w:szCs w:val="20"/>
          <w:lang w:val="en"/>
        </w:rPr>
        <w:t>an</w:t>
      </w:r>
      <w:r w:rsidR="00FF41A0">
        <w:rPr>
          <w:sz w:val="20"/>
          <w:szCs w:val="20"/>
          <w:lang w:val="en"/>
        </w:rPr>
        <w:t xml:space="preserve"> </w:t>
      </w:r>
      <w:r w:rsidR="00323457" w:rsidRPr="0059638B">
        <w:rPr>
          <w:sz w:val="20"/>
          <w:szCs w:val="20"/>
          <w:lang w:val="en"/>
        </w:rPr>
        <w:t>independent</w:t>
      </w:r>
      <w:r w:rsidR="00FF41A0">
        <w:rPr>
          <w:sz w:val="20"/>
          <w:szCs w:val="20"/>
          <w:lang w:val="en"/>
        </w:rPr>
        <w:t xml:space="preserve"> </w:t>
      </w:r>
      <w:r w:rsidR="00323457" w:rsidRPr="0059638B">
        <w:rPr>
          <w:sz w:val="20"/>
          <w:szCs w:val="20"/>
          <w:lang w:val="en"/>
        </w:rPr>
        <w:t>national</w:t>
      </w:r>
      <w:r w:rsidR="00FF41A0">
        <w:rPr>
          <w:sz w:val="20"/>
          <w:szCs w:val="20"/>
          <w:lang w:val="en"/>
        </w:rPr>
        <w:t xml:space="preserve"> </w:t>
      </w:r>
      <w:r w:rsidR="00323457" w:rsidRPr="0059638B">
        <w:rPr>
          <w:sz w:val="20"/>
          <w:szCs w:val="20"/>
          <w:lang w:val="en"/>
        </w:rPr>
        <w:t>commission</w:t>
      </w:r>
      <w:r w:rsidR="00FF41A0">
        <w:rPr>
          <w:sz w:val="20"/>
          <w:szCs w:val="20"/>
          <w:lang w:val="en"/>
        </w:rPr>
        <w:t xml:space="preserve"> </w:t>
      </w:r>
      <w:r w:rsidR="00323457" w:rsidRPr="0059638B">
        <w:rPr>
          <w:sz w:val="20"/>
          <w:szCs w:val="20"/>
          <w:lang w:val="en"/>
        </w:rPr>
        <w:t>tasked</w:t>
      </w:r>
      <w:r w:rsidR="00FF41A0">
        <w:rPr>
          <w:sz w:val="20"/>
          <w:szCs w:val="20"/>
          <w:lang w:val="en"/>
        </w:rPr>
        <w:t xml:space="preserve"> </w:t>
      </w:r>
      <w:r w:rsidR="00323457" w:rsidRPr="0059638B">
        <w:rPr>
          <w:sz w:val="20"/>
          <w:szCs w:val="20"/>
          <w:lang w:val="en"/>
        </w:rPr>
        <w:t>with</w:t>
      </w:r>
      <w:r w:rsidR="00FF41A0">
        <w:rPr>
          <w:sz w:val="20"/>
          <w:szCs w:val="20"/>
          <w:lang w:val="en"/>
        </w:rPr>
        <w:t xml:space="preserve"> </w:t>
      </w:r>
      <w:r w:rsidR="00323457" w:rsidRPr="0059638B">
        <w:rPr>
          <w:sz w:val="20"/>
          <w:szCs w:val="20"/>
          <w:lang w:val="en"/>
        </w:rPr>
        <w:t>organizing</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elections.</w:t>
      </w:r>
    </w:p>
    <w:p w14:paraId="27EF8C3C" w14:textId="409D7C1D" w:rsidR="00323457" w:rsidRPr="0059638B" w:rsidRDefault="00323457" w:rsidP="00323457">
      <w:pPr>
        <w:pStyle w:val="H23G"/>
        <w:rPr>
          <w:sz w:val="20"/>
          <w:szCs w:val="20"/>
        </w:rPr>
      </w:pPr>
      <w:r w:rsidRPr="0059638B">
        <w:rPr>
          <w:sz w:val="20"/>
          <w:szCs w:val="20"/>
        </w:rPr>
        <w:lastRenderedPageBreak/>
        <w:tab/>
        <w:t>2.</w:t>
      </w:r>
      <w:r w:rsidRPr="0059638B">
        <w:rPr>
          <w:sz w:val="20"/>
          <w:szCs w:val="20"/>
        </w:rPr>
        <w:tab/>
        <w:t>Views</w:t>
      </w:r>
      <w:r w:rsidR="00FF41A0">
        <w:rPr>
          <w:sz w:val="20"/>
          <w:szCs w:val="20"/>
        </w:rPr>
        <w:t xml:space="preserve"> </w:t>
      </w:r>
      <w:r w:rsidRPr="0059638B">
        <w:rPr>
          <w:sz w:val="20"/>
          <w:szCs w:val="20"/>
        </w:rPr>
        <w:t>expressed</w:t>
      </w:r>
      <w:r w:rsidR="00FF41A0">
        <w:rPr>
          <w:sz w:val="20"/>
          <w:szCs w:val="20"/>
        </w:rPr>
        <w:t xml:space="preserve"> </w:t>
      </w:r>
      <w:r w:rsidRPr="0059638B">
        <w:rPr>
          <w:sz w:val="20"/>
          <w:szCs w:val="20"/>
        </w:rPr>
        <w:t>by</w:t>
      </w:r>
      <w:r w:rsidR="00FF41A0">
        <w:rPr>
          <w:sz w:val="20"/>
          <w:szCs w:val="20"/>
        </w:rPr>
        <w:t xml:space="preserve"> </w:t>
      </w:r>
      <w:r w:rsidRPr="0059638B">
        <w:rPr>
          <w:sz w:val="20"/>
          <w:szCs w:val="20"/>
        </w:rPr>
        <w:t>Member</w:t>
      </w:r>
      <w:r w:rsidR="00FF41A0">
        <w:rPr>
          <w:sz w:val="20"/>
          <w:szCs w:val="20"/>
        </w:rPr>
        <w:t xml:space="preserve"> </w:t>
      </w:r>
      <w:r w:rsidRPr="0059638B">
        <w:rPr>
          <w:sz w:val="20"/>
          <w:szCs w:val="20"/>
        </w:rPr>
        <w:t>and</w:t>
      </w:r>
      <w:r w:rsidR="00FF41A0">
        <w:rPr>
          <w:sz w:val="20"/>
          <w:szCs w:val="20"/>
        </w:rPr>
        <w:t xml:space="preserve"> </w:t>
      </w:r>
      <w:r w:rsidRPr="0059638B">
        <w:rPr>
          <w:sz w:val="20"/>
          <w:szCs w:val="20"/>
        </w:rPr>
        <w:t>observer</w:t>
      </w:r>
      <w:r w:rsidR="00FF41A0">
        <w:rPr>
          <w:sz w:val="20"/>
          <w:szCs w:val="20"/>
        </w:rPr>
        <w:t xml:space="preserve"> </w:t>
      </w:r>
      <w:r w:rsidRPr="0059638B">
        <w:rPr>
          <w:sz w:val="20"/>
          <w:szCs w:val="20"/>
        </w:rPr>
        <w:t>States</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on</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outcome</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review</w:t>
      </w:r>
      <w:r w:rsidR="00FF41A0">
        <w:rPr>
          <w:sz w:val="20"/>
          <w:szCs w:val="20"/>
        </w:rPr>
        <w:t xml:space="preserve"> </w:t>
      </w:r>
    </w:p>
    <w:p w14:paraId="2BE3A94C" w14:textId="360F7504" w:rsidR="00323457" w:rsidRPr="0059638B" w:rsidRDefault="00972F1E" w:rsidP="00323457">
      <w:pPr>
        <w:pStyle w:val="SingleTxtG"/>
        <w:rPr>
          <w:sz w:val="20"/>
          <w:szCs w:val="20"/>
        </w:rPr>
      </w:pPr>
      <w:r>
        <w:rPr>
          <w:sz w:val="20"/>
          <w:szCs w:val="20"/>
        </w:rPr>
        <w:t>791</w:t>
      </w:r>
      <w:r w:rsidR="00D7475F">
        <w:rPr>
          <w:sz w:val="20"/>
          <w:szCs w:val="20"/>
        </w:rPr>
        <w:t>.</w:t>
      </w:r>
      <w:r w:rsidR="00D7475F">
        <w:rPr>
          <w:sz w:val="20"/>
          <w:szCs w:val="20"/>
        </w:rPr>
        <w:tab/>
      </w:r>
      <w:r w:rsidR="00323457" w:rsidRPr="0059638B">
        <w:rPr>
          <w:sz w:val="20"/>
          <w:szCs w:val="20"/>
        </w:rPr>
        <w:t>During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adoption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outcome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Chad,</w:t>
      </w:r>
      <w:r w:rsidR="00FF41A0">
        <w:rPr>
          <w:sz w:val="20"/>
          <w:szCs w:val="20"/>
        </w:rPr>
        <w:t xml:space="preserve"> </w:t>
      </w:r>
      <w:r w:rsidR="00323457" w:rsidRPr="0059638B">
        <w:rPr>
          <w:sz w:val="20"/>
          <w:szCs w:val="20"/>
        </w:rPr>
        <w:t>13</w:t>
      </w:r>
      <w:r w:rsidR="00FF41A0">
        <w:rPr>
          <w:sz w:val="20"/>
          <w:szCs w:val="20"/>
        </w:rPr>
        <w:t xml:space="preserve"> </w:t>
      </w:r>
      <w:r w:rsidR="00323457" w:rsidRPr="0059638B">
        <w:rPr>
          <w:sz w:val="20"/>
          <w:szCs w:val="20"/>
        </w:rPr>
        <w:t>delegations</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statements.</w:t>
      </w:r>
      <w:r w:rsidR="000943B0" w:rsidRPr="000943B0">
        <w:rPr>
          <w:rStyle w:val="FootnoteReference"/>
          <w:sz w:val="20"/>
          <w:szCs w:val="20"/>
          <w:vertAlign w:val="baseline"/>
        </w:rPr>
        <w:footnoteReference w:customMarkFollows="1" w:id="59"/>
        <w:t>**</w:t>
      </w:r>
      <w:r w:rsidR="00FF41A0">
        <w:rPr>
          <w:sz w:val="20"/>
          <w:szCs w:val="20"/>
        </w:rPr>
        <w:t xml:space="preserve"> </w:t>
      </w:r>
    </w:p>
    <w:p w14:paraId="57E297BC" w14:textId="302BB145" w:rsidR="00323457" w:rsidRPr="0059638B" w:rsidRDefault="00972F1E" w:rsidP="00323457">
      <w:pPr>
        <w:pStyle w:val="SingleTxtG"/>
        <w:rPr>
          <w:sz w:val="20"/>
          <w:szCs w:val="20"/>
        </w:rPr>
      </w:pPr>
      <w:r>
        <w:rPr>
          <w:sz w:val="20"/>
          <w:szCs w:val="20"/>
        </w:rPr>
        <w:t>792</w:t>
      </w:r>
      <w:r w:rsidR="00D7475F">
        <w:rPr>
          <w:sz w:val="20"/>
          <w:szCs w:val="20"/>
        </w:rPr>
        <w:t>.</w:t>
      </w:r>
      <w:r w:rsidR="00D7475F">
        <w:rPr>
          <w:sz w:val="20"/>
          <w:szCs w:val="20"/>
        </w:rPr>
        <w:tab/>
      </w:r>
      <w:r w:rsidR="00323457" w:rsidRPr="0059638B">
        <w:rPr>
          <w:sz w:val="20"/>
          <w:szCs w:val="20"/>
        </w:rPr>
        <w:t>Togo</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commitment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following</w:t>
      </w:r>
      <w:r w:rsidR="00FF41A0">
        <w:rPr>
          <w:sz w:val="20"/>
          <w:szCs w:val="20"/>
        </w:rPr>
        <w:t xml:space="preserve"> </w:t>
      </w:r>
      <w:r w:rsidR="00323457" w:rsidRPr="0059638B">
        <w:rPr>
          <w:sz w:val="20"/>
          <w:szCs w:val="20"/>
        </w:rPr>
        <w:t>up</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supported</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further</w:t>
      </w:r>
      <w:r w:rsidR="00FF41A0">
        <w:rPr>
          <w:sz w:val="20"/>
          <w:szCs w:val="20"/>
        </w:rPr>
        <w:t xml:space="preserve"> </w:t>
      </w:r>
      <w:r w:rsidR="00323457" w:rsidRPr="0059638B">
        <w:rPr>
          <w:sz w:val="20"/>
          <w:szCs w:val="20"/>
        </w:rPr>
        <w:t>consolidate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country.</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satisfaction</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is</w:t>
      </w:r>
      <w:r w:rsidR="00FF41A0">
        <w:rPr>
          <w:sz w:val="20"/>
          <w:szCs w:val="20"/>
        </w:rPr>
        <w:t xml:space="preserve"> </w:t>
      </w:r>
      <w:r w:rsidR="00323457" w:rsidRPr="0059638B">
        <w:rPr>
          <w:sz w:val="20"/>
          <w:szCs w:val="20"/>
        </w:rPr>
        <w:t>paying</w:t>
      </w:r>
      <w:r w:rsidR="00FF41A0">
        <w:rPr>
          <w:sz w:val="20"/>
          <w:szCs w:val="20"/>
        </w:rPr>
        <w:t xml:space="preserve"> </w:t>
      </w:r>
      <w:r w:rsidR="00323457" w:rsidRPr="0059638B">
        <w:rPr>
          <w:sz w:val="20"/>
          <w:szCs w:val="20"/>
        </w:rPr>
        <w:t>particular</w:t>
      </w:r>
      <w:r w:rsidR="00FF41A0">
        <w:rPr>
          <w:sz w:val="20"/>
          <w:szCs w:val="20"/>
        </w:rPr>
        <w:t xml:space="preserve"> </w:t>
      </w:r>
      <w:r w:rsidR="00323457" w:rsidRPr="0059638B">
        <w:rPr>
          <w:sz w:val="20"/>
          <w:szCs w:val="20"/>
        </w:rPr>
        <w:t>attention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promotion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empowerment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situation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children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measures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combat</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forms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violence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discrimination.</w:t>
      </w:r>
      <w:r w:rsidR="00FF41A0">
        <w:rPr>
          <w:sz w:val="20"/>
          <w:szCs w:val="20"/>
        </w:rPr>
        <w:t xml:space="preserve"> </w:t>
      </w:r>
    </w:p>
    <w:p w14:paraId="2AE3D9F2" w14:textId="0440532D" w:rsidR="00323457" w:rsidRPr="0059638B" w:rsidRDefault="00972F1E" w:rsidP="00323457">
      <w:pPr>
        <w:pStyle w:val="SingleTxtG"/>
        <w:rPr>
          <w:sz w:val="20"/>
          <w:szCs w:val="20"/>
        </w:rPr>
      </w:pPr>
      <w:r>
        <w:rPr>
          <w:sz w:val="20"/>
          <w:szCs w:val="20"/>
        </w:rPr>
        <w:t>793</w:t>
      </w:r>
      <w:r w:rsidR="00D7475F">
        <w:rPr>
          <w:sz w:val="20"/>
          <w:szCs w:val="20"/>
        </w:rPr>
        <w:t>.</w:t>
      </w:r>
      <w:r w:rsidR="00D7475F">
        <w:rPr>
          <w:sz w:val="20"/>
          <w:szCs w:val="20"/>
        </w:rPr>
        <w:tab/>
      </w:r>
      <w:r w:rsidR="00323457" w:rsidRPr="0059638B">
        <w:rPr>
          <w:sz w:val="20"/>
          <w:szCs w:val="20"/>
        </w:rPr>
        <w:t>Tunisia</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steps</w:t>
      </w:r>
      <w:r w:rsidR="00FF41A0">
        <w:rPr>
          <w:sz w:val="20"/>
          <w:szCs w:val="20"/>
        </w:rPr>
        <w:t xml:space="preserve"> </w:t>
      </w:r>
      <w:r w:rsidR="00323457" w:rsidRPr="0059638B">
        <w:rPr>
          <w:sz w:val="20"/>
          <w:szCs w:val="20"/>
        </w:rPr>
        <w:t>taken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build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institutional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legislative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framework</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thanked</w:t>
      </w:r>
      <w:r w:rsidR="00FF41A0">
        <w:rPr>
          <w:sz w:val="20"/>
          <w:szCs w:val="20"/>
        </w:rPr>
        <w:t xml:space="preserve"> </w:t>
      </w:r>
      <w:r w:rsidR="00323457" w:rsidRPr="0059638B">
        <w:rPr>
          <w:sz w:val="20"/>
          <w:szCs w:val="20"/>
        </w:rPr>
        <w:t>Chad</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accepting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majority</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including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Tunisia.</w:t>
      </w:r>
    </w:p>
    <w:p w14:paraId="022CD9CE" w14:textId="4117A56C" w:rsidR="00323457" w:rsidRPr="0059638B" w:rsidRDefault="00972F1E" w:rsidP="00323457">
      <w:pPr>
        <w:pStyle w:val="SingleTxtG"/>
        <w:rPr>
          <w:sz w:val="20"/>
          <w:szCs w:val="20"/>
        </w:rPr>
      </w:pPr>
      <w:r>
        <w:rPr>
          <w:sz w:val="20"/>
          <w:szCs w:val="20"/>
        </w:rPr>
        <w:t>794</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Bolivarian</w:t>
      </w:r>
      <w:r w:rsidR="00FF41A0">
        <w:rPr>
          <w:sz w:val="20"/>
          <w:szCs w:val="20"/>
        </w:rPr>
        <w:t xml:space="preserve"> </w:t>
      </w:r>
      <w:r w:rsidR="00323457" w:rsidRPr="0059638B">
        <w:rPr>
          <w:sz w:val="20"/>
          <w:szCs w:val="20"/>
        </w:rPr>
        <w:t>Republic</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Venezuela</w:t>
      </w:r>
      <w:r w:rsidR="00FF41A0">
        <w:rPr>
          <w:sz w:val="20"/>
          <w:szCs w:val="20"/>
        </w:rPr>
        <w:t xml:space="preserve"> </w:t>
      </w:r>
      <w:r w:rsidR="00323457" w:rsidRPr="0059638B">
        <w:rPr>
          <w:sz w:val="20"/>
          <w:szCs w:val="20"/>
        </w:rPr>
        <w:t>valued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undertaken</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Chad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implementing</w:t>
      </w:r>
      <w:r w:rsidR="00FF41A0">
        <w:rPr>
          <w:sz w:val="20"/>
          <w:szCs w:val="20"/>
        </w:rPr>
        <w:t xml:space="preserve"> </w:t>
      </w:r>
      <w:r w:rsidR="00323457" w:rsidRPr="0059638B">
        <w:rPr>
          <w:sz w:val="20"/>
          <w:szCs w:val="20"/>
        </w:rPr>
        <w:t>accepted</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highlighted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ratification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various</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instruments</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well</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development</w:t>
      </w:r>
      <w:r w:rsidR="00FF41A0">
        <w:rPr>
          <w:sz w:val="20"/>
          <w:szCs w:val="20"/>
        </w:rPr>
        <w:t xml:space="preserve"> </w:t>
      </w:r>
      <w:r w:rsidR="00323457" w:rsidRPr="0059638B">
        <w:rPr>
          <w:sz w:val="20"/>
          <w:szCs w:val="20"/>
        </w:rPr>
        <w:t>policy</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focuses</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includes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fight</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domestic</w:t>
      </w:r>
      <w:r w:rsidR="00FF41A0">
        <w:rPr>
          <w:sz w:val="20"/>
          <w:szCs w:val="20"/>
        </w:rPr>
        <w:t xml:space="preserve"> </w:t>
      </w:r>
      <w:r w:rsidR="00323457" w:rsidRPr="0059638B">
        <w:rPr>
          <w:sz w:val="20"/>
          <w:szCs w:val="20"/>
        </w:rPr>
        <w:t>violence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forms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discrimination</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women.</w:t>
      </w:r>
    </w:p>
    <w:p w14:paraId="0DAC72DB" w14:textId="22FDA79D" w:rsidR="00323457" w:rsidRPr="0059638B" w:rsidRDefault="00972F1E" w:rsidP="00323457">
      <w:pPr>
        <w:pStyle w:val="SingleTxtG"/>
        <w:rPr>
          <w:sz w:val="20"/>
          <w:szCs w:val="20"/>
        </w:rPr>
      </w:pPr>
      <w:r>
        <w:rPr>
          <w:sz w:val="20"/>
          <w:szCs w:val="20"/>
        </w:rPr>
        <w:t>795</w:t>
      </w:r>
      <w:r w:rsidR="00D7475F">
        <w:rPr>
          <w:sz w:val="20"/>
          <w:szCs w:val="20"/>
        </w:rPr>
        <w:t>.</w:t>
      </w:r>
      <w:r w:rsidR="00D7475F">
        <w:rPr>
          <w:sz w:val="20"/>
          <w:szCs w:val="20"/>
        </w:rPr>
        <w:tab/>
      </w:r>
      <w:r w:rsidR="00323457" w:rsidRPr="0059638B">
        <w:rPr>
          <w:sz w:val="20"/>
          <w:szCs w:val="20"/>
        </w:rPr>
        <w:t>Afghanistan</w:t>
      </w:r>
      <w:r w:rsidR="00FF41A0">
        <w:rPr>
          <w:sz w:val="20"/>
          <w:szCs w:val="20"/>
        </w:rPr>
        <w:t xml:space="preserve"> </w:t>
      </w:r>
      <w:r w:rsidR="00323457" w:rsidRPr="0059638B">
        <w:rPr>
          <w:sz w:val="20"/>
          <w:szCs w:val="20"/>
        </w:rPr>
        <w:t>appreciated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Chad</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accepting</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large</w:t>
      </w:r>
      <w:r w:rsidR="00FF41A0">
        <w:rPr>
          <w:sz w:val="20"/>
          <w:szCs w:val="20"/>
        </w:rPr>
        <w:t xml:space="preserve"> </w:t>
      </w:r>
      <w:r w:rsidR="00323457" w:rsidRPr="0059638B">
        <w:rPr>
          <w:sz w:val="20"/>
          <w:szCs w:val="20"/>
        </w:rPr>
        <w:t>number</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received</w:t>
      </w:r>
      <w:r w:rsidR="00FF41A0">
        <w:rPr>
          <w:sz w:val="20"/>
          <w:szCs w:val="20"/>
        </w:rPr>
        <w:t xml:space="preserve"> </w:t>
      </w:r>
      <w:r w:rsidR="00323457" w:rsidRPr="0059638B">
        <w:rPr>
          <w:sz w:val="20"/>
          <w:szCs w:val="20"/>
        </w:rPr>
        <w:t>during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third</w:t>
      </w:r>
      <w:r w:rsidR="00FF41A0">
        <w:rPr>
          <w:sz w:val="20"/>
          <w:szCs w:val="20"/>
        </w:rPr>
        <w:t xml:space="preserve"> </w:t>
      </w:r>
      <w:r w:rsidR="00323457" w:rsidRPr="0059638B">
        <w:rPr>
          <w:sz w:val="20"/>
          <w:szCs w:val="20"/>
        </w:rPr>
        <w:t>cycle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supported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willingness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Chad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consider</w:t>
      </w:r>
      <w:r w:rsidR="00FF41A0">
        <w:rPr>
          <w:sz w:val="20"/>
          <w:szCs w:val="20"/>
        </w:rPr>
        <w:t xml:space="preserve"> </w:t>
      </w:r>
      <w:r w:rsidR="00323457" w:rsidRPr="0059638B">
        <w:rPr>
          <w:sz w:val="20"/>
          <w:szCs w:val="20"/>
        </w:rPr>
        <w:t>additional</w:t>
      </w:r>
      <w:r w:rsidR="00FF41A0">
        <w:rPr>
          <w:sz w:val="20"/>
          <w:szCs w:val="20"/>
        </w:rPr>
        <w:t xml:space="preserve"> </w:t>
      </w:r>
      <w:r w:rsidR="00323457" w:rsidRPr="0059638B">
        <w:rPr>
          <w:sz w:val="20"/>
          <w:szCs w:val="20"/>
        </w:rPr>
        <w:t>amendments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their</w:t>
      </w:r>
      <w:r w:rsidR="00FF41A0">
        <w:rPr>
          <w:sz w:val="20"/>
          <w:szCs w:val="20"/>
        </w:rPr>
        <w:t xml:space="preserve"> </w:t>
      </w:r>
      <w:r w:rsidR="00323457" w:rsidRPr="0059638B">
        <w:rPr>
          <w:sz w:val="20"/>
          <w:szCs w:val="20"/>
        </w:rPr>
        <w:t>legal</w:t>
      </w:r>
      <w:r w:rsidR="00FF41A0">
        <w:rPr>
          <w:sz w:val="20"/>
          <w:szCs w:val="20"/>
        </w:rPr>
        <w:t xml:space="preserve"> </w:t>
      </w:r>
      <w:r w:rsidR="00323457" w:rsidRPr="0059638B">
        <w:rPr>
          <w:sz w:val="20"/>
          <w:szCs w:val="20"/>
        </w:rPr>
        <w:t>framework</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accordance</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standards.</w:t>
      </w:r>
      <w:r w:rsidR="00FF41A0">
        <w:rPr>
          <w:sz w:val="20"/>
          <w:szCs w:val="20"/>
        </w:rPr>
        <w:t xml:space="preserve"> </w:t>
      </w:r>
    </w:p>
    <w:p w14:paraId="2BBEE5D2" w14:textId="4F7C3F9E" w:rsidR="00323457" w:rsidRPr="0059638B" w:rsidRDefault="00972F1E" w:rsidP="00323457">
      <w:pPr>
        <w:pStyle w:val="SingleTxtG"/>
        <w:rPr>
          <w:sz w:val="20"/>
          <w:szCs w:val="20"/>
        </w:rPr>
      </w:pPr>
      <w:r>
        <w:rPr>
          <w:sz w:val="20"/>
          <w:szCs w:val="20"/>
        </w:rPr>
        <w:t>796</w:t>
      </w:r>
      <w:r w:rsidR="00D7475F">
        <w:rPr>
          <w:sz w:val="20"/>
          <w:szCs w:val="20"/>
        </w:rPr>
        <w:t>.</w:t>
      </w:r>
      <w:r w:rsidR="00D7475F">
        <w:rPr>
          <w:sz w:val="20"/>
          <w:szCs w:val="20"/>
        </w:rPr>
        <w:tab/>
      </w:r>
      <w:r w:rsidR="00323457" w:rsidRPr="0059638B">
        <w:rPr>
          <w:sz w:val="20"/>
          <w:szCs w:val="20"/>
        </w:rPr>
        <w:t>Algeria</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adoption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policies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programmes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promote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particular,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development</w:t>
      </w:r>
      <w:r w:rsidR="00FF41A0">
        <w:rPr>
          <w:sz w:val="20"/>
          <w:szCs w:val="20"/>
        </w:rPr>
        <w:t xml:space="preserve"> </w:t>
      </w:r>
      <w:r w:rsidR="00323457" w:rsidRPr="0059638B">
        <w:rPr>
          <w:sz w:val="20"/>
          <w:szCs w:val="20"/>
        </w:rPr>
        <w:t>plan</w:t>
      </w:r>
      <w:r w:rsidR="00FF41A0">
        <w:rPr>
          <w:sz w:val="20"/>
          <w:szCs w:val="20"/>
        </w:rPr>
        <w:t xml:space="preserve"> </w:t>
      </w:r>
      <w:r w:rsidR="00323457" w:rsidRPr="0059638B">
        <w:rPr>
          <w:sz w:val="20"/>
          <w:szCs w:val="20"/>
        </w:rPr>
        <w:t>2017-2021</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poverty</w:t>
      </w:r>
      <w:r w:rsidR="00FF41A0">
        <w:rPr>
          <w:sz w:val="20"/>
          <w:szCs w:val="20"/>
        </w:rPr>
        <w:t xml:space="preserve"> </w:t>
      </w:r>
      <w:r w:rsidR="00323457" w:rsidRPr="0059638B">
        <w:rPr>
          <w:sz w:val="20"/>
          <w:szCs w:val="20"/>
        </w:rPr>
        <w:t>reduction</w:t>
      </w:r>
      <w:r w:rsidR="00FF41A0">
        <w:rPr>
          <w:sz w:val="20"/>
          <w:szCs w:val="20"/>
        </w:rPr>
        <w:t xml:space="preserve"> </w:t>
      </w:r>
      <w:r w:rsidR="00323457" w:rsidRPr="0059638B">
        <w:rPr>
          <w:sz w:val="20"/>
          <w:szCs w:val="20"/>
        </w:rPr>
        <w:t>strategies</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well</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measures</w:t>
      </w:r>
      <w:r w:rsidR="00FF41A0">
        <w:rPr>
          <w:sz w:val="20"/>
          <w:szCs w:val="20"/>
        </w:rPr>
        <w:t xml:space="preserve"> </w:t>
      </w:r>
      <w:r w:rsidR="00323457" w:rsidRPr="0059638B">
        <w:rPr>
          <w:sz w:val="20"/>
          <w:szCs w:val="20"/>
        </w:rPr>
        <w:t>taken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put</w:t>
      </w:r>
      <w:r w:rsidR="00FF41A0">
        <w:rPr>
          <w:sz w:val="20"/>
          <w:szCs w:val="20"/>
        </w:rPr>
        <w:t xml:space="preserve"> </w:t>
      </w:r>
      <w:r w:rsidR="00323457" w:rsidRPr="0059638B">
        <w:rPr>
          <w:sz w:val="20"/>
          <w:szCs w:val="20"/>
        </w:rPr>
        <w:t>an</w:t>
      </w:r>
      <w:r w:rsidR="00FF41A0">
        <w:rPr>
          <w:sz w:val="20"/>
          <w:szCs w:val="20"/>
        </w:rPr>
        <w:t xml:space="preserve"> </w:t>
      </w:r>
      <w:r w:rsidR="00323457" w:rsidRPr="0059638B">
        <w:rPr>
          <w:sz w:val="20"/>
          <w:szCs w:val="20"/>
        </w:rPr>
        <w:t>end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enlisting</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children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Armed</w:t>
      </w:r>
      <w:r w:rsidR="00FF41A0">
        <w:rPr>
          <w:sz w:val="20"/>
          <w:szCs w:val="20"/>
        </w:rPr>
        <w:t xml:space="preserve"> </w:t>
      </w:r>
      <w:r w:rsidR="00323457" w:rsidRPr="0059638B">
        <w:rPr>
          <w:sz w:val="20"/>
          <w:szCs w:val="20"/>
        </w:rPr>
        <w:t>Forces.</w:t>
      </w:r>
      <w:r w:rsidR="00FF41A0">
        <w:rPr>
          <w:sz w:val="20"/>
          <w:szCs w:val="20"/>
        </w:rPr>
        <w:t xml:space="preserve"> </w:t>
      </w:r>
    </w:p>
    <w:p w14:paraId="558384DA" w14:textId="3C6C7356" w:rsidR="00323457" w:rsidRPr="0059638B" w:rsidRDefault="00972F1E" w:rsidP="00323457">
      <w:pPr>
        <w:pStyle w:val="SingleTxtG"/>
        <w:rPr>
          <w:sz w:val="20"/>
          <w:szCs w:val="20"/>
        </w:rPr>
      </w:pPr>
      <w:r>
        <w:rPr>
          <w:sz w:val="20"/>
          <w:szCs w:val="20"/>
        </w:rPr>
        <w:t>797</w:t>
      </w:r>
      <w:r w:rsidR="00D7475F">
        <w:rPr>
          <w:sz w:val="20"/>
          <w:szCs w:val="20"/>
        </w:rPr>
        <w:t>.</w:t>
      </w:r>
      <w:r w:rsidR="00D7475F">
        <w:rPr>
          <w:sz w:val="20"/>
          <w:szCs w:val="20"/>
        </w:rPr>
        <w:tab/>
      </w:r>
      <w:r w:rsidR="00323457" w:rsidRPr="0059638B">
        <w:rPr>
          <w:sz w:val="20"/>
          <w:szCs w:val="20"/>
        </w:rPr>
        <w:t>Angola</w:t>
      </w:r>
      <w:r w:rsidR="00FF41A0">
        <w:rPr>
          <w:sz w:val="20"/>
          <w:szCs w:val="20"/>
        </w:rPr>
        <w:t xml:space="preserve"> </w:t>
      </w:r>
      <w:r w:rsidR="00323457" w:rsidRPr="0059638B">
        <w:rPr>
          <w:sz w:val="20"/>
          <w:szCs w:val="20"/>
        </w:rPr>
        <w:t>commended</w:t>
      </w:r>
      <w:r w:rsidR="00FF41A0">
        <w:rPr>
          <w:sz w:val="20"/>
          <w:szCs w:val="20"/>
        </w:rPr>
        <w:t xml:space="preserve"> </w:t>
      </w:r>
      <w:r w:rsidR="00323457" w:rsidRPr="0059638B">
        <w:rPr>
          <w:sz w:val="20"/>
          <w:szCs w:val="20"/>
        </w:rPr>
        <w:t>progress</w:t>
      </w:r>
      <w:r w:rsidR="00FF41A0">
        <w:rPr>
          <w:sz w:val="20"/>
          <w:szCs w:val="20"/>
        </w:rPr>
        <w:t xml:space="preserve"> </w:t>
      </w:r>
      <w:r w:rsidR="00323457" w:rsidRPr="0059638B">
        <w:rPr>
          <w:sz w:val="20"/>
          <w:szCs w:val="20"/>
        </w:rPr>
        <w:t>achieved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Chad</w:t>
      </w:r>
      <w:r w:rsidR="00FF41A0">
        <w:rPr>
          <w:sz w:val="20"/>
          <w:szCs w:val="20"/>
        </w:rPr>
        <w:t xml:space="preserve"> </w:t>
      </w:r>
      <w:r w:rsidR="00323457" w:rsidRPr="0059638B">
        <w:rPr>
          <w:sz w:val="20"/>
          <w:szCs w:val="20"/>
        </w:rPr>
        <w:t>since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last</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cycle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terms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civil,</w:t>
      </w:r>
      <w:r w:rsidR="00FF41A0">
        <w:rPr>
          <w:sz w:val="20"/>
          <w:szCs w:val="20"/>
        </w:rPr>
        <w:t xml:space="preserve"> </w:t>
      </w:r>
      <w:r w:rsidR="00323457" w:rsidRPr="0059638B">
        <w:rPr>
          <w:sz w:val="20"/>
          <w:szCs w:val="20"/>
        </w:rPr>
        <w:t>political,</w:t>
      </w:r>
      <w:r w:rsidR="00FF41A0">
        <w:rPr>
          <w:sz w:val="20"/>
          <w:szCs w:val="20"/>
        </w:rPr>
        <w:t xml:space="preserve"> </w:t>
      </w:r>
      <w:r w:rsidR="00323457" w:rsidRPr="0059638B">
        <w:rPr>
          <w:sz w:val="20"/>
          <w:szCs w:val="20"/>
        </w:rPr>
        <w:t>economic,</w:t>
      </w:r>
      <w:r w:rsidR="00FF41A0">
        <w:rPr>
          <w:sz w:val="20"/>
          <w:szCs w:val="20"/>
        </w:rPr>
        <w:t xml:space="preserve"> </w:t>
      </w:r>
      <w:r w:rsidR="00323457" w:rsidRPr="0059638B">
        <w:rPr>
          <w:sz w:val="20"/>
          <w:szCs w:val="20"/>
        </w:rPr>
        <w:t>social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cultural</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translated</w:t>
      </w:r>
      <w:r w:rsidR="00FF41A0">
        <w:rPr>
          <w:sz w:val="20"/>
          <w:szCs w:val="20"/>
        </w:rPr>
        <w:t xml:space="preserve"> </w:t>
      </w:r>
      <w:r w:rsidR="00323457" w:rsidRPr="0059638B">
        <w:rPr>
          <w:sz w:val="20"/>
          <w:szCs w:val="20"/>
        </w:rPr>
        <w:t>into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ratification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major</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treaties</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equality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non-discrimination</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environmental</w:t>
      </w:r>
      <w:r w:rsidR="00FF41A0">
        <w:rPr>
          <w:sz w:val="20"/>
          <w:szCs w:val="20"/>
        </w:rPr>
        <w:t xml:space="preserve"> </w:t>
      </w:r>
      <w:r w:rsidR="00323457" w:rsidRPr="0059638B">
        <w:rPr>
          <w:sz w:val="20"/>
          <w:szCs w:val="20"/>
        </w:rPr>
        <w:t>challenges,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fight</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terrorism.</w:t>
      </w:r>
      <w:r w:rsidR="00FF41A0">
        <w:rPr>
          <w:sz w:val="20"/>
          <w:szCs w:val="20"/>
        </w:rPr>
        <w:t xml:space="preserve"> </w:t>
      </w:r>
    </w:p>
    <w:p w14:paraId="318C77B0" w14:textId="34EAA5A8" w:rsidR="00323457" w:rsidRPr="0059638B" w:rsidRDefault="00972F1E" w:rsidP="00323457">
      <w:pPr>
        <w:pStyle w:val="SingleTxtG"/>
        <w:rPr>
          <w:sz w:val="20"/>
          <w:szCs w:val="20"/>
        </w:rPr>
      </w:pPr>
      <w:r>
        <w:rPr>
          <w:sz w:val="20"/>
          <w:szCs w:val="20"/>
        </w:rPr>
        <w:t>798</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Plurinational</w:t>
      </w:r>
      <w:r w:rsidR="00FF41A0">
        <w:rPr>
          <w:sz w:val="20"/>
          <w:szCs w:val="20"/>
        </w:rPr>
        <w:t xml:space="preserve"> </w:t>
      </w:r>
      <w:r w:rsidR="00323457" w:rsidRPr="0059638B">
        <w:rPr>
          <w:sz w:val="20"/>
          <w:szCs w:val="20"/>
        </w:rPr>
        <w:t>State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Bolivia</w:t>
      </w:r>
      <w:r w:rsidR="00FF41A0">
        <w:rPr>
          <w:sz w:val="20"/>
          <w:szCs w:val="20"/>
        </w:rPr>
        <w:t xml:space="preserve"> </w:t>
      </w:r>
      <w:r w:rsidR="00323457" w:rsidRPr="0059638B">
        <w:rPr>
          <w:sz w:val="20"/>
          <w:szCs w:val="20"/>
        </w:rPr>
        <w:t>acknowledged</w:t>
      </w:r>
      <w:r w:rsidR="00FF41A0">
        <w:rPr>
          <w:sz w:val="20"/>
          <w:szCs w:val="20"/>
        </w:rPr>
        <w:t xml:space="preserve"> </w:t>
      </w:r>
      <w:r w:rsidR="00323457" w:rsidRPr="0059638B">
        <w:rPr>
          <w:sz w:val="20"/>
          <w:szCs w:val="20"/>
        </w:rPr>
        <w:t>Chad</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commitment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deployed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areas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legal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institutional</w:t>
      </w:r>
      <w:r w:rsidR="00FF41A0">
        <w:rPr>
          <w:sz w:val="20"/>
          <w:szCs w:val="20"/>
        </w:rPr>
        <w:t xml:space="preserve"> </w:t>
      </w:r>
      <w:r w:rsidR="00323457" w:rsidRPr="0059638B">
        <w:rPr>
          <w:sz w:val="20"/>
          <w:szCs w:val="20"/>
        </w:rPr>
        <w:t>framework</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cooperation</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United</w:t>
      </w:r>
      <w:r w:rsidR="00FF41A0">
        <w:rPr>
          <w:sz w:val="20"/>
          <w:szCs w:val="20"/>
        </w:rPr>
        <w:t xml:space="preserve"> </w:t>
      </w:r>
      <w:r w:rsidR="00323457" w:rsidRPr="0059638B">
        <w:rPr>
          <w:sz w:val="20"/>
          <w:szCs w:val="20"/>
        </w:rPr>
        <w:t>Nations</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mechanisms.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congratulated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acceptance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195</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including</w:t>
      </w:r>
      <w:r w:rsidR="00FF41A0">
        <w:rPr>
          <w:sz w:val="20"/>
          <w:szCs w:val="20"/>
        </w:rPr>
        <w:t xml:space="preserve"> </w:t>
      </w:r>
      <w:r w:rsidR="00323457" w:rsidRPr="0059638B">
        <w:rPr>
          <w:sz w:val="20"/>
          <w:szCs w:val="20"/>
        </w:rPr>
        <w:t>those</w:t>
      </w:r>
      <w:r w:rsidR="00FF41A0">
        <w:rPr>
          <w:sz w:val="20"/>
          <w:szCs w:val="20"/>
        </w:rPr>
        <w:t xml:space="preserve"> </w:t>
      </w:r>
      <w:r w:rsidR="00323457" w:rsidRPr="0059638B">
        <w:rPr>
          <w:sz w:val="20"/>
          <w:szCs w:val="20"/>
        </w:rPr>
        <w:t>issued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Plurinational</w:t>
      </w:r>
      <w:r w:rsidR="00FF41A0">
        <w:rPr>
          <w:sz w:val="20"/>
          <w:szCs w:val="20"/>
        </w:rPr>
        <w:t xml:space="preserve"> </w:t>
      </w:r>
      <w:r w:rsidR="00323457" w:rsidRPr="0059638B">
        <w:rPr>
          <w:sz w:val="20"/>
          <w:szCs w:val="20"/>
        </w:rPr>
        <w:t>State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Bolivia.</w:t>
      </w:r>
    </w:p>
    <w:p w14:paraId="74D86244" w14:textId="12475E3D" w:rsidR="00323457" w:rsidRPr="0059638B" w:rsidRDefault="00972F1E" w:rsidP="00323457">
      <w:pPr>
        <w:pStyle w:val="SingleTxtG"/>
        <w:rPr>
          <w:sz w:val="20"/>
          <w:szCs w:val="20"/>
        </w:rPr>
      </w:pPr>
      <w:r>
        <w:rPr>
          <w:sz w:val="20"/>
          <w:szCs w:val="20"/>
        </w:rPr>
        <w:t>799</w:t>
      </w:r>
      <w:r w:rsidR="00D7475F">
        <w:rPr>
          <w:sz w:val="20"/>
          <w:szCs w:val="20"/>
        </w:rPr>
        <w:t>.</w:t>
      </w:r>
      <w:r w:rsidR="00D7475F">
        <w:rPr>
          <w:sz w:val="20"/>
          <w:szCs w:val="20"/>
        </w:rPr>
        <w:tab/>
      </w:r>
      <w:r w:rsidR="00323457" w:rsidRPr="0059638B">
        <w:rPr>
          <w:sz w:val="20"/>
          <w:szCs w:val="20"/>
        </w:rPr>
        <w:t>Botswana</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during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commended</w:t>
      </w:r>
      <w:r w:rsidR="00FF41A0">
        <w:rPr>
          <w:sz w:val="20"/>
          <w:szCs w:val="20"/>
        </w:rPr>
        <w:t xml:space="preserve"> </w:t>
      </w:r>
      <w:r w:rsidR="00323457" w:rsidRPr="0059638B">
        <w:rPr>
          <w:sz w:val="20"/>
          <w:szCs w:val="20"/>
        </w:rPr>
        <w:t>Chad</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reform</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Commission,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amendment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laws,</w:t>
      </w:r>
      <w:r w:rsidR="00FF41A0">
        <w:rPr>
          <w:sz w:val="20"/>
          <w:szCs w:val="20"/>
        </w:rPr>
        <w:t xml:space="preserve"> </w:t>
      </w:r>
      <w:r w:rsidR="00323457" w:rsidRPr="0059638B">
        <w:rPr>
          <w:sz w:val="20"/>
          <w:szCs w:val="20"/>
        </w:rPr>
        <w:t>policies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regulations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promote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including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gender</w:t>
      </w:r>
      <w:r w:rsidR="00FF41A0">
        <w:rPr>
          <w:sz w:val="20"/>
          <w:szCs w:val="20"/>
        </w:rPr>
        <w:t xml:space="preserve"> </w:t>
      </w:r>
      <w:r w:rsidR="00323457" w:rsidRPr="0059638B">
        <w:rPr>
          <w:sz w:val="20"/>
          <w:szCs w:val="20"/>
        </w:rPr>
        <w:t>policy</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2016</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development</w:t>
      </w:r>
      <w:r w:rsidR="00FF41A0">
        <w:rPr>
          <w:sz w:val="20"/>
          <w:szCs w:val="20"/>
        </w:rPr>
        <w:t xml:space="preserve"> </w:t>
      </w:r>
      <w:r w:rsidR="00323457" w:rsidRPr="0059638B">
        <w:rPr>
          <w:sz w:val="20"/>
          <w:szCs w:val="20"/>
        </w:rPr>
        <w:t>plan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2017-2021.</w:t>
      </w:r>
      <w:r w:rsidR="00FF41A0">
        <w:rPr>
          <w:sz w:val="20"/>
          <w:szCs w:val="20"/>
        </w:rPr>
        <w:t xml:space="preserve"> </w:t>
      </w:r>
      <w:r w:rsidR="00323457" w:rsidRPr="0059638B">
        <w:rPr>
          <w:sz w:val="20"/>
          <w:szCs w:val="20"/>
        </w:rPr>
        <w:t>Botswana</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pleased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Chad</w:t>
      </w:r>
      <w:r w:rsidR="00FF41A0">
        <w:rPr>
          <w:sz w:val="20"/>
          <w:szCs w:val="20"/>
        </w:rPr>
        <w:t xml:space="preserve"> </w:t>
      </w:r>
      <w:r w:rsidR="00323457" w:rsidRPr="0059638B">
        <w:rPr>
          <w:sz w:val="20"/>
          <w:szCs w:val="20"/>
        </w:rPr>
        <w:t>accepted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look</w:t>
      </w:r>
      <w:r w:rsidR="00FF41A0">
        <w:rPr>
          <w:sz w:val="20"/>
          <w:szCs w:val="20"/>
        </w:rPr>
        <w:t xml:space="preserve"> </w:t>
      </w:r>
      <w:r w:rsidR="00323457" w:rsidRPr="0059638B">
        <w:rPr>
          <w:sz w:val="20"/>
          <w:szCs w:val="20"/>
        </w:rPr>
        <w:t>forward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their</w:t>
      </w:r>
      <w:r w:rsidR="00FF41A0">
        <w:rPr>
          <w:sz w:val="20"/>
          <w:szCs w:val="20"/>
        </w:rPr>
        <w:t xml:space="preserve"> </w:t>
      </w:r>
      <w:r w:rsidR="00323457" w:rsidRPr="0059638B">
        <w:rPr>
          <w:sz w:val="20"/>
          <w:szCs w:val="20"/>
        </w:rPr>
        <w:t>implementation.</w:t>
      </w:r>
      <w:r w:rsidR="00FF41A0">
        <w:rPr>
          <w:sz w:val="20"/>
          <w:szCs w:val="20"/>
        </w:rPr>
        <w:t xml:space="preserve"> </w:t>
      </w:r>
    </w:p>
    <w:p w14:paraId="2C3EC7E9" w14:textId="2B2C31FA" w:rsidR="00323457" w:rsidRPr="0059638B" w:rsidRDefault="00972F1E" w:rsidP="00323457">
      <w:pPr>
        <w:pStyle w:val="SingleTxtG"/>
        <w:rPr>
          <w:sz w:val="20"/>
          <w:szCs w:val="20"/>
        </w:rPr>
      </w:pPr>
      <w:r>
        <w:rPr>
          <w:sz w:val="20"/>
          <w:szCs w:val="20"/>
        </w:rPr>
        <w:t>800</w:t>
      </w:r>
      <w:r w:rsidR="00D7475F">
        <w:rPr>
          <w:sz w:val="20"/>
          <w:szCs w:val="20"/>
        </w:rPr>
        <w:t>.</w:t>
      </w:r>
      <w:r w:rsidR="00D7475F">
        <w:rPr>
          <w:sz w:val="20"/>
          <w:szCs w:val="20"/>
        </w:rPr>
        <w:tab/>
      </w:r>
      <w:r w:rsidR="00323457" w:rsidRPr="0059638B">
        <w:rPr>
          <w:sz w:val="20"/>
          <w:szCs w:val="20"/>
        </w:rPr>
        <w:t>Burkina</w:t>
      </w:r>
      <w:r w:rsidR="00FF41A0">
        <w:rPr>
          <w:sz w:val="20"/>
          <w:szCs w:val="20"/>
        </w:rPr>
        <w:t xml:space="preserve"> </w:t>
      </w:r>
      <w:r w:rsidR="00323457" w:rsidRPr="0059638B">
        <w:rPr>
          <w:sz w:val="20"/>
          <w:szCs w:val="20"/>
        </w:rPr>
        <w:t>Faso</w:t>
      </w:r>
      <w:r w:rsidR="00FF41A0">
        <w:rPr>
          <w:sz w:val="20"/>
          <w:szCs w:val="20"/>
        </w:rPr>
        <w:t xml:space="preserve"> </w:t>
      </w:r>
      <w:r w:rsidR="00323457" w:rsidRPr="0059638B">
        <w:rPr>
          <w:sz w:val="20"/>
          <w:szCs w:val="20"/>
        </w:rPr>
        <w:t>commended</w:t>
      </w:r>
      <w:r w:rsidR="00FF41A0">
        <w:rPr>
          <w:sz w:val="20"/>
          <w:szCs w:val="20"/>
        </w:rPr>
        <w:t xml:space="preserve"> </w:t>
      </w:r>
      <w:r w:rsidR="00323457" w:rsidRPr="0059638B">
        <w:rPr>
          <w:sz w:val="20"/>
          <w:szCs w:val="20"/>
        </w:rPr>
        <w:t>Chad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progress</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field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spite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context</w:t>
      </w:r>
      <w:r w:rsidR="00FF41A0">
        <w:rPr>
          <w:sz w:val="20"/>
          <w:szCs w:val="20"/>
        </w:rPr>
        <w:t xml:space="preserve"> </w:t>
      </w:r>
      <w:r w:rsidR="00323457" w:rsidRPr="0059638B">
        <w:rPr>
          <w:sz w:val="20"/>
          <w:szCs w:val="20"/>
        </w:rPr>
        <w:t>marked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terrorist</w:t>
      </w:r>
      <w:r w:rsidR="00FF41A0">
        <w:rPr>
          <w:sz w:val="20"/>
          <w:szCs w:val="20"/>
        </w:rPr>
        <w:t xml:space="preserve"> </w:t>
      </w:r>
      <w:r w:rsidR="00323457" w:rsidRPr="0059638B">
        <w:rPr>
          <w:sz w:val="20"/>
          <w:szCs w:val="20"/>
        </w:rPr>
        <w:t>attacks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destabilization</w:t>
      </w:r>
      <w:r w:rsidR="00FF41A0">
        <w:rPr>
          <w:sz w:val="20"/>
          <w:szCs w:val="20"/>
        </w:rPr>
        <w:t xml:space="preserve"> </w:t>
      </w:r>
      <w:r w:rsidR="00323457" w:rsidRPr="0059638B">
        <w:rPr>
          <w:sz w:val="20"/>
          <w:szCs w:val="20"/>
        </w:rPr>
        <w:t>attempts.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pleased</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legislative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institutional</w:t>
      </w:r>
      <w:r w:rsidR="00FF41A0">
        <w:rPr>
          <w:sz w:val="20"/>
          <w:szCs w:val="20"/>
        </w:rPr>
        <w:t xml:space="preserve"> </w:t>
      </w:r>
      <w:r w:rsidR="00323457" w:rsidRPr="0059638B">
        <w:rPr>
          <w:sz w:val="20"/>
          <w:szCs w:val="20"/>
        </w:rPr>
        <w:t>reforms</w:t>
      </w:r>
      <w:r w:rsidR="00FF41A0">
        <w:rPr>
          <w:sz w:val="20"/>
          <w:szCs w:val="20"/>
        </w:rPr>
        <w:t xml:space="preserve"> </w:t>
      </w:r>
      <w:r w:rsidR="00323457" w:rsidRPr="0059638B">
        <w:rPr>
          <w:sz w:val="20"/>
          <w:szCs w:val="20"/>
        </w:rPr>
        <w:t>undertaken</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Chad</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view</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consolidating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effectiveness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country.</w:t>
      </w:r>
      <w:r w:rsidR="00FF41A0">
        <w:rPr>
          <w:sz w:val="20"/>
          <w:szCs w:val="20"/>
        </w:rPr>
        <w:t xml:space="preserve"> </w:t>
      </w:r>
    </w:p>
    <w:p w14:paraId="7F87FD33" w14:textId="5E24808F" w:rsidR="00323457" w:rsidRPr="0059638B" w:rsidRDefault="00972F1E" w:rsidP="00323457">
      <w:pPr>
        <w:pStyle w:val="SingleTxtG"/>
        <w:rPr>
          <w:sz w:val="20"/>
          <w:szCs w:val="20"/>
        </w:rPr>
      </w:pPr>
      <w:r>
        <w:rPr>
          <w:sz w:val="20"/>
          <w:szCs w:val="20"/>
        </w:rPr>
        <w:t>801</w:t>
      </w:r>
      <w:r w:rsidR="00D7475F">
        <w:rPr>
          <w:sz w:val="20"/>
          <w:szCs w:val="20"/>
        </w:rPr>
        <w:t>.</w:t>
      </w:r>
      <w:r w:rsidR="00D7475F">
        <w:rPr>
          <w:sz w:val="20"/>
          <w:szCs w:val="20"/>
        </w:rPr>
        <w:tab/>
      </w:r>
      <w:r w:rsidR="00323457" w:rsidRPr="0059638B">
        <w:rPr>
          <w:sz w:val="20"/>
          <w:szCs w:val="20"/>
        </w:rPr>
        <w:t>Cameroon</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interest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Chad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during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remained</w:t>
      </w:r>
      <w:r w:rsidR="00FF41A0">
        <w:rPr>
          <w:sz w:val="20"/>
          <w:szCs w:val="20"/>
        </w:rPr>
        <w:t xml:space="preserve"> </w:t>
      </w:r>
      <w:r w:rsidR="00323457" w:rsidRPr="0059638B">
        <w:rPr>
          <w:sz w:val="20"/>
          <w:szCs w:val="20"/>
        </w:rPr>
        <w:t>convinced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effective</w:t>
      </w:r>
      <w:r w:rsidR="00FF41A0">
        <w:rPr>
          <w:sz w:val="20"/>
          <w:szCs w:val="20"/>
        </w:rPr>
        <w:t xml:space="preserve"> </w:t>
      </w:r>
      <w:r w:rsidR="00323457" w:rsidRPr="0059638B">
        <w:rPr>
          <w:sz w:val="20"/>
          <w:szCs w:val="20"/>
        </w:rPr>
        <w:t>implementation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will</w:t>
      </w:r>
      <w:r w:rsidR="00FF41A0">
        <w:rPr>
          <w:sz w:val="20"/>
          <w:szCs w:val="20"/>
        </w:rPr>
        <w:t xml:space="preserve"> </w:t>
      </w:r>
      <w:r w:rsidR="00323457" w:rsidRPr="0059638B">
        <w:rPr>
          <w:sz w:val="20"/>
          <w:szCs w:val="20"/>
        </w:rPr>
        <w:t>significantly</w:t>
      </w:r>
      <w:r w:rsidR="00FF41A0">
        <w:rPr>
          <w:sz w:val="20"/>
          <w:szCs w:val="20"/>
        </w:rPr>
        <w:t xml:space="preserve"> </w:t>
      </w:r>
      <w:r w:rsidR="00323457" w:rsidRPr="0059638B">
        <w:rPr>
          <w:sz w:val="20"/>
          <w:szCs w:val="20"/>
        </w:rPr>
        <w:t>improve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situation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country.</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satisfaction</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indicators</w:t>
      </w:r>
      <w:r w:rsidR="00FF41A0">
        <w:rPr>
          <w:sz w:val="20"/>
          <w:szCs w:val="20"/>
        </w:rPr>
        <w:t xml:space="preserve"> </w:t>
      </w:r>
      <w:r w:rsidR="00323457" w:rsidRPr="0059638B">
        <w:rPr>
          <w:sz w:val="20"/>
          <w:szCs w:val="20"/>
        </w:rPr>
        <w:t>confirm</w:t>
      </w:r>
      <w:r w:rsidR="00FF41A0">
        <w:rPr>
          <w:sz w:val="20"/>
          <w:szCs w:val="20"/>
        </w:rPr>
        <w:t xml:space="preserve"> </w:t>
      </w:r>
      <w:r w:rsidR="00323457" w:rsidRPr="0059638B">
        <w:rPr>
          <w:sz w:val="20"/>
          <w:szCs w:val="20"/>
        </w:rPr>
        <w:t>favourable</w:t>
      </w:r>
      <w:r w:rsidR="00FF41A0">
        <w:rPr>
          <w:sz w:val="20"/>
          <w:szCs w:val="20"/>
        </w:rPr>
        <w:t xml:space="preserve"> </w:t>
      </w:r>
      <w:r w:rsidR="00323457" w:rsidRPr="0059638B">
        <w:rPr>
          <w:sz w:val="20"/>
          <w:szCs w:val="20"/>
        </w:rPr>
        <w:t>trends</w:t>
      </w:r>
      <w:r w:rsidR="00FF41A0">
        <w:rPr>
          <w:sz w:val="20"/>
          <w:szCs w:val="20"/>
        </w:rPr>
        <w:t xml:space="preserve"> </w:t>
      </w:r>
      <w:r w:rsidR="00323457" w:rsidRPr="0059638B">
        <w:rPr>
          <w:sz w:val="20"/>
          <w:szCs w:val="20"/>
        </w:rPr>
        <w:t>towards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strengthening</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promotion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Chad.</w:t>
      </w:r>
    </w:p>
    <w:p w14:paraId="1F097947" w14:textId="73D80CDD" w:rsidR="00323457" w:rsidRPr="0059638B" w:rsidRDefault="00972F1E" w:rsidP="00323457">
      <w:pPr>
        <w:pStyle w:val="SingleTxtG"/>
        <w:rPr>
          <w:sz w:val="20"/>
          <w:szCs w:val="20"/>
        </w:rPr>
      </w:pPr>
      <w:r>
        <w:rPr>
          <w:sz w:val="20"/>
          <w:szCs w:val="20"/>
        </w:rPr>
        <w:lastRenderedPageBreak/>
        <w:t>802</w:t>
      </w:r>
      <w:r w:rsidR="00D7475F">
        <w:rPr>
          <w:sz w:val="20"/>
          <w:szCs w:val="20"/>
        </w:rPr>
        <w:t>.</w:t>
      </w:r>
      <w:r w:rsidR="00D7475F">
        <w:rPr>
          <w:sz w:val="20"/>
          <w:szCs w:val="20"/>
        </w:rPr>
        <w:tab/>
      </w:r>
      <w:r w:rsidR="00323457" w:rsidRPr="0059638B">
        <w:rPr>
          <w:sz w:val="20"/>
          <w:szCs w:val="20"/>
        </w:rPr>
        <w:t>China</w:t>
      </w:r>
      <w:r w:rsidR="00FF41A0">
        <w:rPr>
          <w:sz w:val="20"/>
          <w:szCs w:val="20"/>
        </w:rPr>
        <w:t xml:space="preserve"> </w:t>
      </w:r>
      <w:r w:rsidR="00323457" w:rsidRPr="0059638B">
        <w:rPr>
          <w:sz w:val="20"/>
          <w:szCs w:val="20"/>
        </w:rPr>
        <w:t>commended</w:t>
      </w:r>
      <w:r w:rsidR="00FF41A0">
        <w:rPr>
          <w:sz w:val="20"/>
          <w:szCs w:val="20"/>
        </w:rPr>
        <w:t xml:space="preserve"> </w:t>
      </w:r>
      <w:r w:rsidR="00323457" w:rsidRPr="0059638B">
        <w:rPr>
          <w:sz w:val="20"/>
          <w:szCs w:val="20"/>
        </w:rPr>
        <w:t>Chad</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constructive</w:t>
      </w:r>
      <w:r w:rsidR="00FF41A0">
        <w:rPr>
          <w:sz w:val="20"/>
          <w:szCs w:val="20"/>
        </w:rPr>
        <w:t xml:space="preserve"> </w:t>
      </w:r>
      <w:r w:rsidR="00323457" w:rsidRPr="0059638B">
        <w:rPr>
          <w:sz w:val="20"/>
          <w:szCs w:val="20"/>
        </w:rPr>
        <w:t>engagement</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expressed</w:t>
      </w:r>
      <w:r w:rsidR="00FF41A0">
        <w:rPr>
          <w:sz w:val="20"/>
          <w:szCs w:val="20"/>
        </w:rPr>
        <w:t xml:space="preserve"> </w:t>
      </w:r>
      <w:r w:rsidR="00323457" w:rsidRPr="0059638B">
        <w:rPr>
          <w:sz w:val="20"/>
          <w:szCs w:val="20"/>
        </w:rPr>
        <w:t>hope</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will</w:t>
      </w:r>
      <w:r w:rsidR="00FF41A0">
        <w:rPr>
          <w:sz w:val="20"/>
          <w:szCs w:val="20"/>
        </w:rPr>
        <w:t xml:space="preserve"> </w:t>
      </w:r>
      <w:r w:rsidR="00323457" w:rsidRPr="0059638B">
        <w:rPr>
          <w:sz w:val="20"/>
          <w:szCs w:val="20"/>
        </w:rPr>
        <w:t>continue</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implementation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2030</w:t>
      </w:r>
      <w:r w:rsidR="00FF41A0">
        <w:rPr>
          <w:sz w:val="20"/>
          <w:szCs w:val="20"/>
        </w:rPr>
        <w:t xml:space="preserve"> </w:t>
      </w:r>
      <w:r w:rsidR="00323457" w:rsidRPr="0059638B">
        <w:rPr>
          <w:sz w:val="20"/>
          <w:szCs w:val="20"/>
        </w:rPr>
        <w:t>Agenda</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Sustainable</w:t>
      </w:r>
      <w:r w:rsidR="00FF41A0">
        <w:rPr>
          <w:sz w:val="20"/>
          <w:szCs w:val="20"/>
        </w:rPr>
        <w:t xml:space="preserve"> </w:t>
      </w:r>
      <w:r w:rsidR="00323457" w:rsidRPr="0059638B">
        <w:rPr>
          <w:sz w:val="20"/>
          <w:szCs w:val="20"/>
        </w:rPr>
        <w:t>Development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accordance</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plan,</w:t>
      </w:r>
      <w:r w:rsidR="00FF41A0">
        <w:rPr>
          <w:sz w:val="20"/>
          <w:szCs w:val="20"/>
        </w:rPr>
        <w:t xml:space="preserve"> </w:t>
      </w:r>
      <w:r w:rsidR="00323457" w:rsidRPr="0059638B">
        <w:rPr>
          <w:sz w:val="20"/>
          <w:szCs w:val="20"/>
        </w:rPr>
        <w:t>continue</w:t>
      </w:r>
      <w:r w:rsidR="00FF41A0">
        <w:rPr>
          <w:sz w:val="20"/>
          <w:szCs w:val="20"/>
        </w:rPr>
        <w:t xml:space="preserve"> </w:t>
      </w:r>
      <w:r w:rsidR="00323457" w:rsidRPr="0059638B">
        <w:rPr>
          <w:sz w:val="20"/>
          <w:szCs w:val="20"/>
        </w:rPr>
        <w:t>promoting</w:t>
      </w:r>
      <w:r w:rsidR="00FF41A0">
        <w:rPr>
          <w:sz w:val="20"/>
          <w:szCs w:val="20"/>
        </w:rPr>
        <w:t xml:space="preserve"> </w:t>
      </w:r>
      <w:r w:rsidR="00323457" w:rsidRPr="0059638B">
        <w:rPr>
          <w:sz w:val="20"/>
          <w:szCs w:val="20"/>
        </w:rPr>
        <w:t>economic</w:t>
      </w:r>
      <w:r w:rsidR="00FF41A0">
        <w:rPr>
          <w:sz w:val="20"/>
          <w:szCs w:val="20"/>
        </w:rPr>
        <w:t xml:space="preserve"> </w:t>
      </w:r>
      <w:r w:rsidR="00323457" w:rsidRPr="0059638B">
        <w:rPr>
          <w:sz w:val="20"/>
          <w:szCs w:val="20"/>
        </w:rPr>
        <w:t>social</w:t>
      </w:r>
      <w:r w:rsidR="00FF41A0">
        <w:rPr>
          <w:sz w:val="20"/>
          <w:szCs w:val="20"/>
        </w:rPr>
        <w:t xml:space="preserve"> </w:t>
      </w:r>
      <w:r w:rsidR="00323457" w:rsidRPr="0059638B">
        <w:rPr>
          <w:sz w:val="20"/>
          <w:szCs w:val="20"/>
        </w:rPr>
        <w:t>development,</w:t>
      </w:r>
      <w:r w:rsidR="00FF41A0">
        <w:rPr>
          <w:sz w:val="20"/>
          <w:szCs w:val="20"/>
        </w:rPr>
        <w:t xml:space="preserve"> </w:t>
      </w:r>
      <w:r w:rsidR="00323457" w:rsidRPr="0059638B">
        <w:rPr>
          <w:sz w:val="20"/>
          <w:szCs w:val="20"/>
        </w:rPr>
        <w:t>reduce</w:t>
      </w:r>
      <w:r w:rsidR="00FF41A0">
        <w:rPr>
          <w:sz w:val="20"/>
          <w:szCs w:val="20"/>
        </w:rPr>
        <w:t xml:space="preserve"> </w:t>
      </w:r>
      <w:r w:rsidR="00323457" w:rsidRPr="0059638B">
        <w:rPr>
          <w:sz w:val="20"/>
          <w:szCs w:val="20"/>
        </w:rPr>
        <w:t>poverty,</w:t>
      </w:r>
      <w:r w:rsidR="00FF41A0">
        <w:rPr>
          <w:sz w:val="20"/>
          <w:szCs w:val="20"/>
        </w:rPr>
        <w:t xml:space="preserve"> </w:t>
      </w:r>
      <w:r w:rsidR="00323457" w:rsidRPr="0059638B">
        <w:rPr>
          <w:sz w:val="20"/>
          <w:szCs w:val="20"/>
        </w:rPr>
        <w:t>continue</w:t>
      </w:r>
      <w:r w:rsidR="00FF41A0">
        <w:rPr>
          <w:sz w:val="20"/>
          <w:szCs w:val="20"/>
        </w:rPr>
        <w:t xml:space="preserve"> </w:t>
      </w:r>
      <w:r w:rsidR="00323457" w:rsidRPr="0059638B">
        <w:rPr>
          <w:sz w:val="20"/>
          <w:szCs w:val="20"/>
        </w:rPr>
        <w:t>combating</w:t>
      </w:r>
      <w:r w:rsidR="00FF41A0">
        <w:rPr>
          <w:sz w:val="20"/>
          <w:szCs w:val="20"/>
        </w:rPr>
        <w:t xml:space="preserve"> </w:t>
      </w:r>
      <w:r w:rsidR="00323457" w:rsidRPr="0059638B">
        <w:rPr>
          <w:sz w:val="20"/>
          <w:szCs w:val="20"/>
        </w:rPr>
        <w:t>terrorism</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provide</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peaceful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stable</w:t>
      </w:r>
      <w:r w:rsidR="00FF41A0">
        <w:rPr>
          <w:sz w:val="20"/>
          <w:szCs w:val="20"/>
        </w:rPr>
        <w:t xml:space="preserve"> </w:t>
      </w:r>
      <w:r w:rsidR="00323457" w:rsidRPr="0059638B">
        <w:rPr>
          <w:sz w:val="20"/>
          <w:szCs w:val="20"/>
        </w:rPr>
        <w:t>environment</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enjoyment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people.</w:t>
      </w:r>
      <w:r w:rsidR="00FF41A0">
        <w:rPr>
          <w:sz w:val="20"/>
          <w:szCs w:val="20"/>
        </w:rPr>
        <w:t xml:space="preserve"> </w:t>
      </w:r>
    </w:p>
    <w:p w14:paraId="497E5410" w14:textId="117C28E8" w:rsidR="00323457" w:rsidRPr="0059638B" w:rsidRDefault="00972F1E" w:rsidP="00323457">
      <w:pPr>
        <w:pStyle w:val="SingleTxtG"/>
        <w:rPr>
          <w:sz w:val="20"/>
          <w:szCs w:val="20"/>
        </w:rPr>
      </w:pPr>
      <w:r>
        <w:rPr>
          <w:sz w:val="20"/>
          <w:szCs w:val="20"/>
        </w:rPr>
        <w:t>803</w:t>
      </w:r>
      <w:r w:rsidR="00D7475F">
        <w:rPr>
          <w:sz w:val="20"/>
          <w:szCs w:val="20"/>
        </w:rPr>
        <w:t>.</w:t>
      </w:r>
      <w:r w:rsidR="00D7475F">
        <w:rPr>
          <w:sz w:val="20"/>
          <w:szCs w:val="20"/>
        </w:rPr>
        <w:tab/>
      </w:r>
      <w:r w:rsidR="00323457" w:rsidRPr="0059638B">
        <w:rPr>
          <w:sz w:val="20"/>
          <w:szCs w:val="20"/>
        </w:rPr>
        <w:t>Cuba</w:t>
      </w:r>
      <w:r w:rsidR="00FF41A0">
        <w:rPr>
          <w:sz w:val="20"/>
          <w:szCs w:val="20"/>
        </w:rPr>
        <w:t xml:space="preserve"> </w:t>
      </w:r>
      <w:r w:rsidR="00323457" w:rsidRPr="0059638B">
        <w:rPr>
          <w:sz w:val="20"/>
          <w:szCs w:val="20"/>
        </w:rPr>
        <w:t>appreciated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acceptance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related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reduction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poverty,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effective</w:t>
      </w:r>
      <w:r w:rsidR="00FF41A0">
        <w:rPr>
          <w:sz w:val="20"/>
          <w:szCs w:val="20"/>
        </w:rPr>
        <w:t xml:space="preserve"> </w:t>
      </w:r>
      <w:r w:rsidR="00323457" w:rsidRPr="0059638B">
        <w:rPr>
          <w:sz w:val="20"/>
          <w:szCs w:val="20"/>
        </w:rPr>
        <w:t>implementation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Development</w:t>
      </w:r>
      <w:r w:rsidR="00FF41A0">
        <w:rPr>
          <w:sz w:val="20"/>
          <w:szCs w:val="20"/>
        </w:rPr>
        <w:t xml:space="preserve"> </w:t>
      </w:r>
      <w:r w:rsidR="00323457" w:rsidRPr="0059638B">
        <w:rPr>
          <w:sz w:val="20"/>
          <w:szCs w:val="20"/>
        </w:rPr>
        <w:t>Plan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expansion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access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quality</w:t>
      </w:r>
      <w:r w:rsidR="00FF41A0">
        <w:rPr>
          <w:sz w:val="20"/>
          <w:szCs w:val="20"/>
        </w:rPr>
        <w:t xml:space="preserve"> </w:t>
      </w:r>
      <w:r w:rsidR="00323457" w:rsidRPr="0059638B">
        <w:rPr>
          <w:sz w:val="20"/>
          <w:szCs w:val="20"/>
        </w:rPr>
        <w:t>education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literacy</w:t>
      </w:r>
      <w:r w:rsidR="00FF41A0">
        <w:rPr>
          <w:sz w:val="20"/>
          <w:szCs w:val="20"/>
        </w:rPr>
        <w:t xml:space="preserve"> </w:t>
      </w:r>
      <w:r w:rsidR="00323457" w:rsidRPr="0059638B">
        <w:rPr>
          <w:sz w:val="20"/>
          <w:szCs w:val="20"/>
        </w:rPr>
        <w:t>programmes.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invited</w:t>
      </w:r>
      <w:r w:rsidR="00FF41A0">
        <w:rPr>
          <w:sz w:val="20"/>
          <w:szCs w:val="20"/>
        </w:rPr>
        <w:t xml:space="preserve"> </w:t>
      </w:r>
      <w:r w:rsidR="00323457" w:rsidRPr="0059638B">
        <w:rPr>
          <w:sz w:val="20"/>
          <w:szCs w:val="20"/>
        </w:rPr>
        <w:t>Chad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effectively</w:t>
      </w:r>
      <w:r w:rsidR="00FF41A0">
        <w:rPr>
          <w:sz w:val="20"/>
          <w:szCs w:val="20"/>
        </w:rPr>
        <w:t xml:space="preserve"> </w:t>
      </w:r>
      <w:r w:rsidR="00323457" w:rsidRPr="0059638B">
        <w:rPr>
          <w:sz w:val="20"/>
          <w:szCs w:val="20"/>
        </w:rPr>
        <w:t>implement</w:t>
      </w:r>
      <w:r w:rsidR="00FF41A0">
        <w:rPr>
          <w:sz w:val="20"/>
          <w:szCs w:val="20"/>
        </w:rPr>
        <w:t xml:space="preserve"> </w:t>
      </w:r>
      <w:r w:rsidR="00323457" w:rsidRPr="0059638B">
        <w:rPr>
          <w:sz w:val="20"/>
          <w:szCs w:val="20"/>
        </w:rPr>
        <w:t>accepted</w:t>
      </w:r>
      <w:r w:rsidR="00FF41A0">
        <w:rPr>
          <w:sz w:val="20"/>
          <w:szCs w:val="20"/>
        </w:rPr>
        <w:t xml:space="preserve"> </w:t>
      </w:r>
      <w:r w:rsidR="00323457" w:rsidRPr="0059638B">
        <w:rPr>
          <w:sz w:val="20"/>
          <w:szCs w:val="20"/>
        </w:rPr>
        <w:t>recommendations.</w:t>
      </w:r>
    </w:p>
    <w:p w14:paraId="556364AD" w14:textId="7C74A16B" w:rsidR="00323457" w:rsidRPr="0059638B" w:rsidRDefault="00972F1E" w:rsidP="00323457">
      <w:pPr>
        <w:pStyle w:val="SingleTxtG"/>
        <w:rPr>
          <w:sz w:val="20"/>
          <w:szCs w:val="20"/>
        </w:rPr>
      </w:pPr>
      <w:r>
        <w:rPr>
          <w:sz w:val="20"/>
          <w:szCs w:val="20"/>
        </w:rPr>
        <w:t>804</w:t>
      </w:r>
      <w:r w:rsidR="00D7475F">
        <w:rPr>
          <w:sz w:val="20"/>
          <w:szCs w:val="20"/>
        </w:rPr>
        <w:t>.</w:t>
      </w:r>
      <w:r w:rsidR="00D7475F">
        <w:rPr>
          <w:sz w:val="20"/>
          <w:szCs w:val="20"/>
        </w:rPr>
        <w:tab/>
      </w:r>
      <w:r w:rsidR="00323457" w:rsidRPr="0059638B">
        <w:rPr>
          <w:sz w:val="20"/>
          <w:szCs w:val="20"/>
        </w:rPr>
        <w:t>Egypt</w:t>
      </w:r>
      <w:r w:rsidR="00FF41A0">
        <w:rPr>
          <w:sz w:val="20"/>
          <w:szCs w:val="20"/>
        </w:rPr>
        <w:t xml:space="preserve"> </w:t>
      </w:r>
      <w:r w:rsidR="00323457" w:rsidRPr="0059638B">
        <w:rPr>
          <w:sz w:val="20"/>
          <w:szCs w:val="20"/>
        </w:rPr>
        <w:t>highly</w:t>
      </w:r>
      <w:r w:rsidR="00FF41A0">
        <w:rPr>
          <w:sz w:val="20"/>
          <w:szCs w:val="20"/>
        </w:rPr>
        <w:t xml:space="preserve"> </w:t>
      </w:r>
      <w:r w:rsidR="00323457" w:rsidRPr="0059638B">
        <w:rPr>
          <w:sz w:val="20"/>
          <w:szCs w:val="20"/>
        </w:rPr>
        <w:t>appreciated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acceptance</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Chad</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most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States,</w:t>
      </w:r>
      <w:r w:rsidR="00FF41A0">
        <w:rPr>
          <w:sz w:val="20"/>
          <w:szCs w:val="20"/>
        </w:rPr>
        <w:t xml:space="preserve"> </w:t>
      </w:r>
      <w:r w:rsidR="00323457" w:rsidRPr="0059638B">
        <w:rPr>
          <w:sz w:val="20"/>
          <w:szCs w:val="20"/>
        </w:rPr>
        <w:t>including</w:t>
      </w:r>
      <w:r w:rsidR="00FF41A0">
        <w:rPr>
          <w:sz w:val="20"/>
          <w:szCs w:val="20"/>
        </w:rPr>
        <w:t xml:space="preserve"> </w:t>
      </w:r>
      <w:r w:rsidR="00323457" w:rsidRPr="0059638B">
        <w:rPr>
          <w:sz w:val="20"/>
          <w:szCs w:val="20"/>
        </w:rPr>
        <w:t>Egypt,</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reflects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spirit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positive</w:t>
      </w:r>
      <w:r w:rsidR="00FF41A0">
        <w:rPr>
          <w:sz w:val="20"/>
          <w:szCs w:val="20"/>
        </w:rPr>
        <w:t xml:space="preserve"> </w:t>
      </w:r>
      <w:r w:rsidR="00323457" w:rsidRPr="0059638B">
        <w:rPr>
          <w:sz w:val="20"/>
          <w:szCs w:val="20"/>
        </w:rPr>
        <w:t>cooperation</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Council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mechanisms</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well</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desire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Chad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continue</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promote</w:t>
      </w:r>
      <w:r w:rsidR="00FF41A0">
        <w:rPr>
          <w:sz w:val="20"/>
          <w:szCs w:val="20"/>
        </w:rPr>
        <w:t xml:space="preserve"> </w:t>
      </w:r>
      <w:r w:rsidR="00323457" w:rsidRPr="0059638B">
        <w:rPr>
          <w:sz w:val="20"/>
          <w:szCs w:val="20"/>
        </w:rPr>
        <w:t>respect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strengthen</w:t>
      </w:r>
      <w:r w:rsidR="00FF41A0">
        <w:rPr>
          <w:sz w:val="20"/>
          <w:szCs w:val="20"/>
        </w:rPr>
        <w:t xml:space="preserve"> </w:t>
      </w:r>
      <w:r w:rsidR="00323457" w:rsidRPr="0059638B">
        <w:rPr>
          <w:sz w:val="20"/>
          <w:szCs w:val="20"/>
        </w:rPr>
        <w:t>cooperation</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mechanisms.</w:t>
      </w:r>
      <w:r w:rsidR="00FF41A0">
        <w:rPr>
          <w:sz w:val="20"/>
          <w:szCs w:val="20"/>
        </w:rPr>
        <w:t xml:space="preserve"> </w:t>
      </w:r>
    </w:p>
    <w:p w14:paraId="611A3609" w14:textId="521C2ACD" w:rsidR="00323457" w:rsidRPr="0059638B" w:rsidRDefault="00323457" w:rsidP="00323457">
      <w:pPr>
        <w:pStyle w:val="H23G"/>
        <w:rPr>
          <w:sz w:val="20"/>
          <w:szCs w:val="20"/>
        </w:rPr>
      </w:pPr>
      <w:r w:rsidRPr="0059638B">
        <w:rPr>
          <w:sz w:val="20"/>
          <w:szCs w:val="20"/>
        </w:rPr>
        <w:tab/>
        <w:t>3.</w:t>
      </w:r>
      <w:r w:rsidRPr="0059638B">
        <w:rPr>
          <w:sz w:val="20"/>
          <w:szCs w:val="20"/>
        </w:rPr>
        <w:tab/>
        <w:t>General</w:t>
      </w:r>
      <w:r w:rsidR="00FF41A0">
        <w:rPr>
          <w:sz w:val="20"/>
          <w:szCs w:val="20"/>
        </w:rPr>
        <w:t xml:space="preserve"> </w:t>
      </w:r>
      <w:r w:rsidRPr="0059638B">
        <w:rPr>
          <w:sz w:val="20"/>
          <w:szCs w:val="20"/>
        </w:rPr>
        <w:t>comments</w:t>
      </w:r>
      <w:r w:rsidR="00FF41A0">
        <w:rPr>
          <w:sz w:val="20"/>
          <w:szCs w:val="20"/>
        </w:rPr>
        <w:t xml:space="preserve"> </w:t>
      </w:r>
      <w:r w:rsidRPr="0059638B">
        <w:rPr>
          <w:sz w:val="20"/>
          <w:szCs w:val="20"/>
        </w:rPr>
        <w:t>made</w:t>
      </w:r>
      <w:r w:rsidR="00FF41A0">
        <w:rPr>
          <w:sz w:val="20"/>
          <w:szCs w:val="20"/>
        </w:rPr>
        <w:t xml:space="preserve"> </w:t>
      </w:r>
      <w:r w:rsidRPr="0059638B">
        <w:rPr>
          <w:sz w:val="20"/>
          <w:szCs w:val="20"/>
        </w:rPr>
        <w:t>by</w:t>
      </w:r>
      <w:r w:rsidR="00FF41A0">
        <w:rPr>
          <w:sz w:val="20"/>
          <w:szCs w:val="20"/>
        </w:rPr>
        <w:t xml:space="preserve"> </w:t>
      </w:r>
      <w:r w:rsidRPr="0059638B">
        <w:rPr>
          <w:sz w:val="20"/>
          <w:szCs w:val="20"/>
        </w:rPr>
        <w:t>other</w:t>
      </w:r>
      <w:r w:rsidR="00FF41A0">
        <w:rPr>
          <w:sz w:val="20"/>
          <w:szCs w:val="20"/>
        </w:rPr>
        <w:t xml:space="preserve"> </w:t>
      </w:r>
      <w:r w:rsidRPr="0059638B">
        <w:rPr>
          <w:sz w:val="20"/>
          <w:szCs w:val="20"/>
        </w:rPr>
        <w:t>stakeholders</w:t>
      </w:r>
    </w:p>
    <w:p w14:paraId="4597D468" w14:textId="3E6E2F0E" w:rsidR="00323457" w:rsidRPr="0059638B" w:rsidRDefault="00972F1E" w:rsidP="00323457">
      <w:pPr>
        <w:pStyle w:val="SingleTxtG"/>
        <w:rPr>
          <w:sz w:val="20"/>
          <w:szCs w:val="20"/>
        </w:rPr>
      </w:pPr>
      <w:r>
        <w:rPr>
          <w:sz w:val="20"/>
          <w:szCs w:val="20"/>
        </w:rPr>
        <w:t>805</w:t>
      </w:r>
      <w:r w:rsidR="00D7475F">
        <w:rPr>
          <w:sz w:val="20"/>
          <w:szCs w:val="20"/>
        </w:rPr>
        <w:t>.</w:t>
      </w:r>
      <w:r w:rsidR="00D7475F">
        <w:rPr>
          <w:sz w:val="20"/>
          <w:szCs w:val="20"/>
        </w:rPr>
        <w:tab/>
      </w:r>
      <w:r w:rsidR="00323457" w:rsidRPr="0059638B">
        <w:rPr>
          <w:sz w:val="20"/>
          <w:szCs w:val="20"/>
        </w:rPr>
        <w:t>During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adoption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outcome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Chad,</w:t>
      </w:r>
      <w:r w:rsidR="00FF41A0">
        <w:rPr>
          <w:sz w:val="20"/>
          <w:szCs w:val="20"/>
        </w:rPr>
        <w:t xml:space="preserve"> </w:t>
      </w:r>
      <w:r w:rsidR="00323457" w:rsidRPr="0059638B">
        <w:rPr>
          <w:sz w:val="20"/>
          <w:szCs w:val="20"/>
        </w:rPr>
        <w:t>four</w:t>
      </w:r>
      <w:r w:rsidR="00FF41A0">
        <w:rPr>
          <w:sz w:val="20"/>
          <w:szCs w:val="20"/>
        </w:rPr>
        <w:t xml:space="preserve"> </w:t>
      </w:r>
      <w:r w:rsidR="00323457" w:rsidRPr="0059638B">
        <w:rPr>
          <w:sz w:val="20"/>
          <w:szCs w:val="20"/>
        </w:rPr>
        <w:t>other</w:t>
      </w:r>
      <w:r w:rsidR="00FF41A0">
        <w:rPr>
          <w:sz w:val="20"/>
          <w:szCs w:val="20"/>
        </w:rPr>
        <w:t xml:space="preserve"> </w:t>
      </w:r>
      <w:r w:rsidR="00323457" w:rsidRPr="0059638B">
        <w:rPr>
          <w:sz w:val="20"/>
          <w:szCs w:val="20"/>
        </w:rPr>
        <w:t>stakeholders</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statements.</w:t>
      </w:r>
      <w:r w:rsidR="00FF41A0">
        <w:rPr>
          <w:sz w:val="20"/>
          <w:szCs w:val="20"/>
        </w:rPr>
        <w:t xml:space="preserve"> </w:t>
      </w:r>
    </w:p>
    <w:p w14:paraId="6CBC6B27" w14:textId="2784D955" w:rsidR="00323457" w:rsidRPr="0059638B" w:rsidRDefault="00972F1E" w:rsidP="00323457">
      <w:pPr>
        <w:pStyle w:val="SingleTxtG"/>
        <w:rPr>
          <w:sz w:val="20"/>
          <w:szCs w:val="20"/>
        </w:rPr>
      </w:pPr>
      <w:r>
        <w:rPr>
          <w:sz w:val="20"/>
          <w:szCs w:val="20"/>
        </w:rPr>
        <w:t>806</w:t>
      </w:r>
      <w:r w:rsidR="00D7475F">
        <w:rPr>
          <w:sz w:val="20"/>
          <w:szCs w:val="20"/>
        </w:rPr>
        <w:t>.</w:t>
      </w:r>
      <w:r w:rsidR="00D7475F">
        <w:rPr>
          <w:sz w:val="20"/>
          <w:szCs w:val="20"/>
        </w:rPr>
        <w:tab/>
      </w:r>
      <w:r w:rsidR="00323457" w:rsidRPr="0059638B">
        <w:rPr>
          <w:sz w:val="20"/>
          <w:szCs w:val="20"/>
        </w:rPr>
        <w:t>International</w:t>
      </w:r>
      <w:r w:rsidR="00FF41A0">
        <w:rPr>
          <w:sz w:val="20"/>
          <w:szCs w:val="20"/>
        </w:rPr>
        <w:t xml:space="preserve"> </w:t>
      </w:r>
      <w:r w:rsidR="00323457" w:rsidRPr="0059638B">
        <w:rPr>
          <w:sz w:val="20"/>
          <w:szCs w:val="20"/>
        </w:rPr>
        <w:t>Service</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appreciated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acceptance</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Chad</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aimed</w:t>
      </w:r>
      <w:r w:rsidR="00FF41A0">
        <w:rPr>
          <w:sz w:val="20"/>
          <w:szCs w:val="20"/>
        </w:rPr>
        <w:t xml:space="preserve"> </w:t>
      </w:r>
      <w:r w:rsidR="00323457" w:rsidRPr="0059638B">
        <w:rPr>
          <w:sz w:val="20"/>
          <w:szCs w:val="20"/>
        </w:rPr>
        <w:t>at</w:t>
      </w:r>
      <w:r w:rsidR="00FF41A0">
        <w:rPr>
          <w:sz w:val="20"/>
          <w:szCs w:val="20"/>
        </w:rPr>
        <w:t xml:space="preserve"> </w:t>
      </w:r>
      <w:r w:rsidR="00323457" w:rsidRPr="0059638B">
        <w:rPr>
          <w:sz w:val="20"/>
          <w:szCs w:val="20"/>
        </w:rPr>
        <w:t>combatting</w:t>
      </w:r>
      <w:r w:rsidR="00FF41A0">
        <w:rPr>
          <w:sz w:val="20"/>
          <w:szCs w:val="20"/>
        </w:rPr>
        <w:t xml:space="preserve"> </w:t>
      </w:r>
      <w:r w:rsidR="00323457" w:rsidRPr="0059638B">
        <w:rPr>
          <w:sz w:val="20"/>
          <w:szCs w:val="20"/>
        </w:rPr>
        <w:t>attacks</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defenders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at</w:t>
      </w:r>
      <w:r w:rsidR="00FF41A0">
        <w:rPr>
          <w:sz w:val="20"/>
          <w:szCs w:val="20"/>
        </w:rPr>
        <w:t xml:space="preserve"> </w:t>
      </w:r>
      <w:r w:rsidR="00323457" w:rsidRPr="0059638B">
        <w:rPr>
          <w:sz w:val="20"/>
          <w:szCs w:val="20"/>
        </w:rPr>
        <w:t>guaranteeing</w:t>
      </w:r>
      <w:r w:rsidR="00FF41A0">
        <w:rPr>
          <w:sz w:val="20"/>
          <w:szCs w:val="20"/>
        </w:rPr>
        <w:t xml:space="preserve"> </w:t>
      </w:r>
      <w:r w:rsidR="00323457" w:rsidRPr="0059638B">
        <w:rPr>
          <w:sz w:val="20"/>
          <w:szCs w:val="20"/>
        </w:rPr>
        <w:t>freedom</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expression,</w:t>
      </w:r>
      <w:r w:rsidR="00FF41A0">
        <w:rPr>
          <w:sz w:val="20"/>
          <w:szCs w:val="20"/>
        </w:rPr>
        <w:t xml:space="preserve"> </w:t>
      </w:r>
      <w:r w:rsidR="00323457" w:rsidRPr="0059638B">
        <w:rPr>
          <w:sz w:val="20"/>
          <w:szCs w:val="20"/>
        </w:rPr>
        <w:t>association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assembly.</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commended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commitment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Chad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adopting</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law</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defenders.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encouraged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country</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effectively</w:t>
      </w:r>
      <w:r w:rsidR="00FF41A0">
        <w:rPr>
          <w:sz w:val="20"/>
          <w:szCs w:val="20"/>
        </w:rPr>
        <w:t xml:space="preserve"> </w:t>
      </w:r>
      <w:r w:rsidR="00323457" w:rsidRPr="0059638B">
        <w:rPr>
          <w:sz w:val="20"/>
          <w:szCs w:val="20"/>
        </w:rPr>
        <w:t>implement</w:t>
      </w:r>
      <w:r w:rsidR="00FF41A0">
        <w:rPr>
          <w:sz w:val="20"/>
          <w:szCs w:val="20"/>
        </w:rPr>
        <w:t xml:space="preserve"> </w:t>
      </w:r>
      <w:r w:rsidR="00323457" w:rsidRPr="0059638B">
        <w:rPr>
          <w:sz w:val="20"/>
          <w:szCs w:val="20"/>
        </w:rPr>
        <w:t>these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through</w:t>
      </w:r>
      <w:r w:rsidR="00FF41A0">
        <w:rPr>
          <w:sz w:val="20"/>
          <w:szCs w:val="20"/>
        </w:rPr>
        <w:t xml:space="preserve"> </w:t>
      </w:r>
      <w:r w:rsidR="00323457" w:rsidRPr="0059638B">
        <w:rPr>
          <w:sz w:val="20"/>
          <w:szCs w:val="20"/>
        </w:rPr>
        <w:t>legislative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administrative</w:t>
      </w:r>
      <w:r w:rsidR="00FF41A0">
        <w:rPr>
          <w:sz w:val="20"/>
          <w:szCs w:val="20"/>
        </w:rPr>
        <w:t xml:space="preserve"> </w:t>
      </w:r>
      <w:r w:rsidR="00323457" w:rsidRPr="0059638B">
        <w:rPr>
          <w:sz w:val="20"/>
          <w:szCs w:val="20"/>
        </w:rPr>
        <w:t>measures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lift</w:t>
      </w:r>
      <w:r w:rsidR="00FF41A0">
        <w:rPr>
          <w:sz w:val="20"/>
          <w:szCs w:val="20"/>
        </w:rPr>
        <w:t xml:space="preserve"> </w:t>
      </w:r>
      <w:r w:rsidR="00323457" w:rsidRPr="0059638B">
        <w:rPr>
          <w:sz w:val="20"/>
          <w:szCs w:val="20"/>
        </w:rPr>
        <w:t>restrictions</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civil</w:t>
      </w:r>
      <w:r w:rsidR="00FF41A0">
        <w:rPr>
          <w:sz w:val="20"/>
          <w:szCs w:val="20"/>
        </w:rPr>
        <w:t xml:space="preserve"> </w:t>
      </w:r>
      <w:r w:rsidR="00323457" w:rsidRPr="0059638B">
        <w:rPr>
          <w:sz w:val="20"/>
          <w:szCs w:val="20"/>
        </w:rPr>
        <w:t>society</w:t>
      </w:r>
      <w:r w:rsidR="00FF41A0">
        <w:rPr>
          <w:sz w:val="20"/>
          <w:szCs w:val="20"/>
        </w:rPr>
        <w:t xml:space="preserve"> </w:t>
      </w:r>
      <w:r w:rsidR="00323457" w:rsidRPr="0059638B">
        <w:rPr>
          <w:sz w:val="20"/>
          <w:szCs w:val="20"/>
        </w:rPr>
        <w:t>space.</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reform</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law</w:t>
      </w:r>
      <w:r w:rsidR="00FF41A0">
        <w:rPr>
          <w:sz w:val="20"/>
          <w:szCs w:val="20"/>
        </w:rPr>
        <w:t xml:space="preserve"> </w:t>
      </w:r>
      <w:r w:rsidR="00323457" w:rsidRPr="0059638B">
        <w:rPr>
          <w:sz w:val="20"/>
          <w:szCs w:val="20"/>
        </w:rPr>
        <w:t>establishing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Commission</w:t>
      </w:r>
      <w:r w:rsidR="00FF41A0">
        <w:rPr>
          <w:sz w:val="20"/>
          <w:szCs w:val="20"/>
        </w:rPr>
        <w:t xml:space="preserve"> </w:t>
      </w:r>
      <w:r w:rsidR="00323457" w:rsidRPr="0059638B">
        <w:rPr>
          <w:sz w:val="20"/>
          <w:szCs w:val="20"/>
        </w:rPr>
        <w:t>but</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need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ensure</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independency</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compliance</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Paris</w:t>
      </w:r>
      <w:r w:rsidR="00FF41A0">
        <w:rPr>
          <w:sz w:val="20"/>
          <w:szCs w:val="20"/>
        </w:rPr>
        <w:t xml:space="preserve"> </w:t>
      </w:r>
      <w:r w:rsidR="00323457" w:rsidRPr="0059638B">
        <w:rPr>
          <w:sz w:val="20"/>
          <w:szCs w:val="20"/>
        </w:rPr>
        <w:t>Principles.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remained</w:t>
      </w:r>
      <w:r w:rsidR="00FF41A0">
        <w:rPr>
          <w:sz w:val="20"/>
          <w:szCs w:val="20"/>
        </w:rPr>
        <w:t xml:space="preserve"> </w:t>
      </w:r>
      <w:r w:rsidR="00323457" w:rsidRPr="0059638B">
        <w:rPr>
          <w:sz w:val="20"/>
          <w:szCs w:val="20"/>
        </w:rPr>
        <w:t>concerned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large-scale</w:t>
      </w:r>
      <w:r w:rsidR="00FF41A0">
        <w:rPr>
          <w:sz w:val="20"/>
          <w:szCs w:val="20"/>
        </w:rPr>
        <w:t xml:space="preserve"> </w:t>
      </w:r>
      <w:r w:rsidR="00323457" w:rsidRPr="0059638B">
        <w:rPr>
          <w:sz w:val="20"/>
          <w:szCs w:val="20"/>
        </w:rPr>
        <w:t>use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ministerial</w:t>
      </w:r>
      <w:r w:rsidR="00FF41A0">
        <w:rPr>
          <w:sz w:val="20"/>
          <w:szCs w:val="20"/>
        </w:rPr>
        <w:t xml:space="preserve"> </w:t>
      </w:r>
      <w:r w:rsidR="00323457" w:rsidRPr="0059638B">
        <w:rPr>
          <w:sz w:val="20"/>
          <w:szCs w:val="20"/>
        </w:rPr>
        <w:t>decrees</w:t>
      </w:r>
      <w:r w:rsidR="00FF41A0">
        <w:rPr>
          <w:sz w:val="20"/>
          <w:szCs w:val="20"/>
        </w:rPr>
        <w:t xml:space="preserve"> </w:t>
      </w:r>
      <w:r w:rsidR="00323457" w:rsidRPr="0059638B">
        <w:rPr>
          <w:sz w:val="20"/>
          <w:szCs w:val="20"/>
        </w:rPr>
        <w:t>banning</w:t>
      </w:r>
      <w:r w:rsidR="00FF41A0">
        <w:rPr>
          <w:sz w:val="20"/>
          <w:szCs w:val="20"/>
        </w:rPr>
        <w:t xml:space="preserve"> </w:t>
      </w:r>
      <w:r w:rsidR="00323457" w:rsidRPr="0059638B">
        <w:rPr>
          <w:sz w:val="20"/>
          <w:szCs w:val="20"/>
        </w:rPr>
        <w:t>peaceful</w:t>
      </w:r>
      <w:r w:rsidR="00FF41A0">
        <w:rPr>
          <w:sz w:val="20"/>
          <w:szCs w:val="20"/>
        </w:rPr>
        <w:t xml:space="preserve"> </w:t>
      </w:r>
      <w:r w:rsidR="00323457" w:rsidRPr="0059638B">
        <w:rPr>
          <w:sz w:val="20"/>
          <w:szCs w:val="20"/>
        </w:rPr>
        <w:t>protests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public</w:t>
      </w:r>
      <w:r w:rsidR="00FF41A0">
        <w:rPr>
          <w:sz w:val="20"/>
          <w:szCs w:val="20"/>
        </w:rPr>
        <w:t xml:space="preserve"> </w:t>
      </w:r>
      <w:r w:rsidR="00323457" w:rsidRPr="0059638B">
        <w:rPr>
          <w:sz w:val="20"/>
          <w:szCs w:val="20"/>
        </w:rPr>
        <w:t>events.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encouraged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protect</w:t>
      </w:r>
      <w:r w:rsidR="00FF41A0">
        <w:rPr>
          <w:sz w:val="20"/>
          <w:szCs w:val="20"/>
        </w:rPr>
        <w:t xml:space="preserve"> </w:t>
      </w:r>
      <w:r w:rsidR="00323457" w:rsidRPr="0059638B">
        <w:rPr>
          <w:sz w:val="20"/>
          <w:szCs w:val="20"/>
        </w:rPr>
        <w:t>freedom</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expression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opinion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refrain</w:t>
      </w:r>
      <w:r w:rsidR="00FF41A0">
        <w:rPr>
          <w:sz w:val="20"/>
          <w:szCs w:val="20"/>
        </w:rPr>
        <w:t xml:space="preserve"> </w:t>
      </w:r>
      <w:r w:rsidR="00323457" w:rsidRPr="0059638B">
        <w:rPr>
          <w:sz w:val="20"/>
          <w:szCs w:val="20"/>
        </w:rPr>
        <w:t>from</w:t>
      </w:r>
      <w:r w:rsidR="00FF41A0">
        <w:rPr>
          <w:sz w:val="20"/>
          <w:szCs w:val="20"/>
        </w:rPr>
        <w:t xml:space="preserve"> </w:t>
      </w:r>
      <w:r w:rsidR="00323457" w:rsidRPr="0059638B">
        <w:rPr>
          <w:sz w:val="20"/>
          <w:szCs w:val="20"/>
        </w:rPr>
        <w:t>arresting</w:t>
      </w:r>
      <w:r w:rsidR="00FF41A0">
        <w:rPr>
          <w:sz w:val="20"/>
          <w:szCs w:val="20"/>
        </w:rPr>
        <w:t xml:space="preserve"> </w:t>
      </w:r>
      <w:r w:rsidR="00323457" w:rsidRPr="0059638B">
        <w:rPr>
          <w:sz w:val="20"/>
          <w:szCs w:val="20"/>
        </w:rPr>
        <w:t>journalists,</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well</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provide</w:t>
      </w:r>
      <w:r w:rsidR="00FF41A0">
        <w:rPr>
          <w:sz w:val="20"/>
          <w:szCs w:val="20"/>
        </w:rPr>
        <w:t xml:space="preserve"> </w:t>
      </w:r>
      <w:r w:rsidR="00323457" w:rsidRPr="0059638B">
        <w:rPr>
          <w:sz w:val="20"/>
          <w:szCs w:val="20"/>
        </w:rPr>
        <w:t>necessary</w:t>
      </w:r>
      <w:r w:rsidR="00FF41A0">
        <w:rPr>
          <w:sz w:val="20"/>
          <w:szCs w:val="20"/>
        </w:rPr>
        <w:t xml:space="preserve"> </w:t>
      </w:r>
      <w:r w:rsidR="00323457" w:rsidRPr="0059638B">
        <w:rPr>
          <w:sz w:val="20"/>
          <w:szCs w:val="20"/>
        </w:rPr>
        <w:t>resources</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effective</w:t>
      </w:r>
      <w:r w:rsidR="00FF41A0">
        <w:rPr>
          <w:sz w:val="20"/>
          <w:szCs w:val="20"/>
        </w:rPr>
        <w:t xml:space="preserve"> </w:t>
      </w:r>
      <w:r w:rsidR="00323457" w:rsidRPr="0059638B">
        <w:rPr>
          <w:sz w:val="20"/>
          <w:szCs w:val="20"/>
        </w:rPr>
        <w:t>functioning</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Commission.</w:t>
      </w:r>
    </w:p>
    <w:p w14:paraId="13679B0D" w14:textId="59775788" w:rsidR="00323457" w:rsidRPr="0059638B" w:rsidRDefault="0035721D" w:rsidP="00323457">
      <w:pPr>
        <w:pStyle w:val="SingleTxtG"/>
        <w:rPr>
          <w:sz w:val="20"/>
          <w:szCs w:val="20"/>
        </w:rPr>
      </w:pPr>
      <w:r>
        <w:rPr>
          <w:sz w:val="20"/>
          <w:szCs w:val="20"/>
        </w:rPr>
        <w:t>807</w:t>
      </w:r>
      <w:r w:rsidR="00D7475F">
        <w:rPr>
          <w:sz w:val="20"/>
          <w:szCs w:val="20"/>
        </w:rPr>
        <w:t>.</w:t>
      </w:r>
      <w:r w:rsidR="00D7475F">
        <w:rPr>
          <w:sz w:val="20"/>
          <w:szCs w:val="20"/>
        </w:rPr>
        <w:tab/>
      </w:r>
      <w:r w:rsidR="00323457" w:rsidRPr="0059638B">
        <w:rPr>
          <w:sz w:val="20"/>
          <w:szCs w:val="20"/>
        </w:rPr>
        <w:t>Amnesty</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acceptance</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Chad</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abolish</w:t>
      </w:r>
      <w:r w:rsidR="00FF41A0">
        <w:rPr>
          <w:sz w:val="20"/>
          <w:szCs w:val="20"/>
        </w:rPr>
        <w:t xml:space="preserve"> </w:t>
      </w:r>
      <w:r w:rsidR="00323457" w:rsidRPr="0059638B">
        <w:rPr>
          <w:sz w:val="20"/>
          <w:szCs w:val="20"/>
        </w:rPr>
        <w:t>death</w:t>
      </w:r>
      <w:r w:rsidR="00FF41A0">
        <w:rPr>
          <w:sz w:val="20"/>
          <w:szCs w:val="20"/>
        </w:rPr>
        <w:t xml:space="preserve"> </w:t>
      </w:r>
      <w:r w:rsidR="00323457" w:rsidRPr="0059638B">
        <w:rPr>
          <w:sz w:val="20"/>
          <w:szCs w:val="20"/>
        </w:rPr>
        <w:t>penalty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called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Chad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establish</w:t>
      </w:r>
      <w:r w:rsidR="00FF41A0">
        <w:rPr>
          <w:sz w:val="20"/>
          <w:szCs w:val="20"/>
        </w:rPr>
        <w:t xml:space="preserve"> </w:t>
      </w:r>
      <w:r w:rsidR="00323457" w:rsidRPr="0059638B">
        <w:rPr>
          <w:sz w:val="20"/>
          <w:szCs w:val="20"/>
        </w:rPr>
        <w:t>an</w:t>
      </w:r>
      <w:r w:rsidR="00FF41A0">
        <w:rPr>
          <w:sz w:val="20"/>
          <w:szCs w:val="20"/>
        </w:rPr>
        <w:t xml:space="preserve"> </w:t>
      </w:r>
      <w:r w:rsidR="00323457" w:rsidRPr="0059638B">
        <w:rPr>
          <w:sz w:val="20"/>
          <w:szCs w:val="20"/>
        </w:rPr>
        <w:t>official</w:t>
      </w:r>
      <w:r w:rsidR="00FF41A0">
        <w:rPr>
          <w:sz w:val="20"/>
          <w:szCs w:val="20"/>
        </w:rPr>
        <w:t xml:space="preserve"> </w:t>
      </w:r>
      <w:r w:rsidR="00323457" w:rsidRPr="0059638B">
        <w:rPr>
          <w:sz w:val="20"/>
          <w:szCs w:val="20"/>
        </w:rPr>
        <w:t>moratorium</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executions.</w:t>
      </w:r>
      <w:r w:rsidR="00FF41A0">
        <w:rPr>
          <w:sz w:val="20"/>
          <w:szCs w:val="20"/>
        </w:rPr>
        <w:t xml:space="preserve"> </w:t>
      </w:r>
      <w:r w:rsidR="00323457" w:rsidRPr="0059638B">
        <w:rPr>
          <w:sz w:val="20"/>
          <w:szCs w:val="20"/>
        </w:rPr>
        <w:t>Concerned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fact</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since</w:t>
      </w:r>
      <w:r w:rsidR="00FF41A0">
        <w:rPr>
          <w:sz w:val="20"/>
          <w:szCs w:val="20"/>
        </w:rPr>
        <w:t xml:space="preserve"> </w:t>
      </w:r>
      <w:r w:rsidR="00323457" w:rsidRPr="0059638B">
        <w:rPr>
          <w:sz w:val="20"/>
          <w:szCs w:val="20"/>
        </w:rPr>
        <w:t>2013,</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situation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defenders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journalists</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deteriorated,</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acceptance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adopt</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law</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protect</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defenders.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mentioned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high</w:t>
      </w:r>
      <w:r w:rsidR="00FF41A0">
        <w:rPr>
          <w:sz w:val="20"/>
          <w:szCs w:val="20"/>
        </w:rPr>
        <w:t xml:space="preserve"> </w:t>
      </w:r>
      <w:r w:rsidR="00323457" w:rsidRPr="0059638B">
        <w:rPr>
          <w:sz w:val="20"/>
          <w:szCs w:val="20"/>
        </w:rPr>
        <w:t>number</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decrees</w:t>
      </w:r>
      <w:r w:rsidR="00FF41A0">
        <w:rPr>
          <w:sz w:val="20"/>
          <w:szCs w:val="20"/>
        </w:rPr>
        <w:t xml:space="preserve"> </w:t>
      </w:r>
      <w:r w:rsidR="00323457" w:rsidRPr="0059638B">
        <w:rPr>
          <w:sz w:val="20"/>
          <w:szCs w:val="20"/>
        </w:rPr>
        <w:t>banning</w:t>
      </w:r>
      <w:r w:rsidR="00FF41A0">
        <w:rPr>
          <w:sz w:val="20"/>
          <w:szCs w:val="20"/>
        </w:rPr>
        <w:t xml:space="preserve"> </w:t>
      </w:r>
      <w:r w:rsidR="00323457" w:rsidRPr="0059638B">
        <w:rPr>
          <w:sz w:val="20"/>
          <w:szCs w:val="20"/>
        </w:rPr>
        <w:t>protests</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well</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use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excessive</w:t>
      </w:r>
      <w:r w:rsidR="00FF41A0">
        <w:rPr>
          <w:sz w:val="20"/>
          <w:szCs w:val="20"/>
        </w:rPr>
        <w:t xml:space="preserve"> </w:t>
      </w:r>
      <w:r w:rsidR="00323457" w:rsidRPr="0059638B">
        <w:rPr>
          <w:sz w:val="20"/>
          <w:szCs w:val="20"/>
        </w:rPr>
        <w:t>force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disperse</w:t>
      </w:r>
      <w:r w:rsidR="00FF41A0">
        <w:rPr>
          <w:sz w:val="20"/>
          <w:szCs w:val="20"/>
        </w:rPr>
        <w:t xml:space="preserve"> </w:t>
      </w:r>
      <w:r w:rsidR="00323457" w:rsidRPr="0059638B">
        <w:rPr>
          <w:sz w:val="20"/>
          <w:szCs w:val="20"/>
        </w:rPr>
        <w:t>demonstration.</w:t>
      </w:r>
      <w:r w:rsidR="00FF41A0">
        <w:rPr>
          <w:sz w:val="20"/>
          <w:szCs w:val="20"/>
        </w:rPr>
        <w:t xml:space="preserve"> </w:t>
      </w:r>
      <w:r w:rsidR="00323457" w:rsidRPr="0059638B">
        <w:rPr>
          <w:sz w:val="20"/>
          <w:szCs w:val="20"/>
        </w:rPr>
        <w:t>Therefore,</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acceptance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amend</w:t>
      </w:r>
      <w:r w:rsidR="00FF41A0">
        <w:rPr>
          <w:sz w:val="20"/>
          <w:szCs w:val="20"/>
        </w:rPr>
        <w:t xml:space="preserve"> </w:t>
      </w:r>
      <w:r w:rsidR="00323457" w:rsidRPr="0059638B">
        <w:rPr>
          <w:sz w:val="20"/>
          <w:szCs w:val="20"/>
        </w:rPr>
        <w:t>Ordinance</w:t>
      </w:r>
      <w:r w:rsidR="00FF41A0">
        <w:rPr>
          <w:sz w:val="20"/>
          <w:szCs w:val="20"/>
        </w:rPr>
        <w:t xml:space="preserve"> </w:t>
      </w:r>
      <w:r w:rsidR="00323457" w:rsidRPr="0059638B">
        <w:rPr>
          <w:sz w:val="20"/>
          <w:szCs w:val="20"/>
        </w:rPr>
        <w:t>N°</w:t>
      </w:r>
      <w:r w:rsidR="00FF41A0">
        <w:rPr>
          <w:sz w:val="20"/>
          <w:szCs w:val="20"/>
        </w:rPr>
        <w:t xml:space="preserve"> </w:t>
      </w:r>
      <w:r w:rsidR="00323457" w:rsidRPr="0059638B">
        <w:rPr>
          <w:sz w:val="20"/>
          <w:szCs w:val="20"/>
        </w:rPr>
        <w:t>45/62</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Decree</w:t>
      </w:r>
      <w:r w:rsidR="00FF41A0">
        <w:rPr>
          <w:sz w:val="20"/>
          <w:szCs w:val="20"/>
        </w:rPr>
        <w:t xml:space="preserve"> </w:t>
      </w:r>
      <w:r w:rsidR="00323457" w:rsidRPr="0059638B">
        <w:rPr>
          <w:sz w:val="20"/>
          <w:szCs w:val="20"/>
        </w:rPr>
        <w:t>N°</w:t>
      </w:r>
      <w:r w:rsidR="00FF41A0">
        <w:rPr>
          <w:sz w:val="20"/>
          <w:szCs w:val="20"/>
        </w:rPr>
        <w:t xml:space="preserve"> </w:t>
      </w:r>
      <w:r w:rsidR="00323457" w:rsidRPr="0059638B">
        <w:rPr>
          <w:sz w:val="20"/>
          <w:szCs w:val="20"/>
        </w:rPr>
        <w:t>193/62.</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referred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austerity</w:t>
      </w:r>
      <w:r w:rsidR="00FF41A0">
        <w:rPr>
          <w:sz w:val="20"/>
          <w:szCs w:val="20"/>
        </w:rPr>
        <w:t xml:space="preserve"> </w:t>
      </w:r>
      <w:r w:rsidR="00323457" w:rsidRPr="0059638B">
        <w:rPr>
          <w:sz w:val="20"/>
          <w:szCs w:val="20"/>
        </w:rPr>
        <w:t>measures</w:t>
      </w:r>
      <w:r w:rsidR="00FF41A0">
        <w:rPr>
          <w:sz w:val="20"/>
          <w:szCs w:val="20"/>
        </w:rPr>
        <w:t xml:space="preserve"> </w:t>
      </w:r>
      <w:r w:rsidR="00323457" w:rsidRPr="0059638B">
        <w:rPr>
          <w:sz w:val="20"/>
          <w:szCs w:val="20"/>
        </w:rPr>
        <w:t>taken</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have</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an</w:t>
      </w:r>
      <w:r w:rsidR="00FF41A0">
        <w:rPr>
          <w:sz w:val="20"/>
          <w:szCs w:val="20"/>
        </w:rPr>
        <w:t xml:space="preserve"> </w:t>
      </w:r>
      <w:r w:rsidR="00323457" w:rsidRPr="0059638B">
        <w:rPr>
          <w:sz w:val="20"/>
          <w:szCs w:val="20"/>
        </w:rPr>
        <w:t>impact</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provision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health</w:t>
      </w:r>
      <w:r w:rsidR="00FF41A0">
        <w:rPr>
          <w:sz w:val="20"/>
          <w:szCs w:val="20"/>
        </w:rPr>
        <w:t xml:space="preserve"> </w:t>
      </w:r>
      <w:r w:rsidR="00323457" w:rsidRPr="0059638B">
        <w:rPr>
          <w:sz w:val="20"/>
          <w:szCs w:val="20"/>
        </w:rPr>
        <w:t>care</w:t>
      </w:r>
      <w:r w:rsidR="00FF41A0">
        <w:rPr>
          <w:sz w:val="20"/>
          <w:szCs w:val="20"/>
        </w:rPr>
        <w:t xml:space="preserve"> </w:t>
      </w:r>
      <w:r w:rsidR="00323457" w:rsidRPr="0059638B">
        <w:rPr>
          <w:sz w:val="20"/>
          <w:szCs w:val="20"/>
        </w:rPr>
        <w:t>services.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commended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acceptance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improve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education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health</w:t>
      </w:r>
      <w:r w:rsidR="00FF41A0">
        <w:rPr>
          <w:sz w:val="20"/>
          <w:szCs w:val="20"/>
        </w:rPr>
        <w:t xml:space="preserve"> </w:t>
      </w:r>
      <w:r w:rsidR="00323457" w:rsidRPr="0059638B">
        <w:rPr>
          <w:sz w:val="20"/>
          <w:szCs w:val="20"/>
        </w:rPr>
        <w:t>systems.</w:t>
      </w:r>
      <w:r w:rsidR="00FF41A0">
        <w:rPr>
          <w:sz w:val="20"/>
          <w:szCs w:val="20"/>
        </w:rPr>
        <w:t xml:space="preserve"> </w:t>
      </w:r>
    </w:p>
    <w:p w14:paraId="08B3FA26" w14:textId="5028988D" w:rsidR="00323457" w:rsidRPr="0059638B" w:rsidRDefault="0035721D" w:rsidP="00323457">
      <w:pPr>
        <w:pStyle w:val="SingleTxtG"/>
        <w:rPr>
          <w:sz w:val="20"/>
          <w:szCs w:val="20"/>
        </w:rPr>
      </w:pPr>
      <w:r>
        <w:rPr>
          <w:sz w:val="20"/>
          <w:szCs w:val="20"/>
        </w:rPr>
        <w:t>808</w:t>
      </w:r>
      <w:r w:rsidR="00D7475F">
        <w:rPr>
          <w:sz w:val="20"/>
          <w:szCs w:val="20"/>
        </w:rPr>
        <w:t>.</w:t>
      </w:r>
      <w:r w:rsidR="00D7475F">
        <w:rPr>
          <w:sz w:val="20"/>
          <w:szCs w:val="20"/>
        </w:rPr>
        <w:tab/>
      </w:r>
      <w:r w:rsidR="00323457" w:rsidRPr="0059638B">
        <w:rPr>
          <w:sz w:val="20"/>
          <w:szCs w:val="20"/>
        </w:rPr>
        <w:t>Rencontre</w:t>
      </w:r>
      <w:r w:rsidR="00FF41A0">
        <w:rPr>
          <w:sz w:val="20"/>
          <w:szCs w:val="20"/>
        </w:rPr>
        <w:t xml:space="preserve"> </w:t>
      </w:r>
      <w:r w:rsidR="00323457" w:rsidRPr="0059638B">
        <w:rPr>
          <w:sz w:val="20"/>
          <w:szCs w:val="20"/>
        </w:rPr>
        <w:t>Africaine</w:t>
      </w:r>
      <w:r w:rsidR="00FF41A0">
        <w:rPr>
          <w:sz w:val="20"/>
          <w:szCs w:val="20"/>
        </w:rPr>
        <w:t xml:space="preserve"> </w:t>
      </w:r>
      <w:r w:rsidR="00323457" w:rsidRPr="0059638B">
        <w:rPr>
          <w:sz w:val="20"/>
          <w:szCs w:val="20"/>
        </w:rPr>
        <w:t>pour</w:t>
      </w:r>
      <w:r w:rsidR="00FF41A0">
        <w:rPr>
          <w:sz w:val="20"/>
          <w:szCs w:val="20"/>
        </w:rPr>
        <w:t xml:space="preserve"> </w:t>
      </w:r>
      <w:r w:rsidR="00323457" w:rsidRPr="0059638B">
        <w:rPr>
          <w:sz w:val="20"/>
          <w:szCs w:val="20"/>
        </w:rPr>
        <w:t>la</w:t>
      </w:r>
      <w:r w:rsidR="00FF41A0">
        <w:rPr>
          <w:sz w:val="20"/>
          <w:szCs w:val="20"/>
        </w:rPr>
        <w:t xml:space="preserve"> </w:t>
      </w:r>
      <w:r w:rsidR="00323457" w:rsidRPr="0059638B">
        <w:rPr>
          <w:sz w:val="20"/>
          <w:szCs w:val="20"/>
        </w:rPr>
        <w:t>défense</w:t>
      </w:r>
      <w:r w:rsidR="00FF41A0">
        <w:rPr>
          <w:sz w:val="20"/>
          <w:szCs w:val="20"/>
        </w:rPr>
        <w:t xml:space="preserve"> </w:t>
      </w:r>
      <w:r w:rsidR="00323457" w:rsidRPr="0059638B">
        <w:rPr>
          <w:sz w:val="20"/>
          <w:szCs w:val="20"/>
        </w:rPr>
        <w:t>des</w:t>
      </w:r>
      <w:r w:rsidR="00FF41A0">
        <w:rPr>
          <w:sz w:val="20"/>
          <w:szCs w:val="20"/>
        </w:rPr>
        <w:t xml:space="preserve"> </w:t>
      </w:r>
      <w:r w:rsidR="00323457" w:rsidRPr="0059638B">
        <w:rPr>
          <w:sz w:val="20"/>
          <w:szCs w:val="20"/>
        </w:rPr>
        <w:t>droits</w:t>
      </w:r>
      <w:r w:rsidR="00FF41A0">
        <w:rPr>
          <w:sz w:val="20"/>
          <w:szCs w:val="20"/>
        </w:rPr>
        <w:t xml:space="preserve"> </w:t>
      </w:r>
      <w:r w:rsidR="00323457" w:rsidRPr="0059638B">
        <w:rPr>
          <w:sz w:val="20"/>
          <w:szCs w:val="20"/>
        </w:rPr>
        <w:t>de</w:t>
      </w:r>
      <w:r w:rsidR="00FF41A0">
        <w:rPr>
          <w:sz w:val="20"/>
          <w:szCs w:val="20"/>
        </w:rPr>
        <w:t xml:space="preserve"> </w:t>
      </w:r>
      <w:r w:rsidR="00323457" w:rsidRPr="0059638B">
        <w:rPr>
          <w:sz w:val="20"/>
          <w:szCs w:val="20"/>
        </w:rPr>
        <w:t>l</w:t>
      </w:r>
      <w:r w:rsidR="00D72627">
        <w:rPr>
          <w:sz w:val="20"/>
          <w:szCs w:val="20"/>
        </w:rPr>
        <w:t>’</w:t>
      </w:r>
      <w:r w:rsidR="00323457" w:rsidRPr="0059638B">
        <w:rPr>
          <w:sz w:val="20"/>
          <w:szCs w:val="20"/>
        </w:rPr>
        <w:t>homme</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opening</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Chad</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an</w:t>
      </w:r>
      <w:r w:rsidR="00FF41A0">
        <w:rPr>
          <w:sz w:val="20"/>
          <w:szCs w:val="20"/>
        </w:rPr>
        <w:t xml:space="preserve"> </w:t>
      </w:r>
      <w:r w:rsidR="00323457" w:rsidRPr="0059638B">
        <w:rPr>
          <w:sz w:val="20"/>
          <w:szCs w:val="20"/>
        </w:rPr>
        <w:t>Office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High</w:t>
      </w:r>
      <w:r w:rsidR="00FF41A0">
        <w:rPr>
          <w:sz w:val="20"/>
          <w:szCs w:val="20"/>
        </w:rPr>
        <w:t xml:space="preserve"> </w:t>
      </w:r>
      <w:r w:rsidR="00323457" w:rsidRPr="0059638B">
        <w:rPr>
          <w:sz w:val="20"/>
          <w:szCs w:val="20"/>
        </w:rPr>
        <w:t>Commissioner</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Since</w:t>
      </w:r>
      <w:r w:rsidR="00FF41A0">
        <w:rPr>
          <w:sz w:val="20"/>
          <w:szCs w:val="20"/>
        </w:rPr>
        <w:t xml:space="preserve"> </w:t>
      </w:r>
      <w:r w:rsidR="00323457" w:rsidRPr="0059638B">
        <w:rPr>
          <w:sz w:val="20"/>
          <w:szCs w:val="20"/>
        </w:rPr>
        <w:t>last</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has</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regression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situation,</w:t>
      </w:r>
      <w:r w:rsidR="00FF41A0">
        <w:rPr>
          <w:sz w:val="20"/>
          <w:szCs w:val="20"/>
        </w:rPr>
        <w:t xml:space="preserve"> </w:t>
      </w:r>
      <w:r w:rsidR="00323457" w:rsidRPr="0059638B">
        <w:rPr>
          <w:sz w:val="20"/>
          <w:szCs w:val="20"/>
        </w:rPr>
        <w:t>distinguished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restrictions</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civil</w:t>
      </w:r>
      <w:r w:rsidR="00FF41A0">
        <w:rPr>
          <w:sz w:val="20"/>
          <w:szCs w:val="20"/>
        </w:rPr>
        <w:t xml:space="preserve"> </w:t>
      </w:r>
      <w:r w:rsidR="00323457" w:rsidRPr="0059638B">
        <w:rPr>
          <w:sz w:val="20"/>
          <w:szCs w:val="20"/>
        </w:rPr>
        <w:t>society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opposition</w:t>
      </w:r>
      <w:r w:rsidR="00FF41A0">
        <w:rPr>
          <w:sz w:val="20"/>
          <w:szCs w:val="20"/>
        </w:rPr>
        <w:t xml:space="preserve"> </w:t>
      </w:r>
      <w:r w:rsidR="00323457" w:rsidRPr="0059638B">
        <w:rPr>
          <w:sz w:val="20"/>
          <w:szCs w:val="20"/>
        </w:rPr>
        <w:t>groups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prohibition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assemblies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protests.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further</w:t>
      </w:r>
      <w:r w:rsidR="00FF41A0">
        <w:rPr>
          <w:sz w:val="20"/>
          <w:szCs w:val="20"/>
        </w:rPr>
        <w:t xml:space="preserve"> </w:t>
      </w:r>
      <w:r w:rsidR="00323457" w:rsidRPr="0059638B">
        <w:rPr>
          <w:sz w:val="20"/>
          <w:szCs w:val="20"/>
        </w:rPr>
        <w:t>mentioned</w:t>
      </w:r>
      <w:r w:rsidR="00FF41A0">
        <w:rPr>
          <w:sz w:val="20"/>
          <w:szCs w:val="20"/>
        </w:rPr>
        <w:t xml:space="preserve"> </w:t>
      </w:r>
      <w:r w:rsidR="00323457" w:rsidRPr="0059638B">
        <w:rPr>
          <w:sz w:val="20"/>
          <w:szCs w:val="20"/>
        </w:rPr>
        <w:t>restrictions</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Internet.</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referred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bombings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region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Tibesti</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citizens</w:t>
      </w:r>
      <w:r w:rsidR="00FF41A0">
        <w:rPr>
          <w:sz w:val="20"/>
          <w:szCs w:val="20"/>
        </w:rPr>
        <w:t xml:space="preserve"> </w:t>
      </w:r>
      <w:r w:rsidR="00323457" w:rsidRPr="0059638B">
        <w:rPr>
          <w:sz w:val="20"/>
          <w:szCs w:val="20"/>
        </w:rPr>
        <w:t>opposing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illegal</w:t>
      </w:r>
      <w:r w:rsidR="00FF41A0">
        <w:rPr>
          <w:sz w:val="20"/>
          <w:szCs w:val="20"/>
        </w:rPr>
        <w:t xml:space="preserve"> </w:t>
      </w:r>
      <w:r w:rsidR="00323457" w:rsidRPr="0059638B">
        <w:rPr>
          <w:sz w:val="20"/>
          <w:szCs w:val="20"/>
        </w:rPr>
        <w:t>exploitation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gold</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well</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political</w:t>
      </w:r>
      <w:r w:rsidR="00FF41A0">
        <w:rPr>
          <w:sz w:val="20"/>
          <w:szCs w:val="20"/>
        </w:rPr>
        <w:t xml:space="preserve"> </w:t>
      </w:r>
      <w:r w:rsidR="00323457" w:rsidRPr="0059638B">
        <w:rPr>
          <w:sz w:val="20"/>
          <w:szCs w:val="20"/>
        </w:rPr>
        <w:t>instrumentation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existing</w:t>
      </w:r>
      <w:r w:rsidR="00FF41A0">
        <w:rPr>
          <w:sz w:val="20"/>
          <w:szCs w:val="20"/>
        </w:rPr>
        <w:t xml:space="preserve"> </w:t>
      </w:r>
      <w:r w:rsidR="00323457" w:rsidRPr="0059638B">
        <w:rPr>
          <w:sz w:val="20"/>
          <w:szCs w:val="20"/>
        </w:rPr>
        <w:t>conflict</w:t>
      </w:r>
      <w:r w:rsidR="00FF41A0">
        <w:rPr>
          <w:sz w:val="20"/>
          <w:szCs w:val="20"/>
        </w:rPr>
        <w:t xml:space="preserve"> </w:t>
      </w:r>
      <w:r w:rsidR="00323457" w:rsidRPr="0059638B">
        <w:rPr>
          <w:sz w:val="20"/>
          <w:szCs w:val="20"/>
        </w:rPr>
        <w:t>between</w:t>
      </w:r>
      <w:r w:rsidR="00FF41A0">
        <w:rPr>
          <w:sz w:val="20"/>
          <w:szCs w:val="20"/>
        </w:rPr>
        <w:t xml:space="preserve"> </w:t>
      </w:r>
      <w:r w:rsidR="00323457" w:rsidRPr="0059638B">
        <w:rPr>
          <w:sz w:val="20"/>
          <w:szCs w:val="20"/>
        </w:rPr>
        <w:t>farmers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livestock</w:t>
      </w:r>
      <w:r w:rsidR="00FF41A0">
        <w:rPr>
          <w:sz w:val="20"/>
          <w:szCs w:val="20"/>
        </w:rPr>
        <w:t xml:space="preserve"> </w:t>
      </w:r>
      <w:r w:rsidR="00323457" w:rsidRPr="0059638B">
        <w:rPr>
          <w:sz w:val="20"/>
          <w:szCs w:val="20"/>
        </w:rPr>
        <w:t>farmers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region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Ouaddaï.</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enumerated</w:t>
      </w:r>
      <w:r w:rsidR="00FF41A0">
        <w:rPr>
          <w:sz w:val="20"/>
          <w:szCs w:val="20"/>
        </w:rPr>
        <w:t xml:space="preserve"> </w:t>
      </w:r>
      <w:r w:rsidR="00323457" w:rsidRPr="0059638B">
        <w:rPr>
          <w:sz w:val="20"/>
          <w:szCs w:val="20"/>
        </w:rPr>
        <w:t>some</w:t>
      </w:r>
      <w:r w:rsidR="00FF41A0">
        <w:rPr>
          <w:sz w:val="20"/>
          <w:szCs w:val="20"/>
        </w:rPr>
        <w:t xml:space="preserve"> </w:t>
      </w:r>
      <w:r w:rsidR="00323457" w:rsidRPr="0059638B">
        <w:rPr>
          <w:sz w:val="20"/>
          <w:szCs w:val="20"/>
        </w:rPr>
        <w:t>cases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alleged</w:t>
      </w:r>
      <w:r w:rsidR="00FF41A0">
        <w:rPr>
          <w:sz w:val="20"/>
          <w:szCs w:val="20"/>
        </w:rPr>
        <w:t xml:space="preserve"> </w:t>
      </w:r>
      <w:r w:rsidR="00323457" w:rsidRPr="0059638B">
        <w:rPr>
          <w:sz w:val="20"/>
          <w:szCs w:val="20"/>
        </w:rPr>
        <w:t>arbitrary</w:t>
      </w:r>
      <w:r w:rsidR="00FF41A0">
        <w:rPr>
          <w:sz w:val="20"/>
          <w:szCs w:val="20"/>
        </w:rPr>
        <w:t xml:space="preserve"> </w:t>
      </w:r>
      <w:r w:rsidR="00323457" w:rsidRPr="0059638B">
        <w:rPr>
          <w:sz w:val="20"/>
          <w:szCs w:val="20"/>
        </w:rPr>
        <w:t>arrests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detention,</w:t>
      </w:r>
      <w:r w:rsidR="00FF41A0">
        <w:rPr>
          <w:sz w:val="20"/>
          <w:szCs w:val="20"/>
        </w:rPr>
        <w:t xml:space="preserve"> </w:t>
      </w:r>
      <w:r w:rsidR="00323457" w:rsidRPr="0059638B">
        <w:rPr>
          <w:sz w:val="20"/>
          <w:szCs w:val="20"/>
        </w:rPr>
        <w:t>torture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inhumane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degrading</w:t>
      </w:r>
      <w:r w:rsidR="00FF41A0">
        <w:rPr>
          <w:sz w:val="20"/>
          <w:szCs w:val="20"/>
        </w:rPr>
        <w:t xml:space="preserve"> </w:t>
      </w:r>
      <w:r w:rsidR="00323457" w:rsidRPr="0059638B">
        <w:rPr>
          <w:sz w:val="20"/>
          <w:szCs w:val="20"/>
        </w:rPr>
        <w:t>treatments,</w:t>
      </w:r>
      <w:r w:rsidR="00FF41A0">
        <w:rPr>
          <w:sz w:val="20"/>
          <w:szCs w:val="20"/>
        </w:rPr>
        <w:t xml:space="preserve"> </w:t>
      </w:r>
      <w:r w:rsidR="00323457" w:rsidRPr="0059638B">
        <w:rPr>
          <w:sz w:val="20"/>
          <w:szCs w:val="20"/>
        </w:rPr>
        <w:t>including</w:t>
      </w:r>
      <w:r w:rsidR="00FF41A0">
        <w:rPr>
          <w:sz w:val="20"/>
          <w:szCs w:val="20"/>
        </w:rPr>
        <w:t xml:space="preserve"> </w:t>
      </w:r>
      <w:r w:rsidR="00323457" w:rsidRPr="0059638B">
        <w:rPr>
          <w:sz w:val="20"/>
          <w:szCs w:val="20"/>
        </w:rPr>
        <w:t>Mr.</w:t>
      </w:r>
      <w:r w:rsidR="00FF41A0">
        <w:rPr>
          <w:sz w:val="20"/>
          <w:szCs w:val="20"/>
        </w:rPr>
        <w:t xml:space="preserve"> </w:t>
      </w:r>
      <w:r w:rsidR="00323457" w:rsidRPr="0059638B">
        <w:rPr>
          <w:sz w:val="20"/>
          <w:szCs w:val="20"/>
        </w:rPr>
        <w:t>Oumar</w:t>
      </w:r>
      <w:r w:rsidR="00FF41A0">
        <w:rPr>
          <w:sz w:val="20"/>
          <w:szCs w:val="20"/>
        </w:rPr>
        <w:t xml:space="preserve"> </w:t>
      </w:r>
      <w:r w:rsidR="00323457" w:rsidRPr="0059638B">
        <w:rPr>
          <w:sz w:val="20"/>
          <w:szCs w:val="20"/>
        </w:rPr>
        <w:t>Hissein,</w:t>
      </w:r>
      <w:r w:rsidR="00FF41A0">
        <w:rPr>
          <w:sz w:val="20"/>
          <w:szCs w:val="20"/>
        </w:rPr>
        <w:t xml:space="preserve"> </w:t>
      </w:r>
      <w:r w:rsidR="00323457" w:rsidRPr="0059638B">
        <w:rPr>
          <w:sz w:val="20"/>
          <w:szCs w:val="20"/>
        </w:rPr>
        <w:t>Ms.</w:t>
      </w:r>
      <w:r w:rsidR="00FF41A0">
        <w:rPr>
          <w:sz w:val="20"/>
          <w:szCs w:val="20"/>
        </w:rPr>
        <w:t xml:space="preserve"> </w:t>
      </w:r>
      <w:r w:rsidR="00323457" w:rsidRPr="0059638B">
        <w:rPr>
          <w:sz w:val="20"/>
          <w:szCs w:val="20"/>
        </w:rPr>
        <w:t>Hawariya</w:t>
      </w:r>
      <w:r w:rsidR="00FF41A0">
        <w:rPr>
          <w:sz w:val="20"/>
          <w:szCs w:val="20"/>
        </w:rPr>
        <w:t xml:space="preserve"> </w:t>
      </w:r>
      <w:r w:rsidR="00323457" w:rsidRPr="0059638B">
        <w:rPr>
          <w:sz w:val="20"/>
          <w:szCs w:val="20"/>
        </w:rPr>
        <w:t>Mohamat,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Mr.</w:t>
      </w:r>
      <w:r w:rsidR="00FF41A0">
        <w:rPr>
          <w:sz w:val="20"/>
          <w:szCs w:val="20"/>
        </w:rPr>
        <w:t xml:space="preserve"> </w:t>
      </w:r>
      <w:r w:rsidR="00323457" w:rsidRPr="0059638B">
        <w:rPr>
          <w:sz w:val="20"/>
          <w:szCs w:val="20"/>
        </w:rPr>
        <w:t>Mathias</w:t>
      </w:r>
      <w:r w:rsidR="00FF41A0">
        <w:rPr>
          <w:sz w:val="20"/>
          <w:szCs w:val="20"/>
        </w:rPr>
        <w:t xml:space="preserve"> </w:t>
      </w:r>
      <w:r w:rsidR="00323457" w:rsidRPr="0059638B">
        <w:rPr>
          <w:sz w:val="20"/>
          <w:szCs w:val="20"/>
        </w:rPr>
        <w:t>Tsarsi.</w:t>
      </w:r>
    </w:p>
    <w:p w14:paraId="7B902EA9" w14:textId="3D702A9F" w:rsidR="00323457" w:rsidRPr="0059638B" w:rsidRDefault="0035721D" w:rsidP="00323457">
      <w:pPr>
        <w:pStyle w:val="SingleTxtG"/>
        <w:rPr>
          <w:sz w:val="20"/>
          <w:szCs w:val="20"/>
        </w:rPr>
      </w:pPr>
      <w:r>
        <w:rPr>
          <w:sz w:val="20"/>
          <w:szCs w:val="20"/>
        </w:rPr>
        <w:lastRenderedPageBreak/>
        <w:t>809</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Association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World</w:t>
      </w:r>
      <w:r w:rsidR="00FF41A0">
        <w:rPr>
          <w:sz w:val="20"/>
          <w:szCs w:val="20"/>
        </w:rPr>
        <w:t xml:space="preserve"> </w:t>
      </w:r>
      <w:r w:rsidR="00323457" w:rsidRPr="0059638B">
        <w:rPr>
          <w:sz w:val="20"/>
          <w:szCs w:val="20"/>
        </w:rPr>
        <w:t>Citizens</w:t>
      </w:r>
      <w:r w:rsidR="00FF41A0">
        <w:rPr>
          <w:sz w:val="20"/>
          <w:szCs w:val="20"/>
        </w:rPr>
        <w:t xml:space="preserve"> </w:t>
      </w:r>
      <w:r w:rsidR="00323457" w:rsidRPr="0059638B">
        <w:rPr>
          <w:sz w:val="20"/>
          <w:szCs w:val="20"/>
        </w:rPr>
        <w:t>referred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high</w:t>
      </w:r>
      <w:r w:rsidR="00FF41A0">
        <w:rPr>
          <w:sz w:val="20"/>
          <w:szCs w:val="20"/>
        </w:rPr>
        <w:t xml:space="preserve"> </w:t>
      </w:r>
      <w:r w:rsidR="00323457" w:rsidRPr="0059638B">
        <w:rPr>
          <w:sz w:val="20"/>
          <w:szCs w:val="20"/>
        </w:rPr>
        <w:t>number</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refugees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Chad,</w:t>
      </w:r>
      <w:r w:rsidR="00FF41A0">
        <w:rPr>
          <w:sz w:val="20"/>
          <w:szCs w:val="20"/>
        </w:rPr>
        <w:t xml:space="preserve"> </w:t>
      </w:r>
      <w:r w:rsidR="00323457" w:rsidRPr="0059638B">
        <w:rPr>
          <w:sz w:val="20"/>
          <w:szCs w:val="20"/>
        </w:rPr>
        <w:t>who</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fled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Sudan,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concerned</w:t>
      </w:r>
      <w:r w:rsidR="00FF41A0">
        <w:rPr>
          <w:sz w:val="20"/>
          <w:szCs w:val="20"/>
        </w:rPr>
        <w:t xml:space="preserve"> </w:t>
      </w:r>
      <w:r w:rsidR="00323457" w:rsidRPr="0059638B">
        <w:rPr>
          <w:sz w:val="20"/>
          <w:szCs w:val="20"/>
        </w:rPr>
        <w:t>about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security</w:t>
      </w:r>
      <w:r w:rsidR="00FF41A0">
        <w:rPr>
          <w:sz w:val="20"/>
          <w:szCs w:val="20"/>
        </w:rPr>
        <w:t xml:space="preserve"> </w:t>
      </w:r>
      <w:r w:rsidR="00323457" w:rsidRPr="0059638B">
        <w:rPr>
          <w:sz w:val="20"/>
          <w:szCs w:val="20"/>
        </w:rPr>
        <w:t>situation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refugee</w:t>
      </w:r>
      <w:r w:rsidR="00FF41A0">
        <w:rPr>
          <w:sz w:val="20"/>
          <w:szCs w:val="20"/>
        </w:rPr>
        <w:t xml:space="preserve"> </w:t>
      </w:r>
      <w:r w:rsidR="00323457" w:rsidRPr="0059638B">
        <w:rPr>
          <w:sz w:val="20"/>
          <w:szCs w:val="20"/>
        </w:rPr>
        <w:t>camps</w:t>
      </w:r>
      <w:r w:rsidR="00FF41A0">
        <w:rPr>
          <w:sz w:val="20"/>
          <w:szCs w:val="20"/>
        </w:rPr>
        <w:t xml:space="preserve"> </w:t>
      </w:r>
      <w:r w:rsidR="00323457" w:rsidRPr="0059638B">
        <w:rPr>
          <w:sz w:val="20"/>
          <w:szCs w:val="20"/>
        </w:rPr>
        <w:t>where</w:t>
      </w:r>
      <w:r w:rsidR="00FF41A0">
        <w:rPr>
          <w:sz w:val="20"/>
          <w:szCs w:val="20"/>
        </w:rPr>
        <w:t xml:space="preserve"> </w:t>
      </w:r>
      <w:r w:rsidR="00323457" w:rsidRPr="0059638B">
        <w:rPr>
          <w:sz w:val="20"/>
          <w:szCs w:val="20"/>
        </w:rPr>
        <w:t>two</w:t>
      </w:r>
      <w:r w:rsidR="00FF41A0">
        <w:rPr>
          <w:sz w:val="20"/>
          <w:szCs w:val="20"/>
        </w:rPr>
        <w:t xml:space="preserve"> </w:t>
      </w:r>
      <w:r w:rsidR="00323457" w:rsidRPr="0059638B">
        <w:rPr>
          <w:sz w:val="20"/>
          <w:szCs w:val="20"/>
        </w:rPr>
        <w:t>heads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camps</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killed.</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asked</w:t>
      </w:r>
      <w:r w:rsidR="00FF41A0">
        <w:rPr>
          <w:sz w:val="20"/>
          <w:szCs w:val="20"/>
        </w:rPr>
        <w:t xml:space="preserve"> </w:t>
      </w:r>
      <w:r w:rsidR="00323457" w:rsidRPr="0059638B">
        <w:rPr>
          <w:sz w:val="20"/>
          <w:szCs w:val="20"/>
        </w:rPr>
        <w:t>whether</w:t>
      </w:r>
      <w:r w:rsidR="00FF41A0">
        <w:rPr>
          <w:sz w:val="20"/>
          <w:szCs w:val="20"/>
        </w:rPr>
        <w:t xml:space="preserve"> </w:t>
      </w:r>
      <w:r w:rsidR="00323457" w:rsidRPr="0059638B">
        <w:rPr>
          <w:sz w:val="20"/>
          <w:szCs w:val="20"/>
        </w:rPr>
        <w:t>measures</w:t>
      </w:r>
      <w:r w:rsidR="00FF41A0">
        <w:rPr>
          <w:sz w:val="20"/>
          <w:szCs w:val="20"/>
        </w:rPr>
        <w:t xml:space="preserve"> </w:t>
      </w:r>
      <w:r w:rsidR="00323457" w:rsidRPr="0059638B">
        <w:rPr>
          <w:sz w:val="20"/>
          <w:szCs w:val="20"/>
        </w:rPr>
        <w:t>could</w:t>
      </w:r>
      <w:r w:rsidR="00FF41A0">
        <w:rPr>
          <w:sz w:val="20"/>
          <w:szCs w:val="20"/>
        </w:rPr>
        <w:t xml:space="preserve"> </w:t>
      </w:r>
      <w:r w:rsidR="00323457" w:rsidRPr="0059638B">
        <w:rPr>
          <w:sz w:val="20"/>
          <w:szCs w:val="20"/>
        </w:rPr>
        <w:t>be</w:t>
      </w:r>
      <w:r w:rsidR="00FF41A0">
        <w:rPr>
          <w:sz w:val="20"/>
          <w:szCs w:val="20"/>
        </w:rPr>
        <w:t xml:space="preserve"> </w:t>
      </w:r>
      <w:r w:rsidR="00323457" w:rsidRPr="0059638B">
        <w:rPr>
          <w:sz w:val="20"/>
          <w:szCs w:val="20"/>
        </w:rPr>
        <w:t>taken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prevent</w:t>
      </w:r>
      <w:r w:rsidR="00FF41A0">
        <w:rPr>
          <w:sz w:val="20"/>
          <w:szCs w:val="20"/>
        </w:rPr>
        <w:t xml:space="preserve"> </w:t>
      </w:r>
      <w:r w:rsidR="00323457" w:rsidRPr="0059638B">
        <w:rPr>
          <w:sz w:val="20"/>
          <w:szCs w:val="20"/>
        </w:rPr>
        <w:t>further</w:t>
      </w:r>
      <w:r w:rsidR="00FF41A0">
        <w:rPr>
          <w:sz w:val="20"/>
          <w:szCs w:val="20"/>
        </w:rPr>
        <w:t xml:space="preserve"> </w:t>
      </w:r>
      <w:r w:rsidR="00323457" w:rsidRPr="0059638B">
        <w:rPr>
          <w:sz w:val="20"/>
          <w:szCs w:val="20"/>
        </w:rPr>
        <w:t>attacks.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raised</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concern</w:t>
      </w:r>
      <w:r w:rsidR="00FF41A0">
        <w:rPr>
          <w:sz w:val="20"/>
          <w:szCs w:val="20"/>
        </w:rPr>
        <w:t xml:space="preserve"> </w:t>
      </w:r>
      <w:r w:rsidR="00323457" w:rsidRPr="0059638B">
        <w:rPr>
          <w:sz w:val="20"/>
          <w:szCs w:val="20"/>
        </w:rPr>
        <w:t>about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situation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preventive</w:t>
      </w:r>
      <w:r w:rsidR="00FF41A0">
        <w:rPr>
          <w:sz w:val="20"/>
          <w:szCs w:val="20"/>
        </w:rPr>
        <w:t xml:space="preserve"> </w:t>
      </w:r>
      <w:r w:rsidR="00323457" w:rsidRPr="0059638B">
        <w:rPr>
          <w:sz w:val="20"/>
          <w:szCs w:val="20"/>
        </w:rPr>
        <w:t>health</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elderly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suggested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employment</w:t>
      </w:r>
      <w:r w:rsidR="00FF41A0">
        <w:rPr>
          <w:sz w:val="20"/>
          <w:szCs w:val="20"/>
        </w:rPr>
        <w:t xml:space="preserve"> </w:t>
      </w:r>
      <w:r w:rsidR="00323457" w:rsidRPr="0059638B">
        <w:rPr>
          <w:sz w:val="20"/>
          <w:szCs w:val="20"/>
        </w:rPr>
        <w:t>medical</w:t>
      </w:r>
      <w:r w:rsidR="00FF41A0">
        <w:rPr>
          <w:sz w:val="20"/>
          <w:szCs w:val="20"/>
        </w:rPr>
        <w:t xml:space="preserve"> </w:t>
      </w:r>
      <w:r w:rsidR="00323457" w:rsidRPr="0059638B">
        <w:rPr>
          <w:sz w:val="20"/>
          <w:szCs w:val="20"/>
        </w:rPr>
        <w:t>students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revert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situation.</w:t>
      </w:r>
      <w:r w:rsidR="00FF41A0">
        <w:rPr>
          <w:sz w:val="20"/>
          <w:szCs w:val="20"/>
        </w:rPr>
        <w:t xml:space="preserve"> </w:t>
      </w:r>
    </w:p>
    <w:p w14:paraId="655B05B3" w14:textId="3AC76141" w:rsidR="00323457" w:rsidRPr="0059638B" w:rsidRDefault="00323457" w:rsidP="00323457">
      <w:pPr>
        <w:pStyle w:val="H23G"/>
        <w:ind w:left="705" w:firstLine="0"/>
        <w:rPr>
          <w:sz w:val="20"/>
          <w:szCs w:val="20"/>
        </w:rPr>
      </w:pPr>
      <w:r w:rsidRPr="0059638B">
        <w:rPr>
          <w:sz w:val="20"/>
          <w:szCs w:val="20"/>
        </w:rPr>
        <w:t>4.</w:t>
      </w:r>
      <w:r w:rsidRPr="0059638B">
        <w:rPr>
          <w:sz w:val="20"/>
          <w:szCs w:val="20"/>
        </w:rPr>
        <w:tab/>
        <w:t>Concluding</w:t>
      </w:r>
      <w:r w:rsidR="00FF41A0">
        <w:rPr>
          <w:sz w:val="20"/>
          <w:szCs w:val="20"/>
        </w:rPr>
        <w:t xml:space="preserve"> </w:t>
      </w:r>
      <w:r w:rsidRPr="0059638B">
        <w:rPr>
          <w:sz w:val="20"/>
          <w:szCs w:val="20"/>
        </w:rPr>
        <w:t>remarks</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State</w:t>
      </w:r>
      <w:r w:rsidR="00FF41A0">
        <w:rPr>
          <w:sz w:val="20"/>
          <w:szCs w:val="20"/>
        </w:rPr>
        <w:t xml:space="preserve"> </w:t>
      </w:r>
      <w:r w:rsidRPr="0059638B">
        <w:rPr>
          <w:sz w:val="20"/>
          <w:szCs w:val="20"/>
        </w:rPr>
        <w:t>under</w:t>
      </w:r>
      <w:r w:rsidR="00FF41A0">
        <w:rPr>
          <w:sz w:val="20"/>
          <w:szCs w:val="20"/>
        </w:rPr>
        <w:t xml:space="preserve"> </w:t>
      </w:r>
      <w:r w:rsidRPr="0059638B">
        <w:rPr>
          <w:sz w:val="20"/>
          <w:szCs w:val="20"/>
        </w:rPr>
        <w:t>review</w:t>
      </w:r>
    </w:p>
    <w:p w14:paraId="6FF68B0D" w14:textId="4C469CA1" w:rsidR="00323457" w:rsidRPr="0059638B" w:rsidRDefault="0035721D" w:rsidP="00323457">
      <w:pPr>
        <w:pStyle w:val="SingleTxtG"/>
        <w:rPr>
          <w:sz w:val="20"/>
          <w:szCs w:val="20"/>
        </w:rPr>
      </w:pPr>
      <w:r>
        <w:rPr>
          <w:sz w:val="20"/>
          <w:szCs w:val="20"/>
        </w:rPr>
        <w:t>810</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President</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based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information</w:t>
      </w:r>
      <w:r w:rsidR="00FF41A0">
        <w:rPr>
          <w:sz w:val="20"/>
          <w:szCs w:val="20"/>
        </w:rPr>
        <w:t xml:space="preserve"> </w:t>
      </w:r>
      <w:r w:rsidR="00323457" w:rsidRPr="0059638B">
        <w:rPr>
          <w:sz w:val="20"/>
          <w:szCs w:val="20"/>
        </w:rPr>
        <w:t>provided,</w:t>
      </w:r>
      <w:r w:rsidR="00FF41A0">
        <w:rPr>
          <w:sz w:val="20"/>
          <w:szCs w:val="20"/>
        </w:rPr>
        <w:t xml:space="preserve"> </w:t>
      </w:r>
      <w:r w:rsidR="00323457" w:rsidRPr="0059638B">
        <w:rPr>
          <w:sz w:val="20"/>
          <w:szCs w:val="20"/>
        </w:rPr>
        <w:t>out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204</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received,</w:t>
      </w:r>
      <w:r w:rsidR="00FF41A0">
        <w:rPr>
          <w:sz w:val="20"/>
          <w:szCs w:val="20"/>
        </w:rPr>
        <w:t xml:space="preserve"> </w:t>
      </w:r>
      <w:r w:rsidR="00323457" w:rsidRPr="0059638B">
        <w:rPr>
          <w:sz w:val="20"/>
          <w:szCs w:val="20"/>
        </w:rPr>
        <w:t>195</w:t>
      </w:r>
      <w:r w:rsidR="00FF41A0">
        <w:rPr>
          <w:sz w:val="20"/>
          <w:szCs w:val="20"/>
        </w:rPr>
        <w:t xml:space="preserve"> </w:t>
      </w:r>
      <w:r w:rsidR="00323457" w:rsidRPr="0059638B">
        <w:rPr>
          <w:sz w:val="20"/>
          <w:szCs w:val="20"/>
        </w:rPr>
        <w:t>enjoyed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support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Chad</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nine</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noted.</w:t>
      </w:r>
    </w:p>
    <w:p w14:paraId="6041688F" w14:textId="08F60128" w:rsidR="00323457" w:rsidRPr="0059638B" w:rsidRDefault="0035721D" w:rsidP="00323457">
      <w:pPr>
        <w:pStyle w:val="SingleTxtG"/>
        <w:rPr>
          <w:sz w:val="20"/>
          <w:szCs w:val="20"/>
          <w:lang w:val="en"/>
        </w:rPr>
      </w:pPr>
      <w:r>
        <w:rPr>
          <w:sz w:val="20"/>
          <w:szCs w:val="20"/>
          <w:lang w:val="en"/>
        </w:rPr>
        <w:t>811</w:t>
      </w:r>
      <w:r w:rsidR="00D7475F">
        <w:rPr>
          <w:sz w:val="20"/>
          <w:szCs w:val="20"/>
          <w:lang w:val="en"/>
        </w:rPr>
        <w:t>.</w:t>
      </w:r>
      <w:r w:rsidR="00D7475F">
        <w:rPr>
          <w:sz w:val="20"/>
          <w:szCs w:val="20"/>
          <w:lang w:val="en"/>
        </w:rPr>
        <w:tab/>
      </w:r>
      <w:r w:rsidR="00323457" w:rsidRPr="0059638B">
        <w:rPr>
          <w:sz w:val="20"/>
          <w:szCs w:val="20"/>
          <w:lang w:val="en"/>
        </w:rPr>
        <w:t>The</w:t>
      </w:r>
      <w:r w:rsidR="00FF41A0">
        <w:rPr>
          <w:sz w:val="20"/>
          <w:szCs w:val="20"/>
          <w:lang w:val="en"/>
        </w:rPr>
        <w:t xml:space="preserve"> </w:t>
      </w:r>
      <w:r w:rsidR="00323457" w:rsidRPr="0059638B">
        <w:rPr>
          <w:sz w:val="20"/>
          <w:szCs w:val="20"/>
          <w:lang w:val="en"/>
        </w:rPr>
        <w:t>Minister</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Justice</w:t>
      </w:r>
      <w:r w:rsidR="00FF41A0">
        <w:rPr>
          <w:sz w:val="20"/>
          <w:szCs w:val="20"/>
          <w:lang w:val="en"/>
        </w:rPr>
        <w:t xml:space="preserve"> </w:t>
      </w:r>
      <w:r w:rsidR="00323457" w:rsidRPr="0059638B">
        <w:rPr>
          <w:sz w:val="20"/>
          <w:szCs w:val="20"/>
          <w:lang w:val="en"/>
        </w:rPr>
        <w:t>in</w:t>
      </w:r>
      <w:r w:rsidR="00FF41A0">
        <w:rPr>
          <w:sz w:val="20"/>
          <w:szCs w:val="20"/>
          <w:lang w:val="en"/>
        </w:rPr>
        <w:t xml:space="preserve"> </w:t>
      </w:r>
      <w:r w:rsidR="00323457" w:rsidRPr="0059638B">
        <w:rPr>
          <w:sz w:val="20"/>
          <w:szCs w:val="20"/>
          <w:lang w:val="en"/>
        </w:rPr>
        <w:t>charge</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Human</w:t>
      </w:r>
      <w:r w:rsidR="00FF41A0">
        <w:rPr>
          <w:sz w:val="20"/>
          <w:szCs w:val="20"/>
          <w:lang w:val="en"/>
        </w:rPr>
        <w:t xml:space="preserve"> </w:t>
      </w:r>
      <w:r w:rsidR="00323457" w:rsidRPr="0059638B">
        <w:rPr>
          <w:sz w:val="20"/>
          <w:szCs w:val="20"/>
          <w:lang w:val="en"/>
        </w:rPr>
        <w:t>Rights</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Republic</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Chad,</w:t>
      </w:r>
      <w:r w:rsidR="00FF41A0">
        <w:rPr>
          <w:sz w:val="20"/>
          <w:szCs w:val="20"/>
          <w:lang w:val="en"/>
        </w:rPr>
        <w:t xml:space="preserve"> </w:t>
      </w:r>
      <w:r w:rsidR="00323457" w:rsidRPr="0059638B">
        <w:rPr>
          <w:sz w:val="20"/>
          <w:szCs w:val="20"/>
          <w:lang w:val="en"/>
        </w:rPr>
        <w:t>Mr.</w:t>
      </w:r>
      <w:r w:rsidR="00FF41A0">
        <w:rPr>
          <w:sz w:val="20"/>
          <w:szCs w:val="20"/>
          <w:lang w:val="en"/>
        </w:rPr>
        <w:t xml:space="preserve"> </w:t>
      </w:r>
      <w:r w:rsidR="00323457" w:rsidRPr="0059638B">
        <w:rPr>
          <w:sz w:val="20"/>
          <w:szCs w:val="20"/>
          <w:lang w:val="en"/>
        </w:rPr>
        <w:t>Djimet</w:t>
      </w:r>
      <w:r w:rsidR="00FF41A0">
        <w:rPr>
          <w:sz w:val="20"/>
          <w:szCs w:val="20"/>
          <w:lang w:val="en"/>
        </w:rPr>
        <w:t xml:space="preserve"> </w:t>
      </w:r>
      <w:r w:rsidR="00323457" w:rsidRPr="0059638B">
        <w:rPr>
          <w:sz w:val="20"/>
          <w:szCs w:val="20"/>
          <w:lang w:val="en"/>
        </w:rPr>
        <w:t>Arabi,</w:t>
      </w:r>
      <w:r w:rsidR="00FF41A0">
        <w:rPr>
          <w:sz w:val="20"/>
          <w:szCs w:val="20"/>
          <w:lang w:val="en"/>
        </w:rPr>
        <w:t xml:space="preserve"> </w:t>
      </w:r>
      <w:r w:rsidR="00323457" w:rsidRPr="0059638B">
        <w:rPr>
          <w:sz w:val="20"/>
          <w:szCs w:val="20"/>
          <w:lang w:val="en"/>
        </w:rPr>
        <w:t>provided</w:t>
      </w:r>
      <w:r w:rsidR="00FF41A0">
        <w:rPr>
          <w:sz w:val="20"/>
          <w:szCs w:val="20"/>
          <w:lang w:val="en"/>
        </w:rPr>
        <w:t xml:space="preserve"> </w:t>
      </w:r>
      <w:r w:rsidR="00323457" w:rsidRPr="0059638B">
        <w:rPr>
          <w:sz w:val="20"/>
          <w:szCs w:val="20"/>
          <w:lang w:val="en"/>
        </w:rPr>
        <w:t>additional</w:t>
      </w:r>
      <w:r w:rsidR="00FF41A0">
        <w:rPr>
          <w:sz w:val="20"/>
          <w:szCs w:val="20"/>
          <w:lang w:val="en"/>
        </w:rPr>
        <w:t xml:space="preserve"> </w:t>
      </w:r>
      <w:r w:rsidR="00323457" w:rsidRPr="0059638B">
        <w:rPr>
          <w:sz w:val="20"/>
          <w:szCs w:val="20"/>
          <w:lang w:val="en"/>
        </w:rPr>
        <w:t>clarifications</w:t>
      </w:r>
      <w:r w:rsidR="00FF41A0">
        <w:rPr>
          <w:sz w:val="20"/>
          <w:szCs w:val="20"/>
          <w:lang w:val="en"/>
        </w:rPr>
        <w:t xml:space="preserve"> </w:t>
      </w:r>
      <w:r w:rsidR="00323457" w:rsidRPr="0059638B">
        <w:rPr>
          <w:sz w:val="20"/>
          <w:szCs w:val="20"/>
          <w:lang w:val="en"/>
        </w:rPr>
        <w:t>on</w:t>
      </w:r>
      <w:r w:rsidR="00FF41A0">
        <w:rPr>
          <w:sz w:val="20"/>
          <w:szCs w:val="20"/>
          <w:lang w:val="en"/>
        </w:rPr>
        <w:t xml:space="preserve"> </w:t>
      </w:r>
      <w:r w:rsidR="00323457" w:rsidRPr="0059638B">
        <w:rPr>
          <w:sz w:val="20"/>
          <w:szCs w:val="20"/>
          <w:lang w:val="en"/>
        </w:rPr>
        <w:t>issues</w:t>
      </w:r>
      <w:r w:rsidR="00FF41A0">
        <w:rPr>
          <w:sz w:val="20"/>
          <w:szCs w:val="20"/>
          <w:lang w:val="en"/>
        </w:rPr>
        <w:t xml:space="preserve"> </w:t>
      </w:r>
      <w:r w:rsidR="00323457" w:rsidRPr="0059638B">
        <w:rPr>
          <w:sz w:val="20"/>
          <w:szCs w:val="20"/>
          <w:lang w:val="en"/>
        </w:rPr>
        <w:t>raised</w:t>
      </w:r>
      <w:r w:rsidR="00FF41A0">
        <w:rPr>
          <w:sz w:val="20"/>
          <w:szCs w:val="20"/>
          <w:lang w:val="en"/>
        </w:rPr>
        <w:t xml:space="preserve"> </w:t>
      </w:r>
      <w:r w:rsidR="00323457" w:rsidRPr="0059638B">
        <w:rPr>
          <w:sz w:val="20"/>
          <w:szCs w:val="20"/>
          <w:lang w:val="en"/>
        </w:rPr>
        <w:t>by</w:t>
      </w:r>
      <w:r w:rsidR="00FF41A0">
        <w:rPr>
          <w:sz w:val="20"/>
          <w:szCs w:val="20"/>
          <w:lang w:val="en"/>
        </w:rPr>
        <w:t xml:space="preserve"> </w:t>
      </w:r>
      <w:r w:rsidR="00323457" w:rsidRPr="0059638B">
        <w:rPr>
          <w:sz w:val="20"/>
          <w:szCs w:val="20"/>
          <w:lang w:val="en"/>
        </w:rPr>
        <w:t>various</w:t>
      </w:r>
      <w:r w:rsidR="00FF41A0">
        <w:rPr>
          <w:sz w:val="20"/>
          <w:szCs w:val="20"/>
          <w:lang w:val="en"/>
        </w:rPr>
        <w:t xml:space="preserve"> </w:t>
      </w:r>
      <w:r w:rsidR="00323457" w:rsidRPr="0059638B">
        <w:rPr>
          <w:sz w:val="20"/>
          <w:szCs w:val="20"/>
          <w:lang w:val="en"/>
        </w:rPr>
        <w:t>stakeholders.</w:t>
      </w:r>
      <w:r w:rsidR="00FF41A0">
        <w:rPr>
          <w:sz w:val="20"/>
          <w:szCs w:val="20"/>
          <w:lang w:val="en"/>
        </w:rPr>
        <w:t xml:space="preserve"> </w:t>
      </w:r>
    </w:p>
    <w:p w14:paraId="48551316" w14:textId="4C4FA465" w:rsidR="00323457" w:rsidRPr="0059638B" w:rsidRDefault="0035721D" w:rsidP="00323457">
      <w:pPr>
        <w:pStyle w:val="SingleTxtG"/>
        <w:rPr>
          <w:sz w:val="20"/>
          <w:szCs w:val="20"/>
          <w:lang w:val="en" w:eastAsia="en-GB"/>
        </w:rPr>
      </w:pPr>
      <w:r>
        <w:rPr>
          <w:sz w:val="20"/>
          <w:szCs w:val="20"/>
          <w:lang w:val="en" w:eastAsia="en-GB"/>
        </w:rPr>
        <w:t>812</w:t>
      </w:r>
      <w:r w:rsidR="00D7475F">
        <w:rPr>
          <w:sz w:val="20"/>
          <w:szCs w:val="20"/>
          <w:lang w:val="en" w:eastAsia="en-GB"/>
        </w:rPr>
        <w:t>.</w:t>
      </w:r>
      <w:r w:rsidR="00D7475F">
        <w:rPr>
          <w:sz w:val="20"/>
          <w:szCs w:val="20"/>
          <w:lang w:val="en" w:eastAsia="en-GB"/>
        </w:rPr>
        <w:tab/>
      </w:r>
      <w:r w:rsidR="00323457" w:rsidRPr="0059638B">
        <w:rPr>
          <w:sz w:val="20"/>
          <w:szCs w:val="20"/>
          <w:lang w:val="en" w:eastAsia="en-GB"/>
        </w:rPr>
        <w:t>With</w:t>
      </w:r>
      <w:r w:rsidR="00FF41A0">
        <w:rPr>
          <w:sz w:val="20"/>
          <w:szCs w:val="20"/>
          <w:lang w:val="en" w:eastAsia="en-GB"/>
        </w:rPr>
        <w:t xml:space="preserve"> </w:t>
      </w:r>
      <w:r w:rsidR="00323457" w:rsidRPr="0059638B">
        <w:rPr>
          <w:sz w:val="20"/>
          <w:szCs w:val="20"/>
          <w:lang w:val="en" w:eastAsia="en-GB"/>
        </w:rPr>
        <w:t>regard</w:t>
      </w:r>
      <w:r w:rsidR="00FF41A0">
        <w:rPr>
          <w:sz w:val="20"/>
          <w:szCs w:val="20"/>
          <w:lang w:val="en" w:eastAsia="en-GB"/>
        </w:rPr>
        <w:t xml:space="preserve"> </w:t>
      </w:r>
      <w:r w:rsidR="00323457" w:rsidRPr="0059638B">
        <w:rPr>
          <w:sz w:val="20"/>
          <w:szCs w:val="20"/>
          <w:lang w:val="en" w:eastAsia="en-GB"/>
        </w:rPr>
        <w:t>to</w:t>
      </w:r>
      <w:r w:rsidR="00FF41A0">
        <w:rPr>
          <w:sz w:val="20"/>
          <w:szCs w:val="20"/>
          <w:lang w:val="en" w:eastAsia="en-GB"/>
        </w:rPr>
        <w:t xml:space="preserve"> </w:t>
      </w:r>
      <w:r w:rsidR="00323457" w:rsidRPr="0059638B">
        <w:rPr>
          <w:sz w:val="20"/>
          <w:szCs w:val="20"/>
          <w:lang w:val="en" w:eastAsia="en-GB"/>
        </w:rPr>
        <w:t>the</w:t>
      </w:r>
      <w:r w:rsidR="00FF41A0">
        <w:rPr>
          <w:sz w:val="20"/>
          <w:szCs w:val="20"/>
          <w:lang w:val="en" w:eastAsia="en-GB"/>
        </w:rPr>
        <w:t xml:space="preserve"> </w:t>
      </w:r>
      <w:r w:rsidR="00323457" w:rsidRPr="0059638B">
        <w:rPr>
          <w:sz w:val="20"/>
          <w:szCs w:val="20"/>
          <w:lang w:val="en" w:eastAsia="en-GB"/>
        </w:rPr>
        <w:t>prohibition</w:t>
      </w:r>
      <w:r w:rsidR="00FF41A0">
        <w:rPr>
          <w:sz w:val="20"/>
          <w:szCs w:val="20"/>
          <w:lang w:val="en" w:eastAsia="en-GB"/>
        </w:rPr>
        <w:t xml:space="preserve"> </w:t>
      </w:r>
      <w:r w:rsidR="00323457" w:rsidRPr="0059638B">
        <w:rPr>
          <w:sz w:val="20"/>
          <w:szCs w:val="20"/>
          <w:lang w:val="en" w:eastAsia="en-GB"/>
        </w:rPr>
        <w:t>of</w:t>
      </w:r>
      <w:r w:rsidR="00FF41A0">
        <w:rPr>
          <w:sz w:val="20"/>
          <w:szCs w:val="20"/>
          <w:lang w:val="en" w:eastAsia="en-GB"/>
        </w:rPr>
        <w:t xml:space="preserve"> </w:t>
      </w:r>
      <w:r w:rsidR="00323457" w:rsidRPr="0059638B">
        <w:rPr>
          <w:sz w:val="20"/>
          <w:szCs w:val="20"/>
          <w:lang w:val="en" w:eastAsia="en-GB"/>
        </w:rPr>
        <w:t>demonstrations,</w:t>
      </w:r>
      <w:r w:rsidR="00FF41A0">
        <w:rPr>
          <w:sz w:val="20"/>
          <w:szCs w:val="20"/>
          <w:lang w:val="en" w:eastAsia="en-GB"/>
        </w:rPr>
        <w:t xml:space="preserve"> </w:t>
      </w:r>
      <w:r w:rsidR="00323457" w:rsidRPr="0059638B">
        <w:rPr>
          <w:sz w:val="20"/>
          <w:szCs w:val="20"/>
          <w:lang w:val="en" w:eastAsia="en-GB"/>
        </w:rPr>
        <w:t>he</w:t>
      </w:r>
      <w:r w:rsidR="00FF41A0">
        <w:rPr>
          <w:sz w:val="20"/>
          <w:szCs w:val="20"/>
          <w:lang w:val="en" w:eastAsia="en-GB"/>
        </w:rPr>
        <w:t xml:space="preserve"> </w:t>
      </w:r>
      <w:r w:rsidR="00323457" w:rsidRPr="0059638B">
        <w:rPr>
          <w:sz w:val="20"/>
          <w:szCs w:val="20"/>
          <w:lang w:val="en" w:eastAsia="en-GB"/>
        </w:rPr>
        <w:t>stated</w:t>
      </w:r>
      <w:r w:rsidR="00FF41A0">
        <w:rPr>
          <w:sz w:val="20"/>
          <w:szCs w:val="20"/>
          <w:lang w:val="en" w:eastAsia="en-GB"/>
        </w:rPr>
        <w:t xml:space="preserve"> </w:t>
      </w:r>
      <w:r w:rsidR="00323457" w:rsidRPr="0059638B">
        <w:rPr>
          <w:sz w:val="20"/>
          <w:szCs w:val="20"/>
          <w:lang w:val="en" w:eastAsia="en-GB"/>
        </w:rPr>
        <w:t>that</w:t>
      </w:r>
      <w:r w:rsidR="00FF41A0">
        <w:rPr>
          <w:sz w:val="20"/>
          <w:szCs w:val="20"/>
          <w:lang w:val="en" w:eastAsia="en-GB"/>
        </w:rPr>
        <w:t xml:space="preserve"> </w:t>
      </w:r>
      <w:r w:rsidR="00323457" w:rsidRPr="0059638B">
        <w:rPr>
          <w:sz w:val="20"/>
          <w:szCs w:val="20"/>
          <w:lang w:val="en" w:eastAsia="en-GB"/>
        </w:rPr>
        <w:t>the</w:t>
      </w:r>
      <w:r w:rsidR="00FF41A0">
        <w:rPr>
          <w:sz w:val="20"/>
          <w:szCs w:val="20"/>
          <w:lang w:val="en" w:eastAsia="en-GB"/>
        </w:rPr>
        <w:t xml:space="preserve"> </w:t>
      </w:r>
      <w:r w:rsidR="00323457" w:rsidRPr="0059638B">
        <w:rPr>
          <w:sz w:val="20"/>
          <w:szCs w:val="20"/>
          <w:lang w:val="en" w:eastAsia="en-GB"/>
        </w:rPr>
        <w:t>freedom</w:t>
      </w:r>
      <w:r w:rsidR="00FF41A0">
        <w:rPr>
          <w:sz w:val="20"/>
          <w:szCs w:val="20"/>
          <w:lang w:val="en" w:eastAsia="en-GB"/>
        </w:rPr>
        <w:t xml:space="preserve"> </w:t>
      </w:r>
      <w:r w:rsidR="00323457" w:rsidRPr="0059638B">
        <w:rPr>
          <w:sz w:val="20"/>
          <w:szCs w:val="20"/>
          <w:lang w:val="en" w:eastAsia="en-GB"/>
        </w:rPr>
        <w:t>to</w:t>
      </w:r>
      <w:r w:rsidR="00FF41A0">
        <w:rPr>
          <w:sz w:val="20"/>
          <w:szCs w:val="20"/>
          <w:lang w:val="en" w:eastAsia="en-GB"/>
        </w:rPr>
        <w:t xml:space="preserve"> </w:t>
      </w:r>
      <w:r w:rsidR="00323457" w:rsidRPr="0059638B">
        <w:rPr>
          <w:sz w:val="20"/>
          <w:szCs w:val="20"/>
          <w:lang w:val="en" w:eastAsia="en-GB"/>
        </w:rPr>
        <w:t>demonstrate</w:t>
      </w:r>
      <w:r w:rsidR="00FF41A0">
        <w:rPr>
          <w:sz w:val="20"/>
          <w:szCs w:val="20"/>
          <w:lang w:val="en" w:eastAsia="en-GB"/>
        </w:rPr>
        <w:t xml:space="preserve"> </w:t>
      </w:r>
      <w:r w:rsidR="00323457" w:rsidRPr="0059638B">
        <w:rPr>
          <w:sz w:val="20"/>
          <w:szCs w:val="20"/>
          <w:lang w:val="en" w:eastAsia="en-GB"/>
        </w:rPr>
        <w:t>is</w:t>
      </w:r>
      <w:r w:rsidR="00FF41A0">
        <w:rPr>
          <w:sz w:val="20"/>
          <w:szCs w:val="20"/>
          <w:lang w:val="en" w:eastAsia="en-GB"/>
        </w:rPr>
        <w:t xml:space="preserve"> </w:t>
      </w:r>
      <w:r w:rsidR="00323457" w:rsidRPr="0059638B">
        <w:rPr>
          <w:sz w:val="20"/>
          <w:szCs w:val="20"/>
          <w:lang w:val="en" w:eastAsia="en-GB"/>
        </w:rPr>
        <w:t>recognized</w:t>
      </w:r>
      <w:r w:rsidR="00FF41A0">
        <w:rPr>
          <w:sz w:val="20"/>
          <w:szCs w:val="20"/>
          <w:lang w:val="en" w:eastAsia="en-GB"/>
        </w:rPr>
        <w:t xml:space="preserve"> </w:t>
      </w:r>
      <w:r w:rsidR="00323457" w:rsidRPr="0059638B">
        <w:rPr>
          <w:sz w:val="20"/>
          <w:szCs w:val="20"/>
          <w:lang w:val="en" w:eastAsia="en-GB"/>
        </w:rPr>
        <w:t>as</w:t>
      </w:r>
      <w:r w:rsidR="00FF41A0">
        <w:rPr>
          <w:sz w:val="20"/>
          <w:szCs w:val="20"/>
          <w:lang w:val="en" w:eastAsia="en-GB"/>
        </w:rPr>
        <w:t xml:space="preserve"> </w:t>
      </w:r>
      <w:r w:rsidR="00323457" w:rsidRPr="0059638B">
        <w:rPr>
          <w:sz w:val="20"/>
          <w:szCs w:val="20"/>
          <w:lang w:val="en" w:eastAsia="en-GB"/>
        </w:rPr>
        <w:t>a</w:t>
      </w:r>
      <w:r w:rsidR="00FF41A0">
        <w:rPr>
          <w:sz w:val="20"/>
          <w:szCs w:val="20"/>
          <w:lang w:val="en" w:eastAsia="en-GB"/>
        </w:rPr>
        <w:t xml:space="preserve"> </w:t>
      </w:r>
      <w:r w:rsidR="00323457" w:rsidRPr="0059638B">
        <w:rPr>
          <w:sz w:val="20"/>
          <w:szCs w:val="20"/>
          <w:lang w:val="en" w:eastAsia="en-GB"/>
        </w:rPr>
        <w:t>fundamental</w:t>
      </w:r>
      <w:r w:rsidR="00FF41A0">
        <w:rPr>
          <w:sz w:val="20"/>
          <w:szCs w:val="20"/>
          <w:lang w:val="en" w:eastAsia="en-GB"/>
        </w:rPr>
        <w:t xml:space="preserve"> </w:t>
      </w:r>
      <w:r w:rsidR="00323457" w:rsidRPr="0059638B">
        <w:rPr>
          <w:sz w:val="20"/>
          <w:szCs w:val="20"/>
          <w:lang w:val="en" w:eastAsia="en-GB"/>
        </w:rPr>
        <w:t>right</w:t>
      </w:r>
      <w:r w:rsidR="00FF41A0">
        <w:rPr>
          <w:sz w:val="20"/>
          <w:szCs w:val="20"/>
          <w:lang w:val="en" w:eastAsia="en-GB"/>
        </w:rPr>
        <w:t xml:space="preserve"> </w:t>
      </w:r>
      <w:r w:rsidR="00323457" w:rsidRPr="0059638B">
        <w:rPr>
          <w:sz w:val="20"/>
          <w:szCs w:val="20"/>
          <w:lang w:val="en" w:eastAsia="en-GB"/>
        </w:rPr>
        <w:t>by</w:t>
      </w:r>
      <w:r w:rsidR="00FF41A0">
        <w:rPr>
          <w:sz w:val="20"/>
          <w:szCs w:val="20"/>
          <w:lang w:val="en" w:eastAsia="en-GB"/>
        </w:rPr>
        <w:t xml:space="preserve"> </w:t>
      </w:r>
      <w:r w:rsidR="00323457" w:rsidRPr="0059638B">
        <w:rPr>
          <w:sz w:val="20"/>
          <w:szCs w:val="20"/>
          <w:lang w:val="en" w:eastAsia="en-GB"/>
        </w:rPr>
        <w:t>the</w:t>
      </w:r>
      <w:r w:rsidR="00FF41A0">
        <w:rPr>
          <w:sz w:val="20"/>
          <w:szCs w:val="20"/>
          <w:lang w:val="en" w:eastAsia="en-GB"/>
        </w:rPr>
        <w:t xml:space="preserve"> </w:t>
      </w:r>
      <w:r w:rsidR="00323457" w:rsidRPr="0059638B">
        <w:rPr>
          <w:sz w:val="20"/>
          <w:szCs w:val="20"/>
          <w:lang w:val="en" w:eastAsia="en-GB"/>
        </w:rPr>
        <w:t>Constitution.</w:t>
      </w:r>
      <w:r w:rsidR="00FF41A0">
        <w:rPr>
          <w:sz w:val="20"/>
          <w:szCs w:val="20"/>
          <w:lang w:val="en" w:eastAsia="en-GB"/>
        </w:rPr>
        <w:t xml:space="preserve"> </w:t>
      </w:r>
      <w:r w:rsidR="00323457" w:rsidRPr="0059638B">
        <w:rPr>
          <w:sz w:val="20"/>
          <w:szCs w:val="20"/>
          <w:lang w:val="en" w:eastAsia="en-GB"/>
        </w:rPr>
        <w:t>It</w:t>
      </w:r>
      <w:r w:rsidR="00FF41A0">
        <w:rPr>
          <w:sz w:val="20"/>
          <w:szCs w:val="20"/>
          <w:lang w:val="en" w:eastAsia="en-GB"/>
        </w:rPr>
        <w:t xml:space="preserve"> </w:t>
      </w:r>
      <w:r w:rsidR="00323457" w:rsidRPr="0059638B">
        <w:rPr>
          <w:sz w:val="20"/>
          <w:szCs w:val="20"/>
          <w:lang w:val="en" w:eastAsia="en-GB"/>
        </w:rPr>
        <w:t>is</w:t>
      </w:r>
      <w:r w:rsidR="00FF41A0">
        <w:rPr>
          <w:sz w:val="20"/>
          <w:szCs w:val="20"/>
          <w:lang w:val="en" w:eastAsia="en-GB"/>
        </w:rPr>
        <w:t xml:space="preserve"> </w:t>
      </w:r>
      <w:r w:rsidR="00323457" w:rsidRPr="0059638B">
        <w:rPr>
          <w:sz w:val="20"/>
          <w:szCs w:val="20"/>
          <w:lang w:val="en" w:eastAsia="en-GB"/>
        </w:rPr>
        <w:t>rather</w:t>
      </w:r>
      <w:r w:rsidR="00FF41A0">
        <w:rPr>
          <w:sz w:val="20"/>
          <w:szCs w:val="20"/>
          <w:lang w:val="en" w:eastAsia="en-GB"/>
        </w:rPr>
        <w:t xml:space="preserve"> </w:t>
      </w:r>
      <w:r w:rsidR="00323457" w:rsidRPr="0059638B">
        <w:rPr>
          <w:sz w:val="20"/>
          <w:szCs w:val="20"/>
          <w:lang w:val="en" w:eastAsia="en-GB"/>
        </w:rPr>
        <w:t>the</w:t>
      </w:r>
      <w:r w:rsidR="00FF41A0">
        <w:rPr>
          <w:sz w:val="20"/>
          <w:szCs w:val="20"/>
          <w:lang w:val="en" w:eastAsia="en-GB"/>
        </w:rPr>
        <w:t xml:space="preserve"> </w:t>
      </w:r>
      <w:r w:rsidR="00323457" w:rsidRPr="0059638B">
        <w:rPr>
          <w:sz w:val="20"/>
          <w:szCs w:val="20"/>
          <w:lang w:val="en" w:eastAsia="en-GB"/>
        </w:rPr>
        <w:t>circumstances,</w:t>
      </w:r>
      <w:r w:rsidR="00FF41A0">
        <w:rPr>
          <w:sz w:val="20"/>
          <w:szCs w:val="20"/>
          <w:lang w:val="en" w:eastAsia="en-GB"/>
        </w:rPr>
        <w:t xml:space="preserve"> </w:t>
      </w:r>
      <w:r w:rsidR="00323457" w:rsidRPr="0059638B">
        <w:rPr>
          <w:sz w:val="20"/>
          <w:szCs w:val="20"/>
          <w:lang w:val="en" w:eastAsia="en-GB"/>
        </w:rPr>
        <w:t>which</w:t>
      </w:r>
      <w:r w:rsidR="00FF41A0">
        <w:rPr>
          <w:sz w:val="20"/>
          <w:szCs w:val="20"/>
          <w:lang w:val="en" w:eastAsia="en-GB"/>
        </w:rPr>
        <w:t xml:space="preserve"> </w:t>
      </w:r>
      <w:r w:rsidR="00323457" w:rsidRPr="0059638B">
        <w:rPr>
          <w:sz w:val="20"/>
          <w:szCs w:val="20"/>
          <w:lang w:val="en" w:eastAsia="en-GB"/>
        </w:rPr>
        <w:t>obliged</w:t>
      </w:r>
      <w:r w:rsidR="00FF41A0">
        <w:rPr>
          <w:sz w:val="20"/>
          <w:szCs w:val="20"/>
          <w:lang w:val="en" w:eastAsia="en-GB"/>
        </w:rPr>
        <w:t xml:space="preserve"> </w:t>
      </w:r>
      <w:r w:rsidR="00323457" w:rsidRPr="0059638B">
        <w:rPr>
          <w:sz w:val="20"/>
          <w:szCs w:val="20"/>
          <w:lang w:val="en" w:eastAsia="en-GB"/>
        </w:rPr>
        <w:t>the</w:t>
      </w:r>
      <w:r w:rsidR="00FF41A0">
        <w:rPr>
          <w:sz w:val="20"/>
          <w:szCs w:val="20"/>
          <w:lang w:val="en" w:eastAsia="en-GB"/>
        </w:rPr>
        <w:t xml:space="preserve"> </w:t>
      </w:r>
      <w:r w:rsidR="00323457" w:rsidRPr="0059638B">
        <w:rPr>
          <w:sz w:val="20"/>
          <w:szCs w:val="20"/>
          <w:lang w:val="en" w:eastAsia="en-GB"/>
        </w:rPr>
        <w:t>Government</w:t>
      </w:r>
      <w:r w:rsidR="00FF41A0">
        <w:rPr>
          <w:sz w:val="20"/>
          <w:szCs w:val="20"/>
          <w:lang w:val="en" w:eastAsia="en-GB"/>
        </w:rPr>
        <w:t xml:space="preserve"> </w:t>
      </w:r>
      <w:r w:rsidR="00323457" w:rsidRPr="0059638B">
        <w:rPr>
          <w:sz w:val="20"/>
          <w:szCs w:val="20"/>
          <w:lang w:val="en" w:eastAsia="en-GB"/>
        </w:rPr>
        <w:t>to</w:t>
      </w:r>
      <w:r w:rsidR="00FF41A0">
        <w:rPr>
          <w:sz w:val="20"/>
          <w:szCs w:val="20"/>
          <w:lang w:val="en" w:eastAsia="en-GB"/>
        </w:rPr>
        <w:t xml:space="preserve"> </w:t>
      </w:r>
      <w:r w:rsidR="00323457" w:rsidRPr="0059638B">
        <w:rPr>
          <w:sz w:val="20"/>
          <w:szCs w:val="20"/>
          <w:lang w:val="en" w:eastAsia="en-GB"/>
        </w:rPr>
        <w:t>try</w:t>
      </w:r>
      <w:r w:rsidR="00FF41A0">
        <w:rPr>
          <w:sz w:val="20"/>
          <w:szCs w:val="20"/>
          <w:lang w:val="en" w:eastAsia="en-GB"/>
        </w:rPr>
        <w:t xml:space="preserve"> </w:t>
      </w:r>
      <w:r w:rsidR="00323457" w:rsidRPr="0059638B">
        <w:rPr>
          <w:sz w:val="20"/>
          <w:szCs w:val="20"/>
          <w:lang w:val="en" w:eastAsia="en-GB"/>
        </w:rPr>
        <w:t>to</w:t>
      </w:r>
      <w:r w:rsidR="00FF41A0">
        <w:rPr>
          <w:sz w:val="20"/>
          <w:szCs w:val="20"/>
          <w:lang w:val="en" w:eastAsia="en-GB"/>
        </w:rPr>
        <w:t xml:space="preserve"> </w:t>
      </w:r>
      <w:r w:rsidR="00323457" w:rsidRPr="0059638B">
        <w:rPr>
          <w:sz w:val="20"/>
          <w:szCs w:val="20"/>
          <w:lang w:val="en" w:eastAsia="en-GB"/>
        </w:rPr>
        <w:t>limit</w:t>
      </w:r>
      <w:r w:rsidR="00FF41A0">
        <w:rPr>
          <w:sz w:val="20"/>
          <w:szCs w:val="20"/>
          <w:lang w:val="en" w:eastAsia="en-GB"/>
        </w:rPr>
        <w:t xml:space="preserve"> </w:t>
      </w:r>
      <w:r w:rsidR="00323457" w:rsidRPr="0059638B">
        <w:rPr>
          <w:sz w:val="20"/>
          <w:szCs w:val="20"/>
          <w:lang w:val="en" w:eastAsia="en-GB"/>
        </w:rPr>
        <w:t>the</w:t>
      </w:r>
      <w:r w:rsidR="00FF41A0">
        <w:rPr>
          <w:sz w:val="20"/>
          <w:szCs w:val="20"/>
          <w:lang w:val="en" w:eastAsia="en-GB"/>
        </w:rPr>
        <w:t xml:space="preserve"> </w:t>
      </w:r>
      <w:r w:rsidR="00323457" w:rsidRPr="0059638B">
        <w:rPr>
          <w:sz w:val="20"/>
          <w:szCs w:val="20"/>
          <w:lang w:val="en" w:eastAsia="en-GB"/>
        </w:rPr>
        <w:t>risks</w:t>
      </w:r>
      <w:r w:rsidR="00FF41A0">
        <w:rPr>
          <w:sz w:val="20"/>
          <w:szCs w:val="20"/>
          <w:lang w:val="en" w:eastAsia="en-GB"/>
        </w:rPr>
        <w:t xml:space="preserve"> </w:t>
      </w:r>
      <w:r w:rsidR="00323457" w:rsidRPr="0059638B">
        <w:rPr>
          <w:sz w:val="20"/>
          <w:szCs w:val="20"/>
          <w:lang w:val="en" w:eastAsia="en-GB"/>
        </w:rPr>
        <w:t>given</w:t>
      </w:r>
      <w:r w:rsidR="00FF41A0">
        <w:rPr>
          <w:sz w:val="20"/>
          <w:szCs w:val="20"/>
          <w:lang w:val="en" w:eastAsia="en-GB"/>
        </w:rPr>
        <w:t xml:space="preserve"> </w:t>
      </w:r>
      <w:r w:rsidR="00323457" w:rsidRPr="0059638B">
        <w:rPr>
          <w:sz w:val="20"/>
          <w:szCs w:val="20"/>
          <w:lang w:val="en" w:eastAsia="en-GB"/>
        </w:rPr>
        <w:t>the</w:t>
      </w:r>
      <w:r w:rsidR="00FF41A0">
        <w:rPr>
          <w:sz w:val="20"/>
          <w:szCs w:val="20"/>
          <w:lang w:val="en" w:eastAsia="en-GB"/>
        </w:rPr>
        <w:t xml:space="preserve"> </w:t>
      </w:r>
      <w:r w:rsidR="00323457" w:rsidRPr="0059638B">
        <w:rPr>
          <w:sz w:val="20"/>
          <w:szCs w:val="20"/>
          <w:lang w:val="en" w:eastAsia="en-GB"/>
        </w:rPr>
        <w:t>terrorist</w:t>
      </w:r>
      <w:r w:rsidR="00FF41A0">
        <w:rPr>
          <w:sz w:val="20"/>
          <w:szCs w:val="20"/>
          <w:lang w:val="en" w:eastAsia="en-GB"/>
        </w:rPr>
        <w:t xml:space="preserve"> </w:t>
      </w:r>
      <w:r w:rsidR="00323457" w:rsidRPr="0059638B">
        <w:rPr>
          <w:sz w:val="20"/>
          <w:szCs w:val="20"/>
          <w:lang w:val="en" w:eastAsia="en-GB"/>
        </w:rPr>
        <w:t>threat,</w:t>
      </w:r>
      <w:r w:rsidR="00FF41A0">
        <w:rPr>
          <w:sz w:val="20"/>
          <w:szCs w:val="20"/>
          <w:lang w:val="en" w:eastAsia="en-GB"/>
        </w:rPr>
        <w:t xml:space="preserve"> </w:t>
      </w:r>
      <w:r w:rsidR="00323457" w:rsidRPr="0059638B">
        <w:rPr>
          <w:sz w:val="20"/>
          <w:szCs w:val="20"/>
          <w:lang w:val="en" w:eastAsia="en-GB"/>
        </w:rPr>
        <w:t>as</w:t>
      </w:r>
      <w:r w:rsidR="00FF41A0">
        <w:rPr>
          <w:sz w:val="20"/>
          <w:szCs w:val="20"/>
          <w:lang w:val="en" w:eastAsia="en-GB"/>
        </w:rPr>
        <w:t xml:space="preserve"> </w:t>
      </w:r>
      <w:r w:rsidR="00323457" w:rsidRPr="0059638B">
        <w:rPr>
          <w:sz w:val="20"/>
          <w:szCs w:val="20"/>
          <w:lang w:val="en" w:eastAsia="en-GB"/>
        </w:rPr>
        <w:t>security</w:t>
      </w:r>
      <w:r w:rsidR="00FF41A0">
        <w:rPr>
          <w:sz w:val="20"/>
          <w:szCs w:val="20"/>
          <w:lang w:val="en" w:eastAsia="en-GB"/>
        </w:rPr>
        <w:t xml:space="preserve"> </w:t>
      </w:r>
      <w:r w:rsidR="00323457" w:rsidRPr="0059638B">
        <w:rPr>
          <w:sz w:val="20"/>
          <w:szCs w:val="20"/>
          <w:lang w:val="en" w:eastAsia="en-GB"/>
        </w:rPr>
        <w:t>can</w:t>
      </w:r>
      <w:r w:rsidR="00FF41A0">
        <w:rPr>
          <w:sz w:val="20"/>
          <w:szCs w:val="20"/>
          <w:lang w:val="en" w:eastAsia="en-GB"/>
        </w:rPr>
        <w:t xml:space="preserve"> </w:t>
      </w:r>
      <w:r w:rsidR="00323457" w:rsidRPr="0059638B">
        <w:rPr>
          <w:sz w:val="20"/>
          <w:szCs w:val="20"/>
          <w:lang w:val="en" w:eastAsia="en-GB"/>
        </w:rPr>
        <w:t>never</w:t>
      </w:r>
      <w:r w:rsidR="00FF41A0">
        <w:rPr>
          <w:sz w:val="20"/>
          <w:szCs w:val="20"/>
          <w:lang w:val="en" w:eastAsia="en-GB"/>
        </w:rPr>
        <w:t xml:space="preserve"> </w:t>
      </w:r>
      <w:r w:rsidR="00323457" w:rsidRPr="0059638B">
        <w:rPr>
          <w:sz w:val="20"/>
          <w:szCs w:val="20"/>
          <w:lang w:val="en" w:eastAsia="en-GB"/>
        </w:rPr>
        <w:t>be</w:t>
      </w:r>
      <w:r w:rsidR="00FF41A0">
        <w:rPr>
          <w:sz w:val="20"/>
          <w:szCs w:val="20"/>
          <w:lang w:val="en" w:eastAsia="en-GB"/>
        </w:rPr>
        <w:t xml:space="preserve"> </w:t>
      </w:r>
      <w:r w:rsidR="00323457" w:rsidRPr="0059638B">
        <w:rPr>
          <w:sz w:val="20"/>
          <w:szCs w:val="20"/>
          <w:lang w:val="en" w:eastAsia="en-GB"/>
        </w:rPr>
        <w:t>fully</w:t>
      </w:r>
      <w:r w:rsidR="00FF41A0">
        <w:rPr>
          <w:sz w:val="20"/>
          <w:szCs w:val="20"/>
          <w:lang w:val="en" w:eastAsia="en-GB"/>
        </w:rPr>
        <w:t xml:space="preserve"> </w:t>
      </w:r>
      <w:r w:rsidR="00323457" w:rsidRPr="0059638B">
        <w:rPr>
          <w:sz w:val="20"/>
          <w:szCs w:val="20"/>
          <w:lang w:val="en" w:eastAsia="en-GB"/>
        </w:rPr>
        <w:t>assured</w:t>
      </w:r>
      <w:r w:rsidR="00FF41A0">
        <w:rPr>
          <w:sz w:val="20"/>
          <w:szCs w:val="20"/>
          <w:lang w:val="en" w:eastAsia="en-GB"/>
        </w:rPr>
        <w:t xml:space="preserve"> </w:t>
      </w:r>
      <w:r w:rsidR="00323457" w:rsidRPr="0059638B">
        <w:rPr>
          <w:sz w:val="20"/>
          <w:szCs w:val="20"/>
          <w:lang w:val="en" w:eastAsia="en-GB"/>
        </w:rPr>
        <w:t>by</w:t>
      </w:r>
      <w:r w:rsidR="00FF41A0">
        <w:rPr>
          <w:sz w:val="20"/>
          <w:szCs w:val="20"/>
          <w:lang w:val="en" w:eastAsia="en-GB"/>
        </w:rPr>
        <w:t xml:space="preserve"> </w:t>
      </w:r>
      <w:r w:rsidR="00323457" w:rsidRPr="0059638B">
        <w:rPr>
          <w:sz w:val="20"/>
          <w:szCs w:val="20"/>
          <w:lang w:val="en" w:eastAsia="en-GB"/>
        </w:rPr>
        <w:t>the</w:t>
      </w:r>
      <w:r w:rsidR="00FF41A0">
        <w:rPr>
          <w:sz w:val="20"/>
          <w:szCs w:val="20"/>
          <w:lang w:val="en" w:eastAsia="en-GB"/>
        </w:rPr>
        <w:t xml:space="preserve"> </w:t>
      </w:r>
      <w:r w:rsidR="00323457" w:rsidRPr="0059638B">
        <w:rPr>
          <w:sz w:val="20"/>
          <w:szCs w:val="20"/>
          <w:lang w:val="en" w:eastAsia="en-GB"/>
        </w:rPr>
        <w:t>demonstrators.</w:t>
      </w:r>
      <w:r w:rsidR="00FF41A0">
        <w:rPr>
          <w:sz w:val="20"/>
          <w:szCs w:val="20"/>
          <w:lang w:val="en" w:eastAsia="en-GB"/>
        </w:rPr>
        <w:t xml:space="preserve"> </w:t>
      </w:r>
    </w:p>
    <w:p w14:paraId="02CA045E" w14:textId="05B77500" w:rsidR="00323457" w:rsidRPr="0059638B" w:rsidRDefault="0035721D" w:rsidP="00323457">
      <w:pPr>
        <w:pStyle w:val="SingleTxtG"/>
        <w:rPr>
          <w:sz w:val="20"/>
          <w:szCs w:val="20"/>
          <w:lang w:val="en" w:eastAsia="en-GB"/>
        </w:rPr>
      </w:pPr>
      <w:r>
        <w:rPr>
          <w:sz w:val="20"/>
          <w:szCs w:val="20"/>
          <w:lang w:val="en" w:eastAsia="en-GB"/>
        </w:rPr>
        <w:t>813</w:t>
      </w:r>
      <w:r w:rsidR="00D7475F">
        <w:rPr>
          <w:sz w:val="20"/>
          <w:szCs w:val="20"/>
          <w:lang w:val="en" w:eastAsia="en-GB"/>
        </w:rPr>
        <w:t>.</w:t>
      </w:r>
      <w:r w:rsidR="00D7475F">
        <w:rPr>
          <w:sz w:val="20"/>
          <w:szCs w:val="20"/>
          <w:lang w:val="en" w:eastAsia="en-GB"/>
        </w:rPr>
        <w:tab/>
      </w:r>
      <w:r w:rsidR="00323457" w:rsidRPr="0059638B">
        <w:rPr>
          <w:sz w:val="20"/>
          <w:szCs w:val="20"/>
          <w:lang w:val="en" w:eastAsia="en-GB"/>
        </w:rPr>
        <w:t>On</w:t>
      </w:r>
      <w:r w:rsidR="00FF41A0">
        <w:rPr>
          <w:sz w:val="20"/>
          <w:szCs w:val="20"/>
          <w:lang w:val="en" w:eastAsia="en-GB"/>
        </w:rPr>
        <w:t xml:space="preserve"> </w:t>
      </w:r>
      <w:r w:rsidR="00323457" w:rsidRPr="0059638B">
        <w:rPr>
          <w:sz w:val="20"/>
          <w:szCs w:val="20"/>
          <w:lang w:val="en" w:eastAsia="en-GB"/>
        </w:rPr>
        <w:t>the</w:t>
      </w:r>
      <w:r w:rsidR="00FF41A0">
        <w:rPr>
          <w:sz w:val="20"/>
          <w:szCs w:val="20"/>
          <w:lang w:val="en" w:eastAsia="en-GB"/>
        </w:rPr>
        <w:t xml:space="preserve"> </w:t>
      </w:r>
      <w:r w:rsidR="00323457" w:rsidRPr="0059638B">
        <w:rPr>
          <w:sz w:val="20"/>
          <w:szCs w:val="20"/>
          <w:lang w:val="en" w:eastAsia="en-GB"/>
        </w:rPr>
        <w:t>cases</w:t>
      </w:r>
      <w:r w:rsidR="00FF41A0">
        <w:rPr>
          <w:sz w:val="20"/>
          <w:szCs w:val="20"/>
          <w:lang w:val="en" w:eastAsia="en-GB"/>
        </w:rPr>
        <w:t xml:space="preserve"> </w:t>
      </w:r>
      <w:r w:rsidR="00323457" w:rsidRPr="0059638B">
        <w:rPr>
          <w:sz w:val="20"/>
          <w:szCs w:val="20"/>
          <w:lang w:val="en" w:eastAsia="en-GB"/>
        </w:rPr>
        <w:t>noted</w:t>
      </w:r>
      <w:r w:rsidR="00FF41A0">
        <w:rPr>
          <w:sz w:val="20"/>
          <w:szCs w:val="20"/>
          <w:lang w:val="en" w:eastAsia="en-GB"/>
        </w:rPr>
        <w:t xml:space="preserve"> </w:t>
      </w:r>
      <w:r w:rsidR="00323457" w:rsidRPr="0059638B">
        <w:rPr>
          <w:sz w:val="20"/>
          <w:szCs w:val="20"/>
          <w:lang w:val="en" w:eastAsia="en-GB"/>
        </w:rPr>
        <w:t>by</w:t>
      </w:r>
      <w:r w:rsidR="009E3F3A">
        <w:rPr>
          <w:sz w:val="20"/>
          <w:szCs w:val="20"/>
          <w:lang w:val="en" w:eastAsia="en-GB"/>
        </w:rPr>
        <w:t xml:space="preserve"> </w:t>
      </w:r>
      <w:r w:rsidR="00323457" w:rsidRPr="0059638B">
        <w:rPr>
          <w:sz w:val="20"/>
          <w:szCs w:val="20"/>
        </w:rPr>
        <w:t>Rencontre</w:t>
      </w:r>
      <w:r w:rsidR="00FF41A0">
        <w:rPr>
          <w:sz w:val="20"/>
          <w:szCs w:val="20"/>
        </w:rPr>
        <w:t xml:space="preserve"> </w:t>
      </w:r>
      <w:r w:rsidR="00323457" w:rsidRPr="0059638B">
        <w:rPr>
          <w:sz w:val="20"/>
          <w:szCs w:val="20"/>
        </w:rPr>
        <w:t>Africaine</w:t>
      </w:r>
      <w:r w:rsidR="00FF41A0">
        <w:rPr>
          <w:sz w:val="20"/>
          <w:szCs w:val="20"/>
        </w:rPr>
        <w:t xml:space="preserve"> </w:t>
      </w:r>
      <w:r w:rsidR="00323457" w:rsidRPr="0059638B">
        <w:rPr>
          <w:sz w:val="20"/>
          <w:szCs w:val="20"/>
        </w:rPr>
        <w:t>pour</w:t>
      </w:r>
      <w:r w:rsidR="00FF41A0">
        <w:rPr>
          <w:sz w:val="20"/>
          <w:szCs w:val="20"/>
        </w:rPr>
        <w:t xml:space="preserve"> </w:t>
      </w:r>
      <w:r w:rsidR="00323457" w:rsidRPr="0059638B">
        <w:rPr>
          <w:sz w:val="20"/>
          <w:szCs w:val="20"/>
        </w:rPr>
        <w:t>la</w:t>
      </w:r>
      <w:r w:rsidR="00FF41A0">
        <w:rPr>
          <w:sz w:val="20"/>
          <w:szCs w:val="20"/>
        </w:rPr>
        <w:t xml:space="preserve"> </w:t>
      </w:r>
      <w:r w:rsidR="00323457" w:rsidRPr="0059638B">
        <w:rPr>
          <w:sz w:val="20"/>
          <w:szCs w:val="20"/>
        </w:rPr>
        <w:t>défense</w:t>
      </w:r>
      <w:r w:rsidR="00FF41A0">
        <w:rPr>
          <w:sz w:val="20"/>
          <w:szCs w:val="20"/>
        </w:rPr>
        <w:t xml:space="preserve"> </w:t>
      </w:r>
      <w:r w:rsidR="00323457" w:rsidRPr="0059638B">
        <w:rPr>
          <w:sz w:val="20"/>
          <w:szCs w:val="20"/>
        </w:rPr>
        <w:t>des</w:t>
      </w:r>
      <w:r w:rsidR="00FF41A0">
        <w:rPr>
          <w:sz w:val="20"/>
          <w:szCs w:val="20"/>
        </w:rPr>
        <w:t xml:space="preserve"> </w:t>
      </w:r>
      <w:r w:rsidR="00323457" w:rsidRPr="0059638B">
        <w:rPr>
          <w:sz w:val="20"/>
          <w:szCs w:val="20"/>
        </w:rPr>
        <w:t>droits</w:t>
      </w:r>
      <w:r w:rsidR="00FF41A0">
        <w:rPr>
          <w:sz w:val="20"/>
          <w:szCs w:val="20"/>
        </w:rPr>
        <w:t xml:space="preserve"> </w:t>
      </w:r>
      <w:r w:rsidR="00323457" w:rsidRPr="0059638B">
        <w:rPr>
          <w:sz w:val="20"/>
          <w:szCs w:val="20"/>
        </w:rPr>
        <w:t>de</w:t>
      </w:r>
      <w:r w:rsidR="00FF41A0">
        <w:rPr>
          <w:sz w:val="20"/>
          <w:szCs w:val="20"/>
        </w:rPr>
        <w:t xml:space="preserve"> </w:t>
      </w:r>
      <w:r w:rsidR="00323457" w:rsidRPr="0059638B">
        <w:rPr>
          <w:sz w:val="20"/>
          <w:szCs w:val="20"/>
        </w:rPr>
        <w:t>l</w:t>
      </w:r>
      <w:r w:rsidR="00D72627">
        <w:rPr>
          <w:sz w:val="20"/>
          <w:szCs w:val="20"/>
        </w:rPr>
        <w:t>’</w:t>
      </w:r>
      <w:r w:rsidR="00323457" w:rsidRPr="0059638B">
        <w:rPr>
          <w:sz w:val="20"/>
          <w:szCs w:val="20"/>
        </w:rPr>
        <w:t>homme</w:t>
      </w:r>
      <w:r w:rsidR="00FF41A0">
        <w:rPr>
          <w:sz w:val="20"/>
          <w:szCs w:val="20"/>
          <w:lang w:val="en" w:eastAsia="en-GB"/>
        </w:rPr>
        <w:t xml:space="preserve"> </w:t>
      </w:r>
      <w:r w:rsidR="00323457" w:rsidRPr="0059638B">
        <w:rPr>
          <w:sz w:val="20"/>
          <w:szCs w:val="20"/>
          <w:lang w:val="en" w:eastAsia="en-GB"/>
        </w:rPr>
        <w:t>,</w:t>
      </w:r>
      <w:r w:rsidR="00FF41A0">
        <w:rPr>
          <w:sz w:val="20"/>
          <w:szCs w:val="20"/>
          <w:lang w:val="en" w:eastAsia="en-GB"/>
        </w:rPr>
        <w:t xml:space="preserve"> </w:t>
      </w:r>
      <w:r w:rsidR="00323457" w:rsidRPr="0059638B">
        <w:rPr>
          <w:sz w:val="20"/>
          <w:szCs w:val="20"/>
          <w:lang w:val="en" w:eastAsia="en-GB"/>
        </w:rPr>
        <w:t>he</w:t>
      </w:r>
      <w:r w:rsidR="00FF41A0">
        <w:rPr>
          <w:sz w:val="20"/>
          <w:szCs w:val="20"/>
          <w:lang w:val="en" w:eastAsia="en-GB"/>
        </w:rPr>
        <w:t xml:space="preserve"> </w:t>
      </w:r>
      <w:r w:rsidR="00323457" w:rsidRPr="0059638B">
        <w:rPr>
          <w:sz w:val="20"/>
          <w:szCs w:val="20"/>
          <w:lang w:val="en" w:eastAsia="en-GB"/>
        </w:rPr>
        <w:t>stressed</w:t>
      </w:r>
      <w:r w:rsidR="00FF41A0">
        <w:rPr>
          <w:sz w:val="20"/>
          <w:szCs w:val="20"/>
          <w:lang w:val="en" w:eastAsia="en-GB"/>
        </w:rPr>
        <w:t xml:space="preserve"> </w:t>
      </w:r>
      <w:r w:rsidR="00323457" w:rsidRPr="0059638B">
        <w:rPr>
          <w:sz w:val="20"/>
          <w:szCs w:val="20"/>
          <w:lang w:val="en" w:eastAsia="en-GB"/>
        </w:rPr>
        <w:t>that,</w:t>
      </w:r>
      <w:r w:rsidR="00FF41A0">
        <w:rPr>
          <w:sz w:val="20"/>
          <w:szCs w:val="20"/>
          <w:lang w:val="en" w:eastAsia="en-GB"/>
        </w:rPr>
        <w:t xml:space="preserve"> </w:t>
      </w:r>
      <w:r w:rsidR="00323457" w:rsidRPr="0059638B">
        <w:rPr>
          <w:sz w:val="20"/>
          <w:szCs w:val="20"/>
          <w:lang w:val="en" w:eastAsia="en-GB"/>
        </w:rPr>
        <w:t>in</w:t>
      </w:r>
      <w:r w:rsidR="00FF41A0">
        <w:rPr>
          <w:sz w:val="20"/>
          <w:szCs w:val="20"/>
          <w:lang w:val="en" w:eastAsia="en-GB"/>
        </w:rPr>
        <w:t xml:space="preserve"> </w:t>
      </w:r>
      <w:r w:rsidR="00323457" w:rsidRPr="0059638B">
        <w:rPr>
          <w:sz w:val="20"/>
          <w:szCs w:val="20"/>
          <w:lang w:val="en" w:eastAsia="en-GB"/>
        </w:rPr>
        <w:t>the</w:t>
      </w:r>
      <w:r w:rsidR="00FF41A0">
        <w:rPr>
          <w:sz w:val="20"/>
          <w:szCs w:val="20"/>
          <w:lang w:val="en" w:eastAsia="en-GB"/>
        </w:rPr>
        <w:t xml:space="preserve"> </w:t>
      </w:r>
      <w:r w:rsidR="00323457" w:rsidRPr="0059638B">
        <w:rPr>
          <w:sz w:val="20"/>
          <w:szCs w:val="20"/>
          <w:lang w:val="en" w:eastAsia="en-GB"/>
        </w:rPr>
        <w:t>case</w:t>
      </w:r>
      <w:r w:rsidR="00FF41A0">
        <w:rPr>
          <w:sz w:val="20"/>
          <w:szCs w:val="20"/>
          <w:lang w:val="en" w:eastAsia="en-GB"/>
        </w:rPr>
        <w:t xml:space="preserve"> </w:t>
      </w:r>
      <w:r w:rsidR="00323457" w:rsidRPr="0059638B">
        <w:rPr>
          <w:sz w:val="20"/>
          <w:szCs w:val="20"/>
          <w:lang w:val="en" w:eastAsia="en-GB"/>
        </w:rPr>
        <w:t>of</w:t>
      </w:r>
      <w:r w:rsidR="00FF41A0">
        <w:rPr>
          <w:sz w:val="20"/>
          <w:szCs w:val="20"/>
          <w:lang w:val="en" w:eastAsia="en-GB"/>
        </w:rPr>
        <w:t xml:space="preserve"> </w:t>
      </w:r>
      <w:r w:rsidR="00323457" w:rsidRPr="0059638B">
        <w:rPr>
          <w:sz w:val="20"/>
          <w:szCs w:val="20"/>
          <w:lang w:val="en" w:eastAsia="en-GB"/>
        </w:rPr>
        <w:t>Mr.</w:t>
      </w:r>
      <w:r w:rsidR="00FF41A0">
        <w:rPr>
          <w:sz w:val="20"/>
          <w:szCs w:val="20"/>
          <w:lang w:val="en" w:eastAsia="en-GB"/>
        </w:rPr>
        <w:t xml:space="preserve"> </w:t>
      </w:r>
      <w:r w:rsidR="00323457" w:rsidRPr="0059638B">
        <w:rPr>
          <w:sz w:val="20"/>
          <w:szCs w:val="20"/>
          <w:lang w:val="en" w:eastAsia="en-GB"/>
        </w:rPr>
        <w:t>Oumar</w:t>
      </w:r>
      <w:r w:rsidR="00FF41A0">
        <w:rPr>
          <w:sz w:val="20"/>
          <w:szCs w:val="20"/>
          <w:lang w:val="en" w:eastAsia="en-GB"/>
        </w:rPr>
        <w:t xml:space="preserve"> </w:t>
      </w:r>
      <w:r w:rsidR="00323457" w:rsidRPr="0059638B">
        <w:rPr>
          <w:sz w:val="20"/>
          <w:szCs w:val="20"/>
          <w:lang w:val="en" w:eastAsia="en-GB"/>
        </w:rPr>
        <w:t>Hissein,</w:t>
      </w:r>
      <w:r w:rsidR="00FF41A0">
        <w:rPr>
          <w:sz w:val="20"/>
          <w:szCs w:val="20"/>
          <w:lang w:val="en" w:eastAsia="en-GB"/>
        </w:rPr>
        <w:t xml:space="preserve"> </w:t>
      </w:r>
      <w:r w:rsidR="00323457" w:rsidRPr="0059638B">
        <w:rPr>
          <w:sz w:val="20"/>
          <w:szCs w:val="20"/>
          <w:lang w:val="en" w:eastAsia="en-GB"/>
        </w:rPr>
        <w:t>the</w:t>
      </w:r>
      <w:r w:rsidR="00FF41A0">
        <w:rPr>
          <w:sz w:val="20"/>
          <w:szCs w:val="20"/>
          <w:lang w:val="en" w:eastAsia="en-GB"/>
        </w:rPr>
        <w:t xml:space="preserve"> </w:t>
      </w:r>
      <w:r w:rsidR="00323457" w:rsidRPr="0059638B">
        <w:rPr>
          <w:sz w:val="20"/>
          <w:szCs w:val="20"/>
          <w:lang w:val="en" w:eastAsia="en-GB"/>
        </w:rPr>
        <w:t>perpetrators</w:t>
      </w:r>
      <w:r w:rsidR="00FF41A0">
        <w:rPr>
          <w:sz w:val="20"/>
          <w:szCs w:val="20"/>
          <w:lang w:val="en" w:eastAsia="en-GB"/>
        </w:rPr>
        <w:t xml:space="preserve"> </w:t>
      </w:r>
      <w:r w:rsidR="00323457" w:rsidRPr="0059638B">
        <w:rPr>
          <w:sz w:val="20"/>
          <w:szCs w:val="20"/>
          <w:lang w:val="en" w:eastAsia="en-GB"/>
        </w:rPr>
        <w:t>of</w:t>
      </w:r>
      <w:r w:rsidR="00FF41A0">
        <w:rPr>
          <w:sz w:val="20"/>
          <w:szCs w:val="20"/>
          <w:lang w:val="en" w:eastAsia="en-GB"/>
        </w:rPr>
        <w:t xml:space="preserve"> </w:t>
      </w:r>
      <w:r w:rsidR="00323457" w:rsidRPr="0059638B">
        <w:rPr>
          <w:sz w:val="20"/>
          <w:szCs w:val="20"/>
          <w:lang w:val="en" w:eastAsia="en-GB"/>
        </w:rPr>
        <w:t>torture</w:t>
      </w:r>
      <w:r w:rsidR="00FF41A0">
        <w:rPr>
          <w:sz w:val="20"/>
          <w:szCs w:val="20"/>
          <w:lang w:val="en" w:eastAsia="en-GB"/>
        </w:rPr>
        <w:t xml:space="preserve"> </w:t>
      </w:r>
      <w:r w:rsidR="00323457" w:rsidRPr="0059638B">
        <w:rPr>
          <w:sz w:val="20"/>
          <w:szCs w:val="20"/>
          <w:lang w:val="en" w:eastAsia="en-GB"/>
        </w:rPr>
        <w:t>were</w:t>
      </w:r>
      <w:r w:rsidR="00FF41A0">
        <w:rPr>
          <w:sz w:val="20"/>
          <w:szCs w:val="20"/>
          <w:lang w:val="en" w:eastAsia="en-GB"/>
        </w:rPr>
        <w:t xml:space="preserve"> </w:t>
      </w:r>
      <w:r w:rsidR="00323457" w:rsidRPr="0059638B">
        <w:rPr>
          <w:sz w:val="20"/>
          <w:szCs w:val="20"/>
          <w:lang w:val="en" w:eastAsia="en-GB"/>
        </w:rPr>
        <w:t>arrested</w:t>
      </w:r>
      <w:r w:rsidR="00FF41A0">
        <w:rPr>
          <w:sz w:val="20"/>
          <w:szCs w:val="20"/>
          <w:lang w:val="en" w:eastAsia="en-GB"/>
        </w:rPr>
        <w:t xml:space="preserve"> </w:t>
      </w:r>
      <w:r w:rsidR="00323457" w:rsidRPr="0059638B">
        <w:rPr>
          <w:sz w:val="20"/>
          <w:szCs w:val="20"/>
          <w:lang w:val="en" w:eastAsia="en-GB"/>
        </w:rPr>
        <w:t>and</w:t>
      </w:r>
      <w:r w:rsidR="00FF41A0">
        <w:rPr>
          <w:sz w:val="20"/>
          <w:szCs w:val="20"/>
          <w:lang w:val="en" w:eastAsia="en-GB"/>
        </w:rPr>
        <w:t xml:space="preserve"> </w:t>
      </w:r>
      <w:r w:rsidR="00323457" w:rsidRPr="0059638B">
        <w:rPr>
          <w:sz w:val="20"/>
          <w:szCs w:val="20"/>
          <w:lang w:val="en" w:eastAsia="en-GB"/>
        </w:rPr>
        <w:t>sentenced</w:t>
      </w:r>
      <w:r w:rsidR="00FF41A0">
        <w:rPr>
          <w:sz w:val="20"/>
          <w:szCs w:val="20"/>
          <w:lang w:val="en" w:eastAsia="en-GB"/>
        </w:rPr>
        <w:t xml:space="preserve"> </w:t>
      </w:r>
      <w:r w:rsidR="00323457" w:rsidRPr="0059638B">
        <w:rPr>
          <w:sz w:val="20"/>
          <w:szCs w:val="20"/>
          <w:lang w:val="en" w:eastAsia="en-GB"/>
        </w:rPr>
        <w:t>to</w:t>
      </w:r>
      <w:r w:rsidR="00FF41A0">
        <w:rPr>
          <w:sz w:val="20"/>
          <w:szCs w:val="20"/>
          <w:lang w:val="en" w:eastAsia="en-GB"/>
        </w:rPr>
        <w:t xml:space="preserve"> </w:t>
      </w:r>
      <w:r w:rsidR="00323457" w:rsidRPr="0059638B">
        <w:rPr>
          <w:sz w:val="20"/>
          <w:szCs w:val="20"/>
          <w:lang w:val="en" w:eastAsia="en-GB"/>
        </w:rPr>
        <w:t>10</w:t>
      </w:r>
      <w:r w:rsidR="00FF41A0">
        <w:rPr>
          <w:sz w:val="20"/>
          <w:szCs w:val="20"/>
          <w:lang w:val="en" w:eastAsia="en-GB"/>
        </w:rPr>
        <w:t xml:space="preserve"> </w:t>
      </w:r>
      <w:r w:rsidR="00323457" w:rsidRPr="0059638B">
        <w:rPr>
          <w:sz w:val="20"/>
          <w:szCs w:val="20"/>
          <w:lang w:val="en" w:eastAsia="en-GB"/>
        </w:rPr>
        <w:t>years</w:t>
      </w:r>
      <w:r w:rsidR="00FF41A0">
        <w:rPr>
          <w:sz w:val="20"/>
          <w:szCs w:val="20"/>
          <w:lang w:val="en" w:eastAsia="en-GB"/>
        </w:rPr>
        <w:t xml:space="preserve"> </w:t>
      </w:r>
      <w:r w:rsidR="00323457" w:rsidRPr="0059638B">
        <w:rPr>
          <w:sz w:val="20"/>
          <w:szCs w:val="20"/>
          <w:lang w:val="en" w:eastAsia="en-GB"/>
        </w:rPr>
        <w:t>in</w:t>
      </w:r>
      <w:r w:rsidR="00FF41A0">
        <w:rPr>
          <w:sz w:val="20"/>
          <w:szCs w:val="20"/>
          <w:lang w:val="en" w:eastAsia="en-GB"/>
        </w:rPr>
        <w:t xml:space="preserve"> </w:t>
      </w:r>
      <w:r w:rsidR="00323457" w:rsidRPr="0059638B">
        <w:rPr>
          <w:sz w:val="20"/>
          <w:szCs w:val="20"/>
          <w:lang w:val="en" w:eastAsia="en-GB"/>
        </w:rPr>
        <w:t>prison</w:t>
      </w:r>
      <w:r w:rsidR="00FF41A0">
        <w:rPr>
          <w:sz w:val="20"/>
          <w:szCs w:val="20"/>
          <w:lang w:val="en" w:eastAsia="en-GB"/>
        </w:rPr>
        <w:t xml:space="preserve"> </w:t>
      </w:r>
      <w:r w:rsidR="00323457" w:rsidRPr="0059638B">
        <w:rPr>
          <w:sz w:val="20"/>
          <w:szCs w:val="20"/>
          <w:lang w:val="en" w:eastAsia="en-GB"/>
        </w:rPr>
        <w:t>by</w:t>
      </w:r>
      <w:r w:rsidR="00FF41A0">
        <w:rPr>
          <w:sz w:val="20"/>
          <w:szCs w:val="20"/>
          <w:lang w:val="en" w:eastAsia="en-GB"/>
        </w:rPr>
        <w:t xml:space="preserve"> </w:t>
      </w:r>
      <w:r w:rsidR="00323457" w:rsidRPr="0059638B">
        <w:rPr>
          <w:sz w:val="20"/>
          <w:szCs w:val="20"/>
          <w:lang w:val="en" w:eastAsia="en-GB"/>
        </w:rPr>
        <w:t>the</w:t>
      </w:r>
      <w:r w:rsidR="00FF41A0">
        <w:rPr>
          <w:sz w:val="20"/>
          <w:szCs w:val="20"/>
          <w:lang w:val="en" w:eastAsia="en-GB"/>
        </w:rPr>
        <w:t xml:space="preserve"> </w:t>
      </w:r>
      <w:r w:rsidR="00323457" w:rsidRPr="0059638B">
        <w:rPr>
          <w:sz w:val="20"/>
          <w:szCs w:val="20"/>
          <w:lang w:val="en" w:eastAsia="en-GB"/>
        </w:rPr>
        <w:t>courts.</w:t>
      </w:r>
      <w:r w:rsidR="00FF41A0">
        <w:rPr>
          <w:sz w:val="20"/>
          <w:szCs w:val="20"/>
          <w:lang w:val="en" w:eastAsia="en-GB"/>
        </w:rPr>
        <w:t xml:space="preserve"> </w:t>
      </w:r>
      <w:r w:rsidR="00323457" w:rsidRPr="0059638B">
        <w:rPr>
          <w:sz w:val="20"/>
          <w:szCs w:val="20"/>
          <w:lang w:val="en" w:eastAsia="en-GB"/>
        </w:rPr>
        <w:t>In</w:t>
      </w:r>
      <w:r w:rsidR="00FF41A0">
        <w:rPr>
          <w:sz w:val="20"/>
          <w:szCs w:val="20"/>
          <w:lang w:val="en" w:eastAsia="en-GB"/>
        </w:rPr>
        <w:t xml:space="preserve"> </w:t>
      </w:r>
      <w:r w:rsidR="00323457" w:rsidRPr="0059638B">
        <w:rPr>
          <w:sz w:val="20"/>
          <w:szCs w:val="20"/>
          <w:lang w:val="en" w:eastAsia="en-GB"/>
        </w:rPr>
        <w:t>the</w:t>
      </w:r>
      <w:r w:rsidR="00FF41A0">
        <w:rPr>
          <w:sz w:val="20"/>
          <w:szCs w:val="20"/>
          <w:lang w:val="en" w:eastAsia="en-GB"/>
        </w:rPr>
        <w:t xml:space="preserve"> </w:t>
      </w:r>
      <w:r w:rsidR="00323457" w:rsidRPr="0059638B">
        <w:rPr>
          <w:sz w:val="20"/>
          <w:szCs w:val="20"/>
          <w:lang w:val="en" w:eastAsia="en-GB"/>
        </w:rPr>
        <w:t>case</w:t>
      </w:r>
      <w:r w:rsidR="00FF41A0">
        <w:rPr>
          <w:sz w:val="20"/>
          <w:szCs w:val="20"/>
          <w:lang w:val="en" w:eastAsia="en-GB"/>
        </w:rPr>
        <w:t xml:space="preserve"> </w:t>
      </w:r>
      <w:r w:rsidR="00323457" w:rsidRPr="0059638B">
        <w:rPr>
          <w:sz w:val="20"/>
          <w:szCs w:val="20"/>
          <w:lang w:val="en" w:eastAsia="en-GB"/>
        </w:rPr>
        <w:t>of</w:t>
      </w:r>
      <w:r w:rsidR="00FF41A0">
        <w:rPr>
          <w:sz w:val="20"/>
          <w:szCs w:val="20"/>
          <w:lang w:val="en" w:eastAsia="en-GB"/>
        </w:rPr>
        <w:t xml:space="preserve"> </w:t>
      </w:r>
      <w:r w:rsidR="00323457" w:rsidRPr="0059638B">
        <w:rPr>
          <w:sz w:val="20"/>
          <w:szCs w:val="20"/>
          <w:lang w:val="en" w:eastAsia="en-GB"/>
        </w:rPr>
        <w:t>Ms.</w:t>
      </w:r>
      <w:r w:rsidR="00FF41A0">
        <w:rPr>
          <w:sz w:val="20"/>
          <w:szCs w:val="20"/>
          <w:lang w:val="en" w:eastAsia="en-GB"/>
        </w:rPr>
        <w:t xml:space="preserve"> </w:t>
      </w:r>
      <w:r w:rsidR="00323457" w:rsidRPr="0059638B">
        <w:rPr>
          <w:sz w:val="20"/>
          <w:szCs w:val="20"/>
          <w:lang w:val="en" w:eastAsia="en-GB"/>
        </w:rPr>
        <w:t>Hawariya</w:t>
      </w:r>
      <w:r w:rsidR="00FF41A0">
        <w:rPr>
          <w:sz w:val="20"/>
          <w:szCs w:val="20"/>
          <w:lang w:val="en" w:eastAsia="en-GB"/>
        </w:rPr>
        <w:t xml:space="preserve"> </w:t>
      </w:r>
      <w:r w:rsidR="00323457" w:rsidRPr="0059638B">
        <w:rPr>
          <w:sz w:val="20"/>
          <w:szCs w:val="20"/>
          <w:lang w:val="en" w:eastAsia="en-GB"/>
        </w:rPr>
        <w:t>Mohamat,</w:t>
      </w:r>
      <w:r w:rsidR="00FF41A0">
        <w:rPr>
          <w:sz w:val="20"/>
          <w:szCs w:val="20"/>
          <w:lang w:val="en" w:eastAsia="en-GB"/>
        </w:rPr>
        <w:t xml:space="preserve"> </w:t>
      </w:r>
      <w:r w:rsidR="00323457" w:rsidRPr="0059638B">
        <w:rPr>
          <w:sz w:val="20"/>
          <w:szCs w:val="20"/>
          <w:lang w:val="en" w:eastAsia="en-GB"/>
        </w:rPr>
        <w:t>her</w:t>
      </w:r>
      <w:r w:rsidR="00FF41A0">
        <w:rPr>
          <w:sz w:val="20"/>
          <w:szCs w:val="20"/>
          <w:lang w:val="en" w:eastAsia="en-GB"/>
        </w:rPr>
        <w:t xml:space="preserve"> </w:t>
      </w:r>
      <w:r w:rsidR="00323457" w:rsidRPr="0059638B">
        <w:rPr>
          <w:sz w:val="20"/>
          <w:szCs w:val="20"/>
          <w:lang w:val="en" w:eastAsia="en-GB"/>
        </w:rPr>
        <w:t>husband</w:t>
      </w:r>
      <w:r w:rsidR="00FF41A0">
        <w:rPr>
          <w:sz w:val="20"/>
          <w:szCs w:val="20"/>
          <w:lang w:val="en" w:eastAsia="en-GB"/>
        </w:rPr>
        <w:t xml:space="preserve"> </w:t>
      </w:r>
      <w:r w:rsidR="00323457" w:rsidRPr="0059638B">
        <w:rPr>
          <w:sz w:val="20"/>
          <w:szCs w:val="20"/>
          <w:lang w:val="en" w:eastAsia="en-GB"/>
        </w:rPr>
        <w:t>was</w:t>
      </w:r>
      <w:r w:rsidR="00FF41A0">
        <w:rPr>
          <w:sz w:val="20"/>
          <w:szCs w:val="20"/>
          <w:lang w:val="en" w:eastAsia="en-GB"/>
        </w:rPr>
        <w:t xml:space="preserve"> </w:t>
      </w:r>
      <w:r w:rsidR="00323457" w:rsidRPr="0059638B">
        <w:rPr>
          <w:sz w:val="20"/>
          <w:szCs w:val="20"/>
          <w:lang w:val="en" w:eastAsia="en-GB"/>
        </w:rPr>
        <w:t>brought</w:t>
      </w:r>
      <w:r w:rsidR="00FF41A0">
        <w:rPr>
          <w:sz w:val="20"/>
          <w:szCs w:val="20"/>
          <w:lang w:val="en" w:eastAsia="en-GB"/>
        </w:rPr>
        <w:t xml:space="preserve"> </w:t>
      </w:r>
      <w:r w:rsidR="00323457" w:rsidRPr="0059638B">
        <w:rPr>
          <w:sz w:val="20"/>
          <w:szCs w:val="20"/>
          <w:lang w:val="en" w:eastAsia="en-GB"/>
        </w:rPr>
        <w:t>to</w:t>
      </w:r>
      <w:r w:rsidR="00FF41A0">
        <w:rPr>
          <w:sz w:val="20"/>
          <w:szCs w:val="20"/>
          <w:lang w:val="en" w:eastAsia="en-GB"/>
        </w:rPr>
        <w:t xml:space="preserve"> </w:t>
      </w:r>
      <w:r w:rsidR="00323457" w:rsidRPr="0059638B">
        <w:rPr>
          <w:sz w:val="20"/>
          <w:szCs w:val="20"/>
          <w:lang w:val="en" w:eastAsia="en-GB"/>
        </w:rPr>
        <w:t>justice</w:t>
      </w:r>
      <w:r w:rsidR="00FF41A0">
        <w:rPr>
          <w:sz w:val="20"/>
          <w:szCs w:val="20"/>
          <w:lang w:val="en" w:eastAsia="en-GB"/>
        </w:rPr>
        <w:t xml:space="preserve"> </w:t>
      </w:r>
      <w:r w:rsidR="00323457" w:rsidRPr="0059638B">
        <w:rPr>
          <w:sz w:val="20"/>
          <w:szCs w:val="20"/>
          <w:lang w:val="en" w:eastAsia="en-GB"/>
        </w:rPr>
        <w:t>and</w:t>
      </w:r>
      <w:r w:rsidR="00FF41A0">
        <w:rPr>
          <w:sz w:val="20"/>
          <w:szCs w:val="20"/>
          <w:lang w:val="en" w:eastAsia="en-GB"/>
        </w:rPr>
        <w:t xml:space="preserve"> </w:t>
      </w:r>
      <w:r w:rsidR="00323457" w:rsidRPr="0059638B">
        <w:rPr>
          <w:sz w:val="20"/>
          <w:szCs w:val="20"/>
          <w:lang w:val="en" w:eastAsia="en-GB"/>
        </w:rPr>
        <w:t>sentenced</w:t>
      </w:r>
      <w:r w:rsidR="00FF41A0">
        <w:rPr>
          <w:sz w:val="20"/>
          <w:szCs w:val="20"/>
          <w:lang w:val="en" w:eastAsia="en-GB"/>
        </w:rPr>
        <w:t xml:space="preserve"> </w:t>
      </w:r>
      <w:r w:rsidR="00323457" w:rsidRPr="0059638B">
        <w:rPr>
          <w:sz w:val="20"/>
          <w:szCs w:val="20"/>
          <w:lang w:val="en" w:eastAsia="en-GB"/>
        </w:rPr>
        <w:t>by</w:t>
      </w:r>
      <w:r w:rsidR="00FF41A0">
        <w:rPr>
          <w:sz w:val="20"/>
          <w:szCs w:val="20"/>
          <w:lang w:val="en" w:eastAsia="en-GB"/>
        </w:rPr>
        <w:t xml:space="preserve"> </w:t>
      </w:r>
      <w:r w:rsidR="00323457" w:rsidRPr="0059638B">
        <w:rPr>
          <w:sz w:val="20"/>
          <w:szCs w:val="20"/>
          <w:lang w:val="en" w:eastAsia="en-GB"/>
        </w:rPr>
        <w:t>the</w:t>
      </w:r>
      <w:r w:rsidR="00FF41A0">
        <w:rPr>
          <w:sz w:val="20"/>
          <w:szCs w:val="20"/>
          <w:lang w:val="en" w:eastAsia="en-GB"/>
        </w:rPr>
        <w:t xml:space="preserve"> </w:t>
      </w:r>
      <w:r w:rsidR="00323457" w:rsidRPr="0059638B">
        <w:rPr>
          <w:sz w:val="20"/>
          <w:szCs w:val="20"/>
          <w:lang w:val="en" w:eastAsia="en-GB"/>
        </w:rPr>
        <w:t>courts.</w:t>
      </w:r>
      <w:r w:rsidR="00FF41A0">
        <w:rPr>
          <w:sz w:val="20"/>
          <w:szCs w:val="20"/>
          <w:lang w:val="en" w:eastAsia="en-GB"/>
        </w:rPr>
        <w:t xml:space="preserve"> </w:t>
      </w:r>
      <w:r w:rsidR="00323457" w:rsidRPr="0059638B">
        <w:rPr>
          <w:sz w:val="20"/>
          <w:szCs w:val="20"/>
          <w:lang w:val="en" w:eastAsia="en-GB"/>
        </w:rPr>
        <w:t>The</w:t>
      </w:r>
      <w:r w:rsidR="00FF41A0">
        <w:rPr>
          <w:sz w:val="20"/>
          <w:szCs w:val="20"/>
          <w:lang w:val="en" w:eastAsia="en-GB"/>
        </w:rPr>
        <w:t xml:space="preserve"> </w:t>
      </w:r>
      <w:r w:rsidR="00323457" w:rsidRPr="0059638B">
        <w:rPr>
          <w:sz w:val="20"/>
          <w:szCs w:val="20"/>
          <w:lang w:val="en" w:eastAsia="en-GB"/>
        </w:rPr>
        <w:t>case</w:t>
      </w:r>
      <w:r w:rsidR="00FF41A0">
        <w:rPr>
          <w:sz w:val="20"/>
          <w:szCs w:val="20"/>
          <w:lang w:val="en" w:eastAsia="en-GB"/>
        </w:rPr>
        <w:t xml:space="preserve"> </w:t>
      </w:r>
      <w:r w:rsidR="00323457" w:rsidRPr="0059638B">
        <w:rPr>
          <w:sz w:val="20"/>
          <w:szCs w:val="20"/>
          <w:lang w:val="en" w:eastAsia="en-GB"/>
        </w:rPr>
        <w:t>of</w:t>
      </w:r>
      <w:r w:rsidR="00FF41A0">
        <w:rPr>
          <w:sz w:val="20"/>
          <w:szCs w:val="20"/>
          <w:lang w:val="en" w:eastAsia="en-GB"/>
        </w:rPr>
        <w:t xml:space="preserve"> </w:t>
      </w:r>
      <w:r w:rsidR="00323457" w:rsidRPr="0059638B">
        <w:rPr>
          <w:sz w:val="20"/>
          <w:szCs w:val="20"/>
          <w:lang w:val="en" w:eastAsia="en-GB"/>
        </w:rPr>
        <w:t>Mr.</w:t>
      </w:r>
      <w:r w:rsidR="00FF41A0">
        <w:rPr>
          <w:sz w:val="20"/>
          <w:szCs w:val="20"/>
          <w:lang w:val="en" w:eastAsia="en-GB"/>
        </w:rPr>
        <w:t xml:space="preserve"> </w:t>
      </w:r>
      <w:r w:rsidR="00323457" w:rsidRPr="0059638B">
        <w:rPr>
          <w:sz w:val="20"/>
          <w:szCs w:val="20"/>
          <w:lang w:val="en" w:eastAsia="en-GB"/>
        </w:rPr>
        <w:t>Mathias</w:t>
      </w:r>
      <w:r w:rsidR="00FF41A0">
        <w:rPr>
          <w:sz w:val="20"/>
          <w:szCs w:val="20"/>
          <w:lang w:val="en" w:eastAsia="en-GB"/>
        </w:rPr>
        <w:t xml:space="preserve"> </w:t>
      </w:r>
      <w:r w:rsidR="00323457" w:rsidRPr="0059638B">
        <w:rPr>
          <w:sz w:val="20"/>
          <w:szCs w:val="20"/>
          <w:lang w:val="en" w:eastAsia="en-GB"/>
        </w:rPr>
        <w:t>Tsarsi</w:t>
      </w:r>
      <w:r w:rsidR="00FF41A0">
        <w:rPr>
          <w:sz w:val="20"/>
          <w:szCs w:val="20"/>
          <w:lang w:val="en" w:eastAsia="en-GB"/>
        </w:rPr>
        <w:t xml:space="preserve"> </w:t>
      </w:r>
      <w:r w:rsidR="00323457" w:rsidRPr="0059638B">
        <w:rPr>
          <w:sz w:val="20"/>
          <w:szCs w:val="20"/>
          <w:lang w:val="en" w:eastAsia="en-GB"/>
        </w:rPr>
        <w:t>is</w:t>
      </w:r>
      <w:r w:rsidR="00FF41A0">
        <w:rPr>
          <w:sz w:val="20"/>
          <w:szCs w:val="20"/>
          <w:lang w:val="en" w:eastAsia="en-GB"/>
        </w:rPr>
        <w:t xml:space="preserve"> </w:t>
      </w:r>
      <w:r w:rsidR="00323457" w:rsidRPr="0059638B">
        <w:rPr>
          <w:sz w:val="20"/>
          <w:szCs w:val="20"/>
          <w:lang w:val="en" w:eastAsia="en-GB"/>
        </w:rPr>
        <w:t>being</w:t>
      </w:r>
      <w:r w:rsidR="00FF41A0">
        <w:rPr>
          <w:sz w:val="20"/>
          <w:szCs w:val="20"/>
          <w:lang w:val="en" w:eastAsia="en-GB"/>
        </w:rPr>
        <w:t xml:space="preserve"> </w:t>
      </w:r>
      <w:r w:rsidR="00323457" w:rsidRPr="0059638B">
        <w:rPr>
          <w:sz w:val="20"/>
          <w:szCs w:val="20"/>
          <w:lang w:val="en" w:eastAsia="en-GB"/>
        </w:rPr>
        <w:t>investigated</w:t>
      </w:r>
      <w:r w:rsidR="00FF41A0">
        <w:rPr>
          <w:sz w:val="20"/>
          <w:szCs w:val="20"/>
          <w:lang w:val="en" w:eastAsia="en-GB"/>
        </w:rPr>
        <w:t xml:space="preserve"> </w:t>
      </w:r>
      <w:r w:rsidR="00323457" w:rsidRPr="0059638B">
        <w:rPr>
          <w:sz w:val="20"/>
          <w:szCs w:val="20"/>
          <w:lang w:val="en" w:eastAsia="en-GB"/>
        </w:rPr>
        <w:t>for</w:t>
      </w:r>
      <w:r w:rsidR="00FF41A0">
        <w:rPr>
          <w:sz w:val="20"/>
          <w:szCs w:val="20"/>
          <w:lang w:val="en" w:eastAsia="en-GB"/>
        </w:rPr>
        <w:t xml:space="preserve"> </w:t>
      </w:r>
      <w:r w:rsidR="00323457" w:rsidRPr="0059638B">
        <w:rPr>
          <w:sz w:val="20"/>
          <w:szCs w:val="20"/>
          <w:lang w:val="en" w:eastAsia="en-GB"/>
        </w:rPr>
        <w:t>a</w:t>
      </w:r>
      <w:r w:rsidR="00FF41A0">
        <w:rPr>
          <w:sz w:val="20"/>
          <w:szCs w:val="20"/>
          <w:lang w:val="en" w:eastAsia="en-GB"/>
        </w:rPr>
        <w:t xml:space="preserve"> </w:t>
      </w:r>
      <w:r w:rsidR="00323457" w:rsidRPr="0059638B">
        <w:rPr>
          <w:sz w:val="20"/>
          <w:szCs w:val="20"/>
          <w:lang w:val="en" w:eastAsia="en-GB"/>
        </w:rPr>
        <w:t>common</w:t>
      </w:r>
      <w:r w:rsidR="00FF41A0">
        <w:rPr>
          <w:sz w:val="20"/>
          <w:szCs w:val="20"/>
          <w:lang w:val="en" w:eastAsia="en-GB"/>
        </w:rPr>
        <w:t xml:space="preserve"> </w:t>
      </w:r>
      <w:r w:rsidR="00323457" w:rsidRPr="0059638B">
        <w:rPr>
          <w:sz w:val="20"/>
          <w:szCs w:val="20"/>
          <w:lang w:val="en" w:eastAsia="en-GB"/>
        </w:rPr>
        <w:t>law</w:t>
      </w:r>
      <w:r w:rsidR="00FF41A0">
        <w:rPr>
          <w:sz w:val="20"/>
          <w:szCs w:val="20"/>
          <w:lang w:val="en" w:eastAsia="en-GB"/>
        </w:rPr>
        <w:t xml:space="preserve"> </w:t>
      </w:r>
      <w:r w:rsidR="00323457" w:rsidRPr="0059638B">
        <w:rPr>
          <w:sz w:val="20"/>
          <w:szCs w:val="20"/>
          <w:lang w:val="en" w:eastAsia="en-GB"/>
        </w:rPr>
        <w:t>offense</w:t>
      </w:r>
      <w:r w:rsidR="00FF41A0">
        <w:rPr>
          <w:sz w:val="20"/>
          <w:szCs w:val="20"/>
          <w:lang w:val="en" w:eastAsia="en-GB"/>
        </w:rPr>
        <w:t xml:space="preserve"> </w:t>
      </w:r>
      <w:r w:rsidR="00323457" w:rsidRPr="0059638B">
        <w:rPr>
          <w:sz w:val="20"/>
          <w:szCs w:val="20"/>
          <w:lang w:val="en" w:eastAsia="en-GB"/>
        </w:rPr>
        <w:t>and</w:t>
      </w:r>
      <w:r w:rsidR="00FF41A0">
        <w:rPr>
          <w:sz w:val="20"/>
          <w:szCs w:val="20"/>
          <w:lang w:val="en" w:eastAsia="en-GB"/>
        </w:rPr>
        <w:t xml:space="preserve"> </w:t>
      </w:r>
      <w:r w:rsidR="00323457" w:rsidRPr="0059638B">
        <w:rPr>
          <w:sz w:val="20"/>
          <w:szCs w:val="20"/>
          <w:lang w:val="en" w:eastAsia="en-GB"/>
        </w:rPr>
        <w:t>not</w:t>
      </w:r>
      <w:r w:rsidR="00FF41A0">
        <w:rPr>
          <w:sz w:val="20"/>
          <w:szCs w:val="20"/>
          <w:lang w:val="en" w:eastAsia="en-GB"/>
        </w:rPr>
        <w:t xml:space="preserve"> </w:t>
      </w:r>
      <w:r w:rsidR="00323457" w:rsidRPr="0059638B">
        <w:rPr>
          <w:sz w:val="20"/>
          <w:szCs w:val="20"/>
          <w:lang w:val="en" w:eastAsia="en-GB"/>
        </w:rPr>
        <w:t>for</w:t>
      </w:r>
      <w:r w:rsidR="00FF41A0">
        <w:rPr>
          <w:sz w:val="20"/>
          <w:szCs w:val="20"/>
          <w:lang w:val="en" w:eastAsia="en-GB"/>
        </w:rPr>
        <w:t xml:space="preserve"> </w:t>
      </w:r>
      <w:r w:rsidR="00323457" w:rsidRPr="0059638B">
        <w:rPr>
          <w:sz w:val="20"/>
          <w:szCs w:val="20"/>
          <w:lang w:val="en" w:eastAsia="en-GB"/>
        </w:rPr>
        <w:t>a</w:t>
      </w:r>
      <w:r w:rsidR="00FF41A0">
        <w:rPr>
          <w:sz w:val="20"/>
          <w:szCs w:val="20"/>
          <w:lang w:val="en" w:eastAsia="en-GB"/>
        </w:rPr>
        <w:t xml:space="preserve"> </w:t>
      </w:r>
      <w:r w:rsidR="00323457" w:rsidRPr="0059638B">
        <w:rPr>
          <w:sz w:val="20"/>
          <w:szCs w:val="20"/>
          <w:lang w:val="en" w:eastAsia="en-GB"/>
        </w:rPr>
        <w:t>political</w:t>
      </w:r>
      <w:r w:rsidR="00FF41A0">
        <w:rPr>
          <w:sz w:val="20"/>
          <w:szCs w:val="20"/>
          <w:lang w:val="en" w:eastAsia="en-GB"/>
        </w:rPr>
        <w:t xml:space="preserve"> </w:t>
      </w:r>
      <w:r w:rsidR="00323457" w:rsidRPr="0059638B">
        <w:rPr>
          <w:sz w:val="20"/>
          <w:szCs w:val="20"/>
          <w:lang w:val="en" w:eastAsia="en-GB"/>
        </w:rPr>
        <w:t>issue.</w:t>
      </w:r>
      <w:r w:rsidR="00FF41A0">
        <w:rPr>
          <w:sz w:val="20"/>
          <w:szCs w:val="20"/>
          <w:lang w:val="en" w:eastAsia="en-GB"/>
        </w:rPr>
        <w:t xml:space="preserve"> </w:t>
      </w:r>
      <w:r w:rsidR="00323457" w:rsidRPr="0059638B">
        <w:rPr>
          <w:sz w:val="20"/>
          <w:szCs w:val="20"/>
          <w:lang w:val="en" w:eastAsia="en-GB"/>
        </w:rPr>
        <w:t>He</w:t>
      </w:r>
      <w:r w:rsidR="00FF41A0">
        <w:rPr>
          <w:sz w:val="20"/>
          <w:szCs w:val="20"/>
          <w:lang w:val="en" w:eastAsia="en-GB"/>
        </w:rPr>
        <w:t xml:space="preserve"> </w:t>
      </w:r>
      <w:r w:rsidR="00323457" w:rsidRPr="0059638B">
        <w:rPr>
          <w:sz w:val="20"/>
          <w:szCs w:val="20"/>
          <w:lang w:val="en" w:eastAsia="en-GB"/>
        </w:rPr>
        <w:t>stated</w:t>
      </w:r>
      <w:r w:rsidR="00FF41A0">
        <w:rPr>
          <w:sz w:val="20"/>
          <w:szCs w:val="20"/>
          <w:lang w:val="en" w:eastAsia="en-GB"/>
        </w:rPr>
        <w:t xml:space="preserve"> </w:t>
      </w:r>
      <w:r w:rsidR="00323457" w:rsidRPr="0059638B">
        <w:rPr>
          <w:sz w:val="20"/>
          <w:szCs w:val="20"/>
          <w:lang w:val="en" w:eastAsia="en-GB"/>
        </w:rPr>
        <w:t>that</w:t>
      </w:r>
      <w:r w:rsidR="00FF41A0">
        <w:rPr>
          <w:sz w:val="20"/>
          <w:szCs w:val="20"/>
          <w:lang w:val="en" w:eastAsia="en-GB"/>
        </w:rPr>
        <w:t xml:space="preserve"> </w:t>
      </w:r>
      <w:r w:rsidR="00323457" w:rsidRPr="0059638B">
        <w:rPr>
          <w:sz w:val="20"/>
          <w:szCs w:val="20"/>
          <w:lang w:val="en" w:eastAsia="en-GB"/>
        </w:rPr>
        <w:t>no</w:t>
      </w:r>
      <w:r w:rsidR="00FF41A0">
        <w:rPr>
          <w:sz w:val="20"/>
          <w:szCs w:val="20"/>
          <w:lang w:val="en" w:eastAsia="en-GB"/>
        </w:rPr>
        <w:t xml:space="preserve"> </w:t>
      </w:r>
      <w:r w:rsidR="00323457" w:rsidRPr="0059638B">
        <w:rPr>
          <w:sz w:val="20"/>
          <w:szCs w:val="20"/>
          <w:lang w:val="en" w:eastAsia="en-GB"/>
        </w:rPr>
        <w:t>journalist</w:t>
      </w:r>
      <w:r w:rsidR="00FF41A0">
        <w:rPr>
          <w:sz w:val="20"/>
          <w:szCs w:val="20"/>
          <w:lang w:val="en" w:eastAsia="en-GB"/>
        </w:rPr>
        <w:t xml:space="preserve"> </w:t>
      </w:r>
      <w:r w:rsidR="00323457" w:rsidRPr="0059638B">
        <w:rPr>
          <w:sz w:val="20"/>
          <w:szCs w:val="20"/>
          <w:lang w:val="en" w:eastAsia="en-GB"/>
        </w:rPr>
        <w:t>and</w:t>
      </w:r>
      <w:r w:rsidR="00FF41A0">
        <w:rPr>
          <w:sz w:val="20"/>
          <w:szCs w:val="20"/>
          <w:lang w:val="en" w:eastAsia="en-GB"/>
        </w:rPr>
        <w:t xml:space="preserve"> </w:t>
      </w:r>
      <w:r w:rsidR="00323457" w:rsidRPr="0059638B">
        <w:rPr>
          <w:sz w:val="20"/>
          <w:szCs w:val="20"/>
          <w:lang w:val="en" w:eastAsia="en-GB"/>
        </w:rPr>
        <w:t>no</w:t>
      </w:r>
      <w:r w:rsidR="00FF41A0">
        <w:rPr>
          <w:sz w:val="20"/>
          <w:szCs w:val="20"/>
          <w:lang w:val="en" w:eastAsia="en-GB"/>
        </w:rPr>
        <w:t xml:space="preserve"> </w:t>
      </w:r>
      <w:r w:rsidR="00323457" w:rsidRPr="0059638B">
        <w:rPr>
          <w:sz w:val="20"/>
          <w:szCs w:val="20"/>
          <w:lang w:val="en" w:eastAsia="en-GB"/>
        </w:rPr>
        <w:t>human</w:t>
      </w:r>
      <w:r w:rsidR="00FF41A0">
        <w:rPr>
          <w:sz w:val="20"/>
          <w:szCs w:val="20"/>
          <w:lang w:val="en" w:eastAsia="en-GB"/>
        </w:rPr>
        <w:t xml:space="preserve"> </w:t>
      </w:r>
      <w:r w:rsidR="00323457" w:rsidRPr="0059638B">
        <w:rPr>
          <w:sz w:val="20"/>
          <w:szCs w:val="20"/>
          <w:lang w:val="en" w:eastAsia="en-GB"/>
        </w:rPr>
        <w:t>rights</w:t>
      </w:r>
      <w:r w:rsidR="00FF41A0">
        <w:rPr>
          <w:sz w:val="20"/>
          <w:szCs w:val="20"/>
          <w:lang w:val="en" w:eastAsia="en-GB"/>
        </w:rPr>
        <w:t xml:space="preserve"> </w:t>
      </w:r>
      <w:r w:rsidR="00323457" w:rsidRPr="0059638B">
        <w:rPr>
          <w:sz w:val="20"/>
          <w:szCs w:val="20"/>
          <w:lang w:val="en" w:eastAsia="en-GB"/>
        </w:rPr>
        <w:t>defender</w:t>
      </w:r>
      <w:r w:rsidR="00FF41A0">
        <w:rPr>
          <w:sz w:val="20"/>
          <w:szCs w:val="20"/>
          <w:lang w:val="en" w:eastAsia="en-GB"/>
        </w:rPr>
        <w:t xml:space="preserve"> </w:t>
      </w:r>
      <w:r w:rsidR="00323457" w:rsidRPr="0059638B">
        <w:rPr>
          <w:sz w:val="20"/>
          <w:szCs w:val="20"/>
          <w:lang w:val="en" w:eastAsia="en-GB"/>
        </w:rPr>
        <w:t>is</w:t>
      </w:r>
      <w:r w:rsidR="00FF41A0">
        <w:rPr>
          <w:sz w:val="20"/>
          <w:szCs w:val="20"/>
          <w:lang w:val="en" w:eastAsia="en-GB"/>
        </w:rPr>
        <w:t xml:space="preserve"> </w:t>
      </w:r>
      <w:r w:rsidR="00323457" w:rsidRPr="0059638B">
        <w:rPr>
          <w:sz w:val="20"/>
          <w:szCs w:val="20"/>
          <w:lang w:val="en" w:eastAsia="en-GB"/>
        </w:rPr>
        <w:t>in</w:t>
      </w:r>
      <w:r w:rsidR="00FF41A0">
        <w:rPr>
          <w:sz w:val="20"/>
          <w:szCs w:val="20"/>
          <w:lang w:val="en" w:eastAsia="en-GB"/>
        </w:rPr>
        <w:t xml:space="preserve"> </w:t>
      </w:r>
      <w:r w:rsidR="00323457" w:rsidRPr="0059638B">
        <w:rPr>
          <w:sz w:val="20"/>
          <w:szCs w:val="20"/>
          <w:lang w:val="en" w:eastAsia="en-GB"/>
        </w:rPr>
        <w:t>prison</w:t>
      </w:r>
      <w:r w:rsidR="00FF41A0">
        <w:rPr>
          <w:sz w:val="20"/>
          <w:szCs w:val="20"/>
          <w:lang w:val="en" w:eastAsia="en-GB"/>
        </w:rPr>
        <w:t xml:space="preserve"> </w:t>
      </w:r>
      <w:r w:rsidR="00323457" w:rsidRPr="0059638B">
        <w:rPr>
          <w:sz w:val="20"/>
          <w:szCs w:val="20"/>
          <w:lang w:val="en" w:eastAsia="en-GB"/>
        </w:rPr>
        <w:t>in</w:t>
      </w:r>
      <w:r w:rsidR="00FF41A0">
        <w:rPr>
          <w:sz w:val="20"/>
          <w:szCs w:val="20"/>
          <w:lang w:val="en" w:eastAsia="en-GB"/>
        </w:rPr>
        <w:t xml:space="preserve"> </w:t>
      </w:r>
      <w:r w:rsidR="00323457" w:rsidRPr="0059638B">
        <w:rPr>
          <w:sz w:val="20"/>
          <w:szCs w:val="20"/>
          <w:lang w:val="en" w:eastAsia="en-GB"/>
        </w:rPr>
        <w:t>Chad.</w:t>
      </w:r>
    </w:p>
    <w:p w14:paraId="1B1647AB" w14:textId="585BD9BD" w:rsidR="00323457" w:rsidRPr="0059638B" w:rsidRDefault="0035721D" w:rsidP="00323457">
      <w:pPr>
        <w:pStyle w:val="SingleTxtG"/>
        <w:rPr>
          <w:sz w:val="20"/>
          <w:szCs w:val="20"/>
          <w:lang w:val="en"/>
        </w:rPr>
      </w:pPr>
      <w:r>
        <w:rPr>
          <w:sz w:val="20"/>
          <w:szCs w:val="20"/>
          <w:lang w:val="en" w:eastAsia="en-GB"/>
        </w:rPr>
        <w:t>814</w:t>
      </w:r>
      <w:r w:rsidR="00D7475F">
        <w:rPr>
          <w:sz w:val="20"/>
          <w:szCs w:val="20"/>
          <w:lang w:val="en" w:eastAsia="en-GB"/>
        </w:rPr>
        <w:t>.</w:t>
      </w:r>
      <w:r w:rsidR="00D7475F">
        <w:rPr>
          <w:sz w:val="20"/>
          <w:szCs w:val="20"/>
          <w:lang w:val="en" w:eastAsia="en-GB"/>
        </w:rPr>
        <w:tab/>
      </w:r>
      <w:r w:rsidR="00323457" w:rsidRPr="0059638B">
        <w:rPr>
          <w:sz w:val="20"/>
          <w:szCs w:val="20"/>
          <w:lang w:val="en" w:eastAsia="en-GB"/>
        </w:rPr>
        <w:t>The</w:t>
      </w:r>
      <w:r w:rsidR="00FF41A0">
        <w:rPr>
          <w:sz w:val="20"/>
          <w:szCs w:val="20"/>
          <w:lang w:val="en" w:eastAsia="en-GB"/>
        </w:rPr>
        <w:t xml:space="preserve"> </w:t>
      </w:r>
      <w:r w:rsidR="00323457" w:rsidRPr="0059638B">
        <w:rPr>
          <w:sz w:val="20"/>
          <w:szCs w:val="20"/>
          <w:lang w:val="en"/>
        </w:rPr>
        <w:t>Ambassador</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Permanent</w:t>
      </w:r>
      <w:r w:rsidR="00FF41A0">
        <w:rPr>
          <w:sz w:val="20"/>
          <w:szCs w:val="20"/>
          <w:lang w:val="en"/>
        </w:rPr>
        <w:t xml:space="preserve"> </w:t>
      </w:r>
      <w:r w:rsidR="00323457" w:rsidRPr="0059638B">
        <w:rPr>
          <w:sz w:val="20"/>
          <w:szCs w:val="20"/>
          <w:lang w:val="en"/>
        </w:rPr>
        <w:t>Representative</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Chad</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United</w:t>
      </w:r>
      <w:r w:rsidR="00FF41A0">
        <w:rPr>
          <w:sz w:val="20"/>
          <w:szCs w:val="20"/>
          <w:lang w:val="en"/>
        </w:rPr>
        <w:t xml:space="preserve"> </w:t>
      </w:r>
      <w:r w:rsidR="00323457" w:rsidRPr="0059638B">
        <w:rPr>
          <w:sz w:val="20"/>
          <w:szCs w:val="20"/>
          <w:lang w:val="en"/>
        </w:rPr>
        <w:t>Nations</w:t>
      </w:r>
      <w:r w:rsidR="00FF41A0">
        <w:rPr>
          <w:sz w:val="20"/>
          <w:szCs w:val="20"/>
          <w:lang w:val="en"/>
        </w:rPr>
        <w:t xml:space="preserve"> </w:t>
      </w:r>
      <w:r w:rsidR="00323457" w:rsidRPr="0059638B">
        <w:rPr>
          <w:sz w:val="20"/>
          <w:szCs w:val="20"/>
          <w:lang w:val="en"/>
        </w:rPr>
        <w:t>in</w:t>
      </w:r>
      <w:r w:rsidR="00FF41A0">
        <w:rPr>
          <w:sz w:val="20"/>
          <w:szCs w:val="20"/>
          <w:lang w:val="en"/>
        </w:rPr>
        <w:t xml:space="preserve"> </w:t>
      </w:r>
      <w:r w:rsidR="00323457" w:rsidRPr="0059638B">
        <w:rPr>
          <w:sz w:val="20"/>
          <w:szCs w:val="20"/>
          <w:lang w:val="en"/>
        </w:rPr>
        <w:t>Geneva,</w:t>
      </w:r>
      <w:r w:rsidR="00FF41A0">
        <w:rPr>
          <w:sz w:val="20"/>
          <w:szCs w:val="20"/>
          <w:lang w:val="en"/>
        </w:rPr>
        <w:t xml:space="preserve"> </w:t>
      </w:r>
      <w:r w:rsidR="00323457" w:rsidRPr="0059638B">
        <w:rPr>
          <w:sz w:val="20"/>
          <w:szCs w:val="20"/>
          <w:lang w:val="en"/>
        </w:rPr>
        <w:t>Ahmad</w:t>
      </w:r>
      <w:r w:rsidR="00FF41A0">
        <w:rPr>
          <w:sz w:val="20"/>
          <w:szCs w:val="20"/>
          <w:lang w:val="en"/>
        </w:rPr>
        <w:t xml:space="preserve"> </w:t>
      </w:r>
      <w:r w:rsidR="00323457" w:rsidRPr="0059638B">
        <w:rPr>
          <w:sz w:val="20"/>
          <w:szCs w:val="20"/>
          <w:lang w:val="en"/>
        </w:rPr>
        <w:t>Makaila,</w:t>
      </w:r>
      <w:r w:rsidR="00FF41A0">
        <w:rPr>
          <w:sz w:val="20"/>
          <w:szCs w:val="20"/>
          <w:lang w:val="en"/>
        </w:rPr>
        <w:t xml:space="preserve"> </w:t>
      </w:r>
      <w:r w:rsidR="00323457" w:rsidRPr="0059638B">
        <w:rPr>
          <w:sz w:val="20"/>
          <w:szCs w:val="20"/>
          <w:lang w:val="en"/>
        </w:rPr>
        <w:t>stated</w:t>
      </w:r>
      <w:r w:rsidR="00FF41A0">
        <w:rPr>
          <w:sz w:val="20"/>
          <w:szCs w:val="20"/>
          <w:lang w:val="en"/>
        </w:rPr>
        <w:t xml:space="preserve"> </w:t>
      </w:r>
      <w:r w:rsidR="00323457" w:rsidRPr="0059638B">
        <w:rPr>
          <w:sz w:val="20"/>
          <w:szCs w:val="20"/>
          <w:lang w:val="en"/>
        </w:rPr>
        <w:t>that</w:t>
      </w:r>
      <w:r w:rsidR="00FF41A0">
        <w:rPr>
          <w:sz w:val="20"/>
          <w:szCs w:val="20"/>
          <w:lang w:val="en"/>
        </w:rPr>
        <w:t xml:space="preserve"> </w:t>
      </w:r>
      <w:r w:rsidR="00323457" w:rsidRPr="0059638B">
        <w:rPr>
          <w:sz w:val="20"/>
          <w:szCs w:val="20"/>
          <w:lang w:val="en"/>
        </w:rPr>
        <w:t>respect,</w:t>
      </w:r>
      <w:r w:rsidR="00FF41A0">
        <w:rPr>
          <w:sz w:val="20"/>
          <w:szCs w:val="20"/>
          <w:lang w:val="en"/>
        </w:rPr>
        <w:t xml:space="preserve"> </w:t>
      </w:r>
      <w:r w:rsidR="00323457" w:rsidRPr="0059638B">
        <w:rPr>
          <w:sz w:val="20"/>
          <w:szCs w:val="20"/>
          <w:lang w:val="en"/>
        </w:rPr>
        <w:t>protection</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promotion</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human</w:t>
      </w:r>
      <w:r w:rsidR="00FF41A0">
        <w:rPr>
          <w:sz w:val="20"/>
          <w:szCs w:val="20"/>
          <w:lang w:val="en"/>
        </w:rPr>
        <w:t xml:space="preserve"> </w:t>
      </w:r>
      <w:r w:rsidR="00323457" w:rsidRPr="0059638B">
        <w:rPr>
          <w:sz w:val="20"/>
          <w:szCs w:val="20"/>
          <w:lang w:val="en"/>
        </w:rPr>
        <w:t>rights</w:t>
      </w:r>
      <w:r w:rsidR="00FF41A0">
        <w:rPr>
          <w:sz w:val="20"/>
          <w:szCs w:val="20"/>
          <w:lang w:val="en"/>
        </w:rPr>
        <w:t xml:space="preserve"> </w:t>
      </w:r>
      <w:r w:rsidR="00323457" w:rsidRPr="0059638B">
        <w:rPr>
          <w:sz w:val="20"/>
          <w:szCs w:val="20"/>
          <w:lang w:val="en"/>
        </w:rPr>
        <w:t>is</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sovereign</w:t>
      </w:r>
      <w:r w:rsidR="00FF41A0">
        <w:rPr>
          <w:sz w:val="20"/>
          <w:szCs w:val="20"/>
          <w:lang w:val="en"/>
        </w:rPr>
        <w:t xml:space="preserve"> </w:t>
      </w:r>
      <w:r w:rsidR="00323457" w:rsidRPr="0059638B">
        <w:rPr>
          <w:sz w:val="20"/>
          <w:szCs w:val="20"/>
          <w:lang w:val="en"/>
        </w:rPr>
        <w:t>responsibility</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State</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a</w:t>
      </w:r>
      <w:r w:rsidR="00FF41A0">
        <w:rPr>
          <w:sz w:val="20"/>
          <w:szCs w:val="20"/>
          <w:lang w:val="en"/>
        </w:rPr>
        <w:t xml:space="preserve"> </w:t>
      </w:r>
      <w:r w:rsidR="00323457" w:rsidRPr="0059638B">
        <w:rPr>
          <w:sz w:val="20"/>
          <w:szCs w:val="20"/>
          <w:lang w:val="en"/>
        </w:rPr>
        <w:t>constitutional</w:t>
      </w:r>
      <w:r w:rsidR="00FF41A0">
        <w:rPr>
          <w:sz w:val="20"/>
          <w:szCs w:val="20"/>
          <w:lang w:val="en"/>
        </w:rPr>
        <w:t xml:space="preserve"> </w:t>
      </w:r>
      <w:r w:rsidR="00323457" w:rsidRPr="0059638B">
        <w:rPr>
          <w:sz w:val="20"/>
          <w:szCs w:val="20"/>
          <w:lang w:val="en"/>
        </w:rPr>
        <w:t>obligation.</w:t>
      </w:r>
      <w:r w:rsidR="00FF41A0">
        <w:rPr>
          <w:sz w:val="20"/>
          <w:szCs w:val="20"/>
          <w:lang w:val="en"/>
        </w:rPr>
        <w:t xml:space="preserve"> </w:t>
      </w:r>
      <w:r w:rsidR="00323457" w:rsidRPr="0059638B">
        <w:rPr>
          <w:sz w:val="20"/>
          <w:szCs w:val="20"/>
          <w:lang w:val="en"/>
        </w:rPr>
        <w:t>In</w:t>
      </w:r>
      <w:r w:rsidR="00FF41A0">
        <w:rPr>
          <w:sz w:val="20"/>
          <w:szCs w:val="20"/>
          <w:lang w:val="en"/>
        </w:rPr>
        <w:t xml:space="preserve"> </w:t>
      </w:r>
      <w:r w:rsidR="00323457" w:rsidRPr="0059638B">
        <w:rPr>
          <w:sz w:val="20"/>
          <w:szCs w:val="20"/>
          <w:lang w:val="en"/>
        </w:rPr>
        <w:t>so</w:t>
      </w:r>
      <w:r w:rsidR="00FF41A0">
        <w:rPr>
          <w:sz w:val="20"/>
          <w:szCs w:val="20"/>
          <w:lang w:val="en"/>
        </w:rPr>
        <w:t xml:space="preserve"> </w:t>
      </w:r>
      <w:r w:rsidR="00323457" w:rsidRPr="0059638B">
        <w:rPr>
          <w:sz w:val="20"/>
          <w:szCs w:val="20"/>
          <w:lang w:val="en"/>
        </w:rPr>
        <w:t>far</w:t>
      </w:r>
      <w:r w:rsidR="00FF41A0">
        <w:rPr>
          <w:sz w:val="20"/>
          <w:szCs w:val="20"/>
          <w:lang w:val="en"/>
        </w:rPr>
        <w:t xml:space="preserve"> </w:t>
      </w:r>
      <w:r w:rsidR="00323457" w:rsidRPr="0059638B">
        <w:rPr>
          <w:sz w:val="20"/>
          <w:szCs w:val="20"/>
          <w:lang w:val="en"/>
        </w:rPr>
        <w:t>as</w:t>
      </w:r>
      <w:r w:rsidR="00FF41A0">
        <w:rPr>
          <w:sz w:val="20"/>
          <w:szCs w:val="20"/>
          <w:lang w:val="en"/>
        </w:rPr>
        <w:t xml:space="preserve"> </w:t>
      </w:r>
      <w:r w:rsidR="00323457" w:rsidRPr="0059638B">
        <w:rPr>
          <w:sz w:val="20"/>
          <w:szCs w:val="20"/>
          <w:lang w:val="en"/>
        </w:rPr>
        <w:t>possible,</w:t>
      </w:r>
      <w:r w:rsidR="00FF41A0">
        <w:rPr>
          <w:sz w:val="20"/>
          <w:szCs w:val="20"/>
          <w:lang w:val="en"/>
        </w:rPr>
        <w:t xml:space="preserve"> </w:t>
      </w:r>
      <w:r w:rsidR="00323457" w:rsidRPr="0059638B">
        <w:rPr>
          <w:sz w:val="20"/>
          <w:szCs w:val="20"/>
          <w:lang w:val="en"/>
        </w:rPr>
        <w:t>politicizing</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universal</w:t>
      </w:r>
      <w:r w:rsidR="00FF41A0">
        <w:rPr>
          <w:sz w:val="20"/>
          <w:szCs w:val="20"/>
          <w:lang w:val="en"/>
        </w:rPr>
        <w:t xml:space="preserve"> </w:t>
      </w:r>
      <w:r w:rsidR="00323457" w:rsidRPr="0059638B">
        <w:rPr>
          <w:sz w:val="20"/>
          <w:szCs w:val="20"/>
          <w:lang w:val="en"/>
        </w:rPr>
        <w:t>periodic</w:t>
      </w:r>
      <w:r w:rsidR="00FF41A0">
        <w:rPr>
          <w:sz w:val="20"/>
          <w:szCs w:val="20"/>
          <w:lang w:val="en"/>
        </w:rPr>
        <w:t xml:space="preserve"> </w:t>
      </w:r>
      <w:r w:rsidR="00323457" w:rsidRPr="0059638B">
        <w:rPr>
          <w:sz w:val="20"/>
          <w:szCs w:val="20"/>
          <w:lang w:val="en"/>
        </w:rPr>
        <w:t>review</w:t>
      </w:r>
      <w:r w:rsidR="00FF41A0">
        <w:rPr>
          <w:sz w:val="20"/>
          <w:szCs w:val="20"/>
          <w:lang w:val="en"/>
        </w:rPr>
        <w:t xml:space="preserve"> </w:t>
      </w:r>
      <w:r w:rsidR="00323457" w:rsidRPr="0059638B">
        <w:rPr>
          <w:sz w:val="20"/>
          <w:szCs w:val="20"/>
          <w:lang w:val="en"/>
        </w:rPr>
        <w:t>should</w:t>
      </w:r>
      <w:r w:rsidR="00FF41A0">
        <w:rPr>
          <w:sz w:val="20"/>
          <w:szCs w:val="20"/>
          <w:lang w:val="en"/>
        </w:rPr>
        <w:t xml:space="preserve"> </w:t>
      </w:r>
      <w:r w:rsidR="00323457" w:rsidRPr="0059638B">
        <w:rPr>
          <w:sz w:val="20"/>
          <w:szCs w:val="20"/>
          <w:lang w:val="en"/>
        </w:rPr>
        <w:t>be</w:t>
      </w:r>
      <w:r w:rsidR="00FF41A0">
        <w:rPr>
          <w:sz w:val="20"/>
          <w:szCs w:val="20"/>
          <w:lang w:val="en"/>
        </w:rPr>
        <w:t xml:space="preserve"> </w:t>
      </w:r>
      <w:r w:rsidR="00323457" w:rsidRPr="0059638B">
        <w:rPr>
          <w:sz w:val="20"/>
          <w:szCs w:val="20"/>
          <w:lang w:val="en"/>
        </w:rPr>
        <w:t>avoided.</w:t>
      </w:r>
      <w:r w:rsidR="00FF41A0">
        <w:rPr>
          <w:sz w:val="20"/>
          <w:szCs w:val="20"/>
          <w:lang w:val="en"/>
        </w:rPr>
        <w:t xml:space="preserve"> </w:t>
      </w:r>
      <w:r w:rsidR="00323457" w:rsidRPr="0059638B">
        <w:rPr>
          <w:sz w:val="20"/>
          <w:szCs w:val="20"/>
          <w:lang w:val="en"/>
        </w:rPr>
        <w:t>He</w:t>
      </w:r>
      <w:r w:rsidR="00FF41A0">
        <w:rPr>
          <w:sz w:val="20"/>
          <w:szCs w:val="20"/>
          <w:lang w:val="en"/>
        </w:rPr>
        <w:t xml:space="preserve"> </w:t>
      </w:r>
      <w:r w:rsidR="00323457" w:rsidRPr="0059638B">
        <w:rPr>
          <w:sz w:val="20"/>
          <w:szCs w:val="20"/>
          <w:lang w:val="en"/>
        </w:rPr>
        <w:t>emphasised</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indivisible</w:t>
      </w:r>
      <w:r w:rsidR="00FF41A0">
        <w:rPr>
          <w:sz w:val="20"/>
          <w:szCs w:val="20"/>
          <w:lang w:val="en"/>
        </w:rPr>
        <w:t xml:space="preserve"> </w:t>
      </w:r>
      <w:r w:rsidR="00323457" w:rsidRPr="0059638B">
        <w:rPr>
          <w:sz w:val="20"/>
          <w:szCs w:val="20"/>
          <w:lang w:val="en"/>
        </w:rPr>
        <w:t>nature</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non-selectivity</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human</w:t>
      </w:r>
      <w:r w:rsidR="00FF41A0">
        <w:rPr>
          <w:sz w:val="20"/>
          <w:szCs w:val="20"/>
          <w:lang w:val="en"/>
        </w:rPr>
        <w:t xml:space="preserve"> </w:t>
      </w:r>
      <w:r w:rsidR="00323457" w:rsidRPr="0059638B">
        <w:rPr>
          <w:sz w:val="20"/>
          <w:szCs w:val="20"/>
          <w:lang w:val="en"/>
        </w:rPr>
        <w:t>rights,</w:t>
      </w:r>
      <w:r w:rsidR="00FF41A0">
        <w:rPr>
          <w:sz w:val="20"/>
          <w:szCs w:val="20"/>
          <w:lang w:val="en"/>
        </w:rPr>
        <w:t xml:space="preserve"> </w:t>
      </w:r>
      <w:r w:rsidR="00323457" w:rsidRPr="0059638B">
        <w:rPr>
          <w:sz w:val="20"/>
          <w:szCs w:val="20"/>
          <w:lang w:val="en"/>
        </w:rPr>
        <w:t>all</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which</w:t>
      </w:r>
      <w:r w:rsidR="00FF41A0">
        <w:rPr>
          <w:sz w:val="20"/>
          <w:szCs w:val="20"/>
          <w:lang w:val="en"/>
        </w:rPr>
        <w:t xml:space="preserve"> </w:t>
      </w:r>
      <w:r w:rsidR="00323457" w:rsidRPr="0059638B">
        <w:rPr>
          <w:sz w:val="20"/>
          <w:szCs w:val="20"/>
          <w:lang w:val="en"/>
        </w:rPr>
        <w:t>deserve</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be</w:t>
      </w:r>
      <w:r w:rsidR="00FF41A0">
        <w:rPr>
          <w:sz w:val="20"/>
          <w:szCs w:val="20"/>
          <w:lang w:val="en"/>
        </w:rPr>
        <w:t xml:space="preserve"> </w:t>
      </w:r>
      <w:r w:rsidR="00323457" w:rsidRPr="0059638B">
        <w:rPr>
          <w:sz w:val="20"/>
          <w:szCs w:val="20"/>
          <w:lang w:val="en"/>
        </w:rPr>
        <w:t>protected</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celebrated.</w:t>
      </w:r>
    </w:p>
    <w:p w14:paraId="590593D9" w14:textId="7AA29B55" w:rsidR="00323457" w:rsidRPr="0059638B" w:rsidRDefault="0035721D" w:rsidP="00323457">
      <w:pPr>
        <w:pStyle w:val="SingleTxtG"/>
        <w:rPr>
          <w:b/>
          <w:bCs/>
          <w:sz w:val="20"/>
          <w:szCs w:val="20"/>
        </w:rPr>
      </w:pPr>
      <w:r>
        <w:rPr>
          <w:sz w:val="20"/>
          <w:szCs w:val="20"/>
          <w:lang w:val="en"/>
        </w:rPr>
        <w:t>815</w:t>
      </w:r>
      <w:r w:rsidR="00D7475F">
        <w:rPr>
          <w:sz w:val="20"/>
          <w:szCs w:val="20"/>
          <w:lang w:val="en"/>
        </w:rPr>
        <w:t>.</w:t>
      </w:r>
      <w:r w:rsidR="00D7475F">
        <w:rPr>
          <w:sz w:val="20"/>
          <w:szCs w:val="20"/>
          <w:lang w:val="en"/>
        </w:rPr>
        <w:tab/>
      </w:r>
      <w:r w:rsidR="00323457" w:rsidRPr="0059638B">
        <w:rPr>
          <w:sz w:val="20"/>
          <w:szCs w:val="20"/>
          <w:lang w:val="en"/>
        </w:rPr>
        <w:t>In</w:t>
      </w:r>
      <w:r w:rsidR="00FF41A0">
        <w:rPr>
          <w:sz w:val="20"/>
          <w:szCs w:val="20"/>
          <w:lang w:val="en"/>
        </w:rPr>
        <w:t xml:space="preserve"> </w:t>
      </w:r>
      <w:r w:rsidR="00323457" w:rsidRPr="0059638B">
        <w:rPr>
          <w:sz w:val="20"/>
          <w:szCs w:val="20"/>
          <w:lang w:val="en"/>
        </w:rPr>
        <w:t>his</w:t>
      </w:r>
      <w:r w:rsidR="00FF41A0">
        <w:rPr>
          <w:sz w:val="20"/>
          <w:szCs w:val="20"/>
          <w:lang w:val="en"/>
        </w:rPr>
        <w:t xml:space="preserve"> </w:t>
      </w:r>
      <w:r w:rsidR="00323457" w:rsidRPr="0059638B">
        <w:rPr>
          <w:sz w:val="20"/>
          <w:szCs w:val="20"/>
          <w:lang w:val="en"/>
        </w:rPr>
        <w:t>closing</w:t>
      </w:r>
      <w:r w:rsidR="00FF41A0">
        <w:rPr>
          <w:sz w:val="20"/>
          <w:szCs w:val="20"/>
          <w:lang w:val="en"/>
        </w:rPr>
        <w:t xml:space="preserve"> </w:t>
      </w:r>
      <w:r w:rsidR="00323457" w:rsidRPr="0059638B">
        <w:rPr>
          <w:sz w:val="20"/>
          <w:szCs w:val="20"/>
          <w:lang w:val="en"/>
        </w:rPr>
        <w:t>statement,</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head</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delegation</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Chad</w:t>
      </w:r>
      <w:r w:rsidR="00FF41A0">
        <w:rPr>
          <w:sz w:val="20"/>
          <w:szCs w:val="20"/>
          <w:lang w:val="en"/>
        </w:rPr>
        <w:t xml:space="preserve"> </w:t>
      </w:r>
      <w:r w:rsidR="00323457" w:rsidRPr="0059638B">
        <w:rPr>
          <w:sz w:val="20"/>
          <w:szCs w:val="20"/>
          <w:lang w:val="en"/>
        </w:rPr>
        <w:t>stressed</w:t>
      </w:r>
      <w:r w:rsidR="00FF41A0">
        <w:rPr>
          <w:sz w:val="20"/>
          <w:szCs w:val="20"/>
          <w:lang w:val="en"/>
        </w:rPr>
        <w:t xml:space="preserve"> </w:t>
      </w:r>
      <w:r w:rsidR="00323457" w:rsidRPr="0059638B">
        <w:rPr>
          <w:sz w:val="20"/>
          <w:szCs w:val="20"/>
          <w:lang w:val="en"/>
        </w:rPr>
        <w:t>that</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issue</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human</w:t>
      </w:r>
      <w:r w:rsidR="00FF41A0">
        <w:rPr>
          <w:sz w:val="20"/>
          <w:szCs w:val="20"/>
          <w:lang w:val="en"/>
        </w:rPr>
        <w:t xml:space="preserve"> </w:t>
      </w:r>
      <w:r w:rsidR="00323457" w:rsidRPr="0059638B">
        <w:rPr>
          <w:sz w:val="20"/>
          <w:szCs w:val="20"/>
          <w:lang w:val="en"/>
        </w:rPr>
        <w:t>rights</w:t>
      </w:r>
      <w:r w:rsidR="00FF41A0">
        <w:rPr>
          <w:sz w:val="20"/>
          <w:szCs w:val="20"/>
          <w:lang w:val="en"/>
        </w:rPr>
        <w:t xml:space="preserve"> </w:t>
      </w:r>
      <w:r w:rsidR="00323457" w:rsidRPr="0059638B">
        <w:rPr>
          <w:sz w:val="20"/>
          <w:szCs w:val="20"/>
          <w:lang w:val="en"/>
        </w:rPr>
        <w:t>is</w:t>
      </w:r>
      <w:r w:rsidR="00FF41A0">
        <w:rPr>
          <w:sz w:val="20"/>
          <w:szCs w:val="20"/>
          <w:lang w:val="en"/>
        </w:rPr>
        <w:t xml:space="preserve"> </w:t>
      </w:r>
      <w:r w:rsidR="00323457" w:rsidRPr="0059638B">
        <w:rPr>
          <w:sz w:val="20"/>
          <w:szCs w:val="20"/>
          <w:lang w:val="en"/>
        </w:rPr>
        <w:t>a</w:t>
      </w:r>
      <w:r w:rsidR="00FF41A0">
        <w:rPr>
          <w:sz w:val="20"/>
          <w:szCs w:val="20"/>
          <w:lang w:val="en"/>
        </w:rPr>
        <w:t xml:space="preserve"> </w:t>
      </w:r>
      <w:r w:rsidR="00323457" w:rsidRPr="0059638B">
        <w:rPr>
          <w:sz w:val="20"/>
          <w:szCs w:val="20"/>
          <w:lang w:val="en"/>
        </w:rPr>
        <w:t>permanent</w:t>
      </w:r>
      <w:r w:rsidR="00FF41A0">
        <w:rPr>
          <w:sz w:val="20"/>
          <w:szCs w:val="20"/>
          <w:lang w:val="en"/>
        </w:rPr>
        <w:t xml:space="preserve"> </w:t>
      </w:r>
      <w:r w:rsidR="00323457" w:rsidRPr="0059638B">
        <w:rPr>
          <w:sz w:val="20"/>
          <w:szCs w:val="20"/>
          <w:lang w:val="en"/>
        </w:rPr>
        <w:t>quest</w:t>
      </w:r>
      <w:r w:rsidR="00FF41A0">
        <w:rPr>
          <w:sz w:val="20"/>
          <w:szCs w:val="20"/>
          <w:lang w:val="en"/>
        </w:rPr>
        <w:t xml:space="preserve"> </w:t>
      </w:r>
      <w:r w:rsidR="00323457" w:rsidRPr="0059638B">
        <w:rPr>
          <w:sz w:val="20"/>
          <w:szCs w:val="20"/>
          <w:lang w:val="en"/>
        </w:rPr>
        <w:t>for</w:t>
      </w:r>
      <w:r w:rsidR="00FF41A0">
        <w:rPr>
          <w:sz w:val="20"/>
          <w:szCs w:val="20"/>
          <w:lang w:val="en"/>
        </w:rPr>
        <w:t xml:space="preserve"> </w:t>
      </w:r>
      <w:r w:rsidR="00323457" w:rsidRPr="0059638B">
        <w:rPr>
          <w:sz w:val="20"/>
          <w:szCs w:val="20"/>
          <w:lang w:val="en"/>
        </w:rPr>
        <w:t>all</w:t>
      </w:r>
      <w:r w:rsidR="00FF41A0">
        <w:rPr>
          <w:sz w:val="20"/>
          <w:szCs w:val="20"/>
          <w:lang w:val="en"/>
        </w:rPr>
        <w:t xml:space="preserve"> </w:t>
      </w:r>
      <w:r w:rsidR="00323457" w:rsidRPr="0059638B">
        <w:rPr>
          <w:sz w:val="20"/>
          <w:szCs w:val="20"/>
          <w:lang w:val="en"/>
        </w:rPr>
        <w:t>countries</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world</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a</w:t>
      </w:r>
      <w:r w:rsidR="00FF41A0">
        <w:rPr>
          <w:sz w:val="20"/>
          <w:szCs w:val="20"/>
          <w:lang w:val="en"/>
        </w:rPr>
        <w:t xml:space="preserve"> </w:t>
      </w:r>
      <w:r w:rsidR="00323457" w:rsidRPr="0059638B">
        <w:rPr>
          <w:sz w:val="20"/>
          <w:szCs w:val="20"/>
          <w:lang w:val="en"/>
        </w:rPr>
        <w:t>constant</w:t>
      </w:r>
      <w:r w:rsidR="00FF41A0">
        <w:rPr>
          <w:sz w:val="20"/>
          <w:szCs w:val="20"/>
          <w:lang w:val="en"/>
        </w:rPr>
        <w:t xml:space="preserve"> </w:t>
      </w:r>
      <w:r w:rsidR="00323457" w:rsidRPr="0059638B">
        <w:rPr>
          <w:sz w:val="20"/>
          <w:szCs w:val="20"/>
          <w:lang w:val="en"/>
        </w:rPr>
        <w:t>battle</w:t>
      </w:r>
      <w:r w:rsidR="00FF41A0">
        <w:rPr>
          <w:sz w:val="20"/>
          <w:szCs w:val="20"/>
          <w:lang w:val="en"/>
        </w:rPr>
        <w:t xml:space="preserve"> </w:t>
      </w:r>
      <w:r w:rsidR="00323457" w:rsidRPr="0059638B">
        <w:rPr>
          <w:sz w:val="20"/>
          <w:szCs w:val="20"/>
          <w:lang w:val="en"/>
        </w:rPr>
        <w:t>that</w:t>
      </w:r>
      <w:r w:rsidR="00FF41A0">
        <w:rPr>
          <w:sz w:val="20"/>
          <w:szCs w:val="20"/>
          <w:lang w:val="en"/>
        </w:rPr>
        <w:t xml:space="preserve"> </w:t>
      </w:r>
      <w:r w:rsidR="00323457" w:rsidRPr="0059638B">
        <w:rPr>
          <w:sz w:val="20"/>
          <w:szCs w:val="20"/>
          <w:lang w:val="en"/>
        </w:rPr>
        <w:t>every</w:t>
      </w:r>
      <w:r w:rsidR="00FF41A0">
        <w:rPr>
          <w:sz w:val="20"/>
          <w:szCs w:val="20"/>
          <w:lang w:val="en"/>
        </w:rPr>
        <w:t xml:space="preserve"> </w:t>
      </w:r>
      <w:r w:rsidR="00323457" w:rsidRPr="0059638B">
        <w:rPr>
          <w:sz w:val="20"/>
          <w:szCs w:val="20"/>
          <w:lang w:val="en"/>
        </w:rPr>
        <w:t>country</w:t>
      </w:r>
      <w:r w:rsidR="00FF41A0">
        <w:rPr>
          <w:sz w:val="20"/>
          <w:szCs w:val="20"/>
          <w:lang w:val="en"/>
        </w:rPr>
        <w:t xml:space="preserve"> </w:t>
      </w:r>
      <w:r w:rsidR="00323457" w:rsidRPr="0059638B">
        <w:rPr>
          <w:sz w:val="20"/>
          <w:szCs w:val="20"/>
          <w:lang w:val="en"/>
        </w:rPr>
        <w:t>needs</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fight</w:t>
      </w:r>
      <w:r w:rsidR="00FF41A0">
        <w:rPr>
          <w:sz w:val="20"/>
          <w:szCs w:val="20"/>
          <w:lang w:val="en"/>
        </w:rPr>
        <w:t xml:space="preserve"> </w:t>
      </w:r>
      <w:r w:rsidR="00323457" w:rsidRPr="0059638B">
        <w:rPr>
          <w:sz w:val="20"/>
          <w:szCs w:val="20"/>
          <w:lang w:val="en"/>
        </w:rPr>
        <w:t>at</w:t>
      </w:r>
      <w:r w:rsidR="00FF41A0">
        <w:rPr>
          <w:sz w:val="20"/>
          <w:szCs w:val="20"/>
          <w:lang w:val="en"/>
        </w:rPr>
        <w:t xml:space="preserve"> </w:t>
      </w:r>
      <w:r w:rsidR="00323457" w:rsidRPr="0059638B">
        <w:rPr>
          <w:sz w:val="20"/>
          <w:szCs w:val="20"/>
          <w:lang w:val="en"/>
        </w:rPr>
        <w:t>different</w:t>
      </w:r>
      <w:r w:rsidR="00FF41A0">
        <w:rPr>
          <w:sz w:val="20"/>
          <w:szCs w:val="20"/>
          <w:lang w:val="en"/>
        </w:rPr>
        <w:t xml:space="preserve"> </w:t>
      </w:r>
      <w:r w:rsidR="00323457" w:rsidRPr="0059638B">
        <w:rPr>
          <w:sz w:val="20"/>
          <w:szCs w:val="20"/>
          <w:lang w:val="en"/>
        </w:rPr>
        <w:t>level.</w:t>
      </w:r>
      <w:r w:rsidR="00FF41A0">
        <w:rPr>
          <w:sz w:val="20"/>
          <w:szCs w:val="20"/>
          <w:lang w:val="en"/>
        </w:rPr>
        <w:t xml:space="preserve"> </w:t>
      </w:r>
      <w:r w:rsidR="00323457" w:rsidRPr="0059638B">
        <w:rPr>
          <w:sz w:val="20"/>
          <w:szCs w:val="20"/>
          <w:lang w:val="en"/>
        </w:rPr>
        <w:t>Chad</w:t>
      </w:r>
      <w:r w:rsidR="00FF41A0">
        <w:rPr>
          <w:sz w:val="20"/>
          <w:szCs w:val="20"/>
          <w:lang w:val="en"/>
        </w:rPr>
        <w:t xml:space="preserve"> </w:t>
      </w:r>
      <w:r w:rsidR="00323457" w:rsidRPr="0059638B">
        <w:rPr>
          <w:sz w:val="20"/>
          <w:szCs w:val="20"/>
          <w:lang w:val="en"/>
        </w:rPr>
        <w:t>is</w:t>
      </w:r>
      <w:r w:rsidR="00FF41A0">
        <w:rPr>
          <w:sz w:val="20"/>
          <w:szCs w:val="20"/>
          <w:lang w:val="en"/>
        </w:rPr>
        <w:t xml:space="preserve"> </w:t>
      </w:r>
      <w:r w:rsidR="00323457" w:rsidRPr="0059638B">
        <w:rPr>
          <w:sz w:val="20"/>
          <w:szCs w:val="20"/>
          <w:lang w:val="en"/>
        </w:rPr>
        <w:t>available</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continue</w:t>
      </w:r>
      <w:r w:rsidR="00FF41A0">
        <w:rPr>
          <w:sz w:val="20"/>
          <w:szCs w:val="20"/>
          <w:lang w:val="en"/>
        </w:rPr>
        <w:t xml:space="preserve"> </w:t>
      </w:r>
      <w:r w:rsidR="00323457" w:rsidRPr="0059638B">
        <w:rPr>
          <w:sz w:val="20"/>
          <w:szCs w:val="20"/>
          <w:lang w:val="en"/>
        </w:rPr>
        <w:t>its</w:t>
      </w:r>
      <w:r w:rsidR="00FF41A0">
        <w:rPr>
          <w:sz w:val="20"/>
          <w:szCs w:val="20"/>
          <w:lang w:val="en"/>
        </w:rPr>
        <w:t xml:space="preserve"> </w:t>
      </w:r>
      <w:r w:rsidR="00323457" w:rsidRPr="0059638B">
        <w:rPr>
          <w:sz w:val="20"/>
          <w:szCs w:val="20"/>
          <w:lang w:val="en"/>
        </w:rPr>
        <w:t>cooperation</w:t>
      </w:r>
      <w:r w:rsidR="00FF41A0">
        <w:rPr>
          <w:sz w:val="20"/>
          <w:szCs w:val="20"/>
          <w:lang w:val="en"/>
        </w:rPr>
        <w:t xml:space="preserve"> </w:t>
      </w:r>
      <w:r w:rsidR="00323457" w:rsidRPr="0059638B">
        <w:rPr>
          <w:sz w:val="20"/>
          <w:szCs w:val="20"/>
          <w:lang w:val="en"/>
        </w:rPr>
        <w:t>with</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Human</w:t>
      </w:r>
      <w:r w:rsidR="00FF41A0">
        <w:rPr>
          <w:sz w:val="20"/>
          <w:szCs w:val="20"/>
          <w:lang w:val="en"/>
        </w:rPr>
        <w:t xml:space="preserve"> </w:t>
      </w:r>
      <w:r w:rsidR="00323457" w:rsidRPr="0059638B">
        <w:rPr>
          <w:sz w:val="20"/>
          <w:szCs w:val="20"/>
          <w:lang w:val="en"/>
        </w:rPr>
        <w:t>Rights</w:t>
      </w:r>
      <w:r w:rsidR="00FF41A0">
        <w:rPr>
          <w:sz w:val="20"/>
          <w:szCs w:val="20"/>
          <w:lang w:val="en"/>
        </w:rPr>
        <w:t xml:space="preserve"> </w:t>
      </w:r>
      <w:r w:rsidR="00323457" w:rsidRPr="0059638B">
        <w:rPr>
          <w:sz w:val="20"/>
          <w:szCs w:val="20"/>
          <w:lang w:val="en"/>
        </w:rPr>
        <w:t>Council</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whole</w:t>
      </w:r>
      <w:r w:rsidR="00FF41A0">
        <w:rPr>
          <w:sz w:val="20"/>
          <w:szCs w:val="20"/>
          <w:lang w:val="en"/>
        </w:rPr>
        <w:t xml:space="preserve"> </w:t>
      </w:r>
      <w:r w:rsidR="00323457" w:rsidRPr="0059638B">
        <w:rPr>
          <w:sz w:val="20"/>
          <w:szCs w:val="20"/>
          <w:lang w:val="en"/>
        </w:rPr>
        <w:t>United</w:t>
      </w:r>
      <w:r w:rsidR="00FF41A0">
        <w:rPr>
          <w:sz w:val="20"/>
          <w:szCs w:val="20"/>
          <w:lang w:val="en"/>
        </w:rPr>
        <w:t xml:space="preserve"> </w:t>
      </w:r>
      <w:r w:rsidR="00323457" w:rsidRPr="0059638B">
        <w:rPr>
          <w:sz w:val="20"/>
          <w:szCs w:val="20"/>
          <w:lang w:val="en"/>
        </w:rPr>
        <w:t>Nations</w:t>
      </w:r>
      <w:r w:rsidR="00FF41A0">
        <w:rPr>
          <w:sz w:val="20"/>
          <w:szCs w:val="20"/>
          <w:lang w:val="en"/>
        </w:rPr>
        <w:t xml:space="preserve"> </w:t>
      </w:r>
      <w:r w:rsidR="00323457" w:rsidRPr="0059638B">
        <w:rPr>
          <w:sz w:val="20"/>
          <w:szCs w:val="20"/>
          <w:lang w:val="en"/>
        </w:rPr>
        <w:t>system</w:t>
      </w:r>
      <w:r w:rsidR="00FF41A0">
        <w:rPr>
          <w:sz w:val="20"/>
          <w:szCs w:val="20"/>
          <w:lang w:val="en"/>
        </w:rPr>
        <w:t xml:space="preserve"> </w:t>
      </w:r>
      <w:r w:rsidR="00323457" w:rsidRPr="0059638B">
        <w:rPr>
          <w:sz w:val="20"/>
          <w:szCs w:val="20"/>
          <w:lang w:val="en"/>
        </w:rPr>
        <w:t>in</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sense</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strengthening</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stability</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its</w:t>
      </w:r>
      <w:r w:rsidR="00FF41A0">
        <w:rPr>
          <w:sz w:val="20"/>
          <w:szCs w:val="20"/>
          <w:lang w:val="en"/>
        </w:rPr>
        <w:t xml:space="preserve"> </w:t>
      </w:r>
      <w:r w:rsidR="00323457" w:rsidRPr="0059638B">
        <w:rPr>
          <w:sz w:val="20"/>
          <w:szCs w:val="20"/>
          <w:lang w:val="en"/>
        </w:rPr>
        <w:t>institutions,</w:t>
      </w:r>
      <w:r w:rsidR="00FF41A0">
        <w:rPr>
          <w:sz w:val="20"/>
          <w:szCs w:val="20"/>
          <w:lang w:val="en"/>
        </w:rPr>
        <w:t xml:space="preserve"> </w:t>
      </w:r>
      <w:r w:rsidR="00323457" w:rsidRPr="0059638B">
        <w:rPr>
          <w:sz w:val="20"/>
          <w:szCs w:val="20"/>
          <w:lang w:val="en"/>
        </w:rPr>
        <w:t>guaranteeing</w:t>
      </w:r>
      <w:r w:rsidR="00FF41A0">
        <w:rPr>
          <w:sz w:val="20"/>
          <w:szCs w:val="20"/>
          <w:lang w:val="en"/>
        </w:rPr>
        <w:t xml:space="preserve"> </w:t>
      </w:r>
      <w:r w:rsidR="00323457" w:rsidRPr="0059638B">
        <w:rPr>
          <w:sz w:val="20"/>
          <w:szCs w:val="20"/>
          <w:lang w:val="en"/>
        </w:rPr>
        <w:t>peace,</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working</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improve</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well-being</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its</w:t>
      </w:r>
      <w:r w:rsidR="00FF41A0">
        <w:rPr>
          <w:sz w:val="20"/>
          <w:szCs w:val="20"/>
          <w:lang w:val="en"/>
        </w:rPr>
        <w:t xml:space="preserve"> </w:t>
      </w:r>
      <w:r w:rsidR="00323457" w:rsidRPr="0059638B">
        <w:rPr>
          <w:sz w:val="20"/>
          <w:szCs w:val="20"/>
          <w:lang w:val="en"/>
        </w:rPr>
        <w:t>people.</w:t>
      </w:r>
    </w:p>
    <w:p w14:paraId="4605E331" w14:textId="77777777" w:rsidR="00323457" w:rsidRPr="0059638B" w:rsidRDefault="00323457" w:rsidP="00323457">
      <w:pPr>
        <w:pStyle w:val="SingleTxtG"/>
        <w:rPr>
          <w:b/>
          <w:bCs/>
          <w:sz w:val="20"/>
          <w:szCs w:val="20"/>
        </w:rPr>
      </w:pPr>
      <w:r w:rsidRPr="0059638B">
        <w:rPr>
          <w:b/>
          <w:bCs/>
          <w:sz w:val="20"/>
          <w:szCs w:val="20"/>
        </w:rPr>
        <w:t>China</w:t>
      </w:r>
    </w:p>
    <w:p w14:paraId="2BA64434" w14:textId="1E6EF991" w:rsidR="00D1034B" w:rsidRDefault="0035721D" w:rsidP="00D1034B">
      <w:pPr>
        <w:pStyle w:val="SingleTxtG"/>
        <w:rPr>
          <w:sz w:val="20"/>
          <w:szCs w:val="20"/>
        </w:rPr>
      </w:pPr>
      <w:r>
        <w:rPr>
          <w:sz w:val="20"/>
          <w:szCs w:val="20"/>
        </w:rPr>
        <w:t>816</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held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6</w:t>
      </w:r>
      <w:r w:rsidR="00FF41A0">
        <w:rPr>
          <w:sz w:val="20"/>
          <w:szCs w:val="20"/>
        </w:rPr>
        <w:t xml:space="preserve"> </w:t>
      </w:r>
      <w:r w:rsidR="00323457" w:rsidRPr="0059638B">
        <w:rPr>
          <w:sz w:val="20"/>
          <w:szCs w:val="20"/>
        </w:rPr>
        <w:t>November</w:t>
      </w:r>
      <w:r w:rsidR="00FF41A0">
        <w:rPr>
          <w:sz w:val="20"/>
          <w:szCs w:val="20"/>
        </w:rPr>
        <w:t xml:space="preserve"> </w:t>
      </w:r>
      <w:r w:rsidR="00323457" w:rsidRPr="0059638B">
        <w:rPr>
          <w:sz w:val="20"/>
          <w:szCs w:val="20"/>
        </w:rPr>
        <w:t>2018</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conformity</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relevant</w:t>
      </w:r>
      <w:r w:rsidR="00FF41A0">
        <w:rPr>
          <w:sz w:val="20"/>
          <w:szCs w:val="20"/>
        </w:rPr>
        <w:t xml:space="preserve"> </w:t>
      </w:r>
      <w:r w:rsidR="00323457" w:rsidRPr="0059638B">
        <w:rPr>
          <w:sz w:val="20"/>
          <w:szCs w:val="20"/>
        </w:rPr>
        <w:t>provisions</w:t>
      </w:r>
      <w:r w:rsidR="00FF41A0">
        <w:rPr>
          <w:sz w:val="20"/>
          <w:szCs w:val="20"/>
        </w:rPr>
        <w:t xml:space="preserve"> </w:t>
      </w:r>
      <w:r w:rsidR="00323457" w:rsidRPr="0059638B">
        <w:rPr>
          <w:sz w:val="20"/>
          <w:szCs w:val="20"/>
        </w:rPr>
        <w:t>contained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relevant</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Council</w:t>
      </w:r>
      <w:r w:rsidR="00FF41A0">
        <w:rPr>
          <w:sz w:val="20"/>
          <w:szCs w:val="20"/>
        </w:rPr>
        <w:t xml:space="preserve"> </w:t>
      </w:r>
      <w:r w:rsidR="00323457" w:rsidRPr="0059638B">
        <w:rPr>
          <w:sz w:val="20"/>
          <w:szCs w:val="20"/>
        </w:rPr>
        <w:t>resolutions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decisions,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based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following</w:t>
      </w:r>
      <w:r w:rsidR="00FF41A0">
        <w:rPr>
          <w:sz w:val="20"/>
          <w:szCs w:val="20"/>
        </w:rPr>
        <w:t xml:space="preserve"> </w:t>
      </w:r>
      <w:r w:rsidR="00323457" w:rsidRPr="0059638B">
        <w:rPr>
          <w:sz w:val="20"/>
          <w:szCs w:val="20"/>
        </w:rPr>
        <w:t>documents:</w:t>
      </w:r>
      <w:r w:rsidR="00FF41A0">
        <w:rPr>
          <w:sz w:val="20"/>
          <w:szCs w:val="20"/>
        </w:rPr>
        <w:t xml:space="preserve"> </w:t>
      </w:r>
    </w:p>
    <w:p w14:paraId="22FFB5D8" w14:textId="3151D6B2" w:rsidR="00323457" w:rsidRPr="0059638B" w:rsidRDefault="00323457" w:rsidP="00D1034B">
      <w:pPr>
        <w:pStyle w:val="SingleTxtG"/>
        <w:ind w:firstLine="555"/>
        <w:rPr>
          <w:sz w:val="20"/>
          <w:szCs w:val="20"/>
        </w:rPr>
      </w:pPr>
      <w:r w:rsidRPr="0059638B">
        <w:rPr>
          <w:sz w:val="20"/>
          <w:szCs w:val="20"/>
        </w:rPr>
        <w:t>(a)</w:t>
      </w:r>
      <w:r w:rsidRPr="0059638B">
        <w:rPr>
          <w:sz w:val="20"/>
          <w:szCs w:val="20"/>
        </w:rPr>
        <w:tab/>
        <w:t>The</w:t>
      </w:r>
      <w:r w:rsidR="00FF41A0">
        <w:rPr>
          <w:sz w:val="20"/>
          <w:szCs w:val="20"/>
        </w:rPr>
        <w:t xml:space="preserve"> </w:t>
      </w:r>
      <w:r w:rsidRPr="0059638B">
        <w:rPr>
          <w:sz w:val="20"/>
          <w:szCs w:val="20"/>
        </w:rPr>
        <w:t>national</w:t>
      </w:r>
      <w:r w:rsidR="00FF41A0">
        <w:rPr>
          <w:sz w:val="20"/>
          <w:szCs w:val="20"/>
        </w:rPr>
        <w:t xml:space="preserve"> </w:t>
      </w:r>
      <w:r w:rsidRPr="0059638B">
        <w:rPr>
          <w:sz w:val="20"/>
          <w:szCs w:val="20"/>
        </w:rPr>
        <w:t>report</w:t>
      </w:r>
      <w:r w:rsidR="00FF41A0">
        <w:rPr>
          <w:sz w:val="20"/>
          <w:szCs w:val="20"/>
        </w:rPr>
        <w:t xml:space="preserve"> </w:t>
      </w:r>
      <w:r w:rsidRPr="0059638B">
        <w:rPr>
          <w:sz w:val="20"/>
          <w:szCs w:val="20"/>
        </w:rPr>
        <w:t>submitted</w:t>
      </w:r>
      <w:r w:rsidR="00FF41A0">
        <w:rPr>
          <w:sz w:val="20"/>
          <w:szCs w:val="20"/>
        </w:rPr>
        <w:t xml:space="preserve"> </w:t>
      </w:r>
      <w:r w:rsidRPr="0059638B">
        <w:rPr>
          <w:sz w:val="20"/>
          <w:szCs w:val="20"/>
        </w:rPr>
        <w:t>by</w:t>
      </w:r>
      <w:r w:rsidR="00FF41A0">
        <w:rPr>
          <w:sz w:val="20"/>
          <w:szCs w:val="20"/>
        </w:rPr>
        <w:t xml:space="preserve"> </w:t>
      </w:r>
      <w:r w:rsidRPr="0059638B">
        <w:rPr>
          <w:sz w:val="20"/>
          <w:szCs w:val="20"/>
        </w:rPr>
        <w:t>China</w:t>
      </w:r>
      <w:r w:rsidR="00FF41A0">
        <w:rPr>
          <w:sz w:val="20"/>
          <w:szCs w:val="20"/>
        </w:rPr>
        <w:t xml:space="preserve"> </w:t>
      </w:r>
      <w:r w:rsidRPr="0059638B">
        <w:rPr>
          <w:sz w:val="20"/>
          <w:szCs w:val="20"/>
        </w:rPr>
        <w:t>in</w:t>
      </w:r>
      <w:r w:rsidR="00FF41A0">
        <w:rPr>
          <w:sz w:val="20"/>
          <w:szCs w:val="20"/>
        </w:rPr>
        <w:t xml:space="preserve"> </w:t>
      </w:r>
      <w:r w:rsidRPr="0059638B">
        <w:rPr>
          <w:sz w:val="20"/>
          <w:szCs w:val="20"/>
        </w:rPr>
        <w:t>accordance</w:t>
      </w:r>
      <w:r w:rsidR="00FF41A0">
        <w:rPr>
          <w:sz w:val="20"/>
          <w:szCs w:val="20"/>
        </w:rPr>
        <w:t xml:space="preserve"> </w:t>
      </w:r>
      <w:r w:rsidRPr="0059638B">
        <w:rPr>
          <w:sz w:val="20"/>
          <w:szCs w:val="20"/>
        </w:rPr>
        <w:t>with</w:t>
      </w:r>
      <w:r w:rsidR="00FF41A0">
        <w:rPr>
          <w:sz w:val="20"/>
          <w:szCs w:val="20"/>
        </w:rPr>
        <w:t xml:space="preserve"> </w:t>
      </w:r>
      <w:r w:rsidRPr="0059638B">
        <w:rPr>
          <w:sz w:val="20"/>
          <w:szCs w:val="20"/>
        </w:rPr>
        <w:t>paragraph</w:t>
      </w:r>
      <w:r w:rsidR="00FF41A0">
        <w:rPr>
          <w:sz w:val="20"/>
          <w:szCs w:val="20"/>
        </w:rPr>
        <w:t xml:space="preserve"> </w:t>
      </w:r>
      <w:r w:rsidRPr="0059638B">
        <w:rPr>
          <w:sz w:val="20"/>
          <w:szCs w:val="20"/>
        </w:rPr>
        <w:t>15</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annex</w:t>
      </w:r>
      <w:r w:rsidR="00FF41A0">
        <w:rPr>
          <w:sz w:val="20"/>
          <w:szCs w:val="20"/>
        </w:rPr>
        <w:t xml:space="preserve"> </w:t>
      </w:r>
      <w:r w:rsidRPr="0059638B">
        <w:rPr>
          <w:sz w:val="20"/>
          <w:szCs w:val="20"/>
        </w:rPr>
        <w:t>to</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resolution</w:t>
      </w:r>
      <w:r w:rsidR="00FF41A0">
        <w:rPr>
          <w:sz w:val="20"/>
          <w:szCs w:val="20"/>
        </w:rPr>
        <w:t xml:space="preserve"> </w:t>
      </w:r>
      <w:r w:rsidRPr="0059638B">
        <w:rPr>
          <w:sz w:val="20"/>
          <w:szCs w:val="20"/>
        </w:rPr>
        <w:t>5/1</w:t>
      </w:r>
      <w:r w:rsidR="00FF41A0">
        <w:rPr>
          <w:sz w:val="20"/>
          <w:szCs w:val="20"/>
        </w:rPr>
        <w:t xml:space="preserve"> </w:t>
      </w:r>
      <w:r w:rsidRPr="0059638B">
        <w:rPr>
          <w:sz w:val="20"/>
          <w:szCs w:val="20"/>
        </w:rPr>
        <w:t>and</w:t>
      </w:r>
      <w:r w:rsidR="00FF41A0">
        <w:rPr>
          <w:sz w:val="20"/>
          <w:szCs w:val="20"/>
        </w:rPr>
        <w:t xml:space="preserve"> </w:t>
      </w:r>
      <w:r w:rsidRPr="0059638B">
        <w:rPr>
          <w:sz w:val="20"/>
          <w:szCs w:val="20"/>
        </w:rPr>
        <w:t>paragraph</w:t>
      </w:r>
      <w:r w:rsidR="00FF41A0">
        <w:rPr>
          <w:sz w:val="20"/>
          <w:szCs w:val="20"/>
        </w:rPr>
        <w:t xml:space="preserve"> </w:t>
      </w:r>
      <w:r w:rsidRPr="0059638B">
        <w:rPr>
          <w:sz w:val="20"/>
          <w:szCs w:val="20"/>
        </w:rPr>
        <w:t>5</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annex</w:t>
      </w:r>
      <w:r w:rsidR="00FF41A0">
        <w:rPr>
          <w:sz w:val="20"/>
          <w:szCs w:val="20"/>
        </w:rPr>
        <w:t xml:space="preserve"> </w:t>
      </w:r>
      <w:r w:rsidRPr="0059638B">
        <w:rPr>
          <w:sz w:val="20"/>
          <w:szCs w:val="20"/>
        </w:rPr>
        <w:t>to</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resolution</w:t>
      </w:r>
      <w:r w:rsidR="00FF41A0">
        <w:rPr>
          <w:sz w:val="20"/>
          <w:szCs w:val="20"/>
        </w:rPr>
        <w:t xml:space="preserve"> </w:t>
      </w:r>
      <w:r w:rsidRPr="0059638B">
        <w:rPr>
          <w:sz w:val="20"/>
          <w:szCs w:val="20"/>
        </w:rPr>
        <w:t>16/21</w:t>
      </w:r>
      <w:r w:rsidR="00FF41A0">
        <w:rPr>
          <w:sz w:val="20"/>
          <w:szCs w:val="20"/>
        </w:rPr>
        <w:t xml:space="preserve"> </w:t>
      </w:r>
      <w:r w:rsidRPr="0059638B">
        <w:rPr>
          <w:sz w:val="20"/>
          <w:szCs w:val="20"/>
        </w:rPr>
        <w:t>(A/HRC/WG.6/31/CHN/1);</w:t>
      </w:r>
      <w:r w:rsidR="00FF41A0">
        <w:rPr>
          <w:sz w:val="20"/>
          <w:szCs w:val="20"/>
        </w:rPr>
        <w:t xml:space="preserve"> </w:t>
      </w:r>
    </w:p>
    <w:p w14:paraId="46EFE7ED" w14:textId="2B8492AF" w:rsidR="00323457" w:rsidRPr="0059638B" w:rsidRDefault="00323457" w:rsidP="00D1034B">
      <w:pPr>
        <w:pStyle w:val="SingleTxtG"/>
        <w:ind w:firstLine="555"/>
        <w:rPr>
          <w:sz w:val="20"/>
          <w:szCs w:val="20"/>
        </w:rPr>
      </w:pPr>
      <w:r w:rsidRPr="0059638B">
        <w:rPr>
          <w:sz w:val="20"/>
          <w:szCs w:val="20"/>
        </w:rPr>
        <w:t>(b)</w:t>
      </w:r>
      <w:r w:rsidRPr="0059638B">
        <w:rPr>
          <w:sz w:val="20"/>
          <w:szCs w:val="20"/>
        </w:rPr>
        <w:tab/>
        <w:t>The</w:t>
      </w:r>
      <w:r w:rsidR="00FF41A0">
        <w:rPr>
          <w:sz w:val="20"/>
          <w:szCs w:val="20"/>
        </w:rPr>
        <w:t xml:space="preserve"> </w:t>
      </w:r>
      <w:r w:rsidRPr="0059638B">
        <w:rPr>
          <w:sz w:val="20"/>
          <w:szCs w:val="20"/>
        </w:rPr>
        <w:t>compilation</w:t>
      </w:r>
      <w:r w:rsidR="00FF41A0">
        <w:rPr>
          <w:sz w:val="20"/>
          <w:szCs w:val="20"/>
        </w:rPr>
        <w:t xml:space="preserve"> </w:t>
      </w:r>
      <w:r w:rsidRPr="0059638B">
        <w:rPr>
          <w:sz w:val="20"/>
          <w:szCs w:val="20"/>
        </w:rPr>
        <w:t>prepared</w:t>
      </w:r>
      <w:r w:rsidR="00FF41A0">
        <w:rPr>
          <w:sz w:val="20"/>
          <w:szCs w:val="20"/>
        </w:rPr>
        <w:t xml:space="preserve"> </w:t>
      </w:r>
      <w:r w:rsidRPr="0059638B">
        <w:rPr>
          <w:sz w:val="20"/>
          <w:szCs w:val="20"/>
        </w:rPr>
        <w:t>by</w:t>
      </w:r>
      <w:r w:rsidR="00FF41A0">
        <w:rPr>
          <w:sz w:val="20"/>
          <w:szCs w:val="20"/>
        </w:rPr>
        <w:t xml:space="preserve"> </w:t>
      </w:r>
      <w:r w:rsidR="004B7C70">
        <w:rPr>
          <w:sz w:val="20"/>
          <w:szCs w:val="20"/>
        </w:rPr>
        <w:t>the</w:t>
      </w:r>
      <w:r w:rsidR="00FF41A0">
        <w:rPr>
          <w:sz w:val="20"/>
          <w:szCs w:val="20"/>
        </w:rPr>
        <w:t xml:space="preserve"> </w:t>
      </w:r>
      <w:r w:rsidR="004B7C70" w:rsidRPr="00D1034B">
        <w:rPr>
          <w:sz w:val="20"/>
          <w:szCs w:val="20"/>
        </w:rPr>
        <w:t>Office</w:t>
      </w:r>
      <w:r w:rsidR="00FF41A0" w:rsidRPr="00D1034B">
        <w:rPr>
          <w:sz w:val="20"/>
          <w:szCs w:val="20"/>
        </w:rPr>
        <w:t xml:space="preserve"> </w:t>
      </w:r>
      <w:r w:rsidR="004B7C70" w:rsidRPr="00D1034B">
        <w:rPr>
          <w:sz w:val="20"/>
          <w:szCs w:val="20"/>
        </w:rPr>
        <w:t>of</w:t>
      </w:r>
      <w:r w:rsidR="00FF41A0" w:rsidRPr="00D1034B">
        <w:rPr>
          <w:sz w:val="20"/>
          <w:szCs w:val="20"/>
        </w:rPr>
        <w:t xml:space="preserve"> </w:t>
      </w:r>
      <w:r w:rsidR="004B7C70" w:rsidRPr="00D1034B">
        <w:rPr>
          <w:sz w:val="20"/>
          <w:szCs w:val="20"/>
        </w:rPr>
        <w:t>the</w:t>
      </w:r>
      <w:r w:rsidR="00FF41A0" w:rsidRPr="00D1034B">
        <w:rPr>
          <w:sz w:val="20"/>
          <w:szCs w:val="20"/>
        </w:rPr>
        <w:t xml:space="preserve"> </w:t>
      </w:r>
      <w:r w:rsidR="004B7C70" w:rsidRPr="00D1034B">
        <w:rPr>
          <w:sz w:val="20"/>
          <w:szCs w:val="20"/>
        </w:rPr>
        <w:t>United</w:t>
      </w:r>
      <w:r w:rsidR="00FF41A0" w:rsidRPr="00D1034B">
        <w:rPr>
          <w:sz w:val="20"/>
          <w:szCs w:val="20"/>
        </w:rPr>
        <w:t xml:space="preserve"> </w:t>
      </w:r>
      <w:r w:rsidR="004B7C70" w:rsidRPr="00D1034B">
        <w:rPr>
          <w:sz w:val="20"/>
          <w:szCs w:val="20"/>
        </w:rPr>
        <w:t>Nations</w:t>
      </w:r>
      <w:r w:rsidR="00FF41A0" w:rsidRPr="00D1034B">
        <w:rPr>
          <w:sz w:val="20"/>
          <w:szCs w:val="20"/>
        </w:rPr>
        <w:t xml:space="preserve"> </w:t>
      </w:r>
      <w:r w:rsidR="004B7C70" w:rsidRPr="00D1034B">
        <w:rPr>
          <w:sz w:val="20"/>
          <w:szCs w:val="20"/>
        </w:rPr>
        <w:t>High</w:t>
      </w:r>
      <w:r w:rsidR="00FF41A0" w:rsidRPr="00D1034B">
        <w:rPr>
          <w:sz w:val="20"/>
          <w:szCs w:val="20"/>
        </w:rPr>
        <w:t xml:space="preserve"> </w:t>
      </w:r>
      <w:r w:rsidR="004B7C70" w:rsidRPr="00D1034B">
        <w:rPr>
          <w:sz w:val="20"/>
          <w:szCs w:val="20"/>
        </w:rPr>
        <w:t>Commissioner</w:t>
      </w:r>
      <w:r w:rsidR="00FF41A0" w:rsidRPr="00D1034B">
        <w:rPr>
          <w:sz w:val="20"/>
          <w:szCs w:val="20"/>
        </w:rPr>
        <w:t xml:space="preserve"> </w:t>
      </w:r>
      <w:r w:rsidR="004B7C70" w:rsidRPr="00D1034B">
        <w:rPr>
          <w:sz w:val="20"/>
          <w:szCs w:val="20"/>
        </w:rPr>
        <w:t>for</w:t>
      </w:r>
      <w:r w:rsidR="00FF41A0" w:rsidRPr="00D1034B">
        <w:rPr>
          <w:sz w:val="20"/>
          <w:szCs w:val="20"/>
        </w:rPr>
        <w:t xml:space="preserve"> </w:t>
      </w:r>
      <w:r w:rsidR="004B7C70" w:rsidRPr="00D1034B">
        <w:rPr>
          <w:sz w:val="20"/>
          <w:szCs w:val="20"/>
        </w:rPr>
        <w:t>Human</w:t>
      </w:r>
      <w:r w:rsidR="00FF41A0" w:rsidRPr="00D1034B">
        <w:rPr>
          <w:sz w:val="20"/>
          <w:szCs w:val="20"/>
        </w:rPr>
        <w:t xml:space="preserve"> </w:t>
      </w:r>
      <w:r w:rsidR="004B7C70" w:rsidRPr="00D1034B">
        <w:rPr>
          <w:sz w:val="20"/>
          <w:szCs w:val="20"/>
        </w:rPr>
        <w:t>Rights</w:t>
      </w:r>
      <w:r w:rsidR="00FF41A0">
        <w:rPr>
          <w:sz w:val="20"/>
          <w:szCs w:val="20"/>
        </w:rPr>
        <w:t xml:space="preserve"> </w:t>
      </w:r>
      <w:r w:rsidRPr="0059638B">
        <w:rPr>
          <w:sz w:val="20"/>
          <w:szCs w:val="20"/>
        </w:rPr>
        <w:t>in</w:t>
      </w:r>
      <w:r w:rsidR="00FF41A0">
        <w:rPr>
          <w:sz w:val="20"/>
          <w:szCs w:val="20"/>
        </w:rPr>
        <w:t xml:space="preserve"> </w:t>
      </w:r>
      <w:r w:rsidRPr="0059638B">
        <w:rPr>
          <w:sz w:val="20"/>
          <w:szCs w:val="20"/>
        </w:rPr>
        <w:t>accordance</w:t>
      </w:r>
      <w:r w:rsidR="00FF41A0">
        <w:rPr>
          <w:sz w:val="20"/>
          <w:szCs w:val="20"/>
        </w:rPr>
        <w:t xml:space="preserve"> </w:t>
      </w:r>
      <w:r w:rsidRPr="0059638B">
        <w:rPr>
          <w:sz w:val="20"/>
          <w:szCs w:val="20"/>
        </w:rPr>
        <w:t>with</w:t>
      </w:r>
      <w:r w:rsidR="00FF41A0">
        <w:rPr>
          <w:sz w:val="20"/>
          <w:szCs w:val="20"/>
        </w:rPr>
        <w:t xml:space="preserve"> </w:t>
      </w:r>
      <w:r w:rsidRPr="0059638B">
        <w:rPr>
          <w:sz w:val="20"/>
          <w:szCs w:val="20"/>
        </w:rPr>
        <w:t>paragraph</w:t>
      </w:r>
      <w:r w:rsidR="00FF41A0">
        <w:rPr>
          <w:sz w:val="20"/>
          <w:szCs w:val="20"/>
        </w:rPr>
        <w:t xml:space="preserve"> </w:t>
      </w:r>
      <w:r w:rsidRPr="0059638B">
        <w:rPr>
          <w:sz w:val="20"/>
          <w:szCs w:val="20"/>
        </w:rPr>
        <w:t>15</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annex</w:t>
      </w:r>
      <w:r w:rsidR="00FF41A0">
        <w:rPr>
          <w:sz w:val="20"/>
          <w:szCs w:val="20"/>
        </w:rPr>
        <w:t xml:space="preserve"> </w:t>
      </w:r>
      <w:r w:rsidRPr="0059638B">
        <w:rPr>
          <w:sz w:val="20"/>
          <w:szCs w:val="20"/>
        </w:rPr>
        <w:t>to</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resolution</w:t>
      </w:r>
      <w:r w:rsidR="00FF41A0">
        <w:rPr>
          <w:sz w:val="20"/>
          <w:szCs w:val="20"/>
        </w:rPr>
        <w:t xml:space="preserve"> </w:t>
      </w:r>
      <w:r w:rsidRPr="0059638B">
        <w:rPr>
          <w:sz w:val="20"/>
          <w:szCs w:val="20"/>
        </w:rPr>
        <w:t>5/1</w:t>
      </w:r>
      <w:r w:rsidR="00FF41A0">
        <w:rPr>
          <w:sz w:val="20"/>
          <w:szCs w:val="20"/>
        </w:rPr>
        <w:t xml:space="preserve"> </w:t>
      </w:r>
      <w:r w:rsidRPr="0059638B">
        <w:rPr>
          <w:sz w:val="20"/>
          <w:szCs w:val="20"/>
        </w:rPr>
        <w:t>and</w:t>
      </w:r>
      <w:r w:rsidR="00FF41A0">
        <w:rPr>
          <w:sz w:val="20"/>
          <w:szCs w:val="20"/>
        </w:rPr>
        <w:t xml:space="preserve"> </w:t>
      </w:r>
      <w:r w:rsidRPr="0059638B">
        <w:rPr>
          <w:sz w:val="20"/>
          <w:szCs w:val="20"/>
        </w:rPr>
        <w:t>paragraph</w:t>
      </w:r>
      <w:r w:rsidR="00FF41A0">
        <w:rPr>
          <w:sz w:val="20"/>
          <w:szCs w:val="20"/>
        </w:rPr>
        <w:t xml:space="preserve"> </w:t>
      </w:r>
      <w:r w:rsidRPr="0059638B">
        <w:rPr>
          <w:sz w:val="20"/>
          <w:szCs w:val="20"/>
        </w:rPr>
        <w:t>5</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annex</w:t>
      </w:r>
      <w:r w:rsidR="00FF41A0">
        <w:rPr>
          <w:sz w:val="20"/>
          <w:szCs w:val="20"/>
        </w:rPr>
        <w:t xml:space="preserve"> </w:t>
      </w:r>
      <w:r w:rsidRPr="0059638B">
        <w:rPr>
          <w:sz w:val="20"/>
          <w:szCs w:val="20"/>
        </w:rPr>
        <w:t>to</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resolution</w:t>
      </w:r>
      <w:r w:rsidR="00FF41A0">
        <w:rPr>
          <w:sz w:val="20"/>
          <w:szCs w:val="20"/>
        </w:rPr>
        <w:t xml:space="preserve"> </w:t>
      </w:r>
      <w:r w:rsidRPr="0059638B">
        <w:rPr>
          <w:sz w:val="20"/>
          <w:szCs w:val="20"/>
        </w:rPr>
        <w:t>16/21</w:t>
      </w:r>
      <w:r w:rsidR="00FF41A0">
        <w:rPr>
          <w:sz w:val="20"/>
          <w:szCs w:val="20"/>
        </w:rPr>
        <w:t xml:space="preserve"> </w:t>
      </w:r>
      <w:r w:rsidRPr="0059638B">
        <w:rPr>
          <w:sz w:val="20"/>
          <w:szCs w:val="20"/>
        </w:rPr>
        <w:t>(A/HRC/WG.6/31/CHN/2);</w:t>
      </w:r>
      <w:r w:rsidR="00FF41A0">
        <w:rPr>
          <w:sz w:val="20"/>
          <w:szCs w:val="20"/>
        </w:rPr>
        <w:t xml:space="preserve"> </w:t>
      </w:r>
    </w:p>
    <w:p w14:paraId="7CA13B5F" w14:textId="15F003C8" w:rsidR="00323457" w:rsidRPr="0059638B" w:rsidRDefault="00323457" w:rsidP="00D1034B">
      <w:pPr>
        <w:pStyle w:val="SingleTxtG"/>
        <w:ind w:firstLine="555"/>
        <w:rPr>
          <w:sz w:val="20"/>
          <w:szCs w:val="20"/>
        </w:rPr>
      </w:pPr>
      <w:r w:rsidRPr="0059638B">
        <w:rPr>
          <w:sz w:val="20"/>
          <w:szCs w:val="20"/>
        </w:rPr>
        <w:t>(c)</w:t>
      </w:r>
      <w:r w:rsidRPr="0059638B">
        <w:rPr>
          <w:sz w:val="20"/>
          <w:szCs w:val="20"/>
        </w:rPr>
        <w:tab/>
        <w:t>The</w:t>
      </w:r>
      <w:r w:rsidR="00FF41A0">
        <w:rPr>
          <w:sz w:val="20"/>
          <w:szCs w:val="20"/>
        </w:rPr>
        <w:t xml:space="preserve"> </w:t>
      </w:r>
      <w:r w:rsidRPr="0059638B">
        <w:rPr>
          <w:sz w:val="20"/>
          <w:szCs w:val="20"/>
        </w:rPr>
        <w:t>summary</w:t>
      </w:r>
      <w:r w:rsidR="00FF41A0">
        <w:rPr>
          <w:sz w:val="20"/>
          <w:szCs w:val="20"/>
        </w:rPr>
        <w:t xml:space="preserve"> </w:t>
      </w:r>
      <w:r w:rsidRPr="0059638B">
        <w:rPr>
          <w:sz w:val="20"/>
          <w:szCs w:val="20"/>
        </w:rPr>
        <w:t>prepared</w:t>
      </w:r>
      <w:r w:rsidR="00FF41A0">
        <w:rPr>
          <w:sz w:val="20"/>
          <w:szCs w:val="20"/>
        </w:rPr>
        <w:t xml:space="preserve"> </w:t>
      </w:r>
      <w:r w:rsidRPr="0059638B">
        <w:rPr>
          <w:sz w:val="20"/>
          <w:szCs w:val="20"/>
        </w:rPr>
        <w:t>by</w:t>
      </w:r>
      <w:r w:rsidR="00FF41A0">
        <w:rPr>
          <w:sz w:val="20"/>
          <w:szCs w:val="20"/>
        </w:rPr>
        <w:t xml:space="preserve"> </w:t>
      </w:r>
      <w:r w:rsidR="004B7C70">
        <w:rPr>
          <w:sz w:val="20"/>
          <w:szCs w:val="20"/>
        </w:rPr>
        <w:t>the</w:t>
      </w:r>
      <w:r w:rsidR="00FF41A0">
        <w:rPr>
          <w:sz w:val="20"/>
          <w:szCs w:val="20"/>
        </w:rPr>
        <w:t xml:space="preserve"> </w:t>
      </w:r>
      <w:r w:rsidR="004B7C70" w:rsidRPr="00D1034B">
        <w:rPr>
          <w:sz w:val="20"/>
          <w:szCs w:val="20"/>
        </w:rPr>
        <w:t>Office</w:t>
      </w:r>
      <w:r w:rsidR="00FF41A0" w:rsidRPr="00D1034B">
        <w:rPr>
          <w:sz w:val="20"/>
          <w:szCs w:val="20"/>
        </w:rPr>
        <w:t xml:space="preserve"> </w:t>
      </w:r>
      <w:r w:rsidR="004B7C70" w:rsidRPr="00D1034B">
        <w:rPr>
          <w:sz w:val="20"/>
          <w:szCs w:val="20"/>
        </w:rPr>
        <w:t>of</w:t>
      </w:r>
      <w:r w:rsidR="00FF41A0" w:rsidRPr="00D1034B">
        <w:rPr>
          <w:sz w:val="20"/>
          <w:szCs w:val="20"/>
        </w:rPr>
        <w:t xml:space="preserve"> </w:t>
      </w:r>
      <w:r w:rsidR="004B7C70" w:rsidRPr="00D1034B">
        <w:rPr>
          <w:sz w:val="20"/>
          <w:szCs w:val="20"/>
        </w:rPr>
        <w:t>the</w:t>
      </w:r>
      <w:r w:rsidR="00FF41A0" w:rsidRPr="00D1034B">
        <w:rPr>
          <w:sz w:val="20"/>
          <w:szCs w:val="20"/>
        </w:rPr>
        <w:t xml:space="preserve"> </w:t>
      </w:r>
      <w:r w:rsidR="004B7C70" w:rsidRPr="00D1034B">
        <w:rPr>
          <w:sz w:val="20"/>
          <w:szCs w:val="20"/>
        </w:rPr>
        <w:t>United</w:t>
      </w:r>
      <w:r w:rsidR="00FF41A0" w:rsidRPr="00D1034B">
        <w:rPr>
          <w:sz w:val="20"/>
          <w:szCs w:val="20"/>
        </w:rPr>
        <w:t xml:space="preserve"> </w:t>
      </w:r>
      <w:r w:rsidR="004B7C70" w:rsidRPr="00D1034B">
        <w:rPr>
          <w:sz w:val="20"/>
          <w:szCs w:val="20"/>
        </w:rPr>
        <w:t>Nations</w:t>
      </w:r>
      <w:r w:rsidR="00FF41A0" w:rsidRPr="00D1034B">
        <w:rPr>
          <w:sz w:val="20"/>
          <w:szCs w:val="20"/>
        </w:rPr>
        <w:t xml:space="preserve"> </w:t>
      </w:r>
      <w:r w:rsidR="004B7C70" w:rsidRPr="00D1034B">
        <w:rPr>
          <w:sz w:val="20"/>
          <w:szCs w:val="20"/>
        </w:rPr>
        <w:t>High</w:t>
      </w:r>
      <w:r w:rsidR="00FF41A0" w:rsidRPr="00D1034B">
        <w:rPr>
          <w:sz w:val="20"/>
          <w:szCs w:val="20"/>
        </w:rPr>
        <w:t xml:space="preserve"> </w:t>
      </w:r>
      <w:r w:rsidR="004B7C70" w:rsidRPr="00D1034B">
        <w:rPr>
          <w:sz w:val="20"/>
          <w:szCs w:val="20"/>
        </w:rPr>
        <w:t>Commissioner</w:t>
      </w:r>
      <w:r w:rsidR="00FF41A0" w:rsidRPr="00D1034B">
        <w:rPr>
          <w:sz w:val="20"/>
          <w:szCs w:val="20"/>
        </w:rPr>
        <w:t xml:space="preserve"> </w:t>
      </w:r>
      <w:r w:rsidR="004B7C70" w:rsidRPr="00D1034B">
        <w:rPr>
          <w:sz w:val="20"/>
          <w:szCs w:val="20"/>
        </w:rPr>
        <w:t>for</w:t>
      </w:r>
      <w:r w:rsidR="00FF41A0" w:rsidRPr="00D1034B">
        <w:rPr>
          <w:sz w:val="20"/>
          <w:szCs w:val="20"/>
        </w:rPr>
        <w:t xml:space="preserve"> </w:t>
      </w:r>
      <w:r w:rsidR="004B7C70" w:rsidRPr="00D1034B">
        <w:rPr>
          <w:sz w:val="20"/>
          <w:szCs w:val="20"/>
        </w:rPr>
        <w:t>Human</w:t>
      </w:r>
      <w:r w:rsidR="00FF41A0" w:rsidRPr="00D1034B">
        <w:rPr>
          <w:sz w:val="20"/>
          <w:szCs w:val="20"/>
        </w:rPr>
        <w:t xml:space="preserve"> </w:t>
      </w:r>
      <w:r w:rsidR="004B7C70" w:rsidRPr="00D1034B">
        <w:rPr>
          <w:sz w:val="20"/>
          <w:szCs w:val="20"/>
        </w:rPr>
        <w:t>Rights</w:t>
      </w:r>
      <w:r w:rsidR="00FF41A0">
        <w:rPr>
          <w:sz w:val="20"/>
          <w:szCs w:val="20"/>
        </w:rPr>
        <w:t xml:space="preserve"> </w:t>
      </w:r>
      <w:r w:rsidRPr="0059638B">
        <w:rPr>
          <w:sz w:val="20"/>
          <w:szCs w:val="20"/>
        </w:rPr>
        <w:t>in</w:t>
      </w:r>
      <w:r w:rsidR="00FF41A0">
        <w:rPr>
          <w:sz w:val="20"/>
          <w:szCs w:val="20"/>
        </w:rPr>
        <w:t xml:space="preserve"> </w:t>
      </w:r>
      <w:r w:rsidRPr="0059638B">
        <w:rPr>
          <w:sz w:val="20"/>
          <w:szCs w:val="20"/>
        </w:rPr>
        <w:t>accordance</w:t>
      </w:r>
      <w:r w:rsidR="00FF41A0">
        <w:rPr>
          <w:sz w:val="20"/>
          <w:szCs w:val="20"/>
        </w:rPr>
        <w:t xml:space="preserve"> </w:t>
      </w:r>
      <w:r w:rsidRPr="0059638B">
        <w:rPr>
          <w:sz w:val="20"/>
          <w:szCs w:val="20"/>
        </w:rPr>
        <w:t>with</w:t>
      </w:r>
      <w:r w:rsidR="00FF41A0">
        <w:rPr>
          <w:sz w:val="20"/>
          <w:szCs w:val="20"/>
        </w:rPr>
        <w:t xml:space="preserve"> </w:t>
      </w:r>
      <w:r w:rsidRPr="0059638B">
        <w:rPr>
          <w:sz w:val="20"/>
          <w:szCs w:val="20"/>
        </w:rPr>
        <w:t>paragraph</w:t>
      </w:r>
      <w:r w:rsidR="00FF41A0">
        <w:rPr>
          <w:sz w:val="20"/>
          <w:szCs w:val="20"/>
        </w:rPr>
        <w:t xml:space="preserve"> </w:t>
      </w:r>
      <w:r w:rsidRPr="0059638B">
        <w:rPr>
          <w:sz w:val="20"/>
          <w:szCs w:val="20"/>
        </w:rPr>
        <w:t>15</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annex</w:t>
      </w:r>
      <w:r w:rsidR="00FF41A0">
        <w:rPr>
          <w:sz w:val="20"/>
          <w:szCs w:val="20"/>
        </w:rPr>
        <w:t xml:space="preserve"> </w:t>
      </w:r>
      <w:r w:rsidRPr="0059638B">
        <w:rPr>
          <w:sz w:val="20"/>
          <w:szCs w:val="20"/>
        </w:rPr>
        <w:t>to</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resolution</w:t>
      </w:r>
      <w:r w:rsidR="00FF41A0">
        <w:rPr>
          <w:sz w:val="20"/>
          <w:szCs w:val="20"/>
        </w:rPr>
        <w:t xml:space="preserve"> </w:t>
      </w:r>
      <w:r w:rsidRPr="0059638B">
        <w:rPr>
          <w:sz w:val="20"/>
          <w:szCs w:val="20"/>
        </w:rPr>
        <w:t>5/1</w:t>
      </w:r>
      <w:r w:rsidR="00FF41A0">
        <w:rPr>
          <w:sz w:val="20"/>
          <w:szCs w:val="20"/>
        </w:rPr>
        <w:t xml:space="preserve"> </w:t>
      </w:r>
      <w:r w:rsidRPr="0059638B">
        <w:rPr>
          <w:sz w:val="20"/>
          <w:szCs w:val="20"/>
        </w:rPr>
        <w:t>and</w:t>
      </w:r>
      <w:r w:rsidR="00FF41A0">
        <w:rPr>
          <w:sz w:val="20"/>
          <w:szCs w:val="20"/>
        </w:rPr>
        <w:t xml:space="preserve"> </w:t>
      </w:r>
      <w:r w:rsidRPr="0059638B">
        <w:rPr>
          <w:sz w:val="20"/>
          <w:szCs w:val="20"/>
        </w:rPr>
        <w:t>paragraph</w:t>
      </w:r>
      <w:r w:rsidR="00FF41A0">
        <w:rPr>
          <w:sz w:val="20"/>
          <w:szCs w:val="20"/>
        </w:rPr>
        <w:t xml:space="preserve"> </w:t>
      </w:r>
      <w:r w:rsidRPr="0059638B">
        <w:rPr>
          <w:sz w:val="20"/>
          <w:szCs w:val="20"/>
        </w:rPr>
        <w:t>5</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annex</w:t>
      </w:r>
      <w:r w:rsidR="00FF41A0">
        <w:rPr>
          <w:sz w:val="20"/>
          <w:szCs w:val="20"/>
        </w:rPr>
        <w:t xml:space="preserve"> </w:t>
      </w:r>
      <w:r w:rsidRPr="0059638B">
        <w:rPr>
          <w:sz w:val="20"/>
          <w:szCs w:val="20"/>
        </w:rPr>
        <w:t>to</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resolution</w:t>
      </w:r>
      <w:r w:rsidR="00FF41A0">
        <w:rPr>
          <w:sz w:val="20"/>
          <w:szCs w:val="20"/>
        </w:rPr>
        <w:t xml:space="preserve"> </w:t>
      </w:r>
      <w:r w:rsidRPr="0059638B">
        <w:rPr>
          <w:sz w:val="20"/>
          <w:szCs w:val="20"/>
        </w:rPr>
        <w:t>16/21</w:t>
      </w:r>
      <w:r w:rsidR="00FF41A0">
        <w:rPr>
          <w:sz w:val="20"/>
          <w:szCs w:val="20"/>
        </w:rPr>
        <w:t xml:space="preserve"> </w:t>
      </w:r>
      <w:r w:rsidRPr="0059638B">
        <w:rPr>
          <w:sz w:val="20"/>
          <w:szCs w:val="20"/>
        </w:rPr>
        <w:t>(A/HRC/WG.6/31/CHN/3</w:t>
      </w:r>
      <w:r w:rsidR="00FF41A0">
        <w:rPr>
          <w:sz w:val="20"/>
          <w:szCs w:val="20"/>
        </w:rPr>
        <w:t xml:space="preserve"> </w:t>
      </w:r>
      <w:r w:rsidRPr="0059638B">
        <w:rPr>
          <w:sz w:val="20"/>
          <w:szCs w:val="20"/>
        </w:rPr>
        <w:t>and</w:t>
      </w:r>
      <w:r w:rsidR="00FF41A0">
        <w:rPr>
          <w:sz w:val="20"/>
          <w:szCs w:val="20"/>
        </w:rPr>
        <w:t xml:space="preserve"> </w:t>
      </w:r>
      <w:r w:rsidRPr="0059638B">
        <w:rPr>
          <w:sz w:val="20"/>
          <w:szCs w:val="20"/>
        </w:rPr>
        <w:t>A/HRC/WG.6/31/CHN/3/Corr.1).</w:t>
      </w:r>
    </w:p>
    <w:p w14:paraId="506FA844" w14:textId="670BE5FF" w:rsidR="00323457" w:rsidRPr="0059638B" w:rsidRDefault="0035721D" w:rsidP="00323457">
      <w:pPr>
        <w:pStyle w:val="SingleTxtG"/>
        <w:rPr>
          <w:sz w:val="20"/>
          <w:szCs w:val="20"/>
        </w:rPr>
      </w:pPr>
      <w:r>
        <w:rPr>
          <w:sz w:val="20"/>
          <w:szCs w:val="20"/>
        </w:rPr>
        <w:lastRenderedPageBreak/>
        <w:t>817</w:t>
      </w:r>
      <w:r w:rsidR="00D7475F">
        <w:rPr>
          <w:sz w:val="20"/>
          <w:szCs w:val="20"/>
        </w:rPr>
        <w:t>.</w:t>
      </w:r>
      <w:r w:rsidR="00D7475F">
        <w:rPr>
          <w:sz w:val="20"/>
          <w:szCs w:val="20"/>
        </w:rPr>
        <w:tab/>
      </w:r>
      <w:r w:rsidR="00323457" w:rsidRPr="0059638B">
        <w:rPr>
          <w:sz w:val="20"/>
          <w:szCs w:val="20"/>
        </w:rPr>
        <w:t>At</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38th</w:t>
      </w:r>
      <w:r w:rsidR="00FF41A0">
        <w:rPr>
          <w:sz w:val="20"/>
          <w:szCs w:val="20"/>
        </w:rPr>
        <w:t xml:space="preserve"> </w:t>
      </w:r>
      <w:r w:rsidR="00323457" w:rsidRPr="0059638B">
        <w:rPr>
          <w:sz w:val="20"/>
          <w:szCs w:val="20"/>
        </w:rPr>
        <w:t>meeting,</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15</w:t>
      </w:r>
      <w:r w:rsidR="00FF41A0">
        <w:rPr>
          <w:sz w:val="20"/>
          <w:szCs w:val="20"/>
        </w:rPr>
        <w:t xml:space="preserve"> </w:t>
      </w:r>
      <w:r w:rsidR="00323457" w:rsidRPr="0059638B">
        <w:rPr>
          <w:sz w:val="20"/>
          <w:szCs w:val="20"/>
        </w:rPr>
        <w:t>March</w:t>
      </w:r>
      <w:r w:rsidR="00FF41A0">
        <w:rPr>
          <w:sz w:val="20"/>
          <w:szCs w:val="20"/>
        </w:rPr>
        <w:t xml:space="preserve"> </w:t>
      </w:r>
      <w:r w:rsidR="00323457" w:rsidRPr="0059638B">
        <w:rPr>
          <w:sz w:val="20"/>
          <w:szCs w:val="20"/>
        </w:rPr>
        <w:t>2019,</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Council</w:t>
      </w:r>
      <w:r w:rsidR="00FF41A0">
        <w:rPr>
          <w:sz w:val="20"/>
          <w:szCs w:val="20"/>
        </w:rPr>
        <w:t xml:space="preserve"> </w:t>
      </w:r>
      <w:r w:rsidR="00323457" w:rsidRPr="0059638B">
        <w:rPr>
          <w:sz w:val="20"/>
          <w:szCs w:val="20"/>
        </w:rPr>
        <w:t>considered</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adopted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outcome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(see</w:t>
      </w:r>
      <w:r w:rsidR="00FF41A0">
        <w:rPr>
          <w:sz w:val="20"/>
          <w:szCs w:val="20"/>
        </w:rPr>
        <w:t xml:space="preserve"> </w:t>
      </w:r>
      <w:r w:rsidR="00323457" w:rsidRPr="0059638B">
        <w:rPr>
          <w:sz w:val="20"/>
          <w:szCs w:val="20"/>
        </w:rPr>
        <w:t>sect.</w:t>
      </w:r>
      <w:r w:rsidR="00FF41A0">
        <w:rPr>
          <w:sz w:val="20"/>
          <w:szCs w:val="20"/>
        </w:rPr>
        <w:t xml:space="preserve"> </w:t>
      </w:r>
      <w:r w:rsidR="00323457" w:rsidRPr="0059638B">
        <w:rPr>
          <w:sz w:val="20"/>
          <w:szCs w:val="20"/>
        </w:rPr>
        <w:t>C</w:t>
      </w:r>
      <w:r w:rsidR="00FF41A0">
        <w:rPr>
          <w:sz w:val="20"/>
          <w:szCs w:val="20"/>
        </w:rPr>
        <w:t xml:space="preserve"> </w:t>
      </w:r>
      <w:r w:rsidR="00323457" w:rsidRPr="0059638B">
        <w:rPr>
          <w:sz w:val="20"/>
          <w:szCs w:val="20"/>
        </w:rPr>
        <w:t>below).</w:t>
      </w:r>
    </w:p>
    <w:p w14:paraId="6697232D" w14:textId="5352195F" w:rsidR="00323457" w:rsidRPr="0059638B" w:rsidRDefault="0035721D" w:rsidP="00323457">
      <w:pPr>
        <w:pStyle w:val="SingleTxtG"/>
        <w:rPr>
          <w:color w:val="FF0000"/>
          <w:sz w:val="20"/>
          <w:szCs w:val="20"/>
        </w:rPr>
      </w:pPr>
      <w:r>
        <w:rPr>
          <w:sz w:val="20"/>
          <w:szCs w:val="20"/>
        </w:rPr>
        <w:t>818</w:t>
      </w:r>
      <w:r w:rsidR="00D7475F">
        <w:rPr>
          <w:sz w:val="20"/>
          <w:szCs w:val="20"/>
        </w:rPr>
        <w:t>.</w:t>
      </w:r>
      <w:r w:rsidR="00D7475F">
        <w:rPr>
          <w:sz w:val="20"/>
          <w:szCs w:val="20"/>
        </w:rPr>
        <w:tab/>
      </w:r>
      <w:r w:rsidR="00323457" w:rsidRPr="0059638B">
        <w:rPr>
          <w:sz w:val="20"/>
          <w:szCs w:val="20"/>
        </w:rPr>
        <w:t>The</w:t>
      </w:r>
      <w:r w:rsidR="00FF41A0">
        <w:rPr>
          <w:sz w:val="20"/>
          <w:szCs w:val="20"/>
        </w:rPr>
        <w:t xml:space="preserve"> </w:t>
      </w:r>
      <w:r w:rsidR="00323457" w:rsidRPr="0059638B">
        <w:rPr>
          <w:sz w:val="20"/>
          <w:szCs w:val="20"/>
        </w:rPr>
        <w:t>outcome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comprises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report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Working</w:t>
      </w:r>
      <w:r w:rsidR="00FF41A0">
        <w:rPr>
          <w:sz w:val="20"/>
          <w:szCs w:val="20"/>
        </w:rPr>
        <w:t xml:space="preserve"> </w:t>
      </w:r>
      <w:r w:rsidR="00323457" w:rsidRPr="0059638B">
        <w:rPr>
          <w:sz w:val="20"/>
          <w:szCs w:val="20"/>
        </w:rPr>
        <w:t>Group</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(A/HRC/40/6)</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views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concerning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and/or</w:t>
      </w:r>
      <w:r w:rsidR="00FF41A0">
        <w:rPr>
          <w:sz w:val="20"/>
          <w:szCs w:val="20"/>
        </w:rPr>
        <w:t xml:space="preserve"> </w:t>
      </w:r>
      <w:r w:rsidR="00323457" w:rsidRPr="0059638B">
        <w:rPr>
          <w:sz w:val="20"/>
          <w:szCs w:val="20"/>
        </w:rPr>
        <w:t>conclusions,</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well</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voluntary</w:t>
      </w:r>
      <w:r w:rsidR="00FF41A0">
        <w:rPr>
          <w:sz w:val="20"/>
          <w:szCs w:val="20"/>
        </w:rPr>
        <w:t xml:space="preserve"> </w:t>
      </w:r>
      <w:r w:rsidR="00323457" w:rsidRPr="0059638B">
        <w:rPr>
          <w:sz w:val="20"/>
          <w:szCs w:val="20"/>
        </w:rPr>
        <w:t>commitments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replies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questions</w:t>
      </w:r>
      <w:r w:rsidR="00FF41A0">
        <w:rPr>
          <w:sz w:val="20"/>
          <w:szCs w:val="20"/>
        </w:rPr>
        <w:t xml:space="preserve"> </w:t>
      </w:r>
      <w:r w:rsidR="00323457" w:rsidRPr="0059638B">
        <w:rPr>
          <w:sz w:val="20"/>
          <w:szCs w:val="20"/>
        </w:rPr>
        <w:t>or</w:t>
      </w:r>
      <w:r w:rsidR="00FF41A0">
        <w:rPr>
          <w:sz w:val="20"/>
          <w:szCs w:val="20"/>
        </w:rPr>
        <w:t xml:space="preserve"> </w:t>
      </w:r>
      <w:r w:rsidR="00323457" w:rsidRPr="0059638B">
        <w:rPr>
          <w:sz w:val="20"/>
          <w:szCs w:val="20"/>
        </w:rPr>
        <w:t>issues</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not</w:t>
      </w:r>
      <w:r w:rsidR="00FF41A0">
        <w:rPr>
          <w:sz w:val="20"/>
          <w:szCs w:val="20"/>
        </w:rPr>
        <w:t xml:space="preserve"> </w:t>
      </w:r>
      <w:r w:rsidR="00323457" w:rsidRPr="0059638B">
        <w:rPr>
          <w:sz w:val="20"/>
          <w:szCs w:val="20"/>
        </w:rPr>
        <w:t>sufficiently</w:t>
      </w:r>
      <w:r w:rsidR="00FF41A0">
        <w:rPr>
          <w:sz w:val="20"/>
          <w:szCs w:val="20"/>
        </w:rPr>
        <w:t xml:space="preserve"> </w:t>
      </w:r>
      <w:r w:rsidR="00323457" w:rsidRPr="0059638B">
        <w:rPr>
          <w:sz w:val="20"/>
          <w:szCs w:val="20"/>
        </w:rPr>
        <w:t>addressed</w:t>
      </w:r>
      <w:r w:rsidR="00FF41A0">
        <w:rPr>
          <w:sz w:val="20"/>
          <w:szCs w:val="20"/>
        </w:rPr>
        <w:t xml:space="preserve"> </w:t>
      </w:r>
      <w:r w:rsidR="00323457" w:rsidRPr="0059638B">
        <w:rPr>
          <w:sz w:val="20"/>
          <w:szCs w:val="20"/>
        </w:rPr>
        <w:t>during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interactive</w:t>
      </w:r>
      <w:r w:rsidR="00FF41A0">
        <w:rPr>
          <w:sz w:val="20"/>
          <w:szCs w:val="20"/>
        </w:rPr>
        <w:t xml:space="preserve"> </w:t>
      </w:r>
      <w:r w:rsidR="00323457" w:rsidRPr="0059638B">
        <w:rPr>
          <w:sz w:val="20"/>
          <w:szCs w:val="20"/>
        </w:rPr>
        <w:t>dialogue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Working</w:t>
      </w:r>
      <w:r w:rsidR="00FF41A0">
        <w:rPr>
          <w:sz w:val="20"/>
          <w:szCs w:val="20"/>
        </w:rPr>
        <w:t xml:space="preserve"> </w:t>
      </w:r>
      <w:r w:rsidR="00323457" w:rsidRPr="0059638B">
        <w:rPr>
          <w:sz w:val="20"/>
          <w:szCs w:val="20"/>
        </w:rPr>
        <w:t>Group,</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presented</w:t>
      </w:r>
      <w:r w:rsidR="00FF41A0">
        <w:rPr>
          <w:sz w:val="20"/>
          <w:szCs w:val="20"/>
        </w:rPr>
        <w:t xml:space="preserve"> </w:t>
      </w:r>
      <w:r w:rsidR="00323457" w:rsidRPr="0059638B">
        <w:rPr>
          <w:sz w:val="20"/>
          <w:szCs w:val="20"/>
        </w:rPr>
        <w:t>before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adoption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outcome</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plenary</w:t>
      </w:r>
      <w:r w:rsidR="00FF41A0">
        <w:rPr>
          <w:sz w:val="20"/>
          <w:szCs w:val="20"/>
        </w:rPr>
        <w:t xml:space="preserve"> </w:t>
      </w:r>
      <w:r w:rsidR="00323457" w:rsidRPr="0059638B">
        <w:rPr>
          <w:sz w:val="20"/>
          <w:szCs w:val="20"/>
        </w:rPr>
        <w:t>(see</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A/HRC/40/6/Add.1).</w:t>
      </w:r>
    </w:p>
    <w:p w14:paraId="4F2D5375" w14:textId="320EC630" w:rsidR="00323457" w:rsidRPr="0059638B" w:rsidRDefault="00323457" w:rsidP="00323457">
      <w:pPr>
        <w:pStyle w:val="H23G"/>
        <w:rPr>
          <w:sz w:val="20"/>
          <w:szCs w:val="20"/>
        </w:rPr>
      </w:pPr>
      <w:r w:rsidRPr="0059638B">
        <w:rPr>
          <w:sz w:val="20"/>
          <w:szCs w:val="20"/>
        </w:rPr>
        <w:tab/>
        <w:t>1.</w:t>
      </w:r>
      <w:r w:rsidRPr="0059638B">
        <w:rPr>
          <w:sz w:val="20"/>
          <w:szCs w:val="20"/>
        </w:rPr>
        <w:tab/>
        <w:t>Views</w:t>
      </w:r>
      <w:r w:rsidR="00FF41A0">
        <w:rPr>
          <w:sz w:val="20"/>
          <w:szCs w:val="20"/>
        </w:rPr>
        <w:t xml:space="preserve"> </w:t>
      </w:r>
      <w:r w:rsidRPr="0059638B">
        <w:rPr>
          <w:sz w:val="20"/>
          <w:szCs w:val="20"/>
        </w:rPr>
        <w:t>expressed</w:t>
      </w:r>
      <w:r w:rsidR="00FF41A0">
        <w:rPr>
          <w:sz w:val="20"/>
          <w:szCs w:val="20"/>
        </w:rPr>
        <w:t xml:space="preserve"> </w:t>
      </w:r>
      <w:r w:rsidRPr="0059638B">
        <w:rPr>
          <w:sz w:val="20"/>
          <w:szCs w:val="20"/>
        </w:rPr>
        <w:t>by</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State</w:t>
      </w:r>
      <w:r w:rsidR="00FF41A0">
        <w:rPr>
          <w:sz w:val="20"/>
          <w:szCs w:val="20"/>
        </w:rPr>
        <w:t xml:space="preserve"> </w:t>
      </w:r>
      <w:r w:rsidRPr="0059638B">
        <w:rPr>
          <w:sz w:val="20"/>
          <w:szCs w:val="20"/>
        </w:rPr>
        <w:t>under</w:t>
      </w:r>
      <w:r w:rsidR="00FF41A0">
        <w:rPr>
          <w:sz w:val="20"/>
          <w:szCs w:val="20"/>
        </w:rPr>
        <w:t xml:space="preserve"> </w:t>
      </w:r>
      <w:r w:rsidRPr="0059638B">
        <w:rPr>
          <w:sz w:val="20"/>
          <w:szCs w:val="20"/>
        </w:rPr>
        <w:t>review</w:t>
      </w:r>
      <w:r w:rsidR="00FF41A0">
        <w:rPr>
          <w:sz w:val="20"/>
          <w:szCs w:val="20"/>
        </w:rPr>
        <w:t xml:space="preserve"> </w:t>
      </w:r>
      <w:r w:rsidRPr="0059638B">
        <w:rPr>
          <w:sz w:val="20"/>
          <w:szCs w:val="20"/>
        </w:rPr>
        <w:t>on</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recommendations</w:t>
      </w:r>
      <w:r w:rsidR="00FF41A0">
        <w:rPr>
          <w:sz w:val="20"/>
          <w:szCs w:val="20"/>
        </w:rPr>
        <w:t xml:space="preserve"> </w:t>
      </w:r>
      <w:r w:rsidRPr="0059638B">
        <w:rPr>
          <w:sz w:val="20"/>
          <w:szCs w:val="20"/>
        </w:rPr>
        <w:t>and/or</w:t>
      </w:r>
      <w:r w:rsidR="00FF41A0">
        <w:rPr>
          <w:sz w:val="20"/>
          <w:szCs w:val="20"/>
        </w:rPr>
        <w:t xml:space="preserve"> </w:t>
      </w:r>
      <w:r w:rsidRPr="0059638B">
        <w:rPr>
          <w:sz w:val="20"/>
          <w:szCs w:val="20"/>
        </w:rPr>
        <w:t>conclusions,</w:t>
      </w:r>
      <w:r w:rsidR="00FF41A0">
        <w:rPr>
          <w:sz w:val="20"/>
          <w:szCs w:val="20"/>
        </w:rPr>
        <w:t xml:space="preserve"> </w:t>
      </w:r>
      <w:r w:rsidRPr="0059638B">
        <w:rPr>
          <w:sz w:val="20"/>
          <w:szCs w:val="20"/>
        </w:rPr>
        <w:t>its</w:t>
      </w:r>
      <w:r w:rsidR="00FF41A0">
        <w:rPr>
          <w:sz w:val="20"/>
          <w:szCs w:val="20"/>
        </w:rPr>
        <w:t xml:space="preserve"> </w:t>
      </w:r>
      <w:r w:rsidRPr="0059638B">
        <w:rPr>
          <w:sz w:val="20"/>
          <w:szCs w:val="20"/>
        </w:rPr>
        <w:t>voluntary</w:t>
      </w:r>
      <w:r w:rsidR="00FF41A0">
        <w:rPr>
          <w:sz w:val="20"/>
          <w:szCs w:val="20"/>
        </w:rPr>
        <w:t xml:space="preserve"> </w:t>
      </w:r>
      <w:r w:rsidRPr="0059638B">
        <w:rPr>
          <w:sz w:val="20"/>
          <w:szCs w:val="20"/>
        </w:rPr>
        <w:t>commitments</w:t>
      </w:r>
      <w:r w:rsidR="00FF41A0">
        <w:rPr>
          <w:sz w:val="20"/>
          <w:szCs w:val="20"/>
        </w:rPr>
        <w:t xml:space="preserve"> </w:t>
      </w:r>
      <w:r w:rsidRPr="0059638B">
        <w:rPr>
          <w:sz w:val="20"/>
          <w:szCs w:val="20"/>
        </w:rPr>
        <w:t>and</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outcome</w:t>
      </w:r>
    </w:p>
    <w:p w14:paraId="18E78EBE" w14:textId="107496DD" w:rsidR="00323457" w:rsidRPr="0059638B" w:rsidRDefault="0035721D" w:rsidP="00323457">
      <w:pPr>
        <w:pStyle w:val="SingleTxtG"/>
        <w:rPr>
          <w:sz w:val="20"/>
          <w:szCs w:val="20"/>
        </w:rPr>
      </w:pPr>
      <w:r>
        <w:rPr>
          <w:sz w:val="20"/>
          <w:szCs w:val="20"/>
        </w:rPr>
        <w:t>819</w:t>
      </w:r>
      <w:r w:rsidR="00D7475F">
        <w:rPr>
          <w:sz w:val="20"/>
          <w:szCs w:val="20"/>
        </w:rPr>
        <w:t>.</w:t>
      </w:r>
      <w:r w:rsidR="00D7475F">
        <w:rPr>
          <w:sz w:val="20"/>
          <w:szCs w:val="20"/>
        </w:rPr>
        <w:tab/>
      </w:r>
      <w:r w:rsidR="00323457" w:rsidRPr="0059638B">
        <w:rPr>
          <w:sz w:val="20"/>
          <w:szCs w:val="20"/>
        </w:rPr>
        <w:t>China</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last</w:t>
      </w:r>
      <w:r w:rsidR="00FF41A0">
        <w:rPr>
          <w:sz w:val="20"/>
          <w:szCs w:val="20"/>
        </w:rPr>
        <w:t xml:space="preserve"> </w:t>
      </w:r>
      <w:r w:rsidR="00323457" w:rsidRPr="0059638B">
        <w:rPr>
          <w:sz w:val="20"/>
          <w:szCs w:val="20"/>
        </w:rPr>
        <w:t>November,</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attended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third</w:t>
      </w:r>
      <w:r w:rsidR="00FF41A0">
        <w:rPr>
          <w:sz w:val="20"/>
          <w:szCs w:val="20"/>
        </w:rPr>
        <w:t xml:space="preserve"> </w:t>
      </w:r>
      <w:r w:rsidR="00323457" w:rsidRPr="0059638B">
        <w:rPr>
          <w:sz w:val="20"/>
          <w:szCs w:val="20"/>
        </w:rPr>
        <w:t>cycle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an</w:t>
      </w:r>
      <w:r w:rsidR="00FF41A0">
        <w:rPr>
          <w:sz w:val="20"/>
          <w:szCs w:val="20"/>
        </w:rPr>
        <w:t xml:space="preserve"> </w:t>
      </w:r>
      <w:r w:rsidR="00323457" w:rsidRPr="0059638B">
        <w:rPr>
          <w:sz w:val="20"/>
          <w:szCs w:val="20"/>
        </w:rPr>
        <w:t>open,</w:t>
      </w:r>
      <w:r w:rsidR="00FF41A0">
        <w:rPr>
          <w:sz w:val="20"/>
          <w:szCs w:val="20"/>
        </w:rPr>
        <w:t xml:space="preserve"> </w:t>
      </w:r>
      <w:r w:rsidR="00323457" w:rsidRPr="0059638B">
        <w:rPr>
          <w:sz w:val="20"/>
          <w:szCs w:val="20"/>
        </w:rPr>
        <w:t>inclusive,</w:t>
      </w:r>
      <w:r w:rsidR="00FF41A0">
        <w:rPr>
          <w:sz w:val="20"/>
          <w:szCs w:val="20"/>
        </w:rPr>
        <w:t xml:space="preserve"> </w:t>
      </w:r>
      <w:r w:rsidR="00323457" w:rsidRPr="0059638B">
        <w:rPr>
          <w:sz w:val="20"/>
          <w:szCs w:val="20"/>
        </w:rPr>
        <w:t>candid</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cooperative</w:t>
      </w:r>
      <w:r w:rsidR="00FF41A0">
        <w:rPr>
          <w:sz w:val="20"/>
          <w:szCs w:val="20"/>
        </w:rPr>
        <w:t xml:space="preserve"> </w:t>
      </w:r>
      <w:r w:rsidR="00323457" w:rsidRPr="0059638B">
        <w:rPr>
          <w:sz w:val="20"/>
          <w:szCs w:val="20"/>
        </w:rPr>
        <w:t>manner.</w:t>
      </w:r>
      <w:r w:rsidR="00FF41A0">
        <w:rPr>
          <w:sz w:val="20"/>
          <w:szCs w:val="20"/>
        </w:rPr>
        <w:t xml:space="preserve"> </w:t>
      </w:r>
      <w:r w:rsidR="00323457" w:rsidRPr="0059638B">
        <w:rPr>
          <w:sz w:val="20"/>
          <w:szCs w:val="20"/>
        </w:rPr>
        <w:t>Most</w:t>
      </w:r>
      <w:r w:rsidR="00FF41A0">
        <w:rPr>
          <w:sz w:val="20"/>
          <w:szCs w:val="20"/>
        </w:rPr>
        <w:t xml:space="preserve"> </w:t>
      </w:r>
      <w:r w:rsidR="00323457" w:rsidRPr="0059638B">
        <w:rPr>
          <w:sz w:val="20"/>
          <w:szCs w:val="20"/>
        </w:rPr>
        <w:t>countries</w:t>
      </w:r>
      <w:r w:rsidR="00FF41A0">
        <w:rPr>
          <w:sz w:val="20"/>
          <w:szCs w:val="20"/>
        </w:rPr>
        <w:t xml:space="preserve"> </w:t>
      </w:r>
      <w:r w:rsidR="00323457" w:rsidRPr="0059638B">
        <w:rPr>
          <w:sz w:val="20"/>
          <w:szCs w:val="20"/>
        </w:rPr>
        <w:t>approved</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recognized</w:t>
      </w:r>
      <w:r w:rsidR="00FF41A0">
        <w:rPr>
          <w:sz w:val="20"/>
          <w:szCs w:val="20"/>
        </w:rPr>
        <w:t xml:space="preserve"> </w:t>
      </w:r>
      <w:r w:rsidR="00323457" w:rsidRPr="0059638B">
        <w:rPr>
          <w:sz w:val="20"/>
          <w:szCs w:val="20"/>
        </w:rPr>
        <w:t>China</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guiding</w:t>
      </w:r>
      <w:r w:rsidR="00FF41A0">
        <w:rPr>
          <w:sz w:val="20"/>
          <w:szCs w:val="20"/>
        </w:rPr>
        <w:t xml:space="preserve"> </w:t>
      </w:r>
      <w:r w:rsidR="00323457" w:rsidRPr="0059638B">
        <w:rPr>
          <w:sz w:val="20"/>
          <w:szCs w:val="20"/>
        </w:rPr>
        <w:t>principles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practice,</w:t>
      </w:r>
      <w:r w:rsidR="00FF41A0">
        <w:rPr>
          <w:sz w:val="20"/>
          <w:szCs w:val="20"/>
        </w:rPr>
        <w:t xml:space="preserve"> </w:t>
      </w:r>
      <w:r w:rsidR="00323457" w:rsidRPr="0059638B">
        <w:rPr>
          <w:sz w:val="20"/>
          <w:szCs w:val="20"/>
        </w:rPr>
        <w:t>progress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achievements</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p>
    <w:p w14:paraId="065BBD55" w14:textId="6F04C118" w:rsidR="00323457" w:rsidRPr="0059638B" w:rsidRDefault="0035721D" w:rsidP="00323457">
      <w:pPr>
        <w:pStyle w:val="SingleTxtG"/>
        <w:rPr>
          <w:sz w:val="20"/>
          <w:szCs w:val="20"/>
        </w:rPr>
      </w:pPr>
      <w:r>
        <w:rPr>
          <w:sz w:val="20"/>
          <w:szCs w:val="20"/>
        </w:rPr>
        <w:t>820</w:t>
      </w:r>
      <w:r w:rsidR="00D7475F">
        <w:rPr>
          <w:sz w:val="20"/>
          <w:szCs w:val="20"/>
        </w:rPr>
        <w:t>.</w:t>
      </w:r>
      <w:r w:rsidR="00D7475F">
        <w:rPr>
          <w:sz w:val="20"/>
          <w:szCs w:val="20"/>
        </w:rPr>
        <w:tab/>
      </w:r>
      <w:r w:rsidR="00323457" w:rsidRPr="0059638B">
        <w:rPr>
          <w:sz w:val="20"/>
          <w:szCs w:val="20"/>
        </w:rPr>
        <w:t>China</w:t>
      </w:r>
      <w:r w:rsidR="00FF41A0">
        <w:rPr>
          <w:sz w:val="20"/>
          <w:szCs w:val="20"/>
        </w:rPr>
        <w:t xml:space="preserve"> </w:t>
      </w:r>
      <w:r w:rsidR="00323457" w:rsidRPr="0059638B">
        <w:rPr>
          <w:sz w:val="20"/>
          <w:szCs w:val="20"/>
        </w:rPr>
        <w:t>stressed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past</w:t>
      </w:r>
      <w:r w:rsidR="00FF41A0">
        <w:rPr>
          <w:sz w:val="20"/>
          <w:szCs w:val="20"/>
        </w:rPr>
        <w:t xml:space="preserve"> </w:t>
      </w:r>
      <w:r w:rsidR="00323457" w:rsidRPr="0059638B">
        <w:rPr>
          <w:sz w:val="20"/>
          <w:szCs w:val="20"/>
        </w:rPr>
        <w:t>seven</w:t>
      </w:r>
      <w:r w:rsidR="00FF41A0">
        <w:rPr>
          <w:sz w:val="20"/>
          <w:szCs w:val="20"/>
        </w:rPr>
        <w:t xml:space="preserve"> </w:t>
      </w:r>
      <w:r w:rsidR="00323457" w:rsidRPr="0059638B">
        <w:rPr>
          <w:sz w:val="20"/>
          <w:szCs w:val="20"/>
        </w:rPr>
        <w:t>decades,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grown</w:t>
      </w:r>
      <w:r w:rsidR="00FF41A0">
        <w:rPr>
          <w:sz w:val="20"/>
          <w:szCs w:val="20"/>
        </w:rPr>
        <w:t xml:space="preserve"> </w:t>
      </w:r>
      <w:r w:rsidR="00323457" w:rsidRPr="0059638B">
        <w:rPr>
          <w:sz w:val="20"/>
          <w:szCs w:val="20"/>
        </w:rPr>
        <w:t>into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second</w:t>
      </w:r>
      <w:r w:rsidR="00FF41A0">
        <w:rPr>
          <w:sz w:val="20"/>
          <w:szCs w:val="20"/>
        </w:rPr>
        <w:t xml:space="preserve"> </w:t>
      </w:r>
      <w:r w:rsidR="00323457" w:rsidRPr="0059638B">
        <w:rPr>
          <w:sz w:val="20"/>
          <w:szCs w:val="20"/>
        </w:rPr>
        <w:t>largest</w:t>
      </w:r>
      <w:r w:rsidR="00FF41A0">
        <w:rPr>
          <w:sz w:val="20"/>
          <w:szCs w:val="20"/>
        </w:rPr>
        <w:t xml:space="preserve"> </w:t>
      </w:r>
      <w:r w:rsidR="00323457" w:rsidRPr="0059638B">
        <w:rPr>
          <w:sz w:val="20"/>
          <w:szCs w:val="20"/>
        </w:rPr>
        <w:t>economy</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world</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GDP</w:t>
      </w:r>
      <w:r w:rsidR="00FF41A0">
        <w:rPr>
          <w:sz w:val="20"/>
          <w:szCs w:val="20"/>
        </w:rPr>
        <w:t xml:space="preserve"> </w:t>
      </w:r>
      <w:r w:rsidR="00323457" w:rsidRPr="0059638B">
        <w:rPr>
          <w:sz w:val="20"/>
          <w:szCs w:val="20"/>
        </w:rPr>
        <w:t>surpassing</w:t>
      </w:r>
      <w:r w:rsidR="00FF41A0">
        <w:rPr>
          <w:sz w:val="20"/>
          <w:szCs w:val="20"/>
        </w:rPr>
        <w:t xml:space="preserve"> </w:t>
      </w:r>
      <w:r w:rsidR="00323457" w:rsidRPr="0059638B">
        <w:rPr>
          <w:sz w:val="20"/>
          <w:szCs w:val="20"/>
        </w:rPr>
        <w:t>90</w:t>
      </w:r>
      <w:r w:rsidR="00FF41A0">
        <w:rPr>
          <w:sz w:val="20"/>
          <w:szCs w:val="20"/>
        </w:rPr>
        <w:t xml:space="preserve"> </w:t>
      </w:r>
      <w:r w:rsidR="00323457" w:rsidRPr="0059638B">
        <w:rPr>
          <w:sz w:val="20"/>
          <w:szCs w:val="20"/>
        </w:rPr>
        <w:t>trillion</w:t>
      </w:r>
      <w:r w:rsidR="00FF41A0">
        <w:rPr>
          <w:sz w:val="20"/>
          <w:szCs w:val="20"/>
        </w:rPr>
        <w:t xml:space="preserve"> </w:t>
      </w:r>
      <w:r w:rsidR="00323457" w:rsidRPr="0059638B">
        <w:rPr>
          <w:sz w:val="20"/>
          <w:szCs w:val="20"/>
        </w:rPr>
        <w:t>RMB</w:t>
      </w:r>
      <w:r w:rsidR="00FF41A0">
        <w:rPr>
          <w:sz w:val="20"/>
          <w:szCs w:val="20"/>
        </w:rPr>
        <w:t xml:space="preserve"> </w:t>
      </w:r>
      <w:r w:rsidR="00323457" w:rsidRPr="0059638B">
        <w:rPr>
          <w:sz w:val="20"/>
          <w:szCs w:val="20"/>
        </w:rPr>
        <w:t>yuan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2018</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world</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largest</w:t>
      </w:r>
      <w:r w:rsidR="00FF41A0">
        <w:rPr>
          <w:sz w:val="20"/>
          <w:szCs w:val="20"/>
        </w:rPr>
        <w:t xml:space="preserve"> </w:t>
      </w:r>
      <w:r w:rsidR="00323457" w:rsidRPr="0059638B">
        <w:rPr>
          <w:sz w:val="20"/>
          <w:szCs w:val="20"/>
        </w:rPr>
        <w:t>middle</w:t>
      </w:r>
      <w:r w:rsidR="00FF41A0">
        <w:rPr>
          <w:sz w:val="20"/>
          <w:szCs w:val="20"/>
        </w:rPr>
        <w:t xml:space="preserve"> </w:t>
      </w:r>
      <w:r w:rsidR="00323457" w:rsidRPr="0059638B">
        <w:rPr>
          <w:sz w:val="20"/>
          <w:szCs w:val="20"/>
        </w:rPr>
        <w:t>income</w:t>
      </w:r>
      <w:r w:rsidR="00FF41A0">
        <w:rPr>
          <w:sz w:val="20"/>
          <w:szCs w:val="20"/>
        </w:rPr>
        <w:t xml:space="preserve"> </w:t>
      </w:r>
      <w:r w:rsidR="00323457" w:rsidRPr="0059638B">
        <w:rPr>
          <w:sz w:val="20"/>
          <w:szCs w:val="20"/>
        </w:rPr>
        <w:t>population.</w:t>
      </w:r>
      <w:r w:rsidR="00FF41A0">
        <w:rPr>
          <w:sz w:val="20"/>
          <w:szCs w:val="20"/>
        </w:rPr>
        <w:t xml:space="preserve"> </w:t>
      </w:r>
      <w:r w:rsidR="00323457" w:rsidRPr="0059638B">
        <w:rPr>
          <w:sz w:val="20"/>
          <w:szCs w:val="20"/>
        </w:rPr>
        <w:t>Over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past</w:t>
      </w:r>
      <w:r w:rsidR="00FF41A0">
        <w:rPr>
          <w:sz w:val="20"/>
          <w:szCs w:val="20"/>
        </w:rPr>
        <w:t xml:space="preserve"> </w:t>
      </w:r>
      <w:r w:rsidR="00323457" w:rsidRPr="0059638B">
        <w:rPr>
          <w:sz w:val="20"/>
          <w:szCs w:val="20"/>
        </w:rPr>
        <w:t>40</w:t>
      </w:r>
      <w:r w:rsidR="00FF41A0">
        <w:rPr>
          <w:sz w:val="20"/>
          <w:szCs w:val="20"/>
        </w:rPr>
        <w:t xml:space="preserve"> </w:t>
      </w:r>
      <w:r w:rsidR="00323457" w:rsidRPr="0059638B">
        <w:rPr>
          <w:sz w:val="20"/>
          <w:szCs w:val="20"/>
        </w:rPr>
        <w:t>years,</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lifted</w:t>
      </w:r>
      <w:r w:rsidR="00FF41A0">
        <w:rPr>
          <w:sz w:val="20"/>
          <w:szCs w:val="20"/>
        </w:rPr>
        <w:t xml:space="preserve"> </w:t>
      </w:r>
      <w:r w:rsidR="00323457" w:rsidRPr="0059638B">
        <w:rPr>
          <w:sz w:val="20"/>
          <w:szCs w:val="20"/>
        </w:rPr>
        <w:t>740</w:t>
      </w:r>
      <w:r w:rsidR="00FF41A0">
        <w:rPr>
          <w:sz w:val="20"/>
          <w:szCs w:val="20"/>
        </w:rPr>
        <w:t xml:space="preserve"> </w:t>
      </w:r>
      <w:r w:rsidR="00323457" w:rsidRPr="0059638B">
        <w:rPr>
          <w:sz w:val="20"/>
          <w:szCs w:val="20"/>
        </w:rPr>
        <w:t>million</w:t>
      </w:r>
      <w:r w:rsidR="00FF41A0">
        <w:rPr>
          <w:sz w:val="20"/>
          <w:szCs w:val="20"/>
        </w:rPr>
        <w:t xml:space="preserve"> </w:t>
      </w:r>
      <w:r w:rsidR="00323457" w:rsidRPr="0059638B">
        <w:rPr>
          <w:sz w:val="20"/>
          <w:szCs w:val="20"/>
        </w:rPr>
        <w:t>people</w:t>
      </w:r>
      <w:r w:rsidR="00FF41A0">
        <w:rPr>
          <w:sz w:val="20"/>
          <w:szCs w:val="20"/>
        </w:rPr>
        <w:t xml:space="preserve"> </w:t>
      </w:r>
      <w:r w:rsidR="00323457" w:rsidRPr="0059638B">
        <w:rPr>
          <w:sz w:val="20"/>
          <w:szCs w:val="20"/>
        </w:rPr>
        <w:t>out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poverty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met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basic</w:t>
      </w:r>
      <w:r w:rsidR="00FF41A0">
        <w:rPr>
          <w:sz w:val="20"/>
          <w:szCs w:val="20"/>
        </w:rPr>
        <w:t xml:space="preserve"> </w:t>
      </w:r>
      <w:r w:rsidR="00323457" w:rsidRPr="0059638B">
        <w:rPr>
          <w:sz w:val="20"/>
          <w:szCs w:val="20"/>
        </w:rPr>
        <w:t>needs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nearly</w:t>
      </w:r>
      <w:r w:rsidR="00FF41A0">
        <w:rPr>
          <w:sz w:val="20"/>
          <w:szCs w:val="20"/>
        </w:rPr>
        <w:t xml:space="preserve"> </w:t>
      </w:r>
      <w:r w:rsidR="00323457" w:rsidRPr="0059638B">
        <w:rPr>
          <w:sz w:val="20"/>
          <w:szCs w:val="20"/>
        </w:rPr>
        <w:t>1.4</w:t>
      </w:r>
      <w:r w:rsidR="00FF41A0">
        <w:rPr>
          <w:sz w:val="20"/>
          <w:szCs w:val="20"/>
        </w:rPr>
        <w:t xml:space="preserve"> </w:t>
      </w:r>
      <w:r w:rsidR="00323457" w:rsidRPr="0059638B">
        <w:rPr>
          <w:sz w:val="20"/>
          <w:szCs w:val="20"/>
        </w:rPr>
        <w:t>billion</w:t>
      </w:r>
      <w:r w:rsidR="00FF41A0">
        <w:rPr>
          <w:sz w:val="20"/>
          <w:szCs w:val="20"/>
        </w:rPr>
        <w:t xml:space="preserve"> </w:t>
      </w:r>
      <w:r w:rsidR="00323457" w:rsidRPr="0059638B">
        <w:rPr>
          <w:sz w:val="20"/>
          <w:szCs w:val="20"/>
        </w:rPr>
        <w:t>people.</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2020,</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achieve</w:t>
      </w:r>
      <w:r w:rsidR="00FF41A0">
        <w:rPr>
          <w:sz w:val="20"/>
          <w:szCs w:val="20"/>
        </w:rPr>
        <w:t xml:space="preserve"> </w:t>
      </w:r>
      <w:r w:rsidR="00323457" w:rsidRPr="0059638B">
        <w:rPr>
          <w:sz w:val="20"/>
          <w:szCs w:val="20"/>
        </w:rPr>
        <w:t>comprehensive</w:t>
      </w:r>
      <w:r w:rsidR="00FF41A0">
        <w:rPr>
          <w:sz w:val="20"/>
          <w:szCs w:val="20"/>
        </w:rPr>
        <w:t xml:space="preserve"> </w:t>
      </w:r>
      <w:r w:rsidR="00323457" w:rsidRPr="0059638B">
        <w:rPr>
          <w:sz w:val="20"/>
          <w:szCs w:val="20"/>
        </w:rPr>
        <w:t>poverty</w:t>
      </w:r>
      <w:r w:rsidR="00FF41A0">
        <w:rPr>
          <w:sz w:val="20"/>
          <w:szCs w:val="20"/>
        </w:rPr>
        <w:t xml:space="preserve"> </w:t>
      </w:r>
      <w:r w:rsidR="00323457" w:rsidRPr="0059638B">
        <w:rPr>
          <w:sz w:val="20"/>
          <w:szCs w:val="20"/>
        </w:rPr>
        <w:t>eradication</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no</w:t>
      </w:r>
      <w:r w:rsidR="00FF41A0">
        <w:rPr>
          <w:sz w:val="20"/>
          <w:szCs w:val="20"/>
        </w:rPr>
        <w:t xml:space="preserve"> </w:t>
      </w:r>
      <w:r w:rsidR="00323457" w:rsidRPr="0059638B">
        <w:rPr>
          <w:sz w:val="20"/>
          <w:szCs w:val="20"/>
        </w:rPr>
        <w:t>one</w:t>
      </w:r>
      <w:r w:rsidR="00FF41A0">
        <w:rPr>
          <w:sz w:val="20"/>
          <w:szCs w:val="20"/>
        </w:rPr>
        <w:t xml:space="preserve"> </w:t>
      </w:r>
      <w:r w:rsidR="00323457" w:rsidRPr="0059638B">
        <w:rPr>
          <w:sz w:val="20"/>
          <w:szCs w:val="20"/>
        </w:rPr>
        <w:t>left</w:t>
      </w:r>
      <w:r w:rsidR="00FF41A0">
        <w:rPr>
          <w:sz w:val="20"/>
          <w:szCs w:val="20"/>
        </w:rPr>
        <w:t xml:space="preserve"> </w:t>
      </w:r>
      <w:r w:rsidR="00323457" w:rsidRPr="0059638B">
        <w:rPr>
          <w:sz w:val="20"/>
          <w:szCs w:val="20"/>
        </w:rPr>
        <w:t>behind.</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put</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place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world</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largest</w:t>
      </w:r>
      <w:r w:rsidR="00FF41A0">
        <w:rPr>
          <w:sz w:val="20"/>
          <w:szCs w:val="20"/>
        </w:rPr>
        <w:t xml:space="preserve"> </w:t>
      </w:r>
      <w:r w:rsidR="00323457" w:rsidRPr="0059638B">
        <w:rPr>
          <w:sz w:val="20"/>
          <w:szCs w:val="20"/>
        </w:rPr>
        <w:t>education,</w:t>
      </w:r>
      <w:r w:rsidR="00FF41A0">
        <w:rPr>
          <w:sz w:val="20"/>
          <w:szCs w:val="20"/>
        </w:rPr>
        <w:t xml:space="preserve"> </w:t>
      </w:r>
      <w:r w:rsidR="00323457" w:rsidRPr="0059638B">
        <w:rPr>
          <w:sz w:val="20"/>
          <w:szCs w:val="20"/>
        </w:rPr>
        <w:t>social</w:t>
      </w:r>
      <w:r w:rsidR="00FF41A0">
        <w:rPr>
          <w:sz w:val="20"/>
          <w:szCs w:val="20"/>
        </w:rPr>
        <w:t xml:space="preserve"> </w:t>
      </w:r>
      <w:r w:rsidR="00323457" w:rsidRPr="0059638B">
        <w:rPr>
          <w:sz w:val="20"/>
          <w:szCs w:val="20"/>
        </w:rPr>
        <w:t>security,</w:t>
      </w:r>
      <w:r w:rsidR="00FF41A0">
        <w:rPr>
          <w:sz w:val="20"/>
          <w:szCs w:val="20"/>
        </w:rPr>
        <w:t xml:space="preserve"> </w:t>
      </w:r>
      <w:r w:rsidR="00323457" w:rsidRPr="0059638B">
        <w:rPr>
          <w:sz w:val="20"/>
          <w:szCs w:val="20"/>
        </w:rPr>
        <w:t>medical</w:t>
      </w:r>
      <w:r w:rsidR="00FF41A0">
        <w:rPr>
          <w:sz w:val="20"/>
          <w:szCs w:val="20"/>
        </w:rPr>
        <w:t xml:space="preserve"> </w:t>
      </w:r>
      <w:r w:rsidR="00323457" w:rsidRPr="0059638B">
        <w:rPr>
          <w:sz w:val="20"/>
          <w:szCs w:val="20"/>
        </w:rPr>
        <w:t>care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community-level</w:t>
      </w:r>
      <w:r w:rsidR="00FF41A0">
        <w:rPr>
          <w:sz w:val="20"/>
          <w:szCs w:val="20"/>
        </w:rPr>
        <w:t xml:space="preserve"> </w:t>
      </w:r>
      <w:r w:rsidR="00323457" w:rsidRPr="0059638B">
        <w:rPr>
          <w:sz w:val="20"/>
          <w:szCs w:val="20"/>
        </w:rPr>
        <w:t>democratic</w:t>
      </w:r>
      <w:r w:rsidR="00FF41A0">
        <w:rPr>
          <w:sz w:val="20"/>
          <w:szCs w:val="20"/>
        </w:rPr>
        <w:t xml:space="preserve"> </w:t>
      </w:r>
      <w:r w:rsidR="00323457" w:rsidRPr="0059638B">
        <w:rPr>
          <w:sz w:val="20"/>
          <w:szCs w:val="20"/>
        </w:rPr>
        <w:t>systems.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faithfully</w:t>
      </w:r>
      <w:r w:rsidR="00FF41A0">
        <w:rPr>
          <w:sz w:val="20"/>
          <w:szCs w:val="20"/>
        </w:rPr>
        <w:t xml:space="preserve"> </w:t>
      </w:r>
      <w:r w:rsidR="00323457" w:rsidRPr="0059638B">
        <w:rPr>
          <w:sz w:val="20"/>
          <w:szCs w:val="20"/>
        </w:rPr>
        <w:t>upheld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principles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legality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established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world</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largest</w:t>
      </w:r>
      <w:r w:rsidR="00FF41A0">
        <w:rPr>
          <w:sz w:val="20"/>
          <w:szCs w:val="20"/>
        </w:rPr>
        <w:t xml:space="preserve"> </w:t>
      </w:r>
      <w:r w:rsidR="00323457" w:rsidRPr="0059638B">
        <w:rPr>
          <w:sz w:val="20"/>
          <w:szCs w:val="20"/>
        </w:rPr>
        <w:t>online</w:t>
      </w:r>
      <w:r w:rsidR="00FF41A0">
        <w:rPr>
          <w:sz w:val="20"/>
          <w:szCs w:val="20"/>
        </w:rPr>
        <w:t xml:space="preserve"> </w:t>
      </w:r>
      <w:r w:rsidR="00323457" w:rsidRPr="0059638B">
        <w:rPr>
          <w:sz w:val="20"/>
          <w:szCs w:val="20"/>
        </w:rPr>
        <w:t>platform</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written</w:t>
      </w:r>
      <w:r w:rsidR="00FF41A0">
        <w:rPr>
          <w:sz w:val="20"/>
          <w:szCs w:val="20"/>
        </w:rPr>
        <w:t xml:space="preserve"> </w:t>
      </w:r>
      <w:r w:rsidR="00323457" w:rsidRPr="0059638B">
        <w:rPr>
          <w:sz w:val="20"/>
          <w:szCs w:val="20"/>
        </w:rPr>
        <w:t>judgments.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followed</w:t>
      </w:r>
      <w:r w:rsidR="00FF41A0">
        <w:rPr>
          <w:sz w:val="20"/>
          <w:szCs w:val="20"/>
        </w:rPr>
        <w:t xml:space="preserve"> </w:t>
      </w:r>
      <w:r w:rsidR="00323457" w:rsidRPr="0059638B">
        <w:rPr>
          <w:sz w:val="20"/>
          <w:szCs w:val="20"/>
        </w:rPr>
        <w:t>market</w:t>
      </w:r>
      <w:r w:rsidR="00FF41A0">
        <w:rPr>
          <w:sz w:val="20"/>
          <w:szCs w:val="20"/>
        </w:rPr>
        <w:t xml:space="preserve"> </w:t>
      </w:r>
      <w:r w:rsidR="00323457" w:rsidRPr="0059638B">
        <w:rPr>
          <w:sz w:val="20"/>
          <w:szCs w:val="20"/>
        </w:rPr>
        <w:t>norms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universally</w:t>
      </w:r>
      <w:r w:rsidR="00FF41A0">
        <w:rPr>
          <w:sz w:val="20"/>
          <w:szCs w:val="20"/>
        </w:rPr>
        <w:t xml:space="preserve"> </w:t>
      </w:r>
      <w:r w:rsidR="00323457" w:rsidRPr="0059638B">
        <w:rPr>
          <w:sz w:val="20"/>
          <w:szCs w:val="20"/>
        </w:rPr>
        <w:t>recognized</w:t>
      </w:r>
      <w:r w:rsidR="00FF41A0">
        <w:rPr>
          <w:sz w:val="20"/>
          <w:szCs w:val="20"/>
        </w:rPr>
        <w:t xml:space="preserve"> </w:t>
      </w:r>
      <w:r w:rsidR="00323457" w:rsidRPr="0059638B">
        <w:rPr>
          <w:sz w:val="20"/>
          <w:szCs w:val="20"/>
        </w:rPr>
        <w:t>rules,</w:t>
      </w:r>
      <w:r w:rsidR="00FF41A0">
        <w:rPr>
          <w:sz w:val="20"/>
          <w:szCs w:val="20"/>
        </w:rPr>
        <w:t xml:space="preserve"> </w:t>
      </w:r>
      <w:r w:rsidR="00323457" w:rsidRPr="0059638B">
        <w:rPr>
          <w:sz w:val="20"/>
          <w:szCs w:val="20"/>
        </w:rPr>
        <w:t>worked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advance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Belt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Road</w:t>
      </w:r>
      <w:r w:rsidR="00FF41A0">
        <w:rPr>
          <w:sz w:val="20"/>
          <w:szCs w:val="20"/>
        </w:rPr>
        <w:t xml:space="preserve"> </w:t>
      </w:r>
      <w:r w:rsidR="00323457" w:rsidRPr="0059638B">
        <w:rPr>
          <w:sz w:val="20"/>
          <w:szCs w:val="20"/>
        </w:rPr>
        <w:t>Initiative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shared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dividend</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China</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development</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world.</w:t>
      </w:r>
      <w:r w:rsidR="00FF41A0">
        <w:rPr>
          <w:sz w:val="20"/>
          <w:szCs w:val="20"/>
        </w:rPr>
        <w:t xml:space="preserve"> </w:t>
      </w:r>
      <w:r w:rsidR="00323457" w:rsidRPr="0059638B">
        <w:rPr>
          <w:sz w:val="20"/>
          <w:szCs w:val="20"/>
        </w:rPr>
        <w:t>Such</w:t>
      </w:r>
      <w:r w:rsidR="00FF41A0">
        <w:rPr>
          <w:sz w:val="20"/>
          <w:szCs w:val="20"/>
        </w:rPr>
        <w:t xml:space="preserve"> </w:t>
      </w:r>
      <w:r w:rsidR="00323457" w:rsidRPr="0059638B">
        <w:rPr>
          <w:sz w:val="20"/>
          <w:szCs w:val="20"/>
        </w:rPr>
        <w:t>achievements</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not</w:t>
      </w:r>
      <w:r w:rsidR="00FF41A0">
        <w:rPr>
          <w:sz w:val="20"/>
          <w:szCs w:val="20"/>
        </w:rPr>
        <w:t xml:space="preserve"> </w:t>
      </w:r>
      <w:r w:rsidR="00323457" w:rsidRPr="0059638B">
        <w:rPr>
          <w:sz w:val="20"/>
          <w:szCs w:val="20"/>
        </w:rPr>
        <w:t>have</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possible</w:t>
      </w:r>
      <w:r w:rsidR="00FF41A0">
        <w:rPr>
          <w:sz w:val="20"/>
          <w:szCs w:val="20"/>
        </w:rPr>
        <w:t xml:space="preserve"> </w:t>
      </w:r>
      <w:r w:rsidR="00323457" w:rsidRPr="0059638B">
        <w:rPr>
          <w:sz w:val="20"/>
          <w:szCs w:val="20"/>
        </w:rPr>
        <w:t>without</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strong</w:t>
      </w:r>
      <w:r w:rsidR="00FF41A0">
        <w:rPr>
          <w:sz w:val="20"/>
          <w:szCs w:val="20"/>
        </w:rPr>
        <w:t xml:space="preserve"> </w:t>
      </w:r>
      <w:r w:rsidR="00323457" w:rsidRPr="0059638B">
        <w:rPr>
          <w:sz w:val="20"/>
          <w:szCs w:val="20"/>
        </w:rPr>
        <w:t>commitment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path</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development</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Chinese</w:t>
      </w:r>
      <w:r w:rsidR="00FF41A0">
        <w:rPr>
          <w:sz w:val="20"/>
          <w:szCs w:val="20"/>
        </w:rPr>
        <w:t xml:space="preserve"> </w:t>
      </w:r>
      <w:r w:rsidR="00323457" w:rsidRPr="0059638B">
        <w:rPr>
          <w:sz w:val="20"/>
          <w:szCs w:val="20"/>
        </w:rPr>
        <w:t>characteristics,</w:t>
      </w:r>
      <w:r w:rsidR="00FF41A0">
        <w:rPr>
          <w:sz w:val="20"/>
          <w:szCs w:val="20"/>
        </w:rPr>
        <w:t xml:space="preserve"> </w:t>
      </w:r>
      <w:r w:rsidR="00323457" w:rsidRPr="0059638B">
        <w:rPr>
          <w:sz w:val="20"/>
          <w:szCs w:val="20"/>
        </w:rPr>
        <w:t>one</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takes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conditions</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foundation,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people</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centre,</w:t>
      </w:r>
      <w:r w:rsidR="00FF41A0">
        <w:rPr>
          <w:sz w:val="20"/>
          <w:szCs w:val="20"/>
        </w:rPr>
        <w:t xml:space="preserve"> </w:t>
      </w:r>
      <w:r w:rsidR="00323457" w:rsidRPr="0059638B">
        <w:rPr>
          <w:sz w:val="20"/>
          <w:szCs w:val="20"/>
        </w:rPr>
        <w:t>development</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priority,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rule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law</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criterion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openness</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driving</w:t>
      </w:r>
      <w:r w:rsidR="00FF41A0">
        <w:rPr>
          <w:sz w:val="20"/>
          <w:szCs w:val="20"/>
        </w:rPr>
        <w:t xml:space="preserve"> </w:t>
      </w:r>
      <w:r w:rsidR="00323457" w:rsidRPr="0059638B">
        <w:rPr>
          <w:sz w:val="20"/>
          <w:szCs w:val="20"/>
        </w:rPr>
        <w:t>force.</w:t>
      </w:r>
      <w:r w:rsidR="00FF41A0">
        <w:rPr>
          <w:sz w:val="20"/>
          <w:szCs w:val="20"/>
        </w:rPr>
        <w:t xml:space="preserve"> </w:t>
      </w:r>
    </w:p>
    <w:p w14:paraId="087B2319" w14:textId="725300E3" w:rsidR="00323457" w:rsidRPr="0059638B" w:rsidRDefault="0035721D" w:rsidP="00323457">
      <w:pPr>
        <w:pStyle w:val="SingleTxtG"/>
        <w:rPr>
          <w:sz w:val="20"/>
          <w:szCs w:val="20"/>
        </w:rPr>
      </w:pPr>
      <w:r>
        <w:rPr>
          <w:sz w:val="20"/>
          <w:szCs w:val="20"/>
        </w:rPr>
        <w:t>821</w:t>
      </w:r>
      <w:r w:rsidR="00D7475F">
        <w:rPr>
          <w:sz w:val="20"/>
          <w:szCs w:val="20"/>
        </w:rPr>
        <w:t>.</w:t>
      </w:r>
      <w:r w:rsidR="00D7475F">
        <w:rPr>
          <w:sz w:val="20"/>
          <w:szCs w:val="20"/>
        </w:rPr>
        <w:tab/>
      </w:r>
      <w:r w:rsidR="00323457" w:rsidRPr="0059638B">
        <w:rPr>
          <w:sz w:val="20"/>
          <w:szCs w:val="20"/>
        </w:rPr>
        <w:t>China</w:t>
      </w:r>
      <w:r w:rsidR="00FF41A0">
        <w:rPr>
          <w:sz w:val="20"/>
          <w:szCs w:val="20"/>
        </w:rPr>
        <w:t xml:space="preserve"> </w:t>
      </w:r>
      <w:r w:rsidR="00323457" w:rsidRPr="0059638B">
        <w:rPr>
          <w:sz w:val="20"/>
          <w:szCs w:val="20"/>
        </w:rPr>
        <w:t>highlighted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346</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raised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member</w:t>
      </w:r>
      <w:r w:rsidR="00FF41A0">
        <w:rPr>
          <w:sz w:val="20"/>
          <w:szCs w:val="20"/>
        </w:rPr>
        <w:t xml:space="preserve"> </w:t>
      </w:r>
      <w:r w:rsidR="00323457" w:rsidRPr="0059638B">
        <w:rPr>
          <w:sz w:val="20"/>
          <w:szCs w:val="20"/>
        </w:rPr>
        <w:t>states,</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decided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accept</w:t>
      </w:r>
      <w:r w:rsidR="00FF41A0">
        <w:rPr>
          <w:sz w:val="20"/>
          <w:szCs w:val="20"/>
        </w:rPr>
        <w:t xml:space="preserve"> </w:t>
      </w:r>
      <w:r w:rsidR="00323457" w:rsidRPr="0059638B">
        <w:rPr>
          <w:sz w:val="20"/>
          <w:szCs w:val="20"/>
        </w:rPr>
        <w:t>284,</w:t>
      </w:r>
      <w:r w:rsidR="00FF41A0">
        <w:rPr>
          <w:sz w:val="20"/>
          <w:szCs w:val="20"/>
        </w:rPr>
        <w:t xml:space="preserve"> </w:t>
      </w:r>
      <w:r w:rsidR="00323457" w:rsidRPr="0059638B">
        <w:rPr>
          <w:sz w:val="20"/>
          <w:szCs w:val="20"/>
        </w:rPr>
        <w:t>or</w:t>
      </w:r>
      <w:r w:rsidR="00FF41A0">
        <w:rPr>
          <w:sz w:val="20"/>
          <w:szCs w:val="20"/>
        </w:rPr>
        <w:t xml:space="preserve"> </w:t>
      </w:r>
      <w:r w:rsidR="00323457" w:rsidRPr="0059638B">
        <w:rPr>
          <w:sz w:val="20"/>
          <w:szCs w:val="20"/>
        </w:rPr>
        <w:t>82%</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total,</w:t>
      </w:r>
      <w:r w:rsidR="00FF41A0">
        <w:rPr>
          <w:sz w:val="20"/>
          <w:szCs w:val="20"/>
        </w:rPr>
        <w:t xml:space="preserve"> </w:t>
      </w:r>
      <w:r w:rsidR="00323457" w:rsidRPr="0059638B">
        <w:rPr>
          <w:sz w:val="20"/>
          <w:szCs w:val="20"/>
        </w:rPr>
        <w:t>covering</w:t>
      </w:r>
      <w:r w:rsidR="00FF41A0">
        <w:rPr>
          <w:sz w:val="20"/>
          <w:szCs w:val="20"/>
        </w:rPr>
        <w:t xml:space="preserve"> </w:t>
      </w:r>
      <w:r w:rsidR="00323457" w:rsidRPr="0059638B">
        <w:rPr>
          <w:sz w:val="20"/>
          <w:szCs w:val="20"/>
        </w:rPr>
        <w:t>both</w:t>
      </w:r>
      <w:r w:rsidR="00FF41A0">
        <w:rPr>
          <w:sz w:val="20"/>
          <w:szCs w:val="20"/>
        </w:rPr>
        <w:t xml:space="preserve"> </w:t>
      </w:r>
      <w:r w:rsidR="00323457" w:rsidRPr="0059638B">
        <w:rPr>
          <w:sz w:val="20"/>
          <w:szCs w:val="20"/>
        </w:rPr>
        <w:t>economic,</w:t>
      </w:r>
      <w:r w:rsidR="00FF41A0">
        <w:rPr>
          <w:sz w:val="20"/>
          <w:szCs w:val="20"/>
        </w:rPr>
        <w:t xml:space="preserve"> </w:t>
      </w:r>
      <w:r w:rsidR="00323457" w:rsidRPr="0059638B">
        <w:rPr>
          <w:sz w:val="20"/>
          <w:szCs w:val="20"/>
        </w:rPr>
        <w:t>social,</w:t>
      </w:r>
      <w:r w:rsidR="00FF41A0">
        <w:rPr>
          <w:sz w:val="20"/>
          <w:szCs w:val="20"/>
        </w:rPr>
        <w:t xml:space="preserve"> </w:t>
      </w:r>
      <w:r w:rsidR="00323457" w:rsidRPr="0059638B">
        <w:rPr>
          <w:sz w:val="20"/>
          <w:szCs w:val="20"/>
        </w:rPr>
        <w:t>cultural</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civil,</w:t>
      </w:r>
      <w:r w:rsidR="00FF41A0">
        <w:rPr>
          <w:sz w:val="20"/>
          <w:szCs w:val="20"/>
        </w:rPr>
        <w:t xml:space="preserve"> </w:t>
      </w:r>
      <w:r w:rsidR="00323457" w:rsidRPr="0059638B">
        <w:rPr>
          <w:sz w:val="20"/>
          <w:szCs w:val="20"/>
        </w:rPr>
        <w:t>political</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There</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62</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be</w:t>
      </w:r>
      <w:r w:rsidR="00FF41A0">
        <w:rPr>
          <w:sz w:val="20"/>
          <w:szCs w:val="20"/>
        </w:rPr>
        <w:t xml:space="preserve"> </w:t>
      </w:r>
      <w:r w:rsidR="00323457" w:rsidRPr="0059638B">
        <w:rPr>
          <w:sz w:val="20"/>
          <w:szCs w:val="20"/>
        </w:rPr>
        <w:t>difficult</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accept.</w:t>
      </w:r>
      <w:r w:rsidR="00FF41A0">
        <w:rPr>
          <w:sz w:val="20"/>
          <w:szCs w:val="20"/>
        </w:rPr>
        <w:t xml:space="preserve"> </w:t>
      </w:r>
      <w:r w:rsidR="00323457" w:rsidRPr="0059638B">
        <w:rPr>
          <w:sz w:val="20"/>
          <w:szCs w:val="20"/>
        </w:rPr>
        <w:t>Some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them</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inconsistent</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China</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realities</w:t>
      </w:r>
      <w:r w:rsidR="00FF41A0">
        <w:rPr>
          <w:sz w:val="20"/>
          <w:szCs w:val="20"/>
        </w:rPr>
        <w:t xml:space="preserve"> </w:t>
      </w:r>
      <w:r w:rsidR="00323457" w:rsidRPr="0059638B">
        <w:rPr>
          <w:sz w:val="20"/>
          <w:szCs w:val="20"/>
        </w:rPr>
        <w:t>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conditions</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not</w:t>
      </w:r>
      <w:r w:rsidR="00FF41A0">
        <w:rPr>
          <w:sz w:val="20"/>
          <w:szCs w:val="20"/>
        </w:rPr>
        <w:t xml:space="preserve"> </w:t>
      </w:r>
      <w:r w:rsidR="00323457" w:rsidRPr="0059638B">
        <w:rPr>
          <w:sz w:val="20"/>
          <w:szCs w:val="20"/>
        </w:rPr>
        <w:t>ripe,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some</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baseless</w:t>
      </w:r>
      <w:r w:rsidR="00FF41A0">
        <w:rPr>
          <w:sz w:val="20"/>
          <w:szCs w:val="20"/>
        </w:rPr>
        <w:t xml:space="preserve"> </w:t>
      </w:r>
      <w:r w:rsidR="00323457" w:rsidRPr="0059638B">
        <w:rPr>
          <w:sz w:val="20"/>
          <w:szCs w:val="20"/>
        </w:rPr>
        <w:t>or</w:t>
      </w:r>
      <w:r w:rsidR="00FF41A0">
        <w:rPr>
          <w:sz w:val="20"/>
          <w:szCs w:val="20"/>
        </w:rPr>
        <w:t xml:space="preserve"> </w:t>
      </w:r>
      <w:r w:rsidR="00323457" w:rsidRPr="0059638B">
        <w:rPr>
          <w:sz w:val="20"/>
          <w:szCs w:val="20"/>
        </w:rPr>
        <w:t>politically</w:t>
      </w:r>
      <w:r w:rsidR="00FF41A0">
        <w:rPr>
          <w:sz w:val="20"/>
          <w:szCs w:val="20"/>
        </w:rPr>
        <w:t xml:space="preserve"> </w:t>
      </w:r>
      <w:r w:rsidR="00323457" w:rsidRPr="0059638B">
        <w:rPr>
          <w:sz w:val="20"/>
          <w:szCs w:val="20"/>
        </w:rPr>
        <w:t>motivated.</w:t>
      </w:r>
      <w:r w:rsidR="00FF41A0">
        <w:rPr>
          <w:sz w:val="20"/>
          <w:szCs w:val="20"/>
        </w:rPr>
        <w:t xml:space="preserve"> </w:t>
      </w:r>
    </w:p>
    <w:p w14:paraId="76FE38EA" w14:textId="273C25B3" w:rsidR="00323457" w:rsidRPr="0059638B" w:rsidRDefault="0035721D" w:rsidP="00323457">
      <w:pPr>
        <w:pStyle w:val="SingleTxtG"/>
        <w:rPr>
          <w:sz w:val="20"/>
          <w:szCs w:val="20"/>
        </w:rPr>
      </w:pPr>
      <w:r>
        <w:rPr>
          <w:sz w:val="20"/>
          <w:szCs w:val="20"/>
        </w:rPr>
        <w:t>822</w:t>
      </w:r>
      <w:r w:rsidR="00D7475F">
        <w:rPr>
          <w:sz w:val="20"/>
          <w:szCs w:val="20"/>
        </w:rPr>
        <w:t>.</w:t>
      </w:r>
      <w:r w:rsidR="00D7475F">
        <w:rPr>
          <w:sz w:val="20"/>
          <w:szCs w:val="20"/>
        </w:rPr>
        <w:tab/>
      </w:r>
      <w:r w:rsidR="00323457" w:rsidRPr="0059638B">
        <w:rPr>
          <w:sz w:val="20"/>
          <w:szCs w:val="20"/>
        </w:rPr>
        <w:t>China</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recently,</w:t>
      </w:r>
      <w:r w:rsidR="00FF41A0">
        <w:rPr>
          <w:sz w:val="20"/>
          <w:szCs w:val="20"/>
        </w:rPr>
        <w:t xml:space="preserve"> </w:t>
      </w:r>
      <w:r w:rsidR="00323457" w:rsidRPr="0059638B">
        <w:rPr>
          <w:sz w:val="20"/>
          <w:szCs w:val="20"/>
        </w:rPr>
        <w:t>some</w:t>
      </w:r>
      <w:r w:rsidR="00FF41A0">
        <w:rPr>
          <w:sz w:val="20"/>
          <w:szCs w:val="20"/>
        </w:rPr>
        <w:t xml:space="preserve"> </w:t>
      </w:r>
      <w:r w:rsidR="00323457" w:rsidRPr="0059638B">
        <w:rPr>
          <w:sz w:val="20"/>
          <w:szCs w:val="20"/>
        </w:rPr>
        <w:t>countries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NGOs</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ill-intentioned</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groundless</w:t>
      </w:r>
      <w:r w:rsidR="00FF41A0">
        <w:rPr>
          <w:sz w:val="20"/>
          <w:szCs w:val="20"/>
        </w:rPr>
        <w:t xml:space="preserve"> </w:t>
      </w:r>
      <w:r w:rsidR="00323457" w:rsidRPr="0059638B">
        <w:rPr>
          <w:sz w:val="20"/>
          <w:szCs w:val="20"/>
        </w:rPr>
        <w:t>accusations</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vocational</w:t>
      </w:r>
      <w:r w:rsidR="00FF41A0">
        <w:rPr>
          <w:sz w:val="20"/>
          <w:szCs w:val="20"/>
        </w:rPr>
        <w:t xml:space="preserve"> </w:t>
      </w:r>
      <w:r w:rsidR="00323457" w:rsidRPr="0059638B">
        <w:rPr>
          <w:sz w:val="20"/>
          <w:szCs w:val="20"/>
        </w:rPr>
        <w:t>education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training</w:t>
      </w:r>
      <w:r w:rsidR="00FF41A0">
        <w:rPr>
          <w:sz w:val="20"/>
          <w:szCs w:val="20"/>
        </w:rPr>
        <w:t xml:space="preserve"> </w:t>
      </w:r>
      <w:r w:rsidR="00323457" w:rsidRPr="0059638B">
        <w:rPr>
          <w:sz w:val="20"/>
          <w:szCs w:val="20"/>
        </w:rPr>
        <w:t>centres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Xinjiang.</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recent</w:t>
      </w:r>
      <w:r w:rsidR="00FF41A0">
        <w:rPr>
          <w:sz w:val="20"/>
          <w:szCs w:val="20"/>
        </w:rPr>
        <w:t xml:space="preserve"> </w:t>
      </w:r>
      <w:r w:rsidR="00323457" w:rsidRPr="0059638B">
        <w:rPr>
          <w:sz w:val="20"/>
          <w:szCs w:val="20"/>
        </w:rPr>
        <w:t>months,</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invited</w:t>
      </w:r>
      <w:r w:rsidR="00FF41A0">
        <w:rPr>
          <w:sz w:val="20"/>
          <w:szCs w:val="20"/>
        </w:rPr>
        <w:t xml:space="preserve"> </w:t>
      </w:r>
      <w:r w:rsidR="00323457" w:rsidRPr="0059638B">
        <w:rPr>
          <w:sz w:val="20"/>
          <w:szCs w:val="20"/>
        </w:rPr>
        <w:t>several</w:t>
      </w:r>
      <w:r w:rsidR="00FF41A0">
        <w:rPr>
          <w:sz w:val="20"/>
          <w:szCs w:val="20"/>
        </w:rPr>
        <w:t xml:space="preserve"> </w:t>
      </w:r>
      <w:r w:rsidR="00323457" w:rsidRPr="0059638B">
        <w:rPr>
          <w:sz w:val="20"/>
          <w:szCs w:val="20"/>
        </w:rPr>
        <w:t>groups,</w:t>
      </w:r>
      <w:r w:rsidR="00FF41A0">
        <w:rPr>
          <w:sz w:val="20"/>
          <w:szCs w:val="20"/>
        </w:rPr>
        <w:t xml:space="preserve"> </w:t>
      </w:r>
      <w:r w:rsidR="00323457" w:rsidRPr="0059638B">
        <w:rPr>
          <w:sz w:val="20"/>
          <w:szCs w:val="20"/>
        </w:rPr>
        <w:t>or</w:t>
      </w:r>
      <w:r w:rsidR="00FF41A0">
        <w:rPr>
          <w:sz w:val="20"/>
          <w:szCs w:val="20"/>
        </w:rPr>
        <w:t xml:space="preserve"> </w:t>
      </w:r>
      <w:r w:rsidR="00323457" w:rsidRPr="0059638B">
        <w:rPr>
          <w:sz w:val="20"/>
          <w:szCs w:val="20"/>
        </w:rPr>
        <w:t>hundreds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foreign</w:t>
      </w:r>
      <w:r w:rsidR="00FF41A0">
        <w:rPr>
          <w:sz w:val="20"/>
          <w:szCs w:val="20"/>
        </w:rPr>
        <w:t xml:space="preserve"> </w:t>
      </w:r>
      <w:r w:rsidR="00323457" w:rsidRPr="0059638B">
        <w:rPr>
          <w:sz w:val="20"/>
          <w:szCs w:val="20"/>
        </w:rPr>
        <w:t>representatives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visit</w:t>
      </w:r>
      <w:r w:rsidR="00FF41A0">
        <w:rPr>
          <w:sz w:val="20"/>
          <w:szCs w:val="20"/>
        </w:rPr>
        <w:t xml:space="preserve"> </w:t>
      </w:r>
      <w:r w:rsidR="00323457" w:rsidRPr="0059638B">
        <w:rPr>
          <w:sz w:val="20"/>
          <w:szCs w:val="20"/>
        </w:rPr>
        <w:t>Xinjiang</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vocational</w:t>
      </w:r>
      <w:r w:rsidR="00FF41A0">
        <w:rPr>
          <w:sz w:val="20"/>
          <w:szCs w:val="20"/>
        </w:rPr>
        <w:t xml:space="preserve"> </w:t>
      </w:r>
      <w:r w:rsidR="00323457" w:rsidRPr="0059638B">
        <w:rPr>
          <w:sz w:val="20"/>
          <w:szCs w:val="20"/>
        </w:rPr>
        <w:t>education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training</w:t>
      </w:r>
      <w:r w:rsidR="00FF41A0">
        <w:rPr>
          <w:sz w:val="20"/>
          <w:szCs w:val="20"/>
        </w:rPr>
        <w:t xml:space="preserve"> </w:t>
      </w:r>
      <w:r w:rsidR="00323457" w:rsidRPr="0059638B">
        <w:rPr>
          <w:sz w:val="20"/>
          <w:szCs w:val="20"/>
        </w:rPr>
        <w:t>centres</w:t>
      </w:r>
      <w:r w:rsidR="00FF41A0">
        <w:rPr>
          <w:sz w:val="20"/>
          <w:szCs w:val="20"/>
        </w:rPr>
        <w:t xml:space="preserve"> </w:t>
      </w:r>
      <w:r w:rsidR="00323457" w:rsidRPr="0059638B">
        <w:rPr>
          <w:sz w:val="20"/>
          <w:szCs w:val="20"/>
        </w:rPr>
        <w:t>there.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head</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delegation,</w:t>
      </w:r>
      <w:r w:rsidR="00FF41A0">
        <w:rPr>
          <w:sz w:val="20"/>
          <w:szCs w:val="20"/>
        </w:rPr>
        <w:t xml:space="preserve"> </w:t>
      </w:r>
      <w:r w:rsidR="00323457" w:rsidRPr="0059638B">
        <w:rPr>
          <w:sz w:val="20"/>
          <w:szCs w:val="20"/>
        </w:rPr>
        <w:t>Vice</w:t>
      </w:r>
      <w:r w:rsidR="00FF41A0">
        <w:rPr>
          <w:sz w:val="20"/>
          <w:szCs w:val="20"/>
        </w:rPr>
        <w:t xml:space="preserve"> </w:t>
      </w:r>
      <w:r w:rsidR="00323457" w:rsidRPr="0059638B">
        <w:rPr>
          <w:sz w:val="20"/>
          <w:szCs w:val="20"/>
        </w:rPr>
        <w:t>Minister</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Foreign</w:t>
      </w:r>
      <w:r w:rsidR="00FF41A0">
        <w:rPr>
          <w:sz w:val="20"/>
          <w:szCs w:val="20"/>
        </w:rPr>
        <w:t xml:space="preserve"> </w:t>
      </w:r>
      <w:r w:rsidR="00323457" w:rsidRPr="0059638B">
        <w:rPr>
          <w:sz w:val="20"/>
          <w:szCs w:val="20"/>
        </w:rPr>
        <w:t>Affairs,</w:t>
      </w:r>
      <w:r w:rsidR="00FF41A0">
        <w:rPr>
          <w:sz w:val="20"/>
          <w:szCs w:val="20"/>
        </w:rPr>
        <w:t xml:space="preserve"> </w:t>
      </w:r>
      <w:r w:rsidR="00323457" w:rsidRPr="0059638B">
        <w:rPr>
          <w:sz w:val="20"/>
          <w:szCs w:val="20"/>
        </w:rPr>
        <w:t>Mr.</w:t>
      </w:r>
      <w:r w:rsidR="00FF41A0">
        <w:rPr>
          <w:sz w:val="20"/>
          <w:szCs w:val="20"/>
        </w:rPr>
        <w:t xml:space="preserve"> </w:t>
      </w:r>
      <w:r w:rsidR="00323457" w:rsidRPr="0059638B">
        <w:rPr>
          <w:sz w:val="20"/>
          <w:szCs w:val="20"/>
        </w:rPr>
        <w:t>Le</w:t>
      </w:r>
      <w:r w:rsidR="00FF41A0">
        <w:rPr>
          <w:sz w:val="20"/>
          <w:szCs w:val="20"/>
        </w:rPr>
        <w:t xml:space="preserve"> </w:t>
      </w:r>
      <w:r w:rsidR="00323457" w:rsidRPr="0059638B">
        <w:rPr>
          <w:sz w:val="20"/>
          <w:szCs w:val="20"/>
        </w:rPr>
        <w:t>Yucheng,</w:t>
      </w:r>
      <w:r w:rsidR="00FF41A0">
        <w:rPr>
          <w:sz w:val="20"/>
          <w:szCs w:val="20"/>
        </w:rPr>
        <w:t xml:space="preserve"> </w:t>
      </w:r>
      <w:r w:rsidR="00323457" w:rsidRPr="0059638B">
        <w:rPr>
          <w:sz w:val="20"/>
          <w:szCs w:val="20"/>
        </w:rPr>
        <w:t>himself</w:t>
      </w:r>
      <w:r w:rsidR="00FF41A0">
        <w:rPr>
          <w:sz w:val="20"/>
          <w:szCs w:val="20"/>
        </w:rPr>
        <w:t xml:space="preserve"> </w:t>
      </w:r>
      <w:r w:rsidR="00323457" w:rsidRPr="0059638B">
        <w:rPr>
          <w:sz w:val="20"/>
          <w:szCs w:val="20"/>
        </w:rPr>
        <w:t>visited</w:t>
      </w:r>
      <w:r w:rsidR="00FF41A0">
        <w:rPr>
          <w:sz w:val="20"/>
          <w:szCs w:val="20"/>
        </w:rPr>
        <w:t xml:space="preserve"> </w:t>
      </w:r>
      <w:r w:rsidR="00323457" w:rsidRPr="0059638B">
        <w:rPr>
          <w:sz w:val="20"/>
          <w:szCs w:val="20"/>
        </w:rPr>
        <w:t>Xinjiang</w:t>
      </w:r>
      <w:r w:rsidR="00FF41A0">
        <w:rPr>
          <w:sz w:val="20"/>
          <w:szCs w:val="20"/>
        </w:rPr>
        <w:t xml:space="preserve"> </w:t>
      </w:r>
      <w:r w:rsidR="00323457" w:rsidRPr="0059638B">
        <w:rPr>
          <w:sz w:val="20"/>
          <w:szCs w:val="20"/>
        </w:rPr>
        <w:t>last</w:t>
      </w:r>
      <w:r w:rsidR="00FF41A0">
        <w:rPr>
          <w:sz w:val="20"/>
          <w:szCs w:val="20"/>
        </w:rPr>
        <w:t xml:space="preserve"> </w:t>
      </w:r>
      <w:r w:rsidR="00323457" w:rsidRPr="0059638B">
        <w:rPr>
          <w:sz w:val="20"/>
          <w:szCs w:val="20"/>
        </w:rPr>
        <w:t>month.</w:t>
      </w:r>
      <w:r w:rsidR="00FF41A0">
        <w:rPr>
          <w:sz w:val="20"/>
          <w:szCs w:val="20"/>
        </w:rPr>
        <w:t xml:space="preserve"> </w:t>
      </w:r>
      <w:r w:rsidR="00323457" w:rsidRPr="0059638B">
        <w:rPr>
          <w:sz w:val="20"/>
          <w:szCs w:val="20"/>
        </w:rPr>
        <w:t>He</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like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share</w:t>
      </w:r>
      <w:r w:rsidR="00FF41A0">
        <w:rPr>
          <w:sz w:val="20"/>
          <w:szCs w:val="20"/>
        </w:rPr>
        <w:t xml:space="preserve"> </w:t>
      </w:r>
      <w:r w:rsidR="00323457" w:rsidRPr="0059638B">
        <w:rPr>
          <w:sz w:val="20"/>
          <w:szCs w:val="20"/>
        </w:rPr>
        <w:t>what</w:t>
      </w:r>
      <w:r w:rsidR="00FF41A0">
        <w:rPr>
          <w:sz w:val="20"/>
          <w:szCs w:val="20"/>
        </w:rPr>
        <w:t xml:space="preserve"> </w:t>
      </w:r>
      <w:r w:rsidR="00323457" w:rsidRPr="0059638B">
        <w:rPr>
          <w:sz w:val="20"/>
          <w:szCs w:val="20"/>
        </w:rPr>
        <w:t>he</w:t>
      </w:r>
      <w:r w:rsidR="00FF41A0">
        <w:rPr>
          <w:sz w:val="20"/>
          <w:szCs w:val="20"/>
        </w:rPr>
        <w:t xml:space="preserve"> </w:t>
      </w:r>
      <w:r w:rsidR="00323457" w:rsidRPr="0059638B">
        <w:rPr>
          <w:sz w:val="20"/>
          <w:szCs w:val="20"/>
        </w:rPr>
        <w:t>saw</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heard</w:t>
      </w:r>
      <w:r w:rsidR="00FF41A0">
        <w:rPr>
          <w:sz w:val="20"/>
          <w:szCs w:val="20"/>
        </w:rPr>
        <w:t xml:space="preserve"> </w:t>
      </w:r>
      <w:r w:rsidR="00323457" w:rsidRPr="0059638B">
        <w:rPr>
          <w:sz w:val="20"/>
          <w:szCs w:val="20"/>
        </w:rPr>
        <w:t>using</w:t>
      </w:r>
      <w:r w:rsidR="00FF41A0">
        <w:rPr>
          <w:sz w:val="20"/>
          <w:szCs w:val="20"/>
        </w:rPr>
        <w:t xml:space="preserve"> </w:t>
      </w:r>
      <w:r w:rsidR="00323457" w:rsidRPr="0059638B">
        <w:rPr>
          <w:sz w:val="20"/>
          <w:szCs w:val="20"/>
        </w:rPr>
        <w:t>facts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few</w:t>
      </w:r>
      <w:r w:rsidR="00FF41A0">
        <w:rPr>
          <w:sz w:val="20"/>
          <w:szCs w:val="20"/>
        </w:rPr>
        <w:t xml:space="preserve"> </w:t>
      </w:r>
      <w:r w:rsidR="00323457" w:rsidRPr="0059638B">
        <w:rPr>
          <w:sz w:val="20"/>
          <w:szCs w:val="20"/>
        </w:rPr>
        <w:t>key</w:t>
      </w:r>
      <w:r w:rsidR="00FF41A0">
        <w:rPr>
          <w:sz w:val="20"/>
          <w:szCs w:val="20"/>
        </w:rPr>
        <w:t xml:space="preserve"> </w:t>
      </w:r>
      <w:r w:rsidR="00323457" w:rsidRPr="0059638B">
        <w:rPr>
          <w:sz w:val="20"/>
          <w:szCs w:val="20"/>
        </w:rPr>
        <w:t>words</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acronym</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F-A-C-T.</w:t>
      </w:r>
      <w:r w:rsidR="00FF41A0">
        <w:rPr>
          <w:sz w:val="20"/>
          <w:szCs w:val="20"/>
        </w:rPr>
        <w:t xml:space="preserve"> </w:t>
      </w:r>
    </w:p>
    <w:p w14:paraId="11DA6A1D" w14:textId="2117462B" w:rsidR="00323457" w:rsidRPr="0059638B" w:rsidRDefault="0035721D" w:rsidP="00323457">
      <w:pPr>
        <w:pStyle w:val="SingleTxtG"/>
        <w:rPr>
          <w:sz w:val="20"/>
          <w:szCs w:val="20"/>
        </w:rPr>
      </w:pPr>
      <w:r>
        <w:rPr>
          <w:sz w:val="20"/>
          <w:szCs w:val="20"/>
        </w:rPr>
        <w:t>823</w:t>
      </w:r>
      <w:r w:rsidR="00D7475F">
        <w:rPr>
          <w:sz w:val="20"/>
          <w:szCs w:val="20"/>
        </w:rPr>
        <w:t>.</w:t>
      </w:r>
      <w:r w:rsidR="00D7475F">
        <w:rPr>
          <w:sz w:val="20"/>
          <w:szCs w:val="20"/>
        </w:rPr>
        <w:tab/>
      </w:r>
      <w:r w:rsidR="00323457" w:rsidRPr="0059638B">
        <w:rPr>
          <w:sz w:val="20"/>
          <w:szCs w:val="20"/>
        </w:rPr>
        <w:t>First,</w:t>
      </w:r>
      <w:r w:rsidR="00FF41A0">
        <w:rPr>
          <w:sz w:val="20"/>
          <w:szCs w:val="20"/>
        </w:rPr>
        <w:t xml:space="preserve"> </w:t>
      </w:r>
      <w:r w:rsidR="00323457" w:rsidRPr="0059638B">
        <w:rPr>
          <w:sz w:val="20"/>
          <w:szCs w:val="20"/>
        </w:rPr>
        <w:t>F</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fundamental</w:t>
      </w:r>
      <w:r w:rsidR="00FF41A0">
        <w:rPr>
          <w:sz w:val="20"/>
          <w:szCs w:val="20"/>
        </w:rPr>
        <w:t xml:space="preserve"> </w:t>
      </w:r>
      <w:r w:rsidR="00323457" w:rsidRPr="0059638B">
        <w:rPr>
          <w:sz w:val="20"/>
          <w:szCs w:val="20"/>
        </w:rPr>
        <w:t>interests:</w:t>
      </w:r>
      <w:r w:rsidR="00FF41A0">
        <w:rPr>
          <w:sz w:val="20"/>
          <w:szCs w:val="20"/>
        </w:rPr>
        <w:t xml:space="preserve"> </w:t>
      </w:r>
      <w:r w:rsidR="00323457" w:rsidRPr="0059638B">
        <w:rPr>
          <w:sz w:val="20"/>
          <w:szCs w:val="20"/>
        </w:rPr>
        <w:t>Xinjiang</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stability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unity</w:t>
      </w:r>
      <w:r w:rsidR="00FF41A0">
        <w:rPr>
          <w:sz w:val="20"/>
          <w:szCs w:val="20"/>
        </w:rPr>
        <w:t xml:space="preserve"> </w:t>
      </w:r>
      <w:r w:rsidR="00323457" w:rsidRPr="0059638B">
        <w:rPr>
          <w:sz w:val="20"/>
          <w:szCs w:val="20"/>
        </w:rPr>
        <w:t>are</w:t>
      </w:r>
      <w:r w:rsidR="00FF41A0">
        <w:rPr>
          <w:sz w:val="20"/>
          <w:szCs w:val="20"/>
        </w:rPr>
        <w:t xml:space="preserve"> </w:t>
      </w:r>
      <w:r w:rsidR="00323457" w:rsidRPr="0059638B">
        <w:rPr>
          <w:sz w:val="20"/>
          <w:szCs w:val="20"/>
        </w:rPr>
        <w:t>indispensable</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prosperity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stability</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whole</w:t>
      </w:r>
      <w:r w:rsidR="00FF41A0">
        <w:rPr>
          <w:sz w:val="20"/>
          <w:szCs w:val="20"/>
        </w:rPr>
        <w:t xml:space="preserve"> </w:t>
      </w:r>
      <w:r w:rsidR="00323457" w:rsidRPr="0059638B">
        <w:rPr>
          <w:sz w:val="20"/>
          <w:szCs w:val="20"/>
        </w:rPr>
        <w:t>country.</w:t>
      </w:r>
      <w:r w:rsidR="00FF41A0">
        <w:rPr>
          <w:sz w:val="20"/>
          <w:szCs w:val="20"/>
        </w:rPr>
        <w:t xml:space="preserve"> </w:t>
      </w:r>
      <w:r w:rsidR="00323457" w:rsidRPr="0059638B">
        <w:rPr>
          <w:sz w:val="20"/>
          <w:szCs w:val="20"/>
        </w:rPr>
        <w:t>Xinjiang-related</w:t>
      </w:r>
      <w:r w:rsidR="00FF41A0">
        <w:rPr>
          <w:sz w:val="20"/>
          <w:szCs w:val="20"/>
        </w:rPr>
        <w:t xml:space="preserve"> </w:t>
      </w:r>
      <w:r w:rsidR="00323457" w:rsidRPr="0059638B">
        <w:rPr>
          <w:sz w:val="20"/>
          <w:szCs w:val="20"/>
        </w:rPr>
        <w:t>issues</w:t>
      </w:r>
      <w:r w:rsidR="00FF41A0">
        <w:rPr>
          <w:sz w:val="20"/>
          <w:szCs w:val="20"/>
        </w:rPr>
        <w:t xml:space="preserve"> </w:t>
      </w:r>
      <w:r w:rsidR="00323457" w:rsidRPr="0059638B">
        <w:rPr>
          <w:sz w:val="20"/>
          <w:szCs w:val="20"/>
        </w:rPr>
        <w:t>concern</w:t>
      </w:r>
      <w:r w:rsidR="00FF41A0">
        <w:rPr>
          <w:sz w:val="20"/>
          <w:szCs w:val="20"/>
        </w:rPr>
        <w:t xml:space="preserve"> </w:t>
      </w:r>
      <w:r w:rsidR="00323457" w:rsidRPr="0059638B">
        <w:rPr>
          <w:sz w:val="20"/>
          <w:szCs w:val="20"/>
        </w:rPr>
        <w:t>China</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sovereignty,</w:t>
      </w:r>
      <w:r w:rsidR="00FF41A0">
        <w:rPr>
          <w:sz w:val="20"/>
          <w:szCs w:val="20"/>
        </w:rPr>
        <w:t xml:space="preserve"> </w:t>
      </w:r>
      <w:r w:rsidR="00323457" w:rsidRPr="0059638B">
        <w:rPr>
          <w:sz w:val="20"/>
          <w:szCs w:val="20"/>
        </w:rPr>
        <w:t>security,</w:t>
      </w:r>
      <w:r w:rsidR="00FF41A0">
        <w:rPr>
          <w:sz w:val="20"/>
          <w:szCs w:val="20"/>
        </w:rPr>
        <w:t xml:space="preserve"> </w:t>
      </w:r>
      <w:proofErr w:type="gramStart"/>
      <w:r w:rsidR="00323457" w:rsidRPr="0059638B">
        <w:rPr>
          <w:sz w:val="20"/>
          <w:szCs w:val="20"/>
        </w:rPr>
        <w:t>territorial</w:t>
      </w:r>
      <w:proofErr w:type="gramEnd"/>
      <w:r w:rsidR="00FF41A0">
        <w:rPr>
          <w:sz w:val="20"/>
          <w:szCs w:val="20"/>
        </w:rPr>
        <w:t xml:space="preserve"> </w:t>
      </w:r>
      <w:r w:rsidR="00323457" w:rsidRPr="0059638B">
        <w:rPr>
          <w:sz w:val="20"/>
          <w:szCs w:val="20"/>
        </w:rPr>
        <w:t>integrity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core</w:t>
      </w:r>
      <w:r w:rsidR="00FF41A0">
        <w:rPr>
          <w:sz w:val="20"/>
          <w:szCs w:val="20"/>
        </w:rPr>
        <w:t xml:space="preserve"> </w:t>
      </w:r>
      <w:r w:rsidR="00323457" w:rsidRPr="0059638B">
        <w:rPr>
          <w:sz w:val="20"/>
          <w:szCs w:val="20"/>
        </w:rPr>
        <w:t>interests.</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is</w:t>
      </w:r>
      <w:r w:rsidR="00FF41A0">
        <w:rPr>
          <w:sz w:val="20"/>
          <w:szCs w:val="20"/>
        </w:rPr>
        <w:t xml:space="preserve"> </w:t>
      </w:r>
      <w:r w:rsidR="00323457" w:rsidRPr="0059638B">
        <w:rPr>
          <w:sz w:val="20"/>
          <w:szCs w:val="20"/>
        </w:rPr>
        <w:t>firmly</w:t>
      </w:r>
      <w:r w:rsidR="00FF41A0">
        <w:rPr>
          <w:sz w:val="20"/>
          <w:szCs w:val="20"/>
        </w:rPr>
        <w:t xml:space="preserve"> </w:t>
      </w:r>
      <w:r w:rsidR="00323457" w:rsidRPr="0059638B">
        <w:rPr>
          <w:sz w:val="20"/>
          <w:szCs w:val="20"/>
        </w:rPr>
        <w:t>opposed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ethnic</w:t>
      </w:r>
      <w:r w:rsidR="00FF41A0">
        <w:rPr>
          <w:sz w:val="20"/>
          <w:szCs w:val="20"/>
        </w:rPr>
        <w:t xml:space="preserve"> </w:t>
      </w:r>
      <w:r w:rsidR="00323457" w:rsidRPr="0059638B">
        <w:rPr>
          <w:sz w:val="20"/>
          <w:szCs w:val="20"/>
        </w:rPr>
        <w:t>separatism,</w:t>
      </w:r>
      <w:r w:rsidR="00FF41A0">
        <w:rPr>
          <w:sz w:val="20"/>
          <w:szCs w:val="20"/>
        </w:rPr>
        <w:t xml:space="preserve"> </w:t>
      </w:r>
      <w:r w:rsidR="00323457" w:rsidRPr="0059638B">
        <w:rPr>
          <w:sz w:val="20"/>
          <w:szCs w:val="20"/>
        </w:rPr>
        <w:t>violent</w:t>
      </w:r>
      <w:r w:rsidR="00FF41A0">
        <w:rPr>
          <w:sz w:val="20"/>
          <w:szCs w:val="20"/>
        </w:rPr>
        <w:t xml:space="preserve"> </w:t>
      </w:r>
      <w:r w:rsidR="00323457" w:rsidRPr="0059638B">
        <w:rPr>
          <w:sz w:val="20"/>
          <w:szCs w:val="20"/>
        </w:rPr>
        <w:t>terrorist</w:t>
      </w:r>
      <w:r w:rsidR="00FF41A0">
        <w:rPr>
          <w:sz w:val="20"/>
          <w:szCs w:val="20"/>
        </w:rPr>
        <w:t xml:space="preserve"> </w:t>
      </w:r>
      <w:r w:rsidR="00323457" w:rsidRPr="0059638B">
        <w:rPr>
          <w:sz w:val="20"/>
          <w:szCs w:val="20"/>
        </w:rPr>
        <w:t>acts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manifestations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interference</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any</w:t>
      </w:r>
      <w:r w:rsidR="00FF41A0">
        <w:rPr>
          <w:sz w:val="20"/>
          <w:szCs w:val="20"/>
        </w:rPr>
        <w:t xml:space="preserve"> </w:t>
      </w:r>
      <w:r w:rsidR="00323457" w:rsidRPr="0059638B">
        <w:rPr>
          <w:sz w:val="20"/>
          <w:szCs w:val="20"/>
        </w:rPr>
        <w:t>external</w:t>
      </w:r>
      <w:r w:rsidR="00FF41A0">
        <w:rPr>
          <w:sz w:val="20"/>
          <w:szCs w:val="20"/>
        </w:rPr>
        <w:t xml:space="preserve"> </w:t>
      </w:r>
      <w:r w:rsidR="00323457" w:rsidRPr="0059638B">
        <w:rPr>
          <w:sz w:val="20"/>
          <w:szCs w:val="20"/>
        </w:rPr>
        <w:t>forces.</w:t>
      </w:r>
    </w:p>
    <w:p w14:paraId="03258CD1" w14:textId="02C8DF92" w:rsidR="00323457" w:rsidRPr="0059638B" w:rsidRDefault="0035721D" w:rsidP="00323457">
      <w:pPr>
        <w:pStyle w:val="SingleTxtG"/>
        <w:rPr>
          <w:sz w:val="20"/>
          <w:szCs w:val="20"/>
        </w:rPr>
      </w:pPr>
      <w:r>
        <w:rPr>
          <w:sz w:val="20"/>
          <w:szCs w:val="20"/>
        </w:rPr>
        <w:t>824</w:t>
      </w:r>
      <w:r w:rsidR="00D7475F">
        <w:rPr>
          <w:sz w:val="20"/>
          <w:szCs w:val="20"/>
        </w:rPr>
        <w:t>.</w:t>
      </w:r>
      <w:r w:rsidR="00D7475F">
        <w:rPr>
          <w:sz w:val="20"/>
          <w:szCs w:val="20"/>
        </w:rPr>
        <w:tab/>
      </w:r>
      <w:r w:rsidR="00323457" w:rsidRPr="0059638B">
        <w:rPr>
          <w:sz w:val="20"/>
          <w:szCs w:val="20"/>
        </w:rPr>
        <w:t>Second,</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anti-terrorism:</w:t>
      </w:r>
      <w:r w:rsidR="00FF41A0">
        <w:rPr>
          <w:sz w:val="20"/>
          <w:szCs w:val="20"/>
        </w:rPr>
        <w:t xml:space="preserve"> </w:t>
      </w:r>
      <w:r w:rsidR="00323457" w:rsidRPr="0059638B">
        <w:rPr>
          <w:sz w:val="20"/>
          <w:szCs w:val="20"/>
        </w:rPr>
        <w:t>Since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1990s,</w:t>
      </w:r>
      <w:r w:rsidR="00FF41A0">
        <w:rPr>
          <w:sz w:val="20"/>
          <w:szCs w:val="20"/>
        </w:rPr>
        <w:t xml:space="preserve"> </w:t>
      </w:r>
      <w:r w:rsidR="00323457" w:rsidRPr="0059638B">
        <w:rPr>
          <w:sz w:val="20"/>
          <w:szCs w:val="20"/>
        </w:rPr>
        <w:t>the</w:t>
      </w:r>
      <w:r w:rsidR="00FF41A0">
        <w:rPr>
          <w:sz w:val="20"/>
          <w:szCs w:val="20"/>
        </w:rPr>
        <w:t xml:space="preserve"> </w:t>
      </w:r>
      <w:r w:rsidR="00D72627">
        <w:rPr>
          <w:sz w:val="20"/>
          <w:szCs w:val="20"/>
          <w:lang w:eastAsia="zh-CN"/>
        </w:rPr>
        <w:t>‘</w:t>
      </w:r>
      <w:r w:rsidR="00323457" w:rsidRPr="0059638B">
        <w:rPr>
          <w:sz w:val="20"/>
          <w:szCs w:val="20"/>
        </w:rPr>
        <w:t>three</w:t>
      </w:r>
      <w:r w:rsidR="00FF41A0">
        <w:rPr>
          <w:sz w:val="20"/>
          <w:szCs w:val="20"/>
        </w:rPr>
        <w:t xml:space="preserve"> </w:t>
      </w:r>
      <w:r w:rsidR="00323457" w:rsidRPr="0059638B">
        <w:rPr>
          <w:sz w:val="20"/>
          <w:szCs w:val="20"/>
        </w:rPr>
        <w:t>forces</w:t>
      </w:r>
      <w:r w:rsidR="00D72627">
        <w:rPr>
          <w:sz w:val="20"/>
          <w:szCs w:val="20"/>
          <w:lang w:eastAsia="zh-CN"/>
        </w:rPr>
        <w: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terrorism,</w:t>
      </w:r>
      <w:r w:rsidR="00FF41A0">
        <w:rPr>
          <w:sz w:val="20"/>
          <w:szCs w:val="20"/>
        </w:rPr>
        <w:t xml:space="preserve"> </w:t>
      </w:r>
      <w:r w:rsidR="00323457" w:rsidRPr="0059638B">
        <w:rPr>
          <w:sz w:val="20"/>
          <w:szCs w:val="20"/>
        </w:rPr>
        <w:t>separatism</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extremism</w:t>
      </w:r>
      <w:r w:rsidR="00FF41A0">
        <w:rPr>
          <w:sz w:val="20"/>
          <w:szCs w:val="20"/>
        </w:rPr>
        <w:t xml:space="preserve"> </w:t>
      </w:r>
      <w:r w:rsidR="00323457" w:rsidRPr="0059638B">
        <w:rPr>
          <w:sz w:val="20"/>
          <w:szCs w:val="20"/>
        </w:rPr>
        <w:t>inside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outside</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have</w:t>
      </w:r>
      <w:r w:rsidR="00FF41A0">
        <w:rPr>
          <w:sz w:val="20"/>
          <w:szCs w:val="20"/>
        </w:rPr>
        <w:t xml:space="preserve"> </w:t>
      </w:r>
      <w:r w:rsidR="00323457" w:rsidRPr="0059638B">
        <w:rPr>
          <w:sz w:val="20"/>
          <w:szCs w:val="20"/>
        </w:rPr>
        <w:t>orchestrated</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executed</w:t>
      </w:r>
      <w:r w:rsidR="00FF41A0">
        <w:rPr>
          <w:sz w:val="20"/>
          <w:szCs w:val="20"/>
        </w:rPr>
        <w:t xml:space="preserve"> </w:t>
      </w:r>
      <w:r w:rsidR="00323457" w:rsidRPr="0059638B">
        <w:rPr>
          <w:sz w:val="20"/>
          <w:szCs w:val="20"/>
        </w:rPr>
        <w:t>thousands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violent</w:t>
      </w:r>
      <w:r w:rsidR="00FF41A0">
        <w:rPr>
          <w:sz w:val="20"/>
          <w:szCs w:val="20"/>
        </w:rPr>
        <w:t xml:space="preserve"> </w:t>
      </w:r>
      <w:r w:rsidR="00323457" w:rsidRPr="0059638B">
        <w:rPr>
          <w:sz w:val="20"/>
          <w:szCs w:val="20"/>
        </w:rPr>
        <w:t>terrorist</w:t>
      </w:r>
      <w:r w:rsidR="00FF41A0">
        <w:rPr>
          <w:sz w:val="20"/>
          <w:szCs w:val="20"/>
        </w:rPr>
        <w:t xml:space="preserve"> </w:t>
      </w:r>
      <w:r w:rsidR="00323457" w:rsidRPr="0059638B">
        <w:rPr>
          <w:sz w:val="20"/>
          <w:szCs w:val="20"/>
        </w:rPr>
        <w:t>attacks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Xinjiang.</w:t>
      </w:r>
      <w:r w:rsidR="00FF41A0">
        <w:rPr>
          <w:sz w:val="20"/>
          <w:szCs w:val="20"/>
        </w:rPr>
        <w:t xml:space="preserve"> </w:t>
      </w:r>
      <w:r w:rsidR="00323457" w:rsidRPr="0059638B">
        <w:rPr>
          <w:sz w:val="20"/>
          <w:szCs w:val="20"/>
        </w:rPr>
        <w:t>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same</w:t>
      </w:r>
      <w:r w:rsidR="00FF41A0">
        <w:rPr>
          <w:sz w:val="20"/>
          <w:szCs w:val="20"/>
        </w:rPr>
        <w:t xml:space="preserve"> </w:t>
      </w:r>
      <w:r w:rsidR="00323457" w:rsidRPr="0059638B">
        <w:rPr>
          <w:sz w:val="20"/>
          <w:szCs w:val="20"/>
        </w:rPr>
        <w:t>time,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spread</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religious</w:t>
      </w:r>
      <w:r w:rsidR="00FF41A0">
        <w:rPr>
          <w:sz w:val="20"/>
          <w:szCs w:val="20"/>
        </w:rPr>
        <w:t xml:space="preserve"> </w:t>
      </w:r>
      <w:r w:rsidR="00323457" w:rsidRPr="0059638B">
        <w:rPr>
          <w:sz w:val="20"/>
          <w:szCs w:val="20"/>
        </w:rPr>
        <w:t>extremist</w:t>
      </w:r>
      <w:r w:rsidR="00FF41A0">
        <w:rPr>
          <w:sz w:val="20"/>
          <w:szCs w:val="20"/>
        </w:rPr>
        <w:t xml:space="preserve"> </w:t>
      </w:r>
      <w:r w:rsidR="00323457" w:rsidRPr="0059638B">
        <w:rPr>
          <w:sz w:val="20"/>
          <w:szCs w:val="20"/>
        </w:rPr>
        <w:t>thoughts</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stoked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terrorist</w:t>
      </w:r>
      <w:r w:rsidR="00FF41A0">
        <w:rPr>
          <w:sz w:val="20"/>
          <w:szCs w:val="20"/>
        </w:rPr>
        <w:t xml:space="preserve"> </w:t>
      </w:r>
      <w:r w:rsidR="00323457" w:rsidRPr="0059638B">
        <w:rPr>
          <w:sz w:val="20"/>
          <w:szCs w:val="20"/>
        </w:rPr>
        <w:t>rampage.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Xinjiang</w:t>
      </w:r>
      <w:r w:rsidR="00FF41A0">
        <w:rPr>
          <w:sz w:val="20"/>
          <w:szCs w:val="20"/>
        </w:rPr>
        <w:t xml:space="preserve"> </w:t>
      </w:r>
      <w:r w:rsidR="00323457" w:rsidRPr="0059638B">
        <w:rPr>
          <w:sz w:val="20"/>
          <w:szCs w:val="20"/>
        </w:rPr>
        <w:t>Uygur</w:t>
      </w:r>
      <w:r w:rsidR="00FF41A0">
        <w:rPr>
          <w:sz w:val="20"/>
          <w:szCs w:val="20"/>
        </w:rPr>
        <w:t xml:space="preserve"> </w:t>
      </w:r>
      <w:r w:rsidR="00323457" w:rsidRPr="0059638B">
        <w:rPr>
          <w:sz w:val="20"/>
          <w:szCs w:val="20"/>
        </w:rPr>
        <w:t>Autonomous</w:t>
      </w:r>
      <w:r w:rsidR="00FF41A0">
        <w:rPr>
          <w:sz w:val="20"/>
          <w:szCs w:val="20"/>
        </w:rPr>
        <w:t xml:space="preserve"> </w:t>
      </w:r>
      <w:r w:rsidR="00323457" w:rsidRPr="0059638B">
        <w:rPr>
          <w:sz w:val="20"/>
          <w:szCs w:val="20"/>
        </w:rPr>
        <w:t>Region</w:t>
      </w:r>
      <w:r w:rsidR="00FF41A0">
        <w:rPr>
          <w:sz w:val="20"/>
          <w:szCs w:val="20"/>
        </w:rPr>
        <w:t xml:space="preserve"> </w:t>
      </w:r>
      <w:r w:rsidR="00323457" w:rsidRPr="0059638B">
        <w:rPr>
          <w:sz w:val="20"/>
          <w:szCs w:val="20"/>
        </w:rPr>
        <w:t>has</w:t>
      </w:r>
      <w:r w:rsidR="00FF41A0">
        <w:rPr>
          <w:sz w:val="20"/>
          <w:szCs w:val="20"/>
        </w:rPr>
        <w:t xml:space="preserve"> </w:t>
      </w:r>
      <w:r w:rsidR="00323457" w:rsidRPr="0059638B">
        <w:rPr>
          <w:sz w:val="20"/>
          <w:szCs w:val="20"/>
        </w:rPr>
        <w:t>taken</w:t>
      </w:r>
      <w:r w:rsidR="00FF41A0">
        <w:rPr>
          <w:sz w:val="20"/>
          <w:szCs w:val="20"/>
        </w:rPr>
        <w:t xml:space="preserve"> </w:t>
      </w:r>
      <w:r w:rsidR="00323457" w:rsidRPr="0059638B">
        <w:rPr>
          <w:sz w:val="20"/>
          <w:szCs w:val="20"/>
        </w:rPr>
        <w:t>measures</w:t>
      </w:r>
      <w:r w:rsidR="00FF41A0">
        <w:rPr>
          <w:sz w:val="20"/>
          <w:szCs w:val="20"/>
        </w:rPr>
        <w:t xml:space="preserve"> </w:t>
      </w:r>
      <w:r w:rsidR="00323457" w:rsidRPr="0059638B">
        <w:rPr>
          <w:sz w:val="20"/>
          <w:szCs w:val="20"/>
        </w:rPr>
        <w:t>according</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law</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crack</w:t>
      </w:r>
      <w:r w:rsidR="00FF41A0">
        <w:rPr>
          <w:sz w:val="20"/>
          <w:szCs w:val="20"/>
        </w:rPr>
        <w:t xml:space="preserve"> </w:t>
      </w:r>
      <w:r w:rsidR="00323457" w:rsidRPr="0059638B">
        <w:rPr>
          <w:sz w:val="20"/>
          <w:szCs w:val="20"/>
        </w:rPr>
        <w:t>down</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violent</w:t>
      </w:r>
      <w:r w:rsidR="00FF41A0">
        <w:rPr>
          <w:sz w:val="20"/>
          <w:szCs w:val="20"/>
        </w:rPr>
        <w:t xml:space="preserve"> </w:t>
      </w:r>
      <w:r w:rsidR="00323457" w:rsidRPr="0059638B">
        <w:rPr>
          <w:sz w:val="20"/>
          <w:szCs w:val="20"/>
        </w:rPr>
        <w:t>terrorist</w:t>
      </w:r>
      <w:r w:rsidR="00FF41A0">
        <w:rPr>
          <w:sz w:val="20"/>
          <w:szCs w:val="20"/>
        </w:rPr>
        <w:t xml:space="preserve"> </w:t>
      </w:r>
      <w:r w:rsidR="00323457" w:rsidRPr="0059638B">
        <w:rPr>
          <w:sz w:val="20"/>
          <w:szCs w:val="20"/>
        </w:rPr>
        <w:t>crimes</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one</w:t>
      </w:r>
      <w:r w:rsidR="00FF41A0">
        <w:rPr>
          <w:sz w:val="20"/>
          <w:szCs w:val="20"/>
        </w:rPr>
        <w:t xml:space="preserve"> </w:t>
      </w:r>
      <w:r w:rsidR="00323457" w:rsidRPr="0059638B">
        <w:rPr>
          <w:sz w:val="20"/>
          <w:szCs w:val="20"/>
        </w:rPr>
        <w:t>hand</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actively</w:t>
      </w:r>
      <w:r w:rsidR="00FF41A0">
        <w:rPr>
          <w:sz w:val="20"/>
          <w:szCs w:val="20"/>
        </w:rPr>
        <w:t xml:space="preserve"> </w:t>
      </w:r>
      <w:r w:rsidR="00323457" w:rsidRPr="0059638B">
        <w:rPr>
          <w:sz w:val="20"/>
          <w:szCs w:val="20"/>
        </w:rPr>
        <w:t>explored</w:t>
      </w:r>
      <w:r w:rsidR="00FF41A0">
        <w:rPr>
          <w:sz w:val="20"/>
          <w:szCs w:val="20"/>
        </w:rPr>
        <w:t xml:space="preserve"> </w:t>
      </w:r>
      <w:r w:rsidR="00323457" w:rsidRPr="0059638B">
        <w:rPr>
          <w:sz w:val="20"/>
          <w:szCs w:val="20"/>
        </w:rPr>
        <w:t>preventive</w:t>
      </w:r>
      <w:r w:rsidR="00FF41A0">
        <w:rPr>
          <w:sz w:val="20"/>
          <w:szCs w:val="20"/>
        </w:rPr>
        <w:t xml:space="preserve"> </w:t>
      </w:r>
      <w:r w:rsidR="00323457" w:rsidRPr="0059638B">
        <w:rPr>
          <w:sz w:val="20"/>
          <w:szCs w:val="20"/>
        </w:rPr>
        <w:t>anti-terrorism</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de-radicalization</w:t>
      </w:r>
      <w:r w:rsidR="00FF41A0">
        <w:rPr>
          <w:sz w:val="20"/>
          <w:szCs w:val="20"/>
        </w:rPr>
        <w:t xml:space="preserve"> </w:t>
      </w:r>
      <w:r w:rsidR="00323457" w:rsidRPr="0059638B">
        <w:rPr>
          <w:sz w:val="20"/>
          <w:szCs w:val="20"/>
        </w:rPr>
        <w:t>measures</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other,</w:t>
      </w:r>
      <w:r w:rsidR="00FF41A0">
        <w:rPr>
          <w:sz w:val="20"/>
          <w:szCs w:val="20"/>
        </w:rPr>
        <w:t xml:space="preserve"> </w:t>
      </w:r>
      <w:r w:rsidR="00323457" w:rsidRPr="0059638B">
        <w:rPr>
          <w:sz w:val="20"/>
          <w:szCs w:val="20"/>
        </w:rPr>
        <w:t>including</w:t>
      </w:r>
      <w:r w:rsidR="00FF41A0">
        <w:rPr>
          <w:sz w:val="20"/>
          <w:szCs w:val="20"/>
        </w:rPr>
        <w:t xml:space="preserve"> </w:t>
      </w:r>
      <w:r w:rsidR="00323457" w:rsidRPr="0059638B">
        <w:rPr>
          <w:sz w:val="20"/>
          <w:szCs w:val="20"/>
        </w:rPr>
        <w:t>setting</w:t>
      </w:r>
      <w:r w:rsidR="00FF41A0">
        <w:rPr>
          <w:sz w:val="20"/>
          <w:szCs w:val="20"/>
        </w:rPr>
        <w:t xml:space="preserve"> </w:t>
      </w:r>
      <w:r w:rsidR="00323457" w:rsidRPr="0059638B">
        <w:rPr>
          <w:sz w:val="20"/>
          <w:szCs w:val="20"/>
        </w:rPr>
        <w:t>up</w:t>
      </w:r>
      <w:r w:rsidR="00FF41A0">
        <w:rPr>
          <w:sz w:val="20"/>
          <w:szCs w:val="20"/>
        </w:rPr>
        <w:t xml:space="preserve"> </w:t>
      </w:r>
      <w:r w:rsidR="00323457" w:rsidRPr="0059638B">
        <w:rPr>
          <w:sz w:val="20"/>
          <w:szCs w:val="20"/>
        </w:rPr>
        <w:t>vocational</w:t>
      </w:r>
      <w:r w:rsidR="00FF41A0">
        <w:rPr>
          <w:sz w:val="20"/>
          <w:szCs w:val="20"/>
        </w:rPr>
        <w:t xml:space="preserve"> </w:t>
      </w:r>
      <w:r w:rsidR="00323457" w:rsidRPr="0059638B">
        <w:rPr>
          <w:sz w:val="20"/>
          <w:szCs w:val="20"/>
        </w:rPr>
        <w:t>education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training</w:t>
      </w:r>
      <w:r w:rsidR="00FF41A0">
        <w:rPr>
          <w:sz w:val="20"/>
          <w:szCs w:val="20"/>
        </w:rPr>
        <w:t xml:space="preserve"> </w:t>
      </w:r>
      <w:r w:rsidR="00323457" w:rsidRPr="0059638B">
        <w:rPr>
          <w:sz w:val="20"/>
          <w:szCs w:val="20"/>
        </w:rPr>
        <w:t>centres.</w:t>
      </w:r>
      <w:r w:rsidR="00FF41A0">
        <w:rPr>
          <w:sz w:val="20"/>
          <w:szCs w:val="20"/>
        </w:rPr>
        <w:t xml:space="preserve"> </w:t>
      </w:r>
    </w:p>
    <w:p w14:paraId="5297DCD5" w14:textId="2F9AFA26" w:rsidR="00323457" w:rsidRPr="0059638B" w:rsidRDefault="0035721D" w:rsidP="00323457">
      <w:pPr>
        <w:pStyle w:val="SingleTxtG"/>
        <w:rPr>
          <w:sz w:val="20"/>
          <w:szCs w:val="20"/>
        </w:rPr>
      </w:pPr>
      <w:r>
        <w:rPr>
          <w:sz w:val="20"/>
          <w:szCs w:val="20"/>
        </w:rPr>
        <w:lastRenderedPageBreak/>
        <w:t>825</w:t>
      </w:r>
      <w:r w:rsidR="00D7475F">
        <w:rPr>
          <w:sz w:val="20"/>
          <w:szCs w:val="20"/>
        </w:rPr>
        <w:t>.</w:t>
      </w:r>
      <w:r w:rsidR="00D7475F">
        <w:rPr>
          <w:sz w:val="20"/>
          <w:szCs w:val="20"/>
        </w:rPr>
        <w:tab/>
      </w:r>
      <w:r w:rsidR="00323457" w:rsidRPr="0059638B">
        <w:rPr>
          <w:sz w:val="20"/>
          <w:szCs w:val="20"/>
        </w:rPr>
        <w:t>Third,</w:t>
      </w:r>
      <w:r w:rsidR="00FF41A0">
        <w:rPr>
          <w:sz w:val="20"/>
          <w:szCs w:val="20"/>
        </w:rPr>
        <w:t xml:space="preserve"> </w:t>
      </w:r>
      <w:r w:rsidR="00323457" w:rsidRPr="0059638B">
        <w:rPr>
          <w:sz w:val="20"/>
          <w:szCs w:val="20"/>
        </w:rPr>
        <w:t>C</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campus: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training</w:t>
      </w:r>
      <w:r w:rsidR="00FF41A0">
        <w:rPr>
          <w:sz w:val="20"/>
          <w:szCs w:val="20"/>
        </w:rPr>
        <w:t xml:space="preserve"> </w:t>
      </w:r>
      <w:r w:rsidR="00323457" w:rsidRPr="0059638B">
        <w:rPr>
          <w:sz w:val="20"/>
          <w:szCs w:val="20"/>
        </w:rPr>
        <w:t>centres</w:t>
      </w:r>
      <w:r w:rsidR="00FF41A0">
        <w:rPr>
          <w:sz w:val="20"/>
          <w:szCs w:val="20"/>
        </w:rPr>
        <w:t xml:space="preserve"> </w:t>
      </w:r>
      <w:r w:rsidR="00323457" w:rsidRPr="0059638B">
        <w:rPr>
          <w:sz w:val="20"/>
          <w:szCs w:val="20"/>
        </w:rPr>
        <w:t>he</w:t>
      </w:r>
      <w:r w:rsidR="00FF41A0">
        <w:rPr>
          <w:sz w:val="20"/>
          <w:szCs w:val="20"/>
        </w:rPr>
        <w:t xml:space="preserve"> </w:t>
      </w:r>
      <w:r w:rsidR="00323457" w:rsidRPr="0059638B">
        <w:rPr>
          <w:sz w:val="20"/>
          <w:szCs w:val="20"/>
        </w:rPr>
        <w:t>visited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Xinjiang</w:t>
      </w:r>
      <w:r w:rsidR="00FF41A0">
        <w:rPr>
          <w:sz w:val="20"/>
          <w:szCs w:val="20"/>
        </w:rPr>
        <w:t xml:space="preserve"> </w:t>
      </w:r>
      <w:r w:rsidR="00323457" w:rsidRPr="0059638B">
        <w:rPr>
          <w:sz w:val="20"/>
          <w:szCs w:val="20"/>
        </w:rPr>
        <w:t>are</w:t>
      </w:r>
      <w:r w:rsidR="00FF41A0">
        <w:rPr>
          <w:sz w:val="20"/>
          <w:szCs w:val="20"/>
        </w:rPr>
        <w:t xml:space="preserve"> </w:t>
      </w:r>
      <w:r w:rsidR="00323457" w:rsidRPr="0059638B">
        <w:rPr>
          <w:sz w:val="20"/>
          <w:szCs w:val="20"/>
        </w:rPr>
        <w:t>boarding</w:t>
      </w:r>
      <w:r w:rsidR="00FF41A0">
        <w:rPr>
          <w:sz w:val="20"/>
          <w:szCs w:val="20"/>
        </w:rPr>
        <w:t xml:space="preserve"> </w:t>
      </w:r>
      <w:r w:rsidR="00323457" w:rsidRPr="0059638B">
        <w:rPr>
          <w:sz w:val="20"/>
          <w:szCs w:val="20"/>
        </w:rPr>
        <w:t>schools,</w:t>
      </w:r>
      <w:r w:rsidR="00FF41A0">
        <w:rPr>
          <w:sz w:val="20"/>
          <w:szCs w:val="20"/>
        </w:rPr>
        <w:t xml:space="preserve"> </w:t>
      </w:r>
      <w:r w:rsidR="00323457" w:rsidRPr="0059638B">
        <w:rPr>
          <w:sz w:val="20"/>
          <w:szCs w:val="20"/>
        </w:rPr>
        <w:t>or</w:t>
      </w:r>
      <w:r w:rsidR="00FF41A0">
        <w:rPr>
          <w:sz w:val="20"/>
          <w:szCs w:val="20"/>
        </w:rPr>
        <w:t xml:space="preserve"> </w:t>
      </w:r>
      <w:r w:rsidR="00323457" w:rsidRPr="0059638B">
        <w:rPr>
          <w:sz w:val="20"/>
          <w:szCs w:val="20"/>
        </w:rPr>
        <w:t>campus.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vocational</w:t>
      </w:r>
      <w:r w:rsidR="00FF41A0">
        <w:rPr>
          <w:sz w:val="20"/>
          <w:szCs w:val="20"/>
        </w:rPr>
        <w:t xml:space="preserve"> </w:t>
      </w:r>
      <w:r w:rsidR="00323457" w:rsidRPr="0059638B">
        <w:rPr>
          <w:sz w:val="20"/>
          <w:szCs w:val="20"/>
        </w:rPr>
        <w:t>education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training</w:t>
      </w:r>
      <w:r w:rsidR="00FF41A0">
        <w:rPr>
          <w:sz w:val="20"/>
          <w:szCs w:val="20"/>
        </w:rPr>
        <w:t xml:space="preserve"> </w:t>
      </w:r>
      <w:r w:rsidR="00323457" w:rsidRPr="0059638B">
        <w:rPr>
          <w:sz w:val="20"/>
          <w:szCs w:val="20"/>
        </w:rPr>
        <w:t>programme</w:t>
      </w:r>
      <w:r w:rsidR="00FF41A0">
        <w:rPr>
          <w:sz w:val="20"/>
          <w:szCs w:val="20"/>
        </w:rPr>
        <w:t xml:space="preserve"> </w:t>
      </w:r>
      <w:r w:rsidR="00323457" w:rsidRPr="0059638B">
        <w:rPr>
          <w:sz w:val="20"/>
          <w:szCs w:val="20"/>
        </w:rPr>
        <w:t>is</w:t>
      </w:r>
      <w:r w:rsidR="00FF41A0">
        <w:rPr>
          <w:sz w:val="20"/>
          <w:szCs w:val="20"/>
        </w:rPr>
        <w:t xml:space="preserve"> </w:t>
      </w:r>
      <w:r w:rsidR="00323457" w:rsidRPr="0059638B">
        <w:rPr>
          <w:sz w:val="20"/>
          <w:szCs w:val="20"/>
        </w:rPr>
        <w:t>preventive</w:t>
      </w:r>
      <w:r w:rsidR="00FF41A0">
        <w:rPr>
          <w:sz w:val="20"/>
          <w:szCs w:val="20"/>
        </w:rPr>
        <w:t xml:space="preserve"> </w:t>
      </w:r>
      <w:r w:rsidR="00323457" w:rsidRPr="0059638B">
        <w:rPr>
          <w:sz w:val="20"/>
          <w:szCs w:val="20"/>
        </w:rPr>
        <w:t>counter-terrorism</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nature;</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aims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educate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rehabilitate,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greatest</w:t>
      </w:r>
      <w:r w:rsidR="00FF41A0">
        <w:rPr>
          <w:sz w:val="20"/>
          <w:szCs w:val="20"/>
        </w:rPr>
        <w:t xml:space="preserve"> </w:t>
      </w:r>
      <w:r w:rsidR="00323457" w:rsidRPr="0059638B">
        <w:rPr>
          <w:sz w:val="20"/>
          <w:szCs w:val="20"/>
        </w:rPr>
        <w:t>extent</w:t>
      </w:r>
      <w:r w:rsidR="00FF41A0">
        <w:rPr>
          <w:sz w:val="20"/>
          <w:szCs w:val="20"/>
        </w:rPr>
        <w:t xml:space="preserve"> </w:t>
      </w:r>
      <w:r w:rsidR="00323457" w:rsidRPr="0059638B">
        <w:rPr>
          <w:sz w:val="20"/>
          <w:szCs w:val="20"/>
        </w:rPr>
        <w:t>possible,</w:t>
      </w:r>
      <w:r w:rsidR="00FF41A0">
        <w:rPr>
          <w:sz w:val="20"/>
          <w:szCs w:val="20"/>
        </w:rPr>
        <w:t xml:space="preserve"> </w:t>
      </w:r>
      <w:r w:rsidR="00323457" w:rsidRPr="0059638B">
        <w:rPr>
          <w:sz w:val="20"/>
          <w:szCs w:val="20"/>
        </w:rPr>
        <w:t>those</w:t>
      </w:r>
      <w:r w:rsidR="00FF41A0">
        <w:rPr>
          <w:sz w:val="20"/>
          <w:szCs w:val="20"/>
        </w:rPr>
        <w:t xml:space="preserve"> </w:t>
      </w:r>
      <w:r w:rsidR="00323457" w:rsidRPr="0059638B">
        <w:rPr>
          <w:sz w:val="20"/>
          <w:szCs w:val="20"/>
        </w:rPr>
        <w:t>individuals</w:t>
      </w:r>
      <w:r w:rsidR="00FF41A0">
        <w:rPr>
          <w:sz w:val="20"/>
          <w:szCs w:val="20"/>
        </w:rPr>
        <w:t xml:space="preserve"> </w:t>
      </w:r>
      <w:r w:rsidR="00323457" w:rsidRPr="0059638B">
        <w:rPr>
          <w:sz w:val="20"/>
          <w:szCs w:val="20"/>
        </w:rPr>
        <w:t>who</w:t>
      </w:r>
      <w:r w:rsidR="00FF41A0">
        <w:rPr>
          <w:sz w:val="20"/>
          <w:szCs w:val="20"/>
        </w:rPr>
        <w:t xml:space="preserve"> </w:t>
      </w:r>
      <w:r w:rsidR="00323457" w:rsidRPr="0059638B">
        <w:rPr>
          <w:sz w:val="20"/>
          <w:szCs w:val="20"/>
        </w:rPr>
        <w:t>have</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influenced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extremist</w:t>
      </w:r>
      <w:r w:rsidR="00FF41A0">
        <w:rPr>
          <w:sz w:val="20"/>
          <w:szCs w:val="20"/>
        </w:rPr>
        <w:t xml:space="preserve"> </w:t>
      </w:r>
      <w:r w:rsidR="00323457" w:rsidRPr="0059638B">
        <w:rPr>
          <w:sz w:val="20"/>
          <w:szCs w:val="20"/>
        </w:rPr>
        <w:t>ideologies,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committed</w:t>
      </w:r>
      <w:r w:rsidR="00FF41A0">
        <w:rPr>
          <w:sz w:val="20"/>
          <w:szCs w:val="20"/>
        </w:rPr>
        <w:t xml:space="preserve"> </w:t>
      </w:r>
      <w:r w:rsidR="00323457" w:rsidRPr="0059638B">
        <w:rPr>
          <w:sz w:val="20"/>
          <w:szCs w:val="20"/>
        </w:rPr>
        <w:t>minor</w:t>
      </w:r>
      <w:r w:rsidR="00FF41A0">
        <w:rPr>
          <w:sz w:val="20"/>
          <w:szCs w:val="20"/>
        </w:rPr>
        <w:t xml:space="preserve"> </w:t>
      </w:r>
      <w:r w:rsidR="00323457" w:rsidRPr="0059638B">
        <w:rPr>
          <w:sz w:val="20"/>
          <w:szCs w:val="20"/>
        </w:rPr>
        <w:t>offenses.</w:t>
      </w:r>
      <w:r w:rsidR="00FF41A0">
        <w:rPr>
          <w:sz w:val="20"/>
          <w:szCs w:val="20"/>
        </w:rPr>
        <w:t xml:space="preserve"> </w:t>
      </w:r>
      <w:r w:rsidR="00323457" w:rsidRPr="0059638B">
        <w:rPr>
          <w:sz w:val="20"/>
          <w:szCs w:val="20"/>
        </w:rPr>
        <w:t>Courses</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common</w:t>
      </w:r>
      <w:r w:rsidR="00FF41A0">
        <w:rPr>
          <w:sz w:val="20"/>
          <w:szCs w:val="20"/>
        </w:rPr>
        <w:t xml:space="preserve"> </w:t>
      </w:r>
      <w:r w:rsidR="00323457" w:rsidRPr="0059638B">
        <w:rPr>
          <w:sz w:val="20"/>
          <w:szCs w:val="20"/>
        </w:rPr>
        <w:t>language,</w:t>
      </w:r>
      <w:r w:rsidR="00FF41A0">
        <w:rPr>
          <w:sz w:val="20"/>
          <w:szCs w:val="20"/>
        </w:rPr>
        <w:t xml:space="preserve"> </w:t>
      </w:r>
      <w:r w:rsidR="00323457" w:rsidRPr="0059638B">
        <w:rPr>
          <w:sz w:val="20"/>
          <w:szCs w:val="20"/>
        </w:rPr>
        <w:t>legal</w:t>
      </w:r>
      <w:r w:rsidR="00FF41A0">
        <w:rPr>
          <w:sz w:val="20"/>
          <w:szCs w:val="20"/>
        </w:rPr>
        <w:t xml:space="preserve"> </w:t>
      </w:r>
      <w:r w:rsidR="00323457" w:rsidRPr="0059638B">
        <w:rPr>
          <w:sz w:val="20"/>
          <w:szCs w:val="20"/>
        </w:rPr>
        <w:t>knowledge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professional</w:t>
      </w:r>
      <w:r w:rsidR="00FF41A0">
        <w:rPr>
          <w:sz w:val="20"/>
          <w:szCs w:val="20"/>
        </w:rPr>
        <w:t xml:space="preserve"> </w:t>
      </w:r>
      <w:r w:rsidR="00323457" w:rsidRPr="0059638B">
        <w:rPr>
          <w:sz w:val="20"/>
          <w:szCs w:val="20"/>
        </w:rPr>
        <w:t>skills</w:t>
      </w:r>
      <w:r w:rsidR="00FF41A0">
        <w:rPr>
          <w:sz w:val="20"/>
          <w:szCs w:val="20"/>
        </w:rPr>
        <w:t xml:space="preserve"> </w:t>
      </w:r>
      <w:r w:rsidR="00323457" w:rsidRPr="0059638B">
        <w:rPr>
          <w:sz w:val="20"/>
          <w:szCs w:val="20"/>
        </w:rPr>
        <w:t>help</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trainees</w:t>
      </w:r>
      <w:r w:rsidR="00FF41A0">
        <w:rPr>
          <w:sz w:val="20"/>
          <w:szCs w:val="20"/>
        </w:rPr>
        <w:t xml:space="preserve"> </w:t>
      </w:r>
      <w:r w:rsidR="00323457" w:rsidRPr="0059638B">
        <w:rPr>
          <w:sz w:val="20"/>
          <w:szCs w:val="20"/>
        </w:rPr>
        <w:t>de-radicalize.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trainees</w:t>
      </w:r>
      <w:r w:rsidR="00FF41A0">
        <w:rPr>
          <w:sz w:val="20"/>
          <w:szCs w:val="20"/>
        </w:rPr>
        <w:t xml:space="preserve"> </w:t>
      </w:r>
      <w:r w:rsidR="00323457" w:rsidRPr="0059638B">
        <w:rPr>
          <w:sz w:val="20"/>
          <w:szCs w:val="20"/>
        </w:rPr>
        <w:t>sign</w:t>
      </w:r>
      <w:r w:rsidR="00FF41A0">
        <w:rPr>
          <w:sz w:val="20"/>
          <w:szCs w:val="20"/>
        </w:rPr>
        <w:t xml:space="preserve"> </w:t>
      </w:r>
      <w:r w:rsidR="00323457" w:rsidRPr="0059638B">
        <w:rPr>
          <w:sz w:val="20"/>
          <w:szCs w:val="20"/>
        </w:rPr>
        <w:t>training</w:t>
      </w:r>
      <w:r w:rsidR="00FF41A0">
        <w:rPr>
          <w:sz w:val="20"/>
          <w:szCs w:val="20"/>
        </w:rPr>
        <w:t xml:space="preserve"> </w:t>
      </w:r>
      <w:r w:rsidR="00323457" w:rsidRPr="0059638B">
        <w:rPr>
          <w:sz w:val="20"/>
          <w:szCs w:val="20"/>
        </w:rPr>
        <w:t>agreements</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centres,</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provide</w:t>
      </w:r>
      <w:r w:rsidR="00FF41A0">
        <w:rPr>
          <w:sz w:val="20"/>
          <w:szCs w:val="20"/>
        </w:rPr>
        <w:t xml:space="preserve"> </w:t>
      </w:r>
      <w:r w:rsidR="00323457" w:rsidRPr="0059638B">
        <w:rPr>
          <w:sz w:val="20"/>
          <w:szCs w:val="20"/>
        </w:rPr>
        <w:t>free</w:t>
      </w:r>
      <w:r w:rsidR="00FF41A0">
        <w:rPr>
          <w:sz w:val="20"/>
          <w:szCs w:val="20"/>
        </w:rPr>
        <w:t xml:space="preserve"> </w:t>
      </w:r>
      <w:r w:rsidR="00323457" w:rsidRPr="0059638B">
        <w:rPr>
          <w:sz w:val="20"/>
          <w:szCs w:val="20"/>
        </w:rPr>
        <w:t>accommodations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safeguard</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their</w:t>
      </w:r>
      <w:r w:rsidR="00FF41A0">
        <w:rPr>
          <w:sz w:val="20"/>
          <w:szCs w:val="20"/>
        </w:rPr>
        <w:t xml:space="preserve"> </w:t>
      </w:r>
      <w:r w:rsidR="00323457" w:rsidRPr="0059638B">
        <w:rPr>
          <w:sz w:val="20"/>
          <w:szCs w:val="20"/>
        </w:rPr>
        <w:t>basic</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vocational</w:t>
      </w:r>
      <w:r w:rsidR="00FF41A0">
        <w:rPr>
          <w:sz w:val="20"/>
          <w:szCs w:val="20"/>
        </w:rPr>
        <w:t xml:space="preserve"> </w:t>
      </w:r>
      <w:r w:rsidR="00323457" w:rsidRPr="0059638B">
        <w:rPr>
          <w:sz w:val="20"/>
          <w:szCs w:val="20"/>
        </w:rPr>
        <w:t>education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training</w:t>
      </w:r>
      <w:r w:rsidR="00FF41A0">
        <w:rPr>
          <w:sz w:val="20"/>
          <w:szCs w:val="20"/>
        </w:rPr>
        <w:t xml:space="preserve"> </w:t>
      </w:r>
      <w:r w:rsidR="00323457" w:rsidRPr="0059638B">
        <w:rPr>
          <w:sz w:val="20"/>
          <w:szCs w:val="20"/>
        </w:rPr>
        <w:t>programme</w:t>
      </w:r>
      <w:r w:rsidR="00FF41A0">
        <w:rPr>
          <w:sz w:val="20"/>
          <w:szCs w:val="20"/>
        </w:rPr>
        <w:t xml:space="preserve"> </w:t>
      </w:r>
      <w:r w:rsidR="00323457" w:rsidRPr="0059638B">
        <w:rPr>
          <w:sz w:val="20"/>
          <w:szCs w:val="20"/>
        </w:rPr>
        <w:t>is</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special</w:t>
      </w:r>
      <w:r w:rsidR="00FF41A0">
        <w:rPr>
          <w:sz w:val="20"/>
          <w:szCs w:val="20"/>
        </w:rPr>
        <w:t xml:space="preserve"> </w:t>
      </w:r>
      <w:r w:rsidR="00323457" w:rsidRPr="0059638B">
        <w:rPr>
          <w:sz w:val="20"/>
          <w:szCs w:val="20"/>
        </w:rPr>
        <w:t>measure</w:t>
      </w:r>
      <w:r w:rsidR="00FF41A0">
        <w:rPr>
          <w:sz w:val="20"/>
          <w:szCs w:val="20"/>
        </w:rPr>
        <w:t xml:space="preserve"> </w:t>
      </w:r>
      <w:r w:rsidR="00323457" w:rsidRPr="0059638B">
        <w:rPr>
          <w:sz w:val="20"/>
          <w:szCs w:val="20"/>
        </w:rPr>
        <w:t>adopted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Xinjiang</w:t>
      </w:r>
      <w:r w:rsidR="00FF41A0">
        <w:rPr>
          <w:sz w:val="20"/>
          <w:szCs w:val="20"/>
        </w:rPr>
        <w:t xml:space="preserve"> </w:t>
      </w:r>
      <w:r w:rsidR="00323457" w:rsidRPr="0059638B">
        <w:rPr>
          <w:sz w:val="20"/>
          <w:szCs w:val="20"/>
        </w:rPr>
        <w:t>at</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special</w:t>
      </w:r>
      <w:r w:rsidR="00FF41A0">
        <w:rPr>
          <w:sz w:val="20"/>
          <w:szCs w:val="20"/>
        </w:rPr>
        <w:t xml:space="preserve"> </w:t>
      </w:r>
      <w:r w:rsidR="00323457" w:rsidRPr="0059638B">
        <w:rPr>
          <w:sz w:val="20"/>
          <w:szCs w:val="20"/>
        </w:rPr>
        <w:t>time.</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will</w:t>
      </w:r>
      <w:r w:rsidR="00FF41A0">
        <w:rPr>
          <w:sz w:val="20"/>
          <w:szCs w:val="20"/>
        </w:rPr>
        <w:t xml:space="preserve"> </w:t>
      </w:r>
      <w:r w:rsidR="00323457" w:rsidRPr="0059638B">
        <w:rPr>
          <w:sz w:val="20"/>
          <w:szCs w:val="20"/>
        </w:rPr>
        <w:t>continue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improve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work</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training</w:t>
      </w:r>
      <w:r w:rsidR="00FF41A0">
        <w:rPr>
          <w:sz w:val="20"/>
          <w:szCs w:val="20"/>
        </w:rPr>
        <w:t xml:space="preserve"> </w:t>
      </w:r>
      <w:r w:rsidR="00323457" w:rsidRPr="0059638B">
        <w:rPr>
          <w:sz w:val="20"/>
          <w:szCs w:val="20"/>
        </w:rPr>
        <w:t>centres.</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counter-terrorism</w:t>
      </w:r>
      <w:r w:rsidR="00FF41A0">
        <w:rPr>
          <w:sz w:val="20"/>
          <w:szCs w:val="20"/>
        </w:rPr>
        <w:t xml:space="preserve"> </w:t>
      </w:r>
      <w:r w:rsidR="00323457" w:rsidRPr="0059638B">
        <w:rPr>
          <w:sz w:val="20"/>
          <w:szCs w:val="20"/>
        </w:rPr>
        <w:t>situation</w:t>
      </w:r>
      <w:r w:rsidR="00FF41A0">
        <w:rPr>
          <w:sz w:val="20"/>
          <w:szCs w:val="20"/>
        </w:rPr>
        <w:t xml:space="preserve"> </w:t>
      </w:r>
      <w:r w:rsidR="00323457" w:rsidRPr="0059638B">
        <w:rPr>
          <w:sz w:val="20"/>
          <w:szCs w:val="20"/>
        </w:rPr>
        <w:t>improves,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training</w:t>
      </w:r>
      <w:r w:rsidR="00FF41A0">
        <w:rPr>
          <w:sz w:val="20"/>
          <w:szCs w:val="20"/>
        </w:rPr>
        <w:t xml:space="preserve"> </w:t>
      </w:r>
      <w:r w:rsidR="00323457" w:rsidRPr="0059638B">
        <w:rPr>
          <w:sz w:val="20"/>
          <w:szCs w:val="20"/>
        </w:rPr>
        <w:t>programme</w:t>
      </w:r>
      <w:r w:rsidR="00FF41A0">
        <w:rPr>
          <w:sz w:val="20"/>
          <w:szCs w:val="20"/>
        </w:rPr>
        <w:t xml:space="preserve"> </w:t>
      </w:r>
      <w:r w:rsidR="00323457" w:rsidRPr="0059638B">
        <w:rPr>
          <w:sz w:val="20"/>
          <w:szCs w:val="20"/>
        </w:rPr>
        <w:t>will</w:t>
      </w:r>
      <w:r w:rsidR="00FF41A0">
        <w:rPr>
          <w:sz w:val="20"/>
          <w:szCs w:val="20"/>
        </w:rPr>
        <w:t xml:space="preserve"> </w:t>
      </w:r>
      <w:r w:rsidR="00323457" w:rsidRPr="0059638B">
        <w:rPr>
          <w:sz w:val="20"/>
          <w:szCs w:val="20"/>
        </w:rPr>
        <w:t>be</w:t>
      </w:r>
      <w:r w:rsidR="00FF41A0">
        <w:rPr>
          <w:sz w:val="20"/>
          <w:szCs w:val="20"/>
        </w:rPr>
        <w:t xml:space="preserve"> </w:t>
      </w:r>
      <w:r w:rsidR="00323457" w:rsidRPr="0059638B">
        <w:rPr>
          <w:sz w:val="20"/>
          <w:szCs w:val="20"/>
        </w:rPr>
        <w:t>gradually</w:t>
      </w:r>
      <w:r w:rsidR="00FF41A0">
        <w:rPr>
          <w:sz w:val="20"/>
          <w:szCs w:val="20"/>
        </w:rPr>
        <w:t xml:space="preserve"> </w:t>
      </w:r>
      <w:r w:rsidR="00323457" w:rsidRPr="0059638B">
        <w:rPr>
          <w:sz w:val="20"/>
          <w:szCs w:val="20"/>
        </w:rPr>
        <w:t>downsized</w:t>
      </w:r>
      <w:r w:rsidR="00FF41A0">
        <w:rPr>
          <w:sz w:val="20"/>
          <w:szCs w:val="20"/>
        </w:rPr>
        <w:t xml:space="preserve"> </w:t>
      </w:r>
      <w:r w:rsidR="00323457" w:rsidRPr="0059638B">
        <w:rPr>
          <w:sz w:val="20"/>
          <w:szCs w:val="20"/>
        </w:rPr>
        <w:t>leading</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completion.</w:t>
      </w:r>
      <w:r w:rsidR="00FF41A0">
        <w:rPr>
          <w:sz w:val="20"/>
          <w:szCs w:val="20"/>
        </w:rPr>
        <w:t xml:space="preserve"> </w:t>
      </w:r>
    </w:p>
    <w:p w14:paraId="26FFA5FC" w14:textId="76F2FCF8" w:rsidR="00323457" w:rsidRPr="0059638B" w:rsidRDefault="0035721D" w:rsidP="00323457">
      <w:pPr>
        <w:pStyle w:val="SingleTxtG"/>
        <w:rPr>
          <w:sz w:val="20"/>
          <w:szCs w:val="20"/>
        </w:rPr>
      </w:pPr>
      <w:r>
        <w:rPr>
          <w:sz w:val="20"/>
          <w:szCs w:val="20"/>
        </w:rPr>
        <w:t>826</w:t>
      </w:r>
      <w:r w:rsidR="00D7475F">
        <w:rPr>
          <w:sz w:val="20"/>
          <w:szCs w:val="20"/>
        </w:rPr>
        <w:t>.</w:t>
      </w:r>
      <w:r w:rsidR="00D7475F">
        <w:rPr>
          <w:sz w:val="20"/>
          <w:szCs w:val="20"/>
        </w:rPr>
        <w:tab/>
      </w:r>
      <w:r w:rsidR="00323457" w:rsidRPr="0059638B">
        <w:rPr>
          <w:sz w:val="20"/>
          <w:szCs w:val="20"/>
        </w:rPr>
        <w:t>Fourth,</w:t>
      </w:r>
      <w:r w:rsidR="00FF41A0">
        <w:rPr>
          <w:sz w:val="20"/>
          <w:szCs w:val="20"/>
        </w:rPr>
        <w:t xml:space="preserve"> </w:t>
      </w:r>
      <w:r w:rsidR="00323457" w:rsidRPr="0059638B">
        <w:rPr>
          <w:sz w:val="20"/>
          <w:szCs w:val="20"/>
        </w:rPr>
        <w:t>T</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truth:</w:t>
      </w:r>
      <w:r w:rsidR="00FF41A0">
        <w:rPr>
          <w:sz w:val="20"/>
          <w:szCs w:val="20"/>
        </w:rPr>
        <w:t xml:space="preserve"> </w:t>
      </w:r>
      <w:r w:rsidR="00323457" w:rsidRPr="0059638B">
        <w:rPr>
          <w:sz w:val="20"/>
          <w:szCs w:val="20"/>
        </w:rPr>
        <w:t>Xinjiang</w:t>
      </w:r>
      <w:r w:rsidR="00FF41A0">
        <w:rPr>
          <w:sz w:val="20"/>
          <w:szCs w:val="20"/>
        </w:rPr>
        <w:t xml:space="preserve"> </w:t>
      </w:r>
      <w:r w:rsidR="00323457" w:rsidRPr="0059638B">
        <w:rPr>
          <w:sz w:val="20"/>
          <w:szCs w:val="20"/>
        </w:rPr>
        <w:t>has</w:t>
      </w:r>
      <w:r w:rsidR="00FF41A0">
        <w:rPr>
          <w:sz w:val="20"/>
          <w:szCs w:val="20"/>
        </w:rPr>
        <w:t xml:space="preserve"> </w:t>
      </w:r>
      <w:r w:rsidR="00323457" w:rsidRPr="0059638B">
        <w:rPr>
          <w:sz w:val="20"/>
          <w:szCs w:val="20"/>
        </w:rPr>
        <w:t>taken</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host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measures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protect</w:t>
      </w:r>
      <w:r w:rsidR="00FF41A0">
        <w:rPr>
          <w:sz w:val="20"/>
          <w:szCs w:val="20"/>
        </w:rPr>
        <w:t xml:space="preserve"> </w:t>
      </w:r>
      <w:r w:rsidR="00323457" w:rsidRPr="0059638B">
        <w:rPr>
          <w:sz w:val="20"/>
          <w:szCs w:val="20"/>
        </w:rPr>
        <w:t>citizens</w:t>
      </w:r>
      <w:r w:rsidR="00D72627">
        <w:rPr>
          <w:sz w:val="20"/>
          <w:szCs w:val="20"/>
        </w:rPr>
        <w:t>’</w:t>
      </w:r>
      <w:r w:rsidR="00FF41A0">
        <w:rPr>
          <w:sz w:val="20"/>
          <w:szCs w:val="20"/>
        </w:rPr>
        <w:t xml:space="preserve"> </w:t>
      </w:r>
      <w:r w:rsidR="00323457" w:rsidRPr="0059638B">
        <w:rPr>
          <w:sz w:val="20"/>
          <w:szCs w:val="20"/>
        </w:rPr>
        <w:t>freedom</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religious</w:t>
      </w:r>
      <w:r w:rsidR="00FF41A0">
        <w:rPr>
          <w:sz w:val="20"/>
          <w:szCs w:val="20"/>
        </w:rPr>
        <w:t xml:space="preserve"> </w:t>
      </w:r>
      <w:r w:rsidR="00323457" w:rsidRPr="0059638B">
        <w:rPr>
          <w:sz w:val="20"/>
          <w:szCs w:val="20"/>
        </w:rPr>
        <w:t>belief</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safeguard</w:t>
      </w:r>
      <w:r w:rsidR="00FF41A0">
        <w:rPr>
          <w:sz w:val="20"/>
          <w:szCs w:val="20"/>
        </w:rPr>
        <w:t xml:space="preserve"> </w:t>
      </w:r>
      <w:r w:rsidR="00323457" w:rsidRPr="0059638B">
        <w:rPr>
          <w:sz w:val="20"/>
          <w:szCs w:val="20"/>
        </w:rPr>
        <w:t>their</w:t>
      </w:r>
      <w:r w:rsidR="00FF41A0">
        <w:rPr>
          <w:sz w:val="20"/>
          <w:szCs w:val="20"/>
        </w:rPr>
        <w:t xml:space="preserve"> </w:t>
      </w:r>
      <w:r w:rsidR="00323457" w:rsidRPr="0059638B">
        <w:rPr>
          <w:sz w:val="20"/>
          <w:szCs w:val="20"/>
        </w:rPr>
        <w:t>cultural</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There</w:t>
      </w:r>
      <w:r w:rsidR="00FF41A0">
        <w:rPr>
          <w:sz w:val="20"/>
          <w:szCs w:val="20"/>
        </w:rPr>
        <w:t xml:space="preserve"> </w:t>
      </w:r>
      <w:r w:rsidR="00323457" w:rsidRPr="0059638B">
        <w:rPr>
          <w:sz w:val="20"/>
          <w:szCs w:val="20"/>
        </w:rPr>
        <w:t>are</w:t>
      </w:r>
      <w:r w:rsidR="00FF41A0">
        <w:rPr>
          <w:sz w:val="20"/>
          <w:szCs w:val="20"/>
        </w:rPr>
        <w:t xml:space="preserve"> </w:t>
      </w:r>
      <w:r w:rsidR="00323457" w:rsidRPr="0059638B">
        <w:rPr>
          <w:sz w:val="20"/>
          <w:szCs w:val="20"/>
        </w:rPr>
        <w:t>24,000</w:t>
      </w:r>
      <w:r w:rsidR="00FF41A0">
        <w:rPr>
          <w:sz w:val="20"/>
          <w:szCs w:val="20"/>
        </w:rPr>
        <w:t xml:space="preserve"> </w:t>
      </w:r>
      <w:r w:rsidR="00323457" w:rsidRPr="0059638B">
        <w:rPr>
          <w:sz w:val="20"/>
          <w:szCs w:val="20"/>
        </w:rPr>
        <w:t>mosques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Xinjiang,</w:t>
      </w:r>
      <w:r w:rsidR="00FF41A0">
        <w:rPr>
          <w:sz w:val="20"/>
          <w:szCs w:val="20"/>
        </w:rPr>
        <w:t xml:space="preserve"> </w:t>
      </w:r>
      <w:r w:rsidR="00323457" w:rsidRPr="0059638B">
        <w:rPr>
          <w:sz w:val="20"/>
          <w:szCs w:val="20"/>
        </w:rPr>
        <w:t>one</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every</w:t>
      </w:r>
      <w:r w:rsidR="00FF41A0">
        <w:rPr>
          <w:sz w:val="20"/>
          <w:szCs w:val="20"/>
        </w:rPr>
        <w:t xml:space="preserve"> </w:t>
      </w:r>
      <w:r w:rsidR="00323457" w:rsidRPr="0059638B">
        <w:rPr>
          <w:sz w:val="20"/>
          <w:szCs w:val="20"/>
        </w:rPr>
        <w:t>400</w:t>
      </w:r>
      <w:r w:rsidR="00FF41A0">
        <w:rPr>
          <w:sz w:val="20"/>
          <w:szCs w:val="20"/>
        </w:rPr>
        <w:t xml:space="preserve"> </w:t>
      </w:r>
      <w:r w:rsidR="00323457" w:rsidRPr="0059638B">
        <w:rPr>
          <w:sz w:val="20"/>
          <w:szCs w:val="20"/>
        </w:rPr>
        <w:t>or</w:t>
      </w:r>
      <w:r w:rsidR="00FF41A0">
        <w:rPr>
          <w:sz w:val="20"/>
          <w:szCs w:val="20"/>
        </w:rPr>
        <w:t xml:space="preserve"> </w:t>
      </w:r>
      <w:r w:rsidR="00323457" w:rsidRPr="0059638B">
        <w:rPr>
          <w:sz w:val="20"/>
          <w:szCs w:val="20"/>
        </w:rPr>
        <w:t>so</w:t>
      </w:r>
      <w:r w:rsidR="00FF41A0">
        <w:rPr>
          <w:sz w:val="20"/>
          <w:szCs w:val="20"/>
        </w:rPr>
        <w:t xml:space="preserve"> </w:t>
      </w:r>
      <w:r w:rsidR="00323457" w:rsidRPr="0059638B">
        <w:rPr>
          <w:sz w:val="20"/>
          <w:szCs w:val="20"/>
        </w:rPr>
        <w:t>local</w:t>
      </w:r>
      <w:r w:rsidR="00FF41A0">
        <w:rPr>
          <w:sz w:val="20"/>
          <w:szCs w:val="20"/>
        </w:rPr>
        <w:t xml:space="preserve"> </w:t>
      </w:r>
      <w:r w:rsidR="00323457" w:rsidRPr="0059638B">
        <w:rPr>
          <w:sz w:val="20"/>
          <w:szCs w:val="20"/>
        </w:rPr>
        <w:t>Muslims,</w:t>
      </w:r>
      <w:r w:rsidR="00FF41A0">
        <w:rPr>
          <w:sz w:val="20"/>
          <w:szCs w:val="20"/>
        </w:rPr>
        <w:t xml:space="preserve"> </w:t>
      </w:r>
      <w:r w:rsidR="00323457" w:rsidRPr="0059638B">
        <w:rPr>
          <w:sz w:val="20"/>
          <w:szCs w:val="20"/>
        </w:rPr>
        <w:t>more</w:t>
      </w:r>
      <w:r w:rsidR="00FF41A0">
        <w:rPr>
          <w:sz w:val="20"/>
          <w:szCs w:val="20"/>
        </w:rPr>
        <w:t xml:space="preserve"> </w:t>
      </w:r>
      <w:r w:rsidR="00323457" w:rsidRPr="0059638B">
        <w:rPr>
          <w:sz w:val="20"/>
          <w:szCs w:val="20"/>
        </w:rPr>
        <w:t>than</w:t>
      </w:r>
      <w:r w:rsidR="00FF41A0">
        <w:rPr>
          <w:sz w:val="20"/>
          <w:szCs w:val="20"/>
        </w:rPr>
        <w:t xml:space="preserve"> </w:t>
      </w:r>
      <w:r w:rsidR="00323457" w:rsidRPr="0059638B">
        <w:rPr>
          <w:sz w:val="20"/>
          <w:szCs w:val="20"/>
        </w:rPr>
        <w:t>many</w:t>
      </w:r>
      <w:r w:rsidR="00FF41A0">
        <w:rPr>
          <w:sz w:val="20"/>
          <w:szCs w:val="20"/>
        </w:rPr>
        <w:t xml:space="preserve"> </w:t>
      </w:r>
      <w:r w:rsidR="00323457" w:rsidRPr="0059638B">
        <w:rPr>
          <w:sz w:val="20"/>
          <w:szCs w:val="20"/>
        </w:rPr>
        <w:t>Muslim</w:t>
      </w:r>
      <w:r w:rsidR="00FF41A0">
        <w:rPr>
          <w:sz w:val="20"/>
          <w:szCs w:val="20"/>
        </w:rPr>
        <w:t xml:space="preserve"> </w:t>
      </w:r>
      <w:r w:rsidR="00323457" w:rsidRPr="0059638B">
        <w:rPr>
          <w:sz w:val="20"/>
          <w:szCs w:val="20"/>
        </w:rPr>
        <w:t>countries.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stability</w:t>
      </w:r>
      <w:r w:rsidR="00FF41A0">
        <w:rPr>
          <w:sz w:val="20"/>
          <w:szCs w:val="20"/>
        </w:rPr>
        <w:t xml:space="preserve"> </w:t>
      </w:r>
      <w:r w:rsidR="00323457" w:rsidRPr="0059638B">
        <w:rPr>
          <w:sz w:val="20"/>
          <w:szCs w:val="20"/>
        </w:rPr>
        <w:t>dividend</w:t>
      </w:r>
      <w:r w:rsidR="00FF41A0">
        <w:rPr>
          <w:sz w:val="20"/>
          <w:szCs w:val="20"/>
        </w:rPr>
        <w:t xml:space="preserve"> </w:t>
      </w:r>
      <w:r w:rsidR="00323457" w:rsidRPr="0059638B">
        <w:rPr>
          <w:sz w:val="20"/>
          <w:szCs w:val="20"/>
        </w:rPr>
        <w:t>has</w:t>
      </w:r>
      <w:r w:rsidR="00FF41A0">
        <w:rPr>
          <w:sz w:val="20"/>
          <w:szCs w:val="20"/>
        </w:rPr>
        <w:t xml:space="preserve"> </w:t>
      </w:r>
      <w:r w:rsidR="00323457" w:rsidRPr="0059638B">
        <w:rPr>
          <w:sz w:val="20"/>
          <w:szCs w:val="20"/>
        </w:rPr>
        <w:t>continued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benefit</w:t>
      </w:r>
      <w:r w:rsidR="00FF41A0">
        <w:rPr>
          <w:sz w:val="20"/>
          <w:szCs w:val="20"/>
        </w:rPr>
        <w:t xml:space="preserve"> </w:t>
      </w:r>
      <w:r w:rsidR="00323457" w:rsidRPr="0059638B">
        <w:rPr>
          <w:sz w:val="20"/>
          <w:szCs w:val="20"/>
        </w:rPr>
        <w:t>Xinjiang.</w:t>
      </w:r>
      <w:r w:rsidR="00FF41A0">
        <w:rPr>
          <w:sz w:val="20"/>
          <w:szCs w:val="20"/>
        </w:rPr>
        <w:t xml:space="preserve"> </w:t>
      </w:r>
      <w:r w:rsidR="00323457" w:rsidRPr="0059638B">
        <w:rPr>
          <w:sz w:val="20"/>
          <w:szCs w:val="20"/>
        </w:rPr>
        <w:t>No</w:t>
      </w:r>
      <w:r w:rsidR="00FF41A0">
        <w:rPr>
          <w:sz w:val="20"/>
          <w:szCs w:val="20"/>
        </w:rPr>
        <w:t xml:space="preserve"> </w:t>
      </w:r>
      <w:r w:rsidR="00323457" w:rsidRPr="0059638B">
        <w:rPr>
          <w:sz w:val="20"/>
          <w:szCs w:val="20"/>
        </w:rPr>
        <w:t>case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violent</w:t>
      </w:r>
      <w:r w:rsidR="00FF41A0">
        <w:rPr>
          <w:sz w:val="20"/>
          <w:szCs w:val="20"/>
        </w:rPr>
        <w:t xml:space="preserve"> </w:t>
      </w:r>
      <w:r w:rsidR="00323457" w:rsidRPr="0059638B">
        <w:rPr>
          <w:sz w:val="20"/>
          <w:szCs w:val="20"/>
        </w:rPr>
        <w:t>terrorism</w:t>
      </w:r>
      <w:r w:rsidR="00FF41A0">
        <w:rPr>
          <w:sz w:val="20"/>
          <w:szCs w:val="20"/>
        </w:rPr>
        <w:t xml:space="preserve"> </w:t>
      </w:r>
      <w:r w:rsidR="00323457" w:rsidRPr="0059638B">
        <w:rPr>
          <w:sz w:val="20"/>
          <w:szCs w:val="20"/>
        </w:rPr>
        <w:t>has</w:t>
      </w:r>
      <w:r w:rsidR="00FF41A0">
        <w:rPr>
          <w:sz w:val="20"/>
          <w:szCs w:val="20"/>
        </w:rPr>
        <w:t xml:space="preserve"> </w:t>
      </w:r>
      <w:r w:rsidR="00323457" w:rsidRPr="0059638B">
        <w:rPr>
          <w:sz w:val="20"/>
          <w:szCs w:val="20"/>
        </w:rPr>
        <w:t>occurred</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27</w:t>
      </w:r>
      <w:r w:rsidR="00FF41A0">
        <w:rPr>
          <w:sz w:val="20"/>
          <w:szCs w:val="20"/>
        </w:rPr>
        <w:t xml:space="preserve"> </w:t>
      </w:r>
      <w:r w:rsidR="00323457" w:rsidRPr="0059638B">
        <w:rPr>
          <w:sz w:val="20"/>
          <w:szCs w:val="20"/>
        </w:rPr>
        <w:t>months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row</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March</w:t>
      </w:r>
      <w:r w:rsidR="00FF41A0">
        <w:rPr>
          <w:sz w:val="20"/>
          <w:szCs w:val="20"/>
        </w:rPr>
        <w:t xml:space="preserve"> </w:t>
      </w:r>
      <w:r w:rsidR="00323457" w:rsidRPr="0059638B">
        <w:rPr>
          <w:sz w:val="20"/>
          <w:szCs w:val="20"/>
        </w:rPr>
        <w:t>2019.</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total</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150</w:t>
      </w:r>
      <w:r w:rsidR="00FF41A0">
        <w:rPr>
          <w:sz w:val="20"/>
          <w:szCs w:val="20"/>
        </w:rPr>
        <w:t xml:space="preserve"> </w:t>
      </w:r>
      <w:r w:rsidR="00323457" w:rsidRPr="0059638B">
        <w:rPr>
          <w:sz w:val="20"/>
          <w:szCs w:val="20"/>
        </w:rPr>
        <w:t>million</w:t>
      </w:r>
      <w:r w:rsidR="00FF41A0">
        <w:rPr>
          <w:sz w:val="20"/>
          <w:szCs w:val="20"/>
        </w:rPr>
        <w:t xml:space="preserve"> </w:t>
      </w:r>
      <w:r w:rsidR="00323457" w:rsidRPr="0059638B">
        <w:rPr>
          <w:sz w:val="20"/>
          <w:szCs w:val="20"/>
        </w:rPr>
        <w:t>tourists</w:t>
      </w:r>
      <w:r w:rsidR="00FF41A0">
        <w:rPr>
          <w:sz w:val="20"/>
          <w:szCs w:val="20"/>
        </w:rPr>
        <w:t xml:space="preserve"> </w:t>
      </w:r>
      <w:r w:rsidR="00323457" w:rsidRPr="0059638B">
        <w:rPr>
          <w:sz w:val="20"/>
          <w:szCs w:val="20"/>
        </w:rPr>
        <w:t>visited</w:t>
      </w:r>
      <w:r w:rsidR="00FF41A0">
        <w:rPr>
          <w:sz w:val="20"/>
          <w:szCs w:val="20"/>
        </w:rPr>
        <w:t xml:space="preserve"> </w:t>
      </w:r>
      <w:r w:rsidR="00323457" w:rsidRPr="0059638B">
        <w:rPr>
          <w:sz w:val="20"/>
          <w:szCs w:val="20"/>
        </w:rPr>
        <w:t>Xinjiang</w:t>
      </w:r>
      <w:r w:rsidR="00FF41A0">
        <w:rPr>
          <w:sz w:val="20"/>
          <w:szCs w:val="20"/>
        </w:rPr>
        <w:t xml:space="preserve"> </w:t>
      </w:r>
      <w:r w:rsidR="00323457" w:rsidRPr="0059638B">
        <w:rPr>
          <w:sz w:val="20"/>
          <w:szCs w:val="20"/>
        </w:rPr>
        <w:t>last</w:t>
      </w:r>
      <w:r w:rsidR="00FF41A0">
        <w:rPr>
          <w:sz w:val="20"/>
          <w:szCs w:val="20"/>
        </w:rPr>
        <w:t xml:space="preserve"> </w:t>
      </w:r>
      <w:r w:rsidR="00323457" w:rsidRPr="0059638B">
        <w:rPr>
          <w:sz w:val="20"/>
          <w:szCs w:val="20"/>
        </w:rPr>
        <w:t>year.</w:t>
      </w:r>
    </w:p>
    <w:p w14:paraId="388F6D6B" w14:textId="43AA298C" w:rsidR="00323457" w:rsidRPr="0059638B" w:rsidRDefault="0035721D" w:rsidP="00323457">
      <w:pPr>
        <w:pStyle w:val="SingleTxtG"/>
        <w:rPr>
          <w:sz w:val="20"/>
          <w:szCs w:val="20"/>
        </w:rPr>
      </w:pPr>
      <w:r>
        <w:rPr>
          <w:sz w:val="20"/>
          <w:szCs w:val="20"/>
        </w:rPr>
        <w:t>827</w:t>
      </w:r>
      <w:r w:rsidR="00D7475F">
        <w:rPr>
          <w:sz w:val="20"/>
          <w:szCs w:val="20"/>
        </w:rPr>
        <w:t>.</w:t>
      </w:r>
      <w:r w:rsidR="00D7475F">
        <w:rPr>
          <w:sz w:val="20"/>
          <w:szCs w:val="20"/>
        </w:rPr>
        <w:tab/>
      </w:r>
      <w:r w:rsidR="00323457" w:rsidRPr="0059638B">
        <w:rPr>
          <w:sz w:val="20"/>
          <w:szCs w:val="20"/>
        </w:rPr>
        <w:t>China</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2</w:t>
      </w:r>
      <w:r w:rsidR="00FF41A0">
        <w:rPr>
          <w:sz w:val="20"/>
          <w:szCs w:val="20"/>
        </w:rPr>
        <w:t xml:space="preserve"> </w:t>
      </w:r>
      <w:r w:rsidR="00323457" w:rsidRPr="0059638B">
        <w:rPr>
          <w:sz w:val="20"/>
          <w:szCs w:val="20"/>
        </w:rPr>
        <w:t>March,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Council</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Foreign</w:t>
      </w:r>
      <w:r w:rsidR="00FF41A0">
        <w:rPr>
          <w:sz w:val="20"/>
          <w:szCs w:val="20"/>
        </w:rPr>
        <w:t xml:space="preserve"> </w:t>
      </w:r>
      <w:r w:rsidR="00323457" w:rsidRPr="0059638B">
        <w:rPr>
          <w:sz w:val="20"/>
          <w:szCs w:val="20"/>
        </w:rPr>
        <w:t>Ministers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Organization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Islamic</w:t>
      </w:r>
      <w:r w:rsidR="00FF41A0">
        <w:rPr>
          <w:sz w:val="20"/>
          <w:szCs w:val="20"/>
        </w:rPr>
        <w:t xml:space="preserve"> </w:t>
      </w:r>
      <w:r w:rsidR="00323457" w:rsidRPr="0059638B">
        <w:rPr>
          <w:sz w:val="20"/>
          <w:szCs w:val="20"/>
        </w:rPr>
        <w:t>Cooperation</w:t>
      </w:r>
      <w:r w:rsidR="00FF41A0">
        <w:rPr>
          <w:sz w:val="20"/>
          <w:szCs w:val="20"/>
        </w:rPr>
        <w:t xml:space="preserve"> </w:t>
      </w:r>
      <w:r w:rsidR="00323457" w:rsidRPr="0059638B">
        <w:rPr>
          <w:sz w:val="20"/>
          <w:szCs w:val="20"/>
        </w:rPr>
        <w:t>(OIC)</w:t>
      </w:r>
      <w:r w:rsidR="00FF41A0">
        <w:rPr>
          <w:sz w:val="20"/>
          <w:szCs w:val="20"/>
        </w:rPr>
        <w:t xml:space="preserve"> </w:t>
      </w:r>
      <w:r w:rsidR="00323457" w:rsidRPr="0059638B">
        <w:rPr>
          <w:sz w:val="20"/>
          <w:szCs w:val="20"/>
        </w:rPr>
        <w:t>issued</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report,</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commended</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care</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Muslims.</w:t>
      </w:r>
      <w:r w:rsidR="00FF41A0">
        <w:rPr>
          <w:sz w:val="20"/>
          <w:szCs w:val="20"/>
        </w:rPr>
        <w:t xml:space="preserve"> </w:t>
      </w:r>
      <w:r w:rsidR="00323457" w:rsidRPr="0059638B">
        <w:rPr>
          <w:sz w:val="20"/>
          <w:szCs w:val="20"/>
        </w:rPr>
        <w:t>This</w:t>
      </w:r>
      <w:r w:rsidR="00FF41A0">
        <w:rPr>
          <w:sz w:val="20"/>
          <w:szCs w:val="20"/>
        </w:rPr>
        <w:t xml:space="preserve"> </w:t>
      </w:r>
      <w:r w:rsidR="00323457" w:rsidRPr="0059638B">
        <w:rPr>
          <w:sz w:val="20"/>
          <w:szCs w:val="20"/>
        </w:rPr>
        <w:t>fully</w:t>
      </w:r>
      <w:r w:rsidR="00FF41A0">
        <w:rPr>
          <w:sz w:val="20"/>
          <w:szCs w:val="20"/>
        </w:rPr>
        <w:t xml:space="preserve"> </w:t>
      </w:r>
      <w:r w:rsidR="00323457" w:rsidRPr="0059638B">
        <w:rPr>
          <w:sz w:val="20"/>
          <w:szCs w:val="20"/>
        </w:rPr>
        <w:t>demonstrated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relevant</w:t>
      </w:r>
      <w:r w:rsidR="00FF41A0">
        <w:rPr>
          <w:sz w:val="20"/>
          <w:szCs w:val="20"/>
        </w:rPr>
        <w:t xml:space="preserve"> </w:t>
      </w:r>
      <w:r w:rsidR="00323457" w:rsidRPr="0059638B">
        <w:rPr>
          <w:sz w:val="20"/>
          <w:szCs w:val="20"/>
        </w:rPr>
        <w:t>measures</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earned</w:t>
      </w:r>
      <w:r w:rsidR="00FF41A0">
        <w:rPr>
          <w:sz w:val="20"/>
          <w:szCs w:val="20"/>
        </w:rPr>
        <w:t xml:space="preserve"> </w:t>
      </w:r>
      <w:r w:rsidR="00323457" w:rsidRPr="0059638B">
        <w:rPr>
          <w:sz w:val="20"/>
          <w:szCs w:val="20"/>
        </w:rPr>
        <w:t>understanding</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support</w:t>
      </w:r>
      <w:r w:rsidR="00FF41A0">
        <w:rPr>
          <w:sz w:val="20"/>
          <w:szCs w:val="20"/>
        </w:rPr>
        <w:t xml:space="preserve"> </w:t>
      </w:r>
      <w:r w:rsidR="00323457" w:rsidRPr="0059638B">
        <w:rPr>
          <w:sz w:val="20"/>
          <w:szCs w:val="20"/>
        </w:rPr>
        <w:t>from</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Muslim</w:t>
      </w:r>
      <w:r w:rsidR="00FF41A0">
        <w:rPr>
          <w:sz w:val="20"/>
          <w:szCs w:val="20"/>
        </w:rPr>
        <w:t xml:space="preserve"> </w:t>
      </w:r>
      <w:r w:rsidR="00323457" w:rsidRPr="0059638B">
        <w:rPr>
          <w:sz w:val="20"/>
          <w:szCs w:val="20"/>
        </w:rPr>
        <w:t>world.</w:t>
      </w:r>
    </w:p>
    <w:p w14:paraId="7165768A" w14:textId="0EEB9F83" w:rsidR="00323457" w:rsidRPr="0059638B" w:rsidRDefault="0035721D" w:rsidP="00323457">
      <w:pPr>
        <w:pStyle w:val="SingleTxtG"/>
        <w:rPr>
          <w:sz w:val="20"/>
          <w:szCs w:val="20"/>
        </w:rPr>
      </w:pPr>
      <w:r>
        <w:rPr>
          <w:sz w:val="20"/>
          <w:szCs w:val="20"/>
        </w:rPr>
        <w:t>828</w:t>
      </w:r>
      <w:r w:rsidR="00D7475F">
        <w:rPr>
          <w:sz w:val="20"/>
          <w:szCs w:val="20"/>
        </w:rPr>
        <w:t>.</w:t>
      </w:r>
      <w:r w:rsidR="00D7475F">
        <w:rPr>
          <w:sz w:val="20"/>
          <w:szCs w:val="20"/>
        </w:rPr>
        <w:tab/>
      </w:r>
      <w:r w:rsidR="00323457" w:rsidRPr="0059638B">
        <w:rPr>
          <w:sz w:val="20"/>
          <w:szCs w:val="20"/>
        </w:rPr>
        <w:t>China</w:t>
      </w:r>
      <w:r w:rsidR="00FF41A0">
        <w:rPr>
          <w:sz w:val="20"/>
          <w:szCs w:val="20"/>
        </w:rPr>
        <w:t xml:space="preserve"> </w:t>
      </w:r>
      <w:r w:rsidR="00323457" w:rsidRPr="0059638B">
        <w:rPr>
          <w:sz w:val="20"/>
          <w:szCs w:val="20"/>
        </w:rPr>
        <w:t>went</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state</w:t>
      </w:r>
      <w:r w:rsidR="00FF41A0">
        <w:rPr>
          <w:sz w:val="20"/>
          <w:szCs w:val="20"/>
        </w:rPr>
        <w:t xml:space="preserve"> </w:t>
      </w:r>
      <w:r w:rsidR="00323457" w:rsidRPr="0059638B">
        <w:rPr>
          <w:sz w:val="20"/>
          <w:szCs w:val="20"/>
        </w:rPr>
        <w:t>that</w:t>
      </w:r>
      <w:r w:rsidR="00FF41A0">
        <w:rPr>
          <w:sz w:val="20"/>
          <w:szCs w:val="20"/>
        </w:rPr>
        <w:t xml:space="preserve"> </w:t>
      </w:r>
      <w:r w:rsidR="00D72627">
        <w:rPr>
          <w:sz w:val="20"/>
          <w:szCs w:val="20"/>
          <w:lang w:eastAsia="zh-CN"/>
        </w:rPr>
        <w:t>‘</w:t>
      </w:r>
      <w:r w:rsidR="00323457" w:rsidRPr="0059638B">
        <w:rPr>
          <w:sz w:val="20"/>
          <w:szCs w:val="20"/>
        </w:rPr>
        <w:t>One</w:t>
      </w:r>
      <w:r w:rsidR="00FF41A0">
        <w:rPr>
          <w:sz w:val="20"/>
          <w:szCs w:val="20"/>
        </w:rPr>
        <w:t xml:space="preserve"> </w:t>
      </w:r>
      <w:r w:rsidR="00323457" w:rsidRPr="0059638B">
        <w:rPr>
          <w:sz w:val="20"/>
          <w:szCs w:val="20"/>
        </w:rPr>
        <w:t>Country,</w:t>
      </w:r>
      <w:r w:rsidR="00FF41A0">
        <w:rPr>
          <w:sz w:val="20"/>
          <w:szCs w:val="20"/>
        </w:rPr>
        <w:t xml:space="preserve"> </w:t>
      </w:r>
      <w:r w:rsidR="00323457" w:rsidRPr="0059638B">
        <w:rPr>
          <w:sz w:val="20"/>
          <w:szCs w:val="20"/>
        </w:rPr>
        <w:t>two</w:t>
      </w:r>
      <w:r w:rsidR="00FF41A0">
        <w:rPr>
          <w:sz w:val="20"/>
          <w:szCs w:val="20"/>
        </w:rPr>
        <w:t xml:space="preserve"> </w:t>
      </w:r>
      <w:r w:rsidR="00323457" w:rsidRPr="0059638B">
        <w:rPr>
          <w:sz w:val="20"/>
          <w:szCs w:val="20"/>
        </w:rPr>
        <w:t>systems</w:t>
      </w:r>
      <w:r w:rsidR="00D72627">
        <w:rPr>
          <w:sz w:val="20"/>
          <w:szCs w:val="20"/>
          <w:lang w:eastAsia="zh-CN"/>
        </w:rPr>
        <w:t>’</w:t>
      </w:r>
      <w:r w:rsidR="00FF41A0">
        <w:rPr>
          <w:sz w:val="20"/>
          <w:szCs w:val="20"/>
        </w:rPr>
        <w:t xml:space="preserve"> </w:t>
      </w:r>
      <w:r w:rsidR="00D72627">
        <w:rPr>
          <w:sz w:val="20"/>
          <w:szCs w:val="20"/>
          <w:lang w:eastAsia="zh-CN"/>
        </w:rPr>
        <w:t>‘</w:t>
      </w:r>
      <w:r w:rsidR="00323457" w:rsidRPr="0059638B">
        <w:rPr>
          <w:sz w:val="20"/>
          <w:szCs w:val="20"/>
        </w:rPr>
        <w:t>Hong</w:t>
      </w:r>
      <w:r w:rsidR="00FF41A0">
        <w:rPr>
          <w:sz w:val="20"/>
          <w:szCs w:val="20"/>
        </w:rPr>
        <w:t xml:space="preserve"> </w:t>
      </w:r>
      <w:r w:rsidR="00323457" w:rsidRPr="0059638B">
        <w:rPr>
          <w:sz w:val="20"/>
          <w:szCs w:val="20"/>
        </w:rPr>
        <w:t>Kong</w:t>
      </w:r>
      <w:r w:rsidR="00FF41A0">
        <w:rPr>
          <w:sz w:val="20"/>
          <w:szCs w:val="20"/>
        </w:rPr>
        <w:t xml:space="preserve"> </w:t>
      </w:r>
      <w:r w:rsidR="00323457" w:rsidRPr="0059638B">
        <w:rPr>
          <w:sz w:val="20"/>
          <w:szCs w:val="20"/>
        </w:rPr>
        <w:t>people</w:t>
      </w:r>
      <w:r w:rsidR="00FF41A0">
        <w:rPr>
          <w:sz w:val="20"/>
          <w:szCs w:val="20"/>
        </w:rPr>
        <w:t xml:space="preserve"> </w:t>
      </w:r>
      <w:r w:rsidR="00323457" w:rsidRPr="0059638B">
        <w:rPr>
          <w:sz w:val="20"/>
          <w:szCs w:val="20"/>
        </w:rPr>
        <w:t>administering</w:t>
      </w:r>
      <w:r w:rsidR="00FF41A0">
        <w:rPr>
          <w:sz w:val="20"/>
          <w:szCs w:val="20"/>
        </w:rPr>
        <w:t xml:space="preserve"> </w:t>
      </w:r>
      <w:r w:rsidR="00323457" w:rsidRPr="0059638B">
        <w:rPr>
          <w:sz w:val="20"/>
          <w:szCs w:val="20"/>
        </w:rPr>
        <w:t>Hong</w:t>
      </w:r>
      <w:r w:rsidR="00FF41A0">
        <w:rPr>
          <w:sz w:val="20"/>
          <w:szCs w:val="20"/>
        </w:rPr>
        <w:t xml:space="preserve"> </w:t>
      </w:r>
      <w:r w:rsidR="00323457" w:rsidRPr="0059638B">
        <w:rPr>
          <w:sz w:val="20"/>
          <w:szCs w:val="20"/>
        </w:rPr>
        <w:t>Kong</w:t>
      </w:r>
      <w:r w:rsidR="00D72627">
        <w:rPr>
          <w:sz w:val="20"/>
          <w:szCs w:val="20"/>
          <w:lang w:eastAsia="zh-CN"/>
        </w:rPr>
        <w: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high</w:t>
      </w:r>
      <w:r w:rsidR="00FF41A0">
        <w:rPr>
          <w:sz w:val="20"/>
          <w:szCs w:val="20"/>
        </w:rPr>
        <w:t xml:space="preserve"> </w:t>
      </w:r>
      <w:r w:rsidR="00323457" w:rsidRPr="0059638B">
        <w:rPr>
          <w:sz w:val="20"/>
          <w:szCs w:val="20"/>
        </w:rPr>
        <w:t>degree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autonomy</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successfully</w:t>
      </w:r>
      <w:r w:rsidR="00FF41A0">
        <w:rPr>
          <w:sz w:val="20"/>
          <w:szCs w:val="20"/>
        </w:rPr>
        <w:t xml:space="preserve"> </w:t>
      </w:r>
      <w:r w:rsidR="00323457" w:rsidRPr="0059638B">
        <w:rPr>
          <w:sz w:val="20"/>
          <w:szCs w:val="20"/>
        </w:rPr>
        <w:t>implemented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Hong</w:t>
      </w:r>
      <w:r w:rsidR="00FF41A0">
        <w:rPr>
          <w:sz w:val="20"/>
          <w:szCs w:val="20"/>
        </w:rPr>
        <w:t xml:space="preserve"> </w:t>
      </w:r>
      <w:r w:rsidR="00323457" w:rsidRPr="0059638B">
        <w:rPr>
          <w:sz w:val="20"/>
          <w:szCs w:val="20"/>
        </w:rPr>
        <w:t>Kong</w:t>
      </w:r>
      <w:r w:rsidR="00FF41A0">
        <w:rPr>
          <w:sz w:val="20"/>
          <w:szCs w:val="20"/>
        </w:rPr>
        <w:t xml:space="preserve"> </w:t>
      </w:r>
      <w:r w:rsidR="00323457" w:rsidRPr="0059638B">
        <w:rPr>
          <w:sz w:val="20"/>
          <w:szCs w:val="20"/>
        </w:rPr>
        <w:t>Special</w:t>
      </w:r>
      <w:r w:rsidR="00FF41A0">
        <w:rPr>
          <w:sz w:val="20"/>
          <w:szCs w:val="20"/>
        </w:rPr>
        <w:t xml:space="preserve"> </w:t>
      </w:r>
      <w:r w:rsidR="00323457" w:rsidRPr="0059638B">
        <w:rPr>
          <w:sz w:val="20"/>
          <w:szCs w:val="20"/>
        </w:rPr>
        <w:t>Administrative</w:t>
      </w:r>
      <w:r w:rsidR="00FF41A0">
        <w:rPr>
          <w:sz w:val="20"/>
          <w:szCs w:val="20"/>
        </w:rPr>
        <w:t xml:space="preserve"> </w:t>
      </w:r>
      <w:r w:rsidR="00323457" w:rsidRPr="0059638B">
        <w:rPr>
          <w:sz w:val="20"/>
          <w:szCs w:val="20"/>
        </w:rPr>
        <w:t>Region</w:t>
      </w:r>
      <w:r w:rsidR="00FF41A0">
        <w:rPr>
          <w:sz w:val="20"/>
          <w:szCs w:val="20"/>
        </w:rPr>
        <w:t xml:space="preserve"> </w:t>
      </w:r>
      <w:r w:rsidR="00323457" w:rsidRPr="0059638B">
        <w:rPr>
          <w:sz w:val="20"/>
          <w:szCs w:val="20"/>
        </w:rPr>
        <w:t>(HKSAR).</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freedom</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Hong</w:t>
      </w:r>
      <w:r w:rsidR="00FF41A0">
        <w:rPr>
          <w:sz w:val="20"/>
          <w:szCs w:val="20"/>
        </w:rPr>
        <w:t xml:space="preserve"> </w:t>
      </w:r>
      <w:r w:rsidR="00323457" w:rsidRPr="0059638B">
        <w:rPr>
          <w:sz w:val="20"/>
          <w:szCs w:val="20"/>
        </w:rPr>
        <w:t>Kong</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fully</w:t>
      </w:r>
      <w:r w:rsidR="00FF41A0">
        <w:rPr>
          <w:sz w:val="20"/>
          <w:szCs w:val="20"/>
        </w:rPr>
        <w:t xml:space="preserve"> </w:t>
      </w:r>
      <w:r w:rsidR="00323457" w:rsidRPr="0059638B">
        <w:rPr>
          <w:sz w:val="20"/>
          <w:szCs w:val="20"/>
        </w:rPr>
        <w:t>protected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HKSAR</w:t>
      </w:r>
      <w:r w:rsidR="00FF41A0">
        <w:rPr>
          <w:sz w:val="20"/>
          <w:szCs w:val="20"/>
        </w:rPr>
        <w:t xml:space="preserve"> </w:t>
      </w:r>
      <w:r w:rsidR="00323457" w:rsidRPr="0059638B">
        <w:rPr>
          <w:sz w:val="20"/>
          <w:szCs w:val="20"/>
        </w:rPr>
        <w:t>Basic</w:t>
      </w:r>
      <w:r w:rsidR="00FF41A0">
        <w:rPr>
          <w:sz w:val="20"/>
          <w:szCs w:val="20"/>
        </w:rPr>
        <w:t xml:space="preserve"> </w:t>
      </w:r>
      <w:r w:rsidR="00323457" w:rsidRPr="0059638B">
        <w:rPr>
          <w:sz w:val="20"/>
          <w:szCs w:val="20"/>
        </w:rPr>
        <w:t>Law</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other</w:t>
      </w:r>
      <w:r w:rsidR="00FF41A0">
        <w:rPr>
          <w:sz w:val="20"/>
          <w:szCs w:val="20"/>
        </w:rPr>
        <w:t xml:space="preserve"> </w:t>
      </w:r>
      <w:r w:rsidR="00323457" w:rsidRPr="0059638B">
        <w:rPr>
          <w:sz w:val="20"/>
          <w:szCs w:val="20"/>
        </w:rPr>
        <w:t>laws.</w:t>
      </w:r>
      <w:r w:rsidR="00FF41A0">
        <w:rPr>
          <w:sz w:val="20"/>
          <w:szCs w:val="20"/>
        </w:rPr>
        <w:t xml:space="preserve"> </w:t>
      </w:r>
      <w:r w:rsidR="00323457" w:rsidRPr="0059638B">
        <w:rPr>
          <w:sz w:val="20"/>
          <w:szCs w:val="20"/>
        </w:rPr>
        <w:t>Freedom</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rule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law</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Hong</w:t>
      </w:r>
      <w:r w:rsidR="00FF41A0">
        <w:rPr>
          <w:sz w:val="20"/>
          <w:szCs w:val="20"/>
        </w:rPr>
        <w:t xml:space="preserve"> </w:t>
      </w:r>
      <w:r w:rsidR="00323457" w:rsidRPr="0059638B">
        <w:rPr>
          <w:sz w:val="20"/>
          <w:szCs w:val="20"/>
        </w:rPr>
        <w:t>Kong</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core</w:t>
      </w:r>
      <w:r w:rsidR="00FF41A0">
        <w:rPr>
          <w:sz w:val="20"/>
          <w:szCs w:val="20"/>
        </w:rPr>
        <w:t xml:space="preserve"> </w:t>
      </w:r>
      <w:r w:rsidR="00323457" w:rsidRPr="0059638B">
        <w:rPr>
          <w:sz w:val="20"/>
          <w:szCs w:val="20"/>
        </w:rPr>
        <w:t>values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underpinned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prosperity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stability.</w:t>
      </w:r>
      <w:r w:rsidR="00FF41A0">
        <w:rPr>
          <w:sz w:val="20"/>
          <w:szCs w:val="20"/>
        </w:rPr>
        <w:t xml:space="preserve"> </w:t>
      </w:r>
      <w:r w:rsidR="00323457" w:rsidRPr="0059638B">
        <w:rPr>
          <w:sz w:val="20"/>
          <w:szCs w:val="20"/>
        </w:rPr>
        <w:t>Hong</w:t>
      </w:r>
      <w:r w:rsidR="00FF41A0">
        <w:rPr>
          <w:sz w:val="20"/>
          <w:szCs w:val="20"/>
        </w:rPr>
        <w:t xml:space="preserve"> </w:t>
      </w:r>
      <w:r w:rsidR="00323457" w:rsidRPr="0059638B">
        <w:rPr>
          <w:sz w:val="20"/>
          <w:szCs w:val="20"/>
        </w:rPr>
        <w:t>Kong</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determined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safeguard</w:t>
      </w:r>
      <w:r w:rsidR="00FF41A0">
        <w:rPr>
          <w:sz w:val="20"/>
          <w:szCs w:val="20"/>
        </w:rPr>
        <w:t xml:space="preserve"> </w:t>
      </w:r>
      <w:r w:rsidR="00323457" w:rsidRPr="0059638B">
        <w:rPr>
          <w:sz w:val="20"/>
          <w:szCs w:val="20"/>
        </w:rPr>
        <w:t>them.</w:t>
      </w:r>
      <w:r w:rsidR="00FF41A0">
        <w:rPr>
          <w:sz w:val="20"/>
          <w:szCs w:val="20"/>
        </w:rPr>
        <w:t xml:space="preserve"> </w:t>
      </w:r>
      <w:r w:rsidR="00323457" w:rsidRPr="0059638B">
        <w:rPr>
          <w:sz w:val="20"/>
          <w:szCs w:val="20"/>
        </w:rPr>
        <w:t>Hong</w:t>
      </w:r>
      <w:r w:rsidR="00FF41A0">
        <w:rPr>
          <w:sz w:val="20"/>
          <w:szCs w:val="20"/>
        </w:rPr>
        <w:t xml:space="preserve"> </w:t>
      </w:r>
      <w:r w:rsidR="00323457" w:rsidRPr="0059638B">
        <w:rPr>
          <w:sz w:val="20"/>
          <w:szCs w:val="20"/>
        </w:rPr>
        <w:t>Kong</w:t>
      </w:r>
      <w:r w:rsidR="00FF41A0">
        <w:rPr>
          <w:sz w:val="20"/>
          <w:szCs w:val="20"/>
        </w:rPr>
        <w:t xml:space="preserve"> </w:t>
      </w:r>
      <w:r w:rsidR="00323457" w:rsidRPr="0059638B">
        <w:rPr>
          <w:sz w:val="20"/>
          <w:szCs w:val="20"/>
        </w:rPr>
        <w:t>ranked</w:t>
      </w:r>
      <w:r w:rsidR="00FF41A0">
        <w:rPr>
          <w:sz w:val="20"/>
          <w:szCs w:val="20"/>
        </w:rPr>
        <w:t xml:space="preserve"> </w:t>
      </w:r>
      <w:r w:rsidR="00323457" w:rsidRPr="0059638B">
        <w:rPr>
          <w:sz w:val="20"/>
          <w:szCs w:val="20"/>
        </w:rPr>
        <w:t>first</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Asia</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terms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judicial</w:t>
      </w:r>
      <w:r w:rsidR="00FF41A0">
        <w:rPr>
          <w:sz w:val="20"/>
          <w:szCs w:val="20"/>
        </w:rPr>
        <w:t xml:space="preserve"> </w:t>
      </w:r>
      <w:r w:rsidR="00323457" w:rsidRPr="0059638B">
        <w:rPr>
          <w:sz w:val="20"/>
          <w:szCs w:val="20"/>
        </w:rPr>
        <w:t>independence.</w:t>
      </w:r>
      <w:r w:rsidR="00FF41A0">
        <w:rPr>
          <w:sz w:val="20"/>
          <w:szCs w:val="20"/>
        </w:rPr>
        <w:t xml:space="preserve"> </w:t>
      </w:r>
      <w:r w:rsidR="00323457" w:rsidRPr="0059638B">
        <w:rPr>
          <w:sz w:val="20"/>
          <w:szCs w:val="20"/>
        </w:rPr>
        <w:t>Vibrant</w:t>
      </w:r>
      <w:r w:rsidR="00FF41A0">
        <w:rPr>
          <w:sz w:val="20"/>
          <w:szCs w:val="20"/>
        </w:rPr>
        <w:t xml:space="preserve"> </w:t>
      </w:r>
      <w:r w:rsidR="00323457" w:rsidRPr="0059638B">
        <w:rPr>
          <w:sz w:val="20"/>
          <w:szCs w:val="20"/>
        </w:rPr>
        <w:t>Hong</w:t>
      </w:r>
      <w:r w:rsidR="00FF41A0">
        <w:rPr>
          <w:sz w:val="20"/>
          <w:szCs w:val="20"/>
        </w:rPr>
        <w:t xml:space="preserve"> </w:t>
      </w:r>
      <w:r w:rsidR="00323457" w:rsidRPr="0059638B">
        <w:rPr>
          <w:sz w:val="20"/>
          <w:szCs w:val="20"/>
        </w:rPr>
        <w:t>Kong</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world</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freest</w:t>
      </w:r>
      <w:r w:rsidR="00FF41A0">
        <w:rPr>
          <w:sz w:val="20"/>
          <w:szCs w:val="20"/>
        </w:rPr>
        <w:t xml:space="preserve"> </w:t>
      </w:r>
      <w:r w:rsidR="00323457" w:rsidRPr="0059638B">
        <w:rPr>
          <w:sz w:val="20"/>
          <w:szCs w:val="20"/>
        </w:rPr>
        <w:t>economy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one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world</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safest</w:t>
      </w:r>
      <w:r w:rsidR="00FF41A0">
        <w:rPr>
          <w:sz w:val="20"/>
          <w:szCs w:val="20"/>
        </w:rPr>
        <w:t xml:space="preserve"> </w:t>
      </w:r>
      <w:r w:rsidR="00323457" w:rsidRPr="0059638B">
        <w:rPr>
          <w:sz w:val="20"/>
          <w:szCs w:val="20"/>
        </w:rPr>
        <w:t>cities.</w:t>
      </w:r>
      <w:r w:rsidR="00FF41A0">
        <w:rPr>
          <w:sz w:val="20"/>
          <w:szCs w:val="20"/>
        </w:rPr>
        <w:t xml:space="preserve"> </w:t>
      </w:r>
      <w:r w:rsidR="00323457" w:rsidRPr="0059638B">
        <w:rPr>
          <w:sz w:val="20"/>
          <w:szCs w:val="20"/>
        </w:rPr>
        <w:t>Hong</w:t>
      </w:r>
      <w:r w:rsidR="00FF41A0">
        <w:rPr>
          <w:sz w:val="20"/>
          <w:szCs w:val="20"/>
        </w:rPr>
        <w:t xml:space="preserve"> </w:t>
      </w:r>
      <w:r w:rsidR="00323457" w:rsidRPr="0059638B">
        <w:rPr>
          <w:sz w:val="20"/>
          <w:szCs w:val="20"/>
        </w:rPr>
        <w:t>Kong</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firmly</w:t>
      </w:r>
      <w:r w:rsidR="00FF41A0">
        <w:rPr>
          <w:sz w:val="20"/>
          <w:szCs w:val="20"/>
        </w:rPr>
        <w:t xml:space="preserve"> </w:t>
      </w:r>
      <w:r w:rsidR="00323457" w:rsidRPr="0059638B">
        <w:rPr>
          <w:sz w:val="20"/>
          <w:szCs w:val="20"/>
        </w:rPr>
        <w:t>uphold</w:t>
      </w:r>
      <w:r w:rsidR="00FF41A0">
        <w:rPr>
          <w:sz w:val="20"/>
          <w:szCs w:val="20"/>
        </w:rPr>
        <w:t xml:space="preserve"> </w:t>
      </w:r>
      <w:r w:rsidR="00D72627">
        <w:rPr>
          <w:sz w:val="20"/>
          <w:szCs w:val="20"/>
        </w:rPr>
        <w:t>‘</w:t>
      </w:r>
      <w:r w:rsidR="00323457" w:rsidRPr="0059638B">
        <w:rPr>
          <w:sz w:val="20"/>
          <w:szCs w:val="20"/>
        </w:rPr>
        <w:t>one</w:t>
      </w:r>
      <w:r w:rsidR="00FF41A0">
        <w:rPr>
          <w:sz w:val="20"/>
          <w:szCs w:val="20"/>
        </w:rPr>
        <w:t xml:space="preserve"> </w:t>
      </w:r>
      <w:r w:rsidR="00323457" w:rsidRPr="0059638B">
        <w:rPr>
          <w:sz w:val="20"/>
          <w:szCs w:val="20"/>
        </w:rPr>
        <w:t>country</w:t>
      </w:r>
      <w:r w:rsidR="00D72627">
        <w:rPr>
          <w:sz w:val="20"/>
          <w:szCs w:val="20"/>
        </w:rPr>
        <w:t>’</w:t>
      </w:r>
      <w:r w:rsidR="00FF41A0">
        <w:rPr>
          <w:sz w:val="20"/>
          <w:szCs w:val="20"/>
        </w:rPr>
        <w:t xml:space="preserve"> </w:t>
      </w:r>
      <w:r w:rsidR="00323457" w:rsidRPr="0059638B">
        <w:rPr>
          <w:sz w:val="20"/>
          <w:szCs w:val="20"/>
        </w:rPr>
        <w:t>whilst</w:t>
      </w:r>
      <w:r w:rsidR="00FF41A0">
        <w:rPr>
          <w:sz w:val="20"/>
          <w:szCs w:val="20"/>
        </w:rPr>
        <w:t xml:space="preserve"> </w:t>
      </w:r>
      <w:r w:rsidR="00323457" w:rsidRPr="0059638B">
        <w:rPr>
          <w:sz w:val="20"/>
          <w:szCs w:val="20"/>
        </w:rPr>
        <w:t>leveraging</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unique</w:t>
      </w:r>
      <w:r w:rsidR="00FF41A0">
        <w:rPr>
          <w:sz w:val="20"/>
          <w:szCs w:val="20"/>
        </w:rPr>
        <w:t xml:space="preserve"> </w:t>
      </w:r>
      <w:r w:rsidR="00323457" w:rsidRPr="0059638B">
        <w:rPr>
          <w:sz w:val="20"/>
          <w:szCs w:val="20"/>
        </w:rPr>
        <w:t>advantages</w:t>
      </w:r>
      <w:r w:rsidR="00FF41A0">
        <w:rPr>
          <w:sz w:val="20"/>
          <w:szCs w:val="20"/>
        </w:rPr>
        <w:t xml:space="preserve"> </w:t>
      </w:r>
      <w:r w:rsidR="00323457" w:rsidRPr="0059638B">
        <w:rPr>
          <w:sz w:val="20"/>
          <w:szCs w:val="20"/>
        </w:rPr>
        <w:t>under</w:t>
      </w:r>
      <w:r w:rsidR="00FF41A0">
        <w:rPr>
          <w:sz w:val="20"/>
          <w:szCs w:val="20"/>
        </w:rPr>
        <w:t xml:space="preserve"> </w:t>
      </w:r>
      <w:r w:rsidR="00D72627">
        <w:rPr>
          <w:sz w:val="20"/>
          <w:szCs w:val="20"/>
        </w:rPr>
        <w:t>‘</w:t>
      </w:r>
      <w:r w:rsidR="00323457" w:rsidRPr="0059638B">
        <w:rPr>
          <w:sz w:val="20"/>
          <w:szCs w:val="20"/>
        </w:rPr>
        <w:t>two</w:t>
      </w:r>
      <w:r w:rsidR="00FF41A0">
        <w:rPr>
          <w:sz w:val="20"/>
          <w:szCs w:val="20"/>
        </w:rPr>
        <w:t xml:space="preserve"> </w:t>
      </w:r>
      <w:r w:rsidR="00323457" w:rsidRPr="0059638B">
        <w:rPr>
          <w:sz w:val="20"/>
          <w:szCs w:val="20"/>
        </w:rPr>
        <w:t>systems</w:t>
      </w:r>
      <w:r w:rsidR="00D72627">
        <w:rPr>
          <w:sz w:val="20"/>
          <w:szCs w:val="20"/>
        </w:rPr>
        <w:t>’</w:t>
      </w:r>
      <w:r w:rsidR="00323457" w:rsidRPr="0059638B">
        <w:rPr>
          <w:sz w:val="20"/>
          <w:szCs w:val="20"/>
        </w:rPr>
        <w:t>.</w:t>
      </w:r>
    </w:p>
    <w:p w14:paraId="5C816FB6" w14:textId="2EA4B4FD" w:rsidR="00323457" w:rsidRPr="0059638B" w:rsidRDefault="0035721D" w:rsidP="00323457">
      <w:pPr>
        <w:pStyle w:val="SingleTxtG"/>
        <w:rPr>
          <w:sz w:val="20"/>
          <w:szCs w:val="20"/>
        </w:rPr>
      </w:pPr>
      <w:r>
        <w:rPr>
          <w:sz w:val="20"/>
          <w:szCs w:val="20"/>
        </w:rPr>
        <w:t>829</w:t>
      </w:r>
      <w:r w:rsidR="00D7475F">
        <w:rPr>
          <w:sz w:val="20"/>
          <w:szCs w:val="20"/>
        </w:rPr>
        <w:t>.</w:t>
      </w:r>
      <w:r w:rsidR="00D7475F">
        <w:rPr>
          <w:sz w:val="20"/>
          <w:szCs w:val="20"/>
        </w:rPr>
        <w:tab/>
      </w:r>
      <w:r w:rsidR="00323457" w:rsidRPr="0059638B">
        <w:rPr>
          <w:sz w:val="20"/>
          <w:szCs w:val="20"/>
        </w:rPr>
        <w:t>China</w:t>
      </w:r>
      <w:r w:rsidR="00FF41A0">
        <w:rPr>
          <w:sz w:val="20"/>
          <w:szCs w:val="20"/>
        </w:rPr>
        <w:t xml:space="preserve"> </w:t>
      </w:r>
      <w:r w:rsidR="00323457" w:rsidRPr="0059638B">
        <w:rPr>
          <w:sz w:val="20"/>
          <w:szCs w:val="20"/>
        </w:rPr>
        <w:t>further</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regarding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application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Convention</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Migrant</w:t>
      </w:r>
      <w:r w:rsidR="00FF41A0">
        <w:rPr>
          <w:sz w:val="20"/>
          <w:szCs w:val="20"/>
        </w:rPr>
        <w:t xml:space="preserve"> </w:t>
      </w:r>
      <w:r w:rsidR="00323457" w:rsidRPr="0059638B">
        <w:rPr>
          <w:sz w:val="20"/>
          <w:szCs w:val="20"/>
        </w:rPr>
        <w:t>Workers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Members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Their</w:t>
      </w:r>
      <w:r w:rsidR="00FF41A0">
        <w:rPr>
          <w:sz w:val="20"/>
          <w:szCs w:val="20"/>
        </w:rPr>
        <w:t xml:space="preserve"> </w:t>
      </w:r>
      <w:r w:rsidR="00323457" w:rsidRPr="0059638B">
        <w:rPr>
          <w:sz w:val="20"/>
          <w:szCs w:val="20"/>
        </w:rPr>
        <w:t>Families</w:t>
      </w:r>
      <w:r w:rsidR="00FF41A0">
        <w:rPr>
          <w:sz w:val="20"/>
          <w:szCs w:val="20"/>
        </w:rPr>
        <w:t xml:space="preserve"> </w:t>
      </w:r>
      <w:r w:rsidR="00323457" w:rsidRPr="0059638B">
        <w:rPr>
          <w:sz w:val="20"/>
          <w:szCs w:val="20"/>
        </w:rPr>
        <w:t>proposed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Indonesia,</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Macao</w:t>
      </w:r>
      <w:r w:rsidR="00FF41A0">
        <w:rPr>
          <w:sz w:val="20"/>
          <w:szCs w:val="20"/>
        </w:rPr>
        <w:t xml:space="preserve"> </w:t>
      </w:r>
      <w:r w:rsidR="00323457" w:rsidRPr="0059638B">
        <w:rPr>
          <w:sz w:val="20"/>
          <w:szCs w:val="20"/>
        </w:rPr>
        <w:t>Special</w:t>
      </w:r>
      <w:r w:rsidR="00FF41A0">
        <w:rPr>
          <w:sz w:val="20"/>
          <w:szCs w:val="20"/>
        </w:rPr>
        <w:t xml:space="preserve"> </w:t>
      </w:r>
      <w:r w:rsidR="00323457" w:rsidRPr="0059638B">
        <w:rPr>
          <w:sz w:val="20"/>
          <w:szCs w:val="20"/>
        </w:rPr>
        <w:t>Administrative</w:t>
      </w:r>
      <w:r w:rsidR="00FF41A0">
        <w:rPr>
          <w:sz w:val="20"/>
          <w:szCs w:val="20"/>
        </w:rPr>
        <w:t xml:space="preserve"> </w:t>
      </w:r>
      <w:r w:rsidR="00323457" w:rsidRPr="0059638B">
        <w:rPr>
          <w:sz w:val="20"/>
          <w:szCs w:val="20"/>
        </w:rPr>
        <w:t>Region</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at</w:t>
      </w:r>
      <w:r w:rsidR="00FF41A0">
        <w:rPr>
          <w:sz w:val="20"/>
          <w:szCs w:val="20"/>
        </w:rPr>
        <w:t xml:space="preserve"> </w:t>
      </w:r>
      <w:r w:rsidR="00323457" w:rsidRPr="0059638B">
        <w:rPr>
          <w:sz w:val="20"/>
          <w:szCs w:val="20"/>
        </w:rPr>
        <w:t>present</w:t>
      </w:r>
      <w:r w:rsidR="00FF41A0">
        <w:rPr>
          <w:sz w:val="20"/>
          <w:szCs w:val="20"/>
        </w:rPr>
        <w:t xml:space="preserve"> </w:t>
      </w:r>
      <w:r w:rsidR="00323457" w:rsidRPr="0059638B">
        <w:rPr>
          <w:sz w:val="20"/>
          <w:szCs w:val="20"/>
        </w:rPr>
        <w:t>not</w:t>
      </w:r>
      <w:r w:rsidR="00FF41A0">
        <w:rPr>
          <w:sz w:val="20"/>
          <w:szCs w:val="20"/>
        </w:rPr>
        <w:t xml:space="preserve"> </w:t>
      </w:r>
      <w:r w:rsidR="00323457" w:rsidRPr="0059638B">
        <w:rPr>
          <w:sz w:val="20"/>
          <w:szCs w:val="20"/>
        </w:rPr>
        <w:t>able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comply</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requirements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Convention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therefore</w:t>
      </w:r>
      <w:r w:rsidR="00FF41A0">
        <w:rPr>
          <w:sz w:val="20"/>
          <w:szCs w:val="20"/>
        </w:rPr>
        <w:t xml:space="preserve"> </w:t>
      </w:r>
      <w:r w:rsidR="00323457" w:rsidRPr="0059638B">
        <w:rPr>
          <w:sz w:val="20"/>
          <w:szCs w:val="20"/>
        </w:rPr>
        <w:t>could</w:t>
      </w:r>
      <w:r w:rsidR="00FF41A0">
        <w:rPr>
          <w:sz w:val="20"/>
          <w:szCs w:val="20"/>
        </w:rPr>
        <w:t xml:space="preserve"> </w:t>
      </w:r>
      <w:r w:rsidR="00323457" w:rsidRPr="0059638B">
        <w:rPr>
          <w:sz w:val="20"/>
          <w:szCs w:val="20"/>
        </w:rPr>
        <w:t>not</w:t>
      </w:r>
      <w:r w:rsidR="00FF41A0">
        <w:rPr>
          <w:sz w:val="20"/>
          <w:szCs w:val="20"/>
        </w:rPr>
        <w:t xml:space="preserve"> </w:t>
      </w:r>
      <w:r w:rsidR="00323457" w:rsidRPr="0059638B">
        <w:rPr>
          <w:sz w:val="20"/>
          <w:szCs w:val="20"/>
        </w:rPr>
        <w:t>apply</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However,</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should</w:t>
      </w:r>
      <w:r w:rsidR="00FF41A0">
        <w:rPr>
          <w:sz w:val="20"/>
          <w:szCs w:val="20"/>
        </w:rPr>
        <w:t xml:space="preserve"> </w:t>
      </w:r>
      <w:r w:rsidR="00323457" w:rsidRPr="0059638B">
        <w:rPr>
          <w:sz w:val="20"/>
          <w:szCs w:val="20"/>
        </w:rPr>
        <w:t>be</w:t>
      </w:r>
      <w:r w:rsidR="00FF41A0">
        <w:rPr>
          <w:sz w:val="20"/>
          <w:szCs w:val="20"/>
        </w:rPr>
        <w:t xml:space="preserve"> </w:t>
      </w:r>
      <w:r w:rsidR="00323457" w:rsidRPr="0059638B">
        <w:rPr>
          <w:sz w:val="20"/>
          <w:szCs w:val="20"/>
        </w:rPr>
        <w:t>stressed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Macao</w:t>
      </w:r>
      <w:r w:rsidR="00FF41A0">
        <w:rPr>
          <w:sz w:val="20"/>
          <w:szCs w:val="20"/>
        </w:rPr>
        <w:t xml:space="preserve"> </w:t>
      </w:r>
      <w:r w:rsidR="00323457" w:rsidRPr="0059638B">
        <w:rPr>
          <w:sz w:val="20"/>
          <w:szCs w:val="20"/>
        </w:rPr>
        <w:t>SAR</w:t>
      </w:r>
      <w:r w:rsidR="00FF41A0">
        <w:rPr>
          <w:sz w:val="20"/>
          <w:szCs w:val="20"/>
        </w:rPr>
        <w:t xml:space="preserve"> </w:t>
      </w:r>
      <w:r w:rsidR="00323457" w:rsidRPr="0059638B">
        <w:rPr>
          <w:sz w:val="20"/>
          <w:szCs w:val="20"/>
        </w:rPr>
        <w:t>residents</w:t>
      </w:r>
      <w:r w:rsidR="00FF41A0">
        <w:rPr>
          <w:sz w:val="20"/>
          <w:szCs w:val="20"/>
        </w:rPr>
        <w:t xml:space="preserve"> </w:t>
      </w:r>
      <w:r w:rsidR="00323457" w:rsidRPr="0059638B">
        <w:rPr>
          <w:sz w:val="20"/>
          <w:szCs w:val="20"/>
        </w:rPr>
        <w:t>are</w:t>
      </w:r>
      <w:r w:rsidR="00FF41A0">
        <w:rPr>
          <w:sz w:val="20"/>
          <w:szCs w:val="20"/>
        </w:rPr>
        <w:t xml:space="preserve"> </w:t>
      </w:r>
      <w:r w:rsidR="00323457" w:rsidRPr="0059638B">
        <w:rPr>
          <w:sz w:val="20"/>
          <w:szCs w:val="20"/>
        </w:rPr>
        <w:t>equal</w:t>
      </w:r>
      <w:r w:rsidR="00FF41A0">
        <w:rPr>
          <w:sz w:val="20"/>
          <w:szCs w:val="20"/>
        </w:rPr>
        <w:t xml:space="preserve"> </w:t>
      </w:r>
      <w:r w:rsidR="00323457" w:rsidRPr="0059638B">
        <w:rPr>
          <w:sz w:val="20"/>
          <w:szCs w:val="20"/>
        </w:rPr>
        <w:t>before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law,</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are</w:t>
      </w:r>
      <w:r w:rsidR="00FF41A0">
        <w:rPr>
          <w:sz w:val="20"/>
          <w:szCs w:val="20"/>
        </w:rPr>
        <w:t xml:space="preserve"> </w:t>
      </w:r>
      <w:r w:rsidR="00323457" w:rsidRPr="0059638B">
        <w:rPr>
          <w:sz w:val="20"/>
          <w:szCs w:val="20"/>
        </w:rPr>
        <w:t>free</w:t>
      </w:r>
      <w:r w:rsidR="00FF41A0">
        <w:rPr>
          <w:sz w:val="20"/>
          <w:szCs w:val="20"/>
        </w:rPr>
        <w:t xml:space="preserve"> </w:t>
      </w:r>
      <w:r w:rsidR="00323457" w:rsidRPr="0059638B">
        <w:rPr>
          <w:sz w:val="20"/>
          <w:szCs w:val="20"/>
        </w:rPr>
        <w:t>from</w:t>
      </w:r>
      <w:r w:rsidR="00FF41A0">
        <w:rPr>
          <w:sz w:val="20"/>
          <w:szCs w:val="20"/>
        </w:rPr>
        <w:t xml:space="preserve"> </w:t>
      </w:r>
      <w:r w:rsidR="00323457" w:rsidRPr="0059638B">
        <w:rPr>
          <w:sz w:val="20"/>
          <w:szCs w:val="20"/>
        </w:rPr>
        <w:t>discrimination,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their</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freedoms</w:t>
      </w:r>
      <w:r w:rsidR="00FF41A0">
        <w:rPr>
          <w:sz w:val="20"/>
          <w:szCs w:val="20"/>
        </w:rPr>
        <w:t xml:space="preserve"> </w:t>
      </w:r>
      <w:r w:rsidR="00323457" w:rsidRPr="0059638B">
        <w:rPr>
          <w:sz w:val="20"/>
          <w:szCs w:val="20"/>
        </w:rPr>
        <w:t>are</w:t>
      </w:r>
      <w:r w:rsidR="00FF41A0">
        <w:rPr>
          <w:sz w:val="20"/>
          <w:szCs w:val="20"/>
        </w:rPr>
        <w:t xml:space="preserve"> </w:t>
      </w:r>
      <w:r w:rsidR="00323457" w:rsidRPr="0059638B">
        <w:rPr>
          <w:sz w:val="20"/>
          <w:szCs w:val="20"/>
        </w:rPr>
        <w:t>protected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Basic</w:t>
      </w:r>
      <w:r w:rsidR="00FF41A0">
        <w:rPr>
          <w:sz w:val="20"/>
          <w:szCs w:val="20"/>
        </w:rPr>
        <w:t xml:space="preserve"> </w:t>
      </w:r>
      <w:r w:rsidR="00323457" w:rsidRPr="0059638B">
        <w:rPr>
          <w:sz w:val="20"/>
          <w:szCs w:val="20"/>
        </w:rPr>
        <w:t>Law</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Macao</w:t>
      </w:r>
      <w:r w:rsidR="00FF41A0">
        <w:rPr>
          <w:sz w:val="20"/>
          <w:szCs w:val="20"/>
        </w:rPr>
        <w:t xml:space="preserve"> </w:t>
      </w:r>
      <w:r w:rsidR="00323457" w:rsidRPr="0059638B">
        <w:rPr>
          <w:sz w:val="20"/>
          <w:szCs w:val="20"/>
        </w:rPr>
        <w:t>SAR,</w:t>
      </w:r>
      <w:r w:rsidR="00FF41A0">
        <w:rPr>
          <w:sz w:val="20"/>
          <w:szCs w:val="20"/>
        </w:rPr>
        <w:t xml:space="preserve"> </w:t>
      </w:r>
      <w:r w:rsidR="00323457" w:rsidRPr="0059638B">
        <w:rPr>
          <w:sz w:val="20"/>
          <w:szCs w:val="20"/>
        </w:rPr>
        <w:t>applicable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treaties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ordinary</w:t>
      </w:r>
      <w:r w:rsidR="00FF41A0">
        <w:rPr>
          <w:sz w:val="20"/>
          <w:szCs w:val="20"/>
        </w:rPr>
        <w:t xml:space="preserve"> </w:t>
      </w:r>
      <w:r w:rsidR="00323457" w:rsidRPr="0059638B">
        <w:rPr>
          <w:sz w:val="20"/>
          <w:szCs w:val="20"/>
        </w:rPr>
        <w:t>laws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Macao</w:t>
      </w:r>
      <w:r w:rsidR="00FF41A0">
        <w:rPr>
          <w:sz w:val="20"/>
          <w:szCs w:val="20"/>
        </w:rPr>
        <w:t xml:space="preserve"> </w:t>
      </w:r>
      <w:r w:rsidR="00323457" w:rsidRPr="0059638B">
        <w:rPr>
          <w:sz w:val="20"/>
          <w:szCs w:val="20"/>
        </w:rPr>
        <w:t>SAR.</w:t>
      </w:r>
      <w:r w:rsidR="00FF41A0">
        <w:rPr>
          <w:sz w:val="20"/>
          <w:szCs w:val="20"/>
        </w:rPr>
        <w:t xml:space="preserve"> </w:t>
      </w:r>
      <w:r w:rsidR="00323457" w:rsidRPr="0059638B">
        <w:rPr>
          <w:sz w:val="20"/>
          <w:szCs w:val="20"/>
        </w:rPr>
        <w:t>Residents</w:t>
      </w:r>
      <w:r w:rsidR="00FF41A0">
        <w:rPr>
          <w:sz w:val="20"/>
          <w:szCs w:val="20"/>
        </w:rPr>
        <w:t xml:space="preserve"> </w:t>
      </w:r>
      <w:r w:rsidR="00323457" w:rsidRPr="0059638B">
        <w:rPr>
          <w:sz w:val="20"/>
          <w:szCs w:val="20"/>
        </w:rPr>
        <w:t>may</w:t>
      </w:r>
      <w:r w:rsidR="00FF41A0">
        <w:rPr>
          <w:sz w:val="20"/>
          <w:szCs w:val="20"/>
        </w:rPr>
        <w:t xml:space="preserve"> </w:t>
      </w:r>
      <w:r w:rsidR="00323457" w:rsidRPr="0059638B">
        <w:rPr>
          <w:sz w:val="20"/>
          <w:szCs w:val="20"/>
        </w:rPr>
        <w:t>directly</w:t>
      </w:r>
      <w:r w:rsidR="00FF41A0">
        <w:rPr>
          <w:sz w:val="20"/>
          <w:szCs w:val="20"/>
        </w:rPr>
        <w:t xml:space="preserve"> </w:t>
      </w:r>
      <w:r w:rsidR="00323457" w:rsidRPr="0059638B">
        <w:rPr>
          <w:sz w:val="20"/>
          <w:szCs w:val="20"/>
        </w:rPr>
        <w:t>invoke</w:t>
      </w:r>
      <w:r w:rsidR="00FF41A0">
        <w:rPr>
          <w:sz w:val="20"/>
          <w:szCs w:val="20"/>
        </w:rPr>
        <w:t xml:space="preserve"> </w:t>
      </w:r>
      <w:r w:rsidR="00323457" w:rsidRPr="0059638B">
        <w:rPr>
          <w:sz w:val="20"/>
          <w:szCs w:val="20"/>
        </w:rPr>
        <w:t>legal</w:t>
      </w:r>
      <w:r w:rsidR="00FF41A0">
        <w:rPr>
          <w:sz w:val="20"/>
          <w:szCs w:val="20"/>
        </w:rPr>
        <w:t xml:space="preserve"> </w:t>
      </w:r>
      <w:r w:rsidR="00323457" w:rsidRPr="0059638B">
        <w:rPr>
          <w:sz w:val="20"/>
          <w:szCs w:val="20"/>
        </w:rPr>
        <w:t>provisions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safeguard</w:t>
      </w:r>
      <w:r w:rsidR="00FF41A0">
        <w:rPr>
          <w:sz w:val="20"/>
          <w:szCs w:val="20"/>
        </w:rPr>
        <w:t xml:space="preserve"> </w:t>
      </w:r>
      <w:r w:rsidR="00323457" w:rsidRPr="0059638B">
        <w:rPr>
          <w:sz w:val="20"/>
          <w:szCs w:val="20"/>
        </w:rPr>
        <w:t>their</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case</w:t>
      </w:r>
      <w:r w:rsidR="00FF41A0">
        <w:rPr>
          <w:sz w:val="20"/>
          <w:szCs w:val="20"/>
        </w:rPr>
        <w:t xml:space="preserve"> </w:t>
      </w:r>
      <w:r w:rsidR="00323457" w:rsidRPr="0059638B">
        <w:rPr>
          <w:sz w:val="20"/>
          <w:szCs w:val="20"/>
        </w:rPr>
        <w:t>residents</w:t>
      </w:r>
      <w:r w:rsidR="00FF41A0">
        <w:rPr>
          <w:sz w:val="20"/>
          <w:szCs w:val="20"/>
        </w:rPr>
        <w:t xml:space="preserve"> </w:t>
      </w:r>
      <w:r w:rsidR="00323457" w:rsidRPr="0059638B">
        <w:rPr>
          <w:sz w:val="20"/>
          <w:szCs w:val="20"/>
        </w:rPr>
        <w:t>lack</w:t>
      </w:r>
      <w:r w:rsidR="00FF41A0">
        <w:rPr>
          <w:sz w:val="20"/>
          <w:szCs w:val="20"/>
        </w:rPr>
        <w:t xml:space="preserve"> </w:t>
      </w:r>
      <w:r w:rsidR="00323457" w:rsidRPr="0059638B">
        <w:rPr>
          <w:sz w:val="20"/>
          <w:szCs w:val="20"/>
        </w:rPr>
        <w:t>sufficient</w:t>
      </w:r>
      <w:r w:rsidR="00FF41A0">
        <w:rPr>
          <w:sz w:val="20"/>
          <w:szCs w:val="20"/>
        </w:rPr>
        <w:t xml:space="preserve"> </w:t>
      </w:r>
      <w:r w:rsidR="00323457" w:rsidRPr="0059638B">
        <w:rPr>
          <w:sz w:val="20"/>
          <w:szCs w:val="20"/>
        </w:rPr>
        <w:t>financial</w:t>
      </w:r>
      <w:r w:rsidR="00FF41A0">
        <w:rPr>
          <w:sz w:val="20"/>
          <w:szCs w:val="20"/>
        </w:rPr>
        <w:t xml:space="preserve"> </w:t>
      </w:r>
      <w:r w:rsidR="00323457" w:rsidRPr="0059638B">
        <w:rPr>
          <w:sz w:val="20"/>
          <w:szCs w:val="20"/>
        </w:rPr>
        <w:t>means,</w:t>
      </w:r>
      <w:r w:rsidR="00FF41A0">
        <w:rPr>
          <w:sz w:val="20"/>
          <w:szCs w:val="20"/>
        </w:rPr>
        <w:t xml:space="preserve"> </w:t>
      </w:r>
      <w:r w:rsidR="00323457" w:rsidRPr="0059638B">
        <w:rPr>
          <w:sz w:val="20"/>
          <w:szCs w:val="20"/>
        </w:rPr>
        <w:t>they</w:t>
      </w:r>
      <w:r w:rsidR="00FF41A0">
        <w:rPr>
          <w:sz w:val="20"/>
          <w:szCs w:val="20"/>
        </w:rPr>
        <w:t xml:space="preserve"> </w:t>
      </w:r>
      <w:r w:rsidR="00323457" w:rsidRPr="0059638B">
        <w:rPr>
          <w:sz w:val="20"/>
          <w:szCs w:val="20"/>
        </w:rPr>
        <w:t>may</w:t>
      </w:r>
      <w:r w:rsidR="00FF41A0">
        <w:rPr>
          <w:sz w:val="20"/>
          <w:szCs w:val="20"/>
        </w:rPr>
        <w:t xml:space="preserve"> </w:t>
      </w:r>
      <w:r w:rsidR="00323457" w:rsidRPr="0059638B">
        <w:rPr>
          <w:sz w:val="20"/>
          <w:szCs w:val="20"/>
        </w:rPr>
        <w:t>apply</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legal</w:t>
      </w:r>
      <w:r w:rsidR="00FF41A0">
        <w:rPr>
          <w:sz w:val="20"/>
          <w:szCs w:val="20"/>
        </w:rPr>
        <w:t xml:space="preserve"> </w:t>
      </w:r>
      <w:r w:rsidR="00323457" w:rsidRPr="0059638B">
        <w:rPr>
          <w:sz w:val="20"/>
          <w:szCs w:val="20"/>
        </w:rPr>
        <w:t>aid.</w:t>
      </w:r>
    </w:p>
    <w:p w14:paraId="6CA78264" w14:textId="52397097" w:rsidR="00323457" w:rsidRPr="0059638B" w:rsidRDefault="00D7475F" w:rsidP="00323457">
      <w:pPr>
        <w:pStyle w:val="H23G"/>
        <w:rPr>
          <w:sz w:val="20"/>
          <w:szCs w:val="20"/>
        </w:rPr>
      </w:pPr>
      <w:r>
        <w:rPr>
          <w:sz w:val="20"/>
          <w:szCs w:val="20"/>
        </w:rPr>
        <w:tab/>
      </w:r>
      <w:r w:rsidR="00323457" w:rsidRPr="0059638B">
        <w:rPr>
          <w:sz w:val="20"/>
          <w:szCs w:val="20"/>
        </w:rPr>
        <w:t>2.</w:t>
      </w:r>
      <w:r w:rsidR="00323457" w:rsidRPr="0059638B">
        <w:rPr>
          <w:sz w:val="20"/>
          <w:szCs w:val="20"/>
        </w:rPr>
        <w:tab/>
        <w:t>Views</w:t>
      </w:r>
      <w:r w:rsidR="00FF41A0">
        <w:rPr>
          <w:sz w:val="20"/>
          <w:szCs w:val="20"/>
        </w:rPr>
        <w:t xml:space="preserve"> </w:t>
      </w:r>
      <w:r w:rsidR="00323457" w:rsidRPr="0059638B">
        <w:rPr>
          <w:sz w:val="20"/>
          <w:szCs w:val="20"/>
        </w:rPr>
        <w:t>expressed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Member</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observer</w:t>
      </w:r>
      <w:r w:rsidR="00FF41A0">
        <w:rPr>
          <w:sz w:val="20"/>
          <w:szCs w:val="20"/>
        </w:rPr>
        <w:t xml:space="preserve"> </w:t>
      </w:r>
      <w:r w:rsidR="00323457" w:rsidRPr="0059638B">
        <w:rPr>
          <w:sz w:val="20"/>
          <w:szCs w:val="20"/>
        </w:rPr>
        <w:t>States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Council</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outcome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p>
    <w:p w14:paraId="71421808" w14:textId="75AB85AB" w:rsidR="00323457" w:rsidRPr="0059638B" w:rsidRDefault="0035721D" w:rsidP="00323457">
      <w:pPr>
        <w:pStyle w:val="SingleTxtG"/>
        <w:rPr>
          <w:sz w:val="20"/>
          <w:szCs w:val="20"/>
        </w:rPr>
      </w:pPr>
      <w:r>
        <w:rPr>
          <w:sz w:val="20"/>
          <w:szCs w:val="20"/>
        </w:rPr>
        <w:t>830</w:t>
      </w:r>
      <w:r w:rsidR="00D7475F">
        <w:rPr>
          <w:sz w:val="20"/>
          <w:szCs w:val="20"/>
        </w:rPr>
        <w:t>.</w:t>
      </w:r>
      <w:r w:rsidR="00D7475F">
        <w:rPr>
          <w:sz w:val="20"/>
          <w:szCs w:val="20"/>
        </w:rPr>
        <w:tab/>
      </w:r>
      <w:r w:rsidR="00323457" w:rsidRPr="0059638B">
        <w:rPr>
          <w:sz w:val="20"/>
          <w:szCs w:val="20"/>
        </w:rPr>
        <w:t>During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adoption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outcome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13</w:t>
      </w:r>
      <w:r w:rsidR="00FF41A0">
        <w:rPr>
          <w:sz w:val="20"/>
          <w:szCs w:val="20"/>
        </w:rPr>
        <w:t xml:space="preserve"> </w:t>
      </w:r>
      <w:r w:rsidR="00323457" w:rsidRPr="0059638B">
        <w:rPr>
          <w:sz w:val="20"/>
          <w:szCs w:val="20"/>
        </w:rPr>
        <w:t>delegations</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statements.</w:t>
      </w:r>
      <w:r w:rsidR="000943B0" w:rsidRPr="000943B0">
        <w:rPr>
          <w:rStyle w:val="FootnoteReference"/>
          <w:sz w:val="20"/>
          <w:szCs w:val="20"/>
          <w:vertAlign w:val="baseline"/>
        </w:rPr>
        <w:footnoteReference w:customMarkFollows="1" w:id="60"/>
        <w:t>**</w:t>
      </w:r>
      <w:r w:rsidR="00FF41A0">
        <w:rPr>
          <w:sz w:val="20"/>
          <w:szCs w:val="20"/>
        </w:rPr>
        <w:t xml:space="preserve"> </w:t>
      </w:r>
    </w:p>
    <w:p w14:paraId="0FA0E5B8" w14:textId="237F28B2" w:rsidR="00323457" w:rsidRPr="0059638B" w:rsidRDefault="0035721D" w:rsidP="00323457">
      <w:pPr>
        <w:pStyle w:val="SingleTxtG"/>
        <w:rPr>
          <w:sz w:val="20"/>
          <w:szCs w:val="20"/>
        </w:rPr>
      </w:pPr>
      <w:r>
        <w:rPr>
          <w:sz w:val="20"/>
          <w:szCs w:val="20"/>
        </w:rPr>
        <w:t>831</w:t>
      </w:r>
      <w:r w:rsidR="00D226AB">
        <w:rPr>
          <w:sz w:val="20"/>
          <w:szCs w:val="20"/>
        </w:rPr>
        <w:t>.</w:t>
      </w:r>
      <w:r w:rsidR="00D226AB">
        <w:rPr>
          <w:sz w:val="20"/>
          <w:szCs w:val="20"/>
        </w:rPr>
        <w:tab/>
      </w:r>
      <w:r w:rsidR="00323457" w:rsidRPr="0059638B">
        <w:rPr>
          <w:sz w:val="20"/>
          <w:szCs w:val="20"/>
        </w:rPr>
        <w:t>Mali</w:t>
      </w:r>
      <w:r w:rsidR="00FF41A0">
        <w:rPr>
          <w:sz w:val="20"/>
          <w:szCs w:val="20"/>
        </w:rPr>
        <w:t xml:space="preserve"> </w:t>
      </w:r>
      <w:r w:rsidR="00323457" w:rsidRPr="0059638B">
        <w:rPr>
          <w:sz w:val="20"/>
          <w:szCs w:val="20"/>
        </w:rPr>
        <w:t>commended</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important</w:t>
      </w:r>
      <w:r w:rsidR="00FF41A0">
        <w:rPr>
          <w:sz w:val="20"/>
          <w:szCs w:val="20"/>
        </w:rPr>
        <w:t xml:space="preserve"> </w:t>
      </w:r>
      <w:r w:rsidR="00323457" w:rsidRPr="0059638B">
        <w:rPr>
          <w:sz w:val="20"/>
          <w:szCs w:val="20"/>
        </w:rPr>
        <w:t>progress</w:t>
      </w:r>
      <w:r w:rsidR="00FF41A0">
        <w:rPr>
          <w:sz w:val="20"/>
          <w:szCs w:val="20"/>
        </w:rPr>
        <w:t xml:space="preserve"> </w:t>
      </w:r>
      <w:r w:rsidR="00323457" w:rsidRPr="0059638B">
        <w:rPr>
          <w:sz w:val="20"/>
          <w:szCs w:val="20"/>
        </w:rPr>
        <w:t>achieved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promoting</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protecting</w:t>
      </w:r>
      <w:r w:rsidR="00FF41A0">
        <w:rPr>
          <w:sz w:val="20"/>
          <w:szCs w:val="20"/>
        </w:rPr>
        <w:t xml:space="preserve"> </w:t>
      </w:r>
      <w:r w:rsidR="00323457" w:rsidRPr="0059638B">
        <w:rPr>
          <w:sz w:val="20"/>
          <w:szCs w:val="20"/>
        </w:rPr>
        <w:t>economic,</w:t>
      </w:r>
      <w:r w:rsidR="00FF41A0">
        <w:rPr>
          <w:sz w:val="20"/>
          <w:szCs w:val="20"/>
        </w:rPr>
        <w:t xml:space="preserve"> </w:t>
      </w:r>
      <w:r w:rsidR="00323457" w:rsidRPr="0059638B">
        <w:rPr>
          <w:sz w:val="20"/>
          <w:szCs w:val="20"/>
        </w:rPr>
        <w:t>social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cultural</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through</w:t>
      </w:r>
      <w:r w:rsidR="00FF41A0">
        <w:rPr>
          <w:sz w:val="20"/>
          <w:szCs w:val="20"/>
        </w:rPr>
        <w:t xml:space="preserve"> </w:t>
      </w:r>
      <w:r w:rsidR="00323457" w:rsidRPr="0059638B">
        <w:rPr>
          <w:sz w:val="20"/>
          <w:szCs w:val="20"/>
        </w:rPr>
        <w:t>implementing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3rd</w:t>
      </w:r>
      <w:r w:rsidR="00FF41A0">
        <w:rPr>
          <w:sz w:val="20"/>
          <w:szCs w:val="20"/>
        </w:rPr>
        <w:t xml:space="preserve"> </w:t>
      </w:r>
      <w:proofErr w:type="gramStart"/>
      <w:r w:rsidR="00323457" w:rsidRPr="0059638B">
        <w:rPr>
          <w:sz w:val="20"/>
          <w:szCs w:val="20"/>
        </w:rPr>
        <w:t>five-yea</w:t>
      </w:r>
      <w:r w:rsidR="00D226AB">
        <w:rPr>
          <w:sz w:val="20"/>
          <w:szCs w:val="20"/>
        </w:rPr>
        <w:t>r</w:t>
      </w:r>
      <w:r w:rsidR="00323457" w:rsidRPr="0059638B">
        <w:rPr>
          <w:sz w:val="20"/>
          <w:szCs w:val="20"/>
        </w:rPr>
        <w:t>s</w:t>
      </w:r>
      <w:proofErr w:type="gramEnd"/>
      <w:r w:rsidR="00FF41A0">
        <w:rPr>
          <w:sz w:val="20"/>
          <w:szCs w:val="20"/>
        </w:rPr>
        <w:t xml:space="preserve"> </w:t>
      </w:r>
      <w:r w:rsidR="00323457" w:rsidRPr="0059638B">
        <w:rPr>
          <w:sz w:val="20"/>
          <w:szCs w:val="20"/>
        </w:rPr>
        <w:t>Economic</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Social</w:t>
      </w:r>
      <w:r w:rsidR="00FF41A0">
        <w:rPr>
          <w:sz w:val="20"/>
          <w:szCs w:val="20"/>
        </w:rPr>
        <w:t xml:space="preserve"> </w:t>
      </w:r>
      <w:r w:rsidR="00323457" w:rsidRPr="0059638B">
        <w:rPr>
          <w:sz w:val="20"/>
          <w:szCs w:val="20"/>
        </w:rPr>
        <w:t>Development</w:t>
      </w:r>
      <w:r w:rsidR="00FF41A0">
        <w:rPr>
          <w:sz w:val="20"/>
          <w:szCs w:val="20"/>
        </w:rPr>
        <w:t xml:space="preserve"> </w:t>
      </w:r>
      <w:r w:rsidR="00323457" w:rsidRPr="0059638B">
        <w:rPr>
          <w:sz w:val="20"/>
          <w:szCs w:val="20"/>
        </w:rPr>
        <w:t>Plan.</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progress</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implementing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3rd</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Action</w:t>
      </w:r>
      <w:r w:rsidR="00FF41A0">
        <w:rPr>
          <w:sz w:val="20"/>
          <w:szCs w:val="20"/>
        </w:rPr>
        <w:t xml:space="preserve"> </w:t>
      </w:r>
      <w:r w:rsidR="00323457" w:rsidRPr="0059638B">
        <w:rPr>
          <w:sz w:val="20"/>
          <w:szCs w:val="20"/>
        </w:rPr>
        <w:t>Plan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Law</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domestic</w:t>
      </w:r>
      <w:r w:rsidR="00FF41A0">
        <w:rPr>
          <w:sz w:val="20"/>
          <w:szCs w:val="20"/>
        </w:rPr>
        <w:t xml:space="preserve"> </w:t>
      </w:r>
      <w:r w:rsidR="00323457" w:rsidRPr="0059638B">
        <w:rPr>
          <w:sz w:val="20"/>
          <w:szCs w:val="20"/>
        </w:rPr>
        <w:t>violence,</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well</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repealing</w:t>
      </w:r>
      <w:r w:rsidR="00FF41A0">
        <w:rPr>
          <w:sz w:val="20"/>
          <w:szCs w:val="20"/>
        </w:rPr>
        <w:t xml:space="preserve"> </w:t>
      </w:r>
      <w:r w:rsidR="00323457" w:rsidRPr="0059638B">
        <w:rPr>
          <w:sz w:val="20"/>
          <w:szCs w:val="20"/>
        </w:rPr>
        <w:t>legal</w:t>
      </w:r>
      <w:r w:rsidR="00FF41A0">
        <w:rPr>
          <w:sz w:val="20"/>
          <w:szCs w:val="20"/>
        </w:rPr>
        <w:t xml:space="preserve"> </w:t>
      </w:r>
      <w:r w:rsidR="00323457" w:rsidRPr="0059638B">
        <w:rPr>
          <w:sz w:val="20"/>
          <w:szCs w:val="20"/>
        </w:rPr>
        <w:t>provisions</w:t>
      </w:r>
      <w:r w:rsidR="00FF41A0">
        <w:rPr>
          <w:sz w:val="20"/>
          <w:szCs w:val="20"/>
        </w:rPr>
        <w:t xml:space="preserve"> </w:t>
      </w:r>
      <w:r w:rsidR="00323457" w:rsidRPr="0059638B">
        <w:rPr>
          <w:sz w:val="20"/>
          <w:szCs w:val="20"/>
        </w:rPr>
        <w:t>regarding</w:t>
      </w:r>
      <w:r w:rsidR="00FF41A0">
        <w:rPr>
          <w:sz w:val="20"/>
          <w:szCs w:val="20"/>
        </w:rPr>
        <w:t xml:space="preserve"> </w:t>
      </w:r>
      <w:r w:rsidR="00323457" w:rsidRPr="0059638B">
        <w:rPr>
          <w:sz w:val="20"/>
          <w:szCs w:val="20"/>
        </w:rPr>
        <w:t>labour</w:t>
      </w:r>
      <w:r w:rsidR="00FF41A0">
        <w:rPr>
          <w:sz w:val="20"/>
          <w:szCs w:val="20"/>
        </w:rPr>
        <w:t xml:space="preserve"> </w:t>
      </w:r>
      <w:r w:rsidR="00323457" w:rsidRPr="0059638B">
        <w:rPr>
          <w:sz w:val="20"/>
          <w:szCs w:val="20"/>
        </w:rPr>
        <w:t>re-education.</w:t>
      </w:r>
      <w:r w:rsidR="00FF41A0">
        <w:rPr>
          <w:sz w:val="20"/>
          <w:szCs w:val="20"/>
        </w:rPr>
        <w:t xml:space="preserve"> </w:t>
      </w:r>
    </w:p>
    <w:p w14:paraId="2A996C3B" w14:textId="59C59DFD" w:rsidR="00323457" w:rsidRPr="0059638B" w:rsidRDefault="0035721D" w:rsidP="00323457">
      <w:pPr>
        <w:pStyle w:val="SingleTxtG"/>
        <w:rPr>
          <w:sz w:val="20"/>
          <w:szCs w:val="20"/>
        </w:rPr>
      </w:pPr>
      <w:r>
        <w:rPr>
          <w:sz w:val="20"/>
          <w:szCs w:val="20"/>
        </w:rPr>
        <w:lastRenderedPageBreak/>
        <w:t>832</w:t>
      </w:r>
      <w:r w:rsidR="00D226AB">
        <w:rPr>
          <w:sz w:val="20"/>
          <w:szCs w:val="20"/>
        </w:rPr>
        <w:t>.</w:t>
      </w:r>
      <w:r w:rsidR="00D226AB">
        <w:rPr>
          <w:sz w:val="20"/>
          <w:szCs w:val="20"/>
        </w:rPr>
        <w:tab/>
      </w:r>
      <w:r w:rsidR="00323457" w:rsidRPr="0059638B">
        <w:rPr>
          <w:sz w:val="20"/>
          <w:szCs w:val="20"/>
        </w:rPr>
        <w:t>Mauritania</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attached</w:t>
      </w:r>
      <w:r w:rsidR="00FF41A0">
        <w:rPr>
          <w:sz w:val="20"/>
          <w:szCs w:val="20"/>
        </w:rPr>
        <w:t xml:space="preserve"> </w:t>
      </w:r>
      <w:r w:rsidR="00323457" w:rsidRPr="0059638B">
        <w:rPr>
          <w:sz w:val="20"/>
          <w:szCs w:val="20"/>
        </w:rPr>
        <w:t>great</w:t>
      </w:r>
      <w:r w:rsidR="00FF41A0">
        <w:rPr>
          <w:sz w:val="20"/>
          <w:szCs w:val="20"/>
        </w:rPr>
        <w:t xml:space="preserve"> </w:t>
      </w:r>
      <w:r w:rsidR="00323457" w:rsidRPr="0059638B">
        <w:rPr>
          <w:sz w:val="20"/>
          <w:szCs w:val="20"/>
        </w:rPr>
        <w:t>importance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implementing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2030</w:t>
      </w:r>
      <w:r w:rsidR="00FF41A0">
        <w:rPr>
          <w:sz w:val="20"/>
          <w:szCs w:val="20"/>
        </w:rPr>
        <w:t xml:space="preserve"> </w:t>
      </w:r>
      <w:r w:rsidR="00323457" w:rsidRPr="0059638B">
        <w:rPr>
          <w:sz w:val="20"/>
          <w:szCs w:val="20"/>
        </w:rPr>
        <w:t>Agenda</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Sustainable</w:t>
      </w:r>
      <w:r w:rsidR="00FF41A0">
        <w:rPr>
          <w:sz w:val="20"/>
          <w:szCs w:val="20"/>
        </w:rPr>
        <w:t xml:space="preserve"> </w:t>
      </w:r>
      <w:r w:rsidR="00323457" w:rsidRPr="0059638B">
        <w:rPr>
          <w:sz w:val="20"/>
          <w:szCs w:val="20"/>
        </w:rPr>
        <w:t>Development.</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promote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protect</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through</w:t>
      </w:r>
      <w:r w:rsidR="00FF41A0">
        <w:rPr>
          <w:sz w:val="20"/>
          <w:szCs w:val="20"/>
        </w:rPr>
        <w:t xml:space="preserve"> </w:t>
      </w:r>
      <w:r w:rsidR="00323457" w:rsidRPr="0059638B">
        <w:rPr>
          <w:sz w:val="20"/>
          <w:szCs w:val="20"/>
        </w:rPr>
        <w:t>improving</w:t>
      </w:r>
      <w:r w:rsidR="00FF41A0">
        <w:rPr>
          <w:sz w:val="20"/>
          <w:szCs w:val="20"/>
        </w:rPr>
        <w:t xml:space="preserve"> </w:t>
      </w:r>
      <w:r w:rsidR="00323457" w:rsidRPr="0059638B">
        <w:rPr>
          <w:sz w:val="20"/>
          <w:szCs w:val="20"/>
        </w:rPr>
        <w:t>legal,</w:t>
      </w:r>
      <w:r w:rsidR="00FF41A0">
        <w:rPr>
          <w:sz w:val="20"/>
          <w:szCs w:val="20"/>
        </w:rPr>
        <w:t xml:space="preserve"> </w:t>
      </w:r>
      <w:r w:rsidR="00323457" w:rsidRPr="0059638B">
        <w:rPr>
          <w:sz w:val="20"/>
          <w:szCs w:val="20"/>
        </w:rPr>
        <w:t>administrative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political</w:t>
      </w:r>
      <w:r w:rsidR="00FF41A0">
        <w:rPr>
          <w:sz w:val="20"/>
          <w:szCs w:val="20"/>
        </w:rPr>
        <w:t xml:space="preserve"> </w:t>
      </w:r>
      <w:r w:rsidR="00323457" w:rsidRPr="0059638B">
        <w:rPr>
          <w:sz w:val="20"/>
          <w:szCs w:val="20"/>
        </w:rPr>
        <w:t>regulations.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adoption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3rd</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Action</w:t>
      </w:r>
      <w:r w:rsidR="00FF41A0">
        <w:rPr>
          <w:sz w:val="20"/>
          <w:szCs w:val="20"/>
        </w:rPr>
        <w:t xml:space="preserve"> </w:t>
      </w:r>
      <w:r w:rsidR="00323457" w:rsidRPr="0059638B">
        <w:rPr>
          <w:sz w:val="20"/>
          <w:szCs w:val="20"/>
        </w:rPr>
        <w:t>Plan.</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further</w:t>
      </w:r>
      <w:r w:rsidR="00FF41A0">
        <w:rPr>
          <w:sz w:val="20"/>
          <w:szCs w:val="20"/>
        </w:rPr>
        <w:t xml:space="preserve"> </w:t>
      </w:r>
      <w:r w:rsidR="00323457" w:rsidRPr="0059638B">
        <w:rPr>
          <w:sz w:val="20"/>
          <w:szCs w:val="20"/>
        </w:rPr>
        <w:t>commended</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support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developing</w:t>
      </w:r>
      <w:r w:rsidR="00FF41A0">
        <w:rPr>
          <w:sz w:val="20"/>
          <w:szCs w:val="20"/>
        </w:rPr>
        <w:t xml:space="preserve"> </w:t>
      </w:r>
      <w:r w:rsidR="00323457" w:rsidRPr="0059638B">
        <w:rPr>
          <w:sz w:val="20"/>
          <w:szCs w:val="20"/>
        </w:rPr>
        <w:t>countries.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appreciated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call</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respecting</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promoting</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cooperation</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basis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equality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mutual</w:t>
      </w:r>
      <w:r w:rsidR="00FF41A0">
        <w:rPr>
          <w:sz w:val="20"/>
          <w:szCs w:val="20"/>
        </w:rPr>
        <w:t xml:space="preserve"> </w:t>
      </w:r>
      <w:r w:rsidR="00323457" w:rsidRPr="0059638B">
        <w:rPr>
          <w:sz w:val="20"/>
          <w:szCs w:val="20"/>
        </w:rPr>
        <w:t>respect.</w:t>
      </w:r>
      <w:r w:rsidR="00FF41A0">
        <w:rPr>
          <w:sz w:val="20"/>
          <w:szCs w:val="20"/>
        </w:rPr>
        <w:t xml:space="preserve"> </w:t>
      </w:r>
    </w:p>
    <w:p w14:paraId="5AD9E99A" w14:textId="620E6173" w:rsidR="00323457" w:rsidRPr="0059638B" w:rsidRDefault="0035721D" w:rsidP="00323457">
      <w:pPr>
        <w:pStyle w:val="SingleTxtG"/>
        <w:rPr>
          <w:sz w:val="20"/>
          <w:szCs w:val="20"/>
        </w:rPr>
      </w:pPr>
      <w:r>
        <w:rPr>
          <w:sz w:val="20"/>
          <w:szCs w:val="20"/>
        </w:rPr>
        <w:t>833</w:t>
      </w:r>
      <w:r w:rsidR="00D226AB">
        <w:rPr>
          <w:sz w:val="20"/>
          <w:szCs w:val="20"/>
        </w:rPr>
        <w:t>.</w:t>
      </w:r>
      <w:r w:rsidR="00D226AB">
        <w:rPr>
          <w:sz w:val="20"/>
          <w:szCs w:val="20"/>
        </w:rPr>
        <w:tab/>
      </w:r>
      <w:r w:rsidR="00323457" w:rsidRPr="0059638B">
        <w:rPr>
          <w:sz w:val="20"/>
          <w:szCs w:val="20"/>
        </w:rPr>
        <w:t>Mauritius</w:t>
      </w:r>
      <w:r w:rsidR="00FF41A0">
        <w:rPr>
          <w:sz w:val="20"/>
          <w:szCs w:val="20"/>
        </w:rPr>
        <w:t xml:space="preserve"> </w:t>
      </w:r>
      <w:r w:rsidR="00323457" w:rsidRPr="0059638B">
        <w:rPr>
          <w:sz w:val="20"/>
          <w:szCs w:val="20"/>
        </w:rPr>
        <w:t>commended</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initiatives</w:t>
      </w:r>
      <w:r w:rsidR="00FF41A0">
        <w:rPr>
          <w:sz w:val="20"/>
          <w:szCs w:val="20"/>
        </w:rPr>
        <w:t xml:space="preserve"> </w:t>
      </w:r>
      <w:r w:rsidR="00323457" w:rsidRPr="0059638B">
        <w:rPr>
          <w:sz w:val="20"/>
          <w:szCs w:val="20"/>
        </w:rPr>
        <w:t>towards</w:t>
      </w:r>
      <w:r w:rsidR="00FF41A0">
        <w:rPr>
          <w:sz w:val="20"/>
          <w:szCs w:val="20"/>
        </w:rPr>
        <w:t xml:space="preserve"> </w:t>
      </w:r>
      <w:r w:rsidR="00323457" w:rsidRPr="0059638B">
        <w:rPr>
          <w:sz w:val="20"/>
          <w:szCs w:val="20"/>
        </w:rPr>
        <w:t>an</w:t>
      </w:r>
      <w:r w:rsidR="00FF41A0">
        <w:rPr>
          <w:sz w:val="20"/>
          <w:szCs w:val="20"/>
        </w:rPr>
        <w:t xml:space="preserve"> </w:t>
      </w:r>
      <w:r w:rsidR="00323457" w:rsidRPr="0059638B">
        <w:rPr>
          <w:sz w:val="20"/>
          <w:szCs w:val="20"/>
        </w:rPr>
        <w:t>inclusive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equitable</w:t>
      </w:r>
      <w:r w:rsidR="00FF41A0">
        <w:rPr>
          <w:sz w:val="20"/>
          <w:szCs w:val="20"/>
        </w:rPr>
        <w:t xml:space="preserve"> </w:t>
      </w:r>
      <w:r w:rsidR="00323457" w:rsidRPr="0059638B">
        <w:rPr>
          <w:sz w:val="20"/>
          <w:szCs w:val="20"/>
        </w:rPr>
        <w:t>growth.</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highlighted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steps</w:t>
      </w:r>
      <w:r w:rsidR="00FF41A0">
        <w:rPr>
          <w:sz w:val="20"/>
          <w:szCs w:val="20"/>
        </w:rPr>
        <w:t xml:space="preserve"> </w:t>
      </w:r>
      <w:r w:rsidR="00323457" w:rsidRPr="0059638B">
        <w:rPr>
          <w:sz w:val="20"/>
          <w:szCs w:val="20"/>
        </w:rPr>
        <w:t>taken</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contribute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building</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just,</w:t>
      </w:r>
      <w:r w:rsidR="00FF41A0">
        <w:rPr>
          <w:sz w:val="20"/>
          <w:szCs w:val="20"/>
        </w:rPr>
        <w:t xml:space="preserve"> </w:t>
      </w:r>
      <w:r w:rsidR="00323457" w:rsidRPr="0059638B">
        <w:rPr>
          <w:sz w:val="20"/>
          <w:szCs w:val="20"/>
        </w:rPr>
        <w:t>fair</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prosperous</w:t>
      </w:r>
      <w:r w:rsidR="00FF41A0">
        <w:rPr>
          <w:sz w:val="20"/>
          <w:szCs w:val="20"/>
        </w:rPr>
        <w:t xml:space="preserve"> </w:t>
      </w:r>
      <w:r w:rsidR="00323457" w:rsidRPr="0059638B">
        <w:rPr>
          <w:sz w:val="20"/>
          <w:szCs w:val="20"/>
        </w:rPr>
        <w:t>Chinese</w:t>
      </w:r>
      <w:r w:rsidR="00FF41A0">
        <w:rPr>
          <w:sz w:val="20"/>
          <w:szCs w:val="20"/>
        </w:rPr>
        <w:t xml:space="preserve"> </w:t>
      </w:r>
      <w:r w:rsidR="00323457" w:rsidRPr="0059638B">
        <w:rPr>
          <w:sz w:val="20"/>
          <w:szCs w:val="20"/>
        </w:rPr>
        <w:t>society</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line</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2030</w:t>
      </w:r>
      <w:r w:rsidR="00FF41A0">
        <w:rPr>
          <w:sz w:val="20"/>
          <w:szCs w:val="20"/>
        </w:rPr>
        <w:t xml:space="preserve"> </w:t>
      </w:r>
      <w:r w:rsidR="00323457" w:rsidRPr="0059638B">
        <w:rPr>
          <w:sz w:val="20"/>
          <w:szCs w:val="20"/>
        </w:rPr>
        <w:t>Agenda</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Sustainable</w:t>
      </w:r>
      <w:r w:rsidR="00FF41A0">
        <w:rPr>
          <w:sz w:val="20"/>
          <w:szCs w:val="20"/>
        </w:rPr>
        <w:t xml:space="preserve"> </w:t>
      </w:r>
      <w:r w:rsidR="00323457" w:rsidRPr="0059638B">
        <w:rPr>
          <w:sz w:val="20"/>
          <w:szCs w:val="20"/>
        </w:rPr>
        <w:t>Development.</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various</w:t>
      </w:r>
      <w:r w:rsidR="00FF41A0">
        <w:rPr>
          <w:sz w:val="20"/>
          <w:szCs w:val="20"/>
        </w:rPr>
        <w:t xml:space="preserve"> </w:t>
      </w:r>
      <w:r w:rsidR="00323457" w:rsidRPr="0059638B">
        <w:rPr>
          <w:sz w:val="20"/>
          <w:szCs w:val="20"/>
        </w:rPr>
        <w:t>measures</w:t>
      </w:r>
      <w:r w:rsidR="00FF41A0">
        <w:rPr>
          <w:sz w:val="20"/>
          <w:szCs w:val="20"/>
        </w:rPr>
        <w:t xml:space="preserve"> </w:t>
      </w:r>
      <w:r w:rsidR="00323457" w:rsidRPr="0059638B">
        <w:rPr>
          <w:sz w:val="20"/>
          <w:szCs w:val="20"/>
        </w:rPr>
        <w:t>aimed</w:t>
      </w:r>
      <w:r w:rsidR="00FF41A0">
        <w:rPr>
          <w:sz w:val="20"/>
          <w:szCs w:val="20"/>
        </w:rPr>
        <w:t xml:space="preserve"> </w:t>
      </w:r>
      <w:r w:rsidR="00323457" w:rsidRPr="0059638B">
        <w:rPr>
          <w:sz w:val="20"/>
          <w:szCs w:val="20"/>
        </w:rPr>
        <w:t>at</w:t>
      </w:r>
      <w:r w:rsidR="00FF41A0">
        <w:rPr>
          <w:sz w:val="20"/>
          <w:szCs w:val="20"/>
        </w:rPr>
        <w:t xml:space="preserve"> </w:t>
      </w:r>
      <w:r w:rsidR="00323457" w:rsidRPr="0059638B">
        <w:rPr>
          <w:sz w:val="20"/>
          <w:szCs w:val="20"/>
        </w:rPr>
        <w:t>protecting</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covers</w:t>
      </w:r>
      <w:r w:rsidR="00FF41A0">
        <w:rPr>
          <w:sz w:val="20"/>
          <w:szCs w:val="20"/>
        </w:rPr>
        <w:t xml:space="preserve"> </w:t>
      </w:r>
      <w:r w:rsidR="00323457" w:rsidRPr="0059638B">
        <w:rPr>
          <w:sz w:val="20"/>
          <w:szCs w:val="20"/>
        </w:rPr>
        <w:t>legislative</w:t>
      </w:r>
      <w:r w:rsidR="00FF41A0">
        <w:rPr>
          <w:sz w:val="20"/>
          <w:szCs w:val="20"/>
        </w:rPr>
        <w:t xml:space="preserve"> </w:t>
      </w:r>
      <w:r w:rsidR="00323457" w:rsidRPr="0059638B">
        <w:rPr>
          <w:sz w:val="20"/>
          <w:szCs w:val="20"/>
        </w:rPr>
        <w:t>measures,</w:t>
      </w:r>
      <w:r w:rsidR="00FF41A0">
        <w:rPr>
          <w:sz w:val="20"/>
          <w:szCs w:val="20"/>
        </w:rPr>
        <w:t xml:space="preserve"> </w:t>
      </w:r>
      <w:r w:rsidR="00323457" w:rsidRPr="0059638B">
        <w:rPr>
          <w:sz w:val="20"/>
          <w:szCs w:val="20"/>
        </w:rPr>
        <w:t>poverty</w:t>
      </w:r>
      <w:r w:rsidR="00FF41A0">
        <w:rPr>
          <w:sz w:val="20"/>
          <w:szCs w:val="20"/>
        </w:rPr>
        <w:t xml:space="preserve"> </w:t>
      </w:r>
      <w:r w:rsidR="00323457" w:rsidRPr="0059638B">
        <w:rPr>
          <w:sz w:val="20"/>
          <w:szCs w:val="20"/>
        </w:rPr>
        <w:t>reduction,</w:t>
      </w:r>
      <w:r w:rsidR="00FF41A0">
        <w:rPr>
          <w:sz w:val="20"/>
          <w:szCs w:val="20"/>
        </w:rPr>
        <w:t xml:space="preserve"> </w:t>
      </w:r>
      <w:r w:rsidR="00323457" w:rsidRPr="0059638B">
        <w:rPr>
          <w:sz w:val="20"/>
          <w:szCs w:val="20"/>
        </w:rPr>
        <w:t>health</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environmental</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cooperation.</w:t>
      </w:r>
    </w:p>
    <w:p w14:paraId="74E38E70" w14:textId="33EBE0CA" w:rsidR="00323457" w:rsidRPr="0059638B" w:rsidRDefault="0035721D" w:rsidP="00323457">
      <w:pPr>
        <w:pStyle w:val="SingleTxtG"/>
        <w:rPr>
          <w:sz w:val="20"/>
          <w:szCs w:val="20"/>
        </w:rPr>
      </w:pPr>
      <w:r>
        <w:rPr>
          <w:sz w:val="20"/>
          <w:szCs w:val="20"/>
        </w:rPr>
        <w:t>834</w:t>
      </w:r>
      <w:r w:rsidR="00D226AB">
        <w:rPr>
          <w:sz w:val="20"/>
          <w:szCs w:val="20"/>
        </w:rPr>
        <w:t>.</w:t>
      </w:r>
      <w:r w:rsidR="00D226AB">
        <w:rPr>
          <w:sz w:val="20"/>
          <w:szCs w:val="20"/>
        </w:rPr>
        <w:tab/>
      </w:r>
      <w:r w:rsidR="00323457" w:rsidRPr="0059638B">
        <w:rPr>
          <w:sz w:val="20"/>
          <w:szCs w:val="20"/>
        </w:rPr>
        <w:t>Mozambique</w:t>
      </w:r>
      <w:r w:rsidR="00FF41A0">
        <w:rPr>
          <w:sz w:val="20"/>
          <w:szCs w:val="20"/>
        </w:rPr>
        <w:t xml:space="preserve"> </w:t>
      </w:r>
      <w:r w:rsidR="00323457" w:rsidRPr="0059638B">
        <w:rPr>
          <w:sz w:val="20"/>
          <w:szCs w:val="20"/>
        </w:rPr>
        <w:t>appreciated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great</w:t>
      </w:r>
      <w:r w:rsidR="00FF41A0">
        <w:rPr>
          <w:sz w:val="20"/>
          <w:szCs w:val="20"/>
        </w:rPr>
        <w:t xml:space="preserve"> </w:t>
      </w:r>
      <w:r w:rsidR="00323457" w:rsidRPr="0059638B">
        <w:rPr>
          <w:sz w:val="20"/>
          <w:szCs w:val="20"/>
        </w:rPr>
        <w:t>achievements</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development.</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highlighted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lifted</w:t>
      </w:r>
      <w:r w:rsidR="00FF41A0">
        <w:rPr>
          <w:sz w:val="20"/>
          <w:szCs w:val="20"/>
        </w:rPr>
        <w:t xml:space="preserve"> </w:t>
      </w:r>
      <w:r w:rsidR="00323457" w:rsidRPr="0059638B">
        <w:rPr>
          <w:sz w:val="20"/>
          <w:szCs w:val="20"/>
        </w:rPr>
        <w:t>over</w:t>
      </w:r>
      <w:r w:rsidR="00FF41A0">
        <w:rPr>
          <w:sz w:val="20"/>
          <w:szCs w:val="20"/>
        </w:rPr>
        <w:t xml:space="preserve"> </w:t>
      </w:r>
      <w:r w:rsidR="00323457" w:rsidRPr="0059638B">
        <w:rPr>
          <w:sz w:val="20"/>
          <w:szCs w:val="20"/>
        </w:rPr>
        <w:t>700</w:t>
      </w:r>
      <w:r w:rsidR="00FF41A0">
        <w:rPr>
          <w:sz w:val="20"/>
          <w:szCs w:val="20"/>
        </w:rPr>
        <w:t xml:space="preserve"> </w:t>
      </w:r>
      <w:r w:rsidR="00323457" w:rsidRPr="0059638B">
        <w:rPr>
          <w:sz w:val="20"/>
          <w:szCs w:val="20"/>
        </w:rPr>
        <w:t>million</w:t>
      </w:r>
      <w:r w:rsidR="00FF41A0">
        <w:rPr>
          <w:sz w:val="20"/>
          <w:szCs w:val="20"/>
        </w:rPr>
        <w:t xml:space="preserve"> </w:t>
      </w:r>
      <w:r w:rsidR="00323457" w:rsidRPr="0059638B">
        <w:rPr>
          <w:sz w:val="20"/>
          <w:szCs w:val="20"/>
        </w:rPr>
        <w:t>people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rural</w:t>
      </w:r>
      <w:r w:rsidR="00FF41A0">
        <w:rPr>
          <w:sz w:val="20"/>
          <w:szCs w:val="20"/>
        </w:rPr>
        <w:t xml:space="preserve"> </w:t>
      </w:r>
      <w:r w:rsidR="00323457" w:rsidRPr="0059638B">
        <w:rPr>
          <w:sz w:val="20"/>
          <w:szCs w:val="20"/>
        </w:rPr>
        <w:t>areas</w:t>
      </w:r>
      <w:r w:rsidR="00FF41A0">
        <w:rPr>
          <w:sz w:val="20"/>
          <w:szCs w:val="20"/>
        </w:rPr>
        <w:t xml:space="preserve"> </w:t>
      </w:r>
      <w:r w:rsidR="00323457" w:rsidRPr="0059638B">
        <w:rPr>
          <w:sz w:val="20"/>
          <w:szCs w:val="20"/>
        </w:rPr>
        <w:t>out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poverty.</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appreciated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promotion</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universality</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focusing</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people</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well-being,</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peace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development</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holistic</w:t>
      </w:r>
      <w:r w:rsidR="00FF41A0">
        <w:rPr>
          <w:sz w:val="20"/>
          <w:szCs w:val="20"/>
        </w:rPr>
        <w:t xml:space="preserve"> </w:t>
      </w:r>
      <w:r w:rsidR="00323457" w:rsidRPr="0059638B">
        <w:rPr>
          <w:sz w:val="20"/>
          <w:szCs w:val="20"/>
        </w:rPr>
        <w:t>way.</w:t>
      </w:r>
    </w:p>
    <w:p w14:paraId="58DC4231" w14:textId="417404A3" w:rsidR="00323457" w:rsidRPr="0059638B" w:rsidRDefault="0035721D" w:rsidP="00323457">
      <w:pPr>
        <w:pStyle w:val="SingleTxtG"/>
        <w:rPr>
          <w:sz w:val="20"/>
          <w:szCs w:val="20"/>
        </w:rPr>
      </w:pPr>
      <w:r>
        <w:rPr>
          <w:sz w:val="20"/>
          <w:szCs w:val="20"/>
        </w:rPr>
        <w:t>835</w:t>
      </w:r>
      <w:r w:rsidR="00D226AB">
        <w:rPr>
          <w:sz w:val="20"/>
          <w:szCs w:val="20"/>
        </w:rPr>
        <w:t>.</w:t>
      </w:r>
      <w:r w:rsidR="00D226AB">
        <w:rPr>
          <w:sz w:val="20"/>
          <w:szCs w:val="20"/>
        </w:rPr>
        <w:tab/>
      </w:r>
      <w:r w:rsidR="00323457" w:rsidRPr="0059638B">
        <w:rPr>
          <w:sz w:val="20"/>
          <w:szCs w:val="20"/>
        </w:rPr>
        <w:t>Myanmar</w:t>
      </w:r>
      <w:r w:rsidR="00FF41A0">
        <w:rPr>
          <w:sz w:val="20"/>
          <w:szCs w:val="20"/>
        </w:rPr>
        <w:t xml:space="preserve"> </w:t>
      </w:r>
      <w:r w:rsidR="00323457" w:rsidRPr="0059638B">
        <w:rPr>
          <w:sz w:val="20"/>
          <w:szCs w:val="20"/>
        </w:rPr>
        <w:t>commended</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supporting</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related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poverty</w:t>
      </w:r>
      <w:r w:rsidR="00FF41A0">
        <w:rPr>
          <w:sz w:val="20"/>
          <w:szCs w:val="20"/>
        </w:rPr>
        <w:t xml:space="preserve"> </w:t>
      </w:r>
      <w:r w:rsidR="00323457" w:rsidRPr="0059638B">
        <w:rPr>
          <w:sz w:val="20"/>
          <w:szCs w:val="20"/>
        </w:rPr>
        <w:t>reduction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social</w:t>
      </w:r>
      <w:r w:rsidR="00FF41A0">
        <w:rPr>
          <w:sz w:val="20"/>
          <w:szCs w:val="20"/>
        </w:rPr>
        <w:t xml:space="preserve"> </w:t>
      </w:r>
      <w:r w:rsidR="00323457" w:rsidRPr="0059638B">
        <w:rPr>
          <w:sz w:val="20"/>
          <w:szCs w:val="20"/>
        </w:rPr>
        <w:t>development.</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appreciated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formulation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Action</w:t>
      </w:r>
      <w:r w:rsidR="00FF41A0">
        <w:rPr>
          <w:sz w:val="20"/>
          <w:szCs w:val="20"/>
        </w:rPr>
        <w:t xml:space="preserve"> </w:t>
      </w:r>
      <w:r w:rsidR="00323457" w:rsidRPr="0059638B">
        <w:rPr>
          <w:sz w:val="20"/>
          <w:szCs w:val="20"/>
        </w:rPr>
        <w:t>Plans.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further</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success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development</w:t>
      </w:r>
      <w:r w:rsidR="00FF41A0">
        <w:rPr>
          <w:sz w:val="20"/>
          <w:szCs w:val="20"/>
        </w:rPr>
        <w:t xml:space="preserve"> </w:t>
      </w:r>
      <w:r w:rsidR="00323457" w:rsidRPr="0059638B">
        <w:rPr>
          <w:sz w:val="20"/>
          <w:szCs w:val="20"/>
        </w:rPr>
        <w:t>ensured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full</w:t>
      </w:r>
      <w:r w:rsidR="00FF41A0">
        <w:rPr>
          <w:sz w:val="20"/>
          <w:szCs w:val="20"/>
        </w:rPr>
        <w:t xml:space="preserve"> </w:t>
      </w:r>
      <w:r w:rsidR="00323457" w:rsidRPr="0059638B">
        <w:rPr>
          <w:sz w:val="20"/>
          <w:szCs w:val="20"/>
        </w:rPr>
        <w:t>range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citizens,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sharing</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experience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contribute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other</w:t>
      </w:r>
      <w:r w:rsidR="00FF41A0">
        <w:rPr>
          <w:sz w:val="20"/>
          <w:szCs w:val="20"/>
        </w:rPr>
        <w:t xml:space="preserve"> </w:t>
      </w:r>
      <w:r w:rsidR="00323457" w:rsidRPr="0059638B">
        <w:rPr>
          <w:sz w:val="20"/>
          <w:szCs w:val="20"/>
        </w:rPr>
        <w:t>countries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region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beyond.</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China</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initiative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“promoting</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through</w:t>
      </w:r>
      <w:r w:rsidR="00FF41A0">
        <w:rPr>
          <w:sz w:val="20"/>
          <w:szCs w:val="20"/>
        </w:rPr>
        <w:t xml:space="preserve"> </w:t>
      </w:r>
      <w:r w:rsidR="00323457" w:rsidRPr="0059638B">
        <w:rPr>
          <w:sz w:val="20"/>
          <w:szCs w:val="20"/>
        </w:rPr>
        <w:t>peace,</w:t>
      </w:r>
      <w:r w:rsidR="00FF41A0">
        <w:rPr>
          <w:sz w:val="20"/>
          <w:szCs w:val="20"/>
        </w:rPr>
        <w:t xml:space="preserve"> </w:t>
      </w:r>
      <w:r w:rsidR="00323457" w:rsidRPr="0059638B">
        <w:rPr>
          <w:sz w:val="20"/>
          <w:szCs w:val="20"/>
        </w:rPr>
        <w:t>development,</w:t>
      </w:r>
      <w:r w:rsidR="00FF41A0">
        <w:rPr>
          <w:sz w:val="20"/>
          <w:szCs w:val="20"/>
        </w:rPr>
        <w:t xml:space="preserve"> </w:t>
      </w:r>
      <w:r w:rsidR="00323457" w:rsidRPr="0059638B">
        <w:rPr>
          <w:sz w:val="20"/>
          <w:szCs w:val="20"/>
        </w:rPr>
        <w:t>cooperation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equality”,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other</w:t>
      </w:r>
      <w:r w:rsidR="00FF41A0">
        <w:rPr>
          <w:sz w:val="20"/>
          <w:szCs w:val="20"/>
        </w:rPr>
        <w:t xml:space="preserve"> </w:t>
      </w:r>
      <w:r w:rsidR="00323457" w:rsidRPr="0059638B">
        <w:rPr>
          <w:sz w:val="20"/>
          <w:szCs w:val="20"/>
        </w:rPr>
        <w:t>proposals</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complement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improving</w:t>
      </w:r>
      <w:r w:rsidR="00FF41A0">
        <w:rPr>
          <w:sz w:val="20"/>
          <w:szCs w:val="20"/>
        </w:rPr>
        <w:t xml:space="preserve"> </w:t>
      </w:r>
      <w:r w:rsidR="00323457" w:rsidRPr="0059638B">
        <w:rPr>
          <w:sz w:val="20"/>
          <w:szCs w:val="20"/>
        </w:rPr>
        <w:t>global</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governance.</w:t>
      </w:r>
    </w:p>
    <w:p w14:paraId="14E43409" w14:textId="081BAC3B" w:rsidR="00323457" w:rsidRPr="0059638B" w:rsidRDefault="0035721D" w:rsidP="00323457">
      <w:pPr>
        <w:pStyle w:val="SingleTxtG"/>
        <w:rPr>
          <w:sz w:val="20"/>
          <w:szCs w:val="20"/>
        </w:rPr>
      </w:pPr>
      <w:r>
        <w:rPr>
          <w:sz w:val="20"/>
          <w:szCs w:val="20"/>
        </w:rPr>
        <w:t>836</w:t>
      </w:r>
      <w:r w:rsidR="00D226AB">
        <w:rPr>
          <w:sz w:val="20"/>
          <w:szCs w:val="20"/>
        </w:rPr>
        <w:t>.</w:t>
      </w:r>
      <w:r w:rsidR="00D226AB">
        <w:rPr>
          <w:sz w:val="20"/>
          <w:szCs w:val="20"/>
        </w:rPr>
        <w:tab/>
      </w:r>
      <w:r w:rsidR="00323457" w:rsidRPr="0059638B">
        <w:rPr>
          <w:sz w:val="20"/>
          <w:szCs w:val="20"/>
        </w:rPr>
        <w:t>Namibia</w:t>
      </w:r>
      <w:r w:rsidR="00FF41A0">
        <w:rPr>
          <w:sz w:val="20"/>
          <w:szCs w:val="20"/>
        </w:rPr>
        <w:t xml:space="preserve"> </w:t>
      </w:r>
      <w:r w:rsidR="00323457" w:rsidRPr="0059638B">
        <w:rPr>
          <w:sz w:val="20"/>
          <w:szCs w:val="20"/>
        </w:rPr>
        <w:t>appreciated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support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related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sharing</w:t>
      </w:r>
      <w:r w:rsidR="00FF41A0">
        <w:rPr>
          <w:sz w:val="20"/>
          <w:szCs w:val="20"/>
        </w:rPr>
        <w:t xml:space="preserve"> </w:t>
      </w:r>
      <w:r w:rsidR="00323457" w:rsidRPr="0059638B">
        <w:rPr>
          <w:sz w:val="20"/>
          <w:szCs w:val="20"/>
        </w:rPr>
        <w:t>experiences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best</w:t>
      </w:r>
      <w:r w:rsidR="00FF41A0">
        <w:rPr>
          <w:sz w:val="20"/>
          <w:szCs w:val="20"/>
        </w:rPr>
        <w:t xml:space="preserve"> </w:t>
      </w:r>
      <w:r w:rsidR="00323457" w:rsidRPr="0059638B">
        <w:rPr>
          <w:sz w:val="20"/>
          <w:szCs w:val="20"/>
        </w:rPr>
        <w:t>practices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implementing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development.</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appreciation</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supported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recommendation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identify</w:t>
      </w:r>
      <w:r w:rsidR="00FF41A0">
        <w:rPr>
          <w:sz w:val="20"/>
          <w:szCs w:val="20"/>
        </w:rPr>
        <w:t xml:space="preserve"> </w:t>
      </w:r>
      <w:r w:rsidR="00323457" w:rsidRPr="0059638B">
        <w:rPr>
          <w:sz w:val="20"/>
          <w:szCs w:val="20"/>
        </w:rPr>
        <w:t>more</w:t>
      </w:r>
      <w:r w:rsidR="00FF41A0">
        <w:rPr>
          <w:sz w:val="20"/>
          <w:szCs w:val="20"/>
        </w:rPr>
        <w:t xml:space="preserve"> </w:t>
      </w:r>
      <w:r w:rsidR="00323457" w:rsidRPr="0059638B">
        <w:rPr>
          <w:sz w:val="20"/>
          <w:szCs w:val="20"/>
        </w:rPr>
        <w:t>crimes,</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death</w:t>
      </w:r>
      <w:r w:rsidR="00FF41A0">
        <w:rPr>
          <w:sz w:val="20"/>
          <w:szCs w:val="20"/>
        </w:rPr>
        <w:t xml:space="preserve"> </w:t>
      </w:r>
      <w:r w:rsidR="00323457" w:rsidRPr="0059638B">
        <w:rPr>
          <w:sz w:val="20"/>
          <w:szCs w:val="20"/>
        </w:rPr>
        <w:t>penalty</w:t>
      </w:r>
      <w:r w:rsidR="00FF41A0">
        <w:rPr>
          <w:sz w:val="20"/>
          <w:szCs w:val="20"/>
        </w:rPr>
        <w:t xml:space="preserve"> </w:t>
      </w:r>
      <w:r w:rsidR="00323457" w:rsidRPr="0059638B">
        <w:rPr>
          <w:sz w:val="20"/>
          <w:szCs w:val="20"/>
        </w:rPr>
        <w:t>should</w:t>
      </w:r>
      <w:r w:rsidR="00FF41A0">
        <w:rPr>
          <w:sz w:val="20"/>
          <w:szCs w:val="20"/>
        </w:rPr>
        <w:t xml:space="preserve"> </w:t>
      </w:r>
      <w:r w:rsidR="00323457" w:rsidRPr="0059638B">
        <w:rPr>
          <w:sz w:val="20"/>
          <w:szCs w:val="20"/>
        </w:rPr>
        <w:t>be</w:t>
      </w:r>
      <w:r w:rsidR="00FF41A0">
        <w:rPr>
          <w:sz w:val="20"/>
          <w:szCs w:val="20"/>
        </w:rPr>
        <w:t xml:space="preserve"> </w:t>
      </w:r>
      <w:r w:rsidR="00323457" w:rsidRPr="0059638B">
        <w:rPr>
          <w:sz w:val="20"/>
          <w:szCs w:val="20"/>
        </w:rPr>
        <w:t>abolished.</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gradually</w:t>
      </w:r>
      <w:r w:rsidR="00FF41A0">
        <w:rPr>
          <w:sz w:val="20"/>
          <w:szCs w:val="20"/>
        </w:rPr>
        <w:t xml:space="preserve"> </w:t>
      </w:r>
      <w:r w:rsidR="00323457" w:rsidRPr="0059638B">
        <w:rPr>
          <w:sz w:val="20"/>
          <w:szCs w:val="20"/>
        </w:rPr>
        <w:t>reduced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number</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capital</w:t>
      </w:r>
      <w:r w:rsidR="00FF41A0">
        <w:rPr>
          <w:sz w:val="20"/>
          <w:szCs w:val="20"/>
        </w:rPr>
        <w:t xml:space="preserve"> </w:t>
      </w:r>
      <w:r w:rsidR="00323457" w:rsidRPr="0059638B">
        <w:rPr>
          <w:sz w:val="20"/>
          <w:szCs w:val="20"/>
        </w:rPr>
        <w:t>offences</w:t>
      </w:r>
      <w:r w:rsidR="00FF41A0">
        <w:rPr>
          <w:sz w:val="20"/>
          <w:szCs w:val="20"/>
        </w:rPr>
        <w:t xml:space="preserve"> </w:t>
      </w:r>
      <w:r w:rsidR="00323457" w:rsidRPr="0059638B">
        <w:rPr>
          <w:sz w:val="20"/>
          <w:szCs w:val="20"/>
        </w:rPr>
        <w:t>encouraging</w:t>
      </w:r>
      <w:r w:rsidR="00FF41A0">
        <w:rPr>
          <w:sz w:val="20"/>
          <w:szCs w:val="20"/>
        </w:rPr>
        <w:t xml:space="preserve"> </w:t>
      </w:r>
      <w:r w:rsidR="00323457" w:rsidRPr="0059638B">
        <w:rPr>
          <w:sz w:val="20"/>
          <w:szCs w:val="20"/>
        </w:rPr>
        <w:t>further</w:t>
      </w:r>
      <w:r w:rsidR="00FF41A0">
        <w:rPr>
          <w:sz w:val="20"/>
          <w:szCs w:val="20"/>
        </w:rPr>
        <w:t xml:space="preserve"> </w:t>
      </w:r>
      <w:r w:rsidR="00323457" w:rsidRPr="0059638B">
        <w:rPr>
          <w:sz w:val="20"/>
          <w:szCs w:val="20"/>
        </w:rPr>
        <w:t>progress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this</w:t>
      </w:r>
      <w:r w:rsidR="00FF41A0">
        <w:rPr>
          <w:sz w:val="20"/>
          <w:szCs w:val="20"/>
        </w:rPr>
        <w:t xml:space="preserve"> </w:t>
      </w:r>
      <w:r w:rsidR="00323457" w:rsidRPr="0059638B">
        <w:rPr>
          <w:sz w:val="20"/>
          <w:szCs w:val="20"/>
        </w:rPr>
        <w:t>regard.</w:t>
      </w:r>
      <w:r w:rsidR="00FF41A0">
        <w:rPr>
          <w:sz w:val="20"/>
          <w:szCs w:val="20"/>
        </w:rPr>
        <w:t xml:space="preserve"> </w:t>
      </w:r>
    </w:p>
    <w:p w14:paraId="11ACF5C5" w14:textId="64CB22E1" w:rsidR="00323457" w:rsidRPr="0059638B" w:rsidRDefault="0035721D" w:rsidP="00323457">
      <w:pPr>
        <w:pStyle w:val="SingleTxtG"/>
        <w:rPr>
          <w:sz w:val="20"/>
          <w:szCs w:val="20"/>
        </w:rPr>
      </w:pPr>
      <w:r>
        <w:rPr>
          <w:sz w:val="20"/>
          <w:szCs w:val="20"/>
        </w:rPr>
        <w:t>837</w:t>
      </w:r>
      <w:r w:rsidR="00D226AB">
        <w:rPr>
          <w:sz w:val="20"/>
          <w:szCs w:val="20"/>
        </w:rPr>
        <w:t>.</w:t>
      </w:r>
      <w:r w:rsidR="00D226AB">
        <w:rPr>
          <w:sz w:val="20"/>
          <w:szCs w:val="20"/>
        </w:rPr>
        <w:tab/>
      </w:r>
      <w:r w:rsidR="00323457" w:rsidRPr="0059638B">
        <w:rPr>
          <w:sz w:val="20"/>
          <w:szCs w:val="20"/>
        </w:rPr>
        <w:t>Nepal</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fostering</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peaceful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stable</w:t>
      </w:r>
      <w:r w:rsidR="00FF41A0">
        <w:rPr>
          <w:sz w:val="20"/>
          <w:szCs w:val="20"/>
        </w:rPr>
        <w:t xml:space="preserve"> </w:t>
      </w:r>
      <w:r w:rsidR="00323457" w:rsidRPr="0059638B">
        <w:rPr>
          <w:sz w:val="20"/>
          <w:szCs w:val="20"/>
        </w:rPr>
        <w:t>environment</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broad-based</w:t>
      </w:r>
      <w:r w:rsidR="00FF41A0">
        <w:rPr>
          <w:sz w:val="20"/>
          <w:szCs w:val="20"/>
        </w:rPr>
        <w:t xml:space="preserve"> </w:t>
      </w:r>
      <w:r w:rsidR="00323457" w:rsidRPr="0059638B">
        <w:rPr>
          <w:sz w:val="20"/>
          <w:szCs w:val="20"/>
        </w:rPr>
        <w:t>social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economic</w:t>
      </w:r>
      <w:r w:rsidR="00FF41A0">
        <w:rPr>
          <w:sz w:val="20"/>
          <w:szCs w:val="20"/>
        </w:rPr>
        <w:t xml:space="preserve"> </w:t>
      </w:r>
      <w:r w:rsidR="00323457" w:rsidRPr="0059638B">
        <w:rPr>
          <w:sz w:val="20"/>
          <w:szCs w:val="20"/>
        </w:rPr>
        <w:t>development,</w:t>
      </w:r>
      <w:r w:rsidR="00FF41A0">
        <w:rPr>
          <w:sz w:val="20"/>
          <w:szCs w:val="20"/>
        </w:rPr>
        <w:t xml:space="preserve"> </w:t>
      </w:r>
      <w:r w:rsidR="00323457" w:rsidRPr="0059638B">
        <w:rPr>
          <w:sz w:val="20"/>
          <w:szCs w:val="20"/>
        </w:rPr>
        <w:t>creating</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robust</w:t>
      </w:r>
      <w:r w:rsidR="00FF41A0">
        <w:rPr>
          <w:sz w:val="20"/>
          <w:szCs w:val="20"/>
        </w:rPr>
        <w:t xml:space="preserve"> </w:t>
      </w:r>
      <w:r w:rsidR="00323457" w:rsidRPr="0059638B">
        <w:rPr>
          <w:sz w:val="20"/>
          <w:szCs w:val="20"/>
        </w:rPr>
        <w:t>base</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wider</w:t>
      </w:r>
      <w:r w:rsidR="00FF41A0">
        <w:rPr>
          <w:sz w:val="20"/>
          <w:szCs w:val="20"/>
        </w:rPr>
        <w:t xml:space="preserve"> </w:t>
      </w:r>
      <w:r w:rsidR="00323457" w:rsidRPr="0059638B">
        <w:rPr>
          <w:sz w:val="20"/>
          <w:szCs w:val="20"/>
        </w:rPr>
        <w:t>realization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promotion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remarkable</w:t>
      </w:r>
      <w:r w:rsidR="00FF41A0">
        <w:rPr>
          <w:sz w:val="20"/>
          <w:szCs w:val="20"/>
        </w:rPr>
        <w:t xml:space="preserve"> </w:t>
      </w:r>
      <w:r w:rsidR="00323457" w:rsidRPr="0059638B">
        <w:rPr>
          <w:sz w:val="20"/>
          <w:szCs w:val="20"/>
        </w:rPr>
        <w:t>progress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ending</w:t>
      </w:r>
      <w:r w:rsidR="00FF41A0">
        <w:rPr>
          <w:sz w:val="20"/>
          <w:szCs w:val="20"/>
        </w:rPr>
        <w:t xml:space="preserve"> </w:t>
      </w:r>
      <w:r w:rsidR="00323457" w:rsidRPr="0059638B">
        <w:rPr>
          <w:sz w:val="20"/>
          <w:szCs w:val="20"/>
        </w:rPr>
        <w:t>poverty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raising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standard</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living</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people,</w:t>
      </w:r>
      <w:r w:rsidR="00FF41A0">
        <w:rPr>
          <w:sz w:val="20"/>
          <w:szCs w:val="20"/>
        </w:rPr>
        <w:t xml:space="preserve"> </w:t>
      </w:r>
      <w:r w:rsidR="00323457" w:rsidRPr="0059638B">
        <w:rPr>
          <w:sz w:val="20"/>
          <w:szCs w:val="20"/>
        </w:rPr>
        <w:t>including</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Tibet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other</w:t>
      </w:r>
      <w:r w:rsidR="00FF41A0">
        <w:rPr>
          <w:sz w:val="20"/>
          <w:szCs w:val="20"/>
        </w:rPr>
        <w:t xml:space="preserve"> </w:t>
      </w:r>
      <w:r w:rsidR="00323457" w:rsidRPr="0059638B">
        <w:rPr>
          <w:sz w:val="20"/>
          <w:szCs w:val="20"/>
        </w:rPr>
        <w:t>rural</w:t>
      </w:r>
      <w:r w:rsidR="00FF41A0">
        <w:rPr>
          <w:sz w:val="20"/>
          <w:szCs w:val="20"/>
        </w:rPr>
        <w:t xml:space="preserve"> </w:t>
      </w:r>
      <w:r w:rsidR="00323457" w:rsidRPr="0059638B">
        <w:rPr>
          <w:sz w:val="20"/>
          <w:szCs w:val="20"/>
        </w:rPr>
        <w:t>areas,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ethnic</w:t>
      </w:r>
      <w:r w:rsidR="00FF41A0">
        <w:rPr>
          <w:sz w:val="20"/>
          <w:szCs w:val="20"/>
        </w:rPr>
        <w:t xml:space="preserve"> </w:t>
      </w:r>
      <w:r w:rsidR="00323457" w:rsidRPr="0059638B">
        <w:rPr>
          <w:sz w:val="20"/>
          <w:szCs w:val="20"/>
        </w:rPr>
        <w:t>minority</w:t>
      </w:r>
      <w:r w:rsidR="00FF41A0">
        <w:rPr>
          <w:sz w:val="20"/>
          <w:szCs w:val="20"/>
        </w:rPr>
        <w:t xml:space="preserve"> </w:t>
      </w:r>
      <w:r w:rsidR="00323457" w:rsidRPr="0059638B">
        <w:rPr>
          <w:sz w:val="20"/>
          <w:szCs w:val="20"/>
        </w:rPr>
        <w:t>regions.</w:t>
      </w:r>
      <w:r w:rsidR="00FF41A0">
        <w:rPr>
          <w:sz w:val="20"/>
          <w:szCs w:val="20"/>
        </w:rPr>
        <w:t xml:space="preserve"> </w:t>
      </w:r>
    </w:p>
    <w:p w14:paraId="335D3865" w14:textId="401A2597" w:rsidR="00323457" w:rsidRPr="0059638B" w:rsidRDefault="0035721D" w:rsidP="00323457">
      <w:pPr>
        <w:pStyle w:val="SingleTxtG"/>
        <w:rPr>
          <w:sz w:val="20"/>
          <w:szCs w:val="20"/>
        </w:rPr>
      </w:pPr>
      <w:r>
        <w:rPr>
          <w:sz w:val="20"/>
          <w:szCs w:val="20"/>
        </w:rPr>
        <w:t>838</w:t>
      </w:r>
      <w:r w:rsidR="00D226AB">
        <w:rPr>
          <w:sz w:val="20"/>
          <w:szCs w:val="20"/>
        </w:rPr>
        <w:t>.</w:t>
      </w:r>
      <w:r w:rsidR="00D226AB">
        <w:rPr>
          <w:sz w:val="20"/>
          <w:szCs w:val="20"/>
        </w:rPr>
        <w:tab/>
      </w:r>
      <w:r w:rsidR="00323457" w:rsidRPr="0059638B">
        <w:rPr>
          <w:sz w:val="20"/>
          <w:szCs w:val="20"/>
        </w:rPr>
        <w:t>The</w:t>
      </w:r>
      <w:r w:rsidR="00FF41A0">
        <w:rPr>
          <w:sz w:val="20"/>
          <w:szCs w:val="20"/>
        </w:rPr>
        <w:t xml:space="preserve"> </w:t>
      </w:r>
      <w:r w:rsidR="00323457" w:rsidRPr="0059638B">
        <w:rPr>
          <w:sz w:val="20"/>
          <w:szCs w:val="20"/>
        </w:rPr>
        <w:t>Netherlands</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enormous</w:t>
      </w:r>
      <w:r w:rsidR="00FF41A0">
        <w:rPr>
          <w:sz w:val="20"/>
          <w:szCs w:val="20"/>
        </w:rPr>
        <w:t xml:space="preserve"> </w:t>
      </w:r>
      <w:r w:rsidR="00323457" w:rsidRPr="0059638B">
        <w:rPr>
          <w:sz w:val="20"/>
          <w:szCs w:val="20"/>
        </w:rPr>
        <w:t>progress</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advancing</w:t>
      </w:r>
      <w:r w:rsidR="00FF41A0">
        <w:rPr>
          <w:sz w:val="20"/>
          <w:szCs w:val="20"/>
        </w:rPr>
        <w:t xml:space="preserve"> </w:t>
      </w:r>
      <w:r w:rsidR="00323457" w:rsidRPr="0059638B">
        <w:rPr>
          <w:sz w:val="20"/>
          <w:szCs w:val="20"/>
        </w:rPr>
        <w:t>economic</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lifting</w:t>
      </w:r>
      <w:r w:rsidR="00FF41A0">
        <w:rPr>
          <w:sz w:val="20"/>
          <w:szCs w:val="20"/>
        </w:rPr>
        <w:t xml:space="preserve"> </w:t>
      </w:r>
      <w:r w:rsidR="00323457" w:rsidRPr="0059638B">
        <w:rPr>
          <w:sz w:val="20"/>
          <w:szCs w:val="20"/>
        </w:rPr>
        <w:t>many</w:t>
      </w:r>
      <w:r w:rsidR="00FF41A0">
        <w:rPr>
          <w:sz w:val="20"/>
          <w:szCs w:val="20"/>
        </w:rPr>
        <w:t xml:space="preserve"> </w:t>
      </w:r>
      <w:r w:rsidR="00323457" w:rsidRPr="0059638B">
        <w:rPr>
          <w:sz w:val="20"/>
          <w:szCs w:val="20"/>
        </w:rPr>
        <w:t>people</w:t>
      </w:r>
      <w:r w:rsidR="00FF41A0">
        <w:rPr>
          <w:sz w:val="20"/>
          <w:szCs w:val="20"/>
        </w:rPr>
        <w:t xml:space="preserve"> </w:t>
      </w:r>
      <w:r w:rsidR="00323457" w:rsidRPr="0059638B">
        <w:rPr>
          <w:sz w:val="20"/>
          <w:szCs w:val="20"/>
        </w:rPr>
        <w:t>out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poverty.</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pleased</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support</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recommendation</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anti-discrimination</w:t>
      </w:r>
      <w:r w:rsidR="00FF41A0">
        <w:rPr>
          <w:sz w:val="20"/>
          <w:szCs w:val="20"/>
        </w:rPr>
        <w:t xml:space="preserve"> </w:t>
      </w:r>
      <w:r w:rsidR="00323457" w:rsidRPr="0059638B">
        <w:rPr>
          <w:sz w:val="20"/>
          <w:szCs w:val="20"/>
        </w:rPr>
        <w:t>legislation</w:t>
      </w:r>
      <w:r w:rsidR="00FF41A0">
        <w:rPr>
          <w:sz w:val="20"/>
          <w:szCs w:val="20"/>
        </w:rPr>
        <w:t xml:space="preserve"> </w:t>
      </w:r>
      <w:r w:rsidR="00323457" w:rsidRPr="0059638B">
        <w:rPr>
          <w:sz w:val="20"/>
          <w:szCs w:val="20"/>
        </w:rPr>
        <w:t>regarding</w:t>
      </w:r>
      <w:r w:rsidR="00FF41A0">
        <w:rPr>
          <w:sz w:val="20"/>
          <w:szCs w:val="20"/>
        </w:rPr>
        <w:t xml:space="preserve"> </w:t>
      </w:r>
      <w:r w:rsidR="00323457" w:rsidRPr="0059638B">
        <w:rPr>
          <w:sz w:val="20"/>
          <w:szCs w:val="20"/>
        </w:rPr>
        <w:t>sexual</w:t>
      </w:r>
      <w:r w:rsidR="00FF41A0">
        <w:rPr>
          <w:sz w:val="20"/>
          <w:szCs w:val="20"/>
        </w:rPr>
        <w:t xml:space="preserve"> </w:t>
      </w:r>
      <w:r w:rsidR="00323457" w:rsidRPr="0059638B">
        <w:rPr>
          <w:sz w:val="20"/>
          <w:szCs w:val="20"/>
        </w:rPr>
        <w:t>orientation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gender</w:t>
      </w:r>
      <w:r w:rsidR="00FF41A0">
        <w:rPr>
          <w:sz w:val="20"/>
          <w:szCs w:val="20"/>
        </w:rPr>
        <w:t xml:space="preserve"> </w:t>
      </w:r>
      <w:r w:rsidR="00323457" w:rsidRPr="0059638B">
        <w:rPr>
          <w:sz w:val="20"/>
          <w:szCs w:val="20"/>
        </w:rPr>
        <w:t>identity.</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this</w:t>
      </w:r>
      <w:r w:rsidR="00FF41A0">
        <w:rPr>
          <w:sz w:val="20"/>
          <w:szCs w:val="20"/>
        </w:rPr>
        <w:t xml:space="preserve"> </w:t>
      </w:r>
      <w:r w:rsidR="00323457" w:rsidRPr="0059638B">
        <w:rPr>
          <w:sz w:val="20"/>
          <w:szCs w:val="20"/>
        </w:rPr>
        <w:t>regard,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Netherlands</w:t>
      </w:r>
      <w:r w:rsidR="00FF41A0">
        <w:rPr>
          <w:sz w:val="20"/>
          <w:szCs w:val="20"/>
        </w:rPr>
        <w:t xml:space="preserve"> </w:t>
      </w:r>
      <w:r w:rsidR="00323457" w:rsidRPr="0059638B">
        <w:rPr>
          <w:sz w:val="20"/>
          <w:szCs w:val="20"/>
        </w:rPr>
        <w:t>highlighted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readiness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collaborate</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implementation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recommendation.</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looked</w:t>
      </w:r>
      <w:r w:rsidR="00FF41A0">
        <w:rPr>
          <w:sz w:val="20"/>
          <w:szCs w:val="20"/>
        </w:rPr>
        <w:t xml:space="preserve"> </w:t>
      </w:r>
      <w:r w:rsidR="00323457" w:rsidRPr="0059638B">
        <w:rPr>
          <w:sz w:val="20"/>
          <w:szCs w:val="20"/>
        </w:rPr>
        <w:t>forward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cooperating</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rolling</w:t>
      </w:r>
      <w:r w:rsidR="00FF41A0">
        <w:rPr>
          <w:sz w:val="20"/>
          <w:szCs w:val="20"/>
        </w:rPr>
        <w:t xml:space="preserve"> </w:t>
      </w:r>
      <w:r w:rsidR="00323457" w:rsidRPr="0059638B">
        <w:rPr>
          <w:sz w:val="20"/>
          <w:szCs w:val="20"/>
        </w:rPr>
        <w:t>out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positive</w:t>
      </w:r>
      <w:r w:rsidR="00FF41A0">
        <w:rPr>
          <w:sz w:val="20"/>
          <w:szCs w:val="20"/>
        </w:rPr>
        <w:t xml:space="preserve"> </w:t>
      </w:r>
      <w:r w:rsidR="00323457" w:rsidRPr="0059638B">
        <w:rPr>
          <w:sz w:val="20"/>
          <w:szCs w:val="20"/>
        </w:rPr>
        <w:t>duties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through</w:t>
      </w:r>
      <w:r w:rsidR="00FF41A0">
        <w:rPr>
          <w:sz w:val="20"/>
          <w:szCs w:val="20"/>
        </w:rPr>
        <w:t xml:space="preserve"> </w:t>
      </w:r>
      <w:r w:rsidR="00323457" w:rsidRPr="0059638B">
        <w:rPr>
          <w:sz w:val="20"/>
          <w:szCs w:val="20"/>
        </w:rPr>
        <w:t>public</w:t>
      </w:r>
      <w:r w:rsidR="00FF41A0">
        <w:rPr>
          <w:sz w:val="20"/>
          <w:szCs w:val="20"/>
        </w:rPr>
        <w:t xml:space="preserve"> </w:t>
      </w:r>
      <w:r w:rsidR="00323457" w:rsidRPr="0059638B">
        <w:rPr>
          <w:sz w:val="20"/>
          <w:szCs w:val="20"/>
        </w:rPr>
        <w:t>education</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sexual</w:t>
      </w:r>
      <w:r w:rsidR="00FF41A0">
        <w:rPr>
          <w:sz w:val="20"/>
          <w:szCs w:val="20"/>
        </w:rPr>
        <w:t xml:space="preserve"> </w:t>
      </w:r>
      <w:r w:rsidR="00323457" w:rsidRPr="0059638B">
        <w:rPr>
          <w:sz w:val="20"/>
          <w:szCs w:val="20"/>
        </w:rPr>
        <w:t>orientation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gender</w:t>
      </w:r>
      <w:r w:rsidR="00FF41A0">
        <w:rPr>
          <w:sz w:val="20"/>
          <w:szCs w:val="20"/>
        </w:rPr>
        <w:t xml:space="preserve"> </w:t>
      </w:r>
      <w:r w:rsidR="00323457" w:rsidRPr="0059638B">
        <w:rPr>
          <w:sz w:val="20"/>
          <w:szCs w:val="20"/>
        </w:rPr>
        <w:t>identity,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LGBTI</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however</w:t>
      </w:r>
      <w:r w:rsidR="00FF41A0">
        <w:rPr>
          <w:sz w:val="20"/>
          <w:szCs w:val="20"/>
        </w:rPr>
        <w:t xml:space="preserve"> </w:t>
      </w:r>
      <w:r w:rsidR="00323457" w:rsidRPr="0059638B">
        <w:rPr>
          <w:sz w:val="20"/>
          <w:szCs w:val="20"/>
        </w:rPr>
        <w:t>regretted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did</w:t>
      </w:r>
      <w:r w:rsidR="00FF41A0">
        <w:rPr>
          <w:sz w:val="20"/>
          <w:szCs w:val="20"/>
        </w:rPr>
        <w:t xml:space="preserve"> </w:t>
      </w:r>
      <w:r w:rsidR="00323457" w:rsidRPr="0059638B">
        <w:rPr>
          <w:sz w:val="20"/>
          <w:szCs w:val="20"/>
        </w:rPr>
        <w:t>not</w:t>
      </w:r>
      <w:r w:rsidR="00FF41A0">
        <w:rPr>
          <w:sz w:val="20"/>
          <w:szCs w:val="20"/>
        </w:rPr>
        <w:t xml:space="preserve"> </w:t>
      </w:r>
      <w:r w:rsidR="00323457" w:rsidRPr="0059638B">
        <w:rPr>
          <w:sz w:val="20"/>
          <w:szCs w:val="20"/>
        </w:rPr>
        <w:t>support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regarding</w:t>
      </w:r>
      <w:r w:rsidR="00FF41A0">
        <w:rPr>
          <w:sz w:val="20"/>
          <w:szCs w:val="20"/>
        </w:rPr>
        <w:t xml:space="preserve"> </w:t>
      </w:r>
      <w:r w:rsidR="00323457" w:rsidRPr="0059638B">
        <w:rPr>
          <w:sz w:val="20"/>
          <w:szCs w:val="20"/>
        </w:rPr>
        <w:t>access</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United</w:t>
      </w:r>
      <w:r w:rsidR="00FF41A0">
        <w:rPr>
          <w:sz w:val="20"/>
          <w:szCs w:val="20"/>
        </w:rPr>
        <w:t xml:space="preserve"> </w:t>
      </w:r>
      <w:r w:rsidR="00323457" w:rsidRPr="0059638B">
        <w:rPr>
          <w:sz w:val="20"/>
          <w:szCs w:val="20"/>
        </w:rPr>
        <w:t>Nations</w:t>
      </w:r>
      <w:r w:rsidR="00FF41A0">
        <w:rPr>
          <w:sz w:val="20"/>
          <w:szCs w:val="20"/>
        </w:rPr>
        <w:t xml:space="preserve"> </w:t>
      </w:r>
      <w:r w:rsidR="00323457" w:rsidRPr="0059638B">
        <w:rPr>
          <w:sz w:val="20"/>
          <w:szCs w:val="20"/>
        </w:rPr>
        <w:t>mechanisms</w:t>
      </w:r>
      <w:r w:rsidR="00FF41A0">
        <w:rPr>
          <w:sz w:val="20"/>
          <w:szCs w:val="20"/>
        </w:rPr>
        <w:t xml:space="preserve"> </w:t>
      </w:r>
      <w:r w:rsidR="00323457" w:rsidRPr="0059638B">
        <w:rPr>
          <w:sz w:val="20"/>
          <w:szCs w:val="20"/>
        </w:rPr>
        <w:t>while</w:t>
      </w:r>
      <w:r w:rsidR="00FF41A0">
        <w:rPr>
          <w:sz w:val="20"/>
          <w:szCs w:val="20"/>
        </w:rPr>
        <w:t xml:space="preserve"> </w:t>
      </w:r>
      <w:r w:rsidR="00323457" w:rsidRPr="0059638B">
        <w:rPr>
          <w:sz w:val="20"/>
          <w:szCs w:val="20"/>
        </w:rPr>
        <w:t>emphasizing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importance</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Council</w:t>
      </w:r>
      <w:r w:rsidR="00FF41A0">
        <w:rPr>
          <w:sz w:val="20"/>
          <w:szCs w:val="20"/>
        </w:rPr>
        <w:t xml:space="preserve"> </w:t>
      </w:r>
      <w:r w:rsidR="00323457" w:rsidRPr="0059638B">
        <w:rPr>
          <w:sz w:val="20"/>
          <w:szCs w:val="20"/>
        </w:rPr>
        <w:t>members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engage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dialogue</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mechanisms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provide</w:t>
      </w:r>
      <w:r w:rsidR="00FF41A0">
        <w:rPr>
          <w:sz w:val="20"/>
          <w:szCs w:val="20"/>
        </w:rPr>
        <w:t xml:space="preserve"> </w:t>
      </w:r>
      <w:r w:rsidR="00323457" w:rsidRPr="0059638B">
        <w:rPr>
          <w:sz w:val="20"/>
          <w:szCs w:val="20"/>
        </w:rPr>
        <w:t>transparent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unhindered</w:t>
      </w:r>
      <w:r w:rsidR="00FF41A0">
        <w:rPr>
          <w:sz w:val="20"/>
          <w:szCs w:val="20"/>
        </w:rPr>
        <w:t xml:space="preserve"> </w:t>
      </w:r>
      <w:r w:rsidR="00323457" w:rsidRPr="0059638B">
        <w:rPr>
          <w:sz w:val="20"/>
          <w:szCs w:val="20"/>
        </w:rPr>
        <w:t>access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them.</w:t>
      </w:r>
      <w:r w:rsidR="00FF41A0">
        <w:rPr>
          <w:sz w:val="20"/>
          <w:szCs w:val="20"/>
        </w:rPr>
        <w:t xml:space="preserve"> </w:t>
      </w:r>
    </w:p>
    <w:p w14:paraId="1A494C84" w14:textId="2412D4BE" w:rsidR="00323457" w:rsidRPr="0059638B" w:rsidRDefault="0035721D" w:rsidP="00323457">
      <w:pPr>
        <w:pStyle w:val="SingleTxtG"/>
        <w:rPr>
          <w:sz w:val="20"/>
          <w:szCs w:val="20"/>
        </w:rPr>
      </w:pPr>
      <w:r>
        <w:rPr>
          <w:sz w:val="20"/>
          <w:szCs w:val="20"/>
        </w:rPr>
        <w:t>839</w:t>
      </w:r>
      <w:r w:rsidR="00D226AB">
        <w:rPr>
          <w:sz w:val="20"/>
          <w:szCs w:val="20"/>
        </w:rPr>
        <w:t>.</w:t>
      </w:r>
      <w:r w:rsidR="00D226AB">
        <w:rPr>
          <w:sz w:val="20"/>
          <w:szCs w:val="20"/>
        </w:rPr>
        <w:tab/>
      </w:r>
      <w:r w:rsidR="00323457" w:rsidRPr="0059638B">
        <w:rPr>
          <w:sz w:val="20"/>
          <w:szCs w:val="20"/>
        </w:rPr>
        <w:t>Nigeria</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encouraged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note</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through</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economic</w:t>
      </w:r>
      <w:r w:rsidR="00FF41A0">
        <w:rPr>
          <w:sz w:val="20"/>
          <w:szCs w:val="20"/>
        </w:rPr>
        <w:t xml:space="preserve"> </w:t>
      </w:r>
      <w:r w:rsidR="00323457" w:rsidRPr="0059638B">
        <w:rPr>
          <w:sz w:val="20"/>
          <w:szCs w:val="20"/>
        </w:rPr>
        <w:t>policies</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succeeded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lifting</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large</w:t>
      </w:r>
      <w:r w:rsidR="00FF41A0">
        <w:rPr>
          <w:sz w:val="20"/>
          <w:szCs w:val="20"/>
        </w:rPr>
        <w:t xml:space="preserve"> </w:t>
      </w:r>
      <w:r w:rsidR="00323457" w:rsidRPr="0059638B">
        <w:rPr>
          <w:sz w:val="20"/>
          <w:szCs w:val="20"/>
        </w:rPr>
        <w:t>number</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people</w:t>
      </w:r>
      <w:r w:rsidR="00FF41A0">
        <w:rPr>
          <w:sz w:val="20"/>
          <w:szCs w:val="20"/>
        </w:rPr>
        <w:t xml:space="preserve"> </w:t>
      </w:r>
      <w:r w:rsidR="00323457" w:rsidRPr="0059638B">
        <w:rPr>
          <w:sz w:val="20"/>
          <w:szCs w:val="20"/>
        </w:rPr>
        <w:t>out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poverty</w:t>
      </w:r>
      <w:r w:rsidR="00FF41A0">
        <w:rPr>
          <w:sz w:val="20"/>
          <w:szCs w:val="20"/>
        </w:rPr>
        <w:t xml:space="preserve"> </w:t>
      </w:r>
      <w:r w:rsidR="00323457" w:rsidRPr="0059638B">
        <w:rPr>
          <w:sz w:val="20"/>
          <w:szCs w:val="20"/>
        </w:rPr>
        <w:t>thereby</w:t>
      </w:r>
      <w:r w:rsidR="00FF41A0">
        <w:rPr>
          <w:sz w:val="20"/>
          <w:szCs w:val="20"/>
        </w:rPr>
        <w:t xml:space="preserve"> </w:t>
      </w:r>
      <w:r w:rsidR="00323457" w:rsidRPr="0059638B">
        <w:rPr>
          <w:sz w:val="20"/>
          <w:szCs w:val="20"/>
        </w:rPr>
        <w:t>guaranteeing</w:t>
      </w:r>
      <w:r w:rsidR="00FF41A0">
        <w:rPr>
          <w:sz w:val="20"/>
          <w:szCs w:val="20"/>
        </w:rPr>
        <w:t xml:space="preserve"> </w:t>
      </w:r>
      <w:r w:rsidR="00323457" w:rsidRPr="0059638B">
        <w:rPr>
          <w:sz w:val="20"/>
          <w:szCs w:val="20"/>
        </w:rPr>
        <w:t>their</w:t>
      </w:r>
      <w:r w:rsidR="00FF41A0">
        <w:rPr>
          <w:sz w:val="20"/>
          <w:szCs w:val="20"/>
        </w:rPr>
        <w:t xml:space="preserve"> </w:t>
      </w:r>
      <w:r w:rsidR="00323457" w:rsidRPr="0059638B">
        <w:rPr>
          <w:sz w:val="20"/>
          <w:szCs w:val="20"/>
        </w:rPr>
        <w:t>full</w:t>
      </w:r>
      <w:r w:rsidR="00FF41A0">
        <w:rPr>
          <w:sz w:val="20"/>
          <w:szCs w:val="20"/>
        </w:rPr>
        <w:t xml:space="preserve"> </w:t>
      </w:r>
      <w:r w:rsidR="00323457" w:rsidRPr="0059638B">
        <w:rPr>
          <w:sz w:val="20"/>
          <w:szCs w:val="20"/>
        </w:rPr>
        <w:t>enjoyment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D72627">
        <w:rPr>
          <w:sz w:val="20"/>
          <w:szCs w:val="20"/>
        </w:rPr>
        <w:t xml:space="preserve"> </w:t>
      </w:r>
    </w:p>
    <w:p w14:paraId="090924EB" w14:textId="5D530440" w:rsidR="00323457" w:rsidRPr="0059638B" w:rsidRDefault="0035721D" w:rsidP="00323457">
      <w:pPr>
        <w:pStyle w:val="SingleTxtG"/>
        <w:rPr>
          <w:sz w:val="20"/>
          <w:szCs w:val="20"/>
          <w:lang w:val="en"/>
        </w:rPr>
      </w:pPr>
      <w:r>
        <w:rPr>
          <w:sz w:val="20"/>
          <w:szCs w:val="20"/>
          <w:lang w:val="en"/>
        </w:rPr>
        <w:t>840</w:t>
      </w:r>
      <w:r w:rsidR="00D226AB">
        <w:rPr>
          <w:sz w:val="20"/>
          <w:szCs w:val="20"/>
          <w:lang w:val="en"/>
        </w:rPr>
        <w:t>.</w:t>
      </w:r>
      <w:r w:rsidR="00D226AB">
        <w:rPr>
          <w:sz w:val="20"/>
          <w:szCs w:val="20"/>
          <w:lang w:val="en"/>
        </w:rPr>
        <w:tab/>
      </w:r>
      <w:r w:rsidR="00323457" w:rsidRPr="0059638B">
        <w:rPr>
          <w:sz w:val="20"/>
          <w:szCs w:val="20"/>
          <w:lang w:val="en"/>
        </w:rPr>
        <w:t>Norway</w:t>
      </w:r>
      <w:r w:rsidR="00FF41A0">
        <w:rPr>
          <w:sz w:val="20"/>
          <w:szCs w:val="20"/>
          <w:lang w:val="en"/>
        </w:rPr>
        <w:t xml:space="preserve"> </w:t>
      </w:r>
      <w:r w:rsidR="00323457" w:rsidRPr="0059638B">
        <w:rPr>
          <w:sz w:val="20"/>
          <w:szCs w:val="20"/>
          <w:lang w:val="en"/>
        </w:rPr>
        <w:t>welcomed</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acceptance</w:t>
      </w:r>
      <w:r w:rsidR="00FF41A0">
        <w:rPr>
          <w:sz w:val="20"/>
          <w:szCs w:val="20"/>
          <w:lang w:val="en"/>
        </w:rPr>
        <w:t xml:space="preserve"> </w:t>
      </w:r>
      <w:r w:rsidR="00323457" w:rsidRPr="0059638B">
        <w:rPr>
          <w:sz w:val="20"/>
          <w:szCs w:val="20"/>
          <w:lang w:val="en"/>
        </w:rPr>
        <w:t>by</w:t>
      </w:r>
      <w:r w:rsidR="00FF41A0">
        <w:rPr>
          <w:sz w:val="20"/>
          <w:szCs w:val="20"/>
          <w:lang w:val="en"/>
        </w:rPr>
        <w:t xml:space="preserve"> </w:t>
      </w:r>
      <w:r w:rsidR="00323457" w:rsidRPr="0059638B">
        <w:rPr>
          <w:sz w:val="20"/>
          <w:szCs w:val="20"/>
          <w:lang w:val="en"/>
        </w:rPr>
        <w:t>China</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its</w:t>
      </w:r>
      <w:r w:rsidR="00FF41A0">
        <w:rPr>
          <w:sz w:val="20"/>
          <w:szCs w:val="20"/>
          <w:lang w:val="en"/>
        </w:rPr>
        <w:t xml:space="preserve"> </w:t>
      </w:r>
      <w:r w:rsidR="00323457" w:rsidRPr="0059638B">
        <w:rPr>
          <w:sz w:val="20"/>
          <w:szCs w:val="20"/>
          <w:lang w:val="en"/>
        </w:rPr>
        <w:t>recommendations</w:t>
      </w:r>
      <w:r w:rsidR="00FF41A0">
        <w:rPr>
          <w:sz w:val="20"/>
          <w:szCs w:val="20"/>
          <w:lang w:val="en"/>
        </w:rPr>
        <w:t xml:space="preserve"> </w:t>
      </w:r>
      <w:r w:rsidR="00323457" w:rsidRPr="0059638B">
        <w:rPr>
          <w:sz w:val="20"/>
          <w:szCs w:val="20"/>
          <w:lang w:val="en"/>
        </w:rPr>
        <w:t>related</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human</w:t>
      </w:r>
      <w:r w:rsidR="00FF41A0">
        <w:rPr>
          <w:sz w:val="20"/>
          <w:szCs w:val="20"/>
          <w:lang w:val="en"/>
        </w:rPr>
        <w:t xml:space="preserve"> </w:t>
      </w:r>
      <w:r w:rsidR="00323457" w:rsidRPr="0059638B">
        <w:rPr>
          <w:sz w:val="20"/>
          <w:szCs w:val="20"/>
          <w:lang w:val="en"/>
        </w:rPr>
        <w:t>rights</w:t>
      </w:r>
      <w:r w:rsidR="00FF41A0">
        <w:rPr>
          <w:sz w:val="20"/>
          <w:szCs w:val="20"/>
          <w:lang w:val="en"/>
        </w:rPr>
        <w:t xml:space="preserve"> </w:t>
      </w:r>
      <w:r w:rsidR="00323457" w:rsidRPr="0059638B">
        <w:rPr>
          <w:sz w:val="20"/>
          <w:szCs w:val="20"/>
          <w:lang w:val="en"/>
        </w:rPr>
        <w:t>defenders</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freedom</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expression.</w:t>
      </w:r>
      <w:r w:rsidR="00FF41A0">
        <w:rPr>
          <w:sz w:val="20"/>
          <w:szCs w:val="20"/>
          <w:lang w:val="en"/>
        </w:rPr>
        <w:t xml:space="preserve"> </w:t>
      </w:r>
      <w:r w:rsidR="00323457" w:rsidRPr="0059638B">
        <w:rPr>
          <w:sz w:val="20"/>
          <w:szCs w:val="20"/>
          <w:lang w:val="en"/>
        </w:rPr>
        <w:t>It</w:t>
      </w:r>
      <w:r w:rsidR="00FF41A0">
        <w:rPr>
          <w:sz w:val="20"/>
          <w:szCs w:val="20"/>
          <w:lang w:val="en"/>
        </w:rPr>
        <w:t xml:space="preserve"> </w:t>
      </w:r>
      <w:r w:rsidR="00323457" w:rsidRPr="0059638B">
        <w:rPr>
          <w:sz w:val="20"/>
          <w:szCs w:val="20"/>
          <w:lang w:val="en"/>
        </w:rPr>
        <w:t>looked</w:t>
      </w:r>
      <w:r w:rsidR="00FF41A0">
        <w:rPr>
          <w:sz w:val="20"/>
          <w:szCs w:val="20"/>
          <w:lang w:val="en"/>
        </w:rPr>
        <w:t xml:space="preserve"> </w:t>
      </w:r>
      <w:r w:rsidR="00323457" w:rsidRPr="0059638B">
        <w:rPr>
          <w:sz w:val="20"/>
          <w:szCs w:val="20"/>
          <w:lang w:val="en"/>
        </w:rPr>
        <w:t>forward</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learning</w:t>
      </w:r>
      <w:r w:rsidR="00FF41A0">
        <w:rPr>
          <w:sz w:val="20"/>
          <w:szCs w:val="20"/>
          <w:lang w:val="en"/>
        </w:rPr>
        <w:t xml:space="preserve"> </w:t>
      </w:r>
      <w:r w:rsidR="00323457" w:rsidRPr="0059638B">
        <w:rPr>
          <w:sz w:val="20"/>
          <w:szCs w:val="20"/>
          <w:lang w:val="en"/>
        </w:rPr>
        <w:t>more</w:t>
      </w:r>
      <w:r w:rsidR="00FF41A0">
        <w:rPr>
          <w:sz w:val="20"/>
          <w:szCs w:val="20"/>
          <w:lang w:val="en"/>
        </w:rPr>
        <w:t xml:space="preserve"> </w:t>
      </w:r>
      <w:r w:rsidR="00323457" w:rsidRPr="0059638B">
        <w:rPr>
          <w:sz w:val="20"/>
          <w:szCs w:val="20"/>
          <w:lang w:val="en"/>
        </w:rPr>
        <w:t>about</w:t>
      </w:r>
      <w:r w:rsidR="00FF41A0">
        <w:rPr>
          <w:sz w:val="20"/>
          <w:szCs w:val="20"/>
          <w:lang w:val="en"/>
        </w:rPr>
        <w:t xml:space="preserve"> </w:t>
      </w:r>
      <w:r w:rsidR="00323457" w:rsidRPr="0059638B">
        <w:rPr>
          <w:sz w:val="20"/>
          <w:szCs w:val="20"/>
          <w:lang w:val="en"/>
        </w:rPr>
        <w:t>concrete</w:t>
      </w:r>
      <w:r w:rsidR="00FF41A0">
        <w:rPr>
          <w:sz w:val="20"/>
          <w:szCs w:val="20"/>
          <w:lang w:val="en"/>
        </w:rPr>
        <w:t xml:space="preserve"> </w:t>
      </w:r>
      <w:r w:rsidR="00323457" w:rsidRPr="0059638B">
        <w:rPr>
          <w:sz w:val="20"/>
          <w:szCs w:val="20"/>
          <w:lang w:val="en"/>
        </w:rPr>
        <w:t>measures</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be</w:t>
      </w:r>
      <w:r w:rsidR="00FF41A0">
        <w:rPr>
          <w:sz w:val="20"/>
          <w:szCs w:val="20"/>
          <w:lang w:val="en"/>
        </w:rPr>
        <w:t xml:space="preserve"> </w:t>
      </w:r>
      <w:r w:rsidR="00323457" w:rsidRPr="0059638B">
        <w:rPr>
          <w:sz w:val="20"/>
          <w:szCs w:val="20"/>
          <w:lang w:val="en"/>
        </w:rPr>
        <w:t>put</w:t>
      </w:r>
      <w:r w:rsidR="00FF41A0">
        <w:rPr>
          <w:sz w:val="20"/>
          <w:szCs w:val="20"/>
          <w:lang w:val="en"/>
        </w:rPr>
        <w:t xml:space="preserve"> </w:t>
      </w:r>
      <w:r w:rsidR="00323457" w:rsidRPr="0059638B">
        <w:rPr>
          <w:sz w:val="20"/>
          <w:szCs w:val="20"/>
          <w:lang w:val="en"/>
        </w:rPr>
        <w:t>in</w:t>
      </w:r>
      <w:r w:rsidR="00FF41A0">
        <w:rPr>
          <w:sz w:val="20"/>
          <w:szCs w:val="20"/>
          <w:lang w:val="en"/>
        </w:rPr>
        <w:t xml:space="preserve"> </w:t>
      </w:r>
      <w:r w:rsidR="00323457" w:rsidRPr="0059638B">
        <w:rPr>
          <w:sz w:val="20"/>
          <w:szCs w:val="20"/>
          <w:lang w:val="en"/>
        </w:rPr>
        <w:t>place</w:t>
      </w:r>
      <w:r w:rsidR="00FF41A0">
        <w:rPr>
          <w:sz w:val="20"/>
          <w:szCs w:val="20"/>
          <w:lang w:val="en"/>
        </w:rPr>
        <w:t xml:space="preserve"> </w:t>
      </w:r>
      <w:r w:rsidR="00323457" w:rsidRPr="0059638B">
        <w:rPr>
          <w:sz w:val="20"/>
          <w:szCs w:val="20"/>
          <w:lang w:val="en"/>
        </w:rPr>
        <w:t>by</w:t>
      </w:r>
      <w:r w:rsidR="00FF41A0">
        <w:rPr>
          <w:sz w:val="20"/>
          <w:szCs w:val="20"/>
          <w:lang w:val="en"/>
        </w:rPr>
        <w:t xml:space="preserve"> </w:t>
      </w:r>
      <w:r w:rsidR="00323457" w:rsidRPr="0059638B">
        <w:rPr>
          <w:sz w:val="20"/>
          <w:szCs w:val="20"/>
          <w:lang w:val="en"/>
        </w:rPr>
        <w:t>China</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create</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maintain</w:t>
      </w:r>
      <w:r w:rsidR="00FF41A0">
        <w:rPr>
          <w:sz w:val="20"/>
          <w:szCs w:val="20"/>
          <w:lang w:val="en"/>
        </w:rPr>
        <w:t xml:space="preserve"> </w:t>
      </w:r>
      <w:r w:rsidR="00323457" w:rsidRPr="0059638B">
        <w:rPr>
          <w:sz w:val="20"/>
          <w:szCs w:val="20"/>
          <w:lang w:val="en"/>
        </w:rPr>
        <w:t>a</w:t>
      </w:r>
      <w:r w:rsidR="00FF41A0">
        <w:rPr>
          <w:sz w:val="20"/>
          <w:szCs w:val="20"/>
          <w:lang w:val="en"/>
        </w:rPr>
        <w:t xml:space="preserve"> </w:t>
      </w:r>
      <w:r w:rsidR="00323457" w:rsidRPr="0059638B">
        <w:rPr>
          <w:sz w:val="20"/>
          <w:szCs w:val="20"/>
          <w:lang w:val="en"/>
        </w:rPr>
        <w:t>safe</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enabling</w:t>
      </w:r>
      <w:r w:rsidR="00FF41A0">
        <w:rPr>
          <w:sz w:val="20"/>
          <w:szCs w:val="20"/>
          <w:lang w:val="en"/>
        </w:rPr>
        <w:t xml:space="preserve"> </w:t>
      </w:r>
      <w:r w:rsidR="00323457" w:rsidRPr="0059638B">
        <w:rPr>
          <w:sz w:val="20"/>
          <w:szCs w:val="20"/>
          <w:lang w:val="en"/>
        </w:rPr>
        <w:lastRenderedPageBreak/>
        <w:t>environment</w:t>
      </w:r>
      <w:r w:rsidR="00FF41A0">
        <w:rPr>
          <w:sz w:val="20"/>
          <w:szCs w:val="20"/>
          <w:lang w:val="en"/>
        </w:rPr>
        <w:t xml:space="preserve"> </w:t>
      </w:r>
      <w:r w:rsidR="00323457" w:rsidRPr="0059638B">
        <w:rPr>
          <w:sz w:val="20"/>
          <w:szCs w:val="20"/>
          <w:lang w:val="en"/>
        </w:rPr>
        <w:t>for</w:t>
      </w:r>
      <w:r w:rsidR="00FF41A0">
        <w:rPr>
          <w:sz w:val="20"/>
          <w:szCs w:val="20"/>
          <w:lang w:val="en"/>
        </w:rPr>
        <w:t xml:space="preserve"> </w:t>
      </w:r>
      <w:r w:rsidR="00323457" w:rsidRPr="0059638B">
        <w:rPr>
          <w:sz w:val="20"/>
          <w:szCs w:val="20"/>
          <w:lang w:val="en"/>
        </w:rPr>
        <w:t>all</w:t>
      </w:r>
      <w:r w:rsidR="00FF41A0">
        <w:rPr>
          <w:sz w:val="20"/>
          <w:szCs w:val="20"/>
          <w:lang w:val="en"/>
        </w:rPr>
        <w:t xml:space="preserve"> </w:t>
      </w:r>
      <w:r w:rsidR="00323457" w:rsidRPr="0059638B">
        <w:rPr>
          <w:sz w:val="20"/>
          <w:szCs w:val="20"/>
          <w:lang w:val="en"/>
        </w:rPr>
        <w:t>human</w:t>
      </w:r>
      <w:r w:rsidR="00FF41A0">
        <w:rPr>
          <w:sz w:val="20"/>
          <w:szCs w:val="20"/>
          <w:lang w:val="en"/>
        </w:rPr>
        <w:t xml:space="preserve"> </w:t>
      </w:r>
      <w:r w:rsidR="00323457" w:rsidRPr="0059638B">
        <w:rPr>
          <w:sz w:val="20"/>
          <w:szCs w:val="20"/>
          <w:lang w:val="en"/>
        </w:rPr>
        <w:t>rights</w:t>
      </w:r>
      <w:r w:rsidR="00FF41A0">
        <w:rPr>
          <w:sz w:val="20"/>
          <w:szCs w:val="20"/>
          <w:lang w:val="en"/>
        </w:rPr>
        <w:t xml:space="preserve"> </w:t>
      </w:r>
      <w:r w:rsidR="00323457" w:rsidRPr="0059638B">
        <w:rPr>
          <w:sz w:val="20"/>
          <w:szCs w:val="20"/>
          <w:lang w:val="en"/>
        </w:rPr>
        <w:t>defenders,</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ensure</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freedom</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expression</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all</w:t>
      </w:r>
      <w:r w:rsidR="00FF41A0">
        <w:rPr>
          <w:sz w:val="20"/>
          <w:szCs w:val="20"/>
          <w:lang w:val="en"/>
        </w:rPr>
        <w:t xml:space="preserve"> </w:t>
      </w:r>
      <w:r w:rsidR="00323457" w:rsidRPr="0059638B">
        <w:rPr>
          <w:sz w:val="20"/>
          <w:szCs w:val="20"/>
          <w:lang w:val="en"/>
        </w:rPr>
        <w:t>citizens.</w:t>
      </w:r>
      <w:r w:rsidR="00FF41A0">
        <w:rPr>
          <w:sz w:val="20"/>
          <w:szCs w:val="20"/>
          <w:lang w:val="en"/>
        </w:rPr>
        <w:t xml:space="preserve"> </w:t>
      </w:r>
      <w:r w:rsidR="00323457" w:rsidRPr="0059638B">
        <w:rPr>
          <w:sz w:val="20"/>
          <w:szCs w:val="20"/>
          <w:lang w:val="en"/>
        </w:rPr>
        <w:t>It</w:t>
      </w:r>
      <w:r w:rsidR="00FF41A0">
        <w:rPr>
          <w:sz w:val="20"/>
          <w:szCs w:val="20"/>
          <w:lang w:val="en"/>
        </w:rPr>
        <w:t xml:space="preserve"> </w:t>
      </w:r>
      <w:r w:rsidR="00323457" w:rsidRPr="0059638B">
        <w:rPr>
          <w:sz w:val="20"/>
          <w:szCs w:val="20"/>
          <w:lang w:val="en"/>
        </w:rPr>
        <w:t>expressed</w:t>
      </w:r>
      <w:r w:rsidR="00FF41A0">
        <w:rPr>
          <w:sz w:val="20"/>
          <w:szCs w:val="20"/>
          <w:lang w:val="en"/>
        </w:rPr>
        <w:t xml:space="preserve"> </w:t>
      </w:r>
      <w:r w:rsidR="00323457" w:rsidRPr="0059638B">
        <w:rPr>
          <w:sz w:val="20"/>
          <w:szCs w:val="20"/>
          <w:lang w:val="en"/>
        </w:rPr>
        <w:t>disappointment</w:t>
      </w:r>
      <w:r w:rsidR="00FF41A0">
        <w:rPr>
          <w:sz w:val="20"/>
          <w:szCs w:val="20"/>
          <w:lang w:val="en"/>
        </w:rPr>
        <w:t xml:space="preserve"> </w:t>
      </w:r>
      <w:r w:rsidR="00323457" w:rsidRPr="0059638B">
        <w:rPr>
          <w:sz w:val="20"/>
          <w:szCs w:val="20"/>
          <w:lang w:val="en"/>
        </w:rPr>
        <w:t>that</w:t>
      </w:r>
      <w:r w:rsidR="00FF41A0">
        <w:rPr>
          <w:sz w:val="20"/>
          <w:szCs w:val="20"/>
          <w:lang w:val="en"/>
        </w:rPr>
        <w:t xml:space="preserve"> </w:t>
      </w:r>
      <w:r w:rsidR="00323457" w:rsidRPr="0059638B">
        <w:rPr>
          <w:sz w:val="20"/>
          <w:szCs w:val="20"/>
          <w:lang w:val="en"/>
        </w:rPr>
        <w:t>China</w:t>
      </w:r>
      <w:r w:rsidR="00FF41A0">
        <w:rPr>
          <w:sz w:val="20"/>
          <w:szCs w:val="20"/>
          <w:lang w:val="en"/>
        </w:rPr>
        <w:t xml:space="preserve"> </w:t>
      </w:r>
      <w:r w:rsidR="00323457" w:rsidRPr="0059638B">
        <w:rPr>
          <w:sz w:val="20"/>
          <w:szCs w:val="20"/>
          <w:lang w:val="en"/>
        </w:rPr>
        <w:t>did</w:t>
      </w:r>
      <w:r w:rsidR="00FF41A0">
        <w:rPr>
          <w:sz w:val="20"/>
          <w:szCs w:val="20"/>
          <w:lang w:val="en"/>
        </w:rPr>
        <w:t xml:space="preserve"> </w:t>
      </w:r>
      <w:r w:rsidR="00323457" w:rsidRPr="0059638B">
        <w:rPr>
          <w:sz w:val="20"/>
          <w:szCs w:val="20"/>
          <w:lang w:val="en"/>
        </w:rPr>
        <w:t>not</w:t>
      </w:r>
      <w:r w:rsidR="00FF41A0">
        <w:rPr>
          <w:sz w:val="20"/>
          <w:szCs w:val="20"/>
          <w:lang w:val="en"/>
        </w:rPr>
        <w:t xml:space="preserve"> </w:t>
      </w:r>
      <w:r w:rsidR="00323457" w:rsidRPr="0059638B">
        <w:rPr>
          <w:sz w:val="20"/>
          <w:szCs w:val="20"/>
          <w:lang w:val="en"/>
        </w:rPr>
        <w:t>support</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recommendation</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take</w:t>
      </w:r>
      <w:r w:rsidR="00FF41A0">
        <w:rPr>
          <w:sz w:val="20"/>
          <w:szCs w:val="20"/>
          <w:lang w:val="en"/>
        </w:rPr>
        <w:t xml:space="preserve"> </w:t>
      </w:r>
      <w:r w:rsidR="00323457" w:rsidRPr="0059638B">
        <w:rPr>
          <w:sz w:val="20"/>
          <w:szCs w:val="20"/>
          <w:lang w:val="en"/>
        </w:rPr>
        <w:t>steps</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abolish</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death</w:t>
      </w:r>
      <w:r w:rsidR="00FF41A0">
        <w:rPr>
          <w:sz w:val="20"/>
          <w:szCs w:val="20"/>
          <w:lang w:val="en"/>
        </w:rPr>
        <w:t xml:space="preserve"> </w:t>
      </w:r>
      <w:r w:rsidR="00323457" w:rsidRPr="0059638B">
        <w:rPr>
          <w:sz w:val="20"/>
          <w:szCs w:val="20"/>
          <w:lang w:val="en"/>
        </w:rPr>
        <w:t>penalty,</w:t>
      </w:r>
      <w:r w:rsidR="00FF41A0">
        <w:rPr>
          <w:sz w:val="20"/>
          <w:szCs w:val="20"/>
          <w:lang w:val="en"/>
        </w:rPr>
        <w:t xml:space="preserve"> </w:t>
      </w:r>
      <w:r w:rsidR="00323457" w:rsidRPr="0059638B">
        <w:rPr>
          <w:sz w:val="20"/>
          <w:szCs w:val="20"/>
          <w:lang w:val="en"/>
        </w:rPr>
        <w:t>and</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provide</w:t>
      </w:r>
      <w:r w:rsidR="00FF41A0">
        <w:rPr>
          <w:sz w:val="20"/>
          <w:szCs w:val="20"/>
          <w:lang w:val="en"/>
        </w:rPr>
        <w:t xml:space="preserve"> </w:t>
      </w:r>
      <w:r w:rsidR="00323457" w:rsidRPr="0059638B">
        <w:rPr>
          <w:sz w:val="20"/>
          <w:szCs w:val="20"/>
          <w:lang w:val="en"/>
        </w:rPr>
        <w:t>transparency</w:t>
      </w:r>
      <w:r w:rsidR="00FF41A0">
        <w:rPr>
          <w:sz w:val="20"/>
          <w:szCs w:val="20"/>
          <w:lang w:val="en"/>
        </w:rPr>
        <w:t xml:space="preserve"> </w:t>
      </w:r>
      <w:r w:rsidR="00323457" w:rsidRPr="0059638B">
        <w:rPr>
          <w:sz w:val="20"/>
          <w:szCs w:val="20"/>
          <w:lang w:val="en"/>
        </w:rPr>
        <w:t>on</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situation</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religious</w:t>
      </w:r>
      <w:r w:rsidR="00FF41A0">
        <w:rPr>
          <w:sz w:val="20"/>
          <w:szCs w:val="20"/>
          <w:lang w:val="en"/>
        </w:rPr>
        <w:t xml:space="preserve"> </w:t>
      </w:r>
      <w:r w:rsidR="00323457" w:rsidRPr="0059638B">
        <w:rPr>
          <w:sz w:val="20"/>
          <w:szCs w:val="20"/>
          <w:lang w:val="en"/>
        </w:rPr>
        <w:t>minorities</w:t>
      </w:r>
      <w:r w:rsidR="00FF41A0">
        <w:rPr>
          <w:sz w:val="20"/>
          <w:szCs w:val="20"/>
          <w:lang w:val="en"/>
        </w:rPr>
        <w:t xml:space="preserve"> </w:t>
      </w:r>
      <w:r w:rsidR="00323457" w:rsidRPr="0059638B">
        <w:rPr>
          <w:sz w:val="20"/>
          <w:szCs w:val="20"/>
          <w:lang w:val="en"/>
        </w:rPr>
        <w:t>in</w:t>
      </w:r>
      <w:r w:rsidR="00FF41A0">
        <w:rPr>
          <w:sz w:val="20"/>
          <w:szCs w:val="20"/>
          <w:lang w:val="en"/>
        </w:rPr>
        <w:t xml:space="preserve"> </w:t>
      </w:r>
      <w:r w:rsidR="00323457" w:rsidRPr="0059638B">
        <w:rPr>
          <w:sz w:val="20"/>
          <w:szCs w:val="20"/>
          <w:lang w:val="en"/>
        </w:rPr>
        <w:t>Xinjiang,</w:t>
      </w:r>
      <w:r w:rsidR="00FF41A0">
        <w:rPr>
          <w:sz w:val="20"/>
          <w:szCs w:val="20"/>
          <w:lang w:val="en"/>
        </w:rPr>
        <w:t xml:space="preserve"> </w:t>
      </w:r>
      <w:r w:rsidR="00323457" w:rsidRPr="0059638B">
        <w:rPr>
          <w:sz w:val="20"/>
          <w:szCs w:val="20"/>
          <w:lang w:val="en"/>
        </w:rPr>
        <w:t>including</w:t>
      </w:r>
      <w:r w:rsidR="00FF41A0">
        <w:rPr>
          <w:sz w:val="20"/>
          <w:szCs w:val="20"/>
          <w:lang w:val="en"/>
        </w:rPr>
        <w:t xml:space="preserve"> </w:t>
      </w:r>
      <w:r w:rsidR="00323457" w:rsidRPr="0059638B">
        <w:rPr>
          <w:sz w:val="20"/>
          <w:szCs w:val="20"/>
          <w:lang w:val="en"/>
        </w:rPr>
        <w:t>allowing</w:t>
      </w:r>
      <w:r w:rsidR="00FF41A0">
        <w:rPr>
          <w:sz w:val="20"/>
          <w:szCs w:val="20"/>
          <w:lang w:val="en"/>
        </w:rPr>
        <w:t xml:space="preserve"> </w:t>
      </w:r>
      <w:r w:rsidR="00323457" w:rsidRPr="0059638B">
        <w:rPr>
          <w:sz w:val="20"/>
          <w:szCs w:val="20"/>
          <w:lang w:val="en"/>
        </w:rPr>
        <w:t>United</w:t>
      </w:r>
      <w:r w:rsidR="00FF41A0">
        <w:rPr>
          <w:sz w:val="20"/>
          <w:szCs w:val="20"/>
          <w:lang w:val="en"/>
        </w:rPr>
        <w:t xml:space="preserve"> </w:t>
      </w:r>
      <w:r w:rsidR="00323457" w:rsidRPr="0059638B">
        <w:rPr>
          <w:sz w:val="20"/>
          <w:szCs w:val="20"/>
          <w:lang w:val="en"/>
        </w:rPr>
        <w:t>Nations-mandated</w:t>
      </w:r>
      <w:r w:rsidR="00FF41A0">
        <w:rPr>
          <w:sz w:val="20"/>
          <w:szCs w:val="20"/>
          <w:lang w:val="en"/>
        </w:rPr>
        <w:t xml:space="preserve"> </w:t>
      </w:r>
      <w:proofErr w:type="gramStart"/>
      <w:r w:rsidR="00323457" w:rsidRPr="0059638B">
        <w:rPr>
          <w:sz w:val="20"/>
          <w:szCs w:val="20"/>
          <w:lang w:val="en"/>
        </w:rPr>
        <w:t>observers</w:t>
      </w:r>
      <w:proofErr w:type="gramEnd"/>
      <w:r w:rsidR="00FF41A0">
        <w:rPr>
          <w:sz w:val="20"/>
          <w:szCs w:val="20"/>
          <w:lang w:val="en"/>
        </w:rPr>
        <w:t xml:space="preserve"> </w:t>
      </w:r>
      <w:r w:rsidR="00323457" w:rsidRPr="0059638B">
        <w:rPr>
          <w:sz w:val="20"/>
          <w:szCs w:val="20"/>
          <w:lang w:val="en"/>
        </w:rPr>
        <w:t>unrestricted</w:t>
      </w:r>
      <w:r w:rsidR="00FF41A0">
        <w:rPr>
          <w:sz w:val="20"/>
          <w:szCs w:val="20"/>
          <w:lang w:val="en"/>
        </w:rPr>
        <w:t xml:space="preserve"> </w:t>
      </w:r>
      <w:r w:rsidR="00323457" w:rsidRPr="0059638B">
        <w:rPr>
          <w:sz w:val="20"/>
          <w:szCs w:val="20"/>
          <w:lang w:val="en"/>
        </w:rPr>
        <w:t>access</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all</w:t>
      </w:r>
      <w:r w:rsidR="00FF41A0">
        <w:rPr>
          <w:sz w:val="20"/>
          <w:szCs w:val="20"/>
          <w:lang w:val="en"/>
        </w:rPr>
        <w:t xml:space="preserve"> </w:t>
      </w:r>
      <w:r w:rsidR="00323457" w:rsidRPr="0059638B">
        <w:rPr>
          <w:sz w:val="20"/>
          <w:szCs w:val="20"/>
          <w:lang w:val="en"/>
        </w:rPr>
        <w:t>places</w:t>
      </w:r>
      <w:r w:rsidR="00FF41A0">
        <w:rPr>
          <w:sz w:val="20"/>
          <w:szCs w:val="20"/>
          <w:lang w:val="en"/>
        </w:rPr>
        <w:t xml:space="preserve"> </w:t>
      </w:r>
      <w:r w:rsidR="00323457" w:rsidRPr="0059638B">
        <w:rPr>
          <w:sz w:val="20"/>
          <w:szCs w:val="20"/>
          <w:lang w:val="en"/>
        </w:rPr>
        <w:t>of</w:t>
      </w:r>
      <w:r w:rsidR="00FF41A0">
        <w:rPr>
          <w:sz w:val="20"/>
          <w:szCs w:val="20"/>
          <w:lang w:val="en"/>
        </w:rPr>
        <w:t xml:space="preserve"> </w:t>
      </w:r>
      <w:r w:rsidR="00323457" w:rsidRPr="0059638B">
        <w:rPr>
          <w:sz w:val="20"/>
          <w:szCs w:val="20"/>
          <w:lang w:val="en"/>
        </w:rPr>
        <w:t>internment.</w:t>
      </w:r>
      <w:r w:rsidR="00FF41A0">
        <w:rPr>
          <w:sz w:val="20"/>
          <w:szCs w:val="20"/>
          <w:lang w:val="en"/>
        </w:rPr>
        <w:t xml:space="preserve"> </w:t>
      </w:r>
      <w:r w:rsidR="00323457" w:rsidRPr="0059638B">
        <w:rPr>
          <w:sz w:val="20"/>
          <w:szCs w:val="20"/>
          <w:lang w:val="en"/>
        </w:rPr>
        <w:t>While</w:t>
      </w:r>
      <w:r w:rsidR="00FF41A0">
        <w:rPr>
          <w:sz w:val="20"/>
          <w:szCs w:val="20"/>
          <w:lang w:val="en"/>
        </w:rPr>
        <w:t xml:space="preserve"> </w:t>
      </w:r>
      <w:r w:rsidR="00323457" w:rsidRPr="0059638B">
        <w:rPr>
          <w:sz w:val="20"/>
          <w:szCs w:val="20"/>
          <w:lang w:val="en"/>
        </w:rPr>
        <w:t>noting</w:t>
      </w:r>
      <w:r w:rsidR="00FF41A0">
        <w:rPr>
          <w:sz w:val="20"/>
          <w:szCs w:val="20"/>
          <w:lang w:val="en"/>
        </w:rPr>
        <w:t xml:space="preserve"> </w:t>
      </w:r>
      <w:r w:rsidR="00323457" w:rsidRPr="0059638B">
        <w:rPr>
          <w:sz w:val="20"/>
          <w:szCs w:val="20"/>
          <w:lang w:val="en"/>
        </w:rPr>
        <w:t>that</w:t>
      </w:r>
      <w:r w:rsidR="00FF41A0">
        <w:rPr>
          <w:sz w:val="20"/>
          <w:szCs w:val="20"/>
          <w:lang w:val="en"/>
        </w:rPr>
        <w:t xml:space="preserve"> </w:t>
      </w:r>
      <w:r w:rsidR="00323457" w:rsidRPr="0059638B">
        <w:rPr>
          <w:sz w:val="20"/>
          <w:szCs w:val="20"/>
          <w:lang w:val="en"/>
        </w:rPr>
        <w:t>China</w:t>
      </w:r>
      <w:r w:rsidR="00FF41A0">
        <w:rPr>
          <w:sz w:val="20"/>
          <w:szCs w:val="20"/>
          <w:lang w:val="en"/>
        </w:rPr>
        <w:t xml:space="preserve"> </w:t>
      </w:r>
      <w:r w:rsidR="00323457" w:rsidRPr="0059638B">
        <w:rPr>
          <w:sz w:val="20"/>
          <w:szCs w:val="20"/>
          <w:lang w:val="en"/>
        </w:rPr>
        <w:t>had</w:t>
      </w:r>
      <w:r w:rsidR="00FF41A0">
        <w:rPr>
          <w:sz w:val="20"/>
          <w:szCs w:val="20"/>
          <w:lang w:val="en"/>
        </w:rPr>
        <w:t xml:space="preserve"> </w:t>
      </w:r>
      <w:r w:rsidR="00323457" w:rsidRPr="0059638B">
        <w:rPr>
          <w:sz w:val="20"/>
          <w:szCs w:val="20"/>
          <w:lang w:val="en"/>
        </w:rPr>
        <w:t>extended</w:t>
      </w:r>
      <w:r w:rsidR="00FF41A0">
        <w:rPr>
          <w:sz w:val="20"/>
          <w:szCs w:val="20"/>
          <w:lang w:val="en"/>
        </w:rPr>
        <w:t xml:space="preserve"> </w:t>
      </w:r>
      <w:r w:rsidR="00323457" w:rsidRPr="0059638B">
        <w:rPr>
          <w:sz w:val="20"/>
          <w:szCs w:val="20"/>
          <w:lang w:val="en"/>
        </w:rPr>
        <w:t>an</w:t>
      </w:r>
      <w:r w:rsidR="00FF41A0">
        <w:rPr>
          <w:sz w:val="20"/>
          <w:szCs w:val="20"/>
          <w:lang w:val="en"/>
        </w:rPr>
        <w:t xml:space="preserve"> </w:t>
      </w:r>
      <w:r w:rsidR="00323457" w:rsidRPr="0059638B">
        <w:rPr>
          <w:sz w:val="20"/>
          <w:szCs w:val="20"/>
          <w:lang w:val="en"/>
        </w:rPr>
        <w:t>invitation</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High</w:t>
      </w:r>
      <w:r w:rsidR="00FF41A0">
        <w:rPr>
          <w:sz w:val="20"/>
          <w:szCs w:val="20"/>
          <w:lang w:val="en"/>
        </w:rPr>
        <w:t xml:space="preserve"> </w:t>
      </w:r>
      <w:r w:rsidR="00323457" w:rsidRPr="0059638B">
        <w:rPr>
          <w:sz w:val="20"/>
          <w:szCs w:val="20"/>
          <w:lang w:val="en"/>
        </w:rPr>
        <w:t>Commissioner</w:t>
      </w:r>
      <w:r w:rsidR="00FF41A0">
        <w:rPr>
          <w:sz w:val="20"/>
          <w:szCs w:val="20"/>
          <w:lang w:val="en"/>
        </w:rPr>
        <w:t xml:space="preserve"> </w:t>
      </w:r>
      <w:r w:rsidR="00323457" w:rsidRPr="0059638B">
        <w:rPr>
          <w:sz w:val="20"/>
          <w:szCs w:val="20"/>
          <w:lang w:val="en"/>
        </w:rPr>
        <w:t>for</w:t>
      </w:r>
      <w:r w:rsidR="00FF41A0">
        <w:rPr>
          <w:sz w:val="20"/>
          <w:szCs w:val="20"/>
          <w:lang w:val="en"/>
        </w:rPr>
        <w:t xml:space="preserve"> </w:t>
      </w:r>
      <w:r w:rsidR="00323457" w:rsidRPr="0059638B">
        <w:rPr>
          <w:sz w:val="20"/>
          <w:szCs w:val="20"/>
          <w:lang w:val="en"/>
        </w:rPr>
        <w:t>Human</w:t>
      </w:r>
      <w:r w:rsidR="00FF41A0">
        <w:rPr>
          <w:sz w:val="20"/>
          <w:szCs w:val="20"/>
          <w:lang w:val="en"/>
        </w:rPr>
        <w:t xml:space="preserve"> </w:t>
      </w:r>
      <w:r w:rsidR="00323457" w:rsidRPr="0059638B">
        <w:rPr>
          <w:sz w:val="20"/>
          <w:szCs w:val="20"/>
          <w:lang w:val="en"/>
        </w:rPr>
        <w:t>Rights</w:t>
      </w:r>
      <w:r w:rsidR="00FF41A0">
        <w:rPr>
          <w:sz w:val="20"/>
          <w:szCs w:val="20"/>
          <w:lang w:val="en"/>
        </w:rPr>
        <w:t xml:space="preserve"> </w:t>
      </w:r>
      <w:r w:rsidR="00323457" w:rsidRPr="0059638B">
        <w:rPr>
          <w:sz w:val="20"/>
          <w:szCs w:val="20"/>
          <w:lang w:val="en"/>
        </w:rPr>
        <w:t>to</w:t>
      </w:r>
      <w:r w:rsidR="00FF41A0">
        <w:rPr>
          <w:sz w:val="20"/>
          <w:szCs w:val="20"/>
          <w:lang w:val="en"/>
        </w:rPr>
        <w:t xml:space="preserve"> </w:t>
      </w:r>
      <w:r w:rsidR="00323457" w:rsidRPr="0059638B">
        <w:rPr>
          <w:sz w:val="20"/>
          <w:szCs w:val="20"/>
          <w:lang w:val="en"/>
        </w:rPr>
        <w:t>visit</w:t>
      </w:r>
      <w:r w:rsidR="00FF41A0">
        <w:rPr>
          <w:sz w:val="20"/>
          <w:szCs w:val="20"/>
          <w:lang w:val="en"/>
        </w:rPr>
        <w:t xml:space="preserve"> </w:t>
      </w:r>
      <w:r w:rsidR="00323457" w:rsidRPr="0059638B">
        <w:rPr>
          <w:sz w:val="20"/>
          <w:szCs w:val="20"/>
          <w:lang w:val="en"/>
        </w:rPr>
        <w:t>the</w:t>
      </w:r>
      <w:r w:rsidR="00FF41A0">
        <w:rPr>
          <w:sz w:val="20"/>
          <w:szCs w:val="20"/>
          <w:lang w:val="en"/>
        </w:rPr>
        <w:t xml:space="preserve"> </w:t>
      </w:r>
      <w:r w:rsidR="00323457" w:rsidRPr="0059638B">
        <w:rPr>
          <w:sz w:val="20"/>
          <w:szCs w:val="20"/>
          <w:lang w:val="en"/>
        </w:rPr>
        <w:t>region,</w:t>
      </w:r>
      <w:r w:rsidR="00FF41A0">
        <w:rPr>
          <w:sz w:val="20"/>
          <w:szCs w:val="20"/>
          <w:lang w:val="en"/>
        </w:rPr>
        <w:t xml:space="preserve"> </w:t>
      </w:r>
      <w:r w:rsidR="00323457" w:rsidRPr="0059638B">
        <w:rPr>
          <w:sz w:val="20"/>
          <w:szCs w:val="20"/>
          <w:lang w:val="en"/>
        </w:rPr>
        <w:t>Norway</w:t>
      </w:r>
      <w:r w:rsidR="00FF41A0">
        <w:rPr>
          <w:sz w:val="20"/>
          <w:szCs w:val="20"/>
          <w:lang w:val="en"/>
        </w:rPr>
        <w:t xml:space="preserve"> </w:t>
      </w:r>
      <w:r w:rsidR="00323457" w:rsidRPr="0059638B">
        <w:rPr>
          <w:sz w:val="20"/>
          <w:szCs w:val="20"/>
          <w:lang w:val="en"/>
        </w:rPr>
        <w:t>expressed</w:t>
      </w:r>
      <w:r w:rsidR="00FF41A0">
        <w:rPr>
          <w:sz w:val="20"/>
          <w:szCs w:val="20"/>
          <w:lang w:val="en"/>
        </w:rPr>
        <w:t xml:space="preserve"> </w:t>
      </w:r>
      <w:r w:rsidR="00323457" w:rsidRPr="0059638B">
        <w:rPr>
          <w:sz w:val="20"/>
          <w:szCs w:val="20"/>
          <w:lang w:val="en"/>
        </w:rPr>
        <w:t>hope</w:t>
      </w:r>
      <w:r w:rsidR="00FF41A0">
        <w:rPr>
          <w:sz w:val="20"/>
          <w:szCs w:val="20"/>
          <w:lang w:val="en"/>
        </w:rPr>
        <w:t xml:space="preserve"> </w:t>
      </w:r>
      <w:r w:rsidR="00323457" w:rsidRPr="0059638B">
        <w:rPr>
          <w:sz w:val="20"/>
          <w:szCs w:val="20"/>
          <w:lang w:val="en"/>
        </w:rPr>
        <w:t>that</w:t>
      </w:r>
      <w:r w:rsidR="00FF41A0">
        <w:rPr>
          <w:sz w:val="20"/>
          <w:szCs w:val="20"/>
          <w:lang w:val="en"/>
        </w:rPr>
        <w:t xml:space="preserve"> </w:t>
      </w:r>
      <w:r w:rsidR="00323457" w:rsidRPr="0059638B">
        <w:rPr>
          <w:sz w:val="20"/>
          <w:szCs w:val="20"/>
          <w:lang w:val="en"/>
        </w:rPr>
        <w:t>an</w:t>
      </w:r>
      <w:r w:rsidR="00FF41A0">
        <w:rPr>
          <w:sz w:val="20"/>
          <w:szCs w:val="20"/>
          <w:lang w:val="en"/>
        </w:rPr>
        <w:t xml:space="preserve"> </w:t>
      </w:r>
      <w:r w:rsidR="00323457" w:rsidRPr="0059638B">
        <w:rPr>
          <w:sz w:val="20"/>
          <w:szCs w:val="20"/>
          <w:lang w:val="en"/>
        </w:rPr>
        <w:t>unrestricted</w:t>
      </w:r>
      <w:r w:rsidR="00FF41A0">
        <w:rPr>
          <w:sz w:val="20"/>
          <w:szCs w:val="20"/>
          <w:lang w:val="en"/>
        </w:rPr>
        <w:t xml:space="preserve"> </w:t>
      </w:r>
      <w:r w:rsidR="00323457" w:rsidRPr="0059638B">
        <w:rPr>
          <w:sz w:val="20"/>
          <w:szCs w:val="20"/>
          <w:lang w:val="en"/>
        </w:rPr>
        <w:t>visit</w:t>
      </w:r>
      <w:r w:rsidR="00FF41A0">
        <w:rPr>
          <w:sz w:val="20"/>
          <w:szCs w:val="20"/>
          <w:lang w:val="en"/>
        </w:rPr>
        <w:t xml:space="preserve"> </w:t>
      </w:r>
      <w:r w:rsidR="00323457" w:rsidRPr="0059638B">
        <w:rPr>
          <w:sz w:val="20"/>
          <w:szCs w:val="20"/>
          <w:lang w:val="en"/>
        </w:rPr>
        <w:t>would</w:t>
      </w:r>
      <w:r w:rsidR="00FF41A0">
        <w:rPr>
          <w:sz w:val="20"/>
          <w:szCs w:val="20"/>
          <w:lang w:val="en"/>
        </w:rPr>
        <w:t xml:space="preserve"> </w:t>
      </w:r>
      <w:r w:rsidR="00323457" w:rsidRPr="0059638B">
        <w:rPr>
          <w:sz w:val="20"/>
          <w:szCs w:val="20"/>
          <w:lang w:val="en"/>
        </w:rPr>
        <w:t>soon</w:t>
      </w:r>
      <w:r w:rsidR="00FF41A0">
        <w:rPr>
          <w:sz w:val="20"/>
          <w:szCs w:val="20"/>
          <w:lang w:val="en"/>
        </w:rPr>
        <w:t xml:space="preserve"> </w:t>
      </w:r>
      <w:r w:rsidR="00323457" w:rsidRPr="0059638B">
        <w:rPr>
          <w:sz w:val="20"/>
          <w:szCs w:val="20"/>
          <w:lang w:val="en"/>
        </w:rPr>
        <w:t>take</w:t>
      </w:r>
      <w:r w:rsidR="00FF41A0">
        <w:rPr>
          <w:sz w:val="20"/>
          <w:szCs w:val="20"/>
          <w:lang w:val="en"/>
        </w:rPr>
        <w:t xml:space="preserve"> </w:t>
      </w:r>
      <w:r w:rsidR="00323457" w:rsidRPr="0059638B">
        <w:rPr>
          <w:sz w:val="20"/>
          <w:szCs w:val="20"/>
          <w:lang w:val="en"/>
        </w:rPr>
        <w:t>place.</w:t>
      </w:r>
      <w:r w:rsidR="00FF41A0">
        <w:rPr>
          <w:sz w:val="20"/>
          <w:szCs w:val="20"/>
          <w:lang w:val="en"/>
        </w:rPr>
        <w:t xml:space="preserve"> </w:t>
      </w:r>
    </w:p>
    <w:p w14:paraId="3EDA115B" w14:textId="1BA1B432" w:rsidR="00323457" w:rsidRPr="0059638B" w:rsidRDefault="0035721D" w:rsidP="00323457">
      <w:pPr>
        <w:pStyle w:val="SingleTxtG"/>
        <w:rPr>
          <w:sz w:val="20"/>
          <w:szCs w:val="20"/>
        </w:rPr>
      </w:pPr>
      <w:r>
        <w:rPr>
          <w:sz w:val="20"/>
          <w:szCs w:val="20"/>
        </w:rPr>
        <w:t>841</w:t>
      </w:r>
      <w:r w:rsidR="00D226AB">
        <w:rPr>
          <w:sz w:val="20"/>
          <w:szCs w:val="20"/>
        </w:rPr>
        <w:t>.</w:t>
      </w:r>
      <w:r w:rsidR="00D226AB">
        <w:rPr>
          <w:sz w:val="20"/>
          <w:szCs w:val="20"/>
        </w:rPr>
        <w:tab/>
      </w:r>
      <w:r w:rsidR="00323457" w:rsidRPr="0059638B">
        <w:rPr>
          <w:sz w:val="20"/>
          <w:szCs w:val="20"/>
        </w:rPr>
        <w:t>Oman</w:t>
      </w:r>
      <w:r w:rsidR="00FF41A0">
        <w:rPr>
          <w:sz w:val="20"/>
          <w:szCs w:val="20"/>
        </w:rPr>
        <w:t xml:space="preserve"> </w:t>
      </w:r>
      <w:r w:rsidR="00323457" w:rsidRPr="0059638B">
        <w:rPr>
          <w:sz w:val="20"/>
          <w:szCs w:val="20"/>
        </w:rPr>
        <w:t>commended</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achievements</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field</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thanked</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accepting</w:t>
      </w:r>
      <w:r w:rsidR="00FF41A0">
        <w:rPr>
          <w:sz w:val="20"/>
          <w:szCs w:val="20"/>
        </w:rPr>
        <w:t xml:space="preserve"> </w:t>
      </w:r>
      <w:r w:rsidR="00323457" w:rsidRPr="0059638B">
        <w:rPr>
          <w:sz w:val="20"/>
          <w:szCs w:val="20"/>
        </w:rPr>
        <w:t>284</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particularly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one</w:t>
      </w:r>
      <w:r w:rsidR="00FF41A0">
        <w:rPr>
          <w:sz w:val="20"/>
          <w:szCs w:val="20"/>
        </w:rPr>
        <w:t xml:space="preserve"> </w:t>
      </w:r>
      <w:r w:rsidR="00323457" w:rsidRPr="0059638B">
        <w:rPr>
          <w:sz w:val="20"/>
          <w:szCs w:val="20"/>
        </w:rPr>
        <w:t>put</w:t>
      </w:r>
      <w:r w:rsidR="00FF41A0">
        <w:rPr>
          <w:sz w:val="20"/>
          <w:szCs w:val="20"/>
        </w:rPr>
        <w:t xml:space="preserve"> </w:t>
      </w:r>
      <w:r w:rsidR="00323457" w:rsidRPr="0059638B">
        <w:rPr>
          <w:sz w:val="20"/>
          <w:szCs w:val="20"/>
        </w:rPr>
        <w:t>forth</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Oman.</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China</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cooperation</w:t>
      </w:r>
      <w:r w:rsidR="00FF41A0">
        <w:rPr>
          <w:sz w:val="20"/>
          <w:szCs w:val="20"/>
        </w:rPr>
        <w:t xml:space="preserve"> </w:t>
      </w:r>
      <w:r w:rsidR="00323457" w:rsidRPr="0059638B">
        <w:rPr>
          <w:sz w:val="20"/>
          <w:szCs w:val="20"/>
        </w:rPr>
        <w:t>model,</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is</w:t>
      </w:r>
      <w:r w:rsidR="00FF41A0">
        <w:rPr>
          <w:sz w:val="20"/>
          <w:szCs w:val="20"/>
        </w:rPr>
        <w:t xml:space="preserve"> </w:t>
      </w:r>
      <w:r w:rsidR="00323457" w:rsidRPr="0059638B">
        <w:rPr>
          <w:sz w:val="20"/>
          <w:szCs w:val="20"/>
        </w:rPr>
        <w:t>based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respect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cultural</w:t>
      </w:r>
      <w:r w:rsidR="00FF41A0">
        <w:rPr>
          <w:sz w:val="20"/>
          <w:szCs w:val="20"/>
        </w:rPr>
        <w:t xml:space="preserve"> </w:t>
      </w:r>
      <w:r w:rsidR="00323457" w:rsidRPr="0059638B">
        <w:rPr>
          <w:sz w:val="20"/>
          <w:szCs w:val="20"/>
        </w:rPr>
        <w:t>plurality,</w:t>
      </w:r>
      <w:r w:rsidR="00FF41A0">
        <w:rPr>
          <w:sz w:val="20"/>
          <w:szCs w:val="20"/>
        </w:rPr>
        <w:t xml:space="preserve"> </w:t>
      </w:r>
      <w:r w:rsidR="00323457" w:rsidRPr="0059638B">
        <w:rPr>
          <w:sz w:val="20"/>
          <w:szCs w:val="20"/>
        </w:rPr>
        <w:t>reflects</w:t>
      </w:r>
      <w:r w:rsidR="00FF41A0">
        <w:rPr>
          <w:sz w:val="20"/>
          <w:szCs w:val="20"/>
        </w:rPr>
        <w:t xml:space="preserve"> </w:t>
      </w:r>
      <w:r w:rsidR="00323457" w:rsidRPr="0059638B">
        <w:rPr>
          <w:sz w:val="20"/>
          <w:szCs w:val="20"/>
        </w:rPr>
        <w:t>values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society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enrichment</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peace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security.</w:t>
      </w:r>
      <w:r w:rsidR="00FF41A0">
        <w:rPr>
          <w:sz w:val="20"/>
          <w:szCs w:val="20"/>
        </w:rPr>
        <w:t xml:space="preserve"> </w:t>
      </w:r>
    </w:p>
    <w:p w14:paraId="4ED89C8F" w14:textId="24122D1E" w:rsidR="00323457" w:rsidRPr="0059638B" w:rsidRDefault="0035721D" w:rsidP="00323457">
      <w:pPr>
        <w:pStyle w:val="SingleTxtG"/>
        <w:rPr>
          <w:sz w:val="20"/>
          <w:szCs w:val="20"/>
        </w:rPr>
      </w:pPr>
      <w:r>
        <w:rPr>
          <w:sz w:val="20"/>
          <w:szCs w:val="20"/>
        </w:rPr>
        <w:t>842</w:t>
      </w:r>
      <w:r w:rsidR="00D226AB">
        <w:rPr>
          <w:sz w:val="20"/>
          <w:szCs w:val="20"/>
        </w:rPr>
        <w:t>.</w:t>
      </w:r>
      <w:r w:rsidR="00D226AB">
        <w:rPr>
          <w:sz w:val="20"/>
          <w:szCs w:val="20"/>
        </w:rPr>
        <w:tab/>
      </w:r>
      <w:r w:rsidR="00323457" w:rsidRPr="0059638B">
        <w:rPr>
          <w:sz w:val="20"/>
          <w:szCs w:val="20"/>
        </w:rPr>
        <w:t>Pakistan</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recent</w:t>
      </w:r>
      <w:r w:rsidR="00FF41A0">
        <w:rPr>
          <w:sz w:val="20"/>
          <w:szCs w:val="20"/>
        </w:rPr>
        <w:t xml:space="preserve"> </w:t>
      </w:r>
      <w:r w:rsidR="00323457" w:rsidRPr="0059638B">
        <w:rPr>
          <w:sz w:val="20"/>
          <w:szCs w:val="20"/>
        </w:rPr>
        <w:t>positive</w:t>
      </w:r>
      <w:r w:rsidR="00FF41A0">
        <w:rPr>
          <w:sz w:val="20"/>
          <w:szCs w:val="20"/>
        </w:rPr>
        <w:t xml:space="preserve"> </w:t>
      </w:r>
      <w:r w:rsidR="00323457" w:rsidRPr="0059638B">
        <w:rPr>
          <w:sz w:val="20"/>
          <w:szCs w:val="20"/>
        </w:rPr>
        <w:t>developments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particularly</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establishment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an</w:t>
      </w:r>
      <w:r w:rsidR="00FF41A0">
        <w:rPr>
          <w:sz w:val="20"/>
          <w:szCs w:val="20"/>
        </w:rPr>
        <w:t xml:space="preserve"> </w:t>
      </w:r>
      <w:r w:rsidR="00323457" w:rsidRPr="0059638B">
        <w:rPr>
          <w:sz w:val="20"/>
          <w:szCs w:val="20"/>
        </w:rPr>
        <w:t>inter-agency</w:t>
      </w:r>
      <w:r w:rsidR="00FF41A0">
        <w:rPr>
          <w:sz w:val="20"/>
          <w:szCs w:val="20"/>
        </w:rPr>
        <w:t xml:space="preserve"> </w:t>
      </w:r>
      <w:r w:rsidR="00323457" w:rsidRPr="0059638B">
        <w:rPr>
          <w:sz w:val="20"/>
          <w:szCs w:val="20"/>
        </w:rPr>
        <w:t>working</w:t>
      </w:r>
      <w:r w:rsidR="00FF41A0">
        <w:rPr>
          <w:sz w:val="20"/>
          <w:szCs w:val="20"/>
        </w:rPr>
        <w:t xml:space="preserve"> </w:t>
      </w:r>
      <w:r w:rsidR="00323457" w:rsidRPr="0059638B">
        <w:rPr>
          <w:sz w:val="20"/>
          <w:szCs w:val="20"/>
        </w:rPr>
        <w:t>group</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implement</w:t>
      </w:r>
      <w:r w:rsidR="00FF41A0">
        <w:rPr>
          <w:sz w:val="20"/>
          <w:szCs w:val="20"/>
        </w:rPr>
        <w:t xml:space="preserve"> </w:t>
      </w:r>
      <w:r w:rsidR="00323457" w:rsidRPr="0059638B">
        <w:rPr>
          <w:sz w:val="20"/>
          <w:szCs w:val="20"/>
        </w:rPr>
        <w:t>accepted</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China</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announcement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30</w:t>
      </w:r>
      <w:r w:rsidR="00FF41A0">
        <w:rPr>
          <w:sz w:val="20"/>
          <w:szCs w:val="20"/>
        </w:rPr>
        <w:t xml:space="preserve"> </w:t>
      </w:r>
      <w:r w:rsidR="00323457" w:rsidRPr="0059638B">
        <w:rPr>
          <w:sz w:val="20"/>
          <w:szCs w:val="20"/>
        </w:rPr>
        <w:t>new</w:t>
      </w:r>
      <w:r w:rsidR="00FF41A0">
        <w:rPr>
          <w:sz w:val="20"/>
          <w:szCs w:val="20"/>
        </w:rPr>
        <w:t xml:space="preserve"> </w:t>
      </w:r>
      <w:r w:rsidR="00323457" w:rsidRPr="0059638B">
        <w:rPr>
          <w:sz w:val="20"/>
          <w:szCs w:val="20"/>
        </w:rPr>
        <w:t>measures</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covers</w:t>
      </w:r>
      <w:r w:rsidR="00FF41A0">
        <w:rPr>
          <w:sz w:val="20"/>
          <w:szCs w:val="20"/>
        </w:rPr>
        <w:t xml:space="preserve"> </w:t>
      </w:r>
      <w:r w:rsidR="00323457" w:rsidRPr="0059638B">
        <w:rPr>
          <w:sz w:val="20"/>
          <w:szCs w:val="20"/>
        </w:rPr>
        <w:t>legislation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judiciary,</w:t>
      </w:r>
      <w:r w:rsidR="00FF41A0">
        <w:rPr>
          <w:sz w:val="20"/>
          <w:szCs w:val="20"/>
        </w:rPr>
        <w:t xml:space="preserve"> </w:t>
      </w:r>
      <w:r w:rsidR="00323457" w:rsidRPr="0059638B">
        <w:rPr>
          <w:sz w:val="20"/>
          <w:szCs w:val="20"/>
        </w:rPr>
        <w:t>poverty</w:t>
      </w:r>
      <w:r w:rsidR="00FF41A0">
        <w:rPr>
          <w:sz w:val="20"/>
          <w:szCs w:val="20"/>
        </w:rPr>
        <w:t xml:space="preserve"> </w:t>
      </w:r>
      <w:r w:rsidR="00323457" w:rsidRPr="0059638B">
        <w:rPr>
          <w:sz w:val="20"/>
          <w:szCs w:val="20"/>
        </w:rPr>
        <w:t>reduction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elimination,</w:t>
      </w:r>
      <w:r w:rsidR="00FF41A0">
        <w:rPr>
          <w:sz w:val="20"/>
          <w:szCs w:val="20"/>
        </w:rPr>
        <w:t xml:space="preserve"> </w:t>
      </w:r>
      <w:r w:rsidR="00323457" w:rsidRPr="0059638B">
        <w:rPr>
          <w:sz w:val="20"/>
          <w:szCs w:val="20"/>
        </w:rPr>
        <w:t>health,</w:t>
      </w:r>
      <w:r w:rsidR="00FF41A0">
        <w:rPr>
          <w:sz w:val="20"/>
          <w:szCs w:val="20"/>
        </w:rPr>
        <w:t xml:space="preserve"> </w:t>
      </w:r>
      <w:r w:rsidR="00323457" w:rsidRPr="0059638B">
        <w:rPr>
          <w:sz w:val="20"/>
          <w:szCs w:val="20"/>
        </w:rPr>
        <w:t>environmental</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cooperation.</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outcomes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visit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delegation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Organization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Islamic</w:t>
      </w:r>
      <w:r w:rsidR="00FF41A0">
        <w:rPr>
          <w:sz w:val="20"/>
          <w:szCs w:val="20"/>
        </w:rPr>
        <w:t xml:space="preserve"> </w:t>
      </w:r>
      <w:r w:rsidR="00323457" w:rsidRPr="0059638B">
        <w:rPr>
          <w:sz w:val="20"/>
          <w:szCs w:val="20"/>
        </w:rPr>
        <w:t>Cooperation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acknowledged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providing</w:t>
      </w:r>
      <w:r w:rsidR="00FF41A0">
        <w:rPr>
          <w:sz w:val="20"/>
          <w:szCs w:val="20"/>
        </w:rPr>
        <w:t xml:space="preserve"> </w:t>
      </w:r>
      <w:r w:rsidR="00323457" w:rsidRPr="0059638B">
        <w:rPr>
          <w:sz w:val="20"/>
          <w:szCs w:val="20"/>
        </w:rPr>
        <w:t>care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Muslim</w:t>
      </w:r>
      <w:r w:rsidR="00FF41A0">
        <w:rPr>
          <w:sz w:val="20"/>
          <w:szCs w:val="20"/>
        </w:rPr>
        <w:t xml:space="preserve"> </w:t>
      </w:r>
      <w:r w:rsidR="00323457" w:rsidRPr="0059638B">
        <w:rPr>
          <w:sz w:val="20"/>
          <w:szCs w:val="20"/>
        </w:rPr>
        <w:t>citizens.</w:t>
      </w:r>
      <w:r w:rsidR="00FF41A0">
        <w:rPr>
          <w:sz w:val="20"/>
          <w:szCs w:val="20"/>
        </w:rPr>
        <w:t xml:space="preserve"> </w:t>
      </w:r>
    </w:p>
    <w:p w14:paraId="66FB053F" w14:textId="6FA0FCFA" w:rsidR="00323457" w:rsidRPr="0059638B" w:rsidRDefault="0035721D" w:rsidP="00323457">
      <w:pPr>
        <w:pStyle w:val="SingleTxtG"/>
        <w:rPr>
          <w:sz w:val="20"/>
          <w:szCs w:val="20"/>
        </w:rPr>
      </w:pPr>
      <w:r>
        <w:rPr>
          <w:sz w:val="20"/>
          <w:szCs w:val="20"/>
        </w:rPr>
        <w:t>843</w:t>
      </w:r>
      <w:r w:rsidR="00D226AB">
        <w:rPr>
          <w:sz w:val="20"/>
          <w:szCs w:val="20"/>
        </w:rPr>
        <w:t>.</w:t>
      </w:r>
      <w:r w:rsidR="00D226AB">
        <w:rPr>
          <w:sz w:val="20"/>
          <w:szCs w:val="20"/>
        </w:rPr>
        <w:tab/>
      </w:r>
      <w:r w:rsidR="00323457" w:rsidRPr="0059638B">
        <w:rPr>
          <w:sz w:val="20"/>
          <w:szCs w:val="20"/>
        </w:rPr>
        <w:t>The</w:t>
      </w:r>
      <w:r w:rsidR="00FF41A0">
        <w:rPr>
          <w:sz w:val="20"/>
          <w:szCs w:val="20"/>
        </w:rPr>
        <w:t xml:space="preserve"> </w:t>
      </w:r>
      <w:r w:rsidR="00323457" w:rsidRPr="0059638B">
        <w:rPr>
          <w:sz w:val="20"/>
          <w:szCs w:val="20"/>
        </w:rPr>
        <w:t>Philippines</w:t>
      </w:r>
      <w:r w:rsidR="00FF41A0">
        <w:rPr>
          <w:sz w:val="20"/>
          <w:szCs w:val="20"/>
        </w:rPr>
        <w:t xml:space="preserve"> </w:t>
      </w:r>
      <w:r w:rsidR="00323457" w:rsidRPr="0059638B">
        <w:rPr>
          <w:sz w:val="20"/>
          <w:szCs w:val="20"/>
        </w:rPr>
        <w:t>thanked</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accepting</w:t>
      </w:r>
      <w:r w:rsidR="00FF41A0">
        <w:rPr>
          <w:sz w:val="20"/>
          <w:szCs w:val="20"/>
        </w:rPr>
        <w:t xml:space="preserve"> </w:t>
      </w:r>
      <w:r w:rsidR="00323457" w:rsidRPr="0059638B">
        <w:rPr>
          <w:sz w:val="20"/>
          <w:szCs w:val="20"/>
        </w:rPr>
        <w:t>three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presented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Philippines</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persons</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disabilities,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fight</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illegal</w:t>
      </w:r>
      <w:r w:rsidR="00FF41A0">
        <w:rPr>
          <w:sz w:val="20"/>
          <w:szCs w:val="20"/>
        </w:rPr>
        <w:t xml:space="preserve"> </w:t>
      </w:r>
      <w:r w:rsidR="00323457" w:rsidRPr="0059638B">
        <w:rPr>
          <w:sz w:val="20"/>
          <w:szCs w:val="20"/>
        </w:rPr>
        <w:t>drugs,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strengthening</w:t>
      </w:r>
      <w:r w:rsidR="00FF41A0">
        <w:rPr>
          <w:sz w:val="20"/>
          <w:szCs w:val="20"/>
        </w:rPr>
        <w:t xml:space="preserve"> </w:t>
      </w:r>
      <w:r w:rsidR="00323457" w:rsidRPr="0059638B">
        <w:rPr>
          <w:sz w:val="20"/>
          <w:szCs w:val="20"/>
        </w:rPr>
        <w:t>migrant</w:t>
      </w:r>
      <w:r w:rsidR="00FF41A0">
        <w:rPr>
          <w:sz w:val="20"/>
          <w:szCs w:val="20"/>
        </w:rPr>
        <w:t xml:space="preserve"> </w:t>
      </w:r>
      <w:r w:rsidR="00323457" w:rsidRPr="0059638B">
        <w:rPr>
          <w:sz w:val="20"/>
          <w:szCs w:val="20"/>
        </w:rPr>
        <w:t>worker</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priority</w:t>
      </w:r>
      <w:r w:rsidR="00FF41A0">
        <w:rPr>
          <w:sz w:val="20"/>
          <w:szCs w:val="20"/>
        </w:rPr>
        <w:t xml:space="preserve"> </w:t>
      </w:r>
      <w:r w:rsidR="00323457" w:rsidRPr="0059638B">
        <w:rPr>
          <w:sz w:val="20"/>
          <w:szCs w:val="20"/>
        </w:rPr>
        <w:t>given</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promoting</w:t>
      </w:r>
      <w:r w:rsidR="00FF41A0">
        <w:rPr>
          <w:sz w:val="20"/>
          <w:szCs w:val="20"/>
        </w:rPr>
        <w:t xml:space="preserve"> </w:t>
      </w:r>
      <w:r w:rsidR="00323457" w:rsidRPr="0059638B">
        <w:rPr>
          <w:sz w:val="20"/>
          <w:szCs w:val="20"/>
        </w:rPr>
        <w:t>socio-economic</w:t>
      </w:r>
      <w:r w:rsidR="00FF41A0">
        <w:rPr>
          <w:sz w:val="20"/>
          <w:szCs w:val="20"/>
        </w:rPr>
        <w:t xml:space="preserve"> </w:t>
      </w:r>
      <w:r w:rsidR="00323457" w:rsidRPr="0059638B">
        <w:rPr>
          <w:sz w:val="20"/>
          <w:szCs w:val="20"/>
        </w:rPr>
        <w:t>development,</w:t>
      </w:r>
      <w:r w:rsidR="00FF41A0">
        <w:rPr>
          <w:sz w:val="20"/>
          <w:szCs w:val="20"/>
        </w:rPr>
        <w:t xml:space="preserve"> </w:t>
      </w:r>
      <w:r w:rsidR="00323457" w:rsidRPr="0059638B">
        <w:rPr>
          <w:sz w:val="20"/>
          <w:szCs w:val="20"/>
        </w:rPr>
        <w:t>addressing</w:t>
      </w:r>
      <w:r w:rsidR="00FF41A0">
        <w:rPr>
          <w:sz w:val="20"/>
          <w:szCs w:val="20"/>
        </w:rPr>
        <w:t xml:space="preserve"> </w:t>
      </w:r>
      <w:r w:rsidR="00323457" w:rsidRPr="0059638B">
        <w:rPr>
          <w:sz w:val="20"/>
          <w:szCs w:val="20"/>
        </w:rPr>
        <w:t>poverty</w:t>
      </w:r>
      <w:r w:rsidR="00FF41A0">
        <w:rPr>
          <w:sz w:val="20"/>
          <w:szCs w:val="20"/>
        </w:rPr>
        <w:t xml:space="preserve"> </w:t>
      </w:r>
      <w:r w:rsidR="00323457" w:rsidRPr="0059638B">
        <w:rPr>
          <w:sz w:val="20"/>
          <w:szCs w:val="20"/>
        </w:rPr>
        <w:t>reduction,</w:t>
      </w:r>
      <w:r w:rsidR="00FF41A0">
        <w:rPr>
          <w:sz w:val="20"/>
          <w:szCs w:val="20"/>
        </w:rPr>
        <w:t xml:space="preserve"> </w:t>
      </w:r>
      <w:r w:rsidR="00323457" w:rsidRPr="0059638B">
        <w:rPr>
          <w:sz w:val="20"/>
          <w:szCs w:val="20"/>
        </w:rPr>
        <w:t>tackling</w:t>
      </w:r>
      <w:r w:rsidR="00FF41A0">
        <w:rPr>
          <w:sz w:val="20"/>
          <w:szCs w:val="20"/>
        </w:rPr>
        <w:t xml:space="preserve"> </w:t>
      </w:r>
      <w:r w:rsidR="00323457" w:rsidRPr="0059638B">
        <w:rPr>
          <w:sz w:val="20"/>
          <w:szCs w:val="20"/>
        </w:rPr>
        <w:t>terrorism,</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strengthening</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cooperation.</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strongly</w:t>
      </w:r>
      <w:r w:rsidR="00FF41A0">
        <w:rPr>
          <w:sz w:val="20"/>
          <w:szCs w:val="20"/>
        </w:rPr>
        <w:t xml:space="preserve"> </w:t>
      </w:r>
      <w:r w:rsidR="00323457" w:rsidRPr="0059638B">
        <w:rPr>
          <w:sz w:val="20"/>
          <w:szCs w:val="20"/>
        </w:rPr>
        <w:t>encouraged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commitment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continuing</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advancing</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country.</w:t>
      </w:r>
    </w:p>
    <w:p w14:paraId="47051FEC" w14:textId="6320FD83" w:rsidR="00323457" w:rsidRPr="0059638B" w:rsidRDefault="00323457" w:rsidP="00323457">
      <w:pPr>
        <w:pStyle w:val="H23G"/>
        <w:rPr>
          <w:sz w:val="20"/>
          <w:szCs w:val="20"/>
        </w:rPr>
      </w:pPr>
      <w:r w:rsidRPr="0059638B">
        <w:rPr>
          <w:sz w:val="20"/>
          <w:szCs w:val="20"/>
        </w:rPr>
        <w:tab/>
        <w:t>3.</w:t>
      </w:r>
      <w:r w:rsidRPr="0059638B">
        <w:rPr>
          <w:sz w:val="20"/>
          <w:szCs w:val="20"/>
        </w:rPr>
        <w:tab/>
        <w:t>General</w:t>
      </w:r>
      <w:r w:rsidR="00FF41A0">
        <w:rPr>
          <w:sz w:val="20"/>
          <w:szCs w:val="20"/>
        </w:rPr>
        <w:t xml:space="preserve"> </w:t>
      </w:r>
      <w:r w:rsidRPr="0059638B">
        <w:rPr>
          <w:sz w:val="20"/>
          <w:szCs w:val="20"/>
        </w:rPr>
        <w:t>comments</w:t>
      </w:r>
      <w:r w:rsidR="00FF41A0">
        <w:rPr>
          <w:sz w:val="20"/>
          <w:szCs w:val="20"/>
        </w:rPr>
        <w:t xml:space="preserve"> </w:t>
      </w:r>
      <w:r w:rsidRPr="0059638B">
        <w:rPr>
          <w:sz w:val="20"/>
          <w:szCs w:val="20"/>
        </w:rPr>
        <w:t>made</w:t>
      </w:r>
      <w:r w:rsidR="00FF41A0">
        <w:rPr>
          <w:sz w:val="20"/>
          <w:szCs w:val="20"/>
        </w:rPr>
        <w:t xml:space="preserve"> </w:t>
      </w:r>
      <w:r w:rsidRPr="0059638B">
        <w:rPr>
          <w:sz w:val="20"/>
          <w:szCs w:val="20"/>
        </w:rPr>
        <w:t>by</w:t>
      </w:r>
      <w:r w:rsidR="00FF41A0">
        <w:rPr>
          <w:sz w:val="20"/>
          <w:szCs w:val="20"/>
        </w:rPr>
        <w:t xml:space="preserve"> </w:t>
      </w:r>
      <w:r w:rsidRPr="0059638B">
        <w:rPr>
          <w:sz w:val="20"/>
          <w:szCs w:val="20"/>
        </w:rPr>
        <w:t>other</w:t>
      </w:r>
      <w:r w:rsidR="00FF41A0">
        <w:rPr>
          <w:sz w:val="20"/>
          <w:szCs w:val="20"/>
        </w:rPr>
        <w:t xml:space="preserve"> </w:t>
      </w:r>
      <w:r w:rsidRPr="0059638B">
        <w:rPr>
          <w:sz w:val="20"/>
          <w:szCs w:val="20"/>
        </w:rPr>
        <w:t>stakeholders</w:t>
      </w:r>
    </w:p>
    <w:p w14:paraId="2AA67900" w14:textId="6C6498ED" w:rsidR="00323457" w:rsidRPr="0059638B" w:rsidRDefault="0035721D" w:rsidP="00323457">
      <w:pPr>
        <w:pStyle w:val="SingleTxtG"/>
        <w:rPr>
          <w:sz w:val="20"/>
          <w:szCs w:val="20"/>
        </w:rPr>
      </w:pPr>
      <w:r>
        <w:rPr>
          <w:sz w:val="20"/>
          <w:szCs w:val="20"/>
        </w:rPr>
        <w:t>844</w:t>
      </w:r>
      <w:r w:rsidR="00D226AB">
        <w:rPr>
          <w:sz w:val="20"/>
          <w:szCs w:val="20"/>
        </w:rPr>
        <w:t>.</w:t>
      </w:r>
      <w:r w:rsidR="00D226AB">
        <w:rPr>
          <w:sz w:val="20"/>
          <w:szCs w:val="20"/>
        </w:rPr>
        <w:tab/>
      </w:r>
      <w:r w:rsidR="00323457" w:rsidRPr="0059638B">
        <w:rPr>
          <w:sz w:val="20"/>
          <w:szCs w:val="20"/>
        </w:rPr>
        <w:t>During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adoption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outcome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10</w:t>
      </w:r>
      <w:r w:rsidR="00FF41A0">
        <w:rPr>
          <w:sz w:val="20"/>
          <w:szCs w:val="20"/>
        </w:rPr>
        <w:t xml:space="preserve"> </w:t>
      </w:r>
      <w:r w:rsidR="00323457" w:rsidRPr="0059638B">
        <w:rPr>
          <w:sz w:val="20"/>
          <w:szCs w:val="20"/>
        </w:rPr>
        <w:t>other</w:t>
      </w:r>
      <w:r w:rsidR="00FF41A0">
        <w:rPr>
          <w:sz w:val="20"/>
          <w:szCs w:val="20"/>
        </w:rPr>
        <w:t xml:space="preserve"> </w:t>
      </w:r>
      <w:r w:rsidR="00323457" w:rsidRPr="0059638B">
        <w:rPr>
          <w:sz w:val="20"/>
          <w:szCs w:val="20"/>
        </w:rPr>
        <w:t>stakeholders</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statements.</w:t>
      </w:r>
      <w:r w:rsidR="000943B0" w:rsidRPr="000943B0">
        <w:rPr>
          <w:rStyle w:val="FootnoteReference"/>
          <w:sz w:val="20"/>
          <w:szCs w:val="20"/>
          <w:vertAlign w:val="baseline"/>
        </w:rPr>
        <w:footnoteReference w:customMarkFollows="1" w:id="61"/>
        <w:t>**</w:t>
      </w:r>
      <w:r w:rsidR="00FF41A0">
        <w:rPr>
          <w:sz w:val="20"/>
          <w:szCs w:val="20"/>
        </w:rPr>
        <w:t xml:space="preserve"> </w:t>
      </w:r>
    </w:p>
    <w:p w14:paraId="4F7CCDCA" w14:textId="338D2D06" w:rsidR="00323457" w:rsidRPr="0059638B" w:rsidRDefault="0035721D" w:rsidP="00323457">
      <w:pPr>
        <w:pStyle w:val="SingleTxtG"/>
        <w:rPr>
          <w:sz w:val="20"/>
          <w:szCs w:val="20"/>
        </w:rPr>
      </w:pPr>
      <w:r>
        <w:rPr>
          <w:sz w:val="20"/>
          <w:szCs w:val="20"/>
        </w:rPr>
        <w:t>845</w:t>
      </w:r>
      <w:r w:rsidR="00D226AB">
        <w:rPr>
          <w:sz w:val="20"/>
          <w:szCs w:val="20"/>
        </w:rPr>
        <w:t>.</w:t>
      </w:r>
      <w:r w:rsidR="00D226AB">
        <w:rPr>
          <w:sz w:val="20"/>
          <w:szCs w:val="20"/>
        </w:rPr>
        <w:tab/>
      </w:r>
      <w:r w:rsidR="00323457" w:rsidRPr="0059638B">
        <w:rPr>
          <w:sz w:val="20"/>
          <w:szCs w:val="20"/>
        </w:rPr>
        <w:t>The</w:t>
      </w:r>
      <w:r w:rsidR="00FF41A0">
        <w:rPr>
          <w:sz w:val="20"/>
          <w:szCs w:val="20"/>
        </w:rPr>
        <w:t xml:space="preserve"> </w:t>
      </w:r>
      <w:r w:rsidR="00323457" w:rsidRPr="0059638B">
        <w:rPr>
          <w:sz w:val="20"/>
          <w:szCs w:val="20"/>
        </w:rPr>
        <w:t>United</w:t>
      </w:r>
      <w:r w:rsidR="00FF41A0">
        <w:rPr>
          <w:sz w:val="20"/>
          <w:szCs w:val="20"/>
        </w:rPr>
        <w:t xml:space="preserve"> </w:t>
      </w:r>
      <w:r w:rsidR="00323457" w:rsidRPr="0059638B">
        <w:rPr>
          <w:sz w:val="20"/>
          <w:szCs w:val="20"/>
        </w:rPr>
        <w:t>Nations</w:t>
      </w:r>
      <w:r w:rsidR="00FF41A0">
        <w:rPr>
          <w:sz w:val="20"/>
          <w:szCs w:val="20"/>
        </w:rPr>
        <w:t xml:space="preserve"> </w:t>
      </w:r>
      <w:r w:rsidR="00323457" w:rsidRPr="0059638B">
        <w:rPr>
          <w:sz w:val="20"/>
          <w:szCs w:val="20"/>
        </w:rPr>
        <w:t>Association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joint</w:t>
      </w:r>
      <w:r w:rsidR="00FF41A0">
        <w:rPr>
          <w:sz w:val="20"/>
          <w:szCs w:val="20"/>
        </w:rPr>
        <w:t xml:space="preserve"> </w:t>
      </w:r>
      <w:r w:rsidR="00323457" w:rsidRPr="0059638B">
        <w:rPr>
          <w:sz w:val="20"/>
          <w:szCs w:val="20"/>
        </w:rPr>
        <w:t>statement</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Asociacion</w:t>
      </w:r>
      <w:r w:rsidR="00FF41A0">
        <w:rPr>
          <w:sz w:val="20"/>
          <w:szCs w:val="20"/>
        </w:rPr>
        <w:t xml:space="preserve"> </w:t>
      </w:r>
      <w:r w:rsidR="00323457" w:rsidRPr="0059638B">
        <w:rPr>
          <w:sz w:val="20"/>
          <w:szCs w:val="20"/>
        </w:rPr>
        <w:t>Cubana</w:t>
      </w:r>
      <w:r w:rsidR="00FF41A0">
        <w:rPr>
          <w:sz w:val="20"/>
          <w:szCs w:val="20"/>
        </w:rPr>
        <w:t xml:space="preserve"> </w:t>
      </w:r>
      <w:r w:rsidR="00323457" w:rsidRPr="0059638B">
        <w:rPr>
          <w:sz w:val="20"/>
          <w:szCs w:val="20"/>
        </w:rPr>
        <w:t>de</w:t>
      </w:r>
      <w:r w:rsidR="00FF41A0">
        <w:rPr>
          <w:sz w:val="20"/>
          <w:szCs w:val="20"/>
        </w:rPr>
        <w:t xml:space="preserve"> </w:t>
      </w:r>
      <w:r w:rsidR="00323457" w:rsidRPr="0059638B">
        <w:rPr>
          <w:sz w:val="20"/>
          <w:szCs w:val="20"/>
        </w:rPr>
        <w:t>las</w:t>
      </w:r>
      <w:r w:rsidR="00FF41A0">
        <w:rPr>
          <w:sz w:val="20"/>
          <w:szCs w:val="20"/>
        </w:rPr>
        <w:t xml:space="preserve"> </w:t>
      </w:r>
      <w:r w:rsidR="00323457" w:rsidRPr="0059638B">
        <w:rPr>
          <w:sz w:val="20"/>
          <w:szCs w:val="20"/>
        </w:rPr>
        <w:t>Naciones</w:t>
      </w:r>
      <w:r w:rsidR="00FF41A0">
        <w:rPr>
          <w:sz w:val="20"/>
          <w:szCs w:val="20"/>
        </w:rPr>
        <w:t xml:space="preserve"> </w:t>
      </w:r>
      <w:r w:rsidR="00323457" w:rsidRPr="0059638B">
        <w:rPr>
          <w:sz w:val="20"/>
          <w:szCs w:val="20"/>
        </w:rPr>
        <w:t>Unidas,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Association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Cuban</w:t>
      </w:r>
      <w:r w:rsidR="00FF41A0">
        <w:rPr>
          <w:sz w:val="20"/>
          <w:szCs w:val="20"/>
        </w:rPr>
        <w:t xml:space="preserve"> </w:t>
      </w:r>
      <w:r w:rsidR="00323457" w:rsidRPr="0059638B">
        <w:rPr>
          <w:sz w:val="20"/>
          <w:szCs w:val="20"/>
        </w:rPr>
        <w:t>Economist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Union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Jurists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Cuba,</w:t>
      </w:r>
      <w:r w:rsidR="00FF41A0">
        <w:rPr>
          <w:sz w:val="20"/>
          <w:szCs w:val="20"/>
        </w:rPr>
        <w:t xml:space="preserve"> </w:t>
      </w:r>
      <w:r w:rsidR="00323457" w:rsidRPr="0059638B">
        <w:rPr>
          <w:sz w:val="20"/>
          <w:szCs w:val="20"/>
        </w:rPr>
        <w:t>commended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putting</w:t>
      </w:r>
      <w:r w:rsidR="00FF41A0">
        <w:rPr>
          <w:sz w:val="20"/>
          <w:szCs w:val="20"/>
        </w:rPr>
        <w:t xml:space="preserve"> </w:t>
      </w:r>
      <w:r w:rsidR="00323457" w:rsidRPr="0059638B">
        <w:rPr>
          <w:sz w:val="20"/>
          <w:szCs w:val="20"/>
        </w:rPr>
        <w:t>forward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reform</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educational</w:t>
      </w:r>
      <w:r w:rsidR="00FF41A0">
        <w:rPr>
          <w:sz w:val="20"/>
          <w:szCs w:val="20"/>
        </w:rPr>
        <w:t xml:space="preserve"> </w:t>
      </w:r>
      <w:r w:rsidR="00323457" w:rsidRPr="0059638B">
        <w:rPr>
          <w:sz w:val="20"/>
          <w:szCs w:val="20"/>
        </w:rPr>
        <w:t>system</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make</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more</w:t>
      </w:r>
      <w:r w:rsidR="00FF41A0">
        <w:rPr>
          <w:sz w:val="20"/>
          <w:szCs w:val="20"/>
        </w:rPr>
        <w:t xml:space="preserve"> </w:t>
      </w:r>
      <w:r w:rsidR="00323457" w:rsidRPr="0059638B">
        <w:rPr>
          <w:sz w:val="20"/>
          <w:szCs w:val="20"/>
        </w:rPr>
        <w:t>transparent.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organizations</w:t>
      </w:r>
      <w:r w:rsidR="00FF41A0">
        <w:rPr>
          <w:sz w:val="20"/>
          <w:szCs w:val="20"/>
        </w:rPr>
        <w:t xml:space="preserve"> </w:t>
      </w:r>
      <w:r w:rsidR="00323457" w:rsidRPr="0059638B">
        <w:rPr>
          <w:sz w:val="20"/>
          <w:szCs w:val="20"/>
        </w:rPr>
        <w:t>urged</w:t>
      </w:r>
      <w:r w:rsidR="00FF41A0">
        <w:rPr>
          <w:sz w:val="20"/>
          <w:szCs w:val="20"/>
        </w:rPr>
        <w:t xml:space="preserve"> </w:t>
      </w:r>
      <w:r w:rsidR="00323457" w:rsidRPr="0059638B">
        <w:rPr>
          <w:sz w:val="20"/>
          <w:szCs w:val="20"/>
        </w:rPr>
        <w:t>governmental</w:t>
      </w:r>
      <w:r w:rsidR="00FF41A0">
        <w:rPr>
          <w:sz w:val="20"/>
          <w:szCs w:val="20"/>
        </w:rPr>
        <w:t xml:space="preserve"> </w:t>
      </w:r>
      <w:r w:rsidR="00323457" w:rsidRPr="0059638B">
        <w:rPr>
          <w:sz w:val="20"/>
          <w:szCs w:val="20"/>
        </w:rPr>
        <w:t>NGOs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promote</w:t>
      </w:r>
      <w:r w:rsidR="00FF41A0">
        <w:rPr>
          <w:sz w:val="20"/>
          <w:szCs w:val="20"/>
        </w:rPr>
        <w:t xml:space="preserve"> </w:t>
      </w:r>
      <w:r w:rsidR="00323457" w:rsidRPr="0059638B">
        <w:rPr>
          <w:sz w:val="20"/>
          <w:szCs w:val="20"/>
        </w:rPr>
        <w:t>constructive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impartial</w:t>
      </w:r>
      <w:r w:rsidR="00FF41A0">
        <w:rPr>
          <w:sz w:val="20"/>
          <w:szCs w:val="20"/>
        </w:rPr>
        <w:t xml:space="preserve"> </w:t>
      </w:r>
      <w:r w:rsidR="00323457" w:rsidRPr="0059638B">
        <w:rPr>
          <w:sz w:val="20"/>
          <w:szCs w:val="20"/>
        </w:rPr>
        <w:t>exchanges</w:t>
      </w:r>
      <w:r w:rsidR="00FF41A0">
        <w:rPr>
          <w:sz w:val="20"/>
          <w:szCs w:val="20"/>
        </w:rPr>
        <w:t xml:space="preserve"> </w:t>
      </w:r>
      <w:r w:rsidR="00323457" w:rsidRPr="0059638B">
        <w:rPr>
          <w:sz w:val="20"/>
          <w:szCs w:val="20"/>
        </w:rPr>
        <w:t>through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They</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they</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engaging</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education,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no</w:t>
      </w:r>
      <w:r w:rsidR="00FF41A0">
        <w:rPr>
          <w:sz w:val="20"/>
          <w:szCs w:val="20"/>
        </w:rPr>
        <w:t xml:space="preserve"> </w:t>
      </w:r>
      <w:r w:rsidR="00323457" w:rsidRPr="0059638B">
        <w:rPr>
          <w:sz w:val="20"/>
          <w:szCs w:val="20"/>
        </w:rPr>
        <w:t>person</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monopoly</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explanation</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values.</w:t>
      </w:r>
    </w:p>
    <w:p w14:paraId="01EFA198" w14:textId="78C3F5B9" w:rsidR="00323457" w:rsidRPr="0059638B" w:rsidRDefault="0035721D" w:rsidP="00323457">
      <w:pPr>
        <w:pStyle w:val="SingleTxtG"/>
        <w:rPr>
          <w:sz w:val="20"/>
          <w:szCs w:val="20"/>
        </w:rPr>
      </w:pPr>
      <w:r>
        <w:rPr>
          <w:sz w:val="20"/>
          <w:szCs w:val="20"/>
        </w:rPr>
        <w:t>846</w:t>
      </w:r>
      <w:r w:rsidR="00D226AB">
        <w:rPr>
          <w:sz w:val="20"/>
          <w:szCs w:val="20"/>
        </w:rPr>
        <w:t>.</w:t>
      </w:r>
      <w:r w:rsidR="00D226AB">
        <w:rPr>
          <w:sz w:val="20"/>
          <w:szCs w:val="20"/>
        </w:rPr>
        <w:tab/>
      </w:r>
      <w:r w:rsidR="00323457" w:rsidRPr="0059638B">
        <w:rPr>
          <w:sz w:val="20"/>
          <w:szCs w:val="20"/>
        </w:rPr>
        <w:t>China</w:t>
      </w:r>
      <w:r w:rsidR="00FF41A0">
        <w:rPr>
          <w:sz w:val="20"/>
          <w:szCs w:val="20"/>
        </w:rPr>
        <w:t xml:space="preserve"> </w:t>
      </w:r>
      <w:r w:rsidR="00323457" w:rsidRPr="0059638B">
        <w:rPr>
          <w:sz w:val="20"/>
          <w:szCs w:val="20"/>
        </w:rPr>
        <w:t>Family</w:t>
      </w:r>
      <w:r w:rsidR="00FF41A0">
        <w:rPr>
          <w:sz w:val="20"/>
          <w:szCs w:val="20"/>
        </w:rPr>
        <w:t xml:space="preserve"> </w:t>
      </w:r>
      <w:r w:rsidR="00323457" w:rsidRPr="0059638B">
        <w:rPr>
          <w:sz w:val="20"/>
          <w:szCs w:val="20"/>
        </w:rPr>
        <w:t>Planning</w:t>
      </w:r>
      <w:r w:rsidR="00FF41A0">
        <w:rPr>
          <w:sz w:val="20"/>
          <w:szCs w:val="20"/>
        </w:rPr>
        <w:t xml:space="preserve"> </w:t>
      </w:r>
      <w:r w:rsidR="00323457" w:rsidRPr="0059638B">
        <w:rPr>
          <w:sz w:val="20"/>
          <w:szCs w:val="20"/>
        </w:rPr>
        <w:t>Association</w:t>
      </w:r>
      <w:r w:rsidR="00FF41A0">
        <w:rPr>
          <w:sz w:val="20"/>
          <w:szCs w:val="20"/>
        </w:rPr>
        <w:t xml:space="preserve"> </w:t>
      </w:r>
      <w:r w:rsidR="00323457" w:rsidRPr="0059638B">
        <w:rPr>
          <w:sz w:val="20"/>
          <w:szCs w:val="20"/>
        </w:rPr>
        <w:t>appreciated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importance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Chinese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attached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roles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NGOs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actions</w:t>
      </w:r>
      <w:r w:rsidR="00FF41A0">
        <w:rPr>
          <w:sz w:val="20"/>
          <w:szCs w:val="20"/>
        </w:rPr>
        <w:t xml:space="preserve"> </w:t>
      </w:r>
      <w:r w:rsidR="00323457" w:rsidRPr="0059638B">
        <w:rPr>
          <w:sz w:val="20"/>
          <w:szCs w:val="20"/>
        </w:rPr>
        <w:t>taken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support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development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NGOs.</w:t>
      </w:r>
      <w:r w:rsidR="00FF41A0">
        <w:rPr>
          <w:sz w:val="20"/>
          <w:szCs w:val="20"/>
        </w:rPr>
        <w:t xml:space="preserve"> </w:t>
      </w:r>
      <w:r w:rsidR="00323457" w:rsidRPr="0059638B">
        <w:rPr>
          <w:sz w:val="20"/>
          <w:szCs w:val="20"/>
        </w:rPr>
        <w:t>Itstated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total</w:t>
      </w:r>
      <w:r w:rsidR="00FF41A0">
        <w:rPr>
          <w:sz w:val="20"/>
          <w:szCs w:val="20"/>
        </w:rPr>
        <w:t xml:space="preserve"> </w:t>
      </w:r>
      <w:r w:rsidR="00323457" w:rsidRPr="0059638B">
        <w:rPr>
          <w:sz w:val="20"/>
          <w:szCs w:val="20"/>
        </w:rPr>
        <w:t>number</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NGOs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reached</w:t>
      </w:r>
      <w:r w:rsidR="00FF41A0">
        <w:rPr>
          <w:sz w:val="20"/>
          <w:szCs w:val="20"/>
        </w:rPr>
        <w:t xml:space="preserve"> </w:t>
      </w:r>
      <w:r w:rsidR="00323457" w:rsidRPr="0059638B">
        <w:rPr>
          <w:sz w:val="20"/>
          <w:szCs w:val="20"/>
        </w:rPr>
        <w:t>816,000</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end</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January</w:t>
      </w:r>
      <w:r w:rsidR="00FF41A0">
        <w:rPr>
          <w:sz w:val="20"/>
          <w:szCs w:val="20"/>
        </w:rPr>
        <w:t xml:space="preserve"> </w:t>
      </w:r>
      <w:r w:rsidR="00323457" w:rsidRPr="0059638B">
        <w:rPr>
          <w:sz w:val="20"/>
          <w:szCs w:val="20"/>
        </w:rPr>
        <w:t>2019,</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an</w:t>
      </w:r>
      <w:r w:rsidR="00FF41A0">
        <w:rPr>
          <w:sz w:val="20"/>
          <w:szCs w:val="20"/>
        </w:rPr>
        <w:t xml:space="preserve"> </w:t>
      </w:r>
      <w:r w:rsidR="00323457" w:rsidRPr="0059638B">
        <w:rPr>
          <w:sz w:val="20"/>
          <w:szCs w:val="20"/>
        </w:rPr>
        <w:t>increase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49</w:t>
      </w:r>
      <w:r w:rsidR="00FF41A0">
        <w:rPr>
          <w:sz w:val="20"/>
          <w:szCs w:val="20"/>
        </w:rPr>
        <w:t xml:space="preserve"> </w:t>
      </w:r>
      <w:r w:rsidR="00323457" w:rsidRPr="0059638B">
        <w:rPr>
          <w:sz w:val="20"/>
          <w:szCs w:val="20"/>
        </w:rPr>
        <w:t>per</w:t>
      </w:r>
      <w:r w:rsidR="00FF41A0">
        <w:rPr>
          <w:sz w:val="20"/>
          <w:szCs w:val="20"/>
        </w:rPr>
        <w:t xml:space="preserve"> </w:t>
      </w:r>
      <w:r w:rsidR="00323457" w:rsidRPr="0059638B">
        <w:rPr>
          <w:sz w:val="20"/>
          <w:szCs w:val="20"/>
        </w:rPr>
        <w:t>cent</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five</w:t>
      </w:r>
      <w:r w:rsidR="00FF41A0">
        <w:rPr>
          <w:sz w:val="20"/>
          <w:szCs w:val="20"/>
        </w:rPr>
        <w:t xml:space="preserve"> </w:t>
      </w:r>
      <w:r w:rsidR="00323457" w:rsidRPr="0059638B">
        <w:rPr>
          <w:sz w:val="20"/>
          <w:szCs w:val="20"/>
        </w:rPr>
        <w:t>years.</w:t>
      </w:r>
      <w:r w:rsidR="00FF41A0">
        <w:rPr>
          <w:sz w:val="20"/>
          <w:szCs w:val="20"/>
        </w:rPr>
        <w:t xml:space="preserve"> </w:t>
      </w:r>
      <w:r w:rsidR="00323457" w:rsidRPr="0059638B">
        <w:rPr>
          <w:sz w:val="20"/>
          <w:szCs w:val="20"/>
        </w:rPr>
        <w:t>These</w:t>
      </w:r>
      <w:r w:rsidR="00FF41A0">
        <w:rPr>
          <w:sz w:val="20"/>
          <w:szCs w:val="20"/>
        </w:rPr>
        <w:t xml:space="preserve"> </w:t>
      </w:r>
      <w:r w:rsidR="00323457" w:rsidRPr="0059638B">
        <w:rPr>
          <w:sz w:val="20"/>
          <w:szCs w:val="20"/>
        </w:rPr>
        <w:t>NGOs</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actively</w:t>
      </w:r>
      <w:r w:rsidR="00FF41A0">
        <w:rPr>
          <w:sz w:val="20"/>
          <w:szCs w:val="20"/>
        </w:rPr>
        <w:t xml:space="preserve"> </w:t>
      </w:r>
      <w:r w:rsidR="00323457" w:rsidRPr="0059638B">
        <w:rPr>
          <w:sz w:val="20"/>
          <w:szCs w:val="20"/>
        </w:rPr>
        <w:t>engaging</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poverty</w:t>
      </w:r>
      <w:r w:rsidR="00FF41A0">
        <w:rPr>
          <w:sz w:val="20"/>
          <w:szCs w:val="20"/>
        </w:rPr>
        <w:t xml:space="preserve"> </w:t>
      </w:r>
      <w:r w:rsidR="00323457" w:rsidRPr="0059638B">
        <w:rPr>
          <w:sz w:val="20"/>
          <w:szCs w:val="20"/>
        </w:rPr>
        <w:t>alleviation,</w:t>
      </w:r>
      <w:r w:rsidR="00FF41A0">
        <w:rPr>
          <w:sz w:val="20"/>
          <w:szCs w:val="20"/>
        </w:rPr>
        <w:t xml:space="preserve"> </w:t>
      </w:r>
      <w:r w:rsidR="00323457" w:rsidRPr="0059638B">
        <w:rPr>
          <w:sz w:val="20"/>
          <w:szCs w:val="20"/>
        </w:rPr>
        <w:t>healthcare,</w:t>
      </w:r>
      <w:r w:rsidR="00FF41A0">
        <w:rPr>
          <w:sz w:val="20"/>
          <w:szCs w:val="20"/>
        </w:rPr>
        <w:t xml:space="preserve"> </w:t>
      </w:r>
      <w:r w:rsidR="00323457" w:rsidRPr="0059638B">
        <w:rPr>
          <w:sz w:val="20"/>
          <w:szCs w:val="20"/>
        </w:rPr>
        <w:t>education,</w:t>
      </w:r>
      <w:r w:rsidR="00FF41A0">
        <w:rPr>
          <w:sz w:val="20"/>
          <w:szCs w:val="20"/>
        </w:rPr>
        <w:t xml:space="preserve"> </w:t>
      </w:r>
      <w:r w:rsidR="00323457" w:rsidRPr="0059638B">
        <w:rPr>
          <w:sz w:val="20"/>
          <w:szCs w:val="20"/>
        </w:rPr>
        <w:t>environmental</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adopted</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law</w:t>
      </w:r>
      <w:r w:rsidR="00FF41A0">
        <w:rPr>
          <w:sz w:val="20"/>
          <w:szCs w:val="20"/>
        </w:rPr>
        <w:t xml:space="preserve"> </w:t>
      </w:r>
      <w:r w:rsidR="00323457" w:rsidRPr="0059638B">
        <w:rPr>
          <w:sz w:val="20"/>
          <w:szCs w:val="20"/>
        </w:rPr>
        <w:t>regulating</w:t>
      </w:r>
      <w:r w:rsidR="00FF41A0">
        <w:rPr>
          <w:sz w:val="20"/>
          <w:szCs w:val="20"/>
        </w:rPr>
        <w:t xml:space="preserve"> </w:t>
      </w:r>
      <w:r w:rsidR="00323457" w:rsidRPr="0059638B">
        <w:rPr>
          <w:sz w:val="20"/>
          <w:szCs w:val="20"/>
        </w:rPr>
        <w:t>overseas</w:t>
      </w:r>
      <w:r w:rsidR="00FF41A0">
        <w:rPr>
          <w:sz w:val="20"/>
          <w:szCs w:val="20"/>
        </w:rPr>
        <w:t xml:space="preserve"> </w:t>
      </w:r>
      <w:r w:rsidR="00323457" w:rsidRPr="0059638B">
        <w:rPr>
          <w:sz w:val="20"/>
          <w:szCs w:val="20"/>
        </w:rPr>
        <w:t>NGOs</w:t>
      </w:r>
      <w:r w:rsidR="00D72627">
        <w:rPr>
          <w:sz w:val="20"/>
          <w:szCs w:val="20"/>
        </w:rPr>
        <w:t>’</w:t>
      </w:r>
      <w:r w:rsidR="00FF41A0">
        <w:rPr>
          <w:sz w:val="20"/>
          <w:szCs w:val="20"/>
        </w:rPr>
        <w:t xml:space="preserve"> </w:t>
      </w:r>
      <w:r w:rsidR="00323457" w:rsidRPr="0059638B">
        <w:rPr>
          <w:sz w:val="20"/>
          <w:szCs w:val="20"/>
        </w:rPr>
        <w:t>activities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2016,</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result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more</w:t>
      </w:r>
      <w:r w:rsidR="00FF41A0">
        <w:rPr>
          <w:sz w:val="20"/>
          <w:szCs w:val="20"/>
        </w:rPr>
        <w:t xml:space="preserve"> </w:t>
      </w:r>
      <w:r w:rsidR="00323457" w:rsidRPr="0059638B">
        <w:rPr>
          <w:sz w:val="20"/>
          <w:szCs w:val="20"/>
        </w:rPr>
        <w:t>overseas</w:t>
      </w:r>
      <w:r w:rsidR="00FF41A0">
        <w:rPr>
          <w:sz w:val="20"/>
          <w:szCs w:val="20"/>
        </w:rPr>
        <w:t xml:space="preserve"> </w:t>
      </w:r>
      <w:r w:rsidR="00323457" w:rsidRPr="0059638B">
        <w:rPr>
          <w:sz w:val="20"/>
          <w:szCs w:val="20"/>
        </w:rPr>
        <w:t>NGOs</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registered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China.</w:t>
      </w:r>
    </w:p>
    <w:p w14:paraId="6116E436" w14:textId="5DC747AF" w:rsidR="00323457" w:rsidRPr="0059638B" w:rsidRDefault="0035721D" w:rsidP="00323457">
      <w:pPr>
        <w:pStyle w:val="SingleTxtG"/>
        <w:rPr>
          <w:sz w:val="20"/>
          <w:szCs w:val="20"/>
        </w:rPr>
      </w:pPr>
      <w:r>
        <w:rPr>
          <w:sz w:val="20"/>
          <w:szCs w:val="20"/>
        </w:rPr>
        <w:t>847</w:t>
      </w:r>
      <w:r w:rsidR="00D226AB">
        <w:rPr>
          <w:sz w:val="20"/>
          <w:szCs w:val="20"/>
        </w:rPr>
        <w:t>.</w:t>
      </w:r>
      <w:r w:rsidR="00D226AB">
        <w:rPr>
          <w:sz w:val="20"/>
          <w:szCs w:val="20"/>
        </w:rPr>
        <w:tab/>
      </w:r>
      <w:r w:rsidR="00323457" w:rsidRPr="0059638B">
        <w:rPr>
          <w:sz w:val="20"/>
          <w:szCs w:val="20"/>
        </w:rPr>
        <w:t>Chinese</w:t>
      </w:r>
      <w:r w:rsidR="00FF41A0">
        <w:rPr>
          <w:sz w:val="20"/>
          <w:szCs w:val="20"/>
        </w:rPr>
        <w:t xml:space="preserve"> </w:t>
      </w:r>
      <w:r w:rsidR="00323457" w:rsidRPr="0059638B">
        <w:rPr>
          <w:sz w:val="20"/>
          <w:szCs w:val="20"/>
        </w:rPr>
        <w:t>People</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Association</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Friendship</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Foreign</w:t>
      </w:r>
      <w:r w:rsidR="00FF41A0">
        <w:rPr>
          <w:sz w:val="20"/>
          <w:szCs w:val="20"/>
        </w:rPr>
        <w:t xml:space="preserve"> </w:t>
      </w:r>
      <w:r w:rsidR="00323457" w:rsidRPr="0059638B">
        <w:rPr>
          <w:sz w:val="20"/>
          <w:szCs w:val="20"/>
        </w:rPr>
        <w:t>Countries</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best</w:t>
      </w:r>
      <w:r w:rsidR="00FF41A0">
        <w:rPr>
          <w:sz w:val="20"/>
          <w:szCs w:val="20"/>
        </w:rPr>
        <w:t xml:space="preserve"> </w:t>
      </w:r>
      <w:r w:rsidR="00323457" w:rsidRPr="0059638B">
        <w:rPr>
          <w:sz w:val="20"/>
          <w:szCs w:val="20"/>
        </w:rPr>
        <w:t>way</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develop</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learn</w:t>
      </w:r>
      <w:r w:rsidR="00FF41A0">
        <w:rPr>
          <w:sz w:val="20"/>
          <w:szCs w:val="20"/>
        </w:rPr>
        <w:t xml:space="preserve"> </w:t>
      </w:r>
      <w:r w:rsidR="00323457" w:rsidRPr="0059638B">
        <w:rPr>
          <w:sz w:val="20"/>
          <w:szCs w:val="20"/>
        </w:rPr>
        <w:t>from</w:t>
      </w:r>
      <w:r w:rsidR="00FF41A0">
        <w:rPr>
          <w:sz w:val="20"/>
          <w:szCs w:val="20"/>
        </w:rPr>
        <w:t xml:space="preserve"> </w:t>
      </w:r>
      <w:r w:rsidR="00323457" w:rsidRPr="0059638B">
        <w:rPr>
          <w:sz w:val="20"/>
          <w:szCs w:val="20"/>
        </w:rPr>
        <w:t>other</w:t>
      </w:r>
      <w:r w:rsidR="00FF41A0">
        <w:rPr>
          <w:sz w:val="20"/>
          <w:szCs w:val="20"/>
        </w:rPr>
        <w:t xml:space="preserve"> </w:t>
      </w:r>
      <w:r w:rsidR="00323457" w:rsidRPr="0059638B">
        <w:rPr>
          <w:sz w:val="20"/>
          <w:szCs w:val="20"/>
        </w:rPr>
        <w:t>countries</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taking</w:t>
      </w:r>
      <w:r w:rsidR="00FF41A0">
        <w:rPr>
          <w:sz w:val="20"/>
          <w:szCs w:val="20"/>
        </w:rPr>
        <w:t xml:space="preserve"> </w:t>
      </w:r>
      <w:r w:rsidR="00323457" w:rsidRPr="0059638B">
        <w:rPr>
          <w:sz w:val="20"/>
          <w:szCs w:val="20"/>
        </w:rPr>
        <w:t>into</w:t>
      </w:r>
      <w:r w:rsidR="00FF41A0">
        <w:rPr>
          <w:sz w:val="20"/>
          <w:szCs w:val="20"/>
        </w:rPr>
        <w:t xml:space="preserve"> </w:t>
      </w:r>
      <w:r w:rsidR="00323457" w:rsidRPr="0059638B">
        <w:rPr>
          <w:sz w:val="20"/>
          <w:szCs w:val="20"/>
        </w:rPr>
        <w:t>consideration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realities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safeguarding</w:t>
      </w:r>
      <w:r w:rsidR="00FF41A0">
        <w:rPr>
          <w:sz w:val="20"/>
          <w:szCs w:val="20"/>
        </w:rPr>
        <w:t xml:space="preserve"> </w:t>
      </w:r>
      <w:r w:rsidR="00323457" w:rsidRPr="0059638B">
        <w:rPr>
          <w:sz w:val="20"/>
          <w:szCs w:val="20"/>
        </w:rPr>
        <w:t>social</w:t>
      </w:r>
      <w:r w:rsidR="00FF41A0">
        <w:rPr>
          <w:sz w:val="20"/>
          <w:szCs w:val="20"/>
        </w:rPr>
        <w:t xml:space="preserve"> </w:t>
      </w:r>
      <w:r w:rsidR="00323457" w:rsidRPr="0059638B">
        <w:rPr>
          <w:sz w:val="20"/>
          <w:szCs w:val="20"/>
        </w:rPr>
        <w:t>justice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fairness</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starting</w:t>
      </w:r>
      <w:r w:rsidR="00FF41A0">
        <w:rPr>
          <w:sz w:val="20"/>
          <w:szCs w:val="20"/>
        </w:rPr>
        <w:t xml:space="preserve"> </w:t>
      </w:r>
      <w:r w:rsidR="00323457" w:rsidRPr="0059638B">
        <w:rPr>
          <w:sz w:val="20"/>
          <w:szCs w:val="20"/>
        </w:rPr>
        <w:t>point,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best</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concept</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make</w:t>
      </w:r>
      <w:r w:rsidR="00FF41A0">
        <w:rPr>
          <w:sz w:val="20"/>
          <w:szCs w:val="20"/>
        </w:rPr>
        <w:t xml:space="preserve"> </w:t>
      </w:r>
      <w:r w:rsidR="00323457" w:rsidRPr="0059638B">
        <w:rPr>
          <w:sz w:val="20"/>
          <w:szCs w:val="20"/>
        </w:rPr>
        <w:t>people</w:t>
      </w:r>
      <w:r w:rsidR="00FF41A0">
        <w:rPr>
          <w:sz w:val="20"/>
          <w:szCs w:val="20"/>
        </w:rPr>
        <w:t xml:space="preserve"> </w:t>
      </w:r>
      <w:r w:rsidR="00323457" w:rsidRPr="0059638B">
        <w:rPr>
          <w:sz w:val="20"/>
          <w:szCs w:val="20"/>
        </w:rPr>
        <w:t>first.</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Chinese</w:t>
      </w:r>
      <w:r w:rsidR="00FF41A0">
        <w:rPr>
          <w:sz w:val="20"/>
          <w:szCs w:val="20"/>
        </w:rPr>
        <w:t xml:space="preserve"> </w:t>
      </w:r>
      <w:r w:rsidR="00323457" w:rsidRPr="0059638B">
        <w:rPr>
          <w:sz w:val="20"/>
          <w:szCs w:val="20"/>
        </w:rPr>
        <w:t>people</w:t>
      </w:r>
      <w:r w:rsidR="00FF41A0">
        <w:rPr>
          <w:sz w:val="20"/>
          <w:szCs w:val="20"/>
        </w:rPr>
        <w:t xml:space="preserve"> </w:t>
      </w:r>
      <w:r w:rsidR="00323457" w:rsidRPr="0059638B">
        <w:rPr>
          <w:sz w:val="20"/>
          <w:szCs w:val="20"/>
        </w:rPr>
        <w:lastRenderedPageBreak/>
        <w:t>were</w:t>
      </w:r>
      <w:r w:rsidR="00FF41A0">
        <w:rPr>
          <w:sz w:val="20"/>
          <w:szCs w:val="20"/>
        </w:rPr>
        <w:t xml:space="preserve"> </w:t>
      </w:r>
      <w:r w:rsidR="00323457" w:rsidRPr="0059638B">
        <w:rPr>
          <w:sz w:val="20"/>
          <w:szCs w:val="20"/>
        </w:rPr>
        <w:t>living</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happy</w:t>
      </w:r>
      <w:r w:rsidR="00FF41A0">
        <w:rPr>
          <w:sz w:val="20"/>
          <w:szCs w:val="20"/>
        </w:rPr>
        <w:t xml:space="preserve"> </w:t>
      </w:r>
      <w:r w:rsidR="00323457" w:rsidRPr="0059638B">
        <w:rPr>
          <w:sz w:val="20"/>
          <w:szCs w:val="20"/>
        </w:rPr>
        <w:t>life,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country</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one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highest</w:t>
      </w:r>
      <w:r w:rsidR="00FF41A0">
        <w:rPr>
          <w:sz w:val="20"/>
          <w:szCs w:val="20"/>
        </w:rPr>
        <w:t xml:space="preserve"> </w:t>
      </w:r>
      <w:r w:rsidR="00323457" w:rsidRPr="0059638B">
        <w:rPr>
          <w:sz w:val="20"/>
          <w:szCs w:val="20"/>
        </w:rPr>
        <w:t>rating</w:t>
      </w:r>
      <w:r w:rsidR="00FF41A0">
        <w:rPr>
          <w:sz w:val="20"/>
          <w:szCs w:val="20"/>
        </w:rPr>
        <w:t xml:space="preserve"> </w:t>
      </w:r>
      <w:r w:rsidR="00323457" w:rsidRPr="0059638B">
        <w:rPr>
          <w:sz w:val="20"/>
          <w:szCs w:val="20"/>
        </w:rPr>
        <w:t>from</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own</w:t>
      </w:r>
      <w:r w:rsidR="00FF41A0">
        <w:rPr>
          <w:sz w:val="20"/>
          <w:szCs w:val="20"/>
        </w:rPr>
        <w:t xml:space="preserve"> </w:t>
      </w:r>
      <w:r w:rsidR="00323457" w:rsidRPr="0059638B">
        <w:rPr>
          <w:sz w:val="20"/>
          <w:szCs w:val="20"/>
        </w:rPr>
        <w:t>people.</w:t>
      </w:r>
      <w:r w:rsidR="00FF41A0">
        <w:rPr>
          <w:sz w:val="20"/>
          <w:szCs w:val="20"/>
        </w:rPr>
        <w:t xml:space="preserve"> </w:t>
      </w:r>
    </w:p>
    <w:p w14:paraId="463DDAF7" w14:textId="697D29D3" w:rsidR="00323457" w:rsidRPr="0059638B" w:rsidRDefault="0035721D" w:rsidP="00323457">
      <w:pPr>
        <w:pStyle w:val="SingleTxtG"/>
        <w:rPr>
          <w:sz w:val="20"/>
          <w:szCs w:val="20"/>
        </w:rPr>
      </w:pPr>
      <w:r>
        <w:rPr>
          <w:sz w:val="20"/>
          <w:szCs w:val="20"/>
        </w:rPr>
        <w:t>848</w:t>
      </w:r>
      <w:r w:rsidR="00D226AB">
        <w:rPr>
          <w:sz w:val="20"/>
          <w:szCs w:val="20"/>
        </w:rPr>
        <w:t>.</w:t>
      </w:r>
      <w:r w:rsidR="00D226AB">
        <w:rPr>
          <w:sz w:val="20"/>
          <w:szCs w:val="20"/>
        </w:rPr>
        <w:tab/>
      </w:r>
      <w:r w:rsidR="00323457" w:rsidRPr="0059638B">
        <w:rPr>
          <w:sz w:val="20"/>
          <w:szCs w:val="20"/>
        </w:rPr>
        <w:t>International</w:t>
      </w:r>
      <w:r w:rsidR="00FF41A0">
        <w:rPr>
          <w:sz w:val="20"/>
          <w:szCs w:val="20"/>
        </w:rPr>
        <w:t xml:space="preserve"> </w:t>
      </w:r>
      <w:r w:rsidR="00323457" w:rsidRPr="0059638B">
        <w:rPr>
          <w:sz w:val="20"/>
          <w:szCs w:val="20"/>
        </w:rPr>
        <w:t>Service</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(ISHR)</w:t>
      </w:r>
      <w:r w:rsidR="00FF41A0">
        <w:rPr>
          <w:sz w:val="20"/>
          <w:szCs w:val="20"/>
        </w:rPr>
        <w:t xml:space="preserve"> </w:t>
      </w:r>
      <w:r w:rsidR="00323457" w:rsidRPr="0059638B">
        <w:rPr>
          <w:sz w:val="20"/>
          <w:szCs w:val="20"/>
        </w:rPr>
        <w:t>delivered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joint</w:t>
      </w:r>
      <w:r w:rsidR="00FF41A0">
        <w:rPr>
          <w:sz w:val="20"/>
          <w:szCs w:val="20"/>
        </w:rPr>
        <w:t xml:space="preserve"> </w:t>
      </w:r>
      <w:r w:rsidR="00323457" w:rsidRPr="0059638B">
        <w:rPr>
          <w:sz w:val="20"/>
          <w:szCs w:val="20"/>
        </w:rPr>
        <w:t>statement</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CIVICUS</w:t>
      </w:r>
      <w:r w:rsidR="00FF41A0">
        <w:rPr>
          <w:sz w:val="20"/>
          <w:szCs w:val="20"/>
        </w:rPr>
        <w:t xml:space="preserve"> </w:t>
      </w:r>
      <w:r w:rsidR="00323457" w:rsidRPr="0059638B">
        <w:rPr>
          <w:sz w:val="20"/>
          <w:szCs w:val="20"/>
        </w:rPr>
        <w:t>–</w:t>
      </w:r>
      <w:r w:rsidR="00FF41A0">
        <w:rPr>
          <w:sz w:val="20"/>
          <w:szCs w:val="20"/>
        </w:rPr>
        <w:t xml:space="preserve"> </w:t>
      </w:r>
      <w:r w:rsidR="00323457" w:rsidRPr="0059638B">
        <w:rPr>
          <w:sz w:val="20"/>
          <w:szCs w:val="20"/>
        </w:rPr>
        <w:t>World</w:t>
      </w:r>
      <w:r w:rsidR="00FF41A0">
        <w:rPr>
          <w:sz w:val="20"/>
          <w:szCs w:val="20"/>
        </w:rPr>
        <w:t xml:space="preserve"> </w:t>
      </w:r>
      <w:r w:rsidR="00323457" w:rsidRPr="0059638B">
        <w:rPr>
          <w:sz w:val="20"/>
          <w:szCs w:val="20"/>
        </w:rPr>
        <w:t>Alliance</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Citizen</w:t>
      </w:r>
      <w:r w:rsidR="00FF41A0">
        <w:rPr>
          <w:sz w:val="20"/>
          <w:szCs w:val="20"/>
        </w:rPr>
        <w:t xml:space="preserve"> </w:t>
      </w:r>
      <w:r w:rsidR="00323457" w:rsidRPr="0059638B">
        <w:rPr>
          <w:sz w:val="20"/>
          <w:szCs w:val="20"/>
        </w:rPr>
        <w:t>Participation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honour</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Cao</w:t>
      </w:r>
      <w:r w:rsidR="00FF41A0">
        <w:rPr>
          <w:sz w:val="20"/>
          <w:szCs w:val="20"/>
        </w:rPr>
        <w:t xml:space="preserve"> </w:t>
      </w:r>
      <w:r w:rsidR="00323457" w:rsidRPr="0059638B">
        <w:rPr>
          <w:sz w:val="20"/>
          <w:szCs w:val="20"/>
        </w:rPr>
        <w:t>Shunli</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defenders</w:t>
      </w:r>
      <w:r w:rsidR="00FF41A0">
        <w:rPr>
          <w:sz w:val="20"/>
          <w:szCs w:val="20"/>
        </w:rPr>
        <w:t xml:space="preserve"> </w:t>
      </w:r>
      <w:r w:rsidR="00323457" w:rsidRPr="0059638B">
        <w:rPr>
          <w:sz w:val="20"/>
          <w:szCs w:val="20"/>
        </w:rPr>
        <w:t>unjustly</w:t>
      </w:r>
      <w:r w:rsidR="00FF41A0">
        <w:rPr>
          <w:sz w:val="20"/>
          <w:szCs w:val="20"/>
        </w:rPr>
        <w:t xml:space="preserve"> </w:t>
      </w:r>
      <w:r w:rsidR="00323457" w:rsidRPr="0059638B">
        <w:rPr>
          <w:sz w:val="20"/>
          <w:szCs w:val="20"/>
        </w:rPr>
        <w:t>detained</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promoting</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organizations</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refused</w:t>
      </w:r>
      <w:r w:rsidR="00FF41A0">
        <w:rPr>
          <w:sz w:val="20"/>
          <w:szCs w:val="20"/>
        </w:rPr>
        <w:t xml:space="preserve"> </w:t>
      </w:r>
      <w:r w:rsidR="00323457" w:rsidRPr="0059638B">
        <w:rPr>
          <w:sz w:val="20"/>
          <w:szCs w:val="20"/>
        </w:rPr>
        <w:t>many</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related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abolition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death</w:t>
      </w:r>
      <w:r w:rsidR="00FF41A0">
        <w:rPr>
          <w:sz w:val="20"/>
          <w:szCs w:val="20"/>
        </w:rPr>
        <w:t xml:space="preserve"> </w:t>
      </w:r>
      <w:r w:rsidR="00323457" w:rsidRPr="0059638B">
        <w:rPr>
          <w:sz w:val="20"/>
          <w:szCs w:val="20"/>
        </w:rPr>
        <w:t>penalty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ratification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Covenant</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Civil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Political</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They</w:t>
      </w:r>
      <w:r w:rsidR="00FF41A0">
        <w:rPr>
          <w:sz w:val="20"/>
          <w:szCs w:val="20"/>
        </w:rPr>
        <w:t xml:space="preserve"> </w:t>
      </w:r>
      <w:r w:rsidR="00323457" w:rsidRPr="0059638B">
        <w:rPr>
          <w:sz w:val="20"/>
          <w:szCs w:val="20"/>
        </w:rPr>
        <w:t>encouraged</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follow</w:t>
      </w:r>
      <w:r w:rsidR="00FF41A0">
        <w:rPr>
          <w:sz w:val="20"/>
          <w:szCs w:val="20"/>
        </w:rPr>
        <w:t xml:space="preserve"> </w:t>
      </w:r>
      <w:r w:rsidR="00323457" w:rsidRPr="0059638B">
        <w:rPr>
          <w:sz w:val="20"/>
          <w:szCs w:val="20"/>
        </w:rPr>
        <w:t>through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positive</w:t>
      </w:r>
      <w:r w:rsidR="00FF41A0">
        <w:rPr>
          <w:sz w:val="20"/>
          <w:szCs w:val="20"/>
        </w:rPr>
        <w:t xml:space="preserve"> </w:t>
      </w:r>
      <w:r w:rsidR="00323457" w:rsidRPr="0059638B">
        <w:rPr>
          <w:sz w:val="20"/>
          <w:szCs w:val="20"/>
        </w:rPr>
        <w:t>commitments</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during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own</w:t>
      </w:r>
      <w:r w:rsidR="00FF41A0">
        <w:rPr>
          <w:sz w:val="20"/>
          <w:szCs w:val="20"/>
        </w:rPr>
        <w:t xml:space="preserve"> </w:t>
      </w:r>
      <w:r w:rsidR="00323457" w:rsidRPr="0059638B">
        <w:rPr>
          <w:sz w:val="20"/>
          <w:szCs w:val="20"/>
        </w:rPr>
        <w:t>legislation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improve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respect</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business.</w:t>
      </w:r>
      <w:r w:rsidR="00FF41A0">
        <w:rPr>
          <w:sz w:val="20"/>
          <w:szCs w:val="20"/>
        </w:rPr>
        <w:t xml:space="preserve"> </w:t>
      </w:r>
      <w:r w:rsidR="00323457" w:rsidRPr="0059638B">
        <w:rPr>
          <w:sz w:val="20"/>
          <w:szCs w:val="20"/>
        </w:rPr>
        <w:t>They</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defenders</w:t>
      </w:r>
      <w:r w:rsidR="00FF41A0">
        <w:rPr>
          <w:sz w:val="20"/>
          <w:szCs w:val="20"/>
        </w:rPr>
        <w:t xml:space="preserve"> </w:t>
      </w:r>
      <w:r w:rsidR="00323457" w:rsidRPr="0059638B">
        <w:rPr>
          <w:sz w:val="20"/>
          <w:szCs w:val="20"/>
        </w:rPr>
        <w:t>faced</w:t>
      </w:r>
      <w:r w:rsidR="00FF41A0">
        <w:rPr>
          <w:sz w:val="20"/>
          <w:szCs w:val="20"/>
        </w:rPr>
        <w:t xml:space="preserve"> </w:t>
      </w:r>
      <w:r w:rsidR="00323457" w:rsidRPr="0059638B">
        <w:rPr>
          <w:sz w:val="20"/>
          <w:szCs w:val="20"/>
        </w:rPr>
        <w:t>great</w:t>
      </w:r>
      <w:r w:rsidR="00FF41A0">
        <w:rPr>
          <w:sz w:val="20"/>
          <w:szCs w:val="20"/>
        </w:rPr>
        <w:t xml:space="preserve"> </w:t>
      </w:r>
      <w:r w:rsidR="00323457" w:rsidRPr="0059638B">
        <w:rPr>
          <w:sz w:val="20"/>
          <w:szCs w:val="20"/>
        </w:rPr>
        <w:t>challenges,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there</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banning</w:t>
      </w:r>
      <w:r w:rsidR="00FF41A0">
        <w:rPr>
          <w:sz w:val="20"/>
          <w:szCs w:val="20"/>
        </w:rPr>
        <w:t xml:space="preserve"> </w:t>
      </w:r>
      <w:r w:rsidR="00323457" w:rsidRPr="0059638B">
        <w:rPr>
          <w:sz w:val="20"/>
          <w:szCs w:val="20"/>
        </w:rPr>
        <w:t>of</w:t>
      </w:r>
      <w:r w:rsidR="00FF41A0">
        <w:rPr>
          <w:sz w:val="20"/>
          <w:szCs w:val="20"/>
        </w:rPr>
        <w:t xml:space="preserve"> </w:t>
      </w:r>
      <w:r w:rsidR="00D72627">
        <w:rPr>
          <w:sz w:val="20"/>
          <w:szCs w:val="20"/>
        </w:rPr>
        <w:t>‘</w:t>
      </w:r>
      <w:r w:rsidR="00323457" w:rsidRPr="0059638B">
        <w:rPr>
          <w:sz w:val="20"/>
          <w:szCs w:val="20"/>
        </w:rPr>
        <w:t>homosexual</w:t>
      </w:r>
      <w:r w:rsidR="00FF41A0">
        <w:rPr>
          <w:sz w:val="20"/>
          <w:szCs w:val="20"/>
        </w:rPr>
        <w:t xml:space="preserve"> </w:t>
      </w:r>
      <w:r w:rsidR="00323457" w:rsidRPr="0059638B">
        <w:rPr>
          <w:sz w:val="20"/>
          <w:szCs w:val="20"/>
        </w:rPr>
        <w:t>content</w:t>
      </w:r>
      <w:r w:rsidR="00D72627">
        <w:rPr>
          <w:sz w:val="20"/>
          <w:szCs w:val="20"/>
        </w:rPr>
        <w:t>’</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media.</w:t>
      </w:r>
      <w:r w:rsidR="00FF41A0">
        <w:rPr>
          <w:sz w:val="20"/>
          <w:szCs w:val="20"/>
        </w:rPr>
        <w:t xml:space="preserve"> </w:t>
      </w:r>
      <w:r w:rsidR="00323457" w:rsidRPr="0059638B">
        <w:rPr>
          <w:sz w:val="20"/>
          <w:szCs w:val="20"/>
        </w:rPr>
        <w:t>They</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urged</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meaningfully</w:t>
      </w:r>
      <w:r w:rsidR="00FF41A0">
        <w:rPr>
          <w:sz w:val="20"/>
          <w:szCs w:val="20"/>
        </w:rPr>
        <w:t xml:space="preserve"> </w:t>
      </w:r>
      <w:r w:rsidR="00323457" w:rsidRPr="0059638B">
        <w:rPr>
          <w:sz w:val="20"/>
          <w:szCs w:val="20"/>
        </w:rPr>
        <w:t>engage</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United</w:t>
      </w:r>
      <w:r w:rsidR="00FF41A0">
        <w:rPr>
          <w:sz w:val="20"/>
          <w:szCs w:val="20"/>
        </w:rPr>
        <w:t xml:space="preserve"> </w:t>
      </w:r>
      <w:r w:rsidR="00323457" w:rsidRPr="0059638B">
        <w:rPr>
          <w:sz w:val="20"/>
          <w:szCs w:val="20"/>
        </w:rPr>
        <w:t>Nations</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system.</w:t>
      </w:r>
    </w:p>
    <w:p w14:paraId="4E05FD10" w14:textId="2FE040AB" w:rsidR="00323457" w:rsidRPr="0059638B" w:rsidRDefault="0035721D" w:rsidP="00323457">
      <w:pPr>
        <w:pStyle w:val="SingleTxtG"/>
        <w:rPr>
          <w:color w:val="000000"/>
          <w:sz w:val="20"/>
          <w:szCs w:val="20"/>
        </w:rPr>
      </w:pPr>
      <w:r>
        <w:rPr>
          <w:sz w:val="20"/>
          <w:szCs w:val="20"/>
        </w:rPr>
        <w:t>849</w:t>
      </w:r>
      <w:r w:rsidR="00D226AB">
        <w:rPr>
          <w:sz w:val="20"/>
          <w:szCs w:val="20"/>
        </w:rPr>
        <w:t>.</w:t>
      </w:r>
      <w:r w:rsidR="00D226AB">
        <w:rPr>
          <w:sz w:val="20"/>
          <w:szCs w:val="20"/>
        </w:rPr>
        <w:tab/>
      </w:r>
      <w:r w:rsidR="00323457" w:rsidRPr="0059638B">
        <w:rPr>
          <w:sz w:val="20"/>
          <w:szCs w:val="20"/>
        </w:rPr>
        <w:t>China</w:t>
      </w:r>
      <w:r w:rsidR="00FF41A0">
        <w:rPr>
          <w:sz w:val="20"/>
          <w:szCs w:val="20"/>
        </w:rPr>
        <w:t xml:space="preserve"> </w:t>
      </w:r>
      <w:r w:rsidR="00323457" w:rsidRPr="0059638B">
        <w:rPr>
          <w:sz w:val="20"/>
          <w:szCs w:val="20"/>
        </w:rPr>
        <w:t>Foundation</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Poverty</w:t>
      </w:r>
      <w:r w:rsidR="00FF41A0">
        <w:rPr>
          <w:sz w:val="20"/>
          <w:szCs w:val="20"/>
        </w:rPr>
        <w:t xml:space="preserve"> </w:t>
      </w:r>
      <w:r w:rsidR="00323457" w:rsidRPr="0059638B">
        <w:rPr>
          <w:sz w:val="20"/>
          <w:szCs w:val="20"/>
        </w:rPr>
        <w:t>Alleviation</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color w:val="000000"/>
          <w:sz w:val="20"/>
          <w:szCs w:val="20"/>
        </w:rPr>
        <w:t>alleviating</w:t>
      </w:r>
      <w:r w:rsidR="00FF41A0">
        <w:rPr>
          <w:color w:val="000000"/>
          <w:sz w:val="20"/>
          <w:szCs w:val="20"/>
        </w:rPr>
        <w:t xml:space="preserve"> </w:t>
      </w:r>
      <w:r w:rsidR="00323457" w:rsidRPr="0059638B">
        <w:rPr>
          <w:color w:val="000000"/>
          <w:sz w:val="20"/>
          <w:szCs w:val="20"/>
        </w:rPr>
        <w:t>poverty</w:t>
      </w:r>
      <w:r w:rsidR="00FF41A0">
        <w:rPr>
          <w:color w:val="000000"/>
          <w:sz w:val="20"/>
          <w:szCs w:val="20"/>
        </w:rPr>
        <w:t xml:space="preserve"> </w:t>
      </w:r>
      <w:r w:rsidR="00323457" w:rsidRPr="0059638B">
        <w:rPr>
          <w:color w:val="000000"/>
          <w:sz w:val="20"/>
          <w:szCs w:val="20"/>
        </w:rPr>
        <w:t>was</w:t>
      </w:r>
      <w:r w:rsidR="00FF41A0">
        <w:rPr>
          <w:color w:val="000000"/>
          <w:sz w:val="20"/>
          <w:szCs w:val="20"/>
        </w:rPr>
        <w:t xml:space="preserve"> </w:t>
      </w:r>
      <w:r w:rsidR="00323457" w:rsidRPr="0059638B">
        <w:rPr>
          <w:color w:val="000000"/>
          <w:sz w:val="20"/>
          <w:szCs w:val="20"/>
        </w:rPr>
        <w:t>a</w:t>
      </w:r>
      <w:r w:rsidR="00FF41A0">
        <w:rPr>
          <w:color w:val="000000"/>
          <w:sz w:val="20"/>
          <w:szCs w:val="20"/>
        </w:rPr>
        <w:t xml:space="preserve"> </w:t>
      </w:r>
      <w:r w:rsidR="00323457" w:rsidRPr="0059638B">
        <w:rPr>
          <w:color w:val="000000"/>
          <w:sz w:val="20"/>
          <w:szCs w:val="20"/>
        </w:rPr>
        <w:t>dream</w:t>
      </w:r>
      <w:r w:rsidR="00FF41A0">
        <w:rPr>
          <w:color w:val="000000"/>
          <w:sz w:val="20"/>
          <w:szCs w:val="20"/>
        </w:rPr>
        <w:t xml:space="preserve"> </w:t>
      </w:r>
      <w:r w:rsidR="00323457" w:rsidRPr="0059638B">
        <w:rPr>
          <w:color w:val="000000"/>
          <w:sz w:val="20"/>
          <w:szCs w:val="20"/>
        </w:rPr>
        <w:t>of</w:t>
      </w:r>
      <w:r w:rsidR="00FF41A0">
        <w:rPr>
          <w:color w:val="000000"/>
          <w:sz w:val="20"/>
          <w:szCs w:val="20"/>
        </w:rPr>
        <w:t xml:space="preserve"> </w:t>
      </w:r>
      <w:r w:rsidR="00323457" w:rsidRPr="0059638B">
        <w:rPr>
          <w:color w:val="000000"/>
          <w:sz w:val="20"/>
          <w:szCs w:val="20"/>
        </w:rPr>
        <w:t>human</w:t>
      </w:r>
      <w:r w:rsidR="00FF41A0">
        <w:rPr>
          <w:color w:val="000000"/>
          <w:sz w:val="20"/>
          <w:szCs w:val="20"/>
        </w:rPr>
        <w:t xml:space="preserve"> </w:t>
      </w:r>
      <w:r w:rsidR="00323457" w:rsidRPr="0059638B">
        <w:rPr>
          <w:color w:val="000000"/>
          <w:sz w:val="20"/>
          <w:szCs w:val="20"/>
        </w:rPr>
        <w:t>beings.</w:t>
      </w:r>
      <w:r w:rsidR="00FF41A0">
        <w:rPr>
          <w:color w:val="000000"/>
          <w:sz w:val="20"/>
          <w:szCs w:val="20"/>
        </w:rPr>
        <w:t xml:space="preserve"> </w:t>
      </w:r>
      <w:r w:rsidR="00323457" w:rsidRPr="0059638B">
        <w:rPr>
          <w:color w:val="000000"/>
          <w:sz w:val="20"/>
          <w:szCs w:val="20"/>
        </w:rPr>
        <w:t>For</w:t>
      </w:r>
      <w:r w:rsidR="00FF41A0">
        <w:rPr>
          <w:color w:val="000000"/>
          <w:sz w:val="20"/>
          <w:szCs w:val="20"/>
        </w:rPr>
        <w:t xml:space="preserve"> </w:t>
      </w:r>
      <w:r w:rsidR="00323457" w:rsidRPr="0059638B">
        <w:rPr>
          <w:color w:val="000000"/>
          <w:sz w:val="20"/>
          <w:szCs w:val="20"/>
        </w:rPr>
        <w:t>years,</w:t>
      </w:r>
      <w:r w:rsidR="00FF41A0">
        <w:rPr>
          <w:color w:val="000000"/>
          <w:sz w:val="20"/>
          <w:szCs w:val="20"/>
        </w:rPr>
        <w:t xml:space="preserve"> </w:t>
      </w:r>
      <w:r w:rsidR="00323457" w:rsidRPr="0059638B">
        <w:rPr>
          <w:color w:val="000000"/>
          <w:sz w:val="20"/>
          <w:szCs w:val="20"/>
        </w:rPr>
        <w:t>China</w:t>
      </w:r>
      <w:r w:rsidR="00FF41A0">
        <w:rPr>
          <w:color w:val="000000"/>
          <w:sz w:val="20"/>
          <w:szCs w:val="20"/>
        </w:rPr>
        <w:t xml:space="preserve"> </w:t>
      </w:r>
      <w:r w:rsidR="00323457" w:rsidRPr="0059638B">
        <w:rPr>
          <w:color w:val="000000"/>
          <w:sz w:val="20"/>
          <w:szCs w:val="20"/>
        </w:rPr>
        <w:t>proceeded</w:t>
      </w:r>
      <w:r w:rsidR="00FF41A0">
        <w:rPr>
          <w:color w:val="000000"/>
          <w:sz w:val="20"/>
          <w:szCs w:val="20"/>
        </w:rPr>
        <w:t xml:space="preserve"> </w:t>
      </w:r>
      <w:r w:rsidR="00323457" w:rsidRPr="0059638B">
        <w:rPr>
          <w:color w:val="000000"/>
          <w:sz w:val="20"/>
          <w:szCs w:val="20"/>
        </w:rPr>
        <w:t>from</w:t>
      </w:r>
      <w:r w:rsidR="00FF41A0">
        <w:rPr>
          <w:color w:val="000000"/>
          <w:sz w:val="20"/>
          <w:szCs w:val="20"/>
        </w:rPr>
        <w:t xml:space="preserve"> </w:t>
      </w:r>
      <w:r w:rsidR="00323457" w:rsidRPr="0059638B">
        <w:rPr>
          <w:color w:val="000000"/>
          <w:sz w:val="20"/>
          <w:szCs w:val="20"/>
        </w:rPr>
        <w:t>its</w:t>
      </w:r>
      <w:r w:rsidR="00FF41A0">
        <w:rPr>
          <w:color w:val="000000"/>
          <w:sz w:val="20"/>
          <w:szCs w:val="20"/>
        </w:rPr>
        <w:t xml:space="preserve"> </w:t>
      </w:r>
      <w:r w:rsidR="00323457" w:rsidRPr="0059638B">
        <w:rPr>
          <w:color w:val="000000"/>
          <w:sz w:val="20"/>
          <w:szCs w:val="20"/>
        </w:rPr>
        <w:t>national</w:t>
      </w:r>
      <w:r w:rsidR="00FF41A0">
        <w:rPr>
          <w:color w:val="000000"/>
          <w:sz w:val="20"/>
          <w:szCs w:val="20"/>
        </w:rPr>
        <w:t xml:space="preserve"> </w:t>
      </w:r>
      <w:r w:rsidR="00323457" w:rsidRPr="0059638B">
        <w:rPr>
          <w:color w:val="000000"/>
          <w:sz w:val="20"/>
          <w:szCs w:val="20"/>
        </w:rPr>
        <w:t>conditions,</w:t>
      </w:r>
      <w:r w:rsidR="00FF41A0">
        <w:rPr>
          <w:color w:val="000000"/>
          <w:sz w:val="20"/>
          <w:szCs w:val="20"/>
        </w:rPr>
        <w:t xml:space="preserve"> </w:t>
      </w:r>
      <w:r w:rsidR="00323457" w:rsidRPr="0059638B">
        <w:rPr>
          <w:color w:val="000000"/>
          <w:sz w:val="20"/>
          <w:szCs w:val="20"/>
        </w:rPr>
        <w:t>making</w:t>
      </w:r>
      <w:r w:rsidR="00FF41A0">
        <w:rPr>
          <w:color w:val="000000"/>
          <w:sz w:val="20"/>
          <w:szCs w:val="20"/>
        </w:rPr>
        <w:t xml:space="preserve"> </w:t>
      </w:r>
      <w:r w:rsidR="00323457" w:rsidRPr="0059638B">
        <w:rPr>
          <w:color w:val="000000"/>
          <w:sz w:val="20"/>
          <w:szCs w:val="20"/>
        </w:rPr>
        <w:t>people</w:t>
      </w:r>
      <w:r w:rsidR="00D72627">
        <w:rPr>
          <w:color w:val="000000"/>
          <w:sz w:val="20"/>
          <w:szCs w:val="20"/>
        </w:rPr>
        <w:t>’</w:t>
      </w:r>
      <w:r w:rsidR="00323457" w:rsidRPr="0059638B">
        <w:rPr>
          <w:color w:val="000000"/>
          <w:sz w:val="20"/>
          <w:szCs w:val="20"/>
        </w:rPr>
        <w:t>s</w:t>
      </w:r>
      <w:r w:rsidR="00FF41A0">
        <w:rPr>
          <w:color w:val="000000"/>
          <w:sz w:val="20"/>
          <w:szCs w:val="20"/>
        </w:rPr>
        <w:t xml:space="preserve"> </w:t>
      </w:r>
      <w:r w:rsidR="00323457" w:rsidRPr="0059638B">
        <w:rPr>
          <w:color w:val="000000"/>
          <w:sz w:val="20"/>
          <w:szCs w:val="20"/>
        </w:rPr>
        <w:t>rights</w:t>
      </w:r>
      <w:r w:rsidR="00FF41A0">
        <w:rPr>
          <w:color w:val="000000"/>
          <w:sz w:val="20"/>
          <w:szCs w:val="20"/>
        </w:rPr>
        <w:t xml:space="preserve"> </w:t>
      </w:r>
      <w:r w:rsidR="00323457" w:rsidRPr="0059638B">
        <w:rPr>
          <w:color w:val="000000"/>
          <w:sz w:val="20"/>
          <w:szCs w:val="20"/>
        </w:rPr>
        <w:t>to</w:t>
      </w:r>
      <w:r w:rsidR="00FF41A0">
        <w:rPr>
          <w:color w:val="000000"/>
          <w:sz w:val="20"/>
          <w:szCs w:val="20"/>
        </w:rPr>
        <w:t xml:space="preserve"> </w:t>
      </w:r>
      <w:r w:rsidR="00323457" w:rsidRPr="0059638B">
        <w:rPr>
          <w:color w:val="000000"/>
          <w:sz w:val="20"/>
          <w:szCs w:val="20"/>
        </w:rPr>
        <w:t>survival</w:t>
      </w:r>
      <w:r w:rsidR="00FF41A0">
        <w:rPr>
          <w:color w:val="000000"/>
          <w:sz w:val="20"/>
          <w:szCs w:val="20"/>
        </w:rPr>
        <w:t xml:space="preserve"> </w:t>
      </w:r>
      <w:r w:rsidR="00323457" w:rsidRPr="0059638B">
        <w:rPr>
          <w:color w:val="000000"/>
          <w:sz w:val="20"/>
          <w:szCs w:val="20"/>
        </w:rPr>
        <w:t>and</w:t>
      </w:r>
      <w:r w:rsidR="00FF41A0">
        <w:rPr>
          <w:color w:val="000000"/>
          <w:sz w:val="20"/>
          <w:szCs w:val="20"/>
        </w:rPr>
        <w:t xml:space="preserve"> </w:t>
      </w:r>
      <w:r w:rsidR="00323457" w:rsidRPr="0059638B">
        <w:rPr>
          <w:color w:val="000000"/>
          <w:sz w:val="20"/>
          <w:szCs w:val="20"/>
        </w:rPr>
        <w:t>development</w:t>
      </w:r>
      <w:r w:rsidR="00FF41A0">
        <w:rPr>
          <w:color w:val="000000"/>
          <w:sz w:val="20"/>
          <w:szCs w:val="20"/>
        </w:rPr>
        <w:t xml:space="preserve"> </w:t>
      </w:r>
      <w:r w:rsidR="00323457" w:rsidRPr="0059638B">
        <w:rPr>
          <w:color w:val="000000"/>
          <w:sz w:val="20"/>
          <w:szCs w:val="20"/>
        </w:rPr>
        <w:t>first</w:t>
      </w:r>
      <w:r w:rsidR="00FF41A0">
        <w:rPr>
          <w:color w:val="000000"/>
          <w:sz w:val="20"/>
          <w:szCs w:val="20"/>
        </w:rPr>
        <w:t xml:space="preserve"> </w:t>
      </w:r>
      <w:r w:rsidR="00323457" w:rsidRPr="0059638B">
        <w:rPr>
          <w:color w:val="000000"/>
          <w:sz w:val="20"/>
          <w:szCs w:val="20"/>
        </w:rPr>
        <w:t>with</w:t>
      </w:r>
      <w:r w:rsidR="00FF41A0">
        <w:rPr>
          <w:color w:val="000000"/>
          <w:sz w:val="20"/>
          <w:szCs w:val="20"/>
        </w:rPr>
        <w:t xml:space="preserve"> </w:t>
      </w:r>
      <w:r w:rsidR="00323457" w:rsidRPr="0059638B">
        <w:rPr>
          <w:color w:val="000000"/>
          <w:sz w:val="20"/>
          <w:szCs w:val="20"/>
        </w:rPr>
        <w:t>world-renowned</w:t>
      </w:r>
      <w:r w:rsidR="00FF41A0">
        <w:rPr>
          <w:color w:val="000000"/>
          <w:sz w:val="20"/>
          <w:szCs w:val="20"/>
        </w:rPr>
        <w:t xml:space="preserve"> </w:t>
      </w:r>
      <w:r w:rsidR="00323457" w:rsidRPr="0059638B">
        <w:rPr>
          <w:color w:val="000000"/>
          <w:sz w:val="20"/>
          <w:szCs w:val="20"/>
        </w:rPr>
        <w:t>achievements.</w:t>
      </w:r>
      <w:r w:rsidR="00FF41A0">
        <w:rPr>
          <w:color w:val="000000"/>
          <w:sz w:val="20"/>
          <w:szCs w:val="20"/>
        </w:rPr>
        <w:t xml:space="preserve"> </w:t>
      </w:r>
      <w:r w:rsidR="00323457" w:rsidRPr="0059638B">
        <w:rPr>
          <w:color w:val="000000"/>
          <w:sz w:val="20"/>
          <w:szCs w:val="20"/>
        </w:rPr>
        <w:t>Since</w:t>
      </w:r>
      <w:r w:rsidR="00FF41A0">
        <w:rPr>
          <w:color w:val="000000"/>
          <w:sz w:val="20"/>
          <w:szCs w:val="20"/>
        </w:rPr>
        <w:t xml:space="preserve"> </w:t>
      </w:r>
      <w:r w:rsidR="00323457" w:rsidRPr="0059638B">
        <w:rPr>
          <w:color w:val="000000"/>
          <w:sz w:val="20"/>
          <w:szCs w:val="20"/>
        </w:rPr>
        <w:t>2005,</w:t>
      </w:r>
      <w:r w:rsidR="00FF41A0">
        <w:rPr>
          <w:color w:val="000000"/>
          <w:sz w:val="20"/>
          <w:szCs w:val="20"/>
        </w:rPr>
        <w:t xml:space="preserve"> </w:t>
      </w:r>
      <w:r w:rsidR="00323457" w:rsidRPr="0059638B">
        <w:rPr>
          <w:color w:val="000000"/>
          <w:sz w:val="20"/>
          <w:szCs w:val="20"/>
        </w:rPr>
        <w:t>it</w:t>
      </w:r>
      <w:r w:rsidR="00FF41A0">
        <w:rPr>
          <w:color w:val="000000"/>
          <w:sz w:val="20"/>
          <w:szCs w:val="20"/>
        </w:rPr>
        <w:t xml:space="preserve"> </w:t>
      </w:r>
      <w:r w:rsidR="00323457" w:rsidRPr="0059638B">
        <w:rPr>
          <w:color w:val="000000"/>
          <w:sz w:val="20"/>
          <w:szCs w:val="20"/>
        </w:rPr>
        <w:t>provided</w:t>
      </w:r>
      <w:r w:rsidR="00FF41A0">
        <w:rPr>
          <w:color w:val="000000"/>
          <w:sz w:val="20"/>
          <w:szCs w:val="20"/>
        </w:rPr>
        <w:t xml:space="preserve"> </w:t>
      </w:r>
      <w:r w:rsidR="00323457" w:rsidRPr="0059638B">
        <w:rPr>
          <w:color w:val="000000"/>
          <w:sz w:val="20"/>
          <w:szCs w:val="20"/>
        </w:rPr>
        <w:t>international</w:t>
      </w:r>
      <w:r w:rsidR="00FF41A0">
        <w:rPr>
          <w:color w:val="000000"/>
          <w:sz w:val="20"/>
          <w:szCs w:val="20"/>
        </w:rPr>
        <w:t xml:space="preserve"> </w:t>
      </w:r>
      <w:r w:rsidR="00323457" w:rsidRPr="0059638B">
        <w:rPr>
          <w:color w:val="000000"/>
          <w:sz w:val="20"/>
          <w:szCs w:val="20"/>
        </w:rPr>
        <w:t>humanitarian</w:t>
      </w:r>
      <w:r w:rsidR="00FF41A0">
        <w:rPr>
          <w:color w:val="000000"/>
          <w:sz w:val="20"/>
          <w:szCs w:val="20"/>
        </w:rPr>
        <w:t xml:space="preserve"> </w:t>
      </w:r>
      <w:r w:rsidR="00323457" w:rsidRPr="0059638B">
        <w:rPr>
          <w:color w:val="000000"/>
          <w:sz w:val="20"/>
          <w:szCs w:val="20"/>
        </w:rPr>
        <w:t>assistance</w:t>
      </w:r>
      <w:r w:rsidR="00FF41A0">
        <w:rPr>
          <w:color w:val="000000"/>
          <w:sz w:val="20"/>
          <w:szCs w:val="20"/>
        </w:rPr>
        <w:t xml:space="preserve"> </w:t>
      </w:r>
      <w:r w:rsidR="00323457" w:rsidRPr="0059638B">
        <w:rPr>
          <w:color w:val="000000"/>
          <w:sz w:val="20"/>
          <w:szCs w:val="20"/>
        </w:rPr>
        <w:t>emphasising</w:t>
      </w:r>
      <w:r w:rsidR="00FF41A0">
        <w:rPr>
          <w:color w:val="000000"/>
          <w:sz w:val="20"/>
          <w:szCs w:val="20"/>
        </w:rPr>
        <w:t xml:space="preserve"> </w:t>
      </w:r>
      <w:r w:rsidR="00323457" w:rsidRPr="0059638B">
        <w:rPr>
          <w:color w:val="000000"/>
          <w:sz w:val="20"/>
          <w:szCs w:val="20"/>
        </w:rPr>
        <w:t>that,</w:t>
      </w:r>
      <w:r w:rsidR="00FF41A0">
        <w:rPr>
          <w:color w:val="000000"/>
          <w:sz w:val="20"/>
          <w:szCs w:val="20"/>
        </w:rPr>
        <w:t xml:space="preserve"> </w:t>
      </w:r>
      <w:r w:rsidR="00323457" w:rsidRPr="0059638B">
        <w:rPr>
          <w:color w:val="000000"/>
          <w:sz w:val="20"/>
          <w:szCs w:val="20"/>
        </w:rPr>
        <w:t>in</w:t>
      </w:r>
      <w:r w:rsidR="00FF41A0">
        <w:rPr>
          <w:color w:val="000000"/>
          <w:sz w:val="20"/>
          <w:szCs w:val="20"/>
        </w:rPr>
        <w:t xml:space="preserve"> </w:t>
      </w:r>
      <w:r w:rsidR="00323457" w:rsidRPr="0059638B">
        <w:rPr>
          <w:color w:val="000000"/>
          <w:sz w:val="20"/>
          <w:szCs w:val="20"/>
        </w:rPr>
        <w:t>the</w:t>
      </w:r>
      <w:r w:rsidR="00FF41A0">
        <w:rPr>
          <w:color w:val="000000"/>
          <w:sz w:val="20"/>
          <w:szCs w:val="20"/>
        </w:rPr>
        <w:t xml:space="preserve"> </w:t>
      </w:r>
      <w:r w:rsidR="00323457" w:rsidRPr="0059638B">
        <w:rPr>
          <w:color w:val="000000"/>
          <w:sz w:val="20"/>
          <w:szCs w:val="20"/>
        </w:rPr>
        <w:t>future,</w:t>
      </w:r>
      <w:r w:rsidR="00FF41A0">
        <w:rPr>
          <w:color w:val="000000"/>
          <w:sz w:val="20"/>
          <w:szCs w:val="20"/>
        </w:rPr>
        <w:t xml:space="preserve"> </w:t>
      </w:r>
      <w:r w:rsidR="00323457" w:rsidRPr="0059638B">
        <w:rPr>
          <w:color w:val="000000"/>
          <w:sz w:val="20"/>
          <w:szCs w:val="20"/>
        </w:rPr>
        <w:t>it</w:t>
      </w:r>
      <w:r w:rsidR="00FF41A0">
        <w:rPr>
          <w:color w:val="000000"/>
          <w:sz w:val="20"/>
          <w:szCs w:val="20"/>
        </w:rPr>
        <w:t xml:space="preserve"> </w:t>
      </w:r>
      <w:r w:rsidR="00323457" w:rsidRPr="0059638B">
        <w:rPr>
          <w:color w:val="000000"/>
          <w:sz w:val="20"/>
          <w:szCs w:val="20"/>
        </w:rPr>
        <w:t>would</w:t>
      </w:r>
      <w:r w:rsidR="00FF41A0">
        <w:rPr>
          <w:color w:val="000000"/>
          <w:sz w:val="20"/>
          <w:szCs w:val="20"/>
        </w:rPr>
        <w:t xml:space="preserve"> </w:t>
      </w:r>
      <w:r w:rsidR="00323457" w:rsidRPr="0059638B">
        <w:rPr>
          <w:color w:val="000000"/>
          <w:sz w:val="20"/>
          <w:szCs w:val="20"/>
        </w:rPr>
        <w:t>continue</w:t>
      </w:r>
      <w:r w:rsidR="00FF41A0">
        <w:rPr>
          <w:color w:val="000000"/>
          <w:sz w:val="20"/>
          <w:szCs w:val="20"/>
        </w:rPr>
        <w:t xml:space="preserve"> </w:t>
      </w:r>
      <w:r w:rsidR="00323457" w:rsidRPr="0059638B">
        <w:rPr>
          <w:color w:val="000000"/>
          <w:sz w:val="20"/>
          <w:szCs w:val="20"/>
        </w:rPr>
        <w:t>to</w:t>
      </w:r>
      <w:r w:rsidR="00FF41A0">
        <w:rPr>
          <w:color w:val="000000"/>
          <w:sz w:val="20"/>
          <w:szCs w:val="20"/>
        </w:rPr>
        <w:t xml:space="preserve"> </w:t>
      </w:r>
      <w:r w:rsidR="00323457" w:rsidRPr="0059638B">
        <w:rPr>
          <w:color w:val="000000"/>
          <w:sz w:val="20"/>
          <w:szCs w:val="20"/>
        </w:rPr>
        <w:t>work</w:t>
      </w:r>
      <w:r w:rsidR="00FF41A0">
        <w:rPr>
          <w:color w:val="000000"/>
          <w:sz w:val="20"/>
          <w:szCs w:val="20"/>
        </w:rPr>
        <w:t xml:space="preserve"> </w:t>
      </w:r>
      <w:r w:rsidR="00323457" w:rsidRPr="0059638B">
        <w:rPr>
          <w:color w:val="000000"/>
          <w:sz w:val="20"/>
          <w:szCs w:val="20"/>
        </w:rPr>
        <w:t>with</w:t>
      </w:r>
      <w:r w:rsidR="00FF41A0">
        <w:rPr>
          <w:color w:val="000000"/>
          <w:sz w:val="20"/>
          <w:szCs w:val="20"/>
        </w:rPr>
        <w:t xml:space="preserve"> </w:t>
      </w:r>
      <w:r w:rsidR="00323457" w:rsidRPr="0059638B">
        <w:rPr>
          <w:color w:val="000000"/>
          <w:sz w:val="20"/>
          <w:szCs w:val="20"/>
        </w:rPr>
        <w:t>countries</w:t>
      </w:r>
      <w:r w:rsidR="00FF41A0">
        <w:rPr>
          <w:color w:val="000000"/>
          <w:sz w:val="20"/>
          <w:szCs w:val="20"/>
        </w:rPr>
        <w:t xml:space="preserve"> </w:t>
      </w:r>
      <w:r w:rsidR="00323457" w:rsidRPr="0059638B">
        <w:rPr>
          <w:color w:val="000000"/>
          <w:sz w:val="20"/>
          <w:szCs w:val="20"/>
        </w:rPr>
        <w:t>to</w:t>
      </w:r>
      <w:r w:rsidR="00FF41A0">
        <w:rPr>
          <w:color w:val="000000"/>
          <w:sz w:val="20"/>
          <w:szCs w:val="20"/>
        </w:rPr>
        <w:t xml:space="preserve"> </w:t>
      </w:r>
      <w:r w:rsidR="00323457" w:rsidRPr="0059638B">
        <w:rPr>
          <w:color w:val="000000"/>
          <w:sz w:val="20"/>
          <w:szCs w:val="20"/>
        </w:rPr>
        <w:t>share</w:t>
      </w:r>
      <w:r w:rsidR="00FF41A0">
        <w:rPr>
          <w:color w:val="000000"/>
          <w:sz w:val="20"/>
          <w:szCs w:val="20"/>
        </w:rPr>
        <w:t xml:space="preserve"> </w:t>
      </w:r>
      <w:r w:rsidR="00323457" w:rsidRPr="0059638B">
        <w:rPr>
          <w:color w:val="000000"/>
          <w:sz w:val="20"/>
          <w:szCs w:val="20"/>
        </w:rPr>
        <w:t>with</w:t>
      </w:r>
      <w:r w:rsidR="00FF41A0">
        <w:rPr>
          <w:color w:val="000000"/>
          <w:sz w:val="20"/>
          <w:szCs w:val="20"/>
        </w:rPr>
        <w:t xml:space="preserve"> </w:t>
      </w:r>
      <w:r w:rsidR="00323457" w:rsidRPr="0059638B">
        <w:rPr>
          <w:color w:val="000000"/>
          <w:sz w:val="20"/>
          <w:szCs w:val="20"/>
        </w:rPr>
        <w:t>them</w:t>
      </w:r>
      <w:r w:rsidR="00FF41A0">
        <w:rPr>
          <w:color w:val="000000"/>
          <w:sz w:val="20"/>
          <w:szCs w:val="20"/>
        </w:rPr>
        <w:t xml:space="preserve"> </w:t>
      </w:r>
      <w:r w:rsidR="00323457" w:rsidRPr="0059638B">
        <w:rPr>
          <w:color w:val="000000"/>
          <w:sz w:val="20"/>
          <w:szCs w:val="20"/>
        </w:rPr>
        <w:t>China</w:t>
      </w:r>
      <w:r w:rsidR="00D72627">
        <w:rPr>
          <w:color w:val="000000"/>
          <w:sz w:val="20"/>
          <w:szCs w:val="20"/>
        </w:rPr>
        <w:t>’</w:t>
      </w:r>
      <w:r w:rsidR="00323457" w:rsidRPr="0059638B">
        <w:rPr>
          <w:color w:val="000000"/>
          <w:sz w:val="20"/>
          <w:szCs w:val="20"/>
        </w:rPr>
        <w:t>s</w:t>
      </w:r>
      <w:r w:rsidR="00FF41A0">
        <w:rPr>
          <w:color w:val="000000"/>
          <w:sz w:val="20"/>
          <w:szCs w:val="20"/>
        </w:rPr>
        <w:t xml:space="preserve"> </w:t>
      </w:r>
      <w:r w:rsidR="00323457" w:rsidRPr="0059638B">
        <w:rPr>
          <w:color w:val="000000"/>
          <w:sz w:val="20"/>
          <w:szCs w:val="20"/>
        </w:rPr>
        <w:t>experience</w:t>
      </w:r>
      <w:r w:rsidR="00FF41A0">
        <w:rPr>
          <w:color w:val="000000"/>
          <w:sz w:val="20"/>
          <w:szCs w:val="20"/>
        </w:rPr>
        <w:t xml:space="preserve"> </w:t>
      </w:r>
      <w:r w:rsidR="00323457" w:rsidRPr="0059638B">
        <w:rPr>
          <w:color w:val="000000"/>
          <w:sz w:val="20"/>
          <w:szCs w:val="20"/>
        </w:rPr>
        <w:t>in</w:t>
      </w:r>
      <w:r w:rsidR="00FF41A0">
        <w:rPr>
          <w:color w:val="000000"/>
          <w:sz w:val="20"/>
          <w:szCs w:val="20"/>
        </w:rPr>
        <w:t xml:space="preserve"> </w:t>
      </w:r>
      <w:r w:rsidR="00323457" w:rsidRPr="0059638B">
        <w:rPr>
          <w:color w:val="000000"/>
          <w:sz w:val="20"/>
          <w:szCs w:val="20"/>
        </w:rPr>
        <w:t>poverty</w:t>
      </w:r>
      <w:r w:rsidR="00FF41A0">
        <w:rPr>
          <w:color w:val="000000"/>
          <w:sz w:val="20"/>
          <w:szCs w:val="20"/>
        </w:rPr>
        <w:t xml:space="preserve"> </w:t>
      </w:r>
      <w:r w:rsidR="00323457" w:rsidRPr="0059638B">
        <w:rPr>
          <w:color w:val="000000"/>
          <w:sz w:val="20"/>
          <w:szCs w:val="20"/>
        </w:rPr>
        <w:t>alleviation</w:t>
      </w:r>
      <w:r w:rsidR="00FF41A0">
        <w:rPr>
          <w:color w:val="000000"/>
          <w:sz w:val="20"/>
          <w:szCs w:val="20"/>
        </w:rPr>
        <w:t xml:space="preserve"> </w:t>
      </w:r>
      <w:r w:rsidR="00323457" w:rsidRPr="0059638B">
        <w:rPr>
          <w:color w:val="000000"/>
          <w:sz w:val="20"/>
          <w:szCs w:val="20"/>
        </w:rPr>
        <w:t>so</w:t>
      </w:r>
      <w:r w:rsidR="00FF41A0">
        <w:rPr>
          <w:color w:val="000000"/>
          <w:sz w:val="20"/>
          <w:szCs w:val="20"/>
        </w:rPr>
        <w:t xml:space="preserve"> </w:t>
      </w:r>
      <w:r w:rsidR="00323457" w:rsidRPr="0059638B">
        <w:rPr>
          <w:color w:val="000000"/>
          <w:sz w:val="20"/>
          <w:szCs w:val="20"/>
        </w:rPr>
        <w:t>that</w:t>
      </w:r>
      <w:r w:rsidR="00FF41A0">
        <w:rPr>
          <w:color w:val="000000"/>
          <w:sz w:val="20"/>
          <w:szCs w:val="20"/>
        </w:rPr>
        <w:t xml:space="preserve"> </w:t>
      </w:r>
      <w:r w:rsidR="00323457" w:rsidRPr="0059638B">
        <w:rPr>
          <w:color w:val="000000"/>
          <w:sz w:val="20"/>
          <w:szCs w:val="20"/>
        </w:rPr>
        <w:t>they</w:t>
      </w:r>
      <w:r w:rsidR="00FF41A0">
        <w:rPr>
          <w:color w:val="000000"/>
          <w:sz w:val="20"/>
          <w:szCs w:val="20"/>
        </w:rPr>
        <w:t xml:space="preserve"> </w:t>
      </w:r>
      <w:r w:rsidR="00323457" w:rsidRPr="0059638B">
        <w:rPr>
          <w:color w:val="000000"/>
          <w:sz w:val="20"/>
          <w:szCs w:val="20"/>
        </w:rPr>
        <w:t>can</w:t>
      </w:r>
      <w:r w:rsidR="00FF41A0">
        <w:rPr>
          <w:color w:val="000000"/>
          <w:sz w:val="20"/>
          <w:szCs w:val="20"/>
        </w:rPr>
        <w:t xml:space="preserve"> </w:t>
      </w:r>
      <w:r w:rsidR="00323457" w:rsidRPr="0059638B">
        <w:rPr>
          <w:color w:val="000000"/>
          <w:sz w:val="20"/>
          <w:szCs w:val="20"/>
        </w:rPr>
        <w:t>reach</w:t>
      </w:r>
      <w:r w:rsidR="00FF41A0">
        <w:rPr>
          <w:color w:val="000000"/>
          <w:sz w:val="20"/>
          <w:szCs w:val="20"/>
        </w:rPr>
        <w:t xml:space="preserve"> </w:t>
      </w:r>
      <w:r w:rsidR="00323457" w:rsidRPr="0059638B">
        <w:rPr>
          <w:color w:val="000000"/>
          <w:sz w:val="20"/>
          <w:szCs w:val="20"/>
        </w:rPr>
        <w:t>the</w:t>
      </w:r>
      <w:r w:rsidR="00FF41A0">
        <w:rPr>
          <w:color w:val="000000"/>
          <w:sz w:val="20"/>
          <w:szCs w:val="20"/>
        </w:rPr>
        <w:t xml:space="preserve"> </w:t>
      </w:r>
      <w:r w:rsidR="00323457" w:rsidRPr="0059638B">
        <w:rPr>
          <w:color w:val="000000"/>
          <w:sz w:val="20"/>
          <w:szCs w:val="20"/>
        </w:rPr>
        <w:t>2030</w:t>
      </w:r>
      <w:r w:rsidR="00FF41A0">
        <w:rPr>
          <w:color w:val="000000"/>
          <w:sz w:val="20"/>
          <w:szCs w:val="20"/>
        </w:rPr>
        <w:t xml:space="preserve"> </w:t>
      </w:r>
      <w:r w:rsidR="00323457" w:rsidRPr="0059638B">
        <w:rPr>
          <w:color w:val="000000"/>
          <w:sz w:val="20"/>
          <w:szCs w:val="20"/>
        </w:rPr>
        <w:t>Agenda</w:t>
      </w:r>
      <w:r w:rsidR="00FF41A0">
        <w:rPr>
          <w:color w:val="000000"/>
          <w:sz w:val="20"/>
          <w:szCs w:val="20"/>
        </w:rPr>
        <w:t xml:space="preserve"> </w:t>
      </w:r>
      <w:r w:rsidR="00323457" w:rsidRPr="0059638B">
        <w:rPr>
          <w:color w:val="000000"/>
          <w:sz w:val="20"/>
          <w:szCs w:val="20"/>
        </w:rPr>
        <w:t>for</w:t>
      </w:r>
      <w:r w:rsidR="00FF41A0">
        <w:rPr>
          <w:color w:val="000000"/>
          <w:sz w:val="20"/>
          <w:szCs w:val="20"/>
        </w:rPr>
        <w:t xml:space="preserve"> </w:t>
      </w:r>
      <w:r w:rsidR="00323457" w:rsidRPr="0059638B">
        <w:rPr>
          <w:color w:val="000000"/>
          <w:sz w:val="20"/>
          <w:szCs w:val="20"/>
        </w:rPr>
        <w:t>Sustainable</w:t>
      </w:r>
      <w:r w:rsidR="00FF41A0">
        <w:rPr>
          <w:color w:val="000000"/>
          <w:sz w:val="20"/>
          <w:szCs w:val="20"/>
        </w:rPr>
        <w:t xml:space="preserve"> </w:t>
      </w:r>
      <w:r w:rsidR="00323457" w:rsidRPr="0059638B">
        <w:rPr>
          <w:color w:val="000000"/>
          <w:sz w:val="20"/>
          <w:szCs w:val="20"/>
        </w:rPr>
        <w:t>Development.</w:t>
      </w:r>
      <w:r w:rsidR="00FF41A0">
        <w:rPr>
          <w:color w:val="000000"/>
          <w:sz w:val="20"/>
          <w:szCs w:val="20"/>
        </w:rPr>
        <w:t xml:space="preserve"> </w:t>
      </w:r>
    </w:p>
    <w:p w14:paraId="56CA25A7" w14:textId="7B357581" w:rsidR="00323457" w:rsidRPr="0059638B" w:rsidRDefault="0035721D" w:rsidP="00323457">
      <w:pPr>
        <w:pStyle w:val="SingleTxtG"/>
        <w:rPr>
          <w:sz w:val="20"/>
          <w:szCs w:val="20"/>
        </w:rPr>
      </w:pPr>
      <w:r>
        <w:rPr>
          <w:sz w:val="20"/>
          <w:szCs w:val="20"/>
        </w:rPr>
        <w:t>850</w:t>
      </w:r>
      <w:r w:rsidR="00D226AB">
        <w:rPr>
          <w:sz w:val="20"/>
          <w:szCs w:val="20"/>
        </w:rPr>
        <w:t>.</w:t>
      </w:r>
      <w:r w:rsidR="00D226AB">
        <w:rPr>
          <w:sz w:val="20"/>
          <w:szCs w:val="20"/>
        </w:rPr>
        <w:tab/>
      </w:r>
      <w:r w:rsidR="00323457" w:rsidRPr="0059638B">
        <w:rPr>
          <w:sz w:val="20"/>
          <w:szCs w:val="20"/>
        </w:rPr>
        <w:t>Chinese</w:t>
      </w:r>
      <w:r w:rsidR="00FF41A0">
        <w:rPr>
          <w:sz w:val="20"/>
          <w:szCs w:val="20"/>
        </w:rPr>
        <w:t xml:space="preserve"> </w:t>
      </w:r>
      <w:r w:rsidR="00323457" w:rsidRPr="0059638B">
        <w:rPr>
          <w:sz w:val="20"/>
          <w:szCs w:val="20"/>
        </w:rPr>
        <w:t>Association</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Understanding</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ethnic</w:t>
      </w:r>
      <w:r w:rsidR="00FF41A0">
        <w:rPr>
          <w:sz w:val="20"/>
          <w:szCs w:val="20"/>
        </w:rPr>
        <w:t xml:space="preserve"> </w:t>
      </w:r>
      <w:r w:rsidR="00323457" w:rsidRPr="0059638B">
        <w:rPr>
          <w:sz w:val="20"/>
          <w:szCs w:val="20"/>
        </w:rPr>
        <w:t>groups</w:t>
      </w:r>
      <w:r w:rsidR="00FF41A0">
        <w:rPr>
          <w:sz w:val="20"/>
          <w:szCs w:val="20"/>
        </w:rPr>
        <w:t xml:space="preserve"> </w:t>
      </w:r>
      <w:r w:rsidR="00323457" w:rsidRPr="0059638B">
        <w:rPr>
          <w:sz w:val="20"/>
          <w:szCs w:val="20"/>
        </w:rPr>
        <w:t>enjoyed</w:t>
      </w:r>
      <w:r w:rsidR="00FF41A0">
        <w:rPr>
          <w:sz w:val="20"/>
          <w:szCs w:val="20"/>
        </w:rPr>
        <w:t xml:space="preserve"> </w:t>
      </w:r>
      <w:r w:rsidR="00323457" w:rsidRPr="0059638B">
        <w:rPr>
          <w:sz w:val="20"/>
          <w:szCs w:val="20"/>
        </w:rPr>
        <w:t>equal</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livelihood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Xinjiang</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remarkably</w:t>
      </w:r>
      <w:r w:rsidR="00FF41A0">
        <w:rPr>
          <w:sz w:val="20"/>
          <w:szCs w:val="20"/>
        </w:rPr>
        <w:t xml:space="preserve"> </w:t>
      </w:r>
      <w:r w:rsidR="00323457" w:rsidRPr="0059638B">
        <w:rPr>
          <w:sz w:val="20"/>
          <w:szCs w:val="20"/>
        </w:rPr>
        <w:t>improved</w:t>
      </w:r>
      <w:r w:rsidR="00FF41A0">
        <w:rPr>
          <w:sz w:val="20"/>
          <w:szCs w:val="20"/>
        </w:rPr>
        <w:t xml:space="preserve"> </w:t>
      </w:r>
      <w:r w:rsidR="00323457" w:rsidRPr="0059638B">
        <w:rPr>
          <w:sz w:val="20"/>
          <w:szCs w:val="20"/>
        </w:rPr>
        <w:t>thanks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poverty</w:t>
      </w:r>
      <w:r w:rsidR="00FF41A0">
        <w:rPr>
          <w:sz w:val="20"/>
          <w:szCs w:val="20"/>
        </w:rPr>
        <w:t xml:space="preserve"> </w:t>
      </w:r>
      <w:r w:rsidR="00323457" w:rsidRPr="0059638B">
        <w:rPr>
          <w:sz w:val="20"/>
          <w:szCs w:val="20"/>
        </w:rPr>
        <w:t>reduction</w:t>
      </w:r>
      <w:r w:rsidR="00FF41A0">
        <w:rPr>
          <w:sz w:val="20"/>
          <w:szCs w:val="20"/>
        </w:rPr>
        <w:t xml:space="preserve"> </w:t>
      </w:r>
      <w:r w:rsidR="00323457" w:rsidRPr="0059638B">
        <w:rPr>
          <w:sz w:val="20"/>
          <w:szCs w:val="20"/>
        </w:rPr>
        <w:t>policy,</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lifted</w:t>
      </w:r>
      <w:r w:rsidR="00FF41A0">
        <w:rPr>
          <w:sz w:val="20"/>
          <w:szCs w:val="20"/>
        </w:rPr>
        <w:t xml:space="preserve"> </w:t>
      </w:r>
      <w:r w:rsidR="00323457" w:rsidRPr="0059638B">
        <w:rPr>
          <w:sz w:val="20"/>
          <w:szCs w:val="20"/>
        </w:rPr>
        <w:t>over</w:t>
      </w:r>
      <w:r w:rsidR="00FF41A0">
        <w:rPr>
          <w:sz w:val="20"/>
          <w:szCs w:val="20"/>
        </w:rPr>
        <w:t xml:space="preserve"> </w:t>
      </w:r>
      <w:r w:rsidR="00323457" w:rsidRPr="0059638B">
        <w:rPr>
          <w:sz w:val="20"/>
          <w:szCs w:val="20"/>
        </w:rPr>
        <w:t>500,000</w:t>
      </w:r>
      <w:r w:rsidR="00FF41A0">
        <w:rPr>
          <w:sz w:val="20"/>
          <w:szCs w:val="20"/>
        </w:rPr>
        <w:t xml:space="preserve"> </w:t>
      </w:r>
      <w:r w:rsidR="00323457" w:rsidRPr="0059638B">
        <w:rPr>
          <w:sz w:val="20"/>
          <w:szCs w:val="20"/>
        </w:rPr>
        <w:t>people</w:t>
      </w:r>
      <w:r w:rsidR="00FF41A0">
        <w:rPr>
          <w:sz w:val="20"/>
          <w:szCs w:val="20"/>
        </w:rPr>
        <w:t xml:space="preserve"> </w:t>
      </w:r>
      <w:r w:rsidR="00323457" w:rsidRPr="0059638B">
        <w:rPr>
          <w:sz w:val="20"/>
          <w:szCs w:val="20"/>
        </w:rPr>
        <w:t>out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poverty</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2018.</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anti-terrorism</w:t>
      </w:r>
      <w:r w:rsidR="00FF41A0">
        <w:rPr>
          <w:sz w:val="20"/>
          <w:szCs w:val="20"/>
        </w:rPr>
        <w:t xml:space="preserve"> </w:t>
      </w:r>
      <w:r w:rsidR="00323457" w:rsidRPr="0059638B">
        <w:rPr>
          <w:sz w:val="20"/>
          <w:szCs w:val="20"/>
        </w:rPr>
        <w:t>measures</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taken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ensure</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ethnic</w:t>
      </w:r>
      <w:r w:rsidR="00FF41A0">
        <w:rPr>
          <w:sz w:val="20"/>
          <w:szCs w:val="20"/>
        </w:rPr>
        <w:t xml:space="preserve"> </w:t>
      </w:r>
      <w:r w:rsidR="00323457" w:rsidRPr="0059638B">
        <w:rPr>
          <w:sz w:val="20"/>
          <w:szCs w:val="20"/>
        </w:rPr>
        <w:t>groups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Xinjiang</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safety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development.</w:t>
      </w:r>
      <w:r w:rsidR="00FF41A0">
        <w:rPr>
          <w:sz w:val="20"/>
          <w:szCs w:val="20"/>
        </w:rPr>
        <w:t xml:space="preserve"> </w:t>
      </w:r>
    </w:p>
    <w:p w14:paraId="24136584" w14:textId="55BBE3C9" w:rsidR="00323457" w:rsidRPr="0059638B" w:rsidRDefault="0035721D" w:rsidP="00323457">
      <w:pPr>
        <w:pStyle w:val="SingleTxtG"/>
        <w:rPr>
          <w:sz w:val="20"/>
          <w:szCs w:val="20"/>
        </w:rPr>
      </w:pPr>
      <w:r>
        <w:rPr>
          <w:sz w:val="20"/>
          <w:szCs w:val="20"/>
        </w:rPr>
        <w:t>851</w:t>
      </w:r>
      <w:r w:rsidR="00D226AB">
        <w:rPr>
          <w:sz w:val="20"/>
          <w:szCs w:val="20"/>
        </w:rPr>
        <w:t>.</w:t>
      </w:r>
      <w:r w:rsidR="00D226AB">
        <w:rPr>
          <w:sz w:val="20"/>
          <w:szCs w:val="20"/>
        </w:rPr>
        <w:tab/>
      </w:r>
      <w:r w:rsidR="00323457" w:rsidRPr="0059638B">
        <w:rPr>
          <w:sz w:val="20"/>
          <w:szCs w:val="20"/>
        </w:rPr>
        <w:t>Helsinki</w:t>
      </w:r>
      <w:r w:rsidR="00FF41A0">
        <w:rPr>
          <w:sz w:val="20"/>
          <w:szCs w:val="20"/>
        </w:rPr>
        <w:t xml:space="preserve"> </w:t>
      </w:r>
      <w:r w:rsidR="00323457" w:rsidRPr="0059638B">
        <w:rPr>
          <w:sz w:val="20"/>
          <w:szCs w:val="20"/>
        </w:rPr>
        <w:t>Foundation</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delivered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statement</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honour</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Cao</w:t>
      </w:r>
      <w:r w:rsidR="00FF41A0">
        <w:rPr>
          <w:sz w:val="20"/>
          <w:szCs w:val="20"/>
        </w:rPr>
        <w:t xml:space="preserve"> </w:t>
      </w:r>
      <w:r w:rsidR="00323457" w:rsidRPr="0059638B">
        <w:rPr>
          <w:sz w:val="20"/>
          <w:szCs w:val="20"/>
        </w:rPr>
        <w:t>Shunli</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defenders</w:t>
      </w:r>
      <w:r w:rsidR="00FF41A0">
        <w:rPr>
          <w:sz w:val="20"/>
          <w:szCs w:val="20"/>
        </w:rPr>
        <w:t xml:space="preserve"> </w:t>
      </w:r>
      <w:r w:rsidR="00323457" w:rsidRPr="0059638B">
        <w:rPr>
          <w:sz w:val="20"/>
          <w:szCs w:val="20"/>
        </w:rPr>
        <w:t>unjustly</w:t>
      </w:r>
      <w:r w:rsidR="00FF41A0">
        <w:rPr>
          <w:sz w:val="20"/>
          <w:szCs w:val="20"/>
        </w:rPr>
        <w:t xml:space="preserve"> </w:t>
      </w:r>
      <w:r w:rsidR="00323457" w:rsidRPr="0059638B">
        <w:rPr>
          <w:sz w:val="20"/>
          <w:szCs w:val="20"/>
        </w:rPr>
        <w:t>detained</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promoting</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Tibetans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did</w:t>
      </w:r>
      <w:r w:rsidR="00FF41A0">
        <w:rPr>
          <w:sz w:val="20"/>
          <w:szCs w:val="20"/>
        </w:rPr>
        <w:t xml:space="preserve"> </w:t>
      </w:r>
      <w:r w:rsidR="00323457" w:rsidRPr="0059638B">
        <w:rPr>
          <w:sz w:val="20"/>
          <w:szCs w:val="20"/>
        </w:rPr>
        <w:t>not</w:t>
      </w:r>
      <w:r w:rsidR="00FF41A0">
        <w:rPr>
          <w:sz w:val="20"/>
          <w:szCs w:val="20"/>
        </w:rPr>
        <w:t xml:space="preserve"> </w:t>
      </w:r>
      <w:r w:rsidR="00323457" w:rsidRPr="0059638B">
        <w:rPr>
          <w:sz w:val="20"/>
          <w:szCs w:val="20"/>
        </w:rPr>
        <w:t>have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chance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contribute</w:t>
      </w:r>
      <w:r w:rsidR="00FF41A0">
        <w:rPr>
          <w:sz w:val="20"/>
          <w:szCs w:val="20"/>
        </w:rPr>
        <w:t xml:space="preserve"> </w:t>
      </w:r>
      <w:r w:rsidR="00323457" w:rsidRPr="0059638B">
        <w:rPr>
          <w:sz w:val="20"/>
          <w:szCs w:val="20"/>
        </w:rPr>
        <w:t>freely</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many</w:t>
      </w:r>
      <w:r w:rsidR="00FF41A0">
        <w:rPr>
          <w:sz w:val="20"/>
          <w:szCs w:val="20"/>
        </w:rPr>
        <w:t xml:space="preserve"> </w:t>
      </w:r>
      <w:r w:rsidR="00323457" w:rsidRPr="0059638B">
        <w:rPr>
          <w:sz w:val="20"/>
          <w:szCs w:val="20"/>
        </w:rPr>
        <w:t>Tibetans</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self-immolated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protest</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Chinese</w:t>
      </w:r>
      <w:r w:rsidR="00FF41A0">
        <w:rPr>
          <w:sz w:val="20"/>
          <w:szCs w:val="20"/>
        </w:rPr>
        <w:t xml:space="preserve"> </w:t>
      </w:r>
      <w:r w:rsidR="00323457" w:rsidRPr="0059638B">
        <w:rPr>
          <w:sz w:val="20"/>
          <w:szCs w:val="20"/>
        </w:rPr>
        <w:t>Government</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policies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called</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religious</w:t>
      </w:r>
      <w:r w:rsidR="00FF41A0">
        <w:rPr>
          <w:sz w:val="20"/>
          <w:szCs w:val="20"/>
        </w:rPr>
        <w:t xml:space="preserve"> </w:t>
      </w:r>
      <w:r w:rsidR="00323457" w:rsidRPr="0059638B">
        <w:rPr>
          <w:sz w:val="20"/>
          <w:szCs w:val="20"/>
        </w:rPr>
        <w:t>freedom</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their</w:t>
      </w:r>
      <w:r w:rsidR="00FF41A0">
        <w:rPr>
          <w:sz w:val="20"/>
          <w:szCs w:val="20"/>
        </w:rPr>
        <w:t xml:space="preserve"> </w:t>
      </w:r>
      <w:r w:rsidR="00323457" w:rsidRPr="0059638B">
        <w:rPr>
          <w:sz w:val="20"/>
          <w:szCs w:val="20"/>
        </w:rPr>
        <w:t>language,</w:t>
      </w:r>
      <w:r w:rsidR="00FF41A0">
        <w:rPr>
          <w:sz w:val="20"/>
          <w:szCs w:val="20"/>
        </w:rPr>
        <w:t xml:space="preserve"> </w:t>
      </w:r>
      <w:r w:rsidR="00323457" w:rsidRPr="0059638B">
        <w:rPr>
          <w:sz w:val="20"/>
          <w:szCs w:val="20"/>
        </w:rPr>
        <w:t>their</w:t>
      </w:r>
      <w:r w:rsidR="00FF41A0">
        <w:rPr>
          <w:sz w:val="20"/>
          <w:szCs w:val="20"/>
        </w:rPr>
        <w:t xml:space="preserve"> </w:t>
      </w:r>
      <w:r w:rsidR="00323457" w:rsidRPr="0059638B">
        <w:rPr>
          <w:sz w:val="20"/>
          <w:szCs w:val="20"/>
        </w:rPr>
        <w:t>culture,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their</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response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process</w:t>
      </w:r>
      <w:r w:rsidR="00FF41A0">
        <w:rPr>
          <w:sz w:val="20"/>
          <w:szCs w:val="20"/>
        </w:rPr>
        <w:t xml:space="preserve"> </w:t>
      </w:r>
      <w:r w:rsidR="00323457" w:rsidRPr="0059638B">
        <w:rPr>
          <w:sz w:val="20"/>
          <w:szCs w:val="20"/>
        </w:rPr>
        <w:t>challenged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core</w:t>
      </w:r>
      <w:r w:rsidR="00FF41A0">
        <w:rPr>
          <w:sz w:val="20"/>
          <w:szCs w:val="20"/>
        </w:rPr>
        <w:t xml:space="preserve"> </w:t>
      </w:r>
      <w:r w:rsidR="00323457" w:rsidRPr="0059638B">
        <w:rPr>
          <w:sz w:val="20"/>
          <w:szCs w:val="20"/>
        </w:rPr>
        <w:t>principles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functions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Council</w:t>
      </w:r>
      <w:r w:rsidR="00FF41A0">
        <w:rPr>
          <w:sz w:val="20"/>
          <w:szCs w:val="20"/>
        </w:rPr>
        <w:t xml:space="preserve"> </w:t>
      </w:r>
      <w:r w:rsidR="00323457" w:rsidRPr="0059638B">
        <w:rPr>
          <w:sz w:val="20"/>
          <w:szCs w:val="20"/>
        </w:rPr>
        <w:t>because</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questioned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universality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indivisibility</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principles.</w:t>
      </w:r>
    </w:p>
    <w:p w14:paraId="172A375F" w14:textId="248E2801" w:rsidR="00323457" w:rsidRPr="0059638B" w:rsidRDefault="0035721D" w:rsidP="00323457">
      <w:pPr>
        <w:pStyle w:val="SingleTxtG"/>
        <w:rPr>
          <w:sz w:val="20"/>
          <w:szCs w:val="20"/>
        </w:rPr>
      </w:pPr>
      <w:r>
        <w:rPr>
          <w:sz w:val="20"/>
          <w:szCs w:val="20"/>
        </w:rPr>
        <w:t>852</w:t>
      </w:r>
      <w:r w:rsidR="00D226AB">
        <w:rPr>
          <w:sz w:val="20"/>
          <w:szCs w:val="20"/>
        </w:rPr>
        <w:t>.</w:t>
      </w:r>
      <w:r w:rsidR="00D226AB">
        <w:rPr>
          <w:sz w:val="20"/>
          <w:szCs w:val="20"/>
        </w:rPr>
        <w:tab/>
      </w:r>
      <w:r w:rsidR="00323457" w:rsidRPr="0059638B">
        <w:rPr>
          <w:sz w:val="20"/>
          <w:szCs w:val="20"/>
        </w:rPr>
        <w:t>China</w:t>
      </w:r>
      <w:r w:rsidR="00FF41A0">
        <w:rPr>
          <w:sz w:val="20"/>
          <w:szCs w:val="20"/>
        </w:rPr>
        <w:t xml:space="preserve"> </w:t>
      </w:r>
      <w:r w:rsidR="00323457" w:rsidRPr="0059638B">
        <w:rPr>
          <w:sz w:val="20"/>
          <w:szCs w:val="20"/>
        </w:rPr>
        <w:t>Association</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Preservation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Development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Tibetan</w:t>
      </w:r>
      <w:r w:rsidR="00FF41A0">
        <w:rPr>
          <w:sz w:val="20"/>
          <w:szCs w:val="20"/>
        </w:rPr>
        <w:t xml:space="preserve"> </w:t>
      </w:r>
      <w:r w:rsidR="00323457" w:rsidRPr="0059638B">
        <w:rPr>
          <w:sz w:val="20"/>
          <w:szCs w:val="20"/>
        </w:rPr>
        <w:t>Culture</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w:t>
      </w:r>
      <w:r w:rsidR="00323457" w:rsidRPr="0059638B">
        <w:rPr>
          <w:color w:val="000000"/>
          <w:sz w:val="20"/>
          <w:szCs w:val="20"/>
        </w:rPr>
        <w:t>he</w:t>
      </w:r>
      <w:r w:rsidR="00FF41A0">
        <w:rPr>
          <w:color w:val="000000"/>
          <w:sz w:val="20"/>
          <w:szCs w:val="20"/>
        </w:rPr>
        <w:t xml:space="preserve"> </w:t>
      </w:r>
      <w:r w:rsidR="00323457" w:rsidRPr="0059638B">
        <w:rPr>
          <w:color w:val="000000"/>
          <w:sz w:val="20"/>
          <w:szCs w:val="20"/>
        </w:rPr>
        <w:t>Chinese</w:t>
      </w:r>
      <w:r w:rsidR="00FF41A0">
        <w:rPr>
          <w:color w:val="000000"/>
          <w:sz w:val="20"/>
          <w:szCs w:val="20"/>
        </w:rPr>
        <w:t xml:space="preserve"> </w:t>
      </w:r>
      <w:r w:rsidR="00323457" w:rsidRPr="0059638B">
        <w:rPr>
          <w:color w:val="000000"/>
          <w:sz w:val="20"/>
          <w:szCs w:val="20"/>
        </w:rPr>
        <w:t>Constitution</w:t>
      </w:r>
      <w:r w:rsidR="00FF41A0">
        <w:rPr>
          <w:color w:val="000000"/>
          <w:sz w:val="20"/>
          <w:szCs w:val="20"/>
        </w:rPr>
        <w:t xml:space="preserve"> </w:t>
      </w:r>
      <w:r w:rsidR="00323457" w:rsidRPr="0059638B">
        <w:rPr>
          <w:color w:val="000000"/>
          <w:sz w:val="20"/>
          <w:szCs w:val="20"/>
        </w:rPr>
        <w:t>stipulated</w:t>
      </w:r>
      <w:r w:rsidR="00FF41A0">
        <w:rPr>
          <w:color w:val="000000"/>
          <w:sz w:val="20"/>
          <w:szCs w:val="20"/>
        </w:rPr>
        <w:t xml:space="preserve"> </w:t>
      </w:r>
      <w:r w:rsidR="00323457" w:rsidRPr="0059638B">
        <w:rPr>
          <w:color w:val="000000"/>
          <w:sz w:val="20"/>
          <w:szCs w:val="20"/>
        </w:rPr>
        <w:t>that</w:t>
      </w:r>
      <w:r w:rsidR="00FF41A0">
        <w:rPr>
          <w:color w:val="000000"/>
          <w:sz w:val="20"/>
          <w:szCs w:val="20"/>
        </w:rPr>
        <w:t xml:space="preserve"> </w:t>
      </w:r>
      <w:r w:rsidR="00323457" w:rsidRPr="0059638B">
        <w:rPr>
          <w:color w:val="000000"/>
          <w:sz w:val="20"/>
          <w:szCs w:val="20"/>
        </w:rPr>
        <w:t>freedom</w:t>
      </w:r>
      <w:r w:rsidR="00FF41A0">
        <w:rPr>
          <w:color w:val="000000"/>
          <w:sz w:val="20"/>
          <w:szCs w:val="20"/>
        </w:rPr>
        <w:t xml:space="preserve"> </w:t>
      </w:r>
      <w:r w:rsidR="00323457" w:rsidRPr="0059638B">
        <w:rPr>
          <w:color w:val="000000"/>
          <w:sz w:val="20"/>
          <w:szCs w:val="20"/>
        </w:rPr>
        <w:t>of</w:t>
      </w:r>
      <w:r w:rsidR="00FF41A0">
        <w:rPr>
          <w:color w:val="000000"/>
          <w:sz w:val="20"/>
          <w:szCs w:val="20"/>
        </w:rPr>
        <w:t xml:space="preserve"> </w:t>
      </w:r>
      <w:r w:rsidR="00323457" w:rsidRPr="0059638B">
        <w:rPr>
          <w:color w:val="000000"/>
          <w:sz w:val="20"/>
          <w:szCs w:val="20"/>
        </w:rPr>
        <w:t>religion</w:t>
      </w:r>
      <w:r w:rsidR="00FF41A0">
        <w:rPr>
          <w:color w:val="000000"/>
          <w:sz w:val="20"/>
          <w:szCs w:val="20"/>
        </w:rPr>
        <w:t xml:space="preserve"> </w:t>
      </w:r>
      <w:r w:rsidR="00323457" w:rsidRPr="0059638B">
        <w:rPr>
          <w:color w:val="000000"/>
          <w:sz w:val="20"/>
          <w:szCs w:val="20"/>
        </w:rPr>
        <w:t>and</w:t>
      </w:r>
      <w:r w:rsidR="00FF41A0">
        <w:rPr>
          <w:color w:val="000000"/>
          <w:sz w:val="20"/>
          <w:szCs w:val="20"/>
        </w:rPr>
        <w:t xml:space="preserve"> </w:t>
      </w:r>
      <w:r w:rsidR="00323457" w:rsidRPr="0059638B">
        <w:rPr>
          <w:color w:val="000000"/>
          <w:sz w:val="20"/>
          <w:szCs w:val="20"/>
        </w:rPr>
        <w:t>belief</w:t>
      </w:r>
      <w:r w:rsidR="00FF41A0">
        <w:rPr>
          <w:color w:val="000000"/>
          <w:sz w:val="20"/>
          <w:szCs w:val="20"/>
        </w:rPr>
        <w:t xml:space="preserve"> </w:t>
      </w:r>
      <w:r w:rsidR="00323457" w:rsidRPr="0059638B">
        <w:rPr>
          <w:color w:val="000000"/>
          <w:sz w:val="20"/>
          <w:szCs w:val="20"/>
        </w:rPr>
        <w:t>was</w:t>
      </w:r>
      <w:r w:rsidR="00FF41A0">
        <w:rPr>
          <w:color w:val="000000"/>
          <w:sz w:val="20"/>
          <w:szCs w:val="20"/>
        </w:rPr>
        <w:t xml:space="preserve"> </w:t>
      </w:r>
      <w:r w:rsidR="00323457" w:rsidRPr="0059638B">
        <w:rPr>
          <w:color w:val="000000"/>
          <w:sz w:val="20"/>
          <w:szCs w:val="20"/>
        </w:rPr>
        <w:t>a</w:t>
      </w:r>
      <w:r w:rsidR="00FF41A0">
        <w:rPr>
          <w:color w:val="000000"/>
          <w:sz w:val="20"/>
          <w:szCs w:val="20"/>
        </w:rPr>
        <w:t xml:space="preserve"> </w:t>
      </w:r>
      <w:r w:rsidR="00323457" w:rsidRPr="0059638B">
        <w:rPr>
          <w:color w:val="000000"/>
          <w:sz w:val="20"/>
          <w:szCs w:val="20"/>
        </w:rPr>
        <w:t>basic</w:t>
      </w:r>
      <w:r w:rsidR="00FF41A0">
        <w:rPr>
          <w:color w:val="000000"/>
          <w:sz w:val="20"/>
          <w:szCs w:val="20"/>
        </w:rPr>
        <w:t xml:space="preserve"> </w:t>
      </w:r>
      <w:r w:rsidR="00323457" w:rsidRPr="0059638B">
        <w:rPr>
          <w:color w:val="000000"/>
          <w:sz w:val="20"/>
          <w:szCs w:val="20"/>
        </w:rPr>
        <w:t>right</w:t>
      </w:r>
      <w:r w:rsidR="00FF41A0">
        <w:rPr>
          <w:color w:val="000000"/>
          <w:sz w:val="20"/>
          <w:szCs w:val="20"/>
        </w:rPr>
        <w:t xml:space="preserve"> </w:t>
      </w:r>
      <w:r w:rsidR="00323457" w:rsidRPr="0059638B">
        <w:rPr>
          <w:color w:val="000000"/>
          <w:sz w:val="20"/>
          <w:szCs w:val="20"/>
        </w:rPr>
        <w:t>for</w:t>
      </w:r>
      <w:r w:rsidR="00FF41A0">
        <w:rPr>
          <w:color w:val="000000"/>
          <w:sz w:val="20"/>
          <w:szCs w:val="20"/>
        </w:rPr>
        <w:t xml:space="preserve"> </w:t>
      </w:r>
      <w:r w:rsidR="00323457" w:rsidRPr="0059638B">
        <w:rPr>
          <w:color w:val="000000"/>
          <w:sz w:val="20"/>
          <w:szCs w:val="20"/>
        </w:rPr>
        <w:t>all</w:t>
      </w:r>
      <w:r w:rsidR="00FF41A0">
        <w:rPr>
          <w:color w:val="000000"/>
          <w:sz w:val="20"/>
          <w:szCs w:val="20"/>
        </w:rPr>
        <w:t xml:space="preserve"> </w:t>
      </w:r>
      <w:r w:rsidR="00323457" w:rsidRPr="0059638B">
        <w:rPr>
          <w:color w:val="000000"/>
          <w:sz w:val="20"/>
          <w:szCs w:val="20"/>
        </w:rPr>
        <w:t>citizens.</w:t>
      </w:r>
      <w:r w:rsidR="00FF41A0">
        <w:rPr>
          <w:color w:val="000000"/>
          <w:sz w:val="20"/>
          <w:szCs w:val="20"/>
        </w:rPr>
        <w:t xml:space="preserve"> </w:t>
      </w:r>
      <w:r w:rsidR="00323457" w:rsidRPr="0059638B">
        <w:rPr>
          <w:color w:val="000000"/>
          <w:sz w:val="20"/>
          <w:szCs w:val="20"/>
        </w:rPr>
        <w:t>It</w:t>
      </w:r>
      <w:r w:rsidR="00FF41A0">
        <w:rPr>
          <w:color w:val="000000"/>
          <w:sz w:val="20"/>
          <w:szCs w:val="20"/>
        </w:rPr>
        <w:t xml:space="preserve"> </w:t>
      </w:r>
      <w:r w:rsidR="00323457" w:rsidRPr="0059638B">
        <w:rPr>
          <w:color w:val="000000"/>
          <w:sz w:val="20"/>
          <w:szCs w:val="20"/>
        </w:rPr>
        <w:t>stated</w:t>
      </w:r>
      <w:r w:rsidR="00FF41A0">
        <w:rPr>
          <w:color w:val="000000"/>
          <w:sz w:val="20"/>
          <w:szCs w:val="20"/>
        </w:rPr>
        <w:t xml:space="preserve"> </w:t>
      </w:r>
      <w:r w:rsidR="00323457" w:rsidRPr="0059638B">
        <w:rPr>
          <w:color w:val="000000"/>
          <w:sz w:val="20"/>
          <w:szCs w:val="20"/>
        </w:rPr>
        <w:t>that,</w:t>
      </w:r>
      <w:r w:rsidR="00FF41A0">
        <w:rPr>
          <w:color w:val="000000"/>
          <w:sz w:val="20"/>
          <w:szCs w:val="20"/>
        </w:rPr>
        <w:t xml:space="preserve"> </w:t>
      </w:r>
      <w:r w:rsidR="00323457" w:rsidRPr="0059638B">
        <w:rPr>
          <w:color w:val="000000"/>
          <w:sz w:val="20"/>
          <w:szCs w:val="20"/>
        </w:rPr>
        <w:t>after</w:t>
      </w:r>
      <w:r w:rsidR="00FF41A0">
        <w:rPr>
          <w:color w:val="000000"/>
          <w:sz w:val="20"/>
          <w:szCs w:val="20"/>
        </w:rPr>
        <w:t xml:space="preserve"> </w:t>
      </w:r>
      <w:r w:rsidR="00323457" w:rsidRPr="0059638B">
        <w:rPr>
          <w:color w:val="000000"/>
          <w:sz w:val="20"/>
          <w:szCs w:val="20"/>
        </w:rPr>
        <w:t>the</w:t>
      </w:r>
      <w:r w:rsidR="00FF41A0">
        <w:rPr>
          <w:color w:val="000000"/>
          <w:sz w:val="20"/>
          <w:szCs w:val="20"/>
        </w:rPr>
        <w:t xml:space="preserve"> </w:t>
      </w:r>
      <w:r w:rsidR="00323457" w:rsidRPr="0059638B">
        <w:rPr>
          <w:color w:val="000000"/>
          <w:sz w:val="20"/>
          <w:szCs w:val="20"/>
        </w:rPr>
        <w:t>peaceful</w:t>
      </w:r>
      <w:r w:rsidR="00FF41A0">
        <w:rPr>
          <w:color w:val="000000"/>
          <w:sz w:val="20"/>
          <w:szCs w:val="20"/>
        </w:rPr>
        <w:t xml:space="preserve"> </w:t>
      </w:r>
      <w:r w:rsidR="00323457" w:rsidRPr="0059638B">
        <w:rPr>
          <w:color w:val="000000"/>
          <w:sz w:val="20"/>
          <w:szCs w:val="20"/>
        </w:rPr>
        <w:t>liberation</w:t>
      </w:r>
      <w:r w:rsidR="00FF41A0">
        <w:rPr>
          <w:color w:val="000000"/>
          <w:sz w:val="20"/>
          <w:szCs w:val="20"/>
        </w:rPr>
        <w:t xml:space="preserve"> </w:t>
      </w:r>
      <w:r w:rsidR="00323457" w:rsidRPr="0059638B">
        <w:rPr>
          <w:color w:val="000000"/>
          <w:sz w:val="20"/>
          <w:szCs w:val="20"/>
        </w:rPr>
        <w:t>of</w:t>
      </w:r>
      <w:r w:rsidR="00FF41A0">
        <w:rPr>
          <w:color w:val="000000"/>
          <w:sz w:val="20"/>
          <w:szCs w:val="20"/>
        </w:rPr>
        <w:t xml:space="preserve"> </w:t>
      </w:r>
      <w:r w:rsidR="00323457" w:rsidRPr="0059638B">
        <w:rPr>
          <w:color w:val="000000"/>
          <w:sz w:val="20"/>
          <w:szCs w:val="20"/>
        </w:rPr>
        <w:t>Tibet,</w:t>
      </w:r>
      <w:r w:rsidR="00FF41A0">
        <w:rPr>
          <w:color w:val="000000"/>
          <w:sz w:val="20"/>
          <w:szCs w:val="20"/>
        </w:rPr>
        <w:t xml:space="preserve"> </w:t>
      </w:r>
      <w:r w:rsidR="00323457" w:rsidRPr="0059638B">
        <w:rPr>
          <w:color w:val="000000"/>
          <w:sz w:val="20"/>
          <w:szCs w:val="20"/>
        </w:rPr>
        <w:t>Tibetan</w:t>
      </w:r>
      <w:r w:rsidR="00FF41A0">
        <w:rPr>
          <w:color w:val="000000"/>
          <w:sz w:val="20"/>
          <w:szCs w:val="20"/>
        </w:rPr>
        <w:t xml:space="preserve"> </w:t>
      </w:r>
      <w:r w:rsidR="00323457" w:rsidRPr="0059638B">
        <w:rPr>
          <w:color w:val="000000"/>
          <w:sz w:val="20"/>
          <w:szCs w:val="20"/>
        </w:rPr>
        <w:t>traditions</w:t>
      </w:r>
      <w:r w:rsidR="00FF41A0">
        <w:rPr>
          <w:color w:val="000000"/>
          <w:sz w:val="20"/>
          <w:szCs w:val="20"/>
        </w:rPr>
        <w:t xml:space="preserve"> </w:t>
      </w:r>
      <w:r w:rsidR="00323457" w:rsidRPr="0059638B">
        <w:rPr>
          <w:color w:val="000000"/>
          <w:sz w:val="20"/>
          <w:szCs w:val="20"/>
        </w:rPr>
        <w:t>at</w:t>
      </w:r>
      <w:r w:rsidR="00FF41A0">
        <w:rPr>
          <w:color w:val="000000"/>
          <w:sz w:val="20"/>
          <w:szCs w:val="20"/>
        </w:rPr>
        <w:t xml:space="preserve"> </w:t>
      </w:r>
      <w:r w:rsidR="00323457" w:rsidRPr="0059638B">
        <w:rPr>
          <w:color w:val="000000"/>
          <w:sz w:val="20"/>
          <w:szCs w:val="20"/>
        </w:rPr>
        <w:t>all</w:t>
      </w:r>
      <w:r w:rsidR="00FF41A0">
        <w:rPr>
          <w:color w:val="000000"/>
          <w:sz w:val="20"/>
          <w:szCs w:val="20"/>
        </w:rPr>
        <w:t xml:space="preserve"> </w:t>
      </w:r>
      <w:r w:rsidR="00323457" w:rsidRPr="0059638B">
        <w:rPr>
          <w:color w:val="000000"/>
          <w:sz w:val="20"/>
          <w:szCs w:val="20"/>
        </w:rPr>
        <w:t>levels</w:t>
      </w:r>
      <w:r w:rsidR="00FF41A0">
        <w:rPr>
          <w:color w:val="000000"/>
          <w:sz w:val="20"/>
          <w:szCs w:val="20"/>
        </w:rPr>
        <w:t xml:space="preserve"> </w:t>
      </w:r>
      <w:r w:rsidR="00323457" w:rsidRPr="0059638B">
        <w:rPr>
          <w:color w:val="000000"/>
          <w:sz w:val="20"/>
          <w:szCs w:val="20"/>
        </w:rPr>
        <w:t>had</w:t>
      </w:r>
      <w:r w:rsidR="00FF41A0">
        <w:rPr>
          <w:color w:val="000000"/>
          <w:sz w:val="20"/>
          <w:szCs w:val="20"/>
        </w:rPr>
        <w:t xml:space="preserve"> </w:t>
      </w:r>
      <w:r w:rsidR="00323457" w:rsidRPr="0059638B">
        <w:rPr>
          <w:color w:val="000000"/>
          <w:sz w:val="20"/>
          <w:szCs w:val="20"/>
        </w:rPr>
        <w:t>implemented</w:t>
      </w:r>
      <w:r w:rsidR="00FF41A0">
        <w:rPr>
          <w:color w:val="000000"/>
          <w:sz w:val="20"/>
          <w:szCs w:val="20"/>
        </w:rPr>
        <w:t xml:space="preserve"> </w:t>
      </w:r>
      <w:r w:rsidR="00323457" w:rsidRPr="0059638B">
        <w:rPr>
          <w:color w:val="000000"/>
          <w:sz w:val="20"/>
          <w:szCs w:val="20"/>
        </w:rPr>
        <w:t>the</w:t>
      </w:r>
      <w:r w:rsidR="00FF41A0">
        <w:rPr>
          <w:color w:val="000000"/>
          <w:sz w:val="20"/>
          <w:szCs w:val="20"/>
        </w:rPr>
        <w:t xml:space="preserve"> </w:t>
      </w:r>
      <w:r w:rsidR="00323457" w:rsidRPr="0059638B">
        <w:rPr>
          <w:color w:val="000000"/>
          <w:sz w:val="20"/>
          <w:szCs w:val="20"/>
        </w:rPr>
        <w:t>process</w:t>
      </w:r>
      <w:r w:rsidR="00FF41A0">
        <w:rPr>
          <w:color w:val="000000"/>
          <w:sz w:val="20"/>
          <w:szCs w:val="20"/>
        </w:rPr>
        <w:t xml:space="preserve"> </w:t>
      </w:r>
      <w:r w:rsidR="00323457" w:rsidRPr="0059638B">
        <w:rPr>
          <w:color w:val="000000"/>
          <w:sz w:val="20"/>
          <w:szCs w:val="20"/>
        </w:rPr>
        <w:t>of</w:t>
      </w:r>
      <w:r w:rsidR="00FF41A0">
        <w:rPr>
          <w:color w:val="000000"/>
          <w:sz w:val="20"/>
          <w:szCs w:val="20"/>
        </w:rPr>
        <w:t xml:space="preserve"> </w:t>
      </w:r>
      <w:r w:rsidR="00323457" w:rsidRPr="0059638B">
        <w:rPr>
          <w:color w:val="000000"/>
          <w:sz w:val="20"/>
          <w:szCs w:val="20"/>
        </w:rPr>
        <w:t>freedom</w:t>
      </w:r>
      <w:r w:rsidR="00FF41A0">
        <w:rPr>
          <w:color w:val="000000"/>
          <w:sz w:val="20"/>
          <w:szCs w:val="20"/>
        </w:rPr>
        <w:t xml:space="preserve"> </w:t>
      </w:r>
      <w:r w:rsidR="00323457" w:rsidRPr="0059638B">
        <w:rPr>
          <w:color w:val="000000"/>
          <w:sz w:val="20"/>
          <w:szCs w:val="20"/>
        </w:rPr>
        <w:t>of</w:t>
      </w:r>
      <w:r w:rsidR="00FF41A0">
        <w:rPr>
          <w:color w:val="000000"/>
          <w:sz w:val="20"/>
          <w:szCs w:val="20"/>
        </w:rPr>
        <w:t xml:space="preserve"> </w:t>
      </w:r>
      <w:r w:rsidR="00323457" w:rsidRPr="0059638B">
        <w:rPr>
          <w:color w:val="000000"/>
          <w:sz w:val="20"/>
          <w:szCs w:val="20"/>
        </w:rPr>
        <w:t>religion</w:t>
      </w:r>
      <w:r w:rsidR="00FF41A0">
        <w:rPr>
          <w:color w:val="000000"/>
          <w:sz w:val="20"/>
          <w:szCs w:val="20"/>
        </w:rPr>
        <w:t xml:space="preserve"> </w:t>
      </w:r>
      <w:r w:rsidR="00323457" w:rsidRPr="0059638B">
        <w:rPr>
          <w:color w:val="000000"/>
          <w:sz w:val="20"/>
          <w:szCs w:val="20"/>
        </w:rPr>
        <w:t>and</w:t>
      </w:r>
      <w:r w:rsidR="00FF41A0">
        <w:rPr>
          <w:color w:val="000000"/>
          <w:sz w:val="20"/>
          <w:szCs w:val="20"/>
        </w:rPr>
        <w:t xml:space="preserve"> </w:t>
      </w:r>
      <w:r w:rsidR="00323457" w:rsidRPr="0059638B">
        <w:rPr>
          <w:color w:val="000000"/>
          <w:sz w:val="20"/>
          <w:szCs w:val="20"/>
        </w:rPr>
        <w:t>belief,</w:t>
      </w:r>
      <w:r w:rsidR="00FF41A0">
        <w:rPr>
          <w:color w:val="000000"/>
          <w:sz w:val="20"/>
          <w:szCs w:val="20"/>
        </w:rPr>
        <w:t xml:space="preserve"> </w:t>
      </w:r>
      <w:r w:rsidR="00323457" w:rsidRPr="0059638B">
        <w:rPr>
          <w:color w:val="000000"/>
          <w:sz w:val="20"/>
          <w:szCs w:val="20"/>
        </w:rPr>
        <w:t>and</w:t>
      </w:r>
      <w:r w:rsidR="00FF41A0">
        <w:rPr>
          <w:color w:val="000000"/>
          <w:sz w:val="20"/>
          <w:szCs w:val="20"/>
        </w:rPr>
        <w:t xml:space="preserve"> </w:t>
      </w:r>
      <w:r w:rsidR="00323457" w:rsidRPr="0059638B">
        <w:rPr>
          <w:color w:val="000000"/>
          <w:sz w:val="20"/>
          <w:szCs w:val="20"/>
        </w:rPr>
        <w:t>that</w:t>
      </w:r>
      <w:r w:rsidR="00FF41A0">
        <w:rPr>
          <w:color w:val="000000"/>
          <w:sz w:val="20"/>
          <w:szCs w:val="20"/>
        </w:rPr>
        <w:t xml:space="preserve"> </w:t>
      </w:r>
      <w:r w:rsidR="00323457" w:rsidRPr="0059638B">
        <w:rPr>
          <w:color w:val="000000"/>
          <w:sz w:val="20"/>
          <w:szCs w:val="20"/>
        </w:rPr>
        <w:t>Tibetan</w:t>
      </w:r>
      <w:r w:rsidR="00FF41A0">
        <w:rPr>
          <w:color w:val="000000"/>
          <w:sz w:val="20"/>
          <w:szCs w:val="20"/>
        </w:rPr>
        <w:t xml:space="preserve"> </w:t>
      </w:r>
      <w:r w:rsidR="00323457" w:rsidRPr="0059638B">
        <w:rPr>
          <w:color w:val="000000"/>
          <w:sz w:val="20"/>
          <w:szCs w:val="20"/>
        </w:rPr>
        <w:t>people</w:t>
      </w:r>
      <w:r w:rsidR="00FF41A0">
        <w:rPr>
          <w:color w:val="000000"/>
          <w:sz w:val="20"/>
          <w:szCs w:val="20"/>
        </w:rPr>
        <w:t xml:space="preserve"> </w:t>
      </w:r>
      <w:r w:rsidR="00323457" w:rsidRPr="0059638B">
        <w:rPr>
          <w:color w:val="000000"/>
          <w:sz w:val="20"/>
          <w:szCs w:val="20"/>
        </w:rPr>
        <w:t>enjoyed</w:t>
      </w:r>
      <w:r w:rsidR="00FF41A0">
        <w:rPr>
          <w:color w:val="000000"/>
          <w:sz w:val="20"/>
          <w:szCs w:val="20"/>
        </w:rPr>
        <w:t xml:space="preserve"> </w:t>
      </w:r>
      <w:r w:rsidR="00323457" w:rsidRPr="0059638B">
        <w:rPr>
          <w:color w:val="000000"/>
          <w:sz w:val="20"/>
          <w:szCs w:val="20"/>
        </w:rPr>
        <w:t>full</w:t>
      </w:r>
      <w:r w:rsidR="00FF41A0">
        <w:rPr>
          <w:color w:val="000000"/>
          <w:sz w:val="20"/>
          <w:szCs w:val="20"/>
        </w:rPr>
        <w:t xml:space="preserve"> </w:t>
      </w:r>
      <w:r w:rsidR="00323457" w:rsidRPr="0059638B">
        <w:rPr>
          <w:color w:val="000000"/>
          <w:sz w:val="20"/>
          <w:szCs w:val="20"/>
        </w:rPr>
        <w:t>freedom</w:t>
      </w:r>
      <w:r w:rsidR="00FF41A0">
        <w:rPr>
          <w:color w:val="000000"/>
          <w:sz w:val="20"/>
          <w:szCs w:val="20"/>
        </w:rPr>
        <w:t xml:space="preserve"> </w:t>
      </w:r>
      <w:r w:rsidR="00323457" w:rsidRPr="0059638B">
        <w:rPr>
          <w:color w:val="000000"/>
          <w:sz w:val="20"/>
          <w:szCs w:val="20"/>
        </w:rPr>
        <w:t>and</w:t>
      </w:r>
      <w:r w:rsidR="00FF41A0">
        <w:rPr>
          <w:color w:val="000000"/>
          <w:sz w:val="20"/>
          <w:szCs w:val="20"/>
        </w:rPr>
        <w:t xml:space="preserve"> </w:t>
      </w:r>
      <w:r w:rsidR="00323457" w:rsidRPr="0059638B">
        <w:rPr>
          <w:color w:val="000000"/>
          <w:sz w:val="20"/>
          <w:szCs w:val="20"/>
        </w:rPr>
        <w:t>could</w:t>
      </w:r>
      <w:r w:rsidR="00FF41A0">
        <w:rPr>
          <w:color w:val="000000"/>
          <w:sz w:val="20"/>
          <w:szCs w:val="20"/>
        </w:rPr>
        <w:t xml:space="preserve"> </w:t>
      </w:r>
      <w:r w:rsidR="00323457" w:rsidRPr="0059638B">
        <w:rPr>
          <w:color w:val="000000"/>
          <w:sz w:val="20"/>
          <w:szCs w:val="20"/>
        </w:rPr>
        <w:t>carry</w:t>
      </w:r>
      <w:r w:rsidR="00FF41A0">
        <w:rPr>
          <w:color w:val="000000"/>
          <w:sz w:val="20"/>
          <w:szCs w:val="20"/>
        </w:rPr>
        <w:t xml:space="preserve"> </w:t>
      </w:r>
      <w:r w:rsidR="00323457" w:rsidRPr="0059638B">
        <w:rPr>
          <w:color w:val="000000"/>
          <w:sz w:val="20"/>
          <w:szCs w:val="20"/>
        </w:rPr>
        <w:t>out</w:t>
      </w:r>
      <w:r w:rsidR="00FF41A0">
        <w:rPr>
          <w:color w:val="000000"/>
          <w:sz w:val="20"/>
          <w:szCs w:val="20"/>
        </w:rPr>
        <w:t xml:space="preserve"> </w:t>
      </w:r>
      <w:r w:rsidR="00323457" w:rsidRPr="0059638B">
        <w:rPr>
          <w:color w:val="000000"/>
          <w:sz w:val="20"/>
          <w:szCs w:val="20"/>
        </w:rPr>
        <w:t>normally</w:t>
      </w:r>
      <w:r w:rsidR="00FF41A0">
        <w:rPr>
          <w:color w:val="000000"/>
          <w:sz w:val="20"/>
          <w:szCs w:val="20"/>
        </w:rPr>
        <w:t xml:space="preserve"> </w:t>
      </w:r>
      <w:r w:rsidR="00323457" w:rsidRPr="0059638B">
        <w:rPr>
          <w:color w:val="000000"/>
          <w:sz w:val="20"/>
          <w:szCs w:val="20"/>
        </w:rPr>
        <w:t>activities.</w:t>
      </w:r>
      <w:r w:rsidR="00FF41A0">
        <w:rPr>
          <w:color w:val="000000"/>
          <w:sz w:val="20"/>
          <w:szCs w:val="20"/>
        </w:rPr>
        <w:t xml:space="preserve"> </w:t>
      </w:r>
      <w:r w:rsidR="00323457" w:rsidRPr="0059638B">
        <w:rPr>
          <w:color w:val="000000"/>
          <w:sz w:val="20"/>
          <w:szCs w:val="20"/>
        </w:rPr>
        <w:t>It</w:t>
      </w:r>
      <w:r w:rsidR="00FF41A0">
        <w:rPr>
          <w:color w:val="000000"/>
          <w:sz w:val="20"/>
          <w:szCs w:val="20"/>
        </w:rPr>
        <w:t xml:space="preserve"> </w:t>
      </w:r>
      <w:r w:rsidR="00323457" w:rsidRPr="0059638B">
        <w:rPr>
          <w:color w:val="000000"/>
          <w:sz w:val="20"/>
          <w:szCs w:val="20"/>
        </w:rPr>
        <w:t>stated</w:t>
      </w:r>
      <w:r w:rsidR="00FF41A0">
        <w:rPr>
          <w:color w:val="000000"/>
          <w:sz w:val="20"/>
          <w:szCs w:val="20"/>
        </w:rPr>
        <w:t xml:space="preserve"> </w:t>
      </w:r>
      <w:r w:rsidR="00323457" w:rsidRPr="0059638B">
        <w:rPr>
          <w:color w:val="000000"/>
          <w:sz w:val="20"/>
          <w:szCs w:val="20"/>
        </w:rPr>
        <w:t>that</w:t>
      </w:r>
      <w:r w:rsidR="00FF41A0">
        <w:rPr>
          <w:color w:val="000000"/>
          <w:sz w:val="20"/>
          <w:szCs w:val="20"/>
        </w:rPr>
        <w:t xml:space="preserve"> </w:t>
      </w:r>
      <w:r w:rsidR="00323457" w:rsidRPr="0059638B">
        <w:rPr>
          <w:color w:val="000000"/>
          <w:sz w:val="20"/>
          <w:szCs w:val="20"/>
        </w:rPr>
        <w:t>Tibet</w:t>
      </w:r>
      <w:r w:rsidR="00D72627">
        <w:rPr>
          <w:color w:val="000000"/>
          <w:sz w:val="20"/>
          <w:szCs w:val="20"/>
        </w:rPr>
        <w:t>’</w:t>
      </w:r>
      <w:r w:rsidR="00323457" w:rsidRPr="0059638B">
        <w:rPr>
          <w:color w:val="000000"/>
          <w:sz w:val="20"/>
          <w:szCs w:val="20"/>
        </w:rPr>
        <w:t>s</w:t>
      </w:r>
      <w:r w:rsidR="00FF41A0">
        <w:rPr>
          <w:color w:val="000000"/>
          <w:sz w:val="20"/>
          <w:szCs w:val="20"/>
        </w:rPr>
        <w:t xml:space="preserve"> </w:t>
      </w:r>
      <w:r w:rsidR="00323457" w:rsidRPr="0059638B">
        <w:rPr>
          <w:color w:val="000000"/>
          <w:sz w:val="20"/>
          <w:szCs w:val="20"/>
        </w:rPr>
        <w:t>regional</w:t>
      </w:r>
      <w:r w:rsidR="00FF41A0">
        <w:rPr>
          <w:color w:val="000000"/>
          <w:sz w:val="20"/>
          <w:szCs w:val="20"/>
        </w:rPr>
        <w:t xml:space="preserve"> </w:t>
      </w:r>
      <w:r w:rsidR="00323457" w:rsidRPr="0059638B">
        <w:rPr>
          <w:color w:val="000000"/>
          <w:sz w:val="20"/>
          <w:szCs w:val="20"/>
        </w:rPr>
        <w:t>GDP</w:t>
      </w:r>
      <w:r w:rsidR="00FF41A0">
        <w:rPr>
          <w:color w:val="000000"/>
          <w:sz w:val="20"/>
          <w:szCs w:val="20"/>
        </w:rPr>
        <w:t xml:space="preserve"> </w:t>
      </w:r>
      <w:r w:rsidR="00323457" w:rsidRPr="0059638B">
        <w:rPr>
          <w:color w:val="000000"/>
          <w:sz w:val="20"/>
          <w:szCs w:val="20"/>
        </w:rPr>
        <w:t>was</w:t>
      </w:r>
      <w:r w:rsidR="00FF41A0">
        <w:rPr>
          <w:color w:val="000000"/>
          <w:sz w:val="20"/>
          <w:szCs w:val="20"/>
        </w:rPr>
        <w:t xml:space="preserve"> </w:t>
      </w:r>
      <w:r w:rsidR="00323457" w:rsidRPr="0059638B">
        <w:rPr>
          <w:color w:val="000000"/>
          <w:sz w:val="20"/>
          <w:szCs w:val="20"/>
        </w:rPr>
        <w:t>among</w:t>
      </w:r>
      <w:r w:rsidR="00FF41A0">
        <w:rPr>
          <w:color w:val="000000"/>
          <w:sz w:val="20"/>
          <w:szCs w:val="20"/>
        </w:rPr>
        <w:t xml:space="preserve"> </w:t>
      </w:r>
      <w:r w:rsidR="00323457" w:rsidRPr="0059638B">
        <w:rPr>
          <w:color w:val="000000"/>
          <w:sz w:val="20"/>
          <w:szCs w:val="20"/>
        </w:rPr>
        <w:t>the</w:t>
      </w:r>
      <w:r w:rsidR="00FF41A0">
        <w:rPr>
          <w:color w:val="000000"/>
          <w:sz w:val="20"/>
          <w:szCs w:val="20"/>
        </w:rPr>
        <w:t xml:space="preserve"> </w:t>
      </w:r>
      <w:r w:rsidR="00323457" w:rsidRPr="0059638B">
        <w:rPr>
          <w:color w:val="000000"/>
          <w:sz w:val="20"/>
          <w:szCs w:val="20"/>
        </w:rPr>
        <w:t>first</w:t>
      </w:r>
      <w:r w:rsidR="00FF41A0">
        <w:rPr>
          <w:color w:val="000000"/>
          <w:sz w:val="20"/>
          <w:szCs w:val="20"/>
        </w:rPr>
        <w:t xml:space="preserve"> </w:t>
      </w:r>
      <w:r w:rsidR="00323457" w:rsidRPr="0059638B">
        <w:rPr>
          <w:color w:val="000000"/>
          <w:sz w:val="20"/>
          <w:szCs w:val="20"/>
        </w:rPr>
        <w:t>in</w:t>
      </w:r>
      <w:r w:rsidR="00FF41A0">
        <w:rPr>
          <w:color w:val="000000"/>
          <w:sz w:val="20"/>
          <w:szCs w:val="20"/>
        </w:rPr>
        <w:t xml:space="preserve"> </w:t>
      </w:r>
      <w:r w:rsidR="00323457" w:rsidRPr="0059638B">
        <w:rPr>
          <w:color w:val="000000"/>
          <w:sz w:val="20"/>
          <w:szCs w:val="20"/>
        </w:rPr>
        <w:t>the</w:t>
      </w:r>
      <w:r w:rsidR="00FF41A0">
        <w:rPr>
          <w:color w:val="000000"/>
          <w:sz w:val="20"/>
          <w:szCs w:val="20"/>
        </w:rPr>
        <w:t xml:space="preserve"> </w:t>
      </w:r>
      <w:r w:rsidR="00323457" w:rsidRPr="0059638B">
        <w:rPr>
          <w:color w:val="000000"/>
          <w:sz w:val="20"/>
          <w:szCs w:val="20"/>
        </w:rPr>
        <w:t>regions.</w:t>
      </w:r>
      <w:r w:rsidR="00FF41A0">
        <w:rPr>
          <w:color w:val="000000"/>
          <w:sz w:val="20"/>
          <w:szCs w:val="20"/>
        </w:rPr>
        <w:t xml:space="preserve"> </w:t>
      </w:r>
      <w:r w:rsidR="00323457" w:rsidRPr="0059638B">
        <w:rPr>
          <w:color w:val="000000"/>
          <w:sz w:val="20"/>
          <w:szCs w:val="20"/>
        </w:rPr>
        <w:t>It</w:t>
      </w:r>
      <w:r w:rsidR="00FF41A0">
        <w:rPr>
          <w:color w:val="000000"/>
          <w:sz w:val="20"/>
          <w:szCs w:val="20"/>
        </w:rPr>
        <w:t xml:space="preserve"> </w:t>
      </w:r>
      <w:r w:rsidR="00323457" w:rsidRPr="0059638B">
        <w:rPr>
          <w:color w:val="000000"/>
          <w:sz w:val="20"/>
          <w:szCs w:val="20"/>
        </w:rPr>
        <w:t>also</w:t>
      </w:r>
      <w:r w:rsidR="00FF41A0">
        <w:rPr>
          <w:color w:val="000000"/>
          <w:sz w:val="20"/>
          <w:szCs w:val="20"/>
        </w:rPr>
        <w:t xml:space="preserve"> </w:t>
      </w:r>
      <w:r w:rsidR="00323457" w:rsidRPr="0059638B">
        <w:rPr>
          <w:color w:val="000000"/>
          <w:sz w:val="20"/>
          <w:szCs w:val="20"/>
        </w:rPr>
        <w:t>stated</w:t>
      </w:r>
      <w:r w:rsidR="00FF41A0">
        <w:rPr>
          <w:color w:val="000000"/>
          <w:sz w:val="20"/>
          <w:szCs w:val="20"/>
        </w:rPr>
        <w:t xml:space="preserve"> </w:t>
      </w:r>
      <w:r w:rsidR="00323457" w:rsidRPr="0059638B">
        <w:rPr>
          <w:color w:val="000000"/>
          <w:sz w:val="20"/>
          <w:szCs w:val="20"/>
        </w:rPr>
        <w:t>that</w:t>
      </w:r>
      <w:r w:rsidR="00FF41A0">
        <w:rPr>
          <w:color w:val="000000"/>
          <w:sz w:val="20"/>
          <w:szCs w:val="20"/>
        </w:rPr>
        <w:t xml:space="preserve"> </w:t>
      </w:r>
      <w:r w:rsidR="00323457" w:rsidRPr="0059638B">
        <w:rPr>
          <w:color w:val="000000"/>
          <w:sz w:val="20"/>
          <w:szCs w:val="20"/>
        </w:rPr>
        <w:t>Tibetan</w:t>
      </w:r>
      <w:r w:rsidR="00FF41A0">
        <w:rPr>
          <w:color w:val="000000"/>
          <w:sz w:val="20"/>
          <w:szCs w:val="20"/>
        </w:rPr>
        <w:t xml:space="preserve"> </w:t>
      </w:r>
      <w:r w:rsidR="00323457" w:rsidRPr="0059638B">
        <w:rPr>
          <w:color w:val="000000"/>
          <w:sz w:val="20"/>
          <w:szCs w:val="20"/>
        </w:rPr>
        <w:t>students</w:t>
      </w:r>
      <w:r w:rsidR="00FF41A0">
        <w:rPr>
          <w:color w:val="000000"/>
          <w:sz w:val="20"/>
          <w:szCs w:val="20"/>
        </w:rPr>
        <w:t xml:space="preserve"> </w:t>
      </w:r>
      <w:r w:rsidR="00323457" w:rsidRPr="0059638B">
        <w:rPr>
          <w:color w:val="000000"/>
          <w:sz w:val="20"/>
          <w:szCs w:val="20"/>
        </w:rPr>
        <w:t>were</w:t>
      </w:r>
      <w:r w:rsidR="00FF41A0">
        <w:rPr>
          <w:color w:val="000000"/>
          <w:sz w:val="20"/>
          <w:szCs w:val="20"/>
        </w:rPr>
        <w:t xml:space="preserve"> </w:t>
      </w:r>
      <w:r w:rsidR="00323457" w:rsidRPr="0059638B">
        <w:rPr>
          <w:color w:val="000000"/>
          <w:sz w:val="20"/>
          <w:szCs w:val="20"/>
        </w:rPr>
        <w:t>paid</w:t>
      </w:r>
      <w:r w:rsidR="00FF41A0">
        <w:rPr>
          <w:color w:val="000000"/>
          <w:sz w:val="20"/>
          <w:szCs w:val="20"/>
        </w:rPr>
        <w:t xml:space="preserve"> </w:t>
      </w:r>
      <w:r w:rsidR="00323457" w:rsidRPr="0059638B">
        <w:rPr>
          <w:color w:val="000000"/>
          <w:sz w:val="20"/>
          <w:szCs w:val="20"/>
        </w:rPr>
        <w:t>by</w:t>
      </w:r>
      <w:r w:rsidR="00FF41A0">
        <w:rPr>
          <w:color w:val="000000"/>
          <w:sz w:val="20"/>
          <w:szCs w:val="20"/>
        </w:rPr>
        <w:t xml:space="preserve"> </w:t>
      </w:r>
      <w:r w:rsidR="00323457" w:rsidRPr="0059638B">
        <w:rPr>
          <w:color w:val="000000"/>
          <w:sz w:val="20"/>
          <w:szCs w:val="20"/>
        </w:rPr>
        <w:t>the</w:t>
      </w:r>
      <w:r w:rsidR="00FF41A0">
        <w:rPr>
          <w:color w:val="000000"/>
          <w:sz w:val="20"/>
          <w:szCs w:val="20"/>
        </w:rPr>
        <w:t xml:space="preserve"> </w:t>
      </w:r>
      <w:r w:rsidR="00323457" w:rsidRPr="0059638B">
        <w:rPr>
          <w:color w:val="000000"/>
          <w:sz w:val="20"/>
          <w:szCs w:val="20"/>
        </w:rPr>
        <w:t>Government</w:t>
      </w:r>
      <w:r w:rsidR="00FF41A0">
        <w:rPr>
          <w:color w:val="000000"/>
          <w:sz w:val="20"/>
          <w:szCs w:val="20"/>
        </w:rPr>
        <w:t xml:space="preserve"> </w:t>
      </w:r>
      <w:r w:rsidR="00323457" w:rsidRPr="0059638B">
        <w:rPr>
          <w:color w:val="000000"/>
          <w:sz w:val="20"/>
          <w:szCs w:val="20"/>
        </w:rPr>
        <w:t>for</w:t>
      </w:r>
      <w:r w:rsidR="00FF41A0">
        <w:rPr>
          <w:color w:val="000000"/>
          <w:sz w:val="20"/>
          <w:szCs w:val="20"/>
        </w:rPr>
        <w:t xml:space="preserve"> </w:t>
      </w:r>
      <w:r w:rsidR="00323457" w:rsidRPr="0059638B">
        <w:rPr>
          <w:color w:val="000000"/>
          <w:sz w:val="20"/>
          <w:szCs w:val="20"/>
        </w:rPr>
        <w:t>their</w:t>
      </w:r>
      <w:r w:rsidR="00FF41A0">
        <w:rPr>
          <w:color w:val="000000"/>
          <w:sz w:val="20"/>
          <w:szCs w:val="20"/>
        </w:rPr>
        <w:t xml:space="preserve"> </w:t>
      </w:r>
      <w:r w:rsidR="00323457" w:rsidRPr="0059638B">
        <w:rPr>
          <w:color w:val="000000"/>
          <w:sz w:val="20"/>
          <w:szCs w:val="20"/>
        </w:rPr>
        <w:t>education</w:t>
      </w:r>
      <w:r w:rsidR="00FF41A0">
        <w:rPr>
          <w:color w:val="000000"/>
          <w:sz w:val="20"/>
          <w:szCs w:val="20"/>
        </w:rPr>
        <w:t xml:space="preserve"> </w:t>
      </w:r>
      <w:r w:rsidR="00323457" w:rsidRPr="0059638B">
        <w:rPr>
          <w:color w:val="000000"/>
          <w:sz w:val="20"/>
          <w:szCs w:val="20"/>
        </w:rPr>
        <w:t>from</w:t>
      </w:r>
      <w:r w:rsidR="00FF41A0">
        <w:rPr>
          <w:color w:val="000000"/>
          <w:sz w:val="20"/>
          <w:szCs w:val="20"/>
        </w:rPr>
        <w:t xml:space="preserve"> </w:t>
      </w:r>
      <w:r w:rsidR="00323457" w:rsidRPr="0059638B">
        <w:rPr>
          <w:color w:val="000000"/>
          <w:sz w:val="20"/>
          <w:szCs w:val="20"/>
        </w:rPr>
        <w:t>the</w:t>
      </w:r>
      <w:r w:rsidR="00FF41A0">
        <w:rPr>
          <w:color w:val="000000"/>
          <w:sz w:val="20"/>
          <w:szCs w:val="20"/>
        </w:rPr>
        <w:t xml:space="preserve"> </w:t>
      </w:r>
      <w:r w:rsidR="00323457" w:rsidRPr="0059638B">
        <w:rPr>
          <w:color w:val="000000"/>
          <w:sz w:val="20"/>
          <w:szCs w:val="20"/>
        </w:rPr>
        <w:t>elementary</w:t>
      </w:r>
      <w:r w:rsidR="00FF41A0">
        <w:rPr>
          <w:color w:val="000000"/>
          <w:sz w:val="20"/>
          <w:szCs w:val="20"/>
        </w:rPr>
        <w:t xml:space="preserve"> </w:t>
      </w:r>
      <w:r w:rsidR="00323457" w:rsidRPr="0059638B">
        <w:rPr>
          <w:color w:val="000000"/>
          <w:sz w:val="20"/>
          <w:szCs w:val="20"/>
        </w:rPr>
        <w:t>school</w:t>
      </w:r>
      <w:r w:rsidR="00FF41A0">
        <w:rPr>
          <w:color w:val="000000"/>
          <w:sz w:val="20"/>
          <w:szCs w:val="20"/>
        </w:rPr>
        <w:t xml:space="preserve"> </w:t>
      </w:r>
      <w:r w:rsidR="00323457" w:rsidRPr="0059638B">
        <w:rPr>
          <w:color w:val="000000"/>
          <w:sz w:val="20"/>
          <w:szCs w:val="20"/>
        </w:rPr>
        <w:t>to</w:t>
      </w:r>
      <w:r w:rsidR="00FF41A0">
        <w:rPr>
          <w:color w:val="000000"/>
          <w:sz w:val="20"/>
          <w:szCs w:val="20"/>
        </w:rPr>
        <w:t xml:space="preserve"> </w:t>
      </w:r>
      <w:r w:rsidR="00323457" w:rsidRPr="0059638B">
        <w:rPr>
          <w:color w:val="000000"/>
          <w:sz w:val="20"/>
          <w:szCs w:val="20"/>
        </w:rPr>
        <w:t>university</w:t>
      </w:r>
      <w:r w:rsidR="00FF41A0">
        <w:rPr>
          <w:color w:val="000000"/>
          <w:sz w:val="20"/>
          <w:szCs w:val="20"/>
        </w:rPr>
        <w:t xml:space="preserve"> </w:t>
      </w:r>
      <w:r w:rsidR="00323457" w:rsidRPr="0059638B">
        <w:rPr>
          <w:color w:val="000000"/>
          <w:sz w:val="20"/>
          <w:szCs w:val="20"/>
        </w:rPr>
        <w:t>graduation,</w:t>
      </w:r>
      <w:r w:rsidR="00FF41A0">
        <w:rPr>
          <w:color w:val="000000"/>
          <w:sz w:val="20"/>
          <w:szCs w:val="20"/>
        </w:rPr>
        <w:t xml:space="preserve"> </w:t>
      </w:r>
      <w:r w:rsidR="00323457" w:rsidRPr="0059638B">
        <w:rPr>
          <w:color w:val="000000"/>
          <w:sz w:val="20"/>
          <w:szCs w:val="20"/>
        </w:rPr>
        <w:t>and</w:t>
      </w:r>
      <w:r w:rsidR="00FF41A0">
        <w:rPr>
          <w:color w:val="000000"/>
          <w:sz w:val="20"/>
          <w:szCs w:val="20"/>
        </w:rPr>
        <w:t xml:space="preserve"> </w:t>
      </w:r>
      <w:r w:rsidR="00323457" w:rsidRPr="0059638B">
        <w:rPr>
          <w:color w:val="000000"/>
          <w:sz w:val="20"/>
          <w:szCs w:val="20"/>
        </w:rPr>
        <w:t>could</w:t>
      </w:r>
      <w:r w:rsidR="00FF41A0">
        <w:rPr>
          <w:color w:val="000000"/>
          <w:sz w:val="20"/>
          <w:szCs w:val="20"/>
        </w:rPr>
        <w:t xml:space="preserve"> </w:t>
      </w:r>
      <w:r w:rsidR="00323457" w:rsidRPr="0059638B">
        <w:rPr>
          <w:color w:val="000000"/>
          <w:sz w:val="20"/>
          <w:szCs w:val="20"/>
        </w:rPr>
        <w:t>engage</w:t>
      </w:r>
      <w:r w:rsidR="00FF41A0">
        <w:rPr>
          <w:color w:val="000000"/>
          <w:sz w:val="20"/>
          <w:szCs w:val="20"/>
        </w:rPr>
        <w:t xml:space="preserve"> </w:t>
      </w:r>
      <w:r w:rsidR="00323457" w:rsidRPr="0059638B">
        <w:rPr>
          <w:color w:val="000000"/>
          <w:sz w:val="20"/>
          <w:szCs w:val="20"/>
        </w:rPr>
        <w:t>in</w:t>
      </w:r>
      <w:r w:rsidR="00FF41A0">
        <w:rPr>
          <w:color w:val="000000"/>
          <w:sz w:val="20"/>
          <w:szCs w:val="20"/>
        </w:rPr>
        <w:t xml:space="preserve"> </w:t>
      </w:r>
      <w:r w:rsidR="00323457" w:rsidRPr="0059638B">
        <w:rPr>
          <w:color w:val="000000"/>
          <w:sz w:val="20"/>
          <w:szCs w:val="20"/>
        </w:rPr>
        <w:t>a</w:t>
      </w:r>
      <w:r w:rsidR="00FF41A0">
        <w:rPr>
          <w:color w:val="000000"/>
          <w:sz w:val="20"/>
          <w:szCs w:val="20"/>
        </w:rPr>
        <w:t xml:space="preserve"> </w:t>
      </w:r>
      <w:r w:rsidR="00323457" w:rsidRPr="0059638B">
        <w:rPr>
          <w:color w:val="000000"/>
          <w:sz w:val="20"/>
          <w:szCs w:val="20"/>
        </w:rPr>
        <w:t>variety</w:t>
      </w:r>
      <w:r w:rsidR="00FF41A0">
        <w:rPr>
          <w:color w:val="000000"/>
          <w:sz w:val="20"/>
          <w:szCs w:val="20"/>
        </w:rPr>
        <w:t xml:space="preserve"> </w:t>
      </w:r>
      <w:r w:rsidR="00323457" w:rsidRPr="0059638B">
        <w:rPr>
          <w:color w:val="000000"/>
          <w:sz w:val="20"/>
          <w:szCs w:val="20"/>
        </w:rPr>
        <w:t>of</w:t>
      </w:r>
      <w:r w:rsidR="00FF41A0">
        <w:rPr>
          <w:color w:val="000000"/>
          <w:sz w:val="20"/>
          <w:szCs w:val="20"/>
        </w:rPr>
        <w:t xml:space="preserve"> </w:t>
      </w:r>
      <w:r w:rsidR="00323457" w:rsidRPr="0059638B">
        <w:rPr>
          <w:color w:val="000000"/>
          <w:sz w:val="20"/>
          <w:szCs w:val="20"/>
        </w:rPr>
        <w:t>jobs.</w:t>
      </w:r>
    </w:p>
    <w:p w14:paraId="499AF6C0" w14:textId="70483C4E" w:rsidR="00323457" w:rsidRPr="0059638B" w:rsidRDefault="0035721D" w:rsidP="00323457">
      <w:pPr>
        <w:pStyle w:val="SingleTxtG"/>
        <w:rPr>
          <w:sz w:val="20"/>
          <w:szCs w:val="20"/>
        </w:rPr>
      </w:pPr>
      <w:r>
        <w:rPr>
          <w:sz w:val="20"/>
          <w:szCs w:val="20"/>
        </w:rPr>
        <w:t>853</w:t>
      </w:r>
      <w:r w:rsidR="00D226AB">
        <w:rPr>
          <w:sz w:val="20"/>
          <w:szCs w:val="20"/>
        </w:rPr>
        <w:t>.</w:t>
      </w:r>
      <w:r w:rsidR="00D226AB">
        <w:rPr>
          <w:sz w:val="20"/>
          <w:szCs w:val="20"/>
        </w:rPr>
        <w:tab/>
      </w:r>
      <w:r w:rsidR="00323457" w:rsidRPr="0059638B">
        <w:rPr>
          <w:sz w:val="20"/>
          <w:szCs w:val="20"/>
        </w:rPr>
        <w:t>The</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Federation</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Leagues</w:t>
      </w:r>
      <w:r w:rsidR="00FF41A0">
        <w:rPr>
          <w:sz w:val="20"/>
          <w:szCs w:val="20"/>
        </w:rPr>
        <w:t xml:space="preserve"> </w:t>
      </w:r>
      <w:r w:rsidR="00323457" w:rsidRPr="0059638B">
        <w:rPr>
          <w:sz w:val="20"/>
          <w:szCs w:val="20"/>
        </w:rPr>
        <w:t>congratulated</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third</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process</w:t>
      </w:r>
      <w:r w:rsidR="00FF41A0">
        <w:rPr>
          <w:sz w:val="20"/>
          <w:szCs w:val="20"/>
        </w:rPr>
        <w:t xml:space="preserve"> </w:t>
      </w:r>
      <w:r w:rsidR="00323457" w:rsidRPr="0059638B">
        <w:rPr>
          <w:sz w:val="20"/>
          <w:szCs w:val="20"/>
        </w:rPr>
        <w:t>based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participation,</w:t>
      </w:r>
      <w:r w:rsidR="00FF41A0">
        <w:rPr>
          <w:sz w:val="20"/>
          <w:szCs w:val="20"/>
        </w:rPr>
        <w:t xml:space="preserve"> </w:t>
      </w:r>
      <w:r w:rsidR="00323457" w:rsidRPr="0059638B">
        <w:rPr>
          <w:sz w:val="20"/>
          <w:szCs w:val="20"/>
        </w:rPr>
        <w:t>cooperation,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non-confrontation.</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long</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Chinese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continues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oppress</w:t>
      </w:r>
      <w:r w:rsidR="00FF41A0">
        <w:rPr>
          <w:sz w:val="20"/>
          <w:szCs w:val="20"/>
        </w:rPr>
        <w:t xml:space="preserve"> </w:t>
      </w:r>
      <w:r w:rsidR="00323457" w:rsidRPr="0059638B">
        <w:rPr>
          <w:sz w:val="20"/>
          <w:szCs w:val="20"/>
        </w:rPr>
        <w:t>civil</w:t>
      </w:r>
      <w:r w:rsidR="00FF41A0">
        <w:rPr>
          <w:sz w:val="20"/>
          <w:szCs w:val="20"/>
        </w:rPr>
        <w:t xml:space="preserve"> </w:t>
      </w:r>
      <w:r w:rsidR="00323457" w:rsidRPr="0059638B">
        <w:rPr>
          <w:sz w:val="20"/>
          <w:szCs w:val="20"/>
        </w:rPr>
        <w:t>society,</w:t>
      </w:r>
      <w:r w:rsidR="00FF41A0">
        <w:rPr>
          <w:sz w:val="20"/>
          <w:szCs w:val="20"/>
        </w:rPr>
        <w:t xml:space="preserve"> </w:t>
      </w:r>
      <w:r w:rsidR="00323457" w:rsidRPr="0059638B">
        <w:rPr>
          <w:sz w:val="20"/>
          <w:szCs w:val="20"/>
        </w:rPr>
        <w:t>ethnic</w:t>
      </w:r>
      <w:r w:rsidR="00FF41A0">
        <w:rPr>
          <w:sz w:val="20"/>
          <w:szCs w:val="20"/>
        </w:rPr>
        <w:t xml:space="preserve"> </w:t>
      </w:r>
      <w:r w:rsidR="00323457" w:rsidRPr="0059638B">
        <w:rPr>
          <w:sz w:val="20"/>
          <w:szCs w:val="20"/>
        </w:rPr>
        <w:t>minorities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most</w:t>
      </w:r>
      <w:r w:rsidR="00FF41A0">
        <w:rPr>
          <w:sz w:val="20"/>
          <w:szCs w:val="20"/>
        </w:rPr>
        <w:t xml:space="preserve"> </w:t>
      </w:r>
      <w:r w:rsidR="00323457" w:rsidRPr="0059638B">
        <w:rPr>
          <w:sz w:val="20"/>
          <w:szCs w:val="20"/>
        </w:rPr>
        <w:t>fundamental</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well</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makes</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mockery</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United</w:t>
      </w:r>
      <w:r w:rsidR="00FF41A0">
        <w:rPr>
          <w:sz w:val="20"/>
          <w:szCs w:val="20"/>
        </w:rPr>
        <w:t xml:space="preserve"> </w:t>
      </w:r>
      <w:r w:rsidR="00323457" w:rsidRPr="0059638B">
        <w:rPr>
          <w:sz w:val="20"/>
          <w:szCs w:val="20"/>
        </w:rPr>
        <w:t>Nations</w:t>
      </w:r>
      <w:r w:rsidR="00FF41A0">
        <w:rPr>
          <w:sz w:val="20"/>
          <w:szCs w:val="20"/>
        </w:rPr>
        <w:t xml:space="preserve"> </w:t>
      </w:r>
      <w:r w:rsidR="00323457" w:rsidRPr="0059638B">
        <w:rPr>
          <w:sz w:val="20"/>
          <w:szCs w:val="20"/>
        </w:rPr>
        <w:t>special</w:t>
      </w:r>
      <w:r w:rsidR="00FF41A0">
        <w:rPr>
          <w:sz w:val="20"/>
          <w:szCs w:val="20"/>
        </w:rPr>
        <w:t xml:space="preserve"> </w:t>
      </w:r>
      <w:r w:rsidR="00323457" w:rsidRPr="0059638B">
        <w:rPr>
          <w:sz w:val="20"/>
          <w:szCs w:val="20"/>
        </w:rPr>
        <w:t>procedures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treaty</w:t>
      </w:r>
      <w:r w:rsidR="00FF41A0">
        <w:rPr>
          <w:sz w:val="20"/>
          <w:szCs w:val="20"/>
        </w:rPr>
        <w:t xml:space="preserve"> </w:t>
      </w:r>
      <w:r w:rsidR="00323457" w:rsidRPr="0059638B">
        <w:rPr>
          <w:sz w:val="20"/>
          <w:szCs w:val="20"/>
        </w:rPr>
        <w:t>bodies,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will</w:t>
      </w:r>
      <w:r w:rsidR="00FF41A0">
        <w:rPr>
          <w:sz w:val="20"/>
          <w:szCs w:val="20"/>
        </w:rPr>
        <w:t xml:space="preserve"> </w:t>
      </w:r>
      <w:r w:rsidR="00323457" w:rsidRPr="0059638B">
        <w:rPr>
          <w:sz w:val="20"/>
          <w:szCs w:val="20"/>
        </w:rPr>
        <w:t>not</w:t>
      </w:r>
      <w:r w:rsidR="00FF41A0">
        <w:rPr>
          <w:sz w:val="20"/>
          <w:szCs w:val="20"/>
        </w:rPr>
        <w:t xml:space="preserve"> </w:t>
      </w:r>
      <w:r w:rsidR="00323457" w:rsidRPr="0059638B">
        <w:rPr>
          <w:sz w:val="20"/>
          <w:szCs w:val="20"/>
        </w:rPr>
        <w:t>take</w:t>
      </w:r>
      <w:r w:rsidR="00FF41A0">
        <w:rPr>
          <w:sz w:val="20"/>
          <w:szCs w:val="20"/>
        </w:rPr>
        <w:t xml:space="preserve"> </w:t>
      </w:r>
      <w:r w:rsidR="00323457" w:rsidRPr="0059638B">
        <w:rPr>
          <w:sz w:val="20"/>
          <w:szCs w:val="20"/>
        </w:rPr>
        <w:t>seriously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responses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numerous</w:t>
      </w:r>
      <w:r w:rsidR="00FF41A0">
        <w:rPr>
          <w:sz w:val="20"/>
          <w:szCs w:val="20"/>
        </w:rPr>
        <w:t xml:space="preserve"> </w:t>
      </w:r>
      <w:r w:rsidR="00323457" w:rsidRPr="0059638B">
        <w:rPr>
          <w:sz w:val="20"/>
          <w:szCs w:val="20"/>
        </w:rPr>
        <w:t>important</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related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defenders,</w:t>
      </w:r>
      <w:r w:rsidR="00FF41A0">
        <w:rPr>
          <w:sz w:val="20"/>
          <w:szCs w:val="20"/>
        </w:rPr>
        <w:t xml:space="preserve"> </w:t>
      </w:r>
      <w:r w:rsidR="00323457" w:rsidRPr="0059638B">
        <w:rPr>
          <w:sz w:val="20"/>
          <w:szCs w:val="20"/>
        </w:rPr>
        <w:t>journalists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lawyers,</w:t>
      </w:r>
      <w:r w:rsidR="00FF41A0">
        <w:rPr>
          <w:sz w:val="20"/>
          <w:szCs w:val="20"/>
        </w:rPr>
        <w:t xml:space="preserve"> </w:t>
      </w:r>
      <w:r w:rsidR="00323457" w:rsidRPr="0059638B">
        <w:rPr>
          <w:sz w:val="20"/>
          <w:szCs w:val="20"/>
        </w:rPr>
        <w:t>fair</w:t>
      </w:r>
      <w:r w:rsidR="00FF41A0">
        <w:rPr>
          <w:sz w:val="20"/>
          <w:szCs w:val="20"/>
        </w:rPr>
        <w:t xml:space="preserve"> </w:t>
      </w:r>
      <w:r w:rsidR="00323457" w:rsidRPr="0059638B">
        <w:rPr>
          <w:sz w:val="20"/>
          <w:szCs w:val="20"/>
        </w:rPr>
        <w:t>trials,</w:t>
      </w:r>
      <w:r w:rsidR="00FF41A0">
        <w:rPr>
          <w:sz w:val="20"/>
          <w:szCs w:val="20"/>
        </w:rPr>
        <w:t xml:space="preserve"> </w:t>
      </w:r>
      <w:r w:rsidR="00323457" w:rsidRPr="0059638B">
        <w:rPr>
          <w:sz w:val="20"/>
          <w:szCs w:val="20"/>
        </w:rPr>
        <w:t>respect</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Tibetans,</w:t>
      </w:r>
      <w:r w:rsidR="00FF41A0">
        <w:rPr>
          <w:sz w:val="20"/>
          <w:szCs w:val="20"/>
        </w:rPr>
        <w:t xml:space="preserve"> </w:t>
      </w:r>
      <w:r w:rsidR="00323457" w:rsidRPr="0059638B">
        <w:rPr>
          <w:sz w:val="20"/>
          <w:szCs w:val="20"/>
        </w:rPr>
        <w:t>Uighurs,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other</w:t>
      </w:r>
      <w:r w:rsidR="00FF41A0">
        <w:rPr>
          <w:sz w:val="20"/>
          <w:szCs w:val="20"/>
        </w:rPr>
        <w:t xml:space="preserve"> </w:t>
      </w:r>
      <w:r w:rsidR="00323457" w:rsidRPr="0059638B">
        <w:rPr>
          <w:sz w:val="20"/>
          <w:szCs w:val="20"/>
        </w:rPr>
        <w:t>minorities,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freedom</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religion</w:t>
      </w:r>
      <w:r w:rsidR="00FF41A0">
        <w:rPr>
          <w:sz w:val="20"/>
          <w:szCs w:val="20"/>
        </w:rPr>
        <w:t xml:space="preserve"> </w:t>
      </w:r>
      <w:r w:rsidR="00323457" w:rsidRPr="0059638B">
        <w:rPr>
          <w:sz w:val="20"/>
          <w:szCs w:val="20"/>
        </w:rPr>
        <w:t>or</w:t>
      </w:r>
      <w:r w:rsidR="00FF41A0">
        <w:rPr>
          <w:sz w:val="20"/>
          <w:szCs w:val="20"/>
        </w:rPr>
        <w:t xml:space="preserve"> </w:t>
      </w:r>
      <w:r w:rsidR="00323457" w:rsidRPr="0059638B">
        <w:rPr>
          <w:sz w:val="20"/>
          <w:szCs w:val="20"/>
        </w:rPr>
        <w:t>belief.</w:t>
      </w:r>
      <w:r w:rsidR="00FF41A0">
        <w:rPr>
          <w:sz w:val="20"/>
          <w:szCs w:val="20"/>
        </w:rPr>
        <w:t xml:space="preserve"> </w:t>
      </w:r>
    </w:p>
    <w:p w14:paraId="58F90947" w14:textId="4F443098" w:rsidR="00323457" w:rsidRPr="0059638B" w:rsidRDefault="0035721D" w:rsidP="00323457">
      <w:pPr>
        <w:pStyle w:val="SingleTxtG"/>
        <w:rPr>
          <w:sz w:val="20"/>
          <w:szCs w:val="20"/>
        </w:rPr>
      </w:pPr>
      <w:r>
        <w:rPr>
          <w:sz w:val="20"/>
          <w:szCs w:val="20"/>
        </w:rPr>
        <w:t>854</w:t>
      </w:r>
      <w:r w:rsidR="00D226AB">
        <w:rPr>
          <w:sz w:val="20"/>
          <w:szCs w:val="20"/>
        </w:rPr>
        <w:t>.</w:t>
      </w:r>
      <w:r w:rsidR="00D226AB">
        <w:rPr>
          <w:sz w:val="20"/>
          <w:szCs w:val="20"/>
        </w:rPr>
        <w:tab/>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Watch</w:t>
      </w:r>
      <w:r w:rsidR="00FF41A0">
        <w:rPr>
          <w:sz w:val="20"/>
          <w:szCs w:val="20"/>
        </w:rPr>
        <w:t xml:space="preserve"> </w:t>
      </w:r>
      <w:r w:rsidR="00323457" w:rsidRPr="0059638B">
        <w:rPr>
          <w:sz w:val="20"/>
          <w:szCs w:val="20"/>
        </w:rPr>
        <w:t>acknowledged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active</w:t>
      </w:r>
      <w:r w:rsidR="00FF41A0">
        <w:rPr>
          <w:sz w:val="20"/>
          <w:szCs w:val="20"/>
        </w:rPr>
        <w:t xml:space="preserve"> </w:t>
      </w:r>
      <w:r w:rsidR="00323457" w:rsidRPr="0059638B">
        <w:rPr>
          <w:sz w:val="20"/>
          <w:szCs w:val="20"/>
        </w:rPr>
        <w:t>participation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participation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many</w:t>
      </w:r>
      <w:r w:rsidR="00FF41A0">
        <w:rPr>
          <w:sz w:val="20"/>
          <w:szCs w:val="20"/>
        </w:rPr>
        <w:t xml:space="preserve"> </w:t>
      </w:r>
      <w:r w:rsidR="00323457" w:rsidRPr="0059638B">
        <w:rPr>
          <w:sz w:val="20"/>
          <w:szCs w:val="20"/>
        </w:rPr>
        <w:t>governmental</w:t>
      </w:r>
      <w:r w:rsidR="00FF41A0">
        <w:rPr>
          <w:sz w:val="20"/>
          <w:szCs w:val="20"/>
        </w:rPr>
        <w:t xml:space="preserve"> </w:t>
      </w:r>
      <w:r w:rsidR="00323457" w:rsidRPr="0059638B">
        <w:rPr>
          <w:sz w:val="20"/>
          <w:szCs w:val="20"/>
        </w:rPr>
        <w:t>organizations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adoption</w:t>
      </w:r>
      <w:r w:rsidR="00FF41A0">
        <w:rPr>
          <w:sz w:val="20"/>
          <w:szCs w:val="20"/>
        </w:rPr>
        <w:t xml:space="preserve"> </w:t>
      </w:r>
      <w:r w:rsidR="00323457" w:rsidRPr="0059638B">
        <w:rPr>
          <w:sz w:val="20"/>
          <w:szCs w:val="20"/>
        </w:rPr>
        <w:t>illustrated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freedom</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expression</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enjoyed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cheerleaders,</w:t>
      </w:r>
      <w:r w:rsidR="00FF41A0">
        <w:rPr>
          <w:sz w:val="20"/>
          <w:szCs w:val="20"/>
        </w:rPr>
        <w:t xml:space="preserve"> </w:t>
      </w:r>
      <w:r w:rsidR="00323457" w:rsidRPr="0059638B">
        <w:rPr>
          <w:sz w:val="20"/>
          <w:szCs w:val="20"/>
        </w:rPr>
        <w:t>while</w:t>
      </w:r>
      <w:r w:rsidR="00FF41A0">
        <w:rPr>
          <w:sz w:val="20"/>
          <w:szCs w:val="20"/>
        </w:rPr>
        <w:t xml:space="preserve"> </w:t>
      </w:r>
      <w:r w:rsidR="00323457" w:rsidRPr="0059638B">
        <w:rPr>
          <w:sz w:val="20"/>
          <w:szCs w:val="20"/>
        </w:rPr>
        <w:t>dissenting</w:t>
      </w:r>
      <w:r w:rsidR="00FF41A0">
        <w:rPr>
          <w:sz w:val="20"/>
          <w:szCs w:val="20"/>
        </w:rPr>
        <w:t xml:space="preserve"> </w:t>
      </w:r>
      <w:r w:rsidR="00323457" w:rsidRPr="0059638B">
        <w:rPr>
          <w:sz w:val="20"/>
          <w:szCs w:val="20"/>
        </w:rPr>
        <w:t>voices</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routinely</w:t>
      </w:r>
      <w:r w:rsidR="00FF41A0">
        <w:rPr>
          <w:sz w:val="20"/>
          <w:szCs w:val="20"/>
        </w:rPr>
        <w:t xml:space="preserve"> </w:t>
      </w:r>
      <w:r w:rsidR="00323457" w:rsidRPr="0059638B">
        <w:rPr>
          <w:sz w:val="20"/>
          <w:szCs w:val="20"/>
        </w:rPr>
        <w:t>suppressed.</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fact</w:t>
      </w:r>
      <w:r w:rsidR="00FF41A0">
        <w:rPr>
          <w:sz w:val="20"/>
          <w:szCs w:val="20"/>
        </w:rPr>
        <w:t xml:space="preserve"> </w:t>
      </w:r>
      <w:r w:rsidR="00323457" w:rsidRPr="0059638B">
        <w:rPr>
          <w:sz w:val="20"/>
          <w:szCs w:val="20"/>
        </w:rPr>
        <w:lastRenderedPageBreak/>
        <w:t>that</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provided</w:t>
      </w:r>
      <w:r w:rsidR="00FF41A0">
        <w:rPr>
          <w:sz w:val="20"/>
          <w:szCs w:val="20"/>
        </w:rPr>
        <w:t xml:space="preserve"> </w:t>
      </w:r>
      <w:r w:rsidR="00323457" w:rsidRPr="0059638B">
        <w:rPr>
          <w:sz w:val="20"/>
          <w:szCs w:val="20"/>
        </w:rPr>
        <w:t>no</w:t>
      </w:r>
      <w:r w:rsidR="00FF41A0">
        <w:rPr>
          <w:sz w:val="20"/>
          <w:szCs w:val="20"/>
        </w:rPr>
        <w:t xml:space="preserve"> </w:t>
      </w:r>
      <w:r w:rsidR="00323457" w:rsidRPr="0059638B">
        <w:rPr>
          <w:sz w:val="20"/>
          <w:szCs w:val="20"/>
        </w:rPr>
        <w:t>accountability</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death</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defender,</w:t>
      </w:r>
      <w:r w:rsidR="00FF41A0">
        <w:rPr>
          <w:sz w:val="20"/>
          <w:szCs w:val="20"/>
        </w:rPr>
        <w:t xml:space="preserve"> </w:t>
      </w:r>
      <w:r w:rsidR="00323457" w:rsidRPr="0059638B">
        <w:rPr>
          <w:sz w:val="20"/>
          <w:szCs w:val="20"/>
        </w:rPr>
        <w:t>Cao</w:t>
      </w:r>
      <w:r w:rsidR="00FF41A0">
        <w:rPr>
          <w:sz w:val="20"/>
          <w:szCs w:val="20"/>
        </w:rPr>
        <w:t xml:space="preserve"> </w:t>
      </w:r>
      <w:r w:rsidR="00323457" w:rsidRPr="0059638B">
        <w:rPr>
          <w:sz w:val="20"/>
          <w:szCs w:val="20"/>
        </w:rPr>
        <w:t>Shunli</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2013,</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powerful</w:t>
      </w:r>
      <w:r w:rsidR="00FF41A0">
        <w:rPr>
          <w:sz w:val="20"/>
          <w:szCs w:val="20"/>
        </w:rPr>
        <w:t xml:space="preserve"> </w:t>
      </w:r>
      <w:r w:rsidR="00323457" w:rsidRPr="0059638B">
        <w:rPr>
          <w:sz w:val="20"/>
          <w:szCs w:val="20"/>
        </w:rPr>
        <w:t>indication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deteriorating</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environment.</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faced</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mounting</w:t>
      </w:r>
      <w:r w:rsidR="00FF41A0">
        <w:rPr>
          <w:sz w:val="20"/>
          <w:szCs w:val="20"/>
        </w:rPr>
        <w:t xml:space="preserve"> </w:t>
      </w:r>
      <w:r w:rsidR="00323457" w:rsidRPr="0059638B">
        <w:rPr>
          <w:sz w:val="20"/>
          <w:szCs w:val="20"/>
        </w:rPr>
        <w:t>concerns,</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initially</w:t>
      </w:r>
      <w:r w:rsidR="00FF41A0">
        <w:rPr>
          <w:sz w:val="20"/>
          <w:szCs w:val="20"/>
        </w:rPr>
        <w:t xml:space="preserve"> </w:t>
      </w:r>
      <w:r w:rsidR="00323457" w:rsidRPr="0059638B">
        <w:rPr>
          <w:sz w:val="20"/>
          <w:szCs w:val="20"/>
        </w:rPr>
        <w:t>denied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existence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detention</w:t>
      </w:r>
      <w:r w:rsidR="00FF41A0">
        <w:rPr>
          <w:sz w:val="20"/>
          <w:szCs w:val="20"/>
        </w:rPr>
        <w:t xml:space="preserve"> </w:t>
      </w:r>
      <w:r w:rsidR="00323457" w:rsidRPr="0059638B">
        <w:rPr>
          <w:sz w:val="20"/>
          <w:szCs w:val="20"/>
        </w:rPr>
        <w:t>centres,</w:t>
      </w:r>
      <w:r w:rsidR="00FF41A0">
        <w:rPr>
          <w:sz w:val="20"/>
          <w:szCs w:val="20"/>
        </w:rPr>
        <w:t xml:space="preserve"> </w:t>
      </w:r>
      <w:r w:rsidR="00323457" w:rsidRPr="0059638B">
        <w:rPr>
          <w:sz w:val="20"/>
          <w:szCs w:val="20"/>
        </w:rPr>
        <w:t>then,</w:t>
      </w:r>
      <w:r w:rsidR="00FF41A0">
        <w:rPr>
          <w:sz w:val="20"/>
          <w:szCs w:val="20"/>
        </w:rPr>
        <w:t xml:space="preserve"> </w:t>
      </w:r>
      <w:r w:rsidR="00323457" w:rsidRPr="0059638B">
        <w:rPr>
          <w:sz w:val="20"/>
          <w:szCs w:val="20"/>
        </w:rPr>
        <w:t>claimed</w:t>
      </w:r>
      <w:r w:rsidR="00FF41A0">
        <w:rPr>
          <w:sz w:val="20"/>
          <w:szCs w:val="20"/>
        </w:rPr>
        <w:t xml:space="preserve"> </w:t>
      </w:r>
      <w:r w:rsidR="00323457" w:rsidRPr="0059638B">
        <w:rPr>
          <w:sz w:val="20"/>
          <w:szCs w:val="20"/>
        </w:rPr>
        <w:t>these</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needed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combat</w:t>
      </w:r>
      <w:r w:rsidR="00FF41A0">
        <w:rPr>
          <w:sz w:val="20"/>
          <w:szCs w:val="20"/>
        </w:rPr>
        <w:t xml:space="preserve"> </w:t>
      </w:r>
      <w:r w:rsidR="00323457" w:rsidRPr="0059638B">
        <w:rPr>
          <w:sz w:val="20"/>
          <w:szCs w:val="20"/>
        </w:rPr>
        <w:t>terrorism,</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now</w:t>
      </w:r>
      <w:r w:rsidR="00FF41A0">
        <w:rPr>
          <w:sz w:val="20"/>
          <w:szCs w:val="20"/>
        </w:rPr>
        <w:t xml:space="preserve"> </w:t>
      </w:r>
      <w:r w:rsidR="00323457" w:rsidRPr="0059638B">
        <w:rPr>
          <w:sz w:val="20"/>
          <w:szCs w:val="20"/>
        </w:rPr>
        <w:t>asserted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they</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vocational</w:t>
      </w:r>
      <w:r w:rsidR="00FF41A0">
        <w:rPr>
          <w:sz w:val="20"/>
          <w:szCs w:val="20"/>
        </w:rPr>
        <w:t xml:space="preserve"> </w:t>
      </w:r>
      <w:r w:rsidR="00323457" w:rsidRPr="0059638B">
        <w:rPr>
          <w:sz w:val="20"/>
          <w:szCs w:val="20"/>
        </w:rPr>
        <w:t>training</w:t>
      </w:r>
      <w:r w:rsidR="00FF41A0">
        <w:rPr>
          <w:sz w:val="20"/>
          <w:szCs w:val="20"/>
        </w:rPr>
        <w:t xml:space="preserve"> </w:t>
      </w:r>
      <w:r w:rsidR="00323457" w:rsidRPr="0059638B">
        <w:rPr>
          <w:sz w:val="20"/>
          <w:szCs w:val="20"/>
        </w:rPr>
        <w:t>centres.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stressed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an</w:t>
      </w:r>
      <w:r w:rsidR="00FF41A0">
        <w:rPr>
          <w:sz w:val="20"/>
          <w:szCs w:val="20"/>
        </w:rPr>
        <w:t xml:space="preserve"> </w:t>
      </w:r>
      <w:r w:rsidR="00323457" w:rsidRPr="0059638B">
        <w:rPr>
          <w:sz w:val="20"/>
          <w:szCs w:val="20"/>
        </w:rPr>
        <w:t>independent</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assessment</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urgently</w:t>
      </w:r>
      <w:r w:rsidR="00FF41A0">
        <w:rPr>
          <w:sz w:val="20"/>
          <w:szCs w:val="20"/>
        </w:rPr>
        <w:t xml:space="preserve"> </w:t>
      </w:r>
      <w:r w:rsidR="00323457" w:rsidRPr="0059638B">
        <w:rPr>
          <w:sz w:val="20"/>
          <w:szCs w:val="20"/>
        </w:rPr>
        <w:t>needed</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should</w:t>
      </w:r>
      <w:r w:rsidR="00FF41A0">
        <w:rPr>
          <w:sz w:val="20"/>
          <w:szCs w:val="20"/>
        </w:rPr>
        <w:t xml:space="preserve"> </w:t>
      </w:r>
      <w:r w:rsidR="00323457" w:rsidRPr="0059638B">
        <w:rPr>
          <w:sz w:val="20"/>
          <w:szCs w:val="20"/>
        </w:rPr>
        <w:t>allow</w:t>
      </w:r>
      <w:r w:rsidR="00FF41A0">
        <w:rPr>
          <w:sz w:val="20"/>
          <w:szCs w:val="20"/>
        </w:rPr>
        <w:t xml:space="preserve"> </w:t>
      </w:r>
      <w:r w:rsidR="00323457" w:rsidRPr="0059638B">
        <w:rPr>
          <w:sz w:val="20"/>
          <w:szCs w:val="20"/>
        </w:rPr>
        <w:t>full,</w:t>
      </w:r>
      <w:r w:rsidR="00FF41A0">
        <w:rPr>
          <w:sz w:val="20"/>
          <w:szCs w:val="20"/>
        </w:rPr>
        <w:t xml:space="preserve"> </w:t>
      </w:r>
      <w:r w:rsidR="00323457" w:rsidRPr="0059638B">
        <w:rPr>
          <w:sz w:val="20"/>
          <w:szCs w:val="20"/>
        </w:rPr>
        <w:t>unfettered</w:t>
      </w:r>
      <w:r w:rsidR="00FF41A0">
        <w:rPr>
          <w:sz w:val="20"/>
          <w:szCs w:val="20"/>
        </w:rPr>
        <w:t xml:space="preserve"> </w:t>
      </w:r>
      <w:r w:rsidR="00323457" w:rsidRPr="0059638B">
        <w:rPr>
          <w:sz w:val="20"/>
          <w:szCs w:val="20"/>
        </w:rPr>
        <w:t>access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monitors.</w:t>
      </w:r>
    </w:p>
    <w:p w14:paraId="64E5C75A" w14:textId="31D934A7" w:rsidR="00323457" w:rsidRPr="0059638B" w:rsidRDefault="00323457" w:rsidP="00323457">
      <w:pPr>
        <w:pStyle w:val="H23G"/>
        <w:ind w:left="705" w:firstLine="0"/>
        <w:rPr>
          <w:sz w:val="20"/>
          <w:szCs w:val="20"/>
        </w:rPr>
      </w:pPr>
      <w:r w:rsidRPr="0059638B">
        <w:rPr>
          <w:sz w:val="20"/>
          <w:szCs w:val="20"/>
        </w:rPr>
        <w:t>4.</w:t>
      </w:r>
      <w:r w:rsidRPr="0059638B">
        <w:rPr>
          <w:sz w:val="20"/>
          <w:szCs w:val="20"/>
        </w:rPr>
        <w:tab/>
        <w:t>Concluding</w:t>
      </w:r>
      <w:r w:rsidR="00FF41A0">
        <w:rPr>
          <w:sz w:val="20"/>
          <w:szCs w:val="20"/>
        </w:rPr>
        <w:t xml:space="preserve"> </w:t>
      </w:r>
      <w:r w:rsidRPr="0059638B">
        <w:rPr>
          <w:sz w:val="20"/>
          <w:szCs w:val="20"/>
        </w:rPr>
        <w:t>remarks</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State</w:t>
      </w:r>
      <w:r w:rsidR="00FF41A0">
        <w:rPr>
          <w:sz w:val="20"/>
          <w:szCs w:val="20"/>
        </w:rPr>
        <w:t xml:space="preserve"> </w:t>
      </w:r>
      <w:r w:rsidRPr="0059638B">
        <w:rPr>
          <w:sz w:val="20"/>
          <w:szCs w:val="20"/>
        </w:rPr>
        <w:t>under</w:t>
      </w:r>
      <w:r w:rsidR="00FF41A0">
        <w:rPr>
          <w:sz w:val="20"/>
          <w:szCs w:val="20"/>
        </w:rPr>
        <w:t xml:space="preserve"> </w:t>
      </w:r>
      <w:r w:rsidRPr="0059638B">
        <w:rPr>
          <w:sz w:val="20"/>
          <w:szCs w:val="20"/>
        </w:rPr>
        <w:t>review</w:t>
      </w:r>
    </w:p>
    <w:p w14:paraId="5E1DAA60" w14:textId="69FCBDF9" w:rsidR="00323457" w:rsidRPr="0059638B" w:rsidRDefault="0035721D" w:rsidP="00323457">
      <w:pPr>
        <w:pStyle w:val="SingleTxtG"/>
        <w:rPr>
          <w:sz w:val="20"/>
          <w:szCs w:val="20"/>
        </w:rPr>
      </w:pPr>
      <w:r>
        <w:rPr>
          <w:sz w:val="20"/>
          <w:szCs w:val="20"/>
        </w:rPr>
        <w:t>855</w:t>
      </w:r>
      <w:r w:rsidR="00D226AB">
        <w:rPr>
          <w:sz w:val="20"/>
          <w:szCs w:val="20"/>
        </w:rPr>
        <w:t>.</w:t>
      </w:r>
      <w:r w:rsidR="00D226AB">
        <w:rPr>
          <w:sz w:val="20"/>
          <w:szCs w:val="20"/>
        </w:rPr>
        <w:tab/>
      </w:r>
      <w:r w:rsidR="00323457" w:rsidRPr="0059638B">
        <w:rPr>
          <w:sz w:val="20"/>
          <w:szCs w:val="20"/>
        </w:rPr>
        <w:t>The</w:t>
      </w:r>
      <w:r w:rsidR="00FF41A0">
        <w:rPr>
          <w:sz w:val="20"/>
          <w:szCs w:val="20"/>
        </w:rPr>
        <w:t xml:space="preserve"> </w:t>
      </w:r>
      <w:r w:rsidR="00323457" w:rsidRPr="0059638B">
        <w:rPr>
          <w:sz w:val="20"/>
          <w:szCs w:val="20"/>
        </w:rPr>
        <w:t>President</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based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information</w:t>
      </w:r>
      <w:r w:rsidR="00FF41A0">
        <w:rPr>
          <w:sz w:val="20"/>
          <w:szCs w:val="20"/>
        </w:rPr>
        <w:t xml:space="preserve"> </w:t>
      </w:r>
      <w:r w:rsidR="00323457" w:rsidRPr="0059638B">
        <w:rPr>
          <w:sz w:val="20"/>
          <w:szCs w:val="20"/>
        </w:rPr>
        <w:t>provided,</w:t>
      </w:r>
      <w:r w:rsidR="00FF41A0">
        <w:rPr>
          <w:sz w:val="20"/>
          <w:szCs w:val="20"/>
        </w:rPr>
        <w:t xml:space="preserve"> </w:t>
      </w:r>
      <w:r w:rsidR="00323457" w:rsidRPr="0059638B">
        <w:rPr>
          <w:sz w:val="20"/>
          <w:szCs w:val="20"/>
        </w:rPr>
        <w:t>out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346</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received,</w:t>
      </w:r>
      <w:r w:rsidR="00FF41A0">
        <w:rPr>
          <w:sz w:val="20"/>
          <w:szCs w:val="20"/>
        </w:rPr>
        <w:t xml:space="preserve"> </w:t>
      </w:r>
      <w:r w:rsidR="00323457" w:rsidRPr="0059638B">
        <w:rPr>
          <w:sz w:val="20"/>
          <w:szCs w:val="20"/>
        </w:rPr>
        <w:t>284</w:t>
      </w:r>
      <w:r w:rsidR="00FF41A0">
        <w:rPr>
          <w:sz w:val="20"/>
          <w:szCs w:val="20"/>
        </w:rPr>
        <w:t xml:space="preserve"> </w:t>
      </w:r>
      <w:r w:rsidR="00323457" w:rsidRPr="0059638B">
        <w:rPr>
          <w:sz w:val="20"/>
          <w:szCs w:val="20"/>
        </w:rPr>
        <w:t>enjoyed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support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62</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noted.</w:t>
      </w:r>
    </w:p>
    <w:p w14:paraId="2206558A" w14:textId="55FF9C72" w:rsidR="00323457" w:rsidRPr="0059638B" w:rsidRDefault="00A50D75" w:rsidP="00D1034B">
      <w:pPr>
        <w:pStyle w:val="SingleTxtG"/>
        <w:rPr>
          <w:sz w:val="20"/>
          <w:szCs w:val="20"/>
        </w:rPr>
      </w:pPr>
      <w:r>
        <w:rPr>
          <w:sz w:val="20"/>
          <w:szCs w:val="20"/>
        </w:rPr>
        <w:t>856</w:t>
      </w:r>
      <w:r w:rsidR="00D226AB">
        <w:rPr>
          <w:sz w:val="20"/>
          <w:szCs w:val="20"/>
        </w:rPr>
        <w:t>.</w:t>
      </w:r>
      <w:r w:rsidR="00D226AB">
        <w:rPr>
          <w:sz w:val="20"/>
          <w:szCs w:val="20"/>
        </w:rPr>
        <w:tab/>
      </w:r>
      <w:r w:rsidR="00323457" w:rsidRPr="0059638B">
        <w:rPr>
          <w:sz w:val="20"/>
          <w:szCs w:val="20"/>
        </w:rPr>
        <w:t>China</w:t>
      </w:r>
      <w:r w:rsidR="00FF41A0">
        <w:rPr>
          <w:sz w:val="20"/>
          <w:szCs w:val="20"/>
        </w:rPr>
        <w:t xml:space="preserve"> </w:t>
      </w:r>
      <w:r w:rsidR="00323457" w:rsidRPr="0059638B">
        <w:rPr>
          <w:sz w:val="20"/>
          <w:szCs w:val="20"/>
        </w:rPr>
        <w:t>concluded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highlighting</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open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receptive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any</w:t>
      </w:r>
      <w:r w:rsidR="00FF41A0">
        <w:rPr>
          <w:sz w:val="20"/>
          <w:szCs w:val="20"/>
        </w:rPr>
        <w:t xml:space="preserve"> </w:t>
      </w:r>
      <w:r w:rsidR="00323457" w:rsidRPr="0059638B">
        <w:rPr>
          <w:sz w:val="20"/>
          <w:szCs w:val="20"/>
        </w:rPr>
        <w:t>constructive</w:t>
      </w:r>
      <w:r w:rsidR="00FF41A0">
        <w:rPr>
          <w:sz w:val="20"/>
          <w:szCs w:val="20"/>
        </w:rPr>
        <w:t xml:space="preserve"> </w:t>
      </w:r>
      <w:r w:rsidR="00323457" w:rsidRPr="0059638B">
        <w:rPr>
          <w:sz w:val="20"/>
          <w:szCs w:val="20"/>
        </w:rPr>
        <w:t>recommendation,</w:t>
      </w:r>
      <w:r w:rsidR="00FF41A0">
        <w:rPr>
          <w:sz w:val="20"/>
          <w:szCs w:val="20"/>
        </w:rPr>
        <w:t xml:space="preserve"> </w:t>
      </w:r>
      <w:r w:rsidR="00323457" w:rsidRPr="0059638B">
        <w:rPr>
          <w:sz w:val="20"/>
          <w:szCs w:val="20"/>
        </w:rPr>
        <w:t>but</w:t>
      </w:r>
      <w:r w:rsidR="00FF41A0">
        <w:rPr>
          <w:sz w:val="20"/>
          <w:szCs w:val="20"/>
        </w:rPr>
        <w:t xml:space="preserve"> </w:t>
      </w:r>
      <w:r w:rsidR="00323457" w:rsidRPr="0059638B">
        <w:rPr>
          <w:sz w:val="20"/>
          <w:szCs w:val="20"/>
        </w:rPr>
        <w:t>firmly</w:t>
      </w:r>
      <w:r w:rsidR="00FF41A0">
        <w:rPr>
          <w:sz w:val="20"/>
          <w:szCs w:val="20"/>
        </w:rPr>
        <w:t xml:space="preserve"> </w:t>
      </w:r>
      <w:r w:rsidR="00323457" w:rsidRPr="0059638B">
        <w:rPr>
          <w:sz w:val="20"/>
          <w:szCs w:val="20"/>
        </w:rPr>
        <w:t>opposed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those</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blatantly</w:t>
      </w:r>
      <w:r w:rsidR="00FF41A0">
        <w:rPr>
          <w:sz w:val="20"/>
          <w:szCs w:val="20"/>
        </w:rPr>
        <w:t xml:space="preserve"> </w:t>
      </w:r>
      <w:r w:rsidR="00323457" w:rsidRPr="0059638B">
        <w:rPr>
          <w:sz w:val="20"/>
          <w:szCs w:val="20"/>
        </w:rPr>
        <w:t>undermine</w:t>
      </w:r>
      <w:r w:rsidR="00FF41A0">
        <w:rPr>
          <w:sz w:val="20"/>
          <w:szCs w:val="20"/>
        </w:rPr>
        <w:t xml:space="preserve"> </w:t>
      </w:r>
      <w:r w:rsidR="00323457" w:rsidRPr="0059638B">
        <w:rPr>
          <w:sz w:val="20"/>
          <w:szCs w:val="20"/>
        </w:rPr>
        <w:t>China</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internal</w:t>
      </w:r>
      <w:r w:rsidR="00FF41A0">
        <w:rPr>
          <w:sz w:val="20"/>
          <w:szCs w:val="20"/>
        </w:rPr>
        <w:t xml:space="preserve"> </w:t>
      </w:r>
      <w:r w:rsidR="00323457" w:rsidRPr="0059638B">
        <w:rPr>
          <w:sz w:val="20"/>
          <w:szCs w:val="20"/>
        </w:rPr>
        <w:t>affairs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judicial</w:t>
      </w:r>
      <w:r w:rsidR="00FF41A0">
        <w:rPr>
          <w:sz w:val="20"/>
          <w:szCs w:val="20"/>
        </w:rPr>
        <w:t xml:space="preserve"> </w:t>
      </w:r>
      <w:r w:rsidR="00323457" w:rsidRPr="0059638B">
        <w:rPr>
          <w:sz w:val="20"/>
          <w:szCs w:val="20"/>
        </w:rPr>
        <w:t>independence.</w:t>
      </w:r>
      <w:r w:rsidR="00FF41A0">
        <w:rPr>
          <w:sz w:val="20"/>
          <w:szCs w:val="20"/>
        </w:rPr>
        <w:t xml:space="preserve"> </w:t>
      </w:r>
      <w:r w:rsidR="00323457" w:rsidRPr="0059638B">
        <w:rPr>
          <w:sz w:val="20"/>
          <w:szCs w:val="20"/>
        </w:rPr>
        <w:t>No</w:t>
      </w:r>
      <w:r w:rsidR="00FF41A0">
        <w:rPr>
          <w:sz w:val="20"/>
          <w:szCs w:val="20"/>
        </w:rPr>
        <w:t xml:space="preserve"> </w:t>
      </w:r>
      <w:r w:rsidR="00323457" w:rsidRPr="0059638B">
        <w:rPr>
          <w:sz w:val="20"/>
          <w:szCs w:val="20"/>
        </w:rPr>
        <w:t>country</w:t>
      </w:r>
      <w:r w:rsidR="00FF41A0">
        <w:rPr>
          <w:sz w:val="20"/>
          <w:szCs w:val="20"/>
        </w:rPr>
        <w:t xml:space="preserve"> </w:t>
      </w:r>
      <w:r w:rsidR="00323457" w:rsidRPr="0059638B">
        <w:rPr>
          <w:sz w:val="20"/>
          <w:szCs w:val="20"/>
        </w:rPr>
        <w:t>should</w:t>
      </w:r>
      <w:r w:rsidR="00FF41A0">
        <w:rPr>
          <w:sz w:val="20"/>
          <w:szCs w:val="20"/>
        </w:rPr>
        <w:t xml:space="preserve"> </w:t>
      </w:r>
      <w:r w:rsidR="00323457" w:rsidRPr="0059638B">
        <w:rPr>
          <w:sz w:val="20"/>
          <w:szCs w:val="20"/>
        </w:rPr>
        <w:t>dictate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definition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democracy</w:t>
      </w:r>
      <w:r w:rsidR="00FF41A0">
        <w:rPr>
          <w:sz w:val="20"/>
          <w:szCs w:val="20"/>
        </w:rPr>
        <w:t xml:space="preserve"> </w:t>
      </w:r>
      <w:r w:rsidR="00323457" w:rsidRPr="0059638B">
        <w:rPr>
          <w:sz w:val="20"/>
          <w:szCs w:val="20"/>
        </w:rPr>
        <w:t>or</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even</w:t>
      </w:r>
      <w:r w:rsidR="00FF41A0">
        <w:rPr>
          <w:sz w:val="20"/>
          <w:szCs w:val="20"/>
        </w:rPr>
        <w:t xml:space="preserve"> </w:t>
      </w:r>
      <w:r w:rsidR="00323457" w:rsidRPr="0059638B">
        <w:rPr>
          <w:sz w:val="20"/>
          <w:szCs w:val="20"/>
        </w:rPr>
        <w:t>less</w:t>
      </w:r>
      <w:r w:rsidR="00FF41A0">
        <w:rPr>
          <w:sz w:val="20"/>
          <w:szCs w:val="20"/>
        </w:rPr>
        <w:t xml:space="preserve"> </w:t>
      </w:r>
      <w:r w:rsidR="00323457" w:rsidRPr="0059638B">
        <w:rPr>
          <w:sz w:val="20"/>
          <w:szCs w:val="20"/>
        </w:rPr>
        <w:t>force</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own</w:t>
      </w:r>
      <w:r w:rsidR="00FF41A0">
        <w:rPr>
          <w:sz w:val="20"/>
          <w:szCs w:val="20"/>
        </w:rPr>
        <w:t xml:space="preserve"> </w:t>
      </w:r>
      <w:r w:rsidR="00323457" w:rsidRPr="0059638B">
        <w:rPr>
          <w:sz w:val="20"/>
          <w:szCs w:val="20"/>
        </w:rPr>
        <w:t>criteria</w:t>
      </w:r>
      <w:r w:rsidR="00FF41A0">
        <w:rPr>
          <w:sz w:val="20"/>
          <w:szCs w:val="20"/>
        </w:rPr>
        <w:t xml:space="preserve"> </w:t>
      </w:r>
      <w:r w:rsidR="00323457" w:rsidRPr="0059638B">
        <w:rPr>
          <w:sz w:val="20"/>
          <w:szCs w:val="20"/>
        </w:rPr>
        <w:t>upon</w:t>
      </w:r>
      <w:r w:rsidR="00FF41A0">
        <w:rPr>
          <w:sz w:val="20"/>
          <w:szCs w:val="20"/>
        </w:rPr>
        <w:t xml:space="preserve"> </w:t>
      </w:r>
      <w:r w:rsidR="00323457" w:rsidRPr="0059638B">
        <w:rPr>
          <w:sz w:val="20"/>
          <w:szCs w:val="20"/>
        </w:rPr>
        <w:t>others.</w:t>
      </w:r>
      <w:r w:rsidR="00FF41A0">
        <w:rPr>
          <w:sz w:val="20"/>
          <w:szCs w:val="20"/>
        </w:rPr>
        <w:t xml:space="preserve"> </w:t>
      </w:r>
      <w:r w:rsidR="00323457" w:rsidRPr="0059638B">
        <w:rPr>
          <w:sz w:val="20"/>
          <w:szCs w:val="20"/>
        </w:rPr>
        <w:t>Without</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decisive</w:t>
      </w:r>
      <w:r w:rsidR="00FF41A0">
        <w:rPr>
          <w:sz w:val="20"/>
          <w:szCs w:val="20"/>
        </w:rPr>
        <w:t xml:space="preserve"> </w:t>
      </w:r>
      <w:r w:rsidR="00323457" w:rsidRPr="0059638B">
        <w:rPr>
          <w:sz w:val="20"/>
          <w:szCs w:val="20"/>
        </w:rPr>
        <w:t>measures,</w:t>
      </w:r>
      <w:r w:rsidR="00FF41A0">
        <w:rPr>
          <w:sz w:val="20"/>
          <w:szCs w:val="20"/>
        </w:rPr>
        <w:t xml:space="preserve"> </w:t>
      </w:r>
      <w:r w:rsidR="00323457" w:rsidRPr="0059638B">
        <w:rPr>
          <w:sz w:val="20"/>
          <w:szCs w:val="20"/>
        </w:rPr>
        <w:t>violent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terrorist</w:t>
      </w:r>
      <w:r w:rsidR="00FF41A0">
        <w:rPr>
          <w:sz w:val="20"/>
          <w:szCs w:val="20"/>
        </w:rPr>
        <w:t xml:space="preserve"> </w:t>
      </w:r>
      <w:r w:rsidR="00323457" w:rsidRPr="0059638B">
        <w:rPr>
          <w:sz w:val="20"/>
          <w:szCs w:val="20"/>
        </w:rPr>
        <w:t>activities</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have</w:t>
      </w:r>
      <w:r w:rsidR="00FF41A0">
        <w:rPr>
          <w:sz w:val="20"/>
          <w:szCs w:val="20"/>
        </w:rPr>
        <w:t xml:space="preserve"> </w:t>
      </w:r>
      <w:r w:rsidR="00323457" w:rsidRPr="0059638B">
        <w:rPr>
          <w:sz w:val="20"/>
          <w:szCs w:val="20"/>
        </w:rPr>
        <w:t>escalated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Xinjiang</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spread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other</w:t>
      </w:r>
      <w:r w:rsidR="00FF41A0">
        <w:rPr>
          <w:sz w:val="20"/>
          <w:szCs w:val="20"/>
        </w:rPr>
        <w:t xml:space="preserve"> </w:t>
      </w:r>
      <w:r w:rsidR="00323457" w:rsidRPr="0059638B">
        <w:rPr>
          <w:sz w:val="20"/>
          <w:szCs w:val="20"/>
        </w:rPr>
        <w:t>places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China,</w:t>
      </w:r>
      <w:r w:rsidR="00FF41A0">
        <w:rPr>
          <w:sz w:val="20"/>
          <w:szCs w:val="20"/>
        </w:rPr>
        <w:t xml:space="preserve"> </w:t>
      </w:r>
      <w:r w:rsidR="00323457" w:rsidRPr="0059638B">
        <w:rPr>
          <w:sz w:val="20"/>
          <w:szCs w:val="20"/>
        </w:rPr>
        <w:t>even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Central</w:t>
      </w:r>
      <w:r w:rsidR="00FF41A0">
        <w:rPr>
          <w:sz w:val="20"/>
          <w:szCs w:val="20"/>
        </w:rPr>
        <w:t xml:space="preserve"> </w:t>
      </w:r>
      <w:r w:rsidR="00323457" w:rsidRPr="0059638B">
        <w:rPr>
          <w:sz w:val="20"/>
          <w:szCs w:val="20"/>
        </w:rPr>
        <w:t>Asia,</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Middle</w:t>
      </w:r>
      <w:r w:rsidR="00FF41A0">
        <w:rPr>
          <w:sz w:val="20"/>
          <w:szCs w:val="20"/>
        </w:rPr>
        <w:t xml:space="preserve"> </w:t>
      </w:r>
      <w:r w:rsidR="00323457" w:rsidRPr="0059638B">
        <w:rPr>
          <w:sz w:val="20"/>
          <w:szCs w:val="20"/>
        </w:rPr>
        <w:t>East,</w:t>
      </w:r>
      <w:r w:rsidR="00FF41A0">
        <w:rPr>
          <w:sz w:val="20"/>
          <w:szCs w:val="20"/>
        </w:rPr>
        <w:t xml:space="preserve"> </w:t>
      </w:r>
      <w:r w:rsidR="00323457" w:rsidRPr="0059638B">
        <w:rPr>
          <w:sz w:val="20"/>
          <w:szCs w:val="20"/>
        </w:rPr>
        <w:t>Europe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other</w:t>
      </w:r>
      <w:r w:rsidR="00FF41A0">
        <w:rPr>
          <w:sz w:val="20"/>
          <w:szCs w:val="20"/>
        </w:rPr>
        <w:t xml:space="preserve"> </w:t>
      </w:r>
      <w:r w:rsidR="00323457" w:rsidRPr="0059638B">
        <w:rPr>
          <w:sz w:val="20"/>
          <w:szCs w:val="20"/>
        </w:rPr>
        <w:t>parts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world.</w:t>
      </w:r>
      <w:r w:rsidR="00FF41A0">
        <w:rPr>
          <w:sz w:val="20"/>
          <w:szCs w:val="20"/>
        </w:rPr>
        <w:t xml:space="preserve"> </w:t>
      </w:r>
      <w:r w:rsidR="00323457" w:rsidRPr="0059638B">
        <w:rPr>
          <w:rFonts w:hint="eastAsia"/>
          <w:sz w:val="20"/>
          <w:szCs w:val="20"/>
          <w:lang w:eastAsia="zh-CN"/>
        </w:rPr>
        <w:t>C</w:t>
      </w:r>
      <w:r w:rsidR="00323457" w:rsidRPr="0059638B">
        <w:rPr>
          <w:sz w:val="20"/>
          <w:szCs w:val="20"/>
          <w:lang w:eastAsia="zh-CN"/>
        </w:rPr>
        <w:t>hina</w:t>
      </w:r>
      <w:r w:rsidR="00FF41A0">
        <w:rPr>
          <w:rFonts w:hint="eastAsia"/>
          <w:sz w:val="20"/>
          <w:szCs w:val="20"/>
          <w:lang w:eastAsia="zh-CN"/>
        </w:rPr>
        <w:t xml:space="preserve"> </w:t>
      </w:r>
      <w:r w:rsidR="00323457" w:rsidRPr="0059638B">
        <w:rPr>
          <w:rFonts w:hint="eastAsia"/>
          <w:sz w:val="20"/>
          <w:szCs w:val="20"/>
          <w:lang w:eastAsia="zh-CN"/>
        </w:rPr>
        <w:t>reaffirm</w:t>
      </w:r>
      <w:r w:rsidR="00323457" w:rsidRPr="0059638B">
        <w:rPr>
          <w:sz w:val="20"/>
          <w:szCs w:val="20"/>
          <w:lang w:eastAsia="zh-CN"/>
        </w:rPr>
        <w:t>ed</w:t>
      </w:r>
      <w:r w:rsidR="00FF41A0">
        <w:rPr>
          <w:rFonts w:hint="eastAsia"/>
          <w:sz w:val="20"/>
          <w:szCs w:val="20"/>
          <w:lang w:eastAsia="zh-CN"/>
        </w:rPr>
        <w:t xml:space="preserve"> </w:t>
      </w:r>
      <w:r w:rsidR="00323457" w:rsidRPr="0059638B">
        <w:rPr>
          <w:rFonts w:hint="eastAsia"/>
          <w:sz w:val="20"/>
          <w:szCs w:val="20"/>
          <w:lang w:eastAsia="zh-CN"/>
        </w:rPr>
        <w:t>its</w:t>
      </w:r>
      <w:r w:rsidR="00FF41A0">
        <w:rPr>
          <w:rFonts w:hint="eastAsia"/>
          <w:sz w:val="20"/>
          <w:szCs w:val="20"/>
          <w:lang w:eastAsia="zh-CN"/>
        </w:rPr>
        <w:t xml:space="preserve"> </w:t>
      </w:r>
      <w:r w:rsidR="00323457" w:rsidRPr="0059638B">
        <w:rPr>
          <w:rFonts w:hint="eastAsia"/>
          <w:sz w:val="20"/>
          <w:szCs w:val="20"/>
          <w:lang w:eastAsia="zh-CN"/>
        </w:rPr>
        <w:t>sustained</w:t>
      </w:r>
      <w:r w:rsidR="00FF41A0">
        <w:rPr>
          <w:rFonts w:hint="eastAsia"/>
          <w:sz w:val="20"/>
          <w:szCs w:val="20"/>
          <w:lang w:eastAsia="zh-CN"/>
        </w:rPr>
        <w:t xml:space="preserve"> </w:t>
      </w:r>
      <w:r w:rsidR="00323457" w:rsidRPr="0059638B">
        <w:rPr>
          <w:rFonts w:hint="eastAsia"/>
          <w:sz w:val="20"/>
          <w:szCs w:val="20"/>
          <w:lang w:eastAsia="zh-CN"/>
        </w:rPr>
        <w:t>commitment</w:t>
      </w:r>
      <w:r w:rsidR="00FF41A0">
        <w:rPr>
          <w:rFonts w:hint="eastAsia"/>
          <w:sz w:val="20"/>
          <w:szCs w:val="20"/>
          <w:lang w:eastAsia="zh-CN"/>
        </w:rPr>
        <w:t xml:space="preserve"> </w:t>
      </w:r>
      <w:r w:rsidR="00323457" w:rsidRPr="0059638B">
        <w:rPr>
          <w:rFonts w:hint="eastAsia"/>
          <w:sz w:val="20"/>
          <w:szCs w:val="20"/>
          <w:lang w:eastAsia="zh-CN"/>
        </w:rPr>
        <w:t>to</w:t>
      </w:r>
      <w:r w:rsidR="00FF41A0">
        <w:rPr>
          <w:rFonts w:hint="eastAsia"/>
          <w:sz w:val="20"/>
          <w:szCs w:val="20"/>
          <w:lang w:eastAsia="zh-CN"/>
        </w:rPr>
        <w:t xml:space="preserve"> </w:t>
      </w:r>
      <w:r w:rsidR="00323457" w:rsidRPr="0059638B">
        <w:rPr>
          <w:rFonts w:hint="eastAsia"/>
          <w:sz w:val="20"/>
          <w:szCs w:val="20"/>
          <w:lang w:eastAsia="zh-CN"/>
        </w:rPr>
        <w:t>promoting</w:t>
      </w:r>
      <w:r w:rsidR="00FF41A0">
        <w:rPr>
          <w:rFonts w:hint="eastAsia"/>
          <w:sz w:val="20"/>
          <w:szCs w:val="20"/>
          <w:lang w:eastAsia="zh-CN"/>
        </w:rPr>
        <w:t xml:space="preserve"> </w:t>
      </w:r>
      <w:r w:rsidR="00323457" w:rsidRPr="0059638B">
        <w:rPr>
          <w:rFonts w:hint="eastAsia"/>
          <w:sz w:val="20"/>
          <w:szCs w:val="20"/>
          <w:lang w:eastAsia="zh-CN"/>
        </w:rPr>
        <w:t>and</w:t>
      </w:r>
      <w:r w:rsidR="00FF41A0">
        <w:rPr>
          <w:rFonts w:hint="eastAsia"/>
          <w:sz w:val="20"/>
          <w:szCs w:val="20"/>
          <w:lang w:eastAsia="zh-CN"/>
        </w:rPr>
        <w:t xml:space="preserve"> </w:t>
      </w:r>
      <w:r w:rsidR="00323457" w:rsidRPr="0059638B">
        <w:rPr>
          <w:rFonts w:hint="eastAsia"/>
          <w:sz w:val="20"/>
          <w:szCs w:val="20"/>
          <w:lang w:eastAsia="zh-CN"/>
        </w:rPr>
        <w:t>protecting</w:t>
      </w:r>
      <w:r w:rsidR="00FF41A0">
        <w:rPr>
          <w:rFonts w:hint="eastAsia"/>
          <w:sz w:val="20"/>
          <w:szCs w:val="20"/>
          <w:lang w:eastAsia="zh-CN"/>
        </w:rPr>
        <w:t xml:space="preserve"> </w:t>
      </w:r>
      <w:r w:rsidR="00323457" w:rsidRPr="0059638B">
        <w:rPr>
          <w:rFonts w:hint="eastAsia"/>
          <w:sz w:val="20"/>
          <w:szCs w:val="20"/>
          <w:lang w:eastAsia="zh-CN"/>
        </w:rPr>
        <w:t>human</w:t>
      </w:r>
      <w:r w:rsidR="00FF41A0">
        <w:rPr>
          <w:rFonts w:hint="eastAsia"/>
          <w:sz w:val="20"/>
          <w:szCs w:val="20"/>
          <w:lang w:eastAsia="zh-CN"/>
        </w:rPr>
        <w:t xml:space="preserve"> </w:t>
      </w:r>
      <w:r w:rsidR="00323457" w:rsidRPr="0059638B">
        <w:rPr>
          <w:rFonts w:hint="eastAsia"/>
          <w:sz w:val="20"/>
          <w:szCs w:val="20"/>
          <w:lang w:eastAsia="zh-CN"/>
        </w:rPr>
        <w:t>rights</w:t>
      </w:r>
      <w:r w:rsidR="00FF41A0">
        <w:rPr>
          <w:rFonts w:hint="eastAsia"/>
          <w:sz w:val="20"/>
          <w:szCs w:val="20"/>
          <w:lang w:eastAsia="zh-CN"/>
        </w:rPr>
        <w:t xml:space="preserve"> </w:t>
      </w:r>
      <w:r w:rsidR="00323457" w:rsidRPr="0059638B">
        <w:rPr>
          <w:rFonts w:hint="eastAsia"/>
          <w:sz w:val="20"/>
          <w:szCs w:val="20"/>
          <w:lang w:eastAsia="zh-CN"/>
        </w:rPr>
        <w:t>and</w:t>
      </w:r>
      <w:r w:rsidR="00FF41A0">
        <w:rPr>
          <w:rFonts w:hint="eastAsia"/>
          <w:sz w:val="20"/>
          <w:szCs w:val="20"/>
          <w:lang w:eastAsia="zh-CN"/>
        </w:rPr>
        <w:t xml:space="preserve"> </w:t>
      </w:r>
      <w:r w:rsidR="00323457" w:rsidRPr="0059638B">
        <w:rPr>
          <w:rFonts w:hint="eastAsia"/>
          <w:sz w:val="20"/>
          <w:szCs w:val="20"/>
          <w:lang w:eastAsia="zh-CN"/>
        </w:rPr>
        <w:t>implementing</w:t>
      </w:r>
      <w:r w:rsidR="00FF41A0">
        <w:rPr>
          <w:rFonts w:hint="eastAsia"/>
          <w:sz w:val="20"/>
          <w:szCs w:val="20"/>
          <w:lang w:eastAsia="zh-CN"/>
        </w:rPr>
        <w:t xml:space="preserve"> </w:t>
      </w:r>
      <w:r w:rsidR="00323457" w:rsidRPr="0059638B">
        <w:rPr>
          <w:rFonts w:hint="eastAsia"/>
          <w:sz w:val="20"/>
          <w:szCs w:val="20"/>
          <w:lang w:eastAsia="zh-CN"/>
        </w:rPr>
        <w:t>the</w:t>
      </w:r>
      <w:r w:rsidR="00FF41A0">
        <w:rPr>
          <w:rFonts w:hint="eastAsia"/>
          <w:sz w:val="20"/>
          <w:szCs w:val="20"/>
          <w:lang w:eastAsia="zh-CN"/>
        </w:rPr>
        <w:t xml:space="preserve"> </w:t>
      </w:r>
      <w:r w:rsidR="00323457" w:rsidRPr="0059638B">
        <w:rPr>
          <w:rFonts w:hint="eastAsia"/>
          <w:sz w:val="20"/>
          <w:szCs w:val="20"/>
          <w:lang w:eastAsia="zh-CN"/>
        </w:rPr>
        <w:t>recommendations</w:t>
      </w:r>
      <w:r w:rsidR="00FF41A0">
        <w:rPr>
          <w:rFonts w:hint="eastAsia"/>
          <w:sz w:val="20"/>
          <w:szCs w:val="20"/>
          <w:lang w:eastAsia="zh-CN"/>
        </w:rPr>
        <w:t xml:space="preserve"> </w:t>
      </w:r>
      <w:r w:rsidR="00323457" w:rsidRPr="0059638B">
        <w:rPr>
          <w:rFonts w:hint="eastAsia"/>
          <w:sz w:val="20"/>
          <w:szCs w:val="20"/>
          <w:lang w:eastAsia="zh-CN"/>
        </w:rPr>
        <w:t>it</w:t>
      </w:r>
      <w:r w:rsidR="00FF41A0">
        <w:rPr>
          <w:rFonts w:hint="eastAsia"/>
          <w:sz w:val="20"/>
          <w:szCs w:val="20"/>
          <w:lang w:eastAsia="zh-CN"/>
        </w:rPr>
        <w:t xml:space="preserve"> </w:t>
      </w:r>
      <w:r w:rsidR="00323457" w:rsidRPr="0059638B">
        <w:rPr>
          <w:rFonts w:hint="eastAsia"/>
          <w:sz w:val="20"/>
          <w:szCs w:val="20"/>
          <w:lang w:eastAsia="zh-CN"/>
        </w:rPr>
        <w:t>has</w:t>
      </w:r>
      <w:r w:rsidR="00FF41A0">
        <w:rPr>
          <w:rFonts w:hint="eastAsia"/>
          <w:sz w:val="20"/>
          <w:szCs w:val="20"/>
          <w:lang w:eastAsia="zh-CN"/>
        </w:rPr>
        <w:t xml:space="preserve"> </w:t>
      </w:r>
      <w:r w:rsidR="00323457" w:rsidRPr="0059638B">
        <w:rPr>
          <w:rFonts w:hint="eastAsia"/>
          <w:sz w:val="20"/>
          <w:szCs w:val="20"/>
          <w:lang w:eastAsia="zh-CN"/>
        </w:rPr>
        <w:t>accepted.</w:t>
      </w:r>
      <w:r w:rsidR="00FF41A0">
        <w:rPr>
          <w:rFonts w:hint="eastAsia"/>
          <w:sz w:val="20"/>
          <w:szCs w:val="20"/>
          <w:lang w:eastAsia="zh-CN"/>
        </w:rPr>
        <w:t xml:space="preserve"> </w:t>
      </w:r>
      <w:r w:rsidR="00323457" w:rsidRPr="0059638B">
        <w:rPr>
          <w:rFonts w:hint="eastAsia"/>
          <w:sz w:val="20"/>
          <w:szCs w:val="20"/>
          <w:lang w:eastAsia="zh-CN"/>
        </w:rPr>
        <w:t>China</w:t>
      </w:r>
      <w:r w:rsidR="00FF41A0">
        <w:rPr>
          <w:rFonts w:hint="eastAsia"/>
          <w:sz w:val="20"/>
          <w:szCs w:val="20"/>
          <w:lang w:eastAsia="zh-CN"/>
        </w:rPr>
        <w:t xml:space="preserve"> </w:t>
      </w:r>
      <w:r w:rsidR="00323457" w:rsidRPr="0059638B">
        <w:rPr>
          <w:rFonts w:hint="eastAsia"/>
          <w:sz w:val="20"/>
          <w:szCs w:val="20"/>
          <w:lang w:eastAsia="zh-CN"/>
        </w:rPr>
        <w:t>would</w:t>
      </w:r>
      <w:r w:rsidR="00FF41A0">
        <w:rPr>
          <w:rFonts w:hint="eastAsia"/>
          <w:sz w:val="20"/>
          <w:szCs w:val="20"/>
          <w:lang w:eastAsia="zh-CN"/>
        </w:rPr>
        <w:t xml:space="preserve"> </w:t>
      </w:r>
      <w:r w:rsidR="00323457" w:rsidRPr="0059638B">
        <w:rPr>
          <w:rFonts w:hint="eastAsia"/>
          <w:sz w:val="20"/>
          <w:szCs w:val="20"/>
          <w:lang w:eastAsia="zh-CN"/>
        </w:rPr>
        <w:t>further</w:t>
      </w:r>
      <w:r w:rsidR="00FF41A0">
        <w:rPr>
          <w:rFonts w:hint="eastAsia"/>
          <w:sz w:val="20"/>
          <w:szCs w:val="20"/>
          <w:lang w:eastAsia="zh-CN"/>
        </w:rPr>
        <w:t xml:space="preserve"> </w:t>
      </w:r>
      <w:r w:rsidR="00323457" w:rsidRPr="0059638B">
        <w:rPr>
          <w:rFonts w:hint="eastAsia"/>
          <w:sz w:val="20"/>
          <w:szCs w:val="20"/>
          <w:lang w:eastAsia="zh-CN"/>
        </w:rPr>
        <w:t>advance</w:t>
      </w:r>
      <w:r w:rsidR="00FF41A0">
        <w:rPr>
          <w:rFonts w:hint="eastAsia"/>
          <w:sz w:val="20"/>
          <w:szCs w:val="20"/>
          <w:lang w:eastAsia="zh-CN"/>
        </w:rPr>
        <w:t xml:space="preserve"> </w:t>
      </w:r>
      <w:r w:rsidR="00323457" w:rsidRPr="0059638B">
        <w:rPr>
          <w:rFonts w:hint="eastAsia"/>
          <w:sz w:val="20"/>
          <w:szCs w:val="20"/>
          <w:lang w:eastAsia="zh-CN"/>
        </w:rPr>
        <w:t>its</w:t>
      </w:r>
      <w:r w:rsidR="00FF41A0">
        <w:rPr>
          <w:rFonts w:hint="eastAsia"/>
          <w:sz w:val="20"/>
          <w:szCs w:val="20"/>
          <w:lang w:eastAsia="zh-CN"/>
        </w:rPr>
        <w:t xml:space="preserve"> </w:t>
      </w:r>
      <w:r w:rsidR="00323457" w:rsidRPr="0059638B">
        <w:rPr>
          <w:rFonts w:hint="eastAsia"/>
          <w:sz w:val="20"/>
          <w:szCs w:val="20"/>
          <w:lang w:eastAsia="zh-CN"/>
        </w:rPr>
        <w:t>human</w:t>
      </w:r>
      <w:r w:rsidR="00FF41A0">
        <w:rPr>
          <w:rFonts w:hint="eastAsia"/>
          <w:sz w:val="20"/>
          <w:szCs w:val="20"/>
          <w:lang w:eastAsia="zh-CN"/>
        </w:rPr>
        <w:t xml:space="preserve"> </w:t>
      </w:r>
      <w:r w:rsidR="00323457" w:rsidRPr="0059638B">
        <w:rPr>
          <w:rFonts w:hint="eastAsia"/>
          <w:sz w:val="20"/>
          <w:szCs w:val="20"/>
          <w:lang w:eastAsia="zh-CN"/>
        </w:rPr>
        <w:t>rights</w:t>
      </w:r>
      <w:r w:rsidR="00FF41A0">
        <w:rPr>
          <w:rFonts w:hint="eastAsia"/>
          <w:sz w:val="20"/>
          <w:szCs w:val="20"/>
          <w:lang w:eastAsia="zh-CN"/>
        </w:rPr>
        <w:t xml:space="preserve"> </w:t>
      </w:r>
      <w:r w:rsidR="00323457" w:rsidRPr="0059638B">
        <w:rPr>
          <w:rFonts w:hint="eastAsia"/>
          <w:sz w:val="20"/>
          <w:szCs w:val="20"/>
          <w:lang w:eastAsia="zh-CN"/>
        </w:rPr>
        <w:t>development</w:t>
      </w:r>
      <w:r w:rsidR="00FF41A0">
        <w:rPr>
          <w:rFonts w:hint="eastAsia"/>
          <w:sz w:val="20"/>
          <w:szCs w:val="20"/>
          <w:lang w:eastAsia="zh-CN"/>
        </w:rPr>
        <w:t xml:space="preserve"> </w:t>
      </w:r>
      <w:r w:rsidR="00323457" w:rsidRPr="0059638B">
        <w:rPr>
          <w:rFonts w:hint="eastAsia"/>
          <w:sz w:val="20"/>
          <w:szCs w:val="20"/>
          <w:lang w:eastAsia="zh-CN"/>
        </w:rPr>
        <w:t>in</w:t>
      </w:r>
      <w:r w:rsidR="00FF41A0">
        <w:rPr>
          <w:rFonts w:hint="eastAsia"/>
          <w:sz w:val="20"/>
          <w:szCs w:val="20"/>
          <w:lang w:eastAsia="zh-CN"/>
        </w:rPr>
        <w:t xml:space="preserve"> </w:t>
      </w:r>
      <w:r w:rsidR="00323457" w:rsidRPr="0059638B">
        <w:rPr>
          <w:rFonts w:hint="eastAsia"/>
          <w:sz w:val="20"/>
          <w:szCs w:val="20"/>
          <w:lang w:eastAsia="zh-CN"/>
        </w:rPr>
        <w:t>the</w:t>
      </w:r>
      <w:r w:rsidR="00FF41A0">
        <w:rPr>
          <w:rFonts w:hint="eastAsia"/>
          <w:sz w:val="20"/>
          <w:szCs w:val="20"/>
          <w:lang w:eastAsia="zh-CN"/>
        </w:rPr>
        <w:t xml:space="preserve"> </w:t>
      </w:r>
      <w:r w:rsidR="00323457" w:rsidRPr="0059638B">
        <w:rPr>
          <w:rFonts w:hint="eastAsia"/>
          <w:sz w:val="20"/>
          <w:szCs w:val="20"/>
          <w:lang w:eastAsia="zh-CN"/>
        </w:rPr>
        <w:t>new</w:t>
      </w:r>
      <w:r w:rsidR="00FF41A0">
        <w:rPr>
          <w:rFonts w:hint="eastAsia"/>
          <w:sz w:val="20"/>
          <w:szCs w:val="20"/>
          <w:lang w:eastAsia="zh-CN"/>
        </w:rPr>
        <w:t xml:space="preserve"> </w:t>
      </w:r>
      <w:r w:rsidR="00323457" w:rsidRPr="0059638B">
        <w:rPr>
          <w:rFonts w:hint="eastAsia"/>
          <w:sz w:val="20"/>
          <w:szCs w:val="20"/>
          <w:lang w:eastAsia="zh-CN"/>
        </w:rPr>
        <w:t>era</w:t>
      </w:r>
      <w:r w:rsidR="00FF41A0">
        <w:rPr>
          <w:rFonts w:hint="eastAsia"/>
          <w:sz w:val="20"/>
          <w:szCs w:val="20"/>
          <w:lang w:eastAsia="zh-CN"/>
        </w:rPr>
        <w:t xml:space="preserve"> </w:t>
      </w:r>
      <w:r w:rsidR="00323457" w:rsidRPr="0059638B">
        <w:rPr>
          <w:rFonts w:hint="eastAsia"/>
          <w:sz w:val="20"/>
          <w:szCs w:val="20"/>
          <w:lang w:eastAsia="zh-CN"/>
        </w:rPr>
        <w:t>and</w:t>
      </w:r>
      <w:r w:rsidR="00FF41A0">
        <w:rPr>
          <w:rFonts w:hint="eastAsia"/>
          <w:sz w:val="20"/>
          <w:szCs w:val="20"/>
          <w:lang w:eastAsia="zh-CN"/>
        </w:rPr>
        <w:t xml:space="preserve"> </w:t>
      </w:r>
      <w:r w:rsidR="00323457" w:rsidRPr="0059638B">
        <w:rPr>
          <w:rFonts w:hint="eastAsia"/>
          <w:sz w:val="20"/>
          <w:szCs w:val="20"/>
          <w:lang w:eastAsia="zh-CN"/>
        </w:rPr>
        <w:t>make</w:t>
      </w:r>
      <w:r w:rsidR="00FF41A0">
        <w:rPr>
          <w:rFonts w:hint="eastAsia"/>
          <w:sz w:val="20"/>
          <w:szCs w:val="20"/>
          <w:lang w:eastAsia="zh-CN"/>
        </w:rPr>
        <w:t xml:space="preserve"> </w:t>
      </w:r>
      <w:r w:rsidR="00323457" w:rsidRPr="0059638B">
        <w:rPr>
          <w:rFonts w:hint="eastAsia"/>
          <w:sz w:val="20"/>
          <w:szCs w:val="20"/>
          <w:lang w:eastAsia="zh-CN"/>
        </w:rPr>
        <w:t>more</w:t>
      </w:r>
      <w:r w:rsidR="00FF41A0">
        <w:rPr>
          <w:rFonts w:hint="eastAsia"/>
          <w:sz w:val="20"/>
          <w:szCs w:val="20"/>
          <w:lang w:eastAsia="zh-CN"/>
        </w:rPr>
        <w:t xml:space="preserve"> </w:t>
      </w:r>
      <w:r w:rsidR="00323457" w:rsidRPr="0059638B">
        <w:rPr>
          <w:rFonts w:hint="eastAsia"/>
          <w:sz w:val="20"/>
          <w:szCs w:val="20"/>
          <w:lang w:eastAsia="zh-CN"/>
        </w:rPr>
        <w:t>contributions</w:t>
      </w:r>
      <w:r w:rsidR="00FF41A0">
        <w:rPr>
          <w:rFonts w:hint="eastAsia"/>
          <w:sz w:val="20"/>
          <w:szCs w:val="20"/>
          <w:lang w:eastAsia="zh-CN"/>
        </w:rPr>
        <w:t xml:space="preserve"> </w:t>
      </w:r>
      <w:r w:rsidR="00323457" w:rsidRPr="0059638B">
        <w:rPr>
          <w:rFonts w:hint="eastAsia"/>
          <w:sz w:val="20"/>
          <w:szCs w:val="20"/>
          <w:lang w:eastAsia="zh-CN"/>
        </w:rPr>
        <w:t>to</w:t>
      </w:r>
      <w:r w:rsidR="00FF41A0">
        <w:rPr>
          <w:rFonts w:hint="eastAsia"/>
          <w:sz w:val="20"/>
          <w:szCs w:val="20"/>
          <w:lang w:eastAsia="zh-CN"/>
        </w:rPr>
        <w:t xml:space="preserve"> </w:t>
      </w:r>
      <w:r w:rsidR="00323457" w:rsidRPr="0059638B">
        <w:rPr>
          <w:rFonts w:hint="eastAsia"/>
          <w:sz w:val="20"/>
          <w:szCs w:val="20"/>
          <w:lang w:eastAsia="zh-CN"/>
        </w:rPr>
        <w:t>the</w:t>
      </w:r>
      <w:r w:rsidR="00FF41A0">
        <w:rPr>
          <w:rFonts w:hint="eastAsia"/>
          <w:sz w:val="20"/>
          <w:szCs w:val="20"/>
          <w:lang w:eastAsia="zh-CN"/>
        </w:rPr>
        <w:t xml:space="preserve"> </w:t>
      </w:r>
      <w:r w:rsidR="00323457" w:rsidRPr="0059638B">
        <w:rPr>
          <w:rFonts w:hint="eastAsia"/>
          <w:sz w:val="20"/>
          <w:szCs w:val="20"/>
          <w:lang w:eastAsia="zh-CN"/>
        </w:rPr>
        <w:t>international</w:t>
      </w:r>
      <w:r w:rsidR="00FF41A0">
        <w:rPr>
          <w:rFonts w:hint="eastAsia"/>
          <w:sz w:val="20"/>
          <w:szCs w:val="20"/>
          <w:lang w:eastAsia="zh-CN"/>
        </w:rPr>
        <w:t xml:space="preserve"> </w:t>
      </w:r>
      <w:r w:rsidR="00323457" w:rsidRPr="0059638B">
        <w:rPr>
          <w:rFonts w:hint="eastAsia"/>
          <w:sz w:val="20"/>
          <w:szCs w:val="20"/>
          <w:lang w:eastAsia="zh-CN"/>
        </w:rPr>
        <w:t>human</w:t>
      </w:r>
      <w:r w:rsidR="00FF41A0">
        <w:rPr>
          <w:rFonts w:hint="eastAsia"/>
          <w:sz w:val="20"/>
          <w:szCs w:val="20"/>
          <w:lang w:eastAsia="zh-CN"/>
        </w:rPr>
        <w:t xml:space="preserve"> </w:t>
      </w:r>
      <w:r w:rsidR="00323457" w:rsidRPr="0059638B">
        <w:rPr>
          <w:rFonts w:hint="eastAsia"/>
          <w:sz w:val="20"/>
          <w:szCs w:val="20"/>
          <w:lang w:eastAsia="zh-CN"/>
        </w:rPr>
        <w:t>rights</w:t>
      </w:r>
      <w:r w:rsidR="00FF41A0">
        <w:rPr>
          <w:rFonts w:hint="eastAsia"/>
          <w:sz w:val="20"/>
          <w:szCs w:val="20"/>
          <w:lang w:eastAsia="zh-CN"/>
        </w:rPr>
        <w:t xml:space="preserve"> </w:t>
      </w:r>
      <w:r w:rsidR="00323457" w:rsidRPr="0059638B">
        <w:rPr>
          <w:rFonts w:hint="eastAsia"/>
          <w:sz w:val="20"/>
          <w:szCs w:val="20"/>
          <w:lang w:eastAsia="zh-CN"/>
        </w:rPr>
        <w:t>cause.</w:t>
      </w:r>
    </w:p>
    <w:p w14:paraId="3E469416" w14:textId="1D3B03AE" w:rsidR="00323457" w:rsidRPr="0059638B" w:rsidRDefault="00D1034B" w:rsidP="00D1034B">
      <w:pPr>
        <w:pStyle w:val="H23G"/>
        <w:ind w:left="705" w:firstLine="0"/>
        <w:rPr>
          <w:sz w:val="20"/>
          <w:szCs w:val="20"/>
        </w:rPr>
      </w:pPr>
      <w:r>
        <w:rPr>
          <w:sz w:val="20"/>
          <w:szCs w:val="20"/>
        </w:rPr>
        <w:tab/>
      </w:r>
      <w:r>
        <w:rPr>
          <w:sz w:val="20"/>
          <w:szCs w:val="20"/>
        </w:rPr>
        <w:tab/>
      </w:r>
      <w:r w:rsidR="00323457" w:rsidRPr="00D1034B">
        <w:rPr>
          <w:sz w:val="20"/>
          <w:szCs w:val="20"/>
        </w:rPr>
        <w:t>Malta</w:t>
      </w:r>
    </w:p>
    <w:p w14:paraId="08E7B3CC" w14:textId="5402E07B" w:rsidR="00D1034B" w:rsidRDefault="00A50D75" w:rsidP="00D1034B">
      <w:pPr>
        <w:pStyle w:val="SingleTxtG"/>
        <w:rPr>
          <w:sz w:val="20"/>
          <w:szCs w:val="20"/>
        </w:rPr>
      </w:pPr>
      <w:r>
        <w:rPr>
          <w:sz w:val="20"/>
          <w:szCs w:val="20"/>
        </w:rPr>
        <w:t>857</w:t>
      </w:r>
      <w:r w:rsidR="00D226AB">
        <w:rPr>
          <w:sz w:val="20"/>
          <w:szCs w:val="20"/>
        </w:rPr>
        <w:t>.</w:t>
      </w:r>
      <w:r w:rsidR="00D226AB">
        <w:rPr>
          <w:sz w:val="20"/>
          <w:szCs w:val="20"/>
        </w:rPr>
        <w:tab/>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held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14</w:t>
      </w:r>
      <w:r w:rsidR="00FF41A0">
        <w:rPr>
          <w:sz w:val="20"/>
          <w:szCs w:val="20"/>
        </w:rPr>
        <w:t xml:space="preserve"> </w:t>
      </w:r>
      <w:r w:rsidR="00323457" w:rsidRPr="0059638B">
        <w:rPr>
          <w:sz w:val="20"/>
          <w:szCs w:val="20"/>
        </w:rPr>
        <w:t>November</w:t>
      </w:r>
      <w:r w:rsidR="00FF41A0">
        <w:rPr>
          <w:sz w:val="20"/>
          <w:szCs w:val="20"/>
        </w:rPr>
        <w:t xml:space="preserve"> </w:t>
      </w:r>
      <w:r w:rsidR="00323457" w:rsidRPr="0059638B">
        <w:rPr>
          <w:sz w:val="20"/>
          <w:szCs w:val="20"/>
        </w:rPr>
        <w:t>2018</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conformity</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relevant</w:t>
      </w:r>
      <w:r w:rsidR="00FF41A0">
        <w:rPr>
          <w:sz w:val="20"/>
          <w:szCs w:val="20"/>
        </w:rPr>
        <w:t xml:space="preserve"> </w:t>
      </w:r>
      <w:r w:rsidR="00323457" w:rsidRPr="0059638B">
        <w:rPr>
          <w:sz w:val="20"/>
          <w:szCs w:val="20"/>
        </w:rPr>
        <w:t>provisions</w:t>
      </w:r>
      <w:r w:rsidR="00FF41A0">
        <w:rPr>
          <w:sz w:val="20"/>
          <w:szCs w:val="20"/>
        </w:rPr>
        <w:t xml:space="preserve"> </w:t>
      </w:r>
      <w:r w:rsidR="00323457" w:rsidRPr="0059638B">
        <w:rPr>
          <w:sz w:val="20"/>
          <w:szCs w:val="20"/>
        </w:rPr>
        <w:t>contained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relevant</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Council</w:t>
      </w:r>
      <w:r w:rsidR="00FF41A0">
        <w:rPr>
          <w:sz w:val="20"/>
          <w:szCs w:val="20"/>
        </w:rPr>
        <w:t xml:space="preserve"> </w:t>
      </w:r>
      <w:r w:rsidR="00323457" w:rsidRPr="0059638B">
        <w:rPr>
          <w:sz w:val="20"/>
          <w:szCs w:val="20"/>
        </w:rPr>
        <w:t>resolutions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decisions,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based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following</w:t>
      </w:r>
      <w:r w:rsidR="00FF41A0">
        <w:rPr>
          <w:sz w:val="20"/>
          <w:szCs w:val="20"/>
        </w:rPr>
        <w:t xml:space="preserve"> </w:t>
      </w:r>
      <w:r w:rsidR="00323457" w:rsidRPr="0059638B">
        <w:rPr>
          <w:sz w:val="20"/>
          <w:szCs w:val="20"/>
        </w:rPr>
        <w:t>documents:</w:t>
      </w:r>
      <w:r w:rsidR="00FF41A0">
        <w:rPr>
          <w:sz w:val="20"/>
          <w:szCs w:val="20"/>
        </w:rPr>
        <w:t xml:space="preserve"> </w:t>
      </w:r>
    </w:p>
    <w:p w14:paraId="43B4B0DA" w14:textId="2545FC2B" w:rsidR="00323457" w:rsidRPr="0059638B" w:rsidRDefault="00323457" w:rsidP="00D1034B">
      <w:pPr>
        <w:pStyle w:val="SingleTxtG"/>
        <w:ind w:firstLine="555"/>
        <w:rPr>
          <w:sz w:val="20"/>
          <w:szCs w:val="20"/>
        </w:rPr>
      </w:pPr>
      <w:r w:rsidRPr="0059638B">
        <w:rPr>
          <w:sz w:val="20"/>
          <w:szCs w:val="20"/>
        </w:rPr>
        <w:t>(a)</w:t>
      </w:r>
      <w:r w:rsidRPr="0059638B">
        <w:rPr>
          <w:sz w:val="20"/>
          <w:szCs w:val="20"/>
        </w:rPr>
        <w:tab/>
        <w:t>The</w:t>
      </w:r>
      <w:r w:rsidR="00FF41A0">
        <w:rPr>
          <w:sz w:val="20"/>
          <w:szCs w:val="20"/>
        </w:rPr>
        <w:t xml:space="preserve"> </w:t>
      </w:r>
      <w:r w:rsidRPr="0059638B">
        <w:rPr>
          <w:sz w:val="20"/>
          <w:szCs w:val="20"/>
        </w:rPr>
        <w:t>national</w:t>
      </w:r>
      <w:r w:rsidR="00FF41A0">
        <w:rPr>
          <w:sz w:val="20"/>
          <w:szCs w:val="20"/>
        </w:rPr>
        <w:t xml:space="preserve"> </w:t>
      </w:r>
      <w:r w:rsidRPr="0059638B">
        <w:rPr>
          <w:sz w:val="20"/>
          <w:szCs w:val="20"/>
        </w:rPr>
        <w:t>report</w:t>
      </w:r>
      <w:r w:rsidR="00FF41A0">
        <w:rPr>
          <w:sz w:val="20"/>
          <w:szCs w:val="20"/>
        </w:rPr>
        <w:t xml:space="preserve"> </w:t>
      </w:r>
      <w:r w:rsidRPr="0059638B">
        <w:rPr>
          <w:sz w:val="20"/>
          <w:szCs w:val="20"/>
        </w:rPr>
        <w:t>submitted</w:t>
      </w:r>
      <w:r w:rsidR="00FF41A0">
        <w:rPr>
          <w:sz w:val="20"/>
          <w:szCs w:val="20"/>
        </w:rPr>
        <w:t xml:space="preserve"> </w:t>
      </w:r>
      <w:r w:rsidRPr="0059638B">
        <w:rPr>
          <w:sz w:val="20"/>
          <w:szCs w:val="20"/>
        </w:rPr>
        <w:t>by</w:t>
      </w:r>
      <w:r w:rsidR="00FF41A0">
        <w:rPr>
          <w:sz w:val="20"/>
          <w:szCs w:val="20"/>
        </w:rPr>
        <w:t xml:space="preserve"> </w:t>
      </w:r>
      <w:r w:rsidRPr="0059638B">
        <w:rPr>
          <w:sz w:val="20"/>
          <w:szCs w:val="20"/>
        </w:rPr>
        <w:t>Malta</w:t>
      </w:r>
      <w:r w:rsidR="00FF41A0">
        <w:rPr>
          <w:sz w:val="20"/>
          <w:szCs w:val="20"/>
        </w:rPr>
        <w:t xml:space="preserve"> </w:t>
      </w:r>
      <w:r w:rsidRPr="0059638B">
        <w:rPr>
          <w:sz w:val="20"/>
          <w:szCs w:val="20"/>
        </w:rPr>
        <w:t>in</w:t>
      </w:r>
      <w:r w:rsidR="00FF41A0">
        <w:rPr>
          <w:sz w:val="20"/>
          <w:szCs w:val="20"/>
        </w:rPr>
        <w:t xml:space="preserve"> </w:t>
      </w:r>
      <w:r w:rsidRPr="0059638B">
        <w:rPr>
          <w:sz w:val="20"/>
          <w:szCs w:val="20"/>
        </w:rPr>
        <w:t>accordance</w:t>
      </w:r>
      <w:r w:rsidR="00FF41A0">
        <w:rPr>
          <w:sz w:val="20"/>
          <w:szCs w:val="20"/>
        </w:rPr>
        <w:t xml:space="preserve"> </w:t>
      </w:r>
      <w:r w:rsidRPr="0059638B">
        <w:rPr>
          <w:sz w:val="20"/>
          <w:szCs w:val="20"/>
        </w:rPr>
        <w:t>with</w:t>
      </w:r>
      <w:r w:rsidR="00FF41A0">
        <w:rPr>
          <w:sz w:val="20"/>
          <w:szCs w:val="20"/>
        </w:rPr>
        <w:t xml:space="preserve"> </w:t>
      </w:r>
      <w:r w:rsidRPr="0059638B">
        <w:rPr>
          <w:sz w:val="20"/>
          <w:szCs w:val="20"/>
        </w:rPr>
        <w:t>paragraph</w:t>
      </w:r>
      <w:r w:rsidR="00FF41A0">
        <w:rPr>
          <w:sz w:val="20"/>
          <w:szCs w:val="20"/>
        </w:rPr>
        <w:t xml:space="preserve"> </w:t>
      </w:r>
      <w:r w:rsidRPr="0059638B">
        <w:rPr>
          <w:sz w:val="20"/>
          <w:szCs w:val="20"/>
        </w:rPr>
        <w:t>15</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annex</w:t>
      </w:r>
      <w:r w:rsidR="00FF41A0">
        <w:rPr>
          <w:sz w:val="20"/>
          <w:szCs w:val="20"/>
        </w:rPr>
        <w:t xml:space="preserve"> </w:t>
      </w:r>
      <w:r w:rsidRPr="0059638B">
        <w:rPr>
          <w:sz w:val="20"/>
          <w:szCs w:val="20"/>
        </w:rPr>
        <w:t>to</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resolution</w:t>
      </w:r>
      <w:r w:rsidR="00FF41A0">
        <w:rPr>
          <w:sz w:val="20"/>
          <w:szCs w:val="20"/>
        </w:rPr>
        <w:t xml:space="preserve"> </w:t>
      </w:r>
      <w:r w:rsidRPr="0059638B">
        <w:rPr>
          <w:sz w:val="20"/>
          <w:szCs w:val="20"/>
        </w:rPr>
        <w:t>5/1</w:t>
      </w:r>
      <w:r w:rsidR="00FF41A0">
        <w:rPr>
          <w:sz w:val="20"/>
          <w:szCs w:val="20"/>
        </w:rPr>
        <w:t xml:space="preserve"> </w:t>
      </w:r>
      <w:r w:rsidRPr="0059638B">
        <w:rPr>
          <w:sz w:val="20"/>
          <w:szCs w:val="20"/>
        </w:rPr>
        <w:t>and</w:t>
      </w:r>
      <w:r w:rsidR="00FF41A0">
        <w:rPr>
          <w:sz w:val="20"/>
          <w:szCs w:val="20"/>
        </w:rPr>
        <w:t xml:space="preserve"> </w:t>
      </w:r>
      <w:r w:rsidRPr="0059638B">
        <w:rPr>
          <w:sz w:val="20"/>
          <w:szCs w:val="20"/>
        </w:rPr>
        <w:t>paragraph</w:t>
      </w:r>
      <w:r w:rsidR="00FF41A0">
        <w:rPr>
          <w:sz w:val="20"/>
          <w:szCs w:val="20"/>
        </w:rPr>
        <w:t xml:space="preserve"> </w:t>
      </w:r>
      <w:r w:rsidRPr="0059638B">
        <w:rPr>
          <w:sz w:val="20"/>
          <w:szCs w:val="20"/>
        </w:rPr>
        <w:t>5</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annex</w:t>
      </w:r>
      <w:r w:rsidR="00FF41A0">
        <w:rPr>
          <w:sz w:val="20"/>
          <w:szCs w:val="20"/>
        </w:rPr>
        <w:t xml:space="preserve"> </w:t>
      </w:r>
      <w:r w:rsidRPr="0059638B">
        <w:rPr>
          <w:sz w:val="20"/>
          <w:szCs w:val="20"/>
        </w:rPr>
        <w:t>to</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resolution</w:t>
      </w:r>
      <w:r w:rsidR="00FF41A0">
        <w:rPr>
          <w:sz w:val="20"/>
          <w:szCs w:val="20"/>
        </w:rPr>
        <w:t xml:space="preserve"> </w:t>
      </w:r>
      <w:r w:rsidRPr="0059638B">
        <w:rPr>
          <w:sz w:val="20"/>
          <w:szCs w:val="20"/>
        </w:rPr>
        <w:t>16/21</w:t>
      </w:r>
      <w:r w:rsidR="00FF41A0">
        <w:rPr>
          <w:sz w:val="20"/>
          <w:szCs w:val="20"/>
        </w:rPr>
        <w:t xml:space="preserve"> </w:t>
      </w:r>
      <w:r w:rsidRPr="0059638B">
        <w:rPr>
          <w:sz w:val="20"/>
          <w:szCs w:val="20"/>
        </w:rPr>
        <w:t>(A/HRC/WG.6/31/MLT/1);</w:t>
      </w:r>
      <w:r w:rsidR="00FF41A0">
        <w:rPr>
          <w:sz w:val="20"/>
          <w:szCs w:val="20"/>
        </w:rPr>
        <w:t xml:space="preserve"> </w:t>
      </w:r>
    </w:p>
    <w:p w14:paraId="05F16993" w14:textId="0E970B50" w:rsidR="00323457" w:rsidRPr="0059638B" w:rsidRDefault="00323457" w:rsidP="00D1034B">
      <w:pPr>
        <w:pStyle w:val="SingleTxtG"/>
        <w:ind w:firstLine="555"/>
        <w:rPr>
          <w:sz w:val="20"/>
          <w:szCs w:val="20"/>
        </w:rPr>
      </w:pPr>
      <w:r w:rsidRPr="0059638B">
        <w:rPr>
          <w:sz w:val="20"/>
          <w:szCs w:val="20"/>
        </w:rPr>
        <w:t>(b)</w:t>
      </w:r>
      <w:r w:rsidRPr="0059638B">
        <w:rPr>
          <w:sz w:val="20"/>
          <w:szCs w:val="20"/>
        </w:rPr>
        <w:tab/>
        <w:t>The</w:t>
      </w:r>
      <w:r w:rsidR="00FF41A0">
        <w:rPr>
          <w:sz w:val="20"/>
          <w:szCs w:val="20"/>
        </w:rPr>
        <w:t xml:space="preserve"> </w:t>
      </w:r>
      <w:r w:rsidRPr="0059638B">
        <w:rPr>
          <w:sz w:val="20"/>
          <w:szCs w:val="20"/>
        </w:rPr>
        <w:t>compilation</w:t>
      </w:r>
      <w:r w:rsidR="00FF41A0">
        <w:rPr>
          <w:sz w:val="20"/>
          <w:szCs w:val="20"/>
        </w:rPr>
        <w:t xml:space="preserve"> </w:t>
      </w:r>
      <w:r w:rsidRPr="0059638B">
        <w:rPr>
          <w:sz w:val="20"/>
          <w:szCs w:val="20"/>
        </w:rPr>
        <w:t>prepared</w:t>
      </w:r>
      <w:r w:rsidR="00FF41A0">
        <w:rPr>
          <w:sz w:val="20"/>
          <w:szCs w:val="20"/>
        </w:rPr>
        <w:t xml:space="preserve"> </w:t>
      </w:r>
      <w:r w:rsidRPr="0059638B">
        <w:rPr>
          <w:sz w:val="20"/>
          <w:szCs w:val="20"/>
        </w:rPr>
        <w:t>by</w:t>
      </w:r>
      <w:r w:rsidR="00FF41A0">
        <w:rPr>
          <w:sz w:val="20"/>
          <w:szCs w:val="20"/>
        </w:rPr>
        <w:t xml:space="preserve"> </w:t>
      </w:r>
      <w:r w:rsidR="004B7C70">
        <w:rPr>
          <w:sz w:val="20"/>
          <w:szCs w:val="20"/>
        </w:rPr>
        <w:t>the</w:t>
      </w:r>
      <w:r w:rsidR="00FF41A0">
        <w:rPr>
          <w:sz w:val="20"/>
          <w:szCs w:val="20"/>
        </w:rPr>
        <w:t xml:space="preserve"> </w:t>
      </w:r>
      <w:r w:rsidR="004B7C70" w:rsidRPr="00D1034B">
        <w:rPr>
          <w:sz w:val="20"/>
          <w:szCs w:val="20"/>
        </w:rPr>
        <w:t>Office</w:t>
      </w:r>
      <w:r w:rsidR="00FF41A0" w:rsidRPr="00D1034B">
        <w:rPr>
          <w:sz w:val="20"/>
          <w:szCs w:val="20"/>
        </w:rPr>
        <w:t xml:space="preserve"> </w:t>
      </w:r>
      <w:r w:rsidR="004B7C70" w:rsidRPr="00D1034B">
        <w:rPr>
          <w:sz w:val="20"/>
          <w:szCs w:val="20"/>
        </w:rPr>
        <w:t>of</w:t>
      </w:r>
      <w:r w:rsidR="00FF41A0" w:rsidRPr="00D1034B">
        <w:rPr>
          <w:sz w:val="20"/>
          <w:szCs w:val="20"/>
        </w:rPr>
        <w:t xml:space="preserve"> </w:t>
      </w:r>
      <w:r w:rsidR="004B7C70" w:rsidRPr="00D1034B">
        <w:rPr>
          <w:sz w:val="20"/>
          <w:szCs w:val="20"/>
        </w:rPr>
        <w:t>the</w:t>
      </w:r>
      <w:r w:rsidR="00FF41A0" w:rsidRPr="00D1034B">
        <w:rPr>
          <w:sz w:val="20"/>
          <w:szCs w:val="20"/>
        </w:rPr>
        <w:t xml:space="preserve"> </w:t>
      </w:r>
      <w:r w:rsidR="004B7C70" w:rsidRPr="00D1034B">
        <w:rPr>
          <w:sz w:val="20"/>
          <w:szCs w:val="20"/>
        </w:rPr>
        <w:t>United</w:t>
      </w:r>
      <w:r w:rsidR="00FF41A0" w:rsidRPr="00D1034B">
        <w:rPr>
          <w:sz w:val="20"/>
          <w:szCs w:val="20"/>
        </w:rPr>
        <w:t xml:space="preserve"> </w:t>
      </w:r>
      <w:r w:rsidR="004B7C70" w:rsidRPr="00D1034B">
        <w:rPr>
          <w:sz w:val="20"/>
          <w:szCs w:val="20"/>
        </w:rPr>
        <w:t>Nations</w:t>
      </w:r>
      <w:r w:rsidR="00FF41A0" w:rsidRPr="00D1034B">
        <w:rPr>
          <w:sz w:val="20"/>
          <w:szCs w:val="20"/>
        </w:rPr>
        <w:t xml:space="preserve"> </w:t>
      </w:r>
      <w:r w:rsidR="004B7C70" w:rsidRPr="00D1034B">
        <w:rPr>
          <w:sz w:val="20"/>
          <w:szCs w:val="20"/>
        </w:rPr>
        <w:t>High</w:t>
      </w:r>
      <w:r w:rsidR="00FF41A0" w:rsidRPr="00D1034B">
        <w:rPr>
          <w:sz w:val="20"/>
          <w:szCs w:val="20"/>
        </w:rPr>
        <w:t xml:space="preserve"> </w:t>
      </w:r>
      <w:r w:rsidR="004B7C70" w:rsidRPr="00D1034B">
        <w:rPr>
          <w:sz w:val="20"/>
          <w:szCs w:val="20"/>
        </w:rPr>
        <w:t>Commissioner</w:t>
      </w:r>
      <w:r w:rsidR="00FF41A0" w:rsidRPr="00D1034B">
        <w:rPr>
          <w:sz w:val="20"/>
          <w:szCs w:val="20"/>
        </w:rPr>
        <w:t xml:space="preserve"> </w:t>
      </w:r>
      <w:r w:rsidR="004B7C70" w:rsidRPr="00D1034B">
        <w:rPr>
          <w:sz w:val="20"/>
          <w:szCs w:val="20"/>
        </w:rPr>
        <w:t>for</w:t>
      </w:r>
      <w:r w:rsidR="00FF41A0" w:rsidRPr="00D1034B">
        <w:rPr>
          <w:sz w:val="20"/>
          <w:szCs w:val="20"/>
        </w:rPr>
        <w:t xml:space="preserve"> </w:t>
      </w:r>
      <w:r w:rsidR="004B7C70" w:rsidRPr="00D1034B">
        <w:rPr>
          <w:sz w:val="20"/>
          <w:szCs w:val="20"/>
        </w:rPr>
        <w:t>Human</w:t>
      </w:r>
      <w:r w:rsidR="00FF41A0" w:rsidRPr="00D1034B">
        <w:rPr>
          <w:sz w:val="20"/>
          <w:szCs w:val="20"/>
        </w:rPr>
        <w:t xml:space="preserve"> </w:t>
      </w:r>
      <w:r w:rsidR="004B7C70" w:rsidRPr="00D1034B">
        <w:rPr>
          <w:sz w:val="20"/>
          <w:szCs w:val="20"/>
        </w:rPr>
        <w:t>Rights</w:t>
      </w:r>
      <w:r w:rsidR="00FF41A0">
        <w:rPr>
          <w:sz w:val="20"/>
          <w:szCs w:val="20"/>
        </w:rPr>
        <w:t xml:space="preserve"> </w:t>
      </w:r>
      <w:r w:rsidRPr="0059638B">
        <w:rPr>
          <w:sz w:val="20"/>
          <w:szCs w:val="20"/>
        </w:rPr>
        <w:t>in</w:t>
      </w:r>
      <w:r w:rsidR="00FF41A0">
        <w:rPr>
          <w:sz w:val="20"/>
          <w:szCs w:val="20"/>
        </w:rPr>
        <w:t xml:space="preserve"> </w:t>
      </w:r>
      <w:r w:rsidRPr="0059638B">
        <w:rPr>
          <w:sz w:val="20"/>
          <w:szCs w:val="20"/>
        </w:rPr>
        <w:t>accordance</w:t>
      </w:r>
      <w:r w:rsidR="00FF41A0">
        <w:rPr>
          <w:sz w:val="20"/>
          <w:szCs w:val="20"/>
        </w:rPr>
        <w:t xml:space="preserve"> </w:t>
      </w:r>
      <w:r w:rsidRPr="0059638B">
        <w:rPr>
          <w:sz w:val="20"/>
          <w:szCs w:val="20"/>
        </w:rPr>
        <w:t>with</w:t>
      </w:r>
      <w:r w:rsidR="00FF41A0">
        <w:rPr>
          <w:sz w:val="20"/>
          <w:szCs w:val="20"/>
        </w:rPr>
        <w:t xml:space="preserve"> </w:t>
      </w:r>
      <w:r w:rsidRPr="0059638B">
        <w:rPr>
          <w:sz w:val="20"/>
          <w:szCs w:val="20"/>
        </w:rPr>
        <w:t>paragraph</w:t>
      </w:r>
      <w:r w:rsidR="00FF41A0">
        <w:rPr>
          <w:sz w:val="20"/>
          <w:szCs w:val="20"/>
        </w:rPr>
        <w:t xml:space="preserve"> </w:t>
      </w:r>
      <w:r w:rsidRPr="0059638B">
        <w:rPr>
          <w:sz w:val="20"/>
          <w:szCs w:val="20"/>
        </w:rPr>
        <w:t>15</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annex</w:t>
      </w:r>
      <w:r w:rsidR="00FF41A0">
        <w:rPr>
          <w:sz w:val="20"/>
          <w:szCs w:val="20"/>
        </w:rPr>
        <w:t xml:space="preserve"> </w:t>
      </w:r>
      <w:r w:rsidRPr="0059638B">
        <w:rPr>
          <w:sz w:val="20"/>
          <w:szCs w:val="20"/>
        </w:rPr>
        <w:t>to</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resolution</w:t>
      </w:r>
      <w:r w:rsidR="00FF41A0">
        <w:rPr>
          <w:sz w:val="20"/>
          <w:szCs w:val="20"/>
        </w:rPr>
        <w:t xml:space="preserve"> </w:t>
      </w:r>
      <w:r w:rsidRPr="0059638B">
        <w:rPr>
          <w:sz w:val="20"/>
          <w:szCs w:val="20"/>
        </w:rPr>
        <w:t>5/1</w:t>
      </w:r>
      <w:r w:rsidR="00FF41A0">
        <w:rPr>
          <w:sz w:val="20"/>
          <w:szCs w:val="20"/>
        </w:rPr>
        <w:t xml:space="preserve"> </w:t>
      </w:r>
      <w:r w:rsidRPr="0059638B">
        <w:rPr>
          <w:sz w:val="20"/>
          <w:szCs w:val="20"/>
        </w:rPr>
        <w:t>and</w:t>
      </w:r>
      <w:r w:rsidR="00FF41A0">
        <w:rPr>
          <w:sz w:val="20"/>
          <w:szCs w:val="20"/>
        </w:rPr>
        <w:t xml:space="preserve"> </w:t>
      </w:r>
      <w:r w:rsidRPr="0059638B">
        <w:rPr>
          <w:sz w:val="20"/>
          <w:szCs w:val="20"/>
        </w:rPr>
        <w:t>paragraph</w:t>
      </w:r>
      <w:r w:rsidR="00FF41A0">
        <w:rPr>
          <w:sz w:val="20"/>
          <w:szCs w:val="20"/>
        </w:rPr>
        <w:t xml:space="preserve"> </w:t>
      </w:r>
      <w:r w:rsidRPr="0059638B">
        <w:rPr>
          <w:sz w:val="20"/>
          <w:szCs w:val="20"/>
        </w:rPr>
        <w:t>5</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annex</w:t>
      </w:r>
      <w:r w:rsidR="00FF41A0">
        <w:rPr>
          <w:sz w:val="20"/>
          <w:szCs w:val="20"/>
        </w:rPr>
        <w:t xml:space="preserve"> </w:t>
      </w:r>
      <w:r w:rsidRPr="0059638B">
        <w:rPr>
          <w:sz w:val="20"/>
          <w:szCs w:val="20"/>
        </w:rPr>
        <w:t>to</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resolution</w:t>
      </w:r>
      <w:r w:rsidR="00FF41A0">
        <w:rPr>
          <w:sz w:val="20"/>
          <w:szCs w:val="20"/>
        </w:rPr>
        <w:t xml:space="preserve"> </w:t>
      </w:r>
      <w:r w:rsidRPr="0059638B">
        <w:rPr>
          <w:sz w:val="20"/>
          <w:szCs w:val="20"/>
        </w:rPr>
        <w:t>16/21</w:t>
      </w:r>
      <w:r w:rsidR="00FF41A0">
        <w:rPr>
          <w:sz w:val="20"/>
          <w:szCs w:val="20"/>
        </w:rPr>
        <w:t xml:space="preserve"> </w:t>
      </w:r>
      <w:r w:rsidRPr="0059638B">
        <w:rPr>
          <w:sz w:val="20"/>
          <w:szCs w:val="20"/>
        </w:rPr>
        <w:t>(A/HRC/WG.6/31/MLT/2);</w:t>
      </w:r>
      <w:r w:rsidR="00FF41A0">
        <w:rPr>
          <w:sz w:val="20"/>
          <w:szCs w:val="20"/>
        </w:rPr>
        <w:t xml:space="preserve"> </w:t>
      </w:r>
    </w:p>
    <w:p w14:paraId="196BDFBB" w14:textId="2AB5164C" w:rsidR="00323457" w:rsidRPr="0059638B" w:rsidRDefault="00323457" w:rsidP="00D1034B">
      <w:pPr>
        <w:pStyle w:val="SingleTxtG"/>
        <w:ind w:firstLine="555"/>
        <w:rPr>
          <w:sz w:val="20"/>
          <w:szCs w:val="20"/>
        </w:rPr>
      </w:pPr>
      <w:r w:rsidRPr="0059638B">
        <w:rPr>
          <w:sz w:val="20"/>
          <w:szCs w:val="20"/>
        </w:rPr>
        <w:t>(c)</w:t>
      </w:r>
      <w:r w:rsidRPr="0059638B">
        <w:rPr>
          <w:sz w:val="20"/>
          <w:szCs w:val="20"/>
        </w:rPr>
        <w:tab/>
        <w:t>The</w:t>
      </w:r>
      <w:r w:rsidR="00FF41A0">
        <w:rPr>
          <w:sz w:val="20"/>
          <w:szCs w:val="20"/>
        </w:rPr>
        <w:t xml:space="preserve"> </w:t>
      </w:r>
      <w:r w:rsidRPr="0059638B">
        <w:rPr>
          <w:sz w:val="20"/>
          <w:szCs w:val="20"/>
        </w:rPr>
        <w:t>summary</w:t>
      </w:r>
      <w:r w:rsidR="00FF41A0">
        <w:rPr>
          <w:sz w:val="20"/>
          <w:szCs w:val="20"/>
        </w:rPr>
        <w:t xml:space="preserve"> </w:t>
      </w:r>
      <w:r w:rsidRPr="0059638B">
        <w:rPr>
          <w:sz w:val="20"/>
          <w:szCs w:val="20"/>
        </w:rPr>
        <w:t>prepared</w:t>
      </w:r>
      <w:r w:rsidR="00FF41A0">
        <w:rPr>
          <w:sz w:val="20"/>
          <w:szCs w:val="20"/>
        </w:rPr>
        <w:t xml:space="preserve"> </w:t>
      </w:r>
      <w:r w:rsidRPr="0059638B">
        <w:rPr>
          <w:sz w:val="20"/>
          <w:szCs w:val="20"/>
        </w:rPr>
        <w:t>by</w:t>
      </w:r>
      <w:r w:rsidR="00FF41A0">
        <w:rPr>
          <w:sz w:val="20"/>
          <w:szCs w:val="20"/>
        </w:rPr>
        <w:t xml:space="preserve"> </w:t>
      </w:r>
      <w:r w:rsidR="004B7C70">
        <w:rPr>
          <w:sz w:val="20"/>
          <w:szCs w:val="20"/>
        </w:rPr>
        <w:t>the</w:t>
      </w:r>
      <w:r w:rsidR="00FF41A0">
        <w:rPr>
          <w:sz w:val="20"/>
          <w:szCs w:val="20"/>
        </w:rPr>
        <w:t xml:space="preserve"> </w:t>
      </w:r>
      <w:r w:rsidR="004B7C70" w:rsidRPr="00D1034B">
        <w:rPr>
          <w:sz w:val="20"/>
          <w:szCs w:val="20"/>
        </w:rPr>
        <w:t>Office</w:t>
      </w:r>
      <w:r w:rsidR="00FF41A0" w:rsidRPr="00D1034B">
        <w:rPr>
          <w:sz w:val="20"/>
          <w:szCs w:val="20"/>
        </w:rPr>
        <w:t xml:space="preserve"> </w:t>
      </w:r>
      <w:r w:rsidR="004B7C70" w:rsidRPr="00D1034B">
        <w:rPr>
          <w:sz w:val="20"/>
          <w:szCs w:val="20"/>
        </w:rPr>
        <w:t>of</w:t>
      </w:r>
      <w:r w:rsidR="00FF41A0" w:rsidRPr="00D1034B">
        <w:rPr>
          <w:sz w:val="20"/>
          <w:szCs w:val="20"/>
        </w:rPr>
        <w:t xml:space="preserve"> </w:t>
      </w:r>
      <w:r w:rsidR="004B7C70" w:rsidRPr="00D1034B">
        <w:rPr>
          <w:sz w:val="20"/>
          <w:szCs w:val="20"/>
        </w:rPr>
        <w:t>the</w:t>
      </w:r>
      <w:r w:rsidR="00FF41A0" w:rsidRPr="00D1034B">
        <w:rPr>
          <w:sz w:val="20"/>
          <w:szCs w:val="20"/>
        </w:rPr>
        <w:t xml:space="preserve"> </w:t>
      </w:r>
      <w:r w:rsidR="004B7C70" w:rsidRPr="00D1034B">
        <w:rPr>
          <w:sz w:val="20"/>
          <w:szCs w:val="20"/>
        </w:rPr>
        <w:t>United</w:t>
      </w:r>
      <w:r w:rsidR="00FF41A0" w:rsidRPr="00D1034B">
        <w:rPr>
          <w:sz w:val="20"/>
          <w:szCs w:val="20"/>
        </w:rPr>
        <w:t xml:space="preserve"> </w:t>
      </w:r>
      <w:r w:rsidR="004B7C70" w:rsidRPr="00D1034B">
        <w:rPr>
          <w:sz w:val="20"/>
          <w:szCs w:val="20"/>
        </w:rPr>
        <w:t>Nations</w:t>
      </w:r>
      <w:r w:rsidR="00FF41A0" w:rsidRPr="00D1034B">
        <w:rPr>
          <w:sz w:val="20"/>
          <w:szCs w:val="20"/>
        </w:rPr>
        <w:t xml:space="preserve"> </w:t>
      </w:r>
      <w:r w:rsidR="004B7C70" w:rsidRPr="00D1034B">
        <w:rPr>
          <w:sz w:val="20"/>
          <w:szCs w:val="20"/>
        </w:rPr>
        <w:t>High</w:t>
      </w:r>
      <w:r w:rsidR="00FF41A0" w:rsidRPr="00D1034B">
        <w:rPr>
          <w:sz w:val="20"/>
          <w:szCs w:val="20"/>
        </w:rPr>
        <w:t xml:space="preserve"> </w:t>
      </w:r>
      <w:r w:rsidR="004B7C70" w:rsidRPr="00D1034B">
        <w:rPr>
          <w:sz w:val="20"/>
          <w:szCs w:val="20"/>
        </w:rPr>
        <w:t>Commissioner</w:t>
      </w:r>
      <w:r w:rsidR="00FF41A0" w:rsidRPr="00D1034B">
        <w:rPr>
          <w:sz w:val="20"/>
          <w:szCs w:val="20"/>
        </w:rPr>
        <w:t xml:space="preserve"> </w:t>
      </w:r>
      <w:r w:rsidR="004B7C70" w:rsidRPr="00D1034B">
        <w:rPr>
          <w:sz w:val="20"/>
          <w:szCs w:val="20"/>
        </w:rPr>
        <w:t>for</w:t>
      </w:r>
      <w:r w:rsidR="00FF41A0" w:rsidRPr="00D1034B">
        <w:rPr>
          <w:sz w:val="20"/>
          <w:szCs w:val="20"/>
        </w:rPr>
        <w:t xml:space="preserve"> </w:t>
      </w:r>
      <w:r w:rsidR="004B7C70" w:rsidRPr="00D1034B">
        <w:rPr>
          <w:sz w:val="20"/>
          <w:szCs w:val="20"/>
        </w:rPr>
        <w:t>Human</w:t>
      </w:r>
      <w:r w:rsidR="00FF41A0" w:rsidRPr="00D1034B">
        <w:rPr>
          <w:sz w:val="20"/>
          <w:szCs w:val="20"/>
        </w:rPr>
        <w:t xml:space="preserve"> </w:t>
      </w:r>
      <w:r w:rsidR="004B7C70" w:rsidRPr="00D1034B">
        <w:rPr>
          <w:sz w:val="20"/>
          <w:szCs w:val="20"/>
        </w:rPr>
        <w:t>Rights</w:t>
      </w:r>
      <w:r w:rsidR="00FF41A0">
        <w:rPr>
          <w:sz w:val="20"/>
          <w:szCs w:val="20"/>
        </w:rPr>
        <w:t xml:space="preserve"> </w:t>
      </w:r>
      <w:r w:rsidRPr="0059638B">
        <w:rPr>
          <w:sz w:val="20"/>
          <w:szCs w:val="20"/>
        </w:rPr>
        <w:t>in</w:t>
      </w:r>
      <w:r w:rsidR="00FF41A0">
        <w:rPr>
          <w:sz w:val="20"/>
          <w:szCs w:val="20"/>
        </w:rPr>
        <w:t xml:space="preserve"> </w:t>
      </w:r>
      <w:r w:rsidRPr="0059638B">
        <w:rPr>
          <w:sz w:val="20"/>
          <w:szCs w:val="20"/>
        </w:rPr>
        <w:t>accordance</w:t>
      </w:r>
      <w:r w:rsidR="00FF41A0">
        <w:rPr>
          <w:sz w:val="20"/>
          <w:szCs w:val="20"/>
        </w:rPr>
        <w:t xml:space="preserve"> </w:t>
      </w:r>
      <w:r w:rsidRPr="0059638B">
        <w:rPr>
          <w:sz w:val="20"/>
          <w:szCs w:val="20"/>
        </w:rPr>
        <w:t>with</w:t>
      </w:r>
      <w:r w:rsidR="00FF41A0">
        <w:rPr>
          <w:sz w:val="20"/>
          <w:szCs w:val="20"/>
        </w:rPr>
        <w:t xml:space="preserve"> </w:t>
      </w:r>
      <w:r w:rsidRPr="0059638B">
        <w:rPr>
          <w:sz w:val="20"/>
          <w:szCs w:val="20"/>
        </w:rPr>
        <w:t>paragraph</w:t>
      </w:r>
      <w:r w:rsidR="00FF41A0">
        <w:rPr>
          <w:sz w:val="20"/>
          <w:szCs w:val="20"/>
        </w:rPr>
        <w:t xml:space="preserve"> </w:t>
      </w:r>
      <w:r w:rsidRPr="0059638B">
        <w:rPr>
          <w:sz w:val="20"/>
          <w:szCs w:val="20"/>
        </w:rPr>
        <w:t>15</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annex</w:t>
      </w:r>
      <w:r w:rsidR="00FF41A0">
        <w:rPr>
          <w:sz w:val="20"/>
          <w:szCs w:val="20"/>
        </w:rPr>
        <w:t xml:space="preserve"> </w:t>
      </w:r>
      <w:r w:rsidRPr="0059638B">
        <w:rPr>
          <w:sz w:val="20"/>
          <w:szCs w:val="20"/>
        </w:rPr>
        <w:t>to</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resolution</w:t>
      </w:r>
      <w:r w:rsidR="00FF41A0">
        <w:rPr>
          <w:sz w:val="20"/>
          <w:szCs w:val="20"/>
        </w:rPr>
        <w:t xml:space="preserve"> </w:t>
      </w:r>
      <w:r w:rsidRPr="0059638B">
        <w:rPr>
          <w:sz w:val="20"/>
          <w:szCs w:val="20"/>
        </w:rPr>
        <w:t>5/1</w:t>
      </w:r>
      <w:r w:rsidR="00FF41A0">
        <w:rPr>
          <w:sz w:val="20"/>
          <w:szCs w:val="20"/>
        </w:rPr>
        <w:t xml:space="preserve"> </w:t>
      </w:r>
      <w:r w:rsidRPr="0059638B">
        <w:rPr>
          <w:sz w:val="20"/>
          <w:szCs w:val="20"/>
        </w:rPr>
        <w:t>and</w:t>
      </w:r>
      <w:r w:rsidR="00FF41A0">
        <w:rPr>
          <w:sz w:val="20"/>
          <w:szCs w:val="20"/>
        </w:rPr>
        <w:t xml:space="preserve"> </w:t>
      </w:r>
      <w:r w:rsidRPr="0059638B">
        <w:rPr>
          <w:sz w:val="20"/>
          <w:szCs w:val="20"/>
        </w:rPr>
        <w:t>paragraph</w:t>
      </w:r>
      <w:r w:rsidR="00FF41A0">
        <w:rPr>
          <w:sz w:val="20"/>
          <w:szCs w:val="20"/>
        </w:rPr>
        <w:t xml:space="preserve"> </w:t>
      </w:r>
      <w:r w:rsidRPr="0059638B">
        <w:rPr>
          <w:sz w:val="20"/>
          <w:szCs w:val="20"/>
        </w:rPr>
        <w:t>5</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annex</w:t>
      </w:r>
      <w:r w:rsidR="00FF41A0">
        <w:rPr>
          <w:sz w:val="20"/>
          <w:szCs w:val="20"/>
        </w:rPr>
        <w:t xml:space="preserve"> </w:t>
      </w:r>
      <w:r w:rsidRPr="0059638B">
        <w:rPr>
          <w:sz w:val="20"/>
          <w:szCs w:val="20"/>
        </w:rPr>
        <w:t>to</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resolution</w:t>
      </w:r>
      <w:r w:rsidR="00FF41A0">
        <w:rPr>
          <w:sz w:val="20"/>
          <w:szCs w:val="20"/>
        </w:rPr>
        <w:t xml:space="preserve"> </w:t>
      </w:r>
      <w:r w:rsidRPr="0059638B">
        <w:rPr>
          <w:sz w:val="20"/>
          <w:szCs w:val="20"/>
        </w:rPr>
        <w:t>16/21</w:t>
      </w:r>
      <w:r w:rsidR="00FF41A0">
        <w:rPr>
          <w:sz w:val="20"/>
          <w:szCs w:val="20"/>
        </w:rPr>
        <w:t xml:space="preserve"> </w:t>
      </w:r>
      <w:r w:rsidRPr="0059638B">
        <w:rPr>
          <w:sz w:val="20"/>
          <w:szCs w:val="20"/>
        </w:rPr>
        <w:t>(A/HRC/WG.6/31/MLT/3).</w:t>
      </w:r>
    </w:p>
    <w:p w14:paraId="5A72CCAB" w14:textId="3291D69D" w:rsidR="00323457" w:rsidRPr="0059638B" w:rsidRDefault="00A50D75" w:rsidP="00323457">
      <w:pPr>
        <w:pStyle w:val="SingleTxtG"/>
        <w:rPr>
          <w:sz w:val="20"/>
          <w:szCs w:val="20"/>
        </w:rPr>
      </w:pPr>
      <w:r>
        <w:rPr>
          <w:sz w:val="20"/>
          <w:szCs w:val="20"/>
        </w:rPr>
        <w:t>858</w:t>
      </w:r>
      <w:r w:rsidR="00D226AB">
        <w:rPr>
          <w:sz w:val="20"/>
          <w:szCs w:val="20"/>
        </w:rPr>
        <w:t>.</w:t>
      </w:r>
      <w:r w:rsidR="00D226AB">
        <w:rPr>
          <w:sz w:val="20"/>
          <w:szCs w:val="20"/>
        </w:rPr>
        <w:tab/>
      </w:r>
      <w:r w:rsidR="00323457" w:rsidRPr="0059638B">
        <w:rPr>
          <w:sz w:val="20"/>
          <w:szCs w:val="20"/>
        </w:rPr>
        <w:t>At</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38th</w:t>
      </w:r>
      <w:r w:rsidR="00FF41A0">
        <w:rPr>
          <w:sz w:val="20"/>
          <w:szCs w:val="20"/>
        </w:rPr>
        <w:t xml:space="preserve"> </w:t>
      </w:r>
      <w:r w:rsidR="00323457" w:rsidRPr="0059638B">
        <w:rPr>
          <w:sz w:val="20"/>
          <w:szCs w:val="20"/>
        </w:rPr>
        <w:t>meeting,</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15</w:t>
      </w:r>
      <w:r w:rsidR="00FF41A0">
        <w:rPr>
          <w:sz w:val="20"/>
          <w:szCs w:val="20"/>
        </w:rPr>
        <w:t xml:space="preserve"> </w:t>
      </w:r>
      <w:r w:rsidR="00323457" w:rsidRPr="0059638B">
        <w:rPr>
          <w:sz w:val="20"/>
          <w:szCs w:val="20"/>
        </w:rPr>
        <w:t>March</w:t>
      </w:r>
      <w:r w:rsidR="00FF41A0">
        <w:rPr>
          <w:sz w:val="20"/>
          <w:szCs w:val="20"/>
        </w:rPr>
        <w:t xml:space="preserve"> </w:t>
      </w:r>
      <w:r w:rsidR="00323457" w:rsidRPr="0059638B">
        <w:rPr>
          <w:sz w:val="20"/>
          <w:szCs w:val="20"/>
        </w:rPr>
        <w:t>2019,</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Council</w:t>
      </w:r>
      <w:r w:rsidR="00FF41A0">
        <w:rPr>
          <w:sz w:val="20"/>
          <w:szCs w:val="20"/>
        </w:rPr>
        <w:t xml:space="preserve"> </w:t>
      </w:r>
      <w:r w:rsidR="00323457" w:rsidRPr="0059638B">
        <w:rPr>
          <w:sz w:val="20"/>
          <w:szCs w:val="20"/>
        </w:rPr>
        <w:t>considered</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adopted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outcome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(see</w:t>
      </w:r>
      <w:r w:rsidR="00FF41A0">
        <w:rPr>
          <w:sz w:val="20"/>
          <w:szCs w:val="20"/>
        </w:rPr>
        <w:t xml:space="preserve"> </w:t>
      </w:r>
      <w:r w:rsidR="00323457" w:rsidRPr="0059638B">
        <w:rPr>
          <w:sz w:val="20"/>
          <w:szCs w:val="20"/>
        </w:rPr>
        <w:t>section</w:t>
      </w:r>
      <w:r w:rsidR="00FF41A0">
        <w:rPr>
          <w:sz w:val="20"/>
          <w:szCs w:val="20"/>
        </w:rPr>
        <w:t xml:space="preserve"> </w:t>
      </w:r>
      <w:r w:rsidR="00323457" w:rsidRPr="0059638B">
        <w:rPr>
          <w:sz w:val="20"/>
          <w:szCs w:val="20"/>
        </w:rPr>
        <w:t>C</w:t>
      </w:r>
      <w:r w:rsidR="00FF41A0">
        <w:rPr>
          <w:sz w:val="20"/>
          <w:szCs w:val="20"/>
        </w:rPr>
        <w:t xml:space="preserve"> </w:t>
      </w:r>
      <w:r w:rsidR="00323457" w:rsidRPr="0059638B">
        <w:rPr>
          <w:sz w:val="20"/>
          <w:szCs w:val="20"/>
        </w:rPr>
        <w:t>below).</w:t>
      </w:r>
    </w:p>
    <w:p w14:paraId="01229DC2" w14:textId="02003445" w:rsidR="00323457" w:rsidRPr="0059638B" w:rsidRDefault="00A50D75" w:rsidP="00323457">
      <w:pPr>
        <w:pStyle w:val="SingleTxtG"/>
        <w:rPr>
          <w:color w:val="FF0000"/>
          <w:sz w:val="20"/>
          <w:szCs w:val="20"/>
        </w:rPr>
      </w:pPr>
      <w:r>
        <w:rPr>
          <w:sz w:val="20"/>
          <w:szCs w:val="20"/>
        </w:rPr>
        <w:t>859</w:t>
      </w:r>
      <w:r w:rsidR="000E0AEC">
        <w:rPr>
          <w:sz w:val="20"/>
          <w:szCs w:val="20"/>
        </w:rPr>
        <w:t>.</w:t>
      </w:r>
      <w:r w:rsidR="000E0AEC">
        <w:rPr>
          <w:sz w:val="20"/>
          <w:szCs w:val="20"/>
        </w:rPr>
        <w:tab/>
      </w:r>
      <w:r w:rsidR="00323457" w:rsidRPr="0059638B">
        <w:rPr>
          <w:sz w:val="20"/>
          <w:szCs w:val="20"/>
        </w:rPr>
        <w:t>The</w:t>
      </w:r>
      <w:r w:rsidR="00FF41A0">
        <w:rPr>
          <w:sz w:val="20"/>
          <w:szCs w:val="20"/>
        </w:rPr>
        <w:t xml:space="preserve"> </w:t>
      </w:r>
      <w:r w:rsidR="00323457" w:rsidRPr="0059638B">
        <w:rPr>
          <w:sz w:val="20"/>
          <w:szCs w:val="20"/>
        </w:rPr>
        <w:t>outcome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comprises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report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Working</w:t>
      </w:r>
      <w:r w:rsidR="00FF41A0">
        <w:rPr>
          <w:sz w:val="20"/>
          <w:szCs w:val="20"/>
        </w:rPr>
        <w:t xml:space="preserve"> </w:t>
      </w:r>
      <w:r w:rsidR="00323457" w:rsidRPr="0059638B">
        <w:rPr>
          <w:sz w:val="20"/>
          <w:szCs w:val="20"/>
        </w:rPr>
        <w:t>Group</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(A/HRC/40/17)</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views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concerning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and/or</w:t>
      </w:r>
      <w:r w:rsidR="00FF41A0">
        <w:rPr>
          <w:sz w:val="20"/>
          <w:szCs w:val="20"/>
        </w:rPr>
        <w:t xml:space="preserve"> </w:t>
      </w:r>
      <w:r w:rsidR="00323457" w:rsidRPr="0059638B">
        <w:rPr>
          <w:sz w:val="20"/>
          <w:szCs w:val="20"/>
        </w:rPr>
        <w:t>conclusions,</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well</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voluntary</w:t>
      </w:r>
      <w:r w:rsidR="00FF41A0">
        <w:rPr>
          <w:sz w:val="20"/>
          <w:szCs w:val="20"/>
        </w:rPr>
        <w:t xml:space="preserve"> </w:t>
      </w:r>
      <w:r w:rsidR="00323457" w:rsidRPr="0059638B">
        <w:rPr>
          <w:sz w:val="20"/>
          <w:szCs w:val="20"/>
        </w:rPr>
        <w:t>commitments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replies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questions</w:t>
      </w:r>
      <w:r w:rsidR="00FF41A0">
        <w:rPr>
          <w:sz w:val="20"/>
          <w:szCs w:val="20"/>
        </w:rPr>
        <w:t xml:space="preserve"> </w:t>
      </w:r>
      <w:r w:rsidR="00323457" w:rsidRPr="0059638B">
        <w:rPr>
          <w:sz w:val="20"/>
          <w:szCs w:val="20"/>
        </w:rPr>
        <w:t>or</w:t>
      </w:r>
      <w:r w:rsidR="00FF41A0">
        <w:rPr>
          <w:sz w:val="20"/>
          <w:szCs w:val="20"/>
        </w:rPr>
        <w:t xml:space="preserve"> </w:t>
      </w:r>
      <w:r w:rsidR="00323457" w:rsidRPr="0059638B">
        <w:rPr>
          <w:sz w:val="20"/>
          <w:szCs w:val="20"/>
        </w:rPr>
        <w:t>issues</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not</w:t>
      </w:r>
      <w:r w:rsidR="00FF41A0">
        <w:rPr>
          <w:sz w:val="20"/>
          <w:szCs w:val="20"/>
        </w:rPr>
        <w:t xml:space="preserve"> </w:t>
      </w:r>
      <w:r w:rsidR="00323457" w:rsidRPr="0059638B">
        <w:rPr>
          <w:sz w:val="20"/>
          <w:szCs w:val="20"/>
        </w:rPr>
        <w:t>sufficiently</w:t>
      </w:r>
      <w:r w:rsidR="00FF41A0">
        <w:rPr>
          <w:sz w:val="20"/>
          <w:szCs w:val="20"/>
        </w:rPr>
        <w:t xml:space="preserve"> </w:t>
      </w:r>
      <w:r w:rsidR="00323457" w:rsidRPr="0059638B">
        <w:rPr>
          <w:sz w:val="20"/>
          <w:szCs w:val="20"/>
        </w:rPr>
        <w:t>addressed</w:t>
      </w:r>
      <w:r w:rsidR="00FF41A0">
        <w:rPr>
          <w:sz w:val="20"/>
          <w:szCs w:val="20"/>
        </w:rPr>
        <w:t xml:space="preserve"> </w:t>
      </w:r>
      <w:r w:rsidR="00323457" w:rsidRPr="0059638B">
        <w:rPr>
          <w:sz w:val="20"/>
          <w:szCs w:val="20"/>
        </w:rPr>
        <w:t>during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interactive</w:t>
      </w:r>
      <w:r w:rsidR="00FF41A0">
        <w:rPr>
          <w:sz w:val="20"/>
          <w:szCs w:val="20"/>
        </w:rPr>
        <w:t xml:space="preserve"> </w:t>
      </w:r>
      <w:r w:rsidR="00323457" w:rsidRPr="0059638B">
        <w:rPr>
          <w:sz w:val="20"/>
          <w:szCs w:val="20"/>
        </w:rPr>
        <w:t>dialogue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Working</w:t>
      </w:r>
      <w:r w:rsidR="00FF41A0">
        <w:rPr>
          <w:sz w:val="20"/>
          <w:szCs w:val="20"/>
        </w:rPr>
        <w:t xml:space="preserve"> </w:t>
      </w:r>
      <w:r w:rsidR="00323457" w:rsidRPr="0059638B">
        <w:rPr>
          <w:sz w:val="20"/>
          <w:szCs w:val="20"/>
        </w:rPr>
        <w:t>Group,</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presented</w:t>
      </w:r>
      <w:r w:rsidR="00FF41A0">
        <w:rPr>
          <w:sz w:val="20"/>
          <w:szCs w:val="20"/>
        </w:rPr>
        <w:t xml:space="preserve"> </w:t>
      </w:r>
      <w:r w:rsidR="00323457" w:rsidRPr="0059638B">
        <w:rPr>
          <w:sz w:val="20"/>
          <w:szCs w:val="20"/>
        </w:rPr>
        <w:t>before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adoption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outcome</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plenary</w:t>
      </w:r>
      <w:r w:rsidR="00FF41A0">
        <w:rPr>
          <w:sz w:val="20"/>
          <w:szCs w:val="20"/>
        </w:rPr>
        <w:t xml:space="preserve"> </w:t>
      </w:r>
      <w:r w:rsidR="00323457" w:rsidRPr="0059638B">
        <w:rPr>
          <w:sz w:val="20"/>
          <w:szCs w:val="20"/>
        </w:rPr>
        <w:t>(see</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A/HRC/40/17/Add.1).</w:t>
      </w:r>
    </w:p>
    <w:p w14:paraId="280AC297" w14:textId="42EA6315" w:rsidR="00323457" w:rsidRPr="0059638B" w:rsidRDefault="00323457" w:rsidP="00323457">
      <w:pPr>
        <w:pStyle w:val="H23G"/>
        <w:rPr>
          <w:sz w:val="20"/>
          <w:szCs w:val="20"/>
        </w:rPr>
      </w:pPr>
      <w:r w:rsidRPr="0059638B">
        <w:rPr>
          <w:sz w:val="20"/>
          <w:szCs w:val="20"/>
        </w:rPr>
        <w:tab/>
        <w:t>1.</w:t>
      </w:r>
      <w:r w:rsidRPr="0059638B">
        <w:rPr>
          <w:sz w:val="20"/>
          <w:szCs w:val="20"/>
        </w:rPr>
        <w:tab/>
        <w:t>Views</w:t>
      </w:r>
      <w:r w:rsidR="00FF41A0">
        <w:rPr>
          <w:sz w:val="20"/>
          <w:szCs w:val="20"/>
        </w:rPr>
        <w:t xml:space="preserve"> </w:t>
      </w:r>
      <w:r w:rsidRPr="0059638B">
        <w:rPr>
          <w:sz w:val="20"/>
          <w:szCs w:val="20"/>
        </w:rPr>
        <w:t>expressed</w:t>
      </w:r>
      <w:r w:rsidR="00FF41A0">
        <w:rPr>
          <w:sz w:val="20"/>
          <w:szCs w:val="20"/>
        </w:rPr>
        <w:t xml:space="preserve"> </w:t>
      </w:r>
      <w:r w:rsidRPr="0059638B">
        <w:rPr>
          <w:sz w:val="20"/>
          <w:szCs w:val="20"/>
        </w:rPr>
        <w:t>by</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State</w:t>
      </w:r>
      <w:r w:rsidR="00FF41A0">
        <w:rPr>
          <w:sz w:val="20"/>
          <w:szCs w:val="20"/>
        </w:rPr>
        <w:t xml:space="preserve"> </w:t>
      </w:r>
      <w:r w:rsidRPr="0059638B">
        <w:rPr>
          <w:sz w:val="20"/>
          <w:szCs w:val="20"/>
        </w:rPr>
        <w:t>under</w:t>
      </w:r>
      <w:r w:rsidR="00FF41A0">
        <w:rPr>
          <w:sz w:val="20"/>
          <w:szCs w:val="20"/>
        </w:rPr>
        <w:t xml:space="preserve"> </w:t>
      </w:r>
      <w:r w:rsidRPr="0059638B">
        <w:rPr>
          <w:sz w:val="20"/>
          <w:szCs w:val="20"/>
        </w:rPr>
        <w:t>review</w:t>
      </w:r>
      <w:r w:rsidR="00FF41A0">
        <w:rPr>
          <w:sz w:val="20"/>
          <w:szCs w:val="20"/>
        </w:rPr>
        <w:t xml:space="preserve"> </w:t>
      </w:r>
      <w:r w:rsidRPr="0059638B">
        <w:rPr>
          <w:sz w:val="20"/>
          <w:szCs w:val="20"/>
        </w:rPr>
        <w:t>on</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recommendations</w:t>
      </w:r>
      <w:r w:rsidR="00FF41A0">
        <w:rPr>
          <w:sz w:val="20"/>
          <w:szCs w:val="20"/>
        </w:rPr>
        <w:t xml:space="preserve"> </w:t>
      </w:r>
      <w:r w:rsidRPr="0059638B">
        <w:rPr>
          <w:sz w:val="20"/>
          <w:szCs w:val="20"/>
        </w:rPr>
        <w:t>and/or</w:t>
      </w:r>
      <w:r w:rsidR="00FF41A0">
        <w:rPr>
          <w:sz w:val="20"/>
          <w:szCs w:val="20"/>
        </w:rPr>
        <w:t xml:space="preserve"> </w:t>
      </w:r>
      <w:r w:rsidRPr="0059638B">
        <w:rPr>
          <w:sz w:val="20"/>
          <w:szCs w:val="20"/>
        </w:rPr>
        <w:t>conclusions,</w:t>
      </w:r>
      <w:r w:rsidR="00FF41A0">
        <w:rPr>
          <w:sz w:val="20"/>
          <w:szCs w:val="20"/>
        </w:rPr>
        <w:t xml:space="preserve"> </w:t>
      </w:r>
      <w:r w:rsidRPr="0059638B">
        <w:rPr>
          <w:sz w:val="20"/>
          <w:szCs w:val="20"/>
        </w:rPr>
        <w:t>its</w:t>
      </w:r>
      <w:r w:rsidR="00FF41A0">
        <w:rPr>
          <w:sz w:val="20"/>
          <w:szCs w:val="20"/>
        </w:rPr>
        <w:t xml:space="preserve"> </w:t>
      </w:r>
      <w:r w:rsidRPr="0059638B">
        <w:rPr>
          <w:sz w:val="20"/>
          <w:szCs w:val="20"/>
        </w:rPr>
        <w:t>voluntary</w:t>
      </w:r>
      <w:r w:rsidR="00FF41A0">
        <w:rPr>
          <w:sz w:val="20"/>
          <w:szCs w:val="20"/>
        </w:rPr>
        <w:t xml:space="preserve"> </w:t>
      </w:r>
      <w:r w:rsidRPr="0059638B">
        <w:rPr>
          <w:sz w:val="20"/>
          <w:szCs w:val="20"/>
        </w:rPr>
        <w:t>commitments</w:t>
      </w:r>
      <w:r w:rsidR="00FF41A0">
        <w:rPr>
          <w:sz w:val="20"/>
          <w:szCs w:val="20"/>
        </w:rPr>
        <w:t xml:space="preserve"> </w:t>
      </w:r>
      <w:r w:rsidRPr="0059638B">
        <w:rPr>
          <w:sz w:val="20"/>
          <w:szCs w:val="20"/>
        </w:rPr>
        <w:t>and</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outcome</w:t>
      </w:r>
    </w:p>
    <w:p w14:paraId="3FD7EDA7" w14:textId="66DDCA6B" w:rsidR="00323457" w:rsidRPr="0059638B" w:rsidRDefault="00A50D75" w:rsidP="00323457">
      <w:pPr>
        <w:pStyle w:val="SingleTxtG"/>
        <w:rPr>
          <w:sz w:val="20"/>
          <w:szCs w:val="20"/>
        </w:rPr>
      </w:pPr>
      <w:r>
        <w:rPr>
          <w:sz w:val="20"/>
          <w:szCs w:val="20"/>
        </w:rPr>
        <w:t>860</w:t>
      </w:r>
      <w:r w:rsidR="000E0AEC">
        <w:rPr>
          <w:sz w:val="20"/>
          <w:szCs w:val="20"/>
        </w:rPr>
        <w:t>.</w:t>
      </w:r>
      <w:r w:rsidR="000E0AEC">
        <w:rPr>
          <w:sz w:val="20"/>
          <w:szCs w:val="20"/>
        </w:rPr>
        <w:tab/>
      </w:r>
      <w:r w:rsidR="00323457" w:rsidRPr="0059638B">
        <w:rPr>
          <w:sz w:val="20"/>
          <w:szCs w:val="20"/>
        </w:rPr>
        <w:t>The</w:t>
      </w:r>
      <w:r w:rsidR="00FF41A0">
        <w:rPr>
          <w:sz w:val="20"/>
          <w:szCs w:val="20"/>
        </w:rPr>
        <w:t xml:space="preserve"> </w:t>
      </w:r>
      <w:r w:rsidR="00323457" w:rsidRPr="0059638B">
        <w:rPr>
          <w:sz w:val="20"/>
          <w:szCs w:val="20"/>
        </w:rPr>
        <w:t>delegation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conducted</w:t>
      </w:r>
      <w:r w:rsidR="00FF41A0">
        <w:rPr>
          <w:sz w:val="20"/>
          <w:szCs w:val="20"/>
        </w:rPr>
        <w:t xml:space="preserve"> </w:t>
      </w:r>
      <w:r w:rsidR="00323457" w:rsidRPr="0059638B">
        <w:rPr>
          <w:sz w:val="20"/>
          <w:szCs w:val="20"/>
        </w:rPr>
        <w:t>consultations,</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received</w:t>
      </w:r>
      <w:r w:rsidR="00FF41A0">
        <w:rPr>
          <w:sz w:val="20"/>
          <w:szCs w:val="20"/>
        </w:rPr>
        <w:t xml:space="preserve"> </w:t>
      </w:r>
      <w:r w:rsidR="00323457" w:rsidRPr="0059638B">
        <w:rPr>
          <w:sz w:val="20"/>
          <w:szCs w:val="20"/>
        </w:rPr>
        <w:t>during</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third</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aim</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supporting</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many</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possible,</w:t>
      </w:r>
      <w:r w:rsidR="00FF41A0">
        <w:rPr>
          <w:sz w:val="20"/>
          <w:szCs w:val="20"/>
        </w:rPr>
        <w:t xml:space="preserve"> </w:t>
      </w:r>
      <w:r w:rsidR="00323457" w:rsidRPr="0059638B">
        <w:rPr>
          <w:sz w:val="20"/>
          <w:szCs w:val="20"/>
        </w:rPr>
        <w:t>keeping</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mind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extent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they</w:t>
      </w:r>
      <w:r w:rsidR="00FF41A0">
        <w:rPr>
          <w:sz w:val="20"/>
          <w:szCs w:val="20"/>
        </w:rPr>
        <w:t xml:space="preserve"> </w:t>
      </w:r>
      <w:r w:rsidR="00323457" w:rsidRPr="0059638B">
        <w:rPr>
          <w:sz w:val="20"/>
          <w:szCs w:val="20"/>
        </w:rPr>
        <w:lastRenderedPageBreak/>
        <w:t>could</w:t>
      </w:r>
      <w:r w:rsidR="00FF41A0">
        <w:rPr>
          <w:sz w:val="20"/>
          <w:szCs w:val="20"/>
        </w:rPr>
        <w:t xml:space="preserve"> </w:t>
      </w:r>
      <w:r w:rsidR="00323457" w:rsidRPr="0059638B">
        <w:rPr>
          <w:sz w:val="20"/>
          <w:szCs w:val="20"/>
        </w:rPr>
        <w:t>be</w:t>
      </w:r>
      <w:r w:rsidR="00FF41A0">
        <w:rPr>
          <w:sz w:val="20"/>
          <w:szCs w:val="20"/>
        </w:rPr>
        <w:t xml:space="preserve"> </w:t>
      </w:r>
      <w:r w:rsidR="00323457" w:rsidRPr="0059638B">
        <w:rPr>
          <w:sz w:val="20"/>
          <w:szCs w:val="20"/>
        </w:rPr>
        <w:t>implemented.</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result,</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accepted</w:t>
      </w:r>
      <w:r w:rsidR="00FF41A0">
        <w:rPr>
          <w:sz w:val="20"/>
          <w:szCs w:val="20"/>
        </w:rPr>
        <w:t xml:space="preserve"> </w:t>
      </w:r>
      <w:r w:rsidR="00323457" w:rsidRPr="0059638B">
        <w:rPr>
          <w:sz w:val="20"/>
          <w:szCs w:val="20"/>
        </w:rPr>
        <w:t>122</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out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total</w:t>
      </w:r>
      <w:r w:rsidR="00FF41A0">
        <w:rPr>
          <w:sz w:val="20"/>
          <w:szCs w:val="20"/>
        </w:rPr>
        <w:t xml:space="preserve"> </w:t>
      </w:r>
      <w:r w:rsidR="00323457" w:rsidRPr="0059638B">
        <w:rPr>
          <w:sz w:val="20"/>
          <w:szCs w:val="20"/>
        </w:rPr>
        <w:t>157</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received.</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partially</w:t>
      </w:r>
      <w:r w:rsidR="00FF41A0">
        <w:rPr>
          <w:sz w:val="20"/>
          <w:szCs w:val="20"/>
        </w:rPr>
        <w:t xml:space="preserve"> </w:t>
      </w:r>
      <w:r w:rsidR="00323457" w:rsidRPr="0059638B">
        <w:rPr>
          <w:sz w:val="20"/>
          <w:szCs w:val="20"/>
        </w:rPr>
        <w:t>accepted</w:t>
      </w:r>
      <w:r w:rsidR="00FF41A0">
        <w:rPr>
          <w:sz w:val="20"/>
          <w:szCs w:val="20"/>
        </w:rPr>
        <w:t xml:space="preserve"> </w:t>
      </w:r>
      <w:r w:rsidR="00323457" w:rsidRPr="0059638B">
        <w:rPr>
          <w:sz w:val="20"/>
          <w:szCs w:val="20"/>
        </w:rPr>
        <w:t>eight</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took</w:t>
      </w:r>
      <w:r w:rsidR="00FF41A0">
        <w:rPr>
          <w:sz w:val="20"/>
          <w:szCs w:val="20"/>
        </w:rPr>
        <w:t xml:space="preserve"> </w:t>
      </w:r>
      <w:r w:rsidR="00323457" w:rsidRPr="0059638B">
        <w:rPr>
          <w:sz w:val="20"/>
          <w:szCs w:val="20"/>
        </w:rPr>
        <w:t>note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remaining</w:t>
      </w:r>
      <w:r w:rsidR="00FF41A0">
        <w:rPr>
          <w:sz w:val="20"/>
          <w:szCs w:val="20"/>
        </w:rPr>
        <w:t xml:space="preserve"> </w:t>
      </w:r>
      <w:r w:rsidR="00323457" w:rsidRPr="0059638B">
        <w:rPr>
          <w:sz w:val="20"/>
          <w:szCs w:val="20"/>
        </w:rPr>
        <w:t>27</w:t>
      </w:r>
      <w:r w:rsidR="00FF41A0">
        <w:rPr>
          <w:sz w:val="20"/>
          <w:szCs w:val="20"/>
        </w:rPr>
        <w:t xml:space="preserve"> </w:t>
      </w:r>
      <w:r w:rsidR="00323457" w:rsidRPr="0059638B">
        <w:rPr>
          <w:sz w:val="20"/>
          <w:szCs w:val="20"/>
        </w:rPr>
        <w:t>recommendations.</w:t>
      </w:r>
      <w:r w:rsidR="00FF41A0">
        <w:rPr>
          <w:sz w:val="20"/>
          <w:szCs w:val="20"/>
        </w:rPr>
        <w:t xml:space="preserve"> </w:t>
      </w:r>
    </w:p>
    <w:p w14:paraId="59C4F9FE" w14:textId="0D2445B3" w:rsidR="00323457" w:rsidRPr="0059638B" w:rsidRDefault="00A50D75" w:rsidP="00323457">
      <w:pPr>
        <w:pStyle w:val="SingleTxtG"/>
        <w:rPr>
          <w:sz w:val="20"/>
          <w:szCs w:val="20"/>
        </w:rPr>
      </w:pPr>
      <w:r>
        <w:rPr>
          <w:sz w:val="20"/>
          <w:szCs w:val="20"/>
        </w:rPr>
        <w:t>861</w:t>
      </w:r>
      <w:r w:rsidR="000E0AEC">
        <w:rPr>
          <w:sz w:val="20"/>
          <w:szCs w:val="20"/>
        </w:rPr>
        <w:t>.</w:t>
      </w:r>
      <w:r w:rsidR="000E0AEC">
        <w:rPr>
          <w:sz w:val="20"/>
          <w:szCs w:val="20"/>
        </w:rPr>
        <w:tab/>
      </w:r>
      <w:r w:rsidR="00323457" w:rsidRPr="0059638B">
        <w:rPr>
          <w:sz w:val="20"/>
          <w:szCs w:val="20"/>
        </w:rPr>
        <w:t>Malta</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started</w:t>
      </w:r>
      <w:r w:rsidR="00FF41A0">
        <w:rPr>
          <w:sz w:val="20"/>
          <w:szCs w:val="20"/>
        </w:rPr>
        <w:t xml:space="preserve"> </w:t>
      </w:r>
      <w:r w:rsidR="00323457" w:rsidRPr="0059638B">
        <w:rPr>
          <w:sz w:val="20"/>
          <w:szCs w:val="20"/>
        </w:rPr>
        <w:t>working</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setting</w:t>
      </w:r>
      <w:r w:rsidR="00FF41A0">
        <w:rPr>
          <w:sz w:val="20"/>
          <w:szCs w:val="20"/>
        </w:rPr>
        <w:t xml:space="preserve"> </w:t>
      </w:r>
      <w:r w:rsidR="00323457" w:rsidRPr="0059638B">
        <w:rPr>
          <w:sz w:val="20"/>
          <w:szCs w:val="20"/>
        </w:rPr>
        <w:t>up</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institution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line</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Paris</w:t>
      </w:r>
      <w:r w:rsidR="00FF41A0">
        <w:rPr>
          <w:sz w:val="20"/>
          <w:szCs w:val="20"/>
        </w:rPr>
        <w:t xml:space="preserve"> </w:t>
      </w:r>
      <w:r w:rsidR="00323457" w:rsidRPr="0059638B">
        <w:rPr>
          <w:sz w:val="20"/>
          <w:szCs w:val="20"/>
        </w:rPr>
        <w:t>Principles</w:t>
      </w:r>
      <w:r w:rsidR="00FF41A0">
        <w:rPr>
          <w:sz w:val="20"/>
          <w:szCs w:val="20"/>
        </w:rPr>
        <w:t xml:space="preserve"> </w:t>
      </w:r>
      <w:r w:rsidR="00323457" w:rsidRPr="0059638B">
        <w:rPr>
          <w:sz w:val="20"/>
          <w:szCs w:val="20"/>
        </w:rPr>
        <w:t>after</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2013,</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supporting</w:t>
      </w:r>
      <w:r w:rsidR="00FF41A0">
        <w:rPr>
          <w:sz w:val="20"/>
          <w:szCs w:val="20"/>
        </w:rPr>
        <w:t xml:space="preserve"> </w:t>
      </w:r>
      <w:r w:rsidR="00323457" w:rsidRPr="0059638B">
        <w:rPr>
          <w:sz w:val="20"/>
          <w:szCs w:val="20"/>
        </w:rPr>
        <w:t>numerous</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this</w:t>
      </w:r>
      <w:r w:rsidR="00FF41A0">
        <w:rPr>
          <w:sz w:val="20"/>
          <w:szCs w:val="20"/>
        </w:rPr>
        <w:t xml:space="preserve"> </w:t>
      </w:r>
      <w:r w:rsidR="00323457" w:rsidRPr="0059638B">
        <w:rPr>
          <w:sz w:val="20"/>
          <w:szCs w:val="20"/>
        </w:rPr>
        <w:t>regard.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this</w:t>
      </w:r>
      <w:r w:rsidR="00FF41A0">
        <w:rPr>
          <w:sz w:val="20"/>
          <w:szCs w:val="20"/>
        </w:rPr>
        <w:t xml:space="preserve"> </w:t>
      </w:r>
      <w:r w:rsidR="00323457" w:rsidRPr="0059638B">
        <w:rPr>
          <w:sz w:val="20"/>
          <w:szCs w:val="20"/>
        </w:rPr>
        <w:t>end,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2014,</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initiated</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wide</w:t>
      </w:r>
      <w:r w:rsidR="00FF41A0">
        <w:rPr>
          <w:sz w:val="20"/>
          <w:szCs w:val="20"/>
        </w:rPr>
        <w:t xml:space="preserve"> </w:t>
      </w:r>
      <w:r w:rsidR="00323457" w:rsidRPr="0059638B">
        <w:rPr>
          <w:sz w:val="20"/>
          <w:szCs w:val="20"/>
        </w:rPr>
        <w:t>consultation</w:t>
      </w:r>
      <w:r w:rsidR="00FF41A0">
        <w:rPr>
          <w:sz w:val="20"/>
          <w:szCs w:val="20"/>
        </w:rPr>
        <w:t xml:space="preserve"> </w:t>
      </w:r>
      <w:r w:rsidR="00323457" w:rsidRPr="0059638B">
        <w:rPr>
          <w:sz w:val="20"/>
          <w:szCs w:val="20"/>
        </w:rPr>
        <w:t>process</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various</w:t>
      </w:r>
      <w:r w:rsidR="00FF41A0">
        <w:rPr>
          <w:sz w:val="20"/>
          <w:szCs w:val="20"/>
        </w:rPr>
        <w:t xml:space="preserve"> </w:t>
      </w:r>
      <w:r w:rsidR="00323457" w:rsidRPr="0059638B">
        <w:rPr>
          <w:sz w:val="20"/>
          <w:szCs w:val="20"/>
        </w:rPr>
        <w:t>stakeholders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society</w:t>
      </w:r>
      <w:r w:rsidR="00FF41A0">
        <w:rPr>
          <w:sz w:val="20"/>
          <w:szCs w:val="20"/>
        </w:rPr>
        <w:t xml:space="preserve"> </w:t>
      </w:r>
      <w:r w:rsidR="00323457" w:rsidRPr="0059638B">
        <w:rPr>
          <w:sz w:val="20"/>
          <w:szCs w:val="20"/>
        </w:rPr>
        <w:t>at</w:t>
      </w:r>
      <w:r w:rsidR="00FF41A0">
        <w:rPr>
          <w:sz w:val="20"/>
          <w:szCs w:val="20"/>
        </w:rPr>
        <w:t xml:space="preserve"> </w:t>
      </w:r>
      <w:r w:rsidR="00323457" w:rsidRPr="0059638B">
        <w:rPr>
          <w:sz w:val="20"/>
          <w:szCs w:val="20"/>
        </w:rPr>
        <w:t>large.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proposed</w:t>
      </w:r>
      <w:r w:rsidR="00FF41A0">
        <w:rPr>
          <w:sz w:val="20"/>
          <w:szCs w:val="20"/>
        </w:rPr>
        <w:t xml:space="preserve"> </w:t>
      </w:r>
      <w:r w:rsidR="00323457" w:rsidRPr="0059638B">
        <w:rPr>
          <w:sz w:val="20"/>
          <w:szCs w:val="20"/>
        </w:rPr>
        <w:t>Bill</w:t>
      </w:r>
      <w:r w:rsidR="00FF41A0">
        <w:rPr>
          <w:sz w:val="20"/>
          <w:szCs w:val="20"/>
        </w:rPr>
        <w:t xml:space="preserve"> </w:t>
      </w:r>
      <w:r w:rsidR="00323457" w:rsidRPr="0059638B">
        <w:rPr>
          <w:sz w:val="20"/>
          <w:szCs w:val="20"/>
        </w:rPr>
        <w:t>establishing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Equality</w:t>
      </w:r>
      <w:r w:rsidR="00FF41A0">
        <w:rPr>
          <w:sz w:val="20"/>
          <w:szCs w:val="20"/>
        </w:rPr>
        <w:t xml:space="preserve"> </w:t>
      </w:r>
      <w:r w:rsidR="00323457" w:rsidRPr="0059638B">
        <w:rPr>
          <w:sz w:val="20"/>
          <w:szCs w:val="20"/>
        </w:rPr>
        <w:t>Commission</w:t>
      </w:r>
      <w:r w:rsidR="00FF41A0">
        <w:rPr>
          <w:sz w:val="20"/>
          <w:szCs w:val="20"/>
        </w:rPr>
        <w:t xml:space="preserve"> </w:t>
      </w:r>
      <w:r w:rsidR="00323457" w:rsidRPr="0059638B">
        <w:rPr>
          <w:sz w:val="20"/>
          <w:szCs w:val="20"/>
        </w:rPr>
        <w:t>incorporated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current</w:t>
      </w:r>
      <w:r w:rsidR="00FF41A0">
        <w:rPr>
          <w:sz w:val="20"/>
          <w:szCs w:val="20"/>
        </w:rPr>
        <w:t xml:space="preserve"> </w:t>
      </w:r>
      <w:r w:rsidR="00323457" w:rsidRPr="0059638B">
        <w:rPr>
          <w:sz w:val="20"/>
          <w:szCs w:val="20"/>
        </w:rPr>
        <w:t>equality</w:t>
      </w:r>
      <w:r w:rsidR="00FF41A0">
        <w:rPr>
          <w:sz w:val="20"/>
          <w:szCs w:val="20"/>
        </w:rPr>
        <w:t xml:space="preserve"> </w:t>
      </w:r>
      <w:r w:rsidR="00323457" w:rsidRPr="0059638B">
        <w:rPr>
          <w:sz w:val="20"/>
          <w:szCs w:val="20"/>
        </w:rPr>
        <w:t>body,</w:t>
      </w:r>
      <w:r w:rsidR="00FF41A0">
        <w:rPr>
          <w:sz w:val="20"/>
          <w:szCs w:val="20"/>
        </w:rPr>
        <w:t xml:space="preserve"> </w:t>
      </w:r>
      <w:r w:rsidR="00323457" w:rsidRPr="0059638B">
        <w:rPr>
          <w:sz w:val="20"/>
          <w:szCs w:val="20"/>
        </w:rPr>
        <w:t>strengthened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powers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affirmed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independence</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making</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accountable</w:t>
      </w:r>
      <w:r w:rsidR="00FF41A0">
        <w:rPr>
          <w:sz w:val="20"/>
          <w:szCs w:val="20"/>
        </w:rPr>
        <w:t xml:space="preserve"> </w:t>
      </w:r>
      <w:r w:rsidR="00323457" w:rsidRPr="0059638B">
        <w:rPr>
          <w:sz w:val="20"/>
          <w:szCs w:val="20"/>
        </w:rPr>
        <w:t>solely</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House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Representatives.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Commission</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be</w:t>
      </w:r>
      <w:r w:rsidR="00FF41A0">
        <w:rPr>
          <w:sz w:val="20"/>
          <w:szCs w:val="20"/>
        </w:rPr>
        <w:t xml:space="preserve"> </w:t>
      </w:r>
      <w:r w:rsidR="00323457" w:rsidRPr="0059638B">
        <w:rPr>
          <w:sz w:val="20"/>
          <w:szCs w:val="20"/>
        </w:rPr>
        <w:t>able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ensure</w:t>
      </w:r>
      <w:r w:rsidR="00FF41A0">
        <w:rPr>
          <w:sz w:val="20"/>
          <w:szCs w:val="20"/>
        </w:rPr>
        <w:t xml:space="preserve"> </w:t>
      </w:r>
      <w:r w:rsidR="00323457" w:rsidRPr="0059638B">
        <w:rPr>
          <w:sz w:val="20"/>
          <w:szCs w:val="20"/>
        </w:rPr>
        <w:t>equality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non-discrimination</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several</w:t>
      </w:r>
      <w:r w:rsidR="00FF41A0">
        <w:rPr>
          <w:sz w:val="20"/>
          <w:szCs w:val="20"/>
        </w:rPr>
        <w:t xml:space="preserve"> </w:t>
      </w:r>
      <w:r w:rsidR="00323457" w:rsidRPr="0059638B">
        <w:rPr>
          <w:sz w:val="20"/>
          <w:szCs w:val="20"/>
        </w:rPr>
        <w:t>grounds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spheres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life,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be</w:t>
      </w:r>
      <w:r w:rsidR="00FF41A0">
        <w:rPr>
          <w:sz w:val="20"/>
          <w:szCs w:val="20"/>
        </w:rPr>
        <w:t xml:space="preserve"> </w:t>
      </w:r>
      <w:r w:rsidR="00323457" w:rsidRPr="0059638B">
        <w:rPr>
          <w:sz w:val="20"/>
          <w:szCs w:val="20"/>
        </w:rPr>
        <w:t>mandated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perform</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work</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line</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Paris</w:t>
      </w:r>
      <w:r w:rsidR="00FF41A0">
        <w:rPr>
          <w:sz w:val="20"/>
          <w:szCs w:val="20"/>
        </w:rPr>
        <w:t xml:space="preserve"> </w:t>
      </w:r>
      <w:r w:rsidR="00323457" w:rsidRPr="0059638B">
        <w:rPr>
          <w:sz w:val="20"/>
          <w:szCs w:val="20"/>
        </w:rPr>
        <w:t>Principles.</w:t>
      </w:r>
      <w:r w:rsidR="00FF41A0">
        <w:rPr>
          <w:sz w:val="20"/>
          <w:szCs w:val="20"/>
        </w:rPr>
        <w:t xml:space="preserve"> </w:t>
      </w:r>
    </w:p>
    <w:p w14:paraId="74B77104" w14:textId="27940798" w:rsidR="00323457" w:rsidRPr="0059638B" w:rsidRDefault="00A50D75" w:rsidP="00323457">
      <w:pPr>
        <w:pStyle w:val="SingleTxtG"/>
        <w:rPr>
          <w:sz w:val="20"/>
          <w:szCs w:val="20"/>
        </w:rPr>
      </w:pPr>
      <w:r>
        <w:rPr>
          <w:sz w:val="20"/>
          <w:szCs w:val="20"/>
        </w:rPr>
        <w:t>862</w:t>
      </w:r>
      <w:r w:rsidR="000E0AEC">
        <w:rPr>
          <w:sz w:val="20"/>
          <w:szCs w:val="20"/>
        </w:rPr>
        <w:t>.</w:t>
      </w:r>
      <w:r w:rsidR="000E0AEC">
        <w:rPr>
          <w:sz w:val="20"/>
          <w:szCs w:val="20"/>
        </w:rPr>
        <w:tab/>
      </w:r>
      <w:r w:rsidR="00323457" w:rsidRPr="0059638B">
        <w:rPr>
          <w:sz w:val="20"/>
          <w:szCs w:val="20"/>
        </w:rPr>
        <w:t>In</w:t>
      </w:r>
      <w:r w:rsidR="00FF41A0">
        <w:rPr>
          <w:sz w:val="20"/>
          <w:szCs w:val="20"/>
        </w:rPr>
        <w:t xml:space="preserve"> </w:t>
      </w:r>
      <w:r w:rsidR="00323457" w:rsidRPr="0059638B">
        <w:rPr>
          <w:sz w:val="20"/>
          <w:szCs w:val="20"/>
        </w:rPr>
        <w:t>parallel</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aforementioned,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advancing</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Bill</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equality,</w:t>
      </w:r>
      <w:r w:rsidR="00FF41A0">
        <w:rPr>
          <w:sz w:val="20"/>
          <w:szCs w:val="20"/>
        </w:rPr>
        <w:t xml:space="preserve"> </w:t>
      </w:r>
      <w:r w:rsidR="00323457" w:rsidRPr="0059638B">
        <w:rPr>
          <w:sz w:val="20"/>
          <w:szCs w:val="20"/>
        </w:rPr>
        <w:t>incorporating</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equality</w:t>
      </w:r>
      <w:r w:rsidR="00FF41A0">
        <w:rPr>
          <w:sz w:val="20"/>
          <w:szCs w:val="20"/>
        </w:rPr>
        <w:t xml:space="preserve"> </w:t>
      </w:r>
      <w:r w:rsidR="00323457" w:rsidRPr="0059638B">
        <w:rPr>
          <w:sz w:val="20"/>
          <w:szCs w:val="20"/>
        </w:rPr>
        <w:t>legislation</w:t>
      </w:r>
      <w:r w:rsidR="00FF41A0">
        <w:rPr>
          <w:sz w:val="20"/>
          <w:szCs w:val="20"/>
        </w:rPr>
        <w:t xml:space="preserve"> </w:t>
      </w:r>
      <w:r w:rsidR="00323457" w:rsidRPr="0059638B">
        <w:rPr>
          <w:sz w:val="20"/>
          <w:szCs w:val="20"/>
        </w:rPr>
        <w:t>emanating</w:t>
      </w:r>
      <w:r w:rsidR="00FF41A0">
        <w:rPr>
          <w:sz w:val="20"/>
          <w:szCs w:val="20"/>
        </w:rPr>
        <w:t xml:space="preserve"> </w:t>
      </w:r>
      <w:r w:rsidR="00323457" w:rsidRPr="0059638B">
        <w:rPr>
          <w:sz w:val="20"/>
          <w:szCs w:val="20"/>
        </w:rPr>
        <w:t>from</w:t>
      </w:r>
      <w:r w:rsidR="00FF41A0">
        <w:rPr>
          <w:sz w:val="20"/>
          <w:szCs w:val="20"/>
        </w:rPr>
        <w:t xml:space="preserve"> </w:t>
      </w:r>
      <w:r w:rsidR="00323457" w:rsidRPr="0059638B">
        <w:rPr>
          <w:sz w:val="20"/>
          <w:szCs w:val="20"/>
        </w:rPr>
        <w:t>European</w:t>
      </w:r>
      <w:r w:rsidR="00FF41A0">
        <w:rPr>
          <w:sz w:val="20"/>
          <w:szCs w:val="20"/>
        </w:rPr>
        <w:t xml:space="preserve"> </w:t>
      </w:r>
      <w:r w:rsidR="00323457" w:rsidRPr="0059638B">
        <w:rPr>
          <w:sz w:val="20"/>
          <w:szCs w:val="20"/>
        </w:rPr>
        <w:t>Union</w:t>
      </w:r>
      <w:r w:rsidR="00FF41A0">
        <w:rPr>
          <w:sz w:val="20"/>
          <w:szCs w:val="20"/>
        </w:rPr>
        <w:t xml:space="preserve"> </w:t>
      </w:r>
      <w:r w:rsidR="00323457" w:rsidRPr="0059638B">
        <w:rPr>
          <w:sz w:val="20"/>
          <w:szCs w:val="20"/>
        </w:rPr>
        <w:t>Directives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law.</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Bill</w:t>
      </w:r>
      <w:r w:rsidR="00FF41A0">
        <w:rPr>
          <w:sz w:val="20"/>
          <w:szCs w:val="20"/>
        </w:rPr>
        <w:t xml:space="preserve"> </w:t>
      </w:r>
      <w:r w:rsidR="00323457" w:rsidRPr="0059638B">
        <w:rPr>
          <w:sz w:val="20"/>
          <w:szCs w:val="20"/>
        </w:rPr>
        <w:t>extended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list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grounds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anti-discrimination,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line</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European</w:t>
      </w:r>
      <w:r w:rsidR="00FF41A0">
        <w:rPr>
          <w:sz w:val="20"/>
          <w:szCs w:val="20"/>
        </w:rPr>
        <w:t xml:space="preserve"> </w:t>
      </w:r>
      <w:r w:rsidR="00323457" w:rsidRPr="0059638B">
        <w:rPr>
          <w:sz w:val="20"/>
          <w:szCs w:val="20"/>
        </w:rPr>
        <w:t>Convention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jurisprudence,</w:t>
      </w:r>
      <w:r w:rsidR="00FF41A0">
        <w:rPr>
          <w:sz w:val="20"/>
          <w:szCs w:val="20"/>
        </w:rPr>
        <w:t xml:space="preserve"> </w:t>
      </w:r>
      <w:r w:rsidR="00323457" w:rsidRPr="0059638B">
        <w:rPr>
          <w:sz w:val="20"/>
          <w:szCs w:val="20"/>
        </w:rPr>
        <w:t>intended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address</w:t>
      </w:r>
      <w:r w:rsidR="00FF41A0">
        <w:rPr>
          <w:sz w:val="20"/>
          <w:szCs w:val="20"/>
        </w:rPr>
        <w:t xml:space="preserve"> </w:t>
      </w:r>
      <w:r w:rsidR="00323457" w:rsidRPr="0059638B">
        <w:rPr>
          <w:sz w:val="20"/>
          <w:szCs w:val="20"/>
        </w:rPr>
        <w:t>multiple</w:t>
      </w:r>
      <w:r w:rsidR="00FF41A0">
        <w:rPr>
          <w:sz w:val="20"/>
          <w:szCs w:val="20"/>
        </w:rPr>
        <w:t xml:space="preserve"> </w:t>
      </w:r>
      <w:r w:rsidR="00323457" w:rsidRPr="0059638B">
        <w:rPr>
          <w:sz w:val="20"/>
          <w:szCs w:val="20"/>
        </w:rPr>
        <w:t>discrimination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structural</w:t>
      </w:r>
      <w:r w:rsidR="00FF41A0">
        <w:rPr>
          <w:sz w:val="20"/>
          <w:szCs w:val="20"/>
        </w:rPr>
        <w:t xml:space="preserve"> </w:t>
      </w:r>
      <w:r w:rsidR="00323457" w:rsidRPr="0059638B">
        <w:rPr>
          <w:sz w:val="20"/>
          <w:szCs w:val="20"/>
        </w:rPr>
        <w:t>discrimination,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introduced</w:t>
      </w:r>
      <w:r w:rsidR="00FF41A0">
        <w:rPr>
          <w:sz w:val="20"/>
          <w:szCs w:val="20"/>
        </w:rPr>
        <w:t xml:space="preserve"> </w:t>
      </w:r>
      <w:r w:rsidR="00323457" w:rsidRPr="0059638B">
        <w:rPr>
          <w:sz w:val="20"/>
          <w:szCs w:val="20"/>
        </w:rPr>
        <w:t>an</w:t>
      </w:r>
      <w:r w:rsidR="00FF41A0">
        <w:rPr>
          <w:sz w:val="20"/>
          <w:szCs w:val="20"/>
        </w:rPr>
        <w:t xml:space="preserve"> </w:t>
      </w:r>
      <w:r w:rsidR="00323457" w:rsidRPr="0059638B">
        <w:rPr>
          <w:sz w:val="20"/>
          <w:szCs w:val="20"/>
        </w:rPr>
        <w:t>obligation</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public</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private</w:t>
      </w:r>
      <w:r w:rsidR="00FF41A0">
        <w:rPr>
          <w:sz w:val="20"/>
          <w:szCs w:val="20"/>
        </w:rPr>
        <w:t xml:space="preserve"> </w:t>
      </w:r>
      <w:r w:rsidR="00323457" w:rsidRPr="0059638B">
        <w:rPr>
          <w:sz w:val="20"/>
          <w:szCs w:val="20"/>
        </w:rPr>
        <w:t>entities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promote</w:t>
      </w:r>
      <w:r w:rsidR="00FF41A0">
        <w:rPr>
          <w:sz w:val="20"/>
          <w:szCs w:val="20"/>
        </w:rPr>
        <w:t xml:space="preserve"> </w:t>
      </w:r>
      <w:r w:rsidR="00323457" w:rsidRPr="0059638B">
        <w:rPr>
          <w:sz w:val="20"/>
          <w:szCs w:val="20"/>
        </w:rPr>
        <w:t>equality</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everyone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spheres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life.</w:t>
      </w:r>
      <w:r w:rsidR="00FF41A0">
        <w:rPr>
          <w:sz w:val="20"/>
          <w:szCs w:val="20"/>
        </w:rPr>
        <w:t xml:space="preserve"> </w:t>
      </w:r>
    </w:p>
    <w:p w14:paraId="3C77AE4C" w14:textId="358A6EED" w:rsidR="00323457" w:rsidRPr="0059638B" w:rsidRDefault="00A50D75" w:rsidP="00323457">
      <w:pPr>
        <w:pStyle w:val="SingleTxtG"/>
        <w:rPr>
          <w:sz w:val="20"/>
          <w:szCs w:val="20"/>
        </w:rPr>
      </w:pPr>
      <w:r>
        <w:rPr>
          <w:sz w:val="20"/>
          <w:szCs w:val="20"/>
        </w:rPr>
        <w:t>863</w:t>
      </w:r>
      <w:r w:rsidR="000E0AEC">
        <w:rPr>
          <w:sz w:val="20"/>
          <w:szCs w:val="20"/>
        </w:rPr>
        <w:t>.</w:t>
      </w:r>
      <w:r w:rsidR="000E0AEC">
        <w:rPr>
          <w:sz w:val="20"/>
          <w:szCs w:val="20"/>
        </w:rPr>
        <w:tab/>
      </w:r>
      <w:r w:rsidR="00323457" w:rsidRPr="0059638B">
        <w:rPr>
          <w:sz w:val="20"/>
          <w:szCs w:val="20"/>
        </w:rPr>
        <w:t>Additionally,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Bill</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stipulated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adoption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strategy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action</w:t>
      </w:r>
      <w:r w:rsidR="00FF41A0">
        <w:rPr>
          <w:sz w:val="20"/>
          <w:szCs w:val="20"/>
        </w:rPr>
        <w:t xml:space="preserve"> </w:t>
      </w:r>
      <w:r w:rsidR="00323457" w:rsidRPr="0059638B">
        <w:rPr>
          <w:sz w:val="20"/>
          <w:szCs w:val="20"/>
        </w:rPr>
        <w:t>plan</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equality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non-discrimination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order</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prevent</w:t>
      </w:r>
      <w:r w:rsidR="00FF41A0">
        <w:rPr>
          <w:sz w:val="20"/>
          <w:szCs w:val="20"/>
        </w:rPr>
        <w:t xml:space="preserve"> </w:t>
      </w:r>
      <w:r w:rsidR="00323457" w:rsidRPr="0059638B">
        <w:rPr>
          <w:sz w:val="20"/>
          <w:szCs w:val="20"/>
        </w:rPr>
        <w:t>discrimination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promote</w:t>
      </w:r>
      <w:r w:rsidR="00FF41A0">
        <w:rPr>
          <w:sz w:val="20"/>
          <w:szCs w:val="20"/>
        </w:rPr>
        <w:t xml:space="preserve"> </w:t>
      </w:r>
      <w:r w:rsidR="00323457" w:rsidRPr="0059638B">
        <w:rPr>
          <w:sz w:val="20"/>
          <w:szCs w:val="20"/>
        </w:rPr>
        <w:t>equality.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Integration</w:t>
      </w:r>
      <w:r w:rsidR="00FF41A0">
        <w:rPr>
          <w:sz w:val="20"/>
          <w:szCs w:val="20"/>
        </w:rPr>
        <w:t xml:space="preserve"> </w:t>
      </w:r>
      <w:r w:rsidR="00323457" w:rsidRPr="0059638B">
        <w:rPr>
          <w:sz w:val="20"/>
          <w:szCs w:val="20"/>
        </w:rPr>
        <w:t>Directorate,</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established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2015</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develop</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equality</w:t>
      </w:r>
      <w:r w:rsidR="00FF41A0">
        <w:rPr>
          <w:sz w:val="20"/>
          <w:szCs w:val="20"/>
        </w:rPr>
        <w:t xml:space="preserve"> </w:t>
      </w:r>
      <w:r w:rsidR="00323457" w:rsidRPr="0059638B">
        <w:rPr>
          <w:sz w:val="20"/>
          <w:szCs w:val="20"/>
        </w:rPr>
        <w:t>policy</w:t>
      </w:r>
      <w:r w:rsidR="00FF41A0">
        <w:rPr>
          <w:sz w:val="20"/>
          <w:szCs w:val="20"/>
        </w:rPr>
        <w:t xml:space="preserve"> </w:t>
      </w:r>
      <w:r w:rsidR="00323457" w:rsidRPr="0059638B">
        <w:rPr>
          <w:sz w:val="20"/>
          <w:szCs w:val="20"/>
        </w:rPr>
        <w:t>framework</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assigned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draft</w:t>
      </w:r>
      <w:r w:rsidR="00FF41A0">
        <w:rPr>
          <w:sz w:val="20"/>
          <w:szCs w:val="20"/>
        </w:rPr>
        <w:t xml:space="preserve"> </w:t>
      </w:r>
      <w:r w:rsidR="00323457" w:rsidRPr="0059638B">
        <w:rPr>
          <w:sz w:val="20"/>
          <w:szCs w:val="20"/>
        </w:rPr>
        <w:t>those</w:t>
      </w:r>
      <w:r w:rsidR="00FF41A0">
        <w:rPr>
          <w:sz w:val="20"/>
          <w:szCs w:val="20"/>
        </w:rPr>
        <w:t xml:space="preserve"> </w:t>
      </w:r>
      <w:r w:rsidR="00323457" w:rsidRPr="0059638B">
        <w:rPr>
          <w:sz w:val="20"/>
          <w:szCs w:val="20"/>
        </w:rPr>
        <w:t>policy</w:t>
      </w:r>
      <w:r w:rsidR="00FF41A0">
        <w:rPr>
          <w:sz w:val="20"/>
          <w:szCs w:val="20"/>
        </w:rPr>
        <w:t xml:space="preserve"> </w:t>
      </w:r>
      <w:r w:rsidR="00323457" w:rsidRPr="0059638B">
        <w:rPr>
          <w:sz w:val="20"/>
          <w:szCs w:val="20"/>
        </w:rPr>
        <w:t>documents.</w:t>
      </w:r>
      <w:r w:rsidR="00FF41A0">
        <w:rPr>
          <w:sz w:val="20"/>
          <w:szCs w:val="20"/>
        </w:rPr>
        <w:t xml:space="preserve"> </w:t>
      </w:r>
    </w:p>
    <w:p w14:paraId="56667F96" w14:textId="2F1D45EE" w:rsidR="00323457" w:rsidRPr="0059638B" w:rsidRDefault="00A50D75" w:rsidP="00323457">
      <w:pPr>
        <w:pStyle w:val="SingleTxtG"/>
        <w:rPr>
          <w:sz w:val="20"/>
          <w:szCs w:val="20"/>
        </w:rPr>
      </w:pPr>
      <w:r>
        <w:rPr>
          <w:sz w:val="20"/>
          <w:szCs w:val="20"/>
        </w:rPr>
        <w:t>864</w:t>
      </w:r>
      <w:r w:rsidR="000E0AEC">
        <w:rPr>
          <w:sz w:val="20"/>
          <w:szCs w:val="20"/>
        </w:rPr>
        <w:t>.</w:t>
      </w:r>
      <w:r w:rsidR="000E0AEC">
        <w:rPr>
          <w:sz w:val="20"/>
          <w:szCs w:val="20"/>
        </w:rPr>
        <w:tab/>
      </w:r>
      <w:r w:rsidR="00323457" w:rsidRPr="0059638B">
        <w:rPr>
          <w:sz w:val="20"/>
          <w:szCs w:val="20"/>
        </w:rPr>
        <w:t>The</w:t>
      </w:r>
      <w:r w:rsidR="00FF41A0">
        <w:rPr>
          <w:sz w:val="20"/>
          <w:szCs w:val="20"/>
        </w:rPr>
        <w:t xml:space="preserve"> </w:t>
      </w:r>
      <w:r w:rsidR="00323457" w:rsidRPr="0059638B">
        <w:rPr>
          <w:sz w:val="20"/>
          <w:szCs w:val="20"/>
        </w:rPr>
        <w:t>delegation</w:t>
      </w:r>
      <w:r w:rsidR="00FF41A0">
        <w:rPr>
          <w:sz w:val="20"/>
          <w:szCs w:val="20"/>
        </w:rPr>
        <w:t xml:space="preserve"> </w:t>
      </w:r>
      <w:r w:rsidR="00323457" w:rsidRPr="0059638B">
        <w:rPr>
          <w:sz w:val="20"/>
          <w:szCs w:val="20"/>
        </w:rPr>
        <w:t>reaffirmed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commitment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eliminating</w:t>
      </w:r>
      <w:r w:rsidR="00FF41A0">
        <w:rPr>
          <w:sz w:val="20"/>
          <w:szCs w:val="20"/>
        </w:rPr>
        <w:t xml:space="preserve"> </w:t>
      </w:r>
      <w:r w:rsidR="00323457" w:rsidRPr="0059638B">
        <w:rPr>
          <w:sz w:val="20"/>
          <w:szCs w:val="20"/>
        </w:rPr>
        <w:t>xenophobia.</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legislation</w:t>
      </w:r>
      <w:r w:rsidR="00FF41A0">
        <w:rPr>
          <w:sz w:val="20"/>
          <w:szCs w:val="20"/>
        </w:rPr>
        <w:t xml:space="preserve"> </w:t>
      </w:r>
      <w:r w:rsidR="00323457" w:rsidRPr="0059638B">
        <w:rPr>
          <w:sz w:val="20"/>
          <w:szCs w:val="20"/>
        </w:rPr>
        <w:t>combatting</w:t>
      </w:r>
      <w:r w:rsidR="00FF41A0">
        <w:rPr>
          <w:sz w:val="20"/>
          <w:szCs w:val="20"/>
        </w:rPr>
        <w:t xml:space="preserve"> </w:t>
      </w:r>
      <w:r w:rsidR="00323457" w:rsidRPr="0059638B">
        <w:rPr>
          <w:sz w:val="20"/>
          <w:szCs w:val="20"/>
        </w:rPr>
        <w:t>incitement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racial</w:t>
      </w:r>
      <w:r w:rsidR="00FF41A0">
        <w:rPr>
          <w:sz w:val="20"/>
          <w:szCs w:val="20"/>
        </w:rPr>
        <w:t xml:space="preserve"> </w:t>
      </w:r>
      <w:r w:rsidR="00323457" w:rsidRPr="0059638B">
        <w:rPr>
          <w:sz w:val="20"/>
          <w:szCs w:val="20"/>
        </w:rPr>
        <w:t>hatred</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other</w:t>
      </w:r>
      <w:r w:rsidR="00FF41A0">
        <w:rPr>
          <w:sz w:val="20"/>
          <w:szCs w:val="20"/>
        </w:rPr>
        <w:t xml:space="preserve"> </w:t>
      </w:r>
      <w:r w:rsidR="00323457" w:rsidRPr="0059638B">
        <w:rPr>
          <w:sz w:val="20"/>
          <w:szCs w:val="20"/>
        </w:rPr>
        <w:t>forms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hate</w:t>
      </w:r>
      <w:r w:rsidR="00FF41A0">
        <w:rPr>
          <w:sz w:val="20"/>
          <w:szCs w:val="20"/>
        </w:rPr>
        <w:t xml:space="preserve"> </w:t>
      </w:r>
      <w:r w:rsidR="00323457" w:rsidRPr="0059638B">
        <w:rPr>
          <w:sz w:val="20"/>
          <w:szCs w:val="20"/>
        </w:rPr>
        <w:t>speech</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further</w:t>
      </w:r>
      <w:r w:rsidR="00FF41A0">
        <w:rPr>
          <w:sz w:val="20"/>
          <w:szCs w:val="20"/>
        </w:rPr>
        <w:t xml:space="preserve"> </w:t>
      </w:r>
      <w:r w:rsidR="00323457" w:rsidRPr="0059638B">
        <w:rPr>
          <w:sz w:val="20"/>
          <w:szCs w:val="20"/>
        </w:rPr>
        <w:t>improved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include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foreigners</w:t>
      </w:r>
      <w:r w:rsidR="00FF41A0">
        <w:rPr>
          <w:sz w:val="20"/>
          <w:szCs w:val="20"/>
        </w:rPr>
        <w:t xml:space="preserve"> </w:t>
      </w:r>
      <w:r w:rsidR="00323457" w:rsidRPr="0059638B">
        <w:rPr>
          <w:sz w:val="20"/>
          <w:szCs w:val="20"/>
        </w:rPr>
        <w:t>or</w:t>
      </w:r>
      <w:r w:rsidR="00FF41A0">
        <w:rPr>
          <w:sz w:val="20"/>
          <w:szCs w:val="20"/>
        </w:rPr>
        <w:t xml:space="preserve"> </w:t>
      </w:r>
      <w:r w:rsidR="00323457" w:rsidRPr="0059638B">
        <w:rPr>
          <w:sz w:val="20"/>
          <w:szCs w:val="20"/>
        </w:rPr>
        <w:t>any</w:t>
      </w:r>
      <w:r w:rsidR="00FF41A0">
        <w:rPr>
          <w:sz w:val="20"/>
          <w:szCs w:val="20"/>
        </w:rPr>
        <w:t xml:space="preserve"> </w:t>
      </w:r>
      <w:r w:rsidR="00323457" w:rsidRPr="0059638B">
        <w:rPr>
          <w:sz w:val="20"/>
          <w:szCs w:val="20"/>
        </w:rPr>
        <w:t>other</w:t>
      </w:r>
      <w:r w:rsidR="00FF41A0">
        <w:rPr>
          <w:sz w:val="20"/>
          <w:szCs w:val="20"/>
        </w:rPr>
        <w:t xml:space="preserve"> </w:t>
      </w:r>
      <w:r w:rsidR="00323457" w:rsidRPr="0059638B">
        <w:rPr>
          <w:sz w:val="20"/>
          <w:szCs w:val="20"/>
        </w:rPr>
        <w:t>group</w:t>
      </w:r>
      <w:r w:rsidR="00FF41A0">
        <w:rPr>
          <w:sz w:val="20"/>
          <w:szCs w:val="20"/>
        </w:rPr>
        <w:t xml:space="preserve"> </w:t>
      </w:r>
      <w:r w:rsidR="00323457" w:rsidRPr="0059638B">
        <w:rPr>
          <w:sz w:val="20"/>
          <w:szCs w:val="20"/>
        </w:rPr>
        <w:t>from</w:t>
      </w:r>
      <w:r w:rsidR="00FF41A0">
        <w:rPr>
          <w:sz w:val="20"/>
          <w:szCs w:val="20"/>
        </w:rPr>
        <w:t xml:space="preserve"> </w:t>
      </w:r>
      <w:r w:rsidR="00323457" w:rsidRPr="0059638B">
        <w:rPr>
          <w:sz w:val="20"/>
          <w:szCs w:val="20"/>
        </w:rPr>
        <w:t>such</w:t>
      </w:r>
      <w:r w:rsidR="00FF41A0">
        <w:rPr>
          <w:sz w:val="20"/>
          <w:szCs w:val="20"/>
        </w:rPr>
        <w:t xml:space="preserve"> </w:t>
      </w:r>
      <w:r w:rsidR="00323457" w:rsidRPr="0059638B">
        <w:rPr>
          <w:sz w:val="20"/>
          <w:szCs w:val="20"/>
        </w:rPr>
        <w:t>crimes.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taking</w:t>
      </w:r>
      <w:r w:rsidR="00FF41A0">
        <w:rPr>
          <w:sz w:val="20"/>
          <w:szCs w:val="20"/>
        </w:rPr>
        <w:t xml:space="preserve"> </w:t>
      </w:r>
      <w:r w:rsidR="00323457" w:rsidRPr="0059638B">
        <w:rPr>
          <w:sz w:val="20"/>
          <w:szCs w:val="20"/>
        </w:rPr>
        <w:t>measures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strengthen</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culture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inclusion,</w:t>
      </w:r>
      <w:r w:rsidR="00FF41A0">
        <w:rPr>
          <w:sz w:val="20"/>
          <w:szCs w:val="20"/>
        </w:rPr>
        <w:t xml:space="preserve"> </w:t>
      </w:r>
      <w:r w:rsidR="00323457" w:rsidRPr="0059638B">
        <w:rPr>
          <w:sz w:val="20"/>
          <w:szCs w:val="20"/>
        </w:rPr>
        <w:t>diversity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non-discrimination.</w:t>
      </w:r>
    </w:p>
    <w:p w14:paraId="35397F80" w14:textId="03953BC4" w:rsidR="00323457" w:rsidRPr="0059638B" w:rsidRDefault="00A50D75" w:rsidP="00323457">
      <w:pPr>
        <w:pStyle w:val="SingleTxtG"/>
        <w:rPr>
          <w:sz w:val="20"/>
          <w:szCs w:val="20"/>
        </w:rPr>
      </w:pPr>
      <w:r>
        <w:rPr>
          <w:sz w:val="20"/>
          <w:szCs w:val="20"/>
        </w:rPr>
        <w:t>865</w:t>
      </w:r>
      <w:r w:rsidR="000E0AEC">
        <w:rPr>
          <w:sz w:val="20"/>
          <w:szCs w:val="20"/>
        </w:rPr>
        <w:t>.</w:t>
      </w:r>
      <w:r w:rsidR="000E0AEC">
        <w:rPr>
          <w:sz w:val="20"/>
          <w:szCs w:val="20"/>
        </w:rPr>
        <w:tab/>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taken</w:t>
      </w:r>
      <w:r w:rsidR="00FF41A0">
        <w:rPr>
          <w:sz w:val="20"/>
          <w:szCs w:val="20"/>
        </w:rPr>
        <w:t xml:space="preserve"> </w:t>
      </w:r>
      <w:r w:rsidR="00323457" w:rsidRPr="0059638B">
        <w:rPr>
          <w:sz w:val="20"/>
          <w:szCs w:val="20"/>
        </w:rPr>
        <w:t>measures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improve</w:t>
      </w:r>
      <w:r w:rsidR="00FF41A0">
        <w:rPr>
          <w:sz w:val="20"/>
          <w:szCs w:val="20"/>
        </w:rPr>
        <w:t xml:space="preserve"> </w:t>
      </w:r>
      <w:r w:rsidR="00323457" w:rsidRPr="0059638B">
        <w:rPr>
          <w:sz w:val="20"/>
          <w:szCs w:val="20"/>
        </w:rPr>
        <w:t>conditions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reception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open</w:t>
      </w:r>
      <w:r w:rsidR="00FF41A0">
        <w:rPr>
          <w:sz w:val="20"/>
          <w:szCs w:val="20"/>
        </w:rPr>
        <w:t xml:space="preserve"> </w:t>
      </w:r>
      <w:r w:rsidR="00323457" w:rsidRPr="0059638B">
        <w:rPr>
          <w:sz w:val="20"/>
          <w:szCs w:val="20"/>
        </w:rPr>
        <w:t>centres.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Agency</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Welfare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Asylum</w:t>
      </w:r>
      <w:r w:rsidR="00FF41A0">
        <w:rPr>
          <w:sz w:val="20"/>
          <w:szCs w:val="20"/>
        </w:rPr>
        <w:t xml:space="preserve"> </w:t>
      </w:r>
      <w:r w:rsidR="00323457" w:rsidRPr="0059638B">
        <w:rPr>
          <w:sz w:val="20"/>
          <w:szCs w:val="20"/>
        </w:rPr>
        <w:t>Seekers</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continued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conduct</w:t>
      </w:r>
      <w:r w:rsidR="00FF41A0">
        <w:rPr>
          <w:sz w:val="20"/>
          <w:szCs w:val="20"/>
        </w:rPr>
        <w:t xml:space="preserve"> </w:t>
      </w:r>
      <w:r w:rsidR="00323457" w:rsidRPr="0059638B">
        <w:rPr>
          <w:sz w:val="20"/>
          <w:szCs w:val="20"/>
        </w:rPr>
        <w:t>maintenance</w:t>
      </w:r>
      <w:r w:rsidR="00FF41A0">
        <w:rPr>
          <w:sz w:val="20"/>
          <w:szCs w:val="20"/>
        </w:rPr>
        <w:t xml:space="preserve"> </w:t>
      </w:r>
      <w:r w:rsidR="00323457" w:rsidRPr="0059638B">
        <w:rPr>
          <w:sz w:val="20"/>
          <w:szCs w:val="20"/>
        </w:rPr>
        <w:t>work</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those</w:t>
      </w:r>
      <w:r w:rsidR="00FF41A0">
        <w:rPr>
          <w:sz w:val="20"/>
          <w:szCs w:val="20"/>
        </w:rPr>
        <w:t xml:space="preserve"> </w:t>
      </w:r>
      <w:r w:rsidR="00323457" w:rsidRPr="0059638B">
        <w:rPr>
          <w:sz w:val="20"/>
          <w:szCs w:val="20"/>
        </w:rPr>
        <w:t>centres,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set</w:t>
      </w:r>
      <w:r w:rsidR="00FF41A0">
        <w:rPr>
          <w:sz w:val="20"/>
          <w:szCs w:val="20"/>
        </w:rPr>
        <w:t xml:space="preserve"> </w:t>
      </w:r>
      <w:r w:rsidR="00323457" w:rsidRPr="0059638B">
        <w:rPr>
          <w:sz w:val="20"/>
          <w:szCs w:val="20"/>
        </w:rPr>
        <w:t>plans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build</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new</w:t>
      </w:r>
      <w:r w:rsidR="00FF41A0">
        <w:rPr>
          <w:sz w:val="20"/>
          <w:szCs w:val="20"/>
        </w:rPr>
        <w:t xml:space="preserve"> </w:t>
      </w:r>
      <w:r w:rsidR="00323457" w:rsidRPr="0059638B">
        <w:rPr>
          <w:sz w:val="20"/>
          <w:szCs w:val="20"/>
        </w:rPr>
        <w:t>open</w:t>
      </w:r>
      <w:r w:rsidR="00FF41A0">
        <w:rPr>
          <w:sz w:val="20"/>
          <w:szCs w:val="20"/>
        </w:rPr>
        <w:t xml:space="preserve"> </w:t>
      </w:r>
      <w:r w:rsidR="00323457" w:rsidRPr="0059638B">
        <w:rPr>
          <w:sz w:val="20"/>
          <w:szCs w:val="20"/>
        </w:rPr>
        <w:t>centre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order</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further</w:t>
      </w:r>
      <w:r w:rsidR="00FF41A0">
        <w:rPr>
          <w:sz w:val="20"/>
          <w:szCs w:val="20"/>
        </w:rPr>
        <w:t xml:space="preserve"> </w:t>
      </w:r>
      <w:r w:rsidR="00323457" w:rsidRPr="0059638B">
        <w:rPr>
          <w:sz w:val="20"/>
          <w:szCs w:val="20"/>
        </w:rPr>
        <w:t>improve</w:t>
      </w:r>
      <w:r w:rsidR="00FF41A0">
        <w:rPr>
          <w:sz w:val="20"/>
          <w:szCs w:val="20"/>
        </w:rPr>
        <w:t xml:space="preserve"> </w:t>
      </w:r>
      <w:r w:rsidR="00323457" w:rsidRPr="0059638B">
        <w:rPr>
          <w:sz w:val="20"/>
          <w:szCs w:val="20"/>
        </w:rPr>
        <w:t>conditions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capacity</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those</w:t>
      </w:r>
      <w:r w:rsidR="00FF41A0">
        <w:rPr>
          <w:sz w:val="20"/>
          <w:szCs w:val="20"/>
        </w:rPr>
        <w:t xml:space="preserve"> </w:t>
      </w:r>
      <w:r w:rsidR="00323457" w:rsidRPr="0059638B">
        <w:rPr>
          <w:sz w:val="20"/>
          <w:szCs w:val="20"/>
        </w:rPr>
        <w:t>centres.</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enacted</w:t>
      </w:r>
      <w:r w:rsidR="00FF41A0">
        <w:rPr>
          <w:sz w:val="20"/>
          <w:szCs w:val="20"/>
        </w:rPr>
        <w:t xml:space="preserve"> </w:t>
      </w:r>
      <w:r w:rsidR="00323457" w:rsidRPr="0059638B">
        <w:rPr>
          <w:sz w:val="20"/>
          <w:szCs w:val="20"/>
        </w:rPr>
        <w:t>legislation</w:t>
      </w:r>
      <w:r w:rsidR="00FF41A0">
        <w:rPr>
          <w:sz w:val="20"/>
          <w:szCs w:val="20"/>
        </w:rPr>
        <w:t xml:space="preserve"> </w:t>
      </w:r>
      <w:r w:rsidR="00323457" w:rsidRPr="0059638B">
        <w:rPr>
          <w:sz w:val="20"/>
          <w:szCs w:val="20"/>
        </w:rPr>
        <w:t>barring</w:t>
      </w:r>
      <w:r w:rsidR="00FF41A0">
        <w:rPr>
          <w:sz w:val="20"/>
          <w:szCs w:val="20"/>
        </w:rPr>
        <w:t xml:space="preserve"> </w:t>
      </w:r>
      <w:r w:rsidR="00323457" w:rsidRPr="0059638B">
        <w:rPr>
          <w:sz w:val="20"/>
          <w:szCs w:val="20"/>
        </w:rPr>
        <w:t>detention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children,</w:t>
      </w:r>
      <w:r w:rsidR="00FF41A0">
        <w:rPr>
          <w:sz w:val="20"/>
          <w:szCs w:val="20"/>
        </w:rPr>
        <w:t xml:space="preserve"> </w:t>
      </w:r>
      <w:r w:rsidR="00323457" w:rsidRPr="0059638B">
        <w:rPr>
          <w:sz w:val="20"/>
          <w:szCs w:val="20"/>
        </w:rPr>
        <w:t>while</w:t>
      </w:r>
      <w:r w:rsidR="00FF41A0">
        <w:rPr>
          <w:sz w:val="20"/>
          <w:szCs w:val="20"/>
        </w:rPr>
        <w:t xml:space="preserve"> </w:t>
      </w:r>
      <w:r w:rsidR="00323457" w:rsidRPr="0059638B">
        <w:rPr>
          <w:sz w:val="20"/>
          <w:szCs w:val="20"/>
        </w:rPr>
        <w:t>providing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necessary</w:t>
      </w:r>
      <w:r w:rsidR="00FF41A0">
        <w:rPr>
          <w:sz w:val="20"/>
          <w:szCs w:val="20"/>
        </w:rPr>
        <w:t xml:space="preserve"> </w:t>
      </w:r>
      <w:r w:rsidR="00323457" w:rsidRPr="0059638B">
        <w:rPr>
          <w:sz w:val="20"/>
          <w:szCs w:val="20"/>
        </w:rPr>
        <w:t>assistance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unaccompanied</w:t>
      </w:r>
      <w:r w:rsidR="00FF41A0">
        <w:rPr>
          <w:sz w:val="20"/>
          <w:szCs w:val="20"/>
        </w:rPr>
        <w:t xml:space="preserve"> </w:t>
      </w:r>
      <w:r w:rsidR="00323457" w:rsidRPr="0059638B">
        <w:rPr>
          <w:sz w:val="20"/>
          <w:szCs w:val="20"/>
        </w:rPr>
        <w:t>minors,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provided</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legal</w:t>
      </w:r>
      <w:r w:rsidR="00FF41A0">
        <w:rPr>
          <w:sz w:val="20"/>
          <w:szCs w:val="20"/>
        </w:rPr>
        <w:t xml:space="preserve"> </w:t>
      </w:r>
      <w:r w:rsidR="00323457" w:rsidRPr="0059638B">
        <w:rPr>
          <w:sz w:val="20"/>
          <w:szCs w:val="20"/>
        </w:rPr>
        <w:t>assistance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asylum</w:t>
      </w:r>
      <w:r w:rsidR="00FF41A0">
        <w:rPr>
          <w:sz w:val="20"/>
          <w:szCs w:val="20"/>
        </w:rPr>
        <w:t xml:space="preserve"> </w:t>
      </w:r>
      <w:r w:rsidR="00323457" w:rsidRPr="0059638B">
        <w:rPr>
          <w:sz w:val="20"/>
          <w:szCs w:val="20"/>
        </w:rPr>
        <w:t>seekers,</w:t>
      </w:r>
      <w:r w:rsidR="00FF41A0">
        <w:rPr>
          <w:sz w:val="20"/>
          <w:szCs w:val="20"/>
        </w:rPr>
        <w:t xml:space="preserve"> </w:t>
      </w:r>
      <w:r w:rsidR="00323457" w:rsidRPr="0059638B">
        <w:rPr>
          <w:sz w:val="20"/>
          <w:szCs w:val="20"/>
        </w:rPr>
        <w:t>regardless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age.</w:t>
      </w:r>
      <w:r w:rsidR="00323457" w:rsidRPr="0059638B">
        <w:rPr>
          <w:sz w:val="20"/>
          <w:szCs w:val="20"/>
        </w:rPr>
        <w:tab/>
      </w:r>
    </w:p>
    <w:p w14:paraId="79DD1B73" w14:textId="6AA27149" w:rsidR="00323457" w:rsidRPr="0059638B" w:rsidRDefault="00A50D75" w:rsidP="00323457">
      <w:pPr>
        <w:pStyle w:val="SingleTxtG"/>
        <w:rPr>
          <w:sz w:val="20"/>
          <w:szCs w:val="20"/>
        </w:rPr>
      </w:pPr>
      <w:r>
        <w:rPr>
          <w:sz w:val="20"/>
          <w:szCs w:val="20"/>
        </w:rPr>
        <w:t>866</w:t>
      </w:r>
      <w:r w:rsidR="000E0AEC">
        <w:rPr>
          <w:sz w:val="20"/>
          <w:szCs w:val="20"/>
        </w:rPr>
        <w:t>.</w:t>
      </w:r>
      <w:r w:rsidR="000E0AEC">
        <w:rPr>
          <w:sz w:val="20"/>
          <w:szCs w:val="20"/>
        </w:rPr>
        <w:tab/>
      </w:r>
      <w:r w:rsidR="00323457" w:rsidRPr="0059638B">
        <w:rPr>
          <w:sz w:val="20"/>
          <w:szCs w:val="20"/>
        </w:rPr>
        <w:t>The</w:t>
      </w:r>
      <w:r w:rsidR="00FF41A0">
        <w:rPr>
          <w:sz w:val="20"/>
          <w:szCs w:val="20"/>
        </w:rPr>
        <w:t xml:space="preserve"> </w:t>
      </w:r>
      <w:r w:rsidR="00323457" w:rsidRPr="0059638B">
        <w:rPr>
          <w:sz w:val="20"/>
          <w:szCs w:val="20"/>
        </w:rPr>
        <w:t>delegation</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assassination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journalist</w:t>
      </w:r>
      <w:r w:rsidR="00FF41A0">
        <w:rPr>
          <w:sz w:val="20"/>
          <w:szCs w:val="20"/>
        </w:rPr>
        <w:t xml:space="preserve"> </w:t>
      </w:r>
      <w:r w:rsidR="00323457" w:rsidRPr="0059638B">
        <w:rPr>
          <w:sz w:val="20"/>
          <w:szCs w:val="20"/>
        </w:rPr>
        <w:t>Daphne</w:t>
      </w:r>
      <w:r w:rsidR="00FF41A0">
        <w:rPr>
          <w:sz w:val="20"/>
          <w:szCs w:val="20"/>
        </w:rPr>
        <w:t xml:space="preserve"> </w:t>
      </w:r>
      <w:r w:rsidR="00323457" w:rsidRPr="0059638B">
        <w:rPr>
          <w:sz w:val="20"/>
          <w:szCs w:val="20"/>
        </w:rPr>
        <w:t>Caruana</w:t>
      </w:r>
      <w:r w:rsidR="00FF41A0">
        <w:rPr>
          <w:sz w:val="20"/>
          <w:szCs w:val="20"/>
        </w:rPr>
        <w:t xml:space="preserve"> </w:t>
      </w:r>
      <w:r w:rsidR="00323457" w:rsidRPr="0059638B">
        <w:rPr>
          <w:sz w:val="20"/>
          <w:szCs w:val="20"/>
        </w:rPr>
        <w:t>Galizia</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2017</w:t>
      </w:r>
      <w:r w:rsidR="00FF41A0">
        <w:rPr>
          <w:sz w:val="20"/>
          <w:szCs w:val="20"/>
        </w:rPr>
        <w:t xml:space="preserve"> </w:t>
      </w:r>
      <w:r w:rsidR="00323457" w:rsidRPr="0059638B">
        <w:rPr>
          <w:sz w:val="20"/>
          <w:szCs w:val="20"/>
        </w:rPr>
        <w:t>shocked</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core.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remained</w:t>
      </w:r>
      <w:r w:rsidR="00FF41A0">
        <w:rPr>
          <w:sz w:val="20"/>
          <w:szCs w:val="20"/>
        </w:rPr>
        <w:t xml:space="preserve"> </w:t>
      </w:r>
      <w:r w:rsidR="00323457" w:rsidRPr="0059638B">
        <w:rPr>
          <w:sz w:val="20"/>
          <w:szCs w:val="20"/>
        </w:rPr>
        <w:t>committed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identifying</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prosecuting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perpetrators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killing</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journalist,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following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murder,</w:t>
      </w:r>
      <w:r w:rsidR="00FF41A0">
        <w:rPr>
          <w:sz w:val="20"/>
          <w:szCs w:val="20"/>
        </w:rPr>
        <w:t xml:space="preserve"> </w:t>
      </w:r>
      <w:r w:rsidR="00323457" w:rsidRPr="0059638B">
        <w:rPr>
          <w:sz w:val="20"/>
          <w:szCs w:val="20"/>
        </w:rPr>
        <w:t>immediately</w:t>
      </w:r>
      <w:r w:rsidR="00FF41A0">
        <w:rPr>
          <w:sz w:val="20"/>
          <w:szCs w:val="20"/>
        </w:rPr>
        <w:t xml:space="preserve"> </w:t>
      </w:r>
      <w:r w:rsidR="00323457" w:rsidRPr="0059638B">
        <w:rPr>
          <w:sz w:val="20"/>
          <w:szCs w:val="20"/>
        </w:rPr>
        <w:t>launched</w:t>
      </w:r>
      <w:r w:rsidR="00FF41A0">
        <w:rPr>
          <w:sz w:val="20"/>
          <w:szCs w:val="20"/>
        </w:rPr>
        <w:t xml:space="preserve"> </w:t>
      </w:r>
      <w:r w:rsidR="00323457" w:rsidRPr="0059638B">
        <w:rPr>
          <w:sz w:val="20"/>
          <w:szCs w:val="20"/>
        </w:rPr>
        <w:t>investigations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collaboration</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key</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institutions.</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result,</w:t>
      </w:r>
      <w:r w:rsidR="00FF41A0">
        <w:rPr>
          <w:sz w:val="20"/>
          <w:szCs w:val="20"/>
        </w:rPr>
        <w:t xml:space="preserve"> </w:t>
      </w:r>
      <w:r w:rsidR="00323457" w:rsidRPr="0059638B">
        <w:rPr>
          <w:sz w:val="20"/>
          <w:szCs w:val="20"/>
        </w:rPr>
        <w:t>criminal</w:t>
      </w:r>
      <w:r w:rsidR="00FF41A0">
        <w:rPr>
          <w:sz w:val="20"/>
          <w:szCs w:val="20"/>
        </w:rPr>
        <w:t xml:space="preserve"> </w:t>
      </w:r>
      <w:r w:rsidR="00323457" w:rsidRPr="0059638B">
        <w:rPr>
          <w:sz w:val="20"/>
          <w:szCs w:val="20"/>
        </w:rPr>
        <w:t>charges</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brought</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three</w:t>
      </w:r>
      <w:r w:rsidR="00FF41A0">
        <w:rPr>
          <w:sz w:val="20"/>
          <w:szCs w:val="20"/>
        </w:rPr>
        <w:t xml:space="preserve"> </w:t>
      </w:r>
      <w:r w:rsidR="00323457" w:rsidRPr="0059638B">
        <w:rPr>
          <w:sz w:val="20"/>
          <w:szCs w:val="20"/>
        </w:rPr>
        <w:t>persons.</w:t>
      </w:r>
      <w:r w:rsidR="00FF41A0">
        <w:rPr>
          <w:sz w:val="20"/>
          <w:szCs w:val="20"/>
        </w:rPr>
        <w:t xml:space="preserve"> </w:t>
      </w:r>
      <w:r w:rsidR="00323457" w:rsidRPr="0059638B">
        <w:rPr>
          <w:sz w:val="20"/>
          <w:szCs w:val="20"/>
        </w:rPr>
        <w:t>Investigations</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still</w:t>
      </w:r>
      <w:r w:rsidR="00FF41A0">
        <w:rPr>
          <w:sz w:val="20"/>
          <w:szCs w:val="20"/>
        </w:rPr>
        <w:t xml:space="preserve"> </w:t>
      </w:r>
      <w:r w:rsidR="00323457" w:rsidRPr="0059638B">
        <w:rPr>
          <w:sz w:val="20"/>
          <w:szCs w:val="20"/>
        </w:rPr>
        <w:t>continued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order</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identify</w:t>
      </w:r>
      <w:r w:rsidR="00FF41A0">
        <w:rPr>
          <w:sz w:val="20"/>
          <w:szCs w:val="20"/>
        </w:rPr>
        <w:t xml:space="preserve"> </w:t>
      </w:r>
      <w:r w:rsidR="00323457" w:rsidRPr="0059638B">
        <w:rPr>
          <w:sz w:val="20"/>
          <w:szCs w:val="20"/>
        </w:rPr>
        <w:t>those</w:t>
      </w:r>
      <w:r w:rsidR="00FF41A0">
        <w:rPr>
          <w:sz w:val="20"/>
          <w:szCs w:val="20"/>
        </w:rPr>
        <w:t xml:space="preserve"> </w:t>
      </w:r>
      <w:r w:rsidR="00323457" w:rsidRPr="0059638B">
        <w:rPr>
          <w:sz w:val="20"/>
          <w:szCs w:val="20"/>
        </w:rPr>
        <w:t>who</w:t>
      </w:r>
      <w:r w:rsidR="00FF41A0">
        <w:rPr>
          <w:sz w:val="20"/>
          <w:szCs w:val="20"/>
        </w:rPr>
        <w:t xml:space="preserve"> </w:t>
      </w:r>
      <w:r w:rsidR="00323457" w:rsidRPr="0059638B">
        <w:rPr>
          <w:sz w:val="20"/>
          <w:szCs w:val="20"/>
        </w:rPr>
        <w:t>commissioned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killing</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journalist.</w:t>
      </w:r>
      <w:r w:rsidR="00FF41A0">
        <w:rPr>
          <w:sz w:val="20"/>
          <w:szCs w:val="20"/>
        </w:rPr>
        <w:t xml:space="preserve"> </w:t>
      </w:r>
    </w:p>
    <w:p w14:paraId="327315B2" w14:textId="579BD5D0" w:rsidR="00323457" w:rsidRPr="0059638B" w:rsidRDefault="00A50D75" w:rsidP="00323457">
      <w:pPr>
        <w:pStyle w:val="SingleTxtG"/>
        <w:rPr>
          <w:sz w:val="20"/>
          <w:szCs w:val="20"/>
        </w:rPr>
      </w:pPr>
      <w:r>
        <w:rPr>
          <w:sz w:val="20"/>
          <w:szCs w:val="20"/>
        </w:rPr>
        <w:t>867</w:t>
      </w:r>
      <w:r w:rsidR="000E0AEC">
        <w:rPr>
          <w:sz w:val="20"/>
          <w:szCs w:val="20"/>
        </w:rPr>
        <w:t>.</w:t>
      </w:r>
      <w:r w:rsidR="000E0AEC">
        <w:rPr>
          <w:sz w:val="20"/>
          <w:szCs w:val="20"/>
        </w:rPr>
        <w:tab/>
      </w:r>
      <w:r w:rsidR="00323457" w:rsidRPr="0059638B">
        <w:rPr>
          <w:sz w:val="20"/>
          <w:szCs w:val="20"/>
        </w:rPr>
        <w:t>Malta</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supported</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increase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safety</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journalists.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already</w:t>
      </w:r>
      <w:r w:rsidR="00FF41A0">
        <w:rPr>
          <w:sz w:val="20"/>
          <w:szCs w:val="20"/>
        </w:rPr>
        <w:t xml:space="preserve"> </w:t>
      </w:r>
      <w:r w:rsidR="00323457" w:rsidRPr="0059638B">
        <w:rPr>
          <w:sz w:val="20"/>
          <w:szCs w:val="20"/>
        </w:rPr>
        <w:t>increased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strengthen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independence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media</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end</w:t>
      </w:r>
      <w:r w:rsidR="00FF41A0">
        <w:rPr>
          <w:sz w:val="20"/>
          <w:szCs w:val="20"/>
        </w:rPr>
        <w:t xml:space="preserve"> </w:t>
      </w:r>
      <w:r w:rsidR="00323457" w:rsidRPr="0059638B">
        <w:rPr>
          <w:sz w:val="20"/>
          <w:szCs w:val="20"/>
        </w:rPr>
        <w:t>any</w:t>
      </w:r>
      <w:r w:rsidR="00FF41A0">
        <w:rPr>
          <w:sz w:val="20"/>
          <w:szCs w:val="20"/>
        </w:rPr>
        <w:t xml:space="preserve"> </w:t>
      </w:r>
      <w:r w:rsidR="00323457" w:rsidRPr="0059638B">
        <w:rPr>
          <w:sz w:val="20"/>
          <w:szCs w:val="20"/>
        </w:rPr>
        <w:t>interference</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work</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media</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enacting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Media</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Defamation</w:t>
      </w:r>
      <w:r w:rsidR="00FF41A0">
        <w:rPr>
          <w:sz w:val="20"/>
          <w:szCs w:val="20"/>
        </w:rPr>
        <w:t xml:space="preserve"> </w:t>
      </w:r>
      <w:r w:rsidR="00323457" w:rsidRPr="0059638B">
        <w:rPr>
          <w:sz w:val="20"/>
          <w:szCs w:val="20"/>
        </w:rPr>
        <w:t>Act</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2018.</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Act</w:t>
      </w:r>
      <w:r w:rsidR="00FF41A0">
        <w:rPr>
          <w:sz w:val="20"/>
          <w:szCs w:val="20"/>
        </w:rPr>
        <w:t xml:space="preserve"> </w:t>
      </w:r>
      <w:r w:rsidR="00323457" w:rsidRPr="0059638B">
        <w:rPr>
          <w:sz w:val="20"/>
          <w:szCs w:val="20"/>
        </w:rPr>
        <w:t>repealed</w:t>
      </w:r>
      <w:r w:rsidR="00FF41A0">
        <w:rPr>
          <w:sz w:val="20"/>
          <w:szCs w:val="20"/>
        </w:rPr>
        <w:t xml:space="preserve"> </w:t>
      </w:r>
      <w:r w:rsidR="00323457" w:rsidRPr="0059638B">
        <w:rPr>
          <w:sz w:val="20"/>
          <w:szCs w:val="20"/>
        </w:rPr>
        <w:t>laws</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media</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introduced</w:t>
      </w:r>
      <w:r w:rsidR="00FF41A0">
        <w:rPr>
          <w:sz w:val="20"/>
          <w:szCs w:val="20"/>
        </w:rPr>
        <w:t xml:space="preserve"> </w:t>
      </w:r>
      <w:r w:rsidR="00323457" w:rsidRPr="0059638B">
        <w:rPr>
          <w:sz w:val="20"/>
          <w:szCs w:val="20"/>
        </w:rPr>
        <w:t>various</w:t>
      </w:r>
      <w:r w:rsidR="00FF41A0">
        <w:rPr>
          <w:sz w:val="20"/>
          <w:szCs w:val="20"/>
        </w:rPr>
        <w:t xml:space="preserve"> </w:t>
      </w:r>
      <w:r w:rsidR="00323457" w:rsidRPr="0059638B">
        <w:rPr>
          <w:sz w:val="20"/>
          <w:szCs w:val="20"/>
        </w:rPr>
        <w:t>safeguards</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journalists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strengthened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freedom</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expression,</w:t>
      </w:r>
      <w:r w:rsidR="00FF41A0">
        <w:rPr>
          <w:sz w:val="20"/>
          <w:szCs w:val="20"/>
        </w:rPr>
        <w:t xml:space="preserve"> </w:t>
      </w:r>
      <w:r w:rsidR="00323457" w:rsidRPr="0059638B">
        <w:rPr>
          <w:sz w:val="20"/>
          <w:szCs w:val="20"/>
        </w:rPr>
        <w:t>including</w:t>
      </w:r>
      <w:r w:rsidR="00FF41A0">
        <w:rPr>
          <w:sz w:val="20"/>
          <w:szCs w:val="20"/>
        </w:rPr>
        <w:t xml:space="preserve"> </w:t>
      </w:r>
      <w:r w:rsidR="00323457" w:rsidRPr="0059638B">
        <w:rPr>
          <w:sz w:val="20"/>
          <w:szCs w:val="20"/>
        </w:rPr>
        <w:t>through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abolition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criminal</w:t>
      </w:r>
      <w:r w:rsidR="00FF41A0">
        <w:rPr>
          <w:sz w:val="20"/>
          <w:szCs w:val="20"/>
        </w:rPr>
        <w:t xml:space="preserve"> </w:t>
      </w:r>
      <w:r w:rsidR="00323457" w:rsidRPr="0059638B">
        <w:rPr>
          <w:sz w:val="20"/>
          <w:szCs w:val="20"/>
        </w:rPr>
        <w:t>libel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introduction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new</w:t>
      </w:r>
      <w:r w:rsidR="00FF41A0">
        <w:rPr>
          <w:sz w:val="20"/>
          <w:szCs w:val="20"/>
        </w:rPr>
        <w:t xml:space="preserve"> </w:t>
      </w:r>
      <w:r w:rsidR="00323457" w:rsidRPr="0059638B">
        <w:rPr>
          <w:sz w:val="20"/>
          <w:szCs w:val="20"/>
        </w:rPr>
        <w:t>civil</w:t>
      </w:r>
      <w:r w:rsidR="00FF41A0">
        <w:rPr>
          <w:sz w:val="20"/>
          <w:szCs w:val="20"/>
        </w:rPr>
        <w:t xml:space="preserve"> </w:t>
      </w:r>
      <w:r w:rsidR="00323457" w:rsidRPr="0059638B">
        <w:rPr>
          <w:sz w:val="20"/>
          <w:szCs w:val="20"/>
        </w:rPr>
        <w:t>tort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slander.</w:t>
      </w:r>
      <w:r w:rsidR="00FF41A0">
        <w:rPr>
          <w:sz w:val="20"/>
          <w:szCs w:val="20"/>
        </w:rPr>
        <w:t xml:space="preserve"> </w:t>
      </w:r>
    </w:p>
    <w:p w14:paraId="04141E84" w14:textId="76CE0F50" w:rsidR="00323457" w:rsidRPr="0059638B" w:rsidRDefault="00A50D75" w:rsidP="00323457">
      <w:pPr>
        <w:pStyle w:val="SingleTxtG"/>
        <w:rPr>
          <w:sz w:val="20"/>
          <w:szCs w:val="20"/>
        </w:rPr>
      </w:pPr>
      <w:r>
        <w:rPr>
          <w:sz w:val="20"/>
          <w:szCs w:val="20"/>
        </w:rPr>
        <w:t>868</w:t>
      </w:r>
      <w:r w:rsidR="000E0AEC">
        <w:rPr>
          <w:sz w:val="20"/>
          <w:szCs w:val="20"/>
        </w:rPr>
        <w:t>.</w:t>
      </w:r>
      <w:r w:rsidR="000E0AEC">
        <w:rPr>
          <w:sz w:val="20"/>
          <w:szCs w:val="20"/>
        </w:rPr>
        <w:tab/>
      </w:r>
      <w:r w:rsidR="00323457" w:rsidRPr="0059638B">
        <w:rPr>
          <w:sz w:val="20"/>
          <w:szCs w:val="20"/>
        </w:rPr>
        <w:t>Remaining</w:t>
      </w:r>
      <w:r w:rsidR="00FF41A0">
        <w:rPr>
          <w:sz w:val="20"/>
          <w:szCs w:val="20"/>
        </w:rPr>
        <w:t xml:space="preserve"> </w:t>
      </w:r>
      <w:r w:rsidR="00323457" w:rsidRPr="0059638B">
        <w:rPr>
          <w:sz w:val="20"/>
          <w:szCs w:val="20"/>
        </w:rPr>
        <w:t>committed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principle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rule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law</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combatting</w:t>
      </w:r>
      <w:r w:rsidR="00FF41A0">
        <w:rPr>
          <w:sz w:val="20"/>
          <w:szCs w:val="20"/>
        </w:rPr>
        <w:t xml:space="preserve"> </w:t>
      </w:r>
      <w:r w:rsidR="00323457" w:rsidRPr="0059638B">
        <w:rPr>
          <w:sz w:val="20"/>
          <w:szCs w:val="20"/>
        </w:rPr>
        <w:t>corruption,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introduced</w:t>
      </w:r>
      <w:r w:rsidR="00FF41A0">
        <w:rPr>
          <w:sz w:val="20"/>
          <w:szCs w:val="20"/>
        </w:rPr>
        <w:t xml:space="preserve"> </w:t>
      </w:r>
      <w:r w:rsidR="00323457" w:rsidRPr="0059638B">
        <w:rPr>
          <w:sz w:val="20"/>
          <w:szCs w:val="20"/>
        </w:rPr>
        <w:t>various</w:t>
      </w:r>
      <w:r w:rsidR="00FF41A0">
        <w:rPr>
          <w:sz w:val="20"/>
          <w:szCs w:val="20"/>
        </w:rPr>
        <w:t xml:space="preserve"> </w:t>
      </w:r>
      <w:r w:rsidR="00323457" w:rsidRPr="0059638B">
        <w:rPr>
          <w:sz w:val="20"/>
          <w:szCs w:val="20"/>
        </w:rPr>
        <w:t>reforms,</w:t>
      </w:r>
      <w:r w:rsidR="00FF41A0">
        <w:rPr>
          <w:sz w:val="20"/>
          <w:szCs w:val="20"/>
        </w:rPr>
        <w:t xml:space="preserve"> </w:t>
      </w:r>
      <w:r w:rsidR="00323457" w:rsidRPr="0059638B">
        <w:rPr>
          <w:sz w:val="20"/>
          <w:szCs w:val="20"/>
        </w:rPr>
        <w:t>including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enhancement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further</w:t>
      </w:r>
      <w:r w:rsidR="00FF41A0">
        <w:rPr>
          <w:sz w:val="20"/>
          <w:szCs w:val="20"/>
        </w:rPr>
        <w:t xml:space="preserve"> </w:t>
      </w:r>
      <w:r w:rsidR="00323457" w:rsidRPr="0059638B">
        <w:rPr>
          <w:sz w:val="20"/>
          <w:szCs w:val="20"/>
        </w:rPr>
        <w:t>improvement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quality,</w:t>
      </w:r>
      <w:r w:rsidR="00FF41A0">
        <w:rPr>
          <w:sz w:val="20"/>
          <w:szCs w:val="20"/>
        </w:rPr>
        <w:t xml:space="preserve"> </w:t>
      </w:r>
      <w:r w:rsidR="00323457" w:rsidRPr="0059638B">
        <w:rPr>
          <w:sz w:val="20"/>
          <w:szCs w:val="20"/>
        </w:rPr>
        <w:t>independence,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efficiency</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justice</w:t>
      </w:r>
      <w:r w:rsidR="00FF41A0">
        <w:rPr>
          <w:sz w:val="20"/>
          <w:szCs w:val="20"/>
        </w:rPr>
        <w:t xml:space="preserve"> </w:t>
      </w:r>
      <w:r w:rsidR="00323457" w:rsidRPr="0059638B">
        <w:rPr>
          <w:sz w:val="20"/>
          <w:szCs w:val="20"/>
        </w:rPr>
        <w:t>system.</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legislation</w:t>
      </w:r>
      <w:r w:rsidR="00FF41A0">
        <w:rPr>
          <w:sz w:val="20"/>
          <w:szCs w:val="20"/>
        </w:rPr>
        <w:t xml:space="preserve"> </w:t>
      </w:r>
      <w:r w:rsidR="00323457" w:rsidRPr="0059638B">
        <w:rPr>
          <w:sz w:val="20"/>
          <w:szCs w:val="20"/>
        </w:rPr>
        <w:t>provided</w:t>
      </w:r>
      <w:r w:rsidR="00FF41A0">
        <w:rPr>
          <w:sz w:val="20"/>
          <w:szCs w:val="20"/>
        </w:rPr>
        <w:t xml:space="preserve"> </w:t>
      </w:r>
      <w:r w:rsidR="00323457" w:rsidRPr="0059638B">
        <w:rPr>
          <w:sz w:val="20"/>
          <w:szCs w:val="20"/>
        </w:rPr>
        <w:t>safeguards</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whistle-blowers</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well</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regulations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scrutiny</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public</w:t>
      </w:r>
      <w:r w:rsidR="00FF41A0">
        <w:rPr>
          <w:sz w:val="20"/>
          <w:szCs w:val="20"/>
        </w:rPr>
        <w:t xml:space="preserve"> </w:t>
      </w:r>
      <w:r w:rsidR="00323457" w:rsidRPr="0059638B">
        <w:rPr>
          <w:sz w:val="20"/>
          <w:szCs w:val="20"/>
        </w:rPr>
        <w:t>appointments,</w:t>
      </w:r>
      <w:r w:rsidR="00FF41A0">
        <w:rPr>
          <w:sz w:val="20"/>
          <w:szCs w:val="20"/>
        </w:rPr>
        <w:t xml:space="preserve"> </w:t>
      </w:r>
      <w:r w:rsidR="00323457" w:rsidRPr="0059638B">
        <w:rPr>
          <w:sz w:val="20"/>
          <w:szCs w:val="20"/>
        </w:rPr>
        <w:t>including</w:t>
      </w:r>
      <w:r w:rsidR="00FF41A0">
        <w:rPr>
          <w:sz w:val="20"/>
          <w:szCs w:val="20"/>
        </w:rPr>
        <w:t xml:space="preserve"> </w:t>
      </w:r>
      <w:r w:rsidR="00323457" w:rsidRPr="0059638B">
        <w:rPr>
          <w:sz w:val="20"/>
          <w:szCs w:val="20"/>
        </w:rPr>
        <w:t>judicial</w:t>
      </w:r>
      <w:r w:rsidR="00FF41A0">
        <w:rPr>
          <w:sz w:val="20"/>
          <w:szCs w:val="20"/>
        </w:rPr>
        <w:t xml:space="preserve"> </w:t>
      </w:r>
      <w:r w:rsidR="00323457" w:rsidRPr="0059638B">
        <w:rPr>
          <w:sz w:val="20"/>
          <w:szCs w:val="20"/>
        </w:rPr>
        <w:t>appointments.</w:t>
      </w:r>
    </w:p>
    <w:p w14:paraId="12E3610F" w14:textId="71146735" w:rsidR="00323457" w:rsidRPr="0059638B" w:rsidRDefault="00A50D75" w:rsidP="00323457">
      <w:pPr>
        <w:pStyle w:val="SingleTxtG"/>
        <w:rPr>
          <w:sz w:val="20"/>
          <w:szCs w:val="20"/>
        </w:rPr>
      </w:pPr>
      <w:r>
        <w:rPr>
          <w:sz w:val="20"/>
          <w:szCs w:val="20"/>
        </w:rPr>
        <w:lastRenderedPageBreak/>
        <w:t>869</w:t>
      </w:r>
      <w:r w:rsidR="000E0AEC">
        <w:rPr>
          <w:sz w:val="20"/>
          <w:szCs w:val="20"/>
        </w:rPr>
        <w:t>.</w:t>
      </w:r>
      <w:r w:rsidR="000E0AEC">
        <w:rPr>
          <w:sz w:val="20"/>
          <w:szCs w:val="20"/>
        </w:rPr>
        <w:tab/>
      </w:r>
      <w:r w:rsidR="00323457" w:rsidRPr="0059638B">
        <w:rPr>
          <w:sz w:val="20"/>
          <w:szCs w:val="20"/>
        </w:rPr>
        <w:t>The</w:t>
      </w:r>
      <w:r w:rsidR="00FF41A0">
        <w:rPr>
          <w:sz w:val="20"/>
          <w:szCs w:val="20"/>
        </w:rPr>
        <w:t xml:space="preserve"> </w:t>
      </w:r>
      <w:r w:rsidR="00323457" w:rsidRPr="0059638B">
        <w:rPr>
          <w:sz w:val="20"/>
          <w:szCs w:val="20"/>
        </w:rPr>
        <w:t>advancement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gender</w:t>
      </w:r>
      <w:r w:rsidR="00FF41A0">
        <w:rPr>
          <w:sz w:val="20"/>
          <w:szCs w:val="20"/>
        </w:rPr>
        <w:t xml:space="preserve"> </w:t>
      </w:r>
      <w:r w:rsidR="00323457" w:rsidRPr="0059638B">
        <w:rPr>
          <w:sz w:val="20"/>
          <w:szCs w:val="20"/>
        </w:rPr>
        <w:t>equality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increase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women</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participation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decision-making</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workforce</w:t>
      </w:r>
      <w:r w:rsidR="00FF41A0">
        <w:rPr>
          <w:sz w:val="20"/>
          <w:szCs w:val="20"/>
        </w:rPr>
        <w:t xml:space="preserve"> </w:t>
      </w:r>
      <w:r w:rsidR="00323457" w:rsidRPr="0059638B">
        <w:rPr>
          <w:sz w:val="20"/>
          <w:szCs w:val="20"/>
        </w:rPr>
        <w:t>remained</w:t>
      </w:r>
      <w:r w:rsidR="00FF41A0">
        <w:rPr>
          <w:sz w:val="20"/>
          <w:szCs w:val="20"/>
        </w:rPr>
        <w:t xml:space="preserve"> </w:t>
      </w:r>
      <w:r w:rsidR="00323457" w:rsidRPr="0059638B">
        <w:rPr>
          <w:sz w:val="20"/>
          <w:szCs w:val="20"/>
        </w:rPr>
        <w:t>central</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plans</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equality.</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result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various</w:t>
      </w:r>
      <w:r w:rsidR="00FF41A0">
        <w:rPr>
          <w:sz w:val="20"/>
          <w:szCs w:val="20"/>
        </w:rPr>
        <w:t xml:space="preserve"> </w:t>
      </w:r>
      <w:r w:rsidR="00323457" w:rsidRPr="0059638B">
        <w:rPr>
          <w:sz w:val="20"/>
          <w:szCs w:val="20"/>
        </w:rPr>
        <w:t>initiatives,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female</w:t>
      </w:r>
      <w:r w:rsidR="00FF41A0">
        <w:rPr>
          <w:sz w:val="20"/>
          <w:szCs w:val="20"/>
        </w:rPr>
        <w:t xml:space="preserve"> </w:t>
      </w:r>
      <w:r w:rsidR="00323457" w:rsidRPr="0059638B">
        <w:rPr>
          <w:sz w:val="20"/>
          <w:szCs w:val="20"/>
        </w:rPr>
        <w:t>employment</w:t>
      </w:r>
      <w:r w:rsidR="00FF41A0">
        <w:rPr>
          <w:sz w:val="20"/>
          <w:szCs w:val="20"/>
        </w:rPr>
        <w:t xml:space="preserve"> </w:t>
      </w:r>
      <w:r w:rsidR="00323457" w:rsidRPr="0059638B">
        <w:rPr>
          <w:sz w:val="20"/>
          <w:szCs w:val="20"/>
        </w:rPr>
        <w:t>rate</w:t>
      </w:r>
      <w:r w:rsidR="00FF41A0">
        <w:rPr>
          <w:sz w:val="20"/>
          <w:szCs w:val="20"/>
        </w:rPr>
        <w:t xml:space="preserve"> </w:t>
      </w:r>
      <w:r w:rsidR="00323457" w:rsidRPr="0059638B">
        <w:rPr>
          <w:sz w:val="20"/>
          <w:szCs w:val="20"/>
        </w:rPr>
        <w:t>increased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14.5</w:t>
      </w:r>
      <w:r w:rsidR="00FF41A0">
        <w:rPr>
          <w:sz w:val="20"/>
          <w:szCs w:val="20"/>
        </w:rPr>
        <w:t xml:space="preserve"> </w:t>
      </w:r>
      <w:r w:rsidR="00323457" w:rsidRPr="0059638B">
        <w:rPr>
          <w:sz w:val="20"/>
          <w:szCs w:val="20"/>
        </w:rPr>
        <w:t>per</w:t>
      </w:r>
      <w:r w:rsidR="00FF41A0">
        <w:rPr>
          <w:sz w:val="20"/>
          <w:szCs w:val="20"/>
        </w:rPr>
        <w:t xml:space="preserve"> </w:t>
      </w:r>
      <w:r w:rsidR="00323457" w:rsidRPr="0059638B">
        <w:rPr>
          <w:sz w:val="20"/>
          <w:szCs w:val="20"/>
        </w:rPr>
        <w:t>cent</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five</w:t>
      </w:r>
      <w:r w:rsidR="00FF41A0">
        <w:rPr>
          <w:sz w:val="20"/>
          <w:szCs w:val="20"/>
        </w:rPr>
        <w:t xml:space="preserve"> </w:t>
      </w:r>
      <w:r w:rsidR="00323457" w:rsidRPr="0059638B">
        <w:rPr>
          <w:sz w:val="20"/>
          <w:szCs w:val="20"/>
        </w:rPr>
        <w:t>years,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more</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employed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full-time</w:t>
      </w:r>
      <w:r w:rsidR="00FF41A0">
        <w:rPr>
          <w:sz w:val="20"/>
          <w:szCs w:val="20"/>
        </w:rPr>
        <w:t xml:space="preserve"> </w:t>
      </w:r>
      <w:r w:rsidR="00323457" w:rsidRPr="0059638B">
        <w:rPr>
          <w:sz w:val="20"/>
          <w:szCs w:val="20"/>
        </w:rPr>
        <w:t>jobs.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adoption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draft</w:t>
      </w:r>
      <w:r w:rsidR="00FF41A0">
        <w:rPr>
          <w:sz w:val="20"/>
          <w:szCs w:val="20"/>
        </w:rPr>
        <w:t xml:space="preserve"> </w:t>
      </w:r>
      <w:r w:rsidR="00323457" w:rsidRPr="0059638B">
        <w:rPr>
          <w:sz w:val="20"/>
          <w:szCs w:val="20"/>
        </w:rPr>
        <w:t>Gender</w:t>
      </w:r>
      <w:r w:rsidR="00FF41A0">
        <w:rPr>
          <w:sz w:val="20"/>
          <w:szCs w:val="20"/>
        </w:rPr>
        <w:t xml:space="preserve"> </w:t>
      </w:r>
      <w:r w:rsidR="00323457" w:rsidRPr="0059638B">
        <w:rPr>
          <w:sz w:val="20"/>
          <w:szCs w:val="20"/>
        </w:rPr>
        <w:t>Equality</w:t>
      </w:r>
      <w:r w:rsidR="00FF41A0">
        <w:rPr>
          <w:sz w:val="20"/>
          <w:szCs w:val="20"/>
        </w:rPr>
        <w:t xml:space="preserve"> </w:t>
      </w:r>
      <w:r w:rsidR="00323457" w:rsidRPr="0059638B">
        <w:rPr>
          <w:sz w:val="20"/>
          <w:szCs w:val="20"/>
        </w:rPr>
        <w:t>Mainstreaming</w:t>
      </w:r>
      <w:r w:rsidR="00FF41A0">
        <w:rPr>
          <w:sz w:val="20"/>
          <w:szCs w:val="20"/>
        </w:rPr>
        <w:t xml:space="preserve"> </w:t>
      </w:r>
      <w:r w:rsidR="00323457" w:rsidRPr="0059638B">
        <w:rPr>
          <w:sz w:val="20"/>
          <w:szCs w:val="20"/>
        </w:rPr>
        <w:t>Strategy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corresponding</w:t>
      </w:r>
      <w:r w:rsidR="00FF41A0">
        <w:rPr>
          <w:sz w:val="20"/>
          <w:szCs w:val="20"/>
        </w:rPr>
        <w:t xml:space="preserve"> </w:t>
      </w:r>
      <w:r w:rsidR="00323457" w:rsidRPr="0059638B">
        <w:rPr>
          <w:sz w:val="20"/>
          <w:szCs w:val="20"/>
        </w:rPr>
        <w:t>action</w:t>
      </w:r>
      <w:r w:rsidR="00FF41A0">
        <w:rPr>
          <w:sz w:val="20"/>
          <w:szCs w:val="20"/>
        </w:rPr>
        <w:t xml:space="preserve"> </w:t>
      </w:r>
      <w:r w:rsidR="00323457" w:rsidRPr="0059638B">
        <w:rPr>
          <w:sz w:val="20"/>
          <w:szCs w:val="20"/>
        </w:rPr>
        <w:t>plan</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strengthen</w:t>
      </w:r>
      <w:r w:rsidR="00FF41A0">
        <w:rPr>
          <w:sz w:val="20"/>
          <w:szCs w:val="20"/>
        </w:rPr>
        <w:t xml:space="preserve"> </w:t>
      </w:r>
      <w:r w:rsidR="00323457" w:rsidRPr="0059638B">
        <w:rPr>
          <w:sz w:val="20"/>
          <w:szCs w:val="20"/>
        </w:rPr>
        <w:t>those</w:t>
      </w:r>
      <w:r w:rsidR="00FF41A0">
        <w:rPr>
          <w:sz w:val="20"/>
          <w:szCs w:val="20"/>
        </w:rPr>
        <w:t xml:space="preserve"> </w:t>
      </w:r>
      <w:r w:rsidR="00323457" w:rsidRPr="0059638B">
        <w:rPr>
          <w:sz w:val="20"/>
          <w:szCs w:val="20"/>
        </w:rPr>
        <w:t>measures.</w:t>
      </w:r>
      <w:r w:rsidR="00FF41A0">
        <w:rPr>
          <w:sz w:val="20"/>
          <w:szCs w:val="20"/>
        </w:rPr>
        <w:t xml:space="preserve"> </w:t>
      </w:r>
    </w:p>
    <w:p w14:paraId="380F2B48" w14:textId="3C7DA6F4" w:rsidR="00323457" w:rsidRPr="0059638B" w:rsidRDefault="00A50D75" w:rsidP="00323457">
      <w:pPr>
        <w:pStyle w:val="SingleTxtG"/>
        <w:rPr>
          <w:sz w:val="20"/>
          <w:szCs w:val="20"/>
        </w:rPr>
      </w:pPr>
      <w:r>
        <w:rPr>
          <w:sz w:val="20"/>
          <w:szCs w:val="20"/>
        </w:rPr>
        <w:t>870</w:t>
      </w:r>
      <w:r w:rsidR="000E0AEC">
        <w:rPr>
          <w:sz w:val="20"/>
          <w:szCs w:val="20"/>
        </w:rPr>
        <w:t>.</w:t>
      </w:r>
      <w:r w:rsidR="000E0AEC">
        <w:rPr>
          <w:sz w:val="20"/>
          <w:szCs w:val="20"/>
        </w:rPr>
        <w:tab/>
      </w:r>
      <w:r w:rsidR="00323457" w:rsidRPr="0059638B">
        <w:rPr>
          <w:sz w:val="20"/>
          <w:szCs w:val="20"/>
        </w:rPr>
        <w:t>Malta</w:t>
      </w:r>
      <w:r w:rsidR="00FF41A0">
        <w:rPr>
          <w:sz w:val="20"/>
          <w:szCs w:val="20"/>
        </w:rPr>
        <w:t xml:space="preserve"> </w:t>
      </w:r>
      <w:r w:rsidR="00323457" w:rsidRPr="0059638B">
        <w:rPr>
          <w:sz w:val="20"/>
          <w:szCs w:val="20"/>
        </w:rPr>
        <w:t>supported</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reduce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gender</w:t>
      </w:r>
      <w:r w:rsidR="00FF41A0">
        <w:rPr>
          <w:sz w:val="20"/>
          <w:szCs w:val="20"/>
        </w:rPr>
        <w:t xml:space="preserve"> </w:t>
      </w:r>
      <w:r w:rsidR="00323457" w:rsidRPr="0059638B">
        <w:rPr>
          <w:sz w:val="20"/>
          <w:szCs w:val="20"/>
        </w:rPr>
        <w:t>pay</w:t>
      </w:r>
      <w:r w:rsidR="00FF41A0">
        <w:rPr>
          <w:sz w:val="20"/>
          <w:szCs w:val="20"/>
        </w:rPr>
        <w:t xml:space="preserve"> </w:t>
      </w:r>
      <w:r w:rsidR="00323457" w:rsidRPr="0059638B">
        <w:rPr>
          <w:sz w:val="20"/>
          <w:szCs w:val="20"/>
        </w:rPr>
        <w:t>gap,</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currently</w:t>
      </w:r>
      <w:r w:rsidR="00FF41A0">
        <w:rPr>
          <w:sz w:val="20"/>
          <w:szCs w:val="20"/>
        </w:rPr>
        <w:t xml:space="preserve"> </w:t>
      </w:r>
      <w:r w:rsidR="00323457" w:rsidRPr="0059638B">
        <w:rPr>
          <w:sz w:val="20"/>
          <w:szCs w:val="20"/>
        </w:rPr>
        <w:t>stood</w:t>
      </w:r>
      <w:r w:rsidR="00FF41A0">
        <w:rPr>
          <w:sz w:val="20"/>
          <w:szCs w:val="20"/>
        </w:rPr>
        <w:t xml:space="preserve"> </w:t>
      </w:r>
      <w:r w:rsidR="00323457" w:rsidRPr="0059638B">
        <w:rPr>
          <w:sz w:val="20"/>
          <w:szCs w:val="20"/>
        </w:rPr>
        <w:t>at</w:t>
      </w:r>
      <w:r w:rsidR="00FF41A0">
        <w:rPr>
          <w:sz w:val="20"/>
          <w:szCs w:val="20"/>
        </w:rPr>
        <w:t xml:space="preserve"> </w:t>
      </w:r>
      <w:r w:rsidR="00323457" w:rsidRPr="0059638B">
        <w:rPr>
          <w:sz w:val="20"/>
          <w:szCs w:val="20"/>
        </w:rPr>
        <w:t>11</w:t>
      </w:r>
      <w:r w:rsidR="00FF41A0">
        <w:rPr>
          <w:sz w:val="20"/>
          <w:szCs w:val="20"/>
        </w:rPr>
        <w:t xml:space="preserve"> </w:t>
      </w:r>
      <w:r w:rsidR="00323457" w:rsidRPr="0059638B">
        <w:rPr>
          <w:sz w:val="20"/>
          <w:szCs w:val="20"/>
        </w:rPr>
        <w:t>per</w:t>
      </w:r>
      <w:r w:rsidR="00FF41A0">
        <w:rPr>
          <w:sz w:val="20"/>
          <w:szCs w:val="20"/>
        </w:rPr>
        <w:t xml:space="preserve"> </w:t>
      </w:r>
      <w:r w:rsidR="00323457" w:rsidRPr="0059638B">
        <w:rPr>
          <w:sz w:val="20"/>
          <w:szCs w:val="20"/>
        </w:rPr>
        <w:t>cent.</w:t>
      </w:r>
      <w:r w:rsidR="00FF41A0">
        <w:rPr>
          <w:sz w:val="20"/>
          <w:szCs w:val="20"/>
        </w:rPr>
        <w:t xml:space="preserve"> </w:t>
      </w:r>
      <w:r w:rsidR="00323457" w:rsidRPr="0059638B">
        <w:rPr>
          <w:sz w:val="20"/>
          <w:szCs w:val="20"/>
        </w:rPr>
        <w:t>Despite</w:t>
      </w:r>
      <w:r w:rsidR="00FF41A0">
        <w:rPr>
          <w:sz w:val="20"/>
          <w:szCs w:val="20"/>
        </w:rPr>
        <w:t xml:space="preserve"> </w:t>
      </w:r>
      <w:r w:rsidR="00323457" w:rsidRPr="0059638B">
        <w:rPr>
          <w:sz w:val="20"/>
          <w:szCs w:val="20"/>
        </w:rPr>
        <w:t>being</w:t>
      </w:r>
      <w:r w:rsidR="00FF41A0">
        <w:rPr>
          <w:sz w:val="20"/>
          <w:szCs w:val="20"/>
        </w:rPr>
        <w:t xml:space="preserve"> </w:t>
      </w:r>
      <w:r w:rsidR="00323457" w:rsidRPr="0059638B">
        <w:rPr>
          <w:sz w:val="20"/>
          <w:szCs w:val="20"/>
        </w:rPr>
        <w:t>below</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average</w:t>
      </w:r>
      <w:r w:rsidR="00FF41A0">
        <w:rPr>
          <w:sz w:val="20"/>
          <w:szCs w:val="20"/>
        </w:rPr>
        <w:t xml:space="preserve"> </w:t>
      </w:r>
      <w:r w:rsidR="00323457" w:rsidRPr="0059638B">
        <w:rPr>
          <w:sz w:val="20"/>
          <w:szCs w:val="20"/>
        </w:rPr>
        <w:t>gender</w:t>
      </w:r>
      <w:r w:rsidR="00FF41A0">
        <w:rPr>
          <w:sz w:val="20"/>
          <w:szCs w:val="20"/>
        </w:rPr>
        <w:t xml:space="preserve"> </w:t>
      </w:r>
      <w:r w:rsidR="00323457" w:rsidRPr="0059638B">
        <w:rPr>
          <w:sz w:val="20"/>
          <w:szCs w:val="20"/>
        </w:rPr>
        <w:t>pay</w:t>
      </w:r>
      <w:r w:rsidR="00FF41A0">
        <w:rPr>
          <w:sz w:val="20"/>
          <w:szCs w:val="20"/>
        </w:rPr>
        <w:t xml:space="preserve"> </w:t>
      </w:r>
      <w:r w:rsidR="00323457" w:rsidRPr="0059638B">
        <w:rPr>
          <w:sz w:val="20"/>
          <w:szCs w:val="20"/>
        </w:rPr>
        <w:t>gap</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European</w:t>
      </w:r>
      <w:r w:rsidR="00FF41A0">
        <w:rPr>
          <w:sz w:val="20"/>
          <w:szCs w:val="20"/>
        </w:rPr>
        <w:t xml:space="preserve"> </w:t>
      </w:r>
      <w:r w:rsidR="00323457" w:rsidRPr="0059638B">
        <w:rPr>
          <w:sz w:val="20"/>
          <w:szCs w:val="20"/>
        </w:rPr>
        <w:t>Union</w:t>
      </w:r>
      <w:r w:rsidR="00FF41A0">
        <w:rPr>
          <w:sz w:val="20"/>
          <w:szCs w:val="20"/>
        </w:rPr>
        <w:t xml:space="preserve"> </w:t>
      </w:r>
      <w:r w:rsidR="00323457" w:rsidRPr="0059638B">
        <w:rPr>
          <w:sz w:val="20"/>
          <w:szCs w:val="20"/>
        </w:rPr>
        <w:t>countries,</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growth</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concern.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gender</w:t>
      </w:r>
      <w:r w:rsidR="00FF41A0">
        <w:rPr>
          <w:sz w:val="20"/>
          <w:szCs w:val="20"/>
        </w:rPr>
        <w:t xml:space="preserve"> </w:t>
      </w:r>
      <w:r w:rsidR="00323457" w:rsidRPr="0059638B">
        <w:rPr>
          <w:sz w:val="20"/>
          <w:szCs w:val="20"/>
        </w:rPr>
        <w:t>pay</w:t>
      </w:r>
      <w:r w:rsidR="00FF41A0">
        <w:rPr>
          <w:sz w:val="20"/>
          <w:szCs w:val="20"/>
        </w:rPr>
        <w:t xml:space="preserve"> </w:t>
      </w:r>
      <w:r w:rsidR="00323457" w:rsidRPr="0059638B">
        <w:rPr>
          <w:sz w:val="20"/>
          <w:szCs w:val="20"/>
        </w:rPr>
        <w:t>gap</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be</w:t>
      </w:r>
      <w:r w:rsidR="00FF41A0">
        <w:rPr>
          <w:sz w:val="20"/>
          <w:szCs w:val="20"/>
        </w:rPr>
        <w:t xml:space="preserve"> </w:t>
      </w:r>
      <w:r w:rsidR="00323457" w:rsidRPr="0059638B">
        <w:rPr>
          <w:sz w:val="20"/>
          <w:szCs w:val="20"/>
        </w:rPr>
        <w:t>tackled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directly</w:t>
      </w:r>
      <w:r w:rsidR="00FF41A0">
        <w:rPr>
          <w:sz w:val="20"/>
          <w:szCs w:val="20"/>
        </w:rPr>
        <w:t xml:space="preserve"> </w:t>
      </w:r>
      <w:r w:rsidR="00323457" w:rsidRPr="0059638B">
        <w:rPr>
          <w:sz w:val="20"/>
          <w:szCs w:val="20"/>
        </w:rPr>
        <w:t>addressing</w:t>
      </w:r>
      <w:r w:rsidR="00FF41A0">
        <w:rPr>
          <w:sz w:val="20"/>
          <w:szCs w:val="20"/>
        </w:rPr>
        <w:t xml:space="preserve"> </w:t>
      </w:r>
      <w:r w:rsidR="00323457" w:rsidRPr="0059638B">
        <w:rPr>
          <w:sz w:val="20"/>
          <w:szCs w:val="20"/>
        </w:rPr>
        <w:t>horizontal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vertical</w:t>
      </w:r>
      <w:r w:rsidR="00FF41A0">
        <w:rPr>
          <w:sz w:val="20"/>
          <w:szCs w:val="20"/>
        </w:rPr>
        <w:t xml:space="preserve"> </w:t>
      </w:r>
      <w:r w:rsidR="00323457" w:rsidRPr="0059638B">
        <w:rPr>
          <w:sz w:val="20"/>
          <w:szCs w:val="20"/>
        </w:rPr>
        <w:t>segregation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labour</w:t>
      </w:r>
      <w:r w:rsidR="00FF41A0">
        <w:rPr>
          <w:sz w:val="20"/>
          <w:szCs w:val="20"/>
        </w:rPr>
        <w:t xml:space="preserve"> </w:t>
      </w:r>
      <w:r w:rsidR="00323457" w:rsidRPr="0059638B">
        <w:rPr>
          <w:sz w:val="20"/>
          <w:szCs w:val="20"/>
        </w:rPr>
        <w:t>market.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formulating</w:t>
      </w:r>
      <w:r w:rsidR="00FF41A0">
        <w:rPr>
          <w:sz w:val="20"/>
          <w:szCs w:val="20"/>
        </w:rPr>
        <w:t xml:space="preserve"> </w:t>
      </w:r>
      <w:r w:rsidR="00323457" w:rsidRPr="0059638B">
        <w:rPr>
          <w:sz w:val="20"/>
          <w:szCs w:val="20"/>
        </w:rPr>
        <w:t>measures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increase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number</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elected</w:t>
      </w:r>
      <w:r w:rsidR="00FF41A0">
        <w:rPr>
          <w:sz w:val="20"/>
          <w:szCs w:val="20"/>
        </w:rPr>
        <w:t xml:space="preserve"> </w:t>
      </w:r>
      <w:r w:rsidR="00323457" w:rsidRPr="0059638B">
        <w:rPr>
          <w:sz w:val="20"/>
          <w:szCs w:val="20"/>
        </w:rPr>
        <w:t>positions.</w:t>
      </w:r>
      <w:r w:rsidR="00FF41A0">
        <w:rPr>
          <w:sz w:val="20"/>
          <w:szCs w:val="20"/>
        </w:rPr>
        <w:t xml:space="preserve"> </w:t>
      </w:r>
      <w:r w:rsidR="00323457" w:rsidRPr="0059638B">
        <w:rPr>
          <w:sz w:val="20"/>
          <w:szCs w:val="20"/>
        </w:rPr>
        <w:t>Targets</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minimum</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40</w:t>
      </w:r>
      <w:r w:rsidR="00FF41A0">
        <w:rPr>
          <w:sz w:val="20"/>
          <w:szCs w:val="20"/>
        </w:rPr>
        <w:t xml:space="preserve"> </w:t>
      </w:r>
      <w:r w:rsidR="00323457" w:rsidRPr="0059638B">
        <w:rPr>
          <w:sz w:val="20"/>
          <w:szCs w:val="20"/>
        </w:rPr>
        <w:t>per</w:t>
      </w:r>
      <w:r w:rsidR="00FF41A0">
        <w:rPr>
          <w:sz w:val="20"/>
          <w:szCs w:val="20"/>
        </w:rPr>
        <w:t xml:space="preserve"> </w:t>
      </w:r>
      <w:r w:rsidR="00323457" w:rsidRPr="0059638B">
        <w:rPr>
          <w:sz w:val="20"/>
          <w:szCs w:val="20"/>
        </w:rPr>
        <w:t>cent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governing</w:t>
      </w:r>
      <w:r w:rsidR="00FF41A0">
        <w:rPr>
          <w:sz w:val="20"/>
          <w:szCs w:val="20"/>
        </w:rPr>
        <w:t xml:space="preserve"> </w:t>
      </w:r>
      <w:r w:rsidR="00323457" w:rsidRPr="0059638B">
        <w:rPr>
          <w:sz w:val="20"/>
          <w:szCs w:val="20"/>
        </w:rPr>
        <w:t>bodies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public</w:t>
      </w:r>
      <w:r w:rsidR="00FF41A0">
        <w:rPr>
          <w:sz w:val="20"/>
          <w:szCs w:val="20"/>
        </w:rPr>
        <w:t xml:space="preserve"> </w:t>
      </w:r>
      <w:r w:rsidR="00323457" w:rsidRPr="0059638B">
        <w:rPr>
          <w:sz w:val="20"/>
          <w:szCs w:val="20"/>
        </w:rPr>
        <w:t>entities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boards</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be</w:t>
      </w:r>
      <w:r w:rsidR="00FF41A0">
        <w:rPr>
          <w:sz w:val="20"/>
          <w:szCs w:val="20"/>
        </w:rPr>
        <w:t xml:space="preserve"> </w:t>
      </w:r>
      <w:r w:rsidR="00323457" w:rsidRPr="0059638B">
        <w:rPr>
          <w:sz w:val="20"/>
          <w:szCs w:val="20"/>
        </w:rPr>
        <w:t>enacted</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part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forthcoming</w:t>
      </w:r>
      <w:r w:rsidR="00FF41A0">
        <w:rPr>
          <w:sz w:val="20"/>
          <w:szCs w:val="20"/>
        </w:rPr>
        <w:t xml:space="preserve"> </w:t>
      </w:r>
      <w:r w:rsidR="00323457" w:rsidRPr="0059638B">
        <w:rPr>
          <w:sz w:val="20"/>
          <w:szCs w:val="20"/>
        </w:rPr>
        <w:t>Equality</w:t>
      </w:r>
      <w:r w:rsidR="00FF41A0">
        <w:rPr>
          <w:sz w:val="20"/>
          <w:szCs w:val="20"/>
        </w:rPr>
        <w:t xml:space="preserve"> </w:t>
      </w:r>
      <w:r w:rsidR="00323457" w:rsidRPr="0059638B">
        <w:rPr>
          <w:sz w:val="20"/>
          <w:szCs w:val="20"/>
        </w:rPr>
        <w:t>Bill.</w:t>
      </w:r>
    </w:p>
    <w:p w14:paraId="38FC30CA" w14:textId="56DD29A2" w:rsidR="00323457" w:rsidRPr="0059638B" w:rsidRDefault="00A50D75" w:rsidP="00323457">
      <w:pPr>
        <w:pStyle w:val="SingleTxtG"/>
        <w:rPr>
          <w:sz w:val="20"/>
          <w:szCs w:val="20"/>
        </w:rPr>
      </w:pPr>
      <w:r>
        <w:rPr>
          <w:sz w:val="20"/>
          <w:szCs w:val="20"/>
        </w:rPr>
        <w:t>871</w:t>
      </w:r>
      <w:r w:rsidR="000E0AEC">
        <w:rPr>
          <w:sz w:val="20"/>
          <w:szCs w:val="20"/>
        </w:rPr>
        <w:t>.</w:t>
      </w:r>
      <w:r w:rsidR="000E0AEC">
        <w:rPr>
          <w:sz w:val="20"/>
          <w:szCs w:val="20"/>
        </w:rPr>
        <w:tab/>
      </w:r>
      <w:r w:rsidR="00323457" w:rsidRPr="0059638B">
        <w:rPr>
          <w:sz w:val="20"/>
          <w:szCs w:val="20"/>
        </w:rPr>
        <w:t>In</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increased</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tackle</w:t>
      </w:r>
      <w:r w:rsidR="00FF41A0">
        <w:rPr>
          <w:sz w:val="20"/>
          <w:szCs w:val="20"/>
        </w:rPr>
        <w:t xml:space="preserve"> </w:t>
      </w:r>
      <w:r w:rsidR="00323457" w:rsidRPr="0059638B">
        <w:rPr>
          <w:sz w:val="20"/>
          <w:szCs w:val="20"/>
        </w:rPr>
        <w:t>violence</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ratified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Istanbul</w:t>
      </w:r>
      <w:r w:rsidR="00FF41A0">
        <w:rPr>
          <w:sz w:val="20"/>
          <w:szCs w:val="20"/>
        </w:rPr>
        <w:t xml:space="preserve"> </w:t>
      </w:r>
      <w:r w:rsidR="00323457" w:rsidRPr="0059638B">
        <w:rPr>
          <w:sz w:val="20"/>
          <w:szCs w:val="20"/>
        </w:rPr>
        <w:t>Convention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2014,</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subsequently</w:t>
      </w:r>
      <w:r w:rsidR="00FF41A0">
        <w:rPr>
          <w:sz w:val="20"/>
          <w:szCs w:val="20"/>
        </w:rPr>
        <w:t xml:space="preserve"> </w:t>
      </w:r>
      <w:r w:rsidR="00323457" w:rsidRPr="0059638B">
        <w:rPr>
          <w:sz w:val="20"/>
          <w:szCs w:val="20"/>
        </w:rPr>
        <w:t>amended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legislation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policy</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line</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Convention,</w:t>
      </w:r>
      <w:r w:rsidR="00FF41A0">
        <w:rPr>
          <w:sz w:val="20"/>
          <w:szCs w:val="20"/>
        </w:rPr>
        <w:t xml:space="preserve"> </w:t>
      </w:r>
      <w:r w:rsidR="00323457" w:rsidRPr="0059638B">
        <w:rPr>
          <w:sz w:val="20"/>
          <w:szCs w:val="20"/>
        </w:rPr>
        <w:t>particularly</w:t>
      </w:r>
      <w:r w:rsidR="00FF41A0">
        <w:rPr>
          <w:sz w:val="20"/>
          <w:szCs w:val="20"/>
        </w:rPr>
        <w:t xml:space="preserve"> </w:t>
      </w:r>
      <w:r w:rsidR="00323457" w:rsidRPr="0059638B">
        <w:rPr>
          <w:sz w:val="20"/>
          <w:szCs w:val="20"/>
        </w:rPr>
        <w:t>through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adoption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Gender-based</w:t>
      </w:r>
      <w:r w:rsidR="00FF41A0">
        <w:rPr>
          <w:sz w:val="20"/>
          <w:szCs w:val="20"/>
        </w:rPr>
        <w:t xml:space="preserve"> </w:t>
      </w:r>
      <w:r w:rsidR="00323457" w:rsidRPr="0059638B">
        <w:rPr>
          <w:sz w:val="20"/>
          <w:szCs w:val="20"/>
        </w:rPr>
        <w:t>Violence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Domestic</w:t>
      </w:r>
      <w:r w:rsidR="00FF41A0">
        <w:rPr>
          <w:sz w:val="20"/>
          <w:szCs w:val="20"/>
        </w:rPr>
        <w:t xml:space="preserve"> </w:t>
      </w:r>
      <w:r w:rsidR="00323457" w:rsidRPr="0059638B">
        <w:rPr>
          <w:sz w:val="20"/>
          <w:szCs w:val="20"/>
        </w:rPr>
        <w:t>Violence</w:t>
      </w:r>
      <w:r w:rsidR="00FF41A0">
        <w:rPr>
          <w:sz w:val="20"/>
          <w:szCs w:val="20"/>
        </w:rPr>
        <w:t xml:space="preserve"> </w:t>
      </w:r>
      <w:r w:rsidR="00323457" w:rsidRPr="0059638B">
        <w:rPr>
          <w:sz w:val="20"/>
          <w:szCs w:val="20"/>
        </w:rPr>
        <w:t>Act,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corresponding</w:t>
      </w:r>
      <w:r w:rsidR="00FF41A0">
        <w:rPr>
          <w:sz w:val="20"/>
          <w:szCs w:val="20"/>
        </w:rPr>
        <w:t xml:space="preserve"> </w:t>
      </w:r>
      <w:r w:rsidR="00323457" w:rsidRPr="0059638B">
        <w:rPr>
          <w:sz w:val="20"/>
          <w:szCs w:val="20"/>
        </w:rPr>
        <w:t>strategy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action</w:t>
      </w:r>
      <w:r w:rsidR="00FF41A0">
        <w:rPr>
          <w:sz w:val="20"/>
          <w:szCs w:val="20"/>
        </w:rPr>
        <w:t xml:space="preserve"> </w:t>
      </w:r>
      <w:r w:rsidR="00323457" w:rsidRPr="0059638B">
        <w:rPr>
          <w:sz w:val="20"/>
          <w:szCs w:val="20"/>
        </w:rPr>
        <w:t>plan.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line</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those</w:t>
      </w:r>
      <w:r w:rsidR="00FF41A0">
        <w:rPr>
          <w:sz w:val="20"/>
          <w:szCs w:val="20"/>
        </w:rPr>
        <w:t xml:space="preserve"> </w:t>
      </w:r>
      <w:r w:rsidR="00323457" w:rsidRPr="0059638B">
        <w:rPr>
          <w:sz w:val="20"/>
          <w:szCs w:val="20"/>
        </w:rPr>
        <w:t>measures,</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remained</w:t>
      </w:r>
      <w:r w:rsidR="00FF41A0">
        <w:rPr>
          <w:sz w:val="20"/>
          <w:szCs w:val="20"/>
        </w:rPr>
        <w:t xml:space="preserve"> </w:t>
      </w:r>
      <w:r w:rsidR="00323457" w:rsidRPr="0059638B">
        <w:rPr>
          <w:sz w:val="20"/>
          <w:szCs w:val="20"/>
        </w:rPr>
        <w:t>fully</w:t>
      </w:r>
      <w:r w:rsidR="00FF41A0">
        <w:rPr>
          <w:sz w:val="20"/>
          <w:szCs w:val="20"/>
        </w:rPr>
        <w:t xml:space="preserve"> </w:t>
      </w:r>
      <w:r w:rsidR="00323457" w:rsidRPr="0059638B">
        <w:rPr>
          <w:sz w:val="20"/>
          <w:szCs w:val="20"/>
        </w:rPr>
        <w:t>committed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implementation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calling</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intensifying</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eliminate</w:t>
      </w:r>
      <w:r w:rsidR="00FF41A0">
        <w:rPr>
          <w:sz w:val="20"/>
          <w:szCs w:val="20"/>
        </w:rPr>
        <w:t xml:space="preserve"> </w:t>
      </w:r>
      <w:r w:rsidR="00323457" w:rsidRPr="0059638B">
        <w:rPr>
          <w:sz w:val="20"/>
          <w:szCs w:val="20"/>
        </w:rPr>
        <w:t>violence</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children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strengthen</w:t>
      </w:r>
      <w:r w:rsidR="00FF41A0">
        <w:rPr>
          <w:sz w:val="20"/>
          <w:szCs w:val="20"/>
        </w:rPr>
        <w:t xml:space="preserve"> </w:t>
      </w:r>
      <w:r w:rsidR="00323457" w:rsidRPr="0059638B">
        <w:rPr>
          <w:sz w:val="20"/>
          <w:szCs w:val="20"/>
        </w:rPr>
        <w:t>access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justice</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well</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ensuring</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such</w:t>
      </w:r>
      <w:r w:rsidR="00FF41A0">
        <w:rPr>
          <w:sz w:val="20"/>
          <w:szCs w:val="20"/>
        </w:rPr>
        <w:t xml:space="preserve"> </w:t>
      </w:r>
      <w:r w:rsidR="00323457" w:rsidRPr="0059638B">
        <w:rPr>
          <w:sz w:val="20"/>
          <w:szCs w:val="20"/>
        </w:rPr>
        <w:t>cases</w:t>
      </w:r>
      <w:r w:rsidR="00FF41A0">
        <w:rPr>
          <w:sz w:val="20"/>
          <w:szCs w:val="20"/>
        </w:rPr>
        <w:t xml:space="preserve"> </w:t>
      </w:r>
      <w:r w:rsidR="00323457" w:rsidRPr="0059638B">
        <w:rPr>
          <w:sz w:val="20"/>
          <w:szCs w:val="20"/>
        </w:rPr>
        <w:t>are</w:t>
      </w:r>
      <w:r w:rsidR="00FF41A0">
        <w:rPr>
          <w:sz w:val="20"/>
          <w:szCs w:val="20"/>
        </w:rPr>
        <w:t xml:space="preserve"> </w:t>
      </w:r>
      <w:r w:rsidR="00323457" w:rsidRPr="0059638B">
        <w:rPr>
          <w:sz w:val="20"/>
          <w:szCs w:val="20"/>
        </w:rPr>
        <w:t>duly</w:t>
      </w:r>
      <w:r w:rsidR="00FF41A0">
        <w:rPr>
          <w:sz w:val="20"/>
          <w:szCs w:val="20"/>
        </w:rPr>
        <w:t xml:space="preserve"> </w:t>
      </w:r>
      <w:r w:rsidR="00323457" w:rsidRPr="0059638B">
        <w:rPr>
          <w:sz w:val="20"/>
          <w:szCs w:val="20"/>
        </w:rPr>
        <w:t>investigated</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training</w:t>
      </w:r>
      <w:r w:rsidR="00FF41A0">
        <w:rPr>
          <w:sz w:val="20"/>
          <w:szCs w:val="20"/>
        </w:rPr>
        <w:t xml:space="preserve"> </w:t>
      </w:r>
      <w:r w:rsidR="00323457" w:rsidRPr="0059638B">
        <w:rPr>
          <w:sz w:val="20"/>
          <w:szCs w:val="20"/>
        </w:rPr>
        <w:t>aimed</w:t>
      </w:r>
      <w:r w:rsidR="00FF41A0">
        <w:rPr>
          <w:sz w:val="20"/>
          <w:szCs w:val="20"/>
        </w:rPr>
        <w:t xml:space="preserve"> </w:t>
      </w:r>
      <w:r w:rsidR="00323457" w:rsidRPr="0059638B">
        <w:rPr>
          <w:sz w:val="20"/>
          <w:szCs w:val="20"/>
        </w:rPr>
        <w:t>at</w:t>
      </w:r>
      <w:r w:rsidR="00FF41A0">
        <w:rPr>
          <w:sz w:val="20"/>
          <w:szCs w:val="20"/>
        </w:rPr>
        <w:t xml:space="preserve"> </w:t>
      </w:r>
      <w:r w:rsidR="00323457" w:rsidRPr="0059638B">
        <w:rPr>
          <w:sz w:val="20"/>
          <w:szCs w:val="20"/>
        </w:rPr>
        <w:t>relevant</w:t>
      </w:r>
      <w:r w:rsidR="00FF41A0">
        <w:rPr>
          <w:sz w:val="20"/>
          <w:szCs w:val="20"/>
        </w:rPr>
        <w:t xml:space="preserve"> </w:t>
      </w:r>
      <w:r w:rsidR="00323457" w:rsidRPr="0059638B">
        <w:rPr>
          <w:sz w:val="20"/>
          <w:szCs w:val="20"/>
        </w:rPr>
        <w:t>officers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legal</w:t>
      </w:r>
      <w:r w:rsidR="00FF41A0">
        <w:rPr>
          <w:sz w:val="20"/>
          <w:szCs w:val="20"/>
        </w:rPr>
        <w:t xml:space="preserve"> </w:t>
      </w:r>
      <w:r w:rsidR="00323457" w:rsidRPr="0059638B">
        <w:rPr>
          <w:sz w:val="20"/>
          <w:szCs w:val="20"/>
        </w:rPr>
        <w:t>staff</w:t>
      </w:r>
      <w:r w:rsidR="00FF41A0">
        <w:rPr>
          <w:sz w:val="20"/>
          <w:szCs w:val="20"/>
        </w:rPr>
        <w:t xml:space="preserve"> </w:t>
      </w:r>
      <w:r w:rsidR="00323457" w:rsidRPr="0059638B">
        <w:rPr>
          <w:sz w:val="20"/>
          <w:szCs w:val="20"/>
        </w:rPr>
        <w:t>is</w:t>
      </w:r>
      <w:r w:rsidR="00FF41A0">
        <w:rPr>
          <w:sz w:val="20"/>
          <w:szCs w:val="20"/>
        </w:rPr>
        <w:t xml:space="preserve"> </w:t>
      </w:r>
      <w:r w:rsidR="00323457" w:rsidRPr="0059638B">
        <w:rPr>
          <w:sz w:val="20"/>
          <w:szCs w:val="20"/>
        </w:rPr>
        <w:t>improved.</w:t>
      </w:r>
      <w:r w:rsidR="00FF41A0">
        <w:rPr>
          <w:sz w:val="20"/>
          <w:szCs w:val="20"/>
        </w:rPr>
        <w:t xml:space="preserve"> </w:t>
      </w:r>
    </w:p>
    <w:p w14:paraId="3DE881BC" w14:textId="1E4AE5DD" w:rsidR="00323457" w:rsidRPr="0059638B" w:rsidRDefault="00A50D75" w:rsidP="00323457">
      <w:pPr>
        <w:pStyle w:val="SingleTxtG"/>
        <w:rPr>
          <w:sz w:val="20"/>
          <w:szCs w:val="20"/>
        </w:rPr>
      </w:pPr>
      <w:r>
        <w:rPr>
          <w:sz w:val="20"/>
          <w:szCs w:val="20"/>
        </w:rPr>
        <w:t>872</w:t>
      </w:r>
      <w:r w:rsidR="000E0AEC">
        <w:rPr>
          <w:sz w:val="20"/>
          <w:szCs w:val="20"/>
        </w:rPr>
        <w:t>.</w:t>
      </w:r>
      <w:r w:rsidR="000E0AEC">
        <w:rPr>
          <w:sz w:val="20"/>
          <w:szCs w:val="20"/>
        </w:rPr>
        <w:tab/>
      </w:r>
      <w:r w:rsidR="00323457" w:rsidRPr="0059638B">
        <w:rPr>
          <w:sz w:val="20"/>
          <w:szCs w:val="20"/>
        </w:rPr>
        <w:t>Malta</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just</w:t>
      </w:r>
      <w:r w:rsidR="00FF41A0">
        <w:rPr>
          <w:sz w:val="20"/>
          <w:szCs w:val="20"/>
        </w:rPr>
        <w:t xml:space="preserve"> </w:t>
      </w:r>
      <w:r w:rsidR="00323457" w:rsidRPr="0059638B">
        <w:rPr>
          <w:sz w:val="20"/>
          <w:szCs w:val="20"/>
        </w:rPr>
        <w:t>signed</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finalised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process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ratification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Optional</w:t>
      </w:r>
      <w:r w:rsidR="00FF41A0">
        <w:rPr>
          <w:sz w:val="20"/>
          <w:szCs w:val="20"/>
        </w:rPr>
        <w:t xml:space="preserve"> </w:t>
      </w:r>
      <w:r w:rsidR="00323457" w:rsidRPr="0059638B">
        <w:rPr>
          <w:sz w:val="20"/>
          <w:szCs w:val="20"/>
        </w:rPr>
        <w:t>Protocol</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Convention</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Elimination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Forms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Discrimination</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Furthermore,</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continued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explore</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possible</w:t>
      </w:r>
      <w:r w:rsidR="00FF41A0">
        <w:rPr>
          <w:sz w:val="20"/>
          <w:szCs w:val="20"/>
        </w:rPr>
        <w:t xml:space="preserve"> </w:t>
      </w:r>
      <w:r w:rsidR="00323457" w:rsidRPr="0059638B">
        <w:rPr>
          <w:sz w:val="20"/>
          <w:szCs w:val="20"/>
        </w:rPr>
        <w:t>withdrawal</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reservations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Convention.</w:t>
      </w:r>
    </w:p>
    <w:p w14:paraId="1BC5E6A9" w14:textId="091B5DF5" w:rsidR="00323457" w:rsidRPr="0059638B" w:rsidRDefault="00A50D75" w:rsidP="00323457">
      <w:pPr>
        <w:pStyle w:val="SingleTxtG"/>
        <w:rPr>
          <w:sz w:val="20"/>
          <w:szCs w:val="20"/>
        </w:rPr>
      </w:pPr>
      <w:r>
        <w:rPr>
          <w:sz w:val="20"/>
          <w:szCs w:val="20"/>
        </w:rPr>
        <w:t>873</w:t>
      </w:r>
      <w:r w:rsidR="000E0AEC">
        <w:rPr>
          <w:sz w:val="20"/>
          <w:szCs w:val="20"/>
        </w:rPr>
        <w:t>.</w:t>
      </w:r>
      <w:r w:rsidR="000E0AEC">
        <w:rPr>
          <w:sz w:val="20"/>
          <w:szCs w:val="20"/>
        </w:rPr>
        <w:tab/>
      </w:r>
      <w:r w:rsidR="00323457" w:rsidRPr="0059638B">
        <w:rPr>
          <w:sz w:val="20"/>
          <w:szCs w:val="20"/>
        </w:rPr>
        <w:t>In</w:t>
      </w:r>
      <w:r w:rsidR="00FF41A0">
        <w:rPr>
          <w:sz w:val="20"/>
          <w:szCs w:val="20"/>
        </w:rPr>
        <w:t xml:space="preserve"> </w:t>
      </w:r>
      <w:r w:rsidR="00323457" w:rsidRPr="0059638B">
        <w:rPr>
          <w:sz w:val="20"/>
          <w:szCs w:val="20"/>
        </w:rPr>
        <w:t>strengthening</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children</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wellbeing,</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reviewed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Child</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Act,</w:t>
      </w:r>
      <w:r w:rsidR="00FF41A0">
        <w:rPr>
          <w:sz w:val="20"/>
          <w:szCs w:val="20"/>
        </w:rPr>
        <w:t xml:space="preserve"> </w:t>
      </w:r>
      <w:r w:rsidR="00323457" w:rsidRPr="0059638B">
        <w:rPr>
          <w:sz w:val="20"/>
          <w:szCs w:val="20"/>
        </w:rPr>
        <w:t>formally</w:t>
      </w:r>
      <w:r w:rsidR="00FF41A0">
        <w:rPr>
          <w:sz w:val="20"/>
          <w:szCs w:val="20"/>
        </w:rPr>
        <w:t xml:space="preserve"> </w:t>
      </w:r>
      <w:r w:rsidR="00323457" w:rsidRPr="0059638B">
        <w:rPr>
          <w:sz w:val="20"/>
          <w:szCs w:val="20"/>
        </w:rPr>
        <w:t>reforming</w:t>
      </w:r>
      <w:r w:rsidR="00FF41A0">
        <w:rPr>
          <w:sz w:val="20"/>
          <w:szCs w:val="20"/>
        </w:rPr>
        <w:t xml:space="preserve"> </w:t>
      </w:r>
      <w:r w:rsidR="00323457" w:rsidRPr="0059638B">
        <w:rPr>
          <w:sz w:val="20"/>
          <w:szCs w:val="20"/>
        </w:rPr>
        <w:t>practices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childcare</w:t>
      </w:r>
      <w:r w:rsidR="00FF41A0">
        <w:rPr>
          <w:sz w:val="20"/>
          <w:szCs w:val="20"/>
        </w:rPr>
        <w:t xml:space="preserve"> </w:t>
      </w:r>
      <w:r w:rsidR="00323457" w:rsidRPr="0059638B">
        <w:rPr>
          <w:sz w:val="20"/>
          <w:szCs w:val="20"/>
        </w:rPr>
        <w:t>system,</w:t>
      </w:r>
      <w:r w:rsidR="00FF41A0">
        <w:rPr>
          <w:sz w:val="20"/>
          <w:szCs w:val="20"/>
        </w:rPr>
        <w:t xml:space="preserve"> </w:t>
      </w:r>
      <w:r w:rsidR="00323457" w:rsidRPr="0059638B">
        <w:rPr>
          <w:sz w:val="20"/>
          <w:szCs w:val="20"/>
        </w:rPr>
        <w:t>such</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streamlining</w:t>
      </w:r>
      <w:r w:rsidR="00FF41A0">
        <w:rPr>
          <w:sz w:val="20"/>
          <w:szCs w:val="20"/>
        </w:rPr>
        <w:t xml:space="preserve"> </w:t>
      </w:r>
      <w:r w:rsidR="00323457" w:rsidRPr="0059638B">
        <w:rPr>
          <w:sz w:val="20"/>
          <w:szCs w:val="20"/>
        </w:rPr>
        <w:t>timeframes</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issuing</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orders,</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well</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providing</w:t>
      </w:r>
      <w:r w:rsidR="00FF41A0">
        <w:rPr>
          <w:sz w:val="20"/>
          <w:szCs w:val="20"/>
        </w:rPr>
        <w:t xml:space="preserve"> </w:t>
      </w:r>
      <w:r w:rsidR="00323457" w:rsidRPr="0059638B">
        <w:rPr>
          <w:sz w:val="20"/>
          <w:szCs w:val="20"/>
        </w:rPr>
        <w:t>five</w:t>
      </w:r>
      <w:r w:rsidR="00FF41A0">
        <w:rPr>
          <w:sz w:val="20"/>
          <w:szCs w:val="20"/>
        </w:rPr>
        <w:t xml:space="preserve"> </w:t>
      </w:r>
      <w:r w:rsidR="00323457" w:rsidRPr="0059638B">
        <w:rPr>
          <w:sz w:val="20"/>
          <w:szCs w:val="20"/>
        </w:rPr>
        <w:t>different</w:t>
      </w:r>
      <w:r w:rsidR="00FF41A0">
        <w:rPr>
          <w:sz w:val="20"/>
          <w:szCs w:val="20"/>
        </w:rPr>
        <w:t xml:space="preserve"> </w:t>
      </w:r>
      <w:r w:rsidR="00323457" w:rsidRPr="0059638B">
        <w:rPr>
          <w:sz w:val="20"/>
          <w:szCs w:val="20"/>
        </w:rPr>
        <w:t>types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orders</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opposed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single</w:t>
      </w:r>
      <w:r w:rsidR="00FF41A0">
        <w:rPr>
          <w:sz w:val="20"/>
          <w:szCs w:val="20"/>
        </w:rPr>
        <w:t xml:space="preserve"> </w:t>
      </w:r>
      <w:r w:rsidR="00323457" w:rsidRPr="0059638B">
        <w:rPr>
          <w:sz w:val="20"/>
          <w:szCs w:val="20"/>
        </w:rPr>
        <w:t>one</w:t>
      </w:r>
      <w:r w:rsidR="00FF41A0">
        <w:rPr>
          <w:sz w:val="20"/>
          <w:szCs w:val="20"/>
        </w:rPr>
        <w:t xml:space="preserve"> </w:t>
      </w:r>
      <w:r w:rsidR="00323457" w:rsidRPr="0059638B">
        <w:rPr>
          <w:sz w:val="20"/>
          <w:szCs w:val="20"/>
        </w:rPr>
        <w:t>available</w:t>
      </w:r>
      <w:r w:rsidR="00FF41A0">
        <w:rPr>
          <w:sz w:val="20"/>
          <w:szCs w:val="20"/>
        </w:rPr>
        <w:t xml:space="preserve"> </w:t>
      </w:r>
      <w:r w:rsidR="00323457" w:rsidRPr="0059638B">
        <w:rPr>
          <w:sz w:val="20"/>
          <w:szCs w:val="20"/>
        </w:rPr>
        <w:t>previously.</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intended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ratify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third</w:t>
      </w:r>
      <w:r w:rsidR="00FF41A0">
        <w:rPr>
          <w:sz w:val="20"/>
          <w:szCs w:val="20"/>
        </w:rPr>
        <w:t xml:space="preserve"> </w:t>
      </w:r>
      <w:r w:rsidR="00323457" w:rsidRPr="0059638B">
        <w:rPr>
          <w:sz w:val="20"/>
          <w:szCs w:val="20"/>
        </w:rPr>
        <w:t>Optional</w:t>
      </w:r>
      <w:r w:rsidR="00FF41A0">
        <w:rPr>
          <w:sz w:val="20"/>
          <w:szCs w:val="20"/>
        </w:rPr>
        <w:t xml:space="preserve"> </w:t>
      </w:r>
      <w:r w:rsidR="00323457" w:rsidRPr="0059638B">
        <w:rPr>
          <w:sz w:val="20"/>
          <w:szCs w:val="20"/>
        </w:rPr>
        <w:t>Protocol</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Convention</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Child</w:t>
      </w:r>
      <w:r w:rsidR="00FF41A0">
        <w:rPr>
          <w:sz w:val="20"/>
          <w:szCs w:val="20"/>
        </w:rPr>
        <w:t xml:space="preserve"> </w:t>
      </w:r>
      <w:r w:rsidR="00323457" w:rsidRPr="0059638B">
        <w:rPr>
          <w:sz w:val="20"/>
          <w:szCs w:val="20"/>
        </w:rPr>
        <w:t>after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Convention</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be</w:t>
      </w:r>
      <w:r w:rsidR="00FF41A0">
        <w:rPr>
          <w:sz w:val="20"/>
          <w:szCs w:val="20"/>
        </w:rPr>
        <w:t xml:space="preserve"> </w:t>
      </w:r>
      <w:r w:rsidR="00323457" w:rsidRPr="0059638B">
        <w:rPr>
          <w:sz w:val="20"/>
          <w:szCs w:val="20"/>
        </w:rPr>
        <w:t>incorporated</w:t>
      </w:r>
      <w:r w:rsidR="00FF41A0">
        <w:rPr>
          <w:sz w:val="20"/>
          <w:szCs w:val="20"/>
        </w:rPr>
        <w:t xml:space="preserve"> </w:t>
      </w:r>
      <w:r w:rsidR="00323457" w:rsidRPr="0059638B">
        <w:rPr>
          <w:sz w:val="20"/>
          <w:szCs w:val="20"/>
        </w:rPr>
        <w:t>into</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law.</w:t>
      </w:r>
    </w:p>
    <w:p w14:paraId="122EA150" w14:textId="7B93E068" w:rsidR="00323457" w:rsidRPr="0059638B" w:rsidRDefault="00A50D75" w:rsidP="00323457">
      <w:pPr>
        <w:pStyle w:val="SingleTxtG"/>
        <w:rPr>
          <w:sz w:val="20"/>
          <w:szCs w:val="20"/>
        </w:rPr>
      </w:pPr>
      <w:r>
        <w:rPr>
          <w:sz w:val="20"/>
          <w:szCs w:val="20"/>
        </w:rPr>
        <w:t>874</w:t>
      </w:r>
      <w:r w:rsidR="000E0AEC">
        <w:rPr>
          <w:sz w:val="20"/>
          <w:szCs w:val="20"/>
        </w:rPr>
        <w:t>.</w:t>
      </w:r>
      <w:r w:rsidR="000E0AEC">
        <w:rPr>
          <w:sz w:val="20"/>
          <w:szCs w:val="20"/>
        </w:rPr>
        <w:tab/>
      </w:r>
      <w:r w:rsidR="00323457" w:rsidRPr="0059638B">
        <w:rPr>
          <w:sz w:val="20"/>
          <w:szCs w:val="20"/>
        </w:rPr>
        <w:t>Malta</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several</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intensify</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combat</w:t>
      </w:r>
      <w:r w:rsidR="00FF41A0">
        <w:rPr>
          <w:sz w:val="20"/>
          <w:szCs w:val="20"/>
        </w:rPr>
        <w:t xml:space="preserve"> </w:t>
      </w:r>
      <w:r w:rsidR="00323457" w:rsidRPr="0059638B">
        <w:rPr>
          <w:sz w:val="20"/>
          <w:szCs w:val="20"/>
        </w:rPr>
        <w:t>trafficking</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beings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strengthen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implementation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action</w:t>
      </w:r>
      <w:r w:rsidR="00FF41A0">
        <w:rPr>
          <w:sz w:val="20"/>
          <w:szCs w:val="20"/>
        </w:rPr>
        <w:t xml:space="preserve"> </w:t>
      </w:r>
      <w:r w:rsidR="00323457" w:rsidRPr="0059638B">
        <w:rPr>
          <w:sz w:val="20"/>
          <w:szCs w:val="20"/>
        </w:rPr>
        <w:t>plan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combat</w:t>
      </w:r>
      <w:r w:rsidR="00FF41A0">
        <w:rPr>
          <w:sz w:val="20"/>
          <w:szCs w:val="20"/>
        </w:rPr>
        <w:t xml:space="preserve"> </w:t>
      </w:r>
      <w:r w:rsidR="00323457" w:rsidRPr="0059638B">
        <w:rPr>
          <w:sz w:val="20"/>
          <w:szCs w:val="20"/>
        </w:rPr>
        <w:t>trafficking</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beings.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budget</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initiatives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combat</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trafficking</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assist</w:t>
      </w:r>
      <w:r w:rsidR="00FF41A0">
        <w:rPr>
          <w:sz w:val="20"/>
          <w:szCs w:val="20"/>
        </w:rPr>
        <w:t xml:space="preserve"> </w:t>
      </w:r>
      <w:r w:rsidR="00323457" w:rsidRPr="0059638B">
        <w:rPr>
          <w:sz w:val="20"/>
          <w:szCs w:val="20"/>
        </w:rPr>
        <w:t>victims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exploitation</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already</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significantly</w:t>
      </w:r>
      <w:r w:rsidR="00FF41A0">
        <w:rPr>
          <w:sz w:val="20"/>
          <w:szCs w:val="20"/>
        </w:rPr>
        <w:t xml:space="preserve"> </w:t>
      </w:r>
      <w:r w:rsidR="00323457" w:rsidRPr="0059638B">
        <w:rPr>
          <w:sz w:val="20"/>
          <w:szCs w:val="20"/>
        </w:rPr>
        <w:t>increased.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set</w:t>
      </w:r>
      <w:r w:rsidR="00FF41A0">
        <w:rPr>
          <w:sz w:val="20"/>
          <w:szCs w:val="20"/>
        </w:rPr>
        <w:t xml:space="preserve"> </w:t>
      </w:r>
      <w:r w:rsidR="00323457" w:rsidRPr="0059638B">
        <w:rPr>
          <w:sz w:val="20"/>
          <w:szCs w:val="20"/>
        </w:rPr>
        <w:t>measures</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covered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launch</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public</w:t>
      </w:r>
      <w:r w:rsidR="00FF41A0">
        <w:rPr>
          <w:sz w:val="20"/>
          <w:szCs w:val="20"/>
        </w:rPr>
        <w:t xml:space="preserve"> </w:t>
      </w:r>
      <w:r w:rsidR="00323457" w:rsidRPr="0059638B">
        <w:rPr>
          <w:sz w:val="20"/>
          <w:szCs w:val="20"/>
        </w:rPr>
        <w:t>awareness</w:t>
      </w:r>
      <w:r w:rsidR="00FF41A0">
        <w:rPr>
          <w:sz w:val="20"/>
          <w:szCs w:val="20"/>
        </w:rPr>
        <w:t xml:space="preserve"> </w:t>
      </w:r>
      <w:r w:rsidR="00323457" w:rsidRPr="0059638B">
        <w:rPr>
          <w:sz w:val="20"/>
          <w:szCs w:val="20"/>
        </w:rPr>
        <w:t>campaign,</w:t>
      </w:r>
      <w:r w:rsidR="00FF41A0">
        <w:rPr>
          <w:sz w:val="20"/>
          <w:szCs w:val="20"/>
        </w:rPr>
        <w:t xml:space="preserve"> </w:t>
      </w:r>
      <w:r w:rsidR="00323457" w:rsidRPr="0059638B">
        <w:rPr>
          <w:sz w:val="20"/>
          <w:szCs w:val="20"/>
        </w:rPr>
        <w:t>provision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support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victims,</w:t>
      </w:r>
      <w:r w:rsidR="00FF41A0">
        <w:rPr>
          <w:sz w:val="20"/>
          <w:szCs w:val="20"/>
        </w:rPr>
        <w:t xml:space="preserve"> </w:t>
      </w:r>
      <w:r w:rsidR="00323457" w:rsidRPr="0059638B">
        <w:rPr>
          <w:sz w:val="20"/>
          <w:szCs w:val="20"/>
        </w:rPr>
        <w:t>including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prevention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re-trafficking,</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an</w:t>
      </w:r>
      <w:r w:rsidR="00FF41A0">
        <w:rPr>
          <w:sz w:val="20"/>
          <w:szCs w:val="20"/>
        </w:rPr>
        <w:t xml:space="preserve"> </w:t>
      </w:r>
      <w:r w:rsidR="00323457" w:rsidRPr="0059638B">
        <w:rPr>
          <w:sz w:val="20"/>
          <w:szCs w:val="20"/>
        </w:rPr>
        <w:t>exit</w:t>
      </w:r>
      <w:r w:rsidR="00FF41A0">
        <w:rPr>
          <w:sz w:val="20"/>
          <w:szCs w:val="20"/>
        </w:rPr>
        <w:t xml:space="preserve"> </w:t>
      </w:r>
      <w:r w:rsidR="00323457" w:rsidRPr="0059638B">
        <w:rPr>
          <w:sz w:val="20"/>
          <w:szCs w:val="20"/>
        </w:rPr>
        <w:t>programme</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victims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prostitution.</w:t>
      </w:r>
      <w:r w:rsidR="00FF41A0">
        <w:rPr>
          <w:sz w:val="20"/>
          <w:szCs w:val="20"/>
        </w:rPr>
        <w:t xml:space="preserve"> </w:t>
      </w:r>
    </w:p>
    <w:p w14:paraId="21EF2B38" w14:textId="60949C0A" w:rsidR="00323457" w:rsidRPr="0059638B" w:rsidRDefault="00A50D75" w:rsidP="00323457">
      <w:pPr>
        <w:pStyle w:val="SingleTxtG"/>
        <w:rPr>
          <w:sz w:val="20"/>
          <w:szCs w:val="20"/>
        </w:rPr>
      </w:pPr>
      <w:r>
        <w:rPr>
          <w:sz w:val="20"/>
          <w:szCs w:val="20"/>
        </w:rPr>
        <w:t>875</w:t>
      </w:r>
      <w:r w:rsidR="000E0AEC">
        <w:rPr>
          <w:sz w:val="20"/>
          <w:szCs w:val="20"/>
        </w:rPr>
        <w:t>.</w:t>
      </w:r>
      <w:r w:rsidR="000E0AEC">
        <w:rPr>
          <w:sz w:val="20"/>
          <w:szCs w:val="20"/>
        </w:rPr>
        <w:tab/>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strengthened</w:t>
      </w:r>
      <w:r w:rsidR="00FF41A0">
        <w:rPr>
          <w:sz w:val="20"/>
          <w:szCs w:val="20"/>
        </w:rPr>
        <w:t xml:space="preserve"> </w:t>
      </w:r>
      <w:r w:rsidR="00323457" w:rsidRPr="0059638B">
        <w:rPr>
          <w:sz w:val="20"/>
          <w:szCs w:val="20"/>
        </w:rPr>
        <w:t>cooperation</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civil</w:t>
      </w:r>
      <w:r w:rsidR="00FF41A0">
        <w:rPr>
          <w:sz w:val="20"/>
          <w:szCs w:val="20"/>
        </w:rPr>
        <w:t xml:space="preserve"> </w:t>
      </w:r>
      <w:r w:rsidR="00323457" w:rsidRPr="0059638B">
        <w:rPr>
          <w:sz w:val="20"/>
          <w:szCs w:val="20"/>
        </w:rPr>
        <w:t>society</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framework</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implementation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anti-trafficking</w:t>
      </w:r>
      <w:r w:rsidR="00FF41A0">
        <w:rPr>
          <w:sz w:val="20"/>
          <w:szCs w:val="20"/>
        </w:rPr>
        <w:t xml:space="preserve"> </w:t>
      </w:r>
      <w:r w:rsidR="00323457" w:rsidRPr="0059638B">
        <w:rPr>
          <w:sz w:val="20"/>
          <w:szCs w:val="20"/>
        </w:rPr>
        <w:t>strategy.</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considering</w:t>
      </w:r>
      <w:r w:rsidR="00FF41A0">
        <w:rPr>
          <w:sz w:val="20"/>
          <w:szCs w:val="20"/>
        </w:rPr>
        <w:t xml:space="preserve"> </w:t>
      </w:r>
      <w:r w:rsidR="00323457" w:rsidRPr="0059638B">
        <w:rPr>
          <w:sz w:val="20"/>
          <w:szCs w:val="20"/>
        </w:rPr>
        <w:t>including</w:t>
      </w:r>
      <w:r w:rsidR="00FF41A0">
        <w:rPr>
          <w:sz w:val="20"/>
          <w:szCs w:val="20"/>
        </w:rPr>
        <w:t xml:space="preserve"> </w:t>
      </w:r>
      <w:r w:rsidR="00323457" w:rsidRPr="0059638B">
        <w:rPr>
          <w:sz w:val="20"/>
          <w:szCs w:val="20"/>
        </w:rPr>
        <w:t>education</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trafficking</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beings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education</w:t>
      </w:r>
      <w:r w:rsidR="00FF41A0">
        <w:rPr>
          <w:sz w:val="20"/>
          <w:szCs w:val="20"/>
        </w:rPr>
        <w:t xml:space="preserve"> </w:t>
      </w:r>
      <w:r w:rsidR="00323457" w:rsidRPr="0059638B">
        <w:rPr>
          <w:sz w:val="20"/>
          <w:szCs w:val="20"/>
        </w:rPr>
        <w:t>curriculum.</w:t>
      </w:r>
      <w:r w:rsidR="00FF41A0">
        <w:rPr>
          <w:sz w:val="20"/>
          <w:szCs w:val="20"/>
        </w:rPr>
        <w:t xml:space="preserve"> </w:t>
      </w:r>
      <w:r w:rsidR="00323457" w:rsidRPr="0059638B">
        <w:rPr>
          <w:sz w:val="20"/>
          <w:szCs w:val="20"/>
        </w:rPr>
        <w:t>Training</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already</w:t>
      </w:r>
      <w:r w:rsidR="00FF41A0">
        <w:rPr>
          <w:sz w:val="20"/>
          <w:szCs w:val="20"/>
        </w:rPr>
        <w:t xml:space="preserve"> </w:t>
      </w:r>
      <w:r w:rsidR="00323457" w:rsidRPr="0059638B">
        <w:rPr>
          <w:sz w:val="20"/>
          <w:szCs w:val="20"/>
        </w:rPr>
        <w:t>started</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relevant</w:t>
      </w:r>
      <w:r w:rsidR="00FF41A0">
        <w:rPr>
          <w:sz w:val="20"/>
          <w:szCs w:val="20"/>
        </w:rPr>
        <w:t xml:space="preserve"> </w:t>
      </w:r>
      <w:r w:rsidR="00323457" w:rsidRPr="0059638B">
        <w:rPr>
          <w:sz w:val="20"/>
          <w:szCs w:val="20"/>
        </w:rPr>
        <w:t>stakeholders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officials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this</w:t>
      </w:r>
      <w:r w:rsidR="00FF41A0">
        <w:rPr>
          <w:sz w:val="20"/>
          <w:szCs w:val="20"/>
        </w:rPr>
        <w:t xml:space="preserve"> </w:t>
      </w:r>
      <w:r w:rsidR="00323457" w:rsidRPr="0059638B">
        <w:rPr>
          <w:sz w:val="20"/>
          <w:szCs w:val="20"/>
        </w:rPr>
        <w:t>field.</w:t>
      </w:r>
      <w:r w:rsidR="00FF41A0">
        <w:rPr>
          <w:sz w:val="20"/>
          <w:szCs w:val="20"/>
        </w:rPr>
        <w:t xml:space="preserve"> </w:t>
      </w:r>
    </w:p>
    <w:p w14:paraId="6F59BCD0" w14:textId="576BD5E2" w:rsidR="00323457" w:rsidRPr="0059638B" w:rsidRDefault="00A50D75" w:rsidP="00323457">
      <w:pPr>
        <w:pStyle w:val="SingleTxtG"/>
        <w:rPr>
          <w:sz w:val="20"/>
          <w:szCs w:val="20"/>
        </w:rPr>
      </w:pPr>
      <w:r>
        <w:rPr>
          <w:sz w:val="20"/>
          <w:szCs w:val="20"/>
        </w:rPr>
        <w:t>876</w:t>
      </w:r>
      <w:r w:rsidR="000E0AEC">
        <w:rPr>
          <w:sz w:val="20"/>
          <w:szCs w:val="20"/>
        </w:rPr>
        <w:t>.</w:t>
      </w:r>
      <w:r w:rsidR="000E0AEC">
        <w:rPr>
          <w:sz w:val="20"/>
          <w:szCs w:val="20"/>
        </w:rPr>
        <w:tab/>
      </w:r>
      <w:r w:rsidR="00323457" w:rsidRPr="0059638B">
        <w:rPr>
          <w:sz w:val="20"/>
          <w:szCs w:val="20"/>
        </w:rPr>
        <w:t>Malta</w:t>
      </w:r>
      <w:r w:rsidR="00FF41A0">
        <w:rPr>
          <w:sz w:val="20"/>
          <w:szCs w:val="20"/>
        </w:rPr>
        <w:t xml:space="preserve"> </w:t>
      </w:r>
      <w:r w:rsidR="00323457" w:rsidRPr="0059638B">
        <w:rPr>
          <w:sz w:val="20"/>
          <w:szCs w:val="20"/>
        </w:rPr>
        <w:t>carried</w:t>
      </w:r>
      <w:r w:rsidR="00FF41A0">
        <w:rPr>
          <w:sz w:val="20"/>
          <w:szCs w:val="20"/>
        </w:rPr>
        <w:t xml:space="preserve"> </w:t>
      </w:r>
      <w:r w:rsidR="00323457" w:rsidRPr="0059638B">
        <w:rPr>
          <w:sz w:val="20"/>
          <w:szCs w:val="20"/>
        </w:rPr>
        <w:t>out</w:t>
      </w:r>
      <w:r w:rsidR="00FF41A0">
        <w:rPr>
          <w:sz w:val="20"/>
          <w:szCs w:val="20"/>
        </w:rPr>
        <w:t xml:space="preserve"> </w:t>
      </w:r>
      <w:r w:rsidR="00323457" w:rsidRPr="0059638B">
        <w:rPr>
          <w:sz w:val="20"/>
          <w:szCs w:val="20"/>
        </w:rPr>
        <w:t>major</w:t>
      </w:r>
      <w:r w:rsidR="00FF41A0">
        <w:rPr>
          <w:sz w:val="20"/>
          <w:szCs w:val="20"/>
        </w:rPr>
        <w:t xml:space="preserve"> </w:t>
      </w:r>
      <w:r w:rsidR="00323457" w:rsidRPr="0059638B">
        <w:rPr>
          <w:sz w:val="20"/>
          <w:szCs w:val="20"/>
        </w:rPr>
        <w:t>legislative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policy</w:t>
      </w:r>
      <w:r w:rsidR="00FF41A0">
        <w:rPr>
          <w:sz w:val="20"/>
          <w:szCs w:val="20"/>
        </w:rPr>
        <w:t xml:space="preserve"> </w:t>
      </w:r>
      <w:r w:rsidR="00323457" w:rsidRPr="0059638B">
        <w:rPr>
          <w:sz w:val="20"/>
          <w:szCs w:val="20"/>
        </w:rPr>
        <w:t>changes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improve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living</w:t>
      </w:r>
      <w:r w:rsidR="00FF41A0">
        <w:rPr>
          <w:sz w:val="20"/>
          <w:szCs w:val="20"/>
        </w:rPr>
        <w:t xml:space="preserve"> </w:t>
      </w:r>
      <w:r w:rsidR="00323457" w:rsidRPr="0059638B">
        <w:rPr>
          <w:sz w:val="20"/>
          <w:szCs w:val="20"/>
        </w:rPr>
        <w:t>conditions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lesbian,</w:t>
      </w:r>
      <w:r w:rsidR="00FF41A0">
        <w:rPr>
          <w:sz w:val="20"/>
          <w:szCs w:val="20"/>
        </w:rPr>
        <w:t xml:space="preserve"> </w:t>
      </w:r>
      <w:r w:rsidR="00323457" w:rsidRPr="0059638B">
        <w:rPr>
          <w:sz w:val="20"/>
          <w:szCs w:val="20"/>
        </w:rPr>
        <w:t>gay,</w:t>
      </w:r>
      <w:r w:rsidR="00FF41A0">
        <w:rPr>
          <w:sz w:val="20"/>
          <w:szCs w:val="20"/>
        </w:rPr>
        <w:t xml:space="preserve"> </w:t>
      </w:r>
      <w:r w:rsidR="00323457" w:rsidRPr="0059638B">
        <w:rPr>
          <w:sz w:val="20"/>
          <w:szCs w:val="20"/>
        </w:rPr>
        <w:t>bisexual,</w:t>
      </w:r>
      <w:r w:rsidR="00FF41A0">
        <w:rPr>
          <w:sz w:val="20"/>
          <w:szCs w:val="20"/>
        </w:rPr>
        <w:t xml:space="preserve"> </w:t>
      </w:r>
      <w:r w:rsidR="00323457" w:rsidRPr="0059638B">
        <w:rPr>
          <w:sz w:val="20"/>
          <w:szCs w:val="20"/>
        </w:rPr>
        <w:t>transgender,</w:t>
      </w:r>
      <w:r w:rsidR="00FF41A0">
        <w:rPr>
          <w:sz w:val="20"/>
          <w:szCs w:val="20"/>
        </w:rPr>
        <w:t xml:space="preserve"> </w:t>
      </w:r>
      <w:r w:rsidR="00323457" w:rsidRPr="0059638B">
        <w:rPr>
          <w:sz w:val="20"/>
          <w:szCs w:val="20"/>
        </w:rPr>
        <w:t>intersex,</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questioning</w:t>
      </w:r>
      <w:r w:rsidR="00FF41A0">
        <w:rPr>
          <w:sz w:val="20"/>
          <w:szCs w:val="20"/>
        </w:rPr>
        <w:t xml:space="preserve"> </w:t>
      </w:r>
      <w:r w:rsidR="00323457" w:rsidRPr="0059638B">
        <w:rPr>
          <w:sz w:val="20"/>
          <w:szCs w:val="20"/>
        </w:rPr>
        <w:t>(LGBTIQ)</w:t>
      </w:r>
      <w:r w:rsidR="00FF41A0">
        <w:rPr>
          <w:sz w:val="20"/>
          <w:szCs w:val="20"/>
        </w:rPr>
        <w:t xml:space="preserve"> </w:t>
      </w:r>
      <w:r w:rsidR="00323457" w:rsidRPr="0059638B">
        <w:rPr>
          <w:sz w:val="20"/>
          <w:szCs w:val="20"/>
        </w:rPr>
        <w:t>persons.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Embryo</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Act</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amended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2018</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allow</w:t>
      </w:r>
      <w:r w:rsidR="00FF41A0">
        <w:rPr>
          <w:sz w:val="20"/>
          <w:szCs w:val="20"/>
        </w:rPr>
        <w:t xml:space="preserve"> </w:t>
      </w:r>
      <w:r w:rsidR="00323457" w:rsidRPr="0059638B">
        <w:rPr>
          <w:sz w:val="20"/>
          <w:szCs w:val="20"/>
        </w:rPr>
        <w:t>access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in-vitro</w:t>
      </w:r>
      <w:r w:rsidR="00FF41A0">
        <w:rPr>
          <w:sz w:val="20"/>
          <w:szCs w:val="20"/>
        </w:rPr>
        <w:t xml:space="preserve"> </w:t>
      </w:r>
      <w:r w:rsidR="00323457" w:rsidRPr="0059638B">
        <w:rPr>
          <w:sz w:val="20"/>
          <w:szCs w:val="20"/>
        </w:rPr>
        <w:t>fertilisation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single</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same-sex</w:t>
      </w:r>
      <w:r w:rsidR="00FF41A0">
        <w:rPr>
          <w:sz w:val="20"/>
          <w:szCs w:val="20"/>
        </w:rPr>
        <w:t xml:space="preserve"> </w:t>
      </w:r>
      <w:r w:rsidR="00323457" w:rsidRPr="0059638B">
        <w:rPr>
          <w:sz w:val="20"/>
          <w:szCs w:val="20"/>
        </w:rPr>
        <w:t>couples.</w:t>
      </w:r>
      <w:r w:rsidR="00FF41A0">
        <w:rPr>
          <w:sz w:val="20"/>
          <w:szCs w:val="20"/>
        </w:rPr>
        <w:t xml:space="preserve"> </w:t>
      </w:r>
      <w:r w:rsidR="00323457" w:rsidRPr="0059638B">
        <w:rPr>
          <w:sz w:val="20"/>
          <w:szCs w:val="20"/>
        </w:rPr>
        <w:t>Changes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relevant</w:t>
      </w:r>
      <w:r w:rsidR="00FF41A0">
        <w:rPr>
          <w:sz w:val="20"/>
          <w:szCs w:val="20"/>
        </w:rPr>
        <w:t xml:space="preserve"> </w:t>
      </w:r>
      <w:r w:rsidR="00323457" w:rsidRPr="0059638B">
        <w:rPr>
          <w:sz w:val="20"/>
          <w:szCs w:val="20"/>
        </w:rPr>
        <w:t>legislation</w:t>
      </w:r>
      <w:r w:rsidR="00FF41A0">
        <w:rPr>
          <w:sz w:val="20"/>
          <w:szCs w:val="20"/>
        </w:rPr>
        <w:t xml:space="preserve"> </w:t>
      </w:r>
      <w:r w:rsidR="00323457" w:rsidRPr="0059638B">
        <w:rPr>
          <w:sz w:val="20"/>
          <w:szCs w:val="20"/>
        </w:rPr>
        <w:t>ensured</w:t>
      </w:r>
      <w:r w:rsidR="00FF41A0">
        <w:rPr>
          <w:sz w:val="20"/>
          <w:szCs w:val="20"/>
        </w:rPr>
        <w:t xml:space="preserve"> </w:t>
      </w:r>
      <w:r w:rsidR="00323457" w:rsidRPr="0059638B">
        <w:rPr>
          <w:sz w:val="20"/>
          <w:szCs w:val="20"/>
        </w:rPr>
        <w:t>100</w:t>
      </w:r>
      <w:r w:rsidR="00FF41A0">
        <w:rPr>
          <w:sz w:val="20"/>
          <w:szCs w:val="20"/>
        </w:rPr>
        <w:t xml:space="preserve"> </w:t>
      </w:r>
      <w:r w:rsidR="00323457" w:rsidRPr="0059638B">
        <w:rPr>
          <w:sz w:val="20"/>
          <w:szCs w:val="20"/>
        </w:rPr>
        <w:t>hours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leave</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couples</w:t>
      </w:r>
      <w:r w:rsidR="00FF41A0">
        <w:rPr>
          <w:sz w:val="20"/>
          <w:szCs w:val="20"/>
        </w:rPr>
        <w:t xml:space="preserve"> </w:t>
      </w:r>
      <w:r w:rsidR="00323457" w:rsidRPr="0059638B">
        <w:rPr>
          <w:sz w:val="20"/>
          <w:szCs w:val="20"/>
        </w:rPr>
        <w:t>undergoing</w:t>
      </w:r>
      <w:r w:rsidR="00FF41A0">
        <w:rPr>
          <w:sz w:val="20"/>
          <w:szCs w:val="20"/>
        </w:rPr>
        <w:t xml:space="preserve"> </w:t>
      </w:r>
      <w:r w:rsidR="00323457" w:rsidRPr="0059638B">
        <w:rPr>
          <w:sz w:val="20"/>
          <w:szCs w:val="20"/>
        </w:rPr>
        <w:t>medically</w:t>
      </w:r>
      <w:r w:rsidR="00FF41A0">
        <w:rPr>
          <w:sz w:val="20"/>
          <w:szCs w:val="20"/>
        </w:rPr>
        <w:t xml:space="preserve"> </w:t>
      </w:r>
      <w:r w:rsidR="00323457" w:rsidRPr="0059638B">
        <w:rPr>
          <w:sz w:val="20"/>
          <w:szCs w:val="20"/>
        </w:rPr>
        <w:t>assisted</w:t>
      </w:r>
      <w:r w:rsidR="00FF41A0">
        <w:rPr>
          <w:sz w:val="20"/>
          <w:szCs w:val="20"/>
        </w:rPr>
        <w:t xml:space="preserve"> </w:t>
      </w:r>
      <w:r w:rsidR="00323457" w:rsidRPr="0059638B">
        <w:rPr>
          <w:sz w:val="20"/>
          <w:szCs w:val="20"/>
        </w:rPr>
        <w:t>procreation</w:t>
      </w:r>
      <w:r w:rsidR="00FF41A0">
        <w:rPr>
          <w:sz w:val="20"/>
          <w:szCs w:val="20"/>
        </w:rPr>
        <w:t xml:space="preserve"> </w:t>
      </w:r>
      <w:r w:rsidR="00323457" w:rsidRPr="0059638B">
        <w:rPr>
          <w:sz w:val="20"/>
          <w:szCs w:val="20"/>
        </w:rPr>
        <w:t>regardless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sexual</w:t>
      </w:r>
      <w:r w:rsidR="00FF41A0">
        <w:rPr>
          <w:sz w:val="20"/>
          <w:szCs w:val="20"/>
        </w:rPr>
        <w:t xml:space="preserve"> </w:t>
      </w:r>
      <w:r w:rsidR="00323457" w:rsidRPr="0059638B">
        <w:rPr>
          <w:sz w:val="20"/>
          <w:szCs w:val="20"/>
        </w:rPr>
        <w:t>orientation.</w:t>
      </w:r>
      <w:r w:rsidR="00FF41A0">
        <w:rPr>
          <w:sz w:val="20"/>
          <w:szCs w:val="20"/>
        </w:rPr>
        <w:t xml:space="preserve"> </w:t>
      </w:r>
      <w:r w:rsidR="00323457" w:rsidRPr="0059638B">
        <w:rPr>
          <w:sz w:val="20"/>
          <w:szCs w:val="20"/>
        </w:rPr>
        <w:t>Furthermore,</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Gender</w:t>
      </w:r>
      <w:r w:rsidR="00FF41A0">
        <w:rPr>
          <w:sz w:val="20"/>
          <w:szCs w:val="20"/>
        </w:rPr>
        <w:t xml:space="preserve"> </w:t>
      </w:r>
      <w:r w:rsidR="00323457" w:rsidRPr="0059638B">
        <w:rPr>
          <w:sz w:val="20"/>
          <w:szCs w:val="20"/>
        </w:rPr>
        <w:t>Wellbeing</w:t>
      </w:r>
      <w:r w:rsidR="00FF41A0">
        <w:rPr>
          <w:sz w:val="20"/>
          <w:szCs w:val="20"/>
        </w:rPr>
        <w:t xml:space="preserve"> </w:t>
      </w:r>
      <w:r w:rsidR="00323457" w:rsidRPr="0059638B">
        <w:rPr>
          <w:sz w:val="20"/>
          <w:szCs w:val="20"/>
        </w:rPr>
        <w:t>Clinic</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established</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started</w:t>
      </w:r>
      <w:r w:rsidR="00FF41A0">
        <w:rPr>
          <w:sz w:val="20"/>
          <w:szCs w:val="20"/>
        </w:rPr>
        <w:t xml:space="preserve"> </w:t>
      </w:r>
      <w:r w:rsidR="00323457" w:rsidRPr="0059638B">
        <w:rPr>
          <w:sz w:val="20"/>
          <w:szCs w:val="20"/>
        </w:rPr>
        <w:t>operating</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November</w:t>
      </w:r>
      <w:r w:rsidR="00FF41A0">
        <w:rPr>
          <w:sz w:val="20"/>
          <w:szCs w:val="20"/>
        </w:rPr>
        <w:t xml:space="preserve"> </w:t>
      </w:r>
      <w:r w:rsidR="00323457" w:rsidRPr="0059638B">
        <w:rPr>
          <w:sz w:val="20"/>
          <w:szCs w:val="20"/>
        </w:rPr>
        <w:t>2018,</w:t>
      </w:r>
      <w:r w:rsidR="00FF41A0">
        <w:rPr>
          <w:sz w:val="20"/>
          <w:szCs w:val="20"/>
        </w:rPr>
        <w:t xml:space="preserve"> </w:t>
      </w:r>
      <w:r w:rsidR="00323457" w:rsidRPr="0059638B">
        <w:rPr>
          <w:sz w:val="20"/>
          <w:szCs w:val="20"/>
        </w:rPr>
        <w:t>offering</w:t>
      </w:r>
      <w:r w:rsidR="00FF41A0">
        <w:rPr>
          <w:sz w:val="20"/>
          <w:szCs w:val="20"/>
        </w:rPr>
        <w:t xml:space="preserve"> </w:t>
      </w:r>
      <w:r w:rsidR="00323457" w:rsidRPr="0059638B">
        <w:rPr>
          <w:sz w:val="20"/>
          <w:szCs w:val="20"/>
        </w:rPr>
        <w:t>multi-disciplinary</w:t>
      </w:r>
      <w:r w:rsidR="00FF41A0">
        <w:rPr>
          <w:sz w:val="20"/>
          <w:szCs w:val="20"/>
        </w:rPr>
        <w:t xml:space="preserve"> </w:t>
      </w:r>
      <w:r w:rsidR="00323457" w:rsidRPr="0059638B">
        <w:rPr>
          <w:sz w:val="20"/>
          <w:szCs w:val="20"/>
        </w:rPr>
        <w:t>services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transgender,</w:t>
      </w:r>
      <w:r w:rsidR="00FF41A0">
        <w:rPr>
          <w:sz w:val="20"/>
          <w:szCs w:val="20"/>
        </w:rPr>
        <w:t xml:space="preserve"> </w:t>
      </w:r>
      <w:r w:rsidR="00323457" w:rsidRPr="0059638B">
        <w:rPr>
          <w:sz w:val="20"/>
          <w:szCs w:val="20"/>
        </w:rPr>
        <w:t>intersex</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genderqueer</w:t>
      </w:r>
      <w:r w:rsidR="00FF41A0">
        <w:rPr>
          <w:sz w:val="20"/>
          <w:szCs w:val="20"/>
        </w:rPr>
        <w:t xml:space="preserve"> </w:t>
      </w:r>
      <w:r w:rsidR="00323457" w:rsidRPr="0059638B">
        <w:rPr>
          <w:sz w:val="20"/>
          <w:szCs w:val="20"/>
        </w:rPr>
        <w:t>individuals.</w:t>
      </w:r>
      <w:r w:rsidR="00FF41A0">
        <w:rPr>
          <w:sz w:val="20"/>
          <w:szCs w:val="20"/>
        </w:rPr>
        <w:t xml:space="preserve"> </w:t>
      </w:r>
    </w:p>
    <w:p w14:paraId="75ED3928" w14:textId="0EFDA4A7" w:rsidR="00323457" w:rsidRPr="0059638B" w:rsidRDefault="00A50D75" w:rsidP="00323457">
      <w:pPr>
        <w:pStyle w:val="SingleTxtG"/>
        <w:rPr>
          <w:sz w:val="20"/>
          <w:szCs w:val="20"/>
        </w:rPr>
      </w:pPr>
      <w:r>
        <w:rPr>
          <w:sz w:val="20"/>
          <w:szCs w:val="20"/>
        </w:rPr>
        <w:t>877</w:t>
      </w:r>
      <w:r w:rsidR="000E0AEC">
        <w:rPr>
          <w:sz w:val="20"/>
          <w:szCs w:val="20"/>
        </w:rPr>
        <w:t>.</w:t>
      </w:r>
      <w:r w:rsidR="000E0AEC">
        <w:rPr>
          <w:sz w:val="20"/>
          <w:szCs w:val="20"/>
        </w:rPr>
        <w:tab/>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area</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persons</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disabilities,</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adopted</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two-pronged</w:t>
      </w:r>
      <w:r w:rsidR="00FF41A0">
        <w:rPr>
          <w:sz w:val="20"/>
          <w:szCs w:val="20"/>
        </w:rPr>
        <w:t xml:space="preserve"> </w:t>
      </w:r>
      <w:r w:rsidR="00323457" w:rsidRPr="0059638B">
        <w:rPr>
          <w:sz w:val="20"/>
          <w:szCs w:val="20"/>
        </w:rPr>
        <w:t>approach,</w:t>
      </w:r>
      <w:r w:rsidR="00FF41A0">
        <w:rPr>
          <w:sz w:val="20"/>
          <w:szCs w:val="20"/>
        </w:rPr>
        <w:t xml:space="preserve"> </w:t>
      </w:r>
      <w:r w:rsidR="00323457" w:rsidRPr="0059638B">
        <w:rPr>
          <w:sz w:val="20"/>
          <w:szCs w:val="20"/>
        </w:rPr>
        <w:t>namely</w:t>
      </w:r>
      <w:r w:rsidR="00FF41A0">
        <w:rPr>
          <w:sz w:val="20"/>
          <w:szCs w:val="20"/>
        </w:rPr>
        <w:t xml:space="preserve"> </w:t>
      </w:r>
      <w:r w:rsidR="00323457" w:rsidRPr="0059638B">
        <w:rPr>
          <w:sz w:val="20"/>
          <w:szCs w:val="20"/>
        </w:rPr>
        <w:t>empowerment,</w:t>
      </w:r>
      <w:r w:rsidR="00FF41A0">
        <w:rPr>
          <w:sz w:val="20"/>
          <w:szCs w:val="20"/>
        </w:rPr>
        <w:t xml:space="preserve"> </w:t>
      </w:r>
      <w:r w:rsidR="00323457" w:rsidRPr="0059638B">
        <w:rPr>
          <w:sz w:val="20"/>
          <w:szCs w:val="20"/>
        </w:rPr>
        <w:t>combined</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adopted</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lastRenderedPageBreak/>
        <w:t>series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legal</w:t>
      </w:r>
      <w:r w:rsidR="00FF41A0">
        <w:rPr>
          <w:sz w:val="20"/>
          <w:szCs w:val="20"/>
        </w:rPr>
        <w:t xml:space="preserve"> </w:t>
      </w:r>
      <w:r w:rsidR="00323457" w:rsidRPr="0059638B">
        <w:rPr>
          <w:sz w:val="20"/>
          <w:szCs w:val="20"/>
        </w:rPr>
        <w:t>acts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implement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Convention</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Persons</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Disabilities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law.</w:t>
      </w:r>
      <w:r w:rsidR="00FF41A0">
        <w:rPr>
          <w:sz w:val="20"/>
          <w:szCs w:val="20"/>
        </w:rPr>
        <w:t xml:space="preserve"> </w:t>
      </w:r>
      <w:r w:rsidR="00323457" w:rsidRPr="0059638B">
        <w:rPr>
          <w:sz w:val="20"/>
          <w:szCs w:val="20"/>
        </w:rPr>
        <w:t>These</w:t>
      </w:r>
      <w:r w:rsidR="00FF41A0">
        <w:rPr>
          <w:sz w:val="20"/>
          <w:szCs w:val="20"/>
        </w:rPr>
        <w:t xml:space="preserve"> </w:t>
      </w:r>
      <w:r w:rsidR="00323457" w:rsidRPr="0059638B">
        <w:rPr>
          <w:sz w:val="20"/>
          <w:szCs w:val="20"/>
        </w:rPr>
        <w:t>acts,</w:t>
      </w:r>
      <w:r w:rsidR="00FF41A0">
        <w:rPr>
          <w:sz w:val="20"/>
          <w:szCs w:val="20"/>
        </w:rPr>
        <w:t xml:space="preserve"> </w:t>
      </w:r>
      <w:r w:rsidR="00323457" w:rsidRPr="0059638B">
        <w:rPr>
          <w:sz w:val="20"/>
          <w:szCs w:val="20"/>
        </w:rPr>
        <w:t>amongst</w:t>
      </w:r>
      <w:r w:rsidR="00FF41A0">
        <w:rPr>
          <w:sz w:val="20"/>
          <w:szCs w:val="20"/>
        </w:rPr>
        <w:t xml:space="preserve"> </w:t>
      </w:r>
      <w:r w:rsidR="00323457" w:rsidRPr="0059638B">
        <w:rPr>
          <w:sz w:val="20"/>
          <w:szCs w:val="20"/>
        </w:rPr>
        <w:t>others,</w:t>
      </w:r>
      <w:r w:rsidR="00FF41A0">
        <w:rPr>
          <w:sz w:val="20"/>
          <w:szCs w:val="20"/>
        </w:rPr>
        <w:t xml:space="preserve"> </w:t>
      </w:r>
      <w:r w:rsidR="00323457" w:rsidRPr="0059638B">
        <w:rPr>
          <w:sz w:val="20"/>
          <w:szCs w:val="20"/>
        </w:rPr>
        <w:t>gave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Commission</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Persons</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Disability</w:t>
      </w:r>
      <w:r w:rsidR="00FF41A0">
        <w:rPr>
          <w:sz w:val="20"/>
          <w:szCs w:val="20"/>
        </w:rPr>
        <w:t xml:space="preserve"> </w:t>
      </w:r>
      <w:r w:rsidR="00323457" w:rsidRPr="0059638B">
        <w:rPr>
          <w:sz w:val="20"/>
          <w:szCs w:val="20"/>
        </w:rPr>
        <w:t>more</w:t>
      </w:r>
      <w:r w:rsidR="00FF41A0">
        <w:rPr>
          <w:sz w:val="20"/>
          <w:szCs w:val="20"/>
        </w:rPr>
        <w:t xml:space="preserve"> </w:t>
      </w:r>
      <w:r w:rsidR="00323457" w:rsidRPr="0059638B">
        <w:rPr>
          <w:sz w:val="20"/>
          <w:szCs w:val="20"/>
        </w:rPr>
        <w:t>competences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established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mandate</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an</w:t>
      </w:r>
      <w:r w:rsidR="00FF41A0">
        <w:rPr>
          <w:sz w:val="20"/>
          <w:szCs w:val="20"/>
        </w:rPr>
        <w:t xml:space="preserve"> </w:t>
      </w:r>
      <w:r w:rsidR="00323457" w:rsidRPr="0059638B">
        <w:rPr>
          <w:sz w:val="20"/>
          <w:szCs w:val="20"/>
        </w:rPr>
        <w:t>independent</w:t>
      </w:r>
      <w:r w:rsidR="00FF41A0">
        <w:rPr>
          <w:sz w:val="20"/>
          <w:szCs w:val="20"/>
        </w:rPr>
        <w:t xml:space="preserve"> </w:t>
      </w:r>
      <w:r w:rsidR="00323457" w:rsidRPr="0059638B">
        <w:rPr>
          <w:sz w:val="20"/>
          <w:szCs w:val="20"/>
        </w:rPr>
        <w:t>investigative</w:t>
      </w:r>
      <w:r w:rsidR="00FF41A0">
        <w:rPr>
          <w:sz w:val="20"/>
          <w:szCs w:val="20"/>
        </w:rPr>
        <w:t xml:space="preserve"> </w:t>
      </w:r>
      <w:r w:rsidR="00323457" w:rsidRPr="0059638B">
        <w:rPr>
          <w:sz w:val="20"/>
          <w:szCs w:val="20"/>
        </w:rPr>
        <w:t>body,</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well</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ensured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persons</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disabilities</w:t>
      </w:r>
      <w:r w:rsidR="00FF41A0">
        <w:rPr>
          <w:sz w:val="20"/>
          <w:szCs w:val="20"/>
        </w:rPr>
        <w:t xml:space="preserve"> </w:t>
      </w:r>
      <w:r w:rsidR="00323457" w:rsidRPr="0059638B">
        <w:rPr>
          <w:sz w:val="20"/>
          <w:szCs w:val="20"/>
        </w:rPr>
        <w:t>are</w:t>
      </w:r>
      <w:r w:rsidR="00FF41A0">
        <w:rPr>
          <w:sz w:val="20"/>
          <w:szCs w:val="20"/>
        </w:rPr>
        <w:t xml:space="preserve"> </w:t>
      </w:r>
      <w:r w:rsidR="00323457" w:rsidRPr="0059638B">
        <w:rPr>
          <w:sz w:val="20"/>
          <w:szCs w:val="20"/>
        </w:rPr>
        <w:t>represented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various</w:t>
      </w:r>
      <w:r w:rsidR="00FF41A0">
        <w:rPr>
          <w:sz w:val="20"/>
          <w:szCs w:val="20"/>
        </w:rPr>
        <w:t xml:space="preserve"> </w:t>
      </w:r>
      <w:r w:rsidR="00323457" w:rsidRPr="0059638B">
        <w:rPr>
          <w:sz w:val="20"/>
          <w:szCs w:val="20"/>
        </w:rPr>
        <w:t>governing</w:t>
      </w:r>
      <w:r w:rsidR="00FF41A0">
        <w:rPr>
          <w:sz w:val="20"/>
          <w:szCs w:val="20"/>
        </w:rPr>
        <w:t xml:space="preserve"> </w:t>
      </w:r>
      <w:r w:rsidR="00323457" w:rsidRPr="0059638B">
        <w:rPr>
          <w:sz w:val="20"/>
          <w:szCs w:val="20"/>
        </w:rPr>
        <w:t>bodies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public</w:t>
      </w:r>
      <w:r w:rsidR="00FF41A0">
        <w:rPr>
          <w:sz w:val="20"/>
          <w:szCs w:val="20"/>
        </w:rPr>
        <w:t xml:space="preserve"> </w:t>
      </w:r>
      <w:r w:rsidR="00323457" w:rsidRPr="0059638B">
        <w:rPr>
          <w:sz w:val="20"/>
          <w:szCs w:val="20"/>
        </w:rPr>
        <w:t>entities.</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Braille</w:t>
      </w:r>
      <w:r w:rsidR="00FF41A0">
        <w:rPr>
          <w:sz w:val="20"/>
          <w:szCs w:val="20"/>
        </w:rPr>
        <w:t xml:space="preserve"> </w:t>
      </w:r>
      <w:r w:rsidR="00323457" w:rsidRPr="0059638B">
        <w:rPr>
          <w:sz w:val="20"/>
          <w:szCs w:val="20"/>
        </w:rPr>
        <w:t>system</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adopted</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blind</w:t>
      </w:r>
      <w:r w:rsidR="00FF41A0">
        <w:rPr>
          <w:sz w:val="20"/>
          <w:szCs w:val="20"/>
        </w:rPr>
        <w:t xml:space="preserve"> </w:t>
      </w:r>
      <w:r w:rsidR="00323457" w:rsidRPr="0059638B">
        <w:rPr>
          <w:sz w:val="20"/>
          <w:szCs w:val="20"/>
        </w:rPr>
        <w:t>persons</w:t>
      </w:r>
      <w:r w:rsidR="00FF41A0">
        <w:rPr>
          <w:sz w:val="20"/>
          <w:szCs w:val="20"/>
        </w:rPr>
        <w:t xml:space="preserve"> </w:t>
      </w:r>
      <w:r w:rsidR="00323457" w:rsidRPr="0059638B">
        <w:rPr>
          <w:sz w:val="20"/>
          <w:szCs w:val="20"/>
        </w:rPr>
        <w:t>who</w:t>
      </w:r>
      <w:r w:rsidR="00FF41A0">
        <w:rPr>
          <w:sz w:val="20"/>
          <w:szCs w:val="20"/>
        </w:rPr>
        <w:t xml:space="preserve"> </w:t>
      </w:r>
      <w:r w:rsidR="00323457" w:rsidRPr="0059638B">
        <w:rPr>
          <w:sz w:val="20"/>
          <w:szCs w:val="20"/>
        </w:rPr>
        <w:t>are</w:t>
      </w:r>
      <w:r w:rsidR="00FF41A0">
        <w:rPr>
          <w:sz w:val="20"/>
          <w:szCs w:val="20"/>
        </w:rPr>
        <w:t xml:space="preserve"> </w:t>
      </w:r>
      <w:r w:rsidR="00323457" w:rsidRPr="0059638B">
        <w:rPr>
          <w:sz w:val="20"/>
          <w:szCs w:val="20"/>
        </w:rPr>
        <w:t>Braille-literate,</w:t>
      </w:r>
      <w:r w:rsidR="00FF41A0">
        <w:rPr>
          <w:sz w:val="20"/>
          <w:szCs w:val="20"/>
        </w:rPr>
        <w:t xml:space="preserve"> </w:t>
      </w:r>
      <w:r w:rsidR="00323457" w:rsidRPr="0059638B">
        <w:rPr>
          <w:sz w:val="20"/>
          <w:szCs w:val="20"/>
        </w:rPr>
        <w:t>while,</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2016,</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Maltese</w:t>
      </w:r>
      <w:r w:rsidR="00FF41A0">
        <w:rPr>
          <w:sz w:val="20"/>
          <w:szCs w:val="20"/>
        </w:rPr>
        <w:t xml:space="preserve"> </w:t>
      </w:r>
      <w:r w:rsidR="00323457" w:rsidRPr="0059638B">
        <w:rPr>
          <w:sz w:val="20"/>
          <w:szCs w:val="20"/>
        </w:rPr>
        <w:t>sign</w:t>
      </w:r>
      <w:r w:rsidR="00FF41A0">
        <w:rPr>
          <w:sz w:val="20"/>
          <w:szCs w:val="20"/>
        </w:rPr>
        <w:t xml:space="preserve"> </w:t>
      </w:r>
      <w:r w:rsidR="00323457" w:rsidRPr="0059638B">
        <w:rPr>
          <w:sz w:val="20"/>
          <w:szCs w:val="20"/>
        </w:rPr>
        <w:t>language</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legally</w:t>
      </w:r>
      <w:r w:rsidR="00FF41A0">
        <w:rPr>
          <w:sz w:val="20"/>
          <w:szCs w:val="20"/>
        </w:rPr>
        <w:t xml:space="preserve"> </w:t>
      </w:r>
      <w:r w:rsidR="00323457" w:rsidRPr="0059638B">
        <w:rPr>
          <w:sz w:val="20"/>
          <w:szCs w:val="20"/>
        </w:rPr>
        <w:t>recognised</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language.</w:t>
      </w:r>
      <w:r w:rsidR="00FF41A0">
        <w:rPr>
          <w:sz w:val="20"/>
          <w:szCs w:val="20"/>
        </w:rPr>
        <w:t xml:space="preserve"> </w:t>
      </w:r>
    </w:p>
    <w:p w14:paraId="28B6ADAB" w14:textId="30F8DCFD" w:rsidR="00323457" w:rsidRPr="0059638B" w:rsidRDefault="00323457" w:rsidP="00323457">
      <w:pPr>
        <w:pStyle w:val="H23G"/>
        <w:rPr>
          <w:sz w:val="20"/>
          <w:szCs w:val="20"/>
        </w:rPr>
      </w:pPr>
      <w:r w:rsidRPr="0059638B">
        <w:rPr>
          <w:sz w:val="20"/>
          <w:szCs w:val="20"/>
        </w:rPr>
        <w:tab/>
        <w:t>2.</w:t>
      </w:r>
      <w:r w:rsidRPr="0059638B">
        <w:rPr>
          <w:sz w:val="20"/>
          <w:szCs w:val="20"/>
        </w:rPr>
        <w:tab/>
        <w:t>Views</w:t>
      </w:r>
      <w:r w:rsidR="00FF41A0">
        <w:rPr>
          <w:sz w:val="20"/>
          <w:szCs w:val="20"/>
        </w:rPr>
        <w:t xml:space="preserve"> </w:t>
      </w:r>
      <w:r w:rsidRPr="0059638B">
        <w:rPr>
          <w:sz w:val="20"/>
          <w:szCs w:val="20"/>
        </w:rPr>
        <w:t>expressed</w:t>
      </w:r>
      <w:r w:rsidR="00FF41A0">
        <w:rPr>
          <w:sz w:val="20"/>
          <w:szCs w:val="20"/>
        </w:rPr>
        <w:t xml:space="preserve"> </w:t>
      </w:r>
      <w:r w:rsidRPr="0059638B">
        <w:rPr>
          <w:sz w:val="20"/>
          <w:szCs w:val="20"/>
        </w:rPr>
        <w:t>by</w:t>
      </w:r>
      <w:r w:rsidR="00FF41A0">
        <w:rPr>
          <w:sz w:val="20"/>
          <w:szCs w:val="20"/>
        </w:rPr>
        <w:t xml:space="preserve"> </w:t>
      </w:r>
      <w:r w:rsidRPr="0059638B">
        <w:rPr>
          <w:sz w:val="20"/>
          <w:szCs w:val="20"/>
        </w:rPr>
        <w:t>Member</w:t>
      </w:r>
      <w:r w:rsidR="00FF41A0">
        <w:rPr>
          <w:sz w:val="20"/>
          <w:szCs w:val="20"/>
        </w:rPr>
        <w:t xml:space="preserve"> </w:t>
      </w:r>
      <w:r w:rsidRPr="0059638B">
        <w:rPr>
          <w:sz w:val="20"/>
          <w:szCs w:val="20"/>
        </w:rPr>
        <w:t>and</w:t>
      </w:r>
      <w:r w:rsidR="00FF41A0">
        <w:rPr>
          <w:sz w:val="20"/>
          <w:szCs w:val="20"/>
        </w:rPr>
        <w:t xml:space="preserve"> </w:t>
      </w:r>
      <w:r w:rsidRPr="0059638B">
        <w:rPr>
          <w:sz w:val="20"/>
          <w:szCs w:val="20"/>
        </w:rPr>
        <w:t>observer</w:t>
      </w:r>
      <w:r w:rsidR="00FF41A0">
        <w:rPr>
          <w:sz w:val="20"/>
          <w:szCs w:val="20"/>
        </w:rPr>
        <w:t xml:space="preserve"> </w:t>
      </w:r>
      <w:r w:rsidRPr="0059638B">
        <w:rPr>
          <w:sz w:val="20"/>
          <w:szCs w:val="20"/>
        </w:rPr>
        <w:t>States</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Council</w:t>
      </w:r>
      <w:r w:rsidR="00FF41A0">
        <w:rPr>
          <w:sz w:val="20"/>
          <w:szCs w:val="20"/>
        </w:rPr>
        <w:t xml:space="preserve"> </w:t>
      </w:r>
      <w:r w:rsidRPr="0059638B">
        <w:rPr>
          <w:sz w:val="20"/>
          <w:szCs w:val="20"/>
        </w:rPr>
        <w:t>on</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outcome</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review</w:t>
      </w:r>
      <w:r w:rsidR="00FF41A0">
        <w:rPr>
          <w:sz w:val="20"/>
          <w:szCs w:val="20"/>
        </w:rPr>
        <w:t xml:space="preserve"> </w:t>
      </w:r>
    </w:p>
    <w:p w14:paraId="03312F99" w14:textId="298A7956" w:rsidR="00323457" w:rsidRPr="0059638B" w:rsidRDefault="00A50D75" w:rsidP="00323457">
      <w:pPr>
        <w:pStyle w:val="SingleTxtG"/>
        <w:rPr>
          <w:sz w:val="20"/>
          <w:szCs w:val="20"/>
        </w:rPr>
      </w:pPr>
      <w:r>
        <w:rPr>
          <w:sz w:val="20"/>
          <w:szCs w:val="20"/>
        </w:rPr>
        <w:t>878</w:t>
      </w:r>
      <w:r w:rsidR="000E0AEC">
        <w:rPr>
          <w:sz w:val="20"/>
          <w:szCs w:val="20"/>
        </w:rPr>
        <w:t>.</w:t>
      </w:r>
      <w:r w:rsidR="000E0AEC">
        <w:rPr>
          <w:sz w:val="20"/>
          <w:szCs w:val="20"/>
        </w:rPr>
        <w:tab/>
      </w:r>
      <w:r w:rsidR="00323457" w:rsidRPr="0059638B">
        <w:rPr>
          <w:sz w:val="20"/>
          <w:szCs w:val="20"/>
        </w:rPr>
        <w:t>During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adoption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outcome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nine</w:t>
      </w:r>
      <w:r w:rsidR="00FF41A0">
        <w:rPr>
          <w:sz w:val="20"/>
          <w:szCs w:val="20"/>
        </w:rPr>
        <w:t xml:space="preserve"> </w:t>
      </w:r>
      <w:r w:rsidR="00323457" w:rsidRPr="0059638B">
        <w:rPr>
          <w:sz w:val="20"/>
          <w:szCs w:val="20"/>
        </w:rPr>
        <w:t>delegations</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statements.</w:t>
      </w:r>
      <w:r w:rsidR="00FF41A0">
        <w:rPr>
          <w:sz w:val="20"/>
          <w:szCs w:val="20"/>
        </w:rPr>
        <w:t xml:space="preserve"> </w:t>
      </w:r>
    </w:p>
    <w:p w14:paraId="10FBB616" w14:textId="7AF7D372" w:rsidR="00323457" w:rsidRPr="0059638B" w:rsidRDefault="00A50D75" w:rsidP="00323457">
      <w:pPr>
        <w:pStyle w:val="SingleTxtG"/>
        <w:rPr>
          <w:sz w:val="20"/>
          <w:szCs w:val="20"/>
        </w:rPr>
      </w:pPr>
      <w:r>
        <w:rPr>
          <w:sz w:val="20"/>
          <w:szCs w:val="20"/>
        </w:rPr>
        <w:t>879</w:t>
      </w:r>
      <w:r w:rsidR="000E0AEC">
        <w:rPr>
          <w:sz w:val="20"/>
          <w:szCs w:val="20"/>
        </w:rPr>
        <w:t>.</w:t>
      </w:r>
      <w:r w:rsidR="000E0AEC">
        <w:rPr>
          <w:sz w:val="20"/>
          <w:szCs w:val="20"/>
        </w:rPr>
        <w:tab/>
      </w:r>
      <w:r w:rsidR="00323457" w:rsidRPr="0059638B">
        <w:rPr>
          <w:sz w:val="20"/>
          <w:szCs w:val="20"/>
        </w:rPr>
        <w:t>Egypt</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promote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protect</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active</w:t>
      </w:r>
      <w:r w:rsidR="00FF41A0">
        <w:rPr>
          <w:sz w:val="20"/>
          <w:szCs w:val="20"/>
        </w:rPr>
        <w:t xml:space="preserve"> </w:t>
      </w:r>
      <w:r w:rsidR="00323457" w:rsidRPr="0059638B">
        <w:rPr>
          <w:sz w:val="20"/>
          <w:szCs w:val="20"/>
        </w:rPr>
        <w:t>cooperation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mechanisms,</w:t>
      </w:r>
      <w:r w:rsidR="00FF41A0">
        <w:rPr>
          <w:sz w:val="20"/>
          <w:szCs w:val="20"/>
        </w:rPr>
        <w:t xml:space="preserve"> </w:t>
      </w:r>
      <w:r w:rsidR="00323457" w:rsidRPr="0059638B">
        <w:rPr>
          <w:sz w:val="20"/>
          <w:szCs w:val="20"/>
        </w:rPr>
        <w:t>including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regular</w:t>
      </w:r>
      <w:r w:rsidR="00FF41A0">
        <w:rPr>
          <w:sz w:val="20"/>
          <w:szCs w:val="20"/>
        </w:rPr>
        <w:t xml:space="preserve"> </w:t>
      </w:r>
      <w:r w:rsidR="00323457" w:rsidRPr="0059638B">
        <w:rPr>
          <w:sz w:val="20"/>
          <w:szCs w:val="20"/>
        </w:rPr>
        <w:t>reporting</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treaty</w:t>
      </w:r>
      <w:r w:rsidR="00FF41A0">
        <w:rPr>
          <w:sz w:val="20"/>
          <w:szCs w:val="20"/>
        </w:rPr>
        <w:t xml:space="preserve"> </w:t>
      </w:r>
      <w:r w:rsidR="00323457" w:rsidRPr="0059638B">
        <w:rPr>
          <w:sz w:val="20"/>
          <w:szCs w:val="20"/>
        </w:rPr>
        <w:t>bodies.</w:t>
      </w:r>
      <w:r w:rsidR="00FF41A0">
        <w:rPr>
          <w:sz w:val="20"/>
          <w:szCs w:val="20"/>
        </w:rPr>
        <w:t xml:space="preserve"> </w:t>
      </w:r>
      <w:r w:rsidR="00323457" w:rsidRPr="0059638B">
        <w:rPr>
          <w:sz w:val="20"/>
          <w:szCs w:val="20"/>
        </w:rPr>
        <w:t>Egypt</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appreciation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taken</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protect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refugees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asylum-seekers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combat</w:t>
      </w:r>
      <w:r w:rsidR="00FF41A0">
        <w:rPr>
          <w:sz w:val="20"/>
          <w:szCs w:val="20"/>
        </w:rPr>
        <w:t xml:space="preserve"> </w:t>
      </w:r>
      <w:r w:rsidR="00323457" w:rsidRPr="0059638B">
        <w:rPr>
          <w:sz w:val="20"/>
          <w:szCs w:val="20"/>
        </w:rPr>
        <w:t>hate</w:t>
      </w:r>
      <w:r w:rsidR="00FF41A0">
        <w:rPr>
          <w:sz w:val="20"/>
          <w:szCs w:val="20"/>
        </w:rPr>
        <w:t xml:space="preserve"> </w:t>
      </w:r>
      <w:r w:rsidR="00323457" w:rsidRPr="0059638B">
        <w:rPr>
          <w:sz w:val="20"/>
          <w:szCs w:val="20"/>
        </w:rPr>
        <w:t>crimes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trafficking</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beings.</w:t>
      </w:r>
      <w:r w:rsidR="00FF41A0">
        <w:rPr>
          <w:sz w:val="20"/>
          <w:szCs w:val="20"/>
        </w:rPr>
        <w:t xml:space="preserve"> </w:t>
      </w:r>
    </w:p>
    <w:p w14:paraId="238511A2" w14:textId="32B6453E" w:rsidR="00323457" w:rsidRPr="0059638B" w:rsidRDefault="00A50D75" w:rsidP="00323457">
      <w:pPr>
        <w:pStyle w:val="SingleTxtG"/>
        <w:rPr>
          <w:sz w:val="20"/>
          <w:szCs w:val="20"/>
        </w:rPr>
      </w:pPr>
      <w:r>
        <w:rPr>
          <w:sz w:val="20"/>
          <w:szCs w:val="20"/>
        </w:rPr>
        <w:t>880</w:t>
      </w:r>
      <w:r w:rsidR="000E0AEC">
        <w:rPr>
          <w:sz w:val="20"/>
          <w:szCs w:val="20"/>
        </w:rPr>
        <w:t>.</w:t>
      </w:r>
      <w:r w:rsidR="000E0AEC">
        <w:rPr>
          <w:sz w:val="20"/>
          <w:szCs w:val="20"/>
        </w:rPr>
        <w:tab/>
      </w:r>
      <w:r w:rsidR="00323457" w:rsidRPr="0059638B">
        <w:rPr>
          <w:sz w:val="20"/>
          <w:szCs w:val="20"/>
        </w:rPr>
        <w:t>Iraq</w:t>
      </w:r>
      <w:r w:rsidR="00FF41A0">
        <w:rPr>
          <w:sz w:val="20"/>
          <w:szCs w:val="20"/>
        </w:rPr>
        <w:t xml:space="preserve"> </w:t>
      </w:r>
      <w:r w:rsidR="00323457" w:rsidRPr="0059638B">
        <w:rPr>
          <w:sz w:val="20"/>
          <w:szCs w:val="20"/>
        </w:rPr>
        <w:t>commended</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having</w:t>
      </w:r>
      <w:r w:rsidR="00FF41A0">
        <w:rPr>
          <w:sz w:val="20"/>
          <w:szCs w:val="20"/>
        </w:rPr>
        <w:t xml:space="preserve"> </w:t>
      </w:r>
      <w:r w:rsidR="00323457" w:rsidRPr="0059638B">
        <w:rPr>
          <w:sz w:val="20"/>
          <w:szCs w:val="20"/>
        </w:rPr>
        <w:t>supported</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large</w:t>
      </w:r>
      <w:r w:rsidR="00FF41A0">
        <w:rPr>
          <w:sz w:val="20"/>
          <w:szCs w:val="20"/>
        </w:rPr>
        <w:t xml:space="preserve"> </w:t>
      </w:r>
      <w:r w:rsidR="00323457" w:rsidRPr="0059638B">
        <w:rPr>
          <w:sz w:val="20"/>
          <w:szCs w:val="20"/>
        </w:rPr>
        <w:t>number</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addressed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including</w:t>
      </w:r>
      <w:r w:rsidR="00FF41A0">
        <w:rPr>
          <w:sz w:val="20"/>
          <w:szCs w:val="20"/>
        </w:rPr>
        <w:t xml:space="preserve"> </w:t>
      </w:r>
      <w:r w:rsidR="00323457" w:rsidRPr="0059638B">
        <w:rPr>
          <w:sz w:val="20"/>
          <w:szCs w:val="20"/>
        </w:rPr>
        <w:t>two</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put</w:t>
      </w:r>
      <w:r w:rsidR="00FF41A0">
        <w:rPr>
          <w:sz w:val="20"/>
          <w:szCs w:val="20"/>
        </w:rPr>
        <w:t xml:space="preserve"> </w:t>
      </w:r>
      <w:r w:rsidR="00323457" w:rsidRPr="0059638B">
        <w:rPr>
          <w:sz w:val="20"/>
          <w:szCs w:val="20"/>
        </w:rPr>
        <w:t>forward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Iraq.</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expressed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hope</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those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be</w:t>
      </w:r>
      <w:r w:rsidR="00FF41A0">
        <w:rPr>
          <w:sz w:val="20"/>
          <w:szCs w:val="20"/>
        </w:rPr>
        <w:t xml:space="preserve"> </w:t>
      </w:r>
      <w:r w:rsidR="00323457" w:rsidRPr="0059638B">
        <w:rPr>
          <w:sz w:val="20"/>
          <w:szCs w:val="20"/>
        </w:rPr>
        <w:t>implemented.</w:t>
      </w:r>
    </w:p>
    <w:p w14:paraId="430241B4" w14:textId="7CBA4231" w:rsidR="00323457" w:rsidRPr="0059638B" w:rsidRDefault="00A50D75" w:rsidP="00323457">
      <w:pPr>
        <w:pStyle w:val="SingleTxtG"/>
        <w:rPr>
          <w:sz w:val="20"/>
          <w:szCs w:val="20"/>
        </w:rPr>
      </w:pPr>
      <w:r>
        <w:rPr>
          <w:sz w:val="20"/>
          <w:szCs w:val="20"/>
        </w:rPr>
        <w:t>881</w:t>
      </w:r>
      <w:r w:rsidR="000E0AEC">
        <w:rPr>
          <w:sz w:val="20"/>
          <w:szCs w:val="20"/>
        </w:rPr>
        <w:t>.</w:t>
      </w:r>
      <w:r w:rsidR="000E0AEC">
        <w:rPr>
          <w:sz w:val="20"/>
          <w:szCs w:val="20"/>
        </w:rPr>
        <w:tab/>
      </w:r>
      <w:r w:rsidR="00323457" w:rsidRPr="0059638B">
        <w:rPr>
          <w:sz w:val="20"/>
          <w:szCs w:val="20"/>
        </w:rPr>
        <w:t>Jordan</w:t>
      </w:r>
      <w:r w:rsidR="00FF41A0">
        <w:rPr>
          <w:sz w:val="20"/>
          <w:szCs w:val="20"/>
        </w:rPr>
        <w:t xml:space="preserve"> </w:t>
      </w:r>
      <w:r w:rsidR="00323457" w:rsidRPr="0059638B">
        <w:rPr>
          <w:sz w:val="20"/>
          <w:szCs w:val="20"/>
        </w:rPr>
        <w:t>commended</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supporting</w:t>
      </w:r>
      <w:r w:rsidR="00FF41A0">
        <w:rPr>
          <w:sz w:val="20"/>
          <w:szCs w:val="20"/>
        </w:rPr>
        <w:t xml:space="preserve"> </w:t>
      </w:r>
      <w:r w:rsidR="00323457" w:rsidRPr="0059638B">
        <w:rPr>
          <w:sz w:val="20"/>
          <w:szCs w:val="20"/>
        </w:rPr>
        <w:t>122</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out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total</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157</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put</w:t>
      </w:r>
      <w:r w:rsidR="00FF41A0">
        <w:rPr>
          <w:sz w:val="20"/>
          <w:szCs w:val="20"/>
        </w:rPr>
        <w:t xml:space="preserve"> </w:t>
      </w:r>
      <w:r w:rsidR="00323457" w:rsidRPr="0059638B">
        <w:rPr>
          <w:sz w:val="20"/>
          <w:szCs w:val="20"/>
        </w:rPr>
        <w:t>forward</w:t>
      </w:r>
      <w:r w:rsidR="00FF41A0">
        <w:rPr>
          <w:sz w:val="20"/>
          <w:szCs w:val="20"/>
        </w:rPr>
        <w:t xml:space="preserve"> </w:t>
      </w:r>
      <w:r w:rsidR="00323457" w:rsidRPr="0059638B">
        <w:rPr>
          <w:sz w:val="20"/>
          <w:szCs w:val="20"/>
        </w:rPr>
        <w:t>during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supported</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recommendation</w:t>
      </w:r>
      <w:r w:rsidR="00FF41A0">
        <w:rPr>
          <w:sz w:val="20"/>
          <w:szCs w:val="20"/>
        </w:rPr>
        <w:t xml:space="preserve"> </w:t>
      </w:r>
      <w:r w:rsidR="00323457" w:rsidRPr="0059638B">
        <w:rPr>
          <w:sz w:val="20"/>
          <w:szCs w:val="20"/>
        </w:rPr>
        <w:t>put</w:t>
      </w:r>
      <w:r w:rsidR="00FF41A0">
        <w:rPr>
          <w:sz w:val="20"/>
          <w:szCs w:val="20"/>
        </w:rPr>
        <w:t xml:space="preserve"> </w:t>
      </w:r>
      <w:r w:rsidR="00323457" w:rsidRPr="0059638B">
        <w:rPr>
          <w:sz w:val="20"/>
          <w:szCs w:val="20"/>
        </w:rPr>
        <w:t>forward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Jordan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pursue</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strengthen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persons</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disabilities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provide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necessary</w:t>
      </w:r>
      <w:r w:rsidR="00FF41A0">
        <w:rPr>
          <w:sz w:val="20"/>
          <w:szCs w:val="20"/>
        </w:rPr>
        <w:t xml:space="preserve"> </w:t>
      </w:r>
      <w:r w:rsidR="00323457" w:rsidRPr="0059638B">
        <w:rPr>
          <w:sz w:val="20"/>
          <w:szCs w:val="20"/>
        </w:rPr>
        <w:t>support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relevant</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mechanisms.</w:t>
      </w:r>
      <w:r w:rsidR="00FF41A0">
        <w:rPr>
          <w:sz w:val="20"/>
          <w:szCs w:val="20"/>
        </w:rPr>
        <w:t xml:space="preserve"> </w:t>
      </w:r>
    </w:p>
    <w:p w14:paraId="489F65AA" w14:textId="4B8AA673" w:rsidR="00323457" w:rsidRPr="0059638B" w:rsidRDefault="00A50D75" w:rsidP="00323457">
      <w:pPr>
        <w:pStyle w:val="SingleTxtG"/>
        <w:rPr>
          <w:sz w:val="20"/>
          <w:szCs w:val="20"/>
        </w:rPr>
      </w:pPr>
      <w:r>
        <w:rPr>
          <w:sz w:val="20"/>
          <w:szCs w:val="20"/>
        </w:rPr>
        <w:t>882</w:t>
      </w:r>
      <w:r w:rsidR="000E0AEC">
        <w:rPr>
          <w:sz w:val="20"/>
          <w:szCs w:val="20"/>
        </w:rPr>
        <w:t>.</w:t>
      </w:r>
      <w:r w:rsidR="000E0AEC">
        <w:rPr>
          <w:sz w:val="20"/>
          <w:szCs w:val="20"/>
        </w:rPr>
        <w:tab/>
      </w:r>
      <w:r w:rsidR="00323457" w:rsidRPr="0059638B">
        <w:rPr>
          <w:sz w:val="20"/>
          <w:szCs w:val="20"/>
        </w:rPr>
        <w:t>The</w:t>
      </w:r>
      <w:r w:rsidR="00FF41A0">
        <w:rPr>
          <w:sz w:val="20"/>
          <w:szCs w:val="20"/>
        </w:rPr>
        <w:t xml:space="preserve"> </w:t>
      </w:r>
      <w:r w:rsidR="00323457" w:rsidRPr="0059638B">
        <w:rPr>
          <w:sz w:val="20"/>
          <w:szCs w:val="20"/>
        </w:rPr>
        <w:t>Philippines</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supported</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recommendation</w:t>
      </w:r>
      <w:r w:rsidR="00FF41A0">
        <w:rPr>
          <w:sz w:val="20"/>
          <w:szCs w:val="20"/>
        </w:rPr>
        <w:t xml:space="preserve"> </w:t>
      </w:r>
      <w:r w:rsidR="00323457" w:rsidRPr="0059638B">
        <w:rPr>
          <w:sz w:val="20"/>
          <w:szCs w:val="20"/>
        </w:rPr>
        <w:t>put</w:t>
      </w:r>
      <w:r w:rsidR="00FF41A0">
        <w:rPr>
          <w:sz w:val="20"/>
          <w:szCs w:val="20"/>
        </w:rPr>
        <w:t xml:space="preserve"> </w:t>
      </w:r>
      <w:r w:rsidR="00323457" w:rsidRPr="0059638B">
        <w:rPr>
          <w:sz w:val="20"/>
          <w:szCs w:val="20"/>
        </w:rPr>
        <w:t>forward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Philippines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combat</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trafficking.</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encouraged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assurance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continue</w:t>
      </w:r>
      <w:r w:rsidR="00FF41A0">
        <w:rPr>
          <w:sz w:val="20"/>
          <w:szCs w:val="20"/>
        </w:rPr>
        <w:t xml:space="preserve"> </w:t>
      </w:r>
      <w:r w:rsidR="00323457" w:rsidRPr="0059638B">
        <w:rPr>
          <w:sz w:val="20"/>
          <w:szCs w:val="20"/>
        </w:rPr>
        <w:t>making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necessary</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protect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migrants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order</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strengthen</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culture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tolerance,</w:t>
      </w:r>
      <w:r w:rsidR="00FF41A0">
        <w:rPr>
          <w:sz w:val="20"/>
          <w:szCs w:val="20"/>
        </w:rPr>
        <w:t xml:space="preserve"> </w:t>
      </w:r>
      <w:r w:rsidR="00323457" w:rsidRPr="0059638B">
        <w:rPr>
          <w:sz w:val="20"/>
          <w:szCs w:val="20"/>
        </w:rPr>
        <w:t>diversity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non-discrimination.</w:t>
      </w:r>
    </w:p>
    <w:p w14:paraId="260C0B58" w14:textId="6EC8B3CA" w:rsidR="00323457" w:rsidRPr="0059638B" w:rsidRDefault="00A50D75" w:rsidP="00323457">
      <w:pPr>
        <w:pStyle w:val="SingleTxtG"/>
        <w:rPr>
          <w:sz w:val="20"/>
          <w:szCs w:val="20"/>
        </w:rPr>
      </w:pPr>
      <w:r>
        <w:rPr>
          <w:sz w:val="20"/>
          <w:szCs w:val="20"/>
        </w:rPr>
        <w:t>883</w:t>
      </w:r>
      <w:r w:rsidR="000E0AEC">
        <w:rPr>
          <w:sz w:val="20"/>
          <w:szCs w:val="20"/>
        </w:rPr>
        <w:t>.</w:t>
      </w:r>
      <w:r w:rsidR="000E0AEC">
        <w:rPr>
          <w:sz w:val="20"/>
          <w:szCs w:val="20"/>
        </w:rPr>
        <w:tab/>
      </w:r>
      <w:r w:rsidR="00323457" w:rsidRPr="0059638B">
        <w:rPr>
          <w:sz w:val="20"/>
          <w:szCs w:val="20"/>
        </w:rPr>
        <w:t>The</w:t>
      </w:r>
      <w:r w:rsidR="00FF41A0">
        <w:rPr>
          <w:sz w:val="20"/>
          <w:szCs w:val="20"/>
        </w:rPr>
        <w:t xml:space="preserve"> </w:t>
      </w:r>
      <w:r w:rsidR="00323457" w:rsidRPr="0059638B">
        <w:rPr>
          <w:sz w:val="20"/>
          <w:szCs w:val="20"/>
        </w:rPr>
        <w:t>Republic</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Moldova</w:t>
      </w:r>
      <w:r w:rsidR="00FF41A0">
        <w:rPr>
          <w:sz w:val="20"/>
          <w:szCs w:val="20"/>
        </w:rPr>
        <w:t xml:space="preserve"> </w:t>
      </w:r>
      <w:r w:rsidR="00323457" w:rsidRPr="0059638B">
        <w:rPr>
          <w:sz w:val="20"/>
          <w:szCs w:val="20"/>
        </w:rPr>
        <w:t>commended</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supporting</w:t>
      </w:r>
      <w:r w:rsidR="00FF41A0">
        <w:rPr>
          <w:sz w:val="20"/>
          <w:szCs w:val="20"/>
        </w:rPr>
        <w:t xml:space="preserve"> </w:t>
      </w:r>
      <w:r w:rsidR="00323457" w:rsidRPr="0059638B">
        <w:rPr>
          <w:sz w:val="20"/>
          <w:szCs w:val="20"/>
        </w:rPr>
        <w:t>majority</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received</w:t>
      </w:r>
      <w:r w:rsidR="00FF41A0">
        <w:rPr>
          <w:sz w:val="20"/>
          <w:szCs w:val="20"/>
        </w:rPr>
        <w:t xml:space="preserve"> </w:t>
      </w:r>
      <w:r w:rsidR="00323457" w:rsidRPr="0059638B">
        <w:rPr>
          <w:sz w:val="20"/>
          <w:szCs w:val="20"/>
        </w:rPr>
        <w:t>during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well</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measures</w:t>
      </w:r>
      <w:r w:rsidR="00FF41A0">
        <w:rPr>
          <w:sz w:val="20"/>
          <w:szCs w:val="20"/>
        </w:rPr>
        <w:t xml:space="preserve"> </w:t>
      </w:r>
      <w:r w:rsidR="00323457" w:rsidRPr="0059638B">
        <w:rPr>
          <w:sz w:val="20"/>
          <w:szCs w:val="20"/>
        </w:rPr>
        <w:t>already</w:t>
      </w:r>
      <w:r w:rsidR="00FF41A0">
        <w:rPr>
          <w:sz w:val="20"/>
          <w:szCs w:val="20"/>
        </w:rPr>
        <w:t xml:space="preserve"> </w:t>
      </w:r>
      <w:r w:rsidR="00323457" w:rsidRPr="0059638B">
        <w:rPr>
          <w:sz w:val="20"/>
          <w:szCs w:val="20"/>
        </w:rPr>
        <w:t>taken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implement</w:t>
      </w:r>
      <w:r w:rsidR="00FF41A0">
        <w:rPr>
          <w:sz w:val="20"/>
          <w:szCs w:val="20"/>
        </w:rPr>
        <w:t xml:space="preserve"> </w:t>
      </w:r>
      <w:r w:rsidR="00323457" w:rsidRPr="0059638B">
        <w:rPr>
          <w:sz w:val="20"/>
          <w:szCs w:val="20"/>
        </w:rPr>
        <w:t>those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acceptance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implement</w:t>
      </w:r>
      <w:r w:rsidR="00FF41A0">
        <w:rPr>
          <w:sz w:val="20"/>
          <w:szCs w:val="20"/>
        </w:rPr>
        <w:t xml:space="preserve"> </w:t>
      </w:r>
      <w:r w:rsidR="00323457" w:rsidRPr="0059638B">
        <w:rPr>
          <w:sz w:val="20"/>
          <w:szCs w:val="20"/>
        </w:rPr>
        <w:t>policies</w:t>
      </w:r>
      <w:r w:rsidR="00FF41A0">
        <w:rPr>
          <w:sz w:val="20"/>
          <w:szCs w:val="20"/>
        </w:rPr>
        <w:t xml:space="preserve"> </w:t>
      </w:r>
      <w:r w:rsidR="00323457" w:rsidRPr="0059638B">
        <w:rPr>
          <w:sz w:val="20"/>
          <w:szCs w:val="20"/>
        </w:rPr>
        <w:t>directed</w:t>
      </w:r>
      <w:r w:rsidR="00FF41A0">
        <w:rPr>
          <w:sz w:val="20"/>
          <w:szCs w:val="20"/>
        </w:rPr>
        <w:t xml:space="preserve"> </w:t>
      </w:r>
      <w:r w:rsidR="00323457" w:rsidRPr="0059638B">
        <w:rPr>
          <w:sz w:val="20"/>
          <w:szCs w:val="20"/>
        </w:rPr>
        <w:t>at</w:t>
      </w:r>
      <w:r w:rsidR="00FF41A0">
        <w:rPr>
          <w:sz w:val="20"/>
          <w:szCs w:val="20"/>
        </w:rPr>
        <w:t xml:space="preserve"> </w:t>
      </w:r>
      <w:r w:rsidR="00323457" w:rsidRPr="0059638B">
        <w:rPr>
          <w:sz w:val="20"/>
          <w:szCs w:val="20"/>
        </w:rPr>
        <w:t>improving</w:t>
      </w:r>
      <w:r w:rsidR="00FF41A0">
        <w:rPr>
          <w:sz w:val="20"/>
          <w:szCs w:val="20"/>
        </w:rPr>
        <w:t xml:space="preserve"> </w:t>
      </w:r>
      <w:r w:rsidR="00323457" w:rsidRPr="0059638B">
        <w:rPr>
          <w:sz w:val="20"/>
          <w:szCs w:val="20"/>
        </w:rPr>
        <w:t>access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health</w:t>
      </w:r>
      <w:r w:rsidR="00FF41A0">
        <w:rPr>
          <w:sz w:val="20"/>
          <w:szCs w:val="20"/>
        </w:rPr>
        <w:t xml:space="preserve"> </w:t>
      </w:r>
      <w:r w:rsidR="00323457" w:rsidRPr="0059638B">
        <w:rPr>
          <w:sz w:val="20"/>
          <w:szCs w:val="20"/>
        </w:rPr>
        <w:t>services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health</w:t>
      </w:r>
      <w:r w:rsidR="00FF41A0">
        <w:rPr>
          <w:sz w:val="20"/>
          <w:szCs w:val="20"/>
        </w:rPr>
        <w:t xml:space="preserve"> </w:t>
      </w:r>
      <w:r w:rsidR="00323457" w:rsidRPr="0059638B">
        <w:rPr>
          <w:sz w:val="20"/>
          <w:szCs w:val="20"/>
        </w:rPr>
        <w:t>education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ensure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full</w:t>
      </w:r>
      <w:r w:rsidR="00FF41A0">
        <w:rPr>
          <w:sz w:val="20"/>
          <w:szCs w:val="20"/>
        </w:rPr>
        <w:t xml:space="preserve"> </w:t>
      </w:r>
      <w:r w:rsidR="00323457" w:rsidRPr="0059638B">
        <w:rPr>
          <w:sz w:val="20"/>
          <w:szCs w:val="20"/>
        </w:rPr>
        <w:t>realization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freedoms</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young</w:t>
      </w:r>
      <w:r w:rsidR="00FF41A0">
        <w:rPr>
          <w:sz w:val="20"/>
          <w:szCs w:val="20"/>
        </w:rPr>
        <w:t xml:space="preserve"> </w:t>
      </w:r>
      <w:r w:rsidR="00323457" w:rsidRPr="0059638B">
        <w:rPr>
          <w:sz w:val="20"/>
          <w:szCs w:val="20"/>
        </w:rPr>
        <w:t>persons.</w:t>
      </w:r>
      <w:r w:rsidR="00FF41A0">
        <w:rPr>
          <w:sz w:val="20"/>
          <w:szCs w:val="20"/>
        </w:rPr>
        <w:t xml:space="preserve"> </w:t>
      </w:r>
    </w:p>
    <w:p w14:paraId="371BE79E" w14:textId="7FBB176F" w:rsidR="00323457" w:rsidRPr="0059638B" w:rsidRDefault="00A50D75" w:rsidP="00323457">
      <w:pPr>
        <w:pStyle w:val="SingleTxtG"/>
        <w:rPr>
          <w:sz w:val="20"/>
          <w:szCs w:val="20"/>
        </w:rPr>
      </w:pPr>
      <w:r>
        <w:rPr>
          <w:sz w:val="20"/>
          <w:szCs w:val="20"/>
        </w:rPr>
        <w:t>884</w:t>
      </w:r>
      <w:r w:rsidR="000E0AEC">
        <w:rPr>
          <w:sz w:val="20"/>
          <w:szCs w:val="20"/>
        </w:rPr>
        <w:t>.</w:t>
      </w:r>
      <w:r w:rsidR="000E0AEC">
        <w:rPr>
          <w:sz w:val="20"/>
          <w:szCs w:val="20"/>
        </w:rPr>
        <w:tab/>
      </w:r>
      <w:r w:rsidR="00323457" w:rsidRPr="0059638B">
        <w:rPr>
          <w:sz w:val="20"/>
          <w:szCs w:val="20"/>
        </w:rPr>
        <w:t>Tunisia</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acceptance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122</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including</w:t>
      </w:r>
      <w:r w:rsidR="00FF41A0">
        <w:rPr>
          <w:sz w:val="20"/>
          <w:szCs w:val="20"/>
        </w:rPr>
        <w:t xml:space="preserve"> </w:t>
      </w:r>
      <w:r w:rsidR="00323457" w:rsidRPr="0059638B">
        <w:rPr>
          <w:sz w:val="20"/>
          <w:szCs w:val="20"/>
        </w:rPr>
        <w:t>those</w:t>
      </w:r>
      <w:r w:rsidR="00FF41A0">
        <w:rPr>
          <w:sz w:val="20"/>
          <w:szCs w:val="20"/>
        </w:rPr>
        <w:t xml:space="preserve"> </w:t>
      </w:r>
      <w:r w:rsidR="00323457" w:rsidRPr="0059638B">
        <w:rPr>
          <w:sz w:val="20"/>
          <w:szCs w:val="20"/>
        </w:rPr>
        <w:t>put</w:t>
      </w:r>
      <w:r w:rsidR="00FF41A0">
        <w:rPr>
          <w:sz w:val="20"/>
          <w:szCs w:val="20"/>
        </w:rPr>
        <w:t xml:space="preserve"> </w:t>
      </w:r>
      <w:r w:rsidR="00323457" w:rsidRPr="0059638B">
        <w:rPr>
          <w:sz w:val="20"/>
          <w:szCs w:val="20"/>
        </w:rPr>
        <w:t>forward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Tunisia.</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particular,</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support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implement</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combat</w:t>
      </w:r>
      <w:r w:rsidR="00FF41A0">
        <w:rPr>
          <w:sz w:val="20"/>
          <w:szCs w:val="20"/>
        </w:rPr>
        <w:t xml:space="preserve"> </w:t>
      </w:r>
      <w:r w:rsidR="00323457" w:rsidRPr="0059638B">
        <w:rPr>
          <w:sz w:val="20"/>
          <w:szCs w:val="20"/>
        </w:rPr>
        <w:t>violence</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promote</w:t>
      </w:r>
      <w:r w:rsidR="00FF41A0">
        <w:rPr>
          <w:sz w:val="20"/>
          <w:szCs w:val="20"/>
        </w:rPr>
        <w:t xml:space="preserve"> </w:t>
      </w:r>
      <w:r w:rsidR="00323457" w:rsidRPr="0059638B">
        <w:rPr>
          <w:sz w:val="20"/>
          <w:szCs w:val="20"/>
        </w:rPr>
        <w:t>gender-equality</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employment,</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well</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combat</w:t>
      </w:r>
      <w:r w:rsidR="00FF41A0">
        <w:rPr>
          <w:sz w:val="20"/>
          <w:szCs w:val="20"/>
        </w:rPr>
        <w:t xml:space="preserve"> </w:t>
      </w:r>
      <w:r w:rsidR="00323457" w:rsidRPr="0059638B">
        <w:rPr>
          <w:sz w:val="20"/>
          <w:szCs w:val="20"/>
        </w:rPr>
        <w:t>xenophobia,</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protect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children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persons</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disabilities.</w:t>
      </w:r>
      <w:r w:rsidR="00FF41A0">
        <w:rPr>
          <w:sz w:val="20"/>
          <w:szCs w:val="20"/>
        </w:rPr>
        <w:t xml:space="preserve"> </w:t>
      </w:r>
    </w:p>
    <w:p w14:paraId="4491582A" w14:textId="02725B71" w:rsidR="00323457" w:rsidRPr="0059638B" w:rsidRDefault="00A50D75" w:rsidP="00323457">
      <w:pPr>
        <w:pStyle w:val="SingleTxtG"/>
        <w:rPr>
          <w:sz w:val="20"/>
          <w:szCs w:val="20"/>
        </w:rPr>
      </w:pPr>
      <w:r>
        <w:rPr>
          <w:sz w:val="20"/>
          <w:szCs w:val="20"/>
        </w:rPr>
        <w:t>885</w:t>
      </w:r>
      <w:r w:rsidR="000E0AEC">
        <w:rPr>
          <w:sz w:val="20"/>
          <w:szCs w:val="20"/>
        </w:rPr>
        <w:t>.</w:t>
      </w:r>
      <w:r w:rsidR="000E0AEC">
        <w:rPr>
          <w:sz w:val="20"/>
          <w:szCs w:val="20"/>
        </w:rPr>
        <w:tab/>
      </w:r>
      <w:r w:rsidR="00323457" w:rsidRPr="0059638B">
        <w:rPr>
          <w:sz w:val="20"/>
          <w:szCs w:val="20"/>
        </w:rPr>
        <w:t>Afghanistan</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appreciation</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supported</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put</w:t>
      </w:r>
      <w:r w:rsidR="00FF41A0">
        <w:rPr>
          <w:sz w:val="20"/>
          <w:szCs w:val="20"/>
        </w:rPr>
        <w:t xml:space="preserve"> </w:t>
      </w:r>
      <w:r w:rsidR="00323457" w:rsidRPr="0059638B">
        <w:rPr>
          <w:sz w:val="20"/>
          <w:szCs w:val="20"/>
        </w:rPr>
        <w:t>forward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Afghanistan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previous</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strengthen</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eradicate</w:t>
      </w:r>
      <w:r w:rsidR="00FF41A0">
        <w:rPr>
          <w:sz w:val="20"/>
          <w:szCs w:val="20"/>
        </w:rPr>
        <w:t xml:space="preserve"> </w:t>
      </w:r>
      <w:r w:rsidR="00323457" w:rsidRPr="0059638B">
        <w:rPr>
          <w:sz w:val="20"/>
          <w:szCs w:val="20"/>
        </w:rPr>
        <w:t>stereotypes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discrimination</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migrants.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appreciation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commitment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continue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implementation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education</w:t>
      </w:r>
      <w:r w:rsidR="00FF41A0">
        <w:rPr>
          <w:sz w:val="20"/>
          <w:szCs w:val="20"/>
        </w:rPr>
        <w:t xml:space="preserve"> </w:t>
      </w:r>
      <w:r w:rsidR="00323457" w:rsidRPr="0059638B">
        <w:rPr>
          <w:sz w:val="20"/>
          <w:szCs w:val="20"/>
        </w:rPr>
        <w:t>strategy</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2014-2024.</w:t>
      </w:r>
      <w:r w:rsidR="00FF41A0">
        <w:rPr>
          <w:sz w:val="20"/>
          <w:szCs w:val="20"/>
        </w:rPr>
        <w:t xml:space="preserve"> </w:t>
      </w:r>
    </w:p>
    <w:p w14:paraId="16F00CD7" w14:textId="5F37C229" w:rsidR="00323457" w:rsidRPr="0059638B" w:rsidRDefault="00A50D75" w:rsidP="00323457">
      <w:pPr>
        <w:pStyle w:val="SingleTxtG"/>
        <w:rPr>
          <w:sz w:val="20"/>
          <w:szCs w:val="20"/>
        </w:rPr>
      </w:pPr>
      <w:r>
        <w:rPr>
          <w:sz w:val="20"/>
          <w:szCs w:val="20"/>
        </w:rPr>
        <w:t>886</w:t>
      </w:r>
      <w:r w:rsidR="000E0AEC">
        <w:rPr>
          <w:sz w:val="20"/>
          <w:szCs w:val="20"/>
        </w:rPr>
        <w:t>.</w:t>
      </w:r>
      <w:r w:rsidR="000E0AEC">
        <w:rPr>
          <w:sz w:val="20"/>
          <w:szCs w:val="20"/>
        </w:rPr>
        <w:tab/>
      </w:r>
      <w:r w:rsidR="00323457" w:rsidRPr="0059638B">
        <w:rPr>
          <w:sz w:val="20"/>
          <w:szCs w:val="20"/>
        </w:rPr>
        <w:t>Botswana</w:t>
      </w:r>
      <w:r w:rsidR="00FF41A0">
        <w:rPr>
          <w:sz w:val="20"/>
          <w:szCs w:val="20"/>
        </w:rPr>
        <w:t xml:space="preserve"> </w:t>
      </w:r>
      <w:r w:rsidR="00323457" w:rsidRPr="0059638B">
        <w:rPr>
          <w:sz w:val="20"/>
          <w:szCs w:val="20"/>
        </w:rPr>
        <w:t>commended</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continuous</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advance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including</w:t>
      </w:r>
      <w:r w:rsidR="00FF41A0">
        <w:rPr>
          <w:sz w:val="20"/>
          <w:szCs w:val="20"/>
        </w:rPr>
        <w:t xml:space="preserve"> </w:t>
      </w:r>
      <w:r w:rsidR="00323457" w:rsidRPr="0059638B">
        <w:rPr>
          <w:sz w:val="20"/>
          <w:szCs w:val="20"/>
        </w:rPr>
        <w:t>through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ratification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Council</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Europe</w:t>
      </w:r>
      <w:r w:rsidR="00FF41A0">
        <w:rPr>
          <w:sz w:val="20"/>
          <w:szCs w:val="20"/>
        </w:rPr>
        <w:t xml:space="preserve"> </w:t>
      </w:r>
      <w:r w:rsidR="00323457" w:rsidRPr="0059638B">
        <w:rPr>
          <w:sz w:val="20"/>
          <w:szCs w:val="20"/>
        </w:rPr>
        <w:t>Convention</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Preventing</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Combating</w:t>
      </w:r>
      <w:r w:rsidR="00FF41A0">
        <w:rPr>
          <w:sz w:val="20"/>
          <w:szCs w:val="20"/>
        </w:rPr>
        <w:t xml:space="preserve"> </w:t>
      </w:r>
      <w:r w:rsidR="00323457" w:rsidRPr="0059638B">
        <w:rPr>
          <w:sz w:val="20"/>
          <w:szCs w:val="20"/>
        </w:rPr>
        <w:t>Violence</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Domestic</w:t>
      </w:r>
      <w:r w:rsidR="00FF41A0">
        <w:rPr>
          <w:sz w:val="20"/>
          <w:szCs w:val="20"/>
        </w:rPr>
        <w:t xml:space="preserve"> </w:t>
      </w:r>
      <w:r w:rsidR="00323457" w:rsidRPr="0059638B">
        <w:rPr>
          <w:sz w:val="20"/>
          <w:szCs w:val="20"/>
        </w:rPr>
        <w:t>Violence.</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appreciation</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supported</w:t>
      </w:r>
      <w:r w:rsidR="00FF41A0">
        <w:rPr>
          <w:sz w:val="20"/>
          <w:szCs w:val="20"/>
        </w:rPr>
        <w:t xml:space="preserve"> </w:t>
      </w:r>
      <w:r w:rsidR="00323457" w:rsidRPr="0059638B">
        <w:rPr>
          <w:sz w:val="20"/>
          <w:szCs w:val="20"/>
        </w:rPr>
        <w:t>two</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put</w:t>
      </w:r>
      <w:r w:rsidR="00FF41A0">
        <w:rPr>
          <w:sz w:val="20"/>
          <w:szCs w:val="20"/>
        </w:rPr>
        <w:t xml:space="preserve"> </w:t>
      </w:r>
      <w:r w:rsidR="00323457" w:rsidRPr="0059638B">
        <w:rPr>
          <w:sz w:val="20"/>
          <w:szCs w:val="20"/>
        </w:rPr>
        <w:t>forward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Botswana.</w:t>
      </w:r>
    </w:p>
    <w:p w14:paraId="56CE183A" w14:textId="2147CEA2" w:rsidR="00323457" w:rsidRPr="0059638B" w:rsidRDefault="00A50D75" w:rsidP="00323457">
      <w:pPr>
        <w:pStyle w:val="SingleTxtG"/>
        <w:rPr>
          <w:sz w:val="20"/>
          <w:szCs w:val="20"/>
        </w:rPr>
      </w:pPr>
      <w:r>
        <w:rPr>
          <w:sz w:val="20"/>
          <w:szCs w:val="20"/>
        </w:rPr>
        <w:t>887</w:t>
      </w:r>
      <w:r w:rsidR="000E0AEC">
        <w:rPr>
          <w:sz w:val="20"/>
          <w:szCs w:val="20"/>
        </w:rPr>
        <w:t>.</w:t>
      </w:r>
      <w:r w:rsidR="000E0AEC">
        <w:rPr>
          <w:sz w:val="20"/>
          <w:szCs w:val="20"/>
        </w:rPr>
        <w:tab/>
      </w:r>
      <w:r w:rsidR="00323457" w:rsidRPr="0059638B">
        <w:rPr>
          <w:sz w:val="20"/>
          <w:szCs w:val="20"/>
        </w:rPr>
        <w:t>China</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appreciation</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supported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put</w:t>
      </w:r>
      <w:r w:rsidR="00FF41A0">
        <w:rPr>
          <w:sz w:val="20"/>
          <w:szCs w:val="20"/>
        </w:rPr>
        <w:t xml:space="preserve"> </w:t>
      </w:r>
      <w:r w:rsidR="00323457" w:rsidRPr="0059638B">
        <w:rPr>
          <w:sz w:val="20"/>
          <w:szCs w:val="20"/>
        </w:rPr>
        <w:t>forward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Chine</w:t>
      </w:r>
      <w:r w:rsidR="00FF41A0">
        <w:rPr>
          <w:sz w:val="20"/>
          <w:szCs w:val="20"/>
        </w:rPr>
        <w:t xml:space="preserve"> </w:t>
      </w:r>
      <w:r w:rsidR="00323457" w:rsidRPr="0059638B">
        <w:rPr>
          <w:sz w:val="20"/>
          <w:szCs w:val="20"/>
        </w:rPr>
        <w:t>during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expressed</w:t>
      </w:r>
      <w:r w:rsidR="00FF41A0">
        <w:rPr>
          <w:sz w:val="20"/>
          <w:szCs w:val="20"/>
        </w:rPr>
        <w:t xml:space="preserve"> </w:t>
      </w:r>
      <w:r w:rsidR="00323457" w:rsidRPr="0059638B">
        <w:rPr>
          <w:sz w:val="20"/>
          <w:szCs w:val="20"/>
        </w:rPr>
        <w:t>hope</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continue</w:t>
      </w:r>
      <w:r w:rsidR="00FF41A0">
        <w:rPr>
          <w:sz w:val="20"/>
          <w:szCs w:val="20"/>
        </w:rPr>
        <w:t xml:space="preserve"> </w:t>
      </w:r>
      <w:r w:rsidR="00323457" w:rsidRPr="0059638B">
        <w:rPr>
          <w:sz w:val="20"/>
          <w:szCs w:val="20"/>
        </w:rPr>
        <w:t>ensuring</w:t>
      </w:r>
      <w:r w:rsidR="00FF41A0">
        <w:rPr>
          <w:sz w:val="20"/>
          <w:szCs w:val="20"/>
        </w:rPr>
        <w:t xml:space="preserve"> </w:t>
      </w:r>
      <w:r w:rsidR="00323457" w:rsidRPr="0059638B">
        <w:rPr>
          <w:sz w:val="20"/>
          <w:szCs w:val="20"/>
        </w:rPr>
        <w:t>sustainable</w:t>
      </w:r>
      <w:r w:rsidR="00FF41A0">
        <w:rPr>
          <w:sz w:val="20"/>
          <w:szCs w:val="20"/>
        </w:rPr>
        <w:t xml:space="preserve"> </w:t>
      </w:r>
      <w:r w:rsidR="00323457" w:rsidRPr="0059638B">
        <w:rPr>
          <w:sz w:val="20"/>
          <w:szCs w:val="20"/>
        </w:rPr>
        <w:lastRenderedPageBreak/>
        <w:t>development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improving</w:t>
      </w:r>
      <w:r w:rsidR="00FF41A0">
        <w:rPr>
          <w:sz w:val="20"/>
          <w:szCs w:val="20"/>
        </w:rPr>
        <w:t xml:space="preserve"> </w:t>
      </w:r>
      <w:r w:rsidR="00323457" w:rsidRPr="0059638B">
        <w:rPr>
          <w:sz w:val="20"/>
          <w:szCs w:val="20"/>
        </w:rPr>
        <w:t>living</w:t>
      </w:r>
      <w:r w:rsidR="00FF41A0">
        <w:rPr>
          <w:sz w:val="20"/>
          <w:szCs w:val="20"/>
        </w:rPr>
        <w:t xml:space="preserve"> </w:t>
      </w:r>
      <w:r w:rsidR="00323457" w:rsidRPr="0059638B">
        <w:rPr>
          <w:sz w:val="20"/>
          <w:szCs w:val="20"/>
        </w:rPr>
        <w:t>standards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population</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well</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protecting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vulnerable</w:t>
      </w:r>
      <w:r w:rsidR="00FF41A0">
        <w:rPr>
          <w:sz w:val="20"/>
          <w:szCs w:val="20"/>
        </w:rPr>
        <w:t xml:space="preserve"> </w:t>
      </w:r>
      <w:r w:rsidR="00323457" w:rsidRPr="0059638B">
        <w:rPr>
          <w:sz w:val="20"/>
          <w:szCs w:val="20"/>
        </w:rPr>
        <w:t>groups,</w:t>
      </w:r>
      <w:r w:rsidR="00FF41A0">
        <w:rPr>
          <w:sz w:val="20"/>
          <w:szCs w:val="20"/>
        </w:rPr>
        <w:t xml:space="preserve"> </w:t>
      </w:r>
      <w:r w:rsidR="00323457" w:rsidRPr="0059638B">
        <w:rPr>
          <w:sz w:val="20"/>
          <w:szCs w:val="20"/>
        </w:rPr>
        <w:t>including</w:t>
      </w:r>
      <w:r w:rsidR="00FF41A0">
        <w:rPr>
          <w:sz w:val="20"/>
          <w:szCs w:val="20"/>
        </w:rPr>
        <w:t xml:space="preserve"> </w:t>
      </w:r>
      <w:r w:rsidR="00323457" w:rsidRPr="0059638B">
        <w:rPr>
          <w:sz w:val="20"/>
          <w:szCs w:val="20"/>
        </w:rPr>
        <w:t>migrants,</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persons</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disabilities.</w:t>
      </w:r>
      <w:r w:rsidR="00FF41A0">
        <w:rPr>
          <w:sz w:val="20"/>
          <w:szCs w:val="20"/>
        </w:rPr>
        <w:t xml:space="preserve"> </w:t>
      </w:r>
    </w:p>
    <w:p w14:paraId="3B845917" w14:textId="44C56A93" w:rsidR="00323457" w:rsidRPr="0059638B" w:rsidRDefault="00323457" w:rsidP="00323457">
      <w:pPr>
        <w:pStyle w:val="H23G"/>
        <w:rPr>
          <w:sz w:val="20"/>
          <w:szCs w:val="20"/>
        </w:rPr>
      </w:pPr>
      <w:r w:rsidRPr="0059638B">
        <w:rPr>
          <w:sz w:val="20"/>
          <w:szCs w:val="20"/>
        </w:rPr>
        <w:tab/>
        <w:t>3.</w:t>
      </w:r>
      <w:r w:rsidRPr="0059638B">
        <w:rPr>
          <w:sz w:val="20"/>
          <w:szCs w:val="20"/>
        </w:rPr>
        <w:tab/>
        <w:t>General</w:t>
      </w:r>
      <w:r w:rsidR="00FF41A0">
        <w:rPr>
          <w:sz w:val="20"/>
          <w:szCs w:val="20"/>
        </w:rPr>
        <w:t xml:space="preserve"> </w:t>
      </w:r>
      <w:r w:rsidRPr="0059638B">
        <w:rPr>
          <w:sz w:val="20"/>
          <w:szCs w:val="20"/>
        </w:rPr>
        <w:t>comments</w:t>
      </w:r>
      <w:r w:rsidR="00FF41A0">
        <w:rPr>
          <w:sz w:val="20"/>
          <w:szCs w:val="20"/>
        </w:rPr>
        <w:t xml:space="preserve"> </w:t>
      </w:r>
      <w:r w:rsidRPr="0059638B">
        <w:rPr>
          <w:sz w:val="20"/>
          <w:szCs w:val="20"/>
        </w:rPr>
        <w:t>made</w:t>
      </w:r>
      <w:r w:rsidR="00FF41A0">
        <w:rPr>
          <w:sz w:val="20"/>
          <w:szCs w:val="20"/>
        </w:rPr>
        <w:t xml:space="preserve"> </w:t>
      </w:r>
      <w:r w:rsidRPr="0059638B">
        <w:rPr>
          <w:sz w:val="20"/>
          <w:szCs w:val="20"/>
        </w:rPr>
        <w:t>by</w:t>
      </w:r>
      <w:r w:rsidR="00FF41A0">
        <w:rPr>
          <w:sz w:val="20"/>
          <w:szCs w:val="20"/>
        </w:rPr>
        <w:t xml:space="preserve"> </w:t>
      </w:r>
      <w:r w:rsidRPr="0059638B">
        <w:rPr>
          <w:sz w:val="20"/>
          <w:szCs w:val="20"/>
        </w:rPr>
        <w:t>other</w:t>
      </w:r>
      <w:r w:rsidR="00FF41A0">
        <w:rPr>
          <w:sz w:val="20"/>
          <w:szCs w:val="20"/>
        </w:rPr>
        <w:t xml:space="preserve"> </w:t>
      </w:r>
      <w:r w:rsidRPr="0059638B">
        <w:rPr>
          <w:sz w:val="20"/>
          <w:szCs w:val="20"/>
        </w:rPr>
        <w:t>stakeholders</w:t>
      </w:r>
    </w:p>
    <w:p w14:paraId="5F5A9009" w14:textId="7ADB5634" w:rsidR="00323457" w:rsidRPr="0059638B" w:rsidRDefault="00A50D75" w:rsidP="00323457">
      <w:pPr>
        <w:pStyle w:val="SingleTxtG"/>
        <w:rPr>
          <w:sz w:val="20"/>
          <w:szCs w:val="20"/>
        </w:rPr>
      </w:pPr>
      <w:r>
        <w:rPr>
          <w:sz w:val="20"/>
          <w:szCs w:val="20"/>
        </w:rPr>
        <w:t>888</w:t>
      </w:r>
      <w:r w:rsidR="000E0AEC">
        <w:rPr>
          <w:sz w:val="20"/>
          <w:szCs w:val="20"/>
        </w:rPr>
        <w:t>.</w:t>
      </w:r>
      <w:r w:rsidR="000E0AEC">
        <w:rPr>
          <w:sz w:val="20"/>
          <w:szCs w:val="20"/>
        </w:rPr>
        <w:tab/>
      </w:r>
      <w:r w:rsidR="00323457" w:rsidRPr="0059638B">
        <w:rPr>
          <w:sz w:val="20"/>
          <w:szCs w:val="20"/>
        </w:rPr>
        <w:t>During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adoption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outcome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six</w:t>
      </w:r>
      <w:r w:rsidR="00FF41A0">
        <w:rPr>
          <w:sz w:val="20"/>
          <w:szCs w:val="20"/>
        </w:rPr>
        <w:t xml:space="preserve"> </w:t>
      </w:r>
      <w:r w:rsidR="00323457" w:rsidRPr="0059638B">
        <w:rPr>
          <w:sz w:val="20"/>
          <w:szCs w:val="20"/>
        </w:rPr>
        <w:t>stakeholders</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statements.</w:t>
      </w:r>
      <w:r w:rsidR="00FF41A0">
        <w:rPr>
          <w:sz w:val="20"/>
          <w:szCs w:val="20"/>
        </w:rPr>
        <w:t xml:space="preserve"> </w:t>
      </w:r>
    </w:p>
    <w:p w14:paraId="30548A74" w14:textId="4BB0EABE" w:rsidR="00323457" w:rsidRPr="0059638B" w:rsidRDefault="00A50D75" w:rsidP="00323457">
      <w:pPr>
        <w:pStyle w:val="SingleTxtG"/>
        <w:rPr>
          <w:sz w:val="20"/>
          <w:szCs w:val="20"/>
        </w:rPr>
      </w:pPr>
      <w:r>
        <w:rPr>
          <w:sz w:val="20"/>
          <w:szCs w:val="20"/>
        </w:rPr>
        <w:t>889</w:t>
      </w:r>
      <w:r w:rsidR="000E0AEC">
        <w:rPr>
          <w:sz w:val="20"/>
          <w:szCs w:val="20"/>
        </w:rPr>
        <w:t>.</w:t>
      </w:r>
      <w:r w:rsidR="000E0AEC">
        <w:rPr>
          <w:sz w:val="20"/>
          <w:szCs w:val="20"/>
        </w:rPr>
        <w:tab/>
      </w:r>
      <w:r w:rsidR="00323457" w:rsidRPr="0059638B">
        <w:rPr>
          <w:sz w:val="20"/>
          <w:szCs w:val="20"/>
        </w:rPr>
        <w:t>Alliance</w:t>
      </w:r>
      <w:r w:rsidR="00FF41A0">
        <w:rPr>
          <w:sz w:val="20"/>
          <w:szCs w:val="20"/>
        </w:rPr>
        <w:t xml:space="preserve"> </w:t>
      </w:r>
      <w:r w:rsidR="00323457" w:rsidRPr="0059638B">
        <w:rPr>
          <w:sz w:val="20"/>
          <w:szCs w:val="20"/>
        </w:rPr>
        <w:t>Defending</w:t>
      </w:r>
      <w:r w:rsidR="00FF41A0">
        <w:rPr>
          <w:sz w:val="20"/>
          <w:szCs w:val="20"/>
        </w:rPr>
        <w:t xml:space="preserve"> </w:t>
      </w:r>
      <w:r w:rsidR="00323457" w:rsidRPr="0059638B">
        <w:rPr>
          <w:sz w:val="20"/>
          <w:szCs w:val="20"/>
        </w:rPr>
        <w:t>Freedom</w:t>
      </w:r>
      <w:r w:rsidR="00FF41A0">
        <w:rPr>
          <w:sz w:val="20"/>
          <w:szCs w:val="20"/>
        </w:rPr>
        <w:t xml:space="preserve"> </w:t>
      </w:r>
      <w:r w:rsidR="00323457" w:rsidRPr="0059638B">
        <w:rPr>
          <w:sz w:val="20"/>
          <w:szCs w:val="20"/>
        </w:rPr>
        <w:t>commended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continued</w:t>
      </w:r>
      <w:r w:rsidR="00FF41A0">
        <w:rPr>
          <w:sz w:val="20"/>
          <w:szCs w:val="20"/>
        </w:rPr>
        <w:t xml:space="preserve"> </w:t>
      </w:r>
      <w:r w:rsidR="00323457" w:rsidRPr="0059638B">
        <w:rPr>
          <w:sz w:val="20"/>
          <w:szCs w:val="20"/>
        </w:rPr>
        <w:t>commitment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uphold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life</w:t>
      </w:r>
      <w:r w:rsidR="00FF41A0">
        <w:rPr>
          <w:sz w:val="20"/>
          <w:szCs w:val="20"/>
        </w:rPr>
        <w:t xml:space="preserve"> </w:t>
      </w:r>
      <w:r w:rsidR="00323457" w:rsidRPr="0059638B">
        <w:rPr>
          <w:sz w:val="20"/>
          <w:szCs w:val="20"/>
        </w:rPr>
        <w:t>from</w:t>
      </w:r>
      <w:r w:rsidR="00FF41A0">
        <w:rPr>
          <w:sz w:val="20"/>
          <w:szCs w:val="20"/>
        </w:rPr>
        <w:t xml:space="preserve"> </w:t>
      </w:r>
      <w:r w:rsidR="00323457" w:rsidRPr="0059638B">
        <w:rPr>
          <w:sz w:val="20"/>
          <w:szCs w:val="20"/>
        </w:rPr>
        <w:t>conception</w:t>
      </w:r>
      <w:r w:rsidR="00FF41A0">
        <w:rPr>
          <w:sz w:val="20"/>
          <w:szCs w:val="20"/>
        </w:rPr>
        <w:t xml:space="preserve"> </w:t>
      </w:r>
      <w:r w:rsidR="00323457" w:rsidRPr="0059638B">
        <w:rPr>
          <w:sz w:val="20"/>
          <w:szCs w:val="20"/>
        </w:rPr>
        <w:t>until</w:t>
      </w:r>
      <w:r w:rsidR="00FF41A0">
        <w:rPr>
          <w:sz w:val="20"/>
          <w:szCs w:val="20"/>
        </w:rPr>
        <w:t xml:space="preserve"> </w:t>
      </w:r>
      <w:r w:rsidR="00323457" w:rsidRPr="0059638B">
        <w:rPr>
          <w:sz w:val="20"/>
          <w:szCs w:val="20"/>
        </w:rPr>
        <w:t>natural</w:t>
      </w:r>
      <w:r w:rsidR="00FF41A0">
        <w:rPr>
          <w:sz w:val="20"/>
          <w:szCs w:val="20"/>
        </w:rPr>
        <w:t xml:space="preserve"> </w:t>
      </w:r>
      <w:r w:rsidR="00323457" w:rsidRPr="0059638B">
        <w:rPr>
          <w:sz w:val="20"/>
          <w:szCs w:val="20"/>
        </w:rPr>
        <w:t>death.</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did</w:t>
      </w:r>
      <w:r w:rsidR="00FF41A0">
        <w:rPr>
          <w:sz w:val="20"/>
          <w:szCs w:val="20"/>
        </w:rPr>
        <w:t xml:space="preserve"> </w:t>
      </w:r>
      <w:r w:rsidR="00323457" w:rsidRPr="0059638B">
        <w:rPr>
          <w:sz w:val="20"/>
          <w:szCs w:val="20"/>
        </w:rPr>
        <w:t>not</w:t>
      </w:r>
      <w:r w:rsidR="00FF41A0">
        <w:rPr>
          <w:sz w:val="20"/>
          <w:szCs w:val="20"/>
        </w:rPr>
        <w:t xml:space="preserve"> </w:t>
      </w:r>
      <w:r w:rsidR="00323457" w:rsidRPr="0059638B">
        <w:rPr>
          <w:sz w:val="20"/>
          <w:szCs w:val="20"/>
        </w:rPr>
        <w:t>support</w:t>
      </w:r>
      <w:r w:rsidR="00FF41A0">
        <w:rPr>
          <w:sz w:val="20"/>
          <w:szCs w:val="20"/>
        </w:rPr>
        <w:t xml:space="preserve"> </w:t>
      </w:r>
      <w:r w:rsidR="00323457" w:rsidRPr="0059638B">
        <w:rPr>
          <w:sz w:val="20"/>
          <w:szCs w:val="20"/>
        </w:rPr>
        <w:t>several</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liberalize</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abortion</w:t>
      </w:r>
      <w:r w:rsidR="00FF41A0">
        <w:rPr>
          <w:sz w:val="20"/>
          <w:szCs w:val="20"/>
        </w:rPr>
        <w:t xml:space="preserve"> </w:t>
      </w:r>
      <w:r w:rsidR="00323457" w:rsidRPr="0059638B">
        <w:rPr>
          <w:sz w:val="20"/>
          <w:szCs w:val="20"/>
        </w:rPr>
        <w:t>laws,</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threaten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lives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most</w:t>
      </w:r>
      <w:r w:rsidR="00FF41A0">
        <w:rPr>
          <w:sz w:val="20"/>
          <w:szCs w:val="20"/>
        </w:rPr>
        <w:t xml:space="preserve"> </w:t>
      </w:r>
      <w:r w:rsidR="00323457" w:rsidRPr="0059638B">
        <w:rPr>
          <w:sz w:val="20"/>
          <w:szCs w:val="20"/>
        </w:rPr>
        <w:t>vulnerable</w:t>
      </w:r>
      <w:r w:rsidR="00FF41A0">
        <w:rPr>
          <w:sz w:val="20"/>
          <w:szCs w:val="20"/>
        </w:rPr>
        <w:t xml:space="preserve"> </w:t>
      </w:r>
      <w:r w:rsidR="00323457" w:rsidRPr="0059638B">
        <w:rPr>
          <w:sz w:val="20"/>
          <w:szCs w:val="20"/>
        </w:rPr>
        <w:t>members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society.</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expressed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hope</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continue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uphold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inherent</w:t>
      </w:r>
      <w:r w:rsidR="00FF41A0">
        <w:rPr>
          <w:sz w:val="20"/>
          <w:szCs w:val="20"/>
        </w:rPr>
        <w:t xml:space="preserve"> </w:t>
      </w:r>
      <w:r w:rsidR="00323457" w:rsidRPr="0059638B">
        <w:rPr>
          <w:sz w:val="20"/>
          <w:szCs w:val="20"/>
        </w:rPr>
        <w:t>dignity</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members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family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hold</w:t>
      </w:r>
      <w:r w:rsidR="00FF41A0">
        <w:rPr>
          <w:sz w:val="20"/>
          <w:szCs w:val="20"/>
        </w:rPr>
        <w:t xml:space="preserve"> </w:t>
      </w:r>
      <w:r w:rsidR="00323457" w:rsidRPr="0059638B">
        <w:rPr>
          <w:sz w:val="20"/>
          <w:szCs w:val="20"/>
        </w:rPr>
        <w:t>such</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stance</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non-negotiable</w:t>
      </w:r>
      <w:r w:rsidR="00FF41A0">
        <w:rPr>
          <w:sz w:val="20"/>
          <w:szCs w:val="20"/>
        </w:rPr>
        <w:t xml:space="preserve"> </w:t>
      </w:r>
      <w:r w:rsidR="00323457" w:rsidRPr="0059638B">
        <w:rPr>
          <w:sz w:val="20"/>
          <w:szCs w:val="20"/>
        </w:rPr>
        <w:t>within</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diplomatic</w:t>
      </w:r>
      <w:r w:rsidR="00FF41A0">
        <w:rPr>
          <w:sz w:val="20"/>
          <w:szCs w:val="20"/>
        </w:rPr>
        <w:t xml:space="preserve"> </w:t>
      </w:r>
      <w:r w:rsidR="00323457" w:rsidRPr="0059638B">
        <w:rPr>
          <w:sz w:val="20"/>
          <w:szCs w:val="20"/>
        </w:rPr>
        <w:t>action,</w:t>
      </w:r>
      <w:r w:rsidR="00FF41A0">
        <w:rPr>
          <w:sz w:val="20"/>
          <w:szCs w:val="20"/>
        </w:rPr>
        <w:t xml:space="preserve"> </w:t>
      </w:r>
      <w:r w:rsidR="00323457" w:rsidRPr="0059638B">
        <w:rPr>
          <w:sz w:val="20"/>
          <w:szCs w:val="20"/>
        </w:rPr>
        <w:t>including</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fora.</w:t>
      </w:r>
    </w:p>
    <w:p w14:paraId="36504E2C" w14:textId="18D7AD7F" w:rsidR="00323457" w:rsidRPr="0059638B" w:rsidRDefault="00A50D75" w:rsidP="00323457">
      <w:pPr>
        <w:pStyle w:val="SingleTxtG"/>
        <w:rPr>
          <w:sz w:val="20"/>
          <w:szCs w:val="20"/>
        </w:rPr>
      </w:pPr>
      <w:r>
        <w:rPr>
          <w:sz w:val="20"/>
          <w:szCs w:val="20"/>
        </w:rPr>
        <w:t>890</w:t>
      </w:r>
      <w:r w:rsidR="000E0AEC">
        <w:rPr>
          <w:sz w:val="20"/>
          <w:szCs w:val="20"/>
        </w:rPr>
        <w:t>.</w:t>
      </w:r>
      <w:r w:rsidR="000E0AEC">
        <w:rPr>
          <w:sz w:val="20"/>
          <w:szCs w:val="20"/>
        </w:rPr>
        <w:tab/>
      </w:r>
      <w:r w:rsidR="00323457" w:rsidRPr="0059638B">
        <w:rPr>
          <w:sz w:val="20"/>
          <w:szCs w:val="20"/>
        </w:rPr>
        <w:t>Organisation</w:t>
      </w:r>
      <w:r w:rsidR="00FF41A0">
        <w:rPr>
          <w:sz w:val="20"/>
          <w:szCs w:val="20"/>
        </w:rPr>
        <w:t xml:space="preserve"> </w:t>
      </w:r>
      <w:r w:rsidR="00323457" w:rsidRPr="0059638B">
        <w:rPr>
          <w:sz w:val="20"/>
          <w:szCs w:val="20"/>
        </w:rPr>
        <w:t>pour</w:t>
      </w:r>
      <w:r w:rsidR="00FF41A0">
        <w:rPr>
          <w:sz w:val="20"/>
          <w:szCs w:val="20"/>
        </w:rPr>
        <w:t xml:space="preserve"> </w:t>
      </w:r>
      <w:r w:rsidR="00323457" w:rsidRPr="0059638B">
        <w:rPr>
          <w:sz w:val="20"/>
          <w:szCs w:val="20"/>
        </w:rPr>
        <w:t>la</w:t>
      </w:r>
      <w:r w:rsidR="00FF41A0">
        <w:rPr>
          <w:sz w:val="20"/>
          <w:szCs w:val="20"/>
        </w:rPr>
        <w:t xml:space="preserve"> </w:t>
      </w:r>
      <w:r w:rsidR="00323457" w:rsidRPr="0059638B">
        <w:rPr>
          <w:sz w:val="20"/>
          <w:szCs w:val="20"/>
        </w:rPr>
        <w:t>Communication</w:t>
      </w:r>
      <w:r w:rsidR="00FF41A0">
        <w:rPr>
          <w:sz w:val="20"/>
          <w:szCs w:val="20"/>
        </w:rPr>
        <w:t xml:space="preserve"> </w:t>
      </w:r>
      <w:r w:rsidR="00323457" w:rsidRPr="0059638B">
        <w:rPr>
          <w:sz w:val="20"/>
          <w:szCs w:val="20"/>
        </w:rPr>
        <w:t>en</w:t>
      </w:r>
      <w:r w:rsidR="00FF41A0">
        <w:rPr>
          <w:sz w:val="20"/>
          <w:szCs w:val="20"/>
        </w:rPr>
        <w:t xml:space="preserve"> </w:t>
      </w:r>
      <w:r w:rsidR="00323457" w:rsidRPr="0059638B">
        <w:rPr>
          <w:sz w:val="20"/>
          <w:szCs w:val="20"/>
        </w:rPr>
        <w:t>Afrique</w:t>
      </w:r>
      <w:r w:rsidR="00FF41A0">
        <w:rPr>
          <w:sz w:val="20"/>
          <w:szCs w:val="20"/>
        </w:rPr>
        <w:t xml:space="preserve"> </w:t>
      </w:r>
      <w:r w:rsidR="00323457" w:rsidRPr="0059638B">
        <w:rPr>
          <w:sz w:val="20"/>
          <w:szCs w:val="20"/>
        </w:rPr>
        <w:t>et</w:t>
      </w:r>
      <w:r w:rsidR="00FF41A0">
        <w:rPr>
          <w:sz w:val="20"/>
          <w:szCs w:val="20"/>
        </w:rPr>
        <w:t xml:space="preserve"> </w:t>
      </w:r>
      <w:r w:rsidR="00323457" w:rsidRPr="0059638B">
        <w:rPr>
          <w:sz w:val="20"/>
          <w:szCs w:val="20"/>
        </w:rPr>
        <w:t>de</w:t>
      </w:r>
      <w:r w:rsidR="00FF41A0">
        <w:rPr>
          <w:sz w:val="20"/>
          <w:szCs w:val="20"/>
        </w:rPr>
        <w:t xml:space="preserve"> </w:t>
      </w:r>
      <w:r w:rsidR="00323457" w:rsidRPr="0059638B">
        <w:rPr>
          <w:sz w:val="20"/>
          <w:szCs w:val="20"/>
        </w:rPr>
        <w:t>Promotion</w:t>
      </w:r>
      <w:r w:rsidR="00FF41A0">
        <w:rPr>
          <w:sz w:val="20"/>
          <w:szCs w:val="20"/>
        </w:rPr>
        <w:t xml:space="preserve"> </w:t>
      </w:r>
      <w:r w:rsidR="00323457" w:rsidRPr="0059638B">
        <w:rPr>
          <w:sz w:val="20"/>
          <w:szCs w:val="20"/>
        </w:rPr>
        <w:t>de</w:t>
      </w:r>
      <w:r w:rsidR="00FF41A0">
        <w:rPr>
          <w:sz w:val="20"/>
          <w:szCs w:val="20"/>
        </w:rPr>
        <w:t xml:space="preserve"> </w:t>
      </w:r>
      <w:r w:rsidR="00323457" w:rsidRPr="0059638B">
        <w:rPr>
          <w:sz w:val="20"/>
          <w:szCs w:val="20"/>
        </w:rPr>
        <w:t>la</w:t>
      </w:r>
      <w:r w:rsidR="00FF41A0">
        <w:rPr>
          <w:sz w:val="20"/>
          <w:szCs w:val="20"/>
        </w:rPr>
        <w:t xml:space="preserve"> </w:t>
      </w:r>
      <w:r w:rsidR="00323457" w:rsidRPr="0059638B">
        <w:rPr>
          <w:sz w:val="20"/>
          <w:szCs w:val="20"/>
        </w:rPr>
        <w:t>Cooperation</w:t>
      </w:r>
      <w:r w:rsidR="00FF41A0">
        <w:rPr>
          <w:sz w:val="20"/>
          <w:szCs w:val="20"/>
        </w:rPr>
        <w:t xml:space="preserve"> </w:t>
      </w:r>
      <w:r w:rsidR="00323457" w:rsidRPr="0059638B">
        <w:rPr>
          <w:sz w:val="20"/>
          <w:szCs w:val="20"/>
        </w:rPr>
        <w:t>Economique</w:t>
      </w:r>
      <w:r w:rsidR="00FF41A0">
        <w:rPr>
          <w:sz w:val="20"/>
          <w:szCs w:val="20"/>
        </w:rPr>
        <w:t xml:space="preserve"> </w:t>
      </w:r>
      <w:r w:rsidR="00323457" w:rsidRPr="0059638B">
        <w:rPr>
          <w:sz w:val="20"/>
          <w:szCs w:val="20"/>
        </w:rPr>
        <w:t>Internationale</w:t>
      </w:r>
      <w:r w:rsidR="00FF41A0">
        <w:rPr>
          <w:sz w:val="20"/>
          <w:szCs w:val="20"/>
        </w:rPr>
        <w:t xml:space="preserve"> </w:t>
      </w:r>
      <w:r w:rsidR="00D1034B">
        <w:rPr>
          <w:sz w:val="20"/>
          <w:szCs w:val="20"/>
        </w:rPr>
        <w:t>–</w:t>
      </w:r>
      <w:r w:rsidR="00FF41A0">
        <w:rPr>
          <w:sz w:val="20"/>
          <w:szCs w:val="20"/>
        </w:rPr>
        <w:t xml:space="preserve"> </w:t>
      </w:r>
      <w:r w:rsidR="00323457" w:rsidRPr="0059638B">
        <w:rPr>
          <w:sz w:val="20"/>
          <w:szCs w:val="20"/>
        </w:rPr>
        <w:t>OCAPROCE</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appreciation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establishment</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2017</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Council</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Women</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aim</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strengthening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dialogue</w:t>
      </w:r>
      <w:r w:rsidR="00FF41A0">
        <w:rPr>
          <w:sz w:val="20"/>
          <w:szCs w:val="20"/>
        </w:rPr>
        <w:t xml:space="preserve"> </w:t>
      </w:r>
      <w:r w:rsidR="00323457" w:rsidRPr="0059638B">
        <w:rPr>
          <w:sz w:val="20"/>
          <w:szCs w:val="20"/>
        </w:rPr>
        <w:t>between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civil</w:t>
      </w:r>
      <w:r w:rsidR="00FF41A0">
        <w:rPr>
          <w:sz w:val="20"/>
          <w:szCs w:val="20"/>
        </w:rPr>
        <w:t xml:space="preserve"> </w:t>
      </w:r>
      <w:r w:rsidR="00323457" w:rsidRPr="0059638B">
        <w:rPr>
          <w:sz w:val="20"/>
          <w:szCs w:val="20"/>
        </w:rPr>
        <w:t>society</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issues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gender</w:t>
      </w:r>
      <w:r w:rsidR="00FF41A0">
        <w:rPr>
          <w:sz w:val="20"/>
          <w:szCs w:val="20"/>
        </w:rPr>
        <w:t xml:space="preserve"> </w:t>
      </w:r>
      <w:r w:rsidR="00323457" w:rsidRPr="0059638B">
        <w:rPr>
          <w:sz w:val="20"/>
          <w:szCs w:val="20"/>
        </w:rPr>
        <w:t>equality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promotion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equality</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aspects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processes.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legislative</w:t>
      </w:r>
      <w:r w:rsidR="00FF41A0">
        <w:rPr>
          <w:sz w:val="20"/>
          <w:szCs w:val="20"/>
        </w:rPr>
        <w:t xml:space="preserve"> </w:t>
      </w:r>
      <w:r w:rsidR="00323457" w:rsidRPr="0059638B">
        <w:rPr>
          <w:sz w:val="20"/>
          <w:szCs w:val="20"/>
        </w:rPr>
        <w:t>measures</w:t>
      </w:r>
      <w:r w:rsidR="00FF41A0">
        <w:rPr>
          <w:sz w:val="20"/>
          <w:szCs w:val="20"/>
        </w:rPr>
        <w:t xml:space="preserve"> </w:t>
      </w:r>
      <w:r w:rsidR="00323457" w:rsidRPr="0059638B">
        <w:rPr>
          <w:sz w:val="20"/>
          <w:szCs w:val="20"/>
        </w:rPr>
        <w:t>taken</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protect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children,</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persons</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disabilities,</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well</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prevent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combat</w:t>
      </w:r>
      <w:r w:rsidR="00FF41A0">
        <w:rPr>
          <w:sz w:val="20"/>
          <w:szCs w:val="20"/>
        </w:rPr>
        <w:t xml:space="preserve"> </w:t>
      </w:r>
      <w:r w:rsidR="00323457" w:rsidRPr="0059638B">
        <w:rPr>
          <w:sz w:val="20"/>
          <w:szCs w:val="20"/>
        </w:rPr>
        <w:t>violence</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domestic</w:t>
      </w:r>
      <w:r w:rsidR="00FF41A0">
        <w:rPr>
          <w:sz w:val="20"/>
          <w:szCs w:val="20"/>
        </w:rPr>
        <w:t xml:space="preserve"> </w:t>
      </w:r>
      <w:r w:rsidR="00323457" w:rsidRPr="0059638B">
        <w:rPr>
          <w:sz w:val="20"/>
          <w:szCs w:val="20"/>
        </w:rPr>
        <w:t>violence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accordance</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Istanbul</w:t>
      </w:r>
      <w:r w:rsidR="00FF41A0">
        <w:rPr>
          <w:sz w:val="20"/>
          <w:szCs w:val="20"/>
        </w:rPr>
        <w:t xml:space="preserve"> </w:t>
      </w:r>
      <w:r w:rsidR="00323457" w:rsidRPr="0059638B">
        <w:rPr>
          <w:sz w:val="20"/>
          <w:szCs w:val="20"/>
        </w:rPr>
        <w:t>Convention.</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encouraged</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further</w:t>
      </w:r>
      <w:r w:rsidR="00FF41A0">
        <w:rPr>
          <w:sz w:val="20"/>
          <w:szCs w:val="20"/>
        </w:rPr>
        <w:t xml:space="preserve"> </w:t>
      </w:r>
      <w:r w:rsidR="00323457" w:rsidRPr="0059638B">
        <w:rPr>
          <w:sz w:val="20"/>
          <w:szCs w:val="20"/>
        </w:rPr>
        <w:t>focus</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physical</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mental</w:t>
      </w:r>
      <w:r w:rsidR="00FF41A0">
        <w:rPr>
          <w:sz w:val="20"/>
          <w:szCs w:val="20"/>
        </w:rPr>
        <w:t xml:space="preserve"> </w:t>
      </w:r>
      <w:r w:rsidR="00323457" w:rsidRPr="0059638B">
        <w:rPr>
          <w:sz w:val="20"/>
          <w:szCs w:val="20"/>
        </w:rPr>
        <w:t>well-being</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children,</w:t>
      </w:r>
      <w:r w:rsidR="00FF41A0">
        <w:rPr>
          <w:sz w:val="20"/>
          <w:szCs w:val="20"/>
        </w:rPr>
        <w:t xml:space="preserve"> </w:t>
      </w:r>
      <w:r w:rsidR="00323457" w:rsidRPr="0059638B">
        <w:rPr>
          <w:sz w:val="20"/>
          <w:szCs w:val="20"/>
        </w:rPr>
        <w:t>especially</w:t>
      </w:r>
      <w:r w:rsidR="00FF41A0">
        <w:rPr>
          <w:sz w:val="20"/>
          <w:szCs w:val="20"/>
        </w:rPr>
        <w:t xml:space="preserve"> </w:t>
      </w:r>
      <w:r w:rsidR="00323457" w:rsidRPr="0059638B">
        <w:rPr>
          <w:sz w:val="20"/>
          <w:szCs w:val="20"/>
        </w:rPr>
        <w:t>those</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vulnerable</w:t>
      </w:r>
      <w:r w:rsidR="00FF41A0">
        <w:rPr>
          <w:sz w:val="20"/>
          <w:szCs w:val="20"/>
        </w:rPr>
        <w:t xml:space="preserve"> </w:t>
      </w:r>
      <w:r w:rsidR="00323457" w:rsidRPr="0059638B">
        <w:rPr>
          <w:sz w:val="20"/>
          <w:szCs w:val="20"/>
        </w:rPr>
        <w:t>situations.</w:t>
      </w:r>
    </w:p>
    <w:p w14:paraId="41D3B325" w14:textId="4C623721" w:rsidR="00323457" w:rsidRPr="0059638B" w:rsidRDefault="00A50D75" w:rsidP="00323457">
      <w:pPr>
        <w:pStyle w:val="SingleTxtG"/>
        <w:rPr>
          <w:sz w:val="20"/>
          <w:szCs w:val="20"/>
        </w:rPr>
      </w:pPr>
      <w:r>
        <w:rPr>
          <w:sz w:val="20"/>
          <w:szCs w:val="20"/>
        </w:rPr>
        <w:t>891</w:t>
      </w:r>
      <w:r w:rsidR="000E0AEC">
        <w:rPr>
          <w:sz w:val="20"/>
          <w:szCs w:val="20"/>
        </w:rPr>
        <w:t>.</w:t>
      </w:r>
      <w:r w:rsidR="000E0AEC">
        <w:rPr>
          <w:sz w:val="20"/>
          <w:szCs w:val="20"/>
        </w:rPr>
        <w:tab/>
      </w:r>
      <w:r w:rsidR="00323457" w:rsidRPr="0059638B">
        <w:rPr>
          <w:sz w:val="20"/>
          <w:szCs w:val="20"/>
        </w:rPr>
        <w:t>Amnesty</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displayed</w:t>
      </w:r>
      <w:r w:rsidR="00FF41A0">
        <w:rPr>
          <w:sz w:val="20"/>
          <w:szCs w:val="20"/>
        </w:rPr>
        <w:t xml:space="preserve"> </w:t>
      </w:r>
      <w:r w:rsidR="00323457" w:rsidRPr="0059638B">
        <w:rPr>
          <w:sz w:val="20"/>
          <w:szCs w:val="20"/>
        </w:rPr>
        <w:t>little</w:t>
      </w:r>
      <w:r w:rsidR="00FF41A0">
        <w:rPr>
          <w:sz w:val="20"/>
          <w:szCs w:val="20"/>
        </w:rPr>
        <w:t xml:space="preserve"> </w:t>
      </w:r>
      <w:r w:rsidR="00323457" w:rsidRPr="0059638B">
        <w:rPr>
          <w:sz w:val="20"/>
          <w:szCs w:val="20"/>
        </w:rPr>
        <w:t>inclination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expand</w:t>
      </w:r>
      <w:r w:rsidR="00FF41A0">
        <w:rPr>
          <w:sz w:val="20"/>
          <w:szCs w:val="20"/>
        </w:rPr>
        <w:t xml:space="preserve"> </w:t>
      </w:r>
      <w:r w:rsidR="00323457" w:rsidRPr="0059638B">
        <w:rPr>
          <w:sz w:val="20"/>
          <w:szCs w:val="20"/>
        </w:rPr>
        <w:t>rescue</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or</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ensure</w:t>
      </w:r>
      <w:r w:rsidR="00FF41A0">
        <w:rPr>
          <w:sz w:val="20"/>
          <w:szCs w:val="20"/>
        </w:rPr>
        <w:t xml:space="preserve"> </w:t>
      </w:r>
      <w:r w:rsidR="00323457" w:rsidRPr="0059638B">
        <w:rPr>
          <w:sz w:val="20"/>
          <w:szCs w:val="20"/>
        </w:rPr>
        <w:t>prompt</w:t>
      </w:r>
      <w:r w:rsidR="00FF41A0">
        <w:rPr>
          <w:sz w:val="20"/>
          <w:szCs w:val="20"/>
        </w:rPr>
        <w:t xml:space="preserve"> </w:t>
      </w:r>
      <w:r w:rsidR="00323457" w:rsidRPr="0059638B">
        <w:rPr>
          <w:sz w:val="20"/>
          <w:szCs w:val="20"/>
        </w:rPr>
        <w:t>disembarkation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place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safety</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people</w:t>
      </w:r>
      <w:r w:rsidR="00FF41A0">
        <w:rPr>
          <w:sz w:val="20"/>
          <w:szCs w:val="20"/>
        </w:rPr>
        <w:t xml:space="preserve"> </w:t>
      </w:r>
      <w:r w:rsidR="00323457" w:rsidRPr="0059638B">
        <w:rPr>
          <w:sz w:val="20"/>
          <w:szCs w:val="20"/>
        </w:rPr>
        <w:t>attempting</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reach</w:t>
      </w:r>
      <w:r w:rsidR="00FF41A0">
        <w:rPr>
          <w:sz w:val="20"/>
          <w:szCs w:val="20"/>
        </w:rPr>
        <w:t xml:space="preserve"> </w:t>
      </w:r>
      <w:r w:rsidR="00323457" w:rsidRPr="0059638B">
        <w:rPr>
          <w:sz w:val="20"/>
          <w:szCs w:val="20"/>
        </w:rPr>
        <w:t>safety</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Europe</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crossing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central</w:t>
      </w:r>
      <w:r w:rsidR="00FF41A0">
        <w:rPr>
          <w:sz w:val="20"/>
          <w:szCs w:val="20"/>
        </w:rPr>
        <w:t xml:space="preserve"> </w:t>
      </w:r>
      <w:r w:rsidR="00323457" w:rsidRPr="0059638B">
        <w:rPr>
          <w:sz w:val="20"/>
          <w:szCs w:val="20"/>
        </w:rPr>
        <w:t>Mediterranean.</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expressed</w:t>
      </w:r>
      <w:r w:rsidR="00FF41A0">
        <w:rPr>
          <w:sz w:val="20"/>
          <w:szCs w:val="20"/>
        </w:rPr>
        <w:t xml:space="preserve"> </w:t>
      </w:r>
      <w:r w:rsidR="00323457" w:rsidRPr="0059638B">
        <w:rPr>
          <w:sz w:val="20"/>
          <w:szCs w:val="20"/>
        </w:rPr>
        <w:t>concern</w:t>
      </w:r>
      <w:r w:rsidR="00FF41A0">
        <w:rPr>
          <w:sz w:val="20"/>
          <w:szCs w:val="20"/>
        </w:rPr>
        <w:t xml:space="preserve"> </w:t>
      </w:r>
      <w:r w:rsidR="00323457" w:rsidRPr="0059638B">
        <w:rPr>
          <w:sz w:val="20"/>
          <w:szCs w:val="20"/>
        </w:rPr>
        <w:t>about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role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transferring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coordination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rescue</w:t>
      </w:r>
      <w:r w:rsidR="00FF41A0">
        <w:rPr>
          <w:sz w:val="20"/>
          <w:szCs w:val="20"/>
        </w:rPr>
        <w:t xml:space="preserve"> </w:t>
      </w:r>
      <w:r w:rsidR="00323457" w:rsidRPr="0059638B">
        <w:rPr>
          <w:sz w:val="20"/>
          <w:szCs w:val="20"/>
        </w:rPr>
        <w:t>operations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Libya</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obstructing</w:t>
      </w:r>
      <w:r w:rsidR="00FF41A0">
        <w:rPr>
          <w:sz w:val="20"/>
          <w:szCs w:val="20"/>
        </w:rPr>
        <w:t xml:space="preserve"> </w:t>
      </w:r>
      <w:r w:rsidR="00323457" w:rsidRPr="0059638B">
        <w:rPr>
          <w:sz w:val="20"/>
          <w:szCs w:val="20"/>
        </w:rPr>
        <w:t>rescue</w:t>
      </w:r>
      <w:r w:rsidR="00FF41A0">
        <w:rPr>
          <w:sz w:val="20"/>
          <w:szCs w:val="20"/>
        </w:rPr>
        <w:t xml:space="preserve"> </w:t>
      </w:r>
      <w:r w:rsidR="00323457" w:rsidRPr="0059638B">
        <w:rPr>
          <w:sz w:val="20"/>
          <w:szCs w:val="20"/>
        </w:rPr>
        <w:t>activities</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non-governmental</w:t>
      </w:r>
      <w:r w:rsidR="00FF41A0">
        <w:rPr>
          <w:sz w:val="20"/>
          <w:szCs w:val="20"/>
        </w:rPr>
        <w:t xml:space="preserve"> </w:t>
      </w:r>
      <w:r w:rsidR="00323457" w:rsidRPr="0059638B">
        <w:rPr>
          <w:sz w:val="20"/>
          <w:szCs w:val="20"/>
        </w:rPr>
        <w:t>organisations.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regretted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did</w:t>
      </w:r>
      <w:r w:rsidR="00FF41A0">
        <w:rPr>
          <w:sz w:val="20"/>
          <w:szCs w:val="20"/>
        </w:rPr>
        <w:t xml:space="preserve"> </w:t>
      </w:r>
      <w:r w:rsidR="00323457" w:rsidRPr="0059638B">
        <w:rPr>
          <w:sz w:val="20"/>
          <w:szCs w:val="20"/>
        </w:rPr>
        <w:t>not</w:t>
      </w:r>
      <w:r w:rsidR="00FF41A0">
        <w:rPr>
          <w:sz w:val="20"/>
          <w:szCs w:val="20"/>
        </w:rPr>
        <w:t xml:space="preserve"> </w:t>
      </w:r>
      <w:r w:rsidR="00323457" w:rsidRPr="0059638B">
        <w:rPr>
          <w:sz w:val="20"/>
          <w:szCs w:val="20"/>
        </w:rPr>
        <w:t>support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only</w:t>
      </w:r>
      <w:r w:rsidR="00FF41A0">
        <w:rPr>
          <w:sz w:val="20"/>
          <w:szCs w:val="20"/>
        </w:rPr>
        <w:t xml:space="preserve"> </w:t>
      </w:r>
      <w:r w:rsidR="00323457" w:rsidRPr="0059638B">
        <w:rPr>
          <w:sz w:val="20"/>
          <w:szCs w:val="20"/>
        </w:rPr>
        <w:t>recommendation</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received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this</w:t>
      </w:r>
      <w:r w:rsidR="00FF41A0">
        <w:rPr>
          <w:sz w:val="20"/>
          <w:szCs w:val="20"/>
        </w:rPr>
        <w:t xml:space="preserve"> </w:t>
      </w:r>
      <w:r w:rsidR="00323457" w:rsidRPr="0059638B">
        <w:rPr>
          <w:sz w:val="20"/>
          <w:szCs w:val="20"/>
        </w:rPr>
        <w:t>matter.</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acceptance</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recommendation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fully</w:t>
      </w:r>
      <w:r w:rsidR="00FF41A0">
        <w:rPr>
          <w:sz w:val="20"/>
          <w:szCs w:val="20"/>
        </w:rPr>
        <w:t xml:space="preserve"> </w:t>
      </w:r>
      <w:r w:rsidR="00323457" w:rsidRPr="0059638B">
        <w:rPr>
          <w:sz w:val="20"/>
          <w:szCs w:val="20"/>
        </w:rPr>
        <w:t>investigate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killing</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Daphne</w:t>
      </w:r>
      <w:r w:rsidR="00FF41A0">
        <w:rPr>
          <w:sz w:val="20"/>
          <w:szCs w:val="20"/>
        </w:rPr>
        <w:t xml:space="preserve"> </w:t>
      </w:r>
      <w:r w:rsidR="00323457" w:rsidRPr="0059638B">
        <w:rPr>
          <w:sz w:val="20"/>
          <w:szCs w:val="20"/>
        </w:rPr>
        <w:t>Caruana</w:t>
      </w:r>
      <w:r w:rsidR="00FF41A0">
        <w:rPr>
          <w:sz w:val="20"/>
          <w:szCs w:val="20"/>
        </w:rPr>
        <w:t xml:space="preserve"> </w:t>
      </w:r>
      <w:r w:rsidR="00323457" w:rsidRPr="0059638B">
        <w:rPr>
          <w:sz w:val="20"/>
          <w:szCs w:val="20"/>
        </w:rPr>
        <w:t>Galizia</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urged</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carry</w:t>
      </w:r>
      <w:r w:rsidR="00FF41A0">
        <w:rPr>
          <w:sz w:val="20"/>
          <w:szCs w:val="20"/>
        </w:rPr>
        <w:t xml:space="preserve"> </w:t>
      </w:r>
      <w:r w:rsidR="00323457" w:rsidRPr="0059638B">
        <w:rPr>
          <w:sz w:val="20"/>
          <w:szCs w:val="20"/>
        </w:rPr>
        <w:t>out</w:t>
      </w:r>
      <w:r w:rsidR="00FF41A0">
        <w:rPr>
          <w:sz w:val="20"/>
          <w:szCs w:val="20"/>
        </w:rPr>
        <w:t xml:space="preserve"> </w:t>
      </w:r>
      <w:r w:rsidR="00323457" w:rsidRPr="0059638B">
        <w:rPr>
          <w:sz w:val="20"/>
          <w:szCs w:val="20"/>
        </w:rPr>
        <w:t>an</w:t>
      </w:r>
      <w:r w:rsidR="00FF41A0">
        <w:rPr>
          <w:sz w:val="20"/>
          <w:szCs w:val="20"/>
        </w:rPr>
        <w:t xml:space="preserve"> </w:t>
      </w:r>
      <w:r w:rsidR="00323457" w:rsidRPr="0059638B">
        <w:rPr>
          <w:sz w:val="20"/>
          <w:szCs w:val="20"/>
        </w:rPr>
        <w:t>independent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effective</w:t>
      </w:r>
      <w:r w:rsidR="00FF41A0">
        <w:rPr>
          <w:sz w:val="20"/>
          <w:szCs w:val="20"/>
        </w:rPr>
        <w:t xml:space="preserve"> </w:t>
      </w:r>
      <w:r w:rsidR="00323457" w:rsidRPr="0059638B">
        <w:rPr>
          <w:sz w:val="20"/>
          <w:szCs w:val="20"/>
        </w:rPr>
        <w:t>public</w:t>
      </w:r>
      <w:r w:rsidR="00FF41A0">
        <w:rPr>
          <w:sz w:val="20"/>
          <w:szCs w:val="20"/>
        </w:rPr>
        <w:t xml:space="preserve"> </w:t>
      </w:r>
      <w:r w:rsidR="00323457" w:rsidRPr="0059638B">
        <w:rPr>
          <w:sz w:val="20"/>
          <w:szCs w:val="20"/>
        </w:rPr>
        <w:t>inquiry</w:t>
      </w:r>
      <w:r w:rsidR="00FF41A0">
        <w:rPr>
          <w:sz w:val="20"/>
          <w:szCs w:val="20"/>
        </w:rPr>
        <w:t xml:space="preserve"> </w:t>
      </w:r>
      <w:r w:rsidR="00323457" w:rsidRPr="0059638B">
        <w:rPr>
          <w:sz w:val="20"/>
          <w:szCs w:val="20"/>
        </w:rPr>
        <w:t>without</w:t>
      </w:r>
      <w:r w:rsidR="00FF41A0">
        <w:rPr>
          <w:sz w:val="20"/>
          <w:szCs w:val="20"/>
        </w:rPr>
        <w:t xml:space="preserve"> </w:t>
      </w:r>
      <w:r w:rsidR="00323457" w:rsidRPr="0059638B">
        <w:rPr>
          <w:sz w:val="20"/>
          <w:szCs w:val="20"/>
        </w:rPr>
        <w:t>delay.</w:t>
      </w:r>
    </w:p>
    <w:p w14:paraId="718C5F04" w14:textId="21055147" w:rsidR="00323457" w:rsidRPr="0059638B" w:rsidRDefault="00A50D75" w:rsidP="00323457">
      <w:pPr>
        <w:pStyle w:val="SingleTxtG"/>
        <w:rPr>
          <w:sz w:val="20"/>
          <w:szCs w:val="20"/>
        </w:rPr>
      </w:pPr>
      <w:r>
        <w:rPr>
          <w:sz w:val="20"/>
          <w:szCs w:val="20"/>
        </w:rPr>
        <w:t>892</w:t>
      </w:r>
      <w:r w:rsidR="000E0AEC">
        <w:rPr>
          <w:sz w:val="20"/>
          <w:szCs w:val="20"/>
        </w:rPr>
        <w:t>.</w:t>
      </w:r>
      <w:r w:rsidR="000E0AEC">
        <w:rPr>
          <w:sz w:val="20"/>
          <w:szCs w:val="20"/>
        </w:rPr>
        <w:tab/>
      </w:r>
      <w:r w:rsidR="00323457" w:rsidRPr="0059638B">
        <w:rPr>
          <w:sz w:val="20"/>
          <w:szCs w:val="20"/>
        </w:rPr>
        <w:t>Rencontre</w:t>
      </w:r>
      <w:r w:rsidR="00FF41A0">
        <w:rPr>
          <w:sz w:val="20"/>
          <w:szCs w:val="20"/>
        </w:rPr>
        <w:t xml:space="preserve"> </w:t>
      </w:r>
      <w:r w:rsidR="00323457" w:rsidRPr="0059638B">
        <w:rPr>
          <w:sz w:val="20"/>
          <w:szCs w:val="20"/>
        </w:rPr>
        <w:t>Africaine</w:t>
      </w:r>
      <w:r w:rsidR="00FF41A0">
        <w:rPr>
          <w:sz w:val="20"/>
          <w:szCs w:val="20"/>
        </w:rPr>
        <w:t xml:space="preserve"> </w:t>
      </w:r>
      <w:r w:rsidR="00323457" w:rsidRPr="0059638B">
        <w:rPr>
          <w:sz w:val="20"/>
          <w:szCs w:val="20"/>
        </w:rPr>
        <w:t>pour</w:t>
      </w:r>
      <w:r w:rsidR="00FF41A0">
        <w:rPr>
          <w:sz w:val="20"/>
          <w:szCs w:val="20"/>
        </w:rPr>
        <w:t xml:space="preserve"> </w:t>
      </w:r>
      <w:r w:rsidR="00323457" w:rsidRPr="0059638B">
        <w:rPr>
          <w:sz w:val="20"/>
          <w:szCs w:val="20"/>
        </w:rPr>
        <w:t>la</w:t>
      </w:r>
      <w:r w:rsidR="00FF41A0">
        <w:rPr>
          <w:sz w:val="20"/>
          <w:szCs w:val="20"/>
        </w:rPr>
        <w:t xml:space="preserve"> </w:t>
      </w:r>
      <w:r w:rsidR="00323457" w:rsidRPr="0059638B">
        <w:rPr>
          <w:sz w:val="20"/>
          <w:szCs w:val="20"/>
        </w:rPr>
        <w:t>defense</w:t>
      </w:r>
      <w:r w:rsidR="00FF41A0">
        <w:rPr>
          <w:sz w:val="20"/>
          <w:szCs w:val="20"/>
        </w:rPr>
        <w:t xml:space="preserve"> </w:t>
      </w:r>
      <w:r w:rsidR="00323457" w:rsidRPr="0059638B">
        <w:rPr>
          <w:sz w:val="20"/>
          <w:szCs w:val="20"/>
        </w:rPr>
        <w:t>des</w:t>
      </w:r>
      <w:r w:rsidR="00FF41A0">
        <w:rPr>
          <w:sz w:val="20"/>
          <w:szCs w:val="20"/>
        </w:rPr>
        <w:t xml:space="preserve"> </w:t>
      </w:r>
      <w:r w:rsidR="00323457" w:rsidRPr="0059638B">
        <w:rPr>
          <w:sz w:val="20"/>
          <w:szCs w:val="20"/>
        </w:rPr>
        <w:t>droits</w:t>
      </w:r>
      <w:r w:rsidR="00FF41A0">
        <w:rPr>
          <w:sz w:val="20"/>
          <w:szCs w:val="20"/>
        </w:rPr>
        <w:t xml:space="preserve"> </w:t>
      </w:r>
      <w:r w:rsidR="00323457" w:rsidRPr="0059638B">
        <w:rPr>
          <w:sz w:val="20"/>
          <w:szCs w:val="20"/>
        </w:rPr>
        <w:t>de</w:t>
      </w:r>
      <w:r w:rsidR="00FF41A0">
        <w:rPr>
          <w:sz w:val="20"/>
          <w:szCs w:val="20"/>
        </w:rPr>
        <w:t xml:space="preserve"> </w:t>
      </w:r>
      <w:r w:rsidR="00323457" w:rsidRPr="0059638B">
        <w:rPr>
          <w:sz w:val="20"/>
          <w:szCs w:val="20"/>
        </w:rPr>
        <w:t>l</w:t>
      </w:r>
      <w:r w:rsidR="00D72627">
        <w:rPr>
          <w:sz w:val="20"/>
          <w:szCs w:val="20"/>
        </w:rPr>
        <w:t>’</w:t>
      </w:r>
      <w:r w:rsidR="00323457" w:rsidRPr="0059638B">
        <w:rPr>
          <w:sz w:val="20"/>
          <w:szCs w:val="20"/>
        </w:rPr>
        <w:t>homme</w:t>
      </w:r>
      <w:r w:rsidR="00FF41A0">
        <w:rPr>
          <w:sz w:val="20"/>
          <w:szCs w:val="20"/>
        </w:rPr>
        <w:t xml:space="preserve"> </w:t>
      </w:r>
      <w:r w:rsidR="00323457" w:rsidRPr="0059638B">
        <w:rPr>
          <w:sz w:val="20"/>
          <w:szCs w:val="20"/>
        </w:rPr>
        <w:t>remained</w:t>
      </w:r>
      <w:r w:rsidR="00FF41A0">
        <w:rPr>
          <w:sz w:val="20"/>
          <w:szCs w:val="20"/>
        </w:rPr>
        <w:t xml:space="preserve"> </w:t>
      </w:r>
      <w:r w:rsidR="00323457" w:rsidRPr="0059638B">
        <w:rPr>
          <w:sz w:val="20"/>
          <w:szCs w:val="20"/>
        </w:rPr>
        <w:t>concerned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inhumane</w:t>
      </w:r>
      <w:r w:rsidR="00FF41A0">
        <w:rPr>
          <w:sz w:val="20"/>
          <w:szCs w:val="20"/>
        </w:rPr>
        <w:t xml:space="preserve"> </w:t>
      </w:r>
      <w:r w:rsidR="00323457" w:rsidRPr="0059638B">
        <w:rPr>
          <w:sz w:val="20"/>
          <w:szCs w:val="20"/>
        </w:rPr>
        <w:t>treatment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African</w:t>
      </w:r>
      <w:r w:rsidR="00FF41A0">
        <w:rPr>
          <w:sz w:val="20"/>
          <w:szCs w:val="20"/>
        </w:rPr>
        <w:t xml:space="preserve"> </w:t>
      </w:r>
      <w:r w:rsidR="00323457" w:rsidRPr="0059638B">
        <w:rPr>
          <w:sz w:val="20"/>
          <w:szCs w:val="20"/>
        </w:rPr>
        <w:t>asylum</w:t>
      </w:r>
      <w:r w:rsidR="00FF41A0">
        <w:rPr>
          <w:sz w:val="20"/>
          <w:szCs w:val="20"/>
        </w:rPr>
        <w:t xml:space="preserve"> </w:t>
      </w:r>
      <w:r w:rsidR="00323457" w:rsidRPr="0059638B">
        <w:rPr>
          <w:sz w:val="20"/>
          <w:szCs w:val="20"/>
        </w:rPr>
        <w:t>seekers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migrants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particularly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detention</w:t>
      </w:r>
      <w:r w:rsidR="00FF41A0">
        <w:rPr>
          <w:sz w:val="20"/>
          <w:szCs w:val="20"/>
        </w:rPr>
        <w:t xml:space="preserve"> </w:t>
      </w:r>
      <w:r w:rsidR="00323457" w:rsidRPr="0059638B">
        <w:rPr>
          <w:sz w:val="20"/>
          <w:szCs w:val="20"/>
        </w:rPr>
        <w:t>policy</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migrants</w:t>
      </w:r>
      <w:r w:rsidR="00FF41A0">
        <w:rPr>
          <w:sz w:val="20"/>
          <w:szCs w:val="20"/>
        </w:rPr>
        <w:t xml:space="preserve"> </w:t>
      </w:r>
      <w:r w:rsidR="00323457" w:rsidRPr="0059638B">
        <w:rPr>
          <w:sz w:val="20"/>
          <w:szCs w:val="20"/>
        </w:rPr>
        <w:t>who</w:t>
      </w:r>
      <w:r w:rsidR="00FF41A0">
        <w:rPr>
          <w:sz w:val="20"/>
          <w:szCs w:val="20"/>
        </w:rPr>
        <w:t xml:space="preserve"> </w:t>
      </w:r>
      <w:r w:rsidR="00323457" w:rsidRPr="0059638B">
        <w:rPr>
          <w:sz w:val="20"/>
          <w:szCs w:val="20"/>
        </w:rPr>
        <w:t>seek</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under</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norms.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urged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authorities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fully</w:t>
      </w:r>
      <w:r w:rsidR="00FF41A0">
        <w:rPr>
          <w:sz w:val="20"/>
          <w:szCs w:val="20"/>
        </w:rPr>
        <w:t xml:space="preserve"> </w:t>
      </w:r>
      <w:r w:rsidR="00323457" w:rsidRPr="0059638B">
        <w:rPr>
          <w:sz w:val="20"/>
          <w:szCs w:val="20"/>
        </w:rPr>
        <w:t>ensure</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asylum</w:t>
      </w:r>
      <w:r w:rsidR="00FF41A0">
        <w:rPr>
          <w:sz w:val="20"/>
          <w:szCs w:val="20"/>
        </w:rPr>
        <w:t xml:space="preserve"> </w:t>
      </w:r>
      <w:r w:rsidR="00323457" w:rsidRPr="0059638B">
        <w:rPr>
          <w:sz w:val="20"/>
          <w:szCs w:val="20"/>
        </w:rPr>
        <w:t>seekers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migrants</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protected,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minimize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duration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detention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asylum</w:t>
      </w:r>
      <w:r w:rsidR="00FF41A0">
        <w:rPr>
          <w:sz w:val="20"/>
          <w:szCs w:val="20"/>
        </w:rPr>
        <w:t xml:space="preserve"> </w:t>
      </w:r>
      <w:r w:rsidR="00323457" w:rsidRPr="0059638B">
        <w:rPr>
          <w:sz w:val="20"/>
          <w:szCs w:val="20"/>
        </w:rPr>
        <w:t>seekers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improve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conditions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those</w:t>
      </w:r>
      <w:r w:rsidR="00FF41A0">
        <w:rPr>
          <w:sz w:val="20"/>
          <w:szCs w:val="20"/>
        </w:rPr>
        <w:t xml:space="preserve"> </w:t>
      </w:r>
      <w:r w:rsidR="00323457" w:rsidRPr="0059638B">
        <w:rPr>
          <w:sz w:val="20"/>
          <w:szCs w:val="20"/>
        </w:rPr>
        <w:t>who</w:t>
      </w:r>
      <w:r w:rsidR="00FF41A0">
        <w:rPr>
          <w:sz w:val="20"/>
          <w:szCs w:val="20"/>
        </w:rPr>
        <w:t xml:space="preserve"> </w:t>
      </w:r>
      <w:r w:rsidR="00323457" w:rsidRPr="0059638B">
        <w:rPr>
          <w:sz w:val="20"/>
          <w:szCs w:val="20"/>
        </w:rPr>
        <w:t>are</w:t>
      </w:r>
      <w:r w:rsidR="00FF41A0">
        <w:rPr>
          <w:sz w:val="20"/>
          <w:szCs w:val="20"/>
        </w:rPr>
        <w:t xml:space="preserve"> </w:t>
      </w:r>
      <w:r w:rsidR="00323457" w:rsidRPr="0059638B">
        <w:rPr>
          <w:sz w:val="20"/>
          <w:szCs w:val="20"/>
        </w:rPr>
        <w:t>being</w:t>
      </w:r>
      <w:r w:rsidR="00FF41A0">
        <w:rPr>
          <w:sz w:val="20"/>
          <w:szCs w:val="20"/>
        </w:rPr>
        <w:t xml:space="preserve"> </w:t>
      </w:r>
      <w:r w:rsidR="00323457" w:rsidRPr="0059638B">
        <w:rPr>
          <w:sz w:val="20"/>
          <w:szCs w:val="20"/>
        </w:rPr>
        <w:t>detained.</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fully</w:t>
      </w:r>
      <w:r w:rsidR="00FF41A0">
        <w:rPr>
          <w:sz w:val="20"/>
          <w:szCs w:val="20"/>
        </w:rPr>
        <w:t xml:space="preserve"> </w:t>
      </w:r>
      <w:r w:rsidR="00323457" w:rsidRPr="0059638B">
        <w:rPr>
          <w:sz w:val="20"/>
          <w:szCs w:val="20"/>
        </w:rPr>
        <w:t>supported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recommendation</w:t>
      </w:r>
      <w:r w:rsidR="00FF41A0">
        <w:rPr>
          <w:sz w:val="20"/>
          <w:szCs w:val="20"/>
        </w:rPr>
        <w:t xml:space="preserve"> </w:t>
      </w:r>
      <w:r w:rsidR="00323457" w:rsidRPr="0059638B">
        <w:rPr>
          <w:sz w:val="20"/>
          <w:szCs w:val="20"/>
        </w:rPr>
        <w:t>made</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Special</w:t>
      </w:r>
      <w:r w:rsidR="00FF41A0">
        <w:rPr>
          <w:sz w:val="20"/>
          <w:szCs w:val="20"/>
        </w:rPr>
        <w:t xml:space="preserve"> </w:t>
      </w:r>
      <w:r w:rsidR="00323457" w:rsidRPr="0059638B">
        <w:rPr>
          <w:sz w:val="20"/>
          <w:szCs w:val="20"/>
        </w:rPr>
        <w:t>Rapporteur</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migrants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provide</w:t>
      </w:r>
      <w:r w:rsidR="00FF41A0">
        <w:rPr>
          <w:sz w:val="20"/>
          <w:szCs w:val="20"/>
        </w:rPr>
        <w:t xml:space="preserve"> </w:t>
      </w:r>
      <w:r w:rsidR="00323457" w:rsidRPr="0059638B">
        <w:rPr>
          <w:sz w:val="20"/>
          <w:szCs w:val="20"/>
        </w:rPr>
        <w:t>unaccompanied</w:t>
      </w:r>
      <w:r w:rsidR="00FF41A0">
        <w:rPr>
          <w:sz w:val="20"/>
          <w:szCs w:val="20"/>
        </w:rPr>
        <w:t xml:space="preserve"> </w:t>
      </w:r>
      <w:r w:rsidR="00323457" w:rsidRPr="0059638B">
        <w:rPr>
          <w:sz w:val="20"/>
          <w:szCs w:val="20"/>
        </w:rPr>
        <w:t>children</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free,</w:t>
      </w:r>
      <w:r w:rsidR="00FF41A0">
        <w:rPr>
          <w:sz w:val="20"/>
          <w:szCs w:val="20"/>
        </w:rPr>
        <w:t xml:space="preserve"> </w:t>
      </w:r>
      <w:r w:rsidR="00323457" w:rsidRPr="0059638B">
        <w:rPr>
          <w:sz w:val="20"/>
          <w:szCs w:val="20"/>
        </w:rPr>
        <w:t>competent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effective</w:t>
      </w:r>
      <w:r w:rsidR="00FF41A0">
        <w:rPr>
          <w:sz w:val="20"/>
          <w:szCs w:val="20"/>
        </w:rPr>
        <w:t xml:space="preserve"> </w:t>
      </w:r>
      <w:r w:rsidR="00323457" w:rsidRPr="0059638B">
        <w:rPr>
          <w:sz w:val="20"/>
          <w:szCs w:val="20"/>
        </w:rPr>
        <w:t>guardianship</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ensure</w:t>
      </w:r>
      <w:r w:rsidR="00FF41A0">
        <w:rPr>
          <w:sz w:val="20"/>
          <w:szCs w:val="20"/>
        </w:rPr>
        <w:t xml:space="preserve"> </w:t>
      </w:r>
      <w:r w:rsidR="00323457" w:rsidRPr="0059638B">
        <w:rPr>
          <w:sz w:val="20"/>
          <w:szCs w:val="20"/>
        </w:rPr>
        <w:t>proper</w:t>
      </w:r>
      <w:r w:rsidR="00FF41A0">
        <w:rPr>
          <w:sz w:val="20"/>
          <w:szCs w:val="20"/>
        </w:rPr>
        <w:t xml:space="preserve"> </w:t>
      </w:r>
      <w:r w:rsidR="00323457" w:rsidRPr="0059638B">
        <w:rPr>
          <w:sz w:val="20"/>
          <w:szCs w:val="20"/>
        </w:rPr>
        <w:t>decision-making</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proceedings,</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well</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free</w:t>
      </w:r>
      <w:r w:rsidR="00FF41A0">
        <w:rPr>
          <w:sz w:val="20"/>
          <w:szCs w:val="20"/>
        </w:rPr>
        <w:t xml:space="preserve"> </w:t>
      </w:r>
      <w:r w:rsidR="00323457" w:rsidRPr="0059638B">
        <w:rPr>
          <w:sz w:val="20"/>
          <w:szCs w:val="20"/>
        </w:rPr>
        <w:t>legal</w:t>
      </w:r>
      <w:r w:rsidR="00FF41A0">
        <w:rPr>
          <w:sz w:val="20"/>
          <w:szCs w:val="20"/>
        </w:rPr>
        <w:t xml:space="preserve"> </w:t>
      </w:r>
      <w:r w:rsidR="00323457" w:rsidRPr="0059638B">
        <w:rPr>
          <w:sz w:val="20"/>
          <w:szCs w:val="20"/>
        </w:rPr>
        <w:t>representation,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assist</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immigration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asylum</w:t>
      </w:r>
      <w:r w:rsidR="00FF41A0">
        <w:rPr>
          <w:sz w:val="20"/>
          <w:szCs w:val="20"/>
        </w:rPr>
        <w:t xml:space="preserve"> </w:t>
      </w:r>
      <w:r w:rsidR="00323457" w:rsidRPr="0059638B">
        <w:rPr>
          <w:sz w:val="20"/>
          <w:szCs w:val="20"/>
        </w:rPr>
        <w:t>proceeding.</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invited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Maltese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ratify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Convention</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Migrant</w:t>
      </w:r>
      <w:r w:rsidR="00FF41A0">
        <w:rPr>
          <w:sz w:val="20"/>
          <w:szCs w:val="20"/>
        </w:rPr>
        <w:t xml:space="preserve"> </w:t>
      </w:r>
      <w:r w:rsidR="00323457" w:rsidRPr="0059638B">
        <w:rPr>
          <w:sz w:val="20"/>
          <w:szCs w:val="20"/>
        </w:rPr>
        <w:t>Workers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Members</w:t>
      </w:r>
      <w:r w:rsidR="00FF41A0">
        <w:rPr>
          <w:sz w:val="20"/>
          <w:szCs w:val="20"/>
        </w:rPr>
        <w:t xml:space="preserve"> </w:t>
      </w:r>
      <w:r w:rsidR="00323457" w:rsidRPr="000E0AEC">
        <w:rPr>
          <w:noProof/>
          <w:sz w:val="20"/>
          <w:szCs w:val="20"/>
          <w:lang w:val="en-GB" w:eastAsia="en-GB"/>
        </w:rPr>
        <w:drawing>
          <wp:inline distT="0" distB="0" distL="0" distR="0" wp14:anchorId="1A2CB194" wp14:editId="657A269E">
            <wp:extent cx="6350" cy="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00323457" w:rsidRPr="0059638B">
        <w:rPr>
          <w:sz w:val="20"/>
          <w:szCs w:val="20"/>
        </w:rPr>
        <w:t>of</w:t>
      </w:r>
      <w:r w:rsidR="00FF41A0">
        <w:rPr>
          <w:sz w:val="20"/>
          <w:szCs w:val="20"/>
        </w:rPr>
        <w:t xml:space="preserve"> </w:t>
      </w:r>
      <w:r w:rsidR="00323457" w:rsidRPr="0059638B">
        <w:rPr>
          <w:sz w:val="20"/>
          <w:szCs w:val="20"/>
        </w:rPr>
        <w:t>Their</w:t>
      </w:r>
      <w:r w:rsidR="00FF41A0">
        <w:rPr>
          <w:sz w:val="20"/>
          <w:szCs w:val="20"/>
        </w:rPr>
        <w:t xml:space="preserve"> </w:t>
      </w:r>
      <w:r w:rsidR="00323457" w:rsidRPr="0059638B">
        <w:rPr>
          <w:sz w:val="20"/>
          <w:szCs w:val="20"/>
        </w:rPr>
        <w:t>Families,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intensify</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curtail</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development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racism</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xenophobia.</w:t>
      </w:r>
    </w:p>
    <w:p w14:paraId="31260EB8" w14:textId="32B9C27B" w:rsidR="00323457" w:rsidRPr="0059638B" w:rsidRDefault="00A50D75" w:rsidP="000E0AEC">
      <w:pPr>
        <w:pStyle w:val="SingleTxtG"/>
        <w:rPr>
          <w:sz w:val="20"/>
          <w:szCs w:val="20"/>
        </w:rPr>
      </w:pPr>
      <w:r>
        <w:rPr>
          <w:sz w:val="20"/>
          <w:szCs w:val="20"/>
        </w:rPr>
        <w:t>893</w:t>
      </w:r>
      <w:r w:rsidR="000E0AEC">
        <w:rPr>
          <w:sz w:val="20"/>
          <w:szCs w:val="20"/>
        </w:rPr>
        <w:t>.</w:t>
      </w:r>
      <w:r w:rsidR="000E0AEC">
        <w:rPr>
          <w:sz w:val="20"/>
          <w:szCs w:val="20"/>
        </w:rPr>
        <w:tab/>
      </w:r>
      <w:r w:rsidR="00323457" w:rsidRPr="0059638B">
        <w:rPr>
          <w:sz w:val="20"/>
          <w:szCs w:val="20"/>
        </w:rPr>
        <w:t>The</w:t>
      </w:r>
      <w:r w:rsidR="00FF41A0">
        <w:rPr>
          <w:sz w:val="20"/>
          <w:szCs w:val="20"/>
        </w:rPr>
        <w:t xml:space="preserve"> </w:t>
      </w:r>
      <w:r w:rsidR="00323457" w:rsidRPr="0059638B">
        <w:rPr>
          <w:sz w:val="20"/>
          <w:szCs w:val="20"/>
        </w:rPr>
        <w:t>Association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World</w:t>
      </w:r>
      <w:r w:rsidR="00FF41A0">
        <w:rPr>
          <w:sz w:val="20"/>
          <w:szCs w:val="20"/>
        </w:rPr>
        <w:t xml:space="preserve"> </w:t>
      </w:r>
      <w:r w:rsidR="00323457" w:rsidRPr="0059638B">
        <w:rPr>
          <w:sz w:val="20"/>
          <w:szCs w:val="20"/>
        </w:rPr>
        <w:t>Citizens</w:t>
      </w:r>
      <w:r w:rsidR="00FF41A0">
        <w:rPr>
          <w:sz w:val="20"/>
          <w:szCs w:val="20"/>
        </w:rPr>
        <w:t xml:space="preserve"> </w:t>
      </w:r>
      <w:r w:rsidR="00323457" w:rsidRPr="0059638B">
        <w:rPr>
          <w:sz w:val="20"/>
          <w:szCs w:val="20"/>
        </w:rPr>
        <w:t>welcomed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acceptance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ratify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Optional</w:t>
      </w:r>
      <w:r w:rsidR="00FF41A0">
        <w:rPr>
          <w:sz w:val="20"/>
          <w:szCs w:val="20"/>
        </w:rPr>
        <w:t xml:space="preserve"> </w:t>
      </w:r>
      <w:r w:rsidR="00323457" w:rsidRPr="0059638B">
        <w:rPr>
          <w:sz w:val="20"/>
          <w:szCs w:val="20"/>
        </w:rPr>
        <w:t>Protocol</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Convention</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Elimination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Forms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Discrimination</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withdraw</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reservations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Convention.</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highlighted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need</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have</w:t>
      </w:r>
      <w:r w:rsidR="00FF41A0">
        <w:rPr>
          <w:sz w:val="20"/>
          <w:szCs w:val="20"/>
        </w:rPr>
        <w:t xml:space="preserve"> </w:t>
      </w:r>
      <w:r w:rsidR="00323457" w:rsidRPr="0059638B">
        <w:rPr>
          <w:sz w:val="20"/>
          <w:szCs w:val="20"/>
        </w:rPr>
        <w:t>specialized</w:t>
      </w:r>
      <w:r w:rsidR="00FF41A0">
        <w:rPr>
          <w:sz w:val="20"/>
          <w:szCs w:val="20"/>
        </w:rPr>
        <w:t xml:space="preserve"> </w:t>
      </w:r>
      <w:r w:rsidR="00323457" w:rsidRPr="0059638B">
        <w:rPr>
          <w:sz w:val="20"/>
          <w:szCs w:val="20"/>
        </w:rPr>
        <w:t>clinics</w:t>
      </w:r>
      <w:r w:rsidR="00FF41A0">
        <w:rPr>
          <w:sz w:val="20"/>
          <w:szCs w:val="20"/>
        </w:rPr>
        <w:t xml:space="preserve"> </w:t>
      </w:r>
      <w:r w:rsidR="00323457" w:rsidRPr="0059638B">
        <w:rPr>
          <w:sz w:val="20"/>
          <w:szCs w:val="20"/>
        </w:rPr>
        <w:t>providing</w:t>
      </w:r>
      <w:r w:rsidR="00FF41A0">
        <w:rPr>
          <w:sz w:val="20"/>
          <w:szCs w:val="20"/>
        </w:rPr>
        <w:t xml:space="preserve"> </w:t>
      </w:r>
      <w:r w:rsidR="00323457" w:rsidRPr="0059638B">
        <w:rPr>
          <w:sz w:val="20"/>
          <w:szCs w:val="20"/>
        </w:rPr>
        <w:t>women</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information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advice</w:t>
      </w:r>
      <w:r w:rsidR="00FF41A0">
        <w:rPr>
          <w:sz w:val="20"/>
          <w:szCs w:val="20"/>
        </w:rPr>
        <w:t xml:space="preserve"> </w:t>
      </w:r>
      <w:r w:rsidR="00323457" w:rsidRPr="0059638B">
        <w:rPr>
          <w:sz w:val="20"/>
          <w:szCs w:val="20"/>
        </w:rPr>
        <w:t>about</w:t>
      </w:r>
      <w:r w:rsidR="00FF41A0">
        <w:rPr>
          <w:sz w:val="20"/>
          <w:szCs w:val="20"/>
        </w:rPr>
        <w:t xml:space="preserve"> </w:t>
      </w:r>
      <w:r w:rsidR="00323457" w:rsidRPr="0059638B">
        <w:rPr>
          <w:sz w:val="20"/>
          <w:szCs w:val="20"/>
        </w:rPr>
        <w:t>reproductive</w:t>
      </w:r>
      <w:r w:rsidR="00FF41A0">
        <w:rPr>
          <w:sz w:val="20"/>
          <w:szCs w:val="20"/>
        </w:rPr>
        <w:t xml:space="preserve"> </w:t>
      </w:r>
      <w:r w:rsidR="00323457" w:rsidRPr="0059638B">
        <w:rPr>
          <w:sz w:val="20"/>
          <w:szCs w:val="20"/>
        </w:rPr>
        <w:t>health</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family</w:t>
      </w:r>
      <w:r w:rsidR="00FF41A0">
        <w:rPr>
          <w:sz w:val="20"/>
          <w:szCs w:val="20"/>
        </w:rPr>
        <w:t xml:space="preserve"> </w:t>
      </w:r>
      <w:r w:rsidR="00323457" w:rsidRPr="0059638B">
        <w:rPr>
          <w:sz w:val="20"/>
          <w:szCs w:val="20"/>
        </w:rPr>
        <w:t>planning</w:t>
      </w:r>
      <w:r w:rsidR="00FF41A0">
        <w:rPr>
          <w:sz w:val="20"/>
          <w:szCs w:val="20"/>
        </w:rPr>
        <w:t xml:space="preserve"> </w:t>
      </w:r>
      <w:r w:rsidR="00323457" w:rsidRPr="0059638B">
        <w:rPr>
          <w:sz w:val="20"/>
          <w:szCs w:val="20"/>
        </w:rPr>
        <w:t>methods.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organization</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satisfaction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rescue</w:t>
      </w:r>
      <w:r w:rsidR="00FF41A0">
        <w:rPr>
          <w:sz w:val="20"/>
          <w:szCs w:val="20"/>
        </w:rPr>
        <w:t xml:space="preserve"> </w:t>
      </w:r>
      <w:r w:rsidR="00323457" w:rsidRPr="0059638B">
        <w:rPr>
          <w:sz w:val="20"/>
          <w:szCs w:val="20"/>
        </w:rPr>
        <w:t>efforts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refugees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migrants</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danger</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boats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hoped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those</w:t>
      </w:r>
      <w:r w:rsidR="00FF41A0">
        <w:rPr>
          <w:sz w:val="20"/>
          <w:szCs w:val="20"/>
        </w:rPr>
        <w:t xml:space="preserve"> </w:t>
      </w:r>
      <w:r w:rsidR="00323457" w:rsidRPr="0059638B">
        <w:rPr>
          <w:sz w:val="20"/>
          <w:szCs w:val="20"/>
        </w:rPr>
        <w:t>persons</w:t>
      </w:r>
      <w:r w:rsidR="00FF41A0">
        <w:rPr>
          <w:sz w:val="20"/>
          <w:szCs w:val="20"/>
        </w:rPr>
        <w:t xml:space="preserve"> </w:t>
      </w:r>
      <w:r w:rsidR="00323457" w:rsidRPr="0059638B">
        <w:rPr>
          <w:sz w:val="20"/>
          <w:szCs w:val="20"/>
        </w:rPr>
        <w:t>could</w:t>
      </w:r>
      <w:r w:rsidR="00FF41A0">
        <w:rPr>
          <w:sz w:val="20"/>
          <w:szCs w:val="20"/>
        </w:rPr>
        <w:t xml:space="preserve"> </w:t>
      </w:r>
      <w:r w:rsidR="00323457" w:rsidRPr="0059638B">
        <w:rPr>
          <w:sz w:val="20"/>
          <w:szCs w:val="20"/>
        </w:rPr>
        <w:t>ask</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asylum</w:t>
      </w:r>
      <w:r w:rsidR="00FF41A0">
        <w:rPr>
          <w:sz w:val="20"/>
          <w:szCs w:val="20"/>
        </w:rPr>
        <w:t xml:space="preserve"> </w:t>
      </w:r>
      <w:r w:rsidR="00323457" w:rsidRPr="0059638B">
        <w:rPr>
          <w:sz w:val="20"/>
          <w:szCs w:val="20"/>
        </w:rPr>
        <w:t>without</w:t>
      </w:r>
      <w:r w:rsidR="00FF41A0">
        <w:rPr>
          <w:sz w:val="20"/>
          <w:szCs w:val="20"/>
        </w:rPr>
        <w:t xml:space="preserve"> </w:t>
      </w:r>
      <w:r w:rsidR="00323457" w:rsidRPr="0059638B">
        <w:rPr>
          <w:sz w:val="20"/>
          <w:szCs w:val="20"/>
        </w:rPr>
        <w:t>being</w:t>
      </w:r>
      <w:r w:rsidR="00FF41A0">
        <w:rPr>
          <w:sz w:val="20"/>
          <w:szCs w:val="20"/>
        </w:rPr>
        <w:t xml:space="preserve"> </w:t>
      </w:r>
      <w:r w:rsidR="00323457" w:rsidRPr="0059638B">
        <w:rPr>
          <w:sz w:val="20"/>
          <w:szCs w:val="20"/>
        </w:rPr>
        <w:t>placed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detention.</w:t>
      </w:r>
    </w:p>
    <w:p w14:paraId="1A1B04FD" w14:textId="04C89429" w:rsidR="00323457" w:rsidRPr="0059638B" w:rsidRDefault="00A50D75" w:rsidP="00323457">
      <w:pPr>
        <w:pStyle w:val="SingleTxtG"/>
        <w:rPr>
          <w:sz w:val="20"/>
          <w:szCs w:val="20"/>
        </w:rPr>
      </w:pPr>
      <w:r>
        <w:rPr>
          <w:sz w:val="20"/>
          <w:szCs w:val="20"/>
        </w:rPr>
        <w:t>894</w:t>
      </w:r>
      <w:r w:rsidR="000E0AEC">
        <w:rPr>
          <w:sz w:val="20"/>
          <w:szCs w:val="20"/>
        </w:rPr>
        <w:t>.</w:t>
      </w:r>
      <w:r w:rsidR="000E0AEC">
        <w:rPr>
          <w:sz w:val="20"/>
          <w:szCs w:val="20"/>
        </w:rPr>
        <w:tab/>
      </w:r>
      <w:r w:rsidR="00323457" w:rsidRPr="0059638B">
        <w:rPr>
          <w:sz w:val="20"/>
          <w:szCs w:val="20"/>
        </w:rPr>
        <w:t>Article</w:t>
      </w:r>
      <w:r w:rsidR="00FF41A0">
        <w:rPr>
          <w:sz w:val="20"/>
          <w:szCs w:val="20"/>
        </w:rPr>
        <w:t xml:space="preserve"> </w:t>
      </w:r>
      <w:r w:rsidR="00323457" w:rsidRPr="0059638B">
        <w:rPr>
          <w:sz w:val="20"/>
          <w:szCs w:val="20"/>
        </w:rPr>
        <w:t>19</w:t>
      </w:r>
      <w:r w:rsidR="00FF41A0">
        <w:rPr>
          <w:sz w:val="20"/>
          <w:szCs w:val="20"/>
        </w:rPr>
        <w:t xml:space="preserve"> </w:t>
      </w:r>
      <w:r w:rsidR="00323457" w:rsidRPr="0059638B">
        <w:rPr>
          <w:sz w:val="20"/>
          <w:szCs w:val="20"/>
        </w:rPr>
        <w: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International</w:t>
      </w:r>
      <w:r w:rsidR="00FF41A0">
        <w:rPr>
          <w:sz w:val="20"/>
          <w:szCs w:val="20"/>
        </w:rPr>
        <w:t xml:space="preserve"> </w:t>
      </w:r>
      <w:r w:rsidR="00323457" w:rsidRPr="0059638B">
        <w:rPr>
          <w:sz w:val="20"/>
          <w:szCs w:val="20"/>
        </w:rPr>
        <w:t>Centre</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Censorship</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process</w:t>
      </w:r>
      <w:r w:rsidR="00FF41A0">
        <w:rPr>
          <w:sz w:val="20"/>
          <w:szCs w:val="20"/>
        </w:rPr>
        <w:t xml:space="preserve"> </w:t>
      </w:r>
      <w:r w:rsidR="00323457" w:rsidRPr="0059638B">
        <w:rPr>
          <w:sz w:val="20"/>
          <w:szCs w:val="20"/>
        </w:rPr>
        <w:t>did</w:t>
      </w:r>
      <w:r w:rsidR="00FF41A0">
        <w:rPr>
          <w:sz w:val="20"/>
          <w:szCs w:val="20"/>
        </w:rPr>
        <w:t xml:space="preserve"> </w:t>
      </w:r>
      <w:r w:rsidR="00323457" w:rsidRPr="0059638B">
        <w:rPr>
          <w:sz w:val="20"/>
          <w:szCs w:val="20"/>
        </w:rPr>
        <w:t>not</w:t>
      </w:r>
      <w:r w:rsidR="00FF41A0">
        <w:rPr>
          <w:sz w:val="20"/>
          <w:szCs w:val="20"/>
        </w:rPr>
        <w:t xml:space="preserve"> </w:t>
      </w:r>
      <w:r w:rsidR="00323457" w:rsidRPr="0059638B">
        <w:rPr>
          <w:sz w:val="20"/>
          <w:szCs w:val="20"/>
        </w:rPr>
        <w:t>allay</w:t>
      </w:r>
      <w:r w:rsidR="00FF41A0">
        <w:rPr>
          <w:sz w:val="20"/>
          <w:szCs w:val="20"/>
        </w:rPr>
        <w:t xml:space="preserve"> </w:t>
      </w:r>
      <w:r w:rsidR="00323457" w:rsidRPr="0059638B">
        <w:rPr>
          <w:sz w:val="20"/>
          <w:szCs w:val="20"/>
        </w:rPr>
        <w:t>increasing</w:t>
      </w:r>
      <w:r w:rsidR="00FF41A0">
        <w:rPr>
          <w:sz w:val="20"/>
          <w:szCs w:val="20"/>
        </w:rPr>
        <w:t xml:space="preserve"> </w:t>
      </w:r>
      <w:r w:rsidR="00323457" w:rsidRPr="0059638B">
        <w:rPr>
          <w:sz w:val="20"/>
          <w:szCs w:val="20"/>
        </w:rPr>
        <w:t>concerns</w:t>
      </w:r>
      <w:r w:rsidR="00FF41A0">
        <w:rPr>
          <w:sz w:val="20"/>
          <w:szCs w:val="20"/>
        </w:rPr>
        <w:t xml:space="preserve"> </w:t>
      </w:r>
      <w:r w:rsidR="00323457" w:rsidRPr="0059638B">
        <w:rPr>
          <w:sz w:val="20"/>
          <w:szCs w:val="20"/>
        </w:rPr>
        <w:t>over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situation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freedom</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expression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lead-up</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aftermath</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October</w:t>
      </w:r>
      <w:r w:rsidR="00FF41A0">
        <w:rPr>
          <w:sz w:val="20"/>
          <w:szCs w:val="20"/>
        </w:rPr>
        <w:t xml:space="preserve"> </w:t>
      </w:r>
      <w:r w:rsidR="00323457" w:rsidRPr="0059638B">
        <w:rPr>
          <w:sz w:val="20"/>
          <w:szCs w:val="20"/>
        </w:rPr>
        <w:t>2017</w:t>
      </w:r>
      <w:r w:rsidR="00FF41A0">
        <w:rPr>
          <w:sz w:val="20"/>
          <w:szCs w:val="20"/>
        </w:rPr>
        <w:t xml:space="preserve"> </w:t>
      </w:r>
      <w:r w:rsidR="00323457" w:rsidRPr="0059638B">
        <w:rPr>
          <w:sz w:val="20"/>
          <w:szCs w:val="20"/>
        </w:rPr>
        <w:t>assassination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lastRenderedPageBreak/>
        <w:t>investigative</w:t>
      </w:r>
      <w:r w:rsidR="00FF41A0">
        <w:rPr>
          <w:sz w:val="20"/>
          <w:szCs w:val="20"/>
        </w:rPr>
        <w:t xml:space="preserve"> </w:t>
      </w:r>
      <w:r w:rsidR="00323457" w:rsidRPr="0059638B">
        <w:rPr>
          <w:sz w:val="20"/>
          <w:szCs w:val="20"/>
        </w:rPr>
        <w:t>journalist,</w:t>
      </w:r>
      <w:r w:rsidR="00FF41A0">
        <w:rPr>
          <w:sz w:val="20"/>
          <w:szCs w:val="20"/>
        </w:rPr>
        <w:t xml:space="preserve"> </w:t>
      </w:r>
      <w:r w:rsidR="00323457" w:rsidRPr="0059638B">
        <w:rPr>
          <w:sz w:val="20"/>
          <w:szCs w:val="20"/>
        </w:rPr>
        <w:t>Daphne</w:t>
      </w:r>
      <w:r w:rsidR="00FF41A0">
        <w:rPr>
          <w:sz w:val="20"/>
          <w:szCs w:val="20"/>
        </w:rPr>
        <w:t xml:space="preserve"> </w:t>
      </w:r>
      <w:r w:rsidR="00323457" w:rsidRPr="0059638B">
        <w:rPr>
          <w:sz w:val="20"/>
          <w:szCs w:val="20"/>
        </w:rPr>
        <w:t>Caruana</w:t>
      </w:r>
      <w:r w:rsidR="00FF41A0">
        <w:rPr>
          <w:sz w:val="20"/>
          <w:szCs w:val="20"/>
        </w:rPr>
        <w:t xml:space="preserve"> </w:t>
      </w:r>
      <w:r w:rsidR="00323457" w:rsidRPr="0059638B">
        <w:rPr>
          <w:sz w:val="20"/>
          <w:szCs w:val="20"/>
        </w:rPr>
        <w:t>Galizia.</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deeply</w:t>
      </w:r>
      <w:r w:rsidR="00FF41A0">
        <w:rPr>
          <w:sz w:val="20"/>
          <w:szCs w:val="20"/>
        </w:rPr>
        <w:t xml:space="preserve"> </w:t>
      </w:r>
      <w:r w:rsidR="00323457" w:rsidRPr="0059638B">
        <w:rPr>
          <w:sz w:val="20"/>
          <w:szCs w:val="20"/>
        </w:rPr>
        <w:t>worrying</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not</w:t>
      </w:r>
      <w:r w:rsidR="00FF41A0">
        <w:rPr>
          <w:sz w:val="20"/>
          <w:szCs w:val="20"/>
        </w:rPr>
        <w:t xml:space="preserve"> </w:t>
      </w:r>
      <w:r w:rsidR="00323457" w:rsidRPr="0059638B">
        <w:rPr>
          <w:sz w:val="20"/>
          <w:szCs w:val="20"/>
        </w:rPr>
        <w:t>accepted</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ensure</w:t>
      </w:r>
      <w:r w:rsidR="00FF41A0">
        <w:rPr>
          <w:sz w:val="20"/>
          <w:szCs w:val="20"/>
        </w:rPr>
        <w:t xml:space="preserve"> </w:t>
      </w:r>
      <w:r w:rsidR="00323457" w:rsidRPr="0059638B">
        <w:rPr>
          <w:sz w:val="20"/>
          <w:szCs w:val="20"/>
        </w:rPr>
        <w:t>an</w:t>
      </w:r>
      <w:r w:rsidR="00FF41A0">
        <w:rPr>
          <w:sz w:val="20"/>
          <w:szCs w:val="20"/>
        </w:rPr>
        <w:t xml:space="preserve"> </w:t>
      </w:r>
      <w:r w:rsidR="00323457" w:rsidRPr="0059638B">
        <w:rPr>
          <w:sz w:val="20"/>
          <w:szCs w:val="20"/>
        </w:rPr>
        <w:t>independent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effective</w:t>
      </w:r>
      <w:r w:rsidR="00FF41A0">
        <w:rPr>
          <w:sz w:val="20"/>
          <w:szCs w:val="20"/>
        </w:rPr>
        <w:t xml:space="preserve"> </w:t>
      </w:r>
      <w:r w:rsidR="00323457" w:rsidRPr="0059638B">
        <w:rPr>
          <w:sz w:val="20"/>
          <w:szCs w:val="20"/>
        </w:rPr>
        <w:t>public</w:t>
      </w:r>
      <w:r w:rsidR="00FF41A0">
        <w:rPr>
          <w:sz w:val="20"/>
          <w:szCs w:val="20"/>
        </w:rPr>
        <w:t xml:space="preserve"> </w:t>
      </w:r>
      <w:r w:rsidR="00323457" w:rsidRPr="0059638B">
        <w:rPr>
          <w:sz w:val="20"/>
          <w:szCs w:val="20"/>
        </w:rPr>
        <w:t>inquiry</w:t>
      </w:r>
      <w:r w:rsidR="00FF41A0">
        <w:rPr>
          <w:sz w:val="20"/>
          <w:szCs w:val="20"/>
        </w:rPr>
        <w:t xml:space="preserve"> </w:t>
      </w:r>
      <w:r w:rsidR="00323457" w:rsidRPr="0059638B">
        <w:rPr>
          <w:sz w:val="20"/>
          <w:szCs w:val="20"/>
        </w:rPr>
        <w:t>into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killing</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Daphne</w:t>
      </w:r>
      <w:r w:rsidR="00FF41A0">
        <w:rPr>
          <w:sz w:val="20"/>
          <w:szCs w:val="20"/>
        </w:rPr>
        <w:t xml:space="preserve"> </w:t>
      </w:r>
      <w:r w:rsidR="00323457" w:rsidRPr="0059638B">
        <w:rPr>
          <w:sz w:val="20"/>
          <w:szCs w:val="20"/>
        </w:rPr>
        <w:t>Caruana</w:t>
      </w:r>
      <w:r w:rsidR="00FF41A0">
        <w:rPr>
          <w:sz w:val="20"/>
          <w:szCs w:val="20"/>
        </w:rPr>
        <w:t xml:space="preserve"> </w:t>
      </w:r>
      <w:r w:rsidR="00323457" w:rsidRPr="0059638B">
        <w:rPr>
          <w:sz w:val="20"/>
          <w:szCs w:val="20"/>
        </w:rPr>
        <w:t>Galizia</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well</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reform</w:t>
      </w:r>
      <w:r w:rsidR="00FF41A0">
        <w:rPr>
          <w:sz w:val="20"/>
          <w:szCs w:val="20"/>
        </w:rPr>
        <w:t xml:space="preserve"> </w:t>
      </w:r>
      <w:r w:rsidR="00323457" w:rsidRPr="0059638B">
        <w:rPr>
          <w:sz w:val="20"/>
          <w:szCs w:val="20"/>
        </w:rPr>
        <w:t>relevant</w:t>
      </w:r>
      <w:r w:rsidR="00FF41A0">
        <w:rPr>
          <w:sz w:val="20"/>
          <w:szCs w:val="20"/>
        </w:rPr>
        <w:t xml:space="preserve"> </w:t>
      </w:r>
      <w:r w:rsidR="00323457" w:rsidRPr="0059638B">
        <w:rPr>
          <w:sz w:val="20"/>
          <w:szCs w:val="20"/>
        </w:rPr>
        <w:t>laws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enhance</w:t>
      </w:r>
      <w:r w:rsidR="00FF41A0">
        <w:rPr>
          <w:sz w:val="20"/>
          <w:szCs w:val="20"/>
        </w:rPr>
        <w:t xml:space="preserve"> </w:t>
      </w:r>
      <w:r w:rsidR="00323457" w:rsidRPr="0059638B">
        <w:rPr>
          <w:sz w:val="20"/>
          <w:szCs w:val="20"/>
        </w:rPr>
        <w:t>independence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media</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strengthen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journalists.</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reported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noProof/>
          <w:sz w:val="20"/>
          <w:szCs w:val="20"/>
          <w:lang w:val="en-GB" w:eastAsia="en-GB"/>
        </w:rPr>
        <w:drawing>
          <wp:anchor distT="0" distB="0" distL="114300" distR="114300" simplePos="0" relativeHeight="251659264" behindDoc="0" locked="0" layoutInCell="1" allowOverlap="0" wp14:anchorId="2863DD47" wp14:editId="1F313DA1">
            <wp:simplePos x="0" y="0"/>
            <wp:positionH relativeFrom="page">
              <wp:posOffset>6926580</wp:posOffset>
            </wp:positionH>
            <wp:positionV relativeFrom="page">
              <wp:posOffset>5340350</wp:posOffset>
            </wp:positionV>
            <wp:extent cx="13970" cy="1397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14:sizeRelH relativeFrom="page">
              <wp14:pctWidth>0</wp14:pctWidth>
            </wp14:sizeRelH>
            <wp14:sizeRelV relativeFrom="page">
              <wp14:pctHeight>0</wp14:pctHeight>
            </wp14:sizeRelV>
          </wp:anchor>
        </w:drawing>
      </w:r>
      <w:r w:rsidR="00323457" w:rsidRPr="0059638B">
        <w:rPr>
          <w:sz w:val="20"/>
          <w:szCs w:val="20"/>
        </w:rPr>
        <w:t>the</w:t>
      </w:r>
      <w:r w:rsidR="00FF41A0">
        <w:rPr>
          <w:sz w:val="20"/>
          <w:szCs w:val="20"/>
        </w:rPr>
        <w:t xml:space="preserve"> </w:t>
      </w:r>
      <w:r w:rsidR="00323457" w:rsidRPr="0059638B">
        <w:rPr>
          <w:sz w:val="20"/>
          <w:szCs w:val="20"/>
        </w:rPr>
        <w:t>ongoing</w:t>
      </w:r>
      <w:r w:rsidR="00FF41A0">
        <w:rPr>
          <w:sz w:val="20"/>
          <w:szCs w:val="20"/>
        </w:rPr>
        <w:t xml:space="preserve"> </w:t>
      </w:r>
      <w:r w:rsidR="00323457" w:rsidRPr="0059638B">
        <w:rPr>
          <w:sz w:val="20"/>
          <w:szCs w:val="20"/>
        </w:rPr>
        <w:t>impunity</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murder</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journalist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reprisals</w:t>
      </w:r>
      <w:r w:rsidR="00FF41A0">
        <w:rPr>
          <w:sz w:val="20"/>
          <w:szCs w:val="20"/>
        </w:rPr>
        <w:t xml:space="preserve"> </w:t>
      </w:r>
      <w:r w:rsidR="00323457" w:rsidRPr="0059638B">
        <w:rPr>
          <w:sz w:val="20"/>
          <w:szCs w:val="20"/>
        </w:rPr>
        <w:t>against</w:t>
      </w:r>
      <w:r w:rsidR="00FF41A0">
        <w:rPr>
          <w:sz w:val="20"/>
          <w:szCs w:val="20"/>
        </w:rPr>
        <w:t xml:space="preserve"> </w:t>
      </w:r>
      <w:r w:rsidR="00323457" w:rsidRPr="0059638B">
        <w:rPr>
          <w:sz w:val="20"/>
          <w:szCs w:val="20"/>
        </w:rPr>
        <w:t>her</w:t>
      </w:r>
      <w:r w:rsidR="00FF41A0">
        <w:rPr>
          <w:sz w:val="20"/>
          <w:szCs w:val="20"/>
        </w:rPr>
        <w:t xml:space="preserve"> </w:t>
      </w:r>
      <w:r w:rsidR="00323457" w:rsidRPr="0059638B">
        <w:rPr>
          <w:sz w:val="20"/>
          <w:szCs w:val="20"/>
        </w:rPr>
        <w:t>family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noProof/>
          <w:sz w:val="20"/>
          <w:szCs w:val="20"/>
          <w:lang w:val="en-GB" w:eastAsia="en-GB"/>
        </w:rPr>
        <w:drawing>
          <wp:inline distT="0" distB="0" distL="0" distR="0" wp14:anchorId="3FA54ADD" wp14:editId="0686D7EC">
            <wp:extent cx="6350" cy="6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00323457" w:rsidRPr="0059638B">
        <w:rPr>
          <w:sz w:val="20"/>
          <w:szCs w:val="20"/>
        </w:rPr>
        <w:t>rights</w:t>
      </w:r>
      <w:r w:rsidR="00FF41A0">
        <w:rPr>
          <w:sz w:val="20"/>
          <w:szCs w:val="20"/>
        </w:rPr>
        <w:t xml:space="preserve"> </w:t>
      </w:r>
      <w:r w:rsidR="00323457" w:rsidRPr="0059638B">
        <w:rPr>
          <w:sz w:val="20"/>
          <w:szCs w:val="20"/>
        </w:rPr>
        <w:t>defenders</w:t>
      </w:r>
      <w:r w:rsidR="00FF41A0">
        <w:rPr>
          <w:sz w:val="20"/>
          <w:szCs w:val="20"/>
        </w:rPr>
        <w:t xml:space="preserve"> </w:t>
      </w:r>
      <w:r w:rsidR="00323457" w:rsidRPr="0059638B">
        <w:rPr>
          <w:sz w:val="20"/>
          <w:szCs w:val="20"/>
        </w:rPr>
        <w:t>calling</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justice</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her</w:t>
      </w:r>
      <w:r w:rsidR="00FF41A0">
        <w:rPr>
          <w:sz w:val="20"/>
          <w:szCs w:val="20"/>
        </w:rPr>
        <w:t xml:space="preserve"> </w:t>
      </w:r>
      <w:r w:rsidR="00323457" w:rsidRPr="0059638B">
        <w:rPr>
          <w:sz w:val="20"/>
          <w:szCs w:val="20"/>
        </w:rPr>
        <w:t>assassination.</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asserted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should</w:t>
      </w:r>
      <w:r w:rsidR="00FF41A0">
        <w:rPr>
          <w:sz w:val="20"/>
          <w:szCs w:val="20"/>
        </w:rPr>
        <w:t xml:space="preserve"> </w:t>
      </w:r>
      <w:r w:rsidR="00323457" w:rsidRPr="0059638B">
        <w:rPr>
          <w:sz w:val="20"/>
          <w:szCs w:val="20"/>
        </w:rPr>
        <w:t>establish</w:t>
      </w:r>
      <w:r w:rsidR="00FF41A0">
        <w:rPr>
          <w:sz w:val="20"/>
          <w:szCs w:val="20"/>
        </w:rPr>
        <w:t xml:space="preserve"> </w:t>
      </w:r>
      <w:r w:rsidR="00323457" w:rsidRPr="0059638B">
        <w:rPr>
          <w:sz w:val="20"/>
          <w:szCs w:val="20"/>
        </w:rPr>
        <w:t>without</w:t>
      </w:r>
      <w:r w:rsidR="00FF41A0">
        <w:rPr>
          <w:sz w:val="20"/>
          <w:szCs w:val="20"/>
        </w:rPr>
        <w:t xml:space="preserve"> </w:t>
      </w:r>
      <w:r w:rsidR="00323457" w:rsidRPr="0059638B">
        <w:rPr>
          <w:sz w:val="20"/>
          <w:szCs w:val="20"/>
        </w:rPr>
        <w:t>delay</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public</w:t>
      </w:r>
      <w:r w:rsidR="00FF41A0">
        <w:rPr>
          <w:sz w:val="20"/>
          <w:szCs w:val="20"/>
        </w:rPr>
        <w:t xml:space="preserve"> </w:t>
      </w:r>
      <w:r w:rsidR="00323457" w:rsidRPr="0059638B">
        <w:rPr>
          <w:sz w:val="20"/>
          <w:szCs w:val="20"/>
        </w:rPr>
        <w:t>inquiry</w:t>
      </w:r>
      <w:r w:rsidR="00FF41A0">
        <w:rPr>
          <w:sz w:val="20"/>
          <w:szCs w:val="20"/>
        </w:rPr>
        <w:t xml:space="preserve"> </w:t>
      </w:r>
      <w:r w:rsidR="00323457" w:rsidRPr="0059638B">
        <w:rPr>
          <w:sz w:val="20"/>
          <w:szCs w:val="20"/>
        </w:rPr>
        <w:t>into</w:t>
      </w:r>
      <w:r w:rsidR="00FF41A0">
        <w:rPr>
          <w:sz w:val="20"/>
          <w:szCs w:val="20"/>
        </w:rPr>
        <w:t xml:space="preserve"> </w:t>
      </w:r>
      <w:r w:rsidR="00323457" w:rsidRPr="0059638B">
        <w:rPr>
          <w:sz w:val="20"/>
          <w:szCs w:val="20"/>
        </w:rPr>
        <w:t>whether</w:t>
      </w:r>
      <w:r w:rsidR="00FF41A0">
        <w:rPr>
          <w:sz w:val="20"/>
          <w:szCs w:val="20"/>
        </w:rPr>
        <w:t xml:space="preserve"> </w:t>
      </w:r>
      <w:r w:rsidR="00323457" w:rsidRPr="0059638B">
        <w:rPr>
          <w:sz w:val="20"/>
          <w:szCs w:val="20"/>
        </w:rPr>
        <w:t>Caruana</w:t>
      </w:r>
      <w:r w:rsidR="00FF41A0">
        <w:rPr>
          <w:sz w:val="20"/>
          <w:szCs w:val="20"/>
        </w:rPr>
        <w:t xml:space="preserve"> </w:t>
      </w:r>
      <w:r w:rsidR="00323457" w:rsidRPr="0059638B">
        <w:rPr>
          <w:sz w:val="20"/>
          <w:szCs w:val="20"/>
        </w:rPr>
        <w:t>Galizia</w:t>
      </w:r>
      <w:r w:rsidR="00D72627">
        <w:rPr>
          <w:sz w:val="20"/>
          <w:szCs w:val="20"/>
        </w:rPr>
        <w:t>’</w:t>
      </w:r>
      <w:r w:rsidR="00323457" w:rsidRPr="0059638B">
        <w:rPr>
          <w:sz w:val="20"/>
          <w:szCs w:val="20"/>
        </w:rPr>
        <w:t>s</w:t>
      </w:r>
      <w:r w:rsidR="00FF41A0">
        <w:rPr>
          <w:sz w:val="20"/>
          <w:szCs w:val="20"/>
        </w:rPr>
        <w:t xml:space="preserve"> </w:t>
      </w:r>
      <w:r w:rsidR="00323457" w:rsidRPr="0059638B">
        <w:rPr>
          <w:sz w:val="20"/>
          <w:szCs w:val="20"/>
        </w:rPr>
        <w:t>life</w:t>
      </w:r>
      <w:r w:rsidR="00FF41A0">
        <w:rPr>
          <w:sz w:val="20"/>
          <w:szCs w:val="20"/>
        </w:rPr>
        <w:t xml:space="preserve"> </w:t>
      </w:r>
      <w:r w:rsidR="00323457" w:rsidRPr="0059638B">
        <w:rPr>
          <w:sz w:val="20"/>
          <w:szCs w:val="20"/>
        </w:rPr>
        <w:t>could</w:t>
      </w:r>
      <w:r w:rsidR="00FF41A0">
        <w:rPr>
          <w:sz w:val="20"/>
          <w:szCs w:val="20"/>
        </w:rPr>
        <w:t xml:space="preserve"> </w:t>
      </w:r>
      <w:r w:rsidR="00323457" w:rsidRPr="0059638B">
        <w:rPr>
          <w:sz w:val="20"/>
          <w:szCs w:val="20"/>
        </w:rPr>
        <w:t>have</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saved.</w:t>
      </w:r>
    </w:p>
    <w:p w14:paraId="199B2F0F" w14:textId="068185DF" w:rsidR="00323457" w:rsidRPr="0059638B" w:rsidRDefault="00323457" w:rsidP="00323457">
      <w:pPr>
        <w:pStyle w:val="H23G"/>
        <w:ind w:left="705" w:firstLine="0"/>
        <w:rPr>
          <w:sz w:val="20"/>
          <w:szCs w:val="20"/>
        </w:rPr>
      </w:pPr>
      <w:r w:rsidRPr="0059638B">
        <w:rPr>
          <w:sz w:val="20"/>
          <w:szCs w:val="20"/>
        </w:rPr>
        <w:t>4.</w:t>
      </w:r>
      <w:r w:rsidRPr="0059638B">
        <w:rPr>
          <w:sz w:val="20"/>
          <w:szCs w:val="20"/>
        </w:rPr>
        <w:tab/>
        <w:t>Concluding</w:t>
      </w:r>
      <w:r w:rsidR="00FF41A0">
        <w:rPr>
          <w:sz w:val="20"/>
          <w:szCs w:val="20"/>
        </w:rPr>
        <w:t xml:space="preserve"> </w:t>
      </w:r>
      <w:r w:rsidRPr="0059638B">
        <w:rPr>
          <w:sz w:val="20"/>
          <w:szCs w:val="20"/>
        </w:rPr>
        <w:t>remarks</w:t>
      </w:r>
      <w:r w:rsidR="00FF41A0">
        <w:rPr>
          <w:sz w:val="20"/>
          <w:szCs w:val="20"/>
        </w:rPr>
        <w:t xml:space="preserve"> </w:t>
      </w:r>
      <w:r w:rsidRPr="0059638B">
        <w:rPr>
          <w:sz w:val="20"/>
          <w:szCs w:val="20"/>
        </w:rPr>
        <w:t>of</w:t>
      </w:r>
      <w:r w:rsidR="00FF41A0">
        <w:rPr>
          <w:sz w:val="20"/>
          <w:szCs w:val="20"/>
        </w:rPr>
        <w:t xml:space="preserve"> </w:t>
      </w:r>
      <w:r w:rsidRPr="0059638B">
        <w:rPr>
          <w:sz w:val="20"/>
          <w:szCs w:val="20"/>
        </w:rPr>
        <w:t>the</w:t>
      </w:r>
      <w:r w:rsidR="00FF41A0">
        <w:rPr>
          <w:sz w:val="20"/>
          <w:szCs w:val="20"/>
        </w:rPr>
        <w:t xml:space="preserve"> </w:t>
      </w:r>
      <w:r w:rsidRPr="0059638B">
        <w:rPr>
          <w:sz w:val="20"/>
          <w:szCs w:val="20"/>
        </w:rPr>
        <w:t>State</w:t>
      </w:r>
      <w:r w:rsidR="00FF41A0">
        <w:rPr>
          <w:sz w:val="20"/>
          <w:szCs w:val="20"/>
        </w:rPr>
        <w:t xml:space="preserve"> </w:t>
      </w:r>
      <w:r w:rsidRPr="0059638B">
        <w:rPr>
          <w:sz w:val="20"/>
          <w:szCs w:val="20"/>
        </w:rPr>
        <w:t>under</w:t>
      </w:r>
      <w:r w:rsidR="00FF41A0">
        <w:rPr>
          <w:sz w:val="20"/>
          <w:szCs w:val="20"/>
        </w:rPr>
        <w:t xml:space="preserve"> </w:t>
      </w:r>
      <w:r w:rsidRPr="0059638B">
        <w:rPr>
          <w:sz w:val="20"/>
          <w:szCs w:val="20"/>
        </w:rPr>
        <w:t>review</w:t>
      </w:r>
    </w:p>
    <w:p w14:paraId="7169216C" w14:textId="08E9D24A" w:rsidR="00323457" w:rsidRPr="0059638B" w:rsidRDefault="00A50D75" w:rsidP="00323457">
      <w:pPr>
        <w:pStyle w:val="SingleTxtG"/>
        <w:rPr>
          <w:sz w:val="20"/>
          <w:szCs w:val="20"/>
        </w:rPr>
      </w:pPr>
      <w:r>
        <w:rPr>
          <w:sz w:val="20"/>
          <w:szCs w:val="20"/>
        </w:rPr>
        <w:t>895</w:t>
      </w:r>
      <w:r w:rsidR="000E0AEC">
        <w:rPr>
          <w:sz w:val="20"/>
          <w:szCs w:val="20"/>
        </w:rPr>
        <w:t>.</w:t>
      </w:r>
      <w:r w:rsidR="000E0AEC">
        <w:rPr>
          <w:sz w:val="20"/>
          <w:szCs w:val="20"/>
        </w:rPr>
        <w:tab/>
      </w:r>
      <w:r w:rsidR="00323457" w:rsidRPr="0059638B">
        <w:rPr>
          <w:sz w:val="20"/>
          <w:szCs w:val="20"/>
        </w:rPr>
        <w:t>The</w:t>
      </w:r>
      <w:r w:rsidR="00FF41A0">
        <w:rPr>
          <w:sz w:val="20"/>
          <w:szCs w:val="20"/>
        </w:rPr>
        <w:t xml:space="preserve"> </w:t>
      </w:r>
      <w:r w:rsidR="00323457" w:rsidRPr="0059638B">
        <w:rPr>
          <w:sz w:val="20"/>
          <w:szCs w:val="20"/>
        </w:rPr>
        <w:t>President</w:t>
      </w:r>
      <w:r w:rsidR="00FF41A0">
        <w:rPr>
          <w:sz w:val="20"/>
          <w:szCs w:val="20"/>
        </w:rPr>
        <w:t xml:space="preserve"> </w:t>
      </w:r>
      <w:r w:rsidR="00323457" w:rsidRPr="0059638B">
        <w:rPr>
          <w:sz w:val="20"/>
          <w:szCs w:val="20"/>
        </w:rPr>
        <w:t>stated</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based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information</w:t>
      </w:r>
      <w:r w:rsidR="00FF41A0">
        <w:rPr>
          <w:sz w:val="20"/>
          <w:szCs w:val="20"/>
        </w:rPr>
        <w:t xml:space="preserve"> </w:t>
      </w:r>
      <w:r w:rsidR="00323457" w:rsidRPr="0059638B">
        <w:rPr>
          <w:sz w:val="20"/>
          <w:szCs w:val="20"/>
        </w:rPr>
        <w:t>provided,</w:t>
      </w:r>
      <w:r w:rsidR="00FF41A0">
        <w:rPr>
          <w:sz w:val="20"/>
          <w:szCs w:val="20"/>
        </w:rPr>
        <w:t xml:space="preserve"> </w:t>
      </w:r>
      <w:r w:rsidR="00323457" w:rsidRPr="0059638B">
        <w:rPr>
          <w:sz w:val="20"/>
          <w:szCs w:val="20"/>
        </w:rPr>
        <w:t>out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157</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received,</w:t>
      </w:r>
      <w:r w:rsidR="00FF41A0">
        <w:rPr>
          <w:sz w:val="20"/>
          <w:szCs w:val="20"/>
        </w:rPr>
        <w:t xml:space="preserve"> </w:t>
      </w:r>
      <w:r w:rsidR="00323457" w:rsidRPr="0059638B">
        <w:rPr>
          <w:sz w:val="20"/>
          <w:szCs w:val="20"/>
        </w:rPr>
        <w:t>122</w:t>
      </w:r>
      <w:r w:rsidR="00FF41A0">
        <w:rPr>
          <w:sz w:val="20"/>
          <w:szCs w:val="20"/>
        </w:rPr>
        <w:t xml:space="preserve"> </w:t>
      </w:r>
      <w:r w:rsidR="00323457" w:rsidRPr="0059638B">
        <w:rPr>
          <w:sz w:val="20"/>
          <w:szCs w:val="20"/>
        </w:rPr>
        <w:t>enjoyed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support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additional</w:t>
      </w:r>
      <w:r w:rsidR="00FF41A0">
        <w:rPr>
          <w:sz w:val="20"/>
          <w:szCs w:val="20"/>
        </w:rPr>
        <w:t xml:space="preserve"> </w:t>
      </w:r>
      <w:r w:rsidR="00323457" w:rsidRPr="0059638B">
        <w:rPr>
          <w:sz w:val="20"/>
          <w:szCs w:val="20"/>
        </w:rPr>
        <w:t>clarification</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provided</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other</w:t>
      </w:r>
      <w:r w:rsidR="00FF41A0">
        <w:rPr>
          <w:sz w:val="20"/>
          <w:szCs w:val="20"/>
        </w:rPr>
        <w:t xml:space="preserve"> </w:t>
      </w:r>
      <w:r w:rsidR="00323457" w:rsidRPr="0059638B">
        <w:rPr>
          <w:sz w:val="20"/>
          <w:szCs w:val="20"/>
        </w:rPr>
        <w:t>eight</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27</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noted.</w:t>
      </w:r>
    </w:p>
    <w:p w14:paraId="6934174E" w14:textId="329117FE" w:rsidR="00323457" w:rsidRPr="0059638B" w:rsidRDefault="00A50D75" w:rsidP="000E0AEC">
      <w:pPr>
        <w:pStyle w:val="SingleTxtG"/>
        <w:rPr>
          <w:sz w:val="20"/>
          <w:szCs w:val="20"/>
        </w:rPr>
      </w:pPr>
      <w:r>
        <w:rPr>
          <w:sz w:val="20"/>
          <w:szCs w:val="20"/>
        </w:rPr>
        <w:t>896</w:t>
      </w:r>
      <w:r w:rsidR="000E0AEC">
        <w:rPr>
          <w:sz w:val="20"/>
          <w:szCs w:val="20"/>
        </w:rPr>
        <w:t>.</w:t>
      </w:r>
      <w:r w:rsidR="000E0AEC">
        <w:rPr>
          <w:sz w:val="20"/>
          <w:szCs w:val="20"/>
        </w:rPr>
        <w:tab/>
      </w:r>
      <w:r w:rsidR="00323457" w:rsidRPr="0059638B">
        <w:rPr>
          <w:sz w:val="20"/>
          <w:szCs w:val="20"/>
        </w:rPr>
        <w:t>The</w:t>
      </w:r>
      <w:r w:rsidR="00FF41A0">
        <w:rPr>
          <w:sz w:val="20"/>
          <w:szCs w:val="20"/>
        </w:rPr>
        <w:t xml:space="preserve"> </w:t>
      </w:r>
      <w:r w:rsidR="00323457" w:rsidRPr="0059638B">
        <w:rPr>
          <w:sz w:val="20"/>
          <w:szCs w:val="20"/>
        </w:rPr>
        <w:t>delegation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thanked</w:t>
      </w:r>
      <w:r w:rsidR="00FF41A0">
        <w:rPr>
          <w:sz w:val="20"/>
          <w:szCs w:val="20"/>
        </w:rPr>
        <w:t xml:space="preserve"> </w:t>
      </w:r>
      <w:r w:rsidR="00323457" w:rsidRPr="0059638B">
        <w:rPr>
          <w:sz w:val="20"/>
          <w:szCs w:val="20"/>
        </w:rPr>
        <w:t>members</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United</w:t>
      </w:r>
      <w:r w:rsidR="00FF41A0">
        <w:rPr>
          <w:sz w:val="20"/>
          <w:szCs w:val="20"/>
        </w:rPr>
        <w:t xml:space="preserve"> </w:t>
      </w:r>
      <w:r w:rsidR="00323457" w:rsidRPr="0059638B">
        <w:rPr>
          <w:sz w:val="20"/>
          <w:szCs w:val="20"/>
        </w:rPr>
        <w:t>Nations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civil</w:t>
      </w:r>
      <w:r w:rsidR="00FF41A0">
        <w:rPr>
          <w:sz w:val="20"/>
          <w:szCs w:val="20"/>
        </w:rPr>
        <w:t xml:space="preserve"> </w:t>
      </w:r>
      <w:r w:rsidR="00323457" w:rsidRPr="0059638B">
        <w:rPr>
          <w:sz w:val="20"/>
          <w:szCs w:val="20"/>
        </w:rPr>
        <w:t>society</w:t>
      </w:r>
      <w:r w:rsidR="00FF41A0">
        <w:rPr>
          <w:sz w:val="20"/>
          <w:szCs w:val="20"/>
        </w:rPr>
        <w:t xml:space="preserve"> </w:t>
      </w:r>
      <w:r w:rsidR="00323457" w:rsidRPr="0059638B">
        <w:rPr>
          <w:sz w:val="20"/>
          <w:szCs w:val="20"/>
        </w:rPr>
        <w:t>representatives</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their</w:t>
      </w:r>
      <w:r w:rsidR="00FF41A0">
        <w:rPr>
          <w:sz w:val="20"/>
          <w:szCs w:val="20"/>
        </w:rPr>
        <w:t xml:space="preserve"> </w:t>
      </w:r>
      <w:r w:rsidR="00323457" w:rsidRPr="0059638B">
        <w:rPr>
          <w:sz w:val="20"/>
          <w:szCs w:val="20"/>
        </w:rPr>
        <w:t>participation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interventions,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reiterated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commitment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universal</w:t>
      </w:r>
      <w:r w:rsidR="00FF41A0">
        <w:rPr>
          <w:sz w:val="20"/>
          <w:szCs w:val="20"/>
        </w:rPr>
        <w:t xml:space="preserve"> </w:t>
      </w:r>
      <w:r w:rsidR="00323457" w:rsidRPr="0059638B">
        <w:rPr>
          <w:sz w:val="20"/>
          <w:szCs w:val="20"/>
        </w:rPr>
        <w:t>periodic</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mechanism.</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taken</w:t>
      </w:r>
      <w:r w:rsidR="00FF41A0">
        <w:rPr>
          <w:sz w:val="20"/>
          <w:szCs w:val="20"/>
        </w:rPr>
        <w:t xml:space="preserve"> </w:t>
      </w:r>
      <w:r w:rsidR="00323457" w:rsidRPr="0059638B">
        <w:rPr>
          <w:sz w:val="20"/>
          <w:szCs w:val="20"/>
        </w:rPr>
        <w:t>all</w:t>
      </w:r>
      <w:r w:rsidR="00FF41A0">
        <w:rPr>
          <w:sz w:val="20"/>
          <w:szCs w:val="20"/>
        </w:rPr>
        <w:t xml:space="preserve"> </w:t>
      </w:r>
      <w:r w:rsidR="00323457" w:rsidRPr="0059638B">
        <w:rPr>
          <w:sz w:val="20"/>
          <w:szCs w:val="20"/>
        </w:rPr>
        <w:t>concerns</w:t>
      </w:r>
      <w:r w:rsidR="00FF41A0">
        <w:rPr>
          <w:sz w:val="20"/>
          <w:szCs w:val="20"/>
        </w:rPr>
        <w:t xml:space="preserve"> </w:t>
      </w:r>
      <w:r w:rsidR="00323457" w:rsidRPr="0059638B">
        <w:rPr>
          <w:sz w:val="20"/>
          <w:szCs w:val="20"/>
        </w:rPr>
        <w:t>raised</w:t>
      </w:r>
      <w:r w:rsidR="00FF41A0">
        <w:rPr>
          <w:sz w:val="20"/>
          <w:szCs w:val="20"/>
        </w:rPr>
        <w:t xml:space="preserve"> </w:t>
      </w:r>
      <w:r w:rsidR="00323457" w:rsidRPr="0059638B">
        <w:rPr>
          <w:sz w:val="20"/>
          <w:szCs w:val="20"/>
        </w:rPr>
        <w:t>during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review</w:t>
      </w:r>
      <w:r w:rsidR="00FF41A0">
        <w:rPr>
          <w:sz w:val="20"/>
          <w:szCs w:val="20"/>
        </w:rPr>
        <w:t xml:space="preserve"> </w:t>
      </w:r>
      <w:r w:rsidR="00323457" w:rsidRPr="0059638B">
        <w:rPr>
          <w:sz w:val="20"/>
          <w:szCs w:val="20"/>
        </w:rPr>
        <w:t>very</w:t>
      </w:r>
      <w:r w:rsidR="00FF41A0">
        <w:rPr>
          <w:sz w:val="20"/>
          <w:szCs w:val="20"/>
        </w:rPr>
        <w:t xml:space="preserve"> </w:t>
      </w:r>
      <w:r w:rsidR="00323457" w:rsidRPr="0059638B">
        <w:rPr>
          <w:sz w:val="20"/>
          <w:szCs w:val="20"/>
        </w:rPr>
        <w:t>seriously,</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committed</w:t>
      </w:r>
      <w:r w:rsidR="00FF41A0">
        <w:rPr>
          <w:sz w:val="20"/>
          <w:szCs w:val="20"/>
        </w:rPr>
        <w:t xml:space="preserve"> </w:t>
      </w:r>
      <w:r w:rsidR="00323457" w:rsidRPr="0059638B">
        <w:rPr>
          <w:sz w:val="20"/>
          <w:szCs w:val="20"/>
        </w:rPr>
        <w:t>itself</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addressing</w:t>
      </w:r>
      <w:r w:rsidR="00FF41A0">
        <w:rPr>
          <w:sz w:val="20"/>
          <w:szCs w:val="20"/>
        </w:rPr>
        <w:t xml:space="preserve"> </w:t>
      </w:r>
      <w:r w:rsidR="00323457" w:rsidRPr="0059638B">
        <w:rPr>
          <w:sz w:val="20"/>
          <w:szCs w:val="20"/>
        </w:rPr>
        <w:t>those</w:t>
      </w:r>
      <w:r w:rsidR="00FF41A0">
        <w:rPr>
          <w:sz w:val="20"/>
          <w:szCs w:val="20"/>
        </w:rPr>
        <w:t xml:space="preserve"> </w:t>
      </w:r>
      <w:r w:rsidR="00323457" w:rsidRPr="0059638B">
        <w:rPr>
          <w:sz w:val="20"/>
          <w:szCs w:val="20"/>
        </w:rPr>
        <w:t>issues</w:t>
      </w:r>
      <w:r w:rsidR="00FF41A0">
        <w:rPr>
          <w:sz w:val="20"/>
          <w:szCs w:val="20"/>
        </w:rPr>
        <w:t xml:space="preserve"> </w:t>
      </w:r>
      <w:r w:rsidR="00323457" w:rsidRPr="0059638B">
        <w:rPr>
          <w:sz w:val="20"/>
          <w:szCs w:val="20"/>
        </w:rPr>
        <w:t>further,</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aim</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providing</w:t>
      </w:r>
      <w:r w:rsidR="00FF41A0">
        <w:rPr>
          <w:sz w:val="20"/>
          <w:szCs w:val="20"/>
        </w:rPr>
        <w:t xml:space="preserve"> </w:t>
      </w:r>
      <w:r w:rsidR="00323457" w:rsidRPr="0059638B">
        <w:rPr>
          <w:sz w:val="20"/>
          <w:szCs w:val="20"/>
        </w:rPr>
        <w:t>greater</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all.</w:t>
      </w:r>
    </w:p>
    <w:p w14:paraId="0E6EFAE8" w14:textId="16AF7FA8" w:rsidR="00323457" w:rsidRPr="0059638B" w:rsidRDefault="00A50D75" w:rsidP="000E0AEC">
      <w:pPr>
        <w:pStyle w:val="SingleTxtG"/>
        <w:rPr>
          <w:sz w:val="20"/>
          <w:szCs w:val="20"/>
        </w:rPr>
      </w:pPr>
      <w:r>
        <w:rPr>
          <w:sz w:val="20"/>
          <w:szCs w:val="20"/>
        </w:rPr>
        <w:t>897</w:t>
      </w:r>
      <w:r w:rsidR="000E0AEC">
        <w:rPr>
          <w:sz w:val="20"/>
          <w:szCs w:val="20"/>
        </w:rPr>
        <w:t>.</w:t>
      </w:r>
      <w:r w:rsidR="000E0AEC">
        <w:rPr>
          <w:sz w:val="20"/>
          <w:szCs w:val="20"/>
        </w:rPr>
        <w:tab/>
      </w:r>
      <w:r w:rsidR="00323457" w:rsidRPr="0059638B">
        <w:rPr>
          <w:sz w:val="20"/>
          <w:szCs w:val="20"/>
        </w:rPr>
        <w:t>Malta</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introduced</w:t>
      </w:r>
      <w:r w:rsidR="00FF41A0">
        <w:rPr>
          <w:sz w:val="20"/>
          <w:szCs w:val="20"/>
        </w:rPr>
        <w:t xml:space="preserve"> </w:t>
      </w:r>
      <w:r w:rsidR="00323457" w:rsidRPr="0059638B">
        <w:rPr>
          <w:sz w:val="20"/>
          <w:szCs w:val="20"/>
        </w:rPr>
        <w:t>reforms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target</w:t>
      </w:r>
      <w:r w:rsidR="00FF41A0">
        <w:rPr>
          <w:sz w:val="20"/>
          <w:szCs w:val="20"/>
        </w:rPr>
        <w:t xml:space="preserve"> </w:t>
      </w:r>
      <w:r w:rsidR="00323457" w:rsidRPr="0059638B">
        <w:rPr>
          <w:sz w:val="20"/>
          <w:szCs w:val="20"/>
        </w:rPr>
        <w:t>corruption,</w:t>
      </w:r>
      <w:r w:rsidR="00FF41A0">
        <w:rPr>
          <w:sz w:val="20"/>
          <w:szCs w:val="20"/>
        </w:rPr>
        <w:t xml:space="preserve"> </w:t>
      </w:r>
      <w:r w:rsidR="00323457" w:rsidRPr="0059638B">
        <w:rPr>
          <w:sz w:val="20"/>
          <w:szCs w:val="20"/>
        </w:rPr>
        <w:t>such</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enhancement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further</w:t>
      </w:r>
      <w:r w:rsidR="00FF41A0">
        <w:rPr>
          <w:sz w:val="20"/>
          <w:szCs w:val="20"/>
        </w:rPr>
        <w:t xml:space="preserve"> </w:t>
      </w:r>
      <w:r w:rsidR="00323457" w:rsidRPr="0059638B">
        <w:rPr>
          <w:sz w:val="20"/>
          <w:szCs w:val="20"/>
        </w:rPr>
        <w:t>improvement</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quality,</w:t>
      </w:r>
      <w:r w:rsidR="00FF41A0">
        <w:rPr>
          <w:sz w:val="20"/>
          <w:szCs w:val="20"/>
        </w:rPr>
        <w:t xml:space="preserve"> </w:t>
      </w:r>
      <w:r w:rsidR="00323457" w:rsidRPr="0059638B">
        <w:rPr>
          <w:sz w:val="20"/>
          <w:szCs w:val="20"/>
        </w:rPr>
        <w:t>independence,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efficiency</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national</w:t>
      </w:r>
      <w:r w:rsidR="00FF41A0">
        <w:rPr>
          <w:sz w:val="20"/>
          <w:szCs w:val="20"/>
        </w:rPr>
        <w:t xml:space="preserve"> </w:t>
      </w:r>
      <w:r w:rsidR="00323457" w:rsidRPr="0059638B">
        <w:rPr>
          <w:sz w:val="20"/>
          <w:szCs w:val="20"/>
        </w:rPr>
        <w:t>justice</w:t>
      </w:r>
      <w:r w:rsidR="00FF41A0">
        <w:rPr>
          <w:sz w:val="20"/>
          <w:szCs w:val="20"/>
        </w:rPr>
        <w:t xml:space="preserve"> </w:t>
      </w:r>
      <w:r w:rsidR="00323457" w:rsidRPr="0059638B">
        <w:rPr>
          <w:sz w:val="20"/>
          <w:szCs w:val="20"/>
        </w:rPr>
        <w:t>system.</w:t>
      </w:r>
      <w:r w:rsidR="00FF41A0">
        <w:rPr>
          <w:sz w:val="20"/>
          <w:szCs w:val="20"/>
        </w:rPr>
        <w:t xml:space="preserve"> </w:t>
      </w:r>
    </w:p>
    <w:p w14:paraId="529C5B84" w14:textId="50352714" w:rsidR="00323457" w:rsidRPr="0059638B" w:rsidRDefault="00A50D75" w:rsidP="000E0AEC">
      <w:pPr>
        <w:pStyle w:val="SingleTxtG"/>
        <w:rPr>
          <w:sz w:val="20"/>
          <w:szCs w:val="20"/>
        </w:rPr>
      </w:pPr>
      <w:r>
        <w:rPr>
          <w:sz w:val="20"/>
          <w:szCs w:val="20"/>
        </w:rPr>
        <w:t>898</w:t>
      </w:r>
      <w:r w:rsidR="000E0AEC">
        <w:rPr>
          <w:sz w:val="20"/>
          <w:szCs w:val="20"/>
        </w:rPr>
        <w:t>.</w:t>
      </w:r>
      <w:r w:rsidR="000E0AEC">
        <w:rPr>
          <w:sz w:val="20"/>
          <w:szCs w:val="20"/>
        </w:rPr>
        <w:tab/>
      </w:r>
      <w:r w:rsidR="00323457" w:rsidRPr="0059638B">
        <w:rPr>
          <w:sz w:val="20"/>
          <w:szCs w:val="20"/>
        </w:rPr>
        <w:t>With</w:t>
      </w:r>
      <w:r w:rsidR="00FF41A0">
        <w:rPr>
          <w:sz w:val="20"/>
          <w:szCs w:val="20"/>
        </w:rPr>
        <w:t xml:space="preserve"> </w:t>
      </w:r>
      <w:r w:rsidR="00323457" w:rsidRPr="0059638B">
        <w:rPr>
          <w:sz w:val="20"/>
          <w:szCs w:val="20"/>
        </w:rPr>
        <w:t>reference</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recommendations</w:t>
      </w:r>
      <w:r w:rsidR="00FF41A0">
        <w:rPr>
          <w:sz w:val="20"/>
          <w:szCs w:val="20"/>
        </w:rPr>
        <w:t xml:space="preserve"> </w:t>
      </w:r>
      <w:r w:rsidR="00323457" w:rsidRPr="0059638B">
        <w:rPr>
          <w:sz w:val="20"/>
          <w:szCs w:val="20"/>
        </w:rPr>
        <w:t>calling</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public</w:t>
      </w:r>
      <w:r w:rsidR="00FF41A0">
        <w:rPr>
          <w:sz w:val="20"/>
          <w:szCs w:val="20"/>
        </w:rPr>
        <w:t xml:space="preserve"> </w:t>
      </w:r>
      <w:r w:rsidR="00323457" w:rsidRPr="0059638B">
        <w:rPr>
          <w:sz w:val="20"/>
          <w:szCs w:val="20"/>
        </w:rPr>
        <w:t>inquiry</w:t>
      </w:r>
      <w:r w:rsidR="00FF41A0">
        <w:rPr>
          <w:sz w:val="20"/>
          <w:szCs w:val="20"/>
        </w:rPr>
        <w:t xml:space="preserve"> </w:t>
      </w:r>
      <w:r w:rsidR="00323457" w:rsidRPr="0059638B">
        <w:rPr>
          <w:sz w:val="20"/>
          <w:szCs w:val="20"/>
        </w:rPr>
        <w:t>into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killing</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journalist</w:t>
      </w:r>
      <w:r w:rsidR="00FF41A0">
        <w:rPr>
          <w:sz w:val="20"/>
          <w:szCs w:val="20"/>
        </w:rPr>
        <w:t xml:space="preserve"> </w:t>
      </w:r>
      <w:r w:rsidR="00323457" w:rsidRPr="0059638B">
        <w:rPr>
          <w:sz w:val="20"/>
          <w:szCs w:val="20"/>
        </w:rPr>
        <w:t>Daphne</w:t>
      </w:r>
      <w:r w:rsidR="00FF41A0">
        <w:rPr>
          <w:sz w:val="20"/>
          <w:szCs w:val="20"/>
        </w:rPr>
        <w:t xml:space="preserve"> </w:t>
      </w:r>
      <w:r w:rsidR="00323457" w:rsidRPr="0059638B">
        <w:rPr>
          <w:sz w:val="20"/>
          <w:szCs w:val="20"/>
        </w:rPr>
        <w:t>Caruana</w:t>
      </w:r>
      <w:r w:rsidR="00FF41A0">
        <w:rPr>
          <w:sz w:val="20"/>
          <w:szCs w:val="20"/>
        </w:rPr>
        <w:t xml:space="preserve"> </w:t>
      </w:r>
      <w:r w:rsidR="00323457" w:rsidRPr="0059638B">
        <w:rPr>
          <w:sz w:val="20"/>
          <w:szCs w:val="20"/>
        </w:rPr>
        <w:t>Galizia,</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delegation</w:t>
      </w:r>
      <w:r w:rsidR="00FF41A0">
        <w:rPr>
          <w:sz w:val="20"/>
          <w:szCs w:val="20"/>
        </w:rPr>
        <w:t xml:space="preserve"> </w:t>
      </w:r>
      <w:r w:rsidR="00323457" w:rsidRPr="0059638B">
        <w:rPr>
          <w:sz w:val="20"/>
          <w:szCs w:val="20"/>
        </w:rPr>
        <w:t>informed</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Council</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Magistrate</w:t>
      </w:r>
      <w:r w:rsidR="00FF41A0">
        <w:rPr>
          <w:sz w:val="20"/>
          <w:szCs w:val="20"/>
        </w:rPr>
        <w:t xml:space="preserve"> </w:t>
      </w:r>
      <w:r w:rsidR="00323457" w:rsidRPr="0059638B">
        <w:rPr>
          <w:sz w:val="20"/>
          <w:szCs w:val="20"/>
        </w:rPr>
        <w:t>leading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inquiry</w:t>
      </w:r>
      <w:r w:rsidR="00FF41A0">
        <w:rPr>
          <w:sz w:val="20"/>
          <w:szCs w:val="20"/>
        </w:rPr>
        <w:t xml:space="preserve"> </w:t>
      </w:r>
      <w:r w:rsidR="00D72627">
        <w:rPr>
          <w:sz w:val="20"/>
          <w:szCs w:val="20"/>
        </w:rPr>
        <w:t>‘</w:t>
      </w:r>
      <w:r w:rsidR="00323457" w:rsidRPr="0059638B">
        <w:rPr>
          <w:sz w:val="20"/>
          <w:szCs w:val="20"/>
        </w:rPr>
        <w:t>had</w:t>
      </w:r>
      <w:r w:rsidR="00FF41A0">
        <w:rPr>
          <w:sz w:val="20"/>
          <w:szCs w:val="20"/>
        </w:rPr>
        <w:t xml:space="preserve"> </w:t>
      </w:r>
      <w:r w:rsidR="00323457" w:rsidRPr="0059638B">
        <w:rPr>
          <w:sz w:val="20"/>
          <w:szCs w:val="20"/>
        </w:rPr>
        <w:t>unfettered</w:t>
      </w:r>
      <w:r w:rsidR="00FF41A0">
        <w:rPr>
          <w:sz w:val="20"/>
          <w:szCs w:val="20"/>
        </w:rPr>
        <w:t xml:space="preserve"> </w:t>
      </w:r>
      <w:r w:rsidR="00323457" w:rsidRPr="0059638B">
        <w:rPr>
          <w:sz w:val="20"/>
          <w:szCs w:val="20"/>
        </w:rPr>
        <w:t>discretion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freedom</w:t>
      </w:r>
      <w:r w:rsidR="00D72627">
        <w:rPr>
          <w:sz w:val="20"/>
          <w:szCs w:val="20"/>
        </w:rPr>
        <w:t>’</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investigate</w:t>
      </w:r>
      <w:r w:rsidR="00FF41A0">
        <w:rPr>
          <w:sz w:val="20"/>
          <w:szCs w:val="20"/>
        </w:rPr>
        <w:t xml:space="preserve"> </w:t>
      </w:r>
      <w:r w:rsidR="00323457" w:rsidRPr="0059638B">
        <w:rPr>
          <w:sz w:val="20"/>
          <w:szCs w:val="20"/>
        </w:rPr>
        <w:t>any</w:t>
      </w:r>
      <w:r w:rsidR="00FF41A0">
        <w:rPr>
          <w:sz w:val="20"/>
          <w:szCs w:val="20"/>
        </w:rPr>
        <w:t xml:space="preserve"> </w:t>
      </w:r>
      <w:r w:rsidR="00323457" w:rsidRPr="0059638B">
        <w:rPr>
          <w:sz w:val="20"/>
          <w:szCs w:val="20"/>
        </w:rPr>
        <w:t>matter,</w:t>
      </w:r>
      <w:r w:rsidR="00FF41A0">
        <w:rPr>
          <w:sz w:val="20"/>
          <w:szCs w:val="20"/>
        </w:rPr>
        <w:t xml:space="preserve"> </w:t>
      </w:r>
      <w:r w:rsidR="00323457" w:rsidRPr="0059638B">
        <w:rPr>
          <w:sz w:val="20"/>
          <w:szCs w:val="20"/>
        </w:rPr>
        <w:t>as</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Attorney</w:t>
      </w:r>
      <w:r w:rsidR="00FF41A0">
        <w:rPr>
          <w:sz w:val="20"/>
          <w:szCs w:val="20"/>
        </w:rPr>
        <w:t xml:space="preserve"> </w:t>
      </w:r>
      <w:r w:rsidR="00323457" w:rsidRPr="0059638B">
        <w:rPr>
          <w:sz w:val="20"/>
          <w:szCs w:val="20"/>
        </w:rPr>
        <w:t>General.</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judiciary</w:t>
      </w:r>
      <w:r w:rsidR="00FF41A0">
        <w:rPr>
          <w:sz w:val="20"/>
          <w:szCs w:val="20"/>
        </w:rPr>
        <w:t xml:space="preserve"> </w:t>
      </w:r>
      <w:r w:rsidR="00323457" w:rsidRPr="0059638B">
        <w:rPr>
          <w:sz w:val="20"/>
          <w:szCs w:val="20"/>
        </w:rPr>
        <w:t>enjoyed</w:t>
      </w:r>
      <w:r w:rsidR="00FF41A0">
        <w:rPr>
          <w:sz w:val="20"/>
          <w:szCs w:val="20"/>
        </w:rPr>
        <w:t xml:space="preserve"> </w:t>
      </w:r>
      <w:r w:rsidR="00323457" w:rsidRPr="0059638B">
        <w:rPr>
          <w:sz w:val="20"/>
          <w:szCs w:val="20"/>
        </w:rPr>
        <w:t>full</w:t>
      </w:r>
      <w:r w:rsidR="00FF41A0">
        <w:rPr>
          <w:sz w:val="20"/>
          <w:szCs w:val="20"/>
        </w:rPr>
        <w:t xml:space="preserve"> </w:t>
      </w:r>
      <w:r w:rsidR="00323457" w:rsidRPr="0059638B">
        <w:rPr>
          <w:sz w:val="20"/>
          <w:szCs w:val="20"/>
        </w:rPr>
        <w:t>constitutional</w:t>
      </w:r>
      <w:r w:rsidR="00FF41A0">
        <w:rPr>
          <w:sz w:val="20"/>
          <w:szCs w:val="20"/>
        </w:rPr>
        <w:t xml:space="preserve"> </w:t>
      </w:r>
      <w:r w:rsidR="00323457" w:rsidRPr="0059638B">
        <w:rPr>
          <w:sz w:val="20"/>
          <w:szCs w:val="20"/>
        </w:rPr>
        <w:t>independence</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impartiality.</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Attorney</w:t>
      </w:r>
      <w:r w:rsidR="00FF41A0">
        <w:rPr>
          <w:sz w:val="20"/>
          <w:szCs w:val="20"/>
        </w:rPr>
        <w:t xml:space="preserve"> </w:t>
      </w:r>
      <w:r w:rsidR="00323457" w:rsidRPr="0059638B">
        <w:rPr>
          <w:sz w:val="20"/>
          <w:szCs w:val="20"/>
        </w:rPr>
        <w:t>General</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identified</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number</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legal</w:t>
      </w:r>
      <w:r w:rsidR="00FF41A0">
        <w:rPr>
          <w:sz w:val="20"/>
          <w:szCs w:val="20"/>
        </w:rPr>
        <w:t xml:space="preserve"> </w:t>
      </w:r>
      <w:r w:rsidR="00323457" w:rsidRPr="0059638B">
        <w:rPr>
          <w:sz w:val="20"/>
          <w:szCs w:val="20"/>
        </w:rPr>
        <w:t>issues,</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would</w:t>
      </w:r>
      <w:r w:rsidR="00FF41A0">
        <w:rPr>
          <w:sz w:val="20"/>
          <w:szCs w:val="20"/>
        </w:rPr>
        <w:t xml:space="preserve"> </w:t>
      </w:r>
      <w:r w:rsidR="00323457" w:rsidRPr="0059638B">
        <w:rPr>
          <w:sz w:val="20"/>
          <w:szCs w:val="20"/>
        </w:rPr>
        <w:t>ensue,</w:t>
      </w:r>
      <w:r w:rsidR="00FF41A0">
        <w:rPr>
          <w:sz w:val="20"/>
          <w:szCs w:val="20"/>
        </w:rPr>
        <w:t xml:space="preserve"> </w:t>
      </w:r>
      <w:r w:rsidR="00323457" w:rsidRPr="0059638B">
        <w:rPr>
          <w:sz w:val="20"/>
          <w:szCs w:val="20"/>
        </w:rPr>
        <w:t>should</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public</w:t>
      </w:r>
      <w:r w:rsidR="00FF41A0">
        <w:rPr>
          <w:sz w:val="20"/>
          <w:szCs w:val="20"/>
        </w:rPr>
        <w:t xml:space="preserve"> </w:t>
      </w:r>
      <w:r w:rsidR="00323457" w:rsidRPr="0059638B">
        <w:rPr>
          <w:sz w:val="20"/>
          <w:szCs w:val="20"/>
        </w:rPr>
        <w:t>inquiry</w:t>
      </w:r>
      <w:r w:rsidR="00FF41A0">
        <w:rPr>
          <w:sz w:val="20"/>
          <w:szCs w:val="20"/>
        </w:rPr>
        <w:t xml:space="preserve"> </w:t>
      </w:r>
      <w:r w:rsidR="00323457" w:rsidRPr="0059638B">
        <w:rPr>
          <w:sz w:val="20"/>
          <w:szCs w:val="20"/>
        </w:rPr>
        <w:t>be</w:t>
      </w:r>
      <w:r w:rsidR="00FF41A0">
        <w:rPr>
          <w:sz w:val="20"/>
          <w:szCs w:val="20"/>
        </w:rPr>
        <w:t xml:space="preserve"> </w:t>
      </w:r>
      <w:r w:rsidR="00323457" w:rsidRPr="0059638B">
        <w:rPr>
          <w:sz w:val="20"/>
          <w:szCs w:val="20"/>
        </w:rPr>
        <w:t>held</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parallel</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criminal</w:t>
      </w:r>
      <w:r w:rsidR="00FF41A0">
        <w:rPr>
          <w:sz w:val="20"/>
          <w:szCs w:val="20"/>
        </w:rPr>
        <w:t xml:space="preserve"> </w:t>
      </w:r>
      <w:r w:rsidR="00323457" w:rsidRPr="0059638B">
        <w:rPr>
          <w:sz w:val="20"/>
          <w:szCs w:val="20"/>
        </w:rPr>
        <w:t>inquiry.</w:t>
      </w:r>
      <w:r w:rsidR="00FF41A0">
        <w:rPr>
          <w:sz w:val="20"/>
          <w:szCs w:val="20"/>
        </w:rPr>
        <w:t xml:space="preserve"> </w:t>
      </w:r>
      <w:r w:rsidR="00323457" w:rsidRPr="0059638B">
        <w:rPr>
          <w:sz w:val="20"/>
          <w:szCs w:val="20"/>
        </w:rPr>
        <w:t>Nevertheless,</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had</w:t>
      </w:r>
      <w:r w:rsidR="00FF41A0">
        <w:rPr>
          <w:sz w:val="20"/>
          <w:szCs w:val="20"/>
        </w:rPr>
        <w:t xml:space="preserve"> </w:t>
      </w:r>
      <w:r w:rsidR="00323457" w:rsidRPr="0059638B">
        <w:rPr>
          <w:sz w:val="20"/>
          <w:szCs w:val="20"/>
        </w:rPr>
        <w:t>not</w:t>
      </w:r>
      <w:r w:rsidR="00FF41A0">
        <w:rPr>
          <w:sz w:val="20"/>
          <w:szCs w:val="20"/>
        </w:rPr>
        <w:t xml:space="preserve"> </w:t>
      </w:r>
      <w:r w:rsidR="00323457" w:rsidRPr="0059638B">
        <w:rPr>
          <w:sz w:val="20"/>
          <w:szCs w:val="20"/>
        </w:rPr>
        <w:t>been</w:t>
      </w:r>
      <w:r w:rsidR="00FF41A0">
        <w:rPr>
          <w:sz w:val="20"/>
          <w:szCs w:val="20"/>
        </w:rPr>
        <w:t xml:space="preserve"> </w:t>
      </w:r>
      <w:r w:rsidR="00323457" w:rsidRPr="0059638B">
        <w:rPr>
          <w:sz w:val="20"/>
          <w:szCs w:val="20"/>
        </w:rPr>
        <w:t>opposed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a</w:t>
      </w:r>
      <w:r w:rsidR="00FF41A0">
        <w:rPr>
          <w:sz w:val="20"/>
          <w:szCs w:val="20"/>
        </w:rPr>
        <w:t xml:space="preserve"> </w:t>
      </w:r>
      <w:r w:rsidR="00323457" w:rsidRPr="0059638B">
        <w:rPr>
          <w:sz w:val="20"/>
          <w:szCs w:val="20"/>
        </w:rPr>
        <w:t>public</w:t>
      </w:r>
      <w:r w:rsidR="00FF41A0">
        <w:rPr>
          <w:sz w:val="20"/>
          <w:szCs w:val="20"/>
        </w:rPr>
        <w:t xml:space="preserve"> </w:t>
      </w:r>
      <w:r w:rsidR="00323457" w:rsidRPr="0059638B">
        <w:rPr>
          <w:sz w:val="20"/>
          <w:szCs w:val="20"/>
        </w:rPr>
        <w:t>inquiry</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principle,</w:t>
      </w:r>
      <w:r w:rsidR="00FF41A0">
        <w:rPr>
          <w:sz w:val="20"/>
          <w:szCs w:val="20"/>
        </w:rPr>
        <w:t xml:space="preserve"> </w:t>
      </w:r>
      <w:r w:rsidR="00323457" w:rsidRPr="0059638B">
        <w:rPr>
          <w:sz w:val="20"/>
          <w:szCs w:val="20"/>
        </w:rPr>
        <w:t>but</w:t>
      </w:r>
      <w:r w:rsidR="00FF41A0">
        <w:rPr>
          <w:sz w:val="20"/>
          <w:szCs w:val="20"/>
        </w:rPr>
        <w:t xml:space="preserve"> </w:t>
      </w:r>
      <w:r w:rsidR="00323457" w:rsidRPr="0059638B">
        <w:rPr>
          <w:sz w:val="20"/>
          <w:szCs w:val="20"/>
        </w:rPr>
        <w:t>it</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view</w:t>
      </w:r>
      <w:r w:rsidR="00FF41A0">
        <w:rPr>
          <w:sz w:val="20"/>
          <w:szCs w:val="20"/>
        </w:rPr>
        <w:t xml:space="preserve"> </w:t>
      </w:r>
      <w:r w:rsidR="00323457" w:rsidRPr="0059638B">
        <w:rPr>
          <w:sz w:val="20"/>
          <w:szCs w:val="20"/>
        </w:rPr>
        <w:t>that</w:t>
      </w:r>
      <w:r w:rsidR="00FF41A0">
        <w:rPr>
          <w:sz w:val="20"/>
          <w:szCs w:val="20"/>
        </w:rPr>
        <w:t xml:space="preserve"> </w:t>
      </w:r>
      <w:r w:rsidR="00323457" w:rsidRPr="0059638B">
        <w:rPr>
          <w:sz w:val="20"/>
          <w:szCs w:val="20"/>
        </w:rPr>
        <w:t>such</w:t>
      </w:r>
      <w:r w:rsidR="00FF41A0">
        <w:rPr>
          <w:sz w:val="20"/>
          <w:szCs w:val="20"/>
        </w:rPr>
        <w:t xml:space="preserve"> </w:t>
      </w:r>
      <w:r w:rsidR="00323457" w:rsidRPr="0059638B">
        <w:rPr>
          <w:sz w:val="20"/>
          <w:szCs w:val="20"/>
        </w:rPr>
        <w:t>an</w:t>
      </w:r>
      <w:r w:rsidR="00FF41A0">
        <w:rPr>
          <w:sz w:val="20"/>
          <w:szCs w:val="20"/>
        </w:rPr>
        <w:t xml:space="preserve"> </w:t>
      </w:r>
      <w:r w:rsidR="00323457" w:rsidRPr="0059638B">
        <w:rPr>
          <w:sz w:val="20"/>
          <w:szCs w:val="20"/>
        </w:rPr>
        <w:t>inquiry</w:t>
      </w:r>
      <w:r w:rsidR="00FF41A0">
        <w:rPr>
          <w:sz w:val="20"/>
          <w:szCs w:val="20"/>
        </w:rPr>
        <w:t xml:space="preserve"> </w:t>
      </w:r>
      <w:r w:rsidR="00323457" w:rsidRPr="0059638B">
        <w:rPr>
          <w:sz w:val="20"/>
          <w:szCs w:val="20"/>
        </w:rPr>
        <w:t>could</w:t>
      </w:r>
      <w:r w:rsidR="00FF41A0">
        <w:rPr>
          <w:sz w:val="20"/>
          <w:szCs w:val="20"/>
        </w:rPr>
        <w:t xml:space="preserve"> </w:t>
      </w:r>
      <w:r w:rsidR="00323457" w:rsidRPr="0059638B">
        <w:rPr>
          <w:sz w:val="20"/>
          <w:szCs w:val="20"/>
        </w:rPr>
        <w:t>only</w:t>
      </w:r>
      <w:r w:rsidR="00FF41A0">
        <w:rPr>
          <w:sz w:val="20"/>
          <w:szCs w:val="20"/>
        </w:rPr>
        <w:t xml:space="preserve"> </w:t>
      </w:r>
      <w:r w:rsidR="00323457" w:rsidRPr="0059638B">
        <w:rPr>
          <w:sz w:val="20"/>
          <w:szCs w:val="20"/>
        </w:rPr>
        <w:t>be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assistance</w:t>
      </w:r>
      <w:r w:rsidR="00FF41A0">
        <w:rPr>
          <w:sz w:val="20"/>
          <w:szCs w:val="20"/>
        </w:rPr>
        <w:t xml:space="preserve"> </w:t>
      </w:r>
      <w:r w:rsidR="00323457" w:rsidRPr="0059638B">
        <w:rPr>
          <w:sz w:val="20"/>
          <w:szCs w:val="20"/>
        </w:rPr>
        <w:t>if</w:t>
      </w:r>
      <w:r w:rsidR="00FF41A0">
        <w:rPr>
          <w:sz w:val="20"/>
          <w:szCs w:val="20"/>
        </w:rPr>
        <w:t xml:space="preserve"> </w:t>
      </w:r>
      <w:r w:rsidR="00323457" w:rsidRPr="0059638B">
        <w:rPr>
          <w:sz w:val="20"/>
          <w:szCs w:val="20"/>
        </w:rPr>
        <w:t>held</w:t>
      </w:r>
      <w:r w:rsidR="00FF41A0">
        <w:rPr>
          <w:sz w:val="20"/>
          <w:szCs w:val="20"/>
        </w:rPr>
        <w:t xml:space="preserve"> </w:t>
      </w:r>
      <w:r w:rsidR="00323457" w:rsidRPr="0059638B">
        <w:rPr>
          <w:sz w:val="20"/>
          <w:szCs w:val="20"/>
        </w:rPr>
        <w:t>once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ongoing</w:t>
      </w:r>
      <w:r w:rsidR="00FF41A0">
        <w:rPr>
          <w:sz w:val="20"/>
          <w:szCs w:val="20"/>
        </w:rPr>
        <w:t xml:space="preserve"> </w:t>
      </w:r>
      <w:r w:rsidR="00323457" w:rsidRPr="0059638B">
        <w:rPr>
          <w:sz w:val="20"/>
          <w:szCs w:val="20"/>
        </w:rPr>
        <w:t>criminal</w:t>
      </w:r>
      <w:r w:rsidR="00FF41A0">
        <w:rPr>
          <w:sz w:val="20"/>
          <w:szCs w:val="20"/>
        </w:rPr>
        <w:t xml:space="preserve"> </w:t>
      </w:r>
      <w:r w:rsidR="00323457" w:rsidRPr="0059638B">
        <w:rPr>
          <w:sz w:val="20"/>
          <w:szCs w:val="20"/>
        </w:rPr>
        <w:t>inquiry</w:t>
      </w:r>
      <w:r w:rsidR="00FF41A0">
        <w:rPr>
          <w:sz w:val="20"/>
          <w:szCs w:val="20"/>
        </w:rPr>
        <w:t xml:space="preserve"> </w:t>
      </w:r>
      <w:r w:rsidR="00323457" w:rsidRPr="0059638B">
        <w:rPr>
          <w:sz w:val="20"/>
          <w:szCs w:val="20"/>
        </w:rPr>
        <w:t>was</w:t>
      </w:r>
      <w:r w:rsidR="00FF41A0">
        <w:rPr>
          <w:sz w:val="20"/>
          <w:szCs w:val="20"/>
        </w:rPr>
        <w:t xml:space="preserve"> </w:t>
      </w:r>
      <w:r w:rsidR="00323457" w:rsidRPr="0059638B">
        <w:rPr>
          <w:sz w:val="20"/>
          <w:szCs w:val="20"/>
        </w:rPr>
        <w:t>finalised.</w:t>
      </w:r>
    </w:p>
    <w:p w14:paraId="536FAA7F" w14:textId="49C6C38E" w:rsidR="00323457" w:rsidRPr="0059638B" w:rsidRDefault="00A50D75" w:rsidP="000E0AEC">
      <w:pPr>
        <w:pStyle w:val="SingleTxtG"/>
        <w:rPr>
          <w:sz w:val="20"/>
          <w:szCs w:val="20"/>
        </w:rPr>
      </w:pPr>
      <w:r>
        <w:rPr>
          <w:sz w:val="20"/>
          <w:szCs w:val="20"/>
        </w:rPr>
        <w:t>899</w:t>
      </w:r>
      <w:r w:rsidR="000E0AEC">
        <w:rPr>
          <w:sz w:val="20"/>
          <w:szCs w:val="20"/>
        </w:rPr>
        <w:t>.</w:t>
      </w:r>
      <w:r w:rsidR="000E0AEC">
        <w:rPr>
          <w:sz w:val="20"/>
          <w:szCs w:val="20"/>
        </w:rPr>
        <w:tab/>
      </w:r>
      <w:r w:rsidR="00323457" w:rsidRPr="0059638B">
        <w:rPr>
          <w:sz w:val="20"/>
          <w:szCs w:val="20"/>
        </w:rPr>
        <w:t>Concerns</w:t>
      </w:r>
      <w:r w:rsidR="00FF41A0">
        <w:rPr>
          <w:sz w:val="20"/>
          <w:szCs w:val="20"/>
        </w:rPr>
        <w:t xml:space="preserve"> </w:t>
      </w:r>
      <w:r w:rsidR="00323457" w:rsidRPr="0059638B">
        <w:rPr>
          <w:sz w:val="20"/>
          <w:szCs w:val="20"/>
        </w:rPr>
        <w:t>raised</w:t>
      </w:r>
      <w:r w:rsidR="00FF41A0">
        <w:rPr>
          <w:sz w:val="20"/>
          <w:szCs w:val="20"/>
        </w:rPr>
        <w:t xml:space="preserve"> </w:t>
      </w:r>
      <w:r w:rsidR="00323457" w:rsidRPr="0059638B">
        <w:rPr>
          <w:sz w:val="20"/>
          <w:szCs w:val="20"/>
        </w:rPr>
        <w:t>by</w:t>
      </w:r>
      <w:r w:rsidR="00FF41A0">
        <w:rPr>
          <w:sz w:val="20"/>
          <w:szCs w:val="20"/>
        </w:rPr>
        <w:t xml:space="preserve"> </w:t>
      </w:r>
      <w:r w:rsidR="00323457" w:rsidRPr="0059638B">
        <w:rPr>
          <w:sz w:val="20"/>
          <w:szCs w:val="20"/>
        </w:rPr>
        <w:t>some</w:t>
      </w:r>
      <w:r w:rsidR="00FF41A0">
        <w:rPr>
          <w:sz w:val="20"/>
          <w:szCs w:val="20"/>
        </w:rPr>
        <w:t xml:space="preserve"> </w:t>
      </w:r>
      <w:r w:rsidR="00323457" w:rsidRPr="0059638B">
        <w:rPr>
          <w:sz w:val="20"/>
          <w:szCs w:val="20"/>
        </w:rPr>
        <w:t>civil</w:t>
      </w:r>
      <w:r w:rsidR="00FF41A0">
        <w:rPr>
          <w:sz w:val="20"/>
          <w:szCs w:val="20"/>
        </w:rPr>
        <w:t xml:space="preserve"> </w:t>
      </w:r>
      <w:r w:rsidR="00323457" w:rsidRPr="0059638B">
        <w:rPr>
          <w:sz w:val="20"/>
          <w:szCs w:val="20"/>
        </w:rPr>
        <w:t>society</w:t>
      </w:r>
      <w:r w:rsidR="00FF41A0">
        <w:rPr>
          <w:sz w:val="20"/>
          <w:szCs w:val="20"/>
        </w:rPr>
        <w:t xml:space="preserve"> </w:t>
      </w:r>
      <w:r w:rsidR="00323457" w:rsidRPr="0059638B">
        <w:rPr>
          <w:sz w:val="20"/>
          <w:szCs w:val="20"/>
        </w:rPr>
        <w:t>members</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also</w:t>
      </w:r>
      <w:r w:rsidR="00FF41A0">
        <w:rPr>
          <w:sz w:val="20"/>
          <w:szCs w:val="20"/>
        </w:rPr>
        <w:t xml:space="preserve"> </w:t>
      </w:r>
      <w:r w:rsidR="00323457" w:rsidRPr="0059638B">
        <w:rPr>
          <w:sz w:val="20"/>
          <w:szCs w:val="20"/>
        </w:rPr>
        <w:t>noted,</w:t>
      </w:r>
      <w:r w:rsidR="00FF41A0">
        <w:rPr>
          <w:sz w:val="20"/>
          <w:szCs w:val="20"/>
        </w:rPr>
        <w:t xml:space="preserve"> </w:t>
      </w:r>
      <w:r w:rsidR="00323457" w:rsidRPr="0059638B">
        <w:rPr>
          <w:sz w:val="20"/>
          <w:szCs w:val="20"/>
        </w:rPr>
        <w:t>some</w:t>
      </w:r>
      <w:r w:rsidR="00FF41A0">
        <w:rPr>
          <w:sz w:val="20"/>
          <w:szCs w:val="20"/>
        </w:rPr>
        <w:t xml:space="preserve"> </w:t>
      </w:r>
      <w:r w:rsidR="00323457" w:rsidRPr="0059638B">
        <w:rPr>
          <w:sz w:val="20"/>
          <w:szCs w:val="20"/>
        </w:rPr>
        <w:t>of</w:t>
      </w:r>
      <w:r w:rsidR="00FF41A0">
        <w:rPr>
          <w:sz w:val="20"/>
          <w:szCs w:val="20"/>
        </w:rPr>
        <w:t xml:space="preserve"> </w:t>
      </w:r>
      <w:r w:rsidR="00323457" w:rsidRPr="0059638B">
        <w:rPr>
          <w:sz w:val="20"/>
          <w:szCs w:val="20"/>
        </w:rPr>
        <w:t>which</w:t>
      </w:r>
      <w:r w:rsidR="00FF41A0">
        <w:rPr>
          <w:sz w:val="20"/>
          <w:szCs w:val="20"/>
        </w:rPr>
        <w:t xml:space="preserve"> </w:t>
      </w:r>
      <w:r w:rsidR="00323457" w:rsidRPr="0059638B">
        <w:rPr>
          <w:sz w:val="20"/>
          <w:szCs w:val="20"/>
        </w:rPr>
        <w:t>were</w:t>
      </w:r>
      <w:r w:rsidR="00FF41A0">
        <w:rPr>
          <w:sz w:val="20"/>
          <w:szCs w:val="20"/>
        </w:rPr>
        <w:t xml:space="preserve"> </w:t>
      </w:r>
      <w:r w:rsidR="00323457" w:rsidRPr="0059638B">
        <w:rPr>
          <w:sz w:val="20"/>
          <w:szCs w:val="20"/>
        </w:rPr>
        <w:t>raised</w:t>
      </w:r>
      <w:r w:rsidR="00FF41A0">
        <w:rPr>
          <w:sz w:val="20"/>
          <w:szCs w:val="20"/>
        </w:rPr>
        <w:t xml:space="preserve"> </w:t>
      </w:r>
      <w:r w:rsidR="00323457" w:rsidRPr="0059638B">
        <w:rPr>
          <w:sz w:val="20"/>
          <w:szCs w:val="20"/>
        </w:rPr>
        <w:t>earlier</w:t>
      </w:r>
      <w:r w:rsidR="00FF41A0">
        <w:rPr>
          <w:sz w:val="20"/>
          <w:szCs w:val="20"/>
        </w:rPr>
        <w:t xml:space="preserve"> </w:t>
      </w:r>
      <w:r w:rsidR="00323457" w:rsidRPr="0059638B">
        <w:rPr>
          <w:sz w:val="20"/>
          <w:szCs w:val="20"/>
        </w:rPr>
        <w:t>during</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address</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Council.</w:t>
      </w:r>
      <w:r w:rsidR="00FF41A0">
        <w:rPr>
          <w:sz w:val="20"/>
          <w:szCs w:val="20"/>
        </w:rPr>
        <w:t xml:space="preserve"> </w:t>
      </w:r>
    </w:p>
    <w:p w14:paraId="56ABC04D" w14:textId="5107B835" w:rsidR="00323457" w:rsidRPr="000E0AEC" w:rsidRDefault="00A50D75" w:rsidP="000E0AEC">
      <w:pPr>
        <w:pStyle w:val="SingleTxtG"/>
        <w:rPr>
          <w:sz w:val="20"/>
          <w:szCs w:val="20"/>
        </w:rPr>
      </w:pPr>
      <w:r>
        <w:rPr>
          <w:sz w:val="20"/>
          <w:szCs w:val="20"/>
        </w:rPr>
        <w:t>900</w:t>
      </w:r>
      <w:r w:rsidR="000E0AEC">
        <w:rPr>
          <w:sz w:val="20"/>
          <w:szCs w:val="20"/>
        </w:rPr>
        <w:t>.</w:t>
      </w:r>
      <w:r w:rsidR="000E0AEC">
        <w:rPr>
          <w:sz w:val="20"/>
          <w:szCs w:val="20"/>
        </w:rPr>
        <w:tab/>
      </w:r>
      <w:r w:rsidR="00323457" w:rsidRPr="0059638B">
        <w:rPr>
          <w:sz w:val="20"/>
          <w:szCs w:val="20"/>
        </w:rPr>
        <w:t>In</w:t>
      </w:r>
      <w:r w:rsidR="00FF41A0">
        <w:rPr>
          <w:sz w:val="20"/>
          <w:szCs w:val="20"/>
        </w:rPr>
        <w:t xml:space="preserve"> </w:t>
      </w:r>
      <w:r w:rsidR="00323457" w:rsidRPr="0059638B">
        <w:rPr>
          <w:sz w:val="20"/>
          <w:szCs w:val="20"/>
        </w:rPr>
        <w:t>conclusion,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delegation</w:t>
      </w:r>
      <w:r w:rsidR="00FF41A0">
        <w:rPr>
          <w:sz w:val="20"/>
          <w:szCs w:val="20"/>
        </w:rPr>
        <w:t xml:space="preserve"> </w:t>
      </w:r>
      <w:r w:rsidR="00323457" w:rsidRPr="0059638B">
        <w:rPr>
          <w:sz w:val="20"/>
          <w:szCs w:val="20"/>
        </w:rPr>
        <w:t>expressed</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appreciation</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those</w:t>
      </w:r>
      <w:r w:rsidR="00FF41A0">
        <w:rPr>
          <w:sz w:val="20"/>
          <w:szCs w:val="20"/>
        </w:rPr>
        <w:t xml:space="preserve"> </w:t>
      </w:r>
      <w:r w:rsidR="00323457" w:rsidRPr="0059638B">
        <w:rPr>
          <w:sz w:val="20"/>
          <w:szCs w:val="20"/>
        </w:rPr>
        <w:t>States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civil</w:t>
      </w:r>
      <w:r w:rsidR="00FF41A0">
        <w:rPr>
          <w:sz w:val="20"/>
          <w:szCs w:val="20"/>
        </w:rPr>
        <w:t xml:space="preserve"> </w:t>
      </w:r>
      <w:r w:rsidR="00323457" w:rsidRPr="0059638B">
        <w:rPr>
          <w:sz w:val="20"/>
          <w:szCs w:val="20"/>
        </w:rPr>
        <w:t>society</w:t>
      </w:r>
      <w:r w:rsidR="00FF41A0">
        <w:rPr>
          <w:sz w:val="20"/>
          <w:szCs w:val="20"/>
        </w:rPr>
        <w:t xml:space="preserve"> </w:t>
      </w:r>
      <w:r w:rsidR="00323457" w:rsidRPr="0059638B">
        <w:rPr>
          <w:sz w:val="20"/>
          <w:szCs w:val="20"/>
        </w:rPr>
        <w:t>representatives</w:t>
      </w:r>
      <w:r w:rsidR="00FF41A0">
        <w:rPr>
          <w:sz w:val="20"/>
          <w:szCs w:val="20"/>
        </w:rPr>
        <w:t xml:space="preserve"> </w:t>
      </w:r>
      <w:r w:rsidR="00323457" w:rsidRPr="0059638B">
        <w:rPr>
          <w:sz w:val="20"/>
          <w:szCs w:val="20"/>
        </w:rPr>
        <w:t>for</w:t>
      </w:r>
      <w:r w:rsidR="00FF41A0">
        <w:rPr>
          <w:sz w:val="20"/>
          <w:szCs w:val="20"/>
        </w:rPr>
        <w:t xml:space="preserve"> </w:t>
      </w:r>
      <w:r w:rsidR="00323457" w:rsidRPr="0059638B">
        <w:rPr>
          <w:sz w:val="20"/>
          <w:szCs w:val="20"/>
        </w:rPr>
        <w:t>their</w:t>
      </w:r>
      <w:r w:rsidR="00FF41A0">
        <w:rPr>
          <w:sz w:val="20"/>
          <w:szCs w:val="20"/>
        </w:rPr>
        <w:t xml:space="preserve"> </w:t>
      </w:r>
      <w:r w:rsidR="00323457" w:rsidRPr="0059638B">
        <w:rPr>
          <w:sz w:val="20"/>
          <w:szCs w:val="20"/>
        </w:rPr>
        <w:t>participation</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adding</w:t>
      </w:r>
      <w:r w:rsidR="00FF41A0">
        <w:rPr>
          <w:sz w:val="20"/>
          <w:szCs w:val="20"/>
        </w:rPr>
        <w:t xml:space="preserve"> </w:t>
      </w:r>
      <w:r w:rsidR="00323457" w:rsidRPr="0059638B">
        <w:rPr>
          <w:sz w:val="20"/>
          <w:szCs w:val="20"/>
        </w:rPr>
        <w:t>their</w:t>
      </w:r>
      <w:r w:rsidR="00FF41A0">
        <w:rPr>
          <w:sz w:val="20"/>
          <w:szCs w:val="20"/>
        </w:rPr>
        <w:t xml:space="preserve"> </w:t>
      </w:r>
      <w:r w:rsidR="00323457" w:rsidRPr="0059638B">
        <w:rPr>
          <w:sz w:val="20"/>
          <w:szCs w:val="20"/>
        </w:rPr>
        <w:t>voice.</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remained</w:t>
      </w:r>
      <w:r w:rsidR="00FF41A0">
        <w:rPr>
          <w:sz w:val="20"/>
          <w:szCs w:val="20"/>
        </w:rPr>
        <w:t xml:space="preserve"> </w:t>
      </w:r>
      <w:r w:rsidR="00323457" w:rsidRPr="0059638B">
        <w:rPr>
          <w:sz w:val="20"/>
          <w:szCs w:val="20"/>
        </w:rPr>
        <w:t>committed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further</w:t>
      </w:r>
      <w:r w:rsidR="00FF41A0">
        <w:rPr>
          <w:sz w:val="20"/>
          <w:szCs w:val="20"/>
        </w:rPr>
        <w:t xml:space="preserve"> </w:t>
      </w:r>
      <w:r w:rsidR="00323457" w:rsidRPr="0059638B">
        <w:rPr>
          <w:sz w:val="20"/>
          <w:szCs w:val="20"/>
        </w:rPr>
        <w:t>engagement</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States</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civil</w:t>
      </w:r>
      <w:r w:rsidR="00FF41A0">
        <w:rPr>
          <w:sz w:val="20"/>
          <w:szCs w:val="20"/>
        </w:rPr>
        <w:t xml:space="preserve"> </w:t>
      </w:r>
      <w:r w:rsidR="00323457" w:rsidRPr="0059638B">
        <w:rPr>
          <w:sz w:val="20"/>
          <w:szCs w:val="20"/>
        </w:rPr>
        <w:t>society</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situation</w:t>
      </w:r>
      <w:r w:rsidR="00FF41A0">
        <w:rPr>
          <w:sz w:val="20"/>
          <w:szCs w:val="20"/>
        </w:rPr>
        <w:t xml:space="preserve"> </w:t>
      </w:r>
      <w:r w:rsidR="00323457" w:rsidRPr="0059638B">
        <w:rPr>
          <w:sz w:val="20"/>
          <w:szCs w:val="20"/>
        </w:rPr>
        <w:t>in</w:t>
      </w:r>
      <w:r w:rsidR="00FF41A0">
        <w:rPr>
          <w:sz w:val="20"/>
          <w:szCs w:val="20"/>
        </w:rPr>
        <w:t xml:space="preserve"> </w:t>
      </w:r>
      <w:r w:rsidR="00323457" w:rsidRPr="0059638B">
        <w:rPr>
          <w:sz w:val="20"/>
          <w:szCs w:val="20"/>
        </w:rPr>
        <w:t>Malta.</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Government</w:t>
      </w:r>
      <w:r w:rsidR="00FF41A0">
        <w:rPr>
          <w:sz w:val="20"/>
          <w:szCs w:val="20"/>
        </w:rPr>
        <w:t xml:space="preserve"> </w:t>
      </w:r>
      <w:r w:rsidR="00323457" w:rsidRPr="0059638B">
        <w:rPr>
          <w:sz w:val="20"/>
          <w:szCs w:val="20"/>
        </w:rPr>
        <w:t>looked</w:t>
      </w:r>
      <w:r w:rsidR="00FF41A0">
        <w:rPr>
          <w:sz w:val="20"/>
          <w:szCs w:val="20"/>
        </w:rPr>
        <w:t xml:space="preserve"> </w:t>
      </w:r>
      <w:r w:rsidR="00323457" w:rsidRPr="0059638B">
        <w:rPr>
          <w:sz w:val="20"/>
          <w:szCs w:val="20"/>
        </w:rPr>
        <w:t>forward</w:t>
      </w:r>
      <w:r w:rsidR="00FF41A0">
        <w:rPr>
          <w:sz w:val="20"/>
          <w:szCs w:val="20"/>
        </w:rPr>
        <w:t xml:space="preserve"> </w:t>
      </w:r>
      <w:r w:rsidR="00323457" w:rsidRPr="0059638B">
        <w:rPr>
          <w:sz w:val="20"/>
          <w:szCs w:val="20"/>
        </w:rPr>
        <w:t>to</w:t>
      </w:r>
      <w:r w:rsidR="00FF41A0">
        <w:rPr>
          <w:sz w:val="20"/>
          <w:szCs w:val="20"/>
        </w:rPr>
        <w:t xml:space="preserve"> </w:t>
      </w:r>
      <w:r w:rsidR="00323457" w:rsidRPr="0059638B">
        <w:rPr>
          <w:sz w:val="20"/>
          <w:szCs w:val="20"/>
        </w:rPr>
        <w:t>the</w:t>
      </w:r>
      <w:r w:rsidR="00FF41A0">
        <w:rPr>
          <w:sz w:val="20"/>
          <w:szCs w:val="20"/>
        </w:rPr>
        <w:t xml:space="preserve"> </w:t>
      </w:r>
      <w:r w:rsidR="00323457" w:rsidRPr="0059638B">
        <w:rPr>
          <w:sz w:val="20"/>
          <w:szCs w:val="20"/>
        </w:rPr>
        <w:t>coming</w:t>
      </w:r>
      <w:r w:rsidR="00FF41A0">
        <w:rPr>
          <w:sz w:val="20"/>
          <w:szCs w:val="20"/>
        </w:rPr>
        <w:t xml:space="preserve"> </w:t>
      </w:r>
      <w:r w:rsidR="00323457" w:rsidRPr="0059638B">
        <w:rPr>
          <w:sz w:val="20"/>
          <w:szCs w:val="20"/>
        </w:rPr>
        <w:t>five</w:t>
      </w:r>
      <w:r w:rsidR="00FF41A0">
        <w:rPr>
          <w:sz w:val="20"/>
          <w:szCs w:val="20"/>
        </w:rPr>
        <w:t xml:space="preserve"> </w:t>
      </w:r>
      <w:r w:rsidR="00323457" w:rsidRPr="0059638B">
        <w:rPr>
          <w:sz w:val="20"/>
          <w:szCs w:val="20"/>
        </w:rPr>
        <w:t>years</w:t>
      </w:r>
      <w:r w:rsidR="00FF41A0">
        <w:rPr>
          <w:sz w:val="20"/>
          <w:szCs w:val="20"/>
        </w:rPr>
        <w:t xml:space="preserve"> </w:t>
      </w:r>
      <w:r w:rsidR="00323457" w:rsidRPr="0059638B">
        <w:rPr>
          <w:sz w:val="20"/>
          <w:szCs w:val="20"/>
        </w:rPr>
        <w:t>with</w:t>
      </w:r>
      <w:r w:rsidR="00FF41A0">
        <w:rPr>
          <w:sz w:val="20"/>
          <w:szCs w:val="20"/>
        </w:rPr>
        <w:t xml:space="preserve"> </w:t>
      </w:r>
      <w:r w:rsidR="00323457" w:rsidRPr="0059638B">
        <w:rPr>
          <w:sz w:val="20"/>
          <w:szCs w:val="20"/>
        </w:rPr>
        <w:t>optimistic</w:t>
      </w:r>
      <w:r w:rsidR="00FF41A0">
        <w:rPr>
          <w:sz w:val="20"/>
          <w:szCs w:val="20"/>
        </w:rPr>
        <w:t xml:space="preserve"> </w:t>
      </w:r>
      <w:r w:rsidR="00323457" w:rsidRPr="0059638B">
        <w:rPr>
          <w:sz w:val="20"/>
          <w:szCs w:val="20"/>
        </w:rPr>
        <w:t>commitment</w:t>
      </w:r>
      <w:r w:rsidR="00FF41A0">
        <w:rPr>
          <w:sz w:val="20"/>
          <w:szCs w:val="20"/>
        </w:rPr>
        <w:t xml:space="preserve"> </w:t>
      </w:r>
      <w:r w:rsidR="00323457" w:rsidRPr="0059638B">
        <w:rPr>
          <w:sz w:val="20"/>
          <w:szCs w:val="20"/>
        </w:rPr>
        <w:t>and</w:t>
      </w:r>
      <w:r w:rsidR="00FF41A0">
        <w:rPr>
          <w:sz w:val="20"/>
          <w:szCs w:val="20"/>
        </w:rPr>
        <w:t xml:space="preserve"> </w:t>
      </w:r>
      <w:r w:rsidR="00323457" w:rsidRPr="0059638B">
        <w:rPr>
          <w:sz w:val="20"/>
          <w:szCs w:val="20"/>
        </w:rPr>
        <w:t>set</w:t>
      </w:r>
      <w:r w:rsidR="00FF41A0">
        <w:rPr>
          <w:sz w:val="20"/>
          <w:szCs w:val="20"/>
        </w:rPr>
        <w:t xml:space="preserve"> </w:t>
      </w:r>
      <w:r w:rsidR="00323457" w:rsidRPr="0059638B">
        <w:rPr>
          <w:sz w:val="20"/>
          <w:szCs w:val="20"/>
        </w:rPr>
        <w:t>objectives</w:t>
      </w:r>
      <w:r w:rsidR="00FF41A0">
        <w:rPr>
          <w:sz w:val="20"/>
          <w:szCs w:val="20"/>
        </w:rPr>
        <w:t xml:space="preserve"> </w:t>
      </w:r>
      <w:r w:rsidR="00323457" w:rsidRPr="0059638B">
        <w:rPr>
          <w:sz w:val="20"/>
          <w:szCs w:val="20"/>
        </w:rPr>
        <w:t>on</w:t>
      </w:r>
      <w:r w:rsidR="00FF41A0">
        <w:rPr>
          <w:sz w:val="20"/>
          <w:szCs w:val="20"/>
        </w:rPr>
        <w:t xml:space="preserve"> </w:t>
      </w:r>
      <w:r w:rsidR="00323457" w:rsidRPr="0059638B">
        <w:rPr>
          <w:sz w:val="20"/>
          <w:szCs w:val="20"/>
        </w:rPr>
        <w:t>its</w:t>
      </w:r>
      <w:r w:rsidR="00FF41A0">
        <w:rPr>
          <w:sz w:val="20"/>
          <w:szCs w:val="20"/>
        </w:rPr>
        <w:t xml:space="preserve"> </w:t>
      </w:r>
      <w:r w:rsidR="00323457" w:rsidRPr="0059638B">
        <w:rPr>
          <w:sz w:val="20"/>
          <w:szCs w:val="20"/>
        </w:rPr>
        <w:t>human</w:t>
      </w:r>
      <w:r w:rsidR="00FF41A0">
        <w:rPr>
          <w:sz w:val="20"/>
          <w:szCs w:val="20"/>
        </w:rPr>
        <w:t xml:space="preserve"> </w:t>
      </w:r>
      <w:r w:rsidR="00323457" w:rsidRPr="0059638B">
        <w:rPr>
          <w:sz w:val="20"/>
          <w:szCs w:val="20"/>
        </w:rPr>
        <w:t>rights</w:t>
      </w:r>
      <w:r w:rsidR="00FF41A0">
        <w:rPr>
          <w:sz w:val="20"/>
          <w:szCs w:val="20"/>
        </w:rPr>
        <w:t xml:space="preserve"> </w:t>
      </w:r>
      <w:r w:rsidR="00323457" w:rsidRPr="0059638B">
        <w:rPr>
          <w:sz w:val="20"/>
          <w:szCs w:val="20"/>
        </w:rPr>
        <w:t>protection</w:t>
      </w:r>
      <w:r w:rsidR="00FF41A0">
        <w:rPr>
          <w:sz w:val="20"/>
          <w:szCs w:val="20"/>
        </w:rPr>
        <w:t xml:space="preserve"> </w:t>
      </w:r>
      <w:r w:rsidR="00323457" w:rsidRPr="0059638B">
        <w:rPr>
          <w:sz w:val="20"/>
          <w:szCs w:val="20"/>
        </w:rPr>
        <w:t>agenda.</w:t>
      </w:r>
    </w:p>
    <w:p w14:paraId="7627E21F" w14:textId="5027D500" w:rsidR="000D7692" w:rsidRPr="00C16037" w:rsidRDefault="000D7692" w:rsidP="000D7692">
      <w:pPr>
        <w:pStyle w:val="H1G"/>
        <w:rPr>
          <w:color w:val="000000" w:themeColor="text1"/>
        </w:rPr>
      </w:pPr>
      <w:r w:rsidRPr="00C16037">
        <w:rPr>
          <w:color w:val="000000" w:themeColor="text1"/>
        </w:rPr>
        <w:tab/>
      </w:r>
      <w:r w:rsidRPr="00391180">
        <w:rPr>
          <w:color w:val="000000" w:themeColor="text1"/>
        </w:rPr>
        <w:t>B.</w:t>
      </w:r>
      <w:r w:rsidRPr="00391180">
        <w:rPr>
          <w:color w:val="000000" w:themeColor="text1"/>
        </w:rPr>
        <w:tab/>
        <w:t>General</w:t>
      </w:r>
      <w:r w:rsidR="00FF41A0">
        <w:rPr>
          <w:color w:val="000000" w:themeColor="text1"/>
        </w:rPr>
        <w:t xml:space="preserve"> </w:t>
      </w:r>
      <w:r w:rsidRPr="00391180">
        <w:rPr>
          <w:color w:val="000000" w:themeColor="text1"/>
        </w:rPr>
        <w:t>debate</w:t>
      </w:r>
      <w:r w:rsidR="00FF41A0">
        <w:rPr>
          <w:color w:val="000000" w:themeColor="text1"/>
        </w:rPr>
        <w:t xml:space="preserve"> </w:t>
      </w:r>
      <w:r w:rsidRPr="00391180">
        <w:rPr>
          <w:color w:val="000000" w:themeColor="text1"/>
        </w:rPr>
        <w:t>on</w:t>
      </w:r>
      <w:r w:rsidR="00FF41A0">
        <w:rPr>
          <w:color w:val="000000" w:themeColor="text1"/>
        </w:rPr>
        <w:t xml:space="preserve"> </w:t>
      </w:r>
      <w:r w:rsidRPr="00391180">
        <w:rPr>
          <w:color w:val="000000" w:themeColor="text1"/>
        </w:rPr>
        <w:t>agenda</w:t>
      </w:r>
      <w:r w:rsidR="00FF41A0">
        <w:rPr>
          <w:color w:val="000000" w:themeColor="text1"/>
        </w:rPr>
        <w:t xml:space="preserve"> </w:t>
      </w:r>
      <w:r w:rsidRPr="00391180">
        <w:rPr>
          <w:color w:val="000000" w:themeColor="text1"/>
        </w:rPr>
        <w:t>item</w:t>
      </w:r>
      <w:r w:rsidR="00FF41A0">
        <w:rPr>
          <w:color w:val="000000" w:themeColor="text1"/>
        </w:rPr>
        <w:t xml:space="preserve"> </w:t>
      </w:r>
      <w:r w:rsidRPr="00391180">
        <w:rPr>
          <w:color w:val="000000" w:themeColor="text1"/>
        </w:rPr>
        <w:t>6</w:t>
      </w:r>
    </w:p>
    <w:p w14:paraId="731AC1C9" w14:textId="7288C496" w:rsidR="000D7692" w:rsidRPr="0037538E" w:rsidRDefault="001D5DB2" w:rsidP="000D7692">
      <w:pPr>
        <w:pStyle w:val="SingleTxtG"/>
        <w:rPr>
          <w:color w:val="000000" w:themeColor="text1"/>
          <w:sz w:val="20"/>
          <w:szCs w:val="20"/>
          <w:lang w:eastAsia="ko-KR"/>
        </w:rPr>
      </w:pPr>
      <w:r>
        <w:rPr>
          <w:color w:val="000000" w:themeColor="text1"/>
          <w:sz w:val="20"/>
          <w:szCs w:val="20"/>
        </w:rPr>
        <w:t>901</w:t>
      </w:r>
      <w:r w:rsidR="000D7692" w:rsidRPr="0037538E">
        <w:rPr>
          <w:color w:val="000000" w:themeColor="text1"/>
          <w:sz w:val="20"/>
          <w:szCs w:val="20"/>
        </w:rPr>
        <w:t>.</w:t>
      </w:r>
      <w:r w:rsidR="000D7692" w:rsidRPr="0037538E">
        <w:rPr>
          <w:color w:val="000000" w:themeColor="text1"/>
          <w:sz w:val="20"/>
          <w:szCs w:val="20"/>
        </w:rPr>
        <w:tab/>
        <w:t>At</w:t>
      </w:r>
      <w:r w:rsidR="00FF41A0">
        <w:rPr>
          <w:color w:val="000000" w:themeColor="text1"/>
          <w:sz w:val="20"/>
          <w:szCs w:val="20"/>
        </w:rPr>
        <w:t xml:space="preserve"> </w:t>
      </w:r>
      <w:r w:rsidR="000D7692" w:rsidRPr="0037538E">
        <w:rPr>
          <w:color w:val="000000" w:themeColor="text1"/>
          <w:sz w:val="20"/>
          <w:szCs w:val="20"/>
        </w:rPr>
        <w:t>the</w:t>
      </w:r>
      <w:r w:rsidR="00FF41A0">
        <w:rPr>
          <w:color w:val="000000" w:themeColor="text1"/>
          <w:sz w:val="20"/>
          <w:szCs w:val="20"/>
        </w:rPr>
        <w:t xml:space="preserve"> </w:t>
      </w:r>
      <w:r w:rsidR="003B08A8">
        <w:rPr>
          <w:color w:val="000000" w:themeColor="text1"/>
          <w:sz w:val="20"/>
          <w:szCs w:val="20"/>
        </w:rPr>
        <w:t>39</w:t>
      </w:r>
      <w:r w:rsidR="000D7692">
        <w:rPr>
          <w:color w:val="000000" w:themeColor="text1"/>
          <w:sz w:val="20"/>
          <w:szCs w:val="20"/>
        </w:rPr>
        <w:t>th</w:t>
      </w:r>
      <w:r w:rsidR="00FF41A0">
        <w:rPr>
          <w:color w:val="000000" w:themeColor="text1"/>
          <w:sz w:val="20"/>
          <w:szCs w:val="20"/>
        </w:rPr>
        <w:t xml:space="preserve"> </w:t>
      </w:r>
      <w:r w:rsidR="000D7692" w:rsidRPr="0037538E">
        <w:rPr>
          <w:color w:val="000000" w:themeColor="text1"/>
          <w:sz w:val="20"/>
          <w:szCs w:val="20"/>
        </w:rPr>
        <w:t>meeting,</w:t>
      </w:r>
      <w:r w:rsidR="00FF41A0">
        <w:rPr>
          <w:color w:val="000000" w:themeColor="text1"/>
          <w:sz w:val="20"/>
          <w:szCs w:val="20"/>
        </w:rPr>
        <w:t xml:space="preserve"> </w:t>
      </w:r>
      <w:r w:rsidR="000D7692" w:rsidRPr="0037538E">
        <w:rPr>
          <w:color w:val="000000" w:themeColor="text1"/>
          <w:sz w:val="20"/>
          <w:szCs w:val="20"/>
        </w:rPr>
        <w:t>on</w:t>
      </w:r>
      <w:r w:rsidR="00FF41A0">
        <w:rPr>
          <w:color w:val="000000" w:themeColor="text1"/>
          <w:sz w:val="20"/>
          <w:szCs w:val="20"/>
        </w:rPr>
        <w:t xml:space="preserve"> </w:t>
      </w:r>
      <w:r w:rsidR="000D7692" w:rsidRPr="0037538E">
        <w:rPr>
          <w:color w:val="000000" w:themeColor="text1"/>
          <w:sz w:val="20"/>
          <w:szCs w:val="20"/>
        </w:rPr>
        <w:t>1</w:t>
      </w:r>
      <w:r w:rsidR="000D7692">
        <w:rPr>
          <w:color w:val="000000" w:themeColor="text1"/>
          <w:sz w:val="20"/>
          <w:szCs w:val="20"/>
        </w:rPr>
        <w:t>5</w:t>
      </w:r>
      <w:r w:rsidR="00FF41A0">
        <w:rPr>
          <w:color w:val="000000" w:themeColor="text1"/>
          <w:sz w:val="20"/>
          <w:szCs w:val="20"/>
        </w:rPr>
        <w:t xml:space="preserve"> </w:t>
      </w:r>
      <w:r w:rsidR="000D7692" w:rsidRPr="0037538E">
        <w:rPr>
          <w:color w:val="000000" w:themeColor="text1"/>
          <w:sz w:val="20"/>
          <w:szCs w:val="20"/>
        </w:rPr>
        <w:t>March</w:t>
      </w:r>
      <w:r w:rsidR="00FF41A0">
        <w:rPr>
          <w:color w:val="000000" w:themeColor="text1"/>
          <w:sz w:val="20"/>
          <w:szCs w:val="20"/>
        </w:rPr>
        <w:t xml:space="preserve"> </w:t>
      </w:r>
      <w:r w:rsidR="000D7692" w:rsidRPr="0037538E">
        <w:rPr>
          <w:color w:val="000000" w:themeColor="text1"/>
          <w:sz w:val="20"/>
          <w:szCs w:val="20"/>
        </w:rPr>
        <w:t>201</w:t>
      </w:r>
      <w:r w:rsidR="000D7692">
        <w:rPr>
          <w:color w:val="000000" w:themeColor="text1"/>
          <w:sz w:val="20"/>
          <w:szCs w:val="20"/>
        </w:rPr>
        <w:t>9</w:t>
      </w:r>
      <w:r w:rsidR="000D7692" w:rsidRPr="0037538E">
        <w:rPr>
          <w:color w:val="000000" w:themeColor="text1"/>
          <w:sz w:val="20"/>
          <w:szCs w:val="20"/>
        </w:rPr>
        <w:t>,</w:t>
      </w:r>
      <w:r w:rsidR="00FF41A0">
        <w:rPr>
          <w:color w:val="000000" w:themeColor="text1"/>
          <w:sz w:val="20"/>
          <w:szCs w:val="20"/>
        </w:rPr>
        <w:t xml:space="preserve"> </w:t>
      </w:r>
      <w:r w:rsidR="000D7692" w:rsidRPr="0037538E">
        <w:rPr>
          <w:color w:val="000000" w:themeColor="text1"/>
          <w:sz w:val="20"/>
          <w:szCs w:val="20"/>
        </w:rPr>
        <w:t>the</w:t>
      </w:r>
      <w:r w:rsidR="00FF41A0">
        <w:rPr>
          <w:color w:val="000000" w:themeColor="text1"/>
          <w:sz w:val="20"/>
          <w:szCs w:val="20"/>
        </w:rPr>
        <w:t xml:space="preserve"> </w:t>
      </w:r>
      <w:r w:rsidR="000D7692" w:rsidRPr="0037538E">
        <w:rPr>
          <w:color w:val="000000" w:themeColor="text1"/>
          <w:sz w:val="20"/>
          <w:szCs w:val="20"/>
        </w:rPr>
        <w:t>Council</w:t>
      </w:r>
      <w:r w:rsidR="00FF41A0">
        <w:rPr>
          <w:color w:val="000000" w:themeColor="text1"/>
          <w:sz w:val="20"/>
          <w:szCs w:val="20"/>
        </w:rPr>
        <w:t xml:space="preserve"> </w:t>
      </w:r>
      <w:r w:rsidR="000D7692" w:rsidRPr="0037538E">
        <w:rPr>
          <w:color w:val="000000" w:themeColor="text1"/>
          <w:sz w:val="20"/>
          <w:szCs w:val="20"/>
        </w:rPr>
        <w:t>held</w:t>
      </w:r>
      <w:r w:rsidR="00FF41A0">
        <w:rPr>
          <w:color w:val="000000" w:themeColor="text1"/>
          <w:sz w:val="20"/>
          <w:szCs w:val="20"/>
        </w:rPr>
        <w:t xml:space="preserve"> </w:t>
      </w:r>
      <w:r w:rsidR="000D7692" w:rsidRPr="0037538E">
        <w:rPr>
          <w:color w:val="000000" w:themeColor="text1"/>
          <w:sz w:val="20"/>
          <w:szCs w:val="20"/>
        </w:rPr>
        <w:t>a</w:t>
      </w:r>
      <w:r w:rsidR="00FF41A0">
        <w:rPr>
          <w:color w:val="000000" w:themeColor="text1"/>
          <w:sz w:val="20"/>
          <w:szCs w:val="20"/>
        </w:rPr>
        <w:t xml:space="preserve"> </w:t>
      </w:r>
      <w:r w:rsidR="000D7692" w:rsidRPr="0037538E">
        <w:rPr>
          <w:color w:val="000000" w:themeColor="text1"/>
          <w:sz w:val="20"/>
          <w:szCs w:val="20"/>
        </w:rPr>
        <w:t>general</w:t>
      </w:r>
      <w:r w:rsidR="00FF41A0">
        <w:rPr>
          <w:color w:val="000000" w:themeColor="text1"/>
          <w:sz w:val="20"/>
          <w:szCs w:val="20"/>
        </w:rPr>
        <w:t xml:space="preserve"> </w:t>
      </w:r>
      <w:r w:rsidR="000D7692" w:rsidRPr="0037538E">
        <w:rPr>
          <w:color w:val="000000" w:themeColor="text1"/>
          <w:sz w:val="20"/>
          <w:szCs w:val="20"/>
        </w:rPr>
        <w:t>debate</w:t>
      </w:r>
      <w:r w:rsidR="00FF41A0">
        <w:rPr>
          <w:color w:val="000000" w:themeColor="text1"/>
          <w:sz w:val="20"/>
          <w:szCs w:val="20"/>
        </w:rPr>
        <w:t xml:space="preserve"> </w:t>
      </w:r>
      <w:r w:rsidR="000D7692" w:rsidRPr="0037538E">
        <w:rPr>
          <w:color w:val="000000" w:themeColor="text1"/>
          <w:sz w:val="20"/>
          <w:szCs w:val="20"/>
        </w:rPr>
        <w:t>on</w:t>
      </w:r>
      <w:r w:rsidR="00FF41A0">
        <w:rPr>
          <w:color w:val="000000" w:themeColor="text1"/>
          <w:sz w:val="20"/>
          <w:szCs w:val="20"/>
        </w:rPr>
        <w:t xml:space="preserve"> </w:t>
      </w:r>
      <w:r w:rsidR="000D7692" w:rsidRPr="0037538E">
        <w:rPr>
          <w:color w:val="000000" w:themeColor="text1"/>
          <w:sz w:val="20"/>
          <w:szCs w:val="20"/>
        </w:rPr>
        <w:t>agenda</w:t>
      </w:r>
      <w:r w:rsidR="00FF41A0">
        <w:rPr>
          <w:color w:val="000000" w:themeColor="text1"/>
          <w:sz w:val="20"/>
          <w:szCs w:val="20"/>
        </w:rPr>
        <w:t xml:space="preserve"> </w:t>
      </w:r>
      <w:r w:rsidR="000D7692" w:rsidRPr="0037538E">
        <w:rPr>
          <w:color w:val="000000" w:themeColor="text1"/>
          <w:sz w:val="20"/>
          <w:szCs w:val="20"/>
        </w:rPr>
        <w:t>item</w:t>
      </w:r>
      <w:r w:rsidR="00FF41A0">
        <w:rPr>
          <w:color w:val="000000" w:themeColor="text1"/>
          <w:sz w:val="20"/>
          <w:szCs w:val="20"/>
        </w:rPr>
        <w:t xml:space="preserve"> </w:t>
      </w:r>
      <w:r w:rsidR="000D7692" w:rsidRPr="0037538E">
        <w:rPr>
          <w:color w:val="000000" w:themeColor="text1"/>
          <w:sz w:val="20"/>
          <w:szCs w:val="20"/>
        </w:rPr>
        <w:t>6,</w:t>
      </w:r>
      <w:r w:rsidR="00FF41A0">
        <w:rPr>
          <w:color w:val="000000" w:themeColor="text1"/>
          <w:sz w:val="20"/>
          <w:szCs w:val="20"/>
        </w:rPr>
        <w:t xml:space="preserve"> </w:t>
      </w:r>
      <w:r w:rsidR="000D7692" w:rsidRPr="0037538E">
        <w:rPr>
          <w:color w:val="000000" w:themeColor="text1"/>
          <w:sz w:val="20"/>
          <w:szCs w:val="20"/>
        </w:rPr>
        <w:t>during</w:t>
      </w:r>
      <w:r w:rsidR="00FF41A0">
        <w:rPr>
          <w:color w:val="000000" w:themeColor="text1"/>
          <w:sz w:val="20"/>
          <w:szCs w:val="20"/>
        </w:rPr>
        <w:t xml:space="preserve"> </w:t>
      </w:r>
      <w:r w:rsidR="000D7692" w:rsidRPr="0037538E">
        <w:rPr>
          <w:color w:val="000000" w:themeColor="text1"/>
          <w:sz w:val="20"/>
          <w:szCs w:val="20"/>
        </w:rPr>
        <w:t>which</w:t>
      </w:r>
      <w:r w:rsidR="00FF41A0">
        <w:rPr>
          <w:color w:val="000000" w:themeColor="text1"/>
          <w:sz w:val="20"/>
          <w:szCs w:val="20"/>
        </w:rPr>
        <w:t xml:space="preserve"> </w:t>
      </w:r>
      <w:r w:rsidR="000D7692" w:rsidRPr="0037538E">
        <w:rPr>
          <w:color w:val="000000" w:themeColor="text1"/>
          <w:sz w:val="20"/>
          <w:szCs w:val="20"/>
        </w:rPr>
        <w:t>the</w:t>
      </w:r>
      <w:r w:rsidR="00FF41A0">
        <w:rPr>
          <w:color w:val="000000" w:themeColor="text1"/>
          <w:sz w:val="20"/>
          <w:szCs w:val="20"/>
        </w:rPr>
        <w:t xml:space="preserve"> </w:t>
      </w:r>
      <w:r w:rsidR="000D7692" w:rsidRPr="0037538E">
        <w:rPr>
          <w:color w:val="000000" w:themeColor="text1"/>
          <w:sz w:val="20"/>
          <w:szCs w:val="20"/>
        </w:rPr>
        <w:t>following</w:t>
      </w:r>
      <w:r w:rsidR="00FF41A0">
        <w:rPr>
          <w:color w:val="000000" w:themeColor="text1"/>
          <w:sz w:val="20"/>
          <w:szCs w:val="20"/>
        </w:rPr>
        <w:t xml:space="preserve"> </w:t>
      </w:r>
      <w:r w:rsidR="000D7692" w:rsidRPr="0037538E">
        <w:rPr>
          <w:color w:val="000000" w:themeColor="text1"/>
          <w:sz w:val="20"/>
          <w:szCs w:val="20"/>
        </w:rPr>
        <w:t>made</w:t>
      </w:r>
      <w:r w:rsidR="00FF41A0">
        <w:rPr>
          <w:color w:val="000000" w:themeColor="text1"/>
          <w:sz w:val="20"/>
          <w:szCs w:val="20"/>
        </w:rPr>
        <w:t xml:space="preserve"> </w:t>
      </w:r>
      <w:r w:rsidR="000D7692" w:rsidRPr="0037538E">
        <w:rPr>
          <w:color w:val="000000" w:themeColor="text1"/>
          <w:sz w:val="20"/>
          <w:szCs w:val="20"/>
        </w:rPr>
        <w:t>statements:</w:t>
      </w:r>
    </w:p>
    <w:p w14:paraId="6489260B" w14:textId="4DB54720" w:rsidR="000D7692" w:rsidRPr="0037538E" w:rsidRDefault="000D7692" w:rsidP="000D7692">
      <w:pPr>
        <w:pStyle w:val="SingleTxtG"/>
        <w:ind w:firstLine="567"/>
        <w:rPr>
          <w:color w:val="000000" w:themeColor="text1"/>
          <w:sz w:val="20"/>
          <w:szCs w:val="20"/>
        </w:rPr>
      </w:pPr>
      <w:r w:rsidRPr="0037538E">
        <w:rPr>
          <w:color w:val="000000" w:themeColor="text1"/>
          <w:sz w:val="20"/>
          <w:szCs w:val="20"/>
        </w:rPr>
        <w:t>(a)</w:t>
      </w:r>
      <w:r w:rsidRPr="0037538E">
        <w:rPr>
          <w:color w:val="000000" w:themeColor="text1"/>
          <w:sz w:val="20"/>
          <w:szCs w:val="20"/>
        </w:rPr>
        <w:tab/>
        <w:t>Representatives</w:t>
      </w:r>
      <w:r w:rsidR="00FF41A0">
        <w:rPr>
          <w:color w:val="000000" w:themeColor="text1"/>
          <w:sz w:val="20"/>
          <w:szCs w:val="20"/>
        </w:rPr>
        <w:t xml:space="preserve"> </w:t>
      </w:r>
      <w:r w:rsidRPr="0037538E">
        <w:rPr>
          <w:color w:val="000000" w:themeColor="text1"/>
          <w:sz w:val="20"/>
          <w:szCs w:val="20"/>
        </w:rPr>
        <w:t>of</w:t>
      </w:r>
      <w:r w:rsidR="00FF41A0">
        <w:rPr>
          <w:color w:val="000000" w:themeColor="text1"/>
          <w:sz w:val="20"/>
          <w:szCs w:val="20"/>
        </w:rPr>
        <w:t xml:space="preserve"> </w:t>
      </w:r>
      <w:r>
        <w:rPr>
          <w:color w:val="000000" w:themeColor="text1"/>
          <w:sz w:val="20"/>
          <w:szCs w:val="20"/>
        </w:rPr>
        <w:t>States</w:t>
      </w:r>
      <w:r w:rsidR="00FF41A0">
        <w:rPr>
          <w:color w:val="000000" w:themeColor="text1"/>
          <w:sz w:val="20"/>
          <w:szCs w:val="20"/>
        </w:rPr>
        <w:t xml:space="preserve"> </w:t>
      </w:r>
      <w:r>
        <w:rPr>
          <w:color w:val="000000" w:themeColor="text1"/>
          <w:sz w:val="20"/>
          <w:szCs w:val="20"/>
        </w:rPr>
        <w:t>Members</w:t>
      </w:r>
      <w:r w:rsidR="00FF41A0">
        <w:rPr>
          <w:color w:val="000000" w:themeColor="text1"/>
          <w:sz w:val="20"/>
          <w:szCs w:val="20"/>
        </w:rPr>
        <w:t xml:space="preserve"> </w:t>
      </w:r>
      <w:r w:rsidRPr="0037538E">
        <w:rPr>
          <w:color w:val="000000" w:themeColor="text1"/>
          <w:sz w:val="20"/>
          <w:szCs w:val="20"/>
        </w:rPr>
        <w:t>of</w:t>
      </w:r>
      <w:r w:rsidR="00FF41A0">
        <w:rPr>
          <w:color w:val="000000" w:themeColor="text1"/>
          <w:sz w:val="20"/>
          <w:szCs w:val="20"/>
        </w:rPr>
        <w:t xml:space="preserve"> </w:t>
      </w:r>
      <w:r w:rsidRPr="0037538E">
        <w:rPr>
          <w:color w:val="000000" w:themeColor="text1"/>
          <w:sz w:val="20"/>
          <w:szCs w:val="20"/>
        </w:rPr>
        <w:t>the</w:t>
      </w:r>
      <w:r w:rsidR="00FF41A0">
        <w:rPr>
          <w:color w:val="000000" w:themeColor="text1"/>
          <w:sz w:val="20"/>
          <w:szCs w:val="20"/>
        </w:rPr>
        <w:t xml:space="preserve"> </w:t>
      </w:r>
      <w:r w:rsidRPr="0037538E">
        <w:rPr>
          <w:color w:val="000000" w:themeColor="text1"/>
          <w:sz w:val="20"/>
          <w:szCs w:val="20"/>
        </w:rPr>
        <w:t>Human</w:t>
      </w:r>
      <w:r w:rsidR="00FF41A0">
        <w:rPr>
          <w:color w:val="000000" w:themeColor="text1"/>
          <w:sz w:val="20"/>
          <w:szCs w:val="20"/>
        </w:rPr>
        <w:t xml:space="preserve"> </w:t>
      </w:r>
      <w:r w:rsidRPr="0037538E">
        <w:rPr>
          <w:color w:val="000000" w:themeColor="text1"/>
          <w:sz w:val="20"/>
          <w:szCs w:val="20"/>
        </w:rPr>
        <w:t>Rights</w:t>
      </w:r>
      <w:r w:rsidR="00FF41A0">
        <w:rPr>
          <w:color w:val="000000" w:themeColor="text1"/>
          <w:sz w:val="20"/>
          <w:szCs w:val="20"/>
        </w:rPr>
        <w:t xml:space="preserve"> </w:t>
      </w:r>
      <w:r w:rsidRPr="0037538E">
        <w:rPr>
          <w:color w:val="000000" w:themeColor="text1"/>
          <w:sz w:val="20"/>
          <w:szCs w:val="20"/>
        </w:rPr>
        <w:t>Council:</w:t>
      </w:r>
      <w:r w:rsidR="00FF41A0">
        <w:rPr>
          <w:color w:val="000000" w:themeColor="text1"/>
          <w:sz w:val="20"/>
          <w:szCs w:val="20"/>
        </w:rPr>
        <w:t xml:space="preserve"> </w:t>
      </w:r>
      <w:r w:rsidR="00C71E12" w:rsidRPr="00C71E12">
        <w:rPr>
          <w:color w:val="000000" w:themeColor="text1"/>
          <w:sz w:val="20"/>
          <w:szCs w:val="20"/>
        </w:rPr>
        <w:t>Angola</w:t>
      </w:r>
      <w:r w:rsidR="00FF41A0">
        <w:rPr>
          <w:color w:val="000000" w:themeColor="text1"/>
          <w:sz w:val="20"/>
          <w:szCs w:val="20"/>
        </w:rPr>
        <w:t xml:space="preserve"> </w:t>
      </w:r>
      <w:r w:rsidR="00C71E12">
        <w:rPr>
          <w:color w:val="000000" w:themeColor="text1"/>
          <w:sz w:val="20"/>
          <w:szCs w:val="20"/>
        </w:rPr>
        <w:t>(</w:t>
      </w:r>
      <w:r w:rsidR="00C71E12" w:rsidRPr="00C71E12">
        <w:rPr>
          <w:color w:val="000000" w:themeColor="text1"/>
          <w:sz w:val="20"/>
          <w:szCs w:val="20"/>
        </w:rPr>
        <w:t>on</w:t>
      </w:r>
      <w:r w:rsidR="00FF41A0">
        <w:rPr>
          <w:color w:val="000000" w:themeColor="text1"/>
          <w:sz w:val="20"/>
          <w:szCs w:val="20"/>
        </w:rPr>
        <w:t xml:space="preserve"> </w:t>
      </w:r>
      <w:r w:rsidR="00C71E12" w:rsidRPr="00C71E12">
        <w:rPr>
          <w:color w:val="000000" w:themeColor="text1"/>
          <w:sz w:val="20"/>
          <w:szCs w:val="20"/>
        </w:rPr>
        <w:t>behalf</w:t>
      </w:r>
      <w:r w:rsidR="00FF41A0">
        <w:rPr>
          <w:color w:val="000000" w:themeColor="text1"/>
          <w:sz w:val="20"/>
          <w:szCs w:val="20"/>
        </w:rPr>
        <w:t xml:space="preserve"> </w:t>
      </w:r>
      <w:r w:rsidR="00C71E12" w:rsidRPr="00C71E12">
        <w:rPr>
          <w:color w:val="000000" w:themeColor="text1"/>
          <w:sz w:val="20"/>
          <w:szCs w:val="20"/>
        </w:rPr>
        <w:t>of</w:t>
      </w:r>
      <w:r w:rsidR="00FF41A0">
        <w:rPr>
          <w:color w:val="000000" w:themeColor="text1"/>
          <w:sz w:val="20"/>
          <w:szCs w:val="20"/>
        </w:rPr>
        <w:t xml:space="preserve"> </w:t>
      </w:r>
      <w:r w:rsidR="00C71E12" w:rsidRPr="00C71E12">
        <w:rPr>
          <w:color w:val="000000" w:themeColor="text1"/>
          <w:sz w:val="20"/>
          <w:szCs w:val="20"/>
        </w:rPr>
        <w:t>the</w:t>
      </w:r>
      <w:r w:rsidR="00FF41A0">
        <w:rPr>
          <w:color w:val="000000" w:themeColor="text1"/>
          <w:sz w:val="20"/>
          <w:szCs w:val="20"/>
        </w:rPr>
        <w:t xml:space="preserve"> </w:t>
      </w:r>
      <w:r w:rsidR="00C71E12" w:rsidRPr="00C71E12">
        <w:rPr>
          <w:color w:val="000000" w:themeColor="text1"/>
          <w:sz w:val="20"/>
          <w:szCs w:val="20"/>
        </w:rPr>
        <w:t>Group</w:t>
      </w:r>
      <w:r w:rsidR="00FF41A0">
        <w:rPr>
          <w:color w:val="000000" w:themeColor="text1"/>
          <w:sz w:val="20"/>
          <w:szCs w:val="20"/>
        </w:rPr>
        <w:t xml:space="preserve"> </w:t>
      </w:r>
      <w:r w:rsidR="00C71E12">
        <w:rPr>
          <w:color w:val="000000" w:themeColor="text1"/>
          <w:sz w:val="20"/>
          <w:szCs w:val="20"/>
        </w:rPr>
        <w:t>of</w:t>
      </w:r>
      <w:r w:rsidR="00FF41A0">
        <w:rPr>
          <w:color w:val="000000" w:themeColor="text1"/>
          <w:sz w:val="20"/>
          <w:szCs w:val="20"/>
        </w:rPr>
        <w:t xml:space="preserve"> </w:t>
      </w:r>
      <w:r w:rsidR="00C71E12" w:rsidRPr="00C71E12">
        <w:rPr>
          <w:color w:val="000000" w:themeColor="text1"/>
          <w:sz w:val="20"/>
          <w:szCs w:val="20"/>
        </w:rPr>
        <w:t>African</w:t>
      </w:r>
      <w:r w:rsidR="00FF41A0">
        <w:rPr>
          <w:color w:val="000000" w:themeColor="text1"/>
          <w:sz w:val="20"/>
          <w:szCs w:val="20"/>
        </w:rPr>
        <w:t xml:space="preserve"> </w:t>
      </w:r>
      <w:r w:rsidR="00C71E12">
        <w:rPr>
          <w:color w:val="000000" w:themeColor="text1"/>
          <w:sz w:val="20"/>
          <w:szCs w:val="20"/>
        </w:rPr>
        <w:t>States),</w:t>
      </w:r>
      <w:r w:rsidR="00FF41A0">
        <w:rPr>
          <w:color w:val="000000" w:themeColor="text1"/>
          <w:sz w:val="20"/>
          <w:szCs w:val="20"/>
        </w:rPr>
        <w:t xml:space="preserve"> </w:t>
      </w:r>
      <w:r w:rsidR="00C71E12" w:rsidRPr="00C71E12">
        <w:rPr>
          <w:color w:val="000000" w:themeColor="text1"/>
          <w:sz w:val="20"/>
          <w:szCs w:val="20"/>
        </w:rPr>
        <w:t>Argentina</w:t>
      </w:r>
      <w:r w:rsidR="00C71E12">
        <w:rPr>
          <w:color w:val="000000" w:themeColor="text1"/>
          <w:sz w:val="20"/>
          <w:szCs w:val="20"/>
        </w:rPr>
        <w:t>,</w:t>
      </w:r>
      <w:r w:rsidR="00FF41A0">
        <w:rPr>
          <w:color w:val="000000" w:themeColor="text1"/>
          <w:sz w:val="20"/>
          <w:szCs w:val="20"/>
        </w:rPr>
        <w:t xml:space="preserve"> </w:t>
      </w:r>
      <w:r w:rsidR="00C71E12" w:rsidRPr="00C71E12">
        <w:rPr>
          <w:color w:val="000000" w:themeColor="text1"/>
          <w:sz w:val="20"/>
          <w:szCs w:val="20"/>
        </w:rPr>
        <w:t>Bahrain</w:t>
      </w:r>
      <w:r w:rsidR="00FF41A0">
        <w:rPr>
          <w:color w:val="000000" w:themeColor="text1"/>
          <w:sz w:val="20"/>
          <w:szCs w:val="20"/>
        </w:rPr>
        <w:t xml:space="preserve"> </w:t>
      </w:r>
      <w:r w:rsidR="00C71E12">
        <w:rPr>
          <w:color w:val="000000" w:themeColor="text1"/>
          <w:sz w:val="20"/>
          <w:szCs w:val="20"/>
        </w:rPr>
        <w:t>(also</w:t>
      </w:r>
      <w:r w:rsidR="00FF41A0">
        <w:rPr>
          <w:color w:val="000000" w:themeColor="text1"/>
          <w:sz w:val="20"/>
          <w:szCs w:val="20"/>
        </w:rPr>
        <w:t xml:space="preserve"> </w:t>
      </w:r>
      <w:r w:rsidR="00C71E12" w:rsidRPr="00C71E12">
        <w:rPr>
          <w:color w:val="000000" w:themeColor="text1"/>
          <w:sz w:val="20"/>
          <w:szCs w:val="20"/>
        </w:rPr>
        <w:t>on</w:t>
      </w:r>
      <w:r w:rsidR="00FF41A0">
        <w:rPr>
          <w:color w:val="000000" w:themeColor="text1"/>
          <w:sz w:val="20"/>
          <w:szCs w:val="20"/>
        </w:rPr>
        <w:t xml:space="preserve"> </w:t>
      </w:r>
      <w:r w:rsidR="00C71E12" w:rsidRPr="00C71E12">
        <w:rPr>
          <w:color w:val="000000" w:themeColor="text1"/>
          <w:sz w:val="20"/>
          <w:szCs w:val="20"/>
        </w:rPr>
        <w:t>behalf</w:t>
      </w:r>
      <w:r w:rsidR="00FF41A0">
        <w:rPr>
          <w:color w:val="000000" w:themeColor="text1"/>
          <w:sz w:val="20"/>
          <w:szCs w:val="20"/>
        </w:rPr>
        <w:t xml:space="preserve"> </w:t>
      </w:r>
      <w:r w:rsidR="00C71E12" w:rsidRPr="00C71E12">
        <w:rPr>
          <w:color w:val="000000" w:themeColor="text1"/>
          <w:sz w:val="20"/>
          <w:szCs w:val="20"/>
        </w:rPr>
        <w:t>of</w:t>
      </w:r>
      <w:r w:rsidR="00FF41A0">
        <w:rPr>
          <w:color w:val="000000" w:themeColor="text1"/>
          <w:sz w:val="20"/>
          <w:szCs w:val="20"/>
        </w:rPr>
        <w:t xml:space="preserve"> </w:t>
      </w:r>
      <w:r w:rsidR="00C71E12" w:rsidRPr="00C71E12">
        <w:rPr>
          <w:color w:val="000000" w:themeColor="text1"/>
          <w:sz w:val="20"/>
          <w:szCs w:val="20"/>
        </w:rPr>
        <w:t>the</w:t>
      </w:r>
      <w:r w:rsidR="00FF41A0">
        <w:rPr>
          <w:color w:val="000000" w:themeColor="text1"/>
          <w:sz w:val="20"/>
          <w:szCs w:val="20"/>
        </w:rPr>
        <w:t xml:space="preserve"> </w:t>
      </w:r>
      <w:r w:rsidR="00C71E12" w:rsidRPr="00C71E12">
        <w:rPr>
          <w:color w:val="000000" w:themeColor="text1"/>
          <w:sz w:val="20"/>
          <w:szCs w:val="20"/>
        </w:rPr>
        <w:t>Group</w:t>
      </w:r>
      <w:r w:rsidR="00FF41A0">
        <w:rPr>
          <w:color w:val="000000" w:themeColor="text1"/>
          <w:sz w:val="20"/>
          <w:szCs w:val="20"/>
        </w:rPr>
        <w:t xml:space="preserve"> </w:t>
      </w:r>
      <w:r w:rsidR="00C71E12">
        <w:rPr>
          <w:color w:val="000000" w:themeColor="text1"/>
          <w:sz w:val="20"/>
          <w:szCs w:val="20"/>
        </w:rPr>
        <w:t>of</w:t>
      </w:r>
      <w:r w:rsidR="00FF41A0">
        <w:rPr>
          <w:color w:val="000000" w:themeColor="text1"/>
          <w:sz w:val="20"/>
          <w:szCs w:val="20"/>
        </w:rPr>
        <w:t xml:space="preserve"> </w:t>
      </w:r>
      <w:r w:rsidR="00C71E12" w:rsidRPr="00C71E12">
        <w:rPr>
          <w:color w:val="000000" w:themeColor="text1"/>
          <w:sz w:val="20"/>
          <w:szCs w:val="20"/>
        </w:rPr>
        <w:t>Arab</w:t>
      </w:r>
      <w:r w:rsidR="00FF41A0">
        <w:rPr>
          <w:color w:val="000000" w:themeColor="text1"/>
          <w:sz w:val="20"/>
          <w:szCs w:val="20"/>
        </w:rPr>
        <w:t xml:space="preserve"> </w:t>
      </w:r>
      <w:r w:rsidR="00C71E12">
        <w:rPr>
          <w:color w:val="000000" w:themeColor="text1"/>
          <w:sz w:val="20"/>
          <w:szCs w:val="20"/>
        </w:rPr>
        <w:t>States),</w:t>
      </w:r>
      <w:r w:rsidR="00FF41A0">
        <w:rPr>
          <w:color w:val="000000" w:themeColor="text1"/>
          <w:sz w:val="20"/>
          <w:szCs w:val="20"/>
        </w:rPr>
        <w:t xml:space="preserve"> </w:t>
      </w:r>
      <w:r w:rsidR="00C71E12" w:rsidRPr="00C71E12">
        <w:rPr>
          <w:color w:val="000000" w:themeColor="text1"/>
          <w:sz w:val="20"/>
          <w:szCs w:val="20"/>
        </w:rPr>
        <w:t>China</w:t>
      </w:r>
      <w:r w:rsidR="00C71E12">
        <w:rPr>
          <w:color w:val="000000" w:themeColor="text1"/>
          <w:sz w:val="20"/>
          <w:szCs w:val="20"/>
        </w:rPr>
        <w:t>,</w:t>
      </w:r>
      <w:r w:rsidR="00FF41A0">
        <w:rPr>
          <w:color w:val="000000" w:themeColor="text1"/>
          <w:sz w:val="20"/>
          <w:szCs w:val="20"/>
        </w:rPr>
        <w:t xml:space="preserve"> </w:t>
      </w:r>
      <w:r w:rsidR="00C71E12" w:rsidRPr="00C71E12">
        <w:rPr>
          <w:color w:val="000000" w:themeColor="text1"/>
          <w:sz w:val="20"/>
          <w:szCs w:val="20"/>
        </w:rPr>
        <w:t>Cuba</w:t>
      </w:r>
      <w:r w:rsidR="00C71E12">
        <w:rPr>
          <w:color w:val="000000" w:themeColor="text1"/>
          <w:sz w:val="20"/>
          <w:szCs w:val="20"/>
        </w:rPr>
        <w:t>,</w:t>
      </w:r>
      <w:r w:rsidR="00FF41A0">
        <w:rPr>
          <w:color w:val="000000" w:themeColor="text1"/>
          <w:sz w:val="20"/>
          <w:szCs w:val="20"/>
        </w:rPr>
        <w:t xml:space="preserve"> </w:t>
      </w:r>
      <w:r w:rsidR="00C71E12">
        <w:rPr>
          <w:color w:val="000000" w:themeColor="text1"/>
          <w:sz w:val="20"/>
          <w:szCs w:val="20"/>
        </w:rPr>
        <w:t>Cuba</w:t>
      </w:r>
      <w:r w:rsidR="00FF41A0">
        <w:rPr>
          <w:color w:val="000000" w:themeColor="text1"/>
          <w:sz w:val="20"/>
          <w:szCs w:val="20"/>
        </w:rPr>
        <w:t xml:space="preserve"> </w:t>
      </w:r>
      <w:r w:rsidR="00C71E12">
        <w:rPr>
          <w:color w:val="000000" w:themeColor="text1"/>
          <w:sz w:val="20"/>
          <w:szCs w:val="20"/>
        </w:rPr>
        <w:t>(also</w:t>
      </w:r>
      <w:r w:rsidR="00FF41A0">
        <w:rPr>
          <w:color w:val="000000" w:themeColor="text1"/>
          <w:sz w:val="20"/>
          <w:szCs w:val="20"/>
        </w:rPr>
        <w:t xml:space="preserve"> </w:t>
      </w:r>
      <w:r w:rsidR="00C71E12">
        <w:rPr>
          <w:color w:val="000000" w:themeColor="text1"/>
          <w:sz w:val="20"/>
          <w:szCs w:val="20"/>
        </w:rPr>
        <w:t>on</w:t>
      </w:r>
      <w:r w:rsidR="00FF41A0">
        <w:rPr>
          <w:color w:val="000000" w:themeColor="text1"/>
          <w:sz w:val="20"/>
          <w:szCs w:val="20"/>
        </w:rPr>
        <w:t xml:space="preserve"> </w:t>
      </w:r>
      <w:r w:rsidR="00C71E12">
        <w:rPr>
          <w:color w:val="000000" w:themeColor="text1"/>
          <w:sz w:val="20"/>
          <w:szCs w:val="20"/>
        </w:rPr>
        <w:t>behalf</w:t>
      </w:r>
      <w:r w:rsidR="00FF41A0">
        <w:rPr>
          <w:color w:val="000000" w:themeColor="text1"/>
          <w:sz w:val="20"/>
          <w:szCs w:val="20"/>
        </w:rPr>
        <w:t xml:space="preserve"> </w:t>
      </w:r>
      <w:r w:rsidR="00C71E12">
        <w:rPr>
          <w:color w:val="000000" w:themeColor="text1"/>
          <w:sz w:val="20"/>
          <w:szCs w:val="20"/>
        </w:rPr>
        <w:t>of</w:t>
      </w:r>
      <w:r w:rsidR="00FF41A0">
        <w:rPr>
          <w:color w:val="000000" w:themeColor="text1"/>
          <w:sz w:val="20"/>
          <w:szCs w:val="20"/>
        </w:rPr>
        <w:t xml:space="preserve"> </w:t>
      </w:r>
      <w:r w:rsidR="00C71E12">
        <w:rPr>
          <w:color w:val="000000" w:themeColor="text1"/>
          <w:sz w:val="20"/>
          <w:szCs w:val="20"/>
        </w:rPr>
        <w:t>Bolivia</w:t>
      </w:r>
      <w:r w:rsidR="00FF41A0">
        <w:rPr>
          <w:color w:val="000000" w:themeColor="text1"/>
          <w:sz w:val="20"/>
          <w:szCs w:val="20"/>
        </w:rPr>
        <w:t xml:space="preserve"> </w:t>
      </w:r>
      <w:r w:rsidR="00C71E12">
        <w:rPr>
          <w:color w:val="000000" w:themeColor="text1"/>
          <w:sz w:val="20"/>
          <w:szCs w:val="20"/>
        </w:rPr>
        <w:t>(Plurinational</w:t>
      </w:r>
      <w:r w:rsidR="00FF41A0">
        <w:rPr>
          <w:color w:val="000000" w:themeColor="text1"/>
          <w:sz w:val="20"/>
          <w:szCs w:val="20"/>
        </w:rPr>
        <w:t xml:space="preserve"> </w:t>
      </w:r>
      <w:r w:rsidR="00C71E12">
        <w:rPr>
          <w:color w:val="000000" w:themeColor="text1"/>
          <w:sz w:val="20"/>
          <w:szCs w:val="20"/>
        </w:rPr>
        <w:t>State</w:t>
      </w:r>
      <w:r w:rsidR="00FF41A0">
        <w:rPr>
          <w:color w:val="000000" w:themeColor="text1"/>
          <w:sz w:val="20"/>
          <w:szCs w:val="20"/>
        </w:rPr>
        <w:t xml:space="preserve"> </w:t>
      </w:r>
      <w:r w:rsidR="00C71E12">
        <w:rPr>
          <w:color w:val="000000" w:themeColor="text1"/>
          <w:sz w:val="20"/>
          <w:szCs w:val="20"/>
        </w:rPr>
        <w:t>of),</w:t>
      </w:r>
      <w:r w:rsidR="00FF41A0">
        <w:rPr>
          <w:color w:val="000000" w:themeColor="text1"/>
          <w:sz w:val="20"/>
          <w:szCs w:val="20"/>
        </w:rPr>
        <w:t xml:space="preserve"> </w:t>
      </w:r>
      <w:r w:rsidR="00C71E12">
        <w:rPr>
          <w:color w:val="000000" w:themeColor="text1"/>
          <w:sz w:val="20"/>
          <w:szCs w:val="20"/>
        </w:rPr>
        <w:t>Nicaragua</w:t>
      </w:r>
      <w:r w:rsidR="00FF41A0">
        <w:rPr>
          <w:color w:val="000000" w:themeColor="text1"/>
          <w:sz w:val="20"/>
          <w:szCs w:val="20"/>
        </w:rPr>
        <w:t xml:space="preserve"> </w:t>
      </w:r>
      <w:r w:rsidR="00C71E12">
        <w:rPr>
          <w:color w:val="000000" w:themeColor="text1"/>
          <w:sz w:val="20"/>
          <w:szCs w:val="20"/>
        </w:rPr>
        <w:t>and</w:t>
      </w:r>
      <w:r w:rsidR="00FF41A0">
        <w:rPr>
          <w:color w:val="000000" w:themeColor="text1"/>
          <w:sz w:val="20"/>
          <w:szCs w:val="20"/>
        </w:rPr>
        <w:t xml:space="preserve"> </w:t>
      </w:r>
      <w:r w:rsidR="00C71E12">
        <w:rPr>
          <w:color w:val="000000" w:themeColor="text1"/>
          <w:sz w:val="20"/>
          <w:szCs w:val="20"/>
        </w:rPr>
        <w:t>Venezuela</w:t>
      </w:r>
      <w:r w:rsidR="00FF41A0">
        <w:rPr>
          <w:color w:val="000000" w:themeColor="text1"/>
          <w:sz w:val="20"/>
          <w:szCs w:val="20"/>
        </w:rPr>
        <w:t xml:space="preserve"> </w:t>
      </w:r>
      <w:r w:rsidR="00C71E12" w:rsidRPr="00382E1E">
        <w:rPr>
          <w:color w:val="000000" w:themeColor="text1"/>
          <w:sz w:val="20"/>
          <w:szCs w:val="20"/>
        </w:rPr>
        <w:t>(Bolivarian</w:t>
      </w:r>
      <w:r w:rsidR="00FF41A0">
        <w:rPr>
          <w:color w:val="000000" w:themeColor="text1"/>
          <w:sz w:val="20"/>
          <w:szCs w:val="20"/>
        </w:rPr>
        <w:t xml:space="preserve"> </w:t>
      </w:r>
      <w:r w:rsidR="00C71E12" w:rsidRPr="00382E1E">
        <w:rPr>
          <w:color w:val="000000" w:themeColor="text1"/>
          <w:sz w:val="20"/>
          <w:szCs w:val="20"/>
        </w:rPr>
        <w:t>Republic</w:t>
      </w:r>
      <w:r w:rsidR="00FF41A0">
        <w:rPr>
          <w:color w:val="000000" w:themeColor="text1"/>
          <w:sz w:val="20"/>
          <w:szCs w:val="20"/>
        </w:rPr>
        <w:t xml:space="preserve"> </w:t>
      </w:r>
      <w:r w:rsidR="00C71E12" w:rsidRPr="00382E1E">
        <w:rPr>
          <w:color w:val="000000" w:themeColor="text1"/>
          <w:sz w:val="20"/>
          <w:szCs w:val="20"/>
        </w:rPr>
        <w:t>of)</w:t>
      </w:r>
      <w:r w:rsidR="00C71E12">
        <w:rPr>
          <w:color w:val="000000" w:themeColor="text1"/>
          <w:sz w:val="20"/>
          <w:szCs w:val="20"/>
        </w:rPr>
        <w:t>),</w:t>
      </w:r>
      <w:r w:rsidR="00FF41A0">
        <w:rPr>
          <w:color w:val="000000" w:themeColor="text1"/>
          <w:sz w:val="20"/>
          <w:szCs w:val="20"/>
        </w:rPr>
        <w:t xml:space="preserve"> </w:t>
      </w:r>
      <w:r w:rsidR="00C71E12" w:rsidRPr="00C71E12">
        <w:rPr>
          <w:color w:val="000000" w:themeColor="text1"/>
          <w:sz w:val="20"/>
          <w:szCs w:val="20"/>
        </w:rPr>
        <w:t>Czech</w:t>
      </w:r>
      <w:r w:rsidR="00C71E12">
        <w:rPr>
          <w:color w:val="000000" w:themeColor="text1"/>
          <w:sz w:val="20"/>
          <w:szCs w:val="20"/>
        </w:rPr>
        <w:t>ia,</w:t>
      </w:r>
      <w:r w:rsidR="00FF41A0">
        <w:rPr>
          <w:color w:val="000000" w:themeColor="text1"/>
          <w:sz w:val="20"/>
          <w:szCs w:val="20"/>
        </w:rPr>
        <w:t xml:space="preserve"> </w:t>
      </w:r>
      <w:r w:rsidR="00C71E12" w:rsidRPr="00C71E12">
        <w:rPr>
          <w:color w:val="000000" w:themeColor="text1"/>
          <w:sz w:val="20"/>
          <w:szCs w:val="20"/>
        </w:rPr>
        <w:t>India</w:t>
      </w:r>
      <w:r w:rsidR="00C71E12">
        <w:rPr>
          <w:color w:val="000000" w:themeColor="text1"/>
          <w:sz w:val="20"/>
          <w:szCs w:val="20"/>
        </w:rPr>
        <w:t>,</w:t>
      </w:r>
      <w:r w:rsidR="00FF41A0">
        <w:rPr>
          <w:color w:val="000000" w:themeColor="text1"/>
          <w:sz w:val="20"/>
          <w:szCs w:val="20"/>
        </w:rPr>
        <w:t xml:space="preserve"> </w:t>
      </w:r>
      <w:r w:rsidR="00C71E12" w:rsidRPr="00C71E12">
        <w:rPr>
          <w:color w:val="000000" w:themeColor="text1"/>
          <w:sz w:val="20"/>
          <w:szCs w:val="20"/>
        </w:rPr>
        <w:t>Iraq</w:t>
      </w:r>
      <w:r w:rsidR="00C71E12">
        <w:rPr>
          <w:color w:val="000000" w:themeColor="text1"/>
          <w:sz w:val="20"/>
          <w:szCs w:val="20"/>
        </w:rPr>
        <w:t>,</w:t>
      </w:r>
      <w:r w:rsidR="00FF41A0">
        <w:rPr>
          <w:color w:val="000000" w:themeColor="text1"/>
          <w:sz w:val="20"/>
          <w:szCs w:val="20"/>
        </w:rPr>
        <w:t xml:space="preserve"> </w:t>
      </w:r>
      <w:r w:rsidR="00C71E12" w:rsidRPr="00E563B9">
        <w:rPr>
          <w:color w:val="000000" w:themeColor="text1"/>
          <w:sz w:val="20"/>
          <w:szCs w:val="20"/>
        </w:rPr>
        <w:t>Marshall</w:t>
      </w:r>
      <w:r w:rsidR="00FF41A0">
        <w:rPr>
          <w:color w:val="000000" w:themeColor="text1"/>
          <w:sz w:val="20"/>
          <w:szCs w:val="20"/>
        </w:rPr>
        <w:t xml:space="preserve"> </w:t>
      </w:r>
      <w:r w:rsidR="00C71E12" w:rsidRPr="00E563B9">
        <w:rPr>
          <w:color w:val="000000" w:themeColor="text1"/>
          <w:sz w:val="20"/>
          <w:szCs w:val="20"/>
        </w:rPr>
        <w:t>Islands</w:t>
      </w:r>
      <w:r w:rsidR="000943B0">
        <w:rPr>
          <w:rStyle w:val="FootnoteReference"/>
          <w:color w:val="000000" w:themeColor="text1"/>
          <w:szCs w:val="20"/>
        </w:rPr>
        <w:footnoteReference w:id="62"/>
      </w:r>
      <w:r w:rsidR="00FF41A0">
        <w:rPr>
          <w:color w:val="000000" w:themeColor="text1"/>
          <w:sz w:val="20"/>
          <w:szCs w:val="20"/>
        </w:rPr>
        <w:t xml:space="preserve"> </w:t>
      </w:r>
      <w:r w:rsidR="00C71E12">
        <w:rPr>
          <w:color w:val="000000" w:themeColor="text1"/>
          <w:sz w:val="20"/>
          <w:szCs w:val="20"/>
        </w:rPr>
        <w:t>(also</w:t>
      </w:r>
      <w:r w:rsidR="00FF41A0">
        <w:rPr>
          <w:color w:val="000000" w:themeColor="text1"/>
          <w:sz w:val="20"/>
          <w:szCs w:val="20"/>
        </w:rPr>
        <w:t xml:space="preserve"> </w:t>
      </w:r>
      <w:r w:rsidR="00C71E12">
        <w:rPr>
          <w:color w:val="000000" w:themeColor="text1"/>
          <w:sz w:val="20"/>
          <w:szCs w:val="20"/>
        </w:rPr>
        <w:t>on</w:t>
      </w:r>
      <w:r w:rsidR="00FF41A0">
        <w:rPr>
          <w:color w:val="000000" w:themeColor="text1"/>
          <w:sz w:val="20"/>
          <w:szCs w:val="20"/>
        </w:rPr>
        <w:t xml:space="preserve"> </w:t>
      </w:r>
      <w:r w:rsidR="00C71E12">
        <w:rPr>
          <w:color w:val="000000" w:themeColor="text1"/>
          <w:sz w:val="20"/>
          <w:szCs w:val="20"/>
        </w:rPr>
        <w:t>behalf</w:t>
      </w:r>
      <w:r w:rsidR="00FF41A0">
        <w:rPr>
          <w:color w:val="000000" w:themeColor="text1"/>
          <w:sz w:val="20"/>
          <w:szCs w:val="20"/>
        </w:rPr>
        <w:t xml:space="preserve"> </w:t>
      </w:r>
      <w:r w:rsidR="00C71E12">
        <w:rPr>
          <w:color w:val="000000" w:themeColor="text1"/>
          <w:sz w:val="20"/>
          <w:szCs w:val="20"/>
        </w:rPr>
        <w:t>of</w:t>
      </w:r>
      <w:r w:rsidR="00FF41A0">
        <w:rPr>
          <w:color w:val="000000" w:themeColor="text1"/>
          <w:sz w:val="20"/>
          <w:szCs w:val="20"/>
        </w:rPr>
        <w:t xml:space="preserve"> </w:t>
      </w:r>
      <w:r w:rsidR="00C71E12">
        <w:rPr>
          <w:color w:val="000000" w:themeColor="text1"/>
          <w:sz w:val="20"/>
          <w:szCs w:val="20"/>
        </w:rPr>
        <w:t>Bangladesh,</w:t>
      </w:r>
      <w:r w:rsidR="00FF41A0">
        <w:rPr>
          <w:color w:val="000000" w:themeColor="text1"/>
          <w:sz w:val="20"/>
          <w:szCs w:val="20"/>
        </w:rPr>
        <w:t xml:space="preserve"> </w:t>
      </w:r>
      <w:r w:rsidR="00C71E12">
        <w:rPr>
          <w:color w:val="000000" w:themeColor="text1"/>
          <w:sz w:val="20"/>
          <w:szCs w:val="20"/>
        </w:rPr>
        <w:t>Lesotho,</w:t>
      </w:r>
      <w:r w:rsidR="00FF41A0">
        <w:rPr>
          <w:color w:val="000000" w:themeColor="text1"/>
          <w:sz w:val="20"/>
          <w:szCs w:val="20"/>
        </w:rPr>
        <w:t xml:space="preserve"> </w:t>
      </w:r>
      <w:r w:rsidR="00C71E12">
        <w:rPr>
          <w:color w:val="000000" w:themeColor="text1"/>
          <w:sz w:val="20"/>
          <w:szCs w:val="20"/>
        </w:rPr>
        <w:t>Myanmar,</w:t>
      </w:r>
      <w:r w:rsidR="00FF41A0">
        <w:rPr>
          <w:color w:val="000000" w:themeColor="text1"/>
          <w:sz w:val="20"/>
          <w:szCs w:val="20"/>
        </w:rPr>
        <w:t xml:space="preserve"> </w:t>
      </w:r>
      <w:r w:rsidR="00C71E12">
        <w:rPr>
          <w:color w:val="000000" w:themeColor="text1"/>
          <w:sz w:val="20"/>
          <w:szCs w:val="20"/>
        </w:rPr>
        <w:t>Samoa,</w:t>
      </w:r>
      <w:r w:rsidR="00FF41A0">
        <w:rPr>
          <w:color w:val="000000" w:themeColor="text1"/>
          <w:sz w:val="20"/>
          <w:szCs w:val="20"/>
        </w:rPr>
        <w:t xml:space="preserve"> </w:t>
      </w:r>
      <w:r w:rsidR="00C71E12">
        <w:rPr>
          <w:color w:val="000000" w:themeColor="text1"/>
          <w:sz w:val="20"/>
          <w:szCs w:val="20"/>
        </w:rPr>
        <w:t>Timor-Leste</w:t>
      </w:r>
      <w:r w:rsidR="00FF41A0">
        <w:rPr>
          <w:color w:val="000000" w:themeColor="text1"/>
          <w:sz w:val="20"/>
          <w:szCs w:val="20"/>
        </w:rPr>
        <w:t xml:space="preserve"> </w:t>
      </w:r>
      <w:r w:rsidR="00C71E12">
        <w:rPr>
          <w:color w:val="000000" w:themeColor="text1"/>
          <w:sz w:val="20"/>
          <w:szCs w:val="20"/>
        </w:rPr>
        <w:t>and</w:t>
      </w:r>
      <w:r w:rsidR="00FF41A0">
        <w:rPr>
          <w:color w:val="000000" w:themeColor="text1"/>
          <w:sz w:val="20"/>
          <w:szCs w:val="20"/>
        </w:rPr>
        <w:t xml:space="preserve"> </w:t>
      </w:r>
      <w:r w:rsidR="00C71E12">
        <w:rPr>
          <w:color w:val="000000" w:themeColor="text1"/>
          <w:sz w:val="20"/>
          <w:szCs w:val="20"/>
        </w:rPr>
        <w:t>Trinidad</w:t>
      </w:r>
      <w:r w:rsidR="00FF41A0">
        <w:rPr>
          <w:color w:val="000000" w:themeColor="text1"/>
          <w:sz w:val="20"/>
          <w:szCs w:val="20"/>
        </w:rPr>
        <w:t xml:space="preserve"> </w:t>
      </w:r>
      <w:r w:rsidR="00C71E12">
        <w:rPr>
          <w:color w:val="000000" w:themeColor="text1"/>
          <w:sz w:val="20"/>
          <w:szCs w:val="20"/>
        </w:rPr>
        <w:t>and</w:t>
      </w:r>
      <w:r w:rsidR="00FF41A0">
        <w:rPr>
          <w:color w:val="000000" w:themeColor="text1"/>
          <w:sz w:val="20"/>
          <w:szCs w:val="20"/>
        </w:rPr>
        <w:t xml:space="preserve"> </w:t>
      </w:r>
      <w:r w:rsidR="00C71E12">
        <w:rPr>
          <w:color w:val="000000" w:themeColor="text1"/>
          <w:sz w:val="20"/>
          <w:szCs w:val="20"/>
        </w:rPr>
        <w:t>Tobago),</w:t>
      </w:r>
      <w:r w:rsidR="00FF41A0">
        <w:rPr>
          <w:color w:val="000000" w:themeColor="text1"/>
          <w:sz w:val="20"/>
          <w:szCs w:val="20"/>
        </w:rPr>
        <w:t xml:space="preserve"> </w:t>
      </w:r>
      <w:r w:rsidR="00C71E12" w:rsidRPr="00C71E12">
        <w:rPr>
          <w:color w:val="000000" w:themeColor="text1"/>
          <w:sz w:val="20"/>
          <w:szCs w:val="20"/>
        </w:rPr>
        <w:t>Pakistan</w:t>
      </w:r>
      <w:r w:rsidR="00FF41A0">
        <w:rPr>
          <w:color w:val="000000" w:themeColor="text1"/>
          <w:sz w:val="20"/>
          <w:szCs w:val="20"/>
        </w:rPr>
        <w:t xml:space="preserve"> </w:t>
      </w:r>
      <w:r w:rsidR="00C71E12">
        <w:rPr>
          <w:color w:val="000000" w:themeColor="text1"/>
          <w:sz w:val="20"/>
          <w:szCs w:val="20"/>
        </w:rPr>
        <w:t>(</w:t>
      </w:r>
      <w:r w:rsidR="00C71E12" w:rsidRPr="0037538E">
        <w:rPr>
          <w:color w:val="000000" w:themeColor="text1"/>
          <w:sz w:val="20"/>
          <w:szCs w:val="20"/>
        </w:rPr>
        <w:t>on</w:t>
      </w:r>
      <w:r w:rsidR="00FF41A0">
        <w:rPr>
          <w:color w:val="000000" w:themeColor="text1"/>
          <w:sz w:val="20"/>
          <w:szCs w:val="20"/>
        </w:rPr>
        <w:t xml:space="preserve"> </w:t>
      </w:r>
      <w:r w:rsidR="00C71E12" w:rsidRPr="0037538E">
        <w:rPr>
          <w:color w:val="000000" w:themeColor="text1"/>
          <w:sz w:val="20"/>
          <w:szCs w:val="20"/>
        </w:rPr>
        <w:t>behalf</w:t>
      </w:r>
      <w:r w:rsidR="00FF41A0">
        <w:rPr>
          <w:color w:val="000000" w:themeColor="text1"/>
          <w:sz w:val="20"/>
          <w:szCs w:val="20"/>
        </w:rPr>
        <w:t xml:space="preserve"> </w:t>
      </w:r>
      <w:r w:rsidR="00C71E12" w:rsidRPr="0037538E">
        <w:rPr>
          <w:color w:val="000000" w:themeColor="text1"/>
          <w:sz w:val="20"/>
          <w:szCs w:val="20"/>
        </w:rPr>
        <w:t>of</w:t>
      </w:r>
      <w:r w:rsidR="00FF41A0">
        <w:rPr>
          <w:color w:val="000000" w:themeColor="text1"/>
          <w:sz w:val="20"/>
          <w:szCs w:val="20"/>
        </w:rPr>
        <w:t xml:space="preserve"> </w:t>
      </w:r>
      <w:r w:rsidR="00C71E12" w:rsidRPr="0037538E">
        <w:rPr>
          <w:color w:val="000000" w:themeColor="text1"/>
          <w:sz w:val="20"/>
          <w:szCs w:val="20"/>
        </w:rPr>
        <w:t>the</w:t>
      </w:r>
      <w:r w:rsidR="00FF41A0">
        <w:rPr>
          <w:color w:val="000000" w:themeColor="text1"/>
          <w:sz w:val="20"/>
          <w:szCs w:val="20"/>
        </w:rPr>
        <w:t xml:space="preserve"> </w:t>
      </w:r>
      <w:r w:rsidR="00C71E12" w:rsidRPr="0037538E">
        <w:rPr>
          <w:color w:val="000000" w:themeColor="text1"/>
          <w:sz w:val="20"/>
          <w:szCs w:val="20"/>
        </w:rPr>
        <w:t>Organization</w:t>
      </w:r>
      <w:r w:rsidR="00FF41A0">
        <w:rPr>
          <w:color w:val="000000" w:themeColor="text1"/>
          <w:sz w:val="20"/>
          <w:szCs w:val="20"/>
        </w:rPr>
        <w:t xml:space="preserve"> </w:t>
      </w:r>
      <w:r w:rsidR="00C71E12" w:rsidRPr="0037538E">
        <w:rPr>
          <w:color w:val="000000" w:themeColor="text1"/>
          <w:sz w:val="20"/>
          <w:szCs w:val="20"/>
        </w:rPr>
        <w:t>of</w:t>
      </w:r>
      <w:r w:rsidR="00FF41A0">
        <w:rPr>
          <w:color w:val="000000" w:themeColor="text1"/>
          <w:sz w:val="20"/>
          <w:szCs w:val="20"/>
        </w:rPr>
        <w:t xml:space="preserve"> </w:t>
      </w:r>
      <w:r w:rsidR="00C71E12" w:rsidRPr="0037538E">
        <w:rPr>
          <w:color w:val="000000" w:themeColor="text1"/>
          <w:sz w:val="20"/>
          <w:szCs w:val="20"/>
        </w:rPr>
        <w:t>Islamic</w:t>
      </w:r>
      <w:r w:rsidR="00FF41A0">
        <w:rPr>
          <w:color w:val="000000" w:themeColor="text1"/>
          <w:sz w:val="20"/>
          <w:szCs w:val="20"/>
        </w:rPr>
        <w:t xml:space="preserve"> </w:t>
      </w:r>
      <w:r w:rsidR="00C71E12" w:rsidRPr="0037538E">
        <w:rPr>
          <w:color w:val="000000" w:themeColor="text1"/>
          <w:sz w:val="20"/>
          <w:szCs w:val="20"/>
        </w:rPr>
        <w:t>Cooperation</w:t>
      </w:r>
      <w:r w:rsidR="00C71E12">
        <w:rPr>
          <w:color w:val="000000" w:themeColor="text1"/>
          <w:sz w:val="20"/>
          <w:szCs w:val="20"/>
        </w:rPr>
        <w:t>),</w:t>
      </w:r>
      <w:r w:rsidR="00FF41A0">
        <w:rPr>
          <w:color w:val="000000" w:themeColor="text1"/>
          <w:sz w:val="20"/>
          <w:szCs w:val="20"/>
        </w:rPr>
        <w:t xml:space="preserve"> </w:t>
      </w:r>
      <w:r w:rsidR="00C71E12" w:rsidRPr="00C71E12">
        <w:rPr>
          <w:color w:val="000000" w:themeColor="text1"/>
          <w:sz w:val="20"/>
          <w:szCs w:val="20"/>
        </w:rPr>
        <w:t>Romania</w:t>
      </w:r>
      <w:r w:rsidR="000943B0">
        <w:rPr>
          <w:rStyle w:val="FootnoteReference"/>
          <w:color w:val="000000" w:themeColor="text1"/>
          <w:szCs w:val="20"/>
        </w:rPr>
        <w:footnoteReference w:id="63"/>
      </w:r>
      <w:r w:rsidR="00FF41A0">
        <w:rPr>
          <w:color w:val="000000" w:themeColor="text1"/>
          <w:sz w:val="20"/>
          <w:szCs w:val="20"/>
        </w:rPr>
        <w:t xml:space="preserve"> </w:t>
      </w:r>
      <w:r w:rsidR="00C71E12">
        <w:rPr>
          <w:color w:val="000000" w:themeColor="text1"/>
          <w:sz w:val="20"/>
          <w:szCs w:val="20"/>
        </w:rPr>
        <w:t>(</w:t>
      </w:r>
      <w:r w:rsidR="00C71E12" w:rsidRPr="00C71E12">
        <w:rPr>
          <w:color w:val="000000" w:themeColor="text1"/>
          <w:sz w:val="20"/>
          <w:szCs w:val="20"/>
        </w:rPr>
        <w:t>on</w:t>
      </w:r>
      <w:r w:rsidR="00FF41A0">
        <w:rPr>
          <w:color w:val="000000" w:themeColor="text1"/>
          <w:sz w:val="20"/>
          <w:szCs w:val="20"/>
        </w:rPr>
        <w:t xml:space="preserve"> </w:t>
      </w:r>
      <w:r w:rsidR="00C71E12" w:rsidRPr="00C71E12">
        <w:rPr>
          <w:color w:val="000000" w:themeColor="text1"/>
          <w:sz w:val="20"/>
          <w:szCs w:val="20"/>
        </w:rPr>
        <w:t>behalf</w:t>
      </w:r>
      <w:r w:rsidR="00FF41A0">
        <w:rPr>
          <w:color w:val="000000" w:themeColor="text1"/>
          <w:sz w:val="20"/>
          <w:szCs w:val="20"/>
        </w:rPr>
        <w:t xml:space="preserve"> </w:t>
      </w:r>
      <w:r w:rsidR="00C71E12" w:rsidRPr="00C71E12">
        <w:rPr>
          <w:color w:val="000000" w:themeColor="text1"/>
          <w:sz w:val="20"/>
          <w:szCs w:val="20"/>
        </w:rPr>
        <w:t>of</w:t>
      </w:r>
      <w:r w:rsidR="00FF41A0">
        <w:rPr>
          <w:color w:val="000000" w:themeColor="text1"/>
          <w:sz w:val="20"/>
          <w:szCs w:val="20"/>
        </w:rPr>
        <w:t xml:space="preserve"> </w:t>
      </w:r>
      <w:r w:rsidR="00C71E12" w:rsidRPr="00C71E12">
        <w:rPr>
          <w:color w:val="000000" w:themeColor="text1"/>
          <w:sz w:val="20"/>
          <w:szCs w:val="20"/>
        </w:rPr>
        <w:t>the</w:t>
      </w:r>
      <w:r w:rsidR="00FF41A0">
        <w:rPr>
          <w:color w:val="000000" w:themeColor="text1"/>
          <w:sz w:val="20"/>
          <w:szCs w:val="20"/>
        </w:rPr>
        <w:t xml:space="preserve"> </w:t>
      </w:r>
      <w:r w:rsidR="00C71E12" w:rsidRPr="00C71E12">
        <w:rPr>
          <w:color w:val="000000" w:themeColor="text1"/>
          <w:sz w:val="20"/>
          <w:szCs w:val="20"/>
        </w:rPr>
        <w:lastRenderedPageBreak/>
        <w:t>European</w:t>
      </w:r>
      <w:r w:rsidR="00FF41A0">
        <w:rPr>
          <w:color w:val="000000" w:themeColor="text1"/>
          <w:sz w:val="20"/>
          <w:szCs w:val="20"/>
        </w:rPr>
        <w:t xml:space="preserve"> </w:t>
      </w:r>
      <w:r w:rsidR="00C71E12" w:rsidRPr="00C71E12">
        <w:rPr>
          <w:color w:val="000000" w:themeColor="text1"/>
          <w:sz w:val="20"/>
          <w:szCs w:val="20"/>
        </w:rPr>
        <w:t>Union</w:t>
      </w:r>
      <w:r w:rsidR="00C71E12">
        <w:rPr>
          <w:color w:val="000000" w:themeColor="text1"/>
          <w:sz w:val="20"/>
          <w:szCs w:val="20"/>
        </w:rPr>
        <w:t>),</w:t>
      </w:r>
      <w:r w:rsidR="00FF41A0">
        <w:rPr>
          <w:color w:val="000000" w:themeColor="text1"/>
          <w:sz w:val="20"/>
          <w:szCs w:val="20"/>
        </w:rPr>
        <w:t xml:space="preserve"> </w:t>
      </w:r>
      <w:r w:rsidR="00C71E12" w:rsidRPr="00C71E12">
        <w:rPr>
          <w:color w:val="000000" w:themeColor="text1"/>
          <w:sz w:val="20"/>
          <w:szCs w:val="20"/>
        </w:rPr>
        <w:t>Tunisia</w:t>
      </w:r>
      <w:r w:rsidR="00C71E12">
        <w:rPr>
          <w:color w:val="000000" w:themeColor="text1"/>
          <w:sz w:val="20"/>
          <w:szCs w:val="20"/>
        </w:rPr>
        <w:t>,</w:t>
      </w:r>
      <w:r w:rsidR="00FF41A0">
        <w:rPr>
          <w:color w:val="000000" w:themeColor="text1"/>
          <w:sz w:val="20"/>
          <w:szCs w:val="20"/>
        </w:rPr>
        <w:t xml:space="preserve"> </w:t>
      </w:r>
      <w:r w:rsidR="00C71E12" w:rsidRPr="00C71E12">
        <w:rPr>
          <w:color w:val="000000" w:themeColor="text1"/>
          <w:sz w:val="20"/>
          <w:szCs w:val="20"/>
        </w:rPr>
        <w:t>Venezuela</w:t>
      </w:r>
      <w:r w:rsidR="00FF41A0">
        <w:rPr>
          <w:color w:val="000000" w:themeColor="text1"/>
          <w:sz w:val="20"/>
          <w:szCs w:val="20"/>
        </w:rPr>
        <w:t xml:space="preserve"> </w:t>
      </w:r>
      <w:r w:rsidR="00C71E12" w:rsidRPr="00C71E12">
        <w:rPr>
          <w:color w:val="000000" w:themeColor="text1"/>
          <w:sz w:val="20"/>
          <w:szCs w:val="20"/>
        </w:rPr>
        <w:t>(Bolivarian</w:t>
      </w:r>
      <w:r w:rsidR="00FF41A0">
        <w:rPr>
          <w:color w:val="000000" w:themeColor="text1"/>
          <w:sz w:val="20"/>
          <w:szCs w:val="20"/>
        </w:rPr>
        <w:t xml:space="preserve"> </w:t>
      </w:r>
      <w:r w:rsidR="00C71E12" w:rsidRPr="00C71E12">
        <w:rPr>
          <w:color w:val="000000" w:themeColor="text1"/>
          <w:sz w:val="20"/>
          <w:szCs w:val="20"/>
        </w:rPr>
        <w:t>Republic</w:t>
      </w:r>
      <w:r w:rsidR="00FF41A0">
        <w:rPr>
          <w:color w:val="000000" w:themeColor="text1"/>
          <w:sz w:val="20"/>
          <w:szCs w:val="20"/>
        </w:rPr>
        <w:t xml:space="preserve"> </w:t>
      </w:r>
      <w:r w:rsidR="00C71E12" w:rsidRPr="00C71E12">
        <w:rPr>
          <w:color w:val="000000" w:themeColor="text1"/>
          <w:sz w:val="20"/>
          <w:szCs w:val="20"/>
        </w:rPr>
        <w:t>of)</w:t>
      </w:r>
      <w:r w:rsidR="00FF41A0">
        <w:rPr>
          <w:color w:val="000000" w:themeColor="text1"/>
          <w:sz w:val="20"/>
          <w:szCs w:val="20"/>
        </w:rPr>
        <w:t xml:space="preserve"> </w:t>
      </w:r>
      <w:r w:rsidR="00C71E12" w:rsidRPr="0067399B">
        <w:rPr>
          <w:color w:val="000000" w:themeColor="text1"/>
          <w:sz w:val="20"/>
          <w:szCs w:val="20"/>
        </w:rPr>
        <w:t>(on</w:t>
      </w:r>
      <w:r w:rsidR="00FF41A0">
        <w:rPr>
          <w:color w:val="000000" w:themeColor="text1"/>
          <w:sz w:val="20"/>
          <w:szCs w:val="20"/>
        </w:rPr>
        <w:t xml:space="preserve"> </w:t>
      </w:r>
      <w:r w:rsidR="00C71E12" w:rsidRPr="0067399B">
        <w:rPr>
          <w:color w:val="000000" w:themeColor="text1"/>
          <w:sz w:val="20"/>
          <w:szCs w:val="20"/>
        </w:rPr>
        <w:t>behalf</w:t>
      </w:r>
      <w:r w:rsidR="00FF41A0">
        <w:rPr>
          <w:color w:val="000000" w:themeColor="text1"/>
          <w:sz w:val="20"/>
          <w:szCs w:val="20"/>
        </w:rPr>
        <w:t xml:space="preserve"> </w:t>
      </w:r>
      <w:r w:rsidR="00C71E12" w:rsidRPr="0067399B">
        <w:rPr>
          <w:color w:val="000000" w:themeColor="text1"/>
          <w:sz w:val="20"/>
          <w:szCs w:val="20"/>
        </w:rPr>
        <w:t>of</w:t>
      </w:r>
      <w:r w:rsidR="00FF41A0">
        <w:rPr>
          <w:color w:val="000000" w:themeColor="text1"/>
          <w:sz w:val="20"/>
          <w:szCs w:val="20"/>
        </w:rPr>
        <w:t xml:space="preserve"> </w:t>
      </w:r>
      <w:r w:rsidR="00C71E12" w:rsidRPr="0067399B">
        <w:rPr>
          <w:color w:val="000000" w:themeColor="text1"/>
          <w:sz w:val="20"/>
          <w:szCs w:val="20"/>
        </w:rPr>
        <w:t>the</w:t>
      </w:r>
      <w:r w:rsidR="00FF41A0">
        <w:rPr>
          <w:color w:val="000000" w:themeColor="text1"/>
          <w:sz w:val="20"/>
          <w:szCs w:val="20"/>
        </w:rPr>
        <w:t xml:space="preserve"> </w:t>
      </w:r>
      <w:r w:rsidR="00C71E12" w:rsidRPr="0040040E">
        <w:rPr>
          <w:color w:val="000000" w:themeColor="text1"/>
          <w:sz w:val="20"/>
          <w:szCs w:val="20"/>
        </w:rPr>
        <w:t>Movement</w:t>
      </w:r>
      <w:r w:rsidR="00FF41A0">
        <w:rPr>
          <w:color w:val="000000" w:themeColor="text1"/>
          <w:sz w:val="20"/>
          <w:szCs w:val="20"/>
        </w:rPr>
        <w:t xml:space="preserve"> </w:t>
      </w:r>
      <w:r w:rsidR="00C71E12" w:rsidRPr="0040040E">
        <w:rPr>
          <w:color w:val="000000" w:themeColor="text1"/>
          <w:sz w:val="20"/>
          <w:szCs w:val="20"/>
        </w:rPr>
        <w:t>of</w:t>
      </w:r>
      <w:r w:rsidR="00FF41A0">
        <w:rPr>
          <w:color w:val="000000" w:themeColor="text1"/>
          <w:sz w:val="20"/>
          <w:szCs w:val="20"/>
        </w:rPr>
        <w:t xml:space="preserve"> </w:t>
      </w:r>
      <w:r w:rsidR="00C71E12" w:rsidRPr="0040040E">
        <w:rPr>
          <w:color w:val="000000" w:themeColor="text1"/>
          <w:sz w:val="20"/>
          <w:szCs w:val="20"/>
        </w:rPr>
        <w:t>Non-Aligned</w:t>
      </w:r>
      <w:r w:rsidR="00FF41A0">
        <w:rPr>
          <w:color w:val="000000" w:themeColor="text1"/>
          <w:sz w:val="20"/>
          <w:szCs w:val="20"/>
        </w:rPr>
        <w:t xml:space="preserve"> </w:t>
      </w:r>
      <w:r w:rsidR="00C71E12" w:rsidRPr="0040040E">
        <w:rPr>
          <w:color w:val="000000" w:themeColor="text1"/>
          <w:sz w:val="20"/>
          <w:szCs w:val="20"/>
        </w:rPr>
        <w:t>Countries</w:t>
      </w:r>
      <w:r w:rsidR="00FF41A0">
        <w:rPr>
          <w:color w:val="000000" w:themeColor="text1"/>
          <w:sz w:val="20"/>
          <w:szCs w:val="20"/>
        </w:rPr>
        <w:t xml:space="preserve"> </w:t>
      </w:r>
      <w:r w:rsidR="00C71E12">
        <w:rPr>
          <w:color w:val="000000" w:themeColor="text1"/>
          <w:sz w:val="20"/>
          <w:szCs w:val="20"/>
        </w:rPr>
        <w:t>except</w:t>
      </w:r>
      <w:r w:rsidR="00FF41A0">
        <w:rPr>
          <w:color w:val="000000" w:themeColor="text1"/>
          <w:sz w:val="20"/>
          <w:szCs w:val="20"/>
        </w:rPr>
        <w:t xml:space="preserve"> </w:t>
      </w:r>
      <w:r w:rsidR="00C71E12" w:rsidRPr="00BE3BC7">
        <w:rPr>
          <w:color w:val="000000" w:themeColor="text1"/>
          <w:sz w:val="20"/>
          <w:szCs w:val="20"/>
        </w:rPr>
        <w:t>Colombia,</w:t>
      </w:r>
      <w:r w:rsidR="00FF41A0">
        <w:rPr>
          <w:color w:val="000000" w:themeColor="text1"/>
          <w:sz w:val="20"/>
          <w:szCs w:val="20"/>
        </w:rPr>
        <w:t xml:space="preserve"> </w:t>
      </w:r>
      <w:r w:rsidR="00C71E12" w:rsidRPr="00BE3BC7">
        <w:rPr>
          <w:color w:val="000000" w:themeColor="text1"/>
          <w:sz w:val="20"/>
          <w:szCs w:val="20"/>
        </w:rPr>
        <w:t>Ecuador</w:t>
      </w:r>
      <w:r w:rsidR="00FF41A0">
        <w:rPr>
          <w:color w:val="000000" w:themeColor="text1"/>
          <w:sz w:val="20"/>
          <w:szCs w:val="20"/>
        </w:rPr>
        <w:t xml:space="preserve"> </w:t>
      </w:r>
      <w:r w:rsidR="00C71E12" w:rsidRPr="00BE3BC7">
        <w:rPr>
          <w:color w:val="000000" w:themeColor="text1"/>
          <w:sz w:val="20"/>
          <w:szCs w:val="20"/>
        </w:rPr>
        <w:t>and</w:t>
      </w:r>
      <w:r w:rsidR="00FF41A0">
        <w:rPr>
          <w:color w:val="000000" w:themeColor="text1"/>
          <w:sz w:val="20"/>
          <w:szCs w:val="20"/>
        </w:rPr>
        <w:t xml:space="preserve"> </w:t>
      </w:r>
      <w:r w:rsidR="00C71E12" w:rsidRPr="00BE3BC7">
        <w:rPr>
          <w:color w:val="000000" w:themeColor="text1"/>
          <w:sz w:val="20"/>
          <w:szCs w:val="20"/>
        </w:rPr>
        <w:t>Peru</w:t>
      </w:r>
      <w:r w:rsidR="00C71E12" w:rsidRPr="0067399B">
        <w:rPr>
          <w:color w:val="000000" w:themeColor="text1"/>
          <w:sz w:val="20"/>
          <w:szCs w:val="20"/>
        </w:rPr>
        <w:t>)</w:t>
      </w:r>
      <w:r w:rsidRPr="0037538E">
        <w:rPr>
          <w:color w:val="000000" w:themeColor="text1"/>
          <w:sz w:val="20"/>
          <w:szCs w:val="20"/>
        </w:rPr>
        <w:t>;</w:t>
      </w:r>
    </w:p>
    <w:p w14:paraId="7C854EBB" w14:textId="37E34EFA" w:rsidR="000D7692" w:rsidRPr="0037538E" w:rsidRDefault="000D7692" w:rsidP="000D7692">
      <w:pPr>
        <w:pStyle w:val="SingleTxtG"/>
        <w:ind w:firstLine="567"/>
        <w:rPr>
          <w:color w:val="000000" w:themeColor="text1"/>
          <w:sz w:val="20"/>
          <w:szCs w:val="20"/>
        </w:rPr>
      </w:pPr>
      <w:r w:rsidRPr="0037538E">
        <w:rPr>
          <w:color w:val="000000" w:themeColor="text1"/>
          <w:sz w:val="20"/>
          <w:szCs w:val="20"/>
        </w:rPr>
        <w:t>(b)</w:t>
      </w:r>
      <w:r w:rsidRPr="0037538E">
        <w:rPr>
          <w:color w:val="000000" w:themeColor="text1"/>
          <w:sz w:val="20"/>
          <w:szCs w:val="20"/>
        </w:rPr>
        <w:tab/>
        <w:t>Representatives</w:t>
      </w:r>
      <w:r w:rsidR="00FF41A0">
        <w:rPr>
          <w:color w:val="000000" w:themeColor="text1"/>
          <w:sz w:val="20"/>
          <w:szCs w:val="20"/>
        </w:rPr>
        <w:t xml:space="preserve"> </w:t>
      </w:r>
      <w:r w:rsidRPr="0037538E">
        <w:rPr>
          <w:color w:val="000000" w:themeColor="text1"/>
          <w:sz w:val="20"/>
          <w:szCs w:val="20"/>
        </w:rPr>
        <w:t>of</w:t>
      </w:r>
      <w:r w:rsidR="00FF41A0">
        <w:rPr>
          <w:color w:val="000000" w:themeColor="text1"/>
          <w:sz w:val="20"/>
          <w:szCs w:val="20"/>
        </w:rPr>
        <w:t xml:space="preserve"> </w:t>
      </w:r>
      <w:r w:rsidRPr="0037538E">
        <w:rPr>
          <w:color w:val="000000" w:themeColor="text1"/>
          <w:sz w:val="20"/>
          <w:szCs w:val="20"/>
        </w:rPr>
        <w:t>observer</w:t>
      </w:r>
      <w:r w:rsidR="00FF41A0">
        <w:rPr>
          <w:color w:val="000000" w:themeColor="text1"/>
          <w:sz w:val="20"/>
          <w:szCs w:val="20"/>
        </w:rPr>
        <w:t xml:space="preserve"> </w:t>
      </w:r>
      <w:r w:rsidRPr="0037538E">
        <w:rPr>
          <w:color w:val="000000" w:themeColor="text1"/>
          <w:sz w:val="20"/>
          <w:szCs w:val="20"/>
        </w:rPr>
        <w:t>States:</w:t>
      </w:r>
      <w:r w:rsidR="00FF41A0">
        <w:rPr>
          <w:color w:val="000000" w:themeColor="text1"/>
          <w:sz w:val="20"/>
          <w:szCs w:val="20"/>
        </w:rPr>
        <w:t xml:space="preserve"> </w:t>
      </w:r>
      <w:r w:rsidR="00C71E12" w:rsidRPr="00C71E12">
        <w:rPr>
          <w:color w:val="000000" w:themeColor="text1"/>
          <w:sz w:val="20"/>
          <w:szCs w:val="20"/>
        </w:rPr>
        <w:t>Colombia</w:t>
      </w:r>
      <w:r w:rsidR="00C71E12">
        <w:rPr>
          <w:color w:val="000000" w:themeColor="text1"/>
          <w:sz w:val="20"/>
          <w:szCs w:val="20"/>
        </w:rPr>
        <w:t>,</w:t>
      </w:r>
      <w:r w:rsidR="00FF41A0">
        <w:rPr>
          <w:color w:val="000000" w:themeColor="text1"/>
          <w:sz w:val="20"/>
          <w:szCs w:val="20"/>
        </w:rPr>
        <w:t xml:space="preserve"> </w:t>
      </w:r>
      <w:r w:rsidR="00C71E12" w:rsidRPr="00C71E12">
        <w:rPr>
          <w:color w:val="000000" w:themeColor="text1"/>
          <w:sz w:val="20"/>
          <w:szCs w:val="20"/>
        </w:rPr>
        <w:t>Georgia</w:t>
      </w:r>
      <w:r w:rsidR="00C71E12">
        <w:rPr>
          <w:color w:val="000000" w:themeColor="text1"/>
          <w:sz w:val="20"/>
          <w:szCs w:val="20"/>
        </w:rPr>
        <w:t>,</w:t>
      </w:r>
      <w:r w:rsidR="00FF41A0">
        <w:rPr>
          <w:color w:val="000000" w:themeColor="text1"/>
          <w:sz w:val="20"/>
          <w:szCs w:val="20"/>
        </w:rPr>
        <w:t xml:space="preserve"> </w:t>
      </w:r>
      <w:r w:rsidR="00C71E12" w:rsidRPr="00C71E12">
        <w:rPr>
          <w:color w:val="000000" w:themeColor="text1"/>
          <w:sz w:val="20"/>
          <w:szCs w:val="20"/>
        </w:rPr>
        <w:t>Iran</w:t>
      </w:r>
      <w:r w:rsidR="00FF41A0">
        <w:rPr>
          <w:color w:val="000000" w:themeColor="text1"/>
          <w:sz w:val="20"/>
          <w:szCs w:val="20"/>
        </w:rPr>
        <w:t xml:space="preserve"> </w:t>
      </w:r>
      <w:r w:rsidR="00C71E12" w:rsidRPr="00C71E12">
        <w:rPr>
          <w:color w:val="000000" w:themeColor="text1"/>
          <w:sz w:val="20"/>
          <w:szCs w:val="20"/>
        </w:rPr>
        <w:t>(Islamic</w:t>
      </w:r>
      <w:r w:rsidR="00FF41A0">
        <w:rPr>
          <w:color w:val="000000" w:themeColor="text1"/>
          <w:sz w:val="20"/>
          <w:szCs w:val="20"/>
        </w:rPr>
        <w:t xml:space="preserve"> </w:t>
      </w:r>
      <w:r w:rsidR="00C71E12" w:rsidRPr="00C71E12">
        <w:rPr>
          <w:color w:val="000000" w:themeColor="text1"/>
          <w:sz w:val="20"/>
          <w:szCs w:val="20"/>
        </w:rPr>
        <w:t>Republic</w:t>
      </w:r>
      <w:r w:rsidR="00FF41A0">
        <w:rPr>
          <w:color w:val="000000" w:themeColor="text1"/>
          <w:sz w:val="20"/>
          <w:szCs w:val="20"/>
        </w:rPr>
        <w:t xml:space="preserve"> </w:t>
      </w:r>
      <w:r w:rsidR="00C71E12" w:rsidRPr="00C71E12">
        <w:rPr>
          <w:color w:val="000000" w:themeColor="text1"/>
          <w:sz w:val="20"/>
          <w:szCs w:val="20"/>
        </w:rPr>
        <w:t>of)</w:t>
      </w:r>
      <w:r w:rsidR="00C71E12">
        <w:rPr>
          <w:color w:val="000000" w:themeColor="text1"/>
          <w:sz w:val="20"/>
          <w:szCs w:val="20"/>
        </w:rPr>
        <w:t>,</w:t>
      </w:r>
      <w:r w:rsidR="00FF41A0">
        <w:rPr>
          <w:color w:val="000000" w:themeColor="text1"/>
          <w:sz w:val="20"/>
          <w:szCs w:val="20"/>
        </w:rPr>
        <w:t xml:space="preserve"> </w:t>
      </w:r>
      <w:r w:rsidR="00C71E12" w:rsidRPr="00C71E12">
        <w:rPr>
          <w:color w:val="000000" w:themeColor="text1"/>
          <w:sz w:val="20"/>
          <w:szCs w:val="20"/>
        </w:rPr>
        <w:t>Lebanon</w:t>
      </w:r>
      <w:r w:rsidR="00C71E12">
        <w:rPr>
          <w:color w:val="000000" w:themeColor="text1"/>
          <w:sz w:val="20"/>
          <w:szCs w:val="20"/>
        </w:rPr>
        <w:t>,</w:t>
      </w:r>
      <w:r w:rsidR="00FF41A0">
        <w:rPr>
          <w:color w:val="000000" w:themeColor="text1"/>
          <w:sz w:val="20"/>
          <w:szCs w:val="20"/>
        </w:rPr>
        <w:t xml:space="preserve"> </w:t>
      </w:r>
      <w:r w:rsidR="00C71E12" w:rsidRPr="00C71E12">
        <w:rPr>
          <w:color w:val="000000" w:themeColor="text1"/>
          <w:sz w:val="20"/>
          <w:szCs w:val="20"/>
        </w:rPr>
        <w:t>Lesotho</w:t>
      </w:r>
      <w:r w:rsidR="00C71E12">
        <w:rPr>
          <w:color w:val="000000" w:themeColor="text1"/>
          <w:sz w:val="20"/>
          <w:szCs w:val="20"/>
        </w:rPr>
        <w:t>,</w:t>
      </w:r>
      <w:r w:rsidR="00FF41A0">
        <w:rPr>
          <w:color w:val="000000" w:themeColor="text1"/>
          <w:sz w:val="20"/>
          <w:szCs w:val="20"/>
        </w:rPr>
        <w:t xml:space="preserve"> </w:t>
      </w:r>
      <w:r w:rsidR="00C71E12" w:rsidRPr="00C71E12">
        <w:rPr>
          <w:color w:val="000000" w:themeColor="text1"/>
          <w:sz w:val="20"/>
          <w:szCs w:val="20"/>
        </w:rPr>
        <w:t>Maldives</w:t>
      </w:r>
      <w:r w:rsidR="00C71E12">
        <w:rPr>
          <w:color w:val="000000" w:themeColor="text1"/>
          <w:sz w:val="20"/>
          <w:szCs w:val="20"/>
        </w:rPr>
        <w:t>,</w:t>
      </w:r>
      <w:r w:rsidR="00FF41A0">
        <w:rPr>
          <w:color w:val="000000" w:themeColor="text1"/>
          <w:sz w:val="20"/>
          <w:szCs w:val="20"/>
        </w:rPr>
        <w:t xml:space="preserve"> </w:t>
      </w:r>
      <w:r w:rsidR="00C71E12" w:rsidRPr="00C71E12">
        <w:rPr>
          <w:color w:val="000000" w:themeColor="text1"/>
          <w:sz w:val="20"/>
          <w:szCs w:val="20"/>
        </w:rPr>
        <w:t>Mongolia</w:t>
      </w:r>
      <w:r w:rsidR="00C71E12">
        <w:rPr>
          <w:color w:val="000000" w:themeColor="text1"/>
          <w:sz w:val="20"/>
          <w:szCs w:val="20"/>
        </w:rPr>
        <w:t>,</w:t>
      </w:r>
      <w:r w:rsidR="00FF41A0">
        <w:rPr>
          <w:color w:val="000000" w:themeColor="text1"/>
          <w:sz w:val="20"/>
          <w:szCs w:val="20"/>
        </w:rPr>
        <w:t xml:space="preserve"> </w:t>
      </w:r>
      <w:r w:rsidR="00C71E12" w:rsidRPr="00C71E12">
        <w:rPr>
          <w:color w:val="000000" w:themeColor="text1"/>
          <w:sz w:val="20"/>
          <w:szCs w:val="20"/>
        </w:rPr>
        <w:t>Morocco</w:t>
      </w:r>
      <w:r w:rsidR="00C71E12">
        <w:rPr>
          <w:color w:val="000000" w:themeColor="text1"/>
          <w:sz w:val="20"/>
          <w:szCs w:val="20"/>
        </w:rPr>
        <w:t>,</w:t>
      </w:r>
      <w:r w:rsidR="00FF41A0">
        <w:rPr>
          <w:color w:val="000000" w:themeColor="text1"/>
          <w:sz w:val="20"/>
          <w:szCs w:val="20"/>
        </w:rPr>
        <w:t xml:space="preserve"> </w:t>
      </w:r>
      <w:r w:rsidR="00C71E12" w:rsidRPr="00C71E12">
        <w:rPr>
          <w:color w:val="000000" w:themeColor="text1"/>
          <w:sz w:val="20"/>
          <w:szCs w:val="20"/>
        </w:rPr>
        <w:t>Syrian</w:t>
      </w:r>
      <w:r w:rsidR="00FF41A0">
        <w:rPr>
          <w:color w:val="000000" w:themeColor="text1"/>
          <w:sz w:val="20"/>
          <w:szCs w:val="20"/>
        </w:rPr>
        <w:t xml:space="preserve"> </w:t>
      </w:r>
      <w:r w:rsidR="00C71E12" w:rsidRPr="00C71E12">
        <w:rPr>
          <w:color w:val="000000" w:themeColor="text1"/>
          <w:sz w:val="20"/>
          <w:szCs w:val="20"/>
        </w:rPr>
        <w:t>Arab</w:t>
      </w:r>
      <w:r w:rsidR="00FF41A0">
        <w:rPr>
          <w:color w:val="000000" w:themeColor="text1"/>
          <w:sz w:val="20"/>
          <w:szCs w:val="20"/>
        </w:rPr>
        <w:t xml:space="preserve"> </w:t>
      </w:r>
      <w:r w:rsidR="00C71E12" w:rsidRPr="00C71E12">
        <w:rPr>
          <w:color w:val="000000" w:themeColor="text1"/>
          <w:sz w:val="20"/>
          <w:szCs w:val="20"/>
        </w:rPr>
        <w:t>Republic</w:t>
      </w:r>
      <w:r w:rsidR="00C71E12">
        <w:rPr>
          <w:color w:val="000000" w:themeColor="text1"/>
          <w:sz w:val="20"/>
          <w:szCs w:val="20"/>
        </w:rPr>
        <w:t>,</w:t>
      </w:r>
      <w:r w:rsidR="00FF41A0">
        <w:rPr>
          <w:color w:val="000000" w:themeColor="text1"/>
          <w:sz w:val="20"/>
          <w:szCs w:val="20"/>
        </w:rPr>
        <w:t xml:space="preserve"> </w:t>
      </w:r>
      <w:r w:rsidR="00C71E12" w:rsidRPr="00C71E12">
        <w:rPr>
          <w:color w:val="000000" w:themeColor="text1"/>
          <w:sz w:val="20"/>
          <w:szCs w:val="20"/>
        </w:rPr>
        <w:t>Venezuela</w:t>
      </w:r>
      <w:r w:rsidR="00FF41A0">
        <w:rPr>
          <w:color w:val="000000" w:themeColor="text1"/>
          <w:sz w:val="20"/>
          <w:szCs w:val="20"/>
        </w:rPr>
        <w:t xml:space="preserve"> </w:t>
      </w:r>
      <w:r w:rsidR="00C71E12" w:rsidRPr="00C71E12">
        <w:rPr>
          <w:color w:val="000000" w:themeColor="text1"/>
          <w:sz w:val="20"/>
          <w:szCs w:val="20"/>
        </w:rPr>
        <w:t>(Bolivarian</w:t>
      </w:r>
      <w:r w:rsidR="00FF41A0">
        <w:rPr>
          <w:color w:val="000000" w:themeColor="text1"/>
          <w:sz w:val="20"/>
          <w:szCs w:val="20"/>
        </w:rPr>
        <w:t xml:space="preserve"> </w:t>
      </w:r>
      <w:r w:rsidR="00C71E12" w:rsidRPr="00C71E12">
        <w:rPr>
          <w:color w:val="000000" w:themeColor="text1"/>
          <w:sz w:val="20"/>
          <w:szCs w:val="20"/>
        </w:rPr>
        <w:t>Republic</w:t>
      </w:r>
      <w:r w:rsidR="00FF41A0">
        <w:rPr>
          <w:color w:val="000000" w:themeColor="text1"/>
          <w:sz w:val="20"/>
          <w:szCs w:val="20"/>
        </w:rPr>
        <w:t xml:space="preserve"> </w:t>
      </w:r>
      <w:r w:rsidR="00C71E12" w:rsidRPr="00C71E12">
        <w:rPr>
          <w:color w:val="000000" w:themeColor="text1"/>
          <w:sz w:val="20"/>
          <w:szCs w:val="20"/>
        </w:rPr>
        <w:t>of)</w:t>
      </w:r>
      <w:r w:rsidRPr="0037538E">
        <w:rPr>
          <w:color w:val="000000" w:themeColor="text1"/>
          <w:sz w:val="20"/>
          <w:szCs w:val="20"/>
        </w:rPr>
        <w:t>;</w:t>
      </w:r>
    </w:p>
    <w:p w14:paraId="70EC9EBB" w14:textId="51C6BBF0" w:rsidR="000D7692" w:rsidRDefault="000D7692" w:rsidP="000D7692">
      <w:pPr>
        <w:pStyle w:val="SingleTxtG"/>
        <w:ind w:firstLine="567"/>
        <w:rPr>
          <w:color w:val="000000" w:themeColor="text1"/>
          <w:sz w:val="20"/>
          <w:szCs w:val="20"/>
        </w:rPr>
      </w:pPr>
      <w:r w:rsidRPr="0037538E">
        <w:rPr>
          <w:color w:val="000000" w:themeColor="text1"/>
          <w:sz w:val="20"/>
          <w:szCs w:val="20"/>
        </w:rPr>
        <w:t>(</w:t>
      </w:r>
      <w:r w:rsidR="0031560F">
        <w:rPr>
          <w:color w:val="000000" w:themeColor="text1"/>
          <w:sz w:val="20"/>
          <w:szCs w:val="20"/>
        </w:rPr>
        <w:t>c</w:t>
      </w:r>
      <w:r w:rsidRPr="0037538E">
        <w:rPr>
          <w:color w:val="000000" w:themeColor="text1"/>
          <w:sz w:val="20"/>
          <w:szCs w:val="20"/>
        </w:rPr>
        <w:t>)</w:t>
      </w:r>
      <w:r w:rsidRPr="0037538E">
        <w:rPr>
          <w:color w:val="000000" w:themeColor="text1"/>
          <w:sz w:val="20"/>
          <w:szCs w:val="20"/>
        </w:rPr>
        <w:tab/>
        <w:t>Observers</w:t>
      </w:r>
      <w:r w:rsidR="00FF41A0">
        <w:rPr>
          <w:color w:val="000000" w:themeColor="text1"/>
          <w:sz w:val="20"/>
          <w:szCs w:val="20"/>
        </w:rPr>
        <w:t xml:space="preserve"> </w:t>
      </w:r>
      <w:r w:rsidRPr="0037538E">
        <w:rPr>
          <w:color w:val="000000" w:themeColor="text1"/>
          <w:sz w:val="20"/>
          <w:szCs w:val="20"/>
        </w:rPr>
        <w:t>for</w:t>
      </w:r>
      <w:r w:rsidR="00FF41A0">
        <w:rPr>
          <w:color w:val="000000" w:themeColor="text1"/>
          <w:sz w:val="20"/>
          <w:szCs w:val="20"/>
        </w:rPr>
        <w:t xml:space="preserve"> </w:t>
      </w:r>
      <w:r w:rsidRPr="0037538E">
        <w:rPr>
          <w:color w:val="000000" w:themeColor="text1"/>
          <w:sz w:val="20"/>
          <w:szCs w:val="20"/>
        </w:rPr>
        <w:t>non-governmental</w:t>
      </w:r>
      <w:r w:rsidR="00FF41A0">
        <w:rPr>
          <w:color w:val="000000" w:themeColor="text1"/>
          <w:sz w:val="20"/>
          <w:szCs w:val="20"/>
        </w:rPr>
        <w:t xml:space="preserve"> </w:t>
      </w:r>
      <w:r w:rsidRPr="0037538E">
        <w:rPr>
          <w:color w:val="000000" w:themeColor="text1"/>
          <w:sz w:val="20"/>
          <w:szCs w:val="20"/>
        </w:rPr>
        <w:t>organizations:</w:t>
      </w:r>
      <w:r w:rsidR="00FF41A0">
        <w:rPr>
          <w:color w:val="000000" w:themeColor="text1"/>
          <w:sz w:val="20"/>
          <w:szCs w:val="20"/>
        </w:rPr>
        <w:t xml:space="preserve"> </w:t>
      </w:r>
      <w:r w:rsidR="007241B0" w:rsidRPr="007241B0">
        <w:rPr>
          <w:color w:val="000000" w:themeColor="text1"/>
          <w:sz w:val="20"/>
          <w:szCs w:val="20"/>
        </w:rPr>
        <w:t>Africa</w:t>
      </w:r>
      <w:r w:rsidR="00FF41A0">
        <w:rPr>
          <w:color w:val="000000" w:themeColor="text1"/>
          <w:sz w:val="20"/>
          <w:szCs w:val="20"/>
        </w:rPr>
        <w:t xml:space="preserve"> </w:t>
      </w:r>
      <w:r w:rsidR="007241B0" w:rsidRPr="007241B0">
        <w:rPr>
          <w:color w:val="000000" w:themeColor="text1"/>
          <w:sz w:val="20"/>
          <w:szCs w:val="20"/>
        </w:rPr>
        <w:t>Culture</w:t>
      </w:r>
      <w:r w:rsidR="00FF41A0">
        <w:rPr>
          <w:color w:val="000000" w:themeColor="text1"/>
          <w:sz w:val="20"/>
          <w:szCs w:val="20"/>
        </w:rPr>
        <w:t xml:space="preserve"> </w:t>
      </w:r>
      <w:r w:rsidR="007241B0" w:rsidRPr="007241B0">
        <w:rPr>
          <w:color w:val="000000" w:themeColor="text1"/>
          <w:sz w:val="20"/>
          <w:szCs w:val="20"/>
        </w:rPr>
        <w:t>Internationale</w:t>
      </w:r>
      <w:r w:rsidR="007241B0">
        <w:rPr>
          <w:color w:val="000000" w:themeColor="text1"/>
          <w:sz w:val="20"/>
          <w:szCs w:val="20"/>
        </w:rPr>
        <w:t>;</w:t>
      </w:r>
      <w:r w:rsidR="00FF41A0">
        <w:rPr>
          <w:color w:val="000000" w:themeColor="text1"/>
          <w:sz w:val="20"/>
          <w:szCs w:val="20"/>
        </w:rPr>
        <w:t xml:space="preserve"> </w:t>
      </w:r>
      <w:r w:rsidR="007241B0" w:rsidRPr="007241B0">
        <w:rPr>
          <w:color w:val="000000" w:themeColor="text1"/>
          <w:sz w:val="20"/>
          <w:szCs w:val="20"/>
        </w:rPr>
        <w:t>African</w:t>
      </w:r>
      <w:r w:rsidR="00FF41A0">
        <w:rPr>
          <w:color w:val="000000" w:themeColor="text1"/>
          <w:sz w:val="20"/>
          <w:szCs w:val="20"/>
        </w:rPr>
        <w:t xml:space="preserve"> </w:t>
      </w:r>
      <w:r w:rsidR="007241B0" w:rsidRPr="007241B0">
        <w:rPr>
          <w:color w:val="000000" w:themeColor="text1"/>
          <w:sz w:val="20"/>
          <w:szCs w:val="20"/>
        </w:rPr>
        <w:t>Green</w:t>
      </w:r>
      <w:r w:rsidR="00FF41A0">
        <w:rPr>
          <w:color w:val="000000" w:themeColor="text1"/>
          <w:sz w:val="20"/>
          <w:szCs w:val="20"/>
        </w:rPr>
        <w:t xml:space="preserve"> </w:t>
      </w:r>
      <w:r w:rsidR="007241B0" w:rsidRPr="007241B0">
        <w:rPr>
          <w:color w:val="000000" w:themeColor="text1"/>
          <w:sz w:val="20"/>
          <w:szCs w:val="20"/>
        </w:rPr>
        <w:t>Foundation</w:t>
      </w:r>
      <w:r w:rsidR="00FF41A0">
        <w:rPr>
          <w:color w:val="000000" w:themeColor="text1"/>
          <w:sz w:val="20"/>
          <w:szCs w:val="20"/>
        </w:rPr>
        <w:t xml:space="preserve"> </w:t>
      </w:r>
      <w:r w:rsidR="007241B0" w:rsidRPr="007241B0">
        <w:rPr>
          <w:color w:val="000000" w:themeColor="text1"/>
          <w:sz w:val="20"/>
          <w:szCs w:val="20"/>
        </w:rPr>
        <w:t>International</w:t>
      </w:r>
      <w:r w:rsidR="007241B0">
        <w:rPr>
          <w:color w:val="000000" w:themeColor="text1"/>
          <w:sz w:val="20"/>
          <w:szCs w:val="20"/>
        </w:rPr>
        <w:t>;</w:t>
      </w:r>
      <w:r w:rsidR="00FF41A0">
        <w:rPr>
          <w:color w:val="000000" w:themeColor="text1"/>
          <w:sz w:val="20"/>
          <w:szCs w:val="20"/>
        </w:rPr>
        <w:t xml:space="preserve"> </w:t>
      </w:r>
      <w:r w:rsidR="007241B0" w:rsidRPr="007241B0">
        <w:rPr>
          <w:color w:val="000000" w:themeColor="text1"/>
          <w:sz w:val="20"/>
          <w:szCs w:val="20"/>
        </w:rPr>
        <w:t>All</w:t>
      </w:r>
      <w:r w:rsidR="00FF41A0">
        <w:rPr>
          <w:color w:val="000000" w:themeColor="text1"/>
          <w:sz w:val="20"/>
          <w:szCs w:val="20"/>
        </w:rPr>
        <w:t xml:space="preserve"> </w:t>
      </w:r>
      <w:r w:rsidR="007241B0" w:rsidRPr="007241B0">
        <w:rPr>
          <w:color w:val="000000" w:themeColor="text1"/>
          <w:sz w:val="20"/>
          <w:szCs w:val="20"/>
        </w:rPr>
        <w:t>China</w:t>
      </w:r>
      <w:r w:rsidR="00FF41A0">
        <w:rPr>
          <w:color w:val="000000" w:themeColor="text1"/>
          <w:sz w:val="20"/>
          <w:szCs w:val="20"/>
        </w:rPr>
        <w:t xml:space="preserve"> </w:t>
      </w:r>
      <w:r w:rsidR="007241B0" w:rsidRPr="007241B0">
        <w:rPr>
          <w:color w:val="000000" w:themeColor="text1"/>
          <w:sz w:val="20"/>
          <w:szCs w:val="20"/>
        </w:rPr>
        <w:t>Women</w:t>
      </w:r>
      <w:r w:rsidR="00D72627">
        <w:rPr>
          <w:color w:val="000000" w:themeColor="text1"/>
          <w:sz w:val="20"/>
          <w:szCs w:val="20"/>
        </w:rPr>
        <w:t>’</w:t>
      </w:r>
      <w:r w:rsidR="007241B0" w:rsidRPr="007241B0">
        <w:rPr>
          <w:color w:val="000000" w:themeColor="text1"/>
          <w:sz w:val="20"/>
          <w:szCs w:val="20"/>
        </w:rPr>
        <w:t>s</w:t>
      </w:r>
      <w:r w:rsidR="00FF41A0">
        <w:rPr>
          <w:color w:val="000000" w:themeColor="text1"/>
          <w:sz w:val="20"/>
          <w:szCs w:val="20"/>
        </w:rPr>
        <w:t xml:space="preserve"> </w:t>
      </w:r>
      <w:r w:rsidR="007241B0" w:rsidRPr="007241B0">
        <w:rPr>
          <w:color w:val="000000" w:themeColor="text1"/>
          <w:sz w:val="20"/>
          <w:szCs w:val="20"/>
        </w:rPr>
        <w:t>Federation</w:t>
      </w:r>
      <w:r w:rsidR="007241B0">
        <w:rPr>
          <w:color w:val="000000" w:themeColor="text1"/>
          <w:sz w:val="20"/>
          <w:szCs w:val="20"/>
        </w:rPr>
        <w:t>;</w:t>
      </w:r>
      <w:r w:rsidR="00FF41A0">
        <w:rPr>
          <w:color w:val="000000" w:themeColor="text1"/>
          <w:sz w:val="20"/>
          <w:szCs w:val="20"/>
        </w:rPr>
        <w:t xml:space="preserve"> </w:t>
      </w:r>
      <w:r w:rsidR="007241B0" w:rsidRPr="007241B0">
        <w:rPr>
          <w:color w:val="000000" w:themeColor="text1"/>
          <w:sz w:val="20"/>
          <w:szCs w:val="20"/>
        </w:rPr>
        <w:t>Alliance</w:t>
      </w:r>
      <w:r w:rsidR="00FF41A0">
        <w:rPr>
          <w:color w:val="000000" w:themeColor="text1"/>
          <w:sz w:val="20"/>
          <w:szCs w:val="20"/>
        </w:rPr>
        <w:t xml:space="preserve"> </w:t>
      </w:r>
      <w:r w:rsidR="007241B0" w:rsidRPr="007241B0">
        <w:rPr>
          <w:color w:val="000000" w:themeColor="text1"/>
          <w:sz w:val="20"/>
          <w:szCs w:val="20"/>
        </w:rPr>
        <w:t>Creative</w:t>
      </w:r>
      <w:r w:rsidR="00FF41A0">
        <w:rPr>
          <w:color w:val="000000" w:themeColor="text1"/>
          <w:sz w:val="20"/>
          <w:szCs w:val="20"/>
        </w:rPr>
        <w:t xml:space="preserve"> </w:t>
      </w:r>
      <w:r w:rsidR="007241B0" w:rsidRPr="007241B0">
        <w:rPr>
          <w:color w:val="000000" w:themeColor="text1"/>
          <w:sz w:val="20"/>
          <w:szCs w:val="20"/>
        </w:rPr>
        <w:t>Community</w:t>
      </w:r>
      <w:r w:rsidR="00FF41A0">
        <w:rPr>
          <w:color w:val="000000" w:themeColor="text1"/>
          <w:sz w:val="20"/>
          <w:szCs w:val="20"/>
        </w:rPr>
        <w:t xml:space="preserve"> </w:t>
      </w:r>
      <w:r w:rsidR="007241B0" w:rsidRPr="007241B0">
        <w:rPr>
          <w:color w:val="000000" w:themeColor="text1"/>
          <w:sz w:val="20"/>
          <w:szCs w:val="20"/>
        </w:rPr>
        <w:t>Project</w:t>
      </w:r>
      <w:r w:rsidR="007241B0">
        <w:rPr>
          <w:color w:val="000000" w:themeColor="text1"/>
          <w:sz w:val="20"/>
          <w:szCs w:val="20"/>
        </w:rPr>
        <w:t>;</w:t>
      </w:r>
      <w:r w:rsidR="00FF41A0">
        <w:rPr>
          <w:color w:val="000000" w:themeColor="text1"/>
          <w:sz w:val="20"/>
          <w:szCs w:val="20"/>
        </w:rPr>
        <w:t xml:space="preserve"> </w:t>
      </w:r>
      <w:r w:rsidR="007241B0" w:rsidRPr="007241B0">
        <w:rPr>
          <w:color w:val="000000" w:themeColor="text1"/>
          <w:sz w:val="20"/>
          <w:szCs w:val="20"/>
        </w:rPr>
        <w:t>Alsalam</w:t>
      </w:r>
      <w:r w:rsidR="00FF41A0">
        <w:rPr>
          <w:color w:val="000000" w:themeColor="text1"/>
          <w:sz w:val="20"/>
          <w:szCs w:val="20"/>
        </w:rPr>
        <w:t xml:space="preserve"> </w:t>
      </w:r>
      <w:r w:rsidR="007241B0" w:rsidRPr="007241B0">
        <w:rPr>
          <w:color w:val="000000" w:themeColor="text1"/>
          <w:sz w:val="20"/>
          <w:szCs w:val="20"/>
        </w:rPr>
        <w:t>Foundation</w:t>
      </w:r>
      <w:r w:rsidR="007241B0">
        <w:rPr>
          <w:color w:val="000000" w:themeColor="text1"/>
          <w:sz w:val="20"/>
          <w:szCs w:val="20"/>
        </w:rPr>
        <w:t>;</w:t>
      </w:r>
      <w:r w:rsidR="00FF41A0">
        <w:rPr>
          <w:color w:val="000000" w:themeColor="text1"/>
          <w:sz w:val="20"/>
          <w:szCs w:val="20"/>
        </w:rPr>
        <w:t xml:space="preserve"> </w:t>
      </w:r>
      <w:r w:rsidR="007241B0" w:rsidRPr="007241B0">
        <w:rPr>
          <w:color w:val="000000" w:themeColor="text1"/>
          <w:sz w:val="20"/>
          <w:szCs w:val="20"/>
        </w:rPr>
        <w:t>Americans</w:t>
      </w:r>
      <w:r w:rsidR="00FF41A0">
        <w:rPr>
          <w:color w:val="000000" w:themeColor="text1"/>
          <w:sz w:val="20"/>
          <w:szCs w:val="20"/>
        </w:rPr>
        <w:t xml:space="preserve"> </w:t>
      </w:r>
      <w:r w:rsidR="007241B0" w:rsidRPr="007241B0">
        <w:rPr>
          <w:color w:val="000000" w:themeColor="text1"/>
          <w:sz w:val="20"/>
          <w:szCs w:val="20"/>
        </w:rPr>
        <w:t>for</w:t>
      </w:r>
      <w:r w:rsidR="00FF41A0">
        <w:rPr>
          <w:color w:val="000000" w:themeColor="text1"/>
          <w:sz w:val="20"/>
          <w:szCs w:val="20"/>
        </w:rPr>
        <w:t xml:space="preserve"> </w:t>
      </w:r>
      <w:r w:rsidR="007241B0" w:rsidRPr="007241B0">
        <w:rPr>
          <w:color w:val="000000" w:themeColor="text1"/>
          <w:sz w:val="20"/>
          <w:szCs w:val="20"/>
        </w:rPr>
        <w:t>Democracy</w:t>
      </w:r>
      <w:r w:rsidR="00FF41A0">
        <w:rPr>
          <w:color w:val="000000" w:themeColor="text1"/>
          <w:sz w:val="20"/>
          <w:szCs w:val="20"/>
        </w:rPr>
        <w:t xml:space="preserve"> </w:t>
      </w:r>
      <w:r w:rsidR="007241B0" w:rsidRPr="007241B0">
        <w:rPr>
          <w:color w:val="000000" w:themeColor="text1"/>
          <w:sz w:val="20"/>
          <w:szCs w:val="20"/>
        </w:rPr>
        <w:t>&amp;</w:t>
      </w:r>
      <w:r w:rsidR="00FF41A0">
        <w:rPr>
          <w:color w:val="000000" w:themeColor="text1"/>
          <w:sz w:val="20"/>
          <w:szCs w:val="20"/>
        </w:rPr>
        <w:t xml:space="preserve"> </w:t>
      </w:r>
      <w:r w:rsidR="007241B0" w:rsidRPr="007241B0">
        <w:rPr>
          <w:color w:val="000000" w:themeColor="text1"/>
          <w:sz w:val="20"/>
          <w:szCs w:val="20"/>
        </w:rPr>
        <w:t>Human</w:t>
      </w:r>
      <w:r w:rsidR="00FF41A0">
        <w:rPr>
          <w:color w:val="000000" w:themeColor="text1"/>
          <w:sz w:val="20"/>
          <w:szCs w:val="20"/>
        </w:rPr>
        <w:t xml:space="preserve"> </w:t>
      </w:r>
      <w:r w:rsidR="007241B0" w:rsidRPr="007241B0">
        <w:rPr>
          <w:color w:val="000000" w:themeColor="text1"/>
          <w:sz w:val="20"/>
          <w:szCs w:val="20"/>
        </w:rPr>
        <w:t>Rights</w:t>
      </w:r>
      <w:r w:rsidR="00FF41A0">
        <w:rPr>
          <w:color w:val="000000" w:themeColor="text1"/>
          <w:sz w:val="20"/>
          <w:szCs w:val="20"/>
        </w:rPr>
        <w:t xml:space="preserve"> </w:t>
      </w:r>
      <w:r w:rsidR="007241B0" w:rsidRPr="007241B0">
        <w:rPr>
          <w:color w:val="000000" w:themeColor="text1"/>
          <w:sz w:val="20"/>
          <w:szCs w:val="20"/>
        </w:rPr>
        <w:t>in</w:t>
      </w:r>
      <w:r w:rsidR="00FF41A0">
        <w:rPr>
          <w:color w:val="000000" w:themeColor="text1"/>
          <w:sz w:val="20"/>
          <w:szCs w:val="20"/>
        </w:rPr>
        <w:t xml:space="preserve"> </w:t>
      </w:r>
      <w:r w:rsidR="007241B0" w:rsidRPr="007241B0">
        <w:rPr>
          <w:color w:val="000000" w:themeColor="text1"/>
          <w:sz w:val="20"/>
          <w:szCs w:val="20"/>
        </w:rPr>
        <w:t>Bahrain</w:t>
      </w:r>
      <w:r w:rsidR="00FF41A0">
        <w:rPr>
          <w:color w:val="000000" w:themeColor="text1"/>
          <w:sz w:val="20"/>
          <w:szCs w:val="20"/>
        </w:rPr>
        <w:t xml:space="preserve"> </w:t>
      </w:r>
      <w:r w:rsidR="007241B0" w:rsidRPr="007241B0">
        <w:rPr>
          <w:color w:val="000000" w:themeColor="text1"/>
          <w:sz w:val="20"/>
          <w:szCs w:val="20"/>
        </w:rPr>
        <w:t>Inc</w:t>
      </w:r>
      <w:r w:rsidR="007241B0">
        <w:rPr>
          <w:color w:val="000000" w:themeColor="text1"/>
          <w:sz w:val="20"/>
          <w:szCs w:val="20"/>
        </w:rPr>
        <w:t>;</w:t>
      </w:r>
      <w:r w:rsidR="00FF41A0">
        <w:rPr>
          <w:color w:val="000000" w:themeColor="text1"/>
          <w:sz w:val="20"/>
          <w:szCs w:val="20"/>
        </w:rPr>
        <w:t xml:space="preserve"> </w:t>
      </w:r>
      <w:r w:rsidR="007241B0" w:rsidRPr="007241B0">
        <w:rPr>
          <w:color w:val="000000" w:themeColor="text1"/>
          <w:sz w:val="20"/>
          <w:szCs w:val="20"/>
        </w:rPr>
        <w:t>Amman</w:t>
      </w:r>
      <w:r w:rsidR="00FF41A0">
        <w:rPr>
          <w:color w:val="000000" w:themeColor="text1"/>
          <w:sz w:val="20"/>
          <w:szCs w:val="20"/>
        </w:rPr>
        <w:t xml:space="preserve"> </w:t>
      </w:r>
      <w:r w:rsidR="007241B0" w:rsidRPr="007241B0">
        <w:rPr>
          <w:color w:val="000000" w:themeColor="text1"/>
          <w:sz w:val="20"/>
          <w:szCs w:val="20"/>
        </w:rPr>
        <w:t>Center</w:t>
      </w:r>
      <w:r w:rsidR="00FF41A0">
        <w:rPr>
          <w:color w:val="000000" w:themeColor="text1"/>
          <w:sz w:val="20"/>
          <w:szCs w:val="20"/>
        </w:rPr>
        <w:t xml:space="preserve"> </w:t>
      </w:r>
      <w:r w:rsidR="007241B0" w:rsidRPr="007241B0">
        <w:rPr>
          <w:color w:val="000000" w:themeColor="text1"/>
          <w:sz w:val="20"/>
          <w:szCs w:val="20"/>
        </w:rPr>
        <w:t>for</w:t>
      </w:r>
      <w:r w:rsidR="00FF41A0">
        <w:rPr>
          <w:color w:val="000000" w:themeColor="text1"/>
          <w:sz w:val="20"/>
          <w:szCs w:val="20"/>
        </w:rPr>
        <w:t xml:space="preserve"> </w:t>
      </w:r>
      <w:r w:rsidR="007241B0" w:rsidRPr="007241B0">
        <w:rPr>
          <w:color w:val="000000" w:themeColor="text1"/>
          <w:sz w:val="20"/>
          <w:szCs w:val="20"/>
        </w:rPr>
        <w:t>Human</w:t>
      </w:r>
      <w:r w:rsidR="00FF41A0">
        <w:rPr>
          <w:color w:val="000000" w:themeColor="text1"/>
          <w:sz w:val="20"/>
          <w:szCs w:val="20"/>
        </w:rPr>
        <w:t xml:space="preserve"> </w:t>
      </w:r>
      <w:r w:rsidR="007241B0" w:rsidRPr="007241B0">
        <w:rPr>
          <w:color w:val="000000" w:themeColor="text1"/>
          <w:sz w:val="20"/>
          <w:szCs w:val="20"/>
        </w:rPr>
        <w:t>Rights</w:t>
      </w:r>
      <w:r w:rsidR="00FF41A0">
        <w:rPr>
          <w:color w:val="000000" w:themeColor="text1"/>
          <w:sz w:val="20"/>
          <w:szCs w:val="20"/>
        </w:rPr>
        <w:t xml:space="preserve"> </w:t>
      </w:r>
      <w:r w:rsidR="007241B0" w:rsidRPr="007241B0">
        <w:rPr>
          <w:color w:val="000000" w:themeColor="text1"/>
          <w:sz w:val="20"/>
          <w:szCs w:val="20"/>
        </w:rPr>
        <w:t>Studies</w:t>
      </w:r>
      <w:r w:rsidR="007241B0">
        <w:rPr>
          <w:color w:val="000000" w:themeColor="text1"/>
          <w:sz w:val="20"/>
          <w:szCs w:val="20"/>
        </w:rPr>
        <w:t>;</w:t>
      </w:r>
      <w:r w:rsidR="00FF41A0">
        <w:rPr>
          <w:color w:val="000000" w:themeColor="text1"/>
          <w:sz w:val="20"/>
          <w:szCs w:val="20"/>
        </w:rPr>
        <w:t xml:space="preserve"> </w:t>
      </w:r>
      <w:r w:rsidR="007241B0" w:rsidRPr="007241B0">
        <w:rPr>
          <w:color w:val="000000" w:themeColor="text1"/>
          <w:sz w:val="20"/>
          <w:szCs w:val="20"/>
        </w:rPr>
        <w:t>Article</w:t>
      </w:r>
      <w:r w:rsidR="00FF41A0">
        <w:rPr>
          <w:color w:val="000000" w:themeColor="text1"/>
          <w:sz w:val="20"/>
          <w:szCs w:val="20"/>
        </w:rPr>
        <w:t xml:space="preserve"> </w:t>
      </w:r>
      <w:r w:rsidR="007241B0" w:rsidRPr="007241B0">
        <w:rPr>
          <w:color w:val="000000" w:themeColor="text1"/>
          <w:sz w:val="20"/>
          <w:szCs w:val="20"/>
        </w:rPr>
        <w:t>19</w:t>
      </w:r>
      <w:r w:rsidR="00FF41A0">
        <w:rPr>
          <w:color w:val="000000" w:themeColor="text1"/>
          <w:sz w:val="20"/>
          <w:szCs w:val="20"/>
        </w:rPr>
        <w:t xml:space="preserve"> </w:t>
      </w:r>
      <w:r w:rsidR="007241B0" w:rsidRPr="007241B0">
        <w:rPr>
          <w:color w:val="000000" w:themeColor="text1"/>
          <w:sz w:val="20"/>
          <w:szCs w:val="20"/>
        </w:rPr>
        <w:t>-</w:t>
      </w:r>
      <w:r w:rsidR="00FF41A0">
        <w:rPr>
          <w:color w:val="000000" w:themeColor="text1"/>
          <w:sz w:val="20"/>
          <w:szCs w:val="20"/>
        </w:rPr>
        <w:t xml:space="preserve"> </w:t>
      </w:r>
      <w:r w:rsidR="007241B0" w:rsidRPr="007241B0">
        <w:rPr>
          <w:color w:val="000000" w:themeColor="text1"/>
          <w:sz w:val="20"/>
          <w:szCs w:val="20"/>
        </w:rPr>
        <w:t>International</w:t>
      </w:r>
      <w:r w:rsidR="00FF41A0">
        <w:rPr>
          <w:color w:val="000000" w:themeColor="text1"/>
          <w:sz w:val="20"/>
          <w:szCs w:val="20"/>
        </w:rPr>
        <w:t xml:space="preserve"> </w:t>
      </w:r>
      <w:r w:rsidR="007241B0" w:rsidRPr="007241B0">
        <w:rPr>
          <w:color w:val="000000" w:themeColor="text1"/>
          <w:sz w:val="20"/>
          <w:szCs w:val="20"/>
        </w:rPr>
        <w:t>Centre</w:t>
      </w:r>
      <w:r w:rsidR="00FF41A0">
        <w:rPr>
          <w:color w:val="000000" w:themeColor="text1"/>
          <w:sz w:val="20"/>
          <w:szCs w:val="20"/>
        </w:rPr>
        <w:t xml:space="preserve"> </w:t>
      </w:r>
      <w:r w:rsidR="007241B0" w:rsidRPr="007241B0">
        <w:rPr>
          <w:color w:val="000000" w:themeColor="text1"/>
          <w:sz w:val="20"/>
          <w:szCs w:val="20"/>
        </w:rPr>
        <w:t>Against</w:t>
      </w:r>
      <w:r w:rsidR="00FF41A0">
        <w:rPr>
          <w:color w:val="000000" w:themeColor="text1"/>
          <w:sz w:val="20"/>
          <w:szCs w:val="20"/>
        </w:rPr>
        <w:t xml:space="preserve"> </w:t>
      </w:r>
      <w:r w:rsidR="007241B0" w:rsidRPr="007241B0">
        <w:rPr>
          <w:color w:val="000000" w:themeColor="text1"/>
          <w:sz w:val="20"/>
          <w:szCs w:val="20"/>
        </w:rPr>
        <w:t>Censorship,</w:t>
      </w:r>
      <w:r w:rsidR="00FF41A0">
        <w:rPr>
          <w:color w:val="000000" w:themeColor="text1"/>
          <w:sz w:val="20"/>
          <w:szCs w:val="20"/>
        </w:rPr>
        <w:t xml:space="preserve"> </w:t>
      </w:r>
      <w:r w:rsidR="007241B0" w:rsidRPr="007241B0">
        <w:rPr>
          <w:color w:val="000000" w:themeColor="text1"/>
          <w:sz w:val="20"/>
          <w:szCs w:val="20"/>
        </w:rPr>
        <w:t>The</w:t>
      </w:r>
      <w:r w:rsidR="007241B0">
        <w:rPr>
          <w:color w:val="000000" w:themeColor="text1"/>
          <w:sz w:val="20"/>
          <w:szCs w:val="20"/>
        </w:rPr>
        <w:t>;</w:t>
      </w:r>
      <w:r w:rsidR="00FF41A0">
        <w:rPr>
          <w:color w:val="000000" w:themeColor="text1"/>
          <w:sz w:val="20"/>
          <w:szCs w:val="20"/>
        </w:rPr>
        <w:t xml:space="preserve"> </w:t>
      </w:r>
      <w:r w:rsidR="007241B0" w:rsidRPr="007241B0">
        <w:rPr>
          <w:color w:val="000000" w:themeColor="text1"/>
          <w:sz w:val="20"/>
          <w:szCs w:val="20"/>
        </w:rPr>
        <w:t>Asociacion</w:t>
      </w:r>
      <w:r w:rsidR="00FF41A0">
        <w:rPr>
          <w:color w:val="000000" w:themeColor="text1"/>
          <w:sz w:val="20"/>
          <w:szCs w:val="20"/>
        </w:rPr>
        <w:t xml:space="preserve"> </w:t>
      </w:r>
      <w:r w:rsidR="007241B0" w:rsidRPr="007241B0">
        <w:rPr>
          <w:color w:val="000000" w:themeColor="text1"/>
          <w:sz w:val="20"/>
          <w:szCs w:val="20"/>
        </w:rPr>
        <w:t>Cubana</w:t>
      </w:r>
      <w:r w:rsidR="00FF41A0">
        <w:rPr>
          <w:color w:val="000000" w:themeColor="text1"/>
          <w:sz w:val="20"/>
          <w:szCs w:val="20"/>
        </w:rPr>
        <w:t xml:space="preserve"> </w:t>
      </w:r>
      <w:r w:rsidR="007241B0" w:rsidRPr="007241B0">
        <w:rPr>
          <w:color w:val="000000" w:themeColor="text1"/>
          <w:sz w:val="20"/>
          <w:szCs w:val="20"/>
        </w:rPr>
        <w:t>de</w:t>
      </w:r>
      <w:r w:rsidR="00FF41A0">
        <w:rPr>
          <w:color w:val="000000" w:themeColor="text1"/>
          <w:sz w:val="20"/>
          <w:szCs w:val="20"/>
        </w:rPr>
        <w:t xml:space="preserve"> </w:t>
      </w:r>
      <w:r w:rsidR="007241B0" w:rsidRPr="007241B0">
        <w:rPr>
          <w:color w:val="000000" w:themeColor="text1"/>
          <w:sz w:val="20"/>
          <w:szCs w:val="20"/>
        </w:rPr>
        <w:t>las</w:t>
      </w:r>
      <w:r w:rsidR="00FF41A0">
        <w:rPr>
          <w:color w:val="000000" w:themeColor="text1"/>
          <w:sz w:val="20"/>
          <w:szCs w:val="20"/>
        </w:rPr>
        <w:t xml:space="preserve"> </w:t>
      </w:r>
      <w:r w:rsidR="007241B0" w:rsidRPr="007241B0">
        <w:rPr>
          <w:color w:val="000000" w:themeColor="text1"/>
          <w:sz w:val="20"/>
          <w:szCs w:val="20"/>
        </w:rPr>
        <w:t>Naciones</w:t>
      </w:r>
      <w:r w:rsidR="00FF41A0">
        <w:rPr>
          <w:color w:val="000000" w:themeColor="text1"/>
          <w:sz w:val="20"/>
          <w:szCs w:val="20"/>
        </w:rPr>
        <w:t xml:space="preserve"> </w:t>
      </w:r>
      <w:r w:rsidR="007241B0" w:rsidRPr="007241B0">
        <w:rPr>
          <w:color w:val="000000" w:themeColor="text1"/>
          <w:sz w:val="20"/>
          <w:szCs w:val="20"/>
        </w:rPr>
        <w:t>Unidas</w:t>
      </w:r>
      <w:r w:rsidR="00FF41A0">
        <w:rPr>
          <w:color w:val="000000" w:themeColor="text1"/>
          <w:sz w:val="20"/>
          <w:szCs w:val="20"/>
        </w:rPr>
        <w:t xml:space="preserve"> </w:t>
      </w:r>
      <w:r w:rsidR="007241B0" w:rsidRPr="007241B0">
        <w:rPr>
          <w:color w:val="000000" w:themeColor="text1"/>
          <w:sz w:val="20"/>
          <w:szCs w:val="20"/>
        </w:rPr>
        <w:t>(Cuban</w:t>
      </w:r>
      <w:r w:rsidR="00FF41A0">
        <w:rPr>
          <w:color w:val="000000" w:themeColor="text1"/>
          <w:sz w:val="20"/>
          <w:szCs w:val="20"/>
        </w:rPr>
        <w:t xml:space="preserve"> </w:t>
      </w:r>
      <w:r w:rsidR="007241B0" w:rsidRPr="007241B0">
        <w:rPr>
          <w:color w:val="000000" w:themeColor="text1"/>
          <w:sz w:val="20"/>
          <w:szCs w:val="20"/>
        </w:rPr>
        <w:t>United</w:t>
      </w:r>
      <w:r w:rsidR="00FF41A0">
        <w:rPr>
          <w:color w:val="000000" w:themeColor="text1"/>
          <w:sz w:val="20"/>
          <w:szCs w:val="20"/>
        </w:rPr>
        <w:t xml:space="preserve"> </w:t>
      </w:r>
      <w:r w:rsidR="007241B0" w:rsidRPr="007241B0">
        <w:rPr>
          <w:color w:val="000000" w:themeColor="text1"/>
          <w:sz w:val="20"/>
          <w:szCs w:val="20"/>
        </w:rPr>
        <w:t>Nations</w:t>
      </w:r>
      <w:r w:rsidR="00FF41A0">
        <w:rPr>
          <w:color w:val="000000" w:themeColor="text1"/>
          <w:sz w:val="20"/>
          <w:szCs w:val="20"/>
        </w:rPr>
        <w:t xml:space="preserve"> </w:t>
      </w:r>
      <w:r w:rsidR="007241B0" w:rsidRPr="007241B0">
        <w:rPr>
          <w:color w:val="000000" w:themeColor="text1"/>
          <w:sz w:val="20"/>
          <w:szCs w:val="20"/>
        </w:rPr>
        <w:t>Association)</w:t>
      </w:r>
      <w:r w:rsidR="007241B0">
        <w:rPr>
          <w:color w:val="000000" w:themeColor="text1"/>
          <w:sz w:val="20"/>
          <w:szCs w:val="20"/>
        </w:rPr>
        <w:t>;</w:t>
      </w:r>
      <w:r w:rsidR="00FF41A0">
        <w:rPr>
          <w:color w:val="000000" w:themeColor="text1"/>
          <w:sz w:val="20"/>
          <w:szCs w:val="20"/>
        </w:rPr>
        <w:t xml:space="preserve"> </w:t>
      </w:r>
      <w:r w:rsidR="007241B0" w:rsidRPr="007241B0">
        <w:rPr>
          <w:color w:val="000000" w:themeColor="text1"/>
          <w:sz w:val="20"/>
          <w:szCs w:val="20"/>
        </w:rPr>
        <w:t>Asociacion</w:t>
      </w:r>
      <w:r w:rsidR="00FF41A0">
        <w:rPr>
          <w:color w:val="000000" w:themeColor="text1"/>
          <w:sz w:val="20"/>
          <w:szCs w:val="20"/>
        </w:rPr>
        <w:t xml:space="preserve"> </w:t>
      </w:r>
      <w:r w:rsidR="007241B0" w:rsidRPr="007241B0">
        <w:rPr>
          <w:color w:val="000000" w:themeColor="text1"/>
          <w:sz w:val="20"/>
          <w:szCs w:val="20"/>
        </w:rPr>
        <w:t>HazteOir.org</w:t>
      </w:r>
      <w:r w:rsidR="007241B0">
        <w:rPr>
          <w:color w:val="000000" w:themeColor="text1"/>
          <w:sz w:val="20"/>
          <w:szCs w:val="20"/>
        </w:rPr>
        <w:t>;</w:t>
      </w:r>
      <w:r w:rsidR="00FF41A0">
        <w:rPr>
          <w:color w:val="000000" w:themeColor="text1"/>
          <w:sz w:val="20"/>
          <w:szCs w:val="20"/>
        </w:rPr>
        <w:t xml:space="preserve"> </w:t>
      </w:r>
      <w:r w:rsidR="007241B0" w:rsidRPr="007241B0">
        <w:rPr>
          <w:color w:val="000000" w:themeColor="text1"/>
          <w:sz w:val="20"/>
          <w:szCs w:val="20"/>
        </w:rPr>
        <w:t>Beijing</w:t>
      </w:r>
      <w:r w:rsidR="00FF41A0">
        <w:rPr>
          <w:color w:val="000000" w:themeColor="text1"/>
          <w:sz w:val="20"/>
          <w:szCs w:val="20"/>
        </w:rPr>
        <w:t xml:space="preserve"> </w:t>
      </w:r>
      <w:r w:rsidR="007241B0" w:rsidRPr="007241B0">
        <w:rPr>
          <w:color w:val="000000" w:themeColor="text1"/>
          <w:sz w:val="20"/>
          <w:szCs w:val="20"/>
        </w:rPr>
        <w:t>Children</w:t>
      </w:r>
      <w:r w:rsidR="00D72627">
        <w:rPr>
          <w:color w:val="000000" w:themeColor="text1"/>
          <w:sz w:val="20"/>
          <w:szCs w:val="20"/>
        </w:rPr>
        <w:t>’</w:t>
      </w:r>
      <w:r w:rsidR="007241B0" w:rsidRPr="007241B0">
        <w:rPr>
          <w:color w:val="000000" w:themeColor="text1"/>
          <w:sz w:val="20"/>
          <w:szCs w:val="20"/>
        </w:rPr>
        <w:t>s</w:t>
      </w:r>
      <w:r w:rsidR="00FF41A0">
        <w:rPr>
          <w:color w:val="000000" w:themeColor="text1"/>
          <w:sz w:val="20"/>
          <w:szCs w:val="20"/>
        </w:rPr>
        <w:t xml:space="preserve"> </w:t>
      </w:r>
      <w:r w:rsidR="007241B0" w:rsidRPr="007241B0">
        <w:rPr>
          <w:color w:val="000000" w:themeColor="text1"/>
          <w:sz w:val="20"/>
          <w:szCs w:val="20"/>
        </w:rPr>
        <w:t>Legal</w:t>
      </w:r>
      <w:r w:rsidR="00FF41A0">
        <w:rPr>
          <w:color w:val="000000" w:themeColor="text1"/>
          <w:sz w:val="20"/>
          <w:szCs w:val="20"/>
        </w:rPr>
        <w:t xml:space="preserve"> </w:t>
      </w:r>
      <w:r w:rsidR="007241B0" w:rsidRPr="007241B0">
        <w:rPr>
          <w:color w:val="000000" w:themeColor="text1"/>
          <w:sz w:val="20"/>
          <w:szCs w:val="20"/>
        </w:rPr>
        <w:t>Aid</w:t>
      </w:r>
      <w:r w:rsidR="00FF41A0">
        <w:rPr>
          <w:color w:val="000000" w:themeColor="text1"/>
          <w:sz w:val="20"/>
          <w:szCs w:val="20"/>
        </w:rPr>
        <w:t xml:space="preserve"> </w:t>
      </w:r>
      <w:r w:rsidR="007241B0" w:rsidRPr="007241B0">
        <w:rPr>
          <w:color w:val="000000" w:themeColor="text1"/>
          <w:sz w:val="20"/>
          <w:szCs w:val="20"/>
        </w:rPr>
        <w:t>and</w:t>
      </w:r>
      <w:r w:rsidR="00FF41A0">
        <w:rPr>
          <w:color w:val="000000" w:themeColor="text1"/>
          <w:sz w:val="20"/>
          <w:szCs w:val="20"/>
        </w:rPr>
        <w:t xml:space="preserve"> </w:t>
      </w:r>
      <w:r w:rsidR="007241B0" w:rsidRPr="007241B0">
        <w:rPr>
          <w:color w:val="000000" w:themeColor="text1"/>
          <w:sz w:val="20"/>
          <w:szCs w:val="20"/>
        </w:rPr>
        <w:t>Research</w:t>
      </w:r>
      <w:r w:rsidR="00FF41A0">
        <w:rPr>
          <w:color w:val="000000" w:themeColor="text1"/>
          <w:sz w:val="20"/>
          <w:szCs w:val="20"/>
        </w:rPr>
        <w:t xml:space="preserve"> </w:t>
      </w:r>
      <w:r w:rsidR="007241B0" w:rsidRPr="007241B0">
        <w:rPr>
          <w:color w:val="000000" w:themeColor="text1"/>
          <w:sz w:val="20"/>
          <w:szCs w:val="20"/>
        </w:rPr>
        <w:t>Center</w:t>
      </w:r>
      <w:r w:rsidR="007241B0">
        <w:rPr>
          <w:color w:val="000000" w:themeColor="text1"/>
          <w:sz w:val="20"/>
          <w:szCs w:val="20"/>
        </w:rPr>
        <w:t>;</w:t>
      </w:r>
      <w:r w:rsidR="00FF41A0">
        <w:rPr>
          <w:color w:val="000000" w:themeColor="text1"/>
          <w:sz w:val="20"/>
          <w:szCs w:val="20"/>
        </w:rPr>
        <w:t xml:space="preserve"> </w:t>
      </w:r>
      <w:r w:rsidR="007241B0" w:rsidRPr="007241B0">
        <w:rPr>
          <w:color w:val="000000" w:themeColor="text1"/>
          <w:sz w:val="20"/>
          <w:szCs w:val="20"/>
        </w:rPr>
        <w:t>Beijing</w:t>
      </w:r>
      <w:r w:rsidR="00FF41A0">
        <w:rPr>
          <w:color w:val="000000" w:themeColor="text1"/>
          <w:sz w:val="20"/>
          <w:szCs w:val="20"/>
        </w:rPr>
        <w:t xml:space="preserve"> </w:t>
      </w:r>
      <w:r w:rsidR="007241B0" w:rsidRPr="007241B0">
        <w:rPr>
          <w:color w:val="000000" w:themeColor="text1"/>
          <w:sz w:val="20"/>
          <w:szCs w:val="20"/>
        </w:rPr>
        <w:t>NGO</w:t>
      </w:r>
      <w:r w:rsidR="00FF41A0">
        <w:rPr>
          <w:color w:val="000000" w:themeColor="text1"/>
          <w:sz w:val="20"/>
          <w:szCs w:val="20"/>
        </w:rPr>
        <w:t xml:space="preserve"> </w:t>
      </w:r>
      <w:r w:rsidR="007241B0" w:rsidRPr="007241B0">
        <w:rPr>
          <w:color w:val="000000" w:themeColor="text1"/>
          <w:sz w:val="20"/>
          <w:szCs w:val="20"/>
        </w:rPr>
        <w:t>Association</w:t>
      </w:r>
      <w:r w:rsidR="00FF41A0">
        <w:rPr>
          <w:color w:val="000000" w:themeColor="text1"/>
          <w:sz w:val="20"/>
          <w:szCs w:val="20"/>
        </w:rPr>
        <w:t xml:space="preserve"> </w:t>
      </w:r>
      <w:r w:rsidR="007241B0" w:rsidRPr="007241B0">
        <w:rPr>
          <w:color w:val="000000" w:themeColor="text1"/>
          <w:sz w:val="20"/>
          <w:szCs w:val="20"/>
        </w:rPr>
        <w:t>for</w:t>
      </w:r>
      <w:r w:rsidR="00FF41A0">
        <w:rPr>
          <w:color w:val="000000" w:themeColor="text1"/>
          <w:sz w:val="20"/>
          <w:szCs w:val="20"/>
        </w:rPr>
        <w:t xml:space="preserve"> </w:t>
      </w:r>
      <w:r w:rsidR="007241B0" w:rsidRPr="007241B0">
        <w:rPr>
          <w:color w:val="000000" w:themeColor="text1"/>
          <w:sz w:val="20"/>
          <w:szCs w:val="20"/>
        </w:rPr>
        <w:t>International</w:t>
      </w:r>
      <w:r w:rsidR="00FF41A0">
        <w:rPr>
          <w:color w:val="000000" w:themeColor="text1"/>
          <w:sz w:val="20"/>
          <w:szCs w:val="20"/>
        </w:rPr>
        <w:t xml:space="preserve"> </w:t>
      </w:r>
      <w:r w:rsidR="007241B0" w:rsidRPr="007241B0">
        <w:rPr>
          <w:color w:val="000000" w:themeColor="text1"/>
          <w:sz w:val="20"/>
          <w:szCs w:val="20"/>
        </w:rPr>
        <w:t>Exchanges</w:t>
      </w:r>
      <w:r w:rsidR="007241B0">
        <w:rPr>
          <w:color w:val="000000" w:themeColor="text1"/>
          <w:sz w:val="20"/>
          <w:szCs w:val="20"/>
        </w:rPr>
        <w:t>;</w:t>
      </w:r>
      <w:r w:rsidR="00FF41A0">
        <w:rPr>
          <w:color w:val="000000" w:themeColor="text1"/>
          <w:sz w:val="20"/>
          <w:szCs w:val="20"/>
        </w:rPr>
        <w:t xml:space="preserve"> </w:t>
      </w:r>
      <w:r w:rsidR="007241B0" w:rsidRPr="007241B0">
        <w:rPr>
          <w:color w:val="000000" w:themeColor="text1"/>
          <w:sz w:val="20"/>
          <w:szCs w:val="20"/>
        </w:rPr>
        <w:t>Beijing</w:t>
      </w:r>
      <w:r w:rsidR="00FF41A0">
        <w:rPr>
          <w:color w:val="000000" w:themeColor="text1"/>
          <w:sz w:val="20"/>
          <w:szCs w:val="20"/>
        </w:rPr>
        <w:t xml:space="preserve"> </w:t>
      </w:r>
      <w:r w:rsidR="007241B0" w:rsidRPr="007241B0">
        <w:rPr>
          <w:color w:val="000000" w:themeColor="text1"/>
          <w:sz w:val="20"/>
          <w:szCs w:val="20"/>
        </w:rPr>
        <w:t>Zhicheng</w:t>
      </w:r>
      <w:r w:rsidR="00FF41A0">
        <w:rPr>
          <w:color w:val="000000" w:themeColor="text1"/>
          <w:sz w:val="20"/>
          <w:szCs w:val="20"/>
        </w:rPr>
        <w:t xml:space="preserve"> </w:t>
      </w:r>
      <w:r w:rsidR="007241B0" w:rsidRPr="007241B0">
        <w:rPr>
          <w:color w:val="000000" w:themeColor="text1"/>
          <w:sz w:val="20"/>
          <w:szCs w:val="20"/>
        </w:rPr>
        <w:t>Migrant</w:t>
      </w:r>
      <w:r w:rsidR="00FF41A0">
        <w:rPr>
          <w:color w:val="000000" w:themeColor="text1"/>
          <w:sz w:val="20"/>
          <w:szCs w:val="20"/>
        </w:rPr>
        <w:t xml:space="preserve"> </w:t>
      </w:r>
      <w:r w:rsidR="007241B0" w:rsidRPr="007241B0">
        <w:rPr>
          <w:color w:val="000000" w:themeColor="text1"/>
          <w:sz w:val="20"/>
          <w:szCs w:val="20"/>
        </w:rPr>
        <w:t>Workers</w:t>
      </w:r>
      <w:r w:rsidR="00D72627">
        <w:rPr>
          <w:color w:val="000000" w:themeColor="text1"/>
          <w:sz w:val="20"/>
          <w:szCs w:val="20"/>
        </w:rPr>
        <w:t>’</w:t>
      </w:r>
      <w:r w:rsidR="00FF41A0">
        <w:rPr>
          <w:color w:val="000000" w:themeColor="text1"/>
          <w:sz w:val="20"/>
          <w:szCs w:val="20"/>
        </w:rPr>
        <w:t xml:space="preserve"> </w:t>
      </w:r>
      <w:r w:rsidR="007241B0" w:rsidRPr="007241B0">
        <w:rPr>
          <w:color w:val="000000" w:themeColor="text1"/>
          <w:sz w:val="20"/>
          <w:szCs w:val="20"/>
        </w:rPr>
        <w:t>Legal</w:t>
      </w:r>
      <w:r w:rsidR="00FF41A0">
        <w:rPr>
          <w:color w:val="000000" w:themeColor="text1"/>
          <w:sz w:val="20"/>
          <w:szCs w:val="20"/>
        </w:rPr>
        <w:t xml:space="preserve"> </w:t>
      </w:r>
      <w:r w:rsidR="007241B0" w:rsidRPr="007241B0">
        <w:rPr>
          <w:color w:val="000000" w:themeColor="text1"/>
          <w:sz w:val="20"/>
          <w:szCs w:val="20"/>
        </w:rPr>
        <w:t>Aid</w:t>
      </w:r>
      <w:r w:rsidR="00FF41A0">
        <w:rPr>
          <w:color w:val="000000" w:themeColor="text1"/>
          <w:sz w:val="20"/>
          <w:szCs w:val="20"/>
        </w:rPr>
        <w:t xml:space="preserve"> </w:t>
      </w:r>
      <w:r w:rsidR="007241B0" w:rsidRPr="007241B0">
        <w:rPr>
          <w:color w:val="000000" w:themeColor="text1"/>
          <w:sz w:val="20"/>
          <w:szCs w:val="20"/>
        </w:rPr>
        <w:t>and</w:t>
      </w:r>
      <w:r w:rsidR="00FF41A0">
        <w:rPr>
          <w:color w:val="000000" w:themeColor="text1"/>
          <w:sz w:val="20"/>
          <w:szCs w:val="20"/>
        </w:rPr>
        <w:t xml:space="preserve"> </w:t>
      </w:r>
      <w:r w:rsidR="007241B0" w:rsidRPr="007241B0">
        <w:rPr>
          <w:color w:val="000000" w:themeColor="text1"/>
          <w:sz w:val="20"/>
          <w:szCs w:val="20"/>
        </w:rPr>
        <w:t>Research</w:t>
      </w:r>
      <w:r w:rsidR="00FF41A0">
        <w:rPr>
          <w:color w:val="000000" w:themeColor="text1"/>
          <w:sz w:val="20"/>
          <w:szCs w:val="20"/>
        </w:rPr>
        <w:t xml:space="preserve"> </w:t>
      </w:r>
      <w:r w:rsidR="007241B0" w:rsidRPr="007241B0">
        <w:rPr>
          <w:color w:val="000000" w:themeColor="text1"/>
          <w:sz w:val="20"/>
          <w:szCs w:val="20"/>
        </w:rPr>
        <w:t>Center</w:t>
      </w:r>
      <w:r w:rsidR="007241B0">
        <w:rPr>
          <w:color w:val="000000" w:themeColor="text1"/>
          <w:sz w:val="20"/>
          <w:szCs w:val="20"/>
        </w:rPr>
        <w:t>;</w:t>
      </w:r>
      <w:r w:rsidR="00FF41A0">
        <w:rPr>
          <w:color w:val="000000" w:themeColor="text1"/>
          <w:sz w:val="20"/>
          <w:szCs w:val="20"/>
        </w:rPr>
        <w:t xml:space="preserve"> </w:t>
      </w:r>
      <w:r w:rsidR="007241B0" w:rsidRPr="007241B0">
        <w:rPr>
          <w:color w:val="000000" w:themeColor="text1"/>
          <w:sz w:val="20"/>
          <w:szCs w:val="20"/>
        </w:rPr>
        <w:t>China</w:t>
      </w:r>
      <w:r w:rsidR="00FF41A0">
        <w:rPr>
          <w:color w:val="000000" w:themeColor="text1"/>
          <w:sz w:val="20"/>
          <w:szCs w:val="20"/>
        </w:rPr>
        <w:t xml:space="preserve"> </w:t>
      </w:r>
      <w:r w:rsidR="007241B0" w:rsidRPr="007241B0">
        <w:rPr>
          <w:color w:val="000000" w:themeColor="text1"/>
          <w:sz w:val="20"/>
          <w:szCs w:val="20"/>
        </w:rPr>
        <w:t>Disabled</w:t>
      </w:r>
      <w:r w:rsidR="00FF41A0">
        <w:rPr>
          <w:color w:val="000000" w:themeColor="text1"/>
          <w:sz w:val="20"/>
          <w:szCs w:val="20"/>
        </w:rPr>
        <w:t xml:space="preserve"> </w:t>
      </w:r>
      <w:r w:rsidR="007241B0" w:rsidRPr="007241B0">
        <w:rPr>
          <w:color w:val="000000" w:themeColor="text1"/>
          <w:sz w:val="20"/>
          <w:szCs w:val="20"/>
        </w:rPr>
        <w:t>Person</w:t>
      </w:r>
      <w:r w:rsidR="00D72627">
        <w:rPr>
          <w:color w:val="000000" w:themeColor="text1"/>
          <w:sz w:val="20"/>
          <w:szCs w:val="20"/>
        </w:rPr>
        <w:t>’</w:t>
      </w:r>
      <w:r w:rsidR="007241B0" w:rsidRPr="007241B0">
        <w:rPr>
          <w:color w:val="000000" w:themeColor="text1"/>
          <w:sz w:val="20"/>
          <w:szCs w:val="20"/>
        </w:rPr>
        <w:t>s</w:t>
      </w:r>
      <w:r w:rsidR="00FF41A0">
        <w:rPr>
          <w:color w:val="000000" w:themeColor="text1"/>
          <w:sz w:val="20"/>
          <w:szCs w:val="20"/>
        </w:rPr>
        <w:t xml:space="preserve"> </w:t>
      </w:r>
      <w:r w:rsidR="007241B0" w:rsidRPr="007241B0">
        <w:rPr>
          <w:color w:val="000000" w:themeColor="text1"/>
          <w:sz w:val="20"/>
          <w:szCs w:val="20"/>
        </w:rPr>
        <w:t>Federation</w:t>
      </w:r>
      <w:r w:rsidR="007241B0">
        <w:rPr>
          <w:color w:val="000000" w:themeColor="text1"/>
          <w:sz w:val="20"/>
          <w:szCs w:val="20"/>
        </w:rPr>
        <w:t>;</w:t>
      </w:r>
      <w:r w:rsidR="00FF41A0">
        <w:rPr>
          <w:color w:val="000000" w:themeColor="text1"/>
          <w:sz w:val="20"/>
          <w:szCs w:val="20"/>
        </w:rPr>
        <w:t xml:space="preserve"> </w:t>
      </w:r>
      <w:r w:rsidR="007241B0" w:rsidRPr="007241B0">
        <w:rPr>
          <w:color w:val="000000" w:themeColor="text1"/>
          <w:sz w:val="20"/>
          <w:szCs w:val="20"/>
        </w:rPr>
        <w:t>China</w:t>
      </w:r>
      <w:r w:rsidR="00FF41A0">
        <w:rPr>
          <w:color w:val="000000" w:themeColor="text1"/>
          <w:sz w:val="20"/>
          <w:szCs w:val="20"/>
        </w:rPr>
        <w:t xml:space="preserve"> </w:t>
      </w:r>
      <w:r w:rsidR="007241B0" w:rsidRPr="007241B0">
        <w:rPr>
          <w:color w:val="000000" w:themeColor="text1"/>
          <w:sz w:val="20"/>
          <w:szCs w:val="20"/>
        </w:rPr>
        <w:t>Foundation</w:t>
      </w:r>
      <w:r w:rsidR="00FF41A0">
        <w:rPr>
          <w:color w:val="000000" w:themeColor="text1"/>
          <w:sz w:val="20"/>
          <w:szCs w:val="20"/>
        </w:rPr>
        <w:t xml:space="preserve"> </w:t>
      </w:r>
      <w:r w:rsidR="007241B0" w:rsidRPr="007241B0">
        <w:rPr>
          <w:color w:val="000000" w:themeColor="text1"/>
          <w:sz w:val="20"/>
          <w:szCs w:val="20"/>
        </w:rPr>
        <w:t>for</w:t>
      </w:r>
      <w:r w:rsidR="00FF41A0">
        <w:rPr>
          <w:color w:val="000000" w:themeColor="text1"/>
          <w:sz w:val="20"/>
          <w:szCs w:val="20"/>
        </w:rPr>
        <w:t xml:space="preserve"> </w:t>
      </w:r>
      <w:r w:rsidR="007241B0" w:rsidRPr="007241B0">
        <w:rPr>
          <w:color w:val="000000" w:themeColor="text1"/>
          <w:sz w:val="20"/>
          <w:szCs w:val="20"/>
        </w:rPr>
        <w:t>Poverty</w:t>
      </w:r>
      <w:r w:rsidR="00FF41A0">
        <w:rPr>
          <w:color w:val="000000" w:themeColor="text1"/>
          <w:sz w:val="20"/>
          <w:szCs w:val="20"/>
        </w:rPr>
        <w:t xml:space="preserve"> </w:t>
      </w:r>
      <w:r w:rsidR="007241B0" w:rsidRPr="007241B0">
        <w:rPr>
          <w:color w:val="000000" w:themeColor="text1"/>
          <w:sz w:val="20"/>
          <w:szCs w:val="20"/>
        </w:rPr>
        <w:t>Alleviation</w:t>
      </w:r>
      <w:r w:rsidR="007241B0">
        <w:rPr>
          <w:color w:val="000000" w:themeColor="text1"/>
          <w:sz w:val="20"/>
          <w:szCs w:val="20"/>
        </w:rPr>
        <w:t>;</w:t>
      </w:r>
      <w:r w:rsidR="00FF41A0">
        <w:rPr>
          <w:color w:val="000000" w:themeColor="text1"/>
          <w:sz w:val="20"/>
          <w:szCs w:val="20"/>
        </w:rPr>
        <w:t xml:space="preserve"> </w:t>
      </w:r>
      <w:r w:rsidR="007241B0" w:rsidRPr="007241B0">
        <w:rPr>
          <w:color w:val="000000" w:themeColor="text1"/>
          <w:sz w:val="20"/>
          <w:szCs w:val="20"/>
        </w:rPr>
        <w:t>China</w:t>
      </w:r>
      <w:r w:rsidR="00FF41A0">
        <w:rPr>
          <w:color w:val="000000" w:themeColor="text1"/>
          <w:sz w:val="20"/>
          <w:szCs w:val="20"/>
        </w:rPr>
        <w:t xml:space="preserve"> </w:t>
      </w:r>
      <w:r w:rsidR="007241B0" w:rsidRPr="007241B0">
        <w:rPr>
          <w:color w:val="000000" w:themeColor="text1"/>
          <w:sz w:val="20"/>
          <w:szCs w:val="20"/>
        </w:rPr>
        <w:t>Society</w:t>
      </w:r>
      <w:r w:rsidR="00FF41A0">
        <w:rPr>
          <w:color w:val="000000" w:themeColor="text1"/>
          <w:sz w:val="20"/>
          <w:szCs w:val="20"/>
        </w:rPr>
        <w:t xml:space="preserve"> </w:t>
      </w:r>
      <w:r w:rsidR="007241B0" w:rsidRPr="007241B0">
        <w:rPr>
          <w:color w:val="000000" w:themeColor="text1"/>
          <w:sz w:val="20"/>
          <w:szCs w:val="20"/>
        </w:rPr>
        <w:t>for</w:t>
      </w:r>
      <w:r w:rsidR="00FF41A0">
        <w:rPr>
          <w:color w:val="000000" w:themeColor="text1"/>
          <w:sz w:val="20"/>
          <w:szCs w:val="20"/>
        </w:rPr>
        <w:t xml:space="preserve"> </w:t>
      </w:r>
      <w:r w:rsidR="007241B0" w:rsidRPr="007241B0">
        <w:rPr>
          <w:color w:val="000000" w:themeColor="text1"/>
          <w:sz w:val="20"/>
          <w:szCs w:val="20"/>
        </w:rPr>
        <w:t>Human</w:t>
      </w:r>
      <w:r w:rsidR="00FF41A0">
        <w:rPr>
          <w:color w:val="000000" w:themeColor="text1"/>
          <w:sz w:val="20"/>
          <w:szCs w:val="20"/>
        </w:rPr>
        <w:t xml:space="preserve"> </w:t>
      </w:r>
      <w:r w:rsidR="007241B0" w:rsidRPr="007241B0">
        <w:rPr>
          <w:color w:val="000000" w:themeColor="text1"/>
          <w:sz w:val="20"/>
          <w:szCs w:val="20"/>
        </w:rPr>
        <w:t>Rights</w:t>
      </w:r>
      <w:r w:rsidR="00FF41A0">
        <w:rPr>
          <w:color w:val="000000" w:themeColor="text1"/>
          <w:sz w:val="20"/>
          <w:szCs w:val="20"/>
        </w:rPr>
        <w:t xml:space="preserve"> </w:t>
      </w:r>
      <w:r w:rsidR="007241B0" w:rsidRPr="007241B0">
        <w:rPr>
          <w:color w:val="000000" w:themeColor="text1"/>
          <w:sz w:val="20"/>
          <w:szCs w:val="20"/>
        </w:rPr>
        <w:t>Studies</w:t>
      </w:r>
      <w:r w:rsidR="00FF41A0">
        <w:rPr>
          <w:color w:val="000000" w:themeColor="text1"/>
          <w:sz w:val="20"/>
          <w:szCs w:val="20"/>
        </w:rPr>
        <w:t xml:space="preserve"> </w:t>
      </w:r>
      <w:r w:rsidR="007241B0" w:rsidRPr="007241B0">
        <w:rPr>
          <w:color w:val="000000" w:themeColor="text1"/>
          <w:sz w:val="20"/>
          <w:szCs w:val="20"/>
        </w:rPr>
        <w:t>(CSHRS)</w:t>
      </w:r>
      <w:r w:rsidR="007241B0">
        <w:rPr>
          <w:color w:val="000000" w:themeColor="text1"/>
          <w:sz w:val="20"/>
          <w:szCs w:val="20"/>
        </w:rPr>
        <w:t>;</w:t>
      </w:r>
      <w:r w:rsidR="00FF41A0">
        <w:rPr>
          <w:color w:val="000000" w:themeColor="text1"/>
          <w:sz w:val="20"/>
          <w:szCs w:val="20"/>
        </w:rPr>
        <w:t xml:space="preserve"> </w:t>
      </w:r>
      <w:r w:rsidR="007241B0" w:rsidRPr="007241B0">
        <w:rPr>
          <w:color w:val="000000" w:themeColor="text1"/>
          <w:sz w:val="20"/>
          <w:szCs w:val="20"/>
        </w:rPr>
        <w:t>Christian</w:t>
      </w:r>
      <w:r w:rsidR="00FF41A0">
        <w:rPr>
          <w:color w:val="000000" w:themeColor="text1"/>
          <w:sz w:val="20"/>
          <w:szCs w:val="20"/>
        </w:rPr>
        <w:t xml:space="preserve"> </w:t>
      </w:r>
      <w:r w:rsidR="007241B0" w:rsidRPr="007241B0">
        <w:rPr>
          <w:color w:val="000000" w:themeColor="text1"/>
          <w:sz w:val="20"/>
          <w:szCs w:val="20"/>
        </w:rPr>
        <w:t>Solidarity</w:t>
      </w:r>
      <w:r w:rsidR="00FF41A0">
        <w:rPr>
          <w:color w:val="000000" w:themeColor="text1"/>
          <w:sz w:val="20"/>
          <w:szCs w:val="20"/>
        </w:rPr>
        <w:t xml:space="preserve"> </w:t>
      </w:r>
      <w:r w:rsidR="007241B0" w:rsidRPr="007241B0">
        <w:rPr>
          <w:color w:val="000000" w:themeColor="text1"/>
          <w:sz w:val="20"/>
          <w:szCs w:val="20"/>
        </w:rPr>
        <w:t>Worldwide</w:t>
      </w:r>
      <w:r w:rsidR="00FF41A0">
        <w:rPr>
          <w:color w:val="000000" w:themeColor="text1"/>
          <w:sz w:val="20"/>
          <w:szCs w:val="20"/>
        </w:rPr>
        <w:t xml:space="preserve"> </w:t>
      </w:r>
      <w:r w:rsidR="007241B0">
        <w:rPr>
          <w:color w:val="000000" w:themeColor="text1"/>
          <w:sz w:val="20"/>
          <w:szCs w:val="20"/>
        </w:rPr>
        <w:t>(also</w:t>
      </w:r>
      <w:r w:rsidR="00FF41A0">
        <w:rPr>
          <w:color w:val="000000" w:themeColor="text1"/>
          <w:sz w:val="20"/>
          <w:szCs w:val="20"/>
        </w:rPr>
        <w:t xml:space="preserve"> </w:t>
      </w:r>
      <w:r w:rsidR="007241B0">
        <w:rPr>
          <w:color w:val="000000" w:themeColor="text1"/>
          <w:sz w:val="20"/>
          <w:szCs w:val="20"/>
        </w:rPr>
        <w:t>on</w:t>
      </w:r>
      <w:r w:rsidR="00FF41A0">
        <w:rPr>
          <w:color w:val="000000" w:themeColor="text1"/>
          <w:sz w:val="20"/>
          <w:szCs w:val="20"/>
        </w:rPr>
        <w:t xml:space="preserve"> </w:t>
      </w:r>
      <w:r w:rsidR="007241B0">
        <w:rPr>
          <w:color w:val="000000" w:themeColor="text1"/>
          <w:sz w:val="20"/>
          <w:szCs w:val="20"/>
        </w:rPr>
        <w:t>behalf</w:t>
      </w:r>
      <w:r w:rsidR="00FF41A0">
        <w:rPr>
          <w:color w:val="000000" w:themeColor="text1"/>
          <w:sz w:val="20"/>
          <w:szCs w:val="20"/>
        </w:rPr>
        <w:t xml:space="preserve"> </w:t>
      </w:r>
      <w:r w:rsidR="007241B0">
        <w:rPr>
          <w:color w:val="000000" w:themeColor="text1"/>
          <w:sz w:val="20"/>
          <w:szCs w:val="20"/>
        </w:rPr>
        <w:t>of</w:t>
      </w:r>
      <w:r w:rsidR="00FF41A0">
        <w:rPr>
          <w:color w:val="000000" w:themeColor="text1"/>
          <w:sz w:val="20"/>
          <w:szCs w:val="20"/>
        </w:rPr>
        <w:t xml:space="preserve"> </w:t>
      </w:r>
      <w:r w:rsidR="007241B0" w:rsidRPr="007241B0">
        <w:rPr>
          <w:color w:val="000000" w:themeColor="text1"/>
          <w:sz w:val="20"/>
          <w:szCs w:val="20"/>
        </w:rPr>
        <w:t>Alliance</w:t>
      </w:r>
      <w:r w:rsidR="00FF41A0">
        <w:rPr>
          <w:color w:val="000000" w:themeColor="text1"/>
          <w:sz w:val="20"/>
          <w:szCs w:val="20"/>
        </w:rPr>
        <w:t xml:space="preserve"> </w:t>
      </w:r>
      <w:r w:rsidR="007241B0" w:rsidRPr="007241B0">
        <w:rPr>
          <w:color w:val="000000" w:themeColor="text1"/>
          <w:sz w:val="20"/>
          <w:szCs w:val="20"/>
        </w:rPr>
        <w:t>Defending</w:t>
      </w:r>
      <w:r w:rsidR="00FF41A0">
        <w:rPr>
          <w:color w:val="000000" w:themeColor="text1"/>
          <w:sz w:val="20"/>
          <w:szCs w:val="20"/>
        </w:rPr>
        <w:t xml:space="preserve"> </w:t>
      </w:r>
      <w:r w:rsidR="007241B0" w:rsidRPr="007241B0">
        <w:rPr>
          <w:color w:val="000000" w:themeColor="text1"/>
          <w:sz w:val="20"/>
          <w:szCs w:val="20"/>
        </w:rPr>
        <w:t>Freedom</w:t>
      </w:r>
      <w:r w:rsidR="007241B0">
        <w:rPr>
          <w:color w:val="000000" w:themeColor="text1"/>
          <w:sz w:val="20"/>
          <w:szCs w:val="20"/>
        </w:rPr>
        <w:t>;</w:t>
      </w:r>
      <w:r w:rsidR="00FF41A0">
        <w:rPr>
          <w:color w:val="000000" w:themeColor="text1"/>
          <w:sz w:val="20"/>
          <w:szCs w:val="20"/>
        </w:rPr>
        <w:t xml:space="preserve"> </w:t>
      </w:r>
      <w:r w:rsidR="007241B0" w:rsidRPr="007241B0">
        <w:rPr>
          <w:color w:val="000000" w:themeColor="text1"/>
          <w:sz w:val="20"/>
          <w:szCs w:val="20"/>
        </w:rPr>
        <w:t>Center</w:t>
      </w:r>
      <w:r w:rsidR="00FF41A0">
        <w:rPr>
          <w:color w:val="000000" w:themeColor="text1"/>
          <w:sz w:val="20"/>
          <w:szCs w:val="20"/>
        </w:rPr>
        <w:t xml:space="preserve"> </w:t>
      </w:r>
      <w:r w:rsidR="007241B0" w:rsidRPr="007241B0">
        <w:rPr>
          <w:color w:val="000000" w:themeColor="text1"/>
          <w:sz w:val="20"/>
          <w:szCs w:val="20"/>
        </w:rPr>
        <w:t>for</w:t>
      </w:r>
      <w:r w:rsidR="00FF41A0">
        <w:rPr>
          <w:color w:val="000000" w:themeColor="text1"/>
          <w:sz w:val="20"/>
          <w:szCs w:val="20"/>
        </w:rPr>
        <w:t xml:space="preserve"> </w:t>
      </w:r>
      <w:r w:rsidR="007241B0" w:rsidRPr="007241B0">
        <w:rPr>
          <w:color w:val="000000" w:themeColor="text1"/>
          <w:sz w:val="20"/>
          <w:szCs w:val="20"/>
        </w:rPr>
        <w:t>Inquiry</w:t>
      </w:r>
      <w:r w:rsidR="007241B0">
        <w:rPr>
          <w:color w:val="000000" w:themeColor="text1"/>
          <w:sz w:val="20"/>
          <w:szCs w:val="20"/>
        </w:rPr>
        <w:t>;</w:t>
      </w:r>
      <w:r w:rsidR="00FF41A0">
        <w:rPr>
          <w:color w:val="000000" w:themeColor="text1"/>
          <w:sz w:val="20"/>
          <w:szCs w:val="20"/>
        </w:rPr>
        <w:t xml:space="preserve"> </w:t>
      </w:r>
      <w:r w:rsidR="007241B0" w:rsidRPr="007241B0">
        <w:rPr>
          <w:color w:val="000000" w:themeColor="text1"/>
          <w:sz w:val="20"/>
          <w:szCs w:val="20"/>
        </w:rPr>
        <w:t>Company</w:t>
      </w:r>
      <w:r w:rsidR="00FF41A0">
        <w:rPr>
          <w:color w:val="000000" w:themeColor="text1"/>
          <w:sz w:val="20"/>
          <w:szCs w:val="20"/>
        </w:rPr>
        <w:t xml:space="preserve"> </w:t>
      </w:r>
      <w:r w:rsidR="007241B0" w:rsidRPr="007241B0">
        <w:rPr>
          <w:color w:val="000000" w:themeColor="text1"/>
          <w:sz w:val="20"/>
          <w:szCs w:val="20"/>
        </w:rPr>
        <w:t>of</w:t>
      </w:r>
      <w:r w:rsidR="00FF41A0">
        <w:rPr>
          <w:color w:val="000000" w:themeColor="text1"/>
          <w:sz w:val="20"/>
          <w:szCs w:val="20"/>
        </w:rPr>
        <w:t xml:space="preserve"> </w:t>
      </w:r>
      <w:r w:rsidR="007241B0" w:rsidRPr="007241B0">
        <w:rPr>
          <w:color w:val="000000" w:themeColor="text1"/>
          <w:sz w:val="20"/>
          <w:szCs w:val="20"/>
        </w:rPr>
        <w:t>the</w:t>
      </w:r>
      <w:r w:rsidR="00FF41A0">
        <w:rPr>
          <w:color w:val="000000" w:themeColor="text1"/>
          <w:sz w:val="20"/>
          <w:szCs w:val="20"/>
        </w:rPr>
        <w:t xml:space="preserve"> </w:t>
      </w:r>
      <w:r w:rsidR="007241B0" w:rsidRPr="007241B0">
        <w:rPr>
          <w:color w:val="000000" w:themeColor="text1"/>
          <w:sz w:val="20"/>
          <w:szCs w:val="20"/>
        </w:rPr>
        <w:t>Daughters</w:t>
      </w:r>
      <w:r w:rsidR="00FF41A0">
        <w:rPr>
          <w:color w:val="000000" w:themeColor="text1"/>
          <w:sz w:val="20"/>
          <w:szCs w:val="20"/>
        </w:rPr>
        <w:t xml:space="preserve"> </w:t>
      </w:r>
      <w:r w:rsidR="007241B0" w:rsidRPr="007241B0">
        <w:rPr>
          <w:color w:val="000000" w:themeColor="text1"/>
          <w:sz w:val="20"/>
          <w:szCs w:val="20"/>
        </w:rPr>
        <w:t>of</w:t>
      </w:r>
      <w:r w:rsidR="00FF41A0">
        <w:rPr>
          <w:color w:val="000000" w:themeColor="text1"/>
          <w:sz w:val="20"/>
          <w:szCs w:val="20"/>
        </w:rPr>
        <w:t xml:space="preserve"> </w:t>
      </w:r>
      <w:r w:rsidR="007241B0" w:rsidRPr="007241B0">
        <w:rPr>
          <w:color w:val="000000" w:themeColor="text1"/>
          <w:sz w:val="20"/>
          <w:szCs w:val="20"/>
        </w:rPr>
        <w:t>Charity</w:t>
      </w:r>
      <w:r w:rsidR="00FF41A0">
        <w:rPr>
          <w:color w:val="000000" w:themeColor="text1"/>
          <w:sz w:val="20"/>
          <w:szCs w:val="20"/>
        </w:rPr>
        <w:t xml:space="preserve"> </w:t>
      </w:r>
      <w:r w:rsidR="007241B0" w:rsidRPr="007241B0">
        <w:rPr>
          <w:color w:val="000000" w:themeColor="text1"/>
          <w:sz w:val="20"/>
          <w:szCs w:val="20"/>
        </w:rPr>
        <w:t>of</w:t>
      </w:r>
      <w:r w:rsidR="00FF41A0">
        <w:rPr>
          <w:color w:val="000000" w:themeColor="text1"/>
          <w:sz w:val="20"/>
          <w:szCs w:val="20"/>
        </w:rPr>
        <w:t xml:space="preserve"> </w:t>
      </w:r>
      <w:r w:rsidR="007241B0" w:rsidRPr="007241B0">
        <w:rPr>
          <w:color w:val="000000" w:themeColor="text1"/>
          <w:sz w:val="20"/>
          <w:szCs w:val="20"/>
        </w:rPr>
        <w:t>St.</w:t>
      </w:r>
      <w:r w:rsidR="00FF41A0">
        <w:rPr>
          <w:color w:val="000000" w:themeColor="text1"/>
          <w:sz w:val="20"/>
          <w:szCs w:val="20"/>
        </w:rPr>
        <w:t xml:space="preserve"> </w:t>
      </w:r>
      <w:r w:rsidR="007241B0" w:rsidRPr="007241B0">
        <w:rPr>
          <w:color w:val="000000" w:themeColor="text1"/>
          <w:sz w:val="20"/>
          <w:szCs w:val="20"/>
        </w:rPr>
        <w:t>Vincent</w:t>
      </w:r>
      <w:r w:rsidR="00FF41A0">
        <w:rPr>
          <w:color w:val="000000" w:themeColor="text1"/>
          <w:sz w:val="20"/>
          <w:szCs w:val="20"/>
        </w:rPr>
        <w:t xml:space="preserve"> </w:t>
      </w:r>
      <w:r w:rsidR="007241B0" w:rsidRPr="007241B0">
        <w:rPr>
          <w:color w:val="000000" w:themeColor="text1"/>
          <w:sz w:val="20"/>
          <w:szCs w:val="20"/>
        </w:rPr>
        <w:t>de</w:t>
      </w:r>
      <w:r w:rsidR="00FF41A0">
        <w:rPr>
          <w:color w:val="000000" w:themeColor="text1"/>
          <w:sz w:val="20"/>
          <w:szCs w:val="20"/>
        </w:rPr>
        <w:t xml:space="preserve"> </w:t>
      </w:r>
      <w:r w:rsidR="007241B0" w:rsidRPr="007241B0">
        <w:rPr>
          <w:color w:val="000000" w:themeColor="text1"/>
          <w:sz w:val="20"/>
          <w:szCs w:val="20"/>
        </w:rPr>
        <w:t>Paul</w:t>
      </w:r>
      <w:r w:rsidR="007241B0">
        <w:rPr>
          <w:color w:val="000000" w:themeColor="text1"/>
          <w:sz w:val="20"/>
          <w:szCs w:val="20"/>
        </w:rPr>
        <w:t>;</w:t>
      </w:r>
      <w:r w:rsidR="00FF41A0">
        <w:rPr>
          <w:color w:val="000000" w:themeColor="text1"/>
          <w:sz w:val="20"/>
          <w:szCs w:val="20"/>
        </w:rPr>
        <w:t xml:space="preserve"> </w:t>
      </w:r>
      <w:r w:rsidR="007241B0" w:rsidRPr="007241B0">
        <w:rPr>
          <w:color w:val="000000" w:themeColor="text1"/>
          <w:sz w:val="20"/>
          <w:szCs w:val="20"/>
        </w:rPr>
        <w:t>Coordination</w:t>
      </w:r>
      <w:r w:rsidR="00FF41A0">
        <w:rPr>
          <w:color w:val="000000" w:themeColor="text1"/>
          <w:sz w:val="20"/>
          <w:szCs w:val="20"/>
        </w:rPr>
        <w:t xml:space="preserve"> </w:t>
      </w:r>
      <w:r w:rsidR="007241B0" w:rsidRPr="007241B0">
        <w:rPr>
          <w:color w:val="000000" w:themeColor="text1"/>
          <w:sz w:val="20"/>
          <w:szCs w:val="20"/>
        </w:rPr>
        <w:t>des</w:t>
      </w:r>
      <w:r w:rsidR="00FF41A0">
        <w:rPr>
          <w:color w:val="000000" w:themeColor="text1"/>
          <w:sz w:val="20"/>
          <w:szCs w:val="20"/>
        </w:rPr>
        <w:t xml:space="preserve"> </w:t>
      </w:r>
      <w:r w:rsidR="007241B0" w:rsidRPr="007241B0">
        <w:rPr>
          <w:color w:val="000000" w:themeColor="text1"/>
          <w:sz w:val="20"/>
          <w:szCs w:val="20"/>
        </w:rPr>
        <w:t>Associations</w:t>
      </w:r>
      <w:r w:rsidR="00FF41A0">
        <w:rPr>
          <w:color w:val="000000" w:themeColor="text1"/>
          <w:sz w:val="20"/>
          <w:szCs w:val="20"/>
        </w:rPr>
        <w:t xml:space="preserve"> </w:t>
      </w:r>
      <w:r w:rsidR="007241B0" w:rsidRPr="007241B0">
        <w:rPr>
          <w:color w:val="000000" w:themeColor="text1"/>
          <w:sz w:val="20"/>
          <w:szCs w:val="20"/>
        </w:rPr>
        <w:t>et</w:t>
      </w:r>
      <w:r w:rsidR="00FF41A0">
        <w:rPr>
          <w:color w:val="000000" w:themeColor="text1"/>
          <w:sz w:val="20"/>
          <w:szCs w:val="20"/>
        </w:rPr>
        <w:t xml:space="preserve"> </w:t>
      </w:r>
      <w:r w:rsidR="007241B0" w:rsidRPr="007241B0">
        <w:rPr>
          <w:color w:val="000000" w:themeColor="text1"/>
          <w:sz w:val="20"/>
          <w:szCs w:val="20"/>
        </w:rPr>
        <w:t>des</w:t>
      </w:r>
      <w:r w:rsidR="00FF41A0">
        <w:rPr>
          <w:color w:val="000000" w:themeColor="text1"/>
          <w:sz w:val="20"/>
          <w:szCs w:val="20"/>
        </w:rPr>
        <w:t xml:space="preserve"> </w:t>
      </w:r>
      <w:r w:rsidR="007241B0" w:rsidRPr="007241B0">
        <w:rPr>
          <w:color w:val="000000" w:themeColor="text1"/>
          <w:sz w:val="20"/>
          <w:szCs w:val="20"/>
        </w:rPr>
        <w:t>Particuliers</w:t>
      </w:r>
      <w:r w:rsidR="00FF41A0">
        <w:rPr>
          <w:color w:val="000000" w:themeColor="text1"/>
          <w:sz w:val="20"/>
          <w:szCs w:val="20"/>
        </w:rPr>
        <w:t xml:space="preserve"> </w:t>
      </w:r>
      <w:r w:rsidR="007241B0" w:rsidRPr="007241B0">
        <w:rPr>
          <w:color w:val="000000" w:themeColor="text1"/>
          <w:sz w:val="20"/>
          <w:szCs w:val="20"/>
        </w:rPr>
        <w:t>pour</w:t>
      </w:r>
      <w:r w:rsidR="00FF41A0">
        <w:rPr>
          <w:color w:val="000000" w:themeColor="text1"/>
          <w:sz w:val="20"/>
          <w:szCs w:val="20"/>
        </w:rPr>
        <w:t xml:space="preserve"> </w:t>
      </w:r>
      <w:r w:rsidR="007241B0" w:rsidRPr="007241B0">
        <w:rPr>
          <w:color w:val="000000" w:themeColor="text1"/>
          <w:sz w:val="20"/>
          <w:szCs w:val="20"/>
        </w:rPr>
        <w:t>la</w:t>
      </w:r>
      <w:r w:rsidR="00FF41A0">
        <w:rPr>
          <w:color w:val="000000" w:themeColor="text1"/>
          <w:sz w:val="20"/>
          <w:szCs w:val="20"/>
        </w:rPr>
        <w:t xml:space="preserve"> </w:t>
      </w:r>
      <w:r w:rsidR="007241B0" w:rsidRPr="007241B0">
        <w:rPr>
          <w:color w:val="000000" w:themeColor="text1"/>
          <w:sz w:val="20"/>
          <w:szCs w:val="20"/>
        </w:rPr>
        <w:t>Liberté</w:t>
      </w:r>
      <w:r w:rsidR="00FF41A0">
        <w:rPr>
          <w:color w:val="000000" w:themeColor="text1"/>
          <w:sz w:val="20"/>
          <w:szCs w:val="20"/>
        </w:rPr>
        <w:t xml:space="preserve"> </w:t>
      </w:r>
      <w:r w:rsidR="007241B0" w:rsidRPr="007241B0">
        <w:rPr>
          <w:color w:val="000000" w:themeColor="text1"/>
          <w:sz w:val="20"/>
          <w:szCs w:val="20"/>
        </w:rPr>
        <w:t>de</w:t>
      </w:r>
      <w:r w:rsidR="00FF41A0">
        <w:rPr>
          <w:color w:val="000000" w:themeColor="text1"/>
          <w:sz w:val="20"/>
          <w:szCs w:val="20"/>
        </w:rPr>
        <w:t xml:space="preserve"> </w:t>
      </w:r>
      <w:r w:rsidR="007241B0" w:rsidRPr="007241B0">
        <w:rPr>
          <w:color w:val="000000" w:themeColor="text1"/>
          <w:sz w:val="20"/>
          <w:szCs w:val="20"/>
        </w:rPr>
        <w:t>Conscience</w:t>
      </w:r>
      <w:r w:rsidR="007241B0">
        <w:rPr>
          <w:color w:val="000000" w:themeColor="text1"/>
          <w:sz w:val="20"/>
          <w:szCs w:val="20"/>
        </w:rPr>
        <w:t>;</w:t>
      </w:r>
      <w:r w:rsidR="00FF41A0">
        <w:rPr>
          <w:color w:val="000000" w:themeColor="text1"/>
          <w:sz w:val="20"/>
          <w:szCs w:val="20"/>
        </w:rPr>
        <w:t xml:space="preserve"> </w:t>
      </w:r>
      <w:r w:rsidR="007241B0" w:rsidRPr="007241B0">
        <w:rPr>
          <w:color w:val="000000" w:themeColor="text1"/>
          <w:sz w:val="20"/>
          <w:szCs w:val="20"/>
        </w:rPr>
        <w:t>Ethics</w:t>
      </w:r>
      <w:r w:rsidR="00FF41A0">
        <w:rPr>
          <w:color w:val="000000" w:themeColor="text1"/>
          <w:sz w:val="20"/>
          <w:szCs w:val="20"/>
        </w:rPr>
        <w:t xml:space="preserve"> </w:t>
      </w:r>
      <w:r w:rsidR="007241B0" w:rsidRPr="007241B0">
        <w:rPr>
          <w:color w:val="000000" w:themeColor="text1"/>
          <w:sz w:val="20"/>
          <w:szCs w:val="20"/>
        </w:rPr>
        <w:t>&amp;</w:t>
      </w:r>
      <w:r w:rsidR="00FF41A0">
        <w:rPr>
          <w:color w:val="000000" w:themeColor="text1"/>
          <w:sz w:val="20"/>
          <w:szCs w:val="20"/>
        </w:rPr>
        <w:t xml:space="preserve"> </w:t>
      </w:r>
      <w:r w:rsidR="007241B0" w:rsidRPr="007241B0">
        <w:rPr>
          <w:color w:val="000000" w:themeColor="text1"/>
          <w:sz w:val="20"/>
          <w:szCs w:val="20"/>
        </w:rPr>
        <w:t>Religious</w:t>
      </w:r>
      <w:r w:rsidR="00FF41A0">
        <w:rPr>
          <w:color w:val="000000" w:themeColor="text1"/>
          <w:sz w:val="20"/>
          <w:szCs w:val="20"/>
        </w:rPr>
        <w:t xml:space="preserve"> </w:t>
      </w:r>
      <w:r w:rsidR="007241B0" w:rsidRPr="007241B0">
        <w:rPr>
          <w:color w:val="000000" w:themeColor="text1"/>
          <w:sz w:val="20"/>
          <w:szCs w:val="20"/>
        </w:rPr>
        <w:t>Liberty</w:t>
      </w:r>
      <w:r w:rsidR="00FF41A0">
        <w:rPr>
          <w:color w:val="000000" w:themeColor="text1"/>
          <w:sz w:val="20"/>
          <w:szCs w:val="20"/>
        </w:rPr>
        <w:t xml:space="preserve"> </w:t>
      </w:r>
      <w:r w:rsidR="007241B0" w:rsidRPr="007241B0">
        <w:rPr>
          <w:color w:val="000000" w:themeColor="text1"/>
          <w:sz w:val="20"/>
          <w:szCs w:val="20"/>
        </w:rPr>
        <w:t>Commission</w:t>
      </w:r>
      <w:r w:rsidR="00FF41A0">
        <w:rPr>
          <w:color w:val="000000" w:themeColor="text1"/>
          <w:sz w:val="20"/>
          <w:szCs w:val="20"/>
        </w:rPr>
        <w:t xml:space="preserve"> </w:t>
      </w:r>
      <w:r w:rsidR="007241B0" w:rsidRPr="007241B0">
        <w:rPr>
          <w:color w:val="000000" w:themeColor="text1"/>
          <w:sz w:val="20"/>
          <w:szCs w:val="20"/>
        </w:rPr>
        <w:t>of</w:t>
      </w:r>
      <w:r w:rsidR="00FF41A0">
        <w:rPr>
          <w:color w:val="000000" w:themeColor="text1"/>
          <w:sz w:val="20"/>
          <w:szCs w:val="20"/>
        </w:rPr>
        <w:t xml:space="preserve"> </w:t>
      </w:r>
      <w:r w:rsidR="007241B0" w:rsidRPr="007241B0">
        <w:rPr>
          <w:color w:val="000000" w:themeColor="text1"/>
          <w:sz w:val="20"/>
          <w:szCs w:val="20"/>
        </w:rPr>
        <w:t>the</w:t>
      </w:r>
      <w:r w:rsidR="00FF41A0">
        <w:rPr>
          <w:color w:val="000000" w:themeColor="text1"/>
          <w:sz w:val="20"/>
          <w:szCs w:val="20"/>
        </w:rPr>
        <w:t xml:space="preserve"> </w:t>
      </w:r>
      <w:r w:rsidR="007241B0" w:rsidRPr="007241B0">
        <w:rPr>
          <w:color w:val="000000" w:themeColor="text1"/>
          <w:sz w:val="20"/>
          <w:szCs w:val="20"/>
        </w:rPr>
        <w:t>Southern</w:t>
      </w:r>
      <w:r w:rsidR="00FF41A0">
        <w:rPr>
          <w:color w:val="000000" w:themeColor="text1"/>
          <w:sz w:val="20"/>
          <w:szCs w:val="20"/>
        </w:rPr>
        <w:t xml:space="preserve"> </w:t>
      </w:r>
      <w:r w:rsidR="007241B0" w:rsidRPr="007241B0">
        <w:rPr>
          <w:color w:val="000000" w:themeColor="text1"/>
          <w:sz w:val="20"/>
          <w:szCs w:val="20"/>
        </w:rPr>
        <w:t>Baptist</w:t>
      </w:r>
      <w:r w:rsidR="00FF41A0">
        <w:rPr>
          <w:color w:val="000000" w:themeColor="text1"/>
          <w:sz w:val="20"/>
          <w:szCs w:val="20"/>
        </w:rPr>
        <w:t xml:space="preserve"> </w:t>
      </w:r>
      <w:r w:rsidR="007241B0" w:rsidRPr="007241B0">
        <w:rPr>
          <w:color w:val="000000" w:themeColor="text1"/>
          <w:sz w:val="20"/>
          <w:szCs w:val="20"/>
        </w:rPr>
        <w:t>Convention,</w:t>
      </w:r>
      <w:r w:rsidR="00FF41A0">
        <w:rPr>
          <w:color w:val="000000" w:themeColor="text1"/>
          <w:sz w:val="20"/>
          <w:szCs w:val="20"/>
        </w:rPr>
        <w:t xml:space="preserve"> </w:t>
      </w:r>
      <w:r w:rsidR="007241B0" w:rsidRPr="007241B0">
        <w:rPr>
          <w:color w:val="000000" w:themeColor="text1"/>
          <w:sz w:val="20"/>
          <w:szCs w:val="20"/>
        </w:rPr>
        <w:t>The</w:t>
      </w:r>
      <w:r w:rsidR="00FF41A0">
        <w:rPr>
          <w:color w:val="000000" w:themeColor="text1"/>
          <w:sz w:val="20"/>
          <w:szCs w:val="20"/>
        </w:rPr>
        <w:t xml:space="preserve"> </w:t>
      </w:r>
      <w:r w:rsidR="007241B0" w:rsidRPr="007241B0">
        <w:rPr>
          <w:color w:val="000000" w:themeColor="text1"/>
          <w:sz w:val="20"/>
          <w:szCs w:val="20"/>
        </w:rPr>
        <w:t>-</w:t>
      </w:r>
      <w:r w:rsidR="00FF41A0">
        <w:rPr>
          <w:color w:val="000000" w:themeColor="text1"/>
          <w:sz w:val="20"/>
          <w:szCs w:val="20"/>
        </w:rPr>
        <w:t xml:space="preserve"> </w:t>
      </w:r>
      <w:r w:rsidR="007241B0" w:rsidRPr="007241B0">
        <w:rPr>
          <w:color w:val="000000" w:themeColor="text1"/>
          <w:sz w:val="20"/>
          <w:szCs w:val="20"/>
        </w:rPr>
        <w:t>(ERLC)</w:t>
      </w:r>
      <w:r w:rsidR="007241B0">
        <w:rPr>
          <w:color w:val="000000" w:themeColor="text1"/>
          <w:sz w:val="20"/>
          <w:szCs w:val="20"/>
        </w:rPr>
        <w:t>;</w:t>
      </w:r>
      <w:r w:rsidR="00FF41A0">
        <w:rPr>
          <w:color w:val="000000" w:themeColor="text1"/>
          <w:sz w:val="20"/>
          <w:szCs w:val="20"/>
        </w:rPr>
        <w:t xml:space="preserve"> </w:t>
      </w:r>
      <w:r w:rsidR="007241B0" w:rsidRPr="007241B0">
        <w:rPr>
          <w:color w:val="000000" w:themeColor="text1"/>
          <w:sz w:val="20"/>
          <w:szCs w:val="20"/>
        </w:rPr>
        <w:t>Intern</w:t>
      </w:r>
      <w:r w:rsidR="007241B0">
        <w:rPr>
          <w:color w:val="000000" w:themeColor="text1"/>
          <w:sz w:val="20"/>
          <w:szCs w:val="20"/>
        </w:rPr>
        <w:t>ational</w:t>
      </w:r>
      <w:r w:rsidR="00FF41A0">
        <w:rPr>
          <w:color w:val="000000" w:themeColor="text1"/>
          <w:sz w:val="20"/>
          <w:szCs w:val="20"/>
        </w:rPr>
        <w:t xml:space="preserve"> </w:t>
      </w:r>
      <w:r w:rsidR="007241B0">
        <w:rPr>
          <w:color w:val="000000" w:themeColor="text1"/>
          <w:sz w:val="20"/>
          <w:szCs w:val="20"/>
        </w:rPr>
        <w:t>Council</w:t>
      </w:r>
      <w:r w:rsidR="00FF41A0">
        <w:rPr>
          <w:color w:val="000000" w:themeColor="text1"/>
          <w:sz w:val="20"/>
          <w:szCs w:val="20"/>
        </w:rPr>
        <w:t xml:space="preserve"> </w:t>
      </w:r>
      <w:r w:rsidR="007241B0">
        <w:rPr>
          <w:color w:val="000000" w:themeColor="text1"/>
          <w:sz w:val="20"/>
          <w:szCs w:val="20"/>
        </w:rPr>
        <w:t>of</w:t>
      </w:r>
      <w:r w:rsidR="00FF41A0">
        <w:rPr>
          <w:color w:val="000000" w:themeColor="text1"/>
          <w:sz w:val="20"/>
          <w:szCs w:val="20"/>
        </w:rPr>
        <w:t xml:space="preserve"> </w:t>
      </w:r>
      <w:r w:rsidR="007241B0">
        <w:rPr>
          <w:color w:val="000000" w:themeColor="text1"/>
          <w:sz w:val="20"/>
          <w:szCs w:val="20"/>
        </w:rPr>
        <w:t>Jewish</w:t>
      </w:r>
      <w:r w:rsidR="00FF41A0">
        <w:rPr>
          <w:color w:val="000000" w:themeColor="text1"/>
          <w:sz w:val="20"/>
          <w:szCs w:val="20"/>
        </w:rPr>
        <w:t xml:space="preserve"> </w:t>
      </w:r>
      <w:r w:rsidR="007241B0">
        <w:rPr>
          <w:color w:val="000000" w:themeColor="text1"/>
          <w:sz w:val="20"/>
          <w:szCs w:val="20"/>
        </w:rPr>
        <w:t>Women;</w:t>
      </w:r>
      <w:r w:rsidR="00FF41A0">
        <w:rPr>
          <w:color w:val="000000" w:themeColor="text1"/>
          <w:sz w:val="20"/>
          <w:szCs w:val="20"/>
        </w:rPr>
        <w:t xml:space="preserve"> </w:t>
      </w:r>
      <w:r w:rsidR="007241B0" w:rsidRPr="007241B0">
        <w:rPr>
          <w:color w:val="000000" w:themeColor="text1"/>
          <w:sz w:val="20"/>
          <w:szCs w:val="20"/>
        </w:rPr>
        <w:t>Jubilee</w:t>
      </w:r>
      <w:r w:rsidR="00FF41A0">
        <w:rPr>
          <w:color w:val="000000" w:themeColor="text1"/>
          <w:sz w:val="20"/>
          <w:szCs w:val="20"/>
        </w:rPr>
        <w:t xml:space="preserve"> </w:t>
      </w:r>
      <w:r w:rsidR="007241B0" w:rsidRPr="007241B0">
        <w:rPr>
          <w:color w:val="000000" w:themeColor="text1"/>
          <w:sz w:val="20"/>
          <w:szCs w:val="20"/>
        </w:rPr>
        <w:t>Campaign</w:t>
      </w:r>
      <w:r w:rsidR="007241B0">
        <w:rPr>
          <w:color w:val="000000" w:themeColor="text1"/>
          <w:sz w:val="20"/>
          <w:szCs w:val="20"/>
        </w:rPr>
        <w:t>;</w:t>
      </w:r>
      <w:r w:rsidR="00FF41A0">
        <w:rPr>
          <w:color w:val="000000" w:themeColor="text1"/>
          <w:sz w:val="20"/>
          <w:szCs w:val="20"/>
        </w:rPr>
        <w:t xml:space="preserve"> </w:t>
      </w:r>
      <w:r w:rsidR="007241B0" w:rsidRPr="007241B0">
        <w:rPr>
          <w:color w:val="000000" w:themeColor="text1"/>
          <w:sz w:val="20"/>
          <w:szCs w:val="20"/>
        </w:rPr>
        <w:t>VIVAT</w:t>
      </w:r>
      <w:r w:rsidR="00FF41A0">
        <w:rPr>
          <w:color w:val="000000" w:themeColor="text1"/>
          <w:sz w:val="20"/>
          <w:szCs w:val="20"/>
        </w:rPr>
        <w:t xml:space="preserve"> </w:t>
      </w:r>
      <w:r w:rsidR="007241B0" w:rsidRPr="007241B0">
        <w:rPr>
          <w:color w:val="000000" w:themeColor="text1"/>
          <w:sz w:val="20"/>
          <w:szCs w:val="20"/>
        </w:rPr>
        <w:t>International</w:t>
      </w:r>
      <w:r w:rsidR="00FF41A0">
        <w:rPr>
          <w:color w:val="000000" w:themeColor="text1"/>
          <w:sz w:val="20"/>
          <w:szCs w:val="20"/>
        </w:rPr>
        <w:t xml:space="preserve"> </w:t>
      </w:r>
      <w:r w:rsidR="007241B0">
        <w:rPr>
          <w:color w:val="000000" w:themeColor="text1"/>
          <w:sz w:val="20"/>
          <w:szCs w:val="20"/>
        </w:rPr>
        <w:t>and</w:t>
      </w:r>
      <w:r w:rsidR="00FF41A0">
        <w:rPr>
          <w:color w:val="000000" w:themeColor="text1"/>
          <w:sz w:val="20"/>
          <w:szCs w:val="20"/>
        </w:rPr>
        <w:t xml:space="preserve"> </w:t>
      </w:r>
      <w:r w:rsidR="007241B0" w:rsidRPr="007241B0">
        <w:rPr>
          <w:color w:val="000000" w:themeColor="text1"/>
          <w:sz w:val="20"/>
          <w:szCs w:val="20"/>
        </w:rPr>
        <w:t>World</w:t>
      </w:r>
      <w:r w:rsidR="00FF41A0">
        <w:rPr>
          <w:color w:val="000000" w:themeColor="text1"/>
          <w:sz w:val="20"/>
          <w:szCs w:val="20"/>
        </w:rPr>
        <w:t xml:space="preserve"> </w:t>
      </w:r>
      <w:r w:rsidR="007241B0" w:rsidRPr="007241B0">
        <w:rPr>
          <w:color w:val="000000" w:themeColor="text1"/>
          <w:sz w:val="20"/>
          <w:szCs w:val="20"/>
        </w:rPr>
        <w:t>Evangelical</w:t>
      </w:r>
      <w:r w:rsidR="00FF41A0">
        <w:rPr>
          <w:color w:val="000000" w:themeColor="text1"/>
          <w:sz w:val="20"/>
          <w:szCs w:val="20"/>
        </w:rPr>
        <w:t xml:space="preserve"> </w:t>
      </w:r>
      <w:r w:rsidR="007241B0" w:rsidRPr="007241B0">
        <w:rPr>
          <w:color w:val="000000" w:themeColor="text1"/>
          <w:sz w:val="20"/>
          <w:szCs w:val="20"/>
        </w:rPr>
        <w:t>Alliance</w:t>
      </w:r>
      <w:r w:rsidR="007241B0">
        <w:rPr>
          <w:color w:val="000000" w:themeColor="text1"/>
          <w:sz w:val="20"/>
          <w:szCs w:val="20"/>
        </w:rPr>
        <w:t>);</w:t>
      </w:r>
      <w:r w:rsidR="00FF41A0">
        <w:rPr>
          <w:color w:val="000000" w:themeColor="text1"/>
          <w:sz w:val="20"/>
          <w:szCs w:val="20"/>
        </w:rPr>
        <w:t xml:space="preserve"> </w:t>
      </w:r>
      <w:r w:rsidR="007241B0" w:rsidRPr="007241B0">
        <w:rPr>
          <w:color w:val="000000" w:themeColor="text1"/>
          <w:sz w:val="20"/>
          <w:szCs w:val="20"/>
        </w:rPr>
        <w:t>Conseil</w:t>
      </w:r>
      <w:r w:rsidR="00FF41A0">
        <w:rPr>
          <w:color w:val="000000" w:themeColor="text1"/>
          <w:sz w:val="20"/>
          <w:szCs w:val="20"/>
        </w:rPr>
        <w:t xml:space="preserve"> </w:t>
      </w:r>
      <w:r w:rsidR="007241B0" w:rsidRPr="007241B0">
        <w:rPr>
          <w:color w:val="000000" w:themeColor="text1"/>
          <w:sz w:val="20"/>
          <w:szCs w:val="20"/>
        </w:rPr>
        <w:t>International</w:t>
      </w:r>
      <w:r w:rsidR="00FF41A0">
        <w:rPr>
          <w:color w:val="000000" w:themeColor="text1"/>
          <w:sz w:val="20"/>
          <w:szCs w:val="20"/>
        </w:rPr>
        <w:t xml:space="preserve"> </w:t>
      </w:r>
      <w:r w:rsidR="007241B0" w:rsidRPr="007241B0">
        <w:rPr>
          <w:color w:val="000000" w:themeColor="text1"/>
          <w:sz w:val="20"/>
          <w:szCs w:val="20"/>
        </w:rPr>
        <w:t>pour</w:t>
      </w:r>
      <w:r w:rsidR="00FF41A0">
        <w:rPr>
          <w:color w:val="000000" w:themeColor="text1"/>
          <w:sz w:val="20"/>
          <w:szCs w:val="20"/>
        </w:rPr>
        <w:t xml:space="preserve"> </w:t>
      </w:r>
      <w:r w:rsidR="007241B0" w:rsidRPr="007241B0">
        <w:rPr>
          <w:color w:val="000000" w:themeColor="text1"/>
          <w:sz w:val="20"/>
          <w:szCs w:val="20"/>
        </w:rPr>
        <w:t>le</w:t>
      </w:r>
      <w:r w:rsidR="00FF41A0">
        <w:rPr>
          <w:color w:val="000000" w:themeColor="text1"/>
          <w:sz w:val="20"/>
          <w:szCs w:val="20"/>
        </w:rPr>
        <w:t xml:space="preserve"> </w:t>
      </w:r>
      <w:r w:rsidR="007241B0" w:rsidRPr="007241B0">
        <w:rPr>
          <w:color w:val="000000" w:themeColor="text1"/>
          <w:sz w:val="20"/>
          <w:szCs w:val="20"/>
        </w:rPr>
        <w:t>soutien</w:t>
      </w:r>
      <w:r w:rsidR="00FF41A0">
        <w:rPr>
          <w:color w:val="000000" w:themeColor="text1"/>
          <w:sz w:val="20"/>
          <w:szCs w:val="20"/>
        </w:rPr>
        <w:t xml:space="preserve"> </w:t>
      </w:r>
      <w:r w:rsidR="007241B0" w:rsidRPr="007241B0">
        <w:rPr>
          <w:color w:val="000000" w:themeColor="text1"/>
          <w:sz w:val="20"/>
          <w:szCs w:val="20"/>
        </w:rPr>
        <w:t>à</w:t>
      </w:r>
      <w:r w:rsidR="00FF41A0">
        <w:rPr>
          <w:color w:val="000000" w:themeColor="text1"/>
          <w:sz w:val="20"/>
          <w:szCs w:val="20"/>
        </w:rPr>
        <w:t xml:space="preserve"> </w:t>
      </w:r>
      <w:r w:rsidR="007241B0" w:rsidRPr="007241B0">
        <w:rPr>
          <w:color w:val="000000" w:themeColor="text1"/>
          <w:sz w:val="20"/>
          <w:szCs w:val="20"/>
        </w:rPr>
        <w:t>des</w:t>
      </w:r>
      <w:r w:rsidR="00FF41A0">
        <w:rPr>
          <w:color w:val="000000" w:themeColor="text1"/>
          <w:sz w:val="20"/>
          <w:szCs w:val="20"/>
        </w:rPr>
        <w:t xml:space="preserve"> </w:t>
      </w:r>
      <w:r w:rsidR="007241B0" w:rsidRPr="007241B0">
        <w:rPr>
          <w:color w:val="000000" w:themeColor="text1"/>
          <w:sz w:val="20"/>
          <w:szCs w:val="20"/>
        </w:rPr>
        <w:t>procès</w:t>
      </w:r>
      <w:r w:rsidR="00FF41A0">
        <w:rPr>
          <w:color w:val="000000" w:themeColor="text1"/>
          <w:sz w:val="20"/>
          <w:szCs w:val="20"/>
        </w:rPr>
        <w:t xml:space="preserve"> </w:t>
      </w:r>
      <w:r w:rsidR="007241B0" w:rsidRPr="007241B0">
        <w:rPr>
          <w:color w:val="000000" w:themeColor="text1"/>
          <w:sz w:val="20"/>
          <w:szCs w:val="20"/>
        </w:rPr>
        <w:t>équitables</w:t>
      </w:r>
      <w:r w:rsidR="00FF41A0">
        <w:rPr>
          <w:color w:val="000000" w:themeColor="text1"/>
          <w:sz w:val="20"/>
          <w:szCs w:val="20"/>
        </w:rPr>
        <w:t xml:space="preserve"> </w:t>
      </w:r>
      <w:r w:rsidR="007241B0" w:rsidRPr="007241B0">
        <w:rPr>
          <w:color w:val="000000" w:themeColor="text1"/>
          <w:sz w:val="20"/>
          <w:szCs w:val="20"/>
        </w:rPr>
        <w:t>et</w:t>
      </w:r>
      <w:r w:rsidR="00FF41A0">
        <w:rPr>
          <w:color w:val="000000" w:themeColor="text1"/>
          <w:sz w:val="20"/>
          <w:szCs w:val="20"/>
        </w:rPr>
        <w:t xml:space="preserve"> </w:t>
      </w:r>
      <w:r w:rsidR="007241B0" w:rsidRPr="007241B0">
        <w:rPr>
          <w:color w:val="000000" w:themeColor="text1"/>
          <w:sz w:val="20"/>
          <w:szCs w:val="20"/>
        </w:rPr>
        <w:t>aux</w:t>
      </w:r>
      <w:r w:rsidR="00FF41A0">
        <w:rPr>
          <w:color w:val="000000" w:themeColor="text1"/>
          <w:sz w:val="20"/>
          <w:szCs w:val="20"/>
        </w:rPr>
        <w:t xml:space="preserve"> </w:t>
      </w:r>
      <w:r w:rsidR="007241B0" w:rsidRPr="007241B0">
        <w:rPr>
          <w:color w:val="000000" w:themeColor="text1"/>
          <w:sz w:val="20"/>
          <w:szCs w:val="20"/>
        </w:rPr>
        <w:t>Droits</w:t>
      </w:r>
      <w:r w:rsidR="00FF41A0">
        <w:rPr>
          <w:color w:val="000000" w:themeColor="text1"/>
          <w:sz w:val="20"/>
          <w:szCs w:val="20"/>
        </w:rPr>
        <w:t xml:space="preserve"> </w:t>
      </w:r>
      <w:r w:rsidR="007241B0" w:rsidRPr="007241B0">
        <w:rPr>
          <w:color w:val="000000" w:themeColor="text1"/>
          <w:sz w:val="20"/>
          <w:szCs w:val="20"/>
        </w:rPr>
        <w:t>de</w:t>
      </w:r>
      <w:r w:rsidR="00FF41A0">
        <w:rPr>
          <w:color w:val="000000" w:themeColor="text1"/>
          <w:sz w:val="20"/>
          <w:szCs w:val="20"/>
        </w:rPr>
        <w:t xml:space="preserve"> </w:t>
      </w:r>
      <w:r w:rsidR="007241B0" w:rsidRPr="007241B0">
        <w:rPr>
          <w:color w:val="000000" w:themeColor="text1"/>
          <w:sz w:val="20"/>
          <w:szCs w:val="20"/>
        </w:rPr>
        <w:t>l</w:t>
      </w:r>
      <w:r w:rsidR="00D72627">
        <w:rPr>
          <w:color w:val="000000" w:themeColor="text1"/>
          <w:sz w:val="20"/>
          <w:szCs w:val="20"/>
        </w:rPr>
        <w:t>’</w:t>
      </w:r>
      <w:r w:rsidR="007241B0" w:rsidRPr="007241B0">
        <w:rPr>
          <w:color w:val="000000" w:themeColor="text1"/>
          <w:sz w:val="20"/>
          <w:szCs w:val="20"/>
        </w:rPr>
        <w:t>Homme</w:t>
      </w:r>
      <w:r w:rsidR="007241B0">
        <w:rPr>
          <w:color w:val="000000" w:themeColor="text1"/>
          <w:sz w:val="20"/>
          <w:szCs w:val="20"/>
        </w:rPr>
        <w:t>;</w:t>
      </w:r>
      <w:r w:rsidR="00FF41A0">
        <w:rPr>
          <w:color w:val="000000" w:themeColor="text1"/>
          <w:sz w:val="20"/>
          <w:szCs w:val="20"/>
        </w:rPr>
        <w:t xml:space="preserve"> </w:t>
      </w:r>
      <w:r w:rsidR="007241B0" w:rsidRPr="007241B0">
        <w:rPr>
          <w:color w:val="000000" w:themeColor="text1"/>
          <w:sz w:val="20"/>
          <w:szCs w:val="20"/>
        </w:rPr>
        <w:t>Coordination</w:t>
      </w:r>
      <w:r w:rsidR="00FF41A0">
        <w:rPr>
          <w:color w:val="000000" w:themeColor="text1"/>
          <w:sz w:val="20"/>
          <w:szCs w:val="20"/>
        </w:rPr>
        <w:t xml:space="preserve"> </w:t>
      </w:r>
      <w:r w:rsidR="007241B0" w:rsidRPr="007241B0">
        <w:rPr>
          <w:color w:val="000000" w:themeColor="text1"/>
          <w:sz w:val="20"/>
          <w:szCs w:val="20"/>
        </w:rPr>
        <w:t>des</w:t>
      </w:r>
      <w:r w:rsidR="00FF41A0">
        <w:rPr>
          <w:color w:val="000000" w:themeColor="text1"/>
          <w:sz w:val="20"/>
          <w:szCs w:val="20"/>
        </w:rPr>
        <w:t xml:space="preserve"> </w:t>
      </w:r>
      <w:r w:rsidR="007241B0" w:rsidRPr="007241B0">
        <w:rPr>
          <w:color w:val="000000" w:themeColor="text1"/>
          <w:sz w:val="20"/>
          <w:szCs w:val="20"/>
        </w:rPr>
        <w:t>Associations</w:t>
      </w:r>
      <w:r w:rsidR="00FF41A0">
        <w:rPr>
          <w:color w:val="000000" w:themeColor="text1"/>
          <w:sz w:val="20"/>
          <w:szCs w:val="20"/>
        </w:rPr>
        <w:t xml:space="preserve"> </w:t>
      </w:r>
      <w:r w:rsidR="007241B0" w:rsidRPr="007241B0">
        <w:rPr>
          <w:color w:val="000000" w:themeColor="text1"/>
          <w:sz w:val="20"/>
          <w:szCs w:val="20"/>
        </w:rPr>
        <w:t>et</w:t>
      </w:r>
      <w:r w:rsidR="00FF41A0">
        <w:rPr>
          <w:color w:val="000000" w:themeColor="text1"/>
          <w:sz w:val="20"/>
          <w:szCs w:val="20"/>
        </w:rPr>
        <w:t xml:space="preserve"> </w:t>
      </w:r>
      <w:r w:rsidR="007241B0" w:rsidRPr="007241B0">
        <w:rPr>
          <w:color w:val="000000" w:themeColor="text1"/>
          <w:sz w:val="20"/>
          <w:szCs w:val="20"/>
        </w:rPr>
        <w:t>des</w:t>
      </w:r>
      <w:r w:rsidR="00FF41A0">
        <w:rPr>
          <w:color w:val="000000" w:themeColor="text1"/>
          <w:sz w:val="20"/>
          <w:szCs w:val="20"/>
        </w:rPr>
        <w:t xml:space="preserve"> </w:t>
      </w:r>
      <w:r w:rsidR="007241B0" w:rsidRPr="007241B0">
        <w:rPr>
          <w:color w:val="000000" w:themeColor="text1"/>
          <w:sz w:val="20"/>
          <w:szCs w:val="20"/>
        </w:rPr>
        <w:t>Particuliers</w:t>
      </w:r>
      <w:r w:rsidR="00FF41A0">
        <w:rPr>
          <w:color w:val="000000" w:themeColor="text1"/>
          <w:sz w:val="20"/>
          <w:szCs w:val="20"/>
        </w:rPr>
        <w:t xml:space="preserve"> </w:t>
      </w:r>
      <w:r w:rsidR="007241B0" w:rsidRPr="007241B0">
        <w:rPr>
          <w:color w:val="000000" w:themeColor="text1"/>
          <w:sz w:val="20"/>
          <w:szCs w:val="20"/>
        </w:rPr>
        <w:t>pour</w:t>
      </w:r>
      <w:r w:rsidR="00FF41A0">
        <w:rPr>
          <w:color w:val="000000" w:themeColor="text1"/>
          <w:sz w:val="20"/>
          <w:szCs w:val="20"/>
        </w:rPr>
        <w:t xml:space="preserve"> </w:t>
      </w:r>
      <w:r w:rsidR="007241B0" w:rsidRPr="007241B0">
        <w:rPr>
          <w:color w:val="000000" w:themeColor="text1"/>
          <w:sz w:val="20"/>
          <w:szCs w:val="20"/>
        </w:rPr>
        <w:t>la</w:t>
      </w:r>
      <w:r w:rsidR="00FF41A0">
        <w:rPr>
          <w:color w:val="000000" w:themeColor="text1"/>
          <w:sz w:val="20"/>
          <w:szCs w:val="20"/>
        </w:rPr>
        <w:t xml:space="preserve"> </w:t>
      </w:r>
      <w:r w:rsidR="007241B0" w:rsidRPr="007241B0">
        <w:rPr>
          <w:color w:val="000000" w:themeColor="text1"/>
          <w:sz w:val="20"/>
          <w:szCs w:val="20"/>
        </w:rPr>
        <w:t>Liberté</w:t>
      </w:r>
      <w:r w:rsidR="00FF41A0">
        <w:rPr>
          <w:color w:val="000000" w:themeColor="text1"/>
          <w:sz w:val="20"/>
          <w:szCs w:val="20"/>
        </w:rPr>
        <w:t xml:space="preserve"> </w:t>
      </w:r>
      <w:r w:rsidR="007241B0" w:rsidRPr="007241B0">
        <w:rPr>
          <w:color w:val="000000" w:themeColor="text1"/>
          <w:sz w:val="20"/>
          <w:szCs w:val="20"/>
        </w:rPr>
        <w:t>de</w:t>
      </w:r>
      <w:r w:rsidR="00FF41A0">
        <w:rPr>
          <w:color w:val="000000" w:themeColor="text1"/>
          <w:sz w:val="20"/>
          <w:szCs w:val="20"/>
        </w:rPr>
        <w:t xml:space="preserve"> </w:t>
      </w:r>
      <w:r w:rsidR="007241B0" w:rsidRPr="007241B0">
        <w:rPr>
          <w:color w:val="000000" w:themeColor="text1"/>
          <w:sz w:val="20"/>
          <w:szCs w:val="20"/>
        </w:rPr>
        <w:t>Conscience</w:t>
      </w:r>
      <w:r w:rsidR="007241B0">
        <w:rPr>
          <w:color w:val="000000" w:themeColor="text1"/>
          <w:sz w:val="20"/>
          <w:szCs w:val="20"/>
        </w:rPr>
        <w:t>;</w:t>
      </w:r>
      <w:r w:rsidR="00FF41A0">
        <w:rPr>
          <w:color w:val="000000" w:themeColor="text1"/>
          <w:sz w:val="20"/>
          <w:szCs w:val="20"/>
        </w:rPr>
        <w:t xml:space="preserve"> </w:t>
      </w:r>
      <w:r w:rsidR="007241B0" w:rsidRPr="007241B0">
        <w:rPr>
          <w:color w:val="000000" w:themeColor="text1"/>
          <w:sz w:val="20"/>
          <w:szCs w:val="20"/>
        </w:rPr>
        <w:t>Edmund</w:t>
      </w:r>
      <w:r w:rsidR="00FF41A0">
        <w:rPr>
          <w:color w:val="000000" w:themeColor="text1"/>
          <w:sz w:val="20"/>
          <w:szCs w:val="20"/>
        </w:rPr>
        <w:t xml:space="preserve"> </w:t>
      </w:r>
      <w:r w:rsidR="007241B0" w:rsidRPr="007241B0">
        <w:rPr>
          <w:color w:val="000000" w:themeColor="text1"/>
          <w:sz w:val="20"/>
          <w:szCs w:val="20"/>
        </w:rPr>
        <w:t>Rice</w:t>
      </w:r>
      <w:r w:rsidR="00FF41A0">
        <w:rPr>
          <w:color w:val="000000" w:themeColor="text1"/>
          <w:sz w:val="20"/>
          <w:szCs w:val="20"/>
        </w:rPr>
        <w:t xml:space="preserve"> </w:t>
      </w:r>
      <w:r w:rsidR="007241B0" w:rsidRPr="007241B0">
        <w:rPr>
          <w:color w:val="000000" w:themeColor="text1"/>
          <w:sz w:val="20"/>
          <w:szCs w:val="20"/>
        </w:rPr>
        <w:t>International</w:t>
      </w:r>
      <w:r w:rsidR="00FF41A0">
        <w:rPr>
          <w:color w:val="000000" w:themeColor="text1"/>
          <w:sz w:val="20"/>
          <w:szCs w:val="20"/>
        </w:rPr>
        <w:t xml:space="preserve"> </w:t>
      </w:r>
      <w:r w:rsidR="007241B0" w:rsidRPr="007241B0">
        <w:rPr>
          <w:color w:val="000000" w:themeColor="text1"/>
          <w:sz w:val="20"/>
          <w:szCs w:val="20"/>
        </w:rPr>
        <w:t>Limited</w:t>
      </w:r>
      <w:r w:rsidR="007241B0">
        <w:rPr>
          <w:color w:val="000000" w:themeColor="text1"/>
          <w:sz w:val="20"/>
          <w:szCs w:val="20"/>
        </w:rPr>
        <w:t>;</w:t>
      </w:r>
      <w:r w:rsidR="00FF41A0">
        <w:rPr>
          <w:color w:val="000000" w:themeColor="text1"/>
          <w:sz w:val="20"/>
          <w:szCs w:val="20"/>
        </w:rPr>
        <w:t xml:space="preserve"> </w:t>
      </w:r>
      <w:r w:rsidR="007241B0" w:rsidRPr="007241B0">
        <w:rPr>
          <w:color w:val="000000" w:themeColor="text1"/>
          <w:sz w:val="20"/>
          <w:szCs w:val="20"/>
        </w:rPr>
        <w:t>European</w:t>
      </w:r>
      <w:r w:rsidR="00FF41A0">
        <w:rPr>
          <w:color w:val="000000" w:themeColor="text1"/>
          <w:sz w:val="20"/>
          <w:szCs w:val="20"/>
        </w:rPr>
        <w:t xml:space="preserve"> </w:t>
      </w:r>
      <w:r w:rsidR="007241B0" w:rsidRPr="007241B0">
        <w:rPr>
          <w:color w:val="000000" w:themeColor="text1"/>
          <w:sz w:val="20"/>
          <w:szCs w:val="20"/>
        </w:rPr>
        <w:t>Centre</w:t>
      </w:r>
      <w:r w:rsidR="00FF41A0">
        <w:rPr>
          <w:color w:val="000000" w:themeColor="text1"/>
          <w:sz w:val="20"/>
          <w:szCs w:val="20"/>
        </w:rPr>
        <w:t xml:space="preserve"> </w:t>
      </w:r>
      <w:r w:rsidR="007241B0" w:rsidRPr="007241B0">
        <w:rPr>
          <w:color w:val="000000" w:themeColor="text1"/>
          <w:sz w:val="20"/>
          <w:szCs w:val="20"/>
        </w:rPr>
        <w:t>for</w:t>
      </w:r>
      <w:r w:rsidR="00FF41A0">
        <w:rPr>
          <w:color w:val="000000" w:themeColor="text1"/>
          <w:sz w:val="20"/>
          <w:szCs w:val="20"/>
        </w:rPr>
        <w:t xml:space="preserve"> </w:t>
      </w:r>
      <w:r w:rsidR="007241B0" w:rsidRPr="007241B0">
        <w:rPr>
          <w:color w:val="000000" w:themeColor="text1"/>
          <w:sz w:val="20"/>
          <w:szCs w:val="20"/>
        </w:rPr>
        <w:t>Law</w:t>
      </w:r>
      <w:r w:rsidR="00FF41A0">
        <w:rPr>
          <w:color w:val="000000" w:themeColor="text1"/>
          <w:sz w:val="20"/>
          <w:szCs w:val="20"/>
        </w:rPr>
        <w:t xml:space="preserve"> </w:t>
      </w:r>
      <w:r w:rsidR="007241B0" w:rsidRPr="007241B0">
        <w:rPr>
          <w:color w:val="000000" w:themeColor="text1"/>
          <w:sz w:val="20"/>
          <w:szCs w:val="20"/>
        </w:rPr>
        <w:t>and</w:t>
      </w:r>
      <w:r w:rsidR="00FF41A0">
        <w:rPr>
          <w:color w:val="000000" w:themeColor="text1"/>
          <w:sz w:val="20"/>
          <w:szCs w:val="20"/>
        </w:rPr>
        <w:t xml:space="preserve"> </w:t>
      </w:r>
      <w:r w:rsidR="007241B0" w:rsidRPr="007241B0">
        <w:rPr>
          <w:color w:val="000000" w:themeColor="text1"/>
          <w:sz w:val="20"/>
          <w:szCs w:val="20"/>
        </w:rPr>
        <w:t>Justice,</w:t>
      </w:r>
      <w:r w:rsidR="00FF41A0">
        <w:rPr>
          <w:color w:val="000000" w:themeColor="text1"/>
          <w:sz w:val="20"/>
          <w:szCs w:val="20"/>
        </w:rPr>
        <w:t xml:space="preserve"> </w:t>
      </w:r>
      <w:r w:rsidR="007241B0" w:rsidRPr="007241B0">
        <w:rPr>
          <w:color w:val="000000" w:themeColor="text1"/>
          <w:sz w:val="20"/>
          <w:szCs w:val="20"/>
        </w:rPr>
        <w:t>The</w:t>
      </w:r>
      <w:r w:rsidR="00FF41A0">
        <w:rPr>
          <w:color w:val="000000" w:themeColor="text1"/>
          <w:sz w:val="20"/>
          <w:szCs w:val="20"/>
        </w:rPr>
        <w:t xml:space="preserve"> </w:t>
      </w:r>
      <w:r w:rsidR="007241B0" w:rsidRPr="007241B0">
        <w:rPr>
          <w:color w:val="000000" w:themeColor="text1"/>
          <w:sz w:val="20"/>
          <w:szCs w:val="20"/>
        </w:rPr>
        <w:t>/</w:t>
      </w:r>
      <w:r w:rsidR="00FF41A0">
        <w:rPr>
          <w:color w:val="000000" w:themeColor="text1"/>
          <w:sz w:val="20"/>
          <w:szCs w:val="20"/>
        </w:rPr>
        <w:t xml:space="preserve"> </w:t>
      </w:r>
      <w:r w:rsidR="007241B0" w:rsidRPr="007241B0">
        <w:rPr>
          <w:color w:val="000000" w:themeColor="text1"/>
          <w:sz w:val="20"/>
          <w:szCs w:val="20"/>
        </w:rPr>
        <w:t>Centre</w:t>
      </w:r>
      <w:r w:rsidR="00FF41A0">
        <w:rPr>
          <w:color w:val="000000" w:themeColor="text1"/>
          <w:sz w:val="20"/>
          <w:szCs w:val="20"/>
        </w:rPr>
        <w:t xml:space="preserve"> </w:t>
      </w:r>
      <w:r w:rsidR="007241B0" w:rsidRPr="007241B0">
        <w:rPr>
          <w:color w:val="000000" w:themeColor="text1"/>
          <w:sz w:val="20"/>
          <w:szCs w:val="20"/>
        </w:rPr>
        <w:t>Europeen</w:t>
      </w:r>
      <w:r w:rsidR="00FF41A0">
        <w:rPr>
          <w:color w:val="000000" w:themeColor="text1"/>
          <w:sz w:val="20"/>
          <w:szCs w:val="20"/>
        </w:rPr>
        <w:t xml:space="preserve"> </w:t>
      </w:r>
      <w:r w:rsidR="007241B0" w:rsidRPr="007241B0">
        <w:rPr>
          <w:color w:val="000000" w:themeColor="text1"/>
          <w:sz w:val="20"/>
          <w:szCs w:val="20"/>
        </w:rPr>
        <w:t>pour</w:t>
      </w:r>
      <w:r w:rsidR="00FF41A0">
        <w:rPr>
          <w:color w:val="000000" w:themeColor="text1"/>
          <w:sz w:val="20"/>
          <w:szCs w:val="20"/>
        </w:rPr>
        <w:t xml:space="preserve"> </w:t>
      </w:r>
      <w:r w:rsidR="007241B0" w:rsidRPr="007241B0">
        <w:rPr>
          <w:color w:val="000000" w:themeColor="text1"/>
          <w:sz w:val="20"/>
          <w:szCs w:val="20"/>
        </w:rPr>
        <w:t>le</w:t>
      </w:r>
      <w:r w:rsidR="00FF41A0">
        <w:rPr>
          <w:color w:val="000000" w:themeColor="text1"/>
          <w:sz w:val="20"/>
          <w:szCs w:val="20"/>
        </w:rPr>
        <w:t xml:space="preserve"> </w:t>
      </w:r>
      <w:r w:rsidR="007241B0" w:rsidRPr="007241B0">
        <w:rPr>
          <w:color w:val="000000" w:themeColor="text1"/>
          <w:sz w:val="20"/>
          <w:szCs w:val="20"/>
        </w:rPr>
        <w:t>droit,</w:t>
      </w:r>
      <w:r w:rsidR="00FF41A0">
        <w:rPr>
          <w:color w:val="000000" w:themeColor="text1"/>
          <w:sz w:val="20"/>
          <w:szCs w:val="20"/>
        </w:rPr>
        <w:t xml:space="preserve"> </w:t>
      </w:r>
      <w:r w:rsidR="007241B0" w:rsidRPr="007241B0">
        <w:rPr>
          <w:color w:val="000000" w:themeColor="text1"/>
          <w:sz w:val="20"/>
          <w:szCs w:val="20"/>
        </w:rPr>
        <w:t>les</w:t>
      </w:r>
      <w:r w:rsidR="00FF41A0">
        <w:rPr>
          <w:color w:val="000000" w:themeColor="text1"/>
          <w:sz w:val="20"/>
          <w:szCs w:val="20"/>
        </w:rPr>
        <w:t xml:space="preserve"> </w:t>
      </w:r>
      <w:r w:rsidR="007241B0" w:rsidRPr="007241B0">
        <w:rPr>
          <w:color w:val="000000" w:themeColor="text1"/>
          <w:sz w:val="20"/>
          <w:szCs w:val="20"/>
        </w:rPr>
        <w:t>Justice</w:t>
      </w:r>
      <w:r w:rsidR="00FF41A0">
        <w:rPr>
          <w:color w:val="000000" w:themeColor="text1"/>
          <w:sz w:val="20"/>
          <w:szCs w:val="20"/>
        </w:rPr>
        <w:t xml:space="preserve"> </w:t>
      </w:r>
      <w:r w:rsidR="007241B0" w:rsidRPr="007241B0">
        <w:rPr>
          <w:color w:val="000000" w:themeColor="text1"/>
          <w:sz w:val="20"/>
          <w:szCs w:val="20"/>
        </w:rPr>
        <w:t>et</w:t>
      </w:r>
      <w:r w:rsidR="00FF41A0">
        <w:rPr>
          <w:color w:val="000000" w:themeColor="text1"/>
          <w:sz w:val="20"/>
          <w:szCs w:val="20"/>
        </w:rPr>
        <w:t xml:space="preserve"> </w:t>
      </w:r>
      <w:r w:rsidR="007241B0" w:rsidRPr="007241B0">
        <w:rPr>
          <w:color w:val="000000" w:themeColor="text1"/>
          <w:sz w:val="20"/>
          <w:szCs w:val="20"/>
        </w:rPr>
        <w:t>les</w:t>
      </w:r>
      <w:r w:rsidR="00FF41A0">
        <w:rPr>
          <w:color w:val="000000" w:themeColor="text1"/>
          <w:sz w:val="20"/>
          <w:szCs w:val="20"/>
        </w:rPr>
        <w:t xml:space="preserve"> </w:t>
      </w:r>
      <w:r w:rsidR="007241B0" w:rsidRPr="007241B0">
        <w:rPr>
          <w:color w:val="000000" w:themeColor="text1"/>
          <w:sz w:val="20"/>
          <w:szCs w:val="20"/>
        </w:rPr>
        <w:t>droits</w:t>
      </w:r>
      <w:r w:rsidR="00FF41A0">
        <w:rPr>
          <w:color w:val="000000" w:themeColor="text1"/>
          <w:sz w:val="20"/>
          <w:szCs w:val="20"/>
        </w:rPr>
        <w:t xml:space="preserve"> </w:t>
      </w:r>
      <w:r w:rsidR="007241B0" w:rsidRPr="007241B0">
        <w:rPr>
          <w:color w:val="000000" w:themeColor="text1"/>
          <w:sz w:val="20"/>
          <w:szCs w:val="20"/>
        </w:rPr>
        <w:t>de</w:t>
      </w:r>
      <w:r w:rsidR="00FF41A0">
        <w:rPr>
          <w:color w:val="000000" w:themeColor="text1"/>
          <w:sz w:val="20"/>
          <w:szCs w:val="20"/>
        </w:rPr>
        <w:t xml:space="preserve"> </w:t>
      </w:r>
      <w:r w:rsidR="007241B0" w:rsidRPr="007241B0">
        <w:rPr>
          <w:color w:val="000000" w:themeColor="text1"/>
          <w:sz w:val="20"/>
          <w:szCs w:val="20"/>
        </w:rPr>
        <w:t>l</w:t>
      </w:r>
      <w:r w:rsidR="00D72627">
        <w:rPr>
          <w:color w:val="000000" w:themeColor="text1"/>
          <w:sz w:val="20"/>
          <w:szCs w:val="20"/>
        </w:rPr>
        <w:t>’</w:t>
      </w:r>
      <w:r w:rsidR="007241B0" w:rsidRPr="007241B0">
        <w:rPr>
          <w:color w:val="000000" w:themeColor="text1"/>
          <w:sz w:val="20"/>
          <w:szCs w:val="20"/>
        </w:rPr>
        <w:t>homme</w:t>
      </w:r>
      <w:r w:rsidR="007241B0">
        <w:rPr>
          <w:color w:val="000000" w:themeColor="text1"/>
          <w:sz w:val="20"/>
          <w:szCs w:val="20"/>
        </w:rPr>
        <w:t>;</w:t>
      </w:r>
      <w:r w:rsidR="00FF41A0">
        <w:rPr>
          <w:color w:val="000000" w:themeColor="text1"/>
          <w:sz w:val="20"/>
          <w:szCs w:val="20"/>
        </w:rPr>
        <w:t xml:space="preserve"> </w:t>
      </w:r>
      <w:r w:rsidR="007241B0" w:rsidRPr="007241B0">
        <w:rPr>
          <w:color w:val="000000" w:themeColor="text1"/>
          <w:sz w:val="20"/>
          <w:szCs w:val="20"/>
        </w:rPr>
        <w:t>Health</w:t>
      </w:r>
      <w:r w:rsidR="00FF41A0">
        <w:rPr>
          <w:color w:val="000000" w:themeColor="text1"/>
          <w:sz w:val="20"/>
          <w:szCs w:val="20"/>
        </w:rPr>
        <w:t xml:space="preserve"> </w:t>
      </w:r>
      <w:r w:rsidR="007241B0" w:rsidRPr="007241B0">
        <w:rPr>
          <w:color w:val="000000" w:themeColor="text1"/>
          <w:sz w:val="20"/>
          <w:szCs w:val="20"/>
        </w:rPr>
        <w:t>and</w:t>
      </w:r>
      <w:r w:rsidR="00FF41A0">
        <w:rPr>
          <w:color w:val="000000" w:themeColor="text1"/>
          <w:sz w:val="20"/>
          <w:szCs w:val="20"/>
        </w:rPr>
        <w:t xml:space="preserve"> </w:t>
      </w:r>
      <w:r w:rsidR="007241B0" w:rsidRPr="007241B0">
        <w:rPr>
          <w:color w:val="000000" w:themeColor="text1"/>
          <w:sz w:val="20"/>
          <w:szCs w:val="20"/>
        </w:rPr>
        <w:t>Environment</w:t>
      </w:r>
      <w:r w:rsidR="00FF41A0">
        <w:rPr>
          <w:color w:val="000000" w:themeColor="text1"/>
          <w:sz w:val="20"/>
          <w:szCs w:val="20"/>
        </w:rPr>
        <w:t xml:space="preserve"> </w:t>
      </w:r>
      <w:r w:rsidR="007241B0" w:rsidRPr="007241B0">
        <w:rPr>
          <w:color w:val="000000" w:themeColor="text1"/>
          <w:sz w:val="20"/>
          <w:szCs w:val="20"/>
        </w:rPr>
        <w:t>Program</w:t>
      </w:r>
      <w:r w:rsidR="00FF41A0">
        <w:rPr>
          <w:color w:val="000000" w:themeColor="text1"/>
          <w:sz w:val="20"/>
          <w:szCs w:val="20"/>
        </w:rPr>
        <w:t xml:space="preserve"> </w:t>
      </w:r>
      <w:r w:rsidR="007241B0" w:rsidRPr="007241B0">
        <w:rPr>
          <w:color w:val="000000" w:themeColor="text1"/>
          <w:sz w:val="20"/>
          <w:szCs w:val="20"/>
        </w:rPr>
        <w:t>(HEP)</w:t>
      </w:r>
      <w:r w:rsidR="007241B0">
        <w:rPr>
          <w:color w:val="000000" w:themeColor="text1"/>
          <w:sz w:val="20"/>
          <w:szCs w:val="20"/>
        </w:rPr>
        <w:t>;</w:t>
      </w:r>
      <w:r w:rsidR="00FF41A0">
        <w:rPr>
          <w:color w:val="000000" w:themeColor="text1"/>
          <w:sz w:val="20"/>
          <w:szCs w:val="20"/>
        </w:rPr>
        <w:t xml:space="preserve"> </w:t>
      </w:r>
      <w:r w:rsidR="007241B0" w:rsidRPr="007241B0">
        <w:rPr>
          <w:color w:val="000000" w:themeColor="text1"/>
          <w:sz w:val="20"/>
          <w:szCs w:val="20"/>
        </w:rPr>
        <w:t>Ingenieurs</w:t>
      </w:r>
      <w:r w:rsidR="00FF41A0">
        <w:rPr>
          <w:color w:val="000000" w:themeColor="text1"/>
          <w:sz w:val="20"/>
          <w:szCs w:val="20"/>
        </w:rPr>
        <w:t xml:space="preserve"> </w:t>
      </w:r>
      <w:r w:rsidR="007241B0" w:rsidRPr="007241B0">
        <w:rPr>
          <w:color w:val="000000" w:themeColor="text1"/>
          <w:sz w:val="20"/>
          <w:szCs w:val="20"/>
        </w:rPr>
        <w:t>du</w:t>
      </w:r>
      <w:r w:rsidR="00FF41A0">
        <w:rPr>
          <w:color w:val="000000" w:themeColor="text1"/>
          <w:sz w:val="20"/>
          <w:szCs w:val="20"/>
        </w:rPr>
        <w:t xml:space="preserve"> </w:t>
      </w:r>
      <w:r w:rsidR="007241B0" w:rsidRPr="007241B0">
        <w:rPr>
          <w:color w:val="000000" w:themeColor="text1"/>
          <w:sz w:val="20"/>
          <w:szCs w:val="20"/>
        </w:rPr>
        <w:t>Monde</w:t>
      </w:r>
      <w:r w:rsidR="007241B0">
        <w:rPr>
          <w:color w:val="000000" w:themeColor="text1"/>
          <w:sz w:val="20"/>
          <w:szCs w:val="20"/>
        </w:rPr>
        <w:t>;</w:t>
      </w:r>
      <w:r w:rsidR="00FF41A0">
        <w:rPr>
          <w:color w:val="000000" w:themeColor="text1"/>
          <w:sz w:val="20"/>
          <w:szCs w:val="20"/>
        </w:rPr>
        <w:t xml:space="preserve"> </w:t>
      </w:r>
      <w:r w:rsidR="007241B0" w:rsidRPr="007241B0">
        <w:rPr>
          <w:color w:val="000000" w:themeColor="text1"/>
          <w:sz w:val="20"/>
          <w:szCs w:val="20"/>
        </w:rPr>
        <w:t>Iraqi</w:t>
      </w:r>
      <w:r w:rsidR="00FF41A0">
        <w:rPr>
          <w:color w:val="000000" w:themeColor="text1"/>
          <w:sz w:val="20"/>
          <w:szCs w:val="20"/>
        </w:rPr>
        <w:t xml:space="preserve"> </w:t>
      </w:r>
      <w:r w:rsidR="007241B0" w:rsidRPr="007241B0">
        <w:rPr>
          <w:color w:val="000000" w:themeColor="text1"/>
          <w:sz w:val="20"/>
          <w:szCs w:val="20"/>
        </w:rPr>
        <w:t>Development</w:t>
      </w:r>
      <w:r w:rsidR="00FF41A0">
        <w:rPr>
          <w:color w:val="000000" w:themeColor="text1"/>
          <w:sz w:val="20"/>
          <w:szCs w:val="20"/>
        </w:rPr>
        <w:t xml:space="preserve"> </w:t>
      </w:r>
      <w:r w:rsidR="007241B0" w:rsidRPr="007241B0">
        <w:rPr>
          <w:color w:val="000000" w:themeColor="text1"/>
          <w:sz w:val="20"/>
          <w:szCs w:val="20"/>
        </w:rPr>
        <w:t>Organization</w:t>
      </w:r>
      <w:r w:rsidR="007241B0">
        <w:rPr>
          <w:color w:val="000000" w:themeColor="text1"/>
          <w:sz w:val="20"/>
          <w:szCs w:val="20"/>
        </w:rPr>
        <w:t>;</w:t>
      </w:r>
      <w:r w:rsidR="00FF41A0">
        <w:rPr>
          <w:color w:val="000000" w:themeColor="text1"/>
          <w:sz w:val="20"/>
          <w:szCs w:val="20"/>
        </w:rPr>
        <w:t xml:space="preserve"> </w:t>
      </w:r>
      <w:r w:rsidR="007241B0" w:rsidRPr="007241B0">
        <w:rPr>
          <w:color w:val="000000" w:themeColor="text1"/>
          <w:sz w:val="20"/>
          <w:szCs w:val="20"/>
        </w:rPr>
        <w:t>Khiam</w:t>
      </w:r>
      <w:r w:rsidR="00FF41A0">
        <w:rPr>
          <w:color w:val="000000" w:themeColor="text1"/>
          <w:sz w:val="20"/>
          <w:szCs w:val="20"/>
        </w:rPr>
        <w:t xml:space="preserve"> </w:t>
      </w:r>
      <w:r w:rsidR="007241B0" w:rsidRPr="007241B0">
        <w:rPr>
          <w:color w:val="000000" w:themeColor="text1"/>
          <w:sz w:val="20"/>
          <w:szCs w:val="20"/>
        </w:rPr>
        <w:t>Rehabilitation</w:t>
      </w:r>
      <w:r w:rsidR="00FF41A0">
        <w:rPr>
          <w:color w:val="000000" w:themeColor="text1"/>
          <w:sz w:val="20"/>
          <w:szCs w:val="20"/>
        </w:rPr>
        <w:t xml:space="preserve"> </w:t>
      </w:r>
      <w:r w:rsidR="007241B0" w:rsidRPr="007241B0">
        <w:rPr>
          <w:color w:val="000000" w:themeColor="text1"/>
          <w:sz w:val="20"/>
          <w:szCs w:val="20"/>
        </w:rPr>
        <w:t>Center</w:t>
      </w:r>
      <w:r w:rsidR="00FF41A0">
        <w:rPr>
          <w:color w:val="000000" w:themeColor="text1"/>
          <w:sz w:val="20"/>
          <w:szCs w:val="20"/>
        </w:rPr>
        <w:t xml:space="preserve"> </w:t>
      </w:r>
      <w:r w:rsidR="007241B0" w:rsidRPr="007241B0">
        <w:rPr>
          <w:color w:val="000000" w:themeColor="text1"/>
          <w:sz w:val="20"/>
          <w:szCs w:val="20"/>
        </w:rPr>
        <w:t>for</w:t>
      </w:r>
      <w:r w:rsidR="00FF41A0">
        <w:rPr>
          <w:color w:val="000000" w:themeColor="text1"/>
          <w:sz w:val="20"/>
          <w:szCs w:val="20"/>
        </w:rPr>
        <w:t xml:space="preserve"> </w:t>
      </w:r>
      <w:r w:rsidR="007241B0" w:rsidRPr="007241B0">
        <w:rPr>
          <w:color w:val="000000" w:themeColor="text1"/>
          <w:sz w:val="20"/>
          <w:szCs w:val="20"/>
        </w:rPr>
        <w:t>Victims</w:t>
      </w:r>
      <w:r w:rsidR="00FF41A0">
        <w:rPr>
          <w:color w:val="000000" w:themeColor="text1"/>
          <w:sz w:val="20"/>
          <w:szCs w:val="20"/>
        </w:rPr>
        <w:t xml:space="preserve"> </w:t>
      </w:r>
      <w:r w:rsidR="007241B0" w:rsidRPr="007241B0">
        <w:rPr>
          <w:color w:val="000000" w:themeColor="text1"/>
          <w:sz w:val="20"/>
          <w:szCs w:val="20"/>
        </w:rPr>
        <w:t>of</w:t>
      </w:r>
      <w:r w:rsidR="00FF41A0">
        <w:rPr>
          <w:color w:val="000000" w:themeColor="text1"/>
          <w:sz w:val="20"/>
          <w:szCs w:val="20"/>
        </w:rPr>
        <w:t xml:space="preserve"> </w:t>
      </w:r>
      <w:r w:rsidR="007241B0" w:rsidRPr="007241B0">
        <w:rPr>
          <w:color w:val="000000" w:themeColor="text1"/>
          <w:sz w:val="20"/>
          <w:szCs w:val="20"/>
        </w:rPr>
        <w:t>Torture</w:t>
      </w:r>
      <w:r w:rsidR="007241B0">
        <w:rPr>
          <w:color w:val="000000" w:themeColor="text1"/>
          <w:sz w:val="20"/>
          <w:szCs w:val="20"/>
        </w:rPr>
        <w:t>;</w:t>
      </w:r>
      <w:r w:rsidR="00FF41A0">
        <w:rPr>
          <w:color w:val="000000" w:themeColor="text1"/>
          <w:sz w:val="20"/>
          <w:szCs w:val="20"/>
        </w:rPr>
        <w:t xml:space="preserve"> </w:t>
      </w:r>
      <w:r w:rsidR="007241B0" w:rsidRPr="007241B0">
        <w:rPr>
          <w:color w:val="000000" w:themeColor="text1"/>
          <w:sz w:val="20"/>
          <w:szCs w:val="20"/>
        </w:rPr>
        <w:t>Le</w:t>
      </w:r>
      <w:r w:rsidR="00FF41A0">
        <w:rPr>
          <w:color w:val="000000" w:themeColor="text1"/>
          <w:sz w:val="20"/>
          <w:szCs w:val="20"/>
        </w:rPr>
        <w:t xml:space="preserve"> </w:t>
      </w:r>
      <w:r w:rsidR="007241B0" w:rsidRPr="007241B0">
        <w:rPr>
          <w:color w:val="000000" w:themeColor="text1"/>
          <w:sz w:val="20"/>
          <w:szCs w:val="20"/>
        </w:rPr>
        <w:t>Pont</w:t>
      </w:r>
      <w:r w:rsidR="007241B0">
        <w:rPr>
          <w:color w:val="000000" w:themeColor="text1"/>
          <w:sz w:val="20"/>
          <w:szCs w:val="20"/>
        </w:rPr>
        <w:t>;</w:t>
      </w:r>
      <w:r w:rsidR="00FF41A0">
        <w:rPr>
          <w:color w:val="000000" w:themeColor="text1"/>
          <w:sz w:val="20"/>
          <w:szCs w:val="20"/>
        </w:rPr>
        <w:t xml:space="preserve"> </w:t>
      </w:r>
      <w:r w:rsidR="007241B0" w:rsidRPr="007241B0">
        <w:rPr>
          <w:color w:val="000000" w:themeColor="text1"/>
          <w:sz w:val="20"/>
          <w:szCs w:val="20"/>
        </w:rPr>
        <w:t>National</w:t>
      </w:r>
      <w:r w:rsidR="00FF41A0">
        <w:rPr>
          <w:color w:val="000000" w:themeColor="text1"/>
          <w:sz w:val="20"/>
          <w:szCs w:val="20"/>
        </w:rPr>
        <w:t xml:space="preserve"> </w:t>
      </w:r>
      <w:r w:rsidR="007241B0" w:rsidRPr="007241B0">
        <w:rPr>
          <w:color w:val="000000" w:themeColor="text1"/>
          <w:sz w:val="20"/>
          <w:szCs w:val="20"/>
        </w:rPr>
        <w:t>Association</w:t>
      </w:r>
      <w:r w:rsidR="00FF41A0">
        <w:rPr>
          <w:color w:val="000000" w:themeColor="text1"/>
          <w:sz w:val="20"/>
          <w:szCs w:val="20"/>
        </w:rPr>
        <w:t xml:space="preserve"> </w:t>
      </w:r>
      <w:r w:rsidR="007241B0" w:rsidRPr="007241B0">
        <w:rPr>
          <w:color w:val="000000" w:themeColor="text1"/>
          <w:sz w:val="20"/>
          <w:szCs w:val="20"/>
        </w:rPr>
        <w:t>of</w:t>
      </w:r>
      <w:r w:rsidR="00FF41A0">
        <w:rPr>
          <w:color w:val="000000" w:themeColor="text1"/>
          <w:sz w:val="20"/>
          <w:szCs w:val="20"/>
        </w:rPr>
        <w:t xml:space="preserve"> </w:t>
      </w:r>
      <w:r w:rsidR="007241B0" w:rsidRPr="007241B0">
        <w:rPr>
          <w:color w:val="000000" w:themeColor="text1"/>
          <w:sz w:val="20"/>
          <w:szCs w:val="20"/>
        </w:rPr>
        <w:t>Cuban</w:t>
      </w:r>
      <w:r w:rsidR="00FF41A0">
        <w:rPr>
          <w:color w:val="000000" w:themeColor="text1"/>
          <w:sz w:val="20"/>
          <w:szCs w:val="20"/>
        </w:rPr>
        <w:t xml:space="preserve"> </w:t>
      </w:r>
      <w:r w:rsidR="007241B0" w:rsidRPr="007241B0">
        <w:rPr>
          <w:color w:val="000000" w:themeColor="text1"/>
          <w:sz w:val="20"/>
          <w:szCs w:val="20"/>
        </w:rPr>
        <w:t>Economists</w:t>
      </w:r>
      <w:r w:rsidR="007241B0">
        <w:rPr>
          <w:color w:val="000000" w:themeColor="text1"/>
          <w:sz w:val="20"/>
          <w:szCs w:val="20"/>
        </w:rPr>
        <w:t>;</w:t>
      </w:r>
      <w:r w:rsidR="00FF41A0">
        <w:rPr>
          <w:color w:val="000000" w:themeColor="text1"/>
          <w:sz w:val="20"/>
          <w:szCs w:val="20"/>
        </w:rPr>
        <w:t xml:space="preserve"> </w:t>
      </w:r>
      <w:r w:rsidR="007241B0" w:rsidRPr="007241B0">
        <w:rPr>
          <w:color w:val="000000" w:themeColor="text1"/>
          <w:sz w:val="20"/>
          <w:szCs w:val="20"/>
        </w:rPr>
        <w:t>National</w:t>
      </w:r>
      <w:r w:rsidR="00FF41A0">
        <w:rPr>
          <w:color w:val="000000" w:themeColor="text1"/>
          <w:sz w:val="20"/>
          <w:szCs w:val="20"/>
        </w:rPr>
        <w:t xml:space="preserve"> </w:t>
      </w:r>
      <w:r w:rsidR="007241B0" w:rsidRPr="007241B0">
        <w:rPr>
          <w:color w:val="000000" w:themeColor="text1"/>
          <w:sz w:val="20"/>
          <w:szCs w:val="20"/>
        </w:rPr>
        <w:t>Union</w:t>
      </w:r>
      <w:r w:rsidR="00FF41A0">
        <w:rPr>
          <w:color w:val="000000" w:themeColor="text1"/>
          <w:sz w:val="20"/>
          <w:szCs w:val="20"/>
        </w:rPr>
        <w:t xml:space="preserve"> </w:t>
      </w:r>
      <w:r w:rsidR="007241B0" w:rsidRPr="007241B0">
        <w:rPr>
          <w:color w:val="000000" w:themeColor="text1"/>
          <w:sz w:val="20"/>
          <w:szCs w:val="20"/>
        </w:rPr>
        <w:t>of</w:t>
      </w:r>
      <w:r w:rsidR="00FF41A0">
        <w:rPr>
          <w:color w:val="000000" w:themeColor="text1"/>
          <w:sz w:val="20"/>
          <w:szCs w:val="20"/>
        </w:rPr>
        <w:t xml:space="preserve"> </w:t>
      </w:r>
      <w:r w:rsidR="007241B0" w:rsidRPr="007241B0">
        <w:rPr>
          <w:color w:val="000000" w:themeColor="text1"/>
          <w:sz w:val="20"/>
          <w:szCs w:val="20"/>
        </w:rPr>
        <w:t>Jurists</w:t>
      </w:r>
      <w:r w:rsidR="00FF41A0">
        <w:rPr>
          <w:color w:val="000000" w:themeColor="text1"/>
          <w:sz w:val="20"/>
          <w:szCs w:val="20"/>
        </w:rPr>
        <w:t xml:space="preserve"> </w:t>
      </w:r>
      <w:r w:rsidR="007241B0" w:rsidRPr="007241B0">
        <w:rPr>
          <w:color w:val="000000" w:themeColor="text1"/>
          <w:sz w:val="20"/>
          <w:szCs w:val="20"/>
        </w:rPr>
        <w:t>of</w:t>
      </w:r>
      <w:r w:rsidR="00FF41A0">
        <w:rPr>
          <w:color w:val="000000" w:themeColor="text1"/>
          <w:sz w:val="20"/>
          <w:szCs w:val="20"/>
        </w:rPr>
        <w:t xml:space="preserve"> </w:t>
      </w:r>
      <w:r w:rsidR="007241B0" w:rsidRPr="007241B0">
        <w:rPr>
          <w:color w:val="000000" w:themeColor="text1"/>
          <w:sz w:val="20"/>
          <w:szCs w:val="20"/>
        </w:rPr>
        <w:t>Cuba,</w:t>
      </w:r>
      <w:r w:rsidR="00FF41A0">
        <w:rPr>
          <w:color w:val="000000" w:themeColor="text1"/>
          <w:sz w:val="20"/>
          <w:szCs w:val="20"/>
        </w:rPr>
        <w:t xml:space="preserve"> </w:t>
      </w:r>
      <w:r w:rsidR="007241B0" w:rsidRPr="007241B0">
        <w:rPr>
          <w:color w:val="000000" w:themeColor="text1"/>
          <w:sz w:val="20"/>
          <w:szCs w:val="20"/>
        </w:rPr>
        <w:t>The</w:t>
      </w:r>
      <w:r w:rsidR="007241B0">
        <w:rPr>
          <w:color w:val="000000" w:themeColor="text1"/>
          <w:sz w:val="20"/>
          <w:szCs w:val="20"/>
        </w:rPr>
        <w:t>;</w:t>
      </w:r>
      <w:r w:rsidR="00FF41A0">
        <w:rPr>
          <w:color w:val="000000" w:themeColor="text1"/>
          <w:sz w:val="20"/>
          <w:szCs w:val="20"/>
        </w:rPr>
        <w:t xml:space="preserve"> </w:t>
      </w:r>
      <w:r w:rsidR="007241B0" w:rsidRPr="007241B0">
        <w:rPr>
          <w:color w:val="000000" w:themeColor="text1"/>
          <w:sz w:val="20"/>
          <w:szCs w:val="20"/>
        </w:rPr>
        <w:t>Organization</w:t>
      </w:r>
      <w:r w:rsidR="00FF41A0">
        <w:rPr>
          <w:color w:val="000000" w:themeColor="text1"/>
          <w:sz w:val="20"/>
          <w:szCs w:val="20"/>
        </w:rPr>
        <w:t xml:space="preserve"> </w:t>
      </w:r>
      <w:r w:rsidR="007241B0" w:rsidRPr="007241B0">
        <w:rPr>
          <w:color w:val="000000" w:themeColor="text1"/>
          <w:sz w:val="20"/>
          <w:szCs w:val="20"/>
        </w:rPr>
        <w:t>for</w:t>
      </w:r>
      <w:r w:rsidR="00FF41A0">
        <w:rPr>
          <w:color w:val="000000" w:themeColor="text1"/>
          <w:sz w:val="20"/>
          <w:szCs w:val="20"/>
        </w:rPr>
        <w:t xml:space="preserve"> </w:t>
      </w:r>
      <w:r w:rsidR="007241B0" w:rsidRPr="007241B0">
        <w:rPr>
          <w:color w:val="000000" w:themeColor="text1"/>
          <w:sz w:val="20"/>
          <w:szCs w:val="20"/>
        </w:rPr>
        <w:t>Defending</w:t>
      </w:r>
      <w:r w:rsidR="00FF41A0">
        <w:rPr>
          <w:color w:val="000000" w:themeColor="text1"/>
          <w:sz w:val="20"/>
          <w:szCs w:val="20"/>
        </w:rPr>
        <w:t xml:space="preserve"> </w:t>
      </w:r>
      <w:r w:rsidR="007241B0" w:rsidRPr="007241B0">
        <w:rPr>
          <w:color w:val="000000" w:themeColor="text1"/>
          <w:sz w:val="20"/>
          <w:szCs w:val="20"/>
        </w:rPr>
        <w:t>Victims</w:t>
      </w:r>
      <w:r w:rsidR="00FF41A0">
        <w:rPr>
          <w:color w:val="000000" w:themeColor="text1"/>
          <w:sz w:val="20"/>
          <w:szCs w:val="20"/>
        </w:rPr>
        <w:t xml:space="preserve"> </w:t>
      </w:r>
      <w:r w:rsidR="007241B0" w:rsidRPr="007241B0">
        <w:rPr>
          <w:color w:val="000000" w:themeColor="text1"/>
          <w:sz w:val="20"/>
          <w:szCs w:val="20"/>
        </w:rPr>
        <w:t>of</w:t>
      </w:r>
      <w:r w:rsidR="00FF41A0">
        <w:rPr>
          <w:color w:val="000000" w:themeColor="text1"/>
          <w:sz w:val="20"/>
          <w:szCs w:val="20"/>
        </w:rPr>
        <w:t xml:space="preserve"> </w:t>
      </w:r>
      <w:r w:rsidR="007241B0" w:rsidRPr="007241B0">
        <w:rPr>
          <w:color w:val="000000" w:themeColor="text1"/>
          <w:sz w:val="20"/>
          <w:szCs w:val="20"/>
        </w:rPr>
        <w:t>Violence</w:t>
      </w:r>
      <w:r w:rsidR="007241B0">
        <w:rPr>
          <w:color w:val="000000" w:themeColor="text1"/>
          <w:sz w:val="20"/>
          <w:szCs w:val="20"/>
        </w:rPr>
        <w:t>;</w:t>
      </w:r>
      <w:r w:rsidR="00FF41A0">
        <w:rPr>
          <w:color w:val="000000" w:themeColor="text1"/>
          <w:sz w:val="20"/>
          <w:szCs w:val="20"/>
        </w:rPr>
        <w:t xml:space="preserve"> </w:t>
      </w:r>
      <w:r w:rsidR="007241B0" w:rsidRPr="007241B0">
        <w:rPr>
          <w:color w:val="000000" w:themeColor="text1"/>
          <w:sz w:val="20"/>
          <w:szCs w:val="20"/>
        </w:rPr>
        <w:t>Rencontre</w:t>
      </w:r>
      <w:r w:rsidR="00FF41A0">
        <w:rPr>
          <w:color w:val="000000" w:themeColor="text1"/>
          <w:sz w:val="20"/>
          <w:szCs w:val="20"/>
        </w:rPr>
        <w:t xml:space="preserve"> </w:t>
      </w:r>
      <w:r w:rsidR="007241B0" w:rsidRPr="007241B0">
        <w:rPr>
          <w:color w:val="000000" w:themeColor="text1"/>
          <w:sz w:val="20"/>
          <w:szCs w:val="20"/>
        </w:rPr>
        <w:t>Africaine</w:t>
      </w:r>
      <w:r w:rsidR="00FF41A0">
        <w:rPr>
          <w:color w:val="000000" w:themeColor="text1"/>
          <w:sz w:val="20"/>
          <w:szCs w:val="20"/>
        </w:rPr>
        <w:t xml:space="preserve"> </w:t>
      </w:r>
      <w:r w:rsidR="007241B0" w:rsidRPr="007241B0">
        <w:rPr>
          <w:color w:val="000000" w:themeColor="text1"/>
          <w:sz w:val="20"/>
          <w:szCs w:val="20"/>
        </w:rPr>
        <w:t>pour</w:t>
      </w:r>
      <w:r w:rsidR="00FF41A0">
        <w:rPr>
          <w:color w:val="000000" w:themeColor="text1"/>
          <w:sz w:val="20"/>
          <w:szCs w:val="20"/>
        </w:rPr>
        <w:t xml:space="preserve"> </w:t>
      </w:r>
      <w:r w:rsidR="007241B0" w:rsidRPr="007241B0">
        <w:rPr>
          <w:color w:val="000000" w:themeColor="text1"/>
          <w:sz w:val="20"/>
          <w:szCs w:val="20"/>
        </w:rPr>
        <w:t>la</w:t>
      </w:r>
      <w:r w:rsidR="00FF41A0">
        <w:rPr>
          <w:color w:val="000000" w:themeColor="text1"/>
          <w:sz w:val="20"/>
          <w:szCs w:val="20"/>
        </w:rPr>
        <w:t xml:space="preserve"> </w:t>
      </w:r>
      <w:r w:rsidR="007241B0" w:rsidRPr="007241B0">
        <w:rPr>
          <w:color w:val="000000" w:themeColor="text1"/>
          <w:sz w:val="20"/>
          <w:szCs w:val="20"/>
        </w:rPr>
        <w:t>defense</w:t>
      </w:r>
      <w:r w:rsidR="00FF41A0">
        <w:rPr>
          <w:color w:val="000000" w:themeColor="text1"/>
          <w:sz w:val="20"/>
          <w:szCs w:val="20"/>
        </w:rPr>
        <w:t xml:space="preserve"> </w:t>
      </w:r>
      <w:r w:rsidR="007241B0" w:rsidRPr="007241B0">
        <w:rPr>
          <w:color w:val="000000" w:themeColor="text1"/>
          <w:sz w:val="20"/>
          <w:szCs w:val="20"/>
        </w:rPr>
        <w:t>des</w:t>
      </w:r>
      <w:r w:rsidR="00FF41A0">
        <w:rPr>
          <w:color w:val="000000" w:themeColor="text1"/>
          <w:sz w:val="20"/>
          <w:szCs w:val="20"/>
        </w:rPr>
        <w:t xml:space="preserve"> </w:t>
      </w:r>
      <w:r w:rsidR="007241B0" w:rsidRPr="007241B0">
        <w:rPr>
          <w:color w:val="000000" w:themeColor="text1"/>
          <w:sz w:val="20"/>
          <w:szCs w:val="20"/>
        </w:rPr>
        <w:t>droits</w:t>
      </w:r>
      <w:r w:rsidR="00FF41A0">
        <w:rPr>
          <w:color w:val="000000" w:themeColor="text1"/>
          <w:sz w:val="20"/>
          <w:szCs w:val="20"/>
        </w:rPr>
        <w:t xml:space="preserve"> </w:t>
      </w:r>
      <w:r w:rsidR="007241B0" w:rsidRPr="007241B0">
        <w:rPr>
          <w:color w:val="000000" w:themeColor="text1"/>
          <w:sz w:val="20"/>
          <w:szCs w:val="20"/>
        </w:rPr>
        <w:t>de</w:t>
      </w:r>
      <w:r w:rsidR="00FF41A0">
        <w:rPr>
          <w:color w:val="000000" w:themeColor="text1"/>
          <w:sz w:val="20"/>
          <w:szCs w:val="20"/>
        </w:rPr>
        <w:t xml:space="preserve"> </w:t>
      </w:r>
      <w:r w:rsidR="007241B0" w:rsidRPr="007241B0">
        <w:rPr>
          <w:color w:val="000000" w:themeColor="text1"/>
          <w:sz w:val="20"/>
          <w:szCs w:val="20"/>
        </w:rPr>
        <w:t>l</w:t>
      </w:r>
      <w:r w:rsidR="00D72627">
        <w:rPr>
          <w:color w:val="000000" w:themeColor="text1"/>
          <w:sz w:val="20"/>
          <w:szCs w:val="20"/>
        </w:rPr>
        <w:t>’</w:t>
      </w:r>
      <w:r w:rsidR="007241B0" w:rsidRPr="007241B0">
        <w:rPr>
          <w:color w:val="000000" w:themeColor="text1"/>
          <w:sz w:val="20"/>
          <w:szCs w:val="20"/>
        </w:rPr>
        <w:t>homme</w:t>
      </w:r>
      <w:r w:rsidR="007241B0">
        <w:rPr>
          <w:color w:val="000000" w:themeColor="text1"/>
          <w:sz w:val="20"/>
          <w:szCs w:val="20"/>
        </w:rPr>
        <w:t>;</w:t>
      </w:r>
      <w:r w:rsidR="00FF41A0">
        <w:rPr>
          <w:color w:val="000000" w:themeColor="text1"/>
          <w:sz w:val="20"/>
          <w:szCs w:val="20"/>
        </w:rPr>
        <w:t xml:space="preserve"> </w:t>
      </w:r>
      <w:r w:rsidR="007241B0" w:rsidRPr="007241B0">
        <w:rPr>
          <w:color w:val="000000" w:themeColor="text1"/>
          <w:sz w:val="20"/>
          <w:szCs w:val="20"/>
        </w:rPr>
        <w:t>Society</w:t>
      </w:r>
      <w:r w:rsidR="00FF41A0">
        <w:rPr>
          <w:color w:val="000000" w:themeColor="text1"/>
          <w:sz w:val="20"/>
          <w:szCs w:val="20"/>
        </w:rPr>
        <w:t xml:space="preserve"> </w:t>
      </w:r>
      <w:r w:rsidR="007241B0" w:rsidRPr="007241B0">
        <w:rPr>
          <w:color w:val="000000" w:themeColor="text1"/>
          <w:sz w:val="20"/>
          <w:szCs w:val="20"/>
        </w:rPr>
        <w:t>for</w:t>
      </w:r>
      <w:r w:rsidR="00FF41A0">
        <w:rPr>
          <w:color w:val="000000" w:themeColor="text1"/>
          <w:sz w:val="20"/>
          <w:szCs w:val="20"/>
        </w:rPr>
        <w:t xml:space="preserve"> </w:t>
      </w:r>
      <w:r w:rsidR="007241B0" w:rsidRPr="007241B0">
        <w:rPr>
          <w:color w:val="000000" w:themeColor="text1"/>
          <w:sz w:val="20"/>
          <w:szCs w:val="20"/>
        </w:rPr>
        <w:t>Threatened</w:t>
      </w:r>
      <w:r w:rsidR="00FF41A0">
        <w:rPr>
          <w:color w:val="000000" w:themeColor="text1"/>
          <w:sz w:val="20"/>
          <w:szCs w:val="20"/>
        </w:rPr>
        <w:t xml:space="preserve"> </w:t>
      </w:r>
      <w:r w:rsidR="007241B0" w:rsidRPr="007241B0">
        <w:rPr>
          <w:color w:val="000000" w:themeColor="text1"/>
          <w:sz w:val="20"/>
          <w:szCs w:val="20"/>
        </w:rPr>
        <w:t>Peoples</w:t>
      </w:r>
      <w:r w:rsidR="007241B0">
        <w:rPr>
          <w:color w:val="000000" w:themeColor="text1"/>
          <w:sz w:val="20"/>
          <w:szCs w:val="20"/>
        </w:rPr>
        <w:t>;</w:t>
      </w:r>
      <w:r w:rsidR="00FF41A0">
        <w:rPr>
          <w:color w:val="000000" w:themeColor="text1"/>
          <w:sz w:val="20"/>
          <w:szCs w:val="20"/>
        </w:rPr>
        <w:t xml:space="preserve"> </w:t>
      </w:r>
      <w:r w:rsidR="007241B0" w:rsidRPr="007241B0">
        <w:rPr>
          <w:color w:val="000000" w:themeColor="text1"/>
          <w:sz w:val="20"/>
          <w:szCs w:val="20"/>
        </w:rPr>
        <w:t>United</w:t>
      </w:r>
      <w:r w:rsidR="00FF41A0">
        <w:rPr>
          <w:color w:val="000000" w:themeColor="text1"/>
          <w:sz w:val="20"/>
          <w:szCs w:val="20"/>
        </w:rPr>
        <w:t xml:space="preserve"> </w:t>
      </w:r>
      <w:r w:rsidR="007241B0" w:rsidRPr="007241B0">
        <w:rPr>
          <w:color w:val="000000" w:themeColor="text1"/>
          <w:sz w:val="20"/>
          <w:szCs w:val="20"/>
        </w:rPr>
        <w:t>Nations</w:t>
      </w:r>
      <w:r w:rsidR="00FF41A0">
        <w:rPr>
          <w:color w:val="000000" w:themeColor="text1"/>
          <w:sz w:val="20"/>
          <w:szCs w:val="20"/>
        </w:rPr>
        <w:t xml:space="preserve"> </w:t>
      </w:r>
      <w:r w:rsidR="007241B0" w:rsidRPr="007241B0">
        <w:rPr>
          <w:color w:val="000000" w:themeColor="text1"/>
          <w:sz w:val="20"/>
          <w:szCs w:val="20"/>
        </w:rPr>
        <w:t>Watch</w:t>
      </w:r>
      <w:r w:rsidR="007241B0">
        <w:rPr>
          <w:color w:val="000000" w:themeColor="text1"/>
          <w:sz w:val="20"/>
          <w:szCs w:val="20"/>
        </w:rPr>
        <w:t>;</w:t>
      </w:r>
      <w:r w:rsidR="00FF41A0">
        <w:rPr>
          <w:color w:val="000000" w:themeColor="text1"/>
          <w:sz w:val="20"/>
          <w:szCs w:val="20"/>
        </w:rPr>
        <w:t xml:space="preserve"> </w:t>
      </w:r>
      <w:r w:rsidR="007241B0" w:rsidRPr="007241B0">
        <w:rPr>
          <w:color w:val="000000" w:themeColor="text1"/>
          <w:sz w:val="20"/>
          <w:szCs w:val="20"/>
        </w:rPr>
        <w:t>Verein</w:t>
      </w:r>
      <w:r w:rsidR="00FF41A0">
        <w:rPr>
          <w:color w:val="000000" w:themeColor="text1"/>
          <w:sz w:val="20"/>
          <w:szCs w:val="20"/>
        </w:rPr>
        <w:t xml:space="preserve"> </w:t>
      </w:r>
      <w:r w:rsidR="007241B0" w:rsidRPr="007241B0">
        <w:rPr>
          <w:color w:val="000000" w:themeColor="text1"/>
          <w:sz w:val="20"/>
          <w:szCs w:val="20"/>
        </w:rPr>
        <w:t>Sudwind</w:t>
      </w:r>
      <w:r w:rsidR="00FF41A0">
        <w:rPr>
          <w:color w:val="000000" w:themeColor="text1"/>
          <w:sz w:val="20"/>
          <w:szCs w:val="20"/>
        </w:rPr>
        <w:t xml:space="preserve"> </w:t>
      </w:r>
      <w:r w:rsidR="007241B0" w:rsidRPr="007241B0">
        <w:rPr>
          <w:color w:val="000000" w:themeColor="text1"/>
          <w:sz w:val="20"/>
          <w:szCs w:val="20"/>
        </w:rPr>
        <w:t>Entwicklungspolitik</w:t>
      </w:r>
      <w:r w:rsidR="007241B0">
        <w:rPr>
          <w:color w:val="000000" w:themeColor="text1"/>
          <w:sz w:val="20"/>
          <w:szCs w:val="20"/>
        </w:rPr>
        <w:t>;</w:t>
      </w:r>
      <w:r w:rsidR="00FF41A0">
        <w:rPr>
          <w:color w:val="000000" w:themeColor="text1"/>
          <w:sz w:val="20"/>
          <w:szCs w:val="20"/>
        </w:rPr>
        <w:t xml:space="preserve"> </w:t>
      </w:r>
      <w:r w:rsidR="007241B0" w:rsidRPr="007241B0">
        <w:rPr>
          <w:color w:val="000000" w:themeColor="text1"/>
          <w:sz w:val="20"/>
          <w:szCs w:val="20"/>
        </w:rPr>
        <w:t>Villages</w:t>
      </w:r>
      <w:r w:rsidR="00FF41A0">
        <w:rPr>
          <w:color w:val="000000" w:themeColor="text1"/>
          <w:sz w:val="20"/>
          <w:szCs w:val="20"/>
        </w:rPr>
        <w:t xml:space="preserve"> </w:t>
      </w:r>
      <w:r w:rsidR="007241B0" w:rsidRPr="007241B0">
        <w:rPr>
          <w:color w:val="000000" w:themeColor="text1"/>
          <w:sz w:val="20"/>
          <w:szCs w:val="20"/>
        </w:rPr>
        <w:t>Unis</w:t>
      </w:r>
      <w:r w:rsidR="00FF41A0">
        <w:rPr>
          <w:color w:val="000000" w:themeColor="text1"/>
          <w:sz w:val="20"/>
          <w:szCs w:val="20"/>
        </w:rPr>
        <w:t xml:space="preserve"> </w:t>
      </w:r>
      <w:r w:rsidR="007241B0" w:rsidRPr="007241B0">
        <w:rPr>
          <w:color w:val="000000" w:themeColor="text1"/>
          <w:sz w:val="20"/>
          <w:szCs w:val="20"/>
        </w:rPr>
        <w:t>(United</w:t>
      </w:r>
      <w:r w:rsidR="00FF41A0">
        <w:rPr>
          <w:color w:val="000000" w:themeColor="text1"/>
          <w:sz w:val="20"/>
          <w:szCs w:val="20"/>
        </w:rPr>
        <w:t xml:space="preserve"> </w:t>
      </w:r>
      <w:r w:rsidR="007241B0" w:rsidRPr="007241B0">
        <w:rPr>
          <w:color w:val="000000" w:themeColor="text1"/>
          <w:sz w:val="20"/>
          <w:szCs w:val="20"/>
        </w:rPr>
        <w:t>Villages)</w:t>
      </w:r>
      <w:r w:rsidR="007241B0">
        <w:rPr>
          <w:color w:val="000000" w:themeColor="text1"/>
          <w:sz w:val="20"/>
          <w:szCs w:val="20"/>
        </w:rPr>
        <w:t>;</w:t>
      </w:r>
      <w:r w:rsidR="00FF41A0">
        <w:rPr>
          <w:color w:val="000000" w:themeColor="text1"/>
          <w:sz w:val="20"/>
          <w:szCs w:val="20"/>
        </w:rPr>
        <w:t xml:space="preserve"> </w:t>
      </w:r>
      <w:r w:rsidR="007241B0" w:rsidRPr="007241B0">
        <w:rPr>
          <w:color w:val="000000" w:themeColor="text1"/>
          <w:sz w:val="20"/>
          <w:szCs w:val="20"/>
        </w:rPr>
        <w:t>Women</w:t>
      </w:r>
      <w:r w:rsidR="00D72627">
        <w:rPr>
          <w:color w:val="000000" w:themeColor="text1"/>
          <w:sz w:val="20"/>
          <w:szCs w:val="20"/>
        </w:rPr>
        <w:t>’</w:t>
      </w:r>
      <w:r w:rsidR="007241B0" w:rsidRPr="007241B0">
        <w:rPr>
          <w:color w:val="000000" w:themeColor="text1"/>
          <w:sz w:val="20"/>
          <w:szCs w:val="20"/>
        </w:rPr>
        <w:t>s</w:t>
      </w:r>
      <w:r w:rsidR="00FF41A0">
        <w:rPr>
          <w:color w:val="000000" w:themeColor="text1"/>
          <w:sz w:val="20"/>
          <w:szCs w:val="20"/>
        </w:rPr>
        <w:t xml:space="preserve"> </w:t>
      </w:r>
      <w:r w:rsidR="007241B0" w:rsidRPr="007241B0">
        <w:rPr>
          <w:color w:val="000000" w:themeColor="text1"/>
          <w:sz w:val="20"/>
          <w:szCs w:val="20"/>
        </w:rPr>
        <w:t>Ge</w:t>
      </w:r>
      <w:r w:rsidR="007241B0">
        <w:rPr>
          <w:color w:val="000000" w:themeColor="text1"/>
          <w:sz w:val="20"/>
          <w:szCs w:val="20"/>
        </w:rPr>
        <w:t>neral</w:t>
      </w:r>
      <w:r w:rsidR="00FF41A0">
        <w:rPr>
          <w:color w:val="000000" w:themeColor="text1"/>
          <w:sz w:val="20"/>
          <w:szCs w:val="20"/>
        </w:rPr>
        <w:t xml:space="preserve"> </w:t>
      </w:r>
      <w:r w:rsidR="007241B0">
        <w:rPr>
          <w:color w:val="000000" w:themeColor="text1"/>
          <w:sz w:val="20"/>
          <w:szCs w:val="20"/>
        </w:rPr>
        <w:t>Association</w:t>
      </w:r>
      <w:r w:rsidR="00FF41A0">
        <w:rPr>
          <w:color w:val="000000" w:themeColor="text1"/>
          <w:sz w:val="20"/>
          <w:szCs w:val="20"/>
        </w:rPr>
        <w:t xml:space="preserve"> </w:t>
      </w:r>
      <w:r w:rsidR="007241B0">
        <w:rPr>
          <w:color w:val="000000" w:themeColor="text1"/>
          <w:sz w:val="20"/>
          <w:szCs w:val="20"/>
        </w:rPr>
        <w:t>of</w:t>
      </w:r>
      <w:r w:rsidR="00FF41A0">
        <w:rPr>
          <w:color w:val="000000" w:themeColor="text1"/>
          <w:sz w:val="20"/>
          <w:szCs w:val="20"/>
        </w:rPr>
        <w:t xml:space="preserve"> </w:t>
      </w:r>
      <w:r w:rsidR="007241B0">
        <w:rPr>
          <w:color w:val="000000" w:themeColor="text1"/>
          <w:sz w:val="20"/>
          <w:szCs w:val="20"/>
        </w:rPr>
        <w:t>Macau,</w:t>
      </w:r>
      <w:r w:rsidR="00FF41A0">
        <w:rPr>
          <w:color w:val="000000" w:themeColor="text1"/>
          <w:sz w:val="20"/>
          <w:szCs w:val="20"/>
        </w:rPr>
        <w:t xml:space="preserve"> </w:t>
      </w:r>
      <w:r w:rsidR="007241B0">
        <w:rPr>
          <w:color w:val="000000" w:themeColor="text1"/>
          <w:sz w:val="20"/>
          <w:szCs w:val="20"/>
        </w:rPr>
        <w:t>The;</w:t>
      </w:r>
      <w:r w:rsidR="00FF41A0">
        <w:rPr>
          <w:color w:val="000000" w:themeColor="text1"/>
          <w:sz w:val="20"/>
          <w:szCs w:val="20"/>
        </w:rPr>
        <w:t xml:space="preserve"> </w:t>
      </w:r>
      <w:r w:rsidR="007241B0" w:rsidRPr="007241B0">
        <w:rPr>
          <w:color w:val="000000" w:themeColor="text1"/>
          <w:sz w:val="20"/>
          <w:szCs w:val="20"/>
        </w:rPr>
        <w:t>World</w:t>
      </w:r>
      <w:r w:rsidR="00FF41A0">
        <w:rPr>
          <w:color w:val="000000" w:themeColor="text1"/>
          <w:sz w:val="20"/>
          <w:szCs w:val="20"/>
        </w:rPr>
        <w:t xml:space="preserve"> </w:t>
      </w:r>
      <w:r w:rsidR="007241B0" w:rsidRPr="007241B0">
        <w:rPr>
          <w:color w:val="000000" w:themeColor="text1"/>
          <w:sz w:val="20"/>
          <w:szCs w:val="20"/>
        </w:rPr>
        <w:t>Muslim</w:t>
      </w:r>
      <w:r w:rsidR="00FF41A0">
        <w:rPr>
          <w:color w:val="000000" w:themeColor="text1"/>
          <w:sz w:val="20"/>
          <w:szCs w:val="20"/>
        </w:rPr>
        <w:t xml:space="preserve"> </w:t>
      </w:r>
      <w:r w:rsidR="007241B0" w:rsidRPr="007241B0">
        <w:rPr>
          <w:color w:val="000000" w:themeColor="text1"/>
          <w:sz w:val="20"/>
          <w:szCs w:val="20"/>
        </w:rPr>
        <w:t>Congress</w:t>
      </w:r>
      <w:r w:rsidR="007241B0">
        <w:rPr>
          <w:color w:val="000000" w:themeColor="text1"/>
          <w:sz w:val="20"/>
          <w:szCs w:val="20"/>
        </w:rPr>
        <w:t>.</w:t>
      </w:r>
    </w:p>
    <w:p w14:paraId="1C2877FB" w14:textId="0640B800" w:rsidR="004A2B35" w:rsidRPr="0037538E" w:rsidRDefault="001D5DB2" w:rsidP="004A2B35">
      <w:pPr>
        <w:pStyle w:val="SingleTxtG"/>
        <w:rPr>
          <w:color w:val="000000" w:themeColor="text1"/>
          <w:sz w:val="20"/>
          <w:szCs w:val="20"/>
        </w:rPr>
      </w:pPr>
      <w:r>
        <w:rPr>
          <w:color w:val="000000" w:themeColor="text1"/>
          <w:sz w:val="20"/>
          <w:szCs w:val="20"/>
        </w:rPr>
        <w:t>902</w:t>
      </w:r>
      <w:r w:rsidR="004A2B35" w:rsidRPr="0067399B">
        <w:rPr>
          <w:color w:val="000000" w:themeColor="text1"/>
          <w:sz w:val="20"/>
          <w:szCs w:val="20"/>
        </w:rPr>
        <w:t>.</w:t>
      </w:r>
      <w:r w:rsidR="004A2B35" w:rsidRPr="0067399B">
        <w:rPr>
          <w:color w:val="000000" w:themeColor="text1"/>
          <w:sz w:val="20"/>
          <w:szCs w:val="20"/>
        </w:rPr>
        <w:tab/>
        <w:t>At</w:t>
      </w:r>
      <w:r w:rsidR="00FF41A0">
        <w:rPr>
          <w:color w:val="000000" w:themeColor="text1"/>
          <w:sz w:val="20"/>
          <w:szCs w:val="20"/>
        </w:rPr>
        <w:t xml:space="preserve"> </w:t>
      </w:r>
      <w:r w:rsidR="004A2B35" w:rsidRPr="0067399B">
        <w:rPr>
          <w:color w:val="000000" w:themeColor="text1"/>
          <w:sz w:val="20"/>
          <w:szCs w:val="20"/>
        </w:rPr>
        <w:t>the</w:t>
      </w:r>
      <w:r w:rsidR="00FF41A0">
        <w:rPr>
          <w:color w:val="000000" w:themeColor="text1"/>
          <w:sz w:val="20"/>
          <w:szCs w:val="20"/>
        </w:rPr>
        <w:t xml:space="preserve"> </w:t>
      </w:r>
      <w:r w:rsidR="004A2B35">
        <w:rPr>
          <w:color w:val="000000" w:themeColor="text1"/>
          <w:sz w:val="20"/>
          <w:szCs w:val="20"/>
        </w:rPr>
        <w:t>same</w:t>
      </w:r>
      <w:r w:rsidR="00FF41A0">
        <w:rPr>
          <w:color w:val="000000" w:themeColor="text1"/>
          <w:sz w:val="20"/>
          <w:szCs w:val="20"/>
        </w:rPr>
        <w:t xml:space="preserve"> </w:t>
      </w:r>
      <w:r w:rsidR="004A2B35" w:rsidRPr="0067399B">
        <w:rPr>
          <w:color w:val="000000" w:themeColor="text1"/>
          <w:sz w:val="20"/>
          <w:szCs w:val="20"/>
        </w:rPr>
        <w:t>meeting,</w:t>
      </w:r>
      <w:r w:rsidR="00FF41A0">
        <w:rPr>
          <w:color w:val="000000" w:themeColor="text1"/>
          <w:sz w:val="20"/>
          <w:szCs w:val="20"/>
        </w:rPr>
        <w:t xml:space="preserve"> </w:t>
      </w:r>
      <w:r w:rsidR="004A2B35" w:rsidRPr="0067399B">
        <w:rPr>
          <w:color w:val="000000" w:themeColor="text1"/>
          <w:sz w:val="20"/>
          <w:szCs w:val="20"/>
        </w:rPr>
        <w:t>on</w:t>
      </w:r>
      <w:r w:rsidR="00FF41A0">
        <w:rPr>
          <w:color w:val="000000" w:themeColor="text1"/>
          <w:sz w:val="20"/>
          <w:szCs w:val="20"/>
        </w:rPr>
        <w:t xml:space="preserve"> </w:t>
      </w:r>
      <w:r w:rsidR="004A2B35">
        <w:rPr>
          <w:color w:val="000000" w:themeColor="text1"/>
          <w:sz w:val="20"/>
          <w:szCs w:val="20"/>
        </w:rPr>
        <w:t>the</w:t>
      </w:r>
      <w:r w:rsidR="00FF41A0">
        <w:rPr>
          <w:color w:val="000000" w:themeColor="text1"/>
          <w:sz w:val="20"/>
          <w:szCs w:val="20"/>
        </w:rPr>
        <w:t xml:space="preserve"> </w:t>
      </w:r>
      <w:r w:rsidR="004A2B35">
        <w:rPr>
          <w:color w:val="000000" w:themeColor="text1"/>
          <w:sz w:val="20"/>
          <w:szCs w:val="20"/>
        </w:rPr>
        <w:t>same</w:t>
      </w:r>
      <w:r w:rsidR="00FF41A0">
        <w:rPr>
          <w:color w:val="000000" w:themeColor="text1"/>
          <w:sz w:val="20"/>
          <w:szCs w:val="20"/>
        </w:rPr>
        <w:t xml:space="preserve"> </w:t>
      </w:r>
      <w:r w:rsidR="004A2B35">
        <w:rPr>
          <w:color w:val="000000" w:themeColor="text1"/>
          <w:sz w:val="20"/>
          <w:szCs w:val="20"/>
        </w:rPr>
        <w:t>day</w:t>
      </w:r>
      <w:r w:rsidR="004A2B35" w:rsidRPr="0067399B">
        <w:rPr>
          <w:color w:val="000000" w:themeColor="text1"/>
          <w:sz w:val="20"/>
          <w:szCs w:val="20"/>
        </w:rPr>
        <w:t>,</w:t>
      </w:r>
      <w:r w:rsidR="00FF41A0">
        <w:rPr>
          <w:color w:val="000000" w:themeColor="text1"/>
          <w:sz w:val="20"/>
          <w:szCs w:val="20"/>
        </w:rPr>
        <w:t xml:space="preserve"> </w:t>
      </w:r>
      <w:r w:rsidR="004A2B35">
        <w:rPr>
          <w:color w:val="000000" w:themeColor="text1"/>
          <w:sz w:val="20"/>
          <w:szCs w:val="20"/>
        </w:rPr>
        <w:t>a</w:t>
      </w:r>
      <w:r w:rsidR="00FF41A0">
        <w:rPr>
          <w:color w:val="000000" w:themeColor="text1"/>
          <w:sz w:val="20"/>
          <w:szCs w:val="20"/>
        </w:rPr>
        <w:t xml:space="preserve"> </w:t>
      </w:r>
      <w:r w:rsidR="004A2B35" w:rsidRPr="0067399B">
        <w:rPr>
          <w:color w:val="000000" w:themeColor="text1"/>
          <w:sz w:val="20"/>
          <w:szCs w:val="20"/>
        </w:rPr>
        <w:t>statement</w:t>
      </w:r>
      <w:r w:rsidR="00FF41A0">
        <w:rPr>
          <w:color w:val="000000" w:themeColor="text1"/>
          <w:sz w:val="20"/>
          <w:szCs w:val="20"/>
        </w:rPr>
        <w:t xml:space="preserve"> </w:t>
      </w:r>
      <w:r w:rsidR="004A2B35" w:rsidRPr="0067399B">
        <w:rPr>
          <w:color w:val="000000" w:themeColor="text1"/>
          <w:sz w:val="20"/>
          <w:szCs w:val="20"/>
        </w:rPr>
        <w:t>in</w:t>
      </w:r>
      <w:r w:rsidR="00FF41A0">
        <w:rPr>
          <w:color w:val="000000" w:themeColor="text1"/>
          <w:sz w:val="20"/>
          <w:szCs w:val="20"/>
        </w:rPr>
        <w:t xml:space="preserve"> </w:t>
      </w:r>
      <w:r w:rsidR="004A2B35" w:rsidRPr="0067399B">
        <w:rPr>
          <w:color w:val="000000" w:themeColor="text1"/>
          <w:sz w:val="20"/>
          <w:szCs w:val="20"/>
        </w:rPr>
        <w:t>exercise</w:t>
      </w:r>
      <w:r w:rsidR="00FF41A0">
        <w:rPr>
          <w:color w:val="000000" w:themeColor="text1"/>
          <w:sz w:val="20"/>
          <w:szCs w:val="20"/>
        </w:rPr>
        <w:t xml:space="preserve"> </w:t>
      </w:r>
      <w:r w:rsidR="004A2B35" w:rsidRPr="0067399B">
        <w:rPr>
          <w:color w:val="000000" w:themeColor="text1"/>
          <w:sz w:val="20"/>
          <w:szCs w:val="20"/>
        </w:rPr>
        <w:t>of</w:t>
      </w:r>
      <w:r w:rsidR="00FF41A0">
        <w:rPr>
          <w:color w:val="000000" w:themeColor="text1"/>
          <w:sz w:val="20"/>
          <w:szCs w:val="20"/>
        </w:rPr>
        <w:t xml:space="preserve"> </w:t>
      </w:r>
      <w:r w:rsidR="004A2B35" w:rsidRPr="0067399B">
        <w:rPr>
          <w:color w:val="000000" w:themeColor="text1"/>
          <w:sz w:val="20"/>
          <w:szCs w:val="20"/>
        </w:rPr>
        <w:t>the</w:t>
      </w:r>
      <w:r w:rsidR="00FF41A0">
        <w:rPr>
          <w:color w:val="000000" w:themeColor="text1"/>
          <w:sz w:val="20"/>
          <w:szCs w:val="20"/>
        </w:rPr>
        <w:t xml:space="preserve"> </w:t>
      </w:r>
      <w:r w:rsidR="004A2B35" w:rsidRPr="0067399B">
        <w:rPr>
          <w:color w:val="000000" w:themeColor="text1"/>
          <w:sz w:val="20"/>
          <w:szCs w:val="20"/>
        </w:rPr>
        <w:t>right</w:t>
      </w:r>
      <w:r w:rsidR="00FF41A0">
        <w:rPr>
          <w:color w:val="000000" w:themeColor="text1"/>
          <w:sz w:val="20"/>
          <w:szCs w:val="20"/>
        </w:rPr>
        <w:t xml:space="preserve"> </w:t>
      </w:r>
      <w:r w:rsidR="004A2B35" w:rsidRPr="0067399B">
        <w:rPr>
          <w:color w:val="000000" w:themeColor="text1"/>
          <w:sz w:val="20"/>
          <w:szCs w:val="20"/>
        </w:rPr>
        <w:t>of</w:t>
      </w:r>
      <w:r w:rsidR="00FF41A0">
        <w:rPr>
          <w:color w:val="000000" w:themeColor="text1"/>
          <w:sz w:val="20"/>
          <w:szCs w:val="20"/>
        </w:rPr>
        <w:t xml:space="preserve"> </w:t>
      </w:r>
      <w:r w:rsidR="004A2B35" w:rsidRPr="0067399B">
        <w:rPr>
          <w:color w:val="000000" w:themeColor="text1"/>
          <w:sz w:val="20"/>
          <w:szCs w:val="20"/>
        </w:rPr>
        <w:t>reply</w:t>
      </w:r>
      <w:r w:rsidR="00FF41A0">
        <w:rPr>
          <w:color w:val="000000" w:themeColor="text1"/>
          <w:sz w:val="20"/>
          <w:szCs w:val="20"/>
        </w:rPr>
        <w:t xml:space="preserve"> </w:t>
      </w:r>
      <w:r w:rsidR="004A2B35">
        <w:rPr>
          <w:color w:val="000000" w:themeColor="text1"/>
          <w:sz w:val="20"/>
          <w:szCs w:val="20"/>
        </w:rPr>
        <w:t>was</w:t>
      </w:r>
      <w:r w:rsidR="00FF41A0">
        <w:rPr>
          <w:color w:val="000000" w:themeColor="text1"/>
          <w:sz w:val="20"/>
          <w:szCs w:val="20"/>
        </w:rPr>
        <w:t xml:space="preserve"> </w:t>
      </w:r>
      <w:r w:rsidR="004A2B35" w:rsidRPr="0067399B">
        <w:rPr>
          <w:color w:val="000000" w:themeColor="text1"/>
          <w:sz w:val="20"/>
          <w:szCs w:val="20"/>
        </w:rPr>
        <w:t>made</w:t>
      </w:r>
      <w:r w:rsidR="00FF41A0">
        <w:rPr>
          <w:color w:val="000000" w:themeColor="text1"/>
          <w:sz w:val="20"/>
          <w:szCs w:val="20"/>
        </w:rPr>
        <w:t xml:space="preserve"> </w:t>
      </w:r>
      <w:r w:rsidR="004A2B35" w:rsidRPr="0067399B">
        <w:rPr>
          <w:color w:val="000000" w:themeColor="text1"/>
          <w:sz w:val="20"/>
          <w:szCs w:val="20"/>
        </w:rPr>
        <w:t>by</w:t>
      </w:r>
      <w:r w:rsidR="00FF41A0">
        <w:rPr>
          <w:color w:val="000000" w:themeColor="text1"/>
          <w:sz w:val="20"/>
          <w:szCs w:val="20"/>
        </w:rPr>
        <w:t xml:space="preserve"> </w:t>
      </w:r>
      <w:r w:rsidR="004A2B35" w:rsidRPr="0067399B">
        <w:rPr>
          <w:color w:val="000000" w:themeColor="text1"/>
          <w:sz w:val="20"/>
          <w:szCs w:val="20"/>
        </w:rPr>
        <w:t>the</w:t>
      </w:r>
      <w:r w:rsidR="00FF41A0">
        <w:rPr>
          <w:color w:val="000000" w:themeColor="text1"/>
          <w:sz w:val="20"/>
          <w:szCs w:val="20"/>
        </w:rPr>
        <w:t xml:space="preserve"> </w:t>
      </w:r>
      <w:r w:rsidR="004A2B35" w:rsidRPr="0067399B">
        <w:rPr>
          <w:color w:val="000000" w:themeColor="text1"/>
          <w:sz w:val="20"/>
          <w:szCs w:val="20"/>
        </w:rPr>
        <w:t>representative</w:t>
      </w:r>
      <w:r w:rsidR="00FF41A0">
        <w:rPr>
          <w:color w:val="000000" w:themeColor="text1"/>
          <w:sz w:val="20"/>
          <w:szCs w:val="20"/>
        </w:rPr>
        <w:t xml:space="preserve"> </w:t>
      </w:r>
      <w:r w:rsidR="004A2B35" w:rsidRPr="0067399B">
        <w:rPr>
          <w:color w:val="000000" w:themeColor="text1"/>
          <w:sz w:val="20"/>
          <w:szCs w:val="20"/>
        </w:rPr>
        <w:t>of</w:t>
      </w:r>
      <w:r w:rsidR="00FF41A0">
        <w:rPr>
          <w:color w:val="000000" w:themeColor="text1"/>
          <w:sz w:val="20"/>
          <w:szCs w:val="20"/>
        </w:rPr>
        <w:t xml:space="preserve"> </w:t>
      </w:r>
      <w:r w:rsidR="004A2B35">
        <w:rPr>
          <w:color w:val="000000" w:themeColor="text1"/>
          <w:sz w:val="20"/>
          <w:szCs w:val="20"/>
        </w:rPr>
        <w:t>the</w:t>
      </w:r>
      <w:r w:rsidR="00FF41A0">
        <w:rPr>
          <w:color w:val="000000" w:themeColor="text1"/>
          <w:sz w:val="20"/>
          <w:szCs w:val="20"/>
        </w:rPr>
        <w:t xml:space="preserve"> </w:t>
      </w:r>
      <w:r w:rsidR="004A2B35" w:rsidRPr="00113DE2">
        <w:rPr>
          <w:color w:val="000000" w:themeColor="text1"/>
          <w:sz w:val="20"/>
          <w:szCs w:val="20"/>
        </w:rPr>
        <w:t>United</w:t>
      </w:r>
      <w:r w:rsidR="00FF41A0">
        <w:rPr>
          <w:color w:val="000000" w:themeColor="text1"/>
          <w:sz w:val="20"/>
          <w:szCs w:val="20"/>
        </w:rPr>
        <w:t xml:space="preserve"> </w:t>
      </w:r>
      <w:r w:rsidR="004A2B35" w:rsidRPr="00113DE2">
        <w:rPr>
          <w:color w:val="000000" w:themeColor="text1"/>
          <w:sz w:val="20"/>
          <w:szCs w:val="20"/>
        </w:rPr>
        <w:t>Kingdom</w:t>
      </w:r>
      <w:r w:rsidR="00FF41A0">
        <w:rPr>
          <w:color w:val="000000" w:themeColor="text1"/>
          <w:sz w:val="20"/>
          <w:szCs w:val="20"/>
        </w:rPr>
        <w:t xml:space="preserve"> </w:t>
      </w:r>
      <w:r w:rsidR="004A2B35" w:rsidRPr="00113DE2">
        <w:rPr>
          <w:color w:val="000000" w:themeColor="text1"/>
          <w:sz w:val="20"/>
          <w:szCs w:val="20"/>
        </w:rPr>
        <w:t>of</w:t>
      </w:r>
      <w:r w:rsidR="00FF41A0">
        <w:rPr>
          <w:color w:val="000000" w:themeColor="text1"/>
          <w:sz w:val="20"/>
          <w:szCs w:val="20"/>
        </w:rPr>
        <w:t xml:space="preserve"> </w:t>
      </w:r>
      <w:r w:rsidR="004A2B35" w:rsidRPr="00113DE2">
        <w:rPr>
          <w:color w:val="000000" w:themeColor="text1"/>
          <w:sz w:val="20"/>
          <w:szCs w:val="20"/>
        </w:rPr>
        <w:t>Great</w:t>
      </w:r>
      <w:r w:rsidR="00FF41A0">
        <w:rPr>
          <w:color w:val="000000" w:themeColor="text1"/>
          <w:sz w:val="20"/>
          <w:szCs w:val="20"/>
        </w:rPr>
        <w:t xml:space="preserve"> </w:t>
      </w:r>
      <w:r w:rsidR="004A2B35" w:rsidRPr="00113DE2">
        <w:rPr>
          <w:color w:val="000000" w:themeColor="text1"/>
          <w:sz w:val="20"/>
          <w:szCs w:val="20"/>
        </w:rPr>
        <w:t>Britain</w:t>
      </w:r>
      <w:r w:rsidR="00FF41A0">
        <w:rPr>
          <w:color w:val="000000" w:themeColor="text1"/>
          <w:sz w:val="20"/>
          <w:szCs w:val="20"/>
        </w:rPr>
        <w:t xml:space="preserve"> </w:t>
      </w:r>
      <w:r w:rsidR="004A2B35" w:rsidRPr="00113DE2">
        <w:rPr>
          <w:color w:val="000000" w:themeColor="text1"/>
          <w:sz w:val="20"/>
          <w:szCs w:val="20"/>
        </w:rPr>
        <w:t>and</w:t>
      </w:r>
      <w:r w:rsidR="00FF41A0">
        <w:rPr>
          <w:color w:val="000000" w:themeColor="text1"/>
          <w:sz w:val="20"/>
          <w:szCs w:val="20"/>
        </w:rPr>
        <w:t xml:space="preserve"> </w:t>
      </w:r>
      <w:r w:rsidR="004A2B35" w:rsidRPr="00113DE2">
        <w:rPr>
          <w:color w:val="000000" w:themeColor="text1"/>
          <w:sz w:val="20"/>
          <w:szCs w:val="20"/>
        </w:rPr>
        <w:t>Northern</w:t>
      </w:r>
      <w:r w:rsidR="00FF41A0">
        <w:rPr>
          <w:color w:val="000000" w:themeColor="text1"/>
          <w:sz w:val="20"/>
          <w:szCs w:val="20"/>
        </w:rPr>
        <w:t xml:space="preserve"> </w:t>
      </w:r>
      <w:r w:rsidR="004A2B35" w:rsidRPr="00113DE2">
        <w:rPr>
          <w:color w:val="000000" w:themeColor="text1"/>
          <w:sz w:val="20"/>
          <w:szCs w:val="20"/>
        </w:rPr>
        <w:t>Ireland</w:t>
      </w:r>
      <w:r w:rsidR="004A2B35" w:rsidRPr="0067399B">
        <w:rPr>
          <w:color w:val="000000" w:themeColor="text1"/>
          <w:sz w:val="20"/>
          <w:szCs w:val="20"/>
        </w:rPr>
        <w:t>.</w:t>
      </w:r>
    </w:p>
    <w:p w14:paraId="409272F4" w14:textId="76C741A0" w:rsidR="000D7692" w:rsidRPr="00C16037" w:rsidRDefault="000D7692" w:rsidP="000D7692">
      <w:pPr>
        <w:pStyle w:val="H1G"/>
        <w:rPr>
          <w:color w:val="000000" w:themeColor="text1"/>
        </w:rPr>
      </w:pPr>
      <w:r w:rsidRPr="00C16037">
        <w:rPr>
          <w:color w:val="000000" w:themeColor="text1"/>
        </w:rPr>
        <w:tab/>
        <w:t>C.</w:t>
      </w:r>
      <w:r w:rsidRPr="00C16037">
        <w:rPr>
          <w:color w:val="000000" w:themeColor="text1"/>
        </w:rPr>
        <w:tab/>
        <w:t>Consideration</w:t>
      </w:r>
      <w:r w:rsidR="00FF41A0">
        <w:rPr>
          <w:color w:val="000000" w:themeColor="text1"/>
        </w:rPr>
        <w:t xml:space="preserve"> </w:t>
      </w:r>
      <w:r w:rsidRPr="00C16037">
        <w:rPr>
          <w:color w:val="000000" w:themeColor="text1"/>
        </w:rPr>
        <w:t>of</w:t>
      </w:r>
      <w:r w:rsidR="00FF41A0">
        <w:rPr>
          <w:color w:val="000000" w:themeColor="text1"/>
        </w:rPr>
        <w:t xml:space="preserve"> </w:t>
      </w:r>
      <w:r w:rsidRPr="00C16037">
        <w:rPr>
          <w:color w:val="000000" w:themeColor="text1"/>
        </w:rPr>
        <w:t>and</w:t>
      </w:r>
      <w:r w:rsidR="00FF41A0">
        <w:rPr>
          <w:color w:val="000000" w:themeColor="text1"/>
        </w:rPr>
        <w:t xml:space="preserve"> </w:t>
      </w:r>
      <w:r w:rsidRPr="00C16037">
        <w:rPr>
          <w:color w:val="000000" w:themeColor="text1"/>
        </w:rPr>
        <w:t>action</w:t>
      </w:r>
      <w:r w:rsidR="00FF41A0">
        <w:rPr>
          <w:color w:val="000000" w:themeColor="text1"/>
        </w:rPr>
        <w:t xml:space="preserve"> </w:t>
      </w:r>
      <w:r w:rsidRPr="00C16037">
        <w:rPr>
          <w:color w:val="000000" w:themeColor="text1"/>
        </w:rPr>
        <w:t>on</w:t>
      </w:r>
      <w:r w:rsidR="00FF41A0">
        <w:rPr>
          <w:color w:val="000000" w:themeColor="text1"/>
        </w:rPr>
        <w:t xml:space="preserve"> </w:t>
      </w:r>
      <w:r w:rsidRPr="00C16037">
        <w:rPr>
          <w:color w:val="000000" w:themeColor="text1"/>
        </w:rPr>
        <w:t>draft</w:t>
      </w:r>
      <w:r w:rsidR="00FF41A0">
        <w:rPr>
          <w:color w:val="000000" w:themeColor="text1"/>
        </w:rPr>
        <w:t xml:space="preserve"> </w:t>
      </w:r>
      <w:r w:rsidRPr="00C16037">
        <w:rPr>
          <w:color w:val="000000" w:themeColor="text1"/>
        </w:rPr>
        <w:t>proposals</w:t>
      </w:r>
    </w:p>
    <w:p w14:paraId="1FB2F8A0" w14:textId="6C58A610" w:rsidR="000E0AEC" w:rsidRPr="000E0AEC" w:rsidRDefault="000D7692" w:rsidP="000E0AEC">
      <w:pPr>
        <w:pStyle w:val="H23G"/>
        <w:rPr>
          <w:color w:val="000000" w:themeColor="text1"/>
          <w:sz w:val="20"/>
          <w:szCs w:val="20"/>
        </w:rPr>
      </w:pPr>
      <w:r>
        <w:tab/>
      </w:r>
      <w:r w:rsidR="000E0AEC">
        <w:tab/>
      </w:r>
      <w:r w:rsidR="000E0AEC" w:rsidRPr="000E0AEC">
        <w:rPr>
          <w:color w:val="000000" w:themeColor="text1"/>
          <w:sz w:val="20"/>
          <w:szCs w:val="20"/>
        </w:rPr>
        <w:t>Saudi Arabia</w:t>
      </w:r>
    </w:p>
    <w:p w14:paraId="1C2F0CB2" w14:textId="4CD28AD7" w:rsidR="000E0AEC" w:rsidRDefault="001D5DB2" w:rsidP="000E0AEC">
      <w:pPr>
        <w:pStyle w:val="SingleTxtG"/>
        <w:rPr>
          <w:color w:val="000000" w:themeColor="text1"/>
          <w:sz w:val="20"/>
          <w:szCs w:val="20"/>
        </w:rPr>
      </w:pPr>
      <w:r>
        <w:rPr>
          <w:color w:val="000000" w:themeColor="text1"/>
          <w:sz w:val="20"/>
          <w:szCs w:val="20"/>
        </w:rPr>
        <w:t>903</w:t>
      </w:r>
      <w:r w:rsidR="000E0AEC">
        <w:rPr>
          <w:color w:val="000000" w:themeColor="text1"/>
          <w:sz w:val="20"/>
          <w:szCs w:val="20"/>
        </w:rPr>
        <w:t>.</w:t>
      </w:r>
      <w:r w:rsidR="000E0AEC">
        <w:rPr>
          <w:color w:val="000000" w:themeColor="text1"/>
          <w:sz w:val="20"/>
          <w:szCs w:val="20"/>
        </w:rPr>
        <w:tab/>
      </w:r>
      <w:r w:rsidR="000E0AEC" w:rsidRPr="000E0AEC">
        <w:rPr>
          <w:color w:val="000000" w:themeColor="text1"/>
          <w:sz w:val="20"/>
          <w:szCs w:val="20"/>
        </w:rPr>
        <w:t>At the 35th meeting, on 14 March 2019, the Council adopted, without a vote, decision 40/101 on the outcome of the review of Saudi Arabia.</w:t>
      </w:r>
    </w:p>
    <w:p w14:paraId="0A3B9C75" w14:textId="6B935E09" w:rsidR="000E0AEC" w:rsidRPr="000E0AEC" w:rsidRDefault="000E0AEC" w:rsidP="000E0AEC">
      <w:pPr>
        <w:pStyle w:val="SingleTxtG"/>
        <w:rPr>
          <w:b/>
          <w:color w:val="000000" w:themeColor="text1"/>
          <w:sz w:val="20"/>
          <w:szCs w:val="20"/>
        </w:rPr>
      </w:pPr>
      <w:r w:rsidRPr="000E0AEC">
        <w:rPr>
          <w:b/>
          <w:color w:val="000000" w:themeColor="text1"/>
          <w:sz w:val="20"/>
          <w:szCs w:val="20"/>
        </w:rPr>
        <w:t>Senegal</w:t>
      </w:r>
    </w:p>
    <w:p w14:paraId="28C519E4" w14:textId="72D3A7A4" w:rsidR="000E0AEC" w:rsidRDefault="001D5DB2" w:rsidP="000E0AEC">
      <w:pPr>
        <w:pStyle w:val="SingleTxtG"/>
        <w:rPr>
          <w:color w:val="000000" w:themeColor="text1"/>
          <w:sz w:val="20"/>
          <w:szCs w:val="20"/>
        </w:rPr>
      </w:pPr>
      <w:r>
        <w:rPr>
          <w:color w:val="000000" w:themeColor="text1"/>
          <w:sz w:val="20"/>
          <w:szCs w:val="20"/>
        </w:rPr>
        <w:t>904</w:t>
      </w:r>
      <w:r w:rsidR="000E0AEC">
        <w:rPr>
          <w:color w:val="000000" w:themeColor="text1"/>
          <w:sz w:val="20"/>
          <w:szCs w:val="20"/>
        </w:rPr>
        <w:t>.</w:t>
      </w:r>
      <w:r w:rsidR="000E0AEC">
        <w:rPr>
          <w:color w:val="000000" w:themeColor="text1"/>
          <w:sz w:val="20"/>
          <w:szCs w:val="20"/>
        </w:rPr>
        <w:tab/>
      </w:r>
      <w:r w:rsidR="000E0AEC" w:rsidRPr="000E0AEC">
        <w:rPr>
          <w:color w:val="000000" w:themeColor="text1"/>
          <w:sz w:val="20"/>
          <w:szCs w:val="20"/>
        </w:rPr>
        <w:t xml:space="preserve">At the </w:t>
      </w:r>
      <w:r w:rsidR="000E0AEC">
        <w:rPr>
          <w:color w:val="000000" w:themeColor="text1"/>
          <w:sz w:val="20"/>
          <w:szCs w:val="20"/>
        </w:rPr>
        <w:t>same</w:t>
      </w:r>
      <w:r w:rsidR="000E0AEC" w:rsidRPr="000E0AEC">
        <w:rPr>
          <w:color w:val="000000" w:themeColor="text1"/>
          <w:sz w:val="20"/>
          <w:szCs w:val="20"/>
        </w:rPr>
        <w:t xml:space="preserve"> meeting, the Council adopted, without a vote, decision 40/102 on the ou</w:t>
      </w:r>
      <w:r w:rsidR="000E0AEC">
        <w:rPr>
          <w:color w:val="000000" w:themeColor="text1"/>
          <w:sz w:val="20"/>
          <w:szCs w:val="20"/>
        </w:rPr>
        <w:t>tcome of the review of Senegal.</w:t>
      </w:r>
    </w:p>
    <w:p w14:paraId="101B7CA4" w14:textId="1AB59C99" w:rsidR="000E0AEC" w:rsidRPr="000E0AEC" w:rsidRDefault="000E0AEC" w:rsidP="000E0AEC">
      <w:pPr>
        <w:pStyle w:val="SingleTxtG"/>
        <w:rPr>
          <w:b/>
          <w:color w:val="000000" w:themeColor="text1"/>
          <w:sz w:val="20"/>
          <w:szCs w:val="20"/>
        </w:rPr>
      </w:pPr>
      <w:r w:rsidRPr="000E0AEC">
        <w:rPr>
          <w:b/>
          <w:color w:val="000000" w:themeColor="text1"/>
          <w:sz w:val="20"/>
          <w:szCs w:val="20"/>
        </w:rPr>
        <w:t>Congo</w:t>
      </w:r>
    </w:p>
    <w:p w14:paraId="01A7B4ED" w14:textId="11D40D8A" w:rsidR="000E0AEC" w:rsidRDefault="001D5DB2" w:rsidP="000E0AEC">
      <w:pPr>
        <w:pStyle w:val="SingleTxtG"/>
        <w:rPr>
          <w:color w:val="000000" w:themeColor="text1"/>
          <w:sz w:val="20"/>
          <w:szCs w:val="20"/>
        </w:rPr>
      </w:pPr>
      <w:r>
        <w:rPr>
          <w:color w:val="000000" w:themeColor="text1"/>
          <w:sz w:val="20"/>
          <w:szCs w:val="20"/>
        </w:rPr>
        <w:t>905</w:t>
      </w:r>
      <w:r w:rsidR="000E0AEC">
        <w:rPr>
          <w:color w:val="000000" w:themeColor="text1"/>
          <w:sz w:val="20"/>
          <w:szCs w:val="20"/>
        </w:rPr>
        <w:t>.</w:t>
      </w:r>
      <w:r w:rsidR="000E0AEC">
        <w:rPr>
          <w:color w:val="000000" w:themeColor="text1"/>
          <w:sz w:val="20"/>
          <w:szCs w:val="20"/>
        </w:rPr>
        <w:tab/>
      </w:r>
      <w:r w:rsidR="000E0AEC" w:rsidRPr="000E0AEC">
        <w:rPr>
          <w:color w:val="000000" w:themeColor="text1"/>
          <w:sz w:val="20"/>
          <w:szCs w:val="20"/>
        </w:rPr>
        <w:t>A</w:t>
      </w:r>
      <w:r w:rsidR="000E0AEC">
        <w:rPr>
          <w:color w:val="000000" w:themeColor="text1"/>
          <w:sz w:val="20"/>
          <w:szCs w:val="20"/>
        </w:rPr>
        <w:t>lso a</w:t>
      </w:r>
      <w:r w:rsidR="000E0AEC" w:rsidRPr="000E0AEC">
        <w:rPr>
          <w:color w:val="000000" w:themeColor="text1"/>
          <w:sz w:val="20"/>
          <w:szCs w:val="20"/>
        </w:rPr>
        <w:t xml:space="preserve">t the </w:t>
      </w:r>
      <w:r w:rsidR="000E0AEC">
        <w:rPr>
          <w:color w:val="000000" w:themeColor="text1"/>
          <w:sz w:val="20"/>
          <w:szCs w:val="20"/>
        </w:rPr>
        <w:t>same</w:t>
      </w:r>
      <w:r w:rsidR="000E0AEC" w:rsidRPr="000E0AEC">
        <w:rPr>
          <w:color w:val="000000" w:themeColor="text1"/>
          <w:sz w:val="20"/>
          <w:szCs w:val="20"/>
        </w:rPr>
        <w:t xml:space="preserve"> meeting, the Council adopted, without a vote, decision 40/103 on the outcome of the review of the Congo.</w:t>
      </w:r>
    </w:p>
    <w:p w14:paraId="65FA3374" w14:textId="5BBAA64A" w:rsidR="000E0AEC" w:rsidRPr="000E0AEC" w:rsidRDefault="000E0AEC" w:rsidP="000E0AEC">
      <w:pPr>
        <w:pStyle w:val="SingleTxtG"/>
        <w:rPr>
          <w:b/>
          <w:color w:val="000000" w:themeColor="text1"/>
          <w:sz w:val="20"/>
          <w:szCs w:val="20"/>
        </w:rPr>
      </w:pPr>
      <w:r w:rsidRPr="000E0AEC">
        <w:rPr>
          <w:b/>
          <w:color w:val="000000" w:themeColor="text1"/>
          <w:sz w:val="20"/>
          <w:szCs w:val="20"/>
        </w:rPr>
        <w:t>Nigeria</w:t>
      </w:r>
    </w:p>
    <w:p w14:paraId="4E127924" w14:textId="0D5432D6" w:rsidR="000E0AEC" w:rsidRDefault="001D5DB2" w:rsidP="000E0AEC">
      <w:pPr>
        <w:pStyle w:val="SingleTxtG"/>
        <w:rPr>
          <w:color w:val="000000" w:themeColor="text1"/>
          <w:sz w:val="20"/>
          <w:szCs w:val="20"/>
        </w:rPr>
      </w:pPr>
      <w:r>
        <w:rPr>
          <w:color w:val="000000" w:themeColor="text1"/>
          <w:sz w:val="20"/>
          <w:szCs w:val="20"/>
        </w:rPr>
        <w:t>906</w:t>
      </w:r>
      <w:r w:rsidR="000E0AEC">
        <w:rPr>
          <w:color w:val="000000" w:themeColor="text1"/>
          <w:sz w:val="20"/>
          <w:szCs w:val="20"/>
        </w:rPr>
        <w:t>.</w:t>
      </w:r>
      <w:r w:rsidR="000E0AEC">
        <w:rPr>
          <w:color w:val="000000" w:themeColor="text1"/>
          <w:sz w:val="20"/>
          <w:szCs w:val="20"/>
        </w:rPr>
        <w:tab/>
      </w:r>
      <w:r w:rsidR="000E0AEC" w:rsidRPr="000E0AEC">
        <w:rPr>
          <w:color w:val="000000" w:themeColor="text1"/>
          <w:sz w:val="20"/>
          <w:szCs w:val="20"/>
        </w:rPr>
        <w:t xml:space="preserve">At the </w:t>
      </w:r>
      <w:r w:rsidR="000E0AEC">
        <w:rPr>
          <w:color w:val="000000" w:themeColor="text1"/>
          <w:sz w:val="20"/>
          <w:szCs w:val="20"/>
        </w:rPr>
        <w:t>same</w:t>
      </w:r>
      <w:r w:rsidR="000E0AEC" w:rsidRPr="000E0AEC">
        <w:rPr>
          <w:color w:val="000000" w:themeColor="text1"/>
          <w:sz w:val="20"/>
          <w:szCs w:val="20"/>
        </w:rPr>
        <w:t xml:space="preserve"> meeting, the Council adopted, without a vote, decision 40/104 on the outcome of the review of Nigeria.</w:t>
      </w:r>
    </w:p>
    <w:p w14:paraId="1CD85CF3" w14:textId="3639519A" w:rsidR="000E0AEC" w:rsidRPr="000E0AEC" w:rsidRDefault="000E0AEC" w:rsidP="000E0AEC">
      <w:pPr>
        <w:pStyle w:val="SingleTxtG"/>
        <w:rPr>
          <w:b/>
          <w:color w:val="000000" w:themeColor="text1"/>
          <w:sz w:val="20"/>
          <w:szCs w:val="20"/>
        </w:rPr>
      </w:pPr>
      <w:r w:rsidRPr="000E0AEC">
        <w:rPr>
          <w:b/>
          <w:color w:val="000000" w:themeColor="text1"/>
          <w:sz w:val="20"/>
          <w:szCs w:val="20"/>
        </w:rPr>
        <w:t>Mexico</w:t>
      </w:r>
    </w:p>
    <w:p w14:paraId="3F7DEB89" w14:textId="16D9B26A" w:rsidR="000E0AEC" w:rsidRDefault="001D5DB2" w:rsidP="000E0AEC">
      <w:pPr>
        <w:pStyle w:val="SingleTxtG"/>
        <w:rPr>
          <w:color w:val="000000" w:themeColor="text1"/>
          <w:sz w:val="20"/>
          <w:szCs w:val="20"/>
        </w:rPr>
      </w:pPr>
      <w:r>
        <w:rPr>
          <w:color w:val="000000" w:themeColor="text1"/>
          <w:sz w:val="20"/>
          <w:szCs w:val="20"/>
        </w:rPr>
        <w:lastRenderedPageBreak/>
        <w:t>907</w:t>
      </w:r>
      <w:r w:rsidR="000E0AEC">
        <w:rPr>
          <w:color w:val="000000" w:themeColor="text1"/>
          <w:sz w:val="20"/>
          <w:szCs w:val="20"/>
        </w:rPr>
        <w:t>.</w:t>
      </w:r>
      <w:r w:rsidR="000E0AEC">
        <w:rPr>
          <w:color w:val="000000" w:themeColor="text1"/>
          <w:sz w:val="20"/>
          <w:szCs w:val="20"/>
        </w:rPr>
        <w:tab/>
      </w:r>
      <w:r w:rsidR="000E0AEC" w:rsidRPr="000E0AEC">
        <w:rPr>
          <w:color w:val="000000" w:themeColor="text1"/>
          <w:sz w:val="20"/>
          <w:szCs w:val="20"/>
        </w:rPr>
        <w:t>At the 36th meeting, on 14 March 2019, the Council adopted, without a vote, decision 40/105 on the outcome of the review of Mexico.</w:t>
      </w:r>
    </w:p>
    <w:p w14:paraId="242AED5D" w14:textId="4D727B81" w:rsidR="000E0AEC" w:rsidRPr="000E0AEC" w:rsidRDefault="000E0AEC" w:rsidP="000E0AEC">
      <w:pPr>
        <w:pStyle w:val="SingleTxtG"/>
        <w:rPr>
          <w:b/>
          <w:color w:val="000000" w:themeColor="text1"/>
          <w:sz w:val="20"/>
          <w:szCs w:val="20"/>
        </w:rPr>
      </w:pPr>
      <w:r w:rsidRPr="000E0AEC">
        <w:rPr>
          <w:b/>
          <w:color w:val="000000" w:themeColor="text1"/>
          <w:sz w:val="20"/>
          <w:szCs w:val="20"/>
        </w:rPr>
        <w:t>Mauritius</w:t>
      </w:r>
    </w:p>
    <w:p w14:paraId="62883B40" w14:textId="3DF82B55" w:rsidR="000E0AEC" w:rsidRDefault="001D5DB2" w:rsidP="000E0AEC">
      <w:pPr>
        <w:pStyle w:val="SingleTxtG"/>
        <w:rPr>
          <w:color w:val="000000" w:themeColor="text1"/>
          <w:sz w:val="20"/>
          <w:szCs w:val="20"/>
        </w:rPr>
      </w:pPr>
      <w:r>
        <w:rPr>
          <w:color w:val="000000" w:themeColor="text1"/>
          <w:sz w:val="20"/>
          <w:szCs w:val="20"/>
        </w:rPr>
        <w:t>908</w:t>
      </w:r>
      <w:r w:rsidR="000E0AEC">
        <w:rPr>
          <w:color w:val="000000" w:themeColor="text1"/>
          <w:sz w:val="20"/>
          <w:szCs w:val="20"/>
        </w:rPr>
        <w:t>.</w:t>
      </w:r>
      <w:r w:rsidR="000E0AEC">
        <w:rPr>
          <w:color w:val="000000" w:themeColor="text1"/>
          <w:sz w:val="20"/>
          <w:szCs w:val="20"/>
        </w:rPr>
        <w:tab/>
      </w:r>
      <w:r w:rsidR="000E0AEC" w:rsidRPr="000E0AEC">
        <w:rPr>
          <w:color w:val="000000" w:themeColor="text1"/>
          <w:sz w:val="20"/>
          <w:szCs w:val="20"/>
        </w:rPr>
        <w:t xml:space="preserve">At the </w:t>
      </w:r>
      <w:r w:rsidR="000E0AEC">
        <w:rPr>
          <w:color w:val="000000" w:themeColor="text1"/>
          <w:sz w:val="20"/>
          <w:szCs w:val="20"/>
        </w:rPr>
        <w:t>same</w:t>
      </w:r>
      <w:r w:rsidR="000E0AEC" w:rsidRPr="000E0AEC">
        <w:rPr>
          <w:color w:val="000000" w:themeColor="text1"/>
          <w:sz w:val="20"/>
          <w:szCs w:val="20"/>
        </w:rPr>
        <w:t xml:space="preserve"> meeting, the Council adopted, without a vote, decision 40/106 on the outcome of the review of Mauritius.</w:t>
      </w:r>
    </w:p>
    <w:p w14:paraId="4066D31E" w14:textId="75E295A0" w:rsidR="000E0AEC" w:rsidRPr="000E0AEC" w:rsidRDefault="000E0AEC" w:rsidP="000E0AEC">
      <w:pPr>
        <w:pStyle w:val="SingleTxtG"/>
        <w:rPr>
          <w:b/>
          <w:color w:val="000000" w:themeColor="text1"/>
          <w:sz w:val="20"/>
          <w:szCs w:val="20"/>
        </w:rPr>
      </w:pPr>
      <w:r w:rsidRPr="000E0AEC">
        <w:rPr>
          <w:b/>
          <w:color w:val="000000" w:themeColor="text1"/>
          <w:sz w:val="20"/>
          <w:szCs w:val="20"/>
        </w:rPr>
        <w:t>Jordan</w:t>
      </w:r>
    </w:p>
    <w:p w14:paraId="6D164131" w14:textId="00E551AD" w:rsidR="000E0AEC" w:rsidRPr="000E0AEC" w:rsidRDefault="001D5DB2" w:rsidP="000E0AEC">
      <w:pPr>
        <w:pStyle w:val="SingleTxtG"/>
        <w:rPr>
          <w:color w:val="000000" w:themeColor="text1"/>
          <w:sz w:val="20"/>
          <w:szCs w:val="20"/>
        </w:rPr>
      </w:pPr>
      <w:r>
        <w:rPr>
          <w:color w:val="000000" w:themeColor="text1"/>
          <w:sz w:val="20"/>
          <w:szCs w:val="20"/>
        </w:rPr>
        <w:t>909</w:t>
      </w:r>
      <w:r w:rsidR="000E0AEC">
        <w:rPr>
          <w:color w:val="000000" w:themeColor="text1"/>
          <w:sz w:val="20"/>
          <w:szCs w:val="20"/>
        </w:rPr>
        <w:t>.</w:t>
      </w:r>
      <w:r w:rsidR="000E0AEC">
        <w:rPr>
          <w:color w:val="000000" w:themeColor="text1"/>
          <w:sz w:val="20"/>
          <w:szCs w:val="20"/>
        </w:rPr>
        <w:tab/>
      </w:r>
      <w:r w:rsidR="000E0AEC" w:rsidRPr="000E0AEC">
        <w:rPr>
          <w:color w:val="000000" w:themeColor="text1"/>
          <w:sz w:val="20"/>
          <w:szCs w:val="20"/>
        </w:rPr>
        <w:t>A</w:t>
      </w:r>
      <w:r w:rsidR="000E0AEC">
        <w:rPr>
          <w:color w:val="000000" w:themeColor="text1"/>
          <w:sz w:val="20"/>
          <w:szCs w:val="20"/>
        </w:rPr>
        <w:t>lso a</w:t>
      </w:r>
      <w:r w:rsidR="000E0AEC" w:rsidRPr="000E0AEC">
        <w:rPr>
          <w:color w:val="000000" w:themeColor="text1"/>
          <w:sz w:val="20"/>
          <w:szCs w:val="20"/>
        </w:rPr>
        <w:t xml:space="preserve">t the </w:t>
      </w:r>
      <w:r w:rsidR="000E0AEC">
        <w:rPr>
          <w:color w:val="000000" w:themeColor="text1"/>
          <w:sz w:val="20"/>
          <w:szCs w:val="20"/>
        </w:rPr>
        <w:t>same</w:t>
      </w:r>
      <w:r w:rsidR="000E0AEC" w:rsidRPr="000E0AEC">
        <w:rPr>
          <w:color w:val="000000" w:themeColor="text1"/>
          <w:sz w:val="20"/>
          <w:szCs w:val="20"/>
        </w:rPr>
        <w:t xml:space="preserve"> meeting, the Council adopted, without a vote, decision 40/107 on the outcome of the review of Jordan.</w:t>
      </w:r>
    </w:p>
    <w:p w14:paraId="09CFDAEF" w14:textId="1EFDB2F2" w:rsidR="000E0AEC" w:rsidRPr="000E0AEC" w:rsidRDefault="000E0AEC" w:rsidP="000E0AEC">
      <w:pPr>
        <w:pStyle w:val="SingleTxtG"/>
        <w:rPr>
          <w:b/>
          <w:color w:val="000000" w:themeColor="text1"/>
          <w:sz w:val="20"/>
          <w:szCs w:val="20"/>
        </w:rPr>
      </w:pPr>
      <w:r w:rsidRPr="000E0AEC">
        <w:rPr>
          <w:b/>
          <w:color w:val="000000" w:themeColor="text1"/>
          <w:sz w:val="20"/>
          <w:szCs w:val="20"/>
        </w:rPr>
        <w:t>Malaysia</w:t>
      </w:r>
    </w:p>
    <w:p w14:paraId="060EA61F" w14:textId="5E463DC9" w:rsidR="000E0AEC" w:rsidRDefault="001D5DB2" w:rsidP="000E0AEC">
      <w:pPr>
        <w:pStyle w:val="SingleTxtG"/>
        <w:rPr>
          <w:color w:val="000000" w:themeColor="text1"/>
          <w:sz w:val="20"/>
          <w:szCs w:val="20"/>
        </w:rPr>
      </w:pPr>
      <w:r>
        <w:rPr>
          <w:color w:val="000000" w:themeColor="text1"/>
          <w:sz w:val="20"/>
          <w:szCs w:val="20"/>
        </w:rPr>
        <w:t>910</w:t>
      </w:r>
      <w:r w:rsidR="000E0AEC">
        <w:rPr>
          <w:color w:val="000000" w:themeColor="text1"/>
          <w:sz w:val="20"/>
          <w:szCs w:val="20"/>
        </w:rPr>
        <w:t>.</w:t>
      </w:r>
      <w:r w:rsidR="000E0AEC">
        <w:rPr>
          <w:color w:val="000000" w:themeColor="text1"/>
          <w:sz w:val="20"/>
          <w:szCs w:val="20"/>
        </w:rPr>
        <w:tab/>
      </w:r>
      <w:r w:rsidR="000E0AEC" w:rsidRPr="000E0AEC">
        <w:rPr>
          <w:color w:val="000000" w:themeColor="text1"/>
          <w:sz w:val="20"/>
          <w:szCs w:val="20"/>
        </w:rPr>
        <w:t>At the 37th meeting, on 14 March 2019, the Council adopted, without a vote, decision 40/108 on the outcome of the review of Malaysia.</w:t>
      </w:r>
    </w:p>
    <w:p w14:paraId="425D4CE7" w14:textId="6CC9EC86" w:rsidR="000E0AEC" w:rsidRPr="000E0AEC" w:rsidRDefault="000E0AEC" w:rsidP="000E0AEC">
      <w:pPr>
        <w:pStyle w:val="SingleTxtG"/>
        <w:rPr>
          <w:b/>
          <w:color w:val="000000" w:themeColor="text1"/>
          <w:sz w:val="20"/>
          <w:szCs w:val="20"/>
        </w:rPr>
      </w:pPr>
      <w:r w:rsidRPr="000E0AEC">
        <w:rPr>
          <w:b/>
          <w:color w:val="000000" w:themeColor="text1"/>
          <w:sz w:val="20"/>
          <w:szCs w:val="20"/>
        </w:rPr>
        <w:t>Central African Republic</w:t>
      </w:r>
    </w:p>
    <w:p w14:paraId="6D022FF2" w14:textId="1851DE68" w:rsidR="000E0AEC" w:rsidRPr="000E0AEC" w:rsidRDefault="001D5DB2" w:rsidP="000E0AEC">
      <w:pPr>
        <w:pStyle w:val="SingleTxtG"/>
        <w:rPr>
          <w:color w:val="000000" w:themeColor="text1"/>
          <w:sz w:val="20"/>
          <w:szCs w:val="20"/>
        </w:rPr>
      </w:pPr>
      <w:r>
        <w:rPr>
          <w:color w:val="000000" w:themeColor="text1"/>
          <w:sz w:val="20"/>
          <w:szCs w:val="20"/>
        </w:rPr>
        <w:t>911</w:t>
      </w:r>
      <w:r w:rsidR="000E0AEC">
        <w:rPr>
          <w:color w:val="000000" w:themeColor="text1"/>
          <w:sz w:val="20"/>
          <w:szCs w:val="20"/>
        </w:rPr>
        <w:t>.</w:t>
      </w:r>
      <w:r w:rsidR="000E0AEC">
        <w:rPr>
          <w:color w:val="000000" w:themeColor="text1"/>
          <w:sz w:val="20"/>
          <w:szCs w:val="20"/>
        </w:rPr>
        <w:tab/>
      </w:r>
      <w:r w:rsidR="000E0AEC" w:rsidRPr="000E0AEC">
        <w:rPr>
          <w:color w:val="000000" w:themeColor="text1"/>
          <w:sz w:val="20"/>
          <w:szCs w:val="20"/>
        </w:rPr>
        <w:t xml:space="preserve">At the </w:t>
      </w:r>
      <w:r w:rsidR="000E0AEC">
        <w:rPr>
          <w:color w:val="000000" w:themeColor="text1"/>
          <w:sz w:val="20"/>
          <w:szCs w:val="20"/>
        </w:rPr>
        <w:t>same</w:t>
      </w:r>
      <w:r w:rsidR="000E0AEC" w:rsidRPr="000E0AEC">
        <w:rPr>
          <w:color w:val="000000" w:themeColor="text1"/>
          <w:sz w:val="20"/>
          <w:szCs w:val="20"/>
        </w:rPr>
        <w:t xml:space="preserve"> meeting, the Council adopted, without a vote, decision 40/109 on the outcome of the review of the Central African Republic.</w:t>
      </w:r>
    </w:p>
    <w:p w14:paraId="5A4B4BE7" w14:textId="53631416" w:rsidR="000E0AEC" w:rsidRPr="000E0AEC" w:rsidRDefault="000E0AEC" w:rsidP="000E0AEC">
      <w:pPr>
        <w:pStyle w:val="SingleTxtG"/>
        <w:rPr>
          <w:b/>
          <w:color w:val="000000" w:themeColor="text1"/>
          <w:sz w:val="20"/>
          <w:szCs w:val="20"/>
        </w:rPr>
      </w:pPr>
      <w:r w:rsidRPr="000E0AEC">
        <w:rPr>
          <w:b/>
          <w:color w:val="000000" w:themeColor="text1"/>
          <w:sz w:val="20"/>
          <w:szCs w:val="20"/>
        </w:rPr>
        <w:t>Monaco</w:t>
      </w:r>
    </w:p>
    <w:p w14:paraId="79BDB62C" w14:textId="632BD5C8" w:rsidR="000E0AEC" w:rsidRDefault="001D5DB2" w:rsidP="000E0AEC">
      <w:pPr>
        <w:pStyle w:val="SingleTxtG"/>
        <w:rPr>
          <w:color w:val="000000" w:themeColor="text1"/>
          <w:sz w:val="20"/>
          <w:szCs w:val="20"/>
        </w:rPr>
      </w:pPr>
      <w:r>
        <w:rPr>
          <w:color w:val="000000" w:themeColor="text1"/>
          <w:sz w:val="20"/>
          <w:szCs w:val="20"/>
        </w:rPr>
        <w:t>912</w:t>
      </w:r>
      <w:r w:rsidR="000E0AEC">
        <w:rPr>
          <w:color w:val="000000" w:themeColor="text1"/>
          <w:sz w:val="20"/>
          <w:szCs w:val="20"/>
        </w:rPr>
        <w:t>.</w:t>
      </w:r>
      <w:r w:rsidR="000E0AEC">
        <w:rPr>
          <w:color w:val="000000" w:themeColor="text1"/>
          <w:sz w:val="20"/>
          <w:szCs w:val="20"/>
        </w:rPr>
        <w:tab/>
      </w:r>
      <w:r w:rsidR="000E0AEC" w:rsidRPr="000E0AEC">
        <w:rPr>
          <w:color w:val="000000" w:themeColor="text1"/>
          <w:sz w:val="20"/>
          <w:szCs w:val="20"/>
        </w:rPr>
        <w:t xml:space="preserve">At the </w:t>
      </w:r>
      <w:r w:rsidR="000E0AEC">
        <w:rPr>
          <w:color w:val="000000" w:themeColor="text1"/>
          <w:sz w:val="20"/>
          <w:szCs w:val="20"/>
        </w:rPr>
        <w:t>same</w:t>
      </w:r>
      <w:r w:rsidR="000E0AEC" w:rsidRPr="000E0AEC">
        <w:rPr>
          <w:color w:val="000000" w:themeColor="text1"/>
          <w:sz w:val="20"/>
          <w:szCs w:val="20"/>
        </w:rPr>
        <w:t xml:space="preserve"> meeting, the Council adopted, without a vote, decision 40/110 on the outcome of the review of Monaco.</w:t>
      </w:r>
    </w:p>
    <w:p w14:paraId="23CCDC1F" w14:textId="3FA70D3C" w:rsidR="000E0AEC" w:rsidRPr="000E0AEC" w:rsidRDefault="000E0AEC" w:rsidP="000E0AEC">
      <w:pPr>
        <w:pStyle w:val="SingleTxtG"/>
        <w:rPr>
          <w:b/>
          <w:color w:val="000000" w:themeColor="text1"/>
          <w:sz w:val="20"/>
          <w:szCs w:val="20"/>
        </w:rPr>
      </w:pPr>
      <w:r w:rsidRPr="000E0AEC">
        <w:rPr>
          <w:b/>
          <w:color w:val="000000" w:themeColor="text1"/>
          <w:sz w:val="20"/>
          <w:szCs w:val="20"/>
        </w:rPr>
        <w:t>Belize</w:t>
      </w:r>
    </w:p>
    <w:p w14:paraId="6172FE7E" w14:textId="4C9BFD5E" w:rsidR="000E0AEC" w:rsidRPr="000E0AEC" w:rsidRDefault="001D5DB2" w:rsidP="000E0AEC">
      <w:pPr>
        <w:pStyle w:val="SingleTxtG"/>
        <w:rPr>
          <w:color w:val="000000" w:themeColor="text1"/>
          <w:sz w:val="20"/>
          <w:szCs w:val="20"/>
        </w:rPr>
      </w:pPr>
      <w:r>
        <w:rPr>
          <w:color w:val="000000" w:themeColor="text1"/>
          <w:sz w:val="20"/>
          <w:szCs w:val="20"/>
        </w:rPr>
        <w:t>913</w:t>
      </w:r>
      <w:r w:rsidR="000E0AEC">
        <w:rPr>
          <w:color w:val="000000" w:themeColor="text1"/>
          <w:sz w:val="20"/>
          <w:szCs w:val="20"/>
        </w:rPr>
        <w:t>.</w:t>
      </w:r>
      <w:r w:rsidR="000E0AEC">
        <w:rPr>
          <w:color w:val="000000" w:themeColor="text1"/>
          <w:sz w:val="20"/>
          <w:szCs w:val="20"/>
        </w:rPr>
        <w:tab/>
      </w:r>
      <w:r w:rsidR="000E0AEC" w:rsidRPr="000E0AEC">
        <w:rPr>
          <w:color w:val="000000" w:themeColor="text1"/>
          <w:sz w:val="20"/>
          <w:szCs w:val="20"/>
        </w:rPr>
        <w:t>At the 38th meeting, on 15 March 2019, the Council adopted, without a vote, decision 40/111 on the outcome of the review of Belize.</w:t>
      </w:r>
    </w:p>
    <w:p w14:paraId="359547B8" w14:textId="10462A72" w:rsidR="000E0AEC" w:rsidRPr="000E0AEC" w:rsidRDefault="000E0AEC" w:rsidP="000E0AEC">
      <w:pPr>
        <w:pStyle w:val="SingleTxtG"/>
        <w:rPr>
          <w:b/>
          <w:color w:val="000000" w:themeColor="text1"/>
          <w:sz w:val="20"/>
          <w:szCs w:val="20"/>
        </w:rPr>
      </w:pPr>
      <w:r w:rsidRPr="000E0AEC">
        <w:rPr>
          <w:b/>
          <w:color w:val="000000" w:themeColor="text1"/>
          <w:sz w:val="20"/>
          <w:szCs w:val="20"/>
        </w:rPr>
        <w:t>Chad</w:t>
      </w:r>
    </w:p>
    <w:p w14:paraId="1706EE06" w14:textId="20BFABE6" w:rsidR="000E0AEC" w:rsidRDefault="001D5DB2" w:rsidP="000E0AEC">
      <w:pPr>
        <w:pStyle w:val="SingleTxtG"/>
        <w:rPr>
          <w:color w:val="000000" w:themeColor="text1"/>
          <w:sz w:val="20"/>
          <w:szCs w:val="20"/>
        </w:rPr>
      </w:pPr>
      <w:r>
        <w:rPr>
          <w:color w:val="000000" w:themeColor="text1"/>
          <w:sz w:val="20"/>
          <w:szCs w:val="20"/>
        </w:rPr>
        <w:t>914</w:t>
      </w:r>
      <w:r w:rsidR="000E0AEC">
        <w:rPr>
          <w:color w:val="000000" w:themeColor="text1"/>
          <w:sz w:val="20"/>
          <w:szCs w:val="20"/>
        </w:rPr>
        <w:t>.</w:t>
      </w:r>
      <w:r w:rsidR="000E0AEC">
        <w:rPr>
          <w:color w:val="000000" w:themeColor="text1"/>
          <w:sz w:val="20"/>
          <w:szCs w:val="20"/>
        </w:rPr>
        <w:tab/>
      </w:r>
      <w:r w:rsidR="000E0AEC" w:rsidRPr="000E0AEC">
        <w:rPr>
          <w:color w:val="000000" w:themeColor="text1"/>
          <w:sz w:val="20"/>
          <w:szCs w:val="20"/>
        </w:rPr>
        <w:t xml:space="preserve">At the </w:t>
      </w:r>
      <w:r w:rsidR="000E0AEC">
        <w:rPr>
          <w:color w:val="000000" w:themeColor="text1"/>
          <w:sz w:val="20"/>
          <w:szCs w:val="20"/>
        </w:rPr>
        <w:t>same</w:t>
      </w:r>
      <w:r w:rsidR="000E0AEC" w:rsidRPr="000E0AEC">
        <w:rPr>
          <w:color w:val="000000" w:themeColor="text1"/>
          <w:sz w:val="20"/>
          <w:szCs w:val="20"/>
        </w:rPr>
        <w:t xml:space="preserve"> meeting, the Council adopted, without a vote, decision 40/112 on the outcome of the review of Chad.</w:t>
      </w:r>
    </w:p>
    <w:p w14:paraId="05CB53AC" w14:textId="5DAE0FEC" w:rsidR="000E0AEC" w:rsidRPr="000E0AEC" w:rsidRDefault="000E0AEC" w:rsidP="000E0AEC">
      <w:pPr>
        <w:pStyle w:val="SingleTxtG"/>
        <w:rPr>
          <w:b/>
          <w:color w:val="000000" w:themeColor="text1"/>
          <w:sz w:val="20"/>
          <w:szCs w:val="20"/>
        </w:rPr>
      </w:pPr>
      <w:r w:rsidRPr="000E0AEC">
        <w:rPr>
          <w:b/>
          <w:color w:val="000000" w:themeColor="text1"/>
          <w:sz w:val="20"/>
          <w:szCs w:val="20"/>
        </w:rPr>
        <w:t>China</w:t>
      </w:r>
    </w:p>
    <w:p w14:paraId="69D3DCBD" w14:textId="218808CB" w:rsidR="000E0AEC" w:rsidRDefault="001D5DB2" w:rsidP="000E0AEC">
      <w:pPr>
        <w:pStyle w:val="SingleTxtG"/>
        <w:rPr>
          <w:color w:val="000000" w:themeColor="text1"/>
          <w:sz w:val="20"/>
          <w:szCs w:val="20"/>
        </w:rPr>
      </w:pPr>
      <w:r>
        <w:rPr>
          <w:color w:val="000000" w:themeColor="text1"/>
          <w:sz w:val="20"/>
          <w:szCs w:val="20"/>
        </w:rPr>
        <w:t>915</w:t>
      </w:r>
      <w:r w:rsidR="000E0AEC">
        <w:rPr>
          <w:color w:val="000000" w:themeColor="text1"/>
          <w:sz w:val="20"/>
          <w:szCs w:val="20"/>
        </w:rPr>
        <w:t>.</w:t>
      </w:r>
      <w:r w:rsidR="000E0AEC">
        <w:rPr>
          <w:color w:val="000000" w:themeColor="text1"/>
          <w:sz w:val="20"/>
          <w:szCs w:val="20"/>
        </w:rPr>
        <w:tab/>
      </w:r>
      <w:r w:rsidR="000E0AEC" w:rsidRPr="000E0AEC">
        <w:rPr>
          <w:color w:val="000000" w:themeColor="text1"/>
          <w:sz w:val="20"/>
          <w:szCs w:val="20"/>
        </w:rPr>
        <w:t>A</w:t>
      </w:r>
      <w:r w:rsidR="000E0AEC">
        <w:rPr>
          <w:color w:val="000000" w:themeColor="text1"/>
          <w:sz w:val="20"/>
          <w:szCs w:val="20"/>
        </w:rPr>
        <w:t>lso a</w:t>
      </w:r>
      <w:r w:rsidR="000E0AEC" w:rsidRPr="000E0AEC">
        <w:rPr>
          <w:color w:val="000000" w:themeColor="text1"/>
          <w:sz w:val="20"/>
          <w:szCs w:val="20"/>
        </w:rPr>
        <w:t xml:space="preserve">t the </w:t>
      </w:r>
      <w:r w:rsidR="000E0AEC">
        <w:rPr>
          <w:color w:val="000000" w:themeColor="text1"/>
          <w:sz w:val="20"/>
          <w:szCs w:val="20"/>
        </w:rPr>
        <w:t>same</w:t>
      </w:r>
      <w:r w:rsidR="000E0AEC" w:rsidRPr="000E0AEC">
        <w:rPr>
          <w:color w:val="000000" w:themeColor="text1"/>
          <w:sz w:val="20"/>
          <w:szCs w:val="20"/>
        </w:rPr>
        <w:t xml:space="preserve"> meeting, the Council adopted, without a vote, decision 40/113 on the outcome of the review of China.</w:t>
      </w:r>
    </w:p>
    <w:p w14:paraId="29566EAD" w14:textId="77777777" w:rsidR="000E0AEC" w:rsidRPr="000E0AEC" w:rsidRDefault="000E0AEC" w:rsidP="000E0AEC">
      <w:pPr>
        <w:pStyle w:val="SingleTxtG"/>
        <w:rPr>
          <w:b/>
          <w:color w:val="000000" w:themeColor="text1"/>
          <w:sz w:val="20"/>
          <w:szCs w:val="20"/>
        </w:rPr>
      </w:pPr>
      <w:r w:rsidRPr="000E0AEC">
        <w:rPr>
          <w:b/>
          <w:color w:val="000000" w:themeColor="text1"/>
          <w:sz w:val="20"/>
          <w:szCs w:val="20"/>
        </w:rPr>
        <w:t xml:space="preserve">Malta </w:t>
      </w:r>
    </w:p>
    <w:p w14:paraId="039F7F2F" w14:textId="70DF7F20" w:rsidR="000D7692" w:rsidRDefault="001D5DB2" w:rsidP="00E53C36">
      <w:pPr>
        <w:pStyle w:val="SingleTxtG"/>
        <w:rPr>
          <w:b/>
          <w:color w:val="000000" w:themeColor="text1"/>
          <w:sz w:val="28"/>
        </w:rPr>
      </w:pPr>
      <w:r>
        <w:rPr>
          <w:color w:val="000000" w:themeColor="text1"/>
          <w:sz w:val="20"/>
          <w:szCs w:val="20"/>
        </w:rPr>
        <w:t>916</w:t>
      </w:r>
      <w:r w:rsidR="000E0AEC">
        <w:rPr>
          <w:color w:val="000000" w:themeColor="text1"/>
          <w:sz w:val="20"/>
          <w:szCs w:val="20"/>
        </w:rPr>
        <w:t>.</w:t>
      </w:r>
      <w:r w:rsidR="000E0AEC">
        <w:rPr>
          <w:color w:val="000000" w:themeColor="text1"/>
          <w:sz w:val="20"/>
          <w:szCs w:val="20"/>
        </w:rPr>
        <w:tab/>
      </w:r>
      <w:r w:rsidR="000E0AEC" w:rsidRPr="000E0AEC">
        <w:rPr>
          <w:color w:val="000000" w:themeColor="text1"/>
          <w:sz w:val="20"/>
          <w:szCs w:val="20"/>
        </w:rPr>
        <w:t xml:space="preserve">At the </w:t>
      </w:r>
      <w:r w:rsidR="000E0AEC">
        <w:rPr>
          <w:color w:val="000000" w:themeColor="text1"/>
          <w:sz w:val="20"/>
          <w:szCs w:val="20"/>
        </w:rPr>
        <w:t>same</w:t>
      </w:r>
      <w:r w:rsidR="000E0AEC" w:rsidRPr="000E0AEC">
        <w:rPr>
          <w:color w:val="000000" w:themeColor="text1"/>
          <w:sz w:val="20"/>
          <w:szCs w:val="20"/>
        </w:rPr>
        <w:t xml:space="preserve"> meeting, the Council adopted, without a vote, decision 40/114 on the outcome</w:t>
      </w:r>
      <w:r w:rsidR="000E0AEC">
        <w:rPr>
          <w:color w:val="000000" w:themeColor="text1"/>
          <w:sz w:val="20"/>
          <w:szCs w:val="20"/>
        </w:rPr>
        <w:t xml:space="preserve"> </w:t>
      </w:r>
      <w:r w:rsidR="000E0AEC" w:rsidRPr="000E0AEC">
        <w:rPr>
          <w:color w:val="000000" w:themeColor="text1"/>
          <w:sz w:val="20"/>
          <w:szCs w:val="20"/>
        </w:rPr>
        <w:t>of the review of Malta.</w:t>
      </w:r>
      <w:r w:rsidR="000D7692">
        <w:rPr>
          <w:color w:val="000000" w:themeColor="text1"/>
        </w:rPr>
        <w:br w:type="page"/>
      </w:r>
    </w:p>
    <w:p w14:paraId="2EA58D3C" w14:textId="66317557" w:rsidR="00F11B08" w:rsidRPr="00C16037" w:rsidRDefault="000D7692" w:rsidP="00F40C0A">
      <w:pPr>
        <w:pStyle w:val="HChG"/>
        <w:rPr>
          <w:color w:val="000000" w:themeColor="text1"/>
        </w:rPr>
      </w:pPr>
      <w:r>
        <w:rPr>
          <w:color w:val="000000" w:themeColor="text1"/>
        </w:rPr>
        <w:lastRenderedPageBreak/>
        <w:tab/>
      </w:r>
      <w:r w:rsidR="00F11B08" w:rsidRPr="00C16037">
        <w:rPr>
          <w:color w:val="000000" w:themeColor="text1"/>
        </w:rPr>
        <w:t>VII.</w:t>
      </w:r>
      <w:r w:rsidR="00F11B08" w:rsidRPr="00C16037">
        <w:rPr>
          <w:color w:val="000000" w:themeColor="text1"/>
        </w:rPr>
        <w:tab/>
        <w:t>Human</w:t>
      </w:r>
      <w:r w:rsidR="00FF41A0">
        <w:rPr>
          <w:color w:val="000000" w:themeColor="text1"/>
        </w:rPr>
        <w:t xml:space="preserve"> </w:t>
      </w:r>
      <w:r w:rsidR="00F11B08" w:rsidRPr="00C16037">
        <w:rPr>
          <w:color w:val="000000" w:themeColor="text1"/>
        </w:rPr>
        <w:t>rights</w:t>
      </w:r>
      <w:r w:rsidR="00FF41A0">
        <w:rPr>
          <w:color w:val="000000" w:themeColor="text1"/>
        </w:rPr>
        <w:t xml:space="preserve"> </w:t>
      </w:r>
      <w:r w:rsidR="00F11B08" w:rsidRPr="00C16037">
        <w:rPr>
          <w:color w:val="000000" w:themeColor="text1"/>
        </w:rPr>
        <w:t>situation</w:t>
      </w:r>
      <w:r w:rsidR="00FF41A0">
        <w:rPr>
          <w:color w:val="000000" w:themeColor="text1"/>
        </w:rPr>
        <w:t xml:space="preserve"> </w:t>
      </w:r>
      <w:r w:rsidR="00F11B08" w:rsidRPr="00C16037">
        <w:rPr>
          <w:color w:val="000000" w:themeColor="text1"/>
        </w:rPr>
        <w:t>in</w:t>
      </w:r>
      <w:r w:rsidR="00FF41A0">
        <w:rPr>
          <w:color w:val="000000" w:themeColor="text1"/>
        </w:rPr>
        <w:t xml:space="preserve"> </w:t>
      </w:r>
      <w:r w:rsidR="00F11B08" w:rsidRPr="00C16037">
        <w:rPr>
          <w:color w:val="000000" w:themeColor="text1"/>
        </w:rPr>
        <w:t>Palestine</w:t>
      </w:r>
      <w:r w:rsidR="00FF41A0">
        <w:rPr>
          <w:color w:val="000000" w:themeColor="text1"/>
        </w:rPr>
        <w:t xml:space="preserve"> </w:t>
      </w:r>
      <w:r w:rsidR="00F11B08" w:rsidRPr="00C16037">
        <w:rPr>
          <w:color w:val="000000" w:themeColor="text1"/>
        </w:rPr>
        <w:t>and</w:t>
      </w:r>
      <w:r w:rsidR="00FF41A0">
        <w:rPr>
          <w:color w:val="000000" w:themeColor="text1"/>
        </w:rPr>
        <w:t xml:space="preserve"> </w:t>
      </w:r>
      <w:r w:rsidR="00F11B08" w:rsidRPr="00C16037">
        <w:rPr>
          <w:color w:val="000000" w:themeColor="text1"/>
        </w:rPr>
        <w:t>other</w:t>
      </w:r>
      <w:r w:rsidR="00FF41A0">
        <w:rPr>
          <w:color w:val="000000" w:themeColor="text1"/>
        </w:rPr>
        <w:t xml:space="preserve"> </w:t>
      </w:r>
      <w:r w:rsidR="00F11B08" w:rsidRPr="00C16037">
        <w:rPr>
          <w:color w:val="000000" w:themeColor="text1"/>
        </w:rPr>
        <w:t>occupied</w:t>
      </w:r>
      <w:r w:rsidR="00FF41A0">
        <w:rPr>
          <w:color w:val="000000" w:themeColor="text1"/>
        </w:rPr>
        <w:t xml:space="preserve"> </w:t>
      </w:r>
      <w:r w:rsidR="00F11B08" w:rsidRPr="00C16037">
        <w:rPr>
          <w:color w:val="000000" w:themeColor="text1"/>
        </w:rPr>
        <w:t>Arab</w:t>
      </w:r>
      <w:r w:rsidR="00FF41A0">
        <w:rPr>
          <w:color w:val="000000" w:themeColor="text1"/>
        </w:rPr>
        <w:t xml:space="preserve"> </w:t>
      </w:r>
      <w:r w:rsidR="00F11B08" w:rsidRPr="00C16037">
        <w:rPr>
          <w:color w:val="000000" w:themeColor="text1"/>
        </w:rPr>
        <w:t>territories</w:t>
      </w:r>
      <w:r w:rsidR="00FF41A0">
        <w:rPr>
          <w:color w:val="000000" w:themeColor="text1"/>
        </w:rPr>
        <w:t xml:space="preserve"> </w:t>
      </w:r>
    </w:p>
    <w:p w14:paraId="2EA58D3D" w14:textId="533D0EF3" w:rsidR="00F11B08" w:rsidRPr="00C16037" w:rsidRDefault="00F11B08" w:rsidP="00F40C0A">
      <w:pPr>
        <w:pStyle w:val="H1G"/>
        <w:rPr>
          <w:color w:val="000000" w:themeColor="text1"/>
        </w:rPr>
      </w:pPr>
      <w:r w:rsidRPr="00C16037">
        <w:rPr>
          <w:color w:val="000000" w:themeColor="text1"/>
        </w:rPr>
        <w:tab/>
      </w:r>
      <w:r w:rsidRPr="00391180">
        <w:rPr>
          <w:color w:val="000000" w:themeColor="text1"/>
        </w:rPr>
        <w:t>A.</w:t>
      </w:r>
      <w:r w:rsidRPr="00391180">
        <w:rPr>
          <w:color w:val="000000" w:themeColor="text1"/>
        </w:rPr>
        <w:tab/>
        <w:t>Interactive</w:t>
      </w:r>
      <w:r w:rsidR="00FF41A0">
        <w:rPr>
          <w:color w:val="000000" w:themeColor="text1"/>
        </w:rPr>
        <w:t xml:space="preserve"> </w:t>
      </w:r>
      <w:r w:rsidRPr="00391180">
        <w:rPr>
          <w:color w:val="000000" w:themeColor="text1"/>
        </w:rPr>
        <w:t>dialogue</w:t>
      </w:r>
      <w:r w:rsidR="00FF41A0">
        <w:rPr>
          <w:color w:val="000000" w:themeColor="text1"/>
        </w:rPr>
        <w:t xml:space="preserve"> </w:t>
      </w:r>
      <w:r w:rsidRPr="00391180">
        <w:rPr>
          <w:color w:val="000000" w:themeColor="text1"/>
        </w:rPr>
        <w:t>with</w:t>
      </w:r>
      <w:r w:rsidR="00FF41A0">
        <w:rPr>
          <w:color w:val="000000" w:themeColor="text1"/>
        </w:rPr>
        <w:t xml:space="preserve"> </w:t>
      </w:r>
      <w:r w:rsidRPr="00391180">
        <w:rPr>
          <w:color w:val="000000" w:themeColor="text1"/>
        </w:rPr>
        <w:t>the</w:t>
      </w:r>
      <w:r w:rsidR="00FF41A0">
        <w:rPr>
          <w:color w:val="000000" w:themeColor="text1"/>
        </w:rPr>
        <w:t xml:space="preserve"> </w:t>
      </w:r>
      <w:r w:rsidRPr="00391180">
        <w:rPr>
          <w:color w:val="000000" w:themeColor="text1"/>
        </w:rPr>
        <w:t>Special</w:t>
      </w:r>
      <w:r w:rsidR="00FF41A0">
        <w:rPr>
          <w:color w:val="000000" w:themeColor="text1"/>
        </w:rPr>
        <w:t xml:space="preserve"> </w:t>
      </w:r>
      <w:r w:rsidRPr="00391180">
        <w:rPr>
          <w:color w:val="000000" w:themeColor="text1"/>
        </w:rPr>
        <w:t>Rapporteur</w:t>
      </w:r>
      <w:r w:rsidR="00FF41A0">
        <w:rPr>
          <w:color w:val="000000" w:themeColor="text1"/>
        </w:rPr>
        <w:t xml:space="preserve"> </w:t>
      </w:r>
      <w:r w:rsidRPr="00391180">
        <w:rPr>
          <w:color w:val="000000" w:themeColor="text1"/>
        </w:rPr>
        <w:t>on</w:t>
      </w:r>
      <w:r w:rsidR="00FF41A0">
        <w:rPr>
          <w:color w:val="000000" w:themeColor="text1"/>
        </w:rPr>
        <w:t xml:space="preserve"> </w:t>
      </w:r>
      <w:r w:rsidRPr="00391180">
        <w:rPr>
          <w:color w:val="000000" w:themeColor="text1"/>
        </w:rPr>
        <w:t>the</w:t>
      </w:r>
      <w:r w:rsidR="00FF41A0">
        <w:rPr>
          <w:color w:val="000000" w:themeColor="text1"/>
        </w:rPr>
        <w:t xml:space="preserve"> </w:t>
      </w:r>
      <w:r w:rsidRPr="00391180">
        <w:rPr>
          <w:color w:val="000000" w:themeColor="text1"/>
        </w:rPr>
        <w:t>situation</w:t>
      </w:r>
      <w:r w:rsidR="00FF41A0">
        <w:rPr>
          <w:color w:val="000000" w:themeColor="text1"/>
        </w:rPr>
        <w:t xml:space="preserve"> </w:t>
      </w:r>
      <w:r w:rsidRPr="00391180">
        <w:rPr>
          <w:color w:val="000000" w:themeColor="text1"/>
        </w:rPr>
        <w:t>of</w:t>
      </w:r>
      <w:r w:rsidR="00FF41A0">
        <w:rPr>
          <w:color w:val="000000" w:themeColor="text1"/>
        </w:rPr>
        <w:t xml:space="preserve"> </w:t>
      </w:r>
      <w:r w:rsidRPr="00391180">
        <w:rPr>
          <w:color w:val="000000" w:themeColor="text1"/>
        </w:rPr>
        <w:t>human</w:t>
      </w:r>
      <w:r w:rsidR="00FF41A0">
        <w:rPr>
          <w:color w:val="000000" w:themeColor="text1"/>
        </w:rPr>
        <w:t xml:space="preserve"> </w:t>
      </w:r>
      <w:r w:rsidRPr="00391180">
        <w:rPr>
          <w:color w:val="000000" w:themeColor="text1"/>
        </w:rPr>
        <w:t>rights</w:t>
      </w:r>
      <w:r w:rsidR="00FF41A0">
        <w:rPr>
          <w:color w:val="000000" w:themeColor="text1"/>
        </w:rPr>
        <w:t xml:space="preserve"> </w:t>
      </w:r>
      <w:r w:rsidRPr="00391180">
        <w:rPr>
          <w:color w:val="000000" w:themeColor="text1"/>
        </w:rPr>
        <w:t>in</w:t>
      </w:r>
      <w:r w:rsidR="00FF41A0">
        <w:rPr>
          <w:color w:val="000000" w:themeColor="text1"/>
        </w:rPr>
        <w:t xml:space="preserve"> </w:t>
      </w:r>
      <w:r w:rsidRPr="00391180">
        <w:rPr>
          <w:color w:val="000000" w:themeColor="text1"/>
        </w:rPr>
        <w:t>the</w:t>
      </w:r>
      <w:r w:rsidR="00FF41A0">
        <w:rPr>
          <w:color w:val="000000" w:themeColor="text1"/>
        </w:rPr>
        <w:t xml:space="preserve"> </w:t>
      </w:r>
      <w:r w:rsidRPr="00391180">
        <w:rPr>
          <w:color w:val="000000" w:themeColor="text1"/>
        </w:rPr>
        <w:t>Palestinian</w:t>
      </w:r>
      <w:r w:rsidR="00FF41A0">
        <w:rPr>
          <w:color w:val="000000" w:themeColor="text1"/>
        </w:rPr>
        <w:t xml:space="preserve"> </w:t>
      </w:r>
      <w:r w:rsidRPr="00391180">
        <w:rPr>
          <w:color w:val="000000" w:themeColor="text1"/>
        </w:rPr>
        <w:t>territories</w:t>
      </w:r>
      <w:r w:rsidR="00FF41A0">
        <w:rPr>
          <w:color w:val="000000" w:themeColor="text1"/>
        </w:rPr>
        <w:t xml:space="preserve"> </w:t>
      </w:r>
      <w:r w:rsidRPr="00391180">
        <w:rPr>
          <w:color w:val="000000" w:themeColor="text1"/>
        </w:rPr>
        <w:t>occupied</w:t>
      </w:r>
      <w:r w:rsidR="00FF41A0">
        <w:rPr>
          <w:color w:val="000000" w:themeColor="text1"/>
        </w:rPr>
        <w:t xml:space="preserve"> </w:t>
      </w:r>
      <w:r w:rsidRPr="00391180">
        <w:rPr>
          <w:color w:val="000000" w:themeColor="text1"/>
        </w:rPr>
        <w:t>since</w:t>
      </w:r>
      <w:r w:rsidR="00FF41A0">
        <w:rPr>
          <w:color w:val="000000" w:themeColor="text1"/>
        </w:rPr>
        <w:t xml:space="preserve"> </w:t>
      </w:r>
      <w:r w:rsidRPr="00391180">
        <w:rPr>
          <w:color w:val="000000" w:themeColor="text1"/>
        </w:rPr>
        <w:t>1967</w:t>
      </w:r>
    </w:p>
    <w:p w14:paraId="2EA58D3E" w14:textId="5CD42E3C" w:rsidR="00F11B08" w:rsidRPr="0037538E" w:rsidRDefault="001D5DB2" w:rsidP="00F11B08">
      <w:pPr>
        <w:pStyle w:val="SingleTxtG"/>
        <w:rPr>
          <w:color w:val="000000" w:themeColor="text1"/>
          <w:sz w:val="20"/>
          <w:szCs w:val="20"/>
        </w:rPr>
      </w:pPr>
      <w:r>
        <w:rPr>
          <w:color w:val="000000" w:themeColor="text1"/>
          <w:sz w:val="20"/>
          <w:szCs w:val="20"/>
        </w:rPr>
        <w:t>917</w:t>
      </w:r>
      <w:r w:rsidR="00631107" w:rsidRPr="0037538E">
        <w:rPr>
          <w:color w:val="000000" w:themeColor="text1"/>
          <w:sz w:val="20"/>
          <w:szCs w:val="20"/>
        </w:rPr>
        <w:t>.</w:t>
      </w:r>
      <w:r w:rsidR="00F40C0A" w:rsidRPr="0037538E">
        <w:rPr>
          <w:color w:val="000000" w:themeColor="text1"/>
          <w:sz w:val="20"/>
          <w:szCs w:val="20"/>
        </w:rPr>
        <w:tab/>
      </w:r>
      <w:r w:rsidR="00BA696B" w:rsidRPr="0037538E">
        <w:rPr>
          <w:color w:val="000000" w:themeColor="text1"/>
          <w:sz w:val="20"/>
          <w:szCs w:val="20"/>
        </w:rPr>
        <w:t>At</w:t>
      </w:r>
      <w:r w:rsidR="00FF41A0">
        <w:rPr>
          <w:color w:val="000000" w:themeColor="text1"/>
          <w:sz w:val="20"/>
          <w:szCs w:val="20"/>
        </w:rPr>
        <w:t xml:space="preserve"> </w:t>
      </w:r>
      <w:r w:rsidR="00BA696B" w:rsidRPr="0037538E">
        <w:rPr>
          <w:color w:val="000000" w:themeColor="text1"/>
          <w:sz w:val="20"/>
          <w:szCs w:val="20"/>
        </w:rPr>
        <w:t>the</w:t>
      </w:r>
      <w:r w:rsidR="00FF41A0">
        <w:rPr>
          <w:color w:val="000000" w:themeColor="text1"/>
          <w:sz w:val="20"/>
          <w:szCs w:val="20"/>
        </w:rPr>
        <w:t xml:space="preserve"> </w:t>
      </w:r>
      <w:r w:rsidR="00BA696B" w:rsidRPr="0037538E">
        <w:rPr>
          <w:color w:val="000000" w:themeColor="text1"/>
          <w:sz w:val="20"/>
          <w:szCs w:val="20"/>
        </w:rPr>
        <w:t>4</w:t>
      </w:r>
      <w:r w:rsidR="009769EB">
        <w:rPr>
          <w:color w:val="000000" w:themeColor="text1"/>
          <w:sz w:val="20"/>
          <w:szCs w:val="20"/>
        </w:rPr>
        <w:t>1st</w:t>
      </w:r>
      <w:r w:rsidR="00FF41A0">
        <w:rPr>
          <w:color w:val="000000" w:themeColor="text1"/>
          <w:sz w:val="20"/>
          <w:szCs w:val="20"/>
        </w:rPr>
        <w:t xml:space="preserve"> </w:t>
      </w:r>
      <w:r w:rsidR="00F11B08" w:rsidRPr="0037538E">
        <w:rPr>
          <w:color w:val="000000" w:themeColor="text1"/>
          <w:sz w:val="20"/>
          <w:szCs w:val="20"/>
        </w:rPr>
        <w:t>meeting,</w:t>
      </w:r>
      <w:r w:rsidR="00FF41A0">
        <w:rPr>
          <w:color w:val="000000" w:themeColor="text1"/>
          <w:sz w:val="20"/>
          <w:szCs w:val="20"/>
        </w:rPr>
        <w:t xml:space="preserve"> </w:t>
      </w:r>
      <w:r w:rsidR="00F11B08" w:rsidRPr="0037538E">
        <w:rPr>
          <w:color w:val="000000" w:themeColor="text1"/>
          <w:sz w:val="20"/>
          <w:szCs w:val="20"/>
        </w:rPr>
        <w:t>on</w:t>
      </w:r>
      <w:r w:rsidR="00FF41A0">
        <w:rPr>
          <w:color w:val="000000" w:themeColor="text1"/>
          <w:sz w:val="20"/>
          <w:szCs w:val="20"/>
        </w:rPr>
        <w:t xml:space="preserve"> </w:t>
      </w:r>
      <w:r w:rsidR="00BA696B" w:rsidRPr="0037538E">
        <w:rPr>
          <w:color w:val="000000" w:themeColor="text1"/>
          <w:sz w:val="20"/>
          <w:szCs w:val="20"/>
        </w:rPr>
        <w:t>1</w:t>
      </w:r>
      <w:r w:rsidR="009769EB">
        <w:rPr>
          <w:color w:val="000000" w:themeColor="text1"/>
          <w:sz w:val="20"/>
          <w:szCs w:val="20"/>
        </w:rPr>
        <w:t>8</w:t>
      </w:r>
      <w:r w:rsidR="00FF41A0">
        <w:rPr>
          <w:color w:val="000000" w:themeColor="text1"/>
          <w:sz w:val="20"/>
          <w:szCs w:val="20"/>
        </w:rPr>
        <w:t xml:space="preserve"> </w:t>
      </w:r>
      <w:r w:rsidR="00BA696B" w:rsidRPr="0037538E">
        <w:rPr>
          <w:color w:val="000000" w:themeColor="text1"/>
          <w:sz w:val="20"/>
          <w:szCs w:val="20"/>
        </w:rPr>
        <w:t>March</w:t>
      </w:r>
      <w:r w:rsidR="00FF41A0">
        <w:rPr>
          <w:color w:val="000000" w:themeColor="text1"/>
          <w:sz w:val="20"/>
          <w:szCs w:val="20"/>
        </w:rPr>
        <w:t xml:space="preserve"> </w:t>
      </w:r>
      <w:r w:rsidR="00141AFC">
        <w:rPr>
          <w:color w:val="000000" w:themeColor="text1"/>
          <w:sz w:val="20"/>
          <w:szCs w:val="20"/>
        </w:rPr>
        <w:t>2019</w:t>
      </w:r>
      <w:r w:rsidR="00A5462A" w:rsidRPr="0037538E">
        <w:rPr>
          <w:color w:val="000000" w:themeColor="text1"/>
          <w:sz w:val="20"/>
          <w:szCs w:val="20"/>
        </w:rPr>
        <w:t>,</w:t>
      </w:r>
      <w:r w:rsidR="00FF41A0">
        <w:rPr>
          <w:color w:val="000000" w:themeColor="text1"/>
          <w:sz w:val="20"/>
          <w:szCs w:val="20"/>
        </w:rPr>
        <w:t xml:space="preserve"> </w:t>
      </w:r>
      <w:r w:rsidR="00F11B08" w:rsidRPr="0037538E">
        <w:rPr>
          <w:color w:val="000000" w:themeColor="text1"/>
          <w:sz w:val="20"/>
          <w:szCs w:val="20"/>
        </w:rPr>
        <w:t>the</w:t>
      </w:r>
      <w:r w:rsidR="00FF41A0">
        <w:rPr>
          <w:color w:val="000000" w:themeColor="text1"/>
          <w:sz w:val="20"/>
          <w:szCs w:val="20"/>
        </w:rPr>
        <w:t xml:space="preserve"> </w:t>
      </w:r>
      <w:r w:rsidR="00F11B08" w:rsidRPr="0037538E">
        <w:rPr>
          <w:color w:val="000000" w:themeColor="text1"/>
          <w:sz w:val="20"/>
          <w:szCs w:val="20"/>
        </w:rPr>
        <w:t>Special</w:t>
      </w:r>
      <w:r w:rsidR="00FF41A0">
        <w:rPr>
          <w:color w:val="000000" w:themeColor="text1"/>
          <w:sz w:val="20"/>
          <w:szCs w:val="20"/>
        </w:rPr>
        <w:t xml:space="preserve"> </w:t>
      </w:r>
      <w:r w:rsidR="00F11B08" w:rsidRPr="0037538E">
        <w:rPr>
          <w:color w:val="000000" w:themeColor="text1"/>
          <w:sz w:val="20"/>
          <w:szCs w:val="20"/>
        </w:rPr>
        <w:t>Rapporteur</w:t>
      </w:r>
      <w:r w:rsidR="00FF41A0">
        <w:rPr>
          <w:color w:val="000000" w:themeColor="text1"/>
          <w:sz w:val="20"/>
          <w:szCs w:val="20"/>
        </w:rPr>
        <w:t xml:space="preserve"> </w:t>
      </w:r>
      <w:r w:rsidR="00F11B08" w:rsidRPr="0037538E">
        <w:rPr>
          <w:color w:val="000000" w:themeColor="text1"/>
          <w:sz w:val="20"/>
          <w:szCs w:val="20"/>
        </w:rPr>
        <w:t>on</w:t>
      </w:r>
      <w:r w:rsidR="00FF41A0">
        <w:rPr>
          <w:color w:val="000000" w:themeColor="text1"/>
          <w:sz w:val="20"/>
          <w:szCs w:val="20"/>
        </w:rPr>
        <w:t xml:space="preserve"> </w:t>
      </w:r>
      <w:r w:rsidR="00F11B08" w:rsidRPr="0037538E">
        <w:rPr>
          <w:color w:val="000000" w:themeColor="text1"/>
          <w:sz w:val="20"/>
          <w:szCs w:val="20"/>
        </w:rPr>
        <w:t>the</w:t>
      </w:r>
      <w:r w:rsidR="00FF41A0">
        <w:rPr>
          <w:color w:val="000000" w:themeColor="text1"/>
          <w:sz w:val="20"/>
          <w:szCs w:val="20"/>
        </w:rPr>
        <w:t xml:space="preserve"> </w:t>
      </w:r>
      <w:r w:rsidR="00F11B08" w:rsidRPr="0037538E">
        <w:rPr>
          <w:color w:val="000000" w:themeColor="text1"/>
          <w:sz w:val="20"/>
          <w:szCs w:val="20"/>
        </w:rPr>
        <w:t>situation</w:t>
      </w:r>
      <w:r w:rsidR="00FF41A0">
        <w:rPr>
          <w:color w:val="000000" w:themeColor="text1"/>
          <w:sz w:val="20"/>
          <w:szCs w:val="20"/>
        </w:rPr>
        <w:t xml:space="preserve"> </w:t>
      </w:r>
      <w:r w:rsidR="00F11B08" w:rsidRPr="0037538E">
        <w:rPr>
          <w:color w:val="000000" w:themeColor="text1"/>
          <w:sz w:val="20"/>
          <w:szCs w:val="20"/>
        </w:rPr>
        <w:t>of</w:t>
      </w:r>
      <w:r w:rsidR="00FF41A0">
        <w:rPr>
          <w:color w:val="000000" w:themeColor="text1"/>
          <w:sz w:val="20"/>
          <w:szCs w:val="20"/>
        </w:rPr>
        <w:t xml:space="preserve"> </w:t>
      </w:r>
      <w:r w:rsidR="00F11B08" w:rsidRPr="0037538E">
        <w:rPr>
          <w:color w:val="000000" w:themeColor="text1"/>
          <w:sz w:val="20"/>
          <w:szCs w:val="20"/>
        </w:rPr>
        <w:t>human</w:t>
      </w:r>
      <w:r w:rsidR="00FF41A0">
        <w:rPr>
          <w:color w:val="000000" w:themeColor="text1"/>
          <w:sz w:val="20"/>
          <w:szCs w:val="20"/>
        </w:rPr>
        <w:t xml:space="preserve"> </w:t>
      </w:r>
      <w:r w:rsidR="00F11B08" w:rsidRPr="0037538E">
        <w:rPr>
          <w:color w:val="000000" w:themeColor="text1"/>
          <w:sz w:val="20"/>
          <w:szCs w:val="20"/>
        </w:rPr>
        <w:t>rights</w:t>
      </w:r>
      <w:r w:rsidR="00FF41A0">
        <w:rPr>
          <w:color w:val="000000" w:themeColor="text1"/>
          <w:sz w:val="20"/>
          <w:szCs w:val="20"/>
        </w:rPr>
        <w:t xml:space="preserve"> </w:t>
      </w:r>
      <w:r w:rsidR="00F11B08" w:rsidRPr="0037538E">
        <w:rPr>
          <w:color w:val="000000" w:themeColor="text1"/>
          <w:sz w:val="20"/>
          <w:szCs w:val="20"/>
        </w:rPr>
        <w:t>in</w:t>
      </w:r>
      <w:r w:rsidR="00FF41A0">
        <w:rPr>
          <w:color w:val="000000" w:themeColor="text1"/>
          <w:sz w:val="20"/>
          <w:szCs w:val="20"/>
        </w:rPr>
        <w:t xml:space="preserve"> </w:t>
      </w:r>
      <w:r w:rsidR="00F11B08" w:rsidRPr="0037538E">
        <w:rPr>
          <w:color w:val="000000" w:themeColor="text1"/>
          <w:sz w:val="20"/>
          <w:szCs w:val="20"/>
        </w:rPr>
        <w:t>the</w:t>
      </w:r>
      <w:r w:rsidR="00FF41A0">
        <w:rPr>
          <w:color w:val="000000" w:themeColor="text1"/>
          <w:sz w:val="20"/>
          <w:szCs w:val="20"/>
        </w:rPr>
        <w:t xml:space="preserve"> </w:t>
      </w:r>
      <w:r w:rsidR="00F11B08" w:rsidRPr="0037538E">
        <w:rPr>
          <w:color w:val="000000" w:themeColor="text1"/>
          <w:sz w:val="20"/>
          <w:szCs w:val="20"/>
        </w:rPr>
        <w:t>Palestinian</w:t>
      </w:r>
      <w:r w:rsidR="00FF41A0">
        <w:rPr>
          <w:color w:val="000000" w:themeColor="text1"/>
          <w:sz w:val="20"/>
          <w:szCs w:val="20"/>
        </w:rPr>
        <w:t xml:space="preserve"> </w:t>
      </w:r>
      <w:r w:rsidR="00F11B08" w:rsidRPr="0037538E">
        <w:rPr>
          <w:color w:val="000000" w:themeColor="text1"/>
          <w:sz w:val="20"/>
          <w:szCs w:val="20"/>
        </w:rPr>
        <w:t>territories</w:t>
      </w:r>
      <w:r w:rsidR="00FF41A0">
        <w:rPr>
          <w:color w:val="000000" w:themeColor="text1"/>
          <w:sz w:val="20"/>
          <w:szCs w:val="20"/>
        </w:rPr>
        <w:t xml:space="preserve"> </w:t>
      </w:r>
      <w:r w:rsidR="00F11B08" w:rsidRPr="0037538E">
        <w:rPr>
          <w:color w:val="000000" w:themeColor="text1"/>
          <w:sz w:val="20"/>
          <w:szCs w:val="20"/>
        </w:rPr>
        <w:t>occupied</w:t>
      </w:r>
      <w:r w:rsidR="00FF41A0">
        <w:rPr>
          <w:color w:val="000000" w:themeColor="text1"/>
          <w:sz w:val="20"/>
          <w:szCs w:val="20"/>
        </w:rPr>
        <w:t xml:space="preserve"> </w:t>
      </w:r>
      <w:r w:rsidR="00F11B08" w:rsidRPr="0037538E">
        <w:rPr>
          <w:color w:val="000000" w:themeColor="text1"/>
          <w:sz w:val="20"/>
          <w:szCs w:val="20"/>
        </w:rPr>
        <w:t>since</w:t>
      </w:r>
      <w:r w:rsidR="00FF41A0">
        <w:rPr>
          <w:color w:val="000000" w:themeColor="text1"/>
          <w:sz w:val="20"/>
          <w:szCs w:val="20"/>
        </w:rPr>
        <w:t xml:space="preserve"> </w:t>
      </w:r>
      <w:r w:rsidR="00F11B08" w:rsidRPr="0037538E">
        <w:rPr>
          <w:color w:val="000000" w:themeColor="text1"/>
          <w:sz w:val="20"/>
          <w:szCs w:val="20"/>
        </w:rPr>
        <w:t>1967,</w:t>
      </w:r>
      <w:r w:rsidR="00FF41A0">
        <w:rPr>
          <w:color w:val="000000" w:themeColor="text1"/>
          <w:sz w:val="20"/>
          <w:szCs w:val="20"/>
        </w:rPr>
        <w:t xml:space="preserve"> </w:t>
      </w:r>
      <w:r w:rsidR="00F11B08" w:rsidRPr="0037538E">
        <w:rPr>
          <w:color w:val="000000" w:themeColor="text1"/>
          <w:sz w:val="20"/>
          <w:szCs w:val="20"/>
        </w:rPr>
        <w:t>Michael</w:t>
      </w:r>
      <w:r w:rsidR="00FF41A0">
        <w:rPr>
          <w:color w:val="000000" w:themeColor="text1"/>
          <w:sz w:val="20"/>
          <w:szCs w:val="20"/>
        </w:rPr>
        <w:t xml:space="preserve"> </w:t>
      </w:r>
      <w:r w:rsidR="00F11B08" w:rsidRPr="0037538E">
        <w:rPr>
          <w:color w:val="000000" w:themeColor="text1"/>
          <w:sz w:val="20"/>
          <w:szCs w:val="20"/>
        </w:rPr>
        <w:t>Lynk,</w:t>
      </w:r>
      <w:r w:rsidR="00FF41A0">
        <w:rPr>
          <w:color w:val="000000" w:themeColor="text1"/>
          <w:sz w:val="20"/>
          <w:szCs w:val="20"/>
        </w:rPr>
        <w:t xml:space="preserve"> </w:t>
      </w:r>
      <w:r w:rsidR="00F11B08" w:rsidRPr="0037538E">
        <w:rPr>
          <w:color w:val="000000" w:themeColor="text1"/>
          <w:sz w:val="20"/>
          <w:szCs w:val="20"/>
        </w:rPr>
        <w:t>presented</w:t>
      </w:r>
      <w:r w:rsidR="00FF41A0">
        <w:rPr>
          <w:color w:val="000000" w:themeColor="text1"/>
          <w:sz w:val="20"/>
          <w:szCs w:val="20"/>
        </w:rPr>
        <w:t xml:space="preserve"> </w:t>
      </w:r>
      <w:r w:rsidR="00F11B08" w:rsidRPr="0037538E">
        <w:rPr>
          <w:color w:val="000000" w:themeColor="text1"/>
          <w:sz w:val="20"/>
          <w:szCs w:val="20"/>
        </w:rPr>
        <w:t>his</w:t>
      </w:r>
      <w:r w:rsidR="00FF41A0">
        <w:rPr>
          <w:color w:val="000000" w:themeColor="text1"/>
          <w:sz w:val="20"/>
          <w:szCs w:val="20"/>
        </w:rPr>
        <w:t xml:space="preserve"> </w:t>
      </w:r>
      <w:r w:rsidR="00F11B08" w:rsidRPr="0037538E">
        <w:rPr>
          <w:color w:val="000000" w:themeColor="text1"/>
          <w:sz w:val="20"/>
          <w:szCs w:val="20"/>
        </w:rPr>
        <w:t>report</w:t>
      </w:r>
      <w:r w:rsidR="00FF41A0">
        <w:rPr>
          <w:color w:val="000000" w:themeColor="text1"/>
          <w:sz w:val="20"/>
          <w:szCs w:val="20"/>
        </w:rPr>
        <w:t xml:space="preserve"> </w:t>
      </w:r>
      <w:r w:rsidR="00F11B08" w:rsidRPr="0037538E">
        <w:rPr>
          <w:color w:val="000000" w:themeColor="text1"/>
          <w:sz w:val="20"/>
          <w:szCs w:val="20"/>
        </w:rPr>
        <w:t>(A/HRC/</w:t>
      </w:r>
      <w:r w:rsidR="007D1EA6" w:rsidRPr="007D1EA6">
        <w:rPr>
          <w:color w:val="000000" w:themeColor="text1"/>
          <w:sz w:val="20"/>
          <w:szCs w:val="20"/>
        </w:rPr>
        <w:t>40/73</w:t>
      </w:r>
      <w:r w:rsidR="00F11B08" w:rsidRPr="0037538E">
        <w:rPr>
          <w:color w:val="000000" w:themeColor="text1"/>
          <w:sz w:val="20"/>
          <w:szCs w:val="20"/>
        </w:rPr>
        <w:t>).</w:t>
      </w:r>
    </w:p>
    <w:p w14:paraId="2EA58D3F" w14:textId="08877F1B" w:rsidR="00F11B08" w:rsidRDefault="001D5DB2" w:rsidP="00631107">
      <w:pPr>
        <w:pStyle w:val="SingleTxtG"/>
        <w:rPr>
          <w:color w:val="000000" w:themeColor="text1"/>
          <w:sz w:val="20"/>
          <w:szCs w:val="20"/>
        </w:rPr>
      </w:pPr>
      <w:r>
        <w:rPr>
          <w:color w:val="000000" w:themeColor="text1"/>
          <w:sz w:val="20"/>
          <w:szCs w:val="20"/>
        </w:rPr>
        <w:t>918</w:t>
      </w:r>
      <w:r w:rsidR="00631107" w:rsidRPr="00AA3048">
        <w:rPr>
          <w:color w:val="000000" w:themeColor="text1"/>
          <w:sz w:val="20"/>
          <w:szCs w:val="20"/>
        </w:rPr>
        <w:t>.</w:t>
      </w:r>
      <w:r w:rsidR="00F40C0A" w:rsidRPr="00AA3048">
        <w:rPr>
          <w:color w:val="000000" w:themeColor="text1"/>
          <w:sz w:val="20"/>
          <w:szCs w:val="20"/>
        </w:rPr>
        <w:tab/>
      </w:r>
      <w:r w:rsidR="00F11B08" w:rsidRPr="00AA3048">
        <w:rPr>
          <w:color w:val="000000" w:themeColor="text1"/>
          <w:sz w:val="20"/>
          <w:szCs w:val="20"/>
        </w:rPr>
        <w:t>At</w:t>
      </w:r>
      <w:r w:rsidR="00FF41A0">
        <w:rPr>
          <w:color w:val="000000" w:themeColor="text1"/>
          <w:sz w:val="20"/>
          <w:szCs w:val="20"/>
        </w:rPr>
        <w:t xml:space="preserve"> </w:t>
      </w:r>
      <w:r w:rsidR="00F11B08" w:rsidRPr="00AA3048">
        <w:rPr>
          <w:color w:val="000000" w:themeColor="text1"/>
          <w:sz w:val="20"/>
          <w:szCs w:val="20"/>
        </w:rPr>
        <w:t>the</w:t>
      </w:r>
      <w:r w:rsidR="00FF41A0">
        <w:rPr>
          <w:color w:val="000000" w:themeColor="text1"/>
          <w:sz w:val="20"/>
          <w:szCs w:val="20"/>
        </w:rPr>
        <w:t xml:space="preserve"> </w:t>
      </w:r>
      <w:r w:rsidR="00F11B08" w:rsidRPr="00AA3048">
        <w:rPr>
          <w:color w:val="000000" w:themeColor="text1"/>
          <w:sz w:val="20"/>
          <w:szCs w:val="20"/>
        </w:rPr>
        <w:t>same</w:t>
      </w:r>
      <w:r w:rsidR="00FF41A0">
        <w:rPr>
          <w:color w:val="000000" w:themeColor="text1"/>
          <w:sz w:val="20"/>
          <w:szCs w:val="20"/>
        </w:rPr>
        <w:t xml:space="preserve"> </w:t>
      </w:r>
      <w:r w:rsidR="00F11B08" w:rsidRPr="00AA3048">
        <w:rPr>
          <w:color w:val="000000" w:themeColor="text1"/>
          <w:sz w:val="20"/>
          <w:szCs w:val="20"/>
        </w:rPr>
        <w:t>meeting,</w:t>
      </w:r>
      <w:r w:rsidR="00FF41A0">
        <w:rPr>
          <w:color w:val="000000" w:themeColor="text1"/>
          <w:sz w:val="20"/>
          <w:szCs w:val="20"/>
        </w:rPr>
        <w:t xml:space="preserve"> </w:t>
      </w:r>
      <w:r w:rsidR="00F11B08" w:rsidRPr="00AA3048">
        <w:rPr>
          <w:color w:val="000000" w:themeColor="text1"/>
          <w:sz w:val="20"/>
          <w:szCs w:val="20"/>
        </w:rPr>
        <w:t>the</w:t>
      </w:r>
      <w:r w:rsidR="00FF41A0">
        <w:rPr>
          <w:color w:val="000000" w:themeColor="text1"/>
          <w:sz w:val="20"/>
          <w:szCs w:val="20"/>
        </w:rPr>
        <w:t xml:space="preserve"> </w:t>
      </w:r>
      <w:r w:rsidR="00F11B08" w:rsidRPr="00AA3048">
        <w:rPr>
          <w:color w:val="000000" w:themeColor="text1"/>
          <w:sz w:val="20"/>
          <w:szCs w:val="20"/>
        </w:rPr>
        <w:t>representative</w:t>
      </w:r>
      <w:r w:rsidR="00FF41A0">
        <w:rPr>
          <w:color w:val="000000" w:themeColor="text1"/>
          <w:sz w:val="20"/>
          <w:szCs w:val="20"/>
        </w:rPr>
        <w:t xml:space="preserve"> </w:t>
      </w:r>
      <w:r w:rsidR="00F11B08" w:rsidRPr="00AA3048">
        <w:rPr>
          <w:color w:val="000000" w:themeColor="text1"/>
          <w:sz w:val="20"/>
          <w:szCs w:val="20"/>
        </w:rPr>
        <w:t>of</w:t>
      </w:r>
      <w:r w:rsidR="00FF41A0">
        <w:rPr>
          <w:color w:val="000000" w:themeColor="text1"/>
          <w:sz w:val="20"/>
          <w:szCs w:val="20"/>
        </w:rPr>
        <w:t xml:space="preserve"> </w:t>
      </w:r>
      <w:r w:rsidR="00F11B08" w:rsidRPr="00AA3048">
        <w:rPr>
          <w:color w:val="000000" w:themeColor="text1"/>
          <w:sz w:val="20"/>
          <w:szCs w:val="20"/>
        </w:rPr>
        <w:t>the</w:t>
      </w:r>
      <w:r w:rsidR="00FF41A0">
        <w:rPr>
          <w:color w:val="000000" w:themeColor="text1"/>
          <w:sz w:val="20"/>
          <w:szCs w:val="20"/>
        </w:rPr>
        <w:t xml:space="preserve"> </w:t>
      </w:r>
      <w:r w:rsidR="00F11B08" w:rsidRPr="00AA3048">
        <w:rPr>
          <w:color w:val="000000" w:themeColor="text1"/>
          <w:sz w:val="20"/>
          <w:szCs w:val="20"/>
        </w:rPr>
        <w:t>State</w:t>
      </w:r>
      <w:r w:rsidR="00FF41A0">
        <w:rPr>
          <w:color w:val="000000" w:themeColor="text1"/>
          <w:sz w:val="20"/>
          <w:szCs w:val="20"/>
        </w:rPr>
        <w:t xml:space="preserve"> </w:t>
      </w:r>
      <w:r w:rsidR="00F11B08" w:rsidRPr="00AA3048">
        <w:rPr>
          <w:color w:val="000000" w:themeColor="text1"/>
          <w:sz w:val="20"/>
          <w:szCs w:val="20"/>
        </w:rPr>
        <w:t>of</w:t>
      </w:r>
      <w:r w:rsidR="00FF41A0">
        <w:rPr>
          <w:color w:val="000000" w:themeColor="text1"/>
          <w:sz w:val="20"/>
          <w:szCs w:val="20"/>
        </w:rPr>
        <w:t xml:space="preserve"> </w:t>
      </w:r>
      <w:r w:rsidR="00F11B08" w:rsidRPr="00AA3048">
        <w:rPr>
          <w:color w:val="000000" w:themeColor="text1"/>
          <w:sz w:val="20"/>
          <w:szCs w:val="20"/>
        </w:rPr>
        <w:t>Palestine</w:t>
      </w:r>
      <w:r w:rsidR="00FF41A0">
        <w:rPr>
          <w:color w:val="000000" w:themeColor="text1"/>
          <w:sz w:val="20"/>
          <w:szCs w:val="20"/>
        </w:rPr>
        <w:t xml:space="preserve"> </w:t>
      </w:r>
      <w:r w:rsidR="00F11B08" w:rsidRPr="00AA3048">
        <w:rPr>
          <w:color w:val="000000" w:themeColor="text1"/>
          <w:sz w:val="20"/>
          <w:szCs w:val="20"/>
        </w:rPr>
        <w:t>made</w:t>
      </w:r>
      <w:r w:rsidR="00FF41A0">
        <w:rPr>
          <w:color w:val="000000" w:themeColor="text1"/>
          <w:sz w:val="20"/>
          <w:szCs w:val="20"/>
        </w:rPr>
        <w:t xml:space="preserve"> </w:t>
      </w:r>
      <w:r w:rsidR="00F11B08" w:rsidRPr="00AA3048">
        <w:rPr>
          <w:color w:val="000000" w:themeColor="text1"/>
          <w:sz w:val="20"/>
          <w:szCs w:val="20"/>
        </w:rPr>
        <w:t>a</w:t>
      </w:r>
      <w:r w:rsidR="00FF41A0">
        <w:rPr>
          <w:color w:val="000000" w:themeColor="text1"/>
          <w:sz w:val="20"/>
          <w:szCs w:val="20"/>
        </w:rPr>
        <w:t xml:space="preserve"> </w:t>
      </w:r>
      <w:r w:rsidR="00F11B08" w:rsidRPr="00AA3048">
        <w:rPr>
          <w:color w:val="000000" w:themeColor="text1"/>
          <w:sz w:val="20"/>
          <w:szCs w:val="20"/>
        </w:rPr>
        <w:t>statement</w:t>
      </w:r>
      <w:r w:rsidR="00FF41A0">
        <w:rPr>
          <w:color w:val="000000" w:themeColor="text1"/>
          <w:sz w:val="20"/>
          <w:szCs w:val="20"/>
        </w:rPr>
        <w:t xml:space="preserve"> </w:t>
      </w:r>
      <w:r w:rsidR="00F11B08" w:rsidRPr="00AA3048">
        <w:rPr>
          <w:color w:val="000000" w:themeColor="text1"/>
          <w:sz w:val="20"/>
          <w:szCs w:val="20"/>
        </w:rPr>
        <w:t>as</w:t>
      </w:r>
      <w:r w:rsidR="00FF41A0">
        <w:rPr>
          <w:color w:val="000000" w:themeColor="text1"/>
          <w:sz w:val="20"/>
          <w:szCs w:val="20"/>
        </w:rPr>
        <w:t xml:space="preserve"> </w:t>
      </w:r>
      <w:r w:rsidR="00F11B08" w:rsidRPr="00AA3048">
        <w:rPr>
          <w:color w:val="000000" w:themeColor="text1"/>
          <w:sz w:val="20"/>
          <w:szCs w:val="20"/>
        </w:rPr>
        <w:t>the</w:t>
      </w:r>
      <w:r w:rsidR="00FF41A0">
        <w:rPr>
          <w:color w:val="000000" w:themeColor="text1"/>
          <w:sz w:val="20"/>
          <w:szCs w:val="20"/>
        </w:rPr>
        <w:t xml:space="preserve"> </w:t>
      </w:r>
      <w:r w:rsidR="00F11B08" w:rsidRPr="00AA3048">
        <w:rPr>
          <w:color w:val="000000" w:themeColor="text1"/>
          <w:sz w:val="20"/>
          <w:szCs w:val="20"/>
        </w:rPr>
        <w:t>State</w:t>
      </w:r>
      <w:r w:rsidR="00FF41A0">
        <w:rPr>
          <w:color w:val="000000" w:themeColor="text1"/>
          <w:sz w:val="20"/>
          <w:szCs w:val="20"/>
        </w:rPr>
        <w:t xml:space="preserve"> </w:t>
      </w:r>
      <w:r w:rsidR="00F11B08" w:rsidRPr="00AA3048">
        <w:rPr>
          <w:color w:val="000000" w:themeColor="text1"/>
          <w:sz w:val="20"/>
          <w:szCs w:val="20"/>
        </w:rPr>
        <w:t>concerned.</w:t>
      </w:r>
    </w:p>
    <w:p w14:paraId="7589F955" w14:textId="12BE01AC" w:rsidR="00E7232B" w:rsidRPr="0037538E" w:rsidRDefault="001D5DB2" w:rsidP="00E7232B">
      <w:pPr>
        <w:pStyle w:val="SingleTxtG"/>
        <w:rPr>
          <w:color w:val="000000" w:themeColor="text1"/>
          <w:sz w:val="20"/>
          <w:szCs w:val="20"/>
        </w:rPr>
      </w:pPr>
      <w:r>
        <w:rPr>
          <w:color w:val="000000" w:themeColor="text1"/>
          <w:sz w:val="20"/>
          <w:szCs w:val="20"/>
        </w:rPr>
        <w:t>919</w:t>
      </w:r>
      <w:r w:rsidR="00E7232B" w:rsidRPr="0037538E">
        <w:rPr>
          <w:color w:val="000000" w:themeColor="text1"/>
          <w:sz w:val="20"/>
          <w:szCs w:val="20"/>
        </w:rPr>
        <w:t>.</w:t>
      </w:r>
      <w:r w:rsidR="00E7232B" w:rsidRPr="0037538E">
        <w:rPr>
          <w:color w:val="000000" w:themeColor="text1"/>
          <w:sz w:val="20"/>
          <w:szCs w:val="20"/>
        </w:rPr>
        <w:tab/>
        <w:t>Also</w:t>
      </w:r>
      <w:r w:rsidR="00FF41A0">
        <w:rPr>
          <w:color w:val="000000" w:themeColor="text1"/>
          <w:sz w:val="20"/>
          <w:szCs w:val="20"/>
        </w:rPr>
        <w:t xml:space="preserve"> </w:t>
      </w:r>
      <w:r w:rsidR="00E7232B" w:rsidRPr="0037538E">
        <w:rPr>
          <w:color w:val="000000" w:themeColor="text1"/>
          <w:sz w:val="20"/>
          <w:szCs w:val="20"/>
        </w:rPr>
        <w:t>at</w:t>
      </w:r>
      <w:r w:rsidR="00FF41A0">
        <w:rPr>
          <w:color w:val="000000" w:themeColor="text1"/>
          <w:sz w:val="20"/>
          <w:szCs w:val="20"/>
        </w:rPr>
        <w:t xml:space="preserve"> </w:t>
      </w:r>
      <w:r w:rsidR="00E7232B" w:rsidRPr="0037538E">
        <w:rPr>
          <w:color w:val="000000" w:themeColor="text1"/>
          <w:sz w:val="20"/>
          <w:szCs w:val="20"/>
        </w:rPr>
        <w:t>the</w:t>
      </w:r>
      <w:r w:rsidR="00FF41A0">
        <w:rPr>
          <w:color w:val="000000" w:themeColor="text1"/>
          <w:sz w:val="20"/>
          <w:szCs w:val="20"/>
        </w:rPr>
        <w:t xml:space="preserve"> </w:t>
      </w:r>
      <w:r w:rsidR="00E7232B" w:rsidRPr="0037538E">
        <w:rPr>
          <w:color w:val="000000" w:themeColor="text1"/>
          <w:sz w:val="20"/>
          <w:szCs w:val="20"/>
        </w:rPr>
        <w:t>same</w:t>
      </w:r>
      <w:r w:rsidR="00FF41A0">
        <w:rPr>
          <w:color w:val="000000" w:themeColor="text1"/>
          <w:sz w:val="20"/>
          <w:szCs w:val="20"/>
        </w:rPr>
        <w:t xml:space="preserve"> </w:t>
      </w:r>
      <w:r w:rsidR="00E7232B" w:rsidRPr="0037538E">
        <w:rPr>
          <w:color w:val="000000" w:themeColor="text1"/>
          <w:sz w:val="20"/>
          <w:szCs w:val="20"/>
        </w:rPr>
        <w:t>meeting,</w:t>
      </w:r>
      <w:r w:rsidR="00FF41A0">
        <w:rPr>
          <w:color w:val="000000" w:themeColor="text1"/>
          <w:sz w:val="20"/>
          <w:szCs w:val="20"/>
        </w:rPr>
        <w:t xml:space="preserve"> </w:t>
      </w:r>
      <w:r w:rsidR="00E7232B" w:rsidRPr="0037538E">
        <w:rPr>
          <w:color w:val="000000" w:themeColor="text1"/>
          <w:sz w:val="20"/>
          <w:szCs w:val="20"/>
        </w:rPr>
        <w:t>the</w:t>
      </w:r>
      <w:r w:rsidR="00FF41A0">
        <w:rPr>
          <w:color w:val="000000" w:themeColor="text1"/>
          <w:sz w:val="20"/>
          <w:szCs w:val="20"/>
        </w:rPr>
        <w:t xml:space="preserve"> </w:t>
      </w:r>
      <w:r w:rsidR="00E7232B" w:rsidRPr="0037538E">
        <w:rPr>
          <w:color w:val="000000" w:themeColor="text1"/>
          <w:sz w:val="20"/>
          <w:szCs w:val="20"/>
        </w:rPr>
        <w:t>national</w:t>
      </w:r>
      <w:r w:rsidR="00FF41A0">
        <w:rPr>
          <w:color w:val="000000" w:themeColor="text1"/>
          <w:sz w:val="20"/>
          <w:szCs w:val="20"/>
        </w:rPr>
        <w:t xml:space="preserve"> </w:t>
      </w:r>
      <w:r w:rsidR="00E7232B" w:rsidRPr="0037538E">
        <w:rPr>
          <w:color w:val="000000" w:themeColor="text1"/>
          <w:sz w:val="20"/>
          <w:szCs w:val="20"/>
        </w:rPr>
        <w:t>human</w:t>
      </w:r>
      <w:r w:rsidR="00FF41A0">
        <w:rPr>
          <w:color w:val="000000" w:themeColor="text1"/>
          <w:sz w:val="20"/>
          <w:szCs w:val="20"/>
        </w:rPr>
        <w:t xml:space="preserve"> </w:t>
      </w:r>
      <w:r w:rsidR="00E7232B" w:rsidRPr="0037538E">
        <w:rPr>
          <w:color w:val="000000" w:themeColor="text1"/>
          <w:sz w:val="20"/>
          <w:szCs w:val="20"/>
        </w:rPr>
        <w:t>rights</w:t>
      </w:r>
      <w:r w:rsidR="00FF41A0">
        <w:rPr>
          <w:color w:val="000000" w:themeColor="text1"/>
          <w:sz w:val="20"/>
          <w:szCs w:val="20"/>
        </w:rPr>
        <w:t xml:space="preserve"> </w:t>
      </w:r>
      <w:r w:rsidR="00E7232B" w:rsidRPr="0037538E">
        <w:rPr>
          <w:color w:val="000000" w:themeColor="text1"/>
          <w:sz w:val="20"/>
          <w:szCs w:val="20"/>
        </w:rPr>
        <w:t>institution,</w:t>
      </w:r>
      <w:r w:rsidR="00FF41A0">
        <w:rPr>
          <w:color w:val="000000" w:themeColor="text1"/>
          <w:sz w:val="20"/>
          <w:szCs w:val="20"/>
        </w:rPr>
        <w:t xml:space="preserve"> </w:t>
      </w:r>
      <w:r w:rsidR="00E7232B" w:rsidRPr="0037538E">
        <w:rPr>
          <w:color w:val="000000" w:themeColor="text1"/>
          <w:sz w:val="20"/>
          <w:szCs w:val="20"/>
        </w:rPr>
        <w:t>Independent</w:t>
      </w:r>
      <w:r w:rsidR="00FF41A0">
        <w:rPr>
          <w:color w:val="000000" w:themeColor="text1"/>
          <w:sz w:val="20"/>
          <w:szCs w:val="20"/>
        </w:rPr>
        <w:t xml:space="preserve"> </w:t>
      </w:r>
      <w:r w:rsidR="00E7232B" w:rsidRPr="0037538E">
        <w:rPr>
          <w:color w:val="000000" w:themeColor="text1"/>
          <w:sz w:val="20"/>
          <w:szCs w:val="20"/>
        </w:rPr>
        <w:t>Commission</w:t>
      </w:r>
      <w:r w:rsidR="00FF41A0">
        <w:rPr>
          <w:color w:val="000000" w:themeColor="text1"/>
          <w:sz w:val="20"/>
          <w:szCs w:val="20"/>
        </w:rPr>
        <w:t xml:space="preserve"> </w:t>
      </w:r>
      <w:r w:rsidR="00E7232B" w:rsidRPr="0037538E">
        <w:rPr>
          <w:color w:val="000000" w:themeColor="text1"/>
          <w:sz w:val="20"/>
          <w:szCs w:val="20"/>
        </w:rPr>
        <w:t>for</w:t>
      </w:r>
      <w:r w:rsidR="00FF41A0">
        <w:rPr>
          <w:color w:val="000000" w:themeColor="text1"/>
          <w:sz w:val="20"/>
          <w:szCs w:val="20"/>
        </w:rPr>
        <w:t xml:space="preserve"> </w:t>
      </w:r>
      <w:r w:rsidR="00E7232B" w:rsidRPr="0037538E">
        <w:rPr>
          <w:color w:val="000000" w:themeColor="text1"/>
          <w:sz w:val="20"/>
          <w:szCs w:val="20"/>
        </w:rPr>
        <w:t>Human</w:t>
      </w:r>
      <w:r w:rsidR="00FF41A0">
        <w:rPr>
          <w:color w:val="000000" w:themeColor="text1"/>
          <w:sz w:val="20"/>
          <w:szCs w:val="20"/>
        </w:rPr>
        <w:t xml:space="preserve"> </w:t>
      </w:r>
      <w:r w:rsidR="00E7232B" w:rsidRPr="0037538E">
        <w:rPr>
          <w:color w:val="000000" w:themeColor="text1"/>
          <w:sz w:val="20"/>
          <w:szCs w:val="20"/>
        </w:rPr>
        <w:t>Rights</w:t>
      </w:r>
      <w:r w:rsidR="00FF41A0">
        <w:rPr>
          <w:color w:val="000000" w:themeColor="text1"/>
          <w:sz w:val="20"/>
          <w:szCs w:val="20"/>
        </w:rPr>
        <w:t xml:space="preserve"> </w:t>
      </w:r>
      <w:r w:rsidR="00E350C4">
        <w:rPr>
          <w:color w:val="000000" w:themeColor="text1"/>
          <w:sz w:val="20"/>
          <w:szCs w:val="20"/>
        </w:rPr>
        <w:t>o</w:t>
      </w:r>
      <w:r w:rsidR="00EF420D">
        <w:rPr>
          <w:color w:val="000000" w:themeColor="text1"/>
          <w:sz w:val="20"/>
          <w:szCs w:val="20"/>
        </w:rPr>
        <w:t>f</w:t>
      </w:r>
      <w:r w:rsidR="00FF41A0">
        <w:rPr>
          <w:color w:val="000000" w:themeColor="text1"/>
          <w:sz w:val="20"/>
          <w:szCs w:val="20"/>
        </w:rPr>
        <w:t xml:space="preserve"> </w:t>
      </w:r>
      <w:r w:rsidR="00E350C4">
        <w:rPr>
          <w:color w:val="000000" w:themeColor="text1"/>
          <w:sz w:val="20"/>
          <w:szCs w:val="20"/>
        </w:rPr>
        <w:t>the</w:t>
      </w:r>
      <w:r w:rsidR="00FF41A0">
        <w:rPr>
          <w:color w:val="000000" w:themeColor="text1"/>
          <w:sz w:val="20"/>
          <w:szCs w:val="20"/>
        </w:rPr>
        <w:t xml:space="preserve"> </w:t>
      </w:r>
      <w:r w:rsidR="00E350C4">
        <w:rPr>
          <w:color w:val="000000" w:themeColor="text1"/>
          <w:sz w:val="20"/>
          <w:szCs w:val="20"/>
        </w:rPr>
        <w:t>State</w:t>
      </w:r>
      <w:r w:rsidR="00FF41A0">
        <w:rPr>
          <w:color w:val="000000" w:themeColor="text1"/>
          <w:sz w:val="20"/>
          <w:szCs w:val="20"/>
        </w:rPr>
        <w:t xml:space="preserve"> </w:t>
      </w:r>
      <w:r w:rsidR="00E350C4">
        <w:rPr>
          <w:color w:val="000000" w:themeColor="text1"/>
          <w:sz w:val="20"/>
          <w:szCs w:val="20"/>
        </w:rPr>
        <w:t>of</w:t>
      </w:r>
      <w:r w:rsidR="00FF41A0">
        <w:rPr>
          <w:color w:val="000000" w:themeColor="text1"/>
          <w:sz w:val="20"/>
          <w:szCs w:val="20"/>
        </w:rPr>
        <w:t xml:space="preserve"> </w:t>
      </w:r>
      <w:r w:rsidR="00E7232B" w:rsidRPr="0037538E">
        <w:rPr>
          <w:color w:val="000000" w:themeColor="text1"/>
          <w:sz w:val="20"/>
          <w:szCs w:val="20"/>
        </w:rPr>
        <w:t>Palestine,</w:t>
      </w:r>
      <w:r w:rsidR="00FF41A0">
        <w:rPr>
          <w:color w:val="000000" w:themeColor="text1"/>
          <w:sz w:val="20"/>
          <w:szCs w:val="20"/>
        </w:rPr>
        <w:t xml:space="preserve"> </w:t>
      </w:r>
      <w:r w:rsidR="00E7232B" w:rsidRPr="0037538E">
        <w:rPr>
          <w:color w:val="000000" w:themeColor="text1"/>
          <w:sz w:val="20"/>
          <w:szCs w:val="20"/>
        </w:rPr>
        <w:t>made</w:t>
      </w:r>
      <w:r w:rsidR="00FF41A0">
        <w:rPr>
          <w:color w:val="000000" w:themeColor="text1"/>
          <w:sz w:val="20"/>
          <w:szCs w:val="20"/>
        </w:rPr>
        <w:t xml:space="preserve"> </w:t>
      </w:r>
      <w:r w:rsidR="00E7232B" w:rsidRPr="0037538E">
        <w:rPr>
          <w:color w:val="000000" w:themeColor="text1"/>
          <w:sz w:val="20"/>
          <w:szCs w:val="20"/>
        </w:rPr>
        <w:t>a</w:t>
      </w:r>
      <w:r w:rsidR="00FF41A0">
        <w:rPr>
          <w:color w:val="000000" w:themeColor="text1"/>
          <w:sz w:val="20"/>
          <w:szCs w:val="20"/>
        </w:rPr>
        <w:t xml:space="preserve"> </w:t>
      </w:r>
      <w:r w:rsidR="00E7232B" w:rsidRPr="0037538E">
        <w:rPr>
          <w:color w:val="000000" w:themeColor="text1"/>
          <w:sz w:val="20"/>
          <w:szCs w:val="20"/>
        </w:rPr>
        <w:t>statement.</w:t>
      </w:r>
    </w:p>
    <w:p w14:paraId="2EA58D40" w14:textId="529E4A18" w:rsidR="00F11B08" w:rsidRPr="0037538E" w:rsidRDefault="001D5DB2" w:rsidP="00F11B08">
      <w:pPr>
        <w:pStyle w:val="SingleTxtG"/>
        <w:rPr>
          <w:color w:val="000000" w:themeColor="text1"/>
          <w:sz w:val="20"/>
          <w:szCs w:val="20"/>
        </w:rPr>
      </w:pPr>
      <w:r>
        <w:rPr>
          <w:color w:val="000000" w:themeColor="text1"/>
          <w:sz w:val="20"/>
          <w:szCs w:val="20"/>
        </w:rPr>
        <w:t>920</w:t>
      </w:r>
      <w:r w:rsidR="00631107" w:rsidRPr="0037538E">
        <w:rPr>
          <w:color w:val="000000" w:themeColor="text1"/>
          <w:sz w:val="20"/>
          <w:szCs w:val="20"/>
        </w:rPr>
        <w:t>.</w:t>
      </w:r>
      <w:r w:rsidR="00F40C0A" w:rsidRPr="0037538E">
        <w:rPr>
          <w:color w:val="000000" w:themeColor="text1"/>
          <w:sz w:val="20"/>
          <w:szCs w:val="20"/>
        </w:rPr>
        <w:tab/>
      </w:r>
      <w:r w:rsidR="00F11B08" w:rsidRPr="0037538E">
        <w:rPr>
          <w:color w:val="000000" w:themeColor="text1"/>
          <w:sz w:val="20"/>
          <w:szCs w:val="20"/>
        </w:rPr>
        <w:t>During</w:t>
      </w:r>
      <w:r w:rsidR="00FF41A0">
        <w:rPr>
          <w:color w:val="000000" w:themeColor="text1"/>
          <w:sz w:val="20"/>
          <w:szCs w:val="20"/>
        </w:rPr>
        <w:t xml:space="preserve"> </w:t>
      </w:r>
      <w:r w:rsidR="00F11B08" w:rsidRPr="0037538E">
        <w:rPr>
          <w:color w:val="000000" w:themeColor="text1"/>
          <w:sz w:val="20"/>
          <w:szCs w:val="20"/>
        </w:rPr>
        <w:t>the</w:t>
      </w:r>
      <w:r w:rsidR="00FF41A0">
        <w:rPr>
          <w:color w:val="000000" w:themeColor="text1"/>
          <w:sz w:val="20"/>
          <w:szCs w:val="20"/>
        </w:rPr>
        <w:t xml:space="preserve"> </w:t>
      </w:r>
      <w:r w:rsidR="00F11B08" w:rsidRPr="0037538E">
        <w:rPr>
          <w:color w:val="000000" w:themeColor="text1"/>
          <w:sz w:val="20"/>
          <w:szCs w:val="20"/>
        </w:rPr>
        <w:t>ensuing</w:t>
      </w:r>
      <w:r w:rsidR="00FF41A0">
        <w:rPr>
          <w:color w:val="000000" w:themeColor="text1"/>
          <w:sz w:val="20"/>
          <w:szCs w:val="20"/>
        </w:rPr>
        <w:t xml:space="preserve"> </w:t>
      </w:r>
      <w:r w:rsidR="00F11B08" w:rsidRPr="0037538E">
        <w:rPr>
          <w:color w:val="000000" w:themeColor="text1"/>
          <w:sz w:val="20"/>
          <w:szCs w:val="20"/>
        </w:rPr>
        <w:t>interactive</w:t>
      </w:r>
      <w:r w:rsidR="00FF41A0">
        <w:rPr>
          <w:color w:val="000000" w:themeColor="text1"/>
          <w:sz w:val="20"/>
          <w:szCs w:val="20"/>
        </w:rPr>
        <w:t xml:space="preserve"> </w:t>
      </w:r>
      <w:r w:rsidR="00F11B08" w:rsidRPr="0037538E">
        <w:rPr>
          <w:color w:val="000000" w:themeColor="text1"/>
          <w:sz w:val="20"/>
          <w:szCs w:val="20"/>
        </w:rPr>
        <w:t>dialogue</w:t>
      </w:r>
      <w:r w:rsidR="00A5462A" w:rsidRPr="0037538E">
        <w:rPr>
          <w:color w:val="000000" w:themeColor="text1"/>
          <w:sz w:val="20"/>
          <w:szCs w:val="20"/>
        </w:rPr>
        <w:t>,</w:t>
      </w:r>
      <w:r w:rsidR="00FF41A0">
        <w:rPr>
          <w:color w:val="000000" w:themeColor="text1"/>
          <w:sz w:val="20"/>
          <w:szCs w:val="20"/>
        </w:rPr>
        <w:t xml:space="preserve"> </w:t>
      </w:r>
      <w:r w:rsidR="00F11B08" w:rsidRPr="0037538E">
        <w:rPr>
          <w:color w:val="000000" w:themeColor="text1"/>
          <w:sz w:val="20"/>
          <w:szCs w:val="20"/>
        </w:rPr>
        <w:t>at</w:t>
      </w:r>
      <w:r w:rsidR="00FF41A0">
        <w:rPr>
          <w:color w:val="000000" w:themeColor="text1"/>
          <w:sz w:val="20"/>
          <w:szCs w:val="20"/>
        </w:rPr>
        <w:t xml:space="preserve"> </w:t>
      </w:r>
      <w:r w:rsidR="00F11B08" w:rsidRPr="0037538E">
        <w:rPr>
          <w:color w:val="000000" w:themeColor="text1"/>
          <w:sz w:val="20"/>
          <w:szCs w:val="20"/>
        </w:rPr>
        <w:t>the</w:t>
      </w:r>
      <w:r w:rsidR="00FF41A0">
        <w:rPr>
          <w:color w:val="000000" w:themeColor="text1"/>
          <w:sz w:val="20"/>
          <w:szCs w:val="20"/>
        </w:rPr>
        <w:t xml:space="preserve"> </w:t>
      </w:r>
      <w:r w:rsidR="00F11B08" w:rsidRPr="0037538E">
        <w:rPr>
          <w:color w:val="000000" w:themeColor="text1"/>
          <w:sz w:val="20"/>
          <w:szCs w:val="20"/>
        </w:rPr>
        <w:t>same</w:t>
      </w:r>
      <w:r w:rsidR="00FF41A0">
        <w:rPr>
          <w:color w:val="000000" w:themeColor="text1"/>
          <w:sz w:val="20"/>
          <w:szCs w:val="20"/>
        </w:rPr>
        <w:t xml:space="preserve"> </w:t>
      </w:r>
      <w:r w:rsidR="00F11B08" w:rsidRPr="0037538E">
        <w:rPr>
          <w:color w:val="000000" w:themeColor="text1"/>
          <w:sz w:val="20"/>
          <w:szCs w:val="20"/>
        </w:rPr>
        <w:t>meeting,</w:t>
      </w:r>
      <w:r w:rsidR="00FF41A0">
        <w:rPr>
          <w:color w:val="000000" w:themeColor="text1"/>
          <w:sz w:val="20"/>
          <w:szCs w:val="20"/>
        </w:rPr>
        <w:t xml:space="preserve"> </w:t>
      </w:r>
      <w:r w:rsidR="00A5462A" w:rsidRPr="0037538E">
        <w:rPr>
          <w:color w:val="000000" w:themeColor="text1"/>
          <w:sz w:val="20"/>
          <w:szCs w:val="20"/>
        </w:rPr>
        <w:t>on</w:t>
      </w:r>
      <w:r w:rsidR="00FF41A0">
        <w:rPr>
          <w:color w:val="000000" w:themeColor="text1"/>
          <w:sz w:val="20"/>
          <w:szCs w:val="20"/>
        </w:rPr>
        <w:t xml:space="preserve"> </w:t>
      </w:r>
      <w:r w:rsidR="00A5462A" w:rsidRPr="0037538E">
        <w:rPr>
          <w:color w:val="000000" w:themeColor="text1"/>
          <w:sz w:val="20"/>
          <w:szCs w:val="20"/>
        </w:rPr>
        <w:t>the</w:t>
      </w:r>
      <w:r w:rsidR="00FF41A0">
        <w:rPr>
          <w:color w:val="000000" w:themeColor="text1"/>
          <w:sz w:val="20"/>
          <w:szCs w:val="20"/>
        </w:rPr>
        <w:t xml:space="preserve"> </w:t>
      </w:r>
      <w:r w:rsidR="00A5462A" w:rsidRPr="0037538E">
        <w:rPr>
          <w:color w:val="000000" w:themeColor="text1"/>
          <w:sz w:val="20"/>
          <w:szCs w:val="20"/>
        </w:rPr>
        <w:t>same</w:t>
      </w:r>
      <w:r w:rsidR="00FF41A0">
        <w:rPr>
          <w:color w:val="000000" w:themeColor="text1"/>
          <w:sz w:val="20"/>
          <w:szCs w:val="20"/>
        </w:rPr>
        <w:t xml:space="preserve"> </w:t>
      </w:r>
      <w:r w:rsidR="00A5462A" w:rsidRPr="0037538E">
        <w:rPr>
          <w:color w:val="000000" w:themeColor="text1"/>
          <w:sz w:val="20"/>
          <w:szCs w:val="20"/>
        </w:rPr>
        <w:t>day,</w:t>
      </w:r>
      <w:r w:rsidR="00FF41A0">
        <w:rPr>
          <w:color w:val="000000" w:themeColor="text1"/>
          <w:sz w:val="20"/>
          <w:szCs w:val="20"/>
        </w:rPr>
        <w:t xml:space="preserve"> </w:t>
      </w:r>
      <w:r w:rsidR="00F11B08" w:rsidRPr="0037538E">
        <w:rPr>
          <w:color w:val="000000" w:themeColor="text1"/>
          <w:sz w:val="20"/>
          <w:szCs w:val="20"/>
        </w:rPr>
        <w:t>the</w:t>
      </w:r>
      <w:r w:rsidR="00FF41A0">
        <w:rPr>
          <w:color w:val="000000" w:themeColor="text1"/>
          <w:sz w:val="20"/>
          <w:szCs w:val="20"/>
        </w:rPr>
        <w:t xml:space="preserve"> </w:t>
      </w:r>
      <w:r w:rsidR="00F11B08" w:rsidRPr="0037538E">
        <w:rPr>
          <w:color w:val="000000" w:themeColor="text1"/>
          <w:sz w:val="20"/>
          <w:szCs w:val="20"/>
        </w:rPr>
        <w:t>following</w:t>
      </w:r>
      <w:r w:rsidR="00FF41A0">
        <w:rPr>
          <w:color w:val="000000" w:themeColor="text1"/>
          <w:sz w:val="20"/>
          <w:szCs w:val="20"/>
        </w:rPr>
        <w:t xml:space="preserve"> </w:t>
      </w:r>
      <w:r w:rsidR="00F11B08" w:rsidRPr="0037538E">
        <w:rPr>
          <w:color w:val="000000" w:themeColor="text1"/>
          <w:sz w:val="20"/>
          <w:szCs w:val="20"/>
        </w:rPr>
        <w:t>made</w:t>
      </w:r>
      <w:r w:rsidR="00FF41A0">
        <w:rPr>
          <w:color w:val="000000" w:themeColor="text1"/>
          <w:sz w:val="20"/>
          <w:szCs w:val="20"/>
        </w:rPr>
        <w:t xml:space="preserve"> </w:t>
      </w:r>
      <w:r w:rsidR="00F11B08" w:rsidRPr="0037538E">
        <w:rPr>
          <w:color w:val="000000" w:themeColor="text1"/>
          <w:sz w:val="20"/>
          <w:szCs w:val="20"/>
        </w:rPr>
        <w:t>statements</w:t>
      </w:r>
      <w:r w:rsidR="00FF41A0">
        <w:rPr>
          <w:color w:val="000000" w:themeColor="text1"/>
          <w:sz w:val="20"/>
          <w:szCs w:val="20"/>
        </w:rPr>
        <w:t xml:space="preserve"> </w:t>
      </w:r>
      <w:r w:rsidR="00F11B08" w:rsidRPr="0037538E">
        <w:rPr>
          <w:color w:val="000000" w:themeColor="text1"/>
          <w:sz w:val="20"/>
          <w:szCs w:val="20"/>
        </w:rPr>
        <w:t>and</w:t>
      </w:r>
      <w:r w:rsidR="00FF41A0">
        <w:rPr>
          <w:color w:val="000000" w:themeColor="text1"/>
          <w:sz w:val="20"/>
          <w:szCs w:val="20"/>
        </w:rPr>
        <w:t xml:space="preserve"> </w:t>
      </w:r>
      <w:r w:rsidR="00F11B08" w:rsidRPr="0037538E">
        <w:rPr>
          <w:color w:val="000000" w:themeColor="text1"/>
          <w:sz w:val="20"/>
          <w:szCs w:val="20"/>
        </w:rPr>
        <w:t>asked</w:t>
      </w:r>
      <w:r w:rsidR="00FF41A0">
        <w:rPr>
          <w:color w:val="000000" w:themeColor="text1"/>
          <w:sz w:val="20"/>
          <w:szCs w:val="20"/>
        </w:rPr>
        <w:t xml:space="preserve"> </w:t>
      </w:r>
      <w:r w:rsidR="00F11B08" w:rsidRPr="0037538E">
        <w:rPr>
          <w:color w:val="000000" w:themeColor="text1"/>
          <w:sz w:val="20"/>
          <w:szCs w:val="20"/>
        </w:rPr>
        <w:t>the</w:t>
      </w:r>
      <w:r w:rsidR="00FF41A0">
        <w:rPr>
          <w:color w:val="000000" w:themeColor="text1"/>
          <w:sz w:val="20"/>
          <w:szCs w:val="20"/>
        </w:rPr>
        <w:t xml:space="preserve"> </w:t>
      </w:r>
      <w:r w:rsidR="00F11B08" w:rsidRPr="0037538E">
        <w:rPr>
          <w:color w:val="000000" w:themeColor="text1"/>
          <w:sz w:val="20"/>
          <w:szCs w:val="20"/>
        </w:rPr>
        <w:t>Special</w:t>
      </w:r>
      <w:r w:rsidR="00FF41A0">
        <w:rPr>
          <w:color w:val="000000" w:themeColor="text1"/>
          <w:sz w:val="20"/>
          <w:szCs w:val="20"/>
        </w:rPr>
        <w:t xml:space="preserve"> </w:t>
      </w:r>
      <w:r w:rsidR="00F11B08" w:rsidRPr="0037538E">
        <w:rPr>
          <w:color w:val="000000" w:themeColor="text1"/>
          <w:sz w:val="20"/>
          <w:szCs w:val="20"/>
        </w:rPr>
        <w:t>Rapporteur</w:t>
      </w:r>
      <w:r w:rsidR="00FF41A0">
        <w:rPr>
          <w:color w:val="000000" w:themeColor="text1"/>
          <w:sz w:val="20"/>
          <w:szCs w:val="20"/>
        </w:rPr>
        <w:t xml:space="preserve"> </w:t>
      </w:r>
      <w:r w:rsidR="00F11B08" w:rsidRPr="0037538E">
        <w:rPr>
          <w:color w:val="000000" w:themeColor="text1"/>
          <w:sz w:val="20"/>
          <w:szCs w:val="20"/>
        </w:rPr>
        <w:t>questions:</w:t>
      </w:r>
    </w:p>
    <w:p w14:paraId="5EE82353" w14:textId="295E031E" w:rsidR="0086715E" w:rsidRPr="0037538E" w:rsidRDefault="00F11B08" w:rsidP="00F11B08">
      <w:pPr>
        <w:pStyle w:val="SingleTxtG"/>
        <w:ind w:firstLine="567"/>
        <w:rPr>
          <w:color w:val="000000" w:themeColor="text1"/>
          <w:sz w:val="20"/>
          <w:szCs w:val="20"/>
        </w:rPr>
      </w:pPr>
      <w:r w:rsidRPr="0037538E">
        <w:rPr>
          <w:color w:val="000000" w:themeColor="text1"/>
          <w:sz w:val="20"/>
          <w:szCs w:val="20"/>
        </w:rPr>
        <w:t>(a)</w:t>
      </w:r>
      <w:r w:rsidRPr="0037538E">
        <w:rPr>
          <w:color w:val="000000" w:themeColor="text1"/>
          <w:sz w:val="20"/>
          <w:szCs w:val="20"/>
        </w:rPr>
        <w:tab/>
        <w:t>Representatives</w:t>
      </w:r>
      <w:r w:rsidR="00FF41A0">
        <w:rPr>
          <w:color w:val="000000" w:themeColor="text1"/>
          <w:sz w:val="20"/>
          <w:szCs w:val="20"/>
        </w:rPr>
        <w:t xml:space="preserve"> </w:t>
      </w:r>
      <w:r w:rsidRPr="0037538E">
        <w:rPr>
          <w:color w:val="000000" w:themeColor="text1"/>
          <w:sz w:val="20"/>
          <w:szCs w:val="20"/>
        </w:rPr>
        <w:t>of</w:t>
      </w:r>
      <w:r w:rsidR="00FF41A0">
        <w:rPr>
          <w:color w:val="000000" w:themeColor="text1"/>
          <w:sz w:val="20"/>
          <w:szCs w:val="20"/>
        </w:rPr>
        <w:t xml:space="preserve"> </w:t>
      </w:r>
      <w:r w:rsidR="005D3E5F">
        <w:rPr>
          <w:color w:val="000000" w:themeColor="text1"/>
          <w:sz w:val="20"/>
          <w:szCs w:val="20"/>
        </w:rPr>
        <w:t>States</w:t>
      </w:r>
      <w:r w:rsidR="00FF41A0">
        <w:rPr>
          <w:color w:val="000000" w:themeColor="text1"/>
          <w:sz w:val="20"/>
          <w:szCs w:val="20"/>
        </w:rPr>
        <w:t xml:space="preserve"> </w:t>
      </w:r>
      <w:r w:rsidR="005D3E5F">
        <w:rPr>
          <w:color w:val="000000" w:themeColor="text1"/>
          <w:sz w:val="20"/>
          <w:szCs w:val="20"/>
        </w:rPr>
        <w:t>Members</w:t>
      </w:r>
      <w:r w:rsidR="00FF41A0">
        <w:rPr>
          <w:color w:val="000000" w:themeColor="text1"/>
          <w:sz w:val="20"/>
          <w:szCs w:val="20"/>
        </w:rPr>
        <w:t xml:space="preserve"> </w:t>
      </w:r>
      <w:r w:rsidRPr="0037538E">
        <w:rPr>
          <w:color w:val="000000" w:themeColor="text1"/>
          <w:sz w:val="20"/>
          <w:szCs w:val="20"/>
        </w:rPr>
        <w:t>of</w:t>
      </w:r>
      <w:r w:rsidR="00FF41A0">
        <w:rPr>
          <w:color w:val="000000" w:themeColor="text1"/>
          <w:sz w:val="20"/>
          <w:szCs w:val="20"/>
        </w:rPr>
        <w:t xml:space="preserve"> </w:t>
      </w:r>
      <w:r w:rsidRPr="0037538E">
        <w:rPr>
          <w:color w:val="000000" w:themeColor="text1"/>
          <w:sz w:val="20"/>
          <w:szCs w:val="20"/>
        </w:rPr>
        <w:t>the</w:t>
      </w:r>
      <w:r w:rsidR="00FF41A0">
        <w:rPr>
          <w:color w:val="000000" w:themeColor="text1"/>
          <w:sz w:val="20"/>
          <w:szCs w:val="20"/>
        </w:rPr>
        <w:t xml:space="preserve"> </w:t>
      </w:r>
      <w:r w:rsidRPr="0037538E">
        <w:rPr>
          <w:color w:val="000000" w:themeColor="text1"/>
          <w:sz w:val="20"/>
          <w:szCs w:val="20"/>
        </w:rPr>
        <w:t>Human</w:t>
      </w:r>
      <w:r w:rsidR="00FF41A0">
        <w:rPr>
          <w:color w:val="000000" w:themeColor="text1"/>
          <w:sz w:val="20"/>
          <w:szCs w:val="20"/>
        </w:rPr>
        <w:t xml:space="preserve"> </w:t>
      </w:r>
      <w:r w:rsidRPr="0037538E">
        <w:rPr>
          <w:color w:val="000000" w:themeColor="text1"/>
          <w:sz w:val="20"/>
          <w:szCs w:val="20"/>
        </w:rPr>
        <w:t>Rights</w:t>
      </w:r>
      <w:r w:rsidR="00FF41A0">
        <w:rPr>
          <w:color w:val="000000" w:themeColor="text1"/>
          <w:sz w:val="20"/>
          <w:szCs w:val="20"/>
        </w:rPr>
        <w:t xml:space="preserve"> </w:t>
      </w:r>
      <w:r w:rsidRPr="0037538E">
        <w:rPr>
          <w:color w:val="000000" w:themeColor="text1"/>
          <w:sz w:val="20"/>
          <w:szCs w:val="20"/>
        </w:rPr>
        <w:t>Council:</w:t>
      </w:r>
      <w:r w:rsidR="00FF41A0">
        <w:rPr>
          <w:color w:val="000000" w:themeColor="text1"/>
          <w:sz w:val="20"/>
          <w:szCs w:val="20"/>
        </w:rPr>
        <w:t xml:space="preserve"> </w:t>
      </w:r>
      <w:r w:rsidR="00DC1770" w:rsidRPr="00DC1770">
        <w:rPr>
          <w:color w:val="000000" w:themeColor="text1"/>
          <w:sz w:val="20"/>
          <w:szCs w:val="20"/>
        </w:rPr>
        <w:t>Afghanistan</w:t>
      </w:r>
      <w:r w:rsidR="00DC1770">
        <w:rPr>
          <w:color w:val="000000" w:themeColor="text1"/>
          <w:sz w:val="20"/>
          <w:szCs w:val="20"/>
        </w:rPr>
        <w:t>,</w:t>
      </w:r>
      <w:r w:rsidR="00FF41A0">
        <w:rPr>
          <w:color w:val="000000" w:themeColor="text1"/>
          <w:sz w:val="20"/>
          <w:szCs w:val="20"/>
        </w:rPr>
        <w:t xml:space="preserve"> </w:t>
      </w:r>
      <w:r w:rsidR="00DC1770" w:rsidRPr="00DC1770">
        <w:rPr>
          <w:color w:val="000000" w:themeColor="text1"/>
          <w:sz w:val="20"/>
          <w:szCs w:val="20"/>
        </w:rPr>
        <w:t>Angola</w:t>
      </w:r>
      <w:r w:rsidR="00FF41A0">
        <w:rPr>
          <w:color w:val="000000" w:themeColor="text1"/>
          <w:sz w:val="20"/>
          <w:szCs w:val="20"/>
        </w:rPr>
        <w:t xml:space="preserve"> </w:t>
      </w:r>
      <w:r w:rsidR="00DC1770">
        <w:rPr>
          <w:color w:val="000000" w:themeColor="text1"/>
          <w:sz w:val="20"/>
          <w:szCs w:val="20"/>
        </w:rPr>
        <w:t>(</w:t>
      </w:r>
      <w:r w:rsidR="00DC1770" w:rsidRPr="00DC1770">
        <w:rPr>
          <w:color w:val="000000" w:themeColor="text1"/>
          <w:sz w:val="20"/>
          <w:szCs w:val="20"/>
        </w:rPr>
        <w:t>on</w:t>
      </w:r>
      <w:r w:rsidR="00FF41A0">
        <w:rPr>
          <w:color w:val="000000" w:themeColor="text1"/>
          <w:sz w:val="20"/>
          <w:szCs w:val="20"/>
        </w:rPr>
        <w:t xml:space="preserve"> </w:t>
      </w:r>
      <w:r w:rsidR="00DC1770" w:rsidRPr="00DC1770">
        <w:rPr>
          <w:color w:val="000000" w:themeColor="text1"/>
          <w:sz w:val="20"/>
          <w:szCs w:val="20"/>
        </w:rPr>
        <w:t>behalf</w:t>
      </w:r>
      <w:r w:rsidR="00FF41A0">
        <w:rPr>
          <w:color w:val="000000" w:themeColor="text1"/>
          <w:sz w:val="20"/>
          <w:szCs w:val="20"/>
        </w:rPr>
        <w:t xml:space="preserve"> </w:t>
      </w:r>
      <w:r w:rsidR="00DC1770" w:rsidRPr="00DC1770">
        <w:rPr>
          <w:color w:val="000000" w:themeColor="text1"/>
          <w:sz w:val="20"/>
          <w:szCs w:val="20"/>
        </w:rPr>
        <w:t>of</w:t>
      </w:r>
      <w:r w:rsidR="00FF41A0">
        <w:rPr>
          <w:color w:val="000000" w:themeColor="text1"/>
          <w:sz w:val="20"/>
          <w:szCs w:val="20"/>
        </w:rPr>
        <w:t xml:space="preserve"> </w:t>
      </w:r>
      <w:r w:rsidR="00DC1770" w:rsidRPr="00DC1770">
        <w:rPr>
          <w:color w:val="000000" w:themeColor="text1"/>
          <w:sz w:val="20"/>
          <w:szCs w:val="20"/>
        </w:rPr>
        <w:t>the</w:t>
      </w:r>
      <w:r w:rsidR="00FF41A0">
        <w:rPr>
          <w:color w:val="000000" w:themeColor="text1"/>
          <w:sz w:val="20"/>
          <w:szCs w:val="20"/>
        </w:rPr>
        <w:t xml:space="preserve"> </w:t>
      </w:r>
      <w:r w:rsidR="00DC1770" w:rsidRPr="00DC1770">
        <w:rPr>
          <w:color w:val="000000" w:themeColor="text1"/>
          <w:sz w:val="20"/>
          <w:szCs w:val="20"/>
        </w:rPr>
        <w:t>Group</w:t>
      </w:r>
      <w:r w:rsidR="00FF41A0">
        <w:rPr>
          <w:color w:val="000000" w:themeColor="text1"/>
          <w:sz w:val="20"/>
          <w:szCs w:val="20"/>
        </w:rPr>
        <w:t xml:space="preserve"> </w:t>
      </w:r>
      <w:r w:rsidR="00DC1770">
        <w:rPr>
          <w:color w:val="000000" w:themeColor="text1"/>
          <w:sz w:val="20"/>
          <w:szCs w:val="20"/>
        </w:rPr>
        <w:t>of</w:t>
      </w:r>
      <w:r w:rsidR="00FF41A0">
        <w:rPr>
          <w:color w:val="000000" w:themeColor="text1"/>
          <w:sz w:val="20"/>
          <w:szCs w:val="20"/>
        </w:rPr>
        <w:t xml:space="preserve"> </w:t>
      </w:r>
      <w:r w:rsidR="00DC1770" w:rsidRPr="00DC1770">
        <w:rPr>
          <w:color w:val="000000" w:themeColor="text1"/>
          <w:sz w:val="20"/>
          <w:szCs w:val="20"/>
        </w:rPr>
        <w:t>African</w:t>
      </w:r>
      <w:r w:rsidR="00FF41A0">
        <w:rPr>
          <w:color w:val="000000" w:themeColor="text1"/>
          <w:sz w:val="20"/>
          <w:szCs w:val="20"/>
        </w:rPr>
        <w:t xml:space="preserve"> </w:t>
      </w:r>
      <w:r w:rsidR="00DC1770">
        <w:rPr>
          <w:color w:val="000000" w:themeColor="text1"/>
          <w:sz w:val="20"/>
          <w:szCs w:val="20"/>
        </w:rPr>
        <w:t>States),</w:t>
      </w:r>
      <w:r w:rsidR="00FF41A0">
        <w:rPr>
          <w:color w:val="000000" w:themeColor="text1"/>
          <w:sz w:val="20"/>
          <w:szCs w:val="20"/>
        </w:rPr>
        <w:t xml:space="preserve"> </w:t>
      </w:r>
      <w:r w:rsidR="00DC1770" w:rsidRPr="00DC1770">
        <w:rPr>
          <w:color w:val="000000" w:themeColor="text1"/>
          <w:sz w:val="20"/>
          <w:szCs w:val="20"/>
        </w:rPr>
        <w:t>Bahrain</w:t>
      </w:r>
      <w:r w:rsidR="00FF41A0">
        <w:rPr>
          <w:color w:val="000000" w:themeColor="text1"/>
          <w:sz w:val="20"/>
          <w:szCs w:val="20"/>
        </w:rPr>
        <w:t xml:space="preserve"> </w:t>
      </w:r>
      <w:r w:rsidR="00DC1770">
        <w:rPr>
          <w:color w:val="000000" w:themeColor="text1"/>
          <w:sz w:val="20"/>
          <w:szCs w:val="20"/>
        </w:rPr>
        <w:t>(also</w:t>
      </w:r>
      <w:r w:rsidR="00FF41A0">
        <w:rPr>
          <w:color w:val="000000" w:themeColor="text1"/>
          <w:sz w:val="20"/>
          <w:szCs w:val="20"/>
        </w:rPr>
        <w:t xml:space="preserve"> </w:t>
      </w:r>
      <w:r w:rsidR="00DC1770" w:rsidRPr="00DC1770">
        <w:rPr>
          <w:color w:val="000000" w:themeColor="text1"/>
          <w:sz w:val="20"/>
          <w:szCs w:val="20"/>
        </w:rPr>
        <w:t>on</w:t>
      </w:r>
      <w:r w:rsidR="00FF41A0">
        <w:rPr>
          <w:color w:val="000000" w:themeColor="text1"/>
          <w:sz w:val="20"/>
          <w:szCs w:val="20"/>
        </w:rPr>
        <w:t xml:space="preserve"> </w:t>
      </w:r>
      <w:r w:rsidR="00DC1770" w:rsidRPr="00DC1770">
        <w:rPr>
          <w:color w:val="000000" w:themeColor="text1"/>
          <w:sz w:val="20"/>
          <w:szCs w:val="20"/>
        </w:rPr>
        <w:t>behalf</w:t>
      </w:r>
      <w:r w:rsidR="00FF41A0">
        <w:rPr>
          <w:color w:val="000000" w:themeColor="text1"/>
          <w:sz w:val="20"/>
          <w:szCs w:val="20"/>
        </w:rPr>
        <w:t xml:space="preserve"> </w:t>
      </w:r>
      <w:r w:rsidR="00DC1770" w:rsidRPr="00DC1770">
        <w:rPr>
          <w:color w:val="000000" w:themeColor="text1"/>
          <w:sz w:val="20"/>
          <w:szCs w:val="20"/>
        </w:rPr>
        <w:t>of</w:t>
      </w:r>
      <w:r w:rsidR="00FF41A0">
        <w:rPr>
          <w:color w:val="000000" w:themeColor="text1"/>
          <w:sz w:val="20"/>
          <w:szCs w:val="20"/>
        </w:rPr>
        <w:t xml:space="preserve"> </w:t>
      </w:r>
      <w:r w:rsidR="00DC1770" w:rsidRPr="00DC1770">
        <w:rPr>
          <w:color w:val="000000" w:themeColor="text1"/>
          <w:sz w:val="20"/>
          <w:szCs w:val="20"/>
        </w:rPr>
        <w:t>the</w:t>
      </w:r>
      <w:r w:rsidR="00FF41A0">
        <w:rPr>
          <w:color w:val="000000" w:themeColor="text1"/>
          <w:sz w:val="20"/>
          <w:szCs w:val="20"/>
        </w:rPr>
        <w:t xml:space="preserve"> </w:t>
      </w:r>
      <w:r w:rsidR="00DC1770" w:rsidRPr="00DC1770">
        <w:rPr>
          <w:color w:val="000000" w:themeColor="text1"/>
          <w:sz w:val="20"/>
          <w:szCs w:val="20"/>
        </w:rPr>
        <w:t>Group</w:t>
      </w:r>
      <w:r w:rsidR="00FF41A0">
        <w:rPr>
          <w:color w:val="000000" w:themeColor="text1"/>
          <w:sz w:val="20"/>
          <w:szCs w:val="20"/>
        </w:rPr>
        <w:t xml:space="preserve"> </w:t>
      </w:r>
      <w:r w:rsidR="00DC1770">
        <w:rPr>
          <w:color w:val="000000" w:themeColor="text1"/>
          <w:sz w:val="20"/>
          <w:szCs w:val="20"/>
        </w:rPr>
        <w:t>of</w:t>
      </w:r>
      <w:r w:rsidR="00FF41A0">
        <w:rPr>
          <w:color w:val="000000" w:themeColor="text1"/>
          <w:sz w:val="20"/>
          <w:szCs w:val="20"/>
        </w:rPr>
        <w:t xml:space="preserve"> </w:t>
      </w:r>
      <w:r w:rsidR="00DC1770" w:rsidRPr="00DC1770">
        <w:rPr>
          <w:color w:val="000000" w:themeColor="text1"/>
          <w:sz w:val="20"/>
          <w:szCs w:val="20"/>
        </w:rPr>
        <w:t>Arab</w:t>
      </w:r>
      <w:r w:rsidR="00FF41A0">
        <w:rPr>
          <w:color w:val="000000" w:themeColor="text1"/>
          <w:sz w:val="20"/>
          <w:szCs w:val="20"/>
        </w:rPr>
        <w:t xml:space="preserve"> </w:t>
      </w:r>
      <w:r w:rsidR="00DC1770">
        <w:rPr>
          <w:color w:val="000000" w:themeColor="text1"/>
          <w:sz w:val="20"/>
          <w:szCs w:val="20"/>
        </w:rPr>
        <w:t>States),</w:t>
      </w:r>
      <w:r w:rsidR="00FF41A0">
        <w:rPr>
          <w:color w:val="000000" w:themeColor="text1"/>
          <w:sz w:val="20"/>
          <w:szCs w:val="20"/>
        </w:rPr>
        <w:t xml:space="preserve"> </w:t>
      </w:r>
      <w:r w:rsidR="00DC1770" w:rsidRPr="00DC1770">
        <w:rPr>
          <w:color w:val="000000" w:themeColor="text1"/>
          <w:sz w:val="20"/>
          <w:szCs w:val="20"/>
        </w:rPr>
        <w:t>Bangladesh</w:t>
      </w:r>
      <w:r w:rsidR="00DC1770">
        <w:rPr>
          <w:color w:val="000000" w:themeColor="text1"/>
          <w:sz w:val="20"/>
          <w:szCs w:val="20"/>
        </w:rPr>
        <w:t>,</w:t>
      </w:r>
      <w:r w:rsidR="00FF41A0">
        <w:rPr>
          <w:color w:val="000000" w:themeColor="text1"/>
          <w:sz w:val="20"/>
          <w:szCs w:val="20"/>
        </w:rPr>
        <w:t xml:space="preserve"> </w:t>
      </w:r>
      <w:r w:rsidR="00DC1770" w:rsidRPr="00DC1770">
        <w:rPr>
          <w:color w:val="000000" w:themeColor="text1"/>
          <w:sz w:val="20"/>
          <w:szCs w:val="20"/>
        </w:rPr>
        <w:t>Cuba</w:t>
      </w:r>
      <w:r w:rsidR="00DC1770">
        <w:rPr>
          <w:color w:val="000000" w:themeColor="text1"/>
          <w:sz w:val="20"/>
          <w:szCs w:val="20"/>
        </w:rPr>
        <w:t>,</w:t>
      </w:r>
      <w:r w:rsidR="00FF41A0">
        <w:rPr>
          <w:color w:val="000000" w:themeColor="text1"/>
          <w:sz w:val="20"/>
          <w:szCs w:val="20"/>
        </w:rPr>
        <w:t xml:space="preserve"> </w:t>
      </w:r>
      <w:r w:rsidR="00DC1770" w:rsidRPr="00DC1770">
        <w:rPr>
          <w:color w:val="000000" w:themeColor="text1"/>
          <w:sz w:val="20"/>
          <w:szCs w:val="20"/>
        </w:rPr>
        <w:t>Egypt</w:t>
      </w:r>
      <w:r w:rsidR="00DC1770">
        <w:rPr>
          <w:color w:val="000000" w:themeColor="text1"/>
          <w:sz w:val="20"/>
          <w:szCs w:val="20"/>
        </w:rPr>
        <w:t>,</w:t>
      </w:r>
      <w:r w:rsidR="00FF41A0">
        <w:rPr>
          <w:color w:val="000000" w:themeColor="text1"/>
          <w:sz w:val="20"/>
          <w:szCs w:val="20"/>
        </w:rPr>
        <w:t xml:space="preserve"> </w:t>
      </w:r>
      <w:r w:rsidR="00DC1770" w:rsidRPr="00DC1770">
        <w:rPr>
          <w:color w:val="000000" w:themeColor="text1"/>
          <w:sz w:val="20"/>
          <w:szCs w:val="20"/>
        </w:rPr>
        <w:t>Iraq</w:t>
      </w:r>
      <w:r w:rsidR="00DC1770">
        <w:rPr>
          <w:color w:val="000000" w:themeColor="text1"/>
          <w:sz w:val="20"/>
          <w:szCs w:val="20"/>
        </w:rPr>
        <w:t>,</w:t>
      </w:r>
      <w:r w:rsidR="00FF41A0">
        <w:rPr>
          <w:color w:val="000000" w:themeColor="text1"/>
          <w:sz w:val="20"/>
          <w:szCs w:val="20"/>
        </w:rPr>
        <w:t xml:space="preserve"> </w:t>
      </w:r>
      <w:r w:rsidR="00DC1770" w:rsidRPr="00DC1770">
        <w:rPr>
          <w:color w:val="000000" w:themeColor="text1"/>
          <w:sz w:val="20"/>
          <w:szCs w:val="20"/>
        </w:rPr>
        <w:t>Pakistan</w:t>
      </w:r>
      <w:r w:rsidR="00FF41A0">
        <w:rPr>
          <w:color w:val="000000" w:themeColor="text1"/>
          <w:sz w:val="20"/>
          <w:szCs w:val="20"/>
        </w:rPr>
        <w:t xml:space="preserve"> </w:t>
      </w:r>
      <w:r w:rsidR="00DC1770">
        <w:rPr>
          <w:color w:val="000000" w:themeColor="text1"/>
          <w:sz w:val="20"/>
          <w:szCs w:val="20"/>
        </w:rPr>
        <w:t>(also</w:t>
      </w:r>
      <w:r w:rsidR="00FF41A0">
        <w:rPr>
          <w:color w:val="000000" w:themeColor="text1"/>
          <w:sz w:val="20"/>
          <w:szCs w:val="20"/>
        </w:rPr>
        <w:t xml:space="preserve"> </w:t>
      </w:r>
      <w:r w:rsidR="00DC1770" w:rsidRPr="00DC1770">
        <w:rPr>
          <w:color w:val="000000" w:themeColor="text1"/>
          <w:sz w:val="20"/>
          <w:szCs w:val="20"/>
        </w:rPr>
        <w:t>on</w:t>
      </w:r>
      <w:r w:rsidR="00FF41A0">
        <w:rPr>
          <w:color w:val="000000" w:themeColor="text1"/>
          <w:sz w:val="20"/>
          <w:szCs w:val="20"/>
        </w:rPr>
        <w:t xml:space="preserve"> </w:t>
      </w:r>
      <w:r w:rsidR="00DC1770" w:rsidRPr="00DC1770">
        <w:rPr>
          <w:color w:val="000000" w:themeColor="text1"/>
          <w:sz w:val="20"/>
          <w:szCs w:val="20"/>
        </w:rPr>
        <w:t>behalf</w:t>
      </w:r>
      <w:r w:rsidR="00FF41A0">
        <w:rPr>
          <w:color w:val="000000" w:themeColor="text1"/>
          <w:sz w:val="20"/>
          <w:szCs w:val="20"/>
        </w:rPr>
        <w:t xml:space="preserve"> </w:t>
      </w:r>
      <w:r w:rsidR="00DC1770" w:rsidRPr="00DC1770">
        <w:rPr>
          <w:color w:val="000000" w:themeColor="text1"/>
          <w:sz w:val="20"/>
          <w:szCs w:val="20"/>
        </w:rPr>
        <w:t>of</w:t>
      </w:r>
      <w:r w:rsidR="00FF41A0">
        <w:rPr>
          <w:color w:val="000000" w:themeColor="text1"/>
          <w:sz w:val="20"/>
          <w:szCs w:val="20"/>
        </w:rPr>
        <w:t xml:space="preserve"> </w:t>
      </w:r>
      <w:r w:rsidR="00DC1770" w:rsidRPr="00DC1770">
        <w:rPr>
          <w:color w:val="000000" w:themeColor="text1"/>
          <w:sz w:val="20"/>
          <w:szCs w:val="20"/>
        </w:rPr>
        <w:t>the</w:t>
      </w:r>
      <w:r w:rsidR="00FF41A0">
        <w:rPr>
          <w:color w:val="000000" w:themeColor="text1"/>
          <w:sz w:val="20"/>
          <w:szCs w:val="20"/>
        </w:rPr>
        <w:t xml:space="preserve"> </w:t>
      </w:r>
      <w:r w:rsidR="00DC1770" w:rsidRPr="00DC1770">
        <w:rPr>
          <w:color w:val="000000" w:themeColor="text1"/>
          <w:sz w:val="20"/>
          <w:szCs w:val="20"/>
        </w:rPr>
        <w:t>Organiza</w:t>
      </w:r>
      <w:r w:rsidR="00DC1770">
        <w:rPr>
          <w:color w:val="000000" w:themeColor="text1"/>
          <w:sz w:val="20"/>
          <w:szCs w:val="20"/>
        </w:rPr>
        <w:t>tion</w:t>
      </w:r>
      <w:r w:rsidR="00FF41A0">
        <w:rPr>
          <w:color w:val="000000" w:themeColor="text1"/>
          <w:sz w:val="20"/>
          <w:szCs w:val="20"/>
        </w:rPr>
        <w:t xml:space="preserve"> </w:t>
      </w:r>
      <w:r w:rsidR="00DC1770">
        <w:rPr>
          <w:color w:val="000000" w:themeColor="text1"/>
          <w:sz w:val="20"/>
          <w:szCs w:val="20"/>
        </w:rPr>
        <w:t>of</w:t>
      </w:r>
      <w:r w:rsidR="00FF41A0">
        <w:rPr>
          <w:color w:val="000000" w:themeColor="text1"/>
          <w:sz w:val="20"/>
          <w:szCs w:val="20"/>
        </w:rPr>
        <w:t xml:space="preserve"> </w:t>
      </w:r>
      <w:r w:rsidR="00DC1770">
        <w:rPr>
          <w:color w:val="000000" w:themeColor="text1"/>
          <w:sz w:val="20"/>
          <w:szCs w:val="20"/>
        </w:rPr>
        <w:t>Islamic</w:t>
      </w:r>
      <w:r w:rsidR="00FF41A0">
        <w:rPr>
          <w:color w:val="000000" w:themeColor="text1"/>
          <w:sz w:val="20"/>
          <w:szCs w:val="20"/>
        </w:rPr>
        <w:t xml:space="preserve"> </w:t>
      </w:r>
      <w:r w:rsidR="00DC1770">
        <w:rPr>
          <w:color w:val="000000" w:themeColor="text1"/>
          <w:sz w:val="20"/>
          <w:szCs w:val="20"/>
        </w:rPr>
        <w:t>Cooperation</w:t>
      </w:r>
      <w:r w:rsidR="00DC1770" w:rsidRPr="00DC1770">
        <w:rPr>
          <w:color w:val="000000" w:themeColor="text1"/>
          <w:sz w:val="20"/>
          <w:szCs w:val="20"/>
        </w:rPr>
        <w:t>)</w:t>
      </w:r>
      <w:r w:rsidR="00DC1770">
        <w:rPr>
          <w:color w:val="000000" w:themeColor="text1"/>
          <w:sz w:val="20"/>
          <w:szCs w:val="20"/>
        </w:rPr>
        <w:t>,</w:t>
      </w:r>
      <w:r w:rsidR="00FF41A0">
        <w:rPr>
          <w:color w:val="000000" w:themeColor="text1"/>
          <w:sz w:val="20"/>
          <w:szCs w:val="20"/>
        </w:rPr>
        <w:t xml:space="preserve"> </w:t>
      </w:r>
      <w:r w:rsidR="00DC1770" w:rsidRPr="00DC1770">
        <w:rPr>
          <w:color w:val="000000" w:themeColor="text1"/>
          <w:sz w:val="20"/>
          <w:szCs w:val="20"/>
        </w:rPr>
        <w:t>Qatar</w:t>
      </w:r>
      <w:r w:rsidR="00DC1770">
        <w:rPr>
          <w:color w:val="000000" w:themeColor="text1"/>
          <w:sz w:val="20"/>
          <w:szCs w:val="20"/>
        </w:rPr>
        <w:t>,</w:t>
      </w:r>
      <w:r w:rsidR="00FF41A0">
        <w:rPr>
          <w:color w:val="000000" w:themeColor="text1"/>
          <w:sz w:val="20"/>
          <w:szCs w:val="20"/>
        </w:rPr>
        <w:t xml:space="preserve"> </w:t>
      </w:r>
      <w:r w:rsidR="00DC1770" w:rsidRPr="00DC1770">
        <w:rPr>
          <w:color w:val="000000" w:themeColor="text1"/>
          <w:sz w:val="20"/>
          <w:szCs w:val="20"/>
        </w:rPr>
        <w:t>Saudi</w:t>
      </w:r>
      <w:r w:rsidR="00FF41A0">
        <w:rPr>
          <w:color w:val="000000" w:themeColor="text1"/>
          <w:sz w:val="20"/>
          <w:szCs w:val="20"/>
        </w:rPr>
        <w:t xml:space="preserve"> </w:t>
      </w:r>
      <w:r w:rsidR="00DC1770" w:rsidRPr="00DC1770">
        <w:rPr>
          <w:color w:val="000000" w:themeColor="text1"/>
          <w:sz w:val="20"/>
          <w:szCs w:val="20"/>
        </w:rPr>
        <w:t>Arabia</w:t>
      </w:r>
      <w:r w:rsidR="00DC1770">
        <w:rPr>
          <w:color w:val="000000" w:themeColor="text1"/>
          <w:sz w:val="20"/>
          <w:szCs w:val="20"/>
        </w:rPr>
        <w:t>,</w:t>
      </w:r>
      <w:r w:rsidR="00FF41A0">
        <w:rPr>
          <w:color w:val="000000" w:themeColor="text1"/>
          <w:sz w:val="20"/>
          <w:szCs w:val="20"/>
        </w:rPr>
        <w:t xml:space="preserve"> </w:t>
      </w:r>
      <w:r w:rsidR="00DC1770" w:rsidRPr="00DC1770">
        <w:rPr>
          <w:color w:val="000000" w:themeColor="text1"/>
          <w:sz w:val="20"/>
          <w:szCs w:val="20"/>
        </w:rPr>
        <w:t>Tunisia</w:t>
      </w:r>
      <w:r w:rsidR="00DC1770">
        <w:rPr>
          <w:color w:val="000000" w:themeColor="text1"/>
          <w:sz w:val="20"/>
          <w:szCs w:val="20"/>
        </w:rPr>
        <w:t>,</w:t>
      </w:r>
      <w:r w:rsidR="00FF41A0">
        <w:rPr>
          <w:color w:val="000000" w:themeColor="text1"/>
          <w:sz w:val="20"/>
          <w:szCs w:val="20"/>
        </w:rPr>
        <w:t xml:space="preserve"> </w:t>
      </w:r>
      <w:r w:rsidR="00DC1770" w:rsidRPr="00DC1770">
        <w:rPr>
          <w:color w:val="000000" w:themeColor="text1"/>
          <w:sz w:val="20"/>
          <w:szCs w:val="20"/>
        </w:rPr>
        <w:t>Venezuela</w:t>
      </w:r>
      <w:r w:rsidR="00FF41A0">
        <w:rPr>
          <w:color w:val="000000" w:themeColor="text1"/>
          <w:sz w:val="20"/>
          <w:szCs w:val="20"/>
        </w:rPr>
        <w:t xml:space="preserve"> </w:t>
      </w:r>
      <w:r w:rsidR="00DC1770" w:rsidRPr="00DC1770">
        <w:rPr>
          <w:color w:val="000000" w:themeColor="text1"/>
          <w:sz w:val="20"/>
          <w:szCs w:val="20"/>
        </w:rPr>
        <w:t>(Bolivarian</w:t>
      </w:r>
      <w:r w:rsidR="00FF41A0">
        <w:rPr>
          <w:color w:val="000000" w:themeColor="text1"/>
          <w:sz w:val="20"/>
          <w:szCs w:val="20"/>
        </w:rPr>
        <w:t xml:space="preserve"> </w:t>
      </w:r>
      <w:r w:rsidR="00DC1770" w:rsidRPr="00DC1770">
        <w:rPr>
          <w:color w:val="000000" w:themeColor="text1"/>
          <w:sz w:val="20"/>
          <w:szCs w:val="20"/>
        </w:rPr>
        <w:t>Republic</w:t>
      </w:r>
      <w:r w:rsidR="00FF41A0">
        <w:rPr>
          <w:color w:val="000000" w:themeColor="text1"/>
          <w:sz w:val="20"/>
          <w:szCs w:val="20"/>
        </w:rPr>
        <w:t xml:space="preserve"> </w:t>
      </w:r>
      <w:r w:rsidR="00DC1770" w:rsidRPr="00DC1770">
        <w:rPr>
          <w:color w:val="000000" w:themeColor="text1"/>
          <w:sz w:val="20"/>
          <w:szCs w:val="20"/>
        </w:rPr>
        <w:t>of</w:t>
      </w:r>
      <w:proofErr w:type="gramStart"/>
      <w:r w:rsidR="00DC1770" w:rsidRPr="00DC1770">
        <w:rPr>
          <w:color w:val="000000" w:themeColor="text1"/>
          <w:sz w:val="20"/>
          <w:szCs w:val="20"/>
        </w:rPr>
        <w:t>)</w:t>
      </w:r>
      <w:proofErr w:type="gramEnd"/>
      <w:r w:rsidR="000943B0">
        <w:rPr>
          <w:rStyle w:val="FootnoteReference"/>
          <w:color w:val="000000" w:themeColor="text1"/>
          <w:szCs w:val="20"/>
        </w:rPr>
        <w:footnoteReference w:id="64"/>
      </w:r>
      <w:r w:rsidR="00FF41A0">
        <w:rPr>
          <w:rStyle w:val="FootnoteReference"/>
          <w:color w:val="000000" w:themeColor="text1"/>
          <w:sz w:val="20"/>
          <w:szCs w:val="20"/>
        </w:rPr>
        <w:t xml:space="preserve"> </w:t>
      </w:r>
      <w:r w:rsidR="00E350C4" w:rsidRPr="0067399B">
        <w:rPr>
          <w:color w:val="000000" w:themeColor="text1"/>
          <w:sz w:val="20"/>
          <w:szCs w:val="20"/>
        </w:rPr>
        <w:t>(on</w:t>
      </w:r>
      <w:r w:rsidR="00FF41A0">
        <w:rPr>
          <w:color w:val="000000" w:themeColor="text1"/>
          <w:sz w:val="20"/>
          <w:szCs w:val="20"/>
        </w:rPr>
        <w:t xml:space="preserve"> </w:t>
      </w:r>
      <w:r w:rsidR="00E350C4" w:rsidRPr="0067399B">
        <w:rPr>
          <w:color w:val="000000" w:themeColor="text1"/>
          <w:sz w:val="20"/>
          <w:szCs w:val="20"/>
        </w:rPr>
        <w:t>behalf</w:t>
      </w:r>
      <w:r w:rsidR="00FF41A0">
        <w:rPr>
          <w:color w:val="000000" w:themeColor="text1"/>
          <w:sz w:val="20"/>
          <w:szCs w:val="20"/>
        </w:rPr>
        <w:t xml:space="preserve"> </w:t>
      </w:r>
      <w:r w:rsidR="00E350C4" w:rsidRPr="0067399B">
        <w:rPr>
          <w:color w:val="000000" w:themeColor="text1"/>
          <w:sz w:val="20"/>
          <w:szCs w:val="20"/>
        </w:rPr>
        <w:t>of</w:t>
      </w:r>
      <w:r w:rsidR="00FF41A0">
        <w:rPr>
          <w:color w:val="000000" w:themeColor="text1"/>
          <w:sz w:val="20"/>
          <w:szCs w:val="20"/>
        </w:rPr>
        <w:t xml:space="preserve"> </w:t>
      </w:r>
      <w:r w:rsidR="00E350C4" w:rsidRPr="0067399B">
        <w:rPr>
          <w:color w:val="000000" w:themeColor="text1"/>
          <w:sz w:val="20"/>
          <w:szCs w:val="20"/>
        </w:rPr>
        <w:t>the</w:t>
      </w:r>
      <w:r w:rsidR="00FF41A0">
        <w:rPr>
          <w:color w:val="000000" w:themeColor="text1"/>
          <w:sz w:val="20"/>
          <w:szCs w:val="20"/>
        </w:rPr>
        <w:t xml:space="preserve"> </w:t>
      </w:r>
      <w:r w:rsidR="00E350C4" w:rsidRPr="0040040E">
        <w:rPr>
          <w:color w:val="000000" w:themeColor="text1"/>
          <w:sz w:val="20"/>
          <w:szCs w:val="20"/>
        </w:rPr>
        <w:t>Movement</w:t>
      </w:r>
      <w:r w:rsidR="00FF41A0">
        <w:rPr>
          <w:color w:val="000000" w:themeColor="text1"/>
          <w:sz w:val="20"/>
          <w:szCs w:val="20"/>
        </w:rPr>
        <w:t xml:space="preserve"> </w:t>
      </w:r>
      <w:r w:rsidR="00E350C4" w:rsidRPr="0040040E">
        <w:rPr>
          <w:color w:val="000000" w:themeColor="text1"/>
          <w:sz w:val="20"/>
          <w:szCs w:val="20"/>
        </w:rPr>
        <w:t>of</w:t>
      </w:r>
      <w:r w:rsidR="00FF41A0">
        <w:rPr>
          <w:color w:val="000000" w:themeColor="text1"/>
          <w:sz w:val="20"/>
          <w:szCs w:val="20"/>
        </w:rPr>
        <w:t xml:space="preserve"> </w:t>
      </w:r>
      <w:r w:rsidR="00E350C4" w:rsidRPr="0040040E">
        <w:rPr>
          <w:color w:val="000000" w:themeColor="text1"/>
          <w:sz w:val="20"/>
          <w:szCs w:val="20"/>
        </w:rPr>
        <w:t>Non-Aligned</w:t>
      </w:r>
      <w:r w:rsidR="00FF41A0">
        <w:rPr>
          <w:color w:val="000000" w:themeColor="text1"/>
          <w:sz w:val="20"/>
          <w:szCs w:val="20"/>
        </w:rPr>
        <w:t xml:space="preserve"> </w:t>
      </w:r>
      <w:r w:rsidR="00E350C4" w:rsidRPr="0040040E">
        <w:rPr>
          <w:color w:val="000000" w:themeColor="text1"/>
          <w:sz w:val="20"/>
          <w:szCs w:val="20"/>
        </w:rPr>
        <w:t>Countries</w:t>
      </w:r>
      <w:r w:rsidR="00FF41A0">
        <w:rPr>
          <w:color w:val="000000" w:themeColor="text1"/>
          <w:sz w:val="20"/>
          <w:szCs w:val="20"/>
        </w:rPr>
        <w:t xml:space="preserve"> </w:t>
      </w:r>
      <w:r w:rsidR="00E350C4">
        <w:rPr>
          <w:color w:val="000000" w:themeColor="text1"/>
          <w:sz w:val="20"/>
          <w:szCs w:val="20"/>
        </w:rPr>
        <w:t>except</w:t>
      </w:r>
      <w:r w:rsidR="00FF41A0">
        <w:rPr>
          <w:color w:val="000000" w:themeColor="text1"/>
          <w:sz w:val="20"/>
          <w:szCs w:val="20"/>
        </w:rPr>
        <w:t xml:space="preserve"> </w:t>
      </w:r>
      <w:r w:rsidR="00E350C4" w:rsidRPr="00BE3BC7">
        <w:rPr>
          <w:color w:val="000000" w:themeColor="text1"/>
          <w:sz w:val="20"/>
          <w:szCs w:val="20"/>
        </w:rPr>
        <w:t>Colombia,</w:t>
      </w:r>
      <w:r w:rsidR="00FF41A0">
        <w:rPr>
          <w:color w:val="000000" w:themeColor="text1"/>
          <w:sz w:val="20"/>
          <w:szCs w:val="20"/>
        </w:rPr>
        <w:t xml:space="preserve"> </w:t>
      </w:r>
      <w:r w:rsidR="00E350C4" w:rsidRPr="00BE3BC7">
        <w:rPr>
          <w:color w:val="000000" w:themeColor="text1"/>
          <w:sz w:val="20"/>
          <w:szCs w:val="20"/>
        </w:rPr>
        <w:t>Ecuador</w:t>
      </w:r>
      <w:r w:rsidR="00FF41A0">
        <w:rPr>
          <w:color w:val="000000" w:themeColor="text1"/>
          <w:sz w:val="20"/>
          <w:szCs w:val="20"/>
        </w:rPr>
        <w:t xml:space="preserve"> </w:t>
      </w:r>
      <w:r w:rsidR="00E350C4" w:rsidRPr="00BE3BC7">
        <w:rPr>
          <w:color w:val="000000" w:themeColor="text1"/>
          <w:sz w:val="20"/>
          <w:szCs w:val="20"/>
        </w:rPr>
        <w:t>and</w:t>
      </w:r>
      <w:r w:rsidR="00FF41A0">
        <w:rPr>
          <w:color w:val="000000" w:themeColor="text1"/>
          <w:sz w:val="20"/>
          <w:szCs w:val="20"/>
        </w:rPr>
        <w:t xml:space="preserve"> </w:t>
      </w:r>
      <w:r w:rsidR="00E350C4" w:rsidRPr="00BE3BC7">
        <w:rPr>
          <w:color w:val="000000" w:themeColor="text1"/>
          <w:sz w:val="20"/>
          <w:szCs w:val="20"/>
        </w:rPr>
        <w:t>Peru</w:t>
      </w:r>
      <w:r w:rsidR="00E350C4" w:rsidRPr="0067399B">
        <w:rPr>
          <w:color w:val="000000" w:themeColor="text1"/>
          <w:sz w:val="20"/>
          <w:szCs w:val="20"/>
        </w:rPr>
        <w:t>)</w:t>
      </w:r>
      <w:r w:rsidR="00E350C4">
        <w:rPr>
          <w:color w:val="000000" w:themeColor="text1"/>
          <w:sz w:val="20"/>
          <w:szCs w:val="20"/>
        </w:rPr>
        <w:t>;</w:t>
      </w:r>
    </w:p>
    <w:p w14:paraId="2EA58D42" w14:textId="79ABEE14" w:rsidR="00F11B08" w:rsidRPr="0037538E" w:rsidRDefault="00F11B08" w:rsidP="0086715E">
      <w:pPr>
        <w:pStyle w:val="SingleTxtG"/>
        <w:ind w:firstLine="567"/>
        <w:rPr>
          <w:color w:val="000000" w:themeColor="text1"/>
          <w:sz w:val="20"/>
          <w:szCs w:val="20"/>
        </w:rPr>
      </w:pPr>
      <w:r w:rsidRPr="0037538E">
        <w:rPr>
          <w:color w:val="000000" w:themeColor="text1"/>
          <w:sz w:val="20"/>
          <w:szCs w:val="20"/>
        </w:rPr>
        <w:t>(b)</w:t>
      </w:r>
      <w:r w:rsidRPr="0037538E">
        <w:rPr>
          <w:color w:val="000000" w:themeColor="text1"/>
          <w:sz w:val="20"/>
          <w:szCs w:val="20"/>
        </w:rPr>
        <w:tab/>
        <w:t>Representatives</w:t>
      </w:r>
      <w:r w:rsidR="00FF41A0">
        <w:rPr>
          <w:color w:val="000000" w:themeColor="text1"/>
          <w:sz w:val="20"/>
          <w:szCs w:val="20"/>
        </w:rPr>
        <w:t xml:space="preserve"> </w:t>
      </w:r>
      <w:r w:rsidRPr="0037538E">
        <w:rPr>
          <w:color w:val="000000" w:themeColor="text1"/>
          <w:sz w:val="20"/>
          <w:szCs w:val="20"/>
        </w:rPr>
        <w:t>of</w:t>
      </w:r>
      <w:r w:rsidR="00FF41A0">
        <w:rPr>
          <w:color w:val="000000" w:themeColor="text1"/>
          <w:sz w:val="20"/>
          <w:szCs w:val="20"/>
        </w:rPr>
        <w:t xml:space="preserve"> </w:t>
      </w:r>
      <w:r w:rsidRPr="0037538E">
        <w:rPr>
          <w:color w:val="000000" w:themeColor="text1"/>
          <w:sz w:val="20"/>
          <w:szCs w:val="20"/>
        </w:rPr>
        <w:t>observer</w:t>
      </w:r>
      <w:r w:rsidR="00FF41A0">
        <w:rPr>
          <w:color w:val="000000" w:themeColor="text1"/>
          <w:sz w:val="20"/>
          <w:szCs w:val="20"/>
        </w:rPr>
        <w:t xml:space="preserve"> </w:t>
      </w:r>
      <w:r w:rsidRPr="0037538E">
        <w:rPr>
          <w:color w:val="000000" w:themeColor="text1"/>
          <w:sz w:val="20"/>
          <w:szCs w:val="20"/>
        </w:rPr>
        <w:t>States:</w:t>
      </w:r>
      <w:r w:rsidR="00FF41A0">
        <w:rPr>
          <w:color w:val="000000" w:themeColor="text1"/>
          <w:sz w:val="20"/>
          <w:szCs w:val="20"/>
        </w:rPr>
        <w:t xml:space="preserve"> </w:t>
      </w:r>
      <w:r w:rsidR="00E350C4" w:rsidRPr="00DC1770">
        <w:rPr>
          <w:color w:val="000000" w:themeColor="text1"/>
          <w:sz w:val="20"/>
          <w:szCs w:val="20"/>
        </w:rPr>
        <w:t>Algeria</w:t>
      </w:r>
      <w:r w:rsidR="00E350C4">
        <w:rPr>
          <w:color w:val="000000" w:themeColor="text1"/>
          <w:sz w:val="20"/>
          <w:szCs w:val="20"/>
        </w:rPr>
        <w:t>,</w:t>
      </w:r>
      <w:r w:rsidR="00FF41A0">
        <w:rPr>
          <w:color w:val="000000" w:themeColor="text1"/>
          <w:sz w:val="20"/>
          <w:szCs w:val="20"/>
        </w:rPr>
        <w:t xml:space="preserve"> </w:t>
      </w:r>
      <w:r w:rsidR="00E350C4" w:rsidRPr="00DC1770">
        <w:rPr>
          <w:color w:val="000000" w:themeColor="text1"/>
          <w:sz w:val="20"/>
          <w:szCs w:val="20"/>
        </w:rPr>
        <w:t>Bolivia</w:t>
      </w:r>
      <w:r w:rsidR="00FF41A0">
        <w:rPr>
          <w:color w:val="000000" w:themeColor="text1"/>
          <w:sz w:val="20"/>
          <w:szCs w:val="20"/>
        </w:rPr>
        <w:t xml:space="preserve"> </w:t>
      </w:r>
      <w:r w:rsidR="00E350C4" w:rsidRPr="00DC1770">
        <w:rPr>
          <w:color w:val="000000" w:themeColor="text1"/>
          <w:sz w:val="20"/>
          <w:szCs w:val="20"/>
        </w:rPr>
        <w:t>(Plurinational</w:t>
      </w:r>
      <w:r w:rsidR="00FF41A0">
        <w:rPr>
          <w:color w:val="000000" w:themeColor="text1"/>
          <w:sz w:val="20"/>
          <w:szCs w:val="20"/>
        </w:rPr>
        <w:t xml:space="preserve"> </w:t>
      </w:r>
      <w:r w:rsidR="00E350C4" w:rsidRPr="00DC1770">
        <w:rPr>
          <w:color w:val="000000" w:themeColor="text1"/>
          <w:sz w:val="20"/>
          <w:szCs w:val="20"/>
        </w:rPr>
        <w:t>State</w:t>
      </w:r>
      <w:r w:rsidR="00FF41A0">
        <w:rPr>
          <w:color w:val="000000" w:themeColor="text1"/>
          <w:sz w:val="20"/>
          <w:szCs w:val="20"/>
        </w:rPr>
        <w:t xml:space="preserve"> </w:t>
      </w:r>
      <w:r w:rsidR="00E350C4" w:rsidRPr="00DC1770">
        <w:rPr>
          <w:color w:val="000000" w:themeColor="text1"/>
          <w:sz w:val="20"/>
          <w:szCs w:val="20"/>
        </w:rPr>
        <w:t>of)</w:t>
      </w:r>
      <w:r w:rsidR="00E350C4">
        <w:rPr>
          <w:color w:val="000000" w:themeColor="text1"/>
          <w:sz w:val="20"/>
          <w:szCs w:val="20"/>
        </w:rPr>
        <w:t>,</w:t>
      </w:r>
      <w:r w:rsidR="00FF41A0">
        <w:rPr>
          <w:color w:val="000000" w:themeColor="text1"/>
          <w:sz w:val="20"/>
          <w:szCs w:val="20"/>
        </w:rPr>
        <w:t xml:space="preserve"> </w:t>
      </w:r>
      <w:r w:rsidR="00E350C4" w:rsidRPr="00DC1770">
        <w:rPr>
          <w:color w:val="000000" w:themeColor="text1"/>
          <w:sz w:val="20"/>
          <w:szCs w:val="20"/>
        </w:rPr>
        <w:t>Botswana</w:t>
      </w:r>
      <w:r w:rsidR="00E350C4">
        <w:rPr>
          <w:color w:val="000000" w:themeColor="text1"/>
          <w:sz w:val="20"/>
          <w:szCs w:val="20"/>
        </w:rPr>
        <w:t>,</w:t>
      </w:r>
      <w:r w:rsidR="00FF41A0">
        <w:rPr>
          <w:color w:val="000000" w:themeColor="text1"/>
          <w:sz w:val="20"/>
          <w:szCs w:val="20"/>
        </w:rPr>
        <w:t xml:space="preserve"> </w:t>
      </w:r>
      <w:r w:rsidR="00E350C4" w:rsidRPr="00DC1770">
        <w:rPr>
          <w:color w:val="000000" w:themeColor="text1"/>
          <w:sz w:val="20"/>
          <w:szCs w:val="20"/>
        </w:rPr>
        <w:t>Indonesia</w:t>
      </w:r>
      <w:r w:rsidR="00E350C4">
        <w:rPr>
          <w:color w:val="000000" w:themeColor="text1"/>
          <w:sz w:val="20"/>
          <w:szCs w:val="20"/>
        </w:rPr>
        <w:t>,</w:t>
      </w:r>
      <w:r w:rsidR="00FF41A0">
        <w:rPr>
          <w:color w:val="000000" w:themeColor="text1"/>
          <w:sz w:val="20"/>
          <w:szCs w:val="20"/>
        </w:rPr>
        <w:t xml:space="preserve"> </w:t>
      </w:r>
      <w:r w:rsidR="00E350C4" w:rsidRPr="00DC1770">
        <w:rPr>
          <w:color w:val="000000" w:themeColor="text1"/>
          <w:sz w:val="20"/>
          <w:szCs w:val="20"/>
        </w:rPr>
        <w:t>Iran</w:t>
      </w:r>
      <w:r w:rsidR="00FF41A0">
        <w:rPr>
          <w:color w:val="000000" w:themeColor="text1"/>
          <w:sz w:val="20"/>
          <w:szCs w:val="20"/>
        </w:rPr>
        <w:t xml:space="preserve"> </w:t>
      </w:r>
      <w:r w:rsidR="00E350C4" w:rsidRPr="00DC1770">
        <w:rPr>
          <w:color w:val="000000" w:themeColor="text1"/>
          <w:sz w:val="20"/>
          <w:szCs w:val="20"/>
        </w:rPr>
        <w:t>(Islamic</w:t>
      </w:r>
      <w:r w:rsidR="00FF41A0">
        <w:rPr>
          <w:color w:val="000000" w:themeColor="text1"/>
          <w:sz w:val="20"/>
          <w:szCs w:val="20"/>
        </w:rPr>
        <w:t xml:space="preserve"> </w:t>
      </w:r>
      <w:r w:rsidR="00E350C4" w:rsidRPr="00DC1770">
        <w:rPr>
          <w:color w:val="000000" w:themeColor="text1"/>
          <w:sz w:val="20"/>
          <w:szCs w:val="20"/>
        </w:rPr>
        <w:t>Republic</w:t>
      </w:r>
      <w:r w:rsidR="00FF41A0">
        <w:rPr>
          <w:color w:val="000000" w:themeColor="text1"/>
          <w:sz w:val="20"/>
          <w:szCs w:val="20"/>
        </w:rPr>
        <w:t xml:space="preserve"> </w:t>
      </w:r>
      <w:r w:rsidR="00E350C4" w:rsidRPr="00DC1770">
        <w:rPr>
          <w:color w:val="000000" w:themeColor="text1"/>
          <w:sz w:val="20"/>
          <w:szCs w:val="20"/>
        </w:rPr>
        <w:t>of)</w:t>
      </w:r>
      <w:r w:rsidR="00E350C4">
        <w:rPr>
          <w:color w:val="000000" w:themeColor="text1"/>
          <w:sz w:val="20"/>
          <w:szCs w:val="20"/>
        </w:rPr>
        <w:t>,</w:t>
      </w:r>
      <w:r w:rsidR="00FF41A0">
        <w:rPr>
          <w:color w:val="000000" w:themeColor="text1"/>
          <w:sz w:val="20"/>
          <w:szCs w:val="20"/>
        </w:rPr>
        <w:t xml:space="preserve"> </w:t>
      </w:r>
      <w:r w:rsidR="00E350C4" w:rsidRPr="00DC1770">
        <w:rPr>
          <w:color w:val="000000" w:themeColor="text1"/>
          <w:sz w:val="20"/>
          <w:szCs w:val="20"/>
        </w:rPr>
        <w:t>Jordan</w:t>
      </w:r>
      <w:r w:rsidR="00E350C4">
        <w:rPr>
          <w:color w:val="000000" w:themeColor="text1"/>
          <w:sz w:val="20"/>
          <w:szCs w:val="20"/>
        </w:rPr>
        <w:t>,</w:t>
      </w:r>
      <w:r w:rsidR="00FF41A0">
        <w:rPr>
          <w:color w:val="000000" w:themeColor="text1"/>
          <w:sz w:val="20"/>
          <w:szCs w:val="20"/>
        </w:rPr>
        <w:t xml:space="preserve"> </w:t>
      </w:r>
      <w:r w:rsidR="00E350C4" w:rsidRPr="00DC1770">
        <w:rPr>
          <w:color w:val="000000" w:themeColor="text1"/>
          <w:sz w:val="20"/>
          <w:szCs w:val="20"/>
        </w:rPr>
        <w:t>Kuwait</w:t>
      </w:r>
      <w:r w:rsidR="00E350C4">
        <w:rPr>
          <w:color w:val="000000" w:themeColor="text1"/>
          <w:sz w:val="20"/>
          <w:szCs w:val="20"/>
        </w:rPr>
        <w:t>,</w:t>
      </w:r>
      <w:r w:rsidR="00FF41A0">
        <w:rPr>
          <w:color w:val="000000" w:themeColor="text1"/>
          <w:sz w:val="20"/>
          <w:szCs w:val="20"/>
        </w:rPr>
        <w:t xml:space="preserve"> </w:t>
      </w:r>
      <w:r w:rsidR="00E350C4" w:rsidRPr="00DC1770">
        <w:rPr>
          <w:color w:val="000000" w:themeColor="text1"/>
          <w:sz w:val="20"/>
          <w:szCs w:val="20"/>
        </w:rPr>
        <w:t>Lebanon</w:t>
      </w:r>
      <w:r w:rsidR="00E350C4">
        <w:rPr>
          <w:color w:val="000000" w:themeColor="text1"/>
          <w:sz w:val="20"/>
          <w:szCs w:val="20"/>
        </w:rPr>
        <w:t>,</w:t>
      </w:r>
      <w:r w:rsidR="00FF41A0">
        <w:rPr>
          <w:color w:val="000000" w:themeColor="text1"/>
          <w:sz w:val="20"/>
          <w:szCs w:val="20"/>
        </w:rPr>
        <w:t xml:space="preserve"> </w:t>
      </w:r>
      <w:r w:rsidR="00E350C4" w:rsidRPr="00DC1770">
        <w:rPr>
          <w:color w:val="000000" w:themeColor="text1"/>
          <w:sz w:val="20"/>
          <w:szCs w:val="20"/>
        </w:rPr>
        <w:t>Libya</w:t>
      </w:r>
      <w:r w:rsidR="00E350C4">
        <w:rPr>
          <w:color w:val="000000" w:themeColor="text1"/>
          <w:sz w:val="20"/>
          <w:szCs w:val="20"/>
        </w:rPr>
        <w:t>,</w:t>
      </w:r>
      <w:r w:rsidR="00FF41A0">
        <w:rPr>
          <w:color w:val="000000" w:themeColor="text1"/>
          <w:sz w:val="20"/>
          <w:szCs w:val="20"/>
        </w:rPr>
        <w:t xml:space="preserve"> </w:t>
      </w:r>
      <w:r w:rsidR="00E350C4" w:rsidRPr="00DC1770">
        <w:rPr>
          <w:color w:val="000000" w:themeColor="text1"/>
          <w:sz w:val="20"/>
          <w:szCs w:val="20"/>
        </w:rPr>
        <w:t>Maldives</w:t>
      </w:r>
      <w:r w:rsidR="00E350C4">
        <w:rPr>
          <w:color w:val="000000" w:themeColor="text1"/>
          <w:sz w:val="20"/>
          <w:szCs w:val="20"/>
        </w:rPr>
        <w:t>,</w:t>
      </w:r>
      <w:r w:rsidR="00FF41A0">
        <w:rPr>
          <w:color w:val="000000" w:themeColor="text1"/>
          <w:sz w:val="20"/>
          <w:szCs w:val="20"/>
        </w:rPr>
        <w:t xml:space="preserve"> </w:t>
      </w:r>
      <w:r w:rsidR="00E350C4" w:rsidRPr="00DC1770">
        <w:rPr>
          <w:color w:val="000000" w:themeColor="text1"/>
          <w:sz w:val="20"/>
          <w:szCs w:val="20"/>
        </w:rPr>
        <w:t>Oman</w:t>
      </w:r>
      <w:r w:rsidR="00E350C4">
        <w:rPr>
          <w:color w:val="000000" w:themeColor="text1"/>
          <w:sz w:val="20"/>
          <w:szCs w:val="20"/>
        </w:rPr>
        <w:t>,</w:t>
      </w:r>
      <w:r w:rsidR="00FF41A0">
        <w:rPr>
          <w:color w:val="000000" w:themeColor="text1"/>
          <w:sz w:val="20"/>
          <w:szCs w:val="20"/>
        </w:rPr>
        <w:t xml:space="preserve"> </w:t>
      </w:r>
      <w:r w:rsidR="00E350C4" w:rsidRPr="00DC1770">
        <w:rPr>
          <w:color w:val="000000" w:themeColor="text1"/>
          <w:sz w:val="20"/>
          <w:szCs w:val="20"/>
        </w:rPr>
        <w:t>Sudan</w:t>
      </w:r>
      <w:r w:rsidR="00E350C4">
        <w:rPr>
          <w:color w:val="000000" w:themeColor="text1"/>
          <w:sz w:val="20"/>
          <w:szCs w:val="20"/>
        </w:rPr>
        <w:t>,</w:t>
      </w:r>
      <w:r w:rsidR="00FF41A0">
        <w:rPr>
          <w:color w:val="000000" w:themeColor="text1"/>
          <w:sz w:val="20"/>
          <w:szCs w:val="20"/>
        </w:rPr>
        <w:t xml:space="preserve"> </w:t>
      </w:r>
      <w:r w:rsidR="00E350C4" w:rsidRPr="00DC1770">
        <w:rPr>
          <w:color w:val="000000" w:themeColor="text1"/>
          <w:sz w:val="20"/>
          <w:szCs w:val="20"/>
        </w:rPr>
        <w:t>Turkey</w:t>
      </w:r>
      <w:r w:rsidR="00E350C4">
        <w:rPr>
          <w:color w:val="000000" w:themeColor="text1"/>
          <w:sz w:val="20"/>
          <w:szCs w:val="20"/>
        </w:rPr>
        <w:t>,</w:t>
      </w:r>
      <w:r w:rsidR="00FF41A0">
        <w:rPr>
          <w:color w:val="000000" w:themeColor="text1"/>
          <w:sz w:val="20"/>
          <w:szCs w:val="20"/>
        </w:rPr>
        <w:t xml:space="preserve"> </w:t>
      </w:r>
      <w:r w:rsidR="00E350C4" w:rsidRPr="00DC1770">
        <w:rPr>
          <w:color w:val="000000" w:themeColor="text1"/>
          <w:sz w:val="20"/>
          <w:szCs w:val="20"/>
        </w:rPr>
        <w:t>Venezuela</w:t>
      </w:r>
      <w:r w:rsidR="00FF41A0">
        <w:rPr>
          <w:color w:val="000000" w:themeColor="text1"/>
          <w:sz w:val="20"/>
          <w:szCs w:val="20"/>
        </w:rPr>
        <w:t xml:space="preserve"> </w:t>
      </w:r>
      <w:r w:rsidR="00E350C4" w:rsidRPr="00DC1770">
        <w:rPr>
          <w:color w:val="000000" w:themeColor="text1"/>
          <w:sz w:val="20"/>
          <w:szCs w:val="20"/>
        </w:rPr>
        <w:t>(Bolivarian</w:t>
      </w:r>
      <w:r w:rsidR="00FF41A0">
        <w:rPr>
          <w:color w:val="000000" w:themeColor="text1"/>
          <w:sz w:val="20"/>
          <w:szCs w:val="20"/>
        </w:rPr>
        <w:t xml:space="preserve"> </w:t>
      </w:r>
      <w:r w:rsidR="00E350C4" w:rsidRPr="00DC1770">
        <w:rPr>
          <w:color w:val="000000" w:themeColor="text1"/>
          <w:sz w:val="20"/>
          <w:szCs w:val="20"/>
        </w:rPr>
        <w:t>Republic</w:t>
      </w:r>
      <w:r w:rsidR="00FF41A0">
        <w:rPr>
          <w:color w:val="000000" w:themeColor="text1"/>
          <w:sz w:val="20"/>
          <w:szCs w:val="20"/>
        </w:rPr>
        <w:t xml:space="preserve"> </w:t>
      </w:r>
      <w:r w:rsidR="00E350C4" w:rsidRPr="00DC1770">
        <w:rPr>
          <w:color w:val="000000" w:themeColor="text1"/>
          <w:sz w:val="20"/>
          <w:szCs w:val="20"/>
        </w:rPr>
        <w:t>of)</w:t>
      </w:r>
      <w:r w:rsidR="00E350C4">
        <w:rPr>
          <w:color w:val="000000" w:themeColor="text1"/>
          <w:sz w:val="20"/>
          <w:szCs w:val="20"/>
        </w:rPr>
        <w:t>,</w:t>
      </w:r>
      <w:r w:rsidR="00FF41A0">
        <w:rPr>
          <w:color w:val="000000" w:themeColor="text1"/>
          <w:sz w:val="20"/>
          <w:szCs w:val="20"/>
        </w:rPr>
        <w:t xml:space="preserve"> </w:t>
      </w:r>
      <w:r w:rsidR="00E350C4" w:rsidRPr="00DC1770">
        <w:rPr>
          <w:color w:val="000000" w:themeColor="text1"/>
          <w:sz w:val="20"/>
          <w:szCs w:val="20"/>
        </w:rPr>
        <w:t>Zimbabwe</w:t>
      </w:r>
      <w:r w:rsidRPr="0037538E">
        <w:rPr>
          <w:color w:val="000000" w:themeColor="text1"/>
          <w:sz w:val="20"/>
          <w:szCs w:val="20"/>
        </w:rPr>
        <w:t>;</w:t>
      </w:r>
      <w:r w:rsidRPr="0037538E">
        <w:rPr>
          <w:color w:val="000000" w:themeColor="text1"/>
          <w:sz w:val="20"/>
          <w:szCs w:val="20"/>
        </w:rPr>
        <w:tab/>
      </w:r>
    </w:p>
    <w:p w14:paraId="2EA58D43" w14:textId="5F94195E" w:rsidR="00F11B08" w:rsidRPr="0037538E" w:rsidRDefault="00F11B08" w:rsidP="0086715E">
      <w:pPr>
        <w:pStyle w:val="SingleTxtG"/>
        <w:ind w:firstLine="567"/>
        <w:rPr>
          <w:color w:val="000000" w:themeColor="text1"/>
          <w:sz w:val="20"/>
          <w:szCs w:val="20"/>
        </w:rPr>
      </w:pPr>
      <w:r w:rsidRPr="0037538E">
        <w:rPr>
          <w:color w:val="000000" w:themeColor="text1"/>
          <w:sz w:val="20"/>
          <w:szCs w:val="20"/>
        </w:rPr>
        <w:t>(c)</w:t>
      </w:r>
      <w:r w:rsidRPr="0037538E">
        <w:rPr>
          <w:color w:val="000000" w:themeColor="text1"/>
          <w:sz w:val="20"/>
          <w:szCs w:val="20"/>
        </w:rPr>
        <w:tab/>
        <w:t>Observer</w:t>
      </w:r>
      <w:r w:rsidR="00FF41A0">
        <w:rPr>
          <w:color w:val="000000" w:themeColor="text1"/>
          <w:sz w:val="20"/>
          <w:szCs w:val="20"/>
        </w:rPr>
        <w:t xml:space="preserve"> </w:t>
      </w:r>
      <w:r w:rsidRPr="0037538E">
        <w:rPr>
          <w:color w:val="000000" w:themeColor="text1"/>
          <w:sz w:val="20"/>
          <w:szCs w:val="20"/>
        </w:rPr>
        <w:t>for</w:t>
      </w:r>
      <w:r w:rsidR="00FF41A0">
        <w:rPr>
          <w:color w:val="000000" w:themeColor="text1"/>
          <w:sz w:val="20"/>
          <w:szCs w:val="20"/>
        </w:rPr>
        <w:t xml:space="preserve"> </w:t>
      </w:r>
      <w:r w:rsidRPr="0037538E">
        <w:rPr>
          <w:color w:val="000000" w:themeColor="text1"/>
          <w:sz w:val="20"/>
          <w:szCs w:val="20"/>
        </w:rPr>
        <w:t>an</w:t>
      </w:r>
      <w:r w:rsidR="00FF41A0">
        <w:rPr>
          <w:color w:val="000000" w:themeColor="text1"/>
          <w:sz w:val="20"/>
          <w:szCs w:val="20"/>
        </w:rPr>
        <w:t xml:space="preserve"> </w:t>
      </w:r>
      <w:r w:rsidRPr="0037538E">
        <w:rPr>
          <w:color w:val="000000" w:themeColor="text1"/>
          <w:sz w:val="20"/>
          <w:szCs w:val="20"/>
        </w:rPr>
        <w:t>intergovernmental</w:t>
      </w:r>
      <w:r w:rsidR="00FF41A0">
        <w:rPr>
          <w:color w:val="000000" w:themeColor="text1"/>
          <w:sz w:val="20"/>
          <w:szCs w:val="20"/>
        </w:rPr>
        <w:t xml:space="preserve"> </w:t>
      </w:r>
      <w:r w:rsidRPr="0037538E">
        <w:rPr>
          <w:color w:val="000000" w:themeColor="text1"/>
          <w:sz w:val="20"/>
          <w:szCs w:val="20"/>
        </w:rPr>
        <w:t>organization:</w:t>
      </w:r>
      <w:r w:rsidR="00FF41A0">
        <w:rPr>
          <w:color w:val="000000" w:themeColor="text1"/>
          <w:sz w:val="20"/>
          <w:szCs w:val="20"/>
        </w:rPr>
        <w:t xml:space="preserve"> </w:t>
      </w:r>
      <w:r w:rsidRPr="0037538E">
        <w:rPr>
          <w:color w:val="000000" w:themeColor="text1"/>
          <w:sz w:val="20"/>
          <w:szCs w:val="20"/>
        </w:rPr>
        <w:t>European</w:t>
      </w:r>
      <w:r w:rsidR="00FF41A0">
        <w:rPr>
          <w:color w:val="000000" w:themeColor="text1"/>
          <w:sz w:val="20"/>
          <w:szCs w:val="20"/>
        </w:rPr>
        <w:t xml:space="preserve"> </w:t>
      </w:r>
      <w:r w:rsidRPr="0037538E">
        <w:rPr>
          <w:color w:val="000000" w:themeColor="text1"/>
          <w:sz w:val="20"/>
          <w:szCs w:val="20"/>
        </w:rPr>
        <w:t>Union;</w:t>
      </w:r>
    </w:p>
    <w:p w14:paraId="2EA58D44" w14:textId="40E0684C" w:rsidR="00F11B08" w:rsidRDefault="00F11B08" w:rsidP="00F11B08">
      <w:pPr>
        <w:pStyle w:val="SingleTxtG"/>
        <w:ind w:firstLine="567"/>
        <w:rPr>
          <w:color w:val="000000" w:themeColor="text1"/>
          <w:sz w:val="20"/>
          <w:szCs w:val="20"/>
        </w:rPr>
      </w:pPr>
      <w:r w:rsidRPr="0037538E">
        <w:rPr>
          <w:color w:val="000000" w:themeColor="text1"/>
          <w:sz w:val="20"/>
          <w:szCs w:val="20"/>
        </w:rPr>
        <w:t>(d)</w:t>
      </w:r>
      <w:r w:rsidRPr="0037538E">
        <w:rPr>
          <w:color w:val="000000" w:themeColor="text1"/>
          <w:sz w:val="20"/>
          <w:szCs w:val="20"/>
        </w:rPr>
        <w:tab/>
        <w:t>Observers</w:t>
      </w:r>
      <w:r w:rsidR="00FF41A0">
        <w:rPr>
          <w:color w:val="000000" w:themeColor="text1"/>
          <w:sz w:val="20"/>
          <w:szCs w:val="20"/>
        </w:rPr>
        <w:t xml:space="preserve"> </w:t>
      </w:r>
      <w:r w:rsidRPr="0037538E">
        <w:rPr>
          <w:color w:val="000000" w:themeColor="text1"/>
          <w:sz w:val="20"/>
          <w:szCs w:val="20"/>
        </w:rPr>
        <w:t>for</w:t>
      </w:r>
      <w:r w:rsidR="00FF41A0">
        <w:rPr>
          <w:color w:val="000000" w:themeColor="text1"/>
          <w:sz w:val="20"/>
          <w:szCs w:val="20"/>
        </w:rPr>
        <w:t xml:space="preserve"> </w:t>
      </w:r>
      <w:r w:rsidRPr="0037538E">
        <w:rPr>
          <w:color w:val="000000" w:themeColor="text1"/>
          <w:sz w:val="20"/>
          <w:szCs w:val="20"/>
        </w:rPr>
        <w:t>non-governmental</w:t>
      </w:r>
      <w:r w:rsidR="00FF41A0">
        <w:rPr>
          <w:color w:val="000000" w:themeColor="text1"/>
          <w:sz w:val="20"/>
          <w:szCs w:val="20"/>
        </w:rPr>
        <w:t xml:space="preserve"> </w:t>
      </w:r>
      <w:r w:rsidRPr="0037538E">
        <w:rPr>
          <w:color w:val="000000" w:themeColor="text1"/>
          <w:sz w:val="20"/>
          <w:szCs w:val="20"/>
        </w:rPr>
        <w:t>organizations:</w:t>
      </w:r>
      <w:r w:rsidR="00FF41A0">
        <w:rPr>
          <w:color w:val="000000" w:themeColor="text1"/>
          <w:sz w:val="20"/>
          <w:szCs w:val="20"/>
        </w:rPr>
        <w:t xml:space="preserve"> </w:t>
      </w:r>
      <w:r w:rsidR="00E350C4" w:rsidRPr="00E350C4">
        <w:rPr>
          <w:color w:val="000000" w:themeColor="text1"/>
          <w:sz w:val="20"/>
          <w:szCs w:val="20"/>
        </w:rPr>
        <w:t>Al-Haq,</w:t>
      </w:r>
      <w:r w:rsidR="00FF41A0">
        <w:rPr>
          <w:color w:val="000000" w:themeColor="text1"/>
          <w:sz w:val="20"/>
          <w:szCs w:val="20"/>
        </w:rPr>
        <w:t xml:space="preserve"> </w:t>
      </w:r>
      <w:r w:rsidR="00E350C4" w:rsidRPr="00E350C4">
        <w:rPr>
          <w:color w:val="000000" w:themeColor="text1"/>
          <w:sz w:val="20"/>
          <w:szCs w:val="20"/>
        </w:rPr>
        <w:t>Law</w:t>
      </w:r>
      <w:r w:rsidR="00FF41A0">
        <w:rPr>
          <w:color w:val="000000" w:themeColor="text1"/>
          <w:sz w:val="20"/>
          <w:szCs w:val="20"/>
        </w:rPr>
        <w:t xml:space="preserve"> </w:t>
      </w:r>
      <w:r w:rsidR="00E350C4" w:rsidRPr="00E350C4">
        <w:rPr>
          <w:color w:val="000000" w:themeColor="text1"/>
          <w:sz w:val="20"/>
          <w:szCs w:val="20"/>
        </w:rPr>
        <w:t>in</w:t>
      </w:r>
      <w:r w:rsidR="00FF41A0">
        <w:rPr>
          <w:color w:val="000000" w:themeColor="text1"/>
          <w:sz w:val="20"/>
          <w:szCs w:val="20"/>
        </w:rPr>
        <w:t xml:space="preserve"> </w:t>
      </w:r>
      <w:r w:rsidR="00E350C4" w:rsidRPr="00E350C4">
        <w:rPr>
          <w:color w:val="000000" w:themeColor="text1"/>
          <w:sz w:val="20"/>
          <w:szCs w:val="20"/>
        </w:rPr>
        <w:t>the</w:t>
      </w:r>
      <w:r w:rsidR="00FF41A0">
        <w:rPr>
          <w:color w:val="000000" w:themeColor="text1"/>
          <w:sz w:val="20"/>
          <w:szCs w:val="20"/>
        </w:rPr>
        <w:t xml:space="preserve"> </w:t>
      </w:r>
      <w:r w:rsidR="00E350C4" w:rsidRPr="00E350C4">
        <w:rPr>
          <w:color w:val="000000" w:themeColor="text1"/>
          <w:sz w:val="20"/>
          <w:szCs w:val="20"/>
        </w:rPr>
        <w:t>Service</w:t>
      </w:r>
      <w:r w:rsidR="00FF41A0">
        <w:rPr>
          <w:color w:val="000000" w:themeColor="text1"/>
          <w:sz w:val="20"/>
          <w:szCs w:val="20"/>
        </w:rPr>
        <w:t xml:space="preserve"> </w:t>
      </w:r>
      <w:r w:rsidR="00E350C4" w:rsidRPr="00E350C4">
        <w:rPr>
          <w:color w:val="000000" w:themeColor="text1"/>
          <w:sz w:val="20"/>
          <w:szCs w:val="20"/>
        </w:rPr>
        <w:t>of</w:t>
      </w:r>
      <w:r w:rsidR="00FF41A0">
        <w:rPr>
          <w:color w:val="000000" w:themeColor="text1"/>
          <w:sz w:val="20"/>
          <w:szCs w:val="20"/>
        </w:rPr>
        <w:t xml:space="preserve"> </w:t>
      </w:r>
      <w:r w:rsidR="00E350C4" w:rsidRPr="00E350C4">
        <w:rPr>
          <w:color w:val="000000" w:themeColor="text1"/>
          <w:sz w:val="20"/>
          <w:szCs w:val="20"/>
        </w:rPr>
        <w:t>Man</w:t>
      </w:r>
      <w:r w:rsidR="00E350C4">
        <w:rPr>
          <w:color w:val="000000" w:themeColor="text1"/>
          <w:sz w:val="20"/>
          <w:szCs w:val="20"/>
        </w:rPr>
        <w:t>;</w:t>
      </w:r>
      <w:r w:rsidR="00FF41A0">
        <w:rPr>
          <w:color w:val="000000" w:themeColor="text1"/>
          <w:sz w:val="20"/>
          <w:szCs w:val="20"/>
        </w:rPr>
        <w:t xml:space="preserve"> </w:t>
      </w:r>
      <w:r w:rsidR="00E350C4" w:rsidRPr="00E350C4">
        <w:rPr>
          <w:color w:val="000000" w:themeColor="text1"/>
          <w:sz w:val="20"/>
          <w:szCs w:val="20"/>
        </w:rPr>
        <w:t>Ingenieurs</w:t>
      </w:r>
      <w:r w:rsidR="00FF41A0">
        <w:rPr>
          <w:color w:val="000000" w:themeColor="text1"/>
          <w:sz w:val="20"/>
          <w:szCs w:val="20"/>
        </w:rPr>
        <w:t xml:space="preserve"> </w:t>
      </w:r>
      <w:r w:rsidR="00E350C4" w:rsidRPr="00E350C4">
        <w:rPr>
          <w:color w:val="000000" w:themeColor="text1"/>
          <w:sz w:val="20"/>
          <w:szCs w:val="20"/>
        </w:rPr>
        <w:t>du</w:t>
      </w:r>
      <w:r w:rsidR="00FF41A0">
        <w:rPr>
          <w:color w:val="000000" w:themeColor="text1"/>
          <w:sz w:val="20"/>
          <w:szCs w:val="20"/>
        </w:rPr>
        <w:t xml:space="preserve"> </w:t>
      </w:r>
      <w:r w:rsidR="00E350C4" w:rsidRPr="00E350C4">
        <w:rPr>
          <w:color w:val="000000" w:themeColor="text1"/>
          <w:sz w:val="20"/>
          <w:szCs w:val="20"/>
        </w:rPr>
        <w:t>Monde</w:t>
      </w:r>
      <w:r w:rsidR="00E350C4">
        <w:rPr>
          <w:color w:val="000000" w:themeColor="text1"/>
          <w:sz w:val="20"/>
          <w:szCs w:val="20"/>
        </w:rPr>
        <w:t>;</w:t>
      </w:r>
      <w:r w:rsidR="00FF41A0">
        <w:rPr>
          <w:color w:val="000000" w:themeColor="text1"/>
          <w:sz w:val="20"/>
          <w:szCs w:val="20"/>
        </w:rPr>
        <w:t xml:space="preserve"> </w:t>
      </w:r>
      <w:r w:rsidR="00E350C4" w:rsidRPr="00E350C4">
        <w:rPr>
          <w:color w:val="000000" w:themeColor="text1"/>
          <w:sz w:val="20"/>
          <w:szCs w:val="20"/>
        </w:rPr>
        <w:t>Institute</w:t>
      </w:r>
      <w:r w:rsidR="00FF41A0">
        <w:rPr>
          <w:color w:val="000000" w:themeColor="text1"/>
          <w:sz w:val="20"/>
          <w:szCs w:val="20"/>
        </w:rPr>
        <w:t xml:space="preserve"> </w:t>
      </w:r>
      <w:r w:rsidR="00E350C4" w:rsidRPr="00E350C4">
        <w:rPr>
          <w:color w:val="000000" w:themeColor="text1"/>
          <w:sz w:val="20"/>
          <w:szCs w:val="20"/>
        </w:rPr>
        <w:t>for</w:t>
      </w:r>
      <w:r w:rsidR="00FF41A0">
        <w:rPr>
          <w:color w:val="000000" w:themeColor="text1"/>
          <w:sz w:val="20"/>
          <w:szCs w:val="20"/>
        </w:rPr>
        <w:t xml:space="preserve"> </w:t>
      </w:r>
      <w:r w:rsidR="00E350C4" w:rsidRPr="00E350C4">
        <w:rPr>
          <w:color w:val="000000" w:themeColor="text1"/>
          <w:sz w:val="20"/>
          <w:szCs w:val="20"/>
        </w:rPr>
        <w:t>NGO</w:t>
      </w:r>
      <w:r w:rsidR="00FF41A0">
        <w:rPr>
          <w:color w:val="000000" w:themeColor="text1"/>
          <w:sz w:val="20"/>
          <w:szCs w:val="20"/>
        </w:rPr>
        <w:t xml:space="preserve"> </w:t>
      </w:r>
      <w:r w:rsidR="00E350C4" w:rsidRPr="00E350C4">
        <w:rPr>
          <w:color w:val="000000" w:themeColor="text1"/>
          <w:sz w:val="20"/>
          <w:szCs w:val="20"/>
        </w:rPr>
        <w:t>Research</w:t>
      </w:r>
      <w:r w:rsidR="00E350C4">
        <w:rPr>
          <w:color w:val="000000" w:themeColor="text1"/>
          <w:sz w:val="20"/>
          <w:szCs w:val="20"/>
        </w:rPr>
        <w:t>;</w:t>
      </w:r>
      <w:r w:rsidR="00FF41A0">
        <w:rPr>
          <w:color w:val="000000" w:themeColor="text1"/>
          <w:sz w:val="20"/>
          <w:szCs w:val="20"/>
        </w:rPr>
        <w:t xml:space="preserve"> </w:t>
      </w:r>
      <w:r w:rsidR="00E350C4" w:rsidRPr="00E350C4">
        <w:rPr>
          <w:color w:val="000000" w:themeColor="text1"/>
          <w:sz w:val="20"/>
          <w:szCs w:val="20"/>
        </w:rPr>
        <w:t>International</w:t>
      </w:r>
      <w:r w:rsidR="00FF41A0">
        <w:rPr>
          <w:color w:val="000000" w:themeColor="text1"/>
          <w:sz w:val="20"/>
          <w:szCs w:val="20"/>
        </w:rPr>
        <w:t xml:space="preserve"> </w:t>
      </w:r>
      <w:r w:rsidR="00E350C4" w:rsidRPr="00E350C4">
        <w:rPr>
          <w:color w:val="000000" w:themeColor="text1"/>
          <w:sz w:val="20"/>
          <w:szCs w:val="20"/>
        </w:rPr>
        <w:t>Organization</w:t>
      </w:r>
      <w:r w:rsidR="00FF41A0">
        <w:rPr>
          <w:color w:val="000000" w:themeColor="text1"/>
          <w:sz w:val="20"/>
          <w:szCs w:val="20"/>
        </w:rPr>
        <w:t xml:space="preserve"> </w:t>
      </w:r>
      <w:r w:rsidR="00E350C4" w:rsidRPr="00E350C4">
        <w:rPr>
          <w:color w:val="000000" w:themeColor="text1"/>
          <w:sz w:val="20"/>
          <w:szCs w:val="20"/>
        </w:rPr>
        <w:t>for</w:t>
      </w:r>
      <w:r w:rsidR="00FF41A0">
        <w:rPr>
          <w:color w:val="000000" w:themeColor="text1"/>
          <w:sz w:val="20"/>
          <w:szCs w:val="20"/>
        </w:rPr>
        <w:t xml:space="preserve"> </w:t>
      </w:r>
      <w:r w:rsidR="00E350C4" w:rsidRPr="00E350C4">
        <w:rPr>
          <w:color w:val="000000" w:themeColor="text1"/>
          <w:sz w:val="20"/>
          <w:szCs w:val="20"/>
        </w:rPr>
        <w:t>the</w:t>
      </w:r>
      <w:r w:rsidR="00FF41A0">
        <w:rPr>
          <w:color w:val="000000" w:themeColor="text1"/>
          <w:sz w:val="20"/>
          <w:szCs w:val="20"/>
        </w:rPr>
        <w:t xml:space="preserve"> </w:t>
      </w:r>
      <w:r w:rsidR="00E350C4" w:rsidRPr="00E350C4">
        <w:rPr>
          <w:color w:val="000000" w:themeColor="text1"/>
          <w:sz w:val="20"/>
          <w:szCs w:val="20"/>
        </w:rPr>
        <w:t>Elimination</w:t>
      </w:r>
      <w:r w:rsidR="00FF41A0">
        <w:rPr>
          <w:color w:val="000000" w:themeColor="text1"/>
          <w:sz w:val="20"/>
          <w:szCs w:val="20"/>
        </w:rPr>
        <w:t xml:space="preserve"> </w:t>
      </w:r>
      <w:r w:rsidR="00E350C4" w:rsidRPr="00E350C4">
        <w:rPr>
          <w:color w:val="000000" w:themeColor="text1"/>
          <w:sz w:val="20"/>
          <w:szCs w:val="20"/>
        </w:rPr>
        <w:t>of</w:t>
      </w:r>
      <w:r w:rsidR="00FF41A0">
        <w:rPr>
          <w:color w:val="000000" w:themeColor="text1"/>
          <w:sz w:val="20"/>
          <w:szCs w:val="20"/>
        </w:rPr>
        <w:t xml:space="preserve"> </w:t>
      </w:r>
      <w:r w:rsidR="00E350C4" w:rsidRPr="00E350C4">
        <w:rPr>
          <w:color w:val="000000" w:themeColor="text1"/>
          <w:sz w:val="20"/>
          <w:szCs w:val="20"/>
        </w:rPr>
        <w:t>All</w:t>
      </w:r>
      <w:r w:rsidR="00FF41A0">
        <w:rPr>
          <w:color w:val="000000" w:themeColor="text1"/>
          <w:sz w:val="20"/>
          <w:szCs w:val="20"/>
        </w:rPr>
        <w:t xml:space="preserve"> </w:t>
      </w:r>
      <w:r w:rsidR="00E350C4" w:rsidRPr="00E350C4">
        <w:rPr>
          <w:color w:val="000000" w:themeColor="text1"/>
          <w:sz w:val="20"/>
          <w:szCs w:val="20"/>
        </w:rPr>
        <w:t>Forms</w:t>
      </w:r>
      <w:r w:rsidR="00FF41A0">
        <w:rPr>
          <w:color w:val="000000" w:themeColor="text1"/>
          <w:sz w:val="20"/>
          <w:szCs w:val="20"/>
        </w:rPr>
        <w:t xml:space="preserve"> </w:t>
      </w:r>
      <w:r w:rsidR="00E350C4" w:rsidRPr="00E350C4">
        <w:rPr>
          <w:color w:val="000000" w:themeColor="text1"/>
          <w:sz w:val="20"/>
          <w:szCs w:val="20"/>
        </w:rPr>
        <w:t>of</w:t>
      </w:r>
      <w:r w:rsidR="00FF41A0">
        <w:rPr>
          <w:color w:val="000000" w:themeColor="text1"/>
          <w:sz w:val="20"/>
          <w:szCs w:val="20"/>
        </w:rPr>
        <w:t xml:space="preserve"> </w:t>
      </w:r>
      <w:r w:rsidR="00E350C4" w:rsidRPr="00E350C4">
        <w:rPr>
          <w:color w:val="000000" w:themeColor="text1"/>
          <w:sz w:val="20"/>
          <w:szCs w:val="20"/>
        </w:rPr>
        <w:t>Racial</w:t>
      </w:r>
      <w:r w:rsidR="00FF41A0">
        <w:rPr>
          <w:color w:val="000000" w:themeColor="text1"/>
          <w:sz w:val="20"/>
          <w:szCs w:val="20"/>
        </w:rPr>
        <w:t xml:space="preserve"> </w:t>
      </w:r>
      <w:r w:rsidR="00E350C4" w:rsidRPr="00E350C4">
        <w:rPr>
          <w:color w:val="000000" w:themeColor="text1"/>
          <w:sz w:val="20"/>
          <w:szCs w:val="20"/>
        </w:rPr>
        <w:t>Discrimination</w:t>
      </w:r>
      <w:r w:rsidR="00E350C4">
        <w:rPr>
          <w:color w:val="000000" w:themeColor="text1"/>
          <w:sz w:val="20"/>
          <w:szCs w:val="20"/>
        </w:rPr>
        <w:t>;</w:t>
      </w:r>
      <w:r w:rsidR="00FF41A0">
        <w:rPr>
          <w:color w:val="000000" w:themeColor="text1"/>
          <w:sz w:val="20"/>
          <w:szCs w:val="20"/>
        </w:rPr>
        <w:t xml:space="preserve"> </w:t>
      </w:r>
      <w:r w:rsidR="00E350C4" w:rsidRPr="00E350C4">
        <w:rPr>
          <w:color w:val="000000" w:themeColor="text1"/>
          <w:sz w:val="20"/>
          <w:szCs w:val="20"/>
        </w:rPr>
        <w:t>Norwegian</w:t>
      </w:r>
      <w:r w:rsidR="00FF41A0">
        <w:rPr>
          <w:color w:val="000000" w:themeColor="text1"/>
          <w:sz w:val="20"/>
          <w:szCs w:val="20"/>
        </w:rPr>
        <w:t xml:space="preserve"> </w:t>
      </w:r>
      <w:r w:rsidR="00E350C4" w:rsidRPr="00E350C4">
        <w:rPr>
          <w:color w:val="000000" w:themeColor="text1"/>
          <w:sz w:val="20"/>
          <w:szCs w:val="20"/>
        </w:rPr>
        <w:t>Refugee</w:t>
      </w:r>
      <w:r w:rsidR="00FF41A0">
        <w:rPr>
          <w:color w:val="000000" w:themeColor="text1"/>
          <w:sz w:val="20"/>
          <w:szCs w:val="20"/>
        </w:rPr>
        <w:t xml:space="preserve"> </w:t>
      </w:r>
      <w:r w:rsidR="00E350C4" w:rsidRPr="00E350C4">
        <w:rPr>
          <w:color w:val="000000" w:themeColor="text1"/>
          <w:sz w:val="20"/>
          <w:szCs w:val="20"/>
        </w:rPr>
        <w:t>Council</w:t>
      </w:r>
      <w:r w:rsidR="00E350C4">
        <w:rPr>
          <w:color w:val="000000" w:themeColor="text1"/>
          <w:sz w:val="20"/>
          <w:szCs w:val="20"/>
        </w:rPr>
        <w:t>;</w:t>
      </w:r>
      <w:r w:rsidR="00FF41A0">
        <w:rPr>
          <w:color w:val="000000" w:themeColor="text1"/>
          <w:sz w:val="20"/>
          <w:szCs w:val="20"/>
        </w:rPr>
        <w:t xml:space="preserve"> </w:t>
      </w:r>
      <w:r w:rsidR="00E350C4" w:rsidRPr="00E350C4">
        <w:rPr>
          <w:color w:val="000000" w:themeColor="text1"/>
          <w:sz w:val="20"/>
          <w:szCs w:val="20"/>
        </w:rPr>
        <w:t>The</w:t>
      </w:r>
      <w:r w:rsidR="00FF41A0">
        <w:rPr>
          <w:color w:val="000000" w:themeColor="text1"/>
          <w:sz w:val="20"/>
          <w:szCs w:val="20"/>
        </w:rPr>
        <w:t xml:space="preserve"> </w:t>
      </w:r>
      <w:r w:rsidR="00E350C4" w:rsidRPr="00E350C4">
        <w:rPr>
          <w:color w:val="000000" w:themeColor="text1"/>
          <w:sz w:val="20"/>
          <w:szCs w:val="20"/>
        </w:rPr>
        <w:t>Palestinian</w:t>
      </w:r>
      <w:r w:rsidR="00FF41A0">
        <w:rPr>
          <w:color w:val="000000" w:themeColor="text1"/>
          <w:sz w:val="20"/>
          <w:szCs w:val="20"/>
        </w:rPr>
        <w:t xml:space="preserve"> </w:t>
      </w:r>
      <w:r w:rsidR="00E350C4" w:rsidRPr="00E350C4">
        <w:rPr>
          <w:color w:val="000000" w:themeColor="text1"/>
          <w:sz w:val="20"/>
          <w:szCs w:val="20"/>
        </w:rPr>
        <w:t>Return</w:t>
      </w:r>
      <w:r w:rsidR="00FF41A0">
        <w:rPr>
          <w:color w:val="000000" w:themeColor="text1"/>
          <w:sz w:val="20"/>
          <w:szCs w:val="20"/>
        </w:rPr>
        <w:t xml:space="preserve"> </w:t>
      </w:r>
      <w:r w:rsidR="00E350C4" w:rsidRPr="00E350C4">
        <w:rPr>
          <w:color w:val="000000" w:themeColor="text1"/>
          <w:sz w:val="20"/>
          <w:szCs w:val="20"/>
        </w:rPr>
        <w:t>Centre</w:t>
      </w:r>
      <w:r w:rsidR="00FF41A0">
        <w:rPr>
          <w:color w:val="000000" w:themeColor="text1"/>
          <w:sz w:val="20"/>
          <w:szCs w:val="20"/>
        </w:rPr>
        <w:t xml:space="preserve"> </w:t>
      </w:r>
      <w:r w:rsidR="00E350C4" w:rsidRPr="00E350C4">
        <w:rPr>
          <w:color w:val="000000" w:themeColor="text1"/>
          <w:sz w:val="20"/>
          <w:szCs w:val="20"/>
        </w:rPr>
        <w:t>Ltd</w:t>
      </w:r>
      <w:r w:rsidR="00E350C4">
        <w:rPr>
          <w:color w:val="000000" w:themeColor="text1"/>
          <w:sz w:val="20"/>
          <w:szCs w:val="20"/>
        </w:rPr>
        <w:t>;</w:t>
      </w:r>
      <w:r w:rsidR="00FF41A0">
        <w:rPr>
          <w:color w:val="000000" w:themeColor="text1"/>
          <w:sz w:val="20"/>
          <w:szCs w:val="20"/>
        </w:rPr>
        <w:t xml:space="preserve"> </w:t>
      </w:r>
      <w:r w:rsidR="00E350C4" w:rsidRPr="00E350C4">
        <w:rPr>
          <w:color w:val="000000" w:themeColor="text1"/>
          <w:sz w:val="20"/>
          <w:szCs w:val="20"/>
        </w:rPr>
        <w:t>Touro</w:t>
      </w:r>
      <w:r w:rsidR="00FF41A0">
        <w:rPr>
          <w:color w:val="000000" w:themeColor="text1"/>
          <w:sz w:val="20"/>
          <w:szCs w:val="20"/>
        </w:rPr>
        <w:t xml:space="preserve"> </w:t>
      </w:r>
      <w:r w:rsidR="00E350C4" w:rsidRPr="00E350C4">
        <w:rPr>
          <w:color w:val="000000" w:themeColor="text1"/>
          <w:sz w:val="20"/>
          <w:szCs w:val="20"/>
        </w:rPr>
        <w:t>Law</w:t>
      </w:r>
      <w:r w:rsidR="00FF41A0">
        <w:rPr>
          <w:color w:val="000000" w:themeColor="text1"/>
          <w:sz w:val="20"/>
          <w:szCs w:val="20"/>
        </w:rPr>
        <w:t xml:space="preserve"> </w:t>
      </w:r>
      <w:r w:rsidR="00E350C4" w:rsidRPr="00E350C4">
        <w:rPr>
          <w:color w:val="000000" w:themeColor="text1"/>
          <w:sz w:val="20"/>
          <w:szCs w:val="20"/>
        </w:rPr>
        <w:t>Center,</w:t>
      </w:r>
      <w:r w:rsidR="00FF41A0">
        <w:rPr>
          <w:color w:val="000000" w:themeColor="text1"/>
          <w:sz w:val="20"/>
          <w:szCs w:val="20"/>
        </w:rPr>
        <w:t xml:space="preserve"> </w:t>
      </w:r>
      <w:r w:rsidR="00E350C4" w:rsidRPr="00E350C4">
        <w:rPr>
          <w:color w:val="000000" w:themeColor="text1"/>
          <w:sz w:val="20"/>
          <w:szCs w:val="20"/>
        </w:rPr>
        <w:t>The</w:t>
      </w:r>
      <w:r w:rsidR="00FF41A0">
        <w:rPr>
          <w:color w:val="000000" w:themeColor="text1"/>
          <w:sz w:val="20"/>
          <w:szCs w:val="20"/>
        </w:rPr>
        <w:t xml:space="preserve"> </w:t>
      </w:r>
      <w:r w:rsidR="00E350C4" w:rsidRPr="00E350C4">
        <w:rPr>
          <w:color w:val="000000" w:themeColor="text1"/>
          <w:sz w:val="20"/>
          <w:szCs w:val="20"/>
        </w:rPr>
        <w:t>Institute</w:t>
      </w:r>
      <w:r w:rsidR="00FF41A0">
        <w:rPr>
          <w:color w:val="000000" w:themeColor="text1"/>
          <w:sz w:val="20"/>
          <w:szCs w:val="20"/>
        </w:rPr>
        <w:t xml:space="preserve"> </w:t>
      </w:r>
      <w:r w:rsidR="00E350C4" w:rsidRPr="00E350C4">
        <w:rPr>
          <w:color w:val="000000" w:themeColor="text1"/>
          <w:sz w:val="20"/>
          <w:szCs w:val="20"/>
        </w:rPr>
        <w:t>on</w:t>
      </w:r>
      <w:r w:rsidR="00FF41A0">
        <w:rPr>
          <w:color w:val="000000" w:themeColor="text1"/>
          <w:sz w:val="20"/>
          <w:szCs w:val="20"/>
        </w:rPr>
        <w:t xml:space="preserve"> </w:t>
      </w:r>
      <w:r w:rsidR="00E350C4" w:rsidRPr="00E350C4">
        <w:rPr>
          <w:color w:val="000000" w:themeColor="text1"/>
          <w:sz w:val="20"/>
          <w:szCs w:val="20"/>
        </w:rPr>
        <w:t>Human</w:t>
      </w:r>
      <w:r w:rsidR="00FF41A0">
        <w:rPr>
          <w:color w:val="000000" w:themeColor="text1"/>
          <w:sz w:val="20"/>
          <w:szCs w:val="20"/>
        </w:rPr>
        <w:t xml:space="preserve"> </w:t>
      </w:r>
      <w:r w:rsidR="00E350C4" w:rsidRPr="00E350C4">
        <w:rPr>
          <w:color w:val="000000" w:themeColor="text1"/>
          <w:sz w:val="20"/>
          <w:szCs w:val="20"/>
        </w:rPr>
        <w:t>Rights</w:t>
      </w:r>
      <w:r w:rsidR="00FF41A0">
        <w:rPr>
          <w:color w:val="000000" w:themeColor="text1"/>
          <w:sz w:val="20"/>
          <w:szCs w:val="20"/>
        </w:rPr>
        <w:t xml:space="preserve"> </w:t>
      </w:r>
      <w:r w:rsidR="00E350C4" w:rsidRPr="00E350C4">
        <w:rPr>
          <w:color w:val="000000" w:themeColor="text1"/>
          <w:sz w:val="20"/>
          <w:szCs w:val="20"/>
        </w:rPr>
        <w:t>and</w:t>
      </w:r>
      <w:r w:rsidR="00FF41A0">
        <w:rPr>
          <w:color w:val="000000" w:themeColor="text1"/>
          <w:sz w:val="20"/>
          <w:szCs w:val="20"/>
        </w:rPr>
        <w:t xml:space="preserve"> </w:t>
      </w:r>
      <w:r w:rsidR="00E350C4" w:rsidRPr="00E350C4">
        <w:rPr>
          <w:color w:val="000000" w:themeColor="text1"/>
          <w:sz w:val="20"/>
          <w:szCs w:val="20"/>
        </w:rPr>
        <w:t>The</w:t>
      </w:r>
      <w:r w:rsidR="00FF41A0">
        <w:rPr>
          <w:color w:val="000000" w:themeColor="text1"/>
          <w:sz w:val="20"/>
          <w:szCs w:val="20"/>
        </w:rPr>
        <w:t xml:space="preserve"> </w:t>
      </w:r>
      <w:r w:rsidR="00E350C4" w:rsidRPr="00E350C4">
        <w:rPr>
          <w:color w:val="000000" w:themeColor="text1"/>
          <w:sz w:val="20"/>
          <w:szCs w:val="20"/>
        </w:rPr>
        <w:t>Holocaust</w:t>
      </w:r>
      <w:r w:rsidR="00E350C4">
        <w:rPr>
          <w:color w:val="000000" w:themeColor="text1"/>
          <w:sz w:val="20"/>
          <w:szCs w:val="20"/>
        </w:rPr>
        <w:t>;</w:t>
      </w:r>
      <w:r w:rsidR="00FF41A0">
        <w:rPr>
          <w:color w:val="000000" w:themeColor="text1"/>
          <w:sz w:val="20"/>
          <w:szCs w:val="20"/>
        </w:rPr>
        <w:t xml:space="preserve"> </w:t>
      </w:r>
      <w:r w:rsidR="00E350C4" w:rsidRPr="00E350C4">
        <w:rPr>
          <w:color w:val="000000" w:themeColor="text1"/>
          <w:sz w:val="20"/>
          <w:szCs w:val="20"/>
        </w:rPr>
        <w:t>United</w:t>
      </w:r>
      <w:r w:rsidR="00FF41A0">
        <w:rPr>
          <w:color w:val="000000" w:themeColor="text1"/>
          <w:sz w:val="20"/>
          <w:szCs w:val="20"/>
        </w:rPr>
        <w:t xml:space="preserve"> </w:t>
      </w:r>
      <w:r w:rsidR="00E350C4" w:rsidRPr="00E350C4">
        <w:rPr>
          <w:color w:val="000000" w:themeColor="text1"/>
          <w:sz w:val="20"/>
          <w:szCs w:val="20"/>
        </w:rPr>
        <w:t>Nations</w:t>
      </w:r>
      <w:r w:rsidR="00FF41A0">
        <w:rPr>
          <w:color w:val="000000" w:themeColor="text1"/>
          <w:sz w:val="20"/>
          <w:szCs w:val="20"/>
        </w:rPr>
        <w:t xml:space="preserve"> </w:t>
      </w:r>
      <w:r w:rsidR="00E350C4" w:rsidRPr="00E350C4">
        <w:rPr>
          <w:color w:val="000000" w:themeColor="text1"/>
          <w:sz w:val="20"/>
          <w:szCs w:val="20"/>
        </w:rPr>
        <w:t>Watch</w:t>
      </w:r>
      <w:r w:rsidRPr="0037538E">
        <w:rPr>
          <w:color w:val="000000" w:themeColor="text1"/>
          <w:sz w:val="20"/>
          <w:szCs w:val="20"/>
        </w:rPr>
        <w:t>.</w:t>
      </w:r>
    </w:p>
    <w:p w14:paraId="3F6D2DBF" w14:textId="406E476A" w:rsidR="008348A9" w:rsidRPr="0067399B" w:rsidRDefault="00A74C9E" w:rsidP="008348A9">
      <w:pPr>
        <w:spacing w:after="120"/>
        <w:ind w:left="1134" w:right="1134"/>
        <w:jc w:val="both"/>
        <w:rPr>
          <w:color w:val="000000" w:themeColor="text1"/>
          <w:sz w:val="20"/>
          <w:szCs w:val="20"/>
        </w:rPr>
      </w:pPr>
      <w:r>
        <w:rPr>
          <w:color w:val="000000" w:themeColor="text1"/>
          <w:sz w:val="20"/>
          <w:szCs w:val="20"/>
        </w:rPr>
        <w:t>921</w:t>
      </w:r>
      <w:r w:rsidR="008348A9" w:rsidRPr="0067399B">
        <w:rPr>
          <w:color w:val="000000" w:themeColor="text1"/>
          <w:sz w:val="20"/>
          <w:szCs w:val="20"/>
        </w:rPr>
        <w:t>.</w:t>
      </w:r>
      <w:r w:rsidR="008348A9" w:rsidRPr="0067399B">
        <w:rPr>
          <w:color w:val="000000" w:themeColor="text1"/>
          <w:sz w:val="20"/>
          <w:szCs w:val="20"/>
        </w:rPr>
        <w:tab/>
      </w:r>
      <w:r w:rsidR="008348A9" w:rsidRPr="00172A87">
        <w:rPr>
          <w:color w:val="000000" w:themeColor="text1"/>
          <w:sz w:val="20"/>
          <w:szCs w:val="20"/>
        </w:rPr>
        <w:t>At</w:t>
      </w:r>
      <w:r w:rsidR="00FF41A0">
        <w:rPr>
          <w:color w:val="000000" w:themeColor="text1"/>
          <w:sz w:val="20"/>
          <w:szCs w:val="20"/>
        </w:rPr>
        <w:t xml:space="preserve"> </w:t>
      </w:r>
      <w:r w:rsidR="008348A9" w:rsidRPr="00172A87">
        <w:rPr>
          <w:color w:val="000000" w:themeColor="text1"/>
          <w:sz w:val="20"/>
          <w:szCs w:val="20"/>
        </w:rPr>
        <w:t>the</w:t>
      </w:r>
      <w:r w:rsidR="00FF41A0">
        <w:rPr>
          <w:color w:val="000000" w:themeColor="text1"/>
          <w:sz w:val="20"/>
          <w:szCs w:val="20"/>
        </w:rPr>
        <w:t xml:space="preserve"> </w:t>
      </w:r>
      <w:r w:rsidR="008348A9">
        <w:rPr>
          <w:color w:val="000000" w:themeColor="text1"/>
          <w:sz w:val="20"/>
          <w:szCs w:val="20"/>
        </w:rPr>
        <w:t>same</w:t>
      </w:r>
      <w:r w:rsidR="00FF41A0">
        <w:rPr>
          <w:color w:val="000000" w:themeColor="text1"/>
          <w:sz w:val="20"/>
          <w:szCs w:val="20"/>
        </w:rPr>
        <w:t xml:space="preserve"> </w:t>
      </w:r>
      <w:r w:rsidR="008348A9" w:rsidRPr="00172A87">
        <w:rPr>
          <w:color w:val="000000" w:themeColor="text1"/>
          <w:sz w:val="20"/>
          <w:szCs w:val="20"/>
        </w:rPr>
        <w:t>meeting,</w:t>
      </w:r>
      <w:r w:rsidR="00FF41A0">
        <w:rPr>
          <w:color w:val="000000" w:themeColor="text1"/>
          <w:sz w:val="20"/>
          <w:szCs w:val="20"/>
        </w:rPr>
        <w:t xml:space="preserve"> </w:t>
      </w:r>
      <w:r w:rsidR="008348A9" w:rsidRPr="0067399B">
        <w:rPr>
          <w:color w:val="000000" w:themeColor="text1"/>
          <w:sz w:val="20"/>
          <w:szCs w:val="20"/>
        </w:rPr>
        <w:t>the</w:t>
      </w:r>
      <w:r w:rsidR="00FF41A0">
        <w:rPr>
          <w:color w:val="000000" w:themeColor="text1"/>
          <w:sz w:val="20"/>
          <w:szCs w:val="20"/>
        </w:rPr>
        <w:t xml:space="preserve"> </w:t>
      </w:r>
      <w:r w:rsidR="008348A9" w:rsidRPr="0067399B">
        <w:rPr>
          <w:color w:val="000000" w:themeColor="text1"/>
          <w:sz w:val="20"/>
          <w:szCs w:val="20"/>
        </w:rPr>
        <w:t>Special</w:t>
      </w:r>
      <w:r w:rsidR="00FF41A0">
        <w:rPr>
          <w:color w:val="000000" w:themeColor="text1"/>
          <w:sz w:val="20"/>
          <w:szCs w:val="20"/>
        </w:rPr>
        <w:t xml:space="preserve"> </w:t>
      </w:r>
      <w:r w:rsidR="008348A9" w:rsidRPr="0067399B">
        <w:rPr>
          <w:color w:val="000000" w:themeColor="text1"/>
          <w:sz w:val="20"/>
          <w:szCs w:val="20"/>
        </w:rPr>
        <w:t>Rapporteur</w:t>
      </w:r>
      <w:r w:rsidR="00FF41A0">
        <w:rPr>
          <w:color w:val="000000" w:themeColor="text1"/>
          <w:sz w:val="20"/>
          <w:szCs w:val="20"/>
        </w:rPr>
        <w:t xml:space="preserve"> </w:t>
      </w:r>
      <w:r w:rsidR="008348A9" w:rsidRPr="0067399B">
        <w:rPr>
          <w:color w:val="000000" w:themeColor="text1"/>
          <w:sz w:val="20"/>
          <w:szCs w:val="20"/>
        </w:rPr>
        <w:t>answered</w:t>
      </w:r>
      <w:r w:rsidR="00FF41A0">
        <w:rPr>
          <w:color w:val="000000" w:themeColor="text1"/>
          <w:sz w:val="20"/>
          <w:szCs w:val="20"/>
        </w:rPr>
        <w:t xml:space="preserve"> </w:t>
      </w:r>
      <w:r w:rsidR="008348A9" w:rsidRPr="0067399B">
        <w:rPr>
          <w:color w:val="000000" w:themeColor="text1"/>
          <w:sz w:val="20"/>
          <w:szCs w:val="20"/>
        </w:rPr>
        <w:t>questions</w:t>
      </w:r>
      <w:r w:rsidR="00FF41A0">
        <w:rPr>
          <w:color w:val="000000" w:themeColor="text1"/>
          <w:sz w:val="20"/>
          <w:szCs w:val="20"/>
        </w:rPr>
        <w:t xml:space="preserve"> </w:t>
      </w:r>
      <w:r w:rsidR="008348A9" w:rsidRPr="0067399B">
        <w:rPr>
          <w:color w:val="000000" w:themeColor="text1"/>
          <w:sz w:val="20"/>
          <w:szCs w:val="20"/>
        </w:rPr>
        <w:t>and</w:t>
      </w:r>
      <w:r w:rsidR="00FF41A0">
        <w:rPr>
          <w:color w:val="000000" w:themeColor="text1"/>
          <w:sz w:val="20"/>
          <w:szCs w:val="20"/>
        </w:rPr>
        <w:t xml:space="preserve"> </w:t>
      </w:r>
      <w:r w:rsidR="008348A9" w:rsidRPr="0067399B">
        <w:rPr>
          <w:color w:val="000000" w:themeColor="text1"/>
          <w:sz w:val="20"/>
          <w:szCs w:val="20"/>
        </w:rPr>
        <w:t>made</w:t>
      </w:r>
      <w:r w:rsidR="00FF41A0">
        <w:rPr>
          <w:color w:val="000000" w:themeColor="text1"/>
          <w:sz w:val="20"/>
          <w:szCs w:val="20"/>
        </w:rPr>
        <w:t xml:space="preserve"> </w:t>
      </w:r>
      <w:r w:rsidR="008348A9">
        <w:rPr>
          <w:color w:val="000000" w:themeColor="text1"/>
          <w:sz w:val="20"/>
          <w:szCs w:val="20"/>
        </w:rPr>
        <w:t>his</w:t>
      </w:r>
      <w:r w:rsidR="00FF41A0">
        <w:rPr>
          <w:color w:val="000000" w:themeColor="text1"/>
          <w:sz w:val="20"/>
          <w:szCs w:val="20"/>
        </w:rPr>
        <w:t xml:space="preserve"> </w:t>
      </w:r>
      <w:r w:rsidR="008348A9" w:rsidRPr="0067399B">
        <w:rPr>
          <w:color w:val="000000" w:themeColor="text1"/>
          <w:sz w:val="20"/>
          <w:szCs w:val="20"/>
        </w:rPr>
        <w:t>concluding</w:t>
      </w:r>
      <w:r w:rsidR="00FF41A0">
        <w:rPr>
          <w:color w:val="000000" w:themeColor="text1"/>
          <w:sz w:val="20"/>
          <w:szCs w:val="20"/>
        </w:rPr>
        <w:t xml:space="preserve"> </w:t>
      </w:r>
      <w:r w:rsidR="008348A9" w:rsidRPr="0067399B">
        <w:rPr>
          <w:color w:val="000000" w:themeColor="text1"/>
          <w:sz w:val="20"/>
          <w:szCs w:val="20"/>
        </w:rPr>
        <w:t>remarks.</w:t>
      </w:r>
    </w:p>
    <w:p w14:paraId="402A92ED" w14:textId="5DBF5707" w:rsidR="00862C90" w:rsidRPr="00391180" w:rsidRDefault="00862C90" w:rsidP="00862C90">
      <w:pPr>
        <w:pStyle w:val="H1G"/>
        <w:rPr>
          <w:color w:val="000000" w:themeColor="text1"/>
        </w:rPr>
      </w:pPr>
      <w:r w:rsidRPr="00C16037">
        <w:rPr>
          <w:color w:val="000000" w:themeColor="text1"/>
        </w:rPr>
        <w:tab/>
      </w:r>
      <w:r w:rsidRPr="00391180">
        <w:rPr>
          <w:color w:val="000000" w:themeColor="text1"/>
        </w:rPr>
        <w:t>B.</w:t>
      </w:r>
      <w:r w:rsidRPr="00391180">
        <w:rPr>
          <w:color w:val="000000" w:themeColor="text1"/>
        </w:rPr>
        <w:tab/>
        <w:t>Interactive</w:t>
      </w:r>
      <w:r w:rsidR="00FF41A0">
        <w:rPr>
          <w:color w:val="000000" w:themeColor="text1"/>
        </w:rPr>
        <w:t xml:space="preserve"> </w:t>
      </w:r>
      <w:r w:rsidRPr="00391180">
        <w:rPr>
          <w:color w:val="000000" w:themeColor="text1"/>
        </w:rPr>
        <w:t>dialogue</w:t>
      </w:r>
      <w:r w:rsidR="00FF41A0">
        <w:rPr>
          <w:color w:val="000000" w:themeColor="text1"/>
        </w:rPr>
        <w:t xml:space="preserve"> </w:t>
      </w:r>
      <w:r w:rsidRPr="00391180">
        <w:rPr>
          <w:color w:val="000000" w:themeColor="text1"/>
        </w:rPr>
        <w:t>with</w:t>
      </w:r>
      <w:r w:rsidR="00FF41A0">
        <w:rPr>
          <w:color w:val="000000" w:themeColor="text1"/>
        </w:rPr>
        <w:t xml:space="preserve"> </w:t>
      </w:r>
      <w:r w:rsidRPr="00391180">
        <w:rPr>
          <w:color w:val="000000" w:themeColor="text1"/>
        </w:rPr>
        <w:t>the</w:t>
      </w:r>
      <w:r w:rsidR="00FF41A0">
        <w:rPr>
          <w:color w:val="000000" w:themeColor="text1"/>
        </w:rPr>
        <w:t xml:space="preserve"> </w:t>
      </w:r>
      <w:r w:rsidRPr="00391180">
        <w:rPr>
          <w:color w:val="000000" w:themeColor="text1"/>
        </w:rPr>
        <w:t>Independent</w:t>
      </w:r>
      <w:r w:rsidR="00FF41A0">
        <w:rPr>
          <w:color w:val="000000" w:themeColor="text1"/>
        </w:rPr>
        <w:t xml:space="preserve"> </w:t>
      </w:r>
      <w:r w:rsidRPr="00391180">
        <w:rPr>
          <w:color w:val="000000" w:themeColor="text1"/>
        </w:rPr>
        <w:t>Commission</w:t>
      </w:r>
      <w:r w:rsidR="00FF41A0">
        <w:rPr>
          <w:color w:val="000000" w:themeColor="text1"/>
        </w:rPr>
        <w:t xml:space="preserve"> </w:t>
      </w:r>
      <w:r w:rsidRPr="00391180">
        <w:rPr>
          <w:color w:val="000000" w:themeColor="text1"/>
        </w:rPr>
        <w:t>of</w:t>
      </w:r>
      <w:r w:rsidR="00FF41A0">
        <w:rPr>
          <w:color w:val="000000" w:themeColor="text1"/>
        </w:rPr>
        <w:t xml:space="preserve"> </w:t>
      </w:r>
      <w:r w:rsidRPr="00391180">
        <w:rPr>
          <w:color w:val="000000" w:themeColor="text1"/>
        </w:rPr>
        <w:t>Inquiry</w:t>
      </w:r>
      <w:r w:rsidR="00FF41A0">
        <w:rPr>
          <w:color w:val="000000" w:themeColor="text1"/>
        </w:rPr>
        <w:t xml:space="preserve"> </w:t>
      </w:r>
      <w:r w:rsidRPr="00391180">
        <w:rPr>
          <w:color w:val="000000" w:themeColor="text1"/>
        </w:rPr>
        <w:t>on</w:t>
      </w:r>
      <w:r w:rsidR="00FF41A0">
        <w:rPr>
          <w:color w:val="000000" w:themeColor="text1"/>
        </w:rPr>
        <w:t xml:space="preserve"> </w:t>
      </w:r>
      <w:r w:rsidRPr="00391180">
        <w:rPr>
          <w:color w:val="000000" w:themeColor="text1"/>
        </w:rPr>
        <w:t>the</w:t>
      </w:r>
      <w:r w:rsidR="00FF41A0">
        <w:rPr>
          <w:color w:val="000000" w:themeColor="text1"/>
        </w:rPr>
        <w:t xml:space="preserve"> </w:t>
      </w:r>
      <w:r w:rsidRPr="00391180">
        <w:rPr>
          <w:color w:val="000000" w:themeColor="text1"/>
        </w:rPr>
        <w:t>2018</w:t>
      </w:r>
      <w:r w:rsidR="00FF41A0">
        <w:rPr>
          <w:color w:val="000000" w:themeColor="text1"/>
        </w:rPr>
        <w:t xml:space="preserve"> </w:t>
      </w:r>
      <w:r w:rsidRPr="00391180">
        <w:rPr>
          <w:color w:val="000000" w:themeColor="text1"/>
        </w:rPr>
        <w:t>protests</w:t>
      </w:r>
      <w:r w:rsidR="00FF41A0">
        <w:rPr>
          <w:color w:val="000000" w:themeColor="text1"/>
        </w:rPr>
        <w:t xml:space="preserve"> </w:t>
      </w:r>
      <w:r w:rsidRPr="00391180">
        <w:rPr>
          <w:color w:val="000000" w:themeColor="text1"/>
        </w:rPr>
        <w:t>in</w:t>
      </w:r>
      <w:r w:rsidR="00FF41A0">
        <w:rPr>
          <w:color w:val="000000" w:themeColor="text1"/>
        </w:rPr>
        <w:t xml:space="preserve"> </w:t>
      </w:r>
      <w:r w:rsidRPr="00391180">
        <w:rPr>
          <w:color w:val="000000" w:themeColor="text1"/>
        </w:rPr>
        <w:t>the</w:t>
      </w:r>
      <w:r w:rsidR="00FF41A0">
        <w:rPr>
          <w:color w:val="000000" w:themeColor="text1"/>
        </w:rPr>
        <w:t xml:space="preserve"> </w:t>
      </w:r>
      <w:r w:rsidRPr="00391180">
        <w:rPr>
          <w:color w:val="000000" w:themeColor="text1"/>
        </w:rPr>
        <w:t>Occupied</w:t>
      </w:r>
      <w:r w:rsidR="00FF41A0">
        <w:rPr>
          <w:color w:val="000000" w:themeColor="text1"/>
        </w:rPr>
        <w:t xml:space="preserve"> </w:t>
      </w:r>
      <w:r w:rsidRPr="00391180">
        <w:rPr>
          <w:color w:val="000000" w:themeColor="text1"/>
        </w:rPr>
        <w:t>Palestinian</w:t>
      </w:r>
      <w:r w:rsidR="00FF41A0">
        <w:rPr>
          <w:color w:val="000000" w:themeColor="text1"/>
        </w:rPr>
        <w:t xml:space="preserve"> </w:t>
      </w:r>
      <w:r w:rsidRPr="00391180">
        <w:rPr>
          <w:color w:val="000000" w:themeColor="text1"/>
        </w:rPr>
        <w:t>Territory</w:t>
      </w:r>
    </w:p>
    <w:p w14:paraId="37C2F01F" w14:textId="6EA507D4" w:rsidR="00862C90" w:rsidRDefault="00A74C9E" w:rsidP="00862C90">
      <w:pPr>
        <w:pStyle w:val="SingleTxtG"/>
        <w:rPr>
          <w:color w:val="000000" w:themeColor="text1"/>
          <w:sz w:val="20"/>
          <w:szCs w:val="20"/>
        </w:rPr>
      </w:pPr>
      <w:r>
        <w:rPr>
          <w:color w:val="000000" w:themeColor="text1"/>
          <w:sz w:val="20"/>
          <w:szCs w:val="20"/>
        </w:rPr>
        <w:t>922</w:t>
      </w:r>
      <w:r w:rsidR="00862C90" w:rsidRPr="0037538E">
        <w:rPr>
          <w:color w:val="000000" w:themeColor="text1"/>
          <w:sz w:val="20"/>
          <w:szCs w:val="20"/>
        </w:rPr>
        <w:t>.</w:t>
      </w:r>
      <w:r w:rsidR="00862C90" w:rsidRPr="0037538E">
        <w:rPr>
          <w:color w:val="000000" w:themeColor="text1"/>
          <w:sz w:val="20"/>
          <w:szCs w:val="20"/>
        </w:rPr>
        <w:tab/>
        <w:t>At</w:t>
      </w:r>
      <w:r w:rsidR="00FF41A0">
        <w:rPr>
          <w:color w:val="000000" w:themeColor="text1"/>
          <w:sz w:val="20"/>
          <w:szCs w:val="20"/>
        </w:rPr>
        <w:t xml:space="preserve"> </w:t>
      </w:r>
      <w:r w:rsidR="00862C90" w:rsidRPr="0037538E">
        <w:rPr>
          <w:color w:val="000000" w:themeColor="text1"/>
          <w:sz w:val="20"/>
          <w:szCs w:val="20"/>
        </w:rPr>
        <w:t>the</w:t>
      </w:r>
      <w:r w:rsidR="00FF41A0">
        <w:rPr>
          <w:color w:val="000000" w:themeColor="text1"/>
          <w:sz w:val="20"/>
          <w:szCs w:val="20"/>
        </w:rPr>
        <w:t xml:space="preserve"> </w:t>
      </w:r>
      <w:r w:rsidR="00862C90" w:rsidRPr="0037538E">
        <w:rPr>
          <w:color w:val="000000" w:themeColor="text1"/>
          <w:sz w:val="20"/>
          <w:szCs w:val="20"/>
        </w:rPr>
        <w:t>4</w:t>
      </w:r>
      <w:r w:rsidR="00862C90">
        <w:rPr>
          <w:color w:val="000000" w:themeColor="text1"/>
          <w:sz w:val="20"/>
          <w:szCs w:val="20"/>
        </w:rPr>
        <w:t>1st</w:t>
      </w:r>
      <w:r w:rsidR="00FF41A0">
        <w:rPr>
          <w:color w:val="000000" w:themeColor="text1"/>
          <w:sz w:val="20"/>
          <w:szCs w:val="20"/>
        </w:rPr>
        <w:t xml:space="preserve"> </w:t>
      </w:r>
      <w:r w:rsidR="00862C90" w:rsidRPr="0037538E">
        <w:rPr>
          <w:color w:val="000000" w:themeColor="text1"/>
          <w:sz w:val="20"/>
          <w:szCs w:val="20"/>
        </w:rPr>
        <w:t>meeting,</w:t>
      </w:r>
      <w:r w:rsidR="00FF41A0">
        <w:rPr>
          <w:color w:val="000000" w:themeColor="text1"/>
          <w:sz w:val="20"/>
          <w:szCs w:val="20"/>
        </w:rPr>
        <w:t xml:space="preserve"> </w:t>
      </w:r>
      <w:r w:rsidR="00862C90" w:rsidRPr="0037538E">
        <w:rPr>
          <w:color w:val="000000" w:themeColor="text1"/>
          <w:sz w:val="20"/>
          <w:szCs w:val="20"/>
        </w:rPr>
        <w:t>on</w:t>
      </w:r>
      <w:r w:rsidR="00FF41A0">
        <w:rPr>
          <w:color w:val="000000" w:themeColor="text1"/>
          <w:sz w:val="20"/>
          <w:szCs w:val="20"/>
        </w:rPr>
        <w:t xml:space="preserve"> </w:t>
      </w:r>
      <w:r w:rsidR="00862C90" w:rsidRPr="0037538E">
        <w:rPr>
          <w:color w:val="000000" w:themeColor="text1"/>
          <w:sz w:val="20"/>
          <w:szCs w:val="20"/>
        </w:rPr>
        <w:t>1</w:t>
      </w:r>
      <w:r w:rsidR="00862C90">
        <w:rPr>
          <w:color w:val="000000" w:themeColor="text1"/>
          <w:sz w:val="20"/>
          <w:szCs w:val="20"/>
        </w:rPr>
        <w:t>8</w:t>
      </w:r>
      <w:r w:rsidR="00FF41A0">
        <w:rPr>
          <w:color w:val="000000" w:themeColor="text1"/>
          <w:sz w:val="20"/>
          <w:szCs w:val="20"/>
        </w:rPr>
        <w:t xml:space="preserve"> </w:t>
      </w:r>
      <w:r w:rsidR="00862C90" w:rsidRPr="0037538E">
        <w:rPr>
          <w:color w:val="000000" w:themeColor="text1"/>
          <w:sz w:val="20"/>
          <w:szCs w:val="20"/>
        </w:rPr>
        <w:t>March</w:t>
      </w:r>
      <w:r w:rsidR="00FF41A0">
        <w:rPr>
          <w:color w:val="000000" w:themeColor="text1"/>
          <w:sz w:val="20"/>
          <w:szCs w:val="20"/>
        </w:rPr>
        <w:t xml:space="preserve"> </w:t>
      </w:r>
      <w:r w:rsidR="00862C90">
        <w:rPr>
          <w:color w:val="000000" w:themeColor="text1"/>
          <w:sz w:val="20"/>
          <w:szCs w:val="20"/>
        </w:rPr>
        <w:t>2019</w:t>
      </w:r>
      <w:r w:rsidR="00862C90" w:rsidRPr="0037538E">
        <w:rPr>
          <w:color w:val="000000" w:themeColor="text1"/>
          <w:sz w:val="20"/>
          <w:szCs w:val="20"/>
        </w:rPr>
        <w:t>,</w:t>
      </w:r>
      <w:r w:rsidR="00FF41A0">
        <w:rPr>
          <w:color w:val="000000" w:themeColor="text1"/>
          <w:sz w:val="20"/>
          <w:szCs w:val="20"/>
        </w:rPr>
        <w:t xml:space="preserve"> </w:t>
      </w:r>
      <w:r w:rsidR="00862C90">
        <w:rPr>
          <w:color w:val="000000" w:themeColor="text1"/>
          <w:sz w:val="20"/>
          <w:szCs w:val="20"/>
        </w:rPr>
        <w:t>p</w:t>
      </w:r>
      <w:r w:rsidR="00862C90" w:rsidRPr="00862C90">
        <w:rPr>
          <w:color w:val="000000" w:themeColor="text1"/>
          <w:sz w:val="20"/>
          <w:szCs w:val="20"/>
        </w:rPr>
        <w:t>ursuant</w:t>
      </w:r>
      <w:r w:rsidR="00FF41A0">
        <w:rPr>
          <w:color w:val="000000" w:themeColor="text1"/>
          <w:sz w:val="20"/>
          <w:szCs w:val="20"/>
        </w:rPr>
        <w:t xml:space="preserve"> </w:t>
      </w:r>
      <w:r w:rsidR="00862C90" w:rsidRPr="00862C90">
        <w:rPr>
          <w:color w:val="000000" w:themeColor="text1"/>
          <w:sz w:val="20"/>
          <w:szCs w:val="20"/>
        </w:rPr>
        <w:t>to</w:t>
      </w:r>
      <w:r w:rsidR="00FF41A0">
        <w:rPr>
          <w:color w:val="000000" w:themeColor="text1"/>
          <w:sz w:val="20"/>
          <w:szCs w:val="20"/>
        </w:rPr>
        <w:t xml:space="preserve"> </w:t>
      </w:r>
      <w:r w:rsidR="00862C90" w:rsidRPr="00862C90">
        <w:rPr>
          <w:color w:val="000000" w:themeColor="text1"/>
          <w:sz w:val="20"/>
          <w:szCs w:val="20"/>
        </w:rPr>
        <w:t>Human</w:t>
      </w:r>
      <w:r w:rsidR="00FF41A0">
        <w:rPr>
          <w:color w:val="000000" w:themeColor="text1"/>
          <w:sz w:val="20"/>
          <w:szCs w:val="20"/>
        </w:rPr>
        <w:t xml:space="preserve"> </w:t>
      </w:r>
      <w:r w:rsidR="00862C90" w:rsidRPr="00862C90">
        <w:rPr>
          <w:color w:val="000000" w:themeColor="text1"/>
          <w:sz w:val="20"/>
          <w:szCs w:val="20"/>
        </w:rPr>
        <w:t>Rights</w:t>
      </w:r>
      <w:r w:rsidR="00FF41A0">
        <w:rPr>
          <w:color w:val="000000" w:themeColor="text1"/>
          <w:sz w:val="20"/>
          <w:szCs w:val="20"/>
        </w:rPr>
        <w:t xml:space="preserve"> </w:t>
      </w:r>
      <w:r w:rsidR="00862C90" w:rsidRPr="00862C90">
        <w:rPr>
          <w:color w:val="000000" w:themeColor="text1"/>
          <w:sz w:val="20"/>
          <w:szCs w:val="20"/>
        </w:rPr>
        <w:t>Council</w:t>
      </w:r>
      <w:r w:rsidR="00FF41A0">
        <w:rPr>
          <w:color w:val="000000" w:themeColor="text1"/>
          <w:sz w:val="20"/>
          <w:szCs w:val="20"/>
        </w:rPr>
        <w:t xml:space="preserve"> </w:t>
      </w:r>
      <w:r w:rsidR="00862C90" w:rsidRPr="00862C90">
        <w:rPr>
          <w:color w:val="000000" w:themeColor="text1"/>
          <w:sz w:val="20"/>
          <w:szCs w:val="20"/>
        </w:rPr>
        <w:t>resolution</w:t>
      </w:r>
      <w:r w:rsidR="00FF41A0">
        <w:rPr>
          <w:color w:val="000000" w:themeColor="text1"/>
          <w:sz w:val="20"/>
          <w:szCs w:val="20"/>
        </w:rPr>
        <w:t xml:space="preserve"> </w:t>
      </w:r>
      <w:r w:rsidR="00862C90" w:rsidRPr="00862C90">
        <w:rPr>
          <w:color w:val="000000" w:themeColor="text1"/>
          <w:sz w:val="20"/>
          <w:szCs w:val="20"/>
        </w:rPr>
        <w:t>S-28/1,</w:t>
      </w:r>
      <w:r w:rsidR="00FF41A0">
        <w:rPr>
          <w:color w:val="000000" w:themeColor="text1"/>
          <w:sz w:val="20"/>
          <w:szCs w:val="20"/>
        </w:rPr>
        <w:t xml:space="preserve"> </w:t>
      </w:r>
      <w:r w:rsidR="00862C90" w:rsidRPr="00862C90">
        <w:rPr>
          <w:color w:val="000000" w:themeColor="text1"/>
          <w:sz w:val="20"/>
          <w:szCs w:val="20"/>
        </w:rPr>
        <w:t>the</w:t>
      </w:r>
      <w:r w:rsidR="00FF41A0">
        <w:rPr>
          <w:color w:val="000000" w:themeColor="text1"/>
          <w:sz w:val="20"/>
          <w:szCs w:val="20"/>
        </w:rPr>
        <w:t xml:space="preserve"> </w:t>
      </w:r>
      <w:r w:rsidR="00862C90">
        <w:rPr>
          <w:color w:val="000000" w:themeColor="text1"/>
          <w:sz w:val="20"/>
          <w:szCs w:val="20"/>
        </w:rPr>
        <w:t>Chairperson</w:t>
      </w:r>
      <w:r w:rsidR="00FF41A0">
        <w:rPr>
          <w:color w:val="000000" w:themeColor="text1"/>
          <w:sz w:val="20"/>
          <w:szCs w:val="20"/>
        </w:rPr>
        <w:t xml:space="preserve"> </w:t>
      </w:r>
      <w:r w:rsidR="00862C90">
        <w:rPr>
          <w:color w:val="000000" w:themeColor="text1"/>
          <w:sz w:val="20"/>
          <w:szCs w:val="20"/>
        </w:rPr>
        <w:t>of</w:t>
      </w:r>
      <w:r w:rsidR="00FF41A0">
        <w:rPr>
          <w:color w:val="000000" w:themeColor="text1"/>
          <w:sz w:val="20"/>
          <w:szCs w:val="20"/>
        </w:rPr>
        <w:t xml:space="preserve"> </w:t>
      </w:r>
      <w:r w:rsidR="00862C90">
        <w:rPr>
          <w:color w:val="000000" w:themeColor="text1"/>
          <w:sz w:val="20"/>
          <w:szCs w:val="20"/>
        </w:rPr>
        <w:t>the</w:t>
      </w:r>
      <w:r w:rsidR="00FF41A0">
        <w:rPr>
          <w:color w:val="000000" w:themeColor="text1"/>
          <w:sz w:val="20"/>
          <w:szCs w:val="20"/>
        </w:rPr>
        <w:t xml:space="preserve"> </w:t>
      </w:r>
      <w:r w:rsidR="00862C90" w:rsidRPr="00862C90">
        <w:rPr>
          <w:color w:val="000000" w:themeColor="text1"/>
          <w:sz w:val="20"/>
          <w:szCs w:val="20"/>
        </w:rPr>
        <w:t>Independent</w:t>
      </w:r>
      <w:r w:rsidR="00FF41A0">
        <w:rPr>
          <w:color w:val="000000" w:themeColor="text1"/>
          <w:sz w:val="20"/>
          <w:szCs w:val="20"/>
        </w:rPr>
        <w:t xml:space="preserve"> </w:t>
      </w:r>
      <w:r w:rsidR="00862C90" w:rsidRPr="00862C90">
        <w:rPr>
          <w:color w:val="000000" w:themeColor="text1"/>
          <w:sz w:val="20"/>
          <w:szCs w:val="20"/>
        </w:rPr>
        <w:t>Commission</w:t>
      </w:r>
      <w:r w:rsidR="00FF41A0">
        <w:rPr>
          <w:color w:val="000000" w:themeColor="text1"/>
          <w:sz w:val="20"/>
          <w:szCs w:val="20"/>
        </w:rPr>
        <w:t xml:space="preserve"> </w:t>
      </w:r>
      <w:r w:rsidR="00862C90" w:rsidRPr="00862C90">
        <w:rPr>
          <w:color w:val="000000" w:themeColor="text1"/>
          <w:sz w:val="20"/>
          <w:szCs w:val="20"/>
        </w:rPr>
        <w:t>of</w:t>
      </w:r>
      <w:r w:rsidR="00FF41A0">
        <w:rPr>
          <w:color w:val="000000" w:themeColor="text1"/>
          <w:sz w:val="20"/>
          <w:szCs w:val="20"/>
        </w:rPr>
        <w:t xml:space="preserve"> </w:t>
      </w:r>
      <w:r w:rsidR="00862C90" w:rsidRPr="00862C90">
        <w:rPr>
          <w:color w:val="000000" w:themeColor="text1"/>
          <w:sz w:val="20"/>
          <w:szCs w:val="20"/>
        </w:rPr>
        <w:t>Inquiry</w:t>
      </w:r>
      <w:r w:rsidR="00FF41A0">
        <w:rPr>
          <w:color w:val="000000" w:themeColor="text1"/>
          <w:sz w:val="20"/>
          <w:szCs w:val="20"/>
        </w:rPr>
        <w:t xml:space="preserve"> </w:t>
      </w:r>
      <w:r w:rsidR="00862C90" w:rsidRPr="00862C90">
        <w:rPr>
          <w:color w:val="000000" w:themeColor="text1"/>
          <w:sz w:val="20"/>
          <w:szCs w:val="20"/>
        </w:rPr>
        <w:t>on</w:t>
      </w:r>
      <w:r w:rsidR="00FF41A0">
        <w:rPr>
          <w:color w:val="000000" w:themeColor="text1"/>
          <w:sz w:val="20"/>
          <w:szCs w:val="20"/>
        </w:rPr>
        <w:t xml:space="preserve"> </w:t>
      </w:r>
      <w:r w:rsidR="00862C90" w:rsidRPr="00862C90">
        <w:rPr>
          <w:color w:val="000000" w:themeColor="text1"/>
          <w:sz w:val="20"/>
          <w:szCs w:val="20"/>
        </w:rPr>
        <w:t>the</w:t>
      </w:r>
      <w:r w:rsidR="00FF41A0">
        <w:rPr>
          <w:color w:val="000000" w:themeColor="text1"/>
          <w:sz w:val="20"/>
          <w:szCs w:val="20"/>
        </w:rPr>
        <w:t xml:space="preserve"> </w:t>
      </w:r>
      <w:r w:rsidR="00862C90" w:rsidRPr="00862C90">
        <w:rPr>
          <w:color w:val="000000" w:themeColor="text1"/>
          <w:sz w:val="20"/>
          <w:szCs w:val="20"/>
        </w:rPr>
        <w:t>2018</w:t>
      </w:r>
      <w:r w:rsidR="00FF41A0">
        <w:rPr>
          <w:color w:val="000000" w:themeColor="text1"/>
          <w:sz w:val="20"/>
          <w:szCs w:val="20"/>
        </w:rPr>
        <w:t xml:space="preserve"> </w:t>
      </w:r>
      <w:r w:rsidR="00862C90" w:rsidRPr="00862C90">
        <w:rPr>
          <w:color w:val="000000" w:themeColor="text1"/>
          <w:sz w:val="20"/>
          <w:szCs w:val="20"/>
        </w:rPr>
        <w:t>protests</w:t>
      </w:r>
      <w:r w:rsidR="00FF41A0">
        <w:rPr>
          <w:color w:val="000000" w:themeColor="text1"/>
          <w:sz w:val="20"/>
          <w:szCs w:val="20"/>
        </w:rPr>
        <w:t xml:space="preserve"> </w:t>
      </w:r>
      <w:r w:rsidR="00862C90" w:rsidRPr="00862C90">
        <w:rPr>
          <w:color w:val="000000" w:themeColor="text1"/>
          <w:sz w:val="20"/>
          <w:szCs w:val="20"/>
        </w:rPr>
        <w:t>in</w:t>
      </w:r>
      <w:r w:rsidR="00FF41A0">
        <w:rPr>
          <w:color w:val="000000" w:themeColor="text1"/>
          <w:sz w:val="20"/>
          <w:szCs w:val="20"/>
        </w:rPr>
        <w:t xml:space="preserve"> </w:t>
      </w:r>
      <w:r w:rsidR="00862C90" w:rsidRPr="00862C90">
        <w:rPr>
          <w:color w:val="000000" w:themeColor="text1"/>
          <w:sz w:val="20"/>
          <w:szCs w:val="20"/>
        </w:rPr>
        <w:t>the</w:t>
      </w:r>
      <w:r w:rsidR="00FF41A0">
        <w:rPr>
          <w:color w:val="000000" w:themeColor="text1"/>
          <w:sz w:val="20"/>
          <w:szCs w:val="20"/>
        </w:rPr>
        <w:t xml:space="preserve"> </w:t>
      </w:r>
      <w:r w:rsidR="00862C90" w:rsidRPr="00862C90">
        <w:rPr>
          <w:color w:val="000000" w:themeColor="text1"/>
          <w:sz w:val="20"/>
          <w:szCs w:val="20"/>
        </w:rPr>
        <w:t>Occupied</w:t>
      </w:r>
      <w:r w:rsidR="00FF41A0">
        <w:rPr>
          <w:color w:val="000000" w:themeColor="text1"/>
          <w:sz w:val="20"/>
          <w:szCs w:val="20"/>
        </w:rPr>
        <w:t xml:space="preserve"> </w:t>
      </w:r>
      <w:r w:rsidR="00862C90" w:rsidRPr="00862C90">
        <w:rPr>
          <w:color w:val="000000" w:themeColor="text1"/>
          <w:sz w:val="20"/>
          <w:szCs w:val="20"/>
        </w:rPr>
        <w:t>Palestinian</w:t>
      </w:r>
      <w:r w:rsidR="00FF41A0">
        <w:rPr>
          <w:color w:val="000000" w:themeColor="text1"/>
          <w:sz w:val="20"/>
          <w:szCs w:val="20"/>
        </w:rPr>
        <w:t xml:space="preserve"> </w:t>
      </w:r>
      <w:r w:rsidR="00862C90" w:rsidRPr="00862C90">
        <w:rPr>
          <w:color w:val="000000" w:themeColor="text1"/>
          <w:sz w:val="20"/>
          <w:szCs w:val="20"/>
        </w:rPr>
        <w:t>Territory</w:t>
      </w:r>
      <w:r w:rsidR="00862C90">
        <w:rPr>
          <w:color w:val="000000" w:themeColor="text1"/>
          <w:sz w:val="20"/>
          <w:szCs w:val="20"/>
        </w:rPr>
        <w:t>,</w:t>
      </w:r>
      <w:r w:rsidR="00FF41A0">
        <w:rPr>
          <w:color w:val="000000" w:themeColor="text1"/>
          <w:sz w:val="20"/>
          <w:szCs w:val="20"/>
        </w:rPr>
        <w:t xml:space="preserve"> </w:t>
      </w:r>
      <w:r w:rsidR="00862C90" w:rsidRPr="00862C90">
        <w:rPr>
          <w:color w:val="000000" w:themeColor="text1"/>
          <w:sz w:val="20"/>
          <w:szCs w:val="20"/>
        </w:rPr>
        <w:t>Santiago</w:t>
      </w:r>
      <w:r w:rsidR="00FF41A0">
        <w:rPr>
          <w:color w:val="000000" w:themeColor="text1"/>
          <w:sz w:val="20"/>
          <w:szCs w:val="20"/>
        </w:rPr>
        <w:t xml:space="preserve"> </w:t>
      </w:r>
      <w:r w:rsidR="00862C90" w:rsidRPr="00862C90">
        <w:rPr>
          <w:color w:val="000000" w:themeColor="text1"/>
          <w:sz w:val="20"/>
          <w:szCs w:val="20"/>
        </w:rPr>
        <w:t>Canton</w:t>
      </w:r>
      <w:r w:rsidR="00862C90">
        <w:rPr>
          <w:color w:val="000000" w:themeColor="text1"/>
          <w:sz w:val="20"/>
          <w:szCs w:val="20"/>
        </w:rPr>
        <w:t>,</w:t>
      </w:r>
      <w:r w:rsidR="00FF41A0">
        <w:rPr>
          <w:color w:val="000000" w:themeColor="text1"/>
          <w:sz w:val="20"/>
          <w:szCs w:val="20"/>
        </w:rPr>
        <w:t xml:space="preserve"> </w:t>
      </w:r>
      <w:r w:rsidR="00862C90">
        <w:rPr>
          <w:color w:val="000000" w:themeColor="text1"/>
          <w:sz w:val="20"/>
          <w:szCs w:val="20"/>
        </w:rPr>
        <w:t>presented</w:t>
      </w:r>
      <w:r w:rsidR="00FF41A0">
        <w:rPr>
          <w:color w:val="000000" w:themeColor="text1"/>
          <w:sz w:val="20"/>
          <w:szCs w:val="20"/>
        </w:rPr>
        <w:t xml:space="preserve"> </w:t>
      </w:r>
      <w:r w:rsidR="00862C90">
        <w:rPr>
          <w:color w:val="000000" w:themeColor="text1"/>
          <w:sz w:val="20"/>
          <w:szCs w:val="20"/>
        </w:rPr>
        <w:t>the</w:t>
      </w:r>
      <w:r w:rsidR="00FF41A0">
        <w:rPr>
          <w:color w:val="000000" w:themeColor="text1"/>
          <w:sz w:val="20"/>
          <w:szCs w:val="20"/>
        </w:rPr>
        <w:t xml:space="preserve"> </w:t>
      </w:r>
      <w:r w:rsidR="00862C90" w:rsidRPr="00862C90">
        <w:rPr>
          <w:color w:val="000000" w:themeColor="text1"/>
          <w:sz w:val="20"/>
          <w:szCs w:val="20"/>
        </w:rPr>
        <w:t>final</w:t>
      </w:r>
      <w:r w:rsidR="00FF41A0">
        <w:rPr>
          <w:color w:val="000000" w:themeColor="text1"/>
          <w:sz w:val="20"/>
          <w:szCs w:val="20"/>
        </w:rPr>
        <w:t xml:space="preserve"> </w:t>
      </w:r>
      <w:r w:rsidR="00862C90" w:rsidRPr="00862C90">
        <w:rPr>
          <w:color w:val="000000" w:themeColor="text1"/>
          <w:sz w:val="20"/>
          <w:szCs w:val="20"/>
        </w:rPr>
        <w:t>report</w:t>
      </w:r>
      <w:r w:rsidR="00FF41A0">
        <w:rPr>
          <w:color w:val="000000" w:themeColor="text1"/>
          <w:sz w:val="20"/>
          <w:szCs w:val="20"/>
        </w:rPr>
        <w:t xml:space="preserve"> </w:t>
      </w:r>
      <w:r w:rsidR="00862C90" w:rsidRPr="00862C90">
        <w:rPr>
          <w:color w:val="000000" w:themeColor="text1"/>
          <w:sz w:val="20"/>
          <w:szCs w:val="20"/>
        </w:rPr>
        <w:t>of</w:t>
      </w:r>
      <w:r w:rsidR="00FF41A0">
        <w:rPr>
          <w:color w:val="000000" w:themeColor="text1"/>
          <w:sz w:val="20"/>
          <w:szCs w:val="20"/>
        </w:rPr>
        <w:t xml:space="preserve"> </w:t>
      </w:r>
      <w:r w:rsidR="00862C90" w:rsidRPr="00862C90">
        <w:rPr>
          <w:color w:val="000000" w:themeColor="text1"/>
          <w:sz w:val="20"/>
          <w:szCs w:val="20"/>
        </w:rPr>
        <w:t>the</w:t>
      </w:r>
      <w:r w:rsidR="00FF41A0">
        <w:rPr>
          <w:color w:val="000000" w:themeColor="text1"/>
          <w:sz w:val="20"/>
          <w:szCs w:val="20"/>
        </w:rPr>
        <w:t xml:space="preserve"> </w:t>
      </w:r>
      <w:r w:rsidR="00862C90" w:rsidRPr="00862C90">
        <w:rPr>
          <w:color w:val="000000" w:themeColor="text1"/>
          <w:sz w:val="20"/>
          <w:szCs w:val="20"/>
        </w:rPr>
        <w:t>independent,</w:t>
      </w:r>
      <w:r w:rsidR="00FF41A0">
        <w:rPr>
          <w:color w:val="000000" w:themeColor="text1"/>
          <w:sz w:val="20"/>
          <w:szCs w:val="20"/>
        </w:rPr>
        <w:t xml:space="preserve"> </w:t>
      </w:r>
      <w:r w:rsidR="00862C90" w:rsidRPr="00862C90">
        <w:rPr>
          <w:color w:val="000000" w:themeColor="text1"/>
          <w:sz w:val="20"/>
          <w:szCs w:val="20"/>
        </w:rPr>
        <w:t>international</w:t>
      </w:r>
      <w:r w:rsidR="00FF41A0">
        <w:rPr>
          <w:color w:val="000000" w:themeColor="text1"/>
          <w:sz w:val="20"/>
          <w:szCs w:val="20"/>
        </w:rPr>
        <w:t xml:space="preserve"> </w:t>
      </w:r>
      <w:r w:rsidR="00862C90" w:rsidRPr="00862C90">
        <w:rPr>
          <w:color w:val="000000" w:themeColor="text1"/>
          <w:sz w:val="20"/>
          <w:szCs w:val="20"/>
        </w:rPr>
        <w:t>commission</w:t>
      </w:r>
      <w:r w:rsidR="00FF41A0">
        <w:rPr>
          <w:color w:val="000000" w:themeColor="text1"/>
          <w:sz w:val="20"/>
          <w:szCs w:val="20"/>
        </w:rPr>
        <w:t xml:space="preserve"> </w:t>
      </w:r>
      <w:r w:rsidR="00862C90" w:rsidRPr="00862C90">
        <w:rPr>
          <w:color w:val="000000" w:themeColor="text1"/>
          <w:sz w:val="20"/>
          <w:szCs w:val="20"/>
        </w:rPr>
        <w:t>of</w:t>
      </w:r>
      <w:r w:rsidR="00FF41A0">
        <w:rPr>
          <w:color w:val="000000" w:themeColor="text1"/>
          <w:sz w:val="20"/>
          <w:szCs w:val="20"/>
        </w:rPr>
        <w:t xml:space="preserve"> </w:t>
      </w:r>
      <w:r w:rsidR="00862C90" w:rsidRPr="00862C90">
        <w:rPr>
          <w:color w:val="000000" w:themeColor="text1"/>
          <w:sz w:val="20"/>
          <w:szCs w:val="20"/>
        </w:rPr>
        <w:t>inquiry</w:t>
      </w:r>
      <w:r w:rsidR="00FF41A0">
        <w:rPr>
          <w:color w:val="000000" w:themeColor="text1"/>
          <w:sz w:val="20"/>
          <w:szCs w:val="20"/>
        </w:rPr>
        <w:t xml:space="preserve"> </w:t>
      </w:r>
      <w:r w:rsidR="00862C90" w:rsidRPr="00862C90">
        <w:rPr>
          <w:color w:val="000000" w:themeColor="text1"/>
          <w:sz w:val="20"/>
          <w:szCs w:val="20"/>
        </w:rPr>
        <w:t>to</w:t>
      </w:r>
      <w:r w:rsidR="00FF41A0">
        <w:rPr>
          <w:color w:val="000000" w:themeColor="text1"/>
          <w:sz w:val="20"/>
          <w:szCs w:val="20"/>
        </w:rPr>
        <w:t xml:space="preserve"> </w:t>
      </w:r>
      <w:r w:rsidR="00862C90" w:rsidRPr="00862C90">
        <w:rPr>
          <w:color w:val="000000" w:themeColor="text1"/>
          <w:sz w:val="20"/>
          <w:szCs w:val="20"/>
        </w:rPr>
        <w:t>investigate</w:t>
      </w:r>
      <w:r w:rsidR="00FF41A0">
        <w:rPr>
          <w:color w:val="000000" w:themeColor="text1"/>
          <w:sz w:val="20"/>
          <w:szCs w:val="20"/>
        </w:rPr>
        <w:t xml:space="preserve"> </w:t>
      </w:r>
      <w:r w:rsidR="00862C90" w:rsidRPr="00862C90">
        <w:rPr>
          <w:color w:val="000000" w:themeColor="text1"/>
          <w:sz w:val="20"/>
          <w:szCs w:val="20"/>
        </w:rPr>
        <w:t>all</w:t>
      </w:r>
      <w:r w:rsidR="00FF41A0">
        <w:rPr>
          <w:color w:val="000000" w:themeColor="text1"/>
          <w:sz w:val="20"/>
          <w:szCs w:val="20"/>
        </w:rPr>
        <w:t xml:space="preserve"> </w:t>
      </w:r>
      <w:r w:rsidR="00862C90" w:rsidRPr="00862C90">
        <w:rPr>
          <w:color w:val="000000" w:themeColor="text1"/>
          <w:sz w:val="20"/>
          <w:szCs w:val="20"/>
        </w:rPr>
        <w:t>alleged</w:t>
      </w:r>
      <w:r w:rsidR="00FF41A0">
        <w:rPr>
          <w:color w:val="000000" w:themeColor="text1"/>
          <w:sz w:val="20"/>
          <w:szCs w:val="20"/>
        </w:rPr>
        <w:t xml:space="preserve"> </w:t>
      </w:r>
      <w:r w:rsidR="00862C90" w:rsidRPr="00862C90">
        <w:rPr>
          <w:color w:val="000000" w:themeColor="text1"/>
          <w:sz w:val="20"/>
          <w:szCs w:val="20"/>
        </w:rPr>
        <w:t>violations</w:t>
      </w:r>
      <w:r w:rsidR="00FF41A0">
        <w:rPr>
          <w:color w:val="000000" w:themeColor="text1"/>
          <w:sz w:val="20"/>
          <w:szCs w:val="20"/>
        </w:rPr>
        <w:t xml:space="preserve"> </w:t>
      </w:r>
      <w:r w:rsidR="00862C90" w:rsidRPr="00862C90">
        <w:rPr>
          <w:color w:val="000000" w:themeColor="text1"/>
          <w:sz w:val="20"/>
          <w:szCs w:val="20"/>
        </w:rPr>
        <w:t>and</w:t>
      </w:r>
      <w:r w:rsidR="00FF41A0">
        <w:rPr>
          <w:color w:val="000000" w:themeColor="text1"/>
          <w:sz w:val="20"/>
          <w:szCs w:val="20"/>
        </w:rPr>
        <w:t xml:space="preserve"> </w:t>
      </w:r>
      <w:r w:rsidR="00862C90" w:rsidRPr="00862C90">
        <w:rPr>
          <w:color w:val="000000" w:themeColor="text1"/>
          <w:sz w:val="20"/>
          <w:szCs w:val="20"/>
        </w:rPr>
        <w:t>abuses</w:t>
      </w:r>
      <w:r w:rsidR="00FF41A0">
        <w:rPr>
          <w:color w:val="000000" w:themeColor="text1"/>
          <w:sz w:val="20"/>
          <w:szCs w:val="20"/>
        </w:rPr>
        <w:t xml:space="preserve"> </w:t>
      </w:r>
      <w:r w:rsidR="00862C90" w:rsidRPr="00862C90">
        <w:rPr>
          <w:color w:val="000000" w:themeColor="text1"/>
          <w:sz w:val="20"/>
          <w:szCs w:val="20"/>
        </w:rPr>
        <w:t>of</w:t>
      </w:r>
      <w:r w:rsidR="00FF41A0">
        <w:rPr>
          <w:color w:val="000000" w:themeColor="text1"/>
          <w:sz w:val="20"/>
          <w:szCs w:val="20"/>
        </w:rPr>
        <w:t xml:space="preserve"> </w:t>
      </w:r>
      <w:r w:rsidR="00862C90" w:rsidRPr="00862C90">
        <w:rPr>
          <w:color w:val="000000" w:themeColor="text1"/>
          <w:sz w:val="20"/>
          <w:szCs w:val="20"/>
        </w:rPr>
        <w:t>international</w:t>
      </w:r>
      <w:r w:rsidR="00FF41A0">
        <w:rPr>
          <w:color w:val="000000" w:themeColor="text1"/>
          <w:sz w:val="20"/>
          <w:szCs w:val="20"/>
        </w:rPr>
        <w:t xml:space="preserve"> </w:t>
      </w:r>
      <w:r w:rsidR="00862C90" w:rsidRPr="00862C90">
        <w:rPr>
          <w:color w:val="000000" w:themeColor="text1"/>
          <w:sz w:val="20"/>
          <w:szCs w:val="20"/>
        </w:rPr>
        <w:t>humanitarian</w:t>
      </w:r>
      <w:r w:rsidR="00FF41A0">
        <w:rPr>
          <w:color w:val="000000" w:themeColor="text1"/>
          <w:sz w:val="20"/>
          <w:szCs w:val="20"/>
        </w:rPr>
        <w:t xml:space="preserve"> </w:t>
      </w:r>
      <w:r w:rsidR="00862C90" w:rsidRPr="00862C90">
        <w:rPr>
          <w:color w:val="000000" w:themeColor="text1"/>
          <w:sz w:val="20"/>
          <w:szCs w:val="20"/>
        </w:rPr>
        <w:t>law</w:t>
      </w:r>
      <w:r w:rsidR="00FF41A0">
        <w:rPr>
          <w:color w:val="000000" w:themeColor="text1"/>
          <w:sz w:val="20"/>
          <w:szCs w:val="20"/>
        </w:rPr>
        <w:t xml:space="preserve"> </w:t>
      </w:r>
      <w:r w:rsidR="00862C90" w:rsidRPr="00862C90">
        <w:rPr>
          <w:color w:val="000000" w:themeColor="text1"/>
          <w:sz w:val="20"/>
          <w:szCs w:val="20"/>
        </w:rPr>
        <w:t>and</w:t>
      </w:r>
      <w:r w:rsidR="00FF41A0">
        <w:rPr>
          <w:color w:val="000000" w:themeColor="text1"/>
          <w:sz w:val="20"/>
          <w:szCs w:val="20"/>
        </w:rPr>
        <w:t xml:space="preserve"> </w:t>
      </w:r>
      <w:r w:rsidR="00862C90" w:rsidRPr="00862C90">
        <w:rPr>
          <w:color w:val="000000" w:themeColor="text1"/>
          <w:sz w:val="20"/>
          <w:szCs w:val="20"/>
        </w:rPr>
        <w:t>international</w:t>
      </w:r>
      <w:r w:rsidR="00FF41A0">
        <w:rPr>
          <w:color w:val="000000" w:themeColor="text1"/>
          <w:sz w:val="20"/>
          <w:szCs w:val="20"/>
        </w:rPr>
        <w:t xml:space="preserve"> </w:t>
      </w:r>
      <w:r w:rsidR="00862C90" w:rsidRPr="00862C90">
        <w:rPr>
          <w:color w:val="000000" w:themeColor="text1"/>
          <w:sz w:val="20"/>
          <w:szCs w:val="20"/>
        </w:rPr>
        <w:t>human</w:t>
      </w:r>
      <w:r w:rsidR="00FF41A0">
        <w:rPr>
          <w:color w:val="000000" w:themeColor="text1"/>
          <w:sz w:val="20"/>
          <w:szCs w:val="20"/>
        </w:rPr>
        <w:t xml:space="preserve"> </w:t>
      </w:r>
      <w:r w:rsidR="00862C90" w:rsidRPr="00862C90">
        <w:rPr>
          <w:color w:val="000000" w:themeColor="text1"/>
          <w:sz w:val="20"/>
          <w:szCs w:val="20"/>
        </w:rPr>
        <w:t>rights</w:t>
      </w:r>
      <w:r w:rsidR="00FF41A0">
        <w:rPr>
          <w:color w:val="000000" w:themeColor="text1"/>
          <w:sz w:val="20"/>
          <w:szCs w:val="20"/>
        </w:rPr>
        <w:t xml:space="preserve"> </w:t>
      </w:r>
      <w:r w:rsidR="00862C90" w:rsidRPr="00862C90">
        <w:rPr>
          <w:color w:val="000000" w:themeColor="text1"/>
          <w:sz w:val="20"/>
          <w:szCs w:val="20"/>
        </w:rPr>
        <w:t>law</w:t>
      </w:r>
      <w:r w:rsidR="00FF41A0">
        <w:rPr>
          <w:color w:val="000000" w:themeColor="text1"/>
          <w:sz w:val="20"/>
          <w:szCs w:val="20"/>
        </w:rPr>
        <w:t xml:space="preserve"> </w:t>
      </w:r>
      <w:r w:rsidR="00862C90" w:rsidRPr="00862C90">
        <w:rPr>
          <w:color w:val="000000" w:themeColor="text1"/>
          <w:sz w:val="20"/>
          <w:szCs w:val="20"/>
        </w:rPr>
        <w:t>in</w:t>
      </w:r>
      <w:r w:rsidR="00FF41A0">
        <w:rPr>
          <w:color w:val="000000" w:themeColor="text1"/>
          <w:sz w:val="20"/>
          <w:szCs w:val="20"/>
        </w:rPr>
        <w:t xml:space="preserve"> </w:t>
      </w:r>
      <w:r w:rsidR="00862C90" w:rsidRPr="00862C90">
        <w:rPr>
          <w:color w:val="000000" w:themeColor="text1"/>
          <w:sz w:val="20"/>
          <w:szCs w:val="20"/>
        </w:rPr>
        <w:t>the</w:t>
      </w:r>
      <w:r w:rsidR="00FF41A0">
        <w:rPr>
          <w:color w:val="000000" w:themeColor="text1"/>
          <w:sz w:val="20"/>
          <w:szCs w:val="20"/>
        </w:rPr>
        <w:t xml:space="preserve"> </w:t>
      </w:r>
      <w:r w:rsidR="00862C90" w:rsidRPr="00862C90">
        <w:rPr>
          <w:color w:val="000000" w:themeColor="text1"/>
          <w:sz w:val="20"/>
          <w:szCs w:val="20"/>
        </w:rPr>
        <w:t>Occupied</w:t>
      </w:r>
      <w:r w:rsidR="00FF41A0">
        <w:rPr>
          <w:color w:val="000000" w:themeColor="text1"/>
          <w:sz w:val="20"/>
          <w:szCs w:val="20"/>
        </w:rPr>
        <w:t xml:space="preserve"> </w:t>
      </w:r>
      <w:r w:rsidR="00862C90" w:rsidRPr="00862C90">
        <w:rPr>
          <w:color w:val="000000" w:themeColor="text1"/>
          <w:sz w:val="20"/>
          <w:szCs w:val="20"/>
        </w:rPr>
        <w:t>Palestinian</w:t>
      </w:r>
      <w:r w:rsidR="00FF41A0">
        <w:rPr>
          <w:color w:val="000000" w:themeColor="text1"/>
          <w:sz w:val="20"/>
          <w:szCs w:val="20"/>
        </w:rPr>
        <w:t xml:space="preserve"> </w:t>
      </w:r>
      <w:r w:rsidR="00862C90" w:rsidRPr="00862C90">
        <w:rPr>
          <w:color w:val="000000" w:themeColor="text1"/>
          <w:sz w:val="20"/>
          <w:szCs w:val="20"/>
        </w:rPr>
        <w:t>Territory,</w:t>
      </w:r>
      <w:r w:rsidR="00FF41A0">
        <w:rPr>
          <w:color w:val="000000" w:themeColor="text1"/>
          <w:sz w:val="20"/>
          <w:szCs w:val="20"/>
        </w:rPr>
        <w:t xml:space="preserve"> </w:t>
      </w:r>
      <w:r w:rsidR="00862C90" w:rsidRPr="00862C90">
        <w:rPr>
          <w:color w:val="000000" w:themeColor="text1"/>
          <w:sz w:val="20"/>
          <w:szCs w:val="20"/>
        </w:rPr>
        <w:t>including</w:t>
      </w:r>
      <w:r w:rsidR="00FF41A0">
        <w:rPr>
          <w:color w:val="000000" w:themeColor="text1"/>
          <w:sz w:val="20"/>
          <w:szCs w:val="20"/>
        </w:rPr>
        <w:t xml:space="preserve"> </w:t>
      </w:r>
      <w:r w:rsidR="00862C90" w:rsidRPr="00862C90">
        <w:rPr>
          <w:color w:val="000000" w:themeColor="text1"/>
          <w:sz w:val="20"/>
          <w:szCs w:val="20"/>
        </w:rPr>
        <w:t>East</w:t>
      </w:r>
      <w:r w:rsidR="00FF41A0">
        <w:rPr>
          <w:color w:val="000000" w:themeColor="text1"/>
          <w:sz w:val="20"/>
          <w:szCs w:val="20"/>
        </w:rPr>
        <w:t xml:space="preserve"> </w:t>
      </w:r>
      <w:r w:rsidR="00862C90" w:rsidRPr="00862C90">
        <w:rPr>
          <w:color w:val="000000" w:themeColor="text1"/>
          <w:sz w:val="20"/>
          <w:szCs w:val="20"/>
        </w:rPr>
        <w:t>Jerusalem,</w:t>
      </w:r>
      <w:r w:rsidR="00FF41A0">
        <w:rPr>
          <w:color w:val="000000" w:themeColor="text1"/>
          <w:sz w:val="20"/>
          <w:szCs w:val="20"/>
        </w:rPr>
        <w:t xml:space="preserve"> </w:t>
      </w:r>
      <w:r w:rsidR="00862C90" w:rsidRPr="00862C90">
        <w:rPr>
          <w:color w:val="000000" w:themeColor="text1"/>
          <w:sz w:val="20"/>
          <w:szCs w:val="20"/>
        </w:rPr>
        <w:t>particularly</w:t>
      </w:r>
      <w:r w:rsidR="00FF41A0">
        <w:rPr>
          <w:color w:val="000000" w:themeColor="text1"/>
          <w:sz w:val="20"/>
          <w:szCs w:val="20"/>
        </w:rPr>
        <w:t xml:space="preserve"> </w:t>
      </w:r>
      <w:r w:rsidR="00862C90" w:rsidRPr="00862C90">
        <w:rPr>
          <w:color w:val="000000" w:themeColor="text1"/>
          <w:sz w:val="20"/>
          <w:szCs w:val="20"/>
        </w:rPr>
        <w:t>in</w:t>
      </w:r>
      <w:r w:rsidR="00FF41A0">
        <w:rPr>
          <w:color w:val="000000" w:themeColor="text1"/>
          <w:sz w:val="20"/>
          <w:szCs w:val="20"/>
        </w:rPr>
        <w:t xml:space="preserve"> </w:t>
      </w:r>
      <w:r w:rsidR="00862C90" w:rsidRPr="00862C90">
        <w:rPr>
          <w:color w:val="000000" w:themeColor="text1"/>
          <w:sz w:val="20"/>
          <w:szCs w:val="20"/>
        </w:rPr>
        <w:t>the</w:t>
      </w:r>
      <w:r w:rsidR="00FF41A0">
        <w:rPr>
          <w:color w:val="000000" w:themeColor="text1"/>
          <w:sz w:val="20"/>
          <w:szCs w:val="20"/>
        </w:rPr>
        <w:t xml:space="preserve"> </w:t>
      </w:r>
      <w:r w:rsidR="00862C90" w:rsidRPr="00862C90">
        <w:rPr>
          <w:color w:val="000000" w:themeColor="text1"/>
          <w:sz w:val="20"/>
          <w:szCs w:val="20"/>
        </w:rPr>
        <w:t>occupied</w:t>
      </w:r>
      <w:r w:rsidR="00FF41A0">
        <w:rPr>
          <w:color w:val="000000" w:themeColor="text1"/>
          <w:sz w:val="20"/>
          <w:szCs w:val="20"/>
        </w:rPr>
        <w:t xml:space="preserve"> </w:t>
      </w:r>
      <w:r w:rsidR="00862C90" w:rsidRPr="00862C90">
        <w:rPr>
          <w:color w:val="000000" w:themeColor="text1"/>
          <w:sz w:val="20"/>
          <w:szCs w:val="20"/>
        </w:rPr>
        <w:t>Gaza</w:t>
      </w:r>
      <w:r w:rsidR="00FF41A0">
        <w:rPr>
          <w:color w:val="000000" w:themeColor="text1"/>
          <w:sz w:val="20"/>
          <w:szCs w:val="20"/>
        </w:rPr>
        <w:t xml:space="preserve"> </w:t>
      </w:r>
      <w:r w:rsidR="00862C90" w:rsidRPr="00862C90">
        <w:rPr>
          <w:color w:val="000000" w:themeColor="text1"/>
          <w:sz w:val="20"/>
          <w:szCs w:val="20"/>
        </w:rPr>
        <w:t>Strip,</w:t>
      </w:r>
      <w:r w:rsidR="00FF41A0">
        <w:rPr>
          <w:color w:val="000000" w:themeColor="text1"/>
          <w:sz w:val="20"/>
          <w:szCs w:val="20"/>
        </w:rPr>
        <w:t xml:space="preserve"> </w:t>
      </w:r>
      <w:r w:rsidR="00862C90" w:rsidRPr="00862C90">
        <w:rPr>
          <w:color w:val="000000" w:themeColor="text1"/>
          <w:sz w:val="20"/>
          <w:szCs w:val="20"/>
        </w:rPr>
        <w:t>in</w:t>
      </w:r>
      <w:r w:rsidR="00FF41A0">
        <w:rPr>
          <w:color w:val="000000" w:themeColor="text1"/>
          <w:sz w:val="20"/>
          <w:szCs w:val="20"/>
        </w:rPr>
        <w:t xml:space="preserve"> </w:t>
      </w:r>
      <w:r w:rsidR="00862C90" w:rsidRPr="00862C90">
        <w:rPr>
          <w:color w:val="000000" w:themeColor="text1"/>
          <w:sz w:val="20"/>
          <w:szCs w:val="20"/>
        </w:rPr>
        <w:t>the</w:t>
      </w:r>
      <w:r w:rsidR="00FF41A0">
        <w:rPr>
          <w:color w:val="000000" w:themeColor="text1"/>
          <w:sz w:val="20"/>
          <w:szCs w:val="20"/>
        </w:rPr>
        <w:t xml:space="preserve"> </w:t>
      </w:r>
      <w:r w:rsidR="00862C90" w:rsidRPr="00862C90">
        <w:rPr>
          <w:color w:val="000000" w:themeColor="text1"/>
          <w:sz w:val="20"/>
          <w:szCs w:val="20"/>
        </w:rPr>
        <w:t>context</w:t>
      </w:r>
      <w:r w:rsidR="00FF41A0">
        <w:rPr>
          <w:color w:val="000000" w:themeColor="text1"/>
          <w:sz w:val="20"/>
          <w:szCs w:val="20"/>
        </w:rPr>
        <w:t xml:space="preserve"> </w:t>
      </w:r>
      <w:r w:rsidR="00862C90" w:rsidRPr="00862C90">
        <w:rPr>
          <w:color w:val="000000" w:themeColor="text1"/>
          <w:sz w:val="20"/>
          <w:szCs w:val="20"/>
        </w:rPr>
        <w:t>of</w:t>
      </w:r>
      <w:r w:rsidR="00FF41A0">
        <w:rPr>
          <w:color w:val="000000" w:themeColor="text1"/>
          <w:sz w:val="20"/>
          <w:szCs w:val="20"/>
        </w:rPr>
        <w:t xml:space="preserve"> </w:t>
      </w:r>
      <w:r w:rsidR="00862C90" w:rsidRPr="00862C90">
        <w:rPr>
          <w:color w:val="000000" w:themeColor="text1"/>
          <w:sz w:val="20"/>
          <w:szCs w:val="20"/>
        </w:rPr>
        <w:t>the</w:t>
      </w:r>
      <w:r w:rsidR="00FF41A0">
        <w:rPr>
          <w:color w:val="000000" w:themeColor="text1"/>
          <w:sz w:val="20"/>
          <w:szCs w:val="20"/>
        </w:rPr>
        <w:t xml:space="preserve"> </w:t>
      </w:r>
      <w:r w:rsidR="00862C90" w:rsidRPr="00862C90">
        <w:rPr>
          <w:color w:val="000000" w:themeColor="text1"/>
          <w:sz w:val="20"/>
          <w:szCs w:val="20"/>
        </w:rPr>
        <w:t>military</w:t>
      </w:r>
      <w:r w:rsidR="00FF41A0">
        <w:rPr>
          <w:color w:val="000000" w:themeColor="text1"/>
          <w:sz w:val="20"/>
          <w:szCs w:val="20"/>
        </w:rPr>
        <w:t xml:space="preserve"> </w:t>
      </w:r>
      <w:r w:rsidR="00862C90" w:rsidRPr="00862C90">
        <w:rPr>
          <w:color w:val="000000" w:themeColor="text1"/>
          <w:sz w:val="20"/>
          <w:szCs w:val="20"/>
        </w:rPr>
        <w:t>assaults</w:t>
      </w:r>
      <w:r w:rsidR="00FF41A0">
        <w:rPr>
          <w:color w:val="000000" w:themeColor="text1"/>
          <w:sz w:val="20"/>
          <w:szCs w:val="20"/>
        </w:rPr>
        <w:t xml:space="preserve"> </w:t>
      </w:r>
      <w:r w:rsidR="00862C90" w:rsidRPr="00862C90">
        <w:rPr>
          <w:color w:val="000000" w:themeColor="text1"/>
          <w:sz w:val="20"/>
          <w:szCs w:val="20"/>
        </w:rPr>
        <w:t>on</w:t>
      </w:r>
      <w:r w:rsidR="00FF41A0">
        <w:rPr>
          <w:color w:val="000000" w:themeColor="text1"/>
          <w:sz w:val="20"/>
          <w:szCs w:val="20"/>
        </w:rPr>
        <w:t xml:space="preserve"> </w:t>
      </w:r>
      <w:r w:rsidR="00862C90" w:rsidRPr="00862C90">
        <w:rPr>
          <w:color w:val="000000" w:themeColor="text1"/>
          <w:sz w:val="20"/>
          <w:szCs w:val="20"/>
        </w:rPr>
        <w:t>the</w:t>
      </w:r>
      <w:r w:rsidR="00FF41A0">
        <w:rPr>
          <w:color w:val="000000" w:themeColor="text1"/>
          <w:sz w:val="20"/>
          <w:szCs w:val="20"/>
        </w:rPr>
        <w:t xml:space="preserve"> </w:t>
      </w:r>
      <w:r w:rsidR="00862C90" w:rsidRPr="00862C90">
        <w:rPr>
          <w:color w:val="000000" w:themeColor="text1"/>
          <w:sz w:val="20"/>
          <w:szCs w:val="20"/>
        </w:rPr>
        <w:t>large-scale</w:t>
      </w:r>
      <w:r w:rsidR="00FF41A0">
        <w:rPr>
          <w:color w:val="000000" w:themeColor="text1"/>
          <w:sz w:val="20"/>
          <w:szCs w:val="20"/>
        </w:rPr>
        <w:t xml:space="preserve"> </w:t>
      </w:r>
      <w:r w:rsidR="00862C90" w:rsidRPr="00862C90">
        <w:rPr>
          <w:color w:val="000000" w:themeColor="text1"/>
          <w:sz w:val="20"/>
          <w:szCs w:val="20"/>
        </w:rPr>
        <w:t>civilian</w:t>
      </w:r>
      <w:r w:rsidR="00FF41A0">
        <w:rPr>
          <w:color w:val="000000" w:themeColor="text1"/>
          <w:sz w:val="20"/>
          <w:szCs w:val="20"/>
        </w:rPr>
        <w:t xml:space="preserve"> </w:t>
      </w:r>
      <w:r w:rsidR="00862C90" w:rsidRPr="00862C90">
        <w:rPr>
          <w:color w:val="000000" w:themeColor="text1"/>
          <w:sz w:val="20"/>
          <w:szCs w:val="20"/>
        </w:rPr>
        <w:t>protests</w:t>
      </w:r>
      <w:r w:rsidR="00FF41A0">
        <w:rPr>
          <w:color w:val="000000" w:themeColor="text1"/>
          <w:sz w:val="20"/>
          <w:szCs w:val="20"/>
        </w:rPr>
        <w:t xml:space="preserve"> </w:t>
      </w:r>
      <w:r w:rsidR="00862C90" w:rsidRPr="00862C90">
        <w:rPr>
          <w:color w:val="000000" w:themeColor="text1"/>
          <w:sz w:val="20"/>
          <w:szCs w:val="20"/>
        </w:rPr>
        <w:t>that</w:t>
      </w:r>
      <w:r w:rsidR="00FF41A0">
        <w:rPr>
          <w:color w:val="000000" w:themeColor="text1"/>
          <w:sz w:val="20"/>
          <w:szCs w:val="20"/>
        </w:rPr>
        <w:t xml:space="preserve"> </w:t>
      </w:r>
      <w:r w:rsidR="00862C90" w:rsidRPr="00862C90">
        <w:rPr>
          <w:color w:val="000000" w:themeColor="text1"/>
          <w:sz w:val="20"/>
          <w:szCs w:val="20"/>
        </w:rPr>
        <w:t>began</w:t>
      </w:r>
      <w:r w:rsidR="00FF41A0">
        <w:rPr>
          <w:color w:val="000000" w:themeColor="text1"/>
          <w:sz w:val="20"/>
          <w:szCs w:val="20"/>
        </w:rPr>
        <w:t xml:space="preserve"> </w:t>
      </w:r>
      <w:r w:rsidR="00862C90" w:rsidRPr="00862C90">
        <w:rPr>
          <w:color w:val="000000" w:themeColor="text1"/>
          <w:sz w:val="20"/>
          <w:szCs w:val="20"/>
        </w:rPr>
        <w:t>on</w:t>
      </w:r>
      <w:r w:rsidR="00FF41A0">
        <w:rPr>
          <w:color w:val="000000" w:themeColor="text1"/>
          <w:sz w:val="20"/>
          <w:szCs w:val="20"/>
        </w:rPr>
        <w:t xml:space="preserve"> </w:t>
      </w:r>
      <w:r w:rsidR="00862C90" w:rsidRPr="00862C90">
        <w:rPr>
          <w:color w:val="000000" w:themeColor="text1"/>
          <w:sz w:val="20"/>
          <w:szCs w:val="20"/>
        </w:rPr>
        <w:t>30</w:t>
      </w:r>
      <w:r w:rsidR="00FF41A0">
        <w:rPr>
          <w:color w:val="000000" w:themeColor="text1"/>
          <w:sz w:val="20"/>
          <w:szCs w:val="20"/>
        </w:rPr>
        <w:t xml:space="preserve"> </w:t>
      </w:r>
      <w:r w:rsidR="00862C90" w:rsidRPr="00862C90">
        <w:rPr>
          <w:color w:val="000000" w:themeColor="text1"/>
          <w:sz w:val="20"/>
          <w:szCs w:val="20"/>
        </w:rPr>
        <w:t>March</w:t>
      </w:r>
      <w:r w:rsidR="00FF41A0">
        <w:rPr>
          <w:color w:val="000000" w:themeColor="text1"/>
          <w:sz w:val="20"/>
          <w:szCs w:val="20"/>
        </w:rPr>
        <w:t xml:space="preserve"> </w:t>
      </w:r>
      <w:r w:rsidR="00862C90" w:rsidRPr="00862C90">
        <w:rPr>
          <w:color w:val="000000" w:themeColor="text1"/>
          <w:sz w:val="20"/>
          <w:szCs w:val="20"/>
        </w:rPr>
        <w:t>2018,</w:t>
      </w:r>
      <w:r w:rsidR="00FF41A0">
        <w:rPr>
          <w:color w:val="000000" w:themeColor="text1"/>
          <w:sz w:val="20"/>
          <w:szCs w:val="20"/>
        </w:rPr>
        <w:t xml:space="preserve"> </w:t>
      </w:r>
      <w:r w:rsidR="00862C90" w:rsidRPr="00862C90">
        <w:rPr>
          <w:color w:val="000000" w:themeColor="text1"/>
          <w:sz w:val="20"/>
          <w:szCs w:val="20"/>
        </w:rPr>
        <w:t>whether</w:t>
      </w:r>
      <w:r w:rsidR="00FF41A0">
        <w:rPr>
          <w:color w:val="000000" w:themeColor="text1"/>
          <w:sz w:val="20"/>
          <w:szCs w:val="20"/>
        </w:rPr>
        <w:t xml:space="preserve"> </w:t>
      </w:r>
      <w:r w:rsidR="00862C90" w:rsidRPr="00862C90">
        <w:rPr>
          <w:color w:val="000000" w:themeColor="text1"/>
          <w:sz w:val="20"/>
          <w:szCs w:val="20"/>
        </w:rPr>
        <w:t>before,</w:t>
      </w:r>
      <w:r w:rsidR="00FF41A0">
        <w:rPr>
          <w:color w:val="000000" w:themeColor="text1"/>
          <w:sz w:val="20"/>
          <w:szCs w:val="20"/>
        </w:rPr>
        <w:t xml:space="preserve"> </w:t>
      </w:r>
      <w:r w:rsidR="00862C90" w:rsidRPr="00862C90">
        <w:rPr>
          <w:color w:val="000000" w:themeColor="text1"/>
          <w:sz w:val="20"/>
          <w:szCs w:val="20"/>
        </w:rPr>
        <w:t>during</w:t>
      </w:r>
      <w:r w:rsidR="00FF41A0">
        <w:rPr>
          <w:color w:val="000000" w:themeColor="text1"/>
          <w:sz w:val="20"/>
          <w:szCs w:val="20"/>
        </w:rPr>
        <w:t xml:space="preserve"> </w:t>
      </w:r>
      <w:r w:rsidR="00862C90" w:rsidRPr="00862C90">
        <w:rPr>
          <w:color w:val="000000" w:themeColor="text1"/>
          <w:sz w:val="20"/>
          <w:szCs w:val="20"/>
        </w:rPr>
        <w:t>or</w:t>
      </w:r>
      <w:r w:rsidR="00FF41A0">
        <w:rPr>
          <w:color w:val="000000" w:themeColor="text1"/>
          <w:sz w:val="20"/>
          <w:szCs w:val="20"/>
        </w:rPr>
        <w:t xml:space="preserve"> </w:t>
      </w:r>
      <w:r w:rsidR="00862C90" w:rsidRPr="00862C90">
        <w:rPr>
          <w:color w:val="000000" w:themeColor="text1"/>
          <w:sz w:val="20"/>
          <w:szCs w:val="20"/>
        </w:rPr>
        <w:t>after</w:t>
      </w:r>
      <w:r w:rsidR="00FF41A0">
        <w:rPr>
          <w:color w:val="000000" w:themeColor="text1"/>
          <w:sz w:val="20"/>
          <w:szCs w:val="20"/>
        </w:rPr>
        <w:t xml:space="preserve"> </w:t>
      </w:r>
      <w:r w:rsidR="00862C90" w:rsidRPr="00862C90">
        <w:rPr>
          <w:color w:val="000000" w:themeColor="text1"/>
          <w:sz w:val="20"/>
          <w:szCs w:val="20"/>
        </w:rPr>
        <w:t>(A/HRC/40/74).</w:t>
      </w:r>
    </w:p>
    <w:p w14:paraId="67E90C0F" w14:textId="72DA97A4" w:rsidR="00EF420D" w:rsidRDefault="00A74C9E" w:rsidP="00EF420D">
      <w:pPr>
        <w:pStyle w:val="SingleTxtG"/>
        <w:rPr>
          <w:color w:val="000000" w:themeColor="text1"/>
          <w:sz w:val="20"/>
          <w:szCs w:val="20"/>
        </w:rPr>
      </w:pPr>
      <w:r>
        <w:rPr>
          <w:color w:val="000000" w:themeColor="text1"/>
          <w:sz w:val="20"/>
          <w:szCs w:val="20"/>
        </w:rPr>
        <w:t>923</w:t>
      </w:r>
      <w:r w:rsidR="00EF420D" w:rsidRPr="0094279C">
        <w:rPr>
          <w:color w:val="000000" w:themeColor="text1"/>
          <w:sz w:val="20"/>
          <w:szCs w:val="20"/>
        </w:rPr>
        <w:t>.</w:t>
      </w:r>
      <w:r w:rsidR="00EF420D" w:rsidRPr="0094279C">
        <w:rPr>
          <w:color w:val="000000" w:themeColor="text1"/>
          <w:sz w:val="20"/>
          <w:szCs w:val="20"/>
        </w:rPr>
        <w:tab/>
        <w:t>At</w:t>
      </w:r>
      <w:r w:rsidR="00FF41A0">
        <w:rPr>
          <w:color w:val="000000" w:themeColor="text1"/>
          <w:sz w:val="20"/>
          <w:szCs w:val="20"/>
        </w:rPr>
        <w:t xml:space="preserve"> </w:t>
      </w:r>
      <w:r w:rsidR="00EF420D" w:rsidRPr="0094279C">
        <w:rPr>
          <w:color w:val="000000" w:themeColor="text1"/>
          <w:sz w:val="20"/>
          <w:szCs w:val="20"/>
        </w:rPr>
        <w:t>the</w:t>
      </w:r>
      <w:r w:rsidR="00FF41A0">
        <w:rPr>
          <w:color w:val="000000" w:themeColor="text1"/>
          <w:sz w:val="20"/>
          <w:szCs w:val="20"/>
        </w:rPr>
        <w:t xml:space="preserve"> </w:t>
      </w:r>
      <w:r w:rsidR="00EF420D" w:rsidRPr="0094279C">
        <w:rPr>
          <w:color w:val="000000" w:themeColor="text1"/>
          <w:sz w:val="20"/>
          <w:szCs w:val="20"/>
        </w:rPr>
        <w:t>same</w:t>
      </w:r>
      <w:r w:rsidR="00FF41A0">
        <w:rPr>
          <w:color w:val="000000" w:themeColor="text1"/>
          <w:sz w:val="20"/>
          <w:szCs w:val="20"/>
        </w:rPr>
        <w:t xml:space="preserve"> </w:t>
      </w:r>
      <w:r w:rsidR="00EF420D" w:rsidRPr="0094279C">
        <w:rPr>
          <w:color w:val="000000" w:themeColor="text1"/>
          <w:sz w:val="20"/>
          <w:szCs w:val="20"/>
        </w:rPr>
        <w:t>meeting,</w:t>
      </w:r>
      <w:r w:rsidR="00FF41A0">
        <w:rPr>
          <w:color w:val="000000" w:themeColor="text1"/>
          <w:sz w:val="20"/>
          <w:szCs w:val="20"/>
        </w:rPr>
        <w:t xml:space="preserve"> </w:t>
      </w:r>
      <w:r w:rsidR="00EF420D" w:rsidRPr="0094279C">
        <w:rPr>
          <w:color w:val="000000" w:themeColor="text1"/>
          <w:sz w:val="20"/>
          <w:szCs w:val="20"/>
        </w:rPr>
        <w:t>the</w:t>
      </w:r>
      <w:r w:rsidR="00FF41A0">
        <w:rPr>
          <w:color w:val="000000" w:themeColor="text1"/>
          <w:sz w:val="20"/>
          <w:szCs w:val="20"/>
        </w:rPr>
        <w:t xml:space="preserve"> </w:t>
      </w:r>
      <w:r w:rsidR="00EF420D" w:rsidRPr="0094279C">
        <w:rPr>
          <w:color w:val="000000" w:themeColor="text1"/>
          <w:sz w:val="20"/>
          <w:szCs w:val="20"/>
        </w:rPr>
        <w:t>representative</w:t>
      </w:r>
      <w:r w:rsidR="00FF41A0">
        <w:rPr>
          <w:color w:val="000000" w:themeColor="text1"/>
          <w:sz w:val="20"/>
          <w:szCs w:val="20"/>
        </w:rPr>
        <w:t xml:space="preserve"> </w:t>
      </w:r>
      <w:r w:rsidR="00EF420D" w:rsidRPr="0094279C">
        <w:rPr>
          <w:color w:val="000000" w:themeColor="text1"/>
          <w:sz w:val="20"/>
          <w:szCs w:val="20"/>
        </w:rPr>
        <w:t>of</w:t>
      </w:r>
      <w:r w:rsidR="00FF41A0">
        <w:rPr>
          <w:color w:val="000000" w:themeColor="text1"/>
          <w:sz w:val="20"/>
          <w:szCs w:val="20"/>
        </w:rPr>
        <w:t xml:space="preserve"> </w:t>
      </w:r>
      <w:r w:rsidR="00EF420D" w:rsidRPr="0094279C">
        <w:rPr>
          <w:color w:val="000000" w:themeColor="text1"/>
          <w:sz w:val="20"/>
          <w:szCs w:val="20"/>
        </w:rPr>
        <w:t>the</w:t>
      </w:r>
      <w:r w:rsidR="00FF41A0">
        <w:rPr>
          <w:color w:val="000000" w:themeColor="text1"/>
          <w:sz w:val="20"/>
          <w:szCs w:val="20"/>
        </w:rPr>
        <w:t xml:space="preserve"> </w:t>
      </w:r>
      <w:r w:rsidR="00EF420D" w:rsidRPr="0094279C">
        <w:rPr>
          <w:color w:val="000000" w:themeColor="text1"/>
          <w:sz w:val="20"/>
          <w:szCs w:val="20"/>
        </w:rPr>
        <w:t>State</w:t>
      </w:r>
      <w:r w:rsidR="00FF41A0">
        <w:rPr>
          <w:color w:val="000000" w:themeColor="text1"/>
          <w:sz w:val="20"/>
          <w:szCs w:val="20"/>
        </w:rPr>
        <w:t xml:space="preserve"> </w:t>
      </w:r>
      <w:r w:rsidR="00EF420D" w:rsidRPr="0094279C">
        <w:rPr>
          <w:color w:val="000000" w:themeColor="text1"/>
          <w:sz w:val="20"/>
          <w:szCs w:val="20"/>
        </w:rPr>
        <w:t>of</w:t>
      </w:r>
      <w:r w:rsidR="00FF41A0">
        <w:rPr>
          <w:color w:val="000000" w:themeColor="text1"/>
          <w:sz w:val="20"/>
          <w:szCs w:val="20"/>
        </w:rPr>
        <w:t xml:space="preserve"> </w:t>
      </w:r>
      <w:r w:rsidR="00EF420D" w:rsidRPr="0094279C">
        <w:rPr>
          <w:color w:val="000000" w:themeColor="text1"/>
          <w:sz w:val="20"/>
          <w:szCs w:val="20"/>
        </w:rPr>
        <w:t>Palestine</w:t>
      </w:r>
      <w:r w:rsidR="00FF41A0">
        <w:rPr>
          <w:color w:val="000000" w:themeColor="text1"/>
          <w:sz w:val="20"/>
          <w:szCs w:val="20"/>
        </w:rPr>
        <w:t xml:space="preserve"> </w:t>
      </w:r>
      <w:r w:rsidR="00EF420D" w:rsidRPr="0094279C">
        <w:rPr>
          <w:color w:val="000000" w:themeColor="text1"/>
          <w:sz w:val="20"/>
          <w:szCs w:val="20"/>
        </w:rPr>
        <w:t>made</w:t>
      </w:r>
      <w:r w:rsidR="00FF41A0">
        <w:rPr>
          <w:color w:val="000000" w:themeColor="text1"/>
          <w:sz w:val="20"/>
          <w:szCs w:val="20"/>
        </w:rPr>
        <w:t xml:space="preserve"> </w:t>
      </w:r>
      <w:r w:rsidR="00EF420D" w:rsidRPr="0094279C">
        <w:rPr>
          <w:color w:val="000000" w:themeColor="text1"/>
          <w:sz w:val="20"/>
          <w:szCs w:val="20"/>
        </w:rPr>
        <w:t>a</w:t>
      </w:r>
      <w:r w:rsidR="00FF41A0">
        <w:rPr>
          <w:color w:val="000000" w:themeColor="text1"/>
          <w:sz w:val="20"/>
          <w:szCs w:val="20"/>
        </w:rPr>
        <w:t xml:space="preserve"> </w:t>
      </w:r>
      <w:r w:rsidR="00EF420D" w:rsidRPr="0094279C">
        <w:rPr>
          <w:color w:val="000000" w:themeColor="text1"/>
          <w:sz w:val="20"/>
          <w:szCs w:val="20"/>
        </w:rPr>
        <w:t>statement</w:t>
      </w:r>
      <w:r w:rsidR="00FF41A0">
        <w:rPr>
          <w:color w:val="000000" w:themeColor="text1"/>
          <w:sz w:val="20"/>
          <w:szCs w:val="20"/>
        </w:rPr>
        <w:t xml:space="preserve"> </w:t>
      </w:r>
      <w:r w:rsidR="00EF420D" w:rsidRPr="0094279C">
        <w:rPr>
          <w:color w:val="000000" w:themeColor="text1"/>
          <w:sz w:val="20"/>
          <w:szCs w:val="20"/>
        </w:rPr>
        <w:t>as</w:t>
      </w:r>
      <w:r w:rsidR="00FF41A0">
        <w:rPr>
          <w:color w:val="000000" w:themeColor="text1"/>
          <w:sz w:val="20"/>
          <w:szCs w:val="20"/>
        </w:rPr>
        <w:t xml:space="preserve"> </w:t>
      </w:r>
      <w:r w:rsidR="00EF420D" w:rsidRPr="0094279C">
        <w:rPr>
          <w:color w:val="000000" w:themeColor="text1"/>
          <w:sz w:val="20"/>
          <w:szCs w:val="20"/>
        </w:rPr>
        <w:t>the</w:t>
      </w:r>
      <w:r w:rsidR="00FF41A0">
        <w:rPr>
          <w:color w:val="000000" w:themeColor="text1"/>
          <w:sz w:val="20"/>
          <w:szCs w:val="20"/>
        </w:rPr>
        <w:t xml:space="preserve"> </w:t>
      </w:r>
      <w:r w:rsidR="00EF420D" w:rsidRPr="0094279C">
        <w:rPr>
          <w:color w:val="000000" w:themeColor="text1"/>
          <w:sz w:val="20"/>
          <w:szCs w:val="20"/>
        </w:rPr>
        <w:t>State</w:t>
      </w:r>
      <w:r w:rsidR="00FF41A0">
        <w:rPr>
          <w:color w:val="000000" w:themeColor="text1"/>
          <w:sz w:val="20"/>
          <w:szCs w:val="20"/>
        </w:rPr>
        <w:t xml:space="preserve"> </w:t>
      </w:r>
      <w:r w:rsidR="00EF420D" w:rsidRPr="0094279C">
        <w:rPr>
          <w:color w:val="000000" w:themeColor="text1"/>
          <w:sz w:val="20"/>
          <w:szCs w:val="20"/>
        </w:rPr>
        <w:t>concerned.</w:t>
      </w:r>
    </w:p>
    <w:p w14:paraId="728087B8" w14:textId="143B1601" w:rsidR="00EF420D" w:rsidRPr="0037538E" w:rsidRDefault="00A74C9E" w:rsidP="00EF420D">
      <w:pPr>
        <w:pStyle w:val="SingleTxtG"/>
        <w:rPr>
          <w:color w:val="000000" w:themeColor="text1"/>
          <w:sz w:val="20"/>
          <w:szCs w:val="20"/>
        </w:rPr>
      </w:pPr>
      <w:r>
        <w:rPr>
          <w:color w:val="000000" w:themeColor="text1"/>
          <w:sz w:val="20"/>
          <w:szCs w:val="20"/>
        </w:rPr>
        <w:lastRenderedPageBreak/>
        <w:t>924</w:t>
      </w:r>
      <w:r w:rsidR="00EF420D" w:rsidRPr="0037538E">
        <w:rPr>
          <w:color w:val="000000" w:themeColor="text1"/>
          <w:sz w:val="20"/>
          <w:szCs w:val="20"/>
        </w:rPr>
        <w:t>.</w:t>
      </w:r>
      <w:r w:rsidR="00EF420D" w:rsidRPr="0037538E">
        <w:rPr>
          <w:color w:val="000000" w:themeColor="text1"/>
          <w:sz w:val="20"/>
          <w:szCs w:val="20"/>
        </w:rPr>
        <w:tab/>
        <w:t>Also</w:t>
      </w:r>
      <w:r w:rsidR="00FF41A0">
        <w:rPr>
          <w:color w:val="000000" w:themeColor="text1"/>
          <w:sz w:val="20"/>
          <w:szCs w:val="20"/>
        </w:rPr>
        <w:t xml:space="preserve"> </w:t>
      </w:r>
      <w:r w:rsidR="00EF420D" w:rsidRPr="0037538E">
        <w:rPr>
          <w:color w:val="000000" w:themeColor="text1"/>
          <w:sz w:val="20"/>
          <w:szCs w:val="20"/>
        </w:rPr>
        <w:t>at</w:t>
      </w:r>
      <w:r w:rsidR="00FF41A0">
        <w:rPr>
          <w:color w:val="000000" w:themeColor="text1"/>
          <w:sz w:val="20"/>
          <w:szCs w:val="20"/>
        </w:rPr>
        <w:t xml:space="preserve"> </w:t>
      </w:r>
      <w:r w:rsidR="00EF420D" w:rsidRPr="0037538E">
        <w:rPr>
          <w:color w:val="000000" w:themeColor="text1"/>
          <w:sz w:val="20"/>
          <w:szCs w:val="20"/>
        </w:rPr>
        <w:t>the</w:t>
      </w:r>
      <w:r w:rsidR="00FF41A0">
        <w:rPr>
          <w:color w:val="000000" w:themeColor="text1"/>
          <w:sz w:val="20"/>
          <w:szCs w:val="20"/>
        </w:rPr>
        <w:t xml:space="preserve"> </w:t>
      </w:r>
      <w:r w:rsidR="00EF420D" w:rsidRPr="0037538E">
        <w:rPr>
          <w:color w:val="000000" w:themeColor="text1"/>
          <w:sz w:val="20"/>
          <w:szCs w:val="20"/>
        </w:rPr>
        <w:t>same</w:t>
      </w:r>
      <w:r w:rsidR="00FF41A0">
        <w:rPr>
          <w:color w:val="000000" w:themeColor="text1"/>
          <w:sz w:val="20"/>
          <w:szCs w:val="20"/>
        </w:rPr>
        <w:t xml:space="preserve"> </w:t>
      </w:r>
      <w:r w:rsidR="00EF420D" w:rsidRPr="0037538E">
        <w:rPr>
          <w:color w:val="000000" w:themeColor="text1"/>
          <w:sz w:val="20"/>
          <w:szCs w:val="20"/>
        </w:rPr>
        <w:t>meeting,</w:t>
      </w:r>
      <w:r w:rsidR="00FF41A0">
        <w:rPr>
          <w:color w:val="000000" w:themeColor="text1"/>
          <w:sz w:val="20"/>
          <w:szCs w:val="20"/>
        </w:rPr>
        <w:t xml:space="preserve"> </w:t>
      </w:r>
      <w:r w:rsidR="00EF420D" w:rsidRPr="0037538E">
        <w:rPr>
          <w:color w:val="000000" w:themeColor="text1"/>
          <w:sz w:val="20"/>
          <w:szCs w:val="20"/>
        </w:rPr>
        <w:t>the</w:t>
      </w:r>
      <w:r w:rsidR="00FF41A0">
        <w:rPr>
          <w:color w:val="000000" w:themeColor="text1"/>
          <w:sz w:val="20"/>
          <w:szCs w:val="20"/>
        </w:rPr>
        <w:t xml:space="preserve"> </w:t>
      </w:r>
      <w:r w:rsidR="00EF420D" w:rsidRPr="0037538E">
        <w:rPr>
          <w:color w:val="000000" w:themeColor="text1"/>
          <w:sz w:val="20"/>
          <w:szCs w:val="20"/>
        </w:rPr>
        <w:t>national</w:t>
      </w:r>
      <w:r w:rsidR="00FF41A0">
        <w:rPr>
          <w:color w:val="000000" w:themeColor="text1"/>
          <w:sz w:val="20"/>
          <w:szCs w:val="20"/>
        </w:rPr>
        <w:t xml:space="preserve"> </w:t>
      </w:r>
      <w:r w:rsidR="00EF420D" w:rsidRPr="0037538E">
        <w:rPr>
          <w:color w:val="000000" w:themeColor="text1"/>
          <w:sz w:val="20"/>
          <w:szCs w:val="20"/>
        </w:rPr>
        <w:t>human</w:t>
      </w:r>
      <w:r w:rsidR="00FF41A0">
        <w:rPr>
          <w:color w:val="000000" w:themeColor="text1"/>
          <w:sz w:val="20"/>
          <w:szCs w:val="20"/>
        </w:rPr>
        <w:t xml:space="preserve"> </w:t>
      </w:r>
      <w:r w:rsidR="00EF420D" w:rsidRPr="0037538E">
        <w:rPr>
          <w:color w:val="000000" w:themeColor="text1"/>
          <w:sz w:val="20"/>
          <w:szCs w:val="20"/>
        </w:rPr>
        <w:t>rights</w:t>
      </w:r>
      <w:r w:rsidR="00FF41A0">
        <w:rPr>
          <w:color w:val="000000" w:themeColor="text1"/>
          <w:sz w:val="20"/>
          <w:szCs w:val="20"/>
        </w:rPr>
        <w:t xml:space="preserve"> </w:t>
      </w:r>
      <w:r w:rsidR="00EF420D" w:rsidRPr="0037538E">
        <w:rPr>
          <w:color w:val="000000" w:themeColor="text1"/>
          <w:sz w:val="20"/>
          <w:szCs w:val="20"/>
        </w:rPr>
        <w:t>institution,</w:t>
      </w:r>
      <w:r w:rsidR="00FF41A0">
        <w:rPr>
          <w:color w:val="000000" w:themeColor="text1"/>
          <w:sz w:val="20"/>
          <w:szCs w:val="20"/>
        </w:rPr>
        <w:t xml:space="preserve"> </w:t>
      </w:r>
      <w:r w:rsidR="00EF420D" w:rsidRPr="0037538E">
        <w:rPr>
          <w:color w:val="000000" w:themeColor="text1"/>
          <w:sz w:val="20"/>
          <w:szCs w:val="20"/>
        </w:rPr>
        <w:t>Independent</w:t>
      </w:r>
      <w:r w:rsidR="00FF41A0">
        <w:rPr>
          <w:color w:val="000000" w:themeColor="text1"/>
          <w:sz w:val="20"/>
          <w:szCs w:val="20"/>
        </w:rPr>
        <w:t xml:space="preserve"> </w:t>
      </w:r>
      <w:r w:rsidR="00EF420D" w:rsidRPr="0037538E">
        <w:rPr>
          <w:color w:val="000000" w:themeColor="text1"/>
          <w:sz w:val="20"/>
          <w:szCs w:val="20"/>
        </w:rPr>
        <w:t>Commission</w:t>
      </w:r>
      <w:r w:rsidR="00FF41A0">
        <w:rPr>
          <w:color w:val="000000" w:themeColor="text1"/>
          <w:sz w:val="20"/>
          <w:szCs w:val="20"/>
        </w:rPr>
        <w:t xml:space="preserve"> </w:t>
      </w:r>
      <w:r w:rsidR="00EF420D" w:rsidRPr="0037538E">
        <w:rPr>
          <w:color w:val="000000" w:themeColor="text1"/>
          <w:sz w:val="20"/>
          <w:szCs w:val="20"/>
        </w:rPr>
        <w:t>for</w:t>
      </w:r>
      <w:r w:rsidR="00FF41A0">
        <w:rPr>
          <w:color w:val="000000" w:themeColor="text1"/>
          <w:sz w:val="20"/>
          <w:szCs w:val="20"/>
        </w:rPr>
        <w:t xml:space="preserve"> </w:t>
      </w:r>
      <w:r w:rsidR="00EF420D" w:rsidRPr="0037538E">
        <w:rPr>
          <w:color w:val="000000" w:themeColor="text1"/>
          <w:sz w:val="20"/>
          <w:szCs w:val="20"/>
        </w:rPr>
        <w:t>Human</w:t>
      </w:r>
      <w:r w:rsidR="00FF41A0">
        <w:rPr>
          <w:color w:val="000000" w:themeColor="text1"/>
          <w:sz w:val="20"/>
          <w:szCs w:val="20"/>
        </w:rPr>
        <w:t xml:space="preserve"> </w:t>
      </w:r>
      <w:r w:rsidR="00EF420D" w:rsidRPr="0037538E">
        <w:rPr>
          <w:color w:val="000000" w:themeColor="text1"/>
          <w:sz w:val="20"/>
          <w:szCs w:val="20"/>
        </w:rPr>
        <w:t>Rights</w:t>
      </w:r>
      <w:r w:rsidR="00FF41A0">
        <w:rPr>
          <w:color w:val="000000" w:themeColor="text1"/>
          <w:sz w:val="20"/>
          <w:szCs w:val="20"/>
        </w:rPr>
        <w:t xml:space="preserve"> </w:t>
      </w:r>
      <w:r w:rsidR="00EF420D">
        <w:rPr>
          <w:color w:val="000000" w:themeColor="text1"/>
          <w:sz w:val="20"/>
          <w:szCs w:val="20"/>
        </w:rPr>
        <w:t>of</w:t>
      </w:r>
      <w:r w:rsidR="00FF41A0">
        <w:rPr>
          <w:color w:val="000000" w:themeColor="text1"/>
          <w:sz w:val="20"/>
          <w:szCs w:val="20"/>
        </w:rPr>
        <w:t xml:space="preserve"> </w:t>
      </w:r>
      <w:r w:rsidR="00EF420D">
        <w:rPr>
          <w:color w:val="000000" w:themeColor="text1"/>
          <w:sz w:val="20"/>
          <w:szCs w:val="20"/>
        </w:rPr>
        <w:t>the</w:t>
      </w:r>
      <w:r w:rsidR="00FF41A0">
        <w:rPr>
          <w:color w:val="000000" w:themeColor="text1"/>
          <w:sz w:val="20"/>
          <w:szCs w:val="20"/>
        </w:rPr>
        <w:t xml:space="preserve"> </w:t>
      </w:r>
      <w:r w:rsidR="00EF420D">
        <w:rPr>
          <w:color w:val="000000" w:themeColor="text1"/>
          <w:sz w:val="20"/>
          <w:szCs w:val="20"/>
        </w:rPr>
        <w:t>State</w:t>
      </w:r>
      <w:r w:rsidR="00FF41A0">
        <w:rPr>
          <w:color w:val="000000" w:themeColor="text1"/>
          <w:sz w:val="20"/>
          <w:szCs w:val="20"/>
        </w:rPr>
        <w:t xml:space="preserve"> </w:t>
      </w:r>
      <w:r w:rsidR="00EF420D">
        <w:rPr>
          <w:color w:val="000000" w:themeColor="text1"/>
          <w:sz w:val="20"/>
          <w:szCs w:val="20"/>
        </w:rPr>
        <w:t>of</w:t>
      </w:r>
      <w:r w:rsidR="00FF41A0">
        <w:rPr>
          <w:color w:val="000000" w:themeColor="text1"/>
          <w:sz w:val="20"/>
          <w:szCs w:val="20"/>
        </w:rPr>
        <w:t xml:space="preserve"> </w:t>
      </w:r>
      <w:r w:rsidR="00EF420D" w:rsidRPr="0037538E">
        <w:rPr>
          <w:color w:val="000000" w:themeColor="text1"/>
          <w:sz w:val="20"/>
          <w:szCs w:val="20"/>
        </w:rPr>
        <w:t>Palestine,</w:t>
      </w:r>
      <w:r w:rsidR="00FF41A0">
        <w:rPr>
          <w:color w:val="000000" w:themeColor="text1"/>
          <w:sz w:val="20"/>
          <w:szCs w:val="20"/>
        </w:rPr>
        <w:t xml:space="preserve"> </w:t>
      </w:r>
      <w:r w:rsidR="00EF420D" w:rsidRPr="0037538E">
        <w:rPr>
          <w:color w:val="000000" w:themeColor="text1"/>
          <w:sz w:val="20"/>
          <w:szCs w:val="20"/>
        </w:rPr>
        <w:t>made</w:t>
      </w:r>
      <w:r w:rsidR="00FF41A0">
        <w:rPr>
          <w:color w:val="000000" w:themeColor="text1"/>
          <w:sz w:val="20"/>
          <w:szCs w:val="20"/>
        </w:rPr>
        <w:t xml:space="preserve"> </w:t>
      </w:r>
      <w:r w:rsidR="00EF420D" w:rsidRPr="0037538E">
        <w:rPr>
          <w:color w:val="000000" w:themeColor="text1"/>
          <w:sz w:val="20"/>
          <w:szCs w:val="20"/>
        </w:rPr>
        <w:t>a</w:t>
      </w:r>
      <w:r w:rsidR="00FF41A0">
        <w:rPr>
          <w:color w:val="000000" w:themeColor="text1"/>
          <w:sz w:val="20"/>
          <w:szCs w:val="20"/>
        </w:rPr>
        <w:t xml:space="preserve"> </w:t>
      </w:r>
      <w:r w:rsidR="00EF420D" w:rsidRPr="0037538E">
        <w:rPr>
          <w:color w:val="000000" w:themeColor="text1"/>
          <w:sz w:val="20"/>
          <w:szCs w:val="20"/>
        </w:rPr>
        <w:t>statement.</w:t>
      </w:r>
    </w:p>
    <w:p w14:paraId="47E389BE" w14:textId="21ED0B1D" w:rsidR="00EF420D" w:rsidRPr="0037538E" w:rsidRDefault="00A74C9E" w:rsidP="00EF420D">
      <w:pPr>
        <w:pStyle w:val="SingleTxtG"/>
        <w:rPr>
          <w:color w:val="000000" w:themeColor="text1"/>
          <w:sz w:val="20"/>
          <w:szCs w:val="20"/>
        </w:rPr>
      </w:pPr>
      <w:r>
        <w:rPr>
          <w:color w:val="000000" w:themeColor="text1"/>
          <w:sz w:val="20"/>
          <w:szCs w:val="20"/>
        </w:rPr>
        <w:t>925</w:t>
      </w:r>
      <w:r w:rsidR="00EF420D" w:rsidRPr="0037538E">
        <w:rPr>
          <w:color w:val="000000" w:themeColor="text1"/>
          <w:sz w:val="20"/>
          <w:szCs w:val="20"/>
        </w:rPr>
        <w:t>.</w:t>
      </w:r>
      <w:r w:rsidR="00EF420D" w:rsidRPr="0037538E">
        <w:rPr>
          <w:color w:val="000000" w:themeColor="text1"/>
          <w:sz w:val="20"/>
          <w:szCs w:val="20"/>
        </w:rPr>
        <w:tab/>
        <w:t>During</w:t>
      </w:r>
      <w:r w:rsidR="00FF41A0">
        <w:rPr>
          <w:color w:val="000000" w:themeColor="text1"/>
          <w:sz w:val="20"/>
          <w:szCs w:val="20"/>
        </w:rPr>
        <w:t xml:space="preserve"> </w:t>
      </w:r>
      <w:r w:rsidR="00EF420D" w:rsidRPr="0037538E">
        <w:rPr>
          <w:color w:val="000000" w:themeColor="text1"/>
          <w:sz w:val="20"/>
          <w:szCs w:val="20"/>
        </w:rPr>
        <w:t>the</w:t>
      </w:r>
      <w:r w:rsidR="00FF41A0">
        <w:rPr>
          <w:color w:val="000000" w:themeColor="text1"/>
          <w:sz w:val="20"/>
          <w:szCs w:val="20"/>
        </w:rPr>
        <w:t xml:space="preserve"> </w:t>
      </w:r>
      <w:r w:rsidR="00EF420D" w:rsidRPr="0037538E">
        <w:rPr>
          <w:color w:val="000000" w:themeColor="text1"/>
          <w:sz w:val="20"/>
          <w:szCs w:val="20"/>
        </w:rPr>
        <w:t>ensuing</w:t>
      </w:r>
      <w:r w:rsidR="00FF41A0">
        <w:rPr>
          <w:color w:val="000000" w:themeColor="text1"/>
          <w:sz w:val="20"/>
          <w:szCs w:val="20"/>
        </w:rPr>
        <w:t xml:space="preserve"> </w:t>
      </w:r>
      <w:r w:rsidR="00EF420D" w:rsidRPr="0037538E">
        <w:rPr>
          <w:color w:val="000000" w:themeColor="text1"/>
          <w:sz w:val="20"/>
          <w:szCs w:val="20"/>
        </w:rPr>
        <w:t>interactive</w:t>
      </w:r>
      <w:r w:rsidR="00FF41A0">
        <w:rPr>
          <w:color w:val="000000" w:themeColor="text1"/>
          <w:sz w:val="20"/>
          <w:szCs w:val="20"/>
        </w:rPr>
        <w:t xml:space="preserve"> </w:t>
      </w:r>
      <w:r w:rsidR="00EF420D" w:rsidRPr="0037538E">
        <w:rPr>
          <w:color w:val="000000" w:themeColor="text1"/>
          <w:sz w:val="20"/>
          <w:szCs w:val="20"/>
        </w:rPr>
        <w:t>dialogue,</w:t>
      </w:r>
      <w:r w:rsidR="00FF41A0">
        <w:rPr>
          <w:color w:val="000000" w:themeColor="text1"/>
          <w:sz w:val="20"/>
          <w:szCs w:val="20"/>
        </w:rPr>
        <w:t xml:space="preserve"> </w:t>
      </w:r>
      <w:r w:rsidR="00EF420D" w:rsidRPr="0037538E">
        <w:rPr>
          <w:color w:val="000000" w:themeColor="text1"/>
          <w:sz w:val="20"/>
          <w:szCs w:val="20"/>
        </w:rPr>
        <w:t>at</w:t>
      </w:r>
      <w:r w:rsidR="00FF41A0">
        <w:rPr>
          <w:color w:val="000000" w:themeColor="text1"/>
          <w:sz w:val="20"/>
          <w:szCs w:val="20"/>
        </w:rPr>
        <w:t xml:space="preserve"> </w:t>
      </w:r>
      <w:r w:rsidR="00EF420D" w:rsidRPr="0037538E">
        <w:rPr>
          <w:color w:val="000000" w:themeColor="text1"/>
          <w:sz w:val="20"/>
          <w:szCs w:val="20"/>
        </w:rPr>
        <w:t>the</w:t>
      </w:r>
      <w:r w:rsidR="00FF41A0">
        <w:rPr>
          <w:color w:val="000000" w:themeColor="text1"/>
          <w:sz w:val="20"/>
          <w:szCs w:val="20"/>
        </w:rPr>
        <w:t xml:space="preserve"> </w:t>
      </w:r>
      <w:r w:rsidR="00C57D4D">
        <w:rPr>
          <w:color w:val="000000" w:themeColor="text1"/>
          <w:sz w:val="20"/>
          <w:szCs w:val="20"/>
        </w:rPr>
        <w:t>41st</w:t>
      </w:r>
      <w:r w:rsidR="00FF41A0">
        <w:rPr>
          <w:color w:val="000000" w:themeColor="text1"/>
          <w:sz w:val="20"/>
          <w:szCs w:val="20"/>
        </w:rPr>
        <w:t xml:space="preserve"> </w:t>
      </w:r>
      <w:r w:rsidR="00C57D4D">
        <w:rPr>
          <w:color w:val="000000" w:themeColor="text1"/>
          <w:sz w:val="20"/>
          <w:szCs w:val="20"/>
        </w:rPr>
        <w:t>to</w:t>
      </w:r>
      <w:r w:rsidR="00FF41A0">
        <w:rPr>
          <w:color w:val="000000" w:themeColor="text1"/>
          <w:sz w:val="20"/>
          <w:szCs w:val="20"/>
        </w:rPr>
        <w:t xml:space="preserve"> </w:t>
      </w:r>
      <w:r w:rsidR="00C57D4D">
        <w:rPr>
          <w:color w:val="000000" w:themeColor="text1"/>
          <w:sz w:val="20"/>
          <w:szCs w:val="20"/>
        </w:rPr>
        <w:t>42nd</w:t>
      </w:r>
      <w:r w:rsidR="00FF41A0">
        <w:rPr>
          <w:color w:val="000000" w:themeColor="text1"/>
          <w:sz w:val="20"/>
          <w:szCs w:val="20"/>
        </w:rPr>
        <w:t xml:space="preserve"> </w:t>
      </w:r>
      <w:r w:rsidR="00EF420D" w:rsidRPr="0037538E">
        <w:rPr>
          <w:color w:val="000000" w:themeColor="text1"/>
          <w:sz w:val="20"/>
          <w:szCs w:val="20"/>
        </w:rPr>
        <w:t>meeting</w:t>
      </w:r>
      <w:r w:rsidR="00C57D4D">
        <w:rPr>
          <w:color w:val="000000" w:themeColor="text1"/>
          <w:sz w:val="20"/>
          <w:szCs w:val="20"/>
        </w:rPr>
        <w:t>s</w:t>
      </w:r>
      <w:r w:rsidR="00EF420D" w:rsidRPr="0037538E">
        <w:rPr>
          <w:color w:val="000000" w:themeColor="text1"/>
          <w:sz w:val="20"/>
          <w:szCs w:val="20"/>
        </w:rPr>
        <w:t>,</w:t>
      </w:r>
      <w:r w:rsidR="00FF41A0">
        <w:rPr>
          <w:color w:val="000000" w:themeColor="text1"/>
          <w:sz w:val="20"/>
          <w:szCs w:val="20"/>
        </w:rPr>
        <w:t xml:space="preserve"> </w:t>
      </w:r>
      <w:r w:rsidR="00EF420D" w:rsidRPr="0037538E">
        <w:rPr>
          <w:color w:val="000000" w:themeColor="text1"/>
          <w:sz w:val="20"/>
          <w:szCs w:val="20"/>
        </w:rPr>
        <w:t>on</w:t>
      </w:r>
      <w:r w:rsidR="00FF41A0">
        <w:rPr>
          <w:color w:val="000000" w:themeColor="text1"/>
          <w:sz w:val="20"/>
          <w:szCs w:val="20"/>
        </w:rPr>
        <w:t xml:space="preserve"> </w:t>
      </w:r>
      <w:r w:rsidR="00EF420D" w:rsidRPr="0037538E">
        <w:rPr>
          <w:color w:val="000000" w:themeColor="text1"/>
          <w:sz w:val="20"/>
          <w:szCs w:val="20"/>
        </w:rPr>
        <w:t>the</w:t>
      </w:r>
      <w:r w:rsidR="00FF41A0">
        <w:rPr>
          <w:color w:val="000000" w:themeColor="text1"/>
          <w:sz w:val="20"/>
          <w:szCs w:val="20"/>
        </w:rPr>
        <w:t xml:space="preserve"> </w:t>
      </w:r>
      <w:r w:rsidR="00EF420D" w:rsidRPr="0037538E">
        <w:rPr>
          <w:color w:val="000000" w:themeColor="text1"/>
          <w:sz w:val="20"/>
          <w:szCs w:val="20"/>
        </w:rPr>
        <w:t>same</w:t>
      </w:r>
      <w:r w:rsidR="00FF41A0">
        <w:rPr>
          <w:color w:val="000000" w:themeColor="text1"/>
          <w:sz w:val="20"/>
          <w:szCs w:val="20"/>
        </w:rPr>
        <w:t xml:space="preserve"> </w:t>
      </w:r>
      <w:r w:rsidR="00EF420D" w:rsidRPr="0037538E">
        <w:rPr>
          <w:color w:val="000000" w:themeColor="text1"/>
          <w:sz w:val="20"/>
          <w:szCs w:val="20"/>
        </w:rPr>
        <w:t>day,</w:t>
      </w:r>
      <w:r w:rsidR="00FF41A0">
        <w:rPr>
          <w:color w:val="000000" w:themeColor="text1"/>
          <w:sz w:val="20"/>
          <w:szCs w:val="20"/>
        </w:rPr>
        <w:t xml:space="preserve"> </w:t>
      </w:r>
      <w:r w:rsidR="00EF420D" w:rsidRPr="0037538E">
        <w:rPr>
          <w:color w:val="000000" w:themeColor="text1"/>
          <w:sz w:val="20"/>
          <w:szCs w:val="20"/>
        </w:rPr>
        <w:t>the</w:t>
      </w:r>
      <w:r w:rsidR="00FF41A0">
        <w:rPr>
          <w:color w:val="000000" w:themeColor="text1"/>
          <w:sz w:val="20"/>
          <w:szCs w:val="20"/>
        </w:rPr>
        <w:t xml:space="preserve"> </w:t>
      </w:r>
      <w:r w:rsidR="00EF420D" w:rsidRPr="0037538E">
        <w:rPr>
          <w:color w:val="000000" w:themeColor="text1"/>
          <w:sz w:val="20"/>
          <w:szCs w:val="20"/>
        </w:rPr>
        <w:t>following</w:t>
      </w:r>
      <w:r w:rsidR="00FF41A0">
        <w:rPr>
          <w:color w:val="000000" w:themeColor="text1"/>
          <w:sz w:val="20"/>
          <w:szCs w:val="20"/>
        </w:rPr>
        <w:t xml:space="preserve"> </w:t>
      </w:r>
      <w:r w:rsidR="00EF420D" w:rsidRPr="0037538E">
        <w:rPr>
          <w:color w:val="000000" w:themeColor="text1"/>
          <w:sz w:val="20"/>
          <w:szCs w:val="20"/>
        </w:rPr>
        <w:t>made</w:t>
      </w:r>
      <w:r w:rsidR="00FF41A0">
        <w:rPr>
          <w:color w:val="000000" w:themeColor="text1"/>
          <w:sz w:val="20"/>
          <w:szCs w:val="20"/>
        </w:rPr>
        <w:t xml:space="preserve"> </w:t>
      </w:r>
      <w:r w:rsidR="00EF420D" w:rsidRPr="0037538E">
        <w:rPr>
          <w:color w:val="000000" w:themeColor="text1"/>
          <w:sz w:val="20"/>
          <w:szCs w:val="20"/>
        </w:rPr>
        <w:t>statements</w:t>
      </w:r>
      <w:r w:rsidR="00FF41A0">
        <w:rPr>
          <w:color w:val="000000" w:themeColor="text1"/>
          <w:sz w:val="20"/>
          <w:szCs w:val="20"/>
        </w:rPr>
        <w:t xml:space="preserve"> </w:t>
      </w:r>
      <w:r w:rsidR="00EF420D" w:rsidRPr="0037538E">
        <w:rPr>
          <w:color w:val="000000" w:themeColor="text1"/>
          <w:sz w:val="20"/>
          <w:szCs w:val="20"/>
        </w:rPr>
        <w:t>and</w:t>
      </w:r>
      <w:r w:rsidR="00FF41A0">
        <w:rPr>
          <w:color w:val="000000" w:themeColor="text1"/>
          <w:sz w:val="20"/>
          <w:szCs w:val="20"/>
        </w:rPr>
        <w:t xml:space="preserve"> </w:t>
      </w:r>
      <w:r w:rsidR="00EF420D" w:rsidRPr="0037538E">
        <w:rPr>
          <w:color w:val="000000" w:themeColor="text1"/>
          <w:sz w:val="20"/>
          <w:szCs w:val="20"/>
        </w:rPr>
        <w:t>asked</w:t>
      </w:r>
      <w:r w:rsidR="00FF41A0">
        <w:rPr>
          <w:color w:val="000000" w:themeColor="text1"/>
          <w:sz w:val="20"/>
          <w:szCs w:val="20"/>
        </w:rPr>
        <w:t xml:space="preserve"> </w:t>
      </w:r>
      <w:r w:rsidR="00EF420D" w:rsidRPr="0037538E">
        <w:rPr>
          <w:color w:val="000000" w:themeColor="text1"/>
          <w:sz w:val="20"/>
          <w:szCs w:val="20"/>
        </w:rPr>
        <w:t>the</w:t>
      </w:r>
      <w:r w:rsidR="00FF41A0">
        <w:rPr>
          <w:color w:val="000000" w:themeColor="text1"/>
          <w:sz w:val="20"/>
          <w:szCs w:val="20"/>
        </w:rPr>
        <w:t xml:space="preserve"> </w:t>
      </w:r>
      <w:r w:rsidR="00EF420D">
        <w:rPr>
          <w:color w:val="000000" w:themeColor="text1"/>
          <w:sz w:val="20"/>
          <w:szCs w:val="20"/>
        </w:rPr>
        <w:t>Chairperson</w:t>
      </w:r>
      <w:r w:rsidR="00FF41A0">
        <w:rPr>
          <w:color w:val="000000" w:themeColor="text1"/>
          <w:sz w:val="20"/>
          <w:szCs w:val="20"/>
        </w:rPr>
        <w:t xml:space="preserve"> </w:t>
      </w:r>
      <w:r w:rsidR="00EF420D">
        <w:rPr>
          <w:color w:val="000000" w:themeColor="text1"/>
          <w:sz w:val="20"/>
          <w:szCs w:val="20"/>
        </w:rPr>
        <w:t>and</w:t>
      </w:r>
      <w:r w:rsidR="00FF41A0">
        <w:rPr>
          <w:color w:val="000000" w:themeColor="text1"/>
          <w:sz w:val="20"/>
          <w:szCs w:val="20"/>
        </w:rPr>
        <w:t xml:space="preserve"> </w:t>
      </w:r>
      <w:r w:rsidR="00EF420D">
        <w:rPr>
          <w:color w:val="000000" w:themeColor="text1"/>
          <w:sz w:val="20"/>
          <w:szCs w:val="20"/>
        </w:rPr>
        <w:t>the</w:t>
      </w:r>
      <w:r w:rsidR="00FF41A0">
        <w:rPr>
          <w:color w:val="000000" w:themeColor="text1"/>
          <w:sz w:val="20"/>
          <w:szCs w:val="20"/>
        </w:rPr>
        <w:t xml:space="preserve"> </w:t>
      </w:r>
      <w:r w:rsidR="00EF420D">
        <w:rPr>
          <w:color w:val="000000" w:themeColor="text1"/>
          <w:sz w:val="20"/>
          <w:szCs w:val="20"/>
        </w:rPr>
        <w:t>members</w:t>
      </w:r>
      <w:r w:rsidR="00FF41A0">
        <w:rPr>
          <w:color w:val="000000" w:themeColor="text1"/>
          <w:sz w:val="20"/>
          <w:szCs w:val="20"/>
        </w:rPr>
        <w:t xml:space="preserve"> </w:t>
      </w:r>
      <w:r w:rsidR="00EF420D">
        <w:rPr>
          <w:color w:val="000000" w:themeColor="text1"/>
          <w:sz w:val="20"/>
          <w:szCs w:val="20"/>
        </w:rPr>
        <w:t>of</w:t>
      </w:r>
      <w:r w:rsidR="00FF41A0">
        <w:rPr>
          <w:color w:val="000000" w:themeColor="text1"/>
          <w:sz w:val="20"/>
          <w:szCs w:val="20"/>
        </w:rPr>
        <w:t xml:space="preserve"> </w:t>
      </w:r>
      <w:r w:rsidR="00EF420D">
        <w:rPr>
          <w:color w:val="000000" w:themeColor="text1"/>
          <w:sz w:val="20"/>
          <w:szCs w:val="20"/>
        </w:rPr>
        <w:t>the</w:t>
      </w:r>
      <w:r w:rsidR="00FF41A0">
        <w:rPr>
          <w:color w:val="000000" w:themeColor="text1"/>
          <w:sz w:val="20"/>
          <w:szCs w:val="20"/>
        </w:rPr>
        <w:t xml:space="preserve"> </w:t>
      </w:r>
      <w:r w:rsidR="00EF420D">
        <w:rPr>
          <w:color w:val="000000" w:themeColor="text1"/>
          <w:sz w:val="20"/>
          <w:szCs w:val="20"/>
        </w:rPr>
        <w:t>Commission</w:t>
      </w:r>
      <w:r w:rsidR="00FF41A0">
        <w:rPr>
          <w:color w:val="000000" w:themeColor="text1"/>
          <w:sz w:val="20"/>
          <w:szCs w:val="20"/>
        </w:rPr>
        <w:t xml:space="preserve"> </w:t>
      </w:r>
      <w:r w:rsidR="00EF420D" w:rsidRPr="0037538E">
        <w:rPr>
          <w:color w:val="000000" w:themeColor="text1"/>
          <w:sz w:val="20"/>
          <w:szCs w:val="20"/>
        </w:rPr>
        <w:t>questions:</w:t>
      </w:r>
    </w:p>
    <w:p w14:paraId="7F280713" w14:textId="19AAC0CD" w:rsidR="00EF420D" w:rsidRPr="0037538E" w:rsidRDefault="00EF420D" w:rsidP="00EF420D">
      <w:pPr>
        <w:pStyle w:val="SingleTxtG"/>
        <w:ind w:firstLine="567"/>
        <w:rPr>
          <w:color w:val="000000" w:themeColor="text1"/>
          <w:sz w:val="20"/>
          <w:szCs w:val="20"/>
        </w:rPr>
      </w:pPr>
      <w:r w:rsidRPr="0037538E">
        <w:rPr>
          <w:color w:val="000000" w:themeColor="text1"/>
          <w:sz w:val="20"/>
          <w:szCs w:val="20"/>
        </w:rPr>
        <w:t>(a)</w:t>
      </w:r>
      <w:r w:rsidRPr="0037538E">
        <w:rPr>
          <w:color w:val="000000" w:themeColor="text1"/>
          <w:sz w:val="20"/>
          <w:szCs w:val="20"/>
        </w:rPr>
        <w:tab/>
        <w:t>Representatives</w:t>
      </w:r>
      <w:r w:rsidR="00FF41A0">
        <w:rPr>
          <w:color w:val="000000" w:themeColor="text1"/>
          <w:sz w:val="20"/>
          <w:szCs w:val="20"/>
        </w:rPr>
        <w:t xml:space="preserve"> </w:t>
      </w:r>
      <w:r w:rsidRPr="0037538E">
        <w:rPr>
          <w:color w:val="000000" w:themeColor="text1"/>
          <w:sz w:val="20"/>
          <w:szCs w:val="20"/>
        </w:rPr>
        <w:t>of</w:t>
      </w:r>
      <w:r w:rsidR="00FF41A0">
        <w:rPr>
          <w:color w:val="000000" w:themeColor="text1"/>
          <w:sz w:val="20"/>
          <w:szCs w:val="20"/>
        </w:rPr>
        <w:t xml:space="preserve"> </w:t>
      </w:r>
      <w:r>
        <w:rPr>
          <w:color w:val="000000" w:themeColor="text1"/>
          <w:sz w:val="20"/>
          <w:szCs w:val="20"/>
        </w:rPr>
        <w:t>States</w:t>
      </w:r>
      <w:r w:rsidR="00FF41A0">
        <w:rPr>
          <w:color w:val="000000" w:themeColor="text1"/>
          <w:sz w:val="20"/>
          <w:szCs w:val="20"/>
        </w:rPr>
        <w:t xml:space="preserve"> </w:t>
      </w:r>
      <w:r>
        <w:rPr>
          <w:color w:val="000000" w:themeColor="text1"/>
          <w:sz w:val="20"/>
          <w:szCs w:val="20"/>
        </w:rPr>
        <w:t>Members</w:t>
      </w:r>
      <w:r w:rsidR="00FF41A0">
        <w:rPr>
          <w:color w:val="000000" w:themeColor="text1"/>
          <w:sz w:val="20"/>
          <w:szCs w:val="20"/>
        </w:rPr>
        <w:t xml:space="preserve"> </w:t>
      </w:r>
      <w:r w:rsidRPr="0037538E">
        <w:rPr>
          <w:color w:val="000000" w:themeColor="text1"/>
          <w:sz w:val="20"/>
          <w:szCs w:val="20"/>
        </w:rPr>
        <w:t>of</w:t>
      </w:r>
      <w:r w:rsidR="00FF41A0">
        <w:rPr>
          <w:color w:val="000000" w:themeColor="text1"/>
          <w:sz w:val="20"/>
          <w:szCs w:val="20"/>
        </w:rPr>
        <w:t xml:space="preserve"> </w:t>
      </w:r>
      <w:r w:rsidRPr="0037538E">
        <w:rPr>
          <w:color w:val="000000" w:themeColor="text1"/>
          <w:sz w:val="20"/>
          <w:szCs w:val="20"/>
        </w:rPr>
        <w:t>the</w:t>
      </w:r>
      <w:r w:rsidR="00FF41A0">
        <w:rPr>
          <w:color w:val="000000" w:themeColor="text1"/>
          <w:sz w:val="20"/>
          <w:szCs w:val="20"/>
        </w:rPr>
        <w:t xml:space="preserve"> </w:t>
      </w:r>
      <w:r w:rsidRPr="0037538E">
        <w:rPr>
          <w:color w:val="000000" w:themeColor="text1"/>
          <w:sz w:val="20"/>
          <w:szCs w:val="20"/>
        </w:rPr>
        <w:t>Human</w:t>
      </w:r>
      <w:r w:rsidR="00FF41A0">
        <w:rPr>
          <w:color w:val="000000" w:themeColor="text1"/>
          <w:sz w:val="20"/>
          <w:szCs w:val="20"/>
        </w:rPr>
        <w:t xml:space="preserve"> </w:t>
      </w:r>
      <w:r w:rsidRPr="0037538E">
        <w:rPr>
          <w:color w:val="000000" w:themeColor="text1"/>
          <w:sz w:val="20"/>
          <w:szCs w:val="20"/>
        </w:rPr>
        <w:t>Rights</w:t>
      </w:r>
      <w:r w:rsidR="00FF41A0">
        <w:rPr>
          <w:color w:val="000000" w:themeColor="text1"/>
          <w:sz w:val="20"/>
          <w:szCs w:val="20"/>
        </w:rPr>
        <w:t xml:space="preserve"> </w:t>
      </w:r>
      <w:r w:rsidRPr="0037538E">
        <w:rPr>
          <w:color w:val="000000" w:themeColor="text1"/>
          <w:sz w:val="20"/>
          <w:szCs w:val="20"/>
        </w:rPr>
        <w:t>Council:</w:t>
      </w:r>
      <w:r w:rsidR="00FF41A0">
        <w:rPr>
          <w:color w:val="000000" w:themeColor="text1"/>
          <w:sz w:val="20"/>
          <w:szCs w:val="20"/>
        </w:rPr>
        <w:t xml:space="preserve"> </w:t>
      </w:r>
      <w:r w:rsidR="00C707C3" w:rsidRPr="00C707C3">
        <w:rPr>
          <w:color w:val="000000" w:themeColor="text1"/>
          <w:sz w:val="20"/>
          <w:szCs w:val="20"/>
        </w:rPr>
        <w:t>Angola</w:t>
      </w:r>
      <w:r w:rsidR="00FF41A0">
        <w:rPr>
          <w:color w:val="000000" w:themeColor="text1"/>
          <w:sz w:val="20"/>
          <w:szCs w:val="20"/>
        </w:rPr>
        <w:t xml:space="preserve"> </w:t>
      </w:r>
      <w:r w:rsidR="00C707C3">
        <w:rPr>
          <w:color w:val="000000" w:themeColor="text1"/>
          <w:sz w:val="20"/>
          <w:szCs w:val="20"/>
        </w:rPr>
        <w:t>(</w:t>
      </w:r>
      <w:r w:rsidR="00C707C3" w:rsidRPr="00C707C3">
        <w:rPr>
          <w:color w:val="000000" w:themeColor="text1"/>
          <w:sz w:val="20"/>
          <w:szCs w:val="20"/>
        </w:rPr>
        <w:t>on</w:t>
      </w:r>
      <w:r w:rsidR="00FF41A0">
        <w:rPr>
          <w:color w:val="000000" w:themeColor="text1"/>
          <w:sz w:val="20"/>
          <w:szCs w:val="20"/>
        </w:rPr>
        <w:t xml:space="preserve"> </w:t>
      </w:r>
      <w:r w:rsidR="00C707C3" w:rsidRPr="00C707C3">
        <w:rPr>
          <w:color w:val="000000" w:themeColor="text1"/>
          <w:sz w:val="20"/>
          <w:szCs w:val="20"/>
        </w:rPr>
        <w:t>behalf</w:t>
      </w:r>
      <w:r w:rsidR="00FF41A0">
        <w:rPr>
          <w:color w:val="000000" w:themeColor="text1"/>
          <w:sz w:val="20"/>
          <w:szCs w:val="20"/>
        </w:rPr>
        <w:t xml:space="preserve"> </w:t>
      </w:r>
      <w:r w:rsidR="00C707C3" w:rsidRPr="00C707C3">
        <w:rPr>
          <w:color w:val="000000" w:themeColor="text1"/>
          <w:sz w:val="20"/>
          <w:szCs w:val="20"/>
        </w:rPr>
        <w:t>of</w:t>
      </w:r>
      <w:r w:rsidR="00FF41A0">
        <w:rPr>
          <w:color w:val="000000" w:themeColor="text1"/>
          <w:sz w:val="20"/>
          <w:szCs w:val="20"/>
        </w:rPr>
        <w:t xml:space="preserve"> </w:t>
      </w:r>
      <w:r w:rsidR="00C707C3" w:rsidRPr="00C707C3">
        <w:rPr>
          <w:color w:val="000000" w:themeColor="text1"/>
          <w:sz w:val="20"/>
          <w:szCs w:val="20"/>
        </w:rPr>
        <w:t>the</w:t>
      </w:r>
      <w:r w:rsidR="00FF41A0">
        <w:rPr>
          <w:color w:val="000000" w:themeColor="text1"/>
          <w:sz w:val="20"/>
          <w:szCs w:val="20"/>
        </w:rPr>
        <w:t xml:space="preserve"> </w:t>
      </w:r>
      <w:r w:rsidR="00C707C3" w:rsidRPr="00C707C3">
        <w:rPr>
          <w:color w:val="000000" w:themeColor="text1"/>
          <w:sz w:val="20"/>
          <w:szCs w:val="20"/>
        </w:rPr>
        <w:t>Group</w:t>
      </w:r>
      <w:r w:rsidR="00FF41A0">
        <w:rPr>
          <w:color w:val="000000" w:themeColor="text1"/>
          <w:sz w:val="20"/>
          <w:szCs w:val="20"/>
        </w:rPr>
        <w:t xml:space="preserve"> </w:t>
      </w:r>
      <w:r w:rsidR="00C707C3">
        <w:rPr>
          <w:color w:val="000000" w:themeColor="text1"/>
          <w:sz w:val="20"/>
          <w:szCs w:val="20"/>
        </w:rPr>
        <w:t>of</w:t>
      </w:r>
      <w:r w:rsidR="00FF41A0">
        <w:rPr>
          <w:color w:val="000000" w:themeColor="text1"/>
          <w:sz w:val="20"/>
          <w:szCs w:val="20"/>
        </w:rPr>
        <w:t xml:space="preserve"> </w:t>
      </w:r>
      <w:r w:rsidR="00C707C3" w:rsidRPr="00C707C3">
        <w:rPr>
          <w:color w:val="000000" w:themeColor="text1"/>
          <w:sz w:val="20"/>
          <w:szCs w:val="20"/>
        </w:rPr>
        <w:t>African</w:t>
      </w:r>
      <w:r w:rsidR="00FF41A0">
        <w:rPr>
          <w:color w:val="000000" w:themeColor="text1"/>
          <w:sz w:val="20"/>
          <w:szCs w:val="20"/>
        </w:rPr>
        <w:t xml:space="preserve"> </w:t>
      </w:r>
      <w:r w:rsidR="00C707C3">
        <w:rPr>
          <w:color w:val="000000" w:themeColor="text1"/>
          <w:sz w:val="20"/>
          <w:szCs w:val="20"/>
        </w:rPr>
        <w:t>States),</w:t>
      </w:r>
      <w:r w:rsidR="00FF41A0">
        <w:rPr>
          <w:color w:val="000000" w:themeColor="text1"/>
          <w:sz w:val="20"/>
          <w:szCs w:val="20"/>
        </w:rPr>
        <w:t xml:space="preserve"> </w:t>
      </w:r>
      <w:r w:rsidR="00C707C3" w:rsidRPr="00C707C3">
        <w:rPr>
          <w:color w:val="000000" w:themeColor="text1"/>
          <w:sz w:val="20"/>
          <w:szCs w:val="20"/>
        </w:rPr>
        <w:t>Bahrain</w:t>
      </w:r>
      <w:r w:rsidR="00FF41A0">
        <w:rPr>
          <w:color w:val="000000" w:themeColor="text1"/>
          <w:sz w:val="20"/>
          <w:szCs w:val="20"/>
        </w:rPr>
        <w:t xml:space="preserve"> </w:t>
      </w:r>
      <w:r w:rsidR="00C707C3">
        <w:rPr>
          <w:color w:val="000000" w:themeColor="text1"/>
          <w:sz w:val="20"/>
          <w:szCs w:val="20"/>
        </w:rPr>
        <w:t>(</w:t>
      </w:r>
      <w:r w:rsidR="00C707C3" w:rsidRPr="00C707C3">
        <w:rPr>
          <w:color w:val="000000" w:themeColor="text1"/>
          <w:sz w:val="20"/>
          <w:szCs w:val="20"/>
        </w:rPr>
        <w:t>on</w:t>
      </w:r>
      <w:r w:rsidR="00FF41A0">
        <w:rPr>
          <w:color w:val="000000" w:themeColor="text1"/>
          <w:sz w:val="20"/>
          <w:szCs w:val="20"/>
        </w:rPr>
        <w:t xml:space="preserve"> </w:t>
      </w:r>
      <w:r w:rsidR="00C707C3" w:rsidRPr="00C707C3">
        <w:rPr>
          <w:color w:val="000000" w:themeColor="text1"/>
          <w:sz w:val="20"/>
          <w:szCs w:val="20"/>
        </w:rPr>
        <w:t>behalf</w:t>
      </w:r>
      <w:r w:rsidR="00FF41A0">
        <w:rPr>
          <w:color w:val="000000" w:themeColor="text1"/>
          <w:sz w:val="20"/>
          <w:szCs w:val="20"/>
        </w:rPr>
        <w:t xml:space="preserve"> </w:t>
      </w:r>
      <w:r w:rsidR="00C707C3" w:rsidRPr="00C707C3">
        <w:rPr>
          <w:color w:val="000000" w:themeColor="text1"/>
          <w:sz w:val="20"/>
          <w:szCs w:val="20"/>
        </w:rPr>
        <w:t>of</w:t>
      </w:r>
      <w:r w:rsidR="00FF41A0">
        <w:rPr>
          <w:color w:val="000000" w:themeColor="text1"/>
          <w:sz w:val="20"/>
          <w:szCs w:val="20"/>
        </w:rPr>
        <w:t xml:space="preserve"> </w:t>
      </w:r>
      <w:r w:rsidR="00C707C3" w:rsidRPr="00C707C3">
        <w:rPr>
          <w:color w:val="000000" w:themeColor="text1"/>
          <w:sz w:val="20"/>
          <w:szCs w:val="20"/>
        </w:rPr>
        <w:t>the</w:t>
      </w:r>
      <w:r w:rsidR="00FF41A0">
        <w:rPr>
          <w:color w:val="000000" w:themeColor="text1"/>
          <w:sz w:val="20"/>
          <w:szCs w:val="20"/>
        </w:rPr>
        <w:t xml:space="preserve"> </w:t>
      </w:r>
      <w:r w:rsidR="00C707C3" w:rsidRPr="00C707C3">
        <w:rPr>
          <w:color w:val="000000" w:themeColor="text1"/>
          <w:sz w:val="20"/>
          <w:szCs w:val="20"/>
        </w:rPr>
        <w:t>Group</w:t>
      </w:r>
      <w:r w:rsidR="00FF41A0">
        <w:rPr>
          <w:color w:val="000000" w:themeColor="text1"/>
          <w:sz w:val="20"/>
          <w:szCs w:val="20"/>
        </w:rPr>
        <w:t xml:space="preserve"> </w:t>
      </w:r>
      <w:r w:rsidR="00C707C3">
        <w:rPr>
          <w:color w:val="000000" w:themeColor="text1"/>
          <w:sz w:val="20"/>
          <w:szCs w:val="20"/>
        </w:rPr>
        <w:t>of</w:t>
      </w:r>
      <w:r w:rsidR="00FF41A0">
        <w:rPr>
          <w:color w:val="000000" w:themeColor="text1"/>
          <w:sz w:val="20"/>
          <w:szCs w:val="20"/>
        </w:rPr>
        <w:t xml:space="preserve"> </w:t>
      </w:r>
      <w:r w:rsidR="00C707C3" w:rsidRPr="00C707C3">
        <w:rPr>
          <w:color w:val="000000" w:themeColor="text1"/>
          <w:sz w:val="20"/>
          <w:szCs w:val="20"/>
        </w:rPr>
        <w:t>Arab</w:t>
      </w:r>
      <w:r w:rsidR="00FF41A0">
        <w:rPr>
          <w:color w:val="000000" w:themeColor="text1"/>
          <w:sz w:val="20"/>
          <w:szCs w:val="20"/>
        </w:rPr>
        <w:t xml:space="preserve"> </w:t>
      </w:r>
      <w:r w:rsidR="00C707C3">
        <w:rPr>
          <w:color w:val="000000" w:themeColor="text1"/>
          <w:sz w:val="20"/>
          <w:szCs w:val="20"/>
        </w:rPr>
        <w:t>States),</w:t>
      </w:r>
      <w:r w:rsidR="00FF41A0">
        <w:rPr>
          <w:color w:val="000000" w:themeColor="text1"/>
          <w:sz w:val="20"/>
          <w:szCs w:val="20"/>
        </w:rPr>
        <w:t xml:space="preserve"> </w:t>
      </w:r>
      <w:r w:rsidR="00C707C3" w:rsidRPr="00C707C3">
        <w:rPr>
          <w:color w:val="000000" w:themeColor="text1"/>
          <w:sz w:val="20"/>
          <w:szCs w:val="20"/>
        </w:rPr>
        <w:t>Bangladesh</w:t>
      </w:r>
      <w:r w:rsidR="00C707C3">
        <w:rPr>
          <w:color w:val="000000" w:themeColor="text1"/>
          <w:sz w:val="20"/>
          <w:szCs w:val="20"/>
        </w:rPr>
        <w:t>,</w:t>
      </w:r>
      <w:r w:rsidR="00FF41A0">
        <w:rPr>
          <w:color w:val="000000" w:themeColor="text1"/>
          <w:sz w:val="20"/>
          <w:szCs w:val="20"/>
        </w:rPr>
        <w:t xml:space="preserve"> </w:t>
      </w:r>
      <w:r w:rsidR="00C707C3" w:rsidRPr="00C707C3">
        <w:rPr>
          <w:color w:val="000000" w:themeColor="text1"/>
          <w:sz w:val="20"/>
          <w:szCs w:val="20"/>
        </w:rPr>
        <w:t>China</w:t>
      </w:r>
      <w:r w:rsidR="00C707C3">
        <w:rPr>
          <w:color w:val="000000" w:themeColor="text1"/>
          <w:sz w:val="20"/>
          <w:szCs w:val="20"/>
        </w:rPr>
        <w:t>,</w:t>
      </w:r>
      <w:r w:rsidR="00FF41A0">
        <w:rPr>
          <w:color w:val="000000" w:themeColor="text1"/>
          <w:sz w:val="20"/>
          <w:szCs w:val="20"/>
        </w:rPr>
        <w:t xml:space="preserve"> </w:t>
      </w:r>
      <w:r w:rsidR="00C707C3" w:rsidRPr="00C707C3">
        <w:rPr>
          <w:color w:val="000000" w:themeColor="text1"/>
          <w:sz w:val="20"/>
          <w:szCs w:val="20"/>
        </w:rPr>
        <w:t>Cuba</w:t>
      </w:r>
      <w:r w:rsidR="00C707C3">
        <w:rPr>
          <w:color w:val="000000" w:themeColor="text1"/>
          <w:sz w:val="20"/>
          <w:szCs w:val="20"/>
        </w:rPr>
        <w:t>,</w:t>
      </w:r>
      <w:r w:rsidR="00FF41A0">
        <w:rPr>
          <w:color w:val="000000" w:themeColor="text1"/>
          <w:sz w:val="20"/>
          <w:szCs w:val="20"/>
        </w:rPr>
        <w:t xml:space="preserve"> </w:t>
      </w:r>
      <w:r w:rsidR="00C707C3" w:rsidRPr="00C707C3">
        <w:rPr>
          <w:color w:val="000000" w:themeColor="text1"/>
          <w:sz w:val="20"/>
          <w:szCs w:val="20"/>
        </w:rPr>
        <w:t>Egypt</w:t>
      </w:r>
      <w:r w:rsidR="00C707C3">
        <w:rPr>
          <w:color w:val="000000" w:themeColor="text1"/>
          <w:sz w:val="20"/>
          <w:szCs w:val="20"/>
        </w:rPr>
        <w:t>,</w:t>
      </w:r>
      <w:r w:rsidR="00FF41A0">
        <w:rPr>
          <w:color w:val="000000" w:themeColor="text1"/>
          <w:sz w:val="20"/>
          <w:szCs w:val="20"/>
        </w:rPr>
        <w:t xml:space="preserve"> </w:t>
      </w:r>
      <w:r w:rsidR="00C707C3" w:rsidRPr="00C707C3">
        <w:rPr>
          <w:color w:val="000000" w:themeColor="text1"/>
          <w:sz w:val="20"/>
          <w:szCs w:val="20"/>
        </w:rPr>
        <w:t>Iraq</w:t>
      </w:r>
      <w:r w:rsidR="00C707C3">
        <w:rPr>
          <w:color w:val="000000" w:themeColor="text1"/>
          <w:sz w:val="20"/>
          <w:szCs w:val="20"/>
        </w:rPr>
        <w:t>,</w:t>
      </w:r>
      <w:r w:rsidR="00FF41A0">
        <w:rPr>
          <w:color w:val="000000" w:themeColor="text1"/>
          <w:sz w:val="20"/>
          <w:szCs w:val="20"/>
        </w:rPr>
        <w:t xml:space="preserve"> </w:t>
      </w:r>
      <w:r w:rsidR="00C707C3" w:rsidRPr="00C707C3">
        <w:rPr>
          <w:color w:val="000000" w:themeColor="text1"/>
          <w:sz w:val="20"/>
          <w:szCs w:val="20"/>
        </w:rPr>
        <w:t>Pakistan</w:t>
      </w:r>
      <w:r w:rsidR="00FF41A0">
        <w:rPr>
          <w:color w:val="000000" w:themeColor="text1"/>
          <w:sz w:val="20"/>
          <w:szCs w:val="20"/>
        </w:rPr>
        <w:t xml:space="preserve"> </w:t>
      </w:r>
      <w:r w:rsidR="00C707C3">
        <w:rPr>
          <w:color w:val="000000" w:themeColor="text1"/>
          <w:sz w:val="20"/>
          <w:szCs w:val="20"/>
        </w:rPr>
        <w:t>(also</w:t>
      </w:r>
      <w:r w:rsidR="00FF41A0">
        <w:rPr>
          <w:color w:val="000000" w:themeColor="text1"/>
          <w:sz w:val="20"/>
          <w:szCs w:val="20"/>
        </w:rPr>
        <w:t xml:space="preserve"> </w:t>
      </w:r>
      <w:r w:rsidR="00C707C3" w:rsidRPr="00C707C3">
        <w:rPr>
          <w:color w:val="000000" w:themeColor="text1"/>
          <w:sz w:val="20"/>
          <w:szCs w:val="20"/>
        </w:rPr>
        <w:t>on</w:t>
      </w:r>
      <w:r w:rsidR="00FF41A0">
        <w:rPr>
          <w:color w:val="000000" w:themeColor="text1"/>
          <w:sz w:val="20"/>
          <w:szCs w:val="20"/>
        </w:rPr>
        <w:t xml:space="preserve"> </w:t>
      </w:r>
      <w:r w:rsidR="00C707C3" w:rsidRPr="00C707C3">
        <w:rPr>
          <w:color w:val="000000" w:themeColor="text1"/>
          <w:sz w:val="20"/>
          <w:szCs w:val="20"/>
        </w:rPr>
        <w:t>behalf</w:t>
      </w:r>
      <w:r w:rsidR="00FF41A0">
        <w:rPr>
          <w:color w:val="000000" w:themeColor="text1"/>
          <w:sz w:val="20"/>
          <w:szCs w:val="20"/>
        </w:rPr>
        <w:t xml:space="preserve"> </w:t>
      </w:r>
      <w:r w:rsidR="00C707C3" w:rsidRPr="00C707C3">
        <w:rPr>
          <w:color w:val="000000" w:themeColor="text1"/>
          <w:sz w:val="20"/>
          <w:szCs w:val="20"/>
        </w:rPr>
        <w:t>of</w:t>
      </w:r>
      <w:r w:rsidR="00FF41A0">
        <w:rPr>
          <w:color w:val="000000" w:themeColor="text1"/>
          <w:sz w:val="20"/>
          <w:szCs w:val="20"/>
        </w:rPr>
        <w:t xml:space="preserve"> </w:t>
      </w:r>
      <w:r w:rsidR="0046436A">
        <w:rPr>
          <w:color w:val="000000" w:themeColor="text1"/>
          <w:sz w:val="20"/>
          <w:szCs w:val="20"/>
        </w:rPr>
        <w:t>the</w:t>
      </w:r>
      <w:r w:rsidR="00FF41A0">
        <w:rPr>
          <w:color w:val="000000" w:themeColor="text1"/>
          <w:sz w:val="20"/>
          <w:szCs w:val="20"/>
        </w:rPr>
        <w:t xml:space="preserve"> </w:t>
      </w:r>
      <w:r w:rsidR="0046436A" w:rsidRPr="0037538E">
        <w:rPr>
          <w:color w:val="000000" w:themeColor="text1"/>
          <w:sz w:val="20"/>
          <w:szCs w:val="20"/>
        </w:rPr>
        <w:t>Organization</w:t>
      </w:r>
      <w:r w:rsidR="00FF41A0">
        <w:rPr>
          <w:color w:val="000000" w:themeColor="text1"/>
          <w:sz w:val="20"/>
          <w:szCs w:val="20"/>
        </w:rPr>
        <w:t xml:space="preserve"> </w:t>
      </w:r>
      <w:r w:rsidR="0046436A" w:rsidRPr="0037538E">
        <w:rPr>
          <w:color w:val="000000" w:themeColor="text1"/>
          <w:sz w:val="20"/>
          <w:szCs w:val="20"/>
        </w:rPr>
        <w:t>of</w:t>
      </w:r>
      <w:r w:rsidR="00FF41A0">
        <w:rPr>
          <w:color w:val="000000" w:themeColor="text1"/>
          <w:sz w:val="20"/>
          <w:szCs w:val="20"/>
        </w:rPr>
        <w:t xml:space="preserve"> </w:t>
      </w:r>
      <w:r w:rsidR="0046436A" w:rsidRPr="0037538E">
        <w:rPr>
          <w:color w:val="000000" w:themeColor="text1"/>
          <w:sz w:val="20"/>
          <w:szCs w:val="20"/>
        </w:rPr>
        <w:t>Islamic</w:t>
      </w:r>
      <w:r w:rsidR="00FF41A0">
        <w:rPr>
          <w:color w:val="000000" w:themeColor="text1"/>
          <w:sz w:val="20"/>
          <w:szCs w:val="20"/>
        </w:rPr>
        <w:t xml:space="preserve"> </w:t>
      </w:r>
      <w:r w:rsidR="0046436A" w:rsidRPr="0037538E">
        <w:rPr>
          <w:color w:val="000000" w:themeColor="text1"/>
          <w:sz w:val="20"/>
          <w:szCs w:val="20"/>
        </w:rPr>
        <w:t>Cooperation</w:t>
      </w:r>
      <w:r w:rsidR="0046436A">
        <w:rPr>
          <w:color w:val="000000" w:themeColor="text1"/>
          <w:sz w:val="20"/>
          <w:szCs w:val="20"/>
        </w:rPr>
        <w:t>),</w:t>
      </w:r>
      <w:r w:rsidR="00FF41A0">
        <w:rPr>
          <w:color w:val="000000" w:themeColor="text1"/>
          <w:sz w:val="20"/>
          <w:szCs w:val="20"/>
        </w:rPr>
        <w:t xml:space="preserve"> </w:t>
      </w:r>
      <w:r w:rsidR="00C707C3" w:rsidRPr="00C707C3">
        <w:rPr>
          <w:color w:val="000000" w:themeColor="text1"/>
          <w:sz w:val="20"/>
          <w:szCs w:val="20"/>
        </w:rPr>
        <w:t>Qatar</w:t>
      </w:r>
      <w:r w:rsidR="0046436A">
        <w:rPr>
          <w:color w:val="000000" w:themeColor="text1"/>
          <w:sz w:val="20"/>
          <w:szCs w:val="20"/>
        </w:rPr>
        <w:t>,</w:t>
      </w:r>
      <w:r w:rsidR="00FF41A0">
        <w:rPr>
          <w:color w:val="000000" w:themeColor="text1"/>
          <w:sz w:val="20"/>
          <w:szCs w:val="20"/>
        </w:rPr>
        <w:t xml:space="preserve"> </w:t>
      </w:r>
      <w:r w:rsidR="0046436A" w:rsidRPr="00C707C3">
        <w:rPr>
          <w:color w:val="000000" w:themeColor="text1"/>
          <w:sz w:val="20"/>
          <w:szCs w:val="20"/>
        </w:rPr>
        <w:t>Saudi</w:t>
      </w:r>
      <w:r w:rsidR="00FF41A0">
        <w:rPr>
          <w:color w:val="000000" w:themeColor="text1"/>
          <w:sz w:val="20"/>
          <w:szCs w:val="20"/>
        </w:rPr>
        <w:t xml:space="preserve"> </w:t>
      </w:r>
      <w:r w:rsidR="0046436A" w:rsidRPr="00C707C3">
        <w:rPr>
          <w:color w:val="000000" w:themeColor="text1"/>
          <w:sz w:val="20"/>
          <w:szCs w:val="20"/>
        </w:rPr>
        <w:t>Arabia</w:t>
      </w:r>
      <w:r w:rsidR="0046436A">
        <w:rPr>
          <w:color w:val="000000" w:themeColor="text1"/>
          <w:sz w:val="20"/>
          <w:szCs w:val="20"/>
        </w:rPr>
        <w:t>,</w:t>
      </w:r>
      <w:r w:rsidR="00FF41A0">
        <w:rPr>
          <w:color w:val="000000" w:themeColor="text1"/>
          <w:sz w:val="20"/>
          <w:szCs w:val="20"/>
        </w:rPr>
        <w:t xml:space="preserve"> </w:t>
      </w:r>
      <w:r w:rsidR="0046436A" w:rsidRPr="00C707C3">
        <w:rPr>
          <w:color w:val="000000" w:themeColor="text1"/>
          <w:sz w:val="20"/>
          <w:szCs w:val="20"/>
        </w:rPr>
        <w:t>South</w:t>
      </w:r>
      <w:r w:rsidR="00FF41A0">
        <w:rPr>
          <w:color w:val="000000" w:themeColor="text1"/>
          <w:sz w:val="20"/>
          <w:szCs w:val="20"/>
        </w:rPr>
        <w:t xml:space="preserve"> </w:t>
      </w:r>
      <w:r w:rsidR="0046436A" w:rsidRPr="00C707C3">
        <w:rPr>
          <w:color w:val="000000" w:themeColor="text1"/>
          <w:sz w:val="20"/>
          <w:szCs w:val="20"/>
        </w:rPr>
        <w:t>Africa</w:t>
      </w:r>
      <w:r w:rsidR="0046436A">
        <w:rPr>
          <w:color w:val="000000" w:themeColor="text1"/>
          <w:sz w:val="20"/>
          <w:szCs w:val="20"/>
        </w:rPr>
        <w:t>,</w:t>
      </w:r>
      <w:r w:rsidR="00FF41A0">
        <w:rPr>
          <w:color w:val="000000" w:themeColor="text1"/>
          <w:sz w:val="20"/>
          <w:szCs w:val="20"/>
        </w:rPr>
        <w:t xml:space="preserve"> </w:t>
      </w:r>
      <w:r w:rsidR="0046436A" w:rsidRPr="00C707C3">
        <w:rPr>
          <w:color w:val="000000" w:themeColor="text1"/>
          <w:sz w:val="20"/>
          <w:szCs w:val="20"/>
        </w:rPr>
        <w:t>Spain</w:t>
      </w:r>
      <w:r w:rsidR="0046436A">
        <w:rPr>
          <w:color w:val="000000" w:themeColor="text1"/>
          <w:sz w:val="20"/>
          <w:szCs w:val="20"/>
        </w:rPr>
        <w:t>,</w:t>
      </w:r>
      <w:r w:rsidR="00FF41A0">
        <w:rPr>
          <w:color w:val="000000" w:themeColor="text1"/>
          <w:sz w:val="20"/>
          <w:szCs w:val="20"/>
        </w:rPr>
        <w:t xml:space="preserve"> </w:t>
      </w:r>
      <w:r w:rsidR="0046436A" w:rsidRPr="00C707C3">
        <w:rPr>
          <w:color w:val="000000" w:themeColor="text1"/>
          <w:sz w:val="20"/>
          <w:szCs w:val="20"/>
        </w:rPr>
        <w:t>Tunisia</w:t>
      </w:r>
      <w:r>
        <w:rPr>
          <w:color w:val="000000" w:themeColor="text1"/>
          <w:sz w:val="20"/>
          <w:szCs w:val="20"/>
        </w:rPr>
        <w:t>;</w:t>
      </w:r>
    </w:p>
    <w:p w14:paraId="3DA467ED" w14:textId="3E3860E5" w:rsidR="00EF420D" w:rsidRPr="0037538E" w:rsidRDefault="00EF420D" w:rsidP="00EF420D">
      <w:pPr>
        <w:pStyle w:val="SingleTxtG"/>
        <w:ind w:firstLine="567"/>
        <w:rPr>
          <w:color w:val="000000" w:themeColor="text1"/>
          <w:sz w:val="20"/>
          <w:szCs w:val="20"/>
        </w:rPr>
      </w:pPr>
      <w:r w:rsidRPr="0037538E">
        <w:rPr>
          <w:color w:val="000000" w:themeColor="text1"/>
          <w:sz w:val="20"/>
          <w:szCs w:val="20"/>
        </w:rPr>
        <w:t>(b)</w:t>
      </w:r>
      <w:r w:rsidRPr="0037538E">
        <w:rPr>
          <w:color w:val="000000" w:themeColor="text1"/>
          <w:sz w:val="20"/>
          <w:szCs w:val="20"/>
        </w:rPr>
        <w:tab/>
        <w:t>Representatives</w:t>
      </w:r>
      <w:r w:rsidR="00FF41A0">
        <w:rPr>
          <w:color w:val="000000" w:themeColor="text1"/>
          <w:sz w:val="20"/>
          <w:szCs w:val="20"/>
        </w:rPr>
        <w:t xml:space="preserve"> </w:t>
      </w:r>
      <w:r w:rsidRPr="0037538E">
        <w:rPr>
          <w:color w:val="000000" w:themeColor="text1"/>
          <w:sz w:val="20"/>
          <w:szCs w:val="20"/>
        </w:rPr>
        <w:t>of</w:t>
      </w:r>
      <w:r w:rsidR="00FF41A0">
        <w:rPr>
          <w:color w:val="000000" w:themeColor="text1"/>
          <w:sz w:val="20"/>
          <w:szCs w:val="20"/>
        </w:rPr>
        <w:t xml:space="preserve"> </w:t>
      </w:r>
      <w:r w:rsidRPr="0037538E">
        <w:rPr>
          <w:color w:val="000000" w:themeColor="text1"/>
          <w:sz w:val="20"/>
          <w:szCs w:val="20"/>
        </w:rPr>
        <w:t>observer</w:t>
      </w:r>
      <w:r w:rsidR="00FF41A0">
        <w:rPr>
          <w:color w:val="000000" w:themeColor="text1"/>
          <w:sz w:val="20"/>
          <w:szCs w:val="20"/>
        </w:rPr>
        <w:t xml:space="preserve"> </w:t>
      </w:r>
      <w:r w:rsidRPr="0037538E">
        <w:rPr>
          <w:color w:val="000000" w:themeColor="text1"/>
          <w:sz w:val="20"/>
          <w:szCs w:val="20"/>
        </w:rPr>
        <w:t>States:</w:t>
      </w:r>
      <w:r w:rsidR="00FF41A0">
        <w:rPr>
          <w:color w:val="000000" w:themeColor="text1"/>
          <w:sz w:val="20"/>
          <w:szCs w:val="20"/>
        </w:rPr>
        <w:t xml:space="preserve"> </w:t>
      </w:r>
      <w:r w:rsidR="0046436A" w:rsidRPr="00C707C3">
        <w:rPr>
          <w:color w:val="000000" w:themeColor="text1"/>
          <w:sz w:val="20"/>
          <w:szCs w:val="20"/>
        </w:rPr>
        <w:t>Algeria</w:t>
      </w:r>
      <w:r w:rsidR="0046436A">
        <w:rPr>
          <w:color w:val="000000" w:themeColor="text1"/>
          <w:sz w:val="20"/>
          <w:szCs w:val="20"/>
        </w:rPr>
        <w:t>,</w:t>
      </w:r>
      <w:r w:rsidR="00FF41A0">
        <w:rPr>
          <w:color w:val="000000" w:themeColor="text1"/>
          <w:sz w:val="20"/>
          <w:szCs w:val="20"/>
        </w:rPr>
        <w:t xml:space="preserve"> </w:t>
      </w:r>
      <w:r w:rsidR="0046436A" w:rsidRPr="00C707C3">
        <w:rPr>
          <w:color w:val="000000" w:themeColor="text1"/>
          <w:sz w:val="20"/>
          <w:szCs w:val="20"/>
        </w:rPr>
        <w:t>Belgium</w:t>
      </w:r>
      <w:r w:rsidR="0046436A">
        <w:rPr>
          <w:color w:val="000000" w:themeColor="text1"/>
          <w:sz w:val="20"/>
          <w:szCs w:val="20"/>
        </w:rPr>
        <w:t>,</w:t>
      </w:r>
      <w:r w:rsidR="00FF41A0">
        <w:rPr>
          <w:color w:val="000000" w:themeColor="text1"/>
          <w:sz w:val="20"/>
          <w:szCs w:val="20"/>
        </w:rPr>
        <w:t xml:space="preserve"> </w:t>
      </w:r>
      <w:r w:rsidR="0046436A" w:rsidRPr="00C707C3">
        <w:rPr>
          <w:color w:val="000000" w:themeColor="text1"/>
          <w:sz w:val="20"/>
          <w:szCs w:val="20"/>
        </w:rPr>
        <w:t>Costa</w:t>
      </w:r>
      <w:r w:rsidR="00FF41A0">
        <w:rPr>
          <w:color w:val="000000" w:themeColor="text1"/>
          <w:sz w:val="20"/>
          <w:szCs w:val="20"/>
        </w:rPr>
        <w:t xml:space="preserve"> </w:t>
      </w:r>
      <w:r w:rsidR="0046436A" w:rsidRPr="00C707C3">
        <w:rPr>
          <w:color w:val="000000" w:themeColor="text1"/>
          <w:sz w:val="20"/>
          <w:szCs w:val="20"/>
        </w:rPr>
        <w:t>Rica</w:t>
      </w:r>
      <w:r w:rsidR="0046436A">
        <w:rPr>
          <w:color w:val="000000" w:themeColor="text1"/>
          <w:sz w:val="20"/>
          <w:szCs w:val="20"/>
        </w:rPr>
        <w:t>,</w:t>
      </w:r>
      <w:r w:rsidR="00FF41A0">
        <w:rPr>
          <w:color w:val="000000" w:themeColor="text1"/>
          <w:sz w:val="20"/>
          <w:szCs w:val="20"/>
        </w:rPr>
        <w:t xml:space="preserve"> </w:t>
      </w:r>
      <w:r w:rsidR="0046436A" w:rsidRPr="00C707C3">
        <w:rPr>
          <w:color w:val="000000" w:themeColor="text1"/>
          <w:sz w:val="20"/>
          <w:szCs w:val="20"/>
        </w:rPr>
        <w:t>Indonesia</w:t>
      </w:r>
      <w:r w:rsidR="0046436A">
        <w:rPr>
          <w:color w:val="000000" w:themeColor="text1"/>
          <w:sz w:val="20"/>
          <w:szCs w:val="20"/>
        </w:rPr>
        <w:t>,</w:t>
      </w:r>
      <w:r w:rsidR="00FF41A0">
        <w:rPr>
          <w:color w:val="000000" w:themeColor="text1"/>
          <w:sz w:val="20"/>
          <w:szCs w:val="20"/>
        </w:rPr>
        <w:t xml:space="preserve"> </w:t>
      </w:r>
      <w:r w:rsidR="0046436A" w:rsidRPr="00C707C3">
        <w:rPr>
          <w:color w:val="000000" w:themeColor="text1"/>
          <w:sz w:val="20"/>
          <w:szCs w:val="20"/>
        </w:rPr>
        <w:t>Ireland</w:t>
      </w:r>
      <w:r w:rsidR="0046436A">
        <w:rPr>
          <w:color w:val="000000" w:themeColor="text1"/>
          <w:sz w:val="20"/>
          <w:szCs w:val="20"/>
        </w:rPr>
        <w:t>,</w:t>
      </w:r>
      <w:r w:rsidR="00FF41A0">
        <w:rPr>
          <w:color w:val="000000" w:themeColor="text1"/>
          <w:sz w:val="20"/>
          <w:szCs w:val="20"/>
        </w:rPr>
        <w:t xml:space="preserve"> </w:t>
      </w:r>
      <w:r w:rsidR="0046436A" w:rsidRPr="00C707C3">
        <w:rPr>
          <w:color w:val="000000" w:themeColor="text1"/>
          <w:sz w:val="20"/>
          <w:szCs w:val="20"/>
        </w:rPr>
        <w:t>Jordan</w:t>
      </w:r>
      <w:r w:rsidR="0046436A">
        <w:rPr>
          <w:color w:val="000000" w:themeColor="text1"/>
          <w:sz w:val="20"/>
          <w:szCs w:val="20"/>
        </w:rPr>
        <w:t>,</w:t>
      </w:r>
      <w:r w:rsidR="00FF41A0">
        <w:rPr>
          <w:color w:val="000000" w:themeColor="text1"/>
          <w:sz w:val="20"/>
          <w:szCs w:val="20"/>
        </w:rPr>
        <w:t xml:space="preserve"> </w:t>
      </w:r>
      <w:r w:rsidR="0046436A" w:rsidRPr="00C707C3">
        <w:rPr>
          <w:color w:val="000000" w:themeColor="text1"/>
          <w:sz w:val="20"/>
          <w:szCs w:val="20"/>
        </w:rPr>
        <w:t>Lebanon</w:t>
      </w:r>
      <w:r w:rsidR="0046436A">
        <w:rPr>
          <w:color w:val="000000" w:themeColor="text1"/>
          <w:sz w:val="20"/>
          <w:szCs w:val="20"/>
        </w:rPr>
        <w:t>,</w:t>
      </w:r>
      <w:r w:rsidR="00FF41A0">
        <w:rPr>
          <w:color w:val="000000" w:themeColor="text1"/>
          <w:sz w:val="20"/>
          <w:szCs w:val="20"/>
        </w:rPr>
        <w:t xml:space="preserve"> </w:t>
      </w:r>
      <w:r w:rsidR="0046436A" w:rsidRPr="00C707C3">
        <w:rPr>
          <w:color w:val="000000" w:themeColor="text1"/>
          <w:sz w:val="20"/>
          <w:szCs w:val="20"/>
        </w:rPr>
        <w:t>Libya</w:t>
      </w:r>
      <w:r w:rsidR="0046436A">
        <w:rPr>
          <w:color w:val="000000" w:themeColor="text1"/>
          <w:sz w:val="20"/>
          <w:szCs w:val="20"/>
        </w:rPr>
        <w:t>,</w:t>
      </w:r>
      <w:r w:rsidR="00FF41A0">
        <w:rPr>
          <w:color w:val="000000" w:themeColor="text1"/>
          <w:sz w:val="20"/>
          <w:szCs w:val="20"/>
        </w:rPr>
        <w:t xml:space="preserve"> </w:t>
      </w:r>
      <w:r w:rsidR="0046436A" w:rsidRPr="00C707C3">
        <w:rPr>
          <w:color w:val="000000" w:themeColor="text1"/>
          <w:sz w:val="20"/>
          <w:szCs w:val="20"/>
        </w:rPr>
        <w:t>Luxembourg</w:t>
      </w:r>
      <w:r w:rsidR="0046436A">
        <w:rPr>
          <w:color w:val="000000" w:themeColor="text1"/>
          <w:sz w:val="20"/>
          <w:szCs w:val="20"/>
        </w:rPr>
        <w:t>,</w:t>
      </w:r>
      <w:r w:rsidR="00FF41A0">
        <w:rPr>
          <w:color w:val="000000" w:themeColor="text1"/>
          <w:sz w:val="20"/>
          <w:szCs w:val="20"/>
        </w:rPr>
        <w:t xml:space="preserve"> </w:t>
      </w:r>
      <w:r w:rsidR="0046436A" w:rsidRPr="00C707C3">
        <w:rPr>
          <w:color w:val="000000" w:themeColor="text1"/>
          <w:sz w:val="20"/>
          <w:szCs w:val="20"/>
        </w:rPr>
        <w:t>Malaysia</w:t>
      </w:r>
      <w:r w:rsidR="0046436A">
        <w:rPr>
          <w:color w:val="000000" w:themeColor="text1"/>
          <w:sz w:val="20"/>
          <w:szCs w:val="20"/>
        </w:rPr>
        <w:t>,</w:t>
      </w:r>
      <w:r w:rsidR="00FF41A0">
        <w:rPr>
          <w:color w:val="000000" w:themeColor="text1"/>
          <w:sz w:val="20"/>
          <w:szCs w:val="20"/>
        </w:rPr>
        <w:t xml:space="preserve"> </w:t>
      </w:r>
      <w:r w:rsidR="0046436A" w:rsidRPr="00C707C3">
        <w:rPr>
          <w:color w:val="000000" w:themeColor="text1"/>
          <w:sz w:val="20"/>
          <w:szCs w:val="20"/>
        </w:rPr>
        <w:t>Maldives</w:t>
      </w:r>
      <w:r w:rsidR="0046436A">
        <w:rPr>
          <w:color w:val="000000" w:themeColor="text1"/>
          <w:sz w:val="20"/>
          <w:szCs w:val="20"/>
        </w:rPr>
        <w:t>,</w:t>
      </w:r>
      <w:r w:rsidR="00FF41A0">
        <w:rPr>
          <w:color w:val="000000" w:themeColor="text1"/>
          <w:sz w:val="20"/>
          <w:szCs w:val="20"/>
        </w:rPr>
        <w:t xml:space="preserve"> </w:t>
      </w:r>
      <w:r w:rsidR="0046436A" w:rsidRPr="00C707C3">
        <w:rPr>
          <w:color w:val="000000" w:themeColor="text1"/>
          <w:sz w:val="20"/>
          <w:szCs w:val="20"/>
        </w:rPr>
        <w:t>Namibia</w:t>
      </w:r>
      <w:r w:rsidR="0046436A">
        <w:rPr>
          <w:color w:val="000000" w:themeColor="text1"/>
          <w:sz w:val="20"/>
          <w:szCs w:val="20"/>
        </w:rPr>
        <w:t>,</w:t>
      </w:r>
      <w:r w:rsidR="00FF41A0">
        <w:rPr>
          <w:color w:val="000000" w:themeColor="text1"/>
          <w:sz w:val="20"/>
          <w:szCs w:val="20"/>
        </w:rPr>
        <w:t xml:space="preserve"> </w:t>
      </w:r>
      <w:r w:rsidR="0046436A" w:rsidRPr="00C707C3">
        <w:rPr>
          <w:color w:val="000000" w:themeColor="text1"/>
          <w:sz w:val="20"/>
          <w:szCs w:val="20"/>
        </w:rPr>
        <w:t>Oman</w:t>
      </w:r>
      <w:r w:rsidR="0046436A">
        <w:rPr>
          <w:color w:val="000000" w:themeColor="text1"/>
          <w:sz w:val="20"/>
          <w:szCs w:val="20"/>
        </w:rPr>
        <w:t>,</w:t>
      </w:r>
      <w:r w:rsidR="00FF41A0">
        <w:rPr>
          <w:color w:val="000000" w:themeColor="text1"/>
          <w:sz w:val="20"/>
          <w:szCs w:val="20"/>
        </w:rPr>
        <w:t xml:space="preserve"> </w:t>
      </w:r>
      <w:r w:rsidR="0046436A" w:rsidRPr="00C707C3">
        <w:rPr>
          <w:color w:val="000000" w:themeColor="text1"/>
          <w:sz w:val="20"/>
          <w:szCs w:val="20"/>
        </w:rPr>
        <w:t>Russian</w:t>
      </w:r>
      <w:r w:rsidR="00FF41A0">
        <w:rPr>
          <w:color w:val="000000" w:themeColor="text1"/>
          <w:sz w:val="20"/>
          <w:szCs w:val="20"/>
        </w:rPr>
        <w:t xml:space="preserve"> </w:t>
      </w:r>
      <w:r w:rsidR="0046436A" w:rsidRPr="00C707C3">
        <w:rPr>
          <w:color w:val="000000" w:themeColor="text1"/>
          <w:sz w:val="20"/>
          <w:szCs w:val="20"/>
        </w:rPr>
        <w:t>Federation</w:t>
      </w:r>
      <w:r w:rsidR="0046436A">
        <w:rPr>
          <w:color w:val="000000" w:themeColor="text1"/>
          <w:sz w:val="20"/>
          <w:szCs w:val="20"/>
        </w:rPr>
        <w:t>,</w:t>
      </w:r>
      <w:r w:rsidR="00FF41A0">
        <w:rPr>
          <w:color w:val="000000" w:themeColor="text1"/>
          <w:sz w:val="20"/>
          <w:szCs w:val="20"/>
        </w:rPr>
        <w:t xml:space="preserve"> </w:t>
      </w:r>
      <w:r w:rsidR="0046436A" w:rsidRPr="00C707C3">
        <w:rPr>
          <w:color w:val="000000" w:themeColor="text1"/>
          <w:sz w:val="20"/>
          <w:szCs w:val="20"/>
        </w:rPr>
        <w:t>Slovenia</w:t>
      </w:r>
      <w:r w:rsidR="0046436A">
        <w:rPr>
          <w:color w:val="000000" w:themeColor="text1"/>
          <w:sz w:val="20"/>
          <w:szCs w:val="20"/>
        </w:rPr>
        <w:t>,</w:t>
      </w:r>
      <w:r w:rsidR="00FF41A0">
        <w:rPr>
          <w:color w:val="000000" w:themeColor="text1"/>
          <w:sz w:val="20"/>
          <w:szCs w:val="20"/>
        </w:rPr>
        <w:t xml:space="preserve"> </w:t>
      </w:r>
      <w:r w:rsidR="0046436A" w:rsidRPr="00C707C3">
        <w:rPr>
          <w:color w:val="000000" w:themeColor="text1"/>
          <w:sz w:val="20"/>
          <w:szCs w:val="20"/>
        </w:rPr>
        <w:t>Switzerland</w:t>
      </w:r>
      <w:r w:rsidR="0046436A">
        <w:rPr>
          <w:color w:val="000000" w:themeColor="text1"/>
          <w:sz w:val="20"/>
          <w:szCs w:val="20"/>
        </w:rPr>
        <w:t>,</w:t>
      </w:r>
      <w:r w:rsidR="00FF41A0">
        <w:rPr>
          <w:color w:val="000000" w:themeColor="text1"/>
          <w:sz w:val="20"/>
          <w:szCs w:val="20"/>
        </w:rPr>
        <w:t xml:space="preserve"> </w:t>
      </w:r>
      <w:r w:rsidR="0046436A" w:rsidRPr="00C707C3">
        <w:rPr>
          <w:color w:val="000000" w:themeColor="text1"/>
          <w:sz w:val="20"/>
          <w:szCs w:val="20"/>
        </w:rPr>
        <w:t>Syrian</w:t>
      </w:r>
      <w:r w:rsidR="00FF41A0">
        <w:rPr>
          <w:color w:val="000000" w:themeColor="text1"/>
          <w:sz w:val="20"/>
          <w:szCs w:val="20"/>
        </w:rPr>
        <w:t xml:space="preserve"> </w:t>
      </w:r>
      <w:r w:rsidR="0046436A" w:rsidRPr="00C707C3">
        <w:rPr>
          <w:color w:val="000000" w:themeColor="text1"/>
          <w:sz w:val="20"/>
          <w:szCs w:val="20"/>
        </w:rPr>
        <w:t>Arab</w:t>
      </w:r>
      <w:r w:rsidR="00FF41A0">
        <w:rPr>
          <w:color w:val="000000" w:themeColor="text1"/>
          <w:sz w:val="20"/>
          <w:szCs w:val="20"/>
        </w:rPr>
        <w:t xml:space="preserve"> </w:t>
      </w:r>
      <w:r w:rsidR="0046436A" w:rsidRPr="00C707C3">
        <w:rPr>
          <w:color w:val="000000" w:themeColor="text1"/>
          <w:sz w:val="20"/>
          <w:szCs w:val="20"/>
        </w:rPr>
        <w:t>Republic</w:t>
      </w:r>
      <w:r w:rsidR="0046436A">
        <w:rPr>
          <w:color w:val="000000" w:themeColor="text1"/>
          <w:sz w:val="20"/>
          <w:szCs w:val="20"/>
        </w:rPr>
        <w:t>,</w:t>
      </w:r>
      <w:r w:rsidR="00FF41A0">
        <w:rPr>
          <w:color w:val="000000" w:themeColor="text1"/>
          <w:sz w:val="20"/>
          <w:szCs w:val="20"/>
        </w:rPr>
        <w:t xml:space="preserve"> </w:t>
      </w:r>
      <w:r w:rsidR="0046436A" w:rsidRPr="00C707C3">
        <w:rPr>
          <w:color w:val="000000" w:themeColor="text1"/>
          <w:sz w:val="20"/>
          <w:szCs w:val="20"/>
        </w:rPr>
        <w:t>Turkey</w:t>
      </w:r>
      <w:r w:rsidR="0046436A">
        <w:rPr>
          <w:color w:val="000000" w:themeColor="text1"/>
          <w:sz w:val="20"/>
          <w:szCs w:val="20"/>
        </w:rPr>
        <w:t>,</w:t>
      </w:r>
      <w:r w:rsidR="00FF41A0">
        <w:rPr>
          <w:color w:val="000000" w:themeColor="text1"/>
          <w:sz w:val="20"/>
          <w:szCs w:val="20"/>
        </w:rPr>
        <w:t xml:space="preserve"> </w:t>
      </w:r>
      <w:r w:rsidR="0046436A" w:rsidRPr="00C707C3">
        <w:rPr>
          <w:color w:val="000000" w:themeColor="text1"/>
          <w:sz w:val="20"/>
          <w:szCs w:val="20"/>
        </w:rPr>
        <w:t>Venezuela</w:t>
      </w:r>
      <w:r w:rsidR="00FF41A0">
        <w:rPr>
          <w:color w:val="000000" w:themeColor="text1"/>
          <w:sz w:val="20"/>
          <w:szCs w:val="20"/>
        </w:rPr>
        <w:t xml:space="preserve"> </w:t>
      </w:r>
      <w:r w:rsidR="0046436A" w:rsidRPr="00C707C3">
        <w:rPr>
          <w:color w:val="000000" w:themeColor="text1"/>
          <w:sz w:val="20"/>
          <w:szCs w:val="20"/>
        </w:rPr>
        <w:t>(Bolivarian</w:t>
      </w:r>
      <w:r w:rsidR="00FF41A0">
        <w:rPr>
          <w:color w:val="000000" w:themeColor="text1"/>
          <w:sz w:val="20"/>
          <w:szCs w:val="20"/>
        </w:rPr>
        <w:t xml:space="preserve"> </w:t>
      </w:r>
      <w:r w:rsidR="0046436A" w:rsidRPr="00C707C3">
        <w:rPr>
          <w:color w:val="000000" w:themeColor="text1"/>
          <w:sz w:val="20"/>
          <w:szCs w:val="20"/>
        </w:rPr>
        <w:t>Republic</w:t>
      </w:r>
      <w:r w:rsidR="00FF41A0">
        <w:rPr>
          <w:color w:val="000000" w:themeColor="text1"/>
          <w:sz w:val="20"/>
          <w:szCs w:val="20"/>
        </w:rPr>
        <w:t xml:space="preserve"> </w:t>
      </w:r>
      <w:r w:rsidR="0046436A" w:rsidRPr="00C707C3">
        <w:rPr>
          <w:color w:val="000000" w:themeColor="text1"/>
          <w:sz w:val="20"/>
          <w:szCs w:val="20"/>
        </w:rPr>
        <w:t>of)</w:t>
      </w:r>
      <w:r w:rsidRPr="0037538E">
        <w:rPr>
          <w:color w:val="000000" w:themeColor="text1"/>
          <w:sz w:val="20"/>
          <w:szCs w:val="20"/>
        </w:rPr>
        <w:t>;</w:t>
      </w:r>
      <w:r w:rsidRPr="0037538E">
        <w:rPr>
          <w:color w:val="000000" w:themeColor="text1"/>
          <w:sz w:val="20"/>
          <w:szCs w:val="20"/>
        </w:rPr>
        <w:tab/>
      </w:r>
    </w:p>
    <w:p w14:paraId="6733CB08" w14:textId="622BA3B1" w:rsidR="00EF420D" w:rsidRPr="0037538E" w:rsidRDefault="00EF420D" w:rsidP="00EF420D">
      <w:pPr>
        <w:pStyle w:val="SingleTxtG"/>
        <w:ind w:firstLine="567"/>
        <w:rPr>
          <w:color w:val="000000" w:themeColor="text1"/>
          <w:sz w:val="20"/>
          <w:szCs w:val="20"/>
        </w:rPr>
      </w:pPr>
      <w:r w:rsidRPr="0037538E">
        <w:rPr>
          <w:color w:val="000000" w:themeColor="text1"/>
          <w:sz w:val="20"/>
          <w:szCs w:val="20"/>
        </w:rPr>
        <w:t>(c)</w:t>
      </w:r>
      <w:r w:rsidRPr="0037538E">
        <w:rPr>
          <w:color w:val="000000" w:themeColor="text1"/>
          <w:sz w:val="20"/>
          <w:szCs w:val="20"/>
        </w:rPr>
        <w:tab/>
        <w:t>Observer</w:t>
      </w:r>
      <w:r w:rsidR="00C707C3">
        <w:rPr>
          <w:color w:val="000000" w:themeColor="text1"/>
          <w:sz w:val="20"/>
          <w:szCs w:val="20"/>
        </w:rPr>
        <w:t>s</w:t>
      </w:r>
      <w:r w:rsidR="00FF41A0">
        <w:rPr>
          <w:color w:val="000000" w:themeColor="text1"/>
          <w:sz w:val="20"/>
          <w:szCs w:val="20"/>
        </w:rPr>
        <w:t xml:space="preserve"> </w:t>
      </w:r>
      <w:r w:rsidRPr="0037538E">
        <w:rPr>
          <w:color w:val="000000" w:themeColor="text1"/>
          <w:sz w:val="20"/>
          <w:szCs w:val="20"/>
        </w:rPr>
        <w:t>for</w:t>
      </w:r>
      <w:r w:rsidR="00FF41A0">
        <w:rPr>
          <w:color w:val="000000" w:themeColor="text1"/>
          <w:sz w:val="20"/>
          <w:szCs w:val="20"/>
        </w:rPr>
        <w:t xml:space="preserve"> </w:t>
      </w:r>
      <w:r w:rsidRPr="0037538E">
        <w:rPr>
          <w:color w:val="000000" w:themeColor="text1"/>
          <w:sz w:val="20"/>
          <w:szCs w:val="20"/>
        </w:rPr>
        <w:t>intergovernmental</w:t>
      </w:r>
      <w:r w:rsidR="00FF41A0">
        <w:rPr>
          <w:color w:val="000000" w:themeColor="text1"/>
          <w:sz w:val="20"/>
          <w:szCs w:val="20"/>
        </w:rPr>
        <w:t xml:space="preserve"> </w:t>
      </w:r>
      <w:r w:rsidRPr="0037538E">
        <w:rPr>
          <w:color w:val="000000" w:themeColor="text1"/>
          <w:sz w:val="20"/>
          <w:szCs w:val="20"/>
        </w:rPr>
        <w:t>organization</w:t>
      </w:r>
      <w:r w:rsidR="00C707C3">
        <w:rPr>
          <w:color w:val="000000" w:themeColor="text1"/>
          <w:sz w:val="20"/>
          <w:szCs w:val="20"/>
        </w:rPr>
        <w:t>s</w:t>
      </w:r>
      <w:r w:rsidRPr="0037538E">
        <w:rPr>
          <w:color w:val="000000" w:themeColor="text1"/>
          <w:sz w:val="20"/>
          <w:szCs w:val="20"/>
        </w:rPr>
        <w:t>:</w:t>
      </w:r>
      <w:r w:rsidR="00FF41A0">
        <w:rPr>
          <w:color w:val="000000" w:themeColor="text1"/>
          <w:sz w:val="20"/>
          <w:szCs w:val="20"/>
        </w:rPr>
        <w:t xml:space="preserve"> </w:t>
      </w:r>
      <w:r w:rsidR="00C707C3" w:rsidRPr="00C707C3">
        <w:rPr>
          <w:color w:val="000000" w:themeColor="text1"/>
          <w:sz w:val="20"/>
          <w:szCs w:val="20"/>
        </w:rPr>
        <w:t>Cooperation</w:t>
      </w:r>
      <w:r w:rsidR="00FF41A0">
        <w:rPr>
          <w:color w:val="000000" w:themeColor="text1"/>
          <w:sz w:val="20"/>
          <w:szCs w:val="20"/>
        </w:rPr>
        <w:t xml:space="preserve"> </w:t>
      </w:r>
      <w:r w:rsidR="00C707C3" w:rsidRPr="00C707C3">
        <w:rPr>
          <w:color w:val="000000" w:themeColor="text1"/>
          <w:sz w:val="20"/>
          <w:szCs w:val="20"/>
        </w:rPr>
        <w:t>Council</w:t>
      </w:r>
      <w:r w:rsidR="00FF41A0">
        <w:rPr>
          <w:color w:val="000000" w:themeColor="text1"/>
          <w:sz w:val="20"/>
          <w:szCs w:val="20"/>
        </w:rPr>
        <w:t xml:space="preserve"> </w:t>
      </w:r>
      <w:r w:rsidR="00C707C3" w:rsidRPr="00C707C3">
        <w:rPr>
          <w:color w:val="000000" w:themeColor="text1"/>
          <w:sz w:val="20"/>
          <w:szCs w:val="20"/>
        </w:rPr>
        <w:t>for</w:t>
      </w:r>
      <w:r w:rsidR="00FF41A0">
        <w:rPr>
          <w:color w:val="000000" w:themeColor="text1"/>
          <w:sz w:val="20"/>
          <w:szCs w:val="20"/>
        </w:rPr>
        <w:t xml:space="preserve"> </w:t>
      </w:r>
      <w:r w:rsidR="00C707C3" w:rsidRPr="00C707C3">
        <w:rPr>
          <w:color w:val="000000" w:themeColor="text1"/>
          <w:sz w:val="20"/>
          <w:szCs w:val="20"/>
        </w:rPr>
        <w:t>the</w:t>
      </w:r>
      <w:r w:rsidR="00FF41A0">
        <w:rPr>
          <w:color w:val="000000" w:themeColor="text1"/>
          <w:sz w:val="20"/>
          <w:szCs w:val="20"/>
        </w:rPr>
        <w:t xml:space="preserve"> </w:t>
      </w:r>
      <w:r w:rsidR="00C707C3" w:rsidRPr="00C707C3">
        <w:rPr>
          <w:color w:val="000000" w:themeColor="text1"/>
          <w:sz w:val="20"/>
          <w:szCs w:val="20"/>
        </w:rPr>
        <w:t>Arab</w:t>
      </w:r>
      <w:r w:rsidR="00FF41A0">
        <w:rPr>
          <w:color w:val="000000" w:themeColor="text1"/>
          <w:sz w:val="20"/>
          <w:szCs w:val="20"/>
        </w:rPr>
        <w:t xml:space="preserve"> </w:t>
      </w:r>
      <w:r w:rsidR="00C707C3" w:rsidRPr="00C707C3">
        <w:rPr>
          <w:color w:val="000000" w:themeColor="text1"/>
          <w:sz w:val="20"/>
          <w:szCs w:val="20"/>
        </w:rPr>
        <w:t>States</w:t>
      </w:r>
      <w:r w:rsidR="00FF41A0">
        <w:rPr>
          <w:color w:val="000000" w:themeColor="text1"/>
          <w:sz w:val="20"/>
          <w:szCs w:val="20"/>
        </w:rPr>
        <w:t xml:space="preserve"> </w:t>
      </w:r>
      <w:r w:rsidR="00C707C3" w:rsidRPr="00C707C3">
        <w:rPr>
          <w:color w:val="000000" w:themeColor="text1"/>
          <w:sz w:val="20"/>
          <w:szCs w:val="20"/>
        </w:rPr>
        <w:t>of</w:t>
      </w:r>
      <w:r w:rsidR="00FF41A0">
        <w:rPr>
          <w:color w:val="000000" w:themeColor="text1"/>
          <w:sz w:val="20"/>
          <w:szCs w:val="20"/>
        </w:rPr>
        <w:t xml:space="preserve"> </w:t>
      </w:r>
      <w:r w:rsidR="00C707C3" w:rsidRPr="00C707C3">
        <w:rPr>
          <w:color w:val="000000" w:themeColor="text1"/>
          <w:sz w:val="20"/>
          <w:szCs w:val="20"/>
        </w:rPr>
        <w:t>the</w:t>
      </w:r>
      <w:r w:rsidR="00FF41A0">
        <w:rPr>
          <w:color w:val="000000" w:themeColor="text1"/>
          <w:sz w:val="20"/>
          <w:szCs w:val="20"/>
        </w:rPr>
        <w:t xml:space="preserve"> </w:t>
      </w:r>
      <w:r w:rsidR="00C707C3" w:rsidRPr="00C707C3">
        <w:rPr>
          <w:color w:val="000000" w:themeColor="text1"/>
          <w:sz w:val="20"/>
          <w:szCs w:val="20"/>
        </w:rPr>
        <w:t>Gulf</w:t>
      </w:r>
      <w:r w:rsidR="00C707C3">
        <w:rPr>
          <w:color w:val="000000" w:themeColor="text1"/>
          <w:sz w:val="20"/>
          <w:szCs w:val="20"/>
        </w:rPr>
        <w:t>,</w:t>
      </w:r>
      <w:r w:rsidR="00FF41A0">
        <w:rPr>
          <w:color w:val="000000" w:themeColor="text1"/>
          <w:sz w:val="20"/>
          <w:szCs w:val="20"/>
        </w:rPr>
        <w:t xml:space="preserve"> </w:t>
      </w:r>
      <w:r w:rsidRPr="0037538E">
        <w:rPr>
          <w:color w:val="000000" w:themeColor="text1"/>
          <w:sz w:val="20"/>
          <w:szCs w:val="20"/>
        </w:rPr>
        <w:t>European</w:t>
      </w:r>
      <w:r w:rsidR="00FF41A0">
        <w:rPr>
          <w:color w:val="000000" w:themeColor="text1"/>
          <w:sz w:val="20"/>
          <w:szCs w:val="20"/>
        </w:rPr>
        <w:t xml:space="preserve"> </w:t>
      </w:r>
      <w:r w:rsidRPr="0037538E">
        <w:rPr>
          <w:color w:val="000000" w:themeColor="text1"/>
          <w:sz w:val="20"/>
          <w:szCs w:val="20"/>
        </w:rPr>
        <w:t>Union;</w:t>
      </w:r>
    </w:p>
    <w:p w14:paraId="4900ED3D" w14:textId="143424EF" w:rsidR="00EF420D" w:rsidRDefault="00EF420D" w:rsidP="00EF420D">
      <w:pPr>
        <w:pStyle w:val="SingleTxtG"/>
        <w:ind w:firstLine="567"/>
        <w:rPr>
          <w:color w:val="000000" w:themeColor="text1"/>
          <w:sz w:val="20"/>
          <w:szCs w:val="20"/>
        </w:rPr>
      </w:pPr>
      <w:r w:rsidRPr="0037538E">
        <w:rPr>
          <w:color w:val="000000" w:themeColor="text1"/>
          <w:sz w:val="20"/>
          <w:szCs w:val="20"/>
        </w:rPr>
        <w:t>(d)</w:t>
      </w:r>
      <w:r w:rsidRPr="0037538E">
        <w:rPr>
          <w:color w:val="000000" w:themeColor="text1"/>
          <w:sz w:val="20"/>
          <w:szCs w:val="20"/>
        </w:rPr>
        <w:tab/>
        <w:t>Observers</w:t>
      </w:r>
      <w:r w:rsidR="00FF41A0">
        <w:rPr>
          <w:color w:val="000000" w:themeColor="text1"/>
          <w:sz w:val="20"/>
          <w:szCs w:val="20"/>
        </w:rPr>
        <w:t xml:space="preserve"> </w:t>
      </w:r>
      <w:r w:rsidRPr="0037538E">
        <w:rPr>
          <w:color w:val="000000" w:themeColor="text1"/>
          <w:sz w:val="20"/>
          <w:szCs w:val="20"/>
        </w:rPr>
        <w:t>for</w:t>
      </w:r>
      <w:r w:rsidR="00FF41A0">
        <w:rPr>
          <w:color w:val="000000" w:themeColor="text1"/>
          <w:sz w:val="20"/>
          <w:szCs w:val="20"/>
        </w:rPr>
        <w:t xml:space="preserve"> </w:t>
      </w:r>
      <w:r w:rsidRPr="0037538E">
        <w:rPr>
          <w:color w:val="000000" w:themeColor="text1"/>
          <w:sz w:val="20"/>
          <w:szCs w:val="20"/>
        </w:rPr>
        <w:t>non-governmental</w:t>
      </w:r>
      <w:r w:rsidR="00FF41A0">
        <w:rPr>
          <w:color w:val="000000" w:themeColor="text1"/>
          <w:sz w:val="20"/>
          <w:szCs w:val="20"/>
        </w:rPr>
        <w:t xml:space="preserve"> </w:t>
      </w:r>
      <w:r w:rsidRPr="0037538E">
        <w:rPr>
          <w:color w:val="000000" w:themeColor="text1"/>
          <w:sz w:val="20"/>
          <w:szCs w:val="20"/>
        </w:rPr>
        <w:t>organizations:</w:t>
      </w:r>
      <w:r w:rsidR="00FF41A0">
        <w:rPr>
          <w:color w:val="000000" w:themeColor="text1"/>
          <w:sz w:val="20"/>
          <w:szCs w:val="20"/>
        </w:rPr>
        <w:t xml:space="preserve"> </w:t>
      </w:r>
      <w:r w:rsidR="0046436A" w:rsidRPr="0046436A">
        <w:rPr>
          <w:color w:val="000000" w:themeColor="text1"/>
          <w:sz w:val="20"/>
          <w:szCs w:val="20"/>
        </w:rPr>
        <w:t>Al</w:t>
      </w:r>
      <w:r w:rsidR="00FF41A0">
        <w:rPr>
          <w:color w:val="000000" w:themeColor="text1"/>
          <w:sz w:val="20"/>
          <w:szCs w:val="20"/>
        </w:rPr>
        <w:t xml:space="preserve"> </w:t>
      </w:r>
      <w:r w:rsidR="0046436A" w:rsidRPr="0046436A">
        <w:rPr>
          <w:color w:val="000000" w:themeColor="text1"/>
          <w:sz w:val="20"/>
          <w:szCs w:val="20"/>
        </w:rPr>
        <w:t>Mezan</w:t>
      </w:r>
      <w:r w:rsidR="00FF41A0">
        <w:rPr>
          <w:color w:val="000000" w:themeColor="text1"/>
          <w:sz w:val="20"/>
          <w:szCs w:val="20"/>
        </w:rPr>
        <w:t xml:space="preserve"> </w:t>
      </w:r>
      <w:r w:rsidR="0046436A" w:rsidRPr="0046436A">
        <w:rPr>
          <w:color w:val="000000" w:themeColor="text1"/>
          <w:sz w:val="20"/>
          <w:szCs w:val="20"/>
        </w:rPr>
        <w:t>Centre</w:t>
      </w:r>
      <w:r w:rsidR="00FF41A0">
        <w:rPr>
          <w:color w:val="000000" w:themeColor="text1"/>
          <w:sz w:val="20"/>
          <w:szCs w:val="20"/>
        </w:rPr>
        <w:t xml:space="preserve"> </w:t>
      </w:r>
      <w:r w:rsidR="0046436A" w:rsidRPr="0046436A">
        <w:rPr>
          <w:color w:val="000000" w:themeColor="text1"/>
          <w:sz w:val="20"/>
          <w:szCs w:val="20"/>
        </w:rPr>
        <w:t>for</w:t>
      </w:r>
      <w:r w:rsidR="00FF41A0">
        <w:rPr>
          <w:color w:val="000000" w:themeColor="text1"/>
          <w:sz w:val="20"/>
          <w:szCs w:val="20"/>
        </w:rPr>
        <w:t xml:space="preserve"> </w:t>
      </w:r>
      <w:r w:rsidR="0046436A" w:rsidRPr="0046436A">
        <w:rPr>
          <w:color w:val="000000" w:themeColor="text1"/>
          <w:sz w:val="20"/>
          <w:szCs w:val="20"/>
        </w:rPr>
        <w:t>Human</w:t>
      </w:r>
      <w:r w:rsidR="00FF41A0">
        <w:rPr>
          <w:color w:val="000000" w:themeColor="text1"/>
          <w:sz w:val="20"/>
          <w:szCs w:val="20"/>
        </w:rPr>
        <w:t xml:space="preserve"> </w:t>
      </w:r>
      <w:r w:rsidR="0046436A" w:rsidRPr="0046436A">
        <w:rPr>
          <w:color w:val="000000" w:themeColor="text1"/>
          <w:sz w:val="20"/>
          <w:szCs w:val="20"/>
        </w:rPr>
        <w:t>Rights</w:t>
      </w:r>
      <w:r w:rsidR="0046436A">
        <w:rPr>
          <w:color w:val="000000" w:themeColor="text1"/>
          <w:sz w:val="20"/>
          <w:szCs w:val="20"/>
        </w:rPr>
        <w:t>;</w:t>
      </w:r>
      <w:r w:rsidR="00FF41A0">
        <w:rPr>
          <w:color w:val="000000" w:themeColor="text1"/>
          <w:sz w:val="20"/>
          <w:szCs w:val="20"/>
        </w:rPr>
        <w:t xml:space="preserve"> </w:t>
      </w:r>
      <w:r w:rsidR="0046436A" w:rsidRPr="0046436A">
        <w:rPr>
          <w:color w:val="000000" w:themeColor="text1"/>
          <w:sz w:val="20"/>
          <w:szCs w:val="20"/>
        </w:rPr>
        <w:t>Al-Haq,</w:t>
      </w:r>
      <w:r w:rsidR="00FF41A0">
        <w:rPr>
          <w:color w:val="000000" w:themeColor="text1"/>
          <w:sz w:val="20"/>
          <w:szCs w:val="20"/>
        </w:rPr>
        <w:t xml:space="preserve"> </w:t>
      </w:r>
      <w:r w:rsidR="0046436A" w:rsidRPr="0046436A">
        <w:rPr>
          <w:color w:val="000000" w:themeColor="text1"/>
          <w:sz w:val="20"/>
          <w:szCs w:val="20"/>
        </w:rPr>
        <w:t>Law</w:t>
      </w:r>
      <w:r w:rsidR="00FF41A0">
        <w:rPr>
          <w:color w:val="000000" w:themeColor="text1"/>
          <w:sz w:val="20"/>
          <w:szCs w:val="20"/>
        </w:rPr>
        <w:t xml:space="preserve"> </w:t>
      </w:r>
      <w:r w:rsidR="0046436A" w:rsidRPr="0046436A">
        <w:rPr>
          <w:color w:val="000000" w:themeColor="text1"/>
          <w:sz w:val="20"/>
          <w:szCs w:val="20"/>
        </w:rPr>
        <w:t>in</w:t>
      </w:r>
      <w:r w:rsidR="00FF41A0">
        <w:rPr>
          <w:color w:val="000000" w:themeColor="text1"/>
          <w:sz w:val="20"/>
          <w:szCs w:val="20"/>
        </w:rPr>
        <w:t xml:space="preserve"> </w:t>
      </w:r>
      <w:r w:rsidR="0046436A" w:rsidRPr="0046436A">
        <w:rPr>
          <w:color w:val="000000" w:themeColor="text1"/>
          <w:sz w:val="20"/>
          <w:szCs w:val="20"/>
        </w:rPr>
        <w:t>the</w:t>
      </w:r>
      <w:r w:rsidR="00FF41A0">
        <w:rPr>
          <w:color w:val="000000" w:themeColor="text1"/>
          <w:sz w:val="20"/>
          <w:szCs w:val="20"/>
        </w:rPr>
        <w:t xml:space="preserve"> </w:t>
      </w:r>
      <w:r w:rsidR="0046436A" w:rsidRPr="0046436A">
        <w:rPr>
          <w:color w:val="000000" w:themeColor="text1"/>
          <w:sz w:val="20"/>
          <w:szCs w:val="20"/>
        </w:rPr>
        <w:t>Service</w:t>
      </w:r>
      <w:r w:rsidR="00FF41A0">
        <w:rPr>
          <w:color w:val="000000" w:themeColor="text1"/>
          <w:sz w:val="20"/>
          <w:szCs w:val="20"/>
        </w:rPr>
        <w:t xml:space="preserve"> </w:t>
      </w:r>
      <w:r w:rsidR="0046436A" w:rsidRPr="0046436A">
        <w:rPr>
          <w:color w:val="000000" w:themeColor="text1"/>
          <w:sz w:val="20"/>
          <w:szCs w:val="20"/>
        </w:rPr>
        <w:t>of</w:t>
      </w:r>
      <w:r w:rsidR="00FF41A0">
        <w:rPr>
          <w:color w:val="000000" w:themeColor="text1"/>
          <w:sz w:val="20"/>
          <w:szCs w:val="20"/>
        </w:rPr>
        <w:t xml:space="preserve"> </w:t>
      </w:r>
      <w:r w:rsidR="0046436A" w:rsidRPr="0046436A">
        <w:rPr>
          <w:color w:val="000000" w:themeColor="text1"/>
          <w:sz w:val="20"/>
          <w:szCs w:val="20"/>
        </w:rPr>
        <w:t>Man</w:t>
      </w:r>
      <w:r w:rsidR="0046436A">
        <w:rPr>
          <w:color w:val="000000" w:themeColor="text1"/>
          <w:sz w:val="20"/>
          <w:szCs w:val="20"/>
        </w:rPr>
        <w:t>;</w:t>
      </w:r>
      <w:r w:rsidR="00FF41A0">
        <w:rPr>
          <w:color w:val="000000" w:themeColor="text1"/>
          <w:sz w:val="20"/>
          <w:szCs w:val="20"/>
        </w:rPr>
        <w:t xml:space="preserve"> </w:t>
      </w:r>
      <w:r w:rsidR="0046436A" w:rsidRPr="0046436A">
        <w:rPr>
          <w:color w:val="000000" w:themeColor="text1"/>
          <w:sz w:val="20"/>
          <w:szCs w:val="20"/>
        </w:rPr>
        <w:t>BADIL</w:t>
      </w:r>
      <w:r w:rsidR="00FF41A0">
        <w:rPr>
          <w:color w:val="000000" w:themeColor="text1"/>
          <w:sz w:val="20"/>
          <w:szCs w:val="20"/>
        </w:rPr>
        <w:t xml:space="preserve"> </w:t>
      </w:r>
      <w:r w:rsidR="0046436A" w:rsidRPr="0046436A">
        <w:rPr>
          <w:color w:val="000000" w:themeColor="text1"/>
          <w:sz w:val="20"/>
          <w:szCs w:val="20"/>
        </w:rPr>
        <w:t>Resource</w:t>
      </w:r>
      <w:r w:rsidR="00FF41A0">
        <w:rPr>
          <w:color w:val="000000" w:themeColor="text1"/>
          <w:sz w:val="20"/>
          <w:szCs w:val="20"/>
        </w:rPr>
        <w:t xml:space="preserve"> </w:t>
      </w:r>
      <w:r w:rsidR="0046436A" w:rsidRPr="0046436A">
        <w:rPr>
          <w:color w:val="000000" w:themeColor="text1"/>
          <w:sz w:val="20"/>
          <w:szCs w:val="20"/>
        </w:rPr>
        <w:t>Center</w:t>
      </w:r>
      <w:r w:rsidR="00FF41A0">
        <w:rPr>
          <w:color w:val="000000" w:themeColor="text1"/>
          <w:sz w:val="20"/>
          <w:szCs w:val="20"/>
        </w:rPr>
        <w:t xml:space="preserve"> </w:t>
      </w:r>
      <w:r w:rsidR="0046436A" w:rsidRPr="0046436A">
        <w:rPr>
          <w:color w:val="000000" w:themeColor="text1"/>
          <w:sz w:val="20"/>
          <w:szCs w:val="20"/>
        </w:rPr>
        <w:t>for</w:t>
      </w:r>
      <w:r w:rsidR="00FF41A0">
        <w:rPr>
          <w:color w:val="000000" w:themeColor="text1"/>
          <w:sz w:val="20"/>
          <w:szCs w:val="20"/>
        </w:rPr>
        <w:t xml:space="preserve"> </w:t>
      </w:r>
      <w:r w:rsidR="0046436A" w:rsidRPr="0046436A">
        <w:rPr>
          <w:color w:val="000000" w:themeColor="text1"/>
          <w:sz w:val="20"/>
          <w:szCs w:val="20"/>
        </w:rPr>
        <w:t>Palestinian</w:t>
      </w:r>
      <w:r w:rsidR="00FF41A0">
        <w:rPr>
          <w:color w:val="000000" w:themeColor="text1"/>
          <w:sz w:val="20"/>
          <w:szCs w:val="20"/>
        </w:rPr>
        <w:t xml:space="preserve"> </w:t>
      </w:r>
      <w:r w:rsidR="0046436A" w:rsidRPr="0046436A">
        <w:rPr>
          <w:color w:val="000000" w:themeColor="text1"/>
          <w:sz w:val="20"/>
          <w:szCs w:val="20"/>
        </w:rPr>
        <w:t>Residency</w:t>
      </w:r>
      <w:r w:rsidR="00FF41A0">
        <w:rPr>
          <w:color w:val="000000" w:themeColor="text1"/>
          <w:sz w:val="20"/>
          <w:szCs w:val="20"/>
        </w:rPr>
        <w:t xml:space="preserve"> </w:t>
      </w:r>
      <w:r w:rsidR="0046436A" w:rsidRPr="0046436A">
        <w:rPr>
          <w:color w:val="000000" w:themeColor="text1"/>
          <w:sz w:val="20"/>
          <w:szCs w:val="20"/>
        </w:rPr>
        <w:t>and</w:t>
      </w:r>
      <w:r w:rsidR="00FF41A0">
        <w:rPr>
          <w:color w:val="000000" w:themeColor="text1"/>
          <w:sz w:val="20"/>
          <w:szCs w:val="20"/>
        </w:rPr>
        <w:t xml:space="preserve"> </w:t>
      </w:r>
      <w:r w:rsidR="0046436A" w:rsidRPr="0046436A">
        <w:rPr>
          <w:color w:val="000000" w:themeColor="text1"/>
          <w:sz w:val="20"/>
          <w:szCs w:val="20"/>
        </w:rPr>
        <w:t>Refugee</w:t>
      </w:r>
      <w:r w:rsidR="00FF41A0">
        <w:rPr>
          <w:color w:val="000000" w:themeColor="text1"/>
          <w:sz w:val="20"/>
          <w:szCs w:val="20"/>
        </w:rPr>
        <w:t xml:space="preserve"> </w:t>
      </w:r>
      <w:r w:rsidR="0046436A" w:rsidRPr="0046436A">
        <w:rPr>
          <w:color w:val="000000" w:themeColor="text1"/>
          <w:sz w:val="20"/>
          <w:szCs w:val="20"/>
        </w:rPr>
        <w:t>Rights</w:t>
      </w:r>
      <w:r w:rsidR="0046436A">
        <w:rPr>
          <w:color w:val="000000" w:themeColor="text1"/>
          <w:sz w:val="20"/>
          <w:szCs w:val="20"/>
        </w:rPr>
        <w:t>;</w:t>
      </w:r>
      <w:r w:rsidR="00FF41A0">
        <w:rPr>
          <w:color w:val="000000" w:themeColor="text1"/>
          <w:sz w:val="20"/>
          <w:szCs w:val="20"/>
        </w:rPr>
        <w:t xml:space="preserve"> </w:t>
      </w:r>
      <w:r w:rsidR="0046436A" w:rsidRPr="0046436A">
        <w:rPr>
          <w:color w:val="000000" w:themeColor="text1"/>
          <w:sz w:val="20"/>
          <w:szCs w:val="20"/>
        </w:rPr>
        <w:t>Defence</w:t>
      </w:r>
      <w:r w:rsidR="00FF41A0">
        <w:rPr>
          <w:color w:val="000000" w:themeColor="text1"/>
          <w:sz w:val="20"/>
          <w:szCs w:val="20"/>
        </w:rPr>
        <w:t xml:space="preserve"> </w:t>
      </w:r>
      <w:r w:rsidR="0046436A" w:rsidRPr="0046436A">
        <w:rPr>
          <w:color w:val="000000" w:themeColor="text1"/>
          <w:sz w:val="20"/>
          <w:szCs w:val="20"/>
        </w:rPr>
        <w:t>for</w:t>
      </w:r>
      <w:r w:rsidR="00FF41A0">
        <w:rPr>
          <w:color w:val="000000" w:themeColor="text1"/>
          <w:sz w:val="20"/>
          <w:szCs w:val="20"/>
        </w:rPr>
        <w:t xml:space="preserve"> </w:t>
      </w:r>
      <w:r w:rsidR="0046436A" w:rsidRPr="0046436A">
        <w:rPr>
          <w:color w:val="000000" w:themeColor="text1"/>
          <w:sz w:val="20"/>
          <w:szCs w:val="20"/>
        </w:rPr>
        <w:t>Children</w:t>
      </w:r>
      <w:r w:rsidR="00FF41A0">
        <w:rPr>
          <w:color w:val="000000" w:themeColor="text1"/>
          <w:sz w:val="20"/>
          <w:szCs w:val="20"/>
        </w:rPr>
        <w:t xml:space="preserve"> </w:t>
      </w:r>
      <w:r w:rsidR="0046436A" w:rsidRPr="0046436A">
        <w:rPr>
          <w:color w:val="000000" w:themeColor="text1"/>
          <w:sz w:val="20"/>
          <w:szCs w:val="20"/>
        </w:rPr>
        <w:t>International</w:t>
      </w:r>
      <w:r w:rsidR="0046436A">
        <w:rPr>
          <w:color w:val="000000" w:themeColor="text1"/>
          <w:sz w:val="20"/>
          <w:szCs w:val="20"/>
        </w:rPr>
        <w:t>;</w:t>
      </w:r>
      <w:r w:rsidR="00FF41A0">
        <w:rPr>
          <w:color w:val="000000" w:themeColor="text1"/>
          <w:sz w:val="20"/>
          <w:szCs w:val="20"/>
        </w:rPr>
        <w:t xml:space="preserve"> </w:t>
      </w:r>
      <w:r w:rsidR="0046436A" w:rsidRPr="0046436A">
        <w:rPr>
          <w:color w:val="000000" w:themeColor="text1"/>
          <w:sz w:val="20"/>
          <w:szCs w:val="20"/>
        </w:rPr>
        <w:t>Institute</w:t>
      </w:r>
      <w:r w:rsidR="00FF41A0">
        <w:rPr>
          <w:color w:val="000000" w:themeColor="text1"/>
          <w:sz w:val="20"/>
          <w:szCs w:val="20"/>
        </w:rPr>
        <w:t xml:space="preserve"> </w:t>
      </w:r>
      <w:r w:rsidR="0046436A" w:rsidRPr="0046436A">
        <w:rPr>
          <w:color w:val="000000" w:themeColor="text1"/>
          <w:sz w:val="20"/>
          <w:szCs w:val="20"/>
        </w:rPr>
        <w:t>for</w:t>
      </w:r>
      <w:r w:rsidR="00FF41A0">
        <w:rPr>
          <w:color w:val="000000" w:themeColor="text1"/>
          <w:sz w:val="20"/>
          <w:szCs w:val="20"/>
        </w:rPr>
        <w:t xml:space="preserve"> </w:t>
      </w:r>
      <w:r w:rsidR="0046436A" w:rsidRPr="0046436A">
        <w:rPr>
          <w:color w:val="000000" w:themeColor="text1"/>
          <w:sz w:val="20"/>
          <w:szCs w:val="20"/>
        </w:rPr>
        <w:t>NGO</w:t>
      </w:r>
      <w:r w:rsidR="00FF41A0">
        <w:rPr>
          <w:color w:val="000000" w:themeColor="text1"/>
          <w:sz w:val="20"/>
          <w:szCs w:val="20"/>
        </w:rPr>
        <w:t xml:space="preserve"> </w:t>
      </w:r>
      <w:r w:rsidR="0046436A" w:rsidRPr="0046436A">
        <w:rPr>
          <w:color w:val="000000" w:themeColor="text1"/>
          <w:sz w:val="20"/>
          <w:szCs w:val="20"/>
        </w:rPr>
        <w:t>Research</w:t>
      </w:r>
      <w:r w:rsidR="0046436A">
        <w:rPr>
          <w:color w:val="000000" w:themeColor="text1"/>
          <w:sz w:val="20"/>
          <w:szCs w:val="20"/>
        </w:rPr>
        <w:t>;</w:t>
      </w:r>
      <w:r w:rsidR="00FF41A0">
        <w:rPr>
          <w:color w:val="000000" w:themeColor="text1"/>
          <w:sz w:val="20"/>
          <w:szCs w:val="20"/>
        </w:rPr>
        <w:t xml:space="preserve"> </w:t>
      </w:r>
      <w:r w:rsidR="0046436A" w:rsidRPr="0046436A">
        <w:rPr>
          <w:color w:val="000000" w:themeColor="text1"/>
          <w:sz w:val="20"/>
          <w:szCs w:val="20"/>
        </w:rPr>
        <w:t>The</w:t>
      </w:r>
      <w:r w:rsidR="00FF41A0">
        <w:rPr>
          <w:color w:val="000000" w:themeColor="text1"/>
          <w:sz w:val="20"/>
          <w:szCs w:val="20"/>
        </w:rPr>
        <w:t xml:space="preserve"> </w:t>
      </w:r>
      <w:r w:rsidR="0046436A" w:rsidRPr="0046436A">
        <w:rPr>
          <w:color w:val="000000" w:themeColor="text1"/>
          <w:sz w:val="20"/>
          <w:szCs w:val="20"/>
        </w:rPr>
        <w:t>Palestinian</w:t>
      </w:r>
      <w:r w:rsidR="00FF41A0">
        <w:rPr>
          <w:color w:val="000000" w:themeColor="text1"/>
          <w:sz w:val="20"/>
          <w:szCs w:val="20"/>
        </w:rPr>
        <w:t xml:space="preserve"> </w:t>
      </w:r>
      <w:r w:rsidR="0046436A" w:rsidRPr="0046436A">
        <w:rPr>
          <w:color w:val="000000" w:themeColor="text1"/>
          <w:sz w:val="20"/>
          <w:szCs w:val="20"/>
        </w:rPr>
        <w:t>Return</w:t>
      </w:r>
      <w:r w:rsidR="00FF41A0">
        <w:rPr>
          <w:color w:val="000000" w:themeColor="text1"/>
          <w:sz w:val="20"/>
          <w:szCs w:val="20"/>
        </w:rPr>
        <w:t xml:space="preserve"> </w:t>
      </w:r>
      <w:r w:rsidR="0046436A" w:rsidRPr="0046436A">
        <w:rPr>
          <w:color w:val="000000" w:themeColor="text1"/>
          <w:sz w:val="20"/>
          <w:szCs w:val="20"/>
        </w:rPr>
        <w:t>Centre</w:t>
      </w:r>
      <w:r w:rsidR="00FF41A0">
        <w:rPr>
          <w:color w:val="000000" w:themeColor="text1"/>
          <w:sz w:val="20"/>
          <w:szCs w:val="20"/>
        </w:rPr>
        <w:t xml:space="preserve"> </w:t>
      </w:r>
      <w:r w:rsidR="0046436A" w:rsidRPr="0046436A">
        <w:rPr>
          <w:color w:val="000000" w:themeColor="text1"/>
          <w:sz w:val="20"/>
          <w:szCs w:val="20"/>
        </w:rPr>
        <w:t>Ltd</w:t>
      </w:r>
      <w:r w:rsidR="0046436A">
        <w:rPr>
          <w:color w:val="000000" w:themeColor="text1"/>
          <w:sz w:val="20"/>
          <w:szCs w:val="20"/>
        </w:rPr>
        <w:t>;</w:t>
      </w:r>
      <w:r w:rsidR="00FF41A0">
        <w:rPr>
          <w:color w:val="000000" w:themeColor="text1"/>
          <w:sz w:val="20"/>
          <w:szCs w:val="20"/>
        </w:rPr>
        <w:t xml:space="preserve"> </w:t>
      </w:r>
      <w:r w:rsidR="0046436A" w:rsidRPr="0046436A">
        <w:rPr>
          <w:color w:val="000000" w:themeColor="text1"/>
          <w:sz w:val="20"/>
          <w:szCs w:val="20"/>
        </w:rPr>
        <w:t>United</w:t>
      </w:r>
      <w:r w:rsidR="00FF41A0">
        <w:rPr>
          <w:color w:val="000000" w:themeColor="text1"/>
          <w:sz w:val="20"/>
          <w:szCs w:val="20"/>
        </w:rPr>
        <w:t xml:space="preserve"> </w:t>
      </w:r>
      <w:r w:rsidR="0046436A" w:rsidRPr="0046436A">
        <w:rPr>
          <w:color w:val="000000" w:themeColor="text1"/>
          <w:sz w:val="20"/>
          <w:szCs w:val="20"/>
        </w:rPr>
        <w:t>Nations</w:t>
      </w:r>
      <w:r w:rsidR="00FF41A0">
        <w:rPr>
          <w:color w:val="000000" w:themeColor="text1"/>
          <w:sz w:val="20"/>
          <w:szCs w:val="20"/>
        </w:rPr>
        <w:t xml:space="preserve"> </w:t>
      </w:r>
      <w:r w:rsidR="0046436A" w:rsidRPr="0046436A">
        <w:rPr>
          <w:color w:val="000000" w:themeColor="text1"/>
          <w:sz w:val="20"/>
          <w:szCs w:val="20"/>
        </w:rPr>
        <w:t>Watch</w:t>
      </w:r>
      <w:r w:rsidR="0046436A">
        <w:rPr>
          <w:color w:val="000000" w:themeColor="text1"/>
          <w:sz w:val="20"/>
          <w:szCs w:val="20"/>
        </w:rPr>
        <w:t>;</w:t>
      </w:r>
      <w:r w:rsidR="00FF41A0">
        <w:rPr>
          <w:color w:val="000000" w:themeColor="text1"/>
          <w:sz w:val="20"/>
          <w:szCs w:val="20"/>
        </w:rPr>
        <w:t xml:space="preserve"> </w:t>
      </w:r>
      <w:r w:rsidR="0046436A" w:rsidRPr="0046436A">
        <w:rPr>
          <w:color w:val="000000" w:themeColor="text1"/>
          <w:sz w:val="20"/>
          <w:szCs w:val="20"/>
        </w:rPr>
        <w:t>World</w:t>
      </w:r>
      <w:r w:rsidR="00FF41A0">
        <w:rPr>
          <w:color w:val="000000" w:themeColor="text1"/>
          <w:sz w:val="20"/>
          <w:szCs w:val="20"/>
        </w:rPr>
        <w:t xml:space="preserve"> </w:t>
      </w:r>
      <w:r w:rsidR="0046436A" w:rsidRPr="0046436A">
        <w:rPr>
          <w:color w:val="000000" w:themeColor="text1"/>
          <w:sz w:val="20"/>
          <w:szCs w:val="20"/>
        </w:rPr>
        <w:t>Jewish</w:t>
      </w:r>
      <w:r w:rsidR="00FF41A0">
        <w:rPr>
          <w:color w:val="000000" w:themeColor="text1"/>
          <w:sz w:val="20"/>
          <w:szCs w:val="20"/>
        </w:rPr>
        <w:t xml:space="preserve"> </w:t>
      </w:r>
      <w:r w:rsidR="0046436A" w:rsidRPr="0046436A">
        <w:rPr>
          <w:color w:val="000000" w:themeColor="text1"/>
          <w:sz w:val="20"/>
          <w:szCs w:val="20"/>
        </w:rPr>
        <w:t>Congress</w:t>
      </w:r>
      <w:r w:rsidRPr="0037538E">
        <w:rPr>
          <w:color w:val="000000" w:themeColor="text1"/>
          <w:sz w:val="20"/>
          <w:szCs w:val="20"/>
        </w:rPr>
        <w:t>.</w:t>
      </w:r>
    </w:p>
    <w:p w14:paraId="44F934BD" w14:textId="4CF9D536" w:rsidR="00862C90" w:rsidRPr="0037538E" w:rsidRDefault="00A74C9E" w:rsidP="00EF420D">
      <w:pPr>
        <w:spacing w:after="120"/>
        <w:ind w:left="1134" w:right="1134"/>
        <w:jc w:val="both"/>
        <w:rPr>
          <w:color w:val="000000" w:themeColor="text1"/>
          <w:sz w:val="20"/>
          <w:szCs w:val="20"/>
        </w:rPr>
      </w:pPr>
      <w:r>
        <w:rPr>
          <w:color w:val="000000" w:themeColor="text1"/>
          <w:sz w:val="20"/>
          <w:szCs w:val="20"/>
        </w:rPr>
        <w:t>926</w:t>
      </w:r>
      <w:r w:rsidR="00EF420D" w:rsidRPr="0067399B">
        <w:rPr>
          <w:color w:val="000000" w:themeColor="text1"/>
          <w:sz w:val="20"/>
          <w:szCs w:val="20"/>
        </w:rPr>
        <w:t>.</w:t>
      </w:r>
      <w:r w:rsidR="00EF420D" w:rsidRPr="0067399B">
        <w:rPr>
          <w:color w:val="000000" w:themeColor="text1"/>
          <w:sz w:val="20"/>
          <w:szCs w:val="20"/>
        </w:rPr>
        <w:tab/>
      </w:r>
      <w:r w:rsidR="00EF420D" w:rsidRPr="00172A87">
        <w:rPr>
          <w:color w:val="000000" w:themeColor="text1"/>
          <w:sz w:val="20"/>
          <w:szCs w:val="20"/>
        </w:rPr>
        <w:t>At</w:t>
      </w:r>
      <w:r w:rsidR="00FF41A0">
        <w:rPr>
          <w:color w:val="000000" w:themeColor="text1"/>
          <w:sz w:val="20"/>
          <w:szCs w:val="20"/>
        </w:rPr>
        <w:t xml:space="preserve"> </w:t>
      </w:r>
      <w:r w:rsidR="00EF420D" w:rsidRPr="00172A87">
        <w:rPr>
          <w:color w:val="000000" w:themeColor="text1"/>
          <w:sz w:val="20"/>
          <w:szCs w:val="20"/>
        </w:rPr>
        <w:t>the</w:t>
      </w:r>
      <w:r w:rsidR="00FF41A0">
        <w:rPr>
          <w:color w:val="000000" w:themeColor="text1"/>
          <w:sz w:val="20"/>
          <w:szCs w:val="20"/>
        </w:rPr>
        <w:t xml:space="preserve"> </w:t>
      </w:r>
      <w:r w:rsidR="00EF420D">
        <w:rPr>
          <w:color w:val="000000" w:themeColor="text1"/>
          <w:sz w:val="20"/>
          <w:szCs w:val="20"/>
        </w:rPr>
        <w:t>42nd</w:t>
      </w:r>
      <w:r w:rsidR="00FF41A0">
        <w:rPr>
          <w:color w:val="000000" w:themeColor="text1"/>
          <w:sz w:val="20"/>
          <w:szCs w:val="20"/>
        </w:rPr>
        <w:t xml:space="preserve"> </w:t>
      </w:r>
      <w:r w:rsidR="00EF420D" w:rsidRPr="00172A87">
        <w:rPr>
          <w:color w:val="000000" w:themeColor="text1"/>
          <w:sz w:val="20"/>
          <w:szCs w:val="20"/>
        </w:rPr>
        <w:t>meeting,</w:t>
      </w:r>
      <w:r w:rsidR="00FF41A0">
        <w:rPr>
          <w:color w:val="000000" w:themeColor="text1"/>
          <w:sz w:val="20"/>
          <w:szCs w:val="20"/>
        </w:rPr>
        <w:t xml:space="preserve"> </w:t>
      </w:r>
      <w:r w:rsidR="00EF420D">
        <w:rPr>
          <w:color w:val="000000" w:themeColor="text1"/>
          <w:sz w:val="20"/>
          <w:szCs w:val="20"/>
        </w:rPr>
        <w:t>on</w:t>
      </w:r>
      <w:r w:rsidR="00FF41A0">
        <w:rPr>
          <w:color w:val="000000" w:themeColor="text1"/>
          <w:sz w:val="20"/>
          <w:szCs w:val="20"/>
        </w:rPr>
        <w:t xml:space="preserve"> </w:t>
      </w:r>
      <w:r w:rsidR="00EF420D">
        <w:rPr>
          <w:color w:val="000000" w:themeColor="text1"/>
          <w:sz w:val="20"/>
          <w:szCs w:val="20"/>
        </w:rPr>
        <w:t>the</w:t>
      </w:r>
      <w:r w:rsidR="00FF41A0">
        <w:rPr>
          <w:color w:val="000000" w:themeColor="text1"/>
          <w:sz w:val="20"/>
          <w:szCs w:val="20"/>
        </w:rPr>
        <w:t xml:space="preserve"> </w:t>
      </w:r>
      <w:r w:rsidR="00EF420D">
        <w:rPr>
          <w:color w:val="000000" w:themeColor="text1"/>
          <w:sz w:val="20"/>
          <w:szCs w:val="20"/>
        </w:rPr>
        <w:t>same</w:t>
      </w:r>
      <w:r w:rsidR="00FF41A0">
        <w:rPr>
          <w:color w:val="000000" w:themeColor="text1"/>
          <w:sz w:val="20"/>
          <w:szCs w:val="20"/>
        </w:rPr>
        <w:t xml:space="preserve"> </w:t>
      </w:r>
      <w:r w:rsidR="00EF420D">
        <w:rPr>
          <w:color w:val="000000" w:themeColor="text1"/>
          <w:sz w:val="20"/>
          <w:szCs w:val="20"/>
        </w:rPr>
        <w:t>day,</w:t>
      </w:r>
      <w:r w:rsidR="00FF41A0">
        <w:rPr>
          <w:color w:val="000000" w:themeColor="text1"/>
          <w:sz w:val="20"/>
          <w:szCs w:val="20"/>
        </w:rPr>
        <w:t xml:space="preserve"> </w:t>
      </w:r>
      <w:r w:rsidR="00EF420D" w:rsidRPr="0067399B">
        <w:rPr>
          <w:color w:val="000000" w:themeColor="text1"/>
          <w:sz w:val="20"/>
          <w:szCs w:val="20"/>
        </w:rPr>
        <w:t>the</w:t>
      </w:r>
      <w:r w:rsidR="00FF41A0">
        <w:rPr>
          <w:color w:val="000000" w:themeColor="text1"/>
          <w:sz w:val="20"/>
          <w:szCs w:val="20"/>
        </w:rPr>
        <w:t xml:space="preserve"> </w:t>
      </w:r>
      <w:r w:rsidR="00EF420D">
        <w:rPr>
          <w:color w:val="000000" w:themeColor="text1"/>
          <w:sz w:val="20"/>
          <w:szCs w:val="20"/>
        </w:rPr>
        <w:t>Chairperson</w:t>
      </w:r>
      <w:r w:rsidR="00FF41A0">
        <w:rPr>
          <w:color w:val="000000" w:themeColor="text1"/>
          <w:sz w:val="20"/>
          <w:szCs w:val="20"/>
        </w:rPr>
        <w:t xml:space="preserve"> </w:t>
      </w:r>
      <w:r w:rsidR="00EF420D">
        <w:rPr>
          <w:color w:val="000000" w:themeColor="text1"/>
          <w:sz w:val="20"/>
          <w:szCs w:val="20"/>
        </w:rPr>
        <w:t>and</w:t>
      </w:r>
      <w:r w:rsidR="00FF41A0">
        <w:rPr>
          <w:color w:val="000000" w:themeColor="text1"/>
          <w:sz w:val="20"/>
          <w:szCs w:val="20"/>
        </w:rPr>
        <w:t xml:space="preserve"> </w:t>
      </w:r>
      <w:r w:rsidR="00EF420D">
        <w:rPr>
          <w:color w:val="000000" w:themeColor="text1"/>
          <w:sz w:val="20"/>
          <w:szCs w:val="20"/>
        </w:rPr>
        <w:t>the</w:t>
      </w:r>
      <w:r w:rsidR="00FF41A0">
        <w:rPr>
          <w:color w:val="000000" w:themeColor="text1"/>
          <w:sz w:val="20"/>
          <w:szCs w:val="20"/>
        </w:rPr>
        <w:t xml:space="preserve"> </w:t>
      </w:r>
      <w:r w:rsidR="00EF420D">
        <w:rPr>
          <w:color w:val="000000" w:themeColor="text1"/>
          <w:sz w:val="20"/>
          <w:szCs w:val="20"/>
        </w:rPr>
        <w:t>members</w:t>
      </w:r>
      <w:r w:rsidR="00FF41A0">
        <w:rPr>
          <w:color w:val="000000" w:themeColor="text1"/>
          <w:sz w:val="20"/>
          <w:szCs w:val="20"/>
        </w:rPr>
        <w:t xml:space="preserve"> </w:t>
      </w:r>
      <w:r w:rsidR="00EF420D">
        <w:rPr>
          <w:color w:val="000000" w:themeColor="text1"/>
          <w:sz w:val="20"/>
          <w:szCs w:val="20"/>
        </w:rPr>
        <w:t>of</w:t>
      </w:r>
      <w:r w:rsidR="00FF41A0">
        <w:rPr>
          <w:color w:val="000000" w:themeColor="text1"/>
          <w:sz w:val="20"/>
          <w:szCs w:val="20"/>
        </w:rPr>
        <w:t xml:space="preserve"> </w:t>
      </w:r>
      <w:r w:rsidR="00EF420D">
        <w:rPr>
          <w:color w:val="000000" w:themeColor="text1"/>
          <w:sz w:val="20"/>
          <w:szCs w:val="20"/>
        </w:rPr>
        <w:t>the</w:t>
      </w:r>
      <w:r w:rsidR="00FF41A0">
        <w:rPr>
          <w:color w:val="000000" w:themeColor="text1"/>
          <w:sz w:val="20"/>
          <w:szCs w:val="20"/>
        </w:rPr>
        <w:t xml:space="preserve"> </w:t>
      </w:r>
      <w:r w:rsidR="00EF420D">
        <w:rPr>
          <w:color w:val="000000" w:themeColor="text1"/>
          <w:sz w:val="20"/>
          <w:szCs w:val="20"/>
        </w:rPr>
        <w:t>Commission,</w:t>
      </w:r>
      <w:r w:rsidR="00FF41A0">
        <w:rPr>
          <w:color w:val="000000" w:themeColor="text1"/>
          <w:sz w:val="20"/>
          <w:szCs w:val="20"/>
        </w:rPr>
        <w:t xml:space="preserve"> </w:t>
      </w:r>
      <w:r w:rsidR="00EF420D" w:rsidRPr="00C707C3">
        <w:rPr>
          <w:color w:val="000000" w:themeColor="text1"/>
          <w:sz w:val="20"/>
          <w:szCs w:val="20"/>
        </w:rPr>
        <w:t>Sara</w:t>
      </w:r>
      <w:r w:rsidR="00FF41A0">
        <w:rPr>
          <w:color w:val="000000" w:themeColor="text1"/>
          <w:sz w:val="20"/>
          <w:szCs w:val="20"/>
        </w:rPr>
        <w:t xml:space="preserve"> </w:t>
      </w:r>
      <w:r w:rsidR="00EF420D" w:rsidRPr="00C707C3">
        <w:rPr>
          <w:color w:val="000000" w:themeColor="text1"/>
          <w:sz w:val="20"/>
          <w:szCs w:val="20"/>
        </w:rPr>
        <w:t>Hossain</w:t>
      </w:r>
      <w:r w:rsidR="00FF41A0">
        <w:rPr>
          <w:color w:val="000000" w:themeColor="text1"/>
          <w:sz w:val="20"/>
          <w:szCs w:val="20"/>
        </w:rPr>
        <w:t xml:space="preserve"> </w:t>
      </w:r>
      <w:r w:rsidR="00EF420D" w:rsidRPr="00C707C3">
        <w:rPr>
          <w:color w:val="000000" w:themeColor="text1"/>
          <w:sz w:val="20"/>
          <w:szCs w:val="20"/>
        </w:rPr>
        <w:t>and</w:t>
      </w:r>
      <w:r w:rsidR="00FF41A0">
        <w:rPr>
          <w:color w:val="000000" w:themeColor="text1"/>
          <w:sz w:val="20"/>
          <w:szCs w:val="20"/>
        </w:rPr>
        <w:t xml:space="preserve"> </w:t>
      </w:r>
      <w:r w:rsidR="00EF420D" w:rsidRPr="00C707C3">
        <w:rPr>
          <w:color w:val="000000" w:themeColor="text1"/>
          <w:sz w:val="20"/>
          <w:szCs w:val="20"/>
        </w:rPr>
        <w:t>Kaari</w:t>
      </w:r>
      <w:r w:rsidR="00FF41A0">
        <w:rPr>
          <w:color w:val="000000" w:themeColor="text1"/>
          <w:sz w:val="20"/>
          <w:szCs w:val="20"/>
        </w:rPr>
        <w:t xml:space="preserve"> </w:t>
      </w:r>
      <w:r w:rsidR="00EF420D" w:rsidRPr="00C707C3">
        <w:rPr>
          <w:color w:val="000000" w:themeColor="text1"/>
          <w:sz w:val="20"/>
          <w:szCs w:val="20"/>
        </w:rPr>
        <w:t>Betty</w:t>
      </w:r>
      <w:r w:rsidR="00FF41A0">
        <w:rPr>
          <w:color w:val="000000" w:themeColor="text1"/>
          <w:sz w:val="20"/>
          <w:szCs w:val="20"/>
        </w:rPr>
        <w:t xml:space="preserve"> </w:t>
      </w:r>
      <w:r w:rsidR="00EF420D" w:rsidRPr="00C707C3">
        <w:rPr>
          <w:color w:val="000000" w:themeColor="text1"/>
          <w:sz w:val="20"/>
          <w:szCs w:val="20"/>
        </w:rPr>
        <w:t>Murungi</w:t>
      </w:r>
      <w:r w:rsidR="00EF420D">
        <w:rPr>
          <w:color w:val="000000" w:themeColor="text1"/>
          <w:sz w:val="20"/>
          <w:szCs w:val="20"/>
        </w:rPr>
        <w:t>,</w:t>
      </w:r>
      <w:r w:rsidR="00FF41A0">
        <w:rPr>
          <w:color w:val="000000" w:themeColor="text1"/>
          <w:sz w:val="20"/>
          <w:szCs w:val="20"/>
        </w:rPr>
        <w:t xml:space="preserve"> </w:t>
      </w:r>
      <w:r w:rsidR="00EF420D" w:rsidRPr="0067399B">
        <w:rPr>
          <w:color w:val="000000" w:themeColor="text1"/>
          <w:sz w:val="20"/>
          <w:szCs w:val="20"/>
        </w:rPr>
        <w:t>answered</w:t>
      </w:r>
      <w:r w:rsidR="00FF41A0">
        <w:rPr>
          <w:color w:val="000000" w:themeColor="text1"/>
          <w:sz w:val="20"/>
          <w:szCs w:val="20"/>
        </w:rPr>
        <w:t xml:space="preserve"> </w:t>
      </w:r>
      <w:r w:rsidR="00EF420D" w:rsidRPr="0067399B">
        <w:rPr>
          <w:color w:val="000000" w:themeColor="text1"/>
          <w:sz w:val="20"/>
          <w:szCs w:val="20"/>
        </w:rPr>
        <w:t>questions</w:t>
      </w:r>
      <w:r w:rsidR="00FF41A0">
        <w:rPr>
          <w:color w:val="000000" w:themeColor="text1"/>
          <w:sz w:val="20"/>
          <w:szCs w:val="20"/>
        </w:rPr>
        <w:t xml:space="preserve"> </w:t>
      </w:r>
      <w:r w:rsidR="00EF420D" w:rsidRPr="0067399B">
        <w:rPr>
          <w:color w:val="000000" w:themeColor="text1"/>
          <w:sz w:val="20"/>
          <w:szCs w:val="20"/>
        </w:rPr>
        <w:t>and</w:t>
      </w:r>
      <w:r w:rsidR="00FF41A0">
        <w:rPr>
          <w:color w:val="000000" w:themeColor="text1"/>
          <w:sz w:val="20"/>
          <w:szCs w:val="20"/>
        </w:rPr>
        <w:t xml:space="preserve"> </w:t>
      </w:r>
      <w:r w:rsidR="00EF420D" w:rsidRPr="0067399B">
        <w:rPr>
          <w:color w:val="000000" w:themeColor="text1"/>
          <w:sz w:val="20"/>
          <w:szCs w:val="20"/>
        </w:rPr>
        <w:t>made</w:t>
      </w:r>
      <w:r w:rsidR="00FF41A0">
        <w:rPr>
          <w:color w:val="000000" w:themeColor="text1"/>
          <w:sz w:val="20"/>
          <w:szCs w:val="20"/>
        </w:rPr>
        <w:t xml:space="preserve"> </w:t>
      </w:r>
      <w:r w:rsidR="00EF420D">
        <w:rPr>
          <w:color w:val="000000" w:themeColor="text1"/>
          <w:sz w:val="20"/>
          <w:szCs w:val="20"/>
        </w:rPr>
        <w:t>their</w:t>
      </w:r>
      <w:r w:rsidR="00FF41A0">
        <w:rPr>
          <w:color w:val="000000" w:themeColor="text1"/>
          <w:sz w:val="20"/>
          <w:szCs w:val="20"/>
        </w:rPr>
        <w:t xml:space="preserve"> </w:t>
      </w:r>
      <w:r w:rsidR="00EF420D" w:rsidRPr="0067399B">
        <w:rPr>
          <w:color w:val="000000" w:themeColor="text1"/>
          <w:sz w:val="20"/>
          <w:szCs w:val="20"/>
        </w:rPr>
        <w:t>concluding</w:t>
      </w:r>
      <w:r w:rsidR="00FF41A0">
        <w:rPr>
          <w:color w:val="000000" w:themeColor="text1"/>
          <w:sz w:val="20"/>
          <w:szCs w:val="20"/>
        </w:rPr>
        <w:t xml:space="preserve"> </w:t>
      </w:r>
      <w:r w:rsidR="00EF420D" w:rsidRPr="0067399B">
        <w:rPr>
          <w:color w:val="000000" w:themeColor="text1"/>
          <w:sz w:val="20"/>
          <w:szCs w:val="20"/>
        </w:rPr>
        <w:t>remarks.</w:t>
      </w:r>
      <w:r w:rsidR="00FF41A0">
        <w:rPr>
          <w:color w:val="000000" w:themeColor="text1"/>
          <w:sz w:val="20"/>
          <w:szCs w:val="20"/>
        </w:rPr>
        <w:t xml:space="preserve"> </w:t>
      </w:r>
    </w:p>
    <w:p w14:paraId="2EA58D46" w14:textId="00AC78B5" w:rsidR="00F11B08" w:rsidRPr="00C16037" w:rsidRDefault="00F11B08" w:rsidP="00F40C0A">
      <w:pPr>
        <w:pStyle w:val="H1G"/>
        <w:rPr>
          <w:color w:val="000000" w:themeColor="text1"/>
        </w:rPr>
      </w:pPr>
      <w:r w:rsidRPr="00C16037">
        <w:rPr>
          <w:color w:val="000000" w:themeColor="text1"/>
        </w:rPr>
        <w:tab/>
      </w:r>
      <w:r w:rsidR="00BB5D12" w:rsidRPr="00C43406">
        <w:rPr>
          <w:color w:val="000000" w:themeColor="text1"/>
        </w:rPr>
        <w:t>C</w:t>
      </w:r>
      <w:r w:rsidRPr="00C43406">
        <w:rPr>
          <w:color w:val="000000" w:themeColor="text1"/>
        </w:rPr>
        <w:t>.</w:t>
      </w:r>
      <w:r w:rsidRPr="00C43406">
        <w:rPr>
          <w:color w:val="000000" w:themeColor="text1"/>
        </w:rPr>
        <w:tab/>
        <w:t>Reports</w:t>
      </w:r>
      <w:r w:rsidR="00FF41A0">
        <w:rPr>
          <w:color w:val="000000" w:themeColor="text1"/>
        </w:rPr>
        <w:t xml:space="preserve"> </w:t>
      </w:r>
      <w:r w:rsidRPr="00C43406">
        <w:rPr>
          <w:color w:val="000000" w:themeColor="text1"/>
        </w:rPr>
        <w:t>of</w:t>
      </w:r>
      <w:r w:rsidR="00FF41A0">
        <w:rPr>
          <w:color w:val="000000" w:themeColor="text1"/>
        </w:rPr>
        <w:t xml:space="preserve"> </w:t>
      </w:r>
      <w:r w:rsidRPr="00C43406">
        <w:rPr>
          <w:color w:val="000000" w:themeColor="text1"/>
        </w:rPr>
        <w:t>the</w:t>
      </w:r>
      <w:r w:rsidR="00FF41A0">
        <w:rPr>
          <w:color w:val="000000" w:themeColor="text1"/>
        </w:rPr>
        <w:t xml:space="preserve"> </w:t>
      </w:r>
      <w:r w:rsidRPr="00C43406">
        <w:rPr>
          <w:color w:val="000000" w:themeColor="text1"/>
        </w:rPr>
        <w:t>High</w:t>
      </w:r>
      <w:r w:rsidR="00FF41A0">
        <w:rPr>
          <w:color w:val="000000" w:themeColor="text1"/>
        </w:rPr>
        <w:t xml:space="preserve"> </w:t>
      </w:r>
      <w:r w:rsidRPr="00C43406">
        <w:rPr>
          <w:color w:val="000000" w:themeColor="text1"/>
        </w:rPr>
        <w:t>Commissioner</w:t>
      </w:r>
      <w:r w:rsidR="00FF41A0">
        <w:rPr>
          <w:color w:val="000000" w:themeColor="text1"/>
        </w:rPr>
        <w:t xml:space="preserve"> </w:t>
      </w:r>
      <w:r w:rsidRPr="00C43406">
        <w:rPr>
          <w:color w:val="000000" w:themeColor="text1"/>
        </w:rPr>
        <w:t>and</w:t>
      </w:r>
      <w:r w:rsidR="00FF41A0">
        <w:rPr>
          <w:color w:val="000000" w:themeColor="text1"/>
        </w:rPr>
        <w:t xml:space="preserve"> </w:t>
      </w:r>
      <w:r w:rsidRPr="00C43406">
        <w:rPr>
          <w:color w:val="000000" w:themeColor="text1"/>
        </w:rPr>
        <w:t>the</w:t>
      </w:r>
      <w:r w:rsidR="00FF41A0">
        <w:rPr>
          <w:color w:val="000000" w:themeColor="text1"/>
        </w:rPr>
        <w:t xml:space="preserve"> </w:t>
      </w:r>
      <w:r w:rsidRPr="00C43406">
        <w:rPr>
          <w:color w:val="000000" w:themeColor="text1"/>
        </w:rPr>
        <w:t>Secretary-General</w:t>
      </w:r>
    </w:p>
    <w:p w14:paraId="22F66CD3" w14:textId="46453491" w:rsidR="00C91E7E" w:rsidRDefault="00A74C9E" w:rsidP="00C91E7E">
      <w:pPr>
        <w:pStyle w:val="SingleTxtG"/>
        <w:rPr>
          <w:color w:val="000000" w:themeColor="text1"/>
          <w:sz w:val="20"/>
          <w:szCs w:val="20"/>
        </w:rPr>
      </w:pPr>
      <w:r>
        <w:rPr>
          <w:color w:val="000000" w:themeColor="text1"/>
          <w:sz w:val="20"/>
          <w:szCs w:val="20"/>
        </w:rPr>
        <w:t>927</w:t>
      </w:r>
      <w:r w:rsidR="00631107" w:rsidRPr="0037538E">
        <w:rPr>
          <w:color w:val="000000" w:themeColor="text1"/>
          <w:sz w:val="20"/>
          <w:szCs w:val="20"/>
        </w:rPr>
        <w:t>.</w:t>
      </w:r>
      <w:r w:rsidR="00F40C0A" w:rsidRPr="0037538E">
        <w:rPr>
          <w:color w:val="000000" w:themeColor="text1"/>
          <w:sz w:val="20"/>
          <w:szCs w:val="20"/>
        </w:rPr>
        <w:tab/>
      </w:r>
      <w:r w:rsidR="00BA696B" w:rsidRPr="0037538E">
        <w:rPr>
          <w:color w:val="000000" w:themeColor="text1"/>
          <w:sz w:val="20"/>
          <w:szCs w:val="20"/>
        </w:rPr>
        <w:t>At</w:t>
      </w:r>
      <w:r w:rsidR="00FF41A0">
        <w:rPr>
          <w:color w:val="000000" w:themeColor="text1"/>
          <w:sz w:val="20"/>
          <w:szCs w:val="20"/>
        </w:rPr>
        <w:t xml:space="preserve"> </w:t>
      </w:r>
      <w:r w:rsidR="00BA696B" w:rsidRPr="0037538E">
        <w:rPr>
          <w:color w:val="000000" w:themeColor="text1"/>
          <w:sz w:val="20"/>
          <w:szCs w:val="20"/>
        </w:rPr>
        <w:t>the</w:t>
      </w:r>
      <w:r w:rsidR="00FF41A0">
        <w:rPr>
          <w:color w:val="000000" w:themeColor="text1"/>
          <w:sz w:val="20"/>
          <w:szCs w:val="20"/>
        </w:rPr>
        <w:t xml:space="preserve"> </w:t>
      </w:r>
      <w:r w:rsidR="00BA696B" w:rsidRPr="0037538E">
        <w:rPr>
          <w:color w:val="000000" w:themeColor="text1"/>
          <w:sz w:val="20"/>
          <w:szCs w:val="20"/>
        </w:rPr>
        <w:t>4</w:t>
      </w:r>
      <w:r w:rsidR="00BB5D12">
        <w:rPr>
          <w:color w:val="000000" w:themeColor="text1"/>
          <w:sz w:val="20"/>
          <w:szCs w:val="20"/>
        </w:rPr>
        <w:t>2nd</w:t>
      </w:r>
      <w:r w:rsidR="00FF41A0">
        <w:rPr>
          <w:color w:val="000000" w:themeColor="text1"/>
          <w:sz w:val="20"/>
          <w:szCs w:val="20"/>
        </w:rPr>
        <w:t xml:space="preserve"> </w:t>
      </w:r>
      <w:r w:rsidR="00BA696B" w:rsidRPr="0037538E">
        <w:rPr>
          <w:color w:val="000000" w:themeColor="text1"/>
          <w:sz w:val="20"/>
          <w:szCs w:val="20"/>
        </w:rPr>
        <w:t>meeting,</w:t>
      </w:r>
      <w:r w:rsidR="00FF41A0">
        <w:rPr>
          <w:color w:val="000000" w:themeColor="text1"/>
          <w:sz w:val="20"/>
          <w:szCs w:val="20"/>
        </w:rPr>
        <w:t xml:space="preserve"> </w:t>
      </w:r>
      <w:r w:rsidR="00BA696B" w:rsidRPr="0037538E">
        <w:rPr>
          <w:color w:val="000000" w:themeColor="text1"/>
          <w:sz w:val="20"/>
          <w:szCs w:val="20"/>
        </w:rPr>
        <w:t>on</w:t>
      </w:r>
      <w:r w:rsidR="00FF41A0">
        <w:rPr>
          <w:color w:val="000000" w:themeColor="text1"/>
          <w:sz w:val="20"/>
          <w:szCs w:val="20"/>
        </w:rPr>
        <w:t xml:space="preserve"> </w:t>
      </w:r>
      <w:r w:rsidR="00BB5D12">
        <w:rPr>
          <w:color w:val="000000" w:themeColor="text1"/>
          <w:sz w:val="20"/>
          <w:szCs w:val="20"/>
        </w:rPr>
        <w:t>18</w:t>
      </w:r>
      <w:r w:rsidR="00FF41A0">
        <w:rPr>
          <w:color w:val="000000" w:themeColor="text1"/>
          <w:sz w:val="20"/>
          <w:szCs w:val="20"/>
        </w:rPr>
        <w:t xml:space="preserve"> </w:t>
      </w:r>
      <w:r w:rsidR="00BA696B" w:rsidRPr="0037538E">
        <w:rPr>
          <w:color w:val="000000" w:themeColor="text1"/>
          <w:sz w:val="20"/>
          <w:szCs w:val="20"/>
        </w:rPr>
        <w:t>March</w:t>
      </w:r>
      <w:r w:rsidR="00FF41A0">
        <w:rPr>
          <w:color w:val="000000" w:themeColor="text1"/>
          <w:sz w:val="20"/>
          <w:szCs w:val="20"/>
        </w:rPr>
        <w:t xml:space="preserve"> </w:t>
      </w:r>
      <w:r w:rsidR="00141AFC">
        <w:rPr>
          <w:color w:val="000000" w:themeColor="text1"/>
          <w:sz w:val="20"/>
          <w:szCs w:val="20"/>
        </w:rPr>
        <w:t>2019</w:t>
      </w:r>
      <w:r w:rsidR="00F11B08" w:rsidRPr="0037538E">
        <w:rPr>
          <w:color w:val="000000" w:themeColor="text1"/>
          <w:sz w:val="20"/>
          <w:szCs w:val="20"/>
        </w:rPr>
        <w:t>,</w:t>
      </w:r>
      <w:r w:rsidR="00FF41A0">
        <w:rPr>
          <w:color w:val="000000" w:themeColor="text1"/>
          <w:sz w:val="20"/>
          <w:szCs w:val="20"/>
        </w:rPr>
        <w:t xml:space="preserve"> </w:t>
      </w:r>
      <w:r w:rsidR="00F11B08" w:rsidRPr="0037538E">
        <w:rPr>
          <w:color w:val="000000" w:themeColor="text1"/>
          <w:sz w:val="20"/>
          <w:szCs w:val="20"/>
        </w:rPr>
        <w:t>pursuant</w:t>
      </w:r>
      <w:r w:rsidR="00FF41A0">
        <w:rPr>
          <w:color w:val="000000" w:themeColor="text1"/>
          <w:sz w:val="20"/>
          <w:szCs w:val="20"/>
        </w:rPr>
        <w:t xml:space="preserve"> </w:t>
      </w:r>
      <w:r w:rsidR="00F11B08" w:rsidRPr="0037538E">
        <w:rPr>
          <w:color w:val="000000" w:themeColor="text1"/>
          <w:sz w:val="20"/>
          <w:szCs w:val="20"/>
        </w:rPr>
        <w:t>to</w:t>
      </w:r>
      <w:r w:rsidR="00FF41A0">
        <w:rPr>
          <w:color w:val="000000" w:themeColor="text1"/>
          <w:sz w:val="20"/>
          <w:szCs w:val="20"/>
        </w:rPr>
        <w:t xml:space="preserve"> </w:t>
      </w:r>
      <w:r w:rsidR="00F11B08" w:rsidRPr="0037538E">
        <w:rPr>
          <w:color w:val="000000" w:themeColor="text1"/>
          <w:sz w:val="20"/>
          <w:szCs w:val="20"/>
        </w:rPr>
        <w:t>the</w:t>
      </w:r>
      <w:r w:rsidR="00FF41A0">
        <w:rPr>
          <w:color w:val="000000" w:themeColor="text1"/>
          <w:sz w:val="20"/>
          <w:szCs w:val="20"/>
        </w:rPr>
        <w:t xml:space="preserve"> </w:t>
      </w:r>
      <w:r w:rsidR="00F11B08" w:rsidRPr="0037538E">
        <w:rPr>
          <w:color w:val="000000" w:themeColor="text1"/>
          <w:sz w:val="20"/>
          <w:szCs w:val="20"/>
        </w:rPr>
        <w:t>Human</w:t>
      </w:r>
      <w:r w:rsidR="00FF41A0">
        <w:rPr>
          <w:color w:val="000000" w:themeColor="text1"/>
          <w:sz w:val="20"/>
          <w:szCs w:val="20"/>
        </w:rPr>
        <w:t xml:space="preserve"> </w:t>
      </w:r>
      <w:r w:rsidR="00F11B08" w:rsidRPr="0037538E">
        <w:rPr>
          <w:color w:val="000000" w:themeColor="text1"/>
          <w:sz w:val="20"/>
          <w:szCs w:val="20"/>
        </w:rPr>
        <w:t>Rights</w:t>
      </w:r>
      <w:r w:rsidR="00FF41A0">
        <w:rPr>
          <w:color w:val="000000" w:themeColor="text1"/>
          <w:sz w:val="20"/>
          <w:szCs w:val="20"/>
        </w:rPr>
        <w:t xml:space="preserve"> </w:t>
      </w:r>
      <w:r w:rsidR="00F11B08" w:rsidRPr="0037538E">
        <w:rPr>
          <w:color w:val="000000" w:themeColor="text1"/>
          <w:sz w:val="20"/>
          <w:szCs w:val="20"/>
        </w:rPr>
        <w:t>Council</w:t>
      </w:r>
      <w:r w:rsidR="00FF41A0">
        <w:rPr>
          <w:color w:val="000000" w:themeColor="text1"/>
          <w:sz w:val="20"/>
          <w:szCs w:val="20"/>
        </w:rPr>
        <w:t xml:space="preserve"> </w:t>
      </w:r>
      <w:r w:rsidR="00F11B08" w:rsidRPr="0037538E">
        <w:rPr>
          <w:color w:val="000000" w:themeColor="text1"/>
          <w:sz w:val="20"/>
          <w:szCs w:val="20"/>
        </w:rPr>
        <w:t>resolutions</w:t>
      </w:r>
      <w:r w:rsidR="00FF41A0">
        <w:rPr>
          <w:color w:val="000000" w:themeColor="text1"/>
          <w:sz w:val="20"/>
          <w:szCs w:val="20"/>
        </w:rPr>
        <w:t xml:space="preserve"> </w:t>
      </w:r>
      <w:r w:rsidR="00C91E7E" w:rsidRPr="00C91E7E">
        <w:rPr>
          <w:color w:val="000000" w:themeColor="text1"/>
          <w:sz w:val="20"/>
          <w:szCs w:val="20"/>
        </w:rPr>
        <w:t>S-9/1</w:t>
      </w:r>
      <w:r w:rsidR="00FF41A0">
        <w:rPr>
          <w:color w:val="000000" w:themeColor="text1"/>
          <w:sz w:val="20"/>
          <w:szCs w:val="20"/>
        </w:rPr>
        <w:t xml:space="preserve"> </w:t>
      </w:r>
      <w:r w:rsidR="00C91E7E" w:rsidRPr="00C91E7E">
        <w:rPr>
          <w:color w:val="000000" w:themeColor="text1"/>
          <w:sz w:val="20"/>
          <w:szCs w:val="20"/>
        </w:rPr>
        <w:t>and</w:t>
      </w:r>
      <w:r w:rsidR="00FF41A0">
        <w:rPr>
          <w:color w:val="000000" w:themeColor="text1"/>
          <w:sz w:val="20"/>
          <w:szCs w:val="20"/>
        </w:rPr>
        <w:t xml:space="preserve"> </w:t>
      </w:r>
      <w:r w:rsidR="00C91E7E" w:rsidRPr="00C91E7E">
        <w:rPr>
          <w:color w:val="000000" w:themeColor="text1"/>
          <w:sz w:val="20"/>
          <w:szCs w:val="20"/>
        </w:rPr>
        <w:t>S-12/1,</w:t>
      </w:r>
      <w:r w:rsidR="00FF41A0">
        <w:rPr>
          <w:color w:val="000000" w:themeColor="text1"/>
          <w:sz w:val="20"/>
          <w:szCs w:val="20"/>
        </w:rPr>
        <w:t xml:space="preserve"> </w:t>
      </w:r>
      <w:r w:rsidR="00C91E7E">
        <w:rPr>
          <w:color w:val="000000" w:themeColor="text1"/>
          <w:sz w:val="20"/>
          <w:szCs w:val="20"/>
        </w:rPr>
        <w:t>the</w:t>
      </w:r>
      <w:r w:rsidR="00FF41A0">
        <w:rPr>
          <w:color w:val="000000" w:themeColor="text1"/>
          <w:sz w:val="20"/>
          <w:szCs w:val="20"/>
        </w:rPr>
        <w:t xml:space="preserve"> </w:t>
      </w:r>
      <w:r w:rsidR="00C91E7E">
        <w:rPr>
          <w:color w:val="000000" w:themeColor="text1"/>
          <w:sz w:val="20"/>
          <w:szCs w:val="20"/>
        </w:rPr>
        <w:t>United</w:t>
      </w:r>
      <w:r w:rsidR="00FF41A0">
        <w:rPr>
          <w:color w:val="000000" w:themeColor="text1"/>
          <w:sz w:val="20"/>
          <w:szCs w:val="20"/>
        </w:rPr>
        <w:t xml:space="preserve"> </w:t>
      </w:r>
      <w:r w:rsidR="00C91E7E">
        <w:rPr>
          <w:color w:val="000000" w:themeColor="text1"/>
          <w:sz w:val="20"/>
          <w:szCs w:val="20"/>
        </w:rPr>
        <w:t>Nations</w:t>
      </w:r>
      <w:r w:rsidR="00FF41A0">
        <w:rPr>
          <w:color w:val="000000" w:themeColor="text1"/>
          <w:sz w:val="20"/>
          <w:szCs w:val="20"/>
        </w:rPr>
        <w:t xml:space="preserve"> </w:t>
      </w:r>
      <w:r w:rsidR="00C91E7E">
        <w:rPr>
          <w:color w:val="000000" w:themeColor="text1"/>
          <w:sz w:val="20"/>
          <w:szCs w:val="20"/>
        </w:rPr>
        <w:t>Assistant</w:t>
      </w:r>
      <w:r w:rsidR="00FF41A0">
        <w:rPr>
          <w:color w:val="000000" w:themeColor="text1"/>
          <w:sz w:val="20"/>
          <w:szCs w:val="20"/>
        </w:rPr>
        <w:t xml:space="preserve"> </w:t>
      </w:r>
      <w:r w:rsidR="00C91E7E">
        <w:rPr>
          <w:color w:val="000000" w:themeColor="text1"/>
          <w:sz w:val="20"/>
          <w:szCs w:val="20"/>
        </w:rPr>
        <w:t>Secretary-General</w:t>
      </w:r>
      <w:r w:rsidR="00FF41A0">
        <w:rPr>
          <w:color w:val="000000" w:themeColor="text1"/>
          <w:sz w:val="20"/>
          <w:szCs w:val="20"/>
        </w:rPr>
        <w:t xml:space="preserve"> </w:t>
      </w:r>
      <w:r w:rsidR="00C91E7E">
        <w:rPr>
          <w:color w:val="000000" w:themeColor="text1"/>
          <w:sz w:val="20"/>
          <w:szCs w:val="20"/>
        </w:rPr>
        <w:t>for</w:t>
      </w:r>
      <w:r w:rsidR="00FF41A0">
        <w:rPr>
          <w:color w:val="000000" w:themeColor="text1"/>
          <w:sz w:val="20"/>
          <w:szCs w:val="20"/>
        </w:rPr>
        <w:t xml:space="preserve"> </w:t>
      </w:r>
      <w:r w:rsidR="00C91E7E">
        <w:rPr>
          <w:color w:val="000000" w:themeColor="text1"/>
          <w:sz w:val="20"/>
          <w:szCs w:val="20"/>
        </w:rPr>
        <w:t>Human</w:t>
      </w:r>
      <w:r w:rsidR="00FF41A0">
        <w:rPr>
          <w:color w:val="000000" w:themeColor="text1"/>
          <w:sz w:val="20"/>
          <w:szCs w:val="20"/>
        </w:rPr>
        <w:t xml:space="preserve"> </w:t>
      </w:r>
      <w:r w:rsidR="00C91E7E">
        <w:rPr>
          <w:color w:val="000000" w:themeColor="text1"/>
          <w:sz w:val="20"/>
          <w:szCs w:val="20"/>
        </w:rPr>
        <w:t>Rights</w:t>
      </w:r>
      <w:r w:rsidR="00FF41A0">
        <w:rPr>
          <w:color w:val="000000" w:themeColor="text1"/>
          <w:sz w:val="20"/>
          <w:szCs w:val="20"/>
        </w:rPr>
        <w:t xml:space="preserve"> </w:t>
      </w:r>
      <w:r w:rsidR="00C91E7E">
        <w:rPr>
          <w:color w:val="000000" w:themeColor="text1"/>
          <w:sz w:val="20"/>
          <w:szCs w:val="20"/>
        </w:rPr>
        <w:t>presented</w:t>
      </w:r>
      <w:r w:rsidR="00FF41A0">
        <w:rPr>
          <w:color w:val="000000" w:themeColor="text1"/>
          <w:sz w:val="20"/>
          <w:szCs w:val="20"/>
        </w:rPr>
        <w:t xml:space="preserve"> </w:t>
      </w:r>
      <w:r w:rsidR="00C91E7E">
        <w:rPr>
          <w:color w:val="000000" w:themeColor="text1"/>
          <w:sz w:val="20"/>
          <w:szCs w:val="20"/>
        </w:rPr>
        <w:t>the</w:t>
      </w:r>
      <w:r w:rsidR="00FF41A0">
        <w:rPr>
          <w:color w:val="000000" w:themeColor="text1"/>
          <w:sz w:val="20"/>
          <w:szCs w:val="20"/>
        </w:rPr>
        <w:t xml:space="preserve"> </w:t>
      </w:r>
      <w:r w:rsidR="00C91E7E">
        <w:rPr>
          <w:color w:val="000000" w:themeColor="text1"/>
          <w:sz w:val="20"/>
          <w:szCs w:val="20"/>
        </w:rPr>
        <w:t>eleventh</w:t>
      </w:r>
      <w:r w:rsidR="00FF41A0">
        <w:rPr>
          <w:color w:val="000000" w:themeColor="text1"/>
          <w:sz w:val="20"/>
          <w:szCs w:val="20"/>
        </w:rPr>
        <w:t xml:space="preserve"> </w:t>
      </w:r>
      <w:r w:rsidR="00C91E7E" w:rsidRPr="0037538E">
        <w:rPr>
          <w:color w:val="000000" w:themeColor="text1"/>
          <w:sz w:val="20"/>
          <w:szCs w:val="20"/>
        </w:rPr>
        <w:t>periodic</w:t>
      </w:r>
      <w:r w:rsidR="00FF41A0">
        <w:rPr>
          <w:color w:val="000000" w:themeColor="text1"/>
          <w:sz w:val="20"/>
          <w:szCs w:val="20"/>
        </w:rPr>
        <w:t xml:space="preserve"> </w:t>
      </w:r>
      <w:r w:rsidR="00C91E7E" w:rsidRPr="0037538E">
        <w:rPr>
          <w:color w:val="000000" w:themeColor="text1"/>
          <w:sz w:val="20"/>
          <w:szCs w:val="20"/>
        </w:rPr>
        <w:t>report</w:t>
      </w:r>
      <w:r w:rsidR="00FF41A0">
        <w:rPr>
          <w:color w:val="000000" w:themeColor="text1"/>
          <w:sz w:val="20"/>
          <w:szCs w:val="20"/>
        </w:rPr>
        <w:t xml:space="preserve"> </w:t>
      </w:r>
      <w:r w:rsidR="00C91E7E" w:rsidRPr="0037538E">
        <w:rPr>
          <w:color w:val="000000" w:themeColor="text1"/>
          <w:sz w:val="20"/>
          <w:szCs w:val="20"/>
        </w:rPr>
        <w:t>of</w:t>
      </w:r>
      <w:r w:rsidR="00FF41A0">
        <w:rPr>
          <w:color w:val="000000" w:themeColor="text1"/>
          <w:sz w:val="20"/>
          <w:szCs w:val="20"/>
        </w:rPr>
        <w:t xml:space="preserve"> </w:t>
      </w:r>
      <w:r w:rsidR="00C91E7E" w:rsidRPr="0037538E">
        <w:rPr>
          <w:color w:val="000000" w:themeColor="text1"/>
          <w:sz w:val="20"/>
          <w:szCs w:val="20"/>
        </w:rPr>
        <w:t>the</w:t>
      </w:r>
      <w:r w:rsidR="00FF41A0">
        <w:rPr>
          <w:color w:val="000000" w:themeColor="text1"/>
          <w:sz w:val="20"/>
          <w:szCs w:val="20"/>
        </w:rPr>
        <w:t xml:space="preserve"> </w:t>
      </w:r>
      <w:r w:rsidR="00C91E7E" w:rsidRPr="00C91E7E">
        <w:rPr>
          <w:color w:val="000000" w:themeColor="text1"/>
          <w:sz w:val="20"/>
          <w:szCs w:val="20"/>
        </w:rPr>
        <w:t>United</w:t>
      </w:r>
      <w:r w:rsidR="00FF41A0">
        <w:rPr>
          <w:color w:val="000000" w:themeColor="text1"/>
          <w:sz w:val="20"/>
          <w:szCs w:val="20"/>
        </w:rPr>
        <w:t xml:space="preserve"> </w:t>
      </w:r>
      <w:r w:rsidR="00C91E7E" w:rsidRPr="00C91E7E">
        <w:rPr>
          <w:color w:val="000000" w:themeColor="text1"/>
          <w:sz w:val="20"/>
          <w:szCs w:val="20"/>
        </w:rPr>
        <w:t>Nations</w:t>
      </w:r>
      <w:r w:rsidR="00FF41A0">
        <w:rPr>
          <w:color w:val="000000" w:themeColor="text1"/>
          <w:sz w:val="20"/>
          <w:szCs w:val="20"/>
        </w:rPr>
        <w:t xml:space="preserve"> </w:t>
      </w:r>
      <w:r w:rsidR="00C91E7E" w:rsidRPr="0037538E">
        <w:rPr>
          <w:color w:val="000000" w:themeColor="text1"/>
          <w:sz w:val="20"/>
          <w:szCs w:val="20"/>
        </w:rPr>
        <w:t>High</w:t>
      </w:r>
      <w:r w:rsidR="00FF41A0">
        <w:rPr>
          <w:color w:val="000000" w:themeColor="text1"/>
          <w:sz w:val="20"/>
          <w:szCs w:val="20"/>
        </w:rPr>
        <w:t xml:space="preserve"> </w:t>
      </w:r>
      <w:r w:rsidR="00C91E7E" w:rsidRPr="0037538E">
        <w:rPr>
          <w:color w:val="000000" w:themeColor="text1"/>
          <w:sz w:val="20"/>
          <w:szCs w:val="20"/>
        </w:rPr>
        <w:t>Commissioner</w:t>
      </w:r>
      <w:r w:rsidR="00FF41A0">
        <w:rPr>
          <w:color w:val="000000" w:themeColor="text1"/>
          <w:sz w:val="20"/>
          <w:szCs w:val="20"/>
        </w:rPr>
        <w:t xml:space="preserve"> </w:t>
      </w:r>
      <w:r w:rsidR="00C91E7E" w:rsidRPr="00C91E7E">
        <w:rPr>
          <w:color w:val="000000" w:themeColor="text1"/>
          <w:sz w:val="20"/>
          <w:szCs w:val="20"/>
        </w:rPr>
        <w:t>for</w:t>
      </w:r>
      <w:r w:rsidR="00FF41A0">
        <w:rPr>
          <w:color w:val="000000" w:themeColor="text1"/>
          <w:sz w:val="20"/>
          <w:szCs w:val="20"/>
        </w:rPr>
        <w:t xml:space="preserve"> </w:t>
      </w:r>
      <w:r w:rsidR="00C91E7E" w:rsidRPr="00C91E7E">
        <w:rPr>
          <w:color w:val="000000" w:themeColor="text1"/>
          <w:sz w:val="20"/>
          <w:szCs w:val="20"/>
        </w:rPr>
        <w:t>Human</w:t>
      </w:r>
      <w:r w:rsidR="00FF41A0">
        <w:rPr>
          <w:color w:val="000000" w:themeColor="text1"/>
          <w:sz w:val="20"/>
          <w:szCs w:val="20"/>
        </w:rPr>
        <w:t xml:space="preserve"> </w:t>
      </w:r>
      <w:r w:rsidR="00C91E7E" w:rsidRPr="00C91E7E">
        <w:rPr>
          <w:color w:val="000000" w:themeColor="text1"/>
          <w:sz w:val="20"/>
          <w:szCs w:val="20"/>
        </w:rPr>
        <w:t>Rights</w:t>
      </w:r>
      <w:r w:rsidR="00FF41A0">
        <w:rPr>
          <w:color w:val="000000" w:themeColor="text1"/>
          <w:sz w:val="20"/>
          <w:szCs w:val="20"/>
        </w:rPr>
        <w:t xml:space="preserve"> </w:t>
      </w:r>
      <w:r w:rsidR="00C91E7E" w:rsidRPr="0037538E">
        <w:rPr>
          <w:color w:val="000000" w:themeColor="text1"/>
          <w:sz w:val="20"/>
          <w:szCs w:val="20"/>
        </w:rPr>
        <w:t>on</w:t>
      </w:r>
      <w:r w:rsidR="00FF41A0">
        <w:rPr>
          <w:color w:val="000000" w:themeColor="text1"/>
          <w:sz w:val="20"/>
          <w:szCs w:val="20"/>
        </w:rPr>
        <w:t xml:space="preserve"> </w:t>
      </w:r>
      <w:r w:rsidR="00C91E7E" w:rsidRPr="0037538E">
        <w:rPr>
          <w:color w:val="000000" w:themeColor="text1"/>
          <w:sz w:val="20"/>
          <w:szCs w:val="20"/>
        </w:rPr>
        <w:t>the</w:t>
      </w:r>
      <w:r w:rsidR="00FF41A0">
        <w:rPr>
          <w:color w:val="000000" w:themeColor="text1"/>
          <w:sz w:val="20"/>
          <w:szCs w:val="20"/>
        </w:rPr>
        <w:t xml:space="preserve"> </w:t>
      </w:r>
      <w:r w:rsidR="00C91E7E" w:rsidRPr="0037538E">
        <w:rPr>
          <w:color w:val="000000" w:themeColor="text1"/>
          <w:sz w:val="20"/>
          <w:szCs w:val="20"/>
        </w:rPr>
        <w:t>human</w:t>
      </w:r>
      <w:r w:rsidR="00FF41A0">
        <w:rPr>
          <w:color w:val="000000" w:themeColor="text1"/>
          <w:sz w:val="20"/>
          <w:szCs w:val="20"/>
        </w:rPr>
        <w:t xml:space="preserve"> </w:t>
      </w:r>
      <w:r w:rsidR="00C91E7E" w:rsidRPr="0037538E">
        <w:rPr>
          <w:color w:val="000000" w:themeColor="text1"/>
          <w:sz w:val="20"/>
          <w:szCs w:val="20"/>
        </w:rPr>
        <w:t>rights</w:t>
      </w:r>
      <w:r w:rsidR="00FF41A0">
        <w:rPr>
          <w:color w:val="000000" w:themeColor="text1"/>
          <w:sz w:val="20"/>
          <w:szCs w:val="20"/>
        </w:rPr>
        <w:t xml:space="preserve"> </w:t>
      </w:r>
      <w:r w:rsidR="00C91E7E" w:rsidRPr="0037538E">
        <w:rPr>
          <w:color w:val="000000" w:themeColor="text1"/>
          <w:sz w:val="20"/>
          <w:szCs w:val="20"/>
        </w:rPr>
        <w:t>situation</w:t>
      </w:r>
      <w:r w:rsidR="00FF41A0">
        <w:rPr>
          <w:color w:val="000000" w:themeColor="text1"/>
          <w:sz w:val="20"/>
          <w:szCs w:val="20"/>
        </w:rPr>
        <w:t xml:space="preserve"> </w:t>
      </w:r>
      <w:r w:rsidR="00C91E7E" w:rsidRPr="0037538E">
        <w:rPr>
          <w:color w:val="000000" w:themeColor="text1"/>
          <w:sz w:val="20"/>
          <w:szCs w:val="20"/>
        </w:rPr>
        <w:t>in</w:t>
      </w:r>
      <w:r w:rsidR="00FF41A0">
        <w:rPr>
          <w:color w:val="000000" w:themeColor="text1"/>
          <w:sz w:val="20"/>
          <w:szCs w:val="20"/>
        </w:rPr>
        <w:t xml:space="preserve"> </w:t>
      </w:r>
      <w:r w:rsidR="00C91E7E" w:rsidRPr="0037538E">
        <w:rPr>
          <w:color w:val="000000" w:themeColor="text1"/>
          <w:sz w:val="20"/>
          <w:szCs w:val="20"/>
        </w:rPr>
        <w:t>the</w:t>
      </w:r>
      <w:r w:rsidR="00FF41A0">
        <w:rPr>
          <w:color w:val="000000" w:themeColor="text1"/>
          <w:sz w:val="20"/>
          <w:szCs w:val="20"/>
        </w:rPr>
        <w:t xml:space="preserve"> </w:t>
      </w:r>
      <w:r w:rsidR="00C91E7E" w:rsidRPr="0037538E">
        <w:rPr>
          <w:color w:val="000000" w:themeColor="text1"/>
          <w:sz w:val="20"/>
          <w:szCs w:val="20"/>
        </w:rPr>
        <w:t>Occupied</w:t>
      </w:r>
      <w:r w:rsidR="00FF41A0">
        <w:rPr>
          <w:color w:val="000000" w:themeColor="text1"/>
          <w:sz w:val="20"/>
          <w:szCs w:val="20"/>
        </w:rPr>
        <w:t xml:space="preserve"> </w:t>
      </w:r>
      <w:r w:rsidR="00C91E7E" w:rsidRPr="0037538E">
        <w:rPr>
          <w:color w:val="000000" w:themeColor="text1"/>
          <w:sz w:val="20"/>
          <w:szCs w:val="20"/>
        </w:rPr>
        <w:t>Palestinian</w:t>
      </w:r>
      <w:r w:rsidR="00FF41A0">
        <w:rPr>
          <w:color w:val="000000" w:themeColor="text1"/>
          <w:sz w:val="20"/>
          <w:szCs w:val="20"/>
        </w:rPr>
        <w:t xml:space="preserve"> </w:t>
      </w:r>
      <w:r w:rsidR="00C91E7E" w:rsidRPr="0037538E">
        <w:rPr>
          <w:color w:val="000000" w:themeColor="text1"/>
          <w:sz w:val="20"/>
          <w:szCs w:val="20"/>
        </w:rPr>
        <w:t>Territory</w:t>
      </w:r>
      <w:r w:rsidR="00C91E7E">
        <w:rPr>
          <w:color w:val="000000" w:themeColor="text1"/>
          <w:sz w:val="20"/>
          <w:szCs w:val="20"/>
        </w:rPr>
        <w:t>,</w:t>
      </w:r>
      <w:r w:rsidR="00FF41A0">
        <w:rPr>
          <w:color w:val="000000" w:themeColor="text1"/>
          <w:sz w:val="20"/>
          <w:szCs w:val="20"/>
        </w:rPr>
        <w:t xml:space="preserve"> </w:t>
      </w:r>
      <w:r w:rsidR="00C91E7E" w:rsidRPr="0037538E">
        <w:rPr>
          <w:color w:val="000000" w:themeColor="text1"/>
          <w:sz w:val="20"/>
          <w:szCs w:val="20"/>
        </w:rPr>
        <w:t>in</w:t>
      </w:r>
      <w:r w:rsidR="00FF41A0">
        <w:rPr>
          <w:color w:val="000000" w:themeColor="text1"/>
          <w:sz w:val="20"/>
          <w:szCs w:val="20"/>
        </w:rPr>
        <w:t xml:space="preserve"> </w:t>
      </w:r>
      <w:r w:rsidR="00C91E7E" w:rsidRPr="0037538E">
        <w:rPr>
          <w:color w:val="000000" w:themeColor="text1"/>
          <w:sz w:val="20"/>
          <w:szCs w:val="20"/>
        </w:rPr>
        <w:t>particular</w:t>
      </w:r>
      <w:r w:rsidR="00FF41A0">
        <w:rPr>
          <w:color w:val="000000" w:themeColor="text1"/>
          <w:sz w:val="20"/>
          <w:szCs w:val="20"/>
        </w:rPr>
        <w:t xml:space="preserve"> </w:t>
      </w:r>
      <w:r w:rsidR="00C91E7E" w:rsidRPr="0037538E">
        <w:rPr>
          <w:color w:val="000000" w:themeColor="text1"/>
          <w:sz w:val="20"/>
          <w:szCs w:val="20"/>
        </w:rPr>
        <w:t>on</w:t>
      </w:r>
      <w:r w:rsidR="00FF41A0">
        <w:rPr>
          <w:color w:val="000000" w:themeColor="text1"/>
          <w:sz w:val="20"/>
          <w:szCs w:val="20"/>
        </w:rPr>
        <w:t xml:space="preserve"> </w:t>
      </w:r>
      <w:r w:rsidR="00C91E7E" w:rsidRPr="0037538E">
        <w:rPr>
          <w:color w:val="000000" w:themeColor="text1"/>
          <w:sz w:val="20"/>
          <w:szCs w:val="20"/>
        </w:rPr>
        <w:t>the</w:t>
      </w:r>
      <w:r w:rsidR="00FF41A0">
        <w:rPr>
          <w:color w:val="000000" w:themeColor="text1"/>
          <w:sz w:val="20"/>
          <w:szCs w:val="20"/>
        </w:rPr>
        <w:t xml:space="preserve"> </w:t>
      </w:r>
      <w:r w:rsidR="00C91E7E" w:rsidRPr="00C91E7E">
        <w:rPr>
          <w:color w:val="000000" w:themeColor="text1"/>
          <w:sz w:val="20"/>
          <w:szCs w:val="20"/>
        </w:rPr>
        <w:t>implementation</w:t>
      </w:r>
      <w:r w:rsidR="00FF41A0">
        <w:rPr>
          <w:color w:val="000000" w:themeColor="text1"/>
          <w:sz w:val="20"/>
          <w:szCs w:val="20"/>
        </w:rPr>
        <w:t xml:space="preserve"> </w:t>
      </w:r>
      <w:r w:rsidR="00C91E7E" w:rsidRPr="00C91E7E">
        <w:rPr>
          <w:color w:val="000000" w:themeColor="text1"/>
          <w:sz w:val="20"/>
          <w:szCs w:val="20"/>
        </w:rPr>
        <w:t>of</w:t>
      </w:r>
      <w:r w:rsidR="00FF41A0">
        <w:rPr>
          <w:color w:val="000000" w:themeColor="text1"/>
          <w:sz w:val="20"/>
          <w:szCs w:val="20"/>
        </w:rPr>
        <w:t xml:space="preserve"> </w:t>
      </w:r>
      <w:r w:rsidR="00C91E7E" w:rsidRPr="0037538E">
        <w:rPr>
          <w:color w:val="000000" w:themeColor="text1"/>
          <w:sz w:val="20"/>
          <w:szCs w:val="20"/>
        </w:rPr>
        <w:t>the</w:t>
      </w:r>
      <w:r w:rsidR="00FF41A0">
        <w:rPr>
          <w:color w:val="000000" w:themeColor="text1"/>
          <w:sz w:val="20"/>
          <w:szCs w:val="20"/>
        </w:rPr>
        <w:t xml:space="preserve"> </w:t>
      </w:r>
      <w:r w:rsidR="00C91E7E" w:rsidRPr="0037538E">
        <w:rPr>
          <w:color w:val="000000" w:themeColor="text1"/>
          <w:sz w:val="20"/>
          <w:szCs w:val="20"/>
        </w:rPr>
        <w:t>Human</w:t>
      </w:r>
      <w:r w:rsidR="00FF41A0">
        <w:rPr>
          <w:color w:val="000000" w:themeColor="text1"/>
          <w:sz w:val="20"/>
          <w:szCs w:val="20"/>
        </w:rPr>
        <w:t xml:space="preserve"> </w:t>
      </w:r>
      <w:r w:rsidR="00C91E7E" w:rsidRPr="0037538E">
        <w:rPr>
          <w:color w:val="000000" w:themeColor="text1"/>
          <w:sz w:val="20"/>
          <w:szCs w:val="20"/>
        </w:rPr>
        <w:t>Rights</w:t>
      </w:r>
      <w:r w:rsidR="00FF41A0">
        <w:rPr>
          <w:color w:val="000000" w:themeColor="text1"/>
          <w:sz w:val="20"/>
          <w:szCs w:val="20"/>
        </w:rPr>
        <w:t xml:space="preserve"> </w:t>
      </w:r>
      <w:r w:rsidR="00C91E7E" w:rsidRPr="0037538E">
        <w:rPr>
          <w:color w:val="000000" w:themeColor="text1"/>
          <w:sz w:val="20"/>
          <w:szCs w:val="20"/>
        </w:rPr>
        <w:t>Council</w:t>
      </w:r>
      <w:r w:rsidR="00FF41A0">
        <w:rPr>
          <w:color w:val="000000" w:themeColor="text1"/>
          <w:sz w:val="20"/>
          <w:szCs w:val="20"/>
        </w:rPr>
        <w:t xml:space="preserve"> </w:t>
      </w:r>
      <w:r w:rsidR="00C91E7E" w:rsidRPr="0037538E">
        <w:rPr>
          <w:color w:val="000000" w:themeColor="text1"/>
          <w:sz w:val="20"/>
          <w:szCs w:val="20"/>
        </w:rPr>
        <w:t>resolutions</w:t>
      </w:r>
      <w:r w:rsidR="00FF41A0">
        <w:rPr>
          <w:color w:val="000000" w:themeColor="text1"/>
          <w:sz w:val="20"/>
          <w:szCs w:val="20"/>
        </w:rPr>
        <w:t xml:space="preserve"> </w:t>
      </w:r>
      <w:r w:rsidR="00C91E7E" w:rsidRPr="00C91E7E">
        <w:rPr>
          <w:color w:val="000000" w:themeColor="text1"/>
          <w:sz w:val="20"/>
          <w:szCs w:val="20"/>
        </w:rPr>
        <w:t>S-9/1</w:t>
      </w:r>
      <w:r w:rsidR="00FF41A0">
        <w:rPr>
          <w:color w:val="000000" w:themeColor="text1"/>
          <w:sz w:val="20"/>
          <w:szCs w:val="20"/>
        </w:rPr>
        <w:t xml:space="preserve"> </w:t>
      </w:r>
      <w:r w:rsidR="00C91E7E" w:rsidRPr="00C91E7E">
        <w:rPr>
          <w:color w:val="000000" w:themeColor="text1"/>
          <w:sz w:val="20"/>
          <w:szCs w:val="20"/>
        </w:rPr>
        <w:t>and</w:t>
      </w:r>
      <w:r w:rsidR="00FF41A0">
        <w:rPr>
          <w:color w:val="000000" w:themeColor="text1"/>
          <w:sz w:val="20"/>
          <w:szCs w:val="20"/>
        </w:rPr>
        <w:t xml:space="preserve"> </w:t>
      </w:r>
      <w:r w:rsidR="00C91E7E" w:rsidRPr="00C91E7E">
        <w:rPr>
          <w:color w:val="000000" w:themeColor="text1"/>
          <w:sz w:val="20"/>
          <w:szCs w:val="20"/>
        </w:rPr>
        <w:t>S-12/1</w:t>
      </w:r>
      <w:r w:rsidR="00FF41A0">
        <w:rPr>
          <w:color w:val="000000" w:themeColor="text1"/>
          <w:sz w:val="20"/>
          <w:szCs w:val="20"/>
        </w:rPr>
        <w:t xml:space="preserve"> </w:t>
      </w:r>
      <w:r w:rsidR="00C91E7E" w:rsidRPr="00C91E7E">
        <w:rPr>
          <w:color w:val="000000" w:themeColor="text1"/>
          <w:sz w:val="20"/>
          <w:szCs w:val="20"/>
        </w:rPr>
        <w:t>(A/HRC/40/39)</w:t>
      </w:r>
      <w:r w:rsidR="00C91E7E">
        <w:rPr>
          <w:color w:val="000000" w:themeColor="text1"/>
          <w:sz w:val="20"/>
          <w:szCs w:val="20"/>
        </w:rPr>
        <w:t>.</w:t>
      </w:r>
    </w:p>
    <w:p w14:paraId="66FE9128" w14:textId="3C6CDCD7" w:rsidR="00C91E7E" w:rsidRDefault="00A74C9E" w:rsidP="00414AC5">
      <w:pPr>
        <w:pStyle w:val="SingleTxtG"/>
        <w:rPr>
          <w:color w:val="000000" w:themeColor="text1"/>
          <w:sz w:val="20"/>
          <w:szCs w:val="20"/>
        </w:rPr>
      </w:pPr>
      <w:r>
        <w:rPr>
          <w:color w:val="000000" w:themeColor="text1"/>
          <w:sz w:val="20"/>
          <w:szCs w:val="20"/>
        </w:rPr>
        <w:t>928</w:t>
      </w:r>
      <w:r w:rsidR="00631107" w:rsidRPr="0037538E">
        <w:rPr>
          <w:color w:val="000000" w:themeColor="text1"/>
          <w:sz w:val="20"/>
          <w:szCs w:val="20"/>
        </w:rPr>
        <w:t>.</w:t>
      </w:r>
      <w:r w:rsidR="00B007BE" w:rsidRPr="0037538E">
        <w:rPr>
          <w:color w:val="000000" w:themeColor="text1"/>
          <w:sz w:val="20"/>
          <w:szCs w:val="20"/>
        </w:rPr>
        <w:tab/>
      </w:r>
      <w:r w:rsidR="00157404" w:rsidRPr="0037538E">
        <w:rPr>
          <w:color w:val="000000" w:themeColor="text1"/>
          <w:sz w:val="20"/>
          <w:szCs w:val="20"/>
        </w:rPr>
        <w:t>At</w:t>
      </w:r>
      <w:r w:rsidR="00FF41A0">
        <w:rPr>
          <w:color w:val="000000" w:themeColor="text1"/>
          <w:sz w:val="20"/>
          <w:szCs w:val="20"/>
        </w:rPr>
        <w:t xml:space="preserve"> </w:t>
      </w:r>
      <w:r w:rsidR="00157404" w:rsidRPr="0037538E">
        <w:rPr>
          <w:color w:val="000000" w:themeColor="text1"/>
          <w:sz w:val="20"/>
          <w:szCs w:val="20"/>
        </w:rPr>
        <w:t>the</w:t>
      </w:r>
      <w:r w:rsidR="00FF41A0">
        <w:rPr>
          <w:color w:val="000000" w:themeColor="text1"/>
          <w:sz w:val="20"/>
          <w:szCs w:val="20"/>
        </w:rPr>
        <w:t xml:space="preserve"> </w:t>
      </w:r>
      <w:r w:rsidR="00157404" w:rsidRPr="0037538E">
        <w:rPr>
          <w:color w:val="000000" w:themeColor="text1"/>
          <w:sz w:val="20"/>
          <w:szCs w:val="20"/>
        </w:rPr>
        <w:t>same</w:t>
      </w:r>
      <w:r w:rsidR="00FF41A0">
        <w:rPr>
          <w:color w:val="000000" w:themeColor="text1"/>
          <w:sz w:val="20"/>
          <w:szCs w:val="20"/>
        </w:rPr>
        <w:t xml:space="preserve"> </w:t>
      </w:r>
      <w:r w:rsidR="00157404" w:rsidRPr="0037538E">
        <w:rPr>
          <w:color w:val="000000" w:themeColor="text1"/>
          <w:sz w:val="20"/>
          <w:szCs w:val="20"/>
        </w:rPr>
        <w:t>meeting,</w:t>
      </w:r>
      <w:r w:rsidR="00FF41A0">
        <w:rPr>
          <w:color w:val="000000" w:themeColor="text1"/>
          <w:sz w:val="20"/>
          <w:szCs w:val="20"/>
        </w:rPr>
        <w:t xml:space="preserve"> </w:t>
      </w:r>
      <w:r w:rsidR="00C91E7E">
        <w:rPr>
          <w:color w:val="000000" w:themeColor="text1"/>
          <w:sz w:val="20"/>
          <w:szCs w:val="20"/>
        </w:rPr>
        <w:t>p</w:t>
      </w:r>
      <w:r w:rsidR="00C91E7E" w:rsidRPr="00C91E7E">
        <w:rPr>
          <w:color w:val="000000" w:themeColor="text1"/>
          <w:sz w:val="20"/>
          <w:szCs w:val="20"/>
        </w:rPr>
        <w:t>ursuant</w:t>
      </w:r>
      <w:r w:rsidR="00FF41A0">
        <w:rPr>
          <w:color w:val="000000" w:themeColor="text1"/>
          <w:sz w:val="20"/>
          <w:szCs w:val="20"/>
        </w:rPr>
        <w:t xml:space="preserve"> </w:t>
      </w:r>
      <w:r w:rsidR="00C91E7E" w:rsidRPr="00C91E7E">
        <w:rPr>
          <w:color w:val="000000" w:themeColor="text1"/>
          <w:sz w:val="20"/>
          <w:szCs w:val="20"/>
        </w:rPr>
        <w:t>to</w:t>
      </w:r>
      <w:r w:rsidR="00FF41A0">
        <w:rPr>
          <w:color w:val="000000" w:themeColor="text1"/>
          <w:sz w:val="20"/>
          <w:szCs w:val="20"/>
        </w:rPr>
        <w:t xml:space="preserve"> </w:t>
      </w:r>
      <w:r w:rsidR="007A7B2F" w:rsidRPr="0037538E">
        <w:rPr>
          <w:color w:val="000000" w:themeColor="text1"/>
          <w:sz w:val="20"/>
          <w:szCs w:val="20"/>
        </w:rPr>
        <w:t>the</w:t>
      </w:r>
      <w:r w:rsidR="00FF41A0">
        <w:rPr>
          <w:color w:val="000000" w:themeColor="text1"/>
          <w:sz w:val="20"/>
          <w:szCs w:val="20"/>
        </w:rPr>
        <w:t xml:space="preserve"> </w:t>
      </w:r>
      <w:r w:rsidR="007A7B2F" w:rsidRPr="0037538E">
        <w:rPr>
          <w:color w:val="000000" w:themeColor="text1"/>
          <w:sz w:val="20"/>
          <w:szCs w:val="20"/>
        </w:rPr>
        <w:t>Human</w:t>
      </w:r>
      <w:r w:rsidR="00FF41A0">
        <w:rPr>
          <w:color w:val="000000" w:themeColor="text1"/>
          <w:sz w:val="20"/>
          <w:szCs w:val="20"/>
        </w:rPr>
        <w:t xml:space="preserve"> </w:t>
      </w:r>
      <w:r w:rsidR="007A7B2F" w:rsidRPr="0037538E">
        <w:rPr>
          <w:color w:val="000000" w:themeColor="text1"/>
          <w:sz w:val="20"/>
          <w:szCs w:val="20"/>
        </w:rPr>
        <w:t>Rights</w:t>
      </w:r>
      <w:r w:rsidR="00FF41A0">
        <w:rPr>
          <w:color w:val="000000" w:themeColor="text1"/>
          <w:sz w:val="20"/>
          <w:szCs w:val="20"/>
        </w:rPr>
        <w:t xml:space="preserve"> </w:t>
      </w:r>
      <w:r w:rsidR="007A7B2F" w:rsidRPr="0037538E">
        <w:rPr>
          <w:color w:val="000000" w:themeColor="text1"/>
          <w:sz w:val="20"/>
          <w:szCs w:val="20"/>
        </w:rPr>
        <w:t>Council</w:t>
      </w:r>
      <w:r w:rsidR="00FF41A0">
        <w:rPr>
          <w:color w:val="000000" w:themeColor="text1"/>
          <w:sz w:val="20"/>
          <w:szCs w:val="20"/>
        </w:rPr>
        <w:t xml:space="preserve"> </w:t>
      </w:r>
      <w:r w:rsidR="00C91E7E" w:rsidRPr="00C91E7E">
        <w:rPr>
          <w:color w:val="000000" w:themeColor="text1"/>
          <w:sz w:val="20"/>
          <w:szCs w:val="20"/>
        </w:rPr>
        <w:t>resolution</w:t>
      </w:r>
      <w:r w:rsidR="00FF41A0">
        <w:rPr>
          <w:color w:val="000000" w:themeColor="text1"/>
          <w:sz w:val="20"/>
          <w:szCs w:val="20"/>
        </w:rPr>
        <w:t xml:space="preserve"> </w:t>
      </w:r>
      <w:r w:rsidR="00C91E7E" w:rsidRPr="00C91E7E">
        <w:rPr>
          <w:color w:val="000000" w:themeColor="text1"/>
          <w:sz w:val="20"/>
          <w:szCs w:val="20"/>
        </w:rPr>
        <w:t>37/36,</w:t>
      </w:r>
      <w:r w:rsidR="00FF41A0">
        <w:rPr>
          <w:color w:val="000000" w:themeColor="text1"/>
          <w:sz w:val="20"/>
          <w:szCs w:val="20"/>
        </w:rPr>
        <w:t xml:space="preserve"> </w:t>
      </w:r>
      <w:r w:rsidR="00C91E7E">
        <w:rPr>
          <w:color w:val="000000" w:themeColor="text1"/>
          <w:sz w:val="20"/>
          <w:szCs w:val="20"/>
        </w:rPr>
        <w:t>the</w:t>
      </w:r>
      <w:r w:rsidR="00FF41A0">
        <w:rPr>
          <w:color w:val="000000" w:themeColor="text1"/>
          <w:sz w:val="20"/>
          <w:szCs w:val="20"/>
        </w:rPr>
        <w:t xml:space="preserve"> </w:t>
      </w:r>
      <w:r w:rsidR="00C91E7E">
        <w:rPr>
          <w:color w:val="000000" w:themeColor="text1"/>
          <w:sz w:val="20"/>
          <w:szCs w:val="20"/>
        </w:rPr>
        <w:t>United</w:t>
      </w:r>
      <w:r w:rsidR="00FF41A0">
        <w:rPr>
          <w:color w:val="000000" w:themeColor="text1"/>
          <w:sz w:val="20"/>
          <w:szCs w:val="20"/>
        </w:rPr>
        <w:t xml:space="preserve"> </w:t>
      </w:r>
      <w:r w:rsidR="00C91E7E">
        <w:rPr>
          <w:color w:val="000000" w:themeColor="text1"/>
          <w:sz w:val="20"/>
          <w:szCs w:val="20"/>
        </w:rPr>
        <w:t>Nations</w:t>
      </w:r>
      <w:r w:rsidR="00FF41A0">
        <w:rPr>
          <w:color w:val="000000" w:themeColor="text1"/>
          <w:sz w:val="20"/>
          <w:szCs w:val="20"/>
        </w:rPr>
        <w:t xml:space="preserve"> </w:t>
      </w:r>
      <w:r w:rsidR="00C91E7E">
        <w:rPr>
          <w:color w:val="000000" w:themeColor="text1"/>
          <w:sz w:val="20"/>
          <w:szCs w:val="20"/>
        </w:rPr>
        <w:t>Assistant</w:t>
      </w:r>
      <w:r w:rsidR="00FF41A0">
        <w:rPr>
          <w:color w:val="000000" w:themeColor="text1"/>
          <w:sz w:val="20"/>
          <w:szCs w:val="20"/>
        </w:rPr>
        <w:t xml:space="preserve"> </w:t>
      </w:r>
      <w:r w:rsidR="00C91E7E">
        <w:rPr>
          <w:color w:val="000000" w:themeColor="text1"/>
          <w:sz w:val="20"/>
          <w:szCs w:val="20"/>
        </w:rPr>
        <w:t>Secretary-General</w:t>
      </w:r>
      <w:r w:rsidR="00FF41A0">
        <w:rPr>
          <w:color w:val="000000" w:themeColor="text1"/>
          <w:sz w:val="20"/>
          <w:szCs w:val="20"/>
        </w:rPr>
        <w:t xml:space="preserve"> </w:t>
      </w:r>
      <w:r w:rsidR="00C91E7E">
        <w:rPr>
          <w:color w:val="000000" w:themeColor="text1"/>
          <w:sz w:val="20"/>
          <w:szCs w:val="20"/>
        </w:rPr>
        <w:t>for</w:t>
      </w:r>
      <w:r w:rsidR="00FF41A0">
        <w:rPr>
          <w:color w:val="000000" w:themeColor="text1"/>
          <w:sz w:val="20"/>
          <w:szCs w:val="20"/>
        </w:rPr>
        <w:t xml:space="preserve"> </w:t>
      </w:r>
      <w:r w:rsidR="00C91E7E">
        <w:rPr>
          <w:color w:val="000000" w:themeColor="text1"/>
          <w:sz w:val="20"/>
          <w:szCs w:val="20"/>
        </w:rPr>
        <w:t>Human</w:t>
      </w:r>
      <w:r w:rsidR="00FF41A0">
        <w:rPr>
          <w:color w:val="000000" w:themeColor="text1"/>
          <w:sz w:val="20"/>
          <w:szCs w:val="20"/>
        </w:rPr>
        <w:t xml:space="preserve"> </w:t>
      </w:r>
      <w:r w:rsidR="00C91E7E">
        <w:rPr>
          <w:color w:val="000000" w:themeColor="text1"/>
          <w:sz w:val="20"/>
          <w:szCs w:val="20"/>
        </w:rPr>
        <w:t>Rights</w:t>
      </w:r>
      <w:r w:rsidR="00FF41A0">
        <w:rPr>
          <w:color w:val="000000" w:themeColor="text1"/>
          <w:sz w:val="20"/>
          <w:szCs w:val="20"/>
        </w:rPr>
        <w:t xml:space="preserve"> </w:t>
      </w:r>
      <w:r w:rsidR="00C91E7E">
        <w:rPr>
          <w:color w:val="000000" w:themeColor="text1"/>
          <w:sz w:val="20"/>
          <w:szCs w:val="20"/>
        </w:rPr>
        <w:t>also</w:t>
      </w:r>
      <w:r w:rsidR="00FF41A0">
        <w:rPr>
          <w:color w:val="000000" w:themeColor="text1"/>
          <w:sz w:val="20"/>
          <w:szCs w:val="20"/>
        </w:rPr>
        <w:t xml:space="preserve"> </w:t>
      </w:r>
      <w:r w:rsidR="00C91E7E">
        <w:rPr>
          <w:color w:val="000000" w:themeColor="text1"/>
          <w:sz w:val="20"/>
          <w:szCs w:val="20"/>
        </w:rPr>
        <w:t>presented</w:t>
      </w:r>
      <w:r w:rsidR="00FF41A0">
        <w:rPr>
          <w:color w:val="000000" w:themeColor="text1"/>
          <w:sz w:val="20"/>
          <w:szCs w:val="20"/>
        </w:rPr>
        <w:t xml:space="preserve"> </w:t>
      </w:r>
      <w:r w:rsidR="00C91E7E" w:rsidRPr="00C91E7E">
        <w:rPr>
          <w:color w:val="000000" w:themeColor="text1"/>
          <w:sz w:val="20"/>
          <w:szCs w:val="20"/>
        </w:rPr>
        <w:t>the</w:t>
      </w:r>
      <w:r w:rsidR="00FF41A0">
        <w:rPr>
          <w:color w:val="000000" w:themeColor="text1"/>
          <w:sz w:val="20"/>
          <w:szCs w:val="20"/>
        </w:rPr>
        <w:t xml:space="preserve"> </w:t>
      </w:r>
      <w:r w:rsidR="00C91E7E" w:rsidRPr="00C91E7E">
        <w:rPr>
          <w:color w:val="000000" w:themeColor="text1"/>
          <w:sz w:val="20"/>
          <w:szCs w:val="20"/>
        </w:rPr>
        <w:t>report</w:t>
      </w:r>
      <w:r w:rsidR="00FF41A0">
        <w:rPr>
          <w:color w:val="000000" w:themeColor="text1"/>
          <w:sz w:val="20"/>
          <w:szCs w:val="20"/>
        </w:rPr>
        <w:t xml:space="preserve"> </w:t>
      </w:r>
      <w:r w:rsidR="00C91E7E" w:rsidRPr="00C91E7E">
        <w:rPr>
          <w:color w:val="000000" w:themeColor="text1"/>
          <w:sz w:val="20"/>
          <w:szCs w:val="20"/>
        </w:rPr>
        <w:t>of</w:t>
      </w:r>
      <w:r w:rsidR="00FF41A0">
        <w:rPr>
          <w:color w:val="000000" w:themeColor="text1"/>
          <w:sz w:val="20"/>
          <w:szCs w:val="20"/>
        </w:rPr>
        <w:t xml:space="preserve"> </w:t>
      </w:r>
      <w:r w:rsidR="00C91E7E" w:rsidRPr="00C91E7E">
        <w:rPr>
          <w:color w:val="000000" w:themeColor="text1"/>
          <w:sz w:val="20"/>
          <w:szCs w:val="20"/>
        </w:rPr>
        <w:t>the</w:t>
      </w:r>
      <w:r w:rsidR="00FF41A0">
        <w:rPr>
          <w:color w:val="000000" w:themeColor="text1"/>
          <w:sz w:val="20"/>
          <w:szCs w:val="20"/>
        </w:rPr>
        <w:t xml:space="preserve"> </w:t>
      </w:r>
      <w:r w:rsidR="00C91E7E" w:rsidRPr="00C91E7E">
        <w:rPr>
          <w:color w:val="000000" w:themeColor="text1"/>
          <w:sz w:val="20"/>
          <w:szCs w:val="20"/>
        </w:rPr>
        <w:t>United</w:t>
      </w:r>
      <w:r w:rsidR="00FF41A0">
        <w:rPr>
          <w:color w:val="000000" w:themeColor="text1"/>
          <w:sz w:val="20"/>
          <w:szCs w:val="20"/>
        </w:rPr>
        <w:t xml:space="preserve"> </w:t>
      </w:r>
      <w:r w:rsidR="00C91E7E" w:rsidRPr="00C91E7E">
        <w:rPr>
          <w:color w:val="000000" w:themeColor="text1"/>
          <w:sz w:val="20"/>
          <w:szCs w:val="20"/>
        </w:rPr>
        <w:t>Nations</w:t>
      </w:r>
      <w:r w:rsidR="00FF41A0">
        <w:rPr>
          <w:color w:val="000000" w:themeColor="text1"/>
          <w:sz w:val="20"/>
          <w:szCs w:val="20"/>
        </w:rPr>
        <w:t xml:space="preserve"> </w:t>
      </w:r>
      <w:r w:rsidR="00C91E7E" w:rsidRPr="00C91E7E">
        <w:rPr>
          <w:color w:val="000000" w:themeColor="text1"/>
          <w:sz w:val="20"/>
          <w:szCs w:val="20"/>
        </w:rPr>
        <w:t>High</w:t>
      </w:r>
      <w:r w:rsidR="00FF41A0">
        <w:rPr>
          <w:color w:val="000000" w:themeColor="text1"/>
          <w:sz w:val="20"/>
          <w:szCs w:val="20"/>
        </w:rPr>
        <w:t xml:space="preserve"> </w:t>
      </w:r>
      <w:r w:rsidR="00C91E7E" w:rsidRPr="00C91E7E">
        <w:rPr>
          <w:color w:val="000000" w:themeColor="text1"/>
          <w:sz w:val="20"/>
          <w:szCs w:val="20"/>
        </w:rPr>
        <w:t>Commissioner</w:t>
      </w:r>
      <w:r w:rsidR="00FF41A0">
        <w:rPr>
          <w:color w:val="000000" w:themeColor="text1"/>
          <w:sz w:val="20"/>
          <w:szCs w:val="20"/>
        </w:rPr>
        <w:t xml:space="preserve"> </w:t>
      </w:r>
      <w:r w:rsidR="00C91E7E" w:rsidRPr="00C91E7E">
        <w:rPr>
          <w:color w:val="000000" w:themeColor="text1"/>
          <w:sz w:val="20"/>
          <w:szCs w:val="20"/>
        </w:rPr>
        <w:t>for</w:t>
      </w:r>
      <w:r w:rsidR="00FF41A0">
        <w:rPr>
          <w:color w:val="000000" w:themeColor="text1"/>
          <w:sz w:val="20"/>
          <w:szCs w:val="20"/>
        </w:rPr>
        <w:t xml:space="preserve"> </w:t>
      </w:r>
      <w:r w:rsidR="00C91E7E" w:rsidRPr="00C91E7E">
        <w:rPr>
          <w:color w:val="000000" w:themeColor="text1"/>
          <w:sz w:val="20"/>
          <w:szCs w:val="20"/>
        </w:rPr>
        <w:t>Human</w:t>
      </w:r>
      <w:r w:rsidR="00FF41A0">
        <w:rPr>
          <w:color w:val="000000" w:themeColor="text1"/>
          <w:sz w:val="20"/>
          <w:szCs w:val="20"/>
        </w:rPr>
        <w:t xml:space="preserve"> </w:t>
      </w:r>
      <w:r w:rsidR="00C91E7E" w:rsidRPr="00C91E7E">
        <w:rPr>
          <w:color w:val="000000" w:themeColor="text1"/>
          <w:sz w:val="20"/>
          <w:szCs w:val="20"/>
        </w:rPr>
        <w:t>Rights</w:t>
      </w:r>
      <w:r w:rsidR="00FF41A0">
        <w:rPr>
          <w:color w:val="000000" w:themeColor="text1"/>
          <w:sz w:val="20"/>
          <w:szCs w:val="20"/>
        </w:rPr>
        <w:t xml:space="preserve"> </w:t>
      </w:r>
      <w:r w:rsidR="00C91E7E">
        <w:rPr>
          <w:color w:val="000000" w:themeColor="text1"/>
          <w:sz w:val="20"/>
          <w:szCs w:val="20"/>
        </w:rPr>
        <w:t>on</w:t>
      </w:r>
      <w:r w:rsidR="00FF41A0">
        <w:rPr>
          <w:color w:val="000000" w:themeColor="text1"/>
          <w:sz w:val="20"/>
          <w:szCs w:val="20"/>
        </w:rPr>
        <w:t xml:space="preserve"> </w:t>
      </w:r>
      <w:r w:rsidR="00C91E7E" w:rsidRPr="00C91E7E">
        <w:rPr>
          <w:color w:val="000000" w:themeColor="text1"/>
          <w:sz w:val="20"/>
          <w:szCs w:val="20"/>
        </w:rPr>
        <w:t>Israeli</w:t>
      </w:r>
      <w:r w:rsidR="00FF41A0">
        <w:rPr>
          <w:color w:val="000000" w:themeColor="text1"/>
          <w:sz w:val="20"/>
          <w:szCs w:val="20"/>
        </w:rPr>
        <w:t xml:space="preserve"> </w:t>
      </w:r>
      <w:r w:rsidR="00C91E7E" w:rsidRPr="00C91E7E">
        <w:rPr>
          <w:color w:val="000000" w:themeColor="text1"/>
          <w:sz w:val="20"/>
          <w:szCs w:val="20"/>
        </w:rPr>
        <w:t>settlements</w:t>
      </w:r>
      <w:r w:rsidR="00FF41A0">
        <w:rPr>
          <w:color w:val="000000" w:themeColor="text1"/>
          <w:sz w:val="20"/>
          <w:szCs w:val="20"/>
        </w:rPr>
        <w:t xml:space="preserve"> </w:t>
      </w:r>
      <w:r w:rsidR="00C91E7E" w:rsidRPr="00C91E7E">
        <w:rPr>
          <w:color w:val="000000" w:themeColor="text1"/>
          <w:sz w:val="20"/>
          <w:szCs w:val="20"/>
        </w:rPr>
        <w:t>in</w:t>
      </w:r>
      <w:r w:rsidR="00FF41A0">
        <w:rPr>
          <w:color w:val="000000" w:themeColor="text1"/>
          <w:sz w:val="20"/>
          <w:szCs w:val="20"/>
        </w:rPr>
        <w:t xml:space="preserve"> </w:t>
      </w:r>
      <w:r w:rsidR="00C91E7E" w:rsidRPr="00C91E7E">
        <w:rPr>
          <w:color w:val="000000" w:themeColor="text1"/>
          <w:sz w:val="20"/>
          <w:szCs w:val="20"/>
        </w:rPr>
        <w:t>the</w:t>
      </w:r>
      <w:r w:rsidR="00FF41A0">
        <w:rPr>
          <w:color w:val="000000" w:themeColor="text1"/>
          <w:sz w:val="20"/>
          <w:szCs w:val="20"/>
        </w:rPr>
        <w:t xml:space="preserve"> </w:t>
      </w:r>
      <w:r w:rsidR="00C91E7E" w:rsidRPr="00C91E7E">
        <w:rPr>
          <w:color w:val="000000" w:themeColor="text1"/>
          <w:sz w:val="20"/>
          <w:szCs w:val="20"/>
        </w:rPr>
        <w:t>Occupied</w:t>
      </w:r>
      <w:r w:rsidR="00FF41A0">
        <w:rPr>
          <w:color w:val="000000" w:themeColor="text1"/>
          <w:sz w:val="20"/>
          <w:szCs w:val="20"/>
        </w:rPr>
        <w:t xml:space="preserve"> </w:t>
      </w:r>
      <w:r w:rsidR="00C91E7E" w:rsidRPr="00C91E7E">
        <w:rPr>
          <w:color w:val="000000" w:themeColor="text1"/>
          <w:sz w:val="20"/>
          <w:szCs w:val="20"/>
        </w:rPr>
        <w:t>Palestinian</w:t>
      </w:r>
      <w:r w:rsidR="00FF41A0">
        <w:rPr>
          <w:color w:val="000000" w:themeColor="text1"/>
          <w:sz w:val="20"/>
          <w:szCs w:val="20"/>
        </w:rPr>
        <w:t xml:space="preserve"> </w:t>
      </w:r>
      <w:r w:rsidR="00C91E7E" w:rsidRPr="00C91E7E">
        <w:rPr>
          <w:color w:val="000000" w:themeColor="text1"/>
          <w:sz w:val="20"/>
          <w:szCs w:val="20"/>
        </w:rPr>
        <w:t>Territory,</w:t>
      </w:r>
      <w:r w:rsidR="00FF41A0">
        <w:rPr>
          <w:color w:val="000000" w:themeColor="text1"/>
          <w:sz w:val="20"/>
          <w:szCs w:val="20"/>
        </w:rPr>
        <w:t xml:space="preserve"> </w:t>
      </w:r>
      <w:r w:rsidR="00C91E7E" w:rsidRPr="00C91E7E">
        <w:rPr>
          <w:color w:val="000000" w:themeColor="text1"/>
          <w:sz w:val="20"/>
          <w:szCs w:val="20"/>
        </w:rPr>
        <w:t>including</w:t>
      </w:r>
      <w:r w:rsidR="00FF41A0">
        <w:rPr>
          <w:color w:val="000000" w:themeColor="text1"/>
          <w:sz w:val="20"/>
          <w:szCs w:val="20"/>
        </w:rPr>
        <w:t xml:space="preserve"> </w:t>
      </w:r>
      <w:r w:rsidR="00C91E7E" w:rsidRPr="00C91E7E">
        <w:rPr>
          <w:color w:val="000000" w:themeColor="text1"/>
          <w:sz w:val="20"/>
          <w:szCs w:val="20"/>
        </w:rPr>
        <w:t>East</w:t>
      </w:r>
      <w:r w:rsidR="00FF41A0">
        <w:rPr>
          <w:color w:val="000000" w:themeColor="text1"/>
          <w:sz w:val="20"/>
          <w:szCs w:val="20"/>
        </w:rPr>
        <w:t xml:space="preserve"> </w:t>
      </w:r>
      <w:r w:rsidR="00C91E7E" w:rsidRPr="00C91E7E">
        <w:rPr>
          <w:color w:val="000000" w:themeColor="text1"/>
          <w:sz w:val="20"/>
          <w:szCs w:val="20"/>
        </w:rPr>
        <w:t>Jerusalem,</w:t>
      </w:r>
      <w:r w:rsidR="00FF41A0">
        <w:rPr>
          <w:color w:val="000000" w:themeColor="text1"/>
          <w:sz w:val="20"/>
          <w:szCs w:val="20"/>
        </w:rPr>
        <w:t xml:space="preserve"> </w:t>
      </w:r>
      <w:r w:rsidR="00C91E7E" w:rsidRPr="00C91E7E">
        <w:rPr>
          <w:color w:val="000000" w:themeColor="text1"/>
          <w:sz w:val="20"/>
          <w:szCs w:val="20"/>
        </w:rPr>
        <w:t>and</w:t>
      </w:r>
      <w:r w:rsidR="00FF41A0">
        <w:rPr>
          <w:color w:val="000000" w:themeColor="text1"/>
          <w:sz w:val="20"/>
          <w:szCs w:val="20"/>
        </w:rPr>
        <w:t xml:space="preserve"> </w:t>
      </w:r>
      <w:r w:rsidR="00C91E7E" w:rsidRPr="00C91E7E">
        <w:rPr>
          <w:color w:val="000000" w:themeColor="text1"/>
          <w:sz w:val="20"/>
          <w:szCs w:val="20"/>
        </w:rPr>
        <w:t>in</w:t>
      </w:r>
      <w:r w:rsidR="00FF41A0">
        <w:rPr>
          <w:color w:val="000000" w:themeColor="text1"/>
          <w:sz w:val="20"/>
          <w:szCs w:val="20"/>
        </w:rPr>
        <w:t xml:space="preserve"> </w:t>
      </w:r>
      <w:r w:rsidR="00C91E7E" w:rsidRPr="00C91E7E">
        <w:rPr>
          <w:color w:val="000000" w:themeColor="text1"/>
          <w:sz w:val="20"/>
          <w:szCs w:val="20"/>
        </w:rPr>
        <w:t>the</w:t>
      </w:r>
      <w:r w:rsidR="00FF41A0">
        <w:rPr>
          <w:color w:val="000000" w:themeColor="text1"/>
          <w:sz w:val="20"/>
          <w:szCs w:val="20"/>
        </w:rPr>
        <w:t xml:space="preserve"> </w:t>
      </w:r>
      <w:r w:rsidR="00C91E7E" w:rsidRPr="00C91E7E">
        <w:rPr>
          <w:color w:val="000000" w:themeColor="text1"/>
          <w:sz w:val="20"/>
          <w:szCs w:val="20"/>
        </w:rPr>
        <w:t>occupied</w:t>
      </w:r>
      <w:r w:rsidR="00FF41A0">
        <w:rPr>
          <w:color w:val="000000" w:themeColor="text1"/>
          <w:sz w:val="20"/>
          <w:szCs w:val="20"/>
        </w:rPr>
        <w:t xml:space="preserve"> </w:t>
      </w:r>
      <w:r w:rsidR="00C91E7E" w:rsidRPr="00C91E7E">
        <w:rPr>
          <w:color w:val="000000" w:themeColor="text1"/>
          <w:sz w:val="20"/>
          <w:szCs w:val="20"/>
        </w:rPr>
        <w:t>Syrian</w:t>
      </w:r>
      <w:r w:rsidR="00FF41A0">
        <w:rPr>
          <w:color w:val="000000" w:themeColor="text1"/>
          <w:sz w:val="20"/>
          <w:szCs w:val="20"/>
        </w:rPr>
        <w:t xml:space="preserve"> </w:t>
      </w:r>
      <w:r w:rsidR="00C91E7E" w:rsidRPr="00C91E7E">
        <w:rPr>
          <w:color w:val="000000" w:themeColor="text1"/>
          <w:sz w:val="20"/>
          <w:szCs w:val="20"/>
        </w:rPr>
        <w:t>Golan</w:t>
      </w:r>
      <w:r w:rsidR="00FF41A0">
        <w:rPr>
          <w:color w:val="000000" w:themeColor="text1"/>
          <w:sz w:val="20"/>
          <w:szCs w:val="20"/>
        </w:rPr>
        <w:t xml:space="preserve"> </w:t>
      </w:r>
      <w:r w:rsidR="00C91E7E">
        <w:rPr>
          <w:color w:val="000000" w:themeColor="text1"/>
          <w:sz w:val="20"/>
          <w:szCs w:val="20"/>
        </w:rPr>
        <w:t>(A/HRC/40/42).</w:t>
      </w:r>
    </w:p>
    <w:p w14:paraId="509C1DDE" w14:textId="636A81B6" w:rsidR="007A7B2F" w:rsidRDefault="00A74C9E" w:rsidP="007A7B2F">
      <w:pPr>
        <w:pStyle w:val="SingleTxtG"/>
        <w:rPr>
          <w:color w:val="000000" w:themeColor="text1"/>
          <w:sz w:val="20"/>
          <w:szCs w:val="20"/>
        </w:rPr>
      </w:pPr>
      <w:r>
        <w:rPr>
          <w:color w:val="000000" w:themeColor="text1"/>
          <w:sz w:val="20"/>
          <w:szCs w:val="20"/>
        </w:rPr>
        <w:t>929</w:t>
      </w:r>
      <w:r w:rsidR="007A7B2F" w:rsidRPr="0037538E">
        <w:rPr>
          <w:color w:val="000000" w:themeColor="text1"/>
          <w:sz w:val="20"/>
          <w:szCs w:val="20"/>
        </w:rPr>
        <w:t>.</w:t>
      </w:r>
      <w:r w:rsidR="007A7B2F" w:rsidRPr="0037538E">
        <w:rPr>
          <w:color w:val="000000" w:themeColor="text1"/>
          <w:sz w:val="20"/>
          <w:szCs w:val="20"/>
        </w:rPr>
        <w:tab/>
        <w:t>A</w:t>
      </w:r>
      <w:r w:rsidR="007A7B2F">
        <w:rPr>
          <w:color w:val="000000" w:themeColor="text1"/>
          <w:sz w:val="20"/>
          <w:szCs w:val="20"/>
        </w:rPr>
        <w:t>lso</w:t>
      </w:r>
      <w:r w:rsidR="00FF41A0">
        <w:rPr>
          <w:color w:val="000000" w:themeColor="text1"/>
          <w:sz w:val="20"/>
          <w:szCs w:val="20"/>
        </w:rPr>
        <w:t xml:space="preserve"> </w:t>
      </w:r>
      <w:r w:rsidR="007A7B2F">
        <w:rPr>
          <w:color w:val="000000" w:themeColor="text1"/>
          <w:sz w:val="20"/>
          <w:szCs w:val="20"/>
        </w:rPr>
        <w:t>a</w:t>
      </w:r>
      <w:r w:rsidR="007A7B2F" w:rsidRPr="0037538E">
        <w:rPr>
          <w:color w:val="000000" w:themeColor="text1"/>
          <w:sz w:val="20"/>
          <w:szCs w:val="20"/>
        </w:rPr>
        <w:t>t</w:t>
      </w:r>
      <w:r w:rsidR="00FF41A0">
        <w:rPr>
          <w:color w:val="000000" w:themeColor="text1"/>
          <w:sz w:val="20"/>
          <w:szCs w:val="20"/>
        </w:rPr>
        <w:t xml:space="preserve"> </w:t>
      </w:r>
      <w:r w:rsidR="007A7B2F" w:rsidRPr="0037538E">
        <w:rPr>
          <w:color w:val="000000" w:themeColor="text1"/>
          <w:sz w:val="20"/>
          <w:szCs w:val="20"/>
        </w:rPr>
        <w:t>the</w:t>
      </w:r>
      <w:r w:rsidR="00FF41A0">
        <w:rPr>
          <w:color w:val="000000" w:themeColor="text1"/>
          <w:sz w:val="20"/>
          <w:szCs w:val="20"/>
        </w:rPr>
        <w:t xml:space="preserve"> </w:t>
      </w:r>
      <w:r w:rsidR="007A7B2F" w:rsidRPr="0037538E">
        <w:rPr>
          <w:color w:val="000000" w:themeColor="text1"/>
          <w:sz w:val="20"/>
          <w:szCs w:val="20"/>
        </w:rPr>
        <w:t>same</w:t>
      </w:r>
      <w:r w:rsidR="00FF41A0">
        <w:rPr>
          <w:color w:val="000000" w:themeColor="text1"/>
          <w:sz w:val="20"/>
          <w:szCs w:val="20"/>
        </w:rPr>
        <w:t xml:space="preserve"> </w:t>
      </w:r>
      <w:r w:rsidR="007A7B2F" w:rsidRPr="0037538E">
        <w:rPr>
          <w:color w:val="000000" w:themeColor="text1"/>
          <w:sz w:val="20"/>
          <w:szCs w:val="20"/>
        </w:rPr>
        <w:t>meeting,</w:t>
      </w:r>
      <w:r w:rsidR="00FF41A0">
        <w:rPr>
          <w:color w:val="000000" w:themeColor="text1"/>
          <w:sz w:val="20"/>
          <w:szCs w:val="20"/>
        </w:rPr>
        <w:t xml:space="preserve"> </w:t>
      </w:r>
      <w:r w:rsidR="007A7B2F">
        <w:rPr>
          <w:color w:val="000000" w:themeColor="text1"/>
          <w:sz w:val="20"/>
          <w:szCs w:val="20"/>
        </w:rPr>
        <w:t>p</w:t>
      </w:r>
      <w:r w:rsidR="007A7B2F" w:rsidRPr="00C91E7E">
        <w:rPr>
          <w:color w:val="000000" w:themeColor="text1"/>
          <w:sz w:val="20"/>
          <w:szCs w:val="20"/>
        </w:rPr>
        <w:t>ursuant</w:t>
      </w:r>
      <w:r w:rsidR="00FF41A0">
        <w:rPr>
          <w:color w:val="000000" w:themeColor="text1"/>
          <w:sz w:val="20"/>
          <w:szCs w:val="20"/>
        </w:rPr>
        <w:t xml:space="preserve"> </w:t>
      </w:r>
      <w:r w:rsidR="007A7B2F" w:rsidRPr="00C91E7E">
        <w:rPr>
          <w:color w:val="000000" w:themeColor="text1"/>
          <w:sz w:val="20"/>
          <w:szCs w:val="20"/>
        </w:rPr>
        <w:t>to</w:t>
      </w:r>
      <w:r w:rsidR="00FF41A0">
        <w:rPr>
          <w:color w:val="000000" w:themeColor="text1"/>
          <w:sz w:val="20"/>
          <w:szCs w:val="20"/>
        </w:rPr>
        <w:t xml:space="preserve"> </w:t>
      </w:r>
      <w:r w:rsidR="007A7B2F" w:rsidRPr="0037538E">
        <w:rPr>
          <w:color w:val="000000" w:themeColor="text1"/>
          <w:sz w:val="20"/>
          <w:szCs w:val="20"/>
        </w:rPr>
        <w:t>the</w:t>
      </w:r>
      <w:r w:rsidR="00FF41A0">
        <w:rPr>
          <w:color w:val="000000" w:themeColor="text1"/>
          <w:sz w:val="20"/>
          <w:szCs w:val="20"/>
        </w:rPr>
        <w:t xml:space="preserve"> </w:t>
      </w:r>
      <w:r w:rsidR="007A7B2F" w:rsidRPr="0037538E">
        <w:rPr>
          <w:color w:val="000000" w:themeColor="text1"/>
          <w:sz w:val="20"/>
          <w:szCs w:val="20"/>
        </w:rPr>
        <w:t>Human</w:t>
      </w:r>
      <w:r w:rsidR="00FF41A0">
        <w:rPr>
          <w:color w:val="000000" w:themeColor="text1"/>
          <w:sz w:val="20"/>
          <w:szCs w:val="20"/>
        </w:rPr>
        <w:t xml:space="preserve"> </w:t>
      </w:r>
      <w:r w:rsidR="007A7B2F" w:rsidRPr="0037538E">
        <w:rPr>
          <w:color w:val="000000" w:themeColor="text1"/>
          <w:sz w:val="20"/>
          <w:szCs w:val="20"/>
        </w:rPr>
        <w:t>Rights</w:t>
      </w:r>
      <w:r w:rsidR="00FF41A0">
        <w:rPr>
          <w:color w:val="000000" w:themeColor="text1"/>
          <w:sz w:val="20"/>
          <w:szCs w:val="20"/>
        </w:rPr>
        <w:t xml:space="preserve"> </w:t>
      </w:r>
      <w:r w:rsidR="007A7B2F" w:rsidRPr="0037538E">
        <w:rPr>
          <w:color w:val="000000" w:themeColor="text1"/>
          <w:sz w:val="20"/>
          <w:szCs w:val="20"/>
        </w:rPr>
        <w:t>Council</w:t>
      </w:r>
      <w:r w:rsidR="00FF41A0">
        <w:rPr>
          <w:color w:val="000000" w:themeColor="text1"/>
          <w:sz w:val="20"/>
          <w:szCs w:val="20"/>
        </w:rPr>
        <w:t xml:space="preserve"> </w:t>
      </w:r>
      <w:r w:rsidR="007A7B2F" w:rsidRPr="00C91E7E">
        <w:rPr>
          <w:color w:val="000000" w:themeColor="text1"/>
          <w:sz w:val="20"/>
          <w:szCs w:val="20"/>
        </w:rPr>
        <w:t>resolution</w:t>
      </w:r>
      <w:r w:rsidR="00FF41A0">
        <w:rPr>
          <w:color w:val="000000" w:themeColor="text1"/>
          <w:sz w:val="20"/>
          <w:szCs w:val="20"/>
        </w:rPr>
        <w:t xml:space="preserve"> </w:t>
      </w:r>
      <w:r w:rsidR="007A7B2F" w:rsidRPr="00C91E7E">
        <w:rPr>
          <w:color w:val="000000" w:themeColor="text1"/>
          <w:sz w:val="20"/>
          <w:szCs w:val="20"/>
        </w:rPr>
        <w:t>37/3</w:t>
      </w:r>
      <w:r w:rsidR="007A7B2F">
        <w:rPr>
          <w:color w:val="000000" w:themeColor="text1"/>
          <w:sz w:val="20"/>
          <w:szCs w:val="20"/>
        </w:rPr>
        <w:t>7</w:t>
      </w:r>
      <w:r w:rsidR="007A7B2F" w:rsidRPr="00C91E7E">
        <w:rPr>
          <w:color w:val="000000" w:themeColor="text1"/>
          <w:sz w:val="20"/>
          <w:szCs w:val="20"/>
        </w:rPr>
        <w:t>,</w:t>
      </w:r>
      <w:r w:rsidR="00FF41A0">
        <w:rPr>
          <w:color w:val="000000" w:themeColor="text1"/>
          <w:sz w:val="20"/>
          <w:szCs w:val="20"/>
        </w:rPr>
        <w:t xml:space="preserve"> </w:t>
      </w:r>
      <w:r w:rsidR="007A7B2F">
        <w:rPr>
          <w:color w:val="000000" w:themeColor="text1"/>
          <w:sz w:val="20"/>
          <w:szCs w:val="20"/>
        </w:rPr>
        <w:t>the</w:t>
      </w:r>
      <w:r w:rsidR="00FF41A0">
        <w:rPr>
          <w:color w:val="000000" w:themeColor="text1"/>
          <w:sz w:val="20"/>
          <w:szCs w:val="20"/>
        </w:rPr>
        <w:t xml:space="preserve"> </w:t>
      </w:r>
      <w:r w:rsidR="007A7B2F">
        <w:rPr>
          <w:color w:val="000000" w:themeColor="text1"/>
          <w:sz w:val="20"/>
          <w:szCs w:val="20"/>
        </w:rPr>
        <w:t>United</w:t>
      </w:r>
      <w:r w:rsidR="00FF41A0">
        <w:rPr>
          <w:color w:val="000000" w:themeColor="text1"/>
          <w:sz w:val="20"/>
          <w:szCs w:val="20"/>
        </w:rPr>
        <w:t xml:space="preserve"> </w:t>
      </w:r>
      <w:r w:rsidR="007A7B2F">
        <w:rPr>
          <w:color w:val="000000" w:themeColor="text1"/>
          <w:sz w:val="20"/>
          <w:szCs w:val="20"/>
        </w:rPr>
        <w:t>Nations</w:t>
      </w:r>
      <w:r w:rsidR="00FF41A0">
        <w:rPr>
          <w:color w:val="000000" w:themeColor="text1"/>
          <w:sz w:val="20"/>
          <w:szCs w:val="20"/>
        </w:rPr>
        <w:t xml:space="preserve"> </w:t>
      </w:r>
      <w:r w:rsidR="007A7B2F">
        <w:rPr>
          <w:color w:val="000000" w:themeColor="text1"/>
          <w:sz w:val="20"/>
          <w:szCs w:val="20"/>
        </w:rPr>
        <w:t>Assistant</w:t>
      </w:r>
      <w:r w:rsidR="00FF41A0">
        <w:rPr>
          <w:color w:val="000000" w:themeColor="text1"/>
          <w:sz w:val="20"/>
          <w:szCs w:val="20"/>
        </w:rPr>
        <w:t xml:space="preserve"> </w:t>
      </w:r>
      <w:r w:rsidR="007A7B2F">
        <w:rPr>
          <w:color w:val="000000" w:themeColor="text1"/>
          <w:sz w:val="20"/>
          <w:szCs w:val="20"/>
        </w:rPr>
        <w:t>Secretary-General</w:t>
      </w:r>
      <w:r w:rsidR="00FF41A0">
        <w:rPr>
          <w:color w:val="000000" w:themeColor="text1"/>
          <w:sz w:val="20"/>
          <w:szCs w:val="20"/>
        </w:rPr>
        <w:t xml:space="preserve"> </w:t>
      </w:r>
      <w:r w:rsidR="007A7B2F">
        <w:rPr>
          <w:color w:val="000000" w:themeColor="text1"/>
          <w:sz w:val="20"/>
          <w:szCs w:val="20"/>
        </w:rPr>
        <w:t>for</w:t>
      </w:r>
      <w:r w:rsidR="00FF41A0">
        <w:rPr>
          <w:color w:val="000000" w:themeColor="text1"/>
          <w:sz w:val="20"/>
          <w:szCs w:val="20"/>
        </w:rPr>
        <w:t xml:space="preserve"> </w:t>
      </w:r>
      <w:r w:rsidR="007A7B2F">
        <w:rPr>
          <w:color w:val="000000" w:themeColor="text1"/>
          <w:sz w:val="20"/>
          <w:szCs w:val="20"/>
        </w:rPr>
        <w:t>Human</w:t>
      </w:r>
      <w:r w:rsidR="00FF41A0">
        <w:rPr>
          <w:color w:val="000000" w:themeColor="text1"/>
          <w:sz w:val="20"/>
          <w:szCs w:val="20"/>
        </w:rPr>
        <w:t xml:space="preserve"> </w:t>
      </w:r>
      <w:r w:rsidR="007A7B2F">
        <w:rPr>
          <w:color w:val="000000" w:themeColor="text1"/>
          <w:sz w:val="20"/>
          <w:szCs w:val="20"/>
        </w:rPr>
        <w:t>Rights</w:t>
      </w:r>
      <w:r w:rsidR="00FF41A0">
        <w:rPr>
          <w:color w:val="000000" w:themeColor="text1"/>
          <w:sz w:val="20"/>
          <w:szCs w:val="20"/>
        </w:rPr>
        <w:t xml:space="preserve"> </w:t>
      </w:r>
      <w:r w:rsidR="007A7B2F">
        <w:rPr>
          <w:color w:val="000000" w:themeColor="text1"/>
          <w:sz w:val="20"/>
          <w:szCs w:val="20"/>
        </w:rPr>
        <w:t>presented</w:t>
      </w:r>
      <w:r w:rsidR="00FF41A0">
        <w:rPr>
          <w:color w:val="000000" w:themeColor="text1"/>
          <w:sz w:val="20"/>
          <w:szCs w:val="20"/>
        </w:rPr>
        <w:t xml:space="preserve"> </w:t>
      </w:r>
      <w:r w:rsidR="007A7B2F" w:rsidRPr="00C91E7E">
        <w:rPr>
          <w:color w:val="000000" w:themeColor="text1"/>
          <w:sz w:val="20"/>
          <w:szCs w:val="20"/>
        </w:rPr>
        <w:t>the</w:t>
      </w:r>
      <w:r w:rsidR="00FF41A0">
        <w:rPr>
          <w:color w:val="000000" w:themeColor="text1"/>
          <w:sz w:val="20"/>
          <w:szCs w:val="20"/>
        </w:rPr>
        <w:t xml:space="preserve"> </w:t>
      </w:r>
      <w:r w:rsidR="007A7B2F" w:rsidRPr="00C91E7E">
        <w:rPr>
          <w:color w:val="000000" w:themeColor="text1"/>
          <w:sz w:val="20"/>
          <w:szCs w:val="20"/>
        </w:rPr>
        <w:t>report</w:t>
      </w:r>
      <w:r w:rsidR="00FF41A0">
        <w:rPr>
          <w:color w:val="000000" w:themeColor="text1"/>
          <w:sz w:val="20"/>
          <w:szCs w:val="20"/>
        </w:rPr>
        <w:t xml:space="preserve"> </w:t>
      </w:r>
      <w:r w:rsidR="007A7B2F" w:rsidRPr="00C91E7E">
        <w:rPr>
          <w:color w:val="000000" w:themeColor="text1"/>
          <w:sz w:val="20"/>
          <w:szCs w:val="20"/>
        </w:rPr>
        <w:t>of</w:t>
      </w:r>
      <w:r w:rsidR="00FF41A0">
        <w:rPr>
          <w:color w:val="000000" w:themeColor="text1"/>
          <w:sz w:val="20"/>
          <w:szCs w:val="20"/>
        </w:rPr>
        <w:t xml:space="preserve"> </w:t>
      </w:r>
      <w:r w:rsidR="007A7B2F" w:rsidRPr="00C91E7E">
        <w:rPr>
          <w:color w:val="000000" w:themeColor="text1"/>
          <w:sz w:val="20"/>
          <w:szCs w:val="20"/>
        </w:rPr>
        <w:t>the</w:t>
      </w:r>
      <w:r w:rsidR="00FF41A0">
        <w:rPr>
          <w:color w:val="000000" w:themeColor="text1"/>
          <w:sz w:val="20"/>
          <w:szCs w:val="20"/>
        </w:rPr>
        <w:t xml:space="preserve"> </w:t>
      </w:r>
      <w:r w:rsidR="007A7B2F" w:rsidRPr="00C91E7E">
        <w:rPr>
          <w:color w:val="000000" w:themeColor="text1"/>
          <w:sz w:val="20"/>
          <w:szCs w:val="20"/>
        </w:rPr>
        <w:t>United</w:t>
      </w:r>
      <w:r w:rsidR="00FF41A0">
        <w:rPr>
          <w:color w:val="000000" w:themeColor="text1"/>
          <w:sz w:val="20"/>
          <w:szCs w:val="20"/>
        </w:rPr>
        <w:t xml:space="preserve"> </w:t>
      </w:r>
      <w:r w:rsidR="007A7B2F" w:rsidRPr="00C91E7E">
        <w:rPr>
          <w:color w:val="000000" w:themeColor="text1"/>
          <w:sz w:val="20"/>
          <w:szCs w:val="20"/>
        </w:rPr>
        <w:t>Nations</w:t>
      </w:r>
      <w:r w:rsidR="00FF41A0">
        <w:rPr>
          <w:color w:val="000000" w:themeColor="text1"/>
          <w:sz w:val="20"/>
          <w:szCs w:val="20"/>
        </w:rPr>
        <w:t xml:space="preserve"> </w:t>
      </w:r>
      <w:r w:rsidR="007A7B2F" w:rsidRPr="00C91E7E">
        <w:rPr>
          <w:color w:val="000000" w:themeColor="text1"/>
          <w:sz w:val="20"/>
          <w:szCs w:val="20"/>
        </w:rPr>
        <w:t>High</w:t>
      </w:r>
      <w:r w:rsidR="00FF41A0">
        <w:rPr>
          <w:color w:val="000000" w:themeColor="text1"/>
          <w:sz w:val="20"/>
          <w:szCs w:val="20"/>
        </w:rPr>
        <w:t xml:space="preserve"> </w:t>
      </w:r>
      <w:r w:rsidR="007A7B2F" w:rsidRPr="00C91E7E">
        <w:rPr>
          <w:color w:val="000000" w:themeColor="text1"/>
          <w:sz w:val="20"/>
          <w:szCs w:val="20"/>
        </w:rPr>
        <w:t>Commissioner</w:t>
      </w:r>
      <w:r w:rsidR="00FF41A0">
        <w:rPr>
          <w:color w:val="000000" w:themeColor="text1"/>
          <w:sz w:val="20"/>
          <w:szCs w:val="20"/>
        </w:rPr>
        <w:t xml:space="preserve"> </w:t>
      </w:r>
      <w:r w:rsidR="007A7B2F" w:rsidRPr="00C91E7E">
        <w:rPr>
          <w:color w:val="000000" w:themeColor="text1"/>
          <w:sz w:val="20"/>
          <w:szCs w:val="20"/>
        </w:rPr>
        <w:t>for</w:t>
      </w:r>
      <w:r w:rsidR="00FF41A0">
        <w:rPr>
          <w:color w:val="000000" w:themeColor="text1"/>
          <w:sz w:val="20"/>
          <w:szCs w:val="20"/>
        </w:rPr>
        <w:t xml:space="preserve"> </w:t>
      </w:r>
      <w:r w:rsidR="007A7B2F" w:rsidRPr="00C91E7E">
        <w:rPr>
          <w:color w:val="000000" w:themeColor="text1"/>
          <w:sz w:val="20"/>
          <w:szCs w:val="20"/>
        </w:rPr>
        <w:t>Human</w:t>
      </w:r>
      <w:r w:rsidR="00FF41A0">
        <w:rPr>
          <w:color w:val="000000" w:themeColor="text1"/>
          <w:sz w:val="20"/>
          <w:szCs w:val="20"/>
        </w:rPr>
        <w:t xml:space="preserve"> </w:t>
      </w:r>
      <w:r w:rsidR="007A7B2F" w:rsidRPr="00C91E7E">
        <w:rPr>
          <w:color w:val="000000" w:themeColor="text1"/>
          <w:sz w:val="20"/>
          <w:szCs w:val="20"/>
        </w:rPr>
        <w:t>Rights</w:t>
      </w:r>
      <w:r w:rsidR="00FF41A0">
        <w:rPr>
          <w:color w:val="000000" w:themeColor="text1"/>
          <w:sz w:val="20"/>
          <w:szCs w:val="20"/>
        </w:rPr>
        <w:t xml:space="preserve"> </w:t>
      </w:r>
      <w:r w:rsidR="007A7B2F">
        <w:rPr>
          <w:color w:val="000000" w:themeColor="text1"/>
          <w:sz w:val="20"/>
          <w:szCs w:val="20"/>
        </w:rPr>
        <w:t>on</w:t>
      </w:r>
      <w:r w:rsidR="00FF41A0">
        <w:rPr>
          <w:color w:val="000000" w:themeColor="text1"/>
          <w:sz w:val="20"/>
          <w:szCs w:val="20"/>
        </w:rPr>
        <w:t xml:space="preserve"> </w:t>
      </w:r>
      <w:r w:rsidR="007A7B2F">
        <w:rPr>
          <w:color w:val="000000" w:themeColor="text1"/>
          <w:sz w:val="20"/>
          <w:szCs w:val="20"/>
        </w:rPr>
        <w:t>e</w:t>
      </w:r>
      <w:r w:rsidR="007A7B2F" w:rsidRPr="007A7B2F">
        <w:rPr>
          <w:color w:val="000000" w:themeColor="text1"/>
          <w:sz w:val="20"/>
          <w:szCs w:val="20"/>
        </w:rPr>
        <w:t>nsuring</w:t>
      </w:r>
      <w:r w:rsidR="00FF41A0">
        <w:rPr>
          <w:color w:val="000000" w:themeColor="text1"/>
          <w:sz w:val="20"/>
          <w:szCs w:val="20"/>
        </w:rPr>
        <w:t xml:space="preserve"> </w:t>
      </w:r>
      <w:r w:rsidR="007A7B2F" w:rsidRPr="007A7B2F">
        <w:rPr>
          <w:color w:val="000000" w:themeColor="text1"/>
          <w:sz w:val="20"/>
          <w:szCs w:val="20"/>
        </w:rPr>
        <w:t>accountability</w:t>
      </w:r>
      <w:r w:rsidR="00FF41A0">
        <w:rPr>
          <w:color w:val="000000" w:themeColor="text1"/>
          <w:sz w:val="20"/>
          <w:szCs w:val="20"/>
        </w:rPr>
        <w:t xml:space="preserve"> </w:t>
      </w:r>
      <w:r w:rsidR="007A7B2F" w:rsidRPr="007A7B2F">
        <w:rPr>
          <w:color w:val="000000" w:themeColor="text1"/>
          <w:sz w:val="20"/>
          <w:szCs w:val="20"/>
        </w:rPr>
        <w:t>and</w:t>
      </w:r>
      <w:r w:rsidR="00FF41A0">
        <w:rPr>
          <w:color w:val="000000" w:themeColor="text1"/>
          <w:sz w:val="20"/>
          <w:szCs w:val="20"/>
        </w:rPr>
        <w:t xml:space="preserve"> </w:t>
      </w:r>
      <w:r w:rsidR="007A7B2F" w:rsidRPr="007A7B2F">
        <w:rPr>
          <w:color w:val="000000" w:themeColor="text1"/>
          <w:sz w:val="20"/>
          <w:szCs w:val="20"/>
        </w:rPr>
        <w:t>justice</w:t>
      </w:r>
      <w:r w:rsidR="00FF41A0">
        <w:rPr>
          <w:color w:val="000000" w:themeColor="text1"/>
          <w:sz w:val="20"/>
          <w:szCs w:val="20"/>
        </w:rPr>
        <w:t xml:space="preserve"> </w:t>
      </w:r>
      <w:r w:rsidR="007A7B2F" w:rsidRPr="007A7B2F">
        <w:rPr>
          <w:color w:val="000000" w:themeColor="text1"/>
          <w:sz w:val="20"/>
          <w:szCs w:val="20"/>
        </w:rPr>
        <w:t>for</w:t>
      </w:r>
      <w:r w:rsidR="00FF41A0">
        <w:rPr>
          <w:color w:val="000000" w:themeColor="text1"/>
          <w:sz w:val="20"/>
          <w:szCs w:val="20"/>
        </w:rPr>
        <w:t xml:space="preserve"> </w:t>
      </w:r>
      <w:r w:rsidR="007A7B2F" w:rsidRPr="007A7B2F">
        <w:rPr>
          <w:color w:val="000000" w:themeColor="text1"/>
          <w:sz w:val="20"/>
          <w:szCs w:val="20"/>
        </w:rPr>
        <w:t>all</w:t>
      </w:r>
      <w:r w:rsidR="00FF41A0">
        <w:rPr>
          <w:color w:val="000000" w:themeColor="text1"/>
          <w:sz w:val="20"/>
          <w:szCs w:val="20"/>
        </w:rPr>
        <w:t xml:space="preserve"> </w:t>
      </w:r>
      <w:r w:rsidR="007A7B2F" w:rsidRPr="007A7B2F">
        <w:rPr>
          <w:color w:val="000000" w:themeColor="text1"/>
          <w:sz w:val="20"/>
          <w:szCs w:val="20"/>
        </w:rPr>
        <w:t>violations</w:t>
      </w:r>
      <w:r w:rsidR="00FF41A0">
        <w:rPr>
          <w:color w:val="000000" w:themeColor="text1"/>
          <w:sz w:val="20"/>
          <w:szCs w:val="20"/>
        </w:rPr>
        <w:t xml:space="preserve"> </w:t>
      </w:r>
      <w:r w:rsidR="007A7B2F" w:rsidRPr="007A7B2F">
        <w:rPr>
          <w:color w:val="000000" w:themeColor="text1"/>
          <w:sz w:val="20"/>
          <w:szCs w:val="20"/>
        </w:rPr>
        <w:t>of</w:t>
      </w:r>
      <w:r w:rsidR="00FF41A0">
        <w:rPr>
          <w:color w:val="000000" w:themeColor="text1"/>
          <w:sz w:val="20"/>
          <w:szCs w:val="20"/>
        </w:rPr>
        <w:t xml:space="preserve"> </w:t>
      </w:r>
      <w:r w:rsidR="007A7B2F" w:rsidRPr="007A7B2F">
        <w:rPr>
          <w:color w:val="000000" w:themeColor="text1"/>
          <w:sz w:val="20"/>
          <w:szCs w:val="20"/>
        </w:rPr>
        <w:t>international</w:t>
      </w:r>
      <w:r w:rsidR="00FF41A0">
        <w:rPr>
          <w:color w:val="000000" w:themeColor="text1"/>
          <w:sz w:val="20"/>
          <w:szCs w:val="20"/>
        </w:rPr>
        <w:t xml:space="preserve"> </w:t>
      </w:r>
      <w:r w:rsidR="007A7B2F" w:rsidRPr="007A7B2F">
        <w:rPr>
          <w:color w:val="000000" w:themeColor="text1"/>
          <w:sz w:val="20"/>
          <w:szCs w:val="20"/>
        </w:rPr>
        <w:t>law</w:t>
      </w:r>
      <w:r w:rsidR="00FF41A0">
        <w:rPr>
          <w:color w:val="000000" w:themeColor="text1"/>
          <w:sz w:val="20"/>
          <w:szCs w:val="20"/>
        </w:rPr>
        <w:t xml:space="preserve"> </w:t>
      </w:r>
      <w:r w:rsidR="007A7B2F" w:rsidRPr="007A7B2F">
        <w:rPr>
          <w:color w:val="000000" w:themeColor="text1"/>
          <w:sz w:val="20"/>
          <w:szCs w:val="20"/>
        </w:rPr>
        <w:t>in</w:t>
      </w:r>
      <w:r w:rsidR="00FF41A0">
        <w:rPr>
          <w:color w:val="000000" w:themeColor="text1"/>
          <w:sz w:val="20"/>
          <w:szCs w:val="20"/>
        </w:rPr>
        <w:t xml:space="preserve"> </w:t>
      </w:r>
      <w:r w:rsidR="007A7B2F" w:rsidRPr="007A7B2F">
        <w:rPr>
          <w:color w:val="000000" w:themeColor="text1"/>
          <w:sz w:val="20"/>
          <w:szCs w:val="20"/>
        </w:rPr>
        <w:t>the</w:t>
      </w:r>
      <w:r w:rsidR="00FF41A0">
        <w:rPr>
          <w:color w:val="000000" w:themeColor="text1"/>
          <w:sz w:val="20"/>
          <w:szCs w:val="20"/>
        </w:rPr>
        <w:t xml:space="preserve"> </w:t>
      </w:r>
      <w:r w:rsidR="007A7B2F" w:rsidRPr="007A7B2F">
        <w:rPr>
          <w:color w:val="000000" w:themeColor="text1"/>
          <w:sz w:val="20"/>
          <w:szCs w:val="20"/>
        </w:rPr>
        <w:t>Occupied</w:t>
      </w:r>
      <w:r w:rsidR="00FF41A0">
        <w:rPr>
          <w:color w:val="000000" w:themeColor="text1"/>
          <w:sz w:val="20"/>
          <w:szCs w:val="20"/>
        </w:rPr>
        <w:t xml:space="preserve"> </w:t>
      </w:r>
      <w:r w:rsidR="007A7B2F" w:rsidRPr="007A7B2F">
        <w:rPr>
          <w:color w:val="000000" w:themeColor="text1"/>
          <w:sz w:val="20"/>
          <w:szCs w:val="20"/>
        </w:rPr>
        <w:t>Palestinian</w:t>
      </w:r>
      <w:r w:rsidR="00FF41A0">
        <w:rPr>
          <w:color w:val="000000" w:themeColor="text1"/>
          <w:sz w:val="20"/>
          <w:szCs w:val="20"/>
        </w:rPr>
        <w:t xml:space="preserve"> </w:t>
      </w:r>
      <w:r w:rsidR="007A7B2F" w:rsidRPr="007A7B2F">
        <w:rPr>
          <w:color w:val="000000" w:themeColor="text1"/>
          <w:sz w:val="20"/>
          <w:szCs w:val="20"/>
        </w:rPr>
        <w:t>Territory,</w:t>
      </w:r>
      <w:r w:rsidR="00FF41A0">
        <w:rPr>
          <w:color w:val="000000" w:themeColor="text1"/>
          <w:sz w:val="20"/>
          <w:szCs w:val="20"/>
        </w:rPr>
        <w:t xml:space="preserve"> </w:t>
      </w:r>
      <w:r w:rsidR="007A7B2F" w:rsidRPr="007A7B2F">
        <w:rPr>
          <w:color w:val="000000" w:themeColor="text1"/>
          <w:sz w:val="20"/>
          <w:szCs w:val="20"/>
        </w:rPr>
        <w:t>including</w:t>
      </w:r>
      <w:r w:rsidR="00FF41A0">
        <w:rPr>
          <w:color w:val="000000" w:themeColor="text1"/>
          <w:sz w:val="20"/>
          <w:szCs w:val="20"/>
        </w:rPr>
        <w:t xml:space="preserve"> </w:t>
      </w:r>
      <w:r w:rsidR="007A7B2F" w:rsidRPr="007A7B2F">
        <w:rPr>
          <w:color w:val="000000" w:themeColor="text1"/>
          <w:sz w:val="20"/>
          <w:szCs w:val="20"/>
        </w:rPr>
        <w:t>East</w:t>
      </w:r>
      <w:r w:rsidR="00FF41A0">
        <w:rPr>
          <w:color w:val="000000" w:themeColor="text1"/>
          <w:sz w:val="20"/>
          <w:szCs w:val="20"/>
        </w:rPr>
        <w:t xml:space="preserve"> </w:t>
      </w:r>
      <w:r w:rsidR="007A7B2F" w:rsidRPr="007A7B2F">
        <w:rPr>
          <w:color w:val="000000" w:themeColor="text1"/>
          <w:sz w:val="20"/>
          <w:szCs w:val="20"/>
        </w:rPr>
        <w:t>Jerusalem</w:t>
      </w:r>
      <w:r w:rsidR="00FF41A0">
        <w:rPr>
          <w:color w:val="000000" w:themeColor="text1"/>
          <w:sz w:val="20"/>
          <w:szCs w:val="20"/>
        </w:rPr>
        <w:t xml:space="preserve"> </w:t>
      </w:r>
      <w:r w:rsidR="007A7B2F">
        <w:rPr>
          <w:color w:val="000000" w:themeColor="text1"/>
          <w:sz w:val="20"/>
          <w:szCs w:val="20"/>
        </w:rPr>
        <w:t>(A/HRC/40/43).</w:t>
      </w:r>
    </w:p>
    <w:p w14:paraId="17CC79A0" w14:textId="31C698C6" w:rsidR="00BB5D12" w:rsidRPr="00BB5D12" w:rsidRDefault="00A74C9E" w:rsidP="007A7B2F">
      <w:pPr>
        <w:pStyle w:val="SingleTxtG"/>
        <w:rPr>
          <w:color w:val="000000" w:themeColor="text1"/>
          <w:sz w:val="20"/>
          <w:szCs w:val="20"/>
        </w:rPr>
      </w:pPr>
      <w:r>
        <w:rPr>
          <w:color w:val="000000" w:themeColor="text1"/>
          <w:sz w:val="20"/>
          <w:szCs w:val="20"/>
        </w:rPr>
        <w:t>930</w:t>
      </w:r>
      <w:r w:rsidR="00E92018" w:rsidRPr="0037538E">
        <w:rPr>
          <w:color w:val="000000" w:themeColor="text1"/>
          <w:sz w:val="20"/>
          <w:szCs w:val="20"/>
        </w:rPr>
        <w:t>.</w:t>
      </w:r>
      <w:r w:rsidR="00E92018" w:rsidRPr="0037538E">
        <w:rPr>
          <w:color w:val="000000" w:themeColor="text1"/>
          <w:sz w:val="20"/>
          <w:szCs w:val="20"/>
        </w:rPr>
        <w:tab/>
        <w:t>At</w:t>
      </w:r>
      <w:r w:rsidR="00FF41A0">
        <w:rPr>
          <w:color w:val="000000" w:themeColor="text1"/>
          <w:sz w:val="20"/>
          <w:szCs w:val="20"/>
        </w:rPr>
        <w:t xml:space="preserve"> </w:t>
      </w:r>
      <w:r w:rsidR="00E92018" w:rsidRPr="0037538E">
        <w:rPr>
          <w:color w:val="000000" w:themeColor="text1"/>
          <w:sz w:val="20"/>
          <w:szCs w:val="20"/>
        </w:rPr>
        <w:t>the</w:t>
      </w:r>
      <w:r w:rsidR="00FF41A0">
        <w:rPr>
          <w:color w:val="000000" w:themeColor="text1"/>
          <w:sz w:val="20"/>
          <w:szCs w:val="20"/>
        </w:rPr>
        <w:t xml:space="preserve"> </w:t>
      </w:r>
      <w:r w:rsidR="00E92018" w:rsidRPr="0037538E">
        <w:rPr>
          <w:color w:val="000000" w:themeColor="text1"/>
          <w:sz w:val="20"/>
          <w:szCs w:val="20"/>
        </w:rPr>
        <w:t>same</w:t>
      </w:r>
      <w:r w:rsidR="00FF41A0">
        <w:rPr>
          <w:color w:val="000000" w:themeColor="text1"/>
          <w:sz w:val="20"/>
          <w:szCs w:val="20"/>
        </w:rPr>
        <w:t xml:space="preserve"> </w:t>
      </w:r>
      <w:r w:rsidR="00E92018" w:rsidRPr="0037538E">
        <w:rPr>
          <w:color w:val="000000" w:themeColor="text1"/>
          <w:sz w:val="20"/>
          <w:szCs w:val="20"/>
        </w:rPr>
        <w:t>meeting,</w:t>
      </w:r>
      <w:r w:rsidR="00FF41A0">
        <w:rPr>
          <w:color w:val="000000" w:themeColor="text1"/>
          <w:sz w:val="20"/>
          <w:szCs w:val="20"/>
        </w:rPr>
        <w:t xml:space="preserve"> </w:t>
      </w:r>
      <w:r w:rsidR="007A7B2F">
        <w:rPr>
          <w:color w:val="000000" w:themeColor="text1"/>
          <w:sz w:val="20"/>
          <w:szCs w:val="20"/>
        </w:rPr>
        <w:t>p</w:t>
      </w:r>
      <w:r w:rsidR="007A7B2F" w:rsidRPr="00C91E7E">
        <w:rPr>
          <w:color w:val="000000" w:themeColor="text1"/>
          <w:sz w:val="20"/>
          <w:szCs w:val="20"/>
        </w:rPr>
        <w:t>ursuant</w:t>
      </w:r>
      <w:r w:rsidR="00FF41A0">
        <w:rPr>
          <w:color w:val="000000" w:themeColor="text1"/>
          <w:sz w:val="20"/>
          <w:szCs w:val="20"/>
        </w:rPr>
        <w:t xml:space="preserve"> </w:t>
      </w:r>
      <w:r w:rsidR="007A7B2F" w:rsidRPr="00C91E7E">
        <w:rPr>
          <w:color w:val="000000" w:themeColor="text1"/>
          <w:sz w:val="20"/>
          <w:szCs w:val="20"/>
        </w:rPr>
        <w:t>to</w:t>
      </w:r>
      <w:r w:rsidR="00FF41A0">
        <w:rPr>
          <w:color w:val="000000" w:themeColor="text1"/>
          <w:sz w:val="20"/>
          <w:szCs w:val="20"/>
        </w:rPr>
        <w:t xml:space="preserve"> </w:t>
      </w:r>
      <w:r w:rsidR="007A7B2F" w:rsidRPr="0037538E">
        <w:rPr>
          <w:color w:val="000000" w:themeColor="text1"/>
          <w:sz w:val="20"/>
          <w:szCs w:val="20"/>
        </w:rPr>
        <w:t>the</w:t>
      </w:r>
      <w:r w:rsidR="00FF41A0">
        <w:rPr>
          <w:color w:val="000000" w:themeColor="text1"/>
          <w:sz w:val="20"/>
          <w:szCs w:val="20"/>
        </w:rPr>
        <w:t xml:space="preserve"> </w:t>
      </w:r>
      <w:r w:rsidR="007A7B2F" w:rsidRPr="0037538E">
        <w:rPr>
          <w:color w:val="000000" w:themeColor="text1"/>
          <w:sz w:val="20"/>
          <w:szCs w:val="20"/>
        </w:rPr>
        <w:t>Human</w:t>
      </w:r>
      <w:r w:rsidR="00FF41A0">
        <w:rPr>
          <w:color w:val="000000" w:themeColor="text1"/>
          <w:sz w:val="20"/>
          <w:szCs w:val="20"/>
        </w:rPr>
        <w:t xml:space="preserve"> </w:t>
      </w:r>
      <w:r w:rsidR="007A7B2F" w:rsidRPr="0037538E">
        <w:rPr>
          <w:color w:val="000000" w:themeColor="text1"/>
          <w:sz w:val="20"/>
          <w:szCs w:val="20"/>
        </w:rPr>
        <w:t>Rights</w:t>
      </w:r>
      <w:r w:rsidR="00FF41A0">
        <w:rPr>
          <w:color w:val="000000" w:themeColor="text1"/>
          <w:sz w:val="20"/>
          <w:szCs w:val="20"/>
        </w:rPr>
        <w:t xml:space="preserve"> </w:t>
      </w:r>
      <w:r w:rsidR="007A7B2F" w:rsidRPr="0037538E">
        <w:rPr>
          <w:color w:val="000000" w:themeColor="text1"/>
          <w:sz w:val="20"/>
          <w:szCs w:val="20"/>
        </w:rPr>
        <w:t>Council</w:t>
      </w:r>
      <w:r w:rsidR="00FF41A0">
        <w:rPr>
          <w:color w:val="000000" w:themeColor="text1"/>
          <w:sz w:val="20"/>
          <w:szCs w:val="20"/>
        </w:rPr>
        <w:t xml:space="preserve"> </w:t>
      </w:r>
      <w:r w:rsidR="007A7B2F" w:rsidRPr="00C91E7E">
        <w:rPr>
          <w:color w:val="000000" w:themeColor="text1"/>
          <w:sz w:val="20"/>
          <w:szCs w:val="20"/>
        </w:rPr>
        <w:t>resolution</w:t>
      </w:r>
      <w:r w:rsidR="00FF41A0">
        <w:rPr>
          <w:color w:val="000000" w:themeColor="text1"/>
          <w:sz w:val="20"/>
          <w:szCs w:val="20"/>
        </w:rPr>
        <w:t xml:space="preserve"> </w:t>
      </w:r>
      <w:r w:rsidR="007A7B2F" w:rsidRPr="00C91E7E">
        <w:rPr>
          <w:color w:val="000000" w:themeColor="text1"/>
          <w:sz w:val="20"/>
          <w:szCs w:val="20"/>
        </w:rPr>
        <w:t>37/3</w:t>
      </w:r>
      <w:r w:rsidR="007A7B2F">
        <w:rPr>
          <w:color w:val="000000" w:themeColor="text1"/>
          <w:sz w:val="20"/>
          <w:szCs w:val="20"/>
        </w:rPr>
        <w:t>3</w:t>
      </w:r>
      <w:r w:rsidR="007A7B2F" w:rsidRPr="00C91E7E">
        <w:rPr>
          <w:color w:val="000000" w:themeColor="text1"/>
          <w:sz w:val="20"/>
          <w:szCs w:val="20"/>
        </w:rPr>
        <w:t>,</w:t>
      </w:r>
      <w:r w:rsidR="00FF41A0">
        <w:rPr>
          <w:color w:val="000000" w:themeColor="text1"/>
          <w:sz w:val="20"/>
          <w:szCs w:val="20"/>
        </w:rPr>
        <w:t xml:space="preserve"> </w:t>
      </w:r>
      <w:r w:rsidR="007A7B2F">
        <w:rPr>
          <w:color w:val="000000" w:themeColor="text1"/>
          <w:sz w:val="20"/>
          <w:szCs w:val="20"/>
        </w:rPr>
        <w:t>the</w:t>
      </w:r>
      <w:r w:rsidR="00FF41A0">
        <w:rPr>
          <w:color w:val="000000" w:themeColor="text1"/>
          <w:sz w:val="20"/>
          <w:szCs w:val="20"/>
        </w:rPr>
        <w:t xml:space="preserve"> </w:t>
      </w:r>
      <w:r w:rsidR="007A7B2F">
        <w:rPr>
          <w:color w:val="000000" w:themeColor="text1"/>
          <w:sz w:val="20"/>
          <w:szCs w:val="20"/>
        </w:rPr>
        <w:t>United</w:t>
      </w:r>
      <w:r w:rsidR="00FF41A0">
        <w:rPr>
          <w:color w:val="000000" w:themeColor="text1"/>
          <w:sz w:val="20"/>
          <w:szCs w:val="20"/>
        </w:rPr>
        <w:t xml:space="preserve"> </w:t>
      </w:r>
      <w:r w:rsidR="007A7B2F">
        <w:rPr>
          <w:color w:val="000000" w:themeColor="text1"/>
          <w:sz w:val="20"/>
          <w:szCs w:val="20"/>
        </w:rPr>
        <w:t>Nations</w:t>
      </w:r>
      <w:r w:rsidR="00FF41A0">
        <w:rPr>
          <w:color w:val="000000" w:themeColor="text1"/>
          <w:sz w:val="20"/>
          <w:szCs w:val="20"/>
        </w:rPr>
        <w:t xml:space="preserve"> </w:t>
      </w:r>
      <w:r w:rsidR="007A7B2F">
        <w:rPr>
          <w:color w:val="000000" w:themeColor="text1"/>
          <w:sz w:val="20"/>
          <w:szCs w:val="20"/>
        </w:rPr>
        <w:t>Assistant</w:t>
      </w:r>
      <w:r w:rsidR="00FF41A0">
        <w:rPr>
          <w:color w:val="000000" w:themeColor="text1"/>
          <w:sz w:val="20"/>
          <w:szCs w:val="20"/>
        </w:rPr>
        <w:t xml:space="preserve"> </w:t>
      </w:r>
      <w:r w:rsidR="007A7B2F">
        <w:rPr>
          <w:color w:val="000000" w:themeColor="text1"/>
          <w:sz w:val="20"/>
          <w:szCs w:val="20"/>
        </w:rPr>
        <w:t>Secretary-General</w:t>
      </w:r>
      <w:r w:rsidR="00FF41A0">
        <w:rPr>
          <w:color w:val="000000" w:themeColor="text1"/>
          <w:sz w:val="20"/>
          <w:szCs w:val="20"/>
        </w:rPr>
        <w:t xml:space="preserve"> </w:t>
      </w:r>
      <w:r w:rsidR="007A7B2F">
        <w:rPr>
          <w:color w:val="000000" w:themeColor="text1"/>
          <w:sz w:val="20"/>
          <w:szCs w:val="20"/>
        </w:rPr>
        <w:t>for</w:t>
      </w:r>
      <w:r w:rsidR="00FF41A0">
        <w:rPr>
          <w:color w:val="000000" w:themeColor="text1"/>
          <w:sz w:val="20"/>
          <w:szCs w:val="20"/>
        </w:rPr>
        <w:t xml:space="preserve"> </w:t>
      </w:r>
      <w:r w:rsidR="007A7B2F">
        <w:rPr>
          <w:color w:val="000000" w:themeColor="text1"/>
          <w:sz w:val="20"/>
          <w:szCs w:val="20"/>
        </w:rPr>
        <w:t>Human</w:t>
      </w:r>
      <w:r w:rsidR="00FF41A0">
        <w:rPr>
          <w:color w:val="000000" w:themeColor="text1"/>
          <w:sz w:val="20"/>
          <w:szCs w:val="20"/>
        </w:rPr>
        <w:t xml:space="preserve"> </w:t>
      </w:r>
      <w:r w:rsidR="007A7B2F">
        <w:rPr>
          <w:color w:val="000000" w:themeColor="text1"/>
          <w:sz w:val="20"/>
          <w:szCs w:val="20"/>
        </w:rPr>
        <w:t>Rights</w:t>
      </w:r>
      <w:r w:rsidR="00FF41A0">
        <w:rPr>
          <w:color w:val="000000" w:themeColor="text1"/>
          <w:sz w:val="20"/>
          <w:szCs w:val="20"/>
        </w:rPr>
        <w:t xml:space="preserve"> </w:t>
      </w:r>
      <w:r w:rsidR="007A7B2F">
        <w:rPr>
          <w:color w:val="000000" w:themeColor="text1"/>
          <w:sz w:val="20"/>
          <w:szCs w:val="20"/>
        </w:rPr>
        <w:t>presented</w:t>
      </w:r>
      <w:r w:rsidR="00FF41A0">
        <w:rPr>
          <w:color w:val="000000" w:themeColor="text1"/>
          <w:sz w:val="20"/>
          <w:szCs w:val="20"/>
        </w:rPr>
        <w:t xml:space="preserve"> </w:t>
      </w:r>
      <w:r w:rsidR="007A7B2F" w:rsidRPr="0037538E">
        <w:rPr>
          <w:color w:val="000000" w:themeColor="text1"/>
          <w:sz w:val="20"/>
          <w:szCs w:val="20"/>
        </w:rPr>
        <w:t>the</w:t>
      </w:r>
      <w:r w:rsidR="00FF41A0">
        <w:rPr>
          <w:color w:val="000000" w:themeColor="text1"/>
          <w:sz w:val="20"/>
          <w:szCs w:val="20"/>
        </w:rPr>
        <w:t xml:space="preserve"> </w:t>
      </w:r>
      <w:r w:rsidR="007A7B2F" w:rsidRPr="0037538E">
        <w:rPr>
          <w:color w:val="000000" w:themeColor="text1"/>
          <w:sz w:val="20"/>
          <w:szCs w:val="20"/>
        </w:rPr>
        <w:t>report</w:t>
      </w:r>
      <w:r w:rsidR="00FF41A0">
        <w:rPr>
          <w:color w:val="000000" w:themeColor="text1"/>
          <w:sz w:val="20"/>
          <w:szCs w:val="20"/>
        </w:rPr>
        <w:t xml:space="preserve"> </w:t>
      </w:r>
      <w:r w:rsidR="007A7B2F" w:rsidRPr="0037538E">
        <w:rPr>
          <w:color w:val="000000" w:themeColor="text1"/>
          <w:sz w:val="20"/>
          <w:szCs w:val="20"/>
        </w:rPr>
        <w:t>of</w:t>
      </w:r>
      <w:r w:rsidR="00FF41A0">
        <w:rPr>
          <w:color w:val="000000" w:themeColor="text1"/>
          <w:sz w:val="20"/>
          <w:szCs w:val="20"/>
        </w:rPr>
        <w:t xml:space="preserve"> </w:t>
      </w:r>
      <w:r w:rsidR="007A7B2F" w:rsidRPr="0037538E">
        <w:rPr>
          <w:color w:val="000000" w:themeColor="text1"/>
          <w:sz w:val="20"/>
          <w:szCs w:val="20"/>
        </w:rPr>
        <w:t>the</w:t>
      </w:r>
      <w:r w:rsidR="00FF41A0">
        <w:rPr>
          <w:color w:val="000000" w:themeColor="text1"/>
          <w:sz w:val="20"/>
          <w:szCs w:val="20"/>
        </w:rPr>
        <w:t xml:space="preserve"> </w:t>
      </w:r>
      <w:r w:rsidR="007A7B2F">
        <w:rPr>
          <w:color w:val="000000" w:themeColor="text1"/>
          <w:sz w:val="20"/>
          <w:szCs w:val="20"/>
        </w:rPr>
        <w:t>United</w:t>
      </w:r>
      <w:r w:rsidR="00FF41A0">
        <w:rPr>
          <w:color w:val="000000" w:themeColor="text1"/>
          <w:sz w:val="20"/>
          <w:szCs w:val="20"/>
        </w:rPr>
        <w:t xml:space="preserve"> </w:t>
      </w:r>
      <w:r w:rsidR="007A7B2F">
        <w:rPr>
          <w:color w:val="000000" w:themeColor="text1"/>
          <w:sz w:val="20"/>
          <w:szCs w:val="20"/>
        </w:rPr>
        <w:t>Nations</w:t>
      </w:r>
      <w:r w:rsidR="00FF41A0">
        <w:rPr>
          <w:color w:val="000000" w:themeColor="text1"/>
          <w:sz w:val="20"/>
          <w:szCs w:val="20"/>
        </w:rPr>
        <w:t xml:space="preserve"> </w:t>
      </w:r>
      <w:r w:rsidR="007A7B2F" w:rsidRPr="0037538E">
        <w:rPr>
          <w:color w:val="000000" w:themeColor="text1"/>
          <w:sz w:val="20"/>
          <w:szCs w:val="20"/>
        </w:rPr>
        <w:t>Secretary-General</w:t>
      </w:r>
      <w:r w:rsidR="00FF41A0">
        <w:rPr>
          <w:color w:val="000000" w:themeColor="text1"/>
          <w:sz w:val="20"/>
          <w:szCs w:val="20"/>
        </w:rPr>
        <w:t xml:space="preserve"> </w:t>
      </w:r>
      <w:r w:rsidR="007A7B2F" w:rsidRPr="0037538E">
        <w:rPr>
          <w:color w:val="000000" w:themeColor="text1"/>
          <w:sz w:val="20"/>
          <w:szCs w:val="20"/>
        </w:rPr>
        <w:t>on</w:t>
      </w:r>
      <w:r w:rsidR="00FF41A0">
        <w:rPr>
          <w:color w:val="000000" w:themeColor="text1"/>
          <w:sz w:val="20"/>
          <w:szCs w:val="20"/>
        </w:rPr>
        <w:t xml:space="preserve"> </w:t>
      </w:r>
      <w:r w:rsidR="007A7B2F" w:rsidRPr="0037538E">
        <w:rPr>
          <w:color w:val="000000" w:themeColor="text1"/>
          <w:sz w:val="20"/>
          <w:szCs w:val="20"/>
        </w:rPr>
        <w:t>the</w:t>
      </w:r>
      <w:r w:rsidR="00FF41A0">
        <w:rPr>
          <w:color w:val="000000" w:themeColor="text1"/>
          <w:sz w:val="20"/>
          <w:szCs w:val="20"/>
        </w:rPr>
        <w:t xml:space="preserve"> </w:t>
      </w:r>
      <w:r w:rsidR="007A7B2F" w:rsidRPr="0037538E">
        <w:rPr>
          <w:color w:val="000000" w:themeColor="text1"/>
          <w:sz w:val="20"/>
          <w:szCs w:val="20"/>
        </w:rPr>
        <w:t>situation</w:t>
      </w:r>
      <w:r w:rsidR="00FF41A0">
        <w:rPr>
          <w:color w:val="000000" w:themeColor="text1"/>
          <w:sz w:val="20"/>
          <w:szCs w:val="20"/>
        </w:rPr>
        <w:t xml:space="preserve"> </w:t>
      </w:r>
      <w:r w:rsidR="007A7B2F" w:rsidRPr="0037538E">
        <w:rPr>
          <w:color w:val="000000" w:themeColor="text1"/>
          <w:sz w:val="20"/>
          <w:szCs w:val="20"/>
        </w:rPr>
        <w:t>of</w:t>
      </w:r>
      <w:r w:rsidR="00FF41A0">
        <w:rPr>
          <w:color w:val="000000" w:themeColor="text1"/>
          <w:sz w:val="20"/>
          <w:szCs w:val="20"/>
        </w:rPr>
        <w:t xml:space="preserve"> </w:t>
      </w:r>
      <w:r w:rsidR="007A7B2F" w:rsidRPr="0037538E">
        <w:rPr>
          <w:color w:val="000000" w:themeColor="text1"/>
          <w:sz w:val="20"/>
          <w:szCs w:val="20"/>
        </w:rPr>
        <w:t>human</w:t>
      </w:r>
      <w:r w:rsidR="00FF41A0">
        <w:rPr>
          <w:color w:val="000000" w:themeColor="text1"/>
          <w:sz w:val="20"/>
          <w:szCs w:val="20"/>
        </w:rPr>
        <w:t xml:space="preserve"> </w:t>
      </w:r>
      <w:r w:rsidR="007A7B2F" w:rsidRPr="0037538E">
        <w:rPr>
          <w:color w:val="000000" w:themeColor="text1"/>
          <w:sz w:val="20"/>
          <w:szCs w:val="20"/>
        </w:rPr>
        <w:t>rights</w:t>
      </w:r>
      <w:r w:rsidR="00FF41A0">
        <w:rPr>
          <w:color w:val="000000" w:themeColor="text1"/>
          <w:sz w:val="20"/>
          <w:szCs w:val="20"/>
        </w:rPr>
        <w:t xml:space="preserve"> </w:t>
      </w:r>
      <w:r w:rsidR="007A7B2F" w:rsidRPr="0037538E">
        <w:rPr>
          <w:color w:val="000000" w:themeColor="text1"/>
          <w:sz w:val="20"/>
          <w:szCs w:val="20"/>
        </w:rPr>
        <w:t>in</w:t>
      </w:r>
      <w:r w:rsidR="00FF41A0">
        <w:rPr>
          <w:color w:val="000000" w:themeColor="text1"/>
          <w:sz w:val="20"/>
          <w:szCs w:val="20"/>
        </w:rPr>
        <w:t xml:space="preserve"> </w:t>
      </w:r>
      <w:r w:rsidR="007A7B2F" w:rsidRPr="0037538E">
        <w:rPr>
          <w:color w:val="000000" w:themeColor="text1"/>
          <w:sz w:val="20"/>
          <w:szCs w:val="20"/>
        </w:rPr>
        <w:t>the</w:t>
      </w:r>
      <w:r w:rsidR="00FF41A0">
        <w:rPr>
          <w:color w:val="000000" w:themeColor="text1"/>
          <w:sz w:val="20"/>
          <w:szCs w:val="20"/>
        </w:rPr>
        <w:t xml:space="preserve"> </w:t>
      </w:r>
      <w:r w:rsidR="007A7B2F" w:rsidRPr="0037538E">
        <w:rPr>
          <w:color w:val="000000" w:themeColor="text1"/>
          <w:sz w:val="20"/>
          <w:szCs w:val="20"/>
        </w:rPr>
        <w:t>occupied</w:t>
      </w:r>
      <w:r w:rsidR="00FF41A0">
        <w:rPr>
          <w:color w:val="000000" w:themeColor="text1"/>
          <w:sz w:val="20"/>
          <w:szCs w:val="20"/>
        </w:rPr>
        <w:t xml:space="preserve"> </w:t>
      </w:r>
      <w:r w:rsidR="007A7B2F" w:rsidRPr="0037538E">
        <w:rPr>
          <w:color w:val="000000" w:themeColor="text1"/>
          <w:sz w:val="20"/>
          <w:szCs w:val="20"/>
        </w:rPr>
        <w:t>Syrian</w:t>
      </w:r>
      <w:r w:rsidR="00FF41A0">
        <w:rPr>
          <w:color w:val="000000" w:themeColor="text1"/>
          <w:sz w:val="20"/>
          <w:szCs w:val="20"/>
        </w:rPr>
        <w:t xml:space="preserve"> </w:t>
      </w:r>
      <w:r w:rsidR="007A7B2F" w:rsidRPr="0037538E">
        <w:rPr>
          <w:color w:val="000000" w:themeColor="text1"/>
          <w:sz w:val="20"/>
          <w:szCs w:val="20"/>
        </w:rPr>
        <w:t>Golan</w:t>
      </w:r>
      <w:r w:rsidR="00FF41A0">
        <w:rPr>
          <w:color w:val="000000" w:themeColor="text1"/>
          <w:sz w:val="20"/>
          <w:szCs w:val="20"/>
        </w:rPr>
        <w:t xml:space="preserve"> </w:t>
      </w:r>
      <w:r w:rsidR="007A7B2F" w:rsidRPr="0037538E">
        <w:rPr>
          <w:color w:val="000000" w:themeColor="text1"/>
          <w:sz w:val="20"/>
          <w:szCs w:val="20"/>
        </w:rPr>
        <w:t>(A/HRC/</w:t>
      </w:r>
      <w:r w:rsidR="007A7B2F">
        <w:rPr>
          <w:color w:val="000000" w:themeColor="text1"/>
          <w:sz w:val="20"/>
          <w:szCs w:val="20"/>
        </w:rPr>
        <w:t>40</w:t>
      </w:r>
      <w:r w:rsidR="007A7B2F" w:rsidRPr="0037538E">
        <w:rPr>
          <w:color w:val="000000" w:themeColor="text1"/>
          <w:sz w:val="20"/>
          <w:szCs w:val="20"/>
        </w:rPr>
        <w:t>/4</w:t>
      </w:r>
      <w:r w:rsidR="007A7B2F">
        <w:rPr>
          <w:color w:val="000000" w:themeColor="text1"/>
          <w:sz w:val="20"/>
          <w:szCs w:val="20"/>
        </w:rPr>
        <w:t>1</w:t>
      </w:r>
      <w:r w:rsidR="007A7B2F" w:rsidRPr="0037538E">
        <w:rPr>
          <w:color w:val="000000" w:themeColor="text1"/>
          <w:sz w:val="20"/>
          <w:szCs w:val="20"/>
        </w:rPr>
        <w:t>).</w:t>
      </w:r>
    </w:p>
    <w:p w14:paraId="65FBD698" w14:textId="4703A214" w:rsidR="00414AC5" w:rsidRPr="0037538E" w:rsidRDefault="00A74C9E" w:rsidP="00414AC5">
      <w:pPr>
        <w:pStyle w:val="SingleTxtG"/>
        <w:rPr>
          <w:color w:val="000000" w:themeColor="text1"/>
          <w:sz w:val="20"/>
          <w:szCs w:val="20"/>
        </w:rPr>
      </w:pPr>
      <w:r>
        <w:rPr>
          <w:color w:val="000000" w:themeColor="text1"/>
          <w:sz w:val="20"/>
          <w:szCs w:val="20"/>
        </w:rPr>
        <w:t>931</w:t>
      </w:r>
      <w:r w:rsidR="00414AC5" w:rsidRPr="0037538E">
        <w:rPr>
          <w:color w:val="000000" w:themeColor="text1"/>
          <w:sz w:val="20"/>
          <w:szCs w:val="20"/>
        </w:rPr>
        <w:t>.</w:t>
      </w:r>
      <w:r w:rsidR="00414AC5" w:rsidRPr="0037538E">
        <w:rPr>
          <w:color w:val="000000" w:themeColor="text1"/>
          <w:sz w:val="20"/>
          <w:szCs w:val="20"/>
        </w:rPr>
        <w:tab/>
        <w:t>A</w:t>
      </w:r>
      <w:r w:rsidR="007A7B2F">
        <w:rPr>
          <w:color w:val="000000" w:themeColor="text1"/>
          <w:sz w:val="20"/>
          <w:szCs w:val="20"/>
        </w:rPr>
        <w:t>lso</w:t>
      </w:r>
      <w:r w:rsidR="00FF41A0">
        <w:rPr>
          <w:color w:val="000000" w:themeColor="text1"/>
          <w:sz w:val="20"/>
          <w:szCs w:val="20"/>
        </w:rPr>
        <w:t xml:space="preserve"> </w:t>
      </w:r>
      <w:r w:rsidR="007A7B2F">
        <w:rPr>
          <w:color w:val="000000" w:themeColor="text1"/>
          <w:sz w:val="20"/>
          <w:szCs w:val="20"/>
        </w:rPr>
        <w:t>a</w:t>
      </w:r>
      <w:r w:rsidR="00414AC5" w:rsidRPr="0037538E">
        <w:rPr>
          <w:color w:val="000000" w:themeColor="text1"/>
          <w:sz w:val="20"/>
          <w:szCs w:val="20"/>
        </w:rPr>
        <w:t>t</w:t>
      </w:r>
      <w:r w:rsidR="00FF41A0">
        <w:rPr>
          <w:color w:val="000000" w:themeColor="text1"/>
          <w:sz w:val="20"/>
          <w:szCs w:val="20"/>
        </w:rPr>
        <w:t xml:space="preserve"> </w:t>
      </w:r>
      <w:r w:rsidR="00414AC5" w:rsidRPr="0037538E">
        <w:rPr>
          <w:color w:val="000000" w:themeColor="text1"/>
          <w:sz w:val="20"/>
          <w:szCs w:val="20"/>
        </w:rPr>
        <w:t>the</w:t>
      </w:r>
      <w:r w:rsidR="00FF41A0">
        <w:rPr>
          <w:color w:val="000000" w:themeColor="text1"/>
          <w:sz w:val="20"/>
          <w:szCs w:val="20"/>
        </w:rPr>
        <w:t xml:space="preserve"> </w:t>
      </w:r>
      <w:r w:rsidR="00414AC5" w:rsidRPr="0037538E">
        <w:rPr>
          <w:color w:val="000000" w:themeColor="text1"/>
          <w:sz w:val="20"/>
          <w:szCs w:val="20"/>
        </w:rPr>
        <w:t>same</w:t>
      </w:r>
      <w:r w:rsidR="00FF41A0">
        <w:rPr>
          <w:color w:val="000000" w:themeColor="text1"/>
          <w:sz w:val="20"/>
          <w:szCs w:val="20"/>
        </w:rPr>
        <w:t xml:space="preserve"> </w:t>
      </w:r>
      <w:r w:rsidR="00414AC5" w:rsidRPr="0037538E">
        <w:rPr>
          <w:color w:val="000000" w:themeColor="text1"/>
          <w:sz w:val="20"/>
          <w:szCs w:val="20"/>
        </w:rPr>
        <w:t>meeting,</w:t>
      </w:r>
      <w:r w:rsidR="00FF41A0">
        <w:rPr>
          <w:color w:val="000000" w:themeColor="text1"/>
          <w:sz w:val="20"/>
          <w:szCs w:val="20"/>
        </w:rPr>
        <w:t xml:space="preserve"> </w:t>
      </w:r>
      <w:r w:rsidR="00414AC5" w:rsidRPr="0037538E">
        <w:rPr>
          <w:color w:val="000000" w:themeColor="text1"/>
          <w:sz w:val="20"/>
          <w:szCs w:val="20"/>
        </w:rPr>
        <w:t>the</w:t>
      </w:r>
      <w:r w:rsidR="00FF41A0">
        <w:rPr>
          <w:color w:val="000000" w:themeColor="text1"/>
          <w:sz w:val="20"/>
          <w:szCs w:val="20"/>
        </w:rPr>
        <w:t xml:space="preserve"> </w:t>
      </w:r>
      <w:r w:rsidR="00414AC5" w:rsidRPr="0037538E">
        <w:rPr>
          <w:color w:val="000000" w:themeColor="text1"/>
          <w:sz w:val="20"/>
          <w:szCs w:val="20"/>
        </w:rPr>
        <w:t>representative</w:t>
      </w:r>
      <w:r w:rsidR="00027FDA" w:rsidRPr="0037538E">
        <w:rPr>
          <w:color w:val="000000" w:themeColor="text1"/>
          <w:sz w:val="20"/>
          <w:szCs w:val="20"/>
        </w:rPr>
        <w:t>s</w:t>
      </w:r>
      <w:r w:rsidR="00FF41A0">
        <w:rPr>
          <w:color w:val="000000" w:themeColor="text1"/>
          <w:sz w:val="20"/>
          <w:szCs w:val="20"/>
        </w:rPr>
        <w:t xml:space="preserve"> </w:t>
      </w:r>
      <w:r w:rsidR="00414AC5" w:rsidRPr="0037538E">
        <w:rPr>
          <w:color w:val="000000" w:themeColor="text1"/>
          <w:sz w:val="20"/>
          <w:szCs w:val="20"/>
        </w:rPr>
        <w:t>of</w:t>
      </w:r>
      <w:r w:rsidR="00FF41A0">
        <w:rPr>
          <w:color w:val="000000" w:themeColor="text1"/>
          <w:sz w:val="20"/>
          <w:szCs w:val="20"/>
        </w:rPr>
        <w:t xml:space="preserve"> </w:t>
      </w:r>
      <w:r w:rsidR="00027FDA" w:rsidRPr="0037538E">
        <w:rPr>
          <w:color w:val="000000" w:themeColor="text1"/>
          <w:sz w:val="20"/>
          <w:szCs w:val="20"/>
        </w:rPr>
        <w:t>the</w:t>
      </w:r>
      <w:r w:rsidR="00FF41A0">
        <w:rPr>
          <w:color w:val="000000" w:themeColor="text1"/>
          <w:sz w:val="20"/>
          <w:szCs w:val="20"/>
        </w:rPr>
        <w:t xml:space="preserve"> </w:t>
      </w:r>
      <w:r w:rsidR="00027FDA" w:rsidRPr="0037538E">
        <w:rPr>
          <w:color w:val="000000" w:themeColor="text1"/>
          <w:sz w:val="20"/>
          <w:szCs w:val="20"/>
        </w:rPr>
        <w:t>Syrian</w:t>
      </w:r>
      <w:r w:rsidR="00FF41A0">
        <w:rPr>
          <w:color w:val="000000" w:themeColor="text1"/>
          <w:sz w:val="20"/>
          <w:szCs w:val="20"/>
        </w:rPr>
        <w:t xml:space="preserve"> </w:t>
      </w:r>
      <w:r w:rsidR="00027FDA" w:rsidRPr="0037538E">
        <w:rPr>
          <w:color w:val="000000" w:themeColor="text1"/>
          <w:sz w:val="20"/>
          <w:szCs w:val="20"/>
        </w:rPr>
        <w:t>Arab</w:t>
      </w:r>
      <w:r w:rsidR="00FF41A0">
        <w:rPr>
          <w:color w:val="000000" w:themeColor="text1"/>
          <w:sz w:val="20"/>
          <w:szCs w:val="20"/>
        </w:rPr>
        <w:t xml:space="preserve"> </w:t>
      </w:r>
      <w:r w:rsidR="00027FDA" w:rsidRPr="0037538E">
        <w:rPr>
          <w:color w:val="000000" w:themeColor="text1"/>
          <w:sz w:val="20"/>
          <w:szCs w:val="20"/>
        </w:rPr>
        <w:t>Republic</w:t>
      </w:r>
      <w:r w:rsidR="00FF41A0">
        <w:rPr>
          <w:color w:val="000000" w:themeColor="text1"/>
          <w:sz w:val="20"/>
          <w:szCs w:val="20"/>
        </w:rPr>
        <w:t xml:space="preserve"> </w:t>
      </w:r>
      <w:r w:rsidR="00BA0EA4" w:rsidRPr="0037538E">
        <w:rPr>
          <w:color w:val="000000" w:themeColor="text1"/>
          <w:sz w:val="20"/>
          <w:szCs w:val="20"/>
        </w:rPr>
        <w:t>and</w:t>
      </w:r>
      <w:r w:rsidR="00FF41A0">
        <w:rPr>
          <w:color w:val="000000" w:themeColor="text1"/>
          <w:sz w:val="20"/>
          <w:szCs w:val="20"/>
        </w:rPr>
        <w:t xml:space="preserve"> </w:t>
      </w:r>
      <w:r w:rsidR="00BA0EA4" w:rsidRPr="0037538E">
        <w:rPr>
          <w:color w:val="000000" w:themeColor="text1"/>
          <w:sz w:val="20"/>
          <w:szCs w:val="20"/>
        </w:rPr>
        <w:t>the</w:t>
      </w:r>
      <w:r w:rsidR="00FF41A0">
        <w:rPr>
          <w:color w:val="000000" w:themeColor="text1"/>
          <w:sz w:val="20"/>
          <w:szCs w:val="20"/>
        </w:rPr>
        <w:t xml:space="preserve"> </w:t>
      </w:r>
      <w:r w:rsidR="00BA0EA4" w:rsidRPr="0037538E">
        <w:rPr>
          <w:color w:val="000000" w:themeColor="text1"/>
          <w:sz w:val="20"/>
          <w:szCs w:val="20"/>
        </w:rPr>
        <w:t>State</w:t>
      </w:r>
      <w:r w:rsidR="00FF41A0">
        <w:rPr>
          <w:color w:val="000000" w:themeColor="text1"/>
          <w:sz w:val="20"/>
          <w:szCs w:val="20"/>
        </w:rPr>
        <w:t xml:space="preserve"> </w:t>
      </w:r>
      <w:r w:rsidR="00BA0EA4" w:rsidRPr="0037538E">
        <w:rPr>
          <w:color w:val="000000" w:themeColor="text1"/>
          <w:sz w:val="20"/>
          <w:szCs w:val="20"/>
        </w:rPr>
        <w:t>of</w:t>
      </w:r>
      <w:r w:rsidR="00FF41A0">
        <w:rPr>
          <w:color w:val="000000" w:themeColor="text1"/>
          <w:sz w:val="20"/>
          <w:szCs w:val="20"/>
        </w:rPr>
        <w:t xml:space="preserve"> </w:t>
      </w:r>
      <w:r w:rsidR="00BA0EA4" w:rsidRPr="0037538E">
        <w:rPr>
          <w:color w:val="000000" w:themeColor="text1"/>
          <w:sz w:val="20"/>
          <w:szCs w:val="20"/>
        </w:rPr>
        <w:t>Palestine</w:t>
      </w:r>
      <w:r w:rsidR="00FF41A0">
        <w:rPr>
          <w:color w:val="000000" w:themeColor="text1"/>
          <w:sz w:val="20"/>
          <w:szCs w:val="20"/>
        </w:rPr>
        <w:t xml:space="preserve"> </w:t>
      </w:r>
      <w:r w:rsidR="00027FDA" w:rsidRPr="0037538E">
        <w:rPr>
          <w:color w:val="000000" w:themeColor="text1"/>
          <w:sz w:val="20"/>
          <w:szCs w:val="20"/>
        </w:rPr>
        <w:t>made</w:t>
      </w:r>
      <w:r w:rsidR="00FF41A0">
        <w:rPr>
          <w:color w:val="000000" w:themeColor="text1"/>
          <w:sz w:val="20"/>
          <w:szCs w:val="20"/>
        </w:rPr>
        <w:t xml:space="preserve"> </w:t>
      </w:r>
      <w:r w:rsidR="00414AC5" w:rsidRPr="0037538E">
        <w:rPr>
          <w:color w:val="000000" w:themeColor="text1"/>
          <w:sz w:val="20"/>
          <w:szCs w:val="20"/>
        </w:rPr>
        <w:t>statement</w:t>
      </w:r>
      <w:r w:rsidR="00027FDA" w:rsidRPr="0037538E">
        <w:rPr>
          <w:color w:val="000000" w:themeColor="text1"/>
          <w:sz w:val="20"/>
          <w:szCs w:val="20"/>
        </w:rPr>
        <w:t>s</w:t>
      </w:r>
      <w:r w:rsidR="00FF41A0">
        <w:rPr>
          <w:color w:val="000000" w:themeColor="text1"/>
          <w:sz w:val="20"/>
          <w:szCs w:val="20"/>
        </w:rPr>
        <w:t xml:space="preserve"> </w:t>
      </w:r>
      <w:r w:rsidR="00414AC5" w:rsidRPr="0037538E">
        <w:rPr>
          <w:color w:val="000000" w:themeColor="text1"/>
          <w:sz w:val="20"/>
          <w:szCs w:val="20"/>
        </w:rPr>
        <w:t>as</w:t>
      </w:r>
      <w:r w:rsidR="00FF41A0">
        <w:rPr>
          <w:color w:val="000000" w:themeColor="text1"/>
          <w:sz w:val="20"/>
          <w:szCs w:val="20"/>
        </w:rPr>
        <w:t xml:space="preserve"> </w:t>
      </w:r>
      <w:r w:rsidR="00414AC5" w:rsidRPr="0037538E">
        <w:rPr>
          <w:color w:val="000000" w:themeColor="text1"/>
          <w:sz w:val="20"/>
          <w:szCs w:val="20"/>
        </w:rPr>
        <w:t>the</w:t>
      </w:r>
      <w:r w:rsidR="00FF41A0">
        <w:rPr>
          <w:color w:val="000000" w:themeColor="text1"/>
          <w:sz w:val="20"/>
          <w:szCs w:val="20"/>
        </w:rPr>
        <w:t xml:space="preserve"> </w:t>
      </w:r>
      <w:r w:rsidR="00414AC5" w:rsidRPr="0037538E">
        <w:rPr>
          <w:color w:val="000000" w:themeColor="text1"/>
          <w:sz w:val="20"/>
          <w:szCs w:val="20"/>
        </w:rPr>
        <w:t>State</w:t>
      </w:r>
      <w:r w:rsidR="00027FDA" w:rsidRPr="0037538E">
        <w:rPr>
          <w:color w:val="000000" w:themeColor="text1"/>
          <w:sz w:val="20"/>
          <w:szCs w:val="20"/>
        </w:rPr>
        <w:t>s</w:t>
      </w:r>
      <w:r w:rsidR="00FF41A0">
        <w:rPr>
          <w:color w:val="000000" w:themeColor="text1"/>
          <w:sz w:val="20"/>
          <w:szCs w:val="20"/>
        </w:rPr>
        <w:t xml:space="preserve"> </w:t>
      </w:r>
      <w:r w:rsidR="00414AC5" w:rsidRPr="0037538E">
        <w:rPr>
          <w:color w:val="000000" w:themeColor="text1"/>
          <w:sz w:val="20"/>
          <w:szCs w:val="20"/>
        </w:rPr>
        <w:t>concerned.</w:t>
      </w:r>
    </w:p>
    <w:p w14:paraId="2EA58D49" w14:textId="5127B1DE" w:rsidR="00F11B08" w:rsidRPr="00C16037" w:rsidRDefault="00B007BE" w:rsidP="00415787">
      <w:pPr>
        <w:pStyle w:val="H1G"/>
        <w:rPr>
          <w:b w:val="0"/>
          <w:color w:val="000000" w:themeColor="text1"/>
        </w:rPr>
      </w:pPr>
      <w:r w:rsidRPr="00C16037">
        <w:rPr>
          <w:color w:val="000000" w:themeColor="text1"/>
        </w:rPr>
        <w:lastRenderedPageBreak/>
        <w:tab/>
      </w:r>
      <w:r w:rsidR="00306418" w:rsidRPr="00C43406">
        <w:rPr>
          <w:color w:val="000000" w:themeColor="text1"/>
        </w:rPr>
        <w:t>D</w:t>
      </w:r>
      <w:r w:rsidR="00F11B08" w:rsidRPr="00C43406">
        <w:rPr>
          <w:color w:val="000000" w:themeColor="text1"/>
        </w:rPr>
        <w:t>.</w:t>
      </w:r>
      <w:r w:rsidR="00F11B08" w:rsidRPr="00C43406">
        <w:rPr>
          <w:color w:val="000000" w:themeColor="text1"/>
        </w:rPr>
        <w:tab/>
        <w:t>General</w:t>
      </w:r>
      <w:r w:rsidR="00FF41A0">
        <w:rPr>
          <w:color w:val="000000" w:themeColor="text1"/>
        </w:rPr>
        <w:t xml:space="preserve"> </w:t>
      </w:r>
      <w:r w:rsidR="00F11B08" w:rsidRPr="00C43406">
        <w:rPr>
          <w:color w:val="000000" w:themeColor="text1"/>
        </w:rPr>
        <w:t>debate</w:t>
      </w:r>
      <w:r w:rsidR="00FF41A0">
        <w:rPr>
          <w:color w:val="000000" w:themeColor="text1"/>
        </w:rPr>
        <w:t xml:space="preserve"> </w:t>
      </w:r>
      <w:r w:rsidR="00F11B08" w:rsidRPr="00C43406">
        <w:rPr>
          <w:color w:val="000000" w:themeColor="text1"/>
        </w:rPr>
        <w:t>on</w:t>
      </w:r>
      <w:r w:rsidR="00FF41A0">
        <w:rPr>
          <w:color w:val="000000" w:themeColor="text1"/>
        </w:rPr>
        <w:t xml:space="preserve"> </w:t>
      </w:r>
      <w:r w:rsidR="00F11B08" w:rsidRPr="00C43406">
        <w:rPr>
          <w:color w:val="000000" w:themeColor="text1"/>
        </w:rPr>
        <w:t>agenda</w:t>
      </w:r>
      <w:r w:rsidR="00FF41A0">
        <w:rPr>
          <w:color w:val="000000" w:themeColor="text1"/>
        </w:rPr>
        <w:t xml:space="preserve"> </w:t>
      </w:r>
      <w:r w:rsidR="00F11B08" w:rsidRPr="00C43406">
        <w:rPr>
          <w:color w:val="000000" w:themeColor="text1"/>
        </w:rPr>
        <w:t>item</w:t>
      </w:r>
      <w:r w:rsidR="00FF41A0">
        <w:rPr>
          <w:color w:val="000000" w:themeColor="text1"/>
        </w:rPr>
        <w:t xml:space="preserve"> </w:t>
      </w:r>
      <w:r w:rsidR="00F11B08" w:rsidRPr="00C43406">
        <w:rPr>
          <w:color w:val="000000" w:themeColor="text1"/>
        </w:rPr>
        <w:t>7</w:t>
      </w:r>
    </w:p>
    <w:p w14:paraId="2EA58D4A" w14:textId="60CAEEDC" w:rsidR="00F11B08" w:rsidRPr="0037538E" w:rsidRDefault="00CF15B1" w:rsidP="00F11B08">
      <w:pPr>
        <w:pStyle w:val="SingleTxtG"/>
        <w:rPr>
          <w:color w:val="000000" w:themeColor="text1"/>
          <w:sz w:val="20"/>
          <w:szCs w:val="20"/>
        </w:rPr>
      </w:pPr>
      <w:r>
        <w:rPr>
          <w:color w:val="000000" w:themeColor="text1"/>
          <w:sz w:val="20"/>
          <w:szCs w:val="20"/>
        </w:rPr>
        <w:t>932</w:t>
      </w:r>
      <w:r w:rsidR="00631107" w:rsidRPr="0037538E">
        <w:rPr>
          <w:color w:val="000000" w:themeColor="text1"/>
          <w:sz w:val="20"/>
          <w:szCs w:val="20"/>
        </w:rPr>
        <w:t>.</w:t>
      </w:r>
      <w:r w:rsidR="00B007BE" w:rsidRPr="0037538E">
        <w:rPr>
          <w:color w:val="000000" w:themeColor="text1"/>
          <w:sz w:val="20"/>
          <w:szCs w:val="20"/>
        </w:rPr>
        <w:tab/>
      </w:r>
      <w:r w:rsidR="00F11B08" w:rsidRPr="0037538E">
        <w:rPr>
          <w:color w:val="000000" w:themeColor="text1"/>
          <w:sz w:val="20"/>
          <w:szCs w:val="20"/>
        </w:rPr>
        <w:t>At</w:t>
      </w:r>
      <w:r w:rsidR="00FF41A0">
        <w:rPr>
          <w:color w:val="000000" w:themeColor="text1"/>
          <w:sz w:val="20"/>
          <w:szCs w:val="20"/>
        </w:rPr>
        <w:t xml:space="preserve"> </w:t>
      </w:r>
      <w:r w:rsidR="00F11B08" w:rsidRPr="0037538E">
        <w:rPr>
          <w:color w:val="000000" w:themeColor="text1"/>
          <w:sz w:val="20"/>
          <w:szCs w:val="20"/>
        </w:rPr>
        <w:t>its</w:t>
      </w:r>
      <w:r w:rsidR="00FF41A0">
        <w:rPr>
          <w:color w:val="000000" w:themeColor="text1"/>
          <w:sz w:val="20"/>
          <w:szCs w:val="20"/>
        </w:rPr>
        <w:t xml:space="preserve"> </w:t>
      </w:r>
      <w:r w:rsidR="007A7B2F">
        <w:rPr>
          <w:color w:val="000000" w:themeColor="text1"/>
          <w:sz w:val="20"/>
          <w:szCs w:val="20"/>
        </w:rPr>
        <w:t>42nd</w:t>
      </w:r>
      <w:r w:rsidR="00FF41A0">
        <w:rPr>
          <w:color w:val="000000" w:themeColor="text1"/>
          <w:sz w:val="20"/>
          <w:szCs w:val="20"/>
        </w:rPr>
        <w:t xml:space="preserve"> </w:t>
      </w:r>
      <w:r w:rsidR="007A7B2F">
        <w:rPr>
          <w:color w:val="000000" w:themeColor="text1"/>
          <w:sz w:val="20"/>
          <w:szCs w:val="20"/>
        </w:rPr>
        <w:t>to</w:t>
      </w:r>
      <w:r w:rsidR="00FF41A0">
        <w:rPr>
          <w:color w:val="000000" w:themeColor="text1"/>
          <w:sz w:val="20"/>
          <w:szCs w:val="20"/>
        </w:rPr>
        <w:t xml:space="preserve"> </w:t>
      </w:r>
      <w:r w:rsidR="007A7B2F">
        <w:rPr>
          <w:color w:val="000000" w:themeColor="text1"/>
          <w:sz w:val="20"/>
          <w:szCs w:val="20"/>
        </w:rPr>
        <w:t>43rd</w:t>
      </w:r>
      <w:r w:rsidR="00FF41A0">
        <w:rPr>
          <w:color w:val="000000" w:themeColor="text1"/>
          <w:sz w:val="20"/>
          <w:szCs w:val="20"/>
        </w:rPr>
        <w:t xml:space="preserve"> </w:t>
      </w:r>
      <w:r w:rsidR="00F11B08" w:rsidRPr="007A7B2F">
        <w:rPr>
          <w:color w:val="000000" w:themeColor="text1"/>
          <w:sz w:val="20"/>
          <w:szCs w:val="20"/>
        </w:rPr>
        <w:t>meeting</w:t>
      </w:r>
      <w:r w:rsidR="007A7B2F">
        <w:rPr>
          <w:color w:val="000000" w:themeColor="text1"/>
          <w:sz w:val="20"/>
          <w:szCs w:val="20"/>
        </w:rPr>
        <w:t>s</w:t>
      </w:r>
      <w:r w:rsidR="00F11B08" w:rsidRPr="007A7B2F">
        <w:rPr>
          <w:color w:val="000000" w:themeColor="text1"/>
          <w:sz w:val="20"/>
          <w:szCs w:val="20"/>
        </w:rPr>
        <w:t>,</w:t>
      </w:r>
      <w:r w:rsidR="00FF41A0">
        <w:rPr>
          <w:color w:val="000000" w:themeColor="text1"/>
          <w:sz w:val="20"/>
          <w:szCs w:val="20"/>
        </w:rPr>
        <w:t xml:space="preserve"> </w:t>
      </w:r>
      <w:r w:rsidR="00F11B08" w:rsidRPr="007A7B2F">
        <w:rPr>
          <w:color w:val="000000" w:themeColor="text1"/>
          <w:sz w:val="20"/>
          <w:szCs w:val="20"/>
        </w:rPr>
        <w:t>on</w:t>
      </w:r>
      <w:r w:rsidR="00FF41A0">
        <w:rPr>
          <w:color w:val="000000" w:themeColor="text1"/>
          <w:sz w:val="20"/>
          <w:szCs w:val="20"/>
        </w:rPr>
        <w:t xml:space="preserve"> </w:t>
      </w:r>
      <w:r w:rsidR="007A7B2F">
        <w:rPr>
          <w:color w:val="000000" w:themeColor="text1"/>
          <w:sz w:val="20"/>
          <w:szCs w:val="20"/>
        </w:rPr>
        <w:t>18</w:t>
      </w:r>
      <w:r w:rsidR="00FF41A0">
        <w:rPr>
          <w:color w:val="000000" w:themeColor="text1"/>
          <w:sz w:val="20"/>
          <w:szCs w:val="20"/>
        </w:rPr>
        <w:t xml:space="preserve"> </w:t>
      </w:r>
      <w:r w:rsidR="00F11B08" w:rsidRPr="007A7B2F">
        <w:rPr>
          <w:color w:val="000000" w:themeColor="text1"/>
          <w:sz w:val="20"/>
          <w:szCs w:val="20"/>
        </w:rPr>
        <w:t>March</w:t>
      </w:r>
      <w:r w:rsidR="00FF41A0">
        <w:rPr>
          <w:color w:val="000000" w:themeColor="text1"/>
          <w:sz w:val="20"/>
          <w:szCs w:val="20"/>
        </w:rPr>
        <w:t xml:space="preserve"> </w:t>
      </w:r>
      <w:r w:rsidR="00141AFC" w:rsidRPr="007A7B2F">
        <w:rPr>
          <w:color w:val="000000" w:themeColor="text1"/>
          <w:sz w:val="20"/>
          <w:szCs w:val="20"/>
        </w:rPr>
        <w:t>2019</w:t>
      </w:r>
      <w:r w:rsidR="00F11B08" w:rsidRPr="0037538E">
        <w:rPr>
          <w:color w:val="000000" w:themeColor="text1"/>
          <w:sz w:val="20"/>
          <w:szCs w:val="20"/>
        </w:rPr>
        <w:t>,</w:t>
      </w:r>
      <w:r w:rsidR="00FF41A0">
        <w:rPr>
          <w:color w:val="000000" w:themeColor="text1"/>
          <w:sz w:val="20"/>
          <w:szCs w:val="20"/>
        </w:rPr>
        <w:t xml:space="preserve"> </w:t>
      </w:r>
      <w:r w:rsidR="00F11B08" w:rsidRPr="0037538E">
        <w:rPr>
          <w:color w:val="000000" w:themeColor="text1"/>
          <w:sz w:val="20"/>
          <w:szCs w:val="20"/>
        </w:rPr>
        <w:t>the</w:t>
      </w:r>
      <w:r w:rsidR="00FF41A0">
        <w:rPr>
          <w:color w:val="000000" w:themeColor="text1"/>
          <w:sz w:val="20"/>
          <w:szCs w:val="20"/>
        </w:rPr>
        <w:t xml:space="preserve"> </w:t>
      </w:r>
      <w:r w:rsidR="00F11B08" w:rsidRPr="0037538E">
        <w:rPr>
          <w:color w:val="000000" w:themeColor="text1"/>
          <w:sz w:val="20"/>
          <w:szCs w:val="20"/>
        </w:rPr>
        <w:t>Council</w:t>
      </w:r>
      <w:r w:rsidR="00FF41A0">
        <w:rPr>
          <w:color w:val="000000" w:themeColor="text1"/>
          <w:sz w:val="20"/>
          <w:szCs w:val="20"/>
        </w:rPr>
        <w:t xml:space="preserve"> </w:t>
      </w:r>
      <w:r w:rsidR="00F11B08" w:rsidRPr="0037538E">
        <w:rPr>
          <w:color w:val="000000" w:themeColor="text1"/>
          <w:sz w:val="20"/>
          <w:szCs w:val="20"/>
        </w:rPr>
        <w:t>held</w:t>
      </w:r>
      <w:r w:rsidR="00FF41A0">
        <w:rPr>
          <w:color w:val="000000" w:themeColor="text1"/>
          <w:sz w:val="20"/>
          <w:szCs w:val="20"/>
        </w:rPr>
        <w:t xml:space="preserve"> </w:t>
      </w:r>
      <w:r w:rsidR="00F11B08" w:rsidRPr="0037538E">
        <w:rPr>
          <w:color w:val="000000" w:themeColor="text1"/>
          <w:sz w:val="20"/>
          <w:szCs w:val="20"/>
        </w:rPr>
        <w:t>a</w:t>
      </w:r>
      <w:r w:rsidR="00FF41A0">
        <w:rPr>
          <w:color w:val="000000" w:themeColor="text1"/>
          <w:sz w:val="20"/>
          <w:szCs w:val="20"/>
        </w:rPr>
        <w:t xml:space="preserve"> </w:t>
      </w:r>
      <w:r w:rsidR="00F11B08" w:rsidRPr="0037538E">
        <w:rPr>
          <w:color w:val="000000" w:themeColor="text1"/>
          <w:sz w:val="20"/>
          <w:szCs w:val="20"/>
        </w:rPr>
        <w:t>general</w:t>
      </w:r>
      <w:r w:rsidR="00FF41A0">
        <w:rPr>
          <w:color w:val="000000" w:themeColor="text1"/>
          <w:sz w:val="20"/>
          <w:szCs w:val="20"/>
        </w:rPr>
        <w:t xml:space="preserve"> </w:t>
      </w:r>
      <w:r w:rsidR="00F11B08" w:rsidRPr="0037538E">
        <w:rPr>
          <w:color w:val="000000" w:themeColor="text1"/>
          <w:sz w:val="20"/>
          <w:szCs w:val="20"/>
        </w:rPr>
        <w:t>debate</w:t>
      </w:r>
      <w:r w:rsidR="00FF41A0">
        <w:rPr>
          <w:color w:val="000000" w:themeColor="text1"/>
          <w:sz w:val="20"/>
          <w:szCs w:val="20"/>
        </w:rPr>
        <w:t xml:space="preserve"> </w:t>
      </w:r>
      <w:r w:rsidR="00F11B08" w:rsidRPr="0037538E">
        <w:rPr>
          <w:color w:val="000000" w:themeColor="text1"/>
          <w:sz w:val="20"/>
          <w:szCs w:val="20"/>
        </w:rPr>
        <w:t>on</w:t>
      </w:r>
      <w:r w:rsidR="00FF41A0">
        <w:rPr>
          <w:color w:val="000000" w:themeColor="text1"/>
          <w:sz w:val="20"/>
          <w:szCs w:val="20"/>
        </w:rPr>
        <w:t xml:space="preserve"> </w:t>
      </w:r>
      <w:r w:rsidR="00F11B08" w:rsidRPr="0037538E">
        <w:rPr>
          <w:color w:val="000000" w:themeColor="text1"/>
          <w:sz w:val="20"/>
          <w:szCs w:val="20"/>
        </w:rPr>
        <w:t>agenda</w:t>
      </w:r>
      <w:r w:rsidR="00FF41A0">
        <w:rPr>
          <w:color w:val="000000" w:themeColor="text1"/>
          <w:sz w:val="20"/>
          <w:szCs w:val="20"/>
        </w:rPr>
        <w:t xml:space="preserve"> </w:t>
      </w:r>
      <w:r w:rsidR="00F11B08" w:rsidRPr="0037538E">
        <w:rPr>
          <w:color w:val="000000" w:themeColor="text1"/>
          <w:sz w:val="20"/>
          <w:szCs w:val="20"/>
        </w:rPr>
        <w:t>item</w:t>
      </w:r>
      <w:r w:rsidR="00FF41A0">
        <w:rPr>
          <w:color w:val="000000" w:themeColor="text1"/>
          <w:sz w:val="20"/>
          <w:szCs w:val="20"/>
        </w:rPr>
        <w:t xml:space="preserve"> </w:t>
      </w:r>
      <w:r w:rsidR="00F11B08" w:rsidRPr="0037538E">
        <w:rPr>
          <w:color w:val="000000" w:themeColor="text1"/>
          <w:sz w:val="20"/>
          <w:szCs w:val="20"/>
        </w:rPr>
        <w:t>7,</w:t>
      </w:r>
      <w:r w:rsidR="00FF41A0">
        <w:rPr>
          <w:color w:val="000000" w:themeColor="text1"/>
          <w:sz w:val="20"/>
          <w:szCs w:val="20"/>
        </w:rPr>
        <w:t xml:space="preserve"> </w:t>
      </w:r>
      <w:r w:rsidR="00F11B08" w:rsidRPr="0037538E">
        <w:rPr>
          <w:color w:val="000000" w:themeColor="text1"/>
          <w:sz w:val="20"/>
          <w:szCs w:val="20"/>
        </w:rPr>
        <w:t>during</w:t>
      </w:r>
      <w:r w:rsidR="00FF41A0">
        <w:rPr>
          <w:color w:val="000000" w:themeColor="text1"/>
          <w:sz w:val="20"/>
          <w:szCs w:val="20"/>
        </w:rPr>
        <w:t xml:space="preserve"> </w:t>
      </w:r>
      <w:r w:rsidR="00F11B08" w:rsidRPr="0037538E">
        <w:rPr>
          <w:color w:val="000000" w:themeColor="text1"/>
          <w:sz w:val="20"/>
          <w:szCs w:val="20"/>
        </w:rPr>
        <w:t>which</w:t>
      </w:r>
      <w:r w:rsidR="00FF41A0">
        <w:rPr>
          <w:color w:val="000000" w:themeColor="text1"/>
          <w:sz w:val="20"/>
          <w:szCs w:val="20"/>
        </w:rPr>
        <w:t xml:space="preserve"> </w:t>
      </w:r>
      <w:r w:rsidR="00F11B08" w:rsidRPr="0037538E">
        <w:rPr>
          <w:color w:val="000000" w:themeColor="text1"/>
          <w:sz w:val="20"/>
          <w:szCs w:val="20"/>
        </w:rPr>
        <w:t>the</w:t>
      </w:r>
      <w:r w:rsidR="00FF41A0">
        <w:rPr>
          <w:color w:val="000000" w:themeColor="text1"/>
          <w:sz w:val="20"/>
          <w:szCs w:val="20"/>
        </w:rPr>
        <w:t xml:space="preserve"> </w:t>
      </w:r>
      <w:r w:rsidR="00F11B08" w:rsidRPr="0037538E">
        <w:rPr>
          <w:color w:val="000000" w:themeColor="text1"/>
          <w:sz w:val="20"/>
          <w:szCs w:val="20"/>
        </w:rPr>
        <w:t>following</w:t>
      </w:r>
      <w:r w:rsidR="00FF41A0">
        <w:rPr>
          <w:color w:val="000000" w:themeColor="text1"/>
          <w:sz w:val="20"/>
          <w:szCs w:val="20"/>
        </w:rPr>
        <w:t xml:space="preserve"> </w:t>
      </w:r>
      <w:r w:rsidR="00F11B08" w:rsidRPr="0037538E">
        <w:rPr>
          <w:color w:val="000000" w:themeColor="text1"/>
          <w:sz w:val="20"/>
          <w:szCs w:val="20"/>
        </w:rPr>
        <w:t>made</w:t>
      </w:r>
      <w:r w:rsidR="00FF41A0">
        <w:rPr>
          <w:color w:val="000000" w:themeColor="text1"/>
          <w:sz w:val="20"/>
          <w:szCs w:val="20"/>
        </w:rPr>
        <w:t xml:space="preserve"> </w:t>
      </w:r>
      <w:r w:rsidR="00F11B08" w:rsidRPr="0037538E">
        <w:rPr>
          <w:color w:val="000000" w:themeColor="text1"/>
          <w:sz w:val="20"/>
          <w:szCs w:val="20"/>
        </w:rPr>
        <w:t>statements:</w:t>
      </w:r>
    </w:p>
    <w:p w14:paraId="2EA58D4B" w14:textId="4790154C" w:rsidR="00F11B08" w:rsidRPr="0037538E" w:rsidRDefault="00F11B08" w:rsidP="00F11B08">
      <w:pPr>
        <w:pStyle w:val="SingleTxtG"/>
        <w:ind w:firstLine="466"/>
        <w:rPr>
          <w:color w:val="000000" w:themeColor="text1"/>
          <w:sz w:val="20"/>
          <w:szCs w:val="20"/>
        </w:rPr>
      </w:pPr>
      <w:r w:rsidRPr="0037538E">
        <w:rPr>
          <w:color w:val="000000" w:themeColor="text1"/>
          <w:sz w:val="20"/>
          <w:szCs w:val="20"/>
        </w:rPr>
        <w:t>(a)</w:t>
      </w:r>
      <w:r w:rsidRPr="0037538E">
        <w:rPr>
          <w:color w:val="000000" w:themeColor="text1"/>
          <w:sz w:val="20"/>
          <w:szCs w:val="20"/>
        </w:rPr>
        <w:tab/>
        <w:t>Representatives</w:t>
      </w:r>
      <w:r w:rsidR="00FF41A0">
        <w:rPr>
          <w:color w:val="000000" w:themeColor="text1"/>
          <w:sz w:val="20"/>
          <w:szCs w:val="20"/>
        </w:rPr>
        <w:t xml:space="preserve"> </w:t>
      </w:r>
      <w:r w:rsidRPr="0037538E">
        <w:rPr>
          <w:color w:val="000000" w:themeColor="text1"/>
          <w:sz w:val="20"/>
          <w:szCs w:val="20"/>
        </w:rPr>
        <w:t>of</w:t>
      </w:r>
      <w:r w:rsidR="00FF41A0">
        <w:rPr>
          <w:color w:val="000000" w:themeColor="text1"/>
          <w:sz w:val="20"/>
          <w:szCs w:val="20"/>
        </w:rPr>
        <w:t xml:space="preserve"> </w:t>
      </w:r>
      <w:r w:rsidR="005D3E5F">
        <w:rPr>
          <w:color w:val="000000" w:themeColor="text1"/>
          <w:sz w:val="20"/>
          <w:szCs w:val="20"/>
        </w:rPr>
        <w:t>States</w:t>
      </w:r>
      <w:r w:rsidR="00FF41A0">
        <w:rPr>
          <w:color w:val="000000" w:themeColor="text1"/>
          <w:sz w:val="20"/>
          <w:szCs w:val="20"/>
        </w:rPr>
        <w:t xml:space="preserve"> </w:t>
      </w:r>
      <w:r w:rsidR="005D3E5F">
        <w:rPr>
          <w:color w:val="000000" w:themeColor="text1"/>
          <w:sz w:val="20"/>
          <w:szCs w:val="20"/>
        </w:rPr>
        <w:t>Members</w:t>
      </w:r>
      <w:r w:rsidR="00FF41A0">
        <w:rPr>
          <w:color w:val="000000" w:themeColor="text1"/>
          <w:sz w:val="20"/>
          <w:szCs w:val="20"/>
        </w:rPr>
        <w:t xml:space="preserve"> </w:t>
      </w:r>
      <w:r w:rsidRPr="0037538E">
        <w:rPr>
          <w:color w:val="000000" w:themeColor="text1"/>
          <w:sz w:val="20"/>
          <w:szCs w:val="20"/>
        </w:rPr>
        <w:t>of</w:t>
      </w:r>
      <w:r w:rsidR="00FF41A0">
        <w:rPr>
          <w:color w:val="000000" w:themeColor="text1"/>
          <w:sz w:val="20"/>
          <w:szCs w:val="20"/>
        </w:rPr>
        <w:t xml:space="preserve"> </w:t>
      </w:r>
      <w:r w:rsidRPr="0037538E">
        <w:rPr>
          <w:color w:val="000000" w:themeColor="text1"/>
          <w:sz w:val="20"/>
          <w:szCs w:val="20"/>
        </w:rPr>
        <w:t>the</w:t>
      </w:r>
      <w:r w:rsidR="00FF41A0">
        <w:rPr>
          <w:color w:val="000000" w:themeColor="text1"/>
          <w:sz w:val="20"/>
          <w:szCs w:val="20"/>
        </w:rPr>
        <w:t xml:space="preserve"> </w:t>
      </w:r>
      <w:r w:rsidRPr="0037538E">
        <w:rPr>
          <w:color w:val="000000" w:themeColor="text1"/>
          <w:sz w:val="20"/>
          <w:szCs w:val="20"/>
        </w:rPr>
        <w:t>Human</w:t>
      </w:r>
      <w:r w:rsidR="00FF41A0">
        <w:rPr>
          <w:color w:val="000000" w:themeColor="text1"/>
          <w:sz w:val="20"/>
          <w:szCs w:val="20"/>
        </w:rPr>
        <w:t xml:space="preserve"> </w:t>
      </w:r>
      <w:r w:rsidRPr="0037538E">
        <w:rPr>
          <w:color w:val="000000" w:themeColor="text1"/>
          <w:sz w:val="20"/>
          <w:szCs w:val="20"/>
        </w:rPr>
        <w:t>Rights</w:t>
      </w:r>
      <w:r w:rsidR="00FF41A0">
        <w:rPr>
          <w:color w:val="000000" w:themeColor="text1"/>
          <w:sz w:val="20"/>
          <w:szCs w:val="20"/>
        </w:rPr>
        <w:t xml:space="preserve"> </w:t>
      </w:r>
      <w:r w:rsidRPr="0037538E">
        <w:rPr>
          <w:color w:val="000000" w:themeColor="text1"/>
          <w:sz w:val="20"/>
          <w:szCs w:val="20"/>
        </w:rPr>
        <w:t>Council:</w:t>
      </w:r>
      <w:r w:rsidR="00FF41A0">
        <w:rPr>
          <w:color w:val="000000" w:themeColor="text1"/>
          <w:sz w:val="20"/>
          <w:szCs w:val="20"/>
        </w:rPr>
        <w:t xml:space="preserve"> </w:t>
      </w:r>
      <w:r w:rsidR="0069044B" w:rsidRPr="0069044B">
        <w:rPr>
          <w:color w:val="000000" w:themeColor="text1"/>
          <w:sz w:val="20"/>
          <w:szCs w:val="20"/>
        </w:rPr>
        <w:t>Angola</w:t>
      </w:r>
      <w:r w:rsidR="00FF41A0">
        <w:rPr>
          <w:color w:val="000000" w:themeColor="text1"/>
          <w:sz w:val="20"/>
          <w:szCs w:val="20"/>
        </w:rPr>
        <w:t xml:space="preserve"> </w:t>
      </w:r>
      <w:r w:rsidR="0069044B">
        <w:rPr>
          <w:color w:val="000000" w:themeColor="text1"/>
          <w:sz w:val="20"/>
          <w:szCs w:val="20"/>
        </w:rPr>
        <w:t>(</w:t>
      </w:r>
      <w:r w:rsidR="0069044B" w:rsidRPr="0069044B">
        <w:rPr>
          <w:color w:val="000000" w:themeColor="text1"/>
          <w:sz w:val="20"/>
          <w:szCs w:val="20"/>
        </w:rPr>
        <w:t>on</w:t>
      </w:r>
      <w:r w:rsidR="00FF41A0">
        <w:rPr>
          <w:color w:val="000000" w:themeColor="text1"/>
          <w:sz w:val="20"/>
          <w:szCs w:val="20"/>
        </w:rPr>
        <w:t xml:space="preserve"> </w:t>
      </w:r>
      <w:r w:rsidR="0069044B" w:rsidRPr="0069044B">
        <w:rPr>
          <w:color w:val="000000" w:themeColor="text1"/>
          <w:sz w:val="20"/>
          <w:szCs w:val="20"/>
        </w:rPr>
        <w:t>behalf</w:t>
      </w:r>
      <w:r w:rsidR="00FF41A0">
        <w:rPr>
          <w:color w:val="000000" w:themeColor="text1"/>
          <w:sz w:val="20"/>
          <w:szCs w:val="20"/>
        </w:rPr>
        <w:t xml:space="preserve"> </w:t>
      </w:r>
      <w:r w:rsidR="0069044B" w:rsidRPr="0069044B">
        <w:rPr>
          <w:color w:val="000000" w:themeColor="text1"/>
          <w:sz w:val="20"/>
          <w:szCs w:val="20"/>
        </w:rPr>
        <w:t>of</w:t>
      </w:r>
      <w:r w:rsidR="00FF41A0">
        <w:rPr>
          <w:color w:val="000000" w:themeColor="text1"/>
          <w:sz w:val="20"/>
          <w:szCs w:val="20"/>
        </w:rPr>
        <w:t xml:space="preserve"> </w:t>
      </w:r>
      <w:r w:rsidR="0069044B" w:rsidRPr="0069044B">
        <w:rPr>
          <w:color w:val="000000" w:themeColor="text1"/>
          <w:sz w:val="20"/>
          <w:szCs w:val="20"/>
        </w:rPr>
        <w:t>the</w:t>
      </w:r>
      <w:r w:rsidR="00FF41A0">
        <w:rPr>
          <w:color w:val="000000" w:themeColor="text1"/>
          <w:sz w:val="20"/>
          <w:szCs w:val="20"/>
        </w:rPr>
        <w:t xml:space="preserve"> </w:t>
      </w:r>
      <w:r w:rsidR="0069044B" w:rsidRPr="0069044B">
        <w:rPr>
          <w:color w:val="000000" w:themeColor="text1"/>
          <w:sz w:val="20"/>
          <w:szCs w:val="20"/>
        </w:rPr>
        <w:t>Group</w:t>
      </w:r>
      <w:r w:rsidR="00FF41A0">
        <w:rPr>
          <w:color w:val="000000" w:themeColor="text1"/>
          <w:sz w:val="20"/>
          <w:szCs w:val="20"/>
        </w:rPr>
        <w:t xml:space="preserve"> </w:t>
      </w:r>
      <w:r w:rsidR="0069044B">
        <w:rPr>
          <w:color w:val="000000" w:themeColor="text1"/>
          <w:sz w:val="20"/>
          <w:szCs w:val="20"/>
        </w:rPr>
        <w:t>of</w:t>
      </w:r>
      <w:r w:rsidR="00FF41A0">
        <w:rPr>
          <w:color w:val="000000" w:themeColor="text1"/>
          <w:sz w:val="20"/>
          <w:szCs w:val="20"/>
        </w:rPr>
        <w:t xml:space="preserve"> </w:t>
      </w:r>
      <w:r w:rsidR="0069044B" w:rsidRPr="0069044B">
        <w:rPr>
          <w:color w:val="000000" w:themeColor="text1"/>
          <w:sz w:val="20"/>
          <w:szCs w:val="20"/>
        </w:rPr>
        <w:t>African</w:t>
      </w:r>
      <w:r w:rsidR="00FF41A0">
        <w:rPr>
          <w:color w:val="000000" w:themeColor="text1"/>
          <w:sz w:val="20"/>
          <w:szCs w:val="20"/>
        </w:rPr>
        <w:t xml:space="preserve"> </w:t>
      </w:r>
      <w:r w:rsidR="0069044B">
        <w:rPr>
          <w:color w:val="000000" w:themeColor="text1"/>
          <w:sz w:val="20"/>
          <w:szCs w:val="20"/>
        </w:rPr>
        <w:t>States),</w:t>
      </w:r>
      <w:r w:rsidR="00FF41A0">
        <w:rPr>
          <w:color w:val="000000" w:themeColor="text1"/>
          <w:sz w:val="20"/>
          <w:szCs w:val="20"/>
        </w:rPr>
        <w:t xml:space="preserve"> </w:t>
      </w:r>
      <w:r w:rsidR="0069044B" w:rsidRPr="0069044B">
        <w:rPr>
          <w:color w:val="000000" w:themeColor="text1"/>
          <w:sz w:val="20"/>
          <w:szCs w:val="20"/>
        </w:rPr>
        <w:t>Bahrain</w:t>
      </w:r>
      <w:r w:rsidR="00FF41A0">
        <w:rPr>
          <w:color w:val="000000" w:themeColor="text1"/>
          <w:sz w:val="20"/>
          <w:szCs w:val="20"/>
        </w:rPr>
        <w:t xml:space="preserve"> </w:t>
      </w:r>
      <w:r w:rsidR="0069044B">
        <w:rPr>
          <w:color w:val="000000" w:themeColor="text1"/>
          <w:sz w:val="20"/>
          <w:szCs w:val="20"/>
        </w:rPr>
        <w:t>(also</w:t>
      </w:r>
      <w:r w:rsidR="00FF41A0">
        <w:rPr>
          <w:color w:val="000000" w:themeColor="text1"/>
          <w:sz w:val="20"/>
          <w:szCs w:val="20"/>
        </w:rPr>
        <w:t xml:space="preserve"> </w:t>
      </w:r>
      <w:r w:rsidR="0069044B" w:rsidRPr="0069044B">
        <w:rPr>
          <w:color w:val="000000" w:themeColor="text1"/>
          <w:sz w:val="20"/>
          <w:szCs w:val="20"/>
        </w:rPr>
        <w:t>on</w:t>
      </w:r>
      <w:r w:rsidR="00FF41A0">
        <w:rPr>
          <w:color w:val="000000" w:themeColor="text1"/>
          <w:sz w:val="20"/>
          <w:szCs w:val="20"/>
        </w:rPr>
        <w:t xml:space="preserve"> </w:t>
      </w:r>
      <w:r w:rsidR="0069044B" w:rsidRPr="0069044B">
        <w:rPr>
          <w:color w:val="000000" w:themeColor="text1"/>
          <w:sz w:val="20"/>
          <w:szCs w:val="20"/>
        </w:rPr>
        <w:t>behalf</w:t>
      </w:r>
      <w:r w:rsidR="00FF41A0">
        <w:rPr>
          <w:color w:val="000000" w:themeColor="text1"/>
          <w:sz w:val="20"/>
          <w:szCs w:val="20"/>
        </w:rPr>
        <w:t xml:space="preserve"> </w:t>
      </w:r>
      <w:r w:rsidR="0069044B" w:rsidRPr="0069044B">
        <w:rPr>
          <w:color w:val="000000" w:themeColor="text1"/>
          <w:sz w:val="20"/>
          <w:szCs w:val="20"/>
        </w:rPr>
        <w:t>of</w:t>
      </w:r>
      <w:r w:rsidR="00FF41A0">
        <w:rPr>
          <w:color w:val="000000" w:themeColor="text1"/>
          <w:sz w:val="20"/>
          <w:szCs w:val="20"/>
        </w:rPr>
        <w:t xml:space="preserve"> </w:t>
      </w:r>
      <w:r w:rsidR="0069044B" w:rsidRPr="0069044B">
        <w:rPr>
          <w:color w:val="000000" w:themeColor="text1"/>
          <w:sz w:val="20"/>
          <w:szCs w:val="20"/>
        </w:rPr>
        <w:t>the</w:t>
      </w:r>
      <w:r w:rsidR="00FF41A0">
        <w:rPr>
          <w:color w:val="000000" w:themeColor="text1"/>
          <w:sz w:val="20"/>
          <w:szCs w:val="20"/>
        </w:rPr>
        <w:t xml:space="preserve"> </w:t>
      </w:r>
      <w:r w:rsidR="0069044B" w:rsidRPr="0069044B">
        <w:rPr>
          <w:color w:val="000000" w:themeColor="text1"/>
          <w:sz w:val="20"/>
          <w:szCs w:val="20"/>
        </w:rPr>
        <w:t>Group</w:t>
      </w:r>
      <w:r w:rsidR="00FF41A0">
        <w:rPr>
          <w:color w:val="000000" w:themeColor="text1"/>
          <w:sz w:val="20"/>
          <w:szCs w:val="20"/>
        </w:rPr>
        <w:t xml:space="preserve"> </w:t>
      </w:r>
      <w:r w:rsidR="0069044B">
        <w:rPr>
          <w:color w:val="000000" w:themeColor="text1"/>
          <w:sz w:val="20"/>
          <w:szCs w:val="20"/>
        </w:rPr>
        <w:t>of</w:t>
      </w:r>
      <w:r w:rsidR="00FF41A0">
        <w:rPr>
          <w:color w:val="000000" w:themeColor="text1"/>
          <w:sz w:val="20"/>
          <w:szCs w:val="20"/>
        </w:rPr>
        <w:t xml:space="preserve"> </w:t>
      </w:r>
      <w:r w:rsidR="0069044B" w:rsidRPr="0069044B">
        <w:rPr>
          <w:color w:val="000000" w:themeColor="text1"/>
          <w:sz w:val="20"/>
          <w:szCs w:val="20"/>
        </w:rPr>
        <w:t>Arab</w:t>
      </w:r>
      <w:r w:rsidR="00FF41A0">
        <w:rPr>
          <w:color w:val="000000" w:themeColor="text1"/>
          <w:sz w:val="20"/>
          <w:szCs w:val="20"/>
        </w:rPr>
        <w:t xml:space="preserve"> </w:t>
      </w:r>
      <w:r w:rsidR="0069044B">
        <w:rPr>
          <w:color w:val="000000" w:themeColor="text1"/>
          <w:sz w:val="20"/>
          <w:szCs w:val="20"/>
        </w:rPr>
        <w:t>States),</w:t>
      </w:r>
      <w:r w:rsidR="00FF41A0">
        <w:rPr>
          <w:color w:val="000000" w:themeColor="text1"/>
          <w:sz w:val="20"/>
          <w:szCs w:val="20"/>
        </w:rPr>
        <w:t xml:space="preserve"> </w:t>
      </w:r>
      <w:r w:rsidR="0069044B" w:rsidRPr="0069044B">
        <w:rPr>
          <w:color w:val="000000" w:themeColor="text1"/>
          <w:sz w:val="20"/>
          <w:szCs w:val="20"/>
        </w:rPr>
        <w:t>Bangladesh</w:t>
      </w:r>
      <w:r w:rsidR="0069044B">
        <w:rPr>
          <w:color w:val="000000" w:themeColor="text1"/>
          <w:sz w:val="20"/>
          <w:szCs w:val="20"/>
        </w:rPr>
        <w:t>,</w:t>
      </w:r>
      <w:r w:rsidR="00FF41A0">
        <w:rPr>
          <w:color w:val="000000" w:themeColor="text1"/>
          <w:sz w:val="20"/>
          <w:szCs w:val="20"/>
        </w:rPr>
        <w:t xml:space="preserve"> </w:t>
      </w:r>
      <w:r w:rsidR="0069044B" w:rsidRPr="0069044B">
        <w:rPr>
          <w:color w:val="000000" w:themeColor="text1"/>
          <w:sz w:val="20"/>
          <w:szCs w:val="20"/>
        </w:rPr>
        <w:t>Chile</w:t>
      </w:r>
      <w:r w:rsidR="0069044B">
        <w:rPr>
          <w:color w:val="000000" w:themeColor="text1"/>
          <w:sz w:val="20"/>
          <w:szCs w:val="20"/>
        </w:rPr>
        <w:t>,</w:t>
      </w:r>
      <w:r w:rsidR="00FF41A0">
        <w:rPr>
          <w:color w:val="000000" w:themeColor="text1"/>
          <w:sz w:val="20"/>
          <w:szCs w:val="20"/>
        </w:rPr>
        <w:t xml:space="preserve"> </w:t>
      </w:r>
      <w:r w:rsidR="0069044B" w:rsidRPr="0069044B">
        <w:rPr>
          <w:color w:val="000000" w:themeColor="text1"/>
          <w:sz w:val="20"/>
          <w:szCs w:val="20"/>
        </w:rPr>
        <w:t>China</w:t>
      </w:r>
      <w:r w:rsidR="0069044B">
        <w:rPr>
          <w:color w:val="000000" w:themeColor="text1"/>
          <w:sz w:val="20"/>
          <w:szCs w:val="20"/>
        </w:rPr>
        <w:t>,</w:t>
      </w:r>
      <w:r w:rsidR="00FF41A0">
        <w:rPr>
          <w:color w:val="000000" w:themeColor="text1"/>
          <w:sz w:val="20"/>
          <w:szCs w:val="20"/>
        </w:rPr>
        <w:t xml:space="preserve"> </w:t>
      </w:r>
      <w:r w:rsidR="0069044B" w:rsidRPr="0069044B">
        <w:rPr>
          <w:color w:val="000000" w:themeColor="text1"/>
          <w:sz w:val="20"/>
          <w:szCs w:val="20"/>
        </w:rPr>
        <w:t>Cuba</w:t>
      </w:r>
      <w:r w:rsidR="0069044B">
        <w:rPr>
          <w:color w:val="000000" w:themeColor="text1"/>
          <w:sz w:val="20"/>
          <w:szCs w:val="20"/>
        </w:rPr>
        <w:t>,</w:t>
      </w:r>
      <w:r w:rsidR="00FF41A0">
        <w:rPr>
          <w:color w:val="000000" w:themeColor="text1"/>
          <w:sz w:val="20"/>
          <w:szCs w:val="20"/>
        </w:rPr>
        <w:t xml:space="preserve"> </w:t>
      </w:r>
      <w:r w:rsidR="0069044B" w:rsidRPr="0069044B">
        <w:rPr>
          <w:color w:val="000000" w:themeColor="text1"/>
          <w:sz w:val="20"/>
          <w:szCs w:val="20"/>
        </w:rPr>
        <w:t>Egypt</w:t>
      </w:r>
      <w:r w:rsidR="0069044B">
        <w:rPr>
          <w:color w:val="000000" w:themeColor="text1"/>
          <w:sz w:val="20"/>
          <w:szCs w:val="20"/>
        </w:rPr>
        <w:t>,</w:t>
      </w:r>
      <w:r w:rsidR="00FF41A0">
        <w:rPr>
          <w:color w:val="000000" w:themeColor="text1"/>
          <w:sz w:val="20"/>
          <w:szCs w:val="20"/>
        </w:rPr>
        <w:t xml:space="preserve"> </w:t>
      </w:r>
      <w:r w:rsidR="0069044B" w:rsidRPr="0069044B">
        <w:rPr>
          <w:color w:val="000000" w:themeColor="text1"/>
          <w:sz w:val="20"/>
          <w:szCs w:val="20"/>
        </w:rPr>
        <w:t>Iraq</w:t>
      </w:r>
      <w:r w:rsidR="0069044B">
        <w:rPr>
          <w:color w:val="000000" w:themeColor="text1"/>
          <w:sz w:val="20"/>
          <w:szCs w:val="20"/>
        </w:rPr>
        <w:t>,</w:t>
      </w:r>
      <w:r w:rsidR="00FF41A0">
        <w:rPr>
          <w:color w:val="000000" w:themeColor="text1"/>
          <w:sz w:val="20"/>
          <w:szCs w:val="20"/>
        </w:rPr>
        <w:t xml:space="preserve"> </w:t>
      </w:r>
      <w:r w:rsidR="0069044B" w:rsidRPr="0069044B">
        <w:rPr>
          <w:color w:val="000000" w:themeColor="text1"/>
          <w:sz w:val="20"/>
          <w:szCs w:val="20"/>
        </w:rPr>
        <w:t>Nigeria</w:t>
      </w:r>
      <w:r w:rsidR="0069044B">
        <w:rPr>
          <w:color w:val="000000" w:themeColor="text1"/>
          <w:sz w:val="20"/>
          <w:szCs w:val="20"/>
        </w:rPr>
        <w:t>,</w:t>
      </w:r>
      <w:r w:rsidR="00FF41A0">
        <w:rPr>
          <w:color w:val="000000" w:themeColor="text1"/>
          <w:sz w:val="20"/>
          <w:szCs w:val="20"/>
        </w:rPr>
        <w:t xml:space="preserve"> </w:t>
      </w:r>
      <w:r w:rsidR="0069044B" w:rsidRPr="0069044B">
        <w:rPr>
          <w:color w:val="000000" w:themeColor="text1"/>
          <w:sz w:val="20"/>
          <w:szCs w:val="20"/>
        </w:rPr>
        <w:t>Oman</w:t>
      </w:r>
      <w:r w:rsidR="00FF41A0">
        <w:rPr>
          <w:color w:val="000000" w:themeColor="text1"/>
          <w:sz w:val="20"/>
          <w:szCs w:val="20"/>
        </w:rPr>
        <w:t xml:space="preserve"> </w:t>
      </w:r>
      <w:r w:rsidR="0069044B">
        <w:rPr>
          <w:color w:val="000000" w:themeColor="text1"/>
          <w:sz w:val="20"/>
          <w:szCs w:val="20"/>
        </w:rPr>
        <w:t>(</w:t>
      </w:r>
      <w:r w:rsidR="0069044B" w:rsidRPr="0069044B">
        <w:rPr>
          <w:color w:val="000000" w:themeColor="text1"/>
          <w:sz w:val="20"/>
          <w:szCs w:val="20"/>
        </w:rPr>
        <w:t>on</w:t>
      </w:r>
      <w:r w:rsidR="00FF41A0">
        <w:rPr>
          <w:color w:val="000000" w:themeColor="text1"/>
          <w:sz w:val="20"/>
          <w:szCs w:val="20"/>
        </w:rPr>
        <w:t xml:space="preserve"> </w:t>
      </w:r>
      <w:r w:rsidR="0069044B" w:rsidRPr="0069044B">
        <w:rPr>
          <w:color w:val="000000" w:themeColor="text1"/>
          <w:sz w:val="20"/>
          <w:szCs w:val="20"/>
        </w:rPr>
        <w:t>behalf</w:t>
      </w:r>
      <w:r w:rsidR="00FF41A0">
        <w:rPr>
          <w:color w:val="000000" w:themeColor="text1"/>
          <w:sz w:val="20"/>
          <w:szCs w:val="20"/>
        </w:rPr>
        <w:t xml:space="preserve"> </w:t>
      </w:r>
      <w:r w:rsidR="0069044B" w:rsidRPr="0069044B">
        <w:rPr>
          <w:color w:val="000000" w:themeColor="text1"/>
          <w:sz w:val="20"/>
          <w:szCs w:val="20"/>
        </w:rPr>
        <w:t>of</w:t>
      </w:r>
      <w:r w:rsidR="00FF41A0">
        <w:rPr>
          <w:color w:val="000000" w:themeColor="text1"/>
          <w:sz w:val="20"/>
          <w:szCs w:val="20"/>
        </w:rPr>
        <w:t xml:space="preserve"> </w:t>
      </w:r>
      <w:r w:rsidR="0069044B">
        <w:rPr>
          <w:color w:val="000000" w:themeColor="text1"/>
          <w:sz w:val="20"/>
          <w:szCs w:val="20"/>
        </w:rPr>
        <w:t>the</w:t>
      </w:r>
      <w:r w:rsidR="00FF41A0">
        <w:rPr>
          <w:color w:val="000000" w:themeColor="text1"/>
          <w:sz w:val="20"/>
          <w:szCs w:val="20"/>
        </w:rPr>
        <w:t xml:space="preserve"> </w:t>
      </w:r>
      <w:r w:rsidR="0069044B" w:rsidRPr="00C707C3">
        <w:rPr>
          <w:color w:val="000000" w:themeColor="text1"/>
          <w:sz w:val="20"/>
          <w:szCs w:val="20"/>
        </w:rPr>
        <w:t>Cooperation</w:t>
      </w:r>
      <w:r w:rsidR="00FF41A0">
        <w:rPr>
          <w:color w:val="000000" w:themeColor="text1"/>
          <w:sz w:val="20"/>
          <w:szCs w:val="20"/>
        </w:rPr>
        <w:t xml:space="preserve"> </w:t>
      </w:r>
      <w:r w:rsidR="0069044B" w:rsidRPr="00C707C3">
        <w:rPr>
          <w:color w:val="000000" w:themeColor="text1"/>
          <w:sz w:val="20"/>
          <w:szCs w:val="20"/>
        </w:rPr>
        <w:t>Council</w:t>
      </w:r>
      <w:r w:rsidR="00FF41A0">
        <w:rPr>
          <w:color w:val="000000" w:themeColor="text1"/>
          <w:sz w:val="20"/>
          <w:szCs w:val="20"/>
        </w:rPr>
        <w:t xml:space="preserve"> </w:t>
      </w:r>
      <w:r w:rsidR="0069044B" w:rsidRPr="00C707C3">
        <w:rPr>
          <w:color w:val="000000" w:themeColor="text1"/>
          <w:sz w:val="20"/>
          <w:szCs w:val="20"/>
        </w:rPr>
        <w:t>for</w:t>
      </w:r>
      <w:r w:rsidR="00FF41A0">
        <w:rPr>
          <w:color w:val="000000" w:themeColor="text1"/>
          <w:sz w:val="20"/>
          <w:szCs w:val="20"/>
        </w:rPr>
        <w:t xml:space="preserve"> </w:t>
      </w:r>
      <w:r w:rsidR="0069044B" w:rsidRPr="00C707C3">
        <w:rPr>
          <w:color w:val="000000" w:themeColor="text1"/>
          <w:sz w:val="20"/>
          <w:szCs w:val="20"/>
        </w:rPr>
        <w:t>the</w:t>
      </w:r>
      <w:r w:rsidR="00FF41A0">
        <w:rPr>
          <w:color w:val="000000" w:themeColor="text1"/>
          <w:sz w:val="20"/>
          <w:szCs w:val="20"/>
        </w:rPr>
        <w:t xml:space="preserve"> </w:t>
      </w:r>
      <w:r w:rsidR="0069044B" w:rsidRPr="00C707C3">
        <w:rPr>
          <w:color w:val="000000" w:themeColor="text1"/>
          <w:sz w:val="20"/>
          <w:szCs w:val="20"/>
        </w:rPr>
        <w:t>Arab</w:t>
      </w:r>
      <w:r w:rsidR="00FF41A0">
        <w:rPr>
          <w:color w:val="000000" w:themeColor="text1"/>
          <w:sz w:val="20"/>
          <w:szCs w:val="20"/>
        </w:rPr>
        <w:t xml:space="preserve"> </w:t>
      </w:r>
      <w:r w:rsidR="0069044B" w:rsidRPr="00C707C3">
        <w:rPr>
          <w:color w:val="000000" w:themeColor="text1"/>
          <w:sz w:val="20"/>
          <w:szCs w:val="20"/>
        </w:rPr>
        <w:t>States</w:t>
      </w:r>
      <w:r w:rsidR="00FF41A0">
        <w:rPr>
          <w:color w:val="000000" w:themeColor="text1"/>
          <w:sz w:val="20"/>
          <w:szCs w:val="20"/>
        </w:rPr>
        <w:t xml:space="preserve"> </w:t>
      </w:r>
      <w:r w:rsidR="0069044B" w:rsidRPr="00C707C3">
        <w:rPr>
          <w:color w:val="000000" w:themeColor="text1"/>
          <w:sz w:val="20"/>
          <w:szCs w:val="20"/>
        </w:rPr>
        <w:t>of</w:t>
      </w:r>
      <w:r w:rsidR="00FF41A0">
        <w:rPr>
          <w:color w:val="000000" w:themeColor="text1"/>
          <w:sz w:val="20"/>
          <w:szCs w:val="20"/>
        </w:rPr>
        <w:t xml:space="preserve"> </w:t>
      </w:r>
      <w:r w:rsidR="0069044B" w:rsidRPr="00C707C3">
        <w:rPr>
          <w:color w:val="000000" w:themeColor="text1"/>
          <w:sz w:val="20"/>
          <w:szCs w:val="20"/>
        </w:rPr>
        <w:t>the</w:t>
      </w:r>
      <w:r w:rsidR="00FF41A0">
        <w:rPr>
          <w:color w:val="000000" w:themeColor="text1"/>
          <w:sz w:val="20"/>
          <w:szCs w:val="20"/>
        </w:rPr>
        <w:t xml:space="preserve"> </w:t>
      </w:r>
      <w:r w:rsidR="0069044B" w:rsidRPr="00C707C3">
        <w:rPr>
          <w:color w:val="000000" w:themeColor="text1"/>
          <w:sz w:val="20"/>
          <w:szCs w:val="20"/>
        </w:rPr>
        <w:t>Gulf</w:t>
      </w:r>
      <w:r w:rsidR="0069044B">
        <w:rPr>
          <w:color w:val="000000" w:themeColor="text1"/>
          <w:sz w:val="20"/>
          <w:szCs w:val="20"/>
        </w:rPr>
        <w:t>),</w:t>
      </w:r>
      <w:r w:rsidR="00FF41A0">
        <w:rPr>
          <w:color w:val="000000" w:themeColor="text1"/>
          <w:sz w:val="20"/>
          <w:szCs w:val="20"/>
        </w:rPr>
        <w:t xml:space="preserve"> </w:t>
      </w:r>
      <w:r w:rsidR="0069044B" w:rsidRPr="0069044B">
        <w:rPr>
          <w:color w:val="000000" w:themeColor="text1"/>
          <w:sz w:val="20"/>
          <w:szCs w:val="20"/>
        </w:rPr>
        <w:t>Pakistan</w:t>
      </w:r>
      <w:r w:rsidR="00FF41A0">
        <w:rPr>
          <w:color w:val="000000" w:themeColor="text1"/>
          <w:sz w:val="20"/>
          <w:szCs w:val="20"/>
        </w:rPr>
        <w:t xml:space="preserve"> </w:t>
      </w:r>
      <w:r w:rsidR="0069044B">
        <w:rPr>
          <w:color w:val="000000" w:themeColor="text1"/>
          <w:sz w:val="20"/>
          <w:szCs w:val="20"/>
        </w:rPr>
        <w:t>(also</w:t>
      </w:r>
      <w:r w:rsidR="00FF41A0">
        <w:rPr>
          <w:color w:val="000000" w:themeColor="text1"/>
          <w:sz w:val="20"/>
          <w:szCs w:val="20"/>
        </w:rPr>
        <w:t xml:space="preserve"> </w:t>
      </w:r>
      <w:r w:rsidR="0069044B" w:rsidRPr="00C707C3">
        <w:rPr>
          <w:color w:val="000000" w:themeColor="text1"/>
          <w:sz w:val="20"/>
          <w:szCs w:val="20"/>
        </w:rPr>
        <w:t>on</w:t>
      </w:r>
      <w:r w:rsidR="00FF41A0">
        <w:rPr>
          <w:color w:val="000000" w:themeColor="text1"/>
          <w:sz w:val="20"/>
          <w:szCs w:val="20"/>
        </w:rPr>
        <w:t xml:space="preserve"> </w:t>
      </w:r>
      <w:r w:rsidR="0069044B" w:rsidRPr="00C707C3">
        <w:rPr>
          <w:color w:val="000000" w:themeColor="text1"/>
          <w:sz w:val="20"/>
          <w:szCs w:val="20"/>
        </w:rPr>
        <w:t>behalf</w:t>
      </w:r>
      <w:r w:rsidR="00FF41A0">
        <w:rPr>
          <w:color w:val="000000" w:themeColor="text1"/>
          <w:sz w:val="20"/>
          <w:szCs w:val="20"/>
        </w:rPr>
        <w:t xml:space="preserve"> </w:t>
      </w:r>
      <w:r w:rsidR="0069044B" w:rsidRPr="00C707C3">
        <w:rPr>
          <w:color w:val="000000" w:themeColor="text1"/>
          <w:sz w:val="20"/>
          <w:szCs w:val="20"/>
        </w:rPr>
        <w:t>of</w:t>
      </w:r>
      <w:r w:rsidR="00FF41A0">
        <w:rPr>
          <w:color w:val="000000" w:themeColor="text1"/>
          <w:sz w:val="20"/>
          <w:szCs w:val="20"/>
        </w:rPr>
        <w:t xml:space="preserve"> </w:t>
      </w:r>
      <w:r w:rsidR="0069044B">
        <w:rPr>
          <w:color w:val="000000" w:themeColor="text1"/>
          <w:sz w:val="20"/>
          <w:szCs w:val="20"/>
        </w:rPr>
        <w:t>the</w:t>
      </w:r>
      <w:r w:rsidR="00FF41A0">
        <w:rPr>
          <w:color w:val="000000" w:themeColor="text1"/>
          <w:sz w:val="20"/>
          <w:szCs w:val="20"/>
        </w:rPr>
        <w:t xml:space="preserve"> </w:t>
      </w:r>
      <w:r w:rsidR="0069044B" w:rsidRPr="0037538E">
        <w:rPr>
          <w:color w:val="000000" w:themeColor="text1"/>
          <w:sz w:val="20"/>
          <w:szCs w:val="20"/>
        </w:rPr>
        <w:t>Organization</w:t>
      </w:r>
      <w:r w:rsidR="00FF41A0">
        <w:rPr>
          <w:color w:val="000000" w:themeColor="text1"/>
          <w:sz w:val="20"/>
          <w:szCs w:val="20"/>
        </w:rPr>
        <w:t xml:space="preserve"> </w:t>
      </w:r>
      <w:r w:rsidR="0069044B" w:rsidRPr="0037538E">
        <w:rPr>
          <w:color w:val="000000" w:themeColor="text1"/>
          <w:sz w:val="20"/>
          <w:szCs w:val="20"/>
        </w:rPr>
        <w:t>of</w:t>
      </w:r>
      <w:r w:rsidR="00FF41A0">
        <w:rPr>
          <w:color w:val="000000" w:themeColor="text1"/>
          <w:sz w:val="20"/>
          <w:szCs w:val="20"/>
        </w:rPr>
        <w:t xml:space="preserve"> </w:t>
      </w:r>
      <w:r w:rsidR="0069044B" w:rsidRPr="0037538E">
        <w:rPr>
          <w:color w:val="000000" w:themeColor="text1"/>
          <w:sz w:val="20"/>
          <w:szCs w:val="20"/>
        </w:rPr>
        <w:t>Islamic</w:t>
      </w:r>
      <w:r w:rsidR="00FF41A0">
        <w:rPr>
          <w:color w:val="000000" w:themeColor="text1"/>
          <w:sz w:val="20"/>
          <w:szCs w:val="20"/>
        </w:rPr>
        <w:t xml:space="preserve"> </w:t>
      </w:r>
      <w:r w:rsidR="0069044B" w:rsidRPr="0037538E">
        <w:rPr>
          <w:color w:val="000000" w:themeColor="text1"/>
          <w:sz w:val="20"/>
          <w:szCs w:val="20"/>
        </w:rPr>
        <w:t>Cooperation</w:t>
      </w:r>
      <w:r w:rsidR="0069044B">
        <w:rPr>
          <w:color w:val="000000" w:themeColor="text1"/>
          <w:sz w:val="20"/>
          <w:szCs w:val="20"/>
        </w:rPr>
        <w:t>),</w:t>
      </w:r>
      <w:r w:rsidR="00FF41A0">
        <w:rPr>
          <w:color w:val="000000" w:themeColor="text1"/>
          <w:sz w:val="20"/>
          <w:szCs w:val="20"/>
        </w:rPr>
        <w:t xml:space="preserve"> </w:t>
      </w:r>
      <w:r w:rsidR="0069044B" w:rsidRPr="0069044B">
        <w:rPr>
          <w:color w:val="000000" w:themeColor="text1"/>
          <w:sz w:val="20"/>
          <w:szCs w:val="20"/>
        </w:rPr>
        <w:t>Qatar</w:t>
      </w:r>
      <w:r w:rsidR="0069044B">
        <w:rPr>
          <w:color w:val="000000" w:themeColor="text1"/>
          <w:sz w:val="20"/>
          <w:szCs w:val="20"/>
        </w:rPr>
        <w:t>,</w:t>
      </w:r>
      <w:r w:rsidR="00FF41A0">
        <w:rPr>
          <w:color w:val="000000" w:themeColor="text1"/>
          <w:sz w:val="20"/>
          <w:szCs w:val="20"/>
        </w:rPr>
        <w:t xml:space="preserve"> </w:t>
      </w:r>
      <w:r w:rsidR="0069044B" w:rsidRPr="0069044B">
        <w:rPr>
          <w:color w:val="000000" w:themeColor="text1"/>
          <w:sz w:val="20"/>
          <w:szCs w:val="20"/>
        </w:rPr>
        <w:t>Saudi</w:t>
      </w:r>
      <w:r w:rsidR="00FF41A0">
        <w:rPr>
          <w:color w:val="000000" w:themeColor="text1"/>
          <w:sz w:val="20"/>
          <w:szCs w:val="20"/>
        </w:rPr>
        <w:t xml:space="preserve"> </w:t>
      </w:r>
      <w:r w:rsidR="0069044B" w:rsidRPr="0069044B">
        <w:rPr>
          <w:color w:val="000000" w:themeColor="text1"/>
          <w:sz w:val="20"/>
          <w:szCs w:val="20"/>
        </w:rPr>
        <w:t>Arabia</w:t>
      </w:r>
      <w:r w:rsidR="0069044B">
        <w:rPr>
          <w:color w:val="000000" w:themeColor="text1"/>
          <w:sz w:val="20"/>
          <w:szCs w:val="20"/>
        </w:rPr>
        <w:t>,</w:t>
      </w:r>
      <w:r w:rsidR="00FF41A0">
        <w:rPr>
          <w:color w:val="000000" w:themeColor="text1"/>
          <w:sz w:val="20"/>
          <w:szCs w:val="20"/>
        </w:rPr>
        <w:t xml:space="preserve"> </w:t>
      </w:r>
      <w:r w:rsidR="0069044B" w:rsidRPr="0069044B">
        <w:rPr>
          <w:color w:val="000000" w:themeColor="text1"/>
          <w:sz w:val="20"/>
          <w:szCs w:val="20"/>
        </w:rPr>
        <w:t>Senegal</w:t>
      </w:r>
      <w:r w:rsidR="0069044B">
        <w:rPr>
          <w:color w:val="000000" w:themeColor="text1"/>
          <w:sz w:val="20"/>
          <w:szCs w:val="20"/>
        </w:rPr>
        <w:t>,</w:t>
      </w:r>
      <w:r w:rsidR="00FF41A0">
        <w:rPr>
          <w:color w:val="000000" w:themeColor="text1"/>
          <w:sz w:val="20"/>
          <w:szCs w:val="20"/>
        </w:rPr>
        <w:t xml:space="preserve"> </w:t>
      </w:r>
      <w:r w:rsidR="0069044B" w:rsidRPr="0069044B">
        <w:rPr>
          <w:color w:val="000000" w:themeColor="text1"/>
          <w:sz w:val="20"/>
          <w:szCs w:val="20"/>
        </w:rPr>
        <w:t>Somalia</w:t>
      </w:r>
      <w:r w:rsidR="0069044B">
        <w:rPr>
          <w:color w:val="000000" w:themeColor="text1"/>
          <w:sz w:val="20"/>
          <w:szCs w:val="20"/>
        </w:rPr>
        <w:t>,</w:t>
      </w:r>
      <w:r w:rsidR="00FF41A0">
        <w:rPr>
          <w:color w:val="000000" w:themeColor="text1"/>
          <w:sz w:val="20"/>
          <w:szCs w:val="20"/>
        </w:rPr>
        <w:t xml:space="preserve"> </w:t>
      </w:r>
      <w:r w:rsidR="0069044B" w:rsidRPr="0069044B">
        <w:rPr>
          <w:color w:val="000000" w:themeColor="text1"/>
          <w:sz w:val="20"/>
          <w:szCs w:val="20"/>
        </w:rPr>
        <w:t>South</w:t>
      </w:r>
      <w:r w:rsidR="00FF41A0">
        <w:rPr>
          <w:color w:val="000000" w:themeColor="text1"/>
          <w:sz w:val="20"/>
          <w:szCs w:val="20"/>
        </w:rPr>
        <w:t xml:space="preserve"> </w:t>
      </w:r>
      <w:r w:rsidR="0069044B" w:rsidRPr="0069044B">
        <w:rPr>
          <w:color w:val="000000" w:themeColor="text1"/>
          <w:sz w:val="20"/>
          <w:szCs w:val="20"/>
        </w:rPr>
        <w:t>Africa</w:t>
      </w:r>
      <w:r w:rsidR="0069044B">
        <w:rPr>
          <w:color w:val="000000" w:themeColor="text1"/>
          <w:sz w:val="20"/>
          <w:szCs w:val="20"/>
        </w:rPr>
        <w:t>,</w:t>
      </w:r>
      <w:r w:rsidR="00FF41A0">
        <w:rPr>
          <w:color w:val="000000" w:themeColor="text1"/>
          <w:sz w:val="20"/>
          <w:szCs w:val="20"/>
        </w:rPr>
        <w:t xml:space="preserve"> </w:t>
      </w:r>
      <w:r w:rsidR="0069044B" w:rsidRPr="0069044B">
        <w:rPr>
          <w:color w:val="000000" w:themeColor="text1"/>
          <w:sz w:val="20"/>
          <w:szCs w:val="20"/>
        </w:rPr>
        <w:t>Tunisia</w:t>
      </w:r>
      <w:r w:rsidR="0069044B">
        <w:rPr>
          <w:color w:val="000000" w:themeColor="text1"/>
          <w:sz w:val="20"/>
          <w:szCs w:val="20"/>
        </w:rPr>
        <w:t>,</w:t>
      </w:r>
      <w:r w:rsidR="00FF41A0">
        <w:rPr>
          <w:color w:val="000000" w:themeColor="text1"/>
          <w:sz w:val="20"/>
          <w:szCs w:val="20"/>
        </w:rPr>
        <w:t xml:space="preserve"> </w:t>
      </w:r>
      <w:r w:rsidR="0069044B" w:rsidRPr="0069044B">
        <w:rPr>
          <w:color w:val="000000" w:themeColor="text1"/>
          <w:sz w:val="20"/>
          <w:szCs w:val="20"/>
        </w:rPr>
        <w:t>Uruguay</w:t>
      </w:r>
      <w:r w:rsidR="0069044B">
        <w:rPr>
          <w:color w:val="000000" w:themeColor="text1"/>
          <w:sz w:val="20"/>
          <w:szCs w:val="20"/>
        </w:rPr>
        <w:t>,</w:t>
      </w:r>
      <w:r w:rsidR="00FF41A0">
        <w:rPr>
          <w:color w:val="000000" w:themeColor="text1"/>
          <w:sz w:val="20"/>
          <w:szCs w:val="20"/>
        </w:rPr>
        <w:t xml:space="preserve"> </w:t>
      </w:r>
      <w:r w:rsidR="0069044B" w:rsidRPr="0069044B">
        <w:rPr>
          <w:color w:val="000000" w:themeColor="text1"/>
          <w:sz w:val="20"/>
          <w:szCs w:val="20"/>
        </w:rPr>
        <w:t>Venezuela</w:t>
      </w:r>
      <w:r w:rsidR="00FF41A0">
        <w:rPr>
          <w:color w:val="000000" w:themeColor="text1"/>
          <w:sz w:val="20"/>
          <w:szCs w:val="20"/>
        </w:rPr>
        <w:t xml:space="preserve"> </w:t>
      </w:r>
      <w:r w:rsidR="0069044B" w:rsidRPr="0069044B">
        <w:rPr>
          <w:color w:val="000000" w:themeColor="text1"/>
          <w:sz w:val="20"/>
          <w:szCs w:val="20"/>
        </w:rPr>
        <w:t>(Bolivarian</w:t>
      </w:r>
      <w:r w:rsidR="00FF41A0">
        <w:rPr>
          <w:color w:val="000000" w:themeColor="text1"/>
          <w:sz w:val="20"/>
          <w:szCs w:val="20"/>
        </w:rPr>
        <w:t xml:space="preserve"> </w:t>
      </w:r>
      <w:r w:rsidR="0069044B" w:rsidRPr="0069044B">
        <w:rPr>
          <w:color w:val="000000" w:themeColor="text1"/>
          <w:sz w:val="20"/>
          <w:szCs w:val="20"/>
        </w:rPr>
        <w:t>Republic</w:t>
      </w:r>
      <w:r w:rsidR="00FF41A0">
        <w:rPr>
          <w:color w:val="000000" w:themeColor="text1"/>
          <w:sz w:val="20"/>
          <w:szCs w:val="20"/>
        </w:rPr>
        <w:t xml:space="preserve"> </w:t>
      </w:r>
      <w:r w:rsidR="0069044B" w:rsidRPr="0069044B">
        <w:rPr>
          <w:color w:val="000000" w:themeColor="text1"/>
          <w:sz w:val="20"/>
          <w:szCs w:val="20"/>
        </w:rPr>
        <w:t>of)</w:t>
      </w:r>
      <w:r w:rsidR="000943B0">
        <w:rPr>
          <w:rStyle w:val="FootnoteReference"/>
          <w:color w:val="000000" w:themeColor="text1"/>
          <w:szCs w:val="20"/>
        </w:rPr>
        <w:footnoteReference w:id="65"/>
      </w:r>
      <w:r w:rsidR="00FF41A0">
        <w:rPr>
          <w:color w:val="000000" w:themeColor="text1"/>
          <w:sz w:val="20"/>
          <w:szCs w:val="20"/>
        </w:rPr>
        <w:t xml:space="preserve"> </w:t>
      </w:r>
      <w:r w:rsidR="00C123ED">
        <w:rPr>
          <w:color w:val="000000" w:themeColor="text1"/>
          <w:sz w:val="20"/>
          <w:szCs w:val="20"/>
        </w:rPr>
        <w:t>(also</w:t>
      </w:r>
      <w:r w:rsidR="00FF41A0">
        <w:rPr>
          <w:color w:val="000000" w:themeColor="text1"/>
          <w:sz w:val="20"/>
          <w:szCs w:val="20"/>
        </w:rPr>
        <w:t xml:space="preserve"> </w:t>
      </w:r>
      <w:r w:rsidR="00C123ED">
        <w:rPr>
          <w:color w:val="000000" w:themeColor="text1"/>
          <w:sz w:val="20"/>
          <w:szCs w:val="20"/>
        </w:rPr>
        <w:t>on</w:t>
      </w:r>
      <w:r w:rsidR="00FF41A0">
        <w:rPr>
          <w:color w:val="000000" w:themeColor="text1"/>
          <w:sz w:val="20"/>
          <w:szCs w:val="20"/>
        </w:rPr>
        <w:t xml:space="preserve"> </w:t>
      </w:r>
      <w:r w:rsidR="00C123ED">
        <w:rPr>
          <w:color w:val="000000" w:themeColor="text1"/>
          <w:sz w:val="20"/>
          <w:szCs w:val="20"/>
        </w:rPr>
        <w:t>behalf</w:t>
      </w:r>
      <w:r w:rsidR="00FF41A0">
        <w:rPr>
          <w:color w:val="000000" w:themeColor="text1"/>
          <w:sz w:val="20"/>
          <w:szCs w:val="20"/>
        </w:rPr>
        <w:t xml:space="preserve"> </w:t>
      </w:r>
      <w:r w:rsidR="00C123ED">
        <w:rPr>
          <w:color w:val="000000" w:themeColor="text1"/>
          <w:sz w:val="20"/>
          <w:szCs w:val="20"/>
        </w:rPr>
        <w:t>of</w:t>
      </w:r>
      <w:r w:rsidR="00FF41A0">
        <w:rPr>
          <w:color w:val="000000" w:themeColor="text1"/>
          <w:sz w:val="20"/>
          <w:szCs w:val="20"/>
        </w:rPr>
        <w:t xml:space="preserve"> </w:t>
      </w:r>
      <w:r w:rsidR="00C123ED" w:rsidRPr="00C123ED">
        <w:rPr>
          <w:color w:val="000000" w:themeColor="text1"/>
          <w:sz w:val="20"/>
          <w:szCs w:val="20"/>
        </w:rPr>
        <w:t>Bolivia</w:t>
      </w:r>
      <w:r w:rsidR="00FF41A0">
        <w:rPr>
          <w:color w:val="000000" w:themeColor="text1"/>
          <w:sz w:val="20"/>
          <w:szCs w:val="20"/>
        </w:rPr>
        <w:t xml:space="preserve"> </w:t>
      </w:r>
      <w:r w:rsidR="00C123ED" w:rsidRPr="00C123ED">
        <w:rPr>
          <w:color w:val="000000" w:themeColor="text1"/>
          <w:sz w:val="20"/>
          <w:szCs w:val="20"/>
        </w:rPr>
        <w:t>(Plurinational</w:t>
      </w:r>
      <w:r w:rsidR="00FF41A0">
        <w:rPr>
          <w:color w:val="000000" w:themeColor="text1"/>
          <w:sz w:val="20"/>
          <w:szCs w:val="20"/>
        </w:rPr>
        <w:t xml:space="preserve"> </w:t>
      </w:r>
      <w:r w:rsidR="00C123ED" w:rsidRPr="00C123ED">
        <w:rPr>
          <w:color w:val="000000" w:themeColor="text1"/>
          <w:sz w:val="20"/>
          <w:szCs w:val="20"/>
        </w:rPr>
        <w:t>State</w:t>
      </w:r>
      <w:r w:rsidR="00FF41A0">
        <w:rPr>
          <w:color w:val="000000" w:themeColor="text1"/>
          <w:sz w:val="20"/>
          <w:szCs w:val="20"/>
        </w:rPr>
        <w:t xml:space="preserve"> </w:t>
      </w:r>
      <w:r w:rsidR="00C123ED" w:rsidRPr="00C123ED">
        <w:rPr>
          <w:color w:val="000000" w:themeColor="text1"/>
          <w:sz w:val="20"/>
          <w:szCs w:val="20"/>
        </w:rPr>
        <w:t>of),</w:t>
      </w:r>
      <w:r w:rsidR="00FF41A0">
        <w:rPr>
          <w:color w:val="000000" w:themeColor="text1"/>
          <w:sz w:val="20"/>
          <w:szCs w:val="20"/>
        </w:rPr>
        <w:t xml:space="preserve"> </w:t>
      </w:r>
      <w:r w:rsidR="00C123ED" w:rsidRPr="00C123ED">
        <w:rPr>
          <w:color w:val="000000" w:themeColor="text1"/>
          <w:sz w:val="20"/>
          <w:szCs w:val="20"/>
        </w:rPr>
        <w:t>Cuba</w:t>
      </w:r>
      <w:r w:rsidR="00FF41A0">
        <w:rPr>
          <w:color w:val="000000" w:themeColor="text1"/>
          <w:sz w:val="20"/>
          <w:szCs w:val="20"/>
        </w:rPr>
        <w:t xml:space="preserve"> </w:t>
      </w:r>
      <w:r w:rsidR="00C123ED">
        <w:rPr>
          <w:color w:val="000000" w:themeColor="text1"/>
          <w:sz w:val="20"/>
          <w:szCs w:val="20"/>
        </w:rPr>
        <w:t>and</w:t>
      </w:r>
      <w:r w:rsidR="00FF41A0">
        <w:rPr>
          <w:color w:val="000000" w:themeColor="text1"/>
          <w:sz w:val="20"/>
          <w:szCs w:val="20"/>
        </w:rPr>
        <w:t xml:space="preserve"> </w:t>
      </w:r>
      <w:r w:rsidR="00C123ED" w:rsidRPr="00C123ED">
        <w:rPr>
          <w:color w:val="000000" w:themeColor="text1"/>
          <w:sz w:val="20"/>
          <w:szCs w:val="20"/>
        </w:rPr>
        <w:t>Nicaragua</w:t>
      </w:r>
      <w:r w:rsidR="00C123ED">
        <w:rPr>
          <w:color w:val="000000" w:themeColor="text1"/>
          <w:sz w:val="20"/>
          <w:szCs w:val="20"/>
        </w:rPr>
        <w:t>),</w:t>
      </w:r>
      <w:r w:rsidR="00FF41A0">
        <w:rPr>
          <w:color w:val="000000" w:themeColor="text1"/>
          <w:sz w:val="20"/>
          <w:szCs w:val="20"/>
        </w:rPr>
        <w:t xml:space="preserve"> </w:t>
      </w:r>
      <w:r w:rsidR="0069044B" w:rsidRPr="00DB359F">
        <w:rPr>
          <w:color w:val="000000" w:themeColor="text1"/>
          <w:sz w:val="20"/>
          <w:szCs w:val="20"/>
        </w:rPr>
        <w:t>Venezuela</w:t>
      </w:r>
      <w:r w:rsidR="00FF41A0">
        <w:rPr>
          <w:color w:val="000000" w:themeColor="text1"/>
          <w:sz w:val="20"/>
          <w:szCs w:val="20"/>
        </w:rPr>
        <w:t xml:space="preserve"> </w:t>
      </w:r>
      <w:r w:rsidR="0069044B" w:rsidRPr="00DB359F">
        <w:rPr>
          <w:color w:val="000000" w:themeColor="text1"/>
          <w:sz w:val="20"/>
          <w:szCs w:val="20"/>
        </w:rPr>
        <w:t>(Bolivarian</w:t>
      </w:r>
      <w:r w:rsidR="00FF41A0">
        <w:rPr>
          <w:color w:val="000000" w:themeColor="text1"/>
          <w:sz w:val="20"/>
          <w:szCs w:val="20"/>
        </w:rPr>
        <w:t xml:space="preserve"> </w:t>
      </w:r>
      <w:r w:rsidR="0069044B" w:rsidRPr="00DB359F">
        <w:rPr>
          <w:color w:val="000000" w:themeColor="text1"/>
          <w:sz w:val="20"/>
          <w:szCs w:val="20"/>
        </w:rPr>
        <w:t>Republic</w:t>
      </w:r>
      <w:r w:rsidR="00FF41A0">
        <w:rPr>
          <w:color w:val="000000" w:themeColor="text1"/>
          <w:sz w:val="20"/>
          <w:szCs w:val="20"/>
        </w:rPr>
        <w:t xml:space="preserve"> </w:t>
      </w:r>
      <w:r w:rsidR="0069044B" w:rsidRPr="00DB359F">
        <w:rPr>
          <w:color w:val="000000" w:themeColor="text1"/>
          <w:sz w:val="20"/>
          <w:szCs w:val="20"/>
        </w:rPr>
        <w:t>of)</w:t>
      </w:r>
      <w:r w:rsidR="000943B0">
        <w:rPr>
          <w:rStyle w:val="FootnoteReference"/>
          <w:color w:val="000000" w:themeColor="text1"/>
          <w:szCs w:val="20"/>
        </w:rPr>
        <w:footnoteReference w:id="66"/>
      </w:r>
      <w:r w:rsidR="00FF41A0">
        <w:rPr>
          <w:color w:val="000000" w:themeColor="text1"/>
          <w:sz w:val="20"/>
          <w:szCs w:val="20"/>
        </w:rPr>
        <w:t xml:space="preserve"> </w:t>
      </w:r>
      <w:r w:rsidR="0069044B">
        <w:rPr>
          <w:color w:val="000000" w:themeColor="text1"/>
          <w:sz w:val="20"/>
          <w:szCs w:val="20"/>
        </w:rPr>
        <w:t>(</w:t>
      </w:r>
      <w:r w:rsidR="0069044B" w:rsidRPr="00DB359F">
        <w:rPr>
          <w:color w:val="000000" w:themeColor="text1"/>
          <w:sz w:val="20"/>
          <w:szCs w:val="20"/>
        </w:rPr>
        <w:t>on</w:t>
      </w:r>
      <w:r w:rsidR="00FF41A0">
        <w:rPr>
          <w:color w:val="000000" w:themeColor="text1"/>
          <w:sz w:val="20"/>
          <w:szCs w:val="20"/>
        </w:rPr>
        <w:t xml:space="preserve"> </w:t>
      </w:r>
      <w:r w:rsidR="0069044B" w:rsidRPr="00DB359F">
        <w:rPr>
          <w:color w:val="000000" w:themeColor="text1"/>
          <w:sz w:val="20"/>
          <w:szCs w:val="20"/>
        </w:rPr>
        <w:t>behalf</w:t>
      </w:r>
      <w:r w:rsidR="00FF41A0">
        <w:rPr>
          <w:color w:val="000000" w:themeColor="text1"/>
          <w:sz w:val="20"/>
          <w:szCs w:val="20"/>
        </w:rPr>
        <w:t xml:space="preserve"> </w:t>
      </w:r>
      <w:r w:rsidR="0069044B" w:rsidRPr="00DB359F">
        <w:rPr>
          <w:color w:val="000000" w:themeColor="text1"/>
          <w:sz w:val="20"/>
          <w:szCs w:val="20"/>
        </w:rPr>
        <w:t>of</w:t>
      </w:r>
      <w:r w:rsidR="00FF41A0">
        <w:rPr>
          <w:color w:val="000000" w:themeColor="text1"/>
          <w:sz w:val="20"/>
          <w:szCs w:val="20"/>
        </w:rPr>
        <w:t xml:space="preserve"> </w:t>
      </w:r>
      <w:r w:rsidR="0069044B">
        <w:rPr>
          <w:color w:val="000000" w:themeColor="text1"/>
          <w:sz w:val="20"/>
          <w:szCs w:val="20"/>
        </w:rPr>
        <w:t>the</w:t>
      </w:r>
      <w:r w:rsidR="00FF41A0">
        <w:rPr>
          <w:color w:val="000000" w:themeColor="text1"/>
          <w:sz w:val="20"/>
          <w:szCs w:val="20"/>
        </w:rPr>
        <w:t xml:space="preserve"> </w:t>
      </w:r>
      <w:r w:rsidR="0069044B" w:rsidRPr="0040040E">
        <w:rPr>
          <w:color w:val="000000" w:themeColor="text1"/>
          <w:sz w:val="20"/>
          <w:szCs w:val="20"/>
        </w:rPr>
        <w:t>Movement</w:t>
      </w:r>
      <w:r w:rsidR="00FF41A0">
        <w:rPr>
          <w:color w:val="000000" w:themeColor="text1"/>
          <w:sz w:val="20"/>
          <w:szCs w:val="20"/>
        </w:rPr>
        <w:t xml:space="preserve"> </w:t>
      </w:r>
      <w:r w:rsidR="0069044B" w:rsidRPr="0040040E">
        <w:rPr>
          <w:color w:val="000000" w:themeColor="text1"/>
          <w:sz w:val="20"/>
          <w:szCs w:val="20"/>
        </w:rPr>
        <w:t>of</w:t>
      </w:r>
      <w:r w:rsidR="00FF41A0">
        <w:rPr>
          <w:color w:val="000000" w:themeColor="text1"/>
          <w:sz w:val="20"/>
          <w:szCs w:val="20"/>
        </w:rPr>
        <w:t xml:space="preserve"> </w:t>
      </w:r>
      <w:r w:rsidR="0069044B" w:rsidRPr="0040040E">
        <w:rPr>
          <w:color w:val="000000" w:themeColor="text1"/>
          <w:sz w:val="20"/>
          <w:szCs w:val="20"/>
        </w:rPr>
        <w:t>Non-Aligned</w:t>
      </w:r>
      <w:r w:rsidR="00FF41A0">
        <w:rPr>
          <w:color w:val="000000" w:themeColor="text1"/>
          <w:sz w:val="20"/>
          <w:szCs w:val="20"/>
        </w:rPr>
        <w:t xml:space="preserve"> </w:t>
      </w:r>
      <w:r w:rsidR="0069044B" w:rsidRPr="0040040E">
        <w:rPr>
          <w:color w:val="000000" w:themeColor="text1"/>
          <w:sz w:val="20"/>
          <w:szCs w:val="20"/>
        </w:rPr>
        <w:t>Countries</w:t>
      </w:r>
      <w:r w:rsidR="00FF41A0">
        <w:rPr>
          <w:color w:val="000000" w:themeColor="text1"/>
          <w:sz w:val="20"/>
          <w:szCs w:val="20"/>
        </w:rPr>
        <w:t xml:space="preserve"> </w:t>
      </w:r>
      <w:r w:rsidR="0069044B">
        <w:rPr>
          <w:color w:val="000000" w:themeColor="text1"/>
          <w:sz w:val="20"/>
          <w:szCs w:val="20"/>
        </w:rPr>
        <w:t>except</w:t>
      </w:r>
      <w:r w:rsidR="00FF41A0">
        <w:rPr>
          <w:color w:val="000000" w:themeColor="text1"/>
          <w:sz w:val="20"/>
          <w:szCs w:val="20"/>
        </w:rPr>
        <w:t xml:space="preserve"> </w:t>
      </w:r>
      <w:r w:rsidR="0069044B" w:rsidRPr="00BE3BC7">
        <w:rPr>
          <w:color w:val="000000" w:themeColor="text1"/>
          <w:sz w:val="20"/>
          <w:szCs w:val="20"/>
        </w:rPr>
        <w:t>Colombia,</w:t>
      </w:r>
      <w:r w:rsidR="00FF41A0">
        <w:rPr>
          <w:color w:val="000000" w:themeColor="text1"/>
          <w:sz w:val="20"/>
          <w:szCs w:val="20"/>
        </w:rPr>
        <w:t xml:space="preserve"> </w:t>
      </w:r>
      <w:r w:rsidR="0069044B" w:rsidRPr="00BE3BC7">
        <w:rPr>
          <w:color w:val="000000" w:themeColor="text1"/>
          <w:sz w:val="20"/>
          <w:szCs w:val="20"/>
        </w:rPr>
        <w:t>Ecuador</w:t>
      </w:r>
      <w:r w:rsidR="00FF41A0">
        <w:rPr>
          <w:color w:val="000000" w:themeColor="text1"/>
          <w:sz w:val="20"/>
          <w:szCs w:val="20"/>
        </w:rPr>
        <w:t xml:space="preserve"> </w:t>
      </w:r>
      <w:r w:rsidR="0069044B" w:rsidRPr="00BE3BC7">
        <w:rPr>
          <w:color w:val="000000" w:themeColor="text1"/>
          <w:sz w:val="20"/>
          <w:szCs w:val="20"/>
        </w:rPr>
        <w:t>and</w:t>
      </w:r>
      <w:r w:rsidR="00FF41A0">
        <w:rPr>
          <w:color w:val="000000" w:themeColor="text1"/>
          <w:sz w:val="20"/>
          <w:szCs w:val="20"/>
        </w:rPr>
        <w:t xml:space="preserve"> </w:t>
      </w:r>
      <w:r w:rsidR="0069044B" w:rsidRPr="00BE3BC7">
        <w:rPr>
          <w:color w:val="000000" w:themeColor="text1"/>
          <w:sz w:val="20"/>
          <w:szCs w:val="20"/>
        </w:rPr>
        <w:t>Peru</w:t>
      </w:r>
      <w:r w:rsidR="0069044B">
        <w:rPr>
          <w:color w:val="000000" w:themeColor="text1"/>
          <w:sz w:val="20"/>
          <w:szCs w:val="20"/>
        </w:rPr>
        <w:t>)</w:t>
      </w:r>
      <w:r w:rsidR="0069044B" w:rsidRPr="0067399B">
        <w:rPr>
          <w:color w:val="000000" w:themeColor="text1"/>
          <w:sz w:val="20"/>
          <w:szCs w:val="20"/>
        </w:rPr>
        <w:t>;</w:t>
      </w:r>
    </w:p>
    <w:p w14:paraId="2EA58D4C" w14:textId="30BEB1FD" w:rsidR="00F11B08" w:rsidRPr="0037538E" w:rsidRDefault="00F11B08" w:rsidP="00F11B08">
      <w:pPr>
        <w:pStyle w:val="SingleTxtG"/>
        <w:ind w:firstLine="466"/>
        <w:rPr>
          <w:color w:val="000000" w:themeColor="text1"/>
          <w:sz w:val="20"/>
          <w:szCs w:val="20"/>
          <w:lang w:eastAsia="ko-KR"/>
        </w:rPr>
      </w:pPr>
      <w:r w:rsidRPr="0037538E">
        <w:rPr>
          <w:color w:val="000000" w:themeColor="text1"/>
          <w:sz w:val="20"/>
          <w:szCs w:val="20"/>
        </w:rPr>
        <w:t>(b)</w:t>
      </w:r>
      <w:r w:rsidRPr="0037538E">
        <w:rPr>
          <w:color w:val="000000" w:themeColor="text1"/>
          <w:sz w:val="20"/>
          <w:szCs w:val="20"/>
        </w:rPr>
        <w:tab/>
        <w:t>Representatives</w:t>
      </w:r>
      <w:r w:rsidR="00FF41A0">
        <w:rPr>
          <w:color w:val="000000" w:themeColor="text1"/>
          <w:sz w:val="20"/>
          <w:szCs w:val="20"/>
        </w:rPr>
        <w:t xml:space="preserve"> </w:t>
      </w:r>
      <w:r w:rsidRPr="0037538E">
        <w:rPr>
          <w:color w:val="000000" w:themeColor="text1"/>
          <w:sz w:val="20"/>
          <w:szCs w:val="20"/>
        </w:rPr>
        <w:t>of</w:t>
      </w:r>
      <w:r w:rsidR="00FF41A0">
        <w:rPr>
          <w:color w:val="000000" w:themeColor="text1"/>
          <w:sz w:val="20"/>
          <w:szCs w:val="20"/>
        </w:rPr>
        <w:t xml:space="preserve"> </w:t>
      </w:r>
      <w:r w:rsidRPr="0037538E">
        <w:rPr>
          <w:color w:val="000000" w:themeColor="text1"/>
          <w:sz w:val="20"/>
          <w:szCs w:val="20"/>
        </w:rPr>
        <w:t>observer</w:t>
      </w:r>
      <w:r w:rsidR="00FF41A0">
        <w:rPr>
          <w:color w:val="000000" w:themeColor="text1"/>
          <w:sz w:val="20"/>
          <w:szCs w:val="20"/>
        </w:rPr>
        <w:t xml:space="preserve"> </w:t>
      </w:r>
      <w:r w:rsidRPr="0037538E">
        <w:rPr>
          <w:color w:val="000000" w:themeColor="text1"/>
          <w:sz w:val="20"/>
          <w:szCs w:val="20"/>
        </w:rPr>
        <w:t>States:</w:t>
      </w:r>
      <w:r w:rsidR="00FF41A0">
        <w:rPr>
          <w:color w:val="000000" w:themeColor="text1"/>
          <w:sz w:val="20"/>
          <w:szCs w:val="20"/>
        </w:rPr>
        <w:t xml:space="preserve"> </w:t>
      </w:r>
      <w:r w:rsidR="00513B46" w:rsidRPr="00513B46">
        <w:rPr>
          <w:color w:val="000000" w:themeColor="text1"/>
          <w:sz w:val="20"/>
          <w:szCs w:val="20"/>
        </w:rPr>
        <w:t>Algeria</w:t>
      </w:r>
      <w:r w:rsidR="00513B46">
        <w:rPr>
          <w:color w:val="000000" w:themeColor="text1"/>
          <w:sz w:val="20"/>
          <w:szCs w:val="20"/>
        </w:rPr>
        <w:t>,</w:t>
      </w:r>
      <w:r w:rsidR="00FF41A0">
        <w:rPr>
          <w:color w:val="000000" w:themeColor="text1"/>
          <w:sz w:val="20"/>
          <w:szCs w:val="20"/>
        </w:rPr>
        <w:t xml:space="preserve"> </w:t>
      </w:r>
      <w:r w:rsidR="00513B46" w:rsidRPr="00513B46">
        <w:rPr>
          <w:color w:val="000000" w:themeColor="text1"/>
          <w:sz w:val="20"/>
          <w:szCs w:val="20"/>
        </w:rPr>
        <w:t>Bolivia</w:t>
      </w:r>
      <w:r w:rsidR="00FF41A0">
        <w:rPr>
          <w:color w:val="000000" w:themeColor="text1"/>
          <w:sz w:val="20"/>
          <w:szCs w:val="20"/>
        </w:rPr>
        <w:t xml:space="preserve"> </w:t>
      </w:r>
      <w:r w:rsidR="00513B46" w:rsidRPr="00513B46">
        <w:rPr>
          <w:color w:val="000000" w:themeColor="text1"/>
          <w:sz w:val="20"/>
          <w:szCs w:val="20"/>
        </w:rPr>
        <w:t>(Plurinational</w:t>
      </w:r>
      <w:r w:rsidR="00FF41A0">
        <w:rPr>
          <w:color w:val="000000" w:themeColor="text1"/>
          <w:sz w:val="20"/>
          <w:szCs w:val="20"/>
        </w:rPr>
        <w:t xml:space="preserve"> </w:t>
      </w:r>
      <w:r w:rsidR="00513B46" w:rsidRPr="00513B46">
        <w:rPr>
          <w:color w:val="000000" w:themeColor="text1"/>
          <w:sz w:val="20"/>
          <w:szCs w:val="20"/>
        </w:rPr>
        <w:t>State</w:t>
      </w:r>
      <w:r w:rsidR="00FF41A0">
        <w:rPr>
          <w:color w:val="000000" w:themeColor="text1"/>
          <w:sz w:val="20"/>
          <w:szCs w:val="20"/>
        </w:rPr>
        <w:t xml:space="preserve"> </w:t>
      </w:r>
      <w:r w:rsidR="00513B46" w:rsidRPr="00513B46">
        <w:rPr>
          <w:color w:val="000000" w:themeColor="text1"/>
          <w:sz w:val="20"/>
          <w:szCs w:val="20"/>
        </w:rPr>
        <w:t>of)</w:t>
      </w:r>
      <w:r w:rsidR="00513B46">
        <w:rPr>
          <w:color w:val="000000" w:themeColor="text1"/>
          <w:sz w:val="20"/>
          <w:szCs w:val="20"/>
        </w:rPr>
        <w:t>,</w:t>
      </w:r>
      <w:r w:rsidR="00FF41A0">
        <w:rPr>
          <w:color w:val="000000" w:themeColor="text1"/>
          <w:sz w:val="20"/>
          <w:szCs w:val="20"/>
        </w:rPr>
        <w:t xml:space="preserve"> </w:t>
      </w:r>
      <w:r w:rsidR="00513B46" w:rsidRPr="00513B46">
        <w:rPr>
          <w:color w:val="000000" w:themeColor="text1"/>
          <w:sz w:val="20"/>
          <w:szCs w:val="20"/>
        </w:rPr>
        <w:t>Democratic</w:t>
      </w:r>
      <w:r w:rsidR="00FF41A0">
        <w:rPr>
          <w:color w:val="000000" w:themeColor="text1"/>
          <w:sz w:val="20"/>
          <w:szCs w:val="20"/>
        </w:rPr>
        <w:t xml:space="preserve"> </w:t>
      </w:r>
      <w:r w:rsidR="00513B46" w:rsidRPr="00513B46">
        <w:rPr>
          <w:color w:val="000000" w:themeColor="text1"/>
          <w:sz w:val="20"/>
          <w:szCs w:val="20"/>
        </w:rPr>
        <w:t>People</w:t>
      </w:r>
      <w:r w:rsidR="00D72627">
        <w:rPr>
          <w:color w:val="000000" w:themeColor="text1"/>
          <w:sz w:val="20"/>
          <w:szCs w:val="20"/>
        </w:rPr>
        <w:t>’</w:t>
      </w:r>
      <w:r w:rsidR="00513B46" w:rsidRPr="00513B46">
        <w:rPr>
          <w:color w:val="000000" w:themeColor="text1"/>
          <w:sz w:val="20"/>
          <w:szCs w:val="20"/>
        </w:rPr>
        <w:t>s</w:t>
      </w:r>
      <w:r w:rsidR="00FF41A0">
        <w:rPr>
          <w:color w:val="000000" w:themeColor="text1"/>
          <w:sz w:val="20"/>
          <w:szCs w:val="20"/>
        </w:rPr>
        <w:t xml:space="preserve"> </w:t>
      </w:r>
      <w:r w:rsidR="00513B46" w:rsidRPr="00513B46">
        <w:rPr>
          <w:color w:val="000000" w:themeColor="text1"/>
          <w:sz w:val="20"/>
          <w:szCs w:val="20"/>
        </w:rPr>
        <w:t>Republic</w:t>
      </w:r>
      <w:r w:rsidR="00FF41A0">
        <w:rPr>
          <w:color w:val="000000" w:themeColor="text1"/>
          <w:sz w:val="20"/>
          <w:szCs w:val="20"/>
        </w:rPr>
        <w:t xml:space="preserve"> </w:t>
      </w:r>
      <w:r w:rsidR="00513B46" w:rsidRPr="00513B46">
        <w:rPr>
          <w:color w:val="000000" w:themeColor="text1"/>
          <w:sz w:val="20"/>
          <w:szCs w:val="20"/>
        </w:rPr>
        <w:t>of</w:t>
      </w:r>
      <w:r w:rsidR="00FF41A0">
        <w:rPr>
          <w:color w:val="000000" w:themeColor="text1"/>
          <w:sz w:val="20"/>
          <w:szCs w:val="20"/>
        </w:rPr>
        <w:t xml:space="preserve"> </w:t>
      </w:r>
      <w:r w:rsidR="00513B46" w:rsidRPr="00513B46">
        <w:rPr>
          <w:color w:val="000000" w:themeColor="text1"/>
          <w:sz w:val="20"/>
          <w:szCs w:val="20"/>
        </w:rPr>
        <w:t>Korea</w:t>
      </w:r>
      <w:r w:rsidR="00513B46">
        <w:rPr>
          <w:color w:val="000000" w:themeColor="text1"/>
          <w:sz w:val="20"/>
          <w:szCs w:val="20"/>
        </w:rPr>
        <w:t>,</w:t>
      </w:r>
      <w:r w:rsidR="00FF41A0">
        <w:rPr>
          <w:color w:val="000000" w:themeColor="text1"/>
          <w:sz w:val="20"/>
          <w:szCs w:val="20"/>
        </w:rPr>
        <w:t xml:space="preserve"> </w:t>
      </w:r>
      <w:r w:rsidR="00513B46" w:rsidRPr="00513B46">
        <w:rPr>
          <w:color w:val="000000" w:themeColor="text1"/>
          <w:sz w:val="20"/>
          <w:szCs w:val="20"/>
        </w:rPr>
        <w:t>Djibouti</w:t>
      </w:r>
      <w:r w:rsidR="00513B46">
        <w:rPr>
          <w:color w:val="000000" w:themeColor="text1"/>
          <w:sz w:val="20"/>
          <w:szCs w:val="20"/>
        </w:rPr>
        <w:t>,</w:t>
      </w:r>
      <w:r w:rsidR="00FF41A0">
        <w:rPr>
          <w:color w:val="000000" w:themeColor="text1"/>
          <w:sz w:val="20"/>
          <w:szCs w:val="20"/>
        </w:rPr>
        <w:t xml:space="preserve"> </w:t>
      </w:r>
      <w:r w:rsidR="00513B46" w:rsidRPr="00513B46">
        <w:rPr>
          <w:color w:val="000000" w:themeColor="text1"/>
          <w:sz w:val="20"/>
          <w:szCs w:val="20"/>
        </w:rPr>
        <w:t>Ecuador</w:t>
      </w:r>
      <w:r w:rsidR="00513B46">
        <w:rPr>
          <w:color w:val="000000" w:themeColor="text1"/>
          <w:sz w:val="20"/>
          <w:szCs w:val="20"/>
        </w:rPr>
        <w:t>,</w:t>
      </w:r>
      <w:r w:rsidR="00FF41A0">
        <w:rPr>
          <w:color w:val="000000" w:themeColor="text1"/>
          <w:sz w:val="20"/>
          <w:szCs w:val="20"/>
        </w:rPr>
        <w:t xml:space="preserve"> </w:t>
      </w:r>
      <w:r w:rsidR="00513B46" w:rsidRPr="00513B46">
        <w:rPr>
          <w:color w:val="000000" w:themeColor="text1"/>
          <w:sz w:val="20"/>
          <w:szCs w:val="20"/>
        </w:rPr>
        <w:t>Indonesia</w:t>
      </w:r>
      <w:r w:rsidR="00513B46">
        <w:rPr>
          <w:color w:val="000000" w:themeColor="text1"/>
          <w:sz w:val="20"/>
          <w:szCs w:val="20"/>
        </w:rPr>
        <w:t>,</w:t>
      </w:r>
      <w:r w:rsidR="00FF41A0">
        <w:rPr>
          <w:color w:val="000000" w:themeColor="text1"/>
          <w:sz w:val="20"/>
          <w:szCs w:val="20"/>
        </w:rPr>
        <w:t xml:space="preserve"> </w:t>
      </w:r>
      <w:r w:rsidR="00513B46" w:rsidRPr="00513B46">
        <w:rPr>
          <w:color w:val="000000" w:themeColor="text1"/>
          <w:sz w:val="20"/>
          <w:szCs w:val="20"/>
        </w:rPr>
        <w:t>Iran</w:t>
      </w:r>
      <w:r w:rsidR="00FF41A0">
        <w:rPr>
          <w:color w:val="000000" w:themeColor="text1"/>
          <w:sz w:val="20"/>
          <w:szCs w:val="20"/>
        </w:rPr>
        <w:t xml:space="preserve"> </w:t>
      </w:r>
      <w:r w:rsidR="00513B46" w:rsidRPr="00513B46">
        <w:rPr>
          <w:color w:val="000000" w:themeColor="text1"/>
          <w:sz w:val="20"/>
          <w:szCs w:val="20"/>
        </w:rPr>
        <w:t>(Islamic</w:t>
      </w:r>
      <w:r w:rsidR="00FF41A0">
        <w:rPr>
          <w:color w:val="000000" w:themeColor="text1"/>
          <w:sz w:val="20"/>
          <w:szCs w:val="20"/>
        </w:rPr>
        <w:t xml:space="preserve"> </w:t>
      </w:r>
      <w:r w:rsidR="00513B46" w:rsidRPr="00513B46">
        <w:rPr>
          <w:color w:val="000000" w:themeColor="text1"/>
          <w:sz w:val="20"/>
          <w:szCs w:val="20"/>
        </w:rPr>
        <w:t>Republic</w:t>
      </w:r>
      <w:r w:rsidR="00FF41A0">
        <w:rPr>
          <w:color w:val="000000" w:themeColor="text1"/>
          <w:sz w:val="20"/>
          <w:szCs w:val="20"/>
        </w:rPr>
        <w:t xml:space="preserve"> </w:t>
      </w:r>
      <w:r w:rsidR="00513B46" w:rsidRPr="00513B46">
        <w:rPr>
          <w:color w:val="000000" w:themeColor="text1"/>
          <w:sz w:val="20"/>
          <w:szCs w:val="20"/>
        </w:rPr>
        <w:t>of)</w:t>
      </w:r>
      <w:r w:rsidR="00513B46">
        <w:rPr>
          <w:color w:val="000000" w:themeColor="text1"/>
          <w:sz w:val="20"/>
          <w:szCs w:val="20"/>
        </w:rPr>
        <w:t>,</w:t>
      </w:r>
      <w:r w:rsidR="00FF41A0">
        <w:rPr>
          <w:color w:val="000000" w:themeColor="text1"/>
          <w:sz w:val="20"/>
          <w:szCs w:val="20"/>
        </w:rPr>
        <w:t xml:space="preserve"> </w:t>
      </w:r>
      <w:r w:rsidR="00513B46" w:rsidRPr="00513B46">
        <w:rPr>
          <w:color w:val="000000" w:themeColor="text1"/>
          <w:sz w:val="20"/>
          <w:szCs w:val="20"/>
        </w:rPr>
        <w:t>Jordan</w:t>
      </w:r>
      <w:r w:rsidR="00513B46">
        <w:rPr>
          <w:color w:val="000000" w:themeColor="text1"/>
          <w:sz w:val="20"/>
          <w:szCs w:val="20"/>
        </w:rPr>
        <w:t>,</w:t>
      </w:r>
      <w:r w:rsidR="00FF41A0">
        <w:rPr>
          <w:color w:val="000000" w:themeColor="text1"/>
          <w:sz w:val="20"/>
          <w:szCs w:val="20"/>
        </w:rPr>
        <w:t xml:space="preserve"> </w:t>
      </w:r>
      <w:r w:rsidR="00513B46" w:rsidRPr="00513B46">
        <w:rPr>
          <w:color w:val="000000" w:themeColor="text1"/>
          <w:sz w:val="20"/>
          <w:szCs w:val="20"/>
        </w:rPr>
        <w:t>Lebanon</w:t>
      </w:r>
      <w:r w:rsidR="00513B46">
        <w:rPr>
          <w:color w:val="000000" w:themeColor="text1"/>
          <w:sz w:val="20"/>
          <w:szCs w:val="20"/>
        </w:rPr>
        <w:t>,</w:t>
      </w:r>
      <w:r w:rsidR="00FF41A0">
        <w:rPr>
          <w:color w:val="000000" w:themeColor="text1"/>
          <w:sz w:val="20"/>
          <w:szCs w:val="20"/>
        </w:rPr>
        <w:t xml:space="preserve"> </w:t>
      </w:r>
      <w:r w:rsidR="00513B46" w:rsidRPr="00513B46">
        <w:rPr>
          <w:color w:val="000000" w:themeColor="text1"/>
          <w:sz w:val="20"/>
          <w:szCs w:val="20"/>
        </w:rPr>
        <w:t>Libya</w:t>
      </w:r>
      <w:r w:rsidR="00513B46">
        <w:rPr>
          <w:color w:val="000000" w:themeColor="text1"/>
          <w:sz w:val="20"/>
          <w:szCs w:val="20"/>
        </w:rPr>
        <w:t>,</w:t>
      </w:r>
      <w:r w:rsidR="00FF41A0">
        <w:rPr>
          <w:color w:val="000000" w:themeColor="text1"/>
          <w:sz w:val="20"/>
          <w:szCs w:val="20"/>
        </w:rPr>
        <w:t xml:space="preserve"> </w:t>
      </w:r>
      <w:r w:rsidR="00513B46" w:rsidRPr="00513B46">
        <w:rPr>
          <w:color w:val="000000" w:themeColor="text1"/>
          <w:sz w:val="20"/>
          <w:szCs w:val="20"/>
        </w:rPr>
        <w:t>Luxembourg</w:t>
      </w:r>
      <w:r w:rsidR="00513B46">
        <w:rPr>
          <w:color w:val="000000" w:themeColor="text1"/>
          <w:sz w:val="20"/>
          <w:szCs w:val="20"/>
        </w:rPr>
        <w:t>,</w:t>
      </w:r>
      <w:r w:rsidR="00FF41A0">
        <w:rPr>
          <w:color w:val="000000" w:themeColor="text1"/>
          <w:sz w:val="20"/>
          <w:szCs w:val="20"/>
        </w:rPr>
        <w:t xml:space="preserve"> </w:t>
      </w:r>
      <w:r w:rsidR="00513B46" w:rsidRPr="00513B46">
        <w:rPr>
          <w:color w:val="000000" w:themeColor="text1"/>
          <w:sz w:val="20"/>
          <w:szCs w:val="20"/>
        </w:rPr>
        <w:t>Maldives</w:t>
      </w:r>
      <w:r w:rsidR="00513B46">
        <w:rPr>
          <w:color w:val="000000" w:themeColor="text1"/>
          <w:sz w:val="20"/>
          <w:szCs w:val="20"/>
        </w:rPr>
        <w:t>,</w:t>
      </w:r>
      <w:r w:rsidR="00FF41A0">
        <w:rPr>
          <w:color w:val="000000" w:themeColor="text1"/>
          <w:sz w:val="20"/>
          <w:szCs w:val="20"/>
        </w:rPr>
        <w:t xml:space="preserve"> </w:t>
      </w:r>
      <w:r w:rsidR="00513B46" w:rsidRPr="00513B46">
        <w:rPr>
          <w:color w:val="000000" w:themeColor="text1"/>
          <w:sz w:val="20"/>
          <w:szCs w:val="20"/>
        </w:rPr>
        <w:t>Morocco</w:t>
      </w:r>
      <w:r w:rsidR="00513B46">
        <w:rPr>
          <w:color w:val="000000" w:themeColor="text1"/>
          <w:sz w:val="20"/>
          <w:szCs w:val="20"/>
        </w:rPr>
        <w:t>,</w:t>
      </w:r>
      <w:r w:rsidR="00FF41A0">
        <w:rPr>
          <w:color w:val="000000" w:themeColor="text1"/>
          <w:sz w:val="20"/>
          <w:szCs w:val="20"/>
        </w:rPr>
        <w:t xml:space="preserve"> </w:t>
      </w:r>
      <w:r w:rsidR="00513B46" w:rsidRPr="00513B46">
        <w:rPr>
          <w:color w:val="000000" w:themeColor="text1"/>
          <w:sz w:val="20"/>
          <w:szCs w:val="20"/>
        </w:rPr>
        <w:t>Nicaragua</w:t>
      </w:r>
      <w:r w:rsidR="00513B46">
        <w:rPr>
          <w:color w:val="000000" w:themeColor="text1"/>
          <w:sz w:val="20"/>
          <w:szCs w:val="20"/>
        </w:rPr>
        <w:t>,</w:t>
      </w:r>
      <w:r w:rsidR="00FF41A0">
        <w:rPr>
          <w:color w:val="000000" w:themeColor="text1"/>
          <w:sz w:val="20"/>
          <w:szCs w:val="20"/>
        </w:rPr>
        <w:t xml:space="preserve"> </w:t>
      </w:r>
      <w:r w:rsidR="00513B46" w:rsidRPr="00513B46">
        <w:rPr>
          <w:color w:val="000000" w:themeColor="text1"/>
          <w:sz w:val="20"/>
          <w:szCs w:val="20"/>
        </w:rPr>
        <w:t>Oman</w:t>
      </w:r>
      <w:r w:rsidR="00513B46">
        <w:rPr>
          <w:color w:val="000000" w:themeColor="text1"/>
          <w:sz w:val="20"/>
          <w:szCs w:val="20"/>
        </w:rPr>
        <w:t>,</w:t>
      </w:r>
      <w:r w:rsidR="00FF41A0">
        <w:rPr>
          <w:color w:val="000000" w:themeColor="text1"/>
          <w:sz w:val="20"/>
          <w:szCs w:val="20"/>
        </w:rPr>
        <w:t xml:space="preserve"> </w:t>
      </w:r>
      <w:r w:rsidR="00513B46" w:rsidRPr="00513B46">
        <w:rPr>
          <w:color w:val="000000" w:themeColor="text1"/>
          <w:sz w:val="20"/>
          <w:szCs w:val="20"/>
        </w:rPr>
        <w:t>Russian</w:t>
      </w:r>
      <w:r w:rsidR="00FF41A0">
        <w:rPr>
          <w:color w:val="000000" w:themeColor="text1"/>
          <w:sz w:val="20"/>
          <w:szCs w:val="20"/>
        </w:rPr>
        <w:t xml:space="preserve"> </w:t>
      </w:r>
      <w:r w:rsidR="00513B46" w:rsidRPr="00513B46">
        <w:rPr>
          <w:color w:val="000000" w:themeColor="text1"/>
          <w:sz w:val="20"/>
          <w:szCs w:val="20"/>
        </w:rPr>
        <w:t>Federation</w:t>
      </w:r>
      <w:r w:rsidR="00513B46">
        <w:rPr>
          <w:color w:val="000000" w:themeColor="text1"/>
          <w:sz w:val="20"/>
          <w:szCs w:val="20"/>
        </w:rPr>
        <w:t>,</w:t>
      </w:r>
      <w:r w:rsidR="00FF41A0">
        <w:rPr>
          <w:color w:val="000000" w:themeColor="text1"/>
          <w:sz w:val="20"/>
          <w:szCs w:val="20"/>
        </w:rPr>
        <w:t xml:space="preserve"> </w:t>
      </w:r>
      <w:r w:rsidR="00513B46" w:rsidRPr="00513B46">
        <w:rPr>
          <w:color w:val="000000" w:themeColor="text1"/>
          <w:sz w:val="20"/>
          <w:szCs w:val="20"/>
        </w:rPr>
        <w:t>Slovenia</w:t>
      </w:r>
      <w:r w:rsidR="00513B46">
        <w:rPr>
          <w:color w:val="000000" w:themeColor="text1"/>
          <w:sz w:val="20"/>
          <w:szCs w:val="20"/>
        </w:rPr>
        <w:t>,</w:t>
      </w:r>
      <w:r w:rsidR="00FF41A0">
        <w:rPr>
          <w:color w:val="000000" w:themeColor="text1"/>
          <w:sz w:val="20"/>
          <w:szCs w:val="20"/>
        </w:rPr>
        <w:t xml:space="preserve"> </w:t>
      </w:r>
      <w:r w:rsidR="00513B46" w:rsidRPr="00513B46">
        <w:rPr>
          <w:color w:val="000000" w:themeColor="text1"/>
          <w:sz w:val="20"/>
          <w:szCs w:val="20"/>
        </w:rPr>
        <w:t>Sri</w:t>
      </w:r>
      <w:r w:rsidR="00FF41A0">
        <w:rPr>
          <w:color w:val="000000" w:themeColor="text1"/>
          <w:sz w:val="20"/>
          <w:szCs w:val="20"/>
        </w:rPr>
        <w:t xml:space="preserve"> </w:t>
      </w:r>
      <w:r w:rsidR="00513B46" w:rsidRPr="00513B46">
        <w:rPr>
          <w:color w:val="000000" w:themeColor="text1"/>
          <w:sz w:val="20"/>
          <w:szCs w:val="20"/>
        </w:rPr>
        <w:t>Lanka</w:t>
      </w:r>
      <w:r w:rsidR="00513B46">
        <w:rPr>
          <w:color w:val="000000" w:themeColor="text1"/>
          <w:sz w:val="20"/>
          <w:szCs w:val="20"/>
        </w:rPr>
        <w:t>,</w:t>
      </w:r>
      <w:r w:rsidR="00FF41A0">
        <w:rPr>
          <w:color w:val="000000" w:themeColor="text1"/>
          <w:sz w:val="20"/>
          <w:szCs w:val="20"/>
        </w:rPr>
        <w:t xml:space="preserve"> </w:t>
      </w:r>
      <w:r w:rsidR="00513B46" w:rsidRPr="00513B46">
        <w:rPr>
          <w:color w:val="000000" w:themeColor="text1"/>
          <w:sz w:val="20"/>
          <w:szCs w:val="20"/>
        </w:rPr>
        <w:t>Sudan</w:t>
      </w:r>
      <w:r w:rsidR="00513B46">
        <w:rPr>
          <w:color w:val="000000" w:themeColor="text1"/>
          <w:sz w:val="20"/>
          <w:szCs w:val="20"/>
        </w:rPr>
        <w:t>,</w:t>
      </w:r>
      <w:r w:rsidR="00FF41A0">
        <w:rPr>
          <w:color w:val="000000" w:themeColor="text1"/>
          <w:sz w:val="20"/>
          <w:szCs w:val="20"/>
        </w:rPr>
        <w:t xml:space="preserve"> </w:t>
      </w:r>
      <w:r w:rsidR="00513B46" w:rsidRPr="00513B46">
        <w:rPr>
          <w:color w:val="000000" w:themeColor="text1"/>
          <w:sz w:val="20"/>
          <w:szCs w:val="20"/>
        </w:rPr>
        <w:t>Sweden</w:t>
      </w:r>
      <w:r w:rsidR="00513B46">
        <w:rPr>
          <w:color w:val="000000" w:themeColor="text1"/>
          <w:sz w:val="20"/>
          <w:szCs w:val="20"/>
        </w:rPr>
        <w:t>,</w:t>
      </w:r>
      <w:r w:rsidR="00FF41A0">
        <w:rPr>
          <w:color w:val="000000" w:themeColor="text1"/>
          <w:sz w:val="20"/>
          <w:szCs w:val="20"/>
        </w:rPr>
        <w:t xml:space="preserve"> </w:t>
      </w:r>
      <w:r w:rsidR="00513B46" w:rsidRPr="00513B46">
        <w:rPr>
          <w:color w:val="000000" w:themeColor="text1"/>
          <w:sz w:val="20"/>
          <w:szCs w:val="20"/>
        </w:rPr>
        <w:t>Turkey</w:t>
      </w:r>
      <w:r w:rsidR="00513B46">
        <w:rPr>
          <w:color w:val="000000" w:themeColor="text1"/>
          <w:sz w:val="20"/>
          <w:szCs w:val="20"/>
        </w:rPr>
        <w:t>,</w:t>
      </w:r>
      <w:r w:rsidR="00FF41A0">
        <w:rPr>
          <w:color w:val="000000" w:themeColor="text1"/>
          <w:sz w:val="20"/>
          <w:szCs w:val="20"/>
        </w:rPr>
        <w:t xml:space="preserve"> </w:t>
      </w:r>
      <w:r w:rsidR="00513B46" w:rsidRPr="00513B46">
        <w:rPr>
          <w:color w:val="000000" w:themeColor="text1"/>
          <w:sz w:val="20"/>
          <w:szCs w:val="20"/>
        </w:rPr>
        <w:t>United</w:t>
      </w:r>
      <w:r w:rsidR="00FF41A0">
        <w:rPr>
          <w:color w:val="000000" w:themeColor="text1"/>
          <w:sz w:val="20"/>
          <w:szCs w:val="20"/>
        </w:rPr>
        <w:t xml:space="preserve"> </w:t>
      </w:r>
      <w:r w:rsidR="00513B46" w:rsidRPr="00513B46">
        <w:rPr>
          <w:color w:val="000000" w:themeColor="text1"/>
          <w:sz w:val="20"/>
          <w:szCs w:val="20"/>
        </w:rPr>
        <w:t>Arab</w:t>
      </w:r>
      <w:r w:rsidR="00FF41A0">
        <w:rPr>
          <w:color w:val="000000" w:themeColor="text1"/>
          <w:sz w:val="20"/>
          <w:szCs w:val="20"/>
        </w:rPr>
        <w:t xml:space="preserve"> </w:t>
      </w:r>
      <w:r w:rsidR="00513B46" w:rsidRPr="00513B46">
        <w:rPr>
          <w:color w:val="000000" w:themeColor="text1"/>
          <w:sz w:val="20"/>
          <w:szCs w:val="20"/>
        </w:rPr>
        <w:t>Emirates</w:t>
      </w:r>
      <w:r w:rsidR="00513B46">
        <w:rPr>
          <w:color w:val="000000" w:themeColor="text1"/>
          <w:sz w:val="20"/>
          <w:szCs w:val="20"/>
        </w:rPr>
        <w:t>,</w:t>
      </w:r>
      <w:r w:rsidR="00FF41A0">
        <w:rPr>
          <w:color w:val="000000" w:themeColor="text1"/>
          <w:sz w:val="20"/>
          <w:szCs w:val="20"/>
        </w:rPr>
        <w:t xml:space="preserve"> </w:t>
      </w:r>
      <w:r w:rsidR="00513B46" w:rsidRPr="00513B46">
        <w:rPr>
          <w:color w:val="000000" w:themeColor="text1"/>
          <w:sz w:val="20"/>
          <w:szCs w:val="20"/>
        </w:rPr>
        <w:t>Venezuela</w:t>
      </w:r>
      <w:r w:rsidR="00FF41A0">
        <w:rPr>
          <w:color w:val="000000" w:themeColor="text1"/>
          <w:sz w:val="20"/>
          <w:szCs w:val="20"/>
        </w:rPr>
        <w:t xml:space="preserve"> </w:t>
      </w:r>
      <w:r w:rsidR="00513B46" w:rsidRPr="00513B46">
        <w:rPr>
          <w:color w:val="000000" w:themeColor="text1"/>
          <w:sz w:val="20"/>
          <w:szCs w:val="20"/>
        </w:rPr>
        <w:t>(Bolivarian</w:t>
      </w:r>
      <w:r w:rsidR="00FF41A0">
        <w:rPr>
          <w:color w:val="000000" w:themeColor="text1"/>
          <w:sz w:val="20"/>
          <w:szCs w:val="20"/>
        </w:rPr>
        <w:t xml:space="preserve"> </w:t>
      </w:r>
      <w:r w:rsidR="00513B46" w:rsidRPr="00513B46">
        <w:rPr>
          <w:color w:val="000000" w:themeColor="text1"/>
          <w:sz w:val="20"/>
          <w:szCs w:val="20"/>
        </w:rPr>
        <w:t>Republic</w:t>
      </w:r>
      <w:r w:rsidR="00FF41A0">
        <w:rPr>
          <w:color w:val="000000" w:themeColor="text1"/>
          <w:sz w:val="20"/>
          <w:szCs w:val="20"/>
        </w:rPr>
        <w:t xml:space="preserve"> </w:t>
      </w:r>
      <w:r w:rsidR="00513B46" w:rsidRPr="00513B46">
        <w:rPr>
          <w:color w:val="000000" w:themeColor="text1"/>
          <w:sz w:val="20"/>
          <w:szCs w:val="20"/>
        </w:rPr>
        <w:t>of)</w:t>
      </w:r>
      <w:r w:rsidR="00513B46">
        <w:rPr>
          <w:color w:val="000000" w:themeColor="text1"/>
          <w:sz w:val="20"/>
          <w:szCs w:val="20"/>
        </w:rPr>
        <w:t>,</w:t>
      </w:r>
      <w:r w:rsidR="00FF41A0">
        <w:rPr>
          <w:color w:val="000000" w:themeColor="text1"/>
          <w:sz w:val="20"/>
          <w:szCs w:val="20"/>
        </w:rPr>
        <w:t xml:space="preserve"> </w:t>
      </w:r>
      <w:r w:rsidR="00513B46" w:rsidRPr="00513B46">
        <w:rPr>
          <w:color w:val="000000" w:themeColor="text1"/>
          <w:sz w:val="20"/>
          <w:szCs w:val="20"/>
        </w:rPr>
        <w:t>Viet</w:t>
      </w:r>
      <w:r w:rsidR="00FF41A0">
        <w:rPr>
          <w:color w:val="000000" w:themeColor="text1"/>
          <w:sz w:val="20"/>
          <w:szCs w:val="20"/>
        </w:rPr>
        <w:t xml:space="preserve"> </w:t>
      </w:r>
      <w:r w:rsidR="00513B46" w:rsidRPr="00513B46">
        <w:rPr>
          <w:color w:val="000000" w:themeColor="text1"/>
          <w:sz w:val="20"/>
          <w:szCs w:val="20"/>
        </w:rPr>
        <w:t>Nam</w:t>
      </w:r>
      <w:r w:rsidR="00513B46">
        <w:rPr>
          <w:color w:val="000000" w:themeColor="text1"/>
          <w:sz w:val="20"/>
          <w:szCs w:val="20"/>
        </w:rPr>
        <w:t>,</w:t>
      </w:r>
      <w:r w:rsidR="00FF41A0">
        <w:rPr>
          <w:color w:val="000000" w:themeColor="text1"/>
          <w:sz w:val="20"/>
          <w:szCs w:val="20"/>
        </w:rPr>
        <w:t xml:space="preserve"> </w:t>
      </w:r>
      <w:r w:rsidR="00513B46" w:rsidRPr="00513B46">
        <w:rPr>
          <w:color w:val="000000" w:themeColor="text1"/>
          <w:sz w:val="20"/>
          <w:szCs w:val="20"/>
        </w:rPr>
        <w:t>Yemen</w:t>
      </w:r>
      <w:r w:rsidRPr="0037538E">
        <w:rPr>
          <w:color w:val="000000" w:themeColor="text1"/>
          <w:sz w:val="20"/>
          <w:szCs w:val="20"/>
        </w:rPr>
        <w:t>;</w:t>
      </w:r>
    </w:p>
    <w:p w14:paraId="4A37385E" w14:textId="326E5B15" w:rsidR="0069044B" w:rsidRPr="0069044B" w:rsidRDefault="0069044B" w:rsidP="0069044B">
      <w:pPr>
        <w:pStyle w:val="SingleTxtG"/>
        <w:ind w:firstLine="466"/>
        <w:rPr>
          <w:color w:val="000000" w:themeColor="text1"/>
          <w:sz w:val="20"/>
          <w:szCs w:val="20"/>
        </w:rPr>
      </w:pPr>
      <w:r w:rsidRPr="0069044B">
        <w:rPr>
          <w:color w:val="000000" w:themeColor="text1"/>
          <w:sz w:val="20"/>
          <w:szCs w:val="20"/>
        </w:rPr>
        <w:t>(</w:t>
      </w:r>
      <w:r w:rsidR="00513B46">
        <w:rPr>
          <w:color w:val="000000" w:themeColor="text1"/>
          <w:sz w:val="20"/>
          <w:szCs w:val="20"/>
        </w:rPr>
        <w:t>c</w:t>
      </w:r>
      <w:r w:rsidRPr="0069044B">
        <w:rPr>
          <w:color w:val="000000" w:themeColor="text1"/>
          <w:sz w:val="20"/>
          <w:szCs w:val="20"/>
        </w:rPr>
        <w:t>)</w:t>
      </w:r>
      <w:r w:rsidRPr="0069044B">
        <w:rPr>
          <w:color w:val="000000" w:themeColor="text1"/>
          <w:sz w:val="20"/>
          <w:szCs w:val="20"/>
        </w:rPr>
        <w:tab/>
        <w:t>Observer</w:t>
      </w:r>
      <w:r>
        <w:rPr>
          <w:color w:val="000000" w:themeColor="text1"/>
          <w:sz w:val="20"/>
          <w:szCs w:val="20"/>
        </w:rPr>
        <w:t>s</w:t>
      </w:r>
      <w:r w:rsidR="00FF41A0">
        <w:rPr>
          <w:color w:val="000000" w:themeColor="text1"/>
          <w:sz w:val="20"/>
          <w:szCs w:val="20"/>
        </w:rPr>
        <w:t xml:space="preserve"> </w:t>
      </w:r>
      <w:r w:rsidRPr="0069044B">
        <w:rPr>
          <w:color w:val="000000" w:themeColor="text1"/>
          <w:sz w:val="20"/>
          <w:szCs w:val="20"/>
        </w:rPr>
        <w:t>for</w:t>
      </w:r>
      <w:r w:rsidR="00FF41A0">
        <w:rPr>
          <w:color w:val="000000" w:themeColor="text1"/>
          <w:sz w:val="20"/>
          <w:szCs w:val="20"/>
        </w:rPr>
        <w:t xml:space="preserve"> </w:t>
      </w:r>
      <w:r w:rsidRPr="0069044B">
        <w:rPr>
          <w:color w:val="000000" w:themeColor="text1"/>
          <w:sz w:val="20"/>
          <w:szCs w:val="20"/>
        </w:rPr>
        <w:t>national</w:t>
      </w:r>
      <w:r w:rsidR="00FF41A0">
        <w:rPr>
          <w:color w:val="000000" w:themeColor="text1"/>
          <w:sz w:val="20"/>
          <w:szCs w:val="20"/>
        </w:rPr>
        <w:t xml:space="preserve"> </w:t>
      </w:r>
      <w:r w:rsidRPr="0069044B">
        <w:rPr>
          <w:color w:val="000000" w:themeColor="text1"/>
          <w:sz w:val="20"/>
          <w:szCs w:val="20"/>
        </w:rPr>
        <w:t>human</w:t>
      </w:r>
      <w:r w:rsidR="00FF41A0">
        <w:rPr>
          <w:color w:val="000000" w:themeColor="text1"/>
          <w:sz w:val="20"/>
          <w:szCs w:val="20"/>
        </w:rPr>
        <w:t xml:space="preserve"> </w:t>
      </w:r>
      <w:r w:rsidRPr="0069044B">
        <w:rPr>
          <w:color w:val="000000" w:themeColor="text1"/>
          <w:sz w:val="20"/>
          <w:szCs w:val="20"/>
        </w:rPr>
        <w:t>rights</w:t>
      </w:r>
      <w:r w:rsidR="00FF41A0">
        <w:rPr>
          <w:color w:val="000000" w:themeColor="text1"/>
          <w:sz w:val="20"/>
          <w:szCs w:val="20"/>
        </w:rPr>
        <w:t xml:space="preserve"> </w:t>
      </w:r>
      <w:r w:rsidRPr="0069044B">
        <w:rPr>
          <w:color w:val="000000" w:themeColor="text1"/>
          <w:sz w:val="20"/>
          <w:szCs w:val="20"/>
        </w:rPr>
        <w:t>institution</w:t>
      </w:r>
      <w:r>
        <w:rPr>
          <w:color w:val="000000" w:themeColor="text1"/>
          <w:sz w:val="20"/>
          <w:szCs w:val="20"/>
        </w:rPr>
        <w:t>s</w:t>
      </w:r>
      <w:r w:rsidRPr="0069044B">
        <w:rPr>
          <w:color w:val="000000" w:themeColor="text1"/>
          <w:sz w:val="20"/>
          <w:szCs w:val="20"/>
        </w:rPr>
        <w:t>:</w:t>
      </w:r>
      <w:r w:rsidR="00FF41A0">
        <w:rPr>
          <w:color w:val="000000" w:themeColor="text1"/>
          <w:sz w:val="20"/>
          <w:szCs w:val="20"/>
        </w:rPr>
        <w:t xml:space="preserve"> </w:t>
      </w:r>
      <w:r w:rsidRPr="0069044B">
        <w:rPr>
          <w:color w:val="000000" w:themeColor="text1"/>
          <w:sz w:val="20"/>
          <w:szCs w:val="20"/>
        </w:rPr>
        <w:t>Independent</w:t>
      </w:r>
      <w:r w:rsidR="00FF41A0">
        <w:rPr>
          <w:color w:val="000000" w:themeColor="text1"/>
          <w:sz w:val="20"/>
          <w:szCs w:val="20"/>
        </w:rPr>
        <w:t xml:space="preserve"> </w:t>
      </w:r>
      <w:r w:rsidRPr="0069044B">
        <w:rPr>
          <w:color w:val="000000" w:themeColor="text1"/>
          <w:sz w:val="20"/>
          <w:szCs w:val="20"/>
        </w:rPr>
        <w:t>Commission</w:t>
      </w:r>
      <w:r w:rsidR="00FF41A0">
        <w:rPr>
          <w:color w:val="000000" w:themeColor="text1"/>
          <w:sz w:val="20"/>
          <w:szCs w:val="20"/>
        </w:rPr>
        <w:t xml:space="preserve"> </w:t>
      </w:r>
      <w:r w:rsidRPr="0069044B">
        <w:rPr>
          <w:color w:val="000000" w:themeColor="text1"/>
          <w:sz w:val="20"/>
          <w:szCs w:val="20"/>
        </w:rPr>
        <w:t>for</w:t>
      </w:r>
      <w:r w:rsidR="00FF41A0">
        <w:rPr>
          <w:color w:val="000000" w:themeColor="text1"/>
          <w:sz w:val="20"/>
          <w:szCs w:val="20"/>
        </w:rPr>
        <w:t xml:space="preserve"> </w:t>
      </w:r>
      <w:r w:rsidRPr="0069044B">
        <w:rPr>
          <w:color w:val="000000" w:themeColor="text1"/>
          <w:sz w:val="20"/>
          <w:szCs w:val="20"/>
        </w:rPr>
        <w:t>Human</w:t>
      </w:r>
      <w:r w:rsidR="00FF41A0">
        <w:rPr>
          <w:color w:val="000000" w:themeColor="text1"/>
          <w:sz w:val="20"/>
          <w:szCs w:val="20"/>
        </w:rPr>
        <w:t xml:space="preserve"> </w:t>
      </w:r>
      <w:r w:rsidRPr="0069044B">
        <w:rPr>
          <w:color w:val="000000" w:themeColor="text1"/>
          <w:sz w:val="20"/>
          <w:szCs w:val="20"/>
        </w:rPr>
        <w:t>Rights</w:t>
      </w:r>
      <w:r w:rsidR="00FF41A0">
        <w:rPr>
          <w:color w:val="000000" w:themeColor="text1"/>
          <w:sz w:val="20"/>
          <w:szCs w:val="20"/>
        </w:rPr>
        <w:t xml:space="preserve"> </w:t>
      </w:r>
      <w:r w:rsidRPr="0069044B">
        <w:rPr>
          <w:color w:val="000000" w:themeColor="text1"/>
          <w:sz w:val="20"/>
          <w:szCs w:val="20"/>
        </w:rPr>
        <w:t>of</w:t>
      </w:r>
      <w:r w:rsidR="00FF41A0">
        <w:rPr>
          <w:color w:val="000000" w:themeColor="text1"/>
          <w:sz w:val="20"/>
          <w:szCs w:val="20"/>
        </w:rPr>
        <w:t xml:space="preserve"> </w:t>
      </w:r>
      <w:r w:rsidRPr="0069044B">
        <w:rPr>
          <w:color w:val="000000" w:themeColor="text1"/>
          <w:sz w:val="20"/>
          <w:szCs w:val="20"/>
        </w:rPr>
        <w:t>the</w:t>
      </w:r>
      <w:r w:rsidR="00FF41A0">
        <w:rPr>
          <w:color w:val="000000" w:themeColor="text1"/>
          <w:sz w:val="20"/>
          <w:szCs w:val="20"/>
        </w:rPr>
        <w:t xml:space="preserve"> </w:t>
      </w:r>
      <w:r w:rsidRPr="0069044B">
        <w:rPr>
          <w:color w:val="000000" w:themeColor="text1"/>
          <w:sz w:val="20"/>
          <w:szCs w:val="20"/>
        </w:rPr>
        <w:t>State</w:t>
      </w:r>
      <w:r w:rsidR="00FF41A0">
        <w:rPr>
          <w:color w:val="000000" w:themeColor="text1"/>
          <w:sz w:val="20"/>
          <w:szCs w:val="20"/>
        </w:rPr>
        <w:t xml:space="preserve"> </w:t>
      </w:r>
      <w:r w:rsidRPr="0069044B">
        <w:rPr>
          <w:color w:val="000000" w:themeColor="text1"/>
          <w:sz w:val="20"/>
          <w:szCs w:val="20"/>
        </w:rPr>
        <w:t>of</w:t>
      </w:r>
      <w:r w:rsidR="00FF41A0">
        <w:rPr>
          <w:color w:val="000000" w:themeColor="text1"/>
          <w:sz w:val="20"/>
          <w:szCs w:val="20"/>
        </w:rPr>
        <w:t xml:space="preserve"> </w:t>
      </w:r>
      <w:r w:rsidRPr="0069044B">
        <w:rPr>
          <w:color w:val="000000" w:themeColor="text1"/>
          <w:sz w:val="20"/>
          <w:szCs w:val="20"/>
        </w:rPr>
        <w:t>Palestine</w:t>
      </w:r>
      <w:r>
        <w:rPr>
          <w:color w:val="000000" w:themeColor="text1"/>
          <w:sz w:val="20"/>
          <w:szCs w:val="20"/>
        </w:rPr>
        <w:t>;</w:t>
      </w:r>
      <w:r w:rsidR="00FF41A0">
        <w:rPr>
          <w:color w:val="000000" w:themeColor="text1"/>
          <w:sz w:val="20"/>
          <w:szCs w:val="20"/>
        </w:rPr>
        <w:t xml:space="preserve"> </w:t>
      </w:r>
      <w:r w:rsidRPr="0069044B">
        <w:rPr>
          <w:color w:val="000000" w:themeColor="text1"/>
          <w:sz w:val="20"/>
          <w:szCs w:val="20"/>
        </w:rPr>
        <w:t>National</w:t>
      </w:r>
      <w:r w:rsidR="00FF41A0">
        <w:rPr>
          <w:color w:val="000000" w:themeColor="text1"/>
          <w:sz w:val="20"/>
          <w:szCs w:val="20"/>
        </w:rPr>
        <w:t xml:space="preserve"> </w:t>
      </w:r>
      <w:r w:rsidRPr="0069044B">
        <w:rPr>
          <w:color w:val="000000" w:themeColor="text1"/>
          <w:sz w:val="20"/>
          <w:szCs w:val="20"/>
        </w:rPr>
        <w:t>Human</w:t>
      </w:r>
      <w:r w:rsidR="00FF41A0">
        <w:rPr>
          <w:color w:val="000000" w:themeColor="text1"/>
          <w:sz w:val="20"/>
          <w:szCs w:val="20"/>
        </w:rPr>
        <w:t xml:space="preserve"> </w:t>
      </w:r>
      <w:r w:rsidRPr="0069044B">
        <w:rPr>
          <w:color w:val="000000" w:themeColor="text1"/>
          <w:sz w:val="20"/>
          <w:szCs w:val="20"/>
        </w:rPr>
        <w:t>Rights</w:t>
      </w:r>
      <w:r w:rsidR="00FF41A0">
        <w:rPr>
          <w:color w:val="000000" w:themeColor="text1"/>
          <w:sz w:val="20"/>
          <w:szCs w:val="20"/>
        </w:rPr>
        <w:t xml:space="preserve"> </w:t>
      </w:r>
      <w:r w:rsidRPr="0069044B">
        <w:rPr>
          <w:color w:val="000000" w:themeColor="text1"/>
          <w:sz w:val="20"/>
          <w:szCs w:val="20"/>
        </w:rPr>
        <w:t>Council</w:t>
      </w:r>
      <w:r w:rsidR="00FF41A0">
        <w:rPr>
          <w:color w:val="000000" w:themeColor="text1"/>
          <w:sz w:val="20"/>
          <w:szCs w:val="20"/>
        </w:rPr>
        <w:t xml:space="preserve"> </w:t>
      </w:r>
      <w:r w:rsidRPr="0069044B">
        <w:rPr>
          <w:color w:val="000000" w:themeColor="text1"/>
          <w:sz w:val="20"/>
          <w:szCs w:val="20"/>
        </w:rPr>
        <w:t>of</w:t>
      </w:r>
      <w:r w:rsidR="00FF41A0">
        <w:rPr>
          <w:color w:val="000000" w:themeColor="text1"/>
          <w:sz w:val="20"/>
          <w:szCs w:val="20"/>
        </w:rPr>
        <w:t xml:space="preserve"> </w:t>
      </w:r>
      <w:r w:rsidRPr="0069044B">
        <w:rPr>
          <w:color w:val="000000" w:themeColor="text1"/>
          <w:sz w:val="20"/>
          <w:szCs w:val="20"/>
        </w:rPr>
        <w:t>Egypt</w:t>
      </w:r>
      <w:r w:rsidR="00FF41A0">
        <w:rPr>
          <w:color w:val="000000" w:themeColor="text1"/>
          <w:sz w:val="20"/>
          <w:szCs w:val="20"/>
        </w:rPr>
        <w:t xml:space="preserve"> </w:t>
      </w:r>
      <w:r>
        <w:rPr>
          <w:color w:val="000000" w:themeColor="text1"/>
          <w:sz w:val="20"/>
          <w:szCs w:val="20"/>
        </w:rPr>
        <w:t>(by</w:t>
      </w:r>
      <w:r w:rsidR="00FF41A0">
        <w:rPr>
          <w:color w:val="000000" w:themeColor="text1"/>
          <w:sz w:val="20"/>
          <w:szCs w:val="20"/>
        </w:rPr>
        <w:t xml:space="preserve"> </w:t>
      </w:r>
      <w:r>
        <w:rPr>
          <w:color w:val="000000" w:themeColor="text1"/>
          <w:sz w:val="20"/>
          <w:szCs w:val="20"/>
        </w:rPr>
        <w:t>video</w:t>
      </w:r>
      <w:r w:rsidR="00FF41A0">
        <w:rPr>
          <w:color w:val="000000" w:themeColor="text1"/>
          <w:sz w:val="20"/>
          <w:szCs w:val="20"/>
        </w:rPr>
        <w:t xml:space="preserve"> </w:t>
      </w:r>
      <w:r>
        <w:rPr>
          <w:color w:val="000000" w:themeColor="text1"/>
          <w:sz w:val="20"/>
          <w:szCs w:val="20"/>
        </w:rPr>
        <w:t>message);</w:t>
      </w:r>
    </w:p>
    <w:p w14:paraId="2EA58D4E" w14:textId="07709C47" w:rsidR="00F11B08" w:rsidRDefault="00F11B08" w:rsidP="00F11B08">
      <w:pPr>
        <w:pStyle w:val="SingleTxtG"/>
        <w:ind w:firstLine="466"/>
        <w:rPr>
          <w:color w:val="000000" w:themeColor="text1"/>
          <w:sz w:val="20"/>
          <w:szCs w:val="20"/>
        </w:rPr>
      </w:pPr>
      <w:r w:rsidRPr="0037538E">
        <w:rPr>
          <w:color w:val="000000" w:themeColor="text1"/>
          <w:sz w:val="20"/>
          <w:szCs w:val="20"/>
        </w:rPr>
        <w:t>(</w:t>
      </w:r>
      <w:r w:rsidR="00513B46">
        <w:rPr>
          <w:color w:val="000000" w:themeColor="text1"/>
          <w:sz w:val="20"/>
          <w:szCs w:val="20"/>
        </w:rPr>
        <w:t>d</w:t>
      </w:r>
      <w:r w:rsidRPr="0037538E">
        <w:rPr>
          <w:color w:val="000000" w:themeColor="text1"/>
          <w:sz w:val="20"/>
          <w:szCs w:val="20"/>
        </w:rPr>
        <w:t>)</w:t>
      </w:r>
      <w:r w:rsidRPr="0037538E">
        <w:rPr>
          <w:color w:val="000000" w:themeColor="text1"/>
          <w:sz w:val="20"/>
          <w:szCs w:val="20"/>
        </w:rPr>
        <w:tab/>
        <w:t>Observers</w:t>
      </w:r>
      <w:r w:rsidR="00FF41A0">
        <w:rPr>
          <w:color w:val="000000" w:themeColor="text1"/>
          <w:sz w:val="20"/>
          <w:szCs w:val="20"/>
        </w:rPr>
        <w:t xml:space="preserve"> </w:t>
      </w:r>
      <w:r w:rsidRPr="0037538E">
        <w:rPr>
          <w:color w:val="000000" w:themeColor="text1"/>
          <w:sz w:val="20"/>
          <w:szCs w:val="20"/>
        </w:rPr>
        <w:t>for</w:t>
      </w:r>
      <w:r w:rsidR="00FF41A0">
        <w:rPr>
          <w:color w:val="000000" w:themeColor="text1"/>
          <w:sz w:val="20"/>
          <w:szCs w:val="20"/>
        </w:rPr>
        <w:t xml:space="preserve"> </w:t>
      </w:r>
      <w:r w:rsidRPr="0037538E">
        <w:rPr>
          <w:color w:val="000000" w:themeColor="text1"/>
          <w:sz w:val="20"/>
          <w:szCs w:val="20"/>
        </w:rPr>
        <w:t>non-governmental</w:t>
      </w:r>
      <w:r w:rsidR="00FF41A0">
        <w:rPr>
          <w:color w:val="000000" w:themeColor="text1"/>
          <w:sz w:val="20"/>
          <w:szCs w:val="20"/>
        </w:rPr>
        <w:t xml:space="preserve"> </w:t>
      </w:r>
      <w:r w:rsidRPr="0037538E">
        <w:rPr>
          <w:color w:val="000000" w:themeColor="text1"/>
          <w:sz w:val="20"/>
          <w:szCs w:val="20"/>
        </w:rPr>
        <w:t>organizations</w:t>
      </w:r>
      <w:r w:rsidRPr="0037538E">
        <w:rPr>
          <w:rFonts w:hint="eastAsia"/>
          <w:color w:val="000000" w:themeColor="text1"/>
          <w:sz w:val="20"/>
          <w:szCs w:val="20"/>
        </w:rPr>
        <w:t>:</w:t>
      </w:r>
      <w:r w:rsidR="00FF41A0">
        <w:rPr>
          <w:color w:val="000000" w:themeColor="text1"/>
          <w:sz w:val="20"/>
          <w:szCs w:val="20"/>
        </w:rPr>
        <w:t xml:space="preserve"> </w:t>
      </w:r>
      <w:r w:rsidR="008C4B3B" w:rsidRPr="008C4B3B">
        <w:rPr>
          <w:color w:val="000000" w:themeColor="text1"/>
          <w:sz w:val="20"/>
          <w:szCs w:val="20"/>
        </w:rPr>
        <w:t>Adalah</w:t>
      </w:r>
      <w:r w:rsidR="00FF41A0">
        <w:rPr>
          <w:color w:val="000000" w:themeColor="text1"/>
          <w:sz w:val="20"/>
          <w:szCs w:val="20"/>
        </w:rPr>
        <w:t xml:space="preserve"> </w:t>
      </w:r>
      <w:r w:rsidR="008C4B3B" w:rsidRPr="008C4B3B">
        <w:rPr>
          <w:color w:val="000000" w:themeColor="text1"/>
          <w:sz w:val="20"/>
          <w:szCs w:val="20"/>
        </w:rPr>
        <w:t>-</w:t>
      </w:r>
      <w:r w:rsidR="00FF41A0">
        <w:rPr>
          <w:color w:val="000000" w:themeColor="text1"/>
          <w:sz w:val="20"/>
          <w:szCs w:val="20"/>
        </w:rPr>
        <w:t xml:space="preserve"> </w:t>
      </w:r>
      <w:r w:rsidR="008C4B3B" w:rsidRPr="008C4B3B">
        <w:rPr>
          <w:color w:val="000000" w:themeColor="text1"/>
          <w:sz w:val="20"/>
          <w:szCs w:val="20"/>
        </w:rPr>
        <w:t>Legal</w:t>
      </w:r>
      <w:r w:rsidR="00FF41A0">
        <w:rPr>
          <w:color w:val="000000" w:themeColor="text1"/>
          <w:sz w:val="20"/>
          <w:szCs w:val="20"/>
        </w:rPr>
        <w:t xml:space="preserve"> </w:t>
      </w:r>
      <w:r w:rsidR="008C4B3B" w:rsidRPr="008C4B3B">
        <w:rPr>
          <w:color w:val="000000" w:themeColor="text1"/>
          <w:sz w:val="20"/>
          <w:szCs w:val="20"/>
        </w:rPr>
        <w:t>Center</w:t>
      </w:r>
      <w:r w:rsidR="00FF41A0">
        <w:rPr>
          <w:color w:val="000000" w:themeColor="text1"/>
          <w:sz w:val="20"/>
          <w:szCs w:val="20"/>
        </w:rPr>
        <w:t xml:space="preserve"> </w:t>
      </w:r>
      <w:r w:rsidR="008C4B3B" w:rsidRPr="008C4B3B">
        <w:rPr>
          <w:color w:val="000000" w:themeColor="text1"/>
          <w:sz w:val="20"/>
          <w:szCs w:val="20"/>
        </w:rPr>
        <w:t>for</w:t>
      </w:r>
      <w:r w:rsidR="00FF41A0">
        <w:rPr>
          <w:color w:val="000000" w:themeColor="text1"/>
          <w:sz w:val="20"/>
          <w:szCs w:val="20"/>
        </w:rPr>
        <w:t xml:space="preserve"> </w:t>
      </w:r>
      <w:r w:rsidR="008C4B3B" w:rsidRPr="008C4B3B">
        <w:rPr>
          <w:color w:val="000000" w:themeColor="text1"/>
          <w:sz w:val="20"/>
          <w:szCs w:val="20"/>
        </w:rPr>
        <w:t>Arab</w:t>
      </w:r>
      <w:r w:rsidR="00FF41A0">
        <w:rPr>
          <w:color w:val="000000" w:themeColor="text1"/>
          <w:sz w:val="20"/>
          <w:szCs w:val="20"/>
        </w:rPr>
        <w:t xml:space="preserve"> </w:t>
      </w:r>
      <w:r w:rsidR="008C4B3B" w:rsidRPr="008C4B3B">
        <w:rPr>
          <w:color w:val="000000" w:themeColor="text1"/>
          <w:sz w:val="20"/>
          <w:szCs w:val="20"/>
        </w:rPr>
        <w:t>Minority</w:t>
      </w:r>
      <w:r w:rsidR="00FF41A0">
        <w:rPr>
          <w:color w:val="000000" w:themeColor="text1"/>
          <w:sz w:val="20"/>
          <w:szCs w:val="20"/>
        </w:rPr>
        <w:t xml:space="preserve"> </w:t>
      </w:r>
      <w:r w:rsidR="008C4B3B" w:rsidRPr="008C4B3B">
        <w:rPr>
          <w:color w:val="000000" w:themeColor="text1"/>
          <w:sz w:val="20"/>
          <w:szCs w:val="20"/>
        </w:rPr>
        <w:t>Rights</w:t>
      </w:r>
      <w:r w:rsidR="00FF41A0">
        <w:rPr>
          <w:color w:val="000000" w:themeColor="text1"/>
          <w:sz w:val="20"/>
          <w:szCs w:val="20"/>
        </w:rPr>
        <w:t xml:space="preserve"> </w:t>
      </w:r>
      <w:r w:rsidR="008C4B3B" w:rsidRPr="008C4B3B">
        <w:rPr>
          <w:color w:val="000000" w:themeColor="text1"/>
          <w:sz w:val="20"/>
          <w:szCs w:val="20"/>
        </w:rPr>
        <w:t>in</w:t>
      </w:r>
      <w:r w:rsidR="00FF41A0">
        <w:rPr>
          <w:color w:val="000000" w:themeColor="text1"/>
          <w:sz w:val="20"/>
          <w:szCs w:val="20"/>
        </w:rPr>
        <w:t xml:space="preserve"> </w:t>
      </w:r>
      <w:r w:rsidR="008C4B3B" w:rsidRPr="008C4B3B">
        <w:rPr>
          <w:color w:val="000000" w:themeColor="text1"/>
          <w:sz w:val="20"/>
          <w:szCs w:val="20"/>
        </w:rPr>
        <w:t>Israel</w:t>
      </w:r>
      <w:r w:rsidR="008C4B3B">
        <w:rPr>
          <w:color w:val="000000" w:themeColor="text1"/>
          <w:sz w:val="20"/>
          <w:szCs w:val="20"/>
        </w:rPr>
        <w:t>;</w:t>
      </w:r>
      <w:r w:rsidR="00FF41A0">
        <w:rPr>
          <w:color w:val="000000" w:themeColor="text1"/>
          <w:sz w:val="20"/>
          <w:szCs w:val="20"/>
        </w:rPr>
        <w:t xml:space="preserve"> </w:t>
      </w:r>
      <w:r w:rsidR="008C4B3B" w:rsidRPr="008C4B3B">
        <w:rPr>
          <w:color w:val="000000" w:themeColor="text1"/>
          <w:sz w:val="20"/>
          <w:szCs w:val="20"/>
        </w:rPr>
        <w:t>Al</w:t>
      </w:r>
      <w:r w:rsidR="00FF41A0">
        <w:rPr>
          <w:color w:val="000000" w:themeColor="text1"/>
          <w:sz w:val="20"/>
          <w:szCs w:val="20"/>
        </w:rPr>
        <w:t xml:space="preserve"> </w:t>
      </w:r>
      <w:r w:rsidR="008C4B3B" w:rsidRPr="008C4B3B">
        <w:rPr>
          <w:color w:val="000000" w:themeColor="text1"/>
          <w:sz w:val="20"/>
          <w:szCs w:val="20"/>
        </w:rPr>
        <w:t>Mezan</w:t>
      </w:r>
      <w:r w:rsidR="00FF41A0">
        <w:rPr>
          <w:color w:val="000000" w:themeColor="text1"/>
          <w:sz w:val="20"/>
          <w:szCs w:val="20"/>
        </w:rPr>
        <w:t xml:space="preserve"> </w:t>
      </w:r>
      <w:r w:rsidR="008C4B3B" w:rsidRPr="008C4B3B">
        <w:rPr>
          <w:color w:val="000000" w:themeColor="text1"/>
          <w:sz w:val="20"/>
          <w:szCs w:val="20"/>
        </w:rPr>
        <w:t>Centre</w:t>
      </w:r>
      <w:r w:rsidR="00FF41A0">
        <w:rPr>
          <w:color w:val="000000" w:themeColor="text1"/>
          <w:sz w:val="20"/>
          <w:szCs w:val="20"/>
        </w:rPr>
        <w:t xml:space="preserve"> </w:t>
      </w:r>
      <w:r w:rsidR="008C4B3B" w:rsidRPr="008C4B3B">
        <w:rPr>
          <w:color w:val="000000" w:themeColor="text1"/>
          <w:sz w:val="20"/>
          <w:szCs w:val="20"/>
        </w:rPr>
        <w:t>for</w:t>
      </w:r>
      <w:r w:rsidR="00FF41A0">
        <w:rPr>
          <w:color w:val="000000" w:themeColor="text1"/>
          <w:sz w:val="20"/>
          <w:szCs w:val="20"/>
        </w:rPr>
        <w:t xml:space="preserve"> </w:t>
      </w:r>
      <w:r w:rsidR="008C4B3B" w:rsidRPr="008C4B3B">
        <w:rPr>
          <w:color w:val="000000" w:themeColor="text1"/>
          <w:sz w:val="20"/>
          <w:szCs w:val="20"/>
        </w:rPr>
        <w:t>Human</w:t>
      </w:r>
      <w:r w:rsidR="00FF41A0">
        <w:rPr>
          <w:color w:val="000000" w:themeColor="text1"/>
          <w:sz w:val="20"/>
          <w:szCs w:val="20"/>
        </w:rPr>
        <w:t xml:space="preserve"> </w:t>
      </w:r>
      <w:r w:rsidR="008C4B3B" w:rsidRPr="008C4B3B">
        <w:rPr>
          <w:color w:val="000000" w:themeColor="text1"/>
          <w:sz w:val="20"/>
          <w:szCs w:val="20"/>
        </w:rPr>
        <w:t>Rights</w:t>
      </w:r>
      <w:r w:rsidR="008C4B3B">
        <w:rPr>
          <w:color w:val="000000" w:themeColor="text1"/>
          <w:sz w:val="20"/>
          <w:szCs w:val="20"/>
        </w:rPr>
        <w:t>;</w:t>
      </w:r>
      <w:r w:rsidR="00FF41A0">
        <w:rPr>
          <w:color w:val="000000" w:themeColor="text1"/>
          <w:sz w:val="20"/>
          <w:szCs w:val="20"/>
        </w:rPr>
        <w:t xml:space="preserve"> </w:t>
      </w:r>
      <w:r w:rsidR="008C4B3B" w:rsidRPr="008C4B3B">
        <w:rPr>
          <w:color w:val="000000" w:themeColor="text1"/>
          <w:sz w:val="20"/>
          <w:szCs w:val="20"/>
        </w:rPr>
        <w:t>Al-Haq,</w:t>
      </w:r>
      <w:r w:rsidR="00FF41A0">
        <w:rPr>
          <w:color w:val="000000" w:themeColor="text1"/>
          <w:sz w:val="20"/>
          <w:szCs w:val="20"/>
        </w:rPr>
        <w:t xml:space="preserve"> </w:t>
      </w:r>
      <w:r w:rsidR="008C4B3B" w:rsidRPr="008C4B3B">
        <w:rPr>
          <w:color w:val="000000" w:themeColor="text1"/>
          <w:sz w:val="20"/>
          <w:szCs w:val="20"/>
        </w:rPr>
        <w:t>Law</w:t>
      </w:r>
      <w:r w:rsidR="00FF41A0">
        <w:rPr>
          <w:color w:val="000000" w:themeColor="text1"/>
          <w:sz w:val="20"/>
          <w:szCs w:val="20"/>
        </w:rPr>
        <w:t xml:space="preserve"> </w:t>
      </w:r>
      <w:r w:rsidR="008C4B3B" w:rsidRPr="008C4B3B">
        <w:rPr>
          <w:color w:val="000000" w:themeColor="text1"/>
          <w:sz w:val="20"/>
          <w:szCs w:val="20"/>
        </w:rPr>
        <w:t>in</w:t>
      </w:r>
      <w:r w:rsidR="00FF41A0">
        <w:rPr>
          <w:color w:val="000000" w:themeColor="text1"/>
          <w:sz w:val="20"/>
          <w:szCs w:val="20"/>
        </w:rPr>
        <w:t xml:space="preserve"> </w:t>
      </w:r>
      <w:r w:rsidR="008C4B3B" w:rsidRPr="008C4B3B">
        <w:rPr>
          <w:color w:val="000000" w:themeColor="text1"/>
          <w:sz w:val="20"/>
          <w:szCs w:val="20"/>
        </w:rPr>
        <w:t>the</w:t>
      </w:r>
      <w:r w:rsidR="00FF41A0">
        <w:rPr>
          <w:color w:val="000000" w:themeColor="text1"/>
          <w:sz w:val="20"/>
          <w:szCs w:val="20"/>
        </w:rPr>
        <w:t xml:space="preserve"> </w:t>
      </w:r>
      <w:r w:rsidR="008C4B3B" w:rsidRPr="008C4B3B">
        <w:rPr>
          <w:color w:val="000000" w:themeColor="text1"/>
          <w:sz w:val="20"/>
          <w:szCs w:val="20"/>
        </w:rPr>
        <w:t>Service</w:t>
      </w:r>
      <w:r w:rsidR="00FF41A0">
        <w:rPr>
          <w:color w:val="000000" w:themeColor="text1"/>
          <w:sz w:val="20"/>
          <w:szCs w:val="20"/>
        </w:rPr>
        <w:t xml:space="preserve"> </w:t>
      </w:r>
      <w:r w:rsidR="008C4B3B" w:rsidRPr="008C4B3B">
        <w:rPr>
          <w:color w:val="000000" w:themeColor="text1"/>
          <w:sz w:val="20"/>
          <w:szCs w:val="20"/>
        </w:rPr>
        <w:t>of</w:t>
      </w:r>
      <w:r w:rsidR="00FF41A0">
        <w:rPr>
          <w:color w:val="000000" w:themeColor="text1"/>
          <w:sz w:val="20"/>
          <w:szCs w:val="20"/>
        </w:rPr>
        <w:t xml:space="preserve"> </w:t>
      </w:r>
      <w:r w:rsidR="008C4B3B" w:rsidRPr="008C4B3B">
        <w:rPr>
          <w:color w:val="000000" w:themeColor="text1"/>
          <w:sz w:val="20"/>
          <w:szCs w:val="20"/>
        </w:rPr>
        <w:t>Man</w:t>
      </w:r>
      <w:r w:rsidR="008C4B3B">
        <w:rPr>
          <w:color w:val="000000" w:themeColor="text1"/>
          <w:sz w:val="20"/>
          <w:szCs w:val="20"/>
        </w:rPr>
        <w:t>;</w:t>
      </w:r>
      <w:r w:rsidR="00FF41A0">
        <w:rPr>
          <w:color w:val="000000" w:themeColor="text1"/>
          <w:sz w:val="20"/>
          <w:szCs w:val="20"/>
        </w:rPr>
        <w:t xml:space="preserve"> </w:t>
      </w:r>
      <w:r w:rsidR="008C4B3B" w:rsidRPr="008C4B3B">
        <w:rPr>
          <w:color w:val="000000" w:themeColor="text1"/>
          <w:sz w:val="20"/>
          <w:szCs w:val="20"/>
        </w:rPr>
        <w:t>Association</w:t>
      </w:r>
      <w:r w:rsidR="00FF41A0">
        <w:rPr>
          <w:color w:val="000000" w:themeColor="text1"/>
          <w:sz w:val="20"/>
          <w:szCs w:val="20"/>
        </w:rPr>
        <w:t xml:space="preserve"> </w:t>
      </w:r>
      <w:r w:rsidR="008C4B3B" w:rsidRPr="008C4B3B">
        <w:rPr>
          <w:color w:val="000000" w:themeColor="text1"/>
          <w:sz w:val="20"/>
          <w:szCs w:val="20"/>
        </w:rPr>
        <w:t>d</w:t>
      </w:r>
      <w:r w:rsidR="00D72627">
        <w:rPr>
          <w:color w:val="000000" w:themeColor="text1"/>
          <w:sz w:val="20"/>
          <w:szCs w:val="20"/>
        </w:rPr>
        <w:t>’</w:t>
      </w:r>
      <w:r w:rsidR="008C4B3B" w:rsidRPr="008C4B3B">
        <w:rPr>
          <w:color w:val="000000" w:themeColor="text1"/>
          <w:sz w:val="20"/>
          <w:szCs w:val="20"/>
        </w:rPr>
        <w:t>Entraide</w:t>
      </w:r>
      <w:r w:rsidR="00FF41A0">
        <w:rPr>
          <w:color w:val="000000" w:themeColor="text1"/>
          <w:sz w:val="20"/>
          <w:szCs w:val="20"/>
        </w:rPr>
        <w:t xml:space="preserve"> </w:t>
      </w:r>
      <w:r w:rsidR="008C4B3B" w:rsidRPr="008C4B3B">
        <w:rPr>
          <w:color w:val="000000" w:themeColor="text1"/>
          <w:sz w:val="20"/>
          <w:szCs w:val="20"/>
        </w:rPr>
        <w:t>Médicale</w:t>
      </w:r>
      <w:r w:rsidR="00FF41A0">
        <w:rPr>
          <w:color w:val="000000" w:themeColor="text1"/>
          <w:sz w:val="20"/>
          <w:szCs w:val="20"/>
        </w:rPr>
        <w:t xml:space="preserve"> </w:t>
      </w:r>
      <w:r w:rsidR="008C4B3B" w:rsidRPr="008C4B3B">
        <w:rPr>
          <w:color w:val="000000" w:themeColor="text1"/>
          <w:sz w:val="20"/>
          <w:szCs w:val="20"/>
        </w:rPr>
        <w:t>Guinée</w:t>
      </w:r>
      <w:r w:rsidR="008C4B3B">
        <w:rPr>
          <w:color w:val="000000" w:themeColor="text1"/>
          <w:sz w:val="20"/>
          <w:szCs w:val="20"/>
        </w:rPr>
        <w:t>;</w:t>
      </w:r>
      <w:r w:rsidR="00FF41A0">
        <w:rPr>
          <w:color w:val="000000" w:themeColor="text1"/>
          <w:sz w:val="20"/>
          <w:szCs w:val="20"/>
        </w:rPr>
        <w:t xml:space="preserve"> </w:t>
      </w:r>
      <w:r w:rsidR="008C4B3B" w:rsidRPr="008C4B3B">
        <w:rPr>
          <w:color w:val="000000" w:themeColor="text1"/>
          <w:sz w:val="20"/>
          <w:szCs w:val="20"/>
        </w:rPr>
        <w:t>BADIL</w:t>
      </w:r>
      <w:r w:rsidR="00FF41A0">
        <w:rPr>
          <w:color w:val="000000" w:themeColor="text1"/>
          <w:sz w:val="20"/>
          <w:szCs w:val="20"/>
        </w:rPr>
        <w:t xml:space="preserve"> </w:t>
      </w:r>
      <w:r w:rsidR="008C4B3B" w:rsidRPr="008C4B3B">
        <w:rPr>
          <w:color w:val="000000" w:themeColor="text1"/>
          <w:sz w:val="20"/>
          <w:szCs w:val="20"/>
        </w:rPr>
        <w:t>resource</w:t>
      </w:r>
      <w:r w:rsidR="00FF41A0">
        <w:rPr>
          <w:color w:val="000000" w:themeColor="text1"/>
          <w:sz w:val="20"/>
          <w:szCs w:val="20"/>
        </w:rPr>
        <w:t xml:space="preserve"> </w:t>
      </w:r>
      <w:r w:rsidR="008C4B3B" w:rsidRPr="008C4B3B">
        <w:rPr>
          <w:color w:val="000000" w:themeColor="text1"/>
          <w:sz w:val="20"/>
          <w:szCs w:val="20"/>
        </w:rPr>
        <w:t>center</w:t>
      </w:r>
      <w:r w:rsidR="00FF41A0">
        <w:rPr>
          <w:color w:val="000000" w:themeColor="text1"/>
          <w:sz w:val="20"/>
          <w:szCs w:val="20"/>
        </w:rPr>
        <w:t xml:space="preserve"> </w:t>
      </w:r>
      <w:r w:rsidR="008C4B3B" w:rsidRPr="008C4B3B">
        <w:rPr>
          <w:color w:val="000000" w:themeColor="text1"/>
          <w:sz w:val="20"/>
          <w:szCs w:val="20"/>
        </w:rPr>
        <w:t>for</w:t>
      </w:r>
      <w:r w:rsidR="00FF41A0">
        <w:rPr>
          <w:color w:val="000000" w:themeColor="text1"/>
          <w:sz w:val="20"/>
          <w:szCs w:val="20"/>
        </w:rPr>
        <w:t xml:space="preserve"> </w:t>
      </w:r>
      <w:r w:rsidR="008C4B3B" w:rsidRPr="008C4B3B">
        <w:rPr>
          <w:color w:val="000000" w:themeColor="text1"/>
          <w:sz w:val="20"/>
          <w:szCs w:val="20"/>
        </w:rPr>
        <w:t>Palestinian</w:t>
      </w:r>
      <w:r w:rsidR="00FF41A0">
        <w:rPr>
          <w:color w:val="000000" w:themeColor="text1"/>
          <w:sz w:val="20"/>
          <w:szCs w:val="20"/>
        </w:rPr>
        <w:t xml:space="preserve"> </w:t>
      </w:r>
      <w:r w:rsidR="008C4B3B" w:rsidRPr="008C4B3B">
        <w:rPr>
          <w:color w:val="000000" w:themeColor="text1"/>
          <w:sz w:val="20"/>
          <w:szCs w:val="20"/>
        </w:rPr>
        <w:t>residency</w:t>
      </w:r>
      <w:r w:rsidR="00FF41A0">
        <w:rPr>
          <w:color w:val="000000" w:themeColor="text1"/>
          <w:sz w:val="20"/>
          <w:szCs w:val="20"/>
        </w:rPr>
        <w:t xml:space="preserve"> </w:t>
      </w:r>
      <w:r w:rsidR="008C4B3B" w:rsidRPr="008C4B3B">
        <w:rPr>
          <w:color w:val="000000" w:themeColor="text1"/>
          <w:sz w:val="20"/>
          <w:szCs w:val="20"/>
        </w:rPr>
        <w:t>and</w:t>
      </w:r>
      <w:r w:rsidR="00FF41A0">
        <w:rPr>
          <w:color w:val="000000" w:themeColor="text1"/>
          <w:sz w:val="20"/>
          <w:szCs w:val="20"/>
        </w:rPr>
        <w:t xml:space="preserve"> </w:t>
      </w:r>
      <w:r w:rsidR="008C4B3B" w:rsidRPr="008C4B3B">
        <w:rPr>
          <w:color w:val="000000" w:themeColor="text1"/>
          <w:sz w:val="20"/>
          <w:szCs w:val="20"/>
        </w:rPr>
        <w:t>refugee</w:t>
      </w:r>
      <w:r w:rsidR="00FF41A0">
        <w:rPr>
          <w:color w:val="000000" w:themeColor="text1"/>
          <w:sz w:val="20"/>
          <w:szCs w:val="20"/>
        </w:rPr>
        <w:t xml:space="preserve"> </w:t>
      </w:r>
      <w:r w:rsidR="008C4B3B" w:rsidRPr="008C4B3B">
        <w:rPr>
          <w:color w:val="000000" w:themeColor="text1"/>
          <w:sz w:val="20"/>
          <w:szCs w:val="20"/>
        </w:rPr>
        <w:t>rights</w:t>
      </w:r>
      <w:r w:rsidR="008C4B3B">
        <w:rPr>
          <w:color w:val="000000" w:themeColor="text1"/>
          <w:sz w:val="20"/>
          <w:szCs w:val="20"/>
        </w:rPr>
        <w:t>;</w:t>
      </w:r>
      <w:r w:rsidR="00FF41A0">
        <w:rPr>
          <w:color w:val="000000" w:themeColor="text1"/>
          <w:sz w:val="20"/>
          <w:szCs w:val="20"/>
        </w:rPr>
        <w:t xml:space="preserve"> </w:t>
      </w:r>
      <w:r w:rsidR="008C4B3B" w:rsidRPr="008C4B3B">
        <w:rPr>
          <w:color w:val="000000" w:themeColor="text1"/>
          <w:sz w:val="20"/>
          <w:szCs w:val="20"/>
        </w:rPr>
        <w:t>B</w:t>
      </w:r>
      <w:r w:rsidR="00D72627">
        <w:rPr>
          <w:color w:val="000000" w:themeColor="text1"/>
          <w:sz w:val="20"/>
          <w:szCs w:val="20"/>
        </w:rPr>
        <w:t>’</w:t>
      </w:r>
      <w:r w:rsidR="008C4B3B" w:rsidRPr="008C4B3B">
        <w:rPr>
          <w:color w:val="000000" w:themeColor="text1"/>
          <w:sz w:val="20"/>
          <w:szCs w:val="20"/>
        </w:rPr>
        <w:t>nai</w:t>
      </w:r>
      <w:r w:rsidR="00FF41A0">
        <w:rPr>
          <w:color w:val="000000" w:themeColor="text1"/>
          <w:sz w:val="20"/>
          <w:szCs w:val="20"/>
        </w:rPr>
        <w:t xml:space="preserve"> </w:t>
      </w:r>
      <w:r w:rsidR="008C4B3B" w:rsidRPr="008C4B3B">
        <w:rPr>
          <w:color w:val="000000" w:themeColor="text1"/>
          <w:sz w:val="20"/>
          <w:szCs w:val="20"/>
        </w:rPr>
        <w:t>B</w:t>
      </w:r>
      <w:r w:rsidR="00D72627">
        <w:rPr>
          <w:color w:val="000000" w:themeColor="text1"/>
          <w:sz w:val="20"/>
          <w:szCs w:val="20"/>
        </w:rPr>
        <w:t>’</w:t>
      </w:r>
      <w:r w:rsidR="008C4B3B" w:rsidRPr="008C4B3B">
        <w:rPr>
          <w:color w:val="000000" w:themeColor="text1"/>
          <w:sz w:val="20"/>
          <w:szCs w:val="20"/>
        </w:rPr>
        <w:t>rith</w:t>
      </w:r>
      <w:r w:rsidR="008C4B3B">
        <w:rPr>
          <w:color w:val="000000" w:themeColor="text1"/>
          <w:sz w:val="20"/>
          <w:szCs w:val="20"/>
        </w:rPr>
        <w:t>;</w:t>
      </w:r>
      <w:r w:rsidR="00FF41A0">
        <w:rPr>
          <w:color w:val="000000" w:themeColor="text1"/>
          <w:sz w:val="20"/>
          <w:szCs w:val="20"/>
        </w:rPr>
        <w:t xml:space="preserve"> </w:t>
      </w:r>
      <w:r w:rsidR="008C4B3B" w:rsidRPr="008C4B3B">
        <w:rPr>
          <w:color w:val="000000" w:themeColor="text1"/>
          <w:sz w:val="20"/>
          <w:szCs w:val="20"/>
        </w:rPr>
        <w:t>Cairo</w:t>
      </w:r>
      <w:r w:rsidR="00FF41A0">
        <w:rPr>
          <w:color w:val="000000" w:themeColor="text1"/>
          <w:sz w:val="20"/>
          <w:szCs w:val="20"/>
        </w:rPr>
        <w:t xml:space="preserve"> </w:t>
      </w:r>
      <w:r w:rsidR="008C4B3B" w:rsidRPr="008C4B3B">
        <w:rPr>
          <w:color w:val="000000" w:themeColor="text1"/>
          <w:sz w:val="20"/>
          <w:szCs w:val="20"/>
        </w:rPr>
        <w:t>Institute</w:t>
      </w:r>
      <w:r w:rsidR="00FF41A0">
        <w:rPr>
          <w:color w:val="000000" w:themeColor="text1"/>
          <w:sz w:val="20"/>
          <w:szCs w:val="20"/>
        </w:rPr>
        <w:t xml:space="preserve"> </w:t>
      </w:r>
      <w:r w:rsidR="008C4B3B" w:rsidRPr="008C4B3B">
        <w:rPr>
          <w:color w:val="000000" w:themeColor="text1"/>
          <w:sz w:val="20"/>
          <w:szCs w:val="20"/>
        </w:rPr>
        <w:t>for</w:t>
      </w:r>
      <w:r w:rsidR="00FF41A0">
        <w:rPr>
          <w:color w:val="000000" w:themeColor="text1"/>
          <w:sz w:val="20"/>
          <w:szCs w:val="20"/>
        </w:rPr>
        <w:t xml:space="preserve"> </w:t>
      </w:r>
      <w:r w:rsidR="008C4B3B" w:rsidRPr="008C4B3B">
        <w:rPr>
          <w:color w:val="000000" w:themeColor="text1"/>
          <w:sz w:val="20"/>
          <w:szCs w:val="20"/>
        </w:rPr>
        <w:t>Human</w:t>
      </w:r>
      <w:r w:rsidR="00FF41A0">
        <w:rPr>
          <w:color w:val="000000" w:themeColor="text1"/>
          <w:sz w:val="20"/>
          <w:szCs w:val="20"/>
        </w:rPr>
        <w:t xml:space="preserve"> </w:t>
      </w:r>
      <w:r w:rsidR="008C4B3B" w:rsidRPr="008C4B3B">
        <w:rPr>
          <w:color w:val="000000" w:themeColor="text1"/>
          <w:sz w:val="20"/>
          <w:szCs w:val="20"/>
        </w:rPr>
        <w:t>Rights</w:t>
      </w:r>
      <w:r w:rsidR="00FF41A0">
        <w:rPr>
          <w:color w:val="000000" w:themeColor="text1"/>
          <w:sz w:val="20"/>
          <w:szCs w:val="20"/>
        </w:rPr>
        <w:t xml:space="preserve"> </w:t>
      </w:r>
      <w:r w:rsidR="008C4B3B" w:rsidRPr="008C4B3B">
        <w:rPr>
          <w:color w:val="000000" w:themeColor="text1"/>
          <w:sz w:val="20"/>
          <w:szCs w:val="20"/>
        </w:rPr>
        <w:t>Studies</w:t>
      </w:r>
      <w:r w:rsidR="008C4B3B">
        <w:rPr>
          <w:color w:val="000000" w:themeColor="text1"/>
          <w:sz w:val="20"/>
          <w:szCs w:val="20"/>
        </w:rPr>
        <w:t>;</w:t>
      </w:r>
      <w:r w:rsidR="00FF41A0">
        <w:rPr>
          <w:color w:val="000000" w:themeColor="text1"/>
          <w:sz w:val="20"/>
          <w:szCs w:val="20"/>
        </w:rPr>
        <w:t xml:space="preserve"> </w:t>
      </w:r>
      <w:r w:rsidR="008C4B3B" w:rsidRPr="008C4B3B">
        <w:rPr>
          <w:color w:val="000000" w:themeColor="text1"/>
          <w:sz w:val="20"/>
          <w:szCs w:val="20"/>
        </w:rPr>
        <w:t>Commission</w:t>
      </w:r>
      <w:r w:rsidR="00FF41A0">
        <w:rPr>
          <w:color w:val="000000" w:themeColor="text1"/>
          <w:sz w:val="20"/>
          <w:szCs w:val="20"/>
        </w:rPr>
        <w:t xml:space="preserve"> </w:t>
      </w:r>
      <w:r w:rsidR="008C4B3B" w:rsidRPr="008C4B3B">
        <w:rPr>
          <w:color w:val="000000" w:themeColor="text1"/>
          <w:sz w:val="20"/>
          <w:szCs w:val="20"/>
        </w:rPr>
        <w:t>of</w:t>
      </w:r>
      <w:r w:rsidR="00FF41A0">
        <w:rPr>
          <w:color w:val="000000" w:themeColor="text1"/>
          <w:sz w:val="20"/>
          <w:szCs w:val="20"/>
        </w:rPr>
        <w:t xml:space="preserve"> </w:t>
      </w:r>
      <w:r w:rsidR="008C4B3B" w:rsidRPr="008C4B3B">
        <w:rPr>
          <w:color w:val="000000" w:themeColor="text1"/>
          <w:sz w:val="20"/>
          <w:szCs w:val="20"/>
        </w:rPr>
        <w:t>the</w:t>
      </w:r>
      <w:r w:rsidR="00FF41A0">
        <w:rPr>
          <w:color w:val="000000" w:themeColor="text1"/>
          <w:sz w:val="20"/>
          <w:szCs w:val="20"/>
        </w:rPr>
        <w:t xml:space="preserve"> </w:t>
      </w:r>
      <w:r w:rsidR="008C4B3B" w:rsidRPr="008C4B3B">
        <w:rPr>
          <w:color w:val="000000" w:themeColor="text1"/>
          <w:sz w:val="20"/>
          <w:szCs w:val="20"/>
        </w:rPr>
        <w:t>Churches</w:t>
      </w:r>
      <w:r w:rsidR="00FF41A0">
        <w:rPr>
          <w:color w:val="000000" w:themeColor="text1"/>
          <w:sz w:val="20"/>
          <w:szCs w:val="20"/>
        </w:rPr>
        <w:t xml:space="preserve"> </w:t>
      </w:r>
      <w:r w:rsidR="008C4B3B" w:rsidRPr="008C4B3B">
        <w:rPr>
          <w:color w:val="000000" w:themeColor="text1"/>
          <w:sz w:val="20"/>
          <w:szCs w:val="20"/>
        </w:rPr>
        <w:t>on</w:t>
      </w:r>
      <w:r w:rsidR="00FF41A0">
        <w:rPr>
          <w:color w:val="000000" w:themeColor="text1"/>
          <w:sz w:val="20"/>
          <w:szCs w:val="20"/>
        </w:rPr>
        <w:t xml:space="preserve"> </w:t>
      </w:r>
      <w:r w:rsidR="008C4B3B" w:rsidRPr="008C4B3B">
        <w:rPr>
          <w:color w:val="000000" w:themeColor="text1"/>
          <w:sz w:val="20"/>
          <w:szCs w:val="20"/>
        </w:rPr>
        <w:t>International</w:t>
      </w:r>
      <w:r w:rsidR="00FF41A0">
        <w:rPr>
          <w:color w:val="000000" w:themeColor="text1"/>
          <w:sz w:val="20"/>
          <w:szCs w:val="20"/>
        </w:rPr>
        <w:t xml:space="preserve"> </w:t>
      </w:r>
      <w:r w:rsidR="008C4B3B" w:rsidRPr="008C4B3B">
        <w:rPr>
          <w:color w:val="000000" w:themeColor="text1"/>
          <w:sz w:val="20"/>
          <w:szCs w:val="20"/>
        </w:rPr>
        <w:t>Affairs</w:t>
      </w:r>
      <w:r w:rsidR="00FF41A0">
        <w:rPr>
          <w:color w:val="000000" w:themeColor="text1"/>
          <w:sz w:val="20"/>
          <w:szCs w:val="20"/>
        </w:rPr>
        <w:t xml:space="preserve"> </w:t>
      </w:r>
      <w:r w:rsidR="008C4B3B" w:rsidRPr="008C4B3B">
        <w:rPr>
          <w:color w:val="000000" w:themeColor="text1"/>
          <w:sz w:val="20"/>
          <w:szCs w:val="20"/>
        </w:rPr>
        <w:t>of</w:t>
      </w:r>
      <w:r w:rsidR="00FF41A0">
        <w:rPr>
          <w:color w:val="000000" w:themeColor="text1"/>
          <w:sz w:val="20"/>
          <w:szCs w:val="20"/>
        </w:rPr>
        <w:t xml:space="preserve"> </w:t>
      </w:r>
      <w:r w:rsidR="008C4B3B" w:rsidRPr="008C4B3B">
        <w:rPr>
          <w:color w:val="000000" w:themeColor="text1"/>
          <w:sz w:val="20"/>
          <w:szCs w:val="20"/>
        </w:rPr>
        <w:t>the</w:t>
      </w:r>
      <w:r w:rsidR="00FF41A0">
        <w:rPr>
          <w:color w:val="000000" w:themeColor="text1"/>
          <w:sz w:val="20"/>
          <w:szCs w:val="20"/>
        </w:rPr>
        <w:t xml:space="preserve"> </w:t>
      </w:r>
      <w:r w:rsidR="008C4B3B" w:rsidRPr="008C4B3B">
        <w:rPr>
          <w:color w:val="000000" w:themeColor="text1"/>
          <w:sz w:val="20"/>
          <w:szCs w:val="20"/>
        </w:rPr>
        <w:t>World</w:t>
      </w:r>
      <w:r w:rsidR="00FF41A0">
        <w:rPr>
          <w:color w:val="000000" w:themeColor="text1"/>
          <w:sz w:val="20"/>
          <w:szCs w:val="20"/>
        </w:rPr>
        <w:t xml:space="preserve"> </w:t>
      </w:r>
      <w:r w:rsidR="008C4B3B" w:rsidRPr="008C4B3B">
        <w:rPr>
          <w:color w:val="000000" w:themeColor="text1"/>
          <w:sz w:val="20"/>
          <w:szCs w:val="20"/>
        </w:rPr>
        <w:t>Council</w:t>
      </w:r>
      <w:r w:rsidR="00FF41A0">
        <w:rPr>
          <w:color w:val="000000" w:themeColor="text1"/>
          <w:sz w:val="20"/>
          <w:szCs w:val="20"/>
        </w:rPr>
        <w:t xml:space="preserve"> </w:t>
      </w:r>
      <w:r w:rsidR="008C4B3B" w:rsidRPr="008C4B3B">
        <w:rPr>
          <w:color w:val="000000" w:themeColor="text1"/>
          <w:sz w:val="20"/>
          <w:szCs w:val="20"/>
        </w:rPr>
        <w:t>of</w:t>
      </w:r>
      <w:r w:rsidR="00FF41A0">
        <w:rPr>
          <w:color w:val="000000" w:themeColor="text1"/>
          <w:sz w:val="20"/>
          <w:szCs w:val="20"/>
        </w:rPr>
        <w:t xml:space="preserve"> </w:t>
      </w:r>
      <w:r w:rsidR="008C4B3B" w:rsidRPr="008C4B3B">
        <w:rPr>
          <w:color w:val="000000" w:themeColor="text1"/>
          <w:sz w:val="20"/>
          <w:szCs w:val="20"/>
        </w:rPr>
        <w:t>Churches</w:t>
      </w:r>
      <w:r w:rsidR="008C4B3B">
        <w:rPr>
          <w:color w:val="000000" w:themeColor="text1"/>
          <w:sz w:val="20"/>
          <w:szCs w:val="20"/>
        </w:rPr>
        <w:t>;</w:t>
      </w:r>
      <w:r w:rsidR="00FF41A0">
        <w:rPr>
          <w:color w:val="000000" w:themeColor="text1"/>
          <w:sz w:val="20"/>
          <w:szCs w:val="20"/>
        </w:rPr>
        <w:t xml:space="preserve"> </w:t>
      </w:r>
      <w:r w:rsidR="008C4B3B" w:rsidRPr="008C4B3B">
        <w:rPr>
          <w:color w:val="000000" w:themeColor="text1"/>
          <w:sz w:val="20"/>
          <w:szCs w:val="20"/>
        </w:rPr>
        <w:t>Conseil</w:t>
      </w:r>
      <w:r w:rsidR="00FF41A0">
        <w:rPr>
          <w:color w:val="000000" w:themeColor="text1"/>
          <w:sz w:val="20"/>
          <w:szCs w:val="20"/>
        </w:rPr>
        <w:t xml:space="preserve"> </w:t>
      </w:r>
      <w:r w:rsidR="008C4B3B" w:rsidRPr="008C4B3B">
        <w:rPr>
          <w:color w:val="000000" w:themeColor="text1"/>
          <w:sz w:val="20"/>
          <w:szCs w:val="20"/>
        </w:rPr>
        <w:t>International</w:t>
      </w:r>
      <w:r w:rsidR="00FF41A0">
        <w:rPr>
          <w:color w:val="000000" w:themeColor="text1"/>
          <w:sz w:val="20"/>
          <w:szCs w:val="20"/>
        </w:rPr>
        <w:t xml:space="preserve"> </w:t>
      </w:r>
      <w:r w:rsidR="008C4B3B" w:rsidRPr="008C4B3B">
        <w:rPr>
          <w:color w:val="000000" w:themeColor="text1"/>
          <w:sz w:val="20"/>
          <w:szCs w:val="20"/>
        </w:rPr>
        <w:t>pour</w:t>
      </w:r>
      <w:r w:rsidR="00FF41A0">
        <w:rPr>
          <w:color w:val="000000" w:themeColor="text1"/>
          <w:sz w:val="20"/>
          <w:szCs w:val="20"/>
        </w:rPr>
        <w:t xml:space="preserve"> </w:t>
      </w:r>
      <w:r w:rsidR="008C4B3B" w:rsidRPr="008C4B3B">
        <w:rPr>
          <w:color w:val="000000" w:themeColor="text1"/>
          <w:sz w:val="20"/>
          <w:szCs w:val="20"/>
        </w:rPr>
        <w:t>le</w:t>
      </w:r>
      <w:r w:rsidR="00FF41A0">
        <w:rPr>
          <w:color w:val="000000" w:themeColor="text1"/>
          <w:sz w:val="20"/>
          <w:szCs w:val="20"/>
        </w:rPr>
        <w:t xml:space="preserve"> </w:t>
      </w:r>
      <w:r w:rsidR="008C4B3B" w:rsidRPr="008C4B3B">
        <w:rPr>
          <w:color w:val="000000" w:themeColor="text1"/>
          <w:sz w:val="20"/>
          <w:szCs w:val="20"/>
        </w:rPr>
        <w:t>soutien</w:t>
      </w:r>
      <w:r w:rsidR="00FF41A0">
        <w:rPr>
          <w:color w:val="000000" w:themeColor="text1"/>
          <w:sz w:val="20"/>
          <w:szCs w:val="20"/>
        </w:rPr>
        <w:t xml:space="preserve"> </w:t>
      </w:r>
      <w:r w:rsidR="008C4B3B" w:rsidRPr="008C4B3B">
        <w:rPr>
          <w:color w:val="000000" w:themeColor="text1"/>
          <w:sz w:val="20"/>
          <w:szCs w:val="20"/>
        </w:rPr>
        <w:t>à</w:t>
      </w:r>
      <w:r w:rsidR="00FF41A0">
        <w:rPr>
          <w:color w:val="000000" w:themeColor="text1"/>
          <w:sz w:val="20"/>
          <w:szCs w:val="20"/>
        </w:rPr>
        <w:t xml:space="preserve"> </w:t>
      </w:r>
      <w:r w:rsidR="008C4B3B" w:rsidRPr="008C4B3B">
        <w:rPr>
          <w:color w:val="000000" w:themeColor="text1"/>
          <w:sz w:val="20"/>
          <w:szCs w:val="20"/>
        </w:rPr>
        <w:t>des</w:t>
      </w:r>
      <w:r w:rsidR="00FF41A0">
        <w:rPr>
          <w:color w:val="000000" w:themeColor="text1"/>
          <w:sz w:val="20"/>
          <w:szCs w:val="20"/>
        </w:rPr>
        <w:t xml:space="preserve"> </w:t>
      </w:r>
      <w:r w:rsidR="008C4B3B" w:rsidRPr="008C4B3B">
        <w:rPr>
          <w:color w:val="000000" w:themeColor="text1"/>
          <w:sz w:val="20"/>
          <w:szCs w:val="20"/>
        </w:rPr>
        <w:t>procès</w:t>
      </w:r>
      <w:r w:rsidR="00FF41A0">
        <w:rPr>
          <w:color w:val="000000" w:themeColor="text1"/>
          <w:sz w:val="20"/>
          <w:szCs w:val="20"/>
        </w:rPr>
        <w:t xml:space="preserve"> </w:t>
      </w:r>
      <w:r w:rsidR="008C4B3B" w:rsidRPr="008C4B3B">
        <w:rPr>
          <w:color w:val="000000" w:themeColor="text1"/>
          <w:sz w:val="20"/>
          <w:szCs w:val="20"/>
        </w:rPr>
        <w:t>équitables</w:t>
      </w:r>
      <w:r w:rsidR="00FF41A0">
        <w:rPr>
          <w:color w:val="000000" w:themeColor="text1"/>
          <w:sz w:val="20"/>
          <w:szCs w:val="20"/>
        </w:rPr>
        <w:t xml:space="preserve"> </w:t>
      </w:r>
      <w:r w:rsidR="008C4B3B" w:rsidRPr="008C4B3B">
        <w:rPr>
          <w:color w:val="000000" w:themeColor="text1"/>
          <w:sz w:val="20"/>
          <w:szCs w:val="20"/>
        </w:rPr>
        <w:t>et</w:t>
      </w:r>
      <w:r w:rsidR="00FF41A0">
        <w:rPr>
          <w:color w:val="000000" w:themeColor="text1"/>
          <w:sz w:val="20"/>
          <w:szCs w:val="20"/>
        </w:rPr>
        <w:t xml:space="preserve"> </w:t>
      </w:r>
      <w:r w:rsidR="008C4B3B" w:rsidRPr="008C4B3B">
        <w:rPr>
          <w:color w:val="000000" w:themeColor="text1"/>
          <w:sz w:val="20"/>
          <w:szCs w:val="20"/>
        </w:rPr>
        <w:t>aux</w:t>
      </w:r>
      <w:r w:rsidR="00FF41A0">
        <w:rPr>
          <w:color w:val="000000" w:themeColor="text1"/>
          <w:sz w:val="20"/>
          <w:szCs w:val="20"/>
        </w:rPr>
        <w:t xml:space="preserve"> </w:t>
      </w:r>
      <w:r w:rsidR="008C4B3B" w:rsidRPr="008C4B3B">
        <w:rPr>
          <w:color w:val="000000" w:themeColor="text1"/>
          <w:sz w:val="20"/>
          <w:szCs w:val="20"/>
        </w:rPr>
        <w:t>Droits</w:t>
      </w:r>
      <w:r w:rsidR="00FF41A0">
        <w:rPr>
          <w:color w:val="000000" w:themeColor="text1"/>
          <w:sz w:val="20"/>
          <w:szCs w:val="20"/>
        </w:rPr>
        <w:t xml:space="preserve"> </w:t>
      </w:r>
      <w:r w:rsidR="008C4B3B" w:rsidRPr="008C4B3B">
        <w:rPr>
          <w:color w:val="000000" w:themeColor="text1"/>
          <w:sz w:val="20"/>
          <w:szCs w:val="20"/>
        </w:rPr>
        <w:t>de</w:t>
      </w:r>
      <w:r w:rsidR="00FF41A0">
        <w:rPr>
          <w:color w:val="000000" w:themeColor="text1"/>
          <w:sz w:val="20"/>
          <w:szCs w:val="20"/>
        </w:rPr>
        <w:t xml:space="preserve"> </w:t>
      </w:r>
      <w:r w:rsidR="008C4B3B" w:rsidRPr="008C4B3B">
        <w:rPr>
          <w:color w:val="000000" w:themeColor="text1"/>
          <w:sz w:val="20"/>
          <w:szCs w:val="20"/>
        </w:rPr>
        <w:t>l</w:t>
      </w:r>
      <w:r w:rsidR="00D72627">
        <w:rPr>
          <w:color w:val="000000" w:themeColor="text1"/>
          <w:sz w:val="20"/>
          <w:szCs w:val="20"/>
        </w:rPr>
        <w:t>’</w:t>
      </w:r>
      <w:r w:rsidR="008C4B3B" w:rsidRPr="008C4B3B">
        <w:rPr>
          <w:color w:val="000000" w:themeColor="text1"/>
          <w:sz w:val="20"/>
          <w:szCs w:val="20"/>
        </w:rPr>
        <w:t>Homme</w:t>
      </w:r>
      <w:r w:rsidR="008C4B3B">
        <w:rPr>
          <w:color w:val="000000" w:themeColor="text1"/>
          <w:sz w:val="20"/>
          <w:szCs w:val="20"/>
        </w:rPr>
        <w:t>;</w:t>
      </w:r>
      <w:r w:rsidR="00FF41A0">
        <w:rPr>
          <w:color w:val="000000" w:themeColor="text1"/>
          <w:sz w:val="20"/>
          <w:szCs w:val="20"/>
        </w:rPr>
        <w:t xml:space="preserve"> </w:t>
      </w:r>
      <w:r w:rsidR="008C4B3B" w:rsidRPr="008C4B3B">
        <w:rPr>
          <w:color w:val="000000" w:themeColor="text1"/>
          <w:sz w:val="20"/>
          <w:szCs w:val="20"/>
        </w:rPr>
        <w:t>Defence</w:t>
      </w:r>
      <w:r w:rsidR="00FF41A0">
        <w:rPr>
          <w:color w:val="000000" w:themeColor="text1"/>
          <w:sz w:val="20"/>
          <w:szCs w:val="20"/>
        </w:rPr>
        <w:t xml:space="preserve"> </w:t>
      </w:r>
      <w:r w:rsidR="008C4B3B" w:rsidRPr="008C4B3B">
        <w:rPr>
          <w:color w:val="000000" w:themeColor="text1"/>
          <w:sz w:val="20"/>
          <w:szCs w:val="20"/>
        </w:rPr>
        <w:t>for</w:t>
      </w:r>
      <w:r w:rsidR="00FF41A0">
        <w:rPr>
          <w:color w:val="000000" w:themeColor="text1"/>
          <w:sz w:val="20"/>
          <w:szCs w:val="20"/>
        </w:rPr>
        <w:t xml:space="preserve"> </w:t>
      </w:r>
      <w:r w:rsidR="008C4B3B" w:rsidRPr="008C4B3B">
        <w:rPr>
          <w:color w:val="000000" w:themeColor="text1"/>
          <w:sz w:val="20"/>
          <w:szCs w:val="20"/>
        </w:rPr>
        <w:t>Children</w:t>
      </w:r>
      <w:r w:rsidR="00FF41A0">
        <w:rPr>
          <w:color w:val="000000" w:themeColor="text1"/>
          <w:sz w:val="20"/>
          <w:szCs w:val="20"/>
        </w:rPr>
        <w:t xml:space="preserve"> </w:t>
      </w:r>
      <w:r w:rsidR="008C4B3B" w:rsidRPr="008C4B3B">
        <w:rPr>
          <w:color w:val="000000" w:themeColor="text1"/>
          <w:sz w:val="20"/>
          <w:szCs w:val="20"/>
        </w:rPr>
        <w:t>International</w:t>
      </w:r>
      <w:r w:rsidR="008C4B3B">
        <w:rPr>
          <w:color w:val="000000" w:themeColor="text1"/>
          <w:sz w:val="20"/>
          <w:szCs w:val="20"/>
        </w:rPr>
        <w:t>;</w:t>
      </w:r>
      <w:r w:rsidR="00FF41A0">
        <w:rPr>
          <w:color w:val="000000" w:themeColor="text1"/>
          <w:sz w:val="20"/>
          <w:szCs w:val="20"/>
        </w:rPr>
        <w:t xml:space="preserve"> </w:t>
      </w:r>
      <w:r w:rsidR="008C4B3B" w:rsidRPr="008C4B3B">
        <w:rPr>
          <w:color w:val="000000" w:themeColor="text1"/>
          <w:sz w:val="20"/>
          <w:szCs w:val="20"/>
        </w:rPr>
        <w:t>Human</w:t>
      </w:r>
      <w:r w:rsidR="00FF41A0">
        <w:rPr>
          <w:color w:val="000000" w:themeColor="text1"/>
          <w:sz w:val="20"/>
          <w:szCs w:val="20"/>
        </w:rPr>
        <w:t xml:space="preserve"> </w:t>
      </w:r>
      <w:r w:rsidR="008C4B3B" w:rsidRPr="008C4B3B">
        <w:rPr>
          <w:color w:val="000000" w:themeColor="text1"/>
          <w:sz w:val="20"/>
          <w:szCs w:val="20"/>
        </w:rPr>
        <w:t>Rights</w:t>
      </w:r>
      <w:r w:rsidR="00FF41A0">
        <w:rPr>
          <w:color w:val="000000" w:themeColor="text1"/>
          <w:sz w:val="20"/>
          <w:szCs w:val="20"/>
        </w:rPr>
        <w:t xml:space="preserve"> </w:t>
      </w:r>
      <w:r w:rsidR="008C4B3B" w:rsidRPr="008C4B3B">
        <w:rPr>
          <w:color w:val="000000" w:themeColor="text1"/>
          <w:sz w:val="20"/>
          <w:szCs w:val="20"/>
        </w:rPr>
        <w:t>Watch</w:t>
      </w:r>
      <w:r w:rsidR="008C4B3B">
        <w:rPr>
          <w:color w:val="000000" w:themeColor="text1"/>
          <w:sz w:val="20"/>
          <w:szCs w:val="20"/>
        </w:rPr>
        <w:t>;</w:t>
      </w:r>
      <w:r w:rsidR="00FF41A0">
        <w:rPr>
          <w:color w:val="000000" w:themeColor="text1"/>
          <w:sz w:val="20"/>
          <w:szCs w:val="20"/>
        </w:rPr>
        <w:t xml:space="preserve"> </w:t>
      </w:r>
      <w:r w:rsidR="008C4B3B" w:rsidRPr="008C4B3B">
        <w:rPr>
          <w:color w:val="000000" w:themeColor="text1"/>
          <w:sz w:val="20"/>
          <w:szCs w:val="20"/>
        </w:rPr>
        <w:t>Indian</w:t>
      </w:r>
      <w:r w:rsidR="00FF41A0">
        <w:rPr>
          <w:color w:val="000000" w:themeColor="text1"/>
          <w:sz w:val="20"/>
          <w:szCs w:val="20"/>
        </w:rPr>
        <w:t xml:space="preserve"> </w:t>
      </w:r>
      <w:r w:rsidR="008C4B3B" w:rsidRPr="008C4B3B">
        <w:rPr>
          <w:color w:val="000000" w:themeColor="text1"/>
          <w:sz w:val="20"/>
          <w:szCs w:val="20"/>
        </w:rPr>
        <w:t>Movement</w:t>
      </w:r>
      <w:r w:rsidR="00FF41A0">
        <w:rPr>
          <w:color w:val="000000" w:themeColor="text1"/>
          <w:sz w:val="20"/>
          <w:szCs w:val="20"/>
        </w:rPr>
        <w:t xml:space="preserve"> </w:t>
      </w:r>
      <w:r w:rsidR="008C4B3B">
        <w:rPr>
          <w:color w:val="000000" w:themeColor="text1"/>
          <w:sz w:val="20"/>
          <w:szCs w:val="20"/>
        </w:rPr>
        <w:t>“Tupaj</w:t>
      </w:r>
      <w:r w:rsidR="00FF41A0">
        <w:rPr>
          <w:color w:val="000000" w:themeColor="text1"/>
          <w:sz w:val="20"/>
          <w:szCs w:val="20"/>
        </w:rPr>
        <w:t xml:space="preserve"> </w:t>
      </w:r>
      <w:r w:rsidR="008C4B3B">
        <w:rPr>
          <w:color w:val="000000" w:themeColor="text1"/>
          <w:sz w:val="20"/>
          <w:szCs w:val="20"/>
        </w:rPr>
        <w:t>Amaru”;</w:t>
      </w:r>
      <w:r w:rsidR="00FF41A0">
        <w:rPr>
          <w:color w:val="000000" w:themeColor="text1"/>
          <w:sz w:val="20"/>
          <w:szCs w:val="20"/>
        </w:rPr>
        <w:t xml:space="preserve"> </w:t>
      </w:r>
      <w:r w:rsidR="008C4B3B" w:rsidRPr="008C4B3B">
        <w:rPr>
          <w:color w:val="000000" w:themeColor="text1"/>
          <w:sz w:val="20"/>
          <w:szCs w:val="20"/>
        </w:rPr>
        <w:t>Institute</w:t>
      </w:r>
      <w:r w:rsidR="00FF41A0">
        <w:rPr>
          <w:color w:val="000000" w:themeColor="text1"/>
          <w:sz w:val="20"/>
          <w:szCs w:val="20"/>
        </w:rPr>
        <w:t xml:space="preserve"> </w:t>
      </w:r>
      <w:r w:rsidR="008C4B3B" w:rsidRPr="008C4B3B">
        <w:rPr>
          <w:color w:val="000000" w:themeColor="text1"/>
          <w:sz w:val="20"/>
          <w:szCs w:val="20"/>
        </w:rPr>
        <w:t>for</w:t>
      </w:r>
      <w:r w:rsidR="00FF41A0">
        <w:rPr>
          <w:color w:val="000000" w:themeColor="text1"/>
          <w:sz w:val="20"/>
          <w:szCs w:val="20"/>
        </w:rPr>
        <w:t xml:space="preserve"> </w:t>
      </w:r>
      <w:r w:rsidR="008C4B3B" w:rsidRPr="008C4B3B">
        <w:rPr>
          <w:color w:val="000000" w:themeColor="text1"/>
          <w:sz w:val="20"/>
          <w:szCs w:val="20"/>
        </w:rPr>
        <w:t>NGO</w:t>
      </w:r>
      <w:r w:rsidR="00FF41A0">
        <w:rPr>
          <w:color w:val="000000" w:themeColor="text1"/>
          <w:sz w:val="20"/>
          <w:szCs w:val="20"/>
        </w:rPr>
        <w:t xml:space="preserve"> </w:t>
      </w:r>
      <w:r w:rsidR="008C4B3B" w:rsidRPr="008C4B3B">
        <w:rPr>
          <w:color w:val="000000" w:themeColor="text1"/>
          <w:sz w:val="20"/>
          <w:szCs w:val="20"/>
        </w:rPr>
        <w:t>Research</w:t>
      </w:r>
      <w:r w:rsidR="008C4B3B">
        <w:rPr>
          <w:color w:val="000000" w:themeColor="text1"/>
          <w:sz w:val="20"/>
          <w:szCs w:val="20"/>
        </w:rPr>
        <w:t>;</w:t>
      </w:r>
      <w:r w:rsidR="00FF41A0">
        <w:rPr>
          <w:color w:val="000000" w:themeColor="text1"/>
          <w:sz w:val="20"/>
          <w:szCs w:val="20"/>
        </w:rPr>
        <w:t xml:space="preserve"> </w:t>
      </w:r>
      <w:r w:rsidR="008C4B3B" w:rsidRPr="008C4B3B">
        <w:rPr>
          <w:color w:val="000000" w:themeColor="text1"/>
          <w:sz w:val="20"/>
          <w:szCs w:val="20"/>
        </w:rPr>
        <w:t>International</w:t>
      </w:r>
      <w:r w:rsidR="00FF41A0">
        <w:rPr>
          <w:color w:val="000000" w:themeColor="text1"/>
          <w:sz w:val="20"/>
          <w:szCs w:val="20"/>
        </w:rPr>
        <w:t xml:space="preserve"> </w:t>
      </w:r>
      <w:r w:rsidR="008C4B3B" w:rsidRPr="008C4B3B">
        <w:rPr>
          <w:color w:val="000000" w:themeColor="text1"/>
          <w:sz w:val="20"/>
          <w:szCs w:val="20"/>
        </w:rPr>
        <w:t>Association</w:t>
      </w:r>
      <w:r w:rsidR="00FF41A0">
        <w:rPr>
          <w:color w:val="000000" w:themeColor="text1"/>
          <w:sz w:val="20"/>
          <w:szCs w:val="20"/>
        </w:rPr>
        <w:t xml:space="preserve"> </w:t>
      </w:r>
      <w:r w:rsidR="008C4B3B" w:rsidRPr="008C4B3B">
        <w:rPr>
          <w:color w:val="000000" w:themeColor="text1"/>
          <w:sz w:val="20"/>
          <w:szCs w:val="20"/>
        </w:rPr>
        <w:t>of</w:t>
      </w:r>
      <w:r w:rsidR="00FF41A0">
        <w:rPr>
          <w:color w:val="000000" w:themeColor="text1"/>
          <w:sz w:val="20"/>
          <w:szCs w:val="20"/>
        </w:rPr>
        <w:t xml:space="preserve"> </w:t>
      </w:r>
      <w:r w:rsidR="008C4B3B" w:rsidRPr="008C4B3B">
        <w:rPr>
          <w:color w:val="000000" w:themeColor="text1"/>
          <w:sz w:val="20"/>
          <w:szCs w:val="20"/>
        </w:rPr>
        <w:t>Democratic</w:t>
      </w:r>
      <w:r w:rsidR="00FF41A0">
        <w:rPr>
          <w:color w:val="000000" w:themeColor="text1"/>
          <w:sz w:val="20"/>
          <w:szCs w:val="20"/>
        </w:rPr>
        <w:t xml:space="preserve"> </w:t>
      </w:r>
      <w:r w:rsidR="008C4B3B" w:rsidRPr="008C4B3B">
        <w:rPr>
          <w:color w:val="000000" w:themeColor="text1"/>
          <w:sz w:val="20"/>
          <w:szCs w:val="20"/>
        </w:rPr>
        <w:t>Lawyers</w:t>
      </w:r>
      <w:r w:rsidR="00FF41A0">
        <w:rPr>
          <w:color w:val="000000" w:themeColor="text1"/>
          <w:sz w:val="20"/>
          <w:szCs w:val="20"/>
        </w:rPr>
        <w:t xml:space="preserve"> </w:t>
      </w:r>
      <w:r w:rsidR="008C4B3B" w:rsidRPr="008C4B3B">
        <w:rPr>
          <w:color w:val="000000" w:themeColor="text1"/>
          <w:sz w:val="20"/>
          <w:szCs w:val="20"/>
        </w:rPr>
        <w:t>(IADL)</w:t>
      </w:r>
      <w:r w:rsidR="00FF41A0">
        <w:rPr>
          <w:color w:val="000000" w:themeColor="text1"/>
          <w:sz w:val="20"/>
          <w:szCs w:val="20"/>
        </w:rPr>
        <w:t xml:space="preserve"> </w:t>
      </w:r>
      <w:r w:rsidR="008C4B3B">
        <w:rPr>
          <w:color w:val="000000" w:themeColor="text1"/>
          <w:sz w:val="20"/>
          <w:szCs w:val="20"/>
        </w:rPr>
        <w:t>(also</w:t>
      </w:r>
      <w:r w:rsidR="00FF41A0">
        <w:rPr>
          <w:color w:val="000000" w:themeColor="text1"/>
          <w:sz w:val="20"/>
          <w:szCs w:val="20"/>
        </w:rPr>
        <w:t xml:space="preserve"> </w:t>
      </w:r>
      <w:r w:rsidR="008C4B3B">
        <w:rPr>
          <w:color w:val="000000" w:themeColor="text1"/>
          <w:sz w:val="20"/>
          <w:szCs w:val="20"/>
        </w:rPr>
        <w:t>on</w:t>
      </w:r>
      <w:r w:rsidR="00FF41A0">
        <w:rPr>
          <w:color w:val="000000" w:themeColor="text1"/>
          <w:sz w:val="20"/>
          <w:szCs w:val="20"/>
        </w:rPr>
        <w:t xml:space="preserve"> </w:t>
      </w:r>
      <w:r w:rsidR="008C4B3B">
        <w:rPr>
          <w:color w:val="000000" w:themeColor="text1"/>
          <w:sz w:val="20"/>
          <w:szCs w:val="20"/>
        </w:rPr>
        <w:t>behalf</w:t>
      </w:r>
      <w:r w:rsidR="00FF41A0">
        <w:rPr>
          <w:color w:val="000000" w:themeColor="text1"/>
          <w:sz w:val="20"/>
          <w:szCs w:val="20"/>
        </w:rPr>
        <w:t xml:space="preserve"> </w:t>
      </w:r>
      <w:r w:rsidR="008C4B3B">
        <w:rPr>
          <w:color w:val="000000" w:themeColor="text1"/>
          <w:sz w:val="20"/>
          <w:szCs w:val="20"/>
        </w:rPr>
        <w:t>of</w:t>
      </w:r>
      <w:r w:rsidR="00FF41A0">
        <w:rPr>
          <w:color w:val="000000" w:themeColor="text1"/>
          <w:sz w:val="20"/>
          <w:szCs w:val="20"/>
        </w:rPr>
        <w:t xml:space="preserve"> </w:t>
      </w:r>
      <w:r w:rsidR="008C4B3B">
        <w:rPr>
          <w:color w:val="000000" w:themeColor="text1"/>
          <w:sz w:val="20"/>
          <w:szCs w:val="20"/>
        </w:rPr>
        <w:t>American</w:t>
      </w:r>
      <w:r w:rsidR="00FF41A0">
        <w:rPr>
          <w:color w:val="000000" w:themeColor="text1"/>
          <w:sz w:val="20"/>
          <w:szCs w:val="20"/>
        </w:rPr>
        <w:t xml:space="preserve"> </w:t>
      </w:r>
      <w:r w:rsidR="008C4B3B">
        <w:rPr>
          <w:color w:val="000000" w:themeColor="text1"/>
          <w:sz w:val="20"/>
          <w:szCs w:val="20"/>
        </w:rPr>
        <w:t>Association</w:t>
      </w:r>
      <w:r w:rsidR="00FF41A0">
        <w:rPr>
          <w:color w:val="000000" w:themeColor="text1"/>
          <w:sz w:val="20"/>
          <w:szCs w:val="20"/>
        </w:rPr>
        <w:t xml:space="preserve"> </w:t>
      </w:r>
      <w:r w:rsidR="008C4B3B">
        <w:rPr>
          <w:color w:val="000000" w:themeColor="text1"/>
          <w:sz w:val="20"/>
          <w:szCs w:val="20"/>
        </w:rPr>
        <w:t>of</w:t>
      </w:r>
      <w:r w:rsidR="00FF41A0">
        <w:rPr>
          <w:color w:val="000000" w:themeColor="text1"/>
          <w:sz w:val="20"/>
          <w:szCs w:val="20"/>
        </w:rPr>
        <w:t xml:space="preserve"> </w:t>
      </w:r>
      <w:r w:rsidR="008C4B3B">
        <w:rPr>
          <w:color w:val="000000" w:themeColor="text1"/>
          <w:sz w:val="20"/>
          <w:szCs w:val="20"/>
        </w:rPr>
        <w:t>Jurists);</w:t>
      </w:r>
      <w:r w:rsidR="00FF41A0">
        <w:rPr>
          <w:color w:val="000000" w:themeColor="text1"/>
          <w:sz w:val="20"/>
          <w:szCs w:val="20"/>
        </w:rPr>
        <w:t xml:space="preserve"> </w:t>
      </w:r>
      <w:r w:rsidR="008C4B3B" w:rsidRPr="008C4B3B">
        <w:rPr>
          <w:color w:val="000000" w:themeColor="text1"/>
          <w:sz w:val="20"/>
          <w:szCs w:val="20"/>
        </w:rPr>
        <w:t>International</w:t>
      </w:r>
      <w:r w:rsidR="00FF41A0">
        <w:rPr>
          <w:color w:val="000000" w:themeColor="text1"/>
          <w:sz w:val="20"/>
          <w:szCs w:val="20"/>
        </w:rPr>
        <w:t xml:space="preserve"> </w:t>
      </w:r>
      <w:r w:rsidR="008C4B3B" w:rsidRPr="008C4B3B">
        <w:rPr>
          <w:color w:val="000000" w:themeColor="text1"/>
          <w:sz w:val="20"/>
          <w:szCs w:val="20"/>
        </w:rPr>
        <w:t>Association</w:t>
      </w:r>
      <w:r w:rsidR="00FF41A0">
        <w:rPr>
          <w:color w:val="000000" w:themeColor="text1"/>
          <w:sz w:val="20"/>
          <w:szCs w:val="20"/>
        </w:rPr>
        <w:t xml:space="preserve"> </w:t>
      </w:r>
      <w:r w:rsidR="008C4B3B" w:rsidRPr="008C4B3B">
        <w:rPr>
          <w:color w:val="000000" w:themeColor="text1"/>
          <w:sz w:val="20"/>
          <w:szCs w:val="20"/>
        </w:rPr>
        <w:t>of</w:t>
      </w:r>
      <w:r w:rsidR="00FF41A0">
        <w:rPr>
          <w:color w:val="000000" w:themeColor="text1"/>
          <w:sz w:val="20"/>
          <w:szCs w:val="20"/>
        </w:rPr>
        <w:t xml:space="preserve"> </w:t>
      </w:r>
      <w:r w:rsidR="008C4B3B" w:rsidRPr="008C4B3B">
        <w:rPr>
          <w:color w:val="000000" w:themeColor="text1"/>
          <w:sz w:val="20"/>
          <w:szCs w:val="20"/>
        </w:rPr>
        <w:t>Jewish</w:t>
      </w:r>
      <w:r w:rsidR="00FF41A0">
        <w:rPr>
          <w:color w:val="000000" w:themeColor="text1"/>
          <w:sz w:val="20"/>
          <w:szCs w:val="20"/>
        </w:rPr>
        <w:t xml:space="preserve"> </w:t>
      </w:r>
      <w:r w:rsidR="008C4B3B" w:rsidRPr="008C4B3B">
        <w:rPr>
          <w:color w:val="000000" w:themeColor="text1"/>
          <w:sz w:val="20"/>
          <w:szCs w:val="20"/>
        </w:rPr>
        <w:t>Lawyers</w:t>
      </w:r>
      <w:r w:rsidR="00FF41A0">
        <w:rPr>
          <w:color w:val="000000" w:themeColor="text1"/>
          <w:sz w:val="20"/>
          <w:szCs w:val="20"/>
        </w:rPr>
        <w:t xml:space="preserve"> </w:t>
      </w:r>
      <w:r w:rsidR="008C4B3B" w:rsidRPr="008C4B3B">
        <w:rPr>
          <w:color w:val="000000" w:themeColor="text1"/>
          <w:sz w:val="20"/>
          <w:szCs w:val="20"/>
        </w:rPr>
        <w:t>and</w:t>
      </w:r>
      <w:r w:rsidR="00FF41A0">
        <w:rPr>
          <w:color w:val="000000" w:themeColor="text1"/>
          <w:sz w:val="20"/>
          <w:szCs w:val="20"/>
        </w:rPr>
        <w:t xml:space="preserve"> </w:t>
      </w:r>
      <w:r w:rsidR="008C4B3B" w:rsidRPr="008C4B3B">
        <w:rPr>
          <w:color w:val="000000" w:themeColor="text1"/>
          <w:sz w:val="20"/>
          <w:szCs w:val="20"/>
        </w:rPr>
        <w:t>Jurists</w:t>
      </w:r>
      <w:r w:rsidR="008C4B3B">
        <w:rPr>
          <w:color w:val="000000" w:themeColor="text1"/>
          <w:sz w:val="20"/>
          <w:szCs w:val="20"/>
        </w:rPr>
        <w:t>;</w:t>
      </w:r>
      <w:r w:rsidR="00FF41A0">
        <w:rPr>
          <w:color w:val="000000" w:themeColor="text1"/>
          <w:sz w:val="20"/>
          <w:szCs w:val="20"/>
        </w:rPr>
        <w:t xml:space="preserve"> </w:t>
      </w:r>
      <w:r w:rsidR="008C4B3B" w:rsidRPr="008C4B3B">
        <w:rPr>
          <w:color w:val="000000" w:themeColor="text1"/>
          <w:sz w:val="20"/>
          <w:szCs w:val="20"/>
        </w:rPr>
        <w:t>International</w:t>
      </w:r>
      <w:r w:rsidR="00FF41A0">
        <w:rPr>
          <w:color w:val="000000" w:themeColor="text1"/>
          <w:sz w:val="20"/>
          <w:szCs w:val="20"/>
        </w:rPr>
        <w:t xml:space="preserve"> </w:t>
      </w:r>
      <w:r w:rsidR="008C4B3B" w:rsidRPr="008C4B3B">
        <w:rPr>
          <w:color w:val="000000" w:themeColor="text1"/>
          <w:sz w:val="20"/>
          <w:szCs w:val="20"/>
        </w:rPr>
        <w:t>Commission</w:t>
      </w:r>
      <w:r w:rsidR="00FF41A0">
        <w:rPr>
          <w:color w:val="000000" w:themeColor="text1"/>
          <w:sz w:val="20"/>
          <w:szCs w:val="20"/>
        </w:rPr>
        <w:t xml:space="preserve"> </w:t>
      </w:r>
      <w:r w:rsidR="008C4B3B" w:rsidRPr="008C4B3B">
        <w:rPr>
          <w:color w:val="000000" w:themeColor="text1"/>
          <w:sz w:val="20"/>
          <w:szCs w:val="20"/>
        </w:rPr>
        <w:t>of</w:t>
      </w:r>
      <w:r w:rsidR="00FF41A0">
        <w:rPr>
          <w:color w:val="000000" w:themeColor="text1"/>
          <w:sz w:val="20"/>
          <w:szCs w:val="20"/>
        </w:rPr>
        <w:t xml:space="preserve"> </w:t>
      </w:r>
      <w:r w:rsidR="008C4B3B" w:rsidRPr="008C4B3B">
        <w:rPr>
          <w:color w:val="000000" w:themeColor="text1"/>
          <w:sz w:val="20"/>
          <w:szCs w:val="20"/>
        </w:rPr>
        <w:t>Jurists</w:t>
      </w:r>
      <w:r w:rsidR="008C4B3B">
        <w:rPr>
          <w:color w:val="000000" w:themeColor="text1"/>
          <w:sz w:val="20"/>
          <w:szCs w:val="20"/>
        </w:rPr>
        <w:t>;</w:t>
      </w:r>
      <w:r w:rsidR="00FF41A0">
        <w:rPr>
          <w:color w:val="000000" w:themeColor="text1"/>
          <w:sz w:val="20"/>
          <w:szCs w:val="20"/>
        </w:rPr>
        <w:t xml:space="preserve"> </w:t>
      </w:r>
      <w:r w:rsidR="008C4B3B" w:rsidRPr="008C4B3B">
        <w:rPr>
          <w:color w:val="000000" w:themeColor="text1"/>
          <w:sz w:val="20"/>
          <w:szCs w:val="20"/>
        </w:rPr>
        <w:t>International</w:t>
      </w:r>
      <w:r w:rsidR="00FF41A0">
        <w:rPr>
          <w:color w:val="000000" w:themeColor="text1"/>
          <w:sz w:val="20"/>
          <w:szCs w:val="20"/>
        </w:rPr>
        <w:t xml:space="preserve"> </w:t>
      </w:r>
      <w:r w:rsidR="008C4B3B" w:rsidRPr="008C4B3B">
        <w:rPr>
          <w:color w:val="000000" w:themeColor="text1"/>
          <w:sz w:val="20"/>
          <w:szCs w:val="20"/>
        </w:rPr>
        <w:t>Federation</w:t>
      </w:r>
      <w:r w:rsidR="00FF41A0">
        <w:rPr>
          <w:color w:val="000000" w:themeColor="text1"/>
          <w:sz w:val="20"/>
          <w:szCs w:val="20"/>
        </w:rPr>
        <w:t xml:space="preserve"> </w:t>
      </w:r>
      <w:r w:rsidR="008C4B3B" w:rsidRPr="008C4B3B">
        <w:rPr>
          <w:color w:val="000000" w:themeColor="text1"/>
          <w:sz w:val="20"/>
          <w:szCs w:val="20"/>
        </w:rPr>
        <w:t>for</w:t>
      </w:r>
      <w:r w:rsidR="00FF41A0">
        <w:rPr>
          <w:color w:val="000000" w:themeColor="text1"/>
          <w:sz w:val="20"/>
          <w:szCs w:val="20"/>
        </w:rPr>
        <w:t xml:space="preserve"> </w:t>
      </w:r>
      <w:r w:rsidR="008C4B3B" w:rsidRPr="008C4B3B">
        <w:rPr>
          <w:color w:val="000000" w:themeColor="text1"/>
          <w:sz w:val="20"/>
          <w:szCs w:val="20"/>
        </w:rPr>
        <w:t>Human</w:t>
      </w:r>
      <w:r w:rsidR="00FF41A0">
        <w:rPr>
          <w:color w:val="000000" w:themeColor="text1"/>
          <w:sz w:val="20"/>
          <w:szCs w:val="20"/>
        </w:rPr>
        <w:t xml:space="preserve"> </w:t>
      </w:r>
      <w:r w:rsidR="008C4B3B" w:rsidRPr="008C4B3B">
        <w:rPr>
          <w:color w:val="000000" w:themeColor="text1"/>
          <w:sz w:val="20"/>
          <w:szCs w:val="20"/>
        </w:rPr>
        <w:t>Rights</w:t>
      </w:r>
      <w:r w:rsidR="00FF41A0">
        <w:rPr>
          <w:color w:val="000000" w:themeColor="text1"/>
          <w:sz w:val="20"/>
          <w:szCs w:val="20"/>
        </w:rPr>
        <w:t xml:space="preserve"> </w:t>
      </w:r>
      <w:r w:rsidR="008C4B3B" w:rsidRPr="008C4B3B">
        <w:rPr>
          <w:color w:val="000000" w:themeColor="text1"/>
          <w:sz w:val="20"/>
          <w:szCs w:val="20"/>
        </w:rPr>
        <w:t>Leagues</w:t>
      </w:r>
      <w:r w:rsidR="008C4B3B">
        <w:rPr>
          <w:color w:val="000000" w:themeColor="text1"/>
          <w:sz w:val="20"/>
          <w:szCs w:val="20"/>
        </w:rPr>
        <w:t>;</w:t>
      </w:r>
      <w:r w:rsidR="00FF41A0">
        <w:rPr>
          <w:color w:val="000000" w:themeColor="text1"/>
          <w:sz w:val="20"/>
          <w:szCs w:val="20"/>
        </w:rPr>
        <w:t xml:space="preserve"> </w:t>
      </w:r>
      <w:r w:rsidR="008C4B3B" w:rsidRPr="008C4B3B">
        <w:rPr>
          <w:color w:val="000000" w:themeColor="text1"/>
          <w:sz w:val="20"/>
          <w:szCs w:val="20"/>
        </w:rPr>
        <w:t>International</w:t>
      </w:r>
      <w:r w:rsidR="00FF41A0">
        <w:rPr>
          <w:color w:val="000000" w:themeColor="text1"/>
          <w:sz w:val="20"/>
          <w:szCs w:val="20"/>
        </w:rPr>
        <w:t xml:space="preserve"> </w:t>
      </w:r>
      <w:r w:rsidR="008C4B3B" w:rsidRPr="008C4B3B">
        <w:rPr>
          <w:color w:val="000000" w:themeColor="text1"/>
          <w:sz w:val="20"/>
          <w:szCs w:val="20"/>
        </w:rPr>
        <w:t>Federation</w:t>
      </w:r>
      <w:r w:rsidR="00FF41A0">
        <w:rPr>
          <w:color w:val="000000" w:themeColor="text1"/>
          <w:sz w:val="20"/>
          <w:szCs w:val="20"/>
        </w:rPr>
        <w:t xml:space="preserve"> </w:t>
      </w:r>
      <w:r w:rsidR="008C4B3B" w:rsidRPr="008C4B3B">
        <w:rPr>
          <w:color w:val="000000" w:themeColor="text1"/>
          <w:sz w:val="20"/>
          <w:szCs w:val="20"/>
        </w:rPr>
        <w:t>of</w:t>
      </w:r>
      <w:r w:rsidR="00FF41A0">
        <w:rPr>
          <w:color w:val="000000" w:themeColor="text1"/>
          <w:sz w:val="20"/>
          <w:szCs w:val="20"/>
        </w:rPr>
        <w:t xml:space="preserve"> </w:t>
      </w:r>
      <w:r w:rsidR="008C4B3B" w:rsidRPr="008C4B3B">
        <w:rPr>
          <w:color w:val="000000" w:themeColor="text1"/>
          <w:sz w:val="20"/>
          <w:szCs w:val="20"/>
        </w:rPr>
        <w:t>Journalists</w:t>
      </w:r>
      <w:r w:rsidR="008C4B3B">
        <w:rPr>
          <w:color w:val="000000" w:themeColor="text1"/>
          <w:sz w:val="20"/>
          <w:szCs w:val="20"/>
        </w:rPr>
        <w:t>;</w:t>
      </w:r>
      <w:r w:rsidR="00FF41A0">
        <w:rPr>
          <w:color w:val="000000" w:themeColor="text1"/>
          <w:sz w:val="20"/>
          <w:szCs w:val="20"/>
        </w:rPr>
        <w:t xml:space="preserve"> </w:t>
      </w:r>
      <w:r w:rsidR="008C4B3B" w:rsidRPr="008C4B3B">
        <w:rPr>
          <w:color w:val="000000" w:themeColor="text1"/>
          <w:sz w:val="20"/>
          <w:szCs w:val="20"/>
        </w:rPr>
        <w:t>International</w:t>
      </w:r>
      <w:r w:rsidR="00FF41A0">
        <w:rPr>
          <w:color w:val="000000" w:themeColor="text1"/>
          <w:sz w:val="20"/>
          <w:szCs w:val="20"/>
        </w:rPr>
        <w:t xml:space="preserve"> </w:t>
      </w:r>
      <w:r w:rsidR="008C4B3B" w:rsidRPr="008C4B3B">
        <w:rPr>
          <w:color w:val="000000" w:themeColor="text1"/>
          <w:sz w:val="20"/>
          <w:szCs w:val="20"/>
        </w:rPr>
        <w:t>Organization</w:t>
      </w:r>
      <w:r w:rsidR="00FF41A0">
        <w:rPr>
          <w:color w:val="000000" w:themeColor="text1"/>
          <w:sz w:val="20"/>
          <w:szCs w:val="20"/>
        </w:rPr>
        <w:t xml:space="preserve"> </w:t>
      </w:r>
      <w:r w:rsidR="008C4B3B" w:rsidRPr="008C4B3B">
        <w:rPr>
          <w:color w:val="000000" w:themeColor="text1"/>
          <w:sz w:val="20"/>
          <w:szCs w:val="20"/>
        </w:rPr>
        <w:t>for</w:t>
      </w:r>
      <w:r w:rsidR="00FF41A0">
        <w:rPr>
          <w:color w:val="000000" w:themeColor="text1"/>
          <w:sz w:val="20"/>
          <w:szCs w:val="20"/>
        </w:rPr>
        <w:t xml:space="preserve"> </w:t>
      </w:r>
      <w:r w:rsidR="008C4B3B" w:rsidRPr="008C4B3B">
        <w:rPr>
          <w:color w:val="000000" w:themeColor="text1"/>
          <w:sz w:val="20"/>
          <w:szCs w:val="20"/>
        </w:rPr>
        <w:t>the</w:t>
      </w:r>
      <w:r w:rsidR="00FF41A0">
        <w:rPr>
          <w:color w:val="000000" w:themeColor="text1"/>
          <w:sz w:val="20"/>
          <w:szCs w:val="20"/>
        </w:rPr>
        <w:t xml:space="preserve"> </w:t>
      </w:r>
      <w:r w:rsidR="008C4B3B" w:rsidRPr="008C4B3B">
        <w:rPr>
          <w:color w:val="000000" w:themeColor="text1"/>
          <w:sz w:val="20"/>
          <w:szCs w:val="20"/>
        </w:rPr>
        <w:t>Elimination</w:t>
      </w:r>
      <w:r w:rsidR="00FF41A0">
        <w:rPr>
          <w:color w:val="000000" w:themeColor="text1"/>
          <w:sz w:val="20"/>
          <w:szCs w:val="20"/>
        </w:rPr>
        <w:t xml:space="preserve"> </w:t>
      </w:r>
      <w:r w:rsidR="008C4B3B" w:rsidRPr="008C4B3B">
        <w:rPr>
          <w:color w:val="000000" w:themeColor="text1"/>
          <w:sz w:val="20"/>
          <w:szCs w:val="20"/>
        </w:rPr>
        <w:t>of</w:t>
      </w:r>
      <w:r w:rsidR="00FF41A0">
        <w:rPr>
          <w:color w:val="000000" w:themeColor="text1"/>
          <w:sz w:val="20"/>
          <w:szCs w:val="20"/>
        </w:rPr>
        <w:t xml:space="preserve"> </w:t>
      </w:r>
      <w:r w:rsidR="008C4B3B" w:rsidRPr="008C4B3B">
        <w:rPr>
          <w:color w:val="000000" w:themeColor="text1"/>
          <w:sz w:val="20"/>
          <w:szCs w:val="20"/>
        </w:rPr>
        <w:t>All</w:t>
      </w:r>
      <w:r w:rsidR="00FF41A0">
        <w:rPr>
          <w:color w:val="000000" w:themeColor="text1"/>
          <w:sz w:val="20"/>
          <w:szCs w:val="20"/>
        </w:rPr>
        <w:t xml:space="preserve"> </w:t>
      </w:r>
      <w:r w:rsidR="008C4B3B" w:rsidRPr="008C4B3B">
        <w:rPr>
          <w:color w:val="000000" w:themeColor="text1"/>
          <w:sz w:val="20"/>
          <w:szCs w:val="20"/>
        </w:rPr>
        <w:t>Forms</w:t>
      </w:r>
      <w:r w:rsidR="00FF41A0">
        <w:rPr>
          <w:color w:val="000000" w:themeColor="text1"/>
          <w:sz w:val="20"/>
          <w:szCs w:val="20"/>
        </w:rPr>
        <w:t xml:space="preserve"> </w:t>
      </w:r>
      <w:r w:rsidR="008C4B3B" w:rsidRPr="008C4B3B">
        <w:rPr>
          <w:color w:val="000000" w:themeColor="text1"/>
          <w:sz w:val="20"/>
          <w:szCs w:val="20"/>
        </w:rPr>
        <w:t>of</w:t>
      </w:r>
      <w:r w:rsidR="00FF41A0">
        <w:rPr>
          <w:color w:val="000000" w:themeColor="text1"/>
          <w:sz w:val="20"/>
          <w:szCs w:val="20"/>
        </w:rPr>
        <w:t xml:space="preserve"> </w:t>
      </w:r>
      <w:r w:rsidR="008C4B3B" w:rsidRPr="008C4B3B">
        <w:rPr>
          <w:color w:val="000000" w:themeColor="text1"/>
          <w:sz w:val="20"/>
          <w:szCs w:val="20"/>
        </w:rPr>
        <w:t>Racial</w:t>
      </w:r>
      <w:r w:rsidR="00FF41A0">
        <w:rPr>
          <w:color w:val="000000" w:themeColor="text1"/>
          <w:sz w:val="20"/>
          <w:szCs w:val="20"/>
        </w:rPr>
        <w:t xml:space="preserve"> </w:t>
      </w:r>
      <w:r w:rsidR="008C4B3B" w:rsidRPr="008C4B3B">
        <w:rPr>
          <w:color w:val="000000" w:themeColor="text1"/>
          <w:sz w:val="20"/>
          <w:szCs w:val="20"/>
        </w:rPr>
        <w:t>Discrimination</w:t>
      </w:r>
      <w:r w:rsidR="008C4B3B">
        <w:rPr>
          <w:color w:val="000000" w:themeColor="text1"/>
          <w:sz w:val="20"/>
          <w:szCs w:val="20"/>
        </w:rPr>
        <w:t>;</w:t>
      </w:r>
      <w:r w:rsidR="00FF41A0">
        <w:rPr>
          <w:color w:val="000000" w:themeColor="text1"/>
          <w:sz w:val="20"/>
          <w:szCs w:val="20"/>
        </w:rPr>
        <w:t xml:space="preserve"> </w:t>
      </w:r>
      <w:r w:rsidR="008C4B3B" w:rsidRPr="008C4B3B">
        <w:rPr>
          <w:color w:val="000000" w:themeColor="text1"/>
          <w:sz w:val="20"/>
          <w:szCs w:val="20"/>
        </w:rPr>
        <w:t>International</w:t>
      </w:r>
      <w:r w:rsidR="00FF41A0">
        <w:rPr>
          <w:color w:val="000000" w:themeColor="text1"/>
          <w:sz w:val="20"/>
          <w:szCs w:val="20"/>
        </w:rPr>
        <w:t xml:space="preserve"> </w:t>
      </w:r>
      <w:r w:rsidR="008C4B3B" w:rsidRPr="008C4B3B">
        <w:rPr>
          <w:color w:val="000000" w:themeColor="text1"/>
          <w:sz w:val="20"/>
          <w:szCs w:val="20"/>
        </w:rPr>
        <w:t>Youth</w:t>
      </w:r>
      <w:r w:rsidR="00FF41A0">
        <w:rPr>
          <w:color w:val="000000" w:themeColor="text1"/>
          <w:sz w:val="20"/>
          <w:szCs w:val="20"/>
        </w:rPr>
        <w:t xml:space="preserve"> </w:t>
      </w:r>
      <w:r w:rsidR="008C4B3B" w:rsidRPr="008C4B3B">
        <w:rPr>
          <w:color w:val="000000" w:themeColor="text1"/>
          <w:sz w:val="20"/>
          <w:szCs w:val="20"/>
        </w:rPr>
        <w:t>and</w:t>
      </w:r>
      <w:r w:rsidR="00FF41A0">
        <w:rPr>
          <w:color w:val="000000" w:themeColor="text1"/>
          <w:sz w:val="20"/>
          <w:szCs w:val="20"/>
        </w:rPr>
        <w:t xml:space="preserve"> </w:t>
      </w:r>
      <w:r w:rsidR="008C4B3B" w:rsidRPr="008C4B3B">
        <w:rPr>
          <w:color w:val="000000" w:themeColor="text1"/>
          <w:sz w:val="20"/>
          <w:szCs w:val="20"/>
        </w:rPr>
        <w:t>Student</w:t>
      </w:r>
      <w:r w:rsidR="00FF41A0">
        <w:rPr>
          <w:color w:val="000000" w:themeColor="text1"/>
          <w:sz w:val="20"/>
          <w:szCs w:val="20"/>
        </w:rPr>
        <w:t xml:space="preserve"> </w:t>
      </w:r>
      <w:r w:rsidR="008C4B3B" w:rsidRPr="008C4B3B">
        <w:rPr>
          <w:color w:val="000000" w:themeColor="text1"/>
          <w:sz w:val="20"/>
          <w:szCs w:val="20"/>
        </w:rPr>
        <w:t>Movement</w:t>
      </w:r>
      <w:r w:rsidR="00FF41A0">
        <w:rPr>
          <w:color w:val="000000" w:themeColor="text1"/>
          <w:sz w:val="20"/>
          <w:szCs w:val="20"/>
        </w:rPr>
        <w:t xml:space="preserve"> </w:t>
      </w:r>
      <w:r w:rsidR="008C4B3B" w:rsidRPr="008C4B3B">
        <w:rPr>
          <w:color w:val="000000" w:themeColor="text1"/>
          <w:sz w:val="20"/>
          <w:szCs w:val="20"/>
        </w:rPr>
        <w:t>for</w:t>
      </w:r>
      <w:r w:rsidR="00FF41A0">
        <w:rPr>
          <w:color w:val="000000" w:themeColor="text1"/>
          <w:sz w:val="20"/>
          <w:szCs w:val="20"/>
        </w:rPr>
        <w:t xml:space="preserve"> </w:t>
      </w:r>
      <w:r w:rsidR="008C4B3B" w:rsidRPr="008C4B3B">
        <w:rPr>
          <w:color w:val="000000" w:themeColor="text1"/>
          <w:sz w:val="20"/>
          <w:szCs w:val="20"/>
        </w:rPr>
        <w:t>the</w:t>
      </w:r>
      <w:r w:rsidR="00FF41A0">
        <w:rPr>
          <w:color w:val="000000" w:themeColor="text1"/>
          <w:sz w:val="20"/>
          <w:szCs w:val="20"/>
        </w:rPr>
        <w:t xml:space="preserve"> </w:t>
      </w:r>
      <w:r w:rsidR="008C4B3B" w:rsidRPr="008C4B3B">
        <w:rPr>
          <w:color w:val="000000" w:themeColor="text1"/>
          <w:sz w:val="20"/>
          <w:szCs w:val="20"/>
        </w:rPr>
        <w:t>United</w:t>
      </w:r>
      <w:r w:rsidR="00FF41A0">
        <w:rPr>
          <w:color w:val="000000" w:themeColor="text1"/>
          <w:sz w:val="20"/>
          <w:szCs w:val="20"/>
        </w:rPr>
        <w:t xml:space="preserve"> </w:t>
      </w:r>
      <w:r w:rsidR="008C4B3B" w:rsidRPr="008C4B3B">
        <w:rPr>
          <w:color w:val="000000" w:themeColor="text1"/>
          <w:sz w:val="20"/>
          <w:szCs w:val="20"/>
        </w:rPr>
        <w:t>Nations</w:t>
      </w:r>
      <w:r w:rsidR="008C4B3B">
        <w:rPr>
          <w:color w:val="000000" w:themeColor="text1"/>
          <w:sz w:val="20"/>
          <w:szCs w:val="20"/>
        </w:rPr>
        <w:t>;</w:t>
      </w:r>
      <w:r w:rsidR="00FF41A0">
        <w:rPr>
          <w:color w:val="000000" w:themeColor="text1"/>
          <w:sz w:val="20"/>
          <w:szCs w:val="20"/>
        </w:rPr>
        <w:t xml:space="preserve"> </w:t>
      </w:r>
      <w:r w:rsidR="008C4B3B" w:rsidRPr="008C4B3B">
        <w:rPr>
          <w:color w:val="000000" w:themeColor="text1"/>
          <w:sz w:val="20"/>
          <w:szCs w:val="20"/>
        </w:rPr>
        <w:t>International-Lawyers.Org</w:t>
      </w:r>
      <w:r w:rsidR="008C4B3B">
        <w:rPr>
          <w:color w:val="000000" w:themeColor="text1"/>
          <w:sz w:val="20"/>
          <w:szCs w:val="20"/>
        </w:rPr>
        <w:t>;</w:t>
      </w:r>
      <w:r w:rsidR="00FF41A0">
        <w:rPr>
          <w:color w:val="000000" w:themeColor="text1"/>
          <w:sz w:val="20"/>
          <w:szCs w:val="20"/>
        </w:rPr>
        <w:t xml:space="preserve"> </w:t>
      </w:r>
      <w:r w:rsidR="008C4B3B" w:rsidRPr="008C4B3B">
        <w:rPr>
          <w:color w:val="000000" w:themeColor="text1"/>
          <w:sz w:val="20"/>
          <w:szCs w:val="20"/>
        </w:rPr>
        <w:t>Khiam</w:t>
      </w:r>
      <w:r w:rsidR="00FF41A0">
        <w:rPr>
          <w:color w:val="000000" w:themeColor="text1"/>
          <w:sz w:val="20"/>
          <w:szCs w:val="20"/>
        </w:rPr>
        <w:t xml:space="preserve"> </w:t>
      </w:r>
      <w:r w:rsidR="008C4B3B" w:rsidRPr="008C4B3B">
        <w:rPr>
          <w:color w:val="000000" w:themeColor="text1"/>
          <w:sz w:val="20"/>
          <w:szCs w:val="20"/>
        </w:rPr>
        <w:t>Rehabilitation</w:t>
      </w:r>
      <w:r w:rsidR="00FF41A0">
        <w:rPr>
          <w:color w:val="000000" w:themeColor="text1"/>
          <w:sz w:val="20"/>
          <w:szCs w:val="20"/>
        </w:rPr>
        <w:t xml:space="preserve"> </w:t>
      </w:r>
      <w:r w:rsidR="008C4B3B" w:rsidRPr="008C4B3B">
        <w:rPr>
          <w:color w:val="000000" w:themeColor="text1"/>
          <w:sz w:val="20"/>
          <w:szCs w:val="20"/>
        </w:rPr>
        <w:t>Center</w:t>
      </w:r>
      <w:r w:rsidR="00FF41A0">
        <w:rPr>
          <w:color w:val="000000" w:themeColor="text1"/>
          <w:sz w:val="20"/>
          <w:szCs w:val="20"/>
        </w:rPr>
        <w:t xml:space="preserve"> </w:t>
      </w:r>
      <w:r w:rsidR="008C4B3B" w:rsidRPr="008C4B3B">
        <w:rPr>
          <w:color w:val="000000" w:themeColor="text1"/>
          <w:sz w:val="20"/>
          <w:szCs w:val="20"/>
        </w:rPr>
        <w:t>for</w:t>
      </w:r>
      <w:r w:rsidR="00FF41A0">
        <w:rPr>
          <w:color w:val="000000" w:themeColor="text1"/>
          <w:sz w:val="20"/>
          <w:szCs w:val="20"/>
        </w:rPr>
        <w:t xml:space="preserve"> </w:t>
      </w:r>
      <w:r w:rsidR="008C4B3B" w:rsidRPr="008C4B3B">
        <w:rPr>
          <w:color w:val="000000" w:themeColor="text1"/>
          <w:sz w:val="20"/>
          <w:szCs w:val="20"/>
        </w:rPr>
        <w:t>Victims</w:t>
      </w:r>
      <w:r w:rsidR="00FF41A0">
        <w:rPr>
          <w:color w:val="000000" w:themeColor="text1"/>
          <w:sz w:val="20"/>
          <w:szCs w:val="20"/>
        </w:rPr>
        <w:t xml:space="preserve"> </w:t>
      </w:r>
      <w:r w:rsidR="008C4B3B" w:rsidRPr="008C4B3B">
        <w:rPr>
          <w:color w:val="000000" w:themeColor="text1"/>
          <w:sz w:val="20"/>
          <w:szCs w:val="20"/>
        </w:rPr>
        <w:t>of</w:t>
      </w:r>
      <w:r w:rsidR="00FF41A0">
        <w:rPr>
          <w:color w:val="000000" w:themeColor="text1"/>
          <w:sz w:val="20"/>
          <w:szCs w:val="20"/>
        </w:rPr>
        <w:t xml:space="preserve"> </w:t>
      </w:r>
      <w:r w:rsidR="008C4B3B" w:rsidRPr="008C4B3B">
        <w:rPr>
          <w:color w:val="000000" w:themeColor="text1"/>
          <w:sz w:val="20"/>
          <w:szCs w:val="20"/>
        </w:rPr>
        <w:t>Torture</w:t>
      </w:r>
      <w:r w:rsidR="008C4B3B">
        <w:rPr>
          <w:color w:val="000000" w:themeColor="text1"/>
          <w:sz w:val="20"/>
          <w:szCs w:val="20"/>
        </w:rPr>
        <w:t>;</w:t>
      </w:r>
      <w:r w:rsidR="00FF41A0">
        <w:rPr>
          <w:color w:val="000000" w:themeColor="text1"/>
          <w:sz w:val="20"/>
          <w:szCs w:val="20"/>
        </w:rPr>
        <w:t xml:space="preserve"> </w:t>
      </w:r>
      <w:r w:rsidR="008C4B3B" w:rsidRPr="008C4B3B">
        <w:rPr>
          <w:color w:val="000000" w:themeColor="text1"/>
          <w:sz w:val="20"/>
          <w:szCs w:val="20"/>
        </w:rPr>
        <w:t>Medical</w:t>
      </w:r>
      <w:r w:rsidR="00FF41A0">
        <w:rPr>
          <w:color w:val="000000" w:themeColor="text1"/>
          <w:sz w:val="20"/>
          <w:szCs w:val="20"/>
        </w:rPr>
        <w:t xml:space="preserve"> </w:t>
      </w:r>
      <w:r w:rsidR="008C4B3B" w:rsidRPr="008C4B3B">
        <w:rPr>
          <w:color w:val="000000" w:themeColor="text1"/>
          <w:sz w:val="20"/>
          <w:szCs w:val="20"/>
        </w:rPr>
        <w:t>Aid</w:t>
      </w:r>
      <w:r w:rsidR="00FF41A0">
        <w:rPr>
          <w:color w:val="000000" w:themeColor="text1"/>
          <w:sz w:val="20"/>
          <w:szCs w:val="20"/>
        </w:rPr>
        <w:t xml:space="preserve"> </w:t>
      </w:r>
      <w:r w:rsidR="008C4B3B" w:rsidRPr="008C4B3B">
        <w:rPr>
          <w:color w:val="000000" w:themeColor="text1"/>
          <w:sz w:val="20"/>
          <w:szCs w:val="20"/>
        </w:rPr>
        <w:t>for</w:t>
      </w:r>
      <w:r w:rsidR="00FF41A0">
        <w:rPr>
          <w:color w:val="000000" w:themeColor="text1"/>
          <w:sz w:val="20"/>
          <w:szCs w:val="20"/>
        </w:rPr>
        <w:t xml:space="preserve"> </w:t>
      </w:r>
      <w:r w:rsidR="008C4B3B" w:rsidRPr="008C4B3B">
        <w:rPr>
          <w:color w:val="000000" w:themeColor="text1"/>
          <w:sz w:val="20"/>
          <w:szCs w:val="20"/>
        </w:rPr>
        <w:t>Palestinians</w:t>
      </w:r>
      <w:r w:rsidR="00FF41A0">
        <w:rPr>
          <w:color w:val="000000" w:themeColor="text1"/>
          <w:sz w:val="20"/>
          <w:szCs w:val="20"/>
        </w:rPr>
        <w:t xml:space="preserve"> </w:t>
      </w:r>
      <w:r w:rsidR="008C4B3B" w:rsidRPr="008C4B3B">
        <w:rPr>
          <w:color w:val="000000" w:themeColor="text1"/>
          <w:sz w:val="20"/>
          <w:szCs w:val="20"/>
        </w:rPr>
        <w:t>(MAP)</w:t>
      </w:r>
      <w:r w:rsidR="008C4B3B">
        <w:rPr>
          <w:color w:val="000000" w:themeColor="text1"/>
          <w:sz w:val="20"/>
          <w:szCs w:val="20"/>
        </w:rPr>
        <w:t>;</w:t>
      </w:r>
      <w:r w:rsidR="00FF41A0">
        <w:rPr>
          <w:color w:val="000000" w:themeColor="text1"/>
          <w:sz w:val="20"/>
          <w:szCs w:val="20"/>
        </w:rPr>
        <w:t xml:space="preserve"> </w:t>
      </w:r>
      <w:r w:rsidR="008C4B3B" w:rsidRPr="008C4B3B">
        <w:rPr>
          <w:color w:val="000000" w:themeColor="text1"/>
          <w:sz w:val="20"/>
          <w:szCs w:val="20"/>
        </w:rPr>
        <w:t>Meezaan</w:t>
      </w:r>
      <w:r w:rsidR="00FF41A0">
        <w:rPr>
          <w:color w:val="000000" w:themeColor="text1"/>
          <w:sz w:val="20"/>
          <w:szCs w:val="20"/>
        </w:rPr>
        <w:t xml:space="preserve"> </w:t>
      </w:r>
      <w:r w:rsidR="008C4B3B" w:rsidRPr="008C4B3B">
        <w:rPr>
          <w:color w:val="000000" w:themeColor="text1"/>
          <w:sz w:val="20"/>
          <w:szCs w:val="20"/>
        </w:rPr>
        <w:t>center</w:t>
      </w:r>
      <w:r w:rsidR="00FF41A0">
        <w:rPr>
          <w:color w:val="000000" w:themeColor="text1"/>
          <w:sz w:val="20"/>
          <w:szCs w:val="20"/>
        </w:rPr>
        <w:t xml:space="preserve"> </w:t>
      </w:r>
      <w:r w:rsidR="008C4B3B" w:rsidRPr="008C4B3B">
        <w:rPr>
          <w:color w:val="000000" w:themeColor="text1"/>
          <w:sz w:val="20"/>
          <w:szCs w:val="20"/>
        </w:rPr>
        <w:t>for</w:t>
      </w:r>
      <w:r w:rsidR="00FF41A0">
        <w:rPr>
          <w:color w:val="000000" w:themeColor="text1"/>
          <w:sz w:val="20"/>
          <w:szCs w:val="20"/>
        </w:rPr>
        <w:t xml:space="preserve"> </w:t>
      </w:r>
      <w:r w:rsidR="008C4B3B" w:rsidRPr="008C4B3B">
        <w:rPr>
          <w:color w:val="000000" w:themeColor="text1"/>
          <w:sz w:val="20"/>
          <w:szCs w:val="20"/>
        </w:rPr>
        <w:t>human</w:t>
      </w:r>
      <w:r w:rsidR="00FF41A0">
        <w:rPr>
          <w:color w:val="000000" w:themeColor="text1"/>
          <w:sz w:val="20"/>
          <w:szCs w:val="20"/>
        </w:rPr>
        <w:t xml:space="preserve"> </w:t>
      </w:r>
      <w:r w:rsidR="008C4B3B" w:rsidRPr="008C4B3B">
        <w:rPr>
          <w:color w:val="000000" w:themeColor="text1"/>
          <w:sz w:val="20"/>
          <w:szCs w:val="20"/>
        </w:rPr>
        <w:t>rights</w:t>
      </w:r>
      <w:r w:rsidR="008C4B3B">
        <w:rPr>
          <w:color w:val="000000" w:themeColor="text1"/>
          <w:sz w:val="20"/>
          <w:szCs w:val="20"/>
        </w:rPr>
        <w:t>;</w:t>
      </w:r>
      <w:r w:rsidR="00FF41A0">
        <w:rPr>
          <w:color w:val="000000" w:themeColor="text1"/>
          <w:sz w:val="20"/>
          <w:szCs w:val="20"/>
        </w:rPr>
        <w:t xml:space="preserve"> </w:t>
      </w:r>
      <w:r w:rsidR="008C4B3B" w:rsidRPr="008C4B3B">
        <w:rPr>
          <w:color w:val="000000" w:themeColor="text1"/>
          <w:sz w:val="20"/>
          <w:szCs w:val="20"/>
        </w:rPr>
        <w:t>Network</w:t>
      </w:r>
      <w:r w:rsidR="00FF41A0">
        <w:rPr>
          <w:color w:val="000000" w:themeColor="text1"/>
          <w:sz w:val="20"/>
          <w:szCs w:val="20"/>
        </w:rPr>
        <w:t xml:space="preserve"> </w:t>
      </w:r>
      <w:r w:rsidR="008C4B3B" w:rsidRPr="008C4B3B">
        <w:rPr>
          <w:color w:val="000000" w:themeColor="text1"/>
          <w:sz w:val="20"/>
          <w:szCs w:val="20"/>
        </w:rPr>
        <w:t>of</w:t>
      </w:r>
      <w:r w:rsidR="00FF41A0">
        <w:rPr>
          <w:color w:val="000000" w:themeColor="text1"/>
          <w:sz w:val="20"/>
          <w:szCs w:val="20"/>
        </w:rPr>
        <w:t xml:space="preserve"> </w:t>
      </w:r>
      <w:r w:rsidR="008C4B3B" w:rsidRPr="008C4B3B">
        <w:rPr>
          <w:color w:val="000000" w:themeColor="text1"/>
          <w:sz w:val="20"/>
          <w:szCs w:val="20"/>
        </w:rPr>
        <w:t>Women</w:t>
      </w:r>
      <w:r w:rsidR="00D72627">
        <w:rPr>
          <w:color w:val="000000" w:themeColor="text1"/>
          <w:sz w:val="20"/>
          <w:szCs w:val="20"/>
        </w:rPr>
        <w:t>’</w:t>
      </w:r>
      <w:r w:rsidR="008C4B3B" w:rsidRPr="008C4B3B">
        <w:rPr>
          <w:color w:val="000000" w:themeColor="text1"/>
          <w:sz w:val="20"/>
          <w:szCs w:val="20"/>
        </w:rPr>
        <w:t>s</w:t>
      </w:r>
      <w:r w:rsidR="00FF41A0">
        <w:rPr>
          <w:color w:val="000000" w:themeColor="text1"/>
          <w:sz w:val="20"/>
          <w:szCs w:val="20"/>
        </w:rPr>
        <w:t xml:space="preserve"> </w:t>
      </w:r>
      <w:r w:rsidR="008C4B3B" w:rsidRPr="008C4B3B">
        <w:rPr>
          <w:color w:val="000000" w:themeColor="text1"/>
          <w:sz w:val="20"/>
          <w:szCs w:val="20"/>
        </w:rPr>
        <w:t>Non-governmental</w:t>
      </w:r>
      <w:r w:rsidR="00FF41A0">
        <w:rPr>
          <w:color w:val="000000" w:themeColor="text1"/>
          <w:sz w:val="20"/>
          <w:szCs w:val="20"/>
        </w:rPr>
        <w:t xml:space="preserve"> </w:t>
      </w:r>
      <w:r w:rsidR="008C4B3B" w:rsidRPr="008C4B3B">
        <w:rPr>
          <w:color w:val="000000" w:themeColor="text1"/>
          <w:sz w:val="20"/>
          <w:szCs w:val="20"/>
        </w:rPr>
        <w:t>Organizations</w:t>
      </w:r>
      <w:r w:rsidR="00FF41A0">
        <w:rPr>
          <w:color w:val="000000" w:themeColor="text1"/>
          <w:sz w:val="20"/>
          <w:szCs w:val="20"/>
        </w:rPr>
        <w:t xml:space="preserve"> </w:t>
      </w:r>
      <w:r w:rsidR="008C4B3B" w:rsidRPr="008C4B3B">
        <w:rPr>
          <w:color w:val="000000" w:themeColor="text1"/>
          <w:sz w:val="20"/>
          <w:szCs w:val="20"/>
        </w:rPr>
        <w:t>in</w:t>
      </w:r>
      <w:r w:rsidR="00FF41A0">
        <w:rPr>
          <w:color w:val="000000" w:themeColor="text1"/>
          <w:sz w:val="20"/>
          <w:szCs w:val="20"/>
        </w:rPr>
        <w:t xml:space="preserve"> </w:t>
      </w:r>
      <w:r w:rsidR="008C4B3B" w:rsidRPr="008C4B3B">
        <w:rPr>
          <w:color w:val="000000" w:themeColor="text1"/>
          <w:sz w:val="20"/>
          <w:szCs w:val="20"/>
        </w:rPr>
        <w:t>the</w:t>
      </w:r>
      <w:r w:rsidR="00FF41A0">
        <w:rPr>
          <w:color w:val="000000" w:themeColor="text1"/>
          <w:sz w:val="20"/>
          <w:szCs w:val="20"/>
        </w:rPr>
        <w:t xml:space="preserve"> </w:t>
      </w:r>
      <w:r w:rsidR="008C4B3B" w:rsidRPr="008C4B3B">
        <w:rPr>
          <w:color w:val="000000" w:themeColor="text1"/>
          <w:sz w:val="20"/>
          <w:szCs w:val="20"/>
        </w:rPr>
        <w:t>Islamic</w:t>
      </w:r>
      <w:r w:rsidR="00FF41A0">
        <w:rPr>
          <w:color w:val="000000" w:themeColor="text1"/>
          <w:sz w:val="20"/>
          <w:szCs w:val="20"/>
        </w:rPr>
        <w:t xml:space="preserve"> </w:t>
      </w:r>
      <w:r w:rsidR="008C4B3B" w:rsidRPr="008C4B3B">
        <w:rPr>
          <w:color w:val="000000" w:themeColor="text1"/>
          <w:sz w:val="20"/>
          <w:szCs w:val="20"/>
        </w:rPr>
        <w:t>Republic</w:t>
      </w:r>
      <w:r w:rsidR="00FF41A0">
        <w:rPr>
          <w:color w:val="000000" w:themeColor="text1"/>
          <w:sz w:val="20"/>
          <w:szCs w:val="20"/>
        </w:rPr>
        <w:t xml:space="preserve"> </w:t>
      </w:r>
      <w:r w:rsidR="008C4B3B" w:rsidRPr="008C4B3B">
        <w:rPr>
          <w:color w:val="000000" w:themeColor="text1"/>
          <w:sz w:val="20"/>
          <w:szCs w:val="20"/>
        </w:rPr>
        <w:t>of</w:t>
      </w:r>
      <w:r w:rsidR="00FF41A0">
        <w:rPr>
          <w:color w:val="000000" w:themeColor="text1"/>
          <w:sz w:val="20"/>
          <w:szCs w:val="20"/>
        </w:rPr>
        <w:t xml:space="preserve"> </w:t>
      </w:r>
      <w:r w:rsidR="008C4B3B" w:rsidRPr="008C4B3B">
        <w:rPr>
          <w:color w:val="000000" w:themeColor="text1"/>
          <w:sz w:val="20"/>
          <w:szCs w:val="20"/>
        </w:rPr>
        <w:t>Iran</w:t>
      </w:r>
      <w:r w:rsidR="008C4B3B">
        <w:rPr>
          <w:color w:val="000000" w:themeColor="text1"/>
          <w:sz w:val="20"/>
          <w:szCs w:val="20"/>
        </w:rPr>
        <w:t>;</w:t>
      </w:r>
      <w:r w:rsidR="00FF41A0">
        <w:rPr>
          <w:color w:val="000000" w:themeColor="text1"/>
          <w:sz w:val="20"/>
          <w:szCs w:val="20"/>
        </w:rPr>
        <w:t xml:space="preserve"> </w:t>
      </w:r>
      <w:r w:rsidR="008C4B3B" w:rsidRPr="008C4B3B">
        <w:rPr>
          <w:color w:val="000000" w:themeColor="text1"/>
          <w:sz w:val="20"/>
          <w:szCs w:val="20"/>
        </w:rPr>
        <w:t>Norwegian</w:t>
      </w:r>
      <w:r w:rsidR="00FF41A0">
        <w:rPr>
          <w:color w:val="000000" w:themeColor="text1"/>
          <w:sz w:val="20"/>
          <w:szCs w:val="20"/>
        </w:rPr>
        <w:t xml:space="preserve"> </w:t>
      </w:r>
      <w:r w:rsidR="008C4B3B" w:rsidRPr="008C4B3B">
        <w:rPr>
          <w:color w:val="000000" w:themeColor="text1"/>
          <w:sz w:val="20"/>
          <w:szCs w:val="20"/>
        </w:rPr>
        <w:t>Refugee</w:t>
      </w:r>
      <w:r w:rsidR="00FF41A0">
        <w:rPr>
          <w:color w:val="000000" w:themeColor="text1"/>
          <w:sz w:val="20"/>
          <w:szCs w:val="20"/>
        </w:rPr>
        <w:t xml:space="preserve"> </w:t>
      </w:r>
      <w:r w:rsidR="008C4B3B" w:rsidRPr="008C4B3B">
        <w:rPr>
          <w:color w:val="000000" w:themeColor="text1"/>
          <w:sz w:val="20"/>
          <w:szCs w:val="20"/>
        </w:rPr>
        <w:t>Council</w:t>
      </w:r>
      <w:r w:rsidR="008C4B3B">
        <w:rPr>
          <w:color w:val="000000" w:themeColor="text1"/>
          <w:sz w:val="20"/>
          <w:szCs w:val="20"/>
        </w:rPr>
        <w:t>;</w:t>
      </w:r>
      <w:r w:rsidR="00FF41A0">
        <w:rPr>
          <w:color w:val="000000" w:themeColor="text1"/>
          <w:sz w:val="20"/>
          <w:szCs w:val="20"/>
        </w:rPr>
        <w:t xml:space="preserve"> </w:t>
      </w:r>
      <w:r w:rsidR="008C4B3B" w:rsidRPr="008C4B3B">
        <w:rPr>
          <w:color w:val="000000" w:themeColor="text1"/>
          <w:sz w:val="20"/>
          <w:szCs w:val="20"/>
        </w:rPr>
        <w:t>Organization</w:t>
      </w:r>
      <w:r w:rsidR="00FF41A0">
        <w:rPr>
          <w:color w:val="000000" w:themeColor="text1"/>
          <w:sz w:val="20"/>
          <w:szCs w:val="20"/>
        </w:rPr>
        <w:t xml:space="preserve"> </w:t>
      </w:r>
      <w:r w:rsidR="008C4B3B" w:rsidRPr="008C4B3B">
        <w:rPr>
          <w:color w:val="000000" w:themeColor="text1"/>
          <w:sz w:val="20"/>
          <w:szCs w:val="20"/>
        </w:rPr>
        <w:t>for</w:t>
      </w:r>
      <w:r w:rsidR="00FF41A0">
        <w:rPr>
          <w:color w:val="000000" w:themeColor="text1"/>
          <w:sz w:val="20"/>
          <w:szCs w:val="20"/>
        </w:rPr>
        <w:t xml:space="preserve"> </w:t>
      </w:r>
      <w:r w:rsidR="008C4B3B" w:rsidRPr="008C4B3B">
        <w:rPr>
          <w:color w:val="000000" w:themeColor="text1"/>
          <w:sz w:val="20"/>
          <w:szCs w:val="20"/>
        </w:rPr>
        <w:t>Defending</w:t>
      </w:r>
      <w:r w:rsidR="00FF41A0">
        <w:rPr>
          <w:color w:val="000000" w:themeColor="text1"/>
          <w:sz w:val="20"/>
          <w:szCs w:val="20"/>
        </w:rPr>
        <w:t xml:space="preserve"> </w:t>
      </w:r>
      <w:r w:rsidR="008C4B3B" w:rsidRPr="008C4B3B">
        <w:rPr>
          <w:color w:val="000000" w:themeColor="text1"/>
          <w:sz w:val="20"/>
          <w:szCs w:val="20"/>
        </w:rPr>
        <w:t>Victims</w:t>
      </w:r>
      <w:r w:rsidR="00FF41A0">
        <w:rPr>
          <w:color w:val="000000" w:themeColor="text1"/>
          <w:sz w:val="20"/>
          <w:szCs w:val="20"/>
        </w:rPr>
        <w:t xml:space="preserve"> </w:t>
      </w:r>
      <w:r w:rsidR="008C4B3B" w:rsidRPr="008C4B3B">
        <w:rPr>
          <w:color w:val="000000" w:themeColor="text1"/>
          <w:sz w:val="20"/>
          <w:szCs w:val="20"/>
        </w:rPr>
        <w:t>of</w:t>
      </w:r>
      <w:r w:rsidR="00FF41A0">
        <w:rPr>
          <w:color w:val="000000" w:themeColor="text1"/>
          <w:sz w:val="20"/>
          <w:szCs w:val="20"/>
        </w:rPr>
        <w:t xml:space="preserve"> </w:t>
      </w:r>
      <w:r w:rsidR="008C4B3B" w:rsidRPr="008C4B3B">
        <w:rPr>
          <w:color w:val="000000" w:themeColor="text1"/>
          <w:sz w:val="20"/>
          <w:szCs w:val="20"/>
        </w:rPr>
        <w:t>Violence</w:t>
      </w:r>
      <w:r w:rsidR="008C4B3B">
        <w:rPr>
          <w:color w:val="000000" w:themeColor="text1"/>
          <w:sz w:val="20"/>
          <w:szCs w:val="20"/>
        </w:rPr>
        <w:t>;</w:t>
      </w:r>
      <w:r w:rsidR="00FF41A0">
        <w:rPr>
          <w:color w:val="000000" w:themeColor="text1"/>
          <w:sz w:val="20"/>
          <w:szCs w:val="20"/>
        </w:rPr>
        <w:t xml:space="preserve"> </w:t>
      </w:r>
      <w:r w:rsidR="008C4B3B" w:rsidRPr="008C4B3B">
        <w:rPr>
          <w:color w:val="000000" w:themeColor="text1"/>
          <w:sz w:val="20"/>
          <w:szCs w:val="20"/>
        </w:rPr>
        <w:t>Palestinian</w:t>
      </w:r>
      <w:r w:rsidR="00FF41A0">
        <w:rPr>
          <w:color w:val="000000" w:themeColor="text1"/>
          <w:sz w:val="20"/>
          <w:szCs w:val="20"/>
        </w:rPr>
        <w:t xml:space="preserve"> </w:t>
      </w:r>
      <w:r w:rsidR="008C4B3B" w:rsidRPr="008C4B3B">
        <w:rPr>
          <w:color w:val="000000" w:themeColor="text1"/>
          <w:sz w:val="20"/>
          <w:szCs w:val="20"/>
        </w:rPr>
        <w:t>Center</w:t>
      </w:r>
      <w:r w:rsidR="00FF41A0">
        <w:rPr>
          <w:color w:val="000000" w:themeColor="text1"/>
          <w:sz w:val="20"/>
          <w:szCs w:val="20"/>
        </w:rPr>
        <w:t xml:space="preserve"> </w:t>
      </w:r>
      <w:r w:rsidR="008C4B3B" w:rsidRPr="008C4B3B">
        <w:rPr>
          <w:color w:val="000000" w:themeColor="text1"/>
          <w:sz w:val="20"/>
          <w:szCs w:val="20"/>
        </w:rPr>
        <w:t>for</w:t>
      </w:r>
      <w:r w:rsidR="00FF41A0">
        <w:rPr>
          <w:color w:val="000000" w:themeColor="text1"/>
          <w:sz w:val="20"/>
          <w:szCs w:val="20"/>
        </w:rPr>
        <w:t xml:space="preserve"> </w:t>
      </w:r>
      <w:r w:rsidR="008C4B3B" w:rsidRPr="008C4B3B">
        <w:rPr>
          <w:color w:val="000000" w:themeColor="text1"/>
          <w:sz w:val="20"/>
          <w:szCs w:val="20"/>
        </w:rPr>
        <w:t>Development</w:t>
      </w:r>
      <w:r w:rsidR="00FF41A0">
        <w:rPr>
          <w:color w:val="000000" w:themeColor="text1"/>
          <w:sz w:val="20"/>
          <w:szCs w:val="20"/>
        </w:rPr>
        <w:t xml:space="preserve"> </w:t>
      </w:r>
      <w:r w:rsidR="008C4B3B" w:rsidRPr="008C4B3B">
        <w:rPr>
          <w:color w:val="000000" w:themeColor="text1"/>
          <w:sz w:val="20"/>
          <w:szCs w:val="20"/>
        </w:rPr>
        <w:t>and</w:t>
      </w:r>
      <w:r w:rsidR="00FF41A0">
        <w:rPr>
          <w:color w:val="000000" w:themeColor="text1"/>
          <w:sz w:val="20"/>
          <w:szCs w:val="20"/>
        </w:rPr>
        <w:t xml:space="preserve"> </w:t>
      </w:r>
      <w:r w:rsidR="008C4B3B" w:rsidRPr="008C4B3B">
        <w:rPr>
          <w:color w:val="000000" w:themeColor="text1"/>
          <w:sz w:val="20"/>
          <w:szCs w:val="20"/>
        </w:rPr>
        <w:t>Media</w:t>
      </w:r>
      <w:r w:rsidR="00FF41A0">
        <w:rPr>
          <w:color w:val="000000" w:themeColor="text1"/>
          <w:sz w:val="20"/>
          <w:szCs w:val="20"/>
        </w:rPr>
        <w:t xml:space="preserve"> </w:t>
      </w:r>
      <w:r w:rsidR="008C4B3B" w:rsidRPr="008C4B3B">
        <w:rPr>
          <w:color w:val="000000" w:themeColor="text1"/>
          <w:sz w:val="20"/>
          <w:szCs w:val="20"/>
        </w:rPr>
        <w:t>Freedoms</w:t>
      </w:r>
      <w:r w:rsidR="00FF41A0">
        <w:rPr>
          <w:color w:val="000000" w:themeColor="text1"/>
          <w:sz w:val="20"/>
          <w:szCs w:val="20"/>
        </w:rPr>
        <w:t xml:space="preserve"> </w:t>
      </w:r>
      <w:r w:rsidR="008C4B3B">
        <w:rPr>
          <w:color w:val="000000" w:themeColor="text1"/>
          <w:sz w:val="20"/>
          <w:szCs w:val="20"/>
        </w:rPr>
        <w:t>“MADA”;</w:t>
      </w:r>
      <w:r w:rsidR="00FF41A0">
        <w:rPr>
          <w:color w:val="000000" w:themeColor="text1"/>
          <w:sz w:val="20"/>
          <w:szCs w:val="20"/>
        </w:rPr>
        <w:t xml:space="preserve"> </w:t>
      </w:r>
      <w:r w:rsidR="008C4B3B" w:rsidRPr="008C4B3B">
        <w:rPr>
          <w:color w:val="000000" w:themeColor="text1"/>
          <w:sz w:val="20"/>
          <w:szCs w:val="20"/>
        </w:rPr>
        <w:t>Servas</w:t>
      </w:r>
      <w:r w:rsidR="00FF41A0">
        <w:rPr>
          <w:color w:val="000000" w:themeColor="text1"/>
          <w:sz w:val="20"/>
          <w:szCs w:val="20"/>
        </w:rPr>
        <w:t xml:space="preserve"> </w:t>
      </w:r>
      <w:r w:rsidR="008C4B3B" w:rsidRPr="008C4B3B">
        <w:rPr>
          <w:color w:val="000000" w:themeColor="text1"/>
          <w:sz w:val="20"/>
          <w:szCs w:val="20"/>
        </w:rPr>
        <w:t>International</w:t>
      </w:r>
      <w:r w:rsidR="008C4B3B">
        <w:rPr>
          <w:color w:val="000000" w:themeColor="text1"/>
          <w:sz w:val="20"/>
          <w:szCs w:val="20"/>
        </w:rPr>
        <w:t>;</w:t>
      </w:r>
      <w:r w:rsidR="00FF41A0">
        <w:rPr>
          <w:color w:val="000000" w:themeColor="text1"/>
          <w:sz w:val="20"/>
          <w:szCs w:val="20"/>
        </w:rPr>
        <w:t xml:space="preserve"> </w:t>
      </w:r>
      <w:r w:rsidR="008C4B3B" w:rsidRPr="008C4B3B">
        <w:rPr>
          <w:color w:val="000000" w:themeColor="text1"/>
          <w:sz w:val="20"/>
          <w:szCs w:val="20"/>
        </w:rPr>
        <w:t>Solidarité</w:t>
      </w:r>
      <w:r w:rsidR="00FF41A0">
        <w:rPr>
          <w:color w:val="000000" w:themeColor="text1"/>
          <w:sz w:val="20"/>
          <w:szCs w:val="20"/>
        </w:rPr>
        <w:t xml:space="preserve"> </w:t>
      </w:r>
      <w:r w:rsidR="008C4B3B" w:rsidRPr="008C4B3B">
        <w:rPr>
          <w:color w:val="000000" w:themeColor="text1"/>
          <w:sz w:val="20"/>
          <w:szCs w:val="20"/>
        </w:rPr>
        <w:t>Suisse-Guinée</w:t>
      </w:r>
      <w:r w:rsidR="008C4B3B">
        <w:rPr>
          <w:color w:val="000000" w:themeColor="text1"/>
          <w:sz w:val="20"/>
          <w:szCs w:val="20"/>
        </w:rPr>
        <w:t>;</w:t>
      </w:r>
      <w:r w:rsidR="00FF41A0">
        <w:rPr>
          <w:color w:val="000000" w:themeColor="text1"/>
          <w:sz w:val="20"/>
          <w:szCs w:val="20"/>
        </w:rPr>
        <w:t xml:space="preserve"> </w:t>
      </w:r>
      <w:r w:rsidR="008C4B3B" w:rsidRPr="008C4B3B">
        <w:rPr>
          <w:color w:val="000000" w:themeColor="text1"/>
          <w:sz w:val="20"/>
          <w:szCs w:val="20"/>
        </w:rPr>
        <w:t>The</w:t>
      </w:r>
      <w:r w:rsidR="00FF41A0">
        <w:rPr>
          <w:color w:val="000000" w:themeColor="text1"/>
          <w:sz w:val="20"/>
          <w:szCs w:val="20"/>
        </w:rPr>
        <w:t xml:space="preserve"> </w:t>
      </w:r>
      <w:r w:rsidR="008C4B3B" w:rsidRPr="008C4B3B">
        <w:rPr>
          <w:color w:val="000000" w:themeColor="text1"/>
          <w:sz w:val="20"/>
          <w:szCs w:val="20"/>
        </w:rPr>
        <w:t>Palestinian</w:t>
      </w:r>
      <w:r w:rsidR="00FF41A0">
        <w:rPr>
          <w:color w:val="000000" w:themeColor="text1"/>
          <w:sz w:val="20"/>
          <w:szCs w:val="20"/>
        </w:rPr>
        <w:t xml:space="preserve"> </w:t>
      </w:r>
      <w:r w:rsidR="008C4B3B" w:rsidRPr="008C4B3B">
        <w:rPr>
          <w:color w:val="000000" w:themeColor="text1"/>
          <w:sz w:val="20"/>
          <w:szCs w:val="20"/>
        </w:rPr>
        <w:t>Return</w:t>
      </w:r>
      <w:r w:rsidR="00FF41A0">
        <w:rPr>
          <w:color w:val="000000" w:themeColor="text1"/>
          <w:sz w:val="20"/>
          <w:szCs w:val="20"/>
        </w:rPr>
        <w:t xml:space="preserve"> </w:t>
      </w:r>
      <w:r w:rsidR="008C4B3B" w:rsidRPr="008C4B3B">
        <w:rPr>
          <w:color w:val="000000" w:themeColor="text1"/>
          <w:sz w:val="20"/>
          <w:szCs w:val="20"/>
        </w:rPr>
        <w:t>Centre</w:t>
      </w:r>
      <w:r w:rsidR="00FF41A0">
        <w:rPr>
          <w:color w:val="000000" w:themeColor="text1"/>
          <w:sz w:val="20"/>
          <w:szCs w:val="20"/>
        </w:rPr>
        <w:t xml:space="preserve"> </w:t>
      </w:r>
      <w:r w:rsidR="008C4B3B" w:rsidRPr="008C4B3B">
        <w:rPr>
          <w:color w:val="000000" w:themeColor="text1"/>
          <w:sz w:val="20"/>
          <w:szCs w:val="20"/>
        </w:rPr>
        <w:t>Ltd</w:t>
      </w:r>
      <w:r w:rsidR="008C4B3B">
        <w:rPr>
          <w:color w:val="000000" w:themeColor="text1"/>
          <w:sz w:val="20"/>
          <w:szCs w:val="20"/>
        </w:rPr>
        <w:t>;</w:t>
      </w:r>
      <w:r w:rsidR="00FF41A0">
        <w:rPr>
          <w:color w:val="000000" w:themeColor="text1"/>
          <w:sz w:val="20"/>
          <w:szCs w:val="20"/>
        </w:rPr>
        <w:t xml:space="preserve"> </w:t>
      </w:r>
      <w:r w:rsidR="008C4B3B" w:rsidRPr="008C4B3B">
        <w:rPr>
          <w:color w:val="000000" w:themeColor="text1"/>
          <w:sz w:val="20"/>
          <w:szCs w:val="20"/>
        </w:rPr>
        <w:t>Touro</w:t>
      </w:r>
      <w:r w:rsidR="00FF41A0">
        <w:rPr>
          <w:color w:val="000000" w:themeColor="text1"/>
          <w:sz w:val="20"/>
          <w:szCs w:val="20"/>
        </w:rPr>
        <w:t xml:space="preserve"> </w:t>
      </w:r>
      <w:r w:rsidR="008C4B3B" w:rsidRPr="008C4B3B">
        <w:rPr>
          <w:color w:val="000000" w:themeColor="text1"/>
          <w:sz w:val="20"/>
          <w:szCs w:val="20"/>
        </w:rPr>
        <w:t>Law</w:t>
      </w:r>
      <w:r w:rsidR="00FF41A0">
        <w:rPr>
          <w:color w:val="000000" w:themeColor="text1"/>
          <w:sz w:val="20"/>
          <w:szCs w:val="20"/>
        </w:rPr>
        <w:t xml:space="preserve"> </w:t>
      </w:r>
      <w:r w:rsidR="008C4B3B" w:rsidRPr="008C4B3B">
        <w:rPr>
          <w:color w:val="000000" w:themeColor="text1"/>
          <w:sz w:val="20"/>
          <w:szCs w:val="20"/>
        </w:rPr>
        <w:t>Center,</w:t>
      </w:r>
      <w:r w:rsidR="00FF41A0">
        <w:rPr>
          <w:color w:val="000000" w:themeColor="text1"/>
          <w:sz w:val="20"/>
          <w:szCs w:val="20"/>
        </w:rPr>
        <w:t xml:space="preserve"> </w:t>
      </w:r>
      <w:r w:rsidR="008C4B3B" w:rsidRPr="008C4B3B">
        <w:rPr>
          <w:color w:val="000000" w:themeColor="text1"/>
          <w:sz w:val="20"/>
          <w:szCs w:val="20"/>
        </w:rPr>
        <w:t>The</w:t>
      </w:r>
      <w:r w:rsidR="00FF41A0">
        <w:rPr>
          <w:color w:val="000000" w:themeColor="text1"/>
          <w:sz w:val="20"/>
          <w:szCs w:val="20"/>
        </w:rPr>
        <w:t xml:space="preserve"> </w:t>
      </w:r>
      <w:r w:rsidR="008C4B3B" w:rsidRPr="008C4B3B">
        <w:rPr>
          <w:color w:val="000000" w:themeColor="text1"/>
          <w:sz w:val="20"/>
          <w:szCs w:val="20"/>
        </w:rPr>
        <w:t>Institute</w:t>
      </w:r>
      <w:r w:rsidR="00FF41A0">
        <w:rPr>
          <w:color w:val="000000" w:themeColor="text1"/>
          <w:sz w:val="20"/>
          <w:szCs w:val="20"/>
        </w:rPr>
        <w:t xml:space="preserve"> </w:t>
      </w:r>
      <w:r w:rsidR="008C4B3B" w:rsidRPr="008C4B3B">
        <w:rPr>
          <w:color w:val="000000" w:themeColor="text1"/>
          <w:sz w:val="20"/>
          <w:szCs w:val="20"/>
        </w:rPr>
        <w:t>on</w:t>
      </w:r>
      <w:r w:rsidR="00FF41A0">
        <w:rPr>
          <w:color w:val="000000" w:themeColor="text1"/>
          <w:sz w:val="20"/>
          <w:szCs w:val="20"/>
        </w:rPr>
        <w:t xml:space="preserve"> </w:t>
      </w:r>
      <w:r w:rsidR="008C4B3B" w:rsidRPr="008C4B3B">
        <w:rPr>
          <w:color w:val="000000" w:themeColor="text1"/>
          <w:sz w:val="20"/>
          <w:szCs w:val="20"/>
        </w:rPr>
        <w:t>Human</w:t>
      </w:r>
      <w:r w:rsidR="00FF41A0">
        <w:rPr>
          <w:color w:val="000000" w:themeColor="text1"/>
          <w:sz w:val="20"/>
          <w:szCs w:val="20"/>
        </w:rPr>
        <w:t xml:space="preserve"> </w:t>
      </w:r>
      <w:r w:rsidR="008C4B3B" w:rsidRPr="008C4B3B">
        <w:rPr>
          <w:color w:val="000000" w:themeColor="text1"/>
          <w:sz w:val="20"/>
          <w:szCs w:val="20"/>
        </w:rPr>
        <w:t>Rights</w:t>
      </w:r>
      <w:r w:rsidR="00FF41A0">
        <w:rPr>
          <w:color w:val="000000" w:themeColor="text1"/>
          <w:sz w:val="20"/>
          <w:szCs w:val="20"/>
        </w:rPr>
        <w:t xml:space="preserve"> </w:t>
      </w:r>
      <w:r w:rsidR="008C4B3B" w:rsidRPr="008C4B3B">
        <w:rPr>
          <w:color w:val="000000" w:themeColor="text1"/>
          <w:sz w:val="20"/>
          <w:szCs w:val="20"/>
        </w:rPr>
        <w:t>and</w:t>
      </w:r>
      <w:r w:rsidR="00FF41A0">
        <w:rPr>
          <w:color w:val="000000" w:themeColor="text1"/>
          <w:sz w:val="20"/>
          <w:szCs w:val="20"/>
        </w:rPr>
        <w:t xml:space="preserve"> </w:t>
      </w:r>
      <w:r w:rsidR="008C4B3B" w:rsidRPr="008C4B3B">
        <w:rPr>
          <w:color w:val="000000" w:themeColor="text1"/>
          <w:sz w:val="20"/>
          <w:szCs w:val="20"/>
        </w:rPr>
        <w:t>The</w:t>
      </w:r>
      <w:r w:rsidR="00FF41A0">
        <w:rPr>
          <w:color w:val="000000" w:themeColor="text1"/>
          <w:sz w:val="20"/>
          <w:szCs w:val="20"/>
        </w:rPr>
        <w:t xml:space="preserve"> </w:t>
      </w:r>
      <w:r w:rsidR="008C4B3B" w:rsidRPr="008C4B3B">
        <w:rPr>
          <w:color w:val="000000" w:themeColor="text1"/>
          <w:sz w:val="20"/>
          <w:szCs w:val="20"/>
        </w:rPr>
        <w:t>Holocaust</w:t>
      </w:r>
      <w:r w:rsidR="008C4B3B">
        <w:rPr>
          <w:color w:val="000000" w:themeColor="text1"/>
          <w:sz w:val="20"/>
          <w:szCs w:val="20"/>
        </w:rPr>
        <w:t>;</w:t>
      </w:r>
      <w:r w:rsidR="00FF41A0">
        <w:rPr>
          <w:color w:val="000000" w:themeColor="text1"/>
          <w:sz w:val="20"/>
          <w:szCs w:val="20"/>
        </w:rPr>
        <w:t xml:space="preserve"> </w:t>
      </w:r>
      <w:r w:rsidR="008C4B3B" w:rsidRPr="008C4B3B">
        <w:rPr>
          <w:color w:val="000000" w:themeColor="text1"/>
          <w:sz w:val="20"/>
          <w:szCs w:val="20"/>
        </w:rPr>
        <w:t>United</w:t>
      </w:r>
      <w:r w:rsidR="00FF41A0">
        <w:rPr>
          <w:color w:val="000000" w:themeColor="text1"/>
          <w:sz w:val="20"/>
          <w:szCs w:val="20"/>
        </w:rPr>
        <w:t xml:space="preserve"> </w:t>
      </w:r>
      <w:r w:rsidR="008C4B3B" w:rsidRPr="008C4B3B">
        <w:rPr>
          <w:color w:val="000000" w:themeColor="text1"/>
          <w:sz w:val="20"/>
          <w:szCs w:val="20"/>
        </w:rPr>
        <w:t>Nations</w:t>
      </w:r>
      <w:r w:rsidR="00FF41A0">
        <w:rPr>
          <w:color w:val="000000" w:themeColor="text1"/>
          <w:sz w:val="20"/>
          <w:szCs w:val="20"/>
        </w:rPr>
        <w:t xml:space="preserve"> </w:t>
      </w:r>
      <w:r w:rsidR="008C4B3B" w:rsidRPr="008C4B3B">
        <w:rPr>
          <w:color w:val="000000" w:themeColor="text1"/>
          <w:sz w:val="20"/>
          <w:szCs w:val="20"/>
        </w:rPr>
        <w:t>Watch</w:t>
      </w:r>
      <w:r w:rsidR="008C4B3B">
        <w:rPr>
          <w:color w:val="000000" w:themeColor="text1"/>
          <w:sz w:val="20"/>
          <w:szCs w:val="20"/>
        </w:rPr>
        <w:t>;</w:t>
      </w:r>
      <w:r w:rsidR="00FF41A0">
        <w:rPr>
          <w:color w:val="000000" w:themeColor="text1"/>
          <w:sz w:val="20"/>
          <w:szCs w:val="20"/>
        </w:rPr>
        <w:t xml:space="preserve"> </w:t>
      </w:r>
      <w:r w:rsidR="008C4B3B" w:rsidRPr="008C4B3B">
        <w:rPr>
          <w:color w:val="000000" w:themeColor="text1"/>
          <w:sz w:val="20"/>
          <w:szCs w:val="20"/>
        </w:rPr>
        <w:t>United</w:t>
      </w:r>
      <w:r w:rsidR="00FF41A0">
        <w:rPr>
          <w:color w:val="000000" w:themeColor="text1"/>
          <w:sz w:val="20"/>
          <w:szCs w:val="20"/>
        </w:rPr>
        <w:t xml:space="preserve"> </w:t>
      </w:r>
      <w:r w:rsidR="008C4B3B" w:rsidRPr="008C4B3B">
        <w:rPr>
          <w:color w:val="000000" w:themeColor="text1"/>
          <w:sz w:val="20"/>
          <w:szCs w:val="20"/>
        </w:rPr>
        <w:t>Towns</w:t>
      </w:r>
      <w:r w:rsidR="00FF41A0">
        <w:rPr>
          <w:color w:val="000000" w:themeColor="text1"/>
          <w:sz w:val="20"/>
          <w:szCs w:val="20"/>
        </w:rPr>
        <w:t xml:space="preserve"> </w:t>
      </w:r>
      <w:r w:rsidR="008C4B3B" w:rsidRPr="008C4B3B">
        <w:rPr>
          <w:color w:val="000000" w:themeColor="text1"/>
          <w:sz w:val="20"/>
          <w:szCs w:val="20"/>
        </w:rPr>
        <w:t>Agency</w:t>
      </w:r>
      <w:r w:rsidR="00FF41A0">
        <w:rPr>
          <w:color w:val="000000" w:themeColor="text1"/>
          <w:sz w:val="20"/>
          <w:szCs w:val="20"/>
        </w:rPr>
        <w:t xml:space="preserve"> </w:t>
      </w:r>
      <w:r w:rsidR="008C4B3B" w:rsidRPr="008C4B3B">
        <w:rPr>
          <w:color w:val="000000" w:themeColor="text1"/>
          <w:sz w:val="20"/>
          <w:szCs w:val="20"/>
        </w:rPr>
        <w:t>for</w:t>
      </w:r>
      <w:r w:rsidR="00FF41A0">
        <w:rPr>
          <w:color w:val="000000" w:themeColor="text1"/>
          <w:sz w:val="20"/>
          <w:szCs w:val="20"/>
        </w:rPr>
        <w:t xml:space="preserve"> </w:t>
      </w:r>
      <w:r w:rsidR="008C4B3B" w:rsidRPr="008C4B3B">
        <w:rPr>
          <w:color w:val="000000" w:themeColor="text1"/>
          <w:sz w:val="20"/>
          <w:szCs w:val="20"/>
        </w:rPr>
        <w:t>North-South</w:t>
      </w:r>
      <w:r w:rsidR="00FF41A0">
        <w:rPr>
          <w:color w:val="000000" w:themeColor="text1"/>
          <w:sz w:val="20"/>
          <w:szCs w:val="20"/>
        </w:rPr>
        <w:t xml:space="preserve"> </w:t>
      </w:r>
      <w:r w:rsidR="008C4B3B" w:rsidRPr="008C4B3B">
        <w:rPr>
          <w:color w:val="000000" w:themeColor="text1"/>
          <w:sz w:val="20"/>
          <w:szCs w:val="20"/>
        </w:rPr>
        <w:t>Cooperation</w:t>
      </w:r>
      <w:r w:rsidR="008C4B3B">
        <w:rPr>
          <w:color w:val="000000" w:themeColor="text1"/>
          <w:sz w:val="20"/>
          <w:szCs w:val="20"/>
        </w:rPr>
        <w:t>;</w:t>
      </w:r>
      <w:r w:rsidR="00FF41A0">
        <w:rPr>
          <w:color w:val="000000" w:themeColor="text1"/>
          <w:sz w:val="20"/>
          <w:szCs w:val="20"/>
        </w:rPr>
        <w:t xml:space="preserve"> </w:t>
      </w:r>
      <w:r w:rsidR="008C4B3B" w:rsidRPr="008C4B3B">
        <w:rPr>
          <w:color w:val="000000" w:themeColor="text1"/>
          <w:sz w:val="20"/>
          <w:szCs w:val="20"/>
        </w:rPr>
        <w:t>Women</w:t>
      </w:r>
      <w:r w:rsidR="00D72627">
        <w:rPr>
          <w:color w:val="000000" w:themeColor="text1"/>
          <w:sz w:val="20"/>
          <w:szCs w:val="20"/>
        </w:rPr>
        <w:t>’</w:t>
      </w:r>
      <w:r w:rsidR="008C4B3B" w:rsidRPr="008C4B3B">
        <w:rPr>
          <w:color w:val="000000" w:themeColor="text1"/>
          <w:sz w:val="20"/>
          <w:szCs w:val="20"/>
        </w:rPr>
        <w:t>s</w:t>
      </w:r>
      <w:r w:rsidR="00FF41A0">
        <w:rPr>
          <w:color w:val="000000" w:themeColor="text1"/>
          <w:sz w:val="20"/>
          <w:szCs w:val="20"/>
        </w:rPr>
        <w:t xml:space="preserve"> </w:t>
      </w:r>
      <w:r w:rsidR="008C4B3B" w:rsidRPr="008C4B3B">
        <w:rPr>
          <w:color w:val="000000" w:themeColor="text1"/>
          <w:sz w:val="20"/>
          <w:szCs w:val="20"/>
        </w:rPr>
        <w:t>International</w:t>
      </w:r>
      <w:r w:rsidR="00FF41A0">
        <w:rPr>
          <w:color w:val="000000" w:themeColor="text1"/>
          <w:sz w:val="20"/>
          <w:szCs w:val="20"/>
        </w:rPr>
        <w:t xml:space="preserve"> </w:t>
      </w:r>
      <w:r w:rsidR="008C4B3B" w:rsidRPr="008C4B3B">
        <w:rPr>
          <w:color w:val="000000" w:themeColor="text1"/>
          <w:sz w:val="20"/>
          <w:szCs w:val="20"/>
        </w:rPr>
        <w:t>Zionist</w:t>
      </w:r>
      <w:r w:rsidR="00FF41A0">
        <w:rPr>
          <w:color w:val="000000" w:themeColor="text1"/>
          <w:sz w:val="20"/>
          <w:szCs w:val="20"/>
        </w:rPr>
        <w:t xml:space="preserve"> </w:t>
      </w:r>
      <w:r w:rsidR="008C4B3B" w:rsidRPr="008C4B3B">
        <w:rPr>
          <w:color w:val="000000" w:themeColor="text1"/>
          <w:sz w:val="20"/>
          <w:szCs w:val="20"/>
        </w:rPr>
        <w:t>Organization</w:t>
      </w:r>
      <w:r w:rsidR="008C4B3B">
        <w:rPr>
          <w:color w:val="000000" w:themeColor="text1"/>
          <w:sz w:val="20"/>
          <w:szCs w:val="20"/>
        </w:rPr>
        <w:t>;</w:t>
      </w:r>
      <w:r w:rsidR="00FF41A0">
        <w:rPr>
          <w:color w:val="000000" w:themeColor="text1"/>
          <w:sz w:val="20"/>
          <w:szCs w:val="20"/>
        </w:rPr>
        <w:t xml:space="preserve"> </w:t>
      </w:r>
      <w:r w:rsidR="008C4B3B" w:rsidRPr="008C4B3B">
        <w:rPr>
          <w:color w:val="000000" w:themeColor="text1"/>
          <w:sz w:val="20"/>
          <w:szCs w:val="20"/>
        </w:rPr>
        <w:t>World</w:t>
      </w:r>
      <w:r w:rsidR="00FF41A0">
        <w:rPr>
          <w:color w:val="000000" w:themeColor="text1"/>
          <w:sz w:val="20"/>
          <w:szCs w:val="20"/>
        </w:rPr>
        <w:t xml:space="preserve"> </w:t>
      </w:r>
      <w:r w:rsidR="008C4B3B" w:rsidRPr="008C4B3B">
        <w:rPr>
          <w:color w:val="000000" w:themeColor="text1"/>
          <w:sz w:val="20"/>
          <w:szCs w:val="20"/>
        </w:rPr>
        <w:t>Jewish</w:t>
      </w:r>
      <w:r w:rsidR="00FF41A0">
        <w:rPr>
          <w:color w:val="000000" w:themeColor="text1"/>
          <w:sz w:val="20"/>
          <w:szCs w:val="20"/>
        </w:rPr>
        <w:t xml:space="preserve"> </w:t>
      </w:r>
      <w:r w:rsidR="008C4B3B" w:rsidRPr="008C4B3B">
        <w:rPr>
          <w:color w:val="000000" w:themeColor="text1"/>
          <w:sz w:val="20"/>
          <w:szCs w:val="20"/>
        </w:rPr>
        <w:t>Congress</w:t>
      </w:r>
      <w:r w:rsidR="008C4B3B">
        <w:rPr>
          <w:color w:val="000000" w:themeColor="text1"/>
          <w:sz w:val="20"/>
          <w:szCs w:val="20"/>
        </w:rPr>
        <w:t>;</w:t>
      </w:r>
      <w:r w:rsidR="00FF41A0">
        <w:rPr>
          <w:color w:val="000000" w:themeColor="text1"/>
          <w:sz w:val="20"/>
          <w:szCs w:val="20"/>
        </w:rPr>
        <w:t xml:space="preserve"> </w:t>
      </w:r>
      <w:r w:rsidR="008C4B3B" w:rsidRPr="008C4B3B">
        <w:rPr>
          <w:color w:val="000000" w:themeColor="text1"/>
          <w:sz w:val="20"/>
          <w:szCs w:val="20"/>
        </w:rPr>
        <w:t>World</w:t>
      </w:r>
      <w:r w:rsidR="00FF41A0">
        <w:rPr>
          <w:color w:val="000000" w:themeColor="text1"/>
          <w:sz w:val="20"/>
          <w:szCs w:val="20"/>
        </w:rPr>
        <w:t xml:space="preserve"> </w:t>
      </w:r>
      <w:r w:rsidR="008C4B3B" w:rsidRPr="008C4B3B">
        <w:rPr>
          <w:color w:val="000000" w:themeColor="text1"/>
          <w:sz w:val="20"/>
          <w:szCs w:val="20"/>
        </w:rPr>
        <w:t>Muslim</w:t>
      </w:r>
      <w:r w:rsidR="00FF41A0">
        <w:rPr>
          <w:color w:val="000000" w:themeColor="text1"/>
          <w:sz w:val="20"/>
          <w:szCs w:val="20"/>
        </w:rPr>
        <w:t xml:space="preserve"> </w:t>
      </w:r>
      <w:r w:rsidR="008C4B3B" w:rsidRPr="008C4B3B">
        <w:rPr>
          <w:color w:val="000000" w:themeColor="text1"/>
          <w:sz w:val="20"/>
          <w:szCs w:val="20"/>
        </w:rPr>
        <w:t>Congress</w:t>
      </w:r>
      <w:r w:rsidR="001F292D" w:rsidRPr="0037538E">
        <w:rPr>
          <w:color w:val="000000" w:themeColor="text1"/>
          <w:sz w:val="20"/>
          <w:szCs w:val="20"/>
        </w:rPr>
        <w:t>.</w:t>
      </w:r>
    </w:p>
    <w:p w14:paraId="2EA58D4F" w14:textId="0B4E39DF" w:rsidR="00F11B08" w:rsidRPr="00C16037" w:rsidRDefault="00F11B08" w:rsidP="00D31DC1">
      <w:pPr>
        <w:pStyle w:val="H1G"/>
        <w:rPr>
          <w:color w:val="000000" w:themeColor="text1"/>
        </w:rPr>
      </w:pPr>
      <w:r w:rsidRPr="00C16037">
        <w:rPr>
          <w:color w:val="000000" w:themeColor="text1"/>
        </w:rPr>
        <w:tab/>
      </w:r>
      <w:r w:rsidR="00306418">
        <w:rPr>
          <w:color w:val="000000" w:themeColor="text1"/>
        </w:rPr>
        <w:t>E</w:t>
      </w:r>
      <w:r w:rsidRPr="00C16037">
        <w:rPr>
          <w:color w:val="000000" w:themeColor="text1"/>
        </w:rPr>
        <w:t>.</w:t>
      </w:r>
      <w:r w:rsidRPr="00C16037">
        <w:rPr>
          <w:color w:val="000000" w:themeColor="text1"/>
        </w:rPr>
        <w:tab/>
        <w:t>Consideration</w:t>
      </w:r>
      <w:r w:rsidR="00FF41A0">
        <w:rPr>
          <w:color w:val="000000" w:themeColor="text1"/>
        </w:rPr>
        <w:t xml:space="preserve"> </w:t>
      </w:r>
      <w:r w:rsidRPr="00C16037">
        <w:rPr>
          <w:color w:val="000000" w:themeColor="text1"/>
        </w:rPr>
        <w:t>of</w:t>
      </w:r>
      <w:r w:rsidR="00FF41A0">
        <w:rPr>
          <w:color w:val="000000" w:themeColor="text1"/>
        </w:rPr>
        <w:t xml:space="preserve"> </w:t>
      </w:r>
      <w:r w:rsidRPr="00C16037">
        <w:rPr>
          <w:color w:val="000000" w:themeColor="text1"/>
        </w:rPr>
        <w:t>and</w:t>
      </w:r>
      <w:r w:rsidR="00FF41A0">
        <w:rPr>
          <w:color w:val="000000" w:themeColor="text1"/>
        </w:rPr>
        <w:t xml:space="preserve"> </w:t>
      </w:r>
      <w:r w:rsidRPr="00C16037">
        <w:rPr>
          <w:color w:val="000000" w:themeColor="text1"/>
        </w:rPr>
        <w:t>action</w:t>
      </w:r>
      <w:r w:rsidR="00FF41A0">
        <w:rPr>
          <w:color w:val="000000" w:themeColor="text1"/>
        </w:rPr>
        <w:t xml:space="preserve"> </w:t>
      </w:r>
      <w:r w:rsidRPr="00C16037">
        <w:rPr>
          <w:color w:val="000000" w:themeColor="text1"/>
        </w:rPr>
        <w:t>on</w:t>
      </w:r>
      <w:r w:rsidR="00FF41A0">
        <w:rPr>
          <w:color w:val="000000" w:themeColor="text1"/>
        </w:rPr>
        <w:t xml:space="preserve"> </w:t>
      </w:r>
      <w:r w:rsidRPr="00C16037">
        <w:rPr>
          <w:color w:val="000000" w:themeColor="text1"/>
        </w:rPr>
        <w:t>draft</w:t>
      </w:r>
      <w:r w:rsidR="00FF41A0">
        <w:rPr>
          <w:color w:val="000000" w:themeColor="text1"/>
        </w:rPr>
        <w:t xml:space="preserve"> </w:t>
      </w:r>
      <w:r w:rsidRPr="00C16037">
        <w:rPr>
          <w:color w:val="000000" w:themeColor="text1"/>
        </w:rPr>
        <w:t>proposals</w:t>
      </w:r>
    </w:p>
    <w:p w14:paraId="280B33E6" w14:textId="052556AA" w:rsidR="00F34C99" w:rsidRDefault="00F34C99" w:rsidP="00F34C99">
      <w:pPr>
        <w:pStyle w:val="SingleTxtG"/>
        <w:rPr>
          <w:b/>
          <w:sz w:val="20"/>
          <w:szCs w:val="20"/>
        </w:rPr>
      </w:pPr>
      <w:r w:rsidRPr="00F34C99">
        <w:rPr>
          <w:b/>
          <w:sz w:val="20"/>
          <w:szCs w:val="20"/>
        </w:rPr>
        <w:t>Human rights in the occupied Syrian Golan</w:t>
      </w:r>
    </w:p>
    <w:p w14:paraId="50D2D04D" w14:textId="57651A30" w:rsidR="00F34C99" w:rsidRDefault="00CF15B1" w:rsidP="00F34C99">
      <w:pPr>
        <w:pStyle w:val="SingleTxtG"/>
        <w:rPr>
          <w:sz w:val="20"/>
          <w:szCs w:val="20"/>
        </w:rPr>
      </w:pPr>
      <w:r>
        <w:rPr>
          <w:sz w:val="20"/>
          <w:szCs w:val="20"/>
        </w:rPr>
        <w:t>933</w:t>
      </w:r>
      <w:r w:rsidR="00F34C99" w:rsidRPr="00326BEB">
        <w:rPr>
          <w:sz w:val="20"/>
          <w:szCs w:val="20"/>
        </w:rPr>
        <w:t>.</w:t>
      </w:r>
      <w:r w:rsidR="00F34C99" w:rsidRPr="00326BEB">
        <w:rPr>
          <w:sz w:val="20"/>
          <w:szCs w:val="20"/>
        </w:rPr>
        <w:tab/>
        <w:t xml:space="preserve">At the </w:t>
      </w:r>
      <w:r w:rsidR="00F34C99">
        <w:rPr>
          <w:sz w:val="20"/>
          <w:szCs w:val="20"/>
        </w:rPr>
        <w:t>53rd</w:t>
      </w:r>
      <w:r w:rsidR="00F34C99" w:rsidRPr="00326BEB">
        <w:rPr>
          <w:sz w:val="20"/>
          <w:szCs w:val="20"/>
        </w:rPr>
        <w:t xml:space="preserve"> meeting, on </w:t>
      </w:r>
      <w:r w:rsidR="00F34C99">
        <w:rPr>
          <w:sz w:val="20"/>
          <w:szCs w:val="20"/>
        </w:rPr>
        <w:t>22 March 2019</w:t>
      </w:r>
      <w:r w:rsidR="00F34C99" w:rsidRPr="00326BEB">
        <w:rPr>
          <w:sz w:val="20"/>
          <w:szCs w:val="20"/>
        </w:rPr>
        <w:t xml:space="preserve">, the representative of </w:t>
      </w:r>
      <w:r w:rsidR="00F34C99" w:rsidRPr="00F34C99">
        <w:rPr>
          <w:sz w:val="20"/>
          <w:szCs w:val="20"/>
        </w:rPr>
        <w:t xml:space="preserve">Pakistan </w:t>
      </w:r>
      <w:r w:rsidR="00F34C99">
        <w:rPr>
          <w:sz w:val="20"/>
          <w:szCs w:val="20"/>
        </w:rPr>
        <w:t>(</w:t>
      </w:r>
      <w:r w:rsidR="00F34C99" w:rsidRPr="00F34C99">
        <w:rPr>
          <w:sz w:val="20"/>
          <w:szCs w:val="20"/>
        </w:rPr>
        <w:t>on behalf of the Organization of Islamic Cooperation</w:t>
      </w:r>
      <w:r w:rsidR="00F34C99">
        <w:rPr>
          <w:sz w:val="20"/>
          <w:szCs w:val="20"/>
        </w:rPr>
        <w:t>)</w:t>
      </w:r>
      <w:r w:rsidR="00F34C99" w:rsidRPr="00F34C99">
        <w:rPr>
          <w:sz w:val="20"/>
          <w:szCs w:val="20"/>
        </w:rPr>
        <w:t xml:space="preserve"> </w:t>
      </w:r>
      <w:r w:rsidR="00F34C99" w:rsidRPr="00326BEB">
        <w:rPr>
          <w:sz w:val="20"/>
          <w:szCs w:val="20"/>
        </w:rPr>
        <w:t>introduced draft resolution A/HRC/</w:t>
      </w:r>
      <w:r w:rsidR="00F34C99">
        <w:rPr>
          <w:sz w:val="20"/>
          <w:szCs w:val="20"/>
        </w:rPr>
        <w:t>40</w:t>
      </w:r>
      <w:r w:rsidR="00F34C99" w:rsidRPr="00326BEB">
        <w:rPr>
          <w:sz w:val="20"/>
          <w:szCs w:val="20"/>
        </w:rPr>
        <w:t>/L.</w:t>
      </w:r>
      <w:r w:rsidR="00F34C99">
        <w:rPr>
          <w:sz w:val="20"/>
          <w:szCs w:val="20"/>
        </w:rPr>
        <w:t>4</w:t>
      </w:r>
      <w:r w:rsidR="00F34C99" w:rsidRPr="00326BEB">
        <w:rPr>
          <w:sz w:val="20"/>
          <w:szCs w:val="20"/>
        </w:rPr>
        <w:t xml:space="preserve">, sponsored by </w:t>
      </w:r>
      <w:r w:rsidR="00F34C99" w:rsidRPr="00F34C99">
        <w:rPr>
          <w:sz w:val="20"/>
          <w:szCs w:val="20"/>
        </w:rPr>
        <w:t xml:space="preserve">Pakistan </w:t>
      </w:r>
      <w:r w:rsidR="00F34C99">
        <w:rPr>
          <w:sz w:val="20"/>
          <w:szCs w:val="20"/>
        </w:rPr>
        <w:t>(</w:t>
      </w:r>
      <w:r w:rsidR="00F34C99" w:rsidRPr="00F34C99">
        <w:rPr>
          <w:sz w:val="20"/>
          <w:szCs w:val="20"/>
        </w:rPr>
        <w:t>on behalf of the Organization of Islamic Cooperation</w:t>
      </w:r>
      <w:r w:rsidR="00F34C99">
        <w:rPr>
          <w:sz w:val="20"/>
          <w:szCs w:val="20"/>
        </w:rPr>
        <w:t>).</w:t>
      </w:r>
      <w:r w:rsidR="00F34C99" w:rsidRPr="00326BEB">
        <w:rPr>
          <w:sz w:val="20"/>
          <w:szCs w:val="20"/>
        </w:rPr>
        <w:t xml:space="preserve"> Subsequently, </w:t>
      </w:r>
      <w:r w:rsidR="00F34C99" w:rsidRPr="00F34C99">
        <w:rPr>
          <w:sz w:val="20"/>
          <w:szCs w:val="20"/>
        </w:rPr>
        <w:t>Bahrain (on behalf of the Group of Arab States)</w:t>
      </w:r>
      <w:r w:rsidR="00F34C99">
        <w:rPr>
          <w:sz w:val="20"/>
          <w:szCs w:val="20"/>
        </w:rPr>
        <w:t xml:space="preserve">, </w:t>
      </w:r>
      <w:r w:rsidR="00F34C99" w:rsidRPr="00F34C99">
        <w:rPr>
          <w:sz w:val="20"/>
          <w:szCs w:val="20"/>
        </w:rPr>
        <w:t>Belarus</w:t>
      </w:r>
      <w:r w:rsidR="00F34C99">
        <w:rPr>
          <w:sz w:val="20"/>
          <w:szCs w:val="20"/>
        </w:rPr>
        <w:t xml:space="preserve">, </w:t>
      </w:r>
      <w:r w:rsidR="00F34C99" w:rsidRPr="00F34C99">
        <w:rPr>
          <w:sz w:val="20"/>
          <w:szCs w:val="20"/>
        </w:rPr>
        <w:t>Bolivia (Plurinational State of)</w:t>
      </w:r>
      <w:r w:rsidR="00F34C99">
        <w:rPr>
          <w:sz w:val="20"/>
          <w:szCs w:val="20"/>
        </w:rPr>
        <w:t xml:space="preserve">, </w:t>
      </w:r>
      <w:r w:rsidR="00F34C99" w:rsidRPr="00F34C99">
        <w:rPr>
          <w:sz w:val="20"/>
          <w:szCs w:val="20"/>
        </w:rPr>
        <w:lastRenderedPageBreak/>
        <w:t>Chile</w:t>
      </w:r>
      <w:r w:rsidR="00F34C99">
        <w:rPr>
          <w:sz w:val="20"/>
          <w:szCs w:val="20"/>
        </w:rPr>
        <w:t xml:space="preserve">, </w:t>
      </w:r>
      <w:r w:rsidR="00F34C99" w:rsidRPr="00F34C99">
        <w:rPr>
          <w:sz w:val="20"/>
          <w:szCs w:val="20"/>
        </w:rPr>
        <w:t>Costa Rica</w:t>
      </w:r>
      <w:r w:rsidR="00F34C99">
        <w:rPr>
          <w:sz w:val="20"/>
          <w:szCs w:val="20"/>
        </w:rPr>
        <w:t xml:space="preserve">, </w:t>
      </w:r>
      <w:r w:rsidR="00F34C99" w:rsidRPr="00F34C99">
        <w:rPr>
          <w:sz w:val="20"/>
          <w:szCs w:val="20"/>
        </w:rPr>
        <w:t>Ecuador</w:t>
      </w:r>
      <w:r w:rsidR="00F34C99">
        <w:rPr>
          <w:sz w:val="20"/>
          <w:szCs w:val="20"/>
        </w:rPr>
        <w:t xml:space="preserve">, Nicaragua, </w:t>
      </w:r>
      <w:r w:rsidR="00F34C99" w:rsidRPr="00F34C99">
        <w:rPr>
          <w:sz w:val="20"/>
          <w:szCs w:val="20"/>
        </w:rPr>
        <w:t xml:space="preserve">South Africa </w:t>
      </w:r>
      <w:r w:rsidR="00F34C99">
        <w:rPr>
          <w:sz w:val="20"/>
          <w:szCs w:val="20"/>
        </w:rPr>
        <w:t xml:space="preserve">and </w:t>
      </w:r>
      <w:r w:rsidR="00F34C99" w:rsidRPr="00F34C99">
        <w:rPr>
          <w:sz w:val="20"/>
          <w:szCs w:val="20"/>
        </w:rPr>
        <w:t>Venezuela (Bolivarian Republic of)</w:t>
      </w:r>
      <w:r w:rsidR="00F34C99">
        <w:rPr>
          <w:sz w:val="20"/>
          <w:szCs w:val="20"/>
        </w:rPr>
        <w:t xml:space="preserve"> </w:t>
      </w:r>
      <w:r w:rsidR="00F34C99" w:rsidRPr="00326BEB">
        <w:rPr>
          <w:sz w:val="20"/>
          <w:szCs w:val="20"/>
        </w:rPr>
        <w:t>joined the sponsors.</w:t>
      </w:r>
    </w:p>
    <w:p w14:paraId="5BC958FB" w14:textId="6A6192DE" w:rsidR="00F34C99" w:rsidRDefault="00CF15B1" w:rsidP="00F34C99">
      <w:pPr>
        <w:spacing w:after="120"/>
        <w:ind w:left="1134" w:right="1134"/>
        <w:jc w:val="both"/>
        <w:rPr>
          <w:sz w:val="20"/>
          <w:szCs w:val="20"/>
        </w:rPr>
      </w:pPr>
      <w:r>
        <w:rPr>
          <w:sz w:val="20"/>
          <w:szCs w:val="20"/>
        </w:rPr>
        <w:t>934</w:t>
      </w:r>
      <w:r w:rsidR="00F34C99" w:rsidRPr="00E23221">
        <w:rPr>
          <w:sz w:val="20"/>
          <w:szCs w:val="20"/>
        </w:rPr>
        <w:t>.</w:t>
      </w:r>
      <w:r w:rsidR="00F34C99" w:rsidRPr="00E23221">
        <w:rPr>
          <w:sz w:val="20"/>
          <w:szCs w:val="20"/>
        </w:rPr>
        <w:tab/>
        <w:t>At the same meeting, the representative</w:t>
      </w:r>
      <w:r w:rsidR="00F34C99">
        <w:rPr>
          <w:sz w:val="20"/>
          <w:szCs w:val="20"/>
        </w:rPr>
        <w:t>s</w:t>
      </w:r>
      <w:r w:rsidR="00F34C99" w:rsidRPr="00E23221">
        <w:rPr>
          <w:sz w:val="20"/>
          <w:szCs w:val="20"/>
        </w:rPr>
        <w:t xml:space="preserve"> of </w:t>
      </w:r>
      <w:r w:rsidR="00F34C99">
        <w:rPr>
          <w:sz w:val="20"/>
          <w:szCs w:val="20"/>
        </w:rPr>
        <w:t>Israel and the Syrian Arab Republic</w:t>
      </w:r>
      <w:r w:rsidR="00F34C99" w:rsidRPr="006E030F">
        <w:rPr>
          <w:sz w:val="20"/>
          <w:szCs w:val="20"/>
        </w:rPr>
        <w:t xml:space="preserve"> </w:t>
      </w:r>
      <w:r w:rsidR="00F34C99" w:rsidRPr="00E23221">
        <w:rPr>
          <w:sz w:val="20"/>
          <w:szCs w:val="20"/>
        </w:rPr>
        <w:t>made statement</w:t>
      </w:r>
      <w:r w:rsidR="00F34C99">
        <w:rPr>
          <w:sz w:val="20"/>
          <w:szCs w:val="20"/>
        </w:rPr>
        <w:t>s</w:t>
      </w:r>
      <w:r w:rsidR="00F34C99" w:rsidRPr="00E23221">
        <w:rPr>
          <w:sz w:val="20"/>
          <w:szCs w:val="20"/>
        </w:rPr>
        <w:t xml:space="preserve"> as the State</w:t>
      </w:r>
      <w:r w:rsidR="00F34C99">
        <w:rPr>
          <w:sz w:val="20"/>
          <w:szCs w:val="20"/>
        </w:rPr>
        <w:t>s</w:t>
      </w:r>
      <w:r w:rsidR="00F34C99" w:rsidRPr="00E23221">
        <w:rPr>
          <w:sz w:val="20"/>
          <w:szCs w:val="20"/>
        </w:rPr>
        <w:t xml:space="preserve"> concerned.</w:t>
      </w:r>
    </w:p>
    <w:p w14:paraId="5CCCC04D" w14:textId="170CD772" w:rsidR="00F34C99" w:rsidRPr="0023658A" w:rsidRDefault="00CF15B1" w:rsidP="00F34C99">
      <w:pPr>
        <w:spacing w:after="120"/>
        <w:ind w:left="1134" w:right="1134"/>
        <w:jc w:val="both"/>
        <w:rPr>
          <w:sz w:val="20"/>
          <w:szCs w:val="20"/>
        </w:rPr>
      </w:pPr>
      <w:r>
        <w:rPr>
          <w:sz w:val="20"/>
          <w:szCs w:val="20"/>
        </w:rPr>
        <w:t>935</w:t>
      </w:r>
      <w:r w:rsidR="00F34C99" w:rsidRPr="0023658A">
        <w:rPr>
          <w:sz w:val="20"/>
          <w:szCs w:val="20"/>
        </w:rPr>
        <w:t>.</w:t>
      </w:r>
      <w:r w:rsidR="00F34C99" w:rsidRPr="0023658A">
        <w:rPr>
          <w:sz w:val="20"/>
          <w:szCs w:val="20"/>
        </w:rPr>
        <w:tab/>
      </w:r>
      <w:r w:rsidR="00F34C99" w:rsidRPr="0023658A">
        <w:rPr>
          <w:rFonts w:eastAsia="SimSun"/>
          <w:sz w:val="20"/>
          <w:szCs w:val="20"/>
          <w:lang w:eastAsia="ar-SA"/>
        </w:rPr>
        <w:t>A</w:t>
      </w:r>
      <w:r w:rsidR="00871B0B">
        <w:rPr>
          <w:rFonts w:eastAsia="SimSun"/>
          <w:sz w:val="20"/>
          <w:szCs w:val="20"/>
          <w:lang w:eastAsia="ar-SA"/>
        </w:rPr>
        <w:t>lso a</w:t>
      </w:r>
      <w:r w:rsidR="00F34C99" w:rsidRPr="0023658A">
        <w:rPr>
          <w:rFonts w:eastAsia="SimSun"/>
          <w:sz w:val="20"/>
          <w:szCs w:val="20"/>
          <w:lang w:eastAsia="ar-SA"/>
        </w:rPr>
        <w:t>t the same meeting</w:t>
      </w:r>
      <w:r w:rsidR="00F34C99" w:rsidRPr="0023658A">
        <w:rPr>
          <w:sz w:val="20"/>
          <w:szCs w:val="20"/>
        </w:rPr>
        <w:t xml:space="preserve">, the representatives of </w:t>
      </w:r>
      <w:r w:rsidR="00871B0B" w:rsidRPr="00F34C99">
        <w:rPr>
          <w:sz w:val="20"/>
          <w:szCs w:val="20"/>
        </w:rPr>
        <w:t>Australia, Brazil,</w:t>
      </w:r>
      <w:r w:rsidR="00871B0B">
        <w:rPr>
          <w:sz w:val="20"/>
          <w:szCs w:val="20"/>
        </w:rPr>
        <w:t xml:space="preserve"> </w:t>
      </w:r>
      <w:r w:rsidR="00871B0B" w:rsidRPr="006F178E">
        <w:rPr>
          <w:sz w:val="20"/>
          <w:szCs w:val="20"/>
        </w:rPr>
        <w:t>Bulgaria (</w:t>
      </w:r>
      <w:r w:rsidR="00871B0B" w:rsidRPr="00157757">
        <w:rPr>
          <w:sz w:val="20"/>
          <w:szCs w:val="20"/>
        </w:rPr>
        <w:t>on behalf of States members of the European Union that are members of the Council</w:t>
      </w:r>
      <w:r w:rsidR="00871B0B" w:rsidRPr="006F178E">
        <w:rPr>
          <w:sz w:val="20"/>
          <w:szCs w:val="20"/>
        </w:rPr>
        <w:t>)</w:t>
      </w:r>
      <w:r w:rsidR="00871B0B">
        <w:rPr>
          <w:sz w:val="20"/>
          <w:szCs w:val="20"/>
        </w:rPr>
        <w:t xml:space="preserve">, Denmark, </w:t>
      </w:r>
      <w:r w:rsidR="00871B0B" w:rsidRPr="00F34C99">
        <w:rPr>
          <w:sz w:val="20"/>
          <w:szCs w:val="20"/>
        </w:rPr>
        <w:t>Japan</w:t>
      </w:r>
      <w:r w:rsidR="00871B0B">
        <w:rPr>
          <w:sz w:val="20"/>
          <w:szCs w:val="20"/>
        </w:rPr>
        <w:t xml:space="preserve"> and the </w:t>
      </w:r>
      <w:r w:rsidR="00871B0B" w:rsidRPr="00F34C99">
        <w:rPr>
          <w:sz w:val="20"/>
          <w:szCs w:val="20"/>
        </w:rPr>
        <w:t xml:space="preserve">United Kingdom of Great Britain and Northern Ireland </w:t>
      </w:r>
      <w:r w:rsidR="00F34C99" w:rsidRPr="0023658A">
        <w:rPr>
          <w:sz w:val="20"/>
          <w:szCs w:val="20"/>
        </w:rPr>
        <w:t>made statements in explanation of vote before the vote.</w:t>
      </w:r>
    </w:p>
    <w:p w14:paraId="35FA3C9D" w14:textId="432A0BC5" w:rsidR="00F34C99" w:rsidRPr="0023658A" w:rsidRDefault="00CF15B1" w:rsidP="00871B0B">
      <w:pPr>
        <w:pStyle w:val="SingleTxtG"/>
        <w:rPr>
          <w:sz w:val="20"/>
          <w:szCs w:val="20"/>
        </w:rPr>
      </w:pPr>
      <w:r>
        <w:rPr>
          <w:sz w:val="20"/>
          <w:szCs w:val="20"/>
        </w:rPr>
        <w:t>936</w:t>
      </w:r>
      <w:r w:rsidR="00F34C99" w:rsidRPr="0023658A">
        <w:rPr>
          <w:sz w:val="20"/>
          <w:szCs w:val="20"/>
        </w:rPr>
        <w:t>.</w:t>
      </w:r>
      <w:r w:rsidR="00F34C99" w:rsidRPr="0023658A">
        <w:rPr>
          <w:sz w:val="20"/>
          <w:szCs w:val="20"/>
        </w:rPr>
        <w:tab/>
        <w:t xml:space="preserve">At the same meeting, at the request of the representative of </w:t>
      </w:r>
      <w:r w:rsidR="00871B0B">
        <w:rPr>
          <w:sz w:val="20"/>
          <w:szCs w:val="20"/>
        </w:rPr>
        <w:t xml:space="preserve">the </w:t>
      </w:r>
      <w:r w:rsidR="00871B0B" w:rsidRPr="00F34C99">
        <w:rPr>
          <w:sz w:val="20"/>
          <w:szCs w:val="20"/>
        </w:rPr>
        <w:t>United Kingdom of Great Britain and Northern Ireland</w:t>
      </w:r>
      <w:r w:rsidR="00F34C99" w:rsidRPr="0023658A">
        <w:rPr>
          <w:sz w:val="20"/>
          <w:szCs w:val="20"/>
        </w:rPr>
        <w:t>, a recorded vote was taken on the draft resolution. The voting was as follows:</w:t>
      </w:r>
      <w:r w:rsidR="00871B0B" w:rsidRPr="00871B0B">
        <w:rPr>
          <w:rStyle w:val="FootnoteReference"/>
          <w:rFonts w:eastAsia="SimSun"/>
          <w:lang w:eastAsia="ar-SA"/>
        </w:rPr>
        <w:t xml:space="preserve"> </w:t>
      </w:r>
    </w:p>
    <w:p w14:paraId="50BE37AC" w14:textId="77777777" w:rsidR="00871B0B" w:rsidRPr="00871B0B" w:rsidRDefault="00871B0B" w:rsidP="00871B0B">
      <w:pPr>
        <w:keepNext/>
        <w:keepLines/>
        <w:ind w:left="1701" w:right="1134"/>
        <w:jc w:val="both"/>
        <w:rPr>
          <w:rFonts w:eastAsia="SimSun"/>
          <w:i/>
          <w:sz w:val="20"/>
          <w:szCs w:val="20"/>
          <w:lang w:eastAsia="ar-SA"/>
        </w:rPr>
      </w:pPr>
      <w:r w:rsidRPr="00871B0B">
        <w:rPr>
          <w:rFonts w:eastAsia="SimSun"/>
          <w:i/>
          <w:sz w:val="20"/>
          <w:szCs w:val="20"/>
          <w:lang w:eastAsia="ar-SA"/>
        </w:rPr>
        <w:t>In favour</w:t>
      </w:r>
      <w:r w:rsidRPr="00871B0B">
        <w:rPr>
          <w:rFonts w:eastAsia="SimSun"/>
          <w:sz w:val="20"/>
          <w:szCs w:val="20"/>
          <w:lang w:eastAsia="ar-SA"/>
        </w:rPr>
        <w:t>:</w:t>
      </w:r>
      <w:r w:rsidRPr="00871B0B">
        <w:rPr>
          <w:rFonts w:eastAsia="SimSun"/>
          <w:i/>
          <w:sz w:val="20"/>
          <w:szCs w:val="20"/>
          <w:lang w:eastAsia="ar-SA"/>
        </w:rPr>
        <w:t xml:space="preserve"> </w:t>
      </w:r>
    </w:p>
    <w:p w14:paraId="2C6AA990" w14:textId="77777777" w:rsidR="00871B0B" w:rsidRPr="00871B0B" w:rsidRDefault="00871B0B" w:rsidP="00871B0B">
      <w:pPr>
        <w:spacing w:after="120"/>
        <w:ind w:left="2268" w:right="1134"/>
        <w:jc w:val="both"/>
        <w:rPr>
          <w:rFonts w:eastAsia="SimSun"/>
          <w:sz w:val="20"/>
          <w:szCs w:val="20"/>
          <w:lang w:eastAsia="ar-SA"/>
        </w:rPr>
      </w:pPr>
      <w:r w:rsidRPr="00871B0B">
        <w:rPr>
          <w:rFonts w:eastAsia="SimSun"/>
          <w:sz w:val="20"/>
          <w:szCs w:val="20"/>
          <w:lang w:eastAsia="ar-SA"/>
        </w:rPr>
        <w:t>Afghanistan, Angola, Argentina, Bahamas, Bahrain, Bangladesh, Burkina Faso, Chile, China, Cuba, Egypt, Eritrea, India, Iraq, Mexico, Nepal, Nigeria, Pakistan, Peru, Philippines, Qatar, Saudi Arabia, Senegal, South Africa, Tunisia, Uruguay</w:t>
      </w:r>
    </w:p>
    <w:p w14:paraId="12F7B841" w14:textId="77777777" w:rsidR="00871B0B" w:rsidRPr="00871B0B" w:rsidRDefault="00871B0B" w:rsidP="00871B0B">
      <w:pPr>
        <w:ind w:left="1701" w:right="1134"/>
        <w:jc w:val="both"/>
        <w:rPr>
          <w:rFonts w:eastAsia="SimSun"/>
          <w:i/>
          <w:sz w:val="20"/>
          <w:szCs w:val="20"/>
          <w:lang w:eastAsia="ar-SA"/>
        </w:rPr>
      </w:pPr>
      <w:r w:rsidRPr="00871B0B">
        <w:rPr>
          <w:rFonts w:eastAsia="SimSun"/>
          <w:i/>
          <w:sz w:val="20"/>
          <w:szCs w:val="20"/>
          <w:lang w:eastAsia="ar-SA"/>
        </w:rPr>
        <w:t>Against</w:t>
      </w:r>
      <w:r w:rsidRPr="00871B0B">
        <w:rPr>
          <w:rFonts w:eastAsia="SimSun"/>
          <w:sz w:val="20"/>
          <w:szCs w:val="20"/>
          <w:lang w:eastAsia="ar-SA"/>
        </w:rPr>
        <w:t>:</w:t>
      </w:r>
      <w:r w:rsidRPr="00871B0B">
        <w:rPr>
          <w:rFonts w:eastAsia="SimSun"/>
          <w:i/>
          <w:sz w:val="20"/>
          <w:szCs w:val="20"/>
          <w:lang w:eastAsia="ar-SA"/>
        </w:rPr>
        <w:t xml:space="preserve"> </w:t>
      </w:r>
    </w:p>
    <w:p w14:paraId="44645F45" w14:textId="77777777" w:rsidR="00871B0B" w:rsidRPr="00871B0B" w:rsidRDefault="00871B0B" w:rsidP="00871B0B">
      <w:pPr>
        <w:spacing w:after="120"/>
        <w:ind w:left="2268" w:right="1134"/>
        <w:jc w:val="both"/>
        <w:rPr>
          <w:rFonts w:eastAsia="SimSun"/>
          <w:sz w:val="20"/>
          <w:szCs w:val="20"/>
          <w:lang w:eastAsia="ar-SA"/>
        </w:rPr>
      </w:pPr>
      <w:r w:rsidRPr="00871B0B">
        <w:rPr>
          <w:rFonts w:eastAsia="SimSun"/>
          <w:sz w:val="20"/>
          <w:szCs w:val="20"/>
          <w:lang w:eastAsia="ar-SA"/>
        </w:rPr>
        <w:t>Australia, Austria, Brazil, Bulgaria, Croatia, Czechia, Denmark, Hungary, Iceland, Italy, Japan, Slovakia, Spain, Togo, Ukraine, United Kingdom of Great Britain and Northern Ireland</w:t>
      </w:r>
    </w:p>
    <w:p w14:paraId="59A7A2BF" w14:textId="77777777" w:rsidR="00871B0B" w:rsidRPr="00871B0B" w:rsidRDefault="00871B0B" w:rsidP="00871B0B">
      <w:pPr>
        <w:ind w:left="1701" w:right="1134"/>
        <w:jc w:val="both"/>
        <w:rPr>
          <w:rFonts w:eastAsia="SimSun"/>
          <w:i/>
          <w:sz w:val="20"/>
          <w:szCs w:val="20"/>
          <w:lang w:eastAsia="ar-SA"/>
        </w:rPr>
      </w:pPr>
      <w:r w:rsidRPr="00871B0B">
        <w:rPr>
          <w:rFonts w:eastAsia="SimSun"/>
          <w:i/>
          <w:sz w:val="20"/>
          <w:szCs w:val="20"/>
          <w:lang w:eastAsia="ar-SA"/>
        </w:rPr>
        <w:t>Abstaining</w:t>
      </w:r>
      <w:r w:rsidRPr="00871B0B">
        <w:rPr>
          <w:rFonts w:eastAsia="SimSun"/>
          <w:sz w:val="20"/>
          <w:szCs w:val="20"/>
          <w:lang w:eastAsia="ar-SA"/>
        </w:rPr>
        <w:t>:</w:t>
      </w:r>
      <w:r w:rsidRPr="00871B0B">
        <w:rPr>
          <w:rFonts w:eastAsia="SimSun"/>
          <w:i/>
          <w:sz w:val="20"/>
          <w:szCs w:val="20"/>
          <w:lang w:eastAsia="ar-SA"/>
        </w:rPr>
        <w:t xml:space="preserve"> </w:t>
      </w:r>
    </w:p>
    <w:p w14:paraId="0F1B5A92" w14:textId="195B99DF" w:rsidR="00871B0B" w:rsidRPr="00871B0B" w:rsidRDefault="00871B0B" w:rsidP="00871B0B">
      <w:pPr>
        <w:pStyle w:val="SingleTxtG"/>
        <w:ind w:left="2268"/>
        <w:rPr>
          <w:sz w:val="20"/>
          <w:szCs w:val="20"/>
        </w:rPr>
      </w:pPr>
      <w:r w:rsidRPr="00871B0B">
        <w:rPr>
          <w:rFonts w:eastAsia="SimSun"/>
          <w:sz w:val="20"/>
          <w:szCs w:val="20"/>
          <w:lang w:eastAsia="ar-SA"/>
        </w:rPr>
        <w:t>Cameroon, Democratic Republic of the Congo, Fiji, Rwanda, Somalia</w:t>
      </w:r>
      <w:r w:rsidR="000943B0">
        <w:rPr>
          <w:rStyle w:val="FootnoteReference"/>
          <w:rFonts w:eastAsia="SimSun"/>
          <w:szCs w:val="20"/>
          <w:lang w:eastAsia="ar-SA"/>
        </w:rPr>
        <w:footnoteReference w:id="67"/>
      </w:r>
    </w:p>
    <w:p w14:paraId="3DC6E304" w14:textId="74F20B39" w:rsidR="00F34C99" w:rsidRDefault="00CF15B1" w:rsidP="00F34C99">
      <w:pPr>
        <w:pStyle w:val="SingleTxtG"/>
        <w:rPr>
          <w:rFonts w:eastAsia="SimSun"/>
          <w:sz w:val="20"/>
          <w:szCs w:val="20"/>
          <w:lang w:eastAsia="ar-SA"/>
        </w:rPr>
      </w:pPr>
      <w:r>
        <w:rPr>
          <w:rFonts w:eastAsia="SimSun"/>
          <w:sz w:val="20"/>
          <w:szCs w:val="20"/>
          <w:lang w:eastAsia="ar-SA"/>
        </w:rPr>
        <w:t>937</w:t>
      </w:r>
      <w:r w:rsidR="00F34C99" w:rsidRPr="0023658A">
        <w:rPr>
          <w:rFonts w:eastAsia="SimSun"/>
          <w:sz w:val="20"/>
          <w:szCs w:val="20"/>
          <w:lang w:eastAsia="ar-SA"/>
        </w:rPr>
        <w:t>.</w:t>
      </w:r>
      <w:r w:rsidR="00F34C99" w:rsidRPr="0023658A">
        <w:rPr>
          <w:rFonts w:eastAsia="SimSun"/>
          <w:sz w:val="20"/>
          <w:szCs w:val="20"/>
          <w:lang w:eastAsia="ar-SA"/>
        </w:rPr>
        <w:tab/>
        <w:t xml:space="preserve">The draft resolution was adopted by </w:t>
      </w:r>
      <w:r w:rsidR="00F34C99">
        <w:rPr>
          <w:rFonts w:eastAsia="SimSun"/>
          <w:sz w:val="20"/>
          <w:szCs w:val="20"/>
          <w:lang w:eastAsia="ar-SA"/>
        </w:rPr>
        <w:t>2</w:t>
      </w:r>
      <w:r w:rsidR="0026406B">
        <w:rPr>
          <w:rFonts w:eastAsia="SimSun"/>
          <w:sz w:val="20"/>
          <w:szCs w:val="20"/>
          <w:lang w:eastAsia="ar-SA"/>
        </w:rPr>
        <w:t>6</w:t>
      </w:r>
      <w:r w:rsidR="00F34C99" w:rsidRPr="0023658A">
        <w:rPr>
          <w:sz w:val="20"/>
          <w:szCs w:val="20"/>
          <w:lang w:eastAsia="ar-SA"/>
        </w:rPr>
        <w:t xml:space="preserve"> votes to </w:t>
      </w:r>
      <w:r w:rsidR="0026406B">
        <w:rPr>
          <w:sz w:val="20"/>
          <w:szCs w:val="20"/>
          <w:lang w:eastAsia="ar-SA"/>
        </w:rPr>
        <w:t>16</w:t>
      </w:r>
      <w:r w:rsidR="00F34C99" w:rsidRPr="0023658A">
        <w:rPr>
          <w:sz w:val="20"/>
          <w:szCs w:val="20"/>
          <w:lang w:eastAsia="ar-SA"/>
        </w:rPr>
        <w:t xml:space="preserve">, with </w:t>
      </w:r>
      <w:r w:rsidR="0026406B">
        <w:rPr>
          <w:sz w:val="20"/>
          <w:szCs w:val="20"/>
          <w:lang w:eastAsia="ar-SA"/>
        </w:rPr>
        <w:t>5</w:t>
      </w:r>
      <w:r w:rsidR="00F34C99" w:rsidRPr="0023658A">
        <w:rPr>
          <w:sz w:val="20"/>
          <w:szCs w:val="20"/>
          <w:lang w:eastAsia="ar-SA"/>
        </w:rPr>
        <w:t xml:space="preserve"> abstentions</w:t>
      </w:r>
      <w:r w:rsidR="00F34C99" w:rsidRPr="0023658A">
        <w:rPr>
          <w:rFonts w:eastAsia="SimSun"/>
          <w:sz w:val="20"/>
          <w:szCs w:val="20"/>
          <w:lang w:eastAsia="ar-SA"/>
        </w:rPr>
        <w:t xml:space="preserve"> (resolution </w:t>
      </w:r>
      <w:r w:rsidR="00F34C99">
        <w:rPr>
          <w:rFonts w:eastAsia="SimSun"/>
          <w:sz w:val="20"/>
          <w:szCs w:val="20"/>
          <w:lang w:eastAsia="ar-SA"/>
        </w:rPr>
        <w:t>40/</w:t>
      </w:r>
      <w:r w:rsidR="0026406B">
        <w:rPr>
          <w:rFonts w:eastAsia="SimSun"/>
          <w:sz w:val="20"/>
          <w:szCs w:val="20"/>
          <w:lang w:eastAsia="ar-SA"/>
        </w:rPr>
        <w:t>21</w:t>
      </w:r>
      <w:r w:rsidR="00F34C99" w:rsidRPr="0023658A">
        <w:rPr>
          <w:rFonts w:eastAsia="SimSun"/>
          <w:sz w:val="20"/>
          <w:szCs w:val="20"/>
          <w:lang w:eastAsia="ar-SA"/>
        </w:rPr>
        <w:t>).</w:t>
      </w:r>
    </w:p>
    <w:p w14:paraId="396BCBC0" w14:textId="0A036946" w:rsidR="00D6670F" w:rsidRDefault="00CF15B1" w:rsidP="00F34C99">
      <w:pPr>
        <w:pStyle w:val="SingleTxtG"/>
        <w:rPr>
          <w:rFonts w:eastAsia="SimSun"/>
          <w:sz w:val="20"/>
          <w:szCs w:val="20"/>
          <w:lang w:eastAsia="ar-SA"/>
        </w:rPr>
      </w:pPr>
      <w:r>
        <w:rPr>
          <w:rFonts w:eastAsia="SimSun"/>
          <w:sz w:val="20"/>
          <w:szCs w:val="20"/>
          <w:lang w:eastAsia="ar-SA"/>
        </w:rPr>
        <w:t>938</w:t>
      </w:r>
      <w:r w:rsidR="00D6670F" w:rsidRPr="000B65FE">
        <w:rPr>
          <w:rFonts w:eastAsia="SimSun"/>
          <w:sz w:val="20"/>
          <w:szCs w:val="20"/>
          <w:lang w:eastAsia="ar-SA"/>
        </w:rPr>
        <w:t>.</w:t>
      </w:r>
      <w:r w:rsidR="00D6670F" w:rsidRPr="000B65FE">
        <w:rPr>
          <w:rFonts w:eastAsia="SimSun"/>
          <w:sz w:val="20"/>
          <w:szCs w:val="20"/>
          <w:lang w:eastAsia="ar-SA"/>
        </w:rPr>
        <w:tab/>
        <w:t xml:space="preserve">At the </w:t>
      </w:r>
      <w:r w:rsidR="00D6670F">
        <w:rPr>
          <w:rFonts w:eastAsia="SimSun"/>
          <w:sz w:val="20"/>
          <w:szCs w:val="20"/>
          <w:lang w:eastAsia="ar-SA"/>
        </w:rPr>
        <w:t xml:space="preserve">same </w:t>
      </w:r>
      <w:r w:rsidR="00D6670F" w:rsidRPr="000B65FE">
        <w:rPr>
          <w:rFonts w:eastAsia="SimSun"/>
          <w:sz w:val="20"/>
          <w:szCs w:val="20"/>
          <w:lang w:eastAsia="ar-SA"/>
        </w:rPr>
        <w:t xml:space="preserve">meeting, the representative of </w:t>
      </w:r>
      <w:r w:rsidR="00D6670F">
        <w:rPr>
          <w:rFonts w:eastAsia="SimSun"/>
          <w:sz w:val="20"/>
          <w:szCs w:val="20"/>
          <w:lang w:eastAsia="ar-SA"/>
        </w:rPr>
        <w:t>Iceland</w:t>
      </w:r>
      <w:r w:rsidR="00D6670F" w:rsidRPr="000B65FE">
        <w:rPr>
          <w:rFonts w:eastAsia="SimSun"/>
          <w:sz w:val="20"/>
          <w:szCs w:val="20"/>
          <w:lang w:eastAsia="ar-SA"/>
        </w:rPr>
        <w:t xml:space="preserve"> made a statement in explanation of vote after the vote.</w:t>
      </w:r>
      <w:r w:rsidR="00D72627">
        <w:rPr>
          <w:rFonts w:eastAsia="SimSun"/>
          <w:sz w:val="20"/>
          <w:szCs w:val="20"/>
          <w:lang w:eastAsia="ar-SA"/>
        </w:rPr>
        <w:t xml:space="preserve"> </w:t>
      </w:r>
    </w:p>
    <w:p w14:paraId="36A1372B" w14:textId="5EB2434F" w:rsidR="002F0774" w:rsidRDefault="002F0774" w:rsidP="002F0774">
      <w:pPr>
        <w:pStyle w:val="SingleTxtG"/>
        <w:rPr>
          <w:b/>
          <w:sz w:val="20"/>
          <w:szCs w:val="20"/>
        </w:rPr>
      </w:pPr>
      <w:r w:rsidRPr="002F0774">
        <w:rPr>
          <w:b/>
          <w:sz w:val="20"/>
          <w:szCs w:val="20"/>
        </w:rPr>
        <w:t>Right of the Palestinian people to self-determination</w:t>
      </w:r>
    </w:p>
    <w:p w14:paraId="61CE36F3" w14:textId="5D6CAEBA" w:rsidR="002F0774" w:rsidRDefault="00CF15B1" w:rsidP="002F0774">
      <w:pPr>
        <w:pStyle w:val="SingleTxtG"/>
        <w:rPr>
          <w:sz w:val="20"/>
          <w:szCs w:val="20"/>
        </w:rPr>
      </w:pPr>
      <w:r>
        <w:rPr>
          <w:sz w:val="20"/>
          <w:szCs w:val="20"/>
        </w:rPr>
        <w:t>939</w:t>
      </w:r>
      <w:r w:rsidR="002F0774" w:rsidRPr="00326BEB">
        <w:rPr>
          <w:sz w:val="20"/>
          <w:szCs w:val="20"/>
        </w:rPr>
        <w:t>.</w:t>
      </w:r>
      <w:r w:rsidR="002F0774" w:rsidRPr="00326BEB">
        <w:rPr>
          <w:sz w:val="20"/>
          <w:szCs w:val="20"/>
        </w:rPr>
        <w:tab/>
        <w:t xml:space="preserve">At the </w:t>
      </w:r>
      <w:r w:rsidR="002F0774">
        <w:rPr>
          <w:sz w:val="20"/>
          <w:szCs w:val="20"/>
        </w:rPr>
        <w:t>54th</w:t>
      </w:r>
      <w:r w:rsidR="002F0774" w:rsidRPr="00326BEB">
        <w:rPr>
          <w:sz w:val="20"/>
          <w:szCs w:val="20"/>
        </w:rPr>
        <w:t xml:space="preserve"> meeting, on </w:t>
      </w:r>
      <w:r w:rsidR="002F0774">
        <w:rPr>
          <w:sz w:val="20"/>
          <w:szCs w:val="20"/>
        </w:rPr>
        <w:t>22 March 2019</w:t>
      </w:r>
      <w:r w:rsidR="002F0774" w:rsidRPr="00326BEB">
        <w:rPr>
          <w:sz w:val="20"/>
          <w:szCs w:val="20"/>
        </w:rPr>
        <w:t xml:space="preserve">, the representative of </w:t>
      </w:r>
      <w:r w:rsidR="002F0774" w:rsidRPr="00F34C99">
        <w:rPr>
          <w:sz w:val="20"/>
          <w:szCs w:val="20"/>
        </w:rPr>
        <w:t xml:space="preserve">Pakistan </w:t>
      </w:r>
      <w:r w:rsidR="002F0774">
        <w:rPr>
          <w:sz w:val="20"/>
          <w:szCs w:val="20"/>
        </w:rPr>
        <w:t>(</w:t>
      </w:r>
      <w:r w:rsidR="002F0774" w:rsidRPr="00F34C99">
        <w:rPr>
          <w:sz w:val="20"/>
          <w:szCs w:val="20"/>
        </w:rPr>
        <w:t>on behalf of the Organization of Islamic Cooperation</w:t>
      </w:r>
      <w:r w:rsidR="002F0774">
        <w:rPr>
          <w:sz w:val="20"/>
          <w:szCs w:val="20"/>
        </w:rPr>
        <w:t>)</w:t>
      </w:r>
      <w:r w:rsidR="002F0774" w:rsidRPr="00F34C99">
        <w:rPr>
          <w:sz w:val="20"/>
          <w:szCs w:val="20"/>
        </w:rPr>
        <w:t xml:space="preserve"> </w:t>
      </w:r>
      <w:r w:rsidR="002F0774" w:rsidRPr="00326BEB">
        <w:rPr>
          <w:sz w:val="20"/>
          <w:szCs w:val="20"/>
        </w:rPr>
        <w:t>introduced draft resolution A/HRC/</w:t>
      </w:r>
      <w:r w:rsidR="002F0774">
        <w:rPr>
          <w:sz w:val="20"/>
          <w:szCs w:val="20"/>
        </w:rPr>
        <w:t>40</w:t>
      </w:r>
      <w:r w:rsidR="002F0774" w:rsidRPr="00326BEB">
        <w:rPr>
          <w:sz w:val="20"/>
          <w:szCs w:val="20"/>
        </w:rPr>
        <w:t>/L.</w:t>
      </w:r>
      <w:r w:rsidR="0008411D">
        <w:rPr>
          <w:sz w:val="20"/>
          <w:szCs w:val="20"/>
        </w:rPr>
        <w:t>26</w:t>
      </w:r>
      <w:r w:rsidR="002F0774" w:rsidRPr="00326BEB">
        <w:rPr>
          <w:sz w:val="20"/>
          <w:szCs w:val="20"/>
        </w:rPr>
        <w:t xml:space="preserve">, sponsored by </w:t>
      </w:r>
      <w:r w:rsidR="002F0774" w:rsidRPr="00F34C99">
        <w:rPr>
          <w:sz w:val="20"/>
          <w:szCs w:val="20"/>
        </w:rPr>
        <w:t xml:space="preserve">Pakistan </w:t>
      </w:r>
      <w:r w:rsidR="002F0774">
        <w:rPr>
          <w:sz w:val="20"/>
          <w:szCs w:val="20"/>
        </w:rPr>
        <w:t>(</w:t>
      </w:r>
      <w:r w:rsidR="002F0774" w:rsidRPr="00F34C99">
        <w:rPr>
          <w:sz w:val="20"/>
          <w:szCs w:val="20"/>
        </w:rPr>
        <w:t>on behalf of the Organization of Islamic Cooperation</w:t>
      </w:r>
      <w:r w:rsidR="002F0774">
        <w:rPr>
          <w:sz w:val="20"/>
          <w:szCs w:val="20"/>
        </w:rPr>
        <w:t>)</w:t>
      </w:r>
      <w:r w:rsidR="0008411D">
        <w:rPr>
          <w:sz w:val="20"/>
          <w:szCs w:val="20"/>
        </w:rPr>
        <w:t xml:space="preserve"> and co-sponsored by </w:t>
      </w:r>
      <w:r w:rsidR="0008411D" w:rsidRPr="0008411D">
        <w:rPr>
          <w:sz w:val="20"/>
          <w:szCs w:val="20"/>
        </w:rPr>
        <w:t>Bahrain (on behalf of the Group of Arab States), Bolivia (Plurinational State of), Cuba, Venezuela (Bolivarian Republic of)</w:t>
      </w:r>
      <w:r w:rsidR="0008411D">
        <w:rPr>
          <w:sz w:val="20"/>
          <w:szCs w:val="20"/>
        </w:rPr>
        <w:t xml:space="preserve"> and</w:t>
      </w:r>
      <w:r w:rsidR="0008411D" w:rsidRPr="0008411D">
        <w:rPr>
          <w:sz w:val="20"/>
          <w:szCs w:val="20"/>
        </w:rPr>
        <w:t xml:space="preserve"> Zimbabwe</w:t>
      </w:r>
      <w:r w:rsidR="002F0774">
        <w:rPr>
          <w:sz w:val="20"/>
          <w:szCs w:val="20"/>
        </w:rPr>
        <w:t>.</w:t>
      </w:r>
      <w:r w:rsidR="002F0774" w:rsidRPr="00326BEB">
        <w:rPr>
          <w:sz w:val="20"/>
          <w:szCs w:val="20"/>
        </w:rPr>
        <w:t xml:space="preserve"> Subsequently, </w:t>
      </w:r>
      <w:r w:rsidR="0008411D" w:rsidRPr="0008411D">
        <w:rPr>
          <w:sz w:val="20"/>
          <w:szCs w:val="20"/>
        </w:rPr>
        <w:t>Belarus</w:t>
      </w:r>
      <w:r w:rsidR="0008411D">
        <w:rPr>
          <w:sz w:val="20"/>
          <w:szCs w:val="20"/>
        </w:rPr>
        <w:t xml:space="preserve">, </w:t>
      </w:r>
      <w:r w:rsidR="0008411D" w:rsidRPr="0008411D">
        <w:rPr>
          <w:sz w:val="20"/>
          <w:szCs w:val="20"/>
        </w:rPr>
        <w:t>Botswana</w:t>
      </w:r>
      <w:r w:rsidR="0008411D">
        <w:rPr>
          <w:sz w:val="20"/>
          <w:szCs w:val="20"/>
        </w:rPr>
        <w:t xml:space="preserve">, </w:t>
      </w:r>
      <w:r w:rsidR="0008411D" w:rsidRPr="0008411D">
        <w:rPr>
          <w:sz w:val="20"/>
          <w:szCs w:val="20"/>
        </w:rPr>
        <w:t>Chile</w:t>
      </w:r>
      <w:r w:rsidR="0008411D">
        <w:rPr>
          <w:sz w:val="20"/>
          <w:szCs w:val="20"/>
        </w:rPr>
        <w:t xml:space="preserve">, Costa Rica, the </w:t>
      </w:r>
      <w:r w:rsidR="0008411D" w:rsidRPr="0008411D">
        <w:rPr>
          <w:sz w:val="20"/>
          <w:szCs w:val="20"/>
        </w:rPr>
        <w:t>Democratic People</w:t>
      </w:r>
      <w:r w:rsidR="00D72627">
        <w:rPr>
          <w:sz w:val="20"/>
          <w:szCs w:val="20"/>
        </w:rPr>
        <w:t>’</w:t>
      </w:r>
      <w:r w:rsidR="0008411D" w:rsidRPr="0008411D">
        <w:rPr>
          <w:sz w:val="20"/>
          <w:szCs w:val="20"/>
        </w:rPr>
        <w:t>s Republic of Korea</w:t>
      </w:r>
      <w:r w:rsidR="0008411D">
        <w:rPr>
          <w:sz w:val="20"/>
          <w:szCs w:val="20"/>
        </w:rPr>
        <w:t xml:space="preserve">, </w:t>
      </w:r>
      <w:r w:rsidR="0008411D" w:rsidRPr="0008411D">
        <w:rPr>
          <w:sz w:val="20"/>
          <w:szCs w:val="20"/>
        </w:rPr>
        <w:t>Ireland</w:t>
      </w:r>
      <w:r w:rsidR="0008411D">
        <w:rPr>
          <w:sz w:val="20"/>
          <w:szCs w:val="20"/>
        </w:rPr>
        <w:t xml:space="preserve">, </w:t>
      </w:r>
      <w:r w:rsidR="0008411D" w:rsidRPr="0008411D">
        <w:rPr>
          <w:sz w:val="20"/>
          <w:szCs w:val="20"/>
        </w:rPr>
        <w:t>Luxembourg</w:t>
      </w:r>
      <w:r w:rsidR="0008411D">
        <w:rPr>
          <w:sz w:val="20"/>
          <w:szCs w:val="20"/>
        </w:rPr>
        <w:t xml:space="preserve">, </w:t>
      </w:r>
      <w:r w:rsidR="0008411D" w:rsidRPr="0008411D">
        <w:rPr>
          <w:sz w:val="20"/>
          <w:szCs w:val="20"/>
        </w:rPr>
        <w:t>Malta</w:t>
      </w:r>
      <w:r w:rsidR="0008411D">
        <w:rPr>
          <w:sz w:val="20"/>
          <w:szCs w:val="20"/>
        </w:rPr>
        <w:t xml:space="preserve">, Mauritius, Namibia, Nicaragua, Portugal, </w:t>
      </w:r>
      <w:r w:rsidR="0008411D" w:rsidRPr="0008411D">
        <w:rPr>
          <w:sz w:val="20"/>
          <w:szCs w:val="20"/>
        </w:rPr>
        <w:t>Slovenia</w:t>
      </w:r>
      <w:r w:rsidR="0008411D">
        <w:rPr>
          <w:sz w:val="20"/>
          <w:szCs w:val="20"/>
        </w:rPr>
        <w:t xml:space="preserve">, </w:t>
      </w:r>
      <w:r w:rsidR="0008411D" w:rsidRPr="0008411D">
        <w:rPr>
          <w:sz w:val="20"/>
          <w:szCs w:val="20"/>
        </w:rPr>
        <w:t>South Africa</w:t>
      </w:r>
      <w:r w:rsidR="0008411D">
        <w:rPr>
          <w:sz w:val="20"/>
          <w:szCs w:val="20"/>
        </w:rPr>
        <w:t xml:space="preserve">, </w:t>
      </w:r>
      <w:r w:rsidR="0008411D" w:rsidRPr="0008411D">
        <w:rPr>
          <w:sz w:val="20"/>
          <w:szCs w:val="20"/>
        </w:rPr>
        <w:t>Sweden</w:t>
      </w:r>
      <w:r w:rsidR="0008411D">
        <w:rPr>
          <w:sz w:val="20"/>
          <w:szCs w:val="20"/>
        </w:rPr>
        <w:t xml:space="preserve"> and </w:t>
      </w:r>
      <w:r w:rsidR="0008411D" w:rsidRPr="0008411D">
        <w:rPr>
          <w:sz w:val="20"/>
          <w:szCs w:val="20"/>
        </w:rPr>
        <w:t>Switzerland</w:t>
      </w:r>
      <w:r w:rsidR="0008411D">
        <w:rPr>
          <w:sz w:val="20"/>
          <w:szCs w:val="20"/>
        </w:rPr>
        <w:t xml:space="preserve"> </w:t>
      </w:r>
      <w:r w:rsidR="002F0774" w:rsidRPr="00326BEB">
        <w:rPr>
          <w:sz w:val="20"/>
          <w:szCs w:val="20"/>
        </w:rPr>
        <w:t>joined the sponsors.</w:t>
      </w:r>
    </w:p>
    <w:p w14:paraId="3F1EE94F" w14:textId="08227BDA" w:rsidR="002F0774" w:rsidRDefault="00CF15B1" w:rsidP="002F0774">
      <w:pPr>
        <w:spacing w:after="120"/>
        <w:ind w:left="1134" w:right="1134"/>
        <w:jc w:val="both"/>
        <w:rPr>
          <w:sz w:val="20"/>
          <w:szCs w:val="20"/>
        </w:rPr>
      </w:pPr>
      <w:r>
        <w:rPr>
          <w:sz w:val="20"/>
          <w:szCs w:val="20"/>
        </w:rPr>
        <w:t>940</w:t>
      </w:r>
      <w:r w:rsidR="002F0774" w:rsidRPr="00E23221">
        <w:rPr>
          <w:sz w:val="20"/>
          <w:szCs w:val="20"/>
        </w:rPr>
        <w:t>.</w:t>
      </w:r>
      <w:r w:rsidR="002F0774" w:rsidRPr="00E23221">
        <w:rPr>
          <w:sz w:val="20"/>
          <w:szCs w:val="20"/>
        </w:rPr>
        <w:tab/>
        <w:t xml:space="preserve">At the same meeting, the representative of </w:t>
      </w:r>
      <w:r w:rsidR="0008411D">
        <w:rPr>
          <w:sz w:val="20"/>
          <w:szCs w:val="20"/>
        </w:rPr>
        <w:t>the State of Palestine</w:t>
      </w:r>
      <w:r w:rsidR="002F0774" w:rsidRPr="006E030F">
        <w:rPr>
          <w:sz w:val="20"/>
          <w:szCs w:val="20"/>
        </w:rPr>
        <w:t xml:space="preserve"> </w:t>
      </w:r>
      <w:r w:rsidR="002F0774" w:rsidRPr="00E23221">
        <w:rPr>
          <w:sz w:val="20"/>
          <w:szCs w:val="20"/>
        </w:rPr>
        <w:t xml:space="preserve">made </w:t>
      </w:r>
      <w:r w:rsidR="0008411D">
        <w:rPr>
          <w:sz w:val="20"/>
          <w:szCs w:val="20"/>
        </w:rPr>
        <w:t xml:space="preserve">a </w:t>
      </w:r>
      <w:r w:rsidR="002F0774" w:rsidRPr="00E23221">
        <w:rPr>
          <w:sz w:val="20"/>
          <w:szCs w:val="20"/>
        </w:rPr>
        <w:t>statement as the State concerned.</w:t>
      </w:r>
    </w:p>
    <w:p w14:paraId="1FE95E28" w14:textId="00AC3BA7" w:rsidR="002F0774" w:rsidRPr="0023658A" w:rsidRDefault="00CF15B1" w:rsidP="002F0774">
      <w:pPr>
        <w:spacing w:after="120"/>
        <w:ind w:left="1134" w:right="1134"/>
        <w:jc w:val="both"/>
        <w:rPr>
          <w:sz w:val="20"/>
          <w:szCs w:val="20"/>
        </w:rPr>
      </w:pPr>
      <w:r>
        <w:rPr>
          <w:sz w:val="20"/>
          <w:szCs w:val="20"/>
        </w:rPr>
        <w:t>941</w:t>
      </w:r>
      <w:r w:rsidR="002F0774" w:rsidRPr="0023658A">
        <w:rPr>
          <w:sz w:val="20"/>
          <w:szCs w:val="20"/>
        </w:rPr>
        <w:t>.</w:t>
      </w:r>
      <w:r w:rsidR="002F0774" w:rsidRPr="0023658A">
        <w:rPr>
          <w:sz w:val="20"/>
          <w:szCs w:val="20"/>
        </w:rPr>
        <w:tab/>
      </w:r>
      <w:r w:rsidR="002F0774" w:rsidRPr="0023658A">
        <w:rPr>
          <w:rFonts w:eastAsia="SimSun"/>
          <w:sz w:val="20"/>
          <w:szCs w:val="20"/>
          <w:lang w:eastAsia="ar-SA"/>
        </w:rPr>
        <w:t>A</w:t>
      </w:r>
      <w:r w:rsidR="002F0774">
        <w:rPr>
          <w:rFonts w:eastAsia="SimSun"/>
          <w:sz w:val="20"/>
          <w:szCs w:val="20"/>
          <w:lang w:eastAsia="ar-SA"/>
        </w:rPr>
        <w:t>lso a</w:t>
      </w:r>
      <w:r w:rsidR="002F0774" w:rsidRPr="0023658A">
        <w:rPr>
          <w:rFonts w:eastAsia="SimSun"/>
          <w:sz w:val="20"/>
          <w:szCs w:val="20"/>
          <w:lang w:eastAsia="ar-SA"/>
        </w:rPr>
        <w:t>t the same meeting</w:t>
      </w:r>
      <w:r w:rsidR="002F0774" w:rsidRPr="0023658A">
        <w:rPr>
          <w:sz w:val="20"/>
          <w:szCs w:val="20"/>
        </w:rPr>
        <w:t xml:space="preserve">, the representatives of </w:t>
      </w:r>
      <w:r w:rsidR="00917959" w:rsidRPr="00917959">
        <w:rPr>
          <w:sz w:val="20"/>
          <w:szCs w:val="20"/>
        </w:rPr>
        <w:t>Argentina</w:t>
      </w:r>
      <w:r w:rsidR="00917959">
        <w:rPr>
          <w:sz w:val="20"/>
          <w:szCs w:val="20"/>
        </w:rPr>
        <w:t xml:space="preserve">, </w:t>
      </w:r>
      <w:r w:rsidR="00917959" w:rsidRPr="00917959">
        <w:rPr>
          <w:sz w:val="20"/>
          <w:szCs w:val="20"/>
        </w:rPr>
        <w:t>Brazil</w:t>
      </w:r>
      <w:r w:rsidR="00917959">
        <w:rPr>
          <w:sz w:val="20"/>
          <w:szCs w:val="20"/>
        </w:rPr>
        <w:t xml:space="preserve">, </w:t>
      </w:r>
      <w:r w:rsidR="00917959" w:rsidRPr="00917959">
        <w:rPr>
          <w:sz w:val="20"/>
          <w:szCs w:val="20"/>
        </w:rPr>
        <w:t>Mexico</w:t>
      </w:r>
      <w:r w:rsidR="00917959">
        <w:rPr>
          <w:sz w:val="20"/>
          <w:szCs w:val="20"/>
        </w:rPr>
        <w:t xml:space="preserve"> and South Africa </w:t>
      </w:r>
      <w:r w:rsidR="002F0774" w:rsidRPr="0023658A">
        <w:rPr>
          <w:sz w:val="20"/>
          <w:szCs w:val="20"/>
        </w:rPr>
        <w:t>made statements in explanation of vote before the vote.</w:t>
      </w:r>
    </w:p>
    <w:p w14:paraId="56CDF1EE" w14:textId="7192B461" w:rsidR="002F0774" w:rsidRPr="0023658A" w:rsidRDefault="00CF15B1" w:rsidP="002F0774">
      <w:pPr>
        <w:pStyle w:val="SingleTxtG"/>
        <w:rPr>
          <w:sz w:val="20"/>
          <w:szCs w:val="20"/>
        </w:rPr>
      </w:pPr>
      <w:r>
        <w:rPr>
          <w:sz w:val="20"/>
          <w:szCs w:val="20"/>
        </w:rPr>
        <w:t>942</w:t>
      </w:r>
      <w:r w:rsidR="002F0774" w:rsidRPr="0023658A">
        <w:rPr>
          <w:sz w:val="20"/>
          <w:szCs w:val="20"/>
        </w:rPr>
        <w:t>.</w:t>
      </w:r>
      <w:r w:rsidR="002F0774" w:rsidRPr="0023658A">
        <w:rPr>
          <w:sz w:val="20"/>
          <w:szCs w:val="20"/>
        </w:rPr>
        <w:tab/>
        <w:t xml:space="preserve">At the same meeting, at the request of the representative of </w:t>
      </w:r>
      <w:r w:rsidR="00917959">
        <w:rPr>
          <w:sz w:val="20"/>
          <w:szCs w:val="20"/>
        </w:rPr>
        <w:t>Australia</w:t>
      </w:r>
      <w:r w:rsidR="002F0774" w:rsidRPr="0023658A">
        <w:rPr>
          <w:sz w:val="20"/>
          <w:szCs w:val="20"/>
        </w:rPr>
        <w:t>, a recorded vote was taken on the draft resolution. The voting was as follows:</w:t>
      </w:r>
      <w:r w:rsidR="002F0774" w:rsidRPr="00871B0B">
        <w:rPr>
          <w:rStyle w:val="FootnoteReference"/>
          <w:rFonts w:eastAsia="SimSun"/>
          <w:lang w:eastAsia="ar-SA"/>
        </w:rPr>
        <w:t xml:space="preserve"> </w:t>
      </w:r>
    </w:p>
    <w:p w14:paraId="6F55B24A" w14:textId="77777777" w:rsidR="00AC0B74" w:rsidRPr="00AC0B74" w:rsidRDefault="00AC0B74" w:rsidP="00AC0B74">
      <w:pPr>
        <w:keepNext/>
        <w:keepLines/>
        <w:ind w:left="1701" w:right="1134"/>
        <w:jc w:val="both"/>
        <w:rPr>
          <w:rFonts w:eastAsia="SimSun"/>
          <w:i/>
          <w:sz w:val="20"/>
          <w:szCs w:val="20"/>
          <w:lang w:eastAsia="ar-SA"/>
        </w:rPr>
      </w:pPr>
      <w:r w:rsidRPr="00AC0B74">
        <w:rPr>
          <w:rFonts w:eastAsia="SimSun"/>
          <w:i/>
          <w:sz w:val="20"/>
          <w:szCs w:val="20"/>
          <w:lang w:eastAsia="ar-SA"/>
        </w:rPr>
        <w:t>In favour</w:t>
      </w:r>
      <w:r w:rsidRPr="00AC0B74">
        <w:rPr>
          <w:rFonts w:eastAsia="SimSun"/>
          <w:sz w:val="20"/>
          <w:szCs w:val="20"/>
          <w:lang w:eastAsia="ar-SA"/>
        </w:rPr>
        <w:t>:</w:t>
      </w:r>
      <w:r w:rsidRPr="00AC0B74">
        <w:rPr>
          <w:rFonts w:eastAsia="SimSun"/>
          <w:i/>
          <w:sz w:val="20"/>
          <w:szCs w:val="20"/>
          <w:lang w:eastAsia="ar-SA"/>
        </w:rPr>
        <w:t xml:space="preserve"> </w:t>
      </w:r>
    </w:p>
    <w:p w14:paraId="45A5A609" w14:textId="77777777" w:rsidR="00AC0B74" w:rsidRPr="00AC0B74" w:rsidRDefault="00AC0B74" w:rsidP="00AC0B74">
      <w:pPr>
        <w:spacing w:after="120"/>
        <w:ind w:left="2268" w:right="1134"/>
        <w:jc w:val="both"/>
        <w:rPr>
          <w:rFonts w:eastAsia="SimSun"/>
          <w:sz w:val="20"/>
          <w:szCs w:val="20"/>
          <w:lang w:eastAsia="ar-SA"/>
        </w:rPr>
      </w:pPr>
      <w:r w:rsidRPr="00AC0B74">
        <w:rPr>
          <w:rFonts w:eastAsia="SimSun"/>
          <w:sz w:val="20"/>
          <w:szCs w:val="20"/>
          <w:lang w:eastAsia="ar-SA"/>
        </w:rPr>
        <w:t xml:space="preserve">Afghanistan, Angola, Argentina, Austria, Bahamas, Bahrain, Bangladesh, Brazil, Bulgaria, Burkina Faso, Chile, China, Croatia, Cuba, Czechia, Egypt, Eritrea, Fiji, Hungary, Iceland, India, Iraq, Italy, Japan, Mexico, Nepal, </w:t>
      </w:r>
      <w:r w:rsidRPr="00AC0B74">
        <w:rPr>
          <w:rFonts w:eastAsia="SimSun"/>
          <w:sz w:val="20"/>
          <w:szCs w:val="20"/>
          <w:lang w:eastAsia="ar-SA"/>
        </w:rPr>
        <w:lastRenderedPageBreak/>
        <w:t>Nigeria, Pakistan, Peru, Philippines, Qatar, Rwanda, Senegal, Slovakia, Somalia, South Africa, Spain, Togo, Tunisia, Ukraine, Uruguay</w:t>
      </w:r>
    </w:p>
    <w:p w14:paraId="7EDF897F" w14:textId="77777777" w:rsidR="00AC0B74" w:rsidRPr="00AC0B74" w:rsidRDefault="00AC0B74" w:rsidP="00AC0B74">
      <w:pPr>
        <w:ind w:left="1701" w:right="1134"/>
        <w:jc w:val="both"/>
        <w:rPr>
          <w:rFonts w:eastAsia="SimSun"/>
          <w:i/>
          <w:sz w:val="20"/>
          <w:szCs w:val="20"/>
          <w:lang w:eastAsia="ar-SA"/>
        </w:rPr>
      </w:pPr>
      <w:r w:rsidRPr="00AC0B74">
        <w:rPr>
          <w:rFonts w:eastAsia="SimSun"/>
          <w:i/>
          <w:sz w:val="20"/>
          <w:szCs w:val="20"/>
          <w:lang w:eastAsia="ar-SA"/>
        </w:rPr>
        <w:t>Against</w:t>
      </w:r>
      <w:r w:rsidRPr="00AC0B74">
        <w:rPr>
          <w:rFonts w:eastAsia="SimSun"/>
          <w:sz w:val="20"/>
          <w:szCs w:val="20"/>
          <w:lang w:eastAsia="ar-SA"/>
        </w:rPr>
        <w:t>:</w:t>
      </w:r>
      <w:r w:rsidRPr="00AC0B74">
        <w:rPr>
          <w:rFonts w:eastAsia="SimSun"/>
          <w:i/>
          <w:sz w:val="20"/>
          <w:szCs w:val="20"/>
          <w:lang w:eastAsia="ar-SA"/>
        </w:rPr>
        <w:t xml:space="preserve"> </w:t>
      </w:r>
    </w:p>
    <w:p w14:paraId="60AAD25C" w14:textId="77777777" w:rsidR="00AC0B74" w:rsidRPr="00AC0B74" w:rsidRDefault="00AC0B74" w:rsidP="00AC0B74">
      <w:pPr>
        <w:spacing w:after="120"/>
        <w:ind w:left="2268" w:right="1134"/>
        <w:jc w:val="both"/>
        <w:rPr>
          <w:rFonts w:eastAsia="SimSun"/>
          <w:sz w:val="20"/>
          <w:szCs w:val="20"/>
          <w:lang w:eastAsia="ar-SA"/>
        </w:rPr>
      </w:pPr>
      <w:r w:rsidRPr="00AC0B74">
        <w:rPr>
          <w:rFonts w:eastAsia="SimSun"/>
          <w:sz w:val="20"/>
          <w:szCs w:val="20"/>
          <w:lang w:eastAsia="ar-SA"/>
        </w:rPr>
        <w:t>Australia, Denmark, United Kingdom of Great Britain and Northern Ireland</w:t>
      </w:r>
    </w:p>
    <w:p w14:paraId="1454EBC4" w14:textId="77777777" w:rsidR="00AC0B74" w:rsidRPr="00AC0B74" w:rsidRDefault="00AC0B74" w:rsidP="00AC0B74">
      <w:pPr>
        <w:ind w:left="1701" w:right="1134"/>
        <w:jc w:val="both"/>
        <w:rPr>
          <w:rFonts w:eastAsia="SimSun"/>
          <w:i/>
          <w:sz w:val="20"/>
          <w:szCs w:val="20"/>
          <w:lang w:eastAsia="ar-SA"/>
        </w:rPr>
      </w:pPr>
      <w:r w:rsidRPr="00AC0B74">
        <w:rPr>
          <w:rFonts w:eastAsia="SimSun"/>
          <w:i/>
          <w:sz w:val="20"/>
          <w:szCs w:val="20"/>
          <w:lang w:eastAsia="ar-SA"/>
        </w:rPr>
        <w:t>Abstaining</w:t>
      </w:r>
      <w:r w:rsidRPr="00AC0B74">
        <w:rPr>
          <w:rFonts w:eastAsia="SimSun"/>
          <w:sz w:val="20"/>
          <w:szCs w:val="20"/>
          <w:lang w:eastAsia="ar-SA"/>
        </w:rPr>
        <w:t>:</w:t>
      </w:r>
      <w:r w:rsidRPr="00AC0B74">
        <w:rPr>
          <w:rFonts w:eastAsia="SimSun"/>
          <w:i/>
          <w:sz w:val="20"/>
          <w:szCs w:val="20"/>
          <w:lang w:eastAsia="ar-SA"/>
        </w:rPr>
        <w:t xml:space="preserve"> </w:t>
      </w:r>
    </w:p>
    <w:p w14:paraId="18E5779A" w14:textId="6714123A" w:rsidR="00AC0B74" w:rsidRPr="00AC0B74" w:rsidRDefault="00AC0B74" w:rsidP="00AC0B74">
      <w:pPr>
        <w:pStyle w:val="SingleTxtG"/>
        <w:ind w:left="2268"/>
        <w:rPr>
          <w:sz w:val="20"/>
          <w:szCs w:val="20"/>
        </w:rPr>
      </w:pPr>
      <w:r w:rsidRPr="00AC0B74">
        <w:rPr>
          <w:rFonts w:eastAsia="SimSun"/>
          <w:sz w:val="20"/>
          <w:szCs w:val="20"/>
          <w:lang w:eastAsia="ar-SA"/>
        </w:rPr>
        <w:t>Cameroon, Democratic Republic of the Congo</w:t>
      </w:r>
    </w:p>
    <w:p w14:paraId="4D818D8E" w14:textId="7062E0C0" w:rsidR="00EE15C9" w:rsidRDefault="00CF15B1" w:rsidP="00EE15C9">
      <w:pPr>
        <w:pStyle w:val="SingleTxtG"/>
        <w:rPr>
          <w:rFonts w:eastAsia="SimSun"/>
          <w:lang w:eastAsia="ar-SA"/>
        </w:rPr>
      </w:pPr>
      <w:r>
        <w:rPr>
          <w:rFonts w:eastAsia="SimSun"/>
          <w:sz w:val="20"/>
          <w:szCs w:val="20"/>
          <w:lang w:eastAsia="ar-SA"/>
        </w:rPr>
        <w:t>943</w:t>
      </w:r>
      <w:r w:rsidR="002F0774" w:rsidRPr="0023658A">
        <w:rPr>
          <w:rFonts w:eastAsia="SimSun"/>
          <w:sz w:val="20"/>
          <w:szCs w:val="20"/>
          <w:lang w:eastAsia="ar-SA"/>
        </w:rPr>
        <w:t>.</w:t>
      </w:r>
      <w:r w:rsidR="002F0774" w:rsidRPr="0023658A">
        <w:rPr>
          <w:rFonts w:eastAsia="SimSun"/>
          <w:sz w:val="20"/>
          <w:szCs w:val="20"/>
          <w:lang w:eastAsia="ar-SA"/>
        </w:rPr>
        <w:tab/>
        <w:t xml:space="preserve">The draft resolution was adopted by </w:t>
      </w:r>
      <w:r w:rsidR="00AC0B74">
        <w:rPr>
          <w:rFonts w:eastAsia="SimSun"/>
          <w:sz w:val="20"/>
          <w:szCs w:val="20"/>
          <w:lang w:eastAsia="ar-SA"/>
        </w:rPr>
        <w:t>41</w:t>
      </w:r>
      <w:r w:rsidR="002F0774" w:rsidRPr="0023658A">
        <w:rPr>
          <w:sz w:val="20"/>
          <w:szCs w:val="20"/>
          <w:lang w:eastAsia="ar-SA"/>
        </w:rPr>
        <w:t xml:space="preserve"> votes to </w:t>
      </w:r>
      <w:r w:rsidR="00AC0B74">
        <w:rPr>
          <w:sz w:val="20"/>
          <w:szCs w:val="20"/>
          <w:lang w:eastAsia="ar-SA"/>
        </w:rPr>
        <w:t>3</w:t>
      </w:r>
      <w:r w:rsidR="002F0774" w:rsidRPr="0023658A">
        <w:rPr>
          <w:sz w:val="20"/>
          <w:szCs w:val="20"/>
          <w:lang w:eastAsia="ar-SA"/>
        </w:rPr>
        <w:t xml:space="preserve">, with </w:t>
      </w:r>
      <w:r w:rsidR="00AC0B74">
        <w:rPr>
          <w:sz w:val="20"/>
          <w:szCs w:val="20"/>
          <w:lang w:eastAsia="ar-SA"/>
        </w:rPr>
        <w:t>2</w:t>
      </w:r>
      <w:r w:rsidR="002F0774" w:rsidRPr="0023658A">
        <w:rPr>
          <w:sz w:val="20"/>
          <w:szCs w:val="20"/>
          <w:lang w:eastAsia="ar-SA"/>
        </w:rPr>
        <w:t xml:space="preserve"> abstentions</w:t>
      </w:r>
      <w:r w:rsidR="002F0774" w:rsidRPr="0023658A">
        <w:rPr>
          <w:rFonts w:eastAsia="SimSun"/>
          <w:sz w:val="20"/>
          <w:szCs w:val="20"/>
          <w:lang w:eastAsia="ar-SA"/>
        </w:rPr>
        <w:t xml:space="preserve"> (resolution </w:t>
      </w:r>
      <w:r w:rsidR="002F0774">
        <w:rPr>
          <w:rFonts w:eastAsia="SimSun"/>
          <w:sz w:val="20"/>
          <w:szCs w:val="20"/>
          <w:lang w:eastAsia="ar-SA"/>
        </w:rPr>
        <w:t>40/2</w:t>
      </w:r>
      <w:r w:rsidR="00AC0B74">
        <w:rPr>
          <w:rFonts w:eastAsia="SimSun"/>
          <w:sz w:val="20"/>
          <w:szCs w:val="20"/>
          <w:lang w:eastAsia="ar-SA"/>
        </w:rPr>
        <w:t>2</w:t>
      </w:r>
      <w:r w:rsidR="002F0774" w:rsidRPr="0023658A">
        <w:rPr>
          <w:rFonts w:eastAsia="SimSun"/>
          <w:sz w:val="20"/>
          <w:szCs w:val="20"/>
          <w:lang w:eastAsia="ar-SA"/>
        </w:rPr>
        <w:t>).</w:t>
      </w:r>
      <w:r w:rsidR="000943B0">
        <w:rPr>
          <w:rStyle w:val="FootnoteReference"/>
          <w:rFonts w:eastAsia="SimSun"/>
          <w:szCs w:val="20"/>
          <w:lang w:eastAsia="ar-SA"/>
        </w:rPr>
        <w:footnoteReference w:id="68"/>
      </w:r>
      <w:r w:rsidR="00AC0B74" w:rsidRPr="00AC0B74">
        <w:rPr>
          <w:rStyle w:val="FootnoteReference"/>
          <w:rFonts w:eastAsia="SimSun"/>
          <w:lang w:eastAsia="ar-SA"/>
        </w:rPr>
        <w:t xml:space="preserve"> </w:t>
      </w:r>
    </w:p>
    <w:p w14:paraId="0DF971BB" w14:textId="3D4F7D40" w:rsidR="00D6670F" w:rsidRDefault="00CF15B1" w:rsidP="00EE15C9">
      <w:pPr>
        <w:pStyle w:val="SingleTxtG"/>
        <w:rPr>
          <w:rFonts w:eastAsia="SimSun"/>
          <w:lang w:eastAsia="ar-SA"/>
        </w:rPr>
      </w:pPr>
      <w:r>
        <w:rPr>
          <w:rFonts w:eastAsia="SimSun"/>
          <w:sz w:val="20"/>
          <w:szCs w:val="20"/>
          <w:lang w:eastAsia="ar-SA"/>
        </w:rPr>
        <w:t>944</w:t>
      </w:r>
      <w:r w:rsidR="00D6670F" w:rsidRPr="000B65FE">
        <w:rPr>
          <w:rFonts w:eastAsia="SimSun"/>
          <w:sz w:val="20"/>
          <w:szCs w:val="20"/>
          <w:lang w:eastAsia="ar-SA"/>
        </w:rPr>
        <w:t>.</w:t>
      </w:r>
      <w:r w:rsidR="00D6670F" w:rsidRPr="000B65FE">
        <w:rPr>
          <w:rFonts w:eastAsia="SimSun"/>
          <w:sz w:val="20"/>
          <w:szCs w:val="20"/>
          <w:lang w:eastAsia="ar-SA"/>
        </w:rPr>
        <w:tab/>
        <w:t xml:space="preserve">At the </w:t>
      </w:r>
      <w:r w:rsidR="00D6670F">
        <w:rPr>
          <w:rFonts w:eastAsia="SimSun"/>
          <w:sz w:val="20"/>
          <w:szCs w:val="20"/>
          <w:lang w:eastAsia="ar-SA"/>
        </w:rPr>
        <w:t xml:space="preserve">same </w:t>
      </w:r>
      <w:r w:rsidR="00D6670F" w:rsidRPr="000B65FE">
        <w:rPr>
          <w:rFonts w:eastAsia="SimSun"/>
          <w:sz w:val="20"/>
          <w:szCs w:val="20"/>
          <w:lang w:eastAsia="ar-SA"/>
        </w:rPr>
        <w:t xml:space="preserve">meeting, the representative of </w:t>
      </w:r>
      <w:r w:rsidR="00D6670F">
        <w:rPr>
          <w:rFonts w:eastAsia="SimSun"/>
          <w:sz w:val="20"/>
          <w:szCs w:val="20"/>
          <w:lang w:eastAsia="ar-SA"/>
        </w:rPr>
        <w:t>Iceland</w:t>
      </w:r>
      <w:r w:rsidR="00D6670F" w:rsidRPr="000B65FE">
        <w:rPr>
          <w:rFonts w:eastAsia="SimSun"/>
          <w:sz w:val="20"/>
          <w:szCs w:val="20"/>
          <w:lang w:eastAsia="ar-SA"/>
        </w:rPr>
        <w:t xml:space="preserve"> made a statement in explanation of vote after the vote.</w:t>
      </w:r>
      <w:r w:rsidR="00D72627">
        <w:rPr>
          <w:rFonts w:eastAsia="SimSun"/>
          <w:sz w:val="20"/>
          <w:szCs w:val="20"/>
          <w:lang w:eastAsia="ar-SA"/>
        </w:rPr>
        <w:t xml:space="preserve"> </w:t>
      </w:r>
    </w:p>
    <w:p w14:paraId="3254B9A4" w14:textId="69F09498" w:rsidR="00EE15C9" w:rsidRDefault="00EE15C9" w:rsidP="00EE15C9">
      <w:pPr>
        <w:pStyle w:val="SingleTxtG"/>
        <w:rPr>
          <w:b/>
          <w:sz w:val="20"/>
          <w:szCs w:val="20"/>
        </w:rPr>
      </w:pPr>
      <w:r w:rsidRPr="00EE15C9">
        <w:rPr>
          <w:b/>
          <w:sz w:val="20"/>
          <w:szCs w:val="20"/>
        </w:rPr>
        <w:t>Human rights situation in the Occupied Palestinian Territory, including East Jerusalem</w:t>
      </w:r>
    </w:p>
    <w:p w14:paraId="77628BA3" w14:textId="3DBE12E7" w:rsidR="00EE15C9" w:rsidRDefault="00CF15B1" w:rsidP="00EE15C9">
      <w:pPr>
        <w:pStyle w:val="SingleTxtG"/>
        <w:rPr>
          <w:sz w:val="20"/>
          <w:szCs w:val="20"/>
        </w:rPr>
      </w:pPr>
      <w:r>
        <w:rPr>
          <w:sz w:val="20"/>
          <w:szCs w:val="20"/>
        </w:rPr>
        <w:t>945</w:t>
      </w:r>
      <w:r w:rsidR="00EE15C9" w:rsidRPr="00326BEB">
        <w:rPr>
          <w:sz w:val="20"/>
          <w:szCs w:val="20"/>
        </w:rPr>
        <w:t>.</w:t>
      </w:r>
      <w:r w:rsidR="00EE15C9" w:rsidRPr="00326BEB">
        <w:rPr>
          <w:sz w:val="20"/>
          <w:szCs w:val="20"/>
        </w:rPr>
        <w:tab/>
        <w:t xml:space="preserve">At the </w:t>
      </w:r>
      <w:r w:rsidR="00EE15C9">
        <w:rPr>
          <w:sz w:val="20"/>
          <w:szCs w:val="20"/>
        </w:rPr>
        <w:t>54th</w:t>
      </w:r>
      <w:r w:rsidR="00EE15C9" w:rsidRPr="00326BEB">
        <w:rPr>
          <w:sz w:val="20"/>
          <w:szCs w:val="20"/>
        </w:rPr>
        <w:t xml:space="preserve"> meeting, on </w:t>
      </w:r>
      <w:r w:rsidR="00EE15C9">
        <w:rPr>
          <w:sz w:val="20"/>
          <w:szCs w:val="20"/>
        </w:rPr>
        <w:t>22 March 2019</w:t>
      </w:r>
      <w:r w:rsidR="00EE15C9" w:rsidRPr="00326BEB">
        <w:rPr>
          <w:sz w:val="20"/>
          <w:szCs w:val="20"/>
        </w:rPr>
        <w:t xml:space="preserve">, the representative of </w:t>
      </w:r>
      <w:r w:rsidR="00EE15C9" w:rsidRPr="00F34C99">
        <w:rPr>
          <w:sz w:val="20"/>
          <w:szCs w:val="20"/>
        </w:rPr>
        <w:t xml:space="preserve">Pakistan </w:t>
      </w:r>
      <w:r w:rsidR="00EE15C9">
        <w:rPr>
          <w:sz w:val="20"/>
          <w:szCs w:val="20"/>
        </w:rPr>
        <w:t>(</w:t>
      </w:r>
      <w:r w:rsidR="00EE15C9" w:rsidRPr="00F34C99">
        <w:rPr>
          <w:sz w:val="20"/>
          <w:szCs w:val="20"/>
        </w:rPr>
        <w:t>on behalf of the Organization of Islamic Cooperation</w:t>
      </w:r>
      <w:r w:rsidR="00EE15C9">
        <w:rPr>
          <w:sz w:val="20"/>
          <w:szCs w:val="20"/>
        </w:rPr>
        <w:t>)</w:t>
      </w:r>
      <w:r w:rsidR="00EE15C9" w:rsidRPr="00F34C99">
        <w:rPr>
          <w:sz w:val="20"/>
          <w:szCs w:val="20"/>
        </w:rPr>
        <w:t xml:space="preserve"> </w:t>
      </w:r>
      <w:r w:rsidR="00EE15C9" w:rsidRPr="00326BEB">
        <w:rPr>
          <w:sz w:val="20"/>
          <w:szCs w:val="20"/>
        </w:rPr>
        <w:t>introduced draft resolution A/HRC/</w:t>
      </w:r>
      <w:r w:rsidR="00EE15C9">
        <w:rPr>
          <w:sz w:val="20"/>
          <w:szCs w:val="20"/>
        </w:rPr>
        <w:t>40</w:t>
      </w:r>
      <w:r w:rsidR="00EE15C9" w:rsidRPr="00326BEB">
        <w:rPr>
          <w:sz w:val="20"/>
          <w:szCs w:val="20"/>
        </w:rPr>
        <w:t>/L.</w:t>
      </w:r>
      <w:r w:rsidR="00EE15C9">
        <w:rPr>
          <w:sz w:val="20"/>
          <w:szCs w:val="20"/>
        </w:rPr>
        <w:t>27</w:t>
      </w:r>
      <w:r w:rsidR="00EE15C9" w:rsidRPr="00326BEB">
        <w:rPr>
          <w:sz w:val="20"/>
          <w:szCs w:val="20"/>
        </w:rPr>
        <w:t xml:space="preserve">, sponsored by </w:t>
      </w:r>
      <w:r w:rsidR="00EE15C9" w:rsidRPr="00F34C99">
        <w:rPr>
          <w:sz w:val="20"/>
          <w:szCs w:val="20"/>
        </w:rPr>
        <w:t xml:space="preserve">Pakistan </w:t>
      </w:r>
      <w:r w:rsidR="00EE15C9">
        <w:rPr>
          <w:sz w:val="20"/>
          <w:szCs w:val="20"/>
        </w:rPr>
        <w:t>(</w:t>
      </w:r>
      <w:r w:rsidR="00EE15C9" w:rsidRPr="00F34C99">
        <w:rPr>
          <w:sz w:val="20"/>
          <w:szCs w:val="20"/>
        </w:rPr>
        <w:t>on behalf of the Organization of Islamic Cooperation</w:t>
      </w:r>
      <w:r w:rsidR="00EE15C9">
        <w:rPr>
          <w:sz w:val="20"/>
          <w:szCs w:val="20"/>
        </w:rPr>
        <w:t xml:space="preserve">) and co-sponsored by </w:t>
      </w:r>
      <w:r w:rsidR="00EE15C9" w:rsidRPr="00EE15C9">
        <w:rPr>
          <w:sz w:val="20"/>
          <w:szCs w:val="20"/>
        </w:rPr>
        <w:t>Bahrain (on behalf of the Group of Arab States), Bolivia (Plurinational State of), Cuba, Venezuela (Bolivarian Republic of)</w:t>
      </w:r>
      <w:r w:rsidR="00EE15C9">
        <w:rPr>
          <w:sz w:val="20"/>
          <w:szCs w:val="20"/>
        </w:rPr>
        <w:t xml:space="preserve"> and</w:t>
      </w:r>
      <w:r w:rsidR="00EE15C9" w:rsidRPr="00EE15C9">
        <w:rPr>
          <w:sz w:val="20"/>
          <w:szCs w:val="20"/>
        </w:rPr>
        <w:t xml:space="preserve"> Zimbabwe</w:t>
      </w:r>
      <w:r w:rsidR="00EE15C9">
        <w:rPr>
          <w:sz w:val="20"/>
          <w:szCs w:val="20"/>
        </w:rPr>
        <w:t>.</w:t>
      </w:r>
      <w:r w:rsidR="00EE15C9" w:rsidRPr="00326BEB">
        <w:rPr>
          <w:sz w:val="20"/>
          <w:szCs w:val="20"/>
        </w:rPr>
        <w:t xml:space="preserve"> Subsequently, </w:t>
      </w:r>
      <w:r w:rsidR="00EE15C9" w:rsidRPr="00EE15C9">
        <w:rPr>
          <w:sz w:val="20"/>
          <w:szCs w:val="20"/>
        </w:rPr>
        <w:t>Botswana</w:t>
      </w:r>
      <w:r w:rsidR="00EE15C9">
        <w:rPr>
          <w:sz w:val="20"/>
          <w:szCs w:val="20"/>
        </w:rPr>
        <w:t xml:space="preserve">, </w:t>
      </w:r>
      <w:r w:rsidR="00EE15C9" w:rsidRPr="00EE15C9">
        <w:rPr>
          <w:sz w:val="20"/>
          <w:szCs w:val="20"/>
        </w:rPr>
        <w:t>Chile</w:t>
      </w:r>
      <w:r w:rsidR="00EE15C9">
        <w:rPr>
          <w:sz w:val="20"/>
          <w:szCs w:val="20"/>
        </w:rPr>
        <w:t xml:space="preserve">, the </w:t>
      </w:r>
      <w:r w:rsidR="00EE15C9" w:rsidRPr="00EE15C9">
        <w:rPr>
          <w:sz w:val="20"/>
          <w:szCs w:val="20"/>
        </w:rPr>
        <w:t>Democratic People</w:t>
      </w:r>
      <w:r w:rsidR="00D72627">
        <w:rPr>
          <w:sz w:val="20"/>
          <w:szCs w:val="20"/>
        </w:rPr>
        <w:t>’</w:t>
      </w:r>
      <w:r w:rsidR="00EE15C9" w:rsidRPr="00EE15C9">
        <w:rPr>
          <w:sz w:val="20"/>
          <w:szCs w:val="20"/>
        </w:rPr>
        <w:t>s Republic of Korea</w:t>
      </w:r>
      <w:r w:rsidR="00EE15C9">
        <w:rPr>
          <w:sz w:val="20"/>
          <w:szCs w:val="20"/>
        </w:rPr>
        <w:t xml:space="preserve">, </w:t>
      </w:r>
      <w:r w:rsidR="00EE15C9" w:rsidRPr="00EE15C9">
        <w:rPr>
          <w:sz w:val="20"/>
          <w:szCs w:val="20"/>
        </w:rPr>
        <w:t>Ireland</w:t>
      </w:r>
      <w:r w:rsidR="00EE15C9">
        <w:rPr>
          <w:sz w:val="20"/>
          <w:szCs w:val="20"/>
        </w:rPr>
        <w:t xml:space="preserve">, Luxembourg, </w:t>
      </w:r>
      <w:r w:rsidR="00EE15C9" w:rsidRPr="00EE15C9">
        <w:rPr>
          <w:sz w:val="20"/>
          <w:szCs w:val="20"/>
        </w:rPr>
        <w:t>Malta</w:t>
      </w:r>
      <w:r w:rsidR="00EE15C9">
        <w:rPr>
          <w:sz w:val="20"/>
          <w:szCs w:val="20"/>
        </w:rPr>
        <w:t xml:space="preserve">, </w:t>
      </w:r>
      <w:r w:rsidR="00EE15C9" w:rsidRPr="00EE15C9">
        <w:rPr>
          <w:sz w:val="20"/>
          <w:szCs w:val="20"/>
        </w:rPr>
        <w:t>Mauritius</w:t>
      </w:r>
      <w:r w:rsidR="00EE15C9">
        <w:rPr>
          <w:sz w:val="20"/>
          <w:szCs w:val="20"/>
        </w:rPr>
        <w:t xml:space="preserve">, Namibia, </w:t>
      </w:r>
      <w:r w:rsidR="00EE15C9" w:rsidRPr="00EE15C9">
        <w:rPr>
          <w:sz w:val="20"/>
          <w:szCs w:val="20"/>
        </w:rPr>
        <w:t>Nicaragua</w:t>
      </w:r>
      <w:r w:rsidR="00EE15C9">
        <w:rPr>
          <w:sz w:val="20"/>
          <w:szCs w:val="20"/>
        </w:rPr>
        <w:t xml:space="preserve">, </w:t>
      </w:r>
      <w:r w:rsidR="00EE15C9" w:rsidRPr="00EE15C9">
        <w:rPr>
          <w:sz w:val="20"/>
          <w:szCs w:val="20"/>
        </w:rPr>
        <w:t>Portugal</w:t>
      </w:r>
      <w:r w:rsidR="00EE15C9">
        <w:rPr>
          <w:sz w:val="20"/>
          <w:szCs w:val="20"/>
        </w:rPr>
        <w:t xml:space="preserve">, </w:t>
      </w:r>
      <w:r w:rsidR="00EE15C9" w:rsidRPr="00EE15C9">
        <w:rPr>
          <w:sz w:val="20"/>
          <w:szCs w:val="20"/>
        </w:rPr>
        <w:t>Slovenia</w:t>
      </w:r>
      <w:r w:rsidR="00EE15C9">
        <w:rPr>
          <w:sz w:val="20"/>
          <w:szCs w:val="20"/>
        </w:rPr>
        <w:t xml:space="preserve">, </w:t>
      </w:r>
      <w:r w:rsidR="00EE15C9" w:rsidRPr="00EE15C9">
        <w:rPr>
          <w:sz w:val="20"/>
          <w:szCs w:val="20"/>
        </w:rPr>
        <w:t>South Africa</w:t>
      </w:r>
      <w:r w:rsidR="00EE15C9">
        <w:rPr>
          <w:sz w:val="20"/>
          <w:szCs w:val="20"/>
        </w:rPr>
        <w:t xml:space="preserve"> and </w:t>
      </w:r>
      <w:r w:rsidR="00EE15C9" w:rsidRPr="00EE15C9">
        <w:rPr>
          <w:sz w:val="20"/>
          <w:szCs w:val="20"/>
        </w:rPr>
        <w:t>Sweden</w:t>
      </w:r>
      <w:r w:rsidR="00EE15C9">
        <w:rPr>
          <w:sz w:val="20"/>
          <w:szCs w:val="20"/>
        </w:rPr>
        <w:t xml:space="preserve"> </w:t>
      </w:r>
      <w:r w:rsidR="00EE15C9" w:rsidRPr="00326BEB">
        <w:rPr>
          <w:sz w:val="20"/>
          <w:szCs w:val="20"/>
        </w:rPr>
        <w:t>joined the sponsors.</w:t>
      </w:r>
    </w:p>
    <w:p w14:paraId="319581CB" w14:textId="7BC5C8AC" w:rsidR="00EE15C9" w:rsidRPr="0023658A" w:rsidRDefault="00CF15B1" w:rsidP="00EE15C9">
      <w:pPr>
        <w:pStyle w:val="SingleTxtG"/>
        <w:rPr>
          <w:sz w:val="20"/>
          <w:szCs w:val="20"/>
        </w:rPr>
      </w:pPr>
      <w:r>
        <w:rPr>
          <w:sz w:val="20"/>
          <w:szCs w:val="20"/>
        </w:rPr>
        <w:t>946</w:t>
      </w:r>
      <w:r w:rsidR="00EE15C9" w:rsidRPr="0023658A">
        <w:rPr>
          <w:sz w:val="20"/>
          <w:szCs w:val="20"/>
        </w:rPr>
        <w:t>.</w:t>
      </w:r>
      <w:r w:rsidR="00EE15C9" w:rsidRPr="0023658A">
        <w:rPr>
          <w:sz w:val="20"/>
          <w:szCs w:val="20"/>
        </w:rPr>
        <w:tab/>
        <w:t xml:space="preserve">At the same meeting, at the request of the representative of </w:t>
      </w:r>
      <w:r w:rsidR="00EE15C9">
        <w:rPr>
          <w:sz w:val="20"/>
          <w:szCs w:val="20"/>
        </w:rPr>
        <w:t>Australia</w:t>
      </w:r>
      <w:r w:rsidR="00EE15C9" w:rsidRPr="0023658A">
        <w:rPr>
          <w:sz w:val="20"/>
          <w:szCs w:val="20"/>
        </w:rPr>
        <w:t>, a recorded vote was taken on the draft resolution. The voting was as follows:</w:t>
      </w:r>
      <w:r w:rsidR="00EE15C9" w:rsidRPr="00871B0B">
        <w:rPr>
          <w:rStyle w:val="FootnoteReference"/>
          <w:rFonts w:eastAsia="SimSun"/>
          <w:lang w:eastAsia="ar-SA"/>
        </w:rPr>
        <w:t xml:space="preserve"> </w:t>
      </w:r>
    </w:p>
    <w:p w14:paraId="04053C1C" w14:textId="77777777" w:rsidR="00EE15C9" w:rsidRPr="00EE15C9" w:rsidRDefault="00EE15C9" w:rsidP="00EE15C9">
      <w:pPr>
        <w:keepNext/>
        <w:keepLines/>
        <w:ind w:left="1701" w:right="1134"/>
        <w:jc w:val="both"/>
        <w:rPr>
          <w:rFonts w:eastAsia="SimSun"/>
          <w:i/>
          <w:sz w:val="20"/>
          <w:szCs w:val="20"/>
          <w:lang w:eastAsia="ar-SA"/>
        </w:rPr>
      </w:pPr>
      <w:r w:rsidRPr="00EE15C9">
        <w:rPr>
          <w:rFonts w:eastAsia="SimSun"/>
          <w:i/>
          <w:sz w:val="20"/>
          <w:szCs w:val="20"/>
          <w:lang w:eastAsia="ar-SA"/>
        </w:rPr>
        <w:t>In favour</w:t>
      </w:r>
      <w:r w:rsidRPr="00EE15C9">
        <w:rPr>
          <w:rFonts w:eastAsia="SimSun"/>
          <w:sz w:val="20"/>
          <w:szCs w:val="20"/>
          <w:lang w:eastAsia="ar-SA"/>
        </w:rPr>
        <w:t>:</w:t>
      </w:r>
      <w:r w:rsidRPr="00EE15C9">
        <w:rPr>
          <w:rFonts w:eastAsia="SimSun"/>
          <w:i/>
          <w:sz w:val="20"/>
          <w:szCs w:val="20"/>
          <w:lang w:eastAsia="ar-SA"/>
        </w:rPr>
        <w:t xml:space="preserve"> </w:t>
      </w:r>
    </w:p>
    <w:p w14:paraId="57DFBD09" w14:textId="77777777" w:rsidR="00EE15C9" w:rsidRPr="00EE15C9" w:rsidRDefault="00EE15C9" w:rsidP="00EE15C9">
      <w:pPr>
        <w:spacing w:after="120"/>
        <w:ind w:left="2268" w:right="1134"/>
        <w:jc w:val="both"/>
        <w:rPr>
          <w:rFonts w:eastAsia="SimSun"/>
          <w:sz w:val="20"/>
          <w:szCs w:val="20"/>
          <w:lang w:eastAsia="ar-SA"/>
        </w:rPr>
      </w:pPr>
      <w:r w:rsidRPr="00EE15C9">
        <w:rPr>
          <w:rFonts w:eastAsia="SimSun"/>
          <w:sz w:val="20"/>
          <w:szCs w:val="20"/>
          <w:lang w:eastAsia="ar-SA"/>
        </w:rPr>
        <w:t>Afghanistan, Angola, Argentina, Austria, Bahamas, Bahrain, Bangladesh, Brazil, Bulgaria, Burkina Faso, Chile, China, Croatia, Cuba, Czechia, Egypt, Eritrea, Fiji, Iceland, India, Iraq, Italy, Japan, Mexico, Nepal, Nigeria, Pakistan, Peru, Philippines, Qatar, Saudi Arabia, Senegal, Slovakia, Somalia, South Africa, Spain, Tunisia, Ukraine, Uruguay</w:t>
      </w:r>
    </w:p>
    <w:p w14:paraId="3D63EB52" w14:textId="77777777" w:rsidR="00EE15C9" w:rsidRPr="00EE15C9" w:rsidRDefault="00EE15C9" w:rsidP="00EE15C9">
      <w:pPr>
        <w:ind w:left="1701" w:right="1134"/>
        <w:jc w:val="both"/>
        <w:rPr>
          <w:rFonts w:eastAsia="SimSun"/>
          <w:i/>
          <w:sz w:val="20"/>
          <w:szCs w:val="20"/>
          <w:lang w:eastAsia="ar-SA"/>
        </w:rPr>
      </w:pPr>
      <w:r w:rsidRPr="00EE15C9">
        <w:rPr>
          <w:rFonts w:eastAsia="SimSun"/>
          <w:i/>
          <w:sz w:val="20"/>
          <w:szCs w:val="20"/>
          <w:lang w:eastAsia="ar-SA"/>
        </w:rPr>
        <w:t>Against</w:t>
      </w:r>
      <w:r w:rsidRPr="00EE15C9">
        <w:rPr>
          <w:rFonts w:eastAsia="SimSun"/>
          <w:sz w:val="20"/>
          <w:szCs w:val="20"/>
          <w:lang w:eastAsia="ar-SA"/>
        </w:rPr>
        <w:t>:</w:t>
      </w:r>
      <w:r w:rsidRPr="00EE15C9">
        <w:rPr>
          <w:rFonts w:eastAsia="SimSun"/>
          <w:i/>
          <w:sz w:val="20"/>
          <w:szCs w:val="20"/>
          <w:lang w:eastAsia="ar-SA"/>
        </w:rPr>
        <w:t xml:space="preserve"> </w:t>
      </w:r>
    </w:p>
    <w:p w14:paraId="3D477597" w14:textId="77777777" w:rsidR="00EE15C9" w:rsidRPr="00EE15C9" w:rsidRDefault="00EE15C9" w:rsidP="00EE15C9">
      <w:pPr>
        <w:spacing w:after="120"/>
        <w:ind w:left="2268" w:right="1134"/>
        <w:jc w:val="both"/>
        <w:rPr>
          <w:rFonts w:eastAsia="SimSun"/>
          <w:sz w:val="20"/>
          <w:szCs w:val="20"/>
          <w:lang w:eastAsia="ar-SA"/>
        </w:rPr>
      </w:pPr>
      <w:r w:rsidRPr="00EE15C9">
        <w:rPr>
          <w:rFonts w:eastAsia="SimSun"/>
          <w:sz w:val="20"/>
          <w:szCs w:val="20"/>
          <w:lang w:eastAsia="ar-SA"/>
        </w:rPr>
        <w:t>Australia, Denmark, United Kingdom of Great Britain and Northern Ireland</w:t>
      </w:r>
    </w:p>
    <w:p w14:paraId="797702A9" w14:textId="77777777" w:rsidR="00EE15C9" w:rsidRPr="00EE15C9" w:rsidRDefault="00EE15C9" w:rsidP="00EE15C9">
      <w:pPr>
        <w:ind w:left="1701" w:right="1134"/>
        <w:jc w:val="both"/>
        <w:rPr>
          <w:rFonts w:eastAsia="SimSun"/>
          <w:i/>
          <w:sz w:val="20"/>
          <w:szCs w:val="20"/>
          <w:lang w:eastAsia="ar-SA"/>
        </w:rPr>
      </w:pPr>
      <w:r w:rsidRPr="00EE15C9">
        <w:rPr>
          <w:rFonts w:eastAsia="SimSun"/>
          <w:i/>
          <w:sz w:val="20"/>
          <w:szCs w:val="20"/>
          <w:lang w:eastAsia="ar-SA"/>
        </w:rPr>
        <w:t>Abstaining</w:t>
      </w:r>
      <w:r w:rsidRPr="00EE15C9">
        <w:rPr>
          <w:rFonts w:eastAsia="SimSun"/>
          <w:sz w:val="20"/>
          <w:szCs w:val="20"/>
          <w:lang w:eastAsia="ar-SA"/>
        </w:rPr>
        <w:t>:</w:t>
      </w:r>
      <w:r w:rsidRPr="00EE15C9">
        <w:rPr>
          <w:rFonts w:eastAsia="SimSun"/>
          <w:i/>
          <w:sz w:val="20"/>
          <w:szCs w:val="20"/>
          <w:lang w:eastAsia="ar-SA"/>
        </w:rPr>
        <w:t xml:space="preserve"> </w:t>
      </w:r>
    </w:p>
    <w:p w14:paraId="65AE014E" w14:textId="281C3465" w:rsidR="00EE15C9" w:rsidRPr="00EE15C9" w:rsidRDefault="00EE15C9" w:rsidP="00EE15C9">
      <w:pPr>
        <w:pStyle w:val="SingleTxtG"/>
        <w:ind w:left="2268"/>
        <w:rPr>
          <w:sz w:val="20"/>
          <w:szCs w:val="20"/>
        </w:rPr>
      </w:pPr>
      <w:r w:rsidRPr="00EE15C9">
        <w:rPr>
          <w:rFonts w:eastAsia="SimSun"/>
          <w:sz w:val="20"/>
          <w:szCs w:val="20"/>
          <w:lang w:eastAsia="ar-SA"/>
        </w:rPr>
        <w:t>Cameroon, Democratic Republic of the Congo, Hungary, Rwanda, Togo</w:t>
      </w:r>
    </w:p>
    <w:p w14:paraId="0B4A5BF5" w14:textId="0979AAE4" w:rsidR="00EE15C9" w:rsidRDefault="00CF15B1" w:rsidP="00EE15C9">
      <w:pPr>
        <w:pStyle w:val="SingleTxtG"/>
        <w:rPr>
          <w:rFonts w:eastAsia="SimSun"/>
          <w:sz w:val="20"/>
          <w:szCs w:val="20"/>
          <w:lang w:eastAsia="ar-SA"/>
        </w:rPr>
      </w:pPr>
      <w:r>
        <w:rPr>
          <w:rFonts w:eastAsia="SimSun"/>
          <w:sz w:val="20"/>
          <w:szCs w:val="20"/>
          <w:lang w:eastAsia="ar-SA"/>
        </w:rPr>
        <w:t>947</w:t>
      </w:r>
      <w:r w:rsidR="00EE15C9" w:rsidRPr="0023658A">
        <w:rPr>
          <w:rFonts w:eastAsia="SimSun"/>
          <w:sz w:val="20"/>
          <w:szCs w:val="20"/>
          <w:lang w:eastAsia="ar-SA"/>
        </w:rPr>
        <w:t>.</w:t>
      </w:r>
      <w:r w:rsidR="00EE15C9" w:rsidRPr="0023658A">
        <w:rPr>
          <w:rFonts w:eastAsia="SimSun"/>
          <w:sz w:val="20"/>
          <w:szCs w:val="20"/>
          <w:lang w:eastAsia="ar-SA"/>
        </w:rPr>
        <w:tab/>
        <w:t xml:space="preserve">The draft resolution was adopted by </w:t>
      </w:r>
      <w:r w:rsidR="00EE15C9">
        <w:rPr>
          <w:rFonts w:eastAsia="SimSun"/>
          <w:sz w:val="20"/>
          <w:szCs w:val="20"/>
          <w:lang w:eastAsia="ar-SA"/>
        </w:rPr>
        <w:t>39</w:t>
      </w:r>
      <w:r w:rsidR="00EE15C9" w:rsidRPr="0023658A">
        <w:rPr>
          <w:sz w:val="20"/>
          <w:szCs w:val="20"/>
          <w:lang w:eastAsia="ar-SA"/>
        </w:rPr>
        <w:t xml:space="preserve"> votes to </w:t>
      </w:r>
      <w:r w:rsidR="00EE15C9">
        <w:rPr>
          <w:sz w:val="20"/>
          <w:szCs w:val="20"/>
          <w:lang w:eastAsia="ar-SA"/>
        </w:rPr>
        <w:t>3</w:t>
      </w:r>
      <w:r w:rsidR="00EE15C9" w:rsidRPr="0023658A">
        <w:rPr>
          <w:sz w:val="20"/>
          <w:szCs w:val="20"/>
          <w:lang w:eastAsia="ar-SA"/>
        </w:rPr>
        <w:t xml:space="preserve">, with </w:t>
      </w:r>
      <w:r w:rsidR="00EE15C9">
        <w:rPr>
          <w:sz w:val="20"/>
          <w:szCs w:val="20"/>
          <w:lang w:eastAsia="ar-SA"/>
        </w:rPr>
        <w:t>5</w:t>
      </w:r>
      <w:r w:rsidR="00EE15C9" w:rsidRPr="0023658A">
        <w:rPr>
          <w:sz w:val="20"/>
          <w:szCs w:val="20"/>
          <w:lang w:eastAsia="ar-SA"/>
        </w:rPr>
        <w:t xml:space="preserve"> abstentions</w:t>
      </w:r>
      <w:r w:rsidR="00EE15C9" w:rsidRPr="0023658A">
        <w:rPr>
          <w:rFonts w:eastAsia="SimSun"/>
          <w:sz w:val="20"/>
          <w:szCs w:val="20"/>
          <w:lang w:eastAsia="ar-SA"/>
        </w:rPr>
        <w:t xml:space="preserve"> (resolution </w:t>
      </w:r>
      <w:r w:rsidR="00EE15C9">
        <w:rPr>
          <w:rFonts w:eastAsia="SimSun"/>
          <w:sz w:val="20"/>
          <w:szCs w:val="20"/>
          <w:lang w:eastAsia="ar-SA"/>
        </w:rPr>
        <w:t>40/23</w:t>
      </w:r>
      <w:r w:rsidR="00EE15C9" w:rsidRPr="0023658A">
        <w:rPr>
          <w:rFonts w:eastAsia="SimSun"/>
          <w:sz w:val="20"/>
          <w:szCs w:val="20"/>
          <w:lang w:eastAsia="ar-SA"/>
        </w:rPr>
        <w:t>).</w:t>
      </w:r>
    </w:p>
    <w:p w14:paraId="3B0A2520" w14:textId="032B548B" w:rsidR="00D6670F" w:rsidRDefault="00CF15B1" w:rsidP="00EE15C9">
      <w:pPr>
        <w:pStyle w:val="SingleTxtG"/>
        <w:rPr>
          <w:rFonts w:eastAsia="SimSun"/>
          <w:sz w:val="20"/>
          <w:szCs w:val="20"/>
          <w:lang w:eastAsia="ar-SA"/>
        </w:rPr>
      </w:pPr>
      <w:r>
        <w:rPr>
          <w:rFonts w:eastAsia="SimSun"/>
          <w:sz w:val="20"/>
          <w:szCs w:val="20"/>
          <w:lang w:eastAsia="ar-SA"/>
        </w:rPr>
        <w:t>948</w:t>
      </w:r>
      <w:r w:rsidR="00D6670F" w:rsidRPr="000B65FE">
        <w:rPr>
          <w:rFonts w:eastAsia="SimSun"/>
          <w:sz w:val="20"/>
          <w:szCs w:val="20"/>
          <w:lang w:eastAsia="ar-SA"/>
        </w:rPr>
        <w:t>.</w:t>
      </w:r>
      <w:r w:rsidR="00D6670F" w:rsidRPr="000B65FE">
        <w:rPr>
          <w:rFonts w:eastAsia="SimSun"/>
          <w:sz w:val="20"/>
          <w:szCs w:val="20"/>
          <w:lang w:eastAsia="ar-SA"/>
        </w:rPr>
        <w:tab/>
        <w:t xml:space="preserve">At the </w:t>
      </w:r>
      <w:r w:rsidR="00D6670F">
        <w:rPr>
          <w:rFonts w:eastAsia="SimSun"/>
          <w:sz w:val="20"/>
          <w:szCs w:val="20"/>
          <w:lang w:eastAsia="ar-SA"/>
        </w:rPr>
        <w:t xml:space="preserve">same </w:t>
      </w:r>
      <w:r w:rsidR="00D6670F" w:rsidRPr="000B65FE">
        <w:rPr>
          <w:rFonts w:eastAsia="SimSun"/>
          <w:sz w:val="20"/>
          <w:szCs w:val="20"/>
          <w:lang w:eastAsia="ar-SA"/>
        </w:rPr>
        <w:t xml:space="preserve">meeting, the representative of </w:t>
      </w:r>
      <w:r w:rsidR="00D6670F">
        <w:rPr>
          <w:rFonts w:eastAsia="SimSun"/>
          <w:sz w:val="20"/>
          <w:szCs w:val="20"/>
          <w:lang w:eastAsia="ar-SA"/>
        </w:rPr>
        <w:t>Iceland</w:t>
      </w:r>
      <w:r w:rsidR="00D6670F" w:rsidRPr="000B65FE">
        <w:rPr>
          <w:rFonts w:eastAsia="SimSun"/>
          <w:sz w:val="20"/>
          <w:szCs w:val="20"/>
          <w:lang w:eastAsia="ar-SA"/>
        </w:rPr>
        <w:t xml:space="preserve"> made a statement in explanation of vote after the vote.</w:t>
      </w:r>
      <w:r w:rsidR="00D72627">
        <w:rPr>
          <w:rFonts w:eastAsia="SimSun"/>
          <w:sz w:val="20"/>
          <w:szCs w:val="20"/>
          <w:lang w:eastAsia="ar-SA"/>
        </w:rPr>
        <w:t xml:space="preserve"> </w:t>
      </w:r>
    </w:p>
    <w:p w14:paraId="46E39B69" w14:textId="1101E4A8" w:rsidR="00EE15C9" w:rsidRDefault="00EE15C9" w:rsidP="00EE15C9">
      <w:pPr>
        <w:pStyle w:val="SingleTxtG"/>
        <w:rPr>
          <w:b/>
          <w:sz w:val="20"/>
          <w:szCs w:val="20"/>
        </w:rPr>
      </w:pPr>
      <w:r w:rsidRPr="00EE15C9">
        <w:rPr>
          <w:b/>
          <w:sz w:val="20"/>
          <w:szCs w:val="20"/>
        </w:rPr>
        <w:t>Israeli settlements in the Occupied Palestinian Territory, including East Jerusalem, and in the occupied Syrian Golan</w:t>
      </w:r>
    </w:p>
    <w:p w14:paraId="24CDEC41" w14:textId="2527D53F" w:rsidR="00EE15C9" w:rsidRDefault="00CF15B1" w:rsidP="00EE15C9">
      <w:pPr>
        <w:pStyle w:val="SingleTxtG"/>
        <w:rPr>
          <w:sz w:val="20"/>
          <w:szCs w:val="20"/>
        </w:rPr>
      </w:pPr>
      <w:r>
        <w:rPr>
          <w:sz w:val="20"/>
          <w:szCs w:val="20"/>
        </w:rPr>
        <w:t>949</w:t>
      </w:r>
      <w:r w:rsidR="00EE15C9" w:rsidRPr="00326BEB">
        <w:rPr>
          <w:sz w:val="20"/>
          <w:szCs w:val="20"/>
        </w:rPr>
        <w:t>.</w:t>
      </w:r>
      <w:r w:rsidR="00EE15C9" w:rsidRPr="00326BEB">
        <w:rPr>
          <w:sz w:val="20"/>
          <w:szCs w:val="20"/>
        </w:rPr>
        <w:tab/>
        <w:t xml:space="preserve">At the </w:t>
      </w:r>
      <w:r w:rsidR="00EE15C9">
        <w:rPr>
          <w:sz w:val="20"/>
          <w:szCs w:val="20"/>
        </w:rPr>
        <w:t>54th</w:t>
      </w:r>
      <w:r w:rsidR="00EE15C9" w:rsidRPr="00326BEB">
        <w:rPr>
          <w:sz w:val="20"/>
          <w:szCs w:val="20"/>
        </w:rPr>
        <w:t xml:space="preserve"> meeting, on </w:t>
      </w:r>
      <w:r w:rsidR="00EE15C9">
        <w:rPr>
          <w:sz w:val="20"/>
          <w:szCs w:val="20"/>
        </w:rPr>
        <w:t>22 March 2019</w:t>
      </w:r>
      <w:r w:rsidR="00EE15C9" w:rsidRPr="00326BEB">
        <w:rPr>
          <w:sz w:val="20"/>
          <w:szCs w:val="20"/>
        </w:rPr>
        <w:t xml:space="preserve">, the representative of </w:t>
      </w:r>
      <w:r w:rsidR="00EE15C9" w:rsidRPr="00F34C99">
        <w:rPr>
          <w:sz w:val="20"/>
          <w:szCs w:val="20"/>
        </w:rPr>
        <w:t xml:space="preserve">Pakistan </w:t>
      </w:r>
      <w:r w:rsidR="00EE15C9">
        <w:rPr>
          <w:sz w:val="20"/>
          <w:szCs w:val="20"/>
        </w:rPr>
        <w:t>(</w:t>
      </w:r>
      <w:r w:rsidR="00EE15C9" w:rsidRPr="00F34C99">
        <w:rPr>
          <w:sz w:val="20"/>
          <w:szCs w:val="20"/>
        </w:rPr>
        <w:t>on behalf of the Organization of Islamic Cooperation</w:t>
      </w:r>
      <w:r w:rsidR="00EE15C9">
        <w:rPr>
          <w:sz w:val="20"/>
          <w:szCs w:val="20"/>
        </w:rPr>
        <w:t>)</w:t>
      </w:r>
      <w:r w:rsidR="00EE15C9" w:rsidRPr="00F34C99">
        <w:rPr>
          <w:sz w:val="20"/>
          <w:szCs w:val="20"/>
        </w:rPr>
        <w:t xml:space="preserve"> </w:t>
      </w:r>
      <w:r w:rsidR="00EE15C9" w:rsidRPr="00326BEB">
        <w:rPr>
          <w:sz w:val="20"/>
          <w:szCs w:val="20"/>
        </w:rPr>
        <w:t>introduced draft resolution A/HRC/</w:t>
      </w:r>
      <w:r w:rsidR="00EE15C9">
        <w:rPr>
          <w:sz w:val="20"/>
          <w:szCs w:val="20"/>
        </w:rPr>
        <w:t>40</w:t>
      </w:r>
      <w:r w:rsidR="00EE15C9" w:rsidRPr="00326BEB">
        <w:rPr>
          <w:sz w:val="20"/>
          <w:szCs w:val="20"/>
        </w:rPr>
        <w:t>/L.</w:t>
      </w:r>
      <w:r w:rsidR="00EE15C9">
        <w:rPr>
          <w:sz w:val="20"/>
          <w:szCs w:val="20"/>
        </w:rPr>
        <w:t>28</w:t>
      </w:r>
      <w:r w:rsidR="00EE15C9" w:rsidRPr="00326BEB">
        <w:rPr>
          <w:sz w:val="20"/>
          <w:szCs w:val="20"/>
        </w:rPr>
        <w:t xml:space="preserve">, sponsored by </w:t>
      </w:r>
      <w:r w:rsidR="00EE15C9" w:rsidRPr="00F34C99">
        <w:rPr>
          <w:sz w:val="20"/>
          <w:szCs w:val="20"/>
        </w:rPr>
        <w:t xml:space="preserve">Pakistan </w:t>
      </w:r>
      <w:r w:rsidR="00EE15C9">
        <w:rPr>
          <w:sz w:val="20"/>
          <w:szCs w:val="20"/>
        </w:rPr>
        <w:t>(</w:t>
      </w:r>
      <w:r w:rsidR="00EE15C9" w:rsidRPr="00F34C99">
        <w:rPr>
          <w:sz w:val="20"/>
          <w:szCs w:val="20"/>
        </w:rPr>
        <w:t>on behalf of the Organization of Islamic Cooperation</w:t>
      </w:r>
      <w:r w:rsidR="00EE15C9">
        <w:rPr>
          <w:sz w:val="20"/>
          <w:szCs w:val="20"/>
        </w:rPr>
        <w:t xml:space="preserve">) and co-sponsored by </w:t>
      </w:r>
      <w:r w:rsidR="00EE15C9" w:rsidRPr="00EE15C9">
        <w:rPr>
          <w:sz w:val="20"/>
          <w:szCs w:val="20"/>
        </w:rPr>
        <w:t>Bahrain (on behalf of the Group of Arab States), Bolivia (Plurinational State of), Cuba, Venezuela (Bolivarian Republic of)</w:t>
      </w:r>
      <w:r w:rsidR="00EE15C9">
        <w:rPr>
          <w:sz w:val="20"/>
          <w:szCs w:val="20"/>
        </w:rPr>
        <w:t xml:space="preserve"> and</w:t>
      </w:r>
      <w:r w:rsidR="00EE15C9" w:rsidRPr="00EE15C9">
        <w:rPr>
          <w:sz w:val="20"/>
          <w:szCs w:val="20"/>
        </w:rPr>
        <w:t xml:space="preserve"> Zimbabwe</w:t>
      </w:r>
      <w:r w:rsidR="00EE15C9">
        <w:rPr>
          <w:sz w:val="20"/>
          <w:szCs w:val="20"/>
        </w:rPr>
        <w:t>.</w:t>
      </w:r>
      <w:r w:rsidR="00EE15C9" w:rsidRPr="00326BEB">
        <w:rPr>
          <w:sz w:val="20"/>
          <w:szCs w:val="20"/>
        </w:rPr>
        <w:t xml:space="preserve"> Subsequently, </w:t>
      </w:r>
      <w:r w:rsidR="00EE15C9" w:rsidRPr="00EE15C9">
        <w:rPr>
          <w:sz w:val="20"/>
          <w:szCs w:val="20"/>
        </w:rPr>
        <w:t>Botswana</w:t>
      </w:r>
      <w:r w:rsidR="00EE15C9">
        <w:rPr>
          <w:sz w:val="20"/>
          <w:szCs w:val="20"/>
        </w:rPr>
        <w:t xml:space="preserve">, </w:t>
      </w:r>
      <w:r w:rsidR="00EE15C9" w:rsidRPr="00EE15C9">
        <w:rPr>
          <w:sz w:val="20"/>
          <w:szCs w:val="20"/>
        </w:rPr>
        <w:t>Chile</w:t>
      </w:r>
      <w:r w:rsidR="00EE15C9">
        <w:rPr>
          <w:sz w:val="20"/>
          <w:szCs w:val="20"/>
        </w:rPr>
        <w:t xml:space="preserve">, the </w:t>
      </w:r>
      <w:r w:rsidR="00EE15C9" w:rsidRPr="00EE15C9">
        <w:rPr>
          <w:sz w:val="20"/>
          <w:szCs w:val="20"/>
        </w:rPr>
        <w:t>Democr</w:t>
      </w:r>
      <w:r w:rsidR="00EE15C9">
        <w:rPr>
          <w:sz w:val="20"/>
          <w:szCs w:val="20"/>
        </w:rPr>
        <w:t>atic People</w:t>
      </w:r>
      <w:r w:rsidR="00D72627">
        <w:rPr>
          <w:sz w:val="20"/>
          <w:szCs w:val="20"/>
        </w:rPr>
        <w:t>’</w:t>
      </w:r>
      <w:r w:rsidR="00EE15C9">
        <w:rPr>
          <w:sz w:val="20"/>
          <w:szCs w:val="20"/>
        </w:rPr>
        <w:t xml:space="preserve">s Republic of Korea, </w:t>
      </w:r>
      <w:r w:rsidR="00EE15C9" w:rsidRPr="00EE15C9">
        <w:rPr>
          <w:sz w:val="20"/>
          <w:szCs w:val="20"/>
        </w:rPr>
        <w:t>Ireland</w:t>
      </w:r>
      <w:r w:rsidR="00EE15C9">
        <w:rPr>
          <w:sz w:val="20"/>
          <w:szCs w:val="20"/>
        </w:rPr>
        <w:t xml:space="preserve">, </w:t>
      </w:r>
      <w:r w:rsidR="00EE15C9" w:rsidRPr="00EE15C9">
        <w:rPr>
          <w:sz w:val="20"/>
          <w:szCs w:val="20"/>
        </w:rPr>
        <w:t>Luxembourg</w:t>
      </w:r>
      <w:r w:rsidR="00EE15C9">
        <w:rPr>
          <w:sz w:val="20"/>
          <w:szCs w:val="20"/>
        </w:rPr>
        <w:t xml:space="preserve">, </w:t>
      </w:r>
      <w:r w:rsidR="00EE15C9" w:rsidRPr="00EE15C9">
        <w:rPr>
          <w:sz w:val="20"/>
          <w:szCs w:val="20"/>
        </w:rPr>
        <w:t>Malta</w:t>
      </w:r>
      <w:r w:rsidR="00EE15C9">
        <w:rPr>
          <w:sz w:val="20"/>
          <w:szCs w:val="20"/>
        </w:rPr>
        <w:t xml:space="preserve">, </w:t>
      </w:r>
      <w:r w:rsidR="00EE15C9" w:rsidRPr="00EE15C9">
        <w:rPr>
          <w:sz w:val="20"/>
          <w:szCs w:val="20"/>
        </w:rPr>
        <w:t>Mauritius</w:t>
      </w:r>
      <w:r w:rsidR="00EE15C9">
        <w:rPr>
          <w:sz w:val="20"/>
          <w:szCs w:val="20"/>
        </w:rPr>
        <w:t xml:space="preserve">, Namibia, Nicaragua, </w:t>
      </w:r>
      <w:r w:rsidR="00EE15C9" w:rsidRPr="00EE15C9">
        <w:rPr>
          <w:sz w:val="20"/>
          <w:szCs w:val="20"/>
        </w:rPr>
        <w:t>Portugal</w:t>
      </w:r>
      <w:r w:rsidR="00EE15C9">
        <w:rPr>
          <w:sz w:val="20"/>
          <w:szCs w:val="20"/>
        </w:rPr>
        <w:t xml:space="preserve">, </w:t>
      </w:r>
      <w:r w:rsidR="00EE15C9" w:rsidRPr="00EE15C9">
        <w:rPr>
          <w:sz w:val="20"/>
          <w:szCs w:val="20"/>
        </w:rPr>
        <w:t>Slovenia</w:t>
      </w:r>
      <w:r w:rsidR="00EE15C9">
        <w:rPr>
          <w:sz w:val="20"/>
          <w:szCs w:val="20"/>
        </w:rPr>
        <w:t xml:space="preserve">, </w:t>
      </w:r>
      <w:r w:rsidR="00EE15C9" w:rsidRPr="00EE15C9">
        <w:rPr>
          <w:sz w:val="20"/>
          <w:szCs w:val="20"/>
        </w:rPr>
        <w:t>South Africa</w:t>
      </w:r>
      <w:r w:rsidR="00EE15C9">
        <w:rPr>
          <w:sz w:val="20"/>
          <w:szCs w:val="20"/>
        </w:rPr>
        <w:t xml:space="preserve">, </w:t>
      </w:r>
      <w:r w:rsidR="00EE15C9" w:rsidRPr="00EE15C9">
        <w:rPr>
          <w:sz w:val="20"/>
          <w:szCs w:val="20"/>
        </w:rPr>
        <w:t>Sweden</w:t>
      </w:r>
      <w:r w:rsidR="00EE15C9">
        <w:rPr>
          <w:sz w:val="20"/>
          <w:szCs w:val="20"/>
        </w:rPr>
        <w:t xml:space="preserve"> and Switzerland </w:t>
      </w:r>
      <w:r w:rsidR="00EE15C9" w:rsidRPr="00326BEB">
        <w:rPr>
          <w:sz w:val="20"/>
          <w:szCs w:val="20"/>
        </w:rPr>
        <w:t>joined the sponsors.</w:t>
      </w:r>
    </w:p>
    <w:p w14:paraId="586B71F1" w14:textId="066D3C74" w:rsidR="00EE15C9" w:rsidRPr="0023658A" w:rsidRDefault="00CF15B1" w:rsidP="00EE15C9">
      <w:pPr>
        <w:spacing w:after="120"/>
        <w:ind w:left="1134" w:right="1134"/>
        <w:jc w:val="both"/>
        <w:rPr>
          <w:sz w:val="20"/>
          <w:szCs w:val="20"/>
        </w:rPr>
      </w:pPr>
      <w:r>
        <w:rPr>
          <w:sz w:val="20"/>
          <w:szCs w:val="20"/>
        </w:rPr>
        <w:lastRenderedPageBreak/>
        <w:t>950</w:t>
      </w:r>
      <w:r w:rsidR="00EE15C9" w:rsidRPr="0023658A">
        <w:rPr>
          <w:sz w:val="20"/>
          <w:szCs w:val="20"/>
        </w:rPr>
        <w:t>.</w:t>
      </w:r>
      <w:r w:rsidR="00EE15C9" w:rsidRPr="0023658A">
        <w:rPr>
          <w:sz w:val="20"/>
          <w:szCs w:val="20"/>
        </w:rPr>
        <w:tab/>
      </w:r>
      <w:r w:rsidR="00EE15C9" w:rsidRPr="0023658A">
        <w:rPr>
          <w:rFonts w:eastAsia="SimSun"/>
          <w:sz w:val="20"/>
          <w:szCs w:val="20"/>
          <w:lang w:eastAsia="ar-SA"/>
        </w:rPr>
        <w:t>A</w:t>
      </w:r>
      <w:r w:rsidR="00EE15C9">
        <w:rPr>
          <w:rFonts w:eastAsia="SimSun"/>
          <w:sz w:val="20"/>
          <w:szCs w:val="20"/>
          <w:lang w:eastAsia="ar-SA"/>
        </w:rPr>
        <w:t>lso a</w:t>
      </w:r>
      <w:r w:rsidR="00EE15C9" w:rsidRPr="0023658A">
        <w:rPr>
          <w:rFonts w:eastAsia="SimSun"/>
          <w:sz w:val="20"/>
          <w:szCs w:val="20"/>
          <w:lang w:eastAsia="ar-SA"/>
        </w:rPr>
        <w:t>t the same meeting</w:t>
      </w:r>
      <w:r w:rsidR="00EE15C9" w:rsidRPr="0023658A">
        <w:rPr>
          <w:sz w:val="20"/>
          <w:szCs w:val="20"/>
        </w:rPr>
        <w:t>, the representative</w:t>
      </w:r>
      <w:r w:rsidR="00EE15C9">
        <w:rPr>
          <w:sz w:val="20"/>
          <w:szCs w:val="20"/>
        </w:rPr>
        <w:t xml:space="preserve"> of </w:t>
      </w:r>
      <w:r w:rsidR="00EE15C9" w:rsidRPr="00917959">
        <w:rPr>
          <w:sz w:val="20"/>
          <w:szCs w:val="20"/>
        </w:rPr>
        <w:t>Brazil</w:t>
      </w:r>
      <w:r w:rsidR="00EE15C9">
        <w:rPr>
          <w:sz w:val="20"/>
          <w:szCs w:val="20"/>
        </w:rPr>
        <w:t xml:space="preserve"> </w:t>
      </w:r>
      <w:r w:rsidR="00EE15C9" w:rsidRPr="0023658A">
        <w:rPr>
          <w:sz w:val="20"/>
          <w:szCs w:val="20"/>
        </w:rPr>
        <w:t xml:space="preserve">made </w:t>
      </w:r>
      <w:r w:rsidR="00EE15C9">
        <w:rPr>
          <w:sz w:val="20"/>
          <w:szCs w:val="20"/>
        </w:rPr>
        <w:t xml:space="preserve">a </w:t>
      </w:r>
      <w:r w:rsidR="00EE15C9" w:rsidRPr="0023658A">
        <w:rPr>
          <w:sz w:val="20"/>
          <w:szCs w:val="20"/>
        </w:rPr>
        <w:t>statement in explanation of vote before the vote.</w:t>
      </w:r>
    </w:p>
    <w:p w14:paraId="0AED3CAD" w14:textId="14A55227" w:rsidR="00EE15C9" w:rsidRPr="0023658A" w:rsidRDefault="00CF15B1" w:rsidP="00EE15C9">
      <w:pPr>
        <w:pStyle w:val="SingleTxtG"/>
        <w:rPr>
          <w:sz w:val="20"/>
          <w:szCs w:val="20"/>
        </w:rPr>
      </w:pPr>
      <w:r>
        <w:rPr>
          <w:sz w:val="20"/>
          <w:szCs w:val="20"/>
        </w:rPr>
        <w:t>951</w:t>
      </w:r>
      <w:r w:rsidR="00EE15C9" w:rsidRPr="0023658A">
        <w:rPr>
          <w:sz w:val="20"/>
          <w:szCs w:val="20"/>
        </w:rPr>
        <w:t>.</w:t>
      </w:r>
      <w:r w:rsidR="00EE15C9" w:rsidRPr="0023658A">
        <w:rPr>
          <w:sz w:val="20"/>
          <w:szCs w:val="20"/>
        </w:rPr>
        <w:tab/>
        <w:t xml:space="preserve">At the same meeting, at the request of the representative of </w:t>
      </w:r>
      <w:r w:rsidR="00EE15C9" w:rsidRPr="00EE15C9">
        <w:rPr>
          <w:rFonts w:eastAsia="SimSun"/>
          <w:sz w:val="20"/>
          <w:szCs w:val="20"/>
          <w:lang w:eastAsia="ar-SA"/>
        </w:rPr>
        <w:t>United Kingdom of Great Britain and Northern Ireland</w:t>
      </w:r>
      <w:r w:rsidR="00EE15C9" w:rsidRPr="0023658A">
        <w:rPr>
          <w:sz w:val="20"/>
          <w:szCs w:val="20"/>
        </w:rPr>
        <w:t>, a recorded vote was taken on the draft resolution. The voting was as follows:</w:t>
      </w:r>
      <w:r w:rsidR="00EE15C9" w:rsidRPr="00871B0B">
        <w:rPr>
          <w:rStyle w:val="FootnoteReference"/>
          <w:rFonts w:eastAsia="SimSun"/>
          <w:lang w:eastAsia="ar-SA"/>
        </w:rPr>
        <w:t xml:space="preserve"> </w:t>
      </w:r>
    </w:p>
    <w:p w14:paraId="38E52241" w14:textId="77777777" w:rsidR="00EE15C9" w:rsidRPr="00EE15C9" w:rsidRDefault="00EE15C9" w:rsidP="00EE15C9">
      <w:pPr>
        <w:keepNext/>
        <w:keepLines/>
        <w:ind w:left="1701" w:right="1134"/>
        <w:jc w:val="both"/>
        <w:rPr>
          <w:rFonts w:eastAsia="SimSun"/>
          <w:i/>
          <w:sz w:val="20"/>
          <w:szCs w:val="20"/>
          <w:lang w:eastAsia="ar-SA"/>
        </w:rPr>
      </w:pPr>
      <w:r w:rsidRPr="00EE15C9">
        <w:rPr>
          <w:rFonts w:eastAsia="SimSun"/>
          <w:i/>
          <w:sz w:val="20"/>
          <w:szCs w:val="20"/>
          <w:lang w:eastAsia="ar-SA"/>
        </w:rPr>
        <w:t>In favour</w:t>
      </w:r>
      <w:r w:rsidRPr="00EE15C9">
        <w:rPr>
          <w:rFonts w:eastAsia="SimSun"/>
          <w:sz w:val="20"/>
          <w:szCs w:val="20"/>
          <w:lang w:eastAsia="ar-SA"/>
        </w:rPr>
        <w:t>:</w:t>
      </w:r>
      <w:r w:rsidRPr="00EE15C9">
        <w:rPr>
          <w:rFonts w:eastAsia="SimSun"/>
          <w:i/>
          <w:sz w:val="20"/>
          <w:szCs w:val="20"/>
          <w:lang w:eastAsia="ar-SA"/>
        </w:rPr>
        <w:t xml:space="preserve"> </w:t>
      </w:r>
    </w:p>
    <w:p w14:paraId="495FF6B2" w14:textId="77777777" w:rsidR="00EE15C9" w:rsidRPr="00EE15C9" w:rsidRDefault="00EE15C9" w:rsidP="00EE15C9">
      <w:pPr>
        <w:spacing w:after="120"/>
        <w:ind w:left="2268" w:right="1134"/>
        <w:jc w:val="both"/>
        <w:rPr>
          <w:rFonts w:eastAsia="SimSun"/>
          <w:sz w:val="20"/>
          <w:szCs w:val="20"/>
          <w:lang w:eastAsia="ar-SA"/>
        </w:rPr>
      </w:pPr>
      <w:r w:rsidRPr="00EE15C9">
        <w:rPr>
          <w:rFonts w:eastAsia="SimSun"/>
          <w:sz w:val="20"/>
          <w:szCs w:val="20"/>
          <w:lang w:eastAsia="ar-SA"/>
        </w:rPr>
        <w:t>Afghanistan, Angola, Argentina, Bahamas, Bahrain, Bangladesh, Burkina Faso, Chile, China, Cuba, Egypt, Eritrea, Fiji, Iceland, India, Iraq, Italy, Japan, Mexico, Nepal, Nigeria, Pakistan, Peru, Philippines, Qatar, Saudi Arabia, Senegal, Somalia, South Africa, Spain, Tunisia, Uruguay</w:t>
      </w:r>
    </w:p>
    <w:p w14:paraId="0187F7C4" w14:textId="77777777" w:rsidR="00EE15C9" w:rsidRPr="00EE15C9" w:rsidRDefault="00EE15C9" w:rsidP="00EE15C9">
      <w:pPr>
        <w:ind w:left="1701" w:right="1134"/>
        <w:jc w:val="both"/>
        <w:rPr>
          <w:rFonts w:eastAsia="SimSun"/>
          <w:i/>
          <w:sz w:val="20"/>
          <w:szCs w:val="20"/>
          <w:lang w:eastAsia="ar-SA"/>
        </w:rPr>
      </w:pPr>
      <w:r w:rsidRPr="00EE15C9">
        <w:rPr>
          <w:rFonts w:eastAsia="SimSun"/>
          <w:i/>
          <w:sz w:val="20"/>
          <w:szCs w:val="20"/>
          <w:lang w:eastAsia="ar-SA"/>
        </w:rPr>
        <w:t>Against</w:t>
      </w:r>
      <w:r w:rsidRPr="00EE15C9">
        <w:rPr>
          <w:rFonts w:eastAsia="SimSun"/>
          <w:sz w:val="20"/>
          <w:szCs w:val="20"/>
          <w:lang w:eastAsia="ar-SA"/>
        </w:rPr>
        <w:t>:</w:t>
      </w:r>
      <w:r w:rsidRPr="00EE15C9">
        <w:rPr>
          <w:rFonts w:eastAsia="SimSun"/>
          <w:i/>
          <w:sz w:val="20"/>
          <w:szCs w:val="20"/>
          <w:lang w:eastAsia="ar-SA"/>
        </w:rPr>
        <w:t xml:space="preserve"> </w:t>
      </w:r>
    </w:p>
    <w:p w14:paraId="5838B94C" w14:textId="77777777" w:rsidR="00EE15C9" w:rsidRPr="00EE15C9" w:rsidRDefault="00EE15C9" w:rsidP="00EE15C9">
      <w:pPr>
        <w:spacing w:after="120"/>
        <w:ind w:left="2268" w:right="1134"/>
        <w:jc w:val="both"/>
        <w:rPr>
          <w:rFonts w:eastAsia="SimSun"/>
          <w:sz w:val="20"/>
          <w:szCs w:val="20"/>
          <w:lang w:eastAsia="ar-SA"/>
        </w:rPr>
      </w:pPr>
      <w:r w:rsidRPr="00EE15C9">
        <w:rPr>
          <w:rFonts w:eastAsia="SimSun"/>
          <w:sz w:val="20"/>
          <w:szCs w:val="20"/>
          <w:lang w:eastAsia="ar-SA"/>
        </w:rPr>
        <w:t>Australia, Denmark, Hungary, Togo, United Kingdom of Great Britain and Northern Ireland</w:t>
      </w:r>
    </w:p>
    <w:p w14:paraId="13298110" w14:textId="77777777" w:rsidR="00EE15C9" w:rsidRPr="00EE15C9" w:rsidRDefault="00EE15C9" w:rsidP="00EE15C9">
      <w:pPr>
        <w:ind w:left="1701" w:right="1134"/>
        <w:jc w:val="both"/>
        <w:rPr>
          <w:rFonts w:eastAsia="SimSun"/>
          <w:i/>
          <w:sz w:val="20"/>
          <w:szCs w:val="20"/>
          <w:lang w:eastAsia="ar-SA"/>
        </w:rPr>
      </w:pPr>
      <w:r w:rsidRPr="00EE15C9">
        <w:rPr>
          <w:rFonts w:eastAsia="SimSun"/>
          <w:i/>
          <w:sz w:val="20"/>
          <w:szCs w:val="20"/>
          <w:lang w:eastAsia="ar-SA"/>
        </w:rPr>
        <w:t>Abstaining</w:t>
      </w:r>
      <w:r w:rsidRPr="00EE15C9">
        <w:rPr>
          <w:rFonts w:eastAsia="SimSun"/>
          <w:sz w:val="20"/>
          <w:szCs w:val="20"/>
          <w:lang w:eastAsia="ar-SA"/>
        </w:rPr>
        <w:t>:</w:t>
      </w:r>
      <w:r w:rsidRPr="00EE15C9">
        <w:rPr>
          <w:rFonts w:eastAsia="SimSun"/>
          <w:i/>
          <w:sz w:val="20"/>
          <w:szCs w:val="20"/>
          <w:lang w:eastAsia="ar-SA"/>
        </w:rPr>
        <w:t xml:space="preserve"> </w:t>
      </w:r>
    </w:p>
    <w:p w14:paraId="3A4909B2" w14:textId="1DB6FB05" w:rsidR="00EE15C9" w:rsidRPr="00EE15C9" w:rsidRDefault="00EE15C9" w:rsidP="00EE15C9">
      <w:pPr>
        <w:pStyle w:val="SingleTxtG"/>
        <w:ind w:left="2268"/>
        <w:rPr>
          <w:sz w:val="20"/>
          <w:szCs w:val="20"/>
        </w:rPr>
      </w:pPr>
      <w:r w:rsidRPr="00EE15C9">
        <w:rPr>
          <w:rFonts w:eastAsia="SimSun"/>
          <w:sz w:val="20"/>
          <w:szCs w:val="20"/>
          <w:lang w:eastAsia="ar-SA"/>
        </w:rPr>
        <w:t>Austria, Brazil, Bulgaria, Cameroon, Croatia, Czechia, Democratic Republic of the Congo, Rwanda, Slovakia, Ukraine</w:t>
      </w:r>
    </w:p>
    <w:p w14:paraId="278B7960" w14:textId="75D11A02" w:rsidR="00EE15C9" w:rsidRDefault="00CF15B1" w:rsidP="00EE15C9">
      <w:pPr>
        <w:pStyle w:val="SingleTxtG"/>
        <w:rPr>
          <w:rFonts w:eastAsia="SimSun"/>
          <w:sz w:val="20"/>
          <w:szCs w:val="20"/>
          <w:lang w:eastAsia="ar-SA"/>
        </w:rPr>
      </w:pPr>
      <w:r>
        <w:rPr>
          <w:rFonts w:eastAsia="SimSun"/>
          <w:sz w:val="20"/>
          <w:szCs w:val="20"/>
          <w:lang w:eastAsia="ar-SA"/>
        </w:rPr>
        <w:t>952</w:t>
      </w:r>
      <w:r w:rsidR="00EE15C9" w:rsidRPr="0023658A">
        <w:rPr>
          <w:rFonts w:eastAsia="SimSun"/>
          <w:sz w:val="20"/>
          <w:szCs w:val="20"/>
          <w:lang w:eastAsia="ar-SA"/>
        </w:rPr>
        <w:t>.</w:t>
      </w:r>
      <w:r w:rsidR="00EE15C9" w:rsidRPr="0023658A">
        <w:rPr>
          <w:rFonts w:eastAsia="SimSun"/>
          <w:sz w:val="20"/>
          <w:szCs w:val="20"/>
          <w:lang w:eastAsia="ar-SA"/>
        </w:rPr>
        <w:tab/>
        <w:t xml:space="preserve">The draft resolution was adopted by </w:t>
      </w:r>
      <w:r w:rsidR="00D6670F">
        <w:rPr>
          <w:rFonts w:eastAsia="SimSun"/>
          <w:sz w:val="20"/>
          <w:szCs w:val="20"/>
          <w:lang w:eastAsia="ar-SA"/>
        </w:rPr>
        <w:t>32</w:t>
      </w:r>
      <w:r w:rsidR="00EE15C9" w:rsidRPr="0023658A">
        <w:rPr>
          <w:sz w:val="20"/>
          <w:szCs w:val="20"/>
          <w:lang w:eastAsia="ar-SA"/>
        </w:rPr>
        <w:t xml:space="preserve"> votes to </w:t>
      </w:r>
      <w:r w:rsidR="00D6670F">
        <w:rPr>
          <w:sz w:val="20"/>
          <w:szCs w:val="20"/>
          <w:lang w:eastAsia="ar-SA"/>
        </w:rPr>
        <w:t>5</w:t>
      </w:r>
      <w:r w:rsidR="00EE15C9" w:rsidRPr="0023658A">
        <w:rPr>
          <w:sz w:val="20"/>
          <w:szCs w:val="20"/>
          <w:lang w:eastAsia="ar-SA"/>
        </w:rPr>
        <w:t xml:space="preserve">, with </w:t>
      </w:r>
      <w:r w:rsidR="00D6670F">
        <w:rPr>
          <w:sz w:val="20"/>
          <w:szCs w:val="20"/>
          <w:lang w:eastAsia="ar-SA"/>
        </w:rPr>
        <w:t>10</w:t>
      </w:r>
      <w:r w:rsidR="00EE15C9" w:rsidRPr="0023658A">
        <w:rPr>
          <w:sz w:val="20"/>
          <w:szCs w:val="20"/>
          <w:lang w:eastAsia="ar-SA"/>
        </w:rPr>
        <w:t xml:space="preserve"> abstentions</w:t>
      </w:r>
      <w:r w:rsidR="00EE15C9" w:rsidRPr="0023658A">
        <w:rPr>
          <w:rFonts w:eastAsia="SimSun"/>
          <w:sz w:val="20"/>
          <w:szCs w:val="20"/>
          <w:lang w:eastAsia="ar-SA"/>
        </w:rPr>
        <w:t xml:space="preserve"> (resolution </w:t>
      </w:r>
      <w:r w:rsidR="00EE15C9">
        <w:rPr>
          <w:rFonts w:eastAsia="SimSun"/>
          <w:sz w:val="20"/>
          <w:szCs w:val="20"/>
          <w:lang w:eastAsia="ar-SA"/>
        </w:rPr>
        <w:t>40/2</w:t>
      </w:r>
      <w:r w:rsidR="00D6670F">
        <w:rPr>
          <w:rFonts w:eastAsia="SimSun"/>
          <w:sz w:val="20"/>
          <w:szCs w:val="20"/>
          <w:lang w:eastAsia="ar-SA"/>
        </w:rPr>
        <w:t>4</w:t>
      </w:r>
      <w:r w:rsidR="00EE15C9" w:rsidRPr="0023658A">
        <w:rPr>
          <w:rFonts w:eastAsia="SimSun"/>
          <w:sz w:val="20"/>
          <w:szCs w:val="20"/>
          <w:lang w:eastAsia="ar-SA"/>
        </w:rPr>
        <w:t>).</w:t>
      </w:r>
    </w:p>
    <w:p w14:paraId="0011781B" w14:textId="60737F6F" w:rsidR="00D6670F" w:rsidRPr="000B65FE" w:rsidRDefault="00CF15B1" w:rsidP="00D6670F">
      <w:pPr>
        <w:pStyle w:val="SingleTxtG"/>
        <w:rPr>
          <w:rFonts w:eastAsia="SimSun"/>
          <w:sz w:val="20"/>
          <w:szCs w:val="20"/>
          <w:lang w:eastAsia="ar-SA"/>
        </w:rPr>
      </w:pPr>
      <w:r>
        <w:rPr>
          <w:rFonts w:eastAsia="SimSun"/>
          <w:sz w:val="20"/>
          <w:szCs w:val="20"/>
          <w:lang w:eastAsia="ar-SA"/>
        </w:rPr>
        <w:t>953</w:t>
      </w:r>
      <w:r w:rsidR="00D6670F" w:rsidRPr="000B65FE">
        <w:rPr>
          <w:rFonts w:eastAsia="SimSun"/>
          <w:sz w:val="20"/>
          <w:szCs w:val="20"/>
          <w:lang w:eastAsia="ar-SA"/>
        </w:rPr>
        <w:t>.</w:t>
      </w:r>
      <w:r w:rsidR="00D6670F" w:rsidRPr="000B65FE">
        <w:rPr>
          <w:rFonts w:eastAsia="SimSun"/>
          <w:sz w:val="20"/>
          <w:szCs w:val="20"/>
          <w:lang w:eastAsia="ar-SA"/>
        </w:rPr>
        <w:tab/>
        <w:t xml:space="preserve">At the </w:t>
      </w:r>
      <w:r w:rsidR="00D6670F">
        <w:rPr>
          <w:rFonts w:eastAsia="SimSun"/>
          <w:sz w:val="20"/>
          <w:szCs w:val="20"/>
          <w:lang w:eastAsia="ar-SA"/>
        </w:rPr>
        <w:t xml:space="preserve">same </w:t>
      </w:r>
      <w:r w:rsidR="00D6670F" w:rsidRPr="000B65FE">
        <w:rPr>
          <w:rFonts w:eastAsia="SimSun"/>
          <w:sz w:val="20"/>
          <w:szCs w:val="20"/>
          <w:lang w:eastAsia="ar-SA"/>
        </w:rPr>
        <w:t xml:space="preserve">meeting, the representative of </w:t>
      </w:r>
      <w:r w:rsidR="00D6670F">
        <w:rPr>
          <w:rFonts w:eastAsia="SimSun"/>
          <w:sz w:val="20"/>
          <w:szCs w:val="20"/>
          <w:lang w:eastAsia="ar-SA"/>
        </w:rPr>
        <w:t>Iceland</w:t>
      </w:r>
      <w:r w:rsidR="00D6670F" w:rsidRPr="000B65FE">
        <w:rPr>
          <w:rFonts w:eastAsia="SimSun"/>
          <w:sz w:val="20"/>
          <w:szCs w:val="20"/>
          <w:lang w:eastAsia="ar-SA"/>
        </w:rPr>
        <w:t xml:space="preserve"> made a statement in explanation of vote after the vote.</w:t>
      </w:r>
      <w:r w:rsidR="00D72627">
        <w:rPr>
          <w:rFonts w:eastAsia="SimSun"/>
          <w:sz w:val="20"/>
          <w:szCs w:val="20"/>
          <w:lang w:eastAsia="ar-SA"/>
        </w:rPr>
        <w:t xml:space="preserve"> </w:t>
      </w:r>
    </w:p>
    <w:p w14:paraId="48B4F82E" w14:textId="77777777" w:rsidR="00E53C36" w:rsidRDefault="00E53C36">
      <w:pPr>
        <w:spacing w:after="200" w:line="276" w:lineRule="auto"/>
        <w:rPr>
          <w:b/>
          <w:color w:val="000000" w:themeColor="text1"/>
          <w:sz w:val="28"/>
        </w:rPr>
      </w:pPr>
      <w:r>
        <w:rPr>
          <w:color w:val="000000" w:themeColor="text1"/>
        </w:rPr>
        <w:br w:type="page"/>
      </w:r>
    </w:p>
    <w:p w14:paraId="2EA58D9F" w14:textId="43199D51" w:rsidR="00F11B08" w:rsidRPr="00C16037" w:rsidRDefault="00A35943" w:rsidP="00415787">
      <w:pPr>
        <w:pStyle w:val="HChG"/>
        <w:rPr>
          <w:color w:val="000000" w:themeColor="text1"/>
        </w:rPr>
      </w:pPr>
      <w:r w:rsidRPr="00C16037">
        <w:rPr>
          <w:color w:val="000000" w:themeColor="text1"/>
        </w:rPr>
        <w:lastRenderedPageBreak/>
        <w:tab/>
      </w:r>
      <w:r w:rsidR="00F11B08" w:rsidRPr="00C16037">
        <w:rPr>
          <w:color w:val="000000" w:themeColor="text1"/>
        </w:rPr>
        <w:t>VIII.</w:t>
      </w:r>
      <w:r w:rsidR="00F11B08" w:rsidRPr="00C16037">
        <w:rPr>
          <w:color w:val="000000" w:themeColor="text1"/>
        </w:rPr>
        <w:tab/>
        <w:t>Follow-up</w:t>
      </w:r>
      <w:r w:rsidR="00FF41A0">
        <w:rPr>
          <w:color w:val="000000" w:themeColor="text1"/>
        </w:rPr>
        <w:t xml:space="preserve"> </w:t>
      </w:r>
      <w:r w:rsidR="00F11B08" w:rsidRPr="00C16037">
        <w:rPr>
          <w:color w:val="000000" w:themeColor="text1"/>
        </w:rPr>
        <w:t>to</w:t>
      </w:r>
      <w:r w:rsidR="00FF41A0">
        <w:rPr>
          <w:color w:val="000000" w:themeColor="text1"/>
        </w:rPr>
        <w:t xml:space="preserve"> </w:t>
      </w:r>
      <w:r w:rsidR="00F11B08" w:rsidRPr="00C16037">
        <w:rPr>
          <w:color w:val="000000" w:themeColor="text1"/>
        </w:rPr>
        <w:t>and</w:t>
      </w:r>
      <w:r w:rsidR="00FF41A0">
        <w:rPr>
          <w:color w:val="000000" w:themeColor="text1"/>
        </w:rPr>
        <w:t xml:space="preserve"> </w:t>
      </w:r>
      <w:r w:rsidR="00F11B08" w:rsidRPr="00C16037">
        <w:rPr>
          <w:color w:val="000000" w:themeColor="text1"/>
        </w:rPr>
        <w:t>implementation</w:t>
      </w:r>
      <w:r w:rsidR="00FF41A0">
        <w:rPr>
          <w:color w:val="000000" w:themeColor="text1"/>
        </w:rPr>
        <w:t xml:space="preserve"> </w:t>
      </w:r>
      <w:r w:rsidR="00F11B08" w:rsidRPr="00C16037">
        <w:rPr>
          <w:color w:val="000000" w:themeColor="text1"/>
        </w:rPr>
        <w:t>of</w:t>
      </w:r>
      <w:r w:rsidR="00FF41A0">
        <w:rPr>
          <w:color w:val="000000" w:themeColor="text1"/>
        </w:rPr>
        <w:t xml:space="preserve"> </w:t>
      </w:r>
      <w:r w:rsidR="00F11B08" w:rsidRPr="00C16037">
        <w:rPr>
          <w:color w:val="000000" w:themeColor="text1"/>
        </w:rPr>
        <w:t>the</w:t>
      </w:r>
      <w:r w:rsidR="00FF41A0">
        <w:rPr>
          <w:color w:val="000000" w:themeColor="text1"/>
        </w:rPr>
        <w:t xml:space="preserve"> </w:t>
      </w:r>
      <w:r w:rsidR="00F11B08" w:rsidRPr="00C16037">
        <w:rPr>
          <w:color w:val="000000" w:themeColor="text1"/>
        </w:rPr>
        <w:t>Vienna</w:t>
      </w:r>
      <w:r w:rsidR="00FF41A0">
        <w:rPr>
          <w:color w:val="000000" w:themeColor="text1"/>
        </w:rPr>
        <w:t xml:space="preserve"> </w:t>
      </w:r>
      <w:r w:rsidR="00F11B08" w:rsidRPr="00C16037">
        <w:rPr>
          <w:color w:val="000000" w:themeColor="text1"/>
        </w:rPr>
        <w:t>Declaration</w:t>
      </w:r>
      <w:r w:rsidR="00FF41A0">
        <w:rPr>
          <w:color w:val="000000" w:themeColor="text1"/>
        </w:rPr>
        <w:t xml:space="preserve"> </w:t>
      </w:r>
      <w:bookmarkStart w:id="17" w:name="OLE_LINK1"/>
      <w:bookmarkStart w:id="18" w:name="OLE_LINK2"/>
      <w:r w:rsidR="00F11B08" w:rsidRPr="00C16037">
        <w:rPr>
          <w:color w:val="000000" w:themeColor="text1"/>
        </w:rPr>
        <w:t>and</w:t>
      </w:r>
      <w:r w:rsidR="00FF41A0">
        <w:rPr>
          <w:color w:val="000000" w:themeColor="text1"/>
        </w:rPr>
        <w:t xml:space="preserve"> </w:t>
      </w:r>
      <w:r w:rsidR="00F11B08" w:rsidRPr="00C16037">
        <w:rPr>
          <w:color w:val="000000" w:themeColor="text1"/>
        </w:rPr>
        <w:t>Programme</w:t>
      </w:r>
      <w:r w:rsidR="00FF41A0">
        <w:rPr>
          <w:color w:val="000000" w:themeColor="text1"/>
        </w:rPr>
        <w:t xml:space="preserve"> </w:t>
      </w:r>
      <w:r w:rsidR="00F11B08" w:rsidRPr="00C16037">
        <w:rPr>
          <w:color w:val="000000" w:themeColor="text1"/>
        </w:rPr>
        <w:t>of</w:t>
      </w:r>
      <w:r w:rsidR="00FF41A0">
        <w:rPr>
          <w:color w:val="000000" w:themeColor="text1"/>
        </w:rPr>
        <w:t xml:space="preserve"> </w:t>
      </w:r>
      <w:r w:rsidR="00F11B08" w:rsidRPr="00C16037">
        <w:rPr>
          <w:color w:val="000000" w:themeColor="text1"/>
        </w:rPr>
        <w:t>Action</w:t>
      </w:r>
    </w:p>
    <w:p w14:paraId="2EA58DA0" w14:textId="0DE4AA97" w:rsidR="00F11B08" w:rsidRPr="00C16037" w:rsidRDefault="00F11B08" w:rsidP="00A6202C">
      <w:pPr>
        <w:pStyle w:val="H1G"/>
        <w:rPr>
          <w:color w:val="000000" w:themeColor="text1"/>
        </w:rPr>
      </w:pPr>
      <w:r w:rsidRPr="00C16037">
        <w:rPr>
          <w:color w:val="000000" w:themeColor="text1"/>
        </w:rPr>
        <w:tab/>
      </w:r>
      <w:r w:rsidRPr="00C43406">
        <w:rPr>
          <w:color w:val="000000" w:themeColor="text1"/>
        </w:rPr>
        <w:t>A.</w:t>
      </w:r>
      <w:r w:rsidRPr="00C43406">
        <w:rPr>
          <w:color w:val="000000" w:themeColor="text1"/>
        </w:rPr>
        <w:tab/>
        <w:t>General</w:t>
      </w:r>
      <w:r w:rsidR="00FF41A0">
        <w:rPr>
          <w:color w:val="000000" w:themeColor="text1"/>
        </w:rPr>
        <w:t xml:space="preserve"> </w:t>
      </w:r>
      <w:r w:rsidRPr="00C43406">
        <w:rPr>
          <w:color w:val="000000" w:themeColor="text1"/>
        </w:rPr>
        <w:t>debate</w:t>
      </w:r>
      <w:r w:rsidR="00FF41A0">
        <w:rPr>
          <w:color w:val="000000" w:themeColor="text1"/>
        </w:rPr>
        <w:t xml:space="preserve"> </w:t>
      </w:r>
      <w:r w:rsidRPr="00C43406">
        <w:rPr>
          <w:color w:val="000000" w:themeColor="text1"/>
        </w:rPr>
        <w:t>on</w:t>
      </w:r>
      <w:r w:rsidR="00FF41A0">
        <w:rPr>
          <w:color w:val="000000" w:themeColor="text1"/>
        </w:rPr>
        <w:t xml:space="preserve"> </w:t>
      </w:r>
      <w:r w:rsidRPr="00C43406">
        <w:rPr>
          <w:color w:val="000000" w:themeColor="text1"/>
        </w:rPr>
        <w:t>agenda</w:t>
      </w:r>
      <w:r w:rsidR="00FF41A0">
        <w:rPr>
          <w:color w:val="000000" w:themeColor="text1"/>
        </w:rPr>
        <w:t xml:space="preserve"> </w:t>
      </w:r>
      <w:r w:rsidRPr="00C43406">
        <w:rPr>
          <w:color w:val="000000" w:themeColor="text1"/>
        </w:rPr>
        <w:t>item</w:t>
      </w:r>
      <w:r w:rsidR="00FF41A0">
        <w:rPr>
          <w:color w:val="000000" w:themeColor="text1"/>
        </w:rPr>
        <w:t xml:space="preserve"> </w:t>
      </w:r>
      <w:r w:rsidRPr="00C43406">
        <w:rPr>
          <w:color w:val="000000" w:themeColor="text1"/>
        </w:rPr>
        <w:t>8</w:t>
      </w:r>
    </w:p>
    <w:p w14:paraId="2EA58DA1" w14:textId="06937F6A" w:rsidR="00F11B08" w:rsidRPr="0037538E" w:rsidRDefault="00CF15B1" w:rsidP="00F11B08">
      <w:pPr>
        <w:pStyle w:val="SingleTxtG"/>
        <w:rPr>
          <w:color w:val="000000" w:themeColor="text1"/>
          <w:sz w:val="20"/>
          <w:szCs w:val="20"/>
        </w:rPr>
      </w:pPr>
      <w:r>
        <w:rPr>
          <w:color w:val="000000" w:themeColor="text1"/>
          <w:sz w:val="20"/>
          <w:szCs w:val="20"/>
        </w:rPr>
        <w:t>954</w:t>
      </w:r>
      <w:r w:rsidR="00EF57BD" w:rsidRPr="0037538E">
        <w:rPr>
          <w:color w:val="000000" w:themeColor="text1"/>
          <w:sz w:val="20"/>
          <w:szCs w:val="20"/>
        </w:rPr>
        <w:t>.</w:t>
      </w:r>
      <w:r w:rsidR="00A6202C" w:rsidRPr="0037538E">
        <w:rPr>
          <w:color w:val="000000" w:themeColor="text1"/>
          <w:sz w:val="20"/>
          <w:szCs w:val="20"/>
        </w:rPr>
        <w:tab/>
      </w:r>
      <w:r w:rsidR="00F11B08" w:rsidRPr="0037538E">
        <w:rPr>
          <w:color w:val="000000" w:themeColor="text1"/>
          <w:sz w:val="20"/>
          <w:szCs w:val="20"/>
        </w:rPr>
        <w:t>At</w:t>
      </w:r>
      <w:r w:rsidR="00FF41A0">
        <w:rPr>
          <w:color w:val="000000" w:themeColor="text1"/>
          <w:sz w:val="20"/>
          <w:szCs w:val="20"/>
        </w:rPr>
        <w:t xml:space="preserve"> </w:t>
      </w:r>
      <w:r w:rsidR="00F11B08" w:rsidRPr="0037538E">
        <w:rPr>
          <w:color w:val="000000" w:themeColor="text1"/>
          <w:sz w:val="20"/>
          <w:szCs w:val="20"/>
        </w:rPr>
        <w:t>its</w:t>
      </w:r>
      <w:r w:rsidR="00FF41A0">
        <w:rPr>
          <w:color w:val="000000" w:themeColor="text1"/>
          <w:sz w:val="20"/>
          <w:szCs w:val="20"/>
        </w:rPr>
        <w:t xml:space="preserve"> </w:t>
      </w:r>
      <w:r w:rsidR="00F11B08" w:rsidRPr="00FA4681">
        <w:rPr>
          <w:color w:val="000000" w:themeColor="text1"/>
          <w:sz w:val="20"/>
          <w:szCs w:val="20"/>
        </w:rPr>
        <w:t>4</w:t>
      </w:r>
      <w:r w:rsidR="008C4B3B" w:rsidRPr="00FA4681">
        <w:rPr>
          <w:color w:val="000000" w:themeColor="text1"/>
          <w:sz w:val="20"/>
          <w:szCs w:val="20"/>
        </w:rPr>
        <w:t>3rd</w:t>
      </w:r>
      <w:r w:rsidR="00FF41A0">
        <w:rPr>
          <w:color w:val="000000" w:themeColor="text1"/>
          <w:sz w:val="20"/>
          <w:szCs w:val="20"/>
        </w:rPr>
        <w:t xml:space="preserve"> </w:t>
      </w:r>
      <w:r w:rsidR="001F292D" w:rsidRPr="00FA4681">
        <w:rPr>
          <w:color w:val="000000" w:themeColor="text1"/>
          <w:sz w:val="20"/>
          <w:szCs w:val="20"/>
        </w:rPr>
        <w:t>meeting,</w:t>
      </w:r>
      <w:r w:rsidR="00FF41A0">
        <w:rPr>
          <w:color w:val="000000" w:themeColor="text1"/>
          <w:sz w:val="20"/>
          <w:szCs w:val="20"/>
        </w:rPr>
        <w:t xml:space="preserve"> </w:t>
      </w:r>
      <w:r w:rsidR="001F292D" w:rsidRPr="00FA4681">
        <w:rPr>
          <w:color w:val="000000" w:themeColor="text1"/>
          <w:sz w:val="20"/>
          <w:szCs w:val="20"/>
        </w:rPr>
        <w:t>on</w:t>
      </w:r>
      <w:r w:rsidR="00FF41A0">
        <w:rPr>
          <w:color w:val="000000" w:themeColor="text1"/>
          <w:sz w:val="20"/>
          <w:szCs w:val="20"/>
        </w:rPr>
        <w:t xml:space="preserve"> </w:t>
      </w:r>
      <w:r w:rsidR="008C4B3B" w:rsidRPr="00FA4681">
        <w:rPr>
          <w:color w:val="000000" w:themeColor="text1"/>
          <w:sz w:val="20"/>
          <w:szCs w:val="20"/>
        </w:rPr>
        <w:t>18</w:t>
      </w:r>
      <w:r w:rsidR="00FF41A0">
        <w:rPr>
          <w:color w:val="000000" w:themeColor="text1"/>
          <w:sz w:val="20"/>
          <w:szCs w:val="20"/>
        </w:rPr>
        <w:t xml:space="preserve"> </w:t>
      </w:r>
      <w:r w:rsidR="001F292D" w:rsidRPr="00FA4681">
        <w:rPr>
          <w:color w:val="000000" w:themeColor="text1"/>
          <w:sz w:val="20"/>
          <w:szCs w:val="20"/>
        </w:rPr>
        <w:t>March</w:t>
      </w:r>
      <w:r w:rsidR="00FF41A0">
        <w:rPr>
          <w:color w:val="000000" w:themeColor="text1"/>
          <w:sz w:val="20"/>
          <w:szCs w:val="20"/>
        </w:rPr>
        <w:t xml:space="preserve"> </w:t>
      </w:r>
      <w:r w:rsidR="00141AFC" w:rsidRPr="00FA4681">
        <w:rPr>
          <w:color w:val="000000" w:themeColor="text1"/>
          <w:sz w:val="20"/>
          <w:szCs w:val="20"/>
        </w:rPr>
        <w:t>2019</w:t>
      </w:r>
      <w:r w:rsidR="00F11B08" w:rsidRPr="0037538E">
        <w:rPr>
          <w:color w:val="000000" w:themeColor="text1"/>
          <w:sz w:val="20"/>
          <w:szCs w:val="20"/>
        </w:rPr>
        <w:t>,</w:t>
      </w:r>
      <w:r w:rsidR="00FF41A0">
        <w:rPr>
          <w:color w:val="000000" w:themeColor="text1"/>
          <w:sz w:val="20"/>
          <w:szCs w:val="20"/>
        </w:rPr>
        <w:t xml:space="preserve"> </w:t>
      </w:r>
      <w:r w:rsidR="00AF5ACE">
        <w:rPr>
          <w:color w:val="000000" w:themeColor="text1"/>
          <w:sz w:val="20"/>
          <w:szCs w:val="20"/>
        </w:rPr>
        <w:t>and</w:t>
      </w:r>
      <w:r w:rsidR="00FF41A0">
        <w:rPr>
          <w:color w:val="000000" w:themeColor="text1"/>
          <w:sz w:val="20"/>
          <w:szCs w:val="20"/>
        </w:rPr>
        <w:t xml:space="preserve"> </w:t>
      </w:r>
      <w:r w:rsidR="00AF5ACE">
        <w:rPr>
          <w:color w:val="000000" w:themeColor="text1"/>
          <w:sz w:val="20"/>
          <w:szCs w:val="20"/>
        </w:rPr>
        <w:t>the</w:t>
      </w:r>
      <w:r w:rsidR="00FF41A0">
        <w:rPr>
          <w:color w:val="000000" w:themeColor="text1"/>
          <w:sz w:val="20"/>
          <w:szCs w:val="20"/>
        </w:rPr>
        <w:t xml:space="preserve"> </w:t>
      </w:r>
      <w:r w:rsidR="00AF5ACE">
        <w:rPr>
          <w:color w:val="000000" w:themeColor="text1"/>
          <w:sz w:val="20"/>
          <w:szCs w:val="20"/>
        </w:rPr>
        <w:t>44th</w:t>
      </w:r>
      <w:r w:rsidR="00FF41A0">
        <w:rPr>
          <w:color w:val="000000" w:themeColor="text1"/>
          <w:sz w:val="20"/>
          <w:szCs w:val="20"/>
        </w:rPr>
        <w:t xml:space="preserve"> </w:t>
      </w:r>
      <w:r w:rsidR="00AF5ACE">
        <w:rPr>
          <w:color w:val="000000" w:themeColor="text1"/>
          <w:sz w:val="20"/>
          <w:szCs w:val="20"/>
        </w:rPr>
        <w:t>meeting,</w:t>
      </w:r>
      <w:r w:rsidR="00FF41A0">
        <w:rPr>
          <w:color w:val="000000" w:themeColor="text1"/>
          <w:sz w:val="20"/>
          <w:szCs w:val="20"/>
        </w:rPr>
        <w:t xml:space="preserve"> </w:t>
      </w:r>
      <w:r w:rsidR="00AF5ACE">
        <w:rPr>
          <w:color w:val="000000" w:themeColor="text1"/>
          <w:sz w:val="20"/>
          <w:szCs w:val="20"/>
        </w:rPr>
        <w:t>on</w:t>
      </w:r>
      <w:r w:rsidR="00FF41A0">
        <w:rPr>
          <w:color w:val="000000" w:themeColor="text1"/>
          <w:sz w:val="20"/>
          <w:szCs w:val="20"/>
        </w:rPr>
        <w:t xml:space="preserve"> </w:t>
      </w:r>
      <w:r w:rsidR="00AF5ACE">
        <w:rPr>
          <w:color w:val="000000" w:themeColor="text1"/>
          <w:sz w:val="20"/>
          <w:szCs w:val="20"/>
        </w:rPr>
        <w:t>19</w:t>
      </w:r>
      <w:r w:rsidR="00FF41A0">
        <w:rPr>
          <w:color w:val="000000" w:themeColor="text1"/>
          <w:sz w:val="20"/>
          <w:szCs w:val="20"/>
        </w:rPr>
        <w:t xml:space="preserve"> </w:t>
      </w:r>
      <w:r w:rsidR="00AF5ACE">
        <w:rPr>
          <w:color w:val="000000" w:themeColor="text1"/>
          <w:sz w:val="20"/>
          <w:szCs w:val="20"/>
        </w:rPr>
        <w:t>March</w:t>
      </w:r>
      <w:r w:rsidR="00FF41A0">
        <w:rPr>
          <w:color w:val="000000" w:themeColor="text1"/>
          <w:sz w:val="20"/>
          <w:szCs w:val="20"/>
        </w:rPr>
        <w:t xml:space="preserve"> </w:t>
      </w:r>
      <w:r w:rsidR="00AF5ACE">
        <w:rPr>
          <w:color w:val="000000" w:themeColor="text1"/>
          <w:sz w:val="20"/>
          <w:szCs w:val="20"/>
        </w:rPr>
        <w:t>2019,</w:t>
      </w:r>
      <w:r w:rsidR="00FF41A0">
        <w:rPr>
          <w:color w:val="000000" w:themeColor="text1"/>
          <w:sz w:val="20"/>
          <w:szCs w:val="20"/>
        </w:rPr>
        <w:t xml:space="preserve"> </w:t>
      </w:r>
      <w:r w:rsidR="00F11B08" w:rsidRPr="0037538E">
        <w:rPr>
          <w:color w:val="000000" w:themeColor="text1"/>
          <w:sz w:val="20"/>
          <w:szCs w:val="20"/>
        </w:rPr>
        <w:t>the</w:t>
      </w:r>
      <w:r w:rsidR="00FF41A0">
        <w:rPr>
          <w:color w:val="000000" w:themeColor="text1"/>
          <w:sz w:val="20"/>
          <w:szCs w:val="20"/>
        </w:rPr>
        <w:t xml:space="preserve"> </w:t>
      </w:r>
      <w:r w:rsidR="00F11B08" w:rsidRPr="0037538E">
        <w:rPr>
          <w:color w:val="000000" w:themeColor="text1"/>
          <w:sz w:val="20"/>
          <w:szCs w:val="20"/>
        </w:rPr>
        <w:t>Council</w:t>
      </w:r>
      <w:r w:rsidR="00FF41A0">
        <w:rPr>
          <w:color w:val="000000" w:themeColor="text1"/>
          <w:sz w:val="20"/>
          <w:szCs w:val="20"/>
        </w:rPr>
        <w:t xml:space="preserve"> </w:t>
      </w:r>
      <w:r w:rsidR="00F11B08" w:rsidRPr="0037538E">
        <w:rPr>
          <w:color w:val="000000" w:themeColor="text1"/>
          <w:sz w:val="20"/>
          <w:szCs w:val="20"/>
        </w:rPr>
        <w:t>held</w:t>
      </w:r>
      <w:r w:rsidR="00FF41A0">
        <w:rPr>
          <w:color w:val="000000" w:themeColor="text1"/>
          <w:sz w:val="20"/>
          <w:szCs w:val="20"/>
        </w:rPr>
        <w:t xml:space="preserve"> </w:t>
      </w:r>
      <w:r w:rsidR="00F11B08" w:rsidRPr="0037538E">
        <w:rPr>
          <w:color w:val="000000" w:themeColor="text1"/>
          <w:sz w:val="20"/>
          <w:szCs w:val="20"/>
        </w:rPr>
        <w:t>a</w:t>
      </w:r>
      <w:r w:rsidR="00FF41A0">
        <w:rPr>
          <w:color w:val="000000" w:themeColor="text1"/>
          <w:sz w:val="20"/>
          <w:szCs w:val="20"/>
        </w:rPr>
        <w:t xml:space="preserve"> </w:t>
      </w:r>
      <w:r w:rsidR="00F11B08" w:rsidRPr="0037538E">
        <w:rPr>
          <w:color w:val="000000" w:themeColor="text1"/>
          <w:sz w:val="20"/>
          <w:szCs w:val="20"/>
        </w:rPr>
        <w:t>general</w:t>
      </w:r>
      <w:r w:rsidR="00FF41A0">
        <w:rPr>
          <w:color w:val="000000" w:themeColor="text1"/>
          <w:sz w:val="20"/>
          <w:szCs w:val="20"/>
        </w:rPr>
        <w:t xml:space="preserve"> </w:t>
      </w:r>
      <w:r w:rsidR="00F11B08" w:rsidRPr="0037538E">
        <w:rPr>
          <w:color w:val="000000" w:themeColor="text1"/>
          <w:sz w:val="20"/>
          <w:szCs w:val="20"/>
        </w:rPr>
        <w:t>debate</w:t>
      </w:r>
      <w:r w:rsidR="00FF41A0">
        <w:rPr>
          <w:color w:val="000000" w:themeColor="text1"/>
          <w:sz w:val="20"/>
          <w:szCs w:val="20"/>
        </w:rPr>
        <w:t xml:space="preserve"> </w:t>
      </w:r>
      <w:r w:rsidR="00F11B08" w:rsidRPr="0037538E">
        <w:rPr>
          <w:color w:val="000000" w:themeColor="text1"/>
          <w:sz w:val="20"/>
          <w:szCs w:val="20"/>
        </w:rPr>
        <w:t>on</w:t>
      </w:r>
      <w:r w:rsidR="00FF41A0">
        <w:rPr>
          <w:color w:val="000000" w:themeColor="text1"/>
          <w:sz w:val="20"/>
          <w:szCs w:val="20"/>
        </w:rPr>
        <w:t xml:space="preserve"> </w:t>
      </w:r>
      <w:r w:rsidR="00F11B08" w:rsidRPr="0037538E">
        <w:rPr>
          <w:color w:val="000000" w:themeColor="text1"/>
          <w:sz w:val="20"/>
          <w:szCs w:val="20"/>
        </w:rPr>
        <w:t>agenda</w:t>
      </w:r>
      <w:r w:rsidR="00FF41A0">
        <w:rPr>
          <w:color w:val="000000" w:themeColor="text1"/>
          <w:sz w:val="20"/>
          <w:szCs w:val="20"/>
        </w:rPr>
        <w:t xml:space="preserve"> </w:t>
      </w:r>
      <w:r w:rsidR="00F11B08" w:rsidRPr="0037538E">
        <w:rPr>
          <w:color w:val="000000" w:themeColor="text1"/>
          <w:sz w:val="20"/>
          <w:szCs w:val="20"/>
        </w:rPr>
        <w:t>item</w:t>
      </w:r>
      <w:r w:rsidR="00FF41A0">
        <w:rPr>
          <w:color w:val="000000" w:themeColor="text1"/>
          <w:sz w:val="20"/>
          <w:szCs w:val="20"/>
        </w:rPr>
        <w:t xml:space="preserve"> </w:t>
      </w:r>
      <w:r w:rsidR="00F11B08" w:rsidRPr="0037538E">
        <w:rPr>
          <w:color w:val="000000" w:themeColor="text1"/>
          <w:sz w:val="20"/>
          <w:szCs w:val="20"/>
        </w:rPr>
        <w:t>8,</w:t>
      </w:r>
      <w:r w:rsidR="00FF41A0">
        <w:rPr>
          <w:color w:val="000000" w:themeColor="text1"/>
          <w:sz w:val="20"/>
          <w:szCs w:val="20"/>
        </w:rPr>
        <w:t xml:space="preserve"> </w:t>
      </w:r>
      <w:r w:rsidR="00F11B08" w:rsidRPr="0037538E">
        <w:rPr>
          <w:color w:val="000000" w:themeColor="text1"/>
          <w:sz w:val="20"/>
          <w:szCs w:val="20"/>
        </w:rPr>
        <w:t>during</w:t>
      </w:r>
      <w:r w:rsidR="00FF41A0">
        <w:rPr>
          <w:color w:val="000000" w:themeColor="text1"/>
          <w:sz w:val="20"/>
          <w:szCs w:val="20"/>
        </w:rPr>
        <w:t xml:space="preserve"> </w:t>
      </w:r>
      <w:r w:rsidR="00F11B08" w:rsidRPr="0037538E">
        <w:rPr>
          <w:color w:val="000000" w:themeColor="text1"/>
          <w:sz w:val="20"/>
          <w:szCs w:val="20"/>
        </w:rPr>
        <w:t>which</w:t>
      </w:r>
      <w:r w:rsidR="00FF41A0">
        <w:rPr>
          <w:color w:val="000000" w:themeColor="text1"/>
          <w:sz w:val="20"/>
          <w:szCs w:val="20"/>
        </w:rPr>
        <w:t xml:space="preserve"> </w:t>
      </w:r>
      <w:r w:rsidR="00F11B08" w:rsidRPr="0037538E">
        <w:rPr>
          <w:color w:val="000000" w:themeColor="text1"/>
          <w:sz w:val="20"/>
          <w:szCs w:val="20"/>
        </w:rPr>
        <w:t>the</w:t>
      </w:r>
      <w:r w:rsidR="00FF41A0">
        <w:rPr>
          <w:color w:val="000000" w:themeColor="text1"/>
          <w:sz w:val="20"/>
          <w:szCs w:val="20"/>
        </w:rPr>
        <w:t xml:space="preserve"> </w:t>
      </w:r>
      <w:r w:rsidR="00F11B08" w:rsidRPr="0037538E">
        <w:rPr>
          <w:color w:val="000000" w:themeColor="text1"/>
          <w:sz w:val="20"/>
          <w:szCs w:val="20"/>
        </w:rPr>
        <w:t>following</w:t>
      </w:r>
      <w:r w:rsidR="00FF41A0">
        <w:rPr>
          <w:color w:val="000000" w:themeColor="text1"/>
          <w:sz w:val="20"/>
          <w:szCs w:val="20"/>
        </w:rPr>
        <w:t xml:space="preserve"> </w:t>
      </w:r>
      <w:r w:rsidR="00F11B08" w:rsidRPr="0037538E">
        <w:rPr>
          <w:color w:val="000000" w:themeColor="text1"/>
          <w:sz w:val="20"/>
          <w:szCs w:val="20"/>
        </w:rPr>
        <w:t>made</w:t>
      </w:r>
      <w:r w:rsidR="00FF41A0">
        <w:rPr>
          <w:color w:val="000000" w:themeColor="text1"/>
          <w:sz w:val="20"/>
          <w:szCs w:val="20"/>
        </w:rPr>
        <w:t xml:space="preserve"> </w:t>
      </w:r>
      <w:r w:rsidR="00F11B08" w:rsidRPr="0037538E">
        <w:rPr>
          <w:color w:val="000000" w:themeColor="text1"/>
          <w:sz w:val="20"/>
          <w:szCs w:val="20"/>
        </w:rPr>
        <w:t>statements:</w:t>
      </w:r>
    </w:p>
    <w:p w14:paraId="2EA58DA2" w14:textId="48F17BC3" w:rsidR="00F11B08" w:rsidRPr="0037538E" w:rsidRDefault="00F11B08" w:rsidP="00F11B08">
      <w:pPr>
        <w:pStyle w:val="SingleTxtG"/>
        <w:ind w:firstLine="567"/>
        <w:rPr>
          <w:color w:val="000000" w:themeColor="text1"/>
          <w:sz w:val="20"/>
          <w:szCs w:val="20"/>
        </w:rPr>
      </w:pPr>
      <w:r w:rsidRPr="0037538E">
        <w:rPr>
          <w:color w:val="000000" w:themeColor="text1"/>
          <w:sz w:val="20"/>
          <w:szCs w:val="20"/>
        </w:rPr>
        <w:t>(a)</w:t>
      </w:r>
      <w:r w:rsidRPr="0037538E">
        <w:rPr>
          <w:color w:val="000000" w:themeColor="text1"/>
          <w:sz w:val="20"/>
          <w:szCs w:val="20"/>
        </w:rPr>
        <w:tab/>
        <w:t>Representatives</w:t>
      </w:r>
      <w:r w:rsidR="00FF41A0">
        <w:rPr>
          <w:color w:val="000000" w:themeColor="text1"/>
          <w:sz w:val="20"/>
          <w:szCs w:val="20"/>
        </w:rPr>
        <w:t xml:space="preserve"> </w:t>
      </w:r>
      <w:r w:rsidRPr="0037538E">
        <w:rPr>
          <w:color w:val="000000" w:themeColor="text1"/>
          <w:sz w:val="20"/>
          <w:szCs w:val="20"/>
        </w:rPr>
        <w:t>of</w:t>
      </w:r>
      <w:r w:rsidR="00FF41A0">
        <w:rPr>
          <w:color w:val="000000" w:themeColor="text1"/>
          <w:sz w:val="20"/>
          <w:szCs w:val="20"/>
        </w:rPr>
        <w:t xml:space="preserve"> </w:t>
      </w:r>
      <w:r w:rsidR="005D3E5F">
        <w:rPr>
          <w:color w:val="000000" w:themeColor="text1"/>
          <w:sz w:val="20"/>
          <w:szCs w:val="20"/>
        </w:rPr>
        <w:t>States</w:t>
      </w:r>
      <w:r w:rsidR="00FF41A0">
        <w:rPr>
          <w:color w:val="000000" w:themeColor="text1"/>
          <w:sz w:val="20"/>
          <w:szCs w:val="20"/>
        </w:rPr>
        <w:t xml:space="preserve"> </w:t>
      </w:r>
      <w:r w:rsidR="005D3E5F">
        <w:rPr>
          <w:color w:val="000000" w:themeColor="text1"/>
          <w:sz w:val="20"/>
          <w:szCs w:val="20"/>
        </w:rPr>
        <w:t>Members</w:t>
      </w:r>
      <w:r w:rsidR="00FF41A0">
        <w:rPr>
          <w:color w:val="000000" w:themeColor="text1"/>
          <w:sz w:val="20"/>
          <w:szCs w:val="20"/>
        </w:rPr>
        <w:t xml:space="preserve"> </w:t>
      </w:r>
      <w:r w:rsidRPr="0037538E">
        <w:rPr>
          <w:color w:val="000000" w:themeColor="text1"/>
          <w:sz w:val="20"/>
          <w:szCs w:val="20"/>
        </w:rPr>
        <w:t>of</w:t>
      </w:r>
      <w:r w:rsidR="00FF41A0">
        <w:rPr>
          <w:color w:val="000000" w:themeColor="text1"/>
          <w:sz w:val="20"/>
          <w:szCs w:val="20"/>
        </w:rPr>
        <w:t xml:space="preserve"> </w:t>
      </w:r>
      <w:r w:rsidRPr="0037538E">
        <w:rPr>
          <w:color w:val="000000" w:themeColor="text1"/>
          <w:sz w:val="20"/>
          <w:szCs w:val="20"/>
        </w:rPr>
        <w:t>the</w:t>
      </w:r>
      <w:r w:rsidR="00FF41A0">
        <w:rPr>
          <w:color w:val="000000" w:themeColor="text1"/>
          <w:sz w:val="20"/>
          <w:szCs w:val="20"/>
        </w:rPr>
        <w:t xml:space="preserve"> </w:t>
      </w:r>
      <w:r w:rsidRPr="0037538E">
        <w:rPr>
          <w:color w:val="000000" w:themeColor="text1"/>
          <w:sz w:val="20"/>
          <w:szCs w:val="20"/>
        </w:rPr>
        <w:t>Human</w:t>
      </w:r>
      <w:r w:rsidR="00FF41A0">
        <w:rPr>
          <w:color w:val="000000" w:themeColor="text1"/>
          <w:sz w:val="20"/>
          <w:szCs w:val="20"/>
        </w:rPr>
        <w:t xml:space="preserve"> </w:t>
      </w:r>
      <w:r w:rsidRPr="0037538E">
        <w:rPr>
          <w:color w:val="000000" w:themeColor="text1"/>
          <w:sz w:val="20"/>
          <w:szCs w:val="20"/>
        </w:rPr>
        <w:t>Rights</w:t>
      </w:r>
      <w:r w:rsidR="00FF41A0">
        <w:rPr>
          <w:color w:val="000000" w:themeColor="text1"/>
          <w:sz w:val="20"/>
          <w:szCs w:val="20"/>
        </w:rPr>
        <w:t xml:space="preserve"> </w:t>
      </w:r>
      <w:r w:rsidRPr="0037538E">
        <w:rPr>
          <w:color w:val="000000" w:themeColor="text1"/>
          <w:sz w:val="20"/>
          <w:szCs w:val="20"/>
        </w:rPr>
        <w:t>Council:</w:t>
      </w:r>
      <w:r w:rsidR="00FF41A0">
        <w:rPr>
          <w:color w:val="000000" w:themeColor="text1"/>
          <w:sz w:val="20"/>
          <w:szCs w:val="20"/>
        </w:rPr>
        <w:t xml:space="preserve"> </w:t>
      </w:r>
      <w:r w:rsidR="00FA4681" w:rsidRPr="0069044B">
        <w:rPr>
          <w:color w:val="000000" w:themeColor="text1"/>
          <w:sz w:val="20"/>
          <w:szCs w:val="20"/>
        </w:rPr>
        <w:t>Angola</w:t>
      </w:r>
      <w:r w:rsidR="00FF41A0">
        <w:rPr>
          <w:color w:val="000000" w:themeColor="text1"/>
          <w:sz w:val="20"/>
          <w:szCs w:val="20"/>
        </w:rPr>
        <w:t xml:space="preserve"> </w:t>
      </w:r>
      <w:r w:rsidR="00FA4681">
        <w:rPr>
          <w:color w:val="000000" w:themeColor="text1"/>
          <w:sz w:val="20"/>
          <w:szCs w:val="20"/>
        </w:rPr>
        <w:t>(</w:t>
      </w:r>
      <w:r w:rsidR="00FA4681" w:rsidRPr="0069044B">
        <w:rPr>
          <w:color w:val="000000" w:themeColor="text1"/>
          <w:sz w:val="20"/>
          <w:szCs w:val="20"/>
        </w:rPr>
        <w:t>on</w:t>
      </w:r>
      <w:r w:rsidR="00FF41A0">
        <w:rPr>
          <w:color w:val="000000" w:themeColor="text1"/>
          <w:sz w:val="20"/>
          <w:szCs w:val="20"/>
        </w:rPr>
        <w:t xml:space="preserve"> </w:t>
      </w:r>
      <w:r w:rsidR="00FA4681" w:rsidRPr="0069044B">
        <w:rPr>
          <w:color w:val="000000" w:themeColor="text1"/>
          <w:sz w:val="20"/>
          <w:szCs w:val="20"/>
        </w:rPr>
        <w:t>behalf</w:t>
      </w:r>
      <w:r w:rsidR="00FF41A0">
        <w:rPr>
          <w:color w:val="000000" w:themeColor="text1"/>
          <w:sz w:val="20"/>
          <w:szCs w:val="20"/>
        </w:rPr>
        <w:t xml:space="preserve"> </w:t>
      </w:r>
      <w:r w:rsidR="00FA4681" w:rsidRPr="0069044B">
        <w:rPr>
          <w:color w:val="000000" w:themeColor="text1"/>
          <w:sz w:val="20"/>
          <w:szCs w:val="20"/>
        </w:rPr>
        <w:t>of</w:t>
      </w:r>
      <w:r w:rsidR="00FF41A0">
        <w:rPr>
          <w:color w:val="000000" w:themeColor="text1"/>
          <w:sz w:val="20"/>
          <w:szCs w:val="20"/>
        </w:rPr>
        <w:t xml:space="preserve"> </w:t>
      </w:r>
      <w:r w:rsidR="00FA4681" w:rsidRPr="0069044B">
        <w:rPr>
          <w:color w:val="000000" w:themeColor="text1"/>
          <w:sz w:val="20"/>
          <w:szCs w:val="20"/>
        </w:rPr>
        <w:t>the</w:t>
      </w:r>
      <w:r w:rsidR="00FF41A0">
        <w:rPr>
          <w:color w:val="000000" w:themeColor="text1"/>
          <w:sz w:val="20"/>
          <w:szCs w:val="20"/>
        </w:rPr>
        <w:t xml:space="preserve"> </w:t>
      </w:r>
      <w:r w:rsidR="00FA4681" w:rsidRPr="0069044B">
        <w:rPr>
          <w:color w:val="000000" w:themeColor="text1"/>
          <w:sz w:val="20"/>
          <w:szCs w:val="20"/>
        </w:rPr>
        <w:t>Group</w:t>
      </w:r>
      <w:r w:rsidR="00FF41A0">
        <w:rPr>
          <w:color w:val="000000" w:themeColor="text1"/>
          <w:sz w:val="20"/>
          <w:szCs w:val="20"/>
        </w:rPr>
        <w:t xml:space="preserve"> </w:t>
      </w:r>
      <w:r w:rsidR="00FA4681">
        <w:rPr>
          <w:color w:val="000000" w:themeColor="text1"/>
          <w:sz w:val="20"/>
          <w:szCs w:val="20"/>
        </w:rPr>
        <w:t>of</w:t>
      </w:r>
      <w:r w:rsidR="00FF41A0">
        <w:rPr>
          <w:color w:val="000000" w:themeColor="text1"/>
          <w:sz w:val="20"/>
          <w:szCs w:val="20"/>
        </w:rPr>
        <w:t xml:space="preserve"> </w:t>
      </w:r>
      <w:r w:rsidR="00FA4681" w:rsidRPr="0069044B">
        <w:rPr>
          <w:color w:val="000000" w:themeColor="text1"/>
          <w:sz w:val="20"/>
          <w:szCs w:val="20"/>
        </w:rPr>
        <w:t>African</w:t>
      </w:r>
      <w:r w:rsidR="00FF41A0">
        <w:rPr>
          <w:color w:val="000000" w:themeColor="text1"/>
          <w:sz w:val="20"/>
          <w:szCs w:val="20"/>
        </w:rPr>
        <w:t xml:space="preserve"> </w:t>
      </w:r>
      <w:r w:rsidR="00FA4681">
        <w:rPr>
          <w:color w:val="000000" w:themeColor="text1"/>
          <w:sz w:val="20"/>
          <w:szCs w:val="20"/>
        </w:rPr>
        <w:t>States),</w:t>
      </w:r>
      <w:r w:rsidR="00FF41A0">
        <w:rPr>
          <w:color w:val="000000" w:themeColor="text1"/>
          <w:sz w:val="20"/>
          <w:szCs w:val="20"/>
        </w:rPr>
        <w:t xml:space="preserve"> </w:t>
      </w:r>
      <w:r w:rsidR="00FA4681" w:rsidRPr="008C4B3B">
        <w:rPr>
          <w:color w:val="000000" w:themeColor="text1"/>
          <w:sz w:val="20"/>
          <w:szCs w:val="20"/>
        </w:rPr>
        <w:t>Australia</w:t>
      </w:r>
      <w:r w:rsidR="00FF41A0">
        <w:rPr>
          <w:color w:val="000000" w:themeColor="text1"/>
          <w:sz w:val="20"/>
          <w:szCs w:val="20"/>
        </w:rPr>
        <w:t xml:space="preserve"> </w:t>
      </w:r>
      <w:r w:rsidR="00FA4681">
        <w:rPr>
          <w:color w:val="000000" w:themeColor="text1"/>
          <w:sz w:val="20"/>
          <w:szCs w:val="20"/>
        </w:rPr>
        <w:t>(also</w:t>
      </w:r>
      <w:r w:rsidR="00FF41A0">
        <w:rPr>
          <w:color w:val="000000" w:themeColor="text1"/>
          <w:sz w:val="20"/>
          <w:szCs w:val="20"/>
        </w:rPr>
        <w:t xml:space="preserve"> </w:t>
      </w:r>
      <w:r w:rsidR="00FA4681" w:rsidRPr="008C4B3B">
        <w:rPr>
          <w:color w:val="000000" w:themeColor="text1"/>
          <w:sz w:val="20"/>
          <w:szCs w:val="20"/>
        </w:rPr>
        <w:t>o</w:t>
      </w:r>
      <w:r w:rsidR="00FA4681">
        <w:rPr>
          <w:color w:val="000000" w:themeColor="text1"/>
          <w:sz w:val="20"/>
          <w:szCs w:val="20"/>
        </w:rPr>
        <w:t>n</w:t>
      </w:r>
      <w:r w:rsidR="00FF41A0">
        <w:rPr>
          <w:color w:val="000000" w:themeColor="text1"/>
          <w:sz w:val="20"/>
          <w:szCs w:val="20"/>
        </w:rPr>
        <w:t xml:space="preserve"> </w:t>
      </w:r>
      <w:r w:rsidR="00FA4681">
        <w:rPr>
          <w:color w:val="000000" w:themeColor="text1"/>
          <w:sz w:val="20"/>
          <w:szCs w:val="20"/>
        </w:rPr>
        <w:t>behalf</w:t>
      </w:r>
      <w:r w:rsidR="00FF41A0">
        <w:rPr>
          <w:color w:val="000000" w:themeColor="text1"/>
          <w:sz w:val="20"/>
          <w:szCs w:val="20"/>
        </w:rPr>
        <w:t xml:space="preserve"> </w:t>
      </w:r>
      <w:r w:rsidR="00FA4681">
        <w:rPr>
          <w:color w:val="000000" w:themeColor="text1"/>
          <w:sz w:val="20"/>
          <w:szCs w:val="20"/>
        </w:rPr>
        <w:t>of</w:t>
      </w:r>
      <w:r w:rsidR="00FF41A0">
        <w:rPr>
          <w:color w:val="000000" w:themeColor="text1"/>
          <w:sz w:val="20"/>
          <w:szCs w:val="20"/>
        </w:rPr>
        <w:t xml:space="preserve"> </w:t>
      </w:r>
      <w:r w:rsidR="00985537" w:rsidRPr="00985537">
        <w:rPr>
          <w:color w:val="000000" w:themeColor="text1"/>
          <w:sz w:val="20"/>
          <w:szCs w:val="20"/>
        </w:rPr>
        <w:t>Albania</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Algeria</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Andorra</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Angola</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Argentina</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Armenia</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Austria</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Azerbaijan</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Belgium</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Bulgaria</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Chile</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Colombia</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Croatia</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Cyprus</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Czechia</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Denmark</w:t>
      </w:r>
      <w:r w:rsidR="00985537">
        <w:rPr>
          <w:color w:val="000000" w:themeColor="text1"/>
          <w:sz w:val="20"/>
          <w:szCs w:val="20"/>
        </w:rPr>
        <w:t>,</w:t>
      </w:r>
      <w:r w:rsidR="00FF41A0">
        <w:rPr>
          <w:color w:val="000000" w:themeColor="text1"/>
          <w:sz w:val="20"/>
          <w:szCs w:val="20"/>
        </w:rPr>
        <w:t xml:space="preserve"> </w:t>
      </w:r>
      <w:r w:rsidR="00632E3A">
        <w:rPr>
          <w:color w:val="000000" w:themeColor="text1"/>
          <w:sz w:val="20"/>
          <w:szCs w:val="20"/>
        </w:rPr>
        <w:t xml:space="preserve">the Dominican Republic, </w:t>
      </w:r>
      <w:r w:rsidR="00985537" w:rsidRPr="00985537">
        <w:rPr>
          <w:color w:val="000000" w:themeColor="text1"/>
          <w:sz w:val="20"/>
          <w:szCs w:val="20"/>
        </w:rPr>
        <w:t>Ecuador</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El</w:t>
      </w:r>
      <w:r w:rsidR="00FF41A0">
        <w:rPr>
          <w:color w:val="000000" w:themeColor="text1"/>
          <w:sz w:val="20"/>
          <w:szCs w:val="20"/>
        </w:rPr>
        <w:t xml:space="preserve"> </w:t>
      </w:r>
      <w:r w:rsidR="00985537" w:rsidRPr="00985537">
        <w:rPr>
          <w:color w:val="000000" w:themeColor="text1"/>
          <w:sz w:val="20"/>
          <w:szCs w:val="20"/>
        </w:rPr>
        <w:t>Salvador</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Estonia</w:t>
      </w:r>
      <w:r w:rsidR="00985537">
        <w:rPr>
          <w:color w:val="000000" w:themeColor="text1"/>
          <w:sz w:val="20"/>
          <w:szCs w:val="20"/>
        </w:rPr>
        <w:t>,</w:t>
      </w:r>
      <w:r w:rsidR="00FF41A0">
        <w:rPr>
          <w:color w:val="000000" w:themeColor="text1"/>
          <w:sz w:val="20"/>
          <w:szCs w:val="20"/>
        </w:rPr>
        <w:t xml:space="preserve"> </w:t>
      </w:r>
      <w:r w:rsidR="00985537">
        <w:rPr>
          <w:color w:val="000000" w:themeColor="text1"/>
          <w:sz w:val="20"/>
          <w:szCs w:val="20"/>
        </w:rPr>
        <w:t>Fiji,</w:t>
      </w:r>
      <w:r w:rsidR="00FF41A0">
        <w:rPr>
          <w:color w:val="000000" w:themeColor="text1"/>
          <w:sz w:val="20"/>
          <w:szCs w:val="20"/>
        </w:rPr>
        <w:t xml:space="preserve"> </w:t>
      </w:r>
      <w:r w:rsidR="00985537" w:rsidRPr="00985537">
        <w:rPr>
          <w:color w:val="000000" w:themeColor="text1"/>
          <w:sz w:val="20"/>
          <w:szCs w:val="20"/>
        </w:rPr>
        <w:t>Finland</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France</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Georgia</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Germany</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Greece</w:t>
      </w:r>
      <w:r w:rsidR="00985537">
        <w:rPr>
          <w:color w:val="000000" w:themeColor="text1"/>
          <w:sz w:val="20"/>
          <w:szCs w:val="20"/>
        </w:rPr>
        <w:t>,</w:t>
      </w:r>
      <w:r w:rsidR="00FF41A0">
        <w:rPr>
          <w:color w:val="000000" w:themeColor="text1"/>
          <w:sz w:val="20"/>
          <w:szCs w:val="20"/>
        </w:rPr>
        <w:t xml:space="preserve"> </w:t>
      </w:r>
      <w:r w:rsidR="00CD59F1">
        <w:rPr>
          <w:color w:val="000000" w:themeColor="text1"/>
          <w:sz w:val="20"/>
          <w:szCs w:val="20"/>
        </w:rPr>
        <w:t>Guatemala,</w:t>
      </w:r>
      <w:r w:rsidR="00FF41A0">
        <w:rPr>
          <w:color w:val="000000" w:themeColor="text1"/>
          <w:sz w:val="20"/>
          <w:szCs w:val="20"/>
        </w:rPr>
        <w:t xml:space="preserve"> </w:t>
      </w:r>
      <w:r w:rsidR="00985537" w:rsidRPr="00985537">
        <w:rPr>
          <w:color w:val="000000" w:themeColor="text1"/>
          <w:sz w:val="20"/>
          <w:szCs w:val="20"/>
        </w:rPr>
        <w:t>Honduras</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Hungary</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Iceland</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Ireland</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Italy</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Japan</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Latvia</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Li</w:t>
      </w:r>
      <w:r w:rsidR="00985537">
        <w:rPr>
          <w:color w:val="000000" w:themeColor="text1"/>
          <w:sz w:val="20"/>
          <w:szCs w:val="20"/>
        </w:rPr>
        <w:t>e</w:t>
      </w:r>
      <w:r w:rsidR="00985537" w:rsidRPr="00985537">
        <w:rPr>
          <w:color w:val="000000" w:themeColor="text1"/>
          <w:sz w:val="20"/>
          <w:szCs w:val="20"/>
        </w:rPr>
        <w:t>chtenstein</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Lithuania</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Luxembourg</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Malta</w:t>
      </w:r>
      <w:r w:rsidR="00985537">
        <w:rPr>
          <w:color w:val="000000" w:themeColor="text1"/>
          <w:sz w:val="20"/>
          <w:szCs w:val="20"/>
        </w:rPr>
        <w:t>,</w:t>
      </w:r>
      <w:r w:rsidR="00FF41A0">
        <w:rPr>
          <w:color w:val="000000" w:themeColor="text1"/>
          <w:sz w:val="20"/>
          <w:szCs w:val="20"/>
        </w:rPr>
        <w:t xml:space="preserve"> </w:t>
      </w:r>
      <w:r w:rsidR="00985537">
        <w:rPr>
          <w:color w:val="000000" w:themeColor="text1"/>
          <w:sz w:val="20"/>
          <w:szCs w:val="20"/>
        </w:rPr>
        <w:t>the</w:t>
      </w:r>
      <w:r w:rsidR="00FF41A0">
        <w:rPr>
          <w:color w:val="000000" w:themeColor="text1"/>
          <w:sz w:val="20"/>
          <w:szCs w:val="20"/>
        </w:rPr>
        <w:t xml:space="preserve"> </w:t>
      </w:r>
      <w:r w:rsidR="00985537">
        <w:rPr>
          <w:color w:val="000000" w:themeColor="text1"/>
          <w:sz w:val="20"/>
          <w:szCs w:val="20"/>
        </w:rPr>
        <w:t>Marshall</w:t>
      </w:r>
      <w:r w:rsidR="00FF41A0">
        <w:rPr>
          <w:color w:val="000000" w:themeColor="text1"/>
          <w:sz w:val="20"/>
          <w:szCs w:val="20"/>
        </w:rPr>
        <w:t xml:space="preserve"> </w:t>
      </w:r>
      <w:r w:rsidR="00985537">
        <w:rPr>
          <w:color w:val="000000" w:themeColor="text1"/>
          <w:sz w:val="20"/>
          <w:szCs w:val="20"/>
        </w:rPr>
        <w:t>Islands,</w:t>
      </w:r>
      <w:r w:rsidR="00FF41A0">
        <w:rPr>
          <w:color w:val="000000" w:themeColor="text1"/>
          <w:sz w:val="20"/>
          <w:szCs w:val="20"/>
        </w:rPr>
        <w:t xml:space="preserve"> </w:t>
      </w:r>
      <w:r w:rsidR="00360E31">
        <w:rPr>
          <w:color w:val="000000" w:themeColor="text1"/>
          <w:sz w:val="20"/>
          <w:szCs w:val="20"/>
        </w:rPr>
        <w:t>Mauritius,</w:t>
      </w:r>
      <w:r w:rsidR="00FF41A0">
        <w:rPr>
          <w:color w:val="000000" w:themeColor="text1"/>
          <w:sz w:val="20"/>
          <w:szCs w:val="20"/>
        </w:rPr>
        <w:t xml:space="preserve"> </w:t>
      </w:r>
      <w:r w:rsidR="00985537">
        <w:rPr>
          <w:color w:val="000000" w:themeColor="text1"/>
          <w:sz w:val="20"/>
          <w:szCs w:val="20"/>
        </w:rPr>
        <w:t>Mexico,</w:t>
      </w:r>
      <w:r w:rsidR="00FF41A0">
        <w:rPr>
          <w:color w:val="000000" w:themeColor="text1"/>
          <w:sz w:val="20"/>
          <w:szCs w:val="20"/>
        </w:rPr>
        <w:t xml:space="preserve"> </w:t>
      </w:r>
      <w:r w:rsidR="00985537" w:rsidRPr="00985537">
        <w:rPr>
          <w:color w:val="000000" w:themeColor="text1"/>
          <w:sz w:val="20"/>
          <w:szCs w:val="20"/>
        </w:rPr>
        <w:t>Monaco</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Mongolia</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Montenegro</w:t>
      </w:r>
      <w:r w:rsidR="00985537">
        <w:rPr>
          <w:color w:val="000000" w:themeColor="text1"/>
          <w:sz w:val="20"/>
          <w:szCs w:val="20"/>
        </w:rPr>
        <w:t>,</w:t>
      </w:r>
      <w:r w:rsidR="00FF41A0">
        <w:rPr>
          <w:color w:val="000000" w:themeColor="text1"/>
          <w:sz w:val="20"/>
          <w:szCs w:val="20"/>
        </w:rPr>
        <w:t xml:space="preserve"> </w:t>
      </w:r>
      <w:r w:rsidR="00985537">
        <w:rPr>
          <w:color w:val="000000" w:themeColor="text1"/>
          <w:sz w:val="20"/>
          <w:szCs w:val="20"/>
        </w:rPr>
        <w:t>the</w:t>
      </w:r>
      <w:r w:rsidR="00FF41A0">
        <w:rPr>
          <w:color w:val="000000" w:themeColor="text1"/>
          <w:sz w:val="20"/>
          <w:szCs w:val="20"/>
        </w:rPr>
        <w:t xml:space="preserve"> </w:t>
      </w:r>
      <w:r w:rsidR="00985537" w:rsidRPr="00985537">
        <w:rPr>
          <w:color w:val="000000" w:themeColor="text1"/>
          <w:sz w:val="20"/>
          <w:szCs w:val="20"/>
        </w:rPr>
        <w:t>Netherlands</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New</w:t>
      </w:r>
      <w:r w:rsidR="00FF41A0">
        <w:rPr>
          <w:color w:val="000000" w:themeColor="text1"/>
          <w:sz w:val="20"/>
          <w:szCs w:val="20"/>
        </w:rPr>
        <w:t xml:space="preserve"> </w:t>
      </w:r>
      <w:r w:rsidR="00985537" w:rsidRPr="00985537">
        <w:rPr>
          <w:color w:val="000000" w:themeColor="text1"/>
          <w:sz w:val="20"/>
          <w:szCs w:val="20"/>
        </w:rPr>
        <w:t>Zealand</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Norway</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Poland</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Portugal</w:t>
      </w:r>
      <w:r w:rsidR="00985537">
        <w:rPr>
          <w:color w:val="000000" w:themeColor="text1"/>
          <w:sz w:val="20"/>
          <w:szCs w:val="20"/>
        </w:rPr>
        <w:t>,</w:t>
      </w:r>
      <w:r w:rsidR="00FF41A0">
        <w:rPr>
          <w:color w:val="000000" w:themeColor="text1"/>
          <w:sz w:val="20"/>
          <w:szCs w:val="20"/>
        </w:rPr>
        <w:t xml:space="preserve"> </w:t>
      </w:r>
      <w:r w:rsidR="00985537">
        <w:rPr>
          <w:color w:val="000000" w:themeColor="text1"/>
          <w:sz w:val="20"/>
          <w:szCs w:val="20"/>
        </w:rPr>
        <w:t>the</w:t>
      </w:r>
      <w:r w:rsidR="00FF41A0">
        <w:rPr>
          <w:color w:val="000000" w:themeColor="text1"/>
          <w:sz w:val="20"/>
          <w:szCs w:val="20"/>
        </w:rPr>
        <w:t xml:space="preserve"> </w:t>
      </w:r>
      <w:r w:rsidR="00985537">
        <w:rPr>
          <w:color w:val="000000" w:themeColor="text1"/>
          <w:sz w:val="20"/>
          <w:szCs w:val="20"/>
        </w:rPr>
        <w:t>Republic</w:t>
      </w:r>
      <w:r w:rsidR="00FF41A0">
        <w:rPr>
          <w:color w:val="000000" w:themeColor="text1"/>
          <w:sz w:val="20"/>
          <w:szCs w:val="20"/>
        </w:rPr>
        <w:t xml:space="preserve"> </w:t>
      </w:r>
      <w:r w:rsidR="00985537">
        <w:rPr>
          <w:color w:val="000000" w:themeColor="text1"/>
          <w:sz w:val="20"/>
          <w:szCs w:val="20"/>
        </w:rPr>
        <w:t>of</w:t>
      </w:r>
      <w:r w:rsidR="00FF41A0">
        <w:rPr>
          <w:color w:val="000000" w:themeColor="text1"/>
          <w:sz w:val="20"/>
          <w:szCs w:val="20"/>
        </w:rPr>
        <w:t xml:space="preserve"> </w:t>
      </w:r>
      <w:r w:rsidR="00985537" w:rsidRPr="00985537">
        <w:rPr>
          <w:color w:val="000000" w:themeColor="text1"/>
          <w:sz w:val="20"/>
          <w:szCs w:val="20"/>
        </w:rPr>
        <w:t>Moldova</w:t>
      </w:r>
      <w:r w:rsidR="00985537">
        <w:rPr>
          <w:color w:val="000000" w:themeColor="text1"/>
          <w:sz w:val="20"/>
          <w:szCs w:val="20"/>
        </w:rPr>
        <w:t>,</w:t>
      </w:r>
      <w:r w:rsidR="00FF41A0">
        <w:rPr>
          <w:color w:val="000000" w:themeColor="text1"/>
          <w:sz w:val="20"/>
          <w:szCs w:val="20"/>
        </w:rPr>
        <w:t xml:space="preserve"> </w:t>
      </w:r>
      <w:r w:rsidR="00985537">
        <w:rPr>
          <w:color w:val="000000" w:themeColor="text1"/>
          <w:sz w:val="20"/>
          <w:szCs w:val="20"/>
        </w:rPr>
        <w:t>the</w:t>
      </w:r>
      <w:r w:rsidR="00FF41A0">
        <w:rPr>
          <w:color w:val="000000" w:themeColor="text1"/>
          <w:sz w:val="20"/>
          <w:szCs w:val="20"/>
        </w:rPr>
        <w:t xml:space="preserve"> </w:t>
      </w:r>
      <w:r w:rsidR="00985537" w:rsidRPr="00985537">
        <w:rPr>
          <w:color w:val="000000" w:themeColor="text1"/>
          <w:sz w:val="20"/>
          <w:szCs w:val="20"/>
        </w:rPr>
        <w:t>Republic</w:t>
      </w:r>
      <w:r w:rsidR="00FF41A0">
        <w:rPr>
          <w:color w:val="000000" w:themeColor="text1"/>
          <w:sz w:val="20"/>
          <w:szCs w:val="20"/>
        </w:rPr>
        <w:t xml:space="preserve"> </w:t>
      </w:r>
      <w:r w:rsidR="00985537" w:rsidRPr="00985537">
        <w:rPr>
          <w:color w:val="000000" w:themeColor="text1"/>
          <w:sz w:val="20"/>
          <w:szCs w:val="20"/>
        </w:rPr>
        <w:t>of</w:t>
      </w:r>
      <w:r w:rsidR="00FF41A0">
        <w:rPr>
          <w:color w:val="000000" w:themeColor="text1"/>
          <w:sz w:val="20"/>
          <w:szCs w:val="20"/>
        </w:rPr>
        <w:t xml:space="preserve"> </w:t>
      </w:r>
      <w:r w:rsidR="00985537" w:rsidRPr="00985537">
        <w:rPr>
          <w:color w:val="000000" w:themeColor="text1"/>
          <w:sz w:val="20"/>
          <w:szCs w:val="20"/>
        </w:rPr>
        <w:t>Korea</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Romania</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Samoa</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Slovenia</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Spain</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Sri</w:t>
      </w:r>
      <w:r w:rsidR="00FF41A0">
        <w:rPr>
          <w:color w:val="000000" w:themeColor="text1"/>
          <w:sz w:val="20"/>
          <w:szCs w:val="20"/>
        </w:rPr>
        <w:t xml:space="preserve"> </w:t>
      </w:r>
      <w:r w:rsidR="00985537" w:rsidRPr="00985537">
        <w:rPr>
          <w:color w:val="000000" w:themeColor="text1"/>
          <w:sz w:val="20"/>
          <w:szCs w:val="20"/>
        </w:rPr>
        <w:t>Lanka</w:t>
      </w:r>
      <w:r w:rsidR="00985537">
        <w:rPr>
          <w:color w:val="000000" w:themeColor="text1"/>
          <w:sz w:val="20"/>
          <w:szCs w:val="20"/>
        </w:rPr>
        <w:t>,</w:t>
      </w:r>
      <w:r w:rsidR="00FF41A0">
        <w:rPr>
          <w:color w:val="000000" w:themeColor="text1"/>
          <w:sz w:val="20"/>
          <w:szCs w:val="20"/>
        </w:rPr>
        <w:t xml:space="preserve"> </w:t>
      </w:r>
      <w:r w:rsidR="00985537">
        <w:rPr>
          <w:color w:val="000000" w:themeColor="text1"/>
          <w:sz w:val="20"/>
          <w:szCs w:val="20"/>
        </w:rPr>
        <w:t>Sweden,</w:t>
      </w:r>
      <w:r w:rsidR="00FF41A0">
        <w:rPr>
          <w:color w:val="000000" w:themeColor="text1"/>
          <w:sz w:val="20"/>
          <w:szCs w:val="20"/>
        </w:rPr>
        <w:t xml:space="preserve"> </w:t>
      </w:r>
      <w:r w:rsidR="00985537" w:rsidRPr="00985537">
        <w:rPr>
          <w:color w:val="000000" w:themeColor="text1"/>
          <w:sz w:val="20"/>
          <w:szCs w:val="20"/>
        </w:rPr>
        <w:t>Switzerland</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Trinidad</w:t>
      </w:r>
      <w:r w:rsidR="00FF41A0">
        <w:rPr>
          <w:color w:val="000000" w:themeColor="text1"/>
          <w:sz w:val="20"/>
          <w:szCs w:val="20"/>
        </w:rPr>
        <w:t xml:space="preserve"> </w:t>
      </w:r>
      <w:r w:rsidR="00985537" w:rsidRPr="00985537">
        <w:rPr>
          <w:color w:val="000000" w:themeColor="text1"/>
          <w:sz w:val="20"/>
          <w:szCs w:val="20"/>
        </w:rPr>
        <w:t>and</w:t>
      </w:r>
      <w:r w:rsidR="00FF41A0">
        <w:rPr>
          <w:color w:val="000000" w:themeColor="text1"/>
          <w:sz w:val="20"/>
          <w:szCs w:val="20"/>
        </w:rPr>
        <w:t xml:space="preserve"> </w:t>
      </w:r>
      <w:r w:rsidR="00985537" w:rsidRPr="00985537">
        <w:rPr>
          <w:color w:val="000000" w:themeColor="text1"/>
          <w:sz w:val="20"/>
          <w:szCs w:val="20"/>
        </w:rPr>
        <w:t>Tobago</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Turkey</w:t>
      </w:r>
      <w:r w:rsidR="00985537">
        <w:rPr>
          <w:color w:val="000000" w:themeColor="text1"/>
          <w:sz w:val="20"/>
          <w:szCs w:val="20"/>
        </w:rPr>
        <w:t>,</w:t>
      </w:r>
      <w:r w:rsidR="00FF41A0">
        <w:rPr>
          <w:color w:val="000000" w:themeColor="text1"/>
          <w:sz w:val="20"/>
          <w:szCs w:val="20"/>
        </w:rPr>
        <w:t xml:space="preserve"> </w:t>
      </w:r>
      <w:r w:rsidR="00985537">
        <w:rPr>
          <w:color w:val="000000" w:themeColor="text1"/>
          <w:sz w:val="20"/>
          <w:szCs w:val="20"/>
        </w:rPr>
        <w:t>the</w:t>
      </w:r>
      <w:r w:rsidR="00FF41A0">
        <w:rPr>
          <w:color w:val="000000" w:themeColor="text1"/>
          <w:sz w:val="20"/>
          <w:szCs w:val="20"/>
        </w:rPr>
        <w:t xml:space="preserve"> </w:t>
      </w:r>
      <w:r w:rsidR="00985537" w:rsidRPr="008C4B3B">
        <w:rPr>
          <w:color w:val="000000" w:themeColor="text1"/>
          <w:sz w:val="20"/>
          <w:szCs w:val="20"/>
        </w:rPr>
        <w:t>United</w:t>
      </w:r>
      <w:r w:rsidR="00FF41A0">
        <w:rPr>
          <w:color w:val="000000" w:themeColor="text1"/>
          <w:sz w:val="20"/>
          <w:szCs w:val="20"/>
        </w:rPr>
        <w:t xml:space="preserve"> </w:t>
      </w:r>
      <w:r w:rsidR="00985537" w:rsidRPr="008C4B3B">
        <w:rPr>
          <w:color w:val="000000" w:themeColor="text1"/>
          <w:sz w:val="20"/>
          <w:szCs w:val="20"/>
        </w:rPr>
        <w:t>Kingdom</w:t>
      </w:r>
      <w:r w:rsidR="00FF41A0">
        <w:rPr>
          <w:color w:val="000000" w:themeColor="text1"/>
          <w:sz w:val="20"/>
          <w:szCs w:val="20"/>
        </w:rPr>
        <w:t xml:space="preserve"> </w:t>
      </w:r>
      <w:r w:rsidR="00985537" w:rsidRPr="008C4B3B">
        <w:rPr>
          <w:color w:val="000000" w:themeColor="text1"/>
          <w:sz w:val="20"/>
          <w:szCs w:val="20"/>
        </w:rPr>
        <w:t>of</w:t>
      </w:r>
      <w:r w:rsidR="00FF41A0">
        <w:rPr>
          <w:color w:val="000000" w:themeColor="text1"/>
          <w:sz w:val="20"/>
          <w:szCs w:val="20"/>
        </w:rPr>
        <w:t xml:space="preserve"> </w:t>
      </w:r>
      <w:r w:rsidR="00985537" w:rsidRPr="008C4B3B">
        <w:rPr>
          <w:color w:val="000000" w:themeColor="text1"/>
          <w:sz w:val="20"/>
          <w:szCs w:val="20"/>
        </w:rPr>
        <w:t>Great</w:t>
      </w:r>
      <w:r w:rsidR="00FF41A0">
        <w:rPr>
          <w:color w:val="000000" w:themeColor="text1"/>
          <w:sz w:val="20"/>
          <w:szCs w:val="20"/>
        </w:rPr>
        <w:t xml:space="preserve"> </w:t>
      </w:r>
      <w:r w:rsidR="00985537" w:rsidRPr="008C4B3B">
        <w:rPr>
          <w:color w:val="000000" w:themeColor="text1"/>
          <w:sz w:val="20"/>
          <w:szCs w:val="20"/>
        </w:rPr>
        <w:t>Britain</w:t>
      </w:r>
      <w:r w:rsidR="00FF41A0">
        <w:rPr>
          <w:color w:val="000000" w:themeColor="text1"/>
          <w:sz w:val="20"/>
          <w:szCs w:val="20"/>
        </w:rPr>
        <w:t xml:space="preserve"> </w:t>
      </w:r>
      <w:r w:rsidR="00985537" w:rsidRPr="008C4B3B">
        <w:rPr>
          <w:color w:val="000000" w:themeColor="text1"/>
          <w:sz w:val="20"/>
          <w:szCs w:val="20"/>
        </w:rPr>
        <w:t>and</w:t>
      </w:r>
      <w:r w:rsidR="00FF41A0">
        <w:rPr>
          <w:color w:val="000000" w:themeColor="text1"/>
          <w:sz w:val="20"/>
          <w:szCs w:val="20"/>
        </w:rPr>
        <w:t xml:space="preserve"> </w:t>
      </w:r>
      <w:r w:rsidR="00985537" w:rsidRPr="008C4B3B">
        <w:rPr>
          <w:color w:val="000000" w:themeColor="text1"/>
          <w:sz w:val="20"/>
          <w:szCs w:val="20"/>
        </w:rPr>
        <w:t>Northern</w:t>
      </w:r>
      <w:r w:rsidR="00FF41A0">
        <w:rPr>
          <w:color w:val="000000" w:themeColor="text1"/>
          <w:sz w:val="20"/>
          <w:szCs w:val="20"/>
        </w:rPr>
        <w:t xml:space="preserve"> </w:t>
      </w:r>
      <w:r w:rsidR="00985537" w:rsidRPr="008C4B3B">
        <w:rPr>
          <w:color w:val="000000" w:themeColor="text1"/>
          <w:sz w:val="20"/>
          <w:szCs w:val="20"/>
        </w:rPr>
        <w:t>Ireland</w:t>
      </w:r>
      <w:r w:rsidR="00985537">
        <w:rPr>
          <w:color w:val="000000" w:themeColor="text1"/>
          <w:sz w:val="20"/>
          <w:szCs w:val="20"/>
        </w:rPr>
        <w:t>,</w:t>
      </w:r>
      <w:r w:rsidR="00FF41A0">
        <w:rPr>
          <w:color w:val="000000" w:themeColor="text1"/>
          <w:sz w:val="20"/>
          <w:szCs w:val="20"/>
        </w:rPr>
        <w:t xml:space="preserve"> </w:t>
      </w:r>
      <w:r w:rsidR="00985537" w:rsidRPr="00985537">
        <w:rPr>
          <w:color w:val="000000" w:themeColor="text1"/>
          <w:sz w:val="20"/>
          <w:szCs w:val="20"/>
        </w:rPr>
        <w:t>Ukraine</w:t>
      </w:r>
      <w:r w:rsidR="00FF41A0">
        <w:rPr>
          <w:color w:val="000000" w:themeColor="text1"/>
          <w:sz w:val="20"/>
          <w:szCs w:val="20"/>
        </w:rPr>
        <w:t xml:space="preserve"> </w:t>
      </w:r>
      <w:r w:rsidR="00985537">
        <w:rPr>
          <w:color w:val="000000" w:themeColor="text1"/>
          <w:sz w:val="20"/>
          <w:szCs w:val="20"/>
        </w:rPr>
        <w:t>and</w:t>
      </w:r>
      <w:r w:rsidR="00FF41A0">
        <w:rPr>
          <w:color w:val="000000" w:themeColor="text1"/>
          <w:sz w:val="20"/>
          <w:szCs w:val="20"/>
        </w:rPr>
        <w:t xml:space="preserve"> </w:t>
      </w:r>
      <w:r w:rsidR="00985537" w:rsidRPr="00985537">
        <w:rPr>
          <w:color w:val="000000" w:themeColor="text1"/>
          <w:sz w:val="20"/>
          <w:szCs w:val="20"/>
        </w:rPr>
        <w:t>Uruguay</w:t>
      </w:r>
      <w:r w:rsidR="00FA4681">
        <w:rPr>
          <w:color w:val="000000" w:themeColor="text1"/>
          <w:sz w:val="20"/>
          <w:szCs w:val="20"/>
        </w:rPr>
        <w:t>),</w:t>
      </w:r>
      <w:r w:rsidR="00FF41A0">
        <w:rPr>
          <w:color w:val="000000" w:themeColor="text1"/>
          <w:sz w:val="20"/>
          <w:szCs w:val="20"/>
        </w:rPr>
        <w:t xml:space="preserve"> </w:t>
      </w:r>
      <w:r w:rsidR="00FA4681" w:rsidRPr="0069044B">
        <w:rPr>
          <w:color w:val="000000" w:themeColor="text1"/>
          <w:sz w:val="20"/>
          <w:szCs w:val="20"/>
        </w:rPr>
        <w:t>Bahrain</w:t>
      </w:r>
      <w:r w:rsidR="00FF41A0">
        <w:rPr>
          <w:color w:val="000000" w:themeColor="text1"/>
          <w:sz w:val="20"/>
          <w:szCs w:val="20"/>
        </w:rPr>
        <w:t xml:space="preserve"> </w:t>
      </w:r>
      <w:r w:rsidR="00FA4681">
        <w:rPr>
          <w:color w:val="000000" w:themeColor="text1"/>
          <w:sz w:val="20"/>
          <w:szCs w:val="20"/>
        </w:rPr>
        <w:t>(also</w:t>
      </w:r>
      <w:r w:rsidR="00FF41A0">
        <w:rPr>
          <w:color w:val="000000" w:themeColor="text1"/>
          <w:sz w:val="20"/>
          <w:szCs w:val="20"/>
        </w:rPr>
        <w:t xml:space="preserve"> </w:t>
      </w:r>
      <w:r w:rsidR="00FA4681" w:rsidRPr="0069044B">
        <w:rPr>
          <w:color w:val="000000" w:themeColor="text1"/>
          <w:sz w:val="20"/>
          <w:szCs w:val="20"/>
        </w:rPr>
        <w:t>on</w:t>
      </w:r>
      <w:r w:rsidR="00FF41A0">
        <w:rPr>
          <w:color w:val="000000" w:themeColor="text1"/>
          <w:sz w:val="20"/>
          <w:szCs w:val="20"/>
        </w:rPr>
        <w:t xml:space="preserve"> </w:t>
      </w:r>
      <w:r w:rsidR="00FA4681" w:rsidRPr="0069044B">
        <w:rPr>
          <w:color w:val="000000" w:themeColor="text1"/>
          <w:sz w:val="20"/>
          <w:szCs w:val="20"/>
        </w:rPr>
        <w:t>behalf</w:t>
      </w:r>
      <w:r w:rsidR="00FF41A0">
        <w:rPr>
          <w:color w:val="000000" w:themeColor="text1"/>
          <w:sz w:val="20"/>
          <w:szCs w:val="20"/>
        </w:rPr>
        <w:t xml:space="preserve"> </w:t>
      </w:r>
      <w:r w:rsidR="00FA4681" w:rsidRPr="0069044B">
        <w:rPr>
          <w:color w:val="000000" w:themeColor="text1"/>
          <w:sz w:val="20"/>
          <w:szCs w:val="20"/>
        </w:rPr>
        <w:t>of</w:t>
      </w:r>
      <w:r w:rsidR="00FF41A0">
        <w:rPr>
          <w:color w:val="000000" w:themeColor="text1"/>
          <w:sz w:val="20"/>
          <w:szCs w:val="20"/>
        </w:rPr>
        <w:t xml:space="preserve"> </w:t>
      </w:r>
      <w:r w:rsidR="00FA4681" w:rsidRPr="0069044B">
        <w:rPr>
          <w:color w:val="000000" w:themeColor="text1"/>
          <w:sz w:val="20"/>
          <w:szCs w:val="20"/>
        </w:rPr>
        <w:t>the</w:t>
      </w:r>
      <w:r w:rsidR="00FF41A0">
        <w:rPr>
          <w:color w:val="000000" w:themeColor="text1"/>
          <w:sz w:val="20"/>
          <w:szCs w:val="20"/>
        </w:rPr>
        <w:t xml:space="preserve"> </w:t>
      </w:r>
      <w:r w:rsidR="00FA4681" w:rsidRPr="0069044B">
        <w:rPr>
          <w:color w:val="000000" w:themeColor="text1"/>
          <w:sz w:val="20"/>
          <w:szCs w:val="20"/>
        </w:rPr>
        <w:t>Group</w:t>
      </w:r>
      <w:r w:rsidR="00FF41A0">
        <w:rPr>
          <w:color w:val="000000" w:themeColor="text1"/>
          <w:sz w:val="20"/>
          <w:szCs w:val="20"/>
        </w:rPr>
        <w:t xml:space="preserve"> </w:t>
      </w:r>
      <w:r w:rsidR="00FA4681">
        <w:rPr>
          <w:color w:val="000000" w:themeColor="text1"/>
          <w:sz w:val="20"/>
          <w:szCs w:val="20"/>
        </w:rPr>
        <w:t>of</w:t>
      </w:r>
      <w:r w:rsidR="00FF41A0">
        <w:rPr>
          <w:color w:val="000000" w:themeColor="text1"/>
          <w:sz w:val="20"/>
          <w:szCs w:val="20"/>
        </w:rPr>
        <w:t xml:space="preserve"> </w:t>
      </w:r>
      <w:r w:rsidR="00FA4681" w:rsidRPr="0069044B">
        <w:rPr>
          <w:color w:val="000000" w:themeColor="text1"/>
          <w:sz w:val="20"/>
          <w:szCs w:val="20"/>
        </w:rPr>
        <w:t>Arab</w:t>
      </w:r>
      <w:r w:rsidR="00FF41A0">
        <w:rPr>
          <w:color w:val="000000" w:themeColor="text1"/>
          <w:sz w:val="20"/>
          <w:szCs w:val="20"/>
        </w:rPr>
        <w:t xml:space="preserve"> </w:t>
      </w:r>
      <w:r w:rsidR="00FA4681">
        <w:rPr>
          <w:color w:val="000000" w:themeColor="text1"/>
          <w:sz w:val="20"/>
          <w:szCs w:val="20"/>
        </w:rPr>
        <w:t>States),</w:t>
      </w:r>
      <w:r w:rsidR="00FF41A0">
        <w:rPr>
          <w:color w:val="000000" w:themeColor="text1"/>
          <w:sz w:val="20"/>
          <w:szCs w:val="20"/>
        </w:rPr>
        <w:t xml:space="preserve"> </w:t>
      </w:r>
      <w:r w:rsidR="00FA4681" w:rsidRPr="008C4B3B">
        <w:rPr>
          <w:color w:val="000000" w:themeColor="text1"/>
          <w:sz w:val="20"/>
          <w:szCs w:val="20"/>
        </w:rPr>
        <w:t>Bolivia</w:t>
      </w:r>
      <w:r w:rsidR="00FF41A0">
        <w:rPr>
          <w:color w:val="000000" w:themeColor="text1"/>
          <w:sz w:val="20"/>
          <w:szCs w:val="20"/>
        </w:rPr>
        <w:t xml:space="preserve"> </w:t>
      </w:r>
      <w:r w:rsidR="00FA4681" w:rsidRPr="008C4B3B">
        <w:rPr>
          <w:color w:val="000000" w:themeColor="text1"/>
          <w:sz w:val="20"/>
          <w:szCs w:val="20"/>
        </w:rPr>
        <w:t>(Plurinational</w:t>
      </w:r>
      <w:r w:rsidR="00FF41A0">
        <w:rPr>
          <w:color w:val="000000" w:themeColor="text1"/>
          <w:sz w:val="20"/>
          <w:szCs w:val="20"/>
        </w:rPr>
        <w:t xml:space="preserve"> </w:t>
      </w:r>
      <w:r w:rsidR="00FA4681" w:rsidRPr="008C4B3B">
        <w:rPr>
          <w:color w:val="000000" w:themeColor="text1"/>
          <w:sz w:val="20"/>
          <w:szCs w:val="20"/>
        </w:rPr>
        <w:t>State</w:t>
      </w:r>
      <w:r w:rsidR="00FF41A0">
        <w:rPr>
          <w:color w:val="000000" w:themeColor="text1"/>
          <w:sz w:val="20"/>
          <w:szCs w:val="20"/>
        </w:rPr>
        <w:t xml:space="preserve"> </w:t>
      </w:r>
      <w:r w:rsidR="00FA4681" w:rsidRPr="008C4B3B">
        <w:rPr>
          <w:color w:val="000000" w:themeColor="text1"/>
          <w:sz w:val="20"/>
          <w:szCs w:val="20"/>
        </w:rPr>
        <w:t>of)</w:t>
      </w:r>
      <w:r w:rsidR="000943B0">
        <w:rPr>
          <w:rStyle w:val="FootnoteReference"/>
          <w:color w:val="000000" w:themeColor="text1"/>
          <w:szCs w:val="20"/>
        </w:rPr>
        <w:footnoteReference w:id="69"/>
      </w:r>
      <w:r w:rsidR="00FF41A0">
        <w:rPr>
          <w:color w:val="000000" w:themeColor="text1"/>
          <w:sz w:val="20"/>
          <w:szCs w:val="20"/>
        </w:rPr>
        <w:t xml:space="preserve"> </w:t>
      </w:r>
      <w:r w:rsidR="00FA4681">
        <w:rPr>
          <w:color w:val="000000" w:themeColor="text1"/>
          <w:sz w:val="20"/>
          <w:szCs w:val="20"/>
        </w:rPr>
        <w:t>(also</w:t>
      </w:r>
      <w:r w:rsidR="00FF41A0">
        <w:rPr>
          <w:color w:val="000000" w:themeColor="text1"/>
          <w:sz w:val="20"/>
          <w:szCs w:val="20"/>
        </w:rPr>
        <w:t xml:space="preserve"> </w:t>
      </w:r>
      <w:r w:rsidR="00FA4681" w:rsidRPr="008C4B3B">
        <w:rPr>
          <w:color w:val="000000" w:themeColor="text1"/>
          <w:sz w:val="20"/>
          <w:szCs w:val="20"/>
        </w:rPr>
        <w:t>on</w:t>
      </w:r>
      <w:r w:rsidR="00FF41A0">
        <w:rPr>
          <w:color w:val="000000" w:themeColor="text1"/>
          <w:sz w:val="20"/>
          <w:szCs w:val="20"/>
        </w:rPr>
        <w:t xml:space="preserve"> </w:t>
      </w:r>
      <w:r w:rsidR="00FA4681" w:rsidRPr="008C4B3B">
        <w:rPr>
          <w:color w:val="000000" w:themeColor="text1"/>
          <w:sz w:val="20"/>
          <w:szCs w:val="20"/>
        </w:rPr>
        <w:t>behalf</w:t>
      </w:r>
      <w:r w:rsidR="00FF41A0">
        <w:rPr>
          <w:color w:val="000000" w:themeColor="text1"/>
          <w:sz w:val="20"/>
          <w:szCs w:val="20"/>
        </w:rPr>
        <w:t xml:space="preserve"> </w:t>
      </w:r>
      <w:r w:rsidR="00FA4681" w:rsidRPr="008C4B3B">
        <w:rPr>
          <w:color w:val="000000" w:themeColor="text1"/>
          <w:sz w:val="20"/>
          <w:szCs w:val="20"/>
        </w:rPr>
        <w:t>of</w:t>
      </w:r>
      <w:r w:rsidR="00FF41A0">
        <w:rPr>
          <w:color w:val="000000" w:themeColor="text1"/>
          <w:sz w:val="20"/>
          <w:szCs w:val="20"/>
        </w:rPr>
        <w:t xml:space="preserve"> </w:t>
      </w:r>
      <w:r w:rsidR="00FA4681" w:rsidRPr="007909BC">
        <w:rPr>
          <w:color w:val="000000" w:themeColor="text1"/>
          <w:sz w:val="20"/>
          <w:szCs w:val="20"/>
        </w:rPr>
        <w:t>Cuba</w:t>
      </w:r>
      <w:r w:rsidR="00FA4681">
        <w:rPr>
          <w:color w:val="000000" w:themeColor="text1"/>
          <w:sz w:val="20"/>
          <w:szCs w:val="20"/>
        </w:rPr>
        <w:t>,</w:t>
      </w:r>
      <w:r w:rsidR="00FF41A0">
        <w:rPr>
          <w:color w:val="000000" w:themeColor="text1"/>
          <w:sz w:val="20"/>
          <w:szCs w:val="20"/>
        </w:rPr>
        <w:t xml:space="preserve"> </w:t>
      </w:r>
      <w:r w:rsidR="00FA4681" w:rsidRPr="007909BC">
        <w:rPr>
          <w:color w:val="000000" w:themeColor="text1"/>
          <w:sz w:val="20"/>
          <w:szCs w:val="20"/>
        </w:rPr>
        <w:t>Nicaragua</w:t>
      </w:r>
      <w:r w:rsidR="00FF41A0">
        <w:rPr>
          <w:color w:val="000000" w:themeColor="text1"/>
          <w:sz w:val="20"/>
          <w:szCs w:val="20"/>
        </w:rPr>
        <w:t xml:space="preserve"> </w:t>
      </w:r>
      <w:r w:rsidR="00FA4681">
        <w:rPr>
          <w:color w:val="000000" w:themeColor="text1"/>
          <w:sz w:val="20"/>
          <w:szCs w:val="20"/>
        </w:rPr>
        <w:t>and</w:t>
      </w:r>
      <w:r w:rsidR="00FF41A0">
        <w:rPr>
          <w:color w:val="000000" w:themeColor="text1"/>
          <w:sz w:val="20"/>
          <w:szCs w:val="20"/>
        </w:rPr>
        <w:t xml:space="preserve"> </w:t>
      </w:r>
      <w:r w:rsidR="00FA4681" w:rsidRPr="007909BC">
        <w:rPr>
          <w:color w:val="000000" w:themeColor="text1"/>
          <w:sz w:val="20"/>
          <w:szCs w:val="20"/>
        </w:rPr>
        <w:t>Vene</w:t>
      </w:r>
      <w:r w:rsidR="00FA4681">
        <w:rPr>
          <w:color w:val="000000" w:themeColor="text1"/>
          <w:sz w:val="20"/>
          <w:szCs w:val="20"/>
        </w:rPr>
        <w:t>zuela</w:t>
      </w:r>
      <w:r w:rsidR="00FF41A0">
        <w:rPr>
          <w:color w:val="000000" w:themeColor="text1"/>
          <w:sz w:val="20"/>
          <w:szCs w:val="20"/>
        </w:rPr>
        <w:t xml:space="preserve"> </w:t>
      </w:r>
      <w:r w:rsidR="00FA4681">
        <w:rPr>
          <w:color w:val="000000" w:themeColor="text1"/>
          <w:sz w:val="20"/>
          <w:szCs w:val="20"/>
        </w:rPr>
        <w:t>(Bolivarian</w:t>
      </w:r>
      <w:r w:rsidR="00FF41A0">
        <w:rPr>
          <w:color w:val="000000" w:themeColor="text1"/>
          <w:sz w:val="20"/>
          <w:szCs w:val="20"/>
        </w:rPr>
        <w:t xml:space="preserve"> </w:t>
      </w:r>
      <w:r w:rsidR="00FA4681">
        <w:rPr>
          <w:color w:val="000000" w:themeColor="text1"/>
          <w:sz w:val="20"/>
          <w:szCs w:val="20"/>
        </w:rPr>
        <w:t>Republic</w:t>
      </w:r>
      <w:r w:rsidR="00FF41A0">
        <w:rPr>
          <w:color w:val="000000" w:themeColor="text1"/>
          <w:sz w:val="20"/>
          <w:szCs w:val="20"/>
        </w:rPr>
        <w:t xml:space="preserve"> </w:t>
      </w:r>
      <w:r w:rsidR="00FA4681">
        <w:rPr>
          <w:color w:val="000000" w:themeColor="text1"/>
          <w:sz w:val="20"/>
          <w:szCs w:val="20"/>
        </w:rPr>
        <w:t>of)),</w:t>
      </w:r>
      <w:r w:rsidR="00FF41A0">
        <w:rPr>
          <w:color w:val="000000" w:themeColor="text1"/>
          <w:sz w:val="20"/>
          <w:szCs w:val="20"/>
        </w:rPr>
        <w:t xml:space="preserve"> </w:t>
      </w:r>
      <w:r w:rsidR="00FA4681" w:rsidRPr="00FA4681">
        <w:rPr>
          <w:color w:val="000000" w:themeColor="text1"/>
          <w:sz w:val="20"/>
          <w:szCs w:val="20"/>
        </w:rPr>
        <w:t>China</w:t>
      </w:r>
      <w:r w:rsidR="00FA4681">
        <w:rPr>
          <w:color w:val="000000" w:themeColor="text1"/>
          <w:sz w:val="20"/>
          <w:szCs w:val="20"/>
        </w:rPr>
        <w:t>,</w:t>
      </w:r>
      <w:r w:rsidR="00FF41A0">
        <w:rPr>
          <w:color w:val="000000" w:themeColor="text1"/>
          <w:sz w:val="20"/>
          <w:szCs w:val="20"/>
        </w:rPr>
        <w:t xml:space="preserve"> </w:t>
      </w:r>
      <w:r w:rsidR="00FA4681" w:rsidRPr="00FA4681">
        <w:rPr>
          <w:color w:val="000000" w:themeColor="text1"/>
          <w:sz w:val="20"/>
          <w:szCs w:val="20"/>
        </w:rPr>
        <w:t>Cuba</w:t>
      </w:r>
      <w:r w:rsidR="00FA4681">
        <w:rPr>
          <w:color w:val="000000" w:themeColor="text1"/>
          <w:sz w:val="20"/>
          <w:szCs w:val="20"/>
        </w:rPr>
        <w:t>,</w:t>
      </w:r>
      <w:r w:rsidR="00FF41A0">
        <w:rPr>
          <w:color w:val="000000" w:themeColor="text1"/>
          <w:sz w:val="20"/>
          <w:szCs w:val="20"/>
        </w:rPr>
        <w:t xml:space="preserve"> </w:t>
      </w:r>
      <w:r w:rsidR="00FA4681" w:rsidRPr="00FA4681">
        <w:rPr>
          <w:color w:val="000000" w:themeColor="text1"/>
          <w:sz w:val="20"/>
          <w:szCs w:val="20"/>
        </w:rPr>
        <w:t>India</w:t>
      </w:r>
      <w:r w:rsidR="00FA4681">
        <w:rPr>
          <w:color w:val="000000" w:themeColor="text1"/>
          <w:sz w:val="20"/>
          <w:szCs w:val="20"/>
        </w:rPr>
        <w:t>,</w:t>
      </w:r>
      <w:r w:rsidR="00FF41A0">
        <w:rPr>
          <w:color w:val="000000" w:themeColor="text1"/>
          <w:sz w:val="20"/>
          <w:szCs w:val="20"/>
        </w:rPr>
        <w:t xml:space="preserve"> </w:t>
      </w:r>
      <w:r w:rsidR="00FA4681" w:rsidRPr="00FA4681">
        <w:rPr>
          <w:color w:val="000000" w:themeColor="text1"/>
          <w:sz w:val="20"/>
          <w:szCs w:val="20"/>
        </w:rPr>
        <w:t>Iraq</w:t>
      </w:r>
      <w:r w:rsidR="00FA4681">
        <w:rPr>
          <w:color w:val="000000" w:themeColor="text1"/>
          <w:sz w:val="20"/>
          <w:szCs w:val="20"/>
        </w:rPr>
        <w:t>,</w:t>
      </w:r>
      <w:r w:rsidR="00FF41A0">
        <w:rPr>
          <w:color w:val="000000" w:themeColor="text1"/>
          <w:sz w:val="20"/>
          <w:szCs w:val="20"/>
        </w:rPr>
        <w:t xml:space="preserve"> </w:t>
      </w:r>
      <w:r w:rsidR="00FA4681" w:rsidRPr="00FA4681">
        <w:rPr>
          <w:color w:val="000000" w:themeColor="text1"/>
          <w:sz w:val="20"/>
          <w:szCs w:val="20"/>
        </w:rPr>
        <w:t>Pakistan</w:t>
      </w:r>
      <w:r w:rsidR="00FF41A0">
        <w:rPr>
          <w:color w:val="000000" w:themeColor="text1"/>
          <w:sz w:val="20"/>
          <w:szCs w:val="20"/>
        </w:rPr>
        <w:t xml:space="preserve"> </w:t>
      </w:r>
      <w:r w:rsidR="00FA4681">
        <w:rPr>
          <w:color w:val="000000" w:themeColor="text1"/>
          <w:sz w:val="20"/>
          <w:szCs w:val="20"/>
        </w:rPr>
        <w:t>(also</w:t>
      </w:r>
      <w:r w:rsidR="00FF41A0">
        <w:rPr>
          <w:color w:val="000000" w:themeColor="text1"/>
          <w:sz w:val="20"/>
          <w:szCs w:val="20"/>
        </w:rPr>
        <w:t xml:space="preserve"> </w:t>
      </w:r>
      <w:r w:rsidR="00FA4681" w:rsidRPr="00C707C3">
        <w:rPr>
          <w:color w:val="000000" w:themeColor="text1"/>
          <w:sz w:val="20"/>
          <w:szCs w:val="20"/>
        </w:rPr>
        <w:t>on</w:t>
      </w:r>
      <w:r w:rsidR="00FF41A0">
        <w:rPr>
          <w:color w:val="000000" w:themeColor="text1"/>
          <w:sz w:val="20"/>
          <w:szCs w:val="20"/>
        </w:rPr>
        <w:t xml:space="preserve"> </w:t>
      </w:r>
      <w:r w:rsidR="00FA4681" w:rsidRPr="00C707C3">
        <w:rPr>
          <w:color w:val="000000" w:themeColor="text1"/>
          <w:sz w:val="20"/>
          <w:szCs w:val="20"/>
        </w:rPr>
        <w:t>behalf</w:t>
      </w:r>
      <w:r w:rsidR="00FF41A0">
        <w:rPr>
          <w:color w:val="000000" w:themeColor="text1"/>
          <w:sz w:val="20"/>
          <w:szCs w:val="20"/>
        </w:rPr>
        <w:t xml:space="preserve"> </w:t>
      </w:r>
      <w:r w:rsidR="00FA4681" w:rsidRPr="00C707C3">
        <w:rPr>
          <w:color w:val="000000" w:themeColor="text1"/>
          <w:sz w:val="20"/>
          <w:szCs w:val="20"/>
        </w:rPr>
        <w:t>of</w:t>
      </w:r>
      <w:r w:rsidR="00FF41A0">
        <w:rPr>
          <w:color w:val="000000" w:themeColor="text1"/>
          <w:sz w:val="20"/>
          <w:szCs w:val="20"/>
        </w:rPr>
        <w:t xml:space="preserve"> </w:t>
      </w:r>
      <w:r w:rsidR="00FA4681">
        <w:rPr>
          <w:color w:val="000000" w:themeColor="text1"/>
          <w:sz w:val="20"/>
          <w:szCs w:val="20"/>
        </w:rPr>
        <w:t>the</w:t>
      </w:r>
      <w:r w:rsidR="00FF41A0">
        <w:rPr>
          <w:color w:val="000000" w:themeColor="text1"/>
          <w:sz w:val="20"/>
          <w:szCs w:val="20"/>
        </w:rPr>
        <w:t xml:space="preserve"> </w:t>
      </w:r>
      <w:r w:rsidR="00FA4681" w:rsidRPr="0037538E">
        <w:rPr>
          <w:color w:val="000000" w:themeColor="text1"/>
          <w:sz w:val="20"/>
          <w:szCs w:val="20"/>
        </w:rPr>
        <w:t>Organization</w:t>
      </w:r>
      <w:r w:rsidR="00FF41A0">
        <w:rPr>
          <w:color w:val="000000" w:themeColor="text1"/>
          <w:sz w:val="20"/>
          <w:szCs w:val="20"/>
        </w:rPr>
        <w:t xml:space="preserve"> </w:t>
      </w:r>
      <w:r w:rsidR="00FA4681" w:rsidRPr="0037538E">
        <w:rPr>
          <w:color w:val="000000" w:themeColor="text1"/>
          <w:sz w:val="20"/>
          <w:szCs w:val="20"/>
        </w:rPr>
        <w:t>of</w:t>
      </w:r>
      <w:r w:rsidR="00FF41A0">
        <w:rPr>
          <w:color w:val="000000" w:themeColor="text1"/>
          <w:sz w:val="20"/>
          <w:szCs w:val="20"/>
        </w:rPr>
        <w:t xml:space="preserve"> </w:t>
      </w:r>
      <w:r w:rsidR="00FA4681" w:rsidRPr="0037538E">
        <w:rPr>
          <w:color w:val="000000" w:themeColor="text1"/>
          <w:sz w:val="20"/>
          <w:szCs w:val="20"/>
        </w:rPr>
        <w:t>Islamic</w:t>
      </w:r>
      <w:r w:rsidR="00FF41A0">
        <w:rPr>
          <w:color w:val="000000" w:themeColor="text1"/>
          <w:sz w:val="20"/>
          <w:szCs w:val="20"/>
        </w:rPr>
        <w:t xml:space="preserve"> </w:t>
      </w:r>
      <w:r w:rsidR="00FA4681" w:rsidRPr="0037538E">
        <w:rPr>
          <w:color w:val="000000" w:themeColor="text1"/>
          <w:sz w:val="20"/>
          <w:szCs w:val="20"/>
        </w:rPr>
        <w:t>Cooperation</w:t>
      </w:r>
      <w:r w:rsidR="00FA4681">
        <w:rPr>
          <w:color w:val="000000" w:themeColor="text1"/>
          <w:sz w:val="20"/>
          <w:szCs w:val="20"/>
        </w:rPr>
        <w:t>),</w:t>
      </w:r>
      <w:r w:rsidR="00FF41A0">
        <w:rPr>
          <w:color w:val="000000" w:themeColor="text1"/>
          <w:sz w:val="20"/>
          <w:szCs w:val="20"/>
        </w:rPr>
        <w:t xml:space="preserve"> </w:t>
      </w:r>
      <w:r w:rsidR="00FA4681" w:rsidRPr="008C4B3B">
        <w:rPr>
          <w:color w:val="000000" w:themeColor="text1"/>
          <w:sz w:val="20"/>
          <w:szCs w:val="20"/>
        </w:rPr>
        <w:t>Romania</w:t>
      </w:r>
      <w:r w:rsidR="000943B0">
        <w:rPr>
          <w:rStyle w:val="FootnoteReference"/>
          <w:color w:val="000000" w:themeColor="text1"/>
          <w:szCs w:val="20"/>
        </w:rPr>
        <w:footnoteReference w:id="70"/>
      </w:r>
      <w:r w:rsidR="00FF41A0">
        <w:rPr>
          <w:color w:val="000000" w:themeColor="text1"/>
          <w:sz w:val="20"/>
          <w:szCs w:val="20"/>
        </w:rPr>
        <w:t xml:space="preserve"> </w:t>
      </w:r>
      <w:r w:rsidR="00FA4681">
        <w:rPr>
          <w:color w:val="000000" w:themeColor="text1"/>
          <w:sz w:val="20"/>
          <w:szCs w:val="20"/>
        </w:rPr>
        <w:t>(</w:t>
      </w:r>
      <w:r w:rsidR="00FA4681" w:rsidRPr="008C4B3B">
        <w:rPr>
          <w:color w:val="000000" w:themeColor="text1"/>
          <w:sz w:val="20"/>
          <w:szCs w:val="20"/>
        </w:rPr>
        <w:t>on</w:t>
      </w:r>
      <w:r w:rsidR="00FF41A0">
        <w:rPr>
          <w:color w:val="000000" w:themeColor="text1"/>
          <w:sz w:val="20"/>
          <w:szCs w:val="20"/>
        </w:rPr>
        <w:t xml:space="preserve"> </w:t>
      </w:r>
      <w:r w:rsidR="00FA4681" w:rsidRPr="008C4B3B">
        <w:rPr>
          <w:color w:val="000000" w:themeColor="text1"/>
          <w:sz w:val="20"/>
          <w:szCs w:val="20"/>
        </w:rPr>
        <w:t>behalf</w:t>
      </w:r>
      <w:r w:rsidR="00FF41A0">
        <w:rPr>
          <w:color w:val="000000" w:themeColor="text1"/>
          <w:sz w:val="20"/>
          <w:szCs w:val="20"/>
        </w:rPr>
        <w:t xml:space="preserve"> </w:t>
      </w:r>
      <w:r w:rsidR="00FA4681" w:rsidRPr="008C4B3B">
        <w:rPr>
          <w:color w:val="000000" w:themeColor="text1"/>
          <w:sz w:val="20"/>
          <w:szCs w:val="20"/>
        </w:rPr>
        <w:t>of</w:t>
      </w:r>
      <w:r w:rsidR="00FF41A0">
        <w:rPr>
          <w:color w:val="000000" w:themeColor="text1"/>
          <w:sz w:val="20"/>
          <w:szCs w:val="20"/>
        </w:rPr>
        <w:t xml:space="preserve"> </w:t>
      </w:r>
      <w:r w:rsidR="00FA4681" w:rsidRPr="008C4B3B">
        <w:rPr>
          <w:color w:val="000000" w:themeColor="text1"/>
          <w:sz w:val="20"/>
          <w:szCs w:val="20"/>
        </w:rPr>
        <w:t>the</w:t>
      </w:r>
      <w:r w:rsidR="00FF41A0">
        <w:rPr>
          <w:color w:val="000000" w:themeColor="text1"/>
          <w:sz w:val="20"/>
          <w:szCs w:val="20"/>
        </w:rPr>
        <w:t xml:space="preserve"> </w:t>
      </w:r>
      <w:r w:rsidR="00FA4681" w:rsidRPr="008C4B3B">
        <w:rPr>
          <w:color w:val="000000" w:themeColor="text1"/>
          <w:sz w:val="20"/>
          <w:szCs w:val="20"/>
        </w:rPr>
        <w:t>European</w:t>
      </w:r>
      <w:r w:rsidR="00FF41A0">
        <w:rPr>
          <w:color w:val="000000" w:themeColor="text1"/>
          <w:sz w:val="20"/>
          <w:szCs w:val="20"/>
        </w:rPr>
        <w:t xml:space="preserve"> </w:t>
      </w:r>
      <w:r w:rsidR="00FA4681" w:rsidRPr="008C4B3B">
        <w:rPr>
          <w:color w:val="000000" w:themeColor="text1"/>
          <w:sz w:val="20"/>
          <w:szCs w:val="20"/>
        </w:rPr>
        <w:t>Union</w:t>
      </w:r>
      <w:r w:rsidR="00FA4681">
        <w:rPr>
          <w:color w:val="000000" w:themeColor="text1"/>
          <w:sz w:val="20"/>
          <w:szCs w:val="20"/>
        </w:rPr>
        <w:t>),</w:t>
      </w:r>
      <w:r w:rsidR="00FF41A0">
        <w:rPr>
          <w:color w:val="000000" w:themeColor="text1"/>
          <w:sz w:val="20"/>
          <w:szCs w:val="20"/>
        </w:rPr>
        <w:t xml:space="preserve"> </w:t>
      </w:r>
      <w:r w:rsidR="00FA4681" w:rsidRPr="00FA4681">
        <w:rPr>
          <w:color w:val="000000" w:themeColor="text1"/>
          <w:sz w:val="20"/>
          <w:szCs w:val="20"/>
        </w:rPr>
        <w:t>Togo</w:t>
      </w:r>
      <w:r w:rsidR="00FA4681">
        <w:rPr>
          <w:color w:val="000000" w:themeColor="text1"/>
          <w:sz w:val="20"/>
          <w:szCs w:val="20"/>
        </w:rPr>
        <w:t>,</w:t>
      </w:r>
      <w:r w:rsidR="00FF41A0">
        <w:rPr>
          <w:color w:val="000000" w:themeColor="text1"/>
          <w:sz w:val="20"/>
          <w:szCs w:val="20"/>
        </w:rPr>
        <w:t xml:space="preserve"> </w:t>
      </w:r>
      <w:r w:rsidR="00FA4681" w:rsidRPr="00FA4681">
        <w:rPr>
          <w:color w:val="000000" w:themeColor="text1"/>
          <w:sz w:val="20"/>
          <w:szCs w:val="20"/>
        </w:rPr>
        <w:t>Tunisia</w:t>
      </w:r>
      <w:r w:rsidR="00FA4681">
        <w:rPr>
          <w:color w:val="000000" w:themeColor="text1"/>
          <w:sz w:val="20"/>
          <w:szCs w:val="20"/>
        </w:rPr>
        <w:t>,</w:t>
      </w:r>
      <w:r w:rsidR="00FF41A0">
        <w:rPr>
          <w:color w:val="000000" w:themeColor="text1"/>
          <w:sz w:val="20"/>
          <w:szCs w:val="20"/>
        </w:rPr>
        <w:t xml:space="preserve"> </w:t>
      </w:r>
      <w:r w:rsidR="00FA4681" w:rsidRPr="007E7B0D">
        <w:rPr>
          <w:color w:val="000000" w:themeColor="text1"/>
          <w:sz w:val="20"/>
          <w:szCs w:val="20"/>
        </w:rPr>
        <w:t>United</w:t>
      </w:r>
      <w:r w:rsidR="00FF41A0" w:rsidRPr="007E7B0D">
        <w:rPr>
          <w:color w:val="000000" w:themeColor="text1"/>
          <w:sz w:val="20"/>
          <w:szCs w:val="20"/>
        </w:rPr>
        <w:t xml:space="preserve"> </w:t>
      </w:r>
      <w:r w:rsidR="00FA4681" w:rsidRPr="007E7B0D">
        <w:rPr>
          <w:color w:val="000000" w:themeColor="text1"/>
          <w:sz w:val="20"/>
          <w:szCs w:val="20"/>
        </w:rPr>
        <w:t>Kingdom</w:t>
      </w:r>
      <w:r w:rsidR="00FF41A0" w:rsidRPr="007E7B0D">
        <w:rPr>
          <w:color w:val="000000" w:themeColor="text1"/>
          <w:sz w:val="20"/>
          <w:szCs w:val="20"/>
        </w:rPr>
        <w:t xml:space="preserve"> </w:t>
      </w:r>
      <w:r w:rsidR="00FA4681" w:rsidRPr="007E7B0D">
        <w:rPr>
          <w:color w:val="000000" w:themeColor="text1"/>
          <w:sz w:val="20"/>
          <w:szCs w:val="20"/>
        </w:rPr>
        <w:t>of</w:t>
      </w:r>
      <w:r w:rsidR="00FF41A0" w:rsidRPr="007E7B0D">
        <w:rPr>
          <w:color w:val="000000" w:themeColor="text1"/>
          <w:sz w:val="20"/>
          <w:szCs w:val="20"/>
        </w:rPr>
        <w:t xml:space="preserve"> </w:t>
      </w:r>
      <w:r w:rsidR="00FA4681" w:rsidRPr="007E7B0D">
        <w:rPr>
          <w:color w:val="000000" w:themeColor="text1"/>
          <w:sz w:val="20"/>
          <w:szCs w:val="20"/>
        </w:rPr>
        <w:t>Great</w:t>
      </w:r>
      <w:r w:rsidR="00FF41A0" w:rsidRPr="007E7B0D">
        <w:rPr>
          <w:color w:val="000000" w:themeColor="text1"/>
          <w:sz w:val="20"/>
          <w:szCs w:val="20"/>
        </w:rPr>
        <w:t xml:space="preserve"> </w:t>
      </w:r>
      <w:r w:rsidR="00FA4681" w:rsidRPr="007E7B0D">
        <w:rPr>
          <w:color w:val="000000" w:themeColor="text1"/>
          <w:sz w:val="20"/>
          <w:szCs w:val="20"/>
        </w:rPr>
        <w:t>Britain</w:t>
      </w:r>
      <w:r w:rsidR="00FF41A0" w:rsidRPr="007E7B0D">
        <w:rPr>
          <w:color w:val="000000" w:themeColor="text1"/>
          <w:sz w:val="20"/>
          <w:szCs w:val="20"/>
        </w:rPr>
        <w:t xml:space="preserve"> </w:t>
      </w:r>
      <w:r w:rsidR="00FA4681" w:rsidRPr="007E7B0D">
        <w:rPr>
          <w:color w:val="000000" w:themeColor="text1"/>
          <w:sz w:val="20"/>
          <w:szCs w:val="20"/>
        </w:rPr>
        <w:t>and</w:t>
      </w:r>
      <w:r w:rsidR="00FF41A0" w:rsidRPr="007E7B0D">
        <w:rPr>
          <w:color w:val="000000" w:themeColor="text1"/>
          <w:sz w:val="20"/>
          <w:szCs w:val="20"/>
        </w:rPr>
        <w:t xml:space="preserve"> </w:t>
      </w:r>
      <w:r w:rsidR="00FA4681" w:rsidRPr="007E7B0D">
        <w:rPr>
          <w:color w:val="000000" w:themeColor="text1"/>
          <w:sz w:val="20"/>
          <w:szCs w:val="20"/>
        </w:rPr>
        <w:t>Northern</w:t>
      </w:r>
      <w:r w:rsidR="00FF41A0" w:rsidRPr="007E7B0D">
        <w:rPr>
          <w:color w:val="000000" w:themeColor="text1"/>
          <w:sz w:val="20"/>
          <w:szCs w:val="20"/>
        </w:rPr>
        <w:t xml:space="preserve"> </w:t>
      </w:r>
      <w:r w:rsidR="00FA4681" w:rsidRPr="007E7B0D">
        <w:rPr>
          <w:color w:val="000000" w:themeColor="text1"/>
          <w:sz w:val="20"/>
          <w:szCs w:val="20"/>
        </w:rPr>
        <w:t>Ireland</w:t>
      </w:r>
      <w:r w:rsidR="00FF41A0">
        <w:rPr>
          <w:color w:val="000000" w:themeColor="text1"/>
          <w:sz w:val="20"/>
          <w:szCs w:val="20"/>
        </w:rPr>
        <w:t xml:space="preserve"> </w:t>
      </w:r>
      <w:r w:rsidR="00FA4681">
        <w:rPr>
          <w:color w:val="000000" w:themeColor="text1"/>
          <w:sz w:val="20"/>
          <w:szCs w:val="20"/>
        </w:rPr>
        <w:t>(</w:t>
      </w:r>
      <w:r w:rsidR="00FA4681" w:rsidRPr="001270BF">
        <w:rPr>
          <w:color w:val="000000" w:themeColor="text1"/>
          <w:sz w:val="20"/>
          <w:szCs w:val="20"/>
        </w:rPr>
        <w:t>also</w:t>
      </w:r>
      <w:r w:rsidR="00FF41A0">
        <w:rPr>
          <w:color w:val="000000" w:themeColor="text1"/>
          <w:sz w:val="20"/>
          <w:szCs w:val="20"/>
        </w:rPr>
        <w:t xml:space="preserve"> </w:t>
      </w:r>
      <w:r w:rsidR="00FA4681" w:rsidRPr="001270BF">
        <w:rPr>
          <w:color w:val="000000" w:themeColor="text1"/>
          <w:sz w:val="20"/>
          <w:szCs w:val="20"/>
        </w:rPr>
        <w:t>on</w:t>
      </w:r>
      <w:r w:rsidR="00FF41A0">
        <w:rPr>
          <w:color w:val="000000" w:themeColor="text1"/>
          <w:sz w:val="20"/>
          <w:szCs w:val="20"/>
        </w:rPr>
        <w:t xml:space="preserve"> </w:t>
      </w:r>
      <w:r w:rsidR="00FA4681" w:rsidRPr="001270BF">
        <w:rPr>
          <w:color w:val="000000" w:themeColor="text1"/>
          <w:sz w:val="20"/>
          <w:szCs w:val="20"/>
        </w:rPr>
        <w:t>behalf</w:t>
      </w:r>
      <w:r w:rsidR="00FF41A0">
        <w:rPr>
          <w:color w:val="000000" w:themeColor="text1"/>
          <w:sz w:val="20"/>
          <w:szCs w:val="20"/>
        </w:rPr>
        <w:t xml:space="preserve"> </w:t>
      </w:r>
      <w:r w:rsidR="00FA4681" w:rsidRPr="001270BF">
        <w:rPr>
          <w:color w:val="000000" w:themeColor="text1"/>
          <w:sz w:val="20"/>
          <w:szCs w:val="20"/>
        </w:rPr>
        <w:t>of</w:t>
      </w:r>
      <w:r w:rsidR="00FF41A0">
        <w:rPr>
          <w:color w:val="000000" w:themeColor="text1"/>
          <w:sz w:val="20"/>
          <w:szCs w:val="20"/>
        </w:rPr>
        <w:t xml:space="preserve"> </w:t>
      </w:r>
      <w:r w:rsidR="001270BF" w:rsidRPr="001270BF">
        <w:rPr>
          <w:color w:val="000000" w:themeColor="text1"/>
          <w:sz w:val="20"/>
          <w:szCs w:val="20"/>
        </w:rPr>
        <w:t>Albania,</w:t>
      </w:r>
      <w:r w:rsidR="00FF41A0">
        <w:rPr>
          <w:color w:val="000000" w:themeColor="text1"/>
          <w:sz w:val="20"/>
          <w:szCs w:val="20"/>
        </w:rPr>
        <w:t xml:space="preserve"> </w:t>
      </w:r>
      <w:r w:rsidR="001270BF" w:rsidRPr="001270BF">
        <w:rPr>
          <w:color w:val="000000" w:themeColor="text1"/>
          <w:sz w:val="20"/>
          <w:szCs w:val="20"/>
        </w:rPr>
        <w:t>Argentina,</w:t>
      </w:r>
      <w:r w:rsidR="00FF41A0">
        <w:rPr>
          <w:color w:val="000000" w:themeColor="text1"/>
          <w:sz w:val="20"/>
          <w:szCs w:val="20"/>
        </w:rPr>
        <w:t xml:space="preserve"> </w:t>
      </w:r>
      <w:r w:rsidR="001270BF" w:rsidRPr="001270BF">
        <w:rPr>
          <w:color w:val="000000" w:themeColor="text1"/>
          <w:sz w:val="20"/>
          <w:szCs w:val="20"/>
        </w:rPr>
        <w:t>Australia,</w:t>
      </w:r>
      <w:r w:rsidR="00FF41A0">
        <w:rPr>
          <w:color w:val="000000" w:themeColor="text1"/>
          <w:sz w:val="20"/>
          <w:szCs w:val="20"/>
        </w:rPr>
        <w:t xml:space="preserve"> </w:t>
      </w:r>
      <w:r w:rsidR="001270BF" w:rsidRPr="001270BF">
        <w:rPr>
          <w:color w:val="000000" w:themeColor="text1"/>
          <w:sz w:val="20"/>
          <w:szCs w:val="20"/>
        </w:rPr>
        <w:t>Austria,</w:t>
      </w:r>
      <w:r w:rsidR="00FF41A0">
        <w:rPr>
          <w:color w:val="000000" w:themeColor="text1"/>
          <w:sz w:val="20"/>
          <w:szCs w:val="20"/>
        </w:rPr>
        <w:t xml:space="preserve"> </w:t>
      </w:r>
      <w:r w:rsidR="001270BF" w:rsidRPr="001270BF">
        <w:rPr>
          <w:color w:val="000000" w:themeColor="text1"/>
          <w:sz w:val="20"/>
          <w:szCs w:val="20"/>
        </w:rPr>
        <w:t>Belgium,</w:t>
      </w:r>
      <w:r w:rsidR="00FF41A0">
        <w:rPr>
          <w:color w:val="000000" w:themeColor="text1"/>
          <w:sz w:val="20"/>
          <w:szCs w:val="20"/>
        </w:rPr>
        <w:t xml:space="preserve"> </w:t>
      </w:r>
      <w:r w:rsidR="001270BF" w:rsidRPr="001270BF">
        <w:rPr>
          <w:color w:val="000000" w:themeColor="text1"/>
          <w:sz w:val="20"/>
          <w:szCs w:val="20"/>
        </w:rPr>
        <w:t>Canada,</w:t>
      </w:r>
      <w:r w:rsidR="00FF41A0">
        <w:rPr>
          <w:color w:val="000000" w:themeColor="text1"/>
          <w:sz w:val="20"/>
          <w:szCs w:val="20"/>
        </w:rPr>
        <w:t xml:space="preserve"> </w:t>
      </w:r>
      <w:r w:rsidR="001270BF" w:rsidRPr="001270BF">
        <w:rPr>
          <w:color w:val="000000" w:themeColor="text1"/>
          <w:sz w:val="20"/>
          <w:szCs w:val="20"/>
        </w:rPr>
        <w:t>Chile,</w:t>
      </w:r>
      <w:r w:rsidR="00FF41A0">
        <w:rPr>
          <w:color w:val="000000" w:themeColor="text1"/>
          <w:sz w:val="20"/>
          <w:szCs w:val="20"/>
        </w:rPr>
        <w:t xml:space="preserve"> </w:t>
      </w:r>
      <w:r w:rsidR="001270BF" w:rsidRPr="001270BF">
        <w:rPr>
          <w:color w:val="000000" w:themeColor="text1"/>
          <w:sz w:val="20"/>
          <w:szCs w:val="20"/>
        </w:rPr>
        <w:t>Costa</w:t>
      </w:r>
      <w:r w:rsidR="00FF41A0">
        <w:rPr>
          <w:color w:val="000000" w:themeColor="text1"/>
          <w:sz w:val="20"/>
          <w:szCs w:val="20"/>
        </w:rPr>
        <w:t xml:space="preserve"> </w:t>
      </w:r>
      <w:r w:rsidR="001270BF" w:rsidRPr="001270BF">
        <w:rPr>
          <w:color w:val="000000" w:themeColor="text1"/>
          <w:sz w:val="20"/>
          <w:szCs w:val="20"/>
        </w:rPr>
        <w:t>Rica,</w:t>
      </w:r>
      <w:r w:rsidR="00FF41A0">
        <w:rPr>
          <w:color w:val="000000" w:themeColor="text1"/>
          <w:sz w:val="20"/>
          <w:szCs w:val="20"/>
        </w:rPr>
        <w:t xml:space="preserve"> </w:t>
      </w:r>
      <w:r w:rsidR="001270BF" w:rsidRPr="001270BF">
        <w:rPr>
          <w:color w:val="000000" w:themeColor="text1"/>
          <w:sz w:val="20"/>
          <w:szCs w:val="20"/>
        </w:rPr>
        <w:t>Czech</w:t>
      </w:r>
      <w:r w:rsidR="001270BF">
        <w:rPr>
          <w:color w:val="000000" w:themeColor="text1"/>
          <w:sz w:val="20"/>
          <w:szCs w:val="20"/>
        </w:rPr>
        <w:t>ia</w:t>
      </w:r>
      <w:r w:rsidR="001270BF" w:rsidRPr="001270BF">
        <w:rPr>
          <w:color w:val="000000" w:themeColor="text1"/>
          <w:sz w:val="20"/>
          <w:szCs w:val="20"/>
        </w:rPr>
        <w:t>,</w:t>
      </w:r>
      <w:r w:rsidR="00FF41A0">
        <w:rPr>
          <w:color w:val="000000" w:themeColor="text1"/>
          <w:sz w:val="20"/>
          <w:szCs w:val="20"/>
        </w:rPr>
        <w:t xml:space="preserve"> </w:t>
      </w:r>
      <w:r w:rsidR="001270BF" w:rsidRPr="001270BF">
        <w:rPr>
          <w:color w:val="000000" w:themeColor="text1"/>
          <w:sz w:val="20"/>
          <w:szCs w:val="20"/>
        </w:rPr>
        <w:t>Denmark,</w:t>
      </w:r>
      <w:r w:rsidR="00FF41A0">
        <w:rPr>
          <w:color w:val="000000" w:themeColor="text1"/>
          <w:sz w:val="20"/>
          <w:szCs w:val="20"/>
        </w:rPr>
        <w:t xml:space="preserve"> </w:t>
      </w:r>
      <w:r w:rsidR="001270BF" w:rsidRPr="001270BF">
        <w:rPr>
          <w:color w:val="000000" w:themeColor="text1"/>
          <w:sz w:val="20"/>
          <w:szCs w:val="20"/>
        </w:rPr>
        <w:t>Estonia,</w:t>
      </w:r>
      <w:r w:rsidR="00FF41A0">
        <w:rPr>
          <w:color w:val="000000" w:themeColor="text1"/>
          <w:sz w:val="20"/>
          <w:szCs w:val="20"/>
        </w:rPr>
        <w:t xml:space="preserve"> </w:t>
      </w:r>
      <w:r w:rsidR="001270BF" w:rsidRPr="001270BF">
        <w:rPr>
          <w:color w:val="000000" w:themeColor="text1"/>
          <w:sz w:val="20"/>
          <w:szCs w:val="20"/>
        </w:rPr>
        <w:t>Finland,</w:t>
      </w:r>
      <w:r w:rsidR="00FF41A0">
        <w:rPr>
          <w:color w:val="000000" w:themeColor="text1"/>
          <w:sz w:val="20"/>
          <w:szCs w:val="20"/>
        </w:rPr>
        <w:t xml:space="preserve"> </w:t>
      </w:r>
      <w:r w:rsidR="001270BF" w:rsidRPr="001270BF">
        <w:rPr>
          <w:color w:val="000000" w:themeColor="text1"/>
          <w:sz w:val="20"/>
          <w:szCs w:val="20"/>
        </w:rPr>
        <w:t>France,</w:t>
      </w:r>
      <w:r w:rsidR="00FF41A0">
        <w:rPr>
          <w:color w:val="000000" w:themeColor="text1"/>
          <w:sz w:val="20"/>
          <w:szCs w:val="20"/>
        </w:rPr>
        <w:t xml:space="preserve"> </w:t>
      </w:r>
      <w:r w:rsidR="007E7B0D" w:rsidRPr="007E7B0D">
        <w:rPr>
          <w:color w:val="000000" w:themeColor="text1"/>
          <w:sz w:val="20"/>
          <w:szCs w:val="20"/>
        </w:rPr>
        <w:t>Georgia</w:t>
      </w:r>
      <w:r w:rsidR="007E7B0D">
        <w:rPr>
          <w:color w:val="000000" w:themeColor="text1"/>
          <w:sz w:val="20"/>
          <w:szCs w:val="20"/>
        </w:rPr>
        <w:t>,</w:t>
      </w:r>
      <w:r w:rsidR="007E7B0D" w:rsidRPr="007E7B0D">
        <w:rPr>
          <w:color w:val="000000" w:themeColor="text1"/>
          <w:sz w:val="20"/>
          <w:szCs w:val="20"/>
        </w:rPr>
        <w:t xml:space="preserve"> </w:t>
      </w:r>
      <w:r w:rsidR="001270BF" w:rsidRPr="001270BF">
        <w:rPr>
          <w:color w:val="000000" w:themeColor="text1"/>
          <w:sz w:val="20"/>
          <w:szCs w:val="20"/>
        </w:rPr>
        <w:t>Germany,</w:t>
      </w:r>
      <w:r w:rsidR="00FF41A0">
        <w:rPr>
          <w:color w:val="000000" w:themeColor="text1"/>
          <w:sz w:val="20"/>
          <w:szCs w:val="20"/>
        </w:rPr>
        <w:t xml:space="preserve"> </w:t>
      </w:r>
      <w:r w:rsidR="001270BF" w:rsidRPr="001270BF">
        <w:rPr>
          <w:color w:val="000000" w:themeColor="text1"/>
          <w:sz w:val="20"/>
          <w:szCs w:val="20"/>
        </w:rPr>
        <w:t>Iceland,</w:t>
      </w:r>
      <w:r w:rsidR="00FF41A0">
        <w:rPr>
          <w:color w:val="000000" w:themeColor="text1"/>
          <w:sz w:val="20"/>
          <w:szCs w:val="20"/>
        </w:rPr>
        <w:t xml:space="preserve"> </w:t>
      </w:r>
      <w:r w:rsidR="001270BF" w:rsidRPr="001270BF">
        <w:rPr>
          <w:color w:val="000000" w:themeColor="text1"/>
          <w:sz w:val="20"/>
          <w:szCs w:val="20"/>
        </w:rPr>
        <w:t>Ireland</w:t>
      </w:r>
      <w:r w:rsidR="00FF41A0">
        <w:rPr>
          <w:color w:val="000000" w:themeColor="text1"/>
          <w:sz w:val="20"/>
          <w:szCs w:val="20"/>
        </w:rPr>
        <w:t xml:space="preserve"> </w:t>
      </w:r>
      <w:r w:rsidR="001270BF" w:rsidRPr="001270BF">
        <w:rPr>
          <w:color w:val="000000" w:themeColor="text1"/>
          <w:sz w:val="20"/>
          <w:szCs w:val="20"/>
        </w:rPr>
        <w:t>Italy</w:t>
      </w:r>
      <w:r w:rsidR="001270BF">
        <w:rPr>
          <w:color w:val="000000" w:themeColor="text1"/>
          <w:sz w:val="20"/>
          <w:szCs w:val="20"/>
        </w:rPr>
        <w:t>,</w:t>
      </w:r>
      <w:r w:rsidR="00FF41A0">
        <w:rPr>
          <w:color w:val="000000" w:themeColor="text1"/>
          <w:sz w:val="20"/>
          <w:szCs w:val="20"/>
        </w:rPr>
        <w:t xml:space="preserve"> </w:t>
      </w:r>
      <w:r w:rsidR="001270BF" w:rsidRPr="001270BF">
        <w:rPr>
          <w:color w:val="000000" w:themeColor="text1"/>
          <w:sz w:val="20"/>
          <w:szCs w:val="20"/>
        </w:rPr>
        <w:t>Latvia</w:t>
      </w:r>
      <w:r w:rsidR="001270BF">
        <w:rPr>
          <w:color w:val="000000" w:themeColor="text1"/>
          <w:sz w:val="20"/>
          <w:szCs w:val="20"/>
        </w:rPr>
        <w:t>,</w:t>
      </w:r>
      <w:r w:rsidR="00FF41A0">
        <w:rPr>
          <w:color w:val="000000" w:themeColor="text1"/>
          <w:sz w:val="20"/>
          <w:szCs w:val="20"/>
        </w:rPr>
        <w:t xml:space="preserve"> </w:t>
      </w:r>
      <w:r w:rsidR="007E7B0D" w:rsidRPr="007E7B0D">
        <w:rPr>
          <w:color w:val="000000" w:themeColor="text1"/>
          <w:sz w:val="20"/>
          <w:szCs w:val="20"/>
        </w:rPr>
        <w:t>Li</w:t>
      </w:r>
      <w:r w:rsidR="007E7B0D">
        <w:rPr>
          <w:color w:val="000000" w:themeColor="text1"/>
          <w:sz w:val="20"/>
          <w:szCs w:val="20"/>
        </w:rPr>
        <w:t>e</w:t>
      </w:r>
      <w:r w:rsidR="007E7B0D" w:rsidRPr="007E7B0D">
        <w:rPr>
          <w:color w:val="000000" w:themeColor="text1"/>
          <w:sz w:val="20"/>
          <w:szCs w:val="20"/>
        </w:rPr>
        <w:t>chtenstein</w:t>
      </w:r>
      <w:r w:rsidR="007E7B0D">
        <w:rPr>
          <w:color w:val="000000" w:themeColor="text1"/>
          <w:sz w:val="20"/>
          <w:szCs w:val="20"/>
        </w:rPr>
        <w:t>,</w:t>
      </w:r>
      <w:r w:rsidR="007E7B0D" w:rsidRPr="007E7B0D">
        <w:rPr>
          <w:color w:val="000000" w:themeColor="text1"/>
          <w:sz w:val="20"/>
          <w:szCs w:val="20"/>
        </w:rPr>
        <w:t xml:space="preserve"> </w:t>
      </w:r>
      <w:r w:rsidR="001270BF" w:rsidRPr="001270BF">
        <w:rPr>
          <w:color w:val="000000" w:themeColor="text1"/>
          <w:sz w:val="20"/>
          <w:szCs w:val="20"/>
        </w:rPr>
        <w:t>Lithuania,</w:t>
      </w:r>
      <w:r w:rsidR="00FF41A0">
        <w:rPr>
          <w:color w:val="000000" w:themeColor="text1"/>
          <w:sz w:val="20"/>
          <w:szCs w:val="20"/>
        </w:rPr>
        <w:t xml:space="preserve"> </w:t>
      </w:r>
      <w:r w:rsidR="001270BF" w:rsidRPr="001270BF">
        <w:rPr>
          <w:color w:val="000000" w:themeColor="text1"/>
          <w:sz w:val="20"/>
          <w:szCs w:val="20"/>
        </w:rPr>
        <w:t>Luxembourg,</w:t>
      </w:r>
      <w:r w:rsidR="00FF41A0">
        <w:rPr>
          <w:color w:val="000000" w:themeColor="text1"/>
          <w:sz w:val="20"/>
          <w:szCs w:val="20"/>
        </w:rPr>
        <w:t xml:space="preserve"> </w:t>
      </w:r>
      <w:r w:rsidR="001270BF" w:rsidRPr="001270BF">
        <w:rPr>
          <w:color w:val="000000" w:themeColor="text1"/>
          <w:sz w:val="20"/>
          <w:szCs w:val="20"/>
        </w:rPr>
        <w:t>Malta,</w:t>
      </w:r>
      <w:r w:rsidR="00FF41A0">
        <w:rPr>
          <w:color w:val="000000" w:themeColor="text1"/>
          <w:sz w:val="20"/>
          <w:szCs w:val="20"/>
        </w:rPr>
        <w:t xml:space="preserve"> </w:t>
      </w:r>
      <w:r w:rsidR="001270BF" w:rsidRPr="001270BF">
        <w:rPr>
          <w:color w:val="000000" w:themeColor="text1"/>
          <w:sz w:val="20"/>
          <w:szCs w:val="20"/>
        </w:rPr>
        <w:t>Montenegro,</w:t>
      </w:r>
      <w:r w:rsidR="00FF41A0">
        <w:rPr>
          <w:color w:val="000000" w:themeColor="text1"/>
          <w:sz w:val="20"/>
          <w:szCs w:val="20"/>
        </w:rPr>
        <w:t xml:space="preserve"> </w:t>
      </w:r>
      <w:r w:rsidR="001270BF">
        <w:rPr>
          <w:color w:val="000000" w:themeColor="text1"/>
          <w:sz w:val="20"/>
          <w:szCs w:val="20"/>
        </w:rPr>
        <w:t>the</w:t>
      </w:r>
      <w:r w:rsidR="00FF41A0">
        <w:rPr>
          <w:color w:val="000000" w:themeColor="text1"/>
          <w:sz w:val="20"/>
          <w:szCs w:val="20"/>
        </w:rPr>
        <w:t xml:space="preserve"> </w:t>
      </w:r>
      <w:r w:rsidR="001270BF">
        <w:rPr>
          <w:color w:val="000000" w:themeColor="text1"/>
          <w:sz w:val="20"/>
          <w:szCs w:val="20"/>
        </w:rPr>
        <w:t>N</w:t>
      </w:r>
      <w:r w:rsidR="001270BF" w:rsidRPr="001270BF">
        <w:rPr>
          <w:color w:val="000000" w:themeColor="text1"/>
          <w:sz w:val="20"/>
          <w:szCs w:val="20"/>
        </w:rPr>
        <w:t>etherlands,</w:t>
      </w:r>
      <w:r w:rsidR="00FF41A0">
        <w:rPr>
          <w:color w:val="000000" w:themeColor="text1"/>
          <w:sz w:val="20"/>
          <w:szCs w:val="20"/>
        </w:rPr>
        <w:t xml:space="preserve"> </w:t>
      </w:r>
      <w:r w:rsidR="001270BF" w:rsidRPr="001270BF">
        <w:rPr>
          <w:color w:val="000000" w:themeColor="text1"/>
          <w:sz w:val="20"/>
          <w:szCs w:val="20"/>
        </w:rPr>
        <w:t>New</w:t>
      </w:r>
      <w:r w:rsidR="00FF41A0">
        <w:rPr>
          <w:color w:val="000000" w:themeColor="text1"/>
          <w:sz w:val="20"/>
          <w:szCs w:val="20"/>
        </w:rPr>
        <w:t xml:space="preserve"> </w:t>
      </w:r>
      <w:r w:rsidR="001270BF" w:rsidRPr="001270BF">
        <w:rPr>
          <w:color w:val="000000" w:themeColor="text1"/>
          <w:sz w:val="20"/>
          <w:szCs w:val="20"/>
        </w:rPr>
        <w:t>Zealand,</w:t>
      </w:r>
      <w:r w:rsidR="00FF41A0">
        <w:rPr>
          <w:color w:val="000000" w:themeColor="text1"/>
          <w:sz w:val="20"/>
          <w:szCs w:val="20"/>
        </w:rPr>
        <w:t xml:space="preserve"> </w:t>
      </w:r>
      <w:r w:rsidR="001270BF" w:rsidRPr="001270BF">
        <w:rPr>
          <w:color w:val="000000" w:themeColor="text1"/>
          <w:sz w:val="20"/>
          <w:szCs w:val="20"/>
        </w:rPr>
        <w:t>Norway,</w:t>
      </w:r>
      <w:r w:rsidR="00FF41A0">
        <w:rPr>
          <w:color w:val="000000" w:themeColor="text1"/>
          <w:sz w:val="20"/>
          <w:szCs w:val="20"/>
        </w:rPr>
        <w:t xml:space="preserve"> </w:t>
      </w:r>
      <w:r w:rsidR="007E7B0D">
        <w:rPr>
          <w:color w:val="000000" w:themeColor="text1"/>
          <w:sz w:val="20"/>
          <w:szCs w:val="20"/>
        </w:rPr>
        <w:t xml:space="preserve">Poland, Portugal, </w:t>
      </w:r>
      <w:r w:rsidR="001270BF" w:rsidRPr="001270BF">
        <w:rPr>
          <w:color w:val="000000" w:themeColor="text1"/>
          <w:sz w:val="20"/>
          <w:szCs w:val="20"/>
        </w:rPr>
        <w:t>Slovenia,</w:t>
      </w:r>
      <w:r w:rsidR="00FF41A0">
        <w:rPr>
          <w:color w:val="000000" w:themeColor="text1"/>
          <w:sz w:val="20"/>
          <w:szCs w:val="20"/>
        </w:rPr>
        <w:t xml:space="preserve"> </w:t>
      </w:r>
      <w:r w:rsidR="001270BF" w:rsidRPr="001270BF">
        <w:rPr>
          <w:color w:val="000000" w:themeColor="text1"/>
          <w:sz w:val="20"/>
          <w:szCs w:val="20"/>
        </w:rPr>
        <w:t>Spain,</w:t>
      </w:r>
      <w:r w:rsidR="00FF41A0">
        <w:rPr>
          <w:color w:val="000000" w:themeColor="text1"/>
          <w:sz w:val="20"/>
          <w:szCs w:val="20"/>
        </w:rPr>
        <w:t xml:space="preserve"> </w:t>
      </w:r>
      <w:r w:rsidR="001270BF" w:rsidRPr="001270BF">
        <w:rPr>
          <w:color w:val="000000" w:themeColor="text1"/>
          <w:sz w:val="20"/>
          <w:szCs w:val="20"/>
        </w:rPr>
        <w:t>Sweden,</w:t>
      </w:r>
      <w:r w:rsidR="00FF41A0">
        <w:rPr>
          <w:color w:val="000000" w:themeColor="text1"/>
          <w:sz w:val="20"/>
          <w:szCs w:val="20"/>
        </w:rPr>
        <w:t xml:space="preserve"> </w:t>
      </w:r>
      <w:r w:rsidR="001270BF" w:rsidRPr="001270BF">
        <w:rPr>
          <w:color w:val="000000" w:themeColor="text1"/>
          <w:sz w:val="20"/>
          <w:szCs w:val="20"/>
        </w:rPr>
        <w:t>Switzerland</w:t>
      </w:r>
      <w:r w:rsidR="001270BF">
        <w:rPr>
          <w:color w:val="000000" w:themeColor="text1"/>
          <w:sz w:val="20"/>
          <w:szCs w:val="20"/>
        </w:rPr>
        <w:t>,</w:t>
      </w:r>
      <w:r w:rsidR="00FF41A0">
        <w:rPr>
          <w:color w:val="000000" w:themeColor="text1"/>
          <w:sz w:val="20"/>
          <w:szCs w:val="20"/>
        </w:rPr>
        <w:t xml:space="preserve"> </w:t>
      </w:r>
      <w:r w:rsidR="001270BF">
        <w:rPr>
          <w:color w:val="000000" w:themeColor="text1"/>
          <w:sz w:val="20"/>
          <w:szCs w:val="20"/>
        </w:rPr>
        <w:t>Ukraine</w:t>
      </w:r>
      <w:r w:rsidR="00FF41A0">
        <w:rPr>
          <w:color w:val="000000" w:themeColor="text1"/>
          <w:sz w:val="20"/>
          <w:szCs w:val="20"/>
        </w:rPr>
        <w:t xml:space="preserve"> </w:t>
      </w:r>
      <w:r w:rsidR="001270BF">
        <w:rPr>
          <w:color w:val="000000" w:themeColor="text1"/>
          <w:sz w:val="20"/>
          <w:szCs w:val="20"/>
        </w:rPr>
        <w:t>and</w:t>
      </w:r>
      <w:r w:rsidR="00FF41A0">
        <w:rPr>
          <w:color w:val="000000" w:themeColor="text1"/>
          <w:sz w:val="20"/>
          <w:szCs w:val="20"/>
        </w:rPr>
        <w:t xml:space="preserve"> </w:t>
      </w:r>
      <w:r w:rsidR="001270BF" w:rsidRPr="001270BF">
        <w:rPr>
          <w:color w:val="000000" w:themeColor="text1"/>
          <w:sz w:val="20"/>
          <w:szCs w:val="20"/>
        </w:rPr>
        <w:t>Uruguay</w:t>
      </w:r>
      <w:r w:rsidR="00FA4681">
        <w:rPr>
          <w:color w:val="000000" w:themeColor="text1"/>
          <w:sz w:val="20"/>
          <w:szCs w:val="20"/>
        </w:rPr>
        <w:t>),</w:t>
      </w:r>
      <w:r w:rsidR="00FF41A0">
        <w:rPr>
          <w:color w:val="000000" w:themeColor="text1"/>
          <w:sz w:val="20"/>
          <w:szCs w:val="20"/>
        </w:rPr>
        <w:t xml:space="preserve"> </w:t>
      </w:r>
      <w:r w:rsidR="00FA4681" w:rsidRPr="008C4B3B">
        <w:rPr>
          <w:color w:val="000000" w:themeColor="text1"/>
          <w:sz w:val="20"/>
          <w:szCs w:val="20"/>
        </w:rPr>
        <w:t>United</w:t>
      </w:r>
      <w:r w:rsidR="00FF41A0">
        <w:rPr>
          <w:color w:val="000000" w:themeColor="text1"/>
          <w:sz w:val="20"/>
          <w:szCs w:val="20"/>
        </w:rPr>
        <w:t xml:space="preserve"> </w:t>
      </w:r>
      <w:r w:rsidR="00FA4681" w:rsidRPr="008C4B3B">
        <w:rPr>
          <w:color w:val="000000" w:themeColor="text1"/>
          <w:sz w:val="20"/>
          <w:szCs w:val="20"/>
        </w:rPr>
        <w:t>Kingdom</w:t>
      </w:r>
      <w:r w:rsidR="00FF41A0">
        <w:rPr>
          <w:color w:val="000000" w:themeColor="text1"/>
          <w:sz w:val="20"/>
          <w:szCs w:val="20"/>
        </w:rPr>
        <w:t xml:space="preserve"> </w:t>
      </w:r>
      <w:r w:rsidR="00FA4681" w:rsidRPr="008C4B3B">
        <w:rPr>
          <w:color w:val="000000" w:themeColor="text1"/>
          <w:sz w:val="20"/>
          <w:szCs w:val="20"/>
        </w:rPr>
        <w:t>of</w:t>
      </w:r>
      <w:r w:rsidR="00FF41A0">
        <w:rPr>
          <w:color w:val="000000" w:themeColor="text1"/>
          <w:sz w:val="20"/>
          <w:szCs w:val="20"/>
        </w:rPr>
        <w:t xml:space="preserve"> </w:t>
      </w:r>
      <w:r w:rsidR="00FA4681" w:rsidRPr="008C4B3B">
        <w:rPr>
          <w:color w:val="000000" w:themeColor="text1"/>
          <w:sz w:val="20"/>
          <w:szCs w:val="20"/>
        </w:rPr>
        <w:t>Great</w:t>
      </w:r>
      <w:r w:rsidR="00FF41A0">
        <w:rPr>
          <w:color w:val="000000" w:themeColor="text1"/>
          <w:sz w:val="20"/>
          <w:szCs w:val="20"/>
        </w:rPr>
        <w:t xml:space="preserve"> </w:t>
      </w:r>
      <w:r w:rsidR="00FA4681" w:rsidRPr="008C4B3B">
        <w:rPr>
          <w:color w:val="000000" w:themeColor="text1"/>
          <w:sz w:val="20"/>
          <w:szCs w:val="20"/>
        </w:rPr>
        <w:t>Britain</w:t>
      </w:r>
      <w:r w:rsidR="00FF41A0">
        <w:rPr>
          <w:color w:val="000000" w:themeColor="text1"/>
          <w:sz w:val="20"/>
          <w:szCs w:val="20"/>
        </w:rPr>
        <w:t xml:space="preserve"> </w:t>
      </w:r>
      <w:r w:rsidR="00FA4681" w:rsidRPr="008C4B3B">
        <w:rPr>
          <w:color w:val="000000" w:themeColor="text1"/>
          <w:sz w:val="20"/>
          <w:szCs w:val="20"/>
        </w:rPr>
        <w:t>and</w:t>
      </w:r>
      <w:r w:rsidR="00FF41A0">
        <w:rPr>
          <w:color w:val="000000" w:themeColor="text1"/>
          <w:sz w:val="20"/>
          <w:szCs w:val="20"/>
        </w:rPr>
        <w:t xml:space="preserve"> </w:t>
      </w:r>
      <w:r w:rsidR="00FA4681" w:rsidRPr="008C4B3B">
        <w:rPr>
          <w:color w:val="000000" w:themeColor="text1"/>
          <w:sz w:val="20"/>
          <w:szCs w:val="20"/>
        </w:rPr>
        <w:t>Northern</w:t>
      </w:r>
      <w:r w:rsidR="00FF41A0">
        <w:rPr>
          <w:color w:val="000000" w:themeColor="text1"/>
          <w:sz w:val="20"/>
          <w:szCs w:val="20"/>
        </w:rPr>
        <w:t xml:space="preserve"> </w:t>
      </w:r>
      <w:r w:rsidR="00FA4681" w:rsidRPr="008C4B3B">
        <w:rPr>
          <w:color w:val="000000" w:themeColor="text1"/>
          <w:sz w:val="20"/>
          <w:szCs w:val="20"/>
        </w:rPr>
        <w:t>Ireland</w:t>
      </w:r>
      <w:r w:rsidR="00FF41A0">
        <w:rPr>
          <w:color w:val="000000" w:themeColor="text1"/>
          <w:sz w:val="20"/>
          <w:szCs w:val="20"/>
        </w:rPr>
        <w:t xml:space="preserve"> </w:t>
      </w:r>
      <w:r w:rsidR="00FA4681">
        <w:rPr>
          <w:color w:val="000000" w:themeColor="text1"/>
          <w:sz w:val="20"/>
          <w:szCs w:val="20"/>
        </w:rPr>
        <w:t>(also</w:t>
      </w:r>
      <w:r w:rsidR="00FF41A0">
        <w:rPr>
          <w:color w:val="000000" w:themeColor="text1"/>
          <w:sz w:val="20"/>
          <w:szCs w:val="20"/>
        </w:rPr>
        <w:t xml:space="preserve"> </w:t>
      </w:r>
      <w:r w:rsidR="00FA4681" w:rsidRPr="008C4B3B">
        <w:rPr>
          <w:color w:val="000000" w:themeColor="text1"/>
          <w:sz w:val="20"/>
          <w:szCs w:val="20"/>
        </w:rPr>
        <w:t>on</w:t>
      </w:r>
      <w:r w:rsidR="00FF41A0">
        <w:rPr>
          <w:color w:val="000000" w:themeColor="text1"/>
          <w:sz w:val="20"/>
          <w:szCs w:val="20"/>
        </w:rPr>
        <w:t xml:space="preserve"> </w:t>
      </w:r>
      <w:r w:rsidR="00FA4681" w:rsidRPr="008C4B3B">
        <w:rPr>
          <w:color w:val="000000" w:themeColor="text1"/>
          <w:sz w:val="20"/>
          <w:szCs w:val="20"/>
        </w:rPr>
        <w:t>behalf</w:t>
      </w:r>
      <w:r w:rsidR="00FF41A0">
        <w:rPr>
          <w:color w:val="000000" w:themeColor="text1"/>
          <w:sz w:val="20"/>
          <w:szCs w:val="20"/>
        </w:rPr>
        <w:t xml:space="preserve"> </w:t>
      </w:r>
      <w:r w:rsidR="00FA4681" w:rsidRPr="008C4B3B">
        <w:rPr>
          <w:color w:val="000000" w:themeColor="text1"/>
          <w:sz w:val="20"/>
          <w:szCs w:val="20"/>
        </w:rPr>
        <w:t>of</w:t>
      </w:r>
      <w:r w:rsidR="00FF41A0">
        <w:rPr>
          <w:color w:val="000000" w:themeColor="text1"/>
          <w:sz w:val="20"/>
          <w:szCs w:val="20"/>
        </w:rPr>
        <w:t xml:space="preserve"> </w:t>
      </w:r>
      <w:r w:rsidR="00C049E7" w:rsidRPr="00C049E7">
        <w:rPr>
          <w:color w:val="000000" w:themeColor="text1"/>
          <w:sz w:val="20"/>
          <w:szCs w:val="20"/>
        </w:rPr>
        <w:t>Albania</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Andorra</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Argentina</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Armenia</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Australia</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Austria</w:t>
      </w:r>
      <w:r w:rsidR="00C049E7">
        <w:rPr>
          <w:color w:val="000000" w:themeColor="text1"/>
          <w:sz w:val="20"/>
          <w:szCs w:val="20"/>
        </w:rPr>
        <w:t>,</w:t>
      </w:r>
      <w:r w:rsidR="00FF41A0">
        <w:rPr>
          <w:color w:val="000000" w:themeColor="text1"/>
          <w:sz w:val="20"/>
          <w:szCs w:val="20"/>
        </w:rPr>
        <w:t xml:space="preserve"> </w:t>
      </w:r>
      <w:r w:rsidR="00C049E7">
        <w:rPr>
          <w:color w:val="000000" w:themeColor="text1"/>
          <w:sz w:val="20"/>
          <w:szCs w:val="20"/>
        </w:rPr>
        <w:t>the</w:t>
      </w:r>
      <w:r w:rsidR="00FF41A0">
        <w:rPr>
          <w:color w:val="000000" w:themeColor="text1"/>
          <w:sz w:val="20"/>
          <w:szCs w:val="20"/>
        </w:rPr>
        <w:t xml:space="preserve"> </w:t>
      </w:r>
      <w:r w:rsidR="00C049E7" w:rsidRPr="00C049E7">
        <w:rPr>
          <w:color w:val="000000" w:themeColor="text1"/>
          <w:sz w:val="20"/>
          <w:szCs w:val="20"/>
        </w:rPr>
        <w:t>Bahamas</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Belgium</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Benin</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Bhutan</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Bolivia</w:t>
      </w:r>
      <w:r w:rsidR="00FF41A0">
        <w:rPr>
          <w:color w:val="000000" w:themeColor="text1"/>
          <w:sz w:val="20"/>
          <w:szCs w:val="20"/>
        </w:rPr>
        <w:t xml:space="preserve"> </w:t>
      </w:r>
      <w:r w:rsidR="00C049E7">
        <w:rPr>
          <w:color w:val="000000" w:themeColor="text1"/>
          <w:sz w:val="20"/>
          <w:szCs w:val="20"/>
        </w:rPr>
        <w:t>(Plurinational</w:t>
      </w:r>
      <w:r w:rsidR="00FF41A0">
        <w:rPr>
          <w:color w:val="000000" w:themeColor="text1"/>
          <w:sz w:val="20"/>
          <w:szCs w:val="20"/>
        </w:rPr>
        <w:t xml:space="preserve"> </w:t>
      </w:r>
      <w:r w:rsidR="00C049E7">
        <w:rPr>
          <w:color w:val="000000" w:themeColor="text1"/>
          <w:sz w:val="20"/>
          <w:szCs w:val="20"/>
        </w:rPr>
        <w:t>State</w:t>
      </w:r>
      <w:r w:rsidR="00FF41A0">
        <w:rPr>
          <w:color w:val="000000" w:themeColor="text1"/>
          <w:sz w:val="20"/>
          <w:szCs w:val="20"/>
        </w:rPr>
        <w:t xml:space="preserve"> </w:t>
      </w:r>
      <w:r w:rsidR="00C049E7">
        <w:rPr>
          <w:color w:val="000000" w:themeColor="text1"/>
          <w:sz w:val="20"/>
          <w:szCs w:val="20"/>
        </w:rPr>
        <w:t>of),</w:t>
      </w:r>
      <w:r w:rsidR="00FF41A0">
        <w:rPr>
          <w:color w:val="000000" w:themeColor="text1"/>
          <w:sz w:val="20"/>
          <w:szCs w:val="20"/>
        </w:rPr>
        <w:t xml:space="preserve"> </w:t>
      </w:r>
      <w:r w:rsidR="00C049E7" w:rsidRPr="00C049E7">
        <w:rPr>
          <w:color w:val="000000" w:themeColor="text1"/>
          <w:sz w:val="20"/>
          <w:szCs w:val="20"/>
        </w:rPr>
        <w:t>Botswana</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Bulgaria</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Canada</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Chad</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Chile</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Colombia</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Costa</w:t>
      </w:r>
      <w:r w:rsidR="00FF41A0">
        <w:rPr>
          <w:color w:val="000000" w:themeColor="text1"/>
          <w:sz w:val="20"/>
          <w:szCs w:val="20"/>
        </w:rPr>
        <w:t xml:space="preserve"> </w:t>
      </w:r>
      <w:r w:rsidR="00C049E7" w:rsidRPr="00C049E7">
        <w:rPr>
          <w:color w:val="000000" w:themeColor="text1"/>
          <w:sz w:val="20"/>
          <w:szCs w:val="20"/>
        </w:rPr>
        <w:t>Rica</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Croatia</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Cyprus</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Czech</w:t>
      </w:r>
      <w:r w:rsidR="00C049E7">
        <w:rPr>
          <w:color w:val="000000" w:themeColor="text1"/>
          <w:sz w:val="20"/>
          <w:szCs w:val="20"/>
        </w:rPr>
        <w:t>ia,</w:t>
      </w:r>
      <w:r w:rsidR="00FF41A0">
        <w:rPr>
          <w:color w:val="000000" w:themeColor="text1"/>
          <w:sz w:val="20"/>
          <w:szCs w:val="20"/>
        </w:rPr>
        <w:t xml:space="preserve"> </w:t>
      </w:r>
      <w:r w:rsidR="00C049E7" w:rsidRPr="00C049E7">
        <w:rPr>
          <w:color w:val="000000" w:themeColor="text1"/>
          <w:sz w:val="20"/>
          <w:szCs w:val="20"/>
        </w:rPr>
        <w:t>Denmark</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Ecuador</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El</w:t>
      </w:r>
      <w:r w:rsidR="00FF41A0">
        <w:rPr>
          <w:color w:val="000000" w:themeColor="text1"/>
          <w:sz w:val="20"/>
          <w:szCs w:val="20"/>
        </w:rPr>
        <w:t xml:space="preserve"> </w:t>
      </w:r>
      <w:r w:rsidR="00C049E7" w:rsidRPr="00C049E7">
        <w:rPr>
          <w:color w:val="000000" w:themeColor="text1"/>
          <w:sz w:val="20"/>
          <w:szCs w:val="20"/>
        </w:rPr>
        <w:t>Salvador</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Estonia</w:t>
      </w:r>
      <w:r w:rsidR="00C049E7">
        <w:rPr>
          <w:color w:val="000000" w:themeColor="text1"/>
          <w:sz w:val="20"/>
          <w:szCs w:val="20"/>
        </w:rPr>
        <w:t>,</w:t>
      </w:r>
      <w:r w:rsidR="00FF41A0">
        <w:rPr>
          <w:color w:val="000000" w:themeColor="text1"/>
          <w:sz w:val="20"/>
          <w:szCs w:val="20"/>
        </w:rPr>
        <w:t xml:space="preserve"> </w:t>
      </w:r>
      <w:r w:rsidR="00C049E7">
        <w:rPr>
          <w:color w:val="000000" w:themeColor="text1"/>
          <w:sz w:val="20"/>
          <w:szCs w:val="20"/>
        </w:rPr>
        <w:t>Ethiopia,</w:t>
      </w:r>
      <w:r w:rsidR="00FF41A0">
        <w:rPr>
          <w:color w:val="000000" w:themeColor="text1"/>
          <w:sz w:val="20"/>
          <w:szCs w:val="20"/>
        </w:rPr>
        <w:t xml:space="preserve"> </w:t>
      </w:r>
      <w:r w:rsidR="00C049E7" w:rsidRPr="00C049E7">
        <w:rPr>
          <w:color w:val="000000" w:themeColor="text1"/>
          <w:sz w:val="20"/>
          <w:szCs w:val="20"/>
        </w:rPr>
        <w:t>Fiji</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Finland</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France</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Georgia</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Germany</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Ghana</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Greece</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Guatemala</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Honduras</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Hungary</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Iceland</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Ireland</w:t>
      </w:r>
      <w:r w:rsidR="00C049E7">
        <w:rPr>
          <w:color w:val="000000" w:themeColor="text1"/>
          <w:sz w:val="20"/>
          <w:szCs w:val="20"/>
        </w:rPr>
        <w:t>,</w:t>
      </w:r>
      <w:r w:rsidR="00FF41A0">
        <w:rPr>
          <w:color w:val="000000" w:themeColor="text1"/>
          <w:sz w:val="20"/>
          <w:szCs w:val="20"/>
        </w:rPr>
        <w:t xml:space="preserve"> </w:t>
      </w:r>
      <w:r w:rsidR="00C049E7">
        <w:rPr>
          <w:color w:val="000000" w:themeColor="text1"/>
          <w:sz w:val="20"/>
          <w:szCs w:val="20"/>
        </w:rPr>
        <w:t>Italy,</w:t>
      </w:r>
      <w:r w:rsidR="00FF41A0">
        <w:rPr>
          <w:color w:val="000000" w:themeColor="text1"/>
          <w:sz w:val="20"/>
          <w:szCs w:val="20"/>
        </w:rPr>
        <w:t xml:space="preserve"> </w:t>
      </w:r>
      <w:r w:rsidR="00C049E7">
        <w:rPr>
          <w:color w:val="000000" w:themeColor="text1"/>
          <w:sz w:val="20"/>
          <w:szCs w:val="20"/>
        </w:rPr>
        <w:t>Japan,</w:t>
      </w:r>
      <w:r w:rsidR="00FF41A0">
        <w:rPr>
          <w:color w:val="000000" w:themeColor="text1"/>
          <w:sz w:val="20"/>
          <w:szCs w:val="20"/>
        </w:rPr>
        <w:t xml:space="preserve"> </w:t>
      </w:r>
      <w:r w:rsidR="00C049E7" w:rsidRPr="00C049E7">
        <w:rPr>
          <w:color w:val="000000" w:themeColor="text1"/>
          <w:sz w:val="20"/>
          <w:szCs w:val="20"/>
        </w:rPr>
        <w:t>Latvia</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Lebanon</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Libya</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Liechtenstein</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Lithuania</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Luxembourg</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Madagascar</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Malta</w:t>
      </w:r>
      <w:r w:rsidR="00C049E7">
        <w:rPr>
          <w:color w:val="000000" w:themeColor="text1"/>
          <w:sz w:val="20"/>
          <w:szCs w:val="20"/>
        </w:rPr>
        <w:t>,</w:t>
      </w:r>
      <w:r w:rsidR="00FF41A0">
        <w:rPr>
          <w:color w:val="000000" w:themeColor="text1"/>
          <w:sz w:val="20"/>
          <w:szCs w:val="20"/>
        </w:rPr>
        <w:t xml:space="preserve"> </w:t>
      </w:r>
      <w:r w:rsidR="00C049E7">
        <w:rPr>
          <w:color w:val="000000" w:themeColor="text1"/>
          <w:sz w:val="20"/>
          <w:szCs w:val="20"/>
        </w:rPr>
        <w:t>Mexico,</w:t>
      </w:r>
      <w:r w:rsidR="00FF41A0">
        <w:rPr>
          <w:color w:val="000000" w:themeColor="text1"/>
          <w:sz w:val="20"/>
          <w:szCs w:val="20"/>
        </w:rPr>
        <w:t xml:space="preserve"> </w:t>
      </w:r>
      <w:r w:rsidR="00C049E7" w:rsidRPr="00C049E7">
        <w:rPr>
          <w:color w:val="000000" w:themeColor="text1"/>
          <w:sz w:val="20"/>
          <w:szCs w:val="20"/>
        </w:rPr>
        <w:t>Monaco</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Mongolia</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Montenegro</w:t>
      </w:r>
      <w:r w:rsidR="00C049E7">
        <w:rPr>
          <w:color w:val="000000" w:themeColor="text1"/>
          <w:sz w:val="20"/>
          <w:szCs w:val="20"/>
        </w:rPr>
        <w:t>,</w:t>
      </w:r>
      <w:r w:rsidR="00FF41A0">
        <w:rPr>
          <w:color w:val="000000" w:themeColor="text1"/>
          <w:sz w:val="20"/>
          <w:szCs w:val="20"/>
        </w:rPr>
        <w:t xml:space="preserve"> </w:t>
      </w:r>
      <w:r w:rsidR="00C049E7">
        <w:rPr>
          <w:color w:val="000000" w:themeColor="text1"/>
          <w:sz w:val="20"/>
          <w:szCs w:val="20"/>
        </w:rPr>
        <w:t>Morocco,</w:t>
      </w:r>
      <w:r w:rsidR="00FF41A0">
        <w:rPr>
          <w:color w:val="000000" w:themeColor="text1"/>
          <w:sz w:val="20"/>
          <w:szCs w:val="20"/>
        </w:rPr>
        <w:t xml:space="preserve"> </w:t>
      </w:r>
      <w:r w:rsidR="00C049E7" w:rsidRPr="00C049E7">
        <w:rPr>
          <w:color w:val="000000" w:themeColor="text1"/>
          <w:sz w:val="20"/>
          <w:szCs w:val="20"/>
        </w:rPr>
        <w:t>Mozambique</w:t>
      </w:r>
      <w:r w:rsidR="00C049E7">
        <w:rPr>
          <w:color w:val="000000" w:themeColor="text1"/>
          <w:sz w:val="20"/>
          <w:szCs w:val="20"/>
        </w:rPr>
        <w:t>,</w:t>
      </w:r>
      <w:r w:rsidR="00FF41A0">
        <w:rPr>
          <w:color w:val="000000" w:themeColor="text1"/>
          <w:sz w:val="20"/>
          <w:szCs w:val="20"/>
        </w:rPr>
        <w:t xml:space="preserve"> </w:t>
      </w:r>
      <w:r w:rsidR="00C049E7">
        <w:rPr>
          <w:color w:val="000000" w:themeColor="text1"/>
          <w:sz w:val="20"/>
          <w:szCs w:val="20"/>
        </w:rPr>
        <w:t>the</w:t>
      </w:r>
      <w:r w:rsidR="00FF41A0">
        <w:rPr>
          <w:color w:val="000000" w:themeColor="text1"/>
          <w:sz w:val="20"/>
          <w:szCs w:val="20"/>
        </w:rPr>
        <w:t xml:space="preserve"> </w:t>
      </w:r>
      <w:r w:rsidR="00C049E7" w:rsidRPr="00C049E7">
        <w:rPr>
          <w:color w:val="000000" w:themeColor="text1"/>
          <w:sz w:val="20"/>
          <w:szCs w:val="20"/>
        </w:rPr>
        <w:t>Netherlands</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New</w:t>
      </w:r>
      <w:r w:rsidR="00FF41A0">
        <w:rPr>
          <w:color w:val="000000" w:themeColor="text1"/>
          <w:sz w:val="20"/>
          <w:szCs w:val="20"/>
        </w:rPr>
        <w:t xml:space="preserve"> </w:t>
      </w:r>
      <w:r w:rsidR="00C049E7" w:rsidRPr="00C049E7">
        <w:rPr>
          <w:color w:val="000000" w:themeColor="text1"/>
          <w:sz w:val="20"/>
          <w:szCs w:val="20"/>
        </w:rPr>
        <w:t>Zealand</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North</w:t>
      </w:r>
      <w:r w:rsidR="00FF41A0">
        <w:rPr>
          <w:color w:val="000000" w:themeColor="text1"/>
          <w:sz w:val="20"/>
          <w:szCs w:val="20"/>
        </w:rPr>
        <w:t xml:space="preserve"> </w:t>
      </w:r>
      <w:r w:rsidR="00C049E7" w:rsidRPr="00C049E7">
        <w:rPr>
          <w:color w:val="000000" w:themeColor="text1"/>
          <w:sz w:val="20"/>
          <w:szCs w:val="20"/>
        </w:rPr>
        <w:t>Macedonia</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Panama</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Peru</w:t>
      </w:r>
      <w:r w:rsidR="00C049E7">
        <w:rPr>
          <w:color w:val="000000" w:themeColor="text1"/>
          <w:sz w:val="20"/>
          <w:szCs w:val="20"/>
        </w:rPr>
        <w:t>,</w:t>
      </w:r>
      <w:r w:rsidR="00FF41A0">
        <w:rPr>
          <w:color w:val="000000" w:themeColor="text1"/>
          <w:sz w:val="20"/>
          <w:szCs w:val="20"/>
        </w:rPr>
        <w:t xml:space="preserve"> </w:t>
      </w:r>
      <w:r w:rsidR="00C049E7">
        <w:rPr>
          <w:color w:val="000000" w:themeColor="text1"/>
          <w:sz w:val="20"/>
          <w:szCs w:val="20"/>
        </w:rPr>
        <w:t>the</w:t>
      </w:r>
      <w:r w:rsidR="00FF41A0">
        <w:rPr>
          <w:color w:val="000000" w:themeColor="text1"/>
          <w:sz w:val="20"/>
          <w:szCs w:val="20"/>
        </w:rPr>
        <w:t xml:space="preserve"> </w:t>
      </w:r>
      <w:r w:rsidR="00C049E7" w:rsidRPr="00C049E7">
        <w:rPr>
          <w:color w:val="000000" w:themeColor="text1"/>
          <w:sz w:val="20"/>
          <w:szCs w:val="20"/>
        </w:rPr>
        <w:t>Philippines</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Poland</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Portugal</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Qatar</w:t>
      </w:r>
      <w:r w:rsidR="00C049E7">
        <w:rPr>
          <w:color w:val="000000" w:themeColor="text1"/>
          <w:sz w:val="20"/>
          <w:szCs w:val="20"/>
        </w:rPr>
        <w:t>,</w:t>
      </w:r>
      <w:r w:rsidR="00FF41A0">
        <w:rPr>
          <w:color w:val="000000" w:themeColor="text1"/>
          <w:sz w:val="20"/>
          <w:szCs w:val="20"/>
        </w:rPr>
        <w:t xml:space="preserve"> </w:t>
      </w:r>
      <w:r w:rsidR="00C049E7">
        <w:rPr>
          <w:color w:val="000000" w:themeColor="text1"/>
          <w:sz w:val="20"/>
          <w:szCs w:val="20"/>
        </w:rPr>
        <w:t>the</w:t>
      </w:r>
      <w:r w:rsidR="00FF41A0">
        <w:rPr>
          <w:color w:val="000000" w:themeColor="text1"/>
          <w:sz w:val="20"/>
          <w:szCs w:val="20"/>
        </w:rPr>
        <w:t xml:space="preserve"> </w:t>
      </w:r>
      <w:r w:rsidR="00C049E7" w:rsidRPr="00C049E7">
        <w:rPr>
          <w:color w:val="000000" w:themeColor="text1"/>
          <w:sz w:val="20"/>
          <w:szCs w:val="20"/>
        </w:rPr>
        <w:t>Republic</w:t>
      </w:r>
      <w:r w:rsidR="00FF41A0">
        <w:rPr>
          <w:color w:val="000000" w:themeColor="text1"/>
          <w:sz w:val="20"/>
          <w:szCs w:val="20"/>
        </w:rPr>
        <w:t xml:space="preserve"> </w:t>
      </w:r>
      <w:r w:rsidR="00C049E7" w:rsidRPr="00C049E7">
        <w:rPr>
          <w:color w:val="000000" w:themeColor="text1"/>
          <w:sz w:val="20"/>
          <w:szCs w:val="20"/>
        </w:rPr>
        <w:t>of</w:t>
      </w:r>
      <w:r w:rsidR="00FF41A0">
        <w:rPr>
          <w:color w:val="000000" w:themeColor="text1"/>
          <w:sz w:val="20"/>
          <w:szCs w:val="20"/>
        </w:rPr>
        <w:t xml:space="preserve"> </w:t>
      </w:r>
      <w:r w:rsidR="00C049E7" w:rsidRPr="00C049E7">
        <w:rPr>
          <w:color w:val="000000" w:themeColor="text1"/>
          <w:sz w:val="20"/>
          <w:szCs w:val="20"/>
        </w:rPr>
        <w:t>Korea</w:t>
      </w:r>
      <w:r w:rsidR="00C049E7">
        <w:rPr>
          <w:color w:val="000000" w:themeColor="text1"/>
          <w:sz w:val="20"/>
          <w:szCs w:val="20"/>
        </w:rPr>
        <w:t>,</w:t>
      </w:r>
      <w:r w:rsidR="00FF41A0">
        <w:rPr>
          <w:color w:val="000000" w:themeColor="text1"/>
          <w:sz w:val="20"/>
          <w:szCs w:val="20"/>
        </w:rPr>
        <w:t xml:space="preserve"> </w:t>
      </w:r>
      <w:r w:rsidR="00C049E7">
        <w:rPr>
          <w:color w:val="000000" w:themeColor="text1"/>
          <w:sz w:val="20"/>
          <w:szCs w:val="20"/>
        </w:rPr>
        <w:t>the</w:t>
      </w:r>
      <w:r w:rsidR="00FF41A0">
        <w:rPr>
          <w:color w:val="000000" w:themeColor="text1"/>
          <w:sz w:val="20"/>
          <w:szCs w:val="20"/>
        </w:rPr>
        <w:t xml:space="preserve"> </w:t>
      </w:r>
      <w:r w:rsidR="00C049E7">
        <w:rPr>
          <w:color w:val="000000" w:themeColor="text1"/>
          <w:sz w:val="20"/>
          <w:szCs w:val="20"/>
        </w:rPr>
        <w:t>Republic</w:t>
      </w:r>
      <w:r w:rsidR="00FF41A0">
        <w:rPr>
          <w:color w:val="000000" w:themeColor="text1"/>
          <w:sz w:val="20"/>
          <w:szCs w:val="20"/>
        </w:rPr>
        <w:t xml:space="preserve"> </w:t>
      </w:r>
      <w:r w:rsidR="00C049E7">
        <w:rPr>
          <w:color w:val="000000" w:themeColor="text1"/>
          <w:sz w:val="20"/>
          <w:szCs w:val="20"/>
        </w:rPr>
        <w:t>of</w:t>
      </w:r>
      <w:r w:rsidR="00FF41A0">
        <w:rPr>
          <w:color w:val="000000" w:themeColor="text1"/>
          <w:sz w:val="20"/>
          <w:szCs w:val="20"/>
        </w:rPr>
        <w:t xml:space="preserve"> </w:t>
      </w:r>
      <w:r w:rsidR="00C049E7" w:rsidRPr="00C049E7">
        <w:rPr>
          <w:color w:val="000000" w:themeColor="text1"/>
          <w:sz w:val="20"/>
          <w:szCs w:val="20"/>
        </w:rPr>
        <w:t>Moldova</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Romania</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Rwanda</w:t>
      </w:r>
      <w:r w:rsidR="00C049E7">
        <w:rPr>
          <w:color w:val="000000" w:themeColor="text1"/>
          <w:sz w:val="20"/>
          <w:szCs w:val="20"/>
        </w:rPr>
        <w:t>,</w:t>
      </w:r>
      <w:r w:rsidR="00FF41A0">
        <w:rPr>
          <w:color w:val="000000" w:themeColor="text1"/>
          <w:sz w:val="20"/>
          <w:szCs w:val="20"/>
        </w:rPr>
        <w:t xml:space="preserve"> </w:t>
      </w:r>
      <w:r w:rsidR="00E02CD1">
        <w:rPr>
          <w:color w:val="000000" w:themeColor="text1"/>
          <w:sz w:val="20"/>
          <w:szCs w:val="20"/>
        </w:rPr>
        <w:t>Samoa,</w:t>
      </w:r>
      <w:r w:rsidR="00FF41A0">
        <w:rPr>
          <w:color w:val="000000" w:themeColor="text1"/>
          <w:sz w:val="20"/>
          <w:szCs w:val="20"/>
        </w:rPr>
        <w:t xml:space="preserve"> </w:t>
      </w:r>
      <w:r w:rsidR="00C049E7" w:rsidRPr="00C049E7">
        <w:rPr>
          <w:color w:val="000000" w:themeColor="text1"/>
          <w:sz w:val="20"/>
          <w:szCs w:val="20"/>
        </w:rPr>
        <w:t>San</w:t>
      </w:r>
      <w:r w:rsidR="00FF41A0">
        <w:rPr>
          <w:color w:val="000000" w:themeColor="text1"/>
          <w:sz w:val="20"/>
          <w:szCs w:val="20"/>
        </w:rPr>
        <w:t xml:space="preserve"> </w:t>
      </w:r>
      <w:r w:rsidR="00C049E7" w:rsidRPr="00C049E7">
        <w:rPr>
          <w:color w:val="000000" w:themeColor="text1"/>
          <w:sz w:val="20"/>
          <w:szCs w:val="20"/>
        </w:rPr>
        <w:t>Marino</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Serbia</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Slovakia</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Slovenia</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Spain</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Sri</w:t>
      </w:r>
      <w:r w:rsidR="00FF41A0">
        <w:rPr>
          <w:color w:val="000000" w:themeColor="text1"/>
          <w:sz w:val="20"/>
          <w:szCs w:val="20"/>
        </w:rPr>
        <w:t xml:space="preserve"> </w:t>
      </w:r>
      <w:r w:rsidR="00C049E7" w:rsidRPr="00C049E7">
        <w:rPr>
          <w:color w:val="000000" w:themeColor="text1"/>
          <w:sz w:val="20"/>
          <w:szCs w:val="20"/>
        </w:rPr>
        <w:t>Lanka</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Sweden</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Timor</w:t>
      </w:r>
      <w:r w:rsidR="00C049E7">
        <w:rPr>
          <w:color w:val="000000" w:themeColor="text1"/>
          <w:sz w:val="20"/>
          <w:szCs w:val="20"/>
        </w:rPr>
        <w:t>-</w:t>
      </w:r>
      <w:r w:rsidR="00C049E7" w:rsidRPr="00C049E7">
        <w:rPr>
          <w:color w:val="000000" w:themeColor="text1"/>
          <w:sz w:val="20"/>
          <w:szCs w:val="20"/>
        </w:rPr>
        <w:t>Leste</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Tunisia</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Turkey</w:t>
      </w:r>
      <w:r w:rsidR="00C049E7">
        <w:rPr>
          <w:color w:val="000000" w:themeColor="text1"/>
          <w:sz w:val="20"/>
          <w:szCs w:val="20"/>
        </w:rPr>
        <w:t>,</w:t>
      </w:r>
      <w:r w:rsidR="00FF41A0">
        <w:rPr>
          <w:color w:val="000000" w:themeColor="text1"/>
          <w:sz w:val="20"/>
          <w:szCs w:val="20"/>
        </w:rPr>
        <w:t xml:space="preserve"> </w:t>
      </w:r>
      <w:r w:rsidR="00C049E7" w:rsidRPr="00C049E7">
        <w:rPr>
          <w:color w:val="000000" w:themeColor="text1"/>
          <w:sz w:val="20"/>
          <w:szCs w:val="20"/>
        </w:rPr>
        <w:t>Uganda</w:t>
      </w:r>
      <w:r w:rsidR="00FF41A0">
        <w:rPr>
          <w:color w:val="000000" w:themeColor="text1"/>
          <w:sz w:val="20"/>
          <w:szCs w:val="20"/>
        </w:rPr>
        <w:t xml:space="preserve"> </w:t>
      </w:r>
      <w:r w:rsidR="00C049E7">
        <w:rPr>
          <w:color w:val="000000" w:themeColor="text1"/>
          <w:sz w:val="20"/>
          <w:szCs w:val="20"/>
        </w:rPr>
        <w:t>and</w:t>
      </w:r>
      <w:r w:rsidR="00FF41A0">
        <w:rPr>
          <w:color w:val="000000" w:themeColor="text1"/>
          <w:sz w:val="20"/>
          <w:szCs w:val="20"/>
        </w:rPr>
        <w:t xml:space="preserve"> </w:t>
      </w:r>
      <w:r w:rsidR="00C049E7" w:rsidRPr="00C049E7">
        <w:rPr>
          <w:color w:val="000000" w:themeColor="text1"/>
          <w:sz w:val="20"/>
          <w:szCs w:val="20"/>
        </w:rPr>
        <w:t>Ukraine</w:t>
      </w:r>
      <w:r w:rsidR="00C049E7">
        <w:rPr>
          <w:color w:val="000000" w:themeColor="text1"/>
          <w:sz w:val="20"/>
          <w:szCs w:val="20"/>
        </w:rPr>
        <w:t>)</w:t>
      </w:r>
      <w:r w:rsidRPr="0037538E">
        <w:rPr>
          <w:color w:val="000000" w:themeColor="text1"/>
          <w:sz w:val="20"/>
          <w:szCs w:val="20"/>
        </w:rPr>
        <w:t>;</w:t>
      </w:r>
      <w:r w:rsidR="00FF41A0">
        <w:rPr>
          <w:color w:val="000000" w:themeColor="text1"/>
          <w:sz w:val="20"/>
          <w:szCs w:val="20"/>
        </w:rPr>
        <w:t xml:space="preserve"> </w:t>
      </w:r>
    </w:p>
    <w:p w14:paraId="2EA58DA3" w14:textId="33682550" w:rsidR="00EF57BD" w:rsidRPr="0037538E" w:rsidRDefault="00F11B08" w:rsidP="00EF57BD">
      <w:pPr>
        <w:pStyle w:val="SingleTxtG"/>
        <w:ind w:firstLine="567"/>
        <w:rPr>
          <w:color w:val="000000" w:themeColor="text1"/>
          <w:sz w:val="20"/>
          <w:szCs w:val="20"/>
        </w:rPr>
      </w:pPr>
      <w:r w:rsidRPr="0037538E">
        <w:rPr>
          <w:color w:val="000000" w:themeColor="text1"/>
          <w:sz w:val="20"/>
          <w:szCs w:val="20"/>
        </w:rPr>
        <w:t>(b)</w:t>
      </w:r>
      <w:r w:rsidRPr="0037538E">
        <w:rPr>
          <w:color w:val="000000" w:themeColor="text1"/>
          <w:sz w:val="20"/>
          <w:szCs w:val="20"/>
        </w:rPr>
        <w:tab/>
        <w:t>Representatives</w:t>
      </w:r>
      <w:r w:rsidR="00FF41A0">
        <w:rPr>
          <w:color w:val="000000" w:themeColor="text1"/>
          <w:sz w:val="20"/>
          <w:szCs w:val="20"/>
        </w:rPr>
        <w:t xml:space="preserve"> </w:t>
      </w:r>
      <w:r w:rsidRPr="0037538E">
        <w:rPr>
          <w:color w:val="000000" w:themeColor="text1"/>
          <w:sz w:val="20"/>
          <w:szCs w:val="20"/>
        </w:rPr>
        <w:t>of</w:t>
      </w:r>
      <w:r w:rsidR="00FF41A0">
        <w:rPr>
          <w:color w:val="000000" w:themeColor="text1"/>
          <w:sz w:val="20"/>
          <w:szCs w:val="20"/>
        </w:rPr>
        <w:t xml:space="preserve"> </w:t>
      </w:r>
      <w:r w:rsidRPr="0037538E">
        <w:rPr>
          <w:color w:val="000000" w:themeColor="text1"/>
          <w:sz w:val="20"/>
          <w:szCs w:val="20"/>
        </w:rPr>
        <w:t>observer</w:t>
      </w:r>
      <w:r w:rsidR="00FF41A0">
        <w:rPr>
          <w:color w:val="000000" w:themeColor="text1"/>
          <w:sz w:val="20"/>
          <w:szCs w:val="20"/>
        </w:rPr>
        <w:t xml:space="preserve"> </w:t>
      </w:r>
      <w:r w:rsidRPr="0037538E">
        <w:rPr>
          <w:color w:val="000000" w:themeColor="text1"/>
          <w:sz w:val="20"/>
          <w:szCs w:val="20"/>
        </w:rPr>
        <w:t>States:</w:t>
      </w:r>
      <w:r w:rsidR="00FF41A0">
        <w:rPr>
          <w:color w:val="000000" w:themeColor="text1"/>
          <w:sz w:val="20"/>
          <w:szCs w:val="20"/>
        </w:rPr>
        <w:t xml:space="preserve"> </w:t>
      </w:r>
      <w:r w:rsidR="001270BF" w:rsidRPr="00FA4681">
        <w:rPr>
          <w:color w:val="000000" w:themeColor="text1"/>
          <w:sz w:val="20"/>
          <w:szCs w:val="20"/>
        </w:rPr>
        <w:t>Greece</w:t>
      </w:r>
      <w:r w:rsidR="001270BF">
        <w:rPr>
          <w:color w:val="000000" w:themeColor="text1"/>
          <w:sz w:val="20"/>
          <w:szCs w:val="20"/>
        </w:rPr>
        <w:t>,</w:t>
      </w:r>
      <w:r w:rsidR="00FF41A0">
        <w:rPr>
          <w:color w:val="000000" w:themeColor="text1"/>
          <w:sz w:val="20"/>
          <w:szCs w:val="20"/>
        </w:rPr>
        <w:t xml:space="preserve"> </w:t>
      </w:r>
      <w:r w:rsidR="001270BF" w:rsidRPr="00FA4681">
        <w:rPr>
          <w:color w:val="000000" w:themeColor="text1"/>
          <w:sz w:val="20"/>
          <w:szCs w:val="20"/>
        </w:rPr>
        <w:t>Iran</w:t>
      </w:r>
      <w:r w:rsidR="00FF41A0">
        <w:rPr>
          <w:color w:val="000000" w:themeColor="text1"/>
          <w:sz w:val="20"/>
          <w:szCs w:val="20"/>
        </w:rPr>
        <w:t xml:space="preserve"> </w:t>
      </w:r>
      <w:r w:rsidR="001270BF" w:rsidRPr="00FA4681">
        <w:rPr>
          <w:color w:val="000000" w:themeColor="text1"/>
          <w:sz w:val="20"/>
          <w:szCs w:val="20"/>
        </w:rPr>
        <w:t>(Islamic</w:t>
      </w:r>
      <w:r w:rsidR="00FF41A0">
        <w:rPr>
          <w:color w:val="000000" w:themeColor="text1"/>
          <w:sz w:val="20"/>
          <w:szCs w:val="20"/>
        </w:rPr>
        <w:t xml:space="preserve"> </w:t>
      </w:r>
      <w:r w:rsidR="001270BF" w:rsidRPr="00FA4681">
        <w:rPr>
          <w:color w:val="000000" w:themeColor="text1"/>
          <w:sz w:val="20"/>
          <w:szCs w:val="20"/>
        </w:rPr>
        <w:t>Republic</w:t>
      </w:r>
      <w:r w:rsidR="00FF41A0">
        <w:rPr>
          <w:color w:val="000000" w:themeColor="text1"/>
          <w:sz w:val="20"/>
          <w:szCs w:val="20"/>
        </w:rPr>
        <w:t xml:space="preserve"> </w:t>
      </w:r>
      <w:r w:rsidR="001270BF" w:rsidRPr="00FA4681">
        <w:rPr>
          <w:color w:val="000000" w:themeColor="text1"/>
          <w:sz w:val="20"/>
          <w:szCs w:val="20"/>
        </w:rPr>
        <w:t>of)</w:t>
      </w:r>
      <w:r w:rsidR="001270BF">
        <w:rPr>
          <w:color w:val="000000" w:themeColor="text1"/>
          <w:sz w:val="20"/>
          <w:szCs w:val="20"/>
        </w:rPr>
        <w:t>,</w:t>
      </w:r>
      <w:r w:rsidR="00FF41A0">
        <w:rPr>
          <w:color w:val="000000" w:themeColor="text1"/>
          <w:sz w:val="20"/>
          <w:szCs w:val="20"/>
        </w:rPr>
        <w:t xml:space="preserve"> </w:t>
      </w:r>
      <w:r w:rsidR="001270BF" w:rsidRPr="00FA4681">
        <w:rPr>
          <w:color w:val="000000" w:themeColor="text1"/>
          <w:sz w:val="20"/>
          <w:szCs w:val="20"/>
        </w:rPr>
        <w:t>Israel</w:t>
      </w:r>
      <w:r w:rsidR="001270BF">
        <w:rPr>
          <w:color w:val="000000" w:themeColor="text1"/>
          <w:sz w:val="20"/>
          <w:szCs w:val="20"/>
        </w:rPr>
        <w:t>,</w:t>
      </w:r>
      <w:r w:rsidR="00FF41A0">
        <w:rPr>
          <w:color w:val="000000" w:themeColor="text1"/>
          <w:sz w:val="20"/>
          <w:szCs w:val="20"/>
        </w:rPr>
        <w:t xml:space="preserve"> </w:t>
      </w:r>
      <w:r w:rsidR="001270BF" w:rsidRPr="00FA4681">
        <w:rPr>
          <w:color w:val="000000" w:themeColor="text1"/>
          <w:sz w:val="20"/>
          <w:szCs w:val="20"/>
        </w:rPr>
        <w:t>Libya</w:t>
      </w:r>
      <w:r w:rsidR="001270BF">
        <w:rPr>
          <w:color w:val="000000" w:themeColor="text1"/>
          <w:sz w:val="20"/>
          <w:szCs w:val="20"/>
        </w:rPr>
        <w:t>,</w:t>
      </w:r>
      <w:r w:rsidR="00FF41A0">
        <w:rPr>
          <w:color w:val="000000" w:themeColor="text1"/>
          <w:sz w:val="20"/>
          <w:szCs w:val="20"/>
        </w:rPr>
        <w:t xml:space="preserve"> </w:t>
      </w:r>
      <w:r w:rsidR="001270BF" w:rsidRPr="00FA4681">
        <w:rPr>
          <w:color w:val="000000" w:themeColor="text1"/>
          <w:sz w:val="20"/>
          <w:szCs w:val="20"/>
        </w:rPr>
        <w:t>Russian</w:t>
      </w:r>
      <w:r w:rsidR="00FF41A0">
        <w:rPr>
          <w:color w:val="000000" w:themeColor="text1"/>
          <w:sz w:val="20"/>
          <w:szCs w:val="20"/>
        </w:rPr>
        <w:t xml:space="preserve"> </w:t>
      </w:r>
      <w:r w:rsidR="001270BF" w:rsidRPr="00FA4681">
        <w:rPr>
          <w:color w:val="000000" w:themeColor="text1"/>
          <w:sz w:val="20"/>
          <w:szCs w:val="20"/>
        </w:rPr>
        <w:t>Federation</w:t>
      </w:r>
      <w:r w:rsidR="001270BF">
        <w:rPr>
          <w:color w:val="000000" w:themeColor="text1"/>
          <w:sz w:val="20"/>
          <w:szCs w:val="20"/>
        </w:rPr>
        <w:t>,</w:t>
      </w:r>
      <w:r w:rsidR="00FF41A0">
        <w:rPr>
          <w:color w:val="000000" w:themeColor="text1"/>
          <w:sz w:val="20"/>
          <w:szCs w:val="20"/>
        </w:rPr>
        <w:t xml:space="preserve"> </w:t>
      </w:r>
      <w:r w:rsidR="001270BF" w:rsidRPr="00FA4681">
        <w:rPr>
          <w:color w:val="000000" w:themeColor="text1"/>
          <w:sz w:val="20"/>
          <w:szCs w:val="20"/>
        </w:rPr>
        <w:t>Sudan</w:t>
      </w:r>
      <w:r w:rsidR="001270BF">
        <w:rPr>
          <w:color w:val="000000" w:themeColor="text1"/>
          <w:sz w:val="20"/>
          <w:szCs w:val="20"/>
        </w:rPr>
        <w:t>,</w:t>
      </w:r>
      <w:r w:rsidR="00FF41A0">
        <w:rPr>
          <w:color w:val="000000" w:themeColor="text1"/>
          <w:sz w:val="20"/>
          <w:szCs w:val="20"/>
        </w:rPr>
        <w:t xml:space="preserve"> </w:t>
      </w:r>
      <w:r w:rsidR="001270BF" w:rsidRPr="00FA4681">
        <w:rPr>
          <w:color w:val="000000" w:themeColor="text1"/>
          <w:sz w:val="20"/>
          <w:szCs w:val="20"/>
        </w:rPr>
        <w:t>Venezuela</w:t>
      </w:r>
      <w:r w:rsidR="00FF41A0">
        <w:rPr>
          <w:color w:val="000000" w:themeColor="text1"/>
          <w:sz w:val="20"/>
          <w:szCs w:val="20"/>
        </w:rPr>
        <w:t xml:space="preserve"> </w:t>
      </w:r>
      <w:r w:rsidR="001270BF" w:rsidRPr="00FA4681">
        <w:rPr>
          <w:color w:val="000000" w:themeColor="text1"/>
          <w:sz w:val="20"/>
          <w:szCs w:val="20"/>
        </w:rPr>
        <w:t>(Bolivarian</w:t>
      </w:r>
      <w:r w:rsidR="00FF41A0">
        <w:rPr>
          <w:color w:val="000000" w:themeColor="text1"/>
          <w:sz w:val="20"/>
          <w:szCs w:val="20"/>
        </w:rPr>
        <w:t xml:space="preserve"> </w:t>
      </w:r>
      <w:r w:rsidR="001270BF" w:rsidRPr="00FA4681">
        <w:rPr>
          <w:color w:val="000000" w:themeColor="text1"/>
          <w:sz w:val="20"/>
          <w:szCs w:val="20"/>
        </w:rPr>
        <w:t>Republic</w:t>
      </w:r>
      <w:r w:rsidR="00FF41A0">
        <w:rPr>
          <w:color w:val="000000" w:themeColor="text1"/>
          <w:sz w:val="20"/>
          <w:szCs w:val="20"/>
        </w:rPr>
        <w:t xml:space="preserve"> </w:t>
      </w:r>
      <w:r w:rsidR="001270BF" w:rsidRPr="00FA4681">
        <w:rPr>
          <w:color w:val="000000" w:themeColor="text1"/>
          <w:sz w:val="20"/>
          <w:szCs w:val="20"/>
        </w:rPr>
        <w:t>of)</w:t>
      </w:r>
      <w:r w:rsidRPr="0037538E">
        <w:rPr>
          <w:color w:val="000000" w:themeColor="text1"/>
          <w:sz w:val="20"/>
          <w:szCs w:val="20"/>
        </w:rPr>
        <w:t>;</w:t>
      </w:r>
      <w:r w:rsidR="00FF41A0">
        <w:rPr>
          <w:color w:val="000000" w:themeColor="text1"/>
          <w:sz w:val="20"/>
          <w:szCs w:val="20"/>
        </w:rPr>
        <w:t xml:space="preserve"> </w:t>
      </w:r>
    </w:p>
    <w:p w14:paraId="59F41D01" w14:textId="50B78161" w:rsidR="007909BC" w:rsidRPr="0037538E" w:rsidRDefault="007909BC" w:rsidP="00EF57BD">
      <w:pPr>
        <w:pStyle w:val="SingleTxtG"/>
        <w:ind w:firstLine="567"/>
        <w:rPr>
          <w:color w:val="000000" w:themeColor="text1"/>
          <w:sz w:val="20"/>
          <w:szCs w:val="20"/>
        </w:rPr>
      </w:pPr>
      <w:r w:rsidRPr="0069044B">
        <w:rPr>
          <w:color w:val="000000" w:themeColor="text1"/>
          <w:sz w:val="20"/>
          <w:szCs w:val="20"/>
        </w:rPr>
        <w:t>(</w:t>
      </w:r>
      <w:r>
        <w:rPr>
          <w:color w:val="000000" w:themeColor="text1"/>
          <w:sz w:val="20"/>
          <w:szCs w:val="20"/>
        </w:rPr>
        <w:t>c</w:t>
      </w:r>
      <w:r w:rsidRPr="0069044B">
        <w:rPr>
          <w:color w:val="000000" w:themeColor="text1"/>
          <w:sz w:val="20"/>
          <w:szCs w:val="20"/>
        </w:rPr>
        <w:t>)</w:t>
      </w:r>
      <w:r w:rsidRPr="0069044B">
        <w:rPr>
          <w:color w:val="000000" w:themeColor="text1"/>
          <w:sz w:val="20"/>
          <w:szCs w:val="20"/>
        </w:rPr>
        <w:tab/>
        <w:t>Observer</w:t>
      </w:r>
      <w:r w:rsidR="00FF41A0">
        <w:rPr>
          <w:color w:val="000000" w:themeColor="text1"/>
          <w:sz w:val="20"/>
          <w:szCs w:val="20"/>
        </w:rPr>
        <w:t xml:space="preserve"> </w:t>
      </w:r>
      <w:r w:rsidRPr="0069044B">
        <w:rPr>
          <w:color w:val="000000" w:themeColor="text1"/>
          <w:sz w:val="20"/>
          <w:szCs w:val="20"/>
        </w:rPr>
        <w:t>for</w:t>
      </w:r>
      <w:r w:rsidR="00FF41A0">
        <w:rPr>
          <w:color w:val="000000" w:themeColor="text1"/>
          <w:sz w:val="20"/>
          <w:szCs w:val="20"/>
        </w:rPr>
        <w:t xml:space="preserve"> </w:t>
      </w:r>
      <w:r>
        <w:rPr>
          <w:color w:val="000000" w:themeColor="text1"/>
          <w:sz w:val="20"/>
          <w:szCs w:val="20"/>
        </w:rPr>
        <w:t>a</w:t>
      </w:r>
      <w:r w:rsidR="00FF41A0">
        <w:rPr>
          <w:color w:val="000000" w:themeColor="text1"/>
          <w:sz w:val="20"/>
          <w:szCs w:val="20"/>
        </w:rPr>
        <w:t xml:space="preserve"> </w:t>
      </w:r>
      <w:r w:rsidRPr="0069044B">
        <w:rPr>
          <w:color w:val="000000" w:themeColor="text1"/>
          <w:sz w:val="20"/>
          <w:szCs w:val="20"/>
        </w:rPr>
        <w:t>national</w:t>
      </w:r>
      <w:r w:rsidR="00FF41A0">
        <w:rPr>
          <w:color w:val="000000" w:themeColor="text1"/>
          <w:sz w:val="20"/>
          <w:szCs w:val="20"/>
        </w:rPr>
        <w:t xml:space="preserve"> </w:t>
      </w:r>
      <w:r w:rsidRPr="0069044B">
        <w:rPr>
          <w:color w:val="000000" w:themeColor="text1"/>
          <w:sz w:val="20"/>
          <w:szCs w:val="20"/>
        </w:rPr>
        <w:t>human</w:t>
      </w:r>
      <w:r w:rsidR="00FF41A0">
        <w:rPr>
          <w:color w:val="000000" w:themeColor="text1"/>
          <w:sz w:val="20"/>
          <w:szCs w:val="20"/>
        </w:rPr>
        <w:t xml:space="preserve"> </w:t>
      </w:r>
      <w:r w:rsidRPr="0069044B">
        <w:rPr>
          <w:color w:val="000000" w:themeColor="text1"/>
          <w:sz w:val="20"/>
          <w:szCs w:val="20"/>
        </w:rPr>
        <w:t>rights</w:t>
      </w:r>
      <w:r w:rsidR="00FF41A0">
        <w:rPr>
          <w:color w:val="000000" w:themeColor="text1"/>
          <w:sz w:val="20"/>
          <w:szCs w:val="20"/>
        </w:rPr>
        <w:t xml:space="preserve"> </w:t>
      </w:r>
      <w:r w:rsidRPr="0069044B">
        <w:rPr>
          <w:color w:val="000000" w:themeColor="text1"/>
          <w:sz w:val="20"/>
          <w:szCs w:val="20"/>
        </w:rPr>
        <w:t>institution:</w:t>
      </w:r>
      <w:r w:rsidR="00FF41A0">
        <w:rPr>
          <w:color w:val="000000" w:themeColor="text1"/>
          <w:sz w:val="20"/>
          <w:szCs w:val="20"/>
        </w:rPr>
        <w:t xml:space="preserve"> </w:t>
      </w:r>
      <w:r w:rsidRPr="007909BC">
        <w:rPr>
          <w:color w:val="000000" w:themeColor="text1"/>
          <w:sz w:val="20"/>
          <w:szCs w:val="20"/>
        </w:rPr>
        <w:t>Commission</w:t>
      </w:r>
      <w:r w:rsidR="00FF41A0">
        <w:rPr>
          <w:color w:val="000000" w:themeColor="text1"/>
          <w:sz w:val="20"/>
          <w:szCs w:val="20"/>
        </w:rPr>
        <w:t xml:space="preserve"> </w:t>
      </w:r>
      <w:r w:rsidRPr="007909BC">
        <w:rPr>
          <w:color w:val="000000" w:themeColor="text1"/>
          <w:sz w:val="20"/>
          <w:szCs w:val="20"/>
        </w:rPr>
        <w:t>on</w:t>
      </w:r>
      <w:r w:rsidR="00FF41A0">
        <w:rPr>
          <w:color w:val="000000" w:themeColor="text1"/>
          <w:sz w:val="20"/>
          <w:szCs w:val="20"/>
        </w:rPr>
        <w:t xml:space="preserve"> </w:t>
      </w:r>
      <w:r w:rsidRPr="007909BC">
        <w:rPr>
          <w:color w:val="000000" w:themeColor="text1"/>
          <w:sz w:val="20"/>
          <w:szCs w:val="20"/>
        </w:rPr>
        <w:t>Human</w:t>
      </w:r>
      <w:r w:rsidR="00FF41A0">
        <w:rPr>
          <w:color w:val="000000" w:themeColor="text1"/>
          <w:sz w:val="20"/>
          <w:szCs w:val="20"/>
        </w:rPr>
        <w:t xml:space="preserve"> </w:t>
      </w:r>
      <w:r w:rsidRPr="007909BC">
        <w:rPr>
          <w:color w:val="000000" w:themeColor="text1"/>
          <w:sz w:val="20"/>
          <w:szCs w:val="20"/>
        </w:rPr>
        <w:t>Rights</w:t>
      </w:r>
      <w:r w:rsidR="00FF41A0">
        <w:rPr>
          <w:color w:val="000000" w:themeColor="text1"/>
          <w:sz w:val="20"/>
          <w:szCs w:val="20"/>
        </w:rPr>
        <w:t xml:space="preserve"> </w:t>
      </w:r>
      <w:r w:rsidRPr="007909BC">
        <w:rPr>
          <w:color w:val="000000" w:themeColor="text1"/>
          <w:sz w:val="20"/>
          <w:szCs w:val="20"/>
        </w:rPr>
        <w:t>of</w:t>
      </w:r>
      <w:r w:rsidR="00FF41A0">
        <w:rPr>
          <w:color w:val="000000" w:themeColor="text1"/>
          <w:sz w:val="20"/>
          <w:szCs w:val="20"/>
        </w:rPr>
        <w:t xml:space="preserve"> </w:t>
      </w:r>
      <w:r w:rsidRPr="007909BC">
        <w:rPr>
          <w:color w:val="000000" w:themeColor="text1"/>
          <w:sz w:val="20"/>
          <w:szCs w:val="20"/>
        </w:rPr>
        <w:t>the</w:t>
      </w:r>
      <w:r w:rsidR="00FF41A0">
        <w:rPr>
          <w:color w:val="000000" w:themeColor="text1"/>
          <w:sz w:val="20"/>
          <w:szCs w:val="20"/>
        </w:rPr>
        <w:t xml:space="preserve"> </w:t>
      </w:r>
      <w:r w:rsidRPr="007909BC">
        <w:rPr>
          <w:color w:val="000000" w:themeColor="text1"/>
          <w:sz w:val="20"/>
          <w:szCs w:val="20"/>
        </w:rPr>
        <w:t>Philippines</w:t>
      </w:r>
      <w:r w:rsidR="00FF41A0">
        <w:rPr>
          <w:color w:val="000000" w:themeColor="text1"/>
          <w:sz w:val="20"/>
          <w:szCs w:val="20"/>
        </w:rPr>
        <w:t xml:space="preserve"> </w:t>
      </w:r>
      <w:r>
        <w:rPr>
          <w:color w:val="000000" w:themeColor="text1"/>
          <w:sz w:val="20"/>
          <w:szCs w:val="20"/>
        </w:rPr>
        <w:t>(by</w:t>
      </w:r>
      <w:r w:rsidR="00FF41A0">
        <w:rPr>
          <w:color w:val="000000" w:themeColor="text1"/>
          <w:sz w:val="20"/>
          <w:szCs w:val="20"/>
        </w:rPr>
        <w:t xml:space="preserve"> </w:t>
      </w:r>
      <w:r>
        <w:rPr>
          <w:color w:val="000000" w:themeColor="text1"/>
          <w:sz w:val="20"/>
          <w:szCs w:val="20"/>
        </w:rPr>
        <w:t>video</w:t>
      </w:r>
      <w:r w:rsidR="00FF41A0">
        <w:rPr>
          <w:color w:val="000000" w:themeColor="text1"/>
          <w:sz w:val="20"/>
          <w:szCs w:val="20"/>
        </w:rPr>
        <w:t xml:space="preserve"> </w:t>
      </w:r>
      <w:r>
        <w:rPr>
          <w:color w:val="000000" w:themeColor="text1"/>
          <w:sz w:val="20"/>
          <w:szCs w:val="20"/>
        </w:rPr>
        <w:t>message);</w:t>
      </w:r>
    </w:p>
    <w:p w14:paraId="75B8C7E4" w14:textId="55646AE0" w:rsidR="00316EE9" w:rsidRPr="0037538E" w:rsidRDefault="008A1EE5" w:rsidP="00316EE9">
      <w:pPr>
        <w:pStyle w:val="SingleTxtG"/>
        <w:ind w:firstLine="567"/>
        <w:rPr>
          <w:color w:val="000000" w:themeColor="text1"/>
          <w:sz w:val="20"/>
          <w:szCs w:val="20"/>
        </w:rPr>
      </w:pPr>
      <w:r w:rsidRPr="0037538E">
        <w:rPr>
          <w:color w:val="000000" w:themeColor="text1"/>
          <w:sz w:val="20"/>
          <w:szCs w:val="20"/>
        </w:rPr>
        <w:t>(d)</w:t>
      </w:r>
      <w:r w:rsidRPr="0037538E">
        <w:rPr>
          <w:color w:val="000000" w:themeColor="text1"/>
          <w:sz w:val="20"/>
          <w:szCs w:val="20"/>
        </w:rPr>
        <w:tab/>
      </w:r>
      <w:r w:rsidR="00EF57BD" w:rsidRPr="0037538E">
        <w:rPr>
          <w:color w:val="000000" w:themeColor="text1"/>
          <w:sz w:val="20"/>
          <w:szCs w:val="20"/>
        </w:rPr>
        <w:t>Observers</w:t>
      </w:r>
      <w:r w:rsidR="00FF41A0">
        <w:rPr>
          <w:color w:val="000000" w:themeColor="text1"/>
          <w:sz w:val="20"/>
          <w:szCs w:val="20"/>
        </w:rPr>
        <w:t xml:space="preserve"> </w:t>
      </w:r>
      <w:r w:rsidR="00EF57BD" w:rsidRPr="0037538E">
        <w:rPr>
          <w:color w:val="000000" w:themeColor="text1"/>
          <w:sz w:val="20"/>
          <w:szCs w:val="20"/>
        </w:rPr>
        <w:t>for</w:t>
      </w:r>
      <w:r w:rsidR="00FF41A0">
        <w:rPr>
          <w:color w:val="000000" w:themeColor="text1"/>
          <w:sz w:val="20"/>
          <w:szCs w:val="20"/>
        </w:rPr>
        <w:t xml:space="preserve"> </w:t>
      </w:r>
      <w:r w:rsidR="00EF57BD" w:rsidRPr="0037538E">
        <w:rPr>
          <w:color w:val="000000" w:themeColor="text1"/>
          <w:sz w:val="20"/>
          <w:szCs w:val="20"/>
        </w:rPr>
        <w:t>non-governmental</w:t>
      </w:r>
      <w:r w:rsidR="00FF41A0">
        <w:rPr>
          <w:color w:val="000000" w:themeColor="text1"/>
          <w:sz w:val="20"/>
          <w:szCs w:val="20"/>
        </w:rPr>
        <w:t xml:space="preserve"> </w:t>
      </w:r>
      <w:r w:rsidR="00EF57BD" w:rsidRPr="0037538E">
        <w:rPr>
          <w:color w:val="000000" w:themeColor="text1"/>
          <w:sz w:val="20"/>
          <w:szCs w:val="20"/>
        </w:rPr>
        <w:t>organizations:</w:t>
      </w:r>
      <w:r w:rsidR="00FF41A0">
        <w:rPr>
          <w:color w:val="000000" w:themeColor="text1"/>
          <w:sz w:val="20"/>
          <w:szCs w:val="20"/>
        </w:rPr>
        <w:t xml:space="preserve"> </w:t>
      </w:r>
      <w:r w:rsidR="00AF5ACE" w:rsidRPr="00AF5ACE">
        <w:rPr>
          <w:color w:val="000000" w:themeColor="text1"/>
          <w:sz w:val="20"/>
          <w:szCs w:val="20"/>
        </w:rPr>
        <w:t>ABC</w:t>
      </w:r>
      <w:r w:rsidR="00FF41A0">
        <w:rPr>
          <w:color w:val="000000" w:themeColor="text1"/>
          <w:sz w:val="20"/>
          <w:szCs w:val="20"/>
        </w:rPr>
        <w:t xml:space="preserve"> </w:t>
      </w:r>
      <w:r w:rsidR="00AF5ACE" w:rsidRPr="00AF5ACE">
        <w:rPr>
          <w:color w:val="000000" w:themeColor="text1"/>
          <w:sz w:val="20"/>
          <w:szCs w:val="20"/>
        </w:rPr>
        <w:t>Tamil</w:t>
      </w:r>
      <w:r w:rsidR="00FF41A0">
        <w:rPr>
          <w:color w:val="000000" w:themeColor="text1"/>
          <w:sz w:val="20"/>
          <w:szCs w:val="20"/>
        </w:rPr>
        <w:t xml:space="preserve"> </w:t>
      </w:r>
      <w:r w:rsidR="00AF5ACE" w:rsidRPr="00AF5ACE">
        <w:rPr>
          <w:color w:val="000000" w:themeColor="text1"/>
          <w:sz w:val="20"/>
          <w:szCs w:val="20"/>
        </w:rPr>
        <w:t>Oli</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Action</w:t>
      </w:r>
      <w:r w:rsidR="00FF41A0">
        <w:rPr>
          <w:color w:val="000000" w:themeColor="text1"/>
          <w:sz w:val="20"/>
          <w:szCs w:val="20"/>
        </w:rPr>
        <w:t xml:space="preserve"> </w:t>
      </w:r>
      <w:r w:rsidR="00AF5ACE" w:rsidRPr="00AF5ACE">
        <w:rPr>
          <w:color w:val="000000" w:themeColor="text1"/>
          <w:sz w:val="20"/>
          <w:szCs w:val="20"/>
        </w:rPr>
        <w:t>Canada</w:t>
      </w:r>
      <w:r w:rsidR="00FF41A0">
        <w:rPr>
          <w:color w:val="000000" w:themeColor="text1"/>
          <w:sz w:val="20"/>
          <w:szCs w:val="20"/>
        </w:rPr>
        <w:t xml:space="preserve"> </w:t>
      </w:r>
      <w:r w:rsidR="00AF5ACE" w:rsidRPr="00AF5ACE">
        <w:rPr>
          <w:color w:val="000000" w:themeColor="text1"/>
          <w:sz w:val="20"/>
          <w:szCs w:val="20"/>
        </w:rPr>
        <w:t>for</w:t>
      </w:r>
      <w:r w:rsidR="00FF41A0">
        <w:rPr>
          <w:color w:val="000000" w:themeColor="text1"/>
          <w:sz w:val="20"/>
          <w:szCs w:val="20"/>
        </w:rPr>
        <w:t xml:space="preserve"> </w:t>
      </w:r>
      <w:r w:rsidR="00AF5ACE" w:rsidRPr="00AF5ACE">
        <w:rPr>
          <w:color w:val="000000" w:themeColor="text1"/>
          <w:sz w:val="20"/>
          <w:szCs w:val="20"/>
        </w:rPr>
        <w:t>Population</w:t>
      </w:r>
      <w:r w:rsidR="00FF41A0">
        <w:rPr>
          <w:color w:val="000000" w:themeColor="text1"/>
          <w:sz w:val="20"/>
          <w:szCs w:val="20"/>
        </w:rPr>
        <w:t xml:space="preserve"> </w:t>
      </w:r>
      <w:r w:rsidR="00AF5ACE" w:rsidRPr="00AF5ACE">
        <w:rPr>
          <w:color w:val="000000" w:themeColor="text1"/>
          <w:sz w:val="20"/>
          <w:szCs w:val="20"/>
        </w:rPr>
        <w:t>and</w:t>
      </w:r>
      <w:r w:rsidR="00FF41A0">
        <w:rPr>
          <w:color w:val="000000" w:themeColor="text1"/>
          <w:sz w:val="20"/>
          <w:szCs w:val="20"/>
        </w:rPr>
        <w:t xml:space="preserve"> </w:t>
      </w:r>
      <w:r w:rsidR="00AF5ACE" w:rsidRPr="00AF5ACE">
        <w:rPr>
          <w:color w:val="000000" w:themeColor="text1"/>
          <w:sz w:val="20"/>
          <w:szCs w:val="20"/>
        </w:rPr>
        <w:t>Development</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Action</w:t>
      </w:r>
      <w:r w:rsidR="00FF41A0">
        <w:rPr>
          <w:color w:val="000000" w:themeColor="text1"/>
          <w:sz w:val="20"/>
          <w:szCs w:val="20"/>
        </w:rPr>
        <w:t xml:space="preserve"> </w:t>
      </w:r>
      <w:r w:rsidR="00AF5ACE" w:rsidRPr="00AF5ACE">
        <w:rPr>
          <w:color w:val="000000" w:themeColor="text1"/>
          <w:sz w:val="20"/>
          <w:szCs w:val="20"/>
        </w:rPr>
        <w:t>of</w:t>
      </w:r>
      <w:r w:rsidR="00FF41A0">
        <w:rPr>
          <w:color w:val="000000" w:themeColor="text1"/>
          <w:sz w:val="20"/>
          <w:szCs w:val="20"/>
        </w:rPr>
        <w:t xml:space="preserve"> </w:t>
      </w:r>
      <w:r w:rsidR="00AF5ACE" w:rsidRPr="00AF5ACE">
        <w:rPr>
          <w:color w:val="000000" w:themeColor="text1"/>
          <w:sz w:val="20"/>
          <w:szCs w:val="20"/>
        </w:rPr>
        <w:t>Human</w:t>
      </w:r>
      <w:r w:rsidR="00FF41A0">
        <w:rPr>
          <w:color w:val="000000" w:themeColor="text1"/>
          <w:sz w:val="20"/>
          <w:szCs w:val="20"/>
        </w:rPr>
        <w:t xml:space="preserve"> </w:t>
      </w:r>
      <w:r w:rsidR="00AF5ACE" w:rsidRPr="00AF5ACE">
        <w:rPr>
          <w:color w:val="000000" w:themeColor="text1"/>
          <w:sz w:val="20"/>
          <w:szCs w:val="20"/>
        </w:rPr>
        <w:t>Movement</w:t>
      </w:r>
      <w:r w:rsidR="00FF41A0">
        <w:rPr>
          <w:color w:val="000000" w:themeColor="text1"/>
          <w:sz w:val="20"/>
          <w:szCs w:val="20"/>
        </w:rPr>
        <w:t xml:space="preserve"> </w:t>
      </w:r>
      <w:r w:rsidR="00AF5ACE" w:rsidRPr="00AF5ACE">
        <w:rPr>
          <w:color w:val="000000" w:themeColor="text1"/>
          <w:sz w:val="20"/>
          <w:szCs w:val="20"/>
        </w:rPr>
        <w:t>(AHM)</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African</w:t>
      </w:r>
      <w:r w:rsidR="00FF41A0">
        <w:rPr>
          <w:color w:val="000000" w:themeColor="text1"/>
          <w:sz w:val="20"/>
          <w:szCs w:val="20"/>
        </w:rPr>
        <w:t xml:space="preserve"> </w:t>
      </w:r>
      <w:r w:rsidR="00AF5ACE" w:rsidRPr="00AF5ACE">
        <w:rPr>
          <w:color w:val="000000" w:themeColor="text1"/>
          <w:sz w:val="20"/>
          <w:szCs w:val="20"/>
        </w:rPr>
        <w:t>Agency</w:t>
      </w:r>
      <w:r w:rsidR="00FF41A0">
        <w:rPr>
          <w:color w:val="000000" w:themeColor="text1"/>
          <w:sz w:val="20"/>
          <w:szCs w:val="20"/>
        </w:rPr>
        <w:t xml:space="preserve"> </w:t>
      </w:r>
      <w:r w:rsidR="00AF5ACE" w:rsidRPr="00AF5ACE">
        <w:rPr>
          <w:color w:val="000000" w:themeColor="text1"/>
          <w:sz w:val="20"/>
          <w:szCs w:val="20"/>
        </w:rPr>
        <w:t>for</w:t>
      </w:r>
      <w:r w:rsidR="00FF41A0">
        <w:rPr>
          <w:color w:val="000000" w:themeColor="text1"/>
          <w:sz w:val="20"/>
          <w:szCs w:val="20"/>
        </w:rPr>
        <w:t xml:space="preserve"> </w:t>
      </w:r>
      <w:r w:rsidR="00AF5ACE" w:rsidRPr="00AF5ACE">
        <w:rPr>
          <w:color w:val="000000" w:themeColor="text1"/>
          <w:sz w:val="20"/>
          <w:szCs w:val="20"/>
        </w:rPr>
        <w:t>Integrated</w:t>
      </w:r>
      <w:r w:rsidR="00FF41A0">
        <w:rPr>
          <w:color w:val="000000" w:themeColor="text1"/>
          <w:sz w:val="20"/>
          <w:szCs w:val="20"/>
        </w:rPr>
        <w:t xml:space="preserve"> </w:t>
      </w:r>
      <w:r w:rsidR="00AF5ACE" w:rsidRPr="00AF5ACE">
        <w:rPr>
          <w:color w:val="000000" w:themeColor="text1"/>
          <w:sz w:val="20"/>
          <w:szCs w:val="20"/>
        </w:rPr>
        <w:t>Development</w:t>
      </w:r>
      <w:r w:rsidR="00FF41A0">
        <w:rPr>
          <w:color w:val="000000" w:themeColor="text1"/>
          <w:sz w:val="20"/>
          <w:szCs w:val="20"/>
        </w:rPr>
        <w:t xml:space="preserve"> </w:t>
      </w:r>
      <w:r w:rsidR="00AF5ACE" w:rsidRPr="00AF5ACE">
        <w:rPr>
          <w:color w:val="000000" w:themeColor="text1"/>
          <w:sz w:val="20"/>
          <w:szCs w:val="20"/>
        </w:rPr>
        <w:t>(AAID)</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African</w:t>
      </w:r>
      <w:r w:rsidR="00FF41A0">
        <w:rPr>
          <w:color w:val="000000" w:themeColor="text1"/>
          <w:sz w:val="20"/>
          <w:szCs w:val="20"/>
        </w:rPr>
        <w:t xml:space="preserve"> </w:t>
      </w:r>
      <w:r w:rsidR="00AF5ACE" w:rsidRPr="00AF5ACE">
        <w:rPr>
          <w:color w:val="000000" w:themeColor="text1"/>
          <w:sz w:val="20"/>
          <w:szCs w:val="20"/>
        </w:rPr>
        <w:t>Development</w:t>
      </w:r>
      <w:r w:rsidR="00FF41A0">
        <w:rPr>
          <w:color w:val="000000" w:themeColor="text1"/>
          <w:sz w:val="20"/>
          <w:szCs w:val="20"/>
        </w:rPr>
        <w:t xml:space="preserve"> </w:t>
      </w:r>
      <w:r w:rsidR="00AF5ACE" w:rsidRPr="00AF5ACE">
        <w:rPr>
          <w:color w:val="000000" w:themeColor="text1"/>
          <w:sz w:val="20"/>
          <w:szCs w:val="20"/>
        </w:rPr>
        <w:t>Association</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African</w:t>
      </w:r>
      <w:r w:rsidR="00FF41A0">
        <w:rPr>
          <w:color w:val="000000" w:themeColor="text1"/>
          <w:sz w:val="20"/>
          <w:szCs w:val="20"/>
        </w:rPr>
        <w:t xml:space="preserve"> </w:t>
      </w:r>
      <w:r w:rsidR="00AF5ACE" w:rsidRPr="00AF5ACE">
        <w:rPr>
          <w:color w:val="000000" w:themeColor="text1"/>
          <w:sz w:val="20"/>
          <w:szCs w:val="20"/>
        </w:rPr>
        <w:t>Regional</w:t>
      </w:r>
      <w:r w:rsidR="00FF41A0">
        <w:rPr>
          <w:color w:val="000000" w:themeColor="text1"/>
          <w:sz w:val="20"/>
          <w:szCs w:val="20"/>
        </w:rPr>
        <w:t xml:space="preserve"> </w:t>
      </w:r>
      <w:r w:rsidR="00AF5ACE" w:rsidRPr="00AF5ACE">
        <w:rPr>
          <w:color w:val="000000" w:themeColor="text1"/>
          <w:sz w:val="20"/>
          <w:szCs w:val="20"/>
        </w:rPr>
        <w:t>Agricultural</w:t>
      </w:r>
      <w:r w:rsidR="00FF41A0">
        <w:rPr>
          <w:color w:val="000000" w:themeColor="text1"/>
          <w:sz w:val="20"/>
          <w:szCs w:val="20"/>
        </w:rPr>
        <w:t xml:space="preserve"> </w:t>
      </w:r>
      <w:r w:rsidR="00AF5ACE" w:rsidRPr="00AF5ACE">
        <w:rPr>
          <w:color w:val="000000" w:themeColor="text1"/>
          <w:sz w:val="20"/>
          <w:szCs w:val="20"/>
        </w:rPr>
        <w:t>Credit</w:t>
      </w:r>
      <w:r w:rsidR="00FF41A0">
        <w:rPr>
          <w:color w:val="000000" w:themeColor="text1"/>
          <w:sz w:val="20"/>
          <w:szCs w:val="20"/>
        </w:rPr>
        <w:t xml:space="preserve"> </w:t>
      </w:r>
      <w:r w:rsidR="00AF5ACE" w:rsidRPr="00AF5ACE">
        <w:rPr>
          <w:color w:val="000000" w:themeColor="text1"/>
          <w:sz w:val="20"/>
          <w:szCs w:val="20"/>
        </w:rPr>
        <w:t>Association</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Alliance</w:t>
      </w:r>
      <w:r w:rsidR="00FF41A0">
        <w:rPr>
          <w:color w:val="000000" w:themeColor="text1"/>
          <w:sz w:val="20"/>
          <w:szCs w:val="20"/>
        </w:rPr>
        <w:t xml:space="preserve"> </w:t>
      </w:r>
      <w:r w:rsidR="00AF5ACE" w:rsidRPr="00AF5ACE">
        <w:rPr>
          <w:color w:val="000000" w:themeColor="text1"/>
          <w:sz w:val="20"/>
          <w:szCs w:val="20"/>
        </w:rPr>
        <w:t>Creative</w:t>
      </w:r>
      <w:r w:rsidR="00FF41A0">
        <w:rPr>
          <w:color w:val="000000" w:themeColor="text1"/>
          <w:sz w:val="20"/>
          <w:szCs w:val="20"/>
        </w:rPr>
        <w:t xml:space="preserve"> </w:t>
      </w:r>
      <w:r w:rsidR="00AF5ACE" w:rsidRPr="00AF5ACE">
        <w:rPr>
          <w:color w:val="000000" w:themeColor="text1"/>
          <w:sz w:val="20"/>
          <w:szCs w:val="20"/>
        </w:rPr>
        <w:t>Community</w:t>
      </w:r>
      <w:r w:rsidR="00FF41A0">
        <w:rPr>
          <w:color w:val="000000" w:themeColor="text1"/>
          <w:sz w:val="20"/>
          <w:szCs w:val="20"/>
        </w:rPr>
        <w:t xml:space="preserve"> </w:t>
      </w:r>
      <w:r w:rsidR="00AF5ACE" w:rsidRPr="00AF5ACE">
        <w:rPr>
          <w:color w:val="000000" w:themeColor="text1"/>
          <w:sz w:val="20"/>
          <w:szCs w:val="20"/>
        </w:rPr>
        <w:t>Project</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American</w:t>
      </w:r>
      <w:r w:rsidR="00FF41A0">
        <w:rPr>
          <w:color w:val="000000" w:themeColor="text1"/>
          <w:sz w:val="20"/>
          <w:szCs w:val="20"/>
        </w:rPr>
        <w:t xml:space="preserve"> </w:t>
      </w:r>
      <w:r w:rsidR="00AF5ACE" w:rsidRPr="00AF5ACE">
        <w:rPr>
          <w:color w:val="000000" w:themeColor="text1"/>
          <w:sz w:val="20"/>
          <w:szCs w:val="20"/>
        </w:rPr>
        <w:t>Association</w:t>
      </w:r>
      <w:r w:rsidR="00FF41A0">
        <w:rPr>
          <w:color w:val="000000" w:themeColor="text1"/>
          <w:sz w:val="20"/>
          <w:szCs w:val="20"/>
        </w:rPr>
        <w:t xml:space="preserve"> </w:t>
      </w:r>
      <w:r w:rsidR="00AF5ACE" w:rsidRPr="00AF5ACE">
        <w:rPr>
          <w:color w:val="000000" w:themeColor="text1"/>
          <w:sz w:val="20"/>
          <w:szCs w:val="20"/>
        </w:rPr>
        <w:t>of</w:t>
      </w:r>
      <w:r w:rsidR="00FF41A0">
        <w:rPr>
          <w:color w:val="000000" w:themeColor="text1"/>
          <w:sz w:val="20"/>
          <w:szCs w:val="20"/>
        </w:rPr>
        <w:t xml:space="preserve"> </w:t>
      </w:r>
      <w:r w:rsidR="00AF5ACE" w:rsidRPr="00AF5ACE">
        <w:rPr>
          <w:color w:val="000000" w:themeColor="text1"/>
          <w:sz w:val="20"/>
          <w:szCs w:val="20"/>
        </w:rPr>
        <w:t>Jurists</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Asian</w:t>
      </w:r>
      <w:r w:rsidR="00FF41A0">
        <w:rPr>
          <w:color w:val="000000" w:themeColor="text1"/>
          <w:sz w:val="20"/>
          <w:szCs w:val="20"/>
        </w:rPr>
        <w:t xml:space="preserve"> </w:t>
      </w:r>
      <w:r w:rsidR="00AF5ACE" w:rsidRPr="00AF5ACE">
        <w:rPr>
          <w:color w:val="000000" w:themeColor="text1"/>
          <w:sz w:val="20"/>
          <w:szCs w:val="20"/>
        </w:rPr>
        <w:t>Forum</w:t>
      </w:r>
      <w:r w:rsidR="00FF41A0">
        <w:rPr>
          <w:color w:val="000000" w:themeColor="text1"/>
          <w:sz w:val="20"/>
          <w:szCs w:val="20"/>
        </w:rPr>
        <w:t xml:space="preserve"> </w:t>
      </w:r>
      <w:r w:rsidR="00AF5ACE" w:rsidRPr="00AF5ACE">
        <w:rPr>
          <w:color w:val="000000" w:themeColor="text1"/>
          <w:sz w:val="20"/>
          <w:szCs w:val="20"/>
        </w:rPr>
        <w:t>for</w:t>
      </w:r>
      <w:r w:rsidR="00FF41A0">
        <w:rPr>
          <w:color w:val="000000" w:themeColor="text1"/>
          <w:sz w:val="20"/>
          <w:szCs w:val="20"/>
        </w:rPr>
        <w:t xml:space="preserve"> </w:t>
      </w:r>
      <w:r w:rsidR="00AF5ACE" w:rsidRPr="00AF5ACE">
        <w:rPr>
          <w:color w:val="000000" w:themeColor="text1"/>
          <w:sz w:val="20"/>
          <w:szCs w:val="20"/>
        </w:rPr>
        <w:t>Human</w:t>
      </w:r>
      <w:r w:rsidR="00FF41A0">
        <w:rPr>
          <w:color w:val="000000" w:themeColor="text1"/>
          <w:sz w:val="20"/>
          <w:szCs w:val="20"/>
        </w:rPr>
        <w:t xml:space="preserve"> </w:t>
      </w:r>
      <w:r w:rsidR="00AF5ACE" w:rsidRPr="00AF5ACE">
        <w:rPr>
          <w:color w:val="000000" w:themeColor="text1"/>
          <w:sz w:val="20"/>
          <w:szCs w:val="20"/>
        </w:rPr>
        <w:t>Rights</w:t>
      </w:r>
      <w:r w:rsidR="00FF41A0">
        <w:rPr>
          <w:color w:val="000000" w:themeColor="text1"/>
          <w:sz w:val="20"/>
          <w:szCs w:val="20"/>
        </w:rPr>
        <w:t xml:space="preserve"> </w:t>
      </w:r>
      <w:r w:rsidR="00AF5ACE" w:rsidRPr="00AF5ACE">
        <w:rPr>
          <w:color w:val="000000" w:themeColor="text1"/>
          <w:sz w:val="20"/>
          <w:szCs w:val="20"/>
        </w:rPr>
        <w:t>and</w:t>
      </w:r>
      <w:r w:rsidR="00FF41A0">
        <w:rPr>
          <w:color w:val="000000" w:themeColor="text1"/>
          <w:sz w:val="20"/>
          <w:szCs w:val="20"/>
        </w:rPr>
        <w:t xml:space="preserve"> </w:t>
      </w:r>
      <w:r w:rsidR="00AF5ACE" w:rsidRPr="00AF5ACE">
        <w:rPr>
          <w:color w:val="000000" w:themeColor="text1"/>
          <w:sz w:val="20"/>
          <w:szCs w:val="20"/>
        </w:rPr>
        <w:t>Development</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Asociacion</w:t>
      </w:r>
      <w:r w:rsidR="00FF41A0">
        <w:rPr>
          <w:color w:val="000000" w:themeColor="text1"/>
          <w:sz w:val="20"/>
          <w:szCs w:val="20"/>
        </w:rPr>
        <w:t xml:space="preserve"> </w:t>
      </w:r>
      <w:r w:rsidR="00AF5ACE" w:rsidRPr="00AF5ACE">
        <w:rPr>
          <w:color w:val="000000" w:themeColor="text1"/>
          <w:sz w:val="20"/>
          <w:szCs w:val="20"/>
        </w:rPr>
        <w:t>HazteOir.org</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Association</w:t>
      </w:r>
      <w:r w:rsidR="00FF41A0">
        <w:rPr>
          <w:color w:val="000000" w:themeColor="text1"/>
          <w:sz w:val="20"/>
          <w:szCs w:val="20"/>
        </w:rPr>
        <w:t xml:space="preserve"> </w:t>
      </w:r>
      <w:r w:rsidR="00AF5ACE" w:rsidRPr="00AF5ACE">
        <w:rPr>
          <w:color w:val="000000" w:themeColor="text1"/>
          <w:sz w:val="20"/>
          <w:szCs w:val="20"/>
        </w:rPr>
        <w:t>Bharathi</w:t>
      </w:r>
      <w:r w:rsidR="00FF41A0">
        <w:rPr>
          <w:color w:val="000000" w:themeColor="text1"/>
          <w:sz w:val="20"/>
          <w:szCs w:val="20"/>
        </w:rPr>
        <w:t xml:space="preserve"> </w:t>
      </w:r>
      <w:r w:rsidR="00AF5ACE" w:rsidRPr="00AF5ACE">
        <w:rPr>
          <w:color w:val="000000" w:themeColor="text1"/>
          <w:sz w:val="20"/>
          <w:szCs w:val="20"/>
        </w:rPr>
        <w:t>Centre</w:t>
      </w:r>
      <w:r w:rsidR="00FF41A0">
        <w:rPr>
          <w:color w:val="000000" w:themeColor="text1"/>
          <w:sz w:val="20"/>
          <w:szCs w:val="20"/>
        </w:rPr>
        <w:t xml:space="preserve"> </w:t>
      </w:r>
      <w:r w:rsidR="00AF5ACE" w:rsidRPr="00AF5ACE">
        <w:rPr>
          <w:color w:val="000000" w:themeColor="text1"/>
          <w:sz w:val="20"/>
          <w:szCs w:val="20"/>
        </w:rPr>
        <w:t>Culturel</w:t>
      </w:r>
      <w:r w:rsidR="00FF41A0">
        <w:rPr>
          <w:color w:val="000000" w:themeColor="text1"/>
          <w:sz w:val="20"/>
          <w:szCs w:val="20"/>
        </w:rPr>
        <w:t xml:space="preserve"> </w:t>
      </w:r>
      <w:r w:rsidR="00AF5ACE" w:rsidRPr="00AF5ACE">
        <w:rPr>
          <w:color w:val="000000" w:themeColor="text1"/>
          <w:sz w:val="20"/>
          <w:szCs w:val="20"/>
        </w:rPr>
        <w:t>Franco-Tamoul</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Association</w:t>
      </w:r>
      <w:r w:rsidR="00FF41A0">
        <w:rPr>
          <w:color w:val="000000" w:themeColor="text1"/>
          <w:sz w:val="20"/>
          <w:szCs w:val="20"/>
        </w:rPr>
        <w:t xml:space="preserve"> </w:t>
      </w:r>
      <w:r w:rsidR="00AF5ACE" w:rsidRPr="00AF5ACE">
        <w:rPr>
          <w:color w:val="000000" w:themeColor="text1"/>
          <w:sz w:val="20"/>
          <w:szCs w:val="20"/>
        </w:rPr>
        <w:t>Culturelle</w:t>
      </w:r>
      <w:r w:rsidR="00FF41A0">
        <w:rPr>
          <w:color w:val="000000" w:themeColor="text1"/>
          <w:sz w:val="20"/>
          <w:szCs w:val="20"/>
        </w:rPr>
        <w:t xml:space="preserve"> </w:t>
      </w:r>
      <w:r w:rsidR="00AF5ACE" w:rsidRPr="00AF5ACE">
        <w:rPr>
          <w:color w:val="000000" w:themeColor="text1"/>
          <w:sz w:val="20"/>
          <w:szCs w:val="20"/>
        </w:rPr>
        <w:t>des</w:t>
      </w:r>
      <w:r w:rsidR="00FF41A0">
        <w:rPr>
          <w:color w:val="000000" w:themeColor="text1"/>
          <w:sz w:val="20"/>
          <w:szCs w:val="20"/>
        </w:rPr>
        <w:t xml:space="preserve"> </w:t>
      </w:r>
      <w:r w:rsidR="00AF5ACE" w:rsidRPr="00AF5ACE">
        <w:rPr>
          <w:color w:val="000000" w:themeColor="text1"/>
          <w:sz w:val="20"/>
          <w:szCs w:val="20"/>
        </w:rPr>
        <w:t>Tamouls</w:t>
      </w:r>
      <w:r w:rsidR="00FF41A0">
        <w:rPr>
          <w:color w:val="000000" w:themeColor="text1"/>
          <w:sz w:val="20"/>
          <w:szCs w:val="20"/>
        </w:rPr>
        <w:t xml:space="preserve"> </w:t>
      </w:r>
      <w:r w:rsidR="00AF5ACE" w:rsidRPr="00AF5ACE">
        <w:rPr>
          <w:color w:val="000000" w:themeColor="text1"/>
          <w:sz w:val="20"/>
          <w:szCs w:val="20"/>
        </w:rPr>
        <w:t>en</w:t>
      </w:r>
      <w:r w:rsidR="00FF41A0">
        <w:rPr>
          <w:color w:val="000000" w:themeColor="text1"/>
          <w:sz w:val="20"/>
          <w:szCs w:val="20"/>
        </w:rPr>
        <w:t xml:space="preserve"> </w:t>
      </w:r>
      <w:r w:rsidR="00AF5ACE" w:rsidRPr="00AF5ACE">
        <w:rPr>
          <w:color w:val="000000" w:themeColor="text1"/>
          <w:sz w:val="20"/>
          <w:szCs w:val="20"/>
        </w:rPr>
        <w:t>France</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Association</w:t>
      </w:r>
      <w:r w:rsidR="00FF41A0">
        <w:rPr>
          <w:color w:val="000000" w:themeColor="text1"/>
          <w:sz w:val="20"/>
          <w:szCs w:val="20"/>
        </w:rPr>
        <w:t xml:space="preserve"> </w:t>
      </w:r>
      <w:r w:rsidR="00AF5ACE" w:rsidRPr="00AF5ACE">
        <w:rPr>
          <w:color w:val="000000" w:themeColor="text1"/>
          <w:sz w:val="20"/>
          <w:szCs w:val="20"/>
        </w:rPr>
        <w:t>des</w:t>
      </w:r>
      <w:r w:rsidR="00FF41A0">
        <w:rPr>
          <w:color w:val="000000" w:themeColor="text1"/>
          <w:sz w:val="20"/>
          <w:szCs w:val="20"/>
        </w:rPr>
        <w:t xml:space="preserve"> </w:t>
      </w:r>
      <w:r w:rsidR="00AF5ACE" w:rsidRPr="00AF5ACE">
        <w:rPr>
          <w:color w:val="000000" w:themeColor="text1"/>
          <w:sz w:val="20"/>
          <w:szCs w:val="20"/>
        </w:rPr>
        <w:t>Jeunes</w:t>
      </w:r>
      <w:r w:rsidR="00FF41A0">
        <w:rPr>
          <w:color w:val="000000" w:themeColor="text1"/>
          <w:sz w:val="20"/>
          <w:szCs w:val="20"/>
        </w:rPr>
        <w:t xml:space="preserve"> </w:t>
      </w:r>
      <w:r w:rsidR="00AF5ACE" w:rsidRPr="00AF5ACE">
        <w:rPr>
          <w:color w:val="000000" w:themeColor="text1"/>
          <w:sz w:val="20"/>
          <w:szCs w:val="20"/>
        </w:rPr>
        <w:t>pour</w:t>
      </w:r>
      <w:r w:rsidR="00FF41A0">
        <w:rPr>
          <w:color w:val="000000" w:themeColor="text1"/>
          <w:sz w:val="20"/>
          <w:szCs w:val="20"/>
        </w:rPr>
        <w:t xml:space="preserve"> </w:t>
      </w:r>
      <w:r w:rsidR="00AF5ACE" w:rsidRPr="00AF5ACE">
        <w:rPr>
          <w:color w:val="000000" w:themeColor="text1"/>
          <w:sz w:val="20"/>
          <w:szCs w:val="20"/>
        </w:rPr>
        <w:t>l</w:t>
      </w:r>
      <w:r w:rsidR="00D72627">
        <w:rPr>
          <w:color w:val="000000" w:themeColor="text1"/>
          <w:sz w:val="20"/>
          <w:szCs w:val="20"/>
        </w:rPr>
        <w:t>’</w:t>
      </w:r>
      <w:r w:rsidR="00AF5ACE" w:rsidRPr="00AF5ACE">
        <w:rPr>
          <w:color w:val="000000" w:themeColor="text1"/>
          <w:sz w:val="20"/>
          <w:szCs w:val="20"/>
        </w:rPr>
        <w:t>Agriculture</w:t>
      </w:r>
      <w:r w:rsidR="00FF41A0">
        <w:rPr>
          <w:color w:val="000000" w:themeColor="text1"/>
          <w:sz w:val="20"/>
          <w:szCs w:val="20"/>
        </w:rPr>
        <w:t xml:space="preserve"> </w:t>
      </w:r>
      <w:r w:rsidR="00AF5ACE" w:rsidRPr="00AF5ACE">
        <w:rPr>
          <w:color w:val="000000" w:themeColor="text1"/>
          <w:sz w:val="20"/>
          <w:szCs w:val="20"/>
        </w:rPr>
        <w:t>du</w:t>
      </w:r>
      <w:r w:rsidR="00FF41A0">
        <w:rPr>
          <w:color w:val="000000" w:themeColor="text1"/>
          <w:sz w:val="20"/>
          <w:szCs w:val="20"/>
        </w:rPr>
        <w:t xml:space="preserve"> </w:t>
      </w:r>
      <w:r w:rsidR="00AF5ACE" w:rsidRPr="00AF5ACE">
        <w:rPr>
          <w:color w:val="000000" w:themeColor="text1"/>
          <w:sz w:val="20"/>
          <w:szCs w:val="20"/>
        </w:rPr>
        <w:t>Mali</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Association</w:t>
      </w:r>
      <w:r w:rsidR="00FF41A0">
        <w:rPr>
          <w:color w:val="000000" w:themeColor="text1"/>
          <w:sz w:val="20"/>
          <w:szCs w:val="20"/>
        </w:rPr>
        <w:t xml:space="preserve"> </w:t>
      </w:r>
      <w:r w:rsidR="00AF5ACE" w:rsidRPr="00AF5ACE">
        <w:rPr>
          <w:color w:val="000000" w:themeColor="text1"/>
          <w:sz w:val="20"/>
          <w:szCs w:val="20"/>
        </w:rPr>
        <w:t>for</w:t>
      </w:r>
      <w:r w:rsidR="00FF41A0">
        <w:rPr>
          <w:color w:val="000000" w:themeColor="text1"/>
          <w:sz w:val="20"/>
          <w:szCs w:val="20"/>
        </w:rPr>
        <w:t xml:space="preserve"> </w:t>
      </w:r>
      <w:r w:rsidR="00AF5ACE" w:rsidRPr="00AF5ACE">
        <w:rPr>
          <w:color w:val="000000" w:themeColor="text1"/>
          <w:sz w:val="20"/>
          <w:szCs w:val="20"/>
        </w:rPr>
        <w:t>the</w:t>
      </w:r>
      <w:r w:rsidR="00FF41A0">
        <w:rPr>
          <w:color w:val="000000" w:themeColor="text1"/>
          <w:sz w:val="20"/>
          <w:szCs w:val="20"/>
        </w:rPr>
        <w:t xml:space="preserve"> </w:t>
      </w:r>
      <w:r w:rsidR="00AF5ACE" w:rsidRPr="00AF5ACE">
        <w:rPr>
          <w:color w:val="000000" w:themeColor="text1"/>
          <w:sz w:val="20"/>
          <w:szCs w:val="20"/>
        </w:rPr>
        <w:t>Protection</w:t>
      </w:r>
      <w:r w:rsidR="00FF41A0">
        <w:rPr>
          <w:color w:val="000000" w:themeColor="text1"/>
          <w:sz w:val="20"/>
          <w:szCs w:val="20"/>
        </w:rPr>
        <w:t xml:space="preserve"> </w:t>
      </w:r>
      <w:r w:rsidR="00AF5ACE" w:rsidRPr="00AF5ACE">
        <w:rPr>
          <w:color w:val="000000" w:themeColor="text1"/>
          <w:sz w:val="20"/>
          <w:szCs w:val="20"/>
        </w:rPr>
        <w:t>of</w:t>
      </w:r>
      <w:r w:rsidR="00FF41A0">
        <w:rPr>
          <w:color w:val="000000" w:themeColor="text1"/>
          <w:sz w:val="20"/>
          <w:szCs w:val="20"/>
        </w:rPr>
        <w:t xml:space="preserve"> </w:t>
      </w:r>
      <w:r w:rsidR="00AF5ACE" w:rsidRPr="00AF5ACE">
        <w:rPr>
          <w:color w:val="000000" w:themeColor="text1"/>
          <w:sz w:val="20"/>
          <w:szCs w:val="20"/>
        </w:rPr>
        <w:t>Women</w:t>
      </w:r>
      <w:r w:rsidR="00FF41A0">
        <w:rPr>
          <w:color w:val="000000" w:themeColor="text1"/>
          <w:sz w:val="20"/>
          <w:szCs w:val="20"/>
        </w:rPr>
        <w:t xml:space="preserve"> </w:t>
      </w:r>
      <w:r w:rsidR="00AF5ACE" w:rsidRPr="00AF5ACE">
        <w:rPr>
          <w:color w:val="000000" w:themeColor="text1"/>
          <w:sz w:val="20"/>
          <w:szCs w:val="20"/>
        </w:rPr>
        <w:t>and</w:t>
      </w:r>
      <w:r w:rsidR="00FF41A0">
        <w:rPr>
          <w:color w:val="000000" w:themeColor="text1"/>
          <w:sz w:val="20"/>
          <w:szCs w:val="20"/>
        </w:rPr>
        <w:t xml:space="preserve"> </w:t>
      </w:r>
      <w:r w:rsidR="00AF5ACE" w:rsidRPr="00AF5ACE">
        <w:rPr>
          <w:color w:val="000000" w:themeColor="text1"/>
          <w:sz w:val="20"/>
          <w:szCs w:val="20"/>
        </w:rPr>
        <w:t>Children</w:t>
      </w:r>
      <w:r w:rsidR="00D72627">
        <w:rPr>
          <w:color w:val="000000" w:themeColor="text1"/>
          <w:sz w:val="20"/>
          <w:szCs w:val="20"/>
        </w:rPr>
        <w:t>’</w:t>
      </w:r>
      <w:r w:rsidR="00AF5ACE" w:rsidRPr="00AF5ACE">
        <w:rPr>
          <w:color w:val="000000" w:themeColor="text1"/>
          <w:sz w:val="20"/>
          <w:szCs w:val="20"/>
        </w:rPr>
        <w:t>s</w:t>
      </w:r>
      <w:r w:rsidR="00FF41A0">
        <w:rPr>
          <w:color w:val="000000" w:themeColor="text1"/>
          <w:sz w:val="20"/>
          <w:szCs w:val="20"/>
        </w:rPr>
        <w:t xml:space="preserve"> </w:t>
      </w:r>
      <w:r w:rsidR="00AF5ACE" w:rsidRPr="00AF5ACE">
        <w:rPr>
          <w:color w:val="000000" w:themeColor="text1"/>
          <w:sz w:val="20"/>
          <w:szCs w:val="20"/>
        </w:rPr>
        <w:t>Rights</w:t>
      </w:r>
      <w:r w:rsidR="00FF41A0">
        <w:rPr>
          <w:color w:val="000000" w:themeColor="text1"/>
          <w:sz w:val="20"/>
          <w:szCs w:val="20"/>
        </w:rPr>
        <w:t xml:space="preserve"> </w:t>
      </w:r>
      <w:r w:rsidR="00AF5ACE" w:rsidRPr="00AF5ACE">
        <w:rPr>
          <w:color w:val="000000" w:themeColor="text1"/>
          <w:sz w:val="20"/>
          <w:szCs w:val="20"/>
        </w:rPr>
        <w:t>(APWCR)</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Association</w:t>
      </w:r>
      <w:r w:rsidR="00FF41A0">
        <w:rPr>
          <w:color w:val="000000" w:themeColor="text1"/>
          <w:sz w:val="20"/>
          <w:szCs w:val="20"/>
        </w:rPr>
        <w:t xml:space="preserve"> </w:t>
      </w:r>
      <w:r w:rsidR="00AF5ACE" w:rsidRPr="00AF5ACE">
        <w:rPr>
          <w:color w:val="000000" w:themeColor="text1"/>
          <w:sz w:val="20"/>
          <w:szCs w:val="20"/>
        </w:rPr>
        <w:t>of</w:t>
      </w:r>
      <w:r w:rsidR="00FF41A0">
        <w:rPr>
          <w:color w:val="000000" w:themeColor="text1"/>
          <w:sz w:val="20"/>
          <w:szCs w:val="20"/>
        </w:rPr>
        <w:t xml:space="preserve"> </w:t>
      </w:r>
      <w:r w:rsidR="00AF5ACE" w:rsidRPr="00AF5ACE">
        <w:rPr>
          <w:color w:val="000000" w:themeColor="text1"/>
          <w:sz w:val="20"/>
          <w:szCs w:val="20"/>
        </w:rPr>
        <w:t>World</w:t>
      </w:r>
      <w:r w:rsidR="00FF41A0">
        <w:rPr>
          <w:color w:val="000000" w:themeColor="text1"/>
          <w:sz w:val="20"/>
          <w:szCs w:val="20"/>
        </w:rPr>
        <w:t xml:space="preserve"> </w:t>
      </w:r>
      <w:r w:rsidR="00AF5ACE" w:rsidRPr="00AF5ACE">
        <w:rPr>
          <w:color w:val="000000" w:themeColor="text1"/>
          <w:sz w:val="20"/>
          <w:szCs w:val="20"/>
        </w:rPr>
        <w:t>Citizens</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Association</w:t>
      </w:r>
      <w:r w:rsidR="00FF41A0">
        <w:rPr>
          <w:color w:val="000000" w:themeColor="text1"/>
          <w:sz w:val="20"/>
          <w:szCs w:val="20"/>
        </w:rPr>
        <w:t xml:space="preserve"> </w:t>
      </w:r>
      <w:r w:rsidR="00AF5ACE" w:rsidRPr="00AF5ACE">
        <w:rPr>
          <w:color w:val="000000" w:themeColor="text1"/>
          <w:sz w:val="20"/>
          <w:szCs w:val="20"/>
        </w:rPr>
        <w:t>pour</w:t>
      </w:r>
      <w:r w:rsidR="00FF41A0">
        <w:rPr>
          <w:color w:val="000000" w:themeColor="text1"/>
          <w:sz w:val="20"/>
          <w:szCs w:val="20"/>
        </w:rPr>
        <w:t xml:space="preserve"> </w:t>
      </w:r>
      <w:r w:rsidR="00AF5ACE" w:rsidRPr="00AF5ACE">
        <w:rPr>
          <w:color w:val="000000" w:themeColor="text1"/>
          <w:sz w:val="20"/>
          <w:szCs w:val="20"/>
        </w:rPr>
        <w:t>l</w:t>
      </w:r>
      <w:r w:rsidR="00D72627">
        <w:rPr>
          <w:color w:val="000000" w:themeColor="text1"/>
          <w:sz w:val="20"/>
          <w:szCs w:val="20"/>
        </w:rPr>
        <w:t>’</w:t>
      </w:r>
      <w:r w:rsidR="00AF5ACE" w:rsidRPr="00AF5ACE">
        <w:rPr>
          <w:color w:val="000000" w:themeColor="text1"/>
          <w:sz w:val="20"/>
          <w:szCs w:val="20"/>
        </w:rPr>
        <w:t>Intégration</w:t>
      </w:r>
      <w:r w:rsidR="00FF41A0">
        <w:rPr>
          <w:color w:val="000000" w:themeColor="text1"/>
          <w:sz w:val="20"/>
          <w:szCs w:val="20"/>
        </w:rPr>
        <w:t xml:space="preserve"> </w:t>
      </w:r>
      <w:r w:rsidR="00AF5ACE" w:rsidRPr="00AF5ACE">
        <w:rPr>
          <w:color w:val="000000" w:themeColor="text1"/>
          <w:sz w:val="20"/>
          <w:szCs w:val="20"/>
        </w:rPr>
        <w:t>et</w:t>
      </w:r>
      <w:r w:rsidR="00FF41A0">
        <w:rPr>
          <w:color w:val="000000" w:themeColor="text1"/>
          <w:sz w:val="20"/>
          <w:szCs w:val="20"/>
        </w:rPr>
        <w:t xml:space="preserve"> </w:t>
      </w:r>
      <w:r w:rsidR="00AF5ACE" w:rsidRPr="00AF5ACE">
        <w:rPr>
          <w:color w:val="000000" w:themeColor="text1"/>
          <w:sz w:val="20"/>
          <w:szCs w:val="20"/>
        </w:rPr>
        <w:t>le</w:t>
      </w:r>
      <w:r w:rsidR="00FF41A0">
        <w:rPr>
          <w:color w:val="000000" w:themeColor="text1"/>
          <w:sz w:val="20"/>
          <w:szCs w:val="20"/>
        </w:rPr>
        <w:t xml:space="preserve"> </w:t>
      </w:r>
      <w:r w:rsidR="00AF5ACE" w:rsidRPr="00AF5ACE">
        <w:rPr>
          <w:color w:val="000000" w:themeColor="text1"/>
          <w:sz w:val="20"/>
          <w:szCs w:val="20"/>
        </w:rPr>
        <w:t>Développement</w:t>
      </w:r>
      <w:r w:rsidR="00FF41A0">
        <w:rPr>
          <w:color w:val="000000" w:themeColor="text1"/>
          <w:sz w:val="20"/>
          <w:szCs w:val="20"/>
        </w:rPr>
        <w:t xml:space="preserve"> </w:t>
      </w:r>
      <w:r w:rsidR="00AF5ACE" w:rsidRPr="00AF5ACE">
        <w:rPr>
          <w:color w:val="000000" w:themeColor="text1"/>
          <w:sz w:val="20"/>
          <w:szCs w:val="20"/>
        </w:rPr>
        <w:t>Durable</w:t>
      </w:r>
      <w:r w:rsidR="00FF41A0">
        <w:rPr>
          <w:color w:val="000000" w:themeColor="text1"/>
          <w:sz w:val="20"/>
          <w:szCs w:val="20"/>
        </w:rPr>
        <w:t xml:space="preserve"> </w:t>
      </w:r>
      <w:r w:rsidR="00AF5ACE" w:rsidRPr="00AF5ACE">
        <w:rPr>
          <w:color w:val="000000" w:themeColor="text1"/>
          <w:sz w:val="20"/>
          <w:szCs w:val="20"/>
        </w:rPr>
        <w:t>au</w:t>
      </w:r>
      <w:r w:rsidR="00FF41A0">
        <w:rPr>
          <w:color w:val="000000" w:themeColor="text1"/>
          <w:sz w:val="20"/>
          <w:szCs w:val="20"/>
        </w:rPr>
        <w:t xml:space="preserve"> </w:t>
      </w:r>
      <w:r w:rsidR="00AF5ACE" w:rsidRPr="00AF5ACE">
        <w:rPr>
          <w:color w:val="000000" w:themeColor="text1"/>
          <w:sz w:val="20"/>
          <w:szCs w:val="20"/>
        </w:rPr>
        <w:t>Burundi</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Association</w:t>
      </w:r>
      <w:r w:rsidR="00FF41A0">
        <w:rPr>
          <w:color w:val="000000" w:themeColor="text1"/>
          <w:sz w:val="20"/>
          <w:szCs w:val="20"/>
        </w:rPr>
        <w:t xml:space="preserve"> </w:t>
      </w:r>
      <w:r w:rsidR="00AF5ACE" w:rsidRPr="00AF5ACE">
        <w:rPr>
          <w:color w:val="000000" w:themeColor="text1"/>
          <w:sz w:val="20"/>
          <w:szCs w:val="20"/>
        </w:rPr>
        <w:lastRenderedPageBreak/>
        <w:t>Solidarité</w:t>
      </w:r>
      <w:r w:rsidR="00FF41A0">
        <w:rPr>
          <w:color w:val="000000" w:themeColor="text1"/>
          <w:sz w:val="20"/>
          <w:szCs w:val="20"/>
        </w:rPr>
        <w:t xml:space="preserve"> </w:t>
      </w:r>
      <w:r w:rsidR="00AF5ACE" w:rsidRPr="00AF5ACE">
        <w:rPr>
          <w:color w:val="000000" w:themeColor="text1"/>
          <w:sz w:val="20"/>
          <w:szCs w:val="20"/>
        </w:rPr>
        <w:t>Internationale</w:t>
      </w:r>
      <w:r w:rsidR="00FF41A0">
        <w:rPr>
          <w:color w:val="000000" w:themeColor="text1"/>
          <w:sz w:val="20"/>
          <w:szCs w:val="20"/>
        </w:rPr>
        <w:t xml:space="preserve"> </w:t>
      </w:r>
      <w:r w:rsidR="00AF5ACE" w:rsidRPr="00AF5ACE">
        <w:rPr>
          <w:color w:val="000000" w:themeColor="text1"/>
          <w:sz w:val="20"/>
          <w:szCs w:val="20"/>
        </w:rPr>
        <w:t>pour</w:t>
      </w:r>
      <w:r w:rsidR="00FF41A0">
        <w:rPr>
          <w:color w:val="000000" w:themeColor="text1"/>
          <w:sz w:val="20"/>
          <w:szCs w:val="20"/>
        </w:rPr>
        <w:t xml:space="preserve"> </w:t>
      </w:r>
      <w:r w:rsidR="00AF5ACE" w:rsidRPr="00AF5ACE">
        <w:rPr>
          <w:color w:val="000000" w:themeColor="text1"/>
          <w:sz w:val="20"/>
          <w:szCs w:val="20"/>
        </w:rPr>
        <w:t>l</w:t>
      </w:r>
      <w:r w:rsidR="00D72627">
        <w:rPr>
          <w:color w:val="000000" w:themeColor="text1"/>
          <w:sz w:val="20"/>
          <w:szCs w:val="20"/>
        </w:rPr>
        <w:t>’</w:t>
      </w:r>
      <w:r w:rsidR="00AF5ACE" w:rsidRPr="00AF5ACE">
        <w:rPr>
          <w:color w:val="000000" w:themeColor="text1"/>
          <w:sz w:val="20"/>
          <w:szCs w:val="20"/>
        </w:rPr>
        <w:t>Afrique</w:t>
      </w:r>
      <w:r w:rsidR="00FF41A0">
        <w:rPr>
          <w:color w:val="000000" w:themeColor="text1"/>
          <w:sz w:val="20"/>
          <w:szCs w:val="20"/>
        </w:rPr>
        <w:t xml:space="preserve"> </w:t>
      </w:r>
      <w:r w:rsidR="00AF5ACE" w:rsidRPr="00AF5ACE">
        <w:rPr>
          <w:color w:val="000000" w:themeColor="text1"/>
          <w:sz w:val="20"/>
          <w:szCs w:val="20"/>
        </w:rPr>
        <w:t>(SIA)</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Canners</w:t>
      </w:r>
      <w:r w:rsidR="00FF41A0">
        <w:rPr>
          <w:color w:val="000000" w:themeColor="text1"/>
          <w:sz w:val="20"/>
          <w:szCs w:val="20"/>
        </w:rPr>
        <w:t xml:space="preserve"> </w:t>
      </w:r>
      <w:r w:rsidR="00AF5ACE" w:rsidRPr="00AF5ACE">
        <w:rPr>
          <w:color w:val="000000" w:themeColor="text1"/>
          <w:sz w:val="20"/>
          <w:szCs w:val="20"/>
        </w:rPr>
        <w:t>International</w:t>
      </w:r>
      <w:r w:rsidR="00FF41A0">
        <w:rPr>
          <w:color w:val="000000" w:themeColor="text1"/>
          <w:sz w:val="20"/>
          <w:szCs w:val="20"/>
        </w:rPr>
        <w:t xml:space="preserve"> </w:t>
      </w:r>
      <w:r w:rsidR="00AF5ACE" w:rsidRPr="00AF5ACE">
        <w:rPr>
          <w:color w:val="000000" w:themeColor="text1"/>
          <w:sz w:val="20"/>
          <w:szCs w:val="20"/>
        </w:rPr>
        <w:t>Permanent</w:t>
      </w:r>
      <w:r w:rsidR="00FF41A0">
        <w:rPr>
          <w:color w:val="000000" w:themeColor="text1"/>
          <w:sz w:val="20"/>
          <w:szCs w:val="20"/>
        </w:rPr>
        <w:t xml:space="preserve"> </w:t>
      </w:r>
      <w:r w:rsidR="00AF5ACE" w:rsidRPr="00AF5ACE">
        <w:rPr>
          <w:color w:val="000000" w:themeColor="text1"/>
          <w:sz w:val="20"/>
          <w:szCs w:val="20"/>
        </w:rPr>
        <w:t>Committee</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Center</w:t>
      </w:r>
      <w:r w:rsidR="00FF41A0">
        <w:rPr>
          <w:color w:val="000000" w:themeColor="text1"/>
          <w:sz w:val="20"/>
          <w:szCs w:val="20"/>
        </w:rPr>
        <w:t xml:space="preserve"> </w:t>
      </w:r>
      <w:r w:rsidR="00AF5ACE" w:rsidRPr="00AF5ACE">
        <w:rPr>
          <w:color w:val="000000" w:themeColor="text1"/>
          <w:sz w:val="20"/>
          <w:szCs w:val="20"/>
        </w:rPr>
        <w:t>for</w:t>
      </w:r>
      <w:r w:rsidR="00FF41A0">
        <w:rPr>
          <w:color w:val="000000" w:themeColor="text1"/>
          <w:sz w:val="20"/>
          <w:szCs w:val="20"/>
        </w:rPr>
        <w:t xml:space="preserve"> </w:t>
      </w:r>
      <w:r w:rsidR="00AF5ACE" w:rsidRPr="00AF5ACE">
        <w:rPr>
          <w:color w:val="000000" w:themeColor="text1"/>
          <w:sz w:val="20"/>
          <w:szCs w:val="20"/>
        </w:rPr>
        <w:t>Environmental</w:t>
      </w:r>
      <w:r w:rsidR="00FF41A0">
        <w:rPr>
          <w:color w:val="000000" w:themeColor="text1"/>
          <w:sz w:val="20"/>
          <w:szCs w:val="20"/>
        </w:rPr>
        <w:t xml:space="preserve"> </w:t>
      </w:r>
      <w:r w:rsidR="00AF5ACE" w:rsidRPr="00AF5ACE">
        <w:rPr>
          <w:color w:val="000000" w:themeColor="text1"/>
          <w:sz w:val="20"/>
          <w:szCs w:val="20"/>
        </w:rPr>
        <w:t>and</w:t>
      </w:r>
      <w:r w:rsidR="00FF41A0">
        <w:rPr>
          <w:color w:val="000000" w:themeColor="text1"/>
          <w:sz w:val="20"/>
          <w:szCs w:val="20"/>
        </w:rPr>
        <w:t xml:space="preserve"> </w:t>
      </w:r>
      <w:r w:rsidR="00AF5ACE" w:rsidRPr="00AF5ACE">
        <w:rPr>
          <w:color w:val="000000" w:themeColor="text1"/>
          <w:sz w:val="20"/>
          <w:szCs w:val="20"/>
        </w:rPr>
        <w:t>Management</w:t>
      </w:r>
      <w:r w:rsidR="00FF41A0">
        <w:rPr>
          <w:color w:val="000000" w:themeColor="text1"/>
          <w:sz w:val="20"/>
          <w:szCs w:val="20"/>
        </w:rPr>
        <w:t xml:space="preserve"> </w:t>
      </w:r>
      <w:r w:rsidR="00AF5ACE" w:rsidRPr="00AF5ACE">
        <w:rPr>
          <w:color w:val="000000" w:themeColor="text1"/>
          <w:sz w:val="20"/>
          <w:szCs w:val="20"/>
        </w:rPr>
        <w:t>Studies</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Centre</w:t>
      </w:r>
      <w:r w:rsidR="00FF41A0">
        <w:rPr>
          <w:color w:val="000000" w:themeColor="text1"/>
          <w:sz w:val="20"/>
          <w:szCs w:val="20"/>
        </w:rPr>
        <w:t xml:space="preserve"> </w:t>
      </w:r>
      <w:r w:rsidR="00AF5ACE" w:rsidRPr="00AF5ACE">
        <w:rPr>
          <w:color w:val="000000" w:themeColor="text1"/>
          <w:sz w:val="20"/>
          <w:szCs w:val="20"/>
        </w:rPr>
        <w:t>for</w:t>
      </w:r>
      <w:r w:rsidR="00FF41A0">
        <w:rPr>
          <w:color w:val="000000" w:themeColor="text1"/>
          <w:sz w:val="20"/>
          <w:szCs w:val="20"/>
        </w:rPr>
        <w:t xml:space="preserve"> </w:t>
      </w:r>
      <w:r w:rsidR="00AF5ACE" w:rsidRPr="00AF5ACE">
        <w:rPr>
          <w:color w:val="000000" w:themeColor="text1"/>
          <w:sz w:val="20"/>
          <w:szCs w:val="20"/>
        </w:rPr>
        <w:t>Gender</w:t>
      </w:r>
      <w:r w:rsidR="00FF41A0">
        <w:rPr>
          <w:color w:val="000000" w:themeColor="text1"/>
          <w:sz w:val="20"/>
          <w:szCs w:val="20"/>
        </w:rPr>
        <w:t xml:space="preserve"> </w:t>
      </w:r>
      <w:r w:rsidR="00AF5ACE" w:rsidRPr="00AF5ACE">
        <w:rPr>
          <w:color w:val="000000" w:themeColor="text1"/>
          <w:sz w:val="20"/>
          <w:szCs w:val="20"/>
        </w:rPr>
        <w:t>Justice</w:t>
      </w:r>
      <w:r w:rsidR="00FF41A0">
        <w:rPr>
          <w:color w:val="000000" w:themeColor="text1"/>
          <w:sz w:val="20"/>
          <w:szCs w:val="20"/>
        </w:rPr>
        <w:t xml:space="preserve"> </w:t>
      </w:r>
      <w:r w:rsidR="00AF5ACE" w:rsidRPr="00AF5ACE">
        <w:rPr>
          <w:color w:val="000000" w:themeColor="text1"/>
          <w:sz w:val="20"/>
          <w:szCs w:val="20"/>
        </w:rPr>
        <w:t>and</w:t>
      </w:r>
      <w:r w:rsidR="00FF41A0">
        <w:rPr>
          <w:color w:val="000000" w:themeColor="text1"/>
          <w:sz w:val="20"/>
          <w:szCs w:val="20"/>
        </w:rPr>
        <w:t xml:space="preserve"> </w:t>
      </w:r>
      <w:r w:rsidR="00AF5ACE" w:rsidRPr="00AF5ACE">
        <w:rPr>
          <w:color w:val="000000" w:themeColor="text1"/>
          <w:sz w:val="20"/>
          <w:szCs w:val="20"/>
        </w:rPr>
        <w:t>Women</w:t>
      </w:r>
      <w:r w:rsidR="00FF41A0">
        <w:rPr>
          <w:color w:val="000000" w:themeColor="text1"/>
          <w:sz w:val="20"/>
          <w:szCs w:val="20"/>
        </w:rPr>
        <w:t xml:space="preserve"> </w:t>
      </w:r>
      <w:r w:rsidR="00AF5ACE" w:rsidRPr="00AF5ACE">
        <w:rPr>
          <w:color w:val="000000" w:themeColor="text1"/>
          <w:sz w:val="20"/>
          <w:szCs w:val="20"/>
        </w:rPr>
        <w:t>Empowerment</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Centre</w:t>
      </w:r>
      <w:r w:rsidR="00FF41A0">
        <w:rPr>
          <w:color w:val="000000" w:themeColor="text1"/>
          <w:sz w:val="20"/>
          <w:szCs w:val="20"/>
        </w:rPr>
        <w:t xml:space="preserve"> </w:t>
      </w:r>
      <w:r w:rsidR="00AF5ACE" w:rsidRPr="00AF5ACE">
        <w:rPr>
          <w:color w:val="000000" w:themeColor="text1"/>
          <w:sz w:val="20"/>
          <w:szCs w:val="20"/>
        </w:rPr>
        <w:t>for</w:t>
      </w:r>
      <w:r w:rsidR="00FF41A0">
        <w:rPr>
          <w:color w:val="000000" w:themeColor="text1"/>
          <w:sz w:val="20"/>
          <w:szCs w:val="20"/>
        </w:rPr>
        <w:t xml:space="preserve"> </w:t>
      </w:r>
      <w:r w:rsidR="00AF5ACE" w:rsidRPr="00AF5ACE">
        <w:rPr>
          <w:color w:val="000000" w:themeColor="text1"/>
          <w:sz w:val="20"/>
          <w:szCs w:val="20"/>
        </w:rPr>
        <w:t>Human</w:t>
      </w:r>
      <w:r w:rsidR="00FF41A0">
        <w:rPr>
          <w:color w:val="000000" w:themeColor="text1"/>
          <w:sz w:val="20"/>
          <w:szCs w:val="20"/>
        </w:rPr>
        <w:t xml:space="preserve"> </w:t>
      </w:r>
      <w:r w:rsidR="00AF5ACE" w:rsidRPr="00AF5ACE">
        <w:rPr>
          <w:color w:val="000000" w:themeColor="text1"/>
          <w:sz w:val="20"/>
          <w:szCs w:val="20"/>
        </w:rPr>
        <w:t>Rights</w:t>
      </w:r>
      <w:r w:rsidR="00FF41A0">
        <w:rPr>
          <w:color w:val="000000" w:themeColor="text1"/>
          <w:sz w:val="20"/>
          <w:szCs w:val="20"/>
        </w:rPr>
        <w:t xml:space="preserve"> </w:t>
      </w:r>
      <w:r w:rsidR="00AF5ACE" w:rsidRPr="00AF5ACE">
        <w:rPr>
          <w:color w:val="000000" w:themeColor="text1"/>
          <w:sz w:val="20"/>
          <w:szCs w:val="20"/>
        </w:rPr>
        <w:t>and</w:t>
      </w:r>
      <w:r w:rsidR="00FF41A0">
        <w:rPr>
          <w:color w:val="000000" w:themeColor="text1"/>
          <w:sz w:val="20"/>
          <w:szCs w:val="20"/>
        </w:rPr>
        <w:t xml:space="preserve"> </w:t>
      </w:r>
      <w:r w:rsidR="00AF5ACE" w:rsidRPr="00AF5ACE">
        <w:rPr>
          <w:color w:val="000000" w:themeColor="text1"/>
          <w:sz w:val="20"/>
          <w:szCs w:val="20"/>
        </w:rPr>
        <w:t>Peace</w:t>
      </w:r>
      <w:r w:rsidR="00FF41A0">
        <w:rPr>
          <w:color w:val="000000" w:themeColor="text1"/>
          <w:sz w:val="20"/>
          <w:szCs w:val="20"/>
        </w:rPr>
        <w:t xml:space="preserve"> </w:t>
      </w:r>
      <w:r w:rsidR="00AF5ACE" w:rsidRPr="00AF5ACE">
        <w:rPr>
          <w:color w:val="000000" w:themeColor="text1"/>
          <w:sz w:val="20"/>
          <w:szCs w:val="20"/>
        </w:rPr>
        <w:t>Advocacy</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Commission</w:t>
      </w:r>
      <w:r w:rsidR="00FF41A0">
        <w:rPr>
          <w:color w:val="000000" w:themeColor="text1"/>
          <w:sz w:val="20"/>
          <w:szCs w:val="20"/>
        </w:rPr>
        <w:t xml:space="preserve"> </w:t>
      </w:r>
      <w:r w:rsidR="00AF5ACE" w:rsidRPr="00AF5ACE">
        <w:rPr>
          <w:color w:val="000000" w:themeColor="text1"/>
          <w:sz w:val="20"/>
          <w:szCs w:val="20"/>
        </w:rPr>
        <w:t>to</w:t>
      </w:r>
      <w:r w:rsidR="00FF41A0">
        <w:rPr>
          <w:color w:val="000000" w:themeColor="text1"/>
          <w:sz w:val="20"/>
          <w:szCs w:val="20"/>
        </w:rPr>
        <w:t xml:space="preserve"> </w:t>
      </w:r>
      <w:r w:rsidR="00AF5ACE" w:rsidRPr="00AF5ACE">
        <w:rPr>
          <w:color w:val="000000" w:themeColor="text1"/>
          <w:sz w:val="20"/>
          <w:szCs w:val="20"/>
        </w:rPr>
        <w:t>Study</w:t>
      </w:r>
      <w:r w:rsidR="00FF41A0">
        <w:rPr>
          <w:color w:val="000000" w:themeColor="text1"/>
          <w:sz w:val="20"/>
          <w:szCs w:val="20"/>
        </w:rPr>
        <w:t xml:space="preserve"> </w:t>
      </w:r>
      <w:r w:rsidR="00AF5ACE" w:rsidRPr="00AF5ACE">
        <w:rPr>
          <w:color w:val="000000" w:themeColor="text1"/>
          <w:sz w:val="20"/>
          <w:szCs w:val="20"/>
        </w:rPr>
        <w:t>the</w:t>
      </w:r>
      <w:r w:rsidR="00FF41A0">
        <w:rPr>
          <w:color w:val="000000" w:themeColor="text1"/>
          <w:sz w:val="20"/>
          <w:szCs w:val="20"/>
        </w:rPr>
        <w:t xml:space="preserve"> </w:t>
      </w:r>
      <w:r w:rsidR="00AF5ACE" w:rsidRPr="00AF5ACE">
        <w:rPr>
          <w:color w:val="000000" w:themeColor="text1"/>
          <w:sz w:val="20"/>
          <w:szCs w:val="20"/>
        </w:rPr>
        <w:t>Organization</w:t>
      </w:r>
      <w:r w:rsidR="00FF41A0">
        <w:rPr>
          <w:color w:val="000000" w:themeColor="text1"/>
          <w:sz w:val="20"/>
          <w:szCs w:val="20"/>
        </w:rPr>
        <w:t xml:space="preserve"> </w:t>
      </w:r>
      <w:r w:rsidR="00AF5ACE" w:rsidRPr="00AF5ACE">
        <w:rPr>
          <w:color w:val="000000" w:themeColor="text1"/>
          <w:sz w:val="20"/>
          <w:szCs w:val="20"/>
        </w:rPr>
        <w:t>of</w:t>
      </w:r>
      <w:r w:rsidR="00FF41A0">
        <w:rPr>
          <w:color w:val="000000" w:themeColor="text1"/>
          <w:sz w:val="20"/>
          <w:szCs w:val="20"/>
        </w:rPr>
        <w:t xml:space="preserve"> </w:t>
      </w:r>
      <w:r w:rsidR="00AF5ACE" w:rsidRPr="00AF5ACE">
        <w:rPr>
          <w:color w:val="000000" w:themeColor="text1"/>
          <w:sz w:val="20"/>
          <w:szCs w:val="20"/>
        </w:rPr>
        <w:t>Peace</w:t>
      </w:r>
      <w:r w:rsidR="00AF5ACE">
        <w:rPr>
          <w:color w:val="000000" w:themeColor="text1"/>
          <w:sz w:val="20"/>
          <w:szCs w:val="20"/>
        </w:rPr>
        <w:t>;</w:t>
      </w:r>
      <w:r w:rsidR="00FF41A0">
        <w:rPr>
          <w:color w:val="000000" w:themeColor="text1"/>
          <w:sz w:val="20"/>
          <w:szCs w:val="20"/>
        </w:rPr>
        <w:t xml:space="preserve"> </w:t>
      </w:r>
      <w:r w:rsidR="00AF5ACE">
        <w:rPr>
          <w:color w:val="000000" w:themeColor="text1"/>
          <w:sz w:val="20"/>
          <w:szCs w:val="20"/>
        </w:rPr>
        <w:t>“</w:t>
      </w:r>
      <w:r w:rsidR="00AF5ACE" w:rsidRPr="00AF5ACE">
        <w:rPr>
          <w:color w:val="000000" w:themeColor="text1"/>
          <w:sz w:val="20"/>
          <w:szCs w:val="20"/>
        </w:rPr>
        <w:t>Coup</w:t>
      </w:r>
      <w:r w:rsidR="00FF41A0">
        <w:rPr>
          <w:color w:val="000000" w:themeColor="text1"/>
          <w:sz w:val="20"/>
          <w:szCs w:val="20"/>
        </w:rPr>
        <w:t xml:space="preserve"> </w:t>
      </w:r>
      <w:r w:rsidR="00AF5ACE" w:rsidRPr="00AF5ACE">
        <w:rPr>
          <w:color w:val="000000" w:themeColor="text1"/>
          <w:sz w:val="20"/>
          <w:szCs w:val="20"/>
        </w:rPr>
        <w:t>de</w:t>
      </w:r>
      <w:r w:rsidR="00FF41A0">
        <w:rPr>
          <w:color w:val="000000" w:themeColor="text1"/>
          <w:sz w:val="20"/>
          <w:szCs w:val="20"/>
        </w:rPr>
        <w:t xml:space="preserve"> </w:t>
      </w:r>
      <w:r w:rsidR="00AF5ACE" w:rsidRPr="00AF5ACE">
        <w:rPr>
          <w:color w:val="000000" w:themeColor="text1"/>
          <w:sz w:val="20"/>
          <w:szCs w:val="20"/>
        </w:rPr>
        <w:t>Pousse</w:t>
      </w:r>
      <w:r w:rsidR="00AF5ACE">
        <w:rPr>
          <w:color w:val="000000" w:themeColor="text1"/>
          <w:sz w:val="20"/>
          <w:szCs w:val="20"/>
        </w:rPr>
        <w:t>”</w:t>
      </w:r>
      <w:r w:rsidR="00FF41A0">
        <w:rPr>
          <w:color w:val="000000" w:themeColor="text1"/>
          <w:sz w:val="20"/>
          <w:szCs w:val="20"/>
        </w:rPr>
        <w:t xml:space="preserve"> </w:t>
      </w:r>
      <w:r w:rsidR="00AF5ACE">
        <w:rPr>
          <w:color w:val="000000" w:themeColor="text1"/>
          <w:sz w:val="20"/>
          <w:szCs w:val="20"/>
        </w:rPr>
        <w:t>Chaîne</w:t>
      </w:r>
      <w:r w:rsidR="00FF41A0">
        <w:rPr>
          <w:color w:val="000000" w:themeColor="text1"/>
          <w:sz w:val="20"/>
          <w:szCs w:val="20"/>
        </w:rPr>
        <w:t xml:space="preserve"> </w:t>
      </w:r>
      <w:r w:rsidR="00AF5ACE">
        <w:rPr>
          <w:color w:val="000000" w:themeColor="text1"/>
          <w:sz w:val="20"/>
          <w:szCs w:val="20"/>
        </w:rPr>
        <w:t>de</w:t>
      </w:r>
      <w:r w:rsidR="00FF41A0">
        <w:rPr>
          <w:color w:val="000000" w:themeColor="text1"/>
          <w:sz w:val="20"/>
          <w:szCs w:val="20"/>
        </w:rPr>
        <w:t xml:space="preserve"> </w:t>
      </w:r>
      <w:r w:rsidR="00AF5ACE">
        <w:rPr>
          <w:color w:val="000000" w:themeColor="text1"/>
          <w:sz w:val="20"/>
          <w:szCs w:val="20"/>
        </w:rPr>
        <w:t>l</w:t>
      </w:r>
      <w:r w:rsidR="00D72627">
        <w:rPr>
          <w:color w:val="000000" w:themeColor="text1"/>
          <w:sz w:val="20"/>
          <w:szCs w:val="20"/>
        </w:rPr>
        <w:t>’</w:t>
      </w:r>
      <w:r w:rsidR="00AF5ACE">
        <w:rPr>
          <w:color w:val="000000" w:themeColor="text1"/>
          <w:sz w:val="20"/>
          <w:szCs w:val="20"/>
        </w:rPr>
        <w:t>Espoir</w:t>
      </w:r>
      <w:r w:rsidR="00FF41A0">
        <w:rPr>
          <w:color w:val="000000" w:themeColor="text1"/>
          <w:sz w:val="20"/>
          <w:szCs w:val="20"/>
        </w:rPr>
        <w:t xml:space="preserve"> </w:t>
      </w:r>
      <w:r w:rsidR="00AF5ACE">
        <w:rPr>
          <w:color w:val="000000" w:themeColor="text1"/>
          <w:sz w:val="20"/>
          <w:szCs w:val="20"/>
        </w:rPr>
        <w:t>Nord-Sud</w:t>
      </w:r>
      <w:r w:rsidR="00FF41A0">
        <w:rPr>
          <w:color w:val="000000" w:themeColor="text1"/>
          <w:sz w:val="20"/>
          <w:szCs w:val="20"/>
        </w:rPr>
        <w:t xml:space="preserve"> </w:t>
      </w:r>
      <w:r w:rsidR="00AF5ACE">
        <w:rPr>
          <w:color w:val="000000" w:themeColor="text1"/>
          <w:sz w:val="20"/>
          <w:szCs w:val="20"/>
        </w:rPr>
        <w:t>(</w:t>
      </w:r>
      <w:r w:rsidR="00AF5ACE" w:rsidRPr="00AF5ACE">
        <w:rPr>
          <w:color w:val="000000" w:themeColor="text1"/>
          <w:sz w:val="20"/>
          <w:szCs w:val="20"/>
        </w:rPr>
        <w:t>C.D.P-C.E.N.S)</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European</w:t>
      </w:r>
      <w:r w:rsidR="00FF41A0">
        <w:rPr>
          <w:color w:val="000000" w:themeColor="text1"/>
          <w:sz w:val="20"/>
          <w:szCs w:val="20"/>
        </w:rPr>
        <w:t xml:space="preserve"> </w:t>
      </w:r>
      <w:r w:rsidR="00AF5ACE" w:rsidRPr="00AF5ACE">
        <w:rPr>
          <w:color w:val="000000" w:themeColor="text1"/>
          <w:sz w:val="20"/>
          <w:szCs w:val="20"/>
        </w:rPr>
        <w:t>Union</w:t>
      </w:r>
      <w:r w:rsidR="00FF41A0">
        <w:rPr>
          <w:color w:val="000000" w:themeColor="text1"/>
          <w:sz w:val="20"/>
          <w:szCs w:val="20"/>
        </w:rPr>
        <w:t xml:space="preserve"> </w:t>
      </w:r>
      <w:r w:rsidR="00AF5ACE" w:rsidRPr="00AF5ACE">
        <w:rPr>
          <w:color w:val="000000" w:themeColor="text1"/>
          <w:sz w:val="20"/>
          <w:szCs w:val="20"/>
        </w:rPr>
        <w:t>of</w:t>
      </w:r>
      <w:r w:rsidR="00FF41A0">
        <w:rPr>
          <w:color w:val="000000" w:themeColor="text1"/>
          <w:sz w:val="20"/>
          <w:szCs w:val="20"/>
        </w:rPr>
        <w:t xml:space="preserve"> </w:t>
      </w:r>
      <w:r w:rsidR="00AF5ACE" w:rsidRPr="00AF5ACE">
        <w:rPr>
          <w:color w:val="000000" w:themeColor="text1"/>
          <w:sz w:val="20"/>
          <w:szCs w:val="20"/>
        </w:rPr>
        <w:t>Public</w:t>
      </w:r>
      <w:r w:rsidR="00FF41A0">
        <w:rPr>
          <w:color w:val="000000" w:themeColor="text1"/>
          <w:sz w:val="20"/>
          <w:szCs w:val="20"/>
        </w:rPr>
        <w:t xml:space="preserve"> </w:t>
      </w:r>
      <w:r w:rsidR="00AF5ACE" w:rsidRPr="00AF5ACE">
        <w:rPr>
          <w:color w:val="000000" w:themeColor="text1"/>
          <w:sz w:val="20"/>
          <w:szCs w:val="20"/>
        </w:rPr>
        <w:t>Relations</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France</w:t>
      </w:r>
      <w:r w:rsidR="00FF41A0">
        <w:rPr>
          <w:color w:val="000000" w:themeColor="text1"/>
          <w:sz w:val="20"/>
          <w:szCs w:val="20"/>
        </w:rPr>
        <w:t xml:space="preserve"> </w:t>
      </w:r>
      <w:r w:rsidR="00AF5ACE" w:rsidRPr="00AF5ACE">
        <w:rPr>
          <w:color w:val="000000" w:themeColor="text1"/>
          <w:sz w:val="20"/>
          <w:szCs w:val="20"/>
        </w:rPr>
        <w:t>Libertes:</w:t>
      </w:r>
      <w:r w:rsidR="00FF41A0">
        <w:rPr>
          <w:color w:val="000000" w:themeColor="text1"/>
          <w:sz w:val="20"/>
          <w:szCs w:val="20"/>
        </w:rPr>
        <w:t xml:space="preserve"> </w:t>
      </w:r>
      <w:r w:rsidR="00AF5ACE" w:rsidRPr="00AF5ACE">
        <w:rPr>
          <w:color w:val="000000" w:themeColor="text1"/>
          <w:sz w:val="20"/>
          <w:szCs w:val="20"/>
        </w:rPr>
        <w:t>Fondation</w:t>
      </w:r>
      <w:r w:rsidR="00FF41A0">
        <w:rPr>
          <w:color w:val="000000" w:themeColor="text1"/>
          <w:sz w:val="20"/>
          <w:szCs w:val="20"/>
        </w:rPr>
        <w:t xml:space="preserve"> </w:t>
      </w:r>
      <w:r w:rsidR="00AF5ACE" w:rsidRPr="00AF5ACE">
        <w:rPr>
          <w:color w:val="000000" w:themeColor="text1"/>
          <w:sz w:val="20"/>
          <w:szCs w:val="20"/>
        </w:rPr>
        <w:t>Danielle</w:t>
      </w:r>
      <w:r w:rsidR="00FF41A0">
        <w:rPr>
          <w:color w:val="000000" w:themeColor="text1"/>
          <w:sz w:val="20"/>
          <w:szCs w:val="20"/>
        </w:rPr>
        <w:t xml:space="preserve"> </w:t>
      </w:r>
      <w:r w:rsidR="00AF5ACE" w:rsidRPr="00AF5ACE">
        <w:rPr>
          <w:color w:val="000000" w:themeColor="text1"/>
          <w:sz w:val="20"/>
          <w:szCs w:val="20"/>
        </w:rPr>
        <w:t>Mitterrand</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Friends</w:t>
      </w:r>
      <w:r w:rsidR="00FF41A0">
        <w:rPr>
          <w:color w:val="000000" w:themeColor="text1"/>
          <w:sz w:val="20"/>
          <w:szCs w:val="20"/>
        </w:rPr>
        <w:t xml:space="preserve"> </w:t>
      </w:r>
      <w:r w:rsidR="00AF5ACE" w:rsidRPr="00AF5ACE">
        <w:rPr>
          <w:color w:val="000000" w:themeColor="text1"/>
          <w:sz w:val="20"/>
          <w:szCs w:val="20"/>
        </w:rPr>
        <w:t>World</w:t>
      </w:r>
      <w:r w:rsidR="00FF41A0">
        <w:rPr>
          <w:color w:val="000000" w:themeColor="text1"/>
          <w:sz w:val="20"/>
          <w:szCs w:val="20"/>
        </w:rPr>
        <w:t xml:space="preserve"> </w:t>
      </w:r>
      <w:r w:rsidR="00AF5ACE" w:rsidRPr="00AF5ACE">
        <w:rPr>
          <w:color w:val="000000" w:themeColor="text1"/>
          <w:sz w:val="20"/>
          <w:szCs w:val="20"/>
        </w:rPr>
        <w:t>Committee</w:t>
      </w:r>
      <w:r w:rsidR="00FF41A0">
        <w:rPr>
          <w:color w:val="000000" w:themeColor="text1"/>
          <w:sz w:val="20"/>
          <w:szCs w:val="20"/>
        </w:rPr>
        <w:t xml:space="preserve"> </w:t>
      </w:r>
      <w:r w:rsidR="00AF5ACE" w:rsidRPr="00AF5ACE">
        <w:rPr>
          <w:color w:val="000000" w:themeColor="text1"/>
          <w:sz w:val="20"/>
          <w:szCs w:val="20"/>
        </w:rPr>
        <w:t>for</w:t>
      </w:r>
      <w:r w:rsidR="00FF41A0">
        <w:rPr>
          <w:color w:val="000000" w:themeColor="text1"/>
          <w:sz w:val="20"/>
          <w:szCs w:val="20"/>
        </w:rPr>
        <w:t xml:space="preserve"> </w:t>
      </w:r>
      <w:r w:rsidR="00AF5ACE" w:rsidRPr="00AF5ACE">
        <w:rPr>
          <w:color w:val="000000" w:themeColor="text1"/>
          <w:sz w:val="20"/>
          <w:szCs w:val="20"/>
        </w:rPr>
        <w:t>Consultation</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Fundación</w:t>
      </w:r>
      <w:r w:rsidR="00FF41A0">
        <w:rPr>
          <w:color w:val="000000" w:themeColor="text1"/>
          <w:sz w:val="20"/>
          <w:szCs w:val="20"/>
        </w:rPr>
        <w:t xml:space="preserve"> </w:t>
      </w:r>
      <w:r w:rsidR="00AF5ACE" w:rsidRPr="00AF5ACE">
        <w:rPr>
          <w:color w:val="000000" w:themeColor="text1"/>
          <w:sz w:val="20"/>
          <w:szCs w:val="20"/>
        </w:rPr>
        <w:t>Latinoamericana</w:t>
      </w:r>
      <w:r w:rsidR="00FF41A0">
        <w:rPr>
          <w:color w:val="000000" w:themeColor="text1"/>
          <w:sz w:val="20"/>
          <w:szCs w:val="20"/>
        </w:rPr>
        <w:t xml:space="preserve"> </w:t>
      </w:r>
      <w:r w:rsidR="00AF5ACE" w:rsidRPr="00AF5ACE">
        <w:rPr>
          <w:color w:val="000000" w:themeColor="text1"/>
          <w:sz w:val="20"/>
          <w:szCs w:val="20"/>
        </w:rPr>
        <w:t>por</w:t>
      </w:r>
      <w:r w:rsidR="00FF41A0">
        <w:rPr>
          <w:color w:val="000000" w:themeColor="text1"/>
          <w:sz w:val="20"/>
          <w:szCs w:val="20"/>
        </w:rPr>
        <w:t xml:space="preserve"> </w:t>
      </w:r>
      <w:r w:rsidR="00AF5ACE" w:rsidRPr="00AF5ACE">
        <w:rPr>
          <w:color w:val="000000" w:themeColor="text1"/>
          <w:sz w:val="20"/>
          <w:szCs w:val="20"/>
        </w:rPr>
        <w:t>los</w:t>
      </w:r>
      <w:r w:rsidR="00FF41A0">
        <w:rPr>
          <w:color w:val="000000" w:themeColor="text1"/>
          <w:sz w:val="20"/>
          <w:szCs w:val="20"/>
        </w:rPr>
        <w:t xml:space="preserve"> </w:t>
      </w:r>
      <w:r w:rsidR="00AF5ACE" w:rsidRPr="00AF5ACE">
        <w:rPr>
          <w:color w:val="000000" w:themeColor="text1"/>
          <w:sz w:val="20"/>
          <w:szCs w:val="20"/>
        </w:rPr>
        <w:t>Derechos</w:t>
      </w:r>
      <w:r w:rsidR="00FF41A0">
        <w:rPr>
          <w:color w:val="000000" w:themeColor="text1"/>
          <w:sz w:val="20"/>
          <w:szCs w:val="20"/>
        </w:rPr>
        <w:t xml:space="preserve"> </w:t>
      </w:r>
      <w:r w:rsidR="00AF5ACE" w:rsidRPr="00AF5ACE">
        <w:rPr>
          <w:color w:val="000000" w:themeColor="text1"/>
          <w:sz w:val="20"/>
          <w:szCs w:val="20"/>
        </w:rPr>
        <w:t>Humanos</w:t>
      </w:r>
      <w:r w:rsidR="00FF41A0">
        <w:rPr>
          <w:color w:val="000000" w:themeColor="text1"/>
          <w:sz w:val="20"/>
          <w:szCs w:val="20"/>
        </w:rPr>
        <w:t xml:space="preserve"> </w:t>
      </w:r>
      <w:r w:rsidR="00AF5ACE" w:rsidRPr="00AF5ACE">
        <w:rPr>
          <w:color w:val="000000" w:themeColor="text1"/>
          <w:sz w:val="20"/>
          <w:szCs w:val="20"/>
        </w:rPr>
        <w:t>y</w:t>
      </w:r>
      <w:r w:rsidR="00FF41A0">
        <w:rPr>
          <w:color w:val="000000" w:themeColor="text1"/>
          <w:sz w:val="20"/>
          <w:szCs w:val="20"/>
        </w:rPr>
        <w:t xml:space="preserve"> </w:t>
      </w:r>
      <w:r w:rsidR="00AF5ACE" w:rsidRPr="00AF5ACE">
        <w:rPr>
          <w:color w:val="000000" w:themeColor="text1"/>
          <w:sz w:val="20"/>
          <w:szCs w:val="20"/>
        </w:rPr>
        <w:t>el</w:t>
      </w:r>
      <w:r w:rsidR="00FF41A0">
        <w:rPr>
          <w:color w:val="000000" w:themeColor="text1"/>
          <w:sz w:val="20"/>
          <w:szCs w:val="20"/>
        </w:rPr>
        <w:t xml:space="preserve"> </w:t>
      </w:r>
      <w:r w:rsidR="00AF5ACE" w:rsidRPr="00AF5ACE">
        <w:rPr>
          <w:color w:val="000000" w:themeColor="text1"/>
          <w:sz w:val="20"/>
          <w:szCs w:val="20"/>
        </w:rPr>
        <w:t>Desarrollo</w:t>
      </w:r>
      <w:r w:rsidR="00FF41A0">
        <w:rPr>
          <w:color w:val="000000" w:themeColor="text1"/>
          <w:sz w:val="20"/>
          <w:szCs w:val="20"/>
        </w:rPr>
        <w:t xml:space="preserve"> </w:t>
      </w:r>
      <w:r w:rsidR="00AF5ACE" w:rsidRPr="00AF5ACE">
        <w:rPr>
          <w:color w:val="000000" w:themeColor="text1"/>
          <w:sz w:val="20"/>
          <w:szCs w:val="20"/>
        </w:rPr>
        <w:t>Social</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Imam</w:t>
      </w:r>
      <w:r w:rsidR="00FF41A0">
        <w:rPr>
          <w:color w:val="000000" w:themeColor="text1"/>
          <w:sz w:val="20"/>
          <w:szCs w:val="20"/>
        </w:rPr>
        <w:t xml:space="preserve"> </w:t>
      </w:r>
      <w:r w:rsidR="00AF5ACE" w:rsidRPr="00AF5ACE">
        <w:rPr>
          <w:color w:val="000000" w:themeColor="text1"/>
          <w:sz w:val="20"/>
          <w:szCs w:val="20"/>
        </w:rPr>
        <w:t>Ali</w:t>
      </w:r>
      <w:r w:rsidR="00D72627">
        <w:rPr>
          <w:color w:val="000000" w:themeColor="text1"/>
          <w:sz w:val="20"/>
          <w:szCs w:val="20"/>
        </w:rPr>
        <w:t>’</w:t>
      </w:r>
      <w:r w:rsidR="00AF5ACE" w:rsidRPr="00AF5ACE">
        <w:rPr>
          <w:color w:val="000000" w:themeColor="text1"/>
          <w:sz w:val="20"/>
          <w:szCs w:val="20"/>
        </w:rPr>
        <w:t>s</w:t>
      </w:r>
      <w:r w:rsidR="00FF41A0">
        <w:rPr>
          <w:color w:val="000000" w:themeColor="text1"/>
          <w:sz w:val="20"/>
          <w:szCs w:val="20"/>
        </w:rPr>
        <w:t xml:space="preserve"> </w:t>
      </w:r>
      <w:r w:rsidR="00AF5ACE" w:rsidRPr="00AF5ACE">
        <w:rPr>
          <w:color w:val="000000" w:themeColor="text1"/>
          <w:sz w:val="20"/>
          <w:szCs w:val="20"/>
        </w:rPr>
        <w:t>Popular</w:t>
      </w:r>
      <w:r w:rsidR="00FF41A0">
        <w:rPr>
          <w:color w:val="000000" w:themeColor="text1"/>
          <w:sz w:val="20"/>
          <w:szCs w:val="20"/>
        </w:rPr>
        <w:t xml:space="preserve"> </w:t>
      </w:r>
      <w:r w:rsidR="00AF5ACE" w:rsidRPr="00AF5ACE">
        <w:rPr>
          <w:color w:val="000000" w:themeColor="text1"/>
          <w:sz w:val="20"/>
          <w:szCs w:val="20"/>
        </w:rPr>
        <w:t>Students</w:t>
      </w:r>
      <w:r w:rsidR="00FF41A0">
        <w:rPr>
          <w:color w:val="000000" w:themeColor="text1"/>
          <w:sz w:val="20"/>
          <w:szCs w:val="20"/>
        </w:rPr>
        <w:t xml:space="preserve"> </w:t>
      </w:r>
      <w:r w:rsidR="00AF5ACE" w:rsidRPr="00AF5ACE">
        <w:rPr>
          <w:color w:val="000000" w:themeColor="text1"/>
          <w:sz w:val="20"/>
          <w:szCs w:val="20"/>
        </w:rPr>
        <w:t>Relief</w:t>
      </w:r>
      <w:r w:rsidR="00FF41A0">
        <w:rPr>
          <w:color w:val="000000" w:themeColor="text1"/>
          <w:sz w:val="20"/>
          <w:szCs w:val="20"/>
        </w:rPr>
        <w:t xml:space="preserve"> </w:t>
      </w:r>
      <w:r w:rsidR="00AF5ACE" w:rsidRPr="00AF5ACE">
        <w:rPr>
          <w:color w:val="000000" w:themeColor="text1"/>
          <w:sz w:val="20"/>
          <w:szCs w:val="20"/>
        </w:rPr>
        <w:t>Society</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Indigenous</w:t>
      </w:r>
      <w:r w:rsidR="00FF41A0">
        <w:rPr>
          <w:color w:val="000000" w:themeColor="text1"/>
          <w:sz w:val="20"/>
          <w:szCs w:val="20"/>
        </w:rPr>
        <w:t xml:space="preserve"> </w:t>
      </w:r>
      <w:r w:rsidR="00AF5ACE" w:rsidRPr="00AF5ACE">
        <w:rPr>
          <w:color w:val="000000" w:themeColor="text1"/>
          <w:sz w:val="20"/>
          <w:szCs w:val="20"/>
        </w:rPr>
        <w:t>People</w:t>
      </w:r>
      <w:r w:rsidR="00FF41A0">
        <w:rPr>
          <w:color w:val="000000" w:themeColor="text1"/>
          <w:sz w:val="20"/>
          <w:szCs w:val="20"/>
        </w:rPr>
        <w:t xml:space="preserve"> </w:t>
      </w:r>
      <w:r w:rsidR="00AF5ACE" w:rsidRPr="00AF5ACE">
        <w:rPr>
          <w:color w:val="000000" w:themeColor="text1"/>
          <w:sz w:val="20"/>
          <w:szCs w:val="20"/>
        </w:rPr>
        <w:t>of</w:t>
      </w:r>
      <w:r w:rsidR="00FF41A0">
        <w:rPr>
          <w:color w:val="000000" w:themeColor="text1"/>
          <w:sz w:val="20"/>
          <w:szCs w:val="20"/>
        </w:rPr>
        <w:t xml:space="preserve"> </w:t>
      </w:r>
      <w:r w:rsidR="00AF5ACE" w:rsidRPr="00AF5ACE">
        <w:rPr>
          <w:color w:val="000000" w:themeColor="text1"/>
          <w:sz w:val="20"/>
          <w:szCs w:val="20"/>
        </w:rPr>
        <w:t>Africa</w:t>
      </w:r>
      <w:r w:rsidR="00FF41A0">
        <w:rPr>
          <w:color w:val="000000" w:themeColor="text1"/>
          <w:sz w:val="20"/>
          <w:szCs w:val="20"/>
        </w:rPr>
        <w:t xml:space="preserve"> </w:t>
      </w:r>
      <w:r w:rsidR="00AF5ACE" w:rsidRPr="00AF5ACE">
        <w:rPr>
          <w:color w:val="000000" w:themeColor="text1"/>
          <w:sz w:val="20"/>
          <w:szCs w:val="20"/>
        </w:rPr>
        <w:t>Coordinating</w:t>
      </w:r>
      <w:r w:rsidR="00FF41A0">
        <w:rPr>
          <w:color w:val="000000" w:themeColor="text1"/>
          <w:sz w:val="20"/>
          <w:szCs w:val="20"/>
        </w:rPr>
        <w:t xml:space="preserve"> </w:t>
      </w:r>
      <w:r w:rsidR="00AF5ACE" w:rsidRPr="00AF5ACE">
        <w:rPr>
          <w:color w:val="000000" w:themeColor="text1"/>
          <w:sz w:val="20"/>
          <w:szCs w:val="20"/>
        </w:rPr>
        <w:t>Committee</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Institute</w:t>
      </w:r>
      <w:r w:rsidR="00FF41A0">
        <w:rPr>
          <w:color w:val="000000" w:themeColor="text1"/>
          <w:sz w:val="20"/>
          <w:szCs w:val="20"/>
        </w:rPr>
        <w:t xml:space="preserve"> </w:t>
      </w:r>
      <w:r w:rsidR="00AF5ACE" w:rsidRPr="00AF5ACE">
        <w:rPr>
          <w:color w:val="000000" w:themeColor="text1"/>
          <w:sz w:val="20"/>
          <w:szCs w:val="20"/>
        </w:rPr>
        <w:t>for</w:t>
      </w:r>
      <w:r w:rsidR="00FF41A0">
        <w:rPr>
          <w:color w:val="000000" w:themeColor="text1"/>
          <w:sz w:val="20"/>
          <w:szCs w:val="20"/>
        </w:rPr>
        <w:t xml:space="preserve"> </w:t>
      </w:r>
      <w:r w:rsidR="00AF5ACE" w:rsidRPr="00AF5ACE">
        <w:rPr>
          <w:color w:val="000000" w:themeColor="text1"/>
          <w:sz w:val="20"/>
          <w:szCs w:val="20"/>
        </w:rPr>
        <w:t>NGO</w:t>
      </w:r>
      <w:r w:rsidR="00FF41A0">
        <w:rPr>
          <w:color w:val="000000" w:themeColor="text1"/>
          <w:sz w:val="20"/>
          <w:szCs w:val="20"/>
        </w:rPr>
        <w:t xml:space="preserve"> </w:t>
      </w:r>
      <w:r w:rsidR="00AF5ACE" w:rsidRPr="00AF5ACE">
        <w:rPr>
          <w:color w:val="000000" w:themeColor="text1"/>
          <w:sz w:val="20"/>
          <w:szCs w:val="20"/>
        </w:rPr>
        <w:t>Research</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International</w:t>
      </w:r>
      <w:r w:rsidR="00FF41A0">
        <w:rPr>
          <w:color w:val="000000" w:themeColor="text1"/>
          <w:sz w:val="20"/>
          <w:szCs w:val="20"/>
        </w:rPr>
        <w:t xml:space="preserve"> </w:t>
      </w:r>
      <w:r w:rsidR="00AF5ACE" w:rsidRPr="00AF5ACE">
        <w:rPr>
          <w:color w:val="000000" w:themeColor="text1"/>
          <w:sz w:val="20"/>
          <w:szCs w:val="20"/>
        </w:rPr>
        <w:t>Association</w:t>
      </w:r>
      <w:r w:rsidR="00FF41A0">
        <w:rPr>
          <w:color w:val="000000" w:themeColor="text1"/>
          <w:sz w:val="20"/>
          <w:szCs w:val="20"/>
        </w:rPr>
        <w:t xml:space="preserve"> </w:t>
      </w:r>
      <w:r w:rsidR="00AF5ACE" w:rsidRPr="00AF5ACE">
        <w:rPr>
          <w:color w:val="000000" w:themeColor="text1"/>
          <w:sz w:val="20"/>
          <w:szCs w:val="20"/>
        </w:rPr>
        <w:t>for</w:t>
      </w:r>
      <w:r w:rsidR="00FF41A0">
        <w:rPr>
          <w:color w:val="000000" w:themeColor="text1"/>
          <w:sz w:val="20"/>
          <w:szCs w:val="20"/>
        </w:rPr>
        <w:t xml:space="preserve"> </w:t>
      </w:r>
      <w:r w:rsidR="00AF5ACE" w:rsidRPr="00AF5ACE">
        <w:rPr>
          <w:color w:val="000000" w:themeColor="text1"/>
          <w:sz w:val="20"/>
          <w:szCs w:val="20"/>
        </w:rPr>
        <w:t>Democracy</w:t>
      </w:r>
      <w:r w:rsidR="00FF41A0">
        <w:rPr>
          <w:color w:val="000000" w:themeColor="text1"/>
          <w:sz w:val="20"/>
          <w:szCs w:val="20"/>
        </w:rPr>
        <w:t xml:space="preserve"> </w:t>
      </w:r>
      <w:r w:rsidR="00AF5ACE" w:rsidRPr="00AF5ACE">
        <w:rPr>
          <w:color w:val="000000" w:themeColor="text1"/>
          <w:sz w:val="20"/>
          <w:szCs w:val="20"/>
        </w:rPr>
        <w:t>in</w:t>
      </w:r>
      <w:r w:rsidR="00FF41A0">
        <w:rPr>
          <w:color w:val="000000" w:themeColor="text1"/>
          <w:sz w:val="20"/>
          <w:szCs w:val="20"/>
        </w:rPr>
        <w:t xml:space="preserve"> </w:t>
      </w:r>
      <w:r w:rsidR="00AF5ACE" w:rsidRPr="00AF5ACE">
        <w:rPr>
          <w:color w:val="000000" w:themeColor="text1"/>
          <w:sz w:val="20"/>
          <w:szCs w:val="20"/>
        </w:rPr>
        <w:t>Africa</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International</w:t>
      </w:r>
      <w:r w:rsidR="00FF41A0">
        <w:rPr>
          <w:color w:val="000000" w:themeColor="text1"/>
          <w:sz w:val="20"/>
          <w:szCs w:val="20"/>
        </w:rPr>
        <w:t xml:space="preserve"> </w:t>
      </w:r>
      <w:r w:rsidR="00AF5ACE" w:rsidRPr="00AF5ACE">
        <w:rPr>
          <w:color w:val="000000" w:themeColor="text1"/>
          <w:sz w:val="20"/>
          <w:szCs w:val="20"/>
        </w:rPr>
        <w:t>Buddhist</w:t>
      </w:r>
      <w:r w:rsidR="00FF41A0">
        <w:rPr>
          <w:color w:val="000000" w:themeColor="text1"/>
          <w:sz w:val="20"/>
          <w:szCs w:val="20"/>
        </w:rPr>
        <w:t xml:space="preserve"> </w:t>
      </w:r>
      <w:r w:rsidR="00AF5ACE" w:rsidRPr="00AF5ACE">
        <w:rPr>
          <w:color w:val="000000" w:themeColor="text1"/>
          <w:sz w:val="20"/>
          <w:szCs w:val="20"/>
        </w:rPr>
        <w:t>Relief</w:t>
      </w:r>
      <w:r w:rsidR="00FF41A0">
        <w:rPr>
          <w:color w:val="000000" w:themeColor="text1"/>
          <w:sz w:val="20"/>
          <w:szCs w:val="20"/>
        </w:rPr>
        <w:t xml:space="preserve"> </w:t>
      </w:r>
      <w:r w:rsidR="00AF5ACE" w:rsidRPr="00AF5ACE">
        <w:rPr>
          <w:color w:val="000000" w:themeColor="text1"/>
          <w:sz w:val="20"/>
          <w:szCs w:val="20"/>
        </w:rPr>
        <w:t>Organisation</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International</w:t>
      </w:r>
      <w:r w:rsidR="00FF41A0">
        <w:rPr>
          <w:color w:val="000000" w:themeColor="text1"/>
          <w:sz w:val="20"/>
          <w:szCs w:val="20"/>
        </w:rPr>
        <w:t xml:space="preserve"> </w:t>
      </w:r>
      <w:r w:rsidR="00AF5ACE" w:rsidRPr="00AF5ACE">
        <w:rPr>
          <w:color w:val="000000" w:themeColor="text1"/>
          <w:sz w:val="20"/>
          <w:szCs w:val="20"/>
        </w:rPr>
        <w:t>Fellowship</w:t>
      </w:r>
      <w:r w:rsidR="00FF41A0">
        <w:rPr>
          <w:color w:val="000000" w:themeColor="text1"/>
          <w:sz w:val="20"/>
          <w:szCs w:val="20"/>
        </w:rPr>
        <w:t xml:space="preserve"> </w:t>
      </w:r>
      <w:r w:rsidR="00AF5ACE" w:rsidRPr="00AF5ACE">
        <w:rPr>
          <w:color w:val="000000" w:themeColor="text1"/>
          <w:sz w:val="20"/>
          <w:szCs w:val="20"/>
        </w:rPr>
        <w:t>of</w:t>
      </w:r>
      <w:r w:rsidR="00FF41A0">
        <w:rPr>
          <w:color w:val="000000" w:themeColor="text1"/>
          <w:sz w:val="20"/>
          <w:szCs w:val="20"/>
        </w:rPr>
        <w:t xml:space="preserve"> </w:t>
      </w:r>
      <w:r w:rsidR="00AF5ACE" w:rsidRPr="00AF5ACE">
        <w:rPr>
          <w:color w:val="000000" w:themeColor="text1"/>
          <w:sz w:val="20"/>
          <w:szCs w:val="20"/>
        </w:rPr>
        <w:t>Reconciliation</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International</w:t>
      </w:r>
      <w:r w:rsidR="00FF41A0">
        <w:rPr>
          <w:color w:val="000000" w:themeColor="text1"/>
          <w:sz w:val="20"/>
          <w:szCs w:val="20"/>
        </w:rPr>
        <w:t xml:space="preserve"> </w:t>
      </w:r>
      <w:r w:rsidR="00AF5ACE" w:rsidRPr="00AF5ACE">
        <w:rPr>
          <w:color w:val="000000" w:themeColor="text1"/>
          <w:sz w:val="20"/>
          <w:szCs w:val="20"/>
        </w:rPr>
        <w:t>Humanist</w:t>
      </w:r>
      <w:r w:rsidR="00FF41A0">
        <w:rPr>
          <w:color w:val="000000" w:themeColor="text1"/>
          <w:sz w:val="20"/>
          <w:szCs w:val="20"/>
        </w:rPr>
        <w:t xml:space="preserve"> </w:t>
      </w:r>
      <w:r w:rsidR="00AF5ACE" w:rsidRPr="00AF5ACE">
        <w:rPr>
          <w:color w:val="000000" w:themeColor="text1"/>
          <w:sz w:val="20"/>
          <w:szCs w:val="20"/>
        </w:rPr>
        <w:t>and</w:t>
      </w:r>
      <w:r w:rsidR="00FF41A0">
        <w:rPr>
          <w:color w:val="000000" w:themeColor="text1"/>
          <w:sz w:val="20"/>
          <w:szCs w:val="20"/>
        </w:rPr>
        <w:t xml:space="preserve"> </w:t>
      </w:r>
      <w:r w:rsidR="00AF5ACE" w:rsidRPr="00AF5ACE">
        <w:rPr>
          <w:color w:val="000000" w:themeColor="text1"/>
          <w:sz w:val="20"/>
          <w:szCs w:val="20"/>
        </w:rPr>
        <w:t>Ethical</w:t>
      </w:r>
      <w:r w:rsidR="00FF41A0">
        <w:rPr>
          <w:color w:val="000000" w:themeColor="text1"/>
          <w:sz w:val="20"/>
          <w:szCs w:val="20"/>
        </w:rPr>
        <w:t xml:space="preserve"> </w:t>
      </w:r>
      <w:r w:rsidR="00AF5ACE" w:rsidRPr="00AF5ACE">
        <w:rPr>
          <w:color w:val="000000" w:themeColor="text1"/>
          <w:sz w:val="20"/>
          <w:szCs w:val="20"/>
        </w:rPr>
        <w:t>Union</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International</w:t>
      </w:r>
      <w:r w:rsidR="00FF41A0">
        <w:rPr>
          <w:color w:val="000000" w:themeColor="text1"/>
          <w:sz w:val="20"/>
          <w:szCs w:val="20"/>
        </w:rPr>
        <w:t xml:space="preserve"> </w:t>
      </w:r>
      <w:r w:rsidR="00AF5ACE" w:rsidRPr="00AF5ACE">
        <w:rPr>
          <w:color w:val="000000" w:themeColor="text1"/>
          <w:sz w:val="20"/>
          <w:szCs w:val="20"/>
        </w:rPr>
        <w:t>Youth</w:t>
      </w:r>
      <w:r w:rsidR="00FF41A0">
        <w:rPr>
          <w:color w:val="000000" w:themeColor="text1"/>
          <w:sz w:val="20"/>
          <w:szCs w:val="20"/>
        </w:rPr>
        <w:t xml:space="preserve"> </w:t>
      </w:r>
      <w:r w:rsidR="00AF5ACE" w:rsidRPr="00AF5ACE">
        <w:rPr>
          <w:color w:val="000000" w:themeColor="text1"/>
          <w:sz w:val="20"/>
          <w:szCs w:val="20"/>
        </w:rPr>
        <w:t>and</w:t>
      </w:r>
      <w:r w:rsidR="00FF41A0">
        <w:rPr>
          <w:color w:val="000000" w:themeColor="text1"/>
          <w:sz w:val="20"/>
          <w:szCs w:val="20"/>
        </w:rPr>
        <w:t xml:space="preserve"> </w:t>
      </w:r>
      <w:r w:rsidR="00AF5ACE" w:rsidRPr="00AF5ACE">
        <w:rPr>
          <w:color w:val="000000" w:themeColor="text1"/>
          <w:sz w:val="20"/>
          <w:szCs w:val="20"/>
        </w:rPr>
        <w:t>Student</w:t>
      </w:r>
      <w:r w:rsidR="00FF41A0">
        <w:rPr>
          <w:color w:val="000000" w:themeColor="text1"/>
          <w:sz w:val="20"/>
          <w:szCs w:val="20"/>
        </w:rPr>
        <w:t xml:space="preserve"> </w:t>
      </w:r>
      <w:r w:rsidR="00AF5ACE" w:rsidRPr="00AF5ACE">
        <w:rPr>
          <w:color w:val="000000" w:themeColor="text1"/>
          <w:sz w:val="20"/>
          <w:szCs w:val="20"/>
        </w:rPr>
        <w:t>Movement</w:t>
      </w:r>
      <w:r w:rsidR="00FF41A0">
        <w:rPr>
          <w:color w:val="000000" w:themeColor="text1"/>
          <w:sz w:val="20"/>
          <w:szCs w:val="20"/>
        </w:rPr>
        <w:t xml:space="preserve"> </w:t>
      </w:r>
      <w:r w:rsidR="00AF5ACE" w:rsidRPr="00AF5ACE">
        <w:rPr>
          <w:color w:val="000000" w:themeColor="text1"/>
          <w:sz w:val="20"/>
          <w:szCs w:val="20"/>
        </w:rPr>
        <w:t>for</w:t>
      </w:r>
      <w:r w:rsidR="00FF41A0">
        <w:rPr>
          <w:color w:val="000000" w:themeColor="text1"/>
          <w:sz w:val="20"/>
          <w:szCs w:val="20"/>
        </w:rPr>
        <w:t xml:space="preserve"> </w:t>
      </w:r>
      <w:r w:rsidR="00AF5ACE" w:rsidRPr="00AF5ACE">
        <w:rPr>
          <w:color w:val="000000" w:themeColor="text1"/>
          <w:sz w:val="20"/>
          <w:szCs w:val="20"/>
        </w:rPr>
        <w:t>the</w:t>
      </w:r>
      <w:r w:rsidR="00FF41A0">
        <w:rPr>
          <w:color w:val="000000" w:themeColor="text1"/>
          <w:sz w:val="20"/>
          <w:szCs w:val="20"/>
        </w:rPr>
        <w:t xml:space="preserve"> </w:t>
      </w:r>
      <w:r w:rsidR="00AF5ACE" w:rsidRPr="00AF5ACE">
        <w:rPr>
          <w:color w:val="000000" w:themeColor="text1"/>
          <w:sz w:val="20"/>
          <w:szCs w:val="20"/>
        </w:rPr>
        <w:t>United</w:t>
      </w:r>
      <w:r w:rsidR="00FF41A0">
        <w:rPr>
          <w:color w:val="000000" w:themeColor="text1"/>
          <w:sz w:val="20"/>
          <w:szCs w:val="20"/>
        </w:rPr>
        <w:t xml:space="preserve"> </w:t>
      </w:r>
      <w:r w:rsidR="00AF5ACE" w:rsidRPr="00AF5ACE">
        <w:rPr>
          <w:color w:val="000000" w:themeColor="text1"/>
          <w:sz w:val="20"/>
          <w:szCs w:val="20"/>
        </w:rPr>
        <w:t>Nations</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iuventum</w:t>
      </w:r>
      <w:r w:rsidR="00FF41A0">
        <w:rPr>
          <w:color w:val="000000" w:themeColor="text1"/>
          <w:sz w:val="20"/>
          <w:szCs w:val="20"/>
        </w:rPr>
        <w:t xml:space="preserve"> </w:t>
      </w:r>
      <w:r w:rsidR="00AF5ACE" w:rsidRPr="00AF5ACE">
        <w:rPr>
          <w:color w:val="000000" w:themeColor="text1"/>
          <w:sz w:val="20"/>
          <w:szCs w:val="20"/>
        </w:rPr>
        <w:t>e.V.</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Japanese</w:t>
      </w:r>
      <w:r w:rsidR="00FF41A0">
        <w:rPr>
          <w:color w:val="000000" w:themeColor="text1"/>
          <w:sz w:val="20"/>
          <w:szCs w:val="20"/>
        </w:rPr>
        <w:t xml:space="preserve"> </w:t>
      </w:r>
      <w:r w:rsidR="00AF5ACE" w:rsidRPr="00AF5ACE">
        <w:rPr>
          <w:color w:val="000000" w:themeColor="text1"/>
          <w:sz w:val="20"/>
          <w:szCs w:val="20"/>
        </w:rPr>
        <w:t>Workers</w:t>
      </w:r>
      <w:r w:rsidR="00D72627">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Committee</w:t>
      </w:r>
      <w:r w:rsidR="00FF41A0">
        <w:rPr>
          <w:color w:val="000000" w:themeColor="text1"/>
          <w:sz w:val="20"/>
          <w:szCs w:val="20"/>
        </w:rPr>
        <w:t xml:space="preserve"> </w:t>
      </w:r>
      <w:r w:rsidR="00AF5ACE" w:rsidRPr="00AF5ACE">
        <w:rPr>
          <w:color w:val="000000" w:themeColor="text1"/>
          <w:sz w:val="20"/>
          <w:szCs w:val="20"/>
        </w:rPr>
        <w:t>for</w:t>
      </w:r>
      <w:r w:rsidR="00FF41A0">
        <w:rPr>
          <w:color w:val="000000" w:themeColor="text1"/>
          <w:sz w:val="20"/>
          <w:szCs w:val="20"/>
        </w:rPr>
        <w:t xml:space="preserve"> </w:t>
      </w:r>
      <w:r w:rsidR="00AF5ACE" w:rsidRPr="00AF5ACE">
        <w:rPr>
          <w:color w:val="000000" w:themeColor="text1"/>
          <w:sz w:val="20"/>
          <w:szCs w:val="20"/>
        </w:rPr>
        <w:t>Human</w:t>
      </w:r>
      <w:r w:rsidR="00FF41A0">
        <w:rPr>
          <w:color w:val="000000" w:themeColor="text1"/>
          <w:sz w:val="20"/>
          <w:szCs w:val="20"/>
        </w:rPr>
        <w:t xml:space="preserve"> </w:t>
      </w:r>
      <w:r w:rsidR="00AF5ACE" w:rsidRPr="00AF5ACE">
        <w:rPr>
          <w:color w:val="000000" w:themeColor="text1"/>
          <w:sz w:val="20"/>
          <w:szCs w:val="20"/>
        </w:rPr>
        <w:t>Rights</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Le</w:t>
      </w:r>
      <w:r w:rsidR="00FF41A0">
        <w:rPr>
          <w:color w:val="000000" w:themeColor="text1"/>
          <w:sz w:val="20"/>
          <w:szCs w:val="20"/>
        </w:rPr>
        <w:t xml:space="preserve"> </w:t>
      </w:r>
      <w:r w:rsidR="00AF5ACE" w:rsidRPr="00AF5ACE">
        <w:rPr>
          <w:color w:val="000000" w:themeColor="text1"/>
          <w:sz w:val="20"/>
          <w:szCs w:val="20"/>
        </w:rPr>
        <w:t>Pont</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Liberation</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Maarij</w:t>
      </w:r>
      <w:r w:rsidR="00FF41A0">
        <w:rPr>
          <w:color w:val="000000" w:themeColor="text1"/>
          <w:sz w:val="20"/>
          <w:szCs w:val="20"/>
        </w:rPr>
        <w:t xml:space="preserve"> </w:t>
      </w:r>
      <w:r w:rsidR="00AF5ACE" w:rsidRPr="00AF5ACE">
        <w:rPr>
          <w:color w:val="000000" w:themeColor="text1"/>
          <w:sz w:val="20"/>
          <w:szCs w:val="20"/>
        </w:rPr>
        <w:t>Foundation</w:t>
      </w:r>
      <w:r w:rsidR="00FF41A0">
        <w:rPr>
          <w:color w:val="000000" w:themeColor="text1"/>
          <w:sz w:val="20"/>
          <w:szCs w:val="20"/>
        </w:rPr>
        <w:t xml:space="preserve"> </w:t>
      </w:r>
      <w:r w:rsidR="00AF5ACE" w:rsidRPr="00AF5ACE">
        <w:rPr>
          <w:color w:val="000000" w:themeColor="text1"/>
          <w:sz w:val="20"/>
          <w:szCs w:val="20"/>
        </w:rPr>
        <w:t>for</w:t>
      </w:r>
      <w:r w:rsidR="00FF41A0">
        <w:rPr>
          <w:color w:val="000000" w:themeColor="text1"/>
          <w:sz w:val="20"/>
          <w:szCs w:val="20"/>
        </w:rPr>
        <w:t xml:space="preserve"> </w:t>
      </w:r>
      <w:r w:rsidR="00AF5ACE" w:rsidRPr="00AF5ACE">
        <w:rPr>
          <w:color w:val="000000" w:themeColor="text1"/>
          <w:sz w:val="20"/>
          <w:szCs w:val="20"/>
        </w:rPr>
        <w:t>Peace</w:t>
      </w:r>
      <w:r w:rsidR="00FF41A0">
        <w:rPr>
          <w:color w:val="000000" w:themeColor="text1"/>
          <w:sz w:val="20"/>
          <w:szCs w:val="20"/>
        </w:rPr>
        <w:t xml:space="preserve"> </w:t>
      </w:r>
      <w:r w:rsidR="00AF5ACE" w:rsidRPr="00AF5ACE">
        <w:rPr>
          <w:color w:val="000000" w:themeColor="text1"/>
          <w:sz w:val="20"/>
          <w:szCs w:val="20"/>
        </w:rPr>
        <w:t>and</w:t>
      </w:r>
      <w:r w:rsidR="00FF41A0">
        <w:rPr>
          <w:color w:val="000000" w:themeColor="text1"/>
          <w:sz w:val="20"/>
          <w:szCs w:val="20"/>
        </w:rPr>
        <w:t xml:space="preserve"> </w:t>
      </w:r>
      <w:r w:rsidR="00AF5ACE" w:rsidRPr="00AF5ACE">
        <w:rPr>
          <w:color w:val="000000" w:themeColor="text1"/>
          <w:sz w:val="20"/>
          <w:szCs w:val="20"/>
        </w:rPr>
        <w:t>Development</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Mbororo</w:t>
      </w:r>
      <w:r w:rsidR="00FF41A0">
        <w:rPr>
          <w:color w:val="000000" w:themeColor="text1"/>
          <w:sz w:val="20"/>
          <w:szCs w:val="20"/>
        </w:rPr>
        <w:t xml:space="preserve"> </w:t>
      </w:r>
      <w:r w:rsidR="00AF5ACE" w:rsidRPr="00AF5ACE">
        <w:rPr>
          <w:color w:val="000000" w:themeColor="text1"/>
          <w:sz w:val="20"/>
          <w:szCs w:val="20"/>
        </w:rPr>
        <w:t>Social</w:t>
      </w:r>
      <w:r w:rsidR="00FF41A0">
        <w:rPr>
          <w:color w:val="000000" w:themeColor="text1"/>
          <w:sz w:val="20"/>
          <w:szCs w:val="20"/>
        </w:rPr>
        <w:t xml:space="preserve"> </w:t>
      </w:r>
      <w:r w:rsidR="00AF5ACE" w:rsidRPr="00AF5ACE">
        <w:rPr>
          <w:color w:val="000000" w:themeColor="text1"/>
          <w:sz w:val="20"/>
          <w:szCs w:val="20"/>
        </w:rPr>
        <w:t>and</w:t>
      </w:r>
      <w:r w:rsidR="00FF41A0">
        <w:rPr>
          <w:color w:val="000000" w:themeColor="text1"/>
          <w:sz w:val="20"/>
          <w:szCs w:val="20"/>
        </w:rPr>
        <w:t xml:space="preserve"> </w:t>
      </w:r>
      <w:r w:rsidR="00AF5ACE" w:rsidRPr="00AF5ACE">
        <w:rPr>
          <w:color w:val="000000" w:themeColor="text1"/>
          <w:sz w:val="20"/>
          <w:szCs w:val="20"/>
        </w:rPr>
        <w:t>Cultural</w:t>
      </w:r>
      <w:r w:rsidR="00FF41A0">
        <w:rPr>
          <w:color w:val="000000" w:themeColor="text1"/>
          <w:sz w:val="20"/>
          <w:szCs w:val="20"/>
        </w:rPr>
        <w:t xml:space="preserve"> </w:t>
      </w:r>
      <w:r w:rsidR="00AF5ACE" w:rsidRPr="00AF5ACE">
        <w:rPr>
          <w:color w:val="000000" w:themeColor="text1"/>
          <w:sz w:val="20"/>
          <w:szCs w:val="20"/>
        </w:rPr>
        <w:t>Development</w:t>
      </w:r>
      <w:r w:rsidR="00FF41A0">
        <w:rPr>
          <w:color w:val="000000" w:themeColor="text1"/>
          <w:sz w:val="20"/>
          <w:szCs w:val="20"/>
        </w:rPr>
        <w:t xml:space="preserve"> </w:t>
      </w:r>
      <w:r w:rsidR="00AF5ACE" w:rsidRPr="00AF5ACE">
        <w:rPr>
          <w:color w:val="000000" w:themeColor="text1"/>
          <w:sz w:val="20"/>
          <w:szCs w:val="20"/>
        </w:rPr>
        <w:t>Association</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Organisation</w:t>
      </w:r>
      <w:r w:rsidR="00FF41A0">
        <w:rPr>
          <w:color w:val="000000" w:themeColor="text1"/>
          <w:sz w:val="20"/>
          <w:szCs w:val="20"/>
        </w:rPr>
        <w:t xml:space="preserve"> </w:t>
      </w:r>
      <w:r w:rsidR="00AF5ACE" w:rsidRPr="00AF5ACE">
        <w:rPr>
          <w:color w:val="000000" w:themeColor="text1"/>
          <w:sz w:val="20"/>
          <w:szCs w:val="20"/>
        </w:rPr>
        <w:t>internationale</w:t>
      </w:r>
      <w:r w:rsidR="00FF41A0">
        <w:rPr>
          <w:color w:val="000000" w:themeColor="text1"/>
          <w:sz w:val="20"/>
          <w:szCs w:val="20"/>
        </w:rPr>
        <w:t xml:space="preserve"> </w:t>
      </w:r>
      <w:r w:rsidR="00AF5ACE" w:rsidRPr="00AF5ACE">
        <w:rPr>
          <w:color w:val="000000" w:themeColor="text1"/>
          <w:sz w:val="20"/>
          <w:szCs w:val="20"/>
        </w:rPr>
        <w:t>pour</w:t>
      </w:r>
      <w:r w:rsidR="00FF41A0">
        <w:rPr>
          <w:color w:val="000000" w:themeColor="text1"/>
          <w:sz w:val="20"/>
          <w:szCs w:val="20"/>
        </w:rPr>
        <w:t xml:space="preserve"> </w:t>
      </w:r>
      <w:r w:rsidR="00AF5ACE" w:rsidRPr="00AF5ACE">
        <w:rPr>
          <w:color w:val="000000" w:themeColor="text1"/>
          <w:sz w:val="20"/>
          <w:szCs w:val="20"/>
        </w:rPr>
        <w:t>les</w:t>
      </w:r>
      <w:r w:rsidR="00FF41A0">
        <w:rPr>
          <w:color w:val="000000" w:themeColor="text1"/>
          <w:sz w:val="20"/>
          <w:szCs w:val="20"/>
        </w:rPr>
        <w:t xml:space="preserve"> </w:t>
      </w:r>
      <w:r w:rsidR="00AF5ACE" w:rsidRPr="00AF5ACE">
        <w:rPr>
          <w:color w:val="000000" w:themeColor="text1"/>
          <w:sz w:val="20"/>
          <w:szCs w:val="20"/>
        </w:rPr>
        <w:t>pays</w:t>
      </w:r>
      <w:r w:rsidR="00FF41A0">
        <w:rPr>
          <w:color w:val="000000" w:themeColor="text1"/>
          <w:sz w:val="20"/>
          <w:szCs w:val="20"/>
        </w:rPr>
        <w:t xml:space="preserve"> </w:t>
      </w:r>
      <w:r w:rsidR="00AF5ACE" w:rsidRPr="00AF5ACE">
        <w:rPr>
          <w:color w:val="000000" w:themeColor="text1"/>
          <w:sz w:val="20"/>
          <w:szCs w:val="20"/>
        </w:rPr>
        <w:t>les</w:t>
      </w:r>
      <w:r w:rsidR="00FF41A0">
        <w:rPr>
          <w:color w:val="000000" w:themeColor="text1"/>
          <w:sz w:val="20"/>
          <w:szCs w:val="20"/>
        </w:rPr>
        <w:t xml:space="preserve"> </w:t>
      </w:r>
      <w:r w:rsidR="00AF5ACE" w:rsidRPr="00AF5ACE">
        <w:rPr>
          <w:color w:val="000000" w:themeColor="text1"/>
          <w:sz w:val="20"/>
          <w:szCs w:val="20"/>
        </w:rPr>
        <w:t>moins</w:t>
      </w:r>
      <w:r w:rsidR="00FF41A0">
        <w:rPr>
          <w:color w:val="000000" w:themeColor="text1"/>
          <w:sz w:val="20"/>
          <w:szCs w:val="20"/>
        </w:rPr>
        <w:t xml:space="preserve"> </w:t>
      </w:r>
      <w:r w:rsidR="00AF5ACE" w:rsidRPr="00AF5ACE">
        <w:rPr>
          <w:color w:val="000000" w:themeColor="text1"/>
          <w:sz w:val="20"/>
          <w:szCs w:val="20"/>
        </w:rPr>
        <w:t>avancés</w:t>
      </w:r>
      <w:r w:rsidR="00FF41A0">
        <w:rPr>
          <w:color w:val="000000" w:themeColor="text1"/>
          <w:sz w:val="20"/>
          <w:szCs w:val="20"/>
        </w:rPr>
        <w:t xml:space="preserve"> </w:t>
      </w:r>
      <w:r w:rsidR="00AF5ACE" w:rsidRPr="00AF5ACE">
        <w:rPr>
          <w:color w:val="000000" w:themeColor="text1"/>
          <w:sz w:val="20"/>
          <w:szCs w:val="20"/>
        </w:rPr>
        <w:t>(OIPMA)</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Pan</w:t>
      </w:r>
      <w:r w:rsidR="00FF41A0">
        <w:rPr>
          <w:color w:val="000000" w:themeColor="text1"/>
          <w:sz w:val="20"/>
          <w:szCs w:val="20"/>
        </w:rPr>
        <w:t xml:space="preserve"> </w:t>
      </w:r>
      <w:r w:rsidR="00AF5ACE" w:rsidRPr="00AF5ACE">
        <w:rPr>
          <w:color w:val="000000" w:themeColor="text1"/>
          <w:sz w:val="20"/>
          <w:szCs w:val="20"/>
        </w:rPr>
        <w:t>African</w:t>
      </w:r>
      <w:r w:rsidR="00FF41A0">
        <w:rPr>
          <w:color w:val="000000" w:themeColor="text1"/>
          <w:sz w:val="20"/>
          <w:szCs w:val="20"/>
        </w:rPr>
        <w:t xml:space="preserve"> </w:t>
      </w:r>
      <w:r w:rsidR="00AF5ACE" w:rsidRPr="00AF5ACE">
        <w:rPr>
          <w:color w:val="000000" w:themeColor="text1"/>
          <w:sz w:val="20"/>
          <w:szCs w:val="20"/>
        </w:rPr>
        <w:t>Union</w:t>
      </w:r>
      <w:r w:rsidR="00FF41A0">
        <w:rPr>
          <w:color w:val="000000" w:themeColor="text1"/>
          <w:sz w:val="20"/>
          <w:szCs w:val="20"/>
        </w:rPr>
        <w:t xml:space="preserve"> </w:t>
      </w:r>
      <w:r w:rsidR="00AF5ACE" w:rsidRPr="00AF5ACE">
        <w:rPr>
          <w:color w:val="000000" w:themeColor="text1"/>
          <w:sz w:val="20"/>
          <w:szCs w:val="20"/>
        </w:rPr>
        <w:t>for</w:t>
      </w:r>
      <w:r w:rsidR="00FF41A0">
        <w:rPr>
          <w:color w:val="000000" w:themeColor="text1"/>
          <w:sz w:val="20"/>
          <w:szCs w:val="20"/>
        </w:rPr>
        <w:t xml:space="preserve"> </w:t>
      </w:r>
      <w:r w:rsidR="00AF5ACE" w:rsidRPr="00AF5ACE">
        <w:rPr>
          <w:color w:val="000000" w:themeColor="text1"/>
          <w:sz w:val="20"/>
          <w:szCs w:val="20"/>
        </w:rPr>
        <w:t>Science</w:t>
      </w:r>
      <w:r w:rsidR="00FF41A0">
        <w:rPr>
          <w:color w:val="000000" w:themeColor="text1"/>
          <w:sz w:val="20"/>
          <w:szCs w:val="20"/>
        </w:rPr>
        <w:t xml:space="preserve"> </w:t>
      </w:r>
      <w:r w:rsidR="00AF5ACE" w:rsidRPr="00AF5ACE">
        <w:rPr>
          <w:color w:val="000000" w:themeColor="text1"/>
          <w:sz w:val="20"/>
          <w:szCs w:val="20"/>
        </w:rPr>
        <w:t>and</w:t>
      </w:r>
      <w:r w:rsidR="00FF41A0">
        <w:rPr>
          <w:color w:val="000000" w:themeColor="text1"/>
          <w:sz w:val="20"/>
          <w:szCs w:val="20"/>
        </w:rPr>
        <w:t xml:space="preserve"> </w:t>
      </w:r>
      <w:r w:rsidR="00AF5ACE" w:rsidRPr="00AF5ACE">
        <w:rPr>
          <w:color w:val="000000" w:themeColor="text1"/>
          <w:sz w:val="20"/>
          <w:szCs w:val="20"/>
        </w:rPr>
        <w:t>Technology</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Prahar</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Sikh</w:t>
      </w:r>
      <w:r w:rsidR="00FF41A0">
        <w:rPr>
          <w:color w:val="000000" w:themeColor="text1"/>
          <w:sz w:val="20"/>
          <w:szCs w:val="20"/>
        </w:rPr>
        <w:t xml:space="preserve"> </w:t>
      </w:r>
      <w:r w:rsidR="00AF5ACE" w:rsidRPr="00AF5ACE">
        <w:rPr>
          <w:color w:val="000000" w:themeColor="text1"/>
          <w:sz w:val="20"/>
          <w:szCs w:val="20"/>
        </w:rPr>
        <w:t>Human</w:t>
      </w:r>
      <w:r w:rsidR="00FF41A0">
        <w:rPr>
          <w:color w:val="000000" w:themeColor="text1"/>
          <w:sz w:val="20"/>
          <w:szCs w:val="20"/>
        </w:rPr>
        <w:t xml:space="preserve"> </w:t>
      </w:r>
      <w:r w:rsidR="00AF5ACE" w:rsidRPr="00AF5ACE">
        <w:rPr>
          <w:color w:val="000000" w:themeColor="text1"/>
          <w:sz w:val="20"/>
          <w:szCs w:val="20"/>
        </w:rPr>
        <w:t>Rights</w:t>
      </w:r>
      <w:r w:rsidR="00FF41A0">
        <w:rPr>
          <w:color w:val="000000" w:themeColor="text1"/>
          <w:sz w:val="20"/>
          <w:szCs w:val="20"/>
        </w:rPr>
        <w:t xml:space="preserve"> </w:t>
      </w:r>
      <w:r w:rsidR="00AF5ACE" w:rsidRPr="00AF5ACE">
        <w:rPr>
          <w:color w:val="000000" w:themeColor="text1"/>
          <w:sz w:val="20"/>
          <w:szCs w:val="20"/>
        </w:rPr>
        <w:t>Group</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Solidarité</w:t>
      </w:r>
      <w:r w:rsidR="00FF41A0">
        <w:rPr>
          <w:color w:val="000000" w:themeColor="text1"/>
          <w:sz w:val="20"/>
          <w:szCs w:val="20"/>
        </w:rPr>
        <w:t xml:space="preserve"> </w:t>
      </w:r>
      <w:r w:rsidR="00AF5ACE" w:rsidRPr="00AF5ACE">
        <w:rPr>
          <w:color w:val="000000" w:themeColor="text1"/>
          <w:sz w:val="20"/>
          <w:szCs w:val="20"/>
        </w:rPr>
        <w:t>Agissante</w:t>
      </w:r>
      <w:r w:rsidR="00FF41A0">
        <w:rPr>
          <w:color w:val="000000" w:themeColor="text1"/>
          <w:sz w:val="20"/>
          <w:szCs w:val="20"/>
        </w:rPr>
        <w:t xml:space="preserve"> </w:t>
      </w:r>
      <w:r w:rsidR="00AF5ACE" w:rsidRPr="00AF5ACE">
        <w:rPr>
          <w:color w:val="000000" w:themeColor="text1"/>
          <w:sz w:val="20"/>
          <w:szCs w:val="20"/>
        </w:rPr>
        <w:t>pour</w:t>
      </w:r>
      <w:r w:rsidR="00FF41A0">
        <w:rPr>
          <w:color w:val="000000" w:themeColor="text1"/>
          <w:sz w:val="20"/>
          <w:szCs w:val="20"/>
        </w:rPr>
        <w:t xml:space="preserve"> </w:t>
      </w:r>
      <w:r w:rsidR="00AF5ACE" w:rsidRPr="00AF5ACE">
        <w:rPr>
          <w:color w:val="000000" w:themeColor="text1"/>
          <w:sz w:val="20"/>
          <w:szCs w:val="20"/>
        </w:rPr>
        <w:t>le</w:t>
      </w:r>
      <w:r w:rsidR="00FF41A0">
        <w:rPr>
          <w:color w:val="000000" w:themeColor="text1"/>
          <w:sz w:val="20"/>
          <w:szCs w:val="20"/>
        </w:rPr>
        <w:t xml:space="preserve"> </w:t>
      </w:r>
      <w:r w:rsidR="00AF5ACE" w:rsidRPr="00AF5ACE">
        <w:rPr>
          <w:color w:val="000000" w:themeColor="text1"/>
          <w:sz w:val="20"/>
          <w:szCs w:val="20"/>
        </w:rPr>
        <w:t>Devéloppement</w:t>
      </w:r>
      <w:r w:rsidR="00FF41A0">
        <w:rPr>
          <w:color w:val="000000" w:themeColor="text1"/>
          <w:sz w:val="20"/>
          <w:szCs w:val="20"/>
        </w:rPr>
        <w:t xml:space="preserve"> </w:t>
      </w:r>
      <w:r w:rsidR="00AF5ACE" w:rsidRPr="00AF5ACE">
        <w:rPr>
          <w:color w:val="000000" w:themeColor="text1"/>
          <w:sz w:val="20"/>
          <w:szCs w:val="20"/>
        </w:rPr>
        <w:t>Familial</w:t>
      </w:r>
      <w:r w:rsidR="00FF41A0">
        <w:rPr>
          <w:color w:val="000000" w:themeColor="text1"/>
          <w:sz w:val="20"/>
          <w:szCs w:val="20"/>
        </w:rPr>
        <w:t xml:space="preserve"> </w:t>
      </w:r>
      <w:r w:rsidR="00AF5ACE" w:rsidRPr="00AF5ACE">
        <w:rPr>
          <w:color w:val="000000" w:themeColor="text1"/>
          <w:sz w:val="20"/>
          <w:szCs w:val="20"/>
        </w:rPr>
        <w:t>(SADF)</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United</w:t>
      </w:r>
      <w:r w:rsidR="00FF41A0">
        <w:rPr>
          <w:color w:val="000000" w:themeColor="text1"/>
          <w:sz w:val="20"/>
          <w:szCs w:val="20"/>
        </w:rPr>
        <w:t xml:space="preserve"> </w:t>
      </w:r>
      <w:r w:rsidR="00AF5ACE" w:rsidRPr="00AF5ACE">
        <w:rPr>
          <w:color w:val="000000" w:themeColor="text1"/>
          <w:sz w:val="20"/>
          <w:szCs w:val="20"/>
        </w:rPr>
        <w:t>Schools</w:t>
      </w:r>
      <w:r w:rsidR="00FF41A0">
        <w:rPr>
          <w:color w:val="000000" w:themeColor="text1"/>
          <w:sz w:val="20"/>
          <w:szCs w:val="20"/>
        </w:rPr>
        <w:t xml:space="preserve"> </w:t>
      </w:r>
      <w:r w:rsidR="00AF5ACE" w:rsidRPr="00AF5ACE">
        <w:rPr>
          <w:color w:val="000000" w:themeColor="text1"/>
          <w:sz w:val="20"/>
          <w:szCs w:val="20"/>
        </w:rPr>
        <w:t>International</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United</w:t>
      </w:r>
      <w:r w:rsidR="00FF41A0">
        <w:rPr>
          <w:color w:val="000000" w:themeColor="text1"/>
          <w:sz w:val="20"/>
          <w:szCs w:val="20"/>
        </w:rPr>
        <w:t xml:space="preserve"> </w:t>
      </w:r>
      <w:r w:rsidR="00AF5ACE" w:rsidRPr="00AF5ACE">
        <w:rPr>
          <w:color w:val="000000" w:themeColor="text1"/>
          <w:sz w:val="20"/>
          <w:szCs w:val="20"/>
        </w:rPr>
        <w:t>Towns</w:t>
      </w:r>
      <w:r w:rsidR="00FF41A0">
        <w:rPr>
          <w:color w:val="000000" w:themeColor="text1"/>
          <w:sz w:val="20"/>
          <w:szCs w:val="20"/>
        </w:rPr>
        <w:t xml:space="preserve"> </w:t>
      </w:r>
      <w:r w:rsidR="00AF5ACE" w:rsidRPr="00AF5ACE">
        <w:rPr>
          <w:color w:val="000000" w:themeColor="text1"/>
          <w:sz w:val="20"/>
          <w:szCs w:val="20"/>
        </w:rPr>
        <w:t>Agency</w:t>
      </w:r>
      <w:r w:rsidR="00FF41A0">
        <w:rPr>
          <w:color w:val="000000" w:themeColor="text1"/>
          <w:sz w:val="20"/>
          <w:szCs w:val="20"/>
        </w:rPr>
        <w:t xml:space="preserve"> </w:t>
      </w:r>
      <w:r w:rsidR="00AF5ACE" w:rsidRPr="00AF5ACE">
        <w:rPr>
          <w:color w:val="000000" w:themeColor="text1"/>
          <w:sz w:val="20"/>
          <w:szCs w:val="20"/>
        </w:rPr>
        <w:t>for</w:t>
      </w:r>
      <w:r w:rsidR="00FF41A0">
        <w:rPr>
          <w:color w:val="000000" w:themeColor="text1"/>
          <w:sz w:val="20"/>
          <w:szCs w:val="20"/>
        </w:rPr>
        <w:t xml:space="preserve"> </w:t>
      </w:r>
      <w:r w:rsidR="00AF5ACE" w:rsidRPr="00AF5ACE">
        <w:rPr>
          <w:color w:val="000000" w:themeColor="text1"/>
          <w:sz w:val="20"/>
          <w:szCs w:val="20"/>
        </w:rPr>
        <w:t>North-South</w:t>
      </w:r>
      <w:r w:rsidR="00FF41A0">
        <w:rPr>
          <w:color w:val="000000" w:themeColor="text1"/>
          <w:sz w:val="20"/>
          <w:szCs w:val="20"/>
        </w:rPr>
        <w:t xml:space="preserve"> </w:t>
      </w:r>
      <w:r w:rsidR="00AF5ACE" w:rsidRPr="00AF5ACE">
        <w:rPr>
          <w:color w:val="000000" w:themeColor="text1"/>
          <w:sz w:val="20"/>
          <w:szCs w:val="20"/>
        </w:rPr>
        <w:t>Cooperation</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Verein</w:t>
      </w:r>
      <w:r w:rsidR="00FF41A0">
        <w:rPr>
          <w:color w:val="000000" w:themeColor="text1"/>
          <w:sz w:val="20"/>
          <w:szCs w:val="20"/>
        </w:rPr>
        <w:t xml:space="preserve"> </w:t>
      </w:r>
      <w:r w:rsidR="00AF5ACE" w:rsidRPr="00AF5ACE">
        <w:rPr>
          <w:color w:val="000000" w:themeColor="text1"/>
          <w:sz w:val="20"/>
          <w:szCs w:val="20"/>
        </w:rPr>
        <w:t>Sudwind</w:t>
      </w:r>
      <w:r w:rsidR="00FF41A0">
        <w:rPr>
          <w:color w:val="000000" w:themeColor="text1"/>
          <w:sz w:val="20"/>
          <w:szCs w:val="20"/>
        </w:rPr>
        <w:t xml:space="preserve"> </w:t>
      </w:r>
      <w:r w:rsidR="00AF5ACE" w:rsidRPr="00AF5ACE">
        <w:rPr>
          <w:color w:val="000000" w:themeColor="text1"/>
          <w:sz w:val="20"/>
          <w:szCs w:val="20"/>
        </w:rPr>
        <w:t>Entwicklungspolitik</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Women</w:t>
      </w:r>
      <w:r w:rsidR="00D72627">
        <w:rPr>
          <w:color w:val="000000" w:themeColor="text1"/>
          <w:sz w:val="20"/>
          <w:szCs w:val="20"/>
        </w:rPr>
        <w:t>’</w:t>
      </w:r>
      <w:r w:rsidR="00AF5ACE" w:rsidRPr="00AF5ACE">
        <w:rPr>
          <w:color w:val="000000" w:themeColor="text1"/>
          <w:sz w:val="20"/>
          <w:szCs w:val="20"/>
        </w:rPr>
        <w:t>s</w:t>
      </w:r>
      <w:r w:rsidR="00FF41A0">
        <w:rPr>
          <w:color w:val="000000" w:themeColor="text1"/>
          <w:sz w:val="20"/>
          <w:szCs w:val="20"/>
        </w:rPr>
        <w:t xml:space="preserve"> </w:t>
      </w:r>
      <w:r w:rsidR="00AF5ACE" w:rsidRPr="00AF5ACE">
        <w:rPr>
          <w:color w:val="000000" w:themeColor="text1"/>
          <w:sz w:val="20"/>
          <w:szCs w:val="20"/>
        </w:rPr>
        <w:t>General</w:t>
      </w:r>
      <w:r w:rsidR="00FF41A0">
        <w:rPr>
          <w:color w:val="000000" w:themeColor="text1"/>
          <w:sz w:val="20"/>
          <w:szCs w:val="20"/>
        </w:rPr>
        <w:t xml:space="preserve"> </w:t>
      </w:r>
      <w:r w:rsidR="00AF5ACE" w:rsidRPr="00AF5ACE">
        <w:rPr>
          <w:color w:val="000000" w:themeColor="text1"/>
          <w:sz w:val="20"/>
          <w:szCs w:val="20"/>
        </w:rPr>
        <w:t>Association</w:t>
      </w:r>
      <w:r w:rsidR="00FF41A0">
        <w:rPr>
          <w:color w:val="000000" w:themeColor="text1"/>
          <w:sz w:val="20"/>
          <w:szCs w:val="20"/>
        </w:rPr>
        <w:t xml:space="preserve"> </w:t>
      </w:r>
      <w:r w:rsidR="00AF5ACE" w:rsidRPr="00AF5ACE">
        <w:rPr>
          <w:color w:val="000000" w:themeColor="text1"/>
          <w:sz w:val="20"/>
          <w:szCs w:val="20"/>
        </w:rPr>
        <w:t>of</w:t>
      </w:r>
      <w:r w:rsidR="00FF41A0">
        <w:rPr>
          <w:color w:val="000000" w:themeColor="text1"/>
          <w:sz w:val="20"/>
          <w:szCs w:val="20"/>
        </w:rPr>
        <w:t xml:space="preserve"> </w:t>
      </w:r>
      <w:r w:rsidR="00AF5ACE" w:rsidRPr="00AF5ACE">
        <w:rPr>
          <w:color w:val="000000" w:themeColor="text1"/>
          <w:sz w:val="20"/>
          <w:szCs w:val="20"/>
        </w:rPr>
        <w:t>Macau,</w:t>
      </w:r>
      <w:r w:rsidR="00FF41A0">
        <w:rPr>
          <w:color w:val="000000" w:themeColor="text1"/>
          <w:sz w:val="20"/>
          <w:szCs w:val="20"/>
        </w:rPr>
        <w:t xml:space="preserve"> </w:t>
      </w:r>
      <w:r w:rsidR="00AF5ACE" w:rsidRPr="00AF5ACE">
        <w:rPr>
          <w:color w:val="000000" w:themeColor="text1"/>
          <w:sz w:val="20"/>
          <w:szCs w:val="20"/>
        </w:rPr>
        <w:t>The.</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World</w:t>
      </w:r>
      <w:r w:rsidR="00FF41A0">
        <w:rPr>
          <w:color w:val="000000" w:themeColor="text1"/>
          <w:sz w:val="20"/>
          <w:szCs w:val="20"/>
        </w:rPr>
        <w:t xml:space="preserve"> </w:t>
      </w:r>
      <w:r w:rsidR="00AF5ACE" w:rsidRPr="00AF5ACE">
        <w:rPr>
          <w:color w:val="000000" w:themeColor="text1"/>
          <w:sz w:val="20"/>
          <w:szCs w:val="20"/>
        </w:rPr>
        <w:t>Barua</w:t>
      </w:r>
      <w:r w:rsidR="00FF41A0">
        <w:rPr>
          <w:color w:val="000000" w:themeColor="text1"/>
          <w:sz w:val="20"/>
          <w:szCs w:val="20"/>
        </w:rPr>
        <w:t xml:space="preserve"> </w:t>
      </w:r>
      <w:r w:rsidR="00AF5ACE" w:rsidRPr="00AF5ACE">
        <w:rPr>
          <w:color w:val="000000" w:themeColor="text1"/>
          <w:sz w:val="20"/>
          <w:szCs w:val="20"/>
        </w:rPr>
        <w:t>Organization</w:t>
      </w:r>
      <w:r w:rsidR="00FF41A0">
        <w:rPr>
          <w:color w:val="000000" w:themeColor="text1"/>
          <w:sz w:val="20"/>
          <w:szCs w:val="20"/>
        </w:rPr>
        <w:t xml:space="preserve"> </w:t>
      </w:r>
      <w:r w:rsidR="00AF5ACE" w:rsidRPr="00AF5ACE">
        <w:rPr>
          <w:color w:val="000000" w:themeColor="text1"/>
          <w:sz w:val="20"/>
          <w:szCs w:val="20"/>
        </w:rPr>
        <w:t>(WBO)</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World</w:t>
      </w:r>
      <w:r w:rsidR="00FF41A0">
        <w:rPr>
          <w:color w:val="000000" w:themeColor="text1"/>
          <w:sz w:val="20"/>
          <w:szCs w:val="20"/>
        </w:rPr>
        <w:t xml:space="preserve"> </w:t>
      </w:r>
      <w:r w:rsidR="00AF5ACE" w:rsidRPr="00AF5ACE">
        <w:rPr>
          <w:color w:val="000000" w:themeColor="text1"/>
          <w:sz w:val="20"/>
          <w:szCs w:val="20"/>
        </w:rPr>
        <w:t>Environment</w:t>
      </w:r>
      <w:r w:rsidR="00FF41A0">
        <w:rPr>
          <w:color w:val="000000" w:themeColor="text1"/>
          <w:sz w:val="20"/>
          <w:szCs w:val="20"/>
        </w:rPr>
        <w:t xml:space="preserve"> </w:t>
      </w:r>
      <w:r w:rsidR="00AF5ACE" w:rsidRPr="00AF5ACE">
        <w:rPr>
          <w:color w:val="000000" w:themeColor="text1"/>
          <w:sz w:val="20"/>
          <w:szCs w:val="20"/>
        </w:rPr>
        <w:t>and</w:t>
      </w:r>
      <w:r w:rsidR="00FF41A0">
        <w:rPr>
          <w:color w:val="000000" w:themeColor="text1"/>
          <w:sz w:val="20"/>
          <w:szCs w:val="20"/>
        </w:rPr>
        <w:t xml:space="preserve"> </w:t>
      </w:r>
      <w:r w:rsidR="00AF5ACE" w:rsidRPr="00AF5ACE">
        <w:rPr>
          <w:color w:val="000000" w:themeColor="text1"/>
          <w:sz w:val="20"/>
          <w:szCs w:val="20"/>
        </w:rPr>
        <w:t>Resources</w:t>
      </w:r>
      <w:r w:rsidR="00FF41A0">
        <w:rPr>
          <w:color w:val="000000" w:themeColor="text1"/>
          <w:sz w:val="20"/>
          <w:szCs w:val="20"/>
        </w:rPr>
        <w:t xml:space="preserve"> </w:t>
      </w:r>
      <w:r w:rsidR="00AF5ACE" w:rsidRPr="00AF5ACE">
        <w:rPr>
          <w:color w:val="000000" w:themeColor="text1"/>
          <w:sz w:val="20"/>
          <w:szCs w:val="20"/>
        </w:rPr>
        <w:t>Council</w:t>
      </w:r>
      <w:r w:rsidR="00FF41A0">
        <w:rPr>
          <w:color w:val="000000" w:themeColor="text1"/>
          <w:sz w:val="20"/>
          <w:szCs w:val="20"/>
        </w:rPr>
        <w:t xml:space="preserve"> </w:t>
      </w:r>
      <w:r w:rsidR="00AF5ACE" w:rsidRPr="00AF5ACE">
        <w:rPr>
          <w:color w:val="000000" w:themeColor="text1"/>
          <w:sz w:val="20"/>
          <w:szCs w:val="20"/>
        </w:rPr>
        <w:t>(WERC)</w:t>
      </w:r>
      <w:r w:rsidR="00AF5ACE">
        <w:rPr>
          <w:color w:val="000000" w:themeColor="text1"/>
          <w:sz w:val="20"/>
          <w:szCs w:val="20"/>
        </w:rPr>
        <w:t>;</w:t>
      </w:r>
      <w:r w:rsidR="00FF41A0">
        <w:rPr>
          <w:color w:val="000000" w:themeColor="text1"/>
          <w:sz w:val="20"/>
          <w:szCs w:val="20"/>
        </w:rPr>
        <w:t xml:space="preserve"> </w:t>
      </w:r>
      <w:r w:rsidR="00AF5ACE" w:rsidRPr="00AF5ACE">
        <w:rPr>
          <w:color w:val="000000" w:themeColor="text1"/>
          <w:sz w:val="20"/>
          <w:szCs w:val="20"/>
        </w:rPr>
        <w:t>World</w:t>
      </w:r>
      <w:r w:rsidR="00FF41A0">
        <w:rPr>
          <w:color w:val="000000" w:themeColor="text1"/>
          <w:sz w:val="20"/>
          <w:szCs w:val="20"/>
        </w:rPr>
        <w:t xml:space="preserve"> </w:t>
      </w:r>
      <w:r w:rsidR="00AF5ACE" w:rsidRPr="00AF5ACE">
        <w:rPr>
          <w:color w:val="000000" w:themeColor="text1"/>
          <w:sz w:val="20"/>
          <w:szCs w:val="20"/>
        </w:rPr>
        <w:t>Muslim</w:t>
      </w:r>
      <w:r w:rsidR="00FF41A0">
        <w:rPr>
          <w:color w:val="000000" w:themeColor="text1"/>
          <w:sz w:val="20"/>
          <w:szCs w:val="20"/>
        </w:rPr>
        <w:t xml:space="preserve"> </w:t>
      </w:r>
      <w:r w:rsidR="00AF5ACE" w:rsidRPr="00AF5ACE">
        <w:rPr>
          <w:color w:val="000000" w:themeColor="text1"/>
          <w:sz w:val="20"/>
          <w:szCs w:val="20"/>
        </w:rPr>
        <w:t>Congress</w:t>
      </w:r>
      <w:r w:rsidR="00316EE9" w:rsidRPr="0037538E">
        <w:rPr>
          <w:color w:val="000000" w:themeColor="text1"/>
          <w:sz w:val="20"/>
          <w:szCs w:val="20"/>
        </w:rPr>
        <w:t>.</w:t>
      </w:r>
    </w:p>
    <w:p w14:paraId="737C669B" w14:textId="77777777" w:rsidR="00131673" w:rsidRPr="0037538E" w:rsidRDefault="00131673" w:rsidP="00F11B08">
      <w:pPr>
        <w:pStyle w:val="SingleTxtG"/>
        <w:rPr>
          <w:color w:val="000000" w:themeColor="text1"/>
          <w:sz w:val="20"/>
          <w:szCs w:val="20"/>
        </w:rPr>
      </w:pPr>
    </w:p>
    <w:bookmarkEnd w:id="17"/>
    <w:bookmarkEnd w:id="18"/>
    <w:p w14:paraId="4E0DAC2D" w14:textId="73D6A4E9" w:rsidR="007247BA" w:rsidRPr="00C16037" w:rsidRDefault="00F11B08" w:rsidP="007247BA">
      <w:pPr>
        <w:pStyle w:val="HChG"/>
        <w:ind w:hanging="567"/>
        <w:rPr>
          <w:color w:val="000000" w:themeColor="text1"/>
          <w:lang w:val="en-GB"/>
        </w:rPr>
      </w:pPr>
      <w:r w:rsidRPr="00C16037">
        <w:rPr>
          <w:b w:val="0"/>
          <w:color w:val="000000" w:themeColor="text1"/>
        </w:rPr>
        <w:br w:type="page"/>
      </w:r>
      <w:r w:rsidR="007247BA" w:rsidRPr="00C16037">
        <w:rPr>
          <w:color w:val="000000" w:themeColor="text1"/>
          <w:lang w:val="en-GB"/>
        </w:rPr>
        <w:lastRenderedPageBreak/>
        <w:t>IX.</w:t>
      </w:r>
      <w:r w:rsidR="007247BA" w:rsidRPr="00C16037">
        <w:rPr>
          <w:color w:val="000000" w:themeColor="text1"/>
          <w:lang w:val="en-GB"/>
        </w:rPr>
        <w:tab/>
        <w:t>Racism,</w:t>
      </w:r>
      <w:r w:rsidR="00FF41A0">
        <w:rPr>
          <w:color w:val="000000" w:themeColor="text1"/>
          <w:lang w:val="en-GB"/>
        </w:rPr>
        <w:t xml:space="preserve"> </w:t>
      </w:r>
      <w:r w:rsidR="007247BA" w:rsidRPr="00C16037">
        <w:rPr>
          <w:color w:val="000000" w:themeColor="text1"/>
          <w:lang w:val="en-GB"/>
        </w:rPr>
        <w:t>racial</w:t>
      </w:r>
      <w:r w:rsidR="00FF41A0">
        <w:rPr>
          <w:color w:val="000000" w:themeColor="text1"/>
          <w:lang w:val="en-GB"/>
        </w:rPr>
        <w:t xml:space="preserve"> </w:t>
      </w:r>
      <w:r w:rsidR="007247BA" w:rsidRPr="00C16037">
        <w:rPr>
          <w:color w:val="000000" w:themeColor="text1"/>
          <w:lang w:val="en-GB"/>
        </w:rPr>
        <w:t>discrimination,</w:t>
      </w:r>
      <w:r w:rsidR="00FF41A0">
        <w:rPr>
          <w:color w:val="000000" w:themeColor="text1"/>
          <w:lang w:val="en-GB"/>
        </w:rPr>
        <w:t xml:space="preserve"> </w:t>
      </w:r>
      <w:r w:rsidR="007247BA" w:rsidRPr="00C16037">
        <w:rPr>
          <w:color w:val="000000" w:themeColor="text1"/>
          <w:lang w:val="en-GB"/>
        </w:rPr>
        <w:t>xenophobia</w:t>
      </w:r>
      <w:r w:rsidR="00FF41A0">
        <w:rPr>
          <w:color w:val="000000" w:themeColor="text1"/>
          <w:lang w:val="en-GB"/>
        </w:rPr>
        <w:t xml:space="preserve"> </w:t>
      </w:r>
      <w:r w:rsidR="007247BA" w:rsidRPr="00C16037">
        <w:rPr>
          <w:color w:val="000000" w:themeColor="text1"/>
          <w:lang w:val="en-GB"/>
        </w:rPr>
        <w:t>and</w:t>
      </w:r>
      <w:r w:rsidR="00FF41A0">
        <w:rPr>
          <w:color w:val="000000" w:themeColor="text1"/>
          <w:lang w:val="en-GB"/>
        </w:rPr>
        <w:t xml:space="preserve"> </w:t>
      </w:r>
      <w:r w:rsidR="007247BA" w:rsidRPr="00C16037">
        <w:rPr>
          <w:color w:val="000000" w:themeColor="text1"/>
          <w:lang w:val="en-GB"/>
        </w:rPr>
        <w:t>related</w:t>
      </w:r>
      <w:r w:rsidR="00FF41A0">
        <w:rPr>
          <w:color w:val="000000" w:themeColor="text1"/>
          <w:lang w:val="en-GB"/>
        </w:rPr>
        <w:t xml:space="preserve"> </w:t>
      </w:r>
      <w:r w:rsidR="007247BA" w:rsidRPr="00C16037">
        <w:rPr>
          <w:color w:val="000000" w:themeColor="text1"/>
          <w:lang w:val="en-GB"/>
        </w:rPr>
        <w:t>forms</w:t>
      </w:r>
      <w:r w:rsidR="00FF41A0">
        <w:rPr>
          <w:color w:val="000000" w:themeColor="text1"/>
          <w:lang w:val="en-GB"/>
        </w:rPr>
        <w:t xml:space="preserve"> </w:t>
      </w:r>
      <w:r w:rsidR="007247BA" w:rsidRPr="00C16037">
        <w:rPr>
          <w:color w:val="000000" w:themeColor="text1"/>
          <w:lang w:val="en-GB"/>
        </w:rPr>
        <w:t>of</w:t>
      </w:r>
      <w:r w:rsidR="00FF41A0">
        <w:rPr>
          <w:color w:val="000000" w:themeColor="text1"/>
          <w:lang w:val="en-GB"/>
        </w:rPr>
        <w:t xml:space="preserve"> </w:t>
      </w:r>
      <w:r w:rsidR="007247BA" w:rsidRPr="00C16037">
        <w:rPr>
          <w:color w:val="000000" w:themeColor="text1"/>
          <w:lang w:val="en-GB"/>
        </w:rPr>
        <w:t>intolerance,</w:t>
      </w:r>
      <w:r w:rsidR="00FF41A0">
        <w:rPr>
          <w:color w:val="000000" w:themeColor="text1"/>
          <w:lang w:val="en-GB"/>
        </w:rPr>
        <w:t xml:space="preserve"> </w:t>
      </w:r>
      <w:r w:rsidR="007247BA" w:rsidRPr="00C16037">
        <w:rPr>
          <w:color w:val="000000" w:themeColor="text1"/>
          <w:lang w:val="en-GB"/>
        </w:rPr>
        <w:t>follow-up</w:t>
      </w:r>
      <w:r w:rsidR="00FF41A0">
        <w:rPr>
          <w:color w:val="000000" w:themeColor="text1"/>
          <w:lang w:val="en-GB"/>
        </w:rPr>
        <w:t xml:space="preserve"> </w:t>
      </w:r>
      <w:r w:rsidR="007247BA" w:rsidRPr="00C16037">
        <w:rPr>
          <w:color w:val="000000" w:themeColor="text1"/>
          <w:lang w:val="en-GB"/>
        </w:rPr>
        <w:t>to</w:t>
      </w:r>
      <w:r w:rsidR="00FF41A0">
        <w:rPr>
          <w:color w:val="000000" w:themeColor="text1"/>
          <w:lang w:val="en-GB"/>
        </w:rPr>
        <w:t xml:space="preserve"> </w:t>
      </w:r>
      <w:r w:rsidR="007247BA" w:rsidRPr="00C16037">
        <w:rPr>
          <w:color w:val="000000" w:themeColor="text1"/>
          <w:lang w:val="en-GB"/>
        </w:rPr>
        <w:t>and</w:t>
      </w:r>
      <w:r w:rsidR="00FF41A0">
        <w:rPr>
          <w:color w:val="000000" w:themeColor="text1"/>
          <w:lang w:val="en-GB"/>
        </w:rPr>
        <w:t xml:space="preserve"> </w:t>
      </w:r>
      <w:r w:rsidR="007247BA" w:rsidRPr="00C16037">
        <w:rPr>
          <w:color w:val="000000" w:themeColor="text1"/>
          <w:lang w:val="en-GB"/>
        </w:rPr>
        <w:t>implementation</w:t>
      </w:r>
      <w:r w:rsidR="00FF41A0">
        <w:rPr>
          <w:color w:val="000000" w:themeColor="text1"/>
          <w:lang w:val="en-GB"/>
        </w:rPr>
        <w:t xml:space="preserve"> </w:t>
      </w:r>
      <w:r w:rsidR="007247BA" w:rsidRPr="00C16037">
        <w:rPr>
          <w:color w:val="000000" w:themeColor="text1"/>
          <w:lang w:val="en-GB"/>
        </w:rPr>
        <w:t>of</w:t>
      </w:r>
      <w:r w:rsidR="00FF41A0">
        <w:rPr>
          <w:color w:val="000000" w:themeColor="text1"/>
          <w:lang w:val="en-GB"/>
        </w:rPr>
        <w:t xml:space="preserve"> </w:t>
      </w:r>
      <w:r w:rsidR="007247BA" w:rsidRPr="00C16037">
        <w:rPr>
          <w:color w:val="000000" w:themeColor="text1"/>
          <w:lang w:val="en-GB"/>
        </w:rPr>
        <w:t>the</w:t>
      </w:r>
      <w:r w:rsidR="00FF41A0">
        <w:rPr>
          <w:color w:val="000000" w:themeColor="text1"/>
          <w:lang w:val="en-GB"/>
        </w:rPr>
        <w:t xml:space="preserve"> </w:t>
      </w:r>
      <w:r w:rsidR="007247BA" w:rsidRPr="00C16037">
        <w:rPr>
          <w:color w:val="000000" w:themeColor="text1"/>
          <w:lang w:val="en-GB"/>
        </w:rPr>
        <w:t>Durban</w:t>
      </w:r>
      <w:r w:rsidR="00FF41A0">
        <w:rPr>
          <w:color w:val="000000" w:themeColor="text1"/>
          <w:lang w:val="en-GB"/>
        </w:rPr>
        <w:t xml:space="preserve"> </w:t>
      </w:r>
      <w:r w:rsidR="007247BA" w:rsidRPr="00C16037">
        <w:rPr>
          <w:color w:val="000000" w:themeColor="text1"/>
          <w:lang w:val="en-GB"/>
        </w:rPr>
        <w:t>Declaration</w:t>
      </w:r>
      <w:r w:rsidR="00FF41A0">
        <w:rPr>
          <w:color w:val="000000" w:themeColor="text1"/>
          <w:lang w:val="en-GB"/>
        </w:rPr>
        <w:t xml:space="preserve"> </w:t>
      </w:r>
      <w:r w:rsidR="007247BA" w:rsidRPr="00C16037">
        <w:rPr>
          <w:color w:val="000000" w:themeColor="text1"/>
          <w:lang w:val="en-GB"/>
        </w:rPr>
        <w:t>and</w:t>
      </w:r>
      <w:r w:rsidR="00FF41A0">
        <w:rPr>
          <w:color w:val="000000" w:themeColor="text1"/>
          <w:lang w:val="en-GB"/>
        </w:rPr>
        <w:t xml:space="preserve"> </w:t>
      </w:r>
      <w:r w:rsidR="007247BA" w:rsidRPr="00C16037">
        <w:rPr>
          <w:color w:val="000000" w:themeColor="text1"/>
          <w:lang w:val="en-GB"/>
        </w:rPr>
        <w:t>Programme</w:t>
      </w:r>
      <w:r w:rsidR="00FF41A0">
        <w:rPr>
          <w:color w:val="000000" w:themeColor="text1"/>
          <w:lang w:val="en-GB"/>
        </w:rPr>
        <w:t xml:space="preserve"> </w:t>
      </w:r>
      <w:r w:rsidR="007247BA" w:rsidRPr="00C16037">
        <w:rPr>
          <w:color w:val="000000" w:themeColor="text1"/>
          <w:lang w:val="en-GB"/>
        </w:rPr>
        <w:t>of</w:t>
      </w:r>
      <w:r w:rsidR="00FF41A0">
        <w:rPr>
          <w:color w:val="000000" w:themeColor="text1"/>
          <w:lang w:val="en-GB"/>
        </w:rPr>
        <w:t xml:space="preserve"> </w:t>
      </w:r>
      <w:r w:rsidR="007247BA" w:rsidRPr="00C16037">
        <w:rPr>
          <w:color w:val="000000" w:themeColor="text1"/>
          <w:lang w:val="en-GB"/>
        </w:rPr>
        <w:t>Action</w:t>
      </w:r>
    </w:p>
    <w:p w14:paraId="7D9326EA" w14:textId="71DF2E69" w:rsidR="007247BA" w:rsidRPr="00C16037" w:rsidRDefault="00A35943" w:rsidP="000A0232">
      <w:pPr>
        <w:pStyle w:val="HChG"/>
        <w:ind w:hanging="567"/>
        <w:rPr>
          <w:color w:val="000000" w:themeColor="text1"/>
          <w:sz w:val="24"/>
          <w:lang w:val="en-GB" w:eastAsia="en-GB"/>
        </w:rPr>
      </w:pPr>
      <w:r w:rsidRPr="00C43406">
        <w:rPr>
          <w:color w:val="000000" w:themeColor="text1"/>
          <w:sz w:val="24"/>
          <w:lang w:val="en-GB" w:eastAsia="en-GB"/>
        </w:rPr>
        <w:t>A.</w:t>
      </w:r>
      <w:r w:rsidR="00FF41A0">
        <w:rPr>
          <w:color w:val="000000" w:themeColor="text1"/>
          <w:sz w:val="24"/>
          <w:lang w:val="en-GB" w:eastAsia="en-GB"/>
        </w:rPr>
        <w:t xml:space="preserve"> </w:t>
      </w:r>
      <w:r w:rsidR="007247BA" w:rsidRPr="00C43406">
        <w:rPr>
          <w:color w:val="000000" w:themeColor="text1"/>
          <w:sz w:val="24"/>
          <w:lang w:val="en-GB" w:eastAsia="en-GB"/>
        </w:rPr>
        <w:tab/>
        <w:t>Debate</w:t>
      </w:r>
      <w:r w:rsidR="00FF41A0">
        <w:rPr>
          <w:color w:val="000000" w:themeColor="text1"/>
          <w:sz w:val="24"/>
          <w:lang w:val="en-GB" w:eastAsia="en-GB"/>
        </w:rPr>
        <w:t xml:space="preserve"> </w:t>
      </w:r>
      <w:r w:rsidR="0032631B" w:rsidRPr="00C43406">
        <w:rPr>
          <w:color w:val="000000" w:themeColor="text1"/>
          <w:sz w:val="24"/>
          <w:lang w:val="en-GB" w:eastAsia="en-GB"/>
        </w:rPr>
        <w:t>on</w:t>
      </w:r>
      <w:r w:rsidR="00FF41A0">
        <w:rPr>
          <w:color w:val="000000" w:themeColor="text1"/>
          <w:sz w:val="24"/>
          <w:lang w:val="en-GB" w:eastAsia="en-GB"/>
        </w:rPr>
        <w:t xml:space="preserve"> </w:t>
      </w:r>
      <w:r w:rsidR="0032631B" w:rsidRPr="00C43406">
        <w:rPr>
          <w:color w:val="000000" w:themeColor="text1"/>
          <w:sz w:val="24"/>
          <w:lang w:val="en-GB" w:eastAsia="en-GB"/>
        </w:rPr>
        <w:t>the</w:t>
      </w:r>
      <w:r w:rsidR="00FF41A0">
        <w:rPr>
          <w:color w:val="000000" w:themeColor="text1"/>
          <w:sz w:val="24"/>
          <w:lang w:val="en-GB" w:eastAsia="en-GB"/>
        </w:rPr>
        <w:t xml:space="preserve"> </w:t>
      </w:r>
      <w:r w:rsidR="0032631B" w:rsidRPr="00C43406">
        <w:rPr>
          <w:color w:val="000000" w:themeColor="text1"/>
          <w:sz w:val="24"/>
          <w:lang w:val="en-GB" w:eastAsia="en-GB"/>
        </w:rPr>
        <w:t>mitigation</w:t>
      </w:r>
      <w:r w:rsidR="00FF41A0">
        <w:rPr>
          <w:color w:val="000000" w:themeColor="text1"/>
          <w:sz w:val="24"/>
          <w:lang w:val="en-GB" w:eastAsia="en-GB"/>
        </w:rPr>
        <w:t xml:space="preserve"> </w:t>
      </w:r>
      <w:r w:rsidR="0032631B" w:rsidRPr="00C43406">
        <w:rPr>
          <w:color w:val="000000" w:themeColor="text1"/>
          <w:sz w:val="24"/>
          <w:lang w:val="en-GB" w:eastAsia="en-GB"/>
        </w:rPr>
        <w:t>and</w:t>
      </w:r>
      <w:r w:rsidR="00FF41A0">
        <w:rPr>
          <w:color w:val="000000" w:themeColor="text1"/>
          <w:sz w:val="24"/>
          <w:lang w:val="en-GB" w:eastAsia="en-GB"/>
        </w:rPr>
        <w:t xml:space="preserve"> </w:t>
      </w:r>
      <w:r w:rsidR="0032631B" w:rsidRPr="00C43406">
        <w:rPr>
          <w:color w:val="000000" w:themeColor="text1"/>
          <w:sz w:val="24"/>
          <w:lang w:val="en-GB" w:eastAsia="en-GB"/>
        </w:rPr>
        <w:t>countering</w:t>
      </w:r>
      <w:r w:rsidR="00FF41A0">
        <w:rPr>
          <w:color w:val="000000" w:themeColor="text1"/>
          <w:sz w:val="24"/>
          <w:lang w:val="en-GB" w:eastAsia="en-GB"/>
        </w:rPr>
        <w:t xml:space="preserve"> </w:t>
      </w:r>
      <w:r w:rsidR="0032631B" w:rsidRPr="00C43406">
        <w:rPr>
          <w:color w:val="000000" w:themeColor="text1"/>
          <w:sz w:val="24"/>
          <w:lang w:val="en-GB" w:eastAsia="en-GB"/>
        </w:rPr>
        <w:t>of</w:t>
      </w:r>
      <w:r w:rsidR="00FF41A0">
        <w:rPr>
          <w:color w:val="000000" w:themeColor="text1"/>
          <w:sz w:val="24"/>
          <w:lang w:val="en-GB" w:eastAsia="en-GB"/>
        </w:rPr>
        <w:t xml:space="preserve"> </w:t>
      </w:r>
      <w:r w:rsidR="0032631B" w:rsidRPr="00C43406">
        <w:rPr>
          <w:color w:val="000000" w:themeColor="text1"/>
          <w:sz w:val="24"/>
          <w:lang w:val="en-GB" w:eastAsia="en-GB"/>
        </w:rPr>
        <w:t>rising</w:t>
      </w:r>
      <w:r w:rsidR="00FF41A0">
        <w:rPr>
          <w:color w:val="000000" w:themeColor="text1"/>
          <w:sz w:val="24"/>
          <w:lang w:val="en-GB" w:eastAsia="en-GB"/>
        </w:rPr>
        <w:t xml:space="preserve"> </w:t>
      </w:r>
      <w:r w:rsidR="0032631B" w:rsidRPr="00C43406">
        <w:rPr>
          <w:color w:val="000000" w:themeColor="text1"/>
          <w:sz w:val="24"/>
          <w:lang w:val="en-GB" w:eastAsia="en-GB"/>
        </w:rPr>
        <w:t>nationalist</w:t>
      </w:r>
      <w:r w:rsidR="00FF41A0">
        <w:rPr>
          <w:color w:val="000000" w:themeColor="text1"/>
          <w:sz w:val="24"/>
          <w:lang w:val="en-GB" w:eastAsia="en-GB"/>
        </w:rPr>
        <w:t xml:space="preserve"> </w:t>
      </w:r>
      <w:r w:rsidR="0032631B" w:rsidRPr="00C43406">
        <w:rPr>
          <w:color w:val="000000" w:themeColor="text1"/>
          <w:sz w:val="24"/>
          <w:lang w:val="en-GB" w:eastAsia="en-GB"/>
        </w:rPr>
        <w:t>populism</w:t>
      </w:r>
      <w:r w:rsidR="00FF41A0">
        <w:rPr>
          <w:color w:val="000000" w:themeColor="text1"/>
          <w:sz w:val="24"/>
          <w:lang w:val="en-GB" w:eastAsia="en-GB"/>
        </w:rPr>
        <w:t xml:space="preserve"> </w:t>
      </w:r>
      <w:r w:rsidR="0032631B" w:rsidRPr="00C43406">
        <w:rPr>
          <w:color w:val="000000" w:themeColor="text1"/>
          <w:sz w:val="24"/>
          <w:lang w:val="en-GB" w:eastAsia="en-GB"/>
        </w:rPr>
        <w:t>and</w:t>
      </w:r>
      <w:r w:rsidR="00FF41A0">
        <w:rPr>
          <w:color w:val="000000" w:themeColor="text1"/>
          <w:sz w:val="24"/>
          <w:lang w:val="en-GB" w:eastAsia="en-GB"/>
        </w:rPr>
        <w:t xml:space="preserve"> </w:t>
      </w:r>
      <w:r w:rsidR="0032631B" w:rsidRPr="00C43406">
        <w:rPr>
          <w:color w:val="000000" w:themeColor="text1"/>
          <w:sz w:val="24"/>
          <w:lang w:val="en-GB" w:eastAsia="en-GB"/>
        </w:rPr>
        <w:t>extreme</w:t>
      </w:r>
      <w:r w:rsidR="00FF41A0">
        <w:rPr>
          <w:color w:val="000000" w:themeColor="text1"/>
          <w:sz w:val="24"/>
          <w:lang w:val="en-GB" w:eastAsia="en-GB"/>
        </w:rPr>
        <w:t xml:space="preserve"> </w:t>
      </w:r>
      <w:r w:rsidR="0032631B" w:rsidRPr="00C43406">
        <w:rPr>
          <w:color w:val="000000" w:themeColor="text1"/>
          <w:sz w:val="24"/>
          <w:lang w:val="en-GB" w:eastAsia="en-GB"/>
        </w:rPr>
        <w:t>supremacist</w:t>
      </w:r>
      <w:r w:rsidR="00FF41A0">
        <w:rPr>
          <w:color w:val="000000" w:themeColor="text1"/>
          <w:sz w:val="24"/>
          <w:lang w:val="en-GB" w:eastAsia="en-GB"/>
        </w:rPr>
        <w:t xml:space="preserve"> </w:t>
      </w:r>
      <w:r w:rsidR="0032631B" w:rsidRPr="00C43406">
        <w:rPr>
          <w:color w:val="000000" w:themeColor="text1"/>
          <w:sz w:val="24"/>
          <w:lang w:val="en-GB" w:eastAsia="en-GB"/>
        </w:rPr>
        <w:t>ideologies</w:t>
      </w:r>
    </w:p>
    <w:p w14:paraId="28E0ABF5" w14:textId="15100C3C" w:rsidR="00D41A5F" w:rsidRDefault="00CF15B1" w:rsidP="00D41A5F">
      <w:pPr>
        <w:pStyle w:val="SingleTxtG"/>
        <w:rPr>
          <w:color w:val="000000" w:themeColor="text1"/>
          <w:sz w:val="20"/>
          <w:szCs w:val="20"/>
          <w:lang w:val="en-GB"/>
        </w:rPr>
      </w:pPr>
      <w:r>
        <w:rPr>
          <w:color w:val="000000" w:themeColor="text1"/>
          <w:sz w:val="20"/>
          <w:szCs w:val="20"/>
          <w:lang w:val="en-GB"/>
        </w:rPr>
        <w:t>955</w:t>
      </w:r>
      <w:r w:rsidR="007247BA" w:rsidRPr="00113DE2">
        <w:rPr>
          <w:color w:val="000000" w:themeColor="text1"/>
          <w:sz w:val="20"/>
          <w:szCs w:val="20"/>
          <w:lang w:val="en-GB"/>
        </w:rPr>
        <w:t>.</w:t>
      </w:r>
      <w:r w:rsidR="007247BA" w:rsidRPr="00113DE2">
        <w:rPr>
          <w:color w:val="000000" w:themeColor="text1"/>
          <w:sz w:val="20"/>
          <w:szCs w:val="20"/>
          <w:lang w:val="en-GB"/>
        </w:rPr>
        <w:tab/>
        <w:t>At</w:t>
      </w:r>
      <w:r w:rsidR="00FF41A0">
        <w:rPr>
          <w:color w:val="000000" w:themeColor="text1"/>
          <w:sz w:val="20"/>
          <w:szCs w:val="20"/>
          <w:lang w:val="en-GB"/>
        </w:rPr>
        <w:t xml:space="preserve"> </w:t>
      </w:r>
      <w:r w:rsidR="007247BA" w:rsidRPr="00113DE2">
        <w:rPr>
          <w:color w:val="000000" w:themeColor="text1"/>
          <w:sz w:val="20"/>
          <w:szCs w:val="20"/>
          <w:lang w:val="en-GB"/>
        </w:rPr>
        <w:t>the</w:t>
      </w:r>
      <w:r w:rsidR="00FF41A0">
        <w:rPr>
          <w:color w:val="000000" w:themeColor="text1"/>
          <w:sz w:val="20"/>
          <w:szCs w:val="20"/>
          <w:lang w:val="en-GB"/>
        </w:rPr>
        <w:t xml:space="preserve"> </w:t>
      </w:r>
      <w:r w:rsidR="007247BA" w:rsidRPr="00113DE2">
        <w:rPr>
          <w:color w:val="000000" w:themeColor="text1"/>
          <w:sz w:val="20"/>
          <w:szCs w:val="20"/>
          <w:lang w:val="en-GB"/>
        </w:rPr>
        <w:t>40th</w:t>
      </w:r>
      <w:r w:rsidR="00FF41A0">
        <w:rPr>
          <w:color w:val="000000" w:themeColor="text1"/>
          <w:sz w:val="20"/>
          <w:szCs w:val="20"/>
          <w:lang w:val="en-GB"/>
        </w:rPr>
        <w:t xml:space="preserve"> </w:t>
      </w:r>
      <w:r w:rsidR="007247BA" w:rsidRPr="00113DE2">
        <w:rPr>
          <w:color w:val="000000" w:themeColor="text1"/>
          <w:sz w:val="20"/>
          <w:szCs w:val="20"/>
          <w:lang w:val="en-GB"/>
        </w:rPr>
        <w:t>meeting,</w:t>
      </w:r>
      <w:r w:rsidR="00FF41A0">
        <w:rPr>
          <w:color w:val="000000" w:themeColor="text1"/>
          <w:sz w:val="20"/>
          <w:szCs w:val="20"/>
          <w:lang w:val="en-GB"/>
        </w:rPr>
        <w:t xml:space="preserve"> </w:t>
      </w:r>
      <w:r w:rsidR="007247BA" w:rsidRPr="00113DE2">
        <w:rPr>
          <w:color w:val="000000" w:themeColor="text1"/>
          <w:sz w:val="20"/>
          <w:szCs w:val="20"/>
          <w:lang w:val="en-GB"/>
        </w:rPr>
        <w:t>on</w:t>
      </w:r>
      <w:r w:rsidR="00FF41A0">
        <w:rPr>
          <w:color w:val="000000" w:themeColor="text1"/>
          <w:sz w:val="20"/>
          <w:szCs w:val="20"/>
          <w:lang w:val="en-GB"/>
        </w:rPr>
        <w:t xml:space="preserve"> </w:t>
      </w:r>
      <w:r w:rsidR="007247BA" w:rsidRPr="00113DE2">
        <w:rPr>
          <w:color w:val="000000" w:themeColor="text1"/>
          <w:sz w:val="20"/>
          <w:szCs w:val="20"/>
          <w:lang w:val="en-GB"/>
        </w:rPr>
        <w:t>1</w:t>
      </w:r>
      <w:r w:rsidR="0032631B">
        <w:rPr>
          <w:color w:val="000000" w:themeColor="text1"/>
          <w:sz w:val="20"/>
          <w:szCs w:val="20"/>
          <w:lang w:val="en-GB"/>
        </w:rPr>
        <w:t>5</w:t>
      </w:r>
      <w:r w:rsidR="00FF41A0">
        <w:rPr>
          <w:color w:val="000000" w:themeColor="text1"/>
          <w:sz w:val="20"/>
          <w:szCs w:val="20"/>
          <w:lang w:val="en-GB"/>
        </w:rPr>
        <w:t xml:space="preserve"> </w:t>
      </w:r>
      <w:r w:rsidR="007247BA" w:rsidRPr="00113DE2">
        <w:rPr>
          <w:color w:val="000000" w:themeColor="text1"/>
          <w:sz w:val="20"/>
          <w:szCs w:val="20"/>
          <w:lang w:val="en-GB"/>
        </w:rPr>
        <w:t>March</w:t>
      </w:r>
      <w:r w:rsidR="00FF41A0">
        <w:rPr>
          <w:color w:val="000000" w:themeColor="text1"/>
          <w:sz w:val="20"/>
          <w:szCs w:val="20"/>
          <w:lang w:val="en-GB"/>
        </w:rPr>
        <w:t xml:space="preserve"> </w:t>
      </w:r>
      <w:r w:rsidR="00141AFC">
        <w:rPr>
          <w:color w:val="000000" w:themeColor="text1"/>
          <w:sz w:val="20"/>
          <w:szCs w:val="20"/>
          <w:lang w:val="en-GB"/>
        </w:rPr>
        <w:t>2019</w:t>
      </w:r>
      <w:r w:rsidR="007247BA" w:rsidRPr="00113DE2">
        <w:rPr>
          <w:color w:val="000000" w:themeColor="text1"/>
          <w:sz w:val="20"/>
          <w:szCs w:val="20"/>
          <w:lang w:val="en-GB"/>
        </w:rPr>
        <w:t>,</w:t>
      </w:r>
      <w:r w:rsidR="00FF41A0">
        <w:rPr>
          <w:color w:val="000000" w:themeColor="text1"/>
          <w:sz w:val="20"/>
          <w:szCs w:val="20"/>
          <w:lang w:val="en-GB"/>
        </w:rPr>
        <w:t xml:space="preserve"> </w:t>
      </w:r>
      <w:r w:rsidR="007247BA" w:rsidRPr="00113DE2">
        <w:rPr>
          <w:color w:val="000000" w:themeColor="text1"/>
          <w:sz w:val="20"/>
          <w:szCs w:val="20"/>
          <w:lang w:val="en-GB"/>
        </w:rPr>
        <w:t>pursuant</w:t>
      </w:r>
      <w:r w:rsidR="00FF41A0">
        <w:rPr>
          <w:color w:val="000000" w:themeColor="text1"/>
          <w:sz w:val="20"/>
          <w:szCs w:val="20"/>
          <w:lang w:val="en-GB"/>
        </w:rPr>
        <w:t xml:space="preserve"> </w:t>
      </w:r>
      <w:r w:rsidR="007247BA" w:rsidRPr="00113DE2">
        <w:rPr>
          <w:color w:val="000000" w:themeColor="text1"/>
          <w:sz w:val="20"/>
          <w:szCs w:val="20"/>
          <w:lang w:val="en-GB"/>
        </w:rPr>
        <w:t>to</w:t>
      </w:r>
      <w:r w:rsidR="00FF41A0">
        <w:rPr>
          <w:color w:val="000000" w:themeColor="text1"/>
          <w:sz w:val="20"/>
          <w:szCs w:val="20"/>
          <w:lang w:val="en-GB"/>
        </w:rPr>
        <w:t xml:space="preserve"> </w:t>
      </w:r>
      <w:r w:rsidR="007247BA" w:rsidRPr="00113DE2">
        <w:rPr>
          <w:color w:val="000000" w:themeColor="text1"/>
          <w:sz w:val="20"/>
          <w:szCs w:val="20"/>
          <w:lang w:val="en-GB"/>
        </w:rPr>
        <w:t>General</w:t>
      </w:r>
      <w:r w:rsidR="00FF41A0">
        <w:rPr>
          <w:color w:val="000000" w:themeColor="text1"/>
          <w:sz w:val="20"/>
          <w:szCs w:val="20"/>
          <w:lang w:val="en-GB"/>
        </w:rPr>
        <w:t xml:space="preserve"> </w:t>
      </w:r>
      <w:r w:rsidR="007247BA" w:rsidRPr="00113DE2">
        <w:rPr>
          <w:color w:val="000000" w:themeColor="text1"/>
          <w:sz w:val="20"/>
          <w:szCs w:val="20"/>
          <w:lang w:val="en-GB"/>
        </w:rPr>
        <w:t>Assembly</w:t>
      </w:r>
      <w:r w:rsidR="00FF41A0">
        <w:rPr>
          <w:color w:val="000000" w:themeColor="text1"/>
          <w:sz w:val="20"/>
          <w:szCs w:val="20"/>
          <w:lang w:val="en-GB"/>
        </w:rPr>
        <w:t xml:space="preserve"> </w:t>
      </w:r>
      <w:r w:rsidR="007247BA" w:rsidRPr="00113DE2">
        <w:rPr>
          <w:color w:val="000000" w:themeColor="text1"/>
          <w:sz w:val="20"/>
          <w:szCs w:val="20"/>
          <w:lang w:val="en-GB"/>
        </w:rPr>
        <w:t>resolution</w:t>
      </w:r>
      <w:r w:rsidR="00FF41A0">
        <w:rPr>
          <w:color w:val="000000" w:themeColor="text1"/>
          <w:sz w:val="20"/>
          <w:szCs w:val="20"/>
          <w:lang w:val="en-GB"/>
        </w:rPr>
        <w:t xml:space="preserve"> </w:t>
      </w:r>
      <w:r w:rsidR="0032631B" w:rsidRPr="0032631B">
        <w:rPr>
          <w:color w:val="000000" w:themeColor="text1"/>
          <w:sz w:val="20"/>
          <w:szCs w:val="20"/>
          <w:lang w:val="en-GB"/>
        </w:rPr>
        <w:t>73/262</w:t>
      </w:r>
      <w:r w:rsidR="007247BA" w:rsidRPr="00113DE2">
        <w:rPr>
          <w:color w:val="000000" w:themeColor="text1"/>
          <w:sz w:val="20"/>
          <w:szCs w:val="20"/>
          <w:lang w:val="en-GB"/>
        </w:rPr>
        <w:t>,</w:t>
      </w:r>
      <w:r w:rsidR="00FF41A0">
        <w:rPr>
          <w:color w:val="000000" w:themeColor="text1"/>
          <w:sz w:val="20"/>
          <w:szCs w:val="20"/>
          <w:lang w:val="en-GB"/>
        </w:rPr>
        <w:t xml:space="preserve"> </w:t>
      </w:r>
      <w:r w:rsidR="007247BA" w:rsidRPr="00113DE2">
        <w:rPr>
          <w:color w:val="000000" w:themeColor="text1"/>
          <w:sz w:val="20"/>
          <w:szCs w:val="20"/>
          <w:lang w:val="en-GB"/>
        </w:rPr>
        <w:t>the</w:t>
      </w:r>
      <w:r w:rsidR="00FF41A0">
        <w:rPr>
          <w:color w:val="000000" w:themeColor="text1"/>
          <w:sz w:val="20"/>
          <w:szCs w:val="20"/>
          <w:lang w:val="en-GB"/>
        </w:rPr>
        <w:t xml:space="preserve"> </w:t>
      </w:r>
      <w:r w:rsidR="0032631B">
        <w:rPr>
          <w:color w:val="000000" w:themeColor="text1"/>
          <w:sz w:val="20"/>
          <w:szCs w:val="20"/>
          <w:lang w:val="en-GB"/>
        </w:rPr>
        <w:t>Human</w:t>
      </w:r>
      <w:r w:rsidR="00FF41A0">
        <w:rPr>
          <w:color w:val="000000" w:themeColor="text1"/>
          <w:sz w:val="20"/>
          <w:szCs w:val="20"/>
          <w:lang w:val="en-GB"/>
        </w:rPr>
        <w:t xml:space="preserve"> </w:t>
      </w:r>
      <w:r w:rsidR="0032631B">
        <w:rPr>
          <w:color w:val="000000" w:themeColor="text1"/>
          <w:sz w:val="20"/>
          <w:szCs w:val="20"/>
          <w:lang w:val="en-GB"/>
        </w:rPr>
        <w:t>Rights</w:t>
      </w:r>
      <w:r w:rsidR="00FF41A0">
        <w:rPr>
          <w:color w:val="000000" w:themeColor="text1"/>
          <w:sz w:val="20"/>
          <w:szCs w:val="20"/>
          <w:lang w:val="en-GB"/>
        </w:rPr>
        <w:t xml:space="preserve"> </w:t>
      </w:r>
      <w:r w:rsidR="007247BA" w:rsidRPr="00113DE2">
        <w:rPr>
          <w:color w:val="000000" w:themeColor="text1"/>
          <w:sz w:val="20"/>
          <w:szCs w:val="20"/>
          <w:lang w:val="en-GB"/>
        </w:rPr>
        <w:t>Council</w:t>
      </w:r>
      <w:r w:rsidR="00FF41A0">
        <w:rPr>
          <w:color w:val="000000" w:themeColor="text1"/>
          <w:sz w:val="20"/>
          <w:szCs w:val="20"/>
          <w:lang w:val="en-GB"/>
        </w:rPr>
        <w:t xml:space="preserve"> </w:t>
      </w:r>
      <w:r w:rsidR="007247BA" w:rsidRPr="00113DE2">
        <w:rPr>
          <w:color w:val="000000" w:themeColor="text1"/>
          <w:sz w:val="20"/>
          <w:szCs w:val="20"/>
          <w:lang w:val="en-GB"/>
        </w:rPr>
        <w:t>held</w:t>
      </w:r>
      <w:r w:rsidR="00FF41A0">
        <w:rPr>
          <w:color w:val="000000" w:themeColor="text1"/>
          <w:sz w:val="20"/>
          <w:szCs w:val="20"/>
          <w:lang w:val="en-GB"/>
        </w:rPr>
        <w:t xml:space="preserve"> </w:t>
      </w:r>
      <w:r w:rsidR="0032631B">
        <w:rPr>
          <w:color w:val="000000" w:themeColor="text1"/>
          <w:sz w:val="20"/>
          <w:szCs w:val="20"/>
          <w:lang w:val="en-GB"/>
        </w:rPr>
        <w:t>a</w:t>
      </w:r>
      <w:r w:rsidR="00FF41A0">
        <w:rPr>
          <w:color w:val="000000" w:themeColor="text1"/>
          <w:sz w:val="20"/>
          <w:szCs w:val="20"/>
          <w:lang w:val="en-GB"/>
        </w:rPr>
        <w:t xml:space="preserve"> </w:t>
      </w:r>
      <w:r w:rsidR="0032631B">
        <w:rPr>
          <w:color w:val="000000" w:themeColor="text1"/>
          <w:sz w:val="20"/>
          <w:szCs w:val="20"/>
          <w:lang w:val="en-GB"/>
        </w:rPr>
        <w:t>debate</w:t>
      </w:r>
      <w:r w:rsidR="00FF41A0">
        <w:rPr>
          <w:color w:val="000000" w:themeColor="text1"/>
          <w:sz w:val="20"/>
          <w:szCs w:val="20"/>
          <w:lang w:val="en-GB"/>
        </w:rPr>
        <w:t xml:space="preserve"> </w:t>
      </w:r>
      <w:r w:rsidR="0032631B" w:rsidRPr="0032631B">
        <w:rPr>
          <w:color w:val="000000" w:themeColor="text1"/>
          <w:sz w:val="20"/>
          <w:szCs w:val="20"/>
          <w:lang w:val="en-GB"/>
        </w:rPr>
        <w:t>on</w:t>
      </w:r>
      <w:r w:rsidR="00FF41A0">
        <w:rPr>
          <w:color w:val="000000" w:themeColor="text1"/>
          <w:sz w:val="20"/>
          <w:szCs w:val="20"/>
          <w:lang w:val="en-GB"/>
        </w:rPr>
        <w:t xml:space="preserve"> </w:t>
      </w:r>
      <w:r w:rsidR="0032631B" w:rsidRPr="0032631B">
        <w:rPr>
          <w:color w:val="000000" w:themeColor="text1"/>
          <w:sz w:val="20"/>
          <w:szCs w:val="20"/>
          <w:lang w:val="en-GB"/>
        </w:rPr>
        <w:t>the</w:t>
      </w:r>
      <w:r w:rsidR="00FF41A0">
        <w:rPr>
          <w:color w:val="000000" w:themeColor="text1"/>
          <w:sz w:val="20"/>
          <w:szCs w:val="20"/>
          <w:lang w:val="en-GB"/>
        </w:rPr>
        <w:t xml:space="preserve"> </w:t>
      </w:r>
      <w:r w:rsidR="0032631B" w:rsidRPr="0032631B">
        <w:rPr>
          <w:color w:val="000000" w:themeColor="text1"/>
          <w:sz w:val="20"/>
          <w:szCs w:val="20"/>
          <w:lang w:val="en-GB"/>
        </w:rPr>
        <w:t>mitigation</w:t>
      </w:r>
      <w:r w:rsidR="00FF41A0">
        <w:rPr>
          <w:color w:val="000000" w:themeColor="text1"/>
          <w:sz w:val="20"/>
          <w:szCs w:val="20"/>
          <w:lang w:val="en-GB"/>
        </w:rPr>
        <w:t xml:space="preserve"> </w:t>
      </w:r>
      <w:r w:rsidR="0032631B" w:rsidRPr="0032631B">
        <w:rPr>
          <w:color w:val="000000" w:themeColor="text1"/>
          <w:sz w:val="20"/>
          <w:szCs w:val="20"/>
          <w:lang w:val="en-GB"/>
        </w:rPr>
        <w:t>and</w:t>
      </w:r>
      <w:r w:rsidR="00FF41A0">
        <w:rPr>
          <w:color w:val="000000" w:themeColor="text1"/>
          <w:sz w:val="20"/>
          <w:szCs w:val="20"/>
          <w:lang w:val="en-GB"/>
        </w:rPr>
        <w:t xml:space="preserve"> </w:t>
      </w:r>
      <w:r w:rsidR="0032631B" w:rsidRPr="0032631B">
        <w:rPr>
          <w:color w:val="000000" w:themeColor="text1"/>
          <w:sz w:val="20"/>
          <w:szCs w:val="20"/>
          <w:lang w:val="en-GB"/>
        </w:rPr>
        <w:t>countering</w:t>
      </w:r>
      <w:r w:rsidR="00FF41A0">
        <w:rPr>
          <w:color w:val="000000" w:themeColor="text1"/>
          <w:sz w:val="20"/>
          <w:szCs w:val="20"/>
          <w:lang w:val="en-GB"/>
        </w:rPr>
        <w:t xml:space="preserve"> </w:t>
      </w:r>
      <w:r w:rsidR="0032631B" w:rsidRPr="0032631B">
        <w:rPr>
          <w:color w:val="000000" w:themeColor="text1"/>
          <w:sz w:val="20"/>
          <w:szCs w:val="20"/>
          <w:lang w:val="en-GB"/>
        </w:rPr>
        <w:t>of</w:t>
      </w:r>
      <w:r w:rsidR="00FF41A0">
        <w:rPr>
          <w:color w:val="000000" w:themeColor="text1"/>
          <w:sz w:val="20"/>
          <w:szCs w:val="20"/>
          <w:lang w:val="en-GB"/>
        </w:rPr>
        <w:t xml:space="preserve"> </w:t>
      </w:r>
      <w:r w:rsidR="0032631B" w:rsidRPr="0032631B">
        <w:rPr>
          <w:color w:val="000000" w:themeColor="text1"/>
          <w:sz w:val="20"/>
          <w:szCs w:val="20"/>
          <w:lang w:val="en-GB"/>
        </w:rPr>
        <w:t>rising</w:t>
      </w:r>
      <w:r w:rsidR="00FF41A0">
        <w:rPr>
          <w:color w:val="000000" w:themeColor="text1"/>
          <w:sz w:val="20"/>
          <w:szCs w:val="20"/>
          <w:lang w:val="en-GB"/>
        </w:rPr>
        <w:t xml:space="preserve"> </w:t>
      </w:r>
      <w:r w:rsidR="0032631B" w:rsidRPr="0032631B">
        <w:rPr>
          <w:color w:val="000000" w:themeColor="text1"/>
          <w:sz w:val="20"/>
          <w:szCs w:val="20"/>
          <w:lang w:val="en-GB"/>
        </w:rPr>
        <w:t>nationalist</w:t>
      </w:r>
      <w:r w:rsidR="00FF41A0">
        <w:rPr>
          <w:color w:val="000000" w:themeColor="text1"/>
          <w:sz w:val="20"/>
          <w:szCs w:val="20"/>
          <w:lang w:val="en-GB"/>
        </w:rPr>
        <w:t xml:space="preserve"> </w:t>
      </w:r>
      <w:r w:rsidR="0032631B" w:rsidRPr="0032631B">
        <w:rPr>
          <w:color w:val="000000" w:themeColor="text1"/>
          <w:sz w:val="20"/>
          <w:szCs w:val="20"/>
          <w:lang w:val="en-GB"/>
        </w:rPr>
        <w:t>populism</w:t>
      </w:r>
      <w:r w:rsidR="00FF41A0">
        <w:rPr>
          <w:color w:val="000000" w:themeColor="text1"/>
          <w:sz w:val="20"/>
          <w:szCs w:val="20"/>
          <w:lang w:val="en-GB"/>
        </w:rPr>
        <w:t xml:space="preserve"> </w:t>
      </w:r>
      <w:r w:rsidR="0032631B" w:rsidRPr="0032631B">
        <w:rPr>
          <w:color w:val="000000" w:themeColor="text1"/>
          <w:sz w:val="20"/>
          <w:szCs w:val="20"/>
          <w:lang w:val="en-GB"/>
        </w:rPr>
        <w:t>and</w:t>
      </w:r>
      <w:r w:rsidR="00FF41A0">
        <w:rPr>
          <w:color w:val="000000" w:themeColor="text1"/>
          <w:sz w:val="20"/>
          <w:szCs w:val="20"/>
          <w:lang w:val="en-GB"/>
        </w:rPr>
        <w:t xml:space="preserve"> </w:t>
      </w:r>
      <w:r w:rsidR="0032631B" w:rsidRPr="0032631B">
        <w:rPr>
          <w:color w:val="000000" w:themeColor="text1"/>
          <w:sz w:val="20"/>
          <w:szCs w:val="20"/>
          <w:lang w:val="en-GB"/>
        </w:rPr>
        <w:t>extreme</w:t>
      </w:r>
      <w:r w:rsidR="00FF41A0">
        <w:rPr>
          <w:color w:val="000000" w:themeColor="text1"/>
          <w:sz w:val="20"/>
          <w:szCs w:val="20"/>
          <w:lang w:val="en-GB"/>
        </w:rPr>
        <w:t xml:space="preserve"> </w:t>
      </w:r>
      <w:r w:rsidR="0032631B" w:rsidRPr="0032631B">
        <w:rPr>
          <w:color w:val="000000" w:themeColor="text1"/>
          <w:sz w:val="20"/>
          <w:szCs w:val="20"/>
          <w:lang w:val="en-GB"/>
        </w:rPr>
        <w:t>supremacist</w:t>
      </w:r>
      <w:r w:rsidR="00FF41A0">
        <w:rPr>
          <w:color w:val="000000" w:themeColor="text1"/>
          <w:sz w:val="20"/>
          <w:szCs w:val="20"/>
          <w:lang w:val="en-GB"/>
        </w:rPr>
        <w:t xml:space="preserve"> </w:t>
      </w:r>
      <w:r w:rsidR="0032631B" w:rsidRPr="0032631B">
        <w:rPr>
          <w:color w:val="000000" w:themeColor="text1"/>
          <w:sz w:val="20"/>
          <w:szCs w:val="20"/>
          <w:lang w:val="en-GB"/>
        </w:rPr>
        <w:t>ideologies.</w:t>
      </w:r>
    </w:p>
    <w:p w14:paraId="455B08B1" w14:textId="50381665" w:rsidR="009769EB" w:rsidRPr="00113DE2" w:rsidRDefault="00CF15B1" w:rsidP="009769EB">
      <w:pPr>
        <w:pStyle w:val="SingleTxtG"/>
        <w:rPr>
          <w:color w:val="000000" w:themeColor="text1"/>
          <w:sz w:val="20"/>
          <w:szCs w:val="20"/>
          <w:lang w:val="en-GB"/>
        </w:rPr>
      </w:pPr>
      <w:r>
        <w:rPr>
          <w:color w:val="000000" w:themeColor="text1"/>
          <w:sz w:val="20"/>
          <w:szCs w:val="20"/>
          <w:lang w:val="en-GB"/>
        </w:rPr>
        <w:t>956</w:t>
      </w:r>
      <w:r w:rsidR="009769EB" w:rsidRPr="00113DE2">
        <w:rPr>
          <w:color w:val="000000" w:themeColor="text1"/>
          <w:sz w:val="20"/>
          <w:szCs w:val="20"/>
          <w:lang w:val="en-GB"/>
        </w:rPr>
        <w:t>.</w:t>
      </w:r>
      <w:r w:rsidR="009769EB" w:rsidRPr="00113DE2">
        <w:rPr>
          <w:color w:val="000000" w:themeColor="text1"/>
          <w:sz w:val="20"/>
          <w:szCs w:val="20"/>
          <w:lang w:val="en-GB"/>
        </w:rPr>
        <w:tab/>
        <w:t>At</w:t>
      </w:r>
      <w:r w:rsidR="00FF41A0">
        <w:rPr>
          <w:color w:val="000000" w:themeColor="text1"/>
          <w:sz w:val="20"/>
          <w:szCs w:val="20"/>
          <w:lang w:val="en-GB"/>
        </w:rPr>
        <w:t xml:space="preserve"> </w:t>
      </w:r>
      <w:r w:rsidR="009769EB" w:rsidRPr="00113DE2">
        <w:rPr>
          <w:color w:val="000000" w:themeColor="text1"/>
          <w:sz w:val="20"/>
          <w:szCs w:val="20"/>
          <w:lang w:val="en-GB"/>
        </w:rPr>
        <w:t>the</w:t>
      </w:r>
      <w:r w:rsidR="00FF41A0">
        <w:rPr>
          <w:color w:val="000000" w:themeColor="text1"/>
          <w:sz w:val="20"/>
          <w:szCs w:val="20"/>
          <w:lang w:val="en-GB"/>
        </w:rPr>
        <w:t xml:space="preserve"> </w:t>
      </w:r>
      <w:r w:rsidR="009769EB" w:rsidRPr="00113DE2">
        <w:rPr>
          <w:color w:val="000000" w:themeColor="text1"/>
          <w:sz w:val="20"/>
          <w:szCs w:val="20"/>
          <w:lang w:val="en-GB"/>
        </w:rPr>
        <w:t>same</w:t>
      </w:r>
      <w:r w:rsidR="00FF41A0">
        <w:rPr>
          <w:color w:val="000000" w:themeColor="text1"/>
          <w:sz w:val="20"/>
          <w:szCs w:val="20"/>
          <w:lang w:val="en-GB"/>
        </w:rPr>
        <w:t xml:space="preserve"> </w:t>
      </w:r>
      <w:r w:rsidR="009769EB" w:rsidRPr="00113DE2">
        <w:rPr>
          <w:color w:val="000000" w:themeColor="text1"/>
          <w:sz w:val="20"/>
          <w:szCs w:val="20"/>
          <w:lang w:val="en-GB"/>
        </w:rPr>
        <w:t>meeting,</w:t>
      </w:r>
      <w:r w:rsidR="00FF41A0">
        <w:rPr>
          <w:color w:val="000000" w:themeColor="text1"/>
          <w:sz w:val="20"/>
          <w:szCs w:val="20"/>
          <w:lang w:val="en-GB"/>
        </w:rPr>
        <w:t xml:space="preserve"> </w:t>
      </w:r>
      <w:r w:rsidR="009769EB" w:rsidRPr="00113DE2">
        <w:rPr>
          <w:color w:val="000000" w:themeColor="text1"/>
          <w:sz w:val="20"/>
          <w:szCs w:val="20"/>
          <w:lang w:val="en-GB"/>
        </w:rPr>
        <w:t>the</w:t>
      </w:r>
      <w:r w:rsidR="00FF41A0">
        <w:rPr>
          <w:color w:val="000000" w:themeColor="text1"/>
          <w:sz w:val="20"/>
          <w:szCs w:val="20"/>
          <w:lang w:val="en-GB"/>
        </w:rPr>
        <w:t xml:space="preserve"> </w:t>
      </w:r>
      <w:r w:rsidR="009769EB">
        <w:rPr>
          <w:color w:val="000000" w:themeColor="text1"/>
          <w:sz w:val="20"/>
          <w:szCs w:val="20"/>
          <w:lang w:val="en-GB"/>
        </w:rPr>
        <w:t>representative</w:t>
      </w:r>
      <w:r w:rsidR="00FF41A0">
        <w:rPr>
          <w:color w:val="000000" w:themeColor="text1"/>
          <w:sz w:val="20"/>
          <w:szCs w:val="20"/>
          <w:lang w:val="en-GB"/>
        </w:rPr>
        <w:t xml:space="preserve"> </w:t>
      </w:r>
      <w:r w:rsidR="009769EB">
        <w:rPr>
          <w:color w:val="000000" w:themeColor="text1"/>
          <w:sz w:val="20"/>
          <w:szCs w:val="20"/>
          <w:lang w:val="en-GB"/>
        </w:rPr>
        <w:t>of</w:t>
      </w:r>
      <w:r w:rsidR="00FF41A0">
        <w:rPr>
          <w:color w:val="000000" w:themeColor="text1"/>
          <w:sz w:val="20"/>
          <w:szCs w:val="20"/>
          <w:lang w:val="en-GB"/>
        </w:rPr>
        <w:t xml:space="preserve"> </w:t>
      </w:r>
      <w:r w:rsidR="009769EB">
        <w:rPr>
          <w:color w:val="000000" w:themeColor="text1"/>
          <w:sz w:val="20"/>
          <w:szCs w:val="20"/>
          <w:lang w:val="en-GB"/>
        </w:rPr>
        <w:t>New</w:t>
      </w:r>
      <w:r w:rsidR="00FF41A0">
        <w:rPr>
          <w:color w:val="000000" w:themeColor="text1"/>
          <w:sz w:val="20"/>
          <w:szCs w:val="20"/>
          <w:lang w:val="en-GB"/>
        </w:rPr>
        <w:t xml:space="preserve"> </w:t>
      </w:r>
      <w:r w:rsidR="009769EB">
        <w:rPr>
          <w:color w:val="000000" w:themeColor="text1"/>
          <w:sz w:val="20"/>
          <w:szCs w:val="20"/>
          <w:lang w:val="en-GB"/>
        </w:rPr>
        <w:t>Zealand</w:t>
      </w:r>
      <w:r w:rsidR="00FF41A0">
        <w:rPr>
          <w:color w:val="000000" w:themeColor="text1"/>
          <w:sz w:val="20"/>
          <w:szCs w:val="20"/>
          <w:lang w:val="en-GB"/>
        </w:rPr>
        <w:t xml:space="preserve"> </w:t>
      </w:r>
      <w:r w:rsidR="009769EB">
        <w:rPr>
          <w:color w:val="000000" w:themeColor="text1"/>
          <w:sz w:val="20"/>
          <w:szCs w:val="20"/>
          <w:lang w:val="en-GB"/>
        </w:rPr>
        <w:t>made</w:t>
      </w:r>
      <w:r w:rsidR="00FF41A0">
        <w:rPr>
          <w:color w:val="000000" w:themeColor="text1"/>
          <w:sz w:val="20"/>
          <w:szCs w:val="20"/>
          <w:lang w:val="en-GB"/>
        </w:rPr>
        <w:t xml:space="preserve"> </w:t>
      </w:r>
      <w:r w:rsidR="009769EB">
        <w:rPr>
          <w:color w:val="000000" w:themeColor="text1"/>
          <w:sz w:val="20"/>
          <w:szCs w:val="20"/>
          <w:lang w:val="en-GB"/>
        </w:rPr>
        <w:t>a</w:t>
      </w:r>
      <w:r w:rsidR="00FF41A0">
        <w:rPr>
          <w:color w:val="000000" w:themeColor="text1"/>
          <w:sz w:val="20"/>
          <w:szCs w:val="20"/>
          <w:lang w:val="en-GB"/>
        </w:rPr>
        <w:t xml:space="preserve"> </w:t>
      </w:r>
      <w:r w:rsidR="009769EB">
        <w:rPr>
          <w:color w:val="000000" w:themeColor="text1"/>
          <w:sz w:val="20"/>
          <w:szCs w:val="20"/>
          <w:lang w:val="en-GB"/>
        </w:rPr>
        <w:t>statement</w:t>
      </w:r>
      <w:r w:rsidR="009769EB" w:rsidRPr="00113DE2">
        <w:rPr>
          <w:color w:val="000000" w:themeColor="text1"/>
          <w:sz w:val="20"/>
          <w:szCs w:val="20"/>
          <w:lang w:val="en-GB"/>
        </w:rPr>
        <w:t>.</w:t>
      </w:r>
      <w:r w:rsidR="00FF41A0">
        <w:rPr>
          <w:color w:val="000000" w:themeColor="text1"/>
          <w:sz w:val="20"/>
          <w:szCs w:val="20"/>
          <w:lang w:val="en-GB"/>
        </w:rPr>
        <w:t xml:space="preserve"> </w:t>
      </w:r>
    </w:p>
    <w:p w14:paraId="3D3A4550" w14:textId="71339A6B" w:rsidR="00D41A5F" w:rsidRPr="00113DE2" w:rsidRDefault="00CF15B1" w:rsidP="00D41A5F">
      <w:pPr>
        <w:pStyle w:val="SingleTxtG"/>
        <w:rPr>
          <w:color w:val="000000" w:themeColor="text1"/>
          <w:sz w:val="20"/>
          <w:szCs w:val="20"/>
          <w:lang w:val="en-GB"/>
        </w:rPr>
      </w:pPr>
      <w:r>
        <w:rPr>
          <w:color w:val="000000" w:themeColor="text1"/>
          <w:sz w:val="20"/>
          <w:szCs w:val="20"/>
          <w:lang w:val="en-GB"/>
        </w:rPr>
        <w:t>957</w:t>
      </w:r>
      <w:r w:rsidR="00D41A5F" w:rsidRPr="00113DE2">
        <w:rPr>
          <w:color w:val="000000" w:themeColor="text1"/>
          <w:sz w:val="20"/>
          <w:szCs w:val="20"/>
          <w:lang w:val="en-GB"/>
        </w:rPr>
        <w:t>.</w:t>
      </w:r>
      <w:r w:rsidR="00D41A5F" w:rsidRPr="00113DE2">
        <w:rPr>
          <w:color w:val="000000" w:themeColor="text1"/>
          <w:sz w:val="20"/>
          <w:szCs w:val="20"/>
          <w:lang w:val="en-GB"/>
        </w:rPr>
        <w:tab/>
      </w:r>
      <w:r w:rsidR="009769EB" w:rsidRPr="00113DE2">
        <w:rPr>
          <w:color w:val="000000" w:themeColor="text1"/>
          <w:sz w:val="20"/>
          <w:szCs w:val="20"/>
          <w:lang w:val="en-GB"/>
        </w:rPr>
        <w:t>Also</w:t>
      </w:r>
      <w:r w:rsidR="00FF41A0">
        <w:rPr>
          <w:color w:val="000000" w:themeColor="text1"/>
          <w:sz w:val="20"/>
          <w:szCs w:val="20"/>
          <w:lang w:val="en-GB"/>
        </w:rPr>
        <w:t xml:space="preserve"> </w:t>
      </w:r>
      <w:r w:rsidR="009769EB" w:rsidRPr="00113DE2">
        <w:rPr>
          <w:color w:val="000000" w:themeColor="text1"/>
          <w:sz w:val="20"/>
          <w:szCs w:val="20"/>
          <w:lang w:val="en-GB"/>
        </w:rPr>
        <w:t>at</w:t>
      </w:r>
      <w:r w:rsidR="00FF41A0">
        <w:rPr>
          <w:color w:val="000000" w:themeColor="text1"/>
          <w:sz w:val="20"/>
          <w:szCs w:val="20"/>
          <w:lang w:val="en-GB"/>
        </w:rPr>
        <w:t xml:space="preserve"> </w:t>
      </w:r>
      <w:r w:rsidR="009769EB" w:rsidRPr="00113DE2">
        <w:rPr>
          <w:color w:val="000000" w:themeColor="text1"/>
          <w:sz w:val="20"/>
          <w:szCs w:val="20"/>
          <w:lang w:val="en-GB"/>
        </w:rPr>
        <w:t>the</w:t>
      </w:r>
      <w:r w:rsidR="00FF41A0">
        <w:rPr>
          <w:color w:val="000000" w:themeColor="text1"/>
          <w:sz w:val="20"/>
          <w:szCs w:val="20"/>
          <w:lang w:val="en-GB"/>
        </w:rPr>
        <w:t xml:space="preserve"> </w:t>
      </w:r>
      <w:r w:rsidR="009769EB" w:rsidRPr="00113DE2">
        <w:rPr>
          <w:color w:val="000000" w:themeColor="text1"/>
          <w:sz w:val="20"/>
          <w:szCs w:val="20"/>
          <w:lang w:val="en-GB"/>
        </w:rPr>
        <w:t>same</w:t>
      </w:r>
      <w:r w:rsidR="00FF41A0">
        <w:rPr>
          <w:color w:val="000000" w:themeColor="text1"/>
          <w:sz w:val="20"/>
          <w:szCs w:val="20"/>
          <w:lang w:val="en-GB"/>
        </w:rPr>
        <w:t xml:space="preserve"> </w:t>
      </w:r>
      <w:r w:rsidR="009769EB" w:rsidRPr="00113DE2">
        <w:rPr>
          <w:color w:val="000000" w:themeColor="text1"/>
          <w:sz w:val="20"/>
          <w:szCs w:val="20"/>
          <w:lang w:val="en-GB"/>
        </w:rPr>
        <w:t>meeting</w:t>
      </w:r>
      <w:r w:rsidR="00D41A5F" w:rsidRPr="00113DE2">
        <w:rPr>
          <w:color w:val="000000" w:themeColor="text1"/>
          <w:sz w:val="20"/>
          <w:szCs w:val="20"/>
          <w:lang w:val="en-GB"/>
        </w:rPr>
        <w:t>,</w:t>
      </w:r>
      <w:r w:rsidR="00FF41A0">
        <w:rPr>
          <w:color w:val="000000" w:themeColor="text1"/>
          <w:sz w:val="20"/>
          <w:szCs w:val="20"/>
          <w:lang w:val="en-GB"/>
        </w:rPr>
        <w:t xml:space="preserve"> </w:t>
      </w:r>
      <w:r w:rsidR="00D41A5F" w:rsidRPr="00113DE2">
        <w:rPr>
          <w:color w:val="000000" w:themeColor="text1"/>
          <w:sz w:val="20"/>
          <w:szCs w:val="20"/>
          <w:lang w:val="en-GB"/>
        </w:rPr>
        <w:t>the</w:t>
      </w:r>
      <w:r w:rsidR="00FF41A0">
        <w:rPr>
          <w:color w:val="000000" w:themeColor="text1"/>
          <w:sz w:val="20"/>
          <w:szCs w:val="20"/>
          <w:lang w:val="en-GB"/>
        </w:rPr>
        <w:t xml:space="preserve"> </w:t>
      </w:r>
      <w:r w:rsidR="0032631B" w:rsidRPr="0032631B">
        <w:rPr>
          <w:color w:val="000000" w:themeColor="text1"/>
          <w:sz w:val="20"/>
          <w:szCs w:val="20"/>
          <w:lang w:val="en-GB"/>
        </w:rPr>
        <w:t>United</w:t>
      </w:r>
      <w:r w:rsidR="00FF41A0">
        <w:rPr>
          <w:color w:val="000000" w:themeColor="text1"/>
          <w:sz w:val="20"/>
          <w:szCs w:val="20"/>
          <w:lang w:val="en-GB"/>
        </w:rPr>
        <w:t xml:space="preserve"> </w:t>
      </w:r>
      <w:r w:rsidR="0032631B" w:rsidRPr="0032631B">
        <w:rPr>
          <w:color w:val="000000" w:themeColor="text1"/>
          <w:sz w:val="20"/>
          <w:szCs w:val="20"/>
          <w:lang w:val="en-GB"/>
        </w:rPr>
        <w:t>Nations</w:t>
      </w:r>
      <w:r w:rsidR="00FF41A0">
        <w:rPr>
          <w:color w:val="000000" w:themeColor="text1"/>
          <w:sz w:val="20"/>
          <w:szCs w:val="20"/>
          <w:lang w:val="en-GB"/>
        </w:rPr>
        <w:t xml:space="preserve"> </w:t>
      </w:r>
      <w:r w:rsidR="0032631B" w:rsidRPr="0032631B">
        <w:rPr>
          <w:color w:val="000000" w:themeColor="text1"/>
          <w:sz w:val="20"/>
          <w:szCs w:val="20"/>
          <w:lang w:val="en-GB"/>
        </w:rPr>
        <w:t>High</w:t>
      </w:r>
      <w:r w:rsidR="00FF41A0">
        <w:rPr>
          <w:color w:val="000000" w:themeColor="text1"/>
          <w:sz w:val="20"/>
          <w:szCs w:val="20"/>
          <w:lang w:val="en-GB"/>
        </w:rPr>
        <w:t xml:space="preserve"> </w:t>
      </w:r>
      <w:r w:rsidR="0032631B" w:rsidRPr="0032631B">
        <w:rPr>
          <w:color w:val="000000" w:themeColor="text1"/>
          <w:sz w:val="20"/>
          <w:szCs w:val="20"/>
          <w:lang w:val="en-GB"/>
        </w:rPr>
        <w:t>Commissioner</w:t>
      </w:r>
      <w:r w:rsidR="00FF41A0">
        <w:rPr>
          <w:color w:val="000000" w:themeColor="text1"/>
          <w:sz w:val="20"/>
          <w:szCs w:val="20"/>
          <w:lang w:val="en-GB"/>
        </w:rPr>
        <w:t xml:space="preserve"> </w:t>
      </w:r>
      <w:r w:rsidR="0032631B" w:rsidRPr="0032631B">
        <w:rPr>
          <w:color w:val="000000" w:themeColor="text1"/>
          <w:sz w:val="20"/>
          <w:szCs w:val="20"/>
          <w:lang w:val="en-GB"/>
        </w:rPr>
        <w:t>for</w:t>
      </w:r>
      <w:r w:rsidR="00FF41A0">
        <w:rPr>
          <w:color w:val="000000" w:themeColor="text1"/>
          <w:sz w:val="20"/>
          <w:szCs w:val="20"/>
          <w:lang w:val="en-GB"/>
        </w:rPr>
        <w:t xml:space="preserve"> </w:t>
      </w:r>
      <w:r w:rsidR="0032631B" w:rsidRPr="0032631B">
        <w:rPr>
          <w:color w:val="000000" w:themeColor="text1"/>
          <w:sz w:val="20"/>
          <w:szCs w:val="20"/>
          <w:lang w:val="en-GB"/>
        </w:rPr>
        <w:t>Human</w:t>
      </w:r>
      <w:r w:rsidR="00FF41A0">
        <w:rPr>
          <w:color w:val="000000" w:themeColor="text1"/>
          <w:sz w:val="20"/>
          <w:szCs w:val="20"/>
          <w:lang w:val="en-GB"/>
        </w:rPr>
        <w:t xml:space="preserve"> </w:t>
      </w:r>
      <w:r w:rsidR="0032631B" w:rsidRPr="0032631B">
        <w:rPr>
          <w:color w:val="000000" w:themeColor="text1"/>
          <w:sz w:val="20"/>
          <w:szCs w:val="20"/>
          <w:lang w:val="en-GB"/>
        </w:rPr>
        <w:t>Rights</w:t>
      </w:r>
      <w:r w:rsidR="00FF41A0">
        <w:rPr>
          <w:color w:val="000000" w:themeColor="text1"/>
          <w:sz w:val="20"/>
          <w:szCs w:val="20"/>
          <w:lang w:val="en-GB"/>
        </w:rPr>
        <w:t xml:space="preserve"> </w:t>
      </w:r>
      <w:r w:rsidR="00D41A5F" w:rsidRPr="00113DE2">
        <w:rPr>
          <w:color w:val="000000" w:themeColor="text1"/>
          <w:sz w:val="20"/>
          <w:szCs w:val="20"/>
          <w:lang w:val="en-GB"/>
        </w:rPr>
        <w:t>made</w:t>
      </w:r>
      <w:r w:rsidR="00FF41A0">
        <w:rPr>
          <w:color w:val="000000" w:themeColor="text1"/>
          <w:sz w:val="20"/>
          <w:szCs w:val="20"/>
          <w:lang w:val="en-GB"/>
        </w:rPr>
        <w:t xml:space="preserve"> </w:t>
      </w:r>
      <w:r w:rsidR="00D41A5F" w:rsidRPr="00113DE2">
        <w:rPr>
          <w:color w:val="000000" w:themeColor="text1"/>
          <w:sz w:val="20"/>
          <w:szCs w:val="20"/>
          <w:lang w:val="en-GB"/>
        </w:rPr>
        <w:t>an</w:t>
      </w:r>
      <w:r w:rsidR="00FF41A0">
        <w:rPr>
          <w:color w:val="000000" w:themeColor="text1"/>
          <w:sz w:val="20"/>
          <w:szCs w:val="20"/>
          <w:lang w:val="en-GB"/>
        </w:rPr>
        <w:t xml:space="preserve"> </w:t>
      </w:r>
      <w:r w:rsidR="00D41A5F" w:rsidRPr="00113DE2">
        <w:rPr>
          <w:color w:val="000000" w:themeColor="text1"/>
          <w:sz w:val="20"/>
          <w:szCs w:val="20"/>
          <w:lang w:val="en-GB"/>
        </w:rPr>
        <w:t>opening</w:t>
      </w:r>
      <w:r w:rsidR="00FF41A0">
        <w:rPr>
          <w:color w:val="000000" w:themeColor="text1"/>
          <w:sz w:val="20"/>
          <w:szCs w:val="20"/>
          <w:lang w:val="en-GB"/>
        </w:rPr>
        <w:t xml:space="preserve"> </w:t>
      </w:r>
      <w:r w:rsidR="00D41A5F" w:rsidRPr="00113DE2">
        <w:rPr>
          <w:color w:val="000000" w:themeColor="text1"/>
          <w:sz w:val="20"/>
          <w:szCs w:val="20"/>
          <w:lang w:val="en-GB"/>
        </w:rPr>
        <w:t>statement</w:t>
      </w:r>
      <w:r w:rsidR="00FF41A0">
        <w:rPr>
          <w:color w:val="000000" w:themeColor="text1"/>
          <w:sz w:val="20"/>
          <w:szCs w:val="20"/>
          <w:lang w:val="en-GB"/>
        </w:rPr>
        <w:t xml:space="preserve"> </w:t>
      </w:r>
      <w:r w:rsidR="00D41A5F" w:rsidRPr="00113DE2">
        <w:rPr>
          <w:color w:val="000000" w:themeColor="text1"/>
          <w:sz w:val="20"/>
          <w:szCs w:val="20"/>
          <w:lang w:val="en-GB"/>
        </w:rPr>
        <w:t>for</w:t>
      </w:r>
      <w:r w:rsidR="00FF41A0">
        <w:rPr>
          <w:color w:val="000000" w:themeColor="text1"/>
          <w:sz w:val="20"/>
          <w:szCs w:val="20"/>
          <w:lang w:val="en-GB"/>
        </w:rPr>
        <w:t xml:space="preserve"> </w:t>
      </w:r>
      <w:r w:rsidR="00D41A5F" w:rsidRPr="00113DE2">
        <w:rPr>
          <w:color w:val="000000" w:themeColor="text1"/>
          <w:sz w:val="20"/>
          <w:szCs w:val="20"/>
          <w:lang w:val="en-GB"/>
        </w:rPr>
        <w:t>the</w:t>
      </w:r>
      <w:r w:rsidR="00FF41A0">
        <w:rPr>
          <w:color w:val="000000" w:themeColor="text1"/>
          <w:sz w:val="20"/>
          <w:szCs w:val="20"/>
          <w:lang w:val="en-GB"/>
        </w:rPr>
        <w:t xml:space="preserve"> </w:t>
      </w:r>
      <w:r w:rsidR="00D41A5F" w:rsidRPr="00113DE2">
        <w:rPr>
          <w:color w:val="000000" w:themeColor="text1"/>
          <w:sz w:val="20"/>
          <w:szCs w:val="20"/>
          <w:lang w:val="en-GB"/>
        </w:rPr>
        <w:t>debate.</w:t>
      </w:r>
      <w:r w:rsidR="00FF41A0">
        <w:rPr>
          <w:color w:val="000000" w:themeColor="text1"/>
          <w:sz w:val="20"/>
          <w:szCs w:val="20"/>
          <w:lang w:val="en-GB"/>
        </w:rPr>
        <w:t xml:space="preserve"> </w:t>
      </w:r>
    </w:p>
    <w:p w14:paraId="4DE8733B" w14:textId="6123A2CA" w:rsidR="007247BA" w:rsidRPr="00113DE2" w:rsidRDefault="00CF15B1" w:rsidP="007247BA">
      <w:pPr>
        <w:pStyle w:val="SingleTxtG"/>
        <w:rPr>
          <w:color w:val="000000" w:themeColor="text1"/>
          <w:sz w:val="20"/>
          <w:szCs w:val="20"/>
          <w:lang w:val="en-GB"/>
        </w:rPr>
      </w:pPr>
      <w:r>
        <w:rPr>
          <w:color w:val="000000" w:themeColor="text1"/>
          <w:sz w:val="20"/>
          <w:szCs w:val="20"/>
          <w:lang w:val="en-GB"/>
        </w:rPr>
        <w:t>958</w:t>
      </w:r>
      <w:r w:rsidR="007247BA" w:rsidRPr="00113DE2">
        <w:rPr>
          <w:color w:val="000000" w:themeColor="text1"/>
          <w:sz w:val="20"/>
          <w:szCs w:val="20"/>
          <w:lang w:val="en-GB"/>
        </w:rPr>
        <w:t>.</w:t>
      </w:r>
      <w:r w:rsidR="007247BA" w:rsidRPr="00113DE2">
        <w:rPr>
          <w:color w:val="000000" w:themeColor="text1"/>
          <w:sz w:val="20"/>
          <w:szCs w:val="20"/>
          <w:lang w:val="en-GB"/>
        </w:rPr>
        <w:tab/>
      </w:r>
      <w:r w:rsidR="009769EB" w:rsidRPr="00113DE2">
        <w:rPr>
          <w:color w:val="000000" w:themeColor="text1"/>
          <w:sz w:val="20"/>
          <w:szCs w:val="20"/>
          <w:lang w:val="en-GB"/>
        </w:rPr>
        <w:t>At</w:t>
      </w:r>
      <w:r w:rsidR="00FF41A0">
        <w:rPr>
          <w:color w:val="000000" w:themeColor="text1"/>
          <w:sz w:val="20"/>
          <w:szCs w:val="20"/>
          <w:lang w:val="en-GB"/>
        </w:rPr>
        <w:t xml:space="preserve"> </w:t>
      </w:r>
      <w:r w:rsidR="009769EB" w:rsidRPr="00113DE2">
        <w:rPr>
          <w:color w:val="000000" w:themeColor="text1"/>
          <w:sz w:val="20"/>
          <w:szCs w:val="20"/>
          <w:lang w:val="en-GB"/>
        </w:rPr>
        <w:t>the</w:t>
      </w:r>
      <w:r w:rsidR="00FF41A0">
        <w:rPr>
          <w:color w:val="000000" w:themeColor="text1"/>
          <w:sz w:val="20"/>
          <w:szCs w:val="20"/>
          <w:lang w:val="en-GB"/>
        </w:rPr>
        <w:t xml:space="preserve"> </w:t>
      </w:r>
      <w:r w:rsidR="009769EB" w:rsidRPr="00113DE2">
        <w:rPr>
          <w:color w:val="000000" w:themeColor="text1"/>
          <w:sz w:val="20"/>
          <w:szCs w:val="20"/>
          <w:lang w:val="en-GB"/>
        </w:rPr>
        <w:t>same</w:t>
      </w:r>
      <w:r w:rsidR="00FF41A0">
        <w:rPr>
          <w:color w:val="000000" w:themeColor="text1"/>
          <w:sz w:val="20"/>
          <w:szCs w:val="20"/>
          <w:lang w:val="en-GB"/>
        </w:rPr>
        <w:t xml:space="preserve"> </w:t>
      </w:r>
      <w:r w:rsidR="009769EB" w:rsidRPr="00113DE2">
        <w:rPr>
          <w:color w:val="000000" w:themeColor="text1"/>
          <w:sz w:val="20"/>
          <w:szCs w:val="20"/>
          <w:lang w:val="en-GB"/>
        </w:rPr>
        <w:t>meeting</w:t>
      </w:r>
      <w:r w:rsidR="007247BA" w:rsidRPr="00113DE2">
        <w:rPr>
          <w:color w:val="000000" w:themeColor="text1"/>
          <w:sz w:val="20"/>
          <w:szCs w:val="20"/>
          <w:lang w:val="en-GB"/>
        </w:rPr>
        <w:t>,</w:t>
      </w:r>
      <w:r w:rsidR="00FF41A0">
        <w:rPr>
          <w:color w:val="000000" w:themeColor="text1"/>
          <w:sz w:val="20"/>
          <w:szCs w:val="20"/>
          <w:lang w:val="en-GB"/>
        </w:rPr>
        <w:t xml:space="preserve"> </w:t>
      </w:r>
      <w:r w:rsidR="007247BA" w:rsidRPr="00113DE2">
        <w:rPr>
          <w:color w:val="000000" w:themeColor="text1"/>
          <w:sz w:val="20"/>
          <w:szCs w:val="20"/>
          <w:lang w:val="en-GB"/>
        </w:rPr>
        <w:t>the</w:t>
      </w:r>
      <w:r w:rsidR="00FF41A0">
        <w:rPr>
          <w:color w:val="000000" w:themeColor="text1"/>
          <w:sz w:val="20"/>
          <w:szCs w:val="20"/>
          <w:lang w:val="en-GB"/>
        </w:rPr>
        <w:t xml:space="preserve"> </w:t>
      </w:r>
      <w:r w:rsidR="007247BA" w:rsidRPr="00113DE2">
        <w:rPr>
          <w:color w:val="000000" w:themeColor="text1"/>
          <w:sz w:val="20"/>
          <w:szCs w:val="20"/>
          <w:lang w:val="en-GB"/>
        </w:rPr>
        <w:t>following</w:t>
      </w:r>
      <w:r w:rsidR="00FF41A0">
        <w:rPr>
          <w:color w:val="000000" w:themeColor="text1"/>
          <w:sz w:val="20"/>
          <w:szCs w:val="20"/>
          <w:lang w:val="en-GB"/>
        </w:rPr>
        <w:t xml:space="preserve"> </w:t>
      </w:r>
      <w:r w:rsidR="007247BA" w:rsidRPr="00113DE2">
        <w:rPr>
          <w:color w:val="000000" w:themeColor="text1"/>
          <w:sz w:val="20"/>
          <w:szCs w:val="20"/>
          <w:lang w:val="en-GB"/>
        </w:rPr>
        <w:t>panellists</w:t>
      </w:r>
      <w:r w:rsidR="00FF41A0">
        <w:rPr>
          <w:color w:val="000000" w:themeColor="text1"/>
          <w:sz w:val="20"/>
          <w:szCs w:val="20"/>
          <w:lang w:val="en-GB"/>
        </w:rPr>
        <w:t xml:space="preserve"> </w:t>
      </w:r>
      <w:r w:rsidR="007247BA" w:rsidRPr="00113DE2">
        <w:rPr>
          <w:color w:val="000000" w:themeColor="text1"/>
          <w:sz w:val="20"/>
          <w:szCs w:val="20"/>
          <w:lang w:val="en-GB"/>
        </w:rPr>
        <w:t>made</w:t>
      </w:r>
      <w:r w:rsidR="00FF41A0">
        <w:rPr>
          <w:color w:val="000000" w:themeColor="text1"/>
          <w:sz w:val="20"/>
          <w:szCs w:val="20"/>
          <w:lang w:val="en-GB"/>
        </w:rPr>
        <w:t xml:space="preserve"> </w:t>
      </w:r>
      <w:r w:rsidR="007247BA" w:rsidRPr="00113DE2">
        <w:rPr>
          <w:color w:val="000000" w:themeColor="text1"/>
          <w:sz w:val="20"/>
          <w:szCs w:val="20"/>
          <w:lang w:val="en-GB"/>
        </w:rPr>
        <w:t>statements:</w:t>
      </w:r>
      <w:r w:rsidR="00FF41A0">
        <w:rPr>
          <w:color w:val="000000" w:themeColor="text1"/>
          <w:sz w:val="20"/>
          <w:szCs w:val="20"/>
          <w:lang w:val="en-GB"/>
        </w:rPr>
        <w:t xml:space="preserve"> </w:t>
      </w:r>
      <w:r w:rsidR="0032631B">
        <w:rPr>
          <w:color w:val="000000" w:themeColor="text1"/>
          <w:sz w:val="20"/>
          <w:szCs w:val="20"/>
          <w:lang w:val="en-GB"/>
        </w:rPr>
        <w:t>the</w:t>
      </w:r>
      <w:r w:rsidR="00FF41A0">
        <w:rPr>
          <w:color w:val="000000" w:themeColor="text1"/>
          <w:sz w:val="20"/>
          <w:szCs w:val="20"/>
          <w:lang w:val="en-GB"/>
        </w:rPr>
        <w:t xml:space="preserve"> </w:t>
      </w:r>
      <w:r w:rsidR="0064367B">
        <w:rPr>
          <w:color w:val="000000" w:themeColor="text1"/>
          <w:sz w:val="20"/>
          <w:szCs w:val="20"/>
          <w:lang w:val="en-GB"/>
        </w:rPr>
        <w:t>l</w:t>
      </w:r>
      <w:r w:rsidR="0032631B" w:rsidRPr="0032631B">
        <w:rPr>
          <w:color w:val="000000" w:themeColor="text1"/>
          <w:sz w:val="20"/>
          <w:szCs w:val="20"/>
          <w:lang w:val="en-GB"/>
        </w:rPr>
        <w:t>ecturer</w:t>
      </w:r>
      <w:r w:rsidR="00FF41A0">
        <w:rPr>
          <w:color w:val="000000" w:themeColor="text1"/>
          <w:sz w:val="20"/>
          <w:szCs w:val="20"/>
          <w:lang w:val="en-GB"/>
        </w:rPr>
        <w:t xml:space="preserve"> </w:t>
      </w:r>
      <w:r w:rsidR="0032631B" w:rsidRPr="0032631B">
        <w:rPr>
          <w:color w:val="000000" w:themeColor="text1"/>
          <w:sz w:val="20"/>
          <w:szCs w:val="20"/>
          <w:lang w:val="en-GB"/>
        </w:rPr>
        <w:t>at</w:t>
      </w:r>
      <w:r w:rsidR="00FF41A0">
        <w:rPr>
          <w:color w:val="000000" w:themeColor="text1"/>
          <w:sz w:val="20"/>
          <w:szCs w:val="20"/>
          <w:lang w:val="en-GB"/>
        </w:rPr>
        <w:t xml:space="preserve"> </w:t>
      </w:r>
      <w:r w:rsidR="0032631B" w:rsidRPr="0032631B">
        <w:rPr>
          <w:color w:val="000000" w:themeColor="text1"/>
          <w:sz w:val="20"/>
          <w:szCs w:val="20"/>
          <w:lang w:val="en-GB"/>
        </w:rPr>
        <w:t>the</w:t>
      </w:r>
      <w:r w:rsidR="00FF41A0">
        <w:rPr>
          <w:color w:val="000000" w:themeColor="text1"/>
          <w:sz w:val="20"/>
          <w:szCs w:val="20"/>
          <w:lang w:val="en-GB"/>
        </w:rPr>
        <w:t xml:space="preserve"> </w:t>
      </w:r>
      <w:r w:rsidR="0032631B" w:rsidRPr="0032631B">
        <w:rPr>
          <w:color w:val="000000" w:themeColor="text1"/>
          <w:sz w:val="20"/>
          <w:szCs w:val="20"/>
          <w:lang w:val="en-GB"/>
        </w:rPr>
        <w:t>Department</w:t>
      </w:r>
      <w:r w:rsidR="00FF41A0">
        <w:rPr>
          <w:color w:val="000000" w:themeColor="text1"/>
          <w:sz w:val="20"/>
          <w:szCs w:val="20"/>
          <w:lang w:val="en-GB"/>
        </w:rPr>
        <w:t xml:space="preserve"> </w:t>
      </w:r>
      <w:r w:rsidR="0032631B" w:rsidRPr="0032631B">
        <w:rPr>
          <w:color w:val="000000" w:themeColor="text1"/>
          <w:sz w:val="20"/>
          <w:szCs w:val="20"/>
          <w:lang w:val="en-GB"/>
        </w:rPr>
        <w:t>of</w:t>
      </w:r>
      <w:r w:rsidR="00FF41A0">
        <w:rPr>
          <w:color w:val="000000" w:themeColor="text1"/>
          <w:sz w:val="20"/>
          <w:szCs w:val="20"/>
          <w:lang w:val="en-GB"/>
        </w:rPr>
        <w:t xml:space="preserve"> </w:t>
      </w:r>
      <w:r w:rsidR="0032631B" w:rsidRPr="0032631B">
        <w:rPr>
          <w:color w:val="000000" w:themeColor="text1"/>
          <w:sz w:val="20"/>
          <w:szCs w:val="20"/>
          <w:lang w:val="en-GB"/>
        </w:rPr>
        <w:t>Political</w:t>
      </w:r>
      <w:r w:rsidR="00FF41A0">
        <w:rPr>
          <w:color w:val="000000" w:themeColor="text1"/>
          <w:sz w:val="20"/>
          <w:szCs w:val="20"/>
          <w:lang w:val="en-GB"/>
        </w:rPr>
        <w:t xml:space="preserve"> </w:t>
      </w:r>
      <w:r w:rsidR="0032631B" w:rsidRPr="0032631B">
        <w:rPr>
          <w:color w:val="000000" w:themeColor="text1"/>
          <w:sz w:val="20"/>
          <w:szCs w:val="20"/>
          <w:lang w:val="en-GB"/>
        </w:rPr>
        <w:t>Sciences</w:t>
      </w:r>
      <w:r w:rsidR="00FF41A0">
        <w:rPr>
          <w:color w:val="000000" w:themeColor="text1"/>
          <w:sz w:val="20"/>
          <w:szCs w:val="20"/>
          <w:lang w:val="en-GB"/>
        </w:rPr>
        <w:t xml:space="preserve"> </w:t>
      </w:r>
      <w:r w:rsidR="0032631B" w:rsidRPr="0032631B">
        <w:rPr>
          <w:color w:val="000000" w:themeColor="text1"/>
          <w:sz w:val="20"/>
          <w:szCs w:val="20"/>
          <w:lang w:val="en-GB"/>
        </w:rPr>
        <w:t>at</w:t>
      </w:r>
      <w:r w:rsidR="00FF41A0">
        <w:rPr>
          <w:color w:val="000000" w:themeColor="text1"/>
          <w:sz w:val="20"/>
          <w:szCs w:val="20"/>
          <w:lang w:val="en-GB"/>
        </w:rPr>
        <w:t xml:space="preserve"> </w:t>
      </w:r>
      <w:r w:rsidR="0032631B" w:rsidRPr="0032631B">
        <w:rPr>
          <w:color w:val="000000" w:themeColor="text1"/>
          <w:sz w:val="20"/>
          <w:szCs w:val="20"/>
          <w:lang w:val="en-GB"/>
        </w:rPr>
        <w:t>the</w:t>
      </w:r>
      <w:r w:rsidR="00FF41A0">
        <w:rPr>
          <w:color w:val="000000" w:themeColor="text1"/>
          <w:sz w:val="20"/>
          <w:szCs w:val="20"/>
          <w:lang w:val="en-GB"/>
        </w:rPr>
        <w:t xml:space="preserve"> </w:t>
      </w:r>
      <w:r w:rsidR="0032631B" w:rsidRPr="0032631B">
        <w:rPr>
          <w:color w:val="000000" w:themeColor="text1"/>
          <w:sz w:val="20"/>
          <w:szCs w:val="20"/>
          <w:lang w:val="en-GB"/>
        </w:rPr>
        <w:t>University</w:t>
      </w:r>
      <w:r w:rsidR="00FF41A0">
        <w:rPr>
          <w:color w:val="000000" w:themeColor="text1"/>
          <w:sz w:val="20"/>
          <w:szCs w:val="20"/>
          <w:lang w:val="en-GB"/>
        </w:rPr>
        <w:t xml:space="preserve"> </w:t>
      </w:r>
      <w:r w:rsidR="0032631B" w:rsidRPr="0032631B">
        <w:rPr>
          <w:color w:val="000000" w:themeColor="text1"/>
          <w:sz w:val="20"/>
          <w:szCs w:val="20"/>
          <w:lang w:val="en-GB"/>
        </w:rPr>
        <w:t>of</w:t>
      </w:r>
      <w:r w:rsidR="00FF41A0">
        <w:rPr>
          <w:color w:val="000000" w:themeColor="text1"/>
          <w:sz w:val="20"/>
          <w:szCs w:val="20"/>
          <w:lang w:val="en-GB"/>
        </w:rPr>
        <w:t xml:space="preserve"> </w:t>
      </w:r>
      <w:r w:rsidR="0032631B" w:rsidRPr="0032631B">
        <w:rPr>
          <w:color w:val="000000" w:themeColor="text1"/>
          <w:sz w:val="20"/>
          <w:szCs w:val="20"/>
          <w:lang w:val="en-GB"/>
        </w:rPr>
        <w:t>Pretoria</w:t>
      </w:r>
      <w:r w:rsidR="00FF41A0">
        <w:rPr>
          <w:color w:val="000000" w:themeColor="text1"/>
          <w:sz w:val="20"/>
          <w:szCs w:val="20"/>
          <w:lang w:val="en-GB"/>
        </w:rPr>
        <w:t xml:space="preserve"> </w:t>
      </w:r>
      <w:r w:rsidR="0032631B">
        <w:rPr>
          <w:color w:val="000000" w:themeColor="text1"/>
          <w:sz w:val="20"/>
          <w:szCs w:val="20"/>
          <w:lang w:val="en-GB"/>
        </w:rPr>
        <w:t>in</w:t>
      </w:r>
      <w:r w:rsidR="00FF41A0">
        <w:rPr>
          <w:color w:val="000000" w:themeColor="text1"/>
          <w:sz w:val="20"/>
          <w:szCs w:val="20"/>
          <w:lang w:val="en-GB"/>
        </w:rPr>
        <w:t xml:space="preserve"> </w:t>
      </w:r>
      <w:r w:rsidR="0032631B">
        <w:rPr>
          <w:color w:val="000000" w:themeColor="text1"/>
          <w:sz w:val="20"/>
          <w:szCs w:val="20"/>
          <w:lang w:val="en-GB"/>
        </w:rPr>
        <w:t>South</w:t>
      </w:r>
      <w:r w:rsidR="00FF41A0">
        <w:rPr>
          <w:color w:val="000000" w:themeColor="text1"/>
          <w:sz w:val="20"/>
          <w:szCs w:val="20"/>
          <w:lang w:val="en-GB"/>
        </w:rPr>
        <w:t xml:space="preserve"> </w:t>
      </w:r>
      <w:r w:rsidR="0032631B">
        <w:rPr>
          <w:color w:val="000000" w:themeColor="text1"/>
          <w:sz w:val="20"/>
          <w:szCs w:val="20"/>
          <w:lang w:val="en-GB"/>
        </w:rPr>
        <w:t>Africa,</w:t>
      </w:r>
      <w:r w:rsidR="00FF41A0">
        <w:rPr>
          <w:color w:val="000000" w:themeColor="text1"/>
          <w:sz w:val="20"/>
          <w:szCs w:val="20"/>
          <w:lang w:val="en-GB"/>
        </w:rPr>
        <w:t xml:space="preserve"> </w:t>
      </w:r>
      <w:r w:rsidR="0032631B" w:rsidRPr="0032631B">
        <w:rPr>
          <w:color w:val="000000" w:themeColor="text1"/>
          <w:sz w:val="20"/>
          <w:szCs w:val="20"/>
          <w:lang w:val="en-GB"/>
        </w:rPr>
        <w:t>Sithembile</w:t>
      </w:r>
      <w:r w:rsidR="00FF41A0">
        <w:rPr>
          <w:color w:val="000000" w:themeColor="text1"/>
          <w:sz w:val="20"/>
          <w:szCs w:val="20"/>
          <w:lang w:val="en-GB"/>
        </w:rPr>
        <w:t xml:space="preserve"> </w:t>
      </w:r>
      <w:r w:rsidR="0032631B" w:rsidRPr="0032631B">
        <w:rPr>
          <w:color w:val="000000" w:themeColor="text1"/>
          <w:sz w:val="20"/>
          <w:szCs w:val="20"/>
          <w:lang w:val="en-GB"/>
        </w:rPr>
        <w:t>Nombali</w:t>
      </w:r>
      <w:r w:rsidR="00FF41A0">
        <w:rPr>
          <w:color w:val="000000" w:themeColor="text1"/>
          <w:sz w:val="20"/>
          <w:szCs w:val="20"/>
          <w:lang w:val="en-GB"/>
        </w:rPr>
        <w:t xml:space="preserve"> </w:t>
      </w:r>
      <w:r w:rsidR="0032631B" w:rsidRPr="0032631B">
        <w:rPr>
          <w:color w:val="000000" w:themeColor="text1"/>
          <w:sz w:val="20"/>
          <w:szCs w:val="20"/>
          <w:lang w:val="en-GB"/>
        </w:rPr>
        <w:t>Mbete</w:t>
      </w:r>
      <w:r w:rsidR="0032631B">
        <w:rPr>
          <w:color w:val="000000" w:themeColor="text1"/>
          <w:sz w:val="20"/>
          <w:szCs w:val="20"/>
          <w:lang w:val="en-GB"/>
        </w:rPr>
        <w:t>;</w:t>
      </w:r>
      <w:r w:rsidR="00FF41A0">
        <w:rPr>
          <w:color w:val="000000" w:themeColor="text1"/>
          <w:sz w:val="20"/>
          <w:szCs w:val="20"/>
          <w:lang w:val="en-GB"/>
        </w:rPr>
        <w:t xml:space="preserve"> </w:t>
      </w:r>
      <w:r w:rsidR="0032631B">
        <w:rPr>
          <w:color w:val="000000" w:themeColor="text1"/>
          <w:sz w:val="20"/>
          <w:szCs w:val="20"/>
          <w:lang w:val="en-GB"/>
        </w:rPr>
        <w:t>the</w:t>
      </w:r>
      <w:r w:rsidR="00FF41A0">
        <w:rPr>
          <w:color w:val="000000" w:themeColor="text1"/>
          <w:sz w:val="20"/>
          <w:szCs w:val="20"/>
          <w:lang w:val="en-GB"/>
        </w:rPr>
        <w:t xml:space="preserve"> </w:t>
      </w:r>
      <w:r w:rsidR="0032631B" w:rsidRPr="0032631B">
        <w:rPr>
          <w:color w:val="000000" w:themeColor="text1"/>
          <w:sz w:val="20"/>
          <w:szCs w:val="20"/>
          <w:lang w:val="en-GB"/>
        </w:rPr>
        <w:t>Diversity</w:t>
      </w:r>
      <w:r w:rsidR="00FF41A0">
        <w:rPr>
          <w:color w:val="000000" w:themeColor="text1"/>
          <w:sz w:val="20"/>
          <w:szCs w:val="20"/>
          <w:lang w:val="en-GB"/>
        </w:rPr>
        <w:t xml:space="preserve"> </w:t>
      </w:r>
      <w:r w:rsidR="0032631B" w:rsidRPr="0032631B">
        <w:rPr>
          <w:color w:val="000000" w:themeColor="text1"/>
          <w:sz w:val="20"/>
          <w:szCs w:val="20"/>
          <w:lang w:val="en-GB"/>
        </w:rPr>
        <w:t>Director</w:t>
      </w:r>
      <w:r w:rsidR="00FF41A0">
        <w:rPr>
          <w:color w:val="000000" w:themeColor="text1"/>
          <w:sz w:val="20"/>
          <w:szCs w:val="20"/>
          <w:lang w:val="en-GB"/>
        </w:rPr>
        <w:t xml:space="preserve"> </w:t>
      </w:r>
      <w:r w:rsidR="0032631B" w:rsidRPr="0032631B">
        <w:rPr>
          <w:color w:val="000000" w:themeColor="text1"/>
          <w:sz w:val="20"/>
          <w:szCs w:val="20"/>
          <w:lang w:val="en-GB"/>
        </w:rPr>
        <w:t>of</w:t>
      </w:r>
      <w:r w:rsidR="00FF41A0">
        <w:rPr>
          <w:color w:val="000000" w:themeColor="text1"/>
          <w:sz w:val="20"/>
          <w:szCs w:val="20"/>
          <w:lang w:val="en-GB"/>
        </w:rPr>
        <w:t xml:space="preserve"> </w:t>
      </w:r>
      <w:r w:rsidR="0032631B" w:rsidRPr="0032631B">
        <w:rPr>
          <w:color w:val="000000" w:themeColor="text1"/>
          <w:sz w:val="20"/>
          <w:szCs w:val="20"/>
          <w:lang w:val="en-GB"/>
        </w:rPr>
        <w:t>the</w:t>
      </w:r>
      <w:r w:rsidR="00FF41A0">
        <w:rPr>
          <w:color w:val="000000" w:themeColor="text1"/>
          <w:sz w:val="20"/>
          <w:szCs w:val="20"/>
          <w:lang w:val="en-GB"/>
        </w:rPr>
        <w:t xml:space="preserve"> </w:t>
      </w:r>
      <w:r w:rsidR="0064367B">
        <w:rPr>
          <w:color w:val="000000" w:themeColor="text1"/>
          <w:sz w:val="20"/>
          <w:szCs w:val="20"/>
          <w:lang w:val="en-GB"/>
        </w:rPr>
        <w:t>Governance</w:t>
      </w:r>
      <w:r w:rsidR="00FF41A0">
        <w:rPr>
          <w:color w:val="000000" w:themeColor="text1"/>
          <w:sz w:val="20"/>
          <w:szCs w:val="20"/>
          <w:lang w:val="en-GB"/>
        </w:rPr>
        <w:t xml:space="preserve"> </w:t>
      </w:r>
      <w:r w:rsidR="0064367B">
        <w:rPr>
          <w:color w:val="000000" w:themeColor="text1"/>
          <w:sz w:val="20"/>
          <w:szCs w:val="20"/>
          <w:lang w:val="en-GB"/>
        </w:rPr>
        <w:t>Study</w:t>
      </w:r>
      <w:r w:rsidR="00FF41A0">
        <w:rPr>
          <w:color w:val="000000" w:themeColor="text1"/>
          <w:sz w:val="20"/>
          <w:szCs w:val="20"/>
          <w:lang w:val="en-GB"/>
        </w:rPr>
        <w:t xml:space="preserve"> </w:t>
      </w:r>
      <w:r w:rsidR="0064367B">
        <w:rPr>
          <w:color w:val="000000" w:themeColor="text1"/>
          <w:sz w:val="20"/>
          <w:szCs w:val="20"/>
          <w:lang w:val="en-GB"/>
        </w:rPr>
        <w:t>Centre</w:t>
      </w:r>
      <w:r w:rsidR="00FF41A0">
        <w:rPr>
          <w:color w:val="000000" w:themeColor="text1"/>
          <w:sz w:val="20"/>
          <w:szCs w:val="20"/>
          <w:lang w:val="en-GB"/>
        </w:rPr>
        <w:t xml:space="preserve"> </w:t>
      </w:r>
      <w:r w:rsidR="00543946">
        <w:rPr>
          <w:color w:val="000000" w:themeColor="text1"/>
          <w:sz w:val="20"/>
          <w:szCs w:val="20"/>
          <w:lang w:val="en-GB"/>
        </w:rPr>
        <w:t>in</w:t>
      </w:r>
      <w:r w:rsidR="00FF41A0">
        <w:rPr>
          <w:color w:val="000000" w:themeColor="text1"/>
          <w:sz w:val="20"/>
          <w:szCs w:val="20"/>
          <w:lang w:val="en-GB"/>
        </w:rPr>
        <w:t xml:space="preserve"> </w:t>
      </w:r>
      <w:r w:rsidR="0032631B" w:rsidRPr="0032631B">
        <w:rPr>
          <w:color w:val="000000" w:themeColor="text1"/>
          <w:sz w:val="20"/>
          <w:szCs w:val="20"/>
          <w:lang w:val="en-GB"/>
        </w:rPr>
        <w:t>A</w:t>
      </w:r>
      <w:r w:rsidR="00543946">
        <w:rPr>
          <w:color w:val="000000" w:themeColor="text1"/>
          <w:sz w:val="20"/>
          <w:szCs w:val="20"/>
          <w:lang w:val="en-GB"/>
        </w:rPr>
        <w:t>rgentina,</w:t>
      </w:r>
      <w:r w:rsidR="00FF41A0">
        <w:rPr>
          <w:color w:val="000000" w:themeColor="text1"/>
          <w:sz w:val="20"/>
          <w:szCs w:val="20"/>
          <w:lang w:val="en-GB"/>
        </w:rPr>
        <w:t xml:space="preserve"> </w:t>
      </w:r>
      <w:r w:rsidR="00543946" w:rsidRPr="0032631B">
        <w:rPr>
          <w:color w:val="000000" w:themeColor="text1"/>
          <w:sz w:val="20"/>
          <w:szCs w:val="20"/>
          <w:lang w:val="en-GB"/>
        </w:rPr>
        <w:t>Pedro</w:t>
      </w:r>
      <w:r w:rsidR="00FF41A0">
        <w:rPr>
          <w:color w:val="000000" w:themeColor="text1"/>
          <w:sz w:val="20"/>
          <w:szCs w:val="20"/>
          <w:lang w:val="en-GB"/>
        </w:rPr>
        <w:t xml:space="preserve"> </w:t>
      </w:r>
      <w:r w:rsidR="00543946" w:rsidRPr="0032631B">
        <w:rPr>
          <w:color w:val="000000" w:themeColor="text1"/>
          <w:sz w:val="20"/>
          <w:szCs w:val="20"/>
          <w:lang w:val="en-GB"/>
        </w:rPr>
        <w:t>Marcelo</w:t>
      </w:r>
      <w:r w:rsidR="00FF41A0">
        <w:rPr>
          <w:color w:val="000000" w:themeColor="text1"/>
          <w:sz w:val="20"/>
          <w:szCs w:val="20"/>
          <w:lang w:val="en-GB"/>
        </w:rPr>
        <w:t xml:space="preserve"> </w:t>
      </w:r>
      <w:r w:rsidR="00543946" w:rsidRPr="0032631B">
        <w:rPr>
          <w:color w:val="000000" w:themeColor="text1"/>
          <w:sz w:val="20"/>
          <w:szCs w:val="20"/>
          <w:lang w:val="en-GB"/>
        </w:rPr>
        <w:t>Mouratian</w:t>
      </w:r>
      <w:r w:rsidR="00543946">
        <w:rPr>
          <w:color w:val="000000" w:themeColor="text1"/>
          <w:sz w:val="20"/>
          <w:szCs w:val="20"/>
          <w:lang w:val="en-GB"/>
        </w:rPr>
        <w:t>;</w:t>
      </w:r>
      <w:r w:rsidR="00FF41A0">
        <w:rPr>
          <w:color w:val="000000" w:themeColor="text1"/>
          <w:sz w:val="20"/>
          <w:szCs w:val="20"/>
          <w:lang w:val="en-GB"/>
        </w:rPr>
        <w:t xml:space="preserve"> </w:t>
      </w:r>
      <w:r w:rsidR="00543946">
        <w:rPr>
          <w:color w:val="000000" w:themeColor="text1"/>
          <w:sz w:val="20"/>
          <w:szCs w:val="20"/>
          <w:lang w:val="en-GB"/>
        </w:rPr>
        <w:t>the</w:t>
      </w:r>
      <w:r w:rsidR="00FF41A0">
        <w:rPr>
          <w:color w:val="000000" w:themeColor="text1"/>
          <w:sz w:val="20"/>
          <w:szCs w:val="20"/>
          <w:lang w:val="en-GB"/>
        </w:rPr>
        <w:t xml:space="preserve"> </w:t>
      </w:r>
      <w:r w:rsidR="00543946">
        <w:rPr>
          <w:color w:val="000000" w:themeColor="text1"/>
          <w:sz w:val="20"/>
          <w:szCs w:val="20"/>
          <w:lang w:val="en-GB"/>
        </w:rPr>
        <w:t>representative</w:t>
      </w:r>
      <w:r w:rsidR="00FF41A0">
        <w:rPr>
          <w:color w:val="000000" w:themeColor="text1"/>
          <w:sz w:val="20"/>
          <w:szCs w:val="20"/>
          <w:lang w:val="en-GB"/>
        </w:rPr>
        <w:t xml:space="preserve"> </w:t>
      </w:r>
      <w:r w:rsidR="00543946">
        <w:rPr>
          <w:color w:val="000000" w:themeColor="text1"/>
          <w:sz w:val="20"/>
          <w:szCs w:val="20"/>
          <w:lang w:val="en-GB"/>
        </w:rPr>
        <w:t>of</w:t>
      </w:r>
      <w:r w:rsidR="00FF41A0">
        <w:rPr>
          <w:color w:val="000000" w:themeColor="text1"/>
          <w:sz w:val="20"/>
          <w:szCs w:val="20"/>
          <w:lang w:val="en-GB"/>
        </w:rPr>
        <w:t xml:space="preserve"> </w:t>
      </w:r>
      <w:r w:rsidR="00543946">
        <w:rPr>
          <w:color w:val="000000" w:themeColor="text1"/>
          <w:sz w:val="20"/>
          <w:szCs w:val="20"/>
          <w:lang w:val="en-GB"/>
        </w:rPr>
        <w:t>the</w:t>
      </w:r>
      <w:r w:rsidR="00FF41A0">
        <w:rPr>
          <w:color w:val="000000" w:themeColor="text1"/>
          <w:sz w:val="20"/>
          <w:szCs w:val="20"/>
          <w:lang w:val="en-GB"/>
        </w:rPr>
        <w:t xml:space="preserve"> </w:t>
      </w:r>
      <w:r w:rsidR="00543946">
        <w:rPr>
          <w:color w:val="000000" w:themeColor="text1"/>
          <w:sz w:val="20"/>
          <w:szCs w:val="20"/>
          <w:lang w:val="en-GB"/>
        </w:rPr>
        <w:t>“</w:t>
      </w:r>
      <w:r w:rsidR="00543946" w:rsidRPr="0032631B">
        <w:rPr>
          <w:color w:val="000000" w:themeColor="text1"/>
          <w:sz w:val="20"/>
          <w:szCs w:val="20"/>
          <w:lang w:val="en-GB"/>
        </w:rPr>
        <w:t>Never</w:t>
      </w:r>
      <w:r w:rsidR="00FF41A0">
        <w:rPr>
          <w:color w:val="000000" w:themeColor="text1"/>
          <w:sz w:val="20"/>
          <w:szCs w:val="20"/>
          <w:lang w:val="en-GB"/>
        </w:rPr>
        <w:t xml:space="preserve"> </w:t>
      </w:r>
      <w:r w:rsidR="00543946" w:rsidRPr="0032631B">
        <w:rPr>
          <w:color w:val="000000" w:themeColor="text1"/>
          <w:sz w:val="20"/>
          <w:szCs w:val="20"/>
          <w:lang w:val="en-GB"/>
        </w:rPr>
        <w:t>Again</w:t>
      </w:r>
      <w:r w:rsidR="00543946">
        <w:rPr>
          <w:color w:val="000000" w:themeColor="text1"/>
          <w:sz w:val="20"/>
          <w:szCs w:val="20"/>
          <w:lang w:val="en-GB"/>
        </w:rPr>
        <w:t>”</w:t>
      </w:r>
      <w:r w:rsidR="00FF41A0">
        <w:rPr>
          <w:color w:val="000000" w:themeColor="text1"/>
          <w:sz w:val="20"/>
          <w:szCs w:val="20"/>
          <w:lang w:val="en-GB"/>
        </w:rPr>
        <w:t xml:space="preserve"> </w:t>
      </w:r>
      <w:r w:rsidR="00543946" w:rsidRPr="0032631B">
        <w:rPr>
          <w:color w:val="000000" w:themeColor="text1"/>
          <w:sz w:val="20"/>
          <w:szCs w:val="20"/>
          <w:lang w:val="en-GB"/>
        </w:rPr>
        <w:t>Association</w:t>
      </w:r>
      <w:r w:rsidR="00FF41A0">
        <w:rPr>
          <w:color w:val="000000" w:themeColor="text1"/>
          <w:sz w:val="20"/>
          <w:szCs w:val="20"/>
          <w:lang w:val="en-GB"/>
        </w:rPr>
        <w:t xml:space="preserve"> </w:t>
      </w:r>
      <w:r w:rsidR="00543946" w:rsidRPr="0032631B">
        <w:rPr>
          <w:color w:val="000000" w:themeColor="text1"/>
          <w:sz w:val="20"/>
          <w:szCs w:val="20"/>
          <w:lang w:val="en-GB"/>
        </w:rPr>
        <w:t>and</w:t>
      </w:r>
      <w:r w:rsidR="00FF41A0">
        <w:rPr>
          <w:color w:val="000000" w:themeColor="text1"/>
          <w:sz w:val="20"/>
          <w:szCs w:val="20"/>
          <w:lang w:val="en-GB"/>
        </w:rPr>
        <w:t xml:space="preserve"> </w:t>
      </w:r>
      <w:r w:rsidR="00543946" w:rsidRPr="0032631B">
        <w:rPr>
          <w:color w:val="000000" w:themeColor="text1"/>
          <w:sz w:val="20"/>
          <w:szCs w:val="20"/>
          <w:lang w:val="en-GB"/>
        </w:rPr>
        <w:t>the</w:t>
      </w:r>
      <w:r w:rsidR="00FF41A0">
        <w:rPr>
          <w:color w:val="000000" w:themeColor="text1"/>
          <w:sz w:val="20"/>
          <w:szCs w:val="20"/>
          <w:lang w:val="en-GB"/>
        </w:rPr>
        <w:t xml:space="preserve"> </w:t>
      </w:r>
      <w:r w:rsidR="00543946" w:rsidRPr="0032631B">
        <w:rPr>
          <w:color w:val="000000" w:themeColor="text1"/>
          <w:sz w:val="20"/>
          <w:szCs w:val="20"/>
          <w:lang w:val="en-GB"/>
        </w:rPr>
        <w:t>Collegium</w:t>
      </w:r>
      <w:r w:rsidR="00FF41A0">
        <w:rPr>
          <w:color w:val="000000" w:themeColor="text1"/>
          <w:sz w:val="20"/>
          <w:szCs w:val="20"/>
          <w:lang w:val="en-GB"/>
        </w:rPr>
        <w:t xml:space="preserve"> </w:t>
      </w:r>
      <w:r w:rsidR="00543946" w:rsidRPr="0032631B">
        <w:rPr>
          <w:color w:val="000000" w:themeColor="text1"/>
          <w:sz w:val="20"/>
          <w:szCs w:val="20"/>
          <w:lang w:val="en-GB"/>
        </w:rPr>
        <w:t>Civitas</w:t>
      </w:r>
      <w:r w:rsidR="00FF41A0">
        <w:rPr>
          <w:color w:val="000000" w:themeColor="text1"/>
          <w:sz w:val="20"/>
          <w:szCs w:val="20"/>
          <w:lang w:val="en-GB"/>
        </w:rPr>
        <w:t xml:space="preserve"> </w:t>
      </w:r>
      <w:r w:rsidR="00543946">
        <w:rPr>
          <w:color w:val="000000" w:themeColor="text1"/>
          <w:sz w:val="20"/>
          <w:szCs w:val="20"/>
          <w:lang w:val="en-GB"/>
        </w:rPr>
        <w:t>in</w:t>
      </w:r>
      <w:r w:rsidR="00FF41A0">
        <w:rPr>
          <w:color w:val="000000" w:themeColor="text1"/>
          <w:sz w:val="20"/>
          <w:szCs w:val="20"/>
          <w:lang w:val="en-GB"/>
        </w:rPr>
        <w:t xml:space="preserve"> </w:t>
      </w:r>
      <w:r w:rsidR="00543946">
        <w:rPr>
          <w:color w:val="000000" w:themeColor="text1"/>
          <w:sz w:val="20"/>
          <w:szCs w:val="20"/>
          <w:lang w:val="en-GB"/>
        </w:rPr>
        <w:t>Poland,</w:t>
      </w:r>
      <w:r w:rsidR="00FF41A0">
        <w:rPr>
          <w:color w:val="000000" w:themeColor="text1"/>
          <w:sz w:val="20"/>
          <w:szCs w:val="20"/>
          <w:lang w:val="en-GB"/>
        </w:rPr>
        <w:t xml:space="preserve"> </w:t>
      </w:r>
      <w:r w:rsidR="00543946" w:rsidRPr="0032631B">
        <w:rPr>
          <w:color w:val="000000" w:themeColor="text1"/>
          <w:sz w:val="20"/>
          <w:szCs w:val="20"/>
          <w:lang w:val="en-GB"/>
        </w:rPr>
        <w:t>Rafal</w:t>
      </w:r>
      <w:r w:rsidR="00FF41A0">
        <w:rPr>
          <w:color w:val="000000" w:themeColor="text1"/>
          <w:sz w:val="20"/>
          <w:szCs w:val="20"/>
          <w:lang w:val="en-GB"/>
        </w:rPr>
        <w:t xml:space="preserve"> </w:t>
      </w:r>
      <w:r w:rsidR="00543946" w:rsidRPr="0032631B">
        <w:rPr>
          <w:color w:val="000000" w:themeColor="text1"/>
          <w:sz w:val="20"/>
          <w:szCs w:val="20"/>
          <w:lang w:val="en-GB"/>
        </w:rPr>
        <w:t>Pankowski</w:t>
      </w:r>
      <w:r w:rsidR="00543946">
        <w:rPr>
          <w:color w:val="000000" w:themeColor="text1"/>
          <w:sz w:val="20"/>
          <w:szCs w:val="20"/>
          <w:lang w:val="en-GB"/>
        </w:rPr>
        <w:t>;</w:t>
      </w:r>
      <w:r w:rsidR="00FF41A0">
        <w:rPr>
          <w:color w:val="000000" w:themeColor="text1"/>
          <w:sz w:val="20"/>
          <w:szCs w:val="20"/>
          <w:lang w:val="en-GB"/>
        </w:rPr>
        <w:t xml:space="preserve"> </w:t>
      </w:r>
      <w:r w:rsidR="00543946">
        <w:rPr>
          <w:color w:val="000000" w:themeColor="text1"/>
          <w:sz w:val="20"/>
          <w:szCs w:val="20"/>
          <w:lang w:val="en-GB"/>
        </w:rPr>
        <w:t>the</w:t>
      </w:r>
      <w:r w:rsidR="00FF41A0">
        <w:rPr>
          <w:color w:val="000000" w:themeColor="text1"/>
          <w:sz w:val="20"/>
          <w:szCs w:val="20"/>
          <w:lang w:val="en-GB"/>
        </w:rPr>
        <w:t xml:space="preserve"> </w:t>
      </w:r>
      <w:r w:rsidR="0064367B">
        <w:rPr>
          <w:color w:val="000000" w:themeColor="text1"/>
          <w:sz w:val="20"/>
          <w:szCs w:val="20"/>
          <w:lang w:val="en-GB"/>
        </w:rPr>
        <w:t>s</w:t>
      </w:r>
      <w:r w:rsidR="00543946" w:rsidRPr="0032631B">
        <w:rPr>
          <w:color w:val="000000" w:themeColor="text1"/>
          <w:sz w:val="20"/>
          <w:szCs w:val="20"/>
          <w:lang w:val="en-GB"/>
        </w:rPr>
        <w:t>pecialist</w:t>
      </w:r>
      <w:r w:rsidR="00FF41A0">
        <w:rPr>
          <w:color w:val="000000" w:themeColor="text1"/>
          <w:sz w:val="20"/>
          <w:szCs w:val="20"/>
          <w:lang w:val="en-GB"/>
        </w:rPr>
        <w:t xml:space="preserve"> </w:t>
      </w:r>
      <w:r w:rsidR="00543946" w:rsidRPr="0032631B">
        <w:rPr>
          <w:color w:val="000000" w:themeColor="text1"/>
          <w:sz w:val="20"/>
          <w:szCs w:val="20"/>
          <w:lang w:val="en-GB"/>
        </w:rPr>
        <w:t>on</w:t>
      </w:r>
      <w:r w:rsidR="00FF41A0">
        <w:rPr>
          <w:color w:val="000000" w:themeColor="text1"/>
          <w:sz w:val="20"/>
          <w:szCs w:val="20"/>
          <w:lang w:val="en-GB"/>
        </w:rPr>
        <w:t xml:space="preserve"> </w:t>
      </w:r>
      <w:r w:rsidR="00543946" w:rsidRPr="0032631B">
        <w:rPr>
          <w:color w:val="000000" w:themeColor="text1"/>
          <w:sz w:val="20"/>
          <w:szCs w:val="20"/>
          <w:lang w:val="en-GB"/>
        </w:rPr>
        <w:t>peace</w:t>
      </w:r>
      <w:r w:rsidR="00FF41A0">
        <w:rPr>
          <w:color w:val="000000" w:themeColor="text1"/>
          <w:sz w:val="20"/>
          <w:szCs w:val="20"/>
          <w:lang w:val="en-GB"/>
        </w:rPr>
        <w:t xml:space="preserve"> </w:t>
      </w:r>
      <w:r w:rsidR="00543946" w:rsidRPr="0032631B">
        <w:rPr>
          <w:color w:val="000000" w:themeColor="text1"/>
          <w:sz w:val="20"/>
          <w:szCs w:val="20"/>
          <w:lang w:val="en-GB"/>
        </w:rPr>
        <w:t>and</w:t>
      </w:r>
      <w:r w:rsidR="00FF41A0">
        <w:rPr>
          <w:color w:val="000000" w:themeColor="text1"/>
          <w:sz w:val="20"/>
          <w:szCs w:val="20"/>
          <w:lang w:val="en-GB"/>
        </w:rPr>
        <w:t xml:space="preserve"> </w:t>
      </w:r>
      <w:r w:rsidR="00543946" w:rsidRPr="0032631B">
        <w:rPr>
          <w:color w:val="000000" w:themeColor="text1"/>
          <w:sz w:val="20"/>
          <w:szCs w:val="20"/>
          <w:lang w:val="en-GB"/>
        </w:rPr>
        <w:t>security</w:t>
      </w:r>
      <w:r w:rsidR="00FF41A0">
        <w:rPr>
          <w:color w:val="000000" w:themeColor="text1"/>
          <w:sz w:val="20"/>
          <w:szCs w:val="20"/>
          <w:lang w:val="en-GB"/>
        </w:rPr>
        <w:t xml:space="preserve"> </w:t>
      </w:r>
      <w:r w:rsidR="00543946" w:rsidRPr="0032631B">
        <w:rPr>
          <w:color w:val="000000" w:themeColor="text1"/>
          <w:sz w:val="20"/>
          <w:szCs w:val="20"/>
          <w:lang w:val="en-GB"/>
        </w:rPr>
        <w:t>and</w:t>
      </w:r>
      <w:r w:rsidR="00FF41A0">
        <w:rPr>
          <w:color w:val="000000" w:themeColor="text1"/>
          <w:sz w:val="20"/>
          <w:szCs w:val="20"/>
          <w:lang w:val="en-GB"/>
        </w:rPr>
        <w:t xml:space="preserve"> </w:t>
      </w:r>
      <w:r w:rsidR="0064367B">
        <w:rPr>
          <w:color w:val="000000" w:themeColor="text1"/>
          <w:sz w:val="20"/>
          <w:szCs w:val="20"/>
          <w:lang w:val="en-GB"/>
        </w:rPr>
        <w:t>the</w:t>
      </w:r>
      <w:r w:rsidR="00FF41A0">
        <w:rPr>
          <w:color w:val="000000" w:themeColor="text1"/>
          <w:sz w:val="20"/>
          <w:szCs w:val="20"/>
          <w:lang w:val="en-GB"/>
        </w:rPr>
        <w:t xml:space="preserve"> </w:t>
      </w:r>
      <w:r w:rsidR="0064367B" w:rsidRPr="0032631B">
        <w:rPr>
          <w:color w:val="000000" w:themeColor="text1"/>
          <w:sz w:val="20"/>
          <w:szCs w:val="20"/>
          <w:lang w:val="en-GB"/>
        </w:rPr>
        <w:t>peace</w:t>
      </w:r>
      <w:r w:rsidR="00FF41A0">
        <w:rPr>
          <w:color w:val="000000" w:themeColor="text1"/>
          <w:sz w:val="20"/>
          <w:szCs w:val="20"/>
          <w:lang w:val="en-GB"/>
        </w:rPr>
        <w:t xml:space="preserve"> </w:t>
      </w:r>
      <w:r w:rsidR="0064367B" w:rsidRPr="0032631B">
        <w:rPr>
          <w:color w:val="000000" w:themeColor="text1"/>
          <w:sz w:val="20"/>
          <w:szCs w:val="20"/>
          <w:lang w:val="en-GB"/>
        </w:rPr>
        <w:t>adviser</w:t>
      </w:r>
      <w:r w:rsidR="00FF41A0">
        <w:rPr>
          <w:color w:val="000000" w:themeColor="text1"/>
          <w:sz w:val="20"/>
          <w:szCs w:val="20"/>
          <w:lang w:val="en-GB"/>
        </w:rPr>
        <w:t xml:space="preserve"> </w:t>
      </w:r>
      <w:r w:rsidR="00543946" w:rsidRPr="0032631B">
        <w:rPr>
          <w:color w:val="000000" w:themeColor="text1"/>
          <w:sz w:val="20"/>
          <w:szCs w:val="20"/>
          <w:lang w:val="en-GB"/>
        </w:rPr>
        <w:t>to</w:t>
      </w:r>
      <w:r w:rsidR="00FF41A0">
        <w:rPr>
          <w:color w:val="000000" w:themeColor="text1"/>
          <w:sz w:val="20"/>
          <w:szCs w:val="20"/>
          <w:lang w:val="en-GB"/>
        </w:rPr>
        <w:t xml:space="preserve"> </w:t>
      </w:r>
      <w:r w:rsidR="00543946" w:rsidRPr="0032631B">
        <w:rPr>
          <w:color w:val="000000" w:themeColor="text1"/>
          <w:sz w:val="20"/>
          <w:szCs w:val="20"/>
          <w:lang w:val="en-GB"/>
        </w:rPr>
        <w:t>the</w:t>
      </w:r>
      <w:r w:rsidR="00FF41A0">
        <w:rPr>
          <w:color w:val="000000" w:themeColor="text1"/>
          <w:sz w:val="20"/>
          <w:szCs w:val="20"/>
          <w:lang w:val="en-GB"/>
        </w:rPr>
        <w:t xml:space="preserve"> </w:t>
      </w:r>
      <w:r w:rsidR="0064367B" w:rsidRPr="0032631B">
        <w:rPr>
          <w:color w:val="000000" w:themeColor="text1"/>
          <w:sz w:val="20"/>
          <w:szCs w:val="20"/>
          <w:lang w:val="en-GB"/>
        </w:rPr>
        <w:t>Mayor</w:t>
      </w:r>
      <w:r w:rsidR="00FF41A0">
        <w:rPr>
          <w:color w:val="000000" w:themeColor="text1"/>
          <w:sz w:val="20"/>
          <w:szCs w:val="20"/>
          <w:lang w:val="en-GB"/>
        </w:rPr>
        <w:t xml:space="preserve"> </w:t>
      </w:r>
      <w:r w:rsidR="00543946" w:rsidRPr="0032631B">
        <w:rPr>
          <w:color w:val="000000" w:themeColor="text1"/>
          <w:sz w:val="20"/>
          <w:szCs w:val="20"/>
          <w:lang w:val="en-GB"/>
        </w:rPr>
        <w:t>of</w:t>
      </w:r>
      <w:r w:rsidR="00FF41A0">
        <w:rPr>
          <w:color w:val="000000" w:themeColor="text1"/>
          <w:sz w:val="20"/>
          <w:szCs w:val="20"/>
          <w:lang w:val="en-GB"/>
        </w:rPr>
        <w:t xml:space="preserve"> </w:t>
      </w:r>
      <w:r w:rsidR="00543946" w:rsidRPr="0032631B">
        <w:rPr>
          <w:color w:val="000000" w:themeColor="text1"/>
          <w:sz w:val="20"/>
          <w:szCs w:val="20"/>
          <w:lang w:val="en-GB"/>
        </w:rPr>
        <w:t>Davao</w:t>
      </w:r>
      <w:r w:rsidR="00FF41A0">
        <w:rPr>
          <w:color w:val="000000" w:themeColor="text1"/>
          <w:sz w:val="20"/>
          <w:szCs w:val="20"/>
          <w:lang w:val="en-GB"/>
        </w:rPr>
        <w:t xml:space="preserve"> </w:t>
      </w:r>
      <w:r w:rsidR="0064367B" w:rsidRPr="0032631B">
        <w:rPr>
          <w:color w:val="000000" w:themeColor="text1"/>
          <w:sz w:val="20"/>
          <w:szCs w:val="20"/>
          <w:lang w:val="en-GB"/>
        </w:rPr>
        <w:t>city</w:t>
      </w:r>
      <w:r w:rsidR="00FF41A0">
        <w:rPr>
          <w:color w:val="000000" w:themeColor="text1"/>
          <w:sz w:val="20"/>
          <w:szCs w:val="20"/>
          <w:lang w:val="en-GB"/>
        </w:rPr>
        <w:t xml:space="preserve"> </w:t>
      </w:r>
      <w:r w:rsidR="00543946">
        <w:rPr>
          <w:color w:val="000000" w:themeColor="text1"/>
          <w:sz w:val="20"/>
          <w:szCs w:val="20"/>
          <w:lang w:val="en-GB"/>
        </w:rPr>
        <w:t>in</w:t>
      </w:r>
      <w:r w:rsidR="00FF41A0">
        <w:rPr>
          <w:color w:val="000000" w:themeColor="text1"/>
          <w:sz w:val="20"/>
          <w:szCs w:val="20"/>
          <w:lang w:val="en-GB"/>
        </w:rPr>
        <w:t xml:space="preserve"> </w:t>
      </w:r>
      <w:r w:rsidR="00543946">
        <w:rPr>
          <w:color w:val="000000" w:themeColor="text1"/>
          <w:sz w:val="20"/>
          <w:szCs w:val="20"/>
          <w:lang w:val="en-GB"/>
        </w:rPr>
        <w:t>the</w:t>
      </w:r>
      <w:r w:rsidR="00FF41A0">
        <w:rPr>
          <w:color w:val="000000" w:themeColor="text1"/>
          <w:sz w:val="20"/>
          <w:szCs w:val="20"/>
          <w:lang w:val="en-GB"/>
        </w:rPr>
        <w:t xml:space="preserve"> </w:t>
      </w:r>
      <w:r w:rsidR="00543946">
        <w:rPr>
          <w:color w:val="000000" w:themeColor="text1"/>
          <w:sz w:val="20"/>
          <w:szCs w:val="20"/>
          <w:lang w:val="en-GB"/>
        </w:rPr>
        <w:t>Philippines,</w:t>
      </w:r>
      <w:r w:rsidR="00FF41A0">
        <w:rPr>
          <w:color w:val="000000" w:themeColor="text1"/>
          <w:sz w:val="20"/>
          <w:szCs w:val="20"/>
          <w:lang w:val="en-GB"/>
        </w:rPr>
        <w:t xml:space="preserve"> </w:t>
      </w:r>
      <w:r w:rsidR="00543946" w:rsidRPr="0032631B">
        <w:rPr>
          <w:color w:val="000000" w:themeColor="text1"/>
          <w:sz w:val="20"/>
          <w:szCs w:val="20"/>
          <w:lang w:val="en-GB"/>
        </w:rPr>
        <w:t>Irene</w:t>
      </w:r>
      <w:r w:rsidR="00FF41A0">
        <w:rPr>
          <w:color w:val="000000" w:themeColor="text1"/>
          <w:sz w:val="20"/>
          <w:szCs w:val="20"/>
          <w:lang w:val="en-GB"/>
        </w:rPr>
        <w:t xml:space="preserve"> </w:t>
      </w:r>
      <w:r w:rsidR="00543946" w:rsidRPr="0032631B">
        <w:rPr>
          <w:color w:val="000000" w:themeColor="text1"/>
          <w:sz w:val="20"/>
          <w:szCs w:val="20"/>
          <w:lang w:val="en-GB"/>
        </w:rPr>
        <w:t>Santiago</w:t>
      </w:r>
      <w:r w:rsidR="007247BA" w:rsidRPr="00113DE2">
        <w:rPr>
          <w:color w:val="000000" w:themeColor="text1"/>
          <w:sz w:val="20"/>
          <w:szCs w:val="20"/>
          <w:lang w:val="en-GB"/>
        </w:rPr>
        <w:t>.</w:t>
      </w:r>
      <w:r w:rsidR="00FF41A0">
        <w:rPr>
          <w:color w:val="000000" w:themeColor="text1"/>
          <w:sz w:val="20"/>
          <w:szCs w:val="20"/>
          <w:lang w:val="en-GB"/>
        </w:rPr>
        <w:t xml:space="preserve"> </w:t>
      </w:r>
      <w:r w:rsidR="007247BA" w:rsidRPr="00113DE2">
        <w:rPr>
          <w:color w:val="000000" w:themeColor="text1"/>
          <w:sz w:val="20"/>
          <w:szCs w:val="20"/>
          <w:lang w:val="en-GB"/>
        </w:rPr>
        <w:t>The</w:t>
      </w:r>
      <w:r w:rsidR="00FF41A0">
        <w:rPr>
          <w:color w:val="000000" w:themeColor="text1"/>
          <w:sz w:val="20"/>
          <w:szCs w:val="20"/>
          <w:lang w:val="en-GB"/>
        </w:rPr>
        <w:t xml:space="preserve"> </w:t>
      </w:r>
      <w:r w:rsidR="007247BA" w:rsidRPr="00113DE2">
        <w:rPr>
          <w:color w:val="000000" w:themeColor="text1"/>
          <w:sz w:val="20"/>
          <w:szCs w:val="20"/>
          <w:lang w:val="en-GB"/>
        </w:rPr>
        <w:t>Council</w:t>
      </w:r>
      <w:r w:rsidR="00FF41A0">
        <w:rPr>
          <w:color w:val="000000" w:themeColor="text1"/>
          <w:sz w:val="20"/>
          <w:szCs w:val="20"/>
          <w:lang w:val="en-GB"/>
        </w:rPr>
        <w:t xml:space="preserve"> </w:t>
      </w:r>
      <w:r w:rsidR="007247BA" w:rsidRPr="00113DE2">
        <w:rPr>
          <w:color w:val="000000" w:themeColor="text1"/>
          <w:sz w:val="20"/>
          <w:szCs w:val="20"/>
          <w:lang w:val="en-GB"/>
        </w:rPr>
        <w:t>divided</w:t>
      </w:r>
      <w:r w:rsidR="00FF41A0">
        <w:rPr>
          <w:color w:val="000000" w:themeColor="text1"/>
          <w:sz w:val="20"/>
          <w:szCs w:val="20"/>
          <w:lang w:val="en-GB"/>
        </w:rPr>
        <w:t xml:space="preserve"> </w:t>
      </w:r>
      <w:r w:rsidR="007247BA" w:rsidRPr="00113DE2">
        <w:rPr>
          <w:color w:val="000000" w:themeColor="text1"/>
          <w:sz w:val="20"/>
          <w:szCs w:val="20"/>
          <w:lang w:val="en-GB"/>
        </w:rPr>
        <w:t>the</w:t>
      </w:r>
      <w:r w:rsidR="00FF41A0">
        <w:rPr>
          <w:color w:val="000000" w:themeColor="text1"/>
          <w:sz w:val="20"/>
          <w:szCs w:val="20"/>
          <w:lang w:val="en-GB"/>
        </w:rPr>
        <w:t xml:space="preserve"> </w:t>
      </w:r>
      <w:r w:rsidR="007247BA" w:rsidRPr="00113DE2">
        <w:rPr>
          <w:color w:val="000000" w:themeColor="text1"/>
          <w:sz w:val="20"/>
          <w:szCs w:val="20"/>
          <w:lang w:val="en-GB"/>
        </w:rPr>
        <w:t>debate</w:t>
      </w:r>
      <w:r w:rsidR="00FF41A0">
        <w:rPr>
          <w:color w:val="000000" w:themeColor="text1"/>
          <w:sz w:val="20"/>
          <w:szCs w:val="20"/>
          <w:lang w:val="en-GB"/>
        </w:rPr>
        <w:t xml:space="preserve"> </w:t>
      </w:r>
      <w:r w:rsidR="007247BA" w:rsidRPr="00113DE2">
        <w:rPr>
          <w:color w:val="000000" w:themeColor="text1"/>
          <w:sz w:val="20"/>
          <w:szCs w:val="20"/>
          <w:lang w:val="en-GB"/>
        </w:rPr>
        <w:t>into</w:t>
      </w:r>
      <w:r w:rsidR="00FF41A0">
        <w:rPr>
          <w:color w:val="000000" w:themeColor="text1"/>
          <w:sz w:val="20"/>
          <w:szCs w:val="20"/>
          <w:lang w:val="en-GB"/>
        </w:rPr>
        <w:t xml:space="preserve"> </w:t>
      </w:r>
      <w:r w:rsidR="007247BA" w:rsidRPr="00113DE2">
        <w:rPr>
          <w:color w:val="000000" w:themeColor="text1"/>
          <w:sz w:val="20"/>
          <w:szCs w:val="20"/>
          <w:lang w:val="en-GB"/>
        </w:rPr>
        <w:t>two</w:t>
      </w:r>
      <w:r w:rsidR="00FF41A0">
        <w:rPr>
          <w:color w:val="000000" w:themeColor="text1"/>
          <w:sz w:val="20"/>
          <w:szCs w:val="20"/>
          <w:lang w:val="en-GB"/>
        </w:rPr>
        <w:t xml:space="preserve"> </w:t>
      </w:r>
      <w:r w:rsidR="007247BA" w:rsidRPr="00113DE2">
        <w:rPr>
          <w:color w:val="000000" w:themeColor="text1"/>
          <w:sz w:val="20"/>
          <w:szCs w:val="20"/>
          <w:lang w:val="en-GB"/>
        </w:rPr>
        <w:t>slots.</w:t>
      </w:r>
    </w:p>
    <w:p w14:paraId="69996C22" w14:textId="7DC7A571" w:rsidR="007247BA" w:rsidRPr="00113DE2" w:rsidRDefault="00CF15B1" w:rsidP="007247BA">
      <w:pPr>
        <w:pStyle w:val="SingleTxtG"/>
        <w:rPr>
          <w:color w:val="000000" w:themeColor="text1"/>
          <w:sz w:val="20"/>
          <w:szCs w:val="20"/>
          <w:lang w:val="en-GB"/>
        </w:rPr>
      </w:pPr>
      <w:r>
        <w:rPr>
          <w:color w:val="000000" w:themeColor="text1"/>
          <w:sz w:val="20"/>
          <w:szCs w:val="20"/>
          <w:lang w:val="en-GB"/>
        </w:rPr>
        <w:t>959</w:t>
      </w:r>
      <w:r w:rsidR="007247BA" w:rsidRPr="00113DE2">
        <w:rPr>
          <w:color w:val="000000" w:themeColor="text1"/>
          <w:sz w:val="20"/>
          <w:szCs w:val="20"/>
          <w:lang w:val="en-GB"/>
        </w:rPr>
        <w:t>.</w:t>
      </w:r>
      <w:r w:rsidR="007247BA" w:rsidRPr="00113DE2">
        <w:rPr>
          <w:color w:val="000000" w:themeColor="text1"/>
          <w:sz w:val="20"/>
          <w:szCs w:val="20"/>
          <w:lang w:val="en-GB"/>
        </w:rPr>
        <w:tab/>
        <w:t>During</w:t>
      </w:r>
      <w:r w:rsidR="00FF41A0">
        <w:rPr>
          <w:color w:val="000000" w:themeColor="text1"/>
          <w:sz w:val="20"/>
          <w:szCs w:val="20"/>
          <w:lang w:val="en-GB"/>
        </w:rPr>
        <w:t xml:space="preserve"> </w:t>
      </w:r>
      <w:r w:rsidR="007247BA" w:rsidRPr="00113DE2">
        <w:rPr>
          <w:color w:val="000000" w:themeColor="text1"/>
          <w:sz w:val="20"/>
          <w:szCs w:val="20"/>
          <w:lang w:val="en-GB"/>
        </w:rPr>
        <w:t>the</w:t>
      </w:r>
      <w:r w:rsidR="00FF41A0">
        <w:rPr>
          <w:color w:val="000000" w:themeColor="text1"/>
          <w:sz w:val="20"/>
          <w:szCs w:val="20"/>
          <w:lang w:val="en-GB"/>
        </w:rPr>
        <w:t xml:space="preserve"> </w:t>
      </w:r>
      <w:r w:rsidR="007247BA" w:rsidRPr="00113DE2">
        <w:rPr>
          <w:color w:val="000000" w:themeColor="text1"/>
          <w:sz w:val="20"/>
          <w:szCs w:val="20"/>
          <w:lang w:val="en-GB"/>
        </w:rPr>
        <w:t>ensuing</w:t>
      </w:r>
      <w:r w:rsidR="00FF41A0">
        <w:rPr>
          <w:color w:val="000000" w:themeColor="text1"/>
          <w:sz w:val="20"/>
          <w:szCs w:val="20"/>
          <w:lang w:val="en-GB"/>
        </w:rPr>
        <w:t xml:space="preserve"> </w:t>
      </w:r>
      <w:r w:rsidR="007247BA" w:rsidRPr="00113DE2">
        <w:rPr>
          <w:color w:val="000000" w:themeColor="text1"/>
          <w:sz w:val="20"/>
          <w:szCs w:val="20"/>
          <w:lang w:val="en-GB"/>
        </w:rPr>
        <w:t>discussion</w:t>
      </w:r>
      <w:r w:rsidR="00FF41A0">
        <w:rPr>
          <w:color w:val="000000" w:themeColor="text1"/>
          <w:sz w:val="20"/>
          <w:szCs w:val="20"/>
          <w:lang w:val="en-GB"/>
        </w:rPr>
        <w:t xml:space="preserve"> </w:t>
      </w:r>
      <w:r w:rsidR="007247BA" w:rsidRPr="00113DE2">
        <w:rPr>
          <w:color w:val="000000" w:themeColor="text1"/>
          <w:sz w:val="20"/>
          <w:szCs w:val="20"/>
          <w:lang w:val="en-GB"/>
        </w:rPr>
        <w:t>for</w:t>
      </w:r>
      <w:r w:rsidR="00FF41A0">
        <w:rPr>
          <w:color w:val="000000" w:themeColor="text1"/>
          <w:sz w:val="20"/>
          <w:szCs w:val="20"/>
          <w:lang w:val="en-GB"/>
        </w:rPr>
        <w:t xml:space="preserve"> </w:t>
      </w:r>
      <w:r w:rsidR="007247BA" w:rsidRPr="00113DE2">
        <w:rPr>
          <w:color w:val="000000" w:themeColor="text1"/>
          <w:sz w:val="20"/>
          <w:szCs w:val="20"/>
          <w:lang w:val="en-GB"/>
        </w:rPr>
        <w:t>the</w:t>
      </w:r>
      <w:r w:rsidR="00FF41A0">
        <w:rPr>
          <w:color w:val="000000" w:themeColor="text1"/>
          <w:sz w:val="20"/>
          <w:szCs w:val="20"/>
          <w:lang w:val="en-GB"/>
        </w:rPr>
        <w:t xml:space="preserve"> </w:t>
      </w:r>
      <w:r w:rsidR="007247BA" w:rsidRPr="00113DE2">
        <w:rPr>
          <w:color w:val="000000" w:themeColor="text1"/>
          <w:sz w:val="20"/>
          <w:szCs w:val="20"/>
          <w:lang w:val="en-GB"/>
        </w:rPr>
        <w:t>first</w:t>
      </w:r>
      <w:r w:rsidR="00FF41A0">
        <w:rPr>
          <w:color w:val="000000" w:themeColor="text1"/>
          <w:sz w:val="20"/>
          <w:szCs w:val="20"/>
          <w:lang w:val="en-GB"/>
        </w:rPr>
        <w:t xml:space="preserve"> </w:t>
      </w:r>
      <w:r w:rsidR="007247BA" w:rsidRPr="00113DE2">
        <w:rPr>
          <w:color w:val="000000" w:themeColor="text1"/>
          <w:sz w:val="20"/>
          <w:szCs w:val="20"/>
          <w:lang w:val="en-GB"/>
        </w:rPr>
        <w:t>slot,</w:t>
      </w:r>
      <w:r w:rsidR="00FF41A0">
        <w:rPr>
          <w:color w:val="000000" w:themeColor="text1"/>
          <w:sz w:val="20"/>
          <w:szCs w:val="20"/>
          <w:lang w:val="en-GB"/>
        </w:rPr>
        <w:t xml:space="preserve"> </w:t>
      </w:r>
      <w:r w:rsidR="007247BA" w:rsidRPr="00113DE2">
        <w:rPr>
          <w:color w:val="000000" w:themeColor="text1"/>
          <w:sz w:val="20"/>
          <w:szCs w:val="20"/>
          <w:lang w:val="en-GB"/>
        </w:rPr>
        <w:t>at</w:t>
      </w:r>
      <w:r w:rsidR="00FF41A0">
        <w:rPr>
          <w:color w:val="000000" w:themeColor="text1"/>
          <w:sz w:val="20"/>
          <w:szCs w:val="20"/>
          <w:lang w:val="en-GB"/>
        </w:rPr>
        <w:t xml:space="preserve"> </w:t>
      </w:r>
      <w:r w:rsidR="007247BA" w:rsidRPr="00113DE2">
        <w:rPr>
          <w:color w:val="000000" w:themeColor="text1"/>
          <w:sz w:val="20"/>
          <w:szCs w:val="20"/>
          <w:lang w:val="en-GB"/>
        </w:rPr>
        <w:t>the</w:t>
      </w:r>
      <w:r w:rsidR="00FF41A0">
        <w:rPr>
          <w:color w:val="000000" w:themeColor="text1"/>
          <w:sz w:val="20"/>
          <w:szCs w:val="20"/>
          <w:lang w:val="en-GB"/>
        </w:rPr>
        <w:t xml:space="preserve"> </w:t>
      </w:r>
      <w:r w:rsidR="007247BA" w:rsidRPr="00113DE2">
        <w:rPr>
          <w:color w:val="000000" w:themeColor="text1"/>
          <w:sz w:val="20"/>
          <w:szCs w:val="20"/>
          <w:lang w:val="en-GB"/>
        </w:rPr>
        <w:t>same</w:t>
      </w:r>
      <w:r w:rsidR="00FF41A0">
        <w:rPr>
          <w:color w:val="000000" w:themeColor="text1"/>
          <w:sz w:val="20"/>
          <w:szCs w:val="20"/>
          <w:lang w:val="en-GB"/>
        </w:rPr>
        <w:t xml:space="preserve"> </w:t>
      </w:r>
      <w:r w:rsidR="007247BA" w:rsidRPr="00113DE2">
        <w:rPr>
          <w:color w:val="000000" w:themeColor="text1"/>
          <w:sz w:val="20"/>
          <w:szCs w:val="20"/>
          <w:lang w:val="en-GB"/>
        </w:rPr>
        <w:t>meeting,</w:t>
      </w:r>
      <w:r w:rsidR="00FF41A0">
        <w:rPr>
          <w:color w:val="000000" w:themeColor="text1"/>
          <w:sz w:val="20"/>
          <w:szCs w:val="20"/>
          <w:lang w:val="en-GB"/>
        </w:rPr>
        <w:t xml:space="preserve"> </w:t>
      </w:r>
      <w:r w:rsidR="007247BA" w:rsidRPr="00113DE2">
        <w:rPr>
          <w:color w:val="000000" w:themeColor="text1"/>
          <w:sz w:val="20"/>
          <w:szCs w:val="20"/>
          <w:lang w:val="en-GB"/>
        </w:rPr>
        <w:t>the</w:t>
      </w:r>
      <w:r w:rsidR="00FF41A0">
        <w:rPr>
          <w:color w:val="000000" w:themeColor="text1"/>
          <w:sz w:val="20"/>
          <w:szCs w:val="20"/>
          <w:lang w:val="en-GB"/>
        </w:rPr>
        <w:t xml:space="preserve"> </w:t>
      </w:r>
      <w:r w:rsidR="007247BA" w:rsidRPr="00113DE2">
        <w:rPr>
          <w:color w:val="000000" w:themeColor="text1"/>
          <w:sz w:val="20"/>
          <w:szCs w:val="20"/>
          <w:lang w:val="en-GB"/>
        </w:rPr>
        <w:t>following</w:t>
      </w:r>
      <w:r w:rsidR="00FF41A0">
        <w:rPr>
          <w:color w:val="000000" w:themeColor="text1"/>
          <w:sz w:val="20"/>
          <w:szCs w:val="20"/>
          <w:lang w:val="en-GB"/>
        </w:rPr>
        <w:t xml:space="preserve"> </w:t>
      </w:r>
      <w:r w:rsidR="007247BA" w:rsidRPr="00113DE2">
        <w:rPr>
          <w:color w:val="000000" w:themeColor="text1"/>
          <w:sz w:val="20"/>
          <w:szCs w:val="20"/>
          <w:lang w:val="en-GB"/>
        </w:rPr>
        <w:t>made</w:t>
      </w:r>
      <w:r w:rsidR="00FF41A0">
        <w:rPr>
          <w:color w:val="000000" w:themeColor="text1"/>
          <w:sz w:val="20"/>
          <w:szCs w:val="20"/>
          <w:lang w:val="en-GB"/>
        </w:rPr>
        <w:t xml:space="preserve"> </w:t>
      </w:r>
      <w:r w:rsidR="007247BA" w:rsidRPr="00113DE2">
        <w:rPr>
          <w:color w:val="000000" w:themeColor="text1"/>
          <w:sz w:val="20"/>
          <w:szCs w:val="20"/>
          <w:lang w:val="en-GB"/>
        </w:rPr>
        <w:t>statements</w:t>
      </w:r>
      <w:r w:rsidR="00FF41A0">
        <w:rPr>
          <w:color w:val="000000" w:themeColor="text1"/>
          <w:sz w:val="20"/>
          <w:szCs w:val="20"/>
          <w:lang w:val="en-GB"/>
        </w:rPr>
        <w:t xml:space="preserve"> </w:t>
      </w:r>
      <w:r w:rsidR="007247BA" w:rsidRPr="00113DE2">
        <w:rPr>
          <w:color w:val="000000" w:themeColor="text1"/>
          <w:sz w:val="20"/>
          <w:szCs w:val="20"/>
          <w:lang w:val="en-GB"/>
        </w:rPr>
        <w:t>and</w:t>
      </w:r>
      <w:r w:rsidR="00FF41A0">
        <w:rPr>
          <w:color w:val="000000" w:themeColor="text1"/>
          <w:sz w:val="20"/>
          <w:szCs w:val="20"/>
          <w:lang w:val="en-GB"/>
        </w:rPr>
        <w:t xml:space="preserve"> </w:t>
      </w:r>
      <w:r w:rsidR="007247BA" w:rsidRPr="00113DE2">
        <w:rPr>
          <w:color w:val="000000" w:themeColor="text1"/>
          <w:sz w:val="20"/>
          <w:szCs w:val="20"/>
          <w:lang w:val="en-GB"/>
        </w:rPr>
        <w:t>asked</w:t>
      </w:r>
      <w:r w:rsidR="00FF41A0">
        <w:rPr>
          <w:color w:val="000000" w:themeColor="text1"/>
          <w:sz w:val="20"/>
          <w:szCs w:val="20"/>
          <w:lang w:val="en-GB"/>
        </w:rPr>
        <w:t xml:space="preserve"> </w:t>
      </w:r>
      <w:r w:rsidR="007247BA" w:rsidRPr="00113DE2">
        <w:rPr>
          <w:color w:val="000000" w:themeColor="text1"/>
          <w:sz w:val="20"/>
          <w:szCs w:val="20"/>
          <w:lang w:val="en-GB"/>
        </w:rPr>
        <w:t>the</w:t>
      </w:r>
      <w:r w:rsidR="00FF41A0">
        <w:rPr>
          <w:color w:val="000000" w:themeColor="text1"/>
          <w:sz w:val="20"/>
          <w:szCs w:val="20"/>
          <w:lang w:val="en-GB"/>
        </w:rPr>
        <w:t xml:space="preserve"> </w:t>
      </w:r>
      <w:r w:rsidR="007247BA" w:rsidRPr="00113DE2">
        <w:rPr>
          <w:color w:val="000000" w:themeColor="text1"/>
          <w:sz w:val="20"/>
          <w:szCs w:val="20"/>
          <w:lang w:val="en-GB"/>
        </w:rPr>
        <w:t>panellists</w:t>
      </w:r>
      <w:r w:rsidR="00FF41A0">
        <w:rPr>
          <w:color w:val="000000" w:themeColor="text1"/>
          <w:sz w:val="20"/>
          <w:szCs w:val="20"/>
          <w:lang w:val="en-GB"/>
        </w:rPr>
        <w:t xml:space="preserve"> </w:t>
      </w:r>
      <w:r w:rsidR="007247BA" w:rsidRPr="00113DE2">
        <w:rPr>
          <w:color w:val="000000" w:themeColor="text1"/>
          <w:sz w:val="20"/>
          <w:szCs w:val="20"/>
          <w:lang w:val="en-GB"/>
        </w:rPr>
        <w:t>questions:</w:t>
      </w:r>
    </w:p>
    <w:p w14:paraId="3DD63C0E" w14:textId="3AEBC23C" w:rsidR="007247BA" w:rsidRPr="00113DE2" w:rsidRDefault="007247BA" w:rsidP="007247BA">
      <w:pPr>
        <w:pStyle w:val="SingleTxtG"/>
        <w:ind w:firstLine="567"/>
        <w:rPr>
          <w:color w:val="000000" w:themeColor="text1"/>
          <w:sz w:val="20"/>
          <w:szCs w:val="20"/>
          <w:lang w:val="en-GB"/>
        </w:rPr>
      </w:pPr>
      <w:r w:rsidRPr="00113DE2">
        <w:rPr>
          <w:color w:val="000000" w:themeColor="text1"/>
          <w:sz w:val="20"/>
          <w:szCs w:val="20"/>
          <w:lang w:val="en-GB"/>
        </w:rPr>
        <w:t>(a)</w:t>
      </w:r>
      <w:r w:rsidRPr="00113DE2">
        <w:rPr>
          <w:color w:val="000000" w:themeColor="text1"/>
          <w:sz w:val="20"/>
          <w:szCs w:val="20"/>
          <w:lang w:val="en-GB"/>
        </w:rPr>
        <w:tab/>
        <w:t>Representatives</w:t>
      </w:r>
      <w:r w:rsidR="00FF41A0">
        <w:rPr>
          <w:color w:val="000000" w:themeColor="text1"/>
          <w:sz w:val="20"/>
          <w:szCs w:val="20"/>
          <w:lang w:val="en-GB"/>
        </w:rPr>
        <w:t xml:space="preserve"> </w:t>
      </w:r>
      <w:r w:rsidRPr="00113DE2">
        <w:rPr>
          <w:color w:val="000000" w:themeColor="text1"/>
          <w:sz w:val="20"/>
          <w:szCs w:val="20"/>
          <w:lang w:val="en-GB"/>
        </w:rPr>
        <w:t>of</w:t>
      </w:r>
      <w:r w:rsidR="00FF41A0">
        <w:rPr>
          <w:color w:val="000000" w:themeColor="text1"/>
          <w:sz w:val="20"/>
          <w:szCs w:val="20"/>
          <w:lang w:val="en-GB"/>
        </w:rPr>
        <w:t xml:space="preserve"> </w:t>
      </w:r>
      <w:r w:rsidR="005D3E5F">
        <w:rPr>
          <w:color w:val="000000" w:themeColor="text1"/>
          <w:sz w:val="20"/>
          <w:szCs w:val="20"/>
          <w:lang w:val="en-GB"/>
        </w:rPr>
        <w:t>States</w:t>
      </w:r>
      <w:r w:rsidR="00FF41A0">
        <w:rPr>
          <w:color w:val="000000" w:themeColor="text1"/>
          <w:sz w:val="20"/>
          <w:szCs w:val="20"/>
          <w:lang w:val="en-GB"/>
        </w:rPr>
        <w:t xml:space="preserve"> </w:t>
      </w:r>
      <w:r w:rsidR="005D3E5F">
        <w:rPr>
          <w:color w:val="000000" w:themeColor="text1"/>
          <w:sz w:val="20"/>
          <w:szCs w:val="20"/>
          <w:lang w:val="en-GB"/>
        </w:rPr>
        <w:t>Members</w:t>
      </w:r>
      <w:r w:rsidR="00FF41A0">
        <w:rPr>
          <w:color w:val="000000" w:themeColor="text1"/>
          <w:sz w:val="20"/>
          <w:szCs w:val="20"/>
          <w:lang w:val="en-GB"/>
        </w:rPr>
        <w:t xml:space="preserve"> </w:t>
      </w:r>
      <w:r w:rsidRPr="00113DE2">
        <w:rPr>
          <w:color w:val="000000" w:themeColor="text1"/>
          <w:sz w:val="20"/>
          <w:szCs w:val="20"/>
          <w:lang w:val="en-GB"/>
        </w:rPr>
        <w:t>of</w:t>
      </w:r>
      <w:r w:rsidR="00FF41A0">
        <w:rPr>
          <w:color w:val="000000" w:themeColor="text1"/>
          <w:sz w:val="20"/>
          <w:szCs w:val="20"/>
          <w:lang w:val="en-GB"/>
        </w:rPr>
        <w:t xml:space="preserve"> </w:t>
      </w:r>
      <w:r w:rsidRPr="00113DE2">
        <w:rPr>
          <w:color w:val="000000" w:themeColor="text1"/>
          <w:sz w:val="20"/>
          <w:szCs w:val="20"/>
          <w:lang w:val="en-GB"/>
        </w:rPr>
        <w:t>the</w:t>
      </w:r>
      <w:r w:rsidR="00FF41A0">
        <w:rPr>
          <w:color w:val="000000" w:themeColor="text1"/>
          <w:sz w:val="20"/>
          <w:szCs w:val="20"/>
          <w:lang w:val="en-GB"/>
        </w:rPr>
        <w:t xml:space="preserve"> </w:t>
      </w:r>
      <w:r w:rsidRPr="00113DE2">
        <w:rPr>
          <w:color w:val="000000" w:themeColor="text1"/>
          <w:sz w:val="20"/>
          <w:szCs w:val="20"/>
          <w:lang w:val="en-GB"/>
        </w:rPr>
        <w:t>Human</w:t>
      </w:r>
      <w:r w:rsidR="00FF41A0">
        <w:rPr>
          <w:color w:val="000000" w:themeColor="text1"/>
          <w:sz w:val="20"/>
          <w:szCs w:val="20"/>
          <w:lang w:val="en-GB"/>
        </w:rPr>
        <w:t xml:space="preserve"> </w:t>
      </w:r>
      <w:r w:rsidRPr="00113DE2">
        <w:rPr>
          <w:color w:val="000000" w:themeColor="text1"/>
          <w:sz w:val="20"/>
          <w:szCs w:val="20"/>
          <w:lang w:val="en-GB"/>
        </w:rPr>
        <w:t>Rights</w:t>
      </w:r>
      <w:r w:rsidR="00FF41A0">
        <w:rPr>
          <w:color w:val="000000" w:themeColor="text1"/>
          <w:sz w:val="20"/>
          <w:szCs w:val="20"/>
          <w:lang w:val="en-GB"/>
        </w:rPr>
        <w:t xml:space="preserve"> </w:t>
      </w:r>
      <w:r w:rsidRPr="00113DE2">
        <w:rPr>
          <w:color w:val="000000" w:themeColor="text1"/>
          <w:sz w:val="20"/>
          <w:szCs w:val="20"/>
          <w:lang w:val="en-GB"/>
        </w:rPr>
        <w:t>Council:</w:t>
      </w:r>
      <w:r w:rsidR="00FF41A0">
        <w:rPr>
          <w:color w:val="000000" w:themeColor="text1"/>
          <w:sz w:val="20"/>
          <w:szCs w:val="20"/>
          <w:lang w:val="en-GB"/>
        </w:rPr>
        <w:t xml:space="preserve"> </w:t>
      </w:r>
      <w:r w:rsidR="005B6C93" w:rsidRPr="00543946">
        <w:rPr>
          <w:color w:val="000000" w:themeColor="text1"/>
          <w:sz w:val="20"/>
          <w:szCs w:val="20"/>
          <w:lang w:val="en-GB"/>
        </w:rPr>
        <w:t>Angola</w:t>
      </w:r>
      <w:r w:rsidR="00FF41A0">
        <w:rPr>
          <w:color w:val="000000" w:themeColor="text1"/>
          <w:sz w:val="20"/>
          <w:szCs w:val="20"/>
          <w:lang w:val="en-GB"/>
        </w:rPr>
        <w:t xml:space="preserve"> </w:t>
      </w:r>
      <w:r w:rsidR="005B6C93">
        <w:rPr>
          <w:color w:val="000000" w:themeColor="text1"/>
          <w:sz w:val="20"/>
          <w:szCs w:val="20"/>
          <w:lang w:val="en-GB"/>
        </w:rPr>
        <w:t>(</w:t>
      </w:r>
      <w:r w:rsidR="005B6C93" w:rsidRPr="00543946">
        <w:rPr>
          <w:color w:val="000000" w:themeColor="text1"/>
          <w:sz w:val="20"/>
          <w:szCs w:val="20"/>
          <w:lang w:val="en-GB"/>
        </w:rPr>
        <w:t>on</w:t>
      </w:r>
      <w:r w:rsidR="00FF41A0">
        <w:rPr>
          <w:color w:val="000000" w:themeColor="text1"/>
          <w:sz w:val="20"/>
          <w:szCs w:val="20"/>
          <w:lang w:val="en-GB"/>
        </w:rPr>
        <w:t xml:space="preserve"> </w:t>
      </w:r>
      <w:r w:rsidR="005B6C93" w:rsidRPr="00543946">
        <w:rPr>
          <w:color w:val="000000" w:themeColor="text1"/>
          <w:sz w:val="20"/>
          <w:szCs w:val="20"/>
          <w:lang w:val="en-GB"/>
        </w:rPr>
        <w:t>behalf</w:t>
      </w:r>
      <w:r w:rsidR="00FF41A0">
        <w:rPr>
          <w:color w:val="000000" w:themeColor="text1"/>
          <w:sz w:val="20"/>
          <w:szCs w:val="20"/>
          <w:lang w:val="en-GB"/>
        </w:rPr>
        <w:t xml:space="preserve"> </w:t>
      </w:r>
      <w:r w:rsidR="005B6C93" w:rsidRPr="00543946">
        <w:rPr>
          <w:color w:val="000000" w:themeColor="text1"/>
          <w:sz w:val="20"/>
          <w:szCs w:val="20"/>
          <w:lang w:val="en-GB"/>
        </w:rPr>
        <w:t>of</w:t>
      </w:r>
      <w:r w:rsidR="00FF41A0">
        <w:rPr>
          <w:color w:val="000000" w:themeColor="text1"/>
          <w:sz w:val="20"/>
          <w:szCs w:val="20"/>
          <w:lang w:val="en-GB"/>
        </w:rPr>
        <w:t xml:space="preserve"> </w:t>
      </w:r>
      <w:r w:rsidR="005B6C93" w:rsidRPr="00543946">
        <w:rPr>
          <w:color w:val="000000" w:themeColor="text1"/>
          <w:sz w:val="20"/>
          <w:szCs w:val="20"/>
          <w:lang w:val="en-GB"/>
        </w:rPr>
        <w:t>the</w:t>
      </w:r>
      <w:r w:rsidR="00FF41A0">
        <w:rPr>
          <w:color w:val="000000" w:themeColor="text1"/>
          <w:sz w:val="20"/>
          <w:szCs w:val="20"/>
          <w:lang w:val="en-GB"/>
        </w:rPr>
        <w:t xml:space="preserve"> </w:t>
      </w:r>
      <w:r w:rsidR="005B6C93" w:rsidRPr="00543946">
        <w:rPr>
          <w:color w:val="000000" w:themeColor="text1"/>
          <w:sz w:val="20"/>
          <w:szCs w:val="20"/>
          <w:lang w:val="en-GB"/>
        </w:rPr>
        <w:t>Group</w:t>
      </w:r>
      <w:r w:rsidR="00FF41A0">
        <w:rPr>
          <w:color w:val="000000" w:themeColor="text1"/>
          <w:sz w:val="20"/>
          <w:szCs w:val="20"/>
          <w:lang w:val="en-GB"/>
        </w:rPr>
        <w:t xml:space="preserve"> </w:t>
      </w:r>
      <w:r w:rsidR="005B6C93">
        <w:rPr>
          <w:color w:val="000000" w:themeColor="text1"/>
          <w:sz w:val="20"/>
          <w:szCs w:val="20"/>
          <w:lang w:val="en-GB"/>
        </w:rPr>
        <w:t>of</w:t>
      </w:r>
      <w:r w:rsidR="00FF41A0">
        <w:rPr>
          <w:color w:val="000000" w:themeColor="text1"/>
          <w:sz w:val="20"/>
          <w:szCs w:val="20"/>
          <w:lang w:val="en-GB"/>
        </w:rPr>
        <w:t xml:space="preserve"> </w:t>
      </w:r>
      <w:r w:rsidR="005B6C93" w:rsidRPr="00543946">
        <w:rPr>
          <w:color w:val="000000" w:themeColor="text1"/>
          <w:sz w:val="20"/>
          <w:szCs w:val="20"/>
          <w:lang w:val="en-GB"/>
        </w:rPr>
        <w:t>African</w:t>
      </w:r>
      <w:r w:rsidR="00FF41A0">
        <w:rPr>
          <w:color w:val="000000" w:themeColor="text1"/>
          <w:sz w:val="20"/>
          <w:szCs w:val="20"/>
          <w:lang w:val="en-GB"/>
        </w:rPr>
        <w:t xml:space="preserve"> </w:t>
      </w:r>
      <w:r w:rsidR="005B6C93">
        <w:rPr>
          <w:color w:val="000000" w:themeColor="text1"/>
          <w:sz w:val="20"/>
          <w:szCs w:val="20"/>
          <w:lang w:val="en-GB"/>
        </w:rPr>
        <w:t>States),</w:t>
      </w:r>
      <w:r w:rsidR="00FF41A0">
        <w:rPr>
          <w:color w:val="000000" w:themeColor="text1"/>
          <w:sz w:val="20"/>
          <w:szCs w:val="20"/>
          <w:lang w:val="en-GB"/>
        </w:rPr>
        <w:t xml:space="preserve"> </w:t>
      </w:r>
      <w:r w:rsidR="005B6C93" w:rsidRPr="00543946">
        <w:rPr>
          <w:color w:val="000000" w:themeColor="text1"/>
          <w:sz w:val="20"/>
          <w:szCs w:val="20"/>
          <w:lang w:val="en-GB"/>
        </w:rPr>
        <w:t>Bahrain</w:t>
      </w:r>
      <w:r w:rsidR="00FF41A0">
        <w:rPr>
          <w:color w:val="000000" w:themeColor="text1"/>
          <w:sz w:val="20"/>
          <w:szCs w:val="20"/>
          <w:lang w:val="en-GB"/>
        </w:rPr>
        <w:t xml:space="preserve"> </w:t>
      </w:r>
      <w:r w:rsidR="005B6C93">
        <w:rPr>
          <w:color w:val="000000" w:themeColor="text1"/>
          <w:sz w:val="20"/>
          <w:szCs w:val="20"/>
          <w:lang w:val="en-GB"/>
        </w:rPr>
        <w:t>(</w:t>
      </w:r>
      <w:r w:rsidR="005B6C93" w:rsidRPr="00543946">
        <w:rPr>
          <w:color w:val="000000" w:themeColor="text1"/>
          <w:sz w:val="20"/>
          <w:szCs w:val="20"/>
          <w:lang w:val="en-GB"/>
        </w:rPr>
        <w:t>on</w:t>
      </w:r>
      <w:r w:rsidR="00FF41A0">
        <w:rPr>
          <w:color w:val="000000" w:themeColor="text1"/>
          <w:sz w:val="20"/>
          <w:szCs w:val="20"/>
          <w:lang w:val="en-GB"/>
        </w:rPr>
        <w:t xml:space="preserve"> </w:t>
      </w:r>
      <w:r w:rsidR="005B6C93" w:rsidRPr="00543946">
        <w:rPr>
          <w:color w:val="000000" w:themeColor="text1"/>
          <w:sz w:val="20"/>
          <w:szCs w:val="20"/>
          <w:lang w:val="en-GB"/>
        </w:rPr>
        <w:t>behalf</w:t>
      </w:r>
      <w:r w:rsidR="00FF41A0">
        <w:rPr>
          <w:color w:val="000000" w:themeColor="text1"/>
          <w:sz w:val="20"/>
          <w:szCs w:val="20"/>
          <w:lang w:val="en-GB"/>
        </w:rPr>
        <w:t xml:space="preserve"> </w:t>
      </w:r>
      <w:r w:rsidR="005B6C93" w:rsidRPr="00543946">
        <w:rPr>
          <w:color w:val="000000" w:themeColor="text1"/>
          <w:sz w:val="20"/>
          <w:szCs w:val="20"/>
          <w:lang w:val="en-GB"/>
        </w:rPr>
        <w:t>of</w:t>
      </w:r>
      <w:r w:rsidR="00FF41A0">
        <w:rPr>
          <w:color w:val="000000" w:themeColor="text1"/>
          <w:sz w:val="20"/>
          <w:szCs w:val="20"/>
          <w:lang w:val="en-GB"/>
        </w:rPr>
        <w:t xml:space="preserve"> </w:t>
      </w:r>
      <w:r w:rsidR="005B6C93" w:rsidRPr="00543946">
        <w:rPr>
          <w:color w:val="000000" w:themeColor="text1"/>
          <w:sz w:val="20"/>
          <w:szCs w:val="20"/>
          <w:lang w:val="en-GB"/>
        </w:rPr>
        <w:t>the</w:t>
      </w:r>
      <w:r w:rsidR="00FF41A0">
        <w:rPr>
          <w:color w:val="000000" w:themeColor="text1"/>
          <w:sz w:val="20"/>
          <w:szCs w:val="20"/>
          <w:lang w:val="en-GB"/>
        </w:rPr>
        <w:t xml:space="preserve"> </w:t>
      </w:r>
      <w:r w:rsidR="005B6C93" w:rsidRPr="00543946">
        <w:rPr>
          <w:color w:val="000000" w:themeColor="text1"/>
          <w:sz w:val="20"/>
          <w:szCs w:val="20"/>
          <w:lang w:val="en-GB"/>
        </w:rPr>
        <w:t>Group</w:t>
      </w:r>
      <w:r w:rsidR="00FF41A0">
        <w:rPr>
          <w:color w:val="000000" w:themeColor="text1"/>
          <w:sz w:val="20"/>
          <w:szCs w:val="20"/>
          <w:lang w:val="en-GB"/>
        </w:rPr>
        <w:t xml:space="preserve"> </w:t>
      </w:r>
      <w:r w:rsidR="005B6C93">
        <w:rPr>
          <w:color w:val="000000" w:themeColor="text1"/>
          <w:sz w:val="20"/>
          <w:szCs w:val="20"/>
          <w:lang w:val="en-GB"/>
        </w:rPr>
        <w:t>of</w:t>
      </w:r>
      <w:r w:rsidR="00FF41A0">
        <w:rPr>
          <w:color w:val="000000" w:themeColor="text1"/>
          <w:sz w:val="20"/>
          <w:szCs w:val="20"/>
          <w:lang w:val="en-GB"/>
        </w:rPr>
        <w:t xml:space="preserve"> </w:t>
      </w:r>
      <w:r w:rsidR="005B6C93" w:rsidRPr="00543946">
        <w:rPr>
          <w:color w:val="000000" w:themeColor="text1"/>
          <w:sz w:val="20"/>
          <w:szCs w:val="20"/>
          <w:lang w:val="en-GB"/>
        </w:rPr>
        <w:t>Arab</w:t>
      </w:r>
      <w:r w:rsidR="00FF41A0">
        <w:rPr>
          <w:color w:val="000000" w:themeColor="text1"/>
          <w:sz w:val="20"/>
          <w:szCs w:val="20"/>
          <w:lang w:val="en-GB"/>
        </w:rPr>
        <w:t xml:space="preserve"> </w:t>
      </w:r>
      <w:r w:rsidR="005B6C93">
        <w:rPr>
          <w:color w:val="000000" w:themeColor="text1"/>
          <w:sz w:val="20"/>
          <w:szCs w:val="20"/>
          <w:lang w:val="en-GB"/>
        </w:rPr>
        <w:t>States),</w:t>
      </w:r>
      <w:r w:rsidR="00FF41A0">
        <w:rPr>
          <w:color w:val="000000" w:themeColor="text1"/>
          <w:sz w:val="20"/>
          <w:szCs w:val="20"/>
          <w:lang w:val="en-GB"/>
        </w:rPr>
        <w:t xml:space="preserve"> </w:t>
      </w:r>
      <w:r w:rsidR="005B6C93" w:rsidRPr="00543946">
        <w:rPr>
          <w:color w:val="000000" w:themeColor="text1"/>
          <w:sz w:val="20"/>
          <w:szCs w:val="20"/>
          <w:lang w:val="en-GB"/>
        </w:rPr>
        <w:t>Costa</w:t>
      </w:r>
      <w:r w:rsidR="00FF41A0">
        <w:rPr>
          <w:color w:val="000000" w:themeColor="text1"/>
          <w:sz w:val="20"/>
          <w:szCs w:val="20"/>
          <w:lang w:val="en-GB"/>
        </w:rPr>
        <w:t xml:space="preserve"> </w:t>
      </w:r>
      <w:r w:rsidR="005B6C93" w:rsidRPr="00543946">
        <w:rPr>
          <w:color w:val="000000" w:themeColor="text1"/>
          <w:sz w:val="20"/>
          <w:szCs w:val="20"/>
          <w:lang w:val="en-GB"/>
        </w:rPr>
        <w:t>Rica</w:t>
      </w:r>
      <w:r w:rsidR="000943B0">
        <w:rPr>
          <w:rStyle w:val="FootnoteReference"/>
          <w:color w:val="000000" w:themeColor="text1"/>
          <w:szCs w:val="20"/>
          <w:lang w:val="en-GB"/>
        </w:rPr>
        <w:footnoteReference w:id="71"/>
      </w:r>
      <w:r w:rsidR="00FF41A0">
        <w:rPr>
          <w:color w:val="000000" w:themeColor="text1"/>
          <w:sz w:val="20"/>
          <w:szCs w:val="20"/>
          <w:lang w:val="en-GB"/>
        </w:rPr>
        <w:t xml:space="preserve"> </w:t>
      </w:r>
      <w:r w:rsidR="005B6C93">
        <w:rPr>
          <w:color w:val="000000" w:themeColor="text1"/>
          <w:sz w:val="20"/>
          <w:szCs w:val="20"/>
          <w:lang w:val="en-GB"/>
        </w:rPr>
        <w:t>(also</w:t>
      </w:r>
      <w:r w:rsidR="00FF41A0">
        <w:rPr>
          <w:color w:val="000000" w:themeColor="text1"/>
          <w:sz w:val="20"/>
          <w:szCs w:val="20"/>
          <w:lang w:val="en-GB"/>
        </w:rPr>
        <w:t xml:space="preserve"> </w:t>
      </w:r>
      <w:r w:rsidR="005B6C93" w:rsidRPr="00543946">
        <w:rPr>
          <w:color w:val="000000" w:themeColor="text1"/>
          <w:sz w:val="20"/>
          <w:szCs w:val="20"/>
          <w:lang w:val="en-GB"/>
        </w:rPr>
        <w:t>on</w:t>
      </w:r>
      <w:r w:rsidR="00FF41A0">
        <w:rPr>
          <w:color w:val="000000" w:themeColor="text1"/>
          <w:sz w:val="20"/>
          <w:szCs w:val="20"/>
          <w:lang w:val="en-GB"/>
        </w:rPr>
        <w:t xml:space="preserve"> </w:t>
      </w:r>
      <w:r w:rsidR="005B6C93">
        <w:rPr>
          <w:color w:val="000000" w:themeColor="text1"/>
          <w:sz w:val="20"/>
          <w:szCs w:val="20"/>
          <w:lang w:val="en-GB"/>
        </w:rPr>
        <w:t>behalf</w:t>
      </w:r>
      <w:r w:rsidR="00FF41A0">
        <w:rPr>
          <w:color w:val="000000" w:themeColor="text1"/>
          <w:sz w:val="20"/>
          <w:szCs w:val="20"/>
          <w:lang w:val="en-GB"/>
        </w:rPr>
        <w:t xml:space="preserve"> </w:t>
      </w:r>
      <w:r w:rsidR="005B6C93">
        <w:rPr>
          <w:color w:val="000000" w:themeColor="text1"/>
          <w:sz w:val="20"/>
          <w:szCs w:val="20"/>
          <w:lang w:val="en-GB"/>
        </w:rPr>
        <w:t>of</w:t>
      </w:r>
      <w:r w:rsidR="00FF41A0">
        <w:rPr>
          <w:color w:val="000000" w:themeColor="text1"/>
          <w:sz w:val="20"/>
          <w:szCs w:val="20"/>
          <w:lang w:val="en-GB"/>
        </w:rPr>
        <w:t xml:space="preserve"> </w:t>
      </w:r>
      <w:r w:rsidR="005B6C93">
        <w:rPr>
          <w:color w:val="000000" w:themeColor="text1"/>
          <w:sz w:val="20"/>
          <w:szCs w:val="20"/>
          <w:lang w:val="en-GB"/>
        </w:rPr>
        <w:t>Colombia,</w:t>
      </w:r>
      <w:r w:rsidR="00FF41A0">
        <w:rPr>
          <w:color w:val="000000" w:themeColor="text1"/>
          <w:sz w:val="20"/>
          <w:szCs w:val="20"/>
          <w:lang w:val="en-GB"/>
        </w:rPr>
        <w:t xml:space="preserve"> </w:t>
      </w:r>
      <w:r w:rsidR="005B6C93">
        <w:rPr>
          <w:color w:val="000000" w:themeColor="text1"/>
          <w:sz w:val="20"/>
          <w:szCs w:val="20"/>
          <w:lang w:val="en-GB"/>
        </w:rPr>
        <w:t>Guatemala,</w:t>
      </w:r>
      <w:r w:rsidR="00FF41A0">
        <w:rPr>
          <w:color w:val="000000" w:themeColor="text1"/>
          <w:sz w:val="20"/>
          <w:szCs w:val="20"/>
          <w:lang w:val="en-GB"/>
        </w:rPr>
        <w:t xml:space="preserve"> </w:t>
      </w:r>
      <w:r w:rsidR="005B6C93">
        <w:rPr>
          <w:color w:val="000000" w:themeColor="text1"/>
          <w:sz w:val="20"/>
          <w:szCs w:val="20"/>
          <w:lang w:val="en-GB"/>
        </w:rPr>
        <w:t>Mexico</w:t>
      </w:r>
      <w:r w:rsidR="00FF41A0">
        <w:rPr>
          <w:color w:val="000000" w:themeColor="text1"/>
          <w:sz w:val="20"/>
          <w:szCs w:val="20"/>
          <w:lang w:val="en-GB"/>
        </w:rPr>
        <w:t xml:space="preserve"> </w:t>
      </w:r>
      <w:r w:rsidR="005B6C93">
        <w:rPr>
          <w:color w:val="000000" w:themeColor="text1"/>
          <w:sz w:val="20"/>
          <w:szCs w:val="20"/>
          <w:lang w:val="en-GB"/>
        </w:rPr>
        <w:t>and</w:t>
      </w:r>
      <w:r w:rsidR="00FF41A0">
        <w:rPr>
          <w:color w:val="000000" w:themeColor="text1"/>
          <w:sz w:val="20"/>
          <w:szCs w:val="20"/>
          <w:lang w:val="en-GB"/>
        </w:rPr>
        <w:t xml:space="preserve"> </w:t>
      </w:r>
      <w:r w:rsidR="005B6C93">
        <w:rPr>
          <w:color w:val="000000" w:themeColor="text1"/>
          <w:sz w:val="20"/>
          <w:szCs w:val="20"/>
          <w:lang w:val="en-GB"/>
        </w:rPr>
        <w:t>Peru),</w:t>
      </w:r>
      <w:r w:rsidR="00FF41A0">
        <w:rPr>
          <w:color w:val="000000" w:themeColor="text1"/>
          <w:sz w:val="20"/>
          <w:szCs w:val="20"/>
          <w:lang w:val="en-GB"/>
        </w:rPr>
        <w:t xml:space="preserve"> </w:t>
      </w:r>
      <w:r w:rsidR="005B6C93" w:rsidRPr="00543946">
        <w:rPr>
          <w:color w:val="000000" w:themeColor="text1"/>
          <w:sz w:val="20"/>
          <w:szCs w:val="20"/>
          <w:lang w:val="en-GB"/>
        </w:rPr>
        <w:t>Iraq</w:t>
      </w:r>
      <w:r w:rsidR="005B6C93">
        <w:rPr>
          <w:color w:val="000000" w:themeColor="text1"/>
          <w:sz w:val="20"/>
          <w:szCs w:val="20"/>
          <w:lang w:val="en-GB"/>
        </w:rPr>
        <w:t>,</w:t>
      </w:r>
      <w:r w:rsidR="00FF41A0">
        <w:rPr>
          <w:color w:val="000000" w:themeColor="text1"/>
          <w:sz w:val="20"/>
          <w:szCs w:val="20"/>
          <w:lang w:val="en-GB"/>
        </w:rPr>
        <w:t xml:space="preserve"> </w:t>
      </w:r>
      <w:r w:rsidR="005B6C93" w:rsidRPr="00543946">
        <w:rPr>
          <w:color w:val="000000" w:themeColor="text1"/>
          <w:sz w:val="20"/>
          <w:szCs w:val="20"/>
          <w:lang w:val="en-GB"/>
        </w:rPr>
        <w:t>New</w:t>
      </w:r>
      <w:r w:rsidR="00FF41A0">
        <w:rPr>
          <w:color w:val="000000" w:themeColor="text1"/>
          <w:sz w:val="20"/>
          <w:szCs w:val="20"/>
          <w:lang w:val="en-GB"/>
        </w:rPr>
        <w:t xml:space="preserve"> </w:t>
      </w:r>
      <w:r w:rsidR="005B6C93" w:rsidRPr="00543946">
        <w:rPr>
          <w:color w:val="000000" w:themeColor="text1"/>
          <w:sz w:val="20"/>
          <w:szCs w:val="20"/>
          <w:lang w:val="en-GB"/>
        </w:rPr>
        <w:t>Zealand</w:t>
      </w:r>
      <w:r w:rsidR="000943B0">
        <w:rPr>
          <w:rStyle w:val="FootnoteReference"/>
          <w:color w:val="000000" w:themeColor="text1"/>
          <w:szCs w:val="20"/>
          <w:lang w:val="en-GB"/>
        </w:rPr>
        <w:footnoteReference w:id="72"/>
      </w:r>
      <w:r w:rsidR="00FF41A0">
        <w:rPr>
          <w:color w:val="000000" w:themeColor="text1"/>
          <w:sz w:val="20"/>
          <w:szCs w:val="20"/>
          <w:lang w:val="en-GB"/>
        </w:rPr>
        <w:t xml:space="preserve"> </w:t>
      </w:r>
      <w:r w:rsidR="005B6C93">
        <w:rPr>
          <w:color w:val="000000" w:themeColor="text1"/>
          <w:sz w:val="20"/>
          <w:szCs w:val="20"/>
          <w:lang w:val="en-GB"/>
        </w:rPr>
        <w:t>(also</w:t>
      </w:r>
      <w:r w:rsidR="00FF41A0">
        <w:rPr>
          <w:color w:val="000000" w:themeColor="text1"/>
          <w:sz w:val="20"/>
          <w:szCs w:val="20"/>
          <w:lang w:val="en-GB"/>
        </w:rPr>
        <w:t xml:space="preserve"> </w:t>
      </w:r>
      <w:r w:rsidR="005B6C93" w:rsidRPr="00543946">
        <w:rPr>
          <w:color w:val="000000" w:themeColor="text1"/>
          <w:sz w:val="20"/>
          <w:szCs w:val="20"/>
          <w:lang w:val="en-GB"/>
        </w:rPr>
        <w:t>on</w:t>
      </w:r>
      <w:r w:rsidR="00FF41A0">
        <w:rPr>
          <w:color w:val="000000" w:themeColor="text1"/>
          <w:sz w:val="20"/>
          <w:szCs w:val="20"/>
          <w:lang w:val="en-GB"/>
        </w:rPr>
        <w:t xml:space="preserve"> </w:t>
      </w:r>
      <w:r w:rsidR="005B6C93" w:rsidRPr="00543946">
        <w:rPr>
          <w:color w:val="000000" w:themeColor="text1"/>
          <w:sz w:val="20"/>
          <w:szCs w:val="20"/>
          <w:lang w:val="en-GB"/>
        </w:rPr>
        <w:t>behalf</w:t>
      </w:r>
      <w:r w:rsidR="00FF41A0">
        <w:rPr>
          <w:color w:val="000000" w:themeColor="text1"/>
          <w:sz w:val="20"/>
          <w:szCs w:val="20"/>
          <w:lang w:val="en-GB"/>
        </w:rPr>
        <w:t xml:space="preserve"> </w:t>
      </w:r>
      <w:r w:rsidR="005B6C93">
        <w:rPr>
          <w:color w:val="000000" w:themeColor="text1"/>
          <w:sz w:val="20"/>
          <w:szCs w:val="20"/>
          <w:lang w:val="en-GB"/>
        </w:rPr>
        <w:t>of</w:t>
      </w:r>
      <w:r w:rsidR="00FF41A0">
        <w:rPr>
          <w:color w:val="000000" w:themeColor="text1"/>
          <w:sz w:val="20"/>
          <w:szCs w:val="20"/>
          <w:lang w:val="en-GB"/>
        </w:rPr>
        <w:t xml:space="preserve"> </w:t>
      </w:r>
      <w:r w:rsidR="005B6C93">
        <w:rPr>
          <w:color w:val="000000" w:themeColor="text1"/>
          <w:sz w:val="20"/>
          <w:szCs w:val="20"/>
          <w:lang w:val="en-GB"/>
        </w:rPr>
        <w:t>Australia),</w:t>
      </w:r>
      <w:r w:rsidR="00FF41A0">
        <w:rPr>
          <w:color w:val="000000" w:themeColor="text1"/>
          <w:sz w:val="20"/>
          <w:szCs w:val="20"/>
          <w:lang w:val="en-GB"/>
        </w:rPr>
        <w:t xml:space="preserve"> </w:t>
      </w:r>
      <w:r w:rsidR="005B6C93" w:rsidRPr="00A242A9">
        <w:rPr>
          <w:color w:val="000000" w:themeColor="text1"/>
          <w:sz w:val="20"/>
          <w:szCs w:val="20"/>
        </w:rPr>
        <w:t>Oman</w:t>
      </w:r>
      <w:r w:rsidR="000943B0">
        <w:rPr>
          <w:rStyle w:val="FootnoteReference"/>
          <w:color w:val="000000" w:themeColor="text1"/>
          <w:szCs w:val="20"/>
        </w:rPr>
        <w:footnoteReference w:id="73"/>
      </w:r>
      <w:r w:rsidR="00FF41A0">
        <w:rPr>
          <w:color w:val="000000" w:themeColor="text1"/>
          <w:sz w:val="20"/>
          <w:szCs w:val="20"/>
        </w:rPr>
        <w:t xml:space="preserve"> </w:t>
      </w:r>
      <w:r w:rsidR="005B6C93" w:rsidRPr="00A242A9">
        <w:rPr>
          <w:color w:val="000000" w:themeColor="text1"/>
          <w:sz w:val="20"/>
          <w:szCs w:val="20"/>
        </w:rPr>
        <w:t>(on</w:t>
      </w:r>
      <w:r w:rsidR="00FF41A0">
        <w:rPr>
          <w:color w:val="000000" w:themeColor="text1"/>
          <w:sz w:val="20"/>
          <w:szCs w:val="20"/>
        </w:rPr>
        <w:t xml:space="preserve"> </w:t>
      </w:r>
      <w:r w:rsidR="005B6C93" w:rsidRPr="00A242A9">
        <w:rPr>
          <w:color w:val="000000" w:themeColor="text1"/>
          <w:sz w:val="20"/>
          <w:szCs w:val="20"/>
        </w:rPr>
        <w:t>behalf</w:t>
      </w:r>
      <w:r w:rsidR="00FF41A0">
        <w:rPr>
          <w:color w:val="000000" w:themeColor="text1"/>
          <w:sz w:val="20"/>
          <w:szCs w:val="20"/>
        </w:rPr>
        <w:t xml:space="preserve"> </w:t>
      </w:r>
      <w:r w:rsidR="005B6C93" w:rsidRPr="00A242A9">
        <w:rPr>
          <w:color w:val="000000" w:themeColor="text1"/>
          <w:sz w:val="20"/>
          <w:szCs w:val="20"/>
        </w:rPr>
        <w:t>of</w:t>
      </w:r>
      <w:r w:rsidR="00FF41A0">
        <w:rPr>
          <w:color w:val="000000" w:themeColor="text1"/>
          <w:sz w:val="20"/>
          <w:szCs w:val="20"/>
        </w:rPr>
        <w:t xml:space="preserve"> </w:t>
      </w:r>
      <w:r w:rsidR="005B6C93" w:rsidRPr="00A242A9">
        <w:rPr>
          <w:color w:val="000000" w:themeColor="text1"/>
          <w:sz w:val="20"/>
          <w:szCs w:val="20"/>
        </w:rPr>
        <w:t>the</w:t>
      </w:r>
      <w:r w:rsidR="00FF41A0">
        <w:rPr>
          <w:color w:val="000000" w:themeColor="text1"/>
          <w:sz w:val="20"/>
          <w:szCs w:val="20"/>
        </w:rPr>
        <w:t xml:space="preserve"> </w:t>
      </w:r>
      <w:r w:rsidR="005B6C93" w:rsidRPr="00A242A9">
        <w:rPr>
          <w:color w:val="000000" w:themeColor="text1"/>
          <w:sz w:val="20"/>
          <w:szCs w:val="20"/>
        </w:rPr>
        <w:t>Cooperation</w:t>
      </w:r>
      <w:r w:rsidR="00FF41A0">
        <w:rPr>
          <w:color w:val="000000" w:themeColor="text1"/>
          <w:sz w:val="20"/>
          <w:szCs w:val="20"/>
        </w:rPr>
        <w:t xml:space="preserve"> </w:t>
      </w:r>
      <w:r w:rsidR="005B6C93" w:rsidRPr="00A242A9">
        <w:rPr>
          <w:color w:val="000000" w:themeColor="text1"/>
          <w:sz w:val="20"/>
          <w:szCs w:val="20"/>
        </w:rPr>
        <w:t>Council</w:t>
      </w:r>
      <w:r w:rsidR="00FF41A0">
        <w:rPr>
          <w:color w:val="000000" w:themeColor="text1"/>
          <w:sz w:val="20"/>
          <w:szCs w:val="20"/>
        </w:rPr>
        <w:t xml:space="preserve"> </w:t>
      </w:r>
      <w:r w:rsidR="005B6C93" w:rsidRPr="00A242A9">
        <w:rPr>
          <w:color w:val="000000" w:themeColor="text1"/>
          <w:sz w:val="20"/>
          <w:szCs w:val="20"/>
        </w:rPr>
        <w:t>for</w:t>
      </w:r>
      <w:r w:rsidR="00FF41A0">
        <w:rPr>
          <w:color w:val="000000" w:themeColor="text1"/>
          <w:sz w:val="20"/>
          <w:szCs w:val="20"/>
        </w:rPr>
        <w:t xml:space="preserve"> </w:t>
      </w:r>
      <w:r w:rsidR="005B6C93" w:rsidRPr="00A242A9">
        <w:rPr>
          <w:color w:val="000000" w:themeColor="text1"/>
          <w:sz w:val="20"/>
          <w:szCs w:val="20"/>
        </w:rPr>
        <w:t>the</w:t>
      </w:r>
      <w:r w:rsidR="00FF41A0">
        <w:rPr>
          <w:color w:val="000000" w:themeColor="text1"/>
          <w:sz w:val="20"/>
          <w:szCs w:val="20"/>
        </w:rPr>
        <w:t xml:space="preserve"> </w:t>
      </w:r>
      <w:r w:rsidR="005B6C93" w:rsidRPr="00A242A9">
        <w:rPr>
          <w:color w:val="000000" w:themeColor="text1"/>
          <w:sz w:val="20"/>
          <w:szCs w:val="20"/>
        </w:rPr>
        <w:t>Arab</w:t>
      </w:r>
      <w:r w:rsidR="00FF41A0">
        <w:rPr>
          <w:color w:val="000000" w:themeColor="text1"/>
          <w:sz w:val="20"/>
          <w:szCs w:val="20"/>
        </w:rPr>
        <w:t xml:space="preserve"> </w:t>
      </w:r>
      <w:r w:rsidR="005B6C93" w:rsidRPr="00A242A9">
        <w:rPr>
          <w:color w:val="000000" w:themeColor="text1"/>
          <w:sz w:val="20"/>
          <w:szCs w:val="20"/>
        </w:rPr>
        <w:t>States</w:t>
      </w:r>
      <w:r w:rsidR="00FF41A0">
        <w:rPr>
          <w:color w:val="000000" w:themeColor="text1"/>
          <w:sz w:val="20"/>
          <w:szCs w:val="20"/>
        </w:rPr>
        <w:t xml:space="preserve"> </w:t>
      </w:r>
      <w:r w:rsidR="005B6C93" w:rsidRPr="00A242A9">
        <w:rPr>
          <w:color w:val="000000" w:themeColor="text1"/>
          <w:sz w:val="20"/>
          <w:szCs w:val="20"/>
        </w:rPr>
        <w:t>of</w:t>
      </w:r>
      <w:r w:rsidR="00FF41A0">
        <w:rPr>
          <w:color w:val="000000" w:themeColor="text1"/>
          <w:sz w:val="20"/>
          <w:szCs w:val="20"/>
        </w:rPr>
        <w:t xml:space="preserve"> </w:t>
      </w:r>
      <w:r w:rsidR="005B6C93" w:rsidRPr="00A242A9">
        <w:rPr>
          <w:color w:val="000000" w:themeColor="text1"/>
          <w:sz w:val="20"/>
          <w:szCs w:val="20"/>
        </w:rPr>
        <w:t>the</w:t>
      </w:r>
      <w:r w:rsidR="00FF41A0">
        <w:rPr>
          <w:color w:val="000000" w:themeColor="text1"/>
          <w:sz w:val="20"/>
          <w:szCs w:val="20"/>
        </w:rPr>
        <w:t xml:space="preserve"> </w:t>
      </w:r>
      <w:r w:rsidR="005B6C93" w:rsidRPr="00A242A9">
        <w:rPr>
          <w:color w:val="000000" w:themeColor="text1"/>
          <w:sz w:val="20"/>
          <w:szCs w:val="20"/>
        </w:rPr>
        <w:t>Gulf)</w:t>
      </w:r>
      <w:r w:rsidR="005B6C93">
        <w:rPr>
          <w:color w:val="000000" w:themeColor="text1"/>
          <w:sz w:val="20"/>
          <w:szCs w:val="20"/>
        </w:rPr>
        <w:t>,</w:t>
      </w:r>
      <w:r w:rsidR="00FF41A0">
        <w:rPr>
          <w:color w:val="000000" w:themeColor="text1"/>
          <w:sz w:val="20"/>
          <w:szCs w:val="20"/>
        </w:rPr>
        <w:t xml:space="preserve"> </w:t>
      </w:r>
      <w:r w:rsidR="005B6C93">
        <w:rPr>
          <w:color w:val="000000" w:themeColor="text1"/>
          <w:sz w:val="20"/>
          <w:szCs w:val="20"/>
          <w:lang w:val="en-GB"/>
        </w:rPr>
        <w:t>Pakistan,</w:t>
      </w:r>
      <w:r w:rsidR="00FF41A0">
        <w:rPr>
          <w:color w:val="000000" w:themeColor="text1"/>
          <w:sz w:val="20"/>
          <w:szCs w:val="20"/>
          <w:lang w:val="en-GB"/>
        </w:rPr>
        <w:t xml:space="preserve"> </w:t>
      </w:r>
      <w:r w:rsidR="005B6C93" w:rsidRPr="00543946">
        <w:rPr>
          <w:color w:val="000000" w:themeColor="text1"/>
          <w:sz w:val="20"/>
          <w:szCs w:val="20"/>
          <w:lang w:val="en-GB"/>
        </w:rPr>
        <w:t>Saudi</w:t>
      </w:r>
      <w:r w:rsidR="00FF41A0">
        <w:rPr>
          <w:color w:val="000000" w:themeColor="text1"/>
          <w:sz w:val="20"/>
          <w:szCs w:val="20"/>
          <w:lang w:val="en-GB"/>
        </w:rPr>
        <w:t xml:space="preserve"> </w:t>
      </w:r>
      <w:r w:rsidR="005B6C93" w:rsidRPr="00543946">
        <w:rPr>
          <w:color w:val="000000" w:themeColor="text1"/>
          <w:sz w:val="20"/>
          <w:szCs w:val="20"/>
          <w:lang w:val="en-GB"/>
        </w:rPr>
        <w:t>Arabia</w:t>
      </w:r>
      <w:r w:rsidR="005B6C93">
        <w:rPr>
          <w:color w:val="000000" w:themeColor="text1"/>
          <w:sz w:val="20"/>
          <w:szCs w:val="20"/>
          <w:lang w:val="en-GB"/>
        </w:rPr>
        <w:t>,</w:t>
      </w:r>
      <w:r w:rsidR="00FF41A0">
        <w:rPr>
          <w:color w:val="000000" w:themeColor="text1"/>
          <w:sz w:val="20"/>
          <w:szCs w:val="20"/>
          <w:lang w:val="en-GB"/>
        </w:rPr>
        <w:t xml:space="preserve"> </w:t>
      </w:r>
      <w:r w:rsidR="005B6C93" w:rsidRPr="00543946">
        <w:rPr>
          <w:color w:val="000000" w:themeColor="text1"/>
          <w:sz w:val="20"/>
          <w:szCs w:val="20"/>
          <w:lang w:val="en-GB"/>
        </w:rPr>
        <w:t>Spain</w:t>
      </w:r>
      <w:r w:rsidRPr="00113DE2">
        <w:rPr>
          <w:color w:val="000000" w:themeColor="text1"/>
          <w:sz w:val="20"/>
          <w:szCs w:val="20"/>
          <w:lang w:val="en-GB"/>
        </w:rPr>
        <w:t>;</w:t>
      </w:r>
    </w:p>
    <w:p w14:paraId="5ECAA78C" w14:textId="0D9E61D1" w:rsidR="007247BA" w:rsidRPr="00113DE2" w:rsidRDefault="007247BA" w:rsidP="007247BA">
      <w:pPr>
        <w:pStyle w:val="SingleTxtG"/>
        <w:ind w:firstLine="567"/>
        <w:rPr>
          <w:color w:val="000000" w:themeColor="text1"/>
          <w:sz w:val="20"/>
          <w:szCs w:val="20"/>
          <w:lang w:val="en-GB"/>
        </w:rPr>
      </w:pPr>
      <w:r w:rsidRPr="00113DE2">
        <w:rPr>
          <w:color w:val="000000" w:themeColor="text1"/>
          <w:sz w:val="20"/>
          <w:szCs w:val="20"/>
          <w:lang w:val="en-GB"/>
        </w:rPr>
        <w:t>(b)</w:t>
      </w:r>
      <w:r w:rsidRPr="00113DE2">
        <w:rPr>
          <w:color w:val="000000" w:themeColor="text1"/>
          <w:sz w:val="20"/>
          <w:szCs w:val="20"/>
          <w:lang w:val="en-GB"/>
        </w:rPr>
        <w:tab/>
        <w:t>Representative</w:t>
      </w:r>
      <w:r w:rsidR="00FF41A0">
        <w:rPr>
          <w:color w:val="000000" w:themeColor="text1"/>
          <w:sz w:val="20"/>
          <w:szCs w:val="20"/>
          <w:lang w:val="en-GB"/>
        </w:rPr>
        <w:t xml:space="preserve"> </w:t>
      </w:r>
      <w:r w:rsidRPr="00113DE2">
        <w:rPr>
          <w:color w:val="000000" w:themeColor="text1"/>
          <w:sz w:val="20"/>
          <w:szCs w:val="20"/>
          <w:lang w:val="en-GB"/>
        </w:rPr>
        <w:t>of</w:t>
      </w:r>
      <w:r w:rsidR="00FF41A0">
        <w:rPr>
          <w:color w:val="000000" w:themeColor="text1"/>
          <w:sz w:val="20"/>
          <w:szCs w:val="20"/>
          <w:lang w:val="en-GB"/>
        </w:rPr>
        <w:t xml:space="preserve"> </w:t>
      </w:r>
      <w:r w:rsidR="009769EB">
        <w:rPr>
          <w:color w:val="000000" w:themeColor="text1"/>
          <w:sz w:val="20"/>
          <w:szCs w:val="20"/>
          <w:lang w:val="en-GB"/>
        </w:rPr>
        <w:t>an</w:t>
      </w:r>
      <w:r w:rsidR="00FF41A0">
        <w:rPr>
          <w:color w:val="000000" w:themeColor="text1"/>
          <w:sz w:val="20"/>
          <w:szCs w:val="20"/>
          <w:lang w:val="en-GB"/>
        </w:rPr>
        <w:t xml:space="preserve"> </w:t>
      </w:r>
      <w:r w:rsidRPr="00113DE2">
        <w:rPr>
          <w:color w:val="000000" w:themeColor="text1"/>
          <w:sz w:val="20"/>
          <w:szCs w:val="20"/>
          <w:lang w:val="en-GB"/>
        </w:rPr>
        <w:t>observer</w:t>
      </w:r>
      <w:r w:rsidR="00FF41A0">
        <w:rPr>
          <w:color w:val="000000" w:themeColor="text1"/>
          <w:sz w:val="20"/>
          <w:szCs w:val="20"/>
          <w:lang w:val="en-GB"/>
        </w:rPr>
        <w:t xml:space="preserve"> </w:t>
      </w:r>
      <w:r w:rsidRPr="00113DE2">
        <w:rPr>
          <w:color w:val="000000" w:themeColor="text1"/>
          <w:sz w:val="20"/>
          <w:szCs w:val="20"/>
          <w:lang w:val="en-GB"/>
        </w:rPr>
        <w:t>State:</w:t>
      </w:r>
      <w:r w:rsidR="00FF41A0">
        <w:rPr>
          <w:color w:val="000000" w:themeColor="text1"/>
          <w:sz w:val="20"/>
          <w:szCs w:val="20"/>
          <w:lang w:val="en-GB"/>
        </w:rPr>
        <w:t xml:space="preserve"> </w:t>
      </w:r>
      <w:r w:rsidR="005B6C93" w:rsidRPr="00543946">
        <w:rPr>
          <w:color w:val="000000" w:themeColor="text1"/>
          <w:sz w:val="20"/>
          <w:szCs w:val="20"/>
          <w:lang w:val="en-GB"/>
        </w:rPr>
        <w:t>Libya</w:t>
      </w:r>
      <w:r w:rsidRPr="00113DE2">
        <w:rPr>
          <w:color w:val="000000" w:themeColor="text1"/>
          <w:sz w:val="20"/>
          <w:szCs w:val="20"/>
          <w:lang w:val="en-GB"/>
        </w:rPr>
        <w:t>;</w:t>
      </w:r>
    </w:p>
    <w:p w14:paraId="1F8A841F" w14:textId="3A089C04" w:rsidR="007247BA" w:rsidRPr="00113DE2" w:rsidRDefault="007247BA" w:rsidP="007247BA">
      <w:pPr>
        <w:pStyle w:val="SingleTxtG"/>
        <w:ind w:firstLine="567"/>
        <w:rPr>
          <w:color w:val="000000" w:themeColor="text1"/>
          <w:sz w:val="20"/>
          <w:szCs w:val="20"/>
          <w:lang w:val="en-GB"/>
        </w:rPr>
      </w:pPr>
      <w:r w:rsidRPr="00113DE2">
        <w:rPr>
          <w:color w:val="000000" w:themeColor="text1"/>
          <w:sz w:val="20"/>
          <w:szCs w:val="20"/>
          <w:lang w:val="en-GB"/>
        </w:rPr>
        <w:t>(c)</w:t>
      </w:r>
      <w:r w:rsidRPr="00113DE2">
        <w:rPr>
          <w:color w:val="000000" w:themeColor="text1"/>
          <w:sz w:val="20"/>
          <w:szCs w:val="20"/>
          <w:lang w:val="en-GB"/>
        </w:rPr>
        <w:tab/>
        <w:t>Observer</w:t>
      </w:r>
      <w:r w:rsidR="005B6C93">
        <w:rPr>
          <w:color w:val="000000" w:themeColor="text1"/>
          <w:sz w:val="20"/>
          <w:szCs w:val="20"/>
          <w:lang w:val="en-GB"/>
        </w:rPr>
        <w:t>s</w:t>
      </w:r>
      <w:r w:rsidR="00FF41A0">
        <w:rPr>
          <w:color w:val="000000" w:themeColor="text1"/>
          <w:sz w:val="20"/>
          <w:szCs w:val="20"/>
          <w:lang w:val="en-GB"/>
        </w:rPr>
        <w:t xml:space="preserve"> </w:t>
      </w:r>
      <w:r w:rsidRPr="00113DE2">
        <w:rPr>
          <w:color w:val="000000" w:themeColor="text1"/>
          <w:sz w:val="20"/>
          <w:szCs w:val="20"/>
          <w:lang w:val="en-GB"/>
        </w:rPr>
        <w:t>for</w:t>
      </w:r>
      <w:r w:rsidR="00FF41A0">
        <w:rPr>
          <w:color w:val="000000" w:themeColor="text1"/>
          <w:sz w:val="20"/>
          <w:szCs w:val="20"/>
          <w:lang w:val="en-GB"/>
        </w:rPr>
        <w:t xml:space="preserve"> </w:t>
      </w:r>
      <w:r w:rsidRPr="00113DE2">
        <w:rPr>
          <w:color w:val="000000" w:themeColor="text1"/>
          <w:sz w:val="20"/>
          <w:szCs w:val="20"/>
          <w:lang w:val="en-GB"/>
        </w:rPr>
        <w:t>intergovernmental</w:t>
      </w:r>
      <w:r w:rsidR="00FF41A0">
        <w:rPr>
          <w:color w:val="000000" w:themeColor="text1"/>
          <w:sz w:val="20"/>
          <w:szCs w:val="20"/>
          <w:lang w:val="en-GB"/>
        </w:rPr>
        <w:t xml:space="preserve"> </w:t>
      </w:r>
      <w:r w:rsidRPr="00113DE2">
        <w:rPr>
          <w:color w:val="000000" w:themeColor="text1"/>
          <w:sz w:val="20"/>
          <w:szCs w:val="20"/>
          <w:lang w:val="en-GB"/>
        </w:rPr>
        <w:t>organization</w:t>
      </w:r>
      <w:r w:rsidR="005B6C93">
        <w:rPr>
          <w:color w:val="000000" w:themeColor="text1"/>
          <w:sz w:val="20"/>
          <w:szCs w:val="20"/>
          <w:lang w:val="en-GB"/>
        </w:rPr>
        <w:t>s</w:t>
      </w:r>
      <w:r w:rsidRPr="00113DE2">
        <w:rPr>
          <w:color w:val="000000" w:themeColor="text1"/>
          <w:sz w:val="20"/>
          <w:szCs w:val="20"/>
          <w:lang w:val="en-GB"/>
        </w:rPr>
        <w:t>:</w:t>
      </w:r>
      <w:r w:rsidR="00FF41A0">
        <w:rPr>
          <w:color w:val="000000" w:themeColor="text1"/>
          <w:sz w:val="20"/>
          <w:szCs w:val="20"/>
          <w:lang w:val="en-GB"/>
        </w:rPr>
        <w:t xml:space="preserve"> </w:t>
      </w:r>
      <w:r w:rsidRPr="00113DE2">
        <w:rPr>
          <w:color w:val="000000" w:themeColor="text1"/>
          <w:sz w:val="20"/>
          <w:szCs w:val="20"/>
          <w:lang w:val="en-GB"/>
        </w:rPr>
        <w:t>European</w:t>
      </w:r>
      <w:r w:rsidR="00FF41A0">
        <w:rPr>
          <w:color w:val="000000" w:themeColor="text1"/>
          <w:sz w:val="20"/>
          <w:szCs w:val="20"/>
          <w:lang w:val="en-GB"/>
        </w:rPr>
        <w:t xml:space="preserve"> </w:t>
      </w:r>
      <w:r w:rsidRPr="00113DE2">
        <w:rPr>
          <w:color w:val="000000" w:themeColor="text1"/>
          <w:sz w:val="20"/>
          <w:szCs w:val="20"/>
          <w:lang w:val="en-GB"/>
        </w:rPr>
        <w:t>Union</w:t>
      </w:r>
      <w:r w:rsidR="005B6C93">
        <w:rPr>
          <w:color w:val="000000" w:themeColor="text1"/>
          <w:sz w:val="20"/>
          <w:szCs w:val="20"/>
          <w:lang w:val="en-GB"/>
        </w:rPr>
        <w:t>,</w:t>
      </w:r>
      <w:r w:rsidR="00FF41A0">
        <w:rPr>
          <w:color w:val="000000" w:themeColor="text1"/>
          <w:sz w:val="20"/>
          <w:szCs w:val="20"/>
          <w:lang w:val="en-GB"/>
        </w:rPr>
        <w:t xml:space="preserve"> </w:t>
      </w:r>
      <w:r w:rsidR="005B6C93" w:rsidRPr="00543946">
        <w:rPr>
          <w:color w:val="000000" w:themeColor="text1"/>
          <w:sz w:val="20"/>
          <w:szCs w:val="20"/>
          <w:lang w:val="en-GB"/>
        </w:rPr>
        <w:t>Organization</w:t>
      </w:r>
      <w:r w:rsidR="00FF41A0">
        <w:rPr>
          <w:color w:val="000000" w:themeColor="text1"/>
          <w:sz w:val="20"/>
          <w:szCs w:val="20"/>
          <w:lang w:val="en-GB"/>
        </w:rPr>
        <w:t xml:space="preserve"> </w:t>
      </w:r>
      <w:r w:rsidR="005B6C93" w:rsidRPr="00543946">
        <w:rPr>
          <w:color w:val="000000" w:themeColor="text1"/>
          <w:sz w:val="20"/>
          <w:szCs w:val="20"/>
          <w:lang w:val="en-GB"/>
        </w:rPr>
        <w:t>of</w:t>
      </w:r>
      <w:r w:rsidR="00FF41A0">
        <w:rPr>
          <w:color w:val="000000" w:themeColor="text1"/>
          <w:sz w:val="20"/>
          <w:szCs w:val="20"/>
          <w:lang w:val="en-GB"/>
        </w:rPr>
        <w:t xml:space="preserve"> </w:t>
      </w:r>
      <w:r w:rsidR="005B6C93" w:rsidRPr="00543946">
        <w:rPr>
          <w:color w:val="000000" w:themeColor="text1"/>
          <w:sz w:val="20"/>
          <w:szCs w:val="20"/>
          <w:lang w:val="en-GB"/>
        </w:rPr>
        <w:t>Islamic</w:t>
      </w:r>
      <w:r w:rsidR="00FF41A0">
        <w:rPr>
          <w:color w:val="000000" w:themeColor="text1"/>
          <w:sz w:val="20"/>
          <w:szCs w:val="20"/>
          <w:lang w:val="en-GB"/>
        </w:rPr>
        <w:t xml:space="preserve"> </w:t>
      </w:r>
      <w:r w:rsidR="005B6C93" w:rsidRPr="00543946">
        <w:rPr>
          <w:color w:val="000000" w:themeColor="text1"/>
          <w:sz w:val="20"/>
          <w:szCs w:val="20"/>
          <w:lang w:val="en-GB"/>
        </w:rPr>
        <w:t>Cooperation</w:t>
      </w:r>
      <w:r w:rsidRPr="00113DE2">
        <w:rPr>
          <w:color w:val="000000" w:themeColor="text1"/>
          <w:sz w:val="20"/>
          <w:szCs w:val="20"/>
          <w:lang w:val="en-GB"/>
        </w:rPr>
        <w:t>;</w:t>
      </w:r>
    </w:p>
    <w:p w14:paraId="09A15EF8" w14:textId="26AD0B4F" w:rsidR="007247BA" w:rsidRPr="00113DE2" w:rsidRDefault="007247BA" w:rsidP="007247BA">
      <w:pPr>
        <w:pStyle w:val="SingleTxtG"/>
        <w:ind w:firstLine="567"/>
        <w:rPr>
          <w:color w:val="000000" w:themeColor="text1"/>
          <w:sz w:val="20"/>
          <w:szCs w:val="20"/>
          <w:lang w:val="en-GB"/>
        </w:rPr>
      </w:pPr>
      <w:r w:rsidRPr="00113DE2">
        <w:rPr>
          <w:color w:val="000000" w:themeColor="text1"/>
          <w:sz w:val="20"/>
          <w:szCs w:val="20"/>
          <w:lang w:val="en-GB"/>
        </w:rPr>
        <w:t>(</w:t>
      </w:r>
      <w:r w:rsidR="005B6C93">
        <w:rPr>
          <w:color w:val="000000" w:themeColor="text1"/>
          <w:sz w:val="20"/>
          <w:szCs w:val="20"/>
          <w:lang w:val="en-GB"/>
        </w:rPr>
        <w:t>d</w:t>
      </w:r>
      <w:r w:rsidRPr="00113DE2">
        <w:rPr>
          <w:color w:val="000000" w:themeColor="text1"/>
          <w:sz w:val="20"/>
          <w:szCs w:val="20"/>
          <w:lang w:val="en-GB"/>
        </w:rPr>
        <w:t>)</w:t>
      </w:r>
      <w:r w:rsidRPr="00113DE2">
        <w:rPr>
          <w:color w:val="000000" w:themeColor="text1"/>
          <w:sz w:val="20"/>
          <w:szCs w:val="20"/>
          <w:lang w:val="en-GB"/>
        </w:rPr>
        <w:tab/>
        <w:t>Observers</w:t>
      </w:r>
      <w:r w:rsidR="00FF41A0">
        <w:rPr>
          <w:color w:val="000000" w:themeColor="text1"/>
          <w:sz w:val="20"/>
          <w:szCs w:val="20"/>
          <w:lang w:val="en-GB"/>
        </w:rPr>
        <w:t xml:space="preserve"> </w:t>
      </w:r>
      <w:r w:rsidRPr="00113DE2">
        <w:rPr>
          <w:color w:val="000000" w:themeColor="text1"/>
          <w:sz w:val="20"/>
          <w:szCs w:val="20"/>
          <w:lang w:val="en-GB"/>
        </w:rPr>
        <w:t>for</w:t>
      </w:r>
      <w:r w:rsidR="00FF41A0">
        <w:rPr>
          <w:color w:val="000000" w:themeColor="text1"/>
          <w:sz w:val="20"/>
          <w:szCs w:val="20"/>
          <w:lang w:val="en-GB"/>
        </w:rPr>
        <w:t xml:space="preserve"> </w:t>
      </w:r>
      <w:r w:rsidRPr="00113DE2">
        <w:rPr>
          <w:color w:val="000000" w:themeColor="text1"/>
          <w:sz w:val="20"/>
          <w:szCs w:val="20"/>
          <w:lang w:val="en-GB"/>
        </w:rPr>
        <w:t>non-governmental</w:t>
      </w:r>
      <w:r w:rsidR="00FF41A0">
        <w:rPr>
          <w:color w:val="000000" w:themeColor="text1"/>
          <w:sz w:val="20"/>
          <w:szCs w:val="20"/>
          <w:lang w:val="en-GB"/>
        </w:rPr>
        <w:t xml:space="preserve"> </w:t>
      </w:r>
      <w:r w:rsidRPr="00113DE2">
        <w:rPr>
          <w:color w:val="000000" w:themeColor="text1"/>
          <w:sz w:val="20"/>
          <w:szCs w:val="20"/>
          <w:lang w:val="en-GB"/>
        </w:rPr>
        <w:t>organizations:</w:t>
      </w:r>
      <w:r w:rsidR="00FF41A0">
        <w:rPr>
          <w:color w:val="000000" w:themeColor="text1"/>
          <w:sz w:val="20"/>
          <w:szCs w:val="20"/>
          <w:lang w:val="en-GB"/>
        </w:rPr>
        <w:t xml:space="preserve"> </w:t>
      </w:r>
      <w:r w:rsidR="005B6C93" w:rsidRPr="005B6C93">
        <w:rPr>
          <w:color w:val="000000" w:themeColor="text1"/>
          <w:sz w:val="20"/>
          <w:szCs w:val="20"/>
          <w:lang w:val="en-GB"/>
        </w:rPr>
        <w:t>International</w:t>
      </w:r>
      <w:r w:rsidR="00FF41A0">
        <w:rPr>
          <w:color w:val="000000" w:themeColor="text1"/>
          <w:sz w:val="20"/>
          <w:szCs w:val="20"/>
          <w:lang w:val="en-GB"/>
        </w:rPr>
        <w:t xml:space="preserve"> </w:t>
      </w:r>
      <w:r w:rsidR="005B6C93" w:rsidRPr="005B6C93">
        <w:rPr>
          <w:color w:val="000000" w:themeColor="text1"/>
          <w:sz w:val="20"/>
          <w:szCs w:val="20"/>
          <w:lang w:val="en-GB"/>
        </w:rPr>
        <w:t>Movement</w:t>
      </w:r>
      <w:r w:rsidR="00FF41A0">
        <w:rPr>
          <w:color w:val="000000" w:themeColor="text1"/>
          <w:sz w:val="20"/>
          <w:szCs w:val="20"/>
          <w:lang w:val="en-GB"/>
        </w:rPr>
        <w:t xml:space="preserve"> </w:t>
      </w:r>
      <w:r w:rsidR="005B6C93" w:rsidRPr="005B6C93">
        <w:rPr>
          <w:color w:val="000000" w:themeColor="text1"/>
          <w:sz w:val="20"/>
          <w:szCs w:val="20"/>
          <w:lang w:val="en-GB"/>
        </w:rPr>
        <w:t>against</w:t>
      </w:r>
      <w:r w:rsidR="00FF41A0">
        <w:rPr>
          <w:color w:val="000000" w:themeColor="text1"/>
          <w:sz w:val="20"/>
          <w:szCs w:val="20"/>
          <w:lang w:val="en-GB"/>
        </w:rPr>
        <w:t xml:space="preserve"> </w:t>
      </w:r>
      <w:r w:rsidR="005B6C93" w:rsidRPr="005B6C93">
        <w:rPr>
          <w:color w:val="000000" w:themeColor="text1"/>
          <w:sz w:val="20"/>
          <w:szCs w:val="20"/>
          <w:lang w:val="en-GB"/>
        </w:rPr>
        <w:t>All</w:t>
      </w:r>
      <w:r w:rsidR="00FF41A0">
        <w:rPr>
          <w:color w:val="000000" w:themeColor="text1"/>
          <w:sz w:val="20"/>
          <w:szCs w:val="20"/>
          <w:lang w:val="en-GB"/>
        </w:rPr>
        <w:t xml:space="preserve"> </w:t>
      </w:r>
      <w:r w:rsidR="005B6C93" w:rsidRPr="005B6C93">
        <w:rPr>
          <w:color w:val="000000" w:themeColor="text1"/>
          <w:sz w:val="20"/>
          <w:szCs w:val="20"/>
          <w:lang w:val="en-GB"/>
        </w:rPr>
        <w:t>Forms</w:t>
      </w:r>
      <w:r w:rsidR="00FF41A0">
        <w:rPr>
          <w:color w:val="000000" w:themeColor="text1"/>
          <w:sz w:val="20"/>
          <w:szCs w:val="20"/>
          <w:lang w:val="en-GB"/>
        </w:rPr>
        <w:t xml:space="preserve"> </w:t>
      </w:r>
      <w:r w:rsidR="005B6C93" w:rsidRPr="005B6C93">
        <w:rPr>
          <w:color w:val="000000" w:themeColor="text1"/>
          <w:sz w:val="20"/>
          <w:szCs w:val="20"/>
          <w:lang w:val="en-GB"/>
        </w:rPr>
        <w:t>of</w:t>
      </w:r>
      <w:r w:rsidR="00FF41A0">
        <w:rPr>
          <w:color w:val="000000" w:themeColor="text1"/>
          <w:sz w:val="20"/>
          <w:szCs w:val="20"/>
          <w:lang w:val="en-GB"/>
        </w:rPr>
        <w:t xml:space="preserve"> </w:t>
      </w:r>
      <w:r w:rsidR="005B6C93" w:rsidRPr="005B6C93">
        <w:rPr>
          <w:color w:val="000000" w:themeColor="text1"/>
          <w:sz w:val="20"/>
          <w:szCs w:val="20"/>
          <w:lang w:val="en-GB"/>
        </w:rPr>
        <w:t>Discrimination</w:t>
      </w:r>
      <w:r w:rsidR="00FF41A0">
        <w:rPr>
          <w:color w:val="000000" w:themeColor="text1"/>
          <w:sz w:val="20"/>
          <w:szCs w:val="20"/>
          <w:lang w:val="en-GB"/>
        </w:rPr>
        <w:t xml:space="preserve"> </w:t>
      </w:r>
      <w:r w:rsidR="005B6C93" w:rsidRPr="005B6C93">
        <w:rPr>
          <w:color w:val="000000" w:themeColor="text1"/>
          <w:sz w:val="20"/>
          <w:szCs w:val="20"/>
          <w:lang w:val="en-GB"/>
        </w:rPr>
        <w:t>and</w:t>
      </w:r>
      <w:r w:rsidR="00FF41A0">
        <w:rPr>
          <w:color w:val="000000" w:themeColor="text1"/>
          <w:sz w:val="20"/>
          <w:szCs w:val="20"/>
          <w:lang w:val="en-GB"/>
        </w:rPr>
        <w:t xml:space="preserve"> </w:t>
      </w:r>
      <w:r w:rsidR="005B6C93" w:rsidRPr="005B6C93">
        <w:rPr>
          <w:color w:val="000000" w:themeColor="text1"/>
          <w:sz w:val="20"/>
          <w:szCs w:val="20"/>
          <w:lang w:val="en-GB"/>
        </w:rPr>
        <w:t>Racism</w:t>
      </w:r>
      <w:r w:rsidR="00FF41A0">
        <w:rPr>
          <w:color w:val="000000" w:themeColor="text1"/>
          <w:sz w:val="20"/>
          <w:szCs w:val="20"/>
          <w:lang w:val="en-GB"/>
        </w:rPr>
        <w:t xml:space="preserve"> </w:t>
      </w:r>
      <w:r w:rsidR="005B6C93" w:rsidRPr="005B6C93">
        <w:rPr>
          <w:color w:val="000000" w:themeColor="text1"/>
          <w:sz w:val="20"/>
          <w:szCs w:val="20"/>
          <w:lang w:val="en-GB"/>
        </w:rPr>
        <w:t>(IMADR)</w:t>
      </w:r>
      <w:r w:rsidR="005B6C93">
        <w:rPr>
          <w:color w:val="000000" w:themeColor="text1"/>
          <w:sz w:val="20"/>
          <w:szCs w:val="20"/>
          <w:lang w:val="en-GB"/>
        </w:rPr>
        <w:t>;</w:t>
      </w:r>
      <w:r w:rsidR="00FF41A0">
        <w:rPr>
          <w:color w:val="000000" w:themeColor="text1"/>
          <w:sz w:val="20"/>
          <w:szCs w:val="20"/>
          <w:lang w:val="en-GB"/>
        </w:rPr>
        <w:t xml:space="preserve"> </w:t>
      </w:r>
      <w:r w:rsidR="005B6C93" w:rsidRPr="005B6C93">
        <w:rPr>
          <w:color w:val="000000" w:themeColor="text1"/>
          <w:sz w:val="20"/>
          <w:szCs w:val="20"/>
          <w:lang w:val="en-GB"/>
        </w:rPr>
        <w:t>World</w:t>
      </w:r>
      <w:r w:rsidR="00FF41A0">
        <w:rPr>
          <w:color w:val="000000" w:themeColor="text1"/>
          <w:sz w:val="20"/>
          <w:szCs w:val="20"/>
          <w:lang w:val="en-GB"/>
        </w:rPr>
        <w:t xml:space="preserve"> </w:t>
      </w:r>
      <w:r w:rsidR="005B6C93" w:rsidRPr="005B6C93">
        <w:rPr>
          <w:color w:val="000000" w:themeColor="text1"/>
          <w:sz w:val="20"/>
          <w:szCs w:val="20"/>
          <w:lang w:val="en-GB"/>
        </w:rPr>
        <w:t>Evangelical</w:t>
      </w:r>
      <w:r w:rsidR="00FF41A0">
        <w:rPr>
          <w:color w:val="000000" w:themeColor="text1"/>
          <w:sz w:val="20"/>
          <w:szCs w:val="20"/>
          <w:lang w:val="en-GB"/>
        </w:rPr>
        <w:t xml:space="preserve"> </w:t>
      </w:r>
      <w:r w:rsidR="005B6C93" w:rsidRPr="005B6C93">
        <w:rPr>
          <w:color w:val="000000" w:themeColor="text1"/>
          <w:sz w:val="20"/>
          <w:szCs w:val="20"/>
          <w:lang w:val="en-GB"/>
        </w:rPr>
        <w:t>Alliance</w:t>
      </w:r>
      <w:r w:rsidR="005B6C93">
        <w:rPr>
          <w:color w:val="000000" w:themeColor="text1"/>
          <w:sz w:val="20"/>
          <w:szCs w:val="20"/>
          <w:lang w:val="en-GB"/>
        </w:rPr>
        <w:t>;</w:t>
      </w:r>
      <w:r w:rsidR="00FF41A0">
        <w:rPr>
          <w:color w:val="000000" w:themeColor="text1"/>
          <w:sz w:val="20"/>
          <w:szCs w:val="20"/>
          <w:lang w:val="en-GB"/>
        </w:rPr>
        <w:t xml:space="preserve"> </w:t>
      </w:r>
      <w:r w:rsidR="005B6C93" w:rsidRPr="005B6C93">
        <w:rPr>
          <w:color w:val="000000" w:themeColor="text1"/>
          <w:sz w:val="20"/>
          <w:szCs w:val="20"/>
          <w:lang w:val="en-GB"/>
        </w:rPr>
        <w:t>World</w:t>
      </w:r>
      <w:r w:rsidR="00FF41A0">
        <w:rPr>
          <w:color w:val="000000" w:themeColor="text1"/>
          <w:sz w:val="20"/>
          <w:szCs w:val="20"/>
          <w:lang w:val="en-GB"/>
        </w:rPr>
        <w:t xml:space="preserve"> </w:t>
      </w:r>
      <w:r w:rsidR="005B6C93" w:rsidRPr="005B6C93">
        <w:rPr>
          <w:color w:val="000000" w:themeColor="text1"/>
          <w:sz w:val="20"/>
          <w:szCs w:val="20"/>
          <w:lang w:val="en-GB"/>
        </w:rPr>
        <w:t>Jewish</w:t>
      </w:r>
      <w:r w:rsidR="00FF41A0">
        <w:rPr>
          <w:color w:val="000000" w:themeColor="text1"/>
          <w:sz w:val="20"/>
          <w:szCs w:val="20"/>
          <w:lang w:val="en-GB"/>
        </w:rPr>
        <w:t xml:space="preserve"> </w:t>
      </w:r>
      <w:r w:rsidR="005B6C93" w:rsidRPr="005B6C93">
        <w:rPr>
          <w:color w:val="000000" w:themeColor="text1"/>
          <w:sz w:val="20"/>
          <w:szCs w:val="20"/>
          <w:lang w:val="en-GB"/>
        </w:rPr>
        <w:t>Congress</w:t>
      </w:r>
      <w:r w:rsidRPr="00113DE2">
        <w:rPr>
          <w:color w:val="000000" w:themeColor="text1"/>
          <w:sz w:val="20"/>
          <w:szCs w:val="20"/>
          <w:lang w:val="en-GB"/>
        </w:rPr>
        <w:t>.</w:t>
      </w:r>
    </w:p>
    <w:p w14:paraId="0EC50E10" w14:textId="77DA3260" w:rsidR="007247BA" w:rsidRPr="00113DE2" w:rsidRDefault="00CF15B1" w:rsidP="007247BA">
      <w:pPr>
        <w:pStyle w:val="SingleTxtG"/>
        <w:rPr>
          <w:color w:val="000000" w:themeColor="text1"/>
          <w:sz w:val="20"/>
          <w:szCs w:val="20"/>
          <w:lang w:val="en-GB"/>
        </w:rPr>
      </w:pPr>
      <w:r>
        <w:rPr>
          <w:color w:val="000000" w:themeColor="text1"/>
          <w:sz w:val="20"/>
          <w:szCs w:val="20"/>
          <w:lang w:val="en-GB"/>
        </w:rPr>
        <w:t>960</w:t>
      </w:r>
      <w:r w:rsidR="007247BA" w:rsidRPr="00113DE2">
        <w:rPr>
          <w:color w:val="000000" w:themeColor="text1"/>
          <w:sz w:val="20"/>
          <w:szCs w:val="20"/>
          <w:lang w:val="en-GB"/>
        </w:rPr>
        <w:t>.</w:t>
      </w:r>
      <w:r w:rsidR="007247BA" w:rsidRPr="00113DE2">
        <w:rPr>
          <w:color w:val="000000" w:themeColor="text1"/>
          <w:sz w:val="20"/>
          <w:szCs w:val="20"/>
          <w:lang w:val="en-GB"/>
        </w:rPr>
        <w:tab/>
        <w:t>During</w:t>
      </w:r>
      <w:r w:rsidR="00FF41A0">
        <w:rPr>
          <w:color w:val="000000" w:themeColor="text1"/>
          <w:sz w:val="20"/>
          <w:szCs w:val="20"/>
          <w:lang w:val="en-GB"/>
        </w:rPr>
        <w:t xml:space="preserve"> </w:t>
      </w:r>
      <w:r w:rsidR="007247BA" w:rsidRPr="00113DE2">
        <w:rPr>
          <w:color w:val="000000" w:themeColor="text1"/>
          <w:sz w:val="20"/>
          <w:szCs w:val="20"/>
          <w:lang w:val="en-GB"/>
        </w:rPr>
        <w:t>the</w:t>
      </w:r>
      <w:r w:rsidR="00FF41A0">
        <w:rPr>
          <w:color w:val="000000" w:themeColor="text1"/>
          <w:sz w:val="20"/>
          <w:szCs w:val="20"/>
          <w:lang w:val="en-GB"/>
        </w:rPr>
        <w:t xml:space="preserve"> </w:t>
      </w:r>
      <w:r w:rsidR="007247BA" w:rsidRPr="00113DE2">
        <w:rPr>
          <w:color w:val="000000" w:themeColor="text1"/>
          <w:sz w:val="20"/>
          <w:szCs w:val="20"/>
          <w:lang w:val="en-GB"/>
        </w:rPr>
        <w:t>discussion</w:t>
      </w:r>
      <w:r w:rsidR="00FF41A0">
        <w:rPr>
          <w:color w:val="000000" w:themeColor="text1"/>
          <w:sz w:val="20"/>
          <w:szCs w:val="20"/>
          <w:lang w:val="en-GB"/>
        </w:rPr>
        <w:t xml:space="preserve"> </w:t>
      </w:r>
      <w:r w:rsidR="007247BA" w:rsidRPr="00113DE2">
        <w:rPr>
          <w:color w:val="000000" w:themeColor="text1"/>
          <w:sz w:val="20"/>
          <w:szCs w:val="20"/>
          <w:lang w:val="en-GB"/>
        </w:rPr>
        <w:t>for</w:t>
      </w:r>
      <w:r w:rsidR="00FF41A0">
        <w:rPr>
          <w:color w:val="000000" w:themeColor="text1"/>
          <w:sz w:val="20"/>
          <w:szCs w:val="20"/>
          <w:lang w:val="en-GB"/>
        </w:rPr>
        <w:t xml:space="preserve"> </w:t>
      </w:r>
      <w:r w:rsidR="007247BA" w:rsidRPr="00113DE2">
        <w:rPr>
          <w:color w:val="000000" w:themeColor="text1"/>
          <w:sz w:val="20"/>
          <w:szCs w:val="20"/>
          <w:lang w:val="en-GB"/>
        </w:rPr>
        <w:t>the</w:t>
      </w:r>
      <w:r w:rsidR="00FF41A0">
        <w:rPr>
          <w:color w:val="000000" w:themeColor="text1"/>
          <w:sz w:val="20"/>
          <w:szCs w:val="20"/>
          <w:lang w:val="en-GB"/>
        </w:rPr>
        <w:t xml:space="preserve"> </w:t>
      </w:r>
      <w:r w:rsidR="007247BA" w:rsidRPr="00113DE2">
        <w:rPr>
          <w:color w:val="000000" w:themeColor="text1"/>
          <w:sz w:val="20"/>
          <w:szCs w:val="20"/>
          <w:lang w:val="en-GB"/>
        </w:rPr>
        <w:t>second</w:t>
      </w:r>
      <w:r w:rsidR="00FF41A0">
        <w:rPr>
          <w:color w:val="000000" w:themeColor="text1"/>
          <w:sz w:val="20"/>
          <w:szCs w:val="20"/>
          <w:lang w:val="en-GB"/>
        </w:rPr>
        <w:t xml:space="preserve"> </w:t>
      </w:r>
      <w:r w:rsidR="007247BA" w:rsidRPr="00113DE2">
        <w:rPr>
          <w:color w:val="000000" w:themeColor="text1"/>
          <w:sz w:val="20"/>
          <w:szCs w:val="20"/>
          <w:lang w:val="en-GB"/>
        </w:rPr>
        <w:t>slot,</w:t>
      </w:r>
      <w:r w:rsidR="00FF41A0">
        <w:rPr>
          <w:color w:val="000000" w:themeColor="text1"/>
          <w:sz w:val="20"/>
          <w:szCs w:val="20"/>
          <w:lang w:val="en-GB"/>
        </w:rPr>
        <w:t xml:space="preserve"> </w:t>
      </w:r>
      <w:r w:rsidR="007247BA" w:rsidRPr="00113DE2">
        <w:rPr>
          <w:color w:val="000000" w:themeColor="text1"/>
          <w:sz w:val="20"/>
          <w:szCs w:val="20"/>
          <w:lang w:val="en-GB"/>
        </w:rPr>
        <w:t>at</w:t>
      </w:r>
      <w:r w:rsidR="00FF41A0">
        <w:rPr>
          <w:color w:val="000000" w:themeColor="text1"/>
          <w:sz w:val="20"/>
          <w:szCs w:val="20"/>
          <w:lang w:val="en-GB"/>
        </w:rPr>
        <w:t xml:space="preserve"> </w:t>
      </w:r>
      <w:r w:rsidR="007247BA" w:rsidRPr="00113DE2">
        <w:rPr>
          <w:color w:val="000000" w:themeColor="text1"/>
          <w:sz w:val="20"/>
          <w:szCs w:val="20"/>
          <w:lang w:val="en-GB"/>
        </w:rPr>
        <w:t>the</w:t>
      </w:r>
      <w:r w:rsidR="00FF41A0">
        <w:rPr>
          <w:color w:val="000000" w:themeColor="text1"/>
          <w:sz w:val="20"/>
          <w:szCs w:val="20"/>
          <w:lang w:val="en-GB"/>
        </w:rPr>
        <w:t xml:space="preserve"> </w:t>
      </w:r>
      <w:r w:rsidR="007247BA" w:rsidRPr="00113DE2">
        <w:rPr>
          <w:color w:val="000000" w:themeColor="text1"/>
          <w:sz w:val="20"/>
          <w:szCs w:val="20"/>
          <w:lang w:val="en-GB"/>
        </w:rPr>
        <w:t>same</w:t>
      </w:r>
      <w:r w:rsidR="00FF41A0">
        <w:rPr>
          <w:color w:val="000000" w:themeColor="text1"/>
          <w:sz w:val="20"/>
          <w:szCs w:val="20"/>
          <w:lang w:val="en-GB"/>
        </w:rPr>
        <w:t xml:space="preserve"> </w:t>
      </w:r>
      <w:r w:rsidR="007247BA" w:rsidRPr="00113DE2">
        <w:rPr>
          <w:color w:val="000000" w:themeColor="text1"/>
          <w:sz w:val="20"/>
          <w:szCs w:val="20"/>
          <w:lang w:val="en-GB"/>
        </w:rPr>
        <w:t>meeting,</w:t>
      </w:r>
      <w:r w:rsidR="00FF41A0">
        <w:rPr>
          <w:color w:val="000000" w:themeColor="text1"/>
          <w:sz w:val="20"/>
          <w:szCs w:val="20"/>
          <w:lang w:val="en-GB"/>
        </w:rPr>
        <w:t xml:space="preserve"> </w:t>
      </w:r>
      <w:r w:rsidR="007247BA" w:rsidRPr="00113DE2">
        <w:rPr>
          <w:color w:val="000000" w:themeColor="text1"/>
          <w:sz w:val="20"/>
          <w:szCs w:val="20"/>
          <w:lang w:val="en-GB"/>
        </w:rPr>
        <w:t>the</w:t>
      </w:r>
      <w:r w:rsidR="00FF41A0">
        <w:rPr>
          <w:color w:val="000000" w:themeColor="text1"/>
          <w:sz w:val="20"/>
          <w:szCs w:val="20"/>
          <w:lang w:val="en-GB"/>
        </w:rPr>
        <w:t xml:space="preserve"> </w:t>
      </w:r>
      <w:r w:rsidR="007247BA" w:rsidRPr="00113DE2">
        <w:rPr>
          <w:color w:val="000000" w:themeColor="text1"/>
          <w:sz w:val="20"/>
          <w:szCs w:val="20"/>
          <w:lang w:val="en-GB"/>
        </w:rPr>
        <w:t>following</w:t>
      </w:r>
      <w:r w:rsidR="00FF41A0">
        <w:rPr>
          <w:color w:val="000000" w:themeColor="text1"/>
          <w:sz w:val="20"/>
          <w:szCs w:val="20"/>
          <w:lang w:val="en-GB"/>
        </w:rPr>
        <w:t xml:space="preserve"> </w:t>
      </w:r>
      <w:r w:rsidR="007247BA" w:rsidRPr="00113DE2">
        <w:rPr>
          <w:color w:val="000000" w:themeColor="text1"/>
          <w:sz w:val="20"/>
          <w:szCs w:val="20"/>
          <w:lang w:val="en-GB"/>
        </w:rPr>
        <w:t>made</w:t>
      </w:r>
      <w:r w:rsidR="00FF41A0">
        <w:rPr>
          <w:color w:val="000000" w:themeColor="text1"/>
          <w:sz w:val="20"/>
          <w:szCs w:val="20"/>
          <w:lang w:val="en-GB"/>
        </w:rPr>
        <w:t xml:space="preserve"> </w:t>
      </w:r>
      <w:r w:rsidR="007247BA" w:rsidRPr="00113DE2">
        <w:rPr>
          <w:color w:val="000000" w:themeColor="text1"/>
          <w:sz w:val="20"/>
          <w:szCs w:val="20"/>
          <w:lang w:val="en-GB"/>
        </w:rPr>
        <w:t>statements</w:t>
      </w:r>
      <w:r w:rsidR="00FF41A0">
        <w:rPr>
          <w:color w:val="000000" w:themeColor="text1"/>
          <w:sz w:val="20"/>
          <w:szCs w:val="20"/>
          <w:lang w:val="en-GB"/>
        </w:rPr>
        <w:t xml:space="preserve"> </w:t>
      </w:r>
      <w:r w:rsidR="007247BA" w:rsidRPr="00113DE2">
        <w:rPr>
          <w:color w:val="000000" w:themeColor="text1"/>
          <w:sz w:val="20"/>
          <w:szCs w:val="20"/>
          <w:lang w:val="en-GB"/>
        </w:rPr>
        <w:t>and</w:t>
      </w:r>
      <w:r w:rsidR="00FF41A0">
        <w:rPr>
          <w:color w:val="000000" w:themeColor="text1"/>
          <w:sz w:val="20"/>
          <w:szCs w:val="20"/>
          <w:lang w:val="en-GB"/>
        </w:rPr>
        <w:t xml:space="preserve"> </w:t>
      </w:r>
      <w:r w:rsidR="007247BA" w:rsidRPr="00113DE2">
        <w:rPr>
          <w:color w:val="000000" w:themeColor="text1"/>
          <w:sz w:val="20"/>
          <w:szCs w:val="20"/>
          <w:lang w:val="en-GB"/>
        </w:rPr>
        <w:t>asked</w:t>
      </w:r>
      <w:r w:rsidR="00FF41A0">
        <w:rPr>
          <w:color w:val="000000" w:themeColor="text1"/>
          <w:sz w:val="20"/>
          <w:szCs w:val="20"/>
          <w:lang w:val="en-GB"/>
        </w:rPr>
        <w:t xml:space="preserve"> </w:t>
      </w:r>
      <w:r w:rsidR="007247BA" w:rsidRPr="00113DE2">
        <w:rPr>
          <w:color w:val="000000" w:themeColor="text1"/>
          <w:sz w:val="20"/>
          <w:szCs w:val="20"/>
          <w:lang w:val="en-GB"/>
        </w:rPr>
        <w:t>the</w:t>
      </w:r>
      <w:r w:rsidR="00FF41A0">
        <w:rPr>
          <w:color w:val="000000" w:themeColor="text1"/>
          <w:sz w:val="20"/>
          <w:szCs w:val="20"/>
          <w:lang w:val="en-GB"/>
        </w:rPr>
        <w:t xml:space="preserve"> </w:t>
      </w:r>
      <w:r w:rsidR="007247BA" w:rsidRPr="00113DE2">
        <w:rPr>
          <w:color w:val="000000" w:themeColor="text1"/>
          <w:sz w:val="20"/>
          <w:szCs w:val="20"/>
          <w:lang w:val="en-GB"/>
        </w:rPr>
        <w:t>panellists</w:t>
      </w:r>
      <w:r w:rsidR="00FF41A0">
        <w:rPr>
          <w:color w:val="000000" w:themeColor="text1"/>
          <w:sz w:val="20"/>
          <w:szCs w:val="20"/>
          <w:lang w:val="en-GB"/>
        </w:rPr>
        <w:t xml:space="preserve"> </w:t>
      </w:r>
      <w:r w:rsidR="007247BA" w:rsidRPr="00113DE2">
        <w:rPr>
          <w:color w:val="000000" w:themeColor="text1"/>
          <w:sz w:val="20"/>
          <w:szCs w:val="20"/>
          <w:lang w:val="en-GB"/>
        </w:rPr>
        <w:t>questions:</w:t>
      </w:r>
    </w:p>
    <w:p w14:paraId="38B9379B" w14:textId="110BA7F6" w:rsidR="007247BA" w:rsidRPr="00113DE2" w:rsidRDefault="007247BA" w:rsidP="007247BA">
      <w:pPr>
        <w:pStyle w:val="SingleTxtG"/>
        <w:ind w:firstLine="567"/>
        <w:rPr>
          <w:color w:val="000000" w:themeColor="text1"/>
          <w:sz w:val="20"/>
          <w:szCs w:val="20"/>
          <w:lang w:val="en-GB"/>
        </w:rPr>
      </w:pPr>
      <w:r w:rsidRPr="00113DE2">
        <w:rPr>
          <w:color w:val="000000" w:themeColor="text1"/>
          <w:sz w:val="20"/>
          <w:szCs w:val="20"/>
          <w:lang w:val="en-GB"/>
        </w:rPr>
        <w:t>(a)</w:t>
      </w:r>
      <w:r w:rsidRPr="00113DE2">
        <w:rPr>
          <w:color w:val="000000" w:themeColor="text1"/>
          <w:sz w:val="20"/>
          <w:szCs w:val="20"/>
          <w:lang w:val="en-GB"/>
        </w:rPr>
        <w:tab/>
        <w:t>Representatives</w:t>
      </w:r>
      <w:r w:rsidR="00FF41A0">
        <w:rPr>
          <w:color w:val="000000" w:themeColor="text1"/>
          <w:sz w:val="20"/>
          <w:szCs w:val="20"/>
          <w:lang w:val="en-GB"/>
        </w:rPr>
        <w:t xml:space="preserve"> </w:t>
      </w:r>
      <w:r w:rsidRPr="00113DE2">
        <w:rPr>
          <w:color w:val="000000" w:themeColor="text1"/>
          <w:sz w:val="20"/>
          <w:szCs w:val="20"/>
          <w:lang w:val="en-GB"/>
        </w:rPr>
        <w:t>of</w:t>
      </w:r>
      <w:r w:rsidR="00FF41A0">
        <w:rPr>
          <w:color w:val="000000" w:themeColor="text1"/>
          <w:sz w:val="20"/>
          <w:szCs w:val="20"/>
          <w:lang w:val="en-GB"/>
        </w:rPr>
        <w:t xml:space="preserve"> </w:t>
      </w:r>
      <w:r w:rsidR="005D3E5F">
        <w:rPr>
          <w:color w:val="000000" w:themeColor="text1"/>
          <w:sz w:val="20"/>
          <w:szCs w:val="20"/>
          <w:lang w:val="en-GB"/>
        </w:rPr>
        <w:t>States</w:t>
      </w:r>
      <w:r w:rsidR="00FF41A0">
        <w:rPr>
          <w:color w:val="000000" w:themeColor="text1"/>
          <w:sz w:val="20"/>
          <w:szCs w:val="20"/>
          <w:lang w:val="en-GB"/>
        </w:rPr>
        <w:t xml:space="preserve"> </w:t>
      </w:r>
      <w:r w:rsidR="005D3E5F">
        <w:rPr>
          <w:color w:val="000000" w:themeColor="text1"/>
          <w:sz w:val="20"/>
          <w:szCs w:val="20"/>
          <w:lang w:val="en-GB"/>
        </w:rPr>
        <w:t>Members</w:t>
      </w:r>
      <w:r w:rsidR="00FF41A0">
        <w:rPr>
          <w:color w:val="000000" w:themeColor="text1"/>
          <w:sz w:val="20"/>
          <w:szCs w:val="20"/>
          <w:lang w:val="en-GB"/>
        </w:rPr>
        <w:t xml:space="preserve"> </w:t>
      </w:r>
      <w:r w:rsidRPr="00113DE2">
        <w:rPr>
          <w:color w:val="000000" w:themeColor="text1"/>
          <w:sz w:val="20"/>
          <w:szCs w:val="20"/>
          <w:lang w:val="en-GB"/>
        </w:rPr>
        <w:t>of</w:t>
      </w:r>
      <w:r w:rsidR="00FF41A0">
        <w:rPr>
          <w:color w:val="000000" w:themeColor="text1"/>
          <w:sz w:val="20"/>
          <w:szCs w:val="20"/>
          <w:lang w:val="en-GB"/>
        </w:rPr>
        <w:t xml:space="preserve"> </w:t>
      </w:r>
      <w:r w:rsidRPr="00113DE2">
        <w:rPr>
          <w:color w:val="000000" w:themeColor="text1"/>
          <w:sz w:val="20"/>
          <w:szCs w:val="20"/>
          <w:lang w:val="en-GB"/>
        </w:rPr>
        <w:t>the</w:t>
      </w:r>
      <w:r w:rsidR="00FF41A0">
        <w:rPr>
          <w:color w:val="000000" w:themeColor="text1"/>
          <w:sz w:val="20"/>
          <w:szCs w:val="20"/>
          <w:lang w:val="en-GB"/>
        </w:rPr>
        <w:t xml:space="preserve"> </w:t>
      </w:r>
      <w:r w:rsidRPr="00113DE2">
        <w:rPr>
          <w:color w:val="000000" w:themeColor="text1"/>
          <w:sz w:val="20"/>
          <w:szCs w:val="20"/>
          <w:lang w:val="en-GB"/>
        </w:rPr>
        <w:t>Human</w:t>
      </w:r>
      <w:r w:rsidR="00FF41A0">
        <w:rPr>
          <w:color w:val="000000" w:themeColor="text1"/>
          <w:sz w:val="20"/>
          <w:szCs w:val="20"/>
          <w:lang w:val="en-GB"/>
        </w:rPr>
        <w:t xml:space="preserve"> </w:t>
      </w:r>
      <w:r w:rsidRPr="00113DE2">
        <w:rPr>
          <w:color w:val="000000" w:themeColor="text1"/>
          <w:sz w:val="20"/>
          <w:szCs w:val="20"/>
          <w:lang w:val="en-GB"/>
        </w:rPr>
        <w:t>Rights</w:t>
      </w:r>
      <w:r w:rsidR="00FF41A0">
        <w:rPr>
          <w:color w:val="000000" w:themeColor="text1"/>
          <w:sz w:val="20"/>
          <w:szCs w:val="20"/>
          <w:lang w:val="en-GB"/>
        </w:rPr>
        <w:t xml:space="preserve"> </w:t>
      </w:r>
      <w:r w:rsidRPr="00113DE2">
        <w:rPr>
          <w:color w:val="000000" w:themeColor="text1"/>
          <w:sz w:val="20"/>
          <w:szCs w:val="20"/>
          <w:lang w:val="en-GB"/>
        </w:rPr>
        <w:t>Council:</w:t>
      </w:r>
      <w:r w:rsidR="00FF41A0">
        <w:rPr>
          <w:color w:val="000000" w:themeColor="text1"/>
          <w:sz w:val="20"/>
          <w:szCs w:val="20"/>
          <w:lang w:val="en-GB"/>
        </w:rPr>
        <w:t xml:space="preserve"> </w:t>
      </w:r>
      <w:r w:rsidR="005B6C93" w:rsidRPr="005B6C93">
        <w:rPr>
          <w:color w:val="000000" w:themeColor="text1"/>
          <w:sz w:val="20"/>
          <w:szCs w:val="20"/>
          <w:lang w:val="en-GB"/>
        </w:rPr>
        <w:t>Brazil</w:t>
      </w:r>
      <w:r w:rsidR="005B6C93">
        <w:rPr>
          <w:color w:val="000000" w:themeColor="text1"/>
          <w:sz w:val="20"/>
          <w:szCs w:val="20"/>
          <w:lang w:val="en-GB"/>
        </w:rPr>
        <w:t>,</w:t>
      </w:r>
      <w:r w:rsidR="00FF41A0">
        <w:rPr>
          <w:color w:val="000000" w:themeColor="text1"/>
          <w:sz w:val="20"/>
          <w:szCs w:val="20"/>
          <w:lang w:val="en-GB"/>
        </w:rPr>
        <w:t xml:space="preserve"> </w:t>
      </w:r>
      <w:r w:rsidR="005B6C93" w:rsidRPr="005B6C93">
        <w:rPr>
          <w:color w:val="000000" w:themeColor="text1"/>
          <w:sz w:val="20"/>
          <w:szCs w:val="20"/>
          <w:lang w:val="en-GB"/>
        </w:rPr>
        <w:t>India</w:t>
      </w:r>
      <w:r w:rsidR="005B6C93">
        <w:rPr>
          <w:color w:val="000000" w:themeColor="text1"/>
          <w:sz w:val="20"/>
          <w:szCs w:val="20"/>
          <w:lang w:val="en-GB"/>
        </w:rPr>
        <w:t>,</w:t>
      </w:r>
      <w:r w:rsidR="00FF41A0">
        <w:rPr>
          <w:color w:val="000000" w:themeColor="text1"/>
          <w:sz w:val="20"/>
          <w:szCs w:val="20"/>
          <w:lang w:val="en-GB"/>
        </w:rPr>
        <w:t xml:space="preserve"> </w:t>
      </w:r>
      <w:r w:rsidR="005B6C93" w:rsidRPr="005B6C93">
        <w:rPr>
          <w:color w:val="000000" w:themeColor="text1"/>
          <w:sz w:val="20"/>
          <w:szCs w:val="20"/>
          <w:lang w:val="en-GB"/>
        </w:rPr>
        <w:t>South</w:t>
      </w:r>
      <w:r w:rsidR="00FF41A0">
        <w:rPr>
          <w:color w:val="000000" w:themeColor="text1"/>
          <w:sz w:val="20"/>
          <w:szCs w:val="20"/>
          <w:lang w:val="en-GB"/>
        </w:rPr>
        <w:t xml:space="preserve"> </w:t>
      </w:r>
      <w:r w:rsidR="005B6C93" w:rsidRPr="005B6C93">
        <w:rPr>
          <w:color w:val="000000" w:themeColor="text1"/>
          <w:sz w:val="20"/>
          <w:szCs w:val="20"/>
          <w:lang w:val="en-GB"/>
        </w:rPr>
        <w:t>Africa</w:t>
      </w:r>
      <w:r w:rsidR="005B6C93">
        <w:rPr>
          <w:color w:val="000000" w:themeColor="text1"/>
          <w:sz w:val="20"/>
          <w:szCs w:val="20"/>
          <w:lang w:val="en-GB"/>
        </w:rPr>
        <w:t>,</w:t>
      </w:r>
      <w:r w:rsidR="00FF41A0">
        <w:rPr>
          <w:color w:val="000000" w:themeColor="text1"/>
          <w:sz w:val="20"/>
          <w:szCs w:val="20"/>
          <w:lang w:val="en-GB"/>
        </w:rPr>
        <w:t xml:space="preserve"> </w:t>
      </w:r>
      <w:r w:rsidR="005B6C93" w:rsidRPr="005B6C93">
        <w:rPr>
          <w:color w:val="000000" w:themeColor="text1"/>
          <w:sz w:val="20"/>
          <w:szCs w:val="20"/>
          <w:lang w:val="en-GB"/>
        </w:rPr>
        <w:t>Tunisia</w:t>
      </w:r>
      <w:r w:rsidRPr="00113DE2">
        <w:rPr>
          <w:color w:val="000000" w:themeColor="text1"/>
          <w:sz w:val="20"/>
          <w:szCs w:val="20"/>
          <w:lang w:val="en-GB"/>
        </w:rPr>
        <w:t>;</w:t>
      </w:r>
    </w:p>
    <w:p w14:paraId="34970D33" w14:textId="553E460A" w:rsidR="007247BA" w:rsidRPr="00113DE2" w:rsidRDefault="007247BA" w:rsidP="007247BA">
      <w:pPr>
        <w:pStyle w:val="SingleTxtG"/>
        <w:ind w:firstLine="567"/>
        <w:rPr>
          <w:color w:val="000000" w:themeColor="text1"/>
          <w:sz w:val="20"/>
          <w:szCs w:val="20"/>
          <w:lang w:val="en-GB"/>
        </w:rPr>
      </w:pPr>
      <w:r w:rsidRPr="00113DE2">
        <w:rPr>
          <w:color w:val="000000" w:themeColor="text1"/>
          <w:sz w:val="20"/>
          <w:szCs w:val="20"/>
          <w:lang w:val="en-GB"/>
        </w:rPr>
        <w:t>(b)</w:t>
      </w:r>
      <w:r w:rsidRPr="00113DE2">
        <w:rPr>
          <w:color w:val="000000" w:themeColor="text1"/>
          <w:sz w:val="20"/>
          <w:szCs w:val="20"/>
          <w:lang w:val="en-GB"/>
        </w:rPr>
        <w:tab/>
        <w:t>Representatives</w:t>
      </w:r>
      <w:r w:rsidR="00FF41A0">
        <w:rPr>
          <w:color w:val="000000" w:themeColor="text1"/>
          <w:sz w:val="20"/>
          <w:szCs w:val="20"/>
          <w:lang w:val="en-GB"/>
        </w:rPr>
        <w:t xml:space="preserve"> </w:t>
      </w:r>
      <w:r w:rsidRPr="00113DE2">
        <w:rPr>
          <w:color w:val="000000" w:themeColor="text1"/>
          <w:sz w:val="20"/>
          <w:szCs w:val="20"/>
          <w:lang w:val="en-GB"/>
        </w:rPr>
        <w:t>of</w:t>
      </w:r>
      <w:r w:rsidR="00FF41A0">
        <w:rPr>
          <w:color w:val="000000" w:themeColor="text1"/>
          <w:sz w:val="20"/>
          <w:szCs w:val="20"/>
          <w:lang w:val="en-GB"/>
        </w:rPr>
        <w:t xml:space="preserve"> </w:t>
      </w:r>
      <w:r w:rsidRPr="00113DE2">
        <w:rPr>
          <w:color w:val="000000" w:themeColor="text1"/>
          <w:sz w:val="20"/>
          <w:szCs w:val="20"/>
          <w:lang w:val="en-GB"/>
        </w:rPr>
        <w:t>observer</w:t>
      </w:r>
      <w:r w:rsidR="00FF41A0">
        <w:rPr>
          <w:color w:val="000000" w:themeColor="text1"/>
          <w:sz w:val="20"/>
          <w:szCs w:val="20"/>
          <w:lang w:val="en-GB"/>
        </w:rPr>
        <w:t xml:space="preserve"> </w:t>
      </w:r>
      <w:r w:rsidRPr="00113DE2">
        <w:rPr>
          <w:color w:val="000000" w:themeColor="text1"/>
          <w:sz w:val="20"/>
          <w:szCs w:val="20"/>
          <w:lang w:val="en-GB"/>
        </w:rPr>
        <w:t>States:</w:t>
      </w:r>
      <w:r w:rsidR="00FF41A0">
        <w:rPr>
          <w:color w:val="000000" w:themeColor="text1"/>
          <w:sz w:val="20"/>
          <w:szCs w:val="20"/>
          <w:lang w:val="en-GB"/>
        </w:rPr>
        <w:t xml:space="preserve"> </w:t>
      </w:r>
      <w:r w:rsidR="005B6C93">
        <w:rPr>
          <w:color w:val="000000" w:themeColor="text1"/>
          <w:sz w:val="20"/>
          <w:szCs w:val="20"/>
          <w:lang w:val="en-GB"/>
        </w:rPr>
        <w:t>Ecuador,</w:t>
      </w:r>
      <w:r w:rsidR="00FF41A0">
        <w:rPr>
          <w:color w:val="000000" w:themeColor="text1"/>
          <w:sz w:val="20"/>
          <w:szCs w:val="20"/>
          <w:lang w:val="en-GB"/>
        </w:rPr>
        <w:t xml:space="preserve"> </w:t>
      </w:r>
      <w:r w:rsidR="005B6C93" w:rsidRPr="005B6C93">
        <w:rPr>
          <w:color w:val="000000" w:themeColor="text1"/>
          <w:sz w:val="20"/>
          <w:szCs w:val="20"/>
          <w:lang w:val="en-GB"/>
        </w:rPr>
        <w:t>Gambia</w:t>
      </w:r>
      <w:r w:rsidR="005B6C93">
        <w:rPr>
          <w:color w:val="000000" w:themeColor="text1"/>
          <w:sz w:val="20"/>
          <w:szCs w:val="20"/>
          <w:lang w:val="en-GB"/>
        </w:rPr>
        <w:t>,</w:t>
      </w:r>
      <w:r w:rsidR="00FF41A0">
        <w:rPr>
          <w:color w:val="000000" w:themeColor="text1"/>
          <w:sz w:val="20"/>
          <w:szCs w:val="20"/>
          <w:lang w:val="en-GB"/>
        </w:rPr>
        <w:t xml:space="preserve"> </w:t>
      </w:r>
      <w:r w:rsidR="005B6C93">
        <w:rPr>
          <w:color w:val="000000" w:themeColor="text1"/>
          <w:sz w:val="20"/>
          <w:szCs w:val="20"/>
          <w:lang w:val="en-GB"/>
        </w:rPr>
        <w:t>Iran</w:t>
      </w:r>
      <w:r w:rsidR="00FF41A0">
        <w:rPr>
          <w:color w:val="000000" w:themeColor="text1"/>
          <w:sz w:val="20"/>
          <w:szCs w:val="20"/>
          <w:lang w:val="en-GB"/>
        </w:rPr>
        <w:t xml:space="preserve"> </w:t>
      </w:r>
      <w:r w:rsidR="005B6C93">
        <w:rPr>
          <w:color w:val="000000" w:themeColor="text1"/>
          <w:sz w:val="20"/>
          <w:szCs w:val="20"/>
          <w:lang w:val="en-GB"/>
        </w:rPr>
        <w:t>(Islamic</w:t>
      </w:r>
      <w:r w:rsidR="00FF41A0">
        <w:rPr>
          <w:color w:val="000000" w:themeColor="text1"/>
          <w:sz w:val="20"/>
          <w:szCs w:val="20"/>
          <w:lang w:val="en-GB"/>
        </w:rPr>
        <w:t xml:space="preserve"> </w:t>
      </w:r>
      <w:r w:rsidR="005B6C93">
        <w:rPr>
          <w:color w:val="000000" w:themeColor="text1"/>
          <w:sz w:val="20"/>
          <w:szCs w:val="20"/>
          <w:lang w:val="en-GB"/>
        </w:rPr>
        <w:t>Republic</w:t>
      </w:r>
      <w:r w:rsidR="00FF41A0">
        <w:rPr>
          <w:color w:val="000000" w:themeColor="text1"/>
          <w:sz w:val="20"/>
          <w:szCs w:val="20"/>
          <w:lang w:val="en-GB"/>
        </w:rPr>
        <w:t xml:space="preserve"> </w:t>
      </w:r>
      <w:r w:rsidR="005B6C93">
        <w:rPr>
          <w:color w:val="000000" w:themeColor="text1"/>
          <w:sz w:val="20"/>
          <w:szCs w:val="20"/>
          <w:lang w:val="en-GB"/>
        </w:rPr>
        <w:t>of),</w:t>
      </w:r>
      <w:r w:rsidR="00FF41A0">
        <w:rPr>
          <w:color w:val="000000" w:themeColor="text1"/>
          <w:sz w:val="20"/>
          <w:szCs w:val="20"/>
          <w:lang w:val="en-GB"/>
        </w:rPr>
        <w:t xml:space="preserve"> </w:t>
      </w:r>
      <w:r w:rsidR="005B6C93">
        <w:rPr>
          <w:color w:val="000000" w:themeColor="text1"/>
          <w:sz w:val="20"/>
          <w:szCs w:val="20"/>
          <w:lang w:val="en-GB"/>
        </w:rPr>
        <w:t>Lebanon,</w:t>
      </w:r>
      <w:r w:rsidR="00FF41A0">
        <w:rPr>
          <w:color w:val="000000" w:themeColor="text1"/>
          <w:sz w:val="20"/>
          <w:szCs w:val="20"/>
          <w:lang w:val="en-GB"/>
        </w:rPr>
        <w:t xml:space="preserve"> </w:t>
      </w:r>
      <w:r w:rsidR="005B6C93" w:rsidRPr="005B6C93">
        <w:rPr>
          <w:color w:val="000000" w:themeColor="text1"/>
          <w:sz w:val="20"/>
          <w:szCs w:val="20"/>
          <w:lang w:val="en-GB"/>
        </w:rPr>
        <w:t>Russian</w:t>
      </w:r>
      <w:r w:rsidR="00FF41A0">
        <w:rPr>
          <w:color w:val="000000" w:themeColor="text1"/>
          <w:sz w:val="20"/>
          <w:szCs w:val="20"/>
          <w:lang w:val="en-GB"/>
        </w:rPr>
        <w:t xml:space="preserve"> </w:t>
      </w:r>
      <w:r w:rsidR="005B6C93" w:rsidRPr="005B6C93">
        <w:rPr>
          <w:color w:val="000000" w:themeColor="text1"/>
          <w:sz w:val="20"/>
          <w:szCs w:val="20"/>
          <w:lang w:val="en-GB"/>
        </w:rPr>
        <w:t>Federation</w:t>
      </w:r>
      <w:r w:rsidR="005B6C93">
        <w:rPr>
          <w:color w:val="000000" w:themeColor="text1"/>
          <w:sz w:val="20"/>
          <w:szCs w:val="20"/>
          <w:lang w:val="en-GB"/>
        </w:rPr>
        <w:t>,</w:t>
      </w:r>
      <w:r w:rsidR="00FF41A0">
        <w:rPr>
          <w:color w:val="000000" w:themeColor="text1"/>
          <w:sz w:val="20"/>
          <w:szCs w:val="20"/>
          <w:lang w:val="en-GB"/>
        </w:rPr>
        <w:t xml:space="preserve"> </w:t>
      </w:r>
      <w:r w:rsidR="005B6C93" w:rsidRPr="005B6C93">
        <w:rPr>
          <w:color w:val="000000" w:themeColor="text1"/>
          <w:sz w:val="20"/>
          <w:szCs w:val="20"/>
          <w:lang w:val="en-GB"/>
        </w:rPr>
        <w:t>State</w:t>
      </w:r>
      <w:r w:rsidR="00FF41A0">
        <w:rPr>
          <w:color w:val="000000" w:themeColor="text1"/>
          <w:sz w:val="20"/>
          <w:szCs w:val="20"/>
          <w:lang w:val="en-GB"/>
        </w:rPr>
        <w:t xml:space="preserve"> </w:t>
      </w:r>
      <w:r w:rsidR="005B6C93" w:rsidRPr="005B6C93">
        <w:rPr>
          <w:color w:val="000000" w:themeColor="text1"/>
          <w:sz w:val="20"/>
          <w:szCs w:val="20"/>
          <w:lang w:val="en-GB"/>
        </w:rPr>
        <w:t>of</w:t>
      </w:r>
      <w:r w:rsidR="00FF41A0">
        <w:rPr>
          <w:color w:val="000000" w:themeColor="text1"/>
          <w:sz w:val="20"/>
          <w:szCs w:val="20"/>
          <w:lang w:val="en-GB"/>
        </w:rPr>
        <w:t xml:space="preserve"> </w:t>
      </w:r>
      <w:r w:rsidR="005B6C93" w:rsidRPr="005B6C93">
        <w:rPr>
          <w:color w:val="000000" w:themeColor="text1"/>
          <w:sz w:val="20"/>
          <w:szCs w:val="20"/>
          <w:lang w:val="en-GB"/>
        </w:rPr>
        <w:t>Palestine</w:t>
      </w:r>
      <w:r w:rsidRPr="00113DE2">
        <w:rPr>
          <w:color w:val="000000" w:themeColor="text1"/>
          <w:sz w:val="20"/>
          <w:szCs w:val="20"/>
          <w:lang w:val="en-GB"/>
        </w:rPr>
        <w:t>;</w:t>
      </w:r>
    </w:p>
    <w:p w14:paraId="7ED1BE8D" w14:textId="6B584A71" w:rsidR="007247BA" w:rsidRPr="00113DE2" w:rsidRDefault="007247BA" w:rsidP="007247BA">
      <w:pPr>
        <w:pStyle w:val="SingleTxtG"/>
        <w:ind w:firstLine="567"/>
        <w:rPr>
          <w:color w:val="000000" w:themeColor="text1"/>
          <w:sz w:val="20"/>
          <w:szCs w:val="20"/>
          <w:lang w:val="en-GB"/>
        </w:rPr>
      </w:pPr>
      <w:r w:rsidRPr="00113DE2">
        <w:rPr>
          <w:color w:val="000000" w:themeColor="text1"/>
          <w:sz w:val="20"/>
          <w:szCs w:val="20"/>
          <w:lang w:val="en-GB"/>
        </w:rPr>
        <w:t>(</w:t>
      </w:r>
      <w:r w:rsidR="005B6C93">
        <w:rPr>
          <w:color w:val="000000" w:themeColor="text1"/>
          <w:sz w:val="20"/>
          <w:szCs w:val="20"/>
          <w:lang w:val="en-GB"/>
        </w:rPr>
        <w:t>c</w:t>
      </w:r>
      <w:r w:rsidRPr="00113DE2">
        <w:rPr>
          <w:color w:val="000000" w:themeColor="text1"/>
          <w:sz w:val="20"/>
          <w:szCs w:val="20"/>
          <w:lang w:val="en-GB"/>
        </w:rPr>
        <w:t>)</w:t>
      </w:r>
      <w:r w:rsidRPr="00113DE2">
        <w:rPr>
          <w:color w:val="000000" w:themeColor="text1"/>
          <w:sz w:val="20"/>
          <w:szCs w:val="20"/>
          <w:lang w:val="en-GB"/>
        </w:rPr>
        <w:tab/>
        <w:t>Observers</w:t>
      </w:r>
      <w:r w:rsidR="00FF41A0">
        <w:rPr>
          <w:color w:val="000000" w:themeColor="text1"/>
          <w:sz w:val="20"/>
          <w:szCs w:val="20"/>
          <w:lang w:val="en-GB"/>
        </w:rPr>
        <w:t xml:space="preserve"> </w:t>
      </w:r>
      <w:r w:rsidRPr="00113DE2">
        <w:rPr>
          <w:color w:val="000000" w:themeColor="text1"/>
          <w:sz w:val="20"/>
          <w:szCs w:val="20"/>
          <w:lang w:val="en-GB"/>
        </w:rPr>
        <w:t>for</w:t>
      </w:r>
      <w:r w:rsidR="00FF41A0">
        <w:rPr>
          <w:color w:val="000000" w:themeColor="text1"/>
          <w:sz w:val="20"/>
          <w:szCs w:val="20"/>
          <w:lang w:val="en-GB"/>
        </w:rPr>
        <w:t xml:space="preserve"> </w:t>
      </w:r>
      <w:r w:rsidRPr="00113DE2">
        <w:rPr>
          <w:color w:val="000000" w:themeColor="text1"/>
          <w:sz w:val="20"/>
          <w:szCs w:val="20"/>
          <w:lang w:val="en-GB"/>
        </w:rPr>
        <w:t>non-governmental</w:t>
      </w:r>
      <w:r w:rsidR="00FF41A0">
        <w:rPr>
          <w:color w:val="000000" w:themeColor="text1"/>
          <w:sz w:val="20"/>
          <w:szCs w:val="20"/>
          <w:lang w:val="en-GB"/>
        </w:rPr>
        <w:t xml:space="preserve"> </w:t>
      </w:r>
      <w:r w:rsidRPr="00113DE2">
        <w:rPr>
          <w:color w:val="000000" w:themeColor="text1"/>
          <w:sz w:val="20"/>
          <w:szCs w:val="20"/>
          <w:lang w:val="en-GB"/>
        </w:rPr>
        <w:t>organizations:</w:t>
      </w:r>
      <w:r w:rsidR="00FF41A0">
        <w:rPr>
          <w:color w:val="000000" w:themeColor="text1"/>
          <w:sz w:val="20"/>
          <w:szCs w:val="20"/>
          <w:lang w:val="en-GB"/>
        </w:rPr>
        <w:t xml:space="preserve"> </w:t>
      </w:r>
      <w:r w:rsidR="005B6C93" w:rsidRPr="005B6C93">
        <w:rPr>
          <w:color w:val="000000" w:themeColor="text1"/>
          <w:sz w:val="20"/>
          <w:szCs w:val="20"/>
          <w:lang w:val="en-GB"/>
        </w:rPr>
        <w:t>Action</w:t>
      </w:r>
      <w:r w:rsidR="00FF41A0">
        <w:rPr>
          <w:color w:val="000000" w:themeColor="text1"/>
          <w:sz w:val="20"/>
          <w:szCs w:val="20"/>
          <w:lang w:val="en-GB"/>
        </w:rPr>
        <w:t xml:space="preserve"> </w:t>
      </w:r>
      <w:r w:rsidR="005B6C93" w:rsidRPr="005B6C93">
        <w:rPr>
          <w:color w:val="000000" w:themeColor="text1"/>
          <w:sz w:val="20"/>
          <w:szCs w:val="20"/>
          <w:lang w:val="en-GB"/>
        </w:rPr>
        <w:t>Canada</w:t>
      </w:r>
      <w:r w:rsidR="00FF41A0">
        <w:rPr>
          <w:color w:val="000000" w:themeColor="text1"/>
          <w:sz w:val="20"/>
          <w:szCs w:val="20"/>
          <w:lang w:val="en-GB"/>
        </w:rPr>
        <w:t xml:space="preserve"> </w:t>
      </w:r>
      <w:r w:rsidR="005B6C93" w:rsidRPr="005B6C93">
        <w:rPr>
          <w:color w:val="000000" w:themeColor="text1"/>
          <w:sz w:val="20"/>
          <w:szCs w:val="20"/>
          <w:lang w:val="en-GB"/>
        </w:rPr>
        <w:t>for</w:t>
      </w:r>
      <w:r w:rsidR="00FF41A0">
        <w:rPr>
          <w:color w:val="000000" w:themeColor="text1"/>
          <w:sz w:val="20"/>
          <w:szCs w:val="20"/>
          <w:lang w:val="en-GB"/>
        </w:rPr>
        <w:t xml:space="preserve"> </w:t>
      </w:r>
      <w:r w:rsidR="005B6C93" w:rsidRPr="005B6C93">
        <w:rPr>
          <w:color w:val="000000" w:themeColor="text1"/>
          <w:sz w:val="20"/>
          <w:szCs w:val="20"/>
          <w:lang w:val="en-GB"/>
        </w:rPr>
        <w:t>Population</w:t>
      </w:r>
      <w:r w:rsidR="00FF41A0">
        <w:rPr>
          <w:color w:val="000000" w:themeColor="text1"/>
          <w:sz w:val="20"/>
          <w:szCs w:val="20"/>
          <w:lang w:val="en-GB"/>
        </w:rPr>
        <w:t xml:space="preserve"> </w:t>
      </w:r>
      <w:r w:rsidR="005B6C93" w:rsidRPr="005B6C93">
        <w:rPr>
          <w:color w:val="000000" w:themeColor="text1"/>
          <w:sz w:val="20"/>
          <w:szCs w:val="20"/>
          <w:lang w:val="en-GB"/>
        </w:rPr>
        <w:t>and</w:t>
      </w:r>
      <w:r w:rsidR="00FF41A0">
        <w:rPr>
          <w:color w:val="000000" w:themeColor="text1"/>
          <w:sz w:val="20"/>
          <w:szCs w:val="20"/>
          <w:lang w:val="en-GB"/>
        </w:rPr>
        <w:t xml:space="preserve"> </w:t>
      </w:r>
      <w:r w:rsidR="005B6C93" w:rsidRPr="005B6C93">
        <w:rPr>
          <w:color w:val="000000" w:themeColor="text1"/>
          <w:sz w:val="20"/>
          <w:szCs w:val="20"/>
          <w:lang w:val="en-GB"/>
        </w:rPr>
        <w:t>Development</w:t>
      </w:r>
      <w:r w:rsidR="005B6C93">
        <w:rPr>
          <w:color w:val="000000" w:themeColor="text1"/>
          <w:sz w:val="20"/>
          <w:szCs w:val="20"/>
          <w:lang w:val="en-GB"/>
        </w:rPr>
        <w:t>;</w:t>
      </w:r>
      <w:r w:rsidR="00FF41A0">
        <w:rPr>
          <w:color w:val="000000" w:themeColor="text1"/>
          <w:sz w:val="20"/>
          <w:szCs w:val="20"/>
          <w:lang w:val="en-GB"/>
        </w:rPr>
        <w:t xml:space="preserve"> </w:t>
      </w:r>
      <w:r w:rsidR="005B6C93" w:rsidRPr="005B6C93">
        <w:rPr>
          <w:color w:val="000000" w:themeColor="text1"/>
          <w:sz w:val="20"/>
          <w:szCs w:val="20"/>
          <w:lang w:val="en-GB"/>
        </w:rPr>
        <w:t>Article</w:t>
      </w:r>
      <w:r w:rsidR="00FF41A0">
        <w:rPr>
          <w:color w:val="000000" w:themeColor="text1"/>
          <w:sz w:val="20"/>
          <w:szCs w:val="20"/>
          <w:lang w:val="en-GB"/>
        </w:rPr>
        <w:t xml:space="preserve"> </w:t>
      </w:r>
      <w:r w:rsidR="005B6C93" w:rsidRPr="005B6C93">
        <w:rPr>
          <w:color w:val="000000" w:themeColor="text1"/>
          <w:sz w:val="20"/>
          <w:szCs w:val="20"/>
          <w:lang w:val="en-GB"/>
        </w:rPr>
        <w:t>19</w:t>
      </w:r>
      <w:r w:rsidR="00FF41A0">
        <w:rPr>
          <w:color w:val="000000" w:themeColor="text1"/>
          <w:sz w:val="20"/>
          <w:szCs w:val="20"/>
          <w:lang w:val="en-GB"/>
        </w:rPr>
        <w:t xml:space="preserve"> </w:t>
      </w:r>
      <w:r w:rsidR="005B6C93" w:rsidRPr="005B6C93">
        <w:rPr>
          <w:color w:val="000000" w:themeColor="text1"/>
          <w:sz w:val="20"/>
          <w:szCs w:val="20"/>
          <w:lang w:val="en-GB"/>
        </w:rPr>
        <w:t>-</w:t>
      </w:r>
      <w:r w:rsidR="00FF41A0">
        <w:rPr>
          <w:color w:val="000000" w:themeColor="text1"/>
          <w:sz w:val="20"/>
          <w:szCs w:val="20"/>
          <w:lang w:val="en-GB"/>
        </w:rPr>
        <w:t xml:space="preserve"> </w:t>
      </w:r>
      <w:r w:rsidR="005B6C93" w:rsidRPr="005B6C93">
        <w:rPr>
          <w:color w:val="000000" w:themeColor="text1"/>
          <w:sz w:val="20"/>
          <w:szCs w:val="20"/>
          <w:lang w:val="en-GB"/>
        </w:rPr>
        <w:t>International</w:t>
      </w:r>
      <w:r w:rsidR="00FF41A0">
        <w:rPr>
          <w:color w:val="000000" w:themeColor="text1"/>
          <w:sz w:val="20"/>
          <w:szCs w:val="20"/>
          <w:lang w:val="en-GB"/>
        </w:rPr>
        <w:t xml:space="preserve"> </w:t>
      </w:r>
      <w:r w:rsidR="005B6C93" w:rsidRPr="005B6C93">
        <w:rPr>
          <w:color w:val="000000" w:themeColor="text1"/>
          <w:sz w:val="20"/>
          <w:szCs w:val="20"/>
          <w:lang w:val="en-GB"/>
        </w:rPr>
        <w:t>Centre</w:t>
      </w:r>
      <w:r w:rsidR="00FF41A0">
        <w:rPr>
          <w:color w:val="000000" w:themeColor="text1"/>
          <w:sz w:val="20"/>
          <w:szCs w:val="20"/>
          <w:lang w:val="en-GB"/>
        </w:rPr>
        <w:t xml:space="preserve"> </w:t>
      </w:r>
      <w:r w:rsidR="009769EB" w:rsidRPr="005B6C93">
        <w:rPr>
          <w:color w:val="000000" w:themeColor="text1"/>
          <w:sz w:val="20"/>
          <w:szCs w:val="20"/>
          <w:lang w:val="en-GB"/>
        </w:rPr>
        <w:t>against</w:t>
      </w:r>
      <w:r w:rsidR="00FF41A0">
        <w:rPr>
          <w:color w:val="000000" w:themeColor="text1"/>
          <w:sz w:val="20"/>
          <w:szCs w:val="20"/>
          <w:lang w:val="en-GB"/>
        </w:rPr>
        <w:t xml:space="preserve"> </w:t>
      </w:r>
      <w:r w:rsidR="005B6C93" w:rsidRPr="005B6C93">
        <w:rPr>
          <w:color w:val="000000" w:themeColor="text1"/>
          <w:sz w:val="20"/>
          <w:szCs w:val="20"/>
          <w:lang w:val="en-GB"/>
        </w:rPr>
        <w:t>Censorship,</w:t>
      </w:r>
      <w:r w:rsidR="00FF41A0">
        <w:rPr>
          <w:color w:val="000000" w:themeColor="text1"/>
          <w:sz w:val="20"/>
          <w:szCs w:val="20"/>
          <w:lang w:val="en-GB"/>
        </w:rPr>
        <w:t xml:space="preserve"> </w:t>
      </w:r>
      <w:proofErr w:type="gramStart"/>
      <w:r w:rsidR="005B6C93" w:rsidRPr="005B6C93">
        <w:rPr>
          <w:color w:val="000000" w:themeColor="text1"/>
          <w:sz w:val="20"/>
          <w:szCs w:val="20"/>
          <w:lang w:val="en-GB"/>
        </w:rPr>
        <w:t>The</w:t>
      </w:r>
      <w:proofErr w:type="gramEnd"/>
      <w:r w:rsidR="005B6C93">
        <w:rPr>
          <w:color w:val="000000" w:themeColor="text1"/>
          <w:sz w:val="20"/>
          <w:szCs w:val="20"/>
          <w:lang w:val="en-GB"/>
        </w:rPr>
        <w:t>;</w:t>
      </w:r>
      <w:r w:rsidR="00FF41A0">
        <w:rPr>
          <w:color w:val="000000" w:themeColor="text1"/>
          <w:sz w:val="20"/>
          <w:szCs w:val="20"/>
          <w:lang w:val="en-GB"/>
        </w:rPr>
        <w:t xml:space="preserve"> </w:t>
      </w:r>
      <w:r w:rsidR="005B6C93" w:rsidRPr="005B6C93">
        <w:rPr>
          <w:color w:val="000000" w:themeColor="text1"/>
          <w:sz w:val="20"/>
          <w:szCs w:val="20"/>
          <w:lang w:val="en-GB"/>
        </w:rPr>
        <w:t>Pasumai</w:t>
      </w:r>
      <w:r w:rsidR="00FF41A0">
        <w:rPr>
          <w:color w:val="000000" w:themeColor="text1"/>
          <w:sz w:val="20"/>
          <w:szCs w:val="20"/>
          <w:lang w:val="en-GB"/>
        </w:rPr>
        <w:t xml:space="preserve"> </w:t>
      </w:r>
      <w:r w:rsidR="005B6C93" w:rsidRPr="005B6C93">
        <w:rPr>
          <w:color w:val="000000" w:themeColor="text1"/>
          <w:sz w:val="20"/>
          <w:szCs w:val="20"/>
          <w:lang w:val="en-GB"/>
        </w:rPr>
        <w:t>Thaayagam</w:t>
      </w:r>
      <w:r w:rsidR="00FF41A0">
        <w:rPr>
          <w:color w:val="000000" w:themeColor="text1"/>
          <w:sz w:val="20"/>
          <w:szCs w:val="20"/>
          <w:lang w:val="en-GB"/>
        </w:rPr>
        <w:t xml:space="preserve"> </w:t>
      </w:r>
      <w:r w:rsidR="005B6C93" w:rsidRPr="005B6C93">
        <w:rPr>
          <w:color w:val="000000" w:themeColor="text1"/>
          <w:sz w:val="20"/>
          <w:szCs w:val="20"/>
          <w:lang w:val="en-GB"/>
        </w:rPr>
        <w:t>Foundation</w:t>
      </w:r>
      <w:r w:rsidRPr="00113DE2">
        <w:rPr>
          <w:color w:val="000000" w:themeColor="text1"/>
          <w:sz w:val="20"/>
          <w:szCs w:val="20"/>
          <w:lang w:val="en-GB"/>
        </w:rPr>
        <w:t>.</w:t>
      </w:r>
    </w:p>
    <w:p w14:paraId="4F881212" w14:textId="40984D9A" w:rsidR="007247BA" w:rsidRPr="00113DE2" w:rsidRDefault="00CF15B1" w:rsidP="007247BA">
      <w:pPr>
        <w:pStyle w:val="SingleTxtG"/>
        <w:rPr>
          <w:color w:val="000000" w:themeColor="text1"/>
          <w:sz w:val="20"/>
          <w:szCs w:val="20"/>
          <w:lang w:val="en-GB"/>
        </w:rPr>
      </w:pPr>
      <w:r>
        <w:rPr>
          <w:color w:val="000000" w:themeColor="text1"/>
          <w:sz w:val="20"/>
          <w:szCs w:val="20"/>
          <w:lang w:val="en-GB"/>
        </w:rPr>
        <w:lastRenderedPageBreak/>
        <w:t>961</w:t>
      </w:r>
      <w:r w:rsidR="007247BA" w:rsidRPr="00113DE2">
        <w:rPr>
          <w:color w:val="000000" w:themeColor="text1"/>
          <w:sz w:val="20"/>
          <w:szCs w:val="20"/>
          <w:lang w:val="en-GB"/>
        </w:rPr>
        <w:t>.</w:t>
      </w:r>
      <w:r w:rsidR="007247BA" w:rsidRPr="00113DE2">
        <w:rPr>
          <w:color w:val="000000" w:themeColor="text1"/>
          <w:sz w:val="20"/>
          <w:szCs w:val="20"/>
          <w:lang w:val="en-GB"/>
        </w:rPr>
        <w:tab/>
        <w:t>At</w:t>
      </w:r>
      <w:r w:rsidR="00FF41A0">
        <w:rPr>
          <w:color w:val="000000" w:themeColor="text1"/>
          <w:sz w:val="20"/>
          <w:szCs w:val="20"/>
          <w:lang w:val="en-GB"/>
        </w:rPr>
        <w:t xml:space="preserve"> </w:t>
      </w:r>
      <w:r w:rsidR="007247BA" w:rsidRPr="00113DE2">
        <w:rPr>
          <w:color w:val="000000" w:themeColor="text1"/>
          <w:sz w:val="20"/>
          <w:szCs w:val="20"/>
          <w:lang w:val="en-GB"/>
        </w:rPr>
        <w:t>the</w:t>
      </w:r>
      <w:r w:rsidR="00FF41A0">
        <w:rPr>
          <w:color w:val="000000" w:themeColor="text1"/>
          <w:sz w:val="20"/>
          <w:szCs w:val="20"/>
          <w:lang w:val="en-GB"/>
        </w:rPr>
        <w:t xml:space="preserve"> </w:t>
      </w:r>
      <w:r w:rsidR="007247BA" w:rsidRPr="00113DE2">
        <w:rPr>
          <w:color w:val="000000" w:themeColor="text1"/>
          <w:sz w:val="20"/>
          <w:szCs w:val="20"/>
          <w:lang w:val="en-GB"/>
        </w:rPr>
        <w:t>same</w:t>
      </w:r>
      <w:r w:rsidR="00FF41A0">
        <w:rPr>
          <w:color w:val="000000" w:themeColor="text1"/>
          <w:sz w:val="20"/>
          <w:szCs w:val="20"/>
          <w:lang w:val="en-GB"/>
        </w:rPr>
        <w:t xml:space="preserve"> </w:t>
      </w:r>
      <w:r w:rsidR="007247BA" w:rsidRPr="00113DE2">
        <w:rPr>
          <w:color w:val="000000" w:themeColor="text1"/>
          <w:sz w:val="20"/>
          <w:szCs w:val="20"/>
          <w:lang w:val="en-GB"/>
        </w:rPr>
        <w:t>meeting,</w:t>
      </w:r>
      <w:r w:rsidR="00FF41A0">
        <w:rPr>
          <w:color w:val="000000" w:themeColor="text1"/>
          <w:sz w:val="20"/>
          <w:szCs w:val="20"/>
          <w:lang w:val="en-GB"/>
        </w:rPr>
        <w:t xml:space="preserve"> </w:t>
      </w:r>
      <w:r w:rsidR="007247BA" w:rsidRPr="00113DE2">
        <w:rPr>
          <w:color w:val="000000" w:themeColor="text1"/>
          <w:sz w:val="20"/>
          <w:szCs w:val="20"/>
          <w:lang w:val="en-GB"/>
        </w:rPr>
        <w:t>the</w:t>
      </w:r>
      <w:r w:rsidR="00FF41A0">
        <w:rPr>
          <w:color w:val="000000" w:themeColor="text1"/>
          <w:sz w:val="20"/>
          <w:szCs w:val="20"/>
          <w:lang w:val="en-GB"/>
        </w:rPr>
        <w:t xml:space="preserve"> </w:t>
      </w:r>
      <w:r w:rsidR="007247BA" w:rsidRPr="00113DE2">
        <w:rPr>
          <w:color w:val="000000" w:themeColor="text1"/>
          <w:sz w:val="20"/>
          <w:szCs w:val="20"/>
          <w:lang w:val="en-GB"/>
        </w:rPr>
        <w:t>panellists</w:t>
      </w:r>
      <w:r w:rsidR="00FF41A0">
        <w:rPr>
          <w:color w:val="000000" w:themeColor="text1"/>
          <w:sz w:val="20"/>
          <w:szCs w:val="20"/>
          <w:lang w:val="en-GB"/>
        </w:rPr>
        <w:t xml:space="preserve"> </w:t>
      </w:r>
      <w:r w:rsidR="007247BA" w:rsidRPr="00113DE2">
        <w:rPr>
          <w:color w:val="000000" w:themeColor="text1"/>
          <w:sz w:val="20"/>
          <w:szCs w:val="20"/>
          <w:lang w:val="en-GB"/>
        </w:rPr>
        <w:t>answered</w:t>
      </w:r>
      <w:r w:rsidR="00FF41A0">
        <w:rPr>
          <w:color w:val="000000" w:themeColor="text1"/>
          <w:sz w:val="20"/>
          <w:szCs w:val="20"/>
          <w:lang w:val="en-GB"/>
        </w:rPr>
        <w:t xml:space="preserve"> </w:t>
      </w:r>
      <w:r w:rsidR="007247BA" w:rsidRPr="00113DE2">
        <w:rPr>
          <w:color w:val="000000" w:themeColor="text1"/>
          <w:sz w:val="20"/>
          <w:szCs w:val="20"/>
          <w:lang w:val="en-GB"/>
        </w:rPr>
        <w:t>questions</w:t>
      </w:r>
      <w:r w:rsidR="00FF41A0">
        <w:rPr>
          <w:color w:val="000000" w:themeColor="text1"/>
          <w:sz w:val="20"/>
          <w:szCs w:val="20"/>
          <w:lang w:val="en-GB"/>
        </w:rPr>
        <w:t xml:space="preserve"> </w:t>
      </w:r>
      <w:r w:rsidR="007247BA" w:rsidRPr="00113DE2">
        <w:rPr>
          <w:color w:val="000000" w:themeColor="text1"/>
          <w:sz w:val="20"/>
          <w:szCs w:val="20"/>
          <w:lang w:val="en-GB"/>
        </w:rPr>
        <w:t>and</w:t>
      </w:r>
      <w:r w:rsidR="00FF41A0">
        <w:rPr>
          <w:color w:val="000000" w:themeColor="text1"/>
          <w:sz w:val="20"/>
          <w:szCs w:val="20"/>
          <w:lang w:val="en-GB"/>
        </w:rPr>
        <w:t xml:space="preserve"> </w:t>
      </w:r>
      <w:r w:rsidR="007247BA" w:rsidRPr="00113DE2">
        <w:rPr>
          <w:color w:val="000000" w:themeColor="text1"/>
          <w:sz w:val="20"/>
          <w:szCs w:val="20"/>
          <w:lang w:val="en-GB"/>
        </w:rPr>
        <w:t>made</w:t>
      </w:r>
      <w:r w:rsidR="00FF41A0">
        <w:rPr>
          <w:color w:val="000000" w:themeColor="text1"/>
          <w:sz w:val="20"/>
          <w:szCs w:val="20"/>
          <w:lang w:val="en-GB"/>
        </w:rPr>
        <w:t xml:space="preserve"> </w:t>
      </w:r>
      <w:r w:rsidR="007247BA" w:rsidRPr="00113DE2">
        <w:rPr>
          <w:color w:val="000000" w:themeColor="text1"/>
          <w:sz w:val="20"/>
          <w:szCs w:val="20"/>
          <w:lang w:val="en-GB"/>
        </w:rPr>
        <w:t>their</w:t>
      </w:r>
      <w:r w:rsidR="00FF41A0">
        <w:rPr>
          <w:color w:val="000000" w:themeColor="text1"/>
          <w:sz w:val="20"/>
          <w:szCs w:val="20"/>
          <w:lang w:val="en-GB"/>
        </w:rPr>
        <w:t xml:space="preserve"> </w:t>
      </w:r>
      <w:r w:rsidR="007247BA" w:rsidRPr="00113DE2">
        <w:rPr>
          <w:color w:val="000000" w:themeColor="text1"/>
          <w:sz w:val="20"/>
          <w:szCs w:val="20"/>
          <w:lang w:val="en-GB"/>
        </w:rPr>
        <w:t>concluding</w:t>
      </w:r>
      <w:r w:rsidR="00FF41A0">
        <w:rPr>
          <w:color w:val="000000" w:themeColor="text1"/>
          <w:sz w:val="20"/>
          <w:szCs w:val="20"/>
          <w:lang w:val="en-GB"/>
        </w:rPr>
        <w:t xml:space="preserve"> </w:t>
      </w:r>
      <w:r w:rsidR="007247BA" w:rsidRPr="00113DE2">
        <w:rPr>
          <w:color w:val="000000" w:themeColor="text1"/>
          <w:sz w:val="20"/>
          <w:szCs w:val="20"/>
          <w:lang w:val="en-GB"/>
        </w:rPr>
        <w:t>remarks.</w:t>
      </w:r>
    </w:p>
    <w:p w14:paraId="2EA58DB8" w14:textId="260D14D2" w:rsidR="00F11B08" w:rsidRPr="00C16037" w:rsidRDefault="00F11B08" w:rsidP="007247BA">
      <w:pPr>
        <w:pStyle w:val="HChG"/>
        <w:ind w:hanging="567"/>
        <w:rPr>
          <w:color w:val="000000" w:themeColor="text1"/>
          <w:sz w:val="24"/>
        </w:rPr>
      </w:pPr>
      <w:r w:rsidRPr="00C16037">
        <w:rPr>
          <w:color w:val="000000" w:themeColor="text1"/>
          <w:sz w:val="24"/>
        </w:rPr>
        <w:tab/>
      </w:r>
      <w:r w:rsidRPr="000F56AD">
        <w:rPr>
          <w:color w:val="000000" w:themeColor="text1"/>
          <w:sz w:val="24"/>
        </w:rPr>
        <w:t>B.</w:t>
      </w:r>
      <w:r w:rsidRPr="000F56AD">
        <w:rPr>
          <w:color w:val="000000" w:themeColor="text1"/>
          <w:sz w:val="24"/>
        </w:rPr>
        <w:tab/>
        <w:t>General</w:t>
      </w:r>
      <w:r w:rsidR="00FF41A0">
        <w:rPr>
          <w:color w:val="000000" w:themeColor="text1"/>
          <w:sz w:val="24"/>
        </w:rPr>
        <w:t xml:space="preserve"> </w:t>
      </w:r>
      <w:r w:rsidRPr="000F56AD">
        <w:rPr>
          <w:color w:val="000000" w:themeColor="text1"/>
          <w:sz w:val="24"/>
        </w:rPr>
        <w:t>debate</w:t>
      </w:r>
      <w:r w:rsidR="00FF41A0">
        <w:rPr>
          <w:color w:val="000000" w:themeColor="text1"/>
          <w:sz w:val="24"/>
        </w:rPr>
        <w:t xml:space="preserve"> </w:t>
      </w:r>
      <w:r w:rsidRPr="000F56AD">
        <w:rPr>
          <w:color w:val="000000" w:themeColor="text1"/>
          <w:sz w:val="24"/>
        </w:rPr>
        <w:t>on</w:t>
      </w:r>
      <w:r w:rsidR="00FF41A0">
        <w:rPr>
          <w:color w:val="000000" w:themeColor="text1"/>
          <w:sz w:val="24"/>
        </w:rPr>
        <w:t xml:space="preserve"> </w:t>
      </w:r>
      <w:r w:rsidRPr="000F56AD">
        <w:rPr>
          <w:color w:val="000000" w:themeColor="text1"/>
          <w:sz w:val="24"/>
        </w:rPr>
        <w:t>agenda</w:t>
      </w:r>
      <w:r w:rsidR="00FF41A0">
        <w:rPr>
          <w:color w:val="000000" w:themeColor="text1"/>
          <w:sz w:val="24"/>
        </w:rPr>
        <w:t xml:space="preserve"> </w:t>
      </w:r>
      <w:r w:rsidRPr="000F56AD">
        <w:rPr>
          <w:color w:val="000000" w:themeColor="text1"/>
          <w:sz w:val="24"/>
        </w:rPr>
        <w:t>item</w:t>
      </w:r>
      <w:r w:rsidR="00FF41A0">
        <w:rPr>
          <w:color w:val="000000" w:themeColor="text1"/>
          <w:sz w:val="24"/>
        </w:rPr>
        <w:t xml:space="preserve"> </w:t>
      </w:r>
      <w:r w:rsidRPr="000F56AD">
        <w:rPr>
          <w:color w:val="000000" w:themeColor="text1"/>
          <w:sz w:val="24"/>
        </w:rPr>
        <w:t>9</w:t>
      </w:r>
      <w:r w:rsidR="00FF41A0">
        <w:rPr>
          <w:color w:val="000000" w:themeColor="text1"/>
          <w:sz w:val="24"/>
        </w:rPr>
        <w:t xml:space="preserve"> </w:t>
      </w:r>
    </w:p>
    <w:p w14:paraId="7EF73AB1" w14:textId="464F668B" w:rsidR="002353E3" w:rsidRPr="002353E3" w:rsidRDefault="00CF15B1" w:rsidP="002353E3">
      <w:pPr>
        <w:pStyle w:val="SingleTxtG"/>
        <w:rPr>
          <w:color w:val="000000" w:themeColor="text1"/>
          <w:sz w:val="20"/>
          <w:szCs w:val="20"/>
          <w:highlight w:val="yellow"/>
        </w:rPr>
      </w:pPr>
      <w:r>
        <w:rPr>
          <w:color w:val="000000" w:themeColor="text1"/>
          <w:sz w:val="20"/>
          <w:szCs w:val="20"/>
        </w:rPr>
        <w:t>962</w:t>
      </w:r>
      <w:r w:rsidR="00F11B08" w:rsidRPr="002353E3">
        <w:rPr>
          <w:color w:val="000000" w:themeColor="text1"/>
          <w:sz w:val="20"/>
          <w:szCs w:val="20"/>
        </w:rPr>
        <w:t>.</w:t>
      </w:r>
      <w:r w:rsidR="008551E4" w:rsidRPr="002353E3">
        <w:rPr>
          <w:color w:val="000000" w:themeColor="text1"/>
          <w:sz w:val="20"/>
          <w:szCs w:val="20"/>
        </w:rPr>
        <w:tab/>
      </w:r>
      <w:r w:rsidR="00F11B08" w:rsidRPr="002353E3">
        <w:rPr>
          <w:color w:val="000000" w:themeColor="text1"/>
          <w:sz w:val="20"/>
          <w:szCs w:val="20"/>
        </w:rPr>
        <w:t>At</w:t>
      </w:r>
      <w:r w:rsidR="00FF41A0">
        <w:rPr>
          <w:color w:val="000000" w:themeColor="text1"/>
          <w:sz w:val="20"/>
          <w:szCs w:val="20"/>
        </w:rPr>
        <w:t xml:space="preserve"> </w:t>
      </w:r>
      <w:r w:rsidR="00F11B08" w:rsidRPr="002353E3">
        <w:rPr>
          <w:color w:val="000000" w:themeColor="text1"/>
          <w:sz w:val="20"/>
          <w:szCs w:val="20"/>
        </w:rPr>
        <w:t>the</w:t>
      </w:r>
      <w:r w:rsidR="00FF41A0">
        <w:rPr>
          <w:color w:val="000000" w:themeColor="text1"/>
          <w:sz w:val="20"/>
          <w:szCs w:val="20"/>
        </w:rPr>
        <w:t xml:space="preserve"> </w:t>
      </w:r>
      <w:r w:rsidR="00F11B08" w:rsidRPr="002353E3">
        <w:rPr>
          <w:color w:val="000000" w:themeColor="text1"/>
          <w:sz w:val="20"/>
          <w:szCs w:val="20"/>
        </w:rPr>
        <w:t>4</w:t>
      </w:r>
      <w:r w:rsidR="002353E3" w:rsidRPr="002353E3">
        <w:rPr>
          <w:color w:val="000000" w:themeColor="text1"/>
          <w:sz w:val="20"/>
          <w:szCs w:val="20"/>
        </w:rPr>
        <w:t>4</w:t>
      </w:r>
      <w:r w:rsidR="00F11B08" w:rsidRPr="002353E3">
        <w:rPr>
          <w:color w:val="000000" w:themeColor="text1"/>
          <w:sz w:val="20"/>
          <w:szCs w:val="20"/>
        </w:rPr>
        <w:t>th</w:t>
      </w:r>
      <w:r w:rsidR="00FF41A0">
        <w:rPr>
          <w:color w:val="000000" w:themeColor="text1"/>
          <w:sz w:val="20"/>
          <w:szCs w:val="20"/>
        </w:rPr>
        <w:t xml:space="preserve"> </w:t>
      </w:r>
      <w:r w:rsidR="00F11B08" w:rsidRPr="002353E3">
        <w:rPr>
          <w:color w:val="000000" w:themeColor="text1"/>
          <w:sz w:val="20"/>
          <w:szCs w:val="20"/>
        </w:rPr>
        <w:t>meeting,</w:t>
      </w:r>
      <w:r w:rsidR="00FF41A0">
        <w:rPr>
          <w:color w:val="000000" w:themeColor="text1"/>
          <w:sz w:val="20"/>
          <w:szCs w:val="20"/>
        </w:rPr>
        <w:t xml:space="preserve"> </w:t>
      </w:r>
      <w:r w:rsidR="00F11B08" w:rsidRPr="002353E3">
        <w:rPr>
          <w:color w:val="000000" w:themeColor="text1"/>
          <w:sz w:val="20"/>
          <w:szCs w:val="20"/>
        </w:rPr>
        <w:t>on</w:t>
      </w:r>
      <w:r w:rsidR="00FF41A0">
        <w:rPr>
          <w:color w:val="000000" w:themeColor="text1"/>
          <w:sz w:val="20"/>
          <w:szCs w:val="20"/>
        </w:rPr>
        <w:t xml:space="preserve"> </w:t>
      </w:r>
      <w:r w:rsidR="002353E3" w:rsidRPr="002353E3">
        <w:rPr>
          <w:color w:val="000000" w:themeColor="text1"/>
          <w:sz w:val="20"/>
          <w:szCs w:val="20"/>
        </w:rPr>
        <w:t>19</w:t>
      </w:r>
      <w:r w:rsidR="00FF41A0">
        <w:rPr>
          <w:color w:val="000000" w:themeColor="text1"/>
          <w:sz w:val="20"/>
          <w:szCs w:val="20"/>
        </w:rPr>
        <w:t xml:space="preserve"> </w:t>
      </w:r>
      <w:r w:rsidR="00F11B08" w:rsidRPr="002353E3">
        <w:rPr>
          <w:color w:val="000000" w:themeColor="text1"/>
          <w:sz w:val="20"/>
          <w:szCs w:val="20"/>
        </w:rPr>
        <w:t>March</w:t>
      </w:r>
      <w:r w:rsidR="00FF41A0">
        <w:rPr>
          <w:color w:val="000000" w:themeColor="text1"/>
          <w:sz w:val="20"/>
          <w:szCs w:val="20"/>
        </w:rPr>
        <w:t xml:space="preserve"> </w:t>
      </w:r>
      <w:r w:rsidR="00141AFC" w:rsidRPr="002353E3">
        <w:rPr>
          <w:color w:val="000000" w:themeColor="text1"/>
          <w:sz w:val="20"/>
          <w:szCs w:val="20"/>
        </w:rPr>
        <w:t>2019</w:t>
      </w:r>
      <w:r w:rsidR="00F11B08" w:rsidRPr="002353E3">
        <w:rPr>
          <w:color w:val="000000" w:themeColor="text1"/>
          <w:sz w:val="20"/>
          <w:szCs w:val="20"/>
        </w:rPr>
        <w:t>,</w:t>
      </w:r>
      <w:r w:rsidR="00FF41A0">
        <w:rPr>
          <w:color w:val="000000" w:themeColor="text1"/>
          <w:sz w:val="20"/>
          <w:szCs w:val="20"/>
        </w:rPr>
        <w:t xml:space="preserve"> </w:t>
      </w:r>
      <w:r w:rsidR="00F11B08" w:rsidRPr="002353E3">
        <w:rPr>
          <w:color w:val="000000" w:themeColor="text1"/>
          <w:sz w:val="20"/>
          <w:szCs w:val="20"/>
        </w:rPr>
        <w:t>the</w:t>
      </w:r>
      <w:r w:rsidR="00FF41A0">
        <w:rPr>
          <w:color w:val="000000" w:themeColor="text1"/>
          <w:sz w:val="20"/>
          <w:szCs w:val="20"/>
        </w:rPr>
        <w:t xml:space="preserve"> </w:t>
      </w:r>
      <w:r w:rsidR="002353E3" w:rsidRPr="002353E3">
        <w:rPr>
          <w:color w:val="000000" w:themeColor="text1"/>
          <w:sz w:val="20"/>
          <w:szCs w:val="20"/>
        </w:rPr>
        <w:t>Director</w:t>
      </w:r>
      <w:r w:rsidR="00FF41A0">
        <w:rPr>
          <w:color w:val="000000" w:themeColor="text1"/>
          <w:sz w:val="20"/>
          <w:szCs w:val="20"/>
        </w:rPr>
        <w:t xml:space="preserve"> </w:t>
      </w:r>
      <w:r w:rsidR="002353E3" w:rsidRPr="002353E3">
        <w:rPr>
          <w:color w:val="000000" w:themeColor="text1"/>
          <w:sz w:val="20"/>
          <w:szCs w:val="20"/>
        </w:rPr>
        <w:t>of</w:t>
      </w:r>
      <w:r w:rsidR="00FF41A0">
        <w:rPr>
          <w:color w:val="000000" w:themeColor="text1"/>
          <w:sz w:val="20"/>
          <w:szCs w:val="20"/>
        </w:rPr>
        <w:t xml:space="preserve"> </w:t>
      </w:r>
      <w:r w:rsidR="002353E3" w:rsidRPr="002353E3">
        <w:rPr>
          <w:color w:val="000000" w:themeColor="text1"/>
          <w:sz w:val="20"/>
          <w:szCs w:val="20"/>
        </w:rPr>
        <w:t>the</w:t>
      </w:r>
      <w:r w:rsidR="00FF41A0">
        <w:rPr>
          <w:color w:val="000000" w:themeColor="text1"/>
          <w:sz w:val="20"/>
          <w:szCs w:val="20"/>
        </w:rPr>
        <w:t xml:space="preserve"> </w:t>
      </w:r>
      <w:r w:rsidR="002353E3" w:rsidRPr="002353E3">
        <w:rPr>
          <w:color w:val="000000" w:themeColor="text1"/>
          <w:sz w:val="20"/>
          <w:szCs w:val="20"/>
        </w:rPr>
        <w:t>Thematic</w:t>
      </w:r>
      <w:r w:rsidR="00FF41A0">
        <w:rPr>
          <w:color w:val="000000" w:themeColor="text1"/>
          <w:sz w:val="20"/>
          <w:szCs w:val="20"/>
        </w:rPr>
        <w:t xml:space="preserve"> </w:t>
      </w:r>
      <w:r w:rsidR="002353E3" w:rsidRPr="002353E3">
        <w:rPr>
          <w:color w:val="000000" w:themeColor="text1"/>
          <w:sz w:val="20"/>
          <w:szCs w:val="20"/>
        </w:rPr>
        <w:t>Engagement,</w:t>
      </w:r>
      <w:r w:rsidR="00FF41A0">
        <w:rPr>
          <w:color w:val="000000" w:themeColor="text1"/>
          <w:sz w:val="20"/>
          <w:szCs w:val="20"/>
        </w:rPr>
        <w:t xml:space="preserve"> </w:t>
      </w:r>
      <w:r w:rsidR="002353E3" w:rsidRPr="002353E3">
        <w:rPr>
          <w:color w:val="000000" w:themeColor="text1"/>
          <w:sz w:val="20"/>
          <w:szCs w:val="20"/>
        </w:rPr>
        <w:t>Special</w:t>
      </w:r>
      <w:r w:rsidR="00FF41A0">
        <w:rPr>
          <w:color w:val="000000" w:themeColor="text1"/>
          <w:sz w:val="20"/>
          <w:szCs w:val="20"/>
        </w:rPr>
        <w:t xml:space="preserve"> </w:t>
      </w:r>
      <w:r w:rsidR="002353E3" w:rsidRPr="002353E3">
        <w:rPr>
          <w:color w:val="000000" w:themeColor="text1"/>
          <w:sz w:val="20"/>
          <w:szCs w:val="20"/>
        </w:rPr>
        <w:t>Procedures</w:t>
      </w:r>
      <w:r w:rsidR="00FF41A0">
        <w:rPr>
          <w:color w:val="000000" w:themeColor="text1"/>
          <w:sz w:val="20"/>
          <w:szCs w:val="20"/>
        </w:rPr>
        <w:t xml:space="preserve"> </w:t>
      </w:r>
      <w:r w:rsidR="002353E3" w:rsidRPr="002353E3">
        <w:rPr>
          <w:color w:val="000000" w:themeColor="text1"/>
          <w:sz w:val="20"/>
          <w:szCs w:val="20"/>
        </w:rPr>
        <w:t>and</w:t>
      </w:r>
      <w:r w:rsidR="00FF41A0">
        <w:rPr>
          <w:color w:val="000000" w:themeColor="text1"/>
          <w:sz w:val="20"/>
          <w:szCs w:val="20"/>
        </w:rPr>
        <w:t xml:space="preserve"> </w:t>
      </w:r>
      <w:r w:rsidR="002353E3" w:rsidRPr="002353E3">
        <w:rPr>
          <w:color w:val="000000" w:themeColor="text1"/>
          <w:sz w:val="20"/>
          <w:szCs w:val="20"/>
        </w:rPr>
        <w:t>Right</w:t>
      </w:r>
      <w:r w:rsidR="00FF41A0">
        <w:rPr>
          <w:color w:val="000000" w:themeColor="text1"/>
          <w:sz w:val="20"/>
          <w:szCs w:val="20"/>
        </w:rPr>
        <w:t xml:space="preserve"> </w:t>
      </w:r>
      <w:r w:rsidR="002353E3" w:rsidRPr="002353E3">
        <w:rPr>
          <w:color w:val="000000" w:themeColor="text1"/>
          <w:sz w:val="20"/>
          <w:szCs w:val="20"/>
        </w:rPr>
        <w:t>to</w:t>
      </w:r>
      <w:r w:rsidR="00FF41A0">
        <w:rPr>
          <w:color w:val="000000" w:themeColor="text1"/>
          <w:sz w:val="20"/>
          <w:szCs w:val="20"/>
        </w:rPr>
        <w:t xml:space="preserve"> </w:t>
      </w:r>
      <w:r w:rsidR="002353E3" w:rsidRPr="002353E3">
        <w:rPr>
          <w:color w:val="000000" w:themeColor="text1"/>
          <w:sz w:val="20"/>
          <w:szCs w:val="20"/>
        </w:rPr>
        <w:t>Development</w:t>
      </w:r>
      <w:r w:rsidR="00FF41A0">
        <w:rPr>
          <w:color w:val="000000" w:themeColor="text1"/>
          <w:sz w:val="20"/>
          <w:szCs w:val="20"/>
        </w:rPr>
        <w:t xml:space="preserve"> </w:t>
      </w:r>
      <w:r w:rsidR="002353E3" w:rsidRPr="002353E3">
        <w:rPr>
          <w:color w:val="000000" w:themeColor="text1"/>
          <w:sz w:val="20"/>
          <w:szCs w:val="20"/>
        </w:rPr>
        <w:t>Division</w:t>
      </w:r>
      <w:r w:rsidR="00FF41A0">
        <w:rPr>
          <w:color w:val="000000" w:themeColor="text1"/>
          <w:sz w:val="20"/>
          <w:szCs w:val="20"/>
        </w:rPr>
        <w:t xml:space="preserve"> </w:t>
      </w:r>
      <w:r w:rsidR="002353E3" w:rsidRPr="002353E3">
        <w:rPr>
          <w:color w:val="000000" w:themeColor="text1"/>
          <w:sz w:val="20"/>
          <w:szCs w:val="20"/>
        </w:rPr>
        <w:t>of</w:t>
      </w:r>
      <w:r w:rsidR="00FF41A0">
        <w:rPr>
          <w:color w:val="000000" w:themeColor="text1"/>
          <w:sz w:val="20"/>
          <w:szCs w:val="20"/>
        </w:rPr>
        <w:t xml:space="preserve"> </w:t>
      </w:r>
      <w:r w:rsidR="002353E3" w:rsidRPr="002353E3">
        <w:rPr>
          <w:color w:val="000000" w:themeColor="text1"/>
          <w:sz w:val="20"/>
          <w:szCs w:val="20"/>
        </w:rPr>
        <w:t>the</w:t>
      </w:r>
      <w:r w:rsidR="00FF41A0">
        <w:rPr>
          <w:color w:val="000000" w:themeColor="text1"/>
          <w:sz w:val="20"/>
          <w:szCs w:val="20"/>
        </w:rPr>
        <w:t xml:space="preserve"> </w:t>
      </w:r>
      <w:r w:rsidR="002353E3" w:rsidRPr="002353E3">
        <w:rPr>
          <w:color w:val="000000" w:themeColor="text1"/>
          <w:sz w:val="20"/>
          <w:szCs w:val="20"/>
        </w:rPr>
        <w:t>Office</w:t>
      </w:r>
      <w:r w:rsidR="00FF41A0">
        <w:rPr>
          <w:color w:val="000000" w:themeColor="text1"/>
          <w:sz w:val="20"/>
          <w:szCs w:val="20"/>
        </w:rPr>
        <w:t xml:space="preserve"> </w:t>
      </w:r>
      <w:r w:rsidR="002353E3" w:rsidRPr="002353E3">
        <w:rPr>
          <w:color w:val="000000" w:themeColor="text1"/>
          <w:sz w:val="20"/>
          <w:szCs w:val="20"/>
        </w:rPr>
        <w:t>of</w:t>
      </w:r>
      <w:r w:rsidR="00FF41A0">
        <w:rPr>
          <w:color w:val="000000" w:themeColor="text1"/>
          <w:sz w:val="20"/>
          <w:szCs w:val="20"/>
        </w:rPr>
        <w:t xml:space="preserve"> </w:t>
      </w:r>
      <w:r w:rsidR="002353E3" w:rsidRPr="002353E3">
        <w:rPr>
          <w:color w:val="000000" w:themeColor="text1"/>
          <w:sz w:val="20"/>
          <w:szCs w:val="20"/>
        </w:rPr>
        <w:t>the</w:t>
      </w:r>
      <w:r w:rsidR="00FF41A0">
        <w:rPr>
          <w:color w:val="000000" w:themeColor="text1"/>
          <w:sz w:val="20"/>
          <w:szCs w:val="20"/>
        </w:rPr>
        <w:t xml:space="preserve"> </w:t>
      </w:r>
      <w:r w:rsidR="002353E3" w:rsidRPr="002353E3">
        <w:rPr>
          <w:color w:val="000000" w:themeColor="text1"/>
          <w:sz w:val="20"/>
          <w:szCs w:val="20"/>
        </w:rPr>
        <w:t>High</w:t>
      </w:r>
      <w:r w:rsidR="00FF41A0">
        <w:rPr>
          <w:color w:val="000000" w:themeColor="text1"/>
          <w:sz w:val="20"/>
          <w:szCs w:val="20"/>
        </w:rPr>
        <w:t xml:space="preserve"> </w:t>
      </w:r>
      <w:r w:rsidR="002353E3" w:rsidRPr="002353E3">
        <w:rPr>
          <w:color w:val="000000" w:themeColor="text1"/>
          <w:sz w:val="20"/>
          <w:szCs w:val="20"/>
        </w:rPr>
        <w:t>Commissioner</w:t>
      </w:r>
      <w:r w:rsidR="00FF41A0">
        <w:rPr>
          <w:color w:val="000000" w:themeColor="text1"/>
          <w:sz w:val="20"/>
          <w:szCs w:val="20"/>
        </w:rPr>
        <w:t xml:space="preserve"> </w:t>
      </w:r>
      <w:r w:rsidR="002353E3" w:rsidRPr="002353E3">
        <w:rPr>
          <w:color w:val="000000" w:themeColor="text1"/>
          <w:sz w:val="20"/>
          <w:szCs w:val="20"/>
        </w:rPr>
        <w:t>for</w:t>
      </w:r>
      <w:r w:rsidR="00FF41A0">
        <w:rPr>
          <w:color w:val="000000" w:themeColor="text1"/>
          <w:sz w:val="20"/>
          <w:szCs w:val="20"/>
        </w:rPr>
        <w:t xml:space="preserve"> </w:t>
      </w:r>
      <w:r w:rsidR="002353E3" w:rsidRPr="002353E3">
        <w:rPr>
          <w:color w:val="000000" w:themeColor="text1"/>
          <w:sz w:val="20"/>
          <w:szCs w:val="20"/>
        </w:rPr>
        <w:t>Human</w:t>
      </w:r>
      <w:r w:rsidR="00FF41A0">
        <w:rPr>
          <w:color w:val="000000" w:themeColor="text1"/>
          <w:sz w:val="20"/>
          <w:szCs w:val="20"/>
        </w:rPr>
        <w:t xml:space="preserve"> </w:t>
      </w:r>
      <w:r w:rsidR="002353E3" w:rsidRPr="002353E3">
        <w:rPr>
          <w:color w:val="000000" w:themeColor="text1"/>
          <w:sz w:val="20"/>
          <w:szCs w:val="20"/>
        </w:rPr>
        <w:t>Rights,</w:t>
      </w:r>
      <w:r w:rsidR="00FF41A0">
        <w:rPr>
          <w:color w:val="000000" w:themeColor="text1"/>
          <w:sz w:val="20"/>
          <w:szCs w:val="20"/>
        </w:rPr>
        <w:t xml:space="preserve"> </w:t>
      </w:r>
      <w:r w:rsidR="002353E3" w:rsidRPr="002353E3">
        <w:rPr>
          <w:color w:val="000000" w:themeColor="text1"/>
          <w:sz w:val="20"/>
          <w:szCs w:val="20"/>
        </w:rPr>
        <w:t>present</w:t>
      </w:r>
      <w:r w:rsidR="002353E3">
        <w:rPr>
          <w:color w:val="000000" w:themeColor="text1"/>
          <w:sz w:val="20"/>
          <w:szCs w:val="20"/>
        </w:rPr>
        <w:t>ed</w:t>
      </w:r>
      <w:r w:rsidR="002353E3" w:rsidRPr="002353E3">
        <w:rPr>
          <w:color w:val="000000" w:themeColor="text1"/>
          <w:sz w:val="20"/>
          <w:szCs w:val="20"/>
        </w:rPr>
        <w:t>,</w:t>
      </w:r>
      <w:r w:rsidR="00FF41A0">
        <w:rPr>
          <w:color w:val="000000" w:themeColor="text1"/>
          <w:sz w:val="20"/>
          <w:szCs w:val="20"/>
        </w:rPr>
        <w:t xml:space="preserve"> </w:t>
      </w:r>
      <w:r w:rsidR="002353E3" w:rsidRPr="002353E3">
        <w:rPr>
          <w:color w:val="000000" w:themeColor="text1"/>
          <w:sz w:val="20"/>
          <w:szCs w:val="20"/>
        </w:rPr>
        <w:t>on</w:t>
      </w:r>
      <w:r w:rsidR="00FF41A0">
        <w:rPr>
          <w:color w:val="000000" w:themeColor="text1"/>
          <w:sz w:val="20"/>
          <w:szCs w:val="20"/>
        </w:rPr>
        <w:t xml:space="preserve"> </w:t>
      </w:r>
      <w:r w:rsidR="002353E3" w:rsidRPr="002353E3">
        <w:rPr>
          <w:color w:val="000000" w:themeColor="text1"/>
          <w:sz w:val="20"/>
          <w:szCs w:val="20"/>
        </w:rPr>
        <w:t>behalf</w:t>
      </w:r>
      <w:r w:rsidR="00FF41A0">
        <w:rPr>
          <w:color w:val="000000" w:themeColor="text1"/>
          <w:sz w:val="20"/>
          <w:szCs w:val="20"/>
        </w:rPr>
        <w:t xml:space="preserve"> </w:t>
      </w:r>
      <w:r w:rsidR="002353E3" w:rsidRPr="002353E3">
        <w:rPr>
          <w:color w:val="000000" w:themeColor="text1"/>
          <w:sz w:val="20"/>
          <w:szCs w:val="20"/>
        </w:rPr>
        <w:t>of</w:t>
      </w:r>
      <w:r w:rsidR="00FF41A0">
        <w:rPr>
          <w:color w:val="000000" w:themeColor="text1"/>
          <w:sz w:val="20"/>
          <w:szCs w:val="20"/>
        </w:rPr>
        <w:t xml:space="preserve"> </w:t>
      </w:r>
      <w:r w:rsidR="002353E3" w:rsidRPr="002353E3">
        <w:rPr>
          <w:color w:val="000000" w:themeColor="text1"/>
          <w:sz w:val="20"/>
          <w:szCs w:val="20"/>
        </w:rPr>
        <w:t>the</w:t>
      </w:r>
      <w:r w:rsidR="00FF41A0">
        <w:rPr>
          <w:color w:val="000000" w:themeColor="text1"/>
          <w:sz w:val="20"/>
          <w:szCs w:val="20"/>
        </w:rPr>
        <w:t xml:space="preserve"> </w:t>
      </w:r>
      <w:r w:rsidR="002353E3" w:rsidRPr="002353E3">
        <w:rPr>
          <w:color w:val="000000" w:themeColor="text1"/>
          <w:sz w:val="20"/>
          <w:szCs w:val="20"/>
        </w:rPr>
        <w:t>High</w:t>
      </w:r>
      <w:r w:rsidR="00FF41A0">
        <w:rPr>
          <w:color w:val="000000" w:themeColor="text1"/>
          <w:sz w:val="20"/>
          <w:szCs w:val="20"/>
        </w:rPr>
        <w:t xml:space="preserve"> </w:t>
      </w:r>
      <w:r w:rsidR="002353E3" w:rsidRPr="002353E3">
        <w:rPr>
          <w:color w:val="000000" w:themeColor="text1"/>
          <w:sz w:val="20"/>
          <w:szCs w:val="20"/>
        </w:rPr>
        <w:t>Commissioner,</w:t>
      </w:r>
      <w:r w:rsidR="00FF41A0">
        <w:rPr>
          <w:color w:val="000000" w:themeColor="text1"/>
          <w:sz w:val="20"/>
          <w:szCs w:val="20"/>
        </w:rPr>
        <w:t xml:space="preserve"> </w:t>
      </w:r>
      <w:r w:rsidR="002353E3" w:rsidRPr="002353E3">
        <w:rPr>
          <w:color w:val="000000" w:themeColor="text1"/>
          <w:sz w:val="20"/>
          <w:szCs w:val="20"/>
        </w:rPr>
        <w:t>the</w:t>
      </w:r>
      <w:r w:rsidR="00FF41A0">
        <w:rPr>
          <w:color w:val="000000" w:themeColor="text1"/>
          <w:sz w:val="20"/>
          <w:szCs w:val="20"/>
        </w:rPr>
        <w:t xml:space="preserve"> </w:t>
      </w:r>
      <w:r w:rsidR="002353E3" w:rsidRPr="002353E3">
        <w:rPr>
          <w:color w:val="000000" w:themeColor="text1"/>
          <w:sz w:val="20"/>
          <w:szCs w:val="20"/>
        </w:rPr>
        <w:t>report</w:t>
      </w:r>
      <w:r w:rsidR="00FF41A0">
        <w:rPr>
          <w:color w:val="000000" w:themeColor="text1"/>
          <w:sz w:val="20"/>
          <w:szCs w:val="20"/>
        </w:rPr>
        <w:t xml:space="preserve"> </w:t>
      </w:r>
      <w:r w:rsidR="002353E3" w:rsidRPr="002353E3">
        <w:rPr>
          <w:color w:val="000000" w:themeColor="text1"/>
          <w:sz w:val="20"/>
          <w:szCs w:val="20"/>
        </w:rPr>
        <w:t>of</w:t>
      </w:r>
      <w:r w:rsidR="00FF41A0">
        <w:rPr>
          <w:color w:val="000000" w:themeColor="text1"/>
          <w:sz w:val="20"/>
          <w:szCs w:val="20"/>
        </w:rPr>
        <w:t xml:space="preserve"> </w:t>
      </w:r>
      <w:r w:rsidR="002353E3" w:rsidRPr="002353E3">
        <w:rPr>
          <w:color w:val="000000" w:themeColor="text1"/>
          <w:sz w:val="20"/>
          <w:szCs w:val="20"/>
        </w:rPr>
        <w:t>the</w:t>
      </w:r>
      <w:r w:rsidR="00FF41A0">
        <w:rPr>
          <w:color w:val="000000" w:themeColor="text1"/>
          <w:sz w:val="20"/>
          <w:szCs w:val="20"/>
        </w:rPr>
        <w:t xml:space="preserve"> </w:t>
      </w:r>
      <w:r w:rsidR="002353E3" w:rsidRPr="002353E3">
        <w:rPr>
          <w:color w:val="000000" w:themeColor="text1"/>
          <w:sz w:val="20"/>
          <w:szCs w:val="20"/>
        </w:rPr>
        <w:t>High</w:t>
      </w:r>
      <w:r w:rsidR="00FF41A0">
        <w:rPr>
          <w:color w:val="000000" w:themeColor="text1"/>
          <w:sz w:val="20"/>
          <w:szCs w:val="20"/>
        </w:rPr>
        <w:t xml:space="preserve"> </w:t>
      </w:r>
      <w:r w:rsidR="002353E3" w:rsidRPr="002353E3">
        <w:rPr>
          <w:color w:val="000000" w:themeColor="text1"/>
          <w:sz w:val="20"/>
          <w:szCs w:val="20"/>
        </w:rPr>
        <w:t>Commissioner</w:t>
      </w:r>
      <w:r w:rsidR="00FF41A0">
        <w:rPr>
          <w:color w:val="000000" w:themeColor="text1"/>
          <w:sz w:val="20"/>
          <w:szCs w:val="20"/>
        </w:rPr>
        <w:t xml:space="preserve"> </w:t>
      </w:r>
      <w:r w:rsidR="002353E3" w:rsidRPr="002353E3">
        <w:rPr>
          <w:color w:val="000000" w:themeColor="text1"/>
          <w:sz w:val="20"/>
          <w:szCs w:val="20"/>
        </w:rPr>
        <w:t>for</w:t>
      </w:r>
      <w:r w:rsidR="00FF41A0">
        <w:rPr>
          <w:color w:val="000000" w:themeColor="text1"/>
          <w:sz w:val="20"/>
          <w:szCs w:val="20"/>
        </w:rPr>
        <w:t xml:space="preserve"> </w:t>
      </w:r>
      <w:r w:rsidR="002353E3" w:rsidRPr="002353E3">
        <w:rPr>
          <w:color w:val="000000" w:themeColor="text1"/>
          <w:sz w:val="20"/>
          <w:szCs w:val="20"/>
        </w:rPr>
        <w:t>Human</w:t>
      </w:r>
      <w:r w:rsidR="00FF41A0">
        <w:rPr>
          <w:color w:val="000000" w:themeColor="text1"/>
          <w:sz w:val="20"/>
          <w:szCs w:val="20"/>
        </w:rPr>
        <w:t xml:space="preserve"> </w:t>
      </w:r>
      <w:r w:rsidR="002353E3" w:rsidRPr="002353E3">
        <w:rPr>
          <w:color w:val="000000" w:themeColor="text1"/>
          <w:sz w:val="20"/>
          <w:szCs w:val="20"/>
        </w:rPr>
        <w:t>Rights</w:t>
      </w:r>
      <w:r w:rsidR="00FF41A0">
        <w:rPr>
          <w:color w:val="000000" w:themeColor="text1"/>
          <w:sz w:val="20"/>
          <w:szCs w:val="20"/>
        </w:rPr>
        <w:t xml:space="preserve"> </w:t>
      </w:r>
      <w:r w:rsidR="002353E3" w:rsidRPr="002353E3">
        <w:rPr>
          <w:color w:val="000000" w:themeColor="text1"/>
          <w:sz w:val="20"/>
          <w:szCs w:val="20"/>
        </w:rPr>
        <w:t>on</w:t>
      </w:r>
      <w:r w:rsidR="00FF41A0">
        <w:rPr>
          <w:color w:val="000000" w:themeColor="text1"/>
          <w:sz w:val="20"/>
          <w:szCs w:val="20"/>
        </w:rPr>
        <w:t xml:space="preserve"> </w:t>
      </w:r>
      <w:r w:rsidR="002353E3" w:rsidRPr="002353E3">
        <w:rPr>
          <w:color w:val="000000" w:themeColor="text1"/>
          <w:sz w:val="20"/>
          <w:szCs w:val="20"/>
        </w:rPr>
        <w:t>the</w:t>
      </w:r>
      <w:r w:rsidR="00FF41A0">
        <w:rPr>
          <w:color w:val="000000" w:themeColor="text1"/>
          <w:sz w:val="20"/>
          <w:szCs w:val="20"/>
        </w:rPr>
        <w:t xml:space="preserve"> </w:t>
      </w:r>
      <w:r w:rsidR="002353E3" w:rsidRPr="002353E3">
        <w:rPr>
          <w:color w:val="000000" w:themeColor="text1"/>
          <w:sz w:val="20"/>
          <w:szCs w:val="20"/>
        </w:rPr>
        <w:t>implementation</w:t>
      </w:r>
      <w:r w:rsidR="00FF41A0">
        <w:rPr>
          <w:color w:val="000000" w:themeColor="text1"/>
          <w:sz w:val="20"/>
          <w:szCs w:val="20"/>
        </w:rPr>
        <w:t xml:space="preserve"> </w:t>
      </w:r>
      <w:r w:rsidR="002353E3" w:rsidRPr="002353E3">
        <w:rPr>
          <w:color w:val="000000" w:themeColor="text1"/>
          <w:sz w:val="20"/>
          <w:szCs w:val="20"/>
        </w:rPr>
        <w:t>of</w:t>
      </w:r>
      <w:r w:rsidR="00FF41A0">
        <w:rPr>
          <w:color w:val="000000" w:themeColor="text1"/>
          <w:sz w:val="20"/>
          <w:szCs w:val="20"/>
        </w:rPr>
        <w:t xml:space="preserve"> </w:t>
      </w:r>
      <w:r w:rsidR="002353E3" w:rsidRPr="002353E3">
        <w:rPr>
          <w:color w:val="000000" w:themeColor="text1"/>
          <w:sz w:val="20"/>
          <w:szCs w:val="20"/>
        </w:rPr>
        <w:t>the</w:t>
      </w:r>
      <w:r w:rsidR="00FF41A0">
        <w:rPr>
          <w:color w:val="000000" w:themeColor="text1"/>
          <w:sz w:val="20"/>
          <w:szCs w:val="20"/>
        </w:rPr>
        <w:t xml:space="preserve"> </w:t>
      </w:r>
      <w:r w:rsidR="002353E3" w:rsidRPr="002353E3">
        <w:rPr>
          <w:color w:val="000000" w:themeColor="text1"/>
          <w:sz w:val="20"/>
          <w:szCs w:val="20"/>
        </w:rPr>
        <w:t>action</w:t>
      </w:r>
      <w:r w:rsidR="00FF41A0">
        <w:rPr>
          <w:color w:val="000000" w:themeColor="text1"/>
          <w:sz w:val="20"/>
          <w:szCs w:val="20"/>
        </w:rPr>
        <w:t xml:space="preserve"> </w:t>
      </w:r>
      <w:r w:rsidR="002353E3" w:rsidRPr="002353E3">
        <w:rPr>
          <w:color w:val="000000" w:themeColor="text1"/>
          <w:sz w:val="20"/>
          <w:szCs w:val="20"/>
        </w:rPr>
        <w:t>plan</w:t>
      </w:r>
      <w:r w:rsidR="00FF41A0">
        <w:rPr>
          <w:color w:val="000000" w:themeColor="text1"/>
          <w:sz w:val="20"/>
          <w:szCs w:val="20"/>
        </w:rPr>
        <w:t xml:space="preserve"> </w:t>
      </w:r>
      <w:r w:rsidR="002353E3" w:rsidRPr="002353E3">
        <w:rPr>
          <w:color w:val="000000" w:themeColor="text1"/>
          <w:sz w:val="20"/>
          <w:szCs w:val="20"/>
        </w:rPr>
        <w:t>outlined</w:t>
      </w:r>
      <w:r w:rsidR="00FF41A0">
        <w:rPr>
          <w:color w:val="000000" w:themeColor="text1"/>
          <w:sz w:val="20"/>
          <w:szCs w:val="20"/>
        </w:rPr>
        <w:t xml:space="preserve"> </w:t>
      </w:r>
      <w:r w:rsidR="002353E3" w:rsidRPr="002353E3">
        <w:rPr>
          <w:color w:val="000000" w:themeColor="text1"/>
          <w:sz w:val="20"/>
          <w:szCs w:val="20"/>
        </w:rPr>
        <w:t>in</w:t>
      </w:r>
      <w:r w:rsidR="00FF41A0">
        <w:rPr>
          <w:color w:val="000000" w:themeColor="text1"/>
          <w:sz w:val="20"/>
          <w:szCs w:val="20"/>
        </w:rPr>
        <w:t xml:space="preserve"> </w:t>
      </w:r>
      <w:r w:rsidR="002353E3" w:rsidRPr="002353E3">
        <w:rPr>
          <w:color w:val="000000" w:themeColor="text1"/>
          <w:sz w:val="20"/>
          <w:szCs w:val="20"/>
        </w:rPr>
        <w:t>Council</w:t>
      </w:r>
      <w:r w:rsidR="00FF41A0">
        <w:rPr>
          <w:color w:val="000000" w:themeColor="text1"/>
          <w:sz w:val="20"/>
          <w:szCs w:val="20"/>
        </w:rPr>
        <w:t xml:space="preserve"> </w:t>
      </w:r>
      <w:r w:rsidR="002353E3" w:rsidRPr="002353E3">
        <w:rPr>
          <w:color w:val="000000" w:themeColor="text1"/>
          <w:sz w:val="20"/>
          <w:szCs w:val="20"/>
        </w:rPr>
        <w:t>resolution</w:t>
      </w:r>
      <w:r w:rsidR="00FF41A0">
        <w:rPr>
          <w:color w:val="000000" w:themeColor="text1"/>
          <w:sz w:val="20"/>
          <w:szCs w:val="20"/>
        </w:rPr>
        <w:t xml:space="preserve"> </w:t>
      </w:r>
      <w:r w:rsidR="002353E3" w:rsidRPr="002353E3">
        <w:rPr>
          <w:color w:val="000000" w:themeColor="text1"/>
          <w:sz w:val="20"/>
          <w:szCs w:val="20"/>
        </w:rPr>
        <w:t>37/38,</w:t>
      </w:r>
      <w:r w:rsidR="00FF41A0">
        <w:rPr>
          <w:color w:val="000000" w:themeColor="text1"/>
          <w:sz w:val="20"/>
          <w:szCs w:val="20"/>
        </w:rPr>
        <w:t xml:space="preserve"> </w:t>
      </w:r>
      <w:r w:rsidR="002353E3" w:rsidRPr="002353E3">
        <w:rPr>
          <w:color w:val="000000" w:themeColor="text1"/>
          <w:sz w:val="20"/>
          <w:szCs w:val="20"/>
        </w:rPr>
        <w:t>on</w:t>
      </w:r>
      <w:r w:rsidR="00FF41A0">
        <w:rPr>
          <w:color w:val="000000" w:themeColor="text1"/>
          <w:sz w:val="20"/>
          <w:szCs w:val="20"/>
        </w:rPr>
        <w:t xml:space="preserve"> </w:t>
      </w:r>
      <w:r w:rsidR="002353E3" w:rsidRPr="002353E3">
        <w:rPr>
          <w:color w:val="000000" w:themeColor="text1"/>
          <w:sz w:val="20"/>
          <w:szCs w:val="20"/>
        </w:rPr>
        <w:t>combating</w:t>
      </w:r>
      <w:r w:rsidR="00FF41A0">
        <w:rPr>
          <w:color w:val="000000" w:themeColor="text1"/>
          <w:sz w:val="20"/>
          <w:szCs w:val="20"/>
        </w:rPr>
        <w:t xml:space="preserve"> </w:t>
      </w:r>
      <w:r w:rsidR="002353E3" w:rsidRPr="002353E3">
        <w:rPr>
          <w:color w:val="000000" w:themeColor="text1"/>
          <w:sz w:val="20"/>
          <w:szCs w:val="20"/>
        </w:rPr>
        <w:t>intolerance,</w:t>
      </w:r>
      <w:r w:rsidR="00FF41A0">
        <w:rPr>
          <w:color w:val="000000" w:themeColor="text1"/>
          <w:sz w:val="20"/>
          <w:szCs w:val="20"/>
        </w:rPr>
        <w:t xml:space="preserve"> </w:t>
      </w:r>
      <w:r w:rsidR="002353E3" w:rsidRPr="002353E3">
        <w:rPr>
          <w:color w:val="000000" w:themeColor="text1"/>
          <w:sz w:val="20"/>
          <w:szCs w:val="20"/>
        </w:rPr>
        <w:t>negative</w:t>
      </w:r>
      <w:r w:rsidR="00FF41A0">
        <w:rPr>
          <w:color w:val="000000" w:themeColor="text1"/>
          <w:sz w:val="20"/>
          <w:szCs w:val="20"/>
        </w:rPr>
        <w:t xml:space="preserve"> </w:t>
      </w:r>
      <w:r w:rsidR="002353E3" w:rsidRPr="002353E3">
        <w:rPr>
          <w:color w:val="000000" w:themeColor="text1"/>
          <w:sz w:val="20"/>
          <w:szCs w:val="20"/>
        </w:rPr>
        <w:t>stereotyping</w:t>
      </w:r>
      <w:r w:rsidR="00FF41A0">
        <w:rPr>
          <w:color w:val="000000" w:themeColor="text1"/>
          <w:sz w:val="20"/>
          <w:szCs w:val="20"/>
        </w:rPr>
        <w:t xml:space="preserve"> </w:t>
      </w:r>
      <w:r w:rsidR="002353E3" w:rsidRPr="002353E3">
        <w:rPr>
          <w:color w:val="000000" w:themeColor="text1"/>
          <w:sz w:val="20"/>
          <w:szCs w:val="20"/>
        </w:rPr>
        <w:t>and</w:t>
      </w:r>
      <w:r w:rsidR="00FF41A0">
        <w:rPr>
          <w:color w:val="000000" w:themeColor="text1"/>
          <w:sz w:val="20"/>
          <w:szCs w:val="20"/>
        </w:rPr>
        <w:t xml:space="preserve"> </w:t>
      </w:r>
      <w:r w:rsidR="002353E3" w:rsidRPr="002353E3">
        <w:rPr>
          <w:color w:val="000000" w:themeColor="text1"/>
          <w:sz w:val="20"/>
          <w:szCs w:val="20"/>
        </w:rPr>
        <w:t>stigmatization</w:t>
      </w:r>
      <w:r w:rsidR="00FF41A0">
        <w:rPr>
          <w:color w:val="000000" w:themeColor="text1"/>
          <w:sz w:val="20"/>
          <w:szCs w:val="20"/>
        </w:rPr>
        <w:t xml:space="preserve"> </w:t>
      </w:r>
      <w:r w:rsidR="002353E3" w:rsidRPr="002353E3">
        <w:rPr>
          <w:color w:val="000000" w:themeColor="text1"/>
          <w:sz w:val="20"/>
          <w:szCs w:val="20"/>
        </w:rPr>
        <w:t>of,</w:t>
      </w:r>
      <w:r w:rsidR="00FF41A0">
        <w:rPr>
          <w:color w:val="000000" w:themeColor="text1"/>
          <w:sz w:val="20"/>
          <w:szCs w:val="20"/>
        </w:rPr>
        <w:t xml:space="preserve"> </w:t>
      </w:r>
      <w:r w:rsidR="002353E3" w:rsidRPr="002353E3">
        <w:rPr>
          <w:color w:val="000000" w:themeColor="text1"/>
          <w:sz w:val="20"/>
          <w:szCs w:val="20"/>
        </w:rPr>
        <w:t>and</w:t>
      </w:r>
      <w:r w:rsidR="00FF41A0">
        <w:rPr>
          <w:color w:val="000000" w:themeColor="text1"/>
          <w:sz w:val="20"/>
          <w:szCs w:val="20"/>
        </w:rPr>
        <w:t xml:space="preserve"> </w:t>
      </w:r>
      <w:r w:rsidR="002353E3" w:rsidRPr="002353E3">
        <w:rPr>
          <w:color w:val="000000" w:themeColor="text1"/>
          <w:sz w:val="20"/>
          <w:szCs w:val="20"/>
        </w:rPr>
        <w:t>discrimination,</w:t>
      </w:r>
      <w:r w:rsidR="00FF41A0">
        <w:rPr>
          <w:color w:val="000000" w:themeColor="text1"/>
          <w:sz w:val="20"/>
          <w:szCs w:val="20"/>
        </w:rPr>
        <w:t xml:space="preserve"> </w:t>
      </w:r>
      <w:r w:rsidR="002353E3" w:rsidRPr="002353E3">
        <w:rPr>
          <w:color w:val="000000" w:themeColor="text1"/>
          <w:sz w:val="20"/>
          <w:szCs w:val="20"/>
        </w:rPr>
        <w:t>incitement</w:t>
      </w:r>
      <w:r w:rsidR="00FF41A0">
        <w:rPr>
          <w:color w:val="000000" w:themeColor="text1"/>
          <w:sz w:val="20"/>
          <w:szCs w:val="20"/>
        </w:rPr>
        <w:t xml:space="preserve"> </w:t>
      </w:r>
      <w:r w:rsidR="002353E3" w:rsidRPr="002353E3">
        <w:rPr>
          <w:color w:val="000000" w:themeColor="text1"/>
          <w:sz w:val="20"/>
          <w:szCs w:val="20"/>
        </w:rPr>
        <w:t>to</w:t>
      </w:r>
      <w:r w:rsidR="00FF41A0">
        <w:rPr>
          <w:color w:val="000000" w:themeColor="text1"/>
          <w:sz w:val="20"/>
          <w:szCs w:val="20"/>
        </w:rPr>
        <w:t xml:space="preserve"> </w:t>
      </w:r>
      <w:r w:rsidR="002353E3" w:rsidRPr="002353E3">
        <w:rPr>
          <w:color w:val="000000" w:themeColor="text1"/>
          <w:sz w:val="20"/>
          <w:szCs w:val="20"/>
        </w:rPr>
        <w:t>violence</w:t>
      </w:r>
      <w:r w:rsidR="00FF41A0">
        <w:rPr>
          <w:color w:val="000000" w:themeColor="text1"/>
          <w:sz w:val="20"/>
          <w:szCs w:val="20"/>
        </w:rPr>
        <w:t xml:space="preserve"> </w:t>
      </w:r>
      <w:r w:rsidR="002353E3" w:rsidRPr="002353E3">
        <w:rPr>
          <w:color w:val="000000" w:themeColor="text1"/>
          <w:sz w:val="20"/>
          <w:szCs w:val="20"/>
        </w:rPr>
        <w:t>and</w:t>
      </w:r>
      <w:r w:rsidR="00FF41A0">
        <w:rPr>
          <w:color w:val="000000" w:themeColor="text1"/>
          <w:sz w:val="20"/>
          <w:szCs w:val="20"/>
        </w:rPr>
        <w:t xml:space="preserve"> </w:t>
      </w:r>
      <w:r w:rsidR="002353E3" w:rsidRPr="002353E3">
        <w:rPr>
          <w:color w:val="000000" w:themeColor="text1"/>
          <w:sz w:val="20"/>
          <w:szCs w:val="20"/>
        </w:rPr>
        <w:t>violence</w:t>
      </w:r>
      <w:r w:rsidR="00FF41A0">
        <w:rPr>
          <w:color w:val="000000" w:themeColor="text1"/>
          <w:sz w:val="20"/>
          <w:szCs w:val="20"/>
        </w:rPr>
        <w:t xml:space="preserve"> </w:t>
      </w:r>
      <w:r w:rsidR="002353E3" w:rsidRPr="002353E3">
        <w:rPr>
          <w:color w:val="000000" w:themeColor="text1"/>
          <w:sz w:val="20"/>
          <w:szCs w:val="20"/>
        </w:rPr>
        <w:t>against,</w:t>
      </w:r>
      <w:r w:rsidR="00FF41A0">
        <w:rPr>
          <w:color w:val="000000" w:themeColor="text1"/>
          <w:sz w:val="20"/>
          <w:szCs w:val="20"/>
        </w:rPr>
        <w:t xml:space="preserve"> </w:t>
      </w:r>
      <w:r w:rsidR="002353E3" w:rsidRPr="002353E3">
        <w:rPr>
          <w:color w:val="000000" w:themeColor="text1"/>
          <w:sz w:val="20"/>
          <w:szCs w:val="20"/>
        </w:rPr>
        <w:t>persons</w:t>
      </w:r>
      <w:r w:rsidR="00FF41A0">
        <w:rPr>
          <w:color w:val="000000" w:themeColor="text1"/>
          <w:sz w:val="20"/>
          <w:szCs w:val="20"/>
        </w:rPr>
        <w:t xml:space="preserve"> </w:t>
      </w:r>
      <w:r w:rsidR="002353E3" w:rsidRPr="002353E3">
        <w:rPr>
          <w:color w:val="000000" w:themeColor="text1"/>
          <w:sz w:val="20"/>
          <w:szCs w:val="20"/>
        </w:rPr>
        <w:t>based</w:t>
      </w:r>
      <w:r w:rsidR="00FF41A0">
        <w:rPr>
          <w:color w:val="000000" w:themeColor="text1"/>
          <w:sz w:val="20"/>
          <w:szCs w:val="20"/>
        </w:rPr>
        <w:t xml:space="preserve"> </w:t>
      </w:r>
      <w:r w:rsidR="002353E3" w:rsidRPr="002353E3">
        <w:rPr>
          <w:color w:val="000000" w:themeColor="text1"/>
          <w:sz w:val="20"/>
          <w:szCs w:val="20"/>
        </w:rPr>
        <w:t>on</w:t>
      </w:r>
      <w:r w:rsidR="00FF41A0">
        <w:rPr>
          <w:color w:val="000000" w:themeColor="text1"/>
          <w:sz w:val="20"/>
          <w:szCs w:val="20"/>
        </w:rPr>
        <w:t xml:space="preserve"> </w:t>
      </w:r>
      <w:r w:rsidR="002353E3" w:rsidRPr="002353E3">
        <w:rPr>
          <w:color w:val="000000" w:themeColor="text1"/>
          <w:sz w:val="20"/>
          <w:szCs w:val="20"/>
        </w:rPr>
        <w:t>religion</w:t>
      </w:r>
      <w:r w:rsidR="00FF41A0">
        <w:rPr>
          <w:color w:val="000000" w:themeColor="text1"/>
          <w:sz w:val="20"/>
          <w:szCs w:val="20"/>
        </w:rPr>
        <w:t xml:space="preserve"> </w:t>
      </w:r>
      <w:r w:rsidR="002353E3" w:rsidRPr="002353E3">
        <w:rPr>
          <w:color w:val="000000" w:themeColor="text1"/>
          <w:sz w:val="20"/>
          <w:szCs w:val="20"/>
        </w:rPr>
        <w:t>or</w:t>
      </w:r>
      <w:r w:rsidR="00FF41A0">
        <w:rPr>
          <w:color w:val="000000" w:themeColor="text1"/>
          <w:sz w:val="20"/>
          <w:szCs w:val="20"/>
        </w:rPr>
        <w:t xml:space="preserve"> </w:t>
      </w:r>
      <w:r w:rsidR="002353E3" w:rsidRPr="002353E3">
        <w:rPr>
          <w:color w:val="000000" w:themeColor="text1"/>
          <w:sz w:val="20"/>
          <w:szCs w:val="20"/>
        </w:rPr>
        <w:t>belief</w:t>
      </w:r>
      <w:r w:rsidR="00FF41A0">
        <w:rPr>
          <w:color w:val="000000" w:themeColor="text1"/>
          <w:sz w:val="20"/>
          <w:szCs w:val="20"/>
        </w:rPr>
        <w:t xml:space="preserve"> </w:t>
      </w:r>
      <w:r w:rsidR="002353E3">
        <w:rPr>
          <w:color w:val="000000" w:themeColor="text1"/>
          <w:sz w:val="20"/>
          <w:szCs w:val="20"/>
        </w:rPr>
        <w:t>(</w:t>
      </w:r>
      <w:r w:rsidR="002353E3" w:rsidRPr="002353E3">
        <w:rPr>
          <w:color w:val="000000" w:themeColor="text1"/>
          <w:sz w:val="20"/>
          <w:szCs w:val="20"/>
        </w:rPr>
        <w:t>A/HRC/</w:t>
      </w:r>
      <w:r w:rsidR="002353E3">
        <w:rPr>
          <w:color w:val="000000" w:themeColor="text1"/>
          <w:sz w:val="20"/>
          <w:szCs w:val="20"/>
        </w:rPr>
        <w:t>40</w:t>
      </w:r>
      <w:r w:rsidR="002353E3" w:rsidRPr="002353E3">
        <w:rPr>
          <w:color w:val="000000" w:themeColor="text1"/>
          <w:sz w:val="20"/>
          <w:szCs w:val="20"/>
        </w:rPr>
        <w:t>/44</w:t>
      </w:r>
      <w:r w:rsidR="002353E3">
        <w:rPr>
          <w:color w:val="000000" w:themeColor="text1"/>
          <w:sz w:val="20"/>
          <w:szCs w:val="20"/>
        </w:rPr>
        <w:t>)</w:t>
      </w:r>
      <w:r w:rsidR="002353E3" w:rsidRPr="002353E3">
        <w:rPr>
          <w:color w:val="000000" w:themeColor="text1"/>
          <w:sz w:val="20"/>
          <w:szCs w:val="20"/>
        </w:rPr>
        <w:t>.</w:t>
      </w:r>
    </w:p>
    <w:p w14:paraId="47408D36" w14:textId="3E4D9B6F" w:rsidR="0071313E" w:rsidRPr="002353E3" w:rsidRDefault="00CF15B1" w:rsidP="00C11A68">
      <w:pPr>
        <w:pStyle w:val="SingleTxtG"/>
        <w:rPr>
          <w:color w:val="000000" w:themeColor="text1"/>
          <w:sz w:val="20"/>
          <w:szCs w:val="20"/>
        </w:rPr>
      </w:pPr>
      <w:r>
        <w:rPr>
          <w:color w:val="000000" w:themeColor="text1"/>
          <w:sz w:val="20"/>
          <w:szCs w:val="20"/>
        </w:rPr>
        <w:t>963</w:t>
      </w:r>
      <w:r w:rsidR="0071313E" w:rsidRPr="002353E3">
        <w:rPr>
          <w:color w:val="000000" w:themeColor="text1"/>
          <w:sz w:val="20"/>
          <w:szCs w:val="20"/>
        </w:rPr>
        <w:t>.</w:t>
      </w:r>
      <w:r w:rsidR="0071313E" w:rsidRPr="002353E3">
        <w:rPr>
          <w:color w:val="000000" w:themeColor="text1"/>
          <w:sz w:val="20"/>
          <w:szCs w:val="20"/>
        </w:rPr>
        <w:tab/>
        <w:t>At</w:t>
      </w:r>
      <w:r w:rsidR="00FF41A0">
        <w:rPr>
          <w:color w:val="000000" w:themeColor="text1"/>
          <w:sz w:val="20"/>
          <w:szCs w:val="20"/>
        </w:rPr>
        <w:t xml:space="preserve"> </w:t>
      </w:r>
      <w:r w:rsidR="0071313E" w:rsidRPr="002353E3">
        <w:rPr>
          <w:color w:val="000000" w:themeColor="text1"/>
          <w:sz w:val="20"/>
          <w:szCs w:val="20"/>
        </w:rPr>
        <w:t>the</w:t>
      </w:r>
      <w:r w:rsidR="00FF41A0">
        <w:rPr>
          <w:color w:val="000000" w:themeColor="text1"/>
          <w:sz w:val="20"/>
          <w:szCs w:val="20"/>
        </w:rPr>
        <w:t xml:space="preserve"> </w:t>
      </w:r>
      <w:r w:rsidR="0071313E" w:rsidRPr="002353E3">
        <w:rPr>
          <w:color w:val="000000" w:themeColor="text1"/>
          <w:sz w:val="20"/>
          <w:szCs w:val="20"/>
        </w:rPr>
        <w:t>same</w:t>
      </w:r>
      <w:r w:rsidR="00FF41A0">
        <w:rPr>
          <w:color w:val="000000" w:themeColor="text1"/>
          <w:sz w:val="20"/>
          <w:szCs w:val="20"/>
        </w:rPr>
        <w:t xml:space="preserve"> </w:t>
      </w:r>
      <w:r w:rsidR="0071313E" w:rsidRPr="002353E3">
        <w:rPr>
          <w:color w:val="000000" w:themeColor="text1"/>
          <w:sz w:val="20"/>
          <w:szCs w:val="20"/>
        </w:rPr>
        <w:t>meeting,</w:t>
      </w:r>
      <w:r w:rsidR="00FF41A0">
        <w:rPr>
          <w:color w:val="000000" w:themeColor="text1"/>
          <w:sz w:val="20"/>
          <w:szCs w:val="20"/>
        </w:rPr>
        <w:t xml:space="preserve"> </w:t>
      </w:r>
      <w:r w:rsidR="00D44188" w:rsidRPr="002353E3">
        <w:rPr>
          <w:color w:val="000000" w:themeColor="text1"/>
          <w:sz w:val="20"/>
          <w:szCs w:val="20"/>
        </w:rPr>
        <w:t>the</w:t>
      </w:r>
      <w:r w:rsidR="00FF41A0">
        <w:rPr>
          <w:color w:val="000000" w:themeColor="text1"/>
          <w:sz w:val="20"/>
          <w:szCs w:val="20"/>
        </w:rPr>
        <w:t xml:space="preserve"> </w:t>
      </w:r>
      <w:r w:rsidR="002353E3" w:rsidRPr="002353E3">
        <w:rPr>
          <w:color w:val="000000" w:themeColor="text1"/>
          <w:sz w:val="20"/>
          <w:szCs w:val="20"/>
        </w:rPr>
        <w:t>Permanent</w:t>
      </w:r>
      <w:r w:rsidR="00FF41A0">
        <w:rPr>
          <w:color w:val="000000" w:themeColor="text1"/>
          <w:sz w:val="20"/>
          <w:szCs w:val="20"/>
        </w:rPr>
        <w:t xml:space="preserve"> </w:t>
      </w:r>
      <w:r w:rsidR="002353E3" w:rsidRPr="002353E3">
        <w:rPr>
          <w:color w:val="000000" w:themeColor="text1"/>
          <w:sz w:val="20"/>
          <w:szCs w:val="20"/>
        </w:rPr>
        <w:t>Representative</w:t>
      </w:r>
      <w:r w:rsidR="00FF41A0">
        <w:rPr>
          <w:color w:val="000000" w:themeColor="text1"/>
          <w:sz w:val="20"/>
          <w:szCs w:val="20"/>
        </w:rPr>
        <w:t xml:space="preserve"> </w:t>
      </w:r>
      <w:r w:rsidR="002353E3" w:rsidRPr="002353E3">
        <w:rPr>
          <w:color w:val="000000" w:themeColor="text1"/>
          <w:sz w:val="20"/>
          <w:szCs w:val="20"/>
        </w:rPr>
        <w:t>of</w:t>
      </w:r>
      <w:r w:rsidR="00FF41A0">
        <w:rPr>
          <w:color w:val="000000" w:themeColor="text1"/>
          <w:sz w:val="20"/>
          <w:szCs w:val="20"/>
        </w:rPr>
        <w:t xml:space="preserve"> </w:t>
      </w:r>
      <w:r w:rsidR="002353E3" w:rsidRPr="002353E3">
        <w:rPr>
          <w:color w:val="000000" w:themeColor="text1"/>
          <w:sz w:val="20"/>
          <w:szCs w:val="20"/>
        </w:rPr>
        <w:t>Lesotho</w:t>
      </w:r>
      <w:r w:rsidR="00FF41A0">
        <w:rPr>
          <w:color w:val="000000" w:themeColor="text1"/>
          <w:sz w:val="20"/>
          <w:szCs w:val="20"/>
        </w:rPr>
        <w:t xml:space="preserve"> </w:t>
      </w:r>
      <w:r w:rsidR="0071313E" w:rsidRPr="002353E3">
        <w:rPr>
          <w:color w:val="000000" w:themeColor="text1"/>
          <w:sz w:val="20"/>
          <w:szCs w:val="20"/>
        </w:rPr>
        <w:t>and</w:t>
      </w:r>
      <w:r w:rsidR="00FF41A0">
        <w:rPr>
          <w:color w:val="000000" w:themeColor="text1"/>
          <w:sz w:val="20"/>
          <w:szCs w:val="20"/>
        </w:rPr>
        <w:t xml:space="preserve"> </w:t>
      </w:r>
      <w:r w:rsidR="0071313E" w:rsidRPr="002353E3">
        <w:rPr>
          <w:color w:val="000000" w:themeColor="text1"/>
          <w:sz w:val="20"/>
          <w:szCs w:val="20"/>
        </w:rPr>
        <w:t>Chairperson-Rapporteur</w:t>
      </w:r>
      <w:r w:rsidR="00FF41A0">
        <w:rPr>
          <w:color w:val="000000" w:themeColor="text1"/>
          <w:sz w:val="20"/>
          <w:szCs w:val="20"/>
        </w:rPr>
        <w:t xml:space="preserve"> </w:t>
      </w:r>
      <w:r w:rsidR="0071313E" w:rsidRPr="002353E3">
        <w:rPr>
          <w:color w:val="000000" w:themeColor="text1"/>
          <w:sz w:val="20"/>
          <w:szCs w:val="20"/>
        </w:rPr>
        <w:t>of</w:t>
      </w:r>
      <w:r w:rsidR="00FF41A0">
        <w:rPr>
          <w:color w:val="000000" w:themeColor="text1"/>
          <w:sz w:val="20"/>
          <w:szCs w:val="20"/>
        </w:rPr>
        <w:t xml:space="preserve"> </w:t>
      </w:r>
      <w:r w:rsidR="0071313E" w:rsidRPr="002353E3">
        <w:rPr>
          <w:color w:val="000000" w:themeColor="text1"/>
          <w:sz w:val="20"/>
          <w:szCs w:val="20"/>
        </w:rPr>
        <w:t>the</w:t>
      </w:r>
      <w:r w:rsidR="00FF41A0">
        <w:rPr>
          <w:color w:val="000000" w:themeColor="text1"/>
          <w:sz w:val="20"/>
          <w:szCs w:val="20"/>
        </w:rPr>
        <w:t xml:space="preserve"> </w:t>
      </w:r>
      <w:r w:rsidR="002353E3" w:rsidRPr="002353E3">
        <w:rPr>
          <w:color w:val="000000" w:themeColor="text1"/>
          <w:sz w:val="20"/>
          <w:szCs w:val="20"/>
        </w:rPr>
        <w:t>Intergovernmental</w:t>
      </w:r>
      <w:r w:rsidR="00FF41A0">
        <w:rPr>
          <w:color w:val="000000" w:themeColor="text1"/>
          <w:sz w:val="20"/>
          <w:szCs w:val="20"/>
        </w:rPr>
        <w:t xml:space="preserve"> </w:t>
      </w:r>
      <w:r w:rsidR="002353E3" w:rsidRPr="002353E3">
        <w:rPr>
          <w:color w:val="000000" w:themeColor="text1"/>
          <w:sz w:val="20"/>
          <w:szCs w:val="20"/>
        </w:rPr>
        <w:t>Working</w:t>
      </w:r>
      <w:r w:rsidR="00FF41A0">
        <w:rPr>
          <w:color w:val="000000" w:themeColor="text1"/>
          <w:sz w:val="20"/>
          <w:szCs w:val="20"/>
        </w:rPr>
        <w:t xml:space="preserve"> </w:t>
      </w:r>
      <w:r w:rsidR="002353E3" w:rsidRPr="002353E3">
        <w:rPr>
          <w:color w:val="000000" w:themeColor="text1"/>
          <w:sz w:val="20"/>
          <w:szCs w:val="20"/>
        </w:rPr>
        <w:t>Group</w:t>
      </w:r>
      <w:r w:rsidR="00FF41A0">
        <w:rPr>
          <w:color w:val="000000" w:themeColor="text1"/>
          <w:sz w:val="20"/>
          <w:szCs w:val="20"/>
        </w:rPr>
        <w:t xml:space="preserve"> </w:t>
      </w:r>
      <w:r w:rsidR="002353E3" w:rsidRPr="002353E3">
        <w:rPr>
          <w:color w:val="000000" w:themeColor="text1"/>
          <w:sz w:val="20"/>
          <w:szCs w:val="20"/>
        </w:rPr>
        <w:t>on</w:t>
      </w:r>
      <w:r w:rsidR="00FF41A0">
        <w:rPr>
          <w:color w:val="000000" w:themeColor="text1"/>
          <w:sz w:val="20"/>
          <w:szCs w:val="20"/>
        </w:rPr>
        <w:t xml:space="preserve"> </w:t>
      </w:r>
      <w:r w:rsidR="002353E3" w:rsidRPr="002353E3">
        <w:rPr>
          <w:color w:val="000000" w:themeColor="text1"/>
          <w:sz w:val="20"/>
          <w:szCs w:val="20"/>
        </w:rPr>
        <w:t>the</w:t>
      </w:r>
      <w:r w:rsidR="00FF41A0">
        <w:rPr>
          <w:color w:val="000000" w:themeColor="text1"/>
          <w:sz w:val="20"/>
          <w:szCs w:val="20"/>
        </w:rPr>
        <w:t xml:space="preserve"> </w:t>
      </w:r>
      <w:r w:rsidR="002353E3" w:rsidRPr="002353E3">
        <w:rPr>
          <w:color w:val="000000" w:themeColor="text1"/>
          <w:sz w:val="20"/>
          <w:szCs w:val="20"/>
        </w:rPr>
        <w:t>Effective</w:t>
      </w:r>
      <w:r w:rsidR="00FF41A0">
        <w:rPr>
          <w:color w:val="000000" w:themeColor="text1"/>
          <w:sz w:val="20"/>
          <w:szCs w:val="20"/>
        </w:rPr>
        <w:t xml:space="preserve"> </w:t>
      </w:r>
      <w:r w:rsidR="002353E3" w:rsidRPr="002353E3">
        <w:rPr>
          <w:color w:val="000000" w:themeColor="text1"/>
          <w:sz w:val="20"/>
          <w:szCs w:val="20"/>
        </w:rPr>
        <w:t>Implementation</w:t>
      </w:r>
      <w:r w:rsidR="00FF41A0">
        <w:rPr>
          <w:color w:val="000000" w:themeColor="text1"/>
          <w:sz w:val="20"/>
          <w:szCs w:val="20"/>
        </w:rPr>
        <w:t xml:space="preserve"> </w:t>
      </w:r>
      <w:r w:rsidR="002353E3" w:rsidRPr="002353E3">
        <w:rPr>
          <w:color w:val="000000" w:themeColor="text1"/>
          <w:sz w:val="20"/>
          <w:szCs w:val="20"/>
        </w:rPr>
        <w:t>of</w:t>
      </w:r>
      <w:r w:rsidR="00FF41A0">
        <w:rPr>
          <w:color w:val="000000" w:themeColor="text1"/>
          <w:sz w:val="20"/>
          <w:szCs w:val="20"/>
        </w:rPr>
        <w:t xml:space="preserve"> </w:t>
      </w:r>
      <w:r w:rsidR="002353E3" w:rsidRPr="002353E3">
        <w:rPr>
          <w:color w:val="000000" w:themeColor="text1"/>
          <w:sz w:val="20"/>
          <w:szCs w:val="20"/>
        </w:rPr>
        <w:t>the</w:t>
      </w:r>
      <w:r w:rsidR="00FF41A0">
        <w:rPr>
          <w:color w:val="000000" w:themeColor="text1"/>
          <w:sz w:val="20"/>
          <w:szCs w:val="20"/>
        </w:rPr>
        <w:t xml:space="preserve"> </w:t>
      </w:r>
      <w:r w:rsidR="002353E3" w:rsidRPr="002353E3">
        <w:rPr>
          <w:color w:val="000000" w:themeColor="text1"/>
          <w:sz w:val="20"/>
          <w:szCs w:val="20"/>
        </w:rPr>
        <w:t>Durban</w:t>
      </w:r>
      <w:r w:rsidR="00FF41A0">
        <w:rPr>
          <w:color w:val="000000" w:themeColor="text1"/>
          <w:sz w:val="20"/>
          <w:szCs w:val="20"/>
        </w:rPr>
        <w:t xml:space="preserve"> </w:t>
      </w:r>
      <w:r w:rsidR="002353E3" w:rsidRPr="002353E3">
        <w:rPr>
          <w:color w:val="000000" w:themeColor="text1"/>
          <w:sz w:val="20"/>
          <w:szCs w:val="20"/>
        </w:rPr>
        <w:t>Declaration</w:t>
      </w:r>
      <w:r w:rsidR="00FF41A0">
        <w:rPr>
          <w:color w:val="000000" w:themeColor="text1"/>
          <w:sz w:val="20"/>
          <w:szCs w:val="20"/>
        </w:rPr>
        <w:t xml:space="preserve"> </w:t>
      </w:r>
      <w:r w:rsidR="002353E3" w:rsidRPr="002353E3">
        <w:rPr>
          <w:color w:val="000000" w:themeColor="text1"/>
          <w:sz w:val="20"/>
          <w:szCs w:val="20"/>
        </w:rPr>
        <w:t>and</w:t>
      </w:r>
      <w:r w:rsidR="00FF41A0">
        <w:rPr>
          <w:color w:val="000000" w:themeColor="text1"/>
          <w:sz w:val="20"/>
          <w:szCs w:val="20"/>
        </w:rPr>
        <w:t xml:space="preserve"> </w:t>
      </w:r>
      <w:r w:rsidR="002353E3" w:rsidRPr="002353E3">
        <w:rPr>
          <w:color w:val="000000" w:themeColor="text1"/>
          <w:sz w:val="20"/>
          <w:szCs w:val="20"/>
        </w:rPr>
        <w:t>Programme</w:t>
      </w:r>
      <w:r w:rsidR="00FF41A0">
        <w:rPr>
          <w:color w:val="000000" w:themeColor="text1"/>
          <w:sz w:val="20"/>
          <w:szCs w:val="20"/>
        </w:rPr>
        <w:t xml:space="preserve"> </w:t>
      </w:r>
      <w:r w:rsidR="002353E3" w:rsidRPr="002353E3">
        <w:rPr>
          <w:color w:val="000000" w:themeColor="text1"/>
          <w:sz w:val="20"/>
          <w:szCs w:val="20"/>
        </w:rPr>
        <w:t>of</w:t>
      </w:r>
      <w:r w:rsidR="00FF41A0">
        <w:rPr>
          <w:color w:val="000000" w:themeColor="text1"/>
          <w:sz w:val="20"/>
          <w:szCs w:val="20"/>
        </w:rPr>
        <w:t xml:space="preserve"> </w:t>
      </w:r>
      <w:r w:rsidR="002353E3" w:rsidRPr="002353E3">
        <w:rPr>
          <w:color w:val="000000" w:themeColor="text1"/>
          <w:sz w:val="20"/>
          <w:szCs w:val="20"/>
        </w:rPr>
        <w:t>Action</w:t>
      </w:r>
      <w:r w:rsidR="002353E3">
        <w:rPr>
          <w:color w:val="000000" w:themeColor="text1"/>
          <w:sz w:val="20"/>
          <w:szCs w:val="20"/>
        </w:rPr>
        <w:t>,</w:t>
      </w:r>
      <w:r w:rsidR="00FF41A0">
        <w:rPr>
          <w:color w:val="000000" w:themeColor="text1"/>
          <w:sz w:val="20"/>
          <w:szCs w:val="20"/>
        </w:rPr>
        <w:t xml:space="preserve"> </w:t>
      </w:r>
      <w:r w:rsidR="002353E3" w:rsidRPr="002353E3">
        <w:rPr>
          <w:color w:val="000000" w:themeColor="text1"/>
          <w:sz w:val="20"/>
          <w:szCs w:val="20"/>
        </w:rPr>
        <w:t>Refiloe</w:t>
      </w:r>
      <w:r w:rsidR="00FF41A0">
        <w:rPr>
          <w:color w:val="000000" w:themeColor="text1"/>
          <w:sz w:val="20"/>
          <w:szCs w:val="20"/>
        </w:rPr>
        <w:t xml:space="preserve"> </w:t>
      </w:r>
      <w:r w:rsidR="002353E3" w:rsidRPr="002353E3">
        <w:rPr>
          <w:color w:val="000000" w:themeColor="text1"/>
          <w:sz w:val="20"/>
          <w:szCs w:val="20"/>
        </w:rPr>
        <w:t>Litjobo</w:t>
      </w:r>
      <w:r w:rsidR="0071313E" w:rsidRPr="002353E3">
        <w:rPr>
          <w:color w:val="000000" w:themeColor="text1"/>
          <w:sz w:val="20"/>
          <w:szCs w:val="20"/>
        </w:rPr>
        <w:t>,</w:t>
      </w:r>
      <w:r w:rsidR="00FF41A0">
        <w:rPr>
          <w:color w:val="000000" w:themeColor="text1"/>
          <w:sz w:val="20"/>
          <w:szCs w:val="20"/>
        </w:rPr>
        <w:t xml:space="preserve"> </w:t>
      </w:r>
      <w:r w:rsidR="0071313E" w:rsidRPr="002353E3">
        <w:rPr>
          <w:color w:val="000000" w:themeColor="text1"/>
          <w:sz w:val="20"/>
          <w:szCs w:val="20"/>
        </w:rPr>
        <w:t>presented</w:t>
      </w:r>
      <w:r w:rsidR="00FF41A0">
        <w:rPr>
          <w:color w:val="000000" w:themeColor="text1"/>
          <w:sz w:val="20"/>
          <w:szCs w:val="20"/>
        </w:rPr>
        <w:t xml:space="preserve"> </w:t>
      </w:r>
      <w:r w:rsidR="00C11A68" w:rsidRPr="002353E3">
        <w:rPr>
          <w:color w:val="000000" w:themeColor="text1"/>
          <w:sz w:val="20"/>
          <w:szCs w:val="20"/>
        </w:rPr>
        <w:t>the</w:t>
      </w:r>
      <w:r w:rsidR="00FF41A0">
        <w:rPr>
          <w:color w:val="000000" w:themeColor="text1"/>
          <w:sz w:val="20"/>
          <w:szCs w:val="20"/>
        </w:rPr>
        <w:t xml:space="preserve"> </w:t>
      </w:r>
      <w:r w:rsidR="00C11A68" w:rsidRPr="002353E3">
        <w:rPr>
          <w:color w:val="000000" w:themeColor="text1"/>
          <w:sz w:val="20"/>
          <w:szCs w:val="20"/>
        </w:rPr>
        <w:t>report</w:t>
      </w:r>
      <w:r w:rsidR="00FF41A0">
        <w:rPr>
          <w:color w:val="000000" w:themeColor="text1"/>
          <w:sz w:val="20"/>
          <w:szCs w:val="20"/>
        </w:rPr>
        <w:t xml:space="preserve"> </w:t>
      </w:r>
      <w:r w:rsidR="00C11A68" w:rsidRPr="002353E3">
        <w:rPr>
          <w:color w:val="000000" w:themeColor="text1"/>
          <w:sz w:val="20"/>
          <w:szCs w:val="20"/>
        </w:rPr>
        <w:t>of</w:t>
      </w:r>
      <w:r w:rsidR="00FF41A0">
        <w:rPr>
          <w:color w:val="000000" w:themeColor="text1"/>
          <w:sz w:val="20"/>
          <w:szCs w:val="20"/>
        </w:rPr>
        <w:t xml:space="preserve"> </w:t>
      </w:r>
      <w:r w:rsidR="00C11A68" w:rsidRPr="002353E3">
        <w:rPr>
          <w:color w:val="000000" w:themeColor="text1"/>
          <w:sz w:val="20"/>
          <w:szCs w:val="20"/>
        </w:rPr>
        <w:t>the</w:t>
      </w:r>
      <w:r w:rsidR="00FF41A0">
        <w:rPr>
          <w:color w:val="000000" w:themeColor="text1"/>
          <w:sz w:val="20"/>
          <w:szCs w:val="20"/>
        </w:rPr>
        <w:t xml:space="preserve"> </w:t>
      </w:r>
      <w:r w:rsidR="002353E3" w:rsidRPr="002353E3">
        <w:rPr>
          <w:color w:val="000000" w:themeColor="text1"/>
          <w:sz w:val="20"/>
          <w:szCs w:val="20"/>
        </w:rPr>
        <w:t>Working</w:t>
      </w:r>
      <w:r w:rsidR="00FF41A0">
        <w:rPr>
          <w:color w:val="000000" w:themeColor="text1"/>
          <w:sz w:val="20"/>
          <w:szCs w:val="20"/>
        </w:rPr>
        <w:t xml:space="preserve"> </w:t>
      </w:r>
      <w:r w:rsidR="002353E3" w:rsidRPr="002353E3">
        <w:rPr>
          <w:color w:val="000000" w:themeColor="text1"/>
          <w:sz w:val="20"/>
          <w:szCs w:val="20"/>
        </w:rPr>
        <w:t>Group</w:t>
      </w:r>
      <w:r w:rsidR="00FF41A0">
        <w:rPr>
          <w:color w:val="000000" w:themeColor="text1"/>
          <w:sz w:val="20"/>
          <w:szCs w:val="20"/>
        </w:rPr>
        <w:t xml:space="preserve"> </w:t>
      </w:r>
      <w:r w:rsidR="00C11A68" w:rsidRPr="002353E3">
        <w:rPr>
          <w:color w:val="000000" w:themeColor="text1"/>
          <w:sz w:val="20"/>
          <w:szCs w:val="20"/>
        </w:rPr>
        <w:t>on</w:t>
      </w:r>
      <w:r w:rsidR="00FF41A0">
        <w:rPr>
          <w:color w:val="000000" w:themeColor="text1"/>
          <w:sz w:val="20"/>
          <w:szCs w:val="20"/>
        </w:rPr>
        <w:t xml:space="preserve"> </w:t>
      </w:r>
      <w:r w:rsidR="00C11A68" w:rsidRPr="002353E3">
        <w:rPr>
          <w:color w:val="000000" w:themeColor="text1"/>
          <w:sz w:val="20"/>
          <w:szCs w:val="20"/>
        </w:rPr>
        <w:t>its</w:t>
      </w:r>
      <w:r w:rsidR="00FF41A0">
        <w:rPr>
          <w:color w:val="000000" w:themeColor="text1"/>
          <w:sz w:val="20"/>
          <w:szCs w:val="20"/>
        </w:rPr>
        <w:t xml:space="preserve"> </w:t>
      </w:r>
      <w:r w:rsidR="002353E3" w:rsidRPr="002353E3">
        <w:rPr>
          <w:color w:val="000000" w:themeColor="text1"/>
          <w:sz w:val="20"/>
          <w:szCs w:val="20"/>
        </w:rPr>
        <w:t>sixteenth</w:t>
      </w:r>
      <w:r w:rsidR="00FF41A0">
        <w:rPr>
          <w:color w:val="000000" w:themeColor="text1"/>
          <w:sz w:val="20"/>
          <w:szCs w:val="20"/>
        </w:rPr>
        <w:t xml:space="preserve"> </w:t>
      </w:r>
      <w:r w:rsidR="0071313E" w:rsidRPr="002353E3">
        <w:rPr>
          <w:color w:val="000000" w:themeColor="text1"/>
          <w:sz w:val="20"/>
          <w:szCs w:val="20"/>
        </w:rPr>
        <w:t>session,</w:t>
      </w:r>
      <w:r w:rsidR="00FF41A0">
        <w:rPr>
          <w:color w:val="000000" w:themeColor="text1"/>
          <w:sz w:val="20"/>
          <w:szCs w:val="20"/>
        </w:rPr>
        <w:t xml:space="preserve"> </w:t>
      </w:r>
      <w:r w:rsidR="0071313E" w:rsidRPr="002353E3">
        <w:rPr>
          <w:color w:val="000000" w:themeColor="text1"/>
          <w:sz w:val="20"/>
          <w:szCs w:val="20"/>
        </w:rPr>
        <w:t>held</w:t>
      </w:r>
      <w:r w:rsidR="00FF41A0">
        <w:rPr>
          <w:color w:val="000000" w:themeColor="text1"/>
          <w:sz w:val="20"/>
          <w:szCs w:val="20"/>
        </w:rPr>
        <w:t xml:space="preserve"> </w:t>
      </w:r>
      <w:r w:rsidR="0071313E" w:rsidRPr="002353E3">
        <w:rPr>
          <w:color w:val="000000" w:themeColor="text1"/>
          <w:sz w:val="20"/>
          <w:szCs w:val="20"/>
        </w:rPr>
        <w:t>from</w:t>
      </w:r>
      <w:r w:rsidR="00FF41A0">
        <w:rPr>
          <w:color w:val="000000" w:themeColor="text1"/>
          <w:sz w:val="20"/>
          <w:szCs w:val="20"/>
        </w:rPr>
        <w:t xml:space="preserve"> </w:t>
      </w:r>
      <w:r w:rsidR="002353E3" w:rsidRPr="002353E3">
        <w:rPr>
          <w:color w:val="000000" w:themeColor="text1"/>
          <w:sz w:val="20"/>
          <w:szCs w:val="20"/>
        </w:rPr>
        <w:t>27</w:t>
      </w:r>
      <w:r w:rsidR="00FF41A0">
        <w:rPr>
          <w:color w:val="000000" w:themeColor="text1"/>
          <w:sz w:val="20"/>
          <w:szCs w:val="20"/>
        </w:rPr>
        <w:t xml:space="preserve"> </w:t>
      </w:r>
      <w:r w:rsidR="002353E3" w:rsidRPr="002353E3">
        <w:rPr>
          <w:color w:val="000000" w:themeColor="text1"/>
          <w:sz w:val="20"/>
          <w:szCs w:val="20"/>
        </w:rPr>
        <w:t>August</w:t>
      </w:r>
      <w:r w:rsidR="00FF41A0">
        <w:rPr>
          <w:color w:val="000000" w:themeColor="text1"/>
          <w:sz w:val="20"/>
          <w:szCs w:val="20"/>
        </w:rPr>
        <w:t xml:space="preserve"> </w:t>
      </w:r>
      <w:r w:rsidR="002353E3" w:rsidRPr="002353E3">
        <w:rPr>
          <w:color w:val="000000" w:themeColor="text1"/>
          <w:sz w:val="20"/>
          <w:szCs w:val="20"/>
        </w:rPr>
        <w:t>to</w:t>
      </w:r>
      <w:r w:rsidR="00FF41A0">
        <w:rPr>
          <w:color w:val="000000" w:themeColor="text1"/>
          <w:sz w:val="20"/>
          <w:szCs w:val="20"/>
        </w:rPr>
        <w:t xml:space="preserve"> </w:t>
      </w:r>
      <w:r w:rsidR="002353E3" w:rsidRPr="002353E3">
        <w:rPr>
          <w:color w:val="000000" w:themeColor="text1"/>
          <w:sz w:val="20"/>
          <w:szCs w:val="20"/>
        </w:rPr>
        <w:t>7</w:t>
      </w:r>
      <w:r w:rsidR="00FF41A0">
        <w:rPr>
          <w:color w:val="000000" w:themeColor="text1"/>
          <w:sz w:val="20"/>
          <w:szCs w:val="20"/>
        </w:rPr>
        <w:t xml:space="preserve"> </w:t>
      </w:r>
      <w:r w:rsidR="002353E3" w:rsidRPr="002353E3">
        <w:rPr>
          <w:color w:val="000000" w:themeColor="text1"/>
          <w:sz w:val="20"/>
          <w:szCs w:val="20"/>
        </w:rPr>
        <w:t>September</w:t>
      </w:r>
      <w:r w:rsidR="00FF41A0">
        <w:rPr>
          <w:color w:val="000000" w:themeColor="text1"/>
          <w:sz w:val="20"/>
          <w:szCs w:val="20"/>
        </w:rPr>
        <w:t xml:space="preserve"> </w:t>
      </w:r>
      <w:r w:rsidR="002353E3" w:rsidRPr="002353E3">
        <w:rPr>
          <w:color w:val="000000" w:themeColor="text1"/>
          <w:sz w:val="20"/>
          <w:szCs w:val="20"/>
        </w:rPr>
        <w:t>2018</w:t>
      </w:r>
      <w:r w:rsidR="00FF41A0">
        <w:rPr>
          <w:color w:val="000000" w:themeColor="text1"/>
          <w:sz w:val="20"/>
          <w:szCs w:val="20"/>
        </w:rPr>
        <w:t xml:space="preserve"> </w:t>
      </w:r>
      <w:r w:rsidR="002353E3" w:rsidRPr="002353E3">
        <w:rPr>
          <w:color w:val="000000" w:themeColor="text1"/>
          <w:sz w:val="20"/>
          <w:szCs w:val="20"/>
        </w:rPr>
        <w:t>and</w:t>
      </w:r>
      <w:r w:rsidR="00FF41A0">
        <w:rPr>
          <w:color w:val="000000" w:themeColor="text1"/>
          <w:sz w:val="20"/>
          <w:szCs w:val="20"/>
        </w:rPr>
        <w:t xml:space="preserve"> </w:t>
      </w:r>
      <w:r w:rsidR="002353E3" w:rsidRPr="002353E3">
        <w:rPr>
          <w:color w:val="000000" w:themeColor="text1"/>
          <w:sz w:val="20"/>
          <w:szCs w:val="20"/>
        </w:rPr>
        <w:t>from</w:t>
      </w:r>
      <w:r w:rsidR="00FF41A0">
        <w:rPr>
          <w:color w:val="000000" w:themeColor="text1"/>
          <w:sz w:val="20"/>
          <w:szCs w:val="20"/>
        </w:rPr>
        <w:t xml:space="preserve"> </w:t>
      </w:r>
      <w:r w:rsidR="002353E3" w:rsidRPr="002353E3">
        <w:rPr>
          <w:color w:val="000000" w:themeColor="text1"/>
          <w:sz w:val="20"/>
          <w:szCs w:val="20"/>
        </w:rPr>
        <w:t>11</w:t>
      </w:r>
      <w:r w:rsidR="00FF41A0">
        <w:rPr>
          <w:color w:val="000000" w:themeColor="text1"/>
          <w:sz w:val="20"/>
          <w:szCs w:val="20"/>
        </w:rPr>
        <w:t xml:space="preserve"> </w:t>
      </w:r>
      <w:r w:rsidR="002353E3" w:rsidRPr="002353E3">
        <w:rPr>
          <w:color w:val="000000" w:themeColor="text1"/>
          <w:sz w:val="20"/>
          <w:szCs w:val="20"/>
        </w:rPr>
        <w:t>to</w:t>
      </w:r>
      <w:r w:rsidR="00FF41A0">
        <w:rPr>
          <w:color w:val="000000" w:themeColor="text1"/>
          <w:sz w:val="20"/>
          <w:szCs w:val="20"/>
        </w:rPr>
        <w:t xml:space="preserve"> </w:t>
      </w:r>
      <w:r w:rsidR="002353E3" w:rsidRPr="002353E3">
        <w:rPr>
          <w:color w:val="000000" w:themeColor="text1"/>
          <w:sz w:val="20"/>
          <w:szCs w:val="20"/>
        </w:rPr>
        <w:t>12</w:t>
      </w:r>
      <w:r w:rsidR="00FF41A0">
        <w:rPr>
          <w:color w:val="000000" w:themeColor="text1"/>
          <w:sz w:val="20"/>
          <w:szCs w:val="20"/>
        </w:rPr>
        <w:t xml:space="preserve"> </w:t>
      </w:r>
      <w:r w:rsidR="002353E3" w:rsidRPr="002353E3">
        <w:rPr>
          <w:color w:val="000000" w:themeColor="text1"/>
          <w:sz w:val="20"/>
          <w:szCs w:val="20"/>
        </w:rPr>
        <w:t>December</w:t>
      </w:r>
      <w:r w:rsidR="00FF41A0">
        <w:rPr>
          <w:color w:val="000000" w:themeColor="text1"/>
          <w:sz w:val="20"/>
          <w:szCs w:val="20"/>
        </w:rPr>
        <w:t xml:space="preserve"> </w:t>
      </w:r>
      <w:r w:rsidR="002353E3" w:rsidRPr="002353E3">
        <w:rPr>
          <w:color w:val="000000" w:themeColor="text1"/>
          <w:sz w:val="20"/>
          <w:szCs w:val="20"/>
        </w:rPr>
        <w:t>2018</w:t>
      </w:r>
      <w:r w:rsidR="00FF41A0">
        <w:rPr>
          <w:color w:val="000000" w:themeColor="text1"/>
          <w:sz w:val="20"/>
          <w:szCs w:val="20"/>
        </w:rPr>
        <w:t xml:space="preserve"> </w:t>
      </w:r>
      <w:r w:rsidR="0071313E" w:rsidRPr="002353E3">
        <w:rPr>
          <w:color w:val="000000" w:themeColor="text1"/>
          <w:sz w:val="20"/>
          <w:szCs w:val="20"/>
        </w:rPr>
        <w:t>(A/HRC/</w:t>
      </w:r>
      <w:r w:rsidR="002353E3" w:rsidRPr="002353E3">
        <w:rPr>
          <w:color w:val="000000" w:themeColor="text1"/>
          <w:sz w:val="20"/>
          <w:szCs w:val="20"/>
        </w:rPr>
        <w:t>40</w:t>
      </w:r>
      <w:r w:rsidR="0071313E" w:rsidRPr="002353E3">
        <w:rPr>
          <w:color w:val="000000" w:themeColor="text1"/>
          <w:sz w:val="20"/>
          <w:szCs w:val="20"/>
        </w:rPr>
        <w:t>/7</w:t>
      </w:r>
      <w:r w:rsidR="002353E3" w:rsidRPr="002353E3">
        <w:rPr>
          <w:color w:val="000000" w:themeColor="text1"/>
          <w:sz w:val="20"/>
          <w:szCs w:val="20"/>
        </w:rPr>
        <w:t>5</w:t>
      </w:r>
      <w:r w:rsidR="0071313E" w:rsidRPr="002353E3">
        <w:rPr>
          <w:color w:val="000000" w:themeColor="text1"/>
          <w:sz w:val="20"/>
          <w:szCs w:val="20"/>
        </w:rPr>
        <w:t>).</w:t>
      </w:r>
    </w:p>
    <w:p w14:paraId="2EA58DBB" w14:textId="58BB4BFD" w:rsidR="00F11B08" w:rsidRPr="00113DE2" w:rsidRDefault="00CF15B1" w:rsidP="00415787">
      <w:pPr>
        <w:pStyle w:val="SingleTxtG"/>
        <w:rPr>
          <w:color w:val="000000" w:themeColor="text1"/>
          <w:sz w:val="20"/>
          <w:szCs w:val="20"/>
        </w:rPr>
      </w:pPr>
      <w:r>
        <w:rPr>
          <w:color w:val="000000" w:themeColor="text1"/>
          <w:sz w:val="20"/>
          <w:szCs w:val="20"/>
        </w:rPr>
        <w:t>964</w:t>
      </w:r>
      <w:r w:rsidR="00817732" w:rsidRPr="007E13DD">
        <w:rPr>
          <w:color w:val="000000" w:themeColor="text1"/>
          <w:sz w:val="20"/>
          <w:szCs w:val="20"/>
        </w:rPr>
        <w:t>.</w:t>
      </w:r>
      <w:r w:rsidR="008551E4" w:rsidRPr="007E13DD">
        <w:rPr>
          <w:color w:val="000000" w:themeColor="text1"/>
          <w:sz w:val="20"/>
          <w:szCs w:val="20"/>
        </w:rPr>
        <w:tab/>
      </w:r>
      <w:r w:rsidR="00F11B08" w:rsidRPr="007E13DD">
        <w:rPr>
          <w:color w:val="000000" w:themeColor="text1"/>
          <w:sz w:val="20"/>
          <w:szCs w:val="20"/>
        </w:rPr>
        <w:t>At</w:t>
      </w:r>
      <w:r w:rsidR="00FF41A0">
        <w:rPr>
          <w:color w:val="000000" w:themeColor="text1"/>
          <w:sz w:val="20"/>
          <w:szCs w:val="20"/>
        </w:rPr>
        <w:t xml:space="preserve"> </w:t>
      </w:r>
      <w:r w:rsidR="002353E3">
        <w:rPr>
          <w:color w:val="000000" w:themeColor="text1"/>
          <w:sz w:val="20"/>
          <w:szCs w:val="20"/>
        </w:rPr>
        <w:t>its</w:t>
      </w:r>
      <w:r w:rsidR="00FF41A0">
        <w:rPr>
          <w:color w:val="000000" w:themeColor="text1"/>
          <w:sz w:val="20"/>
          <w:szCs w:val="20"/>
        </w:rPr>
        <w:t xml:space="preserve"> </w:t>
      </w:r>
      <w:r w:rsidR="00F11B08" w:rsidRPr="007E13DD">
        <w:rPr>
          <w:color w:val="000000" w:themeColor="text1"/>
          <w:sz w:val="20"/>
          <w:szCs w:val="20"/>
        </w:rPr>
        <w:t>4</w:t>
      </w:r>
      <w:r w:rsidR="007E13DD" w:rsidRPr="007E13DD">
        <w:rPr>
          <w:color w:val="000000" w:themeColor="text1"/>
          <w:sz w:val="20"/>
          <w:szCs w:val="20"/>
        </w:rPr>
        <w:t>4</w:t>
      </w:r>
      <w:r w:rsidR="00F11B08" w:rsidRPr="007E13DD">
        <w:rPr>
          <w:color w:val="000000" w:themeColor="text1"/>
          <w:sz w:val="20"/>
          <w:szCs w:val="20"/>
        </w:rPr>
        <w:t>th</w:t>
      </w:r>
      <w:r w:rsidR="00FF41A0">
        <w:rPr>
          <w:color w:val="000000" w:themeColor="text1"/>
          <w:sz w:val="20"/>
          <w:szCs w:val="20"/>
        </w:rPr>
        <w:t xml:space="preserve"> </w:t>
      </w:r>
      <w:r w:rsidR="001F292D" w:rsidRPr="007E13DD">
        <w:rPr>
          <w:color w:val="000000" w:themeColor="text1"/>
          <w:sz w:val="20"/>
          <w:szCs w:val="20"/>
        </w:rPr>
        <w:t>to</w:t>
      </w:r>
      <w:r w:rsidR="00FF41A0">
        <w:rPr>
          <w:color w:val="000000" w:themeColor="text1"/>
          <w:sz w:val="20"/>
          <w:szCs w:val="20"/>
        </w:rPr>
        <w:t xml:space="preserve"> </w:t>
      </w:r>
      <w:r w:rsidR="001F292D" w:rsidRPr="007E13DD">
        <w:rPr>
          <w:color w:val="000000" w:themeColor="text1"/>
          <w:sz w:val="20"/>
          <w:szCs w:val="20"/>
        </w:rPr>
        <w:t>4</w:t>
      </w:r>
      <w:r w:rsidR="007E13DD" w:rsidRPr="007E13DD">
        <w:rPr>
          <w:color w:val="000000" w:themeColor="text1"/>
          <w:sz w:val="20"/>
          <w:szCs w:val="20"/>
        </w:rPr>
        <w:t>5</w:t>
      </w:r>
      <w:r w:rsidR="001F292D" w:rsidRPr="007E13DD">
        <w:rPr>
          <w:color w:val="000000" w:themeColor="text1"/>
          <w:sz w:val="20"/>
          <w:szCs w:val="20"/>
        </w:rPr>
        <w:t>th</w:t>
      </w:r>
      <w:r w:rsidR="00FF41A0">
        <w:rPr>
          <w:color w:val="000000" w:themeColor="text1"/>
          <w:sz w:val="20"/>
          <w:szCs w:val="20"/>
        </w:rPr>
        <w:t xml:space="preserve"> </w:t>
      </w:r>
      <w:r w:rsidR="00F11B08" w:rsidRPr="007E13DD">
        <w:rPr>
          <w:color w:val="000000" w:themeColor="text1"/>
          <w:sz w:val="20"/>
          <w:szCs w:val="20"/>
        </w:rPr>
        <w:t>meeting</w:t>
      </w:r>
      <w:r w:rsidR="002353E3">
        <w:rPr>
          <w:color w:val="000000" w:themeColor="text1"/>
          <w:sz w:val="20"/>
          <w:szCs w:val="20"/>
        </w:rPr>
        <w:t>s</w:t>
      </w:r>
      <w:r w:rsidR="00F11B08" w:rsidRPr="007E13DD">
        <w:rPr>
          <w:color w:val="000000" w:themeColor="text1"/>
          <w:sz w:val="20"/>
          <w:szCs w:val="20"/>
        </w:rPr>
        <w:t>,</w:t>
      </w:r>
      <w:r w:rsidR="00FF41A0">
        <w:rPr>
          <w:color w:val="000000" w:themeColor="text1"/>
          <w:sz w:val="20"/>
          <w:szCs w:val="20"/>
        </w:rPr>
        <w:t xml:space="preserve"> </w:t>
      </w:r>
      <w:r w:rsidR="00F11B08" w:rsidRPr="007E13DD">
        <w:rPr>
          <w:color w:val="000000" w:themeColor="text1"/>
          <w:sz w:val="20"/>
          <w:szCs w:val="20"/>
        </w:rPr>
        <w:t>on</w:t>
      </w:r>
      <w:r w:rsidR="00FF41A0">
        <w:rPr>
          <w:color w:val="000000" w:themeColor="text1"/>
          <w:sz w:val="20"/>
          <w:szCs w:val="20"/>
        </w:rPr>
        <w:t xml:space="preserve"> </w:t>
      </w:r>
      <w:r w:rsidR="007E13DD" w:rsidRPr="007E13DD">
        <w:rPr>
          <w:color w:val="000000" w:themeColor="text1"/>
          <w:sz w:val="20"/>
          <w:szCs w:val="20"/>
        </w:rPr>
        <w:t>19</w:t>
      </w:r>
      <w:r w:rsidR="00FF41A0">
        <w:rPr>
          <w:color w:val="000000" w:themeColor="text1"/>
          <w:sz w:val="20"/>
          <w:szCs w:val="20"/>
        </w:rPr>
        <w:t xml:space="preserve"> </w:t>
      </w:r>
      <w:r w:rsidR="00F11B08" w:rsidRPr="007E13DD">
        <w:rPr>
          <w:color w:val="000000" w:themeColor="text1"/>
          <w:sz w:val="20"/>
          <w:szCs w:val="20"/>
        </w:rPr>
        <w:t>March</w:t>
      </w:r>
      <w:r w:rsidR="00FF41A0">
        <w:rPr>
          <w:color w:val="000000" w:themeColor="text1"/>
          <w:sz w:val="20"/>
          <w:szCs w:val="20"/>
        </w:rPr>
        <w:t xml:space="preserve"> </w:t>
      </w:r>
      <w:r w:rsidR="00141AFC" w:rsidRPr="007E13DD">
        <w:rPr>
          <w:color w:val="000000" w:themeColor="text1"/>
          <w:sz w:val="20"/>
          <w:szCs w:val="20"/>
        </w:rPr>
        <w:t>2019</w:t>
      </w:r>
      <w:r w:rsidR="00F11B08" w:rsidRPr="007E13DD">
        <w:rPr>
          <w:color w:val="000000" w:themeColor="text1"/>
          <w:sz w:val="20"/>
          <w:szCs w:val="20"/>
        </w:rPr>
        <w:t>,</w:t>
      </w:r>
      <w:r w:rsidR="00FF41A0">
        <w:rPr>
          <w:color w:val="000000" w:themeColor="text1"/>
          <w:sz w:val="20"/>
          <w:szCs w:val="20"/>
        </w:rPr>
        <w:t xml:space="preserve"> </w:t>
      </w:r>
      <w:r w:rsidR="001F292D" w:rsidRPr="007E13DD">
        <w:rPr>
          <w:color w:val="000000" w:themeColor="text1"/>
          <w:sz w:val="20"/>
          <w:szCs w:val="20"/>
        </w:rPr>
        <w:t>t</w:t>
      </w:r>
      <w:r w:rsidR="00F11B08" w:rsidRPr="007E13DD">
        <w:rPr>
          <w:color w:val="000000" w:themeColor="text1"/>
          <w:sz w:val="20"/>
          <w:szCs w:val="20"/>
        </w:rPr>
        <w:t>he</w:t>
      </w:r>
      <w:r w:rsidR="00FF41A0">
        <w:rPr>
          <w:color w:val="000000" w:themeColor="text1"/>
          <w:sz w:val="20"/>
          <w:szCs w:val="20"/>
        </w:rPr>
        <w:t xml:space="preserve"> </w:t>
      </w:r>
      <w:r w:rsidR="00F11B08" w:rsidRPr="007E13DD">
        <w:rPr>
          <w:color w:val="000000" w:themeColor="text1"/>
          <w:sz w:val="20"/>
          <w:szCs w:val="20"/>
        </w:rPr>
        <w:t>Council</w:t>
      </w:r>
      <w:r w:rsidR="00FF41A0">
        <w:rPr>
          <w:color w:val="000000" w:themeColor="text1"/>
          <w:sz w:val="20"/>
          <w:szCs w:val="20"/>
        </w:rPr>
        <w:t xml:space="preserve"> </w:t>
      </w:r>
      <w:r w:rsidR="00F11B08" w:rsidRPr="007E13DD">
        <w:rPr>
          <w:color w:val="000000" w:themeColor="text1"/>
          <w:sz w:val="20"/>
          <w:szCs w:val="20"/>
        </w:rPr>
        <w:t>held</w:t>
      </w:r>
      <w:r w:rsidR="00FF41A0">
        <w:rPr>
          <w:color w:val="000000" w:themeColor="text1"/>
          <w:sz w:val="20"/>
          <w:szCs w:val="20"/>
        </w:rPr>
        <w:t xml:space="preserve"> </w:t>
      </w:r>
      <w:r w:rsidR="00F11B08" w:rsidRPr="007E13DD">
        <w:rPr>
          <w:color w:val="000000" w:themeColor="text1"/>
          <w:sz w:val="20"/>
          <w:szCs w:val="20"/>
        </w:rPr>
        <w:t>a</w:t>
      </w:r>
      <w:r w:rsidR="00FF41A0">
        <w:rPr>
          <w:color w:val="000000" w:themeColor="text1"/>
          <w:sz w:val="20"/>
          <w:szCs w:val="20"/>
        </w:rPr>
        <w:t xml:space="preserve"> </w:t>
      </w:r>
      <w:r w:rsidR="00F11B08" w:rsidRPr="007E13DD">
        <w:rPr>
          <w:color w:val="000000" w:themeColor="text1"/>
          <w:sz w:val="20"/>
          <w:szCs w:val="20"/>
        </w:rPr>
        <w:t>general</w:t>
      </w:r>
      <w:r w:rsidR="00FF41A0">
        <w:rPr>
          <w:color w:val="000000" w:themeColor="text1"/>
          <w:sz w:val="20"/>
          <w:szCs w:val="20"/>
        </w:rPr>
        <w:t xml:space="preserve"> </w:t>
      </w:r>
      <w:r w:rsidR="00F11B08" w:rsidRPr="007E13DD">
        <w:rPr>
          <w:color w:val="000000" w:themeColor="text1"/>
          <w:sz w:val="20"/>
          <w:szCs w:val="20"/>
        </w:rPr>
        <w:t>debate</w:t>
      </w:r>
      <w:r w:rsidR="00FF41A0">
        <w:rPr>
          <w:color w:val="000000" w:themeColor="text1"/>
          <w:sz w:val="20"/>
          <w:szCs w:val="20"/>
        </w:rPr>
        <w:t xml:space="preserve"> </w:t>
      </w:r>
      <w:r w:rsidR="00F11B08" w:rsidRPr="007E13DD">
        <w:rPr>
          <w:color w:val="000000" w:themeColor="text1"/>
          <w:sz w:val="20"/>
          <w:szCs w:val="20"/>
        </w:rPr>
        <w:t>on</w:t>
      </w:r>
      <w:r w:rsidR="00FF41A0">
        <w:rPr>
          <w:color w:val="000000" w:themeColor="text1"/>
          <w:sz w:val="20"/>
          <w:szCs w:val="20"/>
        </w:rPr>
        <w:t xml:space="preserve"> </w:t>
      </w:r>
      <w:r w:rsidR="00F11B08" w:rsidRPr="007E13DD">
        <w:rPr>
          <w:color w:val="000000" w:themeColor="text1"/>
          <w:sz w:val="20"/>
          <w:szCs w:val="20"/>
        </w:rPr>
        <w:t>agenda</w:t>
      </w:r>
      <w:r w:rsidR="00FF41A0">
        <w:rPr>
          <w:color w:val="000000" w:themeColor="text1"/>
          <w:sz w:val="20"/>
          <w:szCs w:val="20"/>
        </w:rPr>
        <w:t xml:space="preserve"> </w:t>
      </w:r>
      <w:r w:rsidR="00F11B08" w:rsidRPr="007E13DD">
        <w:rPr>
          <w:color w:val="000000" w:themeColor="text1"/>
          <w:sz w:val="20"/>
          <w:szCs w:val="20"/>
        </w:rPr>
        <w:t>item</w:t>
      </w:r>
      <w:r w:rsidR="00FF41A0">
        <w:rPr>
          <w:color w:val="000000" w:themeColor="text1"/>
          <w:sz w:val="20"/>
          <w:szCs w:val="20"/>
        </w:rPr>
        <w:t xml:space="preserve"> </w:t>
      </w:r>
      <w:r w:rsidR="00F11B08" w:rsidRPr="007E13DD">
        <w:rPr>
          <w:color w:val="000000" w:themeColor="text1"/>
          <w:sz w:val="20"/>
          <w:szCs w:val="20"/>
        </w:rPr>
        <w:t>9,</w:t>
      </w:r>
      <w:r w:rsidR="00FF41A0">
        <w:rPr>
          <w:color w:val="000000" w:themeColor="text1"/>
          <w:sz w:val="20"/>
          <w:szCs w:val="20"/>
        </w:rPr>
        <w:t xml:space="preserve"> </w:t>
      </w:r>
      <w:r w:rsidR="00F11B08" w:rsidRPr="007E13DD">
        <w:rPr>
          <w:color w:val="000000" w:themeColor="text1"/>
          <w:sz w:val="20"/>
          <w:szCs w:val="20"/>
        </w:rPr>
        <w:t>during</w:t>
      </w:r>
      <w:r w:rsidR="00FF41A0">
        <w:rPr>
          <w:color w:val="000000" w:themeColor="text1"/>
          <w:sz w:val="20"/>
          <w:szCs w:val="20"/>
        </w:rPr>
        <w:t xml:space="preserve"> </w:t>
      </w:r>
      <w:r w:rsidR="00F11B08" w:rsidRPr="007E13DD">
        <w:rPr>
          <w:color w:val="000000" w:themeColor="text1"/>
          <w:sz w:val="20"/>
          <w:szCs w:val="20"/>
        </w:rPr>
        <w:t>which</w:t>
      </w:r>
      <w:r w:rsidR="00FF41A0">
        <w:rPr>
          <w:color w:val="000000" w:themeColor="text1"/>
          <w:sz w:val="20"/>
          <w:szCs w:val="20"/>
        </w:rPr>
        <w:t xml:space="preserve"> </w:t>
      </w:r>
      <w:r w:rsidR="00F11B08" w:rsidRPr="007E13DD">
        <w:rPr>
          <w:color w:val="000000" w:themeColor="text1"/>
          <w:sz w:val="20"/>
          <w:szCs w:val="20"/>
        </w:rPr>
        <w:t>the</w:t>
      </w:r>
      <w:r w:rsidR="00FF41A0">
        <w:rPr>
          <w:color w:val="000000" w:themeColor="text1"/>
          <w:sz w:val="20"/>
          <w:szCs w:val="20"/>
        </w:rPr>
        <w:t xml:space="preserve"> </w:t>
      </w:r>
      <w:r w:rsidR="00F11B08" w:rsidRPr="007E13DD">
        <w:rPr>
          <w:color w:val="000000" w:themeColor="text1"/>
          <w:sz w:val="20"/>
          <w:szCs w:val="20"/>
        </w:rPr>
        <w:t>following</w:t>
      </w:r>
      <w:r w:rsidR="00FF41A0">
        <w:rPr>
          <w:color w:val="000000" w:themeColor="text1"/>
          <w:sz w:val="20"/>
          <w:szCs w:val="20"/>
        </w:rPr>
        <w:t xml:space="preserve"> </w:t>
      </w:r>
      <w:r w:rsidR="00F11B08" w:rsidRPr="007E13DD">
        <w:rPr>
          <w:color w:val="000000" w:themeColor="text1"/>
          <w:sz w:val="20"/>
          <w:szCs w:val="20"/>
        </w:rPr>
        <w:t>made</w:t>
      </w:r>
      <w:r w:rsidR="00FF41A0">
        <w:rPr>
          <w:color w:val="000000" w:themeColor="text1"/>
          <w:sz w:val="20"/>
          <w:szCs w:val="20"/>
        </w:rPr>
        <w:t xml:space="preserve"> </w:t>
      </w:r>
      <w:r w:rsidR="00F11B08" w:rsidRPr="007E13DD">
        <w:rPr>
          <w:color w:val="000000" w:themeColor="text1"/>
          <w:sz w:val="20"/>
          <w:szCs w:val="20"/>
        </w:rPr>
        <w:t>statements:</w:t>
      </w:r>
    </w:p>
    <w:p w14:paraId="3B78F11C" w14:textId="26542178" w:rsidR="008E3D07" w:rsidRPr="00113DE2" w:rsidRDefault="00F11B08" w:rsidP="007E13DD">
      <w:pPr>
        <w:pStyle w:val="SingleTxtG"/>
        <w:tabs>
          <w:tab w:val="left" w:pos="2086"/>
        </w:tabs>
        <w:ind w:firstLine="567"/>
        <w:rPr>
          <w:color w:val="000000" w:themeColor="text1"/>
          <w:sz w:val="20"/>
          <w:szCs w:val="20"/>
        </w:rPr>
      </w:pPr>
      <w:r w:rsidRPr="00113DE2">
        <w:rPr>
          <w:color w:val="000000" w:themeColor="text1"/>
          <w:sz w:val="20"/>
          <w:szCs w:val="20"/>
        </w:rPr>
        <w:t>(a)</w:t>
      </w:r>
      <w:r w:rsidR="007E13DD">
        <w:rPr>
          <w:color w:val="000000" w:themeColor="text1"/>
          <w:sz w:val="20"/>
          <w:szCs w:val="20"/>
        </w:rPr>
        <w:tab/>
      </w:r>
      <w:r w:rsidRPr="00113DE2">
        <w:rPr>
          <w:color w:val="000000" w:themeColor="text1"/>
          <w:sz w:val="20"/>
          <w:szCs w:val="20"/>
        </w:rPr>
        <w:t>Representatives</w:t>
      </w:r>
      <w:r w:rsidR="00FF41A0">
        <w:rPr>
          <w:color w:val="000000" w:themeColor="text1"/>
          <w:sz w:val="20"/>
          <w:szCs w:val="20"/>
        </w:rPr>
        <w:t xml:space="preserve"> </w:t>
      </w:r>
      <w:r w:rsidRPr="00113DE2">
        <w:rPr>
          <w:color w:val="000000" w:themeColor="text1"/>
          <w:sz w:val="20"/>
          <w:szCs w:val="20"/>
        </w:rPr>
        <w:t>of</w:t>
      </w:r>
      <w:r w:rsidR="00FF41A0">
        <w:rPr>
          <w:color w:val="000000" w:themeColor="text1"/>
          <w:sz w:val="20"/>
          <w:szCs w:val="20"/>
        </w:rPr>
        <w:t xml:space="preserve"> </w:t>
      </w:r>
      <w:r w:rsidR="005D3E5F">
        <w:rPr>
          <w:color w:val="000000" w:themeColor="text1"/>
          <w:sz w:val="20"/>
          <w:szCs w:val="20"/>
        </w:rPr>
        <w:t>States</w:t>
      </w:r>
      <w:r w:rsidR="00FF41A0">
        <w:rPr>
          <w:color w:val="000000" w:themeColor="text1"/>
          <w:sz w:val="20"/>
          <w:szCs w:val="20"/>
        </w:rPr>
        <w:t xml:space="preserve"> </w:t>
      </w:r>
      <w:r w:rsidR="005D3E5F">
        <w:rPr>
          <w:color w:val="000000" w:themeColor="text1"/>
          <w:sz w:val="20"/>
          <w:szCs w:val="20"/>
        </w:rPr>
        <w:t>Members</w:t>
      </w:r>
      <w:r w:rsidR="00FF41A0">
        <w:rPr>
          <w:color w:val="000000" w:themeColor="text1"/>
          <w:sz w:val="20"/>
          <w:szCs w:val="20"/>
        </w:rPr>
        <w:t xml:space="preserve"> </w:t>
      </w:r>
      <w:r w:rsidRPr="00113DE2">
        <w:rPr>
          <w:color w:val="000000" w:themeColor="text1"/>
          <w:sz w:val="20"/>
          <w:szCs w:val="20"/>
        </w:rPr>
        <w:t>of</w:t>
      </w:r>
      <w:r w:rsidR="00FF41A0">
        <w:rPr>
          <w:color w:val="000000" w:themeColor="text1"/>
          <w:sz w:val="20"/>
          <w:szCs w:val="20"/>
        </w:rPr>
        <w:t xml:space="preserve"> </w:t>
      </w:r>
      <w:r w:rsidRPr="00113DE2">
        <w:rPr>
          <w:color w:val="000000" w:themeColor="text1"/>
          <w:sz w:val="20"/>
          <w:szCs w:val="20"/>
        </w:rPr>
        <w:t>the</w:t>
      </w:r>
      <w:r w:rsidR="00FF41A0">
        <w:rPr>
          <w:color w:val="000000" w:themeColor="text1"/>
          <w:sz w:val="20"/>
          <w:szCs w:val="20"/>
        </w:rPr>
        <w:t xml:space="preserve"> </w:t>
      </w:r>
      <w:r w:rsidRPr="00113DE2">
        <w:rPr>
          <w:color w:val="000000" w:themeColor="text1"/>
          <w:sz w:val="20"/>
          <w:szCs w:val="20"/>
        </w:rPr>
        <w:t>Human</w:t>
      </w:r>
      <w:r w:rsidR="00FF41A0">
        <w:rPr>
          <w:color w:val="000000" w:themeColor="text1"/>
          <w:sz w:val="20"/>
          <w:szCs w:val="20"/>
        </w:rPr>
        <w:t xml:space="preserve"> </w:t>
      </w:r>
      <w:r w:rsidRPr="00113DE2">
        <w:rPr>
          <w:color w:val="000000" w:themeColor="text1"/>
          <w:sz w:val="20"/>
          <w:szCs w:val="20"/>
        </w:rPr>
        <w:t>Rights</w:t>
      </w:r>
      <w:r w:rsidR="00FF41A0">
        <w:rPr>
          <w:color w:val="000000" w:themeColor="text1"/>
          <w:sz w:val="20"/>
          <w:szCs w:val="20"/>
        </w:rPr>
        <w:t xml:space="preserve"> </w:t>
      </w:r>
      <w:r w:rsidRPr="00113DE2">
        <w:rPr>
          <w:color w:val="000000" w:themeColor="text1"/>
          <w:sz w:val="20"/>
          <w:szCs w:val="20"/>
        </w:rPr>
        <w:t>Council:</w:t>
      </w:r>
      <w:r w:rsidR="00FF41A0">
        <w:rPr>
          <w:color w:val="000000" w:themeColor="text1"/>
          <w:sz w:val="20"/>
          <w:szCs w:val="20"/>
        </w:rPr>
        <w:t xml:space="preserve"> </w:t>
      </w:r>
      <w:r w:rsidR="0071217D" w:rsidRPr="007E13DD">
        <w:rPr>
          <w:color w:val="000000" w:themeColor="text1"/>
          <w:sz w:val="20"/>
          <w:szCs w:val="20"/>
        </w:rPr>
        <w:t>Angola</w:t>
      </w:r>
      <w:r w:rsidR="00FF41A0">
        <w:rPr>
          <w:color w:val="000000" w:themeColor="text1"/>
          <w:sz w:val="20"/>
          <w:szCs w:val="20"/>
        </w:rPr>
        <w:t xml:space="preserve"> </w:t>
      </w:r>
      <w:r w:rsidR="0071217D">
        <w:rPr>
          <w:color w:val="000000" w:themeColor="text1"/>
          <w:sz w:val="20"/>
          <w:szCs w:val="20"/>
        </w:rPr>
        <w:t>(</w:t>
      </w:r>
      <w:r w:rsidR="0071217D" w:rsidRPr="007E13DD">
        <w:rPr>
          <w:color w:val="000000" w:themeColor="text1"/>
          <w:sz w:val="20"/>
          <w:szCs w:val="20"/>
        </w:rPr>
        <w:t>on</w:t>
      </w:r>
      <w:r w:rsidR="00FF41A0">
        <w:rPr>
          <w:color w:val="000000" w:themeColor="text1"/>
          <w:sz w:val="20"/>
          <w:szCs w:val="20"/>
        </w:rPr>
        <w:t xml:space="preserve"> </w:t>
      </w:r>
      <w:r w:rsidR="0071217D" w:rsidRPr="007E13DD">
        <w:rPr>
          <w:color w:val="000000" w:themeColor="text1"/>
          <w:sz w:val="20"/>
          <w:szCs w:val="20"/>
        </w:rPr>
        <w:t>behalf</w:t>
      </w:r>
      <w:r w:rsidR="00FF41A0">
        <w:rPr>
          <w:color w:val="000000" w:themeColor="text1"/>
          <w:sz w:val="20"/>
          <w:szCs w:val="20"/>
        </w:rPr>
        <w:t xml:space="preserve"> </w:t>
      </w:r>
      <w:r w:rsidR="0071217D" w:rsidRPr="007E13DD">
        <w:rPr>
          <w:color w:val="000000" w:themeColor="text1"/>
          <w:sz w:val="20"/>
          <w:szCs w:val="20"/>
        </w:rPr>
        <w:t>of</w:t>
      </w:r>
      <w:r w:rsidR="00FF41A0">
        <w:rPr>
          <w:color w:val="000000" w:themeColor="text1"/>
          <w:sz w:val="20"/>
          <w:szCs w:val="20"/>
        </w:rPr>
        <w:t xml:space="preserve"> </w:t>
      </w:r>
      <w:r w:rsidR="0071217D" w:rsidRPr="007E13DD">
        <w:rPr>
          <w:color w:val="000000" w:themeColor="text1"/>
          <w:sz w:val="20"/>
          <w:szCs w:val="20"/>
        </w:rPr>
        <w:t>the</w:t>
      </w:r>
      <w:r w:rsidR="00FF41A0">
        <w:rPr>
          <w:color w:val="000000" w:themeColor="text1"/>
          <w:sz w:val="20"/>
          <w:szCs w:val="20"/>
        </w:rPr>
        <w:t xml:space="preserve"> </w:t>
      </w:r>
      <w:r w:rsidR="0071217D" w:rsidRPr="007E13DD">
        <w:rPr>
          <w:color w:val="000000" w:themeColor="text1"/>
          <w:sz w:val="20"/>
          <w:szCs w:val="20"/>
        </w:rPr>
        <w:t>Group</w:t>
      </w:r>
      <w:r w:rsidR="00FF41A0">
        <w:rPr>
          <w:color w:val="000000" w:themeColor="text1"/>
          <w:sz w:val="20"/>
          <w:szCs w:val="20"/>
        </w:rPr>
        <w:t xml:space="preserve"> </w:t>
      </w:r>
      <w:r w:rsidR="0071217D">
        <w:rPr>
          <w:color w:val="000000" w:themeColor="text1"/>
          <w:sz w:val="20"/>
          <w:szCs w:val="20"/>
        </w:rPr>
        <w:t>of</w:t>
      </w:r>
      <w:r w:rsidR="00FF41A0">
        <w:rPr>
          <w:color w:val="000000" w:themeColor="text1"/>
          <w:sz w:val="20"/>
          <w:szCs w:val="20"/>
        </w:rPr>
        <w:t xml:space="preserve"> </w:t>
      </w:r>
      <w:r w:rsidR="0071217D" w:rsidRPr="007E13DD">
        <w:rPr>
          <w:color w:val="000000" w:themeColor="text1"/>
          <w:sz w:val="20"/>
          <w:szCs w:val="20"/>
        </w:rPr>
        <w:t>African</w:t>
      </w:r>
      <w:r w:rsidR="00FF41A0">
        <w:rPr>
          <w:color w:val="000000" w:themeColor="text1"/>
          <w:sz w:val="20"/>
          <w:szCs w:val="20"/>
        </w:rPr>
        <w:t xml:space="preserve"> </w:t>
      </w:r>
      <w:r w:rsidR="0071217D">
        <w:rPr>
          <w:color w:val="000000" w:themeColor="text1"/>
          <w:sz w:val="20"/>
          <w:szCs w:val="20"/>
        </w:rPr>
        <w:t>States),</w:t>
      </w:r>
      <w:r w:rsidR="00FF41A0">
        <w:rPr>
          <w:color w:val="000000" w:themeColor="text1"/>
          <w:sz w:val="20"/>
          <w:szCs w:val="20"/>
        </w:rPr>
        <w:t xml:space="preserve"> </w:t>
      </w:r>
      <w:r w:rsidR="0071217D" w:rsidRPr="0071217D">
        <w:rPr>
          <w:color w:val="000000" w:themeColor="text1"/>
          <w:sz w:val="20"/>
          <w:szCs w:val="20"/>
        </w:rPr>
        <w:t>Bahrain</w:t>
      </w:r>
      <w:r w:rsidR="00FF41A0">
        <w:rPr>
          <w:color w:val="000000" w:themeColor="text1"/>
          <w:sz w:val="20"/>
          <w:szCs w:val="20"/>
        </w:rPr>
        <w:t xml:space="preserve"> </w:t>
      </w:r>
      <w:r w:rsidR="0071217D">
        <w:rPr>
          <w:color w:val="000000" w:themeColor="text1"/>
          <w:sz w:val="20"/>
          <w:szCs w:val="20"/>
        </w:rPr>
        <w:t>(also</w:t>
      </w:r>
      <w:r w:rsidR="00FF41A0">
        <w:rPr>
          <w:color w:val="000000" w:themeColor="text1"/>
          <w:sz w:val="20"/>
          <w:szCs w:val="20"/>
        </w:rPr>
        <w:t xml:space="preserve"> </w:t>
      </w:r>
      <w:r w:rsidR="0071217D" w:rsidRPr="007E13DD">
        <w:rPr>
          <w:color w:val="000000" w:themeColor="text1"/>
          <w:sz w:val="20"/>
          <w:szCs w:val="20"/>
        </w:rPr>
        <w:t>on</w:t>
      </w:r>
      <w:r w:rsidR="00FF41A0">
        <w:rPr>
          <w:color w:val="000000" w:themeColor="text1"/>
          <w:sz w:val="20"/>
          <w:szCs w:val="20"/>
        </w:rPr>
        <w:t xml:space="preserve"> </w:t>
      </w:r>
      <w:r w:rsidR="0071217D" w:rsidRPr="007E13DD">
        <w:rPr>
          <w:color w:val="000000" w:themeColor="text1"/>
          <w:sz w:val="20"/>
          <w:szCs w:val="20"/>
        </w:rPr>
        <w:t>behalf</w:t>
      </w:r>
      <w:r w:rsidR="00FF41A0">
        <w:rPr>
          <w:color w:val="000000" w:themeColor="text1"/>
          <w:sz w:val="20"/>
          <w:szCs w:val="20"/>
        </w:rPr>
        <w:t xml:space="preserve"> </w:t>
      </w:r>
      <w:r w:rsidR="0071217D" w:rsidRPr="007E13DD">
        <w:rPr>
          <w:color w:val="000000" w:themeColor="text1"/>
          <w:sz w:val="20"/>
          <w:szCs w:val="20"/>
        </w:rPr>
        <w:t>of</w:t>
      </w:r>
      <w:r w:rsidR="00FF41A0">
        <w:rPr>
          <w:color w:val="000000" w:themeColor="text1"/>
          <w:sz w:val="20"/>
          <w:szCs w:val="20"/>
        </w:rPr>
        <w:t xml:space="preserve"> </w:t>
      </w:r>
      <w:r w:rsidR="0071217D" w:rsidRPr="007E13DD">
        <w:rPr>
          <w:color w:val="000000" w:themeColor="text1"/>
          <w:sz w:val="20"/>
          <w:szCs w:val="20"/>
        </w:rPr>
        <w:t>the</w:t>
      </w:r>
      <w:r w:rsidR="00FF41A0">
        <w:rPr>
          <w:color w:val="000000" w:themeColor="text1"/>
          <w:sz w:val="20"/>
          <w:szCs w:val="20"/>
        </w:rPr>
        <w:t xml:space="preserve"> </w:t>
      </w:r>
      <w:r w:rsidR="0071217D" w:rsidRPr="007E13DD">
        <w:rPr>
          <w:color w:val="000000" w:themeColor="text1"/>
          <w:sz w:val="20"/>
          <w:szCs w:val="20"/>
        </w:rPr>
        <w:t>Group</w:t>
      </w:r>
      <w:r w:rsidR="00FF41A0">
        <w:rPr>
          <w:color w:val="000000" w:themeColor="text1"/>
          <w:sz w:val="20"/>
          <w:szCs w:val="20"/>
        </w:rPr>
        <w:t xml:space="preserve"> </w:t>
      </w:r>
      <w:r w:rsidR="0071217D">
        <w:rPr>
          <w:color w:val="000000" w:themeColor="text1"/>
          <w:sz w:val="20"/>
          <w:szCs w:val="20"/>
        </w:rPr>
        <w:t>of</w:t>
      </w:r>
      <w:r w:rsidR="00FF41A0">
        <w:rPr>
          <w:color w:val="000000" w:themeColor="text1"/>
          <w:sz w:val="20"/>
          <w:szCs w:val="20"/>
        </w:rPr>
        <w:t xml:space="preserve"> </w:t>
      </w:r>
      <w:r w:rsidR="0071217D" w:rsidRPr="007E13DD">
        <w:rPr>
          <w:color w:val="000000" w:themeColor="text1"/>
          <w:sz w:val="20"/>
          <w:szCs w:val="20"/>
        </w:rPr>
        <w:t>Arab</w:t>
      </w:r>
      <w:r w:rsidR="00FF41A0">
        <w:rPr>
          <w:color w:val="000000" w:themeColor="text1"/>
          <w:sz w:val="20"/>
          <w:szCs w:val="20"/>
        </w:rPr>
        <w:t xml:space="preserve"> </w:t>
      </w:r>
      <w:r w:rsidR="0071217D">
        <w:rPr>
          <w:color w:val="000000" w:themeColor="text1"/>
          <w:sz w:val="20"/>
          <w:szCs w:val="20"/>
        </w:rPr>
        <w:t>States),</w:t>
      </w:r>
      <w:r w:rsidR="00FF41A0">
        <w:rPr>
          <w:color w:val="000000" w:themeColor="text1"/>
          <w:sz w:val="20"/>
          <w:szCs w:val="20"/>
        </w:rPr>
        <w:t xml:space="preserve"> </w:t>
      </w:r>
      <w:r w:rsidR="0071217D" w:rsidRPr="0071217D">
        <w:rPr>
          <w:color w:val="000000" w:themeColor="text1"/>
          <w:sz w:val="20"/>
          <w:szCs w:val="20"/>
        </w:rPr>
        <w:t>Bangladesh</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Brazil</w:t>
      </w:r>
      <w:r w:rsidR="0071217D">
        <w:rPr>
          <w:color w:val="000000" w:themeColor="text1"/>
          <w:sz w:val="20"/>
          <w:szCs w:val="20"/>
        </w:rPr>
        <w:t>,</w:t>
      </w:r>
      <w:r w:rsidR="00FF41A0">
        <w:rPr>
          <w:color w:val="000000" w:themeColor="text1"/>
          <w:sz w:val="20"/>
          <w:szCs w:val="20"/>
        </w:rPr>
        <w:t xml:space="preserve"> </w:t>
      </w:r>
      <w:r w:rsidR="0071217D" w:rsidRPr="007E13DD">
        <w:rPr>
          <w:color w:val="000000" w:themeColor="text1"/>
          <w:sz w:val="20"/>
          <w:szCs w:val="20"/>
        </w:rPr>
        <w:t>Brazil</w:t>
      </w:r>
      <w:r w:rsidR="00FF41A0">
        <w:rPr>
          <w:color w:val="000000" w:themeColor="text1"/>
          <w:sz w:val="20"/>
          <w:szCs w:val="20"/>
        </w:rPr>
        <w:t xml:space="preserve"> </w:t>
      </w:r>
      <w:r w:rsidR="0071217D">
        <w:rPr>
          <w:color w:val="000000" w:themeColor="text1"/>
          <w:sz w:val="20"/>
          <w:szCs w:val="20"/>
        </w:rPr>
        <w:t>(also</w:t>
      </w:r>
      <w:r w:rsidR="00FF41A0">
        <w:rPr>
          <w:color w:val="000000" w:themeColor="text1"/>
          <w:sz w:val="20"/>
          <w:szCs w:val="20"/>
        </w:rPr>
        <w:t xml:space="preserve"> </w:t>
      </w:r>
      <w:r w:rsidR="0071217D">
        <w:rPr>
          <w:color w:val="000000" w:themeColor="text1"/>
          <w:sz w:val="20"/>
          <w:szCs w:val="20"/>
        </w:rPr>
        <w:t>on</w:t>
      </w:r>
      <w:r w:rsidR="00FF41A0">
        <w:rPr>
          <w:color w:val="000000" w:themeColor="text1"/>
          <w:sz w:val="20"/>
          <w:szCs w:val="20"/>
        </w:rPr>
        <w:t xml:space="preserve"> </w:t>
      </w:r>
      <w:r w:rsidR="0071217D">
        <w:rPr>
          <w:color w:val="000000" w:themeColor="text1"/>
          <w:sz w:val="20"/>
          <w:szCs w:val="20"/>
        </w:rPr>
        <w:t>behalf</w:t>
      </w:r>
      <w:r w:rsidR="00FF41A0">
        <w:rPr>
          <w:color w:val="000000" w:themeColor="text1"/>
          <w:sz w:val="20"/>
          <w:szCs w:val="20"/>
        </w:rPr>
        <w:t xml:space="preserve"> </w:t>
      </w:r>
      <w:r w:rsidR="0071217D">
        <w:rPr>
          <w:color w:val="000000" w:themeColor="text1"/>
          <w:sz w:val="20"/>
          <w:szCs w:val="20"/>
        </w:rPr>
        <w:t>of</w:t>
      </w:r>
      <w:r w:rsidR="00FF41A0">
        <w:rPr>
          <w:color w:val="000000" w:themeColor="text1"/>
          <w:sz w:val="20"/>
          <w:szCs w:val="20"/>
        </w:rPr>
        <w:t xml:space="preserve"> </w:t>
      </w:r>
      <w:r w:rsidR="0071217D">
        <w:rPr>
          <w:color w:val="000000" w:themeColor="text1"/>
          <w:sz w:val="20"/>
          <w:szCs w:val="20"/>
        </w:rPr>
        <w:t>Argentina,</w:t>
      </w:r>
      <w:r w:rsidR="00FF41A0">
        <w:rPr>
          <w:color w:val="000000" w:themeColor="text1"/>
          <w:sz w:val="20"/>
          <w:szCs w:val="20"/>
        </w:rPr>
        <w:t xml:space="preserve"> </w:t>
      </w:r>
      <w:r w:rsidR="0071217D">
        <w:rPr>
          <w:color w:val="000000" w:themeColor="text1"/>
          <w:sz w:val="20"/>
          <w:szCs w:val="20"/>
        </w:rPr>
        <w:t>Chile,</w:t>
      </w:r>
      <w:r w:rsidR="00FF41A0">
        <w:rPr>
          <w:color w:val="000000" w:themeColor="text1"/>
          <w:sz w:val="20"/>
          <w:szCs w:val="20"/>
        </w:rPr>
        <w:t xml:space="preserve"> </w:t>
      </w:r>
      <w:r w:rsidR="0071217D">
        <w:rPr>
          <w:color w:val="000000" w:themeColor="text1"/>
          <w:sz w:val="20"/>
          <w:szCs w:val="20"/>
        </w:rPr>
        <w:t>Colombia,</w:t>
      </w:r>
      <w:r w:rsidR="00FF41A0">
        <w:rPr>
          <w:color w:val="000000" w:themeColor="text1"/>
          <w:sz w:val="20"/>
          <w:szCs w:val="20"/>
        </w:rPr>
        <w:t xml:space="preserve"> </w:t>
      </w:r>
      <w:r w:rsidR="0071217D">
        <w:rPr>
          <w:color w:val="000000" w:themeColor="text1"/>
          <w:sz w:val="20"/>
          <w:szCs w:val="20"/>
        </w:rPr>
        <w:t>Cost</w:t>
      </w:r>
      <w:r w:rsidR="00FF41A0">
        <w:rPr>
          <w:color w:val="000000" w:themeColor="text1"/>
          <w:sz w:val="20"/>
          <w:szCs w:val="20"/>
        </w:rPr>
        <w:t xml:space="preserve"> </w:t>
      </w:r>
      <w:r w:rsidR="0071217D">
        <w:rPr>
          <w:color w:val="000000" w:themeColor="text1"/>
          <w:sz w:val="20"/>
          <w:szCs w:val="20"/>
        </w:rPr>
        <w:t>Rica,</w:t>
      </w:r>
      <w:r w:rsidR="00FF41A0">
        <w:rPr>
          <w:color w:val="000000" w:themeColor="text1"/>
          <w:sz w:val="20"/>
          <w:szCs w:val="20"/>
        </w:rPr>
        <w:t xml:space="preserve"> </w:t>
      </w:r>
      <w:r w:rsidR="0071217D">
        <w:rPr>
          <w:color w:val="000000" w:themeColor="text1"/>
          <w:sz w:val="20"/>
          <w:szCs w:val="20"/>
        </w:rPr>
        <w:t>Guatemala,</w:t>
      </w:r>
      <w:r w:rsidR="00FF41A0">
        <w:rPr>
          <w:color w:val="000000" w:themeColor="text1"/>
          <w:sz w:val="20"/>
          <w:szCs w:val="20"/>
        </w:rPr>
        <w:t xml:space="preserve"> </w:t>
      </w:r>
      <w:r w:rsidR="0071217D">
        <w:rPr>
          <w:color w:val="000000" w:themeColor="text1"/>
          <w:sz w:val="20"/>
          <w:szCs w:val="20"/>
        </w:rPr>
        <w:t>Mexico,</w:t>
      </w:r>
      <w:r w:rsidR="00FF41A0">
        <w:rPr>
          <w:color w:val="000000" w:themeColor="text1"/>
          <w:sz w:val="20"/>
          <w:szCs w:val="20"/>
        </w:rPr>
        <w:t xml:space="preserve"> </w:t>
      </w:r>
      <w:r w:rsidR="0071217D">
        <w:rPr>
          <w:color w:val="000000" w:themeColor="text1"/>
          <w:sz w:val="20"/>
          <w:szCs w:val="20"/>
        </w:rPr>
        <w:t>Peru</w:t>
      </w:r>
      <w:r w:rsidR="00FF41A0">
        <w:rPr>
          <w:color w:val="000000" w:themeColor="text1"/>
          <w:sz w:val="20"/>
          <w:szCs w:val="20"/>
        </w:rPr>
        <w:t xml:space="preserve"> </w:t>
      </w:r>
      <w:r w:rsidR="0071217D">
        <w:rPr>
          <w:color w:val="000000" w:themeColor="text1"/>
          <w:sz w:val="20"/>
          <w:szCs w:val="20"/>
        </w:rPr>
        <w:t>and</w:t>
      </w:r>
      <w:r w:rsidR="00FF41A0">
        <w:rPr>
          <w:color w:val="000000" w:themeColor="text1"/>
          <w:sz w:val="20"/>
          <w:szCs w:val="20"/>
        </w:rPr>
        <w:t xml:space="preserve"> </w:t>
      </w:r>
      <w:r w:rsidR="0071217D">
        <w:rPr>
          <w:color w:val="000000" w:themeColor="text1"/>
          <w:sz w:val="20"/>
          <w:szCs w:val="20"/>
        </w:rPr>
        <w:t>Uruguay),</w:t>
      </w:r>
      <w:r w:rsidR="00FF41A0">
        <w:rPr>
          <w:color w:val="000000" w:themeColor="text1"/>
          <w:sz w:val="20"/>
          <w:szCs w:val="20"/>
        </w:rPr>
        <w:t xml:space="preserve"> </w:t>
      </w:r>
      <w:r w:rsidR="0071217D" w:rsidRPr="0071217D">
        <w:rPr>
          <w:color w:val="000000" w:themeColor="text1"/>
          <w:sz w:val="20"/>
          <w:szCs w:val="20"/>
        </w:rPr>
        <w:t>China</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Cuba</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Egypt</w:t>
      </w:r>
      <w:r w:rsidR="0071217D">
        <w:rPr>
          <w:color w:val="000000" w:themeColor="text1"/>
          <w:sz w:val="20"/>
          <w:szCs w:val="20"/>
        </w:rPr>
        <w:t>,</w:t>
      </w:r>
      <w:r w:rsidR="00FF41A0">
        <w:rPr>
          <w:color w:val="000000" w:themeColor="text1"/>
          <w:sz w:val="20"/>
          <w:szCs w:val="20"/>
        </w:rPr>
        <w:t xml:space="preserve"> </w:t>
      </w:r>
      <w:r w:rsidR="0071217D" w:rsidRPr="007E13DD">
        <w:rPr>
          <w:color w:val="000000" w:themeColor="text1"/>
          <w:sz w:val="20"/>
          <w:szCs w:val="20"/>
        </w:rPr>
        <w:t>Haiti</w:t>
      </w:r>
      <w:r w:rsidR="000943B0">
        <w:rPr>
          <w:rStyle w:val="FootnoteReference"/>
          <w:color w:val="000000" w:themeColor="text1"/>
          <w:szCs w:val="20"/>
        </w:rPr>
        <w:footnoteReference w:id="74"/>
      </w:r>
      <w:r w:rsidR="00FF41A0">
        <w:rPr>
          <w:color w:val="000000" w:themeColor="text1"/>
          <w:sz w:val="20"/>
          <w:szCs w:val="20"/>
        </w:rPr>
        <w:t xml:space="preserve"> </w:t>
      </w:r>
      <w:r w:rsidR="0071217D">
        <w:rPr>
          <w:color w:val="000000" w:themeColor="text1"/>
          <w:sz w:val="20"/>
          <w:szCs w:val="20"/>
        </w:rPr>
        <w:t>(</w:t>
      </w:r>
      <w:r w:rsidR="0071217D" w:rsidRPr="007E13DD">
        <w:rPr>
          <w:color w:val="000000" w:themeColor="text1"/>
          <w:sz w:val="20"/>
          <w:szCs w:val="20"/>
        </w:rPr>
        <w:t>on</w:t>
      </w:r>
      <w:r w:rsidR="00FF41A0">
        <w:rPr>
          <w:color w:val="000000" w:themeColor="text1"/>
          <w:sz w:val="20"/>
          <w:szCs w:val="20"/>
        </w:rPr>
        <w:t xml:space="preserve"> </w:t>
      </w:r>
      <w:r w:rsidR="0071217D" w:rsidRPr="007E13DD">
        <w:rPr>
          <w:color w:val="000000" w:themeColor="text1"/>
          <w:sz w:val="20"/>
          <w:szCs w:val="20"/>
        </w:rPr>
        <w:t>behalf</w:t>
      </w:r>
      <w:r w:rsidR="00FF41A0">
        <w:rPr>
          <w:color w:val="000000" w:themeColor="text1"/>
          <w:sz w:val="20"/>
          <w:szCs w:val="20"/>
        </w:rPr>
        <w:t xml:space="preserve"> </w:t>
      </w:r>
      <w:r w:rsidR="0071217D" w:rsidRPr="007E13DD">
        <w:rPr>
          <w:color w:val="000000" w:themeColor="text1"/>
          <w:sz w:val="20"/>
          <w:szCs w:val="20"/>
        </w:rPr>
        <w:t>of</w:t>
      </w:r>
      <w:r w:rsidR="00FF41A0">
        <w:rPr>
          <w:color w:val="000000" w:themeColor="text1"/>
          <w:sz w:val="20"/>
          <w:szCs w:val="20"/>
        </w:rPr>
        <w:t xml:space="preserve"> </w:t>
      </w:r>
      <w:r w:rsidR="0071217D">
        <w:rPr>
          <w:color w:val="000000" w:themeColor="text1"/>
          <w:sz w:val="20"/>
          <w:szCs w:val="20"/>
        </w:rPr>
        <w:t>the</w:t>
      </w:r>
      <w:r w:rsidR="00FF41A0">
        <w:rPr>
          <w:color w:val="000000" w:themeColor="text1"/>
          <w:sz w:val="20"/>
          <w:szCs w:val="20"/>
        </w:rPr>
        <w:t xml:space="preserve"> </w:t>
      </w:r>
      <w:r w:rsidR="0071217D">
        <w:rPr>
          <w:color w:val="000000" w:themeColor="text1"/>
          <w:sz w:val="20"/>
          <w:szCs w:val="20"/>
        </w:rPr>
        <w:t>Carribean</w:t>
      </w:r>
      <w:r w:rsidR="00FF41A0">
        <w:rPr>
          <w:color w:val="000000" w:themeColor="text1"/>
          <w:sz w:val="20"/>
          <w:szCs w:val="20"/>
        </w:rPr>
        <w:t xml:space="preserve"> </w:t>
      </w:r>
      <w:r w:rsidR="0071217D">
        <w:rPr>
          <w:color w:val="000000" w:themeColor="text1"/>
          <w:sz w:val="20"/>
          <w:szCs w:val="20"/>
        </w:rPr>
        <w:t>Community),</w:t>
      </w:r>
      <w:r w:rsidR="00FF41A0">
        <w:rPr>
          <w:color w:val="000000" w:themeColor="text1"/>
          <w:sz w:val="20"/>
          <w:szCs w:val="20"/>
        </w:rPr>
        <w:t xml:space="preserve"> </w:t>
      </w:r>
      <w:r w:rsidR="0071217D" w:rsidRPr="0071217D">
        <w:rPr>
          <w:color w:val="000000" w:themeColor="text1"/>
          <w:sz w:val="20"/>
          <w:szCs w:val="20"/>
        </w:rPr>
        <w:t>India</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Iraq</w:t>
      </w:r>
      <w:r w:rsidR="0071217D">
        <w:rPr>
          <w:color w:val="000000" w:themeColor="text1"/>
          <w:sz w:val="20"/>
          <w:szCs w:val="20"/>
        </w:rPr>
        <w:t>,</w:t>
      </w:r>
      <w:r w:rsidR="00FF41A0">
        <w:rPr>
          <w:color w:val="000000" w:themeColor="text1"/>
          <w:sz w:val="20"/>
          <w:szCs w:val="20"/>
        </w:rPr>
        <w:t xml:space="preserve"> </w:t>
      </w:r>
      <w:r w:rsidR="0071217D" w:rsidRPr="007E13DD">
        <w:rPr>
          <w:color w:val="000000" w:themeColor="text1"/>
          <w:sz w:val="20"/>
          <w:szCs w:val="20"/>
        </w:rPr>
        <w:t>Nicaragua</w:t>
      </w:r>
      <w:r w:rsidR="000943B0">
        <w:rPr>
          <w:rStyle w:val="FootnoteReference"/>
          <w:color w:val="000000" w:themeColor="text1"/>
          <w:szCs w:val="20"/>
        </w:rPr>
        <w:footnoteReference w:id="75"/>
      </w:r>
      <w:r w:rsidR="00FF41A0">
        <w:rPr>
          <w:color w:val="000000" w:themeColor="text1"/>
          <w:sz w:val="20"/>
          <w:szCs w:val="20"/>
        </w:rPr>
        <w:t xml:space="preserve"> </w:t>
      </w:r>
      <w:r w:rsidR="0071217D">
        <w:rPr>
          <w:color w:val="000000" w:themeColor="text1"/>
          <w:sz w:val="20"/>
          <w:szCs w:val="20"/>
        </w:rPr>
        <w:t>(also</w:t>
      </w:r>
      <w:r w:rsidR="00FF41A0">
        <w:rPr>
          <w:color w:val="000000" w:themeColor="text1"/>
          <w:sz w:val="20"/>
          <w:szCs w:val="20"/>
        </w:rPr>
        <w:t xml:space="preserve"> </w:t>
      </w:r>
      <w:r w:rsidR="0071217D" w:rsidRPr="007E13DD">
        <w:rPr>
          <w:color w:val="000000" w:themeColor="text1"/>
          <w:sz w:val="20"/>
          <w:szCs w:val="20"/>
        </w:rPr>
        <w:t>on</w:t>
      </w:r>
      <w:r w:rsidR="00FF41A0">
        <w:rPr>
          <w:color w:val="000000" w:themeColor="text1"/>
          <w:sz w:val="20"/>
          <w:szCs w:val="20"/>
        </w:rPr>
        <w:t xml:space="preserve"> </w:t>
      </w:r>
      <w:r w:rsidR="0071217D" w:rsidRPr="007E13DD">
        <w:rPr>
          <w:color w:val="000000" w:themeColor="text1"/>
          <w:sz w:val="20"/>
          <w:szCs w:val="20"/>
        </w:rPr>
        <w:t>behalf</w:t>
      </w:r>
      <w:r w:rsidR="00FF41A0">
        <w:rPr>
          <w:color w:val="000000" w:themeColor="text1"/>
          <w:sz w:val="20"/>
          <w:szCs w:val="20"/>
        </w:rPr>
        <w:t xml:space="preserve"> </w:t>
      </w:r>
      <w:r w:rsidR="0071217D" w:rsidRPr="007E13DD">
        <w:rPr>
          <w:color w:val="000000" w:themeColor="text1"/>
          <w:sz w:val="20"/>
          <w:szCs w:val="20"/>
        </w:rPr>
        <w:t>of</w:t>
      </w:r>
      <w:r w:rsidR="00FF41A0">
        <w:rPr>
          <w:color w:val="000000" w:themeColor="text1"/>
          <w:sz w:val="20"/>
          <w:szCs w:val="20"/>
        </w:rPr>
        <w:t xml:space="preserve"> </w:t>
      </w:r>
      <w:r w:rsidR="0071217D" w:rsidRPr="007E13DD">
        <w:rPr>
          <w:color w:val="000000" w:themeColor="text1"/>
          <w:sz w:val="20"/>
          <w:szCs w:val="20"/>
        </w:rPr>
        <w:t>Bolivia</w:t>
      </w:r>
      <w:r w:rsidR="00FF41A0">
        <w:rPr>
          <w:color w:val="000000" w:themeColor="text1"/>
          <w:sz w:val="20"/>
          <w:szCs w:val="20"/>
        </w:rPr>
        <w:t xml:space="preserve"> </w:t>
      </w:r>
      <w:r w:rsidR="0071217D" w:rsidRPr="007E13DD">
        <w:rPr>
          <w:color w:val="000000" w:themeColor="text1"/>
          <w:sz w:val="20"/>
          <w:szCs w:val="20"/>
        </w:rPr>
        <w:t>(Plurinational</w:t>
      </w:r>
      <w:r w:rsidR="00FF41A0">
        <w:rPr>
          <w:color w:val="000000" w:themeColor="text1"/>
          <w:sz w:val="20"/>
          <w:szCs w:val="20"/>
        </w:rPr>
        <w:t xml:space="preserve"> </w:t>
      </w:r>
      <w:r w:rsidR="0071217D" w:rsidRPr="007E13DD">
        <w:rPr>
          <w:color w:val="000000" w:themeColor="text1"/>
          <w:sz w:val="20"/>
          <w:szCs w:val="20"/>
        </w:rPr>
        <w:t>State</w:t>
      </w:r>
      <w:r w:rsidR="00FF41A0">
        <w:rPr>
          <w:color w:val="000000" w:themeColor="text1"/>
          <w:sz w:val="20"/>
          <w:szCs w:val="20"/>
        </w:rPr>
        <w:t xml:space="preserve"> </w:t>
      </w:r>
      <w:r w:rsidR="0071217D" w:rsidRPr="007E13DD">
        <w:rPr>
          <w:color w:val="000000" w:themeColor="text1"/>
          <w:sz w:val="20"/>
          <w:szCs w:val="20"/>
        </w:rPr>
        <w:t>of)</w:t>
      </w:r>
      <w:r w:rsidR="0071217D">
        <w:rPr>
          <w:color w:val="000000" w:themeColor="text1"/>
          <w:sz w:val="20"/>
          <w:szCs w:val="20"/>
        </w:rPr>
        <w:t>,</w:t>
      </w:r>
      <w:r w:rsidR="00FF41A0">
        <w:rPr>
          <w:color w:val="000000" w:themeColor="text1"/>
          <w:sz w:val="20"/>
          <w:szCs w:val="20"/>
        </w:rPr>
        <w:t xml:space="preserve"> </w:t>
      </w:r>
      <w:r w:rsidR="0071217D" w:rsidRPr="007E13DD">
        <w:rPr>
          <w:color w:val="000000" w:themeColor="text1"/>
          <w:sz w:val="20"/>
          <w:szCs w:val="20"/>
        </w:rPr>
        <w:t>Cuba</w:t>
      </w:r>
      <w:r w:rsidR="00FF41A0">
        <w:rPr>
          <w:color w:val="000000" w:themeColor="text1"/>
          <w:sz w:val="20"/>
          <w:szCs w:val="20"/>
        </w:rPr>
        <w:t xml:space="preserve"> </w:t>
      </w:r>
      <w:r w:rsidR="0071217D">
        <w:rPr>
          <w:color w:val="000000" w:themeColor="text1"/>
          <w:sz w:val="20"/>
          <w:szCs w:val="20"/>
        </w:rPr>
        <w:t>and</w:t>
      </w:r>
      <w:r w:rsidR="00FF41A0">
        <w:rPr>
          <w:color w:val="000000" w:themeColor="text1"/>
          <w:sz w:val="20"/>
          <w:szCs w:val="20"/>
        </w:rPr>
        <w:t xml:space="preserve"> </w:t>
      </w:r>
      <w:r w:rsidR="0071217D" w:rsidRPr="007E13DD">
        <w:rPr>
          <w:color w:val="000000" w:themeColor="text1"/>
          <w:sz w:val="20"/>
          <w:szCs w:val="20"/>
        </w:rPr>
        <w:t>Venezuela</w:t>
      </w:r>
      <w:r w:rsidR="00FF41A0">
        <w:rPr>
          <w:color w:val="000000" w:themeColor="text1"/>
          <w:sz w:val="20"/>
          <w:szCs w:val="20"/>
        </w:rPr>
        <w:t xml:space="preserve"> </w:t>
      </w:r>
      <w:r w:rsidR="0071217D" w:rsidRPr="007E13DD">
        <w:rPr>
          <w:color w:val="000000" w:themeColor="text1"/>
          <w:sz w:val="20"/>
          <w:szCs w:val="20"/>
        </w:rPr>
        <w:t>(Bolivarian</w:t>
      </w:r>
      <w:r w:rsidR="00FF41A0">
        <w:rPr>
          <w:color w:val="000000" w:themeColor="text1"/>
          <w:sz w:val="20"/>
          <w:szCs w:val="20"/>
        </w:rPr>
        <w:t xml:space="preserve"> </w:t>
      </w:r>
      <w:r w:rsidR="0071217D" w:rsidRPr="007E13DD">
        <w:rPr>
          <w:color w:val="000000" w:themeColor="text1"/>
          <w:sz w:val="20"/>
          <w:szCs w:val="20"/>
        </w:rPr>
        <w:t>Republic</w:t>
      </w:r>
      <w:r w:rsidR="00FF41A0">
        <w:rPr>
          <w:color w:val="000000" w:themeColor="text1"/>
          <w:sz w:val="20"/>
          <w:szCs w:val="20"/>
        </w:rPr>
        <w:t xml:space="preserve"> </w:t>
      </w:r>
      <w:r w:rsidR="0071217D" w:rsidRPr="007E13DD">
        <w:rPr>
          <w:color w:val="000000" w:themeColor="text1"/>
          <w:sz w:val="20"/>
          <w:szCs w:val="20"/>
        </w:rPr>
        <w:t>of))</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Nigeria</w:t>
      </w:r>
      <w:r w:rsidR="0071217D">
        <w:rPr>
          <w:color w:val="000000" w:themeColor="text1"/>
          <w:sz w:val="20"/>
          <w:szCs w:val="20"/>
        </w:rPr>
        <w:t>,</w:t>
      </w:r>
      <w:r w:rsidR="00FF41A0">
        <w:rPr>
          <w:color w:val="000000" w:themeColor="text1"/>
          <w:sz w:val="20"/>
          <w:szCs w:val="20"/>
        </w:rPr>
        <w:t xml:space="preserve"> </w:t>
      </w:r>
      <w:r w:rsidR="0071217D" w:rsidRPr="007E13DD">
        <w:rPr>
          <w:color w:val="000000" w:themeColor="text1"/>
          <w:sz w:val="20"/>
          <w:szCs w:val="20"/>
        </w:rPr>
        <w:t>Oman</w:t>
      </w:r>
      <w:r w:rsidR="000943B0">
        <w:rPr>
          <w:rStyle w:val="FootnoteReference"/>
          <w:color w:val="000000" w:themeColor="text1"/>
          <w:szCs w:val="20"/>
        </w:rPr>
        <w:footnoteReference w:id="76"/>
      </w:r>
      <w:r w:rsidR="00FF41A0">
        <w:rPr>
          <w:color w:val="000000" w:themeColor="text1"/>
          <w:sz w:val="20"/>
          <w:szCs w:val="20"/>
        </w:rPr>
        <w:t xml:space="preserve"> </w:t>
      </w:r>
      <w:r w:rsidR="0071217D">
        <w:rPr>
          <w:color w:val="000000" w:themeColor="text1"/>
          <w:sz w:val="20"/>
          <w:szCs w:val="20"/>
        </w:rPr>
        <w:t>(</w:t>
      </w:r>
      <w:r w:rsidR="0071217D" w:rsidRPr="00A242A9">
        <w:rPr>
          <w:color w:val="000000" w:themeColor="text1"/>
          <w:sz w:val="20"/>
          <w:szCs w:val="20"/>
        </w:rPr>
        <w:t>on</w:t>
      </w:r>
      <w:r w:rsidR="00FF41A0">
        <w:rPr>
          <w:color w:val="000000" w:themeColor="text1"/>
          <w:sz w:val="20"/>
          <w:szCs w:val="20"/>
        </w:rPr>
        <w:t xml:space="preserve"> </w:t>
      </w:r>
      <w:r w:rsidR="0071217D" w:rsidRPr="00A242A9">
        <w:rPr>
          <w:color w:val="000000" w:themeColor="text1"/>
          <w:sz w:val="20"/>
          <w:szCs w:val="20"/>
        </w:rPr>
        <w:t>behalf</w:t>
      </w:r>
      <w:r w:rsidR="00FF41A0">
        <w:rPr>
          <w:color w:val="000000" w:themeColor="text1"/>
          <w:sz w:val="20"/>
          <w:szCs w:val="20"/>
        </w:rPr>
        <w:t xml:space="preserve"> </w:t>
      </w:r>
      <w:r w:rsidR="0071217D" w:rsidRPr="00A242A9">
        <w:rPr>
          <w:color w:val="000000" w:themeColor="text1"/>
          <w:sz w:val="20"/>
          <w:szCs w:val="20"/>
        </w:rPr>
        <w:t>of</w:t>
      </w:r>
      <w:r w:rsidR="00FF41A0">
        <w:rPr>
          <w:color w:val="000000" w:themeColor="text1"/>
          <w:sz w:val="20"/>
          <w:szCs w:val="20"/>
        </w:rPr>
        <w:t xml:space="preserve"> </w:t>
      </w:r>
      <w:r w:rsidR="0071217D" w:rsidRPr="00A242A9">
        <w:rPr>
          <w:color w:val="000000" w:themeColor="text1"/>
          <w:sz w:val="20"/>
          <w:szCs w:val="20"/>
        </w:rPr>
        <w:t>the</w:t>
      </w:r>
      <w:r w:rsidR="00FF41A0">
        <w:rPr>
          <w:color w:val="000000" w:themeColor="text1"/>
          <w:sz w:val="20"/>
          <w:szCs w:val="20"/>
        </w:rPr>
        <w:t xml:space="preserve"> </w:t>
      </w:r>
      <w:r w:rsidR="0071217D" w:rsidRPr="00A242A9">
        <w:rPr>
          <w:color w:val="000000" w:themeColor="text1"/>
          <w:sz w:val="20"/>
          <w:szCs w:val="20"/>
        </w:rPr>
        <w:t>Cooperation</w:t>
      </w:r>
      <w:r w:rsidR="00FF41A0">
        <w:rPr>
          <w:color w:val="000000" w:themeColor="text1"/>
          <w:sz w:val="20"/>
          <w:szCs w:val="20"/>
        </w:rPr>
        <w:t xml:space="preserve"> </w:t>
      </w:r>
      <w:r w:rsidR="0071217D" w:rsidRPr="00A242A9">
        <w:rPr>
          <w:color w:val="000000" w:themeColor="text1"/>
          <w:sz w:val="20"/>
          <w:szCs w:val="20"/>
        </w:rPr>
        <w:t>Council</w:t>
      </w:r>
      <w:r w:rsidR="00FF41A0">
        <w:rPr>
          <w:color w:val="000000" w:themeColor="text1"/>
          <w:sz w:val="20"/>
          <w:szCs w:val="20"/>
        </w:rPr>
        <w:t xml:space="preserve"> </w:t>
      </w:r>
      <w:r w:rsidR="0071217D" w:rsidRPr="00A242A9">
        <w:rPr>
          <w:color w:val="000000" w:themeColor="text1"/>
          <w:sz w:val="20"/>
          <w:szCs w:val="20"/>
        </w:rPr>
        <w:t>for</w:t>
      </w:r>
      <w:r w:rsidR="00FF41A0">
        <w:rPr>
          <w:color w:val="000000" w:themeColor="text1"/>
          <w:sz w:val="20"/>
          <w:szCs w:val="20"/>
        </w:rPr>
        <w:t xml:space="preserve"> </w:t>
      </w:r>
      <w:r w:rsidR="0071217D" w:rsidRPr="00A242A9">
        <w:rPr>
          <w:color w:val="000000" w:themeColor="text1"/>
          <w:sz w:val="20"/>
          <w:szCs w:val="20"/>
        </w:rPr>
        <w:t>the</w:t>
      </w:r>
      <w:r w:rsidR="00FF41A0">
        <w:rPr>
          <w:color w:val="000000" w:themeColor="text1"/>
          <w:sz w:val="20"/>
          <w:szCs w:val="20"/>
        </w:rPr>
        <w:t xml:space="preserve"> </w:t>
      </w:r>
      <w:r w:rsidR="0071217D" w:rsidRPr="00A242A9">
        <w:rPr>
          <w:color w:val="000000" w:themeColor="text1"/>
          <w:sz w:val="20"/>
          <w:szCs w:val="20"/>
        </w:rPr>
        <w:t>Arab</w:t>
      </w:r>
      <w:r w:rsidR="00FF41A0">
        <w:rPr>
          <w:color w:val="000000" w:themeColor="text1"/>
          <w:sz w:val="20"/>
          <w:szCs w:val="20"/>
        </w:rPr>
        <w:t xml:space="preserve"> </w:t>
      </w:r>
      <w:r w:rsidR="0071217D" w:rsidRPr="00A242A9">
        <w:rPr>
          <w:color w:val="000000" w:themeColor="text1"/>
          <w:sz w:val="20"/>
          <w:szCs w:val="20"/>
        </w:rPr>
        <w:t>States</w:t>
      </w:r>
      <w:r w:rsidR="00FF41A0">
        <w:rPr>
          <w:color w:val="000000" w:themeColor="text1"/>
          <w:sz w:val="20"/>
          <w:szCs w:val="20"/>
        </w:rPr>
        <w:t xml:space="preserve"> </w:t>
      </w:r>
      <w:r w:rsidR="0071217D" w:rsidRPr="00A242A9">
        <w:rPr>
          <w:color w:val="000000" w:themeColor="text1"/>
          <w:sz w:val="20"/>
          <w:szCs w:val="20"/>
        </w:rPr>
        <w:t>of</w:t>
      </w:r>
      <w:r w:rsidR="00FF41A0">
        <w:rPr>
          <w:color w:val="000000" w:themeColor="text1"/>
          <w:sz w:val="20"/>
          <w:szCs w:val="20"/>
        </w:rPr>
        <w:t xml:space="preserve"> </w:t>
      </w:r>
      <w:r w:rsidR="0071217D" w:rsidRPr="00A242A9">
        <w:rPr>
          <w:color w:val="000000" w:themeColor="text1"/>
          <w:sz w:val="20"/>
          <w:szCs w:val="20"/>
        </w:rPr>
        <w:t>the</w:t>
      </w:r>
      <w:r w:rsidR="00FF41A0">
        <w:rPr>
          <w:color w:val="000000" w:themeColor="text1"/>
          <w:sz w:val="20"/>
          <w:szCs w:val="20"/>
        </w:rPr>
        <w:t xml:space="preserve"> </w:t>
      </w:r>
      <w:r w:rsidR="0071217D" w:rsidRPr="00A242A9">
        <w:rPr>
          <w:color w:val="000000" w:themeColor="text1"/>
          <w:sz w:val="20"/>
          <w:szCs w:val="20"/>
        </w:rPr>
        <w:t>Gulf</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Pakistan</w:t>
      </w:r>
      <w:r w:rsidR="00FF41A0">
        <w:rPr>
          <w:color w:val="000000" w:themeColor="text1"/>
          <w:sz w:val="20"/>
          <w:szCs w:val="20"/>
        </w:rPr>
        <w:t xml:space="preserve"> </w:t>
      </w:r>
      <w:r w:rsidR="0071217D">
        <w:rPr>
          <w:color w:val="000000" w:themeColor="text1"/>
          <w:sz w:val="20"/>
          <w:szCs w:val="20"/>
        </w:rPr>
        <w:t>(also</w:t>
      </w:r>
      <w:r w:rsidR="00FF41A0">
        <w:rPr>
          <w:color w:val="000000" w:themeColor="text1"/>
          <w:sz w:val="20"/>
          <w:szCs w:val="20"/>
        </w:rPr>
        <w:t xml:space="preserve"> </w:t>
      </w:r>
      <w:r w:rsidR="0071217D" w:rsidRPr="007E13DD">
        <w:rPr>
          <w:color w:val="000000" w:themeColor="text1"/>
          <w:sz w:val="20"/>
          <w:szCs w:val="20"/>
        </w:rPr>
        <w:t>on</w:t>
      </w:r>
      <w:r w:rsidR="00FF41A0">
        <w:rPr>
          <w:color w:val="000000" w:themeColor="text1"/>
          <w:sz w:val="20"/>
          <w:szCs w:val="20"/>
        </w:rPr>
        <w:t xml:space="preserve"> </w:t>
      </w:r>
      <w:r w:rsidR="0071217D" w:rsidRPr="007E13DD">
        <w:rPr>
          <w:color w:val="000000" w:themeColor="text1"/>
          <w:sz w:val="20"/>
          <w:szCs w:val="20"/>
        </w:rPr>
        <w:t>behalf</w:t>
      </w:r>
      <w:r w:rsidR="00FF41A0">
        <w:rPr>
          <w:color w:val="000000" w:themeColor="text1"/>
          <w:sz w:val="20"/>
          <w:szCs w:val="20"/>
        </w:rPr>
        <w:t xml:space="preserve"> </w:t>
      </w:r>
      <w:r w:rsidR="0071217D" w:rsidRPr="007E13DD">
        <w:rPr>
          <w:color w:val="000000" w:themeColor="text1"/>
          <w:sz w:val="20"/>
          <w:szCs w:val="20"/>
        </w:rPr>
        <w:t>of</w:t>
      </w:r>
      <w:r w:rsidR="00FF41A0">
        <w:rPr>
          <w:color w:val="000000" w:themeColor="text1"/>
          <w:sz w:val="20"/>
          <w:szCs w:val="20"/>
        </w:rPr>
        <w:t xml:space="preserve"> </w:t>
      </w:r>
      <w:r w:rsidR="0071217D">
        <w:rPr>
          <w:color w:val="000000" w:themeColor="text1"/>
          <w:sz w:val="20"/>
          <w:szCs w:val="20"/>
        </w:rPr>
        <w:t>the</w:t>
      </w:r>
      <w:r w:rsidR="00FF41A0">
        <w:rPr>
          <w:color w:val="000000" w:themeColor="text1"/>
          <w:sz w:val="20"/>
          <w:szCs w:val="20"/>
        </w:rPr>
        <w:t xml:space="preserve"> </w:t>
      </w:r>
      <w:r w:rsidR="0071217D" w:rsidRPr="007E13DD">
        <w:rPr>
          <w:color w:val="000000" w:themeColor="text1"/>
          <w:sz w:val="20"/>
          <w:szCs w:val="20"/>
        </w:rPr>
        <w:t>Organiza</w:t>
      </w:r>
      <w:r w:rsidR="0071217D">
        <w:rPr>
          <w:color w:val="000000" w:themeColor="text1"/>
          <w:sz w:val="20"/>
          <w:szCs w:val="20"/>
        </w:rPr>
        <w:t>tion</w:t>
      </w:r>
      <w:r w:rsidR="00FF41A0">
        <w:rPr>
          <w:color w:val="000000" w:themeColor="text1"/>
          <w:sz w:val="20"/>
          <w:szCs w:val="20"/>
        </w:rPr>
        <w:t xml:space="preserve"> </w:t>
      </w:r>
      <w:r w:rsidR="0071217D">
        <w:rPr>
          <w:color w:val="000000" w:themeColor="text1"/>
          <w:sz w:val="20"/>
          <w:szCs w:val="20"/>
        </w:rPr>
        <w:t>of</w:t>
      </w:r>
      <w:r w:rsidR="00FF41A0">
        <w:rPr>
          <w:color w:val="000000" w:themeColor="text1"/>
          <w:sz w:val="20"/>
          <w:szCs w:val="20"/>
        </w:rPr>
        <w:t xml:space="preserve"> </w:t>
      </w:r>
      <w:r w:rsidR="0071217D">
        <w:rPr>
          <w:color w:val="000000" w:themeColor="text1"/>
          <w:sz w:val="20"/>
          <w:szCs w:val="20"/>
        </w:rPr>
        <w:t>Islamic</w:t>
      </w:r>
      <w:r w:rsidR="00FF41A0">
        <w:rPr>
          <w:color w:val="000000" w:themeColor="text1"/>
          <w:sz w:val="20"/>
          <w:szCs w:val="20"/>
        </w:rPr>
        <w:t xml:space="preserve"> </w:t>
      </w:r>
      <w:r w:rsidR="0071217D">
        <w:rPr>
          <w:color w:val="000000" w:themeColor="text1"/>
          <w:sz w:val="20"/>
          <w:szCs w:val="20"/>
        </w:rPr>
        <w:t>Cooperation</w:t>
      </w:r>
      <w:r w:rsidR="0071217D" w:rsidRPr="007E13DD">
        <w:rPr>
          <w:color w:val="000000" w:themeColor="text1"/>
          <w:sz w:val="20"/>
          <w:szCs w:val="20"/>
        </w:rPr>
        <w:t>)</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Qatar</w:t>
      </w:r>
      <w:r w:rsidR="0071217D">
        <w:rPr>
          <w:color w:val="000000" w:themeColor="text1"/>
          <w:sz w:val="20"/>
          <w:szCs w:val="20"/>
        </w:rPr>
        <w:t>,</w:t>
      </w:r>
      <w:r w:rsidR="00FF41A0">
        <w:rPr>
          <w:color w:val="000000" w:themeColor="text1"/>
          <w:sz w:val="20"/>
          <w:szCs w:val="20"/>
        </w:rPr>
        <w:t xml:space="preserve"> </w:t>
      </w:r>
      <w:r w:rsidR="0071217D" w:rsidRPr="007E13DD">
        <w:rPr>
          <w:color w:val="000000" w:themeColor="text1"/>
          <w:sz w:val="20"/>
          <w:szCs w:val="20"/>
        </w:rPr>
        <w:t>Romania</w:t>
      </w:r>
      <w:r w:rsidR="000943B0">
        <w:rPr>
          <w:rStyle w:val="FootnoteReference"/>
          <w:color w:val="000000" w:themeColor="text1"/>
          <w:szCs w:val="20"/>
        </w:rPr>
        <w:footnoteReference w:id="77"/>
      </w:r>
      <w:r w:rsidR="00FF41A0">
        <w:rPr>
          <w:color w:val="000000" w:themeColor="text1"/>
          <w:sz w:val="20"/>
          <w:szCs w:val="20"/>
        </w:rPr>
        <w:t xml:space="preserve"> </w:t>
      </w:r>
      <w:r w:rsidR="0071217D">
        <w:rPr>
          <w:color w:val="000000" w:themeColor="text1"/>
          <w:sz w:val="20"/>
          <w:szCs w:val="20"/>
        </w:rPr>
        <w:t>(</w:t>
      </w:r>
      <w:r w:rsidR="0071217D" w:rsidRPr="007E13DD">
        <w:rPr>
          <w:color w:val="000000" w:themeColor="text1"/>
          <w:sz w:val="20"/>
          <w:szCs w:val="20"/>
        </w:rPr>
        <w:t>on</w:t>
      </w:r>
      <w:r w:rsidR="00FF41A0">
        <w:rPr>
          <w:color w:val="000000" w:themeColor="text1"/>
          <w:sz w:val="20"/>
          <w:szCs w:val="20"/>
        </w:rPr>
        <w:t xml:space="preserve"> </w:t>
      </w:r>
      <w:r w:rsidR="0071217D" w:rsidRPr="007E13DD">
        <w:rPr>
          <w:color w:val="000000" w:themeColor="text1"/>
          <w:sz w:val="20"/>
          <w:szCs w:val="20"/>
        </w:rPr>
        <w:t>behalf</w:t>
      </w:r>
      <w:r w:rsidR="00FF41A0">
        <w:rPr>
          <w:color w:val="000000" w:themeColor="text1"/>
          <w:sz w:val="20"/>
          <w:szCs w:val="20"/>
        </w:rPr>
        <w:t xml:space="preserve"> </w:t>
      </w:r>
      <w:r w:rsidR="0071217D" w:rsidRPr="007E13DD">
        <w:rPr>
          <w:color w:val="000000" w:themeColor="text1"/>
          <w:sz w:val="20"/>
          <w:szCs w:val="20"/>
        </w:rPr>
        <w:t>of</w:t>
      </w:r>
      <w:r w:rsidR="00FF41A0">
        <w:rPr>
          <w:color w:val="000000" w:themeColor="text1"/>
          <w:sz w:val="20"/>
          <w:szCs w:val="20"/>
        </w:rPr>
        <w:t xml:space="preserve"> </w:t>
      </w:r>
      <w:r w:rsidR="0071217D" w:rsidRPr="007E13DD">
        <w:rPr>
          <w:color w:val="000000" w:themeColor="text1"/>
          <w:sz w:val="20"/>
          <w:szCs w:val="20"/>
        </w:rPr>
        <w:t>the</w:t>
      </w:r>
      <w:r w:rsidR="00FF41A0">
        <w:rPr>
          <w:color w:val="000000" w:themeColor="text1"/>
          <w:sz w:val="20"/>
          <w:szCs w:val="20"/>
        </w:rPr>
        <w:t xml:space="preserve"> </w:t>
      </w:r>
      <w:r w:rsidR="0071217D" w:rsidRPr="007E13DD">
        <w:rPr>
          <w:color w:val="000000" w:themeColor="text1"/>
          <w:sz w:val="20"/>
          <w:szCs w:val="20"/>
        </w:rPr>
        <w:t>European</w:t>
      </w:r>
      <w:r w:rsidR="00FF41A0">
        <w:rPr>
          <w:color w:val="000000" w:themeColor="text1"/>
          <w:sz w:val="20"/>
          <w:szCs w:val="20"/>
        </w:rPr>
        <w:t xml:space="preserve"> </w:t>
      </w:r>
      <w:r w:rsidR="0071217D" w:rsidRPr="007E13DD">
        <w:rPr>
          <w:color w:val="000000" w:themeColor="text1"/>
          <w:sz w:val="20"/>
          <w:szCs w:val="20"/>
        </w:rPr>
        <w:t>Union</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Saudi</w:t>
      </w:r>
      <w:r w:rsidR="00FF41A0">
        <w:rPr>
          <w:color w:val="000000" w:themeColor="text1"/>
          <w:sz w:val="20"/>
          <w:szCs w:val="20"/>
        </w:rPr>
        <w:t xml:space="preserve"> </w:t>
      </w:r>
      <w:r w:rsidR="0071217D" w:rsidRPr="0071217D">
        <w:rPr>
          <w:color w:val="000000" w:themeColor="text1"/>
          <w:sz w:val="20"/>
          <w:szCs w:val="20"/>
        </w:rPr>
        <w:t>Arabia</w:t>
      </w:r>
      <w:r w:rsidR="0071217D">
        <w:rPr>
          <w:color w:val="000000" w:themeColor="text1"/>
          <w:sz w:val="20"/>
          <w:szCs w:val="20"/>
        </w:rPr>
        <w:t>,</w:t>
      </w:r>
      <w:r w:rsidR="00FF41A0">
        <w:rPr>
          <w:color w:val="000000" w:themeColor="text1"/>
          <w:sz w:val="20"/>
          <w:szCs w:val="20"/>
        </w:rPr>
        <w:t xml:space="preserve"> </w:t>
      </w:r>
      <w:r w:rsidR="0071217D" w:rsidRPr="007E13DD">
        <w:rPr>
          <w:color w:val="000000" w:themeColor="text1"/>
          <w:sz w:val="20"/>
          <w:szCs w:val="20"/>
        </w:rPr>
        <w:t>Saudi</w:t>
      </w:r>
      <w:r w:rsidR="00FF41A0">
        <w:rPr>
          <w:color w:val="000000" w:themeColor="text1"/>
          <w:sz w:val="20"/>
          <w:szCs w:val="20"/>
        </w:rPr>
        <w:t xml:space="preserve"> </w:t>
      </w:r>
      <w:r w:rsidR="0071217D" w:rsidRPr="007E13DD">
        <w:rPr>
          <w:color w:val="000000" w:themeColor="text1"/>
          <w:sz w:val="20"/>
          <w:szCs w:val="20"/>
        </w:rPr>
        <w:t>Arabia</w:t>
      </w:r>
      <w:r w:rsidR="00FF41A0">
        <w:rPr>
          <w:color w:val="000000" w:themeColor="text1"/>
          <w:sz w:val="20"/>
          <w:szCs w:val="20"/>
        </w:rPr>
        <w:t xml:space="preserve"> </w:t>
      </w:r>
      <w:r w:rsidR="0071217D">
        <w:rPr>
          <w:color w:val="000000" w:themeColor="text1"/>
          <w:sz w:val="20"/>
          <w:szCs w:val="20"/>
        </w:rPr>
        <w:t>(</w:t>
      </w:r>
      <w:r w:rsidR="0071217D" w:rsidRPr="000110A1">
        <w:rPr>
          <w:color w:val="000000" w:themeColor="text1"/>
          <w:sz w:val="20"/>
          <w:szCs w:val="20"/>
        </w:rPr>
        <w:t>also</w:t>
      </w:r>
      <w:r w:rsidR="00FF41A0">
        <w:rPr>
          <w:color w:val="000000" w:themeColor="text1"/>
          <w:sz w:val="20"/>
          <w:szCs w:val="20"/>
        </w:rPr>
        <w:t xml:space="preserve"> </w:t>
      </w:r>
      <w:r w:rsidR="0071217D" w:rsidRPr="000110A1">
        <w:rPr>
          <w:color w:val="000000" w:themeColor="text1"/>
          <w:sz w:val="20"/>
          <w:szCs w:val="20"/>
        </w:rPr>
        <w:t>on</w:t>
      </w:r>
      <w:r w:rsidR="00FF41A0">
        <w:rPr>
          <w:color w:val="000000" w:themeColor="text1"/>
          <w:sz w:val="20"/>
          <w:szCs w:val="20"/>
        </w:rPr>
        <w:t xml:space="preserve"> </w:t>
      </w:r>
      <w:r w:rsidR="0071217D" w:rsidRPr="000110A1">
        <w:rPr>
          <w:color w:val="000000" w:themeColor="text1"/>
          <w:sz w:val="20"/>
          <w:szCs w:val="20"/>
        </w:rPr>
        <w:t>behalf</w:t>
      </w:r>
      <w:r w:rsidR="00FF41A0">
        <w:rPr>
          <w:color w:val="000000" w:themeColor="text1"/>
          <w:sz w:val="20"/>
          <w:szCs w:val="20"/>
        </w:rPr>
        <w:t xml:space="preserve"> </w:t>
      </w:r>
      <w:r w:rsidR="0071217D" w:rsidRPr="000110A1">
        <w:rPr>
          <w:color w:val="000000" w:themeColor="text1"/>
          <w:sz w:val="20"/>
          <w:szCs w:val="20"/>
        </w:rPr>
        <w:t>of</w:t>
      </w:r>
      <w:r w:rsidR="00FF41A0">
        <w:rPr>
          <w:color w:val="000000" w:themeColor="text1"/>
          <w:sz w:val="20"/>
          <w:szCs w:val="20"/>
        </w:rPr>
        <w:t xml:space="preserve"> </w:t>
      </w:r>
      <w:r w:rsidR="0071217D">
        <w:rPr>
          <w:color w:val="000000" w:themeColor="text1"/>
          <w:sz w:val="20"/>
          <w:szCs w:val="20"/>
        </w:rPr>
        <w:t>Afghanistan,</w:t>
      </w:r>
      <w:r w:rsidR="00FF41A0">
        <w:rPr>
          <w:color w:val="000000" w:themeColor="text1"/>
          <w:sz w:val="20"/>
          <w:szCs w:val="20"/>
        </w:rPr>
        <w:t xml:space="preserve"> </w:t>
      </w:r>
      <w:r w:rsidR="0071217D">
        <w:rPr>
          <w:color w:val="000000" w:themeColor="text1"/>
          <w:sz w:val="20"/>
          <w:szCs w:val="20"/>
        </w:rPr>
        <w:t>Algeria,</w:t>
      </w:r>
      <w:r w:rsidR="00CA037F">
        <w:rPr>
          <w:color w:val="000000" w:themeColor="text1"/>
          <w:sz w:val="20"/>
          <w:szCs w:val="20"/>
        </w:rPr>
        <w:t xml:space="preserve"> Angola</w:t>
      </w:r>
      <w:r w:rsidR="0071217D" w:rsidRPr="007E1EE4">
        <w:rPr>
          <w:color w:val="000000" w:themeColor="text1"/>
          <w:sz w:val="20"/>
          <w:szCs w:val="20"/>
        </w:rPr>
        <w:t>,</w:t>
      </w:r>
      <w:r w:rsidR="00FF41A0">
        <w:rPr>
          <w:color w:val="000000" w:themeColor="text1"/>
          <w:sz w:val="20"/>
          <w:szCs w:val="20"/>
        </w:rPr>
        <w:t xml:space="preserve"> </w:t>
      </w:r>
      <w:r w:rsidR="0071217D">
        <w:rPr>
          <w:color w:val="000000" w:themeColor="text1"/>
          <w:sz w:val="20"/>
          <w:szCs w:val="20"/>
        </w:rPr>
        <w:t>Azerbaijan,</w:t>
      </w:r>
      <w:r w:rsidR="00FF41A0">
        <w:rPr>
          <w:color w:val="000000" w:themeColor="text1"/>
          <w:sz w:val="20"/>
          <w:szCs w:val="20"/>
        </w:rPr>
        <w:t xml:space="preserve"> </w:t>
      </w:r>
      <w:r w:rsidR="0071217D">
        <w:rPr>
          <w:color w:val="000000" w:themeColor="text1"/>
          <w:sz w:val="20"/>
          <w:szCs w:val="20"/>
        </w:rPr>
        <w:t>Bahrain,</w:t>
      </w:r>
      <w:r w:rsidR="00FF41A0">
        <w:rPr>
          <w:color w:val="000000" w:themeColor="text1"/>
          <w:sz w:val="20"/>
          <w:szCs w:val="20"/>
        </w:rPr>
        <w:t xml:space="preserve"> </w:t>
      </w:r>
      <w:r w:rsidR="0071217D">
        <w:rPr>
          <w:color w:val="000000" w:themeColor="text1"/>
          <w:sz w:val="20"/>
          <w:szCs w:val="20"/>
        </w:rPr>
        <w:t>Bangladesh,</w:t>
      </w:r>
      <w:r w:rsidR="00FF41A0">
        <w:rPr>
          <w:color w:val="000000" w:themeColor="text1"/>
          <w:sz w:val="20"/>
          <w:szCs w:val="20"/>
        </w:rPr>
        <w:t xml:space="preserve"> </w:t>
      </w:r>
      <w:r w:rsidR="0071217D">
        <w:rPr>
          <w:color w:val="000000" w:themeColor="text1"/>
          <w:sz w:val="20"/>
          <w:szCs w:val="20"/>
        </w:rPr>
        <w:t>Benin,</w:t>
      </w:r>
      <w:r w:rsidR="00FF41A0">
        <w:rPr>
          <w:color w:val="000000" w:themeColor="text1"/>
          <w:sz w:val="20"/>
          <w:szCs w:val="20"/>
        </w:rPr>
        <w:t xml:space="preserve"> </w:t>
      </w:r>
      <w:r w:rsidR="0071217D">
        <w:rPr>
          <w:color w:val="000000" w:themeColor="text1"/>
          <w:sz w:val="20"/>
          <w:szCs w:val="20"/>
        </w:rPr>
        <w:t>Bolivia</w:t>
      </w:r>
      <w:r w:rsidR="00FF41A0">
        <w:rPr>
          <w:color w:val="000000" w:themeColor="text1"/>
          <w:sz w:val="20"/>
          <w:szCs w:val="20"/>
        </w:rPr>
        <w:t xml:space="preserve"> </w:t>
      </w:r>
      <w:r w:rsidR="0071217D">
        <w:rPr>
          <w:color w:val="000000" w:themeColor="text1"/>
          <w:sz w:val="20"/>
          <w:szCs w:val="20"/>
        </w:rPr>
        <w:t>(Plurinational</w:t>
      </w:r>
      <w:r w:rsidR="00FF41A0">
        <w:rPr>
          <w:color w:val="000000" w:themeColor="text1"/>
          <w:sz w:val="20"/>
          <w:szCs w:val="20"/>
        </w:rPr>
        <w:t xml:space="preserve"> </w:t>
      </w:r>
      <w:r w:rsidR="0071217D">
        <w:rPr>
          <w:color w:val="000000" w:themeColor="text1"/>
          <w:sz w:val="20"/>
          <w:szCs w:val="20"/>
        </w:rPr>
        <w:t>State</w:t>
      </w:r>
      <w:r w:rsidR="00FF41A0">
        <w:rPr>
          <w:color w:val="000000" w:themeColor="text1"/>
          <w:sz w:val="20"/>
          <w:szCs w:val="20"/>
        </w:rPr>
        <w:t xml:space="preserve"> </w:t>
      </w:r>
      <w:r w:rsidR="0071217D">
        <w:rPr>
          <w:color w:val="000000" w:themeColor="text1"/>
          <w:sz w:val="20"/>
          <w:szCs w:val="20"/>
        </w:rPr>
        <w:t>of),</w:t>
      </w:r>
      <w:r w:rsidR="00FF41A0">
        <w:rPr>
          <w:color w:val="000000" w:themeColor="text1"/>
          <w:sz w:val="20"/>
          <w:szCs w:val="20"/>
        </w:rPr>
        <w:t xml:space="preserve"> </w:t>
      </w:r>
      <w:r w:rsidR="0071217D">
        <w:rPr>
          <w:color w:val="000000" w:themeColor="text1"/>
          <w:sz w:val="20"/>
          <w:szCs w:val="20"/>
        </w:rPr>
        <w:t>Brunei</w:t>
      </w:r>
      <w:r w:rsidR="00FF41A0">
        <w:rPr>
          <w:color w:val="000000" w:themeColor="text1"/>
          <w:sz w:val="20"/>
          <w:szCs w:val="20"/>
        </w:rPr>
        <w:t xml:space="preserve"> </w:t>
      </w:r>
      <w:r w:rsidR="0071217D">
        <w:rPr>
          <w:color w:val="000000" w:themeColor="text1"/>
          <w:sz w:val="20"/>
          <w:szCs w:val="20"/>
        </w:rPr>
        <w:t>Darussalam,</w:t>
      </w:r>
      <w:r w:rsidR="00FF41A0">
        <w:rPr>
          <w:color w:val="000000" w:themeColor="text1"/>
          <w:sz w:val="20"/>
          <w:szCs w:val="20"/>
        </w:rPr>
        <w:t xml:space="preserve"> </w:t>
      </w:r>
      <w:r w:rsidR="0071217D">
        <w:rPr>
          <w:color w:val="000000" w:themeColor="text1"/>
          <w:sz w:val="20"/>
          <w:szCs w:val="20"/>
        </w:rPr>
        <w:t>Cameroon,</w:t>
      </w:r>
      <w:r w:rsidR="00FF41A0">
        <w:rPr>
          <w:color w:val="000000" w:themeColor="text1"/>
          <w:sz w:val="20"/>
          <w:szCs w:val="20"/>
        </w:rPr>
        <w:t xml:space="preserve"> </w:t>
      </w:r>
      <w:r w:rsidR="00912EE5">
        <w:rPr>
          <w:color w:val="000000" w:themeColor="text1"/>
          <w:sz w:val="20"/>
          <w:szCs w:val="20"/>
        </w:rPr>
        <w:t>Chad,</w:t>
      </w:r>
      <w:r w:rsidR="00FF41A0">
        <w:rPr>
          <w:color w:val="000000" w:themeColor="text1"/>
          <w:sz w:val="20"/>
          <w:szCs w:val="20"/>
        </w:rPr>
        <w:t xml:space="preserve"> </w:t>
      </w:r>
      <w:r w:rsidR="0071217D">
        <w:rPr>
          <w:color w:val="000000" w:themeColor="text1"/>
          <w:sz w:val="20"/>
          <w:szCs w:val="20"/>
        </w:rPr>
        <w:t>China,</w:t>
      </w:r>
      <w:r w:rsidR="00FF41A0">
        <w:rPr>
          <w:color w:val="000000" w:themeColor="text1"/>
          <w:sz w:val="20"/>
          <w:szCs w:val="20"/>
        </w:rPr>
        <w:t xml:space="preserve"> </w:t>
      </w:r>
      <w:r w:rsidR="0071217D" w:rsidRPr="00113DE2">
        <w:rPr>
          <w:color w:val="000000" w:themeColor="text1"/>
          <w:sz w:val="20"/>
          <w:szCs w:val="20"/>
        </w:rPr>
        <w:t>Côte</w:t>
      </w:r>
      <w:r w:rsidR="00FF41A0">
        <w:rPr>
          <w:color w:val="000000" w:themeColor="text1"/>
          <w:sz w:val="20"/>
          <w:szCs w:val="20"/>
        </w:rPr>
        <w:t xml:space="preserve"> </w:t>
      </w:r>
      <w:r w:rsidR="0071217D" w:rsidRPr="00113DE2">
        <w:rPr>
          <w:color w:val="000000" w:themeColor="text1"/>
          <w:sz w:val="20"/>
          <w:szCs w:val="20"/>
        </w:rPr>
        <w:t>d</w:t>
      </w:r>
      <w:r w:rsidR="00D72627">
        <w:rPr>
          <w:color w:val="000000" w:themeColor="text1"/>
          <w:sz w:val="20"/>
          <w:szCs w:val="20"/>
        </w:rPr>
        <w:t>’</w:t>
      </w:r>
      <w:r w:rsidR="0071217D" w:rsidRPr="00113DE2">
        <w:rPr>
          <w:color w:val="000000" w:themeColor="text1"/>
          <w:sz w:val="20"/>
          <w:szCs w:val="20"/>
        </w:rPr>
        <w:t>Ivoire</w:t>
      </w:r>
      <w:r w:rsidR="0071217D">
        <w:rPr>
          <w:color w:val="000000" w:themeColor="text1"/>
          <w:sz w:val="20"/>
          <w:szCs w:val="20"/>
        </w:rPr>
        <w:t>,</w:t>
      </w:r>
      <w:r w:rsidR="00FF41A0">
        <w:rPr>
          <w:color w:val="000000" w:themeColor="text1"/>
          <w:sz w:val="20"/>
          <w:szCs w:val="20"/>
        </w:rPr>
        <w:t xml:space="preserve"> </w:t>
      </w:r>
      <w:r w:rsidR="0071217D">
        <w:rPr>
          <w:color w:val="000000" w:themeColor="text1"/>
          <w:sz w:val="20"/>
          <w:szCs w:val="20"/>
        </w:rPr>
        <w:t>Djibouti,</w:t>
      </w:r>
      <w:r w:rsidR="00FF41A0">
        <w:rPr>
          <w:color w:val="000000" w:themeColor="text1"/>
          <w:sz w:val="20"/>
          <w:szCs w:val="20"/>
        </w:rPr>
        <w:t xml:space="preserve"> </w:t>
      </w:r>
      <w:r w:rsidR="0071217D">
        <w:rPr>
          <w:color w:val="000000" w:themeColor="text1"/>
          <w:sz w:val="20"/>
          <w:szCs w:val="20"/>
        </w:rPr>
        <w:t>Egypt,</w:t>
      </w:r>
      <w:r w:rsidR="00FF41A0">
        <w:rPr>
          <w:color w:val="000000" w:themeColor="text1"/>
          <w:sz w:val="20"/>
          <w:szCs w:val="20"/>
        </w:rPr>
        <w:t xml:space="preserve"> </w:t>
      </w:r>
      <w:r w:rsidR="0071217D">
        <w:rPr>
          <w:color w:val="000000" w:themeColor="text1"/>
          <w:sz w:val="20"/>
          <w:szCs w:val="20"/>
        </w:rPr>
        <w:t>Eritrea,</w:t>
      </w:r>
      <w:r w:rsidR="00FF41A0">
        <w:rPr>
          <w:color w:val="000000" w:themeColor="text1"/>
          <w:sz w:val="20"/>
          <w:szCs w:val="20"/>
        </w:rPr>
        <w:t xml:space="preserve"> </w:t>
      </w:r>
      <w:r w:rsidR="0071217D">
        <w:rPr>
          <w:color w:val="000000" w:themeColor="text1"/>
          <w:sz w:val="20"/>
          <w:szCs w:val="20"/>
        </w:rPr>
        <w:t>Ghana,</w:t>
      </w:r>
      <w:r w:rsidR="00FF41A0">
        <w:rPr>
          <w:color w:val="000000" w:themeColor="text1"/>
          <w:sz w:val="20"/>
          <w:szCs w:val="20"/>
        </w:rPr>
        <w:t xml:space="preserve"> </w:t>
      </w:r>
      <w:r w:rsidR="0071217D">
        <w:rPr>
          <w:color w:val="000000" w:themeColor="text1"/>
          <w:sz w:val="20"/>
          <w:szCs w:val="20"/>
        </w:rPr>
        <w:t>Indonesia,</w:t>
      </w:r>
      <w:r w:rsidR="00FF41A0">
        <w:rPr>
          <w:color w:val="000000" w:themeColor="text1"/>
          <w:sz w:val="20"/>
          <w:szCs w:val="20"/>
        </w:rPr>
        <w:t xml:space="preserve"> </w:t>
      </w:r>
      <w:r w:rsidR="0071217D">
        <w:rPr>
          <w:color w:val="000000" w:themeColor="text1"/>
          <w:sz w:val="20"/>
          <w:szCs w:val="20"/>
        </w:rPr>
        <w:t>Iraq,</w:t>
      </w:r>
      <w:r w:rsidR="00FF41A0">
        <w:rPr>
          <w:color w:val="000000" w:themeColor="text1"/>
          <w:sz w:val="20"/>
          <w:szCs w:val="20"/>
        </w:rPr>
        <w:t xml:space="preserve"> </w:t>
      </w:r>
      <w:r w:rsidR="0071217D">
        <w:rPr>
          <w:color w:val="000000" w:themeColor="text1"/>
          <w:sz w:val="20"/>
          <w:szCs w:val="20"/>
        </w:rPr>
        <w:t>Japan,</w:t>
      </w:r>
      <w:r w:rsidR="00FF41A0">
        <w:rPr>
          <w:color w:val="000000" w:themeColor="text1"/>
          <w:sz w:val="20"/>
          <w:szCs w:val="20"/>
        </w:rPr>
        <w:t xml:space="preserve"> </w:t>
      </w:r>
      <w:r w:rsidR="0071217D">
        <w:rPr>
          <w:color w:val="000000" w:themeColor="text1"/>
          <w:sz w:val="20"/>
          <w:szCs w:val="20"/>
        </w:rPr>
        <w:t>Jordan,</w:t>
      </w:r>
      <w:r w:rsidR="00FF41A0">
        <w:rPr>
          <w:color w:val="000000" w:themeColor="text1"/>
          <w:sz w:val="20"/>
          <w:szCs w:val="20"/>
        </w:rPr>
        <w:t xml:space="preserve"> </w:t>
      </w:r>
      <w:r w:rsidR="0071217D">
        <w:rPr>
          <w:color w:val="000000" w:themeColor="text1"/>
          <w:sz w:val="20"/>
          <w:szCs w:val="20"/>
        </w:rPr>
        <w:t>Kuwait,</w:t>
      </w:r>
      <w:r w:rsidR="00FF41A0">
        <w:rPr>
          <w:color w:val="000000" w:themeColor="text1"/>
          <w:sz w:val="20"/>
          <w:szCs w:val="20"/>
        </w:rPr>
        <w:t xml:space="preserve"> </w:t>
      </w:r>
      <w:r w:rsidR="0071217D">
        <w:rPr>
          <w:color w:val="000000" w:themeColor="text1"/>
          <w:sz w:val="20"/>
          <w:szCs w:val="20"/>
        </w:rPr>
        <w:t>Lebanon,</w:t>
      </w:r>
      <w:r w:rsidR="00FF41A0">
        <w:rPr>
          <w:color w:val="000000" w:themeColor="text1"/>
          <w:sz w:val="20"/>
          <w:szCs w:val="20"/>
        </w:rPr>
        <w:t xml:space="preserve"> </w:t>
      </w:r>
      <w:r w:rsidR="0071217D">
        <w:rPr>
          <w:color w:val="000000" w:themeColor="text1"/>
          <w:sz w:val="20"/>
          <w:szCs w:val="20"/>
        </w:rPr>
        <w:t>Libya,</w:t>
      </w:r>
      <w:r w:rsidR="00FF41A0">
        <w:rPr>
          <w:color w:val="000000" w:themeColor="text1"/>
          <w:sz w:val="20"/>
          <w:szCs w:val="20"/>
        </w:rPr>
        <w:t xml:space="preserve"> </w:t>
      </w:r>
      <w:r w:rsidR="0071217D">
        <w:rPr>
          <w:color w:val="000000" w:themeColor="text1"/>
          <w:sz w:val="20"/>
          <w:szCs w:val="20"/>
        </w:rPr>
        <w:t>Malaysia,</w:t>
      </w:r>
      <w:r w:rsidR="00FF41A0">
        <w:rPr>
          <w:color w:val="000000" w:themeColor="text1"/>
          <w:sz w:val="20"/>
          <w:szCs w:val="20"/>
        </w:rPr>
        <w:t xml:space="preserve"> </w:t>
      </w:r>
      <w:r w:rsidR="0071217D">
        <w:rPr>
          <w:color w:val="000000" w:themeColor="text1"/>
          <w:sz w:val="20"/>
          <w:szCs w:val="20"/>
        </w:rPr>
        <w:t>Maldives,</w:t>
      </w:r>
      <w:r w:rsidR="00FF41A0">
        <w:rPr>
          <w:color w:val="000000" w:themeColor="text1"/>
          <w:sz w:val="20"/>
          <w:szCs w:val="20"/>
        </w:rPr>
        <w:t xml:space="preserve"> </w:t>
      </w:r>
      <w:r w:rsidR="0071217D">
        <w:rPr>
          <w:color w:val="000000" w:themeColor="text1"/>
          <w:sz w:val="20"/>
          <w:szCs w:val="20"/>
        </w:rPr>
        <w:t>Mauritania,</w:t>
      </w:r>
      <w:r w:rsidR="00FF41A0">
        <w:rPr>
          <w:color w:val="000000" w:themeColor="text1"/>
          <w:sz w:val="20"/>
          <w:szCs w:val="20"/>
        </w:rPr>
        <w:t xml:space="preserve"> </w:t>
      </w:r>
      <w:r w:rsidR="0071217D">
        <w:rPr>
          <w:color w:val="000000" w:themeColor="text1"/>
          <w:sz w:val="20"/>
          <w:szCs w:val="20"/>
        </w:rPr>
        <w:t>Morocco,</w:t>
      </w:r>
      <w:r w:rsidR="00FF41A0">
        <w:rPr>
          <w:color w:val="000000" w:themeColor="text1"/>
          <w:sz w:val="20"/>
          <w:szCs w:val="20"/>
        </w:rPr>
        <w:t xml:space="preserve"> </w:t>
      </w:r>
      <w:r w:rsidR="0071217D">
        <w:rPr>
          <w:color w:val="000000" w:themeColor="text1"/>
          <w:sz w:val="20"/>
          <w:szCs w:val="20"/>
        </w:rPr>
        <w:t>Niger,</w:t>
      </w:r>
      <w:r w:rsidR="00FF41A0">
        <w:rPr>
          <w:color w:val="000000" w:themeColor="text1"/>
          <w:sz w:val="20"/>
          <w:szCs w:val="20"/>
        </w:rPr>
        <w:t xml:space="preserve"> </w:t>
      </w:r>
      <w:r w:rsidR="0071217D">
        <w:rPr>
          <w:color w:val="000000" w:themeColor="text1"/>
          <w:sz w:val="20"/>
          <w:szCs w:val="20"/>
        </w:rPr>
        <w:t>Nigeria,</w:t>
      </w:r>
      <w:r w:rsidR="00FF41A0">
        <w:rPr>
          <w:color w:val="000000" w:themeColor="text1"/>
          <w:sz w:val="20"/>
          <w:szCs w:val="20"/>
        </w:rPr>
        <w:t xml:space="preserve"> </w:t>
      </w:r>
      <w:r w:rsidR="0071217D">
        <w:rPr>
          <w:color w:val="000000" w:themeColor="text1"/>
          <w:sz w:val="20"/>
          <w:szCs w:val="20"/>
        </w:rPr>
        <w:t>Oman,</w:t>
      </w:r>
      <w:r w:rsidR="00FF41A0">
        <w:rPr>
          <w:color w:val="000000" w:themeColor="text1"/>
          <w:sz w:val="20"/>
          <w:szCs w:val="20"/>
        </w:rPr>
        <w:t xml:space="preserve"> </w:t>
      </w:r>
      <w:r w:rsidR="0071217D">
        <w:rPr>
          <w:color w:val="000000" w:themeColor="text1"/>
          <w:sz w:val="20"/>
          <w:szCs w:val="20"/>
        </w:rPr>
        <w:t>Pakistan,</w:t>
      </w:r>
      <w:r w:rsidR="00FF41A0">
        <w:rPr>
          <w:color w:val="000000" w:themeColor="text1"/>
          <w:sz w:val="20"/>
          <w:szCs w:val="20"/>
        </w:rPr>
        <w:t xml:space="preserve"> </w:t>
      </w:r>
      <w:r w:rsidR="0071217D">
        <w:rPr>
          <w:color w:val="000000" w:themeColor="text1"/>
          <w:sz w:val="20"/>
          <w:szCs w:val="20"/>
        </w:rPr>
        <w:t>the</w:t>
      </w:r>
      <w:r w:rsidR="00FF41A0">
        <w:rPr>
          <w:color w:val="000000" w:themeColor="text1"/>
          <w:sz w:val="20"/>
          <w:szCs w:val="20"/>
        </w:rPr>
        <w:t xml:space="preserve"> </w:t>
      </w:r>
      <w:r w:rsidR="0071217D">
        <w:rPr>
          <w:color w:val="000000" w:themeColor="text1"/>
          <w:sz w:val="20"/>
          <w:szCs w:val="20"/>
        </w:rPr>
        <w:t>Philippines,</w:t>
      </w:r>
      <w:r w:rsidR="00FF41A0">
        <w:rPr>
          <w:color w:val="000000" w:themeColor="text1"/>
          <w:sz w:val="20"/>
          <w:szCs w:val="20"/>
        </w:rPr>
        <w:t xml:space="preserve"> </w:t>
      </w:r>
      <w:r w:rsidR="0071217D">
        <w:rPr>
          <w:color w:val="000000" w:themeColor="text1"/>
          <w:sz w:val="20"/>
          <w:szCs w:val="20"/>
        </w:rPr>
        <w:t>the</w:t>
      </w:r>
      <w:r w:rsidR="00FF41A0">
        <w:rPr>
          <w:color w:val="000000" w:themeColor="text1"/>
          <w:sz w:val="20"/>
          <w:szCs w:val="20"/>
        </w:rPr>
        <w:t xml:space="preserve"> </w:t>
      </w:r>
      <w:r w:rsidR="0071217D">
        <w:rPr>
          <w:color w:val="000000" w:themeColor="text1"/>
          <w:sz w:val="20"/>
          <w:szCs w:val="20"/>
        </w:rPr>
        <w:t>Russian</w:t>
      </w:r>
      <w:r w:rsidR="00FF41A0">
        <w:rPr>
          <w:color w:val="000000" w:themeColor="text1"/>
          <w:sz w:val="20"/>
          <w:szCs w:val="20"/>
        </w:rPr>
        <w:t xml:space="preserve"> </w:t>
      </w:r>
      <w:r w:rsidR="0071217D">
        <w:rPr>
          <w:color w:val="000000" w:themeColor="text1"/>
          <w:sz w:val="20"/>
          <w:szCs w:val="20"/>
        </w:rPr>
        <w:t>Federation,</w:t>
      </w:r>
      <w:r w:rsidR="00FF41A0">
        <w:rPr>
          <w:color w:val="000000" w:themeColor="text1"/>
          <w:sz w:val="20"/>
          <w:szCs w:val="20"/>
        </w:rPr>
        <w:t xml:space="preserve"> </w:t>
      </w:r>
      <w:r w:rsidR="0071217D">
        <w:rPr>
          <w:color w:val="000000" w:themeColor="text1"/>
          <w:sz w:val="20"/>
          <w:szCs w:val="20"/>
        </w:rPr>
        <w:t>South</w:t>
      </w:r>
      <w:r w:rsidR="00FF41A0">
        <w:rPr>
          <w:color w:val="000000" w:themeColor="text1"/>
          <w:sz w:val="20"/>
          <w:szCs w:val="20"/>
        </w:rPr>
        <w:t xml:space="preserve"> </w:t>
      </w:r>
      <w:r w:rsidR="0071217D">
        <w:rPr>
          <w:color w:val="000000" w:themeColor="text1"/>
          <w:sz w:val="20"/>
          <w:szCs w:val="20"/>
        </w:rPr>
        <w:t>Africa,</w:t>
      </w:r>
      <w:r w:rsidR="00FF41A0">
        <w:rPr>
          <w:color w:val="000000" w:themeColor="text1"/>
          <w:sz w:val="20"/>
          <w:szCs w:val="20"/>
        </w:rPr>
        <w:t xml:space="preserve"> </w:t>
      </w:r>
      <w:r w:rsidR="0071217D">
        <w:rPr>
          <w:color w:val="000000" w:themeColor="text1"/>
          <w:sz w:val="20"/>
          <w:szCs w:val="20"/>
        </w:rPr>
        <w:t>South</w:t>
      </w:r>
      <w:r w:rsidR="00FF41A0">
        <w:rPr>
          <w:color w:val="000000" w:themeColor="text1"/>
          <w:sz w:val="20"/>
          <w:szCs w:val="20"/>
        </w:rPr>
        <w:t xml:space="preserve"> </w:t>
      </w:r>
      <w:r w:rsidR="0071217D">
        <w:rPr>
          <w:color w:val="000000" w:themeColor="text1"/>
          <w:sz w:val="20"/>
          <w:szCs w:val="20"/>
        </w:rPr>
        <w:t>Sudan,</w:t>
      </w:r>
      <w:r w:rsidR="00FF41A0">
        <w:rPr>
          <w:color w:val="000000" w:themeColor="text1"/>
          <w:sz w:val="20"/>
          <w:szCs w:val="20"/>
        </w:rPr>
        <w:t xml:space="preserve"> </w:t>
      </w:r>
      <w:r w:rsidR="0071217D">
        <w:rPr>
          <w:color w:val="000000" w:themeColor="text1"/>
          <w:sz w:val="20"/>
          <w:szCs w:val="20"/>
        </w:rPr>
        <w:t>the</w:t>
      </w:r>
      <w:r w:rsidR="00FF41A0">
        <w:rPr>
          <w:color w:val="000000" w:themeColor="text1"/>
          <w:sz w:val="20"/>
          <w:szCs w:val="20"/>
        </w:rPr>
        <w:t xml:space="preserve"> </w:t>
      </w:r>
      <w:r w:rsidR="0071217D">
        <w:rPr>
          <w:color w:val="000000" w:themeColor="text1"/>
          <w:sz w:val="20"/>
          <w:szCs w:val="20"/>
        </w:rPr>
        <w:t>Sudan,</w:t>
      </w:r>
      <w:r w:rsidR="00FF41A0">
        <w:rPr>
          <w:color w:val="000000" w:themeColor="text1"/>
          <w:sz w:val="20"/>
          <w:szCs w:val="20"/>
        </w:rPr>
        <w:t xml:space="preserve"> </w:t>
      </w:r>
      <w:r w:rsidR="0071217D">
        <w:rPr>
          <w:color w:val="000000" w:themeColor="text1"/>
          <w:sz w:val="20"/>
          <w:szCs w:val="20"/>
        </w:rPr>
        <w:t>Tunisia,</w:t>
      </w:r>
      <w:r w:rsidR="00FF41A0">
        <w:rPr>
          <w:color w:val="000000" w:themeColor="text1"/>
          <w:sz w:val="20"/>
          <w:szCs w:val="20"/>
        </w:rPr>
        <w:t xml:space="preserve"> </w:t>
      </w:r>
      <w:r w:rsidR="0071217D">
        <w:rPr>
          <w:color w:val="000000" w:themeColor="text1"/>
          <w:sz w:val="20"/>
          <w:szCs w:val="20"/>
        </w:rPr>
        <w:t>Turkey,</w:t>
      </w:r>
      <w:r w:rsidR="00FF41A0">
        <w:rPr>
          <w:color w:val="000000" w:themeColor="text1"/>
          <w:sz w:val="20"/>
          <w:szCs w:val="20"/>
        </w:rPr>
        <w:t xml:space="preserve"> </w:t>
      </w:r>
      <w:r w:rsidR="007E1EE4">
        <w:rPr>
          <w:color w:val="000000" w:themeColor="text1"/>
          <w:sz w:val="20"/>
          <w:szCs w:val="20"/>
        </w:rPr>
        <w:t xml:space="preserve">Turkmenistan, </w:t>
      </w:r>
      <w:r w:rsidR="0071217D">
        <w:rPr>
          <w:color w:val="000000" w:themeColor="text1"/>
          <w:sz w:val="20"/>
          <w:szCs w:val="20"/>
        </w:rPr>
        <w:t>the</w:t>
      </w:r>
      <w:r w:rsidR="00FF41A0">
        <w:rPr>
          <w:color w:val="000000" w:themeColor="text1"/>
          <w:sz w:val="20"/>
          <w:szCs w:val="20"/>
        </w:rPr>
        <w:t xml:space="preserve"> </w:t>
      </w:r>
      <w:r w:rsidR="0071217D">
        <w:rPr>
          <w:color w:val="000000" w:themeColor="text1"/>
          <w:sz w:val="20"/>
          <w:szCs w:val="20"/>
        </w:rPr>
        <w:t>United</w:t>
      </w:r>
      <w:r w:rsidR="00FF41A0">
        <w:rPr>
          <w:color w:val="000000" w:themeColor="text1"/>
          <w:sz w:val="20"/>
          <w:szCs w:val="20"/>
        </w:rPr>
        <w:t xml:space="preserve"> </w:t>
      </w:r>
      <w:r w:rsidR="0071217D">
        <w:rPr>
          <w:color w:val="000000" w:themeColor="text1"/>
          <w:sz w:val="20"/>
          <w:szCs w:val="20"/>
        </w:rPr>
        <w:t>Arab</w:t>
      </w:r>
      <w:r w:rsidR="00FF41A0">
        <w:rPr>
          <w:color w:val="000000" w:themeColor="text1"/>
          <w:sz w:val="20"/>
          <w:szCs w:val="20"/>
        </w:rPr>
        <w:t xml:space="preserve"> </w:t>
      </w:r>
      <w:r w:rsidR="0071217D">
        <w:rPr>
          <w:color w:val="000000" w:themeColor="text1"/>
          <w:sz w:val="20"/>
          <w:szCs w:val="20"/>
        </w:rPr>
        <w:t>Emirates,</w:t>
      </w:r>
      <w:r w:rsidR="00FF41A0">
        <w:rPr>
          <w:color w:val="000000" w:themeColor="text1"/>
          <w:sz w:val="20"/>
          <w:szCs w:val="20"/>
        </w:rPr>
        <w:t xml:space="preserve"> </w:t>
      </w:r>
      <w:r w:rsidR="0071217D">
        <w:rPr>
          <w:color w:val="000000" w:themeColor="text1"/>
          <w:sz w:val="20"/>
          <w:szCs w:val="20"/>
        </w:rPr>
        <w:t>Venezuela</w:t>
      </w:r>
      <w:r w:rsidR="00FF41A0">
        <w:rPr>
          <w:color w:val="000000" w:themeColor="text1"/>
          <w:sz w:val="20"/>
          <w:szCs w:val="20"/>
        </w:rPr>
        <w:t xml:space="preserve"> </w:t>
      </w:r>
      <w:r w:rsidR="0071217D">
        <w:rPr>
          <w:color w:val="000000" w:themeColor="text1"/>
          <w:sz w:val="20"/>
          <w:szCs w:val="20"/>
        </w:rPr>
        <w:t>(Bolivarian</w:t>
      </w:r>
      <w:r w:rsidR="00FF41A0">
        <w:rPr>
          <w:color w:val="000000" w:themeColor="text1"/>
          <w:sz w:val="20"/>
          <w:szCs w:val="20"/>
        </w:rPr>
        <w:t xml:space="preserve"> </w:t>
      </w:r>
      <w:r w:rsidR="0071217D">
        <w:rPr>
          <w:color w:val="000000" w:themeColor="text1"/>
          <w:sz w:val="20"/>
          <w:szCs w:val="20"/>
        </w:rPr>
        <w:t>Republic</w:t>
      </w:r>
      <w:r w:rsidR="00FF41A0">
        <w:rPr>
          <w:color w:val="000000" w:themeColor="text1"/>
          <w:sz w:val="20"/>
          <w:szCs w:val="20"/>
        </w:rPr>
        <w:t xml:space="preserve"> </w:t>
      </w:r>
      <w:r w:rsidR="0071217D">
        <w:rPr>
          <w:color w:val="000000" w:themeColor="text1"/>
          <w:sz w:val="20"/>
          <w:szCs w:val="20"/>
        </w:rPr>
        <w:t>of),</w:t>
      </w:r>
      <w:r w:rsidR="00FF41A0">
        <w:rPr>
          <w:color w:val="000000" w:themeColor="text1"/>
          <w:sz w:val="20"/>
          <w:szCs w:val="20"/>
        </w:rPr>
        <w:t xml:space="preserve"> </w:t>
      </w:r>
      <w:r w:rsidR="0071217D">
        <w:rPr>
          <w:color w:val="000000" w:themeColor="text1"/>
          <w:sz w:val="20"/>
          <w:szCs w:val="20"/>
        </w:rPr>
        <w:t>Yemen,</w:t>
      </w:r>
      <w:r w:rsidR="00FF41A0">
        <w:rPr>
          <w:color w:val="000000" w:themeColor="text1"/>
          <w:sz w:val="20"/>
          <w:szCs w:val="20"/>
        </w:rPr>
        <w:t xml:space="preserve"> </w:t>
      </w:r>
      <w:r w:rsidR="0071217D">
        <w:rPr>
          <w:color w:val="000000" w:themeColor="text1"/>
          <w:sz w:val="20"/>
          <w:szCs w:val="20"/>
        </w:rPr>
        <w:t>Zambia</w:t>
      </w:r>
      <w:r w:rsidR="00FF41A0">
        <w:rPr>
          <w:color w:val="000000" w:themeColor="text1"/>
          <w:sz w:val="20"/>
          <w:szCs w:val="20"/>
        </w:rPr>
        <w:t xml:space="preserve"> </w:t>
      </w:r>
      <w:r w:rsidR="0071217D">
        <w:rPr>
          <w:color w:val="000000" w:themeColor="text1"/>
          <w:sz w:val="20"/>
          <w:szCs w:val="20"/>
        </w:rPr>
        <w:t>and</w:t>
      </w:r>
      <w:r w:rsidR="00FF41A0">
        <w:rPr>
          <w:color w:val="000000" w:themeColor="text1"/>
          <w:sz w:val="20"/>
          <w:szCs w:val="20"/>
        </w:rPr>
        <w:t xml:space="preserve"> </w:t>
      </w:r>
      <w:r w:rsidR="0071217D">
        <w:rPr>
          <w:color w:val="000000" w:themeColor="text1"/>
          <w:sz w:val="20"/>
          <w:szCs w:val="20"/>
        </w:rPr>
        <w:t>the</w:t>
      </w:r>
      <w:r w:rsidR="00FF41A0">
        <w:rPr>
          <w:color w:val="000000" w:themeColor="text1"/>
          <w:sz w:val="20"/>
          <w:szCs w:val="20"/>
        </w:rPr>
        <w:t xml:space="preserve"> </w:t>
      </w:r>
      <w:r w:rsidR="0071217D">
        <w:rPr>
          <w:color w:val="000000" w:themeColor="text1"/>
          <w:sz w:val="20"/>
          <w:szCs w:val="20"/>
        </w:rPr>
        <w:t>State</w:t>
      </w:r>
      <w:r w:rsidR="00FF41A0">
        <w:rPr>
          <w:color w:val="000000" w:themeColor="text1"/>
          <w:sz w:val="20"/>
          <w:szCs w:val="20"/>
        </w:rPr>
        <w:t xml:space="preserve"> </w:t>
      </w:r>
      <w:r w:rsidR="0071217D">
        <w:rPr>
          <w:color w:val="000000" w:themeColor="text1"/>
          <w:sz w:val="20"/>
          <w:szCs w:val="20"/>
        </w:rPr>
        <w:t>of</w:t>
      </w:r>
      <w:r w:rsidR="00FF41A0">
        <w:rPr>
          <w:color w:val="000000" w:themeColor="text1"/>
          <w:sz w:val="20"/>
          <w:szCs w:val="20"/>
        </w:rPr>
        <w:t xml:space="preserve"> </w:t>
      </w:r>
      <w:r w:rsidR="0071217D">
        <w:rPr>
          <w:color w:val="000000" w:themeColor="text1"/>
          <w:sz w:val="20"/>
          <w:szCs w:val="20"/>
        </w:rPr>
        <w:t>Palestine),</w:t>
      </w:r>
      <w:r w:rsidR="00FF41A0">
        <w:rPr>
          <w:color w:val="000000" w:themeColor="text1"/>
          <w:sz w:val="20"/>
          <w:szCs w:val="20"/>
        </w:rPr>
        <w:t xml:space="preserve"> </w:t>
      </w:r>
      <w:r w:rsidR="0071217D" w:rsidRPr="0071217D">
        <w:rPr>
          <w:color w:val="000000" w:themeColor="text1"/>
          <w:sz w:val="20"/>
          <w:szCs w:val="20"/>
        </w:rPr>
        <w:t>South</w:t>
      </w:r>
      <w:r w:rsidR="00FF41A0">
        <w:rPr>
          <w:color w:val="000000" w:themeColor="text1"/>
          <w:sz w:val="20"/>
          <w:szCs w:val="20"/>
        </w:rPr>
        <w:t xml:space="preserve"> </w:t>
      </w:r>
      <w:r w:rsidR="0071217D" w:rsidRPr="0071217D">
        <w:rPr>
          <w:color w:val="000000" w:themeColor="text1"/>
          <w:sz w:val="20"/>
          <w:szCs w:val="20"/>
        </w:rPr>
        <w:t>Africa</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Tunisia</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Ukraine</w:t>
      </w:r>
      <w:r w:rsidR="0071217D">
        <w:rPr>
          <w:color w:val="000000" w:themeColor="text1"/>
          <w:sz w:val="20"/>
          <w:szCs w:val="20"/>
        </w:rPr>
        <w:t>,</w:t>
      </w:r>
      <w:r w:rsidR="00FF41A0">
        <w:rPr>
          <w:color w:val="000000" w:themeColor="text1"/>
          <w:sz w:val="20"/>
          <w:szCs w:val="20"/>
        </w:rPr>
        <w:t xml:space="preserve"> </w:t>
      </w:r>
      <w:r w:rsidR="0071217D" w:rsidRPr="007E13DD">
        <w:rPr>
          <w:color w:val="000000" w:themeColor="text1"/>
          <w:sz w:val="20"/>
          <w:szCs w:val="20"/>
        </w:rPr>
        <w:t>Venezuela</w:t>
      </w:r>
      <w:r w:rsidR="00FF41A0">
        <w:rPr>
          <w:color w:val="000000" w:themeColor="text1"/>
          <w:sz w:val="20"/>
          <w:szCs w:val="20"/>
        </w:rPr>
        <w:t xml:space="preserve"> </w:t>
      </w:r>
      <w:r w:rsidR="0071217D" w:rsidRPr="007E13DD">
        <w:rPr>
          <w:color w:val="000000" w:themeColor="text1"/>
          <w:sz w:val="20"/>
          <w:szCs w:val="20"/>
        </w:rPr>
        <w:t>(Bolivarian</w:t>
      </w:r>
      <w:r w:rsidR="00FF41A0">
        <w:rPr>
          <w:color w:val="000000" w:themeColor="text1"/>
          <w:sz w:val="20"/>
          <w:szCs w:val="20"/>
        </w:rPr>
        <w:t xml:space="preserve"> </w:t>
      </w:r>
      <w:r w:rsidR="0071217D" w:rsidRPr="007E13DD">
        <w:rPr>
          <w:color w:val="000000" w:themeColor="text1"/>
          <w:sz w:val="20"/>
          <w:szCs w:val="20"/>
        </w:rPr>
        <w:t>Republic</w:t>
      </w:r>
      <w:r w:rsidR="00FF41A0">
        <w:rPr>
          <w:color w:val="000000" w:themeColor="text1"/>
          <w:sz w:val="20"/>
          <w:szCs w:val="20"/>
        </w:rPr>
        <w:t xml:space="preserve"> </w:t>
      </w:r>
      <w:r w:rsidR="0071217D" w:rsidRPr="007E13DD">
        <w:rPr>
          <w:color w:val="000000" w:themeColor="text1"/>
          <w:sz w:val="20"/>
          <w:szCs w:val="20"/>
        </w:rPr>
        <w:t>of)</w:t>
      </w:r>
      <w:r w:rsidR="000943B0">
        <w:rPr>
          <w:rStyle w:val="FootnoteReference"/>
          <w:color w:val="000000" w:themeColor="text1"/>
          <w:szCs w:val="20"/>
        </w:rPr>
        <w:footnoteReference w:id="78"/>
      </w:r>
      <w:r w:rsidR="00FF41A0">
        <w:rPr>
          <w:color w:val="000000" w:themeColor="text1"/>
          <w:sz w:val="20"/>
          <w:szCs w:val="20"/>
        </w:rPr>
        <w:t xml:space="preserve"> </w:t>
      </w:r>
      <w:r w:rsidR="0071217D">
        <w:rPr>
          <w:color w:val="000000" w:themeColor="text1"/>
          <w:sz w:val="20"/>
          <w:szCs w:val="20"/>
        </w:rPr>
        <w:t>(</w:t>
      </w:r>
      <w:r w:rsidR="0071217D" w:rsidRPr="0067399B">
        <w:rPr>
          <w:color w:val="000000" w:themeColor="text1"/>
          <w:sz w:val="20"/>
          <w:szCs w:val="20"/>
        </w:rPr>
        <w:t>on</w:t>
      </w:r>
      <w:r w:rsidR="00FF41A0">
        <w:rPr>
          <w:color w:val="000000" w:themeColor="text1"/>
          <w:sz w:val="20"/>
          <w:szCs w:val="20"/>
        </w:rPr>
        <w:t xml:space="preserve"> </w:t>
      </w:r>
      <w:r w:rsidR="0071217D" w:rsidRPr="0067399B">
        <w:rPr>
          <w:color w:val="000000" w:themeColor="text1"/>
          <w:sz w:val="20"/>
          <w:szCs w:val="20"/>
        </w:rPr>
        <w:t>behalf</w:t>
      </w:r>
      <w:r w:rsidR="00FF41A0">
        <w:rPr>
          <w:color w:val="000000" w:themeColor="text1"/>
          <w:sz w:val="20"/>
          <w:szCs w:val="20"/>
        </w:rPr>
        <w:t xml:space="preserve"> </w:t>
      </w:r>
      <w:r w:rsidR="0071217D" w:rsidRPr="0067399B">
        <w:rPr>
          <w:color w:val="000000" w:themeColor="text1"/>
          <w:sz w:val="20"/>
          <w:szCs w:val="20"/>
        </w:rPr>
        <w:t>of</w:t>
      </w:r>
      <w:r w:rsidR="00FF41A0">
        <w:rPr>
          <w:color w:val="000000" w:themeColor="text1"/>
          <w:sz w:val="20"/>
          <w:szCs w:val="20"/>
        </w:rPr>
        <w:t xml:space="preserve"> </w:t>
      </w:r>
      <w:r w:rsidR="0071217D" w:rsidRPr="0067399B">
        <w:rPr>
          <w:color w:val="000000" w:themeColor="text1"/>
          <w:sz w:val="20"/>
          <w:szCs w:val="20"/>
        </w:rPr>
        <w:t>the</w:t>
      </w:r>
      <w:r w:rsidR="00FF41A0">
        <w:rPr>
          <w:color w:val="000000" w:themeColor="text1"/>
          <w:sz w:val="20"/>
          <w:szCs w:val="20"/>
        </w:rPr>
        <w:t xml:space="preserve"> </w:t>
      </w:r>
      <w:r w:rsidR="0071217D" w:rsidRPr="0040040E">
        <w:rPr>
          <w:color w:val="000000" w:themeColor="text1"/>
          <w:sz w:val="20"/>
          <w:szCs w:val="20"/>
        </w:rPr>
        <w:t>Movement</w:t>
      </w:r>
      <w:r w:rsidR="00FF41A0">
        <w:rPr>
          <w:color w:val="000000" w:themeColor="text1"/>
          <w:sz w:val="20"/>
          <w:szCs w:val="20"/>
        </w:rPr>
        <w:t xml:space="preserve"> </w:t>
      </w:r>
      <w:r w:rsidR="0071217D" w:rsidRPr="0040040E">
        <w:rPr>
          <w:color w:val="000000" w:themeColor="text1"/>
          <w:sz w:val="20"/>
          <w:szCs w:val="20"/>
        </w:rPr>
        <w:t>of</w:t>
      </w:r>
      <w:r w:rsidR="00FF41A0">
        <w:rPr>
          <w:color w:val="000000" w:themeColor="text1"/>
          <w:sz w:val="20"/>
          <w:szCs w:val="20"/>
        </w:rPr>
        <w:t xml:space="preserve"> </w:t>
      </w:r>
      <w:r w:rsidR="0071217D" w:rsidRPr="0040040E">
        <w:rPr>
          <w:color w:val="000000" w:themeColor="text1"/>
          <w:sz w:val="20"/>
          <w:szCs w:val="20"/>
        </w:rPr>
        <w:t>Non-Aligned</w:t>
      </w:r>
      <w:r w:rsidR="00FF41A0">
        <w:rPr>
          <w:color w:val="000000" w:themeColor="text1"/>
          <w:sz w:val="20"/>
          <w:szCs w:val="20"/>
        </w:rPr>
        <w:t xml:space="preserve"> </w:t>
      </w:r>
      <w:r w:rsidR="0071217D" w:rsidRPr="0040040E">
        <w:rPr>
          <w:color w:val="000000" w:themeColor="text1"/>
          <w:sz w:val="20"/>
          <w:szCs w:val="20"/>
        </w:rPr>
        <w:t>Countries</w:t>
      </w:r>
      <w:r w:rsidR="00FF41A0">
        <w:rPr>
          <w:color w:val="000000" w:themeColor="text1"/>
          <w:sz w:val="20"/>
          <w:szCs w:val="20"/>
        </w:rPr>
        <w:t xml:space="preserve"> </w:t>
      </w:r>
      <w:r w:rsidR="0071217D">
        <w:rPr>
          <w:color w:val="000000" w:themeColor="text1"/>
          <w:sz w:val="20"/>
          <w:szCs w:val="20"/>
        </w:rPr>
        <w:t>except</w:t>
      </w:r>
      <w:r w:rsidR="00FF41A0">
        <w:rPr>
          <w:color w:val="000000" w:themeColor="text1"/>
          <w:sz w:val="20"/>
          <w:szCs w:val="20"/>
        </w:rPr>
        <w:t xml:space="preserve"> </w:t>
      </w:r>
      <w:r w:rsidR="0071217D" w:rsidRPr="00BE3BC7">
        <w:rPr>
          <w:color w:val="000000" w:themeColor="text1"/>
          <w:sz w:val="20"/>
          <w:szCs w:val="20"/>
        </w:rPr>
        <w:t>Colombia,</w:t>
      </w:r>
      <w:r w:rsidR="00FF41A0">
        <w:rPr>
          <w:color w:val="000000" w:themeColor="text1"/>
          <w:sz w:val="20"/>
          <w:szCs w:val="20"/>
        </w:rPr>
        <w:t xml:space="preserve"> </w:t>
      </w:r>
      <w:r w:rsidR="0071217D" w:rsidRPr="00BE3BC7">
        <w:rPr>
          <w:color w:val="000000" w:themeColor="text1"/>
          <w:sz w:val="20"/>
          <w:szCs w:val="20"/>
        </w:rPr>
        <w:t>Ecuador</w:t>
      </w:r>
      <w:r w:rsidR="00FF41A0">
        <w:rPr>
          <w:color w:val="000000" w:themeColor="text1"/>
          <w:sz w:val="20"/>
          <w:szCs w:val="20"/>
        </w:rPr>
        <w:t xml:space="preserve"> </w:t>
      </w:r>
      <w:r w:rsidR="0071217D" w:rsidRPr="00BE3BC7">
        <w:rPr>
          <w:color w:val="000000" w:themeColor="text1"/>
          <w:sz w:val="20"/>
          <w:szCs w:val="20"/>
        </w:rPr>
        <w:t>and</w:t>
      </w:r>
      <w:r w:rsidR="00FF41A0">
        <w:rPr>
          <w:color w:val="000000" w:themeColor="text1"/>
          <w:sz w:val="20"/>
          <w:szCs w:val="20"/>
        </w:rPr>
        <w:t xml:space="preserve"> </w:t>
      </w:r>
      <w:r w:rsidR="0071217D" w:rsidRPr="00BE3BC7">
        <w:rPr>
          <w:color w:val="000000" w:themeColor="text1"/>
          <w:sz w:val="20"/>
          <w:szCs w:val="20"/>
        </w:rPr>
        <w:t>Peru</w:t>
      </w:r>
      <w:r w:rsidR="0071217D">
        <w:rPr>
          <w:color w:val="000000" w:themeColor="text1"/>
          <w:sz w:val="20"/>
          <w:szCs w:val="20"/>
        </w:rPr>
        <w:t>)</w:t>
      </w:r>
      <w:r w:rsidR="008E3D07" w:rsidRPr="00113DE2">
        <w:rPr>
          <w:color w:val="000000" w:themeColor="text1"/>
          <w:sz w:val="20"/>
          <w:szCs w:val="20"/>
        </w:rPr>
        <w:t>;</w:t>
      </w:r>
    </w:p>
    <w:p w14:paraId="2EA58DBD" w14:textId="130587DE" w:rsidR="00F11B08" w:rsidRPr="00113DE2" w:rsidRDefault="007E13DD" w:rsidP="00F11B08">
      <w:pPr>
        <w:pStyle w:val="SingleTxtG"/>
        <w:tabs>
          <w:tab w:val="left" w:pos="2086"/>
        </w:tabs>
        <w:ind w:firstLine="567"/>
        <w:rPr>
          <w:color w:val="000000" w:themeColor="text1"/>
          <w:sz w:val="20"/>
          <w:szCs w:val="20"/>
        </w:rPr>
      </w:pPr>
      <w:r>
        <w:rPr>
          <w:color w:val="000000" w:themeColor="text1"/>
          <w:sz w:val="20"/>
          <w:szCs w:val="20"/>
        </w:rPr>
        <w:t>(b)</w:t>
      </w:r>
      <w:r>
        <w:rPr>
          <w:color w:val="000000" w:themeColor="text1"/>
          <w:sz w:val="20"/>
          <w:szCs w:val="20"/>
        </w:rPr>
        <w:tab/>
      </w:r>
      <w:r w:rsidR="00F11B08" w:rsidRPr="00113DE2">
        <w:rPr>
          <w:color w:val="000000" w:themeColor="text1"/>
          <w:sz w:val="20"/>
          <w:szCs w:val="20"/>
        </w:rPr>
        <w:t>Representatives</w:t>
      </w:r>
      <w:r w:rsidR="00FF41A0">
        <w:rPr>
          <w:color w:val="000000" w:themeColor="text1"/>
          <w:sz w:val="20"/>
          <w:szCs w:val="20"/>
        </w:rPr>
        <w:t xml:space="preserve"> </w:t>
      </w:r>
      <w:r w:rsidR="00F11B08" w:rsidRPr="00113DE2">
        <w:rPr>
          <w:color w:val="000000" w:themeColor="text1"/>
          <w:sz w:val="20"/>
          <w:szCs w:val="20"/>
        </w:rPr>
        <w:t>of</w:t>
      </w:r>
      <w:r w:rsidR="00FF41A0">
        <w:rPr>
          <w:color w:val="000000" w:themeColor="text1"/>
          <w:sz w:val="20"/>
          <w:szCs w:val="20"/>
        </w:rPr>
        <w:t xml:space="preserve"> </w:t>
      </w:r>
      <w:r w:rsidR="00F11B08" w:rsidRPr="00113DE2">
        <w:rPr>
          <w:color w:val="000000" w:themeColor="text1"/>
          <w:sz w:val="20"/>
          <w:szCs w:val="20"/>
        </w:rPr>
        <w:t>observer</w:t>
      </w:r>
      <w:r w:rsidR="00FF41A0">
        <w:rPr>
          <w:color w:val="000000" w:themeColor="text1"/>
          <w:sz w:val="20"/>
          <w:szCs w:val="20"/>
        </w:rPr>
        <w:t xml:space="preserve"> </w:t>
      </w:r>
      <w:r w:rsidR="00F11B08" w:rsidRPr="00113DE2">
        <w:rPr>
          <w:color w:val="000000" w:themeColor="text1"/>
          <w:sz w:val="20"/>
          <w:szCs w:val="20"/>
        </w:rPr>
        <w:t>States:</w:t>
      </w:r>
      <w:r w:rsidR="00FF41A0">
        <w:rPr>
          <w:color w:val="000000" w:themeColor="text1"/>
          <w:sz w:val="20"/>
          <w:szCs w:val="20"/>
        </w:rPr>
        <w:t xml:space="preserve"> </w:t>
      </w:r>
      <w:r w:rsidR="0071217D" w:rsidRPr="0071217D">
        <w:rPr>
          <w:color w:val="000000" w:themeColor="text1"/>
          <w:sz w:val="20"/>
          <w:szCs w:val="20"/>
        </w:rPr>
        <w:t>Algeria</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Armenia</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Azerbaijan</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Bolivia</w:t>
      </w:r>
      <w:r w:rsidR="00FF41A0">
        <w:rPr>
          <w:color w:val="000000" w:themeColor="text1"/>
          <w:sz w:val="20"/>
          <w:szCs w:val="20"/>
        </w:rPr>
        <w:t xml:space="preserve"> </w:t>
      </w:r>
      <w:r w:rsidR="0071217D" w:rsidRPr="0071217D">
        <w:rPr>
          <w:color w:val="000000" w:themeColor="text1"/>
          <w:sz w:val="20"/>
          <w:szCs w:val="20"/>
        </w:rPr>
        <w:t>(Plurinational</w:t>
      </w:r>
      <w:r w:rsidR="00FF41A0">
        <w:rPr>
          <w:color w:val="000000" w:themeColor="text1"/>
          <w:sz w:val="20"/>
          <w:szCs w:val="20"/>
        </w:rPr>
        <w:t xml:space="preserve"> </w:t>
      </w:r>
      <w:r w:rsidR="0071217D" w:rsidRPr="0071217D">
        <w:rPr>
          <w:color w:val="000000" w:themeColor="text1"/>
          <w:sz w:val="20"/>
          <w:szCs w:val="20"/>
        </w:rPr>
        <w:t>State</w:t>
      </w:r>
      <w:r w:rsidR="00FF41A0">
        <w:rPr>
          <w:color w:val="000000" w:themeColor="text1"/>
          <w:sz w:val="20"/>
          <w:szCs w:val="20"/>
        </w:rPr>
        <w:t xml:space="preserve"> </w:t>
      </w:r>
      <w:r w:rsidR="0071217D" w:rsidRPr="0071217D">
        <w:rPr>
          <w:color w:val="000000" w:themeColor="text1"/>
          <w:sz w:val="20"/>
          <w:szCs w:val="20"/>
        </w:rPr>
        <w:t>of)</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Botswana</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Canada</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Colombia</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Costa</w:t>
      </w:r>
      <w:r w:rsidR="00FF41A0">
        <w:rPr>
          <w:color w:val="000000" w:themeColor="text1"/>
          <w:sz w:val="20"/>
          <w:szCs w:val="20"/>
        </w:rPr>
        <w:t xml:space="preserve"> </w:t>
      </w:r>
      <w:r w:rsidR="0071217D" w:rsidRPr="0071217D">
        <w:rPr>
          <w:color w:val="000000" w:themeColor="text1"/>
          <w:sz w:val="20"/>
          <w:szCs w:val="20"/>
        </w:rPr>
        <w:t>Rica</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Greece</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Indonesia</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Iran</w:t>
      </w:r>
      <w:r w:rsidR="00FF41A0">
        <w:rPr>
          <w:color w:val="000000" w:themeColor="text1"/>
          <w:sz w:val="20"/>
          <w:szCs w:val="20"/>
        </w:rPr>
        <w:t xml:space="preserve"> </w:t>
      </w:r>
      <w:r w:rsidR="0071217D" w:rsidRPr="0071217D">
        <w:rPr>
          <w:color w:val="000000" w:themeColor="text1"/>
          <w:sz w:val="20"/>
          <w:szCs w:val="20"/>
        </w:rPr>
        <w:t>(Islamic</w:t>
      </w:r>
      <w:r w:rsidR="00FF41A0">
        <w:rPr>
          <w:color w:val="000000" w:themeColor="text1"/>
          <w:sz w:val="20"/>
          <w:szCs w:val="20"/>
        </w:rPr>
        <w:t xml:space="preserve"> </w:t>
      </w:r>
      <w:r w:rsidR="0071217D" w:rsidRPr="0071217D">
        <w:rPr>
          <w:color w:val="000000" w:themeColor="text1"/>
          <w:sz w:val="20"/>
          <w:szCs w:val="20"/>
        </w:rPr>
        <w:t>Republic</w:t>
      </w:r>
      <w:r w:rsidR="00FF41A0">
        <w:rPr>
          <w:color w:val="000000" w:themeColor="text1"/>
          <w:sz w:val="20"/>
          <w:szCs w:val="20"/>
        </w:rPr>
        <w:t xml:space="preserve"> </w:t>
      </w:r>
      <w:r w:rsidR="0071217D" w:rsidRPr="0071217D">
        <w:rPr>
          <w:color w:val="000000" w:themeColor="text1"/>
          <w:sz w:val="20"/>
          <w:szCs w:val="20"/>
        </w:rPr>
        <w:t>of)</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Israel</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Jamaica</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Jordan</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Lebanon</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Lesotho</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Libya</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Maldives</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Morocco</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Russian</w:t>
      </w:r>
      <w:r w:rsidR="00FF41A0">
        <w:rPr>
          <w:color w:val="000000" w:themeColor="text1"/>
          <w:sz w:val="20"/>
          <w:szCs w:val="20"/>
        </w:rPr>
        <w:t xml:space="preserve"> </w:t>
      </w:r>
      <w:r w:rsidR="0071217D" w:rsidRPr="0071217D">
        <w:rPr>
          <w:color w:val="000000" w:themeColor="text1"/>
          <w:sz w:val="20"/>
          <w:szCs w:val="20"/>
        </w:rPr>
        <w:t>Federation</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Sudan</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Trinidad</w:t>
      </w:r>
      <w:r w:rsidR="00FF41A0">
        <w:rPr>
          <w:color w:val="000000" w:themeColor="text1"/>
          <w:sz w:val="20"/>
          <w:szCs w:val="20"/>
        </w:rPr>
        <w:t xml:space="preserve"> </w:t>
      </w:r>
      <w:r w:rsidR="0071217D" w:rsidRPr="0071217D">
        <w:rPr>
          <w:color w:val="000000" w:themeColor="text1"/>
          <w:sz w:val="20"/>
          <w:szCs w:val="20"/>
        </w:rPr>
        <w:t>and</w:t>
      </w:r>
      <w:r w:rsidR="00FF41A0">
        <w:rPr>
          <w:color w:val="000000" w:themeColor="text1"/>
          <w:sz w:val="20"/>
          <w:szCs w:val="20"/>
        </w:rPr>
        <w:t xml:space="preserve"> </w:t>
      </w:r>
      <w:r w:rsidR="0071217D" w:rsidRPr="0071217D">
        <w:rPr>
          <w:color w:val="000000" w:themeColor="text1"/>
          <w:sz w:val="20"/>
          <w:szCs w:val="20"/>
        </w:rPr>
        <w:t>Tobago</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Turkey</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Venezuela</w:t>
      </w:r>
      <w:r w:rsidR="00FF41A0">
        <w:rPr>
          <w:color w:val="000000" w:themeColor="text1"/>
          <w:sz w:val="20"/>
          <w:szCs w:val="20"/>
        </w:rPr>
        <w:t xml:space="preserve"> </w:t>
      </w:r>
      <w:r w:rsidR="0071217D" w:rsidRPr="0071217D">
        <w:rPr>
          <w:color w:val="000000" w:themeColor="text1"/>
          <w:sz w:val="20"/>
          <w:szCs w:val="20"/>
        </w:rPr>
        <w:t>(Bolivarian</w:t>
      </w:r>
      <w:r w:rsidR="00FF41A0">
        <w:rPr>
          <w:color w:val="000000" w:themeColor="text1"/>
          <w:sz w:val="20"/>
          <w:szCs w:val="20"/>
        </w:rPr>
        <w:t xml:space="preserve"> </w:t>
      </w:r>
      <w:r w:rsidR="0071217D" w:rsidRPr="0071217D">
        <w:rPr>
          <w:color w:val="000000" w:themeColor="text1"/>
          <w:sz w:val="20"/>
          <w:szCs w:val="20"/>
        </w:rPr>
        <w:t>Republic</w:t>
      </w:r>
      <w:r w:rsidR="00FF41A0">
        <w:rPr>
          <w:color w:val="000000" w:themeColor="text1"/>
          <w:sz w:val="20"/>
          <w:szCs w:val="20"/>
        </w:rPr>
        <w:t xml:space="preserve"> </w:t>
      </w:r>
      <w:r w:rsidR="0071217D" w:rsidRPr="0071217D">
        <w:rPr>
          <w:color w:val="000000" w:themeColor="text1"/>
          <w:sz w:val="20"/>
          <w:szCs w:val="20"/>
        </w:rPr>
        <w:t>of)</w:t>
      </w:r>
      <w:r w:rsidR="00F11B08" w:rsidRPr="00113DE2">
        <w:rPr>
          <w:color w:val="000000" w:themeColor="text1"/>
          <w:sz w:val="20"/>
          <w:szCs w:val="20"/>
        </w:rPr>
        <w:t>;</w:t>
      </w:r>
    </w:p>
    <w:p w14:paraId="2EA58DBE" w14:textId="01A54D62" w:rsidR="00CE2922" w:rsidRPr="00113DE2" w:rsidRDefault="00CE2922" w:rsidP="00CE2922">
      <w:pPr>
        <w:pStyle w:val="SingleTxtG"/>
        <w:tabs>
          <w:tab w:val="left" w:pos="2086"/>
        </w:tabs>
        <w:ind w:firstLine="567"/>
        <w:rPr>
          <w:color w:val="000000" w:themeColor="text1"/>
          <w:sz w:val="20"/>
          <w:szCs w:val="20"/>
        </w:rPr>
      </w:pPr>
      <w:r w:rsidRPr="00113DE2">
        <w:rPr>
          <w:color w:val="000000" w:themeColor="text1"/>
          <w:sz w:val="20"/>
          <w:szCs w:val="20"/>
        </w:rPr>
        <w:t>(c)</w:t>
      </w:r>
      <w:r w:rsidRPr="00113DE2">
        <w:rPr>
          <w:color w:val="000000" w:themeColor="text1"/>
          <w:sz w:val="20"/>
          <w:szCs w:val="20"/>
        </w:rPr>
        <w:tab/>
        <w:t>Observers</w:t>
      </w:r>
      <w:r w:rsidR="00FF41A0">
        <w:rPr>
          <w:color w:val="000000" w:themeColor="text1"/>
          <w:sz w:val="20"/>
          <w:szCs w:val="20"/>
        </w:rPr>
        <w:t xml:space="preserve"> </w:t>
      </w:r>
      <w:r w:rsidRPr="00113DE2">
        <w:rPr>
          <w:color w:val="000000" w:themeColor="text1"/>
          <w:sz w:val="20"/>
          <w:szCs w:val="20"/>
        </w:rPr>
        <w:t>for</w:t>
      </w:r>
      <w:r w:rsidR="00FF41A0">
        <w:rPr>
          <w:color w:val="000000" w:themeColor="text1"/>
          <w:sz w:val="20"/>
          <w:szCs w:val="20"/>
        </w:rPr>
        <w:t xml:space="preserve"> </w:t>
      </w:r>
      <w:r w:rsidRPr="00113DE2">
        <w:rPr>
          <w:color w:val="000000" w:themeColor="text1"/>
          <w:sz w:val="20"/>
          <w:szCs w:val="20"/>
        </w:rPr>
        <w:t>non-governmental</w:t>
      </w:r>
      <w:r w:rsidR="00FF41A0">
        <w:rPr>
          <w:color w:val="000000" w:themeColor="text1"/>
          <w:sz w:val="20"/>
          <w:szCs w:val="20"/>
        </w:rPr>
        <w:t xml:space="preserve"> </w:t>
      </w:r>
      <w:r w:rsidRPr="00113DE2">
        <w:rPr>
          <w:color w:val="000000" w:themeColor="text1"/>
          <w:sz w:val="20"/>
          <w:szCs w:val="20"/>
        </w:rPr>
        <w:t>organizations:</w:t>
      </w:r>
      <w:r w:rsidR="00FF41A0">
        <w:rPr>
          <w:color w:val="000000" w:themeColor="text1"/>
          <w:sz w:val="20"/>
          <w:szCs w:val="20"/>
        </w:rPr>
        <w:t xml:space="preserve"> </w:t>
      </w:r>
      <w:r w:rsidR="0071217D" w:rsidRPr="0071217D">
        <w:rPr>
          <w:color w:val="000000" w:themeColor="text1"/>
          <w:sz w:val="20"/>
          <w:szCs w:val="20"/>
        </w:rPr>
        <w:t>28.</w:t>
      </w:r>
      <w:r w:rsidR="00FF41A0">
        <w:rPr>
          <w:color w:val="000000" w:themeColor="text1"/>
          <w:sz w:val="20"/>
          <w:szCs w:val="20"/>
        </w:rPr>
        <w:t xml:space="preserve"> </w:t>
      </w:r>
      <w:r w:rsidR="0071217D" w:rsidRPr="0071217D">
        <w:rPr>
          <w:color w:val="000000" w:themeColor="text1"/>
          <w:sz w:val="20"/>
          <w:szCs w:val="20"/>
        </w:rPr>
        <w:t>Jun</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ABC</w:t>
      </w:r>
      <w:r w:rsidR="00FF41A0">
        <w:rPr>
          <w:color w:val="000000" w:themeColor="text1"/>
          <w:sz w:val="20"/>
          <w:szCs w:val="20"/>
        </w:rPr>
        <w:t xml:space="preserve"> </w:t>
      </w:r>
      <w:r w:rsidR="0071217D" w:rsidRPr="0071217D">
        <w:rPr>
          <w:color w:val="000000" w:themeColor="text1"/>
          <w:sz w:val="20"/>
          <w:szCs w:val="20"/>
        </w:rPr>
        <w:t>Tamil</w:t>
      </w:r>
      <w:r w:rsidR="00FF41A0">
        <w:rPr>
          <w:color w:val="000000" w:themeColor="text1"/>
          <w:sz w:val="20"/>
          <w:szCs w:val="20"/>
        </w:rPr>
        <w:t xml:space="preserve"> </w:t>
      </w:r>
      <w:r w:rsidR="0071217D" w:rsidRPr="0071217D">
        <w:rPr>
          <w:color w:val="000000" w:themeColor="text1"/>
          <w:sz w:val="20"/>
          <w:szCs w:val="20"/>
        </w:rPr>
        <w:t>Oli</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Action</w:t>
      </w:r>
      <w:r w:rsidR="00FF41A0">
        <w:rPr>
          <w:color w:val="000000" w:themeColor="text1"/>
          <w:sz w:val="20"/>
          <w:szCs w:val="20"/>
        </w:rPr>
        <w:t xml:space="preserve"> </w:t>
      </w:r>
      <w:r w:rsidR="0071217D" w:rsidRPr="0071217D">
        <w:rPr>
          <w:color w:val="000000" w:themeColor="text1"/>
          <w:sz w:val="20"/>
          <w:szCs w:val="20"/>
        </w:rPr>
        <w:t>of</w:t>
      </w:r>
      <w:r w:rsidR="00FF41A0">
        <w:rPr>
          <w:color w:val="000000" w:themeColor="text1"/>
          <w:sz w:val="20"/>
          <w:szCs w:val="20"/>
        </w:rPr>
        <w:t xml:space="preserve"> </w:t>
      </w:r>
      <w:r w:rsidR="0071217D" w:rsidRPr="0071217D">
        <w:rPr>
          <w:color w:val="000000" w:themeColor="text1"/>
          <w:sz w:val="20"/>
          <w:szCs w:val="20"/>
        </w:rPr>
        <w:t>Human</w:t>
      </w:r>
      <w:r w:rsidR="00FF41A0">
        <w:rPr>
          <w:color w:val="000000" w:themeColor="text1"/>
          <w:sz w:val="20"/>
          <w:szCs w:val="20"/>
        </w:rPr>
        <w:t xml:space="preserve"> </w:t>
      </w:r>
      <w:r w:rsidR="0071217D" w:rsidRPr="0071217D">
        <w:rPr>
          <w:color w:val="000000" w:themeColor="text1"/>
          <w:sz w:val="20"/>
          <w:szCs w:val="20"/>
        </w:rPr>
        <w:t>Movement</w:t>
      </w:r>
      <w:r w:rsidR="00FF41A0">
        <w:rPr>
          <w:color w:val="000000" w:themeColor="text1"/>
          <w:sz w:val="20"/>
          <w:szCs w:val="20"/>
        </w:rPr>
        <w:t xml:space="preserve"> </w:t>
      </w:r>
      <w:r w:rsidR="0071217D" w:rsidRPr="0071217D">
        <w:rPr>
          <w:color w:val="000000" w:themeColor="text1"/>
          <w:sz w:val="20"/>
          <w:szCs w:val="20"/>
        </w:rPr>
        <w:t>(AHM)</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African</w:t>
      </w:r>
      <w:r w:rsidR="00FF41A0">
        <w:rPr>
          <w:color w:val="000000" w:themeColor="text1"/>
          <w:sz w:val="20"/>
          <w:szCs w:val="20"/>
        </w:rPr>
        <w:t xml:space="preserve"> </w:t>
      </w:r>
      <w:r w:rsidR="0071217D" w:rsidRPr="0071217D">
        <w:rPr>
          <w:color w:val="000000" w:themeColor="text1"/>
          <w:sz w:val="20"/>
          <w:szCs w:val="20"/>
        </w:rPr>
        <w:t>Agency</w:t>
      </w:r>
      <w:r w:rsidR="00FF41A0">
        <w:rPr>
          <w:color w:val="000000" w:themeColor="text1"/>
          <w:sz w:val="20"/>
          <w:szCs w:val="20"/>
        </w:rPr>
        <w:t xml:space="preserve"> </w:t>
      </w:r>
      <w:r w:rsidR="0071217D" w:rsidRPr="0071217D">
        <w:rPr>
          <w:color w:val="000000" w:themeColor="text1"/>
          <w:sz w:val="20"/>
          <w:szCs w:val="20"/>
        </w:rPr>
        <w:t>for</w:t>
      </w:r>
      <w:r w:rsidR="00FF41A0">
        <w:rPr>
          <w:color w:val="000000" w:themeColor="text1"/>
          <w:sz w:val="20"/>
          <w:szCs w:val="20"/>
        </w:rPr>
        <w:t xml:space="preserve"> </w:t>
      </w:r>
      <w:r w:rsidR="0071217D" w:rsidRPr="0071217D">
        <w:rPr>
          <w:color w:val="000000" w:themeColor="text1"/>
          <w:sz w:val="20"/>
          <w:szCs w:val="20"/>
        </w:rPr>
        <w:t>Integrated</w:t>
      </w:r>
      <w:r w:rsidR="00FF41A0">
        <w:rPr>
          <w:color w:val="000000" w:themeColor="text1"/>
          <w:sz w:val="20"/>
          <w:szCs w:val="20"/>
        </w:rPr>
        <w:t xml:space="preserve"> </w:t>
      </w:r>
      <w:r w:rsidR="0071217D" w:rsidRPr="0071217D">
        <w:rPr>
          <w:color w:val="000000" w:themeColor="text1"/>
          <w:sz w:val="20"/>
          <w:szCs w:val="20"/>
        </w:rPr>
        <w:t>Development</w:t>
      </w:r>
      <w:r w:rsidR="00FF41A0">
        <w:rPr>
          <w:color w:val="000000" w:themeColor="text1"/>
          <w:sz w:val="20"/>
          <w:szCs w:val="20"/>
        </w:rPr>
        <w:t xml:space="preserve"> </w:t>
      </w:r>
      <w:r w:rsidR="0071217D" w:rsidRPr="0071217D">
        <w:rPr>
          <w:color w:val="000000" w:themeColor="text1"/>
          <w:sz w:val="20"/>
          <w:szCs w:val="20"/>
        </w:rPr>
        <w:t>(AAID)</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African</w:t>
      </w:r>
      <w:r w:rsidR="00FF41A0">
        <w:rPr>
          <w:color w:val="000000" w:themeColor="text1"/>
          <w:sz w:val="20"/>
          <w:szCs w:val="20"/>
        </w:rPr>
        <w:t xml:space="preserve"> </w:t>
      </w:r>
      <w:r w:rsidR="0071217D" w:rsidRPr="0071217D">
        <w:rPr>
          <w:color w:val="000000" w:themeColor="text1"/>
          <w:sz w:val="20"/>
          <w:szCs w:val="20"/>
        </w:rPr>
        <w:t>Green</w:t>
      </w:r>
      <w:r w:rsidR="00FF41A0">
        <w:rPr>
          <w:color w:val="000000" w:themeColor="text1"/>
          <w:sz w:val="20"/>
          <w:szCs w:val="20"/>
        </w:rPr>
        <w:t xml:space="preserve"> </w:t>
      </w:r>
      <w:r w:rsidR="0071217D" w:rsidRPr="0071217D">
        <w:rPr>
          <w:color w:val="000000" w:themeColor="text1"/>
          <w:sz w:val="20"/>
          <w:szCs w:val="20"/>
        </w:rPr>
        <w:t>Foundation</w:t>
      </w:r>
      <w:r w:rsidR="00FF41A0">
        <w:rPr>
          <w:color w:val="000000" w:themeColor="text1"/>
          <w:sz w:val="20"/>
          <w:szCs w:val="20"/>
        </w:rPr>
        <w:t xml:space="preserve"> </w:t>
      </w:r>
      <w:r w:rsidR="0071217D" w:rsidRPr="0071217D">
        <w:rPr>
          <w:color w:val="000000" w:themeColor="text1"/>
          <w:sz w:val="20"/>
          <w:szCs w:val="20"/>
        </w:rPr>
        <w:t>International</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African</w:t>
      </w:r>
      <w:r w:rsidR="00FF41A0">
        <w:rPr>
          <w:color w:val="000000" w:themeColor="text1"/>
          <w:sz w:val="20"/>
          <w:szCs w:val="20"/>
        </w:rPr>
        <w:t xml:space="preserve"> </w:t>
      </w:r>
      <w:r w:rsidR="0071217D" w:rsidRPr="0071217D">
        <w:rPr>
          <w:color w:val="000000" w:themeColor="text1"/>
          <w:sz w:val="20"/>
          <w:szCs w:val="20"/>
        </w:rPr>
        <w:t>Regional</w:t>
      </w:r>
      <w:r w:rsidR="00FF41A0">
        <w:rPr>
          <w:color w:val="000000" w:themeColor="text1"/>
          <w:sz w:val="20"/>
          <w:szCs w:val="20"/>
        </w:rPr>
        <w:t xml:space="preserve"> </w:t>
      </w:r>
      <w:r w:rsidR="0071217D" w:rsidRPr="0071217D">
        <w:rPr>
          <w:color w:val="000000" w:themeColor="text1"/>
          <w:sz w:val="20"/>
          <w:szCs w:val="20"/>
        </w:rPr>
        <w:t>Agricultural</w:t>
      </w:r>
      <w:r w:rsidR="00FF41A0">
        <w:rPr>
          <w:color w:val="000000" w:themeColor="text1"/>
          <w:sz w:val="20"/>
          <w:szCs w:val="20"/>
        </w:rPr>
        <w:t xml:space="preserve"> </w:t>
      </w:r>
      <w:r w:rsidR="0071217D" w:rsidRPr="0071217D">
        <w:rPr>
          <w:color w:val="000000" w:themeColor="text1"/>
          <w:sz w:val="20"/>
          <w:szCs w:val="20"/>
        </w:rPr>
        <w:t>Credit</w:t>
      </w:r>
      <w:r w:rsidR="00FF41A0">
        <w:rPr>
          <w:color w:val="000000" w:themeColor="text1"/>
          <w:sz w:val="20"/>
          <w:szCs w:val="20"/>
        </w:rPr>
        <w:t xml:space="preserve"> </w:t>
      </w:r>
      <w:r w:rsidR="0071217D" w:rsidRPr="0071217D">
        <w:rPr>
          <w:color w:val="000000" w:themeColor="text1"/>
          <w:sz w:val="20"/>
          <w:szCs w:val="20"/>
        </w:rPr>
        <w:t>Association</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Association</w:t>
      </w:r>
      <w:r w:rsidR="00FF41A0">
        <w:rPr>
          <w:color w:val="000000" w:themeColor="text1"/>
          <w:sz w:val="20"/>
          <w:szCs w:val="20"/>
        </w:rPr>
        <w:t xml:space="preserve"> </w:t>
      </w:r>
      <w:r w:rsidR="0071217D" w:rsidRPr="0071217D">
        <w:rPr>
          <w:color w:val="000000" w:themeColor="text1"/>
          <w:sz w:val="20"/>
          <w:szCs w:val="20"/>
        </w:rPr>
        <w:t>Bharathi</w:t>
      </w:r>
      <w:r w:rsidR="00FF41A0">
        <w:rPr>
          <w:color w:val="000000" w:themeColor="text1"/>
          <w:sz w:val="20"/>
          <w:szCs w:val="20"/>
        </w:rPr>
        <w:t xml:space="preserve"> </w:t>
      </w:r>
      <w:r w:rsidR="0071217D" w:rsidRPr="0071217D">
        <w:rPr>
          <w:color w:val="000000" w:themeColor="text1"/>
          <w:sz w:val="20"/>
          <w:szCs w:val="20"/>
        </w:rPr>
        <w:t>Centre</w:t>
      </w:r>
      <w:r w:rsidR="00FF41A0">
        <w:rPr>
          <w:color w:val="000000" w:themeColor="text1"/>
          <w:sz w:val="20"/>
          <w:szCs w:val="20"/>
        </w:rPr>
        <w:t xml:space="preserve"> </w:t>
      </w:r>
      <w:r w:rsidR="0071217D" w:rsidRPr="0071217D">
        <w:rPr>
          <w:color w:val="000000" w:themeColor="text1"/>
          <w:sz w:val="20"/>
          <w:szCs w:val="20"/>
        </w:rPr>
        <w:t>Culturel</w:t>
      </w:r>
      <w:r w:rsidR="00FF41A0">
        <w:rPr>
          <w:color w:val="000000" w:themeColor="text1"/>
          <w:sz w:val="20"/>
          <w:szCs w:val="20"/>
        </w:rPr>
        <w:t xml:space="preserve"> </w:t>
      </w:r>
      <w:r w:rsidR="0071217D" w:rsidRPr="0071217D">
        <w:rPr>
          <w:color w:val="000000" w:themeColor="text1"/>
          <w:sz w:val="20"/>
          <w:szCs w:val="20"/>
        </w:rPr>
        <w:t>Franco-Tamoul</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Association</w:t>
      </w:r>
      <w:r w:rsidR="00FF41A0">
        <w:rPr>
          <w:color w:val="000000" w:themeColor="text1"/>
          <w:sz w:val="20"/>
          <w:szCs w:val="20"/>
        </w:rPr>
        <w:t xml:space="preserve"> </w:t>
      </w:r>
      <w:r w:rsidR="0071217D" w:rsidRPr="0071217D">
        <w:rPr>
          <w:color w:val="000000" w:themeColor="text1"/>
          <w:sz w:val="20"/>
          <w:szCs w:val="20"/>
        </w:rPr>
        <w:t>Culturelle</w:t>
      </w:r>
      <w:r w:rsidR="00FF41A0">
        <w:rPr>
          <w:color w:val="000000" w:themeColor="text1"/>
          <w:sz w:val="20"/>
          <w:szCs w:val="20"/>
        </w:rPr>
        <w:t xml:space="preserve"> </w:t>
      </w:r>
      <w:r w:rsidR="0071217D" w:rsidRPr="0071217D">
        <w:rPr>
          <w:color w:val="000000" w:themeColor="text1"/>
          <w:sz w:val="20"/>
          <w:szCs w:val="20"/>
        </w:rPr>
        <w:t>des</w:t>
      </w:r>
      <w:r w:rsidR="00FF41A0">
        <w:rPr>
          <w:color w:val="000000" w:themeColor="text1"/>
          <w:sz w:val="20"/>
          <w:szCs w:val="20"/>
        </w:rPr>
        <w:t xml:space="preserve"> </w:t>
      </w:r>
      <w:r w:rsidR="0071217D" w:rsidRPr="0071217D">
        <w:rPr>
          <w:color w:val="000000" w:themeColor="text1"/>
          <w:sz w:val="20"/>
          <w:szCs w:val="20"/>
        </w:rPr>
        <w:t>Tamouls</w:t>
      </w:r>
      <w:r w:rsidR="00FF41A0">
        <w:rPr>
          <w:color w:val="000000" w:themeColor="text1"/>
          <w:sz w:val="20"/>
          <w:szCs w:val="20"/>
        </w:rPr>
        <w:t xml:space="preserve"> </w:t>
      </w:r>
      <w:r w:rsidR="0071217D" w:rsidRPr="0071217D">
        <w:rPr>
          <w:color w:val="000000" w:themeColor="text1"/>
          <w:sz w:val="20"/>
          <w:szCs w:val="20"/>
        </w:rPr>
        <w:t>en</w:t>
      </w:r>
      <w:r w:rsidR="00FF41A0">
        <w:rPr>
          <w:color w:val="000000" w:themeColor="text1"/>
          <w:sz w:val="20"/>
          <w:szCs w:val="20"/>
        </w:rPr>
        <w:t xml:space="preserve"> </w:t>
      </w:r>
      <w:r w:rsidR="0071217D" w:rsidRPr="0071217D">
        <w:rPr>
          <w:color w:val="000000" w:themeColor="text1"/>
          <w:sz w:val="20"/>
          <w:szCs w:val="20"/>
        </w:rPr>
        <w:t>France</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Association</w:t>
      </w:r>
      <w:r w:rsidR="00FF41A0">
        <w:rPr>
          <w:color w:val="000000" w:themeColor="text1"/>
          <w:sz w:val="20"/>
          <w:szCs w:val="20"/>
        </w:rPr>
        <w:t xml:space="preserve"> </w:t>
      </w:r>
      <w:r w:rsidR="0071217D" w:rsidRPr="0071217D">
        <w:rPr>
          <w:color w:val="000000" w:themeColor="text1"/>
          <w:sz w:val="20"/>
          <w:szCs w:val="20"/>
        </w:rPr>
        <w:t>d</w:t>
      </w:r>
      <w:r w:rsidR="00D72627">
        <w:rPr>
          <w:color w:val="000000" w:themeColor="text1"/>
          <w:sz w:val="20"/>
          <w:szCs w:val="20"/>
        </w:rPr>
        <w:t>’</w:t>
      </w:r>
      <w:r w:rsidR="0071217D" w:rsidRPr="0071217D">
        <w:rPr>
          <w:color w:val="000000" w:themeColor="text1"/>
          <w:sz w:val="20"/>
          <w:szCs w:val="20"/>
        </w:rPr>
        <w:t>Entraide</w:t>
      </w:r>
      <w:r w:rsidR="00FF41A0">
        <w:rPr>
          <w:color w:val="000000" w:themeColor="text1"/>
          <w:sz w:val="20"/>
          <w:szCs w:val="20"/>
        </w:rPr>
        <w:t xml:space="preserve"> </w:t>
      </w:r>
      <w:r w:rsidR="0071217D" w:rsidRPr="0071217D">
        <w:rPr>
          <w:color w:val="000000" w:themeColor="text1"/>
          <w:sz w:val="20"/>
          <w:szCs w:val="20"/>
        </w:rPr>
        <w:t>Médicale</w:t>
      </w:r>
      <w:r w:rsidR="00FF41A0">
        <w:rPr>
          <w:color w:val="000000" w:themeColor="text1"/>
          <w:sz w:val="20"/>
          <w:szCs w:val="20"/>
        </w:rPr>
        <w:t xml:space="preserve"> </w:t>
      </w:r>
      <w:r w:rsidR="0071217D" w:rsidRPr="0071217D">
        <w:rPr>
          <w:color w:val="000000" w:themeColor="text1"/>
          <w:sz w:val="20"/>
          <w:szCs w:val="20"/>
        </w:rPr>
        <w:t>Guinée</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Association</w:t>
      </w:r>
      <w:r w:rsidR="00FF41A0">
        <w:rPr>
          <w:color w:val="000000" w:themeColor="text1"/>
          <w:sz w:val="20"/>
          <w:szCs w:val="20"/>
        </w:rPr>
        <w:t xml:space="preserve"> </w:t>
      </w:r>
      <w:r w:rsidR="0071217D" w:rsidRPr="0071217D">
        <w:rPr>
          <w:color w:val="000000" w:themeColor="text1"/>
          <w:sz w:val="20"/>
          <w:szCs w:val="20"/>
        </w:rPr>
        <w:t>for</w:t>
      </w:r>
      <w:r w:rsidR="00FF41A0">
        <w:rPr>
          <w:color w:val="000000" w:themeColor="text1"/>
          <w:sz w:val="20"/>
          <w:szCs w:val="20"/>
        </w:rPr>
        <w:t xml:space="preserve"> </w:t>
      </w:r>
      <w:r w:rsidR="0071217D" w:rsidRPr="0071217D">
        <w:rPr>
          <w:color w:val="000000" w:themeColor="text1"/>
          <w:sz w:val="20"/>
          <w:szCs w:val="20"/>
        </w:rPr>
        <w:t>the</w:t>
      </w:r>
      <w:r w:rsidR="00FF41A0">
        <w:rPr>
          <w:color w:val="000000" w:themeColor="text1"/>
          <w:sz w:val="20"/>
          <w:szCs w:val="20"/>
        </w:rPr>
        <w:t xml:space="preserve"> </w:t>
      </w:r>
      <w:r w:rsidR="0071217D" w:rsidRPr="0071217D">
        <w:rPr>
          <w:color w:val="000000" w:themeColor="text1"/>
          <w:sz w:val="20"/>
          <w:szCs w:val="20"/>
        </w:rPr>
        <w:t>Protection</w:t>
      </w:r>
      <w:r w:rsidR="00FF41A0">
        <w:rPr>
          <w:color w:val="000000" w:themeColor="text1"/>
          <w:sz w:val="20"/>
          <w:szCs w:val="20"/>
        </w:rPr>
        <w:t xml:space="preserve"> </w:t>
      </w:r>
      <w:r w:rsidR="0071217D" w:rsidRPr="0071217D">
        <w:rPr>
          <w:color w:val="000000" w:themeColor="text1"/>
          <w:sz w:val="20"/>
          <w:szCs w:val="20"/>
        </w:rPr>
        <w:t>of</w:t>
      </w:r>
      <w:r w:rsidR="00FF41A0">
        <w:rPr>
          <w:color w:val="000000" w:themeColor="text1"/>
          <w:sz w:val="20"/>
          <w:szCs w:val="20"/>
        </w:rPr>
        <w:t xml:space="preserve"> </w:t>
      </w:r>
      <w:r w:rsidR="0071217D" w:rsidRPr="0071217D">
        <w:rPr>
          <w:color w:val="000000" w:themeColor="text1"/>
          <w:sz w:val="20"/>
          <w:szCs w:val="20"/>
        </w:rPr>
        <w:lastRenderedPageBreak/>
        <w:t>Women</w:t>
      </w:r>
      <w:r w:rsidR="00FF41A0">
        <w:rPr>
          <w:color w:val="000000" w:themeColor="text1"/>
          <w:sz w:val="20"/>
          <w:szCs w:val="20"/>
        </w:rPr>
        <w:t xml:space="preserve"> </w:t>
      </w:r>
      <w:r w:rsidR="0071217D" w:rsidRPr="0071217D">
        <w:rPr>
          <w:color w:val="000000" w:themeColor="text1"/>
          <w:sz w:val="20"/>
          <w:szCs w:val="20"/>
        </w:rPr>
        <w:t>and</w:t>
      </w:r>
      <w:r w:rsidR="00FF41A0">
        <w:rPr>
          <w:color w:val="000000" w:themeColor="text1"/>
          <w:sz w:val="20"/>
          <w:szCs w:val="20"/>
        </w:rPr>
        <w:t xml:space="preserve"> </w:t>
      </w:r>
      <w:r w:rsidR="0071217D" w:rsidRPr="0071217D">
        <w:rPr>
          <w:color w:val="000000" w:themeColor="text1"/>
          <w:sz w:val="20"/>
          <w:szCs w:val="20"/>
        </w:rPr>
        <w:t>Children</w:t>
      </w:r>
      <w:r w:rsidR="00D72627">
        <w:rPr>
          <w:color w:val="000000" w:themeColor="text1"/>
          <w:sz w:val="20"/>
          <w:szCs w:val="20"/>
        </w:rPr>
        <w:t>’</w:t>
      </w:r>
      <w:r w:rsidR="0071217D" w:rsidRPr="0071217D">
        <w:rPr>
          <w:color w:val="000000" w:themeColor="text1"/>
          <w:sz w:val="20"/>
          <w:szCs w:val="20"/>
        </w:rPr>
        <w:t>s</w:t>
      </w:r>
      <w:r w:rsidR="00FF41A0">
        <w:rPr>
          <w:color w:val="000000" w:themeColor="text1"/>
          <w:sz w:val="20"/>
          <w:szCs w:val="20"/>
        </w:rPr>
        <w:t xml:space="preserve"> </w:t>
      </w:r>
      <w:r w:rsidR="0071217D" w:rsidRPr="0071217D">
        <w:rPr>
          <w:color w:val="000000" w:themeColor="text1"/>
          <w:sz w:val="20"/>
          <w:szCs w:val="20"/>
        </w:rPr>
        <w:t>Rights</w:t>
      </w:r>
      <w:r w:rsidR="00FF41A0">
        <w:rPr>
          <w:color w:val="000000" w:themeColor="text1"/>
          <w:sz w:val="20"/>
          <w:szCs w:val="20"/>
        </w:rPr>
        <w:t xml:space="preserve"> </w:t>
      </w:r>
      <w:r w:rsidR="0071217D" w:rsidRPr="0071217D">
        <w:rPr>
          <w:color w:val="000000" w:themeColor="text1"/>
          <w:sz w:val="20"/>
          <w:szCs w:val="20"/>
        </w:rPr>
        <w:t>(APWCR)</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Association</w:t>
      </w:r>
      <w:r w:rsidR="00FF41A0">
        <w:rPr>
          <w:color w:val="000000" w:themeColor="text1"/>
          <w:sz w:val="20"/>
          <w:szCs w:val="20"/>
        </w:rPr>
        <w:t xml:space="preserve"> </w:t>
      </w:r>
      <w:r w:rsidR="0071217D" w:rsidRPr="0071217D">
        <w:rPr>
          <w:color w:val="000000" w:themeColor="text1"/>
          <w:sz w:val="20"/>
          <w:szCs w:val="20"/>
        </w:rPr>
        <w:t>of</w:t>
      </w:r>
      <w:r w:rsidR="00FF41A0">
        <w:rPr>
          <w:color w:val="000000" w:themeColor="text1"/>
          <w:sz w:val="20"/>
          <w:szCs w:val="20"/>
        </w:rPr>
        <w:t xml:space="preserve"> </w:t>
      </w:r>
      <w:r w:rsidR="0071217D" w:rsidRPr="0071217D">
        <w:rPr>
          <w:color w:val="000000" w:themeColor="text1"/>
          <w:sz w:val="20"/>
          <w:szCs w:val="20"/>
        </w:rPr>
        <w:t>World</w:t>
      </w:r>
      <w:r w:rsidR="00FF41A0">
        <w:rPr>
          <w:color w:val="000000" w:themeColor="text1"/>
          <w:sz w:val="20"/>
          <w:szCs w:val="20"/>
        </w:rPr>
        <w:t xml:space="preserve"> </w:t>
      </w:r>
      <w:r w:rsidR="0071217D" w:rsidRPr="0071217D">
        <w:rPr>
          <w:color w:val="000000" w:themeColor="text1"/>
          <w:sz w:val="20"/>
          <w:szCs w:val="20"/>
        </w:rPr>
        <w:t>Citizens</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Association</w:t>
      </w:r>
      <w:r w:rsidR="00FF41A0">
        <w:rPr>
          <w:color w:val="000000" w:themeColor="text1"/>
          <w:sz w:val="20"/>
          <w:szCs w:val="20"/>
        </w:rPr>
        <w:t xml:space="preserve"> </w:t>
      </w:r>
      <w:r w:rsidR="0071217D" w:rsidRPr="0071217D">
        <w:rPr>
          <w:color w:val="000000" w:themeColor="text1"/>
          <w:sz w:val="20"/>
          <w:szCs w:val="20"/>
        </w:rPr>
        <w:t>pour</w:t>
      </w:r>
      <w:r w:rsidR="00FF41A0">
        <w:rPr>
          <w:color w:val="000000" w:themeColor="text1"/>
          <w:sz w:val="20"/>
          <w:szCs w:val="20"/>
        </w:rPr>
        <w:t xml:space="preserve"> </w:t>
      </w:r>
      <w:r w:rsidR="0071217D" w:rsidRPr="0071217D">
        <w:rPr>
          <w:color w:val="000000" w:themeColor="text1"/>
          <w:sz w:val="20"/>
          <w:szCs w:val="20"/>
        </w:rPr>
        <w:t>les</w:t>
      </w:r>
      <w:r w:rsidR="00FF41A0">
        <w:rPr>
          <w:color w:val="000000" w:themeColor="text1"/>
          <w:sz w:val="20"/>
          <w:szCs w:val="20"/>
        </w:rPr>
        <w:t xml:space="preserve"> </w:t>
      </w:r>
      <w:r w:rsidR="0071217D" w:rsidRPr="0071217D">
        <w:rPr>
          <w:color w:val="000000" w:themeColor="text1"/>
          <w:sz w:val="20"/>
          <w:szCs w:val="20"/>
        </w:rPr>
        <w:t>Victimes</w:t>
      </w:r>
      <w:r w:rsidR="00FF41A0">
        <w:rPr>
          <w:color w:val="000000" w:themeColor="text1"/>
          <w:sz w:val="20"/>
          <w:szCs w:val="20"/>
        </w:rPr>
        <w:t xml:space="preserve"> </w:t>
      </w:r>
      <w:r w:rsidR="0071217D" w:rsidRPr="0071217D">
        <w:rPr>
          <w:color w:val="000000" w:themeColor="text1"/>
          <w:sz w:val="20"/>
          <w:szCs w:val="20"/>
        </w:rPr>
        <w:t>Du</w:t>
      </w:r>
      <w:r w:rsidR="00FF41A0">
        <w:rPr>
          <w:color w:val="000000" w:themeColor="text1"/>
          <w:sz w:val="20"/>
          <w:szCs w:val="20"/>
        </w:rPr>
        <w:t xml:space="preserve"> </w:t>
      </w:r>
      <w:r w:rsidR="0071217D" w:rsidRPr="0071217D">
        <w:rPr>
          <w:color w:val="000000" w:themeColor="text1"/>
          <w:sz w:val="20"/>
          <w:szCs w:val="20"/>
        </w:rPr>
        <w:t>Monde</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Association</w:t>
      </w:r>
      <w:r w:rsidR="00FF41A0">
        <w:rPr>
          <w:color w:val="000000" w:themeColor="text1"/>
          <w:sz w:val="20"/>
          <w:szCs w:val="20"/>
        </w:rPr>
        <w:t xml:space="preserve"> </w:t>
      </w:r>
      <w:r w:rsidR="0071217D" w:rsidRPr="0071217D">
        <w:rPr>
          <w:color w:val="000000" w:themeColor="text1"/>
          <w:sz w:val="20"/>
          <w:szCs w:val="20"/>
        </w:rPr>
        <w:t>Solidarité</w:t>
      </w:r>
      <w:r w:rsidR="00FF41A0">
        <w:rPr>
          <w:color w:val="000000" w:themeColor="text1"/>
          <w:sz w:val="20"/>
          <w:szCs w:val="20"/>
        </w:rPr>
        <w:t xml:space="preserve"> </w:t>
      </w:r>
      <w:r w:rsidR="0071217D" w:rsidRPr="0071217D">
        <w:rPr>
          <w:color w:val="000000" w:themeColor="text1"/>
          <w:sz w:val="20"/>
          <w:szCs w:val="20"/>
        </w:rPr>
        <w:t>Internationale</w:t>
      </w:r>
      <w:r w:rsidR="00FF41A0">
        <w:rPr>
          <w:color w:val="000000" w:themeColor="text1"/>
          <w:sz w:val="20"/>
          <w:szCs w:val="20"/>
        </w:rPr>
        <w:t xml:space="preserve"> </w:t>
      </w:r>
      <w:r w:rsidR="0071217D" w:rsidRPr="0071217D">
        <w:rPr>
          <w:color w:val="000000" w:themeColor="text1"/>
          <w:sz w:val="20"/>
          <w:szCs w:val="20"/>
        </w:rPr>
        <w:t>pour</w:t>
      </w:r>
      <w:r w:rsidR="00FF41A0">
        <w:rPr>
          <w:color w:val="000000" w:themeColor="text1"/>
          <w:sz w:val="20"/>
          <w:szCs w:val="20"/>
        </w:rPr>
        <w:t xml:space="preserve"> </w:t>
      </w:r>
      <w:r w:rsidR="0071217D" w:rsidRPr="0071217D">
        <w:rPr>
          <w:color w:val="000000" w:themeColor="text1"/>
          <w:sz w:val="20"/>
          <w:szCs w:val="20"/>
        </w:rPr>
        <w:t>l</w:t>
      </w:r>
      <w:r w:rsidR="00D72627">
        <w:rPr>
          <w:color w:val="000000" w:themeColor="text1"/>
          <w:sz w:val="20"/>
          <w:szCs w:val="20"/>
        </w:rPr>
        <w:t>’</w:t>
      </w:r>
      <w:r w:rsidR="0071217D" w:rsidRPr="0071217D">
        <w:rPr>
          <w:color w:val="000000" w:themeColor="text1"/>
          <w:sz w:val="20"/>
          <w:szCs w:val="20"/>
        </w:rPr>
        <w:t>Afrique</w:t>
      </w:r>
      <w:r w:rsidR="00FF41A0">
        <w:rPr>
          <w:color w:val="000000" w:themeColor="text1"/>
          <w:sz w:val="20"/>
          <w:szCs w:val="20"/>
        </w:rPr>
        <w:t xml:space="preserve"> </w:t>
      </w:r>
      <w:r w:rsidR="0071217D" w:rsidRPr="0071217D">
        <w:rPr>
          <w:color w:val="000000" w:themeColor="text1"/>
          <w:sz w:val="20"/>
          <w:szCs w:val="20"/>
        </w:rPr>
        <w:t>(SIA)</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Association</w:t>
      </w:r>
      <w:r w:rsidR="00FF41A0">
        <w:rPr>
          <w:color w:val="000000" w:themeColor="text1"/>
          <w:sz w:val="20"/>
          <w:szCs w:val="20"/>
        </w:rPr>
        <w:t xml:space="preserve"> </w:t>
      </w:r>
      <w:r w:rsidR="0071217D" w:rsidRPr="0071217D">
        <w:rPr>
          <w:color w:val="000000" w:themeColor="text1"/>
          <w:sz w:val="20"/>
          <w:szCs w:val="20"/>
        </w:rPr>
        <w:t>Thendral</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Canners</w:t>
      </w:r>
      <w:r w:rsidR="00FF41A0">
        <w:rPr>
          <w:color w:val="000000" w:themeColor="text1"/>
          <w:sz w:val="20"/>
          <w:szCs w:val="20"/>
        </w:rPr>
        <w:t xml:space="preserve"> </w:t>
      </w:r>
      <w:r w:rsidR="0071217D" w:rsidRPr="0071217D">
        <w:rPr>
          <w:color w:val="000000" w:themeColor="text1"/>
          <w:sz w:val="20"/>
          <w:szCs w:val="20"/>
        </w:rPr>
        <w:t>International</w:t>
      </w:r>
      <w:r w:rsidR="00FF41A0">
        <w:rPr>
          <w:color w:val="000000" w:themeColor="text1"/>
          <w:sz w:val="20"/>
          <w:szCs w:val="20"/>
        </w:rPr>
        <w:t xml:space="preserve"> </w:t>
      </w:r>
      <w:r w:rsidR="0071217D" w:rsidRPr="0071217D">
        <w:rPr>
          <w:color w:val="000000" w:themeColor="text1"/>
          <w:sz w:val="20"/>
          <w:szCs w:val="20"/>
        </w:rPr>
        <w:t>Permanent</w:t>
      </w:r>
      <w:r w:rsidR="00FF41A0">
        <w:rPr>
          <w:color w:val="000000" w:themeColor="text1"/>
          <w:sz w:val="20"/>
          <w:szCs w:val="20"/>
        </w:rPr>
        <w:t xml:space="preserve"> </w:t>
      </w:r>
      <w:r w:rsidR="0071217D" w:rsidRPr="0071217D">
        <w:rPr>
          <w:color w:val="000000" w:themeColor="text1"/>
          <w:sz w:val="20"/>
          <w:szCs w:val="20"/>
        </w:rPr>
        <w:t>Committee</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Center</w:t>
      </w:r>
      <w:r w:rsidR="00FF41A0">
        <w:rPr>
          <w:color w:val="000000" w:themeColor="text1"/>
          <w:sz w:val="20"/>
          <w:szCs w:val="20"/>
        </w:rPr>
        <w:t xml:space="preserve"> </w:t>
      </w:r>
      <w:r w:rsidR="0071217D" w:rsidRPr="0071217D">
        <w:rPr>
          <w:color w:val="000000" w:themeColor="text1"/>
          <w:sz w:val="20"/>
          <w:szCs w:val="20"/>
        </w:rPr>
        <w:t>for</w:t>
      </w:r>
      <w:r w:rsidR="00FF41A0">
        <w:rPr>
          <w:color w:val="000000" w:themeColor="text1"/>
          <w:sz w:val="20"/>
          <w:szCs w:val="20"/>
        </w:rPr>
        <w:t xml:space="preserve"> </w:t>
      </w:r>
      <w:r w:rsidR="0071217D" w:rsidRPr="0071217D">
        <w:rPr>
          <w:color w:val="000000" w:themeColor="text1"/>
          <w:sz w:val="20"/>
          <w:szCs w:val="20"/>
        </w:rPr>
        <w:t>Environmental</w:t>
      </w:r>
      <w:r w:rsidR="00FF41A0">
        <w:rPr>
          <w:color w:val="000000" w:themeColor="text1"/>
          <w:sz w:val="20"/>
          <w:szCs w:val="20"/>
        </w:rPr>
        <w:t xml:space="preserve"> </w:t>
      </w:r>
      <w:r w:rsidR="0071217D" w:rsidRPr="0071217D">
        <w:rPr>
          <w:color w:val="000000" w:themeColor="text1"/>
          <w:sz w:val="20"/>
          <w:szCs w:val="20"/>
        </w:rPr>
        <w:t>and</w:t>
      </w:r>
      <w:r w:rsidR="00FF41A0">
        <w:rPr>
          <w:color w:val="000000" w:themeColor="text1"/>
          <w:sz w:val="20"/>
          <w:szCs w:val="20"/>
        </w:rPr>
        <w:t xml:space="preserve"> </w:t>
      </w:r>
      <w:r w:rsidR="0071217D" w:rsidRPr="0071217D">
        <w:rPr>
          <w:color w:val="000000" w:themeColor="text1"/>
          <w:sz w:val="20"/>
          <w:szCs w:val="20"/>
        </w:rPr>
        <w:t>Management</w:t>
      </w:r>
      <w:r w:rsidR="00FF41A0">
        <w:rPr>
          <w:color w:val="000000" w:themeColor="text1"/>
          <w:sz w:val="20"/>
          <w:szCs w:val="20"/>
        </w:rPr>
        <w:t xml:space="preserve"> </w:t>
      </w:r>
      <w:r w:rsidR="0071217D" w:rsidRPr="0071217D">
        <w:rPr>
          <w:color w:val="000000" w:themeColor="text1"/>
          <w:sz w:val="20"/>
          <w:szCs w:val="20"/>
        </w:rPr>
        <w:t>Studies</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Centre</w:t>
      </w:r>
      <w:r w:rsidR="00FF41A0">
        <w:rPr>
          <w:color w:val="000000" w:themeColor="text1"/>
          <w:sz w:val="20"/>
          <w:szCs w:val="20"/>
        </w:rPr>
        <w:t xml:space="preserve"> </w:t>
      </w:r>
      <w:r w:rsidR="0071217D" w:rsidRPr="0071217D">
        <w:rPr>
          <w:color w:val="000000" w:themeColor="text1"/>
          <w:sz w:val="20"/>
          <w:szCs w:val="20"/>
        </w:rPr>
        <w:t>for</w:t>
      </w:r>
      <w:r w:rsidR="00FF41A0">
        <w:rPr>
          <w:color w:val="000000" w:themeColor="text1"/>
          <w:sz w:val="20"/>
          <w:szCs w:val="20"/>
        </w:rPr>
        <w:t xml:space="preserve"> </w:t>
      </w:r>
      <w:r w:rsidR="0071217D" w:rsidRPr="0071217D">
        <w:rPr>
          <w:color w:val="000000" w:themeColor="text1"/>
          <w:sz w:val="20"/>
          <w:szCs w:val="20"/>
        </w:rPr>
        <w:t>Gender</w:t>
      </w:r>
      <w:r w:rsidR="00FF41A0">
        <w:rPr>
          <w:color w:val="000000" w:themeColor="text1"/>
          <w:sz w:val="20"/>
          <w:szCs w:val="20"/>
        </w:rPr>
        <w:t xml:space="preserve"> </w:t>
      </w:r>
      <w:r w:rsidR="0071217D" w:rsidRPr="0071217D">
        <w:rPr>
          <w:color w:val="000000" w:themeColor="text1"/>
          <w:sz w:val="20"/>
          <w:szCs w:val="20"/>
        </w:rPr>
        <w:t>Justice</w:t>
      </w:r>
      <w:r w:rsidR="00FF41A0">
        <w:rPr>
          <w:color w:val="000000" w:themeColor="text1"/>
          <w:sz w:val="20"/>
          <w:szCs w:val="20"/>
        </w:rPr>
        <w:t xml:space="preserve"> </w:t>
      </w:r>
      <w:r w:rsidR="0071217D" w:rsidRPr="0071217D">
        <w:rPr>
          <w:color w:val="000000" w:themeColor="text1"/>
          <w:sz w:val="20"/>
          <w:szCs w:val="20"/>
        </w:rPr>
        <w:t>and</w:t>
      </w:r>
      <w:r w:rsidR="00FF41A0">
        <w:rPr>
          <w:color w:val="000000" w:themeColor="text1"/>
          <w:sz w:val="20"/>
          <w:szCs w:val="20"/>
        </w:rPr>
        <w:t xml:space="preserve"> </w:t>
      </w:r>
      <w:r w:rsidR="0071217D" w:rsidRPr="0071217D">
        <w:rPr>
          <w:color w:val="000000" w:themeColor="text1"/>
          <w:sz w:val="20"/>
          <w:szCs w:val="20"/>
        </w:rPr>
        <w:t>Women</w:t>
      </w:r>
      <w:r w:rsidR="00FF41A0">
        <w:rPr>
          <w:color w:val="000000" w:themeColor="text1"/>
          <w:sz w:val="20"/>
          <w:szCs w:val="20"/>
        </w:rPr>
        <w:t xml:space="preserve"> </w:t>
      </w:r>
      <w:r w:rsidR="0071217D" w:rsidRPr="0071217D">
        <w:rPr>
          <w:color w:val="000000" w:themeColor="text1"/>
          <w:sz w:val="20"/>
          <w:szCs w:val="20"/>
        </w:rPr>
        <w:t>Empowerment</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Commission</w:t>
      </w:r>
      <w:r w:rsidR="00FF41A0">
        <w:rPr>
          <w:color w:val="000000" w:themeColor="text1"/>
          <w:sz w:val="20"/>
          <w:szCs w:val="20"/>
        </w:rPr>
        <w:t xml:space="preserve"> </w:t>
      </w:r>
      <w:r w:rsidR="0071217D" w:rsidRPr="0071217D">
        <w:rPr>
          <w:color w:val="000000" w:themeColor="text1"/>
          <w:sz w:val="20"/>
          <w:szCs w:val="20"/>
        </w:rPr>
        <w:t>to</w:t>
      </w:r>
      <w:r w:rsidR="00FF41A0">
        <w:rPr>
          <w:color w:val="000000" w:themeColor="text1"/>
          <w:sz w:val="20"/>
          <w:szCs w:val="20"/>
        </w:rPr>
        <w:t xml:space="preserve"> </w:t>
      </w:r>
      <w:r w:rsidR="0071217D" w:rsidRPr="0071217D">
        <w:rPr>
          <w:color w:val="000000" w:themeColor="text1"/>
          <w:sz w:val="20"/>
          <w:szCs w:val="20"/>
        </w:rPr>
        <w:t>Study</w:t>
      </w:r>
      <w:r w:rsidR="00FF41A0">
        <w:rPr>
          <w:color w:val="000000" w:themeColor="text1"/>
          <w:sz w:val="20"/>
          <w:szCs w:val="20"/>
        </w:rPr>
        <w:t xml:space="preserve"> </w:t>
      </w:r>
      <w:r w:rsidR="0071217D" w:rsidRPr="0071217D">
        <w:rPr>
          <w:color w:val="000000" w:themeColor="text1"/>
          <w:sz w:val="20"/>
          <w:szCs w:val="20"/>
        </w:rPr>
        <w:t>the</w:t>
      </w:r>
      <w:r w:rsidR="00FF41A0">
        <w:rPr>
          <w:color w:val="000000" w:themeColor="text1"/>
          <w:sz w:val="20"/>
          <w:szCs w:val="20"/>
        </w:rPr>
        <w:t xml:space="preserve"> </w:t>
      </w:r>
      <w:r w:rsidR="0071217D" w:rsidRPr="0071217D">
        <w:rPr>
          <w:color w:val="000000" w:themeColor="text1"/>
          <w:sz w:val="20"/>
          <w:szCs w:val="20"/>
        </w:rPr>
        <w:t>Organization</w:t>
      </w:r>
      <w:r w:rsidR="00FF41A0">
        <w:rPr>
          <w:color w:val="000000" w:themeColor="text1"/>
          <w:sz w:val="20"/>
          <w:szCs w:val="20"/>
        </w:rPr>
        <w:t xml:space="preserve"> </w:t>
      </w:r>
      <w:r w:rsidR="0071217D" w:rsidRPr="0071217D">
        <w:rPr>
          <w:color w:val="000000" w:themeColor="text1"/>
          <w:sz w:val="20"/>
          <w:szCs w:val="20"/>
        </w:rPr>
        <w:t>of</w:t>
      </w:r>
      <w:r w:rsidR="00FF41A0">
        <w:rPr>
          <w:color w:val="000000" w:themeColor="text1"/>
          <w:sz w:val="20"/>
          <w:szCs w:val="20"/>
        </w:rPr>
        <w:t xml:space="preserve"> </w:t>
      </w:r>
      <w:r w:rsidR="0071217D" w:rsidRPr="0071217D">
        <w:rPr>
          <w:color w:val="000000" w:themeColor="text1"/>
          <w:sz w:val="20"/>
          <w:szCs w:val="20"/>
        </w:rPr>
        <w:t>Peace</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Elizka</w:t>
      </w:r>
      <w:r w:rsidR="00FF41A0">
        <w:rPr>
          <w:color w:val="000000" w:themeColor="text1"/>
          <w:sz w:val="20"/>
          <w:szCs w:val="20"/>
        </w:rPr>
        <w:t xml:space="preserve"> </w:t>
      </w:r>
      <w:r w:rsidR="0071217D" w:rsidRPr="0071217D">
        <w:rPr>
          <w:color w:val="000000" w:themeColor="text1"/>
          <w:sz w:val="20"/>
          <w:szCs w:val="20"/>
        </w:rPr>
        <w:t>Relief</w:t>
      </w:r>
      <w:r w:rsidR="00FF41A0">
        <w:rPr>
          <w:color w:val="000000" w:themeColor="text1"/>
          <w:sz w:val="20"/>
          <w:szCs w:val="20"/>
        </w:rPr>
        <w:t xml:space="preserve"> </w:t>
      </w:r>
      <w:r w:rsidR="0071217D" w:rsidRPr="0071217D">
        <w:rPr>
          <w:color w:val="000000" w:themeColor="text1"/>
          <w:sz w:val="20"/>
          <w:szCs w:val="20"/>
        </w:rPr>
        <w:t>Foundation</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European</w:t>
      </w:r>
      <w:r w:rsidR="00FF41A0">
        <w:rPr>
          <w:color w:val="000000" w:themeColor="text1"/>
          <w:sz w:val="20"/>
          <w:szCs w:val="20"/>
        </w:rPr>
        <w:t xml:space="preserve"> </w:t>
      </w:r>
      <w:r w:rsidR="0071217D" w:rsidRPr="0071217D">
        <w:rPr>
          <w:color w:val="000000" w:themeColor="text1"/>
          <w:sz w:val="20"/>
          <w:szCs w:val="20"/>
        </w:rPr>
        <w:t>Union</w:t>
      </w:r>
      <w:r w:rsidR="00FF41A0">
        <w:rPr>
          <w:color w:val="000000" w:themeColor="text1"/>
          <w:sz w:val="20"/>
          <w:szCs w:val="20"/>
        </w:rPr>
        <w:t xml:space="preserve"> </w:t>
      </w:r>
      <w:r w:rsidR="0071217D" w:rsidRPr="0071217D">
        <w:rPr>
          <w:color w:val="000000" w:themeColor="text1"/>
          <w:sz w:val="20"/>
          <w:szCs w:val="20"/>
        </w:rPr>
        <w:t>of</w:t>
      </w:r>
      <w:r w:rsidR="00FF41A0">
        <w:rPr>
          <w:color w:val="000000" w:themeColor="text1"/>
          <w:sz w:val="20"/>
          <w:szCs w:val="20"/>
        </w:rPr>
        <w:t xml:space="preserve"> </w:t>
      </w:r>
      <w:r w:rsidR="0071217D" w:rsidRPr="0071217D">
        <w:rPr>
          <w:color w:val="000000" w:themeColor="text1"/>
          <w:sz w:val="20"/>
          <w:szCs w:val="20"/>
        </w:rPr>
        <w:t>Public</w:t>
      </w:r>
      <w:r w:rsidR="00FF41A0">
        <w:rPr>
          <w:color w:val="000000" w:themeColor="text1"/>
          <w:sz w:val="20"/>
          <w:szCs w:val="20"/>
        </w:rPr>
        <w:t xml:space="preserve"> </w:t>
      </w:r>
      <w:r w:rsidR="0071217D" w:rsidRPr="0071217D">
        <w:rPr>
          <w:color w:val="000000" w:themeColor="text1"/>
          <w:sz w:val="20"/>
          <w:szCs w:val="20"/>
        </w:rPr>
        <w:t>Relations</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Fundación</w:t>
      </w:r>
      <w:r w:rsidR="00FF41A0">
        <w:rPr>
          <w:color w:val="000000" w:themeColor="text1"/>
          <w:sz w:val="20"/>
          <w:szCs w:val="20"/>
        </w:rPr>
        <w:t xml:space="preserve"> </w:t>
      </w:r>
      <w:r w:rsidR="0071217D" w:rsidRPr="0071217D">
        <w:rPr>
          <w:color w:val="000000" w:themeColor="text1"/>
          <w:sz w:val="20"/>
          <w:szCs w:val="20"/>
        </w:rPr>
        <w:t>Latinoamericana</w:t>
      </w:r>
      <w:r w:rsidR="00FF41A0">
        <w:rPr>
          <w:color w:val="000000" w:themeColor="text1"/>
          <w:sz w:val="20"/>
          <w:szCs w:val="20"/>
        </w:rPr>
        <w:t xml:space="preserve"> </w:t>
      </w:r>
      <w:r w:rsidR="0071217D" w:rsidRPr="0071217D">
        <w:rPr>
          <w:color w:val="000000" w:themeColor="text1"/>
          <w:sz w:val="20"/>
          <w:szCs w:val="20"/>
        </w:rPr>
        <w:t>por</w:t>
      </w:r>
      <w:r w:rsidR="00FF41A0">
        <w:rPr>
          <w:color w:val="000000" w:themeColor="text1"/>
          <w:sz w:val="20"/>
          <w:szCs w:val="20"/>
        </w:rPr>
        <w:t xml:space="preserve"> </w:t>
      </w:r>
      <w:r w:rsidR="0071217D" w:rsidRPr="0071217D">
        <w:rPr>
          <w:color w:val="000000" w:themeColor="text1"/>
          <w:sz w:val="20"/>
          <w:szCs w:val="20"/>
        </w:rPr>
        <w:t>los</w:t>
      </w:r>
      <w:r w:rsidR="00FF41A0">
        <w:rPr>
          <w:color w:val="000000" w:themeColor="text1"/>
          <w:sz w:val="20"/>
          <w:szCs w:val="20"/>
        </w:rPr>
        <w:t xml:space="preserve"> </w:t>
      </w:r>
      <w:r w:rsidR="0071217D" w:rsidRPr="0071217D">
        <w:rPr>
          <w:color w:val="000000" w:themeColor="text1"/>
          <w:sz w:val="20"/>
          <w:szCs w:val="20"/>
        </w:rPr>
        <w:t>Derechos</w:t>
      </w:r>
      <w:r w:rsidR="00FF41A0">
        <w:rPr>
          <w:color w:val="000000" w:themeColor="text1"/>
          <w:sz w:val="20"/>
          <w:szCs w:val="20"/>
        </w:rPr>
        <w:t xml:space="preserve"> </w:t>
      </w:r>
      <w:r w:rsidR="0071217D" w:rsidRPr="0071217D">
        <w:rPr>
          <w:color w:val="000000" w:themeColor="text1"/>
          <w:sz w:val="20"/>
          <w:szCs w:val="20"/>
        </w:rPr>
        <w:t>Humanos</w:t>
      </w:r>
      <w:r w:rsidR="00FF41A0">
        <w:rPr>
          <w:color w:val="000000" w:themeColor="text1"/>
          <w:sz w:val="20"/>
          <w:szCs w:val="20"/>
        </w:rPr>
        <w:t xml:space="preserve"> </w:t>
      </w:r>
      <w:r w:rsidR="0071217D" w:rsidRPr="0071217D">
        <w:rPr>
          <w:color w:val="000000" w:themeColor="text1"/>
          <w:sz w:val="20"/>
          <w:szCs w:val="20"/>
        </w:rPr>
        <w:t>y</w:t>
      </w:r>
      <w:r w:rsidR="00FF41A0">
        <w:rPr>
          <w:color w:val="000000" w:themeColor="text1"/>
          <w:sz w:val="20"/>
          <w:szCs w:val="20"/>
        </w:rPr>
        <w:t xml:space="preserve"> </w:t>
      </w:r>
      <w:r w:rsidR="0071217D" w:rsidRPr="0071217D">
        <w:rPr>
          <w:color w:val="000000" w:themeColor="text1"/>
          <w:sz w:val="20"/>
          <w:szCs w:val="20"/>
        </w:rPr>
        <w:t>el</w:t>
      </w:r>
      <w:r w:rsidR="00FF41A0">
        <w:rPr>
          <w:color w:val="000000" w:themeColor="text1"/>
          <w:sz w:val="20"/>
          <w:szCs w:val="20"/>
        </w:rPr>
        <w:t xml:space="preserve"> </w:t>
      </w:r>
      <w:r w:rsidR="0071217D" w:rsidRPr="0071217D">
        <w:rPr>
          <w:color w:val="000000" w:themeColor="text1"/>
          <w:sz w:val="20"/>
          <w:szCs w:val="20"/>
        </w:rPr>
        <w:t>Desarrollo</w:t>
      </w:r>
      <w:r w:rsidR="00FF41A0">
        <w:rPr>
          <w:color w:val="000000" w:themeColor="text1"/>
          <w:sz w:val="20"/>
          <w:szCs w:val="20"/>
        </w:rPr>
        <w:t xml:space="preserve"> </w:t>
      </w:r>
      <w:r w:rsidR="0071217D" w:rsidRPr="0071217D">
        <w:rPr>
          <w:color w:val="000000" w:themeColor="text1"/>
          <w:sz w:val="20"/>
          <w:szCs w:val="20"/>
        </w:rPr>
        <w:t>Social</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Genève</w:t>
      </w:r>
      <w:r w:rsidR="00FF41A0">
        <w:rPr>
          <w:color w:val="000000" w:themeColor="text1"/>
          <w:sz w:val="20"/>
          <w:szCs w:val="20"/>
        </w:rPr>
        <w:t xml:space="preserve"> </w:t>
      </w:r>
      <w:r w:rsidR="0071217D" w:rsidRPr="0071217D">
        <w:rPr>
          <w:color w:val="000000" w:themeColor="text1"/>
          <w:sz w:val="20"/>
          <w:szCs w:val="20"/>
        </w:rPr>
        <w:t>pour</w:t>
      </w:r>
      <w:r w:rsidR="00FF41A0">
        <w:rPr>
          <w:color w:val="000000" w:themeColor="text1"/>
          <w:sz w:val="20"/>
          <w:szCs w:val="20"/>
        </w:rPr>
        <w:t xml:space="preserve"> </w:t>
      </w:r>
      <w:r w:rsidR="0071217D" w:rsidRPr="0071217D">
        <w:rPr>
          <w:color w:val="000000" w:themeColor="text1"/>
          <w:sz w:val="20"/>
          <w:szCs w:val="20"/>
        </w:rPr>
        <w:t>les</w:t>
      </w:r>
      <w:r w:rsidR="00FF41A0">
        <w:rPr>
          <w:color w:val="000000" w:themeColor="text1"/>
          <w:sz w:val="20"/>
          <w:szCs w:val="20"/>
        </w:rPr>
        <w:t xml:space="preserve"> </w:t>
      </w:r>
      <w:r w:rsidR="0071217D" w:rsidRPr="0071217D">
        <w:rPr>
          <w:color w:val="000000" w:themeColor="text1"/>
          <w:sz w:val="20"/>
          <w:szCs w:val="20"/>
        </w:rPr>
        <w:t>droits</w:t>
      </w:r>
      <w:r w:rsidR="00FF41A0">
        <w:rPr>
          <w:color w:val="000000" w:themeColor="text1"/>
          <w:sz w:val="20"/>
          <w:szCs w:val="20"/>
        </w:rPr>
        <w:t xml:space="preserve"> </w:t>
      </w:r>
      <w:r w:rsidR="0071217D" w:rsidRPr="0071217D">
        <w:rPr>
          <w:color w:val="000000" w:themeColor="text1"/>
          <w:sz w:val="20"/>
          <w:szCs w:val="20"/>
        </w:rPr>
        <w:t>de</w:t>
      </w:r>
      <w:r w:rsidR="00FF41A0">
        <w:rPr>
          <w:color w:val="000000" w:themeColor="text1"/>
          <w:sz w:val="20"/>
          <w:szCs w:val="20"/>
        </w:rPr>
        <w:t xml:space="preserve"> </w:t>
      </w:r>
      <w:r w:rsidR="0071217D" w:rsidRPr="0071217D">
        <w:rPr>
          <w:color w:val="000000" w:themeColor="text1"/>
          <w:sz w:val="20"/>
          <w:szCs w:val="20"/>
        </w:rPr>
        <w:t>l</w:t>
      </w:r>
      <w:r w:rsidR="00D72627">
        <w:rPr>
          <w:color w:val="000000" w:themeColor="text1"/>
          <w:sz w:val="20"/>
          <w:szCs w:val="20"/>
        </w:rPr>
        <w:t>’</w:t>
      </w:r>
      <w:r w:rsidR="0071217D" w:rsidRPr="0071217D">
        <w:rPr>
          <w:color w:val="000000" w:themeColor="text1"/>
          <w:sz w:val="20"/>
          <w:szCs w:val="20"/>
        </w:rPr>
        <w:t>homme</w:t>
      </w:r>
      <w:r w:rsidR="00FF41A0">
        <w:rPr>
          <w:color w:val="000000" w:themeColor="text1"/>
          <w:sz w:val="20"/>
          <w:szCs w:val="20"/>
        </w:rPr>
        <w:t xml:space="preserve"> </w:t>
      </w:r>
      <w:r w:rsidR="0071217D" w:rsidRP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formation</w:t>
      </w:r>
      <w:r w:rsidR="00FF41A0">
        <w:rPr>
          <w:color w:val="000000" w:themeColor="text1"/>
          <w:sz w:val="20"/>
          <w:szCs w:val="20"/>
        </w:rPr>
        <w:t xml:space="preserve"> </w:t>
      </w:r>
      <w:r w:rsidR="0071217D">
        <w:rPr>
          <w:color w:val="000000" w:themeColor="text1"/>
          <w:sz w:val="20"/>
          <w:szCs w:val="20"/>
        </w:rPr>
        <w:t>international;</w:t>
      </w:r>
      <w:r w:rsidR="00FF41A0">
        <w:rPr>
          <w:color w:val="000000" w:themeColor="text1"/>
          <w:sz w:val="20"/>
          <w:szCs w:val="20"/>
        </w:rPr>
        <w:t xml:space="preserve"> </w:t>
      </w:r>
      <w:r w:rsidR="0071217D" w:rsidRPr="0071217D">
        <w:rPr>
          <w:color w:val="000000" w:themeColor="text1"/>
          <w:sz w:val="20"/>
          <w:szCs w:val="20"/>
        </w:rPr>
        <w:t>Giving</w:t>
      </w:r>
      <w:r w:rsidR="00FF41A0">
        <w:rPr>
          <w:color w:val="000000" w:themeColor="text1"/>
          <w:sz w:val="20"/>
          <w:szCs w:val="20"/>
        </w:rPr>
        <w:t xml:space="preserve"> </w:t>
      </w:r>
      <w:r w:rsidR="0071217D" w:rsidRPr="0071217D">
        <w:rPr>
          <w:color w:val="000000" w:themeColor="text1"/>
          <w:sz w:val="20"/>
          <w:szCs w:val="20"/>
        </w:rPr>
        <w:t>Life</w:t>
      </w:r>
      <w:r w:rsidR="00FF41A0">
        <w:rPr>
          <w:color w:val="000000" w:themeColor="text1"/>
          <w:sz w:val="20"/>
          <w:szCs w:val="20"/>
        </w:rPr>
        <w:t xml:space="preserve"> </w:t>
      </w:r>
      <w:r w:rsidR="0071217D" w:rsidRPr="0071217D">
        <w:rPr>
          <w:color w:val="000000" w:themeColor="text1"/>
          <w:sz w:val="20"/>
          <w:szCs w:val="20"/>
        </w:rPr>
        <w:t>Nature</w:t>
      </w:r>
      <w:r w:rsidR="00FF41A0">
        <w:rPr>
          <w:color w:val="000000" w:themeColor="text1"/>
          <w:sz w:val="20"/>
          <w:szCs w:val="20"/>
        </w:rPr>
        <w:t xml:space="preserve"> </w:t>
      </w:r>
      <w:r w:rsidR="0071217D" w:rsidRPr="0071217D">
        <w:rPr>
          <w:color w:val="000000" w:themeColor="text1"/>
          <w:sz w:val="20"/>
          <w:szCs w:val="20"/>
        </w:rPr>
        <w:t>Volunteer</w:t>
      </w:r>
      <w:r w:rsidR="0071217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Global</w:t>
      </w:r>
      <w:r w:rsidR="00FF41A0">
        <w:rPr>
          <w:color w:val="000000" w:themeColor="text1"/>
          <w:sz w:val="20"/>
          <w:szCs w:val="20"/>
        </w:rPr>
        <w:t xml:space="preserve"> </w:t>
      </w:r>
      <w:r w:rsidR="0071217D" w:rsidRPr="0071217D">
        <w:rPr>
          <w:color w:val="000000" w:themeColor="text1"/>
          <w:sz w:val="20"/>
          <w:szCs w:val="20"/>
        </w:rPr>
        <w:t>Welfare</w:t>
      </w:r>
      <w:r w:rsidR="00FF41A0">
        <w:rPr>
          <w:color w:val="000000" w:themeColor="text1"/>
          <w:sz w:val="20"/>
          <w:szCs w:val="20"/>
        </w:rPr>
        <w:t xml:space="preserve"> </w:t>
      </w:r>
      <w:r w:rsidR="0071217D" w:rsidRPr="0071217D">
        <w:rPr>
          <w:color w:val="000000" w:themeColor="text1"/>
          <w:sz w:val="20"/>
          <w:szCs w:val="20"/>
        </w:rPr>
        <w:t>Association</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Godwin</w:t>
      </w:r>
      <w:r w:rsidR="00FF41A0">
        <w:rPr>
          <w:color w:val="000000" w:themeColor="text1"/>
          <w:sz w:val="20"/>
          <w:szCs w:val="20"/>
        </w:rPr>
        <w:t xml:space="preserve"> </w:t>
      </w:r>
      <w:r w:rsidR="0071217D" w:rsidRPr="0071217D">
        <w:rPr>
          <w:color w:val="000000" w:themeColor="text1"/>
          <w:sz w:val="20"/>
          <w:szCs w:val="20"/>
        </w:rPr>
        <w:t>Osung</w:t>
      </w:r>
      <w:r w:rsidR="00FF41A0">
        <w:rPr>
          <w:color w:val="000000" w:themeColor="text1"/>
          <w:sz w:val="20"/>
          <w:szCs w:val="20"/>
        </w:rPr>
        <w:t xml:space="preserve"> </w:t>
      </w:r>
      <w:r w:rsidR="0071217D" w:rsidRPr="0071217D">
        <w:rPr>
          <w:color w:val="000000" w:themeColor="text1"/>
          <w:sz w:val="20"/>
          <w:szCs w:val="20"/>
        </w:rPr>
        <w:t>International</w:t>
      </w:r>
      <w:r w:rsidR="00FF41A0">
        <w:rPr>
          <w:color w:val="000000" w:themeColor="text1"/>
          <w:sz w:val="20"/>
          <w:szCs w:val="20"/>
        </w:rPr>
        <w:t xml:space="preserve"> </w:t>
      </w:r>
      <w:r w:rsidR="0071217D" w:rsidRPr="0071217D">
        <w:rPr>
          <w:color w:val="000000" w:themeColor="text1"/>
          <w:sz w:val="20"/>
          <w:szCs w:val="20"/>
        </w:rPr>
        <w:t>Foundation,</w:t>
      </w:r>
      <w:r w:rsidR="00FF41A0">
        <w:rPr>
          <w:color w:val="000000" w:themeColor="text1"/>
          <w:sz w:val="20"/>
          <w:szCs w:val="20"/>
        </w:rPr>
        <w:t xml:space="preserve"> </w:t>
      </w:r>
      <w:r w:rsidR="0071217D" w:rsidRPr="0071217D">
        <w:rPr>
          <w:color w:val="000000" w:themeColor="text1"/>
          <w:sz w:val="20"/>
          <w:szCs w:val="20"/>
        </w:rPr>
        <w:t>Inc.</w:t>
      </w:r>
      <w:r w:rsidR="00FF41A0">
        <w:rPr>
          <w:color w:val="000000" w:themeColor="text1"/>
          <w:sz w:val="20"/>
          <w:szCs w:val="20"/>
        </w:rPr>
        <w:t xml:space="preserve"> </w:t>
      </w:r>
      <w:r w:rsidR="0071217D" w:rsidRPr="0071217D">
        <w:rPr>
          <w:color w:val="000000" w:themeColor="text1"/>
          <w:sz w:val="20"/>
          <w:szCs w:val="20"/>
        </w:rPr>
        <w:t>(The</w:t>
      </w:r>
      <w:r w:rsidR="00FF41A0">
        <w:rPr>
          <w:color w:val="000000" w:themeColor="text1"/>
          <w:sz w:val="20"/>
          <w:szCs w:val="20"/>
        </w:rPr>
        <w:t xml:space="preserve"> </w:t>
      </w:r>
      <w:r w:rsidR="0071217D" w:rsidRPr="0071217D">
        <w:rPr>
          <w:color w:val="000000" w:themeColor="text1"/>
          <w:sz w:val="20"/>
          <w:szCs w:val="20"/>
        </w:rPr>
        <w:t>African</w:t>
      </w:r>
      <w:r w:rsidR="00FF41A0">
        <w:rPr>
          <w:color w:val="000000" w:themeColor="text1"/>
          <w:sz w:val="20"/>
          <w:szCs w:val="20"/>
        </w:rPr>
        <w:t xml:space="preserve"> </w:t>
      </w:r>
      <w:r w:rsidR="0071217D" w:rsidRPr="0071217D">
        <w:rPr>
          <w:color w:val="000000" w:themeColor="text1"/>
          <w:sz w:val="20"/>
          <w:szCs w:val="20"/>
        </w:rPr>
        <w:t>Project)</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Hamraah</w:t>
      </w:r>
      <w:r w:rsidR="00FF41A0">
        <w:rPr>
          <w:color w:val="000000" w:themeColor="text1"/>
          <w:sz w:val="20"/>
          <w:szCs w:val="20"/>
        </w:rPr>
        <w:t xml:space="preserve"> </w:t>
      </w:r>
      <w:r w:rsidR="0071217D" w:rsidRPr="0071217D">
        <w:rPr>
          <w:color w:val="000000" w:themeColor="text1"/>
          <w:sz w:val="20"/>
          <w:szCs w:val="20"/>
        </w:rPr>
        <w:t>Foundation</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Health</w:t>
      </w:r>
      <w:r w:rsidR="00FF41A0">
        <w:rPr>
          <w:color w:val="000000" w:themeColor="text1"/>
          <w:sz w:val="20"/>
          <w:szCs w:val="20"/>
        </w:rPr>
        <w:t xml:space="preserve"> </w:t>
      </w:r>
      <w:r w:rsidR="0071217D" w:rsidRPr="0071217D">
        <w:rPr>
          <w:color w:val="000000" w:themeColor="text1"/>
          <w:sz w:val="20"/>
          <w:szCs w:val="20"/>
        </w:rPr>
        <w:t>and</w:t>
      </w:r>
      <w:r w:rsidR="00FF41A0">
        <w:rPr>
          <w:color w:val="000000" w:themeColor="text1"/>
          <w:sz w:val="20"/>
          <w:szCs w:val="20"/>
        </w:rPr>
        <w:t xml:space="preserve"> </w:t>
      </w:r>
      <w:r w:rsidR="0071217D" w:rsidRPr="0071217D">
        <w:rPr>
          <w:color w:val="000000" w:themeColor="text1"/>
          <w:sz w:val="20"/>
          <w:szCs w:val="20"/>
        </w:rPr>
        <w:t>Environment</w:t>
      </w:r>
      <w:r w:rsidR="00FF41A0">
        <w:rPr>
          <w:color w:val="000000" w:themeColor="text1"/>
          <w:sz w:val="20"/>
          <w:szCs w:val="20"/>
        </w:rPr>
        <w:t xml:space="preserve"> </w:t>
      </w:r>
      <w:r w:rsidR="0071217D" w:rsidRPr="0071217D">
        <w:rPr>
          <w:color w:val="000000" w:themeColor="text1"/>
          <w:sz w:val="20"/>
          <w:szCs w:val="20"/>
        </w:rPr>
        <w:t>Program</w:t>
      </w:r>
      <w:r w:rsidR="00FF41A0">
        <w:rPr>
          <w:color w:val="000000" w:themeColor="text1"/>
          <w:sz w:val="20"/>
          <w:szCs w:val="20"/>
        </w:rPr>
        <w:t xml:space="preserve"> </w:t>
      </w:r>
      <w:r w:rsidR="0071217D" w:rsidRPr="0071217D">
        <w:rPr>
          <w:color w:val="000000" w:themeColor="text1"/>
          <w:sz w:val="20"/>
          <w:szCs w:val="20"/>
        </w:rPr>
        <w:t>(HEP)</w:t>
      </w:r>
      <w:r w:rsidR="009842CD">
        <w:rPr>
          <w:color w:val="000000" w:themeColor="text1"/>
          <w:sz w:val="20"/>
          <w:szCs w:val="20"/>
        </w:rPr>
        <w:t>;</w:t>
      </w:r>
      <w:r w:rsidR="00FF41A0">
        <w:rPr>
          <w:color w:val="000000" w:themeColor="text1"/>
          <w:sz w:val="20"/>
          <w:szCs w:val="20"/>
        </w:rPr>
        <w:t xml:space="preserve"> </w:t>
      </w:r>
      <w:r w:rsidR="009842CD">
        <w:rPr>
          <w:color w:val="000000" w:themeColor="text1"/>
          <w:sz w:val="20"/>
          <w:szCs w:val="20"/>
        </w:rPr>
        <w:t>Indian</w:t>
      </w:r>
      <w:r w:rsidR="00FF41A0">
        <w:rPr>
          <w:color w:val="000000" w:themeColor="text1"/>
          <w:sz w:val="20"/>
          <w:szCs w:val="20"/>
        </w:rPr>
        <w:t xml:space="preserve"> </w:t>
      </w:r>
      <w:r w:rsidR="009842CD">
        <w:rPr>
          <w:color w:val="000000" w:themeColor="text1"/>
          <w:sz w:val="20"/>
          <w:szCs w:val="20"/>
        </w:rPr>
        <w:t>Movement</w:t>
      </w:r>
      <w:r w:rsidR="00FF41A0">
        <w:rPr>
          <w:color w:val="000000" w:themeColor="text1"/>
          <w:sz w:val="20"/>
          <w:szCs w:val="20"/>
        </w:rPr>
        <w:t xml:space="preserve"> </w:t>
      </w:r>
      <w:r w:rsidR="009842CD">
        <w:rPr>
          <w:color w:val="000000" w:themeColor="text1"/>
          <w:sz w:val="20"/>
          <w:szCs w:val="20"/>
        </w:rPr>
        <w:t>“Tupaj</w:t>
      </w:r>
      <w:r w:rsidR="00FF41A0">
        <w:rPr>
          <w:color w:val="000000" w:themeColor="text1"/>
          <w:sz w:val="20"/>
          <w:szCs w:val="20"/>
        </w:rPr>
        <w:t xml:space="preserve"> </w:t>
      </w:r>
      <w:r w:rsidR="009842CD">
        <w:rPr>
          <w:color w:val="000000" w:themeColor="text1"/>
          <w:sz w:val="20"/>
          <w:szCs w:val="20"/>
        </w:rPr>
        <w:t>Amaru”;</w:t>
      </w:r>
      <w:r w:rsidR="00FF41A0">
        <w:rPr>
          <w:color w:val="000000" w:themeColor="text1"/>
          <w:sz w:val="20"/>
          <w:szCs w:val="20"/>
        </w:rPr>
        <w:t xml:space="preserve"> </w:t>
      </w:r>
      <w:r w:rsidR="0071217D" w:rsidRPr="0071217D">
        <w:rPr>
          <w:color w:val="000000" w:themeColor="text1"/>
          <w:sz w:val="20"/>
          <w:szCs w:val="20"/>
        </w:rPr>
        <w:t>Indigenous</w:t>
      </w:r>
      <w:r w:rsidR="00FF41A0">
        <w:rPr>
          <w:color w:val="000000" w:themeColor="text1"/>
          <w:sz w:val="20"/>
          <w:szCs w:val="20"/>
        </w:rPr>
        <w:t xml:space="preserve"> </w:t>
      </w:r>
      <w:r w:rsidR="0071217D" w:rsidRPr="0071217D">
        <w:rPr>
          <w:color w:val="000000" w:themeColor="text1"/>
          <w:sz w:val="20"/>
          <w:szCs w:val="20"/>
        </w:rPr>
        <w:t>People</w:t>
      </w:r>
      <w:r w:rsidR="00FF41A0">
        <w:rPr>
          <w:color w:val="000000" w:themeColor="text1"/>
          <w:sz w:val="20"/>
          <w:szCs w:val="20"/>
        </w:rPr>
        <w:t xml:space="preserve"> </w:t>
      </w:r>
      <w:r w:rsidR="0071217D" w:rsidRPr="0071217D">
        <w:rPr>
          <w:color w:val="000000" w:themeColor="text1"/>
          <w:sz w:val="20"/>
          <w:szCs w:val="20"/>
        </w:rPr>
        <w:t>of</w:t>
      </w:r>
      <w:r w:rsidR="00FF41A0">
        <w:rPr>
          <w:color w:val="000000" w:themeColor="text1"/>
          <w:sz w:val="20"/>
          <w:szCs w:val="20"/>
        </w:rPr>
        <w:t xml:space="preserve"> </w:t>
      </w:r>
      <w:r w:rsidR="0071217D" w:rsidRPr="0071217D">
        <w:rPr>
          <w:color w:val="000000" w:themeColor="text1"/>
          <w:sz w:val="20"/>
          <w:szCs w:val="20"/>
        </w:rPr>
        <w:t>Africa</w:t>
      </w:r>
      <w:r w:rsidR="00FF41A0">
        <w:rPr>
          <w:color w:val="000000" w:themeColor="text1"/>
          <w:sz w:val="20"/>
          <w:szCs w:val="20"/>
        </w:rPr>
        <w:t xml:space="preserve"> </w:t>
      </w:r>
      <w:r w:rsidR="0071217D" w:rsidRPr="0071217D">
        <w:rPr>
          <w:color w:val="000000" w:themeColor="text1"/>
          <w:sz w:val="20"/>
          <w:szCs w:val="20"/>
        </w:rPr>
        <w:t>Coordinating</w:t>
      </w:r>
      <w:r w:rsidR="00FF41A0">
        <w:rPr>
          <w:color w:val="000000" w:themeColor="text1"/>
          <w:sz w:val="20"/>
          <w:szCs w:val="20"/>
        </w:rPr>
        <w:t xml:space="preserve"> </w:t>
      </w:r>
      <w:r w:rsidR="0071217D" w:rsidRPr="0071217D">
        <w:rPr>
          <w:color w:val="000000" w:themeColor="text1"/>
          <w:sz w:val="20"/>
          <w:szCs w:val="20"/>
        </w:rPr>
        <w:t>Committee</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Ingenieurs</w:t>
      </w:r>
      <w:r w:rsidR="00FF41A0">
        <w:rPr>
          <w:color w:val="000000" w:themeColor="text1"/>
          <w:sz w:val="20"/>
          <w:szCs w:val="20"/>
        </w:rPr>
        <w:t xml:space="preserve"> </w:t>
      </w:r>
      <w:r w:rsidR="0071217D" w:rsidRPr="0071217D">
        <w:rPr>
          <w:color w:val="000000" w:themeColor="text1"/>
          <w:sz w:val="20"/>
          <w:szCs w:val="20"/>
        </w:rPr>
        <w:t>du</w:t>
      </w:r>
      <w:r w:rsidR="00FF41A0">
        <w:rPr>
          <w:color w:val="000000" w:themeColor="text1"/>
          <w:sz w:val="20"/>
          <w:szCs w:val="20"/>
        </w:rPr>
        <w:t xml:space="preserve"> </w:t>
      </w:r>
      <w:r w:rsidR="0071217D" w:rsidRPr="0071217D">
        <w:rPr>
          <w:color w:val="000000" w:themeColor="text1"/>
          <w:sz w:val="20"/>
          <w:szCs w:val="20"/>
        </w:rPr>
        <w:t>Monde</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Institute</w:t>
      </w:r>
      <w:r w:rsidR="00FF41A0">
        <w:rPr>
          <w:color w:val="000000" w:themeColor="text1"/>
          <w:sz w:val="20"/>
          <w:szCs w:val="20"/>
        </w:rPr>
        <w:t xml:space="preserve"> </w:t>
      </w:r>
      <w:r w:rsidR="0071217D" w:rsidRPr="0071217D">
        <w:rPr>
          <w:color w:val="000000" w:themeColor="text1"/>
          <w:sz w:val="20"/>
          <w:szCs w:val="20"/>
        </w:rPr>
        <w:t>for</w:t>
      </w:r>
      <w:r w:rsidR="00FF41A0">
        <w:rPr>
          <w:color w:val="000000" w:themeColor="text1"/>
          <w:sz w:val="20"/>
          <w:szCs w:val="20"/>
        </w:rPr>
        <w:t xml:space="preserve"> </w:t>
      </w:r>
      <w:r w:rsidR="0071217D" w:rsidRPr="0071217D">
        <w:rPr>
          <w:color w:val="000000" w:themeColor="text1"/>
          <w:sz w:val="20"/>
          <w:szCs w:val="20"/>
        </w:rPr>
        <w:t>NGO</w:t>
      </w:r>
      <w:r w:rsidR="00FF41A0">
        <w:rPr>
          <w:color w:val="000000" w:themeColor="text1"/>
          <w:sz w:val="20"/>
          <w:szCs w:val="20"/>
        </w:rPr>
        <w:t xml:space="preserve"> </w:t>
      </w:r>
      <w:r w:rsidR="0071217D" w:rsidRPr="0071217D">
        <w:rPr>
          <w:color w:val="000000" w:themeColor="text1"/>
          <w:sz w:val="20"/>
          <w:szCs w:val="20"/>
        </w:rPr>
        <w:t>Research</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International</w:t>
      </w:r>
      <w:r w:rsidR="00FF41A0">
        <w:rPr>
          <w:color w:val="000000" w:themeColor="text1"/>
          <w:sz w:val="20"/>
          <w:szCs w:val="20"/>
        </w:rPr>
        <w:t xml:space="preserve"> </w:t>
      </w:r>
      <w:r w:rsidR="0071217D" w:rsidRPr="0071217D">
        <w:rPr>
          <w:color w:val="000000" w:themeColor="text1"/>
          <w:sz w:val="20"/>
          <w:szCs w:val="20"/>
        </w:rPr>
        <w:t>Association</w:t>
      </w:r>
      <w:r w:rsidR="00FF41A0">
        <w:rPr>
          <w:color w:val="000000" w:themeColor="text1"/>
          <w:sz w:val="20"/>
          <w:szCs w:val="20"/>
        </w:rPr>
        <w:t xml:space="preserve"> </w:t>
      </w:r>
      <w:r w:rsidR="0071217D" w:rsidRPr="0071217D">
        <w:rPr>
          <w:color w:val="000000" w:themeColor="text1"/>
          <w:sz w:val="20"/>
          <w:szCs w:val="20"/>
        </w:rPr>
        <w:t>for</w:t>
      </w:r>
      <w:r w:rsidR="00FF41A0">
        <w:rPr>
          <w:color w:val="000000" w:themeColor="text1"/>
          <w:sz w:val="20"/>
          <w:szCs w:val="20"/>
        </w:rPr>
        <w:t xml:space="preserve"> </w:t>
      </w:r>
      <w:r w:rsidR="0071217D" w:rsidRPr="0071217D">
        <w:rPr>
          <w:color w:val="000000" w:themeColor="text1"/>
          <w:sz w:val="20"/>
          <w:szCs w:val="20"/>
        </w:rPr>
        <w:t>Democracy</w:t>
      </w:r>
      <w:r w:rsidR="00FF41A0">
        <w:rPr>
          <w:color w:val="000000" w:themeColor="text1"/>
          <w:sz w:val="20"/>
          <w:szCs w:val="20"/>
        </w:rPr>
        <w:t xml:space="preserve"> </w:t>
      </w:r>
      <w:r w:rsidR="0071217D" w:rsidRPr="0071217D">
        <w:rPr>
          <w:color w:val="000000" w:themeColor="text1"/>
          <w:sz w:val="20"/>
          <w:szCs w:val="20"/>
        </w:rPr>
        <w:t>in</w:t>
      </w:r>
      <w:r w:rsidR="00FF41A0">
        <w:rPr>
          <w:color w:val="000000" w:themeColor="text1"/>
          <w:sz w:val="20"/>
          <w:szCs w:val="20"/>
        </w:rPr>
        <w:t xml:space="preserve"> </w:t>
      </w:r>
      <w:r w:rsidR="0071217D" w:rsidRPr="0071217D">
        <w:rPr>
          <w:color w:val="000000" w:themeColor="text1"/>
          <w:sz w:val="20"/>
          <w:szCs w:val="20"/>
        </w:rPr>
        <w:t>Africa</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International</w:t>
      </w:r>
      <w:r w:rsidR="00FF41A0">
        <w:rPr>
          <w:color w:val="000000" w:themeColor="text1"/>
          <w:sz w:val="20"/>
          <w:szCs w:val="20"/>
        </w:rPr>
        <w:t xml:space="preserve"> </w:t>
      </w:r>
      <w:r w:rsidR="0071217D" w:rsidRPr="0071217D">
        <w:rPr>
          <w:color w:val="000000" w:themeColor="text1"/>
          <w:sz w:val="20"/>
          <w:szCs w:val="20"/>
        </w:rPr>
        <w:t>Association</w:t>
      </w:r>
      <w:r w:rsidR="00FF41A0">
        <w:rPr>
          <w:color w:val="000000" w:themeColor="text1"/>
          <w:sz w:val="20"/>
          <w:szCs w:val="20"/>
        </w:rPr>
        <w:t xml:space="preserve"> </w:t>
      </w:r>
      <w:r w:rsidR="0071217D" w:rsidRPr="0071217D">
        <w:rPr>
          <w:color w:val="000000" w:themeColor="text1"/>
          <w:sz w:val="20"/>
          <w:szCs w:val="20"/>
        </w:rPr>
        <w:t>of</w:t>
      </w:r>
      <w:r w:rsidR="00FF41A0">
        <w:rPr>
          <w:color w:val="000000" w:themeColor="text1"/>
          <w:sz w:val="20"/>
          <w:szCs w:val="20"/>
        </w:rPr>
        <w:t xml:space="preserve"> </w:t>
      </w:r>
      <w:r w:rsidR="0071217D" w:rsidRPr="0071217D">
        <w:rPr>
          <w:color w:val="000000" w:themeColor="text1"/>
          <w:sz w:val="20"/>
          <w:szCs w:val="20"/>
        </w:rPr>
        <w:t>Jewish</w:t>
      </w:r>
      <w:r w:rsidR="00FF41A0">
        <w:rPr>
          <w:color w:val="000000" w:themeColor="text1"/>
          <w:sz w:val="20"/>
          <w:szCs w:val="20"/>
        </w:rPr>
        <w:t xml:space="preserve"> </w:t>
      </w:r>
      <w:r w:rsidR="0071217D" w:rsidRPr="0071217D">
        <w:rPr>
          <w:color w:val="000000" w:themeColor="text1"/>
          <w:sz w:val="20"/>
          <w:szCs w:val="20"/>
        </w:rPr>
        <w:t>Lawyers</w:t>
      </w:r>
      <w:r w:rsidR="00FF41A0">
        <w:rPr>
          <w:color w:val="000000" w:themeColor="text1"/>
          <w:sz w:val="20"/>
          <w:szCs w:val="20"/>
        </w:rPr>
        <w:t xml:space="preserve"> </w:t>
      </w:r>
      <w:r w:rsidR="0071217D" w:rsidRPr="0071217D">
        <w:rPr>
          <w:color w:val="000000" w:themeColor="text1"/>
          <w:sz w:val="20"/>
          <w:szCs w:val="20"/>
        </w:rPr>
        <w:t>and</w:t>
      </w:r>
      <w:r w:rsidR="00FF41A0">
        <w:rPr>
          <w:color w:val="000000" w:themeColor="text1"/>
          <w:sz w:val="20"/>
          <w:szCs w:val="20"/>
        </w:rPr>
        <w:t xml:space="preserve"> </w:t>
      </w:r>
      <w:r w:rsidR="0071217D" w:rsidRPr="0071217D">
        <w:rPr>
          <w:color w:val="000000" w:themeColor="text1"/>
          <w:sz w:val="20"/>
          <w:szCs w:val="20"/>
        </w:rPr>
        <w:t>Jurists</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International</w:t>
      </w:r>
      <w:r w:rsidR="00FF41A0">
        <w:rPr>
          <w:color w:val="000000" w:themeColor="text1"/>
          <w:sz w:val="20"/>
          <w:szCs w:val="20"/>
        </w:rPr>
        <w:t xml:space="preserve"> </w:t>
      </w:r>
      <w:r w:rsidR="0071217D" w:rsidRPr="0071217D">
        <w:rPr>
          <w:color w:val="000000" w:themeColor="text1"/>
          <w:sz w:val="20"/>
          <w:szCs w:val="20"/>
        </w:rPr>
        <w:t>Buddhist</w:t>
      </w:r>
      <w:r w:rsidR="00FF41A0">
        <w:rPr>
          <w:color w:val="000000" w:themeColor="text1"/>
          <w:sz w:val="20"/>
          <w:szCs w:val="20"/>
        </w:rPr>
        <w:t xml:space="preserve"> </w:t>
      </w:r>
      <w:r w:rsidR="0071217D" w:rsidRPr="0071217D">
        <w:rPr>
          <w:color w:val="000000" w:themeColor="text1"/>
          <w:sz w:val="20"/>
          <w:szCs w:val="20"/>
        </w:rPr>
        <w:t>Relief</w:t>
      </w:r>
      <w:r w:rsidR="00FF41A0">
        <w:rPr>
          <w:color w:val="000000" w:themeColor="text1"/>
          <w:sz w:val="20"/>
          <w:szCs w:val="20"/>
        </w:rPr>
        <w:t xml:space="preserve"> </w:t>
      </w:r>
      <w:r w:rsidR="0071217D" w:rsidRPr="0071217D">
        <w:rPr>
          <w:color w:val="000000" w:themeColor="text1"/>
          <w:sz w:val="20"/>
          <w:szCs w:val="20"/>
        </w:rPr>
        <w:t>Organisation</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International</w:t>
      </w:r>
      <w:r w:rsidR="00FF41A0">
        <w:rPr>
          <w:color w:val="000000" w:themeColor="text1"/>
          <w:sz w:val="20"/>
          <w:szCs w:val="20"/>
        </w:rPr>
        <w:t xml:space="preserve"> </w:t>
      </w:r>
      <w:r w:rsidR="0071217D" w:rsidRPr="0071217D">
        <w:rPr>
          <w:color w:val="000000" w:themeColor="text1"/>
          <w:sz w:val="20"/>
          <w:szCs w:val="20"/>
        </w:rPr>
        <w:t>Council</w:t>
      </w:r>
      <w:r w:rsidR="00FF41A0">
        <w:rPr>
          <w:color w:val="000000" w:themeColor="text1"/>
          <w:sz w:val="20"/>
          <w:szCs w:val="20"/>
        </w:rPr>
        <w:t xml:space="preserve"> </w:t>
      </w:r>
      <w:r w:rsidR="0071217D" w:rsidRPr="0071217D">
        <w:rPr>
          <w:color w:val="000000" w:themeColor="text1"/>
          <w:sz w:val="20"/>
          <w:szCs w:val="20"/>
        </w:rPr>
        <w:t>of</w:t>
      </w:r>
      <w:r w:rsidR="00FF41A0">
        <w:rPr>
          <w:color w:val="000000" w:themeColor="text1"/>
          <w:sz w:val="20"/>
          <w:szCs w:val="20"/>
        </w:rPr>
        <w:t xml:space="preserve"> </w:t>
      </w:r>
      <w:r w:rsidR="0071217D" w:rsidRPr="0071217D">
        <w:rPr>
          <w:color w:val="000000" w:themeColor="text1"/>
          <w:sz w:val="20"/>
          <w:szCs w:val="20"/>
        </w:rPr>
        <w:t>Russian</w:t>
      </w:r>
      <w:r w:rsidR="00FF41A0">
        <w:rPr>
          <w:color w:val="000000" w:themeColor="text1"/>
          <w:sz w:val="20"/>
          <w:szCs w:val="20"/>
        </w:rPr>
        <w:t xml:space="preserve"> </w:t>
      </w:r>
      <w:r w:rsidR="0071217D" w:rsidRPr="0071217D">
        <w:rPr>
          <w:color w:val="000000" w:themeColor="text1"/>
          <w:sz w:val="20"/>
          <w:szCs w:val="20"/>
        </w:rPr>
        <w:t>Compatriots</w:t>
      </w:r>
      <w:r w:rsidR="00FF41A0">
        <w:rPr>
          <w:color w:val="000000" w:themeColor="text1"/>
          <w:sz w:val="20"/>
          <w:szCs w:val="20"/>
        </w:rPr>
        <w:t xml:space="preserve"> </w:t>
      </w:r>
      <w:r w:rsidR="0071217D" w:rsidRPr="0071217D">
        <w:rPr>
          <w:color w:val="000000" w:themeColor="text1"/>
          <w:sz w:val="20"/>
          <w:szCs w:val="20"/>
        </w:rPr>
        <w:t>(ICRC)</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International</w:t>
      </w:r>
      <w:r w:rsidR="00FF41A0">
        <w:rPr>
          <w:color w:val="000000" w:themeColor="text1"/>
          <w:sz w:val="20"/>
          <w:szCs w:val="20"/>
        </w:rPr>
        <w:t xml:space="preserve"> </w:t>
      </w:r>
      <w:r w:rsidR="0071217D" w:rsidRPr="0071217D">
        <w:rPr>
          <w:color w:val="000000" w:themeColor="text1"/>
          <w:sz w:val="20"/>
          <w:szCs w:val="20"/>
        </w:rPr>
        <w:t>Educational</w:t>
      </w:r>
      <w:r w:rsidR="00FF41A0">
        <w:rPr>
          <w:color w:val="000000" w:themeColor="text1"/>
          <w:sz w:val="20"/>
          <w:szCs w:val="20"/>
        </w:rPr>
        <w:t xml:space="preserve"> </w:t>
      </w:r>
      <w:r w:rsidR="0071217D" w:rsidRPr="0071217D">
        <w:rPr>
          <w:color w:val="000000" w:themeColor="text1"/>
          <w:sz w:val="20"/>
          <w:szCs w:val="20"/>
        </w:rPr>
        <w:t>Development,</w:t>
      </w:r>
      <w:r w:rsidR="00FF41A0">
        <w:rPr>
          <w:color w:val="000000" w:themeColor="text1"/>
          <w:sz w:val="20"/>
          <w:szCs w:val="20"/>
        </w:rPr>
        <w:t xml:space="preserve"> </w:t>
      </w:r>
      <w:r w:rsidR="0071217D" w:rsidRPr="0071217D">
        <w:rPr>
          <w:color w:val="000000" w:themeColor="text1"/>
          <w:sz w:val="20"/>
          <w:szCs w:val="20"/>
        </w:rPr>
        <w:t>Inc.</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International</w:t>
      </w:r>
      <w:r w:rsidR="00FF41A0">
        <w:rPr>
          <w:color w:val="000000" w:themeColor="text1"/>
          <w:sz w:val="20"/>
          <w:szCs w:val="20"/>
        </w:rPr>
        <w:t xml:space="preserve"> </w:t>
      </w:r>
      <w:r w:rsidR="0071217D" w:rsidRPr="0071217D">
        <w:rPr>
          <w:color w:val="000000" w:themeColor="text1"/>
          <w:sz w:val="20"/>
          <w:szCs w:val="20"/>
        </w:rPr>
        <w:t>Human</w:t>
      </w:r>
      <w:r w:rsidR="00FF41A0">
        <w:rPr>
          <w:color w:val="000000" w:themeColor="text1"/>
          <w:sz w:val="20"/>
          <w:szCs w:val="20"/>
        </w:rPr>
        <w:t xml:space="preserve"> </w:t>
      </w:r>
      <w:r w:rsidR="0071217D" w:rsidRPr="0071217D">
        <w:rPr>
          <w:color w:val="000000" w:themeColor="text1"/>
          <w:sz w:val="20"/>
          <w:szCs w:val="20"/>
        </w:rPr>
        <w:t>Rights</w:t>
      </w:r>
      <w:r w:rsidR="00FF41A0">
        <w:rPr>
          <w:color w:val="000000" w:themeColor="text1"/>
          <w:sz w:val="20"/>
          <w:szCs w:val="20"/>
        </w:rPr>
        <w:t xml:space="preserve"> </w:t>
      </w:r>
      <w:r w:rsidR="0071217D" w:rsidRPr="0071217D">
        <w:rPr>
          <w:color w:val="000000" w:themeColor="text1"/>
          <w:sz w:val="20"/>
          <w:szCs w:val="20"/>
        </w:rPr>
        <w:t>Association</w:t>
      </w:r>
      <w:r w:rsidR="00FF41A0">
        <w:rPr>
          <w:color w:val="000000" w:themeColor="text1"/>
          <w:sz w:val="20"/>
          <w:szCs w:val="20"/>
        </w:rPr>
        <w:t xml:space="preserve"> </w:t>
      </w:r>
      <w:r w:rsidR="0071217D" w:rsidRPr="0071217D">
        <w:rPr>
          <w:color w:val="000000" w:themeColor="text1"/>
          <w:sz w:val="20"/>
          <w:szCs w:val="20"/>
        </w:rPr>
        <w:t>of</w:t>
      </w:r>
      <w:r w:rsidR="00FF41A0">
        <w:rPr>
          <w:color w:val="000000" w:themeColor="text1"/>
          <w:sz w:val="20"/>
          <w:szCs w:val="20"/>
        </w:rPr>
        <w:t xml:space="preserve"> </w:t>
      </w:r>
      <w:r w:rsidR="0071217D" w:rsidRPr="0071217D">
        <w:rPr>
          <w:color w:val="000000" w:themeColor="text1"/>
          <w:sz w:val="20"/>
          <w:szCs w:val="20"/>
        </w:rPr>
        <w:t>American</w:t>
      </w:r>
      <w:r w:rsidR="00FF41A0">
        <w:rPr>
          <w:color w:val="000000" w:themeColor="text1"/>
          <w:sz w:val="20"/>
          <w:szCs w:val="20"/>
        </w:rPr>
        <w:t xml:space="preserve"> </w:t>
      </w:r>
      <w:r w:rsidR="0071217D" w:rsidRPr="0071217D">
        <w:rPr>
          <w:color w:val="000000" w:themeColor="text1"/>
          <w:sz w:val="20"/>
          <w:szCs w:val="20"/>
        </w:rPr>
        <w:t>Minorities</w:t>
      </w:r>
      <w:r w:rsidR="00FF41A0">
        <w:rPr>
          <w:color w:val="000000" w:themeColor="text1"/>
          <w:sz w:val="20"/>
          <w:szCs w:val="20"/>
        </w:rPr>
        <w:t xml:space="preserve"> </w:t>
      </w:r>
      <w:r w:rsidR="0071217D" w:rsidRPr="0071217D">
        <w:rPr>
          <w:color w:val="000000" w:themeColor="text1"/>
          <w:sz w:val="20"/>
          <w:szCs w:val="20"/>
        </w:rPr>
        <w:t>(IHRAAM)</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International</w:t>
      </w:r>
      <w:r w:rsidR="00FF41A0">
        <w:rPr>
          <w:color w:val="000000" w:themeColor="text1"/>
          <w:sz w:val="20"/>
          <w:szCs w:val="20"/>
        </w:rPr>
        <w:t xml:space="preserve"> </w:t>
      </w:r>
      <w:r w:rsidR="0071217D" w:rsidRPr="0071217D">
        <w:rPr>
          <w:color w:val="000000" w:themeColor="text1"/>
          <w:sz w:val="20"/>
          <w:szCs w:val="20"/>
        </w:rPr>
        <w:t>Humanist</w:t>
      </w:r>
      <w:r w:rsidR="00FF41A0">
        <w:rPr>
          <w:color w:val="000000" w:themeColor="text1"/>
          <w:sz w:val="20"/>
          <w:szCs w:val="20"/>
        </w:rPr>
        <w:t xml:space="preserve"> </w:t>
      </w:r>
      <w:r w:rsidR="0071217D" w:rsidRPr="0071217D">
        <w:rPr>
          <w:color w:val="000000" w:themeColor="text1"/>
          <w:sz w:val="20"/>
          <w:szCs w:val="20"/>
        </w:rPr>
        <w:t>and</w:t>
      </w:r>
      <w:r w:rsidR="00FF41A0">
        <w:rPr>
          <w:color w:val="000000" w:themeColor="text1"/>
          <w:sz w:val="20"/>
          <w:szCs w:val="20"/>
        </w:rPr>
        <w:t xml:space="preserve"> </w:t>
      </w:r>
      <w:r w:rsidR="0071217D" w:rsidRPr="0071217D">
        <w:rPr>
          <w:color w:val="000000" w:themeColor="text1"/>
          <w:sz w:val="20"/>
          <w:szCs w:val="20"/>
        </w:rPr>
        <w:t>Ethical</w:t>
      </w:r>
      <w:r w:rsidR="00FF41A0">
        <w:rPr>
          <w:color w:val="000000" w:themeColor="text1"/>
          <w:sz w:val="20"/>
          <w:szCs w:val="20"/>
        </w:rPr>
        <w:t xml:space="preserve"> </w:t>
      </w:r>
      <w:r w:rsidR="0071217D" w:rsidRPr="0071217D">
        <w:rPr>
          <w:color w:val="000000" w:themeColor="text1"/>
          <w:sz w:val="20"/>
          <w:szCs w:val="20"/>
        </w:rPr>
        <w:t>Union</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International</w:t>
      </w:r>
      <w:r w:rsidR="00FF41A0">
        <w:rPr>
          <w:color w:val="000000" w:themeColor="text1"/>
          <w:sz w:val="20"/>
          <w:szCs w:val="20"/>
        </w:rPr>
        <w:t xml:space="preserve"> </w:t>
      </w:r>
      <w:r w:rsidR="0071217D" w:rsidRPr="0071217D">
        <w:rPr>
          <w:color w:val="000000" w:themeColor="text1"/>
          <w:sz w:val="20"/>
          <w:szCs w:val="20"/>
        </w:rPr>
        <w:t>Organization</w:t>
      </w:r>
      <w:r w:rsidR="00FF41A0">
        <w:rPr>
          <w:color w:val="000000" w:themeColor="text1"/>
          <w:sz w:val="20"/>
          <w:szCs w:val="20"/>
        </w:rPr>
        <w:t xml:space="preserve"> </w:t>
      </w:r>
      <w:r w:rsidR="0071217D" w:rsidRPr="0071217D">
        <w:rPr>
          <w:color w:val="000000" w:themeColor="text1"/>
          <w:sz w:val="20"/>
          <w:szCs w:val="20"/>
        </w:rPr>
        <w:t>for</w:t>
      </w:r>
      <w:r w:rsidR="00FF41A0">
        <w:rPr>
          <w:color w:val="000000" w:themeColor="text1"/>
          <w:sz w:val="20"/>
          <w:szCs w:val="20"/>
        </w:rPr>
        <w:t xml:space="preserve"> </w:t>
      </w:r>
      <w:r w:rsidR="0071217D" w:rsidRPr="0071217D">
        <w:rPr>
          <w:color w:val="000000" w:themeColor="text1"/>
          <w:sz w:val="20"/>
          <w:szCs w:val="20"/>
        </w:rPr>
        <w:t>the</w:t>
      </w:r>
      <w:r w:rsidR="00FF41A0">
        <w:rPr>
          <w:color w:val="000000" w:themeColor="text1"/>
          <w:sz w:val="20"/>
          <w:szCs w:val="20"/>
        </w:rPr>
        <w:t xml:space="preserve"> </w:t>
      </w:r>
      <w:r w:rsidR="0071217D" w:rsidRPr="0071217D">
        <w:rPr>
          <w:color w:val="000000" w:themeColor="text1"/>
          <w:sz w:val="20"/>
          <w:szCs w:val="20"/>
        </w:rPr>
        <w:t>Elimination</w:t>
      </w:r>
      <w:r w:rsidR="00FF41A0">
        <w:rPr>
          <w:color w:val="000000" w:themeColor="text1"/>
          <w:sz w:val="20"/>
          <w:szCs w:val="20"/>
        </w:rPr>
        <w:t xml:space="preserve"> </w:t>
      </w:r>
      <w:r w:rsidR="0071217D" w:rsidRPr="0071217D">
        <w:rPr>
          <w:color w:val="000000" w:themeColor="text1"/>
          <w:sz w:val="20"/>
          <w:szCs w:val="20"/>
        </w:rPr>
        <w:t>of</w:t>
      </w:r>
      <w:r w:rsidR="00FF41A0">
        <w:rPr>
          <w:color w:val="000000" w:themeColor="text1"/>
          <w:sz w:val="20"/>
          <w:szCs w:val="20"/>
        </w:rPr>
        <w:t xml:space="preserve"> </w:t>
      </w:r>
      <w:r w:rsidR="0071217D" w:rsidRPr="0071217D">
        <w:rPr>
          <w:color w:val="000000" w:themeColor="text1"/>
          <w:sz w:val="20"/>
          <w:szCs w:val="20"/>
        </w:rPr>
        <w:t>All</w:t>
      </w:r>
      <w:r w:rsidR="00FF41A0">
        <w:rPr>
          <w:color w:val="000000" w:themeColor="text1"/>
          <w:sz w:val="20"/>
          <w:szCs w:val="20"/>
        </w:rPr>
        <w:t xml:space="preserve"> </w:t>
      </w:r>
      <w:r w:rsidR="0071217D" w:rsidRPr="0071217D">
        <w:rPr>
          <w:color w:val="000000" w:themeColor="text1"/>
          <w:sz w:val="20"/>
          <w:szCs w:val="20"/>
        </w:rPr>
        <w:t>Forms</w:t>
      </w:r>
      <w:r w:rsidR="00FF41A0">
        <w:rPr>
          <w:color w:val="000000" w:themeColor="text1"/>
          <w:sz w:val="20"/>
          <w:szCs w:val="20"/>
        </w:rPr>
        <w:t xml:space="preserve"> </w:t>
      </w:r>
      <w:r w:rsidR="0071217D" w:rsidRPr="0071217D">
        <w:rPr>
          <w:color w:val="000000" w:themeColor="text1"/>
          <w:sz w:val="20"/>
          <w:szCs w:val="20"/>
        </w:rPr>
        <w:t>of</w:t>
      </w:r>
      <w:r w:rsidR="00FF41A0">
        <w:rPr>
          <w:color w:val="000000" w:themeColor="text1"/>
          <w:sz w:val="20"/>
          <w:szCs w:val="20"/>
        </w:rPr>
        <w:t xml:space="preserve"> </w:t>
      </w:r>
      <w:r w:rsidR="0071217D" w:rsidRPr="0071217D">
        <w:rPr>
          <w:color w:val="000000" w:themeColor="text1"/>
          <w:sz w:val="20"/>
          <w:szCs w:val="20"/>
        </w:rPr>
        <w:t>Racial</w:t>
      </w:r>
      <w:r w:rsidR="00FF41A0">
        <w:rPr>
          <w:color w:val="000000" w:themeColor="text1"/>
          <w:sz w:val="20"/>
          <w:szCs w:val="20"/>
        </w:rPr>
        <w:t xml:space="preserve"> </w:t>
      </w:r>
      <w:r w:rsidR="0071217D" w:rsidRPr="0071217D">
        <w:rPr>
          <w:color w:val="000000" w:themeColor="text1"/>
          <w:sz w:val="20"/>
          <w:szCs w:val="20"/>
        </w:rPr>
        <w:t>Discrimination</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International</w:t>
      </w:r>
      <w:r w:rsidR="00FF41A0">
        <w:rPr>
          <w:color w:val="000000" w:themeColor="text1"/>
          <w:sz w:val="20"/>
          <w:szCs w:val="20"/>
        </w:rPr>
        <w:t xml:space="preserve"> </w:t>
      </w:r>
      <w:r w:rsidR="0071217D" w:rsidRPr="0071217D">
        <w:rPr>
          <w:color w:val="000000" w:themeColor="text1"/>
          <w:sz w:val="20"/>
          <w:szCs w:val="20"/>
        </w:rPr>
        <w:t>Youth</w:t>
      </w:r>
      <w:r w:rsidR="00FF41A0">
        <w:rPr>
          <w:color w:val="000000" w:themeColor="text1"/>
          <w:sz w:val="20"/>
          <w:szCs w:val="20"/>
        </w:rPr>
        <w:t xml:space="preserve"> </w:t>
      </w:r>
      <w:r w:rsidR="0071217D" w:rsidRPr="0071217D">
        <w:rPr>
          <w:color w:val="000000" w:themeColor="text1"/>
          <w:sz w:val="20"/>
          <w:szCs w:val="20"/>
        </w:rPr>
        <w:t>and</w:t>
      </w:r>
      <w:r w:rsidR="00FF41A0">
        <w:rPr>
          <w:color w:val="000000" w:themeColor="text1"/>
          <w:sz w:val="20"/>
          <w:szCs w:val="20"/>
        </w:rPr>
        <w:t xml:space="preserve"> </w:t>
      </w:r>
      <w:r w:rsidR="0071217D" w:rsidRPr="0071217D">
        <w:rPr>
          <w:color w:val="000000" w:themeColor="text1"/>
          <w:sz w:val="20"/>
          <w:szCs w:val="20"/>
        </w:rPr>
        <w:t>Student</w:t>
      </w:r>
      <w:r w:rsidR="00FF41A0">
        <w:rPr>
          <w:color w:val="000000" w:themeColor="text1"/>
          <w:sz w:val="20"/>
          <w:szCs w:val="20"/>
        </w:rPr>
        <w:t xml:space="preserve"> </w:t>
      </w:r>
      <w:r w:rsidR="0071217D" w:rsidRPr="0071217D">
        <w:rPr>
          <w:color w:val="000000" w:themeColor="text1"/>
          <w:sz w:val="20"/>
          <w:szCs w:val="20"/>
        </w:rPr>
        <w:t>Movement</w:t>
      </w:r>
      <w:r w:rsidR="00FF41A0">
        <w:rPr>
          <w:color w:val="000000" w:themeColor="text1"/>
          <w:sz w:val="20"/>
          <w:szCs w:val="20"/>
        </w:rPr>
        <w:t xml:space="preserve"> </w:t>
      </w:r>
      <w:r w:rsidR="0071217D" w:rsidRPr="0071217D">
        <w:rPr>
          <w:color w:val="000000" w:themeColor="text1"/>
          <w:sz w:val="20"/>
          <w:szCs w:val="20"/>
        </w:rPr>
        <w:t>for</w:t>
      </w:r>
      <w:r w:rsidR="00FF41A0">
        <w:rPr>
          <w:color w:val="000000" w:themeColor="text1"/>
          <w:sz w:val="20"/>
          <w:szCs w:val="20"/>
        </w:rPr>
        <w:t xml:space="preserve"> </w:t>
      </w:r>
      <w:r w:rsidR="0071217D" w:rsidRPr="0071217D">
        <w:rPr>
          <w:color w:val="000000" w:themeColor="text1"/>
          <w:sz w:val="20"/>
          <w:szCs w:val="20"/>
        </w:rPr>
        <w:t>the</w:t>
      </w:r>
      <w:r w:rsidR="00FF41A0">
        <w:rPr>
          <w:color w:val="000000" w:themeColor="text1"/>
          <w:sz w:val="20"/>
          <w:szCs w:val="20"/>
        </w:rPr>
        <w:t xml:space="preserve"> </w:t>
      </w:r>
      <w:r w:rsidR="0071217D" w:rsidRPr="0071217D">
        <w:rPr>
          <w:color w:val="000000" w:themeColor="text1"/>
          <w:sz w:val="20"/>
          <w:szCs w:val="20"/>
        </w:rPr>
        <w:t>United</w:t>
      </w:r>
      <w:r w:rsidR="00FF41A0">
        <w:rPr>
          <w:color w:val="000000" w:themeColor="text1"/>
          <w:sz w:val="20"/>
          <w:szCs w:val="20"/>
        </w:rPr>
        <w:t xml:space="preserve"> </w:t>
      </w:r>
      <w:r w:rsidR="0071217D" w:rsidRPr="0071217D">
        <w:rPr>
          <w:color w:val="000000" w:themeColor="text1"/>
          <w:sz w:val="20"/>
          <w:szCs w:val="20"/>
        </w:rPr>
        <w:t>Nations</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International-Lawyers.Org</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Japanese</w:t>
      </w:r>
      <w:r w:rsidR="00FF41A0">
        <w:rPr>
          <w:color w:val="000000" w:themeColor="text1"/>
          <w:sz w:val="20"/>
          <w:szCs w:val="20"/>
        </w:rPr>
        <w:t xml:space="preserve"> </w:t>
      </w:r>
      <w:r w:rsidR="0071217D" w:rsidRPr="0071217D">
        <w:rPr>
          <w:color w:val="000000" w:themeColor="text1"/>
          <w:sz w:val="20"/>
          <w:szCs w:val="20"/>
        </w:rPr>
        <w:t>Workers</w:t>
      </w:r>
      <w:r w:rsidR="00D72627">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Committee</w:t>
      </w:r>
      <w:r w:rsidR="00FF41A0">
        <w:rPr>
          <w:color w:val="000000" w:themeColor="text1"/>
          <w:sz w:val="20"/>
          <w:szCs w:val="20"/>
        </w:rPr>
        <w:t xml:space="preserve"> </w:t>
      </w:r>
      <w:r w:rsidR="0071217D" w:rsidRPr="0071217D">
        <w:rPr>
          <w:color w:val="000000" w:themeColor="text1"/>
          <w:sz w:val="20"/>
          <w:szCs w:val="20"/>
        </w:rPr>
        <w:t>for</w:t>
      </w:r>
      <w:r w:rsidR="00FF41A0">
        <w:rPr>
          <w:color w:val="000000" w:themeColor="text1"/>
          <w:sz w:val="20"/>
          <w:szCs w:val="20"/>
        </w:rPr>
        <w:t xml:space="preserve"> </w:t>
      </w:r>
      <w:r w:rsidR="0071217D" w:rsidRPr="0071217D">
        <w:rPr>
          <w:color w:val="000000" w:themeColor="text1"/>
          <w:sz w:val="20"/>
          <w:szCs w:val="20"/>
        </w:rPr>
        <w:t>Human</w:t>
      </w:r>
      <w:r w:rsidR="00FF41A0">
        <w:rPr>
          <w:color w:val="000000" w:themeColor="text1"/>
          <w:sz w:val="20"/>
          <w:szCs w:val="20"/>
        </w:rPr>
        <w:t xml:space="preserve"> </w:t>
      </w:r>
      <w:r w:rsidR="0071217D" w:rsidRPr="0071217D">
        <w:rPr>
          <w:color w:val="000000" w:themeColor="text1"/>
          <w:sz w:val="20"/>
          <w:szCs w:val="20"/>
        </w:rPr>
        <w:t>Rights</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Jeunesse</w:t>
      </w:r>
      <w:r w:rsidR="00FF41A0">
        <w:rPr>
          <w:color w:val="000000" w:themeColor="text1"/>
          <w:sz w:val="20"/>
          <w:szCs w:val="20"/>
        </w:rPr>
        <w:t xml:space="preserve"> </w:t>
      </w:r>
      <w:r w:rsidR="0071217D" w:rsidRPr="0071217D">
        <w:rPr>
          <w:color w:val="000000" w:themeColor="text1"/>
          <w:sz w:val="20"/>
          <w:szCs w:val="20"/>
        </w:rPr>
        <w:t>Etudiante</w:t>
      </w:r>
      <w:r w:rsidR="00FF41A0">
        <w:rPr>
          <w:color w:val="000000" w:themeColor="text1"/>
          <w:sz w:val="20"/>
          <w:szCs w:val="20"/>
        </w:rPr>
        <w:t xml:space="preserve"> </w:t>
      </w:r>
      <w:r w:rsidR="0071217D" w:rsidRPr="0071217D">
        <w:rPr>
          <w:color w:val="000000" w:themeColor="text1"/>
          <w:sz w:val="20"/>
          <w:szCs w:val="20"/>
        </w:rPr>
        <w:t>Tamoule</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Le</w:t>
      </w:r>
      <w:r w:rsidR="00FF41A0">
        <w:rPr>
          <w:color w:val="000000" w:themeColor="text1"/>
          <w:sz w:val="20"/>
          <w:szCs w:val="20"/>
        </w:rPr>
        <w:t xml:space="preserve"> </w:t>
      </w:r>
      <w:r w:rsidR="0071217D" w:rsidRPr="0071217D">
        <w:rPr>
          <w:color w:val="000000" w:themeColor="text1"/>
          <w:sz w:val="20"/>
          <w:szCs w:val="20"/>
        </w:rPr>
        <w:t>Pont</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Liberation</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L</w:t>
      </w:r>
      <w:r w:rsidR="00D72627">
        <w:rPr>
          <w:color w:val="000000" w:themeColor="text1"/>
          <w:sz w:val="20"/>
          <w:szCs w:val="20"/>
        </w:rPr>
        <w:t>’</w:t>
      </w:r>
      <w:r w:rsidR="0071217D" w:rsidRPr="0071217D">
        <w:rPr>
          <w:color w:val="000000" w:themeColor="text1"/>
          <w:sz w:val="20"/>
          <w:szCs w:val="20"/>
        </w:rPr>
        <w:t>observatoire</w:t>
      </w:r>
      <w:r w:rsidR="00FF41A0">
        <w:rPr>
          <w:color w:val="000000" w:themeColor="text1"/>
          <w:sz w:val="20"/>
          <w:szCs w:val="20"/>
        </w:rPr>
        <w:t xml:space="preserve"> </w:t>
      </w:r>
      <w:r w:rsidR="0071217D" w:rsidRPr="0071217D">
        <w:rPr>
          <w:color w:val="000000" w:themeColor="text1"/>
          <w:sz w:val="20"/>
          <w:szCs w:val="20"/>
        </w:rPr>
        <w:t>mauritanien</w:t>
      </w:r>
      <w:r w:rsidR="00FF41A0">
        <w:rPr>
          <w:color w:val="000000" w:themeColor="text1"/>
          <w:sz w:val="20"/>
          <w:szCs w:val="20"/>
        </w:rPr>
        <w:t xml:space="preserve"> </w:t>
      </w:r>
      <w:r w:rsidR="0071217D" w:rsidRPr="0071217D">
        <w:rPr>
          <w:color w:val="000000" w:themeColor="text1"/>
          <w:sz w:val="20"/>
          <w:szCs w:val="20"/>
        </w:rPr>
        <w:t>des</w:t>
      </w:r>
      <w:r w:rsidR="00FF41A0">
        <w:rPr>
          <w:color w:val="000000" w:themeColor="text1"/>
          <w:sz w:val="20"/>
          <w:szCs w:val="20"/>
        </w:rPr>
        <w:t xml:space="preserve"> </w:t>
      </w:r>
      <w:r w:rsidR="0071217D" w:rsidRPr="0071217D">
        <w:rPr>
          <w:color w:val="000000" w:themeColor="text1"/>
          <w:sz w:val="20"/>
          <w:szCs w:val="20"/>
        </w:rPr>
        <w:t>droits</w:t>
      </w:r>
      <w:r w:rsidR="00FF41A0">
        <w:rPr>
          <w:color w:val="000000" w:themeColor="text1"/>
          <w:sz w:val="20"/>
          <w:szCs w:val="20"/>
        </w:rPr>
        <w:t xml:space="preserve"> </w:t>
      </w:r>
      <w:r w:rsidR="0071217D" w:rsidRPr="0071217D">
        <w:rPr>
          <w:color w:val="000000" w:themeColor="text1"/>
          <w:sz w:val="20"/>
          <w:szCs w:val="20"/>
        </w:rPr>
        <w:t>de</w:t>
      </w:r>
      <w:r w:rsidR="00FF41A0">
        <w:rPr>
          <w:color w:val="000000" w:themeColor="text1"/>
          <w:sz w:val="20"/>
          <w:szCs w:val="20"/>
        </w:rPr>
        <w:t xml:space="preserve"> </w:t>
      </w:r>
      <w:r w:rsidR="0071217D" w:rsidRPr="0071217D">
        <w:rPr>
          <w:color w:val="000000" w:themeColor="text1"/>
          <w:sz w:val="20"/>
          <w:szCs w:val="20"/>
        </w:rPr>
        <w:t>l</w:t>
      </w:r>
      <w:r w:rsidR="00D72627">
        <w:rPr>
          <w:color w:val="000000" w:themeColor="text1"/>
          <w:sz w:val="20"/>
          <w:szCs w:val="20"/>
        </w:rPr>
        <w:t>’</w:t>
      </w:r>
      <w:r w:rsidR="0071217D" w:rsidRPr="0071217D">
        <w:rPr>
          <w:color w:val="000000" w:themeColor="text1"/>
          <w:sz w:val="20"/>
          <w:szCs w:val="20"/>
        </w:rPr>
        <w:t>homme</w:t>
      </w:r>
      <w:r w:rsidR="00FF41A0">
        <w:rPr>
          <w:color w:val="000000" w:themeColor="text1"/>
          <w:sz w:val="20"/>
          <w:szCs w:val="20"/>
        </w:rPr>
        <w:t xml:space="preserve"> </w:t>
      </w:r>
      <w:r w:rsidR="0071217D" w:rsidRPr="0071217D">
        <w:rPr>
          <w:color w:val="000000" w:themeColor="text1"/>
          <w:sz w:val="20"/>
          <w:szCs w:val="20"/>
        </w:rPr>
        <w:t>et</w:t>
      </w:r>
      <w:r w:rsidR="00FF41A0">
        <w:rPr>
          <w:color w:val="000000" w:themeColor="text1"/>
          <w:sz w:val="20"/>
          <w:szCs w:val="20"/>
        </w:rPr>
        <w:t xml:space="preserve"> </w:t>
      </w:r>
      <w:r w:rsidR="0071217D" w:rsidRPr="0071217D">
        <w:rPr>
          <w:color w:val="000000" w:themeColor="text1"/>
          <w:sz w:val="20"/>
          <w:szCs w:val="20"/>
        </w:rPr>
        <w:t>de</w:t>
      </w:r>
      <w:r w:rsidR="00FF41A0">
        <w:rPr>
          <w:color w:val="000000" w:themeColor="text1"/>
          <w:sz w:val="20"/>
          <w:szCs w:val="20"/>
        </w:rPr>
        <w:t xml:space="preserve"> </w:t>
      </w:r>
      <w:r w:rsidR="0071217D" w:rsidRPr="0071217D">
        <w:rPr>
          <w:color w:val="000000" w:themeColor="text1"/>
          <w:sz w:val="20"/>
          <w:szCs w:val="20"/>
        </w:rPr>
        <w:t>la</w:t>
      </w:r>
      <w:r w:rsidR="00FF41A0">
        <w:rPr>
          <w:color w:val="000000" w:themeColor="text1"/>
          <w:sz w:val="20"/>
          <w:szCs w:val="20"/>
        </w:rPr>
        <w:t xml:space="preserve"> </w:t>
      </w:r>
      <w:r w:rsidR="0071217D" w:rsidRPr="0071217D">
        <w:rPr>
          <w:color w:val="000000" w:themeColor="text1"/>
          <w:sz w:val="20"/>
          <w:szCs w:val="20"/>
        </w:rPr>
        <w:t>démocratie</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Maarij</w:t>
      </w:r>
      <w:r w:rsidR="00FF41A0">
        <w:rPr>
          <w:color w:val="000000" w:themeColor="text1"/>
          <w:sz w:val="20"/>
          <w:szCs w:val="20"/>
        </w:rPr>
        <w:t xml:space="preserve"> </w:t>
      </w:r>
      <w:r w:rsidR="0071217D" w:rsidRPr="0071217D">
        <w:rPr>
          <w:color w:val="000000" w:themeColor="text1"/>
          <w:sz w:val="20"/>
          <w:szCs w:val="20"/>
        </w:rPr>
        <w:t>Foundation</w:t>
      </w:r>
      <w:r w:rsidR="00FF41A0">
        <w:rPr>
          <w:color w:val="000000" w:themeColor="text1"/>
          <w:sz w:val="20"/>
          <w:szCs w:val="20"/>
        </w:rPr>
        <w:t xml:space="preserve"> </w:t>
      </w:r>
      <w:r w:rsidR="0071217D" w:rsidRPr="0071217D">
        <w:rPr>
          <w:color w:val="000000" w:themeColor="text1"/>
          <w:sz w:val="20"/>
          <w:szCs w:val="20"/>
        </w:rPr>
        <w:t>for</w:t>
      </w:r>
      <w:r w:rsidR="00FF41A0">
        <w:rPr>
          <w:color w:val="000000" w:themeColor="text1"/>
          <w:sz w:val="20"/>
          <w:szCs w:val="20"/>
        </w:rPr>
        <w:t xml:space="preserve"> </w:t>
      </w:r>
      <w:r w:rsidR="0071217D" w:rsidRPr="0071217D">
        <w:rPr>
          <w:color w:val="000000" w:themeColor="text1"/>
          <w:sz w:val="20"/>
          <w:szCs w:val="20"/>
        </w:rPr>
        <w:t>Peace</w:t>
      </w:r>
      <w:r w:rsidR="00FF41A0">
        <w:rPr>
          <w:color w:val="000000" w:themeColor="text1"/>
          <w:sz w:val="20"/>
          <w:szCs w:val="20"/>
        </w:rPr>
        <w:t xml:space="preserve"> </w:t>
      </w:r>
      <w:r w:rsidR="0071217D" w:rsidRPr="0071217D">
        <w:rPr>
          <w:color w:val="000000" w:themeColor="text1"/>
          <w:sz w:val="20"/>
          <w:szCs w:val="20"/>
        </w:rPr>
        <w:t>and</w:t>
      </w:r>
      <w:r w:rsidR="00FF41A0">
        <w:rPr>
          <w:color w:val="000000" w:themeColor="text1"/>
          <w:sz w:val="20"/>
          <w:szCs w:val="20"/>
        </w:rPr>
        <w:t xml:space="preserve"> </w:t>
      </w:r>
      <w:r w:rsidR="0071217D" w:rsidRPr="0071217D">
        <w:rPr>
          <w:color w:val="000000" w:themeColor="text1"/>
          <w:sz w:val="20"/>
          <w:szCs w:val="20"/>
        </w:rPr>
        <w:t>Development</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Mbororo</w:t>
      </w:r>
      <w:r w:rsidR="00FF41A0">
        <w:rPr>
          <w:color w:val="000000" w:themeColor="text1"/>
          <w:sz w:val="20"/>
          <w:szCs w:val="20"/>
        </w:rPr>
        <w:t xml:space="preserve"> </w:t>
      </w:r>
      <w:r w:rsidR="0071217D" w:rsidRPr="0071217D">
        <w:rPr>
          <w:color w:val="000000" w:themeColor="text1"/>
          <w:sz w:val="20"/>
          <w:szCs w:val="20"/>
        </w:rPr>
        <w:t>Social</w:t>
      </w:r>
      <w:r w:rsidR="00FF41A0">
        <w:rPr>
          <w:color w:val="000000" w:themeColor="text1"/>
          <w:sz w:val="20"/>
          <w:szCs w:val="20"/>
        </w:rPr>
        <w:t xml:space="preserve"> </w:t>
      </w:r>
      <w:r w:rsidR="0071217D" w:rsidRPr="0071217D">
        <w:rPr>
          <w:color w:val="000000" w:themeColor="text1"/>
          <w:sz w:val="20"/>
          <w:szCs w:val="20"/>
        </w:rPr>
        <w:t>and</w:t>
      </w:r>
      <w:r w:rsidR="00FF41A0">
        <w:rPr>
          <w:color w:val="000000" w:themeColor="text1"/>
          <w:sz w:val="20"/>
          <w:szCs w:val="20"/>
        </w:rPr>
        <w:t xml:space="preserve"> </w:t>
      </w:r>
      <w:r w:rsidR="0071217D" w:rsidRPr="0071217D">
        <w:rPr>
          <w:color w:val="000000" w:themeColor="text1"/>
          <w:sz w:val="20"/>
          <w:szCs w:val="20"/>
        </w:rPr>
        <w:t>Cultural</w:t>
      </w:r>
      <w:r w:rsidR="00FF41A0">
        <w:rPr>
          <w:color w:val="000000" w:themeColor="text1"/>
          <w:sz w:val="20"/>
          <w:szCs w:val="20"/>
        </w:rPr>
        <w:t xml:space="preserve"> </w:t>
      </w:r>
      <w:r w:rsidR="0071217D" w:rsidRPr="0071217D">
        <w:rPr>
          <w:color w:val="000000" w:themeColor="text1"/>
          <w:sz w:val="20"/>
          <w:szCs w:val="20"/>
        </w:rPr>
        <w:t>Development</w:t>
      </w:r>
      <w:r w:rsidR="00FF41A0">
        <w:rPr>
          <w:color w:val="000000" w:themeColor="text1"/>
          <w:sz w:val="20"/>
          <w:szCs w:val="20"/>
        </w:rPr>
        <w:t xml:space="preserve"> </w:t>
      </w:r>
      <w:r w:rsidR="0071217D" w:rsidRPr="0071217D">
        <w:rPr>
          <w:color w:val="000000" w:themeColor="text1"/>
          <w:sz w:val="20"/>
          <w:szCs w:val="20"/>
        </w:rPr>
        <w:t>Association</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Network</w:t>
      </w:r>
      <w:r w:rsidR="00FF41A0">
        <w:rPr>
          <w:color w:val="000000" w:themeColor="text1"/>
          <w:sz w:val="20"/>
          <w:szCs w:val="20"/>
        </w:rPr>
        <w:t xml:space="preserve"> </w:t>
      </w:r>
      <w:r w:rsidR="0071217D" w:rsidRPr="0071217D">
        <w:rPr>
          <w:color w:val="000000" w:themeColor="text1"/>
          <w:sz w:val="20"/>
          <w:szCs w:val="20"/>
        </w:rPr>
        <w:t>of</w:t>
      </w:r>
      <w:r w:rsidR="00FF41A0">
        <w:rPr>
          <w:color w:val="000000" w:themeColor="text1"/>
          <w:sz w:val="20"/>
          <w:szCs w:val="20"/>
        </w:rPr>
        <w:t xml:space="preserve"> </w:t>
      </w:r>
      <w:r w:rsidR="0071217D" w:rsidRPr="0071217D">
        <w:rPr>
          <w:color w:val="000000" w:themeColor="text1"/>
          <w:sz w:val="20"/>
          <w:szCs w:val="20"/>
        </w:rPr>
        <w:t>Women</w:t>
      </w:r>
      <w:r w:rsidR="00D72627">
        <w:rPr>
          <w:color w:val="000000" w:themeColor="text1"/>
          <w:sz w:val="20"/>
          <w:szCs w:val="20"/>
        </w:rPr>
        <w:t>’</w:t>
      </w:r>
      <w:r w:rsidR="0071217D" w:rsidRPr="0071217D">
        <w:rPr>
          <w:color w:val="000000" w:themeColor="text1"/>
          <w:sz w:val="20"/>
          <w:szCs w:val="20"/>
        </w:rPr>
        <w:t>s</w:t>
      </w:r>
      <w:r w:rsidR="00FF41A0">
        <w:rPr>
          <w:color w:val="000000" w:themeColor="text1"/>
          <w:sz w:val="20"/>
          <w:szCs w:val="20"/>
        </w:rPr>
        <w:t xml:space="preserve"> </w:t>
      </w:r>
      <w:r w:rsidR="0071217D" w:rsidRPr="0071217D">
        <w:rPr>
          <w:color w:val="000000" w:themeColor="text1"/>
          <w:sz w:val="20"/>
          <w:szCs w:val="20"/>
        </w:rPr>
        <w:t>Non-governmental</w:t>
      </w:r>
      <w:r w:rsidR="00FF41A0">
        <w:rPr>
          <w:color w:val="000000" w:themeColor="text1"/>
          <w:sz w:val="20"/>
          <w:szCs w:val="20"/>
        </w:rPr>
        <w:t xml:space="preserve"> </w:t>
      </w:r>
      <w:r w:rsidR="0071217D" w:rsidRPr="0071217D">
        <w:rPr>
          <w:color w:val="000000" w:themeColor="text1"/>
          <w:sz w:val="20"/>
          <w:szCs w:val="20"/>
        </w:rPr>
        <w:t>Organizations</w:t>
      </w:r>
      <w:r w:rsidR="00FF41A0">
        <w:rPr>
          <w:color w:val="000000" w:themeColor="text1"/>
          <w:sz w:val="20"/>
          <w:szCs w:val="20"/>
        </w:rPr>
        <w:t xml:space="preserve"> </w:t>
      </w:r>
      <w:r w:rsidR="0071217D" w:rsidRPr="0071217D">
        <w:rPr>
          <w:color w:val="000000" w:themeColor="text1"/>
          <w:sz w:val="20"/>
          <w:szCs w:val="20"/>
        </w:rPr>
        <w:t>in</w:t>
      </w:r>
      <w:r w:rsidR="00FF41A0">
        <w:rPr>
          <w:color w:val="000000" w:themeColor="text1"/>
          <w:sz w:val="20"/>
          <w:szCs w:val="20"/>
        </w:rPr>
        <w:t xml:space="preserve"> </w:t>
      </w:r>
      <w:r w:rsidR="0071217D" w:rsidRPr="0071217D">
        <w:rPr>
          <w:color w:val="000000" w:themeColor="text1"/>
          <w:sz w:val="20"/>
          <w:szCs w:val="20"/>
        </w:rPr>
        <w:t>the</w:t>
      </w:r>
      <w:r w:rsidR="00FF41A0">
        <w:rPr>
          <w:color w:val="000000" w:themeColor="text1"/>
          <w:sz w:val="20"/>
          <w:szCs w:val="20"/>
        </w:rPr>
        <w:t xml:space="preserve"> </w:t>
      </w:r>
      <w:r w:rsidR="0071217D" w:rsidRPr="0071217D">
        <w:rPr>
          <w:color w:val="000000" w:themeColor="text1"/>
          <w:sz w:val="20"/>
          <w:szCs w:val="20"/>
        </w:rPr>
        <w:t>Islamic</w:t>
      </w:r>
      <w:r w:rsidR="00FF41A0">
        <w:rPr>
          <w:color w:val="000000" w:themeColor="text1"/>
          <w:sz w:val="20"/>
          <w:szCs w:val="20"/>
        </w:rPr>
        <w:t xml:space="preserve"> </w:t>
      </w:r>
      <w:r w:rsidR="0071217D" w:rsidRPr="0071217D">
        <w:rPr>
          <w:color w:val="000000" w:themeColor="text1"/>
          <w:sz w:val="20"/>
          <w:szCs w:val="20"/>
        </w:rPr>
        <w:t>Republic</w:t>
      </w:r>
      <w:r w:rsidR="00FF41A0">
        <w:rPr>
          <w:color w:val="000000" w:themeColor="text1"/>
          <w:sz w:val="20"/>
          <w:szCs w:val="20"/>
        </w:rPr>
        <w:t xml:space="preserve"> </w:t>
      </w:r>
      <w:r w:rsidR="0071217D" w:rsidRPr="0071217D">
        <w:rPr>
          <w:color w:val="000000" w:themeColor="text1"/>
          <w:sz w:val="20"/>
          <w:szCs w:val="20"/>
        </w:rPr>
        <w:t>of</w:t>
      </w:r>
      <w:r w:rsidR="00FF41A0">
        <w:rPr>
          <w:color w:val="000000" w:themeColor="text1"/>
          <w:sz w:val="20"/>
          <w:szCs w:val="20"/>
        </w:rPr>
        <w:t xml:space="preserve"> </w:t>
      </w:r>
      <w:r w:rsidR="0071217D" w:rsidRPr="0071217D">
        <w:rPr>
          <w:color w:val="000000" w:themeColor="text1"/>
          <w:sz w:val="20"/>
          <w:szCs w:val="20"/>
        </w:rPr>
        <w:t>Iran</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Organisation</w:t>
      </w:r>
      <w:r w:rsidR="00FF41A0">
        <w:rPr>
          <w:color w:val="000000" w:themeColor="text1"/>
          <w:sz w:val="20"/>
          <w:szCs w:val="20"/>
        </w:rPr>
        <w:t xml:space="preserve"> </w:t>
      </w:r>
      <w:r w:rsidR="0071217D" w:rsidRPr="0071217D">
        <w:rPr>
          <w:color w:val="000000" w:themeColor="text1"/>
          <w:sz w:val="20"/>
          <w:szCs w:val="20"/>
        </w:rPr>
        <w:t>internationale</w:t>
      </w:r>
      <w:r w:rsidR="00FF41A0">
        <w:rPr>
          <w:color w:val="000000" w:themeColor="text1"/>
          <w:sz w:val="20"/>
          <w:szCs w:val="20"/>
        </w:rPr>
        <w:t xml:space="preserve"> </w:t>
      </w:r>
      <w:r w:rsidR="0071217D" w:rsidRPr="0071217D">
        <w:rPr>
          <w:color w:val="000000" w:themeColor="text1"/>
          <w:sz w:val="20"/>
          <w:szCs w:val="20"/>
        </w:rPr>
        <w:t>pour</w:t>
      </w:r>
      <w:r w:rsidR="00FF41A0">
        <w:rPr>
          <w:color w:val="000000" w:themeColor="text1"/>
          <w:sz w:val="20"/>
          <w:szCs w:val="20"/>
        </w:rPr>
        <w:t xml:space="preserve"> </w:t>
      </w:r>
      <w:r w:rsidR="0071217D" w:rsidRPr="0071217D">
        <w:rPr>
          <w:color w:val="000000" w:themeColor="text1"/>
          <w:sz w:val="20"/>
          <w:szCs w:val="20"/>
        </w:rPr>
        <w:t>les</w:t>
      </w:r>
      <w:r w:rsidR="00FF41A0">
        <w:rPr>
          <w:color w:val="000000" w:themeColor="text1"/>
          <w:sz w:val="20"/>
          <w:szCs w:val="20"/>
        </w:rPr>
        <w:t xml:space="preserve"> </w:t>
      </w:r>
      <w:r w:rsidR="0071217D" w:rsidRPr="0071217D">
        <w:rPr>
          <w:color w:val="000000" w:themeColor="text1"/>
          <w:sz w:val="20"/>
          <w:szCs w:val="20"/>
        </w:rPr>
        <w:t>pays</w:t>
      </w:r>
      <w:r w:rsidR="00FF41A0">
        <w:rPr>
          <w:color w:val="000000" w:themeColor="text1"/>
          <w:sz w:val="20"/>
          <w:szCs w:val="20"/>
        </w:rPr>
        <w:t xml:space="preserve"> </w:t>
      </w:r>
      <w:r w:rsidR="0071217D" w:rsidRPr="0071217D">
        <w:rPr>
          <w:color w:val="000000" w:themeColor="text1"/>
          <w:sz w:val="20"/>
          <w:szCs w:val="20"/>
        </w:rPr>
        <w:t>les</w:t>
      </w:r>
      <w:r w:rsidR="00FF41A0">
        <w:rPr>
          <w:color w:val="000000" w:themeColor="text1"/>
          <w:sz w:val="20"/>
          <w:szCs w:val="20"/>
        </w:rPr>
        <w:t xml:space="preserve"> </w:t>
      </w:r>
      <w:r w:rsidR="0071217D" w:rsidRPr="0071217D">
        <w:rPr>
          <w:color w:val="000000" w:themeColor="text1"/>
          <w:sz w:val="20"/>
          <w:szCs w:val="20"/>
        </w:rPr>
        <w:t>moins</w:t>
      </w:r>
      <w:r w:rsidR="00FF41A0">
        <w:rPr>
          <w:color w:val="000000" w:themeColor="text1"/>
          <w:sz w:val="20"/>
          <w:szCs w:val="20"/>
        </w:rPr>
        <w:t xml:space="preserve"> </w:t>
      </w:r>
      <w:r w:rsidR="0071217D" w:rsidRPr="0071217D">
        <w:rPr>
          <w:color w:val="000000" w:themeColor="text1"/>
          <w:sz w:val="20"/>
          <w:szCs w:val="20"/>
        </w:rPr>
        <w:t>avancés</w:t>
      </w:r>
      <w:r w:rsidR="00FF41A0">
        <w:rPr>
          <w:color w:val="000000" w:themeColor="text1"/>
          <w:sz w:val="20"/>
          <w:szCs w:val="20"/>
        </w:rPr>
        <w:t xml:space="preserve"> </w:t>
      </w:r>
      <w:r w:rsidR="0071217D" w:rsidRPr="0071217D">
        <w:rPr>
          <w:color w:val="000000" w:themeColor="text1"/>
          <w:sz w:val="20"/>
          <w:szCs w:val="20"/>
        </w:rPr>
        <w:t>(OIPMA)</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Pan</w:t>
      </w:r>
      <w:r w:rsidR="00FF41A0">
        <w:rPr>
          <w:color w:val="000000" w:themeColor="text1"/>
          <w:sz w:val="20"/>
          <w:szCs w:val="20"/>
        </w:rPr>
        <w:t xml:space="preserve"> </w:t>
      </w:r>
      <w:r w:rsidR="0071217D" w:rsidRPr="0071217D">
        <w:rPr>
          <w:color w:val="000000" w:themeColor="text1"/>
          <w:sz w:val="20"/>
          <w:szCs w:val="20"/>
        </w:rPr>
        <w:t>African</w:t>
      </w:r>
      <w:r w:rsidR="00FF41A0">
        <w:rPr>
          <w:color w:val="000000" w:themeColor="text1"/>
          <w:sz w:val="20"/>
          <w:szCs w:val="20"/>
        </w:rPr>
        <w:t xml:space="preserve"> </w:t>
      </w:r>
      <w:r w:rsidR="0071217D" w:rsidRPr="0071217D">
        <w:rPr>
          <w:color w:val="000000" w:themeColor="text1"/>
          <w:sz w:val="20"/>
          <w:szCs w:val="20"/>
        </w:rPr>
        <w:t>Union</w:t>
      </w:r>
      <w:r w:rsidR="00FF41A0">
        <w:rPr>
          <w:color w:val="000000" w:themeColor="text1"/>
          <w:sz w:val="20"/>
          <w:szCs w:val="20"/>
        </w:rPr>
        <w:t xml:space="preserve"> </w:t>
      </w:r>
      <w:r w:rsidR="0071217D" w:rsidRPr="0071217D">
        <w:rPr>
          <w:color w:val="000000" w:themeColor="text1"/>
          <w:sz w:val="20"/>
          <w:szCs w:val="20"/>
        </w:rPr>
        <w:t>for</w:t>
      </w:r>
      <w:r w:rsidR="00FF41A0">
        <w:rPr>
          <w:color w:val="000000" w:themeColor="text1"/>
          <w:sz w:val="20"/>
          <w:szCs w:val="20"/>
        </w:rPr>
        <w:t xml:space="preserve"> </w:t>
      </w:r>
      <w:r w:rsidR="0071217D" w:rsidRPr="0071217D">
        <w:rPr>
          <w:color w:val="000000" w:themeColor="text1"/>
          <w:sz w:val="20"/>
          <w:szCs w:val="20"/>
        </w:rPr>
        <w:t>Science</w:t>
      </w:r>
      <w:r w:rsidR="00FF41A0">
        <w:rPr>
          <w:color w:val="000000" w:themeColor="text1"/>
          <w:sz w:val="20"/>
          <w:szCs w:val="20"/>
        </w:rPr>
        <w:t xml:space="preserve"> </w:t>
      </w:r>
      <w:r w:rsidR="0071217D" w:rsidRPr="0071217D">
        <w:rPr>
          <w:color w:val="000000" w:themeColor="text1"/>
          <w:sz w:val="20"/>
          <w:szCs w:val="20"/>
        </w:rPr>
        <w:t>and</w:t>
      </w:r>
      <w:r w:rsidR="00FF41A0">
        <w:rPr>
          <w:color w:val="000000" w:themeColor="text1"/>
          <w:sz w:val="20"/>
          <w:szCs w:val="20"/>
        </w:rPr>
        <w:t xml:space="preserve"> </w:t>
      </w:r>
      <w:r w:rsidR="0071217D" w:rsidRPr="0071217D">
        <w:rPr>
          <w:color w:val="000000" w:themeColor="text1"/>
          <w:sz w:val="20"/>
          <w:szCs w:val="20"/>
        </w:rPr>
        <w:t>Technology</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Pasumai</w:t>
      </w:r>
      <w:r w:rsidR="00FF41A0">
        <w:rPr>
          <w:color w:val="000000" w:themeColor="text1"/>
          <w:sz w:val="20"/>
          <w:szCs w:val="20"/>
        </w:rPr>
        <w:t xml:space="preserve"> </w:t>
      </w:r>
      <w:r w:rsidR="0071217D" w:rsidRPr="0071217D">
        <w:rPr>
          <w:color w:val="000000" w:themeColor="text1"/>
          <w:sz w:val="20"/>
          <w:szCs w:val="20"/>
        </w:rPr>
        <w:t>Thaayagam</w:t>
      </w:r>
      <w:r w:rsidR="00FF41A0">
        <w:rPr>
          <w:color w:val="000000" w:themeColor="text1"/>
          <w:sz w:val="20"/>
          <w:szCs w:val="20"/>
        </w:rPr>
        <w:t xml:space="preserve"> </w:t>
      </w:r>
      <w:r w:rsidR="0071217D" w:rsidRPr="0071217D">
        <w:rPr>
          <w:color w:val="000000" w:themeColor="text1"/>
          <w:sz w:val="20"/>
          <w:szCs w:val="20"/>
        </w:rPr>
        <w:t>Foundation</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Prahar</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Refugee</w:t>
      </w:r>
      <w:r w:rsidR="00FF41A0">
        <w:rPr>
          <w:color w:val="000000" w:themeColor="text1"/>
          <w:sz w:val="20"/>
          <w:szCs w:val="20"/>
        </w:rPr>
        <w:t xml:space="preserve"> </w:t>
      </w:r>
      <w:r w:rsidR="0071217D" w:rsidRPr="0071217D">
        <w:rPr>
          <w:color w:val="000000" w:themeColor="text1"/>
          <w:sz w:val="20"/>
          <w:szCs w:val="20"/>
        </w:rPr>
        <w:t>Council</w:t>
      </w:r>
      <w:r w:rsidR="00FF41A0">
        <w:rPr>
          <w:color w:val="000000" w:themeColor="text1"/>
          <w:sz w:val="20"/>
          <w:szCs w:val="20"/>
        </w:rPr>
        <w:t xml:space="preserve"> </w:t>
      </w:r>
      <w:r w:rsidR="0071217D" w:rsidRPr="0071217D">
        <w:rPr>
          <w:color w:val="000000" w:themeColor="text1"/>
          <w:sz w:val="20"/>
          <w:szCs w:val="20"/>
        </w:rPr>
        <w:t>of</w:t>
      </w:r>
      <w:r w:rsidR="00FF41A0">
        <w:rPr>
          <w:color w:val="000000" w:themeColor="text1"/>
          <w:sz w:val="20"/>
          <w:szCs w:val="20"/>
        </w:rPr>
        <w:t xml:space="preserve"> </w:t>
      </w:r>
      <w:r w:rsidR="0071217D" w:rsidRPr="0071217D">
        <w:rPr>
          <w:color w:val="000000" w:themeColor="text1"/>
          <w:sz w:val="20"/>
          <w:szCs w:val="20"/>
        </w:rPr>
        <w:t>Australia</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Rencontre</w:t>
      </w:r>
      <w:r w:rsidR="00FF41A0">
        <w:rPr>
          <w:color w:val="000000" w:themeColor="text1"/>
          <w:sz w:val="20"/>
          <w:szCs w:val="20"/>
        </w:rPr>
        <w:t xml:space="preserve"> </w:t>
      </w:r>
      <w:r w:rsidR="0071217D" w:rsidRPr="0071217D">
        <w:rPr>
          <w:color w:val="000000" w:themeColor="text1"/>
          <w:sz w:val="20"/>
          <w:szCs w:val="20"/>
        </w:rPr>
        <w:t>Africaine</w:t>
      </w:r>
      <w:r w:rsidR="00FF41A0">
        <w:rPr>
          <w:color w:val="000000" w:themeColor="text1"/>
          <w:sz w:val="20"/>
          <w:szCs w:val="20"/>
        </w:rPr>
        <w:t xml:space="preserve"> </w:t>
      </w:r>
      <w:r w:rsidR="0071217D" w:rsidRPr="0071217D">
        <w:rPr>
          <w:color w:val="000000" w:themeColor="text1"/>
          <w:sz w:val="20"/>
          <w:szCs w:val="20"/>
        </w:rPr>
        <w:t>pour</w:t>
      </w:r>
      <w:r w:rsidR="00FF41A0">
        <w:rPr>
          <w:color w:val="000000" w:themeColor="text1"/>
          <w:sz w:val="20"/>
          <w:szCs w:val="20"/>
        </w:rPr>
        <w:t xml:space="preserve"> </w:t>
      </w:r>
      <w:r w:rsidR="0071217D" w:rsidRPr="0071217D">
        <w:rPr>
          <w:color w:val="000000" w:themeColor="text1"/>
          <w:sz w:val="20"/>
          <w:szCs w:val="20"/>
        </w:rPr>
        <w:t>la</w:t>
      </w:r>
      <w:r w:rsidR="00FF41A0">
        <w:rPr>
          <w:color w:val="000000" w:themeColor="text1"/>
          <w:sz w:val="20"/>
          <w:szCs w:val="20"/>
        </w:rPr>
        <w:t xml:space="preserve"> </w:t>
      </w:r>
      <w:r w:rsidR="0071217D" w:rsidRPr="0071217D">
        <w:rPr>
          <w:color w:val="000000" w:themeColor="text1"/>
          <w:sz w:val="20"/>
          <w:szCs w:val="20"/>
        </w:rPr>
        <w:t>defense</w:t>
      </w:r>
      <w:r w:rsidR="00FF41A0">
        <w:rPr>
          <w:color w:val="000000" w:themeColor="text1"/>
          <w:sz w:val="20"/>
          <w:szCs w:val="20"/>
        </w:rPr>
        <w:t xml:space="preserve"> </w:t>
      </w:r>
      <w:r w:rsidR="0071217D" w:rsidRPr="0071217D">
        <w:rPr>
          <w:color w:val="000000" w:themeColor="text1"/>
          <w:sz w:val="20"/>
          <w:szCs w:val="20"/>
        </w:rPr>
        <w:t>des</w:t>
      </w:r>
      <w:r w:rsidR="00FF41A0">
        <w:rPr>
          <w:color w:val="000000" w:themeColor="text1"/>
          <w:sz w:val="20"/>
          <w:szCs w:val="20"/>
        </w:rPr>
        <w:t xml:space="preserve"> </w:t>
      </w:r>
      <w:r w:rsidR="0071217D" w:rsidRPr="0071217D">
        <w:rPr>
          <w:color w:val="000000" w:themeColor="text1"/>
          <w:sz w:val="20"/>
          <w:szCs w:val="20"/>
        </w:rPr>
        <w:t>droits</w:t>
      </w:r>
      <w:r w:rsidR="00FF41A0">
        <w:rPr>
          <w:color w:val="000000" w:themeColor="text1"/>
          <w:sz w:val="20"/>
          <w:szCs w:val="20"/>
        </w:rPr>
        <w:t xml:space="preserve"> </w:t>
      </w:r>
      <w:r w:rsidR="0071217D" w:rsidRPr="0071217D">
        <w:rPr>
          <w:color w:val="000000" w:themeColor="text1"/>
          <w:sz w:val="20"/>
          <w:szCs w:val="20"/>
        </w:rPr>
        <w:t>de</w:t>
      </w:r>
      <w:r w:rsidR="00FF41A0">
        <w:rPr>
          <w:color w:val="000000" w:themeColor="text1"/>
          <w:sz w:val="20"/>
          <w:szCs w:val="20"/>
        </w:rPr>
        <w:t xml:space="preserve"> </w:t>
      </w:r>
      <w:r w:rsidR="0071217D" w:rsidRPr="0071217D">
        <w:rPr>
          <w:color w:val="000000" w:themeColor="text1"/>
          <w:sz w:val="20"/>
          <w:szCs w:val="20"/>
        </w:rPr>
        <w:t>l</w:t>
      </w:r>
      <w:r w:rsidR="00D72627">
        <w:rPr>
          <w:color w:val="000000" w:themeColor="text1"/>
          <w:sz w:val="20"/>
          <w:szCs w:val="20"/>
        </w:rPr>
        <w:t>’</w:t>
      </w:r>
      <w:r w:rsidR="0071217D" w:rsidRPr="0071217D">
        <w:rPr>
          <w:color w:val="000000" w:themeColor="text1"/>
          <w:sz w:val="20"/>
          <w:szCs w:val="20"/>
        </w:rPr>
        <w:t>homme</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Russian</w:t>
      </w:r>
      <w:r w:rsidR="00FF41A0">
        <w:rPr>
          <w:color w:val="000000" w:themeColor="text1"/>
          <w:sz w:val="20"/>
          <w:szCs w:val="20"/>
        </w:rPr>
        <w:t xml:space="preserve"> </w:t>
      </w:r>
      <w:r w:rsidR="0071217D" w:rsidRPr="0071217D">
        <w:rPr>
          <w:color w:val="000000" w:themeColor="text1"/>
          <w:sz w:val="20"/>
          <w:szCs w:val="20"/>
        </w:rPr>
        <w:t>Peace</w:t>
      </w:r>
      <w:r w:rsidR="00FF41A0">
        <w:rPr>
          <w:color w:val="000000" w:themeColor="text1"/>
          <w:sz w:val="20"/>
          <w:szCs w:val="20"/>
        </w:rPr>
        <w:t xml:space="preserve"> </w:t>
      </w:r>
      <w:r w:rsidR="0071217D" w:rsidRPr="0071217D">
        <w:rPr>
          <w:color w:val="000000" w:themeColor="text1"/>
          <w:sz w:val="20"/>
          <w:szCs w:val="20"/>
        </w:rPr>
        <w:t>Foundation</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Servas</w:t>
      </w:r>
      <w:r w:rsidR="00FF41A0">
        <w:rPr>
          <w:color w:val="000000" w:themeColor="text1"/>
          <w:sz w:val="20"/>
          <w:szCs w:val="20"/>
        </w:rPr>
        <w:t xml:space="preserve"> </w:t>
      </w:r>
      <w:r w:rsidR="0071217D" w:rsidRPr="0071217D">
        <w:rPr>
          <w:color w:val="000000" w:themeColor="text1"/>
          <w:sz w:val="20"/>
          <w:szCs w:val="20"/>
        </w:rPr>
        <w:t>International</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Sikh</w:t>
      </w:r>
      <w:r w:rsidR="00FF41A0">
        <w:rPr>
          <w:color w:val="000000" w:themeColor="text1"/>
          <w:sz w:val="20"/>
          <w:szCs w:val="20"/>
        </w:rPr>
        <w:t xml:space="preserve"> </w:t>
      </w:r>
      <w:r w:rsidR="0071217D" w:rsidRPr="0071217D">
        <w:rPr>
          <w:color w:val="000000" w:themeColor="text1"/>
          <w:sz w:val="20"/>
          <w:szCs w:val="20"/>
        </w:rPr>
        <w:t>Human</w:t>
      </w:r>
      <w:r w:rsidR="00FF41A0">
        <w:rPr>
          <w:color w:val="000000" w:themeColor="text1"/>
          <w:sz w:val="20"/>
          <w:szCs w:val="20"/>
        </w:rPr>
        <w:t xml:space="preserve"> </w:t>
      </w:r>
      <w:r w:rsidR="0071217D" w:rsidRPr="0071217D">
        <w:rPr>
          <w:color w:val="000000" w:themeColor="text1"/>
          <w:sz w:val="20"/>
          <w:szCs w:val="20"/>
        </w:rPr>
        <w:t>Rights</w:t>
      </w:r>
      <w:r w:rsidR="00FF41A0">
        <w:rPr>
          <w:color w:val="000000" w:themeColor="text1"/>
          <w:sz w:val="20"/>
          <w:szCs w:val="20"/>
        </w:rPr>
        <w:t xml:space="preserve"> </w:t>
      </w:r>
      <w:r w:rsidR="0071217D" w:rsidRPr="0071217D">
        <w:rPr>
          <w:color w:val="000000" w:themeColor="text1"/>
          <w:sz w:val="20"/>
          <w:szCs w:val="20"/>
        </w:rPr>
        <w:t>Group</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Society</w:t>
      </w:r>
      <w:r w:rsidR="00FF41A0">
        <w:rPr>
          <w:color w:val="000000" w:themeColor="text1"/>
          <w:sz w:val="20"/>
          <w:szCs w:val="20"/>
        </w:rPr>
        <w:t xml:space="preserve"> </w:t>
      </w:r>
      <w:r w:rsidR="0071217D" w:rsidRPr="0071217D">
        <w:rPr>
          <w:color w:val="000000" w:themeColor="text1"/>
          <w:sz w:val="20"/>
          <w:szCs w:val="20"/>
        </w:rPr>
        <w:t>for</w:t>
      </w:r>
      <w:r w:rsidR="00FF41A0">
        <w:rPr>
          <w:color w:val="000000" w:themeColor="text1"/>
          <w:sz w:val="20"/>
          <w:szCs w:val="20"/>
        </w:rPr>
        <w:t xml:space="preserve"> </w:t>
      </w:r>
      <w:r w:rsidR="0071217D" w:rsidRPr="0071217D">
        <w:rPr>
          <w:color w:val="000000" w:themeColor="text1"/>
          <w:sz w:val="20"/>
          <w:szCs w:val="20"/>
        </w:rPr>
        <w:t>Development</w:t>
      </w:r>
      <w:r w:rsidR="00FF41A0">
        <w:rPr>
          <w:color w:val="000000" w:themeColor="text1"/>
          <w:sz w:val="20"/>
          <w:szCs w:val="20"/>
        </w:rPr>
        <w:t xml:space="preserve"> </w:t>
      </w:r>
      <w:r w:rsidR="0071217D" w:rsidRPr="0071217D">
        <w:rPr>
          <w:color w:val="000000" w:themeColor="text1"/>
          <w:sz w:val="20"/>
          <w:szCs w:val="20"/>
        </w:rPr>
        <w:t>and</w:t>
      </w:r>
      <w:r w:rsidR="00FF41A0">
        <w:rPr>
          <w:color w:val="000000" w:themeColor="text1"/>
          <w:sz w:val="20"/>
          <w:szCs w:val="20"/>
        </w:rPr>
        <w:t xml:space="preserve"> </w:t>
      </w:r>
      <w:r w:rsidR="0071217D" w:rsidRPr="0071217D">
        <w:rPr>
          <w:color w:val="000000" w:themeColor="text1"/>
          <w:sz w:val="20"/>
          <w:szCs w:val="20"/>
        </w:rPr>
        <w:t>Community</w:t>
      </w:r>
      <w:r w:rsidR="00FF41A0">
        <w:rPr>
          <w:color w:val="000000" w:themeColor="text1"/>
          <w:sz w:val="20"/>
          <w:szCs w:val="20"/>
        </w:rPr>
        <w:t xml:space="preserve"> </w:t>
      </w:r>
      <w:r w:rsidR="0071217D" w:rsidRPr="0071217D">
        <w:rPr>
          <w:color w:val="000000" w:themeColor="text1"/>
          <w:sz w:val="20"/>
          <w:szCs w:val="20"/>
        </w:rPr>
        <w:t>Empowerment</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Solidarité</w:t>
      </w:r>
      <w:r w:rsidR="00FF41A0">
        <w:rPr>
          <w:color w:val="000000" w:themeColor="text1"/>
          <w:sz w:val="20"/>
          <w:szCs w:val="20"/>
        </w:rPr>
        <w:t xml:space="preserve"> </w:t>
      </w:r>
      <w:r w:rsidR="0071217D" w:rsidRPr="0071217D">
        <w:rPr>
          <w:color w:val="000000" w:themeColor="text1"/>
          <w:sz w:val="20"/>
          <w:szCs w:val="20"/>
        </w:rPr>
        <w:t>Agissante</w:t>
      </w:r>
      <w:r w:rsidR="00FF41A0">
        <w:rPr>
          <w:color w:val="000000" w:themeColor="text1"/>
          <w:sz w:val="20"/>
          <w:szCs w:val="20"/>
        </w:rPr>
        <w:t xml:space="preserve"> </w:t>
      </w:r>
      <w:r w:rsidR="0071217D" w:rsidRPr="0071217D">
        <w:rPr>
          <w:color w:val="000000" w:themeColor="text1"/>
          <w:sz w:val="20"/>
          <w:szCs w:val="20"/>
        </w:rPr>
        <w:t>pour</w:t>
      </w:r>
      <w:r w:rsidR="00FF41A0">
        <w:rPr>
          <w:color w:val="000000" w:themeColor="text1"/>
          <w:sz w:val="20"/>
          <w:szCs w:val="20"/>
        </w:rPr>
        <w:t xml:space="preserve"> </w:t>
      </w:r>
      <w:r w:rsidR="0071217D" w:rsidRPr="0071217D">
        <w:rPr>
          <w:color w:val="000000" w:themeColor="text1"/>
          <w:sz w:val="20"/>
          <w:szCs w:val="20"/>
        </w:rPr>
        <w:t>le</w:t>
      </w:r>
      <w:r w:rsidR="00FF41A0">
        <w:rPr>
          <w:color w:val="000000" w:themeColor="text1"/>
          <w:sz w:val="20"/>
          <w:szCs w:val="20"/>
        </w:rPr>
        <w:t xml:space="preserve"> </w:t>
      </w:r>
      <w:r w:rsidR="0071217D" w:rsidRPr="0071217D">
        <w:rPr>
          <w:color w:val="000000" w:themeColor="text1"/>
          <w:sz w:val="20"/>
          <w:szCs w:val="20"/>
        </w:rPr>
        <w:t>Devéloppement</w:t>
      </w:r>
      <w:r w:rsidR="00FF41A0">
        <w:rPr>
          <w:color w:val="000000" w:themeColor="text1"/>
          <w:sz w:val="20"/>
          <w:szCs w:val="20"/>
        </w:rPr>
        <w:t xml:space="preserve"> </w:t>
      </w:r>
      <w:r w:rsidR="0071217D" w:rsidRPr="0071217D">
        <w:rPr>
          <w:color w:val="000000" w:themeColor="text1"/>
          <w:sz w:val="20"/>
          <w:szCs w:val="20"/>
        </w:rPr>
        <w:t>Familial</w:t>
      </w:r>
      <w:r w:rsidR="00FF41A0">
        <w:rPr>
          <w:color w:val="000000" w:themeColor="text1"/>
          <w:sz w:val="20"/>
          <w:szCs w:val="20"/>
        </w:rPr>
        <w:t xml:space="preserve"> </w:t>
      </w:r>
      <w:r w:rsidR="0071217D" w:rsidRPr="0071217D">
        <w:rPr>
          <w:color w:val="000000" w:themeColor="text1"/>
          <w:sz w:val="20"/>
          <w:szCs w:val="20"/>
        </w:rPr>
        <w:t>(SADF)</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Solidarité</w:t>
      </w:r>
      <w:r w:rsidR="00FF41A0">
        <w:rPr>
          <w:color w:val="000000" w:themeColor="text1"/>
          <w:sz w:val="20"/>
          <w:szCs w:val="20"/>
        </w:rPr>
        <w:t xml:space="preserve"> </w:t>
      </w:r>
      <w:r w:rsidR="0071217D" w:rsidRPr="0071217D">
        <w:rPr>
          <w:color w:val="000000" w:themeColor="text1"/>
          <w:sz w:val="20"/>
          <w:szCs w:val="20"/>
        </w:rPr>
        <w:t>Suisse-Guinée</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Tamil</w:t>
      </w:r>
      <w:r w:rsidR="00FF41A0">
        <w:rPr>
          <w:color w:val="000000" w:themeColor="text1"/>
          <w:sz w:val="20"/>
          <w:szCs w:val="20"/>
        </w:rPr>
        <w:t xml:space="preserve"> </w:t>
      </w:r>
      <w:r w:rsidR="0071217D" w:rsidRPr="0071217D">
        <w:rPr>
          <w:color w:val="000000" w:themeColor="text1"/>
          <w:sz w:val="20"/>
          <w:szCs w:val="20"/>
        </w:rPr>
        <w:t>Uzhagam</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The</w:t>
      </w:r>
      <w:r w:rsidR="00FF41A0">
        <w:rPr>
          <w:color w:val="000000" w:themeColor="text1"/>
          <w:sz w:val="20"/>
          <w:szCs w:val="20"/>
        </w:rPr>
        <w:t xml:space="preserve"> </w:t>
      </w:r>
      <w:r w:rsidR="0071217D" w:rsidRPr="0071217D">
        <w:rPr>
          <w:color w:val="000000" w:themeColor="text1"/>
          <w:sz w:val="20"/>
          <w:szCs w:val="20"/>
        </w:rPr>
        <w:t>Palestinian</w:t>
      </w:r>
      <w:r w:rsidR="00FF41A0">
        <w:rPr>
          <w:color w:val="000000" w:themeColor="text1"/>
          <w:sz w:val="20"/>
          <w:szCs w:val="20"/>
        </w:rPr>
        <w:t xml:space="preserve"> </w:t>
      </w:r>
      <w:r w:rsidR="0071217D" w:rsidRPr="0071217D">
        <w:rPr>
          <w:color w:val="000000" w:themeColor="text1"/>
          <w:sz w:val="20"/>
          <w:szCs w:val="20"/>
        </w:rPr>
        <w:t>Return</w:t>
      </w:r>
      <w:r w:rsidR="00FF41A0">
        <w:rPr>
          <w:color w:val="000000" w:themeColor="text1"/>
          <w:sz w:val="20"/>
          <w:szCs w:val="20"/>
        </w:rPr>
        <w:t xml:space="preserve"> </w:t>
      </w:r>
      <w:r w:rsidR="0071217D" w:rsidRPr="0071217D">
        <w:rPr>
          <w:color w:val="000000" w:themeColor="text1"/>
          <w:sz w:val="20"/>
          <w:szCs w:val="20"/>
        </w:rPr>
        <w:t>Centre</w:t>
      </w:r>
      <w:r w:rsidR="00FF41A0">
        <w:rPr>
          <w:color w:val="000000" w:themeColor="text1"/>
          <w:sz w:val="20"/>
          <w:szCs w:val="20"/>
        </w:rPr>
        <w:t xml:space="preserve"> </w:t>
      </w:r>
      <w:r w:rsidR="0071217D" w:rsidRPr="0071217D">
        <w:rPr>
          <w:color w:val="000000" w:themeColor="text1"/>
          <w:sz w:val="20"/>
          <w:szCs w:val="20"/>
        </w:rPr>
        <w:t>Ltd</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Tourner</w:t>
      </w:r>
      <w:r w:rsidR="00FF41A0">
        <w:rPr>
          <w:color w:val="000000" w:themeColor="text1"/>
          <w:sz w:val="20"/>
          <w:szCs w:val="20"/>
        </w:rPr>
        <w:t xml:space="preserve"> </w:t>
      </w:r>
      <w:r w:rsidR="0071217D" w:rsidRPr="0071217D">
        <w:rPr>
          <w:color w:val="000000" w:themeColor="text1"/>
          <w:sz w:val="20"/>
          <w:szCs w:val="20"/>
        </w:rPr>
        <w:t>La</w:t>
      </w:r>
      <w:r w:rsidR="00FF41A0">
        <w:rPr>
          <w:color w:val="000000" w:themeColor="text1"/>
          <w:sz w:val="20"/>
          <w:szCs w:val="20"/>
        </w:rPr>
        <w:t xml:space="preserve"> </w:t>
      </w:r>
      <w:r w:rsidR="0071217D" w:rsidRPr="0071217D">
        <w:rPr>
          <w:color w:val="000000" w:themeColor="text1"/>
          <w:sz w:val="20"/>
          <w:szCs w:val="20"/>
        </w:rPr>
        <w:t>Page</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Union</w:t>
      </w:r>
      <w:r w:rsidR="00FF41A0">
        <w:rPr>
          <w:color w:val="000000" w:themeColor="text1"/>
          <w:sz w:val="20"/>
          <w:szCs w:val="20"/>
        </w:rPr>
        <w:t xml:space="preserve"> </w:t>
      </w:r>
      <w:r w:rsidR="0071217D" w:rsidRPr="0071217D">
        <w:rPr>
          <w:color w:val="000000" w:themeColor="text1"/>
          <w:sz w:val="20"/>
          <w:szCs w:val="20"/>
        </w:rPr>
        <w:t>of</w:t>
      </w:r>
      <w:r w:rsidR="00FF41A0">
        <w:rPr>
          <w:color w:val="000000" w:themeColor="text1"/>
          <w:sz w:val="20"/>
          <w:szCs w:val="20"/>
        </w:rPr>
        <w:t xml:space="preserve"> </w:t>
      </w:r>
      <w:r w:rsidR="0071217D" w:rsidRPr="0071217D">
        <w:rPr>
          <w:color w:val="000000" w:themeColor="text1"/>
          <w:sz w:val="20"/>
          <w:szCs w:val="20"/>
        </w:rPr>
        <w:t>Arab</w:t>
      </w:r>
      <w:r w:rsidR="00FF41A0">
        <w:rPr>
          <w:color w:val="000000" w:themeColor="text1"/>
          <w:sz w:val="20"/>
          <w:szCs w:val="20"/>
        </w:rPr>
        <w:t xml:space="preserve"> </w:t>
      </w:r>
      <w:r w:rsidR="0071217D" w:rsidRPr="0071217D">
        <w:rPr>
          <w:color w:val="000000" w:themeColor="text1"/>
          <w:sz w:val="20"/>
          <w:szCs w:val="20"/>
        </w:rPr>
        <w:t>Jurists</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United</w:t>
      </w:r>
      <w:r w:rsidR="00FF41A0">
        <w:rPr>
          <w:color w:val="000000" w:themeColor="text1"/>
          <w:sz w:val="20"/>
          <w:szCs w:val="20"/>
        </w:rPr>
        <w:t xml:space="preserve"> </w:t>
      </w:r>
      <w:r w:rsidR="0071217D" w:rsidRPr="0071217D">
        <w:rPr>
          <w:color w:val="000000" w:themeColor="text1"/>
          <w:sz w:val="20"/>
          <w:szCs w:val="20"/>
        </w:rPr>
        <w:t>Nations</w:t>
      </w:r>
      <w:r w:rsidR="00FF41A0">
        <w:rPr>
          <w:color w:val="000000" w:themeColor="text1"/>
          <w:sz w:val="20"/>
          <w:szCs w:val="20"/>
        </w:rPr>
        <w:t xml:space="preserve"> </w:t>
      </w:r>
      <w:r w:rsidR="0071217D" w:rsidRPr="0071217D">
        <w:rPr>
          <w:color w:val="000000" w:themeColor="text1"/>
          <w:sz w:val="20"/>
          <w:szCs w:val="20"/>
        </w:rPr>
        <w:t>Watch</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United</w:t>
      </w:r>
      <w:r w:rsidR="00FF41A0">
        <w:rPr>
          <w:color w:val="000000" w:themeColor="text1"/>
          <w:sz w:val="20"/>
          <w:szCs w:val="20"/>
        </w:rPr>
        <w:t xml:space="preserve"> </w:t>
      </w:r>
      <w:r w:rsidR="0071217D" w:rsidRPr="0071217D">
        <w:rPr>
          <w:color w:val="000000" w:themeColor="text1"/>
          <w:sz w:val="20"/>
          <w:szCs w:val="20"/>
        </w:rPr>
        <w:t>Schools</w:t>
      </w:r>
      <w:r w:rsidR="00FF41A0">
        <w:rPr>
          <w:color w:val="000000" w:themeColor="text1"/>
          <w:sz w:val="20"/>
          <w:szCs w:val="20"/>
        </w:rPr>
        <w:t xml:space="preserve"> </w:t>
      </w:r>
      <w:r w:rsidR="0071217D" w:rsidRPr="0071217D">
        <w:rPr>
          <w:color w:val="000000" w:themeColor="text1"/>
          <w:sz w:val="20"/>
          <w:szCs w:val="20"/>
        </w:rPr>
        <w:t>International</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United</w:t>
      </w:r>
      <w:r w:rsidR="00FF41A0">
        <w:rPr>
          <w:color w:val="000000" w:themeColor="text1"/>
          <w:sz w:val="20"/>
          <w:szCs w:val="20"/>
        </w:rPr>
        <w:t xml:space="preserve"> </w:t>
      </w:r>
      <w:r w:rsidR="0071217D" w:rsidRPr="0071217D">
        <w:rPr>
          <w:color w:val="000000" w:themeColor="text1"/>
          <w:sz w:val="20"/>
          <w:szCs w:val="20"/>
        </w:rPr>
        <w:t>Towns</w:t>
      </w:r>
      <w:r w:rsidR="00FF41A0">
        <w:rPr>
          <w:color w:val="000000" w:themeColor="text1"/>
          <w:sz w:val="20"/>
          <w:szCs w:val="20"/>
        </w:rPr>
        <w:t xml:space="preserve"> </w:t>
      </w:r>
      <w:r w:rsidR="0071217D" w:rsidRPr="0071217D">
        <w:rPr>
          <w:color w:val="000000" w:themeColor="text1"/>
          <w:sz w:val="20"/>
          <w:szCs w:val="20"/>
        </w:rPr>
        <w:t>Agency</w:t>
      </w:r>
      <w:r w:rsidR="00FF41A0">
        <w:rPr>
          <w:color w:val="000000" w:themeColor="text1"/>
          <w:sz w:val="20"/>
          <w:szCs w:val="20"/>
        </w:rPr>
        <w:t xml:space="preserve"> </w:t>
      </w:r>
      <w:r w:rsidR="0071217D" w:rsidRPr="0071217D">
        <w:rPr>
          <w:color w:val="000000" w:themeColor="text1"/>
          <w:sz w:val="20"/>
          <w:szCs w:val="20"/>
        </w:rPr>
        <w:t>for</w:t>
      </w:r>
      <w:r w:rsidR="00FF41A0">
        <w:rPr>
          <w:color w:val="000000" w:themeColor="text1"/>
          <w:sz w:val="20"/>
          <w:szCs w:val="20"/>
        </w:rPr>
        <w:t xml:space="preserve"> </w:t>
      </w:r>
      <w:r w:rsidR="0071217D" w:rsidRPr="0071217D">
        <w:rPr>
          <w:color w:val="000000" w:themeColor="text1"/>
          <w:sz w:val="20"/>
          <w:szCs w:val="20"/>
        </w:rPr>
        <w:t>North-South</w:t>
      </w:r>
      <w:r w:rsidR="00FF41A0">
        <w:rPr>
          <w:color w:val="000000" w:themeColor="text1"/>
          <w:sz w:val="20"/>
          <w:szCs w:val="20"/>
        </w:rPr>
        <w:t xml:space="preserve"> </w:t>
      </w:r>
      <w:r w:rsidR="0071217D" w:rsidRPr="0071217D">
        <w:rPr>
          <w:color w:val="000000" w:themeColor="text1"/>
          <w:sz w:val="20"/>
          <w:szCs w:val="20"/>
        </w:rPr>
        <w:t>Cooperation</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World</w:t>
      </w:r>
      <w:r w:rsidR="00FF41A0">
        <w:rPr>
          <w:color w:val="000000" w:themeColor="text1"/>
          <w:sz w:val="20"/>
          <w:szCs w:val="20"/>
        </w:rPr>
        <w:t xml:space="preserve"> </w:t>
      </w:r>
      <w:r w:rsidR="0071217D" w:rsidRPr="0071217D">
        <w:rPr>
          <w:color w:val="000000" w:themeColor="text1"/>
          <w:sz w:val="20"/>
          <w:szCs w:val="20"/>
        </w:rPr>
        <w:t>Barua</w:t>
      </w:r>
      <w:r w:rsidR="00FF41A0">
        <w:rPr>
          <w:color w:val="000000" w:themeColor="text1"/>
          <w:sz w:val="20"/>
          <w:szCs w:val="20"/>
        </w:rPr>
        <w:t xml:space="preserve"> </w:t>
      </w:r>
      <w:r w:rsidR="0071217D" w:rsidRPr="0071217D">
        <w:rPr>
          <w:color w:val="000000" w:themeColor="text1"/>
          <w:sz w:val="20"/>
          <w:szCs w:val="20"/>
        </w:rPr>
        <w:t>Organization</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World</w:t>
      </w:r>
      <w:r w:rsidR="00FF41A0">
        <w:rPr>
          <w:color w:val="000000" w:themeColor="text1"/>
          <w:sz w:val="20"/>
          <w:szCs w:val="20"/>
        </w:rPr>
        <w:t xml:space="preserve"> </w:t>
      </w:r>
      <w:r w:rsidR="0071217D" w:rsidRPr="0071217D">
        <w:rPr>
          <w:color w:val="000000" w:themeColor="text1"/>
          <w:sz w:val="20"/>
          <w:szCs w:val="20"/>
        </w:rPr>
        <w:t>Environment</w:t>
      </w:r>
      <w:r w:rsidR="00FF41A0">
        <w:rPr>
          <w:color w:val="000000" w:themeColor="text1"/>
          <w:sz w:val="20"/>
          <w:szCs w:val="20"/>
        </w:rPr>
        <w:t xml:space="preserve"> </w:t>
      </w:r>
      <w:r w:rsidR="0071217D" w:rsidRPr="0071217D">
        <w:rPr>
          <w:color w:val="000000" w:themeColor="text1"/>
          <w:sz w:val="20"/>
          <w:szCs w:val="20"/>
        </w:rPr>
        <w:t>and</w:t>
      </w:r>
      <w:r w:rsidR="00FF41A0">
        <w:rPr>
          <w:color w:val="000000" w:themeColor="text1"/>
          <w:sz w:val="20"/>
          <w:szCs w:val="20"/>
        </w:rPr>
        <w:t xml:space="preserve"> </w:t>
      </w:r>
      <w:r w:rsidR="0071217D" w:rsidRPr="0071217D">
        <w:rPr>
          <w:color w:val="000000" w:themeColor="text1"/>
          <w:sz w:val="20"/>
          <w:szCs w:val="20"/>
        </w:rPr>
        <w:t>Resources</w:t>
      </w:r>
      <w:r w:rsidR="00FF41A0">
        <w:rPr>
          <w:color w:val="000000" w:themeColor="text1"/>
          <w:sz w:val="20"/>
          <w:szCs w:val="20"/>
        </w:rPr>
        <w:t xml:space="preserve"> </w:t>
      </w:r>
      <w:r w:rsidR="0071217D" w:rsidRPr="0071217D">
        <w:rPr>
          <w:color w:val="000000" w:themeColor="text1"/>
          <w:sz w:val="20"/>
          <w:szCs w:val="20"/>
        </w:rPr>
        <w:t>Council</w:t>
      </w:r>
      <w:r w:rsidR="00FF41A0">
        <w:rPr>
          <w:color w:val="000000" w:themeColor="text1"/>
          <w:sz w:val="20"/>
          <w:szCs w:val="20"/>
        </w:rPr>
        <w:t xml:space="preserve"> </w:t>
      </w:r>
      <w:r w:rsidR="0071217D" w:rsidRPr="0071217D">
        <w:rPr>
          <w:color w:val="000000" w:themeColor="text1"/>
          <w:sz w:val="20"/>
          <w:szCs w:val="20"/>
        </w:rPr>
        <w:t>(WERC)</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World</w:t>
      </w:r>
      <w:r w:rsidR="00FF41A0">
        <w:rPr>
          <w:color w:val="000000" w:themeColor="text1"/>
          <w:sz w:val="20"/>
          <w:szCs w:val="20"/>
        </w:rPr>
        <w:t xml:space="preserve"> </w:t>
      </w:r>
      <w:r w:rsidR="0071217D" w:rsidRPr="0071217D">
        <w:rPr>
          <w:color w:val="000000" w:themeColor="text1"/>
          <w:sz w:val="20"/>
          <w:szCs w:val="20"/>
        </w:rPr>
        <w:t>Jewish</w:t>
      </w:r>
      <w:r w:rsidR="00FF41A0">
        <w:rPr>
          <w:color w:val="000000" w:themeColor="text1"/>
          <w:sz w:val="20"/>
          <w:szCs w:val="20"/>
        </w:rPr>
        <w:t xml:space="preserve"> </w:t>
      </w:r>
      <w:r w:rsidR="0071217D" w:rsidRPr="0071217D">
        <w:rPr>
          <w:color w:val="000000" w:themeColor="text1"/>
          <w:sz w:val="20"/>
          <w:szCs w:val="20"/>
        </w:rPr>
        <w:t>Congress</w:t>
      </w:r>
      <w:r w:rsidR="009842CD">
        <w:rPr>
          <w:color w:val="000000" w:themeColor="text1"/>
          <w:sz w:val="20"/>
          <w:szCs w:val="20"/>
        </w:rPr>
        <w:t>;</w:t>
      </w:r>
      <w:r w:rsidR="00FF41A0">
        <w:rPr>
          <w:color w:val="000000" w:themeColor="text1"/>
          <w:sz w:val="20"/>
          <w:szCs w:val="20"/>
        </w:rPr>
        <w:t xml:space="preserve"> </w:t>
      </w:r>
      <w:r w:rsidR="0071217D" w:rsidRPr="0071217D">
        <w:rPr>
          <w:color w:val="000000" w:themeColor="text1"/>
          <w:sz w:val="20"/>
          <w:szCs w:val="20"/>
        </w:rPr>
        <w:t>World</w:t>
      </w:r>
      <w:r w:rsidR="00FF41A0">
        <w:rPr>
          <w:color w:val="000000" w:themeColor="text1"/>
          <w:sz w:val="20"/>
          <w:szCs w:val="20"/>
        </w:rPr>
        <w:t xml:space="preserve"> </w:t>
      </w:r>
      <w:r w:rsidR="0071217D" w:rsidRPr="0071217D">
        <w:rPr>
          <w:color w:val="000000" w:themeColor="text1"/>
          <w:sz w:val="20"/>
          <w:szCs w:val="20"/>
        </w:rPr>
        <w:t>Muslim</w:t>
      </w:r>
      <w:r w:rsidR="00FF41A0">
        <w:rPr>
          <w:color w:val="000000" w:themeColor="text1"/>
          <w:sz w:val="20"/>
          <w:szCs w:val="20"/>
        </w:rPr>
        <w:t xml:space="preserve"> </w:t>
      </w:r>
      <w:r w:rsidR="0071217D" w:rsidRPr="0071217D">
        <w:rPr>
          <w:color w:val="000000" w:themeColor="text1"/>
          <w:sz w:val="20"/>
          <w:szCs w:val="20"/>
        </w:rPr>
        <w:t>Congress</w:t>
      </w:r>
      <w:r w:rsidRPr="00113DE2">
        <w:rPr>
          <w:color w:val="000000" w:themeColor="text1"/>
          <w:sz w:val="20"/>
          <w:szCs w:val="20"/>
        </w:rPr>
        <w:t>.</w:t>
      </w:r>
    </w:p>
    <w:p w14:paraId="2EA58DBF" w14:textId="504674CC" w:rsidR="00F11B08" w:rsidRPr="00113DE2" w:rsidRDefault="00CF15B1" w:rsidP="00F11B08">
      <w:pPr>
        <w:pStyle w:val="SingleTxtG"/>
        <w:tabs>
          <w:tab w:val="left" w:pos="2086"/>
        </w:tabs>
        <w:rPr>
          <w:color w:val="000000" w:themeColor="text1"/>
          <w:sz w:val="20"/>
          <w:szCs w:val="20"/>
        </w:rPr>
      </w:pPr>
      <w:r>
        <w:rPr>
          <w:color w:val="000000" w:themeColor="text1"/>
          <w:sz w:val="20"/>
          <w:szCs w:val="20"/>
        </w:rPr>
        <w:t>965</w:t>
      </w:r>
      <w:r w:rsidR="00F11B08" w:rsidRPr="0084424D">
        <w:rPr>
          <w:color w:val="000000" w:themeColor="text1"/>
          <w:sz w:val="20"/>
          <w:szCs w:val="20"/>
        </w:rPr>
        <w:t>.</w:t>
      </w:r>
      <w:r w:rsidR="00FF41A0">
        <w:rPr>
          <w:color w:val="000000" w:themeColor="text1"/>
          <w:sz w:val="20"/>
          <w:szCs w:val="20"/>
        </w:rPr>
        <w:t xml:space="preserve"> </w:t>
      </w:r>
      <w:r w:rsidR="00F11B08" w:rsidRPr="0084424D">
        <w:rPr>
          <w:color w:val="000000" w:themeColor="text1"/>
          <w:sz w:val="20"/>
          <w:szCs w:val="20"/>
        </w:rPr>
        <w:t>At</w:t>
      </w:r>
      <w:r w:rsidR="00FF41A0">
        <w:rPr>
          <w:color w:val="000000" w:themeColor="text1"/>
          <w:sz w:val="20"/>
          <w:szCs w:val="20"/>
        </w:rPr>
        <w:t xml:space="preserve"> </w:t>
      </w:r>
      <w:r w:rsidR="00F11B08" w:rsidRPr="0084424D">
        <w:rPr>
          <w:color w:val="000000" w:themeColor="text1"/>
          <w:sz w:val="20"/>
          <w:szCs w:val="20"/>
        </w:rPr>
        <w:t>the</w:t>
      </w:r>
      <w:r w:rsidR="00FF41A0">
        <w:rPr>
          <w:color w:val="000000" w:themeColor="text1"/>
          <w:sz w:val="20"/>
          <w:szCs w:val="20"/>
        </w:rPr>
        <w:t xml:space="preserve"> </w:t>
      </w:r>
      <w:r w:rsidR="00F11B08" w:rsidRPr="0084424D">
        <w:rPr>
          <w:color w:val="000000" w:themeColor="text1"/>
          <w:sz w:val="20"/>
          <w:szCs w:val="20"/>
        </w:rPr>
        <w:t>4</w:t>
      </w:r>
      <w:r w:rsidR="0084424D" w:rsidRPr="0084424D">
        <w:rPr>
          <w:color w:val="000000" w:themeColor="text1"/>
          <w:sz w:val="20"/>
          <w:szCs w:val="20"/>
        </w:rPr>
        <w:t>5</w:t>
      </w:r>
      <w:r w:rsidR="00F11B08" w:rsidRPr="0084424D">
        <w:rPr>
          <w:color w:val="000000" w:themeColor="text1"/>
          <w:sz w:val="20"/>
          <w:szCs w:val="20"/>
        </w:rPr>
        <w:t>th</w:t>
      </w:r>
      <w:r w:rsidR="00FF41A0">
        <w:rPr>
          <w:color w:val="000000" w:themeColor="text1"/>
          <w:sz w:val="20"/>
          <w:szCs w:val="20"/>
        </w:rPr>
        <w:t xml:space="preserve"> </w:t>
      </w:r>
      <w:r w:rsidR="00F11B08" w:rsidRPr="0084424D">
        <w:rPr>
          <w:color w:val="000000" w:themeColor="text1"/>
          <w:sz w:val="20"/>
          <w:szCs w:val="20"/>
        </w:rPr>
        <w:t>meeting,</w:t>
      </w:r>
      <w:r w:rsidR="00FF41A0">
        <w:rPr>
          <w:color w:val="000000" w:themeColor="text1"/>
          <w:sz w:val="20"/>
          <w:szCs w:val="20"/>
        </w:rPr>
        <w:t xml:space="preserve"> </w:t>
      </w:r>
      <w:r w:rsidR="00F11B08" w:rsidRPr="0084424D">
        <w:rPr>
          <w:color w:val="000000" w:themeColor="text1"/>
          <w:sz w:val="20"/>
          <w:szCs w:val="20"/>
        </w:rPr>
        <w:t>on</w:t>
      </w:r>
      <w:r w:rsidR="00FF41A0">
        <w:rPr>
          <w:color w:val="000000" w:themeColor="text1"/>
          <w:sz w:val="20"/>
          <w:szCs w:val="20"/>
        </w:rPr>
        <w:t xml:space="preserve"> </w:t>
      </w:r>
      <w:r w:rsidR="0084424D" w:rsidRPr="0084424D">
        <w:rPr>
          <w:color w:val="000000" w:themeColor="text1"/>
          <w:sz w:val="20"/>
          <w:szCs w:val="20"/>
        </w:rPr>
        <w:t>19</w:t>
      </w:r>
      <w:r w:rsidR="00FF41A0">
        <w:rPr>
          <w:color w:val="000000" w:themeColor="text1"/>
          <w:sz w:val="20"/>
          <w:szCs w:val="20"/>
        </w:rPr>
        <w:t xml:space="preserve"> </w:t>
      </w:r>
      <w:r w:rsidR="00F11B08" w:rsidRPr="0084424D">
        <w:rPr>
          <w:color w:val="000000" w:themeColor="text1"/>
          <w:sz w:val="20"/>
          <w:szCs w:val="20"/>
        </w:rPr>
        <w:t>March</w:t>
      </w:r>
      <w:r w:rsidR="00FF41A0">
        <w:rPr>
          <w:color w:val="000000" w:themeColor="text1"/>
          <w:sz w:val="20"/>
          <w:szCs w:val="20"/>
        </w:rPr>
        <w:t xml:space="preserve"> </w:t>
      </w:r>
      <w:r w:rsidR="00141AFC" w:rsidRPr="0084424D">
        <w:rPr>
          <w:color w:val="000000" w:themeColor="text1"/>
          <w:sz w:val="20"/>
          <w:szCs w:val="20"/>
        </w:rPr>
        <w:t>2019</w:t>
      </w:r>
      <w:r w:rsidR="00F11B08" w:rsidRPr="0084424D">
        <w:rPr>
          <w:color w:val="000000" w:themeColor="text1"/>
          <w:sz w:val="20"/>
          <w:szCs w:val="20"/>
        </w:rPr>
        <w:t>,</w:t>
      </w:r>
      <w:r w:rsidR="00FF41A0">
        <w:rPr>
          <w:color w:val="000000" w:themeColor="text1"/>
          <w:sz w:val="20"/>
          <w:szCs w:val="20"/>
        </w:rPr>
        <w:t xml:space="preserve"> </w:t>
      </w:r>
      <w:r w:rsidR="00F11B08" w:rsidRPr="0084424D">
        <w:rPr>
          <w:color w:val="000000" w:themeColor="text1"/>
          <w:sz w:val="20"/>
          <w:szCs w:val="20"/>
        </w:rPr>
        <w:t>statement</w:t>
      </w:r>
      <w:r w:rsidR="0084424D">
        <w:rPr>
          <w:color w:val="000000" w:themeColor="text1"/>
          <w:sz w:val="20"/>
          <w:szCs w:val="20"/>
        </w:rPr>
        <w:t>s</w:t>
      </w:r>
      <w:r w:rsidR="00FF41A0">
        <w:rPr>
          <w:color w:val="000000" w:themeColor="text1"/>
          <w:sz w:val="20"/>
          <w:szCs w:val="20"/>
        </w:rPr>
        <w:t xml:space="preserve"> </w:t>
      </w:r>
      <w:r w:rsidR="00F11B08" w:rsidRPr="0084424D">
        <w:rPr>
          <w:color w:val="000000" w:themeColor="text1"/>
          <w:sz w:val="20"/>
          <w:szCs w:val="20"/>
        </w:rPr>
        <w:t>in</w:t>
      </w:r>
      <w:r w:rsidR="00FF41A0">
        <w:rPr>
          <w:color w:val="000000" w:themeColor="text1"/>
          <w:sz w:val="20"/>
          <w:szCs w:val="20"/>
        </w:rPr>
        <w:t xml:space="preserve"> </w:t>
      </w:r>
      <w:r w:rsidR="00F11B08" w:rsidRPr="0084424D">
        <w:rPr>
          <w:color w:val="000000" w:themeColor="text1"/>
          <w:sz w:val="20"/>
          <w:szCs w:val="20"/>
        </w:rPr>
        <w:t>exercise</w:t>
      </w:r>
      <w:r w:rsidR="00FF41A0">
        <w:rPr>
          <w:color w:val="000000" w:themeColor="text1"/>
          <w:sz w:val="20"/>
          <w:szCs w:val="20"/>
        </w:rPr>
        <w:t xml:space="preserve"> </w:t>
      </w:r>
      <w:r w:rsidR="00F11B08" w:rsidRPr="0084424D">
        <w:rPr>
          <w:color w:val="000000" w:themeColor="text1"/>
          <w:sz w:val="20"/>
          <w:szCs w:val="20"/>
        </w:rPr>
        <w:t>of</w:t>
      </w:r>
      <w:r w:rsidR="00FF41A0">
        <w:rPr>
          <w:color w:val="000000" w:themeColor="text1"/>
          <w:sz w:val="20"/>
          <w:szCs w:val="20"/>
        </w:rPr>
        <w:t xml:space="preserve"> </w:t>
      </w:r>
      <w:r w:rsidR="00F11B08" w:rsidRPr="0084424D">
        <w:rPr>
          <w:color w:val="000000" w:themeColor="text1"/>
          <w:sz w:val="20"/>
          <w:szCs w:val="20"/>
        </w:rPr>
        <w:t>the</w:t>
      </w:r>
      <w:r w:rsidR="00FF41A0">
        <w:rPr>
          <w:color w:val="000000" w:themeColor="text1"/>
          <w:sz w:val="20"/>
          <w:szCs w:val="20"/>
        </w:rPr>
        <w:t xml:space="preserve"> </w:t>
      </w:r>
      <w:r w:rsidR="00F11B08" w:rsidRPr="0084424D">
        <w:rPr>
          <w:color w:val="000000" w:themeColor="text1"/>
          <w:sz w:val="20"/>
          <w:szCs w:val="20"/>
        </w:rPr>
        <w:t>right</w:t>
      </w:r>
      <w:r w:rsidR="00FF41A0">
        <w:rPr>
          <w:color w:val="000000" w:themeColor="text1"/>
          <w:sz w:val="20"/>
          <w:szCs w:val="20"/>
        </w:rPr>
        <w:t xml:space="preserve"> </w:t>
      </w:r>
      <w:r w:rsidR="00F11B08" w:rsidRPr="0084424D">
        <w:rPr>
          <w:color w:val="000000" w:themeColor="text1"/>
          <w:sz w:val="20"/>
          <w:szCs w:val="20"/>
        </w:rPr>
        <w:t>of</w:t>
      </w:r>
      <w:r w:rsidR="00FF41A0">
        <w:rPr>
          <w:color w:val="000000" w:themeColor="text1"/>
          <w:sz w:val="20"/>
          <w:szCs w:val="20"/>
        </w:rPr>
        <w:t xml:space="preserve"> </w:t>
      </w:r>
      <w:r w:rsidR="00F11B08" w:rsidRPr="0084424D">
        <w:rPr>
          <w:color w:val="000000" w:themeColor="text1"/>
          <w:sz w:val="20"/>
          <w:szCs w:val="20"/>
        </w:rPr>
        <w:t>reply</w:t>
      </w:r>
      <w:r w:rsidR="00FF41A0">
        <w:rPr>
          <w:color w:val="000000" w:themeColor="text1"/>
          <w:sz w:val="20"/>
          <w:szCs w:val="20"/>
        </w:rPr>
        <w:t xml:space="preserve"> </w:t>
      </w:r>
      <w:r w:rsidR="0084424D">
        <w:rPr>
          <w:color w:val="000000" w:themeColor="text1"/>
          <w:sz w:val="20"/>
          <w:szCs w:val="20"/>
        </w:rPr>
        <w:t>were</w:t>
      </w:r>
      <w:r w:rsidR="00FF41A0">
        <w:rPr>
          <w:color w:val="000000" w:themeColor="text1"/>
          <w:sz w:val="20"/>
          <w:szCs w:val="20"/>
        </w:rPr>
        <w:t xml:space="preserve"> </w:t>
      </w:r>
      <w:r w:rsidR="00F11B08" w:rsidRPr="0084424D">
        <w:rPr>
          <w:color w:val="000000" w:themeColor="text1"/>
          <w:sz w:val="20"/>
          <w:szCs w:val="20"/>
        </w:rPr>
        <w:t>made</w:t>
      </w:r>
      <w:r w:rsidR="00FF41A0">
        <w:rPr>
          <w:color w:val="000000" w:themeColor="text1"/>
          <w:sz w:val="20"/>
          <w:szCs w:val="20"/>
        </w:rPr>
        <w:t xml:space="preserve"> </w:t>
      </w:r>
      <w:r w:rsidR="00F11B08" w:rsidRPr="0084424D">
        <w:rPr>
          <w:color w:val="000000" w:themeColor="text1"/>
          <w:sz w:val="20"/>
          <w:szCs w:val="20"/>
        </w:rPr>
        <w:t>by</w:t>
      </w:r>
      <w:r w:rsidR="00FF41A0">
        <w:rPr>
          <w:color w:val="000000" w:themeColor="text1"/>
          <w:sz w:val="20"/>
          <w:szCs w:val="20"/>
        </w:rPr>
        <w:t xml:space="preserve"> </w:t>
      </w:r>
      <w:r w:rsidR="00F11B08" w:rsidRPr="0084424D">
        <w:rPr>
          <w:color w:val="000000" w:themeColor="text1"/>
          <w:sz w:val="20"/>
          <w:szCs w:val="20"/>
        </w:rPr>
        <w:t>the</w:t>
      </w:r>
      <w:r w:rsidR="00FF41A0">
        <w:rPr>
          <w:color w:val="000000" w:themeColor="text1"/>
          <w:sz w:val="20"/>
          <w:szCs w:val="20"/>
        </w:rPr>
        <w:t xml:space="preserve"> </w:t>
      </w:r>
      <w:r w:rsidR="00F11B08" w:rsidRPr="0084424D">
        <w:rPr>
          <w:color w:val="000000" w:themeColor="text1"/>
          <w:sz w:val="20"/>
          <w:szCs w:val="20"/>
        </w:rPr>
        <w:t>representative</w:t>
      </w:r>
      <w:r w:rsidR="0084424D">
        <w:rPr>
          <w:color w:val="000000" w:themeColor="text1"/>
          <w:sz w:val="20"/>
          <w:szCs w:val="20"/>
        </w:rPr>
        <w:t>s</w:t>
      </w:r>
      <w:r w:rsidR="00FF41A0">
        <w:rPr>
          <w:color w:val="000000" w:themeColor="text1"/>
          <w:sz w:val="20"/>
          <w:szCs w:val="20"/>
        </w:rPr>
        <w:t xml:space="preserve"> </w:t>
      </w:r>
      <w:r w:rsidR="00F11B08" w:rsidRPr="0084424D">
        <w:rPr>
          <w:color w:val="000000" w:themeColor="text1"/>
          <w:sz w:val="20"/>
          <w:szCs w:val="20"/>
        </w:rPr>
        <w:t>of</w:t>
      </w:r>
      <w:r w:rsidR="00FF41A0">
        <w:rPr>
          <w:color w:val="000000" w:themeColor="text1"/>
          <w:sz w:val="20"/>
          <w:szCs w:val="20"/>
        </w:rPr>
        <w:t xml:space="preserve"> </w:t>
      </w:r>
      <w:r w:rsidR="00203EF5">
        <w:rPr>
          <w:color w:val="000000" w:themeColor="text1"/>
          <w:sz w:val="20"/>
          <w:szCs w:val="20"/>
        </w:rPr>
        <w:t>Bangladesh,</w:t>
      </w:r>
      <w:r w:rsidR="00FF41A0">
        <w:rPr>
          <w:color w:val="000000" w:themeColor="text1"/>
          <w:sz w:val="20"/>
          <w:szCs w:val="20"/>
        </w:rPr>
        <w:t xml:space="preserve"> </w:t>
      </w:r>
      <w:r w:rsidR="0084424D" w:rsidRPr="0084424D">
        <w:rPr>
          <w:color w:val="000000" w:themeColor="text1"/>
          <w:sz w:val="20"/>
          <w:szCs w:val="20"/>
        </w:rPr>
        <w:t>China</w:t>
      </w:r>
      <w:r w:rsidR="0084424D">
        <w:rPr>
          <w:color w:val="000000" w:themeColor="text1"/>
          <w:sz w:val="20"/>
          <w:szCs w:val="20"/>
        </w:rPr>
        <w:t>,</w:t>
      </w:r>
      <w:r w:rsidR="00FF41A0">
        <w:rPr>
          <w:color w:val="000000" w:themeColor="text1"/>
          <w:sz w:val="20"/>
          <w:szCs w:val="20"/>
        </w:rPr>
        <w:t xml:space="preserve"> </w:t>
      </w:r>
      <w:r w:rsidR="0084424D" w:rsidRPr="0084424D">
        <w:rPr>
          <w:color w:val="000000" w:themeColor="text1"/>
          <w:sz w:val="20"/>
          <w:szCs w:val="20"/>
        </w:rPr>
        <w:t>Ecuador</w:t>
      </w:r>
      <w:r w:rsidR="0084424D">
        <w:rPr>
          <w:color w:val="000000" w:themeColor="text1"/>
          <w:sz w:val="20"/>
          <w:szCs w:val="20"/>
        </w:rPr>
        <w:t>,</w:t>
      </w:r>
      <w:r w:rsidR="00FF41A0">
        <w:rPr>
          <w:color w:val="000000" w:themeColor="text1"/>
          <w:sz w:val="20"/>
          <w:szCs w:val="20"/>
        </w:rPr>
        <w:t xml:space="preserve"> </w:t>
      </w:r>
      <w:r w:rsidR="0084424D">
        <w:rPr>
          <w:color w:val="000000" w:themeColor="text1"/>
          <w:sz w:val="20"/>
          <w:szCs w:val="20"/>
        </w:rPr>
        <w:t>the</w:t>
      </w:r>
      <w:r w:rsidR="00FF41A0">
        <w:rPr>
          <w:color w:val="000000" w:themeColor="text1"/>
          <w:sz w:val="20"/>
          <w:szCs w:val="20"/>
        </w:rPr>
        <w:t xml:space="preserve"> </w:t>
      </w:r>
      <w:r w:rsidR="0084424D" w:rsidRPr="0084424D">
        <w:rPr>
          <w:color w:val="000000" w:themeColor="text1"/>
          <w:sz w:val="20"/>
          <w:szCs w:val="20"/>
        </w:rPr>
        <w:t>Lao</w:t>
      </w:r>
      <w:r w:rsidR="00FF41A0">
        <w:rPr>
          <w:color w:val="000000" w:themeColor="text1"/>
          <w:sz w:val="20"/>
          <w:szCs w:val="20"/>
        </w:rPr>
        <w:t xml:space="preserve"> </w:t>
      </w:r>
      <w:r w:rsidR="0084424D" w:rsidRPr="0084424D">
        <w:rPr>
          <w:color w:val="000000" w:themeColor="text1"/>
          <w:sz w:val="20"/>
          <w:szCs w:val="20"/>
        </w:rPr>
        <w:t>People</w:t>
      </w:r>
      <w:r w:rsidR="00D72627">
        <w:rPr>
          <w:color w:val="000000" w:themeColor="text1"/>
          <w:sz w:val="20"/>
          <w:szCs w:val="20"/>
        </w:rPr>
        <w:t>’</w:t>
      </w:r>
      <w:r w:rsidR="0084424D" w:rsidRPr="0084424D">
        <w:rPr>
          <w:color w:val="000000" w:themeColor="text1"/>
          <w:sz w:val="20"/>
          <w:szCs w:val="20"/>
        </w:rPr>
        <w:t>s</w:t>
      </w:r>
      <w:r w:rsidR="00FF41A0">
        <w:rPr>
          <w:color w:val="000000" w:themeColor="text1"/>
          <w:sz w:val="20"/>
          <w:szCs w:val="20"/>
        </w:rPr>
        <w:t xml:space="preserve"> </w:t>
      </w:r>
      <w:r w:rsidR="0084424D" w:rsidRPr="0084424D">
        <w:rPr>
          <w:color w:val="000000" w:themeColor="text1"/>
          <w:sz w:val="20"/>
          <w:szCs w:val="20"/>
        </w:rPr>
        <w:t>Democratic</w:t>
      </w:r>
      <w:r w:rsidR="00FF41A0">
        <w:rPr>
          <w:color w:val="000000" w:themeColor="text1"/>
          <w:sz w:val="20"/>
          <w:szCs w:val="20"/>
        </w:rPr>
        <w:t xml:space="preserve"> </w:t>
      </w:r>
      <w:r w:rsidR="0084424D" w:rsidRPr="0084424D">
        <w:rPr>
          <w:color w:val="000000" w:themeColor="text1"/>
          <w:sz w:val="20"/>
          <w:szCs w:val="20"/>
        </w:rPr>
        <w:t>Republic</w:t>
      </w:r>
      <w:r w:rsidR="0084424D">
        <w:rPr>
          <w:color w:val="000000" w:themeColor="text1"/>
          <w:sz w:val="20"/>
          <w:szCs w:val="20"/>
        </w:rPr>
        <w:t>,</w:t>
      </w:r>
      <w:r w:rsidR="00FF41A0">
        <w:rPr>
          <w:color w:val="000000" w:themeColor="text1"/>
          <w:sz w:val="20"/>
          <w:szCs w:val="20"/>
        </w:rPr>
        <w:t xml:space="preserve"> </w:t>
      </w:r>
      <w:r w:rsidR="0084424D" w:rsidRPr="0084424D">
        <w:rPr>
          <w:color w:val="000000" w:themeColor="text1"/>
          <w:sz w:val="20"/>
          <w:szCs w:val="20"/>
        </w:rPr>
        <w:t>Latvia</w:t>
      </w:r>
      <w:r w:rsidR="00FF41A0">
        <w:rPr>
          <w:color w:val="000000" w:themeColor="text1"/>
          <w:sz w:val="20"/>
          <w:szCs w:val="20"/>
        </w:rPr>
        <w:t xml:space="preserve"> </w:t>
      </w:r>
      <w:r w:rsidR="0084424D">
        <w:rPr>
          <w:color w:val="000000" w:themeColor="text1"/>
          <w:sz w:val="20"/>
          <w:szCs w:val="20"/>
        </w:rPr>
        <w:t>and</w:t>
      </w:r>
      <w:r w:rsidR="00FF41A0">
        <w:rPr>
          <w:color w:val="000000" w:themeColor="text1"/>
          <w:sz w:val="20"/>
          <w:szCs w:val="20"/>
        </w:rPr>
        <w:t xml:space="preserve"> </w:t>
      </w:r>
      <w:r w:rsidR="0084424D" w:rsidRPr="0084424D">
        <w:rPr>
          <w:color w:val="000000" w:themeColor="text1"/>
          <w:sz w:val="20"/>
          <w:szCs w:val="20"/>
        </w:rPr>
        <w:t>Myanmar</w:t>
      </w:r>
      <w:r w:rsidR="00F11B08" w:rsidRPr="0084424D">
        <w:rPr>
          <w:color w:val="000000" w:themeColor="text1"/>
          <w:sz w:val="20"/>
          <w:szCs w:val="20"/>
        </w:rPr>
        <w:t>.</w:t>
      </w:r>
    </w:p>
    <w:p w14:paraId="2EA58DC0" w14:textId="5A7FFCD0" w:rsidR="00F11B08" w:rsidRPr="00C16037" w:rsidRDefault="00F11B08" w:rsidP="001A7753">
      <w:pPr>
        <w:pStyle w:val="H1G"/>
        <w:rPr>
          <w:color w:val="000000" w:themeColor="text1"/>
        </w:rPr>
      </w:pPr>
      <w:r w:rsidRPr="00C16037">
        <w:rPr>
          <w:color w:val="000000" w:themeColor="text1"/>
        </w:rPr>
        <w:tab/>
        <w:t>C.</w:t>
      </w:r>
      <w:r w:rsidRPr="00C16037">
        <w:rPr>
          <w:color w:val="000000" w:themeColor="text1"/>
        </w:rPr>
        <w:tab/>
        <w:t>Consideration</w:t>
      </w:r>
      <w:r w:rsidR="00FF41A0">
        <w:rPr>
          <w:color w:val="000000" w:themeColor="text1"/>
        </w:rPr>
        <w:t xml:space="preserve"> </w:t>
      </w:r>
      <w:r w:rsidRPr="00C16037">
        <w:rPr>
          <w:color w:val="000000" w:themeColor="text1"/>
        </w:rPr>
        <w:t>of</w:t>
      </w:r>
      <w:r w:rsidR="00FF41A0">
        <w:rPr>
          <w:color w:val="000000" w:themeColor="text1"/>
        </w:rPr>
        <w:t xml:space="preserve"> </w:t>
      </w:r>
      <w:r w:rsidRPr="00C16037">
        <w:rPr>
          <w:color w:val="000000" w:themeColor="text1"/>
        </w:rPr>
        <w:t>and</w:t>
      </w:r>
      <w:r w:rsidR="00FF41A0">
        <w:rPr>
          <w:color w:val="000000" w:themeColor="text1"/>
        </w:rPr>
        <w:t xml:space="preserve"> </w:t>
      </w:r>
      <w:r w:rsidRPr="00C16037">
        <w:rPr>
          <w:color w:val="000000" w:themeColor="text1"/>
        </w:rPr>
        <w:t>action</w:t>
      </w:r>
      <w:r w:rsidR="00FF41A0">
        <w:rPr>
          <w:color w:val="000000" w:themeColor="text1"/>
        </w:rPr>
        <w:t xml:space="preserve"> </w:t>
      </w:r>
      <w:r w:rsidRPr="00C16037">
        <w:rPr>
          <w:color w:val="000000" w:themeColor="text1"/>
        </w:rPr>
        <w:t>on</w:t>
      </w:r>
      <w:r w:rsidR="00FF41A0">
        <w:rPr>
          <w:color w:val="000000" w:themeColor="text1"/>
        </w:rPr>
        <w:t xml:space="preserve"> </w:t>
      </w:r>
      <w:r w:rsidRPr="00C16037">
        <w:rPr>
          <w:color w:val="000000" w:themeColor="text1"/>
        </w:rPr>
        <w:t>draft</w:t>
      </w:r>
      <w:r w:rsidR="00FF41A0">
        <w:rPr>
          <w:color w:val="000000" w:themeColor="text1"/>
        </w:rPr>
        <w:t xml:space="preserve"> </w:t>
      </w:r>
      <w:r w:rsidRPr="00C16037">
        <w:rPr>
          <w:color w:val="000000" w:themeColor="text1"/>
        </w:rPr>
        <w:t>proposals</w:t>
      </w:r>
    </w:p>
    <w:p w14:paraId="6F420372" w14:textId="356BAE49" w:rsidR="00A95E5A" w:rsidRDefault="00A95E5A" w:rsidP="00A95E5A">
      <w:pPr>
        <w:pStyle w:val="SingleTxtG"/>
        <w:rPr>
          <w:b/>
          <w:sz w:val="20"/>
          <w:szCs w:val="20"/>
        </w:rPr>
      </w:pPr>
      <w:r w:rsidRPr="00A95E5A">
        <w:rPr>
          <w:b/>
          <w:sz w:val="20"/>
          <w:szCs w:val="20"/>
        </w:rPr>
        <w:t>Combating intolerance, negative stereotyping and stigmatization of, and discrimination, incitement to violence and violence against, persons based on religion or belief</w:t>
      </w:r>
    </w:p>
    <w:p w14:paraId="528B201A" w14:textId="624F155B" w:rsidR="00A95E5A" w:rsidRDefault="00CF15B1" w:rsidP="00A95E5A">
      <w:pPr>
        <w:pStyle w:val="SingleTxtG"/>
        <w:rPr>
          <w:sz w:val="20"/>
          <w:szCs w:val="20"/>
        </w:rPr>
      </w:pPr>
      <w:r>
        <w:rPr>
          <w:sz w:val="20"/>
          <w:szCs w:val="20"/>
        </w:rPr>
        <w:t>966</w:t>
      </w:r>
      <w:r w:rsidR="00A95E5A" w:rsidRPr="00326BEB">
        <w:rPr>
          <w:sz w:val="20"/>
          <w:szCs w:val="20"/>
        </w:rPr>
        <w:t>.</w:t>
      </w:r>
      <w:r w:rsidR="00A95E5A" w:rsidRPr="00326BEB">
        <w:rPr>
          <w:sz w:val="20"/>
          <w:szCs w:val="20"/>
        </w:rPr>
        <w:tab/>
        <w:t xml:space="preserve">At the </w:t>
      </w:r>
      <w:r w:rsidR="00A95E5A">
        <w:rPr>
          <w:sz w:val="20"/>
          <w:szCs w:val="20"/>
        </w:rPr>
        <w:t>55th</w:t>
      </w:r>
      <w:r w:rsidR="00A95E5A" w:rsidRPr="00326BEB">
        <w:rPr>
          <w:sz w:val="20"/>
          <w:szCs w:val="20"/>
        </w:rPr>
        <w:t xml:space="preserve"> meeting, on </w:t>
      </w:r>
      <w:r w:rsidR="00A95E5A">
        <w:rPr>
          <w:sz w:val="20"/>
          <w:szCs w:val="20"/>
        </w:rPr>
        <w:t>22 March 2019</w:t>
      </w:r>
      <w:r w:rsidR="00A95E5A" w:rsidRPr="00326BEB">
        <w:rPr>
          <w:sz w:val="20"/>
          <w:szCs w:val="20"/>
        </w:rPr>
        <w:t xml:space="preserve">, the representative of </w:t>
      </w:r>
      <w:r w:rsidR="00A95E5A" w:rsidRPr="00A95E5A">
        <w:rPr>
          <w:sz w:val="20"/>
          <w:szCs w:val="20"/>
        </w:rPr>
        <w:t>Pakistan (on behalf of the Organization of Islamic Cooperation)</w:t>
      </w:r>
      <w:r w:rsidR="00A95E5A">
        <w:rPr>
          <w:sz w:val="20"/>
          <w:szCs w:val="20"/>
        </w:rPr>
        <w:t xml:space="preserve"> </w:t>
      </w:r>
      <w:r w:rsidR="00A95E5A" w:rsidRPr="00326BEB">
        <w:rPr>
          <w:sz w:val="20"/>
          <w:szCs w:val="20"/>
        </w:rPr>
        <w:t>introduced draft resolution A/HRC/</w:t>
      </w:r>
      <w:r w:rsidR="00A95E5A">
        <w:rPr>
          <w:sz w:val="20"/>
          <w:szCs w:val="20"/>
        </w:rPr>
        <w:t>40</w:t>
      </w:r>
      <w:r w:rsidR="00A95E5A" w:rsidRPr="00326BEB">
        <w:rPr>
          <w:sz w:val="20"/>
          <w:szCs w:val="20"/>
        </w:rPr>
        <w:t>/L.</w:t>
      </w:r>
      <w:r w:rsidR="00A95E5A">
        <w:rPr>
          <w:sz w:val="20"/>
          <w:szCs w:val="20"/>
        </w:rPr>
        <w:t>3</w:t>
      </w:r>
      <w:r w:rsidR="00A95E5A" w:rsidRPr="00326BEB">
        <w:rPr>
          <w:sz w:val="20"/>
          <w:szCs w:val="20"/>
        </w:rPr>
        <w:t xml:space="preserve">, sponsored by </w:t>
      </w:r>
      <w:r w:rsidR="00A95E5A" w:rsidRPr="00A95E5A">
        <w:rPr>
          <w:sz w:val="20"/>
          <w:szCs w:val="20"/>
        </w:rPr>
        <w:t>Pakistan (on behalf of the Organization of Islamic Cooperation)</w:t>
      </w:r>
      <w:r w:rsidR="00A95E5A" w:rsidRPr="00326BEB">
        <w:rPr>
          <w:sz w:val="20"/>
          <w:szCs w:val="20"/>
        </w:rPr>
        <w:t xml:space="preserve">. Subsequently, </w:t>
      </w:r>
      <w:r w:rsidR="00A95E5A" w:rsidRPr="00A95E5A">
        <w:rPr>
          <w:sz w:val="20"/>
          <w:szCs w:val="20"/>
        </w:rPr>
        <w:t>Australia</w:t>
      </w:r>
      <w:r w:rsidR="00A95E5A">
        <w:rPr>
          <w:sz w:val="20"/>
          <w:szCs w:val="20"/>
        </w:rPr>
        <w:t xml:space="preserve">, </w:t>
      </w:r>
      <w:r w:rsidR="00A95E5A" w:rsidRPr="00A95E5A">
        <w:rPr>
          <w:sz w:val="20"/>
          <w:szCs w:val="20"/>
        </w:rPr>
        <w:t>Bahrain (on behalf of the Group of Arab States)</w:t>
      </w:r>
      <w:r w:rsidR="00A95E5A">
        <w:rPr>
          <w:sz w:val="20"/>
          <w:szCs w:val="20"/>
        </w:rPr>
        <w:t xml:space="preserve">, </w:t>
      </w:r>
      <w:r w:rsidR="00A95E5A" w:rsidRPr="00A95E5A">
        <w:rPr>
          <w:sz w:val="20"/>
          <w:szCs w:val="20"/>
        </w:rPr>
        <w:t>Bolivia (Plurinational State of)</w:t>
      </w:r>
      <w:r w:rsidR="00A95E5A">
        <w:rPr>
          <w:sz w:val="20"/>
          <w:szCs w:val="20"/>
        </w:rPr>
        <w:t xml:space="preserve">, </w:t>
      </w:r>
      <w:r w:rsidR="00A95E5A" w:rsidRPr="00A95E5A">
        <w:rPr>
          <w:sz w:val="20"/>
          <w:szCs w:val="20"/>
        </w:rPr>
        <w:t>Canada</w:t>
      </w:r>
      <w:r w:rsidR="00A95E5A">
        <w:rPr>
          <w:sz w:val="20"/>
          <w:szCs w:val="20"/>
        </w:rPr>
        <w:t xml:space="preserve">, </w:t>
      </w:r>
      <w:r w:rsidR="00A95E5A" w:rsidRPr="00A95E5A">
        <w:rPr>
          <w:sz w:val="20"/>
          <w:szCs w:val="20"/>
        </w:rPr>
        <w:t>Ecuador</w:t>
      </w:r>
      <w:r w:rsidR="00A95E5A">
        <w:rPr>
          <w:sz w:val="20"/>
          <w:szCs w:val="20"/>
        </w:rPr>
        <w:t xml:space="preserve">, Fiji, the </w:t>
      </w:r>
      <w:r w:rsidR="00A95E5A" w:rsidRPr="00A95E5A">
        <w:rPr>
          <w:sz w:val="20"/>
          <w:szCs w:val="20"/>
        </w:rPr>
        <w:t>Philippines</w:t>
      </w:r>
      <w:r w:rsidR="00A95E5A">
        <w:rPr>
          <w:sz w:val="20"/>
          <w:szCs w:val="20"/>
        </w:rPr>
        <w:t xml:space="preserve">, </w:t>
      </w:r>
      <w:r w:rsidR="00A95E5A" w:rsidRPr="00A95E5A">
        <w:rPr>
          <w:sz w:val="20"/>
          <w:szCs w:val="20"/>
        </w:rPr>
        <w:t>Thailand</w:t>
      </w:r>
      <w:r w:rsidR="00A95E5A">
        <w:rPr>
          <w:sz w:val="20"/>
          <w:szCs w:val="20"/>
        </w:rPr>
        <w:t xml:space="preserve">, </w:t>
      </w:r>
      <w:r w:rsidR="00A95E5A" w:rsidRPr="00A95E5A">
        <w:rPr>
          <w:sz w:val="20"/>
          <w:szCs w:val="20"/>
        </w:rPr>
        <w:t>Uruguay</w:t>
      </w:r>
      <w:r w:rsidR="00A95E5A">
        <w:rPr>
          <w:sz w:val="20"/>
          <w:szCs w:val="20"/>
        </w:rPr>
        <w:t xml:space="preserve"> and </w:t>
      </w:r>
      <w:r w:rsidR="00A95E5A" w:rsidRPr="00A95E5A">
        <w:rPr>
          <w:sz w:val="20"/>
          <w:szCs w:val="20"/>
        </w:rPr>
        <w:t>Venezuela (Bolivarian Republic of)</w:t>
      </w:r>
      <w:r w:rsidR="00A95E5A">
        <w:rPr>
          <w:sz w:val="20"/>
          <w:szCs w:val="20"/>
        </w:rPr>
        <w:t xml:space="preserve"> </w:t>
      </w:r>
      <w:r w:rsidR="00A95E5A" w:rsidRPr="00326BEB">
        <w:rPr>
          <w:sz w:val="20"/>
          <w:szCs w:val="20"/>
        </w:rPr>
        <w:t>joined the sponsors.</w:t>
      </w:r>
    </w:p>
    <w:p w14:paraId="3E5B70AB" w14:textId="76D16431" w:rsidR="00A95E5A" w:rsidRDefault="00CF15B1" w:rsidP="00A95E5A">
      <w:pPr>
        <w:spacing w:after="120"/>
        <w:ind w:left="1134" w:right="1134"/>
        <w:jc w:val="both"/>
        <w:rPr>
          <w:sz w:val="20"/>
          <w:szCs w:val="20"/>
        </w:rPr>
      </w:pPr>
      <w:r>
        <w:rPr>
          <w:sz w:val="20"/>
          <w:szCs w:val="20"/>
        </w:rPr>
        <w:t>967</w:t>
      </w:r>
      <w:r w:rsidR="00A95E5A" w:rsidRPr="00E86201">
        <w:rPr>
          <w:sz w:val="20"/>
          <w:szCs w:val="20"/>
        </w:rPr>
        <w:t>.</w:t>
      </w:r>
      <w:r w:rsidR="00A95E5A" w:rsidRPr="00E86201">
        <w:rPr>
          <w:sz w:val="20"/>
          <w:szCs w:val="20"/>
        </w:rPr>
        <w:tab/>
        <w:t>At the same meeting, the representative</w:t>
      </w:r>
      <w:r w:rsidR="00A95E5A">
        <w:rPr>
          <w:sz w:val="20"/>
          <w:szCs w:val="20"/>
        </w:rPr>
        <w:t>s</w:t>
      </w:r>
      <w:r w:rsidR="00A95E5A" w:rsidRPr="00E86201">
        <w:rPr>
          <w:sz w:val="20"/>
          <w:szCs w:val="20"/>
        </w:rPr>
        <w:t xml:space="preserve"> of </w:t>
      </w:r>
      <w:r w:rsidR="00A95E5A" w:rsidRPr="00E51A54">
        <w:rPr>
          <w:sz w:val="20"/>
          <w:szCs w:val="20"/>
        </w:rPr>
        <w:t>Bulgaria (</w:t>
      </w:r>
      <w:r w:rsidR="00A95E5A" w:rsidRPr="00157757">
        <w:rPr>
          <w:sz w:val="20"/>
          <w:szCs w:val="20"/>
        </w:rPr>
        <w:t>on behalf of States members of the European Union that are members of the Council</w:t>
      </w:r>
      <w:r w:rsidR="00A95E5A" w:rsidRPr="00E51A54">
        <w:rPr>
          <w:sz w:val="20"/>
          <w:szCs w:val="20"/>
        </w:rPr>
        <w:t xml:space="preserve">), </w:t>
      </w:r>
      <w:r w:rsidR="00993753" w:rsidRPr="00993753">
        <w:rPr>
          <w:sz w:val="20"/>
          <w:szCs w:val="20"/>
        </w:rPr>
        <w:t xml:space="preserve">Tunisia and </w:t>
      </w:r>
      <w:r w:rsidR="00993753">
        <w:rPr>
          <w:sz w:val="20"/>
          <w:szCs w:val="20"/>
        </w:rPr>
        <w:t xml:space="preserve">the </w:t>
      </w:r>
      <w:r w:rsidR="00993753" w:rsidRPr="00993753">
        <w:rPr>
          <w:sz w:val="20"/>
          <w:szCs w:val="20"/>
        </w:rPr>
        <w:t>United Kingdom of Great Britain and Northern Ireland</w:t>
      </w:r>
      <w:r w:rsidR="00993753">
        <w:rPr>
          <w:sz w:val="20"/>
          <w:szCs w:val="20"/>
        </w:rPr>
        <w:t xml:space="preserve"> </w:t>
      </w:r>
      <w:r w:rsidR="00A95E5A" w:rsidRPr="00E86201">
        <w:rPr>
          <w:sz w:val="20"/>
          <w:szCs w:val="20"/>
        </w:rPr>
        <w:t>made general comments on the draft resolution.</w:t>
      </w:r>
    </w:p>
    <w:p w14:paraId="03BA14CA" w14:textId="6EAEE8A8" w:rsidR="00993753" w:rsidRPr="00326BEB" w:rsidRDefault="00CF15B1" w:rsidP="00993753">
      <w:pPr>
        <w:spacing w:after="120"/>
        <w:ind w:left="1134" w:right="1134"/>
        <w:jc w:val="both"/>
        <w:rPr>
          <w:sz w:val="20"/>
          <w:szCs w:val="20"/>
        </w:rPr>
      </w:pPr>
      <w:r>
        <w:rPr>
          <w:sz w:val="20"/>
          <w:szCs w:val="20"/>
        </w:rPr>
        <w:t>968</w:t>
      </w:r>
      <w:r w:rsidR="00993753" w:rsidRPr="00326BEB">
        <w:rPr>
          <w:sz w:val="20"/>
          <w:szCs w:val="20"/>
        </w:rPr>
        <w:t>.</w:t>
      </w:r>
      <w:r w:rsidR="00993753" w:rsidRPr="00326BEB">
        <w:rPr>
          <w:sz w:val="20"/>
          <w:szCs w:val="20"/>
        </w:rPr>
        <w:tab/>
        <w:t>In accordance with rule 153 of the rules of procedure of the General Assembly, the attention of the Human Rights Council was drawn to the estimated administrative and programme budget implications of the draft resolution.</w:t>
      </w:r>
    </w:p>
    <w:p w14:paraId="54FE2730" w14:textId="375923C2" w:rsidR="00A95E5A" w:rsidRDefault="00CF15B1" w:rsidP="00A95E5A">
      <w:pPr>
        <w:pStyle w:val="SingleTxtG"/>
        <w:rPr>
          <w:rFonts w:eastAsia="SimSun"/>
          <w:sz w:val="20"/>
          <w:szCs w:val="20"/>
          <w:lang w:eastAsia="ar-SA"/>
        </w:rPr>
      </w:pPr>
      <w:r>
        <w:rPr>
          <w:rFonts w:eastAsia="SimSun"/>
          <w:sz w:val="20"/>
          <w:szCs w:val="20"/>
          <w:lang w:eastAsia="ar-SA"/>
        </w:rPr>
        <w:lastRenderedPageBreak/>
        <w:t>969</w:t>
      </w:r>
      <w:r w:rsidR="00A95E5A" w:rsidRPr="00326BEB">
        <w:rPr>
          <w:rFonts w:eastAsia="SimSun"/>
          <w:sz w:val="20"/>
          <w:szCs w:val="20"/>
          <w:lang w:eastAsia="ar-SA"/>
        </w:rPr>
        <w:t>.</w:t>
      </w:r>
      <w:r w:rsidR="00A95E5A" w:rsidRPr="00326BEB">
        <w:rPr>
          <w:rFonts w:eastAsia="SimSun"/>
          <w:sz w:val="20"/>
          <w:szCs w:val="20"/>
          <w:lang w:eastAsia="ar-SA"/>
        </w:rPr>
        <w:tab/>
        <w:t>A</w:t>
      </w:r>
      <w:r w:rsidR="00A95E5A">
        <w:rPr>
          <w:rFonts w:eastAsia="SimSun"/>
          <w:sz w:val="20"/>
          <w:szCs w:val="20"/>
          <w:lang w:eastAsia="ar-SA"/>
        </w:rPr>
        <w:t>lso a</w:t>
      </w:r>
      <w:r w:rsidR="00A95E5A" w:rsidRPr="00326BEB">
        <w:rPr>
          <w:rFonts w:eastAsia="SimSun"/>
          <w:sz w:val="20"/>
          <w:szCs w:val="20"/>
          <w:lang w:eastAsia="ar-SA"/>
        </w:rPr>
        <w:t xml:space="preserve">t the same meeting, the draft resolution was adopted without a vote (resolution </w:t>
      </w:r>
      <w:r w:rsidR="00A95E5A">
        <w:rPr>
          <w:rFonts w:eastAsia="SimSun"/>
          <w:sz w:val="20"/>
          <w:szCs w:val="20"/>
          <w:lang w:eastAsia="ar-SA"/>
        </w:rPr>
        <w:t>40</w:t>
      </w:r>
      <w:r w:rsidR="00A95E5A" w:rsidRPr="00326BEB">
        <w:rPr>
          <w:rFonts w:eastAsia="SimSun"/>
          <w:sz w:val="20"/>
          <w:szCs w:val="20"/>
          <w:lang w:eastAsia="ar-SA"/>
        </w:rPr>
        <w:t>/</w:t>
      </w:r>
      <w:r w:rsidR="00993753">
        <w:rPr>
          <w:rFonts w:eastAsia="SimSun"/>
          <w:sz w:val="20"/>
          <w:szCs w:val="20"/>
          <w:lang w:eastAsia="ar-SA"/>
        </w:rPr>
        <w:t>25</w:t>
      </w:r>
      <w:r w:rsidR="00A95E5A" w:rsidRPr="00326BEB">
        <w:rPr>
          <w:rFonts w:eastAsia="SimSun"/>
          <w:sz w:val="20"/>
          <w:szCs w:val="20"/>
          <w:lang w:eastAsia="ar-SA"/>
        </w:rPr>
        <w:t>).</w:t>
      </w:r>
    </w:p>
    <w:p w14:paraId="2EA58DE8" w14:textId="4D55D073" w:rsidR="00F11B08" w:rsidRDefault="00F11B08" w:rsidP="001A7753">
      <w:pPr>
        <w:pStyle w:val="HChG"/>
        <w:rPr>
          <w:color w:val="000000" w:themeColor="text1"/>
        </w:rPr>
      </w:pPr>
      <w:r w:rsidRPr="00113DE2">
        <w:rPr>
          <w:color w:val="000000" w:themeColor="text1"/>
          <w:sz w:val="20"/>
          <w:szCs w:val="20"/>
        </w:rPr>
        <w:br w:type="page"/>
      </w:r>
      <w:r w:rsidRPr="00C16037">
        <w:rPr>
          <w:color w:val="000000" w:themeColor="text1"/>
        </w:rPr>
        <w:lastRenderedPageBreak/>
        <w:tab/>
        <w:t>X.</w:t>
      </w:r>
      <w:r w:rsidRPr="00C16037">
        <w:rPr>
          <w:color w:val="000000" w:themeColor="text1"/>
        </w:rPr>
        <w:tab/>
        <w:t>Technical</w:t>
      </w:r>
      <w:r w:rsidR="00FF41A0">
        <w:rPr>
          <w:color w:val="000000" w:themeColor="text1"/>
        </w:rPr>
        <w:t xml:space="preserve"> </w:t>
      </w:r>
      <w:r w:rsidRPr="00C16037">
        <w:rPr>
          <w:color w:val="000000" w:themeColor="text1"/>
        </w:rPr>
        <w:t>assistance</w:t>
      </w:r>
      <w:r w:rsidR="00FF41A0">
        <w:rPr>
          <w:color w:val="000000" w:themeColor="text1"/>
        </w:rPr>
        <w:t xml:space="preserve"> </w:t>
      </w:r>
      <w:r w:rsidRPr="00C16037">
        <w:rPr>
          <w:color w:val="000000" w:themeColor="text1"/>
        </w:rPr>
        <w:t>and</w:t>
      </w:r>
      <w:r w:rsidR="00FF41A0">
        <w:rPr>
          <w:color w:val="000000" w:themeColor="text1"/>
        </w:rPr>
        <w:t xml:space="preserve"> </w:t>
      </w:r>
      <w:r w:rsidRPr="00C16037">
        <w:rPr>
          <w:color w:val="000000" w:themeColor="text1"/>
        </w:rPr>
        <w:t>capacity-building</w:t>
      </w:r>
    </w:p>
    <w:p w14:paraId="28E7DC07" w14:textId="32CF0DC9" w:rsidR="00985537" w:rsidRPr="00C16037" w:rsidRDefault="00985537" w:rsidP="00985537">
      <w:pPr>
        <w:pStyle w:val="H1G"/>
        <w:rPr>
          <w:color w:val="000000" w:themeColor="text1"/>
        </w:rPr>
      </w:pPr>
      <w:r>
        <w:rPr>
          <w:color w:val="000000" w:themeColor="text1"/>
        </w:rPr>
        <w:tab/>
      </w:r>
      <w:r w:rsidRPr="000F56AD">
        <w:rPr>
          <w:color w:val="000000" w:themeColor="text1"/>
        </w:rPr>
        <w:t>A.</w:t>
      </w:r>
      <w:r w:rsidRPr="000F56AD">
        <w:rPr>
          <w:color w:val="000000" w:themeColor="text1"/>
        </w:rPr>
        <w:tab/>
        <w:t>Enhanced</w:t>
      </w:r>
      <w:r w:rsidR="00FF41A0">
        <w:rPr>
          <w:color w:val="000000" w:themeColor="text1"/>
        </w:rPr>
        <w:t xml:space="preserve"> </w:t>
      </w:r>
      <w:r w:rsidRPr="000F56AD">
        <w:rPr>
          <w:color w:val="000000" w:themeColor="text1"/>
        </w:rPr>
        <w:t>interactive</w:t>
      </w:r>
      <w:r w:rsidR="00FF41A0">
        <w:rPr>
          <w:color w:val="000000" w:themeColor="text1"/>
        </w:rPr>
        <w:t xml:space="preserve"> </w:t>
      </w:r>
      <w:r w:rsidRPr="000F56AD">
        <w:rPr>
          <w:color w:val="000000" w:themeColor="text1"/>
        </w:rPr>
        <w:t>dialogue</w:t>
      </w:r>
      <w:r w:rsidR="00FF41A0">
        <w:rPr>
          <w:color w:val="000000" w:themeColor="text1"/>
        </w:rPr>
        <w:t xml:space="preserve"> </w:t>
      </w:r>
      <w:r w:rsidRPr="000F56AD">
        <w:rPr>
          <w:color w:val="000000" w:themeColor="text1"/>
        </w:rPr>
        <w:t>on</w:t>
      </w:r>
      <w:r w:rsidR="00FF41A0">
        <w:rPr>
          <w:color w:val="000000" w:themeColor="text1"/>
        </w:rPr>
        <w:t xml:space="preserve"> </w:t>
      </w:r>
      <w:r w:rsidRPr="000F56AD">
        <w:rPr>
          <w:color w:val="000000" w:themeColor="text1"/>
        </w:rPr>
        <w:t>the</w:t>
      </w:r>
      <w:r w:rsidR="00FF41A0">
        <w:rPr>
          <w:color w:val="000000" w:themeColor="text1"/>
        </w:rPr>
        <w:t xml:space="preserve"> </w:t>
      </w:r>
      <w:r w:rsidRPr="000F56AD">
        <w:rPr>
          <w:color w:val="000000" w:themeColor="text1"/>
        </w:rPr>
        <w:t>situation</w:t>
      </w:r>
      <w:r w:rsidR="00FF41A0">
        <w:rPr>
          <w:color w:val="000000" w:themeColor="text1"/>
        </w:rPr>
        <w:t xml:space="preserve"> </w:t>
      </w:r>
      <w:r w:rsidRPr="000F56AD">
        <w:rPr>
          <w:color w:val="000000" w:themeColor="text1"/>
        </w:rPr>
        <w:t>of</w:t>
      </w:r>
      <w:r w:rsidR="00FF41A0">
        <w:rPr>
          <w:color w:val="000000" w:themeColor="text1"/>
        </w:rPr>
        <w:t xml:space="preserve"> </w:t>
      </w:r>
      <w:r w:rsidRPr="000F56AD">
        <w:rPr>
          <w:color w:val="000000" w:themeColor="text1"/>
        </w:rPr>
        <w:t>human</w:t>
      </w:r>
      <w:r w:rsidR="00FF41A0">
        <w:rPr>
          <w:color w:val="000000" w:themeColor="text1"/>
        </w:rPr>
        <w:t xml:space="preserve"> </w:t>
      </w:r>
      <w:r w:rsidRPr="000F56AD">
        <w:rPr>
          <w:color w:val="000000" w:themeColor="text1"/>
        </w:rPr>
        <w:t>rights</w:t>
      </w:r>
      <w:r w:rsidR="00FF41A0">
        <w:rPr>
          <w:color w:val="000000" w:themeColor="text1"/>
        </w:rPr>
        <w:t xml:space="preserve"> </w:t>
      </w:r>
      <w:r w:rsidRPr="000F56AD">
        <w:rPr>
          <w:color w:val="000000" w:themeColor="text1"/>
        </w:rPr>
        <w:t>in</w:t>
      </w:r>
      <w:r w:rsidR="00FF41A0">
        <w:rPr>
          <w:color w:val="000000" w:themeColor="text1"/>
        </w:rPr>
        <w:t xml:space="preserve"> </w:t>
      </w:r>
      <w:r w:rsidRPr="000F56AD">
        <w:rPr>
          <w:color w:val="000000" w:themeColor="text1"/>
        </w:rPr>
        <w:t>the</w:t>
      </w:r>
      <w:r w:rsidR="00FF41A0">
        <w:rPr>
          <w:color w:val="000000" w:themeColor="text1"/>
        </w:rPr>
        <w:t xml:space="preserve"> </w:t>
      </w:r>
      <w:r w:rsidRPr="000F56AD">
        <w:rPr>
          <w:color w:val="000000" w:themeColor="text1"/>
        </w:rPr>
        <w:t>Democratic</w:t>
      </w:r>
      <w:r w:rsidR="00FF41A0">
        <w:rPr>
          <w:color w:val="000000" w:themeColor="text1"/>
        </w:rPr>
        <w:t xml:space="preserve"> </w:t>
      </w:r>
      <w:r w:rsidRPr="000F56AD">
        <w:rPr>
          <w:color w:val="000000" w:themeColor="text1"/>
        </w:rPr>
        <w:t>Republic</w:t>
      </w:r>
      <w:r w:rsidR="00FF41A0">
        <w:rPr>
          <w:color w:val="000000" w:themeColor="text1"/>
        </w:rPr>
        <w:t xml:space="preserve"> </w:t>
      </w:r>
      <w:r w:rsidRPr="000F56AD">
        <w:rPr>
          <w:color w:val="000000" w:themeColor="text1"/>
        </w:rPr>
        <w:t>of</w:t>
      </w:r>
      <w:r w:rsidR="00FF41A0">
        <w:rPr>
          <w:color w:val="000000" w:themeColor="text1"/>
        </w:rPr>
        <w:t xml:space="preserve"> </w:t>
      </w:r>
      <w:r w:rsidRPr="000F56AD">
        <w:rPr>
          <w:color w:val="000000" w:themeColor="text1"/>
        </w:rPr>
        <w:t>the</w:t>
      </w:r>
      <w:r w:rsidR="00FF41A0">
        <w:rPr>
          <w:color w:val="000000" w:themeColor="text1"/>
        </w:rPr>
        <w:t xml:space="preserve"> </w:t>
      </w:r>
      <w:r w:rsidRPr="000F56AD">
        <w:rPr>
          <w:color w:val="000000" w:themeColor="text1"/>
        </w:rPr>
        <w:t>Congo</w:t>
      </w:r>
    </w:p>
    <w:p w14:paraId="179F9FE4" w14:textId="10C11619" w:rsidR="00985537" w:rsidRDefault="00CF15B1" w:rsidP="00985537">
      <w:pPr>
        <w:pStyle w:val="SingleTxtG"/>
        <w:rPr>
          <w:color w:val="000000" w:themeColor="text1"/>
          <w:sz w:val="20"/>
          <w:szCs w:val="20"/>
        </w:rPr>
      </w:pPr>
      <w:r>
        <w:rPr>
          <w:color w:val="000000" w:themeColor="text1"/>
          <w:sz w:val="20"/>
          <w:szCs w:val="20"/>
        </w:rPr>
        <w:t>970</w:t>
      </w:r>
      <w:r w:rsidR="00985537" w:rsidRPr="00113DE2">
        <w:rPr>
          <w:color w:val="000000" w:themeColor="text1"/>
          <w:sz w:val="20"/>
          <w:szCs w:val="20"/>
        </w:rPr>
        <w:t>.</w:t>
      </w:r>
      <w:r w:rsidR="00985537" w:rsidRPr="00113DE2">
        <w:rPr>
          <w:color w:val="000000" w:themeColor="text1"/>
          <w:sz w:val="20"/>
          <w:szCs w:val="20"/>
        </w:rPr>
        <w:tab/>
        <w:t>At</w:t>
      </w:r>
      <w:r w:rsidR="00FF41A0">
        <w:rPr>
          <w:color w:val="000000" w:themeColor="text1"/>
          <w:sz w:val="20"/>
          <w:szCs w:val="20"/>
        </w:rPr>
        <w:t xml:space="preserve"> </w:t>
      </w:r>
      <w:r w:rsidR="00985537" w:rsidRPr="00113DE2">
        <w:rPr>
          <w:color w:val="000000" w:themeColor="text1"/>
          <w:sz w:val="20"/>
          <w:szCs w:val="20"/>
        </w:rPr>
        <w:t>the</w:t>
      </w:r>
      <w:r w:rsidR="00FF41A0">
        <w:rPr>
          <w:color w:val="000000" w:themeColor="text1"/>
          <w:sz w:val="20"/>
          <w:szCs w:val="20"/>
        </w:rPr>
        <w:t xml:space="preserve"> </w:t>
      </w:r>
      <w:r w:rsidR="00985537" w:rsidRPr="00113DE2">
        <w:rPr>
          <w:color w:val="000000" w:themeColor="text1"/>
          <w:sz w:val="20"/>
          <w:szCs w:val="20"/>
        </w:rPr>
        <w:t>4</w:t>
      </w:r>
      <w:r w:rsidR="00985537">
        <w:rPr>
          <w:color w:val="000000" w:themeColor="text1"/>
          <w:sz w:val="20"/>
          <w:szCs w:val="20"/>
        </w:rPr>
        <w:t>5</w:t>
      </w:r>
      <w:r w:rsidR="00985537" w:rsidRPr="00113DE2">
        <w:rPr>
          <w:color w:val="000000" w:themeColor="text1"/>
          <w:sz w:val="20"/>
          <w:szCs w:val="20"/>
        </w:rPr>
        <w:t>th</w:t>
      </w:r>
      <w:r w:rsidR="00FF41A0">
        <w:rPr>
          <w:color w:val="000000" w:themeColor="text1"/>
          <w:sz w:val="20"/>
          <w:szCs w:val="20"/>
        </w:rPr>
        <w:t xml:space="preserve"> </w:t>
      </w:r>
      <w:r w:rsidR="00985537" w:rsidRPr="00113DE2">
        <w:rPr>
          <w:color w:val="000000" w:themeColor="text1"/>
          <w:sz w:val="20"/>
          <w:szCs w:val="20"/>
        </w:rPr>
        <w:t>meeting,</w:t>
      </w:r>
      <w:r w:rsidR="00FF41A0">
        <w:rPr>
          <w:color w:val="000000" w:themeColor="text1"/>
          <w:sz w:val="20"/>
          <w:szCs w:val="20"/>
        </w:rPr>
        <w:t xml:space="preserve"> </w:t>
      </w:r>
      <w:r w:rsidR="00985537" w:rsidRPr="00113DE2">
        <w:rPr>
          <w:color w:val="000000" w:themeColor="text1"/>
          <w:sz w:val="20"/>
          <w:szCs w:val="20"/>
        </w:rPr>
        <w:t>on</w:t>
      </w:r>
      <w:r w:rsidR="00FF41A0">
        <w:rPr>
          <w:color w:val="000000" w:themeColor="text1"/>
          <w:sz w:val="20"/>
          <w:szCs w:val="20"/>
        </w:rPr>
        <w:t xml:space="preserve"> </w:t>
      </w:r>
      <w:r w:rsidR="00985537">
        <w:rPr>
          <w:color w:val="000000" w:themeColor="text1"/>
          <w:sz w:val="20"/>
          <w:szCs w:val="20"/>
        </w:rPr>
        <w:t>19</w:t>
      </w:r>
      <w:r w:rsidR="00FF41A0">
        <w:rPr>
          <w:color w:val="000000" w:themeColor="text1"/>
          <w:sz w:val="20"/>
          <w:szCs w:val="20"/>
        </w:rPr>
        <w:t xml:space="preserve"> </w:t>
      </w:r>
      <w:r w:rsidR="00985537" w:rsidRPr="00113DE2">
        <w:rPr>
          <w:color w:val="000000" w:themeColor="text1"/>
          <w:sz w:val="20"/>
          <w:szCs w:val="20"/>
        </w:rPr>
        <w:t>March</w:t>
      </w:r>
      <w:r w:rsidR="00FF41A0">
        <w:rPr>
          <w:color w:val="000000" w:themeColor="text1"/>
          <w:sz w:val="20"/>
          <w:szCs w:val="20"/>
        </w:rPr>
        <w:t xml:space="preserve"> </w:t>
      </w:r>
      <w:r w:rsidR="00985537">
        <w:rPr>
          <w:color w:val="000000" w:themeColor="text1"/>
          <w:sz w:val="20"/>
          <w:szCs w:val="20"/>
        </w:rPr>
        <w:t>2019</w:t>
      </w:r>
      <w:r w:rsidR="00985537" w:rsidRPr="00113DE2">
        <w:rPr>
          <w:color w:val="000000" w:themeColor="text1"/>
          <w:sz w:val="20"/>
          <w:szCs w:val="20"/>
        </w:rPr>
        <w:t>,</w:t>
      </w:r>
      <w:r w:rsidR="00FF41A0">
        <w:rPr>
          <w:color w:val="000000" w:themeColor="text1"/>
          <w:sz w:val="20"/>
          <w:szCs w:val="20"/>
        </w:rPr>
        <w:t xml:space="preserve"> </w:t>
      </w:r>
      <w:r w:rsidR="00985537" w:rsidRPr="00113DE2">
        <w:rPr>
          <w:color w:val="000000" w:themeColor="text1"/>
          <w:sz w:val="20"/>
          <w:szCs w:val="20"/>
        </w:rPr>
        <w:t>pursuant</w:t>
      </w:r>
      <w:r w:rsidR="00FF41A0">
        <w:rPr>
          <w:color w:val="000000" w:themeColor="text1"/>
          <w:sz w:val="20"/>
          <w:szCs w:val="20"/>
        </w:rPr>
        <w:t xml:space="preserve"> </w:t>
      </w:r>
      <w:r w:rsidR="00985537" w:rsidRPr="00113DE2">
        <w:rPr>
          <w:color w:val="000000" w:themeColor="text1"/>
          <w:sz w:val="20"/>
          <w:szCs w:val="20"/>
        </w:rPr>
        <w:t>to</w:t>
      </w:r>
      <w:r w:rsidR="00FF41A0">
        <w:rPr>
          <w:color w:val="000000" w:themeColor="text1"/>
          <w:sz w:val="20"/>
          <w:szCs w:val="20"/>
        </w:rPr>
        <w:t xml:space="preserve"> </w:t>
      </w:r>
      <w:r w:rsidR="00985537" w:rsidRPr="00113DE2">
        <w:rPr>
          <w:color w:val="000000" w:themeColor="text1"/>
          <w:sz w:val="20"/>
          <w:szCs w:val="20"/>
        </w:rPr>
        <w:t>Human</w:t>
      </w:r>
      <w:r w:rsidR="00FF41A0">
        <w:rPr>
          <w:color w:val="000000" w:themeColor="text1"/>
          <w:sz w:val="20"/>
          <w:szCs w:val="20"/>
        </w:rPr>
        <w:t xml:space="preserve"> </w:t>
      </w:r>
      <w:r w:rsidR="00985537" w:rsidRPr="00113DE2">
        <w:rPr>
          <w:color w:val="000000" w:themeColor="text1"/>
          <w:sz w:val="20"/>
          <w:szCs w:val="20"/>
        </w:rPr>
        <w:t>Rights</w:t>
      </w:r>
      <w:r w:rsidR="00FF41A0">
        <w:rPr>
          <w:color w:val="000000" w:themeColor="text1"/>
          <w:sz w:val="20"/>
          <w:szCs w:val="20"/>
        </w:rPr>
        <w:t xml:space="preserve"> </w:t>
      </w:r>
      <w:r w:rsidR="00985537" w:rsidRPr="00113DE2">
        <w:rPr>
          <w:color w:val="000000" w:themeColor="text1"/>
          <w:sz w:val="20"/>
          <w:szCs w:val="20"/>
        </w:rPr>
        <w:t>Council</w:t>
      </w:r>
      <w:r w:rsidR="00FF41A0">
        <w:rPr>
          <w:color w:val="000000" w:themeColor="text1"/>
          <w:sz w:val="20"/>
          <w:szCs w:val="20"/>
        </w:rPr>
        <w:t xml:space="preserve"> </w:t>
      </w:r>
      <w:r w:rsidR="00985537" w:rsidRPr="00113DE2">
        <w:rPr>
          <w:color w:val="000000" w:themeColor="text1"/>
          <w:sz w:val="20"/>
          <w:szCs w:val="20"/>
        </w:rPr>
        <w:t>resolution</w:t>
      </w:r>
      <w:r w:rsidR="00FF41A0">
        <w:rPr>
          <w:color w:val="000000" w:themeColor="text1"/>
          <w:sz w:val="20"/>
          <w:szCs w:val="20"/>
        </w:rPr>
        <w:t xml:space="preserve"> </w:t>
      </w:r>
      <w:r w:rsidR="00985537">
        <w:rPr>
          <w:color w:val="000000" w:themeColor="text1"/>
          <w:kern w:val="1"/>
          <w:sz w:val="20"/>
          <w:szCs w:val="20"/>
          <w:lang w:eastAsia="hi-IN" w:bidi="hi-IN"/>
        </w:rPr>
        <w:t>38/20</w:t>
      </w:r>
      <w:r w:rsidR="00985537" w:rsidRPr="00113DE2">
        <w:rPr>
          <w:color w:val="000000" w:themeColor="text1"/>
          <w:sz w:val="20"/>
          <w:szCs w:val="20"/>
        </w:rPr>
        <w:t>,</w:t>
      </w:r>
      <w:r w:rsidR="00FF41A0">
        <w:rPr>
          <w:color w:val="000000" w:themeColor="text1"/>
          <w:sz w:val="20"/>
          <w:szCs w:val="20"/>
        </w:rPr>
        <w:t xml:space="preserve"> </w:t>
      </w:r>
      <w:r w:rsidR="00985537" w:rsidRPr="00113DE2">
        <w:rPr>
          <w:color w:val="000000" w:themeColor="text1"/>
          <w:sz w:val="20"/>
          <w:szCs w:val="20"/>
        </w:rPr>
        <w:t>the</w:t>
      </w:r>
      <w:r w:rsidR="00FF41A0">
        <w:rPr>
          <w:color w:val="000000" w:themeColor="text1"/>
          <w:sz w:val="20"/>
          <w:szCs w:val="20"/>
        </w:rPr>
        <w:t xml:space="preserve"> </w:t>
      </w:r>
      <w:r w:rsidR="00985537" w:rsidRPr="00113DE2">
        <w:rPr>
          <w:color w:val="000000" w:themeColor="text1"/>
          <w:sz w:val="20"/>
          <w:szCs w:val="20"/>
        </w:rPr>
        <w:t>Assistant</w:t>
      </w:r>
      <w:r w:rsidR="00FF41A0">
        <w:rPr>
          <w:color w:val="000000" w:themeColor="text1"/>
          <w:sz w:val="20"/>
          <w:szCs w:val="20"/>
        </w:rPr>
        <w:t xml:space="preserve"> </w:t>
      </w:r>
      <w:r w:rsidR="00985537" w:rsidRPr="00113DE2">
        <w:rPr>
          <w:color w:val="000000" w:themeColor="text1"/>
          <w:sz w:val="20"/>
          <w:szCs w:val="20"/>
        </w:rPr>
        <w:t>Secretary-General</w:t>
      </w:r>
      <w:r w:rsidR="00FF41A0">
        <w:rPr>
          <w:color w:val="000000" w:themeColor="text1"/>
          <w:sz w:val="20"/>
          <w:szCs w:val="20"/>
        </w:rPr>
        <w:t xml:space="preserve"> </w:t>
      </w:r>
      <w:r w:rsidR="00985537" w:rsidRPr="00113DE2">
        <w:rPr>
          <w:color w:val="000000" w:themeColor="text1"/>
          <w:sz w:val="20"/>
          <w:szCs w:val="20"/>
        </w:rPr>
        <w:t>for</w:t>
      </w:r>
      <w:r w:rsidR="00FF41A0">
        <w:rPr>
          <w:color w:val="000000" w:themeColor="text1"/>
          <w:sz w:val="20"/>
          <w:szCs w:val="20"/>
        </w:rPr>
        <w:t xml:space="preserve"> </w:t>
      </w:r>
      <w:r w:rsidR="00985537" w:rsidRPr="00113DE2">
        <w:rPr>
          <w:color w:val="000000" w:themeColor="text1"/>
          <w:sz w:val="20"/>
          <w:szCs w:val="20"/>
        </w:rPr>
        <w:t>Human</w:t>
      </w:r>
      <w:r w:rsidR="00FF41A0">
        <w:rPr>
          <w:color w:val="000000" w:themeColor="text1"/>
          <w:sz w:val="20"/>
          <w:szCs w:val="20"/>
        </w:rPr>
        <w:t xml:space="preserve"> </w:t>
      </w:r>
      <w:r w:rsidR="00985537" w:rsidRPr="00113DE2">
        <w:rPr>
          <w:color w:val="000000" w:themeColor="text1"/>
          <w:sz w:val="20"/>
          <w:szCs w:val="20"/>
        </w:rPr>
        <w:t>Rights</w:t>
      </w:r>
      <w:r w:rsidR="00FF41A0">
        <w:rPr>
          <w:color w:val="000000" w:themeColor="text1"/>
          <w:sz w:val="20"/>
          <w:szCs w:val="20"/>
        </w:rPr>
        <w:t xml:space="preserve"> </w:t>
      </w:r>
      <w:r w:rsidR="00985537" w:rsidRPr="00113DE2">
        <w:rPr>
          <w:color w:val="000000" w:themeColor="text1"/>
          <w:sz w:val="20"/>
          <w:szCs w:val="20"/>
        </w:rPr>
        <w:t>provided</w:t>
      </w:r>
      <w:r w:rsidR="00FF41A0">
        <w:rPr>
          <w:color w:val="000000" w:themeColor="text1"/>
          <w:sz w:val="20"/>
          <w:szCs w:val="20"/>
        </w:rPr>
        <w:t xml:space="preserve"> </w:t>
      </w:r>
      <w:r w:rsidR="00985537" w:rsidRPr="00113DE2">
        <w:rPr>
          <w:color w:val="000000" w:themeColor="text1"/>
          <w:sz w:val="20"/>
          <w:szCs w:val="20"/>
        </w:rPr>
        <w:t>an</w:t>
      </w:r>
      <w:r w:rsidR="00FF41A0">
        <w:rPr>
          <w:color w:val="000000" w:themeColor="text1"/>
          <w:sz w:val="20"/>
          <w:szCs w:val="20"/>
        </w:rPr>
        <w:t xml:space="preserve"> </w:t>
      </w:r>
      <w:r w:rsidR="00985537" w:rsidRPr="00113DE2">
        <w:rPr>
          <w:color w:val="000000" w:themeColor="text1"/>
          <w:sz w:val="20"/>
          <w:szCs w:val="20"/>
        </w:rPr>
        <w:t>oral</w:t>
      </w:r>
      <w:r w:rsidR="00FF41A0">
        <w:rPr>
          <w:color w:val="000000" w:themeColor="text1"/>
          <w:sz w:val="20"/>
          <w:szCs w:val="20"/>
        </w:rPr>
        <w:t xml:space="preserve"> </w:t>
      </w:r>
      <w:r w:rsidR="00985537" w:rsidRPr="00113DE2">
        <w:rPr>
          <w:color w:val="000000" w:themeColor="text1"/>
          <w:sz w:val="20"/>
          <w:szCs w:val="20"/>
        </w:rPr>
        <w:t>update</w:t>
      </w:r>
      <w:r w:rsidR="00FF41A0">
        <w:rPr>
          <w:color w:val="000000" w:themeColor="text1"/>
          <w:sz w:val="20"/>
          <w:szCs w:val="20"/>
        </w:rPr>
        <w:t xml:space="preserve"> </w:t>
      </w:r>
      <w:r w:rsidR="00985537" w:rsidRPr="00113DE2">
        <w:rPr>
          <w:color w:val="000000" w:themeColor="text1"/>
          <w:sz w:val="20"/>
          <w:szCs w:val="20"/>
        </w:rPr>
        <w:t>on</w:t>
      </w:r>
      <w:r w:rsidR="00FF41A0">
        <w:rPr>
          <w:color w:val="000000" w:themeColor="text1"/>
          <w:sz w:val="20"/>
          <w:szCs w:val="20"/>
        </w:rPr>
        <w:t xml:space="preserve"> </w:t>
      </w:r>
      <w:r w:rsidR="00985537" w:rsidRPr="00113DE2">
        <w:rPr>
          <w:color w:val="000000" w:themeColor="text1"/>
          <w:sz w:val="20"/>
          <w:szCs w:val="20"/>
        </w:rPr>
        <w:t>the</w:t>
      </w:r>
      <w:r w:rsidR="00FF41A0">
        <w:rPr>
          <w:color w:val="000000" w:themeColor="text1"/>
          <w:sz w:val="20"/>
          <w:szCs w:val="20"/>
        </w:rPr>
        <w:t xml:space="preserve"> </w:t>
      </w:r>
      <w:r w:rsidR="00985537" w:rsidRPr="00113DE2">
        <w:rPr>
          <w:color w:val="000000" w:themeColor="text1"/>
          <w:sz w:val="20"/>
          <w:szCs w:val="20"/>
        </w:rPr>
        <w:t>situation</w:t>
      </w:r>
      <w:r w:rsidR="00FF41A0">
        <w:rPr>
          <w:color w:val="000000" w:themeColor="text1"/>
          <w:sz w:val="20"/>
          <w:szCs w:val="20"/>
        </w:rPr>
        <w:t xml:space="preserve"> </w:t>
      </w:r>
      <w:r w:rsidR="00985537" w:rsidRPr="00113DE2">
        <w:rPr>
          <w:color w:val="000000" w:themeColor="text1"/>
          <w:sz w:val="20"/>
          <w:szCs w:val="20"/>
        </w:rPr>
        <w:t>of</w:t>
      </w:r>
      <w:r w:rsidR="00FF41A0">
        <w:rPr>
          <w:color w:val="000000" w:themeColor="text1"/>
          <w:sz w:val="20"/>
          <w:szCs w:val="20"/>
        </w:rPr>
        <w:t xml:space="preserve"> </w:t>
      </w:r>
      <w:r w:rsidR="00985537" w:rsidRPr="00113DE2">
        <w:rPr>
          <w:color w:val="000000" w:themeColor="text1"/>
          <w:sz w:val="20"/>
          <w:szCs w:val="20"/>
        </w:rPr>
        <w:t>human</w:t>
      </w:r>
      <w:r w:rsidR="00FF41A0">
        <w:rPr>
          <w:color w:val="000000" w:themeColor="text1"/>
          <w:sz w:val="20"/>
          <w:szCs w:val="20"/>
        </w:rPr>
        <w:t xml:space="preserve"> </w:t>
      </w:r>
      <w:r w:rsidR="00985537" w:rsidRPr="00113DE2">
        <w:rPr>
          <w:color w:val="000000" w:themeColor="text1"/>
          <w:sz w:val="20"/>
          <w:szCs w:val="20"/>
        </w:rPr>
        <w:t>rights</w:t>
      </w:r>
      <w:r w:rsidR="00FF41A0">
        <w:rPr>
          <w:color w:val="000000" w:themeColor="text1"/>
          <w:sz w:val="20"/>
          <w:szCs w:val="20"/>
        </w:rPr>
        <w:t xml:space="preserve"> </w:t>
      </w:r>
      <w:r w:rsidR="00985537" w:rsidRPr="00113DE2">
        <w:rPr>
          <w:color w:val="000000" w:themeColor="text1"/>
          <w:sz w:val="20"/>
          <w:szCs w:val="20"/>
        </w:rPr>
        <w:t>in</w:t>
      </w:r>
      <w:r w:rsidR="00FF41A0">
        <w:rPr>
          <w:color w:val="000000" w:themeColor="text1"/>
          <w:sz w:val="20"/>
          <w:szCs w:val="20"/>
        </w:rPr>
        <w:t xml:space="preserve"> </w:t>
      </w:r>
      <w:r w:rsidR="00985537" w:rsidRPr="00113DE2">
        <w:rPr>
          <w:color w:val="000000" w:themeColor="text1"/>
          <w:sz w:val="20"/>
          <w:szCs w:val="20"/>
        </w:rPr>
        <w:t>the</w:t>
      </w:r>
      <w:r w:rsidR="00FF41A0">
        <w:rPr>
          <w:color w:val="000000" w:themeColor="text1"/>
          <w:sz w:val="20"/>
          <w:szCs w:val="20"/>
        </w:rPr>
        <w:t xml:space="preserve"> </w:t>
      </w:r>
      <w:r w:rsidR="00985537" w:rsidRPr="00113DE2">
        <w:rPr>
          <w:color w:val="000000" w:themeColor="text1"/>
          <w:sz w:val="20"/>
          <w:szCs w:val="20"/>
        </w:rPr>
        <w:t>Democratic</w:t>
      </w:r>
      <w:r w:rsidR="00FF41A0">
        <w:rPr>
          <w:color w:val="000000" w:themeColor="text1"/>
          <w:sz w:val="20"/>
          <w:szCs w:val="20"/>
        </w:rPr>
        <w:t xml:space="preserve"> </w:t>
      </w:r>
      <w:r w:rsidR="00985537" w:rsidRPr="00113DE2">
        <w:rPr>
          <w:color w:val="000000" w:themeColor="text1"/>
          <w:sz w:val="20"/>
          <w:szCs w:val="20"/>
        </w:rPr>
        <w:t>Republic</w:t>
      </w:r>
      <w:r w:rsidR="00FF41A0">
        <w:rPr>
          <w:color w:val="000000" w:themeColor="text1"/>
          <w:sz w:val="20"/>
          <w:szCs w:val="20"/>
        </w:rPr>
        <w:t xml:space="preserve"> </w:t>
      </w:r>
      <w:r w:rsidR="00985537" w:rsidRPr="00113DE2">
        <w:rPr>
          <w:color w:val="000000" w:themeColor="text1"/>
          <w:sz w:val="20"/>
          <w:szCs w:val="20"/>
        </w:rPr>
        <w:t>of</w:t>
      </w:r>
      <w:r w:rsidR="00FF41A0">
        <w:rPr>
          <w:color w:val="000000" w:themeColor="text1"/>
          <w:sz w:val="20"/>
          <w:szCs w:val="20"/>
        </w:rPr>
        <w:t xml:space="preserve"> </w:t>
      </w:r>
      <w:r w:rsidR="00985537" w:rsidRPr="00113DE2">
        <w:rPr>
          <w:color w:val="000000" w:themeColor="text1"/>
          <w:sz w:val="20"/>
          <w:szCs w:val="20"/>
        </w:rPr>
        <w:t>the</w:t>
      </w:r>
      <w:r w:rsidR="00FF41A0">
        <w:rPr>
          <w:color w:val="000000" w:themeColor="text1"/>
          <w:sz w:val="20"/>
          <w:szCs w:val="20"/>
        </w:rPr>
        <w:t xml:space="preserve"> </w:t>
      </w:r>
      <w:r w:rsidR="00985537" w:rsidRPr="00113DE2">
        <w:rPr>
          <w:color w:val="000000" w:themeColor="text1"/>
          <w:sz w:val="20"/>
          <w:szCs w:val="20"/>
        </w:rPr>
        <w:t>Congo</w:t>
      </w:r>
      <w:r w:rsidR="00FF41A0">
        <w:rPr>
          <w:color w:val="000000" w:themeColor="text1"/>
          <w:sz w:val="20"/>
          <w:szCs w:val="20"/>
        </w:rPr>
        <w:t xml:space="preserve"> </w:t>
      </w:r>
      <w:r w:rsidR="00E02CD1">
        <w:rPr>
          <w:color w:val="000000" w:themeColor="text1"/>
          <w:sz w:val="20"/>
          <w:szCs w:val="20"/>
        </w:rPr>
        <w:t>and</w:t>
      </w:r>
      <w:r w:rsidR="00FF41A0">
        <w:rPr>
          <w:color w:val="000000" w:themeColor="text1"/>
          <w:sz w:val="20"/>
          <w:szCs w:val="20"/>
        </w:rPr>
        <w:t xml:space="preserve"> </w:t>
      </w:r>
      <w:r w:rsidR="00E02CD1">
        <w:rPr>
          <w:color w:val="000000" w:themeColor="text1"/>
          <w:sz w:val="20"/>
          <w:szCs w:val="20"/>
        </w:rPr>
        <w:t>presented</w:t>
      </w:r>
      <w:r w:rsidR="00FF41A0">
        <w:rPr>
          <w:color w:val="000000" w:themeColor="text1"/>
          <w:sz w:val="20"/>
          <w:szCs w:val="20"/>
        </w:rPr>
        <w:t xml:space="preserve"> </w:t>
      </w:r>
      <w:r w:rsidR="00E02CD1">
        <w:rPr>
          <w:color w:val="000000" w:themeColor="text1"/>
          <w:sz w:val="20"/>
          <w:szCs w:val="20"/>
        </w:rPr>
        <w:t>the</w:t>
      </w:r>
      <w:r w:rsidR="00FF41A0">
        <w:rPr>
          <w:color w:val="000000" w:themeColor="text1"/>
          <w:sz w:val="20"/>
          <w:szCs w:val="20"/>
        </w:rPr>
        <w:t xml:space="preserve"> </w:t>
      </w:r>
      <w:r w:rsidR="00E02CD1">
        <w:rPr>
          <w:color w:val="000000" w:themeColor="text1"/>
          <w:sz w:val="20"/>
          <w:szCs w:val="20"/>
        </w:rPr>
        <w:t>report</w:t>
      </w:r>
      <w:r w:rsidR="00FF41A0">
        <w:rPr>
          <w:color w:val="000000" w:themeColor="text1"/>
          <w:sz w:val="20"/>
          <w:szCs w:val="20"/>
        </w:rPr>
        <w:t xml:space="preserve"> </w:t>
      </w:r>
      <w:r w:rsidR="00E02CD1">
        <w:rPr>
          <w:color w:val="000000" w:themeColor="text1"/>
          <w:sz w:val="20"/>
          <w:szCs w:val="20"/>
        </w:rPr>
        <w:t>of</w:t>
      </w:r>
      <w:r w:rsidR="00FF41A0">
        <w:rPr>
          <w:color w:val="000000" w:themeColor="text1"/>
          <w:sz w:val="20"/>
          <w:szCs w:val="20"/>
        </w:rPr>
        <w:t xml:space="preserve"> </w:t>
      </w:r>
      <w:r w:rsidR="00E02CD1">
        <w:rPr>
          <w:color w:val="000000" w:themeColor="text1"/>
          <w:sz w:val="20"/>
          <w:szCs w:val="20"/>
        </w:rPr>
        <w:t>the</w:t>
      </w:r>
      <w:r w:rsidR="00FF41A0">
        <w:rPr>
          <w:color w:val="000000" w:themeColor="text1"/>
          <w:sz w:val="20"/>
          <w:szCs w:val="20"/>
        </w:rPr>
        <w:t xml:space="preserve"> </w:t>
      </w:r>
      <w:r w:rsidR="00E02CD1">
        <w:rPr>
          <w:color w:val="000000" w:themeColor="text1"/>
          <w:sz w:val="20"/>
          <w:szCs w:val="20"/>
        </w:rPr>
        <w:t>High</w:t>
      </w:r>
      <w:r w:rsidR="00FF41A0">
        <w:rPr>
          <w:color w:val="000000" w:themeColor="text1"/>
          <w:sz w:val="20"/>
          <w:szCs w:val="20"/>
        </w:rPr>
        <w:t xml:space="preserve"> </w:t>
      </w:r>
      <w:r w:rsidR="00E02CD1">
        <w:rPr>
          <w:color w:val="000000" w:themeColor="text1"/>
          <w:sz w:val="20"/>
          <w:szCs w:val="20"/>
        </w:rPr>
        <w:t>Commissioner</w:t>
      </w:r>
      <w:r w:rsidR="00FF41A0">
        <w:rPr>
          <w:color w:val="000000" w:themeColor="text1"/>
          <w:sz w:val="20"/>
          <w:szCs w:val="20"/>
        </w:rPr>
        <w:t xml:space="preserve"> </w:t>
      </w:r>
      <w:r w:rsidR="00E02CD1">
        <w:rPr>
          <w:color w:val="000000" w:themeColor="text1"/>
          <w:sz w:val="20"/>
          <w:szCs w:val="20"/>
        </w:rPr>
        <w:t>for</w:t>
      </w:r>
      <w:r w:rsidR="00FF41A0">
        <w:rPr>
          <w:color w:val="000000" w:themeColor="text1"/>
          <w:sz w:val="20"/>
          <w:szCs w:val="20"/>
        </w:rPr>
        <w:t xml:space="preserve"> </w:t>
      </w:r>
      <w:r w:rsidR="00E02CD1">
        <w:rPr>
          <w:color w:val="000000" w:themeColor="text1"/>
          <w:sz w:val="20"/>
          <w:szCs w:val="20"/>
        </w:rPr>
        <w:t>Human</w:t>
      </w:r>
      <w:r w:rsidR="00FF41A0">
        <w:rPr>
          <w:color w:val="000000" w:themeColor="text1"/>
          <w:sz w:val="20"/>
          <w:szCs w:val="20"/>
        </w:rPr>
        <w:t xml:space="preserve"> </w:t>
      </w:r>
      <w:r w:rsidR="00E02CD1">
        <w:rPr>
          <w:color w:val="000000" w:themeColor="text1"/>
          <w:sz w:val="20"/>
          <w:szCs w:val="20"/>
        </w:rPr>
        <w:t>Rights</w:t>
      </w:r>
      <w:r w:rsidR="00FF41A0">
        <w:rPr>
          <w:color w:val="000000" w:themeColor="text1"/>
          <w:sz w:val="20"/>
          <w:szCs w:val="20"/>
        </w:rPr>
        <w:t xml:space="preserve"> </w:t>
      </w:r>
      <w:r w:rsidR="00160D0F" w:rsidRPr="00160D0F">
        <w:rPr>
          <w:color w:val="000000" w:themeColor="text1"/>
          <w:sz w:val="20"/>
          <w:szCs w:val="20"/>
        </w:rPr>
        <w:t>on</w:t>
      </w:r>
      <w:r w:rsidR="00FF41A0">
        <w:rPr>
          <w:color w:val="000000" w:themeColor="text1"/>
          <w:sz w:val="20"/>
          <w:szCs w:val="20"/>
        </w:rPr>
        <w:t xml:space="preserve"> </w:t>
      </w:r>
      <w:r w:rsidR="00160D0F" w:rsidRPr="00160D0F">
        <w:rPr>
          <w:color w:val="000000" w:themeColor="text1"/>
          <w:sz w:val="20"/>
          <w:szCs w:val="20"/>
        </w:rPr>
        <w:t>the</w:t>
      </w:r>
      <w:r w:rsidR="00FF41A0">
        <w:rPr>
          <w:color w:val="000000" w:themeColor="text1"/>
          <w:sz w:val="20"/>
          <w:szCs w:val="20"/>
        </w:rPr>
        <w:t xml:space="preserve"> </w:t>
      </w:r>
      <w:r w:rsidR="00160D0F" w:rsidRPr="00160D0F">
        <w:rPr>
          <w:color w:val="000000" w:themeColor="text1"/>
          <w:sz w:val="20"/>
          <w:szCs w:val="20"/>
        </w:rPr>
        <w:t>situation</w:t>
      </w:r>
      <w:r w:rsidR="00FF41A0">
        <w:rPr>
          <w:color w:val="000000" w:themeColor="text1"/>
          <w:sz w:val="20"/>
          <w:szCs w:val="20"/>
        </w:rPr>
        <w:t xml:space="preserve"> </w:t>
      </w:r>
      <w:r w:rsidR="00160D0F" w:rsidRPr="00160D0F">
        <w:rPr>
          <w:color w:val="000000" w:themeColor="text1"/>
          <w:sz w:val="20"/>
          <w:szCs w:val="20"/>
        </w:rPr>
        <w:t>of</w:t>
      </w:r>
      <w:r w:rsidR="00FF41A0">
        <w:rPr>
          <w:color w:val="000000" w:themeColor="text1"/>
          <w:sz w:val="20"/>
          <w:szCs w:val="20"/>
        </w:rPr>
        <w:t xml:space="preserve"> </w:t>
      </w:r>
      <w:r w:rsidR="00160D0F" w:rsidRPr="00160D0F">
        <w:rPr>
          <w:color w:val="000000" w:themeColor="text1"/>
          <w:sz w:val="20"/>
          <w:szCs w:val="20"/>
        </w:rPr>
        <w:t>human</w:t>
      </w:r>
      <w:r w:rsidR="00FF41A0">
        <w:rPr>
          <w:color w:val="000000" w:themeColor="text1"/>
          <w:sz w:val="20"/>
          <w:szCs w:val="20"/>
        </w:rPr>
        <w:t xml:space="preserve"> </w:t>
      </w:r>
      <w:r w:rsidR="00160D0F" w:rsidRPr="00160D0F">
        <w:rPr>
          <w:color w:val="000000" w:themeColor="text1"/>
          <w:sz w:val="20"/>
          <w:szCs w:val="20"/>
        </w:rPr>
        <w:t>rights</w:t>
      </w:r>
      <w:r w:rsidR="00FF41A0">
        <w:rPr>
          <w:color w:val="000000" w:themeColor="text1"/>
          <w:sz w:val="20"/>
          <w:szCs w:val="20"/>
        </w:rPr>
        <w:t xml:space="preserve"> </w:t>
      </w:r>
      <w:r w:rsidR="00160D0F" w:rsidRPr="00160D0F">
        <w:rPr>
          <w:color w:val="000000" w:themeColor="text1"/>
          <w:sz w:val="20"/>
          <w:szCs w:val="20"/>
        </w:rPr>
        <w:t>in</w:t>
      </w:r>
      <w:r w:rsidR="00FF41A0">
        <w:rPr>
          <w:color w:val="000000" w:themeColor="text1"/>
          <w:sz w:val="20"/>
          <w:szCs w:val="20"/>
        </w:rPr>
        <w:t xml:space="preserve"> </w:t>
      </w:r>
      <w:r w:rsidR="00160D0F" w:rsidRPr="00160D0F">
        <w:rPr>
          <w:color w:val="000000" w:themeColor="text1"/>
          <w:sz w:val="20"/>
          <w:szCs w:val="20"/>
        </w:rPr>
        <w:t>the</w:t>
      </w:r>
      <w:r w:rsidR="00FF41A0">
        <w:rPr>
          <w:color w:val="000000" w:themeColor="text1"/>
          <w:sz w:val="20"/>
          <w:szCs w:val="20"/>
        </w:rPr>
        <w:t xml:space="preserve"> </w:t>
      </w:r>
      <w:r w:rsidR="00160D0F" w:rsidRPr="00160D0F">
        <w:rPr>
          <w:color w:val="000000" w:themeColor="text1"/>
          <w:sz w:val="20"/>
          <w:szCs w:val="20"/>
        </w:rPr>
        <w:t>Democratic</w:t>
      </w:r>
      <w:r w:rsidR="00FF41A0">
        <w:rPr>
          <w:color w:val="000000" w:themeColor="text1"/>
          <w:sz w:val="20"/>
          <w:szCs w:val="20"/>
        </w:rPr>
        <w:t xml:space="preserve"> </w:t>
      </w:r>
      <w:r w:rsidR="00160D0F" w:rsidRPr="00160D0F">
        <w:rPr>
          <w:color w:val="000000" w:themeColor="text1"/>
          <w:sz w:val="20"/>
          <w:szCs w:val="20"/>
        </w:rPr>
        <w:t>Republic</w:t>
      </w:r>
      <w:r w:rsidR="00FF41A0">
        <w:rPr>
          <w:color w:val="000000" w:themeColor="text1"/>
          <w:sz w:val="20"/>
          <w:szCs w:val="20"/>
        </w:rPr>
        <w:t xml:space="preserve"> </w:t>
      </w:r>
      <w:r w:rsidR="00160D0F" w:rsidRPr="00160D0F">
        <w:rPr>
          <w:color w:val="000000" w:themeColor="text1"/>
          <w:sz w:val="20"/>
          <w:szCs w:val="20"/>
        </w:rPr>
        <w:t>of</w:t>
      </w:r>
      <w:r w:rsidR="00FF41A0">
        <w:rPr>
          <w:color w:val="000000" w:themeColor="text1"/>
          <w:sz w:val="20"/>
          <w:szCs w:val="20"/>
        </w:rPr>
        <w:t xml:space="preserve"> </w:t>
      </w:r>
      <w:r w:rsidR="00160D0F" w:rsidRPr="00160D0F">
        <w:rPr>
          <w:color w:val="000000" w:themeColor="text1"/>
          <w:sz w:val="20"/>
          <w:szCs w:val="20"/>
        </w:rPr>
        <w:t>the</w:t>
      </w:r>
      <w:r w:rsidR="00FF41A0">
        <w:rPr>
          <w:color w:val="000000" w:themeColor="text1"/>
          <w:sz w:val="20"/>
          <w:szCs w:val="20"/>
        </w:rPr>
        <w:t xml:space="preserve"> </w:t>
      </w:r>
      <w:r w:rsidR="00160D0F" w:rsidRPr="00160D0F">
        <w:rPr>
          <w:color w:val="000000" w:themeColor="text1"/>
          <w:sz w:val="20"/>
          <w:szCs w:val="20"/>
        </w:rPr>
        <w:t>Congo</w:t>
      </w:r>
      <w:r w:rsidR="00FF41A0">
        <w:rPr>
          <w:color w:val="000000" w:themeColor="text1"/>
          <w:sz w:val="20"/>
          <w:szCs w:val="20"/>
        </w:rPr>
        <w:t xml:space="preserve"> </w:t>
      </w:r>
      <w:r w:rsidR="00160D0F" w:rsidRPr="00160D0F">
        <w:rPr>
          <w:color w:val="000000" w:themeColor="text1"/>
          <w:sz w:val="20"/>
          <w:szCs w:val="20"/>
        </w:rPr>
        <w:t>before,</w:t>
      </w:r>
      <w:r w:rsidR="00FF41A0">
        <w:rPr>
          <w:color w:val="000000" w:themeColor="text1"/>
          <w:sz w:val="20"/>
          <w:szCs w:val="20"/>
        </w:rPr>
        <w:t xml:space="preserve"> </w:t>
      </w:r>
      <w:r w:rsidR="00160D0F" w:rsidRPr="00160D0F">
        <w:rPr>
          <w:color w:val="000000" w:themeColor="text1"/>
          <w:sz w:val="20"/>
          <w:szCs w:val="20"/>
        </w:rPr>
        <w:t>during</w:t>
      </w:r>
      <w:r w:rsidR="00FF41A0">
        <w:rPr>
          <w:color w:val="000000" w:themeColor="text1"/>
          <w:sz w:val="20"/>
          <w:szCs w:val="20"/>
        </w:rPr>
        <w:t xml:space="preserve"> </w:t>
      </w:r>
      <w:r w:rsidR="00160D0F" w:rsidRPr="00160D0F">
        <w:rPr>
          <w:color w:val="000000" w:themeColor="text1"/>
          <w:sz w:val="20"/>
          <w:szCs w:val="20"/>
        </w:rPr>
        <w:t>and</w:t>
      </w:r>
      <w:r w:rsidR="00FF41A0">
        <w:rPr>
          <w:color w:val="000000" w:themeColor="text1"/>
          <w:sz w:val="20"/>
          <w:szCs w:val="20"/>
        </w:rPr>
        <w:t xml:space="preserve"> </w:t>
      </w:r>
      <w:r w:rsidR="00160D0F" w:rsidRPr="00160D0F">
        <w:rPr>
          <w:color w:val="000000" w:themeColor="text1"/>
          <w:sz w:val="20"/>
          <w:szCs w:val="20"/>
        </w:rPr>
        <w:t>after</w:t>
      </w:r>
      <w:r w:rsidR="00FF41A0">
        <w:rPr>
          <w:color w:val="000000" w:themeColor="text1"/>
          <w:sz w:val="20"/>
          <w:szCs w:val="20"/>
        </w:rPr>
        <w:t xml:space="preserve"> </w:t>
      </w:r>
      <w:r w:rsidR="00160D0F" w:rsidRPr="00160D0F">
        <w:rPr>
          <w:color w:val="000000" w:themeColor="text1"/>
          <w:sz w:val="20"/>
          <w:szCs w:val="20"/>
        </w:rPr>
        <w:t>the</w:t>
      </w:r>
      <w:r w:rsidR="00FF41A0">
        <w:rPr>
          <w:color w:val="000000" w:themeColor="text1"/>
          <w:sz w:val="20"/>
          <w:szCs w:val="20"/>
        </w:rPr>
        <w:t xml:space="preserve"> </w:t>
      </w:r>
      <w:r w:rsidR="00160D0F" w:rsidRPr="00160D0F">
        <w:rPr>
          <w:color w:val="000000" w:themeColor="text1"/>
          <w:sz w:val="20"/>
          <w:szCs w:val="20"/>
        </w:rPr>
        <w:t>elections</w:t>
      </w:r>
      <w:r w:rsidR="00FF41A0">
        <w:rPr>
          <w:color w:val="000000" w:themeColor="text1"/>
          <w:sz w:val="20"/>
          <w:szCs w:val="20"/>
        </w:rPr>
        <w:t xml:space="preserve"> </w:t>
      </w:r>
      <w:r w:rsidR="00160D0F" w:rsidRPr="00160D0F">
        <w:rPr>
          <w:color w:val="000000" w:themeColor="text1"/>
          <w:sz w:val="20"/>
          <w:szCs w:val="20"/>
        </w:rPr>
        <w:t>of</w:t>
      </w:r>
      <w:r w:rsidR="00FF41A0">
        <w:rPr>
          <w:color w:val="000000" w:themeColor="text1"/>
          <w:sz w:val="20"/>
          <w:szCs w:val="20"/>
        </w:rPr>
        <w:t xml:space="preserve"> </w:t>
      </w:r>
      <w:r w:rsidR="00160D0F" w:rsidRPr="00160D0F">
        <w:rPr>
          <w:color w:val="000000" w:themeColor="text1"/>
          <w:sz w:val="20"/>
          <w:szCs w:val="20"/>
        </w:rPr>
        <w:t>23</w:t>
      </w:r>
      <w:r w:rsidR="00FF41A0">
        <w:rPr>
          <w:color w:val="000000" w:themeColor="text1"/>
          <w:sz w:val="20"/>
          <w:szCs w:val="20"/>
        </w:rPr>
        <w:t xml:space="preserve"> </w:t>
      </w:r>
      <w:r w:rsidR="00160D0F" w:rsidRPr="00160D0F">
        <w:rPr>
          <w:color w:val="000000" w:themeColor="text1"/>
          <w:sz w:val="20"/>
          <w:szCs w:val="20"/>
        </w:rPr>
        <w:t>December</w:t>
      </w:r>
      <w:r w:rsidR="00FF41A0">
        <w:rPr>
          <w:color w:val="000000" w:themeColor="text1"/>
          <w:sz w:val="20"/>
          <w:szCs w:val="20"/>
        </w:rPr>
        <w:t xml:space="preserve"> </w:t>
      </w:r>
      <w:r w:rsidR="00160D0F" w:rsidRPr="00160D0F">
        <w:rPr>
          <w:color w:val="000000" w:themeColor="text1"/>
          <w:sz w:val="20"/>
          <w:szCs w:val="20"/>
        </w:rPr>
        <w:t>2018</w:t>
      </w:r>
      <w:r w:rsidR="00E02CD1">
        <w:rPr>
          <w:color w:val="000000" w:themeColor="text1"/>
          <w:sz w:val="20"/>
          <w:szCs w:val="20"/>
        </w:rPr>
        <w:t>,</w:t>
      </w:r>
      <w:r w:rsidR="00FF41A0">
        <w:rPr>
          <w:color w:val="000000" w:themeColor="text1"/>
          <w:sz w:val="20"/>
          <w:szCs w:val="20"/>
        </w:rPr>
        <w:t xml:space="preserve"> </w:t>
      </w:r>
      <w:r w:rsidR="00E02CD1">
        <w:rPr>
          <w:color w:val="000000" w:themeColor="text1"/>
          <w:sz w:val="20"/>
          <w:szCs w:val="20"/>
        </w:rPr>
        <w:t>pursuant</w:t>
      </w:r>
      <w:r w:rsidR="00FF41A0">
        <w:rPr>
          <w:color w:val="000000" w:themeColor="text1"/>
          <w:sz w:val="20"/>
          <w:szCs w:val="20"/>
        </w:rPr>
        <w:t xml:space="preserve"> </w:t>
      </w:r>
      <w:r w:rsidR="00E02CD1">
        <w:rPr>
          <w:color w:val="000000" w:themeColor="text1"/>
          <w:sz w:val="20"/>
          <w:szCs w:val="20"/>
        </w:rPr>
        <w:t>to</w:t>
      </w:r>
      <w:r w:rsidR="00FF41A0">
        <w:rPr>
          <w:color w:val="000000" w:themeColor="text1"/>
          <w:sz w:val="20"/>
          <w:szCs w:val="20"/>
        </w:rPr>
        <w:t xml:space="preserve"> </w:t>
      </w:r>
      <w:r w:rsidR="00E02CD1">
        <w:rPr>
          <w:color w:val="000000" w:themeColor="text1"/>
          <w:sz w:val="20"/>
          <w:szCs w:val="20"/>
        </w:rPr>
        <w:t>Council</w:t>
      </w:r>
      <w:r w:rsidR="00FF41A0">
        <w:rPr>
          <w:color w:val="000000" w:themeColor="text1"/>
          <w:sz w:val="20"/>
          <w:szCs w:val="20"/>
        </w:rPr>
        <w:t xml:space="preserve"> </w:t>
      </w:r>
      <w:r w:rsidR="00E02CD1">
        <w:rPr>
          <w:color w:val="000000" w:themeColor="text1"/>
          <w:sz w:val="20"/>
          <w:szCs w:val="20"/>
        </w:rPr>
        <w:t>resolution</w:t>
      </w:r>
      <w:r w:rsidR="00FF41A0">
        <w:rPr>
          <w:color w:val="000000" w:themeColor="text1"/>
          <w:sz w:val="20"/>
          <w:szCs w:val="20"/>
        </w:rPr>
        <w:t xml:space="preserve"> </w:t>
      </w:r>
      <w:r w:rsidR="00E02CD1">
        <w:rPr>
          <w:color w:val="000000" w:themeColor="text1"/>
          <w:sz w:val="20"/>
          <w:szCs w:val="20"/>
        </w:rPr>
        <w:t>39/20</w:t>
      </w:r>
      <w:r w:rsidR="00FF41A0">
        <w:rPr>
          <w:color w:val="000000" w:themeColor="text1"/>
          <w:sz w:val="20"/>
          <w:szCs w:val="20"/>
        </w:rPr>
        <w:t xml:space="preserve"> </w:t>
      </w:r>
      <w:r w:rsidR="00985537" w:rsidRPr="00985537">
        <w:rPr>
          <w:color w:val="000000" w:themeColor="text1"/>
          <w:sz w:val="20"/>
          <w:szCs w:val="20"/>
        </w:rPr>
        <w:t>(A/HRC/40/47)</w:t>
      </w:r>
      <w:r w:rsidR="00E02CD1">
        <w:rPr>
          <w:color w:val="000000" w:themeColor="text1"/>
          <w:sz w:val="20"/>
          <w:szCs w:val="20"/>
        </w:rPr>
        <w:t>.</w:t>
      </w:r>
    </w:p>
    <w:p w14:paraId="28B57A50" w14:textId="0AD8C4BA" w:rsidR="00E02CD1" w:rsidRPr="00113DE2" w:rsidRDefault="00CF15B1" w:rsidP="00985537">
      <w:pPr>
        <w:pStyle w:val="SingleTxtG"/>
        <w:rPr>
          <w:color w:val="000000" w:themeColor="text1"/>
          <w:sz w:val="20"/>
          <w:szCs w:val="20"/>
        </w:rPr>
      </w:pPr>
      <w:r>
        <w:rPr>
          <w:color w:val="000000" w:themeColor="text1"/>
          <w:sz w:val="20"/>
          <w:szCs w:val="20"/>
        </w:rPr>
        <w:t>971</w:t>
      </w:r>
      <w:r w:rsidR="00985537" w:rsidRPr="00113DE2">
        <w:rPr>
          <w:color w:val="000000" w:themeColor="text1"/>
          <w:sz w:val="20"/>
          <w:szCs w:val="20"/>
        </w:rPr>
        <w:t>.</w:t>
      </w:r>
      <w:r w:rsidR="00985537" w:rsidRPr="00113DE2">
        <w:rPr>
          <w:color w:val="000000" w:themeColor="text1"/>
          <w:sz w:val="20"/>
          <w:szCs w:val="20"/>
        </w:rPr>
        <w:tab/>
        <w:t>At</w:t>
      </w:r>
      <w:r w:rsidR="00FF41A0">
        <w:rPr>
          <w:color w:val="000000" w:themeColor="text1"/>
          <w:sz w:val="20"/>
          <w:szCs w:val="20"/>
        </w:rPr>
        <w:t xml:space="preserve"> </w:t>
      </w:r>
      <w:r w:rsidR="00985537" w:rsidRPr="00113DE2">
        <w:rPr>
          <w:color w:val="000000" w:themeColor="text1"/>
          <w:sz w:val="20"/>
          <w:szCs w:val="20"/>
        </w:rPr>
        <w:t>the</w:t>
      </w:r>
      <w:r w:rsidR="00FF41A0">
        <w:rPr>
          <w:color w:val="000000" w:themeColor="text1"/>
          <w:sz w:val="20"/>
          <w:szCs w:val="20"/>
        </w:rPr>
        <w:t xml:space="preserve"> </w:t>
      </w:r>
      <w:r w:rsidR="00985537" w:rsidRPr="00113DE2">
        <w:rPr>
          <w:color w:val="000000" w:themeColor="text1"/>
          <w:sz w:val="20"/>
          <w:szCs w:val="20"/>
        </w:rPr>
        <w:t>same</w:t>
      </w:r>
      <w:r w:rsidR="00FF41A0">
        <w:rPr>
          <w:color w:val="000000" w:themeColor="text1"/>
          <w:sz w:val="20"/>
          <w:szCs w:val="20"/>
        </w:rPr>
        <w:t xml:space="preserve"> </w:t>
      </w:r>
      <w:r w:rsidR="00985537" w:rsidRPr="00113DE2">
        <w:rPr>
          <w:color w:val="000000" w:themeColor="text1"/>
          <w:sz w:val="20"/>
          <w:szCs w:val="20"/>
        </w:rPr>
        <w:t>meeting,</w:t>
      </w:r>
      <w:r w:rsidR="00FF41A0">
        <w:rPr>
          <w:color w:val="000000" w:themeColor="text1"/>
          <w:sz w:val="20"/>
          <w:szCs w:val="20"/>
        </w:rPr>
        <w:t xml:space="preserve"> </w:t>
      </w:r>
      <w:r w:rsidR="00985537" w:rsidRPr="00113DE2">
        <w:rPr>
          <w:color w:val="000000" w:themeColor="text1"/>
          <w:sz w:val="20"/>
          <w:szCs w:val="20"/>
        </w:rPr>
        <w:t>the</w:t>
      </w:r>
      <w:r w:rsidR="00FF41A0">
        <w:rPr>
          <w:color w:val="000000" w:themeColor="text1"/>
          <w:sz w:val="20"/>
          <w:szCs w:val="20"/>
        </w:rPr>
        <w:t xml:space="preserve"> </w:t>
      </w:r>
      <w:r w:rsidR="00985537" w:rsidRPr="00113DE2">
        <w:rPr>
          <w:color w:val="000000" w:themeColor="text1"/>
          <w:sz w:val="20"/>
          <w:szCs w:val="20"/>
        </w:rPr>
        <w:t>following</w:t>
      </w:r>
      <w:r w:rsidR="00FF41A0">
        <w:rPr>
          <w:color w:val="000000" w:themeColor="text1"/>
          <w:sz w:val="20"/>
          <w:szCs w:val="20"/>
        </w:rPr>
        <w:t xml:space="preserve"> </w:t>
      </w:r>
      <w:r w:rsidR="00985537" w:rsidRPr="00113DE2">
        <w:rPr>
          <w:color w:val="000000" w:themeColor="text1"/>
          <w:sz w:val="20"/>
          <w:szCs w:val="20"/>
        </w:rPr>
        <w:t>made</w:t>
      </w:r>
      <w:r w:rsidR="00FF41A0">
        <w:rPr>
          <w:color w:val="000000" w:themeColor="text1"/>
          <w:sz w:val="20"/>
          <w:szCs w:val="20"/>
        </w:rPr>
        <w:t xml:space="preserve"> </w:t>
      </w:r>
      <w:r w:rsidR="00985537" w:rsidRPr="00113DE2">
        <w:rPr>
          <w:color w:val="000000" w:themeColor="text1"/>
          <w:sz w:val="20"/>
          <w:szCs w:val="20"/>
        </w:rPr>
        <w:t>statements:</w:t>
      </w:r>
      <w:r w:rsidR="00FF41A0">
        <w:rPr>
          <w:color w:val="000000" w:themeColor="text1"/>
          <w:sz w:val="20"/>
          <w:szCs w:val="20"/>
        </w:rPr>
        <w:t xml:space="preserve"> </w:t>
      </w:r>
      <w:r w:rsidR="00985537" w:rsidRPr="00113DE2">
        <w:rPr>
          <w:color w:val="000000" w:themeColor="text1"/>
          <w:sz w:val="20"/>
          <w:szCs w:val="20"/>
        </w:rPr>
        <w:t>the</w:t>
      </w:r>
      <w:r w:rsidR="00FF41A0">
        <w:rPr>
          <w:color w:val="000000" w:themeColor="text1"/>
          <w:sz w:val="20"/>
          <w:szCs w:val="20"/>
        </w:rPr>
        <w:t xml:space="preserve"> </w:t>
      </w:r>
      <w:r w:rsidR="00985537" w:rsidRPr="00113DE2">
        <w:rPr>
          <w:color w:val="000000" w:themeColor="text1"/>
          <w:sz w:val="20"/>
          <w:szCs w:val="20"/>
        </w:rPr>
        <w:t>Special</w:t>
      </w:r>
      <w:r w:rsidR="00FF41A0">
        <w:rPr>
          <w:color w:val="000000" w:themeColor="text1"/>
          <w:sz w:val="20"/>
          <w:szCs w:val="20"/>
        </w:rPr>
        <w:t xml:space="preserve"> </w:t>
      </w:r>
      <w:r w:rsidR="00985537" w:rsidRPr="00113DE2">
        <w:rPr>
          <w:color w:val="000000" w:themeColor="text1"/>
          <w:sz w:val="20"/>
          <w:szCs w:val="20"/>
        </w:rPr>
        <w:t>Representative</w:t>
      </w:r>
      <w:r w:rsidR="00FF41A0">
        <w:rPr>
          <w:color w:val="000000" w:themeColor="text1"/>
          <w:sz w:val="20"/>
          <w:szCs w:val="20"/>
        </w:rPr>
        <w:t xml:space="preserve"> </w:t>
      </w:r>
      <w:r w:rsidR="00985537" w:rsidRPr="00113DE2">
        <w:rPr>
          <w:color w:val="000000" w:themeColor="text1"/>
          <w:sz w:val="20"/>
          <w:szCs w:val="20"/>
        </w:rPr>
        <w:t>of</w:t>
      </w:r>
      <w:r w:rsidR="00FF41A0">
        <w:rPr>
          <w:color w:val="000000" w:themeColor="text1"/>
          <w:sz w:val="20"/>
          <w:szCs w:val="20"/>
        </w:rPr>
        <w:t xml:space="preserve"> </w:t>
      </w:r>
      <w:r w:rsidR="00985537" w:rsidRPr="00113DE2">
        <w:rPr>
          <w:color w:val="000000" w:themeColor="text1"/>
          <w:sz w:val="20"/>
          <w:szCs w:val="20"/>
        </w:rPr>
        <w:t>Secretary-General</w:t>
      </w:r>
      <w:r w:rsidR="00FF41A0">
        <w:rPr>
          <w:color w:val="000000" w:themeColor="text1"/>
          <w:sz w:val="20"/>
          <w:szCs w:val="20"/>
        </w:rPr>
        <w:t xml:space="preserve"> </w:t>
      </w:r>
      <w:r w:rsidR="00985537" w:rsidRPr="00113DE2">
        <w:rPr>
          <w:color w:val="000000" w:themeColor="text1"/>
          <w:sz w:val="20"/>
          <w:szCs w:val="20"/>
        </w:rPr>
        <w:t>in</w:t>
      </w:r>
      <w:r w:rsidR="00FF41A0">
        <w:rPr>
          <w:color w:val="000000" w:themeColor="text1"/>
          <w:sz w:val="20"/>
          <w:szCs w:val="20"/>
        </w:rPr>
        <w:t xml:space="preserve"> </w:t>
      </w:r>
      <w:r w:rsidR="00985537" w:rsidRPr="00113DE2">
        <w:rPr>
          <w:color w:val="000000" w:themeColor="text1"/>
          <w:sz w:val="20"/>
          <w:szCs w:val="20"/>
        </w:rPr>
        <w:t>the</w:t>
      </w:r>
      <w:r w:rsidR="00FF41A0">
        <w:rPr>
          <w:color w:val="000000" w:themeColor="text1"/>
          <w:sz w:val="20"/>
          <w:szCs w:val="20"/>
        </w:rPr>
        <w:t xml:space="preserve"> </w:t>
      </w:r>
      <w:r w:rsidR="00985537" w:rsidRPr="00113DE2">
        <w:rPr>
          <w:color w:val="000000" w:themeColor="text1"/>
          <w:sz w:val="20"/>
          <w:szCs w:val="20"/>
        </w:rPr>
        <w:t>Democratic</w:t>
      </w:r>
      <w:r w:rsidR="00FF41A0">
        <w:rPr>
          <w:color w:val="000000" w:themeColor="text1"/>
          <w:sz w:val="20"/>
          <w:szCs w:val="20"/>
        </w:rPr>
        <w:t xml:space="preserve"> </w:t>
      </w:r>
      <w:r w:rsidR="00985537" w:rsidRPr="00113DE2">
        <w:rPr>
          <w:color w:val="000000" w:themeColor="text1"/>
          <w:sz w:val="20"/>
          <w:szCs w:val="20"/>
        </w:rPr>
        <w:t>Republic</w:t>
      </w:r>
      <w:r w:rsidR="00FF41A0">
        <w:rPr>
          <w:color w:val="000000" w:themeColor="text1"/>
          <w:sz w:val="20"/>
          <w:szCs w:val="20"/>
        </w:rPr>
        <w:t xml:space="preserve"> </w:t>
      </w:r>
      <w:r w:rsidR="00985537" w:rsidRPr="00113DE2">
        <w:rPr>
          <w:color w:val="000000" w:themeColor="text1"/>
          <w:sz w:val="20"/>
          <w:szCs w:val="20"/>
        </w:rPr>
        <w:t>of</w:t>
      </w:r>
      <w:r w:rsidR="00FF41A0">
        <w:rPr>
          <w:color w:val="000000" w:themeColor="text1"/>
          <w:sz w:val="20"/>
          <w:szCs w:val="20"/>
        </w:rPr>
        <w:t xml:space="preserve"> </w:t>
      </w:r>
      <w:r w:rsidR="00985537" w:rsidRPr="00113DE2">
        <w:rPr>
          <w:color w:val="000000" w:themeColor="text1"/>
          <w:sz w:val="20"/>
          <w:szCs w:val="20"/>
        </w:rPr>
        <w:t>the</w:t>
      </w:r>
      <w:r w:rsidR="00FF41A0">
        <w:rPr>
          <w:color w:val="000000" w:themeColor="text1"/>
          <w:sz w:val="20"/>
          <w:szCs w:val="20"/>
        </w:rPr>
        <w:t xml:space="preserve"> </w:t>
      </w:r>
      <w:r w:rsidR="00985537" w:rsidRPr="00113DE2">
        <w:rPr>
          <w:color w:val="000000" w:themeColor="text1"/>
          <w:sz w:val="20"/>
          <w:szCs w:val="20"/>
        </w:rPr>
        <w:t>Congo</w:t>
      </w:r>
      <w:r w:rsidR="00FF41A0">
        <w:rPr>
          <w:color w:val="000000" w:themeColor="text1"/>
          <w:sz w:val="20"/>
          <w:szCs w:val="20"/>
        </w:rPr>
        <w:t xml:space="preserve"> </w:t>
      </w:r>
      <w:r w:rsidR="00985537" w:rsidRPr="00113DE2">
        <w:rPr>
          <w:color w:val="000000" w:themeColor="text1"/>
          <w:sz w:val="20"/>
          <w:szCs w:val="20"/>
        </w:rPr>
        <w:t>and</w:t>
      </w:r>
      <w:r w:rsidR="00FF41A0">
        <w:rPr>
          <w:color w:val="000000" w:themeColor="text1"/>
          <w:sz w:val="20"/>
          <w:szCs w:val="20"/>
        </w:rPr>
        <w:t xml:space="preserve"> </w:t>
      </w:r>
      <w:r w:rsidR="00985537" w:rsidRPr="00113DE2">
        <w:rPr>
          <w:color w:val="000000" w:themeColor="text1"/>
          <w:sz w:val="20"/>
          <w:szCs w:val="20"/>
        </w:rPr>
        <w:t>the</w:t>
      </w:r>
      <w:r w:rsidR="00FF41A0">
        <w:rPr>
          <w:color w:val="000000" w:themeColor="text1"/>
          <w:sz w:val="20"/>
          <w:szCs w:val="20"/>
        </w:rPr>
        <w:t xml:space="preserve"> </w:t>
      </w:r>
      <w:r w:rsidR="00985537" w:rsidRPr="00113DE2">
        <w:rPr>
          <w:color w:val="000000" w:themeColor="text1"/>
          <w:sz w:val="20"/>
          <w:szCs w:val="20"/>
        </w:rPr>
        <w:t>Head</w:t>
      </w:r>
      <w:r w:rsidR="00FF41A0">
        <w:rPr>
          <w:color w:val="000000" w:themeColor="text1"/>
          <w:sz w:val="20"/>
          <w:szCs w:val="20"/>
        </w:rPr>
        <w:t xml:space="preserve"> </w:t>
      </w:r>
      <w:r w:rsidR="00985537" w:rsidRPr="00113DE2">
        <w:rPr>
          <w:color w:val="000000" w:themeColor="text1"/>
          <w:sz w:val="20"/>
          <w:szCs w:val="20"/>
        </w:rPr>
        <w:t>of</w:t>
      </w:r>
      <w:r w:rsidR="00FF41A0">
        <w:rPr>
          <w:color w:val="000000" w:themeColor="text1"/>
          <w:sz w:val="20"/>
          <w:szCs w:val="20"/>
        </w:rPr>
        <w:t xml:space="preserve"> </w:t>
      </w:r>
      <w:r w:rsidR="00985537" w:rsidRPr="00113DE2">
        <w:rPr>
          <w:color w:val="000000" w:themeColor="text1"/>
          <w:sz w:val="20"/>
          <w:szCs w:val="20"/>
        </w:rPr>
        <w:t>the</w:t>
      </w:r>
      <w:r w:rsidR="00FF41A0">
        <w:rPr>
          <w:color w:val="000000" w:themeColor="text1"/>
          <w:sz w:val="20"/>
          <w:szCs w:val="20"/>
        </w:rPr>
        <w:t xml:space="preserve"> </w:t>
      </w:r>
      <w:r w:rsidR="00985537" w:rsidRPr="00113DE2">
        <w:rPr>
          <w:color w:val="000000" w:themeColor="text1"/>
          <w:sz w:val="20"/>
          <w:szCs w:val="20"/>
        </w:rPr>
        <w:t>United</w:t>
      </w:r>
      <w:r w:rsidR="00FF41A0">
        <w:rPr>
          <w:color w:val="000000" w:themeColor="text1"/>
          <w:sz w:val="20"/>
          <w:szCs w:val="20"/>
        </w:rPr>
        <w:t xml:space="preserve"> </w:t>
      </w:r>
      <w:r w:rsidR="00985537" w:rsidRPr="00113DE2">
        <w:rPr>
          <w:color w:val="000000" w:themeColor="text1"/>
          <w:sz w:val="20"/>
          <w:szCs w:val="20"/>
        </w:rPr>
        <w:t>Nations</w:t>
      </w:r>
      <w:r w:rsidR="00FF41A0">
        <w:rPr>
          <w:color w:val="000000" w:themeColor="text1"/>
          <w:sz w:val="20"/>
          <w:szCs w:val="20"/>
        </w:rPr>
        <w:t xml:space="preserve"> </w:t>
      </w:r>
      <w:r w:rsidR="00985537" w:rsidRPr="00113DE2">
        <w:rPr>
          <w:color w:val="000000" w:themeColor="text1"/>
          <w:sz w:val="20"/>
          <w:szCs w:val="20"/>
        </w:rPr>
        <w:t>Organization</w:t>
      </w:r>
      <w:r w:rsidR="00FF41A0">
        <w:rPr>
          <w:color w:val="000000" w:themeColor="text1"/>
          <w:sz w:val="20"/>
          <w:szCs w:val="20"/>
        </w:rPr>
        <w:t xml:space="preserve"> </w:t>
      </w:r>
      <w:r w:rsidR="00985537" w:rsidRPr="00113DE2">
        <w:rPr>
          <w:color w:val="000000" w:themeColor="text1"/>
          <w:sz w:val="20"/>
          <w:szCs w:val="20"/>
        </w:rPr>
        <w:t>Stabilization</w:t>
      </w:r>
      <w:r w:rsidR="00FF41A0">
        <w:rPr>
          <w:color w:val="000000" w:themeColor="text1"/>
          <w:sz w:val="20"/>
          <w:szCs w:val="20"/>
        </w:rPr>
        <w:t xml:space="preserve"> </w:t>
      </w:r>
      <w:r w:rsidR="00985537" w:rsidRPr="00113DE2">
        <w:rPr>
          <w:color w:val="000000" w:themeColor="text1"/>
          <w:sz w:val="20"/>
          <w:szCs w:val="20"/>
        </w:rPr>
        <w:t>Mission</w:t>
      </w:r>
      <w:r w:rsidR="00FF41A0">
        <w:rPr>
          <w:color w:val="000000" w:themeColor="text1"/>
          <w:sz w:val="20"/>
          <w:szCs w:val="20"/>
        </w:rPr>
        <w:t xml:space="preserve"> </w:t>
      </w:r>
      <w:r w:rsidR="00985537" w:rsidRPr="00113DE2">
        <w:rPr>
          <w:color w:val="000000" w:themeColor="text1"/>
          <w:sz w:val="20"/>
          <w:szCs w:val="20"/>
        </w:rPr>
        <w:t>in</w:t>
      </w:r>
      <w:r w:rsidR="00FF41A0">
        <w:rPr>
          <w:color w:val="000000" w:themeColor="text1"/>
          <w:sz w:val="20"/>
          <w:szCs w:val="20"/>
        </w:rPr>
        <w:t xml:space="preserve"> </w:t>
      </w:r>
      <w:r w:rsidR="00985537" w:rsidRPr="00113DE2">
        <w:rPr>
          <w:color w:val="000000" w:themeColor="text1"/>
          <w:sz w:val="20"/>
          <w:szCs w:val="20"/>
        </w:rPr>
        <w:t>the</w:t>
      </w:r>
      <w:r w:rsidR="00FF41A0">
        <w:rPr>
          <w:color w:val="000000" w:themeColor="text1"/>
          <w:sz w:val="20"/>
          <w:szCs w:val="20"/>
        </w:rPr>
        <w:t xml:space="preserve"> </w:t>
      </w:r>
      <w:r w:rsidR="00985537" w:rsidRPr="00113DE2">
        <w:rPr>
          <w:color w:val="000000" w:themeColor="text1"/>
          <w:sz w:val="20"/>
          <w:szCs w:val="20"/>
        </w:rPr>
        <w:t>Democratic</w:t>
      </w:r>
      <w:r w:rsidR="00FF41A0">
        <w:rPr>
          <w:color w:val="000000" w:themeColor="text1"/>
          <w:sz w:val="20"/>
          <w:szCs w:val="20"/>
        </w:rPr>
        <w:t xml:space="preserve"> </w:t>
      </w:r>
      <w:r w:rsidR="00985537" w:rsidRPr="00113DE2">
        <w:rPr>
          <w:color w:val="000000" w:themeColor="text1"/>
          <w:sz w:val="20"/>
          <w:szCs w:val="20"/>
        </w:rPr>
        <w:t>Republic</w:t>
      </w:r>
      <w:r w:rsidR="00FF41A0">
        <w:rPr>
          <w:color w:val="000000" w:themeColor="text1"/>
          <w:sz w:val="20"/>
          <w:szCs w:val="20"/>
        </w:rPr>
        <w:t xml:space="preserve"> </w:t>
      </w:r>
      <w:r w:rsidR="00985537" w:rsidRPr="00113DE2">
        <w:rPr>
          <w:color w:val="000000" w:themeColor="text1"/>
          <w:sz w:val="20"/>
          <w:szCs w:val="20"/>
        </w:rPr>
        <w:t>of</w:t>
      </w:r>
      <w:r w:rsidR="00FF41A0">
        <w:rPr>
          <w:color w:val="000000" w:themeColor="text1"/>
          <w:sz w:val="20"/>
          <w:szCs w:val="20"/>
        </w:rPr>
        <w:t xml:space="preserve"> </w:t>
      </w:r>
      <w:r w:rsidR="00985537" w:rsidRPr="00113DE2">
        <w:rPr>
          <w:color w:val="000000" w:themeColor="text1"/>
          <w:sz w:val="20"/>
          <w:szCs w:val="20"/>
        </w:rPr>
        <w:t>the</w:t>
      </w:r>
      <w:r w:rsidR="00FF41A0">
        <w:rPr>
          <w:color w:val="000000" w:themeColor="text1"/>
          <w:sz w:val="20"/>
          <w:szCs w:val="20"/>
        </w:rPr>
        <w:t xml:space="preserve"> </w:t>
      </w:r>
      <w:r w:rsidR="00985537" w:rsidRPr="00113DE2">
        <w:rPr>
          <w:color w:val="000000" w:themeColor="text1"/>
          <w:sz w:val="20"/>
          <w:szCs w:val="20"/>
        </w:rPr>
        <w:t>Congo,</w:t>
      </w:r>
      <w:r w:rsidR="00FF41A0">
        <w:rPr>
          <w:color w:val="000000" w:themeColor="text1"/>
          <w:sz w:val="20"/>
          <w:szCs w:val="20"/>
        </w:rPr>
        <w:t xml:space="preserve"> </w:t>
      </w:r>
      <w:r w:rsidR="00985537" w:rsidRPr="00113DE2">
        <w:rPr>
          <w:color w:val="000000" w:themeColor="text1"/>
          <w:sz w:val="20"/>
          <w:szCs w:val="20"/>
        </w:rPr>
        <w:t>Leila</w:t>
      </w:r>
      <w:r w:rsidR="00FF41A0">
        <w:rPr>
          <w:color w:val="000000" w:themeColor="text1"/>
          <w:sz w:val="20"/>
          <w:szCs w:val="20"/>
        </w:rPr>
        <w:t xml:space="preserve"> </w:t>
      </w:r>
      <w:r w:rsidR="00985537" w:rsidRPr="00113DE2">
        <w:rPr>
          <w:color w:val="000000" w:themeColor="text1"/>
          <w:sz w:val="20"/>
          <w:szCs w:val="20"/>
        </w:rPr>
        <w:t>Zerrougui;</w:t>
      </w:r>
      <w:r w:rsidR="00FF41A0">
        <w:rPr>
          <w:color w:val="000000" w:themeColor="text1"/>
          <w:sz w:val="20"/>
          <w:szCs w:val="20"/>
        </w:rPr>
        <w:t xml:space="preserve"> </w:t>
      </w:r>
      <w:r w:rsidR="00985537" w:rsidRPr="00113DE2">
        <w:rPr>
          <w:color w:val="000000" w:themeColor="text1"/>
          <w:sz w:val="20"/>
          <w:szCs w:val="20"/>
        </w:rPr>
        <w:t>the</w:t>
      </w:r>
      <w:r w:rsidR="00FF41A0">
        <w:rPr>
          <w:color w:val="000000" w:themeColor="text1"/>
          <w:sz w:val="20"/>
          <w:szCs w:val="20"/>
        </w:rPr>
        <w:t xml:space="preserve"> </w:t>
      </w:r>
      <w:r w:rsidR="00974261">
        <w:rPr>
          <w:color w:val="000000" w:themeColor="text1"/>
          <w:sz w:val="20"/>
          <w:szCs w:val="20"/>
        </w:rPr>
        <w:t>member</w:t>
      </w:r>
      <w:r w:rsidR="00FF41A0">
        <w:rPr>
          <w:color w:val="000000" w:themeColor="text1"/>
          <w:sz w:val="20"/>
          <w:szCs w:val="20"/>
        </w:rPr>
        <w:t xml:space="preserve"> </w:t>
      </w:r>
      <w:r w:rsidR="00985537" w:rsidRPr="00113DE2">
        <w:rPr>
          <w:color w:val="000000" w:themeColor="text1"/>
          <w:sz w:val="20"/>
          <w:szCs w:val="20"/>
        </w:rPr>
        <w:t>of</w:t>
      </w:r>
      <w:r w:rsidR="00FF41A0">
        <w:rPr>
          <w:color w:val="000000" w:themeColor="text1"/>
          <w:sz w:val="20"/>
          <w:szCs w:val="20"/>
        </w:rPr>
        <w:t xml:space="preserve"> </w:t>
      </w:r>
      <w:r w:rsidR="00985537" w:rsidRPr="00113DE2">
        <w:rPr>
          <w:color w:val="000000" w:themeColor="text1"/>
          <w:sz w:val="20"/>
          <w:szCs w:val="20"/>
        </w:rPr>
        <w:t>the</w:t>
      </w:r>
      <w:r w:rsidR="00FF41A0">
        <w:rPr>
          <w:color w:val="000000" w:themeColor="text1"/>
          <w:sz w:val="20"/>
          <w:szCs w:val="20"/>
        </w:rPr>
        <w:t xml:space="preserve"> </w:t>
      </w:r>
      <w:r w:rsidR="00985537" w:rsidRPr="00113DE2">
        <w:rPr>
          <w:color w:val="000000" w:themeColor="text1"/>
          <w:sz w:val="20"/>
          <w:szCs w:val="20"/>
        </w:rPr>
        <w:t>international</w:t>
      </w:r>
      <w:r w:rsidR="00FF41A0">
        <w:rPr>
          <w:color w:val="000000" w:themeColor="text1"/>
          <w:sz w:val="20"/>
          <w:szCs w:val="20"/>
        </w:rPr>
        <w:t xml:space="preserve"> </w:t>
      </w:r>
      <w:r w:rsidR="00985537" w:rsidRPr="00113DE2">
        <w:rPr>
          <w:color w:val="000000" w:themeColor="text1"/>
          <w:sz w:val="20"/>
          <w:szCs w:val="20"/>
        </w:rPr>
        <w:t>team</w:t>
      </w:r>
      <w:r w:rsidR="00FF41A0">
        <w:rPr>
          <w:color w:val="000000" w:themeColor="text1"/>
          <w:sz w:val="20"/>
          <w:szCs w:val="20"/>
        </w:rPr>
        <w:t xml:space="preserve"> </w:t>
      </w:r>
      <w:r w:rsidR="00985537" w:rsidRPr="00113DE2">
        <w:rPr>
          <w:color w:val="000000" w:themeColor="text1"/>
          <w:sz w:val="20"/>
          <w:szCs w:val="20"/>
        </w:rPr>
        <w:t>of</w:t>
      </w:r>
      <w:r w:rsidR="00FF41A0">
        <w:rPr>
          <w:color w:val="000000" w:themeColor="text1"/>
          <w:sz w:val="20"/>
          <w:szCs w:val="20"/>
        </w:rPr>
        <w:t xml:space="preserve"> </w:t>
      </w:r>
      <w:r w:rsidR="00985537" w:rsidRPr="00113DE2">
        <w:rPr>
          <w:color w:val="000000" w:themeColor="text1"/>
          <w:sz w:val="20"/>
          <w:szCs w:val="20"/>
        </w:rPr>
        <w:t>experts</w:t>
      </w:r>
      <w:r w:rsidR="00FF41A0">
        <w:rPr>
          <w:color w:val="000000" w:themeColor="text1"/>
          <w:sz w:val="20"/>
          <w:szCs w:val="20"/>
        </w:rPr>
        <w:t xml:space="preserve"> </w:t>
      </w:r>
      <w:r w:rsidR="00985537" w:rsidRPr="00113DE2">
        <w:rPr>
          <w:color w:val="000000" w:themeColor="text1"/>
          <w:sz w:val="20"/>
          <w:szCs w:val="20"/>
        </w:rPr>
        <w:t>on</w:t>
      </w:r>
      <w:r w:rsidR="00FF41A0">
        <w:rPr>
          <w:color w:val="000000" w:themeColor="text1"/>
          <w:sz w:val="20"/>
          <w:szCs w:val="20"/>
        </w:rPr>
        <w:t xml:space="preserve"> </w:t>
      </w:r>
      <w:r w:rsidR="00985537" w:rsidRPr="00113DE2">
        <w:rPr>
          <w:color w:val="000000" w:themeColor="text1"/>
          <w:sz w:val="20"/>
          <w:szCs w:val="20"/>
        </w:rPr>
        <w:t>the</w:t>
      </w:r>
      <w:r w:rsidR="00FF41A0">
        <w:rPr>
          <w:color w:val="000000" w:themeColor="text1"/>
          <w:sz w:val="20"/>
          <w:szCs w:val="20"/>
        </w:rPr>
        <w:t xml:space="preserve"> </w:t>
      </w:r>
      <w:r w:rsidR="00985537" w:rsidRPr="00113DE2">
        <w:rPr>
          <w:color w:val="000000" w:themeColor="text1"/>
          <w:sz w:val="20"/>
          <w:szCs w:val="20"/>
        </w:rPr>
        <w:t>situation</w:t>
      </w:r>
      <w:r w:rsidR="00FF41A0">
        <w:rPr>
          <w:color w:val="000000" w:themeColor="text1"/>
          <w:sz w:val="20"/>
          <w:szCs w:val="20"/>
        </w:rPr>
        <w:t xml:space="preserve"> </w:t>
      </w:r>
      <w:r w:rsidR="00985537" w:rsidRPr="00113DE2">
        <w:rPr>
          <w:color w:val="000000" w:themeColor="text1"/>
          <w:sz w:val="20"/>
          <w:szCs w:val="20"/>
        </w:rPr>
        <w:t>in</w:t>
      </w:r>
      <w:r w:rsidR="00FF41A0">
        <w:rPr>
          <w:color w:val="000000" w:themeColor="text1"/>
          <w:sz w:val="20"/>
          <w:szCs w:val="20"/>
        </w:rPr>
        <w:t xml:space="preserve"> </w:t>
      </w:r>
      <w:r w:rsidR="00985537" w:rsidRPr="00113DE2">
        <w:rPr>
          <w:color w:val="000000" w:themeColor="text1"/>
          <w:sz w:val="20"/>
          <w:szCs w:val="20"/>
        </w:rPr>
        <w:t>the</w:t>
      </w:r>
      <w:r w:rsidR="00FF41A0">
        <w:rPr>
          <w:color w:val="000000" w:themeColor="text1"/>
          <w:sz w:val="20"/>
          <w:szCs w:val="20"/>
        </w:rPr>
        <w:t xml:space="preserve"> </w:t>
      </w:r>
      <w:r w:rsidR="00985537" w:rsidRPr="00113DE2">
        <w:rPr>
          <w:color w:val="000000" w:themeColor="text1"/>
          <w:sz w:val="20"/>
          <w:szCs w:val="20"/>
        </w:rPr>
        <w:t>Kasai</w:t>
      </w:r>
      <w:r w:rsidR="00FF41A0">
        <w:rPr>
          <w:color w:val="000000" w:themeColor="text1"/>
          <w:sz w:val="20"/>
          <w:szCs w:val="20"/>
        </w:rPr>
        <w:t xml:space="preserve"> </w:t>
      </w:r>
      <w:r w:rsidR="00985537" w:rsidRPr="00113DE2">
        <w:rPr>
          <w:color w:val="000000" w:themeColor="text1"/>
          <w:sz w:val="20"/>
          <w:szCs w:val="20"/>
        </w:rPr>
        <w:t>regions,</w:t>
      </w:r>
      <w:r w:rsidR="00FF41A0">
        <w:rPr>
          <w:color w:val="000000" w:themeColor="text1"/>
          <w:sz w:val="20"/>
          <w:szCs w:val="20"/>
        </w:rPr>
        <w:t xml:space="preserve"> </w:t>
      </w:r>
      <w:r w:rsidR="00985537" w:rsidRPr="00113DE2">
        <w:rPr>
          <w:color w:val="000000" w:themeColor="text1"/>
          <w:sz w:val="20"/>
          <w:szCs w:val="20"/>
        </w:rPr>
        <w:t>Bacre</w:t>
      </w:r>
      <w:r w:rsidR="00FF41A0">
        <w:rPr>
          <w:color w:val="000000" w:themeColor="text1"/>
          <w:sz w:val="20"/>
          <w:szCs w:val="20"/>
        </w:rPr>
        <w:t xml:space="preserve"> </w:t>
      </w:r>
      <w:r w:rsidR="00985537" w:rsidRPr="00113DE2">
        <w:rPr>
          <w:color w:val="000000" w:themeColor="text1"/>
          <w:sz w:val="20"/>
          <w:szCs w:val="20"/>
        </w:rPr>
        <w:t>Waly</w:t>
      </w:r>
      <w:r w:rsidR="00FF41A0">
        <w:rPr>
          <w:color w:val="000000" w:themeColor="text1"/>
          <w:sz w:val="20"/>
          <w:szCs w:val="20"/>
        </w:rPr>
        <w:t xml:space="preserve"> </w:t>
      </w:r>
      <w:r w:rsidR="00985537" w:rsidRPr="00113DE2">
        <w:rPr>
          <w:color w:val="000000" w:themeColor="text1"/>
          <w:sz w:val="20"/>
          <w:szCs w:val="20"/>
        </w:rPr>
        <w:t>Ndiaye;</w:t>
      </w:r>
      <w:r w:rsidR="00FF41A0">
        <w:rPr>
          <w:color w:val="000000" w:themeColor="text1"/>
          <w:sz w:val="20"/>
          <w:szCs w:val="20"/>
        </w:rPr>
        <w:t xml:space="preserve"> </w:t>
      </w:r>
      <w:r w:rsidR="00985537" w:rsidRPr="00113DE2">
        <w:rPr>
          <w:color w:val="000000" w:themeColor="text1"/>
          <w:sz w:val="20"/>
          <w:szCs w:val="20"/>
        </w:rPr>
        <w:t>the</w:t>
      </w:r>
      <w:r w:rsidR="00FF41A0">
        <w:rPr>
          <w:color w:val="000000" w:themeColor="text1"/>
          <w:sz w:val="20"/>
          <w:szCs w:val="20"/>
        </w:rPr>
        <w:t xml:space="preserve"> </w:t>
      </w:r>
      <w:r w:rsidR="00985537" w:rsidRPr="00113DE2">
        <w:rPr>
          <w:color w:val="000000" w:themeColor="text1"/>
          <w:sz w:val="20"/>
          <w:szCs w:val="20"/>
        </w:rPr>
        <w:t>Minister</w:t>
      </w:r>
      <w:r w:rsidR="00FF41A0">
        <w:rPr>
          <w:color w:val="000000" w:themeColor="text1"/>
          <w:sz w:val="20"/>
          <w:szCs w:val="20"/>
        </w:rPr>
        <w:t xml:space="preserve"> </w:t>
      </w:r>
      <w:r w:rsidR="00985537" w:rsidRPr="00113DE2">
        <w:rPr>
          <w:color w:val="000000" w:themeColor="text1"/>
          <w:sz w:val="20"/>
          <w:szCs w:val="20"/>
        </w:rPr>
        <w:t>of</w:t>
      </w:r>
      <w:r w:rsidR="00FF41A0">
        <w:rPr>
          <w:color w:val="000000" w:themeColor="text1"/>
          <w:sz w:val="20"/>
          <w:szCs w:val="20"/>
        </w:rPr>
        <w:t xml:space="preserve"> </w:t>
      </w:r>
      <w:r w:rsidR="00985537" w:rsidRPr="00113DE2">
        <w:rPr>
          <w:color w:val="000000" w:themeColor="text1"/>
          <w:sz w:val="20"/>
          <w:szCs w:val="20"/>
        </w:rPr>
        <w:t>Human</w:t>
      </w:r>
      <w:r w:rsidR="00FF41A0">
        <w:rPr>
          <w:color w:val="000000" w:themeColor="text1"/>
          <w:sz w:val="20"/>
          <w:szCs w:val="20"/>
        </w:rPr>
        <w:t xml:space="preserve"> </w:t>
      </w:r>
      <w:r w:rsidR="00985537" w:rsidRPr="00113DE2">
        <w:rPr>
          <w:color w:val="000000" w:themeColor="text1"/>
          <w:sz w:val="20"/>
          <w:szCs w:val="20"/>
        </w:rPr>
        <w:t>rights</w:t>
      </w:r>
      <w:r w:rsidR="00FF41A0">
        <w:rPr>
          <w:color w:val="000000" w:themeColor="text1"/>
          <w:sz w:val="20"/>
          <w:szCs w:val="20"/>
        </w:rPr>
        <w:t xml:space="preserve"> </w:t>
      </w:r>
      <w:r w:rsidR="00985537" w:rsidRPr="00113DE2">
        <w:rPr>
          <w:color w:val="000000" w:themeColor="text1"/>
          <w:sz w:val="20"/>
          <w:szCs w:val="20"/>
        </w:rPr>
        <w:t>of</w:t>
      </w:r>
      <w:r w:rsidR="00FF41A0">
        <w:rPr>
          <w:color w:val="000000" w:themeColor="text1"/>
          <w:sz w:val="20"/>
          <w:szCs w:val="20"/>
        </w:rPr>
        <w:t xml:space="preserve"> </w:t>
      </w:r>
      <w:r w:rsidR="00985537" w:rsidRPr="00113DE2">
        <w:rPr>
          <w:color w:val="000000" w:themeColor="text1"/>
          <w:sz w:val="20"/>
          <w:szCs w:val="20"/>
        </w:rPr>
        <w:t>the</w:t>
      </w:r>
      <w:r w:rsidR="00FF41A0">
        <w:rPr>
          <w:color w:val="000000" w:themeColor="text1"/>
          <w:sz w:val="20"/>
          <w:szCs w:val="20"/>
        </w:rPr>
        <w:t xml:space="preserve"> </w:t>
      </w:r>
      <w:r w:rsidR="00985537" w:rsidRPr="00113DE2">
        <w:rPr>
          <w:color w:val="000000" w:themeColor="text1"/>
          <w:sz w:val="20"/>
          <w:szCs w:val="20"/>
        </w:rPr>
        <w:t>Democratic</w:t>
      </w:r>
      <w:r w:rsidR="00FF41A0">
        <w:rPr>
          <w:color w:val="000000" w:themeColor="text1"/>
          <w:sz w:val="20"/>
          <w:szCs w:val="20"/>
        </w:rPr>
        <w:t xml:space="preserve"> </w:t>
      </w:r>
      <w:r w:rsidR="00985537" w:rsidRPr="00113DE2">
        <w:rPr>
          <w:color w:val="000000" w:themeColor="text1"/>
          <w:sz w:val="20"/>
          <w:szCs w:val="20"/>
        </w:rPr>
        <w:t>Republic</w:t>
      </w:r>
      <w:r w:rsidR="00FF41A0">
        <w:rPr>
          <w:color w:val="000000" w:themeColor="text1"/>
          <w:sz w:val="20"/>
          <w:szCs w:val="20"/>
        </w:rPr>
        <w:t xml:space="preserve"> </w:t>
      </w:r>
      <w:r w:rsidR="00985537" w:rsidRPr="00113DE2">
        <w:rPr>
          <w:color w:val="000000" w:themeColor="text1"/>
          <w:sz w:val="20"/>
          <w:szCs w:val="20"/>
        </w:rPr>
        <w:t>of</w:t>
      </w:r>
      <w:r w:rsidR="00FF41A0">
        <w:rPr>
          <w:color w:val="000000" w:themeColor="text1"/>
          <w:sz w:val="20"/>
          <w:szCs w:val="20"/>
        </w:rPr>
        <w:t xml:space="preserve"> </w:t>
      </w:r>
      <w:r w:rsidR="00985537" w:rsidRPr="00113DE2">
        <w:rPr>
          <w:color w:val="000000" w:themeColor="text1"/>
          <w:sz w:val="20"/>
          <w:szCs w:val="20"/>
        </w:rPr>
        <w:t>the</w:t>
      </w:r>
      <w:r w:rsidR="00FF41A0">
        <w:rPr>
          <w:color w:val="000000" w:themeColor="text1"/>
          <w:sz w:val="20"/>
          <w:szCs w:val="20"/>
        </w:rPr>
        <w:t xml:space="preserve"> </w:t>
      </w:r>
      <w:r w:rsidR="00985537" w:rsidRPr="00113DE2">
        <w:rPr>
          <w:color w:val="000000" w:themeColor="text1"/>
          <w:sz w:val="20"/>
          <w:szCs w:val="20"/>
        </w:rPr>
        <w:t>Congo,</w:t>
      </w:r>
      <w:r w:rsidR="00FF41A0">
        <w:rPr>
          <w:color w:val="000000" w:themeColor="text1"/>
          <w:sz w:val="20"/>
          <w:szCs w:val="20"/>
        </w:rPr>
        <w:t xml:space="preserve"> </w:t>
      </w:r>
      <w:r w:rsidR="00985537" w:rsidRPr="00113DE2">
        <w:rPr>
          <w:color w:val="000000" w:themeColor="text1"/>
          <w:sz w:val="20"/>
          <w:szCs w:val="20"/>
        </w:rPr>
        <w:t>Marie-Ange</w:t>
      </w:r>
      <w:r w:rsidR="00FF41A0">
        <w:rPr>
          <w:color w:val="000000" w:themeColor="text1"/>
          <w:sz w:val="20"/>
          <w:szCs w:val="20"/>
        </w:rPr>
        <w:t xml:space="preserve"> </w:t>
      </w:r>
      <w:r w:rsidR="00985537" w:rsidRPr="00113DE2">
        <w:rPr>
          <w:color w:val="000000" w:themeColor="text1"/>
          <w:sz w:val="20"/>
          <w:szCs w:val="20"/>
        </w:rPr>
        <w:t>Mushobekwa</w:t>
      </w:r>
      <w:r w:rsidR="00974261">
        <w:rPr>
          <w:color w:val="000000" w:themeColor="text1"/>
          <w:sz w:val="20"/>
          <w:szCs w:val="20"/>
        </w:rPr>
        <w:t>;</w:t>
      </w:r>
      <w:r w:rsidR="00FF41A0">
        <w:rPr>
          <w:color w:val="000000" w:themeColor="text1"/>
          <w:sz w:val="20"/>
          <w:szCs w:val="20"/>
        </w:rPr>
        <w:t xml:space="preserve"> </w:t>
      </w:r>
      <w:r w:rsidR="004F0D55" w:rsidRPr="00C36085">
        <w:rPr>
          <w:color w:val="000000" w:themeColor="text1"/>
          <w:sz w:val="20"/>
          <w:szCs w:val="20"/>
        </w:rPr>
        <w:t>the</w:t>
      </w:r>
      <w:r w:rsidR="00FF41A0">
        <w:rPr>
          <w:color w:val="000000" w:themeColor="text1"/>
          <w:sz w:val="20"/>
          <w:szCs w:val="20"/>
        </w:rPr>
        <w:t xml:space="preserve"> </w:t>
      </w:r>
      <w:r w:rsidR="004F0D55" w:rsidRPr="00C36085">
        <w:rPr>
          <w:color w:val="000000" w:themeColor="text1"/>
          <w:sz w:val="20"/>
          <w:szCs w:val="20"/>
        </w:rPr>
        <w:t>coordinator</w:t>
      </w:r>
      <w:r w:rsidR="00FF41A0">
        <w:rPr>
          <w:color w:val="000000" w:themeColor="text1"/>
          <w:sz w:val="20"/>
          <w:szCs w:val="20"/>
        </w:rPr>
        <w:t xml:space="preserve"> </w:t>
      </w:r>
      <w:r w:rsidR="004F0D55" w:rsidRPr="00C36085">
        <w:rPr>
          <w:color w:val="000000" w:themeColor="text1"/>
          <w:sz w:val="20"/>
          <w:szCs w:val="20"/>
        </w:rPr>
        <w:t>of</w:t>
      </w:r>
      <w:r w:rsidR="00FF41A0">
        <w:rPr>
          <w:color w:val="000000" w:themeColor="text1"/>
          <w:sz w:val="20"/>
          <w:szCs w:val="20"/>
        </w:rPr>
        <w:t xml:space="preserve"> </w:t>
      </w:r>
      <w:r w:rsidR="004F0D55" w:rsidRPr="00C36085">
        <w:rPr>
          <w:color w:val="000000" w:themeColor="text1"/>
          <w:sz w:val="20"/>
          <w:szCs w:val="20"/>
        </w:rPr>
        <w:t>the</w:t>
      </w:r>
      <w:r w:rsidR="00FF41A0">
        <w:rPr>
          <w:color w:val="000000" w:themeColor="text1"/>
          <w:sz w:val="20"/>
          <w:szCs w:val="20"/>
        </w:rPr>
        <w:t xml:space="preserve"> </w:t>
      </w:r>
      <w:r w:rsidR="00C36085" w:rsidRPr="00C36085">
        <w:rPr>
          <w:color w:val="000000" w:themeColor="text1"/>
          <w:sz w:val="20"/>
          <w:szCs w:val="20"/>
        </w:rPr>
        <w:t>Synergy</w:t>
      </w:r>
      <w:r w:rsidR="00FF41A0">
        <w:rPr>
          <w:color w:val="000000" w:themeColor="text1"/>
          <w:sz w:val="20"/>
          <w:szCs w:val="20"/>
        </w:rPr>
        <w:t xml:space="preserve"> </w:t>
      </w:r>
      <w:r w:rsidR="004F0D55" w:rsidRPr="00C36085">
        <w:rPr>
          <w:color w:val="000000" w:themeColor="text1"/>
          <w:sz w:val="20"/>
          <w:szCs w:val="20"/>
        </w:rPr>
        <w:t>of</w:t>
      </w:r>
      <w:r w:rsidR="00FF41A0">
        <w:rPr>
          <w:color w:val="000000" w:themeColor="text1"/>
          <w:sz w:val="20"/>
          <w:szCs w:val="20"/>
        </w:rPr>
        <w:t xml:space="preserve"> </w:t>
      </w:r>
      <w:r w:rsidR="00C36085" w:rsidRPr="00C36085">
        <w:rPr>
          <w:color w:val="000000" w:themeColor="text1"/>
          <w:sz w:val="20"/>
          <w:szCs w:val="20"/>
        </w:rPr>
        <w:t>Citizen</w:t>
      </w:r>
      <w:r w:rsidR="00FF41A0">
        <w:rPr>
          <w:color w:val="000000" w:themeColor="text1"/>
          <w:sz w:val="20"/>
          <w:szCs w:val="20"/>
        </w:rPr>
        <w:t xml:space="preserve"> </w:t>
      </w:r>
      <w:r w:rsidR="00C36085" w:rsidRPr="00C36085">
        <w:rPr>
          <w:color w:val="000000" w:themeColor="text1"/>
          <w:sz w:val="20"/>
          <w:szCs w:val="20"/>
        </w:rPr>
        <w:t>Election</w:t>
      </w:r>
      <w:r w:rsidR="00FF41A0">
        <w:rPr>
          <w:color w:val="000000" w:themeColor="text1"/>
          <w:sz w:val="20"/>
          <w:szCs w:val="20"/>
        </w:rPr>
        <w:t xml:space="preserve"> </w:t>
      </w:r>
      <w:r w:rsidR="00C36085" w:rsidRPr="00C36085">
        <w:rPr>
          <w:color w:val="000000" w:themeColor="text1"/>
          <w:sz w:val="20"/>
          <w:szCs w:val="20"/>
        </w:rPr>
        <w:t>Observation</w:t>
      </w:r>
      <w:r w:rsidR="00FF41A0">
        <w:rPr>
          <w:color w:val="000000" w:themeColor="text1"/>
          <w:sz w:val="20"/>
          <w:szCs w:val="20"/>
        </w:rPr>
        <w:t xml:space="preserve"> </w:t>
      </w:r>
      <w:r w:rsidR="00C36085" w:rsidRPr="00C36085">
        <w:rPr>
          <w:color w:val="000000" w:themeColor="text1"/>
          <w:sz w:val="20"/>
          <w:szCs w:val="20"/>
        </w:rPr>
        <w:t>Missions</w:t>
      </w:r>
      <w:r w:rsidR="00FF41A0">
        <w:rPr>
          <w:color w:val="000000" w:themeColor="text1"/>
          <w:sz w:val="20"/>
          <w:szCs w:val="20"/>
        </w:rPr>
        <w:t xml:space="preserve"> </w:t>
      </w:r>
      <w:r w:rsidR="004F0D55" w:rsidRPr="00C36085">
        <w:rPr>
          <w:color w:val="000000" w:themeColor="text1"/>
          <w:sz w:val="20"/>
          <w:szCs w:val="20"/>
        </w:rPr>
        <w:t>(SYMOCEL),</w:t>
      </w:r>
      <w:r w:rsidR="00FF41A0">
        <w:rPr>
          <w:color w:val="000000" w:themeColor="text1"/>
          <w:sz w:val="20"/>
          <w:szCs w:val="20"/>
        </w:rPr>
        <w:t xml:space="preserve"> </w:t>
      </w:r>
      <w:r w:rsidR="00E02CD1" w:rsidRPr="00E02CD1">
        <w:rPr>
          <w:color w:val="000000" w:themeColor="text1"/>
          <w:sz w:val="20"/>
          <w:szCs w:val="20"/>
        </w:rPr>
        <w:t>Abraham</w:t>
      </w:r>
      <w:r w:rsidR="00FF41A0">
        <w:rPr>
          <w:color w:val="000000" w:themeColor="text1"/>
          <w:sz w:val="20"/>
          <w:szCs w:val="20"/>
        </w:rPr>
        <w:t xml:space="preserve"> </w:t>
      </w:r>
      <w:r w:rsidR="00E02CD1" w:rsidRPr="00E02CD1">
        <w:rPr>
          <w:color w:val="000000" w:themeColor="text1"/>
          <w:sz w:val="20"/>
          <w:szCs w:val="20"/>
        </w:rPr>
        <w:t>Ndjamba</w:t>
      </w:r>
      <w:r w:rsidR="00FF41A0">
        <w:rPr>
          <w:color w:val="000000" w:themeColor="text1"/>
          <w:sz w:val="20"/>
          <w:szCs w:val="20"/>
        </w:rPr>
        <w:t xml:space="preserve"> </w:t>
      </w:r>
      <w:r w:rsidR="00E02CD1" w:rsidRPr="00E02CD1">
        <w:rPr>
          <w:color w:val="000000" w:themeColor="text1"/>
          <w:sz w:val="20"/>
          <w:szCs w:val="20"/>
        </w:rPr>
        <w:t>Djamba</w:t>
      </w:r>
      <w:r w:rsidR="004F0D55">
        <w:rPr>
          <w:color w:val="000000" w:themeColor="text1"/>
          <w:sz w:val="20"/>
          <w:szCs w:val="20"/>
        </w:rPr>
        <w:t>.</w:t>
      </w:r>
    </w:p>
    <w:p w14:paraId="510AF0A0" w14:textId="197F4AC5" w:rsidR="00985537" w:rsidRPr="00113DE2" w:rsidRDefault="00CF15B1" w:rsidP="00985537">
      <w:pPr>
        <w:pStyle w:val="SingleTxtG"/>
        <w:rPr>
          <w:color w:val="000000" w:themeColor="text1"/>
          <w:sz w:val="20"/>
          <w:szCs w:val="20"/>
        </w:rPr>
      </w:pPr>
      <w:r>
        <w:rPr>
          <w:color w:val="000000" w:themeColor="text1"/>
          <w:sz w:val="20"/>
          <w:szCs w:val="20"/>
        </w:rPr>
        <w:t>972</w:t>
      </w:r>
      <w:r w:rsidR="00985537" w:rsidRPr="00113DE2">
        <w:rPr>
          <w:color w:val="000000" w:themeColor="text1"/>
          <w:sz w:val="20"/>
          <w:szCs w:val="20"/>
        </w:rPr>
        <w:t>.</w:t>
      </w:r>
      <w:r w:rsidR="00985537" w:rsidRPr="00113DE2">
        <w:rPr>
          <w:color w:val="000000" w:themeColor="text1"/>
          <w:sz w:val="20"/>
          <w:szCs w:val="20"/>
        </w:rPr>
        <w:tab/>
        <w:t>During</w:t>
      </w:r>
      <w:r w:rsidR="00FF41A0">
        <w:rPr>
          <w:color w:val="000000" w:themeColor="text1"/>
          <w:sz w:val="20"/>
          <w:szCs w:val="20"/>
        </w:rPr>
        <w:t xml:space="preserve"> </w:t>
      </w:r>
      <w:r w:rsidR="00985537" w:rsidRPr="00113DE2">
        <w:rPr>
          <w:color w:val="000000" w:themeColor="text1"/>
          <w:sz w:val="20"/>
          <w:szCs w:val="20"/>
        </w:rPr>
        <w:t>the</w:t>
      </w:r>
      <w:r w:rsidR="00FF41A0">
        <w:rPr>
          <w:color w:val="000000" w:themeColor="text1"/>
          <w:sz w:val="20"/>
          <w:szCs w:val="20"/>
        </w:rPr>
        <w:t xml:space="preserve"> </w:t>
      </w:r>
      <w:r w:rsidR="00985537" w:rsidRPr="00113DE2">
        <w:rPr>
          <w:color w:val="000000" w:themeColor="text1"/>
          <w:sz w:val="20"/>
          <w:szCs w:val="20"/>
        </w:rPr>
        <w:t>ensuing</w:t>
      </w:r>
      <w:r w:rsidR="00FF41A0">
        <w:rPr>
          <w:color w:val="000000" w:themeColor="text1"/>
          <w:sz w:val="20"/>
          <w:szCs w:val="20"/>
        </w:rPr>
        <w:t xml:space="preserve"> </w:t>
      </w:r>
      <w:r w:rsidR="00985537" w:rsidRPr="00113DE2">
        <w:rPr>
          <w:color w:val="000000" w:themeColor="text1"/>
          <w:sz w:val="20"/>
          <w:szCs w:val="20"/>
        </w:rPr>
        <w:t>discussion,</w:t>
      </w:r>
      <w:r w:rsidR="00FF41A0">
        <w:rPr>
          <w:color w:val="000000" w:themeColor="text1"/>
          <w:sz w:val="20"/>
          <w:szCs w:val="20"/>
        </w:rPr>
        <w:t xml:space="preserve"> </w:t>
      </w:r>
      <w:r w:rsidR="00985537" w:rsidRPr="00113DE2">
        <w:rPr>
          <w:color w:val="000000" w:themeColor="text1"/>
          <w:sz w:val="20"/>
          <w:szCs w:val="20"/>
        </w:rPr>
        <w:t>at</w:t>
      </w:r>
      <w:r w:rsidR="00FF41A0">
        <w:rPr>
          <w:color w:val="000000" w:themeColor="text1"/>
          <w:sz w:val="20"/>
          <w:szCs w:val="20"/>
        </w:rPr>
        <w:t xml:space="preserve"> </w:t>
      </w:r>
      <w:r w:rsidR="00985537" w:rsidRPr="00113DE2">
        <w:rPr>
          <w:color w:val="000000" w:themeColor="text1"/>
          <w:sz w:val="20"/>
          <w:szCs w:val="20"/>
        </w:rPr>
        <w:t>the</w:t>
      </w:r>
      <w:r w:rsidR="00FF41A0">
        <w:rPr>
          <w:color w:val="000000" w:themeColor="text1"/>
          <w:sz w:val="20"/>
          <w:szCs w:val="20"/>
        </w:rPr>
        <w:t xml:space="preserve"> </w:t>
      </w:r>
      <w:r w:rsidR="004F0D55">
        <w:rPr>
          <w:color w:val="000000" w:themeColor="text1"/>
          <w:sz w:val="20"/>
          <w:szCs w:val="20"/>
        </w:rPr>
        <w:t>45th</w:t>
      </w:r>
      <w:r w:rsidR="00FF41A0">
        <w:rPr>
          <w:color w:val="000000" w:themeColor="text1"/>
          <w:sz w:val="20"/>
          <w:szCs w:val="20"/>
        </w:rPr>
        <w:t xml:space="preserve"> </w:t>
      </w:r>
      <w:r w:rsidR="004F0D55">
        <w:rPr>
          <w:color w:val="000000" w:themeColor="text1"/>
          <w:sz w:val="20"/>
          <w:szCs w:val="20"/>
        </w:rPr>
        <w:t>to</w:t>
      </w:r>
      <w:r w:rsidR="00FF41A0">
        <w:rPr>
          <w:color w:val="000000" w:themeColor="text1"/>
          <w:sz w:val="20"/>
          <w:szCs w:val="20"/>
        </w:rPr>
        <w:t xml:space="preserve"> </w:t>
      </w:r>
      <w:r w:rsidR="004F0D55">
        <w:rPr>
          <w:color w:val="000000" w:themeColor="text1"/>
          <w:sz w:val="20"/>
          <w:szCs w:val="20"/>
        </w:rPr>
        <w:t>46th</w:t>
      </w:r>
      <w:r w:rsidR="00FF41A0">
        <w:rPr>
          <w:color w:val="000000" w:themeColor="text1"/>
          <w:sz w:val="20"/>
          <w:szCs w:val="20"/>
        </w:rPr>
        <w:t xml:space="preserve"> </w:t>
      </w:r>
      <w:r w:rsidR="004F0D55">
        <w:rPr>
          <w:color w:val="000000" w:themeColor="text1"/>
          <w:sz w:val="20"/>
          <w:szCs w:val="20"/>
        </w:rPr>
        <w:t>meetings,</w:t>
      </w:r>
      <w:r w:rsidR="00FF41A0">
        <w:rPr>
          <w:color w:val="000000" w:themeColor="text1"/>
          <w:sz w:val="20"/>
          <w:szCs w:val="20"/>
        </w:rPr>
        <w:t xml:space="preserve"> </w:t>
      </w:r>
      <w:r w:rsidR="00985537" w:rsidRPr="00113DE2">
        <w:rPr>
          <w:color w:val="000000" w:themeColor="text1"/>
          <w:sz w:val="20"/>
          <w:szCs w:val="20"/>
        </w:rPr>
        <w:t>on</w:t>
      </w:r>
      <w:r w:rsidR="00FF41A0">
        <w:rPr>
          <w:color w:val="000000" w:themeColor="text1"/>
          <w:sz w:val="20"/>
          <w:szCs w:val="20"/>
        </w:rPr>
        <w:t xml:space="preserve"> </w:t>
      </w:r>
      <w:r w:rsidR="00985537" w:rsidRPr="00113DE2">
        <w:rPr>
          <w:color w:val="000000" w:themeColor="text1"/>
          <w:sz w:val="20"/>
          <w:szCs w:val="20"/>
        </w:rPr>
        <w:t>the</w:t>
      </w:r>
      <w:r w:rsidR="00FF41A0">
        <w:rPr>
          <w:color w:val="000000" w:themeColor="text1"/>
          <w:sz w:val="20"/>
          <w:szCs w:val="20"/>
        </w:rPr>
        <w:t xml:space="preserve"> </w:t>
      </w:r>
      <w:r w:rsidR="00985537" w:rsidRPr="00113DE2">
        <w:rPr>
          <w:color w:val="000000" w:themeColor="text1"/>
          <w:sz w:val="20"/>
          <w:szCs w:val="20"/>
        </w:rPr>
        <w:t>same</w:t>
      </w:r>
      <w:r w:rsidR="00FF41A0">
        <w:rPr>
          <w:color w:val="000000" w:themeColor="text1"/>
          <w:sz w:val="20"/>
          <w:szCs w:val="20"/>
        </w:rPr>
        <w:t xml:space="preserve"> </w:t>
      </w:r>
      <w:r w:rsidR="00985537" w:rsidRPr="00113DE2">
        <w:rPr>
          <w:color w:val="000000" w:themeColor="text1"/>
          <w:sz w:val="20"/>
          <w:szCs w:val="20"/>
        </w:rPr>
        <w:t>day,</w:t>
      </w:r>
      <w:r w:rsidR="00FF41A0">
        <w:rPr>
          <w:color w:val="000000" w:themeColor="text1"/>
          <w:sz w:val="20"/>
          <w:szCs w:val="20"/>
        </w:rPr>
        <w:t xml:space="preserve"> </w:t>
      </w:r>
      <w:r w:rsidR="00985537" w:rsidRPr="00113DE2">
        <w:rPr>
          <w:color w:val="000000" w:themeColor="text1"/>
          <w:sz w:val="20"/>
          <w:szCs w:val="20"/>
        </w:rPr>
        <w:t>the</w:t>
      </w:r>
      <w:r w:rsidR="00FF41A0">
        <w:rPr>
          <w:color w:val="000000" w:themeColor="text1"/>
          <w:sz w:val="20"/>
          <w:szCs w:val="20"/>
        </w:rPr>
        <w:t xml:space="preserve"> </w:t>
      </w:r>
      <w:r w:rsidR="00985537" w:rsidRPr="00113DE2">
        <w:rPr>
          <w:color w:val="000000" w:themeColor="text1"/>
          <w:sz w:val="20"/>
          <w:szCs w:val="20"/>
        </w:rPr>
        <w:t>following</w:t>
      </w:r>
      <w:r w:rsidR="00FF41A0">
        <w:rPr>
          <w:color w:val="000000" w:themeColor="text1"/>
          <w:sz w:val="20"/>
          <w:szCs w:val="20"/>
        </w:rPr>
        <w:t xml:space="preserve"> </w:t>
      </w:r>
      <w:r w:rsidR="00985537" w:rsidRPr="00113DE2">
        <w:rPr>
          <w:color w:val="000000" w:themeColor="text1"/>
          <w:sz w:val="20"/>
          <w:szCs w:val="20"/>
        </w:rPr>
        <w:t>made</w:t>
      </w:r>
      <w:r w:rsidR="00FF41A0">
        <w:rPr>
          <w:color w:val="000000" w:themeColor="text1"/>
          <w:sz w:val="20"/>
          <w:szCs w:val="20"/>
        </w:rPr>
        <w:t xml:space="preserve"> </w:t>
      </w:r>
      <w:r w:rsidR="00985537" w:rsidRPr="00113DE2">
        <w:rPr>
          <w:color w:val="000000" w:themeColor="text1"/>
          <w:sz w:val="20"/>
          <w:szCs w:val="20"/>
        </w:rPr>
        <w:t>statements</w:t>
      </w:r>
      <w:r w:rsidR="00FF41A0">
        <w:rPr>
          <w:color w:val="000000" w:themeColor="text1"/>
          <w:sz w:val="20"/>
          <w:szCs w:val="20"/>
        </w:rPr>
        <w:t xml:space="preserve"> </w:t>
      </w:r>
      <w:r w:rsidR="00985537" w:rsidRPr="00113DE2">
        <w:rPr>
          <w:color w:val="000000" w:themeColor="text1"/>
          <w:sz w:val="20"/>
          <w:szCs w:val="20"/>
        </w:rPr>
        <w:t>and</w:t>
      </w:r>
      <w:r w:rsidR="00FF41A0">
        <w:rPr>
          <w:color w:val="000000" w:themeColor="text1"/>
          <w:sz w:val="20"/>
          <w:szCs w:val="20"/>
        </w:rPr>
        <w:t xml:space="preserve"> </w:t>
      </w:r>
      <w:r w:rsidR="00985537" w:rsidRPr="00113DE2">
        <w:rPr>
          <w:color w:val="000000" w:themeColor="text1"/>
          <w:sz w:val="20"/>
          <w:szCs w:val="20"/>
        </w:rPr>
        <w:t>asked</w:t>
      </w:r>
      <w:r w:rsidR="00FF41A0">
        <w:rPr>
          <w:color w:val="000000" w:themeColor="text1"/>
          <w:sz w:val="20"/>
          <w:szCs w:val="20"/>
        </w:rPr>
        <w:t xml:space="preserve"> </w:t>
      </w:r>
      <w:r w:rsidR="00985537" w:rsidRPr="00113DE2">
        <w:rPr>
          <w:color w:val="000000" w:themeColor="text1"/>
          <w:sz w:val="20"/>
          <w:szCs w:val="20"/>
        </w:rPr>
        <w:t>the</w:t>
      </w:r>
      <w:r w:rsidR="00FF41A0">
        <w:rPr>
          <w:color w:val="000000" w:themeColor="text1"/>
          <w:sz w:val="20"/>
          <w:szCs w:val="20"/>
        </w:rPr>
        <w:t xml:space="preserve"> </w:t>
      </w:r>
      <w:r w:rsidR="00985537" w:rsidRPr="00113DE2">
        <w:rPr>
          <w:color w:val="000000" w:themeColor="text1"/>
          <w:sz w:val="20"/>
          <w:szCs w:val="20"/>
        </w:rPr>
        <w:t>presenters</w:t>
      </w:r>
      <w:r w:rsidR="00FF41A0">
        <w:rPr>
          <w:color w:val="000000" w:themeColor="text1"/>
          <w:sz w:val="20"/>
          <w:szCs w:val="20"/>
        </w:rPr>
        <w:t xml:space="preserve"> </w:t>
      </w:r>
      <w:r w:rsidR="00985537" w:rsidRPr="00113DE2">
        <w:rPr>
          <w:color w:val="000000" w:themeColor="text1"/>
          <w:sz w:val="20"/>
          <w:szCs w:val="20"/>
        </w:rPr>
        <w:t>questions:</w:t>
      </w:r>
    </w:p>
    <w:p w14:paraId="2BBE04B7" w14:textId="43E26AE3" w:rsidR="00985537" w:rsidRPr="00113DE2" w:rsidRDefault="00985537" w:rsidP="00985537">
      <w:pPr>
        <w:pStyle w:val="SingleTxtG"/>
        <w:ind w:firstLine="567"/>
        <w:rPr>
          <w:color w:val="000000" w:themeColor="text1"/>
          <w:sz w:val="20"/>
          <w:szCs w:val="20"/>
        </w:rPr>
      </w:pPr>
      <w:r w:rsidRPr="00113DE2">
        <w:rPr>
          <w:color w:val="000000" w:themeColor="text1"/>
          <w:sz w:val="20"/>
          <w:szCs w:val="20"/>
        </w:rPr>
        <w:t>(a)</w:t>
      </w:r>
      <w:r w:rsidRPr="00113DE2">
        <w:rPr>
          <w:color w:val="000000" w:themeColor="text1"/>
          <w:sz w:val="20"/>
          <w:szCs w:val="20"/>
        </w:rPr>
        <w:tab/>
        <w:t>Representatives</w:t>
      </w:r>
      <w:r w:rsidR="00FF41A0">
        <w:rPr>
          <w:color w:val="000000" w:themeColor="text1"/>
          <w:sz w:val="20"/>
          <w:szCs w:val="20"/>
        </w:rPr>
        <w:t xml:space="preserve"> </w:t>
      </w:r>
      <w:r w:rsidRPr="00113DE2">
        <w:rPr>
          <w:color w:val="000000" w:themeColor="text1"/>
          <w:sz w:val="20"/>
          <w:szCs w:val="20"/>
        </w:rPr>
        <w:t>of</w:t>
      </w:r>
      <w:r w:rsidR="00FF41A0">
        <w:rPr>
          <w:color w:val="000000" w:themeColor="text1"/>
          <w:sz w:val="20"/>
          <w:szCs w:val="20"/>
        </w:rPr>
        <w:t xml:space="preserve"> </w:t>
      </w:r>
      <w:r>
        <w:rPr>
          <w:color w:val="000000" w:themeColor="text1"/>
          <w:sz w:val="20"/>
          <w:szCs w:val="20"/>
        </w:rPr>
        <w:t>States</w:t>
      </w:r>
      <w:r w:rsidR="00FF41A0">
        <w:rPr>
          <w:color w:val="000000" w:themeColor="text1"/>
          <w:sz w:val="20"/>
          <w:szCs w:val="20"/>
        </w:rPr>
        <w:t xml:space="preserve"> </w:t>
      </w:r>
      <w:r>
        <w:rPr>
          <w:color w:val="000000" w:themeColor="text1"/>
          <w:sz w:val="20"/>
          <w:szCs w:val="20"/>
        </w:rPr>
        <w:t>Members</w:t>
      </w:r>
      <w:r w:rsidR="00FF41A0">
        <w:rPr>
          <w:color w:val="000000" w:themeColor="text1"/>
          <w:sz w:val="20"/>
          <w:szCs w:val="20"/>
        </w:rPr>
        <w:t xml:space="preserve"> </w:t>
      </w:r>
      <w:r w:rsidRPr="00113DE2">
        <w:rPr>
          <w:color w:val="000000" w:themeColor="text1"/>
          <w:sz w:val="20"/>
          <w:szCs w:val="20"/>
        </w:rPr>
        <w:t>of</w:t>
      </w:r>
      <w:r w:rsidR="00FF41A0">
        <w:rPr>
          <w:color w:val="000000" w:themeColor="text1"/>
          <w:sz w:val="20"/>
          <w:szCs w:val="20"/>
        </w:rPr>
        <w:t xml:space="preserve"> </w:t>
      </w:r>
      <w:r w:rsidRPr="00113DE2">
        <w:rPr>
          <w:color w:val="000000" w:themeColor="text1"/>
          <w:sz w:val="20"/>
          <w:szCs w:val="20"/>
        </w:rPr>
        <w:t>the</w:t>
      </w:r>
      <w:r w:rsidR="00FF41A0">
        <w:rPr>
          <w:color w:val="000000" w:themeColor="text1"/>
          <w:sz w:val="20"/>
          <w:szCs w:val="20"/>
        </w:rPr>
        <w:t xml:space="preserve"> </w:t>
      </w:r>
      <w:r w:rsidRPr="00113DE2">
        <w:rPr>
          <w:color w:val="000000" w:themeColor="text1"/>
          <w:sz w:val="20"/>
          <w:szCs w:val="20"/>
        </w:rPr>
        <w:t>Human</w:t>
      </w:r>
      <w:r w:rsidR="00FF41A0">
        <w:rPr>
          <w:color w:val="000000" w:themeColor="text1"/>
          <w:sz w:val="20"/>
          <w:szCs w:val="20"/>
        </w:rPr>
        <w:t xml:space="preserve"> </w:t>
      </w:r>
      <w:r w:rsidRPr="00113DE2">
        <w:rPr>
          <w:color w:val="000000" w:themeColor="text1"/>
          <w:sz w:val="20"/>
          <w:szCs w:val="20"/>
        </w:rPr>
        <w:t>Rights</w:t>
      </w:r>
      <w:r w:rsidR="00FF41A0">
        <w:rPr>
          <w:color w:val="000000" w:themeColor="text1"/>
          <w:sz w:val="20"/>
          <w:szCs w:val="20"/>
        </w:rPr>
        <w:t xml:space="preserve"> </w:t>
      </w:r>
      <w:r w:rsidRPr="00113DE2">
        <w:rPr>
          <w:color w:val="000000" w:themeColor="text1"/>
          <w:sz w:val="20"/>
          <w:szCs w:val="20"/>
        </w:rPr>
        <w:t>Council:</w:t>
      </w:r>
      <w:r w:rsidR="00FF41A0">
        <w:rPr>
          <w:color w:val="000000" w:themeColor="text1"/>
          <w:sz w:val="20"/>
          <w:szCs w:val="20"/>
        </w:rPr>
        <w:t xml:space="preserve"> </w:t>
      </w:r>
      <w:r w:rsidR="005F1A72" w:rsidRPr="005F1A72">
        <w:rPr>
          <w:color w:val="000000" w:themeColor="text1"/>
          <w:sz w:val="20"/>
          <w:szCs w:val="20"/>
        </w:rPr>
        <w:t>Angola</w:t>
      </w:r>
      <w:r w:rsidR="00FF41A0">
        <w:rPr>
          <w:color w:val="000000" w:themeColor="text1"/>
          <w:sz w:val="20"/>
          <w:szCs w:val="20"/>
        </w:rPr>
        <w:t xml:space="preserve"> </w:t>
      </w:r>
      <w:r w:rsidR="005F1A72">
        <w:rPr>
          <w:color w:val="000000" w:themeColor="text1"/>
          <w:sz w:val="20"/>
          <w:szCs w:val="20"/>
        </w:rPr>
        <w:t>(also</w:t>
      </w:r>
      <w:r w:rsidR="00FF41A0">
        <w:rPr>
          <w:color w:val="000000" w:themeColor="text1"/>
          <w:sz w:val="20"/>
          <w:szCs w:val="20"/>
        </w:rPr>
        <w:t xml:space="preserve"> </w:t>
      </w:r>
      <w:r w:rsidR="005F1A72" w:rsidRPr="005F1A72">
        <w:rPr>
          <w:color w:val="000000" w:themeColor="text1"/>
          <w:sz w:val="20"/>
          <w:szCs w:val="20"/>
        </w:rPr>
        <w:t>on</w:t>
      </w:r>
      <w:r w:rsidR="00FF41A0">
        <w:rPr>
          <w:color w:val="000000" w:themeColor="text1"/>
          <w:sz w:val="20"/>
          <w:szCs w:val="20"/>
        </w:rPr>
        <w:t xml:space="preserve"> </w:t>
      </w:r>
      <w:r w:rsidR="005F1A72" w:rsidRPr="005F1A72">
        <w:rPr>
          <w:color w:val="000000" w:themeColor="text1"/>
          <w:sz w:val="20"/>
          <w:szCs w:val="20"/>
        </w:rPr>
        <w:t>behalf</w:t>
      </w:r>
      <w:r w:rsidR="00FF41A0">
        <w:rPr>
          <w:color w:val="000000" w:themeColor="text1"/>
          <w:sz w:val="20"/>
          <w:szCs w:val="20"/>
        </w:rPr>
        <w:t xml:space="preserve"> </w:t>
      </w:r>
      <w:r w:rsidR="005F1A72" w:rsidRPr="005F1A72">
        <w:rPr>
          <w:color w:val="000000" w:themeColor="text1"/>
          <w:sz w:val="20"/>
          <w:szCs w:val="20"/>
        </w:rPr>
        <w:t>of</w:t>
      </w:r>
      <w:r w:rsidR="00FF41A0">
        <w:rPr>
          <w:color w:val="000000" w:themeColor="text1"/>
          <w:sz w:val="20"/>
          <w:szCs w:val="20"/>
        </w:rPr>
        <w:t xml:space="preserve"> </w:t>
      </w:r>
      <w:r w:rsidR="005F1A72" w:rsidRPr="005F1A72">
        <w:rPr>
          <w:color w:val="000000" w:themeColor="text1"/>
          <w:sz w:val="20"/>
          <w:szCs w:val="20"/>
        </w:rPr>
        <w:t>the</w:t>
      </w:r>
      <w:r w:rsidR="00FF41A0">
        <w:rPr>
          <w:color w:val="000000" w:themeColor="text1"/>
          <w:sz w:val="20"/>
          <w:szCs w:val="20"/>
        </w:rPr>
        <w:t xml:space="preserve"> </w:t>
      </w:r>
      <w:r w:rsidR="005F1A72" w:rsidRPr="005F1A72">
        <w:rPr>
          <w:color w:val="000000" w:themeColor="text1"/>
          <w:sz w:val="20"/>
          <w:szCs w:val="20"/>
        </w:rPr>
        <w:t>Group</w:t>
      </w:r>
      <w:r w:rsidR="00FF41A0">
        <w:rPr>
          <w:color w:val="000000" w:themeColor="text1"/>
          <w:sz w:val="20"/>
          <w:szCs w:val="20"/>
        </w:rPr>
        <w:t xml:space="preserve"> </w:t>
      </w:r>
      <w:r w:rsidR="005F1A72">
        <w:rPr>
          <w:color w:val="000000" w:themeColor="text1"/>
          <w:sz w:val="20"/>
          <w:szCs w:val="20"/>
        </w:rPr>
        <w:t>of</w:t>
      </w:r>
      <w:r w:rsidR="00FF41A0">
        <w:rPr>
          <w:color w:val="000000" w:themeColor="text1"/>
          <w:sz w:val="20"/>
          <w:szCs w:val="20"/>
        </w:rPr>
        <w:t xml:space="preserve"> </w:t>
      </w:r>
      <w:r w:rsidR="005F1A72" w:rsidRPr="005F1A72">
        <w:rPr>
          <w:color w:val="000000" w:themeColor="text1"/>
          <w:sz w:val="20"/>
          <w:szCs w:val="20"/>
        </w:rPr>
        <w:t>African</w:t>
      </w:r>
      <w:r w:rsidR="00FF41A0">
        <w:rPr>
          <w:color w:val="000000" w:themeColor="text1"/>
          <w:sz w:val="20"/>
          <w:szCs w:val="20"/>
        </w:rPr>
        <w:t xml:space="preserve"> </w:t>
      </w:r>
      <w:r w:rsidR="005F1A72">
        <w:rPr>
          <w:color w:val="000000" w:themeColor="text1"/>
          <w:sz w:val="20"/>
          <w:szCs w:val="20"/>
        </w:rPr>
        <w:t>States),</w:t>
      </w:r>
      <w:r w:rsidR="00FF41A0">
        <w:rPr>
          <w:color w:val="000000" w:themeColor="text1"/>
          <w:sz w:val="20"/>
          <w:szCs w:val="20"/>
        </w:rPr>
        <w:t xml:space="preserve"> </w:t>
      </w:r>
      <w:r w:rsidR="005F1A72" w:rsidRPr="005F1A72">
        <w:rPr>
          <w:color w:val="000000" w:themeColor="text1"/>
          <w:sz w:val="20"/>
          <w:szCs w:val="20"/>
        </w:rPr>
        <w:t>Australia</w:t>
      </w:r>
      <w:r w:rsidR="005F1A72">
        <w:rPr>
          <w:color w:val="000000" w:themeColor="text1"/>
          <w:sz w:val="20"/>
          <w:szCs w:val="20"/>
        </w:rPr>
        <w:t>,</w:t>
      </w:r>
      <w:r w:rsidR="00FF41A0">
        <w:rPr>
          <w:color w:val="000000" w:themeColor="text1"/>
          <w:sz w:val="20"/>
          <w:szCs w:val="20"/>
        </w:rPr>
        <w:t xml:space="preserve"> </w:t>
      </w:r>
      <w:r w:rsidR="005F1A72" w:rsidRPr="005F1A72">
        <w:rPr>
          <w:color w:val="000000" w:themeColor="text1"/>
          <w:sz w:val="20"/>
          <w:szCs w:val="20"/>
        </w:rPr>
        <w:t>Austria</w:t>
      </w:r>
      <w:r w:rsidR="005F1A72">
        <w:rPr>
          <w:color w:val="000000" w:themeColor="text1"/>
          <w:sz w:val="20"/>
          <w:szCs w:val="20"/>
        </w:rPr>
        <w:t>,</w:t>
      </w:r>
      <w:r w:rsidR="00FF41A0">
        <w:rPr>
          <w:color w:val="000000" w:themeColor="text1"/>
          <w:sz w:val="20"/>
          <w:szCs w:val="20"/>
        </w:rPr>
        <w:t xml:space="preserve"> </w:t>
      </w:r>
      <w:r w:rsidR="005F1A72" w:rsidRPr="005F1A72">
        <w:rPr>
          <w:color w:val="000000" w:themeColor="text1"/>
          <w:sz w:val="20"/>
          <w:szCs w:val="20"/>
        </w:rPr>
        <w:t>Cameroon</w:t>
      </w:r>
      <w:r w:rsidR="005F1A72">
        <w:rPr>
          <w:color w:val="000000" w:themeColor="text1"/>
          <w:sz w:val="20"/>
          <w:szCs w:val="20"/>
        </w:rPr>
        <w:t>,</w:t>
      </w:r>
      <w:r w:rsidR="00FF41A0">
        <w:rPr>
          <w:color w:val="000000" w:themeColor="text1"/>
          <w:sz w:val="20"/>
          <w:szCs w:val="20"/>
        </w:rPr>
        <w:t xml:space="preserve"> </w:t>
      </w:r>
      <w:r w:rsidR="005F1A72" w:rsidRPr="005F1A72">
        <w:rPr>
          <w:color w:val="000000" w:themeColor="text1"/>
          <w:sz w:val="20"/>
          <w:szCs w:val="20"/>
        </w:rPr>
        <w:t>China</w:t>
      </w:r>
      <w:r w:rsidR="005F1A72">
        <w:rPr>
          <w:color w:val="000000" w:themeColor="text1"/>
          <w:sz w:val="20"/>
          <w:szCs w:val="20"/>
        </w:rPr>
        <w:t>,</w:t>
      </w:r>
      <w:r w:rsidR="00FF41A0">
        <w:rPr>
          <w:color w:val="000000" w:themeColor="text1"/>
          <w:sz w:val="20"/>
          <w:szCs w:val="20"/>
        </w:rPr>
        <w:t xml:space="preserve"> </w:t>
      </w:r>
      <w:r w:rsidR="005F1A72" w:rsidRPr="005F1A72">
        <w:rPr>
          <w:color w:val="000000" w:themeColor="text1"/>
          <w:sz w:val="20"/>
          <w:szCs w:val="20"/>
        </w:rPr>
        <w:t>Czechi</w:t>
      </w:r>
      <w:r w:rsidR="005F1A72">
        <w:rPr>
          <w:color w:val="000000" w:themeColor="text1"/>
          <w:sz w:val="20"/>
          <w:szCs w:val="20"/>
        </w:rPr>
        <w:t>a,</w:t>
      </w:r>
      <w:r w:rsidR="00FF41A0">
        <w:rPr>
          <w:color w:val="000000" w:themeColor="text1"/>
          <w:sz w:val="20"/>
          <w:szCs w:val="20"/>
        </w:rPr>
        <w:t xml:space="preserve"> </w:t>
      </w:r>
      <w:r w:rsidR="005F1A72" w:rsidRPr="005F1A72">
        <w:rPr>
          <w:color w:val="000000" w:themeColor="text1"/>
          <w:sz w:val="20"/>
          <w:szCs w:val="20"/>
        </w:rPr>
        <w:t>Egypt</w:t>
      </w:r>
      <w:r w:rsidR="005F1A72">
        <w:rPr>
          <w:color w:val="000000" w:themeColor="text1"/>
          <w:sz w:val="20"/>
          <w:szCs w:val="20"/>
        </w:rPr>
        <w:t>,</w:t>
      </w:r>
      <w:r w:rsidR="00FF41A0">
        <w:rPr>
          <w:color w:val="000000" w:themeColor="text1"/>
          <w:sz w:val="20"/>
          <w:szCs w:val="20"/>
        </w:rPr>
        <w:t xml:space="preserve"> </w:t>
      </w:r>
      <w:r w:rsidR="005F1A72" w:rsidRPr="005F1A72">
        <w:rPr>
          <w:color w:val="000000" w:themeColor="text1"/>
          <w:sz w:val="20"/>
          <w:szCs w:val="20"/>
        </w:rPr>
        <w:t>Norway</w:t>
      </w:r>
      <w:r w:rsidR="000943B0">
        <w:rPr>
          <w:rStyle w:val="FootnoteReference"/>
          <w:color w:val="000000" w:themeColor="text1"/>
          <w:szCs w:val="20"/>
        </w:rPr>
        <w:footnoteReference w:id="79"/>
      </w:r>
      <w:r w:rsidR="00FF41A0">
        <w:rPr>
          <w:color w:val="000000" w:themeColor="text1"/>
          <w:sz w:val="20"/>
          <w:szCs w:val="20"/>
        </w:rPr>
        <w:t xml:space="preserve"> </w:t>
      </w:r>
      <w:r w:rsidR="005F1A72">
        <w:rPr>
          <w:color w:val="000000" w:themeColor="text1"/>
          <w:sz w:val="20"/>
          <w:szCs w:val="20"/>
        </w:rPr>
        <w:t>(</w:t>
      </w:r>
      <w:r w:rsidR="005F1A72" w:rsidRPr="00E02CD1">
        <w:rPr>
          <w:color w:val="000000" w:themeColor="text1"/>
          <w:sz w:val="20"/>
          <w:szCs w:val="20"/>
        </w:rPr>
        <w:t>also</w:t>
      </w:r>
      <w:r w:rsidR="00FF41A0">
        <w:rPr>
          <w:color w:val="000000" w:themeColor="text1"/>
          <w:sz w:val="20"/>
          <w:szCs w:val="20"/>
        </w:rPr>
        <w:t xml:space="preserve"> </w:t>
      </w:r>
      <w:r w:rsidR="005F1A72" w:rsidRPr="00E02CD1">
        <w:rPr>
          <w:color w:val="000000" w:themeColor="text1"/>
          <w:sz w:val="20"/>
          <w:szCs w:val="20"/>
        </w:rPr>
        <w:t>on</w:t>
      </w:r>
      <w:r w:rsidR="00FF41A0">
        <w:rPr>
          <w:color w:val="000000" w:themeColor="text1"/>
          <w:sz w:val="20"/>
          <w:szCs w:val="20"/>
        </w:rPr>
        <w:t xml:space="preserve"> </w:t>
      </w:r>
      <w:r w:rsidR="005F1A72" w:rsidRPr="00E02CD1">
        <w:rPr>
          <w:color w:val="000000" w:themeColor="text1"/>
          <w:sz w:val="20"/>
          <w:szCs w:val="20"/>
        </w:rPr>
        <w:t>behalf</w:t>
      </w:r>
      <w:r w:rsidR="00FF41A0">
        <w:rPr>
          <w:color w:val="000000" w:themeColor="text1"/>
          <w:sz w:val="20"/>
          <w:szCs w:val="20"/>
        </w:rPr>
        <w:t xml:space="preserve"> </w:t>
      </w:r>
      <w:r w:rsidR="005F1A72" w:rsidRPr="00E02CD1">
        <w:rPr>
          <w:color w:val="000000" w:themeColor="text1"/>
          <w:sz w:val="20"/>
          <w:szCs w:val="20"/>
        </w:rPr>
        <w:t>of</w:t>
      </w:r>
      <w:r w:rsidR="00FF41A0">
        <w:rPr>
          <w:color w:val="000000" w:themeColor="text1"/>
          <w:sz w:val="20"/>
          <w:szCs w:val="20"/>
        </w:rPr>
        <w:t xml:space="preserve"> </w:t>
      </w:r>
      <w:r w:rsidR="00E02CD1">
        <w:rPr>
          <w:color w:val="000000" w:themeColor="text1"/>
          <w:sz w:val="20"/>
          <w:szCs w:val="20"/>
        </w:rPr>
        <w:t>Denmark,</w:t>
      </w:r>
      <w:r w:rsidR="00FF41A0">
        <w:rPr>
          <w:color w:val="000000" w:themeColor="text1"/>
          <w:sz w:val="20"/>
          <w:szCs w:val="20"/>
        </w:rPr>
        <w:t xml:space="preserve"> </w:t>
      </w:r>
      <w:r w:rsidR="00E02CD1">
        <w:rPr>
          <w:color w:val="000000" w:themeColor="text1"/>
          <w:sz w:val="20"/>
          <w:szCs w:val="20"/>
        </w:rPr>
        <w:t>Finland,</w:t>
      </w:r>
      <w:r w:rsidR="00FF41A0">
        <w:rPr>
          <w:color w:val="000000" w:themeColor="text1"/>
          <w:sz w:val="20"/>
          <w:szCs w:val="20"/>
        </w:rPr>
        <w:t xml:space="preserve"> </w:t>
      </w:r>
      <w:r w:rsidR="00E02CD1">
        <w:rPr>
          <w:color w:val="000000" w:themeColor="text1"/>
          <w:sz w:val="20"/>
          <w:szCs w:val="20"/>
        </w:rPr>
        <w:t>Iceland</w:t>
      </w:r>
      <w:r w:rsidR="00FF41A0">
        <w:rPr>
          <w:color w:val="000000" w:themeColor="text1"/>
          <w:sz w:val="20"/>
          <w:szCs w:val="20"/>
        </w:rPr>
        <w:t xml:space="preserve"> </w:t>
      </w:r>
      <w:r w:rsidR="00E02CD1">
        <w:rPr>
          <w:color w:val="000000" w:themeColor="text1"/>
          <w:sz w:val="20"/>
          <w:szCs w:val="20"/>
        </w:rPr>
        <w:t>and</w:t>
      </w:r>
      <w:r w:rsidR="00FF41A0">
        <w:rPr>
          <w:color w:val="000000" w:themeColor="text1"/>
          <w:sz w:val="20"/>
          <w:szCs w:val="20"/>
        </w:rPr>
        <w:t xml:space="preserve"> </w:t>
      </w:r>
      <w:r w:rsidR="00E02CD1">
        <w:rPr>
          <w:color w:val="000000" w:themeColor="text1"/>
          <w:sz w:val="20"/>
          <w:szCs w:val="20"/>
        </w:rPr>
        <w:t>Sweden</w:t>
      </w:r>
      <w:r w:rsidR="005F1A72">
        <w:rPr>
          <w:color w:val="000000" w:themeColor="text1"/>
          <w:sz w:val="20"/>
          <w:szCs w:val="20"/>
        </w:rPr>
        <w:t>),</w:t>
      </w:r>
      <w:r w:rsidR="00FF41A0">
        <w:rPr>
          <w:color w:val="000000" w:themeColor="text1"/>
          <w:sz w:val="20"/>
          <w:szCs w:val="20"/>
        </w:rPr>
        <w:t xml:space="preserve"> </w:t>
      </w:r>
      <w:r w:rsidR="005F1A72" w:rsidRPr="005F1A72">
        <w:rPr>
          <w:color w:val="000000" w:themeColor="text1"/>
          <w:sz w:val="20"/>
          <w:szCs w:val="20"/>
        </w:rPr>
        <w:t>Spain</w:t>
      </w:r>
      <w:r w:rsidR="00D26DF3">
        <w:rPr>
          <w:color w:val="000000" w:themeColor="text1"/>
          <w:sz w:val="20"/>
          <w:szCs w:val="20"/>
        </w:rPr>
        <w:t>,</w:t>
      </w:r>
      <w:r w:rsidR="00FF41A0">
        <w:rPr>
          <w:color w:val="000000" w:themeColor="text1"/>
          <w:sz w:val="20"/>
          <w:szCs w:val="20"/>
        </w:rPr>
        <w:t xml:space="preserve"> </w:t>
      </w:r>
      <w:r w:rsidR="00D26DF3" w:rsidRPr="005F1A72">
        <w:rPr>
          <w:color w:val="000000" w:themeColor="text1"/>
          <w:sz w:val="20"/>
          <w:szCs w:val="20"/>
        </w:rPr>
        <w:t>Togo</w:t>
      </w:r>
      <w:r w:rsidR="00D26DF3">
        <w:rPr>
          <w:color w:val="000000" w:themeColor="text1"/>
          <w:sz w:val="20"/>
          <w:szCs w:val="20"/>
        </w:rPr>
        <w:t>,</w:t>
      </w:r>
      <w:r w:rsidR="00FF41A0">
        <w:rPr>
          <w:color w:val="000000" w:themeColor="text1"/>
          <w:sz w:val="20"/>
          <w:szCs w:val="20"/>
        </w:rPr>
        <w:t xml:space="preserve"> </w:t>
      </w:r>
      <w:r w:rsidR="00D26DF3" w:rsidRPr="005F1A72">
        <w:rPr>
          <w:color w:val="000000" w:themeColor="text1"/>
          <w:sz w:val="20"/>
          <w:szCs w:val="20"/>
        </w:rPr>
        <w:t>Ukraine</w:t>
      </w:r>
      <w:r w:rsidR="00D26DF3">
        <w:rPr>
          <w:color w:val="000000" w:themeColor="text1"/>
          <w:sz w:val="20"/>
          <w:szCs w:val="20"/>
        </w:rPr>
        <w:t>,</w:t>
      </w:r>
      <w:r w:rsidR="00FF41A0">
        <w:rPr>
          <w:color w:val="000000" w:themeColor="text1"/>
          <w:sz w:val="20"/>
          <w:szCs w:val="20"/>
        </w:rPr>
        <w:t xml:space="preserve"> </w:t>
      </w:r>
      <w:r w:rsidR="00D26DF3" w:rsidRPr="005F1A72">
        <w:rPr>
          <w:color w:val="000000" w:themeColor="text1"/>
          <w:sz w:val="20"/>
          <w:szCs w:val="20"/>
        </w:rPr>
        <w:t>United</w:t>
      </w:r>
      <w:r w:rsidR="00FF41A0">
        <w:rPr>
          <w:color w:val="000000" w:themeColor="text1"/>
          <w:sz w:val="20"/>
          <w:szCs w:val="20"/>
        </w:rPr>
        <w:t xml:space="preserve"> </w:t>
      </w:r>
      <w:r w:rsidR="00D26DF3" w:rsidRPr="005F1A72">
        <w:rPr>
          <w:color w:val="000000" w:themeColor="text1"/>
          <w:sz w:val="20"/>
          <w:szCs w:val="20"/>
        </w:rPr>
        <w:t>Kingdom</w:t>
      </w:r>
      <w:r w:rsidR="00FF41A0">
        <w:rPr>
          <w:color w:val="000000" w:themeColor="text1"/>
          <w:sz w:val="20"/>
          <w:szCs w:val="20"/>
        </w:rPr>
        <w:t xml:space="preserve"> </w:t>
      </w:r>
      <w:r w:rsidR="00D26DF3" w:rsidRPr="005F1A72">
        <w:rPr>
          <w:color w:val="000000" w:themeColor="text1"/>
          <w:sz w:val="20"/>
          <w:szCs w:val="20"/>
        </w:rPr>
        <w:t>of</w:t>
      </w:r>
      <w:r w:rsidR="00FF41A0">
        <w:rPr>
          <w:color w:val="000000" w:themeColor="text1"/>
          <w:sz w:val="20"/>
          <w:szCs w:val="20"/>
        </w:rPr>
        <w:t xml:space="preserve"> </w:t>
      </w:r>
      <w:r w:rsidR="00D26DF3" w:rsidRPr="005F1A72">
        <w:rPr>
          <w:color w:val="000000" w:themeColor="text1"/>
          <w:sz w:val="20"/>
          <w:szCs w:val="20"/>
        </w:rPr>
        <w:t>Great</w:t>
      </w:r>
      <w:r w:rsidR="00FF41A0">
        <w:rPr>
          <w:color w:val="000000" w:themeColor="text1"/>
          <w:sz w:val="20"/>
          <w:szCs w:val="20"/>
        </w:rPr>
        <w:t xml:space="preserve"> </w:t>
      </w:r>
      <w:r w:rsidR="00D26DF3" w:rsidRPr="005F1A72">
        <w:rPr>
          <w:color w:val="000000" w:themeColor="text1"/>
          <w:sz w:val="20"/>
          <w:szCs w:val="20"/>
        </w:rPr>
        <w:t>Britain</w:t>
      </w:r>
      <w:r w:rsidR="00FF41A0">
        <w:rPr>
          <w:color w:val="000000" w:themeColor="text1"/>
          <w:sz w:val="20"/>
          <w:szCs w:val="20"/>
        </w:rPr>
        <w:t xml:space="preserve"> </w:t>
      </w:r>
      <w:r w:rsidR="00D26DF3" w:rsidRPr="005F1A72">
        <w:rPr>
          <w:color w:val="000000" w:themeColor="text1"/>
          <w:sz w:val="20"/>
          <w:szCs w:val="20"/>
        </w:rPr>
        <w:t>and</w:t>
      </w:r>
      <w:r w:rsidR="00FF41A0">
        <w:rPr>
          <w:color w:val="000000" w:themeColor="text1"/>
          <w:sz w:val="20"/>
          <w:szCs w:val="20"/>
        </w:rPr>
        <w:t xml:space="preserve"> </w:t>
      </w:r>
      <w:r w:rsidR="00D26DF3" w:rsidRPr="005F1A72">
        <w:rPr>
          <w:color w:val="000000" w:themeColor="text1"/>
          <w:sz w:val="20"/>
          <w:szCs w:val="20"/>
        </w:rPr>
        <w:t>Northern</w:t>
      </w:r>
      <w:r w:rsidR="00FF41A0">
        <w:rPr>
          <w:color w:val="000000" w:themeColor="text1"/>
          <w:sz w:val="20"/>
          <w:szCs w:val="20"/>
        </w:rPr>
        <w:t xml:space="preserve"> </w:t>
      </w:r>
      <w:r w:rsidR="00D26DF3" w:rsidRPr="005F1A72">
        <w:rPr>
          <w:color w:val="000000" w:themeColor="text1"/>
          <w:sz w:val="20"/>
          <w:szCs w:val="20"/>
        </w:rPr>
        <w:t>Ireland</w:t>
      </w:r>
      <w:r w:rsidRPr="00113DE2">
        <w:rPr>
          <w:color w:val="000000" w:themeColor="text1"/>
          <w:sz w:val="20"/>
          <w:szCs w:val="20"/>
        </w:rPr>
        <w:t>;</w:t>
      </w:r>
    </w:p>
    <w:p w14:paraId="33C7AB1C" w14:textId="3A320A75" w:rsidR="00985537" w:rsidRPr="00113DE2" w:rsidRDefault="00985537" w:rsidP="00985537">
      <w:pPr>
        <w:pStyle w:val="SingleTxtG"/>
        <w:ind w:firstLine="567"/>
        <w:rPr>
          <w:color w:val="000000" w:themeColor="text1"/>
          <w:sz w:val="20"/>
          <w:szCs w:val="20"/>
        </w:rPr>
      </w:pPr>
      <w:r w:rsidRPr="00113DE2">
        <w:rPr>
          <w:color w:val="000000" w:themeColor="text1"/>
          <w:sz w:val="20"/>
          <w:szCs w:val="20"/>
        </w:rPr>
        <w:t>(b)</w:t>
      </w:r>
      <w:r w:rsidRPr="00113DE2">
        <w:rPr>
          <w:color w:val="000000" w:themeColor="text1"/>
          <w:sz w:val="20"/>
          <w:szCs w:val="20"/>
        </w:rPr>
        <w:tab/>
        <w:t>Representatives</w:t>
      </w:r>
      <w:r w:rsidR="00FF41A0">
        <w:rPr>
          <w:color w:val="000000" w:themeColor="text1"/>
          <w:sz w:val="20"/>
          <w:szCs w:val="20"/>
        </w:rPr>
        <w:t xml:space="preserve"> </w:t>
      </w:r>
      <w:r w:rsidRPr="00113DE2">
        <w:rPr>
          <w:color w:val="000000" w:themeColor="text1"/>
          <w:sz w:val="20"/>
          <w:szCs w:val="20"/>
        </w:rPr>
        <w:t>of</w:t>
      </w:r>
      <w:r w:rsidR="00FF41A0">
        <w:rPr>
          <w:color w:val="000000" w:themeColor="text1"/>
          <w:sz w:val="20"/>
          <w:szCs w:val="20"/>
        </w:rPr>
        <w:t xml:space="preserve"> </w:t>
      </w:r>
      <w:r w:rsidRPr="00113DE2">
        <w:rPr>
          <w:color w:val="000000" w:themeColor="text1"/>
          <w:sz w:val="20"/>
          <w:szCs w:val="20"/>
        </w:rPr>
        <w:t>observer</w:t>
      </w:r>
      <w:r w:rsidR="00FF41A0">
        <w:rPr>
          <w:color w:val="000000" w:themeColor="text1"/>
          <w:sz w:val="20"/>
          <w:szCs w:val="20"/>
        </w:rPr>
        <w:t xml:space="preserve"> </w:t>
      </w:r>
      <w:r w:rsidRPr="00113DE2">
        <w:rPr>
          <w:color w:val="000000" w:themeColor="text1"/>
          <w:sz w:val="20"/>
          <w:szCs w:val="20"/>
        </w:rPr>
        <w:t>States:</w:t>
      </w:r>
      <w:r w:rsidR="00FF41A0">
        <w:rPr>
          <w:color w:val="000000" w:themeColor="text1"/>
          <w:sz w:val="20"/>
          <w:szCs w:val="20"/>
        </w:rPr>
        <w:t xml:space="preserve"> </w:t>
      </w:r>
      <w:r w:rsidR="00D26DF3" w:rsidRPr="005F1A72">
        <w:rPr>
          <w:color w:val="000000" w:themeColor="text1"/>
          <w:sz w:val="20"/>
          <w:szCs w:val="20"/>
        </w:rPr>
        <w:t>Belgium</w:t>
      </w:r>
      <w:r w:rsidR="00D26DF3">
        <w:rPr>
          <w:color w:val="000000" w:themeColor="text1"/>
          <w:sz w:val="20"/>
          <w:szCs w:val="20"/>
        </w:rPr>
        <w:t>,</w:t>
      </w:r>
      <w:r w:rsidR="00FF41A0">
        <w:rPr>
          <w:color w:val="000000" w:themeColor="text1"/>
          <w:sz w:val="20"/>
          <w:szCs w:val="20"/>
        </w:rPr>
        <w:t xml:space="preserve"> </w:t>
      </w:r>
      <w:r w:rsidR="00D26DF3" w:rsidRPr="005F1A72">
        <w:rPr>
          <w:color w:val="000000" w:themeColor="text1"/>
          <w:sz w:val="20"/>
          <w:szCs w:val="20"/>
        </w:rPr>
        <w:t>Botswana</w:t>
      </w:r>
      <w:r w:rsidR="00D26DF3">
        <w:rPr>
          <w:color w:val="000000" w:themeColor="text1"/>
          <w:sz w:val="20"/>
          <w:szCs w:val="20"/>
        </w:rPr>
        <w:t>,</w:t>
      </w:r>
      <w:r w:rsidR="00FF41A0">
        <w:rPr>
          <w:color w:val="000000" w:themeColor="text1"/>
          <w:sz w:val="20"/>
          <w:szCs w:val="20"/>
        </w:rPr>
        <w:t xml:space="preserve"> </w:t>
      </w:r>
      <w:r w:rsidR="00D26DF3" w:rsidRPr="005F1A72">
        <w:rPr>
          <w:color w:val="000000" w:themeColor="text1"/>
          <w:sz w:val="20"/>
          <w:szCs w:val="20"/>
        </w:rPr>
        <w:t>Congo</w:t>
      </w:r>
      <w:r w:rsidR="00D26DF3">
        <w:rPr>
          <w:color w:val="000000" w:themeColor="text1"/>
          <w:sz w:val="20"/>
          <w:szCs w:val="20"/>
        </w:rPr>
        <w:t>,</w:t>
      </w:r>
      <w:r w:rsidR="00FF41A0">
        <w:rPr>
          <w:color w:val="000000" w:themeColor="text1"/>
          <w:sz w:val="20"/>
          <w:szCs w:val="20"/>
        </w:rPr>
        <w:t xml:space="preserve"> </w:t>
      </w:r>
      <w:r w:rsidR="00D26DF3" w:rsidRPr="005F1A72">
        <w:rPr>
          <w:color w:val="000000" w:themeColor="text1"/>
          <w:sz w:val="20"/>
          <w:szCs w:val="20"/>
        </w:rPr>
        <w:t>France</w:t>
      </w:r>
      <w:r w:rsidR="00D26DF3">
        <w:rPr>
          <w:color w:val="000000" w:themeColor="text1"/>
          <w:sz w:val="20"/>
          <w:szCs w:val="20"/>
        </w:rPr>
        <w:t>,</w:t>
      </w:r>
      <w:r w:rsidR="00FF41A0">
        <w:rPr>
          <w:color w:val="000000" w:themeColor="text1"/>
          <w:sz w:val="20"/>
          <w:szCs w:val="20"/>
        </w:rPr>
        <w:t xml:space="preserve"> </w:t>
      </w:r>
      <w:r w:rsidR="00D26DF3" w:rsidRPr="005F1A72">
        <w:rPr>
          <w:color w:val="000000" w:themeColor="text1"/>
          <w:sz w:val="20"/>
          <w:szCs w:val="20"/>
        </w:rPr>
        <w:t>Germany</w:t>
      </w:r>
      <w:r w:rsidR="00D26DF3">
        <w:rPr>
          <w:color w:val="000000" w:themeColor="text1"/>
          <w:sz w:val="20"/>
          <w:szCs w:val="20"/>
        </w:rPr>
        <w:t>,</w:t>
      </w:r>
      <w:r w:rsidR="00FF41A0">
        <w:rPr>
          <w:color w:val="000000" w:themeColor="text1"/>
          <w:sz w:val="20"/>
          <w:szCs w:val="20"/>
        </w:rPr>
        <w:t xml:space="preserve"> </w:t>
      </w:r>
      <w:r w:rsidR="00D26DF3" w:rsidRPr="005F1A72">
        <w:rPr>
          <w:color w:val="000000" w:themeColor="text1"/>
          <w:sz w:val="20"/>
          <w:szCs w:val="20"/>
        </w:rPr>
        <w:t>Ireland</w:t>
      </w:r>
      <w:r w:rsidR="00D26DF3">
        <w:rPr>
          <w:color w:val="000000" w:themeColor="text1"/>
          <w:sz w:val="20"/>
          <w:szCs w:val="20"/>
        </w:rPr>
        <w:t>,</w:t>
      </w:r>
      <w:r w:rsidR="00FF41A0">
        <w:rPr>
          <w:color w:val="000000" w:themeColor="text1"/>
          <w:sz w:val="20"/>
          <w:szCs w:val="20"/>
        </w:rPr>
        <w:t xml:space="preserve"> </w:t>
      </w:r>
      <w:r w:rsidR="00D26DF3" w:rsidRPr="005F1A72">
        <w:rPr>
          <w:color w:val="000000" w:themeColor="text1"/>
          <w:sz w:val="20"/>
          <w:szCs w:val="20"/>
        </w:rPr>
        <w:t>Mozambique</w:t>
      </w:r>
      <w:r w:rsidR="00D26DF3">
        <w:rPr>
          <w:color w:val="000000" w:themeColor="text1"/>
          <w:sz w:val="20"/>
          <w:szCs w:val="20"/>
        </w:rPr>
        <w:t>,</w:t>
      </w:r>
      <w:r w:rsidR="00FF41A0">
        <w:rPr>
          <w:color w:val="000000" w:themeColor="text1"/>
          <w:sz w:val="20"/>
          <w:szCs w:val="20"/>
        </w:rPr>
        <w:t xml:space="preserve"> </w:t>
      </w:r>
      <w:r w:rsidR="00D26DF3" w:rsidRPr="005F1A72">
        <w:rPr>
          <w:color w:val="000000" w:themeColor="text1"/>
          <w:sz w:val="20"/>
          <w:szCs w:val="20"/>
        </w:rPr>
        <w:t>Netherlands</w:t>
      </w:r>
      <w:r w:rsidR="00D26DF3">
        <w:rPr>
          <w:color w:val="000000" w:themeColor="text1"/>
          <w:sz w:val="20"/>
          <w:szCs w:val="20"/>
        </w:rPr>
        <w:t>,</w:t>
      </w:r>
      <w:r w:rsidR="00FF41A0">
        <w:rPr>
          <w:color w:val="000000" w:themeColor="text1"/>
          <w:sz w:val="20"/>
          <w:szCs w:val="20"/>
        </w:rPr>
        <w:t xml:space="preserve"> </w:t>
      </w:r>
      <w:r w:rsidR="00D26DF3" w:rsidRPr="005F1A72">
        <w:rPr>
          <w:color w:val="000000" w:themeColor="text1"/>
          <w:sz w:val="20"/>
          <w:szCs w:val="20"/>
        </w:rPr>
        <w:t>Russian</w:t>
      </w:r>
      <w:r w:rsidR="00FF41A0">
        <w:rPr>
          <w:color w:val="000000" w:themeColor="text1"/>
          <w:sz w:val="20"/>
          <w:szCs w:val="20"/>
        </w:rPr>
        <w:t xml:space="preserve"> </w:t>
      </w:r>
      <w:r w:rsidR="00D26DF3" w:rsidRPr="005F1A72">
        <w:rPr>
          <w:color w:val="000000" w:themeColor="text1"/>
          <w:sz w:val="20"/>
          <w:szCs w:val="20"/>
        </w:rPr>
        <w:t>Federation</w:t>
      </w:r>
      <w:r w:rsidR="00D26DF3">
        <w:rPr>
          <w:color w:val="000000" w:themeColor="text1"/>
          <w:sz w:val="20"/>
          <w:szCs w:val="20"/>
        </w:rPr>
        <w:t>,</w:t>
      </w:r>
      <w:r w:rsidR="00FF41A0">
        <w:rPr>
          <w:color w:val="000000" w:themeColor="text1"/>
          <w:sz w:val="20"/>
          <w:szCs w:val="20"/>
        </w:rPr>
        <w:t xml:space="preserve"> </w:t>
      </w:r>
      <w:r w:rsidR="00D26DF3" w:rsidRPr="005F1A72">
        <w:rPr>
          <w:color w:val="000000" w:themeColor="text1"/>
          <w:sz w:val="20"/>
          <w:szCs w:val="20"/>
        </w:rPr>
        <w:t>Sudan</w:t>
      </w:r>
      <w:r w:rsidR="00D26DF3">
        <w:rPr>
          <w:color w:val="000000" w:themeColor="text1"/>
          <w:sz w:val="20"/>
          <w:szCs w:val="20"/>
        </w:rPr>
        <w:t>,</w:t>
      </w:r>
      <w:r w:rsidR="00FF41A0">
        <w:rPr>
          <w:color w:val="000000" w:themeColor="text1"/>
          <w:sz w:val="20"/>
          <w:szCs w:val="20"/>
        </w:rPr>
        <w:t xml:space="preserve"> </w:t>
      </w:r>
      <w:r w:rsidR="00D26DF3" w:rsidRPr="005F1A72">
        <w:rPr>
          <w:color w:val="000000" w:themeColor="text1"/>
          <w:sz w:val="20"/>
          <w:szCs w:val="20"/>
        </w:rPr>
        <w:t>Switzerland</w:t>
      </w:r>
      <w:r w:rsidRPr="00113DE2">
        <w:rPr>
          <w:color w:val="000000" w:themeColor="text1"/>
          <w:sz w:val="20"/>
          <w:szCs w:val="20"/>
        </w:rPr>
        <w:t>;</w:t>
      </w:r>
    </w:p>
    <w:p w14:paraId="0DFC27B8" w14:textId="44A1CBA7" w:rsidR="00985537" w:rsidRPr="00113DE2" w:rsidRDefault="00985537" w:rsidP="00985537">
      <w:pPr>
        <w:pStyle w:val="SingleTxtG"/>
        <w:ind w:firstLine="567"/>
        <w:rPr>
          <w:color w:val="000000" w:themeColor="text1"/>
          <w:sz w:val="20"/>
          <w:szCs w:val="20"/>
        </w:rPr>
      </w:pPr>
      <w:r w:rsidRPr="00113DE2">
        <w:rPr>
          <w:color w:val="000000" w:themeColor="text1"/>
          <w:sz w:val="20"/>
          <w:szCs w:val="20"/>
        </w:rPr>
        <w:t>(c)</w:t>
      </w:r>
      <w:r w:rsidRPr="00113DE2">
        <w:rPr>
          <w:color w:val="000000" w:themeColor="text1"/>
          <w:sz w:val="20"/>
          <w:szCs w:val="20"/>
        </w:rPr>
        <w:tab/>
      </w:r>
      <w:r w:rsidRPr="006D07E0">
        <w:rPr>
          <w:color w:val="000000" w:themeColor="text1"/>
          <w:sz w:val="20"/>
          <w:szCs w:val="20"/>
        </w:rPr>
        <w:t>Observer</w:t>
      </w:r>
      <w:r w:rsidR="00FF41A0">
        <w:rPr>
          <w:color w:val="000000" w:themeColor="text1"/>
          <w:sz w:val="20"/>
          <w:szCs w:val="20"/>
        </w:rPr>
        <w:t xml:space="preserve"> </w:t>
      </w:r>
      <w:r w:rsidRPr="006D07E0">
        <w:rPr>
          <w:color w:val="000000" w:themeColor="text1"/>
          <w:sz w:val="20"/>
          <w:szCs w:val="20"/>
        </w:rPr>
        <w:t>for</w:t>
      </w:r>
      <w:r w:rsidR="00FF41A0">
        <w:rPr>
          <w:color w:val="000000" w:themeColor="text1"/>
          <w:sz w:val="20"/>
          <w:szCs w:val="20"/>
        </w:rPr>
        <w:t xml:space="preserve"> </w:t>
      </w:r>
      <w:r w:rsidRPr="006D07E0">
        <w:rPr>
          <w:color w:val="000000" w:themeColor="text1"/>
          <w:sz w:val="20"/>
          <w:szCs w:val="20"/>
        </w:rPr>
        <w:t>United</w:t>
      </w:r>
      <w:r w:rsidR="00FF41A0">
        <w:rPr>
          <w:color w:val="000000" w:themeColor="text1"/>
          <w:sz w:val="20"/>
          <w:szCs w:val="20"/>
        </w:rPr>
        <w:t xml:space="preserve"> </w:t>
      </w:r>
      <w:r w:rsidRPr="006D07E0">
        <w:rPr>
          <w:color w:val="000000" w:themeColor="text1"/>
          <w:sz w:val="20"/>
          <w:szCs w:val="20"/>
        </w:rPr>
        <w:t>Nations</w:t>
      </w:r>
      <w:r w:rsidR="00FF41A0">
        <w:rPr>
          <w:color w:val="000000" w:themeColor="text1"/>
          <w:sz w:val="20"/>
          <w:szCs w:val="20"/>
        </w:rPr>
        <w:t xml:space="preserve"> </w:t>
      </w:r>
      <w:r w:rsidRPr="006D07E0">
        <w:rPr>
          <w:color w:val="000000" w:themeColor="text1"/>
          <w:sz w:val="20"/>
          <w:szCs w:val="20"/>
        </w:rPr>
        <w:t>entities,</w:t>
      </w:r>
      <w:r w:rsidR="00FF41A0">
        <w:rPr>
          <w:color w:val="000000" w:themeColor="text1"/>
          <w:sz w:val="20"/>
          <w:szCs w:val="20"/>
        </w:rPr>
        <w:t xml:space="preserve"> </w:t>
      </w:r>
      <w:r w:rsidRPr="006D07E0">
        <w:rPr>
          <w:color w:val="000000" w:themeColor="text1"/>
          <w:sz w:val="20"/>
          <w:szCs w:val="20"/>
        </w:rPr>
        <w:t>specialized</w:t>
      </w:r>
      <w:r w:rsidR="00FF41A0">
        <w:rPr>
          <w:color w:val="000000" w:themeColor="text1"/>
          <w:sz w:val="20"/>
          <w:szCs w:val="20"/>
        </w:rPr>
        <w:t xml:space="preserve"> </w:t>
      </w:r>
      <w:r w:rsidRPr="006D07E0">
        <w:rPr>
          <w:color w:val="000000" w:themeColor="text1"/>
          <w:sz w:val="20"/>
          <w:szCs w:val="20"/>
        </w:rPr>
        <w:t>agencies</w:t>
      </w:r>
      <w:r w:rsidR="00FF41A0">
        <w:rPr>
          <w:color w:val="000000" w:themeColor="text1"/>
          <w:sz w:val="20"/>
          <w:szCs w:val="20"/>
        </w:rPr>
        <w:t xml:space="preserve"> </w:t>
      </w:r>
      <w:r w:rsidRPr="006D07E0">
        <w:rPr>
          <w:color w:val="000000" w:themeColor="text1"/>
          <w:sz w:val="20"/>
          <w:szCs w:val="20"/>
        </w:rPr>
        <w:t>and</w:t>
      </w:r>
      <w:r w:rsidR="00FF41A0">
        <w:rPr>
          <w:color w:val="000000" w:themeColor="text1"/>
          <w:sz w:val="20"/>
          <w:szCs w:val="20"/>
        </w:rPr>
        <w:t xml:space="preserve"> </w:t>
      </w:r>
      <w:r w:rsidRPr="006D07E0">
        <w:rPr>
          <w:color w:val="000000" w:themeColor="text1"/>
          <w:sz w:val="20"/>
          <w:szCs w:val="20"/>
        </w:rPr>
        <w:t>related</w:t>
      </w:r>
      <w:r w:rsidR="00FF41A0">
        <w:rPr>
          <w:color w:val="000000" w:themeColor="text1"/>
          <w:sz w:val="20"/>
          <w:szCs w:val="20"/>
        </w:rPr>
        <w:t xml:space="preserve"> </w:t>
      </w:r>
      <w:r w:rsidRPr="006D07E0">
        <w:rPr>
          <w:color w:val="000000" w:themeColor="text1"/>
          <w:sz w:val="20"/>
          <w:szCs w:val="20"/>
        </w:rPr>
        <w:t>organizations</w:t>
      </w:r>
      <w:r w:rsidRPr="00113DE2">
        <w:rPr>
          <w:color w:val="000000" w:themeColor="text1"/>
          <w:sz w:val="20"/>
          <w:szCs w:val="20"/>
        </w:rPr>
        <w:t>:</w:t>
      </w:r>
      <w:r w:rsidR="00FF41A0">
        <w:rPr>
          <w:color w:val="000000" w:themeColor="text1"/>
          <w:sz w:val="20"/>
          <w:szCs w:val="20"/>
        </w:rPr>
        <w:t xml:space="preserve"> </w:t>
      </w:r>
      <w:r w:rsidRPr="00113DE2">
        <w:rPr>
          <w:color w:val="000000" w:themeColor="text1"/>
          <w:sz w:val="20"/>
          <w:szCs w:val="20"/>
        </w:rPr>
        <w:t>United</w:t>
      </w:r>
      <w:r w:rsidR="00FF41A0">
        <w:rPr>
          <w:color w:val="000000" w:themeColor="text1"/>
          <w:sz w:val="20"/>
          <w:szCs w:val="20"/>
        </w:rPr>
        <w:t xml:space="preserve"> </w:t>
      </w:r>
      <w:r w:rsidRPr="00113DE2">
        <w:rPr>
          <w:color w:val="000000" w:themeColor="text1"/>
          <w:sz w:val="20"/>
          <w:szCs w:val="20"/>
        </w:rPr>
        <w:t>Nations</w:t>
      </w:r>
      <w:r w:rsidR="00FF41A0">
        <w:rPr>
          <w:color w:val="000000" w:themeColor="text1"/>
          <w:sz w:val="20"/>
          <w:szCs w:val="20"/>
        </w:rPr>
        <w:t xml:space="preserve"> </w:t>
      </w:r>
      <w:r w:rsidRPr="00113DE2">
        <w:rPr>
          <w:color w:val="000000" w:themeColor="text1"/>
          <w:sz w:val="20"/>
          <w:szCs w:val="20"/>
        </w:rPr>
        <w:t>Children</w:t>
      </w:r>
      <w:r w:rsidR="00D72627">
        <w:rPr>
          <w:color w:val="000000" w:themeColor="text1"/>
          <w:sz w:val="20"/>
          <w:szCs w:val="20"/>
        </w:rPr>
        <w:t>’</w:t>
      </w:r>
      <w:r w:rsidRPr="00113DE2">
        <w:rPr>
          <w:color w:val="000000" w:themeColor="text1"/>
          <w:sz w:val="20"/>
          <w:szCs w:val="20"/>
        </w:rPr>
        <w:t>s</w:t>
      </w:r>
      <w:r w:rsidR="00FF41A0">
        <w:rPr>
          <w:color w:val="000000" w:themeColor="text1"/>
          <w:sz w:val="20"/>
          <w:szCs w:val="20"/>
        </w:rPr>
        <w:t xml:space="preserve"> </w:t>
      </w:r>
      <w:r w:rsidRPr="00113DE2">
        <w:rPr>
          <w:color w:val="000000" w:themeColor="text1"/>
          <w:sz w:val="20"/>
          <w:szCs w:val="20"/>
        </w:rPr>
        <w:t>Fund</w:t>
      </w:r>
      <w:r w:rsidR="00FF41A0">
        <w:rPr>
          <w:color w:val="000000" w:themeColor="text1"/>
          <w:sz w:val="20"/>
          <w:szCs w:val="20"/>
        </w:rPr>
        <w:t xml:space="preserve"> </w:t>
      </w:r>
      <w:r w:rsidRPr="00113DE2">
        <w:rPr>
          <w:color w:val="000000" w:themeColor="text1"/>
          <w:sz w:val="20"/>
          <w:szCs w:val="20"/>
        </w:rPr>
        <w:t>(UNICEF);</w:t>
      </w:r>
    </w:p>
    <w:p w14:paraId="1D8C6974" w14:textId="32583AEC" w:rsidR="00985537" w:rsidRPr="00113DE2" w:rsidRDefault="00985537" w:rsidP="00985537">
      <w:pPr>
        <w:pStyle w:val="SingleTxtG"/>
        <w:ind w:firstLine="567"/>
        <w:rPr>
          <w:color w:val="000000" w:themeColor="text1"/>
          <w:sz w:val="20"/>
          <w:szCs w:val="20"/>
        </w:rPr>
      </w:pPr>
      <w:r w:rsidRPr="00113DE2">
        <w:rPr>
          <w:color w:val="000000" w:themeColor="text1"/>
          <w:sz w:val="20"/>
          <w:szCs w:val="20"/>
        </w:rPr>
        <w:t>(d)</w:t>
      </w:r>
      <w:r w:rsidRPr="00113DE2">
        <w:rPr>
          <w:color w:val="000000" w:themeColor="text1"/>
          <w:sz w:val="20"/>
          <w:szCs w:val="20"/>
        </w:rPr>
        <w:tab/>
        <w:t>Observer</w:t>
      </w:r>
      <w:r w:rsidR="00FF41A0">
        <w:rPr>
          <w:color w:val="000000" w:themeColor="text1"/>
          <w:sz w:val="20"/>
          <w:szCs w:val="20"/>
        </w:rPr>
        <w:t xml:space="preserve"> </w:t>
      </w:r>
      <w:r w:rsidRPr="00113DE2">
        <w:rPr>
          <w:color w:val="000000" w:themeColor="text1"/>
          <w:sz w:val="20"/>
          <w:szCs w:val="20"/>
        </w:rPr>
        <w:t>for</w:t>
      </w:r>
      <w:r w:rsidR="00FF41A0">
        <w:rPr>
          <w:color w:val="000000" w:themeColor="text1"/>
          <w:sz w:val="20"/>
          <w:szCs w:val="20"/>
        </w:rPr>
        <w:t xml:space="preserve"> </w:t>
      </w:r>
      <w:r w:rsidRPr="00113DE2">
        <w:rPr>
          <w:color w:val="000000" w:themeColor="text1"/>
          <w:sz w:val="20"/>
          <w:szCs w:val="20"/>
        </w:rPr>
        <w:t>an</w:t>
      </w:r>
      <w:r w:rsidR="00FF41A0">
        <w:rPr>
          <w:color w:val="000000" w:themeColor="text1"/>
          <w:sz w:val="20"/>
          <w:szCs w:val="20"/>
        </w:rPr>
        <w:t xml:space="preserve"> </w:t>
      </w:r>
      <w:r w:rsidRPr="00113DE2">
        <w:rPr>
          <w:color w:val="000000" w:themeColor="text1"/>
          <w:sz w:val="20"/>
          <w:szCs w:val="20"/>
        </w:rPr>
        <w:t>intergovernmental</w:t>
      </w:r>
      <w:r w:rsidR="00FF41A0">
        <w:rPr>
          <w:color w:val="000000" w:themeColor="text1"/>
          <w:sz w:val="20"/>
          <w:szCs w:val="20"/>
        </w:rPr>
        <w:t xml:space="preserve"> </w:t>
      </w:r>
      <w:r w:rsidRPr="00113DE2">
        <w:rPr>
          <w:color w:val="000000" w:themeColor="text1"/>
          <w:sz w:val="20"/>
          <w:szCs w:val="20"/>
        </w:rPr>
        <w:t>organization:</w:t>
      </w:r>
      <w:r w:rsidR="00FF41A0">
        <w:rPr>
          <w:color w:val="000000" w:themeColor="text1"/>
          <w:sz w:val="20"/>
          <w:szCs w:val="20"/>
        </w:rPr>
        <w:t xml:space="preserve"> </w:t>
      </w:r>
      <w:r w:rsidRPr="00113DE2">
        <w:rPr>
          <w:color w:val="000000" w:themeColor="text1"/>
          <w:sz w:val="20"/>
          <w:szCs w:val="20"/>
        </w:rPr>
        <w:t>European</w:t>
      </w:r>
      <w:r w:rsidR="00FF41A0">
        <w:rPr>
          <w:color w:val="000000" w:themeColor="text1"/>
          <w:sz w:val="20"/>
          <w:szCs w:val="20"/>
        </w:rPr>
        <w:t xml:space="preserve"> </w:t>
      </w:r>
      <w:r w:rsidRPr="00113DE2">
        <w:rPr>
          <w:color w:val="000000" w:themeColor="text1"/>
          <w:sz w:val="20"/>
          <w:szCs w:val="20"/>
        </w:rPr>
        <w:t>Union;</w:t>
      </w:r>
    </w:p>
    <w:p w14:paraId="2EB6560B" w14:textId="57BAA477" w:rsidR="00985537" w:rsidRPr="00120FEE" w:rsidRDefault="00985537" w:rsidP="00985537">
      <w:pPr>
        <w:pStyle w:val="SingleTxtG"/>
        <w:ind w:firstLine="567"/>
        <w:rPr>
          <w:color w:val="000000" w:themeColor="text1"/>
          <w:sz w:val="20"/>
          <w:szCs w:val="20"/>
        </w:rPr>
      </w:pPr>
      <w:r w:rsidRPr="00120FEE">
        <w:rPr>
          <w:color w:val="000000" w:themeColor="text1"/>
          <w:sz w:val="20"/>
          <w:szCs w:val="20"/>
        </w:rPr>
        <w:t>(e)</w:t>
      </w:r>
      <w:r w:rsidRPr="00120FEE">
        <w:rPr>
          <w:color w:val="000000" w:themeColor="text1"/>
          <w:sz w:val="20"/>
          <w:szCs w:val="20"/>
        </w:rPr>
        <w:tab/>
        <w:t>Observers</w:t>
      </w:r>
      <w:r w:rsidR="00FF41A0" w:rsidRPr="00120FEE">
        <w:rPr>
          <w:color w:val="000000" w:themeColor="text1"/>
          <w:sz w:val="20"/>
          <w:szCs w:val="20"/>
        </w:rPr>
        <w:t xml:space="preserve"> </w:t>
      </w:r>
      <w:r w:rsidRPr="00120FEE">
        <w:rPr>
          <w:color w:val="000000" w:themeColor="text1"/>
          <w:sz w:val="20"/>
          <w:szCs w:val="20"/>
        </w:rPr>
        <w:t>for</w:t>
      </w:r>
      <w:r w:rsidR="00FF41A0" w:rsidRPr="00120FEE">
        <w:rPr>
          <w:color w:val="000000" w:themeColor="text1"/>
          <w:sz w:val="20"/>
          <w:szCs w:val="20"/>
        </w:rPr>
        <w:t xml:space="preserve"> </w:t>
      </w:r>
      <w:r w:rsidRPr="00120FEE">
        <w:rPr>
          <w:color w:val="000000" w:themeColor="text1"/>
          <w:sz w:val="20"/>
          <w:szCs w:val="20"/>
        </w:rPr>
        <w:t>non-governmental</w:t>
      </w:r>
      <w:r w:rsidR="00FF41A0" w:rsidRPr="00120FEE">
        <w:rPr>
          <w:color w:val="000000" w:themeColor="text1"/>
          <w:sz w:val="20"/>
          <w:szCs w:val="20"/>
        </w:rPr>
        <w:t xml:space="preserve"> </w:t>
      </w:r>
      <w:r w:rsidRPr="00120FEE">
        <w:rPr>
          <w:color w:val="000000" w:themeColor="text1"/>
          <w:sz w:val="20"/>
          <w:szCs w:val="20"/>
        </w:rPr>
        <w:t>organizations:</w:t>
      </w:r>
      <w:r w:rsidR="00FF41A0" w:rsidRPr="00120FEE">
        <w:rPr>
          <w:color w:val="000000" w:themeColor="text1"/>
          <w:sz w:val="20"/>
          <w:szCs w:val="20"/>
        </w:rPr>
        <w:t xml:space="preserve"> </w:t>
      </w:r>
      <w:r w:rsidR="005F1A72" w:rsidRPr="00120FEE">
        <w:rPr>
          <w:color w:val="000000" w:themeColor="text1"/>
          <w:sz w:val="20"/>
          <w:szCs w:val="20"/>
        </w:rPr>
        <w:t>Action</w:t>
      </w:r>
      <w:r w:rsidR="00FF41A0" w:rsidRPr="00120FEE">
        <w:rPr>
          <w:color w:val="000000" w:themeColor="text1"/>
          <w:sz w:val="20"/>
          <w:szCs w:val="20"/>
        </w:rPr>
        <w:t xml:space="preserve"> </w:t>
      </w:r>
      <w:r w:rsidR="005F1A72" w:rsidRPr="00120FEE">
        <w:rPr>
          <w:color w:val="000000" w:themeColor="text1"/>
          <w:sz w:val="20"/>
          <w:szCs w:val="20"/>
        </w:rPr>
        <w:t>internationale</w:t>
      </w:r>
      <w:r w:rsidR="00FF41A0" w:rsidRPr="00120FEE">
        <w:rPr>
          <w:color w:val="000000" w:themeColor="text1"/>
          <w:sz w:val="20"/>
          <w:szCs w:val="20"/>
        </w:rPr>
        <w:t xml:space="preserve"> </w:t>
      </w:r>
      <w:r w:rsidR="005F1A72" w:rsidRPr="00120FEE">
        <w:rPr>
          <w:color w:val="000000" w:themeColor="text1"/>
          <w:sz w:val="20"/>
          <w:szCs w:val="20"/>
        </w:rPr>
        <w:t>pour</w:t>
      </w:r>
      <w:r w:rsidR="00FF41A0" w:rsidRPr="00120FEE">
        <w:rPr>
          <w:color w:val="000000" w:themeColor="text1"/>
          <w:sz w:val="20"/>
          <w:szCs w:val="20"/>
        </w:rPr>
        <w:t xml:space="preserve"> </w:t>
      </w:r>
      <w:r w:rsidR="005F1A72" w:rsidRPr="00120FEE">
        <w:rPr>
          <w:color w:val="000000" w:themeColor="text1"/>
          <w:sz w:val="20"/>
          <w:szCs w:val="20"/>
        </w:rPr>
        <w:t>la</w:t>
      </w:r>
      <w:r w:rsidR="00FF41A0" w:rsidRPr="00120FEE">
        <w:rPr>
          <w:color w:val="000000" w:themeColor="text1"/>
          <w:sz w:val="20"/>
          <w:szCs w:val="20"/>
        </w:rPr>
        <w:t xml:space="preserve"> </w:t>
      </w:r>
      <w:r w:rsidR="005F1A72" w:rsidRPr="00120FEE">
        <w:rPr>
          <w:color w:val="000000" w:themeColor="text1"/>
          <w:sz w:val="20"/>
          <w:szCs w:val="20"/>
        </w:rPr>
        <w:t>paix</w:t>
      </w:r>
      <w:r w:rsidR="00FF41A0" w:rsidRPr="00120FEE">
        <w:rPr>
          <w:color w:val="000000" w:themeColor="text1"/>
          <w:sz w:val="20"/>
          <w:szCs w:val="20"/>
        </w:rPr>
        <w:t xml:space="preserve"> </w:t>
      </w:r>
      <w:r w:rsidR="005F1A72" w:rsidRPr="00120FEE">
        <w:rPr>
          <w:color w:val="000000" w:themeColor="text1"/>
          <w:sz w:val="20"/>
          <w:szCs w:val="20"/>
        </w:rPr>
        <w:t>et</w:t>
      </w:r>
      <w:r w:rsidR="00FF41A0" w:rsidRPr="00120FEE">
        <w:rPr>
          <w:color w:val="000000" w:themeColor="text1"/>
          <w:sz w:val="20"/>
          <w:szCs w:val="20"/>
        </w:rPr>
        <w:t xml:space="preserve"> </w:t>
      </w:r>
      <w:r w:rsidR="005F1A72" w:rsidRPr="00120FEE">
        <w:rPr>
          <w:color w:val="000000" w:themeColor="text1"/>
          <w:sz w:val="20"/>
          <w:szCs w:val="20"/>
        </w:rPr>
        <w:t>le</w:t>
      </w:r>
      <w:r w:rsidR="00FF41A0" w:rsidRPr="00120FEE">
        <w:rPr>
          <w:color w:val="000000" w:themeColor="text1"/>
          <w:sz w:val="20"/>
          <w:szCs w:val="20"/>
        </w:rPr>
        <w:t xml:space="preserve"> </w:t>
      </w:r>
      <w:r w:rsidR="005F1A72" w:rsidRPr="00120FEE">
        <w:rPr>
          <w:color w:val="000000" w:themeColor="text1"/>
          <w:sz w:val="20"/>
          <w:szCs w:val="20"/>
        </w:rPr>
        <w:t>développement</w:t>
      </w:r>
      <w:r w:rsidR="00FF41A0" w:rsidRPr="00120FEE">
        <w:rPr>
          <w:color w:val="000000" w:themeColor="text1"/>
          <w:sz w:val="20"/>
          <w:szCs w:val="20"/>
        </w:rPr>
        <w:t xml:space="preserve"> </w:t>
      </w:r>
      <w:r w:rsidR="005F1A72" w:rsidRPr="00120FEE">
        <w:rPr>
          <w:color w:val="000000" w:themeColor="text1"/>
          <w:sz w:val="20"/>
          <w:szCs w:val="20"/>
        </w:rPr>
        <w:t>dans</w:t>
      </w:r>
      <w:r w:rsidR="00FF41A0" w:rsidRPr="00120FEE">
        <w:rPr>
          <w:color w:val="000000" w:themeColor="text1"/>
          <w:sz w:val="20"/>
          <w:szCs w:val="20"/>
        </w:rPr>
        <w:t xml:space="preserve"> </w:t>
      </w:r>
      <w:r w:rsidR="005F1A72" w:rsidRPr="00120FEE">
        <w:rPr>
          <w:color w:val="000000" w:themeColor="text1"/>
          <w:sz w:val="20"/>
          <w:szCs w:val="20"/>
        </w:rPr>
        <w:t>la</w:t>
      </w:r>
      <w:r w:rsidR="00FF41A0" w:rsidRPr="00120FEE">
        <w:rPr>
          <w:color w:val="000000" w:themeColor="text1"/>
          <w:sz w:val="20"/>
          <w:szCs w:val="20"/>
        </w:rPr>
        <w:t xml:space="preserve"> </w:t>
      </w:r>
      <w:r w:rsidR="005F1A72" w:rsidRPr="00120FEE">
        <w:rPr>
          <w:color w:val="000000" w:themeColor="text1"/>
          <w:sz w:val="20"/>
          <w:szCs w:val="20"/>
        </w:rPr>
        <w:t>région</w:t>
      </w:r>
      <w:r w:rsidR="00FF41A0" w:rsidRPr="00120FEE">
        <w:rPr>
          <w:color w:val="000000" w:themeColor="text1"/>
          <w:sz w:val="20"/>
          <w:szCs w:val="20"/>
        </w:rPr>
        <w:t xml:space="preserve"> </w:t>
      </w:r>
      <w:r w:rsidR="005F1A72" w:rsidRPr="00120FEE">
        <w:rPr>
          <w:color w:val="000000" w:themeColor="text1"/>
          <w:sz w:val="20"/>
          <w:szCs w:val="20"/>
        </w:rPr>
        <w:t>des</w:t>
      </w:r>
      <w:r w:rsidR="00FF41A0" w:rsidRPr="00120FEE">
        <w:rPr>
          <w:color w:val="000000" w:themeColor="text1"/>
          <w:sz w:val="20"/>
          <w:szCs w:val="20"/>
        </w:rPr>
        <w:t xml:space="preserve"> </w:t>
      </w:r>
      <w:r w:rsidR="005F1A72" w:rsidRPr="00120FEE">
        <w:rPr>
          <w:color w:val="000000" w:themeColor="text1"/>
          <w:sz w:val="20"/>
          <w:szCs w:val="20"/>
        </w:rPr>
        <w:t>Grands</w:t>
      </w:r>
      <w:r w:rsidR="00FF41A0" w:rsidRPr="00120FEE">
        <w:rPr>
          <w:color w:val="000000" w:themeColor="text1"/>
          <w:sz w:val="20"/>
          <w:szCs w:val="20"/>
        </w:rPr>
        <w:t xml:space="preserve"> </w:t>
      </w:r>
      <w:r w:rsidR="005F1A72" w:rsidRPr="00120FEE">
        <w:rPr>
          <w:color w:val="000000" w:themeColor="text1"/>
          <w:sz w:val="20"/>
          <w:szCs w:val="20"/>
        </w:rPr>
        <w:t>Lacs</w:t>
      </w:r>
      <w:r w:rsidR="00FF41A0" w:rsidRPr="00120FEE">
        <w:rPr>
          <w:color w:val="000000" w:themeColor="text1"/>
          <w:sz w:val="20"/>
          <w:szCs w:val="20"/>
        </w:rPr>
        <w:t xml:space="preserve"> </w:t>
      </w:r>
      <w:r w:rsidR="005F1A72" w:rsidRPr="00120FEE">
        <w:rPr>
          <w:color w:val="000000" w:themeColor="text1"/>
          <w:sz w:val="20"/>
          <w:szCs w:val="20"/>
        </w:rPr>
        <w:t>(also</w:t>
      </w:r>
      <w:r w:rsidR="00FF41A0" w:rsidRPr="00120FEE">
        <w:rPr>
          <w:color w:val="000000" w:themeColor="text1"/>
          <w:sz w:val="20"/>
          <w:szCs w:val="20"/>
        </w:rPr>
        <w:t xml:space="preserve"> </w:t>
      </w:r>
      <w:r w:rsidR="005F1A72" w:rsidRPr="00120FEE">
        <w:rPr>
          <w:color w:val="000000" w:themeColor="text1"/>
          <w:sz w:val="20"/>
          <w:szCs w:val="20"/>
        </w:rPr>
        <w:t>on</w:t>
      </w:r>
      <w:r w:rsidR="00FF41A0" w:rsidRPr="00120FEE">
        <w:rPr>
          <w:color w:val="000000" w:themeColor="text1"/>
          <w:sz w:val="20"/>
          <w:szCs w:val="20"/>
        </w:rPr>
        <w:t xml:space="preserve"> </w:t>
      </w:r>
      <w:r w:rsidR="005F1A72" w:rsidRPr="00120FEE">
        <w:rPr>
          <w:color w:val="000000" w:themeColor="text1"/>
          <w:sz w:val="20"/>
          <w:szCs w:val="20"/>
        </w:rPr>
        <w:t>behalf</w:t>
      </w:r>
      <w:r w:rsidR="00FF41A0" w:rsidRPr="00120FEE">
        <w:rPr>
          <w:color w:val="000000" w:themeColor="text1"/>
          <w:sz w:val="20"/>
          <w:szCs w:val="20"/>
        </w:rPr>
        <w:t xml:space="preserve"> </w:t>
      </w:r>
      <w:r w:rsidR="005F1A72" w:rsidRPr="00120FEE">
        <w:rPr>
          <w:color w:val="000000" w:themeColor="text1"/>
          <w:sz w:val="20"/>
          <w:szCs w:val="20"/>
        </w:rPr>
        <w:t>of</w:t>
      </w:r>
      <w:r w:rsidR="00FF41A0" w:rsidRPr="00120FEE">
        <w:rPr>
          <w:color w:val="000000" w:themeColor="text1"/>
          <w:sz w:val="20"/>
          <w:szCs w:val="20"/>
        </w:rPr>
        <w:t xml:space="preserve"> </w:t>
      </w:r>
      <w:r w:rsidR="005F1A72" w:rsidRPr="00120FEE">
        <w:rPr>
          <w:color w:val="000000" w:themeColor="text1"/>
          <w:sz w:val="20"/>
          <w:szCs w:val="20"/>
        </w:rPr>
        <w:t>Comité</w:t>
      </w:r>
      <w:r w:rsidR="00FF41A0" w:rsidRPr="00120FEE">
        <w:rPr>
          <w:color w:val="000000" w:themeColor="text1"/>
          <w:sz w:val="20"/>
          <w:szCs w:val="20"/>
        </w:rPr>
        <w:t xml:space="preserve"> </w:t>
      </w:r>
      <w:r w:rsidR="005F1A72" w:rsidRPr="00120FEE">
        <w:rPr>
          <w:color w:val="000000" w:themeColor="text1"/>
          <w:sz w:val="20"/>
          <w:szCs w:val="20"/>
        </w:rPr>
        <w:t>International</w:t>
      </w:r>
      <w:r w:rsidR="00FF41A0" w:rsidRPr="00120FEE">
        <w:rPr>
          <w:color w:val="000000" w:themeColor="text1"/>
          <w:sz w:val="20"/>
          <w:szCs w:val="20"/>
        </w:rPr>
        <w:t xml:space="preserve"> </w:t>
      </w:r>
      <w:r w:rsidR="005F1A72" w:rsidRPr="00120FEE">
        <w:rPr>
          <w:color w:val="000000" w:themeColor="text1"/>
          <w:sz w:val="20"/>
          <w:szCs w:val="20"/>
        </w:rPr>
        <w:t>pour</w:t>
      </w:r>
      <w:r w:rsidR="00FF41A0" w:rsidRPr="00120FEE">
        <w:rPr>
          <w:color w:val="000000" w:themeColor="text1"/>
          <w:sz w:val="20"/>
          <w:szCs w:val="20"/>
        </w:rPr>
        <w:t xml:space="preserve"> </w:t>
      </w:r>
      <w:r w:rsidR="005F1A72" w:rsidRPr="00120FEE">
        <w:rPr>
          <w:color w:val="000000" w:themeColor="text1"/>
          <w:sz w:val="20"/>
          <w:szCs w:val="20"/>
        </w:rPr>
        <w:t>le</w:t>
      </w:r>
      <w:r w:rsidR="00FF41A0" w:rsidRPr="00120FEE">
        <w:rPr>
          <w:color w:val="000000" w:themeColor="text1"/>
          <w:sz w:val="20"/>
          <w:szCs w:val="20"/>
        </w:rPr>
        <w:t xml:space="preserve"> </w:t>
      </w:r>
      <w:r w:rsidR="005F1A72" w:rsidRPr="00120FEE">
        <w:rPr>
          <w:color w:val="000000" w:themeColor="text1"/>
          <w:sz w:val="20"/>
          <w:szCs w:val="20"/>
        </w:rPr>
        <w:t>Respect</w:t>
      </w:r>
      <w:r w:rsidR="00FF41A0" w:rsidRPr="00120FEE">
        <w:rPr>
          <w:color w:val="000000" w:themeColor="text1"/>
          <w:sz w:val="20"/>
          <w:szCs w:val="20"/>
        </w:rPr>
        <w:t xml:space="preserve"> </w:t>
      </w:r>
      <w:r w:rsidR="005F1A72" w:rsidRPr="00120FEE">
        <w:rPr>
          <w:color w:val="000000" w:themeColor="text1"/>
          <w:sz w:val="20"/>
          <w:szCs w:val="20"/>
        </w:rPr>
        <w:t>et</w:t>
      </w:r>
      <w:r w:rsidR="00FF41A0" w:rsidRPr="00120FEE">
        <w:rPr>
          <w:color w:val="000000" w:themeColor="text1"/>
          <w:sz w:val="20"/>
          <w:szCs w:val="20"/>
        </w:rPr>
        <w:t xml:space="preserve"> </w:t>
      </w:r>
      <w:r w:rsidR="005F1A72" w:rsidRPr="00120FEE">
        <w:rPr>
          <w:color w:val="000000" w:themeColor="text1"/>
          <w:sz w:val="20"/>
          <w:szCs w:val="20"/>
        </w:rPr>
        <w:t>l</w:t>
      </w:r>
      <w:r w:rsidR="00D72627">
        <w:rPr>
          <w:color w:val="000000" w:themeColor="text1"/>
          <w:sz w:val="20"/>
          <w:szCs w:val="20"/>
        </w:rPr>
        <w:t>’</w:t>
      </w:r>
      <w:r w:rsidR="005F1A72" w:rsidRPr="00120FEE">
        <w:rPr>
          <w:color w:val="000000" w:themeColor="text1"/>
          <w:sz w:val="20"/>
          <w:szCs w:val="20"/>
        </w:rPr>
        <w:t>Application</w:t>
      </w:r>
      <w:r w:rsidR="00FF41A0" w:rsidRPr="00120FEE">
        <w:rPr>
          <w:color w:val="000000" w:themeColor="text1"/>
          <w:sz w:val="20"/>
          <w:szCs w:val="20"/>
        </w:rPr>
        <w:t xml:space="preserve"> </w:t>
      </w:r>
      <w:r w:rsidR="005F1A72" w:rsidRPr="00120FEE">
        <w:rPr>
          <w:color w:val="000000" w:themeColor="text1"/>
          <w:sz w:val="20"/>
          <w:szCs w:val="20"/>
        </w:rPr>
        <w:t>de</w:t>
      </w:r>
      <w:r w:rsidR="00FF41A0" w:rsidRPr="00120FEE">
        <w:rPr>
          <w:color w:val="000000" w:themeColor="text1"/>
          <w:sz w:val="20"/>
          <w:szCs w:val="20"/>
        </w:rPr>
        <w:t xml:space="preserve"> </w:t>
      </w:r>
      <w:r w:rsidR="005F1A72" w:rsidRPr="00120FEE">
        <w:rPr>
          <w:color w:val="000000" w:themeColor="text1"/>
          <w:sz w:val="20"/>
          <w:szCs w:val="20"/>
        </w:rPr>
        <w:t>la</w:t>
      </w:r>
      <w:r w:rsidR="00FF41A0" w:rsidRPr="00120FEE">
        <w:rPr>
          <w:color w:val="000000" w:themeColor="text1"/>
          <w:sz w:val="20"/>
          <w:szCs w:val="20"/>
        </w:rPr>
        <w:t xml:space="preserve"> </w:t>
      </w:r>
      <w:r w:rsidR="005F1A72" w:rsidRPr="00120FEE">
        <w:rPr>
          <w:color w:val="000000" w:themeColor="text1"/>
          <w:sz w:val="20"/>
          <w:szCs w:val="20"/>
        </w:rPr>
        <w:t>Charte</w:t>
      </w:r>
      <w:r w:rsidR="00FF41A0" w:rsidRPr="00120FEE">
        <w:rPr>
          <w:color w:val="000000" w:themeColor="text1"/>
          <w:sz w:val="20"/>
          <w:szCs w:val="20"/>
        </w:rPr>
        <w:t xml:space="preserve"> </w:t>
      </w:r>
      <w:r w:rsidR="005F1A72" w:rsidRPr="00120FEE">
        <w:rPr>
          <w:color w:val="000000" w:themeColor="text1"/>
          <w:sz w:val="20"/>
          <w:szCs w:val="20"/>
        </w:rPr>
        <w:t>Africaine</w:t>
      </w:r>
      <w:r w:rsidR="00FF41A0" w:rsidRPr="00120FEE">
        <w:rPr>
          <w:color w:val="000000" w:themeColor="text1"/>
          <w:sz w:val="20"/>
          <w:szCs w:val="20"/>
        </w:rPr>
        <w:t xml:space="preserve"> </w:t>
      </w:r>
      <w:r w:rsidR="005F1A72" w:rsidRPr="00120FEE">
        <w:rPr>
          <w:color w:val="000000" w:themeColor="text1"/>
          <w:sz w:val="20"/>
          <w:szCs w:val="20"/>
        </w:rPr>
        <w:t>des</w:t>
      </w:r>
      <w:r w:rsidR="00FF41A0" w:rsidRPr="00120FEE">
        <w:rPr>
          <w:color w:val="000000" w:themeColor="text1"/>
          <w:sz w:val="20"/>
          <w:szCs w:val="20"/>
        </w:rPr>
        <w:t xml:space="preserve"> </w:t>
      </w:r>
      <w:r w:rsidR="005F1A72" w:rsidRPr="00120FEE">
        <w:rPr>
          <w:color w:val="000000" w:themeColor="text1"/>
          <w:sz w:val="20"/>
          <w:szCs w:val="20"/>
        </w:rPr>
        <w:t>Droits</w:t>
      </w:r>
      <w:r w:rsidR="00FF41A0" w:rsidRPr="00120FEE">
        <w:rPr>
          <w:color w:val="000000" w:themeColor="text1"/>
          <w:sz w:val="20"/>
          <w:szCs w:val="20"/>
        </w:rPr>
        <w:t xml:space="preserve"> </w:t>
      </w:r>
      <w:r w:rsidR="005F1A72" w:rsidRPr="00120FEE">
        <w:rPr>
          <w:color w:val="000000" w:themeColor="text1"/>
          <w:sz w:val="20"/>
          <w:szCs w:val="20"/>
        </w:rPr>
        <w:t>de</w:t>
      </w:r>
      <w:r w:rsidR="00FF41A0" w:rsidRPr="00120FEE">
        <w:rPr>
          <w:color w:val="000000" w:themeColor="text1"/>
          <w:sz w:val="20"/>
          <w:szCs w:val="20"/>
        </w:rPr>
        <w:t xml:space="preserve"> </w:t>
      </w:r>
      <w:r w:rsidR="005F1A72" w:rsidRPr="00120FEE">
        <w:rPr>
          <w:color w:val="000000" w:themeColor="text1"/>
          <w:sz w:val="20"/>
          <w:szCs w:val="20"/>
        </w:rPr>
        <w:t>l</w:t>
      </w:r>
      <w:r w:rsidR="00D72627">
        <w:rPr>
          <w:color w:val="000000" w:themeColor="text1"/>
          <w:sz w:val="20"/>
          <w:szCs w:val="20"/>
        </w:rPr>
        <w:t>’</w:t>
      </w:r>
      <w:r w:rsidR="005F1A72" w:rsidRPr="00120FEE">
        <w:rPr>
          <w:color w:val="000000" w:themeColor="text1"/>
          <w:sz w:val="20"/>
          <w:szCs w:val="20"/>
        </w:rPr>
        <w:t>Homme</w:t>
      </w:r>
      <w:r w:rsidR="00FF41A0" w:rsidRPr="00120FEE">
        <w:rPr>
          <w:color w:val="000000" w:themeColor="text1"/>
          <w:sz w:val="20"/>
          <w:szCs w:val="20"/>
        </w:rPr>
        <w:t xml:space="preserve"> </w:t>
      </w:r>
      <w:r w:rsidR="005F1A72" w:rsidRPr="00120FEE">
        <w:rPr>
          <w:color w:val="000000" w:themeColor="text1"/>
          <w:sz w:val="20"/>
          <w:szCs w:val="20"/>
        </w:rPr>
        <w:t>et</w:t>
      </w:r>
      <w:r w:rsidR="00FF41A0" w:rsidRPr="00120FEE">
        <w:rPr>
          <w:color w:val="000000" w:themeColor="text1"/>
          <w:sz w:val="20"/>
          <w:szCs w:val="20"/>
        </w:rPr>
        <w:t xml:space="preserve"> </w:t>
      </w:r>
      <w:r w:rsidR="005F1A72" w:rsidRPr="00120FEE">
        <w:rPr>
          <w:color w:val="000000" w:themeColor="text1"/>
          <w:sz w:val="20"/>
          <w:szCs w:val="20"/>
        </w:rPr>
        <w:t>des</w:t>
      </w:r>
      <w:r w:rsidR="00FF41A0" w:rsidRPr="00120FEE">
        <w:rPr>
          <w:color w:val="000000" w:themeColor="text1"/>
          <w:sz w:val="20"/>
          <w:szCs w:val="20"/>
        </w:rPr>
        <w:t xml:space="preserve"> </w:t>
      </w:r>
      <w:r w:rsidR="005F1A72" w:rsidRPr="00120FEE">
        <w:rPr>
          <w:color w:val="000000" w:themeColor="text1"/>
          <w:sz w:val="20"/>
          <w:szCs w:val="20"/>
        </w:rPr>
        <w:t>Peuples</w:t>
      </w:r>
      <w:r w:rsidR="00FF41A0" w:rsidRPr="00120FEE">
        <w:rPr>
          <w:color w:val="000000" w:themeColor="text1"/>
          <w:sz w:val="20"/>
          <w:szCs w:val="20"/>
        </w:rPr>
        <w:t xml:space="preserve"> </w:t>
      </w:r>
      <w:r w:rsidR="005F1A72" w:rsidRPr="00120FEE">
        <w:rPr>
          <w:color w:val="000000" w:themeColor="text1"/>
          <w:sz w:val="20"/>
          <w:szCs w:val="20"/>
        </w:rPr>
        <w:t>(CIRAC));</w:t>
      </w:r>
      <w:r w:rsidR="00FF41A0" w:rsidRPr="00120FEE">
        <w:rPr>
          <w:color w:val="000000" w:themeColor="text1"/>
          <w:sz w:val="20"/>
          <w:szCs w:val="20"/>
        </w:rPr>
        <w:t xml:space="preserve"> </w:t>
      </w:r>
      <w:r w:rsidR="005F1A72" w:rsidRPr="00120FEE">
        <w:rPr>
          <w:color w:val="000000" w:themeColor="text1"/>
          <w:sz w:val="20"/>
          <w:szCs w:val="20"/>
        </w:rPr>
        <w:t>CIVICUS</w:t>
      </w:r>
      <w:r w:rsidR="00FF41A0" w:rsidRPr="00120FEE">
        <w:rPr>
          <w:color w:val="000000" w:themeColor="text1"/>
          <w:sz w:val="20"/>
          <w:szCs w:val="20"/>
        </w:rPr>
        <w:t xml:space="preserve"> </w:t>
      </w:r>
      <w:r w:rsidR="005F1A72" w:rsidRPr="00120FEE">
        <w:rPr>
          <w:color w:val="000000" w:themeColor="text1"/>
          <w:sz w:val="20"/>
          <w:szCs w:val="20"/>
        </w:rPr>
        <w:t>-</w:t>
      </w:r>
      <w:r w:rsidR="00FF41A0" w:rsidRPr="00120FEE">
        <w:rPr>
          <w:color w:val="000000" w:themeColor="text1"/>
          <w:sz w:val="20"/>
          <w:szCs w:val="20"/>
        </w:rPr>
        <w:t xml:space="preserve"> </w:t>
      </w:r>
      <w:r w:rsidR="005F1A72" w:rsidRPr="00120FEE">
        <w:rPr>
          <w:color w:val="000000" w:themeColor="text1"/>
          <w:sz w:val="20"/>
          <w:szCs w:val="20"/>
        </w:rPr>
        <w:t>World</w:t>
      </w:r>
      <w:r w:rsidR="00FF41A0" w:rsidRPr="00120FEE">
        <w:rPr>
          <w:color w:val="000000" w:themeColor="text1"/>
          <w:sz w:val="20"/>
          <w:szCs w:val="20"/>
        </w:rPr>
        <w:t xml:space="preserve"> </w:t>
      </w:r>
      <w:r w:rsidR="005F1A72" w:rsidRPr="00120FEE">
        <w:rPr>
          <w:color w:val="000000" w:themeColor="text1"/>
          <w:sz w:val="20"/>
          <w:szCs w:val="20"/>
        </w:rPr>
        <w:t>Alliance</w:t>
      </w:r>
      <w:r w:rsidR="00FF41A0" w:rsidRPr="00120FEE">
        <w:rPr>
          <w:color w:val="000000" w:themeColor="text1"/>
          <w:sz w:val="20"/>
          <w:szCs w:val="20"/>
        </w:rPr>
        <w:t xml:space="preserve"> </w:t>
      </w:r>
      <w:r w:rsidR="005F1A72" w:rsidRPr="00120FEE">
        <w:rPr>
          <w:color w:val="000000" w:themeColor="text1"/>
          <w:sz w:val="20"/>
          <w:szCs w:val="20"/>
        </w:rPr>
        <w:t>for</w:t>
      </w:r>
      <w:r w:rsidR="00FF41A0" w:rsidRPr="00120FEE">
        <w:rPr>
          <w:color w:val="000000" w:themeColor="text1"/>
          <w:sz w:val="20"/>
          <w:szCs w:val="20"/>
        </w:rPr>
        <w:t xml:space="preserve"> </w:t>
      </w:r>
      <w:r w:rsidR="005F1A72" w:rsidRPr="00120FEE">
        <w:rPr>
          <w:color w:val="000000" w:themeColor="text1"/>
          <w:sz w:val="20"/>
          <w:szCs w:val="20"/>
        </w:rPr>
        <w:t>Citizen</w:t>
      </w:r>
      <w:r w:rsidR="00FF41A0" w:rsidRPr="00120FEE">
        <w:rPr>
          <w:color w:val="000000" w:themeColor="text1"/>
          <w:sz w:val="20"/>
          <w:szCs w:val="20"/>
        </w:rPr>
        <w:t xml:space="preserve"> </w:t>
      </w:r>
      <w:r w:rsidR="005F1A72" w:rsidRPr="00120FEE">
        <w:rPr>
          <w:color w:val="000000" w:themeColor="text1"/>
          <w:sz w:val="20"/>
          <w:szCs w:val="20"/>
        </w:rPr>
        <w:t>Participation;</w:t>
      </w:r>
      <w:r w:rsidR="00FF41A0" w:rsidRPr="00120FEE">
        <w:rPr>
          <w:color w:val="000000" w:themeColor="text1"/>
          <w:sz w:val="20"/>
          <w:szCs w:val="20"/>
        </w:rPr>
        <w:t xml:space="preserve"> </w:t>
      </w:r>
      <w:r w:rsidR="005F1A72" w:rsidRPr="00120FEE">
        <w:rPr>
          <w:color w:val="000000" w:themeColor="text1"/>
          <w:sz w:val="20"/>
          <w:szCs w:val="20"/>
        </w:rPr>
        <w:t>Dominicans</w:t>
      </w:r>
      <w:r w:rsidR="00FF41A0" w:rsidRPr="00120FEE">
        <w:rPr>
          <w:color w:val="000000" w:themeColor="text1"/>
          <w:sz w:val="20"/>
          <w:szCs w:val="20"/>
        </w:rPr>
        <w:t xml:space="preserve"> </w:t>
      </w:r>
      <w:r w:rsidR="005F1A72" w:rsidRPr="00120FEE">
        <w:rPr>
          <w:color w:val="000000" w:themeColor="text1"/>
          <w:sz w:val="20"/>
          <w:szCs w:val="20"/>
        </w:rPr>
        <w:t>for</w:t>
      </w:r>
      <w:r w:rsidR="00FF41A0" w:rsidRPr="00120FEE">
        <w:rPr>
          <w:color w:val="000000" w:themeColor="text1"/>
          <w:sz w:val="20"/>
          <w:szCs w:val="20"/>
        </w:rPr>
        <w:t xml:space="preserve"> </w:t>
      </w:r>
      <w:r w:rsidR="005F1A72" w:rsidRPr="00120FEE">
        <w:rPr>
          <w:color w:val="000000" w:themeColor="text1"/>
          <w:sz w:val="20"/>
          <w:szCs w:val="20"/>
        </w:rPr>
        <w:t>Justice</w:t>
      </w:r>
      <w:r w:rsidR="00FF41A0" w:rsidRPr="00120FEE">
        <w:rPr>
          <w:color w:val="000000" w:themeColor="text1"/>
          <w:sz w:val="20"/>
          <w:szCs w:val="20"/>
        </w:rPr>
        <w:t xml:space="preserve"> </w:t>
      </w:r>
      <w:r w:rsidR="005F1A72" w:rsidRPr="00120FEE">
        <w:rPr>
          <w:color w:val="000000" w:themeColor="text1"/>
          <w:sz w:val="20"/>
          <w:szCs w:val="20"/>
        </w:rPr>
        <w:t>and</w:t>
      </w:r>
      <w:r w:rsidR="00FF41A0" w:rsidRPr="00120FEE">
        <w:rPr>
          <w:color w:val="000000" w:themeColor="text1"/>
          <w:sz w:val="20"/>
          <w:szCs w:val="20"/>
        </w:rPr>
        <w:t xml:space="preserve"> </w:t>
      </w:r>
      <w:r w:rsidR="005F1A72" w:rsidRPr="00120FEE">
        <w:rPr>
          <w:color w:val="000000" w:themeColor="text1"/>
          <w:sz w:val="20"/>
          <w:szCs w:val="20"/>
        </w:rPr>
        <w:t>Peace</w:t>
      </w:r>
      <w:r w:rsidR="00FF41A0" w:rsidRPr="00120FEE">
        <w:rPr>
          <w:color w:val="000000" w:themeColor="text1"/>
          <w:sz w:val="20"/>
          <w:szCs w:val="20"/>
        </w:rPr>
        <w:t xml:space="preserve"> </w:t>
      </w:r>
      <w:r w:rsidR="005F1A72" w:rsidRPr="00120FEE">
        <w:rPr>
          <w:color w:val="000000" w:themeColor="text1"/>
          <w:sz w:val="20"/>
          <w:szCs w:val="20"/>
        </w:rPr>
        <w:t>-</w:t>
      </w:r>
      <w:r w:rsidR="00FF41A0" w:rsidRPr="00120FEE">
        <w:rPr>
          <w:color w:val="000000" w:themeColor="text1"/>
          <w:sz w:val="20"/>
          <w:szCs w:val="20"/>
        </w:rPr>
        <w:t xml:space="preserve"> </w:t>
      </w:r>
      <w:r w:rsidR="005F1A72" w:rsidRPr="00120FEE">
        <w:rPr>
          <w:color w:val="000000" w:themeColor="text1"/>
          <w:sz w:val="20"/>
          <w:szCs w:val="20"/>
        </w:rPr>
        <w:t>Order</w:t>
      </w:r>
      <w:r w:rsidR="00FF41A0" w:rsidRPr="00120FEE">
        <w:rPr>
          <w:color w:val="000000" w:themeColor="text1"/>
          <w:sz w:val="20"/>
          <w:szCs w:val="20"/>
        </w:rPr>
        <w:t xml:space="preserve"> </w:t>
      </w:r>
      <w:r w:rsidR="005F1A72" w:rsidRPr="00120FEE">
        <w:rPr>
          <w:color w:val="000000" w:themeColor="text1"/>
          <w:sz w:val="20"/>
          <w:szCs w:val="20"/>
        </w:rPr>
        <w:t>of</w:t>
      </w:r>
      <w:r w:rsidR="00FF41A0" w:rsidRPr="00120FEE">
        <w:rPr>
          <w:color w:val="000000" w:themeColor="text1"/>
          <w:sz w:val="20"/>
          <w:szCs w:val="20"/>
        </w:rPr>
        <w:t xml:space="preserve"> </w:t>
      </w:r>
      <w:r w:rsidR="005F1A72" w:rsidRPr="00120FEE">
        <w:rPr>
          <w:color w:val="000000" w:themeColor="text1"/>
          <w:sz w:val="20"/>
          <w:szCs w:val="20"/>
        </w:rPr>
        <w:t>Preachers</w:t>
      </w:r>
      <w:r w:rsidR="00FF41A0" w:rsidRPr="00120FEE">
        <w:rPr>
          <w:color w:val="000000" w:themeColor="text1"/>
          <w:sz w:val="20"/>
          <w:szCs w:val="20"/>
        </w:rPr>
        <w:t xml:space="preserve"> </w:t>
      </w:r>
      <w:r w:rsidR="005F1A72" w:rsidRPr="00120FEE">
        <w:rPr>
          <w:color w:val="000000" w:themeColor="text1"/>
          <w:sz w:val="20"/>
          <w:szCs w:val="20"/>
        </w:rPr>
        <w:t>(also</w:t>
      </w:r>
      <w:r w:rsidR="00FF41A0" w:rsidRPr="00120FEE">
        <w:rPr>
          <w:color w:val="000000" w:themeColor="text1"/>
          <w:sz w:val="20"/>
          <w:szCs w:val="20"/>
        </w:rPr>
        <w:t xml:space="preserve"> </w:t>
      </w:r>
      <w:r w:rsidR="005F1A72" w:rsidRPr="00120FEE">
        <w:rPr>
          <w:color w:val="000000" w:themeColor="text1"/>
          <w:sz w:val="20"/>
          <w:szCs w:val="20"/>
        </w:rPr>
        <w:t>on</w:t>
      </w:r>
      <w:r w:rsidR="00FF41A0" w:rsidRPr="00120FEE">
        <w:rPr>
          <w:color w:val="000000" w:themeColor="text1"/>
          <w:sz w:val="20"/>
          <w:szCs w:val="20"/>
        </w:rPr>
        <w:t xml:space="preserve"> </w:t>
      </w:r>
      <w:r w:rsidR="005F1A72" w:rsidRPr="00120FEE">
        <w:rPr>
          <w:color w:val="000000" w:themeColor="text1"/>
          <w:sz w:val="20"/>
          <w:szCs w:val="20"/>
        </w:rPr>
        <w:t>behalf</w:t>
      </w:r>
      <w:r w:rsidR="00FF41A0" w:rsidRPr="00120FEE">
        <w:rPr>
          <w:color w:val="000000" w:themeColor="text1"/>
          <w:sz w:val="20"/>
          <w:szCs w:val="20"/>
        </w:rPr>
        <w:t xml:space="preserve"> </w:t>
      </w:r>
      <w:r w:rsidR="005F1A72" w:rsidRPr="00120FEE">
        <w:rPr>
          <w:color w:val="000000" w:themeColor="text1"/>
          <w:sz w:val="20"/>
          <w:szCs w:val="20"/>
        </w:rPr>
        <w:t>of</w:t>
      </w:r>
      <w:r w:rsidR="00FF41A0" w:rsidRPr="00120FEE">
        <w:rPr>
          <w:color w:val="000000" w:themeColor="text1"/>
          <w:sz w:val="20"/>
          <w:szCs w:val="20"/>
        </w:rPr>
        <w:t xml:space="preserve"> </w:t>
      </w:r>
      <w:r w:rsidR="005F1A72" w:rsidRPr="00120FEE">
        <w:rPr>
          <w:color w:val="000000" w:themeColor="text1"/>
          <w:sz w:val="20"/>
          <w:szCs w:val="20"/>
        </w:rPr>
        <w:t>Franciscans</w:t>
      </w:r>
      <w:r w:rsidR="00FF41A0" w:rsidRPr="00120FEE">
        <w:rPr>
          <w:color w:val="000000" w:themeColor="text1"/>
          <w:sz w:val="20"/>
          <w:szCs w:val="20"/>
        </w:rPr>
        <w:t xml:space="preserve"> </w:t>
      </w:r>
      <w:r w:rsidR="005F1A72" w:rsidRPr="00120FEE">
        <w:rPr>
          <w:color w:val="000000" w:themeColor="text1"/>
          <w:sz w:val="20"/>
          <w:szCs w:val="20"/>
        </w:rPr>
        <w:t>International);</w:t>
      </w:r>
      <w:r w:rsidR="00FF41A0" w:rsidRPr="00120FEE">
        <w:rPr>
          <w:color w:val="000000" w:themeColor="text1"/>
          <w:sz w:val="20"/>
          <w:szCs w:val="20"/>
        </w:rPr>
        <w:t xml:space="preserve"> </w:t>
      </w:r>
      <w:r w:rsidR="005F1A72" w:rsidRPr="00120FEE">
        <w:rPr>
          <w:color w:val="000000" w:themeColor="text1"/>
          <w:sz w:val="20"/>
          <w:szCs w:val="20"/>
        </w:rPr>
        <w:t>International</w:t>
      </w:r>
      <w:r w:rsidR="00FF41A0" w:rsidRPr="00120FEE">
        <w:rPr>
          <w:color w:val="000000" w:themeColor="text1"/>
          <w:sz w:val="20"/>
          <w:szCs w:val="20"/>
        </w:rPr>
        <w:t xml:space="preserve"> </w:t>
      </w:r>
      <w:r w:rsidR="005F1A72" w:rsidRPr="00120FEE">
        <w:rPr>
          <w:color w:val="000000" w:themeColor="text1"/>
          <w:sz w:val="20"/>
          <w:szCs w:val="20"/>
        </w:rPr>
        <w:t>Federation</w:t>
      </w:r>
      <w:r w:rsidR="00FF41A0" w:rsidRPr="00120FEE">
        <w:rPr>
          <w:color w:val="000000" w:themeColor="text1"/>
          <w:sz w:val="20"/>
          <w:szCs w:val="20"/>
        </w:rPr>
        <w:t xml:space="preserve"> </w:t>
      </w:r>
      <w:r w:rsidR="005F1A72" w:rsidRPr="00120FEE">
        <w:rPr>
          <w:color w:val="000000" w:themeColor="text1"/>
          <w:sz w:val="20"/>
          <w:szCs w:val="20"/>
        </w:rPr>
        <w:t>for</w:t>
      </w:r>
      <w:r w:rsidR="00FF41A0" w:rsidRPr="00120FEE">
        <w:rPr>
          <w:color w:val="000000" w:themeColor="text1"/>
          <w:sz w:val="20"/>
          <w:szCs w:val="20"/>
        </w:rPr>
        <w:t xml:space="preserve"> </w:t>
      </w:r>
      <w:r w:rsidR="005F1A72" w:rsidRPr="00120FEE">
        <w:rPr>
          <w:color w:val="000000" w:themeColor="text1"/>
          <w:sz w:val="20"/>
          <w:szCs w:val="20"/>
        </w:rPr>
        <w:t>Human</w:t>
      </w:r>
      <w:r w:rsidR="00FF41A0" w:rsidRPr="00120FEE">
        <w:rPr>
          <w:color w:val="000000" w:themeColor="text1"/>
          <w:sz w:val="20"/>
          <w:szCs w:val="20"/>
        </w:rPr>
        <w:t xml:space="preserve"> </w:t>
      </w:r>
      <w:r w:rsidR="005F1A72" w:rsidRPr="00120FEE">
        <w:rPr>
          <w:color w:val="000000" w:themeColor="text1"/>
          <w:sz w:val="20"/>
          <w:szCs w:val="20"/>
        </w:rPr>
        <w:t>Rights</w:t>
      </w:r>
      <w:r w:rsidR="00FF41A0" w:rsidRPr="00120FEE">
        <w:rPr>
          <w:color w:val="000000" w:themeColor="text1"/>
          <w:sz w:val="20"/>
          <w:szCs w:val="20"/>
        </w:rPr>
        <w:t xml:space="preserve"> </w:t>
      </w:r>
      <w:r w:rsidR="005F1A72" w:rsidRPr="00120FEE">
        <w:rPr>
          <w:color w:val="000000" w:themeColor="text1"/>
          <w:sz w:val="20"/>
          <w:szCs w:val="20"/>
        </w:rPr>
        <w:t>Leagues;</w:t>
      </w:r>
      <w:r w:rsidR="00FF41A0" w:rsidRPr="00120FEE">
        <w:rPr>
          <w:color w:val="000000" w:themeColor="text1"/>
          <w:sz w:val="20"/>
          <w:szCs w:val="20"/>
        </w:rPr>
        <w:t xml:space="preserve"> </w:t>
      </w:r>
      <w:r w:rsidR="005F1A72" w:rsidRPr="00120FEE">
        <w:rPr>
          <w:color w:val="000000" w:themeColor="text1"/>
          <w:sz w:val="20"/>
          <w:szCs w:val="20"/>
        </w:rPr>
        <w:t>International</w:t>
      </w:r>
      <w:r w:rsidR="00FF41A0" w:rsidRPr="00120FEE">
        <w:rPr>
          <w:color w:val="000000" w:themeColor="text1"/>
          <w:sz w:val="20"/>
          <w:szCs w:val="20"/>
        </w:rPr>
        <w:t xml:space="preserve"> </w:t>
      </w:r>
      <w:r w:rsidR="005F1A72" w:rsidRPr="00120FEE">
        <w:rPr>
          <w:color w:val="000000" w:themeColor="text1"/>
          <w:sz w:val="20"/>
          <w:szCs w:val="20"/>
        </w:rPr>
        <w:t>Service</w:t>
      </w:r>
      <w:r w:rsidR="00FF41A0" w:rsidRPr="00120FEE">
        <w:rPr>
          <w:color w:val="000000" w:themeColor="text1"/>
          <w:sz w:val="20"/>
          <w:szCs w:val="20"/>
        </w:rPr>
        <w:t xml:space="preserve"> </w:t>
      </w:r>
      <w:r w:rsidR="005F1A72" w:rsidRPr="00120FEE">
        <w:rPr>
          <w:color w:val="000000" w:themeColor="text1"/>
          <w:sz w:val="20"/>
          <w:szCs w:val="20"/>
        </w:rPr>
        <w:t>for</w:t>
      </w:r>
      <w:r w:rsidR="00FF41A0" w:rsidRPr="00120FEE">
        <w:rPr>
          <w:color w:val="000000" w:themeColor="text1"/>
          <w:sz w:val="20"/>
          <w:szCs w:val="20"/>
        </w:rPr>
        <w:t xml:space="preserve"> </w:t>
      </w:r>
      <w:r w:rsidR="005F1A72" w:rsidRPr="00120FEE">
        <w:rPr>
          <w:color w:val="000000" w:themeColor="text1"/>
          <w:sz w:val="20"/>
          <w:szCs w:val="20"/>
        </w:rPr>
        <w:t>Human</w:t>
      </w:r>
      <w:r w:rsidR="00FF41A0" w:rsidRPr="00120FEE">
        <w:rPr>
          <w:color w:val="000000" w:themeColor="text1"/>
          <w:sz w:val="20"/>
          <w:szCs w:val="20"/>
        </w:rPr>
        <w:t xml:space="preserve"> </w:t>
      </w:r>
      <w:r w:rsidR="005F1A72" w:rsidRPr="00120FEE">
        <w:rPr>
          <w:color w:val="000000" w:themeColor="text1"/>
          <w:sz w:val="20"/>
          <w:szCs w:val="20"/>
        </w:rPr>
        <w:t>Rights;</w:t>
      </w:r>
      <w:r w:rsidR="00FF41A0" w:rsidRPr="00120FEE">
        <w:rPr>
          <w:color w:val="000000" w:themeColor="text1"/>
          <w:sz w:val="20"/>
          <w:szCs w:val="20"/>
        </w:rPr>
        <w:t xml:space="preserve"> </w:t>
      </w:r>
      <w:r w:rsidR="005F1A72" w:rsidRPr="00120FEE">
        <w:rPr>
          <w:color w:val="000000" w:themeColor="text1"/>
          <w:sz w:val="20"/>
          <w:szCs w:val="20"/>
        </w:rPr>
        <w:t>Lutheran</w:t>
      </w:r>
      <w:r w:rsidR="00FF41A0" w:rsidRPr="00120FEE">
        <w:rPr>
          <w:color w:val="000000" w:themeColor="text1"/>
          <w:sz w:val="20"/>
          <w:szCs w:val="20"/>
        </w:rPr>
        <w:t xml:space="preserve"> </w:t>
      </w:r>
      <w:r w:rsidR="005F1A72" w:rsidRPr="00120FEE">
        <w:rPr>
          <w:color w:val="000000" w:themeColor="text1"/>
          <w:sz w:val="20"/>
          <w:szCs w:val="20"/>
        </w:rPr>
        <w:t>World</w:t>
      </w:r>
      <w:r w:rsidR="00FF41A0" w:rsidRPr="00120FEE">
        <w:rPr>
          <w:color w:val="000000" w:themeColor="text1"/>
          <w:sz w:val="20"/>
          <w:szCs w:val="20"/>
        </w:rPr>
        <w:t xml:space="preserve"> </w:t>
      </w:r>
      <w:r w:rsidR="005F1A72" w:rsidRPr="00120FEE">
        <w:rPr>
          <w:color w:val="000000" w:themeColor="text1"/>
          <w:sz w:val="20"/>
          <w:szCs w:val="20"/>
        </w:rPr>
        <w:t>Federation;</w:t>
      </w:r>
      <w:r w:rsidR="00FF41A0" w:rsidRPr="00120FEE">
        <w:rPr>
          <w:color w:val="000000" w:themeColor="text1"/>
          <w:sz w:val="20"/>
          <w:szCs w:val="20"/>
        </w:rPr>
        <w:t xml:space="preserve"> </w:t>
      </w:r>
      <w:r w:rsidR="005F1A72" w:rsidRPr="00120FEE">
        <w:rPr>
          <w:color w:val="000000" w:themeColor="text1"/>
          <w:sz w:val="20"/>
          <w:szCs w:val="20"/>
        </w:rPr>
        <w:t>Rencontre</w:t>
      </w:r>
      <w:r w:rsidR="00FF41A0" w:rsidRPr="00120FEE">
        <w:rPr>
          <w:color w:val="000000" w:themeColor="text1"/>
          <w:sz w:val="20"/>
          <w:szCs w:val="20"/>
        </w:rPr>
        <w:t xml:space="preserve"> </w:t>
      </w:r>
      <w:r w:rsidR="005F1A72" w:rsidRPr="00120FEE">
        <w:rPr>
          <w:color w:val="000000" w:themeColor="text1"/>
          <w:sz w:val="20"/>
          <w:szCs w:val="20"/>
        </w:rPr>
        <w:t>Africaine</w:t>
      </w:r>
      <w:r w:rsidR="00FF41A0" w:rsidRPr="00120FEE">
        <w:rPr>
          <w:color w:val="000000" w:themeColor="text1"/>
          <w:sz w:val="20"/>
          <w:szCs w:val="20"/>
        </w:rPr>
        <w:t xml:space="preserve"> </w:t>
      </w:r>
      <w:r w:rsidR="005F1A72" w:rsidRPr="00120FEE">
        <w:rPr>
          <w:color w:val="000000" w:themeColor="text1"/>
          <w:sz w:val="20"/>
          <w:szCs w:val="20"/>
        </w:rPr>
        <w:t>pour</w:t>
      </w:r>
      <w:r w:rsidR="00FF41A0" w:rsidRPr="00120FEE">
        <w:rPr>
          <w:color w:val="000000" w:themeColor="text1"/>
          <w:sz w:val="20"/>
          <w:szCs w:val="20"/>
        </w:rPr>
        <w:t xml:space="preserve"> </w:t>
      </w:r>
      <w:r w:rsidR="005F1A72" w:rsidRPr="00120FEE">
        <w:rPr>
          <w:color w:val="000000" w:themeColor="text1"/>
          <w:sz w:val="20"/>
          <w:szCs w:val="20"/>
        </w:rPr>
        <w:t>la</w:t>
      </w:r>
      <w:r w:rsidR="00FF41A0" w:rsidRPr="00120FEE">
        <w:rPr>
          <w:color w:val="000000" w:themeColor="text1"/>
          <w:sz w:val="20"/>
          <w:szCs w:val="20"/>
        </w:rPr>
        <w:t xml:space="preserve"> </w:t>
      </w:r>
      <w:r w:rsidR="005F1A72" w:rsidRPr="00120FEE">
        <w:rPr>
          <w:color w:val="000000" w:themeColor="text1"/>
          <w:sz w:val="20"/>
          <w:szCs w:val="20"/>
        </w:rPr>
        <w:t>defense</w:t>
      </w:r>
      <w:r w:rsidR="00FF41A0" w:rsidRPr="00120FEE">
        <w:rPr>
          <w:color w:val="000000" w:themeColor="text1"/>
          <w:sz w:val="20"/>
          <w:szCs w:val="20"/>
        </w:rPr>
        <w:t xml:space="preserve"> </w:t>
      </w:r>
      <w:r w:rsidR="005F1A72" w:rsidRPr="00120FEE">
        <w:rPr>
          <w:color w:val="000000" w:themeColor="text1"/>
          <w:sz w:val="20"/>
          <w:szCs w:val="20"/>
        </w:rPr>
        <w:t>des</w:t>
      </w:r>
      <w:r w:rsidR="00FF41A0" w:rsidRPr="00120FEE">
        <w:rPr>
          <w:color w:val="000000" w:themeColor="text1"/>
          <w:sz w:val="20"/>
          <w:szCs w:val="20"/>
        </w:rPr>
        <w:t xml:space="preserve"> </w:t>
      </w:r>
      <w:r w:rsidR="005F1A72" w:rsidRPr="00120FEE">
        <w:rPr>
          <w:color w:val="000000" w:themeColor="text1"/>
          <w:sz w:val="20"/>
          <w:szCs w:val="20"/>
        </w:rPr>
        <w:t>droits</w:t>
      </w:r>
      <w:r w:rsidR="00FF41A0" w:rsidRPr="00120FEE">
        <w:rPr>
          <w:color w:val="000000" w:themeColor="text1"/>
          <w:sz w:val="20"/>
          <w:szCs w:val="20"/>
        </w:rPr>
        <w:t xml:space="preserve"> </w:t>
      </w:r>
      <w:r w:rsidR="005F1A72" w:rsidRPr="00120FEE">
        <w:rPr>
          <w:color w:val="000000" w:themeColor="text1"/>
          <w:sz w:val="20"/>
          <w:szCs w:val="20"/>
        </w:rPr>
        <w:t>de</w:t>
      </w:r>
      <w:r w:rsidR="00FF41A0" w:rsidRPr="00120FEE">
        <w:rPr>
          <w:color w:val="000000" w:themeColor="text1"/>
          <w:sz w:val="20"/>
          <w:szCs w:val="20"/>
        </w:rPr>
        <w:t xml:space="preserve"> </w:t>
      </w:r>
      <w:r w:rsidR="005F1A72" w:rsidRPr="00120FEE">
        <w:rPr>
          <w:color w:val="000000" w:themeColor="text1"/>
          <w:sz w:val="20"/>
          <w:szCs w:val="20"/>
        </w:rPr>
        <w:t>l</w:t>
      </w:r>
      <w:r w:rsidR="00D72627">
        <w:rPr>
          <w:color w:val="000000" w:themeColor="text1"/>
          <w:sz w:val="20"/>
          <w:szCs w:val="20"/>
        </w:rPr>
        <w:t>’</w:t>
      </w:r>
      <w:r w:rsidR="005F1A72" w:rsidRPr="00120FEE">
        <w:rPr>
          <w:color w:val="000000" w:themeColor="text1"/>
          <w:sz w:val="20"/>
          <w:szCs w:val="20"/>
        </w:rPr>
        <w:t>homme;</w:t>
      </w:r>
      <w:r w:rsidR="00FF41A0" w:rsidRPr="00120FEE">
        <w:rPr>
          <w:color w:val="000000" w:themeColor="text1"/>
          <w:sz w:val="20"/>
          <w:szCs w:val="20"/>
        </w:rPr>
        <w:t xml:space="preserve"> </w:t>
      </w:r>
      <w:r w:rsidR="005F1A72" w:rsidRPr="00120FEE">
        <w:rPr>
          <w:color w:val="000000" w:themeColor="text1"/>
          <w:sz w:val="20"/>
          <w:szCs w:val="20"/>
        </w:rPr>
        <w:t>World</w:t>
      </w:r>
      <w:r w:rsidR="00FF41A0" w:rsidRPr="00120FEE">
        <w:rPr>
          <w:color w:val="000000" w:themeColor="text1"/>
          <w:sz w:val="20"/>
          <w:szCs w:val="20"/>
        </w:rPr>
        <w:t xml:space="preserve"> </w:t>
      </w:r>
      <w:r w:rsidR="005F1A72" w:rsidRPr="00120FEE">
        <w:rPr>
          <w:color w:val="000000" w:themeColor="text1"/>
          <w:sz w:val="20"/>
          <w:szCs w:val="20"/>
        </w:rPr>
        <w:t>Organisation</w:t>
      </w:r>
      <w:r w:rsidR="00FF41A0" w:rsidRPr="00120FEE">
        <w:rPr>
          <w:color w:val="000000" w:themeColor="text1"/>
          <w:sz w:val="20"/>
          <w:szCs w:val="20"/>
        </w:rPr>
        <w:t xml:space="preserve"> </w:t>
      </w:r>
      <w:r w:rsidR="005F1A72" w:rsidRPr="00120FEE">
        <w:rPr>
          <w:color w:val="000000" w:themeColor="text1"/>
          <w:sz w:val="20"/>
          <w:szCs w:val="20"/>
        </w:rPr>
        <w:t>Against</w:t>
      </w:r>
      <w:r w:rsidR="00FF41A0" w:rsidRPr="00120FEE">
        <w:rPr>
          <w:color w:val="000000" w:themeColor="text1"/>
          <w:sz w:val="20"/>
          <w:szCs w:val="20"/>
        </w:rPr>
        <w:t xml:space="preserve"> </w:t>
      </w:r>
      <w:r w:rsidR="005F1A72" w:rsidRPr="00120FEE">
        <w:rPr>
          <w:color w:val="000000" w:themeColor="text1"/>
          <w:sz w:val="20"/>
          <w:szCs w:val="20"/>
        </w:rPr>
        <w:t>Torture</w:t>
      </w:r>
      <w:r w:rsidRPr="00120FEE">
        <w:rPr>
          <w:color w:val="000000" w:themeColor="text1"/>
          <w:sz w:val="20"/>
          <w:szCs w:val="20"/>
          <w:lang w:eastAsia="en-GB"/>
        </w:rPr>
        <w:t>.</w:t>
      </w:r>
    </w:p>
    <w:p w14:paraId="4BE6B383" w14:textId="634F1EDF" w:rsidR="00985537" w:rsidRDefault="00CF15B1" w:rsidP="00160D0F">
      <w:pPr>
        <w:pStyle w:val="SingleTxtG"/>
        <w:rPr>
          <w:color w:val="000000" w:themeColor="text1"/>
          <w:sz w:val="20"/>
          <w:szCs w:val="20"/>
        </w:rPr>
      </w:pPr>
      <w:r>
        <w:rPr>
          <w:color w:val="000000" w:themeColor="text1"/>
          <w:sz w:val="20"/>
          <w:szCs w:val="20"/>
        </w:rPr>
        <w:t>973</w:t>
      </w:r>
      <w:r w:rsidR="00985537" w:rsidRPr="00113DE2">
        <w:rPr>
          <w:color w:val="000000" w:themeColor="text1"/>
          <w:sz w:val="20"/>
          <w:szCs w:val="20"/>
        </w:rPr>
        <w:t>.</w:t>
      </w:r>
      <w:r w:rsidR="00985537" w:rsidRPr="00113DE2">
        <w:rPr>
          <w:color w:val="000000" w:themeColor="text1"/>
          <w:sz w:val="20"/>
          <w:szCs w:val="20"/>
        </w:rPr>
        <w:tab/>
        <w:t>At</w:t>
      </w:r>
      <w:r w:rsidR="00FF41A0">
        <w:rPr>
          <w:color w:val="000000" w:themeColor="text1"/>
          <w:sz w:val="20"/>
          <w:szCs w:val="20"/>
        </w:rPr>
        <w:t xml:space="preserve"> </w:t>
      </w:r>
      <w:r w:rsidR="00985537" w:rsidRPr="00113DE2">
        <w:rPr>
          <w:color w:val="000000" w:themeColor="text1"/>
          <w:sz w:val="20"/>
          <w:szCs w:val="20"/>
        </w:rPr>
        <w:t>the</w:t>
      </w:r>
      <w:r w:rsidR="00FF41A0">
        <w:rPr>
          <w:color w:val="000000" w:themeColor="text1"/>
          <w:sz w:val="20"/>
          <w:szCs w:val="20"/>
        </w:rPr>
        <w:t xml:space="preserve"> </w:t>
      </w:r>
      <w:r w:rsidR="004F0D55">
        <w:rPr>
          <w:color w:val="000000" w:themeColor="text1"/>
          <w:sz w:val="20"/>
          <w:szCs w:val="20"/>
        </w:rPr>
        <w:t>46th</w:t>
      </w:r>
      <w:r w:rsidR="00FF41A0">
        <w:rPr>
          <w:color w:val="000000" w:themeColor="text1"/>
          <w:sz w:val="20"/>
          <w:szCs w:val="20"/>
        </w:rPr>
        <w:t xml:space="preserve"> </w:t>
      </w:r>
      <w:r w:rsidR="00985537" w:rsidRPr="00113DE2">
        <w:rPr>
          <w:color w:val="000000" w:themeColor="text1"/>
          <w:sz w:val="20"/>
          <w:szCs w:val="20"/>
        </w:rPr>
        <w:t>meeting,</w:t>
      </w:r>
      <w:r w:rsidR="00FF41A0">
        <w:rPr>
          <w:color w:val="000000" w:themeColor="text1"/>
          <w:sz w:val="20"/>
          <w:szCs w:val="20"/>
        </w:rPr>
        <w:t xml:space="preserve"> </w:t>
      </w:r>
      <w:r w:rsidR="004F0D55">
        <w:rPr>
          <w:color w:val="000000" w:themeColor="text1"/>
          <w:sz w:val="20"/>
          <w:szCs w:val="20"/>
        </w:rPr>
        <w:t>on</w:t>
      </w:r>
      <w:r w:rsidR="00FF41A0">
        <w:rPr>
          <w:color w:val="000000" w:themeColor="text1"/>
          <w:sz w:val="20"/>
          <w:szCs w:val="20"/>
        </w:rPr>
        <w:t xml:space="preserve"> </w:t>
      </w:r>
      <w:r w:rsidR="004F0D55">
        <w:rPr>
          <w:color w:val="000000" w:themeColor="text1"/>
          <w:sz w:val="20"/>
          <w:szCs w:val="20"/>
        </w:rPr>
        <w:t>the</w:t>
      </w:r>
      <w:r w:rsidR="00FF41A0">
        <w:rPr>
          <w:color w:val="000000" w:themeColor="text1"/>
          <w:sz w:val="20"/>
          <w:szCs w:val="20"/>
        </w:rPr>
        <w:t xml:space="preserve"> </w:t>
      </w:r>
      <w:r w:rsidR="004F0D55">
        <w:rPr>
          <w:color w:val="000000" w:themeColor="text1"/>
          <w:sz w:val="20"/>
          <w:szCs w:val="20"/>
        </w:rPr>
        <w:t>same</w:t>
      </w:r>
      <w:r w:rsidR="00FF41A0">
        <w:rPr>
          <w:color w:val="000000" w:themeColor="text1"/>
          <w:sz w:val="20"/>
          <w:szCs w:val="20"/>
        </w:rPr>
        <w:t xml:space="preserve"> </w:t>
      </w:r>
      <w:r w:rsidR="004F0D55">
        <w:rPr>
          <w:color w:val="000000" w:themeColor="text1"/>
          <w:sz w:val="20"/>
          <w:szCs w:val="20"/>
        </w:rPr>
        <w:t>day,</w:t>
      </w:r>
      <w:r w:rsidR="00FF41A0">
        <w:rPr>
          <w:color w:val="000000" w:themeColor="text1"/>
          <w:sz w:val="20"/>
          <w:szCs w:val="20"/>
        </w:rPr>
        <w:t xml:space="preserve"> </w:t>
      </w:r>
      <w:r w:rsidR="00985537" w:rsidRPr="00113DE2">
        <w:rPr>
          <w:color w:val="000000" w:themeColor="text1"/>
          <w:sz w:val="20"/>
          <w:szCs w:val="20"/>
        </w:rPr>
        <w:t>the</w:t>
      </w:r>
      <w:r w:rsidR="00FF41A0">
        <w:rPr>
          <w:color w:val="000000" w:themeColor="text1"/>
          <w:sz w:val="20"/>
          <w:szCs w:val="20"/>
        </w:rPr>
        <w:t xml:space="preserve"> </w:t>
      </w:r>
      <w:r w:rsidR="00985537" w:rsidRPr="00113DE2">
        <w:rPr>
          <w:color w:val="000000" w:themeColor="text1"/>
          <w:sz w:val="20"/>
          <w:szCs w:val="20"/>
        </w:rPr>
        <w:t>presenters</w:t>
      </w:r>
      <w:r w:rsidR="00A53B42">
        <w:rPr>
          <w:color w:val="000000" w:themeColor="text1"/>
          <w:sz w:val="20"/>
          <w:szCs w:val="20"/>
        </w:rPr>
        <w:t xml:space="preserve"> and the member </w:t>
      </w:r>
      <w:r w:rsidR="00A53B42" w:rsidRPr="00113DE2">
        <w:rPr>
          <w:color w:val="000000" w:themeColor="text1"/>
          <w:sz w:val="20"/>
          <w:szCs w:val="20"/>
        </w:rPr>
        <w:t>of</w:t>
      </w:r>
      <w:r w:rsidR="00A53B42">
        <w:rPr>
          <w:color w:val="000000" w:themeColor="text1"/>
          <w:sz w:val="20"/>
          <w:szCs w:val="20"/>
        </w:rPr>
        <w:t xml:space="preserve"> </w:t>
      </w:r>
      <w:r w:rsidR="00A53B42" w:rsidRPr="00113DE2">
        <w:rPr>
          <w:color w:val="000000" w:themeColor="text1"/>
          <w:sz w:val="20"/>
          <w:szCs w:val="20"/>
        </w:rPr>
        <w:t>the</w:t>
      </w:r>
      <w:r w:rsidR="00A53B42">
        <w:rPr>
          <w:color w:val="000000" w:themeColor="text1"/>
          <w:sz w:val="20"/>
          <w:szCs w:val="20"/>
        </w:rPr>
        <w:t xml:space="preserve"> </w:t>
      </w:r>
      <w:r w:rsidR="00A53B42" w:rsidRPr="00113DE2">
        <w:rPr>
          <w:color w:val="000000" w:themeColor="text1"/>
          <w:sz w:val="20"/>
          <w:szCs w:val="20"/>
        </w:rPr>
        <w:t>international</w:t>
      </w:r>
      <w:r w:rsidR="00A53B42">
        <w:rPr>
          <w:color w:val="000000" w:themeColor="text1"/>
          <w:sz w:val="20"/>
          <w:szCs w:val="20"/>
        </w:rPr>
        <w:t xml:space="preserve"> </w:t>
      </w:r>
      <w:r w:rsidR="00A53B42" w:rsidRPr="00113DE2">
        <w:rPr>
          <w:color w:val="000000" w:themeColor="text1"/>
          <w:sz w:val="20"/>
          <w:szCs w:val="20"/>
        </w:rPr>
        <w:t>team</w:t>
      </w:r>
      <w:r w:rsidR="00A53B42">
        <w:rPr>
          <w:color w:val="000000" w:themeColor="text1"/>
          <w:sz w:val="20"/>
          <w:szCs w:val="20"/>
        </w:rPr>
        <w:t xml:space="preserve"> </w:t>
      </w:r>
      <w:r w:rsidR="00A53B42" w:rsidRPr="00113DE2">
        <w:rPr>
          <w:color w:val="000000" w:themeColor="text1"/>
          <w:sz w:val="20"/>
          <w:szCs w:val="20"/>
        </w:rPr>
        <w:t>of</w:t>
      </w:r>
      <w:r w:rsidR="00A53B42">
        <w:rPr>
          <w:color w:val="000000" w:themeColor="text1"/>
          <w:sz w:val="20"/>
          <w:szCs w:val="20"/>
        </w:rPr>
        <w:t xml:space="preserve"> </w:t>
      </w:r>
      <w:r w:rsidR="00A53B42" w:rsidRPr="00113DE2">
        <w:rPr>
          <w:color w:val="000000" w:themeColor="text1"/>
          <w:sz w:val="20"/>
          <w:szCs w:val="20"/>
        </w:rPr>
        <w:t>experts</w:t>
      </w:r>
      <w:r w:rsidR="00A53B42">
        <w:rPr>
          <w:color w:val="000000" w:themeColor="text1"/>
          <w:sz w:val="20"/>
          <w:szCs w:val="20"/>
        </w:rPr>
        <w:t xml:space="preserve"> </w:t>
      </w:r>
      <w:r w:rsidR="00A53B42" w:rsidRPr="00113DE2">
        <w:rPr>
          <w:color w:val="000000" w:themeColor="text1"/>
          <w:sz w:val="20"/>
          <w:szCs w:val="20"/>
        </w:rPr>
        <w:t>on</w:t>
      </w:r>
      <w:r w:rsidR="00A53B42">
        <w:rPr>
          <w:color w:val="000000" w:themeColor="text1"/>
          <w:sz w:val="20"/>
          <w:szCs w:val="20"/>
        </w:rPr>
        <w:t xml:space="preserve"> </w:t>
      </w:r>
      <w:r w:rsidR="00A53B42" w:rsidRPr="00113DE2">
        <w:rPr>
          <w:color w:val="000000" w:themeColor="text1"/>
          <w:sz w:val="20"/>
          <w:szCs w:val="20"/>
        </w:rPr>
        <w:t>the</w:t>
      </w:r>
      <w:r w:rsidR="00A53B42">
        <w:rPr>
          <w:color w:val="000000" w:themeColor="text1"/>
          <w:sz w:val="20"/>
          <w:szCs w:val="20"/>
        </w:rPr>
        <w:t xml:space="preserve"> </w:t>
      </w:r>
      <w:r w:rsidR="00A53B42" w:rsidRPr="00113DE2">
        <w:rPr>
          <w:color w:val="000000" w:themeColor="text1"/>
          <w:sz w:val="20"/>
          <w:szCs w:val="20"/>
        </w:rPr>
        <w:t>situation</w:t>
      </w:r>
      <w:r w:rsidR="00A53B42">
        <w:rPr>
          <w:color w:val="000000" w:themeColor="text1"/>
          <w:sz w:val="20"/>
          <w:szCs w:val="20"/>
        </w:rPr>
        <w:t xml:space="preserve"> </w:t>
      </w:r>
      <w:r w:rsidR="00A53B42" w:rsidRPr="00113DE2">
        <w:rPr>
          <w:color w:val="000000" w:themeColor="text1"/>
          <w:sz w:val="20"/>
          <w:szCs w:val="20"/>
        </w:rPr>
        <w:t>in</w:t>
      </w:r>
      <w:r w:rsidR="00A53B42">
        <w:rPr>
          <w:color w:val="000000" w:themeColor="text1"/>
          <w:sz w:val="20"/>
          <w:szCs w:val="20"/>
        </w:rPr>
        <w:t xml:space="preserve"> </w:t>
      </w:r>
      <w:r w:rsidR="00A53B42" w:rsidRPr="00113DE2">
        <w:rPr>
          <w:color w:val="000000" w:themeColor="text1"/>
          <w:sz w:val="20"/>
          <w:szCs w:val="20"/>
        </w:rPr>
        <w:t>the</w:t>
      </w:r>
      <w:r w:rsidR="00A53B42">
        <w:rPr>
          <w:color w:val="000000" w:themeColor="text1"/>
          <w:sz w:val="20"/>
          <w:szCs w:val="20"/>
        </w:rPr>
        <w:t xml:space="preserve"> </w:t>
      </w:r>
      <w:r w:rsidR="00A53B42" w:rsidRPr="00113DE2">
        <w:rPr>
          <w:color w:val="000000" w:themeColor="text1"/>
          <w:sz w:val="20"/>
          <w:szCs w:val="20"/>
        </w:rPr>
        <w:t>Kasai</w:t>
      </w:r>
      <w:r w:rsidR="00A53B42">
        <w:rPr>
          <w:color w:val="000000" w:themeColor="text1"/>
          <w:sz w:val="20"/>
          <w:szCs w:val="20"/>
        </w:rPr>
        <w:t xml:space="preserve"> </w:t>
      </w:r>
      <w:r w:rsidR="00A53B42" w:rsidRPr="00113DE2">
        <w:rPr>
          <w:color w:val="000000" w:themeColor="text1"/>
          <w:sz w:val="20"/>
          <w:szCs w:val="20"/>
        </w:rPr>
        <w:t>regions,</w:t>
      </w:r>
      <w:r w:rsidR="00A53B42">
        <w:rPr>
          <w:color w:val="000000" w:themeColor="text1"/>
          <w:sz w:val="20"/>
          <w:szCs w:val="20"/>
        </w:rPr>
        <w:t xml:space="preserve"> </w:t>
      </w:r>
      <w:r w:rsidR="00A53B42" w:rsidRPr="00E02CD1">
        <w:rPr>
          <w:color w:val="000000" w:themeColor="text1"/>
          <w:sz w:val="20"/>
          <w:szCs w:val="20"/>
        </w:rPr>
        <w:t>Sheila</w:t>
      </w:r>
      <w:r w:rsidR="00A53B42">
        <w:rPr>
          <w:color w:val="000000" w:themeColor="text1"/>
          <w:sz w:val="20"/>
          <w:szCs w:val="20"/>
        </w:rPr>
        <w:t xml:space="preserve"> </w:t>
      </w:r>
      <w:r w:rsidR="00A53B42" w:rsidRPr="00E02CD1">
        <w:rPr>
          <w:color w:val="000000" w:themeColor="text1"/>
          <w:sz w:val="20"/>
          <w:szCs w:val="20"/>
        </w:rPr>
        <w:t>B.</w:t>
      </w:r>
      <w:r w:rsidR="00A53B42">
        <w:rPr>
          <w:color w:val="000000" w:themeColor="text1"/>
          <w:sz w:val="20"/>
          <w:szCs w:val="20"/>
        </w:rPr>
        <w:t xml:space="preserve"> </w:t>
      </w:r>
      <w:r w:rsidR="00A53B42" w:rsidRPr="00E02CD1">
        <w:rPr>
          <w:color w:val="000000" w:themeColor="text1"/>
          <w:sz w:val="20"/>
          <w:szCs w:val="20"/>
        </w:rPr>
        <w:t>Keetharuth</w:t>
      </w:r>
      <w:r w:rsidR="00A53B42">
        <w:rPr>
          <w:color w:val="000000" w:themeColor="text1"/>
          <w:sz w:val="20"/>
          <w:szCs w:val="20"/>
        </w:rPr>
        <w:t>,</w:t>
      </w:r>
      <w:r w:rsidR="00FF41A0">
        <w:rPr>
          <w:color w:val="000000" w:themeColor="text1"/>
          <w:sz w:val="20"/>
          <w:szCs w:val="20"/>
        </w:rPr>
        <w:t xml:space="preserve"> </w:t>
      </w:r>
      <w:r w:rsidR="00985537" w:rsidRPr="00113DE2">
        <w:rPr>
          <w:color w:val="000000" w:themeColor="text1"/>
          <w:sz w:val="20"/>
          <w:szCs w:val="20"/>
        </w:rPr>
        <w:t>answered</w:t>
      </w:r>
      <w:r w:rsidR="00FF41A0">
        <w:rPr>
          <w:color w:val="000000" w:themeColor="text1"/>
          <w:sz w:val="20"/>
          <w:szCs w:val="20"/>
        </w:rPr>
        <w:t xml:space="preserve"> </w:t>
      </w:r>
      <w:r w:rsidR="00985537" w:rsidRPr="00113DE2">
        <w:rPr>
          <w:color w:val="000000" w:themeColor="text1"/>
          <w:sz w:val="20"/>
          <w:szCs w:val="20"/>
        </w:rPr>
        <w:t>questions</w:t>
      </w:r>
      <w:r w:rsidR="00FF41A0">
        <w:rPr>
          <w:color w:val="000000" w:themeColor="text1"/>
          <w:sz w:val="20"/>
          <w:szCs w:val="20"/>
        </w:rPr>
        <w:t xml:space="preserve"> </w:t>
      </w:r>
      <w:r w:rsidR="00985537" w:rsidRPr="00113DE2">
        <w:rPr>
          <w:color w:val="000000" w:themeColor="text1"/>
          <w:sz w:val="20"/>
          <w:szCs w:val="20"/>
        </w:rPr>
        <w:t>and</w:t>
      </w:r>
      <w:r w:rsidR="00FF41A0">
        <w:rPr>
          <w:color w:val="000000" w:themeColor="text1"/>
          <w:sz w:val="20"/>
          <w:szCs w:val="20"/>
        </w:rPr>
        <w:t xml:space="preserve"> </w:t>
      </w:r>
      <w:r w:rsidR="00985537" w:rsidRPr="00113DE2">
        <w:rPr>
          <w:color w:val="000000" w:themeColor="text1"/>
          <w:sz w:val="20"/>
          <w:szCs w:val="20"/>
        </w:rPr>
        <w:t>made</w:t>
      </w:r>
      <w:r w:rsidR="00FF41A0">
        <w:rPr>
          <w:color w:val="000000" w:themeColor="text1"/>
          <w:sz w:val="20"/>
          <w:szCs w:val="20"/>
        </w:rPr>
        <w:t xml:space="preserve"> </w:t>
      </w:r>
      <w:r w:rsidR="00985537" w:rsidRPr="00113DE2">
        <w:rPr>
          <w:color w:val="000000" w:themeColor="text1"/>
          <w:sz w:val="20"/>
          <w:szCs w:val="20"/>
        </w:rPr>
        <w:t>concluding</w:t>
      </w:r>
      <w:r w:rsidR="00FF41A0">
        <w:rPr>
          <w:color w:val="000000" w:themeColor="text1"/>
          <w:sz w:val="20"/>
          <w:szCs w:val="20"/>
        </w:rPr>
        <w:t xml:space="preserve"> </w:t>
      </w:r>
      <w:r w:rsidR="00985537" w:rsidRPr="00113DE2">
        <w:rPr>
          <w:color w:val="000000" w:themeColor="text1"/>
          <w:sz w:val="20"/>
          <w:szCs w:val="20"/>
        </w:rPr>
        <w:t>remarks.</w:t>
      </w:r>
    </w:p>
    <w:p w14:paraId="635B1165" w14:textId="6C9E0827" w:rsidR="002A5E4D" w:rsidRDefault="00CF15B1" w:rsidP="002A5E4D">
      <w:pPr>
        <w:pStyle w:val="SingleTxtG"/>
        <w:tabs>
          <w:tab w:val="left" w:pos="2086"/>
        </w:tabs>
        <w:rPr>
          <w:color w:val="000000" w:themeColor="text1"/>
          <w:sz w:val="20"/>
          <w:szCs w:val="20"/>
        </w:rPr>
      </w:pPr>
      <w:r>
        <w:rPr>
          <w:color w:val="000000" w:themeColor="text1"/>
          <w:sz w:val="20"/>
          <w:szCs w:val="20"/>
        </w:rPr>
        <w:t>974</w:t>
      </w:r>
      <w:r w:rsidR="002A5E4D" w:rsidRPr="0084424D">
        <w:rPr>
          <w:color w:val="000000" w:themeColor="text1"/>
          <w:sz w:val="20"/>
          <w:szCs w:val="20"/>
        </w:rPr>
        <w:t>.</w:t>
      </w:r>
      <w:r w:rsidR="00FF41A0">
        <w:rPr>
          <w:color w:val="000000" w:themeColor="text1"/>
          <w:sz w:val="20"/>
          <w:szCs w:val="20"/>
        </w:rPr>
        <w:t xml:space="preserve"> </w:t>
      </w:r>
      <w:r w:rsidR="002A5E4D" w:rsidRPr="0084424D">
        <w:rPr>
          <w:color w:val="000000" w:themeColor="text1"/>
          <w:sz w:val="20"/>
          <w:szCs w:val="20"/>
        </w:rPr>
        <w:t>At</w:t>
      </w:r>
      <w:r w:rsidR="00FF41A0">
        <w:rPr>
          <w:color w:val="000000" w:themeColor="text1"/>
          <w:sz w:val="20"/>
          <w:szCs w:val="20"/>
        </w:rPr>
        <w:t xml:space="preserve"> </w:t>
      </w:r>
      <w:r w:rsidR="002A5E4D" w:rsidRPr="0084424D">
        <w:rPr>
          <w:color w:val="000000" w:themeColor="text1"/>
          <w:sz w:val="20"/>
          <w:szCs w:val="20"/>
        </w:rPr>
        <w:t>the</w:t>
      </w:r>
      <w:r w:rsidR="00FF41A0">
        <w:rPr>
          <w:color w:val="000000" w:themeColor="text1"/>
          <w:sz w:val="20"/>
          <w:szCs w:val="20"/>
        </w:rPr>
        <w:t xml:space="preserve"> </w:t>
      </w:r>
      <w:r w:rsidR="002A5E4D">
        <w:rPr>
          <w:color w:val="000000" w:themeColor="text1"/>
          <w:sz w:val="20"/>
          <w:szCs w:val="20"/>
        </w:rPr>
        <w:t>same</w:t>
      </w:r>
      <w:r w:rsidR="00FF41A0">
        <w:rPr>
          <w:color w:val="000000" w:themeColor="text1"/>
          <w:sz w:val="20"/>
          <w:szCs w:val="20"/>
        </w:rPr>
        <w:t xml:space="preserve"> </w:t>
      </w:r>
      <w:r w:rsidR="002A5E4D" w:rsidRPr="0084424D">
        <w:rPr>
          <w:color w:val="000000" w:themeColor="text1"/>
          <w:sz w:val="20"/>
          <w:szCs w:val="20"/>
        </w:rPr>
        <w:t>meeting,</w:t>
      </w:r>
      <w:r w:rsidR="00FF41A0">
        <w:rPr>
          <w:color w:val="000000" w:themeColor="text1"/>
          <w:sz w:val="20"/>
          <w:szCs w:val="20"/>
        </w:rPr>
        <w:t xml:space="preserve"> </w:t>
      </w:r>
      <w:r w:rsidR="002A5E4D" w:rsidRPr="0084424D">
        <w:rPr>
          <w:color w:val="000000" w:themeColor="text1"/>
          <w:sz w:val="20"/>
          <w:szCs w:val="20"/>
        </w:rPr>
        <w:t>on</w:t>
      </w:r>
      <w:r w:rsidR="00FF41A0">
        <w:rPr>
          <w:color w:val="000000" w:themeColor="text1"/>
          <w:sz w:val="20"/>
          <w:szCs w:val="20"/>
        </w:rPr>
        <w:t xml:space="preserve"> </w:t>
      </w:r>
      <w:r w:rsidR="002A5E4D">
        <w:rPr>
          <w:color w:val="000000" w:themeColor="text1"/>
          <w:sz w:val="20"/>
          <w:szCs w:val="20"/>
        </w:rPr>
        <w:t>the</w:t>
      </w:r>
      <w:r w:rsidR="00FF41A0">
        <w:rPr>
          <w:color w:val="000000" w:themeColor="text1"/>
          <w:sz w:val="20"/>
          <w:szCs w:val="20"/>
        </w:rPr>
        <w:t xml:space="preserve"> </w:t>
      </w:r>
      <w:r w:rsidR="002A5E4D">
        <w:rPr>
          <w:color w:val="000000" w:themeColor="text1"/>
          <w:sz w:val="20"/>
          <w:szCs w:val="20"/>
        </w:rPr>
        <w:t>same</w:t>
      </w:r>
      <w:r w:rsidR="00FF41A0">
        <w:rPr>
          <w:color w:val="000000" w:themeColor="text1"/>
          <w:sz w:val="20"/>
          <w:szCs w:val="20"/>
        </w:rPr>
        <w:t xml:space="preserve"> </w:t>
      </w:r>
      <w:r w:rsidR="002A5E4D">
        <w:rPr>
          <w:color w:val="000000" w:themeColor="text1"/>
          <w:sz w:val="20"/>
          <w:szCs w:val="20"/>
        </w:rPr>
        <w:t>day</w:t>
      </w:r>
      <w:r w:rsidR="002A5E4D" w:rsidRPr="0084424D">
        <w:rPr>
          <w:color w:val="000000" w:themeColor="text1"/>
          <w:sz w:val="20"/>
          <w:szCs w:val="20"/>
        </w:rPr>
        <w:t>,</w:t>
      </w:r>
      <w:r w:rsidR="00FF41A0">
        <w:rPr>
          <w:color w:val="000000" w:themeColor="text1"/>
          <w:sz w:val="20"/>
          <w:szCs w:val="20"/>
        </w:rPr>
        <w:t xml:space="preserve"> </w:t>
      </w:r>
      <w:r w:rsidR="002A5E4D">
        <w:rPr>
          <w:color w:val="000000" w:themeColor="text1"/>
          <w:sz w:val="20"/>
          <w:szCs w:val="20"/>
        </w:rPr>
        <w:t>a</w:t>
      </w:r>
      <w:r w:rsidR="00FF41A0">
        <w:rPr>
          <w:color w:val="000000" w:themeColor="text1"/>
          <w:sz w:val="20"/>
          <w:szCs w:val="20"/>
        </w:rPr>
        <w:t xml:space="preserve"> </w:t>
      </w:r>
      <w:r w:rsidR="002A5E4D" w:rsidRPr="0084424D">
        <w:rPr>
          <w:color w:val="000000" w:themeColor="text1"/>
          <w:sz w:val="20"/>
          <w:szCs w:val="20"/>
        </w:rPr>
        <w:t>statement</w:t>
      </w:r>
      <w:r w:rsidR="00FF41A0">
        <w:rPr>
          <w:color w:val="000000" w:themeColor="text1"/>
          <w:sz w:val="20"/>
          <w:szCs w:val="20"/>
        </w:rPr>
        <w:t xml:space="preserve"> </w:t>
      </w:r>
      <w:r w:rsidR="002A5E4D" w:rsidRPr="0084424D">
        <w:rPr>
          <w:color w:val="000000" w:themeColor="text1"/>
          <w:sz w:val="20"/>
          <w:szCs w:val="20"/>
        </w:rPr>
        <w:t>in</w:t>
      </w:r>
      <w:r w:rsidR="00FF41A0">
        <w:rPr>
          <w:color w:val="000000" w:themeColor="text1"/>
          <w:sz w:val="20"/>
          <w:szCs w:val="20"/>
        </w:rPr>
        <w:t xml:space="preserve"> </w:t>
      </w:r>
      <w:r w:rsidR="002A5E4D" w:rsidRPr="0084424D">
        <w:rPr>
          <w:color w:val="000000" w:themeColor="text1"/>
          <w:sz w:val="20"/>
          <w:szCs w:val="20"/>
        </w:rPr>
        <w:t>exercise</w:t>
      </w:r>
      <w:r w:rsidR="00FF41A0">
        <w:rPr>
          <w:color w:val="000000" w:themeColor="text1"/>
          <w:sz w:val="20"/>
          <w:szCs w:val="20"/>
        </w:rPr>
        <w:t xml:space="preserve"> </w:t>
      </w:r>
      <w:r w:rsidR="002A5E4D" w:rsidRPr="0084424D">
        <w:rPr>
          <w:color w:val="000000" w:themeColor="text1"/>
          <w:sz w:val="20"/>
          <w:szCs w:val="20"/>
        </w:rPr>
        <w:t>of</w:t>
      </w:r>
      <w:r w:rsidR="00FF41A0">
        <w:rPr>
          <w:color w:val="000000" w:themeColor="text1"/>
          <w:sz w:val="20"/>
          <w:szCs w:val="20"/>
        </w:rPr>
        <w:t xml:space="preserve"> </w:t>
      </w:r>
      <w:r w:rsidR="002A5E4D" w:rsidRPr="0084424D">
        <w:rPr>
          <w:color w:val="000000" w:themeColor="text1"/>
          <w:sz w:val="20"/>
          <w:szCs w:val="20"/>
        </w:rPr>
        <w:t>the</w:t>
      </w:r>
      <w:r w:rsidR="00FF41A0">
        <w:rPr>
          <w:color w:val="000000" w:themeColor="text1"/>
          <w:sz w:val="20"/>
          <w:szCs w:val="20"/>
        </w:rPr>
        <w:t xml:space="preserve"> </w:t>
      </w:r>
      <w:r w:rsidR="002A5E4D" w:rsidRPr="0084424D">
        <w:rPr>
          <w:color w:val="000000" w:themeColor="text1"/>
          <w:sz w:val="20"/>
          <w:szCs w:val="20"/>
        </w:rPr>
        <w:t>right</w:t>
      </w:r>
      <w:r w:rsidR="00FF41A0">
        <w:rPr>
          <w:color w:val="000000" w:themeColor="text1"/>
          <w:sz w:val="20"/>
          <w:szCs w:val="20"/>
        </w:rPr>
        <w:t xml:space="preserve"> </w:t>
      </w:r>
      <w:r w:rsidR="002A5E4D" w:rsidRPr="0084424D">
        <w:rPr>
          <w:color w:val="000000" w:themeColor="text1"/>
          <w:sz w:val="20"/>
          <w:szCs w:val="20"/>
        </w:rPr>
        <w:t>of</w:t>
      </w:r>
      <w:r w:rsidR="00FF41A0">
        <w:rPr>
          <w:color w:val="000000" w:themeColor="text1"/>
          <w:sz w:val="20"/>
          <w:szCs w:val="20"/>
        </w:rPr>
        <w:t xml:space="preserve"> </w:t>
      </w:r>
      <w:r w:rsidR="002A5E4D" w:rsidRPr="0084424D">
        <w:rPr>
          <w:color w:val="000000" w:themeColor="text1"/>
          <w:sz w:val="20"/>
          <w:szCs w:val="20"/>
        </w:rPr>
        <w:t>reply</w:t>
      </w:r>
      <w:r w:rsidR="00FF41A0">
        <w:rPr>
          <w:color w:val="000000" w:themeColor="text1"/>
          <w:sz w:val="20"/>
          <w:szCs w:val="20"/>
        </w:rPr>
        <w:t xml:space="preserve"> </w:t>
      </w:r>
      <w:r w:rsidR="002A5E4D">
        <w:rPr>
          <w:color w:val="000000" w:themeColor="text1"/>
          <w:sz w:val="20"/>
          <w:szCs w:val="20"/>
        </w:rPr>
        <w:t>was</w:t>
      </w:r>
      <w:r w:rsidR="00FF41A0">
        <w:rPr>
          <w:color w:val="000000" w:themeColor="text1"/>
          <w:sz w:val="20"/>
          <w:szCs w:val="20"/>
        </w:rPr>
        <w:t xml:space="preserve"> </w:t>
      </w:r>
      <w:r w:rsidR="002A5E4D" w:rsidRPr="0084424D">
        <w:rPr>
          <w:color w:val="000000" w:themeColor="text1"/>
          <w:sz w:val="20"/>
          <w:szCs w:val="20"/>
        </w:rPr>
        <w:t>made</w:t>
      </w:r>
      <w:r w:rsidR="00FF41A0">
        <w:rPr>
          <w:color w:val="000000" w:themeColor="text1"/>
          <w:sz w:val="20"/>
          <w:szCs w:val="20"/>
        </w:rPr>
        <w:t xml:space="preserve"> </w:t>
      </w:r>
      <w:r w:rsidR="002A5E4D" w:rsidRPr="0084424D">
        <w:rPr>
          <w:color w:val="000000" w:themeColor="text1"/>
          <w:sz w:val="20"/>
          <w:szCs w:val="20"/>
        </w:rPr>
        <w:t>by</w:t>
      </w:r>
      <w:r w:rsidR="00FF41A0">
        <w:rPr>
          <w:color w:val="000000" w:themeColor="text1"/>
          <w:sz w:val="20"/>
          <w:szCs w:val="20"/>
        </w:rPr>
        <w:t xml:space="preserve"> </w:t>
      </w:r>
      <w:r w:rsidR="002A5E4D" w:rsidRPr="0084424D">
        <w:rPr>
          <w:color w:val="000000" w:themeColor="text1"/>
          <w:sz w:val="20"/>
          <w:szCs w:val="20"/>
        </w:rPr>
        <w:t>the</w:t>
      </w:r>
      <w:r w:rsidR="00FF41A0">
        <w:rPr>
          <w:color w:val="000000" w:themeColor="text1"/>
          <w:sz w:val="20"/>
          <w:szCs w:val="20"/>
        </w:rPr>
        <w:t xml:space="preserve"> </w:t>
      </w:r>
      <w:r w:rsidR="002A5E4D" w:rsidRPr="0084424D">
        <w:rPr>
          <w:color w:val="000000" w:themeColor="text1"/>
          <w:sz w:val="20"/>
          <w:szCs w:val="20"/>
        </w:rPr>
        <w:t>representative</w:t>
      </w:r>
      <w:r w:rsidR="00FF41A0">
        <w:rPr>
          <w:color w:val="000000" w:themeColor="text1"/>
          <w:sz w:val="20"/>
          <w:szCs w:val="20"/>
        </w:rPr>
        <w:t xml:space="preserve"> </w:t>
      </w:r>
      <w:r w:rsidR="002A5E4D" w:rsidRPr="0084424D">
        <w:rPr>
          <w:color w:val="000000" w:themeColor="text1"/>
          <w:sz w:val="20"/>
          <w:szCs w:val="20"/>
        </w:rPr>
        <w:t>of</w:t>
      </w:r>
      <w:r w:rsidR="00FF41A0">
        <w:rPr>
          <w:color w:val="000000" w:themeColor="text1"/>
          <w:sz w:val="20"/>
          <w:szCs w:val="20"/>
        </w:rPr>
        <w:t xml:space="preserve"> </w:t>
      </w:r>
      <w:r w:rsidR="002A5E4D">
        <w:rPr>
          <w:color w:val="000000" w:themeColor="text1"/>
          <w:sz w:val="20"/>
          <w:szCs w:val="20"/>
        </w:rPr>
        <w:t>Rwanda</w:t>
      </w:r>
      <w:r w:rsidR="002A5E4D" w:rsidRPr="0084424D">
        <w:rPr>
          <w:color w:val="000000" w:themeColor="text1"/>
          <w:sz w:val="20"/>
          <w:szCs w:val="20"/>
        </w:rPr>
        <w:t>.</w:t>
      </w:r>
    </w:p>
    <w:p w14:paraId="362717E5" w14:textId="6F257433" w:rsidR="00272E5D" w:rsidRPr="00C16037" w:rsidRDefault="00272E5D" w:rsidP="00272E5D">
      <w:pPr>
        <w:pStyle w:val="H1G"/>
        <w:rPr>
          <w:color w:val="000000" w:themeColor="text1"/>
        </w:rPr>
      </w:pPr>
      <w:r>
        <w:rPr>
          <w:color w:val="000000" w:themeColor="text1"/>
        </w:rPr>
        <w:lastRenderedPageBreak/>
        <w:tab/>
      </w:r>
      <w:r w:rsidR="00025AE4" w:rsidRPr="000F56AD">
        <w:rPr>
          <w:color w:val="000000" w:themeColor="text1"/>
        </w:rPr>
        <w:t>B</w:t>
      </w:r>
      <w:r w:rsidRPr="000F56AD">
        <w:rPr>
          <w:color w:val="000000" w:themeColor="text1"/>
        </w:rPr>
        <w:t>.</w:t>
      </w:r>
      <w:r w:rsidRPr="000F56AD">
        <w:rPr>
          <w:color w:val="000000" w:themeColor="text1"/>
        </w:rPr>
        <w:tab/>
        <w:t>Interactive</w:t>
      </w:r>
      <w:r w:rsidR="00FF41A0">
        <w:rPr>
          <w:color w:val="000000" w:themeColor="text1"/>
        </w:rPr>
        <w:t xml:space="preserve"> </w:t>
      </w:r>
      <w:r w:rsidRPr="000F56AD">
        <w:rPr>
          <w:color w:val="000000" w:themeColor="text1"/>
        </w:rPr>
        <w:t>dialogue</w:t>
      </w:r>
      <w:r w:rsidR="00FF41A0">
        <w:rPr>
          <w:color w:val="000000" w:themeColor="text1"/>
        </w:rPr>
        <w:t xml:space="preserve"> </w:t>
      </w:r>
      <w:r w:rsidRPr="000F56AD">
        <w:rPr>
          <w:color w:val="000000" w:themeColor="text1"/>
        </w:rPr>
        <w:t>on</w:t>
      </w:r>
      <w:r w:rsidR="00FF41A0">
        <w:rPr>
          <w:color w:val="000000" w:themeColor="text1"/>
        </w:rPr>
        <w:t xml:space="preserve"> </w:t>
      </w:r>
      <w:r w:rsidRPr="000F56AD">
        <w:rPr>
          <w:color w:val="000000" w:themeColor="text1"/>
        </w:rPr>
        <w:t>cooperation</w:t>
      </w:r>
      <w:r w:rsidR="00FF41A0">
        <w:rPr>
          <w:color w:val="000000" w:themeColor="text1"/>
        </w:rPr>
        <w:t xml:space="preserve"> </w:t>
      </w:r>
      <w:r w:rsidRPr="000F56AD">
        <w:rPr>
          <w:color w:val="000000" w:themeColor="text1"/>
        </w:rPr>
        <w:t>and</w:t>
      </w:r>
      <w:r w:rsidR="00FF41A0">
        <w:rPr>
          <w:color w:val="000000" w:themeColor="text1"/>
        </w:rPr>
        <w:t xml:space="preserve"> </w:t>
      </w:r>
      <w:r w:rsidRPr="000F56AD">
        <w:rPr>
          <w:color w:val="000000" w:themeColor="text1"/>
        </w:rPr>
        <w:t>assistance</w:t>
      </w:r>
      <w:r w:rsidR="00FF41A0">
        <w:rPr>
          <w:color w:val="000000" w:themeColor="text1"/>
        </w:rPr>
        <w:t xml:space="preserve"> </w:t>
      </w:r>
      <w:r w:rsidRPr="000F56AD">
        <w:rPr>
          <w:color w:val="000000" w:themeColor="text1"/>
        </w:rPr>
        <w:t>to</w:t>
      </w:r>
      <w:r w:rsidR="00FF41A0">
        <w:rPr>
          <w:color w:val="000000" w:themeColor="text1"/>
        </w:rPr>
        <w:t xml:space="preserve"> </w:t>
      </w:r>
      <w:r w:rsidRPr="000F56AD">
        <w:rPr>
          <w:color w:val="000000" w:themeColor="text1"/>
        </w:rPr>
        <w:t>Ukraine</w:t>
      </w:r>
      <w:r w:rsidR="00FF41A0">
        <w:rPr>
          <w:color w:val="000000" w:themeColor="text1"/>
        </w:rPr>
        <w:t xml:space="preserve"> </w:t>
      </w:r>
      <w:r w:rsidRPr="000F56AD">
        <w:rPr>
          <w:color w:val="000000" w:themeColor="text1"/>
        </w:rPr>
        <w:t>in</w:t>
      </w:r>
      <w:r w:rsidR="00FF41A0">
        <w:rPr>
          <w:color w:val="000000" w:themeColor="text1"/>
        </w:rPr>
        <w:t xml:space="preserve"> </w:t>
      </w:r>
      <w:r w:rsidRPr="000F56AD">
        <w:rPr>
          <w:color w:val="000000" w:themeColor="text1"/>
        </w:rPr>
        <w:t>the</w:t>
      </w:r>
      <w:r w:rsidR="00FF41A0">
        <w:rPr>
          <w:color w:val="000000" w:themeColor="text1"/>
        </w:rPr>
        <w:t xml:space="preserve"> </w:t>
      </w:r>
      <w:r w:rsidRPr="000F56AD">
        <w:rPr>
          <w:color w:val="000000" w:themeColor="text1"/>
        </w:rPr>
        <w:t>field</w:t>
      </w:r>
      <w:r w:rsidR="00FF41A0">
        <w:rPr>
          <w:color w:val="000000" w:themeColor="text1"/>
        </w:rPr>
        <w:t xml:space="preserve"> </w:t>
      </w:r>
      <w:r w:rsidRPr="000F56AD">
        <w:rPr>
          <w:color w:val="000000" w:themeColor="text1"/>
        </w:rPr>
        <w:t>of</w:t>
      </w:r>
      <w:r w:rsidR="00FF41A0">
        <w:rPr>
          <w:color w:val="000000" w:themeColor="text1"/>
        </w:rPr>
        <w:t xml:space="preserve"> </w:t>
      </w:r>
      <w:r w:rsidRPr="000F56AD">
        <w:rPr>
          <w:color w:val="000000" w:themeColor="text1"/>
        </w:rPr>
        <w:t>human</w:t>
      </w:r>
      <w:r w:rsidR="00FF41A0">
        <w:rPr>
          <w:color w:val="000000" w:themeColor="text1"/>
        </w:rPr>
        <w:t xml:space="preserve"> </w:t>
      </w:r>
      <w:r w:rsidRPr="000F56AD">
        <w:rPr>
          <w:color w:val="000000" w:themeColor="text1"/>
        </w:rPr>
        <w:t>rights</w:t>
      </w:r>
    </w:p>
    <w:p w14:paraId="14CC7ADE" w14:textId="19D37B3E" w:rsidR="00272E5D" w:rsidRDefault="00CF15B1" w:rsidP="00272E5D">
      <w:pPr>
        <w:pStyle w:val="SingleTxtG"/>
        <w:rPr>
          <w:color w:val="000000" w:themeColor="text1"/>
          <w:sz w:val="20"/>
          <w:szCs w:val="20"/>
        </w:rPr>
      </w:pPr>
      <w:r>
        <w:rPr>
          <w:color w:val="000000" w:themeColor="text1"/>
          <w:sz w:val="20"/>
          <w:szCs w:val="20"/>
        </w:rPr>
        <w:t>975</w:t>
      </w:r>
      <w:r w:rsidR="00272E5D" w:rsidRPr="00113DE2">
        <w:rPr>
          <w:color w:val="000000" w:themeColor="text1"/>
          <w:sz w:val="20"/>
          <w:szCs w:val="20"/>
        </w:rPr>
        <w:t>.</w:t>
      </w:r>
      <w:r w:rsidR="00272E5D" w:rsidRPr="00113DE2">
        <w:rPr>
          <w:color w:val="000000" w:themeColor="text1"/>
          <w:sz w:val="20"/>
          <w:szCs w:val="20"/>
        </w:rPr>
        <w:tab/>
        <w:t>At</w:t>
      </w:r>
      <w:r w:rsidR="00FF41A0">
        <w:rPr>
          <w:color w:val="000000" w:themeColor="text1"/>
          <w:sz w:val="20"/>
          <w:szCs w:val="20"/>
        </w:rPr>
        <w:t xml:space="preserve"> </w:t>
      </w:r>
      <w:r w:rsidR="00272E5D" w:rsidRPr="00113DE2">
        <w:rPr>
          <w:color w:val="000000" w:themeColor="text1"/>
          <w:sz w:val="20"/>
          <w:szCs w:val="20"/>
        </w:rPr>
        <w:t>the</w:t>
      </w:r>
      <w:r w:rsidR="00FF41A0">
        <w:rPr>
          <w:color w:val="000000" w:themeColor="text1"/>
          <w:sz w:val="20"/>
          <w:szCs w:val="20"/>
        </w:rPr>
        <w:t xml:space="preserve"> </w:t>
      </w:r>
      <w:r w:rsidR="00272E5D" w:rsidRPr="00834B67">
        <w:rPr>
          <w:color w:val="000000" w:themeColor="text1"/>
          <w:sz w:val="20"/>
          <w:szCs w:val="20"/>
        </w:rPr>
        <w:t>4</w:t>
      </w:r>
      <w:r w:rsidR="00834B67" w:rsidRPr="00834B67">
        <w:rPr>
          <w:color w:val="000000" w:themeColor="text1"/>
          <w:sz w:val="20"/>
          <w:szCs w:val="20"/>
        </w:rPr>
        <w:t>6</w:t>
      </w:r>
      <w:r w:rsidR="00272E5D" w:rsidRPr="00834B67">
        <w:rPr>
          <w:color w:val="000000" w:themeColor="text1"/>
          <w:sz w:val="20"/>
          <w:szCs w:val="20"/>
        </w:rPr>
        <w:t>th</w:t>
      </w:r>
      <w:r w:rsidR="00FF41A0">
        <w:rPr>
          <w:color w:val="000000" w:themeColor="text1"/>
          <w:sz w:val="20"/>
          <w:szCs w:val="20"/>
        </w:rPr>
        <w:t xml:space="preserve"> </w:t>
      </w:r>
      <w:r w:rsidR="00272E5D" w:rsidRPr="00834B67">
        <w:rPr>
          <w:color w:val="000000" w:themeColor="text1"/>
          <w:sz w:val="20"/>
          <w:szCs w:val="20"/>
        </w:rPr>
        <w:t>meeting,</w:t>
      </w:r>
      <w:r w:rsidR="00FF41A0">
        <w:rPr>
          <w:color w:val="000000" w:themeColor="text1"/>
          <w:sz w:val="20"/>
          <w:szCs w:val="20"/>
        </w:rPr>
        <w:t xml:space="preserve"> </w:t>
      </w:r>
      <w:r w:rsidR="00272E5D" w:rsidRPr="00834B67">
        <w:rPr>
          <w:color w:val="000000" w:themeColor="text1"/>
          <w:sz w:val="20"/>
          <w:szCs w:val="20"/>
        </w:rPr>
        <w:t>on</w:t>
      </w:r>
      <w:r w:rsidR="00FF41A0">
        <w:rPr>
          <w:color w:val="000000" w:themeColor="text1"/>
          <w:sz w:val="20"/>
          <w:szCs w:val="20"/>
        </w:rPr>
        <w:t xml:space="preserve"> </w:t>
      </w:r>
      <w:r w:rsidR="00834B67" w:rsidRPr="00834B67">
        <w:rPr>
          <w:color w:val="000000" w:themeColor="text1"/>
          <w:sz w:val="20"/>
          <w:szCs w:val="20"/>
        </w:rPr>
        <w:t>19</w:t>
      </w:r>
      <w:r w:rsidR="00FF41A0">
        <w:rPr>
          <w:color w:val="000000" w:themeColor="text1"/>
          <w:sz w:val="20"/>
          <w:szCs w:val="20"/>
        </w:rPr>
        <w:t xml:space="preserve"> </w:t>
      </w:r>
      <w:r w:rsidR="00272E5D" w:rsidRPr="00834B67">
        <w:rPr>
          <w:color w:val="000000" w:themeColor="text1"/>
          <w:sz w:val="20"/>
          <w:szCs w:val="20"/>
        </w:rPr>
        <w:t>March</w:t>
      </w:r>
      <w:r w:rsidR="00FF41A0">
        <w:rPr>
          <w:color w:val="000000" w:themeColor="text1"/>
          <w:sz w:val="20"/>
          <w:szCs w:val="20"/>
        </w:rPr>
        <w:t xml:space="preserve"> </w:t>
      </w:r>
      <w:r w:rsidR="00272E5D" w:rsidRPr="00834B67">
        <w:rPr>
          <w:color w:val="000000" w:themeColor="text1"/>
          <w:sz w:val="20"/>
          <w:szCs w:val="20"/>
        </w:rPr>
        <w:t>2019</w:t>
      </w:r>
      <w:r w:rsidR="00272E5D" w:rsidRPr="00113DE2">
        <w:rPr>
          <w:color w:val="000000" w:themeColor="text1"/>
          <w:sz w:val="20"/>
          <w:szCs w:val="20"/>
        </w:rPr>
        <w:t>,</w:t>
      </w:r>
      <w:r w:rsidR="00FF41A0">
        <w:rPr>
          <w:color w:val="000000" w:themeColor="text1"/>
          <w:sz w:val="20"/>
          <w:szCs w:val="20"/>
        </w:rPr>
        <w:t xml:space="preserve"> </w:t>
      </w:r>
      <w:r w:rsidR="00272E5D" w:rsidRPr="00834B67">
        <w:rPr>
          <w:color w:val="000000" w:themeColor="text1"/>
          <w:sz w:val="20"/>
          <w:szCs w:val="20"/>
        </w:rPr>
        <w:t>pursuant</w:t>
      </w:r>
      <w:r w:rsidR="00FF41A0">
        <w:rPr>
          <w:color w:val="000000" w:themeColor="text1"/>
          <w:sz w:val="20"/>
          <w:szCs w:val="20"/>
        </w:rPr>
        <w:t xml:space="preserve"> </w:t>
      </w:r>
      <w:r w:rsidR="00272E5D" w:rsidRPr="00834B67">
        <w:rPr>
          <w:color w:val="000000" w:themeColor="text1"/>
          <w:sz w:val="20"/>
          <w:szCs w:val="20"/>
        </w:rPr>
        <w:t>to</w:t>
      </w:r>
      <w:r w:rsidR="00FF41A0">
        <w:rPr>
          <w:color w:val="000000" w:themeColor="text1"/>
          <w:sz w:val="20"/>
          <w:szCs w:val="20"/>
        </w:rPr>
        <w:t xml:space="preserve"> </w:t>
      </w:r>
      <w:r w:rsidR="00272E5D" w:rsidRPr="00834B67">
        <w:rPr>
          <w:color w:val="000000" w:themeColor="text1"/>
          <w:sz w:val="20"/>
          <w:szCs w:val="20"/>
        </w:rPr>
        <w:t>Human</w:t>
      </w:r>
      <w:r w:rsidR="00FF41A0">
        <w:rPr>
          <w:color w:val="000000" w:themeColor="text1"/>
          <w:sz w:val="20"/>
          <w:szCs w:val="20"/>
        </w:rPr>
        <w:t xml:space="preserve"> </w:t>
      </w:r>
      <w:r w:rsidR="00272E5D" w:rsidRPr="00834B67">
        <w:rPr>
          <w:color w:val="000000" w:themeColor="text1"/>
          <w:sz w:val="20"/>
          <w:szCs w:val="20"/>
        </w:rPr>
        <w:t>Rights</w:t>
      </w:r>
      <w:r w:rsidR="00FF41A0">
        <w:rPr>
          <w:color w:val="000000" w:themeColor="text1"/>
          <w:sz w:val="20"/>
          <w:szCs w:val="20"/>
        </w:rPr>
        <w:t xml:space="preserve"> </w:t>
      </w:r>
      <w:r w:rsidR="00272E5D" w:rsidRPr="00834B67">
        <w:rPr>
          <w:color w:val="000000" w:themeColor="text1"/>
          <w:sz w:val="20"/>
          <w:szCs w:val="20"/>
        </w:rPr>
        <w:t>Council</w:t>
      </w:r>
      <w:r w:rsidR="00FF41A0">
        <w:rPr>
          <w:color w:val="000000" w:themeColor="text1"/>
          <w:sz w:val="20"/>
          <w:szCs w:val="20"/>
        </w:rPr>
        <w:t xml:space="preserve"> </w:t>
      </w:r>
      <w:r w:rsidR="00272E5D" w:rsidRPr="00834B67">
        <w:rPr>
          <w:color w:val="000000" w:themeColor="text1"/>
          <w:sz w:val="20"/>
          <w:szCs w:val="20"/>
        </w:rPr>
        <w:t>resolution</w:t>
      </w:r>
      <w:r w:rsidR="00FF41A0">
        <w:rPr>
          <w:color w:val="000000" w:themeColor="text1"/>
          <w:sz w:val="20"/>
          <w:szCs w:val="20"/>
        </w:rPr>
        <w:t xml:space="preserve"> </w:t>
      </w:r>
      <w:r w:rsidR="00272E5D" w:rsidRPr="00834B67">
        <w:rPr>
          <w:color w:val="000000" w:themeColor="text1"/>
          <w:sz w:val="20"/>
          <w:szCs w:val="20"/>
        </w:rPr>
        <w:t>35/31,</w:t>
      </w:r>
      <w:r w:rsidR="00FF41A0">
        <w:rPr>
          <w:color w:val="000000" w:themeColor="text1"/>
          <w:sz w:val="20"/>
          <w:szCs w:val="20"/>
        </w:rPr>
        <w:t xml:space="preserve"> </w:t>
      </w:r>
      <w:r w:rsidR="00272E5D" w:rsidRPr="00113DE2">
        <w:rPr>
          <w:color w:val="000000" w:themeColor="text1"/>
          <w:sz w:val="20"/>
          <w:szCs w:val="20"/>
        </w:rPr>
        <w:t>the</w:t>
      </w:r>
      <w:r w:rsidR="00FF41A0">
        <w:rPr>
          <w:color w:val="000000" w:themeColor="text1"/>
          <w:sz w:val="20"/>
          <w:szCs w:val="20"/>
        </w:rPr>
        <w:t xml:space="preserve"> </w:t>
      </w:r>
      <w:r w:rsidR="00272E5D" w:rsidRPr="00113DE2">
        <w:rPr>
          <w:color w:val="000000" w:themeColor="text1"/>
          <w:sz w:val="20"/>
          <w:szCs w:val="20"/>
        </w:rPr>
        <w:t>Deputy</w:t>
      </w:r>
      <w:r w:rsidR="00FF41A0">
        <w:rPr>
          <w:color w:val="000000" w:themeColor="text1"/>
          <w:sz w:val="20"/>
          <w:szCs w:val="20"/>
        </w:rPr>
        <w:t xml:space="preserve"> </w:t>
      </w:r>
      <w:r w:rsidR="00272E5D" w:rsidRPr="00113DE2">
        <w:rPr>
          <w:color w:val="000000" w:themeColor="text1"/>
          <w:sz w:val="20"/>
          <w:szCs w:val="20"/>
        </w:rPr>
        <w:t>High</w:t>
      </w:r>
      <w:r w:rsidR="00FF41A0">
        <w:rPr>
          <w:color w:val="000000" w:themeColor="text1"/>
          <w:sz w:val="20"/>
          <w:szCs w:val="20"/>
        </w:rPr>
        <w:t xml:space="preserve"> </w:t>
      </w:r>
      <w:r w:rsidR="00272E5D" w:rsidRPr="00113DE2">
        <w:rPr>
          <w:color w:val="000000" w:themeColor="text1"/>
          <w:sz w:val="20"/>
          <w:szCs w:val="20"/>
        </w:rPr>
        <w:t>Commissioner</w:t>
      </w:r>
      <w:r w:rsidR="00FF41A0">
        <w:rPr>
          <w:color w:val="000000" w:themeColor="text1"/>
          <w:sz w:val="20"/>
          <w:szCs w:val="20"/>
        </w:rPr>
        <w:t xml:space="preserve"> </w:t>
      </w:r>
      <w:r w:rsidR="00272E5D" w:rsidRPr="00113DE2">
        <w:rPr>
          <w:color w:val="000000" w:themeColor="text1"/>
          <w:sz w:val="20"/>
          <w:szCs w:val="20"/>
        </w:rPr>
        <w:t>for</w:t>
      </w:r>
      <w:r w:rsidR="00FF41A0">
        <w:rPr>
          <w:color w:val="000000" w:themeColor="text1"/>
          <w:sz w:val="20"/>
          <w:szCs w:val="20"/>
        </w:rPr>
        <w:t xml:space="preserve"> </w:t>
      </w:r>
      <w:r w:rsidR="00272E5D" w:rsidRPr="00113DE2">
        <w:rPr>
          <w:color w:val="000000" w:themeColor="text1"/>
          <w:sz w:val="20"/>
          <w:szCs w:val="20"/>
        </w:rPr>
        <w:t>Human</w:t>
      </w:r>
      <w:r w:rsidR="00FF41A0">
        <w:rPr>
          <w:color w:val="000000" w:themeColor="text1"/>
          <w:sz w:val="20"/>
          <w:szCs w:val="20"/>
        </w:rPr>
        <w:t xml:space="preserve"> </w:t>
      </w:r>
      <w:r w:rsidR="00272E5D" w:rsidRPr="00113DE2">
        <w:rPr>
          <w:color w:val="000000" w:themeColor="text1"/>
          <w:sz w:val="20"/>
          <w:szCs w:val="20"/>
        </w:rPr>
        <w:t>Rights</w:t>
      </w:r>
      <w:r w:rsidR="00FF41A0">
        <w:rPr>
          <w:color w:val="000000" w:themeColor="text1"/>
          <w:sz w:val="20"/>
          <w:szCs w:val="20"/>
        </w:rPr>
        <w:t xml:space="preserve"> </w:t>
      </w:r>
      <w:r w:rsidR="00272E5D" w:rsidRPr="00113DE2">
        <w:rPr>
          <w:color w:val="000000" w:themeColor="text1"/>
          <w:sz w:val="20"/>
          <w:szCs w:val="20"/>
        </w:rPr>
        <w:t>provided</w:t>
      </w:r>
      <w:r w:rsidR="00FF41A0">
        <w:rPr>
          <w:color w:val="000000" w:themeColor="text1"/>
          <w:sz w:val="20"/>
          <w:szCs w:val="20"/>
        </w:rPr>
        <w:t xml:space="preserve"> </w:t>
      </w:r>
      <w:r w:rsidR="00272E5D" w:rsidRPr="00113DE2">
        <w:rPr>
          <w:color w:val="000000" w:themeColor="text1"/>
          <w:sz w:val="20"/>
          <w:szCs w:val="20"/>
        </w:rPr>
        <w:t>an</w:t>
      </w:r>
      <w:r w:rsidR="00FF41A0">
        <w:rPr>
          <w:color w:val="000000" w:themeColor="text1"/>
          <w:sz w:val="20"/>
          <w:szCs w:val="20"/>
        </w:rPr>
        <w:t xml:space="preserve"> </w:t>
      </w:r>
      <w:r w:rsidR="00272E5D" w:rsidRPr="00113DE2">
        <w:rPr>
          <w:color w:val="000000" w:themeColor="text1"/>
          <w:sz w:val="20"/>
          <w:szCs w:val="20"/>
        </w:rPr>
        <w:t>oral</w:t>
      </w:r>
      <w:r w:rsidR="00FF41A0">
        <w:rPr>
          <w:color w:val="000000" w:themeColor="text1"/>
          <w:sz w:val="20"/>
          <w:szCs w:val="20"/>
        </w:rPr>
        <w:t xml:space="preserve"> </w:t>
      </w:r>
      <w:r w:rsidR="00272E5D" w:rsidRPr="00113DE2">
        <w:rPr>
          <w:color w:val="000000" w:themeColor="text1"/>
          <w:sz w:val="20"/>
          <w:szCs w:val="20"/>
        </w:rPr>
        <w:t>update</w:t>
      </w:r>
      <w:r w:rsidR="00FF41A0">
        <w:rPr>
          <w:color w:val="000000" w:themeColor="text1"/>
          <w:sz w:val="20"/>
          <w:szCs w:val="20"/>
        </w:rPr>
        <w:t xml:space="preserve"> </w:t>
      </w:r>
      <w:r w:rsidR="00272E5D" w:rsidRPr="00113DE2">
        <w:rPr>
          <w:color w:val="000000" w:themeColor="text1"/>
          <w:sz w:val="20"/>
          <w:szCs w:val="20"/>
        </w:rPr>
        <w:t>on</w:t>
      </w:r>
      <w:r w:rsidR="00FF41A0">
        <w:rPr>
          <w:color w:val="000000" w:themeColor="text1"/>
          <w:sz w:val="20"/>
          <w:szCs w:val="20"/>
        </w:rPr>
        <w:t xml:space="preserve"> </w:t>
      </w:r>
      <w:r w:rsidR="00272E5D" w:rsidRPr="00113DE2">
        <w:rPr>
          <w:color w:val="000000" w:themeColor="text1"/>
          <w:sz w:val="20"/>
          <w:szCs w:val="20"/>
        </w:rPr>
        <w:t>the</w:t>
      </w:r>
      <w:r w:rsidR="00FF41A0">
        <w:rPr>
          <w:color w:val="000000" w:themeColor="text1"/>
          <w:sz w:val="20"/>
          <w:szCs w:val="20"/>
        </w:rPr>
        <w:t xml:space="preserve"> </w:t>
      </w:r>
      <w:r w:rsidR="00834B67" w:rsidRPr="00834B67">
        <w:rPr>
          <w:color w:val="000000" w:themeColor="text1"/>
          <w:sz w:val="20"/>
          <w:szCs w:val="20"/>
        </w:rPr>
        <w:t>findings</w:t>
      </w:r>
      <w:r w:rsidR="00FF41A0">
        <w:rPr>
          <w:color w:val="000000" w:themeColor="text1"/>
          <w:sz w:val="20"/>
          <w:szCs w:val="20"/>
        </w:rPr>
        <w:t xml:space="preserve"> </w:t>
      </w:r>
      <w:r w:rsidR="00834B67" w:rsidRPr="00834B67">
        <w:rPr>
          <w:color w:val="000000" w:themeColor="text1"/>
          <w:sz w:val="20"/>
          <w:szCs w:val="20"/>
        </w:rPr>
        <w:t>of</w:t>
      </w:r>
      <w:r w:rsidR="00FF41A0">
        <w:rPr>
          <w:color w:val="000000" w:themeColor="text1"/>
          <w:sz w:val="20"/>
          <w:szCs w:val="20"/>
        </w:rPr>
        <w:t xml:space="preserve"> </w:t>
      </w:r>
      <w:r w:rsidR="00834B67" w:rsidRPr="00834B67">
        <w:rPr>
          <w:color w:val="000000" w:themeColor="text1"/>
          <w:sz w:val="20"/>
          <w:szCs w:val="20"/>
        </w:rPr>
        <w:t>the</w:t>
      </w:r>
      <w:r w:rsidR="00FF41A0">
        <w:rPr>
          <w:color w:val="000000" w:themeColor="text1"/>
          <w:sz w:val="20"/>
          <w:szCs w:val="20"/>
        </w:rPr>
        <w:t xml:space="preserve"> </w:t>
      </w:r>
      <w:r w:rsidR="00834B67" w:rsidRPr="00834B67">
        <w:rPr>
          <w:color w:val="000000" w:themeColor="text1"/>
          <w:sz w:val="20"/>
          <w:szCs w:val="20"/>
        </w:rPr>
        <w:t>periodic</w:t>
      </w:r>
      <w:r w:rsidR="00FF41A0">
        <w:rPr>
          <w:color w:val="000000" w:themeColor="text1"/>
          <w:sz w:val="20"/>
          <w:szCs w:val="20"/>
        </w:rPr>
        <w:t xml:space="preserve"> </w:t>
      </w:r>
      <w:r w:rsidR="00834B67" w:rsidRPr="00834B67">
        <w:rPr>
          <w:color w:val="000000" w:themeColor="text1"/>
          <w:sz w:val="20"/>
          <w:szCs w:val="20"/>
        </w:rPr>
        <w:t>report</w:t>
      </w:r>
      <w:r w:rsidR="00FF41A0">
        <w:rPr>
          <w:color w:val="000000" w:themeColor="text1"/>
          <w:sz w:val="20"/>
          <w:szCs w:val="20"/>
        </w:rPr>
        <w:t xml:space="preserve"> </w:t>
      </w:r>
      <w:r w:rsidR="00834B67" w:rsidRPr="00834B67">
        <w:rPr>
          <w:color w:val="000000" w:themeColor="text1"/>
          <w:sz w:val="20"/>
          <w:szCs w:val="20"/>
        </w:rPr>
        <w:t>of</w:t>
      </w:r>
      <w:r w:rsidR="00FF41A0">
        <w:rPr>
          <w:color w:val="000000" w:themeColor="text1"/>
          <w:sz w:val="20"/>
          <w:szCs w:val="20"/>
        </w:rPr>
        <w:t xml:space="preserve"> </w:t>
      </w:r>
      <w:r w:rsidR="00834B67">
        <w:rPr>
          <w:color w:val="000000" w:themeColor="text1"/>
          <w:sz w:val="20"/>
          <w:szCs w:val="20"/>
        </w:rPr>
        <w:t>the</w:t>
      </w:r>
      <w:r w:rsidR="00FF41A0">
        <w:rPr>
          <w:color w:val="000000" w:themeColor="text1"/>
          <w:sz w:val="20"/>
          <w:szCs w:val="20"/>
        </w:rPr>
        <w:t xml:space="preserve"> </w:t>
      </w:r>
      <w:r w:rsidR="00834B67">
        <w:rPr>
          <w:color w:val="000000" w:themeColor="text1"/>
          <w:sz w:val="20"/>
          <w:szCs w:val="20"/>
        </w:rPr>
        <w:t>Office</w:t>
      </w:r>
      <w:r w:rsidR="00FF41A0">
        <w:rPr>
          <w:color w:val="000000" w:themeColor="text1"/>
          <w:sz w:val="20"/>
          <w:szCs w:val="20"/>
        </w:rPr>
        <w:t xml:space="preserve"> </w:t>
      </w:r>
      <w:r w:rsidR="00834B67">
        <w:rPr>
          <w:color w:val="000000" w:themeColor="text1"/>
          <w:sz w:val="20"/>
          <w:szCs w:val="20"/>
        </w:rPr>
        <w:t>of</w:t>
      </w:r>
      <w:r w:rsidR="00FF41A0">
        <w:rPr>
          <w:color w:val="000000" w:themeColor="text1"/>
          <w:sz w:val="20"/>
          <w:szCs w:val="20"/>
        </w:rPr>
        <w:t xml:space="preserve"> </w:t>
      </w:r>
      <w:r w:rsidR="00834B67">
        <w:rPr>
          <w:color w:val="000000" w:themeColor="text1"/>
          <w:sz w:val="20"/>
          <w:szCs w:val="20"/>
        </w:rPr>
        <w:t>the</w:t>
      </w:r>
      <w:r w:rsidR="00FF41A0">
        <w:rPr>
          <w:color w:val="000000" w:themeColor="text1"/>
          <w:sz w:val="20"/>
          <w:szCs w:val="20"/>
        </w:rPr>
        <w:t xml:space="preserve"> </w:t>
      </w:r>
      <w:r w:rsidR="00834B67">
        <w:rPr>
          <w:color w:val="000000" w:themeColor="text1"/>
          <w:sz w:val="20"/>
          <w:szCs w:val="20"/>
        </w:rPr>
        <w:t>High</w:t>
      </w:r>
      <w:r w:rsidR="00FF41A0">
        <w:rPr>
          <w:color w:val="000000" w:themeColor="text1"/>
          <w:sz w:val="20"/>
          <w:szCs w:val="20"/>
        </w:rPr>
        <w:t xml:space="preserve"> </w:t>
      </w:r>
      <w:r w:rsidR="00834B67">
        <w:rPr>
          <w:color w:val="000000" w:themeColor="text1"/>
          <w:sz w:val="20"/>
          <w:szCs w:val="20"/>
        </w:rPr>
        <w:t>Commissioner</w:t>
      </w:r>
      <w:r w:rsidR="00FF41A0">
        <w:rPr>
          <w:color w:val="000000" w:themeColor="text1"/>
          <w:sz w:val="20"/>
          <w:szCs w:val="20"/>
        </w:rPr>
        <w:t xml:space="preserve"> </w:t>
      </w:r>
      <w:r w:rsidR="00834B67">
        <w:rPr>
          <w:color w:val="000000" w:themeColor="text1"/>
          <w:sz w:val="20"/>
          <w:szCs w:val="20"/>
        </w:rPr>
        <w:t>for</w:t>
      </w:r>
      <w:r w:rsidR="00FF41A0">
        <w:rPr>
          <w:color w:val="000000" w:themeColor="text1"/>
          <w:sz w:val="20"/>
          <w:szCs w:val="20"/>
        </w:rPr>
        <w:t xml:space="preserve"> </w:t>
      </w:r>
      <w:r w:rsidR="00834B67">
        <w:rPr>
          <w:color w:val="000000" w:themeColor="text1"/>
          <w:sz w:val="20"/>
          <w:szCs w:val="20"/>
        </w:rPr>
        <w:t>Human</w:t>
      </w:r>
      <w:r w:rsidR="00FF41A0">
        <w:rPr>
          <w:color w:val="000000" w:themeColor="text1"/>
          <w:sz w:val="20"/>
          <w:szCs w:val="20"/>
        </w:rPr>
        <w:t xml:space="preserve"> </w:t>
      </w:r>
      <w:r w:rsidR="00834B67">
        <w:rPr>
          <w:color w:val="000000" w:themeColor="text1"/>
          <w:sz w:val="20"/>
          <w:szCs w:val="20"/>
        </w:rPr>
        <w:t>Rights</w:t>
      </w:r>
      <w:r w:rsidR="00FF41A0">
        <w:rPr>
          <w:color w:val="000000" w:themeColor="text1"/>
          <w:sz w:val="20"/>
          <w:szCs w:val="20"/>
        </w:rPr>
        <w:t xml:space="preserve"> </w:t>
      </w:r>
      <w:r w:rsidR="00272E5D" w:rsidRPr="00113DE2">
        <w:rPr>
          <w:color w:val="000000" w:themeColor="text1"/>
          <w:sz w:val="20"/>
          <w:szCs w:val="20"/>
        </w:rPr>
        <w:t>situation</w:t>
      </w:r>
      <w:r w:rsidR="00FF41A0">
        <w:rPr>
          <w:color w:val="000000" w:themeColor="text1"/>
          <w:sz w:val="20"/>
          <w:szCs w:val="20"/>
        </w:rPr>
        <w:t xml:space="preserve"> </w:t>
      </w:r>
      <w:r w:rsidR="00272E5D" w:rsidRPr="00113DE2">
        <w:rPr>
          <w:color w:val="000000" w:themeColor="text1"/>
          <w:sz w:val="20"/>
          <w:szCs w:val="20"/>
        </w:rPr>
        <w:t>of</w:t>
      </w:r>
      <w:r w:rsidR="00FF41A0">
        <w:rPr>
          <w:color w:val="000000" w:themeColor="text1"/>
          <w:sz w:val="20"/>
          <w:szCs w:val="20"/>
        </w:rPr>
        <w:t xml:space="preserve"> </w:t>
      </w:r>
      <w:r w:rsidR="00272E5D" w:rsidRPr="00113DE2">
        <w:rPr>
          <w:color w:val="000000" w:themeColor="text1"/>
          <w:sz w:val="20"/>
          <w:szCs w:val="20"/>
        </w:rPr>
        <w:t>human</w:t>
      </w:r>
      <w:r w:rsidR="00FF41A0">
        <w:rPr>
          <w:color w:val="000000" w:themeColor="text1"/>
          <w:sz w:val="20"/>
          <w:szCs w:val="20"/>
        </w:rPr>
        <w:t xml:space="preserve"> </w:t>
      </w:r>
      <w:r w:rsidR="00272E5D" w:rsidRPr="00113DE2">
        <w:rPr>
          <w:color w:val="000000" w:themeColor="text1"/>
          <w:sz w:val="20"/>
          <w:szCs w:val="20"/>
        </w:rPr>
        <w:t>rights</w:t>
      </w:r>
      <w:r w:rsidR="00FF41A0">
        <w:rPr>
          <w:color w:val="000000" w:themeColor="text1"/>
          <w:sz w:val="20"/>
          <w:szCs w:val="20"/>
        </w:rPr>
        <w:t xml:space="preserve"> </w:t>
      </w:r>
      <w:r w:rsidR="00272E5D" w:rsidRPr="00113DE2">
        <w:rPr>
          <w:color w:val="000000" w:themeColor="text1"/>
          <w:sz w:val="20"/>
          <w:szCs w:val="20"/>
        </w:rPr>
        <w:t>in</w:t>
      </w:r>
      <w:r w:rsidR="00FF41A0">
        <w:rPr>
          <w:color w:val="000000" w:themeColor="text1"/>
          <w:sz w:val="20"/>
          <w:szCs w:val="20"/>
        </w:rPr>
        <w:t xml:space="preserve"> </w:t>
      </w:r>
      <w:r w:rsidR="00272E5D" w:rsidRPr="00113DE2">
        <w:rPr>
          <w:color w:val="000000" w:themeColor="text1"/>
          <w:sz w:val="20"/>
          <w:szCs w:val="20"/>
        </w:rPr>
        <w:t>Ukraine.</w:t>
      </w:r>
    </w:p>
    <w:p w14:paraId="039265DA" w14:textId="060CF1A8" w:rsidR="00272E5D" w:rsidRPr="00113DE2" w:rsidRDefault="00CF15B1" w:rsidP="00272E5D">
      <w:pPr>
        <w:pStyle w:val="SingleTxtG"/>
        <w:rPr>
          <w:color w:val="000000" w:themeColor="text1"/>
          <w:sz w:val="20"/>
          <w:szCs w:val="20"/>
        </w:rPr>
      </w:pPr>
      <w:r>
        <w:rPr>
          <w:color w:val="000000" w:themeColor="text1"/>
          <w:sz w:val="20"/>
          <w:szCs w:val="20"/>
        </w:rPr>
        <w:t>976</w:t>
      </w:r>
      <w:r w:rsidR="00272E5D" w:rsidRPr="00113DE2">
        <w:rPr>
          <w:color w:val="000000" w:themeColor="text1"/>
          <w:sz w:val="20"/>
          <w:szCs w:val="20"/>
        </w:rPr>
        <w:t>.</w:t>
      </w:r>
      <w:r w:rsidR="00272E5D" w:rsidRPr="00113DE2">
        <w:rPr>
          <w:color w:val="000000" w:themeColor="text1"/>
          <w:sz w:val="20"/>
          <w:szCs w:val="20"/>
        </w:rPr>
        <w:tab/>
        <w:t>At</w:t>
      </w:r>
      <w:r w:rsidR="00FF41A0">
        <w:rPr>
          <w:color w:val="000000" w:themeColor="text1"/>
          <w:sz w:val="20"/>
          <w:szCs w:val="20"/>
        </w:rPr>
        <w:t xml:space="preserve"> </w:t>
      </w:r>
      <w:r w:rsidR="00272E5D" w:rsidRPr="00113DE2">
        <w:rPr>
          <w:color w:val="000000" w:themeColor="text1"/>
          <w:sz w:val="20"/>
          <w:szCs w:val="20"/>
        </w:rPr>
        <w:t>the</w:t>
      </w:r>
      <w:r w:rsidR="00FF41A0">
        <w:rPr>
          <w:color w:val="000000" w:themeColor="text1"/>
          <w:sz w:val="20"/>
          <w:szCs w:val="20"/>
        </w:rPr>
        <w:t xml:space="preserve"> </w:t>
      </w:r>
      <w:r w:rsidR="00181577">
        <w:rPr>
          <w:color w:val="000000" w:themeColor="text1"/>
          <w:sz w:val="20"/>
          <w:szCs w:val="20"/>
        </w:rPr>
        <w:t>47th meeting, on 20 March 2019</w:t>
      </w:r>
      <w:r w:rsidR="00272E5D" w:rsidRPr="00113DE2">
        <w:rPr>
          <w:color w:val="000000" w:themeColor="text1"/>
          <w:sz w:val="20"/>
          <w:szCs w:val="20"/>
        </w:rPr>
        <w:t>,</w:t>
      </w:r>
      <w:r w:rsidR="00FF41A0">
        <w:rPr>
          <w:color w:val="000000" w:themeColor="text1"/>
          <w:sz w:val="20"/>
          <w:szCs w:val="20"/>
        </w:rPr>
        <w:t xml:space="preserve"> </w:t>
      </w:r>
      <w:r w:rsidR="00272E5D" w:rsidRPr="00113DE2">
        <w:rPr>
          <w:color w:val="000000" w:themeColor="text1"/>
          <w:sz w:val="20"/>
          <w:szCs w:val="20"/>
        </w:rPr>
        <w:t>the</w:t>
      </w:r>
      <w:r w:rsidR="00FF41A0">
        <w:rPr>
          <w:color w:val="000000" w:themeColor="text1"/>
          <w:sz w:val="20"/>
          <w:szCs w:val="20"/>
        </w:rPr>
        <w:t xml:space="preserve"> </w:t>
      </w:r>
      <w:r w:rsidR="00272E5D" w:rsidRPr="00113DE2">
        <w:rPr>
          <w:color w:val="000000" w:themeColor="text1"/>
          <w:sz w:val="20"/>
          <w:szCs w:val="20"/>
        </w:rPr>
        <w:t>representative</w:t>
      </w:r>
      <w:r w:rsidR="00FF41A0">
        <w:rPr>
          <w:color w:val="000000" w:themeColor="text1"/>
          <w:sz w:val="20"/>
          <w:szCs w:val="20"/>
        </w:rPr>
        <w:t xml:space="preserve"> </w:t>
      </w:r>
      <w:r w:rsidR="00272E5D" w:rsidRPr="00113DE2">
        <w:rPr>
          <w:color w:val="000000" w:themeColor="text1"/>
          <w:sz w:val="20"/>
          <w:szCs w:val="20"/>
        </w:rPr>
        <w:t>of</w:t>
      </w:r>
      <w:r w:rsidR="00FF41A0">
        <w:rPr>
          <w:color w:val="000000" w:themeColor="text1"/>
          <w:sz w:val="20"/>
          <w:szCs w:val="20"/>
        </w:rPr>
        <w:t xml:space="preserve"> </w:t>
      </w:r>
      <w:r w:rsidR="00272E5D" w:rsidRPr="00113DE2">
        <w:rPr>
          <w:color w:val="000000" w:themeColor="text1"/>
          <w:sz w:val="20"/>
          <w:szCs w:val="20"/>
        </w:rPr>
        <w:t>Ukraine</w:t>
      </w:r>
      <w:r w:rsidR="00FF41A0">
        <w:rPr>
          <w:color w:val="000000" w:themeColor="text1"/>
          <w:sz w:val="20"/>
          <w:szCs w:val="20"/>
        </w:rPr>
        <w:t xml:space="preserve"> </w:t>
      </w:r>
      <w:r w:rsidR="00272E5D" w:rsidRPr="00113DE2">
        <w:rPr>
          <w:color w:val="000000" w:themeColor="text1"/>
          <w:sz w:val="20"/>
          <w:szCs w:val="20"/>
        </w:rPr>
        <w:t>made</w:t>
      </w:r>
      <w:r w:rsidR="00FF41A0">
        <w:rPr>
          <w:color w:val="000000" w:themeColor="text1"/>
          <w:sz w:val="20"/>
          <w:szCs w:val="20"/>
        </w:rPr>
        <w:t xml:space="preserve"> </w:t>
      </w:r>
      <w:r w:rsidR="00272E5D" w:rsidRPr="00113DE2">
        <w:rPr>
          <w:color w:val="000000" w:themeColor="text1"/>
          <w:sz w:val="20"/>
          <w:szCs w:val="20"/>
        </w:rPr>
        <w:t>a</w:t>
      </w:r>
      <w:r w:rsidR="00FF41A0">
        <w:rPr>
          <w:color w:val="000000" w:themeColor="text1"/>
          <w:sz w:val="20"/>
          <w:szCs w:val="20"/>
        </w:rPr>
        <w:t xml:space="preserve"> </w:t>
      </w:r>
      <w:r w:rsidR="00272E5D" w:rsidRPr="00113DE2">
        <w:rPr>
          <w:color w:val="000000" w:themeColor="text1"/>
          <w:sz w:val="20"/>
          <w:szCs w:val="20"/>
        </w:rPr>
        <w:t>statement</w:t>
      </w:r>
      <w:r w:rsidR="00FF41A0">
        <w:rPr>
          <w:color w:val="000000" w:themeColor="text1"/>
          <w:sz w:val="20"/>
          <w:szCs w:val="20"/>
        </w:rPr>
        <w:t xml:space="preserve"> </w:t>
      </w:r>
      <w:r w:rsidR="00272E5D" w:rsidRPr="00113DE2">
        <w:rPr>
          <w:color w:val="000000" w:themeColor="text1"/>
          <w:sz w:val="20"/>
          <w:szCs w:val="20"/>
        </w:rPr>
        <w:t>as</w:t>
      </w:r>
      <w:r w:rsidR="00FF41A0">
        <w:rPr>
          <w:color w:val="000000" w:themeColor="text1"/>
          <w:sz w:val="20"/>
          <w:szCs w:val="20"/>
        </w:rPr>
        <w:t xml:space="preserve"> </w:t>
      </w:r>
      <w:r w:rsidR="00272E5D" w:rsidRPr="00113DE2">
        <w:rPr>
          <w:color w:val="000000" w:themeColor="text1"/>
          <w:sz w:val="20"/>
          <w:szCs w:val="20"/>
        </w:rPr>
        <w:t>the</w:t>
      </w:r>
      <w:r w:rsidR="00FF41A0">
        <w:rPr>
          <w:color w:val="000000" w:themeColor="text1"/>
          <w:sz w:val="20"/>
          <w:szCs w:val="20"/>
        </w:rPr>
        <w:t xml:space="preserve"> </w:t>
      </w:r>
      <w:r w:rsidR="00272E5D" w:rsidRPr="00113DE2">
        <w:rPr>
          <w:color w:val="000000" w:themeColor="text1"/>
          <w:sz w:val="20"/>
          <w:szCs w:val="20"/>
        </w:rPr>
        <w:t>State</w:t>
      </w:r>
      <w:r w:rsidR="00FF41A0">
        <w:rPr>
          <w:color w:val="000000" w:themeColor="text1"/>
          <w:sz w:val="20"/>
          <w:szCs w:val="20"/>
        </w:rPr>
        <w:t xml:space="preserve"> </w:t>
      </w:r>
      <w:r w:rsidR="00272E5D" w:rsidRPr="00113DE2">
        <w:rPr>
          <w:color w:val="000000" w:themeColor="text1"/>
          <w:sz w:val="20"/>
          <w:szCs w:val="20"/>
        </w:rPr>
        <w:t>concerned.</w:t>
      </w:r>
    </w:p>
    <w:p w14:paraId="225A0F73" w14:textId="02CC6431" w:rsidR="00272E5D" w:rsidRPr="00113DE2" w:rsidRDefault="00CF15B1" w:rsidP="00272E5D">
      <w:pPr>
        <w:pStyle w:val="SingleTxtG"/>
        <w:rPr>
          <w:color w:val="000000" w:themeColor="text1"/>
          <w:sz w:val="20"/>
          <w:szCs w:val="20"/>
        </w:rPr>
      </w:pPr>
      <w:r>
        <w:rPr>
          <w:color w:val="000000" w:themeColor="text1"/>
          <w:sz w:val="20"/>
          <w:szCs w:val="20"/>
        </w:rPr>
        <w:t>977</w:t>
      </w:r>
      <w:r w:rsidR="00272E5D" w:rsidRPr="00113DE2">
        <w:rPr>
          <w:color w:val="000000" w:themeColor="text1"/>
          <w:sz w:val="20"/>
          <w:szCs w:val="20"/>
        </w:rPr>
        <w:t>.</w:t>
      </w:r>
      <w:r w:rsidR="00272E5D" w:rsidRPr="00113DE2">
        <w:rPr>
          <w:color w:val="000000" w:themeColor="text1"/>
          <w:sz w:val="20"/>
          <w:szCs w:val="20"/>
        </w:rPr>
        <w:tab/>
        <w:t>During</w:t>
      </w:r>
      <w:r w:rsidR="00FF41A0">
        <w:rPr>
          <w:color w:val="000000" w:themeColor="text1"/>
          <w:sz w:val="20"/>
          <w:szCs w:val="20"/>
        </w:rPr>
        <w:t xml:space="preserve"> </w:t>
      </w:r>
      <w:r w:rsidR="00272E5D" w:rsidRPr="00113DE2">
        <w:rPr>
          <w:color w:val="000000" w:themeColor="text1"/>
          <w:sz w:val="20"/>
          <w:szCs w:val="20"/>
        </w:rPr>
        <w:t>the</w:t>
      </w:r>
      <w:r w:rsidR="00FF41A0">
        <w:rPr>
          <w:color w:val="000000" w:themeColor="text1"/>
          <w:sz w:val="20"/>
          <w:szCs w:val="20"/>
        </w:rPr>
        <w:t xml:space="preserve"> </w:t>
      </w:r>
      <w:r w:rsidR="00272E5D" w:rsidRPr="00113DE2">
        <w:rPr>
          <w:color w:val="000000" w:themeColor="text1"/>
          <w:sz w:val="20"/>
          <w:szCs w:val="20"/>
        </w:rPr>
        <w:t>ensuing</w:t>
      </w:r>
      <w:r w:rsidR="00FF41A0">
        <w:rPr>
          <w:color w:val="000000" w:themeColor="text1"/>
          <w:sz w:val="20"/>
          <w:szCs w:val="20"/>
        </w:rPr>
        <w:t xml:space="preserve"> </w:t>
      </w:r>
      <w:r w:rsidR="00272E5D" w:rsidRPr="00113DE2">
        <w:rPr>
          <w:color w:val="000000" w:themeColor="text1"/>
          <w:sz w:val="20"/>
          <w:szCs w:val="20"/>
        </w:rPr>
        <w:t>interactive</w:t>
      </w:r>
      <w:r w:rsidR="00FF41A0">
        <w:rPr>
          <w:color w:val="000000" w:themeColor="text1"/>
          <w:sz w:val="20"/>
          <w:szCs w:val="20"/>
        </w:rPr>
        <w:t xml:space="preserve"> </w:t>
      </w:r>
      <w:r w:rsidR="00272E5D" w:rsidRPr="00113DE2">
        <w:rPr>
          <w:color w:val="000000" w:themeColor="text1"/>
          <w:sz w:val="20"/>
          <w:szCs w:val="20"/>
        </w:rPr>
        <w:t>dialogue,</w:t>
      </w:r>
      <w:r w:rsidR="00FF41A0">
        <w:rPr>
          <w:color w:val="000000" w:themeColor="text1"/>
          <w:sz w:val="20"/>
          <w:szCs w:val="20"/>
        </w:rPr>
        <w:t xml:space="preserve"> </w:t>
      </w:r>
      <w:r w:rsidR="00272E5D" w:rsidRPr="00113DE2">
        <w:rPr>
          <w:color w:val="000000" w:themeColor="text1"/>
          <w:sz w:val="20"/>
          <w:szCs w:val="20"/>
        </w:rPr>
        <w:t>at</w:t>
      </w:r>
      <w:r w:rsidR="00FF41A0">
        <w:rPr>
          <w:color w:val="000000" w:themeColor="text1"/>
          <w:sz w:val="20"/>
          <w:szCs w:val="20"/>
        </w:rPr>
        <w:t xml:space="preserve"> </w:t>
      </w:r>
      <w:r w:rsidR="00272E5D" w:rsidRPr="00113DE2">
        <w:rPr>
          <w:color w:val="000000" w:themeColor="text1"/>
          <w:sz w:val="20"/>
          <w:szCs w:val="20"/>
        </w:rPr>
        <w:t>the</w:t>
      </w:r>
      <w:r w:rsidR="00FF41A0">
        <w:rPr>
          <w:color w:val="000000" w:themeColor="text1"/>
          <w:sz w:val="20"/>
          <w:szCs w:val="20"/>
        </w:rPr>
        <w:t xml:space="preserve"> </w:t>
      </w:r>
      <w:r w:rsidR="004C0509">
        <w:rPr>
          <w:color w:val="000000" w:themeColor="text1"/>
          <w:sz w:val="20"/>
          <w:szCs w:val="20"/>
        </w:rPr>
        <w:t>46th</w:t>
      </w:r>
      <w:r w:rsidR="00FF41A0">
        <w:rPr>
          <w:color w:val="000000" w:themeColor="text1"/>
          <w:sz w:val="20"/>
          <w:szCs w:val="20"/>
        </w:rPr>
        <w:t xml:space="preserve"> </w:t>
      </w:r>
      <w:r w:rsidR="00272E5D" w:rsidRPr="00113DE2">
        <w:rPr>
          <w:color w:val="000000" w:themeColor="text1"/>
          <w:sz w:val="20"/>
          <w:szCs w:val="20"/>
        </w:rPr>
        <w:t>meeting,</w:t>
      </w:r>
      <w:r w:rsidR="00FF41A0">
        <w:rPr>
          <w:color w:val="000000" w:themeColor="text1"/>
          <w:sz w:val="20"/>
          <w:szCs w:val="20"/>
        </w:rPr>
        <w:t xml:space="preserve"> </w:t>
      </w:r>
      <w:r w:rsidR="00181577" w:rsidRPr="00834B67">
        <w:rPr>
          <w:color w:val="000000" w:themeColor="text1"/>
          <w:sz w:val="20"/>
          <w:szCs w:val="20"/>
        </w:rPr>
        <w:t>on</w:t>
      </w:r>
      <w:r w:rsidR="00181577">
        <w:rPr>
          <w:color w:val="000000" w:themeColor="text1"/>
          <w:sz w:val="20"/>
          <w:szCs w:val="20"/>
        </w:rPr>
        <w:t xml:space="preserve"> </w:t>
      </w:r>
      <w:r w:rsidR="00181577" w:rsidRPr="00834B67">
        <w:rPr>
          <w:color w:val="000000" w:themeColor="text1"/>
          <w:sz w:val="20"/>
          <w:szCs w:val="20"/>
        </w:rPr>
        <w:t>19</w:t>
      </w:r>
      <w:r w:rsidR="00181577">
        <w:rPr>
          <w:color w:val="000000" w:themeColor="text1"/>
          <w:sz w:val="20"/>
          <w:szCs w:val="20"/>
        </w:rPr>
        <w:t xml:space="preserve"> </w:t>
      </w:r>
      <w:r w:rsidR="00181577" w:rsidRPr="00834B67">
        <w:rPr>
          <w:color w:val="000000" w:themeColor="text1"/>
          <w:sz w:val="20"/>
          <w:szCs w:val="20"/>
        </w:rPr>
        <w:t>March</w:t>
      </w:r>
      <w:r w:rsidR="00181577">
        <w:rPr>
          <w:color w:val="000000" w:themeColor="text1"/>
          <w:sz w:val="20"/>
          <w:szCs w:val="20"/>
        </w:rPr>
        <w:t xml:space="preserve"> </w:t>
      </w:r>
      <w:r w:rsidR="00181577" w:rsidRPr="00834B67">
        <w:rPr>
          <w:color w:val="000000" w:themeColor="text1"/>
          <w:sz w:val="20"/>
          <w:szCs w:val="20"/>
        </w:rPr>
        <w:t>2019</w:t>
      </w:r>
      <w:r w:rsidR="00272E5D" w:rsidRPr="00113DE2">
        <w:rPr>
          <w:color w:val="000000" w:themeColor="text1"/>
          <w:sz w:val="20"/>
          <w:szCs w:val="20"/>
        </w:rPr>
        <w:t>,</w:t>
      </w:r>
      <w:r w:rsidR="00FF41A0">
        <w:rPr>
          <w:color w:val="000000" w:themeColor="text1"/>
          <w:sz w:val="20"/>
          <w:szCs w:val="20"/>
        </w:rPr>
        <w:t xml:space="preserve"> </w:t>
      </w:r>
      <w:r w:rsidR="004C0509">
        <w:rPr>
          <w:color w:val="000000" w:themeColor="text1"/>
          <w:sz w:val="20"/>
          <w:szCs w:val="20"/>
        </w:rPr>
        <w:t>and</w:t>
      </w:r>
      <w:r w:rsidR="00FF41A0">
        <w:rPr>
          <w:color w:val="000000" w:themeColor="text1"/>
          <w:sz w:val="20"/>
          <w:szCs w:val="20"/>
        </w:rPr>
        <w:t xml:space="preserve"> </w:t>
      </w:r>
      <w:r w:rsidR="004C0509">
        <w:rPr>
          <w:color w:val="000000" w:themeColor="text1"/>
          <w:sz w:val="20"/>
          <w:szCs w:val="20"/>
        </w:rPr>
        <w:t>at</w:t>
      </w:r>
      <w:r w:rsidR="00FF41A0">
        <w:rPr>
          <w:color w:val="000000" w:themeColor="text1"/>
          <w:sz w:val="20"/>
          <w:szCs w:val="20"/>
        </w:rPr>
        <w:t xml:space="preserve"> </w:t>
      </w:r>
      <w:r w:rsidR="004C0509">
        <w:rPr>
          <w:color w:val="000000" w:themeColor="text1"/>
          <w:sz w:val="20"/>
          <w:szCs w:val="20"/>
        </w:rPr>
        <w:t>the</w:t>
      </w:r>
      <w:r w:rsidR="00FF41A0">
        <w:rPr>
          <w:color w:val="000000" w:themeColor="text1"/>
          <w:sz w:val="20"/>
          <w:szCs w:val="20"/>
        </w:rPr>
        <w:t xml:space="preserve"> </w:t>
      </w:r>
      <w:r w:rsidR="004C0509">
        <w:rPr>
          <w:color w:val="000000" w:themeColor="text1"/>
          <w:sz w:val="20"/>
          <w:szCs w:val="20"/>
        </w:rPr>
        <w:t>47th</w:t>
      </w:r>
      <w:r w:rsidR="00FF41A0">
        <w:rPr>
          <w:color w:val="000000" w:themeColor="text1"/>
          <w:sz w:val="20"/>
          <w:szCs w:val="20"/>
        </w:rPr>
        <w:t xml:space="preserve"> </w:t>
      </w:r>
      <w:r w:rsidR="004C0509">
        <w:rPr>
          <w:color w:val="000000" w:themeColor="text1"/>
          <w:sz w:val="20"/>
          <w:szCs w:val="20"/>
        </w:rPr>
        <w:t>meeting,</w:t>
      </w:r>
      <w:r w:rsidR="00FF41A0">
        <w:rPr>
          <w:color w:val="000000" w:themeColor="text1"/>
          <w:sz w:val="20"/>
          <w:szCs w:val="20"/>
        </w:rPr>
        <w:t xml:space="preserve"> </w:t>
      </w:r>
      <w:r w:rsidR="004C0509">
        <w:rPr>
          <w:color w:val="000000" w:themeColor="text1"/>
          <w:sz w:val="20"/>
          <w:szCs w:val="20"/>
        </w:rPr>
        <w:t>on</w:t>
      </w:r>
      <w:r w:rsidR="00FF41A0">
        <w:rPr>
          <w:color w:val="000000" w:themeColor="text1"/>
          <w:sz w:val="20"/>
          <w:szCs w:val="20"/>
        </w:rPr>
        <w:t xml:space="preserve"> </w:t>
      </w:r>
      <w:r w:rsidR="004C0509">
        <w:rPr>
          <w:color w:val="000000" w:themeColor="text1"/>
          <w:sz w:val="20"/>
          <w:szCs w:val="20"/>
        </w:rPr>
        <w:t>20</w:t>
      </w:r>
      <w:r w:rsidR="00FF41A0">
        <w:rPr>
          <w:color w:val="000000" w:themeColor="text1"/>
          <w:sz w:val="20"/>
          <w:szCs w:val="20"/>
        </w:rPr>
        <w:t xml:space="preserve"> </w:t>
      </w:r>
      <w:r w:rsidR="004C0509">
        <w:rPr>
          <w:color w:val="000000" w:themeColor="text1"/>
          <w:sz w:val="20"/>
          <w:szCs w:val="20"/>
        </w:rPr>
        <w:t>March</w:t>
      </w:r>
      <w:r w:rsidR="00FF41A0">
        <w:rPr>
          <w:color w:val="000000" w:themeColor="text1"/>
          <w:sz w:val="20"/>
          <w:szCs w:val="20"/>
        </w:rPr>
        <w:t xml:space="preserve"> </w:t>
      </w:r>
      <w:r w:rsidR="004C0509">
        <w:rPr>
          <w:color w:val="000000" w:themeColor="text1"/>
          <w:sz w:val="20"/>
          <w:szCs w:val="20"/>
        </w:rPr>
        <w:t>2019,</w:t>
      </w:r>
      <w:r w:rsidR="00FF41A0">
        <w:rPr>
          <w:color w:val="000000" w:themeColor="text1"/>
          <w:sz w:val="20"/>
          <w:szCs w:val="20"/>
        </w:rPr>
        <w:t xml:space="preserve"> </w:t>
      </w:r>
      <w:r w:rsidR="00272E5D" w:rsidRPr="00113DE2">
        <w:rPr>
          <w:color w:val="000000" w:themeColor="text1"/>
          <w:sz w:val="20"/>
          <w:szCs w:val="20"/>
        </w:rPr>
        <w:t>the</w:t>
      </w:r>
      <w:r w:rsidR="00FF41A0">
        <w:rPr>
          <w:color w:val="000000" w:themeColor="text1"/>
          <w:sz w:val="20"/>
          <w:szCs w:val="20"/>
        </w:rPr>
        <w:t xml:space="preserve"> </w:t>
      </w:r>
      <w:r w:rsidR="00272E5D" w:rsidRPr="00113DE2">
        <w:rPr>
          <w:color w:val="000000" w:themeColor="text1"/>
          <w:sz w:val="20"/>
          <w:szCs w:val="20"/>
        </w:rPr>
        <w:t>following</w:t>
      </w:r>
      <w:r w:rsidR="00FF41A0">
        <w:rPr>
          <w:color w:val="000000" w:themeColor="text1"/>
          <w:sz w:val="20"/>
          <w:szCs w:val="20"/>
        </w:rPr>
        <w:t xml:space="preserve"> </w:t>
      </w:r>
      <w:r w:rsidR="00272E5D" w:rsidRPr="00113DE2">
        <w:rPr>
          <w:color w:val="000000" w:themeColor="text1"/>
          <w:sz w:val="20"/>
          <w:szCs w:val="20"/>
        </w:rPr>
        <w:t>made</w:t>
      </w:r>
      <w:r w:rsidR="00FF41A0">
        <w:rPr>
          <w:color w:val="000000" w:themeColor="text1"/>
          <w:sz w:val="20"/>
          <w:szCs w:val="20"/>
        </w:rPr>
        <w:t xml:space="preserve"> </w:t>
      </w:r>
      <w:r w:rsidR="00272E5D" w:rsidRPr="00113DE2">
        <w:rPr>
          <w:color w:val="000000" w:themeColor="text1"/>
          <w:sz w:val="20"/>
          <w:szCs w:val="20"/>
        </w:rPr>
        <w:t>statements</w:t>
      </w:r>
      <w:r w:rsidR="00FF41A0">
        <w:rPr>
          <w:color w:val="000000" w:themeColor="text1"/>
          <w:sz w:val="20"/>
          <w:szCs w:val="20"/>
        </w:rPr>
        <w:t xml:space="preserve"> </w:t>
      </w:r>
      <w:r w:rsidR="00272E5D" w:rsidRPr="00113DE2">
        <w:rPr>
          <w:color w:val="000000" w:themeColor="text1"/>
          <w:sz w:val="20"/>
          <w:szCs w:val="20"/>
        </w:rPr>
        <w:t>and</w:t>
      </w:r>
      <w:r w:rsidR="00FF41A0">
        <w:rPr>
          <w:color w:val="000000" w:themeColor="text1"/>
          <w:sz w:val="20"/>
          <w:szCs w:val="20"/>
        </w:rPr>
        <w:t xml:space="preserve"> </w:t>
      </w:r>
      <w:r w:rsidR="00272E5D" w:rsidRPr="00113DE2">
        <w:rPr>
          <w:color w:val="000000" w:themeColor="text1"/>
          <w:sz w:val="20"/>
          <w:szCs w:val="20"/>
        </w:rPr>
        <w:t>asked</w:t>
      </w:r>
      <w:r w:rsidR="00FF41A0">
        <w:rPr>
          <w:color w:val="000000" w:themeColor="text1"/>
          <w:sz w:val="20"/>
          <w:szCs w:val="20"/>
        </w:rPr>
        <w:t xml:space="preserve"> </w:t>
      </w:r>
      <w:r w:rsidR="00272E5D" w:rsidRPr="00113DE2">
        <w:rPr>
          <w:color w:val="000000" w:themeColor="text1"/>
          <w:sz w:val="20"/>
          <w:szCs w:val="20"/>
        </w:rPr>
        <w:t>the</w:t>
      </w:r>
      <w:r w:rsidR="00FF41A0">
        <w:rPr>
          <w:color w:val="000000" w:themeColor="text1"/>
          <w:sz w:val="20"/>
          <w:szCs w:val="20"/>
        </w:rPr>
        <w:t xml:space="preserve"> </w:t>
      </w:r>
      <w:r w:rsidR="00272E5D" w:rsidRPr="00113DE2">
        <w:rPr>
          <w:color w:val="000000" w:themeColor="text1"/>
          <w:sz w:val="20"/>
          <w:szCs w:val="20"/>
        </w:rPr>
        <w:t>Deputy</w:t>
      </w:r>
      <w:r w:rsidR="00FF41A0">
        <w:rPr>
          <w:color w:val="000000" w:themeColor="text1"/>
          <w:sz w:val="20"/>
          <w:szCs w:val="20"/>
        </w:rPr>
        <w:t xml:space="preserve"> </w:t>
      </w:r>
      <w:r w:rsidR="00272E5D" w:rsidRPr="00113DE2">
        <w:rPr>
          <w:color w:val="000000" w:themeColor="text1"/>
          <w:sz w:val="20"/>
          <w:szCs w:val="20"/>
        </w:rPr>
        <w:t>High</w:t>
      </w:r>
      <w:r w:rsidR="00FF41A0">
        <w:rPr>
          <w:color w:val="000000" w:themeColor="text1"/>
          <w:sz w:val="20"/>
          <w:szCs w:val="20"/>
        </w:rPr>
        <w:t xml:space="preserve"> </w:t>
      </w:r>
      <w:r w:rsidR="00272E5D" w:rsidRPr="00113DE2">
        <w:rPr>
          <w:color w:val="000000" w:themeColor="text1"/>
          <w:sz w:val="20"/>
          <w:szCs w:val="20"/>
        </w:rPr>
        <w:t>Commissioner</w:t>
      </w:r>
      <w:r w:rsidR="00FF41A0">
        <w:rPr>
          <w:color w:val="000000" w:themeColor="text1"/>
          <w:sz w:val="20"/>
          <w:szCs w:val="20"/>
        </w:rPr>
        <w:t xml:space="preserve"> </w:t>
      </w:r>
      <w:r w:rsidR="00272E5D" w:rsidRPr="00113DE2">
        <w:rPr>
          <w:color w:val="000000" w:themeColor="text1"/>
          <w:sz w:val="20"/>
          <w:szCs w:val="20"/>
        </w:rPr>
        <w:t>questions:</w:t>
      </w:r>
    </w:p>
    <w:p w14:paraId="740F6B8B" w14:textId="0C502799" w:rsidR="00272E5D" w:rsidRPr="00113DE2" w:rsidRDefault="00272E5D" w:rsidP="00272E5D">
      <w:pPr>
        <w:pStyle w:val="SingleTxtG"/>
        <w:ind w:firstLine="567"/>
        <w:rPr>
          <w:color w:val="000000" w:themeColor="text1"/>
          <w:sz w:val="20"/>
          <w:szCs w:val="20"/>
        </w:rPr>
      </w:pPr>
      <w:r w:rsidRPr="00113DE2">
        <w:rPr>
          <w:color w:val="000000" w:themeColor="text1"/>
          <w:sz w:val="20"/>
          <w:szCs w:val="20"/>
        </w:rPr>
        <w:t>(a)</w:t>
      </w:r>
      <w:r w:rsidRPr="00113DE2">
        <w:rPr>
          <w:color w:val="000000" w:themeColor="text1"/>
          <w:sz w:val="20"/>
          <w:szCs w:val="20"/>
        </w:rPr>
        <w:tab/>
        <w:t>Representatives</w:t>
      </w:r>
      <w:r w:rsidR="00FF41A0">
        <w:rPr>
          <w:color w:val="000000" w:themeColor="text1"/>
          <w:sz w:val="20"/>
          <w:szCs w:val="20"/>
        </w:rPr>
        <w:t xml:space="preserve"> </w:t>
      </w:r>
      <w:r w:rsidRPr="00113DE2">
        <w:rPr>
          <w:color w:val="000000" w:themeColor="text1"/>
          <w:sz w:val="20"/>
          <w:szCs w:val="20"/>
        </w:rPr>
        <w:t>of</w:t>
      </w:r>
      <w:r w:rsidR="00FF41A0">
        <w:rPr>
          <w:color w:val="000000" w:themeColor="text1"/>
          <w:sz w:val="20"/>
          <w:szCs w:val="20"/>
        </w:rPr>
        <w:t xml:space="preserve"> </w:t>
      </w:r>
      <w:r>
        <w:rPr>
          <w:color w:val="000000" w:themeColor="text1"/>
          <w:sz w:val="20"/>
          <w:szCs w:val="20"/>
        </w:rPr>
        <w:t>States</w:t>
      </w:r>
      <w:r w:rsidR="00FF41A0">
        <w:rPr>
          <w:color w:val="000000" w:themeColor="text1"/>
          <w:sz w:val="20"/>
          <w:szCs w:val="20"/>
        </w:rPr>
        <w:t xml:space="preserve"> </w:t>
      </w:r>
      <w:r>
        <w:rPr>
          <w:color w:val="000000" w:themeColor="text1"/>
          <w:sz w:val="20"/>
          <w:szCs w:val="20"/>
        </w:rPr>
        <w:t>Members</w:t>
      </w:r>
      <w:r w:rsidR="00FF41A0">
        <w:rPr>
          <w:color w:val="000000" w:themeColor="text1"/>
          <w:sz w:val="20"/>
          <w:szCs w:val="20"/>
        </w:rPr>
        <w:t xml:space="preserve"> </w:t>
      </w:r>
      <w:r w:rsidRPr="00113DE2">
        <w:rPr>
          <w:color w:val="000000" w:themeColor="text1"/>
          <w:sz w:val="20"/>
          <w:szCs w:val="20"/>
        </w:rPr>
        <w:t>of</w:t>
      </w:r>
      <w:r w:rsidR="00FF41A0">
        <w:rPr>
          <w:color w:val="000000" w:themeColor="text1"/>
          <w:sz w:val="20"/>
          <w:szCs w:val="20"/>
        </w:rPr>
        <w:t xml:space="preserve"> </w:t>
      </w:r>
      <w:r w:rsidRPr="00113DE2">
        <w:rPr>
          <w:color w:val="000000" w:themeColor="text1"/>
          <w:sz w:val="20"/>
          <w:szCs w:val="20"/>
        </w:rPr>
        <w:t>the</w:t>
      </w:r>
      <w:r w:rsidR="00FF41A0">
        <w:rPr>
          <w:color w:val="000000" w:themeColor="text1"/>
          <w:sz w:val="20"/>
          <w:szCs w:val="20"/>
        </w:rPr>
        <w:t xml:space="preserve"> </w:t>
      </w:r>
      <w:r w:rsidRPr="00113DE2">
        <w:rPr>
          <w:color w:val="000000" w:themeColor="text1"/>
          <w:sz w:val="20"/>
          <w:szCs w:val="20"/>
        </w:rPr>
        <w:t>Human</w:t>
      </w:r>
      <w:r w:rsidR="00FF41A0">
        <w:rPr>
          <w:color w:val="000000" w:themeColor="text1"/>
          <w:sz w:val="20"/>
          <w:szCs w:val="20"/>
        </w:rPr>
        <w:t xml:space="preserve"> </w:t>
      </w:r>
      <w:r w:rsidRPr="00113DE2">
        <w:rPr>
          <w:color w:val="000000" w:themeColor="text1"/>
          <w:sz w:val="20"/>
          <w:szCs w:val="20"/>
        </w:rPr>
        <w:t>Rights</w:t>
      </w:r>
      <w:r w:rsidR="00FF41A0">
        <w:rPr>
          <w:color w:val="000000" w:themeColor="text1"/>
          <w:sz w:val="20"/>
          <w:szCs w:val="20"/>
        </w:rPr>
        <w:t xml:space="preserve"> </w:t>
      </w:r>
      <w:r w:rsidRPr="00113DE2">
        <w:rPr>
          <w:color w:val="000000" w:themeColor="text1"/>
          <w:sz w:val="20"/>
          <w:szCs w:val="20"/>
        </w:rPr>
        <w:t>Council:</w:t>
      </w:r>
      <w:r w:rsidR="00FF41A0">
        <w:rPr>
          <w:color w:val="000000" w:themeColor="text1"/>
          <w:sz w:val="20"/>
          <w:szCs w:val="20"/>
        </w:rPr>
        <w:t xml:space="preserve"> </w:t>
      </w:r>
      <w:r w:rsidR="004C0509" w:rsidRPr="004C0509">
        <w:rPr>
          <w:color w:val="000000" w:themeColor="text1"/>
          <w:sz w:val="20"/>
          <w:szCs w:val="20"/>
        </w:rPr>
        <w:t>Australia</w:t>
      </w:r>
      <w:r w:rsidR="004C0509">
        <w:rPr>
          <w:color w:val="000000" w:themeColor="text1"/>
          <w:sz w:val="20"/>
          <w:szCs w:val="20"/>
        </w:rPr>
        <w:t>,</w:t>
      </w:r>
      <w:r w:rsidR="00FF41A0">
        <w:rPr>
          <w:color w:val="000000" w:themeColor="text1"/>
          <w:sz w:val="20"/>
          <w:szCs w:val="20"/>
        </w:rPr>
        <w:t xml:space="preserve"> </w:t>
      </w:r>
      <w:r w:rsidR="004C0509" w:rsidRPr="004C0509">
        <w:rPr>
          <w:color w:val="000000" w:themeColor="text1"/>
          <w:sz w:val="20"/>
          <w:szCs w:val="20"/>
        </w:rPr>
        <w:t>Bulgaria</w:t>
      </w:r>
      <w:r w:rsidR="004C0509">
        <w:rPr>
          <w:color w:val="000000" w:themeColor="text1"/>
          <w:sz w:val="20"/>
          <w:szCs w:val="20"/>
        </w:rPr>
        <w:t>,</w:t>
      </w:r>
      <w:r w:rsidR="00FF41A0">
        <w:rPr>
          <w:color w:val="000000" w:themeColor="text1"/>
          <w:sz w:val="20"/>
          <w:szCs w:val="20"/>
        </w:rPr>
        <w:t xml:space="preserve"> </w:t>
      </w:r>
      <w:r w:rsidR="004C0509" w:rsidRPr="004C0509">
        <w:rPr>
          <w:color w:val="000000" w:themeColor="text1"/>
          <w:sz w:val="20"/>
          <w:szCs w:val="20"/>
        </w:rPr>
        <w:t>Croatia</w:t>
      </w:r>
      <w:r w:rsidR="004C0509">
        <w:rPr>
          <w:color w:val="000000" w:themeColor="text1"/>
          <w:sz w:val="20"/>
          <w:szCs w:val="20"/>
        </w:rPr>
        <w:t>,</w:t>
      </w:r>
      <w:r w:rsidR="00FF41A0">
        <w:rPr>
          <w:color w:val="000000" w:themeColor="text1"/>
          <w:sz w:val="20"/>
          <w:szCs w:val="20"/>
        </w:rPr>
        <w:t xml:space="preserve"> </w:t>
      </w:r>
      <w:r w:rsidR="004C0509" w:rsidRPr="004C0509">
        <w:rPr>
          <w:color w:val="000000" w:themeColor="text1"/>
          <w:sz w:val="20"/>
          <w:szCs w:val="20"/>
        </w:rPr>
        <w:t>Czechi</w:t>
      </w:r>
      <w:r w:rsidR="004C0509">
        <w:rPr>
          <w:color w:val="000000" w:themeColor="text1"/>
          <w:sz w:val="20"/>
          <w:szCs w:val="20"/>
        </w:rPr>
        <w:t>a,</w:t>
      </w:r>
      <w:r w:rsidR="00FF41A0">
        <w:rPr>
          <w:color w:val="000000" w:themeColor="text1"/>
          <w:sz w:val="20"/>
          <w:szCs w:val="20"/>
        </w:rPr>
        <w:t xml:space="preserve"> </w:t>
      </w:r>
      <w:r w:rsidR="004C0509" w:rsidRPr="004C0509">
        <w:rPr>
          <w:color w:val="000000" w:themeColor="text1"/>
          <w:sz w:val="20"/>
          <w:szCs w:val="20"/>
        </w:rPr>
        <w:t>Denmark</w:t>
      </w:r>
      <w:r w:rsidR="004C0509">
        <w:rPr>
          <w:color w:val="000000" w:themeColor="text1"/>
          <w:sz w:val="20"/>
          <w:szCs w:val="20"/>
        </w:rPr>
        <w:t>,</w:t>
      </w:r>
      <w:r w:rsidR="00FF41A0">
        <w:rPr>
          <w:color w:val="000000" w:themeColor="text1"/>
          <w:sz w:val="20"/>
          <w:szCs w:val="20"/>
        </w:rPr>
        <w:t xml:space="preserve"> </w:t>
      </w:r>
      <w:r w:rsidR="004C0509" w:rsidRPr="004C0509">
        <w:rPr>
          <w:color w:val="000000" w:themeColor="text1"/>
          <w:sz w:val="20"/>
          <w:szCs w:val="20"/>
        </w:rPr>
        <w:t>Hungary</w:t>
      </w:r>
      <w:r w:rsidR="004C0509">
        <w:rPr>
          <w:color w:val="000000" w:themeColor="text1"/>
          <w:sz w:val="20"/>
          <w:szCs w:val="20"/>
        </w:rPr>
        <w:t>,</w:t>
      </w:r>
      <w:r w:rsidR="00FF41A0">
        <w:rPr>
          <w:color w:val="000000" w:themeColor="text1"/>
          <w:sz w:val="20"/>
          <w:szCs w:val="20"/>
        </w:rPr>
        <w:t xml:space="preserve"> </w:t>
      </w:r>
      <w:r w:rsidR="004C0509" w:rsidRPr="004C0509">
        <w:rPr>
          <w:color w:val="000000" w:themeColor="text1"/>
          <w:sz w:val="20"/>
          <w:szCs w:val="20"/>
        </w:rPr>
        <w:t>Iceland</w:t>
      </w:r>
      <w:r w:rsidR="004C0509">
        <w:rPr>
          <w:color w:val="000000" w:themeColor="text1"/>
          <w:sz w:val="20"/>
          <w:szCs w:val="20"/>
        </w:rPr>
        <w:t>,</w:t>
      </w:r>
      <w:r w:rsidR="00FF41A0">
        <w:rPr>
          <w:color w:val="000000" w:themeColor="text1"/>
          <w:sz w:val="20"/>
          <w:szCs w:val="20"/>
        </w:rPr>
        <w:t xml:space="preserve"> </w:t>
      </w:r>
      <w:r w:rsidR="004C0509" w:rsidRPr="004C0509">
        <w:rPr>
          <w:color w:val="000000" w:themeColor="text1"/>
          <w:sz w:val="20"/>
          <w:szCs w:val="20"/>
        </w:rPr>
        <w:t>Japan</w:t>
      </w:r>
      <w:r w:rsidR="004C0509">
        <w:rPr>
          <w:color w:val="000000" w:themeColor="text1"/>
          <w:sz w:val="20"/>
          <w:szCs w:val="20"/>
        </w:rPr>
        <w:t>,</w:t>
      </w:r>
      <w:r w:rsidR="00FF41A0">
        <w:rPr>
          <w:color w:val="000000" w:themeColor="text1"/>
          <w:sz w:val="20"/>
          <w:szCs w:val="20"/>
        </w:rPr>
        <w:t xml:space="preserve"> </w:t>
      </w:r>
      <w:r w:rsidR="004C0509" w:rsidRPr="004C0509">
        <w:rPr>
          <w:color w:val="000000" w:themeColor="text1"/>
          <w:sz w:val="20"/>
          <w:szCs w:val="20"/>
        </w:rPr>
        <w:t>Slovakia</w:t>
      </w:r>
      <w:r w:rsidR="004C0509">
        <w:rPr>
          <w:color w:val="000000" w:themeColor="text1"/>
          <w:sz w:val="20"/>
          <w:szCs w:val="20"/>
        </w:rPr>
        <w:t>,</w:t>
      </w:r>
      <w:r w:rsidR="00FF41A0">
        <w:rPr>
          <w:color w:val="000000" w:themeColor="text1"/>
          <w:sz w:val="20"/>
          <w:szCs w:val="20"/>
        </w:rPr>
        <w:t xml:space="preserve"> </w:t>
      </w:r>
      <w:r w:rsidR="004C0509" w:rsidRPr="004C0509">
        <w:rPr>
          <w:color w:val="000000" w:themeColor="text1"/>
          <w:sz w:val="20"/>
          <w:szCs w:val="20"/>
        </w:rPr>
        <w:t>United</w:t>
      </w:r>
      <w:r w:rsidR="00FF41A0">
        <w:rPr>
          <w:color w:val="000000" w:themeColor="text1"/>
          <w:sz w:val="20"/>
          <w:szCs w:val="20"/>
        </w:rPr>
        <w:t xml:space="preserve"> </w:t>
      </w:r>
      <w:r w:rsidR="004C0509" w:rsidRPr="004C0509">
        <w:rPr>
          <w:color w:val="000000" w:themeColor="text1"/>
          <w:sz w:val="20"/>
          <w:szCs w:val="20"/>
        </w:rPr>
        <w:t>Kingdom</w:t>
      </w:r>
      <w:r w:rsidR="00FF41A0">
        <w:rPr>
          <w:color w:val="000000" w:themeColor="text1"/>
          <w:sz w:val="20"/>
          <w:szCs w:val="20"/>
        </w:rPr>
        <w:t xml:space="preserve"> </w:t>
      </w:r>
      <w:r w:rsidR="004C0509" w:rsidRPr="004C0509">
        <w:rPr>
          <w:color w:val="000000" w:themeColor="text1"/>
          <w:sz w:val="20"/>
          <w:szCs w:val="20"/>
        </w:rPr>
        <w:t>of</w:t>
      </w:r>
      <w:r w:rsidR="00FF41A0">
        <w:rPr>
          <w:color w:val="000000" w:themeColor="text1"/>
          <w:sz w:val="20"/>
          <w:szCs w:val="20"/>
        </w:rPr>
        <w:t xml:space="preserve"> </w:t>
      </w:r>
      <w:r w:rsidR="004C0509" w:rsidRPr="004C0509">
        <w:rPr>
          <w:color w:val="000000" w:themeColor="text1"/>
          <w:sz w:val="20"/>
          <w:szCs w:val="20"/>
        </w:rPr>
        <w:t>Great</w:t>
      </w:r>
      <w:r w:rsidR="00FF41A0">
        <w:rPr>
          <w:color w:val="000000" w:themeColor="text1"/>
          <w:sz w:val="20"/>
          <w:szCs w:val="20"/>
        </w:rPr>
        <w:t xml:space="preserve"> </w:t>
      </w:r>
      <w:r w:rsidR="004C0509" w:rsidRPr="004C0509">
        <w:rPr>
          <w:color w:val="000000" w:themeColor="text1"/>
          <w:sz w:val="20"/>
          <w:szCs w:val="20"/>
        </w:rPr>
        <w:t>Britain</w:t>
      </w:r>
      <w:r w:rsidR="00FF41A0">
        <w:rPr>
          <w:color w:val="000000" w:themeColor="text1"/>
          <w:sz w:val="20"/>
          <w:szCs w:val="20"/>
        </w:rPr>
        <w:t xml:space="preserve"> </w:t>
      </w:r>
      <w:r w:rsidR="004C0509" w:rsidRPr="004C0509">
        <w:rPr>
          <w:color w:val="000000" w:themeColor="text1"/>
          <w:sz w:val="20"/>
          <w:szCs w:val="20"/>
        </w:rPr>
        <w:t>and</w:t>
      </w:r>
      <w:r w:rsidR="00FF41A0">
        <w:rPr>
          <w:color w:val="000000" w:themeColor="text1"/>
          <w:sz w:val="20"/>
          <w:szCs w:val="20"/>
        </w:rPr>
        <w:t xml:space="preserve"> </w:t>
      </w:r>
      <w:r w:rsidR="004C0509" w:rsidRPr="004C0509">
        <w:rPr>
          <w:color w:val="000000" w:themeColor="text1"/>
          <w:sz w:val="20"/>
          <w:szCs w:val="20"/>
        </w:rPr>
        <w:t>Northern</w:t>
      </w:r>
      <w:r w:rsidR="00FF41A0">
        <w:rPr>
          <w:color w:val="000000" w:themeColor="text1"/>
          <w:sz w:val="20"/>
          <w:szCs w:val="20"/>
        </w:rPr>
        <w:t xml:space="preserve"> </w:t>
      </w:r>
      <w:r w:rsidR="004C0509" w:rsidRPr="004C0509">
        <w:rPr>
          <w:color w:val="000000" w:themeColor="text1"/>
          <w:sz w:val="20"/>
          <w:szCs w:val="20"/>
        </w:rPr>
        <w:t>Ireland</w:t>
      </w:r>
      <w:r w:rsidRPr="00113DE2">
        <w:rPr>
          <w:color w:val="000000" w:themeColor="text1"/>
          <w:sz w:val="20"/>
          <w:szCs w:val="20"/>
        </w:rPr>
        <w:t>;</w:t>
      </w:r>
    </w:p>
    <w:p w14:paraId="0E9D9941" w14:textId="1D90C1E8" w:rsidR="00272E5D" w:rsidRPr="00113DE2" w:rsidRDefault="00272E5D" w:rsidP="00272E5D">
      <w:pPr>
        <w:pStyle w:val="SingleTxtG"/>
        <w:ind w:firstLine="567"/>
        <w:rPr>
          <w:color w:val="000000" w:themeColor="text1"/>
          <w:sz w:val="20"/>
          <w:szCs w:val="20"/>
        </w:rPr>
      </w:pPr>
      <w:r w:rsidRPr="00113DE2">
        <w:rPr>
          <w:color w:val="000000" w:themeColor="text1"/>
          <w:sz w:val="20"/>
          <w:szCs w:val="20"/>
        </w:rPr>
        <w:t>(b)</w:t>
      </w:r>
      <w:r w:rsidRPr="00113DE2">
        <w:rPr>
          <w:color w:val="000000" w:themeColor="text1"/>
          <w:sz w:val="20"/>
          <w:szCs w:val="20"/>
        </w:rPr>
        <w:tab/>
        <w:t>Representatives</w:t>
      </w:r>
      <w:r w:rsidR="00FF41A0">
        <w:rPr>
          <w:color w:val="000000" w:themeColor="text1"/>
          <w:sz w:val="20"/>
          <w:szCs w:val="20"/>
        </w:rPr>
        <w:t xml:space="preserve"> </w:t>
      </w:r>
      <w:r w:rsidRPr="00113DE2">
        <w:rPr>
          <w:color w:val="000000" w:themeColor="text1"/>
          <w:sz w:val="20"/>
          <w:szCs w:val="20"/>
        </w:rPr>
        <w:t>of</w:t>
      </w:r>
      <w:r w:rsidR="00FF41A0">
        <w:rPr>
          <w:color w:val="000000" w:themeColor="text1"/>
          <w:sz w:val="20"/>
          <w:szCs w:val="20"/>
        </w:rPr>
        <w:t xml:space="preserve"> </w:t>
      </w:r>
      <w:r w:rsidRPr="00113DE2">
        <w:rPr>
          <w:color w:val="000000" w:themeColor="text1"/>
          <w:sz w:val="20"/>
          <w:szCs w:val="20"/>
        </w:rPr>
        <w:t>observer</w:t>
      </w:r>
      <w:r w:rsidR="00FF41A0">
        <w:rPr>
          <w:color w:val="000000" w:themeColor="text1"/>
          <w:sz w:val="20"/>
          <w:szCs w:val="20"/>
        </w:rPr>
        <w:t xml:space="preserve"> </w:t>
      </w:r>
      <w:r w:rsidRPr="00113DE2">
        <w:rPr>
          <w:color w:val="000000" w:themeColor="text1"/>
          <w:sz w:val="20"/>
          <w:szCs w:val="20"/>
        </w:rPr>
        <w:t>States:</w:t>
      </w:r>
      <w:r w:rsidR="00FF41A0">
        <w:rPr>
          <w:color w:val="000000" w:themeColor="text1"/>
          <w:sz w:val="20"/>
          <w:szCs w:val="20"/>
        </w:rPr>
        <w:t xml:space="preserve"> </w:t>
      </w:r>
      <w:r w:rsidR="004C0509" w:rsidRPr="004C0509">
        <w:rPr>
          <w:color w:val="000000" w:themeColor="text1"/>
          <w:sz w:val="20"/>
          <w:szCs w:val="20"/>
        </w:rPr>
        <w:t>Canada</w:t>
      </w:r>
      <w:r w:rsidR="004C0509">
        <w:rPr>
          <w:color w:val="000000" w:themeColor="text1"/>
          <w:sz w:val="20"/>
          <w:szCs w:val="20"/>
        </w:rPr>
        <w:t>,</w:t>
      </w:r>
      <w:r w:rsidR="00FF41A0">
        <w:rPr>
          <w:color w:val="000000" w:themeColor="text1"/>
          <w:sz w:val="20"/>
          <w:szCs w:val="20"/>
        </w:rPr>
        <w:t xml:space="preserve"> </w:t>
      </w:r>
      <w:r w:rsidR="004C0509" w:rsidRPr="004C0509">
        <w:rPr>
          <w:color w:val="000000" w:themeColor="text1"/>
          <w:sz w:val="20"/>
          <w:szCs w:val="20"/>
        </w:rPr>
        <w:t>Estonia</w:t>
      </w:r>
      <w:r w:rsidR="004C0509">
        <w:rPr>
          <w:color w:val="000000" w:themeColor="text1"/>
          <w:sz w:val="20"/>
          <w:szCs w:val="20"/>
        </w:rPr>
        <w:t>,</w:t>
      </w:r>
      <w:r w:rsidR="00FF41A0">
        <w:rPr>
          <w:color w:val="000000" w:themeColor="text1"/>
          <w:sz w:val="20"/>
          <w:szCs w:val="20"/>
        </w:rPr>
        <w:t xml:space="preserve"> </w:t>
      </w:r>
      <w:r w:rsidR="004C0509" w:rsidRPr="004C0509">
        <w:rPr>
          <w:color w:val="000000" w:themeColor="text1"/>
          <w:sz w:val="20"/>
          <w:szCs w:val="20"/>
        </w:rPr>
        <w:t>Finland</w:t>
      </w:r>
      <w:r w:rsidR="004C0509">
        <w:rPr>
          <w:color w:val="000000" w:themeColor="text1"/>
          <w:sz w:val="20"/>
          <w:szCs w:val="20"/>
        </w:rPr>
        <w:t>,</w:t>
      </w:r>
      <w:r w:rsidR="00FF41A0">
        <w:rPr>
          <w:color w:val="000000" w:themeColor="text1"/>
          <w:sz w:val="20"/>
          <w:szCs w:val="20"/>
        </w:rPr>
        <w:t xml:space="preserve"> </w:t>
      </w:r>
      <w:r w:rsidR="004C0509" w:rsidRPr="004C0509">
        <w:rPr>
          <w:color w:val="000000" w:themeColor="text1"/>
          <w:sz w:val="20"/>
          <w:szCs w:val="20"/>
        </w:rPr>
        <w:t>France</w:t>
      </w:r>
      <w:r w:rsidR="004C0509">
        <w:rPr>
          <w:color w:val="000000" w:themeColor="text1"/>
          <w:sz w:val="20"/>
          <w:szCs w:val="20"/>
        </w:rPr>
        <w:t>,</w:t>
      </w:r>
      <w:r w:rsidR="00FF41A0">
        <w:rPr>
          <w:color w:val="000000" w:themeColor="text1"/>
          <w:sz w:val="20"/>
          <w:szCs w:val="20"/>
        </w:rPr>
        <w:t xml:space="preserve"> </w:t>
      </w:r>
      <w:r w:rsidR="004C0509" w:rsidRPr="004C0509">
        <w:rPr>
          <w:color w:val="000000" w:themeColor="text1"/>
          <w:sz w:val="20"/>
          <w:szCs w:val="20"/>
        </w:rPr>
        <w:t>Georgia</w:t>
      </w:r>
      <w:r w:rsidR="004C0509">
        <w:rPr>
          <w:color w:val="000000" w:themeColor="text1"/>
          <w:sz w:val="20"/>
          <w:szCs w:val="20"/>
        </w:rPr>
        <w:t>,</w:t>
      </w:r>
      <w:r w:rsidR="00FF41A0">
        <w:rPr>
          <w:color w:val="000000" w:themeColor="text1"/>
          <w:sz w:val="20"/>
          <w:szCs w:val="20"/>
        </w:rPr>
        <w:t xml:space="preserve"> </w:t>
      </w:r>
      <w:r w:rsidR="004C0509" w:rsidRPr="004C0509">
        <w:rPr>
          <w:color w:val="000000" w:themeColor="text1"/>
          <w:sz w:val="20"/>
          <w:szCs w:val="20"/>
        </w:rPr>
        <w:t>Germany</w:t>
      </w:r>
      <w:r w:rsidR="004C0509">
        <w:rPr>
          <w:color w:val="000000" w:themeColor="text1"/>
          <w:sz w:val="20"/>
          <w:szCs w:val="20"/>
        </w:rPr>
        <w:t>,</w:t>
      </w:r>
      <w:r w:rsidR="00FF41A0">
        <w:rPr>
          <w:color w:val="000000" w:themeColor="text1"/>
          <w:sz w:val="20"/>
          <w:szCs w:val="20"/>
        </w:rPr>
        <w:t xml:space="preserve"> </w:t>
      </w:r>
      <w:r w:rsidR="004C0509" w:rsidRPr="004C0509">
        <w:rPr>
          <w:color w:val="000000" w:themeColor="text1"/>
          <w:sz w:val="20"/>
          <w:szCs w:val="20"/>
        </w:rPr>
        <w:t>Ireland</w:t>
      </w:r>
      <w:r w:rsidR="004C0509">
        <w:rPr>
          <w:color w:val="000000" w:themeColor="text1"/>
          <w:sz w:val="20"/>
          <w:szCs w:val="20"/>
        </w:rPr>
        <w:t>,</w:t>
      </w:r>
      <w:r w:rsidR="00FF41A0">
        <w:rPr>
          <w:color w:val="000000" w:themeColor="text1"/>
          <w:sz w:val="20"/>
          <w:szCs w:val="20"/>
        </w:rPr>
        <w:t xml:space="preserve"> </w:t>
      </w:r>
      <w:r w:rsidR="004C0509" w:rsidRPr="004C0509">
        <w:rPr>
          <w:color w:val="000000" w:themeColor="text1"/>
          <w:sz w:val="20"/>
          <w:szCs w:val="20"/>
        </w:rPr>
        <w:t>Latvia</w:t>
      </w:r>
      <w:r w:rsidR="004C0509">
        <w:rPr>
          <w:color w:val="000000" w:themeColor="text1"/>
          <w:sz w:val="20"/>
          <w:szCs w:val="20"/>
        </w:rPr>
        <w:t>,</w:t>
      </w:r>
      <w:r w:rsidR="00FF41A0">
        <w:rPr>
          <w:color w:val="000000" w:themeColor="text1"/>
          <w:sz w:val="20"/>
          <w:szCs w:val="20"/>
        </w:rPr>
        <w:t xml:space="preserve"> </w:t>
      </w:r>
      <w:r w:rsidR="004C0509" w:rsidRPr="004C0509">
        <w:rPr>
          <w:color w:val="000000" w:themeColor="text1"/>
          <w:sz w:val="20"/>
          <w:szCs w:val="20"/>
        </w:rPr>
        <w:t>Lithuania</w:t>
      </w:r>
      <w:r w:rsidR="004C0509">
        <w:rPr>
          <w:color w:val="000000" w:themeColor="text1"/>
          <w:sz w:val="20"/>
          <w:szCs w:val="20"/>
        </w:rPr>
        <w:t>,</w:t>
      </w:r>
      <w:r w:rsidR="00FF41A0">
        <w:rPr>
          <w:color w:val="000000" w:themeColor="text1"/>
          <w:sz w:val="20"/>
          <w:szCs w:val="20"/>
        </w:rPr>
        <w:t xml:space="preserve"> </w:t>
      </w:r>
      <w:r w:rsidR="004C0509" w:rsidRPr="004C0509">
        <w:rPr>
          <w:color w:val="000000" w:themeColor="text1"/>
          <w:sz w:val="20"/>
          <w:szCs w:val="20"/>
        </w:rPr>
        <w:t>Montenegro</w:t>
      </w:r>
      <w:r w:rsidR="004C0509">
        <w:rPr>
          <w:color w:val="000000" w:themeColor="text1"/>
          <w:sz w:val="20"/>
          <w:szCs w:val="20"/>
        </w:rPr>
        <w:t>,</w:t>
      </w:r>
      <w:r w:rsidR="00FF41A0">
        <w:rPr>
          <w:color w:val="000000" w:themeColor="text1"/>
          <w:sz w:val="20"/>
          <w:szCs w:val="20"/>
        </w:rPr>
        <w:t xml:space="preserve"> </w:t>
      </w:r>
      <w:r w:rsidR="004C0509" w:rsidRPr="004C0509">
        <w:rPr>
          <w:color w:val="000000" w:themeColor="text1"/>
          <w:sz w:val="20"/>
          <w:szCs w:val="20"/>
        </w:rPr>
        <w:t>New</w:t>
      </w:r>
      <w:r w:rsidR="00FF41A0">
        <w:rPr>
          <w:color w:val="000000" w:themeColor="text1"/>
          <w:sz w:val="20"/>
          <w:szCs w:val="20"/>
        </w:rPr>
        <w:t xml:space="preserve"> </w:t>
      </w:r>
      <w:r w:rsidR="004C0509" w:rsidRPr="004C0509">
        <w:rPr>
          <w:color w:val="000000" w:themeColor="text1"/>
          <w:sz w:val="20"/>
          <w:szCs w:val="20"/>
        </w:rPr>
        <w:t>Zealand</w:t>
      </w:r>
      <w:r w:rsidR="004C0509">
        <w:rPr>
          <w:color w:val="000000" w:themeColor="text1"/>
          <w:sz w:val="20"/>
          <w:szCs w:val="20"/>
        </w:rPr>
        <w:t>,</w:t>
      </w:r>
      <w:r w:rsidR="00FF41A0">
        <w:rPr>
          <w:color w:val="000000" w:themeColor="text1"/>
          <w:sz w:val="20"/>
          <w:szCs w:val="20"/>
        </w:rPr>
        <w:t xml:space="preserve"> </w:t>
      </w:r>
      <w:r w:rsidR="004C0509" w:rsidRPr="004C0509">
        <w:rPr>
          <w:color w:val="000000" w:themeColor="text1"/>
          <w:sz w:val="20"/>
          <w:szCs w:val="20"/>
        </w:rPr>
        <w:t>Norway</w:t>
      </w:r>
      <w:r w:rsidR="004C0509">
        <w:rPr>
          <w:color w:val="000000" w:themeColor="text1"/>
          <w:sz w:val="20"/>
          <w:szCs w:val="20"/>
        </w:rPr>
        <w:t>,</w:t>
      </w:r>
      <w:r w:rsidR="00FF41A0">
        <w:rPr>
          <w:color w:val="000000" w:themeColor="text1"/>
          <w:sz w:val="20"/>
          <w:szCs w:val="20"/>
        </w:rPr>
        <w:t xml:space="preserve"> </w:t>
      </w:r>
      <w:r w:rsidR="004C0509" w:rsidRPr="004C0509">
        <w:rPr>
          <w:color w:val="000000" w:themeColor="text1"/>
          <w:sz w:val="20"/>
          <w:szCs w:val="20"/>
        </w:rPr>
        <w:t>Poland</w:t>
      </w:r>
      <w:r w:rsidR="004C0509">
        <w:rPr>
          <w:color w:val="000000" w:themeColor="text1"/>
          <w:sz w:val="20"/>
          <w:szCs w:val="20"/>
        </w:rPr>
        <w:t>,</w:t>
      </w:r>
      <w:r w:rsidR="00FF41A0">
        <w:rPr>
          <w:color w:val="000000" w:themeColor="text1"/>
          <w:sz w:val="20"/>
          <w:szCs w:val="20"/>
        </w:rPr>
        <w:t xml:space="preserve"> </w:t>
      </w:r>
      <w:r w:rsidR="004C0509" w:rsidRPr="004C0509">
        <w:rPr>
          <w:color w:val="000000" w:themeColor="text1"/>
          <w:sz w:val="20"/>
          <w:szCs w:val="20"/>
        </w:rPr>
        <w:t>Portugal</w:t>
      </w:r>
      <w:r w:rsidR="004C0509">
        <w:rPr>
          <w:color w:val="000000" w:themeColor="text1"/>
          <w:sz w:val="20"/>
          <w:szCs w:val="20"/>
        </w:rPr>
        <w:t>,</w:t>
      </w:r>
      <w:r w:rsidR="00FF41A0">
        <w:rPr>
          <w:color w:val="000000" w:themeColor="text1"/>
          <w:sz w:val="20"/>
          <w:szCs w:val="20"/>
        </w:rPr>
        <w:t xml:space="preserve"> </w:t>
      </w:r>
      <w:r w:rsidR="004C0509" w:rsidRPr="004C0509">
        <w:rPr>
          <w:color w:val="000000" w:themeColor="text1"/>
          <w:sz w:val="20"/>
          <w:szCs w:val="20"/>
        </w:rPr>
        <w:t>Republic</w:t>
      </w:r>
      <w:r w:rsidR="00FF41A0">
        <w:rPr>
          <w:color w:val="000000" w:themeColor="text1"/>
          <w:sz w:val="20"/>
          <w:szCs w:val="20"/>
        </w:rPr>
        <w:t xml:space="preserve"> </w:t>
      </w:r>
      <w:r w:rsidR="004C0509" w:rsidRPr="004C0509">
        <w:rPr>
          <w:color w:val="000000" w:themeColor="text1"/>
          <w:sz w:val="20"/>
          <w:szCs w:val="20"/>
        </w:rPr>
        <w:t>of</w:t>
      </w:r>
      <w:r w:rsidR="00FF41A0">
        <w:rPr>
          <w:color w:val="000000" w:themeColor="text1"/>
          <w:sz w:val="20"/>
          <w:szCs w:val="20"/>
        </w:rPr>
        <w:t xml:space="preserve"> </w:t>
      </w:r>
      <w:r w:rsidR="004C0509" w:rsidRPr="004C0509">
        <w:rPr>
          <w:color w:val="000000" w:themeColor="text1"/>
          <w:sz w:val="20"/>
          <w:szCs w:val="20"/>
        </w:rPr>
        <w:t>Moldova</w:t>
      </w:r>
      <w:r w:rsidR="004C0509">
        <w:rPr>
          <w:color w:val="000000" w:themeColor="text1"/>
          <w:sz w:val="20"/>
          <w:szCs w:val="20"/>
        </w:rPr>
        <w:t>,</w:t>
      </w:r>
      <w:r w:rsidR="00FF41A0">
        <w:rPr>
          <w:color w:val="000000" w:themeColor="text1"/>
          <w:sz w:val="20"/>
          <w:szCs w:val="20"/>
        </w:rPr>
        <w:t xml:space="preserve"> </w:t>
      </w:r>
      <w:r w:rsidR="004C0509" w:rsidRPr="004C0509">
        <w:rPr>
          <w:color w:val="000000" w:themeColor="text1"/>
          <w:sz w:val="20"/>
          <w:szCs w:val="20"/>
        </w:rPr>
        <w:t>Romania</w:t>
      </w:r>
      <w:r w:rsidR="004C0509">
        <w:rPr>
          <w:color w:val="000000" w:themeColor="text1"/>
          <w:sz w:val="20"/>
          <w:szCs w:val="20"/>
        </w:rPr>
        <w:t>,</w:t>
      </w:r>
      <w:r w:rsidR="00FF41A0">
        <w:rPr>
          <w:color w:val="000000" w:themeColor="text1"/>
          <w:sz w:val="20"/>
          <w:szCs w:val="20"/>
        </w:rPr>
        <w:t xml:space="preserve"> </w:t>
      </w:r>
      <w:r w:rsidR="004C0509" w:rsidRPr="004C0509">
        <w:rPr>
          <w:color w:val="000000" w:themeColor="text1"/>
          <w:sz w:val="20"/>
          <w:szCs w:val="20"/>
        </w:rPr>
        <w:t>Russian</w:t>
      </w:r>
      <w:r w:rsidR="00FF41A0">
        <w:rPr>
          <w:color w:val="000000" w:themeColor="text1"/>
          <w:sz w:val="20"/>
          <w:szCs w:val="20"/>
        </w:rPr>
        <w:t xml:space="preserve"> </w:t>
      </w:r>
      <w:r w:rsidR="004C0509" w:rsidRPr="004C0509">
        <w:rPr>
          <w:color w:val="000000" w:themeColor="text1"/>
          <w:sz w:val="20"/>
          <w:szCs w:val="20"/>
        </w:rPr>
        <w:t>Federation</w:t>
      </w:r>
      <w:r w:rsidR="004C0509">
        <w:rPr>
          <w:color w:val="000000" w:themeColor="text1"/>
          <w:sz w:val="20"/>
          <w:szCs w:val="20"/>
        </w:rPr>
        <w:t>,</w:t>
      </w:r>
      <w:r w:rsidR="00FF41A0">
        <w:rPr>
          <w:color w:val="000000" w:themeColor="text1"/>
          <w:sz w:val="20"/>
          <w:szCs w:val="20"/>
        </w:rPr>
        <w:t xml:space="preserve"> </w:t>
      </w:r>
      <w:r w:rsidR="004C0509" w:rsidRPr="004C0509">
        <w:rPr>
          <w:color w:val="000000" w:themeColor="text1"/>
          <w:sz w:val="20"/>
          <w:szCs w:val="20"/>
        </w:rPr>
        <w:t>Sweden</w:t>
      </w:r>
      <w:r w:rsidR="004C0509">
        <w:rPr>
          <w:color w:val="000000" w:themeColor="text1"/>
          <w:sz w:val="20"/>
          <w:szCs w:val="20"/>
        </w:rPr>
        <w:t>,</w:t>
      </w:r>
      <w:r w:rsidR="00FF41A0">
        <w:rPr>
          <w:color w:val="000000" w:themeColor="text1"/>
          <w:sz w:val="20"/>
          <w:szCs w:val="20"/>
        </w:rPr>
        <w:t xml:space="preserve"> </w:t>
      </w:r>
      <w:r w:rsidR="004C0509" w:rsidRPr="004C0509">
        <w:rPr>
          <w:color w:val="000000" w:themeColor="text1"/>
          <w:sz w:val="20"/>
          <w:szCs w:val="20"/>
        </w:rPr>
        <w:t>Switzerland</w:t>
      </w:r>
      <w:r w:rsidR="004C0509">
        <w:rPr>
          <w:color w:val="000000" w:themeColor="text1"/>
          <w:sz w:val="20"/>
          <w:szCs w:val="20"/>
        </w:rPr>
        <w:t>,</w:t>
      </w:r>
      <w:r w:rsidR="00FF41A0">
        <w:rPr>
          <w:color w:val="000000" w:themeColor="text1"/>
          <w:sz w:val="20"/>
          <w:szCs w:val="20"/>
        </w:rPr>
        <w:t xml:space="preserve"> </w:t>
      </w:r>
      <w:r w:rsidR="004C0509" w:rsidRPr="004C0509">
        <w:rPr>
          <w:color w:val="000000" w:themeColor="text1"/>
          <w:sz w:val="20"/>
          <w:szCs w:val="20"/>
        </w:rPr>
        <w:t>Turkey</w:t>
      </w:r>
      <w:r w:rsidRPr="00113DE2">
        <w:rPr>
          <w:color w:val="000000" w:themeColor="text1"/>
          <w:sz w:val="20"/>
          <w:szCs w:val="20"/>
        </w:rPr>
        <w:t>;</w:t>
      </w:r>
    </w:p>
    <w:p w14:paraId="4F0CF980" w14:textId="732D2C9A" w:rsidR="00272E5D" w:rsidRPr="00113DE2" w:rsidRDefault="00272E5D" w:rsidP="00272E5D">
      <w:pPr>
        <w:pStyle w:val="SingleTxtG"/>
        <w:ind w:firstLine="567"/>
        <w:rPr>
          <w:color w:val="000000" w:themeColor="text1"/>
          <w:sz w:val="20"/>
          <w:szCs w:val="20"/>
        </w:rPr>
      </w:pPr>
      <w:r w:rsidRPr="00113DE2">
        <w:rPr>
          <w:color w:val="000000" w:themeColor="text1"/>
          <w:sz w:val="20"/>
          <w:szCs w:val="20"/>
        </w:rPr>
        <w:t>(c)</w:t>
      </w:r>
      <w:r w:rsidRPr="00113DE2">
        <w:rPr>
          <w:color w:val="000000" w:themeColor="text1"/>
          <w:sz w:val="20"/>
          <w:szCs w:val="20"/>
        </w:rPr>
        <w:tab/>
        <w:t>Observer</w:t>
      </w:r>
      <w:r w:rsidR="00FF41A0">
        <w:rPr>
          <w:color w:val="000000" w:themeColor="text1"/>
          <w:sz w:val="20"/>
          <w:szCs w:val="20"/>
        </w:rPr>
        <w:t xml:space="preserve"> </w:t>
      </w:r>
      <w:r w:rsidRPr="00113DE2">
        <w:rPr>
          <w:color w:val="000000" w:themeColor="text1"/>
          <w:sz w:val="20"/>
          <w:szCs w:val="20"/>
        </w:rPr>
        <w:t>for</w:t>
      </w:r>
      <w:r w:rsidR="00FF41A0">
        <w:rPr>
          <w:color w:val="000000" w:themeColor="text1"/>
          <w:sz w:val="20"/>
          <w:szCs w:val="20"/>
        </w:rPr>
        <w:t xml:space="preserve"> </w:t>
      </w:r>
      <w:r w:rsidR="004C0509">
        <w:rPr>
          <w:color w:val="000000" w:themeColor="text1"/>
          <w:sz w:val="20"/>
          <w:szCs w:val="20"/>
        </w:rPr>
        <w:t>an</w:t>
      </w:r>
      <w:r w:rsidR="00FF41A0">
        <w:rPr>
          <w:color w:val="000000" w:themeColor="text1"/>
          <w:sz w:val="20"/>
          <w:szCs w:val="20"/>
        </w:rPr>
        <w:t xml:space="preserve"> </w:t>
      </w:r>
      <w:r w:rsidRPr="00113DE2">
        <w:rPr>
          <w:color w:val="000000" w:themeColor="text1"/>
          <w:sz w:val="20"/>
          <w:szCs w:val="20"/>
        </w:rPr>
        <w:t>intergovernmental</w:t>
      </w:r>
      <w:r w:rsidR="00FF41A0">
        <w:rPr>
          <w:color w:val="000000" w:themeColor="text1"/>
          <w:sz w:val="20"/>
          <w:szCs w:val="20"/>
        </w:rPr>
        <w:t xml:space="preserve"> </w:t>
      </w:r>
      <w:r w:rsidRPr="00113DE2">
        <w:rPr>
          <w:color w:val="000000" w:themeColor="text1"/>
          <w:sz w:val="20"/>
          <w:szCs w:val="20"/>
        </w:rPr>
        <w:t>organization:</w:t>
      </w:r>
      <w:r w:rsidR="00FF41A0">
        <w:rPr>
          <w:color w:val="000000" w:themeColor="text1"/>
          <w:sz w:val="20"/>
          <w:szCs w:val="20"/>
        </w:rPr>
        <w:t xml:space="preserve"> </w:t>
      </w:r>
      <w:r w:rsidRPr="00113DE2">
        <w:rPr>
          <w:color w:val="000000" w:themeColor="text1"/>
          <w:sz w:val="20"/>
          <w:szCs w:val="20"/>
        </w:rPr>
        <w:t>European</w:t>
      </w:r>
      <w:r w:rsidR="00FF41A0">
        <w:rPr>
          <w:color w:val="000000" w:themeColor="text1"/>
          <w:sz w:val="20"/>
          <w:szCs w:val="20"/>
        </w:rPr>
        <w:t xml:space="preserve"> </w:t>
      </w:r>
      <w:r w:rsidRPr="00113DE2">
        <w:rPr>
          <w:color w:val="000000" w:themeColor="text1"/>
          <w:sz w:val="20"/>
          <w:szCs w:val="20"/>
        </w:rPr>
        <w:t>Union;</w:t>
      </w:r>
    </w:p>
    <w:p w14:paraId="3FCC87C1" w14:textId="0BC25BBB" w:rsidR="00272E5D" w:rsidRPr="00113DE2" w:rsidRDefault="00272E5D" w:rsidP="00272E5D">
      <w:pPr>
        <w:pStyle w:val="SingleTxtG"/>
        <w:ind w:firstLine="567"/>
        <w:rPr>
          <w:color w:val="000000" w:themeColor="text1"/>
          <w:sz w:val="20"/>
          <w:szCs w:val="20"/>
        </w:rPr>
      </w:pPr>
      <w:r w:rsidRPr="00113DE2">
        <w:rPr>
          <w:color w:val="000000" w:themeColor="text1"/>
          <w:sz w:val="20"/>
          <w:szCs w:val="20"/>
        </w:rPr>
        <w:t>(d)</w:t>
      </w:r>
      <w:r w:rsidRPr="00113DE2">
        <w:rPr>
          <w:color w:val="000000" w:themeColor="text1"/>
          <w:sz w:val="20"/>
          <w:szCs w:val="20"/>
        </w:rPr>
        <w:tab/>
        <w:t>Observers</w:t>
      </w:r>
      <w:r w:rsidR="00FF41A0">
        <w:rPr>
          <w:color w:val="000000" w:themeColor="text1"/>
          <w:sz w:val="20"/>
          <w:szCs w:val="20"/>
        </w:rPr>
        <w:t xml:space="preserve"> </w:t>
      </w:r>
      <w:r w:rsidRPr="00113DE2">
        <w:rPr>
          <w:color w:val="000000" w:themeColor="text1"/>
          <w:sz w:val="20"/>
          <w:szCs w:val="20"/>
        </w:rPr>
        <w:t>for</w:t>
      </w:r>
      <w:r w:rsidR="00FF41A0">
        <w:rPr>
          <w:color w:val="000000" w:themeColor="text1"/>
          <w:sz w:val="20"/>
          <w:szCs w:val="20"/>
        </w:rPr>
        <w:t xml:space="preserve"> </w:t>
      </w:r>
      <w:r w:rsidRPr="00113DE2">
        <w:rPr>
          <w:color w:val="000000" w:themeColor="text1"/>
          <w:sz w:val="20"/>
          <w:szCs w:val="20"/>
        </w:rPr>
        <w:t>non-governmental</w:t>
      </w:r>
      <w:r w:rsidR="00FF41A0">
        <w:rPr>
          <w:color w:val="000000" w:themeColor="text1"/>
          <w:sz w:val="20"/>
          <w:szCs w:val="20"/>
        </w:rPr>
        <w:t xml:space="preserve"> </w:t>
      </w:r>
      <w:r w:rsidRPr="00113DE2">
        <w:rPr>
          <w:color w:val="000000" w:themeColor="text1"/>
          <w:sz w:val="20"/>
          <w:szCs w:val="20"/>
        </w:rPr>
        <w:t>organizations:</w:t>
      </w:r>
      <w:r w:rsidR="00FF41A0">
        <w:rPr>
          <w:color w:val="000000" w:themeColor="text1"/>
          <w:sz w:val="20"/>
          <w:szCs w:val="20"/>
        </w:rPr>
        <w:t xml:space="preserve"> </w:t>
      </w:r>
      <w:r w:rsidR="004C0509" w:rsidRPr="004C0509">
        <w:rPr>
          <w:color w:val="000000" w:themeColor="text1"/>
          <w:sz w:val="20"/>
          <w:szCs w:val="20"/>
        </w:rPr>
        <w:t>Amnesty</w:t>
      </w:r>
      <w:r w:rsidR="00FF41A0">
        <w:rPr>
          <w:color w:val="000000" w:themeColor="text1"/>
          <w:sz w:val="20"/>
          <w:szCs w:val="20"/>
        </w:rPr>
        <w:t xml:space="preserve"> </w:t>
      </w:r>
      <w:r w:rsidR="004C0509" w:rsidRPr="004C0509">
        <w:rPr>
          <w:color w:val="000000" w:themeColor="text1"/>
          <w:sz w:val="20"/>
          <w:szCs w:val="20"/>
        </w:rPr>
        <w:t>International</w:t>
      </w:r>
      <w:r w:rsidR="004C0509">
        <w:rPr>
          <w:color w:val="000000" w:themeColor="text1"/>
          <w:sz w:val="20"/>
          <w:szCs w:val="20"/>
        </w:rPr>
        <w:t>;</w:t>
      </w:r>
      <w:r w:rsidR="00FF41A0">
        <w:rPr>
          <w:color w:val="000000" w:themeColor="text1"/>
          <w:sz w:val="20"/>
          <w:szCs w:val="20"/>
        </w:rPr>
        <w:t xml:space="preserve"> </w:t>
      </w:r>
      <w:r w:rsidR="004C0509" w:rsidRPr="004C0509">
        <w:rPr>
          <w:color w:val="000000" w:themeColor="text1"/>
          <w:sz w:val="20"/>
          <w:szCs w:val="20"/>
        </w:rPr>
        <w:t>Human</w:t>
      </w:r>
      <w:r w:rsidR="00FF41A0">
        <w:rPr>
          <w:color w:val="000000" w:themeColor="text1"/>
          <w:sz w:val="20"/>
          <w:szCs w:val="20"/>
        </w:rPr>
        <w:t xml:space="preserve"> </w:t>
      </w:r>
      <w:r w:rsidR="004C0509" w:rsidRPr="004C0509">
        <w:rPr>
          <w:color w:val="000000" w:themeColor="text1"/>
          <w:sz w:val="20"/>
          <w:szCs w:val="20"/>
        </w:rPr>
        <w:t>Rights</w:t>
      </w:r>
      <w:r w:rsidR="00FF41A0">
        <w:rPr>
          <w:color w:val="000000" w:themeColor="text1"/>
          <w:sz w:val="20"/>
          <w:szCs w:val="20"/>
        </w:rPr>
        <w:t xml:space="preserve"> </w:t>
      </w:r>
      <w:r w:rsidR="004C0509" w:rsidRPr="004C0509">
        <w:rPr>
          <w:color w:val="000000" w:themeColor="text1"/>
          <w:sz w:val="20"/>
          <w:szCs w:val="20"/>
        </w:rPr>
        <w:t>House</w:t>
      </w:r>
      <w:r w:rsidR="00FF41A0">
        <w:rPr>
          <w:color w:val="000000" w:themeColor="text1"/>
          <w:sz w:val="20"/>
          <w:szCs w:val="20"/>
        </w:rPr>
        <w:t xml:space="preserve"> </w:t>
      </w:r>
      <w:r w:rsidR="004C0509" w:rsidRPr="004C0509">
        <w:rPr>
          <w:color w:val="000000" w:themeColor="text1"/>
          <w:sz w:val="20"/>
          <w:szCs w:val="20"/>
        </w:rPr>
        <w:t>Foundation</w:t>
      </w:r>
      <w:r w:rsidR="004C0509">
        <w:rPr>
          <w:color w:val="000000" w:themeColor="text1"/>
          <w:sz w:val="20"/>
          <w:szCs w:val="20"/>
        </w:rPr>
        <w:t>;</w:t>
      </w:r>
      <w:r w:rsidR="00FF41A0">
        <w:rPr>
          <w:color w:val="000000" w:themeColor="text1"/>
          <w:sz w:val="20"/>
          <w:szCs w:val="20"/>
        </w:rPr>
        <w:t xml:space="preserve"> </w:t>
      </w:r>
      <w:r w:rsidR="004C0509" w:rsidRPr="004C0509">
        <w:rPr>
          <w:color w:val="000000" w:themeColor="text1"/>
          <w:sz w:val="20"/>
          <w:szCs w:val="20"/>
        </w:rPr>
        <w:t>International</w:t>
      </w:r>
      <w:r w:rsidR="00FF41A0">
        <w:rPr>
          <w:color w:val="000000" w:themeColor="text1"/>
          <w:sz w:val="20"/>
          <w:szCs w:val="20"/>
        </w:rPr>
        <w:t xml:space="preserve"> </w:t>
      </w:r>
      <w:r w:rsidR="004C0509" w:rsidRPr="004C0509">
        <w:rPr>
          <w:color w:val="000000" w:themeColor="text1"/>
          <w:sz w:val="20"/>
          <w:szCs w:val="20"/>
        </w:rPr>
        <w:t>Council</w:t>
      </w:r>
      <w:r w:rsidR="00FF41A0">
        <w:rPr>
          <w:color w:val="000000" w:themeColor="text1"/>
          <w:sz w:val="20"/>
          <w:szCs w:val="20"/>
        </w:rPr>
        <w:t xml:space="preserve"> </w:t>
      </w:r>
      <w:r w:rsidR="004C0509" w:rsidRPr="004C0509">
        <w:rPr>
          <w:color w:val="000000" w:themeColor="text1"/>
          <w:sz w:val="20"/>
          <w:szCs w:val="20"/>
        </w:rPr>
        <w:t>of</w:t>
      </w:r>
      <w:r w:rsidR="00FF41A0">
        <w:rPr>
          <w:color w:val="000000" w:themeColor="text1"/>
          <w:sz w:val="20"/>
          <w:szCs w:val="20"/>
        </w:rPr>
        <w:t xml:space="preserve"> </w:t>
      </w:r>
      <w:r w:rsidR="004C0509" w:rsidRPr="004C0509">
        <w:rPr>
          <w:color w:val="000000" w:themeColor="text1"/>
          <w:sz w:val="20"/>
          <w:szCs w:val="20"/>
        </w:rPr>
        <w:t>Russian</w:t>
      </w:r>
      <w:r w:rsidR="00FF41A0">
        <w:rPr>
          <w:color w:val="000000" w:themeColor="text1"/>
          <w:sz w:val="20"/>
          <w:szCs w:val="20"/>
        </w:rPr>
        <w:t xml:space="preserve"> </w:t>
      </w:r>
      <w:r w:rsidR="004C0509" w:rsidRPr="004C0509">
        <w:rPr>
          <w:color w:val="000000" w:themeColor="text1"/>
          <w:sz w:val="20"/>
          <w:szCs w:val="20"/>
        </w:rPr>
        <w:t>Compatriots</w:t>
      </w:r>
      <w:r w:rsidR="00FF41A0">
        <w:rPr>
          <w:color w:val="000000" w:themeColor="text1"/>
          <w:sz w:val="20"/>
          <w:szCs w:val="20"/>
        </w:rPr>
        <w:t xml:space="preserve"> </w:t>
      </w:r>
      <w:r w:rsidR="004C0509" w:rsidRPr="004C0509">
        <w:rPr>
          <w:color w:val="000000" w:themeColor="text1"/>
          <w:sz w:val="20"/>
          <w:szCs w:val="20"/>
        </w:rPr>
        <w:t>(ICRC)</w:t>
      </w:r>
      <w:r w:rsidR="004C0509">
        <w:rPr>
          <w:color w:val="000000" w:themeColor="text1"/>
          <w:sz w:val="20"/>
          <w:szCs w:val="20"/>
        </w:rPr>
        <w:t>;</w:t>
      </w:r>
      <w:r w:rsidR="00FF41A0">
        <w:rPr>
          <w:color w:val="000000" w:themeColor="text1"/>
          <w:sz w:val="20"/>
          <w:szCs w:val="20"/>
        </w:rPr>
        <w:t xml:space="preserve"> </w:t>
      </w:r>
      <w:r w:rsidR="004C0509" w:rsidRPr="004C0509">
        <w:rPr>
          <w:color w:val="000000" w:themeColor="text1"/>
          <w:sz w:val="20"/>
          <w:szCs w:val="20"/>
        </w:rPr>
        <w:t>Minority</w:t>
      </w:r>
      <w:r w:rsidR="00FF41A0">
        <w:rPr>
          <w:color w:val="000000" w:themeColor="text1"/>
          <w:sz w:val="20"/>
          <w:szCs w:val="20"/>
        </w:rPr>
        <w:t xml:space="preserve"> </w:t>
      </w:r>
      <w:r w:rsidR="004C0509" w:rsidRPr="004C0509">
        <w:rPr>
          <w:color w:val="000000" w:themeColor="text1"/>
          <w:sz w:val="20"/>
          <w:szCs w:val="20"/>
        </w:rPr>
        <w:t>Rights</w:t>
      </w:r>
      <w:r w:rsidR="00FF41A0">
        <w:rPr>
          <w:color w:val="000000" w:themeColor="text1"/>
          <w:sz w:val="20"/>
          <w:szCs w:val="20"/>
        </w:rPr>
        <w:t xml:space="preserve"> </w:t>
      </w:r>
      <w:r w:rsidR="004C0509" w:rsidRPr="004C0509">
        <w:rPr>
          <w:color w:val="000000" w:themeColor="text1"/>
          <w:sz w:val="20"/>
          <w:szCs w:val="20"/>
        </w:rPr>
        <w:t>Group</w:t>
      </w:r>
      <w:r w:rsidR="004C0509">
        <w:rPr>
          <w:color w:val="000000" w:themeColor="text1"/>
          <w:sz w:val="20"/>
          <w:szCs w:val="20"/>
        </w:rPr>
        <w:t>;</w:t>
      </w:r>
      <w:r w:rsidR="00FF41A0">
        <w:rPr>
          <w:color w:val="000000" w:themeColor="text1"/>
          <w:sz w:val="20"/>
          <w:szCs w:val="20"/>
        </w:rPr>
        <w:t xml:space="preserve"> </w:t>
      </w:r>
      <w:r w:rsidR="004C0509" w:rsidRPr="004C0509">
        <w:rPr>
          <w:color w:val="000000" w:themeColor="text1"/>
          <w:sz w:val="20"/>
          <w:szCs w:val="20"/>
        </w:rPr>
        <w:t>Russian</w:t>
      </w:r>
      <w:r w:rsidR="00FF41A0">
        <w:rPr>
          <w:color w:val="000000" w:themeColor="text1"/>
          <w:sz w:val="20"/>
          <w:szCs w:val="20"/>
        </w:rPr>
        <w:t xml:space="preserve"> </w:t>
      </w:r>
      <w:r w:rsidR="004C0509" w:rsidRPr="004C0509">
        <w:rPr>
          <w:color w:val="000000" w:themeColor="text1"/>
          <w:sz w:val="20"/>
          <w:szCs w:val="20"/>
        </w:rPr>
        <w:t>Peace</w:t>
      </w:r>
      <w:r w:rsidR="00FF41A0">
        <w:rPr>
          <w:color w:val="000000" w:themeColor="text1"/>
          <w:sz w:val="20"/>
          <w:szCs w:val="20"/>
        </w:rPr>
        <w:t xml:space="preserve"> </w:t>
      </w:r>
      <w:r w:rsidR="004C0509" w:rsidRPr="004C0509">
        <w:rPr>
          <w:color w:val="000000" w:themeColor="text1"/>
          <w:sz w:val="20"/>
          <w:szCs w:val="20"/>
        </w:rPr>
        <w:t>Foundation</w:t>
      </w:r>
      <w:r w:rsidR="004C0509">
        <w:rPr>
          <w:color w:val="000000" w:themeColor="text1"/>
          <w:sz w:val="20"/>
          <w:szCs w:val="20"/>
        </w:rPr>
        <w:t>;</w:t>
      </w:r>
      <w:r w:rsidR="00FF41A0">
        <w:rPr>
          <w:color w:val="000000" w:themeColor="text1"/>
          <w:sz w:val="20"/>
          <w:szCs w:val="20"/>
        </w:rPr>
        <w:t xml:space="preserve"> </w:t>
      </w:r>
      <w:r w:rsidR="004C0509" w:rsidRPr="004C0509">
        <w:rPr>
          <w:color w:val="000000" w:themeColor="text1"/>
          <w:sz w:val="20"/>
          <w:szCs w:val="20"/>
        </w:rPr>
        <w:t>World</w:t>
      </w:r>
      <w:r w:rsidR="00FF41A0">
        <w:rPr>
          <w:color w:val="000000" w:themeColor="text1"/>
          <w:sz w:val="20"/>
          <w:szCs w:val="20"/>
        </w:rPr>
        <w:t xml:space="preserve"> </w:t>
      </w:r>
      <w:r w:rsidR="004C0509" w:rsidRPr="004C0509">
        <w:rPr>
          <w:color w:val="000000" w:themeColor="text1"/>
          <w:sz w:val="20"/>
          <w:szCs w:val="20"/>
        </w:rPr>
        <w:t>Federation</w:t>
      </w:r>
      <w:r w:rsidR="00FF41A0">
        <w:rPr>
          <w:color w:val="000000" w:themeColor="text1"/>
          <w:sz w:val="20"/>
          <w:szCs w:val="20"/>
        </w:rPr>
        <w:t xml:space="preserve"> </w:t>
      </w:r>
      <w:r w:rsidR="004C0509" w:rsidRPr="004C0509">
        <w:rPr>
          <w:color w:val="000000" w:themeColor="text1"/>
          <w:sz w:val="20"/>
          <w:szCs w:val="20"/>
        </w:rPr>
        <w:t>of</w:t>
      </w:r>
      <w:r w:rsidR="00FF41A0">
        <w:rPr>
          <w:color w:val="000000" w:themeColor="text1"/>
          <w:sz w:val="20"/>
          <w:szCs w:val="20"/>
        </w:rPr>
        <w:t xml:space="preserve"> </w:t>
      </w:r>
      <w:r w:rsidR="004C0509" w:rsidRPr="004C0509">
        <w:rPr>
          <w:color w:val="000000" w:themeColor="text1"/>
          <w:sz w:val="20"/>
          <w:szCs w:val="20"/>
        </w:rPr>
        <w:t>Ukrainian</w:t>
      </w:r>
      <w:r w:rsidR="00FF41A0">
        <w:rPr>
          <w:color w:val="000000" w:themeColor="text1"/>
          <w:sz w:val="20"/>
          <w:szCs w:val="20"/>
        </w:rPr>
        <w:t xml:space="preserve"> </w:t>
      </w:r>
      <w:r w:rsidR="004C0509" w:rsidRPr="004C0509">
        <w:rPr>
          <w:color w:val="000000" w:themeColor="text1"/>
          <w:sz w:val="20"/>
          <w:szCs w:val="20"/>
        </w:rPr>
        <w:t>Women</w:t>
      </w:r>
      <w:r w:rsidR="00D72627">
        <w:rPr>
          <w:color w:val="000000" w:themeColor="text1"/>
          <w:sz w:val="20"/>
          <w:szCs w:val="20"/>
        </w:rPr>
        <w:t>’</w:t>
      </w:r>
      <w:r w:rsidR="004C0509" w:rsidRPr="004C0509">
        <w:rPr>
          <w:color w:val="000000" w:themeColor="text1"/>
          <w:sz w:val="20"/>
          <w:szCs w:val="20"/>
        </w:rPr>
        <w:t>s</w:t>
      </w:r>
      <w:r w:rsidR="00FF41A0">
        <w:rPr>
          <w:color w:val="000000" w:themeColor="text1"/>
          <w:sz w:val="20"/>
          <w:szCs w:val="20"/>
        </w:rPr>
        <w:t xml:space="preserve"> </w:t>
      </w:r>
      <w:r w:rsidR="004C0509" w:rsidRPr="004C0509">
        <w:rPr>
          <w:color w:val="000000" w:themeColor="text1"/>
          <w:sz w:val="20"/>
          <w:szCs w:val="20"/>
        </w:rPr>
        <w:t>Organizations</w:t>
      </w:r>
      <w:r w:rsidRPr="00113DE2">
        <w:rPr>
          <w:color w:val="000000" w:themeColor="text1"/>
          <w:sz w:val="20"/>
          <w:szCs w:val="20"/>
        </w:rPr>
        <w:t>.</w:t>
      </w:r>
    </w:p>
    <w:p w14:paraId="2480D24E" w14:textId="56CF6194" w:rsidR="00272E5D" w:rsidRPr="00113DE2" w:rsidRDefault="00CF15B1" w:rsidP="00272E5D">
      <w:pPr>
        <w:pStyle w:val="SingleTxtG"/>
        <w:rPr>
          <w:b/>
          <w:color w:val="000000" w:themeColor="text1"/>
          <w:sz w:val="20"/>
          <w:szCs w:val="20"/>
        </w:rPr>
      </w:pPr>
      <w:r>
        <w:rPr>
          <w:color w:val="000000" w:themeColor="text1"/>
          <w:sz w:val="20"/>
          <w:szCs w:val="20"/>
        </w:rPr>
        <w:t>978</w:t>
      </w:r>
      <w:r w:rsidR="00272E5D" w:rsidRPr="00113DE2">
        <w:rPr>
          <w:color w:val="000000" w:themeColor="text1"/>
          <w:sz w:val="20"/>
          <w:szCs w:val="20"/>
        </w:rPr>
        <w:t>.</w:t>
      </w:r>
      <w:r w:rsidR="00272E5D" w:rsidRPr="00113DE2">
        <w:rPr>
          <w:color w:val="000000" w:themeColor="text1"/>
          <w:sz w:val="20"/>
          <w:szCs w:val="20"/>
        </w:rPr>
        <w:tab/>
        <w:t>At</w:t>
      </w:r>
      <w:r w:rsidR="00FF41A0">
        <w:rPr>
          <w:color w:val="000000" w:themeColor="text1"/>
          <w:sz w:val="20"/>
          <w:szCs w:val="20"/>
        </w:rPr>
        <w:t xml:space="preserve"> </w:t>
      </w:r>
      <w:r w:rsidR="00272E5D" w:rsidRPr="00113DE2">
        <w:rPr>
          <w:color w:val="000000" w:themeColor="text1"/>
          <w:sz w:val="20"/>
          <w:szCs w:val="20"/>
        </w:rPr>
        <w:t>the</w:t>
      </w:r>
      <w:r w:rsidR="00FF41A0">
        <w:rPr>
          <w:color w:val="000000" w:themeColor="text1"/>
          <w:sz w:val="20"/>
          <w:szCs w:val="20"/>
        </w:rPr>
        <w:t xml:space="preserve"> </w:t>
      </w:r>
      <w:r w:rsidR="004C0509">
        <w:rPr>
          <w:color w:val="000000" w:themeColor="text1"/>
          <w:sz w:val="20"/>
          <w:szCs w:val="20"/>
        </w:rPr>
        <w:t>47th</w:t>
      </w:r>
      <w:r w:rsidR="00FF41A0">
        <w:rPr>
          <w:color w:val="000000" w:themeColor="text1"/>
          <w:sz w:val="20"/>
          <w:szCs w:val="20"/>
        </w:rPr>
        <w:t xml:space="preserve"> </w:t>
      </w:r>
      <w:r w:rsidR="004C0509">
        <w:rPr>
          <w:color w:val="000000" w:themeColor="text1"/>
          <w:sz w:val="20"/>
          <w:szCs w:val="20"/>
        </w:rPr>
        <w:t>meeting,</w:t>
      </w:r>
      <w:r w:rsidR="00FF41A0">
        <w:rPr>
          <w:color w:val="000000" w:themeColor="text1"/>
          <w:sz w:val="20"/>
          <w:szCs w:val="20"/>
        </w:rPr>
        <w:t xml:space="preserve"> </w:t>
      </w:r>
      <w:r w:rsidR="004C0509">
        <w:rPr>
          <w:color w:val="000000" w:themeColor="text1"/>
          <w:sz w:val="20"/>
          <w:szCs w:val="20"/>
        </w:rPr>
        <w:t>on</w:t>
      </w:r>
      <w:r w:rsidR="00FF41A0">
        <w:rPr>
          <w:color w:val="000000" w:themeColor="text1"/>
          <w:sz w:val="20"/>
          <w:szCs w:val="20"/>
        </w:rPr>
        <w:t xml:space="preserve"> </w:t>
      </w:r>
      <w:r w:rsidR="004C0509">
        <w:rPr>
          <w:color w:val="000000" w:themeColor="text1"/>
          <w:sz w:val="20"/>
          <w:szCs w:val="20"/>
        </w:rPr>
        <w:t>20</w:t>
      </w:r>
      <w:r w:rsidR="00FF41A0">
        <w:rPr>
          <w:color w:val="000000" w:themeColor="text1"/>
          <w:sz w:val="20"/>
          <w:szCs w:val="20"/>
        </w:rPr>
        <w:t xml:space="preserve"> </w:t>
      </w:r>
      <w:r w:rsidR="004C0509">
        <w:rPr>
          <w:color w:val="000000" w:themeColor="text1"/>
          <w:sz w:val="20"/>
          <w:szCs w:val="20"/>
        </w:rPr>
        <w:t>March</w:t>
      </w:r>
      <w:r w:rsidR="00FF41A0">
        <w:rPr>
          <w:color w:val="000000" w:themeColor="text1"/>
          <w:sz w:val="20"/>
          <w:szCs w:val="20"/>
        </w:rPr>
        <w:t xml:space="preserve"> </w:t>
      </w:r>
      <w:r w:rsidR="004C0509">
        <w:rPr>
          <w:color w:val="000000" w:themeColor="text1"/>
          <w:sz w:val="20"/>
          <w:szCs w:val="20"/>
        </w:rPr>
        <w:t>2019</w:t>
      </w:r>
      <w:r w:rsidR="00272E5D" w:rsidRPr="00113DE2">
        <w:rPr>
          <w:color w:val="000000" w:themeColor="text1"/>
          <w:sz w:val="20"/>
          <w:szCs w:val="20"/>
        </w:rPr>
        <w:t>,</w:t>
      </w:r>
      <w:r w:rsidR="00FF41A0">
        <w:rPr>
          <w:color w:val="000000" w:themeColor="text1"/>
          <w:sz w:val="20"/>
          <w:szCs w:val="20"/>
        </w:rPr>
        <w:t xml:space="preserve"> </w:t>
      </w:r>
      <w:r w:rsidR="00272E5D" w:rsidRPr="00113DE2">
        <w:rPr>
          <w:color w:val="000000" w:themeColor="text1"/>
          <w:sz w:val="20"/>
          <w:szCs w:val="20"/>
        </w:rPr>
        <w:t>the</w:t>
      </w:r>
      <w:r w:rsidR="00FF41A0">
        <w:rPr>
          <w:color w:val="000000" w:themeColor="text1"/>
          <w:sz w:val="20"/>
          <w:szCs w:val="20"/>
        </w:rPr>
        <w:t xml:space="preserve"> </w:t>
      </w:r>
      <w:r w:rsidR="00272E5D" w:rsidRPr="00113DE2">
        <w:rPr>
          <w:color w:val="000000" w:themeColor="text1"/>
          <w:sz w:val="20"/>
          <w:szCs w:val="20"/>
        </w:rPr>
        <w:t>Deputy</w:t>
      </w:r>
      <w:r w:rsidR="00FF41A0">
        <w:rPr>
          <w:color w:val="000000" w:themeColor="text1"/>
          <w:sz w:val="20"/>
          <w:szCs w:val="20"/>
        </w:rPr>
        <w:t xml:space="preserve"> </w:t>
      </w:r>
      <w:r w:rsidR="00272E5D" w:rsidRPr="00113DE2">
        <w:rPr>
          <w:color w:val="000000" w:themeColor="text1"/>
          <w:sz w:val="20"/>
          <w:szCs w:val="20"/>
        </w:rPr>
        <w:t>High</w:t>
      </w:r>
      <w:r w:rsidR="00FF41A0">
        <w:rPr>
          <w:color w:val="000000" w:themeColor="text1"/>
          <w:sz w:val="20"/>
          <w:szCs w:val="20"/>
        </w:rPr>
        <w:t xml:space="preserve"> </w:t>
      </w:r>
      <w:r w:rsidR="00272E5D" w:rsidRPr="00113DE2">
        <w:rPr>
          <w:color w:val="000000" w:themeColor="text1"/>
          <w:sz w:val="20"/>
          <w:szCs w:val="20"/>
        </w:rPr>
        <w:t>Commissioner</w:t>
      </w:r>
      <w:r w:rsidR="00FF41A0">
        <w:rPr>
          <w:color w:val="000000" w:themeColor="text1"/>
          <w:sz w:val="20"/>
          <w:szCs w:val="20"/>
        </w:rPr>
        <w:t xml:space="preserve"> </w:t>
      </w:r>
      <w:r w:rsidR="00272E5D" w:rsidRPr="00113DE2">
        <w:rPr>
          <w:color w:val="000000" w:themeColor="text1"/>
          <w:sz w:val="20"/>
          <w:szCs w:val="20"/>
        </w:rPr>
        <w:t>answered</w:t>
      </w:r>
      <w:r w:rsidR="00FF41A0">
        <w:rPr>
          <w:color w:val="000000" w:themeColor="text1"/>
          <w:sz w:val="20"/>
          <w:szCs w:val="20"/>
        </w:rPr>
        <w:t xml:space="preserve"> </w:t>
      </w:r>
      <w:r w:rsidR="00272E5D" w:rsidRPr="00113DE2">
        <w:rPr>
          <w:color w:val="000000" w:themeColor="text1"/>
          <w:sz w:val="20"/>
          <w:szCs w:val="20"/>
        </w:rPr>
        <w:t>questions</w:t>
      </w:r>
      <w:r w:rsidR="00FF41A0">
        <w:rPr>
          <w:color w:val="000000" w:themeColor="text1"/>
          <w:sz w:val="20"/>
          <w:szCs w:val="20"/>
        </w:rPr>
        <w:t xml:space="preserve"> </w:t>
      </w:r>
      <w:r w:rsidR="00272E5D" w:rsidRPr="00113DE2">
        <w:rPr>
          <w:color w:val="000000" w:themeColor="text1"/>
          <w:sz w:val="20"/>
          <w:szCs w:val="20"/>
        </w:rPr>
        <w:t>and</w:t>
      </w:r>
      <w:r w:rsidR="00FF41A0">
        <w:rPr>
          <w:color w:val="000000" w:themeColor="text1"/>
          <w:sz w:val="20"/>
          <w:szCs w:val="20"/>
        </w:rPr>
        <w:t xml:space="preserve"> </w:t>
      </w:r>
      <w:r w:rsidR="00272E5D" w:rsidRPr="00113DE2">
        <w:rPr>
          <w:color w:val="000000" w:themeColor="text1"/>
          <w:sz w:val="20"/>
          <w:szCs w:val="20"/>
        </w:rPr>
        <w:t>made</w:t>
      </w:r>
      <w:r w:rsidR="00FF41A0">
        <w:rPr>
          <w:color w:val="000000" w:themeColor="text1"/>
          <w:sz w:val="20"/>
          <w:szCs w:val="20"/>
        </w:rPr>
        <w:t xml:space="preserve"> </w:t>
      </w:r>
      <w:r w:rsidR="00272E5D" w:rsidRPr="00113DE2">
        <w:rPr>
          <w:color w:val="000000" w:themeColor="text1"/>
          <w:sz w:val="20"/>
          <w:szCs w:val="20"/>
        </w:rPr>
        <w:t>her</w:t>
      </w:r>
      <w:r w:rsidR="00FF41A0">
        <w:rPr>
          <w:color w:val="000000" w:themeColor="text1"/>
          <w:sz w:val="20"/>
          <w:szCs w:val="20"/>
        </w:rPr>
        <w:t xml:space="preserve"> </w:t>
      </w:r>
      <w:r w:rsidR="00272E5D" w:rsidRPr="00113DE2">
        <w:rPr>
          <w:color w:val="000000" w:themeColor="text1"/>
          <w:sz w:val="20"/>
          <w:szCs w:val="20"/>
        </w:rPr>
        <w:t>concluding</w:t>
      </w:r>
      <w:r w:rsidR="00FF41A0">
        <w:rPr>
          <w:color w:val="000000" w:themeColor="text1"/>
          <w:sz w:val="20"/>
          <w:szCs w:val="20"/>
        </w:rPr>
        <w:t xml:space="preserve"> </w:t>
      </w:r>
      <w:r w:rsidR="00272E5D" w:rsidRPr="00113DE2">
        <w:rPr>
          <w:color w:val="000000" w:themeColor="text1"/>
          <w:sz w:val="20"/>
          <w:szCs w:val="20"/>
        </w:rPr>
        <w:t>remarks.</w:t>
      </w:r>
    </w:p>
    <w:p w14:paraId="0982473C" w14:textId="7D8AE584" w:rsidR="00106E2C" w:rsidRPr="00C16037" w:rsidRDefault="00272E5D" w:rsidP="00025AE4">
      <w:pPr>
        <w:pStyle w:val="H1G"/>
        <w:rPr>
          <w:color w:val="000000" w:themeColor="text1"/>
        </w:rPr>
      </w:pPr>
      <w:r>
        <w:rPr>
          <w:color w:val="000000" w:themeColor="text1"/>
        </w:rPr>
        <w:tab/>
      </w:r>
      <w:r w:rsidR="00025AE4" w:rsidRPr="000F56AD">
        <w:rPr>
          <w:color w:val="000000" w:themeColor="text1"/>
        </w:rPr>
        <w:t>C</w:t>
      </w:r>
      <w:r w:rsidR="00CF339D" w:rsidRPr="000F56AD">
        <w:rPr>
          <w:color w:val="000000" w:themeColor="text1"/>
        </w:rPr>
        <w:t>.</w:t>
      </w:r>
      <w:r w:rsidR="00CF339D" w:rsidRPr="000F56AD">
        <w:rPr>
          <w:color w:val="000000" w:themeColor="text1"/>
        </w:rPr>
        <w:tab/>
      </w:r>
      <w:r w:rsidR="00106E2C" w:rsidRPr="000F56AD">
        <w:rPr>
          <w:color w:val="000000" w:themeColor="text1"/>
        </w:rPr>
        <w:t>High-level</w:t>
      </w:r>
      <w:r w:rsidR="00FF41A0">
        <w:rPr>
          <w:color w:val="000000" w:themeColor="text1"/>
        </w:rPr>
        <w:t xml:space="preserve"> </w:t>
      </w:r>
      <w:r w:rsidR="00106E2C" w:rsidRPr="000F56AD">
        <w:rPr>
          <w:color w:val="000000" w:themeColor="text1"/>
        </w:rPr>
        <w:t>interactive</w:t>
      </w:r>
      <w:r w:rsidR="00FF41A0">
        <w:rPr>
          <w:color w:val="000000" w:themeColor="text1"/>
        </w:rPr>
        <w:t xml:space="preserve"> </w:t>
      </w:r>
      <w:r w:rsidR="00106E2C" w:rsidRPr="000F56AD">
        <w:rPr>
          <w:color w:val="000000" w:themeColor="text1"/>
        </w:rPr>
        <w:t>dialogue</w:t>
      </w:r>
      <w:r w:rsidR="00FF41A0">
        <w:rPr>
          <w:color w:val="000000" w:themeColor="text1"/>
        </w:rPr>
        <w:t xml:space="preserve"> </w:t>
      </w:r>
      <w:r w:rsidR="00106E2C" w:rsidRPr="000F56AD">
        <w:rPr>
          <w:color w:val="000000" w:themeColor="text1"/>
        </w:rPr>
        <w:t>on</w:t>
      </w:r>
      <w:r w:rsidR="00FF41A0">
        <w:rPr>
          <w:color w:val="000000" w:themeColor="text1"/>
        </w:rPr>
        <w:t xml:space="preserve"> </w:t>
      </w:r>
      <w:r w:rsidR="00106E2C" w:rsidRPr="000F56AD">
        <w:rPr>
          <w:color w:val="000000" w:themeColor="text1"/>
        </w:rPr>
        <w:t>the</w:t>
      </w:r>
      <w:r w:rsidR="00FF41A0">
        <w:rPr>
          <w:color w:val="000000" w:themeColor="text1"/>
        </w:rPr>
        <w:t xml:space="preserve"> </w:t>
      </w:r>
      <w:r w:rsidR="00106E2C" w:rsidRPr="000F56AD">
        <w:rPr>
          <w:color w:val="000000" w:themeColor="text1"/>
        </w:rPr>
        <w:t>situation</w:t>
      </w:r>
      <w:r w:rsidR="00FF41A0">
        <w:rPr>
          <w:color w:val="000000" w:themeColor="text1"/>
        </w:rPr>
        <w:t xml:space="preserve"> </w:t>
      </w:r>
      <w:r w:rsidR="00106E2C" w:rsidRPr="000F56AD">
        <w:rPr>
          <w:color w:val="000000" w:themeColor="text1"/>
        </w:rPr>
        <w:t>of</w:t>
      </w:r>
      <w:r w:rsidR="00FF41A0">
        <w:rPr>
          <w:color w:val="000000" w:themeColor="text1"/>
        </w:rPr>
        <w:t xml:space="preserve"> </w:t>
      </w:r>
      <w:r w:rsidR="00106E2C" w:rsidRPr="000F56AD">
        <w:rPr>
          <w:color w:val="000000" w:themeColor="text1"/>
        </w:rPr>
        <w:t>human</w:t>
      </w:r>
      <w:r w:rsidR="00FF41A0">
        <w:rPr>
          <w:color w:val="000000" w:themeColor="text1"/>
        </w:rPr>
        <w:t xml:space="preserve"> </w:t>
      </w:r>
      <w:r w:rsidR="00106E2C" w:rsidRPr="000F56AD">
        <w:rPr>
          <w:color w:val="000000" w:themeColor="text1"/>
        </w:rPr>
        <w:t>rights</w:t>
      </w:r>
      <w:r w:rsidR="00FF41A0">
        <w:rPr>
          <w:color w:val="000000" w:themeColor="text1"/>
        </w:rPr>
        <w:t xml:space="preserve"> </w:t>
      </w:r>
      <w:r w:rsidR="00106E2C" w:rsidRPr="000F56AD">
        <w:rPr>
          <w:color w:val="000000" w:themeColor="text1"/>
        </w:rPr>
        <w:t>in</w:t>
      </w:r>
      <w:r w:rsidR="00FF41A0">
        <w:rPr>
          <w:color w:val="000000" w:themeColor="text1"/>
        </w:rPr>
        <w:t xml:space="preserve"> </w:t>
      </w:r>
      <w:r w:rsidR="00106E2C" w:rsidRPr="000F56AD">
        <w:rPr>
          <w:color w:val="000000" w:themeColor="text1"/>
        </w:rPr>
        <w:t>the</w:t>
      </w:r>
      <w:r w:rsidR="00FF41A0">
        <w:rPr>
          <w:color w:val="000000" w:themeColor="text1"/>
        </w:rPr>
        <w:t xml:space="preserve"> </w:t>
      </w:r>
      <w:r w:rsidR="00106E2C" w:rsidRPr="000F56AD">
        <w:rPr>
          <w:color w:val="000000" w:themeColor="text1"/>
        </w:rPr>
        <w:t>Central</w:t>
      </w:r>
      <w:r w:rsidR="00FF41A0">
        <w:rPr>
          <w:color w:val="000000" w:themeColor="text1"/>
        </w:rPr>
        <w:t xml:space="preserve"> </w:t>
      </w:r>
      <w:r w:rsidR="00106E2C" w:rsidRPr="000F56AD">
        <w:rPr>
          <w:color w:val="000000" w:themeColor="text1"/>
        </w:rPr>
        <w:t>African</w:t>
      </w:r>
      <w:r w:rsidR="00FF41A0">
        <w:rPr>
          <w:color w:val="000000" w:themeColor="text1"/>
        </w:rPr>
        <w:t xml:space="preserve"> </w:t>
      </w:r>
      <w:r w:rsidR="00106E2C" w:rsidRPr="000F56AD">
        <w:rPr>
          <w:color w:val="000000" w:themeColor="text1"/>
        </w:rPr>
        <w:t>Republic</w:t>
      </w:r>
      <w:r w:rsidR="00FF41A0">
        <w:rPr>
          <w:color w:val="000000" w:themeColor="text1"/>
        </w:rPr>
        <w:t xml:space="preserve"> </w:t>
      </w:r>
    </w:p>
    <w:p w14:paraId="1237FBA2" w14:textId="4B16EB03" w:rsidR="00CF339D" w:rsidRDefault="00CF15B1" w:rsidP="00CF339D">
      <w:pPr>
        <w:pStyle w:val="SingleTxtG"/>
        <w:rPr>
          <w:color w:val="000000" w:themeColor="text1"/>
          <w:sz w:val="20"/>
          <w:szCs w:val="20"/>
        </w:rPr>
      </w:pPr>
      <w:r>
        <w:rPr>
          <w:color w:val="000000" w:themeColor="text1"/>
          <w:sz w:val="20"/>
          <w:szCs w:val="20"/>
        </w:rPr>
        <w:t>979</w:t>
      </w:r>
      <w:r w:rsidR="00106E2C" w:rsidRPr="00113DE2">
        <w:rPr>
          <w:color w:val="000000" w:themeColor="text1"/>
          <w:sz w:val="20"/>
          <w:szCs w:val="20"/>
        </w:rPr>
        <w:t>.</w:t>
      </w:r>
      <w:r w:rsidR="00106E2C" w:rsidRPr="00113DE2">
        <w:rPr>
          <w:color w:val="000000" w:themeColor="text1"/>
          <w:sz w:val="20"/>
          <w:szCs w:val="20"/>
        </w:rPr>
        <w:tab/>
        <w:t>At</w:t>
      </w:r>
      <w:r w:rsidR="00FF41A0">
        <w:rPr>
          <w:color w:val="000000" w:themeColor="text1"/>
          <w:sz w:val="20"/>
          <w:szCs w:val="20"/>
        </w:rPr>
        <w:t xml:space="preserve"> </w:t>
      </w:r>
      <w:r w:rsidR="00106E2C" w:rsidRPr="00113DE2">
        <w:rPr>
          <w:color w:val="000000" w:themeColor="text1"/>
          <w:sz w:val="20"/>
          <w:szCs w:val="20"/>
        </w:rPr>
        <w:t>the</w:t>
      </w:r>
      <w:r w:rsidR="00FF41A0">
        <w:rPr>
          <w:color w:val="000000" w:themeColor="text1"/>
          <w:sz w:val="20"/>
          <w:szCs w:val="20"/>
        </w:rPr>
        <w:t xml:space="preserve"> </w:t>
      </w:r>
      <w:r w:rsidR="00106E2C" w:rsidRPr="009C4448">
        <w:rPr>
          <w:color w:val="000000" w:themeColor="text1"/>
          <w:sz w:val="20"/>
          <w:szCs w:val="20"/>
        </w:rPr>
        <w:t>4</w:t>
      </w:r>
      <w:r w:rsidR="009C4448" w:rsidRPr="009C4448">
        <w:rPr>
          <w:color w:val="000000" w:themeColor="text1"/>
          <w:sz w:val="20"/>
          <w:szCs w:val="20"/>
        </w:rPr>
        <w:t>8</w:t>
      </w:r>
      <w:r w:rsidR="00106E2C" w:rsidRPr="009C4448">
        <w:rPr>
          <w:color w:val="000000" w:themeColor="text1"/>
          <w:sz w:val="20"/>
          <w:szCs w:val="20"/>
        </w:rPr>
        <w:t>th</w:t>
      </w:r>
      <w:r w:rsidR="00FF41A0">
        <w:rPr>
          <w:color w:val="000000" w:themeColor="text1"/>
          <w:sz w:val="20"/>
          <w:szCs w:val="20"/>
        </w:rPr>
        <w:t xml:space="preserve"> </w:t>
      </w:r>
      <w:r w:rsidR="00106E2C" w:rsidRPr="009C4448">
        <w:rPr>
          <w:color w:val="000000" w:themeColor="text1"/>
          <w:sz w:val="20"/>
          <w:szCs w:val="20"/>
        </w:rPr>
        <w:t>meeting,</w:t>
      </w:r>
      <w:r w:rsidR="00FF41A0">
        <w:rPr>
          <w:color w:val="000000" w:themeColor="text1"/>
          <w:sz w:val="20"/>
          <w:szCs w:val="20"/>
        </w:rPr>
        <w:t xml:space="preserve"> </w:t>
      </w:r>
      <w:r w:rsidR="00106E2C" w:rsidRPr="009C4448">
        <w:rPr>
          <w:color w:val="000000" w:themeColor="text1"/>
          <w:sz w:val="20"/>
          <w:szCs w:val="20"/>
        </w:rPr>
        <w:t>on</w:t>
      </w:r>
      <w:r w:rsidR="00FF41A0">
        <w:rPr>
          <w:color w:val="000000" w:themeColor="text1"/>
          <w:sz w:val="20"/>
          <w:szCs w:val="20"/>
        </w:rPr>
        <w:t xml:space="preserve"> </w:t>
      </w:r>
      <w:r w:rsidR="00106E2C" w:rsidRPr="009C4448">
        <w:rPr>
          <w:color w:val="000000" w:themeColor="text1"/>
          <w:sz w:val="20"/>
          <w:szCs w:val="20"/>
        </w:rPr>
        <w:t>2</w:t>
      </w:r>
      <w:r w:rsidR="009C4448" w:rsidRPr="009C4448">
        <w:rPr>
          <w:color w:val="000000" w:themeColor="text1"/>
          <w:sz w:val="20"/>
          <w:szCs w:val="20"/>
        </w:rPr>
        <w:t>0</w:t>
      </w:r>
      <w:r w:rsidR="00FF41A0">
        <w:rPr>
          <w:color w:val="000000" w:themeColor="text1"/>
          <w:sz w:val="20"/>
          <w:szCs w:val="20"/>
        </w:rPr>
        <w:t xml:space="preserve"> </w:t>
      </w:r>
      <w:r w:rsidR="00106E2C" w:rsidRPr="009C4448">
        <w:rPr>
          <w:color w:val="000000" w:themeColor="text1"/>
          <w:sz w:val="20"/>
          <w:szCs w:val="20"/>
        </w:rPr>
        <w:t>March</w:t>
      </w:r>
      <w:r w:rsidR="00FF41A0">
        <w:rPr>
          <w:color w:val="000000" w:themeColor="text1"/>
          <w:sz w:val="20"/>
          <w:szCs w:val="20"/>
        </w:rPr>
        <w:t xml:space="preserve"> </w:t>
      </w:r>
      <w:r w:rsidR="00141AFC" w:rsidRPr="009C4448">
        <w:rPr>
          <w:color w:val="000000" w:themeColor="text1"/>
          <w:sz w:val="20"/>
          <w:szCs w:val="20"/>
        </w:rPr>
        <w:t>2019</w:t>
      </w:r>
      <w:r w:rsidR="00106E2C" w:rsidRPr="00113DE2">
        <w:rPr>
          <w:color w:val="000000" w:themeColor="text1"/>
          <w:sz w:val="20"/>
          <w:szCs w:val="20"/>
        </w:rPr>
        <w:t>,</w:t>
      </w:r>
      <w:r w:rsidR="00FF41A0">
        <w:rPr>
          <w:color w:val="000000" w:themeColor="text1"/>
          <w:sz w:val="20"/>
          <w:szCs w:val="20"/>
        </w:rPr>
        <w:t xml:space="preserve"> </w:t>
      </w:r>
      <w:r w:rsidR="00CF339D" w:rsidRPr="00113DE2">
        <w:rPr>
          <w:color w:val="000000" w:themeColor="text1"/>
          <w:sz w:val="20"/>
          <w:szCs w:val="20"/>
        </w:rPr>
        <w:t>pursuant</w:t>
      </w:r>
      <w:r w:rsidR="00FF41A0">
        <w:rPr>
          <w:color w:val="000000" w:themeColor="text1"/>
          <w:sz w:val="20"/>
          <w:szCs w:val="20"/>
        </w:rPr>
        <w:t xml:space="preserve"> </w:t>
      </w:r>
      <w:r w:rsidR="00CF339D" w:rsidRPr="00113DE2">
        <w:rPr>
          <w:color w:val="000000" w:themeColor="text1"/>
          <w:sz w:val="20"/>
          <w:szCs w:val="20"/>
        </w:rPr>
        <w:t>to</w:t>
      </w:r>
      <w:r w:rsidR="00FF41A0">
        <w:rPr>
          <w:color w:val="000000" w:themeColor="text1"/>
          <w:sz w:val="20"/>
          <w:szCs w:val="20"/>
        </w:rPr>
        <w:t xml:space="preserve"> </w:t>
      </w:r>
      <w:r w:rsidR="00CF339D" w:rsidRPr="00113DE2">
        <w:rPr>
          <w:color w:val="000000" w:themeColor="text1"/>
          <w:sz w:val="20"/>
          <w:szCs w:val="20"/>
        </w:rPr>
        <w:t>Human</w:t>
      </w:r>
      <w:r w:rsidR="00FF41A0">
        <w:rPr>
          <w:color w:val="000000" w:themeColor="text1"/>
          <w:sz w:val="20"/>
          <w:szCs w:val="20"/>
        </w:rPr>
        <w:t xml:space="preserve"> </w:t>
      </w:r>
      <w:r w:rsidR="00CF339D" w:rsidRPr="00113DE2">
        <w:rPr>
          <w:color w:val="000000" w:themeColor="text1"/>
          <w:sz w:val="20"/>
          <w:szCs w:val="20"/>
        </w:rPr>
        <w:t>Rights</w:t>
      </w:r>
      <w:r w:rsidR="00FF41A0">
        <w:rPr>
          <w:color w:val="000000" w:themeColor="text1"/>
          <w:sz w:val="20"/>
          <w:szCs w:val="20"/>
        </w:rPr>
        <w:t xml:space="preserve"> </w:t>
      </w:r>
      <w:r w:rsidR="00CF339D" w:rsidRPr="00113DE2">
        <w:rPr>
          <w:color w:val="000000" w:themeColor="text1"/>
          <w:sz w:val="20"/>
          <w:szCs w:val="20"/>
        </w:rPr>
        <w:t>Council</w:t>
      </w:r>
      <w:r w:rsidR="00FF41A0">
        <w:rPr>
          <w:color w:val="000000" w:themeColor="text1"/>
          <w:sz w:val="20"/>
          <w:szCs w:val="20"/>
        </w:rPr>
        <w:t xml:space="preserve"> </w:t>
      </w:r>
      <w:r w:rsidR="00CF339D" w:rsidRPr="00113DE2">
        <w:rPr>
          <w:color w:val="000000" w:themeColor="text1"/>
          <w:sz w:val="20"/>
          <w:szCs w:val="20"/>
        </w:rPr>
        <w:t>resolution</w:t>
      </w:r>
      <w:r w:rsidR="00FF41A0">
        <w:rPr>
          <w:color w:val="000000" w:themeColor="text1"/>
          <w:sz w:val="20"/>
          <w:szCs w:val="20"/>
        </w:rPr>
        <w:t xml:space="preserve"> </w:t>
      </w:r>
      <w:r w:rsidR="00CF339D" w:rsidRPr="00113DE2">
        <w:rPr>
          <w:color w:val="000000" w:themeColor="text1"/>
          <w:sz w:val="20"/>
          <w:szCs w:val="20"/>
        </w:rPr>
        <w:t>3</w:t>
      </w:r>
      <w:r w:rsidR="00025AE4">
        <w:rPr>
          <w:color w:val="000000" w:themeColor="text1"/>
          <w:sz w:val="20"/>
          <w:szCs w:val="20"/>
        </w:rPr>
        <w:t>9</w:t>
      </w:r>
      <w:r w:rsidR="00CF339D" w:rsidRPr="00113DE2">
        <w:rPr>
          <w:color w:val="000000" w:themeColor="text1"/>
          <w:sz w:val="20"/>
          <w:szCs w:val="20"/>
        </w:rPr>
        <w:t>/</w:t>
      </w:r>
      <w:r w:rsidR="00025AE4">
        <w:rPr>
          <w:color w:val="000000" w:themeColor="text1"/>
          <w:sz w:val="20"/>
          <w:szCs w:val="20"/>
        </w:rPr>
        <w:t>19</w:t>
      </w:r>
      <w:r w:rsidR="00CF339D" w:rsidRPr="00113DE2">
        <w:rPr>
          <w:color w:val="000000" w:themeColor="text1"/>
          <w:sz w:val="20"/>
          <w:szCs w:val="20"/>
        </w:rPr>
        <w:t>,</w:t>
      </w:r>
      <w:r w:rsidR="00FF41A0">
        <w:rPr>
          <w:color w:val="000000" w:themeColor="text1"/>
          <w:sz w:val="20"/>
          <w:szCs w:val="20"/>
        </w:rPr>
        <w:t xml:space="preserve"> </w:t>
      </w:r>
      <w:r w:rsidR="00106E2C" w:rsidRPr="00113DE2">
        <w:rPr>
          <w:color w:val="000000" w:themeColor="text1"/>
          <w:sz w:val="20"/>
          <w:szCs w:val="20"/>
        </w:rPr>
        <w:t>the</w:t>
      </w:r>
      <w:r w:rsidR="00FF41A0">
        <w:rPr>
          <w:color w:val="000000" w:themeColor="text1"/>
          <w:sz w:val="20"/>
          <w:szCs w:val="20"/>
        </w:rPr>
        <w:t xml:space="preserve"> </w:t>
      </w:r>
      <w:r w:rsidR="00CF339D" w:rsidRPr="00113DE2">
        <w:rPr>
          <w:color w:val="000000" w:themeColor="text1"/>
          <w:sz w:val="20"/>
          <w:szCs w:val="20"/>
        </w:rPr>
        <w:t>Council</w:t>
      </w:r>
      <w:r w:rsidR="00FF41A0">
        <w:rPr>
          <w:color w:val="000000" w:themeColor="text1"/>
          <w:sz w:val="20"/>
          <w:szCs w:val="20"/>
        </w:rPr>
        <w:t xml:space="preserve"> </w:t>
      </w:r>
      <w:r w:rsidR="00CF339D" w:rsidRPr="00113DE2">
        <w:rPr>
          <w:color w:val="000000" w:themeColor="text1"/>
          <w:sz w:val="20"/>
          <w:szCs w:val="20"/>
        </w:rPr>
        <w:t>held</w:t>
      </w:r>
      <w:r w:rsidR="00FF41A0">
        <w:rPr>
          <w:color w:val="000000" w:themeColor="text1"/>
          <w:sz w:val="20"/>
          <w:szCs w:val="20"/>
        </w:rPr>
        <w:t xml:space="preserve"> </w:t>
      </w:r>
      <w:r w:rsidR="00CF339D" w:rsidRPr="00113DE2">
        <w:rPr>
          <w:color w:val="000000" w:themeColor="text1"/>
          <w:sz w:val="20"/>
          <w:szCs w:val="20"/>
        </w:rPr>
        <w:t>a</w:t>
      </w:r>
      <w:r w:rsidR="00FF41A0">
        <w:rPr>
          <w:color w:val="000000" w:themeColor="text1"/>
          <w:sz w:val="20"/>
          <w:szCs w:val="20"/>
        </w:rPr>
        <w:t xml:space="preserve"> </w:t>
      </w:r>
      <w:r w:rsidR="0033667E" w:rsidRPr="00025AE4">
        <w:rPr>
          <w:color w:val="000000" w:themeColor="text1"/>
          <w:sz w:val="20"/>
          <w:szCs w:val="20"/>
        </w:rPr>
        <w:t>high-level</w:t>
      </w:r>
      <w:r w:rsidR="00FF41A0">
        <w:rPr>
          <w:color w:val="000000" w:themeColor="text1"/>
          <w:sz w:val="20"/>
          <w:szCs w:val="20"/>
        </w:rPr>
        <w:t xml:space="preserve"> </w:t>
      </w:r>
      <w:r w:rsidR="0033667E" w:rsidRPr="00025AE4">
        <w:rPr>
          <w:color w:val="000000" w:themeColor="text1"/>
          <w:sz w:val="20"/>
          <w:szCs w:val="20"/>
        </w:rPr>
        <w:t>interactive</w:t>
      </w:r>
      <w:r w:rsidR="00FF41A0">
        <w:rPr>
          <w:color w:val="000000" w:themeColor="text1"/>
          <w:sz w:val="20"/>
          <w:szCs w:val="20"/>
        </w:rPr>
        <w:t xml:space="preserve"> </w:t>
      </w:r>
      <w:r w:rsidR="0033667E" w:rsidRPr="00025AE4">
        <w:rPr>
          <w:color w:val="000000" w:themeColor="text1"/>
          <w:sz w:val="20"/>
          <w:szCs w:val="20"/>
        </w:rPr>
        <w:t>dialogue</w:t>
      </w:r>
      <w:r w:rsidR="00FF41A0">
        <w:rPr>
          <w:color w:val="000000" w:themeColor="text1"/>
          <w:sz w:val="20"/>
          <w:szCs w:val="20"/>
        </w:rPr>
        <w:t xml:space="preserve"> </w:t>
      </w:r>
      <w:r w:rsidR="0033667E" w:rsidRPr="00025AE4">
        <w:rPr>
          <w:color w:val="000000" w:themeColor="text1"/>
          <w:sz w:val="20"/>
          <w:szCs w:val="20"/>
        </w:rPr>
        <w:t>to</w:t>
      </w:r>
      <w:r w:rsidR="00FF41A0">
        <w:rPr>
          <w:color w:val="000000" w:themeColor="text1"/>
          <w:sz w:val="20"/>
          <w:szCs w:val="20"/>
        </w:rPr>
        <w:t xml:space="preserve"> </w:t>
      </w:r>
      <w:r w:rsidR="0033667E" w:rsidRPr="00025AE4">
        <w:rPr>
          <w:color w:val="000000" w:themeColor="text1"/>
          <w:sz w:val="20"/>
          <w:szCs w:val="20"/>
        </w:rPr>
        <w:t>assess</w:t>
      </w:r>
      <w:r w:rsidR="00FF41A0">
        <w:rPr>
          <w:color w:val="000000" w:themeColor="text1"/>
          <w:sz w:val="20"/>
          <w:szCs w:val="20"/>
        </w:rPr>
        <w:t xml:space="preserve"> </w:t>
      </w:r>
      <w:r w:rsidR="0033667E" w:rsidRPr="00025AE4">
        <w:rPr>
          <w:color w:val="000000" w:themeColor="text1"/>
          <w:sz w:val="20"/>
          <w:szCs w:val="20"/>
        </w:rPr>
        <w:t>the</w:t>
      </w:r>
      <w:r w:rsidR="00FF41A0">
        <w:rPr>
          <w:color w:val="000000" w:themeColor="text1"/>
          <w:sz w:val="20"/>
          <w:szCs w:val="20"/>
        </w:rPr>
        <w:t xml:space="preserve"> </w:t>
      </w:r>
      <w:r w:rsidR="0033667E" w:rsidRPr="00025AE4">
        <w:rPr>
          <w:color w:val="000000" w:themeColor="text1"/>
          <w:sz w:val="20"/>
          <w:szCs w:val="20"/>
        </w:rPr>
        <w:t>evolution</w:t>
      </w:r>
      <w:r w:rsidR="00FF41A0">
        <w:rPr>
          <w:color w:val="000000" w:themeColor="text1"/>
          <w:sz w:val="20"/>
          <w:szCs w:val="20"/>
        </w:rPr>
        <w:t xml:space="preserve"> </w:t>
      </w:r>
      <w:r w:rsidR="0033667E" w:rsidRPr="00025AE4">
        <w:rPr>
          <w:color w:val="000000" w:themeColor="text1"/>
          <w:sz w:val="20"/>
          <w:szCs w:val="20"/>
        </w:rPr>
        <w:t>of</w:t>
      </w:r>
      <w:r w:rsidR="00FF41A0">
        <w:rPr>
          <w:color w:val="000000" w:themeColor="text1"/>
          <w:sz w:val="20"/>
          <w:szCs w:val="20"/>
        </w:rPr>
        <w:t xml:space="preserve"> </w:t>
      </w:r>
      <w:r w:rsidR="0033667E" w:rsidRPr="00025AE4">
        <w:rPr>
          <w:color w:val="000000" w:themeColor="text1"/>
          <w:sz w:val="20"/>
          <w:szCs w:val="20"/>
        </w:rPr>
        <w:t>the</w:t>
      </w:r>
      <w:r w:rsidR="00FF41A0">
        <w:rPr>
          <w:color w:val="000000" w:themeColor="text1"/>
          <w:sz w:val="20"/>
          <w:szCs w:val="20"/>
        </w:rPr>
        <w:t xml:space="preserve"> </w:t>
      </w:r>
      <w:r w:rsidR="0033667E" w:rsidRPr="00025AE4">
        <w:rPr>
          <w:color w:val="000000" w:themeColor="text1"/>
          <w:sz w:val="20"/>
          <w:szCs w:val="20"/>
        </w:rPr>
        <w:t>human</w:t>
      </w:r>
      <w:r w:rsidR="00FF41A0">
        <w:rPr>
          <w:color w:val="000000" w:themeColor="text1"/>
          <w:sz w:val="20"/>
          <w:szCs w:val="20"/>
        </w:rPr>
        <w:t xml:space="preserve"> </w:t>
      </w:r>
      <w:r w:rsidR="0033667E" w:rsidRPr="00025AE4">
        <w:rPr>
          <w:color w:val="000000" w:themeColor="text1"/>
          <w:sz w:val="20"/>
          <w:szCs w:val="20"/>
        </w:rPr>
        <w:t>rights</w:t>
      </w:r>
      <w:r w:rsidR="00FF41A0">
        <w:rPr>
          <w:color w:val="000000" w:themeColor="text1"/>
          <w:sz w:val="20"/>
          <w:szCs w:val="20"/>
        </w:rPr>
        <w:t xml:space="preserve"> </w:t>
      </w:r>
      <w:r w:rsidR="0033667E" w:rsidRPr="00025AE4">
        <w:rPr>
          <w:color w:val="000000" w:themeColor="text1"/>
          <w:sz w:val="20"/>
          <w:szCs w:val="20"/>
        </w:rPr>
        <w:t>situation</w:t>
      </w:r>
      <w:r w:rsidR="00FF41A0">
        <w:rPr>
          <w:color w:val="000000" w:themeColor="text1"/>
          <w:sz w:val="20"/>
          <w:szCs w:val="20"/>
        </w:rPr>
        <w:t xml:space="preserve"> </w:t>
      </w:r>
      <w:r w:rsidR="0033667E" w:rsidRPr="00025AE4">
        <w:rPr>
          <w:color w:val="000000" w:themeColor="text1"/>
          <w:sz w:val="20"/>
          <w:szCs w:val="20"/>
        </w:rPr>
        <w:t>on</w:t>
      </w:r>
      <w:r w:rsidR="00FF41A0">
        <w:rPr>
          <w:color w:val="000000" w:themeColor="text1"/>
          <w:sz w:val="20"/>
          <w:szCs w:val="20"/>
        </w:rPr>
        <w:t xml:space="preserve"> </w:t>
      </w:r>
      <w:r w:rsidR="0033667E" w:rsidRPr="00025AE4">
        <w:rPr>
          <w:color w:val="000000" w:themeColor="text1"/>
          <w:sz w:val="20"/>
          <w:szCs w:val="20"/>
        </w:rPr>
        <w:t>the</w:t>
      </w:r>
      <w:r w:rsidR="00FF41A0">
        <w:rPr>
          <w:color w:val="000000" w:themeColor="text1"/>
          <w:sz w:val="20"/>
          <w:szCs w:val="20"/>
        </w:rPr>
        <w:t xml:space="preserve"> </w:t>
      </w:r>
      <w:r w:rsidR="0033667E" w:rsidRPr="00025AE4">
        <w:rPr>
          <w:color w:val="000000" w:themeColor="text1"/>
          <w:sz w:val="20"/>
          <w:szCs w:val="20"/>
        </w:rPr>
        <w:t>ground,</w:t>
      </w:r>
      <w:r w:rsidR="00FF41A0">
        <w:rPr>
          <w:color w:val="000000" w:themeColor="text1"/>
          <w:sz w:val="20"/>
          <w:szCs w:val="20"/>
        </w:rPr>
        <w:t xml:space="preserve"> </w:t>
      </w:r>
      <w:r w:rsidR="0033667E" w:rsidRPr="00025AE4">
        <w:rPr>
          <w:color w:val="000000" w:themeColor="text1"/>
          <w:sz w:val="20"/>
          <w:szCs w:val="20"/>
        </w:rPr>
        <w:t>placing</w:t>
      </w:r>
      <w:r w:rsidR="00FF41A0">
        <w:rPr>
          <w:color w:val="000000" w:themeColor="text1"/>
          <w:sz w:val="20"/>
          <w:szCs w:val="20"/>
        </w:rPr>
        <w:t xml:space="preserve"> </w:t>
      </w:r>
      <w:r w:rsidR="0033667E" w:rsidRPr="00025AE4">
        <w:rPr>
          <w:color w:val="000000" w:themeColor="text1"/>
          <w:sz w:val="20"/>
          <w:szCs w:val="20"/>
        </w:rPr>
        <w:t>special</w:t>
      </w:r>
      <w:r w:rsidR="00FF41A0">
        <w:rPr>
          <w:color w:val="000000" w:themeColor="text1"/>
          <w:sz w:val="20"/>
          <w:szCs w:val="20"/>
        </w:rPr>
        <w:t xml:space="preserve"> </w:t>
      </w:r>
      <w:r w:rsidR="0033667E" w:rsidRPr="00025AE4">
        <w:rPr>
          <w:color w:val="000000" w:themeColor="text1"/>
          <w:sz w:val="20"/>
          <w:szCs w:val="20"/>
        </w:rPr>
        <w:t>emphasis</w:t>
      </w:r>
      <w:r w:rsidR="00FF41A0">
        <w:rPr>
          <w:color w:val="000000" w:themeColor="text1"/>
          <w:sz w:val="20"/>
          <w:szCs w:val="20"/>
        </w:rPr>
        <w:t xml:space="preserve"> </w:t>
      </w:r>
      <w:r w:rsidR="0033667E" w:rsidRPr="00025AE4">
        <w:rPr>
          <w:color w:val="000000" w:themeColor="text1"/>
          <w:sz w:val="20"/>
          <w:szCs w:val="20"/>
        </w:rPr>
        <w:t>on</w:t>
      </w:r>
      <w:r w:rsidR="00FF41A0">
        <w:rPr>
          <w:color w:val="000000" w:themeColor="text1"/>
          <w:sz w:val="20"/>
          <w:szCs w:val="20"/>
        </w:rPr>
        <w:t xml:space="preserve"> </w:t>
      </w:r>
      <w:r w:rsidR="0033667E" w:rsidRPr="00025AE4">
        <w:rPr>
          <w:color w:val="000000" w:themeColor="text1"/>
          <w:sz w:val="20"/>
          <w:szCs w:val="20"/>
        </w:rPr>
        <w:t>the</w:t>
      </w:r>
      <w:r w:rsidR="00FF41A0">
        <w:rPr>
          <w:color w:val="000000" w:themeColor="text1"/>
          <w:sz w:val="20"/>
          <w:szCs w:val="20"/>
        </w:rPr>
        <w:t xml:space="preserve"> </w:t>
      </w:r>
      <w:r w:rsidR="0033667E" w:rsidRPr="00025AE4">
        <w:rPr>
          <w:color w:val="000000" w:themeColor="text1"/>
          <w:sz w:val="20"/>
          <w:szCs w:val="20"/>
        </w:rPr>
        <w:t>participation</w:t>
      </w:r>
      <w:r w:rsidR="00FF41A0">
        <w:rPr>
          <w:color w:val="000000" w:themeColor="text1"/>
          <w:sz w:val="20"/>
          <w:szCs w:val="20"/>
        </w:rPr>
        <w:t xml:space="preserve"> </w:t>
      </w:r>
      <w:r w:rsidR="0033667E" w:rsidRPr="00025AE4">
        <w:rPr>
          <w:color w:val="000000" w:themeColor="text1"/>
          <w:sz w:val="20"/>
          <w:szCs w:val="20"/>
        </w:rPr>
        <w:t>of</w:t>
      </w:r>
      <w:r w:rsidR="00FF41A0">
        <w:rPr>
          <w:color w:val="000000" w:themeColor="text1"/>
          <w:sz w:val="20"/>
          <w:szCs w:val="20"/>
        </w:rPr>
        <w:t xml:space="preserve"> </w:t>
      </w:r>
      <w:r w:rsidR="0033667E" w:rsidRPr="00025AE4">
        <w:rPr>
          <w:color w:val="000000" w:themeColor="text1"/>
          <w:sz w:val="20"/>
          <w:szCs w:val="20"/>
        </w:rPr>
        <w:t>civil</w:t>
      </w:r>
      <w:r w:rsidR="00FF41A0">
        <w:rPr>
          <w:color w:val="000000" w:themeColor="text1"/>
          <w:sz w:val="20"/>
          <w:szCs w:val="20"/>
        </w:rPr>
        <w:t xml:space="preserve"> </w:t>
      </w:r>
      <w:r w:rsidR="0033667E" w:rsidRPr="00025AE4">
        <w:rPr>
          <w:color w:val="000000" w:themeColor="text1"/>
          <w:sz w:val="20"/>
          <w:szCs w:val="20"/>
        </w:rPr>
        <w:t>society,</w:t>
      </w:r>
      <w:r w:rsidR="00FF41A0">
        <w:rPr>
          <w:color w:val="000000" w:themeColor="text1"/>
          <w:sz w:val="20"/>
          <w:szCs w:val="20"/>
        </w:rPr>
        <w:t xml:space="preserve"> </w:t>
      </w:r>
      <w:r w:rsidR="0033667E" w:rsidRPr="00025AE4">
        <w:rPr>
          <w:color w:val="000000" w:themeColor="text1"/>
          <w:sz w:val="20"/>
          <w:szCs w:val="20"/>
        </w:rPr>
        <w:t>especially</w:t>
      </w:r>
      <w:r w:rsidR="00FF41A0">
        <w:rPr>
          <w:color w:val="000000" w:themeColor="text1"/>
          <w:sz w:val="20"/>
          <w:szCs w:val="20"/>
        </w:rPr>
        <w:t xml:space="preserve"> </w:t>
      </w:r>
      <w:r w:rsidR="0033667E" w:rsidRPr="00025AE4">
        <w:rPr>
          <w:color w:val="000000" w:themeColor="text1"/>
          <w:sz w:val="20"/>
          <w:szCs w:val="20"/>
        </w:rPr>
        <w:t>women</w:t>
      </w:r>
      <w:r w:rsidR="00D72627">
        <w:rPr>
          <w:color w:val="000000" w:themeColor="text1"/>
          <w:sz w:val="20"/>
          <w:szCs w:val="20"/>
        </w:rPr>
        <w:t>’</w:t>
      </w:r>
      <w:r w:rsidR="0033667E" w:rsidRPr="00025AE4">
        <w:rPr>
          <w:color w:val="000000" w:themeColor="text1"/>
          <w:sz w:val="20"/>
          <w:szCs w:val="20"/>
        </w:rPr>
        <w:t>s</w:t>
      </w:r>
      <w:r w:rsidR="00FF41A0">
        <w:rPr>
          <w:color w:val="000000" w:themeColor="text1"/>
          <w:sz w:val="20"/>
          <w:szCs w:val="20"/>
        </w:rPr>
        <w:t xml:space="preserve"> </w:t>
      </w:r>
      <w:r w:rsidR="0033667E" w:rsidRPr="00025AE4">
        <w:rPr>
          <w:color w:val="000000" w:themeColor="text1"/>
          <w:sz w:val="20"/>
          <w:szCs w:val="20"/>
        </w:rPr>
        <w:t>organizations</w:t>
      </w:r>
      <w:r w:rsidR="00FF41A0">
        <w:rPr>
          <w:color w:val="000000" w:themeColor="text1"/>
          <w:sz w:val="20"/>
          <w:szCs w:val="20"/>
        </w:rPr>
        <w:t xml:space="preserve"> </w:t>
      </w:r>
      <w:r w:rsidR="0033667E" w:rsidRPr="00025AE4">
        <w:rPr>
          <w:color w:val="000000" w:themeColor="text1"/>
          <w:sz w:val="20"/>
          <w:szCs w:val="20"/>
        </w:rPr>
        <w:t>and</w:t>
      </w:r>
      <w:r w:rsidR="00FF41A0">
        <w:rPr>
          <w:color w:val="000000" w:themeColor="text1"/>
          <w:sz w:val="20"/>
          <w:szCs w:val="20"/>
        </w:rPr>
        <w:t xml:space="preserve"> </w:t>
      </w:r>
      <w:r w:rsidR="0033667E" w:rsidRPr="00025AE4">
        <w:rPr>
          <w:color w:val="000000" w:themeColor="text1"/>
          <w:sz w:val="20"/>
          <w:szCs w:val="20"/>
        </w:rPr>
        <w:t>representatives</w:t>
      </w:r>
      <w:r w:rsidR="00FF41A0">
        <w:rPr>
          <w:color w:val="000000" w:themeColor="text1"/>
          <w:sz w:val="20"/>
          <w:szCs w:val="20"/>
        </w:rPr>
        <w:t xml:space="preserve"> </w:t>
      </w:r>
      <w:r w:rsidR="0033667E" w:rsidRPr="00025AE4">
        <w:rPr>
          <w:color w:val="000000" w:themeColor="text1"/>
          <w:sz w:val="20"/>
          <w:szCs w:val="20"/>
        </w:rPr>
        <w:t>of</w:t>
      </w:r>
      <w:r w:rsidR="00FF41A0">
        <w:rPr>
          <w:color w:val="000000" w:themeColor="text1"/>
          <w:sz w:val="20"/>
          <w:szCs w:val="20"/>
        </w:rPr>
        <w:t xml:space="preserve"> </w:t>
      </w:r>
      <w:r w:rsidR="0033667E" w:rsidRPr="00025AE4">
        <w:rPr>
          <w:color w:val="000000" w:themeColor="text1"/>
          <w:sz w:val="20"/>
          <w:szCs w:val="20"/>
        </w:rPr>
        <w:t>victims,</w:t>
      </w:r>
      <w:r w:rsidR="00FF41A0">
        <w:rPr>
          <w:color w:val="000000" w:themeColor="text1"/>
          <w:sz w:val="20"/>
          <w:szCs w:val="20"/>
        </w:rPr>
        <w:t xml:space="preserve"> </w:t>
      </w:r>
      <w:r w:rsidR="0033667E" w:rsidRPr="00025AE4">
        <w:rPr>
          <w:color w:val="000000" w:themeColor="text1"/>
          <w:sz w:val="20"/>
          <w:szCs w:val="20"/>
        </w:rPr>
        <w:t>in</w:t>
      </w:r>
      <w:r w:rsidR="00FF41A0">
        <w:rPr>
          <w:color w:val="000000" w:themeColor="text1"/>
          <w:sz w:val="20"/>
          <w:szCs w:val="20"/>
        </w:rPr>
        <w:t xml:space="preserve"> </w:t>
      </w:r>
      <w:r w:rsidR="0033667E" w:rsidRPr="00025AE4">
        <w:rPr>
          <w:color w:val="000000" w:themeColor="text1"/>
          <w:sz w:val="20"/>
          <w:szCs w:val="20"/>
        </w:rPr>
        <w:t>the</w:t>
      </w:r>
      <w:r w:rsidR="00FF41A0">
        <w:rPr>
          <w:color w:val="000000" w:themeColor="text1"/>
          <w:sz w:val="20"/>
          <w:szCs w:val="20"/>
        </w:rPr>
        <w:t xml:space="preserve"> </w:t>
      </w:r>
      <w:r w:rsidR="0033667E" w:rsidRPr="00025AE4">
        <w:rPr>
          <w:color w:val="000000" w:themeColor="text1"/>
          <w:sz w:val="20"/>
          <w:szCs w:val="20"/>
        </w:rPr>
        <w:t>peace</w:t>
      </w:r>
      <w:r w:rsidR="00FF41A0">
        <w:rPr>
          <w:color w:val="000000" w:themeColor="text1"/>
          <w:sz w:val="20"/>
          <w:szCs w:val="20"/>
        </w:rPr>
        <w:t xml:space="preserve"> </w:t>
      </w:r>
      <w:r w:rsidR="0033667E" w:rsidRPr="00025AE4">
        <w:rPr>
          <w:color w:val="000000" w:themeColor="text1"/>
          <w:sz w:val="20"/>
          <w:szCs w:val="20"/>
        </w:rPr>
        <w:t>and</w:t>
      </w:r>
      <w:r w:rsidR="00FF41A0">
        <w:rPr>
          <w:color w:val="000000" w:themeColor="text1"/>
          <w:sz w:val="20"/>
          <w:szCs w:val="20"/>
        </w:rPr>
        <w:t xml:space="preserve"> </w:t>
      </w:r>
      <w:r w:rsidR="0033667E" w:rsidRPr="00025AE4">
        <w:rPr>
          <w:color w:val="000000" w:themeColor="text1"/>
          <w:sz w:val="20"/>
          <w:szCs w:val="20"/>
        </w:rPr>
        <w:t>reconciliation</w:t>
      </w:r>
      <w:r w:rsidR="00FF41A0">
        <w:rPr>
          <w:color w:val="000000" w:themeColor="text1"/>
          <w:sz w:val="20"/>
          <w:szCs w:val="20"/>
        </w:rPr>
        <w:t xml:space="preserve"> </w:t>
      </w:r>
      <w:r w:rsidR="0033667E" w:rsidRPr="00025AE4">
        <w:rPr>
          <w:color w:val="000000" w:themeColor="text1"/>
          <w:sz w:val="20"/>
          <w:szCs w:val="20"/>
        </w:rPr>
        <w:t>process</w:t>
      </w:r>
      <w:r w:rsidR="00FF41A0">
        <w:rPr>
          <w:color w:val="000000" w:themeColor="text1"/>
          <w:sz w:val="20"/>
          <w:szCs w:val="20"/>
        </w:rPr>
        <w:t xml:space="preserve"> </w:t>
      </w:r>
      <w:r w:rsidR="00CF339D" w:rsidRPr="00113DE2">
        <w:rPr>
          <w:color w:val="000000" w:themeColor="text1"/>
          <w:sz w:val="20"/>
          <w:szCs w:val="20"/>
        </w:rPr>
        <w:t>in</w:t>
      </w:r>
      <w:r w:rsidR="00FF41A0">
        <w:rPr>
          <w:color w:val="000000" w:themeColor="text1"/>
          <w:sz w:val="20"/>
          <w:szCs w:val="20"/>
        </w:rPr>
        <w:t xml:space="preserve"> </w:t>
      </w:r>
      <w:r w:rsidR="00CF339D" w:rsidRPr="00113DE2">
        <w:rPr>
          <w:color w:val="000000" w:themeColor="text1"/>
          <w:sz w:val="20"/>
          <w:szCs w:val="20"/>
        </w:rPr>
        <w:t>the</w:t>
      </w:r>
      <w:r w:rsidR="00FF41A0">
        <w:rPr>
          <w:color w:val="000000" w:themeColor="text1"/>
          <w:sz w:val="20"/>
          <w:szCs w:val="20"/>
        </w:rPr>
        <w:t xml:space="preserve"> </w:t>
      </w:r>
      <w:r w:rsidR="00CF339D" w:rsidRPr="00113DE2">
        <w:rPr>
          <w:color w:val="000000" w:themeColor="text1"/>
          <w:sz w:val="20"/>
          <w:szCs w:val="20"/>
        </w:rPr>
        <w:t>Central</w:t>
      </w:r>
      <w:r w:rsidR="00FF41A0">
        <w:rPr>
          <w:color w:val="000000" w:themeColor="text1"/>
          <w:sz w:val="20"/>
          <w:szCs w:val="20"/>
        </w:rPr>
        <w:t xml:space="preserve"> </w:t>
      </w:r>
      <w:r w:rsidR="00CF339D" w:rsidRPr="00113DE2">
        <w:rPr>
          <w:color w:val="000000" w:themeColor="text1"/>
          <w:sz w:val="20"/>
          <w:szCs w:val="20"/>
        </w:rPr>
        <w:t>African</w:t>
      </w:r>
      <w:r w:rsidR="00FF41A0">
        <w:rPr>
          <w:color w:val="000000" w:themeColor="text1"/>
          <w:sz w:val="20"/>
          <w:szCs w:val="20"/>
        </w:rPr>
        <w:t xml:space="preserve"> </w:t>
      </w:r>
      <w:r w:rsidR="00CF339D" w:rsidRPr="00113DE2">
        <w:rPr>
          <w:color w:val="000000" w:themeColor="text1"/>
          <w:sz w:val="20"/>
          <w:szCs w:val="20"/>
        </w:rPr>
        <w:t>Republic.</w:t>
      </w:r>
    </w:p>
    <w:p w14:paraId="082124B2" w14:textId="02414F7B" w:rsidR="00CF339D" w:rsidRPr="00113DE2" w:rsidRDefault="00CF15B1" w:rsidP="00CF339D">
      <w:pPr>
        <w:pStyle w:val="SingleTxtG"/>
        <w:rPr>
          <w:color w:val="000000" w:themeColor="text1"/>
          <w:sz w:val="20"/>
          <w:szCs w:val="20"/>
        </w:rPr>
      </w:pPr>
      <w:r>
        <w:rPr>
          <w:color w:val="000000" w:themeColor="text1"/>
          <w:sz w:val="20"/>
          <w:szCs w:val="20"/>
        </w:rPr>
        <w:t>980</w:t>
      </w:r>
      <w:r w:rsidR="00CF339D" w:rsidRPr="00113DE2">
        <w:rPr>
          <w:color w:val="000000" w:themeColor="text1"/>
          <w:sz w:val="20"/>
          <w:szCs w:val="20"/>
        </w:rPr>
        <w:t>.</w:t>
      </w:r>
      <w:r w:rsidR="00CF339D" w:rsidRPr="00113DE2">
        <w:rPr>
          <w:color w:val="000000" w:themeColor="text1"/>
          <w:sz w:val="20"/>
          <w:szCs w:val="20"/>
        </w:rPr>
        <w:tab/>
      </w:r>
      <w:r w:rsidR="00CF339D" w:rsidRPr="00113DE2">
        <w:rPr>
          <w:rFonts w:eastAsia="Malgun Gothic"/>
          <w:color w:val="000000" w:themeColor="text1"/>
          <w:sz w:val="20"/>
          <w:szCs w:val="20"/>
        </w:rPr>
        <w:t>At</w:t>
      </w:r>
      <w:r w:rsidR="00FF41A0">
        <w:rPr>
          <w:rFonts w:eastAsia="Malgun Gothic"/>
          <w:color w:val="000000" w:themeColor="text1"/>
          <w:sz w:val="20"/>
          <w:szCs w:val="20"/>
        </w:rPr>
        <w:t xml:space="preserve"> </w:t>
      </w:r>
      <w:r w:rsidR="00CF339D" w:rsidRPr="00113DE2">
        <w:rPr>
          <w:rFonts w:eastAsia="Malgun Gothic"/>
          <w:color w:val="000000" w:themeColor="text1"/>
          <w:sz w:val="20"/>
          <w:szCs w:val="20"/>
        </w:rPr>
        <w:t>the</w:t>
      </w:r>
      <w:r w:rsidR="00FF41A0">
        <w:rPr>
          <w:rFonts w:eastAsia="Malgun Gothic"/>
          <w:color w:val="000000" w:themeColor="text1"/>
          <w:sz w:val="20"/>
          <w:szCs w:val="20"/>
        </w:rPr>
        <w:t xml:space="preserve"> </w:t>
      </w:r>
      <w:r w:rsidR="00CF339D" w:rsidRPr="00113DE2">
        <w:rPr>
          <w:rFonts w:eastAsia="Malgun Gothic"/>
          <w:color w:val="000000" w:themeColor="text1"/>
          <w:sz w:val="20"/>
          <w:szCs w:val="20"/>
        </w:rPr>
        <w:t>same</w:t>
      </w:r>
      <w:r w:rsidR="00FF41A0">
        <w:rPr>
          <w:rFonts w:eastAsia="Malgun Gothic"/>
          <w:color w:val="000000" w:themeColor="text1"/>
          <w:sz w:val="20"/>
          <w:szCs w:val="20"/>
        </w:rPr>
        <w:t xml:space="preserve"> </w:t>
      </w:r>
      <w:r w:rsidR="00CF339D" w:rsidRPr="00113DE2">
        <w:rPr>
          <w:rFonts w:eastAsia="Malgun Gothic"/>
          <w:color w:val="000000" w:themeColor="text1"/>
          <w:sz w:val="20"/>
          <w:szCs w:val="20"/>
        </w:rPr>
        <w:t>meeting,</w:t>
      </w:r>
      <w:r w:rsidR="00FF41A0">
        <w:rPr>
          <w:rFonts w:eastAsia="Malgun Gothic"/>
          <w:color w:val="000000" w:themeColor="text1"/>
          <w:sz w:val="20"/>
          <w:szCs w:val="20"/>
        </w:rPr>
        <w:t xml:space="preserve"> </w:t>
      </w:r>
      <w:r w:rsidR="00CF339D" w:rsidRPr="00113DE2">
        <w:rPr>
          <w:rFonts w:eastAsia="Malgun Gothic"/>
          <w:color w:val="000000" w:themeColor="text1"/>
          <w:sz w:val="20"/>
          <w:szCs w:val="20"/>
        </w:rPr>
        <w:t>the</w:t>
      </w:r>
      <w:r w:rsidR="00FF41A0">
        <w:rPr>
          <w:rFonts w:eastAsia="Malgun Gothic"/>
          <w:color w:val="000000" w:themeColor="text1"/>
          <w:sz w:val="20"/>
          <w:szCs w:val="20"/>
        </w:rPr>
        <w:t xml:space="preserve"> </w:t>
      </w:r>
      <w:r w:rsidR="00CF339D" w:rsidRPr="009C4448">
        <w:rPr>
          <w:rFonts w:eastAsia="Malgun Gothic"/>
          <w:color w:val="000000" w:themeColor="text1"/>
          <w:sz w:val="20"/>
          <w:szCs w:val="20"/>
        </w:rPr>
        <w:t>Assistant</w:t>
      </w:r>
      <w:r w:rsidR="00FF41A0">
        <w:rPr>
          <w:rFonts w:eastAsia="Malgun Gothic"/>
          <w:color w:val="000000" w:themeColor="text1"/>
          <w:sz w:val="20"/>
          <w:szCs w:val="20"/>
        </w:rPr>
        <w:t xml:space="preserve"> </w:t>
      </w:r>
      <w:r w:rsidR="00CF339D" w:rsidRPr="009C4448">
        <w:rPr>
          <w:rFonts w:eastAsia="Malgun Gothic"/>
          <w:color w:val="000000" w:themeColor="text1"/>
          <w:sz w:val="20"/>
          <w:szCs w:val="20"/>
        </w:rPr>
        <w:t>Secretary-General</w:t>
      </w:r>
      <w:r w:rsidR="00FF41A0">
        <w:rPr>
          <w:rFonts w:eastAsia="Malgun Gothic"/>
          <w:color w:val="000000" w:themeColor="text1"/>
          <w:sz w:val="20"/>
          <w:szCs w:val="20"/>
        </w:rPr>
        <w:t xml:space="preserve"> </w:t>
      </w:r>
      <w:r w:rsidR="00CF339D" w:rsidRPr="009C4448">
        <w:rPr>
          <w:rFonts w:eastAsia="Malgun Gothic"/>
          <w:color w:val="000000" w:themeColor="text1"/>
          <w:sz w:val="20"/>
          <w:szCs w:val="20"/>
        </w:rPr>
        <w:t>for</w:t>
      </w:r>
      <w:r w:rsidR="00FF41A0">
        <w:rPr>
          <w:rFonts w:eastAsia="Malgun Gothic"/>
          <w:color w:val="000000" w:themeColor="text1"/>
          <w:sz w:val="20"/>
          <w:szCs w:val="20"/>
        </w:rPr>
        <w:t xml:space="preserve"> </w:t>
      </w:r>
      <w:r w:rsidR="00CF339D" w:rsidRPr="009C4448">
        <w:rPr>
          <w:rFonts w:eastAsia="Malgun Gothic"/>
          <w:color w:val="000000" w:themeColor="text1"/>
          <w:sz w:val="20"/>
          <w:szCs w:val="20"/>
        </w:rPr>
        <w:t>Human</w:t>
      </w:r>
      <w:r w:rsidR="00FF41A0">
        <w:rPr>
          <w:rFonts w:eastAsia="Malgun Gothic"/>
          <w:color w:val="000000" w:themeColor="text1"/>
          <w:sz w:val="20"/>
          <w:szCs w:val="20"/>
        </w:rPr>
        <w:t xml:space="preserve"> </w:t>
      </w:r>
      <w:r w:rsidR="00CF339D" w:rsidRPr="009C4448">
        <w:rPr>
          <w:rFonts w:eastAsia="Malgun Gothic"/>
          <w:color w:val="000000" w:themeColor="text1"/>
          <w:sz w:val="20"/>
          <w:szCs w:val="20"/>
        </w:rPr>
        <w:t>Rights</w:t>
      </w:r>
      <w:r w:rsidR="00FF41A0">
        <w:rPr>
          <w:rFonts w:eastAsia="Malgun Gothic"/>
          <w:color w:val="000000" w:themeColor="text1"/>
          <w:sz w:val="20"/>
          <w:szCs w:val="20"/>
        </w:rPr>
        <w:t xml:space="preserve"> </w:t>
      </w:r>
      <w:r w:rsidR="00CF339D" w:rsidRPr="00113DE2">
        <w:rPr>
          <w:rFonts w:eastAsia="Malgun Gothic"/>
          <w:color w:val="000000" w:themeColor="text1"/>
          <w:sz w:val="20"/>
          <w:szCs w:val="20"/>
        </w:rPr>
        <w:t>made</w:t>
      </w:r>
      <w:r w:rsidR="00FF41A0">
        <w:rPr>
          <w:rFonts w:eastAsia="Malgun Gothic"/>
          <w:color w:val="000000" w:themeColor="text1"/>
          <w:sz w:val="20"/>
          <w:szCs w:val="20"/>
        </w:rPr>
        <w:t xml:space="preserve"> </w:t>
      </w:r>
      <w:r w:rsidR="00CF339D" w:rsidRPr="00113DE2">
        <w:rPr>
          <w:rFonts w:eastAsia="Malgun Gothic"/>
          <w:color w:val="000000" w:themeColor="text1"/>
          <w:sz w:val="20"/>
          <w:szCs w:val="20"/>
        </w:rPr>
        <w:t>an</w:t>
      </w:r>
      <w:r w:rsidR="00FF41A0">
        <w:rPr>
          <w:rFonts w:eastAsia="Malgun Gothic"/>
          <w:color w:val="000000" w:themeColor="text1"/>
          <w:sz w:val="20"/>
          <w:szCs w:val="20"/>
        </w:rPr>
        <w:t xml:space="preserve"> </w:t>
      </w:r>
      <w:r w:rsidR="00CF339D" w:rsidRPr="00113DE2">
        <w:rPr>
          <w:rFonts w:eastAsia="Malgun Gothic"/>
          <w:color w:val="000000" w:themeColor="text1"/>
          <w:sz w:val="20"/>
          <w:szCs w:val="20"/>
        </w:rPr>
        <w:t>opening</w:t>
      </w:r>
      <w:r w:rsidR="00FF41A0">
        <w:rPr>
          <w:rFonts w:eastAsia="Malgun Gothic"/>
          <w:color w:val="000000" w:themeColor="text1"/>
          <w:sz w:val="20"/>
          <w:szCs w:val="20"/>
        </w:rPr>
        <w:t xml:space="preserve"> </w:t>
      </w:r>
      <w:r w:rsidR="00CF339D" w:rsidRPr="00113DE2">
        <w:rPr>
          <w:rFonts w:eastAsia="Malgun Gothic"/>
          <w:color w:val="000000" w:themeColor="text1"/>
          <w:sz w:val="20"/>
          <w:szCs w:val="20"/>
        </w:rPr>
        <w:t>statement</w:t>
      </w:r>
      <w:r w:rsidR="00FF41A0">
        <w:rPr>
          <w:rFonts w:eastAsia="Malgun Gothic"/>
          <w:color w:val="000000" w:themeColor="text1"/>
          <w:sz w:val="20"/>
          <w:szCs w:val="20"/>
        </w:rPr>
        <w:t xml:space="preserve"> </w:t>
      </w:r>
      <w:r w:rsidR="00CF339D" w:rsidRPr="00113DE2">
        <w:rPr>
          <w:rFonts w:eastAsia="Malgun Gothic"/>
          <w:color w:val="000000" w:themeColor="text1"/>
          <w:sz w:val="20"/>
          <w:szCs w:val="20"/>
        </w:rPr>
        <w:t>for</w:t>
      </w:r>
      <w:r w:rsidR="00FF41A0">
        <w:rPr>
          <w:rFonts w:eastAsia="Malgun Gothic"/>
          <w:color w:val="000000" w:themeColor="text1"/>
          <w:sz w:val="20"/>
          <w:szCs w:val="20"/>
        </w:rPr>
        <w:t xml:space="preserve"> </w:t>
      </w:r>
      <w:r w:rsidR="00CF339D" w:rsidRPr="00113DE2">
        <w:rPr>
          <w:rFonts w:eastAsia="Malgun Gothic"/>
          <w:color w:val="000000" w:themeColor="text1"/>
          <w:sz w:val="20"/>
          <w:szCs w:val="20"/>
        </w:rPr>
        <w:t>the</w:t>
      </w:r>
      <w:r w:rsidR="00FF41A0">
        <w:rPr>
          <w:rFonts w:eastAsia="Malgun Gothic"/>
          <w:color w:val="000000" w:themeColor="text1"/>
          <w:sz w:val="20"/>
          <w:szCs w:val="20"/>
        </w:rPr>
        <w:t xml:space="preserve"> </w:t>
      </w:r>
      <w:r w:rsidR="00CF339D" w:rsidRPr="009C4448">
        <w:rPr>
          <w:rFonts w:eastAsia="Malgun Gothic"/>
          <w:color w:val="000000" w:themeColor="text1"/>
          <w:sz w:val="20"/>
          <w:szCs w:val="20"/>
        </w:rPr>
        <w:t>interactive</w:t>
      </w:r>
      <w:r w:rsidR="00FF41A0">
        <w:rPr>
          <w:rFonts w:eastAsia="Malgun Gothic"/>
          <w:color w:val="000000" w:themeColor="text1"/>
          <w:sz w:val="20"/>
          <w:szCs w:val="20"/>
        </w:rPr>
        <w:t xml:space="preserve"> </w:t>
      </w:r>
      <w:r w:rsidR="00CF339D" w:rsidRPr="009C4448">
        <w:rPr>
          <w:rFonts w:eastAsia="Malgun Gothic"/>
          <w:color w:val="000000" w:themeColor="text1"/>
          <w:sz w:val="20"/>
          <w:szCs w:val="20"/>
        </w:rPr>
        <w:t>dialogue,</w:t>
      </w:r>
      <w:r w:rsidR="00FF41A0">
        <w:rPr>
          <w:rFonts w:eastAsia="Malgun Gothic"/>
          <w:color w:val="000000" w:themeColor="text1"/>
          <w:sz w:val="20"/>
          <w:szCs w:val="20"/>
        </w:rPr>
        <w:t xml:space="preserve"> </w:t>
      </w:r>
      <w:r w:rsidR="00CF339D" w:rsidRPr="009C4448">
        <w:rPr>
          <w:rFonts w:eastAsia="Malgun Gothic"/>
          <w:color w:val="000000" w:themeColor="text1"/>
          <w:sz w:val="20"/>
          <w:szCs w:val="20"/>
        </w:rPr>
        <w:t>on</w:t>
      </w:r>
      <w:r w:rsidR="00FF41A0">
        <w:rPr>
          <w:rFonts w:eastAsia="Malgun Gothic"/>
          <w:color w:val="000000" w:themeColor="text1"/>
          <w:sz w:val="20"/>
          <w:szCs w:val="20"/>
        </w:rPr>
        <w:t xml:space="preserve"> </w:t>
      </w:r>
      <w:r w:rsidR="00CF339D" w:rsidRPr="009C4448">
        <w:rPr>
          <w:rFonts w:eastAsia="Malgun Gothic"/>
          <w:color w:val="000000" w:themeColor="text1"/>
          <w:sz w:val="20"/>
          <w:szCs w:val="20"/>
        </w:rPr>
        <w:t>behalf</w:t>
      </w:r>
      <w:r w:rsidR="00FF41A0">
        <w:rPr>
          <w:rFonts w:eastAsia="Malgun Gothic"/>
          <w:color w:val="000000" w:themeColor="text1"/>
          <w:sz w:val="20"/>
          <w:szCs w:val="20"/>
        </w:rPr>
        <w:t xml:space="preserve"> </w:t>
      </w:r>
      <w:r w:rsidR="00CF339D" w:rsidRPr="009C4448">
        <w:rPr>
          <w:rFonts w:eastAsia="Malgun Gothic"/>
          <w:color w:val="000000" w:themeColor="text1"/>
          <w:sz w:val="20"/>
          <w:szCs w:val="20"/>
        </w:rPr>
        <w:t>of</w:t>
      </w:r>
      <w:r w:rsidR="00FF41A0">
        <w:rPr>
          <w:rFonts w:eastAsia="Malgun Gothic"/>
          <w:color w:val="000000" w:themeColor="text1"/>
          <w:sz w:val="20"/>
          <w:szCs w:val="20"/>
        </w:rPr>
        <w:t xml:space="preserve"> </w:t>
      </w:r>
      <w:r w:rsidR="00CF339D" w:rsidRPr="009C4448">
        <w:rPr>
          <w:rFonts w:eastAsia="Malgun Gothic"/>
          <w:color w:val="000000" w:themeColor="text1"/>
          <w:sz w:val="20"/>
          <w:szCs w:val="20"/>
        </w:rPr>
        <w:t>the</w:t>
      </w:r>
      <w:r w:rsidR="00FF41A0">
        <w:rPr>
          <w:rFonts w:eastAsia="Malgun Gothic"/>
          <w:color w:val="000000" w:themeColor="text1"/>
          <w:sz w:val="20"/>
          <w:szCs w:val="20"/>
        </w:rPr>
        <w:t xml:space="preserve"> </w:t>
      </w:r>
      <w:r w:rsidR="00CF339D" w:rsidRPr="009C4448">
        <w:rPr>
          <w:rFonts w:eastAsia="Malgun Gothic"/>
          <w:color w:val="000000" w:themeColor="text1"/>
          <w:sz w:val="20"/>
          <w:szCs w:val="20"/>
        </w:rPr>
        <w:t>High</w:t>
      </w:r>
      <w:r w:rsidR="00FF41A0">
        <w:rPr>
          <w:rFonts w:eastAsia="Malgun Gothic"/>
          <w:color w:val="000000" w:themeColor="text1"/>
          <w:sz w:val="20"/>
          <w:szCs w:val="20"/>
        </w:rPr>
        <w:t xml:space="preserve"> </w:t>
      </w:r>
      <w:r w:rsidR="00CF339D" w:rsidRPr="009C4448">
        <w:rPr>
          <w:rFonts w:eastAsia="Malgun Gothic"/>
          <w:color w:val="000000" w:themeColor="text1"/>
          <w:sz w:val="20"/>
          <w:szCs w:val="20"/>
        </w:rPr>
        <w:t>Commissioner</w:t>
      </w:r>
      <w:r w:rsidR="00FF41A0">
        <w:rPr>
          <w:color w:val="000000" w:themeColor="text1"/>
          <w:sz w:val="20"/>
          <w:szCs w:val="20"/>
        </w:rPr>
        <w:t xml:space="preserve"> </w:t>
      </w:r>
      <w:r w:rsidR="00CF339D" w:rsidRPr="00113DE2">
        <w:rPr>
          <w:color w:val="000000" w:themeColor="text1"/>
          <w:sz w:val="20"/>
          <w:szCs w:val="20"/>
        </w:rPr>
        <w:t>for</w:t>
      </w:r>
      <w:r w:rsidR="00FF41A0">
        <w:rPr>
          <w:color w:val="000000" w:themeColor="text1"/>
          <w:sz w:val="20"/>
          <w:szCs w:val="20"/>
        </w:rPr>
        <w:t xml:space="preserve"> </w:t>
      </w:r>
      <w:r w:rsidR="00CF339D" w:rsidRPr="00113DE2">
        <w:rPr>
          <w:color w:val="000000" w:themeColor="text1"/>
          <w:sz w:val="20"/>
          <w:szCs w:val="20"/>
        </w:rPr>
        <w:t>Human</w:t>
      </w:r>
      <w:r w:rsidR="00FF41A0">
        <w:rPr>
          <w:color w:val="000000" w:themeColor="text1"/>
          <w:sz w:val="20"/>
          <w:szCs w:val="20"/>
        </w:rPr>
        <w:t xml:space="preserve"> </w:t>
      </w:r>
      <w:r w:rsidR="00CF339D" w:rsidRPr="00113DE2">
        <w:rPr>
          <w:color w:val="000000" w:themeColor="text1"/>
          <w:sz w:val="20"/>
          <w:szCs w:val="20"/>
        </w:rPr>
        <w:t>Rights.</w:t>
      </w:r>
      <w:r w:rsidR="00FF41A0">
        <w:rPr>
          <w:color w:val="000000" w:themeColor="text1"/>
          <w:sz w:val="20"/>
          <w:szCs w:val="20"/>
        </w:rPr>
        <w:t xml:space="preserve"> </w:t>
      </w:r>
    </w:p>
    <w:p w14:paraId="1C80C6C3" w14:textId="7B3769FA" w:rsidR="009C4448" w:rsidRPr="009C4448" w:rsidRDefault="00CF15B1" w:rsidP="009C4448">
      <w:pPr>
        <w:pStyle w:val="SingleTxtG"/>
        <w:rPr>
          <w:color w:val="000000" w:themeColor="text1"/>
          <w:sz w:val="20"/>
          <w:szCs w:val="20"/>
        </w:rPr>
      </w:pPr>
      <w:r>
        <w:rPr>
          <w:rFonts w:eastAsia="Malgun Gothic"/>
          <w:color w:val="000000" w:themeColor="text1"/>
          <w:sz w:val="20"/>
          <w:szCs w:val="20"/>
        </w:rPr>
        <w:t>981</w:t>
      </w:r>
      <w:r w:rsidR="00CF339D" w:rsidRPr="00113DE2">
        <w:rPr>
          <w:rFonts w:eastAsia="Malgun Gothic"/>
          <w:color w:val="000000" w:themeColor="text1"/>
          <w:sz w:val="20"/>
          <w:szCs w:val="20"/>
        </w:rPr>
        <w:t>.</w:t>
      </w:r>
      <w:r w:rsidR="00CF339D" w:rsidRPr="00113DE2">
        <w:rPr>
          <w:rFonts w:eastAsia="Malgun Gothic"/>
          <w:color w:val="000000" w:themeColor="text1"/>
          <w:sz w:val="20"/>
          <w:szCs w:val="20"/>
        </w:rPr>
        <w:tab/>
        <w:t>Also</w:t>
      </w:r>
      <w:r w:rsidR="00FF41A0">
        <w:rPr>
          <w:rFonts w:eastAsia="Malgun Gothic"/>
          <w:color w:val="000000" w:themeColor="text1"/>
          <w:sz w:val="20"/>
          <w:szCs w:val="20"/>
        </w:rPr>
        <w:t xml:space="preserve"> </w:t>
      </w:r>
      <w:r w:rsidR="00CF339D" w:rsidRPr="00113DE2">
        <w:rPr>
          <w:rFonts w:eastAsia="Malgun Gothic"/>
          <w:color w:val="000000" w:themeColor="text1"/>
          <w:sz w:val="20"/>
          <w:szCs w:val="20"/>
        </w:rPr>
        <w:t>at</w:t>
      </w:r>
      <w:r w:rsidR="00FF41A0">
        <w:rPr>
          <w:rFonts w:eastAsia="Malgun Gothic"/>
          <w:color w:val="000000" w:themeColor="text1"/>
          <w:sz w:val="20"/>
          <w:szCs w:val="20"/>
        </w:rPr>
        <w:t xml:space="preserve"> </w:t>
      </w:r>
      <w:r w:rsidR="00CF339D" w:rsidRPr="00113DE2">
        <w:rPr>
          <w:rFonts w:eastAsia="Malgun Gothic"/>
          <w:color w:val="000000" w:themeColor="text1"/>
          <w:sz w:val="20"/>
          <w:szCs w:val="20"/>
        </w:rPr>
        <w:t>the</w:t>
      </w:r>
      <w:r w:rsidR="00FF41A0">
        <w:rPr>
          <w:rFonts w:eastAsia="Malgun Gothic"/>
          <w:color w:val="000000" w:themeColor="text1"/>
          <w:sz w:val="20"/>
          <w:szCs w:val="20"/>
        </w:rPr>
        <w:t xml:space="preserve"> </w:t>
      </w:r>
      <w:r w:rsidR="00CF339D" w:rsidRPr="00113DE2">
        <w:rPr>
          <w:rFonts w:eastAsia="Malgun Gothic"/>
          <w:color w:val="000000" w:themeColor="text1"/>
          <w:sz w:val="20"/>
          <w:szCs w:val="20"/>
        </w:rPr>
        <w:t>same</w:t>
      </w:r>
      <w:r w:rsidR="00FF41A0">
        <w:rPr>
          <w:rFonts w:eastAsia="Malgun Gothic"/>
          <w:color w:val="000000" w:themeColor="text1"/>
          <w:sz w:val="20"/>
          <w:szCs w:val="20"/>
        </w:rPr>
        <w:t xml:space="preserve"> </w:t>
      </w:r>
      <w:r w:rsidR="00CF339D" w:rsidRPr="00113DE2">
        <w:rPr>
          <w:rFonts w:eastAsia="Malgun Gothic"/>
          <w:color w:val="000000" w:themeColor="text1"/>
          <w:sz w:val="20"/>
          <w:szCs w:val="20"/>
        </w:rPr>
        <w:t>meeting,</w:t>
      </w:r>
      <w:r w:rsidR="00FF41A0">
        <w:rPr>
          <w:rFonts w:eastAsia="Malgun Gothic"/>
          <w:color w:val="000000" w:themeColor="text1"/>
          <w:sz w:val="20"/>
          <w:szCs w:val="20"/>
        </w:rPr>
        <w:t xml:space="preserve"> </w:t>
      </w:r>
      <w:r w:rsidR="00CF339D" w:rsidRPr="00113DE2">
        <w:rPr>
          <w:rFonts w:eastAsia="Malgun Gothic"/>
          <w:color w:val="000000" w:themeColor="text1"/>
          <w:sz w:val="20"/>
          <w:szCs w:val="20"/>
        </w:rPr>
        <w:t>the</w:t>
      </w:r>
      <w:r w:rsidR="00FF41A0">
        <w:rPr>
          <w:rFonts w:eastAsia="Malgun Gothic"/>
          <w:color w:val="000000" w:themeColor="text1"/>
          <w:sz w:val="20"/>
          <w:szCs w:val="20"/>
        </w:rPr>
        <w:t xml:space="preserve"> </w:t>
      </w:r>
      <w:r w:rsidR="00CF339D" w:rsidRPr="00113DE2">
        <w:rPr>
          <w:rFonts w:eastAsia="Malgun Gothic"/>
          <w:color w:val="000000" w:themeColor="text1"/>
          <w:sz w:val="20"/>
          <w:szCs w:val="20"/>
        </w:rPr>
        <w:t>following</w:t>
      </w:r>
      <w:r w:rsidR="00FF41A0">
        <w:rPr>
          <w:rFonts w:eastAsia="Malgun Gothic"/>
          <w:color w:val="000000" w:themeColor="text1"/>
          <w:sz w:val="20"/>
          <w:szCs w:val="20"/>
        </w:rPr>
        <w:t xml:space="preserve"> </w:t>
      </w:r>
      <w:r w:rsidR="00CF339D" w:rsidRPr="00113DE2">
        <w:rPr>
          <w:rFonts w:eastAsia="Malgun Gothic"/>
          <w:color w:val="000000" w:themeColor="text1"/>
          <w:sz w:val="20"/>
          <w:szCs w:val="20"/>
        </w:rPr>
        <w:t>made</w:t>
      </w:r>
      <w:r w:rsidR="00FF41A0">
        <w:rPr>
          <w:rFonts w:eastAsia="Malgun Gothic"/>
          <w:color w:val="000000" w:themeColor="text1"/>
          <w:sz w:val="20"/>
          <w:szCs w:val="20"/>
        </w:rPr>
        <w:t xml:space="preserve"> </w:t>
      </w:r>
      <w:r w:rsidR="00CF339D" w:rsidRPr="00113DE2">
        <w:rPr>
          <w:rFonts w:eastAsia="Malgun Gothic"/>
          <w:color w:val="000000" w:themeColor="text1"/>
          <w:sz w:val="20"/>
          <w:szCs w:val="20"/>
        </w:rPr>
        <w:t>their</w:t>
      </w:r>
      <w:r w:rsidR="00FF41A0">
        <w:rPr>
          <w:rFonts w:eastAsia="Malgun Gothic"/>
          <w:color w:val="000000" w:themeColor="text1"/>
          <w:sz w:val="20"/>
          <w:szCs w:val="20"/>
        </w:rPr>
        <w:t xml:space="preserve"> </w:t>
      </w:r>
      <w:r w:rsidR="00CF339D" w:rsidRPr="00113DE2">
        <w:rPr>
          <w:rFonts w:eastAsia="Malgun Gothic"/>
          <w:color w:val="000000" w:themeColor="text1"/>
          <w:sz w:val="20"/>
          <w:szCs w:val="20"/>
        </w:rPr>
        <w:t>statements:</w:t>
      </w:r>
      <w:r w:rsidR="00FF41A0">
        <w:rPr>
          <w:rFonts w:eastAsia="Malgun Gothic"/>
          <w:color w:val="000000" w:themeColor="text1"/>
          <w:sz w:val="20"/>
          <w:szCs w:val="20"/>
        </w:rPr>
        <w:t xml:space="preserve"> </w:t>
      </w:r>
      <w:r w:rsidR="009C4448">
        <w:rPr>
          <w:rFonts w:eastAsia="Malgun Gothic"/>
          <w:color w:val="000000" w:themeColor="text1"/>
          <w:sz w:val="20"/>
          <w:szCs w:val="20"/>
        </w:rPr>
        <w:t>the</w:t>
      </w:r>
      <w:r w:rsidR="00FF41A0">
        <w:rPr>
          <w:rFonts w:eastAsia="Malgun Gothic"/>
          <w:color w:val="000000" w:themeColor="text1"/>
          <w:sz w:val="20"/>
          <w:szCs w:val="20"/>
        </w:rPr>
        <w:t xml:space="preserve"> </w:t>
      </w:r>
      <w:r w:rsidR="009C4448" w:rsidRPr="009C4448">
        <w:rPr>
          <w:color w:val="000000" w:themeColor="text1"/>
          <w:sz w:val="20"/>
          <w:szCs w:val="20"/>
        </w:rPr>
        <w:t>Independent</w:t>
      </w:r>
      <w:r w:rsidR="00FF41A0">
        <w:rPr>
          <w:color w:val="000000" w:themeColor="text1"/>
          <w:sz w:val="20"/>
          <w:szCs w:val="20"/>
        </w:rPr>
        <w:t xml:space="preserve"> </w:t>
      </w:r>
      <w:r w:rsidR="009C4448" w:rsidRPr="009C4448">
        <w:rPr>
          <w:color w:val="000000" w:themeColor="text1"/>
          <w:sz w:val="20"/>
          <w:szCs w:val="20"/>
        </w:rPr>
        <w:t>Expert</w:t>
      </w:r>
      <w:r w:rsidR="00FF41A0">
        <w:rPr>
          <w:color w:val="000000" w:themeColor="text1"/>
          <w:sz w:val="20"/>
          <w:szCs w:val="20"/>
        </w:rPr>
        <w:t xml:space="preserve"> </w:t>
      </w:r>
      <w:r w:rsidR="009C4448" w:rsidRPr="009C4448">
        <w:rPr>
          <w:color w:val="000000" w:themeColor="text1"/>
          <w:sz w:val="20"/>
          <w:szCs w:val="20"/>
        </w:rPr>
        <w:t>on</w:t>
      </w:r>
      <w:r w:rsidR="00FF41A0">
        <w:rPr>
          <w:color w:val="000000" w:themeColor="text1"/>
          <w:sz w:val="20"/>
          <w:szCs w:val="20"/>
        </w:rPr>
        <w:t xml:space="preserve"> </w:t>
      </w:r>
      <w:r w:rsidR="009C4448" w:rsidRPr="009C4448">
        <w:rPr>
          <w:color w:val="000000" w:themeColor="text1"/>
          <w:sz w:val="20"/>
          <w:szCs w:val="20"/>
        </w:rPr>
        <w:t>the</w:t>
      </w:r>
      <w:r w:rsidR="00FF41A0">
        <w:rPr>
          <w:color w:val="000000" w:themeColor="text1"/>
          <w:sz w:val="20"/>
          <w:szCs w:val="20"/>
        </w:rPr>
        <w:t xml:space="preserve"> </w:t>
      </w:r>
      <w:r w:rsidR="009C4448" w:rsidRPr="009C4448">
        <w:rPr>
          <w:color w:val="000000" w:themeColor="text1"/>
          <w:sz w:val="20"/>
          <w:szCs w:val="20"/>
        </w:rPr>
        <w:t>situation</w:t>
      </w:r>
      <w:r w:rsidR="00FF41A0">
        <w:rPr>
          <w:color w:val="000000" w:themeColor="text1"/>
          <w:sz w:val="20"/>
          <w:szCs w:val="20"/>
        </w:rPr>
        <w:t xml:space="preserve"> </w:t>
      </w:r>
      <w:r w:rsidR="009C4448" w:rsidRPr="009C4448">
        <w:rPr>
          <w:color w:val="000000" w:themeColor="text1"/>
          <w:sz w:val="20"/>
          <w:szCs w:val="20"/>
        </w:rPr>
        <w:t>of</w:t>
      </w:r>
      <w:r w:rsidR="00FF41A0">
        <w:rPr>
          <w:color w:val="000000" w:themeColor="text1"/>
          <w:sz w:val="20"/>
          <w:szCs w:val="20"/>
        </w:rPr>
        <w:t xml:space="preserve"> </w:t>
      </w:r>
      <w:r w:rsidR="009C4448" w:rsidRPr="009C4448">
        <w:rPr>
          <w:color w:val="000000" w:themeColor="text1"/>
          <w:sz w:val="20"/>
          <w:szCs w:val="20"/>
        </w:rPr>
        <w:t>human</w:t>
      </w:r>
      <w:r w:rsidR="00FF41A0">
        <w:rPr>
          <w:color w:val="000000" w:themeColor="text1"/>
          <w:sz w:val="20"/>
          <w:szCs w:val="20"/>
        </w:rPr>
        <w:t xml:space="preserve"> </w:t>
      </w:r>
      <w:r w:rsidR="009C4448" w:rsidRPr="009C4448">
        <w:rPr>
          <w:color w:val="000000" w:themeColor="text1"/>
          <w:sz w:val="20"/>
          <w:szCs w:val="20"/>
        </w:rPr>
        <w:t>rights</w:t>
      </w:r>
      <w:r w:rsidR="00FF41A0">
        <w:rPr>
          <w:color w:val="000000" w:themeColor="text1"/>
          <w:sz w:val="20"/>
          <w:szCs w:val="20"/>
        </w:rPr>
        <w:t xml:space="preserve"> </w:t>
      </w:r>
      <w:r w:rsidR="009C4448" w:rsidRPr="009C4448">
        <w:rPr>
          <w:color w:val="000000" w:themeColor="text1"/>
          <w:sz w:val="20"/>
          <w:szCs w:val="20"/>
        </w:rPr>
        <w:t>in</w:t>
      </w:r>
      <w:r w:rsidR="00FF41A0">
        <w:rPr>
          <w:color w:val="000000" w:themeColor="text1"/>
          <w:sz w:val="20"/>
          <w:szCs w:val="20"/>
        </w:rPr>
        <w:t xml:space="preserve"> </w:t>
      </w:r>
      <w:r w:rsidR="009C4448" w:rsidRPr="009C4448">
        <w:rPr>
          <w:color w:val="000000" w:themeColor="text1"/>
          <w:sz w:val="20"/>
          <w:szCs w:val="20"/>
        </w:rPr>
        <w:t>the</w:t>
      </w:r>
      <w:r w:rsidR="00FF41A0">
        <w:rPr>
          <w:color w:val="000000" w:themeColor="text1"/>
          <w:sz w:val="20"/>
          <w:szCs w:val="20"/>
        </w:rPr>
        <w:t xml:space="preserve"> </w:t>
      </w:r>
      <w:r w:rsidR="009C4448" w:rsidRPr="009C4448">
        <w:rPr>
          <w:color w:val="000000" w:themeColor="text1"/>
          <w:sz w:val="20"/>
          <w:szCs w:val="20"/>
        </w:rPr>
        <w:t>Central</w:t>
      </w:r>
      <w:r w:rsidR="00FF41A0">
        <w:rPr>
          <w:color w:val="000000" w:themeColor="text1"/>
          <w:sz w:val="20"/>
          <w:szCs w:val="20"/>
        </w:rPr>
        <w:t xml:space="preserve"> </w:t>
      </w:r>
      <w:r w:rsidR="009C4448" w:rsidRPr="009C4448">
        <w:rPr>
          <w:color w:val="000000" w:themeColor="text1"/>
          <w:sz w:val="20"/>
          <w:szCs w:val="20"/>
        </w:rPr>
        <w:t>African</w:t>
      </w:r>
      <w:r w:rsidR="00FF41A0">
        <w:rPr>
          <w:color w:val="000000" w:themeColor="text1"/>
          <w:sz w:val="20"/>
          <w:szCs w:val="20"/>
        </w:rPr>
        <w:t xml:space="preserve"> </w:t>
      </w:r>
      <w:r w:rsidR="009C4448" w:rsidRPr="009C4448">
        <w:rPr>
          <w:color w:val="000000" w:themeColor="text1"/>
          <w:sz w:val="20"/>
          <w:szCs w:val="20"/>
        </w:rPr>
        <w:t>Republic</w:t>
      </w:r>
      <w:r w:rsidR="009C4448">
        <w:rPr>
          <w:color w:val="000000" w:themeColor="text1"/>
          <w:sz w:val="20"/>
          <w:szCs w:val="20"/>
        </w:rPr>
        <w:t>,</w:t>
      </w:r>
      <w:r w:rsidR="00FF41A0">
        <w:rPr>
          <w:color w:val="000000" w:themeColor="text1"/>
          <w:sz w:val="20"/>
          <w:szCs w:val="20"/>
        </w:rPr>
        <w:t xml:space="preserve"> </w:t>
      </w:r>
      <w:r w:rsidR="009C4448" w:rsidRPr="009C4448">
        <w:rPr>
          <w:color w:val="000000" w:themeColor="text1"/>
          <w:sz w:val="20"/>
          <w:szCs w:val="20"/>
        </w:rPr>
        <w:t>Marie-Thérèse</w:t>
      </w:r>
      <w:r w:rsidR="00FF41A0">
        <w:rPr>
          <w:color w:val="000000" w:themeColor="text1"/>
          <w:sz w:val="20"/>
          <w:szCs w:val="20"/>
        </w:rPr>
        <w:t xml:space="preserve"> </w:t>
      </w:r>
      <w:r w:rsidR="009C4448" w:rsidRPr="009C4448">
        <w:rPr>
          <w:color w:val="000000" w:themeColor="text1"/>
          <w:sz w:val="20"/>
          <w:szCs w:val="20"/>
        </w:rPr>
        <w:t>Keïta</w:t>
      </w:r>
      <w:r w:rsidR="00FF41A0">
        <w:rPr>
          <w:color w:val="000000" w:themeColor="text1"/>
          <w:sz w:val="20"/>
          <w:szCs w:val="20"/>
        </w:rPr>
        <w:t xml:space="preserve"> </w:t>
      </w:r>
      <w:r w:rsidR="009C4448" w:rsidRPr="009C4448">
        <w:rPr>
          <w:color w:val="000000" w:themeColor="text1"/>
          <w:sz w:val="20"/>
          <w:szCs w:val="20"/>
        </w:rPr>
        <w:t>Bocoum;</w:t>
      </w:r>
      <w:r w:rsidR="00FF41A0">
        <w:rPr>
          <w:color w:val="000000" w:themeColor="text1"/>
          <w:sz w:val="20"/>
          <w:szCs w:val="20"/>
        </w:rPr>
        <w:t xml:space="preserve"> </w:t>
      </w:r>
      <w:r w:rsidR="009C4448">
        <w:rPr>
          <w:color w:val="000000" w:themeColor="text1"/>
          <w:sz w:val="20"/>
          <w:szCs w:val="20"/>
        </w:rPr>
        <w:t>the</w:t>
      </w:r>
      <w:r w:rsidR="00FF41A0">
        <w:rPr>
          <w:color w:val="000000" w:themeColor="text1"/>
          <w:sz w:val="20"/>
          <w:szCs w:val="20"/>
        </w:rPr>
        <w:t xml:space="preserve"> </w:t>
      </w:r>
      <w:r w:rsidR="009C4448" w:rsidRPr="009C4448">
        <w:rPr>
          <w:color w:val="000000" w:themeColor="text1"/>
          <w:sz w:val="20"/>
          <w:szCs w:val="20"/>
        </w:rPr>
        <w:t>Chief</w:t>
      </w:r>
      <w:r w:rsidR="00FF41A0">
        <w:rPr>
          <w:color w:val="000000" w:themeColor="text1"/>
          <w:sz w:val="20"/>
          <w:szCs w:val="20"/>
        </w:rPr>
        <w:t xml:space="preserve"> </w:t>
      </w:r>
      <w:r w:rsidR="009C4448" w:rsidRPr="009C4448">
        <w:rPr>
          <w:color w:val="000000" w:themeColor="text1"/>
          <w:sz w:val="20"/>
          <w:szCs w:val="20"/>
        </w:rPr>
        <w:t>of</w:t>
      </w:r>
      <w:r w:rsidR="00FF41A0">
        <w:rPr>
          <w:color w:val="000000" w:themeColor="text1"/>
          <w:sz w:val="20"/>
          <w:szCs w:val="20"/>
        </w:rPr>
        <w:t xml:space="preserve"> </w:t>
      </w:r>
      <w:r w:rsidR="009C4448" w:rsidRPr="009C4448">
        <w:rPr>
          <w:color w:val="000000" w:themeColor="text1"/>
          <w:sz w:val="20"/>
          <w:szCs w:val="20"/>
        </w:rPr>
        <w:t>the</w:t>
      </w:r>
      <w:r w:rsidR="00FF41A0">
        <w:rPr>
          <w:color w:val="000000" w:themeColor="text1"/>
          <w:sz w:val="20"/>
          <w:szCs w:val="20"/>
        </w:rPr>
        <w:t xml:space="preserve"> </w:t>
      </w:r>
      <w:r w:rsidR="009C4448" w:rsidRPr="009C4448">
        <w:rPr>
          <w:color w:val="000000" w:themeColor="text1"/>
          <w:sz w:val="20"/>
          <w:szCs w:val="20"/>
        </w:rPr>
        <w:t>Human</w:t>
      </w:r>
      <w:r w:rsidR="00FF41A0">
        <w:rPr>
          <w:color w:val="000000" w:themeColor="text1"/>
          <w:sz w:val="20"/>
          <w:szCs w:val="20"/>
        </w:rPr>
        <w:t xml:space="preserve"> </w:t>
      </w:r>
      <w:r w:rsidR="009C4448" w:rsidRPr="009C4448">
        <w:rPr>
          <w:color w:val="000000" w:themeColor="text1"/>
          <w:sz w:val="20"/>
          <w:szCs w:val="20"/>
        </w:rPr>
        <w:t>Rights</w:t>
      </w:r>
      <w:r w:rsidR="00FF41A0">
        <w:rPr>
          <w:color w:val="000000" w:themeColor="text1"/>
          <w:sz w:val="20"/>
          <w:szCs w:val="20"/>
        </w:rPr>
        <w:t xml:space="preserve"> </w:t>
      </w:r>
      <w:r w:rsidR="009C4448" w:rsidRPr="009C4448">
        <w:rPr>
          <w:color w:val="000000" w:themeColor="text1"/>
          <w:sz w:val="20"/>
          <w:szCs w:val="20"/>
        </w:rPr>
        <w:t>Division</w:t>
      </w:r>
      <w:r w:rsidR="00FF41A0">
        <w:rPr>
          <w:color w:val="000000" w:themeColor="text1"/>
          <w:sz w:val="20"/>
          <w:szCs w:val="20"/>
        </w:rPr>
        <w:t xml:space="preserve"> </w:t>
      </w:r>
      <w:r w:rsidR="009C4448" w:rsidRPr="009C4448">
        <w:rPr>
          <w:color w:val="000000" w:themeColor="text1"/>
          <w:sz w:val="20"/>
          <w:szCs w:val="20"/>
        </w:rPr>
        <w:t>of</w:t>
      </w:r>
      <w:r w:rsidR="00FF41A0">
        <w:rPr>
          <w:color w:val="000000" w:themeColor="text1"/>
          <w:sz w:val="20"/>
          <w:szCs w:val="20"/>
        </w:rPr>
        <w:t xml:space="preserve"> </w:t>
      </w:r>
      <w:r w:rsidR="009C4448" w:rsidRPr="009C4448">
        <w:rPr>
          <w:color w:val="000000" w:themeColor="text1"/>
          <w:sz w:val="20"/>
          <w:szCs w:val="20"/>
        </w:rPr>
        <w:t>MINUSCA</w:t>
      </w:r>
      <w:r w:rsidR="00FF41A0">
        <w:rPr>
          <w:color w:val="000000" w:themeColor="text1"/>
          <w:sz w:val="20"/>
          <w:szCs w:val="20"/>
        </w:rPr>
        <w:t xml:space="preserve"> </w:t>
      </w:r>
      <w:r w:rsidR="009C4448" w:rsidRPr="009C4448">
        <w:rPr>
          <w:color w:val="000000" w:themeColor="text1"/>
          <w:sz w:val="20"/>
          <w:szCs w:val="20"/>
        </w:rPr>
        <w:t>and</w:t>
      </w:r>
      <w:r w:rsidR="00FF41A0">
        <w:rPr>
          <w:color w:val="000000" w:themeColor="text1"/>
          <w:sz w:val="20"/>
          <w:szCs w:val="20"/>
        </w:rPr>
        <w:t xml:space="preserve"> </w:t>
      </w:r>
      <w:r w:rsidR="009C4448" w:rsidRPr="009C4448">
        <w:rPr>
          <w:color w:val="000000" w:themeColor="text1"/>
          <w:sz w:val="20"/>
          <w:szCs w:val="20"/>
        </w:rPr>
        <w:t>Representative</w:t>
      </w:r>
      <w:r w:rsidR="00FF41A0">
        <w:rPr>
          <w:color w:val="000000" w:themeColor="text1"/>
          <w:sz w:val="20"/>
          <w:szCs w:val="20"/>
        </w:rPr>
        <w:t xml:space="preserve"> </w:t>
      </w:r>
      <w:r w:rsidR="009C4448" w:rsidRPr="009C4448">
        <w:rPr>
          <w:color w:val="000000" w:themeColor="text1"/>
          <w:sz w:val="20"/>
          <w:szCs w:val="20"/>
        </w:rPr>
        <w:t>of</w:t>
      </w:r>
      <w:r w:rsidR="00FF41A0">
        <w:rPr>
          <w:color w:val="000000" w:themeColor="text1"/>
          <w:sz w:val="20"/>
          <w:szCs w:val="20"/>
        </w:rPr>
        <w:t xml:space="preserve"> </w:t>
      </w:r>
      <w:r w:rsidR="004B7C70">
        <w:rPr>
          <w:sz w:val="20"/>
          <w:szCs w:val="20"/>
        </w:rPr>
        <w:t>the</w:t>
      </w:r>
      <w:r w:rsidR="00FF41A0">
        <w:rPr>
          <w:sz w:val="20"/>
          <w:szCs w:val="20"/>
        </w:rPr>
        <w:t xml:space="preserve"> </w:t>
      </w:r>
      <w:r w:rsidR="004B7C70" w:rsidRPr="00805366">
        <w:rPr>
          <w:color w:val="000000" w:themeColor="text1"/>
          <w:sz w:val="20"/>
          <w:szCs w:val="20"/>
        </w:rPr>
        <w:t>Office</w:t>
      </w:r>
      <w:r w:rsidR="00FF41A0">
        <w:rPr>
          <w:color w:val="000000" w:themeColor="text1"/>
          <w:sz w:val="20"/>
          <w:szCs w:val="20"/>
        </w:rPr>
        <w:t xml:space="preserve"> </w:t>
      </w:r>
      <w:r w:rsidR="004B7C70" w:rsidRPr="00805366">
        <w:rPr>
          <w:color w:val="000000" w:themeColor="text1"/>
          <w:sz w:val="20"/>
          <w:szCs w:val="20"/>
        </w:rPr>
        <w:t>of</w:t>
      </w:r>
      <w:r w:rsidR="00FF41A0">
        <w:rPr>
          <w:color w:val="000000" w:themeColor="text1"/>
          <w:sz w:val="20"/>
          <w:szCs w:val="20"/>
        </w:rPr>
        <w:t xml:space="preserve"> </w:t>
      </w:r>
      <w:r w:rsidR="004B7C70" w:rsidRPr="00805366">
        <w:rPr>
          <w:color w:val="000000" w:themeColor="text1"/>
          <w:sz w:val="20"/>
          <w:szCs w:val="20"/>
        </w:rPr>
        <w:t>the</w:t>
      </w:r>
      <w:r w:rsidR="00FF41A0">
        <w:rPr>
          <w:color w:val="000000" w:themeColor="text1"/>
          <w:sz w:val="20"/>
          <w:szCs w:val="20"/>
        </w:rPr>
        <w:t xml:space="preserve"> </w:t>
      </w:r>
      <w:r w:rsidR="004B7C70" w:rsidRPr="00805366">
        <w:rPr>
          <w:color w:val="000000" w:themeColor="text1"/>
          <w:sz w:val="20"/>
          <w:szCs w:val="20"/>
        </w:rPr>
        <w:t>United</w:t>
      </w:r>
      <w:r w:rsidR="00FF41A0">
        <w:rPr>
          <w:color w:val="000000" w:themeColor="text1"/>
          <w:sz w:val="20"/>
          <w:szCs w:val="20"/>
        </w:rPr>
        <w:t xml:space="preserve"> </w:t>
      </w:r>
      <w:r w:rsidR="004B7C70" w:rsidRPr="00805366">
        <w:rPr>
          <w:color w:val="000000" w:themeColor="text1"/>
          <w:sz w:val="20"/>
          <w:szCs w:val="20"/>
        </w:rPr>
        <w:t>Nations</w:t>
      </w:r>
      <w:r w:rsidR="00FF41A0">
        <w:rPr>
          <w:color w:val="000000" w:themeColor="text1"/>
          <w:sz w:val="20"/>
          <w:szCs w:val="20"/>
        </w:rPr>
        <w:t xml:space="preserve"> </w:t>
      </w:r>
      <w:r w:rsidR="004B7C70" w:rsidRPr="00805366">
        <w:rPr>
          <w:color w:val="000000" w:themeColor="text1"/>
          <w:sz w:val="20"/>
          <w:szCs w:val="20"/>
        </w:rPr>
        <w:t>High</w:t>
      </w:r>
      <w:r w:rsidR="00FF41A0">
        <w:rPr>
          <w:color w:val="000000" w:themeColor="text1"/>
          <w:sz w:val="20"/>
          <w:szCs w:val="20"/>
        </w:rPr>
        <w:t xml:space="preserve"> </w:t>
      </w:r>
      <w:r w:rsidR="004B7C70" w:rsidRPr="00805366">
        <w:rPr>
          <w:color w:val="000000" w:themeColor="text1"/>
          <w:sz w:val="20"/>
          <w:szCs w:val="20"/>
        </w:rPr>
        <w:t>Commissioner</w:t>
      </w:r>
      <w:r w:rsidR="00FF41A0">
        <w:rPr>
          <w:color w:val="000000" w:themeColor="text1"/>
          <w:sz w:val="20"/>
          <w:szCs w:val="20"/>
        </w:rPr>
        <w:t xml:space="preserve"> </w:t>
      </w:r>
      <w:r w:rsidR="004B7C70" w:rsidRPr="00805366">
        <w:rPr>
          <w:color w:val="000000" w:themeColor="text1"/>
          <w:sz w:val="20"/>
          <w:szCs w:val="20"/>
        </w:rPr>
        <w:t>for</w:t>
      </w:r>
      <w:r w:rsidR="00FF41A0">
        <w:rPr>
          <w:color w:val="000000" w:themeColor="text1"/>
          <w:sz w:val="20"/>
          <w:szCs w:val="20"/>
        </w:rPr>
        <w:t xml:space="preserve"> </w:t>
      </w:r>
      <w:r w:rsidR="004B7C70" w:rsidRPr="00805366">
        <w:rPr>
          <w:color w:val="000000" w:themeColor="text1"/>
          <w:sz w:val="20"/>
          <w:szCs w:val="20"/>
        </w:rPr>
        <w:t>Human</w:t>
      </w:r>
      <w:r w:rsidR="00FF41A0">
        <w:rPr>
          <w:color w:val="000000" w:themeColor="text1"/>
          <w:sz w:val="20"/>
          <w:szCs w:val="20"/>
        </w:rPr>
        <w:t xml:space="preserve"> </w:t>
      </w:r>
      <w:r w:rsidR="004B7C70" w:rsidRPr="00805366">
        <w:rPr>
          <w:color w:val="000000" w:themeColor="text1"/>
          <w:sz w:val="20"/>
          <w:szCs w:val="20"/>
        </w:rPr>
        <w:t>Rights</w:t>
      </w:r>
      <w:r w:rsidR="00FF41A0">
        <w:rPr>
          <w:sz w:val="20"/>
          <w:szCs w:val="20"/>
        </w:rPr>
        <w:t xml:space="preserve"> </w:t>
      </w:r>
      <w:r w:rsidR="009C4448" w:rsidRPr="009C4448">
        <w:rPr>
          <w:color w:val="000000" w:themeColor="text1"/>
          <w:sz w:val="20"/>
          <w:szCs w:val="20"/>
        </w:rPr>
        <w:t>in</w:t>
      </w:r>
      <w:r w:rsidR="00FF41A0">
        <w:rPr>
          <w:color w:val="000000" w:themeColor="text1"/>
          <w:sz w:val="20"/>
          <w:szCs w:val="20"/>
        </w:rPr>
        <w:t xml:space="preserve"> </w:t>
      </w:r>
      <w:r w:rsidR="009C4448" w:rsidRPr="009C4448">
        <w:rPr>
          <w:color w:val="000000" w:themeColor="text1"/>
          <w:sz w:val="20"/>
          <w:szCs w:val="20"/>
        </w:rPr>
        <w:t>the</w:t>
      </w:r>
      <w:r w:rsidR="00FF41A0">
        <w:rPr>
          <w:color w:val="000000" w:themeColor="text1"/>
          <w:sz w:val="20"/>
          <w:szCs w:val="20"/>
        </w:rPr>
        <w:t xml:space="preserve"> </w:t>
      </w:r>
      <w:r w:rsidR="004B7C70">
        <w:rPr>
          <w:color w:val="000000" w:themeColor="text1"/>
          <w:sz w:val="20"/>
          <w:szCs w:val="20"/>
        </w:rPr>
        <w:t>the</w:t>
      </w:r>
      <w:r w:rsidR="00FF41A0">
        <w:rPr>
          <w:color w:val="000000" w:themeColor="text1"/>
          <w:sz w:val="20"/>
          <w:szCs w:val="20"/>
        </w:rPr>
        <w:t xml:space="preserve"> </w:t>
      </w:r>
      <w:r w:rsidR="009C4448" w:rsidRPr="009C4448">
        <w:rPr>
          <w:color w:val="000000" w:themeColor="text1"/>
          <w:sz w:val="20"/>
          <w:szCs w:val="20"/>
        </w:rPr>
        <w:t>Central</w:t>
      </w:r>
      <w:r w:rsidR="00FF41A0">
        <w:rPr>
          <w:color w:val="000000" w:themeColor="text1"/>
          <w:sz w:val="20"/>
          <w:szCs w:val="20"/>
        </w:rPr>
        <w:t xml:space="preserve"> </w:t>
      </w:r>
      <w:r w:rsidR="009C4448" w:rsidRPr="009C4448">
        <w:rPr>
          <w:color w:val="000000" w:themeColor="text1"/>
          <w:sz w:val="20"/>
          <w:szCs w:val="20"/>
        </w:rPr>
        <w:t>African</w:t>
      </w:r>
      <w:r w:rsidR="00FF41A0">
        <w:rPr>
          <w:color w:val="000000" w:themeColor="text1"/>
          <w:sz w:val="20"/>
          <w:szCs w:val="20"/>
        </w:rPr>
        <w:t xml:space="preserve"> </w:t>
      </w:r>
      <w:r w:rsidR="009C4448" w:rsidRPr="009C4448">
        <w:rPr>
          <w:color w:val="000000" w:themeColor="text1"/>
          <w:sz w:val="20"/>
          <w:szCs w:val="20"/>
        </w:rPr>
        <w:t>Republic</w:t>
      </w:r>
      <w:r w:rsidR="009C4448">
        <w:rPr>
          <w:color w:val="000000" w:themeColor="text1"/>
          <w:sz w:val="20"/>
          <w:szCs w:val="20"/>
        </w:rPr>
        <w:t>,</w:t>
      </w:r>
      <w:r w:rsidR="00FF41A0">
        <w:rPr>
          <w:color w:val="000000" w:themeColor="text1"/>
          <w:sz w:val="20"/>
          <w:szCs w:val="20"/>
        </w:rPr>
        <w:t xml:space="preserve"> </w:t>
      </w:r>
      <w:r w:rsidR="009C4448" w:rsidRPr="009C4448">
        <w:rPr>
          <w:color w:val="000000" w:themeColor="text1"/>
          <w:sz w:val="20"/>
          <w:szCs w:val="20"/>
        </w:rPr>
        <w:t>Musa</w:t>
      </w:r>
      <w:r w:rsidR="00FF41A0">
        <w:rPr>
          <w:color w:val="000000" w:themeColor="text1"/>
          <w:sz w:val="20"/>
          <w:szCs w:val="20"/>
        </w:rPr>
        <w:t xml:space="preserve"> </w:t>
      </w:r>
      <w:r w:rsidR="009C4448" w:rsidRPr="009C4448">
        <w:rPr>
          <w:color w:val="000000" w:themeColor="text1"/>
          <w:sz w:val="20"/>
          <w:szCs w:val="20"/>
        </w:rPr>
        <w:t>Yerro</w:t>
      </w:r>
      <w:r w:rsidR="00FF41A0">
        <w:rPr>
          <w:color w:val="000000" w:themeColor="text1"/>
          <w:sz w:val="20"/>
          <w:szCs w:val="20"/>
        </w:rPr>
        <w:t xml:space="preserve"> </w:t>
      </w:r>
      <w:r w:rsidR="009C4448" w:rsidRPr="009C4448">
        <w:rPr>
          <w:color w:val="000000" w:themeColor="text1"/>
          <w:sz w:val="20"/>
          <w:szCs w:val="20"/>
        </w:rPr>
        <w:t>Gassama</w:t>
      </w:r>
      <w:r w:rsidR="009C4448">
        <w:rPr>
          <w:color w:val="000000" w:themeColor="text1"/>
          <w:sz w:val="20"/>
          <w:szCs w:val="20"/>
        </w:rPr>
        <w:t>;</w:t>
      </w:r>
      <w:r w:rsidR="00FF41A0">
        <w:rPr>
          <w:color w:val="000000" w:themeColor="text1"/>
          <w:sz w:val="20"/>
          <w:szCs w:val="20"/>
        </w:rPr>
        <w:t xml:space="preserve"> </w:t>
      </w:r>
      <w:r w:rsidR="009C4448">
        <w:rPr>
          <w:color w:val="000000" w:themeColor="text1"/>
          <w:sz w:val="20"/>
          <w:szCs w:val="20"/>
        </w:rPr>
        <w:t>the</w:t>
      </w:r>
      <w:r w:rsidR="00FF41A0">
        <w:rPr>
          <w:color w:val="000000" w:themeColor="text1"/>
          <w:sz w:val="20"/>
          <w:szCs w:val="20"/>
        </w:rPr>
        <w:t xml:space="preserve"> </w:t>
      </w:r>
      <w:r w:rsidR="009C4448" w:rsidRPr="009C4448">
        <w:rPr>
          <w:color w:val="000000" w:themeColor="text1"/>
          <w:sz w:val="20"/>
          <w:szCs w:val="20"/>
        </w:rPr>
        <w:t>Ambassador</w:t>
      </w:r>
      <w:r w:rsidR="00FF41A0">
        <w:rPr>
          <w:color w:val="000000" w:themeColor="text1"/>
          <w:sz w:val="20"/>
          <w:szCs w:val="20"/>
        </w:rPr>
        <w:t xml:space="preserve"> </w:t>
      </w:r>
      <w:r w:rsidR="009C4448" w:rsidRPr="009C4448">
        <w:rPr>
          <w:color w:val="000000" w:themeColor="text1"/>
          <w:sz w:val="20"/>
          <w:szCs w:val="20"/>
        </w:rPr>
        <w:t>and</w:t>
      </w:r>
      <w:r w:rsidR="00FF41A0">
        <w:rPr>
          <w:color w:val="000000" w:themeColor="text1"/>
          <w:sz w:val="20"/>
          <w:szCs w:val="20"/>
        </w:rPr>
        <w:t xml:space="preserve"> </w:t>
      </w:r>
      <w:r w:rsidR="009C4448" w:rsidRPr="009C4448">
        <w:rPr>
          <w:color w:val="000000" w:themeColor="text1"/>
          <w:sz w:val="20"/>
          <w:szCs w:val="20"/>
        </w:rPr>
        <w:t>Permanent</w:t>
      </w:r>
      <w:r w:rsidR="00FF41A0">
        <w:rPr>
          <w:color w:val="000000" w:themeColor="text1"/>
          <w:sz w:val="20"/>
          <w:szCs w:val="20"/>
        </w:rPr>
        <w:t xml:space="preserve"> </w:t>
      </w:r>
      <w:r w:rsidR="009C4448" w:rsidRPr="009C4448">
        <w:rPr>
          <w:color w:val="000000" w:themeColor="text1"/>
          <w:sz w:val="20"/>
          <w:szCs w:val="20"/>
        </w:rPr>
        <w:t>Representative</w:t>
      </w:r>
      <w:r w:rsidR="00FF41A0">
        <w:rPr>
          <w:color w:val="000000" w:themeColor="text1"/>
          <w:sz w:val="20"/>
          <w:szCs w:val="20"/>
        </w:rPr>
        <w:t xml:space="preserve"> </w:t>
      </w:r>
      <w:r w:rsidR="009C4448" w:rsidRPr="009C4448">
        <w:rPr>
          <w:color w:val="000000" w:themeColor="text1"/>
          <w:sz w:val="20"/>
          <w:szCs w:val="20"/>
        </w:rPr>
        <w:t>of</w:t>
      </w:r>
      <w:r w:rsidR="00FF41A0">
        <w:rPr>
          <w:color w:val="000000" w:themeColor="text1"/>
          <w:sz w:val="20"/>
          <w:szCs w:val="20"/>
        </w:rPr>
        <w:t xml:space="preserve"> </w:t>
      </w:r>
      <w:r w:rsidR="009C4448" w:rsidRPr="009C4448">
        <w:rPr>
          <w:color w:val="000000" w:themeColor="text1"/>
          <w:sz w:val="20"/>
          <w:szCs w:val="20"/>
        </w:rPr>
        <w:t>the</w:t>
      </w:r>
      <w:r w:rsidR="00FF41A0">
        <w:rPr>
          <w:color w:val="000000" w:themeColor="text1"/>
          <w:sz w:val="20"/>
          <w:szCs w:val="20"/>
        </w:rPr>
        <w:t xml:space="preserve"> </w:t>
      </w:r>
      <w:r w:rsidR="009C4448" w:rsidRPr="009C4448">
        <w:rPr>
          <w:color w:val="000000" w:themeColor="text1"/>
          <w:sz w:val="20"/>
          <w:szCs w:val="20"/>
        </w:rPr>
        <w:t>Central</w:t>
      </w:r>
      <w:r w:rsidR="00FF41A0">
        <w:rPr>
          <w:color w:val="000000" w:themeColor="text1"/>
          <w:sz w:val="20"/>
          <w:szCs w:val="20"/>
        </w:rPr>
        <w:t xml:space="preserve"> </w:t>
      </w:r>
      <w:r w:rsidR="009C4448" w:rsidRPr="009C4448">
        <w:rPr>
          <w:color w:val="000000" w:themeColor="text1"/>
          <w:sz w:val="20"/>
          <w:szCs w:val="20"/>
        </w:rPr>
        <w:t>African</w:t>
      </w:r>
      <w:r w:rsidR="00FF41A0">
        <w:rPr>
          <w:color w:val="000000" w:themeColor="text1"/>
          <w:sz w:val="20"/>
          <w:szCs w:val="20"/>
        </w:rPr>
        <w:t xml:space="preserve"> </w:t>
      </w:r>
      <w:r w:rsidR="009C4448" w:rsidRPr="009C4448">
        <w:rPr>
          <w:color w:val="000000" w:themeColor="text1"/>
          <w:sz w:val="20"/>
          <w:szCs w:val="20"/>
        </w:rPr>
        <w:t>Republic</w:t>
      </w:r>
      <w:r w:rsidR="00FF41A0">
        <w:rPr>
          <w:color w:val="000000" w:themeColor="text1"/>
          <w:sz w:val="20"/>
          <w:szCs w:val="20"/>
        </w:rPr>
        <w:t xml:space="preserve"> </w:t>
      </w:r>
      <w:r w:rsidR="009C4448" w:rsidRPr="009C4448">
        <w:rPr>
          <w:color w:val="000000" w:themeColor="text1"/>
          <w:sz w:val="20"/>
          <w:szCs w:val="20"/>
        </w:rPr>
        <w:t>in</w:t>
      </w:r>
      <w:r w:rsidR="00FF41A0">
        <w:rPr>
          <w:color w:val="000000" w:themeColor="text1"/>
          <w:sz w:val="20"/>
          <w:szCs w:val="20"/>
        </w:rPr>
        <w:t xml:space="preserve"> </w:t>
      </w:r>
      <w:r w:rsidR="009C4448" w:rsidRPr="009C4448">
        <w:rPr>
          <w:color w:val="000000" w:themeColor="text1"/>
          <w:sz w:val="20"/>
          <w:szCs w:val="20"/>
        </w:rPr>
        <w:t>Geneva</w:t>
      </w:r>
      <w:r w:rsidR="009C4448">
        <w:rPr>
          <w:color w:val="000000" w:themeColor="text1"/>
          <w:sz w:val="20"/>
          <w:szCs w:val="20"/>
        </w:rPr>
        <w:t>,</w:t>
      </w:r>
      <w:r w:rsidR="00FF41A0">
        <w:rPr>
          <w:color w:val="000000" w:themeColor="text1"/>
          <w:sz w:val="20"/>
          <w:szCs w:val="20"/>
        </w:rPr>
        <w:t xml:space="preserve"> </w:t>
      </w:r>
      <w:r w:rsidR="009C4448" w:rsidRPr="009C4448">
        <w:rPr>
          <w:color w:val="000000" w:themeColor="text1"/>
          <w:sz w:val="20"/>
          <w:szCs w:val="20"/>
        </w:rPr>
        <w:t>Ismael</w:t>
      </w:r>
      <w:r w:rsidR="00FF41A0">
        <w:rPr>
          <w:color w:val="000000" w:themeColor="text1"/>
          <w:sz w:val="20"/>
          <w:szCs w:val="20"/>
        </w:rPr>
        <w:t xml:space="preserve"> </w:t>
      </w:r>
      <w:r w:rsidR="009C4448" w:rsidRPr="009C4448">
        <w:rPr>
          <w:color w:val="000000" w:themeColor="text1"/>
          <w:sz w:val="20"/>
          <w:szCs w:val="20"/>
        </w:rPr>
        <w:t>Leopold</w:t>
      </w:r>
      <w:r w:rsidR="00FF41A0">
        <w:rPr>
          <w:color w:val="000000" w:themeColor="text1"/>
          <w:sz w:val="20"/>
          <w:szCs w:val="20"/>
        </w:rPr>
        <w:t xml:space="preserve"> </w:t>
      </w:r>
      <w:r w:rsidR="009C4448" w:rsidRPr="009C4448">
        <w:rPr>
          <w:color w:val="000000" w:themeColor="text1"/>
          <w:sz w:val="20"/>
          <w:szCs w:val="20"/>
        </w:rPr>
        <w:t>Samba.</w:t>
      </w:r>
      <w:r w:rsidR="00FF41A0">
        <w:rPr>
          <w:color w:val="000000" w:themeColor="text1"/>
          <w:sz w:val="20"/>
          <w:szCs w:val="20"/>
        </w:rPr>
        <w:t xml:space="preserve"> </w:t>
      </w:r>
    </w:p>
    <w:p w14:paraId="683AE735" w14:textId="67B85700" w:rsidR="00106E2C" w:rsidRPr="00113DE2" w:rsidRDefault="00CF15B1" w:rsidP="00106E2C">
      <w:pPr>
        <w:pStyle w:val="SingleTxtG"/>
        <w:rPr>
          <w:color w:val="000000" w:themeColor="text1"/>
          <w:sz w:val="20"/>
          <w:szCs w:val="20"/>
        </w:rPr>
      </w:pPr>
      <w:r>
        <w:rPr>
          <w:color w:val="000000" w:themeColor="text1"/>
          <w:sz w:val="20"/>
          <w:szCs w:val="20"/>
        </w:rPr>
        <w:t>982</w:t>
      </w:r>
      <w:r w:rsidR="00106E2C" w:rsidRPr="00113DE2">
        <w:rPr>
          <w:color w:val="000000" w:themeColor="text1"/>
          <w:sz w:val="20"/>
          <w:szCs w:val="20"/>
        </w:rPr>
        <w:t>.</w:t>
      </w:r>
      <w:r w:rsidR="00106E2C" w:rsidRPr="00113DE2">
        <w:rPr>
          <w:color w:val="000000" w:themeColor="text1"/>
          <w:sz w:val="20"/>
          <w:szCs w:val="20"/>
        </w:rPr>
        <w:tab/>
        <w:t>During</w:t>
      </w:r>
      <w:r w:rsidR="00FF41A0">
        <w:rPr>
          <w:color w:val="000000" w:themeColor="text1"/>
          <w:sz w:val="20"/>
          <w:szCs w:val="20"/>
        </w:rPr>
        <w:t xml:space="preserve"> </w:t>
      </w:r>
      <w:r w:rsidR="00106E2C" w:rsidRPr="00113DE2">
        <w:rPr>
          <w:color w:val="000000" w:themeColor="text1"/>
          <w:sz w:val="20"/>
          <w:szCs w:val="20"/>
        </w:rPr>
        <w:t>the</w:t>
      </w:r>
      <w:r w:rsidR="00FF41A0">
        <w:rPr>
          <w:color w:val="000000" w:themeColor="text1"/>
          <w:sz w:val="20"/>
          <w:szCs w:val="20"/>
        </w:rPr>
        <w:t xml:space="preserve"> </w:t>
      </w:r>
      <w:r w:rsidR="00106E2C" w:rsidRPr="00113DE2">
        <w:rPr>
          <w:color w:val="000000" w:themeColor="text1"/>
          <w:sz w:val="20"/>
          <w:szCs w:val="20"/>
        </w:rPr>
        <w:t>ensuing</w:t>
      </w:r>
      <w:r w:rsidR="00FF41A0">
        <w:rPr>
          <w:color w:val="000000" w:themeColor="text1"/>
          <w:sz w:val="20"/>
          <w:szCs w:val="20"/>
        </w:rPr>
        <w:t xml:space="preserve"> </w:t>
      </w:r>
      <w:r w:rsidR="00106E2C" w:rsidRPr="00113DE2">
        <w:rPr>
          <w:color w:val="000000" w:themeColor="text1"/>
          <w:sz w:val="20"/>
          <w:szCs w:val="20"/>
        </w:rPr>
        <w:t>interactive</w:t>
      </w:r>
      <w:r w:rsidR="00FF41A0">
        <w:rPr>
          <w:color w:val="000000" w:themeColor="text1"/>
          <w:sz w:val="20"/>
          <w:szCs w:val="20"/>
        </w:rPr>
        <w:t xml:space="preserve"> </w:t>
      </w:r>
      <w:r w:rsidR="00106E2C" w:rsidRPr="00113DE2">
        <w:rPr>
          <w:color w:val="000000" w:themeColor="text1"/>
          <w:sz w:val="20"/>
          <w:szCs w:val="20"/>
        </w:rPr>
        <w:t>dialogue,</w:t>
      </w:r>
      <w:r w:rsidR="00FF41A0">
        <w:rPr>
          <w:color w:val="000000" w:themeColor="text1"/>
          <w:sz w:val="20"/>
          <w:szCs w:val="20"/>
        </w:rPr>
        <w:t xml:space="preserve"> </w:t>
      </w:r>
      <w:r w:rsidR="00106E2C" w:rsidRPr="009C4448">
        <w:rPr>
          <w:color w:val="000000" w:themeColor="text1"/>
          <w:sz w:val="20"/>
          <w:szCs w:val="20"/>
        </w:rPr>
        <w:t>at</w:t>
      </w:r>
      <w:r w:rsidR="00FF41A0">
        <w:rPr>
          <w:color w:val="000000" w:themeColor="text1"/>
          <w:sz w:val="20"/>
          <w:szCs w:val="20"/>
        </w:rPr>
        <w:t xml:space="preserve"> </w:t>
      </w:r>
      <w:r w:rsidR="00106E2C" w:rsidRPr="009C4448">
        <w:rPr>
          <w:color w:val="000000" w:themeColor="text1"/>
          <w:sz w:val="20"/>
          <w:szCs w:val="20"/>
        </w:rPr>
        <w:t>the</w:t>
      </w:r>
      <w:r w:rsidR="00FF41A0">
        <w:rPr>
          <w:color w:val="000000" w:themeColor="text1"/>
          <w:sz w:val="20"/>
          <w:szCs w:val="20"/>
        </w:rPr>
        <w:t xml:space="preserve"> </w:t>
      </w:r>
      <w:r w:rsidR="00106E2C" w:rsidRPr="009C4448">
        <w:rPr>
          <w:color w:val="000000" w:themeColor="text1"/>
          <w:sz w:val="20"/>
          <w:szCs w:val="20"/>
        </w:rPr>
        <w:t>same</w:t>
      </w:r>
      <w:r w:rsidR="00FF41A0">
        <w:rPr>
          <w:color w:val="000000" w:themeColor="text1"/>
          <w:sz w:val="20"/>
          <w:szCs w:val="20"/>
        </w:rPr>
        <w:t xml:space="preserve"> </w:t>
      </w:r>
      <w:r w:rsidR="00106E2C" w:rsidRPr="009C4448">
        <w:rPr>
          <w:color w:val="000000" w:themeColor="text1"/>
          <w:sz w:val="20"/>
          <w:szCs w:val="20"/>
        </w:rPr>
        <w:t>meeting,</w:t>
      </w:r>
      <w:r w:rsidR="00FF41A0">
        <w:rPr>
          <w:color w:val="000000" w:themeColor="text1"/>
          <w:sz w:val="20"/>
          <w:szCs w:val="20"/>
        </w:rPr>
        <w:t xml:space="preserve"> </w:t>
      </w:r>
      <w:r w:rsidR="009F694E" w:rsidRPr="00113DE2">
        <w:rPr>
          <w:color w:val="000000" w:themeColor="text1"/>
          <w:sz w:val="20"/>
          <w:szCs w:val="20"/>
        </w:rPr>
        <w:t>on</w:t>
      </w:r>
      <w:r w:rsidR="00FF41A0">
        <w:rPr>
          <w:color w:val="000000" w:themeColor="text1"/>
          <w:sz w:val="20"/>
          <w:szCs w:val="20"/>
        </w:rPr>
        <w:t xml:space="preserve"> </w:t>
      </w:r>
      <w:r w:rsidR="009F694E" w:rsidRPr="00113DE2">
        <w:rPr>
          <w:color w:val="000000" w:themeColor="text1"/>
          <w:sz w:val="20"/>
          <w:szCs w:val="20"/>
        </w:rPr>
        <w:t>the</w:t>
      </w:r>
      <w:r w:rsidR="00FF41A0">
        <w:rPr>
          <w:color w:val="000000" w:themeColor="text1"/>
          <w:sz w:val="20"/>
          <w:szCs w:val="20"/>
        </w:rPr>
        <w:t xml:space="preserve"> </w:t>
      </w:r>
      <w:r w:rsidR="009F694E" w:rsidRPr="00113DE2">
        <w:rPr>
          <w:color w:val="000000" w:themeColor="text1"/>
          <w:sz w:val="20"/>
          <w:szCs w:val="20"/>
        </w:rPr>
        <w:t>same</w:t>
      </w:r>
      <w:r w:rsidR="00FF41A0">
        <w:rPr>
          <w:color w:val="000000" w:themeColor="text1"/>
          <w:sz w:val="20"/>
          <w:szCs w:val="20"/>
        </w:rPr>
        <w:t xml:space="preserve"> </w:t>
      </w:r>
      <w:r w:rsidR="009F694E" w:rsidRPr="00113DE2">
        <w:rPr>
          <w:color w:val="000000" w:themeColor="text1"/>
          <w:sz w:val="20"/>
          <w:szCs w:val="20"/>
        </w:rPr>
        <w:t>day,</w:t>
      </w:r>
      <w:r w:rsidR="00FF41A0">
        <w:rPr>
          <w:color w:val="000000" w:themeColor="text1"/>
          <w:sz w:val="20"/>
          <w:szCs w:val="20"/>
        </w:rPr>
        <w:t xml:space="preserve"> </w:t>
      </w:r>
      <w:r w:rsidR="00106E2C" w:rsidRPr="00113DE2">
        <w:rPr>
          <w:color w:val="000000" w:themeColor="text1"/>
          <w:sz w:val="20"/>
          <w:szCs w:val="20"/>
        </w:rPr>
        <w:t>the</w:t>
      </w:r>
      <w:r w:rsidR="00FF41A0">
        <w:rPr>
          <w:color w:val="000000" w:themeColor="text1"/>
          <w:sz w:val="20"/>
          <w:szCs w:val="20"/>
        </w:rPr>
        <w:t xml:space="preserve"> </w:t>
      </w:r>
      <w:r w:rsidR="00106E2C" w:rsidRPr="00113DE2">
        <w:rPr>
          <w:color w:val="000000" w:themeColor="text1"/>
          <w:sz w:val="20"/>
          <w:szCs w:val="20"/>
        </w:rPr>
        <w:t>following</w:t>
      </w:r>
      <w:r w:rsidR="00FF41A0">
        <w:rPr>
          <w:color w:val="000000" w:themeColor="text1"/>
          <w:sz w:val="20"/>
          <w:szCs w:val="20"/>
        </w:rPr>
        <w:t xml:space="preserve"> </w:t>
      </w:r>
      <w:r w:rsidR="00106E2C" w:rsidRPr="00113DE2">
        <w:rPr>
          <w:color w:val="000000" w:themeColor="text1"/>
          <w:sz w:val="20"/>
          <w:szCs w:val="20"/>
        </w:rPr>
        <w:t>made</w:t>
      </w:r>
      <w:r w:rsidR="00FF41A0">
        <w:rPr>
          <w:color w:val="000000" w:themeColor="text1"/>
          <w:sz w:val="20"/>
          <w:szCs w:val="20"/>
        </w:rPr>
        <w:t xml:space="preserve"> </w:t>
      </w:r>
      <w:r w:rsidR="00106E2C" w:rsidRPr="00113DE2">
        <w:rPr>
          <w:color w:val="000000" w:themeColor="text1"/>
          <w:sz w:val="20"/>
          <w:szCs w:val="20"/>
        </w:rPr>
        <w:t>statements</w:t>
      </w:r>
      <w:r w:rsidR="00FF41A0">
        <w:rPr>
          <w:color w:val="000000" w:themeColor="text1"/>
          <w:sz w:val="20"/>
          <w:szCs w:val="20"/>
        </w:rPr>
        <w:t xml:space="preserve"> </w:t>
      </w:r>
      <w:r w:rsidR="00106E2C" w:rsidRPr="00113DE2">
        <w:rPr>
          <w:color w:val="000000" w:themeColor="text1"/>
          <w:sz w:val="20"/>
          <w:szCs w:val="20"/>
        </w:rPr>
        <w:t>and</w:t>
      </w:r>
      <w:r w:rsidR="00FF41A0">
        <w:rPr>
          <w:color w:val="000000" w:themeColor="text1"/>
          <w:sz w:val="20"/>
          <w:szCs w:val="20"/>
        </w:rPr>
        <w:t xml:space="preserve"> </w:t>
      </w:r>
      <w:r w:rsidR="00106E2C" w:rsidRPr="00113DE2">
        <w:rPr>
          <w:color w:val="000000" w:themeColor="text1"/>
          <w:sz w:val="20"/>
          <w:szCs w:val="20"/>
        </w:rPr>
        <w:t>asked</w:t>
      </w:r>
      <w:r w:rsidR="00FF41A0">
        <w:rPr>
          <w:color w:val="000000" w:themeColor="text1"/>
          <w:sz w:val="20"/>
          <w:szCs w:val="20"/>
        </w:rPr>
        <w:t xml:space="preserve"> </w:t>
      </w:r>
      <w:r w:rsidR="00106E2C" w:rsidRPr="00113DE2">
        <w:rPr>
          <w:color w:val="000000" w:themeColor="text1"/>
          <w:sz w:val="20"/>
          <w:szCs w:val="20"/>
        </w:rPr>
        <w:t>the</w:t>
      </w:r>
      <w:r w:rsidR="00FF41A0">
        <w:rPr>
          <w:color w:val="000000" w:themeColor="text1"/>
          <w:sz w:val="20"/>
          <w:szCs w:val="20"/>
        </w:rPr>
        <w:t xml:space="preserve"> </w:t>
      </w:r>
      <w:r w:rsidR="005742F8" w:rsidRPr="00113DE2">
        <w:rPr>
          <w:color w:val="000000" w:themeColor="text1"/>
          <w:sz w:val="20"/>
          <w:szCs w:val="20"/>
        </w:rPr>
        <w:t>presenters</w:t>
      </w:r>
      <w:r w:rsidR="00FF41A0">
        <w:rPr>
          <w:color w:val="000000" w:themeColor="text1"/>
          <w:sz w:val="20"/>
          <w:szCs w:val="20"/>
        </w:rPr>
        <w:t xml:space="preserve"> </w:t>
      </w:r>
      <w:r w:rsidR="00106E2C" w:rsidRPr="00113DE2">
        <w:rPr>
          <w:color w:val="000000" w:themeColor="text1"/>
          <w:sz w:val="20"/>
          <w:szCs w:val="20"/>
        </w:rPr>
        <w:t>questions:</w:t>
      </w:r>
    </w:p>
    <w:p w14:paraId="053317E2" w14:textId="1D79B5CE" w:rsidR="00785C89" w:rsidRPr="00113DE2" w:rsidRDefault="00106E2C" w:rsidP="00785C89">
      <w:pPr>
        <w:pStyle w:val="SingleTxtG"/>
        <w:ind w:firstLine="567"/>
        <w:rPr>
          <w:color w:val="000000" w:themeColor="text1"/>
          <w:sz w:val="20"/>
          <w:szCs w:val="20"/>
        </w:rPr>
      </w:pPr>
      <w:r w:rsidRPr="00113DE2">
        <w:rPr>
          <w:color w:val="000000" w:themeColor="text1"/>
          <w:sz w:val="20"/>
          <w:szCs w:val="20"/>
        </w:rPr>
        <w:t>(a)</w:t>
      </w:r>
      <w:r w:rsidRPr="00113DE2">
        <w:rPr>
          <w:color w:val="000000" w:themeColor="text1"/>
          <w:sz w:val="20"/>
          <w:szCs w:val="20"/>
        </w:rPr>
        <w:tab/>
        <w:t>Representatives</w:t>
      </w:r>
      <w:r w:rsidR="00FF41A0">
        <w:rPr>
          <w:color w:val="000000" w:themeColor="text1"/>
          <w:sz w:val="20"/>
          <w:szCs w:val="20"/>
        </w:rPr>
        <w:t xml:space="preserve"> </w:t>
      </w:r>
      <w:r w:rsidRPr="00113DE2">
        <w:rPr>
          <w:color w:val="000000" w:themeColor="text1"/>
          <w:sz w:val="20"/>
          <w:szCs w:val="20"/>
        </w:rPr>
        <w:t>of</w:t>
      </w:r>
      <w:r w:rsidR="00FF41A0">
        <w:rPr>
          <w:color w:val="000000" w:themeColor="text1"/>
          <w:sz w:val="20"/>
          <w:szCs w:val="20"/>
        </w:rPr>
        <w:t xml:space="preserve"> </w:t>
      </w:r>
      <w:r w:rsidR="005D3E5F">
        <w:rPr>
          <w:color w:val="000000" w:themeColor="text1"/>
          <w:sz w:val="20"/>
          <w:szCs w:val="20"/>
        </w:rPr>
        <w:t>States</w:t>
      </w:r>
      <w:r w:rsidR="00FF41A0">
        <w:rPr>
          <w:color w:val="000000" w:themeColor="text1"/>
          <w:sz w:val="20"/>
          <w:szCs w:val="20"/>
        </w:rPr>
        <w:t xml:space="preserve"> </w:t>
      </w:r>
      <w:r w:rsidR="005D3E5F">
        <w:rPr>
          <w:color w:val="000000" w:themeColor="text1"/>
          <w:sz w:val="20"/>
          <w:szCs w:val="20"/>
        </w:rPr>
        <w:t>Members</w:t>
      </w:r>
      <w:r w:rsidR="00FF41A0">
        <w:rPr>
          <w:color w:val="000000" w:themeColor="text1"/>
          <w:sz w:val="20"/>
          <w:szCs w:val="20"/>
        </w:rPr>
        <w:t xml:space="preserve"> </w:t>
      </w:r>
      <w:r w:rsidRPr="00113DE2">
        <w:rPr>
          <w:color w:val="000000" w:themeColor="text1"/>
          <w:sz w:val="20"/>
          <w:szCs w:val="20"/>
        </w:rPr>
        <w:t>of</w:t>
      </w:r>
      <w:r w:rsidR="00FF41A0">
        <w:rPr>
          <w:color w:val="000000" w:themeColor="text1"/>
          <w:sz w:val="20"/>
          <w:szCs w:val="20"/>
        </w:rPr>
        <w:t xml:space="preserve"> </w:t>
      </w:r>
      <w:r w:rsidRPr="00113DE2">
        <w:rPr>
          <w:color w:val="000000" w:themeColor="text1"/>
          <w:sz w:val="20"/>
          <w:szCs w:val="20"/>
        </w:rPr>
        <w:t>the</w:t>
      </w:r>
      <w:r w:rsidR="00FF41A0">
        <w:rPr>
          <w:color w:val="000000" w:themeColor="text1"/>
          <w:sz w:val="20"/>
          <w:szCs w:val="20"/>
        </w:rPr>
        <w:t xml:space="preserve"> </w:t>
      </w:r>
      <w:r w:rsidRPr="00113DE2">
        <w:rPr>
          <w:color w:val="000000" w:themeColor="text1"/>
          <w:sz w:val="20"/>
          <w:szCs w:val="20"/>
        </w:rPr>
        <w:t>Human</w:t>
      </w:r>
      <w:r w:rsidR="00FF41A0">
        <w:rPr>
          <w:color w:val="000000" w:themeColor="text1"/>
          <w:sz w:val="20"/>
          <w:szCs w:val="20"/>
        </w:rPr>
        <w:t xml:space="preserve"> </w:t>
      </w:r>
      <w:r w:rsidRPr="00113DE2">
        <w:rPr>
          <w:color w:val="000000" w:themeColor="text1"/>
          <w:sz w:val="20"/>
          <w:szCs w:val="20"/>
        </w:rPr>
        <w:t>Rights</w:t>
      </w:r>
      <w:r w:rsidR="00FF41A0">
        <w:rPr>
          <w:color w:val="000000" w:themeColor="text1"/>
          <w:sz w:val="20"/>
          <w:szCs w:val="20"/>
        </w:rPr>
        <w:t xml:space="preserve"> </w:t>
      </w:r>
      <w:r w:rsidRPr="00113DE2">
        <w:rPr>
          <w:color w:val="000000" w:themeColor="text1"/>
          <w:sz w:val="20"/>
          <w:szCs w:val="20"/>
        </w:rPr>
        <w:t>Council:</w:t>
      </w:r>
      <w:r w:rsidR="00FF41A0">
        <w:rPr>
          <w:color w:val="000000" w:themeColor="text1"/>
          <w:sz w:val="20"/>
          <w:szCs w:val="20"/>
        </w:rPr>
        <w:t xml:space="preserve"> </w:t>
      </w:r>
      <w:r w:rsidR="009C4448" w:rsidRPr="009C4448">
        <w:rPr>
          <w:color w:val="000000" w:themeColor="text1"/>
          <w:sz w:val="20"/>
          <w:szCs w:val="20"/>
        </w:rPr>
        <w:t>Australia</w:t>
      </w:r>
      <w:r w:rsidR="00115D94">
        <w:rPr>
          <w:color w:val="000000" w:themeColor="text1"/>
          <w:sz w:val="20"/>
          <w:szCs w:val="20"/>
        </w:rPr>
        <w:t>,</w:t>
      </w:r>
      <w:r w:rsidR="00FF41A0">
        <w:rPr>
          <w:color w:val="000000" w:themeColor="text1"/>
          <w:sz w:val="20"/>
          <w:szCs w:val="20"/>
        </w:rPr>
        <w:t xml:space="preserve"> </w:t>
      </w:r>
      <w:r w:rsidR="00115D94" w:rsidRPr="009C4448">
        <w:rPr>
          <w:color w:val="000000" w:themeColor="text1"/>
          <w:sz w:val="20"/>
          <w:szCs w:val="20"/>
        </w:rPr>
        <w:t>Cameroon</w:t>
      </w:r>
      <w:r w:rsidR="00115D94">
        <w:rPr>
          <w:color w:val="000000" w:themeColor="text1"/>
          <w:sz w:val="20"/>
          <w:szCs w:val="20"/>
        </w:rPr>
        <w:t>,</w:t>
      </w:r>
      <w:r w:rsidR="00FF41A0">
        <w:rPr>
          <w:color w:val="000000" w:themeColor="text1"/>
          <w:sz w:val="20"/>
          <w:szCs w:val="20"/>
        </w:rPr>
        <w:t xml:space="preserve"> </w:t>
      </w:r>
      <w:r w:rsidR="00115D94" w:rsidRPr="009C4448">
        <w:rPr>
          <w:color w:val="000000" w:themeColor="text1"/>
          <w:sz w:val="20"/>
          <w:szCs w:val="20"/>
        </w:rPr>
        <w:t>China</w:t>
      </w:r>
      <w:r w:rsidR="00115D94">
        <w:rPr>
          <w:color w:val="000000" w:themeColor="text1"/>
          <w:sz w:val="20"/>
          <w:szCs w:val="20"/>
        </w:rPr>
        <w:t>,</w:t>
      </w:r>
      <w:r w:rsidR="00FF41A0">
        <w:rPr>
          <w:color w:val="000000" w:themeColor="text1"/>
          <w:sz w:val="20"/>
          <w:szCs w:val="20"/>
        </w:rPr>
        <w:t xml:space="preserve"> </w:t>
      </w:r>
      <w:r w:rsidR="00115D94" w:rsidRPr="009C4448">
        <w:rPr>
          <w:color w:val="000000" w:themeColor="text1"/>
          <w:sz w:val="20"/>
          <w:szCs w:val="20"/>
        </w:rPr>
        <w:t>Egypt</w:t>
      </w:r>
      <w:r w:rsidR="00115D94">
        <w:rPr>
          <w:color w:val="000000" w:themeColor="text1"/>
          <w:sz w:val="20"/>
          <w:szCs w:val="20"/>
        </w:rPr>
        <w:t>,</w:t>
      </w:r>
      <w:r w:rsidR="00FF41A0">
        <w:rPr>
          <w:color w:val="000000" w:themeColor="text1"/>
          <w:sz w:val="20"/>
          <w:szCs w:val="20"/>
        </w:rPr>
        <w:t xml:space="preserve"> </w:t>
      </w:r>
      <w:r w:rsidR="00115D94" w:rsidRPr="009C4448">
        <w:rPr>
          <w:color w:val="000000" w:themeColor="text1"/>
          <w:sz w:val="20"/>
          <w:szCs w:val="20"/>
        </w:rPr>
        <w:t>Senegal</w:t>
      </w:r>
      <w:r w:rsidR="00115D94">
        <w:rPr>
          <w:color w:val="000000" w:themeColor="text1"/>
          <w:sz w:val="20"/>
          <w:szCs w:val="20"/>
        </w:rPr>
        <w:t>,</w:t>
      </w:r>
      <w:r w:rsidR="00FF41A0">
        <w:rPr>
          <w:color w:val="000000" w:themeColor="text1"/>
          <w:sz w:val="20"/>
          <w:szCs w:val="20"/>
        </w:rPr>
        <w:t xml:space="preserve"> </w:t>
      </w:r>
      <w:r w:rsidR="00115D94" w:rsidRPr="009C4448">
        <w:rPr>
          <w:color w:val="000000" w:themeColor="text1"/>
          <w:sz w:val="20"/>
          <w:szCs w:val="20"/>
        </w:rPr>
        <w:t>Togo</w:t>
      </w:r>
      <w:r w:rsidR="00115D94">
        <w:rPr>
          <w:color w:val="000000" w:themeColor="text1"/>
          <w:sz w:val="20"/>
          <w:szCs w:val="20"/>
        </w:rPr>
        <w:t>,</w:t>
      </w:r>
      <w:r w:rsidR="00FF41A0">
        <w:rPr>
          <w:color w:val="000000" w:themeColor="text1"/>
          <w:sz w:val="20"/>
          <w:szCs w:val="20"/>
        </w:rPr>
        <w:t xml:space="preserve"> </w:t>
      </w:r>
      <w:r w:rsidR="00115D94" w:rsidRPr="009C4448">
        <w:rPr>
          <w:color w:val="000000" w:themeColor="text1"/>
          <w:sz w:val="20"/>
          <w:szCs w:val="20"/>
        </w:rPr>
        <w:t>United</w:t>
      </w:r>
      <w:r w:rsidR="00FF41A0">
        <w:rPr>
          <w:color w:val="000000" w:themeColor="text1"/>
          <w:sz w:val="20"/>
          <w:szCs w:val="20"/>
        </w:rPr>
        <w:t xml:space="preserve"> </w:t>
      </w:r>
      <w:r w:rsidR="00115D94" w:rsidRPr="009C4448">
        <w:rPr>
          <w:color w:val="000000" w:themeColor="text1"/>
          <w:sz w:val="20"/>
          <w:szCs w:val="20"/>
        </w:rPr>
        <w:t>Kingdom</w:t>
      </w:r>
      <w:r w:rsidR="00FF41A0">
        <w:rPr>
          <w:color w:val="000000" w:themeColor="text1"/>
          <w:sz w:val="20"/>
          <w:szCs w:val="20"/>
        </w:rPr>
        <w:t xml:space="preserve"> </w:t>
      </w:r>
      <w:r w:rsidR="00115D94" w:rsidRPr="009C4448">
        <w:rPr>
          <w:color w:val="000000" w:themeColor="text1"/>
          <w:sz w:val="20"/>
          <w:szCs w:val="20"/>
        </w:rPr>
        <w:t>of</w:t>
      </w:r>
      <w:r w:rsidR="00FF41A0">
        <w:rPr>
          <w:color w:val="000000" w:themeColor="text1"/>
          <w:sz w:val="20"/>
          <w:szCs w:val="20"/>
        </w:rPr>
        <w:t xml:space="preserve"> </w:t>
      </w:r>
      <w:r w:rsidR="00115D94" w:rsidRPr="009C4448">
        <w:rPr>
          <w:color w:val="000000" w:themeColor="text1"/>
          <w:sz w:val="20"/>
          <w:szCs w:val="20"/>
        </w:rPr>
        <w:t>Great</w:t>
      </w:r>
      <w:r w:rsidR="00FF41A0">
        <w:rPr>
          <w:color w:val="000000" w:themeColor="text1"/>
          <w:sz w:val="20"/>
          <w:szCs w:val="20"/>
        </w:rPr>
        <w:t xml:space="preserve"> </w:t>
      </w:r>
      <w:r w:rsidR="00115D94" w:rsidRPr="009C4448">
        <w:rPr>
          <w:color w:val="000000" w:themeColor="text1"/>
          <w:sz w:val="20"/>
          <w:szCs w:val="20"/>
        </w:rPr>
        <w:t>Britain</w:t>
      </w:r>
      <w:r w:rsidR="00FF41A0">
        <w:rPr>
          <w:color w:val="000000" w:themeColor="text1"/>
          <w:sz w:val="20"/>
          <w:szCs w:val="20"/>
        </w:rPr>
        <w:t xml:space="preserve"> </w:t>
      </w:r>
      <w:r w:rsidR="00115D94" w:rsidRPr="009C4448">
        <w:rPr>
          <w:color w:val="000000" w:themeColor="text1"/>
          <w:sz w:val="20"/>
          <w:szCs w:val="20"/>
        </w:rPr>
        <w:t>and</w:t>
      </w:r>
      <w:r w:rsidR="00FF41A0">
        <w:rPr>
          <w:color w:val="000000" w:themeColor="text1"/>
          <w:sz w:val="20"/>
          <w:szCs w:val="20"/>
        </w:rPr>
        <w:t xml:space="preserve"> </w:t>
      </w:r>
      <w:r w:rsidR="00115D94" w:rsidRPr="009C4448">
        <w:rPr>
          <w:color w:val="000000" w:themeColor="text1"/>
          <w:sz w:val="20"/>
          <w:szCs w:val="20"/>
        </w:rPr>
        <w:t>Northern</w:t>
      </w:r>
      <w:r w:rsidR="00FF41A0">
        <w:rPr>
          <w:color w:val="000000" w:themeColor="text1"/>
          <w:sz w:val="20"/>
          <w:szCs w:val="20"/>
        </w:rPr>
        <w:t xml:space="preserve"> </w:t>
      </w:r>
      <w:r w:rsidR="00115D94" w:rsidRPr="009C4448">
        <w:rPr>
          <w:color w:val="000000" w:themeColor="text1"/>
          <w:sz w:val="20"/>
          <w:szCs w:val="20"/>
        </w:rPr>
        <w:t>Ireland</w:t>
      </w:r>
      <w:r w:rsidR="00785C89" w:rsidRPr="00113DE2">
        <w:rPr>
          <w:color w:val="000000" w:themeColor="text1"/>
          <w:sz w:val="20"/>
          <w:szCs w:val="20"/>
        </w:rPr>
        <w:t>;</w:t>
      </w:r>
    </w:p>
    <w:p w14:paraId="36E601B9" w14:textId="5A72390B" w:rsidR="00106E2C" w:rsidRDefault="00106E2C" w:rsidP="00106E2C">
      <w:pPr>
        <w:pStyle w:val="SingleTxtG"/>
        <w:ind w:firstLine="567"/>
        <w:rPr>
          <w:color w:val="000000" w:themeColor="text1"/>
          <w:sz w:val="20"/>
          <w:szCs w:val="20"/>
        </w:rPr>
      </w:pPr>
      <w:r w:rsidRPr="00113DE2">
        <w:rPr>
          <w:color w:val="000000" w:themeColor="text1"/>
          <w:sz w:val="20"/>
          <w:szCs w:val="20"/>
        </w:rPr>
        <w:lastRenderedPageBreak/>
        <w:t>(b)</w:t>
      </w:r>
      <w:r w:rsidRPr="00113DE2">
        <w:rPr>
          <w:color w:val="000000" w:themeColor="text1"/>
          <w:sz w:val="20"/>
          <w:szCs w:val="20"/>
        </w:rPr>
        <w:tab/>
        <w:t>Representatives</w:t>
      </w:r>
      <w:r w:rsidR="00FF41A0">
        <w:rPr>
          <w:color w:val="000000" w:themeColor="text1"/>
          <w:sz w:val="20"/>
          <w:szCs w:val="20"/>
        </w:rPr>
        <w:t xml:space="preserve"> </w:t>
      </w:r>
      <w:r w:rsidRPr="00113DE2">
        <w:rPr>
          <w:color w:val="000000" w:themeColor="text1"/>
          <w:sz w:val="20"/>
          <w:szCs w:val="20"/>
        </w:rPr>
        <w:t>of</w:t>
      </w:r>
      <w:r w:rsidR="00FF41A0">
        <w:rPr>
          <w:color w:val="000000" w:themeColor="text1"/>
          <w:sz w:val="20"/>
          <w:szCs w:val="20"/>
        </w:rPr>
        <w:t xml:space="preserve"> </w:t>
      </w:r>
      <w:r w:rsidRPr="00113DE2">
        <w:rPr>
          <w:color w:val="000000" w:themeColor="text1"/>
          <w:sz w:val="20"/>
          <w:szCs w:val="20"/>
        </w:rPr>
        <w:t>observer</w:t>
      </w:r>
      <w:r w:rsidR="00FF41A0">
        <w:rPr>
          <w:color w:val="000000" w:themeColor="text1"/>
          <w:sz w:val="20"/>
          <w:szCs w:val="20"/>
        </w:rPr>
        <w:t xml:space="preserve"> </w:t>
      </w:r>
      <w:r w:rsidRPr="00113DE2">
        <w:rPr>
          <w:color w:val="000000" w:themeColor="text1"/>
          <w:sz w:val="20"/>
          <w:szCs w:val="20"/>
        </w:rPr>
        <w:t>States:</w:t>
      </w:r>
      <w:r w:rsidR="00FF41A0">
        <w:rPr>
          <w:color w:val="000000" w:themeColor="text1"/>
          <w:sz w:val="20"/>
          <w:szCs w:val="20"/>
        </w:rPr>
        <w:t xml:space="preserve"> </w:t>
      </w:r>
      <w:r w:rsidR="00115D94" w:rsidRPr="009C4448">
        <w:rPr>
          <w:color w:val="000000" w:themeColor="text1"/>
          <w:sz w:val="20"/>
          <w:szCs w:val="20"/>
        </w:rPr>
        <w:t>Belgium</w:t>
      </w:r>
      <w:r w:rsidR="00115D94">
        <w:rPr>
          <w:color w:val="000000" w:themeColor="text1"/>
          <w:sz w:val="20"/>
          <w:szCs w:val="20"/>
        </w:rPr>
        <w:t>,</w:t>
      </w:r>
      <w:r w:rsidR="00FF41A0">
        <w:rPr>
          <w:color w:val="000000" w:themeColor="text1"/>
          <w:sz w:val="20"/>
          <w:szCs w:val="20"/>
        </w:rPr>
        <w:t xml:space="preserve"> </w:t>
      </w:r>
      <w:r w:rsidR="00115D94" w:rsidRPr="009C4448">
        <w:rPr>
          <w:color w:val="000000" w:themeColor="text1"/>
          <w:sz w:val="20"/>
          <w:szCs w:val="20"/>
        </w:rPr>
        <w:t>Chad</w:t>
      </w:r>
      <w:r w:rsidR="00115D94">
        <w:rPr>
          <w:color w:val="000000" w:themeColor="text1"/>
          <w:sz w:val="20"/>
          <w:szCs w:val="20"/>
        </w:rPr>
        <w:t>,</w:t>
      </w:r>
      <w:r w:rsidR="00FF41A0">
        <w:rPr>
          <w:color w:val="000000" w:themeColor="text1"/>
          <w:sz w:val="20"/>
          <w:szCs w:val="20"/>
        </w:rPr>
        <w:t xml:space="preserve"> </w:t>
      </w:r>
      <w:r w:rsidR="00115D94" w:rsidRPr="009C4448">
        <w:rPr>
          <w:color w:val="000000" w:themeColor="text1"/>
          <w:sz w:val="20"/>
          <w:szCs w:val="20"/>
        </w:rPr>
        <w:t>Congo</w:t>
      </w:r>
      <w:r w:rsidR="00115D94">
        <w:rPr>
          <w:color w:val="000000" w:themeColor="text1"/>
          <w:sz w:val="20"/>
          <w:szCs w:val="20"/>
        </w:rPr>
        <w:t>,</w:t>
      </w:r>
      <w:r w:rsidR="00FF41A0">
        <w:rPr>
          <w:color w:val="000000" w:themeColor="text1"/>
          <w:sz w:val="20"/>
          <w:szCs w:val="20"/>
        </w:rPr>
        <w:t xml:space="preserve"> </w:t>
      </w:r>
      <w:r w:rsidR="00115D94" w:rsidRPr="009C4448">
        <w:rPr>
          <w:color w:val="000000" w:themeColor="text1"/>
          <w:sz w:val="20"/>
          <w:szCs w:val="20"/>
        </w:rPr>
        <w:t>Côte</w:t>
      </w:r>
      <w:r w:rsidR="00FF41A0">
        <w:rPr>
          <w:color w:val="000000" w:themeColor="text1"/>
          <w:sz w:val="20"/>
          <w:szCs w:val="20"/>
        </w:rPr>
        <w:t xml:space="preserve"> </w:t>
      </w:r>
      <w:r w:rsidR="00115D94" w:rsidRPr="009C4448">
        <w:rPr>
          <w:color w:val="000000" w:themeColor="text1"/>
          <w:sz w:val="20"/>
          <w:szCs w:val="20"/>
        </w:rPr>
        <w:t>d</w:t>
      </w:r>
      <w:r w:rsidR="00D72627">
        <w:rPr>
          <w:color w:val="000000" w:themeColor="text1"/>
          <w:sz w:val="20"/>
          <w:szCs w:val="20"/>
        </w:rPr>
        <w:t>’</w:t>
      </w:r>
      <w:r w:rsidR="00115D94" w:rsidRPr="009C4448">
        <w:rPr>
          <w:color w:val="000000" w:themeColor="text1"/>
          <w:sz w:val="20"/>
          <w:szCs w:val="20"/>
        </w:rPr>
        <w:t>Ivoire</w:t>
      </w:r>
      <w:r w:rsidR="00115D94">
        <w:rPr>
          <w:color w:val="000000" w:themeColor="text1"/>
          <w:sz w:val="20"/>
          <w:szCs w:val="20"/>
        </w:rPr>
        <w:t>,</w:t>
      </w:r>
      <w:r w:rsidR="00FF41A0">
        <w:rPr>
          <w:color w:val="000000" w:themeColor="text1"/>
          <w:sz w:val="20"/>
          <w:szCs w:val="20"/>
        </w:rPr>
        <w:t xml:space="preserve"> </w:t>
      </w:r>
      <w:r w:rsidR="00115D94" w:rsidRPr="009C4448">
        <w:rPr>
          <w:color w:val="000000" w:themeColor="text1"/>
          <w:sz w:val="20"/>
          <w:szCs w:val="20"/>
        </w:rPr>
        <w:t>France</w:t>
      </w:r>
      <w:r w:rsidR="00115D94">
        <w:rPr>
          <w:color w:val="000000" w:themeColor="text1"/>
          <w:sz w:val="20"/>
          <w:szCs w:val="20"/>
        </w:rPr>
        <w:t>,</w:t>
      </w:r>
      <w:r w:rsidR="00FF41A0">
        <w:rPr>
          <w:color w:val="000000" w:themeColor="text1"/>
          <w:sz w:val="20"/>
          <w:szCs w:val="20"/>
        </w:rPr>
        <w:t xml:space="preserve"> </w:t>
      </w:r>
      <w:r w:rsidR="00115D94" w:rsidRPr="009C4448">
        <w:rPr>
          <w:color w:val="000000" w:themeColor="text1"/>
          <w:sz w:val="20"/>
          <w:szCs w:val="20"/>
        </w:rPr>
        <w:t>Gabon</w:t>
      </w:r>
      <w:r w:rsidR="00115D94">
        <w:rPr>
          <w:color w:val="000000" w:themeColor="text1"/>
          <w:sz w:val="20"/>
          <w:szCs w:val="20"/>
        </w:rPr>
        <w:t>,</w:t>
      </w:r>
      <w:r w:rsidR="00FF41A0">
        <w:rPr>
          <w:color w:val="000000" w:themeColor="text1"/>
          <w:sz w:val="20"/>
          <w:szCs w:val="20"/>
        </w:rPr>
        <w:t xml:space="preserve"> </w:t>
      </w:r>
      <w:r w:rsidR="00115D94" w:rsidRPr="009C4448">
        <w:rPr>
          <w:color w:val="000000" w:themeColor="text1"/>
          <w:sz w:val="20"/>
          <w:szCs w:val="20"/>
        </w:rPr>
        <w:t>Ireland</w:t>
      </w:r>
      <w:r w:rsidR="00115D94">
        <w:rPr>
          <w:color w:val="000000" w:themeColor="text1"/>
          <w:sz w:val="20"/>
          <w:szCs w:val="20"/>
        </w:rPr>
        <w:t>,</w:t>
      </w:r>
      <w:r w:rsidR="00FF41A0">
        <w:rPr>
          <w:color w:val="000000" w:themeColor="text1"/>
          <w:sz w:val="20"/>
          <w:szCs w:val="20"/>
        </w:rPr>
        <w:t xml:space="preserve"> </w:t>
      </w:r>
      <w:r w:rsidR="00115D94" w:rsidRPr="009C4448">
        <w:rPr>
          <w:color w:val="000000" w:themeColor="text1"/>
          <w:sz w:val="20"/>
          <w:szCs w:val="20"/>
        </w:rPr>
        <w:t>Portugal</w:t>
      </w:r>
      <w:r w:rsidR="00115D94">
        <w:rPr>
          <w:color w:val="000000" w:themeColor="text1"/>
          <w:sz w:val="20"/>
          <w:szCs w:val="20"/>
        </w:rPr>
        <w:t>,</w:t>
      </w:r>
      <w:r w:rsidR="00FF41A0">
        <w:rPr>
          <w:color w:val="000000" w:themeColor="text1"/>
          <w:sz w:val="20"/>
          <w:szCs w:val="20"/>
        </w:rPr>
        <w:t xml:space="preserve"> </w:t>
      </w:r>
      <w:r w:rsidR="00115D94" w:rsidRPr="009C4448">
        <w:rPr>
          <w:color w:val="000000" w:themeColor="text1"/>
          <w:sz w:val="20"/>
          <w:szCs w:val="20"/>
        </w:rPr>
        <w:t>Russian</w:t>
      </w:r>
      <w:r w:rsidR="00FF41A0">
        <w:rPr>
          <w:color w:val="000000" w:themeColor="text1"/>
          <w:sz w:val="20"/>
          <w:szCs w:val="20"/>
        </w:rPr>
        <w:t xml:space="preserve"> </w:t>
      </w:r>
      <w:r w:rsidR="00115D94" w:rsidRPr="009C4448">
        <w:rPr>
          <w:color w:val="000000" w:themeColor="text1"/>
          <w:sz w:val="20"/>
          <w:szCs w:val="20"/>
        </w:rPr>
        <w:t>Federation</w:t>
      </w:r>
      <w:r w:rsidR="00115D94">
        <w:rPr>
          <w:color w:val="000000" w:themeColor="text1"/>
          <w:sz w:val="20"/>
          <w:szCs w:val="20"/>
        </w:rPr>
        <w:t>,</w:t>
      </w:r>
      <w:r w:rsidR="00FF41A0">
        <w:rPr>
          <w:color w:val="000000" w:themeColor="text1"/>
          <w:sz w:val="20"/>
          <w:szCs w:val="20"/>
        </w:rPr>
        <w:t xml:space="preserve"> </w:t>
      </w:r>
      <w:r w:rsidR="00115D94" w:rsidRPr="009C4448">
        <w:rPr>
          <w:color w:val="000000" w:themeColor="text1"/>
          <w:sz w:val="20"/>
          <w:szCs w:val="20"/>
        </w:rPr>
        <w:t>Sudan</w:t>
      </w:r>
      <w:r w:rsidR="00F62C3C" w:rsidRPr="00113DE2">
        <w:rPr>
          <w:color w:val="000000" w:themeColor="text1"/>
          <w:sz w:val="20"/>
          <w:szCs w:val="20"/>
        </w:rPr>
        <w:t>;</w:t>
      </w:r>
    </w:p>
    <w:p w14:paraId="0B3F25EC" w14:textId="74FD8830" w:rsidR="00F16EE8" w:rsidRPr="00113DE2" w:rsidRDefault="00F16EE8" w:rsidP="00F16EE8">
      <w:pPr>
        <w:pStyle w:val="SingleTxtG"/>
        <w:ind w:firstLine="567"/>
        <w:rPr>
          <w:color w:val="000000" w:themeColor="text1"/>
          <w:sz w:val="20"/>
          <w:szCs w:val="20"/>
          <w:lang w:eastAsia="en-GB"/>
        </w:rPr>
      </w:pPr>
      <w:r w:rsidRPr="00113DE2">
        <w:rPr>
          <w:color w:val="000000" w:themeColor="text1"/>
          <w:sz w:val="20"/>
          <w:szCs w:val="20"/>
          <w:lang w:eastAsia="en-GB"/>
        </w:rPr>
        <w:t>(c)</w:t>
      </w:r>
      <w:r w:rsidRPr="00113DE2">
        <w:rPr>
          <w:color w:val="000000" w:themeColor="text1"/>
          <w:sz w:val="20"/>
          <w:szCs w:val="20"/>
          <w:lang w:eastAsia="en-GB"/>
        </w:rPr>
        <w:tab/>
      </w:r>
      <w:r w:rsidRPr="006D07E0">
        <w:rPr>
          <w:color w:val="000000" w:themeColor="text1"/>
          <w:sz w:val="20"/>
          <w:szCs w:val="20"/>
        </w:rPr>
        <w:t>Observer</w:t>
      </w:r>
      <w:r>
        <w:rPr>
          <w:color w:val="000000" w:themeColor="text1"/>
          <w:sz w:val="20"/>
          <w:szCs w:val="20"/>
        </w:rPr>
        <w:t>s</w:t>
      </w:r>
      <w:r w:rsidR="00FF41A0">
        <w:rPr>
          <w:color w:val="000000" w:themeColor="text1"/>
          <w:sz w:val="20"/>
          <w:szCs w:val="20"/>
        </w:rPr>
        <w:t xml:space="preserve"> </w:t>
      </w:r>
      <w:r w:rsidRPr="006D07E0">
        <w:rPr>
          <w:color w:val="000000" w:themeColor="text1"/>
          <w:sz w:val="20"/>
          <w:szCs w:val="20"/>
        </w:rPr>
        <w:t>for</w:t>
      </w:r>
      <w:r w:rsidR="00FF41A0">
        <w:rPr>
          <w:color w:val="000000" w:themeColor="text1"/>
          <w:sz w:val="20"/>
          <w:szCs w:val="20"/>
        </w:rPr>
        <w:t xml:space="preserve"> </w:t>
      </w:r>
      <w:r w:rsidRPr="006D07E0">
        <w:rPr>
          <w:color w:val="000000" w:themeColor="text1"/>
          <w:sz w:val="20"/>
          <w:szCs w:val="20"/>
        </w:rPr>
        <w:t>United</w:t>
      </w:r>
      <w:r w:rsidR="00FF41A0">
        <w:rPr>
          <w:color w:val="000000" w:themeColor="text1"/>
          <w:sz w:val="20"/>
          <w:szCs w:val="20"/>
        </w:rPr>
        <w:t xml:space="preserve"> </w:t>
      </w:r>
      <w:r w:rsidRPr="006D07E0">
        <w:rPr>
          <w:color w:val="000000" w:themeColor="text1"/>
          <w:sz w:val="20"/>
          <w:szCs w:val="20"/>
        </w:rPr>
        <w:t>Nations</w:t>
      </w:r>
      <w:r w:rsidR="00FF41A0">
        <w:rPr>
          <w:color w:val="000000" w:themeColor="text1"/>
          <w:sz w:val="20"/>
          <w:szCs w:val="20"/>
        </w:rPr>
        <w:t xml:space="preserve"> </w:t>
      </w:r>
      <w:r w:rsidRPr="006D07E0">
        <w:rPr>
          <w:color w:val="000000" w:themeColor="text1"/>
          <w:sz w:val="20"/>
          <w:szCs w:val="20"/>
        </w:rPr>
        <w:t>entities,</w:t>
      </w:r>
      <w:r w:rsidR="00FF41A0">
        <w:rPr>
          <w:color w:val="000000" w:themeColor="text1"/>
          <w:sz w:val="20"/>
          <w:szCs w:val="20"/>
        </w:rPr>
        <w:t xml:space="preserve"> </w:t>
      </w:r>
      <w:r w:rsidRPr="006D07E0">
        <w:rPr>
          <w:color w:val="000000" w:themeColor="text1"/>
          <w:sz w:val="20"/>
          <w:szCs w:val="20"/>
        </w:rPr>
        <w:t>specialized</w:t>
      </w:r>
      <w:r w:rsidR="00FF41A0">
        <w:rPr>
          <w:color w:val="000000" w:themeColor="text1"/>
          <w:sz w:val="20"/>
          <w:szCs w:val="20"/>
        </w:rPr>
        <w:t xml:space="preserve"> </w:t>
      </w:r>
      <w:r w:rsidRPr="006D07E0">
        <w:rPr>
          <w:color w:val="000000" w:themeColor="text1"/>
          <w:sz w:val="20"/>
          <w:szCs w:val="20"/>
        </w:rPr>
        <w:t>agencies</w:t>
      </w:r>
      <w:r w:rsidR="00FF41A0">
        <w:rPr>
          <w:color w:val="000000" w:themeColor="text1"/>
          <w:sz w:val="20"/>
          <w:szCs w:val="20"/>
        </w:rPr>
        <w:t xml:space="preserve"> </w:t>
      </w:r>
      <w:r w:rsidRPr="006D07E0">
        <w:rPr>
          <w:color w:val="000000" w:themeColor="text1"/>
          <w:sz w:val="20"/>
          <w:szCs w:val="20"/>
        </w:rPr>
        <w:t>and</w:t>
      </w:r>
      <w:r w:rsidR="00FF41A0">
        <w:rPr>
          <w:color w:val="000000" w:themeColor="text1"/>
          <w:sz w:val="20"/>
          <w:szCs w:val="20"/>
        </w:rPr>
        <w:t xml:space="preserve"> </w:t>
      </w:r>
      <w:r w:rsidRPr="006D07E0">
        <w:rPr>
          <w:color w:val="000000" w:themeColor="text1"/>
          <w:sz w:val="20"/>
          <w:szCs w:val="20"/>
        </w:rPr>
        <w:t>related</w:t>
      </w:r>
      <w:r w:rsidR="00FF41A0">
        <w:rPr>
          <w:color w:val="000000" w:themeColor="text1"/>
          <w:sz w:val="20"/>
          <w:szCs w:val="20"/>
        </w:rPr>
        <w:t xml:space="preserve"> </w:t>
      </w:r>
      <w:r w:rsidRPr="006D07E0">
        <w:rPr>
          <w:color w:val="000000" w:themeColor="text1"/>
          <w:sz w:val="20"/>
          <w:szCs w:val="20"/>
        </w:rPr>
        <w:t>organizations</w:t>
      </w:r>
      <w:r w:rsidRPr="00113DE2">
        <w:rPr>
          <w:color w:val="000000" w:themeColor="text1"/>
          <w:sz w:val="20"/>
          <w:szCs w:val="20"/>
        </w:rPr>
        <w:t>:</w:t>
      </w:r>
      <w:r w:rsidR="00FF41A0">
        <w:rPr>
          <w:color w:val="000000" w:themeColor="text1"/>
          <w:sz w:val="20"/>
          <w:szCs w:val="20"/>
        </w:rPr>
        <w:t xml:space="preserve"> </w:t>
      </w:r>
      <w:r w:rsidRPr="00113DE2">
        <w:rPr>
          <w:color w:val="000000" w:themeColor="text1"/>
          <w:sz w:val="20"/>
          <w:szCs w:val="20"/>
        </w:rPr>
        <w:t>United</w:t>
      </w:r>
      <w:r w:rsidR="00FF41A0">
        <w:rPr>
          <w:color w:val="000000" w:themeColor="text1"/>
          <w:sz w:val="20"/>
          <w:szCs w:val="20"/>
        </w:rPr>
        <w:t xml:space="preserve"> </w:t>
      </w:r>
      <w:r w:rsidRPr="00113DE2">
        <w:rPr>
          <w:color w:val="000000" w:themeColor="text1"/>
          <w:sz w:val="20"/>
          <w:szCs w:val="20"/>
        </w:rPr>
        <w:t>Nations</w:t>
      </w:r>
      <w:r w:rsidR="00FF41A0">
        <w:rPr>
          <w:color w:val="000000" w:themeColor="text1"/>
          <w:sz w:val="20"/>
          <w:szCs w:val="20"/>
        </w:rPr>
        <w:t xml:space="preserve"> </w:t>
      </w:r>
      <w:r w:rsidRPr="00113DE2">
        <w:rPr>
          <w:color w:val="000000" w:themeColor="text1"/>
          <w:sz w:val="20"/>
          <w:szCs w:val="20"/>
        </w:rPr>
        <w:t>Children</w:t>
      </w:r>
      <w:r w:rsidR="00D72627">
        <w:rPr>
          <w:color w:val="000000" w:themeColor="text1"/>
          <w:sz w:val="20"/>
          <w:szCs w:val="20"/>
        </w:rPr>
        <w:t>’</w:t>
      </w:r>
      <w:r w:rsidRPr="00113DE2">
        <w:rPr>
          <w:color w:val="000000" w:themeColor="text1"/>
          <w:sz w:val="20"/>
          <w:szCs w:val="20"/>
        </w:rPr>
        <w:t>s</w:t>
      </w:r>
      <w:r w:rsidR="00FF41A0">
        <w:rPr>
          <w:color w:val="000000" w:themeColor="text1"/>
          <w:sz w:val="20"/>
          <w:szCs w:val="20"/>
        </w:rPr>
        <w:t xml:space="preserve"> </w:t>
      </w:r>
      <w:r w:rsidRPr="00113DE2">
        <w:rPr>
          <w:color w:val="000000" w:themeColor="text1"/>
          <w:sz w:val="20"/>
          <w:szCs w:val="20"/>
        </w:rPr>
        <w:t>Fund</w:t>
      </w:r>
      <w:r w:rsidR="00FF41A0">
        <w:rPr>
          <w:color w:val="000000" w:themeColor="text1"/>
          <w:sz w:val="20"/>
          <w:szCs w:val="20"/>
        </w:rPr>
        <w:t xml:space="preserve"> </w:t>
      </w:r>
      <w:r w:rsidRPr="00113DE2">
        <w:rPr>
          <w:color w:val="000000" w:themeColor="text1"/>
          <w:sz w:val="20"/>
          <w:szCs w:val="20"/>
        </w:rPr>
        <w:t>(UNICEF)</w:t>
      </w:r>
      <w:r>
        <w:rPr>
          <w:color w:val="000000" w:themeColor="text1"/>
          <w:sz w:val="20"/>
          <w:szCs w:val="20"/>
        </w:rPr>
        <w:t>,</w:t>
      </w:r>
      <w:r w:rsidR="00FF41A0">
        <w:rPr>
          <w:color w:val="000000" w:themeColor="text1"/>
          <w:sz w:val="20"/>
          <w:szCs w:val="20"/>
        </w:rPr>
        <w:t xml:space="preserve"> </w:t>
      </w:r>
      <w:r w:rsidRPr="00F50A37">
        <w:rPr>
          <w:color w:val="000000" w:themeColor="text1"/>
          <w:sz w:val="20"/>
          <w:szCs w:val="20"/>
        </w:rPr>
        <w:t>United</w:t>
      </w:r>
      <w:r w:rsidR="00FF41A0">
        <w:rPr>
          <w:color w:val="000000" w:themeColor="text1"/>
          <w:sz w:val="20"/>
          <w:szCs w:val="20"/>
        </w:rPr>
        <w:t xml:space="preserve"> </w:t>
      </w:r>
      <w:r w:rsidRPr="00F50A37">
        <w:rPr>
          <w:color w:val="000000" w:themeColor="text1"/>
          <w:sz w:val="20"/>
          <w:szCs w:val="20"/>
        </w:rPr>
        <w:t>Nations</w:t>
      </w:r>
      <w:r w:rsidR="00FF41A0">
        <w:rPr>
          <w:color w:val="000000" w:themeColor="text1"/>
          <w:sz w:val="20"/>
          <w:szCs w:val="20"/>
        </w:rPr>
        <w:t xml:space="preserve"> </w:t>
      </w:r>
      <w:r w:rsidRPr="00F50A37">
        <w:rPr>
          <w:color w:val="000000" w:themeColor="text1"/>
          <w:sz w:val="20"/>
          <w:szCs w:val="20"/>
        </w:rPr>
        <w:t>Entity</w:t>
      </w:r>
      <w:r w:rsidR="00FF41A0">
        <w:rPr>
          <w:color w:val="000000" w:themeColor="text1"/>
          <w:sz w:val="20"/>
          <w:szCs w:val="20"/>
        </w:rPr>
        <w:t xml:space="preserve"> </w:t>
      </w:r>
      <w:r w:rsidRPr="00F50A37">
        <w:rPr>
          <w:color w:val="000000" w:themeColor="text1"/>
          <w:sz w:val="20"/>
          <w:szCs w:val="20"/>
        </w:rPr>
        <w:t>for</w:t>
      </w:r>
      <w:r w:rsidR="00FF41A0">
        <w:rPr>
          <w:color w:val="000000" w:themeColor="text1"/>
          <w:sz w:val="20"/>
          <w:szCs w:val="20"/>
        </w:rPr>
        <w:t xml:space="preserve"> </w:t>
      </w:r>
      <w:r w:rsidRPr="00F50A37">
        <w:rPr>
          <w:color w:val="000000" w:themeColor="text1"/>
          <w:sz w:val="20"/>
          <w:szCs w:val="20"/>
        </w:rPr>
        <w:t>Gender</w:t>
      </w:r>
      <w:r w:rsidR="00FF41A0">
        <w:rPr>
          <w:color w:val="000000" w:themeColor="text1"/>
          <w:sz w:val="20"/>
          <w:szCs w:val="20"/>
        </w:rPr>
        <w:t xml:space="preserve"> </w:t>
      </w:r>
      <w:r w:rsidRPr="00F50A37">
        <w:rPr>
          <w:color w:val="000000" w:themeColor="text1"/>
          <w:sz w:val="20"/>
          <w:szCs w:val="20"/>
        </w:rPr>
        <w:t>Equality</w:t>
      </w:r>
      <w:r w:rsidR="00FF41A0">
        <w:rPr>
          <w:color w:val="000000" w:themeColor="text1"/>
          <w:sz w:val="20"/>
          <w:szCs w:val="20"/>
        </w:rPr>
        <w:t xml:space="preserve"> </w:t>
      </w:r>
      <w:r w:rsidRPr="00F50A37">
        <w:rPr>
          <w:color w:val="000000" w:themeColor="text1"/>
          <w:sz w:val="20"/>
          <w:szCs w:val="20"/>
        </w:rPr>
        <w:t>and</w:t>
      </w:r>
      <w:r w:rsidR="00FF41A0">
        <w:rPr>
          <w:color w:val="000000" w:themeColor="text1"/>
          <w:sz w:val="20"/>
          <w:szCs w:val="20"/>
        </w:rPr>
        <w:t xml:space="preserve"> </w:t>
      </w:r>
      <w:r w:rsidRPr="00F50A37">
        <w:rPr>
          <w:color w:val="000000" w:themeColor="text1"/>
          <w:sz w:val="20"/>
          <w:szCs w:val="20"/>
        </w:rPr>
        <w:t>the</w:t>
      </w:r>
      <w:r w:rsidR="00FF41A0">
        <w:rPr>
          <w:color w:val="000000" w:themeColor="text1"/>
          <w:sz w:val="20"/>
          <w:szCs w:val="20"/>
        </w:rPr>
        <w:t xml:space="preserve"> </w:t>
      </w:r>
      <w:r w:rsidRPr="00F50A37">
        <w:rPr>
          <w:color w:val="000000" w:themeColor="text1"/>
          <w:sz w:val="20"/>
          <w:szCs w:val="20"/>
        </w:rPr>
        <w:t>Empowerment</w:t>
      </w:r>
      <w:r w:rsidR="00FF41A0">
        <w:rPr>
          <w:color w:val="000000" w:themeColor="text1"/>
          <w:sz w:val="20"/>
          <w:szCs w:val="20"/>
        </w:rPr>
        <w:t xml:space="preserve"> </w:t>
      </w:r>
      <w:r w:rsidRPr="00F50A37">
        <w:rPr>
          <w:color w:val="000000" w:themeColor="text1"/>
          <w:sz w:val="20"/>
          <w:szCs w:val="20"/>
        </w:rPr>
        <w:t>of</w:t>
      </w:r>
      <w:r w:rsidR="00FF41A0">
        <w:rPr>
          <w:color w:val="000000" w:themeColor="text1"/>
          <w:sz w:val="20"/>
          <w:szCs w:val="20"/>
        </w:rPr>
        <w:t xml:space="preserve"> </w:t>
      </w:r>
      <w:r w:rsidRPr="00F50A37">
        <w:rPr>
          <w:color w:val="000000" w:themeColor="text1"/>
          <w:sz w:val="20"/>
          <w:szCs w:val="20"/>
        </w:rPr>
        <w:t>Women</w:t>
      </w:r>
      <w:r w:rsidRPr="00113DE2">
        <w:rPr>
          <w:color w:val="000000" w:themeColor="text1"/>
          <w:sz w:val="20"/>
          <w:szCs w:val="20"/>
        </w:rPr>
        <w:t>;</w:t>
      </w:r>
    </w:p>
    <w:p w14:paraId="30DCEB07" w14:textId="4006A8D0" w:rsidR="00106E2C" w:rsidRPr="00113DE2" w:rsidRDefault="00F16EE8" w:rsidP="00106E2C">
      <w:pPr>
        <w:pStyle w:val="SingleTxtG"/>
        <w:ind w:firstLine="567"/>
        <w:rPr>
          <w:color w:val="000000" w:themeColor="text1"/>
          <w:sz w:val="20"/>
          <w:szCs w:val="20"/>
        </w:rPr>
      </w:pPr>
      <w:r>
        <w:rPr>
          <w:color w:val="000000" w:themeColor="text1"/>
          <w:sz w:val="20"/>
          <w:szCs w:val="20"/>
        </w:rPr>
        <w:t>(d</w:t>
      </w:r>
      <w:r w:rsidR="00106E2C" w:rsidRPr="00113DE2">
        <w:rPr>
          <w:color w:val="000000" w:themeColor="text1"/>
          <w:sz w:val="20"/>
          <w:szCs w:val="20"/>
        </w:rPr>
        <w:t>)</w:t>
      </w:r>
      <w:r w:rsidR="00106E2C" w:rsidRPr="00113DE2">
        <w:rPr>
          <w:color w:val="000000" w:themeColor="text1"/>
          <w:sz w:val="20"/>
          <w:szCs w:val="20"/>
        </w:rPr>
        <w:tab/>
        <w:t>Observer</w:t>
      </w:r>
      <w:r w:rsidR="00FF41A0">
        <w:rPr>
          <w:color w:val="000000" w:themeColor="text1"/>
          <w:sz w:val="20"/>
          <w:szCs w:val="20"/>
        </w:rPr>
        <w:t xml:space="preserve"> </w:t>
      </w:r>
      <w:r w:rsidR="00106E2C" w:rsidRPr="00113DE2">
        <w:rPr>
          <w:color w:val="000000" w:themeColor="text1"/>
          <w:sz w:val="20"/>
          <w:szCs w:val="20"/>
        </w:rPr>
        <w:t>for</w:t>
      </w:r>
      <w:r w:rsidR="00FF41A0">
        <w:rPr>
          <w:color w:val="000000" w:themeColor="text1"/>
          <w:sz w:val="20"/>
          <w:szCs w:val="20"/>
        </w:rPr>
        <w:t xml:space="preserve"> </w:t>
      </w:r>
      <w:r w:rsidR="00106E2C" w:rsidRPr="00113DE2">
        <w:rPr>
          <w:color w:val="000000" w:themeColor="text1"/>
          <w:sz w:val="20"/>
          <w:szCs w:val="20"/>
        </w:rPr>
        <w:t>an</w:t>
      </w:r>
      <w:r w:rsidR="00FF41A0">
        <w:rPr>
          <w:color w:val="000000" w:themeColor="text1"/>
          <w:sz w:val="20"/>
          <w:szCs w:val="20"/>
        </w:rPr>
        <w:t xml:space="preserve"> </w:t>
      </w:r>
      <w:r w:rsidR="00106E2C" w:rsidRPr="00113DE2">
        <w:rPr>
          <w:color w:val="000000" w:themeColor="text1"/>
          <w:sz w:val="20"/>
          <w:szCs w:val="20"/>
        </w:rPr>
        <w:t>intergovernmenta</w:t>
      </w:r>
      <w:r w:rsidR="00F62C3C" w:rsidRPr="00113DE2">
        <w:rPr>
          <w:color w:val="000000" w:themeColor="text1"/>
          <w:sz w:val="20"/>
          <w:szCs w:val="20"/>
        </w:rPr>
        <w:t>l</w:t>
      </w:r>
      <w:r w:rsidR="00FF41A0">
        <w:rPr>
          <w:color w:val="000000" w:themeColor="text1"/>
          <w:sz w:val="20"/>
          <w:szCs w:val="20"/>
        </w:rPr>
        <w:t xml:space="preserve"> </w:t>
      </w:r>
      <w:r w:rsidR="00F62C3C" w:rsidRPr="00113DE2">
        <w:rPr>
          <w:color w:val="000000" w:themeColor="text1"/>
          <w:sz w:val="20"/>
          <w:szCs w:val="20"/>
        </w:rPr>
        <w:t>organization:</w:t>
      </w:r>
      <w:r w:rsidR="00FF41A0">
        <w:rPr>
          <w:color w:val="000000" w:themeColor="text1"/>
          <w:sz w:val="20"/>
          <w:szCs w:val="20"/>
        </w:rPr>
        <w:t xml:space="preserve"> </w:t>
      </w:r>
      <w:r w:rsidR="00F62C3C" w:rsidRPr="00113DE2">
        <w:rPr>
          <w:color w:val="000000" w:themeColor="text1"/>
          <w:sz w:val="20"/>
          <w:szCs w:val="20"/>
        </w:rPr>
        <w:t>European</w:t>
      </w:r>
      <w:r w:rsidR="00FF41A0">
        <w:rPr>
          <w:color w:val="000000" w:themeColor="text1"/>
          <w:sz w:val="20"/>
          <w:szCs w:val="20"/>
        </w:rPr>
        <w:t xml:space="preserve"> </w:t>
      </w:r>
      <w:r w:rsidR="00F62C3C" w:rsidRPr="00113DE2">
        <w:rPr>
          <w:color w:val="000000" w:themeColor="text1"/>
          <w:sz w:val="20"/>
          <w:szCs w:val="20"/>
        </w:rPr>
        <w:t>Union;</w:t>
      </w:r>
    </w:p>
    <w:p w14:paraId="263136B3" w14:textId="6F1C92A3" w:rsidR="00106E2C" w:rsidRPr="00113DE2" w:rsidRDefault="00106E2C" w:rsidP="00106E2C">
      <w:pPr>
        <w:pStyle w:val="SingleTxtG"/>
        <w:ind w:firstLine="567"/>
        <w:rPr>
          <w:color w:val="000000" w:themeColor="text1"/>
          <w:sz w:val="20"/>
          <w:szCs w:val="20"/>
        </w:rPr>
      </w:pPr>
      <w:r w:rsidRPr="00113DE2">
        <w:rPr>
          <w:color w:val="000000" w:themeColor="text1"/>
          <w:sz w:val="20"/>
          <w:szCs w:val="20"/>
        </w:rPr>
        <w:t>(</w:t>
      </w:r>
      <w:r w:rsidR="00F16EE8">
        <w:rPr>
          <w:color w:val="000000" w:themeColor="text1"/>
          <w:sz w:val="20"/>
          <w:szCs w:val="20"/>
        </w:rPr>
        <w:t>e</w:t>
      </w:r>
      <w:r w:rsidRPr="00113DE2">
        <w:rPr>
          <w:color w:val="000000" w:themeColor="text1"/>
          <w:sz w:val="20"/>
          <w:szCs w:val="20"/>
        </w:rPr>
        <w:t>)</w:t>
      </w:r>
      <w:r w:rsidRPr="00113DE2">
        <w:rPr>
          <w:color w:val="000000" w:themeColor="text1"/>
          <w:sz w:val="20"/>
          <w:szCs w:val="20"/>
        </w:rPr>
        <w:tab/>
        <w:t>Observers</w:t>
      </w:r>
      <w:r w:rsidR="00FF41A0">
        <w:rPr>
          <w:color w:val="000000" w:themeColor="text1"/>
          <w:sz w:val="20"/>
          <w:szCs w:val="20"/>
        </w:rPr>
        <w:t xml:space="preserve"> </w:t>
      </w:r>
      <w:r w:rsidRPr="00113DE2">
        <w:rPr>
          <w:color w:val="000000" w:themeColor="text1"/>
          <w:sz w:val="20"/>
          <w:szCs w:val="20"/>
        </w:rPr>
        <w:t>for</w:t>
      </w:r>
      <w:r w:rsidR="00FF41A0">
        <w:rPr>
          <w:color w:val="000000" w:themeColor="text1"/>
          <w:sz w:val="20"/>
          <w:szCs w:val="20"/>
        </w:rPr>
        <w:t xml:space="preserve"> </w:t>
      </w:r>
      <w:r w:rsidRPr="00113DE2">
        <w:rPr>
          <w:color w:val="000000" w:themeColor="text1"/>
          <w:sz w:val="20"/>
          <w:szCs w:val="20"/>
        </w:rPr>
        <w:t>non-governmental</w:t>
      </w:r>
      <w:r w:rsidR="00FF41A0">
        <w:rPr>
          <w:color w:val="000000" w:themeColor="text1"/>
          <w:sz w:val="20"/>
          <w:szCs w:val="20"/>
        </w:rPr>
        <w:t xml:space="preserve"> </w:t>
      </w:r>
      <w:r w:rsidRPr="00113DE2">
        <w:rPr>
          <w:color w:val="000000" w:themeColor="text1"/>
          <w:sz w:val="20"/>
          <w:szCs w:val="20"/>
        </w:rPr>
        <w:t>organizations:</w:t>
      </w:r>
      <w:r w:rsidR="00FF41A0">
        <w:rPr>
          <w:color w:val="000000" w:themeColor="text1"/>
          <w:sz w:val="20"/>
          <w:szCs w:val="20"/>
        </w:rPr>
        <w:t xml:space="preserve"> </w:t>
      </w:r>
      <w:r w:rsidR="00F16EE8" w:rsidRPr="00F16EE8">
        <w:rPr>
          <w:color w:val="000000" w:themeColor="text1"/>
          <w:sz w:val="20"/>
          <w:szCs w:val="20"/>
        </w:rPr>
        <w:t>Association</w:t>
      </w:r>
      <w:r w:rsidR="00FF41A0">
        <w:rPr>
          <w:color w:val="000000" w:themeColor="text1"/>
          <w:sz w:val="20"/>
          <w:szCs w:val="20"/>
        </w:rPr>
        <w:t xml:space="preserve"> </w:t>
      </w:r>
      <w:r w:rsidR="00F16EE8" w:rsidRPr="00F16EE8">
        <w:rPr>
          <w:color w:val="000000" w:themeColor="text1"/>
          <w:sz w:val="20"/>
          <w:szCs w:val="20"/>
        </w:rPr>
        <w:t>of</w:t>
      </w:r>
      <w:r w:rsidR="00FF41A0">
        <w:rPr>
          <w:color w:val="000000" w:themeColor="text1"/>
          <w:sz w:val="20"/>
          <w:szCs w:val="20"/>
        </w:rPr>
        <w:t xml:space="preserve"> </w:t>
      </w:r>
      <w:r w:rsidR="00F16EE8" w:rsidRPr="00F16EE8">
        <w:rPr>
          <w:color w:val="000000" w:themeColor="text1"/>
          <w:sz w:val="20"/>
          <w:szCs w:val="20"/>
        </w:rPr>
        <w:t>world</w:t>
      </w:r>
      <w:r w:rsidR="00FF41A0">
        <w:rPr>
          <w:color w:val="000000" w:themeColor="text1"/>
          <w:sz w:val="20"/>
          <w:szCs w:val="20"/>
        </w:rPr>
        <w:t xml:space="preserve"> </w:t>
      </w:r>
      <w:r w:rsidR="00F16EE8" w:rsidRPr="00F16EE8">
        <w:rPr>
          <w:color w:val="000000" w:themeColor="text1"/>
          <w:sz w:val="20"/>
          <w:szCs w:val="20"/>
        </w:rPr>
        <w:t>citizens</w:t>
      </w:r>
      <w:r w:rsidR="00F16EE8">
        <w:rPr>
          <w:color w:val="000000" w:themeColor="text1"/>
          <w:sz w:val="20"/>
          <w:szCs w:val="20"/>
        </w:rPr>
        <w:t>;</w:t>
      </w:r>
      <w:r w:rsidR="00FF41A0">
        <w:rPr>
          <w:color w:val="000000" w:themeColor="text1"/>
          <w:sz w:val="20"/>
          <w:szCs w:val="20"/>
        </w:rPr>
        <w:t xml:space="preserve"> </w:t>
      </w:r>
      <w:r w:rsidR="00F16EE8" w:rsidRPr="00F16EE8">
        <w:rPr>
          <w:color w:val="000000" w:themeColor="text1"/>
          <w:sz w:val="20"/>
          <w:szCs w:val="20"/>
        </w:rPr>
        <w:t>Catholic</w:t>
      </w:r>
      <w:r w:rsidR="00FF41A0">
        <w:rPr>
          <w:color w:val="000000" w:themeColor="text1"/>
          <w:sz w:val="20"/>
          <w:szCs w:val="20"/>
        </w:rPr>
        <w:t xml:space="preserve"> </w:t>
      </w:r>
      <w:r w:rsidR="00F16EE8" w:rsidRPr="00F16EE8">
        <w:rPr>
          <w:color w:val="000000" w:themeColor="text1"/>
          <w:sz w:val="20"/>
          <w:szCs w:val="20"/>
        </w:rPr>
        <w:t>International</w:t>
      </w:r>
      <w:r w:rsidR="00FF41A0">
        <w:rPr>
          <w:color w:val="000000" w:themeColor="text1"/>
          <w:sz w:val="20"/>
          <w:szCs w:val="20"/>
        </w:rPr>
        <w:t xml:space="preserve"> </w:t>
      </w:r>
      <w:r w:rsidR="00F16EE8" w:rsidRPr="00F16EE8">
        <w:rPr>
          <w:color w:val="000000" w:themeColor="text1"/>
          <w:sz w:val="20"/>
          <w:szCs w:val="20"/>
        </w:rPr>
        <w:t>Education</w:t>
      </w:r>
      <w:r w:rsidR="00FF41A0">
        <w:rPr>
          <w:color w:val="000000" w:themeColor="text1"/>
          <w:sz w:val="20"/>
          <w:szCs w:val="20"/>
        </w:rPr>
        <w:t xml:space="preserve"> </w:t>
      </w:r>
      <w:r w:rsidR="00F16EE8" w:rsidRPr="00F16EE8">
        <w:rPr>
          <w:color w:val="000000" w:themeColor="text1"/>
          <w:sz w:val="20"/>
          <w:szCs w:val="20"/>
        </w:rPr>
        <w:t>Office</w:t>
      </w:r>
      <w:r w:rsidR="00F16EE8">
        <w:rPr>
          <w:color w:val="000000" w:themeColor="text1"/>
          <w:sz w:val="20"/>
          <w:szCs w:val="20"/>
        </w:rPr>
        <w:t>;</w:t>
      </w:r>
      <w:r w:rsidR="00FF41A0">
        <w:rPr>
          <w:color w:val="000000" w:themeColor="text1"/>
          <w:sz w:val="20"/>
          <w:szCs w:val="20"/>
        </w:rPr>
        <w:t xml:space="preserve"> </w:t>
      </w:r>
      <w:r w:rsidR="00F16EE8" w:rsidRPr="00F16EE8">
        <w:rPr>
          <w:color w:val="000000" w:themeColor="text1"/>
          <w:sz w:val="20"/>
          <w:szCs w:val="20"/>
        </w:rPr>
        <w:t>International</w:t>
      </w:r>
      <w:r w:rsidR="00FF41A0">
        <w:rPr>
          <w:color w:val="000000" w:themeColor="text1"/>
          <w:sz w:val="20"/>
          <w:szCs w:val="20"/>
        </w:rPr>
        <w:t xml:space="preserve"> </w:t>
      </w:r>
      <w:r w:rsidR="00F16EE8" w:rsidRPr="00F16EE8">
        <w:rPr>
          <w:color w:val="000000" w:themeColor="text1"/>
          <w:sz w:val="20"/>
          <w:szCs w:val="20"/>
        </w:rPr>
        <w:t>Federation</w:t>
      </w:r>
      <w:r w:rsidR="00FF41A0">
        <w:rPr>
          <w:color w:val="000000" w:themeColor="text1"/>
          <w:sz w:val="20"/>
          <w:szCs w:val="20"/>
        </w:rPr>
        <w:t xml:space="preserve"> </w:t>
      </w:r>
      <w:r w:rsidR="00F16EE8" w:rsidRPr="00F16EE8">
        <w:rPr>
          <w:color w:val="000000" w:themeColor="text1"/>
          <w:sz w:val="20"/>
          <w:szCs w:val="20"/>
        </w:rPr>
        <w:t>of</w:t>
      </w:r>
      <w:r w:rsidR="00FF41A0">
        <w:rPr>
          <w:color w:val="000000" w:themeColor="text1"/>
          <w:sz w:val="20"/>
          <w:szCs w:val="20"/>
        </w:rPr>
        <w:t xml:space="preserve"> </w:t>
      </w:r>
      <w:r w:rsidR="00F16EE8" w:rsidRPr="00F16EE8">
        <w:rPr>
          <w:color w:val="000000" w:themeColor="text1"/>
          <w:sz w:val="20"/>
          <w:szCs w:val="20"/>
        </w:rPr>
        <w:t>ACAT</w:t>
      </w:r>
      <w:r w:rsidR="00FF41A0">
        <w:rPr>
          <w:color w:val="000000" w:themeColor="text1"/>
          <w:sz w:val="20"/>
          <w:szCs w:val="20"/>
        </w:rPr>
        <w:t xml:space="preserve"> </w:t>
      </w:r>
      <w:r w:rsidR="00F16EE8" w:rsidRPr="00F16EE8">
        <w:rPr>
          <w:color w:val="000000" w:themeColor="text1"/>
          <w:sz w:val="20"/>
          <w:szCs w:val="20"/>
        </w:rPr>
        <w:t>(Action</w:t>
      </w:r>
      <w:r w:rsidR="00FF41A0">
        <w:rPr>
          <w:color w:val="000000" w:themeColor="text1"/>
          <w:sz w:val="20"/>
          <w:szCs w:val="20"/>
        </w:rPr>
        <w:t xml:space="preserve"> </w:t>
      </w:r>
      <w:r w:rsidR="00F16EE8" w:rsidRPr="00F16EE8">
        <w:rPr>
          <w:color w:val="000000" w:themeColor="text1"/>
          <w:sz w:val="20"/>
          <w:szCs w:val="20"/>
        </w:rPr>
        <w:t>by</w:t>
      </w:r>
      <w:r w:rsidR="00FF41A0">
        <w:rPr>
          <w:color w:val="000000" w:themeColor="text1"/>
          <w:sz w:val="20"/>
          <w:szCs w:val="20"/>
        </w:rPr>
        <w:t xml:space="preserve"> </w:t>
      </w:r>
      <w:r w:rsidR="00F16EE8" w:rsidRPr="00F16EE8">
        <w:rPr>
          <w:color w:val="000000" w:themeColor="text1"/>
          <w:sz w:val="20"/>
          <w:szCs w:val="20"/>
        </w:rPr>
        <w:t>Christians</w:t>
      </w:r>
      <w:r w:rsidR="00FF41A0">
        <w:rPr>
          <w:color w:val="000000" w:themeColor="text1"/>
          <w:sz w:val="20"/>
          <w:szCs w:val="20"/>
        </w:rPr>
        <w:t xml:space="preserve"> </w:t>
      </w:r>
      <w:r w:rsidR="00F16EE8" w:rsidRPr="00F16EE8">
        <w:rPr>
          <w:color w:val="000000" w:themeColor="text1"/>
          <w:sz w:val="20"/>
          <w:szCs w:val="20"/>
        </w:rPr>
        <w:t>for</w:t>
      </w:r>
      <w:r w:rsidR="00FF41A0">
        <w:rPr>
          <w:color w:val="000000" w:themeColor="text1"/>
          <w:sz w:val="20"/>
          <w:szCs w:val="20"/>
        </w:rPr>
        <w:t xml:space="preserve"> </w:t>
      </w:r>
      <w:r w:rsidR="00F16EE8" w:rsidRPr="00F16EE8">
        <w:rPr>
          <w:color w:val="000000" w:themeColor="text1"/>
          <w:sz w:val="20"/>
          <w:szCs w:val="20"/>
        </w:rPr>
        <w:t>the</w:t>
      </w:r>
      <w:r w:rsidR="00FF41A0">
        <w:rPr>
          <w:color w:val="000000" w:themeColor="text1"/>
          <w:sz w:val="20"/>
          <w:szCs w:val="20"/>
        </w:rPr>
        <w:t xml:space="preserve"> </w:t>
      </w:r>
      <w:r w:rsidR="00F16EE8" w:rsidRPr="00F16EE8">
        <w:rPr>
          <w:color w:val="000000" w:themeColor="text1"/>
          <w:sz w:val="20"/>
          <w:szCs w:val="20"/>
        </w:rPr>
        <w:t>Abolition</w:t>
      </w:r>
      <w:r w:rsidR="00FF41A0">
        <w:rPr>
          <w:color w:val="000000" w:themeColor="text1"/>
          <w:sz w:val="20"/>
          <w:szCs w:val="20"/>
        </w:rPr>
        <w:t xml:space="preserve"> </w:t>
      </w:r>
      <w:r w:rsidR="00F16EE8" w:rsidRPr="00F16EE8">
        <w:rPr>
          <w:color w:val="000000" w:themeColor="text1"/>
          <w:sz w:val="20"/>
          <w:szCs w:val="20"/>
        </w:rPr>
        <w:t>of</w:t>
      </w:r>
      <w:r w:rsidR="00FF41A0">
        <w:rPr>
          <w:color w:val="000000" w:themeColor="text1"/>
          <w:sz w:val="20"/>
          <w:szCs w:val="20"/>
        </w:rPr>
        <w:t xml:space="preserve"> </w:t>
      </w:r>
      <w:r w:rsidR="00F16EE8" w:rsidRPr="00F16EE8">
        <w:rPr>
          <w:color w:val="000000" w:themeColor="text1"/>
          <w:sz w:val="20"/>
          <w:szCs w:val="20"/>
        </w:rPr>
        <w:t>Torture)</w:t>
      </w:r>
      <w:r w:rsidR="00F16EE8">
        <w:rPr>
          <w:color w:val="000000" w:themeColor="text1"/>
          <w:sz w:val="20"/>
          <w:szCs w:val="20"/>
        </w:rPr>
        <w:t>;</w:t>
      </w:r>
      <w:r w:rsidR="00FF41A0">
        <w:rPr>
          <w:color w:val="000000" w:themeColor="text1"/>
          <w:sz w:val="20"/>
          <w:szCs w:val="20"/>
        </w:rPr>
        <w:t xml:space="preserve"> </w:t>
      </w:r>
      <w:r w:rsidR="00F16EE8" w:rsidRPr="00F16EE8">
        <w:rPr>
          <w:color w:val="000000" w:themeColor="text1"/>
          <w:sz w:val="20"/>
          <w:szCs w:val="20"/>
        </w:rPr>
        <w:t>Rencontre</w:t>
      </w:r>
      <w:r w:rsidR="00FF41A0">
        <w:rPr>
          <w:color w:val="000000" w:themeColor="text1"/>
          <w:sz w:val="20"/>
          <w:szCs w:val="20"/>
        </w:rPr>
        <w:t xml:space="preserve"> </w:t>
      </w:r>
      <w:r w:rsidR="00F16EE8" w:rsidRPr="00F16EE8">
        <w:rPr>
          <w:color w:val="000000" w:themeColor="text1"/>
          <w:sz w:val="20"/>
          <w:szCs w:val="20"/>
        </w:rPr>
        <w:t>Africaine</w:t>
      </w:r>
      <w:r w:rsidR="00FF41A0">
        <w:rPr>
          <w:color w:val="000000" w:themeColor="text1"/>
          <w:sz w:val="20"/>
          <w:szCs w:val="20"/>
        </w:rPr>
        <w:t xml:space="preserve"> </w:t>
      </w:r>
      <w:r w:rsidR="00F16EE8" w:rsidRPr="00F16EE8">
        <w:rPr>
          <w:color w:val="000000" w:themeColor="text1"/>
          <w:sz w:val="20"/>
          <w:szCs w:val="20"/>
        </w:rPr>
        <w:t>pour</w:t>
      </w:r>
      <w:r w:rsidR="00FF41A0">
        <w:rPr>
          <w:color w:val="000000" w:themeColor="text1"/>
          <w:sz w:val="20"/>
          <w:szCs w:val="20"/>
        </w:rPr>
        <w:t xml:space="preserve"> </w:t>
      </w:r>
      <w:r w:rsidR="00F16EE8" w:rsidRPr="00F16EE8">
        <w:rPr>
          <w:color w:val="000000" w:themeColor="text1"/>
          <w:sz w:val="20"/>
          <w:szCs w:val="20"/>
        </w:rPr>
        <w:t>la</w:t>
      </w:r>
      <w:r w:rsidR="00FF41A0">
        <w:rPr>
          <w:color w:val="000000" w:themeColor="text1"/>
          <w:sz w:val="20"/>
          <w:szCs w:val="20"/>
        </w:rPr>
        <w:t xml:space="preserve"> </w:t>
      </w:r>
      <w:r w:rsidR="00F16EE8" w:rsidRPr="00F16EE8">
        <w:rPr>
          <w:color w:val="000000" w:themeColor="text1"/>
          <w:sz w:val="20"/>
          <w:szCs w:val="20"/>
        </w:rPr>
        <w:t>defense</w:t>
      </w:r>
      <w:r w:rsidR="00FF41A0">
        <w:rPr>
          <w:color w:val="000000" w:themeColor="text1"/>
          <w:sz w:val="20"/>
          <w:szCs w:val="20"/>
        </w:rPr>
        <w:t xml:space="preserve"> </w:t>
      </w:r>
      <w:r w:rsidR="00F16EE8" w:rsidRPr="00F16EE8">
        <w:rPr>
          <w:color w:val="000000" w:themeColor="text1"/>
          <w:sz w:val="20"/>
          <w:szCs w:val="20"/>
        </w:rPr>
        <w:t>des</w:t>
      </w:r>
      <w:r w:rsidR="00FF41A0">
        <w:rPr>
          <w:color w:val="000000" w:themeColor="text1"/>
          <w:sz w:val="20"/>
          <w:szCs w:val="20"/>
        </w:rPr>
        <w:t xml:space="preserve"> </w:t>
      </w:r>
      <w:r w:rsidR="00F16EE8" w:rsidRPr="00F16EE8">
        <w:rPr>
          <w:color w:val="000000" w:themeColor="text1"/>
          <w:sz w:val="20"/>
          <w:szCs w:val="20"/>
        </w:rPr>
        <w:t>droits</w:t>
      </w:r>
      <w:r w:rsidR="00FF41A0">
        <w:rPr>
          <w:color w:val="000000" w:themeColor="text1"/>
          <w:sz w:val="20"/>
          <w:szCs w:val="20"/>
        </w:rPr>
        <w:t xml:space="preserve"> </w:t>
      </w:r>
      <w:r w:rsidR="00F16EE8" w:rsidRPr="00F16EE8">
        <w:rPr>
          <w:color w:val="000000" w:themeColor="text1"/>
          <w:sz w:val="20"/>
          <w:szCs w:val="20"/>
        </w:rPr>
        <w:t>de</w:t>
      </w:r>
      <w:r w:rsidR="00FF41A0">
        <w:rPr>
          <w:color w:val="000000" w:themeColor="text1"/>
          <w:sz w:val="20"/>
          <w:szCs w:val="20"/>
        </w:rPr>
        <w:t xml:space="preserve"> </w:t>
      </w:r>
      <w:r w:rsidR="00F16EE8" w:rsidRPr="00F16EE8">
        <w:rPr>
          <w:color w:val="000000" w:themeColor="text1"/>
          <w:sz w:val="20"/>
          <w:szCs w:val="20"/>
        </w:rPr>
        <w:t>l</w:t>
      </w:r>
      <w:r w:rsidR="00D72627">
        <w:rPr>
          <w:color w:val="000000" w:themeColor="text1"/>
          <w:sz w:val="20"/>
          <w:szCs w:val="20"/>
        </w:rPr>
        <w:t>’</w:t>
      </w:r>
      <w:r w:rsidR="00F16EE8" w:rsidRPr="00F16EE8">
        <w:rPr>
          <w:color w:val="000000" w:themeColor="text1"/>
          <w:sz w:val="20"/>
          <w:szCs w:val="20"/>
        </w:rPr>
        <w:t>homme</w:t>
      </w:r>
      <w:r w:rsidR="00F16EE8">
        <w:rPr>
          <w:color w:val="000000" w:themeColor="text1"/>
          <w:sz w:val="20"/>
          <w:szCs w:val="20"/>
        </w:rPr>
        <w:t>;</w:t>
      </w:r>
      <w:r w:rsidR="00FF41A0">
        <w:rPr>
          <w:color w:val="000000" w:themeColor="text1"/>
          <w:sz w:val="20"/>
          <w:szCs w:val="20"/>
        </w:rPr>
        <w:t xml:space="preserve"> </w:t>
      </w:r>
      <w:r w:rsidR="00F16EE8" w:rsidRPr="00F16EE8">
        <w:rPr>
          <w:color w:val="000000" w:themeColor="text1"/>
          <w:sz w:val="20"/>
          <w:szCs w:val="20"/>
        </w:rPr>
        <w:t>World</w:t>
      </w:r>
      <w:r w:rsidR="00FF41A0">
        <w:rPr>
          <w:color w:val="000000" w:themeColor="text1"/>
          <w:sz w:val="20"/>
          <w:szCs w:val="20"/>
        </w:rPr>
        <w:t xml:space="preserve"> </w:t>
      </w:r>
      <w:r w:rsidR="00F16EE8" w:rsidRPr="00F16EE8">
        <w:rPr>
          <w:color w:val="000000" w:themeColor="text1"/>
          <w:sz w:val="20"/>
          <w:szCs w:val="20"/>
        </w:rPr>
        <w:t>Evangelical</w:t>
      </w:r>
      <w:r w:rsidR="00FF41A0">
        <w:rPr>
          <w:color w:val="000000" w:themeColor="text1"/>
          <w:sz w:val="20"/>
          <w:szCs w:val="20"/>
        </w:rPr>
        <w:t xml:space="preserve"> </w:t>
      </w:r>
      <w:r w:rsidR="00F16EE8" w:rsidRPr="00F16EE8">
        <w:rPr>
          <w:color w:val="000000" w:themeColor="text1"/>
          <w:sz w:val="20"/>
          <w:szCs w:val="20"/>
        </w:rPr>
        <w:t>Alliance</w:t>
      </w:r>
      <w:r w:rsidR="00FF41A0">
        <w:rPr>
          <w:color w:val="000000" w:themeColor="text1"/>
          <w:sz w:val="20"/>
          <w:szCs w:val="20"/>
        </w:rPr>
        <w:t xml:space="preserve"> </w:t>
      </w:r>
      <w:r w:rsidR="00F16EE8">
        <w:rPr>
          <w:color w:val="000000" w:themeColor="text1"/>
          <w:sz w:val="20"/>
          <w:szCs w:val="20"/>
        </w:rPr>
        <w:t>(also</w:t>
      </w:r>
      <w:r w:rsidR="00FF41A0">
        <w:rPr>
          <w:color w:val="000000" w:themeColor="text1"/>
          <w:sz w:val="20"/>
          <w:szCs w:val="20"/>
        </w:rPr>
        <w:t xml:space="preserve"> </w:t>
      </w:r>
      <w:r w:rsidR="00F16EE8">
        <w:rPr>
          <w:color w:val="000000" w:themeColor="text1"/>
          <w:sz w:val="20"/>
          <w:szCs w:val="20"/>
        </w:rPr>
        <w:t>on</w:t>
      </w:r>
      <w:r w:rsidR="00FF41A0">
        <w:rPr>
          <w:color w:val="000000" w:themeColor="text1"/>
          <w:sz w:val="20"/>
          <w:szCs w:val="20"/>
        </w:rPr>
        <w:t xml:space="preserve"> </w:t>
      </w:r>
      <w:r w:rsidR="00F16EE8">
        <w:rPr>
          <w:color w:val="000000" w:themeColor="text1"/>
          <w:sz w:val="20"/>
          <w:szCs w:val="20"/>
        </w:rPr>
        <w:t>behalf</w:t>
      </w:r>
      <w:r w:rsidR="00FF41A0">
        <w:rPr>
          <w:color w:val="000000" w:themeColor="text1"/>
          <w:sz w:val="20"/>
          <w:szCs w:val="20"/>
        </w:rPr>
        <w:t xml:space="preserve"> </w:t>
      </w:r>
      <w:r w:rsidR="00F16EE8">
        <w:rPr>
          <w:color w:val="000000" w:themeColor="text1"/>
          <w:sz w:val="20"/>
          <w:szCs w:val="20"/>
        </w:rPr>
        <w:t>of</w:t>
      </w:r>
      <w:r w:rsidR="00FF41A0">
        <w:rPr>
          <w:color w:val="000000" w:themeColor="text1"/>
          <w:sz w:val="20"/>
          <w:szCs w:val="20"/>
        </w:rPr>
        <w:t xml:space="preserve"> </w:t>
      </w:r>
      <w:r w:rsidR="00F16EE8" w:rsidRPr="00F16EE8">
        <w:rPr>
          <w:color w:val="000000" w:themeColor="text1"/>
          <w:sz w:val="20"/>
          <w:szCs w:val="20"/>
        </w:rPr>
        <w:t>Caritas</w:t>
      </w:r>
      <w:r w:rsidR="00FF41A0">
        <w:rPr>
          <w:color w:val="000000" w:themeColor="text1"/>
          <w:sz w:val="20"/>
          <w:szCs w:val="20"/>
        </w:rPr>
        <w:t xml:space="preserve"> </w:t>
      </w:r>
      <w:r w:rsidR="00F16EE8" w:rsidRPr="00F16EE8">
        <w:rPr>
          <w:color w:val="000000" w:themeColor="text1"/>
          <w:sz w:val="20"/>
          <w:szCs w:val="20"/>
        </w:rPr>
        <w:t>Internationalis</w:t>
      </w:r>
      <w:r w:rsidR="00FF41A0">
        <w:rPr>
          <w:color w:val="000000" w:themeColor="text1"/>
          <w:sz w:val="20"/>
          <w:szCs w:val="20"/>
        </w:rPr>
        <w:t xml:space="preserve"> </w:t>
      </w:r>
      <w:r w:rsidR="00F16EE8" w:rsidRPr="00F16EE8">
        <w:rPr>
          <w:color w:val="000000" w:themeColor="text1"/>
          <w:sz w:val="20"/>
          <w:szCs w:val="20"/>
        </w:rPr>
        <w:t>(International</w:t>
      </w:r>
      <w:r w:rsidR="00FF41A0">
        <w:rPr>
          <w:color w:val="000000" w:themeColor="text1"/>
          <w:sz w:val="20"/>
          <w:szCs w:val="20"/>
        </w:rPr>
        <w:t xml:space="preserve"> </w:t>
      </w:r>
      <w:r w:rsidR="00F16EE8" w:rsidRPr="00F16EE8">
        <w:rPr>
          <w:color w:val="000000" w:themeColor="text1"/>
          <w:sz w:val="20"/>
          <w:szCs w:val="20"/>
        </w:rPr>
        <w:t>Confe</w:t>
      </w:r>
      <w:r w:rsidR="00F16EE8">
        <w:rPr>
          <w:color w:val="000000" w:themeColor="text1"/>
          <w:sz w:val="20"/>
          <w:szCs w:val="20"/>
        </w:rPr>
        <w:t>deration</w:t>
      </w:r>
      <w:r w:rsidR="00FF41A0">
        <w:rPr>
          <w:color w:val="000000" w:themeColor="text1"/>
          <w:sz w:val="20"/>
          <w:szCs w:val="20"/>
        </w:rPr>
        <w:t xml:space="preserve"> </w:t>
      </w:r>
      <w:r w:rsidR="00F16EE8">
        <w:rPr>
          <w:color w:val="000000" w:themeColor="text1"/>
          <w:sz w:val="20"/>
          <w:szCs w:val="20"/>
        </w:rPr>
        <w:t>of</w:t>
      </w:r>
      <w:r w:rsidR="00FF41A0">
        <w:rPr>
          <w:color w:val="000000" w:themeColor="text1"/>
          <w:sz w:val="20"/>
          <w:szCs w:val="20"/>
        </w:rPr>
        <w:t xml:space="preserve"> </w:t>
      </w:r>
      <w:r w:rsidR="00F16EE8">
        <w:rPr>
          <w:color w:val="000000" w:themeColor="text1"/>
          <w:sz w:val="20"/>
          <w:szCs w:val="20"/>
        </w:rPr>
        <w:t>Catholic</w:t>
      </w:r>
      <w:r w:rsidR="00FF41A0">
        <w:rPr>
          <w:color w:val="000000" w:themeColor="text1"/>
          <w:sz w:val="20"/>
          <w:szCs w:val="20"/>
        </w:rPr>
        <w:t xml:space="preserve"> </w:t>
      </w:r>
      <w:r w:rsidR="00F16EE8">
        <w:rPr>
          <w:color w:val="000000" w:themeColor="text1"/>
          <w:sz w:val="20"/>
          <w:szCs w:val="20"/>
        </w:rPr>
        <w:t>Charities))</w:t>
      </w:r>
      <w:r w:rsidRPr="00113DE2">
        <w:rPr>
          <w:color w:val="000000" w:themeColor="text1"/>
          <w:sz w:val="20"/>
          <w:szCs w:val="20"/>
        </w:rPr>
        <w:t>.</w:t>
      </w:r>
    </w:p>
    <w:p w14:paraId="200CC6E7" w14:textId="2AB6A835" w:rsidR="00C11A68" w:rsidRPr="00113DE2" w:rsidRDefault="00CF15B1" w:rsidP="0033667E">
      <w:pPr>
        <w:pStyle w:val="SingleTxtG"/>
        <w:rPr>
          <w:color w:val="000000" w:themeColor="text1"/>
          <w:sz w:val="20"/>
          <w:szCs w:val="20"/>
        </w:rPr>
      </w:pPr>
      <w:r>
        <w:rPr>
          <w:color w:val="000000" w:themeColor="text1"/>
          <w:sz w:val="20"/>
          <w:szCs w:val="20"/>
        </w:rPr>
        <w:t>983</w:t>
      </w:r>
      <w:r w:rsidR="00106E2C" w:rsidRPr="00113DE2">
        <w:rPr>
          <w:color w:val="000000" w:themeColor="text1"/>
          <w:sz w:val="20"/>
          <w:szCs w:val="20"/>
        </w:rPr>
        <w:t>.</w:t>
      </w:r>
      <w:r w:rsidR="00106E2C" w:rsidRPr="00113DE2">
        <w:rPr>
          <w:color w:val="000000" w:themeColor="text1"/>
          <w:sz w:val="20"/>
          <w:szCs w:val="20"/>
        </w:rPr>
        <w:tab/>
        <w:t>At</w:t>
      </w:r>
      <w:r w:rsidR="00FF41A0">
        <w:rPr>
          <w:color w:val="000000" w:themeColor="text1"/>
          <w:sz w:val="20"/>
          <w:szCs w:val="20"/>
        </w:rPr>
        <w:t xml:space="preserve"> </w:t>
      </w:r>
      <w:r w:rsidR="00106E2C" w:rsidRPr="00113DE2">
        <w:rPr>
          <w:color w:val="000000" w:themeColor="text1"/>
          <w:sz w:val="20"/>
          <w:szCs w:val="20"/>
        </w:rPr>
        <w:t>the</w:t>
      </w:r>
      <w:r w:rsidR="00FF41A0">
        <w:rPr>
          <w:color w:val="000000" w:themeColor="text1"/>
          <w:sz w:val="20"/>
          <w:szCs w:val="20"/>
        </w:rPr>
        <w:t xml:space="preserve"> </w:t>
      </w:r>
      <w:r w:rsidR="00106E2C" w:rsidRPr="00F16EE8">
        <w:rPr>
          <w:color w:val="000000" w:themeColor="text1"/>
          <w:sz w:val="20"/>
          <w:szCs w:val="20"/>
        </w:rPr>
        <w:t>same</w:t>
      </w:r>
      <w:r w:rsidR="00FF41A0">
        <w:rPr>
          <w:color w:val="000000" w:themeColor="text1"/>
          <w:sz w:val="20"/>
          <w:szCs w:val="20"/>
        </w:rPr>
        <w:t xml:space="preserve"> </w:t>
      </w:r>
      <w:r w:rsidR="00106E2C" w:rsidRPr="00113DE2">
        <w:rPr>
          <w:color w:val="000000" w:themeColor="text1"/>
          <w:sz w:val="20"/>
          <w:szCs w:val="20"/>
        </w:rPr>
        <w:t>meeting,</w:t>
      </w:r>
      <w:r w:rsidR="00FF41A0">
        <w:rPr>
          <w:color w:val="000000" w:themeColor="text1"/>
          <w:sz w:val="20"/>
          <w:szCs w:val="20"/>
        </w:rPr>
        <w:t xml:space="preserve"> </w:t>
      </w:r>
      <w:r w:rsidR="00106E2C" w:rsidRPr="00113DE2">
        <w:rPr>
          <w:color w:val="000000" w:themeColor="text1"/>
          <w:sz w:val="20"/>
          <w:szCs w:val="20"/>
        </w:rPr>
        <w:t>the</w:t>
      </w:r>
      <w:r w:rsidR="00FF41A0">
        <w:rPr>
          <w:color w:val="000000" w:themeColor="text1"/>
          <w:sz w:val="20"/>
          <w:szCs w:val="20"/>
        </w:rPr>
        <w:t xml:space="preserve"> </w:t>
      </w:r>
      <w:r w:rsidR="005742F8" w:rsidRPr="00113DE2">
        <w:rPr>
          <w:color w:val="000000" w:themeColor="text1"/>
          <w:sz w:val="20"/>
          <w:szCs w:val="20"/>
        </w:rPr>
        <w:t>presenters</w:t>
      </w:r>
      <w:r w:rsidR="00FF41A0">
        <w:rPr>
          <w:color w:val="000000" w:themeColor="text1"/>
          <w:sz w:val="20"/>
          <w:szCs w:val="20"/>
        </w:rPr>
        <w:t xml:space="preserve"> </w:t>
      </w:r>
      <w:r w:rsidR="00106E2C" w:rsidRPr="00113DE2">
        <w:rPr>
          <w:color w:val="000000" w:themeColor="text1"/>
          <w:sz w:val="20"/>
          <w:szCs w:val="20"/>
        </w:rPr>
        <w:t>answered</w:t>
      </w:r>
      <w:r w:rsidR="00FF41A0">
        <w:rPr>
          <w:color w:val="000000" w:themeColor="text1"/>
          <w:sz w:val="20"/>
          <w:szCs w:val="20"/>
        </w:rPr>
        <w:t xml:space="preserve"> </w:t>
      </w:r>
      <w:r w:rsidR="00106E2C" w:rsidRPr="00113DE2">
        <w:rPr>
          <w:color w:val="000000" w:themeColor="text1"/>
          <w:sz w:val="20"/>
          <w:szCs w:val="20"/>
        </w:rPr>
        <w:t>questions</w:t>
      </w:r>
      <w:r w:rsidR="00FF41A0">
        <w:rPr>
          <w:color w:val="000000" w:themeColor="text1"/>
          <w:sz w:val="20"/>
          <w:szCs w:val="20"/>
        </w:rPr>
        <w:t xml:space="preserve"> </w:t>
      </w:r>
      <w:r w:rsidR="00106E2C" w:rsidRPr="00113DE2">
        <w:rPr>
          <w:color w:val="000000" w:themeColor="text1"/>
          <w:sz w:val="20"/>
          <w:szCs w:val="20"/>
        </w:rPr>
        <w:t>and</w:t>
      </w:r>
      <w:r w:rsidR="00FF41A0">
        <w:rPr>
          <w:color w:val="000000" w:themeColor="text1"/>
          <w:sz w:val="20"/>
          <w:szCs w:val="20"/>
        </w:rPr>
        <w:t xml:space="preserve"> </w:t>
      </w:r>
      <w:r w:rsidR="00106E2C" w:rsidRPr="00113DE2">
        <w:rPr>
          <w:color w:val="000000" w:themeColor="text1"/>
          <w:sz w:val="20"/>
          <w:szCs w:val="20"/>
        </w:rPr>
        <w:t>made</w:t>
      </w:r>
      <w:r w:rsidR="00FF41A0">
        <w:rPr>
          <w:color w:val="000000" w:themeColor="text1"/>
          <w:sz w:val="20"/>
          <w:szCs w:val="20"/>
        </w:rPr>
        <w:t xml:space="preserve"> </w:t>
      </w:r>
      <w:r w:rsidR="00157F6B" w:rsidRPr="00113DE2">
        <w:rPr>
          <w:color w:val="000000" w:themeColor="text1"/>
          <w:sz w:val="20"/>
          <w:szCs w:val="20"/>
        </w:rPr>
        <w:t>t</w:t>
      </w:r>
      <w:r w:rsidR="00106E2C" w:rsidRPr="00113DE2">
        <w:rPr>
          <w:color w:val="000000" w:themeColor="text1"/>
          <w:sz w:val="20"/>
          <w:szCs w:val="20"/>
        </w:rPr>
        <w:t>he</w:t>
      </w:r>
      <w:r w:rsidR="00157F6B" w:rsidRPr="00113DE2">
        <w:rPr>
          <w:color w:val="000000" w:themeColor="text1"/>
          <w:sz w:val="20"/>
          <w:szCs w:val="20"/>
        </w:rPr>
        <w:t>i</w:t>
      </w:r>
      <w:r w:rsidR="00106E2C" w:rsidRPr="00113DE2">
        <w:rPr>
          <w:color w:val="000000" w:themeColor="text1"/>
          <w:sz w:val="20"/>
          <w:szCs w:val="20"/>
        </w:rPr>
        <w:t>r</w:t>
      </w:r>
      <w:r w:rsidR="00FF41A0">
        <w:rPr>
          <w:color w:val="000000" w:themeColor="text1"/>
          <w:sz w:val="20"/>
          <w:szCs w:val="20"/>
        </w:rPr>
        <w:t xml:space="preserve"> </w:t>
      </w:r>
      <w:r w:rsidR="00106E2C" w:rsidRPr="00113DE2">
        <w:rPr>
          <w:color w:val="000000" w:themeColor="text1"/>
          <w:sz w:val="20"/>
          <w:szCs w:val="20"/>
        </w:rPr>
        <w:t>concluding</w:t>
      </w:r>
      <w:r w:rsidR="00FF41A0">
        <w:rPr>
          <w:color w:val="000000" w:themeColor="text1"/>
          <w:sz w:val="20"/>
          <w:szCs w:val="20"/>
        </w:rPr>
        <w:t xml:space="preserve"> </w:t>
      </w:r>
      <w:r w:rsidR="00106E2C" w:rsidRPr="00113DE2">
        <w:rPr>
          <w:color w:val="000000" w:themeColor="text1"/>
          <w:sz w:val="20"/>
          <w:szCs w:val="20"/>
        </w:rPr>
        <w:t>remarks.</w:t>
      </w:r>
      <w:r w:rsidR="00106E2C" w:rsidRPr="00C16037">
        <w:rPr>
          <w:color w:val="000000" w:themeColor="text1"/>
        </w:rPr>
        <w:tab/>
      </w:r>
    </w:p>
    <w:p w14:paraId="3D63635A" w14:textId="40F5C608" w:rsidR="00F05CF5" w:rsidRPr="00C16037" w:rsidRDefault="00F05CF5" w:rsidP="00F05CF5">
      <w:pPr>
        <w:pStyle w:val="H1G"/>
        <w:rPr>
          <w:color w:val="000000" w:themeColor="text1"/>
        </w:rPr>
      </w:pPr>
      <w:r w:rsidRPr="00C16037">
        <w:rPr>
          <w:color w:val="000000" w:themeColor="text1"/>
        </w:rPr>
        <w:tab/>
      </w:r>
      <w:r w:rsidR="004B1AD2">
        <w:rPr>
          <w:color w:val="000000" w:themeColor="text1"/>
        </w:rPr>
        <w:t>D</w:t>
      </w:r>
      <w:r w:rsidRPr="00C16037">
        <w:rPr>
          <w:color w:val="000000" w:themeColor="text1"/>
        </w:rPr>
        <w:t>.</w:t>
      </w:r>
      <w:r w:rsidRPr="00C16037">
        <w:rPr>
          <w:color w:val="000000" w:themeColor="text1"/>
        </w:rPr>
        <w:tab/>
        <w:t>Interactive</w:t>
      </w:r>
      <w:r w:rsidR="00FF41A0">
        <w:rPr>
          <w:color w:val="000000" w:themeColor="text1"/>
        </w:rPr>
        <w:t xml:space="preserve"> </w:t>
      </w:r>
      <w:r w:rsidRPr="00C16037">
        <w:rPr>
          <w:color w:val="000000" w:themeColor="text1"/>
        </w:rPr>
        <w:t>dialogue</w:t>
      </w:r>
      <w:r w:rsidR="00FF41A0">
        <w:rPr>
          <w:color w:val="000000" w:themeColor="text1"/>
        </w:rPr>
        <w:t xml:space="preserve"> </w:t>
      </w:r>
      <w:r w:rsidRPr="00C16037">
        <w:rPr>
          <w:color w:val="000000" w:themeColor="text1"/>
        </w:rPr>
        <w:t>with</w:t>
      </w:r>
      <w:r w:rsidR="00FF41A0">
        <w:rPr>
          <w:color w:val="000000" w:themeColor="text1"/>
        </w:rPr>
        <w:t xml:space="preserve"> </w:t>
      </w:r>
      <w:r w:rsidR="00873831">
        <w:rPr>
          <w:color w:val="000000" w:themeColor="text1"/>
        </w:rPr>
        <w:t xml:space="preserve">a </w:t>
      </w:r>
      <w:r w:rsidRPr="00C16037">
        <w:rPr>
          <w:color w:val="000000" w:themeColor="text1"/>
        </w:rPr>
        <w:t>special</w:t>
      </w:r>
      <w:r w:rsidR="00FF41A0">
        <w:rPr>
          <w:color w:val="000000" w:themeColor="text1"/>
        </w:rPr>
        <w:t xml:space="preserve"> </w:t>
      </w:r>
      <w:r w:rsidRPr="00C16037">
        <w:rPr>
          <w:color w:val="000000" w:themeColor="text1"/>
        </w:rPr>
        <w:t>procedures</w:t>
      </w:r>
      <w:r w:rsidR="00FF41A0">
        <w:rPr>
          <w:color w:val="000000" w:themeColor="text1"/>
        </w:rPr>
        <w:t xml:space="preserve"> </w:t>
      </w:r>
      <w:r w:rsidRPr="00C16037">
        <w:rPr>
          <w:color w:val="000000" w:themeColor="text1"/>
        </w:rPr>
        <w:t>mandate</w:t>
      </w:r>
      <w:r w:rsidR="00FF41A0">
        <w:rPr>
          <w:color w:val="000000" w:themeColor="text1"/>
        </w:rPr>
        <w:t xml:space="preserve"> </w:t>
      </w:r>
      <w:r w:rsidRPr="00C16037">
        <w:rPr>
          <w:color w:val="000000" w:themeColor="text1"/>
        </w:rPr>
        <w:t>holder</w:t>
      </w:r>
    </w:p>
    <w:p w14:paraId="1CFD5BDF" w14:textId="58A75E1F" w:rsidR="00F05CF5" w:rsidRPr="00113DE2" w:rsidRDefault="00F05CF5" w:rsidP="00F05CF5">
      <w:pPr>
        <w:pStyle w:val="H23G"/>
        <w:rPr>
          <w:color w:val="000000" w:themeColor="text1"/>
          <w:sz w:val="20"/>
          <w:szCs w:val="20"/>
        </w:rPr>
      </w:pPr>
      <w:r w:rsidRPr="00C16037">
        <w:rPr>
          <w:color w:val="000000" w:themeColor="text1"/>
        </w:rPr>
        <w:tab/>
      </w:r>
      <w:r w:rsidRPr="00C16037">
        <w:rPr>
          <w:color w:val="000000" w:themeColor="text1"/>
        </w:rPr>
        <w:tab/>
      </w:r>
      <w:r w:rsidRPr="000F56AD">
        <w:rPr>
          <w:color w:val="000000" w:themeColor="text1"/>
          <w:sz w:val="20"/>
          <w:szCs w:val="20"/>
        </w:rPr>
        <w:t>Independent</w:t>
      </w:r>
      <w:r w:rsidR="00FF41A0">
        <w:rPr>
          <w:color w:val="000000" w:themeColor="text1"/>
          <w:sz w:val="20"/>
          <w:szCs w:val="20"/>
        </w:rPr>
        <w:t xml:space="preserve"> </w:t>
      </w:r>
      <w:r w:rsidRPr="000F56AD">
        <w:rPr>
          <w:color w:val="000000" w:themeColor="text1"/>
          <w:sz w:val="20"/>
          <w:szCs w:val="20"/>
        </w:rPr>
        <w:t>Expert</w:t>
      </w:r>
      <w:r w:rsidR="00FF41A0">
        <w:rPr>
          <w:color w:val="000000" w:themeColor="text1"/>
          <w:sz w:val="20"/>
          <w:szCs w:val="20"/>
        </w:rPr>
        <w:t xml:space="preserve"> </w:t>
      </w:r>
      <w:r w:rsidRPr="000F56AD">
        <w:rPr>
          <w:color w:val="000000" w:themeColor="text1"/>
          <w:sz w:val="20"/>
          <w:szCs w:val="20"/>
        </w:rPr>
        <w:t>on</w:t>
      </w:r>
      <w:r w:rsidR="00FF41A0">
        <w:rPr>
          <w:color w:val="000000" w:themeColor="text1"/>
          <w:sz w:val="20"/>
          <w:szCs w:val="20"/>
        </w:rPr>
        <w:t xml:space="preserve"> </w:t>
      </w:r>
      <w:r w:rsidRPr="000F56AD">
        <w:rPr>
          <w:color w:val="000000" w:themeColor="text1"/>
          <w:sz w:val="20"/>
          <w:szCs w:val="20"/>
        </w:rPr>
        <w:t>the</w:t>
      </w:r>
      <w:r w:rsidR="00FF41A0">
        <w:rPr>
          <w:color w:val="000000" w:themeColor="text1"/>
          <w:sz w:val="20"/>
          <w:szCs w:val="20"/>
        </w:rPr>
        <w:t xml:space="preserve"> </w:t>
      </w:r>
      <w:r w:rsidRPr="000F56AD">
        <w:rPr>
          <w:color w:val="000000" w:themeColor="text1"/>
          <w:sz w:val="20"/>
          <w:szCs w:val="20"/>
        </w:rPr>
        <w:t>situation</w:t>
      </w:r>
      <w:r w:rsidR="00FF41A0">
        <w:rPr>
          <w:color w:val="000000" w:themeColor="text1"/>
          <w:sz w:val="20"/>
          <w:szCs w:val="20"/>
        </w:rPr>
        <w:t xml:space="preserve"> </w:t>
      </w:r>
      <w:r w:rsidRPr="000F56AD">
        <w:rPr>
          <w:color w:val="000000" w:themeColor="text1"/>
          <w:sz w:val="20"/>
          <w:szCs w:val="20"/>
        </w:rPr>
        <w:t>of</w:t>
      </w:r>
      <w:r w:rsidR="00FF41A0">
        <w:rPr>
          <w:color w:val="000000" w:themeColor="text1"/>
          <w:sz w:val="20"/>
          <w:szCs w:val="20"/>
        </w:rPr>
        <w:t xml:space="preserve"> </w:t>
      </w:r>
      <w:r w:rsidRPr="000F56AD">
        <w:rPr>
          <w:color w:val="000000" w:themeColor="text1"/>
          <w:sz w:val="20"/>
          <w:szCs w:val="20"/>
        </w:rPr>
        <w:t>human</w:t>
      </w:r>
      <w:r w:rsidR="00FF41A0">
        <w:rPr>
          <w:color w:val="000000" w:themeColor="text1"/>
          <w:sz w:val="20"/>
          <w:szCs w:val="20"/>
        </w:rPr>
        <w:t xml:space="preserve"> </w:t>
      </w:r>
      <w:r w:rsidRPr="000F56AD">
        <w:rPr>
          <w:color w:val="000000" w:themeColor="text1"/>
          <w:sz w:val="20"/>
          <w:szCs w:val="20"/>
        </w:rPr>
        <w:t>rights</w:t>
      </w:r>
      <w:r w:rsidR="00FF41A0">
        <w:rPr>
          <w:color w:val="000000" w:themeColor="text1"/>
          <w:sz w:val="20"/>
          <w:szCs w:val="20"/>
        </w:rPr>
        <w:t xml:space="preserve"> </w:t>
      </w:r>
      <w:r w:rsidRPr="000F56AD">
        <w:rPr>
          <w:color w:val="000000" w:themeColor="text1"/>
          <w:sz w:val="20"/>
          <w:szCs w:val="20"/>
        </w:rPr>
        <w:t>in</w:t>
      </w:r>
      <w:r w:rsidR="00FF41A0">
        <w:rPr>
          <w:color w:val="000000" w:themeColor="text1"/>
          <w:sz w:val="20"/>
          <w:szCs w:val="20"/>
        </w:rPr>
        <w:t xml:space="preserve"> </w:t>
      </w:r>
      <w:r w:rsidRPr="000F56AD">
        <w:rPr>
          <w:color w:val="000000" w:themeColor="text1"/>
          <w:sz w:val="20"/>
          <w:szCs w:val="20"/>
        </w:rPr>
        <w:t>Mali</w:t>
      </w:r>
    </w:p>
    <w:p w14:paraId="3EBA4970" w14:textId="759898C0" w:rsidR="00F05CF5" w:rsidRDefault="00CF15B1" w:rsidP="00F05CF5">
      <w:pPr>
        <w:pStyle w:val="SingleTxtG"/>
        <w:rPr>
          <w:color w:val="000000" w:themeColor="text1"/>
          <w:sz w:val="20"/>
          <w:szCs w:val="20"/>
        </w:rPr>
      </w:pPr>
      <w:r>
        <w:rPr>
          <w:color w:val="000000" w:themeColor="text1"/>
          <w:sz w:val="20"/>
          <w:szCs w:val="20"/>
        </w:rPr>
        <w:t>984</w:t>
      </w:r>
      <w:r w:rsidR="00F05CF5" w:rsidRPr="00113DE2">
        <w:rPr>
          <w:color w:val="000000" w:themeColor="text1"/>
          <w:sz w:val="20"/>
          <w:szCs w:val="20"/>
        </w:rPr>
        <w:t>.</w:t>
      </w:r>
      <w:r w:rsidR="00F05CF5" w:rsidRPr="00113DE2">
        <w:rPr>
          <w:color w:val="000000" w:themeColor="text1"/>
          <w:sz w:val="20"/>
          <w:szCs w:val="20"/>
        </w:rPr>
        <w:tab/>
        <w:t>At</w:t>
      </w:r>
      <w:r w:rsidR="00FF41A0">
        <w:rPr>
          <w:color w:val="000000" w:themeColor="text1"/>
          <w:sz w:val="20"/>
          <w:szCs w:val="20"/>
        </w:rPr>
        <w:t xml:space="preserve"> </w:t>
      </w:r>
      <w:r w:rsidR="00F05CF5" w:rsidRPr="00113DE2">
        <w:rPr>
          <w:color w:val="000000" w:themeColor="text1"/>
          <w:sz w:val="20"/>
          <w:szCs w:val="20"/>
        </w:rPr>
        <w:t>the</w:t>
      </w:r>
      <w:r w:rsidR="00FF41A0">
        <w:rPr>
          <w:color w:val="000000" w:themeColor="text1"/>
          <w:sz w:val="20"/>
          <w:szCs w:val="20"/>
        </w:rPr>
        <w:t xml:space="preserve"> </w:t>
      </w:r>
      <w:r w:rsidR="00F05CF5" w:rsidRPr="00113DE2">
        <w:rPr>
          <w:color w:val="000000" w:themeColor="text1"/>
          <w:sz w:val="20"/>
          <w:szCs w:val="20"/>
        </w:rPr>
        <w:t>4</w:t>
      </w:r>
      <w:r w:rsidR="00160D0F">
        <w:rPr>
          <w:color w:val="000000" w:themeColor="text1"/>
          <w:sz w:val="20"/>
          <w:szCs w:val="20"/>
        </w:rPr>
        <w:t>6</w:t>
      </w:r>
      <w:r w:rsidR="00F05CF5" w:rsidRPr="00113DE2">
        <w:rPr>
          <w:color w:val="000000" w:themeColor="text1"/>
          <w:sz w:val="20"/>
          <w:szCs w:val="20"/>
        </w:rPr>
        <w:t>th</w:t>
      </w:r>
      <w:r w:rsidR="00FF41A0">
        <w:rPr>
          <w:color w:val="000000" w:themeColor="text1"/>
          <w:sz w:val="20"/>
          <w:szCs w:val="20"/>
        </w:rPr>
        <w:t xml:space="preserve"> </w:t>
      </w:r>
      <w:r w:rsidR="00F05CF5" w:rsidRPr="00113DE2">
        <w:rPr>
          <w:color w:val="000000" w:themeColor="text1"/>
          <w:sz w:val="20"/>
          <w:szCs w:val="20"/>
        </w:rPr>
        <w:t>meeting,</w:t>
      </w:r>
      <w:r w:rsidR="00FF41A0">
        <w:rPr>
          <w:color w:val="000000" w:themeColor="text1"/>
          <w:sz w:val="20"/>
          <w:szCs w:val="20"/>
        </w:rPr>
        <w:t xml:space="preserve"> </w:t>
      </w:r>
      <w:r w:rsidR="00F05CF5" w:rsidRPr="00113DE2">
        <w:rPr>
          <w:color w:val="000000" w:themeColor="text1"/>
          <w:sz w:val="20"/>
          <w:szCs w:val="20"/>
        </w:rPr>
        <w:t>on</w:t>
      </w:r>
      <w:r w:rsidR="00FF41A0">
        <w:rPr>
          <w:color w:val="000000" w:themeColor="text1"/>
          <w:sz w:val="20"/>
          <w:szCs w:val="20"/>
        </w:rPr>
        <w:t xml:space="preserve"> </w:t>
      </w:r>
      <w:r w:rsidR="00160D0F">
        <w:rPr>
          <w:color w:val="000000" w:themeColor="text1"/>
          <w:sz w:val="20"/>
          <w:szCs w:val="20"/>
        </w:rPr>
        <w:t>19</w:t>
      </w:r>
      <w:r w:rsidR="00FF41A0">
        <w:rPr>
          <w:color w:val="000000" w:themeColor="text1"/>
          <w:sz w:val="20"/>
          <w:szCs w:val="20"/>
        </w:rPr>
        <w:t xml:space="preserve"> </w:t>
      </w:r>
      <w:r w:rsidR="00F05CF5" w:rsidRPr="00113DE2">
        <w:rPr>
          <w:color w:val="000000" w:themeColor="text1"/>
          <w:sz w:val="20"/>
          <w:szCs w:val="20"/>
        </w:rPr>
        <w:t>March</w:t>
      </w:r>
      <w:r w:rsidR="00FF41A0">
        <w:rPr>
          <w:color w:val="000000" w:themeColor="text1"/>
          <w:sz w:val="20"/>
          <w:szCs w:val="20"/>
        </w:rPr>
        <w:t xml:space="preserve"> </w:t>
      </w:r>
      <w:r w:rsidR="00141AFC">
        <w:rPr>
          <w:color w:val="000000" w:themeColor="text1"/>
          <w:sz w:val="20"/>
          <w:szCs w:val="20"/>
        </w:rPr>
        <w:t>2019</w:t>
      </w:r>
      <w:r w:rsidR="00F05CF5" w:rsidRPr="00113DE2">
        <w:rPr>
          <w:color w:val="000000" w:themeColor="text1"/>
          <w:sz w:val="20"/>
          <w:szCs w:val="20"/>
        </w:rPr>
        <w:t>,</w:t>
      </w:r>
      <w:r w:rsidR="00FF41A0">
        <w:rPr>
          <w:color w:val="000000" w:themeColor="text1"/>
          <w:sz w:val="20"/>
          <w:szCs w:val="20"/>
        </w:rPr>
        <w:t xml:space="preserve"> </w:t>
      </w:r>
      <w:r w:rsidR="00120FEE">
        <w:rPr>
          <w:color w:val="000000" w:themeColor="text1"/>
          <w:sz w:val="20"/>
          <w:szCs w:val="20"/>
        </w:rPr>
        <w:t xml:space="preserve">the </w:t>
      </w:r>
      <w:r w:rsidR="00F05CF5" w:rsidRPr="00113DE2">
        <w:rPr>
          <w:color w:val="000000" w:themeColor="text1"/>
          <w:sz w:val="20"/>
          <w:szCs w:val="20"/>
        </w:rPr>
        <w:t>Independent</w:t>
      </w:r>
      <w:r w:rsidR="00FF41A0">
        <w:rPr>
          <w:color w:val="000000" w:themeColor="text1"/>
          <w:sz w:val="20"/>
          <w:szCs w:val="20"/>
        </w:rPr>
        <w:t xml:space="preserve"> </w:t>
      </w:r>
      <w:r w:rsidR="00F05CF5" w:rsidRPr="00113DE2">
        <w:rPr>
          <w:color w:val="000000" w:themeColor="text1"/>
          <w:sz w:val="20"/>
          <w:szCs w:val="20"/>
        </w:rPr>
        <w:t>Expert</w:t>
      </w:r>
      <w:r w:rsidR="00FF41A0">
        <w:rPr>
          <w:color w:val="000000" w:themeColor="text1"/>
          <w:sz w:val="20"/>
          <w:szCs w:val="20"/>
        </w:rPr>
        <w:t xml:space="preserve"> </w:t>
      </w:r>
      <w:r w:rsidR="00F05CF5" w:rsidRPr="00113DE2">
        <w:rPr>
          <w:color w:val="000000" w:themeColor="text1"/>
          <w:sz w:val="20"/>
          <w:szCs w:val="20"/>
        </w:rPr>
        <w:t>on</w:t>
      </w:r>
      <w:r w:rsidR="00FF41A0">
        <w:rPr>
          <w:color w:val="000000" w:themeColor="text1"/>
          <w:sz w:val="20"/>
          <w:szCs w:val="20"/>
        </w:rPr>
        <w:t xml:space="preserve"> </w:t>
      </w:r>
      <w:r w:rsidR="00F05CF5" w:rsidRPr="00113DE2">
        <w:rPr>
          <w:color w:val="000000" w:themeColor="text1"/>
          <w:sz w:val="20"/>
          <w:szCs w:val="20"/>
        </w:rPr>
        <w:t>the</w:t>
      </w:r>
      <w:r w:rsidR="00FF41A0">
        <w:rPr>
          <w:color w:val="000000" w:themeColor="text1"/>
          <w:sz w:val="20"/>
          <w:szCs w:val="20"/>
        </w:rPr>
        <w:t xml:space="preserve"> </w:t>
      </w:r>
      <w:r w:rsidR="00F05CF5" w:rsidRPr="00113DE2">
        <w:rPr>
          <w:color w:val="000000" w:themeColor="text1"/>
          <w:sz w:val="20"/>
          <w:szCs w:val="20"/>
        </w:rPr>
        <w:t>situation</w:t>
      </w:r>
      <w:r w:rsidR="00FF41A0">
        <w:rPr>
          <w:color w:val="000000" w:themeColor="text1"/>
          <w:sz w:val="20"/>
          <w:szCs w:val="20"/>
        </w:rPr>
        <w:t xml:space="preserve"> </w:t>
      </w:r>
      <w:r w:rsidR="00F05CF5" w:rsidRPr="00113DE2">
        <w:rPr>
          <w:color w:val="000000" w:themeColor="text1"/>
          <w:sz w:val="20"/>
          <w:szCs w:val="20"/>
        </w:rPr>
        <w:t>of</w:t>
      </w:r>
      <w:r w:rsidR="00FF41A0">
        <w:rPr>
          <w:color w:val="000000" w:themeColor="text1"/>
          <w:sz w:val="20"/>
          <w:szCs w:val="20"/>
        </w:rPr>
        <w:t xml:space="preserve"> </w:t>
      </w:r>
      <w:r w:rsidR="00F05CF5" w:rsidRPr="00113DE2">
        <w:rPr>
          <w:color w:val="000000" w:themeColor="text1"/>
          <w:sz w:val="20"/>
          <w:szCs w:val="20"/>
        </w:rPr>
        <w:t>human</w:t>
      </w:r>
      <w:r w:rsidR="00FF41A0">
        <w:rPr>
          <w:color w:val="000000" w:themeColor="text1"/>
          <w:sz w:val="20"/>
          <w:szCs w:val="20"/>
        </w:rPr>
        <w:t xml:space="preserve"> </w:t>
      </w:r>
      <w:r w:rsidR="00F05CF5" w:rsidRPr="00113DE2">
        <w:rPr>
          <w:color w:val="000000" w:themeColor="text1"/>
          <w:sz w:val="20"/>
          <w:szCs w:val="20"/>
        </w:rPr>
        <w:t>rights</w:t>
      </w:r>
      <w:r w:rsidR="00FF41A0">
        <w:rPr>
          <w:color w:val="000000" w:themeColor="text1"/>
          <w:sz w:val="20"/>
          <w:szCs w:val="20"/>
        </w:rPr>
        <w:t xml:space="preserve"> </w:t>
      </w:r>
      <w:r w:rsidR="00F05CF5" w:rsidRPr="00113DE2">
        <w:rPr>
          <w:color w:val="000000" w:themeColor="text1"/>
          <w:sz w:val="20"/>
          <w:szCs w:val="20"/>
        </w:rPr>
        <w:t>in</w:t>
      </w:r>
      <w:r w:rsidR="00FF41A0">
        <w:rPr>
          <w:color w:val="000000" w:themeColor="text1"/>
          <w:sz w:val="20"/>
          <w:szCs w:val="20"/>
        </w:rPr>
        <w:t xml:space="preserve"> </w:t>
      </w:r>
      <w:r w:rsidR="00F05CF5" w:rsidRPr="00113DE2">
        <w:rPr>
          <w:color w:val="000000" w:themeColor="text1"/>
          <w:sz w:val="20"/>
          <w:szCs w:val="20"/>
        </w:rPr>
        <w:t>Mali,</w:t>
      </w:r>
      <w:r w:rsidR="00FF41A0">
        <w:rPr>
          <w:color w:val="000000" w:themeColor="text1"/>
          <w:sz w:val="20"/>
          <w:szCs w:val="20"/>
        </w:rPr>
        <w:t xml:space="preserve"> </w:t>
      </w:r>
      <w:r w:rsidR="00160D0F" w:rsidRPr="00160D0F">
        <w:rPr>
          <w:color w:val="000000" w:themeColor="text1"/>
          <w:sz w:val="20"/>
          <w:szCs w:val="20"/>
        </w:rPr>
        <w:t>Alioune</w:t>
      </w:r>
      <w:r w:rsidR="00FF41A0">
        <w:rPr>
          <w:color w:val="000000" w:themeColor="text1"/>
          <w:sz w:val="20"/>
          <w:szCs w:val="20"/>
        </w:rPr>
        <w:t xml:space="preserve"> </w:t>
      </w:r>
      <w:r w:rsidR="00160D0F" w:rsidRPr="00160D0F">
        <w:rPr>
          <w:color w:val="000000" w:themeColor="text1"/>
          <w:sz w:val="20"/>
          <w:szCs w:val="20"/>
        </w:rPr>
        <w:t>Tine</w:t>
      </w:r>
      <w:r w:rsidR="00F05CF5" w:rsidRPr="00113DE2">
        <w:rPr>
          <w:color w:val="000000" w:themeColor="text1"/>
          <w:sz w:val="20"/>
          <w:szCs w:val="20"/>
        </w:rPr>
        <w:t>,</w:t>
      </w:r>
      <w:r w:rsidR="00FF41A0">
        <w:rPr>
          <w:color w:val="000000" w:themeColor="text1"/>
          <w:sz w:val="20"/>
          <w:szCs w:val="20"/>
        </w:rPr>
        <w:t xml:space="preserve"> </w:t>
      </w:r>
      <w:r w:rsidR="00F05CF5" w:rsidRPr="00113DE2">
        <w:rPr>
          <w:color w:val="000000" w:themeColor="text1"/>
          <w:sz w:val="20"/>
          <w:szCs w:val="20"/>
        </w:rPr>
        <w:t>presented</w:t>
      </w:r>
      <w:r w:rsidR="00FF41A0">
        <w:rPr>
          <w:color w:val="000000" w:themeColor="text1"/>
          <w:sz w:val="20"/>
          <w:szCs w:val="20"/>
        </w:rPr>
        <w:t xml:space="preserve"> </w:t>
      </w:r>
      <w:r w:rsidR="00F05CF5" w:rsidRPr="00113DE2">
        <w:rPr>
          <w:color w:val="000000" w:themeColor="text1"/>
          <w:sz w:val="20"/>
          <w:szCs w:val="20"/>
        </w:rPr>
        <w:t>his</w:t>
      </w:r>
      <w:r w:rsidR="00FF41A0">
        <w:rPr>
          <w:color w:val="000000" w:themeColor="text1"/>
          <w:sz w:val="20"/>
          <w:szCs w:val="20"/>
        </w:rPr>
        <w:t xml:space="preserve"> </w:t>
      </w:r>
      <w:r w:rsidR="00F05CF5" w:rsidRPr="00113DE2">
        <w:rPr>
          <w:color w:val="000000" w:themeColor="text1"/>
          <w:sz w:val="20"/>
          <w:szCs w:val="20"/>
        </w:rPr>
        <w:t>report</w:t>
      </w:r>
      <w:r w:rsidR="00FF41A0">
        <w:rPr>
          <w:color w:val="000000" w:themeColor="text1"/>
          <w:sz w:val="20"/>
          <w:szCs w:val="20"/>
        </w:rPr>
        <w:t xml:space="preserve"> </w:t>
      </w:r>
      <w:r w:rsidR="00F05CF5" w:rsidRPr="00113DE2">
        <w:rPr>
          <w:color w:val="000000" w:themeColor="text1"/>
          <w:sz w:val="20"/>
          <w:szCs w:val="20"/>
        </w:rPr>
        <w:t>(A/HRC/</w:t>
      </w:r>
      <w:r w:rsidR="00160D0F">
        <w:rPr>
          <w:color w:val="000000" w:themeColor="text1"/>
          <w:sz w:val="20"/>
          <w:szCs w:val="20"/>
        </w:rPr>
        <w:t>40/77</w:t>
      </w:r>
      <w:r w:rsidR="00F05CF5" w:rsidRPr="00113DE2">
        <w:rPr>
          <w:color w:val="000000" w:themeColor="text1"/>
          <w:sz w:val="20"/>
          <w:szCs w:val="20"/>
        </w:rPr>
        <w:t>).</w:t>
      </w:r>
    </w:p>
    <w:p w14:paraId="0BA015D9" w14:textId="77A0C5C1" w:rsidR="00F05CF5" w:rsidRPr="00113DE2" w:rsidRDefault="00CF15B1" w:rsidP="00F05CF5">
      <w:pPr>
        <w:pStyle w:val="SingleTxtG"/>
        <w:rPr>
          <w:color w:val="000000" w:themeColor="text1"/>
          <w:sz w:val="20"/>
          <w:szCs w:val="20"/>
        </w:rPr>
      </w:pPr>
      <w:r>
        <w:rPr>
          <w:color w:val="000000" w:themeColor="text1"/>
          <w:sz w:val="20"/>
          <w:szCs w:val="20"/>
        </w:rPr>
        <w:t>985</w:t>
      </w:r>
      <w:r w:rsidR="00F05CF5" w:rsidRPr="00113DE2">
        <w:rPr>
          <w:color w:val="000000" w:themeColor="text1"/>
          <w:sz w:val="20"/>
          <w:szCs w:val="20"/>
        </w:rPr>
        <w:t>.</w:t>
      </w:r>
      <w:r w:rsidR="00F05CF5" w:rsidRPr="00113DE2">
        <w:rPr>
          <w:color w:val="000000" w:themeColor="text1"/>
          <w:sz w:val="20"/>
          <w:szCs w:val="20"/>
        </w:rPr>
        <w:tab/>
        <w:t>At</w:t>
      </w:r>
      <w:r w:rsidR="00FF41A0">
        <w:rPr>
          <w:color w:val="000000" w:themeColor="text1"/>
          <w:sz w:val="20"/>
          <w:szCs w:val="20"/>
        </w:rPr>
        <w:t xml:space="preserve"> </w:t>
      </w:r>
      <w:r w:rsidR="00F05CF5" w:rsidRPr="00113DE2">
        <w:rPr>
          <w:color w:val="000000" w:themeColor="text1"/>
          <w:sz w:val="20"/>
          <w:szCs w:val="20"/>
        </w:rPr>
        <w:t>the</w:t>
      </w:r>
      <w:r w:rsidR="00FF41A0">
        <w:rPr>
          <w:color w:val="000000" w:themeColor="text1"/>
          <w:sz w:val="20"/>
          <w:szCs w:val="20"/>
        </w:rPr>
        <w:t xml:space="preserve"> </w:t>
      </w:r>
      <w:r w:rsidR="00F05CF5" w:rsidRPr="00113DE2">
        <w:rPr>
          <w:color w:val="000000" w:themeColor="text1"/>
          <w:sz w:val="20"/>
          <w:szCs w:val="20"/>
        </w:rPr>
        <w:t>same</w:t>
      </w:r>
      <w:r w:rsidR="00FF41A0">
        <w:rPr>
          <w:color w:val="000000" w:themeColor="text1"/>
          <w:sz w:val="20"/>
          <w:szCs w:val="20"/>
        </w:rPr>
        <w:t xml:space="preserve"> </w:t>
      </w:r>
      <w:r w:rsidR="00F05CF5" w:rsidRPr="00113DE2">
        <w:rPr>
          <w:color w:val="000000" w:themeColor="text1"/>
          <w:sz w:val="20"/>
          <w:szCs w:val="20"/>
        </w:rPr>
        <w:t>meeting,</w:t>
      </w:r>
      <w:r w:rsidR="00FF41A0">
        <w:rPr>
          <w:color w:val="000000" w:themeColor="text1"/>
          <w:sz w:val="20"/>
          <w:szCs w:val="20"/>
        </w:rPr>
        <w:t xml:space="preserve"> </w:t>
      </w:r>
      <w:r w:rsidR="00F05CF5" w:rsidRPr="00113DE2">
        <w:rPr>
          <w:color w:val="000000" w:themeColor="text1"/>
          <w:sz w:val="20"/>
          <w:szCs w:val="20"/>
        </w:rPr>
        <w:t>the</w:t>
      </w:r>
      <w:r w:rsidR="00FF41A0">
        <w:rPr>
          <w:color w:val="000000" w:themeColor="text1"/>
          <w:sz w:val="20"/>
          <w:szCs w:val="20"/>
        </w:rPr>
        <w:t xml:space="preserve"> </w:t>
      </w:r>
      <w:r w:rsidR="00F05CF5" w:rsidRPr="00113DE2">
        <w:rPr>
          <w:color w:val="000000" w:themeColor="text1"/>
          <w:sz w:val="20"/>
          <w:szCs w:val="20"/>
        </w:rPr>
        <w:t>representative</w:t>
      </w:r>
      <w:r w:rsidR="00FF41A0">
        <w:rPr>
          <w:color w:val="000000" w:themeColor="text1"/>
          <w:sz w:val="20"/>
          <w:szCs w:val="20"/>
        </w:rPr>
        <w:t xml:space="preserve"> </w:t>
      </w:r>
      <w:r w:rsidR="00F05CF5" w:rsidRPr="00113DE2">
        <w:rPr>
          <w:color w:val="000000" w:themeColor="text1"/>
          <w:sz w:val="20"/>
          <w:szCs w:val="20"/>
        </w:rPr>
        <w:t>of</w:t>
      </w:r>
      <w:r w:rsidR="00FF41A0">
        <w:rPr>
          <w:color w:val="000000" w:themeColor="text1"/>
          <w:sz w:val="20"/>
          <w:szCs w:val="20"/>
        </w:rPr>
        <w:t xml:space="preserve"> </w:t>
      </w:r>
      <w:r w:rsidR="00F05CF5" w:rsidRPr="00113DE2">
        <w:rPr>
          <w:color w:val="000000" w:themeColor="text1"/>
          <w:sz w:val="20"/>
          <w:szCs w:val="20"/>
        </w:rPr>
        <w:t>Mali</w:t>
      </w:r>
      <w:r w:rsidR="00FF41A0">
        <w:rPr>
          <w:color w:val="000000" w:themeColor="text1"/>
          <w:sz w:val="20"/>
          <w:szCs w:val="20"/>
        </w:rPr>
        <w:t xml:space="preserve"> </w:t>
      </w:r>
      <w:r w:rsidR="00F05CF5" w:rsidRPr="00113DE2">
        <w:rPr>
          <w:color w:val="000000" w:themeColor="text1"/>
          <w:sz w:val="20"/>
          <w:szCs w:val="20"/>
        </w:rPr>
        <w:t>made</w:t>
      </w:r>
      <w:r w:rsidR="00FF41A0">
        <w:rPr>
          <w:color w:val="000000" w:themeColor="text1"/>
          <w:sz w:val="20"/>
          <w:szCs w:val="20"/>
        </w:rPr>
        <w:t xml:space="preserve"> </w:t>
      </w:r>
      <w:r w:rsidR="00F05CF5" w:rsidRPr="00113DE2">
        <w:rPr>
          <w:color w:val="000000" w:themeColor="text1"/>
          <w:sz w:val="20"/>
          <w:szCs w:val="20"/>
        </w:rPr>
        <w:t>a</w:t>
      </w:r>
      <w:r w:rsidR="00FF41A0">
        <w:rPr>
          <w:color w:val="000000" w:themeColor="text1"/>
          <w:sz w:val="20"/>
          <w:szCs w:val="20"/>
        </w:rPr>
        <w:t xml:space="preserve"> </w:t>
      </w:r>
      <w:r w:rsidR="00F05CF5" w:rsidRPr="00113DE2">
        <w:rPr>
          <w:color w:val="000000" w:themeColor="text1"/>
          <w:sz w:val="20"/>
          <w:szCs w:val="20"/>
        </w:rPr>
        <w:t>statement</w:t>
      </w:r>
      <w:r w:rsidR="00FF41A0">
        <w:rPr>
          <w:color w:val="000000" w:themeColor="text1"/>
          <w:sz w:val="20"/>
          <w:szCs w:val="20"/>
        </w:rPr>
        <w:t xml:space="preserve"> </w:t>
      </w:r>
      <w:r w:rsidR="00F05CF5" w:rsidRPr="00113DE2">
        <w:rPr>
          <w:color w:val="000000" w:themeColor="text1"/>
          <w:sz w:val="20"/>
          <w:szCs w:val="20"/>
        </w:rPr>
        <w:t>as</w:t>
      </w:r>
      <w:r w:rsidR="00FF41A0">
        <w:rPr>
          <w:color w:val="000000" w:themeColor="text1"/>
          <w:sz w:val="20"/>
          <w:szCs w:val="20"/>
        </w:rPr>
        <w:t xml:space="preserve"> </w:t>
      </w:r>
      <w:r w:rsidR="00F05CF5" w:rsidRPr="00113DE2">
        <w:rPr>
          <w:color w:val="000000" w:themeColor="text1"/>
          <w:sz w:val="20"/>
          <w:szCs w:val="20"/>
        </w:rPr>
        <w:t>the</w:t>
      </w:r>
      <w:r w:rsidR="00FF41A0">
        <w:rPr>
          <w:color w:val="000000" w:themeColor="text1"/>
          <w:sz w:val="20"/>
          <w:szCs w:val="20"/>
        </w:rPr>
        <w:t xml:space="preserve"> </w:t>
      </w:r>
      <w:r w:rsidR="00F05CF5" w:rsidRPr="00113DE2">
        <w:rPr>
          <w:color w:val="000000" w:themeColor="text1"/>
          <w:sz w:val="20"/>
          <w:szCs w:val="20"/>
        </w:rPr>
        <w:t>State</w:t>
      </w:r>
      <w:r w:rsidR="00FF41A0">
        <w:rPr>
          <w:color w:val="000000" w:themeColor="text1"/>
          <w:sz w:val="20"/>
          <w:szCs w:val="20"/>
        </w:rPr>
        <w:t xml:space="preserve"> </w:t>
      </w:r>
      <w:r w:rsidR="00F05CF5" w:rsidRPr="00113DE2">
        <w:rPr>
          <w:color w:val="000000" w:themeColor="text1"/>
          <w:sz w:val="20"/>
          <w:szCs w:val="20"/>
        </w:rPr>
        <w:t>concerned.</w:t>
      </w:r>
    </w:p>
    <w:p w14:paraId="1772D63D" w14:textId="6F2DB0D6" w:rsidR="00F05CF5" w:rsidRPr="00113DE2" w:rsidRDefault="00CF15B1" w:rsidP="00F05CF5">
      <w:pPr>
        <w:pStyle w:val="SingleTxtG"/>
        <w:rPr>
          <w:color w:val="000000" w:themeColor="text1"/>
          <w:sz w:val="20"/>
          <w:szCs w:val="20"/>
        </w:rPr>
      </w:pPr>
      <w:r>
        <w:rPr>
          <w:color w:val="000000" w:themeColor="text1"/>
          <w:sz w:val="20"/>
          <w:szCs w:val="20"/>
        </w:rPr>
        <w:t>986</w:t>
      </w:r>
      <w:r w:rsidR="00F05CF5" w:rsidRPr="00113DE2">
        <w:rPr>
          <w:color w:val="000000" w:themeColor="text1"/>
          <w:sz w:val="20"/>
          <w:szCs w:val="20"/>
        </w:rPr>
        <w:t>.</w:t>
      </w:r>
      <w:r w:rsidR="00F05CF5" w:rsidRPr="00113DE2">
        <w:rPr>
          <w:color w:val="000000" w:themeColor="text1"/>
          <w:sz w:val="20"/>
          <w:szCs w:val="20"/>
        </w:rPr>
        <w:tab/>
        <w:t>During</w:t>
      </w:r>
      <w:r w:rsidR="00FF41A0">
        <w:rPr>
          <w:color w:val="000000" w:themeColor="text1"/>
          <w:sz w:val="20"/>
          <w:szCs w:val="20"/>
        </w:rPr>
        <w:t xml:space="preserve"> </w:t>
      </w:r>
      <w:r w:rsidR="00F05CF5" w:rsidRPr="00113DE2">
        <w:rPr>
          <w:color w:val="000000" w:themeColor="text1"/>
          <w:sz w:val="20"/>
          <w:szCs w:val="20"/>
        </w:rPr>
        <w:t>the</w:t>
      </w:r>
      <w:r w:rsidR="00FF41A0">
        <w:rPr>
          <w:color w:val="000000" w:themeColor="text1"/>
          <w:sz w:val="20"/>
          <w:szCs w:val="20"/>
        </w:rPr>
        <w:t xml:space="preserve"> </w:t>
      </w:r>
      <w:r w:rsidR="00F05CF5" w:rsidRPr="00113DE2">
        <w:rPr>
          <w:color w:val="000000" w:themeColor="text1"/>
          <w:sz w:val="20"/>
          <w:szCs w:val="20"/>
        </w:rPr>
        <w:t>ensuing</w:t>
      </w:r>
      <w:r w:rsidR="00FF41A0">
        <w:rPr>
          <w:color w:val="000000" w:themeColor="text1"/>
          <w:sz w:val="20"/>
          <w:szCs w:val="20"/>
        </w:rPr>
        <w:t xml:space="preserve"> </w:t>
      </w:r>
      <w:r w:rsidR="00F05CF5" w:rsidRPr="00113DE2">
        <w:rPr>
          <w:color w:val="000000" w:themeColor="text1"/>
          <w:sz w:val="20"/>
          <w:szCs w:val="20"/>
        </w:rPr>
        <w:t>interactive</w:t>
      </w:r>
      <w:r w:rsidR="00FF41A0">
        <w:rPr>
          <w:color w:val="000000" w:themeColor="text1"/>
          <w:sz w:val="20"/>
          <w:szCs w:val="20"/>
        </w:rPr>
        <w:t xml:space="preserve"> </w:t>
      </w:r>
      <w:r w:rsidR="00F05CF5" w:rsidRPr="00113DE2">
        <w:rPr>
          <w:color w:val="000000" w:themeColor="text1"/>
          <w:sz w:val="20"/>
          <w:szCs w:val="20"/>
        </w:rPr>
        <w:t>dialogue,</w:t>
      </w:r>
      <w:r w:rsidR="00FF41A0">
        <w:rPr>
          <w:color w:val="000000" w:themeColor="text1"/>
          <w:sz w:val="20"/>
          <w:szCs w:val="20"/>
        </w:rPr>
        <w:t xml:space="preserve"> </w:t>
      </w:r>
      <w:r w:rsidR="00F05CF5" w:rsidRPr="00113DE2">
        <w:rPr>
          <w:color w:val="000000" w:themeColor="text1"/>
          <w:sz w:val="20"/>
          <w:szCs w:val="20"/>
        </w:rPr>
        <w:t>at</w:t>
      </w:r>
      <w:r w:rsidR="00FF41A0">
        <w:rPr>
          <w:color w:val="000000" w:themeColor="text1"/>
          <w:sz w:val="20"/>
          <w:szCs w:val="20"/>
        </w:rPr>
        <w:t xml:space="preserve"> </w:t>
      </w:r>
      <w:r w:rsidR="00F05CF5" w:rsidRPr="00113DE2">
        <w:rPr>
          <w:color w:val="000000" w:themeColor="text1"/>
          <w:sz w:val="20"/>
          <w:szCs w:val="20"/>
        </w:rPr>
        <w:t>the</w:t>
      </w:r>
      <w:r w:rsidR="00FF41A0">
        <w:rPr>
          <w:color w:val="000000" w:themeColor="text1"/>
          <w:sz w:val="20"/>
          <w:szCs w:val="20"/>
        </w:rPr>
        <w:t xml:space="preserve"> </w:t>
      </w:r>
      <w:r w:rsidR="00F05CF5" w:rsidRPr="00113DE2">
        <w:rPr>
          <w:color w:val="000000" w:themeColor="text1"/>
          <w:sz w:val="20"/>
          <w:szCs w:val="20"/>
        </w:rPr>
        <w:t>same</w:t>
      </w:r>
      <w:r w:rsidR="00FF41A0">
        <w:rPr>
          <w:color w:val="000000" w:themeColor="text1"/>
          <w:sz w:val="20"/>
          <w:szCs w:val="20"/>
        </w:rPr>
        <w:t xml:space="preserve"> </w:t>
      </w:r>
      <w:r w:rsidR="00F05CF5" w:rsidRPr="00113DE2">
        <w:rPr>
          <w:color w:val="000000" w:themeColor="text1"/>
          <w:sz w:val="20"/>
          <w:szCs w:val="20"/>
        </w:rPr>
        <w:t>meeting,</w:t>
      </w:r>
      <w:r w:rsidR="00FF41A0">
        <w:rPr>
          <w:color w:val="000000" w:themeColor="text1"/>
          <w:sz w:val="20"/>
          <w:szCs w:val="20"/>
        </w:rPr>
        <w:t xml:space="preserve"> </w:t>
      </w:r>
      <w:r w:rsidR="00F05CF5" w:rsidRPr="00113DE2">
        <w:rPr>
          <w:color w:val="000000" w:themeColor="text1"/>
          <w:sz w:val="20"/>
          <w:szCs w:val="20"/>
        </w:rPr>
        <w:t>on</w:t>
      </w:r>
      <w:r w:rsidR="00FF41A0">
        <w:rPr>
          <w:color w:val="000000" w:themeColor="text1"/>
          <w:sz w:val="20"/>
          <w:szCs w:val="20"/>
        </w:rPr>
        <w:t xml:space="preserve"> </w:t>
      </w:r>
      <w:r w:rsidR="00F05CF5" w:rsidRPr="00113DE2">
        <w:rPr>
          <w:color w:val="000000" w:themeColor="text1"/>
          <w:sz w:val="20"/>
          <w:szCs w:val="20"/>
        </w:rPr>
        <w:t>the</w:t>
      </w:r>
      <w:r w:rsidR="00FF41A0">
        <w:rPr>
          <w:color w:val="000000" w:themeColor="text1"/>
          <w:sz w:val="20"/>
          <w:szCs w:val="20"/>
        </w:rPr>
        <w:t xml:space="preserve"> </w:t>
      </w:r>
      <w:r w:rsidR="00F05CF5" w:rsidRPr="00113DE2">
        <w:rPr>
          <w:color w:val="000000" w:themeColor="text1"/>
          <w:sz w:val="20"/>
          <w:szCs w:val="20"/>
        </w:rPr>
        <w:t>same</w:t>
      </w:r>
      <w:r w:rsidR="00FF41A0">
        <w:rPr>
          <w:color w:val="000000" w:themeColor="text1"/>
          <w:sz w:val="20"/>
          <w:szCs w:val="20"/>
        </w:rPr>
        <w:t xml:space="preserve"> </w:t>
      </w:r>
      <w:r w:rsidR="00F05CF5" w:rsidRPr="00113DE2">
        <w:rPr>
          <w:color w:val="000000" w:themeColor="text1"/>
          <w:sz w:val="20"/>
          <w:szCs w:val="20"/>
        </w:rPr>
        <w:t>day,</w:t>
      </w:r>
      <w:r w:rsidR="00FF41A0">
        <w:rPr>
          <w:color w:val="000000" w:themeColor="text1"/>
          <w:sz w:val="20"/>
          <w:szCs w:val="20"/>
        </w:rPr>
        <w:t xml:space="preserve"> </w:t>
      </w:r>
      <w:r w:rsidR="00F05CF5" w:rsidRPr="00113DE2">
        <w:rPr>
          <w:color w:val="000000" w:themeColor="text1"/>
          <w:sz w:val="20"/>
          <w:szCs w:val="20"/>
        </w:rPr>
        <w:t>the</w:t>
      </w:r>
      <w:r w:rsidR="00FF41A0">
        <w:rPr>
          <w:color w:val="000000" w:themeColor="text1"/>
          <w:sz w:val="20"/>
          <w:szCs w:val="20"/>
        </w:rPr>
        <w:t xml:space="preserve"> </w:t>
      </w:r>
      <w:r w:rsidR="00F05CF5" w:rsidRPr="00113DE2">
        <w:rPr>
          <w:color w:val="000000" w:themeColor="text1"/>
          <w:sz w:val="20"/>
          <w:szCs w:val="20"/>
        </w:rPr>
        <w:t>following</w:t>
      </w:r>
      <w:r w:rsidR="00FF41A0">
        <w:rPr>
          <w:color w:val="000000" w:themeColor="text1"/>
          <w:sz w:val="20"/>
          <w:szCs w:val="20"/>
        </w:rPr>
        <w:t xml:space="preserve"> </w:t>
      </w:r>
      <w:r w:rsidR="00F05CF5" w:rsidRPr="00113DE2">
        <w:rPr>
          <w:color w:val="000000" w:themeColor="text1"/>
          <w:sz w:val="20"/>
          <w:szCs w:val="20"/>
        </w:rPr>
        <w:t>made</w:t>
      </w:r>
      <w:r w:rsidR="00FF41A0">
        <w:rPr>
          <w:color w:val="000000" w:themeColor="text1"/>
          <w:sz w:val="20"/>
          <w:szCs w:val="20"/>
        </w:rPr>
        <w:t xml:space="preserve"> </w:t>
      </w:r>
      <w:r w:rsidR="00F05CF5" w:rsidRPr="00113DE2">
        <w:rPr>
          <w:color w:val="000000" w:themeColor="text1"/>
          <w:sz w:val="20"/>
          <w:szCs w:val="20"/>
        </w:rPr>
        <w:t>statements</w:t>
      </w:r>
      <w:r w:rsidR="00FF41A0">
        <w:rPr>
          <w:color w:val="000000" w:themeColor="text1"/>
          <w:sz w:val="20"/>
          <w:szCs w:val="20"/>
        </w:rPr>
        <w:t xml:space="preserve"> </w:t>
      </w:r>
      <w:r w:rsidR="00F05CF5" w:rsidRPr="00113DE2">
        <w:rPr>
          <w:color w:val="000000" w:themeColor="text1"/>
          <w:sz w:val="20"/>
          <w:szCs w:val="20"/>
        </w:rPr>
        <w:t>and</w:t>
      </w:r>
      <w:r w:rsidR="00FF41A0">
        <w:rPr>
          <w:color w:val="000000" w:themeColor="text1"/>
          <w:sz w:val="20"/>
          <w:szCs w:val="20"/>
        </w:rPr>
        <w:t xml:space="preserve"> </w:t>
      </w:r>
      <w:r w:rsidR="00F05CF5" w:rsidRPr="00113DE2">
        <w:rPr>
          <w:color w:val="000000" w:themeColor="text1"/>
          <w:sz w:val="20"/>
          <w:szCs w:val="20"/>
        </w:rPr>
        <w:t>asked</w:t>
      </w:r>
      <w:r w:rsidR="00FF41A0">
        <w:rPr>
          <w:color w:val="000000" w:themeColor="text1"/>
          <w:sz w:val="20"/>
          <w:szCs w:val="20"/>
        </w:rPr>
        <w:t xml:space="preserve"> </w:t>
      </w:r>
      <w:r w:rsidR="00F05CF5" w:rsidRPr="00113DE2">
        <w:rPr>
          <w:color w:val="000000" w:themeColor="text1"/>
          <w:sz w:val="20"/>
          <w:szCs w:val="20"/>
        </w:rPr>
        <w:t>the</w:t>
      </w:r>
      <w:r w:rsidR="00FF41A0">
        <w:rPr>
          <w:color w:val="000000" w:themeColor="text1"/>
          <w:sz w:val="20"/>
          <w:szCs w:val="20"/>
        </w:rPr>
        <w:t xml:space="preserve"> </w:t>
      </w:r>
      <w:r w:rsidR="00F05CF5" w:rsidRPr="00113DE2">
        <w:rPr>
          <w:color w:val="000000" w:themeColor="text1"/>
          <w:sz w:val="20"/>
          <w:szCs w:val="20"/>
        </w:rPr>
        <w:t>Independent</w:t>
      </w:r>
      <w:r w:rsidR="00FF41A0">
        <w:rPr>
          <w:color w:val="000000" w:themeColor="text1"/>
          <w:sz w:val="20"/>
          <w:szCs w:val="20"/>
        </w:rPr>
        <w:t xml:space="preserve"> </w:t>
      </w:r>
      <w:r w:rsidR="00F05CF5" w:rsidRPr="00113DE2">
        <w:rPr>
          <w:color w:val="000000" w:themeColor="text1"/>
          <w:sz w:val="20"/>
          <w:szCs w:val="20"/>
        </w:rPr>
        <w:t>Expert</w:t>
      </w:r>
      <w:r w:rsidR="00FF41A0">
        <w:rPr>
          <w:color w:val="000000" w:themeColor="text1"/>
          <w:sz w:val="20"/>
          <w:szCs w:val="20"/>
        </w:rPr>
        <w:t xml:space="preserve"> </w:t>
      </w:r>
      <w:r w:rsidR="00F05CF5" w:rsidRPr="00113DE2">
        <w:rPr>
          <w:color w:val="000000" w:themeColor="text1"/>
          <w:sz w:val="20"/>
          <w:szCs w:val="20"/>
        </w:rPr>
        <w:t>questions:</w:t>
      </w:r>
    </w:p>
    <w:p w14:paraId="78A434CB" w14:textId="6FF03369" w:rsidR="005F09C5" w:rsidRPr="00113DE2" w:rsidRDefault="00F05CF5" w:rsidP="002B76F1">
      <w:pPr>
        <w:pStyle w:val="SingleTxtG"/>
        <w:ind w:firstLine="567"/>
        <w:rPr>
          <w:color w:val="000000" w:themeColor="text1"/>
          <w:sz w:val="20"/>
          <w:szCs w:val="20"/>
        </w:rPr>
      </w:pPr>
      <w:r w:rsidRPr="00113DE2">
        <w:rPr>
          <w:color w:val="000000" w:themeColor="text1"/>
          <w:sz w:val="20"/>
          <w:szCs w:val="20"/>
        </w:rPr>
        <w:t>(a)</w:t>
      </w:r>
      <w:r w:rsidRPr="00113DE2">
        <w:rPr>
          <w:color w:val="000000" w:themeColor="text1"/>
          <w:sz w:val="20"/>
          <w:szCs w:val="20"/>
        </w:rPr>
        <w:tab/>
        <w:t>Representatives</w:t>
      </w:r>
      <w:r w:rsidR="00FF41A0">
        <w:rPr>
          <w:color w:val="000000" w:themeColor="text1"/>
          <w:sz w:val="20"/>
          <w:szCs w:val="20"/>
        </w:rPr>
        <w:t xml:space="preserve"> </w:t>
      </w:r>
      <w:r w:rsidRPr="00113DE2">
        <w:rPr>
          <w:color w:val="000000" w:themeColor="text1"/>
          <w:sz w:val="20"/>
          <w:szCs w:val="20"/>
        </w:rPr>
        <w:t>of</w:t>
      </w:r>
      <w:r w:rsidR="00FF41A0">
        <w:rPr>
          <w:color w:val="000000" w:themeColor="text1"/>
          <w:sz w:val="20"/>
          <w:szCs w:val="20"/>
        </w:rPr>
        <w:t xml:space="preserve"> </w:t>
      </w:r>
      <w:r w:rsidR="005D3E5F">
        <w:rPr>
          <w:color w:val="000000" w:themeColor="text1"/>
          <w:sz w:val="20"/>
          <w:szCs w:val="20"/>
        </w:rPr>
        <w:t>States</w:t>
      </w:r>
      <w:r w:rsidR="00FF41A0">
        <w:rPr>
          <w:color w:val="000000" w:themeColor="text1"/>
          <w:sz w:val="20"/>
          <w:szCs w:val="20"/>
        </w:rPr>
        <w:t xml:space="preserve"> </w:t>
      </w:r>
      <w:r w:rsidR="005D3E5F">
        <w:rPr>
          <w:color w:val="000000" w:themeColor="text1"/>
          <w:sz w:val="20"/>
          <w:szCs w:val="20"/>
        </w:rPr>
        <w:t>Members</w:t>
      </w:r>
      <w:r w:rsidR="00FF41A0">
        <w:rPr>
          <w:color w:val="000000" w:themeColor="text1"/>
          <w:sz w:val="20"/>
          <w:szCs w:val="20"/>
        </w:rPr>
        <w:t xml:space="preserve"> </w:t>
      </w:r>
      <w:r w:rsidRPr="00113DE2">
        <w:rPr>
          <w:color w:val="000000" w:themeColor="text1"/>
          <w:sz w:val="20"/>
          <w:szCs w:val="20"/>
        </w:rPr>
        <w:t>of</w:t>
      </w:r>
      <w:r w:rsidR="00FF41A0">
        <w:rPr>
          <w:color w:val="000000" w:themeColor="text1"/>
          <w:sz w:val="20"/>
          <w:szCs w:val="20"/>
        </w:rPr>
        <w:t xml:space="preserve"> </w:t>
      </w:r>
      <w:r w:rsidRPr="00113DE2">
        <w:rPr>
          <w:color w:val="000000" w:themeColor="text1"/>
          <w:sz w:val="20"/>
          <w:szCs w:val="20"/>
        </w:rPr>
        <w:t>the</w:t>
      </w:r>
      <w:r w:rsidR="00FF41A0">
        <w:rPr>
          <w:color w:val="000000" w:themeColor="text1"/>
          <w:sz w:val="20"/>
          <w:szCs w:val="20"/>
        </w:rPr>
        <w:t xml:space="preserve"> </w:t>
      </w:r>
      <w:r w:rsidRPr="00113DE2">
        <w:rPr>
          <w:color w:val="000000" w:themeColor="text1"/>
          <w:sz w:val="20"/>
          <w:szCs w:val="20"/>
        </w:rPr>
        <w:t>Human</w:t>
      </w:r>
      <w:r w:rsidR="00FF41A0">
        <w:rPr>
          <w:color w:val="000000" w:themeColor="text1"/>
          <w:sz w:val="20"/>
          <w:szCs w:val="20"/>
        </w:rPr>
        <w:t xml:space="preserve"> </w:t>
      </w:r>
      <w:r w:rsidRPr="00113DE2">
        <w:rPr>
          <w:color w:val="000000" w:themeColor="text1"/>
          <w:sz w:val="20"/>
          <w:szCs w:val="20"/>
        </w:rPr>
        <w:t>Rights</w:t>
      </w:r>
      <w:r w:rsidR="00FF41A0">
        <w:rPr>
          <w:color w:val="000000" w:themeColor="text1"/>
          <w:sz w:val="20"/>
          <w:szCs w:val="20"/>
        </w:rPr>
        <w:t xml:space="preserve"> </w:t>
      </w:r>
      <w:r w:rsidRPr="00113DE2">
        <w:rPr>
          <w:color w:val="000000" w:themeColor="text1"/>
          <w:sz w:val="20"/>
          <w:szCs w:val="20"/>
        </w:rPr>
        <w:t>Council:</w:t>
      </w:r>
      <w:r w:rsidR="00FF41A0">
        <w:rPr>
          <w:color w:val="000000" w:themeColor="text1"/>
          <w:sz w:val="20"/>
          <w:szCs w:val="20"/>
        </w:rPr>
        <w:t xml:space="preserve"> </w:t>
      </w:r>
      <w:r w:rsidR="00834B67" w:rsidRPr="00834B67">
        <w:rPr>
          <w:color w:val="000000" w:themeColor="text1"/>
          <w:sz w:val="20"/>
          <w:szCs w:val="20"/>
        </w:rPr>
        <w:t>Australia</w:t>
      </w:r>
      <w:r w:rsidR="00834B67">
        <w:rPr>
          <w:color w:val="000000" w:themeColor="text1"/>
          <w:sz w:val="20"/>
          <w:szCs w:val="20"/>
        </w:rPr>
        <w:t>,</w:t>
      </w:r>
      <w:r w:rsidR="00FF41A0">
        <w:rPr>
          <w:color w:val="000000" w:themeColor="text1"/>
          <w:sz w:val="20"/>
          <w:szCs w:val="20"/>
        </w:rPr>
        <w:t xml:space="preserve"> </w:t>
      </w:r>
      <w:r w:rsidR="00834B67" w:rsidRPr="00834B67">
        <w:rPr>
          <w:color w:val="000000" w:themeColor="text1"/>
          <w:sz w:val="20"/>
          <w:szCs w:val="20"/>
        </w:rPr>
        <w:t>Cameroon</w:t>
      </w:r>
      <w:r w:rsidR="00834B67">
        <w:rPr>
          <w:color w:val="000000" w:themeColor="text1"/>
          <w:sz w:val="20"/>
          <w:szCs w:val="20"/>
        </w:rPr>
        <w:t>,</w:t>
      </w:r>
      <w:r w:rsidR="00FF41A0">
        <w:rPr>
          <w:color w:val="000000" w:themeColor="text1"/>
          <w:sz w:val="20"/>
          <w:szCs w:val="20"/>
        </w:rPr>
        <w:t xml:space="preserve"> </w:t>
      </w:r>
      <w:r w:rsidR="00834B67" w:rsidRPr="00834B67">
        <w:rPr>
          <w:color w:val="000000" w:themeColor="text1"/>
          <w:sz w:val="20"/>
          <w:szCs w:val="20"/>
        </w:rPr>
        <w:t>China</w:t>
      </w:r>
      <w:r w:rsidR="00834B67">
        <w:rPr>
          <w:color w:val="000000" w:themeColor="text1"/>
          <w:sz w:val="20"/>
          <w:szCs w:val="20"/>
        </w:rPr>
        <w:t>,</w:t>
      </w:r>
      <w:r w:rsidR="00FF41A0">
        <w:rPr>
          <w:color w:val="000000" w:themeColor="text1"/>
          <w:sz w:val="20"/>
          <w:szCs w:val="20"/>
        </w:rPr>
        <w:t xml:space="preserve"> </w:t>
      </w:r>
      <w:r w:rsidR="00834B67" w:rsidRPr="00834B67">
        <w:rPr>
          <w:color w:val="000000" w:themeColor="text1"/>
          <w:sz w:val="20"/>
          <w:szCs w:val="20"/>
        </w:rPr>
        <w:t>Czech</w:t>
      </w:r>
      <w:r w:rsidR="00834B67">
        <w:rPr>
          <w:color w:val="000000" w:themeColor="text1"/>
          <w:sz w:val="20"/>
          <w:szCs w:val="20"/>
        </w:rPr>
        <w:t>ia,</w:t>
      </w:r>
      <w:r w:rsidR="00FF41A0">
        <w:rPr>
          <w:color w:val="000000" w:themeColor="text1"/>
          <w:sz w:val="20"/>
          <w:szCs w:val="20"/>
        </w:rPr>
        <w:t xml:space="preserve"> </w:t>
      </w:r>
      <w:r w:rsidR="00834B67" w:rsidRPr="00834B67">
        <w:rPr>
          <w:color w:val="000000" w:themeColor="text1"/>
          <w:sz w:val="20"/>
          <w:szCs w:val="20"/>
        </w:rPr>
        <w:t>Denmark</w:t>
      </w:r>
      <w:r w:rsidR="00834B67">
        <w:rPr>
          <w:color w:val="000000" w:themeColor="text1"/>
          <w:sz w:val="20"/>
          <w:szCs w:val="20"/>
        </w:rPr>
        <w:t>,</w:t>
      </w:r>
      <w:r w:rsidR="00FF41A0">
        <w:rPr>
          <w:color w:val="000000" w:themeColor="text1"/>
          <w:sz w:val="20"/>
          <w:szCs w:val="20"/>
        </w:rPr>
        <w:t xml:space="preserve"> </w:t>
      </w:r>
      <w:r w:rsidR="00834B67" w:rsidRPr="00834B67">
        <w:rPr>
          <w:color w:val="000000" w:themeColor="text1"/>
          <w:sz w:val="20"/>
          <w:szCs w:val="20"/>
        </w:rPr>
        <w:t>Egypt</w:t>
      </w:r>
      <w:r w:rsidR="00834B67">
        <w:rPr>
          <w:color w:val="000000" w:themeColor="text1"/>
          <w:sz w:val="20"/>
          <w:szCs w:val="20"/>
        </w:rPr>
        <w:t>,</w:t>
      </w:r>
      <w:r w:rsidR="00FF41A0">
        <w:rPr>
          <w:color w:val="000000" w:themeColor="text1"/>
          <w:sz w:val="20"/>
          <w:szCs w:val="20"/>
        </w:rPr>
        <w:t xml:space="preserve"> </w:t>
      </w:r>
      <w:r w:rsidR="00834B67" w:rsidRPr="00834B67">
        <w:rPr>
          <w:color w:val="000000" w:themeColor="text1"/>
          <w:sz w:val="20"/>
          <w:szCs w:val="20"/>
        </w:rPr>
        <w:t>Iceland</w:t>
      </w:r>
      <w:r w:rsidR="00834B67">
        <w:rPr>
          <w:color w:val="000000" w:themeColor="text1"/>
          <w:sz w:val="20"/>
          <w:szCs w:val="20"/>
        </w:rPr>
        <w:t>,</w:t>
      </w:r>
      <w:r w:rsidR="00FF41A0">
        <w:rPr>
          <w:color w:val="000000" w:themeColor="text1"/>
          <w:sz w:val="20"/>
          <w:szCs w:val="20"/>
        </w:rPr>
        <w:t xml:space="preserve"> </w:t>
      </w:r>
      <w:r w:rsidR="00834B67" w:rsidRPr="00834B67">
        <w:rPr>
          <w:color w:val="000000" w:themeColor="text1"/>
          <w:sz w:val="20"/>
          <w:szCs w:val="20"/>
        </w:rPr>
        <w:t>Senegal</w:t>
      </w:r>
      <w:r w:rsidR="00834B67">
        <w:rPr>
          <w:color w:val="000000" w:themeColor="text1"/>
          <w:sz w:val="20"/>
          <w:szCs w:val="20"/>
        </w:rPr>
        <w:t>,</w:t>
      </w:r>
      <w:r w:rsidR="00FF41A0">
        <w:rPr>
          <w:color w:val="000000" w:themeColor="text1"/>
          <w:sz w:val="20"/>
          <w:szCs w:val="20"/>
        </w:rPr>
        <w:t xml:space="preserve"> </w:t>
      </w:r>
      <w:r w:rsidR="00834B67" w:rsidRPr="00834B67">
        <w:rPr>
          <w:color w:val="000000" w:themeColor="text1"/>
          <w:sz w:val="20"/>
          <w:szCs w:val="20"/>
        </w:rPr>
        <w:t>Spain</w:t>
      </w:r>
      <w:r w:rsidR="00834B67">
        <w:rPr>
          <w:color w:val="000000" w:themeColor="text1"/>
          <w:sz w:val="20"/>
          <w:szCs w:val="20"/>
        </w:rPr>
        <w:t>,</w:t>
      </w:r>
      <w:r w:rsidR="00FF41A0">
        <w:rPr>
          <w:color w:val="000000" w:themeColor="text1"/>
          <w:sz w:val="20"/>
          <w:szCs w:val="20"/>
        </w:rPr>
        <w:t xml:space="preserve"> </w:t>
      </w:r>
      <w:r w:rsidR="00834B67" w:rsidRPr="00834B67">
        <w:rPr>
          <w:color w:val="000000" w:themeColor="text1"/>
          <w:sz w:val="20"/>
          <w:szCs w:val="20"/>
        </w:rPr>
        <w:t>Togo</w:t>
      </w:r>
      <w:r w:rsidR="00834B67">
        <w:rPr>
          <w:color w:val="000000" w:themeColor="text1"/>
          <w:sz w:val="20"/>
          <w:szCs w:val="20"/>
        </w:rPr>
        <w:t>,</w:t>
      </w:r>
      <w:r w:rsidR="00FF41A0">
        <w:rPr>
          <w:color w:val="000000" w:themeColor="text1"/>
          <w:sz w:val="20"/>
          <w:szCs w:val="20"/>
        </w:rPr>
        <w:t xml:space="preserve"> </w:t>
      </w:r>
      <w:r w:rsidR="00834B67" w:rsidRPr="00834B67">
        <w:rPr>
          <w:color w:val="000000" w:themeColor="text1"/>
          <w:sz w:val="20"/>
          <w:szCs w:val="20"/>
        </w:rPr>
        <w:t>United</w:t>
      </w:r>
      <w:r w:rsidR="00FF41A0">
        <w:rPr>
          <w:color w:val="000000" w:themeColor="text1"/>
          <w:sz w:val="20"/>
          <w:szCs w:val="20"/>
        </w:rPr>
        <w:t xml:space="preserve"> </w:t>
      </w:r>
      <w:r w:rsidR="00834B67" w:rsidRPr="00834B67">
        <w:rPr>
          <w:color w:val="000000" w:themeColor="text1"/>
          <w:sz w:val="20"/>
          <w:szCs w:val="20"/>
        </w:rPr>
        <w:t>Kingdom</w:t>
      </w:r>
      <w:r w:rsidR="00FF41A0">
        <w:rPr>
          <w:color w:val="000000" w:themeColor="text1"/>
          <w:sz w:val="20"/>
          <w:szCs w:val="20"/>
        </w:rPr>
        <w:t xml:space="preserve"> </w:t>
      </w:r>
      <w:r w:rsidR="00834B67" w:rsidRPr="00834B67">
        <w:rPr>
          <w:color w:val="000000" w:themeColor="text1"/>
          <w:sz w:val="20"/>
          <w:szCs w:val="20"/>
        </w:rPr>
        <w:t>of</w:t>
      </w:r>
      <w:r w:rsidR="00FF41A0">
        <w:rPr>
          <w:color w:val="000000" w:themeColor="text1"/>
          <w:sz w:val="20"/>
          <w:szCs w:val="20"/>
        </w:rPr>
        <w:t xml:space="preserve"> </w:t>
      </w:r>
      <w:r w:rsidR="00834B67" w:rsidRPr="00834B67">
        <w:rPr>
          <w:color w:val="000000" w:themeColor="text1"/>
          <w:sz w:val="20"/>
          <w:szCs w:val="20"/>
        </w:rPr>
        <w:t>Great</w:t>
      </w:r>
      <w:r w:rsidR="00FF41A0">
        <w:rPr>
          <w:color w:val="000000" w:themeColor="text1"/>
          <w:sz w:val="20"/>
          <w:szCs w:val="20"/>
        </w:rPr>
        <w:t xml:space="preserve"> </w:t>
      </w:r>
      <w:r w:rsidR="00834B67" w:rsidRPr="00834B67">
        <w:rPr>
          <w:color w:val="000000" w:themeColor="text1"/>
          <w:sz w:val="20"/>
          <w:szCs w:val="20"/>
        </w:rPr>
        <w:t>Britain</w:t>
      </w:r>
      <w:r w:rsidR="00FF41A0">
        <w:rPr>
          <w:color w:val="000000" w:themeColor="text1"/>
          <w:sz w:val="20"/>
          <w:szCs w:val="20"/>
        </w:rPr>
        <w:t xml:space="preserve"> </w:t>
      </w:r>
      <w:r w:rsidR="00834B67" w:rsidRPr="00834B67">
        <w:rPr>
          <w:color w:val="000000" w:themeColor="text1"/>
          <w:sz w:val="20"/>
          <w:szCs w:val="20"/>
        </w:rPr>
        <w:t>and</w:t>
      </w:r>
      <w:r w:rsidR="00FF41A0">
        <w:rPr>
          <w:color w:val="000000" w:themeColor="text1"/>
          <w:sz w:val="20"/>
          <w:szCs w:val="20"/>
        </w:rPr>
        <w:t xml:space="preserve"> </w:t>
      </w:r>
      <w:r w:rsidR="00834B67" w:rsidRPr="00834B67">
        <w:rPr>
          <w:color w:val="000000" w:themeColor="text1"/>
          <w:sz w:val="20"/>
          <w:szCs w:val="20"/>
        </w:rPr>
        <w:t>Northern</w:t>
      </w:r>
      <w:r w:rsidR="00FF41A0">
        <w:rPr>
          <w:color w:val="000000" w:themeColor="text1"/>
          <w:sz w:val="20"/>
          <w:szCs w:val="20"/>
        </w:rPr>
        <w:t xml:space="preserve"> </w:t>
      </w:r>
      <w:r w:rsidR="00834B67" w:rsidRPr="00834B67">
        <w:rPr>
          <w:color w:val="000000" w:themeColor="text1"/>
          <w:sz w:val="20"/>
          <w:szCs w:val="20"/>
        </w:rPr>
        <w:t>Ireland</w:t>
      </w:r>
      <w:r w:rsidR="002B76F1" w:rsidRPr="00113DE2">
        <w:rPr>
          <w:color w:val="000000" w:themeColor="text1"/>
          <w:sz w:val="20"/>
          <w:szCs w:val="20"/>
        </w:rPr>
        <w:t>;</w:t>
      </w:r>
    </w:p>
    <w:p w14:paraId="0D1A8963" w14:textId="3D31A609" w:rsidR="00F05CF5" w:rsidRPr="00113DE2" w:rsidRDefault="00F05CF5" w:rsidP="00F05CF5">
      <w:pPr>
        <w:pStyle w:val="SingleTxtG"/>
        <w:ind w:firstLine="567"/>
        <w:rPr>
          <w:color w:val="000000" w:themeColor="text1"/>
          <w:sz w:val="20"/>
          <w:szCs w:val="20"/>
        </w:rPr>
      </w:pPr>
      <w:r w:rsidRPr="00113DE2">
        <w:rPr>
          <w:color w:val="000000" w:themeColor="text1"/>
          <w:sz w:val="20"/>
          <w:szCs w:val="20"/>
        </w:rPr>
        <w:t>(b)</w:t>
      </w:r>
      <w:r w:rsidRPr="00113DE2">
        <w:rPr>
          <w:color w:val="000000" w:themeColor="text1"/>
          <w:sz w:val="20"/>
          <w:szCs w:val="20"/>
        </w:rPr>
        <w:tab/>
        <w:t>Repr</w:t>
      </w:r>
      <w:r w:rsidR="00834B67">
        <w:rPr>
          <w:color w:val="000000" w:themeColor="text1"/>
          <w:sz w:val="20"/>
          <w:szCs w:val="20"/>
        </w:rPr>
        <w:t>esentatives</w:t>
      </w:r>
      <w:r w:rsidR="00FF41A0">
        <w:rPr>
          <w:color w:val="000000" w:themeColor="text1"/>
          <w:sz w:val="20"/>
          <w:szCs w:val="20"/>
        </w:rPr>
        <w:t xml:space="preserve"> </w:t>
      </w:r>
      <w:r w:rsidR="00834B67">
        <w:rPr>
          <w:color w:val="000000" w:themeColor="text1"/>
          <w:sz w:val="20"/>
          <w:szCs w:val="20"/>
        </w:rPr>
        <w:t>of</w:t>
      </w:r>
      <w:r w:rsidR="00FF41A0">
        <w:rPr>
          <w:color w:val="000000" w:themeColor="text1"/>
          <w:sz w:val="20"/>
          <w:szCs w:val="20"/>
        </w:rPr>
        <w:t xml:space="preserve"> </w:t>
      </w:r>
      <w:r w:rsidR="00834B67">
        <w:rPr>
          <w:color w:val="000000" w:themeColor="text1"/>
          <w:sz w:val="20"/>
          <w:szCs w:val="20"/>
        </w:rPr>
        <w:t>observer</w:t>
      </w:r>
      <w:r w:rsidR="00FF41A0">
        <w:rPr>
          <w:color w:val="000000" w:themeColor="text1"/>
          <w:sz w:val="20"/>
          <w:szCs w:val="20"/>
        </w:rPr>
        <w:t xml:space="preserve"> </w:t>
      </w:r>
      <w:r w:rsidR="00834B67">
        <w:rPr>
          <w:color w:val="000000" w:themeColor="text1"/>
          <w:sz w:val="20"/>
          <w:szCs w:val="20"/>
        </w:rPr>
        <w:t>States:</w:t>
      </w:r>
      <w:r w:rsidR="00FF41A0">
        <w:rPr>
          <w:color w:val="000000" w:themeColor="text1"/>
          <w:sz w:val="20"/>
          <w:szCs w:val="20"/>
        </w:rPr>
        <w:t xml:space="preserve"> </w:t>
      </w:r>
      <w:r w:rsidR="00834B67" w:rsidRPr="00834B67">
        <w:rPr>
          <w:color w:val="000000" w:themeColor="text1"/>
          <w:sz w:val="20"/>
          <w:szCs w:val="20"/>
        </w:rPr>
        <w:t>Algeria</w:t>
      </w:r>
      <w:r w:rsidR="00834B67">
        <w:rPr>
          <w:color w:val="000000" w:themeColor="text1"/>
          <w:sz w:val="20"/>
          <w:szCs w:val="20"/>
        </w:rPr>
        <w:t>,</w:t>
      </w:r>
      <w:r w:rsidR="00FF41A0">
        <w:rPr>
          <w:color w:val="000000" w:themeColor="text1"/>
          <w:sz w:val="20"/>
          <w:szCs w:val="20"/>
        </w:rPr>
        <w:t xml:space="preserve"> </w:t>
      </w:r>
      <w:r w:rsidR="00834B67" w:rsidRPr="00834B67">
        <w:rPr>
          <w:color w:val="000000" w:themeColor="text1"/>
          <w:sz w:val="20"/>
          <w:szCs w:val="20"/>
        </w:rPr>
        <w:t>Belgium</w:t>
      </w:r>
      <w:r w:rsidR="00834B67">
        <w:rPr>
          <w:color w:val="000000" w:themeColor="text1"/>
          <w:sz w:val="20"/>
          <w:szCs w:val="20"/>
        </w:rPr>
        <w:t>,</w:t>
      </w:r>
      <w:r w:rsidR="00FF41A0">
        <w:rPr>
          <w:color w:val="000000" w:themeColor="text1"/>
          <w:sz w:val="20"/>
          <w:szCs w:val="20"/>
        </w:rPr>
        <w:t xml:space="preserve"> </w:t>
      </w:r>
      <w:r w:rsidR="00834B67" w:rsidRPr="00834B67">
        <w:rPr>
          <w:color w:val="000000" w:themeColor="text1"/>
          <w:sz w:val="20"/>
          <w:szCs w:val="20"/>
        </w:rPr>
        <w:t>Chad</w:t>
      </w:r>
      <w:r w:rsidR="00834B67">
        <w:rPr>
          <w:color w:val="000000" w:themeColor="text1"/>
          <w:sz w:val="20"/>
          <w:szCs w:val="20"/>
        </w:rPr>
        <w:t>,</w:t>
      </w:r>
      <w:r w:rsidR="00FF41A0">
        <w:rPr>
          <w:color w:val="000000" w:themeColor="text1"/>
          <w:sz w:val="20"/>
          <w:szCs w:val="20"/>
        </w:rPr>
        <w:t xml:space="preserve"> </w:t>
      </w:r>
      <w:r w:rsidR="00834B67" w:rsidRPr="00834B67">
        <w:rPr>
          <w:color w:val="000000" w:themeColor="text1"/>
          <w:sz w:val="20"/>
          <w:szCs w:val="20"/>
        </w:rPr>
        <w:t>France</w:t>
      </w:r>
      <w:r w:rsidR="00834B67">
        <w:rPr>
          <w:color w:val="000000" w:themeColor="text1"/>
          <w:sz w:val="20"/>
          <w:szCs w:val="20"/>
        </w:rPr>
        <w:t>,</w:t>
      </w:r>
      <w:r w:rsidR="00FF41A0">
        <w:rPr>
          <w:color w:val="000000" w:themeColor="text1"/>
          <w:sz w:val="20"/>
          <w:szCs w:val="20"/>
        </w:rPr>
        <w:t xml:space="preserve"> </w:t>
      </w:r>
      <w:r w:rsidR="00834B67" w:rsidRPr="00834B67">
        <w:rPr>
          <w:color w:val="000000" w:themeColor="text1"/>
          <w:sz w:val="20"/>
          <w:szCs w:val="20"/>
        </w:rPr>
        <w:t>Portugal</w:t>
      </w:r>
      <w:r w:rsidR="00834B67">
        <w:rPr>
          <w:color w:val="000000" w:themeColor="text1"/>
          <w:sz w:val="20"/>
          <w:szCs w:val="20"/>
        </w:rPr>
        <w:t>,</w:t>
      </w:r>
      <w:r w:rsidR="00FF41A0">
        <w:rPr>
          <w:color w:val="000000" w:themeColor="text1"/>
          <w:sz w:val="20"/>
          <w:szCs w:val="20"/>
        </w:rPr>
        <w:t xml:space="preserve"> </w:t>
      </w:r>
      <w:r w:rsidR="00834B67" w:rsidRPr="00834B67">
        <w:rPr>
          <w:color w:val="000000" w:themeColor="text1"/>
          <w:sz w:val="20"/>
          <w:szCs w:val="20"/>
        </w:rPr>
        <w:t>Russian</w:t>
      </w:r>
      <w:r w:rsidR="00FF41A0">
        <w:rPr>
          <w:color w:val="000000" w:themeColor="text1"/>
          <w:sz w:val="20"/>
          <w:szCs w:val="20"/>
        </w:rPr>
        <w:t xml:space="preserve"> </w:t>
      </w:r>
      <w:r w:rsidR="00834B67" w:rsidRPr="00834B67">
        <w:rPr>
          <w:color w:val="000000" w:themeColor="text1"/>
          <w:sz w:val="20"/>
          <w:szCs w:val="20"/>
        </w:rPr>
        <w:t>Federation</w:t>
      </w:r>
      <w:r w:rsidR="00834B67">
        <w:rPr>
          <w:color w:val="000000" w:themeColor="text1"/>
          <w:sz w:val="20"/>
          <w:szCs w:val="20"/>
        </w:rPr>
        <w:t>,</w:t>
      </w:r>
      <w:r w:rsidR="00FF41A0">
        <w:rPr>
          <w:color w:val="000000" w:themeColor="text1"/>
          <w:sz w:val="20"/>
          <w:szCs w:val="20"/>
        </w:rPr>
        <w:t xml:space="preserve"> </w:t>
      </w:r>
      <w:r w:rsidR="00834B67" w:rsidRPr="00834B67">
        <w:rPr>
          <w:color w:val="000000" w:themeColor="text1"/>
          <w:sz w:val="20"/>
          <w:szCs w:val="20"/>
        </w:rPr>
        <w:t>Sudan</w:t>
      </w:r>
      <w:r w:rsidRPr="00113DE2">
        <w:rPr>
          <w:color w:val="000000" w:themeColor="text1"/>
          <w:sz w:val="20"/>
          <w:szCs w:val="20"/>
        </w:rPr>
        <w:t>;</w:t>
      </w:r>
    </w:p>
    <w:p w14:paraId="24240311" w14:textId="162FF856" w:rsidR="00F05CF5" w:rsidRPr="00113DE2" w:rsidRDefault="00F05CF5" w:rsidP="00F05CF5">
      <w:pPr>
        <w:pStyle w:val="SingleTxtG"/>
        <w:ind w:firstLine="567"/>
        <w:rPr>
          <w:color w:val="000000" w:themeColor="text1"/>
          <w:sz w:val="20"/>
          <w:szCs w:val="20"/>
        </w:rPr>
      </w:pPr>
      <w:r w:rsidRPr="00113DE2">
        <w:rPr>
          <w:color w:val="000000" w:themeColor="text1"/>
          <w:sz w:val="20"/>
          <w:szCs w:val="20"/>
        </w:rPr>
        <w:t>(</w:t>
      </w:r>
      <w:r w:rsidR="002B76F1" w:rsidRPr="00113DE2">
        <w:rPr>
          <w:color w:val="000000" w:themeColor="text1"/>
          <w:sz w:val="20"/>
          <w:szCs w:val="20"/>
        </w:rPr>
        <w:t>c</w:t>
      </w:r>
      <w:r w:rsidRPr="00113DE2">
        <w:rPr>
          <w:color w:val="000000" w:themeColor="text1"/>
          <w:sz w:val="20"/>
          <w:szCs w:val="20"/>
        </w:rPr>
        <w:t>)</w:t>
      </w:r>
      <w:r w:rsidRPr="00113DE2">
        <w:rPr>
          <w:color w:val="000000" w:themeColor="text1"/>
          <w:sz w:val="20"/>
          <w:szCs w:val="20"/>
        </w:rPr>
        <w:tab/>
        <w:t>Observer</w:t>
      </w:r>
      <w:r w:rsidR="00FF41A0">
        <w:rPr>
          <w:color w:val="000000" w:themeColor="text1"/>
          <w:sz w:val="20"/>
          <w:szCs w:val="20"/>
        </w:rPr>
        <w:t xml:space="preserve"> </w:t>
      </w:r>
      <w:r w:rsidRPr="00113DE2">
        <w:rPr>
          <w:color w:val="000000" w:themeColor="text1"/>
          <w:sz w:val="20"/>
          <w:szCs w:val="20"/>
        </w:rPr>
        <w:t>for</w:t>
      </w:r>
      <w:r w:rsidR="00FF41A0">
        <w:rPr>
          <w:color w:val="000000" w:themeColor="text1"/>
          <w:sz w:val="20"/>
          <w:szCs w:val="20"/>
        </w:rPr>
        <w:t xml:space="preserve"> </w:t>
      </w:r>
      <w:r w:rsidRPr="00113DE2">
        <w:rPr>
          <w:color w:val="000000" w:themeColor="text1"/>
          <w:sz w:val="20"/>
          <w:szCs w:val="20"/>
        </w:rPr>
        <w:t>an</w:t>
      </w:r>
      <w:r w:rsidR="00FF41A0">
        <w:rPr>
          <w:color w:val="000000" w:themeColor="text1"/>
          <w:sz w:val="20"/>
          <w:szCs w:val="20"/>
        </w:rPr>
        <w:t xml:space="preserve"> </w:t>
      </w:r>
      <w:r w:rsidRPr="00113DE2">
        <w:rPr>
          <w:color w:val="000000" w:themeColor="text1"/>
          <w:sz w:val="20"/>
          <w:szCs w:val="20"/>
        </w:rPr>
        <w:t>intergovernmental</w:t>
      </w:r>
      <w:r w:rsidR="00FF41A0">
        <w:rPr>
          <w:color w:val="000000" w:themeColor="text1"/>
          <w:sz w:val="20"/>
          <w:szCs w:val="20"/>
        </w:rPr>
        <w:t xml:space="preserve"> </w:t>
      </w:r>
      <w:r w:rsidRPr="00113DE2">
        <w:rPr>
          <w:color w:val="000000" w:themeColor="text1"/>
          <w:sz w:val="20"/>
          <w:szCs w:val="20"/>
        </w:rPr>
        <w:t>organization:</w:t>
      </w:r>
      <w:r w:rsidR="00FF41A0">
        <w:rPr>
          <w:color w:val="000000" w:themeColor="text1"/>
          <w:sz w:val="20"/>
          <w:szCs w:val="20"/>
        </w:rPr>
        <w:t xml:space="preserve"> </w:t>
      </w:r>
      <w:r w:rsidRPr="00113DE2">
        <w:rPr>
          <w:color w:val="000000" w:themeColor="text1"/>
          <w:sz w:val="20"/>
          <w:szCs w:val="20"/>
        </w:rPr>
        <w:t>European</w:t>
      </w:r>
      <w:r w:rsidR="00FF41A0">
        <w:rPr>
          <w:color w:val="000000" w:themeColor="text1"/>
          <w:sz w:val="20"/>
          <w:szCs w:val="20"/>
        </w:rPr>
        <w:t xml:space="preserve"> </w:t>
      </w:r>
      <w:r w:rsidRPr="00113DE2">
        <w:rPr>
          <w:color w:val="000000" w:themeColor="text1"/>
          <w:sz w:val="20"/>
          <w:szCs w:val="20"/>
        </w:rPr>
        <w:t>Union;</w:t>
      </w:r>
    </w:p>
    <w:p w14:paraId="14966FFB" w14:textId="4575DFB9" w:rsidR="00F05CF5" w:rsidRPr="00113DE2" w:rsidRDefault="002B76F1" w:rsidP="00F05CF5">
      <w:pPr>
        <w:pStyle w:val="SingleTxtG"/>
        <w:ind w:firstLine="567"/>
        <w:rPr>
          <w:color w:val="000000" w:themeColor="text1"/>
          <w:sz w:val="20"/>
          <w:szCs w:val="20"/>
        </w:rPr>
      </w:pPr>
      <w:r w:rsidRPr="00113DE2">
        <w:rPr>
          <w:color w:val="000000" w:themeColor="text1"/>
          <w:sz w:val="20"/>
          <w:szCs w:val="20"/>
        </w:rPr>
        <w:t>(d</w:t>
      </w:r>
      <w:r w:rsidR="00F05CF5" w:rsidRPr="00113DE2">
        <w:rPr>
          <w:color w:val="000000" w:themeColor="text1"/>
          <w:sz w:val="20"/>
          <w:szCs w:val="20"/>
        </w:rPr>
        <w:t>)</w:t>
      </w:r>
      <w:r w:rsidR="00F05CF5" w:rsidRPr="00113DE2">
        <w:rPr>
          <w:color w:val="000000" w:themeColor="text1"/>
          <w:sz w:val="20"/>
          <w:szCs w:val="20"/>
        </w:rPr>
        <w:tab/>
        <w:t>Observers</w:t>
      </w:r>
      <w:r w:rsidR="00FF41A0">
        <w:rPr>
          <w:color w:val="000000" w:themeColor="text1"/>
          <w:sz w:val="20"/>
          <w:szCs w:val="20"/>
        </w:rPr>
        <w:t xml:space="preserve"> </w:t>
      </w:r>
      <w:r w:rsidR="00F05CF5" w:rsidRPr="00113DE2">
        <w:rPr>
          <w:color w:val="000000" w:themeColor="text1"/>
          <w:sz w:val="20"/>
          <w:szCs w:val="20"/>
        </w:rPr>
        <w:t>for</w:t>
      </w:r>
      <w:r w:rsidR="00FF41A0">
        <w:rPr>
          <w:color w:val="000000" w:themeColor="text1"/>
          <w:sz w:val="20"/>
          <w:szCs w:val="20"/>
        </w:rPr>
        <w:t xml:space="preserve"> </w:t>
      </w:r>
      <w:r w:rsidR="00F05CF5" w:rsidRPr="00113DE2">
        <w:rPr>
          <w:color w:val="000000" w:themeColor="text1"/>
          <w:sz w:val="20"/>
          <w:szCs w:val="20"/>
        </w:rPr>
        <w:t>non-governmental</w:t>
      </w:r>
      <w:r w:rsidR="00FF41A0">
        <w:rPr>
          <w:color w:val="000000" w:themeColor="text1"/>
          <w:sz w:val="20"/>
          <w:szCs w:val="20"/>
        </w:rPr>
        <w:t xml:space="preserve"> </w:t>
      </w:r>
      <w:r w:rsidR="00F05CF5" w:rsidRPr="00113DE2">
        <w:rPr>
          <w:color w:val="000000" w:themeColor="text1"/>
          <w:sz w:val="20"/>
          <w:szCs w:val="20"/>
        </w:rPr>
        <w:t>organizations:</w:t>
      </w:r>
      <w:r w:rsidR="00FF41A0">
        <w:rPr>
          <w:color w:val="000000" w:themeColor="text1"/>
          <w:sz w:val="20"/>
          <w:szCs w:val="20"/>
        </w:rPr>
        <w:t xml:space="preserve"> </w:t>
      </w:r>
      <w:r w:rsidR="00CD59F1" w:rsidRPr="00CD59F1">
        <w:rPr>
          <w:color w:val="000000" w:themeColor="text1"/>
          <w:sz w:val="20"/>
          <w:szCs w:val="20"/>
        </w:rPr>
        <w:t>International</w:t>
      </w:r>
      <w:r w:rsidR="00FF41A0">
        <w:rPr>
          <w:color w:val="000000" w:themeColor="text1"/>
          <w:sz w:val="20"/>
          <w:szCs w:val="20"/>
        </w:rPr>
        <w:t xml:space="preserve"> </w:t>
      </w:r>
      <w:r w:rsidR="00CD59F1" w:rsidRPr="00CD59F1">
        <w:rPr>
          <w:color w:val="000000" w:themeColor="text1"/>
          <w:sz w:val="20"/>
          <w:szCs w:val="20"/>
        </w:rPr>
        <w:t>Catholic</w:t>
      </w:r>
      <w:r w:rsidR="00FF41A0">
        <w:rPr>
          <w:color w:val="000000" w:themeColor="text1"/>
          <w:sz w:val="20"/>
          <w:szCs w:val="20"/>
        </w:rPr>
        <w:t xml:space="preserve"> </w:t>
      </w:r>
      <w:r w:rsidR="00CD59F1" w:rsidRPr="00CD59F1">
        <w:rPr>
          <w:color w:val="000000" w:themeColor="text1"/>
          <w:sz w:val="20"/>
          <w:szCs w:val="20"/>
        </w:rPr>
        <w:t>Child</w:t>
      </w:r>
      <w:r w:rsidR="00FF41A0">
        <w:rPr>
          <w:color w:val="000000" w:themeColor="text1"/>
          <w:sz w:val="20"/>
          <w:szCs w:val="20"/>
        </w:rPr>
        <w:t xml:space="preserve"> </w:t>
      </w:r>
      <w:r w:rsidR="00CD59F1" w:rsidRPr="00CD59F1">
        <w:rPr>
          <w:color w:val="000000" w:themeColor="text1"/>
          <w:sz w:val="20"/>
          <w:szCs w:val="20"/>
        </w:rPr>
        <w:t>Bureau</w:t>
      </w:r>
      <w:r w:rsidR="006A2857">
        <w:rPr>
          <w:color w:val="000000" w:themeColor="text1"/>
          <w:sz w:val="20"/>
          <w:szCs w:val="20"/>
        </w:rPr>
        <w:t>;</w:t>
      </w:r>
      <w:r w:rsidR="00FF41A0">
        <w:rPr>
          <w:color w:val="000000" w:themeColor="text1"/>
          <w:sz w:val="20"/>
          <w:szCs w:val="20"/>
        </w:rPr>
        <w:t xml:space="preserve"> </w:t>
      </w:r>
      <w:r w:rsidR="00CD59F1" w:rsidRPr="00CD59F1">
        <w:rPr>
          <w:color w:val="000000" w:themeColor="text1"/>
          <w:sz w:val="20"/>
          <w:szCs w:val="20"/>
        </w:rPr>
        <w:t>International</w:t>
      </w:r>
      <w:r w:rsidR="00FF41A0">
        <w:rPr>
          <w:color w:val="000000" w:themeColor="text1"/>
          <w:sz w:val="20"/>
          <w:szCs w:val="20"/>
        </w:rPr>
        <w:t xml:space="preserve"> </w:t>
      </w:r>
      <w:r w:rsidR="00CD59F1" w:rsidRPr="00CD59F1">
        <w:rPr>
          <w:color w:val="000000" w:themeColor="text1"/>
          <w:sz w:val="20"/>
          <w:szCs w:val="20"/>
        </w:rPr>
        <w:t>Organization</w:t>
      </w:r>
      <w:r w:rsidR="00FF41A0">
        <w:rPr>
          <w:color w:val="000000" w:themeColor="text1"/>
          <w:sz w:val="20"/>
          <w:szCs w:val="20"/>
        </w:rPr>
        <w:t xml:space="preserve"> </w:t>
      </w:r>
      <w:r w:rsidR="00CD59F1" w:rsidRPr="00CD59F1">
        <w:rPr>
          <w:color w:val="000000" w:themeColor="text1"/>
          <w:sz w:val="20"/>
          <w:szCs w:val="20"/>
        </w:rPr>
        <w:t>for</w:t>
      </w:r>
      <w:r w:rsidR="00FF41A0">
        <w:rPr>
          <w:color w:val="000000" w:themeColor="text1"/>
          <w:sz w:val="20"/>
          <w:szCs w:val="20"/>
        </w:rPr>
        <w:t xml:space="preserve"> </w:t>
      </w:r>
      <w:r w:rsidR="00CD59F1" w:rsidRPr="00CD59F1">
        <w:rPr>
          <w:color w:val="000000" w:themeColor="text1"/>
          <w:sz w:val="20"/>
          <w:szCs w:val="20"/>
        </w:rPr>
        <w:t>the</w:t>
      </w:r>
      <w:r w:rsidR="00FF41A0">
        <w:rPr>
          <w:color w:val="000000" w:themeColor="text1"/>
          <w:sz w:val="20"/>
          <w:szCs w:val="20"/>
        </w:rPr>
        <w:t xml:space="preserve"> </w:t>
      </w:r>
      <w:r w:rsidR="00CD59F1" w:rsidRPr="00CD59F1">
        <w:rPr>
          <w:color w:val="000000" w:themeColor="text1"/>
          <w:sz w:val="20"/>
          <w:szCs w:val="20"/>
        </w:rPr>
        <w:t>Elimination</w:t>
      </w:r>
      <w:r w:rsidR="00FF41A0">
        <w:rPr>
          <w:color w:val="000000" w:themeColor="text1"/>
          <w:sz w:val="20"/>
          <w:szCs w:val="20"/>
        </w:rPr>
        <w:t xml:space="preserve"> </w:t>
      </w:r>
      <w:r w:rsidR="00CD59F1" w:rsidRPr="00CD59F1">
        <w:rPr>
          <w:color w:val="000000" w:themeColor="text1"/>
          <w:sz w:val="20"/>
          <w:szCs w:val="20"/>
        </w:rPr>
        <w:t>of</w:t>
      </w:r>
      <w:r w:rsidR="00FF41A0">
        <w:rPr>
          <w:color w:val="000000" w:themeColor="text1"/>
          <w:sz w:val="20"/>
          <w:szCs w:val="20"/>
        </w:rPr>
        <w:t xml:space="preserve"> </w:t>
      </w:r>
      <w:r w:rsidR="00CD59F1" w:rsidRPr="00CD59F1">
        <w:rPr>
          <w:color w:val="000000" w:themeColor="text1"/>
          <w:sz w:val="20"/>
          <w:szCs w:val="20"/>
        </w:rPr>
        <w:t>All</w:t>
      </w:r>
      <w:r w:rsidR="00FF41A0">
        <w:rPr>
          <w:color w:val="000000" w:themeColor="text1"/>
          <w:sz w:val="20"/>
          <w:szCs w:val="20"/>
        </w:rPr>
        <w:t xml:space="preserve"> </w:t>
      </w:r>
      <w:r w:rsidR="00CD59F1" w:rsidRPr="00CD59F1">
        <w:rPr>
          <w:color w:val="000000" w:themeColor="text1"/>
          <w:sz w:val="20"/>
          <w:szCs w:val="20"/>
        </w:rPr>
        <w:t>Forms</w:t>
      </w:r>
      <w:r w:rsidR="00FF41A0">
        <w:rPr>
          <w:color w:val="000000" w:themeColor="text1"/>
          <w:sz w:val="20"/>
          <w:szCs w:val="20"/>
        </w:rPr>
        <w:t xml:space="preserve"> </w:t>
      </w:r>
      <w:r w:rsidR="00CD59F1" w:rsidRPr="00CD59F1">
        <w:rPr>
          <w:color w:val="000000" w:themeColor="text1"/>
          <w:sz w:val="20"/>
          <w:szCs w:val="20"/>
        </w:rPr>
        <w:t>of</w:t>
      </w:r>
      <w:r w:rsidR="00FF41A0">
        <w:rPr>
          <w:color w:val="000000" w:themeColor="text1"/>
          <w:sz w:val="20"/>
          <w:szCs w:val="20"/>
        </w:rPr>
        <w:t xml:space="preserve"> </w:t>
      </w:r>
      <w:r w:rsidR="00CD59F1" w:rsidRPr="00CD59F1">
        <w:rPr>
          <w:color w:val="000000" w:themeColor="text1"/>
          <w:sz w:val="20"/>
          <w:szCs w:val="20"/>
        </w:rPr>
        <w:t>Racial</w:t>
      </w:r>
      <w:r w:rsidR="00FF41A0">
        <w:rPr>
          <w:color w:val="000000" w:themeColor="text1"/>
          <w:sz w:val="20"/>
          <w:szCs w:val="20"/>
        </w:rPr>
        <w:t xml:space="preserve"> </w:t>
      </w:r>
      <w:r w:rsidR="00CD59F1" w:rsidRPr="00CD59F1">
        <w:rPr>
          <w:color w:val="000000" w:themeColor="text1"/>
          <w:sz w:val="20"/>
          <w:szCs w:val="20"/>
        </w:rPr>
        <w:t>Discrimination</w:t>
      </w:r>
      <w:r w:rsidR="006A2857">
        <w:rPr>
          <w:color w:val="000000" w:themeColor="text1"/>
          <w:sz w:val="20"/>
          <w:szCs w:val="20"/>
        </w:rPr>
        <w:t>;</w:t>
      </w:r>
      <w:r w:rsidR="00FF41A0">
        <w:rPr>
          <w:color w:val="000000" w:themeColor="text1"/>
          <w:sz w:val="20"/>
          <w:szCs w:val="20"/>
        </w:rPr>
        <w:t xml:space="preserve"> </w:t>
      </w:r>
      <w:r w:rsidR="00CD59F1" w:rsidRPr="00CD59F1">
        <w:rPr>
          <w:color w:val="000000" w:themeColor="text1"/>
          <w:sz w:val="20"/>
          <w:szCs w:val="20"/>
        </w:rPr>
        <w:t>Rencontre</w:t>
      </w:r>
      <w:r w:rsidR="00FF41A0">
        <w:rPr>
          <w:color w:val="000000" w:themeColor="text1"/>
          <w:sz w:val="20"/>
          <w:szCs w:val="20"/>
        </w:rPr>
        <w:t xml:space="preserve"> </w:t>
      </w:r>
      <w:r w:rsidR="00CD59F1" w:rsidRPr="00CD59F1">
        <w:rPr>
          <w:color w:val="000000" w:themeColor="text1"/>
          <w:sz w:val="20"/>
          <w:szCs w:val="20"/>
        </w:rPr>
        <w:t>Africaine</w:t>
      </w:r>
      <w:r w:rsidR="00FF41A0">
        <w:rPr>
          <w:color w:val="000000" w:themeColor="text1"/>
          <w:sz w:val="20"/>
          <w:szCs w:val="20"/>
        </w:rPr>
        <w:t xml:space="preserve"> </w:t>
      </w:r>
      <w:r w:rsidR="00CD59F1" w:rsidRPr="00CD59F1">
        <w:rPr>
          <w:color w:val="000000" w:themeColor="text1"/>
          <w:sz w:val="20"/>
          <w:szCs w:val="20"/>
        </w:rPr>
        <w:t>pour</w:t>
      </w:r>
      <w:r w:rsidR="00FF41A0">
        <w:rPr>
          <w:color w:val="000000" w:themeColor="text1"/>
          <w:sz w:val="20"/>
          <w:szCs w:val="20"/>
        </w:rPr>
        <w:t xml:space="preserve"> </w:t>
      </w:r>
      <w:r w:rsidR="00CD59F1" w:rsidRPr="00CD59F1">
        <w:rPr>
          <w:color w:val="000000" w:themeColor="text1"/>
          <w:sz w:val="20"/>
          <w:szCs w:val="20"/>
        </w:rPr>
        <w:t>la</w:t>
      </w:r>
      <w:r w:rsidR="00FF41A0">
        <w:rPr>
          <w:color w:val="000000" w:themeColor="text1"/>
          <w:sz w:val="20"/>
          <w:szCs w:val="20"/>
        </w:rPr>
        <w:t xml:space="preserve"> </w:t>
      </w:r>
      <w:r w:rsidR="00CD59F1" w:rsidRPr="00CD59F1">
        <w:rPr>
          <w:color w:val="000000" w:themeColor="text1"/>
          <w:sz w:val="20"/>
          <w:szCs w:val="20"/>
        </w:rPr>
        <w:t>defense</w:t>
      </w:r>
      <w:r w:rsidR="00FF41A0">
        <w:rPr>
          <w:color w:val="000000" w:themeColor="text1"/>
          <w:sz w:val="20"/>
          <w:szCs w:val="20"/>
        </w:rPr>
        <w:t xml:space="preserve"> </w:t>
      </w:r>
      <w:r w:rsidR="00CD59F1" w:rsidRPr="00CD59F1">
        <w:rPr>
          <w:color w:val="000000" w:themeColor="text1"/>
          <w:sz w:val="20"/>
          <w:szCs w:val="20"/>
        </w:rPr>
        <w:t>des</w:t>
      </w:r>
      <w:r w:rsidR="00FF41A0">
        <w:rPr>
          <w:color w:val="000000" w:themeColor="text1"/>
          <w:sz w:val="20"/>
          <w:szCs w:val="20"/>
        </w:rPr>
        <w:t xml:space="preserve"> </w:t>
      </w:r>
      <w:r w:rsidR="00CD59F1" w:rsidRPr="00CD59F1">
        <w:rPr>
          <w:color w:val="000000" w:themeColor="text1"/>
          <w:sz w:val="20"/>
          <w:szCs w:val="20"/>
        </w:rPr>
        <w:t>droits</w:t>
      </w:r>
      <w:r w:rsidR="00FF41A0">
        <w:rPr>
          <w:color w:val="000000" w:themeColor="text1"/>
          <w:sz w:val="20"/>
          <w:szCs w:val="20"/>
        </w:rPr>
        <w:t xml:space="preserve"> </w:t>
      </w:r>
      <w:r w:rsidR="00CD59F1" w:rsidRPr="00CD59F1">
        <w:rPr>
          <w:color w:val="000000" w:themeColor="text1"/>
          <w:sz w:val="20"/>
          <w:szCs w:val="20"/>
        </w:rPr>
        <w:t>de</w:t>
      </w:r>
      <w:r w:rsidR="00FF41A0">
        <w:rPr>
          <w:color w:val="000000" w:themeColor="text1"/>
          <w:sz w:val="20"/>
          <w:szCs w:val="20"/>
        </w:rPr>
        <w:t xml:space="preserve"> </w:t>
      </w:r>
      <w:r w:rsidR="00CD59F1" w:rsidRPr="00CD59F1">
        <w:rPr>
          <w:color w:val="000000" w:themeColor="text1"/>
          <w:sz w:val="20"/>
          <w:szCs w:val="20"/>
        </w:rPr>
        <w:t>l</w:t>
      </w:r>
      <w:r w:rsidR="00D72627">
        <w:rPr>
          <w:color w:val="000000" w:themeColor="text1"/>
          <w:sz w:val="20"/>
          <w:szCs w:val="20"/>
        </w:rPr>
        <w:t>’</w:t>
      </w:r>
      <w:r w:rsidR="00CD59F1" w:rsidRPr="00CD59F1">
        <w:rPr>
          <w:color w:val="000000" w:themeColor="text1"/>
          <w:sz w:val="20"/>
          <w:szCs w:val="20"/>
        </w:rPr>
        <w:t>homme</w:t>
      </w:r>
      <w:r w:rsidR="00F05CF5" w:rsidRPr="00113DE2">
        <w:rPr>
          <w:color w:val="000000" w:themeColor="text1"/>
          <w:sz w:val="20"/>
          <w:szCs w:val="20"/>
          <w:lang w:eastAsia="en-GB"/>
        </w:rPr>
        <w:t>.</w:t>
      </w:r>
    </w:p>
    <w:p w14:paraId="0068B00B" w14:textId="72BCAB01" w:rsidR="00F05CF5" w:rsidRPr="00113DE2" w:rsidRDefault="00CF15B1" w:rsidP="00F05CF5">
      <w:pPr>
        <w:pStyle w:val="SingleTxtG"/>
        <w:rPr>
          <w:color w:val="000000" w:themeColor="text1"/>
          <w:sz w:val="20"/>
          <w:szCs w:val="20"/>
        </w:rPr>
      </w:pPr>
      <w:r>
        <w:rPr>
          <w:color w:val="000000" w:themeColor="text1"/>
          <w:sz w:val="20"/>
          <w:szCs w:val="20"/>
        </w:rPr>
        <w:t>987</w:t>
      </w:r>
      <w:r w:rsidR="00F05CF5" w:rsidRPr="00113DE2">
        <w:rPr>
          <w:color w:val="000000" w:themeColor="text1"/>
          <w:sz w:val="20"/>
          <w:szCs w:val="20"/>
        </w:rPr>
        <w:t>.</w:t>
      </w:r>
      <w:r w:rsidR="00F05CF5" w:rsidRPr="00113DE2">
        <w:rPr>
          <w:color w:val="000000" w:themeColor="text1"/>
          <w:sz w:val="20"/>
          <w:szCs w:val="20"/>
        </w:rPr>
        <w:tab/>
        <w:t>At</w:t>
      </w:r>
      <w:r w:rsidR="00FF41A0">
        <w:rPr>
          <w:color w:val="000000" w:themeColor="text1"/>
          <w:sz w:val="20"/>
          <w:szCs w:val="20"/>
        </w:rPr>
        <w:t xml:space="preserve"> </w:t>
      </w:r>
      <w:r w:rsidR="00F05CF5" w:rsidRPr="00113DE2">
        <w:rPr>
          <w:color w:val="000000" w:themeColor="text1"/>
          <w:sz w:val="20"/>
          <w:szCs w:val="20"/>
        </w:rPr>
        <w:t>the</w:t>
      </w:r>
      <w:r w:rsidR="00FF41A0">
        <w:rPr>
          <w:color w:val="000000" w:themeColor="text1"/>
          <w:sz w:val="20"/>
          <w:szCs w:val="20"/>
        </w:rPr>
        <w:t xml:space="preserve"> </w:t>
      </w:r>
      <w:r w:rsidR="00F05CF5" w:rsidRPr="00113DE2">
        <w:rPr>
          <w:color w:val="000000" w:themeColor="text1"/>
          <w:sz w:val="20"/>
          <w:szCs w:val="20"/>
        </w:rPr>
        <w:t>same</w:t>
      </w:r>
      <w:r w:rsidR="00FF41A0">
        <w:rPr>
          <w:color w:val="000000" w:themeColor="text1"/>
          <w:sz w:val="20"/>
          <w:szCs w:val="20"/>
        </w:rPr>
        <w:t xml:space="preserve"> </w:t>
      </w:r>
      <w:r w:rsidR="00F05CF5" w:rsidRPr="00113DE2">
        <w:rPr>
          <w:color w:val="000000" w:themeColor="text1"/>
          <w:sz w:val="20"/>
          <w:szCs w:val="20"/>
        </w:rPr>
        <w:t>meeting,</w:t>
      </w:r>
      <w:r w:rsidR="00FF41A0">
        <w:rPr>
          <w:color w:val="000000" w:themeColor="text1"/>
          <w:sz w:val="20"/>
          <w:szCs w:val="20"/>
        </w:rPr>
        <w:t xml:space="preserve"> </w:t>
      </w:r>
      <w:r w:rsidR="00F05CF5" w:rsidRPr="00113DE2">
        <w:rPr>
          <w:color w:val="000000" w:themeColor="text1"/>
          <w:sz w:val="20"/>
          <w:szCs w:val="20"/>
        </w:rPr>
        <w:t>the</w:t>
      </w:r>
      <w:r w:rsidR="00FF41A0">
        <w:rPr>
          <w:color w:val="000000" w:themeColor="text1"/>
          <w:sz w:val="20"/>
          <w:szCs w:val="20"/>
        </w:rPr>
        <w:t xml:space="preserve"> </w:t>
      </w:r>
      <w:r w:rsidR="00F05CF5" w:rsidRPr="00113DE2">
        <w:rPr>
          <w:color w:val="000000" w:themeColor="text1"/>
          <w:sz w:val="20"/>
          <w:szCs w:val="20"/>
        </w:rPr>
        <w:t>Independent</w:t>
      </w:r>
      <w:r w:rsidR="00FF41A0">
        <w:rPr>
          <w:color w:val="000000" w:themeColor="text1"/>
          <w:sz w:val="20"/>
          <w:szCs w:val="20"/>
        </w:rPr>
        <w:t xml:space="preserve"> </w:t>
      </w:r>
      <w:r w:rsidR="00F05CF5" w:rsidRPr="00113DE2">
        <w:rPr>
          <w:color w:val="000000" w:themeColor="text1"/>
          <w:sz w:val="20"/>
          <w:szCs w:val="20"/>
        </w:rPr>
        <w:t>Expert</w:t>
      </w:r>
      <w:r w:rsidR="00FF41A0">
        <w:rPr>
          <w:color w:val="000000" w:themeColor="text1"/>
          <w:sz w:val="20"/>
          <w:szCs w:val="20"/>
        </w:rPr>
        <w:t xml:space="preserve"> </w:t>
      </w:r>
      <w:r w:rsidR="00F05CF5" w:rsidRPr="00113DE2">
        <w:rPr>
          <w:color w:val="000000" w:themeColor="text1"/>
          <w:sz w:val="20"/>
          <w:szCs w:val="20"/>
        </w:rPr>
        <w:t>answered</w:t>
      </w:r>
      <w:r w:rsidR="00FF41A0">
        <w:rPr>
          <w:color w:val="000000" w:themeColor="text1"/>
          <w:sz w:val="20"/>
          <w:szCs w:val="20"/>
        </w:rPr>
        <w:t xml:space="preserve"> </w:t>
      </w:r>
      <w:r w:rsidR="00F05CF5" w:rsidRPr="00113DE2">
        <w:rPr>
          <w:color w:val="000000" w:themeColor="text1"/>
          <w:sz w:val="20"/>
          <w:szCs w:val="20"/>
        </w:rPr>
        <w:t>questions</w:t>
      </w:r>
      <w:r w:rsidR="00FF41A0">
        <w:rPr>
          <w:color w:val="000000" w:themeColor="text1"/>
          <w:sz w:val="20"/>
          <w:szCs w:val="20"/>
        </w:rPr>
        <w:t xml:space="preserve"> </w:t>
      </w:r>
      <w:r w:rsidR="00F05CF5" w:rsidRPr="00113DE2">
        <w:rPr>
          <w:color w:val="000000" w:themeColor="text1"/>
          <w:sz w:val="20"/>
          <w:szCs w:val="20"/>
        </w:rPr>
        <w:t>and</w:t>
      </w:r>
      <w:r w:rsidR="00FF41A0">
        <w:rPr>
          <w:color w:val="000000" w:themeColor="text1"/>
          <w:sz w:val="20"/>
          <w:szCs w:val="20"/>
        </w:rPr>
        <w:t xml:space="preserve"> </w:t>
      </w:r>
      <w:r w:rsidR="00F05CF5" w:rsidRPr="00113DE2">
        <w:rPr>
          <w:color w:val="000000" w:themeColor="text1"/>
          <w:sz w:val="20"/>
          <w:szCs w:val="20"/>
        </w:rPr>
        <w:t>made</w:t>
      </w:r>
      <w:r w:rsidR="00FF41A0">
        <w:rPr>
          <w:color w:val="000000" w:themeColor="text1"/>
          <w:sz w:val="20"/>
          <w:szCs w:val="20"/>
        </w:rPr>
        <w:t xml:space="preserve"> </w:t>
      </w:r>
      <w:r w:rsidR="00F05CF5" w:rsidRPr="00113DE2">
        <w:rPr>
          <w:color w:val="000000" w:themeColor="text1"/>
          <w:sz w:val="20"/>
          <w:szCs w:val="20"/>
        </w:rPr>
        <w:t>his</w:t>
      </w:r>
      <w:r w:rsidR="00FF41A0">
        <w:rPr>
          <w:color w:val="000000" w:themeColor="text1"/>
          <w:sz w:val="20"/>
          <w:szCs w:val="20"/>
        </w:rPr>
        <w:t xml:space="preserve"> </w:t>
      </w:r>
      <w:r w:rsidR="00F05CF5" w:rsidRPr="00113DE2">
        <w:rPr>
          <w:color w:val="000000" w:themeColor="text1"/>
          <w:sz w:val="20"/>
          <w:szCs w:val="20"/>
        </w:rPr>
        <w:t>concluding</w:t>
      </w:r>
      <w:r w:rsidR="00FF41A0">
        <w:rPr>
          <w:color w:val="000000" w:themeColor="text1"/>
          <w:sz w:val="20"/>
          <w:szCs w:val="20"/>
        </w:rPr>
        <w:t xml:space="preserve"> </w:t>
      </w:r>
      <w:r w:rsidR="00F05CF5" w:rsidRPr="00113DE2">
        <w:rPr>
          <w:color w:val="000000" w:themeColor="text1"/>
          <w:sz w:val="20"/>
          <w:szCs w:val="20"/>
        </w:rPr>
        <w:t>remarks.</w:t>
      </w:r>
    </w:p>
    <w:p w14:paraId="2EA58E34" w14:textId="0EB47E0B" w:rsidR="00F11B08" w:rsidRPr="00C16037" w:rsidRDefault="00F11B08" w:rsidP="00C6680C">
      <w:pPr>
        <w:pStyle w:val="H1G"/>
        <w:rPr>
          <w:color w:val="000000" w:themeColor="text1"/>
        </w:rPr>
      </w:pPr>
      <w:r w:rsidRPr="00C16037">
        <w:rPr>
          <w:color w:val="000000" w:themeColor="text1"/>
        </w:rPr>
        <w:tab/>
      </w:r>
      <w:r w:rsidR="004B1AD2" w:rsidRPr="000F56AD">
        <w:rPr>
          <w:color w:val="000000" w:themeColor="text1"/>
        </w:rPr>
        <w:t>E</w:t>
      </w:r>
      <w:r w:rsidRPr="000F56AD">
        <w:rPr>
          <w:color w:val="000000" w:themeColor="text1"/>
        </w:rPr>
        <w:t>.</w:t>
      </w:r>
      <w:r w:rsidRPr="000F56AD">
        <w:rPr>
          <w:color w:val="000000" w:themeColor="text1"/>
        </w:rPr>
        <w:tab/>
        <w:t>General</w:t>
      </w:r>
      <w:r w:rsidR="00FF41A0">
        <w:rPr>
          <w:color w:val="000000" w:themeColor="text1"/>
        </w:rPr>
        <w:t xml:space="preserve"> </w:t>
      </w:r>
      <w:r w:rsidRPr="000F56AD">
        <w:rPr>
          <w:color w:val="000000" w:themeColor="text1"/>
        </w:rPr>
        <w:t>debate</w:t>
      </w:r>
      <w:r w:rsidR="00FF41A0">
        <w:rPr>
          <w:color w:val="000000" w:themeColor="text1"/>
        </w:rPr>
        <w:t xml:space="preserve"> </w:t>
      </w:r>
      <w:r w:rsidRPr="000F56AD">
        <w:rPr>
          <w:color w:val="000000" w:themeColor="text1"/>
        </w:rPr>
        <w:t>on</w:t>
      </w:r>
      <w:r w:rsidR="00FF41A0">
        <w:rPr>
          <w:color w:val="000000" w:themeColor="text1"/>
        </w:rPr>
        <w:t xml:space="preserve"> </w:t>
      </w:r>
      <w:r w:rsidRPr="000F56AD">
        <w:rPr>
          <w:color w:val="000000" w:themeColor="text1"/>
        </w:rPr>
        <w:t>agenda</w:t>
      </w:r>
      <w:r w:rsidR="00FF41A0">
        <w:rPr>
          <w:color w:val="000000" w:themeColor="text1"/>
        </w:rPr>
        <w:t xml:space="preserve"> </w:t>
      </w:r>
      <w:r w:rsidRPr="000F56AD">
        <w:rPr>
          <w:color w:val="000000" w:themeColor="text1"/>
        </w:rPr>
        <w:t>item</w:t>
      </w:r>
      <w:r w:rsidR="00FF41A0">
        <w:rPr>
          <w:color w:val="000000" w:themeColor="text1"/>
        </w:rPr>
        <w:t xml:space="preserve"> </w:t>
      </w:r>
      <w:r w:rsidRPr="000F56AD">
        <w:rPr>
          <w:color w:val="000000" w:themeColor="text1"/>
        </w:rPr>
        <w:t>10</w:t>
      </w:r>
      <w:r w:rsidR="00FF41A0">
        <w:rPr>
          <w:color w:val="000000" w:themeColor="text1"/>
        </w:rPr>
        <w:t xml:space="preserve"> </w:t>
      </w:r>
    </w:p>
    <w:p w14:paraId="2EA58E35" w14:textId="0C11C40C" w:rsidR="00F11B08" w:rsidRDefault="00CF15B1" w:rsidP="00F11B08">
      <w:pPr>
        <w:pStyle w:val="SingleTxtG"/>
        <w:rPr>
          <w:color w:val="000000" w:themeColor="text1"/>
          <w:sz w:val="20"/>
          <w:szCs w:val="20"/>
        </w:rPr>
      </w:pPr>
      <w:r>
        <w:rPr>
          <w:color w:val="000000" w:themeColor="text1"/>
          <w:sz w:val="20"/>
          <w:szCs w:val="20"/>
        </w:rPr>
        <w:t>988</w:t>
      </w:r>
      <w:r w:rsidR="00F4790F" w:rsidRPr="00113DE2">
        <w:rPr>
          <w:color w:val="000000" w:themeColor="text1"/>
          <w:sz w:val="20"/>
          <w:szCs w:val="20"/>
        </w:rPr>
        <w:t>.</w:t>
      </w:r>
      <w:r w:rsidR="00C6680C" w:rsidRPr="00113DE2">
        <w:rPr>
          <w:color w:val="000000" w:themeColor="text1"/>
          <w:sz w:val="20"/>
          <w:szCs w:val="20"/>
        </w:rPr>
        <w:tab/>
      </w:r>
      <w:r w:rsidR="00EA4B00" w:rsidRPr="00113DE2">
        <w:rPr>
          <w:color w:val="000000" w:themeColor="text1"/>
          <w:sz w:val="20"/>
          <w:szCs w:val="20"/>
        </w:rPr>
        <w:t>At</w:t>
      </w:r>
      <w:r w:rsidR="00FF41A0">
        <w:rPr>
          <w:color w:val="000000" w:themeColor="text1"/>
          <w:sz w:val="20"/>
          <w:szCs w:val="20"/>
        </w:rPr>
        <w:t xml:space="preserve"> </w:t>
      </w:r>
      <w:r w:rsidR="00EA4B00" w:rsidRPr="00113DE2">
        <w:rPr>
          <w:color w:val="000000" w:themeColor="text1"/>
          <w:sz w:val="20"/>
          <w:szCs w:val="20"/>
        </w:rPr>
        <w:t>the</w:t>
      </w:r>
      <w:r w:rsidR="00FF41A0">
        <w:rPr>
          <w:color w:val="000000" w:themeColor="text1"/>
          <w:sz w:val="20"/>
          <w:szCs w:val="20"/>
        </w:rPr>
        <w:t xml:space="preserve"> </w:t>
      </w:r>
      <w:r w:rsidR="00EA4B00" w:rsidRPr="001971FC">
        <w:rPr>
          <w:color w:val="000000" w:themeColor="text1"/>
          <w:sz w:val="20"/>
          <w:szCs w:val="20"/>
        </w:rPr>
        <w:t>5</w:t>
      </w:r>
      <w:r w:rsidR="001971FC" w:rsidRPr="001971FC">
        <w:rPr>
          <w:color w:val="000000" w:themeColor="text1"/>
          <w:sz w:val="20"/>
          <w:szCs w:val="20"/>
        </w:rPr>
        <w:t>0th</w:t>
      </w:r>
      <w:r w:rsidR="00FF41A0">
        <w:rPr>
          <w:color w:val="000000" w:themeColor="text1"/>
          <w:sz w:val="20"/>
          <w:szCs w:val="20"/>
        </w:rPr>
        <w:t xml:space="preserve"> </w:t>
      </w:r>
      <w:r w:rsidR="00F11B08" w:rsidRPr="001971FC">
        <w:rPr>
          <w:color w:val="000000" w:themeColor="text1"/>
          <w:sz w:val="20"/>
          <w:szCs w:val="20"/>
        </w:rPr>
        <w:t>meeting,</w:t>
      </w:r>
      <w:r w:rsidR="00FF41A0">
        <w:rPr>
          <w:color w:val="000000" w:themeColor="text1"/>
          <w:sz w:val="20"/>
          <w:szCs w:val="20"/>
        </w:rPr>
        <w:t xml:space="preserve"> </w:t>
      </w:r>
      <w:r w:rsidR="00F11B08" w:rsidRPr="001971FC">
        <w:rPr>
          <w:color w:val="000000" w:themeColor="text1"/>
          <w:sz w:val="20"/>
          <w:szCs w:val="20"/>
        </w:rPr>
        <w:t>on</w:t>
      </w:r>
      <w:r w:rsidR="00FF41A0">
        <w:rPr>
          <w:color w:val="000000" w:themeColor="text1"/>
          <w:sz w:val="20"/>
          <w:szCs w:val="20"/>
        </w:rPr>
        <w:t xml:space="preserve"> </w:t>
      </w:r>
      <w:r w:rsidR="00F11B08" w:rsidRPr="001971FC">
        <w:rPr>
          <w:color w:val="000000" w:themeColor="text1"/>
          <w:sz w:val="20"/>
          <w:szCs w:val="20"/>
        </w:rPr>
        <w:t>2</w:t>
      </w:r>
      <w:r w:rsidR="00120FEE">
        <w:rPr>
          <w:color w:val="000000" w:themeColor="text1"/>
          <w:sz w:val="20"/>
          <w:szCs w:val="20"/>
        </w:rPr>
        <w:t>1</w:t>
      </w:r>
      <w:r w:rsidR="00FF41A0">
        <w:rPr>
          <w:color w:val="000000" w:themeColor="text1"/>
          <w:sz w:val="20"/>
          <w:szCs w:val="20"/>
        </w:rPr>
        <w:t xml:space="preserve"> </w:t>
      </w:r>
      <w:r w:rsidR="00F11B08" w:rsidRPr="001971FC">
        <w:rPr>
          <w:color w:val="000000" w:themeColor="text1"/>
          <w:sz w:val="20"/>
          <w:szCs w:val="20"/>
        </w:rPr>
        <w:t>March</w:t>
      </w:r>
      <w:r w:rsidR="00FF41A0">
        <w:rPr>
          <w:color w:val="000000" w:themeColor="text1"/>
          <w:sz w:val="20"/>
          <w:szCs w:val="20"/>
        </w:rPr>
        <w:t xml:space="preserve"> </w:t>
      </w:r>
      <w:r w:rsidR="00141AFC" w:rsidRPr="001971FC">
        <w:rPr>
          <w:color w:val="000000" w:themeColor="text1"/>
          <w:sz w:val="20"/>
          <w:szCs w:val="20"/>
        </w:rPr>
        <w:t>2019</w:t>
      </w:r>
      <w:r w:rsidR="00F11B08" w:rsidRPr="00113DE2">
        <w:rPr>
          <w:color w:val="000000" w:themeColor="text1"/>
          <w:sz w:val="20"/>
          <w:szCs w:val="20"/>
        </w:rPr>
        <w:t>,</w:t>
      </w:r>
      <w:r w:rsidR="00FF41A0">
        <w:rPr>
          <w:color w:val="000000" w:themeColor="text1"/>
          <w:sz w:val="20"/>
          <w:szCs w:val="20"/>
        </w:rPr>
        <w:t xml:space="preserve"> </w:t>
      </w:r>
      <w:r w:rsidR="00F11B08" w:rsidRPr="00113DE2">
        <w:rPr>
          <w:color w:val="000000" w:themeColor="text1"/>
          <w:sz w:val="20"/>
          <w:szCs w:val="20"/>
        </w:rPr>
        <w:t>the</w:t>
      </w:r>
      <w:r w:rsidR="00FF41A0">
        <w:rPr>
          <w:color w:val="000000" w:themeColor="text1"/>
          <w:sz w:val="20"/>
          <w:szCs w:val="20"/>
        </w:rPr>
        <w:t xml:space="preserve"> </w:t>
      </w:r>
      <w:r w:rsidR="001971FC" w:rsidRPr="009C4448">
        <w:rPr>
          <w:rFonts w:eastAsia="Malgun Gothic"/>
          <w:color w:val="000000" w:themeColor="text1"/>
          <w:sz w:val="20"/>
          <w:szCs w:val="20"/>
        </w:rPr>
        <w:t>Assistant</w:t>
      </w:r>
      <w:r w:rsidR="00FF41A0">
        <w:rPr>
          <w:rFonts w:eastAsia="Malgun Gothic"/>
          <w:color w:val="000000" w:themeColor="text1"/>
          <w:sz w:val="20"/>
          <w:szCs w:val="20"/>
        </w:rPr>
        <w:t xml:space="preserve"> </w:t>
      </w:r>
      <w:r w:rsidR="001971FC" w:rsidRPr="009C4448">
        <w:rPr>
          <w:rFonts w:eastAsia="Malgun Gothic"/>
          <w:color w:val="000000" w:themeColor="text1"/>
          <w:sz w:val="20"/>
          <w:szCs w:val="20"/>
        </w:rPr>
        <w:t>Secretary-General</w:t>
      </w:r>
      <w:r w:rsidR="00FF41A0">
        <w:rPr>
          <w:rFonts w:eastAsia="Malgun Gothic"/>
          <w:color w:val="000000" w:themeColor="text1"/>
          <w:sz w:val="20"/>
          <w:szCs w:val="20"/>
        </w:rPr>
        <w:t xml:space="preserve"> </w:t>
      </w:r>
      <w:r w:rsidR="001971FC" w:rsidRPr="009C4448">
        <w:rPr>
          <w:rFonts w:eastAsia="Malgun Gothic"/>
          <w:color w:val="000000" w:themeColor="text1"/>
          <w:sz w:val="20"/>
          <w:szCs w:val="20"/>
        </w:rPr>
        <w:t>for</w:t>
      </w:r>
      <w:r w:rsidR="00FF41A0">
        <w:rPr>
          <w:rFonts w:eastAsia="Malgun Gothic"/>
          <w:color w:val="000000" w:themeColor="text1"/>
          <w:sz w:val="20"/>
          <w:szCs w:val="20"/>
        </w:rPr>
        <w:t xml:space="preserve"> </w:t>
      </w:r>
      <w:r w:rsidR="001971FC" w:rsidRPr="009C4448">
        <w:rPr>
          <w:rFonts w:eastAsia="Malgun Gothic"/>
          <w:color w:val="000000" w:themeColor="text1"/>
          <w:sz w:val="20"/>
          <w:szCs w:val="20"/>
        </w:rPr>
        <w:t>Human</w:t>
      </w:r>
      <w:r w:rsidR="00FF41A0">
        <w:rPr>
          <w:rFonts w:eastAsia="Malgun Gothic"/>
          <w:color w:val="000000" w:themeColor="text1"/>
          <w:sz w:val="20"/>
          <w:szCs w:val="20"/>
        </w:rPr>
        <w:t xml:space="preserve"> </w:t>
      </w:r>
      <w:r w:rsidR="001971FC" w:rsidRPr="009C4448">
        <w:rPr>
          <w:rFonts w:eastAsia="Malgun Gothic"/>
          <w:color w:val="000000" w:themeColor="text1"/>
          <w:sz w:val="20"/>
          <w:szCs w:val="20"/>
        </w:rPr>
        <w:t>Rights</w:t>
      </w:r>
      <w:r w:rsidR="00FF41A0">
        <w:rPr>
          <w:rFonts w:eastAsia="Malgun Gothic"/>
          <w:color w:val="000000" w:themeColor="text1"/>
          <w:sz w:val="20"/>
          <w:szCs w:val="20"/>
        </w:rPr>
        <w:t xml:space="preserve"> </w:t>
      </w:r>
      <w:r w:rsidR="00F11B08" w:rsidRPr="00113DE2">
        <w:rPr>
          <w:color w:val="000000" w:themeColor="text1"/>
          <w:sz w:val="20"/>
          <w:szCs w:val="20"/>
        </w:rPr>
        <w:t>introduced</w:t>
      </w:r>
      <w:r w:rsidR="00FF41A0">
        <w:rPr>
          <w:color w:val="000000" w:themeColor="text1"/>
          <w:sz w:val="20"/>
          <w:szCs w:val="20"/>
        </w:rPr>
        <w:t xml:space="preserve"> </w:t>
      </w:r>
      <w:r w:rsidR="00F11B08" w:rsidRPr="00113DE2">
        <w:rPr>
          <w:color w:val="000000" w:themeColor="text1"/>
          <w:sz w:val="20"/>
          <w:szCs w:val="20"/>
        </w:rPr>
        <w:t>country-specific</w:t>
      </w:r>
      <w:r w:rsidR="00FF41A0">
        <w:rPr>
          <w:color w:val="000000" w:themeColor="text1"/>
          <w:sz w:val="20"/>
          <w:szCs w:val="20"/>
        </w:rPr>
        <w:t xml:space="preserve"> </w:t>
      </w:r>
      <w:r w:rsidR="00F11B08" w:rsidRPr="00113DE2">
        <w:rPr>
          <w:color w:val="000000" w:themeColor="text1"/>
          <w:sz w:val="20"/>
          <w:szCs w:val="20"/>
        </w:rPr>
        <w:t>reports</w:t>
      </w:r>
      <w:r w:rsidR="00FF41A0">
        <w:rPr>
          <w:color w:val="000000" w:themeColor="text1"/>
          <w:sz w:val="20"/>
          <w:szCs w:val="20"/>
        </w:rPr>
        <w:t xml:space="preserve"> </w:t>
      </w:r>
      <w:r w:rsidR="008F2566" w:rsidRPr="00113DE2">
        <w:rPr>
          <w:color w:val="000000" w:themeColor="text1"/>
          <w:sz w:val="20"/>
          <w:szCs w:val="20"/>
        </w:rPr>
        <w:t>o</w:t>
      </w:r>
      <w:r w:rsidR="00F11B08" w:rsidRPr="00113DE2">
        <w:rPr>
          <w:color w:val="000000" w:themeColor="text1"/>
          <w:sz w:val="20"/>
          <w:szCs w:val="20"/>
        </w:rPr>
        <w:t>f</w:t>
      </w:r>
      <w:r w:rsidR="00FF41A0">
        <w:rPr>
          <w:color w:val="000000" w:themeColor="text1"/>
          <w:sz w:val="20"/>
          <w:szCs w:val="20"/>
        </w:rPr>
        <w:t xml:space="preserve"> </w:t>
      </w:r>
      <w:r w:rsidR="00F11B08" w:rsidRPr="00113DE2">
        <w:rPr>
          <w:color w:val="000000" w:themeColor="text1"/>
          <w:sz w:val="20"/>
          <w:szCs w:val="20"/>
        </w:rPr>
        <w:t>the</w:t>
      </w:r>
      <w:r w:rsidR="00FF41A0">
        <w:rPr>
          <w:color w:val="000000" w:themeColor="text1"/>
          <w:sz w:val="20"/>
          <w:szCs w:val="20"/>
        </w:rPr>
        <w:t xml:space="preserve"> </w:t>
      </w:r>
      <w:r w:rsidR="00F11B08" w:rsidRPr="00113DE2">
        <w:rPr>
          <w:color w:val="000000" w:themeColor="text1"/>
          <w:sz w:val="20"/>
          <w:szCs w:val="20"/>
        </w:rPr>
        <w:t>High</w:t>
      </w:r>
      <w:r w:rsidR="00FF41A0">
        <w:rPr>
          <w:color w:val="000000" w:themeColor="text1"/>
          <w:sz w:val="20"/>
          <w:szCs w:val="20"/>
        </w:rPr>
        <w:t xml:space="preserve"> </w:t>
      </w:r>
      <w:r w:rsidR="00F11B08" w:rsidRPr="00113DE2">
        <w:rPr>
          <w:color w:val="000000" w:themeColor="text1"/>
          <w:sz w:val="20"/>
          <w:szCs w:val="20"/>
        </w:rPr>
        <w:t>Commissioner</w:t>
      </w:r>
      <w:r w:rsidR="00FF41A0">
        <w:rPr>
          <w:color w:val="000000" w:themeColor="text1"/>
          <w:sz w:val="20"/>
          <w:szCs w:val="20"/>
        </w:rPr>
        <w:t xml:space="preserve"> </w:t>
      </w:r>
      <w:r w:rsidR="00F11B08" w:rsidRPr="00113DE2">
        <w:rPr>
          <w:color w:val="000000" w:themeColor="text1"/>
          <w:sz w:val="20"/>
          <w:szCs w:val="20"/>
        </w:rPr>
        <w:t>submitted</w:t>
      </w:r>
      <w:r w:rsidR="00FF41A0">
        <w:rPr>
          <w:color w:val="000000" w:themeColor="text1"/>
          <w:sz w:val="20"/>
          <w:szCs w:val="20"/>
        </w:rPr>
        <w:t xml:space="preserve"> </w:t>
      </w:r>
      <w:r w:rsidR="00F11B08" w:rsidRPr="00113DE2">
        <w:rPr>
          <w:color w:val="000000" w:themeColor="text1"/>
          <w:sz w:val="20"/>
          <w:szCs w:val="20"/>
        </w:rPr>
        <w:t>under</w:t>
      </w:r>
      <w:r w:rsidR="00FF41A0">
        <w:rPr>
          <w:color w:val="000000" w:themeColor="text1"/>
          <w:sz w:val="20"/>
          <w:szCs w:val="20"/>
        </w:rPr>
        <w:t xml:space="preserve"> </w:t>
      </w:r>
      <w:r w:rsidR="00F11B08" w:rsidRPr="00113DE2">
        <w:rPr>
          <w:color w:val="000000" w:themeColor="text1"/>
          <w:sz w:val="20"/>
          <w:szCs w:val="20"/>
        </w:rPr>
        <w:t>agenda</w:t>
      </w:r>
      <w:r w:rsidR="00FF41A0">
        <w:rPr>
          <w:color w:val="000000" w:themeColor="text1"/>
          <w:sz w:val="20"/>
          <w:szCs w:val="20"/>
        </w:rPr>
        <w:t xml:space="preserve"> </w:t>
      </w:r>
      <w:r w:rsidR="00EA4B00" w:rsidRPr="00113DE2">
        <w:rPr>
          <w:color w:val="000000" w:themeColor="text1"/>
          <w:sz w:val="20"/>
          <w:szCs w:val="20"/>
        </w:rPr>
        <w:t>item</w:t>
      </w:r>
      <w:r w:rsidR="00FF41A0">
        <w:rPr>
          <w:color w:val="000000" w:themeColor="text1"/>
          <w:sz w:val="20"/>
          <w:szCs w:val="20"/>
        </w:rPr>
        <w:t xml:space="preserve"> </w:t>
      </w:r>
      <w:r w:rsidR="00EA4B00" w:rsidRPr="00113DE2">
        <w:rPr>
          <w:color w:val="000000" w:themeColor="text1"/>
          <w:sz w:val="20"/>
          <w:szCs w:val="20"/>
        </w:rPr>
        <w:t>10</w:t>
      </w:r>
      <w:r w:rsidR="00FF41A0">
        <w:rPr>
          <w:color w:val="000000" w:themeColor="text1"/>
          <w:sz w:val="20"/>
          <w:szCs w:val="20"/>
        </w:rPr>
        <w:t xml:space="preserve"> </w:t>
      </w:r>
      <w:r w:rsidR="00EA4B00" w:rsidRPr="00113DE2">
        <w:rPr>
          <w:color w:val="000000" w:themeColor="text1"/>
          <w:sz w:val="20"/>
          <w:szCs w:val="20"/>
        </w:rPr>
        <w:t>(A/HRC/</w:t>
      </w:r>
      <w:r w:rsidR="001971FC">
        <w:rPr>
          <w:color w:val="000000" w:themeColor="text1"/>
          <w:sz w:val="20"/>
          <w:szCs w:val="20"/>
        </w:rPr>
        <w:t>40</w:t>
      </w:r>
      <w:r w:rsidR="00F11B08" w:rsidRPr="00113DE2">
        <w:rPr>
          <w:color w:val="000000" w:themeColor="text1"/>
          <w:sz w:val="20"/>
          <w:szCs w:val="20"/>
        </w:rPr>
        <w:t>/</w:t>
      </w:r>
      <w:r w:rsidR="001971FC">
        <w:rPr>
          <w:color w:val="000000" w:themeColor="text1"/>
          <w:sz w:val="20"/>
          <w:szCs w:val="20"/>
        </w:rPr>
        <w:t>45</w:t>
      </w:r>
      <w:r w:rsidR="008F2566" w:rsidRPr="00113DE2">
        <w:rPr>
          <w:color w:val="000000" w:themeColor="text1"/>
          <w:sz w:val="20"/>
          <w:szCs w:val="20"/>
        </w:rPr>
        <w:t>,</w:t>
      </w:r>
      <w:r w:rsidR="00FF41A0">
        <w:rPr>
          <w:color w:val="000000" w:themeColor="text1"/>
          <w:sz w:val="20"/>
          <w:szCs w:val="20"/>
        </w:rPr>
        <w:t xml:space="preserve"> </w:t>
      </w:r>
      <w:r w:rsidR="008F2566" w:rsidRPr="00113DE2">
        <w:rPr>
          <w:color w:val="000000" w:themeColor="text1"/>
          <w:sz w:val="20"/>
          <w:szCs w:val="20"/>
        </w:rPr>
        <w:t>A/HRC/</w:t>
      </w:r>
      <w:r w:rsidR="001971FC">
        <w:rPr>
          <w:color w:val="000000" w:themeColor="text1"/>
          <w:sz w:val="20"/>
          <w:szCs w:val="20"/>
        </w:rPr>
        <w:t>40/46</w:t>
      </w:r>
      <w:r w:rsidR="00F11B08" w:rsidRPr="00113DE2">
        <w:rPr>
          <w:color w:val="000000" w:themeColor="text1"/>
          <w:sz w:val="20"/>
          <w:szCs w:val="20"/>
        </w:rPr>
        <w:t>).</w:t>
      </w:r>
    </w:p>
    <w:p w14:paraId="750B6D3A" w14:textId="2CAED332" w:rsidR="00307177" w:rsidRPr="00E818C2" w:rsidRDefault="00CF15B1" w:rsidP="000F6A28">
      <w:pPr>
        <w:pStyle w:val="SingleTxtG"/>
        <w:rPr>
          <w:color w:val="000000" w:themeColor="text1"/>
          <w:sz w:val="20"/>
          <w:szCs w:val="20"/>
        </w:rPr>
      </w:pPr>
      <w:r>
        <w:rPr>
          <w:color w:val="000000" w:themeColor="text1"/>
          <w:sz w:val="20"/>
          <w:szCs w:val="20"/>
        </w:rPr>
        <w:t>989</w:t>
      </w:r>
      <w:r w:rsidR="000F6A28" w:rsidRPr="00E818C2">
        <w:rPr>
          <w:color w:val="000000" w:themeColor="text1"/>
          <w:sz w:val="20"/>
          <w:szCs w:val="20"/>
        </w:rPr>
        <w:t>.</w:t>
      </w:r>
      <w:r w:rsidR="00307177" w:rsidRPr="00E818C2">
        <w:rPr>
          <w:color w:val="000000" w:themeColor="text1"/>
          <w:sz w:val="20"/>
          <w:szCs w:val="20"/>
        </w:rPr>
        <w:tab/>
      </w:r>
      <w:r w:rsidR="000F6A28" w:rsidRPr="00E818C2">
        <w:rPr>
          <w:color w:val="000000" w:themeColor="text1"/>
          <w:sz w:val="20"/>
          <w:szCs w:val="20"/>
        </w:rPr>
        <w:t>At</w:t>
      </w:r>
      <w:r w:rsidR="00FF41A0" w:rsidRPr="00E818C2">
        <w:rPr>
          <w:color w:val="000000" w:themeColor="text1"/>
          <w:sz w:val="20"/>
          <w:szCs w:val="20"/>
        </w:rPr>
        <w:t xml:space="preserve"> </w:t>
      </w:r>
      <w:r w:rsidR="000F6A28" w:rsidRPr="00E818C2">
        <w:rPr>
          <w:color w:val="000000" w:themeColor="text1"/>
          <w:sz w:val="20"/>
          <w:szCs w:val="20"/>
        </w:rPr>
        <w:t>the</w:t>
      </w:r>
      <w:r w:rsidR="00FF41A0" w:rsidRPr="00E818C2">
        <w:rPr>
          <w:color w:val="000000" w:themeColor="text1"/>
          <w:sz w:val="20"/>
          <w:szCs w:val="20"/>
        </w:rPr>
        <w:t xml:space="preserve"> </w:t>
      </w:r>
      <w:r w:rsidR="000F6A28" w:rsidRPr="00E818C2">
        <w:rPr>
          <w:color w:val="000000" w:themeColor="text1"/>
          <w:sz w:val="20"/>
          <w:szCs w:val="20"/>
        </w:rPr>
        <w:t>same</w:t>
      </w:r>
      <w:r w:rsidR="00FF41A0" w:rsidRPr="00E818C2">
        <w:rPr>
          <w:color w:val="000000" w:themeColor="text1"/>
          <w:sz w:val="20"/>
          <w:szCs w:val="20"/>
        </w:rPr>
        <w:t xml:space="preserve"> </w:t>
      </w:r>
      <w:r w:rsidR="000F6A28" w:rsidRPr="00E818C2">
        <w:rPr>
          <w:color w:val="000000" w:themeColor="text1"/>
          <w:sz w:val="20"/>
          <w:szCs w:val="20"/>
        </w:rPr>
        <w:t>meeting,</w:t>
      </w:r>
      <w:r w:rsidR="00FF41A0" w:rsidRPr="00E818C2">
        <w:rPr>
          <w:color w:val="000000" w:themeColor="text1"/>
          <w:sz w:val="20"/>
          <w:szCs w:val="20"/>
        </w:rPr>
        <w:t xml:space="preserve"> </w:t>
      </w:r>
      <w:r w:rsidR="00670696">
        <w:rPr>
          <w:color w:val="000000" w:themeColor="text1"/>
          <w:sz w:val="20"/>
          <w:szCs w:val="20"/>
        </w:rPr>
        <w:t xml:space="preserve">the </w:t>
      </w:r>
      <w:r w:rsidR="00307177" w:rsidRPr="00E818C2">
        <w:rPr>
          <w:color w:val="000000" w:themeColor="text1"/>
          <w:sz w:val="20"/>
          <w:szCs w:val="20"/>
        </w:rPr>
        <w:t>Director</w:t>
      </w:r>
      <w:r w:rsidR="00FF41A0" w:rsidRPr="00E818C2">
        <w:rPr>
          <w:color w:val="000000" w:themeColor="text1"/>
          <w:sz w:val="20"/>
          <w:szCs w:val="20"/>
        </w:rPr>
        <w:t xml:space="preserve"> </w:t>
      </w:r>
      <w:r w:rsidR="00307177" w:rsidRPr="00E818C2">
        <w:rPr>
          <w:color w:val="000000" w:themeColor="text1"/>
          <w:sz w:val="20"/>
          <w:szCs w:val="20"/>
        </w:rPr>
        <w:t>of</w:t>
      </w:r>
      <w:r w:rsidR="00FF41A0" w:rsidRPr="00E818C2">
        <w:rPr>
          <w:color w:val="000000" w:themeColor="text1"/>
          <w:sz w:val="20"/>
          <w:szCs w:val="20"/>
        </w:rPr>
        <w:t xml:space="preserve"> </w:t>
      </w:r>
      <w:r w:rsidR="00307177" w:rsidRPr="00E818C2">
        <w:rPr>
          <w:color w:val="000000" w:themeColor="text1"/>
          <w:sz w:val="20"/>
          <w:szCs w:val="20"/>
        </w:rPr>
        <w:t>the</w:t>
      </w:r>
      <w:r w:rsidR="00FF41A0" w:rsidRPr="00E818C2">
        <w:rPr>
          <w:color w:val="000000" w:themeColor="text1"/>
          <w:sz w:val="20"/>
          <w:szCs w:val="20"/>
        </w:rPr>
        <w:t xml:space="preserve"> </w:t>
      </w:r>
      <w:r w:rsidR="00307177" w:rsidRPr="00E818C2">
        <w:rPr>
          <w:color w:val="000000" w:themeColor="text1"/>
          <w:sz w:val="20"/>
          <w:szCs w:val="20"/>
        </w:rPr>
        <w:t>Field</w:t>
      </w:r>
      <w:r w:rsidR="00FF41A0" w:rsidRPr="00E818C2">
        <w:rPr>
          <w:color w:val="000000" w:themeColor="text1"/>
          <w:sz w:val="20"/>
          <w:szCs w:val="20"/>
        </w:rPr>
        <w:t xml:space="preserve"> </w:t>
      </w:r>
      <w:r w:rsidR="00307177" w:rsidRPr="00E818C2">
        <w:rPr>
          <w:color w:val="000000" w:themeColor="text1"/>
          <w:sz w:val="20"/>
          <w:szCs w:val="20"/>
        </w:rPr>
        <w:t>Operations</w:t>
      </w:r>
      <w:r w:rsidR="00FF41A0" w:rsidRPr="00E818C2">
        <w:rPr>
          <w:color w:val="000000" w:themeColor="text1"/>
          <w:sz w:val="20"/>
          <w:szCs w:val="20"/>
        </w:rPr>
        <w:t xml:space="preserve"> </w:t>
      </w:r>
      <w:r w:rsidR="00307177" w:rsidRPr="00E818C2">
        <w:rPr>
          <w:color w:val="000000" w:themeColor="text1"/>
          <w:sz w:val="20"/>
          <w:szCs w:val="20"/>
        </w:rPr>
        <w:t>and</w:t>
      </w:r>
      <w:r w:rsidR="00FF41A0" w:rsidRPr="00E818C2">
        <w:rPr>
          <w:color w:val="000000" w:themeColor="text1"/>
          <w:sz w:val="20"/>
          <w:szCs w:val="20"/>
        </w:rPr>
        <w:t xml:space="preserve"> </w:t>
      </w:r>
      <w:r w:rsidR="00307177" w:rsidRPr="00E818C2">
        <w:rPr>
          <w:color w:val="000000" w:themeColor="text1"/>
          <w:sz w:val="20"/>
          <w:szCs w:val="20"/>
        </w:rPr>
        <w:t>Technical</w:t>
      </w:r>
      <w:r w:rsidR="00FF41A0" w:rsidRPr="00E818C2">
        <w:rPr>
          <w:color w:val="000000" w:themeColor="text1"/>
          <w:sz w:val="20"/>
          <w:szCs w:val="20"/>
        </w:rPr>
        <w:t xml:space="preserve"> </w:t>
      </w:r>
      <w:r w:rsidR="00307177" w:rsidRPr="00E818C2">
        <w:rPr>
          <w:color w:val="000000" w:themeColor="text1"/>
          <w:sz w:val="20"/>
          <w:szCs w:val="20"/>
        </w:rPr>
        <w:t>Cooperation</w:t>
      </w:r>
      <w:r w:rsidR="00FF41A0" w:rsidRPr="00E818C2">
        <w:rPr>
          <w:color w:val="000000" w:themeColor="text1"/>
          <w:sz w:val="20"/>
          <w:szCs w:val="20"/>
        </w:rPr>
        <w:t xml:space="preserve"> </w:t>
      </w:r>
      <w:r w:rsidR="00307177" w:rsidRPr="00E818C2">
        <w:rPr>
          <w:color w:val="000000" w:themeColor="text1"/>
          <w:sz w:val="20"/>
          <w:szCs w:val="20"/>
        </w:rPr>
        <w:t>Division</w:t>
      </w:r>
      <w:r w:rsidR="00FF41A0" w:rsidRPr="00E818C2">
        <w:rPr>
          <w:color w:val="000000" w:themeColor="text1"/>
          <w:sz w:val="20"/>
          <w:szCs w:val="20"/>
        </w:rPr>
        <w:t xml:space="preserve"> </w:t>
      </w:r>
      <w:r w:rsidR="00307177" w:rsidRPr="00E818C2">
        <w:rPr>
          <w:color w:val="000000" w:themeColor="text1"/>
          <w:sz w:val="20"/>
          <w:szCs w:val="20"/>
        </w:rPr>
        <w:t>of</w:t>
      </w:r>
      <w:r w:rsidR="00FF41A0" w:rsidRPr="00E818C2">
        <w:rPr>
          <w:color w:val="000000" w:themeColor="text1"/>
          <w:sz w:val="20"/>
          <w:szCs w:val="20"/>
        </w:rPr>
        <w:t xml:space="preserve"> </w:t>
      </w:r>
      <w:r w:rsidR="00307177" w:rsidRPr="00E818C2">
        <w:rPr>
          <w:color w:val="000000" w:themeColor="text1"/>
          <w:sz w:val="20"/>
          <w:szCs w:val="20"/>
        </w:rPr>
        <w:t>the</w:t>
      </w:r>
      <w:r w:rsidR="00FF41A0" w:rsidRPr="00E818C2">
        <w:rPr>
          <w:color w:val="000000" w:themeColor="text1"/>
          <w:sz w:val="20"/>
          <w:szCs w:val="20"/>
        </w:rPr>
        <w:t xml:space="preserve"> </w:t>
      </w:r>
      <w:r w:rsidR="00307177" w:rsidRPr="00E818C2">
        <w:rPr>
          <w:color w:val="000000" w:themeColor="text1"/>
          <w:sz w:val="20"/>
          <w:szCs w:val="20"/>
        </w:rPr>
        <w:t>Office</w:t>
      </w:r>
      <w:r w:rsidR="00FF41A0" w:rsidRPr="00E818C2">
        <w:rPr>
          <w:color w:val="000000" w:themeColor="text1"/>
          <w:sz w:val="20"/>
          <w:szCs w:val="20"/>
        </w:rPr>
        <w:t xml:space="preserve"> </w:t>
      </w:r>
      <w:r w:rsidR="00307177" w:rsidRPr="00E818C2">
        <w:rPr>
          <w:color w:val="000000" w:themeColor="text1"/>
          <w:sz w:val="20"/>
          <w:szCs w:val="20"/>
        </w:rPr>
        <w:t>of</w:t>
      </w:r>
      <w:r w:rsidR="00FF41A0" w:rsidRPr="00E818C2">
        <w:rPr>
          <w:color w:val="000000" w:themeColor="text1"/>
          <w:sz w:val="20"/>
          <w:szCs w:val="20"/>
        </w:rPr>
        <w:t xml:space="preserve"> </w:t>
      </w:r>
      <w:r w:rsidR="00307177" w:rsidRPr="00E818C2">
        <w:rPr>
          <w:color w:val="000000" w:themeColor="text1"/>
          <w:sz w:val="20"/>
          <w:szCs w:val="20"/>
        </w:rPr>
        <w:t>the</w:t>
      </w:r>
      <w:r w:rsidR="00FF41A0" w:rsidRPr="00E818C2">
        <w:rPr>
          <w:color w:val="000000" w:themeColor="text1"/>
          <w:sz w:val="20"/>
          <w:szCs w:val="20"/>
        </w:rPr>
        <w:t xml:space="preserve"> </w:t>
      </w:r>
      <w:r w:rsidR="00307177" w:rsidRPr="00E818C2">
        <w:rPr>
          <w:color w:val="000000" w:themeColor="text1"/>
          <w:sz w:val="20"/>
          <w:szCs w:val="20"/>
        </w:rPr>
        <w:t>High</w:t>
      </w:r>
      <w:r w:rsidR="00FF41A0" w:rsidRPr="00E818C2">
        <w:rPr>
          <w:color w:val="000000" w:themeColor="text1"/>
          <w:sz w:val="20"/>
          <w:szCs w:val="20"/>
        </w:rPr>
        <w:t xml:space="preserve"> </w:t>
      </w:r>
      <w:r w:rsidR="00307177" w:rsidRPr="00E818C2">
        <w:rPr>
          <w:color w:val="000000" w:themeColor="text1"/>
          <w:sz w:val="20"/>
          <w:szCs w:val="20"/>
        </w:rPr>
        <w:t>Commissioner</w:t>
      </w:r>
      <w:r w:rsidR="00FF41A0" w:rsidRPr="00E818C2">
        <w:rPr>
          <w:color w:val="000000" w:themeColor="text1"/>
          <w:sz w:val="20"/>
          <w:szCs w:val="20"/>
        </w:rPr>
        <w:t xml:space="preserve"> </w:t>
      </w:r>
      <w:r w:rsidR="00307177" w:rsidRPr="00E818C2">
        <w:rPr>
          <w:color w:val="000000" w:themeColor="text1"/>
          <w:sz w:val="20"/>
          <w:szCs w:val="20"/>
        </w:rPr>
        <w:t>for</w:t>
      </w:r>
      <w:r w:rsidR="00FF41A0" w:rsidRPr="00E818C2">
        <w:rPr>
          <w:color w:val="000000" w:themeColor="text1"/>
          <w:sz w:val="20"/>
          <w:szCs w:val="20"/>
        </w:rPr>
        <w:t xml:space="preserve"> </w:t>
      </w:r>
      <w:r w:rsidR="00307177" w:rsidRPr="00E818C2">
        <w:rPr>
          <w:color w:val="000000" w:themeColor="text1"/>
          <w:sz w:val="20"/>
          <w:szCs w:val="20"/>
        </w:rPr>
        <w:t>Human</w:t>
      </w:r>
      <w:r w:rsidR="00FF41A0" w:rsidRPr="00E818C2">
        <w:rPr>
          <w:color w:val="000000" w:themeColor="text1"/>
          <w:sz w:val="20"/>
          <w:szCs w:val="20"/>
        </w:rPr>
        <w:t xml:space="preserve"> </w:t>
      </w:r>
      <w:r w:rsidR="00307177" w:rsidRPr="00E818C2">
        <w:rPr>
          <w:color w:val="000000" w:themeColor="text1"/>
          <w:sz w:val="20"/>
          <w:szCs w:val="20"/>
        </w:rPr>
        <w:t>Rights</w:t>
      </w:r>
      <w:r w:rsidR="00FF41A0" w:rsidRPr="00E818C2">
        <w:rPr>
          <w:color w:val="000000" w:themeColor="text1"/>
          <w:sz w:val="20"/>
          <w:szCs w:val="20"/>
        </w:rPr>
        <w:t xml:space="preserve"> </w:t>
      </w:r>
      <w:r w:rsidR="00307177" w:rsidRPr="00E818C2">
        <w:rPr>
          <w:color w:val="000000" w:themeColor="text1"/>
          <w:sz w:val="20"/>
          <w:szCs w:val="20"/>
        </w:rPr>
        <w:t>made</w:t>
      </w:r>
      <w:r w:rsidR="00FF41A0" w:rsidRPr="00E818C2">
        <w:rPr>
          <w:color w:val="000000" w:themeColor="text1"/>
          <w:sz w:val="20"/>
          <w:szCs w:val="20"/>
        </w:rPr>
        <w:t xml:space="preserve"> </w:t>
      </w:r>
      <w:r w:rsidR="00307177" w:rsidRPr="00E818C2">
        <w:rPr>
          <w:color w:val="000000" w:themeColor="text1"/>
          <w:sz w:val="20"/>
          <w:szCs w:val="20"/>
        </w:rPr>
        <w:t>a</w:t>
      </w:r>
      <w:r w:rsidR="00FF41A0" w:rsidRPr="00E818C2">
        <w:rPr>
          <w:color w:val="000000" w:themeColor="text1"/>
          <w:sz w:val="20"/>
          <w:szCs w:val="20"/>
        </w:rPr>
        <w:t xml:space="preserve"> </w:t>
      </w:r>
      <w:r w:rsidR="00307177" w:rsidRPr="00E818C2">
        <w:rPr>
          <w:color w:val="000000" w:themeColor="text1"/>
          <w:sz w:val="20"/>
          <w:szCs w:val="20"/>
        </w:rPr>
        <w:t>statement.</w:t>
      </w:r>
      <w:r w:rsidR="00FF41A0" w:rsidRPr="00E818C2">
        <w:rPr>
          <w:color w:val="000000" w:themeColor="text1"/>
          <w:sz w:val="20"/>
          <w:szCs w:val="20"/>
        </w:rPr>
        <w:t xml:space="preserve"> </w:t>
      </w:r>
    </w:p>
    <w:p w14:paraId="724411BD" w14:textId="14810DED" w:rsidR="00307177" w:rsidRPr="001971FC" w:rsidRDefault="00CF15B1" w:rsidP="00307177">
      <w:pPr>
        <w:pStyle w:val="SingleTxtG"/>
        <w:rPr>
          <w:color w:val="000000" w:themeColor="text1"/>
          <w:sz w:val="20"/>
          <w:szCs w:val="20"/>
        </w:rPr>
      </w:pPr>
      <w:r>
        <w:rPr>
          <w:color w:val="000000" w:themeColor="text1"/>
          <w:sz w:val="20"/>
          <w:szCs w:val="20"/>
        </w:rPr>
        <w:t>990</w:t>
      </w:r>
      <w:r w:rsidR="00307177" w:rsidRPr="001971FC">
        <w:rPr>
          <w:color w:val="000000" w:themeColor="text1"/>
          <w:sz w:val="20"/>
          <w:szCs w:val="20"/>
        </w:rPr>
        <w:t>.</w:t>
      </w:r>
      <w:r w:rsidR="00307177" w:rsidRPr="001971FC">
        <w:rPr>
          <w:color w:val="000000" w:themeColor="text1"/>
          <w:sz w:val="20"/>
          <w:szCs w:val="20"/>
        </w:rPr>
        <w:tab/>
        <w:t>Also</w:t>
      </w:r>
      <w:r w:rsidR="00FF41A0">
        <w:rPr>
          <w:color w:val="000000" w:themeColor="text1"/>
          <w:sz w:val="20"/>
          <w:szCs w:val="20"/>
        </w:rPr>
        <w:t xml:space="preserve"> </w:t>
      </w:r>
      <w:r w:rsidR="00307177" w:rsidRPr="001971FC">
        <w:rPr>
          <w:color w:val="000000" w:themeColor="text1"/>
          <w:sz w:val="20"/>
          <w:szCs w:val="20"/>
        </w:rPr>
        <w:t>at</w:t>
      </w:r>
      <w:r w:rsidR="00FF41A0">
        <w:rPr>
          <w:color w:val="000000" w:themeColor="text1"/>
          <w:sz w:val="20"/>
          <w:szCs w:val="20"/>
        </w:rPr>
        <w:t xml:space="preserve"> </w:t>
      </w:r>
      <w:r w:rsidR="00307177" w:rsidRPr="001971FC">
        <w:rPr>
          <w:color w:val="000000" w:themeColor="text1"/>
          <w:sz w:val="20"/>
          <w:szCs w:val="20"/>
        </w:rPr>
        <w:t>the</w:t>
      </w:r>
      <w:r w:rsidR="00FF41A0">
        <w:rPr>
          <w:color w:val="000000" w:themeColor="text1"/>
          <w:sz w:val="20"/>
          <w:szCs w:val="20"/>
        </w:rPr>
        <w:t xml:space="preserve"> </w:t>
      </w:r>
      <w:r w:rsidR="00307177" w:rsidRPr="001971FC">
        <w:rPr>
          <w:color w:val="000000" w:themeColor="text1"/>
          <w:sz w:val="20"/>
          <w:szCs w:val="20"/>
        </w:rPr>
        <w:t>same</w:t>
      </w:r>
      <w:r w:rsidR="00FF41A0">
        <w:rPr>
          <w:color w:val="000000" w:themeColor="text1"/>
          <w:sz w:val="20"/>
          <w:szCs w:val="20"/>
        </w:rPr>
        <w:t xml:space="preserve"> </w:t>
      </w:r>
      <w:r w:rsidR="00307177" w:rsidRPr="001971FC">
        <w:rPr>
          <w:color w:val="000000" w:themeColor="text1"/>
          <w:sz w:val="20"/>
          <w:szCs w:val="20"/>
        </w:rPr>
        <w:t>meeting,</w:t>
      </w:r>
      <w:r w:rsidR="00FF41A0">
        <w:rPr>
          <w:color w:val="000000" w:themeColor="text1"/>
          <w:sz w:val="20"/>
          <w:szCs w:val="20"/>
        </w:rPr>
        <w:t xml:space="preserve"> </w:t>
      </w:r>
      <w:r w:rsidR="00D44188" w:rsidRPr="001971FC">
        <w:rPr>
          <w:color w:val="000000" w:themeColor="text1"/>
          <w:sz w:val="20"/>
          <w:szCs w:val="20"/>
        </w:rPr>
        <w:t>the</w:t>
      </w:r>
      <w:r w:rsidR="001B119B">
        <w:rPr>
          <w:color w:val="000000" w:themeColor="text1"/>
          <w:sz w:val="20"/>
          <w:szCs w:val="20"/>
        </w:rPr>
        <w:t xml:space="preserve"> Chairperson</w:t>
      </w:r>
      <w:r w:rsidR="00FF41A0">
        <w:rPr>
          <w:color w:val="000000" w:themeColor="text1"/>
          <w:sz w:val="20"/>
          <w:szCs w:val="20"/>
        </w:rPr>
        <w:t xml:space="preserve"> </w:t>
      </w:r>
      <w:r w:rsidR="00307177" w:rsidRPr="001971FC">
        <w:rPr>
          <w:color w:val="000000" w:themeColor="text1"/>
          <w:sz w:val="20"/>
          <w:szCs w:val="20"/>
        </w:rPr>
        <w:t>of</w:t>
      </w:r>
      <w:r w:rsidR="00FF41A0">
        <w:rPr>
          <w:color w:val="000000" w:themeColor="text1"/>
          <w:sz w:val="20"/>
          <w:szCs w:val="20"/>
        </w:rPr>
        <w:t xml:space="preserve"> </w:t>
      </w:r>
      <w:r w:rsidR="00307177" w:rsidRPr="001971FC">
        <w:rPr>
          <w:color w:val="000000" w:themeColor="text1"/>
          <w:sz w:val="20"/>
          <w:szCs w:val="20"/>
        </w:rPr>
        <w:t>the</w:t>
      </w:r>
      <w:r w:rsidR="00FF41A0">
        <w:rPr>
          <w:color w:val="000000" w:themeColor="text1"/>
          <w:sz w:val="20"/>
          <w:szCs w:val="20"/>
        </w:rPr>
        <w:t xml:space="preserve"> </w:t>
      </w:r>
      <w:r w:rsidR="00307177" w:rsidRPr="001971FC">
        <w:rPr>
          <w:color w:val="000000" w:themeColor="text1"/>
          <w:sz w:val="20"/>
          <w:szCs w:val="20"/>
        </w:rPr>
        <w:t>Board</w:t>
      </w:r>
      <w:r w:rsidR="00FF41A0">
        <w:rPr>
          <w:color w:val="000000" w:themeColor="text1"/>
          <w:sz w:val="20"/>
          <w:szCs w:val="20"/>
        </w:rPr>
        <w:t xml:space="preserve"> </w:t>
      </w:r>
      <w:r w:rsidR="00307177" w:rsidRPr="001971FC">
        <w:rPr>
          <w:color w:val="000000" w:themeColor="text1"/>
          <w:sz w:val="20"/>
          <w:szCs w:val="20"/>
        </w:rPr>
        <w:t>of</w:t>
      </w:r>
      <w:r w:rsidR="00FF41A0">
        <w:rPr>
          <w:color w:val="000000" w:themeColor="text1"/>
          <w:sz w:val="20"/>
          <w:szCs w:val="20"/>
        </w:rPr>
        <w:t xml:space="preserve"> </w:t>
      </w:r>
      <w:r w:rsidR="00307177" w:rsidRPr="001971FC">
        <w:rPr>
          <w:color w:val="000000" w:themeColor="text1"/>
          <w:sz w:val="20"/>
          <w:szCs w:val="20"/>
        </w:rPr>
        <w:t>Trustees</w:t>
      </w:r>
      <w:r w:rsidR="00FF41A0">
        <w:rPr>
          <w:color w:val="000000" w:themeColor="text1"/>
          <w:sz w:val="20"/>
          <w:szCs w:val="20"/>
        </w:rPr>
        <w:t xml:space="preserve"> </w:t>
      </w:r>
      <w:r w:rsidR="00307177" w:rsidRPr="001971FC">
        <w:rPr>
          <w:color w:val="000000" w:themeColor="text1"/>
          <w:sz w:val="20"/>
          <w:szCs w:val="20"/>
        </w:rPr>
        <w:t>of</w:t>
      </w:r>
      <w:r w:rsidR="00FF41A0">
        <w:rPr>
          <w:color w:val="000000" w:themeColor="text1"/>
          <w:sz w:val="20"/>
          <w:szCs w:val="20"/>
        </w:rPr>
        <w:t xml:space="preserve"> </w:t>
      </w:r>
      <w:r w:rsidR="00307177" w:rsidRPr="001971FC">
        <w:rPr>
          <w:color w:val="000000" w:themeColor="text1"/>
          <w:sz w:val="20"/>
          <w:szCs w:val="20"/>
        </w:rPr>
        <w:t>the</w:t>
      </w:r>
      <w:r w:rsidR="00FF41A0">
        <w:rPr>
          <w:color w:val="000000" w:themeColor="text1"/>
          <w:sz w:val="20"/>
          <w:szCs w:val="20"/>
        </w:rPr>
        <w:t xml:space="preserve"> </w:t>
      </w:r>
      <w:r w:rsidR="00307177" w:rsidRPr="001971FC">
        <w:rPr>
          <w:color w:val="000000" w:themeColor="text1"/>
          <w:sz w:val="20"/>
          <w:szCs w:val="20"/>
        </w:rPr>
        <w:t>United</w:t>
      </w:r>
      <w:r w:rsidR="00FF41A0">
        <w:rPr>
          <w:color w:val="000000" w:themeColor="text1"/>
          <w:sz w:val="20"/>
          <w:szCs w:val="20"/>
        </w:rPr>
        <w:t xml:space="preserve"> </w:t>
      </w:r>
      <w:r w:rsidR="00307177" w:rsidRPr="001971FC">
        <w:rPr>
          <w:color w:val="000000" w:themeColor="text1"/>
          <w:sz w:val="20"/>
          <w:szCs w:val="20"/>
        </w:rPr>
        <w:t>Nations</w:t>
      </w:r>
      <w:r w:rsidR="00FF41A0">
        <w:rPr>
          <w:color w:val="000000" w:themeColor="text1"/>
          <w:sz w:val="20"/>
          <w:szCs w:val="20"/>
        </w:rPr>
        <w:t xml:space="preserve"> </w:t>
      </w:r>
      <w:r w:rsidR="00307177" w:rsidRPr="001971FC">
        <w:rPr>
          <w:color w:val="000000" w:themeColor="text1"/>
          <w:sz w:val="20"/>
          <w:szCs w:val="20"/>
        </w:rPr>
        <w:t>Voluntary</w:t>
      </w:r>
      <w:r w:rsidR="00FF41A0">
        <w:rPr>
          <w:color w:val="000000" w:themeColor="text1"/>
          <w:sz w:val="20"/>
          <w:szCs w:val="20"/>
        </w:rPr>
        <w:t xml:space="preserve"> </w:t>
      </w:r>
      <w:r w:rsidR="00307177" w:rsidRPr="001971FC">
        <w:rPr>
          <w:color w:val="000000" w:themeColor="text1"/>
          <w:sz w:val="20"/>
          <w:szCs w:val="20"/>
        </w:rPr>
        <w:t>Fund</w:t>
      </w:r>
      <w:r w:rsidR="00FF41A0">
        <w:rPr>
          <w:color w:val="000000" w:themeColor="text1"/>
          <w:sz w:val="20"/>
          <w:szCs w:val="20"/>
        </w:rPr>
        <w:t xml:space="preserve"> </w:t>
      </w:r>
      <w:r w:rsidR="00307177" w:rsidRPr="001971FC">
        <w:rPr>
          <w:color w:val="000000" w:themeColor="text1"/>
          <w:sz w:val="20"/>
          <w:szCs w:val="20"/>
        </w:rPr>
        <w:t>for</w:t>
      </w:r>
      <w:r w:rsidR="00FF41A0">
        <w:rPr>
          <w:color w:val="000000" w:themeColor="text1"/>
          <w:sz w:val="20"/>
          <w:szCs w:val="20"/>
        </w:rPr>
        <w:t xml:space="preserve"> </w:t>
      </w:r>
      <w:r w:rsidR="00307177" w:rsidRPr="001971FC">
        <w:rPr>
          <w:color w:val="000000" w:themeColor="text1"/>
          <w:sz w:val="20"/>
          <w:szCs w:val="20"/>
        </w:rPr>
        <w:t>Technical</w:t>
      </w:r>
      <w:r w:rsidR="00FF41A0">
        <w:rPr>
          <w:color w:val="000000" w:themeColor="text1"/>
          <w:sz w:val="20"/>
          <w:szCs w:val="20"/>
        </w:rPr>
        <w:t xml:space="preserve"> </w:t>
      </w:r>
      <w:r w:rsidR="00307177" w:rsidRPr="001971FC">
        <w:rPr>
          <w:color w:val="000000" w:themeColor="text1"/>
          <w:sz w:val="20"/>
          <w:szCs w:val="20"/>
        </w:rPr>
        <w:t>Cooperation</w:t>
      </w:r>
      <w:r w:rsidR="00FF41A0">
        <w:rPr>
          <w:color w:val="000000" w:themeColor="text1"/>
          <w:sz w:val="20"/>
          <w:szCs w:val="20"/>
        </w:rPr>
        <w:t xml:space="preserve"> </w:t>
      </w:r>
      <w:r w:rsidR="00307177" w:rsidRPr="001971FC">
        <w:rPr>
          <w:color w:val="000000" w:themeColor="text1"/>
          <w:sz w:val="20"/>
          <w:szCs w:val="20"/>
        </w:rPr>
        <w:t>in</w:t>
      </w:r>
      <w:r w:rsidR="00FF41A0">
        <w:rPr>
          <w:color w:val="000000" w:themeColor="text1"/>
          <w:sz w:val="20"/>
          <w:szCs w:val="20"/>
        </w:rPr>
        <w:t xml:space="preserve"> </w:t>
      </w:r>
      <w:r w:rsidR="00307177" w:rsidRPr="001971FC">
        <w:rPr>
          <w:color w:val="000000" w:themeColor="text1"/>
          <w:sz w:val="20"/>
          <w:szCs w:val="20"/>
        </w:rPr>
        <w:t>the</w:t>
      </w:r>
      <w:r w:rsidR="00FF41A0">
        <w:rPr>
          <w:color w:val="000000" w:themeColor="text1"/>
          <w:sz w:val="20"/>
          <w:szCs w:val="20"/>
        </w:rPr>
        <w:t xml:space="preserve"> </w:t>
      </w:r>
      <w:r w:rsidR="00307177" w:rsidRPr="001971FC">
        <w:rPr>
          <w:color w:val="000000" w:themeColor="text1"/>
          <w:sz w:val="20"/>
          <w:szCs w:val="20"/>
        </w:rPr>
        <w:t>Field</w:t>
      </w:r>
      <w:r w:rsidR="00FF41A0">
        <w:rPr>
          <w:color w:val="000000" w:themeColor="text1"/>
          <w:sz w:val="20"/>
          <w:szCs w:val="20"/>
        </w:rPr>
        <w:t xml:space="preserve"> </w:t>
      </w:r>
      <w:r w:rsidR="00307177" w:rsidRPr="001971FC">
        <w:rPr>
          <w:color w:val="000000" w:themeColor="text1"/>
          <w:sz w:val="20"/>
          <w:szCs w:val="20"/>
        </w:rPr>
        <w:t>of</w:t>
      </w:r>
      <w:r w:rsidR="00FF41A0">
        <w:rPr>
          <w:color w:val="000000" w:themeColor="text1"/>
          <w:sz w:val="20"/>
          <w:szCs w:val="20"/>
        </w:rPr>
        <w:t xml:space="preserve"> </w:t>
      </w:r>
      <w:r w:rsidR="00307177" w:rsidRPr="001971FC">
        <w:rPr>
          <w:color w:val="000000" w:themeColor="text1"/>
          <w:sz w:val="20"/>
          <w:szCs w:val="20"/>
        </w:rPr>
        <w:t>Human</w:t>
      </w:r>
      <w:r w:rsidR="00FF41A0">
        <w:rPr>
          <w:color w:val="000000" w:themeColor="text1"/>
          <w:sz w:val="20"/>
          <w:szCs w:val="20"/>
        </w:rPr>
        <w:t xml:space="preserve"> </w:t>
      </w:r>
      <w:r w:rsidR="00307177" w:rsidRPr="001971FC">
        <w:rPr>
          <w:color w:val="000000" w:themeColor="text1"/>
          <w:sz w:val="20"/>
          <w:szCs w:val="20"/>
        </w:rPr>
        <w:t>Rights</w:t>
      </w:r>
      <w:r w:rsidR="00FF41A0">
        <w:rPr>
          <w:color w:val="000000" w:themeColor="text1"/>
          <w:sz w:val="20"/>
          <w:szCs w:val="20"/>
        </w:rPr>
        <w:t xml:space="preserve"> </w:t>
      </w:r>
      <w:r w:rsidR="00307177" w:rsidRPr="001971FC">
        <w:rPr>
          <w:color w:val="000000" w:themeColor="text1"/>
          <w:sz w:val="20"/>
          <w:szCs w:val="20"/>
        </w:rPr>
        <w:t>presented</w:t>
      </w:r>
      <w:r w:rsidR="00FF41A0">
        <w:rPr>
          <w:color w:val="000000" w:themeColor="text1"/>
          <w:sz w:val="20"/>
          <w:szCs w:val="20"/>
        </w:rPr>
        <w:t xml:space="preserve"> </w:t>
      </w:r>
      <w:r w:rsidR="00307177" w:rsidRPr="001971FC">
        <w:rPr>
          <w:color w:val="000000" w:themeColor="text1"/>
          <w:sz w:val="20"/>
          <w:szCs w:val="20"/>
        </w:rPr>
        <w:t>the</w:t>
      </w:r>
      <w:r w:rsidR="00FF41A0">
        <w:rPr>
          <w:color w:val="000000" w:themeColor="text1"/>
          <w:sz w:val="20"/>
          <w:szCs w:val="20"/>
        </w:rPr>
        <w:t xml:space="preserve"> </w:t>
      </w:r>
      <w:r w:rsidR="00307177" w:rsidRPr="001971FC">
        <w:rPr>
          <w:color w:val="000000" w:themeColor="text1"/>
          <w:sz w:val="20"/>
          <w:szCs w:val="20"/>
        </w:rPr>
        <w:t>report</w:t>
      </w:r>
      <w:r w:rsidR="00FF41A0">
        <w:rPr>
          <w:color w:val="000000" w:themeColor="text1"/>
          <w:sz w:val="20"/>
          <w:szCs w:val="20"/>
        </w:rPr>
        <w:t xml:space="preserve"> </w:t>
      </w:r>
      <w:r w:rsidR="00307177" w:rsidRPr="001971FC">
        <w:rPr>
          <w:color w:val="000000" w:themeColor="text1"/>
          <w:sz w:val="20"/>
          <w:szCs w:val="20"/>
        </w:rPr>
        <w:t>of</w:t>
      </w:r>
      <w:r w:rsidR="00FF41A0">
        <w:rPr>
          <w:color w:val="000000" w:themeColor="text1"/>
          <w:sz w:val="20"/>
          <w:szCs w:val="20"/>
        </w:rPr>
        <w:t xml:space="preserve"> </w:t>
      </w:r>
      <w:r w:rsidR="00307177" w:rsidRPr="001971FC">
        <w:rPr>
          <w:color w:val="000000" w:themeColor="text1"/>
          <w:sz w:val="20"/>
          <w:szCs w:val="20"/>
        </w:rPr>
        <w:t>the</w:t>
      </w:r>
      <w:r w:rsidR="00FF41A0">
        <w:rPr>
          <w:color w:val="000000" w:themeColor="text1"/>
          <w:sz w:val="20"/>
          <w:szCs w:val="20"/>
        </w:rPr>
        <w:t xml:space="preserve"> </w:t>
      </w:r>
      <w:r w:rsidR="00307177" w:rsidRPr="001971FC">
        <w:rPr>
          <w:color w:val="000000" w:themeColor="text1"/>
          <w:sz w:val="20"/>
          <w:szCs w:val="20"/>
        </w:rPr>
        <w:t>Board</w:t>
      </w:r>
      <w:r w:rsidR="00FF41A0">
        <w:rPr>
          <w:color w:val="000000" w:themeColor="text1"/>
          <w:sz w:val="20"/>
          <w:szCs w:val="20"/>
        </w:rPr>
        <w:t xml:space="preserve"> </w:t>
      </w:r>
      <w:r w:rsidR="00307177" w:rsidRPr="001971FC">
        <w:rPr>
          <w:color w:val="000000" w:themeColor="text1"/>
          <w:sz w:val="20"/>
          <w:szCs w:val="20"/>
        </w:rPr>
        <w:t>of</w:t>
      </w:r>
      <w:r w:rsidR="00FF41A0">
        <w:rPr>
          <w:color w:val="000000" w:themeColor="text1"/>
          <w:sz w:val="20"/>
          <w:szCs w:val="20"/>
        </w:rPr>
        <w:t xml:space="preserve"> </w:t>
      </w:r>
      <w:r w:rsidR="00307177" w:rsidRPr="001971FC">
        <w:rPr>
          <w:color w:val="000000" w:themeColor="text1"/>
          <w:sz w:val="20"/>
          <w:szCs w:val="20"/>
        </w:rPr>
        <w:t>Trustees</w:t>
      </w:r>
      <w:r w:rsidR="00FF41A0">
        <w:rPr>
          <w:color w:val="000000" w:themeColor="text1"/>
          <w:sz w:val="20"/>
          <w:szCs w:val="20"/>
        </w:rPr>
        <w:t xml:space="preserve"> </w:t>
      </w:r>
      <w:r w:rsidR="00307177" w:rsidRPr="001971FC">
        <w:rPr>
          <w:color w:val="000000" w:themeColor="text1"/>
          <w:sz w:val="20"/>
          <w:szCs w:val="20"/>
        </w:rPr>
        <w:t>(A/HRC/</w:t>
      </w:r>
      <w:r w:rsidR="001971FC" w:rsidRPr="001971FC">
        <w:rPr>
          <w:color w:val="000000" w:themeColor="text1"/>
          <w:sz w:val="20"/>
          <w:szCs w:val="20"/>
        </w:rPr>
        <w:t>40</w:t>
      </w:r>
      <w:r w:rsidR="00307177" w:rsidRPr="001971FC">
        <w:rPr>
          <w:color w:val="000000" w:themeColor="text1"/>
          <w:sz w:val="20"/>
          <w:szCs w:val="20"/>
        </w:rPr>
        <w:t>/7</w:t>
      </w:r>
      <w:r w:rsidR="001971FC" w:rsidRPr="001971FC">
        <w:rPr>
          <w:color w:val="000000" w:themeColor="text1"/>
          <w:sz w:val="20"/>
          <w:szCs w:val="20"/>
        </w:rPr>
        <w:t>8</w:t>
      </w:r>
      <w:r w:rsidR="00307177" w:rsidRPr="001971FC">
        <w:rPr>
          <w:color w:val="000000" w:themeColor="text1"/>
          <w:sz w:val="20"/>
          <w:szCs w:val="20"/>
        </w:rPr>
        <w:t>).</w:t>
      </w:r>
    </w:p>
    <w:p w14:paraId="2EA58E36" w14:textId="25246FCD" w:rsidR="00F11B08" w:rsidRPr="00113DE2" w:rsidRDefault="00CF15B1" w:rsidP="00F11B08">
      <w:pPr>
        <w:pStyle w:val="SingleTxtG"/>
        <w:rPr>
          <w:color w:val="000000" w:themeColor="text1"/>
          <w:sz w:val="20"/>
          <w:szCs w:val="20"/>
        </w:rPr>
      </w:pPr>
      <w:r>
        <w:rPr>
          <w:color w:val="000000" w:themeColor="text1"/>
          <w:sz w:val="20"/>
          <w:szCs w:val="20"/>
        </w:rPr>
        <w:lastRenderedPageBreak/>
        <w:t>991</w:t>
      </w:r>
      <w:r w:rsidR="00F4790F" w:rsidRPr="00EF7B6D">
        <w:rPr>
          <w:color w:val="000000" w:themeColor="text1"/>
          <w:sz w:val="20"/>
          <w:szCs w:val="20"/>
        </w:rPr>
        <w:t>.</w:t>
      </w:r>
      <w:r w:rsidR="00C6680C" w:rsidRPr="00EF7B6D">
        <w:rPr>
          <w:color w:val="000000" w:themeColor="text1"/>
          <w:sz w:val="20"/>
          <w:szCs w:val="20"/>
        </w:rPr>
        <w:tab/>
      </w:r>
      <w:r w:rsidR="00F11B08" w:rsidRPr="00EF7B6D">
        <w:rPr>
          <w:color w:val="000000" w:themeColor="text1"/>
          <w:sz w:val="20"/>
          <w:szCs w:val="20"/>
        </w:rPr>
        <w:t>At</w:t>
      </w:r>
      <w:r w:rsidR="00FF41A0" w:rsidRPr="00EF7B6D">
        <w:rPr>
          <w:color w:val="000000" w:themeColor="text1"/>
          <w:sz w:val="20"/>
          <w:szCs w:val="20"/>
        </w:rPr>
        <w:t xml:space="preserve"> </w:t>
      </w:r>
      <w:r w:rsidR="00F11B08" w:rsidRPr="00EF7B6D">
        <w:rPr>
          <w:color w:val="000000" w:themeColor="text1"/>
          <w:sz w:val="20"/>
          <w:szCs w:val="20"/>
        </w:rPr>
        <w:t>the</w:t>
      </w:r>
      <w:r w:rsidR="00FF41A0" w:rsidRPr="00EF7B6D">
        <w:rPr>
          <w:color w:val="000000" w:themeColor="text1"/>
          <w:sz w:val="20"/>
          <w:szCs w:val="20"/>
        </w:rPr>
        <w:t xml:space="preserve"> </w:t>
      </w:r>
      <w:r w:rsidR="00F11B08" w:rsidRPr="00EF7B6D">
        <w:rPr>
          <w:color w:val="000000" w:themeColor="text1"/>
          <w:sz w:val="20"/>
          <w:szCs w:val="20"/>
        </w:rPr>
        <w:t>same</w:t>
      </w:r>
      <w:r w:rsidR="00FF41A0" w:rsidRPr="00EF7B6D">
        <w:rPr>
          <w:color w:val="000000" w:themeColor="text1"/>
          <w:sz w:val="20"/>
          <w:szCs w:val="20"/>
        </w:rPr>
        <w:t xml:space="preserve"> </w:t>
      </w:r>
      <w:r w:rsidR="00F11B08" w:rsidRPr="00EF7B6D">
        <w:rPr>
          <w:color w:val="000000" w:themeColor="text1"/>
          <w:sz w:val="20"/>
          <w:szCs w:val="20"/>
        </w:rPr>
        <w:t>meeting,</w:t>
      </w:r>
      <w:r w:rsidR="00FF41A0" w:rsidRPr="00EF7B6D">
        <w:rPr>
          <w:color w:val="000000" w:themeColor="text1"/>
          <w:sz w:val="20"/>
          <w:szCs w:val="20"/>
        </w:rPr>
        <w:t xml:space="preserve"> </w:t>
      </w:r>
      <w:r w:rsidR="00F11B08" w:rsidRPr="00EF7B6D">
        <w:rPr>
          <w:color w:val="000000" w:themeColor="text1"/>
          <w:sz w:val="20"/>
          <w:szCs w:val="20"/>
        </w:rPr>
        <w:t>the</w:t>
      </w:r>
      <w:r w:rsidR="00FF41A0" w:rsidRPr="00EF7B6D">
        <w:rPr>
          <w:color w:val="000000" w:themeColor="text1"/>
          <w:sz w:val="20"/>
          <w:szCs w:val="20"/>
        </w:rPr>
        <w:t xml:space="preserve"> </w:t>
      </w:r>
      <w:r w:rsidR="001971FC" w:rsidRPr="00EF7B6D">
        <w:rPr>
          <w:color w:val="000000" w:themeColor="text1"/>
          <w:sz w:val="20"/>
          <w:szCs w:val="20"/>
        </w:rPr>
        <w:t>representatives</w:t>
      </w:r>
      <w:r w:rsidR="00FF41A0" w:rsidRPr="00EF7B6D">
        <w:rPr>
          <w:color w:val="000000" w:themeColor="text1"/>
          <w:sz w:val="20"/>
          <w:szCs w:val="20"/>
        </w:rPr>
        <w:t xml:space="preserve"> </w:t>
      </w:r>
      <w:r w:rsidR="001971FC" w:rsidRPr="00EF7B6D">
        <w:rPr>
          <w:color w:val="000000" w:themeColor="text1"/>
          <w:sz w:val="20"/>
          <w:szCs w:val="20"/>
        </w:rPr>
        <w:t>of</w:t>
      </w:r>
      <w:r w:rsidR="00FF41A0" w:rsidRPr="00EF7B6D">
        <w:rPr>
          <w:color w:val="000000" w:themeColor="text1"/>
          <w:sz w:val="20"/>
          <w:szCs w:val="20"/>
        </w:rPr>
        <w:t xml:space="preserve"> </w:t>
      </w:r>
      <w:r w:rsidR="001971FC" w:rsidRPr="00EF7B6D">
        <w:rPr>
          <w:color w:val="000000" w:themeColor="text1"/>
          <w:sz w:val="20"/>
          <w:szCs w:val="20"/>
        </w:rPr>
        <w:t>Afghanistan</w:t>
      </w:r>
      <w:r w:rsidR="00FF41A0" w:rsidRPr="00EF7B6D">
        <w:rPr>
          <w:color w:val="000000" w:themeColor="text1"/>
          <w:sz w:val="20"/>
          <w:szCs w:val="20"/>
        </w:rPr>
        <w:t xml:space="preserve"> </w:t>
      </w:r>
      <w:r w:rsidR="001971FC" w:rsidRPr="00EF7B6D">
        <w:rPr>
          <w:color w:val="000000" w:themeColor="text1"/>
          <w:sz w:val="20"/>
          <w:szCs w:val="20"/>
        </w:rPr>
        <w:t>and</w:t>
      </w:r>
      <w:r w:rsidR="00FF41A0" w:rsidRPr="00EF7B6D">
        <w:rPr>
          <w:color w:val="000000" w:themeColor="text1"/>
          <w:sz w:val="20"/>
          <w:szCs w:val="20"/>
        </w:rPr>
        <w:t xml:space="preserve"> </w:t>
      </w:r>
      <w:r w:rsidR="001971FC" w:rsidRPr="00EF7B6D">
        <w:rPr>
          <w:color w:val="000000" w:themeColor="text1"/>
          <w:sz w:val="20"/>
          <w:szCs w:val="20"/>
        </w:rPr>
        <w:t>Libya</w:t>
      </w:r>
      <w:r w:rsidR="00FF41A0" w:rsidRPr="00EF7B6D">
        <w:rPr>
          <w:color w:val="000000" w:themeColor="text1"/>
          <w:sz w:val="20"/>
          <w:szCs w:val="20"/>
        </w:rPr>
        <w:t xml:space="preserve"> </w:t>
      </w:r>
      <w:r w:rsidR="00F11B08" w:rsidRPr="00EF7B6D">
        <w:rPr>
          <w:color w:val="000000" w:themeColor="text1"/>
          <w:sz w:val="20"/>
          <w:szCs w:val="20"/>
        </w:rPr>
        <w:t>made</w:t>
      </w:r>
      <w:r w:rsidR="00FF41A0" w:rsidRPr="00EF7B6D">
        <w:rPr>
          <w:color w:val="000000" w:themeColor="text1"/>
          <w:sz w:val="20"/>
          <w:szCs w:val="20"/>
        </w:rPr>
        <w:t xml:space="preserve"> </w:t>
      </w:r>
      <w:r w:rsidR="00F11B08" w:rsidRPr="00EF7B6D">
        <w:rPr>
          <w:color w:val="000000" w:themeColor="text1"/>
          <w:sz w:val="20"/>
          <w:szCs w:val="20"/>
        </w:rPr>
        <w:t>statements</w:t>
      </w:r>
      <w:r w:rsidR="00FF41A0" w:rsidRPr="00EF7B6D">
        <w:rPr>
          <w:color w:val="000000" w:themeColor="text1"/>
          <w:sz w:val="20"/>
          <w:szCs w:val="20"/>
        </w:rPr>
        <w:t xml:space="preserve"> </w:t>
      </w:r>
      <w:r w:rsidR="00F11B08" w:rsidRPr="00EF7B6D">
        <w:rPr>
          <w:color w:val="000000" w:themeColor="text1"/>
          <w:sz w:val="20"/>
          <w:szCs w:val="20"/>
        </w:rPr>
        <w:t>as</w:t>
      </w:r>
      <w:r w:rsidR="00FF41A0" w:rsidRPr="00EF7B6D">
        <w:rPr>
          <w:color w:val="000000" w:themeColor="text1"/>
          <w:sz w:val="20"/>
          <w:szCs w:val="20"/>
        </w:rPr>
        <w:t xml:space="preserve"> </w:t>
      </w:r>
      <w:r w:rsidR="00F11B08" w:rsidRPr="00EF7B6D">
        <w:rPr>
          <w:color w:val="000000" w:themeColor="text1"/>
          <w:sz w:val="20"/>
          <w:szCs w:val="20"/>
        </w:rPr>
        <w:t>the</w:t>
      </w:r>
      <w:r w:rsidR="00FF41A0" w:rsidRPr="00EF7B6D">
        <w:rPr>
          <w:color w:val="000000" w:themeColor="text1"/>
          <w:sz w:val="20"/>
          <w:szCs w:val="20"/>
        </w:rPr>
        <w:t xml:space="preserve"> </w:t>
      </w:r>
      <w:r w:rsidR="00F11B08" w:rsidRPr="00EF7B6D">
        <w:rPr>
          <w:color w:val="000000" w:themeColor="text1"/>
          <w:sz w:val="20"/>
          <w:szCs w:val="20"/>
        </w:rPr>
        <w:t>States</w:t>
      </w:r>
      <w:r w:rsidR="00FF41A0" w:rsidRPr="00EF7B6D">
        <w:rPr>
          <w:color w:val="000000" w:themeColor="text1"/>
          <w:sz w:val="20"/>
          <w:szCs w:val="20"/>
        </w:rPr>
        <w:t xml:space="preserve"> </w:t>
      </w:r>
      <w:r w:rsidR="00F11B08" w:rsidRPr="00EF7B6D">
        <w:rPr>
          <w:color w:val="000000" w:themeColor="text1"/>
          <w:sz w:val="20"/>
          <w:szCs w:val="20"/>
        </w:rPr>
        <w:t>concerned.</w:t>
      </w:r>
    </w:p>
    <w:p w14:paraId="2EA58E37" w14:textId="0259A12F" w:rsidR="00F11B08" w:rsidRPr="00113DE2" w:rsidRDefault="00CF15B1" w:rsidP="00F4790F">
      <w:pPr>
        <w:pStyle w:val="SingleTxtG"/>
        <w:tabs>
          <w:tab w:val="left" w:pos="1701"/>
        </w:tabs>
        <w:rPr>
          <w:color w:val="000000" w:themeColor="text1"/>
          <w:sz w:val="20"/>
          <w:szCs w:val="20"/>
        </w:rPr>
      </w:pPr>
      <w:r>
        <w:rPr>
          <w:color w:val="000000" w:themeColor="text1"/>
          <w:sz w:val="20"/>
          <w:szCs w:val="20"/>
        </w:rPr>
        <w:t>992</w:t>
      </w:r>
      <w:r w:rsidR="00F4790F" w:rsidRPr="00113DE2">
        <w:rPr>
          <w:color w:val="000000" w:themeColor="text1"/>
          <w:sz w:val="20"/>
          <w:szCs w:val="20"/>
        </w:rPr>
        <w:t>.</w:t>
      </w:r>
      <w:r w:rsidR="00C6680C" w:rsidRPr="00113DE2">
        <w:rPr>
          <w:color w:val="000000" w:themeColor="text1"/>
          <w:sz w:val="20"/>
          <w:szCs w:val="20"/>
        </w:rPr>
        <w:tab/>
      </w:r>
      <w:r w:rsidR="00F11B08" w:rsidRPr="00113DE2">
        <w:rPr>
          <w:color w:val="000000" w:themeColor="text1"/>
          <w:sz w:val="20"/>
          <w:szCs w:val="20"/>
        </w:rPr>
        <w:t>During</w:t>
      </w:r>
      <w:r w:rsidR="00FF41A0">
        <w:rPr>
          <w:color w:val="000000" w:themeColor="text1"/>
          <w:sz w:val="20"/>
          <w:szCs w:val="20"/>
        </w:rPr>
        <w:t xml:space="preserve"> </w:t>
      </w:r>
      <w:r w:rsidR="00F11B08" w:rsidRPr="00113DE2">
        <w:rPr>
          <w:color w:val="000000" w:themeColor="text1"/>
          <w:sz w:val="20"/>
          <w:szCs w:val="20"/>
        </w:rPr>
        <w:t>the</w:t>
      </w:r>
      <w:r w:rsidR="00FF41A0">
        <w:rPr>
          <w:color w:val="000000" w:themeColor="text1"/>
          <w:sz w:val="20"/>
          <w:szCs w:val="20"/>
        </w:rPr>
        <w:t xml:space="preserve"> </w:t>
      </w:r>
      <w:r w:rsidR="00F11B08" w:rsidRPr="00113DE2">
        <w:rPr>
          <w:color w:val="000000" w:themeColor="text1"/>
          <w:sz w:val="20"/>
          <w:szCs w:val="20"/>
        </w:rPr>
        <w:t>ensuing</w:t>
      </w:r>
      <w:r w:rsidR="00FF41A0">
        <w:rPr>
          <w:color w:val="000000" w:themeColor="text1"/>
          <w:sz w:val="20"/>
          <w:szCs w:val="20"/>
        </w:rPr>
        <w:t xml:space="preserve"> </w:t>
      </w:r>
      <w:r w:rsidR="00F11B08" w:rsidRPr="00113DE2">
        <w:rPr>
          <w:color w:val="000000" w:themeColor="text1"/>
          <w:sz w:val="20"/>
          <w:szCs w:val="20"/>
        </w:rPr>
        <w:t>general</w:t>
      </w:r>
      <w:r w:rsidR="00FF41A0">
        <w:rPr>
          <w:color w:val="000000" w:themeColor="text1"/>
          <w:sz w:val="20"/>
          <w:szCs w:val="20"/>
        </w:rPr>
        <w:t xml:space="preserve"> </w:t>
      </w:r>
      <w:r w:rsidR="00F11B08" w:rsidRPr="00113DE2">
        <w:rPr>
          <w:color w:val="000000" w:themeColor="text1"/>
          <w:sz w:val="20"/>
          <w:szCs w:val="20"/>
        </w:rPr>
        <w:t>debate,</w:t>
      </w:r>
      <w:r w:rsidR="00FF41A0">
        <w:rPr>
          <w:color w:val="000000" w:themeColor="text1"/>
          <w:sz w:val="20"/>
          <w:szCs w:val="20"/>
        </w:rPr>
        <w:t xml:space="preserve"> </w:t>
      </w:r>
      <w:r w:rsidR="002101F7" w:rsidRPr="00113DE2">
        <w:rPr>
          <w:color w:val="000000" w:themeColor="text1"/>
          <w:sz w:val="20"/>
          <w:szCs w:val="20"/>
        </w:rPr>
        <w:t>at</w:t>
      </w:r>
      <w:r w:rsidR="00FF41A0">
        <w:rPr>
          <w:color w:val="000000" w:themeColor="text1"/>
          <w:sz w:val="20"/>
          <w:szCs w:val="20"/>
        </w:rPr>
        <w:t xml:space="preserve"> </w:t>
      </w:r>
      <w:r w:rsidR="002101F7" w:rsidRPr="00113DE2">
        <w:rPr>
          <w:color w:val="000000" w:themeColor="text1"/>
          <w:sz w:val="20"/>
          <w:szCs w:val="20"/>
        </w:rPr>
        <w:t>the</w:t>
      </w:r>
      <w:r w:rsidR="00FF41A0">
        <w:rPr>
          <w:color w:val="000000" w:themeColor="text1"/>
          <w:sz w:val="20"/>
          <w:szCs w:val="20"/>
        </w:rPr>
        <w:t xml:space="preserve"> </w:t>
      </w:r>
      <w:r w:rsidR="002101F7" w:rsidRPr="001971FC">
        <w:rPr>
          <w:color w:val="000000" w:themeColor="text1"/>
          <w:sz w:val="20"/>
          <w:szCs w:val="20"/>
        </w:rPr>
        <w:t>5</w:t>
      </w:r>
      <w:r w:rsidR="001971FC" w:rsidRPr="001971FC">
        <w:rPr>
          <w:color w:val="000000" w:themeColor="text1"/>
          <w:sz w:val="20"/>
          <w:szCs w:val="20"/>
        </w:rPr>
        <w:t>0</w:t>
      </w:r>
      <w:r w:rsidR="002101F7" w:rsidRPr="001971FC">
        <w:rPr>
          <w:color w:val="000000" w:themeColor="text1"/>
          <w:sz w:val="20"/>
          <w:szCs w:val="20"/>
        </w:rPr>
        <w:t>th</w:t>
      </w:r>
      <w:r w:rsidR="00FF41A0">
        <w:rPr>
          <w:color w:val="000000" w:themeColor="text1"/>
          <w:sz w:val="20"/>
          <w:szCs w:val="20"/>
        </w:rPr>
        <w:t xml:space="preserve"> </w:t>
      </w:r>
      <w:r w:rsidR="002101F7" w:rsidRPr="001971FC">
        <w:rPr>
          <w:color w:val="000000" w:themeColor="text1"/>
          <w:sz w:val="20"/>
          <w:szCs w:val="20"/>
        </w:rPr>
        <w:t>to</w:t>
      </w:r>
      <w:r w:rsidR="00FF41A0">
        <w:rPr>
          <w:color w:val="000000" w:themeColor="text1"/>
          <w:sz w:val="20"/>
          <w:szCs w:val="20"/>
        </w:rPr>
        <w:t xml:space="preserve"> </w:t>
      </w:r>
      <w:r w:rsidR="002101F7" w:rsidRPr="001971FC">
        <w:rPr>
          <w:color w:val="000000" w:themeColor="text1"/>
          <w:sz w:val="20"/>
          <w:szCs w:val="20"/>
        </w:rPr>
        <w:t>5</w:t>
      </w:r>
      <w:r w:rsidR="001971FC" w:rsidRPr="001971FC">
        <w:rPr>
          <w:color w:val="000000" w:themeColor="text1"/>
          <w:sz w:val="20"/>
          <w:szCs w:val="20"/>
        </w:rPr>
        <w:t>1st</w:t>
      </w:r>
      <w:r w:rsidR="00FF41A0">
        <w:rPr>
          <w:color w:val="000000" w:themeColor="text1"/>
          <w:sz w:val="20"/>
          <w:szCs w:val="20"/>
        </w:rPr>
        <w:t xml:space="preserve"> </w:t>
      </w:r>
      <w:r w:rsidR="002101F7" w:rsidRPr="001971FC">
        <w:rPr>
          <w:color w:val="000000" w:themeColor="text1"/>
          <w:sz w:val="20"/>
          <w:szCs w:val="20"/>
        </w:rPr>
        <w:t>meetings</w:t>
      </w:r>
      <w:r w:rsidR="00F11B08" w:rsidRPr="00113DE2">
        <w:rPr>
          <w:color w:val="000000" w:themeColor="text1"/>
          <w:sz w:val="20"/>
          <w:szCs w:val="20"/>
        </w:rPr>
        <w:t>,</w:t>
      </w:r>
      <w:r w:rsidR="00FF41A0">
        <w:rPr>
          <w:color w:val="000000" w:themeColor="text1"/>
          <w:sz w:val="20"/>
          <w:szCs w:val="20"/>
        </w:rPr>
        <w:t xml:space="preserve"> </w:t>
      </w:r>
      <w:r w:rsidR="002101F7" w:rsidRPr="00113DE2">
        <w:rPr>
          <w:color w:val="000000" w:themeColor="text1"/>
          <w:sz w:val="20"/>
          <w:szCs w:val="20"/>
        </w:rPr>
        <w:t>on</w:t>
      </w:r>
      <w:r w:rsidR="00FF41A0">
        <w:rPr>
          <w:color w:val="000000" w:themeColor="text1"/>
          <w:sz w:val="20"/>
          <w:szCs w:val="20"/>
        </w:rPr>
        <w:t xml:space="preserve"> </w:t>
      </w:r>
      <w:r w:rsidR="002101F7" w:rsidRPr="00113DE2">
        <w:rPr>
          <w:color w:val="000000" w:themeColor="text1"/>
          <w:sz w:val="20"/>
          <w:szCs w:val="20"/>
        </w:rPr>
        <w:t>the</w:t>
      </w:r>
      <w:r w:rsidR="00FF41A0">
        <w:rPr>
          <w:color w:val="000000" w:themeColor="text1"/>
          <w:sz w:val="20"/>
          <w:szCs w:val="20"/>
        </w:rPr>
        <w:t xml:space="preserve"> </w:t>
      </w:r>
      <w:r w:rsidR="002101F7" w:rsidRPr="00113DE2">
        <w:rPr>
          <w:color w:val="000000" w:themeColor="text1"/>
          <w:sz w:val="20"/>
          <w:szCs w:val="20"/>
        </w:rPr>
        <w:t>same</w:t>
      </w:r>
      <w:r w:rsidR="00FF41A0">
        <w:rPr>
          <w:color w:val="000000" w:themeColor="text1"/>
          <w:sz w:val="20"/>
          <w:szCs w:val="20"/>
        </w:rPr>
        <w:t xml:space="preserve"> </w:t>
      </w:r>
      <w:r w:rsidR="002101F7" w:rsidRPr="00113DE2">
        <w:rPr>
          <w:color w:val="000000" w:themeColor="text1"/>
          <w:sz w:val="20"/>
          <w:szCs w:val="20"/>
        </w:rPr>
        <w:t>day,</w:t>
      </w:r>
      <w:r w:rsidR="00FF41A0">
        <w:rPr>
          <w:color w:val="000000" w:themeColor="text1"/>
          <w:sz w:val="20"/>
          <w:szCs w:val="20"/>
        </w:rPr>
        <w:t xml:space="preserve"> </w:t>
      </w:r>
      <w:r w:rsidR="00F11B08" w:rsidRPr="00113DE2">
        <w:rPr>
          <w:color w:val="000000" w:themeColor="text1"/>
          <w:sz w:val="20"/>
          <w:szCs w:val="20"/>
        </w:rPr>
        <w:t>the</w:t>
      </w:r>
      <w:r w:rsidR="00FF41A0">
        <w:rPr>
          <w:color w:val="000000" w:themeColor="text1"/>
          <w:sz w:val="20"/>
          <w:szCs w:val="20"/>
        </w:rPr>
        <w:t xml:space="preserve"> </w:t>
      </w:r>
      <w:r w:rsidR="00F11B08" w:rsidRPr="00113DE2">
        <w:rPr>
          <w:color w:val="000000" w:themeColor="text1"/>
          <w:sz w:val="20"/>
          <w:szCs w:val="20"/>
        </w:rPr>
        <w:t>following</w:t>
      </w:r>
      <w:r w:rsidR="00FF41A0">
        <w:rPr>
          <w:color w:val="000000" w:themeColor="text1"/>
          <w:sz w:val="20"/>
          <w:szCs w:val="20"/>
        </w:rPr>
        <w:t xml:space="preserve"> </w:t>
      </w:r>
      <w:r w:rsidR="00F11B08" w:rsidRPr="00113DE2">
        <w:rPr>
          <w:color w:val="000000" w:themeColor="text1"/>
          <w:sz w:val="20"/>
          <w:szCs w:val="20"/>
        </w:rPr>
        <w:t>made</w:t>
      </w:r>
      <w:r w:rsidR="00FF41A0">
        <w:rPr>
          <w:color w:val="000000" w:themeColor="text1"/>
          <w:sz w:val="20"/>
          <w:szCs w:val="20"/>
        </w:rPr>
        <w:t xml:space="preserve"> </w:t>
      </w:r>
      <w:r w:rsidR="00F11B08" w:rsidRPr="00113DE2">
        <w:rPr>
          <w:color w:val="000000" w:themeColor="text1"/>
          <w:sz w:val="20"/>
          <w:szCs w:val="20"/>
        </w:rPr>
        <w:t>statements:</w:t>
      </w:r>
    </w:p>
    <w:p w14:paraId="2EA58E38" w14:textId="12EFD536" w:rsidR="00F11B08" w:rsidRPr="0089667E" w:rsidRDefault="00F11B08" w:rsidP="00670696">
      <w:pPr>
        <w:pStyle w:val="SingleTxtG"/>
        <w:ind w:firstLine="567"/>
        <w:rPr>
          <w:i/>
          <w:color w:val="000000" w:themeColor="text1"/>
          <w:sz w:val="20"/>
          <w:szCs w:val="20"/>
        </w:rPr>
      </w:pPr>
      <w:r w:rsidRPr="00113DE2">
        <w:rPr>
          <w:color w:val="000000" w:themeColor="text1"/>
          <w:sz w:val="20"/>
          <w:szCs w:val="20"/>
        </w:rPr>
        <w:t>(a)</w:t>
      </w:r>
      <w:r w:rsidRPr="00113DE2">
        <w:rPr>
          <w:color w:val="000000" w:themeColor="text1"/>
          <w:sz w:val="20"/>
          <w:szCs w:val="20"/>
        </w:rPr>
        <w:tab/>
        <w:t>Representatives</w:t>
      </w:r>
      <w:r w:rsidR="00FF41A0">
        <w:rPr>
          <w:color w:val="000000" w:themeColor="text1"/>
          <w:sz w:val="20"/>
          <w:szCs w:val="20"/>
        </w:rPr>
        <w:t xml:space="preserve"> </w:t>
      </w:r>
      <w:r w:rsidRPr="00113DE2">
        <w:rPr>
          <w:color w:val="000000" w:themeColor="text1"/>
          <w:sz w:val="20"/>
          <w:szCs w:val="20"/>
        </w:rPr>
        <w:t>of</w:t>
      </w:r>
      <w:r w:rsidR="00FF41A0">
        <w:rPr>
          <w:color w:val="000000" w:themeColor="text1"/>
          <w:sz w:val="20"/>
          <w:szCs w:val="20"/>
        </w:rPr>
        <w:t xml:space="preserve"> </w:t>
      </w:r>
      <w:r w:rsidR="005D3E5F">
        <w:rPr>
          <w:color w:val="000000" w:themeColor="text1"/>
          <w:sz w:val="20"/>
          <w:szCs w:val="20"/>
        </w:rPr>
        <w:t>States</w:t>
      </w:r>
      <w:r w:rsidR="00FF41A0">
        <w:rPr>
          <w:color w:val="000000" w:themeColor="text1"/>
          <w:sz w:val="20"/>
          <w:szCs w:val="20"/>
        </w:rPr>
        <w:t xml:space="preserve"> </w:t>
      </w:r>
      <w:r w:rsidR="005D3E5F">
        <w:rPr>
          <w:color w:val="000000" w:themeColor="text1"/>
          <w:sz w:val="20"/>
          <w:szCs w:val="20"/>
        </w:rPr>
        <w:t>Members</w:t>
      </w:r>
      <w:r w:rsidR="00FF41A0">
        <w:rPr>
          <w:color w:val="000000" w:themeColor="text1"/>
          <w:sz w:val="20"/>
          <w:szCs w:val="20"/>
        </w:rPr>
        <w:t xml:space="preserve"> </w:t>
      </w:r>
      <w:r w:rsidRPr="00113DE2">
        <w:rPr>
          <w:color w:val="000000" w:themeColor="text1"/>
          <w:sz w:val="20"/>
          <w:szCs w:val="20"/>
        </w:rPr>
        <w:t>of</w:t>
      </w:r>
      <w:r w:rsidR="00FF41A0">
        <w:rPr>
          <w:color w:val="000000" w:themeColor="text1"/>
          <w:sz w:val="20"/>
          <w:szCs w:val="20"/>
        </w:rPr>
        <w:t xml:space="preserve"> </w:t>
      </w:r>
      <w:r w:rsidRPr="00113DE2">
        <w:rPr>
          <w:color w:val="000000" w:themeColor="text1"/>
          <w:sz w:val="20"/>
          <w:szCs w:val="20"/>
        </w:rPr>
        <w:t>the</w:t>
      </w:r>
      <w:r w:rsidR="00FF41A0">
        <w:rPr>
          <w:color w:val="000000" w:themeColor="text1"/>
          <w:sz w:val="20"/>
          <w:szCs w:val="20"/>
        </w:rPr>
        <w:t xml:space="preserve"> </w:t>
      </w:r>
      <w:r w:rsidRPr="00113DE2">
        <w:rPr>
          <w:color w:val="000000" w:themeColor="text1"/>
          <w:sz w:val="20"/>
          <w:szCs w:val="20"/>
        </w:rPr>
        <w:t>Human</w:t>
      </w:r>
      <w:r w:rsidR="00FF41A0">
        <w:rPr>
          <w:color w:val="000000" w:themeColor="text1"/>
          <w:sz w:val="20"/>
          <w:szCs w:val="20"/>
        </w:rPr>
        <w:t xml:space="preserve"> </w:t>
      </w:r>
      <w:r w:rsidRPr="00113DE2">
        <w:rPr>
          <w:color w:val="000000" w:themeColor="text1"/>
          <w:sz w:val="20"/>
          <w:szCs w:val="20"/>
        </w:rPr>
        <w:t>Rights</w:t>
      </w:r>
      <w:r w:rsidR="00FF41A0">
        <w:rPr>
          <w:color w:val="000000" w:themeColor="text1"/>
          <w:sz w:val="20"/>
          <w:szCs w:val="20"/>
        </w:rPr>
        <w:t xml:space="preserve"> </w:t>
      </w:r>
      <w:r w:rsidRPr="00113DE2">
        <w:rPr>
          <w:color w:val="000000" w:themeColor="text1"/>
          <w:sz w:val="20"/>
          <w:szCs w:val="20"/>
        </w:rPr>
        <w:t>Council:</w:t>
      </w:r>
      <w:r w:rsidR="00FF41A0">
        <w:rPr>
          <w:color w:val="000000" w:themeColor="text1"/>
          <w:sz w:val="20"/>
          <w:szCs w:val="20"/>
        </w:rPr>
        <w:t xml:space="preserve"> </w:t>
      </w:r>
      <w:r w:rsidR="007D4822" w:rsidRPr="007D4822">
        <w:rPr>
          <w:color w:val="000000" w:themeColor="text1"/>
          <w:sz w:val="20"/>
          <w:szCs w:val="20"/>
        </w:rPr>
        <w:t>Angola (on behalf of the Group of African States)</w:t>
      </w:r>
      <w:r w:rsidR="00E54C18" w:rsidRPr="00E54C18">
        <w:rPr>
          <w:color w:val="000000" w:themeColor="text1"/>
          <w:sz w:val="20"/>
          <w:szCs w:val="20"/>
          <w:lang w:val="en-GB"/>
        </w:rPr>
        <w:t xml:space="preserve">, Australia, Bahrain </w:t>
      </w:r>
      <w:r w:rsidR="007D4822">
        <w:rPr>
          <w:color w:val="000000" w:themeColor="text1"/>
          <w:sz w:val="20"/>
          <w:szCs w:val="20"/>
          <w:lang w:val="en-GB"/>
        </w:rPr>
        <w:t>(</w:t>
      </w:r>
      <w:r w:rsidR="00210D09">
        <w:rPr>
          <w:color w:val="000000" w:themeColor="text1"/>
          <w:sz w:val="20"/>
          <w:szCs w:val="20"/>
          <w:lang w:val="en-GB"/>
        </w:rPr>
        <w:t xml:space="preserve">also </w:t>
      </w:r>
      <w:r w:rsidR="007D4822" w:rsidRPr="007D4822">
        <w:rPr>
          <w:color w:val="000000" w:themeColor="text1"/>
          <w:sz w:val="20"/>
          <w:szCs w:val="20"/>
        </w:rPr>
        <w:t>on behalf of the Group of Arab States</w:t>
      </w:r>
      <w:r w:rsidR="007D4822">
        <w:rPr>
          <w:color w:val="000000" w:themeColor="text1"/>
          <w:sz w:val="20"/>
          <w:szCs w:val="20"/>
        </w:rPr>
        <w:t>)</w:t>
      </w:r>
      <w:r w:rsidR="00E54C18" w:rsidRPr="00E54C18">
        <w:rPr>
          <w:color w:val="000000" w:themeColor="text1"/>
          <w:sz w:val="20"/>
          <w:szCs w:val="20"/>
          <w:lang w:val="en-GB"/>
        </w:rPr>
        <w:t>, Bolivia (Plurinational State of)</w:t>
      </w:r>
      <w:r w:rsidR="000943B0">
        <w:rPr>
          <w:rStyle w:val="FootnoteReference"/>
          <w:color w:val="000000" w:themeColor="text1"/>
          <w:szCs w:val="20"/>
          <w:lang w:val="en-GB"/>
        </w:rPr>
        <w:footnoteReference w:id="80"/>
      </w:r>
      <w:r w:rsidR="00E54C18" w:rsidRPr="00E54C18">
        <w:rPr>
          <w:color w:val="000000" w:themeColor="text1"/>
          <w:sz w:val="20"/>
          <w:szCs w:val="20"/>
          <w:lang w:val="en-GB"/>
        </w:rPr>
        <w:t xml:space="preserve"> </w:t>
      </w:r>
      <w:r w:rsidR="00805ABF">
        <w:rPr>
          <w:color w:val="000000" w:themeColor="text1"/>
          <w:sz w:val="20"/>
          <w:szCs w:val="20"/>
          <w:lang w:val="en-GB"/>
        </w:rPr>
        <w:t xml:space="preserve">(also </w:t>
      </w:r>
      <w:r w:rsidR="00E54C18" w:rsidRPr="00E54C18">
        <w:rPr>
          <w:color w:val="000000" w:themeColor="text1"/>
          <w:sz w:val="20"/>
          <w:szCs w:val="20"/>
          <w:lang w:val="en-GB"/>
        </w:rPr>
        <w:t>on</w:t>
      </w:r>
      <w:r w:rsidR="00805ABF">
        <w:rPr>
          <w:color w:val="000000" w:themeColor="text1"/>
          <w:sz w:val="20"/>
          <w:szCs w:val="20"/>
          <w:lang w:val="en-GB"/>
        </w:rPr>
        <w:t xml:space="preserve"> behalf of Cuba, Nicaragua and</w:t>
      </w:r>
      <w:r w:rsidR="00805ABF" w:rsidRPr="00805ABF">
        <w:rPr>
          <w:color w:val="000000" w:themeColor="text1"/>
          <w:sz w:val="20"/>
          <w:szCs w:val="20"/>
          <w:lang w:val="en-GB"/>
        </w:rPr>
        <w:t xml:space="preserve"> Venezuela (Bolivarian Republic of)</w:t>
      </w:r>
      <w:r w:rsidR="00805ABF">
        <w:rPr>
          <w:color w:val="000000" w:themeColor="text1"/>
          <w:sz w:val="20"/>
          <w:szCs w:val="20"/>
          <w:lang w:val="en-GB"/>
        </w:rPr>
        <w:t>)</w:t>
      </w:r>
      <w:r w:rsidR="00E54C18" w:rsidRPr="00E54C18">
        <w:rPr>
          <w:color w:val="000000" w:themeColor="text1"/>
          <w:sz w:val="20"/>
          <w:szCs w:val="20"/>
          <w:lang w:val="en-GB"/>
        </w:rPr>
        <w:t xml:space="preserve">, Brazil, Bulgaria, Cameroon, Cameroon </w:t>
      </w:r>
      <w:r w:rsidR="00A27489">
        <w:rPr>
          <w:color w:val="000000" w:themeColor="text1"/>
          <w:sz w:val="20"/>
          <w:szCs w:val="20"/>
          <w:lang w:val="en-GB"/>
        </w:rPr>
        <w:t>(</w:t>
      </w:r>
      <w:r w:rsidR="00670696">
        <w:rPr>
          <w:color w:val="000000" w:themeColor="text1"/>
          <w:sz w:val="20"/>
          <w:szCs w:val="20"/>
          <w:lang w:val="en-GB"/>
        </w:rPr>
        <w:t xml:space="preserve">also </w:t>
      </w:r>
      <w:r w:rsidR="00E54C18" w:rsidRPr="00E54C18">
        <w:rPr>
          <w:color w:val="000000" w:themeColor="text1"/>
          <w:sz w:val="20"/>
          <w:szCs w:val="20"/>
          <w:lang w:val="en-GB"/>
        </w:rPr>
        <w:t xml:space="preserve">on </w:t>
      </w:r>
      <w:r w:rsidR="00A27489">
        <w:rPr>
          <w:color w:val="000000" w:themeColor="text1"/>
          <w:sz w:val="20"/>
          <w:szCs w:val="20"/>
          <w:lang w:val="en-GB"/>
        </w:rPr>
        <w:t xml:space="preserve">behalf of </w:t>
      </w:r>
      <w:r w:rsidR="00A27489" w:rsidRPr="00A27489">
        <w:rPr>
          <w:color w:val="000000" w:themeColor="text1"/>
          <w:sz w:val="20"/>
          <w:szCs w:val="20"/>
          <w:lang w:val="en-GB"/>
        </w:rPr>
        <w:t>Angola, Burundi, Chad, China</w:t>
      </w:r>
      <w:r w:rsidR="00A27489">
        <w:rPr>
          <w:color w:val="000000" w:themeColor="text1"/>
          <w:sz w:val="20"/>
          <w:szCs w:val="20"/>
          <w:lang w:val="en-GB"/>
        </w:rPr>
        <w:t xml:space="preserve">, </w:t>
      </w:r>
      <w:r w:rsidR="00670696">
        <w:rPr>
          <w:color w:val="000000" w:themeColor="text1"/>
          <w:sz w:val="20"/>
          <w:szCs w:val="20"/>
        </w:rPr>
        <w:t>Saudi Arabia</w:t>
      </w:r>
      <w:r w:rsidR="00A27489">
        <w:rPr>
          <w:color w:val="000000" w:themeColor="text1"/>
          <w:sz w:val="20"/>
          <w:szCs w:val="20"/>
        </w:rPr>
        <w:t xml:space="preserve"> and </w:t>
      </w:r>
      <w:r w:rsidR="00670696">
        <w:rPr>
          <w:color w:val="000000" w:themeColor="text1"/>
          <w:sz w:val="20"/>
          <w:szCs w:val="20"/>
        </w:rPr>
        <w:t xml:space="preserve">the </w:t>
      </w:r>
      <w:r w:rsidR="007E02F6">
        <w:rPr>
          <w:color w:val="000000" w:themeColor="text1"/>
          <w:sz w:val="20"/>
          <w:szCs w:val="20"/>
        </w:rPr>
        <w:t>Sudan</w:t>
      </w:r>
      <w:r w:rsidR="00A27489">
        <w:rPr>
          <w:color w:val="000000" w:themeColor="text1"/>
          <w:sz w:val="20"/>
          <w:szCs w:val="20"/>
          <w:lang w:val="en-GB"/>
        </w:rPr>
        <w:t>)</w:t>
      </w:r>
      <w:r w:rsidR="00E54C18" w:rsidRPr="00E54C18">
        <w:rPr>
          <w:color w:val="000000" w:themeColor="text1"/>
          <w:sz w:val="20"/>
          <w:szCs w:val="20"/>
          <w:lang w:val="en-GB"/>
        </w:rPr>
        <w:t>, China, Cuba, Egypt, Eritrea, Haiti</w:t>
      </w:r>
      <w:r w:rsidR="000943B0">
        <w:rPr>
          <w:rStyle w:val="FootnoteReference"/>
          <w:color w:val="000000" w:themeColor="text1"/>
          <w:szCs w:val="20"/>
          <w:lang w:val="en-GB"/>
        </w:rPr>
        <w:footnoteReference w:id="81"/>
      </w:r>
      <w:r w:rsidR="00E54C18" w:rsidRPr="00E54C18">
        <w:rPr>
          <w:color w:val="000000" w:themeColor="text1"/>
          <w:sz w:val="20"/>
          <w:szCs w:val="20"/>
          <w:lang w:val="en-GB"/>
        </w:rPr>
        <w:t xml:space="preserve"> </w:t>
      </w:r>
      <w:r w:rsidR="004126AB" w:rsidRPr="0047223F">
        <w:rPr>
          <w:color w:val="000000" w:themeColor="text1"/>
          <w:sz w:val="20"/>
          <w:szCs w:val="20"/>
        </w:rPr>
        <w:t>(</w:t>
      </w:r>
      <w:r w:rsidR="006D191C" w:rsidRPr="0047223F">
        <w:rPr>
          <w:color w:val="000000" w:themeColor="text1"/>
          <w:sz w:val="20"/>
          <w:szCs w:val="20"/>
        </w:rPr>
        <w:t xml:space="preserve">also </w:t>
      </w:r>
      <w:r w:rsidR="00C15AF1" w:rsidRPr="0047223F">
        <w:rPr>
          <w:color w:val="000000" w:themeColor="text1"/>
          <w:sz w:val="20"/>
          <w:szCs w:val="20"/>
        </w:rPr>
        <w:t>on behalf of</w:t>
      </w:r>
      <w:r w:rsidR="0047223F" w:rsidRPr="0047223F">
        <w:rPr>
          <w:color w:val="000000" w:themeColor="text1"/>
          <w:sz w:val="20"/>
          <w:szCs w:val="20"/>
        </w:rPr>
        <w:t xml:space="preserve"> the</w:t>
      </w:r>
      <w:r w:rsidR="0047223F">
        <w:rPr>
          <w:color w:val="000000" w:themeColor="text1"/>
          <w:sz w:val="20"/>
          <w:szCs w:val="20"/>
          <w:lang w:val="en-GB"/>
        </w:rPr>
        <w:t xml:space="preserve"> Bahamas, Cuba, Fiji, Maldives, the Marshall Islands, Mauritius, Samoa, Singapore and Timor-Leste</w:t>
      </w:r>
      <w:r w:rsidR="004126AB">
        <w:rPr>
          <w:color w:val="000000" w:themeColor="text1"/>
          <w:sz w:val="20"/>
          <w:szCs w:val="20"/>
          <w:lang w:val="en-GB"/>
        </w:rPr>
        <w:t>)</w:t>
      </w:r>
      <w:r w:rsidR="00E54C18" w:rsidRPr="00E54C18">
        <w:rPr>
          <w:color w:val="000000" w:themeColor="text1"/>
          <w:sz w:val="20"/>
          <w:szCs w:val="20"/>
          <w:lang w:val="en-GB"/>
        </w:rPr>
        <w:t>, India, Iraq, Italy, Maldives</w:t>
      </w:r>
      <w:r w:rsidR="000943B0">
        <w:rPr>
          <w:rStyle w:val="FootnoteReference"/>
          <w:color w:val="000000" w:themeColor="text1"/>
          <w:szCs w:val="20"/>
          <w:lang w:val="en-GB"/>
        </w:rPr>
        <w:footnoteReference w:id="82"/>
      </w:r>
      <w:r w:rsidR="00E54C18" w:rsidRPr="00E54C18">
        <w:rPr>
          <w:color w:val="000000" w:themeColor="text1"/>
          <w:sz w:val="20"/>
          <w:szCs w:val="20"/>
          <w:lang w:val="en-GB"/>
        </w:rPr>
        <w:t xml:space="preserve"> </w:t>
      </w:r>
      <w:r w:rsidR="00970C44">
        <w:rPr>
          <w:color w:val="000000" w:themeColor="text1"/>
          <w:sz w:val="20"/>
          <w:szCs w:val="20"/>
          <w:lang w:val="en-GB"/>
        </w:rPr>
        <w:t xml:space="preserve">(also </w:t>
      </w:r>
      <w:r w:rsidR="00E54C18" w:rsidRPr="00E54C18">
        <w:rPr>
          <w:color w:val="000000" w:themeColor="text1"/>
          <w:sz w:val="20"/>
          <w:szCs w:val="20"/>
          <w:lang w:val="en-GB"/>
        </w:rPr>
        <w:t xml:space="preserve">on behalf of </w:t>
      </w:r>
      <w:r w:rsidR="00970C44" w:rsidRPr="00970C44">
        <w:rPr>
          <w:color w:val="000000" w:themeColor="text1"/>
          <w:sz w:val="20"/>
          <w:szCs w:val="20"/>
          <w:lang w:val="en-GB"/>
        </w:rPr>
        <w:t xml:space="preserve">Australia, </w:t>
      </w:r>
      <w:r w:rsidR="006D191C">
        <w:rPr>
          <w:color w:val="000000" w:themeColor="text1"/>
          <w:sz w:val="20"/>
          <w:szCs w:val="20"/>
          <w:lang w:val="en-GB"/>
        </w:rPr>
        <w:t xml:space="preserve">the </w:t>
      </w:r>
      <w:r w:rsidR="00970C44" w:rsidRPr="00970C44">
        <w:rPr>
          <w:color w:val="000000" w:themeColor="text1"/>
          <w:sz w:val="20"/>
          <w:szCs w:val="20"/>
          <w:lang w:val="en-GB"/>
        </w:rPr>
        <w:t xml:space="preserve">Bahamas, Denmark, Fiji, Iceland, Mexico, the Netherlands, New Zealand, Norway, Seychelles, Switzerland, </w:t>
      </w:r>
      <w:r w:rsidR="00970C44" w:rsidRPr="00970C44">
        <w:rPr>
          <w:color w:val="000000" w:themeColor="text1"/>
          <w:sz w:val="20"/>
          <w:szCs w:val="20"/>
        </w:rPr>
        <w:t>the United Kingdom of Great Britain and Northern Ireland</w:t>
      </w:r>
      <w:r w:rsidR="00970C44" w:rsidRPr="00970C44">
        <w:rPr>
          <w:color w:val="000000" w:themeColor="text1"/>
          <w:sz w:val="20"/>
          <w:szCs w:val="20"/>
          <w:lang w:val="en-GB"/>
        </w:rPr>
        <w:t xml:space="preserve"> and Uruguay</w:t>
      </w:r>
      <w:r w:rsidR="00970C44">
        <w:rPr>
          <w:color w:val="000000" w:themeColor="text1"/>
          <w:sz w:val="20"/>
          <w:szCs w:val="20"/>
          <w:lang w:val="en-GB"/>
        </w:rPr>
        <w:t>)</w:t>
      </w:r>
      <w:r w:rsidR="00E54C18" w:rsidRPr="00E54C18">
        <w:rPr>
          <w:color w:val="000000" w:themeColor="text1"/>
          <w:sz w:val="20"/>
          <w:szCs w:val="20"/>
          <w:lang w:val="en-GB"/>
        </w:rPr>
        <w:t xml:space="preserve">, Pakistan </w:t>
      </w:r>
      <w:r w:rsidR="0030228F">
        <w:rPr>
          <w:color w:val="000000" w:themeColor="text1"/>
          <w:sz w:val="20"/>
          <w:szCs w:val="20"/>
          <w:lang w:val="en-GB"/>
        </w:rPr>
        <w:t xml:space="preserve">(also </w:t>
      </w:r>
      <w:r w:rsidR="00E54C18" w:rsidRPr="00E54C18">
        <w:rPr>
          <w:color w:val="000000" w:themeColor="text1"/>
          <w:sz w:val="20"/>
          <w:szCs w:val="20"/>
          <w:lang w:val="en-GB"/>
        </w:rPr>
        <w:t>on</w:t>
      </w:r>
      <w:r w:rsidR="0030228F">
        <w:rPr>
          <w:color w:val="000000" w:themeColor="text1"/>
          <w:sz w:val="20"/>
          <w:szCs w:val="20"/>
          <w:lang w:val="en-GB"/>
        </w:rPr>
        <w:t xml:space="preserve"> behalf of </w:t>
      </w:r>
      <w:r w:rsidR="00C15AF1" w:rsidRPr="0030228F">
        <w:rPr>
          <w:color w:val="000000" w:themeColor="text1"/>
          <w:sz w:val="20"/>
          <w:szCs w:val="20"/>
          <w:lang w:val="en-GB"/>
        </w:rPr>
        <w:t>Algeria</w:t>
      </w:r>
      <w:r w:rsidR="0030228F" w:rsidRPr="0030228F">
        <w:rPr>
          <w:color w:val="000000" w:themeColor="text1"/>
          <w:sz w:val="20"/>
          <w:szCs w:val="20"/>
          <w:lang w:val="en-GB"/>
        </w:rPr>
        <w:t xml:space="preserve">, </w:t>
      </w:r>
      <w:r w:rsidR="00C15AF1" w:rsidRPr="0030228F">
        <w:rPr>
          <w:color w:val="000000" w:themeColor="text1"/>
          <w:sz w:val="20"/>
          <w:szCs w:val="20"/>
          <w:lang w:val="en-GB"/>
        </w:rPr>
        <w:t>Bahrain</w:t>
      </w:r>
      <w:r w:rsidR="0030228F" w:rsidRPr="0030228F">
        <w:rPr>
          <w:color w:val="000000" w:themeColor="text1"/>
          <w:sz w:val="20"/>
          <w:szCs w:val="20"/>
          <w:lang w:val="en-GB"/>
        </w:rPr>
        <w:t xml:space="preserve">, </w:t>
      </w:r>
      <w:r w:rsidR="00C15AF1" w:rsidRPr="0030228F">
        <w:rPr>
          <w:color w:val="000000" w:themeColor="text1"/>
          <w:sz w:val="20"/>
          <w:szCs w:val="20"/>
          <w:lang w:val="en-GB"/>
        </w:rPr>
        <w:t>Bangladesh</w:t>
      </w:r>
      <w:r w:rsidR="0030228F" w:rsidRPr="0030228F">
        <w:rPr>
          <w:color w:val="000000" w:themeColor="text1"/>
          <w:sz w:val="20"/>
          <w:szCs w:val="20"/>
          <w:lang w:val="en-GB"/>
        </w:rPr>
        <w:t xml:space="preserve">, </w:t>
      </w:r>
      <w:r w:rsidR="00C15AF1" w:rsidRPr="0030228F">
        <w:rPr>
          <w:color w:val="000000" w:themeColor="text1"/>
          <w:sz w:val="20"/>
          <w:szCs w:val="20"/>
          <w:lang w:val="en-GB"/>
        </w:rPr>
        <w:t>Belarus</w:t>
      </w:r>
      <w:r w:rsidR="0030228F" w:rsidRPr="0030228F">
        <w:rPr>
          <w:color w:val="000000" w:themeColor="text1"/>
          <w:sz w:val="20"/>
          <w:szCs w:val="20"/>
          <w:lang w:val="en-GB"/>
        </w:rPr>
        <w:t xml:space="preserve">, </w:t>
      </w:r>
      <w:r w:rsidR="00C15AF1" w:rsidRPr="0030228F">
        <w:rPr>
          <w:color w:val="000000" w:themeColor="text1"/>
          <w:sz w:val="20"/>
          <w:szCs w:val="20"/>
          <w:lang w:val="en-GB"/>
        </w:rPr>
        <w:t>China</w:t>
      </w:r>
      <w:r w:rsidR="0030228F" w:rsidRPr="0030228F">
        <w:rPr>
          <w:color w:val="000000" w:themeColor="text1"/>
          <w:sz w:val="20"/>
          <w:szCs w:val="20"/>
          <w:lang w:val="en-GB"/>
        </w:rPr>
        <w:t xml:space="preserve">, </w:t>
      </w:r>
      <w:r w:rsidR="00C15AF1" w:rsidRPr="0030228F">
        <w:rPr>
          <w:color w:val="000000" w:themeColor="text1"/>
          <w:sz w:val="20"/>
          <w:szCs w:val="20"/>
          <w:lang w:val="en-GB"/>
        </w:rPr>
        <w:t>Cuba</w:t>
      </w:r>
      <w:r w:rsidR="0030228F" w:rsidRPr="0030228F">
        <w:rPr>
          <w:color w:val="000000" w:themeColor="text1"/>
          <w:sz w:val="20"/>
          <w:szCs w:val="20"/>
          <w:lang w:val="en-GB"/>
        </w:rPr>
        <w:t xml:space="preserve">, </w:t>
      </w:r>
      <w:r w:rsidR="00C15AF1" w:rsidRPr="0030228F">
        <w:rPr>
          <w:color w:val="000000" w:themeColor="text1"/>
          <w:sz w:val="20"/>
          <w:szCs w:val="20"/>
        </w:rPr>
        <w:t>the Democratic People</w:t>
      </w:r>
      <w:r w:rsidR="00D72627">
        <w:rPr>
          <w:color w:val="000000" w:themeColor="text1"/>
          <w:sz w:val="20"/>
          <w:szCs w:val="20"/>
        </w:rPr>
        <w:t>’</w:t>
      </w:r>
      <w:r w:rsidR="00C15AF1" w:rsidRPr="0030228F">
        <w:rPr>
          <w:color w:val="000000" w:themeColor="text1"/>
          <w:sz w:val="20"/>
          <w:szCs w:val="20"/>
        </w:rPr>
        <w:t>s Republic of Korea</w:t>
      </w:r>
      <w:r w:rsidR="0030228F" w:rsidRPr="0030228F">
        <w:rPr>
          <w:color w:val="000000" w:themeColor="text1"/>
          <w:sz w:val="20"/>
          <w:szCs w:val="20"/>
          <w:lang w:val="en-GB"/>
        </w:rPr>
        <w:t xml:space="preserve">, </w:t>
      </w:r>
      <w:r w:rsidR="00C15AF1" w:rsidRPr="0030228F">
        <w:rPr>
          <w:color w:val="000000" w:themeColor="text1"/>
          <w:sz w:val="20"/>
          <w:szCs w:val="20"/>
          <w:lang w:val="en-GB"/>
        </w:rPr>
        <w:t>Egypt</w:t>
      </w:r>
      <w:r w:rsidR="0030228F" w:rsidRPr="0030228F">
        <w:rPr>
          <w:color w:val="000000" w:themeColor="text1"/>
          <w:sz w:val="20"/>
          <w:szCs w:val="20"/>
          <w:lang w:val="en-GB"/>
        </w:rPr>
        <w:t xml:space="preserve">, </w:t>
      </w:r>
      <w:r w:rsidR="006D191C" w:rsidRPr="006D191C">
        <w:rPr>
          <w:color w:val="000000" w:themeColor="text1"/>
          <w:sz w:val="20"/>
          <w:szCs w:val="20"/>
          <w:lang w:val="en-GB"/>
        </w:rPr>
        <w:t>Ethiopia</w:t>
      </w:r>
      <w:r w:rsidR="006D191C">
        <w:rPr>
          <w:color w:val="000000" w:themeColor="text1"/>
          <w:sz w:val="20"/>
          <w:szCs w:val="20"/>
          <w:lang w:val="en-GB"/>
        </w:rPr>
        <w:t xml:space="preserve">, </w:t>
      </w:r>
      <w:r w:rsidR="00C15AF1" w:rsidRPr="0030228F">
        <w:rPr>
          <w:color w:val="000000" w:themeColor="text1"/>
          <w:sz w:val="20"/>
          <w:szCs w:val="20"/>
          <w:lang w:val="en-GB"/>
        </w:rPr>
        <w:t>Indonesia</w:t>
      </w:r>
      <w:r w:rsidR="0030228F" w:rsidRPr="0030228F">
        <w:rPr>
          <w:color w:val="000000" w:themeColor="text1"/>
          <w:sz w:val="20"/>
          <w:szCs w:val="20"/>
          <w:lang w:val="en-GB"/>
        </w:rPr>
        <w:t xml:space="preserve">, </w:t>
      </w:r>
      <w:r w:rsidR="00C15AF1" w:rsidRPr="0030228F">
        <w:rPr>
          <w:color w:val="000000" w:themeColor="text1"/>
          <w:sz w:val="20"/>
          <w:szCs w:val="20"/>
        </w:rPr>
        <w:t>Iran (Islamic Republic of), the Lao People</w:t>
      </w:r>
      <w:r w:rsidR="00D72627">
        <w:rPr>
          <w:color w:val="000000" w:themeColor="text1"/>
          <w:sz w:val="20"/>
          <w:szCs w:val="20"/>
        </w:rPr>
        <w:t>’</w:t>
      </w:r>
      <w:r w:rsidR="00C15AF1" w:rsidRPr="0030228F">
        <w:rPr>
          <w:color w:val="000000" w:themeColor="text1"/>
          <w:sz w:val="20"/>
          <w:szCs w:val="20"/>
        </w:rPr>
        <w:t>s Democratic Republic</w:t>
      </w:r>
      <w:r w:rsidR="0030228F" w:rsidRPr="0030228F">
        <w:rPr>
          <w:color w:val="000000" w:themeColor="text1"/>
          <w:sz w:val="20"/>
          <w:szCs w:val="20"/>
          <w:lang w:val="en-GB"/>
        </w:rPr>
        <w:t xml:space="preserve">, </w:t>
      </w:r>
      <w:r w:rsidR="00C15AF1" w:rsidRPr="0030228F">
        <w:rPr>
          <w:color w:val="000000" w:themeColor="text1"/>
          <w:sz w:val="20"/>
          <w:szCs w:val="20"/>
          <w:lang w:val="en-GB"/>
        </w:rPr>
        <w:t>Lebanon</w:t>
      </w:r>
      <w:r w:rsidR="0030228F" w:rsidRPr="0030228F">
        <w:rPr>
          <w:color w:val="000000" w:themeColor="text1"/>
          <w:sz w:val="20"/>
          <w:szCs w:val="20"/>
          <w:lang w:val="en-GB"/>
        </w:rPr>
        <w:t xml:space="preserve">, </w:t>
      </w:r>
      <w:r w:rsidR="00C15AF1" w:rsidRPr="0030228F">
        <w:rPr>
          <w:color w:val="000000" w:themeColor="text1"/>
          <w:sz w:val="20"/>
          <w:szCs w:val="20"/>
          <w:lang w:val="en-GB"/>
        </w:rPr>
        <w:t>Malaysia</w:t>
      </w:r>
      <w:r w:rsidR="0030228F" w:rsidRPr="0030228F">
        <w:rPr>
          <w:color w:val="000000" w:themeColor="text1"/>
          <w:sz w:val="20"/>
          <w:szCs w:val="20"/>
          <w:lang w:val="en-GB"/>
        </w:rPr>
        <w:t xml:space="preserve">, </w:t>
      </w:r>
      <w:r w:rsidR="00C15AF1" w:rsidRPr="0030228F">
        <w:rPr>
          <w:color w:val="000000" w:themeColor="text1"/>
          <w:sz w:val="20"/>
          <w:szCs w:val="20"/>
          <w:lang w:val="en-GB"/>
        </w:rPr>
        <w:t>Nigeria</w:t>
      </w:r>
      <w:r w:rsidR="0030228F" w:rsidRPr="0030228F">
        <w:rPr>
          <w:color w:val="000000" w:themeColor="text1"/>
          <w:sz w:val="20"/>
          <w:szCs w:val="20"/>
          <w:lang w:val="en-GB"/>
        </w:rPr>
        <w:t xml:space="preserve">, </w:t>
      </w:r>
      <w:r w:rsidR="006D191C">
        <w:rPr>
          <w:color w:val="000000" w:themeColor="text1"/>
          <w:sz w:val="20"/>
          <w:szCs w:val="20"/>
          <w:lang w:val="en-GB"/>
        </w:rPr>
        <w:t xml:space="preserve">the </w:t>
      </w:r>
      <w:r w:rsidR="00C15AF1" w:rsidRPr="0030228F">
        <w:rPr>
          <w:color w:val="000000" w:themeColor="text1"/>
          <w:sz w:val="20"/>
          <w:szCs w:val="20"/>
          <w:lang w:val="en-GB"/>
        </w:rPr>
        <w:t>Philippines</w:t>
      </w:r>
      <w:r w:rsidR="0030228F" w:rsidRPr="0030228F">
        <w:rPr>
          <w:color w:val="000000" w:themeColor="text1"/>
          <w:sz w:val="20"/>
          <w:szCs w:val="20"/>
          <w:lang w:val="en-GB"/>
        </w:rPr>
        <w:t xml:space="preserve">, </w:t>
      </w:r>
      <w:r w:rsidR="00C15AF1" w:rsidRPr="0030228F">
        <w:rPr>
          <w:color w:val="000000" w:themeColor="text1"/>
          <w:sz w:val="20"/>
          <w:szCs w:val="20"/>
        </w:rPr>
        <w:t>the Russian Federation</w:t>
      </w:r>
      <w:r w:rsidR="0030228F" w:rsidRPr="0030228F">
        <w:rPr>
          <w:color w:val="000000" w:themeColor="text1"/>
          <w:sz w:val="20"/>
          <w:szCs w:val="20"/>
          <w:lang w:val="en-GB"/>
        </w:rPr>
        <w:t xml:space="preserve">, </w:t>
      </w:r>
      <w:r w:rsidR="00C15AF1" w:rsidRPr="0030228F">
        <w:rPr>
          <w:color w:val="000000" w:themeColor="text1"/>
          <w:sz w:val="20"/>
          <w:szCs w:val="20"/>
          <w:lang w:val="en-GB"/>
        </w:rPr>
        <w:t>Saudi Arabia</w:t>
      </w:r>
      <w:r w:rsidR="0030228F" w:rsidRPr="0030228F">
        <w:rPr>
          <w:color w:val="000000" w:themeColor="text1"/>
          <w:sz w:val="20"/>
          <w:szCs w:val="20"/>
          <w:lang w:val="en-GB"/>
        </w:rPr>
        <w:t xml:space="preserve">, </w:t>
      </w:r>
      <w:r w:rsidR="006D191C" w:rsidRPr="006D191C">
        <w:rPr>
          <w:color w:val="000000" w:themeColor="text1"/>
          <w:sz w:val="20"/>
          <w:szCs w:val="20"/>
          <w:lang w:val="en-GB"/>
        </w:rPr>
        <w:t>Sri Lanka</w:t>
      </w:r>
      <w:r w:rsidR="006D191C">
        <w:rPr>
          <w:color w:val="000000" w:themeColor="text1"/>
          <w:sz w:val="20"/>
          <w:szCs w:val="20"/>
          <w:lang w:val="en-GB"/>
        </w:rPr>
        <w:t xml:space="preserve">, </w:t>
      </w:r>
      <w:r w:rsidR="00C15AF1" w:rsidRPr="0030228F">
        <w:rPr>
          <w:color w:val="000000" w:themeColor="text1"/>
          <w:sz w:val="20"/>
          <w:szCs w:val="20"/>
        </w:rPr>
        <w:t>the Syrian Arab Republic</w:t>
      </w:r>
      <w:r w:rsidR="0030228F" w:rsidRPr="0030228F">
        <w:rPr>
          <w:color w:val="000000" w:themeColor="text1"/>
          <w:sz w:val="20"/>
          <w:szCs w:val="20"/>
          <w:lang w:val="en-GB"/>
        </w:rPr>
        <w:t xml:space="preserve">, </w:t>
      </w:r>
      <w:r w:rsidR="00C15AF1" w:rsidRPr="0030228F">
        <w:rPr>
          <w:color w:val="000000" w:themeColor="text1"/>
          <w:sz w:val="20"/>
          <w:szCs w:val="20"/>
          <w:lang w:val="en-GB"/>
        </w:rPr>
        <w:t>Thailand</w:t>
      </w:r>
      <w:r w:rsidR="0030228F" w:rsidRPr="0030228F">
        <w:rPr>
          <w:color w:val="000000" w:themeColor="text1"/>
          <w:sz w:val="20"/>
          <w:szCs w:val="20"/>
          <w:lang w:val="en-GB"/>
        </w:rPr>
        <w:t xml:space="preserve">, </w:t>
      </w:r>
      <w:r w:rsidR="00C15AF1" w:rsidRPr="0030228F">
        <w:rPr>
          <w:color w:val="000000" w:themeColor="text1"/>
          <w:sz w:val="20"/>
          <w:szCs w:val="20"/>
          <w:lang w:val="en-GB"/>
        </w:rPr>
        <w:t>Turkmenistan</w:t>
      </w:r>
      <w:r w:rsidR="0030228F" w:rsidRPr="0030228F">
        <w:rPr>
          <w:color w:val="000000" w:themeColor="text1"/>
          <w:sz w:val="20"/>
          <w:szCs w:val="20"/>
          <w:lang w:val="en-GB"/>
        </w:rPr>
        <w:t xml:space="preserve">, </w:t>
      </w:r>
      <w:r w:rsidR="0030228F" w:rsidRPr="0030228F">
        <w:rPr>
          <w:color w:val="000000" w:themeColor="text1"/>
          <w:sz w:val="20"/>
          <w:szCs w:val="20"/>
        </w:rPr>
        <w:t xml:space="preserve">the United Arab Emirates, </w:t>
      </w:r>
      <w:r w:rsidR="00C15AF1" w:rsidRPr="0030228F">
        <w:rPr>
          <w:color w:val="000000" w:themeColor="text1"/>
          <w:sz w:val="20"/>
          <w:szCs w:val="20"/>
        </w:rPr>
        <w:t>Venezuela (Bolivarian Republic of)</w:t>
      </w:r>
      <w:r w:rsidR="0030228F" w:rsidRPr="0030228F">
        <w:rPr>
          <w:color w:val="000000" w:themeColor="text1"/>
          <w:sz w:val="20"/>
          <w:szCs w:val="20"/>
          <w:lang w:val="en-GB"/>
        </w:rPr>
        <w:t xml:space="preserve"> and </w:t>
      </w:r>
      <w:r w:rsidR="00C15AF1" w:rsidRPr="0030228F">
        <w:rPr>
          <w:color w:val="000000" w:themeColor="text1"/>
          <w:sz w:val="20"/>
          <w:szCs w:val="20"/>
          <w:lang w:val="en-GB"/>
        </w:rPr>
        <w:t>Zimbabwe</w:t>
      </w:r>
      <w:r w:rsidR="0030228F" w:rsidRPr="0030228F">
        <w:rPr>
          <w:color w:val="000000" w:themeColor="text1"/>
          <w:sz w:val="20"/>
          <w:szCs w:val="20"/>
          <w:lang w:val="en-GB"/>
        </w:rPr>
        <w:t>)</w:t>
      </w:r>
      <w:r w:rsidR="00E54C18" w:rsidRPr="00E54C18">
        <w:rPr>
          <w:color w:val="000000" w:themeColor="text1"/>
          <w:sz w:val="20"/>
          <w:szCs w:val="20"/>
          <w:lang w:val="en-GB"/>
        </w:rPr>
        <w:t xml:space="preserve">, Pakistan </w:t>
      </w:r>
      <w:r w:rsidR="007D4822">
        <w:rPr>
          <w:color w:val="000000" w:themeColor="text1"/>
          <w:sz w:val="20"/>
          <w:szCs w:val="20"/>
          <w:lang w:val="en-GB"/>
        </w:rPr>
        <w:t>(</w:t>
      </w:r>
      <w:r w:rsidR="007D4822" w:rsidRPr="007D4822">
        <w:rPr>
          <w:color w:val="000000" w:themeColor="text1"/>
          <w:sz w:val="20"/>
          <w:szCs w:val="20"/>
        </w:rPr>
        <w:t>on behalf of the Organization of Islamic Cooperation)</w:t>
      </w:r>
      <w:r w:rsidR="00E54C18" w:rsidRPr="00E54C18">
        <w:rPr>
          <w:color w:val="000000" w:themeColor="text1"/>
          <w:sz w:val="20"/>
          <w:szCs w:val="20"/>
          <w:lang w:val="en-GB"/>
        </w:rPr>
        <w:t>, Qatar, Romani</w:t>
      </w:r>
      <w:r w:rsidR="00A27489">
        <w:rPr>
          <w:color w:val="000000" w:themeColor="text1"/>
          <w:sz w:val="20"/>
          <w:szCs w:val="20"/>
          <w:lang w:val="en-GB"/>
        </w:rPr>
        <w:t>a</w:t>
      </w:r>
      <w:r w:rsidR="000943B0">
        <w:rPr>
          <w:rStyle w:val="FootnoteReference"/>
          <w:color w:val="000000" w:themeColor="text1"/>
          <w:szCs w:val="20"/>
          <w:lang w:val="en-GB"/>
        </w:rPr>
        <w:footnoteReference w:id="83"/>
      </w:r>
      <w:r w:rsidR="00A27489">
        <w:rPr>
          <w:color w:val="000000" w:themeColor="text1"/>
          <w:sz w:val="20"/>
          <w:szCs w:val="20"/>
          <w:lang w:val="en-GB"/>
        </w:rPr>
        <w:t xml:space="preserve"> </w:t>
      </w:r>
      <w:r w:rsidR="00A27489" w:rsidRPr="00A27489">
        <w:rPr>
          <w:color w:val="000000" w:themeColor="text1"/>
          <w:sz w:val="20"/>
          <w:szCs w:val="20"/>
        </w:rPr>
        <w:t>(on behalf of the European Union)</w:t>
      </w:r>
      <w:r w:rsidR="00E54C18" w:rsidRPr="00E54C18">
        <w:rPr>
          <w:color w:val="000000" w:themeColor="text1"/>
          <w:sz w:val="20"/>
          <w:szCs w:val="20"/>
          <w:lang w:val="en-GB"/>
        </w:rPr>
        <w:t xml:space="preserve">, Rwanda </w:t>
      </w:r>
      <w:r w:rsidR="00862FFC">
        <w:rPr>
          <w:color w:val="000000" w:themeColor="text1"/>
          <w:sz w:val="20"/>
          <w:szCs w:val="20"/>
          <w:lang w:val="en-GB"/>
        </w:rPr>
        <w:t>(</w:t>
      </w:r>
      <w:r w:rsidR="006D191C">
        <w:rPr>
          <w:color w:val="000000" w:themeColor="text1"/>
          <w:sz w:val="20"/>
          <w:szCs w:val="20"/>
          <w:lang w:val="en-GB"/>
        </w:rPr>
        <w:t xml:space="preserve">also </w:t>
      </w:r>
      <w:r w:rsidR="00E54C18" w:rsidRPr="00E54C18">
        <w:rPr>
          <w:color w:val="000000" w:themeColor="text1"/>
          <w:sz w:val="20"/>
          <w:szCs w:val="20"/>
          <w:lang w:val="en-GB"/>
        </w:rPr>
        <w:t xml:space="preserve">on behalf of </w:t>
      </w:r>
      <w:r w:rsidR="004126AB" w:rsidRPr="004126AB">
        <w:rPr>
          <w:color w:val="000000" w:themeColor="text1"/>
          <w:sz w:val="20"/>
          <w:szCs w:val="20"/>
          <w:lang w:val="en-GB"/>
        </w:rPr>
        <w:t>Azerbaijan, Brazil, Canada, Chile, Denmark, Ecuador, Fiji, Luxembourg, Portugal, Sierra Leone, Thailand and Uruguay</w:t>
      </w:r>
      <w:r w:rsidR="00862FFC">
        <w:rPr>
          <w:color w:val="000000" w:themeColor="text1"/>
          <w:sz w:val="20"/>
          <w:szCs w:val="20"/>
          <w:lang w:val="en-GB"/>
        </w:rPr>
        <w:t>)</w:t>
      </w:r>
      <w:r w:rsidR="00E54C18" w:rsidRPr="00E54C18">
        <w:rPr>
          <w:color w:val="000000" w:themeColor="text1"/>
          <w:sz w:val="20"/>
          <w:szCs w:val="20"/>
          <w:lang w:val="en-GB"/>
        </w:rPr>
        <w:t>, Samoa</w:t>
      </w:r>
      <w:r w:rsidR="000943B0">
        <w:rPr>
          <w:rStyle w:val="FootnoteReference"/>
          <w:color w:val="000000" w:themeColor="text1"/>
          <w:szCs w:val="20"/>
          <w:lang w:val="en-GB"/>
        </w:rPr>
        <w:footnoteReference w:id="84"/>
      </w:r>
      <w:r w:rsidR="00E54C18" w:rsidRPr="00E54C18">
        <w:rPr>
          <w:color w:val="000000" w:themeColor="text1"/>
          <w:sz w:val="20"/>
          <w:szCs w:val="20"/>
          <w:lang w:val="en-GB"/>
        </w:rPr>
        <w:t xml:space="preserve"> </w:t>
      </w:r>
      <w:r w:rsidR="007E02F6">
        <w:rPr>
          <w:color w:val="000000" w:themeColor="text1"/>
          <w:sz w:val="20"/>
          <w:szCs w:val="20"/>
          <w:lang w:val="en-GB"/>
        </w:rPr>
        <w:t>(</w:t>
      </w:r>
      <w:r w:rsidR="0082638D">
        <w:rPr>
          <w:color w:val="000000" w:themeColor="text1"/>
          <w:sz w:val="20"/>
          <w:szCs w:val="20"/>
          <w:lang w:val="en-GB"/>
        </w:rPr>
        <w:t xml:space="preserve">also </w:t>
      </w:r>
      <w:r w:rsidR="00E54C18" w:rsidRPr="00E54C18">
        <w:rPr>
          <w:color w:val="000000" w:themeColor="text1"/>
          <w:sz w:val="20"/>
          <w:szCs w:val="20"/>
          <w:lang w:val="en-GB"/>
        </w:rPr>
        <w:t xml:space="preserve">on behalf of </w:t>
      </w:r>
      <w:r w:rsidR="007E02F6" w:rsidRPr="007E02F6">
        <w:rPr>
          <w:color w:val="000000" w:themeColor="text1"/>
          <w:sz w:val="20"/>
          <w:szCs w:val="20"/>
          <w:lang w:val="en-GB"/>
        </w:rPr>
        <w:t>Bangladesh, Leso</w:t>
      </w:r>
      <w:r w:rsidR="0082638D">
        <w:rPr>
          <w:color w:val="000000" w:themeColor="text1"/>
          <w:sz w:val="20"/>
          <w:szCs w:val="20"/>
          <w:lang w:val="en-GB"/>
        </w:rPr>
        <w:t>tho,</w:t>
      </w:r>
      <w:r w:rsidR="00210D09">
        <w:rPr>
          <w:color w:val="000000" w:themeColor="text1"/>
          <w:sz w:val="20"/>
          <w:szCs w:val="20"/>
          <w:lang w:val="en-GB"/>
        </w:rPr>
        <w:t xml:space="preserve"> the</w:t>
      </w:r>
      <w:r w:rsidR="0082638D">
        <w:rPr>
          <w:color w:val="000000" w:themeColor="text1"/>
          <w:sz w:val="20"/>
          <w:szCs w:val="20"/>
          <w:lang w:val="en-GB"/>
        </w:rPr>
        <w:t xml:space="preserve"> Marshall Islands, Myanmar </w:t>
      </w:r>
      <w:r w:rsidR="007E02F6" w:rsidRPr="007E02F6">
        <w:rPr>
          <w:color w:val="000000" w:themeColor="text1"/>
          <w:sz w:val="20"/>
          <w:szCs w:val="20"/>
          <w:lang w:val="en-GB"/>
        </w:rPr>
        <w:t>and Timor Leste</w:t>
      </w:r>
      <w:r w:rsidR="007E02F6">
        <w:rPr>
          <w:color w:val="000000" w:themeColor="text1"/>
          <w:sz w:val="20"/>
          <w:szCs w:val="20"/>
          <w:lang w:val="en-GB"/>
        </w:rPr>
        <w:t>)</w:t>
      </w:r>
      <w:r w:rsidR="00E54C18" w:rsidRPr="00E54C18">
        <w:rPr>
          <w:color w:val="000000" w:themeColor="text1"/>
          <w:sz w:val="20"/>
          <w:szCs w:val="20"/>
          <w:lang w:val="en-GB"/>
        </w:rPr>
        <w:t xml:space="preserve">, Spain, Togo, Trinidad and Tobago </w:t>
      </w:r>
      <w:r w:rsidR="0030228F">
        <w:rPr>
          <w:color w:val="000000" w:themeColor="text1"/>
          <w:sz w:val="20"/>
          <w:szCs w:val="20"/>
          <w:lang w:val="en-GB"/>
        </w:rPr>
        <w:t>(</w:t>
      </w:r>
      <w:r w:rsidR="0030228F" w:rsidRPr="0030228F">
        <w:rPr>
          <w:color w:val="000000" w:themeColor="text1"/>
          <w:sz w:val="20"/>
          <w:szCs w:val="20"/>
          <w:lang w:val="en-GB"/>
        </w:rPr>
        <w:t>on behalf of the Carribean Community</w:t>
      </w:r>
      <w:r w:rsidR="0030228F">
        <w:rPr>
          <w:color w:val="000000" w:themeColor="text1"/>
          <w:sz w:val="20"/>
          <w:szCs w:val="20"/>
          <w:lang w:val="en-GB"/>
        </w:rPr>
        <w:t>)</w:t>
      </w:r>
      <w:r w:rsidR="00E54C18" w:rsidRPr="00E54C18">
        <w:rPr>
          <w:color w:val="000000" w:themeColor="text1"/>
          <w:sz w:val="20"/>
          <w:szCs w:val="20"/>
          <w:lang w:val="en-GB"/>
        </w:rPr>
        <w:t xml:space="preserve">, Tunisia, United Kingdom of Great Britain and Northern Ireland, United Kingdom of Great Britain and Northern Ireland </w:t>
      </w:r>
      <w:r w:rsidR="00A27489">
        <w:rPr>
          <w:color w:val="000000" w:themeColor="text1"/>
          <w:sz w:val="20"/>
          <w:szCs w:val="20"/>
          <w:lang w:val="en-GB"/>
        </w:rPr>
        <w:t>(</w:t>
      </w:r>
      <w:r w:rsidR="0063669E">
        <w:rPr>
          <w:color w:val="000000" w:themeColor="text1"/>
          <w:sz w:val="20"/>
          <w:szCs w:val="20"/>
          <w:lang w:val="en-GB"/>
        </w:rPr>
        <w:t xml:space="preserve">also </w:t>
      </w:r>
      <w:r w:rsidR="00E54C18" w:rsidRPr="00E54C18">
        <w:rPr>
          <w:color w:val="000000" w:themeColor="text1"/>
          <w:sz w:val="20"/>
          <w:szCs w:val="20"/>
          <w:lang w:val="en-GB"/>
        </w:rPr>
        <w:t>on</w:t>
      </w:r>
      <w:r w:rsidR="00A27489">
        <w:rPr>
          <w:color w:val="000000" w:themeColor="text1"/>
          <w:sz w:val="20"/>
          <w:szCs w:val="20"/>
          <w:lang w:val="en-GB"/>
        </w:rPr>
        <w:t xml:space="preserve"> behalf of </w:t>
      </w:r>
      <w:r w:rsidR="0063669E" w:rsidRPr="0063669E">
        <w:rPr>
          <w:color w:val="000000" w:themeColor="text1"/>
          <w:sz w:val="20"/>
          <w:szCs w:val="20"/>
          <w:lang w:val="en-GB"/>
        </w:rPr>
        <w:t>Albania</w:t>
      </w:r>
      <w:r w:rsidR="0063669E">
        <w:rPr>
          <w:color w:val="000000" w:themeColor="text1"/>
          <w:sz w:val="20"/>
          <w:szCs w:val="20"/>
          <w:lang w:val="en-GB"/>
        </w:rPr>
        <w:t xml:space="preserve">, </w:t>
      </w:r>
      <w:r w:rsidR="0063669E" w:rsidRPr="0063669E">
        <w:rPr>
          <w:color w:val="000000" w:themeColor="text1"/>
          <w:sz w:val="20"/>
          <w:szCs w:val="20"/>
          <w:lang w:val="en-GB"/>
        </w:rPr>
        <w:t>Argentina</w:t>
      </w:r>
      <w:r w:rsidR="0063669E">
        <w:rPr>
          <w:color w:val="000000" w:themeColor="text1"/>
          <w:sz w:val="20"/>
          <w:szCs w:val="20"/>
          <w:lang w:val="en-GB"/>
        </w:rPr>
        <w:t xml:space="preserve">, </w:t>
      </w:r>
      <w:r w:rsidR="0063669E" w:rsidRPr="0063669E">
        <w:rPr>
          <w:color w:val="000000" w:themeColor="text1"/>
          <w:sz w:val="20"/>
          <w:szCs w:val="20"/>
          <w:lang w:val="en-GB"/>
        </w:rPr>
        <w:t>Australia</w:t>
      </w:r>
      <w:r w:rsidR="0063669E">
        <w:rPr>
          <w:color w:val="000000" w:themeColor="text1"/>
          <w:sz w:val="20"/>
          <w:szCs w:val="20"/>
          <w:lang w:val="en-GB"/>
        </w:rPr>
        <w:t xml:space="preserve">, </w:t>
      </w:r>
      <w:r w:rsidR="0063669E" w:rsidRPr="0063669E">
        <w:rPr>
          <w:color w:val="000000" w:themeColor="text1"/>
          <w:sz w:val="20"/>
          <w:szCs w:val="20"/>
          <w:lang w:val="en-GB"/>
        </w:rPr>
        <w:t>Austria</w:t>
      </w:r>
      <w:r w:rsidR="0063669E">
        <w:rPr>
          <w:color w:val="000000" w:themeColor="text1"/>
          <w:sz w:val="20"/>
          <w:szCs w:val="20"/>
          <w:lang w:val="en-GB"/>
        </w:rPr>
        <w:t xml:space="preserve">, </w:t>
      </w:r>
      <w:r w:rsidR="0063669E" w:rsidRPr="0063669E">
        <w:rPr>
          <w:color w:val="000000" w:themeColor="text1"/>
          <w:sz w:val="20"/>
          <w:szCs w:val="20"/>
          <w:lang w:val="en-GB"/>
        </w:rPr>
        <w:t>Belgium</w:t>
      </w:r>
      <w:r w:rsidR="0063669E">
        <w:rPr>
          <w:color w:val="000000" w:themeColor="text1"/>
          <w:sz w:val="20"/>
          <w:szCs w:val="20"/>
          <w:lang w:val="en-GB"/>
        </w:rPr>
        <w:t xml:space="preserve">, </w:t>
      </w:r>
      <w:r w:rsidR="0063669E" w:rsidRPr="0063669E">
        <w:rPr>
          <w:color w:val="000000" w:themeColor="text1"/>
          <w:sz w:val="20"/>
          <w:szCs w:val="20"/>
          <w:lang w:val="en-GB"/>
        </w:rPr>
        <w:t>Bulgaria</w:t>
      </w:r>
      <w:r w:rsidR="0063669E">
        <w:rPr>
          <w:color w:val="000000" w:themeColor="text1"/>
          <w:sz w:val="20"/>
          <w:szCs w:val="20"/>
          <w:lang w:val="en-GB"/>
        </w:rPr>
        <w:t xml:space="preserve">, </w:t>
      </w:r>
      <w:r w:rsidR="0063669E" w:rsidRPr="0063669E">
        <w:rPr>
          <w:color w:val="000000" w:themeColor="text1"/>
          <w:sz w:val="20"/>
          <w:szCs w:val="20"/>
          <w:lang w:val="en-GB"/>
        </w:rPr>
        <w:t>Canada</w:t>
      </w:r>
      <w:r w:rsidR="0063669E">
        <w:rPr>
          <w:color w:val="000000" w:themeColor="text1"/>
          <w:sz w:val="20"/>
          <w:szCs w:val="20"/>
          <w:lang w:val="en-GB"/>
        </w:rPr>
        <w:t xml:space="preserve">, </w:t>
      </w:r>
      <w:r w:rsidR="0063669E" w:rsidRPr="0063669E">
        <w:rPr>
          <w:color w:val="000000" w:themeColor="text1"/>
          <w:sz w:val="20"/>
          <w:szCs w:val="20"/>
          <w:lang w:val="en-GB"/>
        </w:rPr>
        <w:t>Croatia</w:t>
      </w:r>
      <w:r w:rsidR="0063669E">
        <w:rPr>
          <w:color w:val="000000" w:themeColor="text1"/>
          <w:sz w:val="20"/>
          <w:szCs w:val="20"/>
          <w:lang w:val="en-GB"/>
        </w:rPr>
        <w:t xml:space="preserve">, </w:t>
      </w:r>
      <w:r w:rsidR="0063669E" w:rsidRPr="0063669E">
        <w:rPr>
          <w:color w:val="000000" w:themeColor="text1"/>
          <w:sz w:val="20"/>
          <w:szCs w:val="20"/>
          <w:lang w:val="en-GB"/>
        </w:rPr>
        <w:t>Cyprus</w:t>
      </w:r>
      <w:r w:rsidR="0063669E">
        <w:rPr>
          <w:color w:val="000000" w:themeColor="text1"/>
          <w:sz w:val="20"/>
          <w:szCs w:val="20"/>
          <w:lang w:val="en-GB"/>
        </w:rPr>
        <w:t xml:space="preserve">, </w:t>
      </w:r>
      <w:r w:rsidR="0063669E" w:rsidRPr="0063669E">
        <w:rPr>
          <w:color w:val="000000" w:themeColor="text1"/>
          <w:sz w:val="20"/>
          <w:szCs w:val="20"/>
          <w:lang w:val="en-GB"/>
        </w:rPr>
        <w:t>Czechia</w:t>
      </w:r>
      <w:r w:rsidR="0063669E">
        <w:rPr>
          <w:color w:val="000000" w:themeColor="text1"/>
          <w:sz w:val="20"/>
          <w:szCs w:val="20"/>
          <w:lang w:val="en-GB"/>
        </w:rPr>
        <w:t xml:space="preserve">, </w:t>
      </w:r>
      <w:r w:rsidR="0063669E" w:rsidRPr="0063669E">
        <w:rPr>
          <w:color w:val="000000" w:themeColor="text1"/>
          <w:sz w:val="20"/>
          <w:szCs w:val="20"/>
          <w:lang w:val="en-GB"/>
        </w:rPr>
        <w:t>Denmark</w:t>
      </w:r>
      <w:r w:rsidR="0063669E">
        <w:rPr>
          <w:color w:val="000000" w:themeColor="text1"/>
          <w:sz w:val="20"/>
          <w:szCs w:val="20"/>
          <w:lang w:val="en-GB"/>
        </w:rPr>
        <w:t xml:space="preserve">, </w:t>
      </w:r>
      <w:r w:rsidR="0063669E" w:rsidRPr="0063669E">
        <w:rPr>
          <w:color w:val="000000" w:themeColor="text1"/>
          <w:sz w:val="20"/>
          <w:szCs w:val="20"/>
          <w:lang w:val="en-GB"/>
        </w:rPr>
        <w:t>Estonia</w:t>
      </w:r>
      <w:r w:rsidR="0063669E">
        <w:rPr>
          <w:color w:val="000000" w:themeColor="text1"/>
          <w:sz w:val="20"/>
          <w:szCs w:val="20"/>
          <w:lang w:val="en-GB"/>
        </w:rPr>
        <w:t xml:space="preserve">, </w:t>
      </w:r>
      <w:r w:rsidR="0063669E" w:rsidRPr="0063669E">
        <w:rPr>
          <w:color w:val="000000" w:themeColor="text1"/>
          <w:sz w:val="20"/>
          <w:szCs w:val="20"/>
          <w:lang w:val="en-GB"/>
        </w:rPr>
        <w:t>Finland</w:t>
      </w:r>
      <w:r w:rsidR="0063669E">
        <w:rPr>
          <w:color w:val="000000" w:themeColor="text1"/>
          <w:sz w:val="20"/>
          <w:szCs w:val="20"/>
          <w:lang w:val="en-GB"/>
        </w:rPr>
        <w:t xml:space="preserve">, </w:t>
      </w:r>
      <w:r w:rsidR="0063669E" w:rsidRPr="0063669E">
        <w:rPr>
          <w:color w:val="000000" w:themeColor="text1"/>
          <w:sz w:val="20"/>
          <w:szCs w:val="20"/>
          <w:lang w:val="en-GB"/>
        </w:rPr>
        <w:t>France</w:t>
      </w:r>
      <w:r w:rsidR="0063669E">
        <w:rPr>
          <w:color w:val="000000" w:themeColor="text1"/>
          <w:sz w:val="20"/>
          <w:szCs w:val="20"/>
          <w:lang w:val="en-GB"/>
        </w:rPr>
        <w:t xml:space="preserve">, </w:t>
      </w:r>
      <w:r w:rsidR="0063669E" w:rsidRPr="0063669E">
        <w:rPr>
          <w:color w:val="000000" w:themeColor="text1"/>
          <w:sz w:val="20"/>
          <w:szCs w:val="20"/>
          <w:lang w:val="en-GB"/>
        </w:rPr>
        <w:t>Germany</w:t>
      </w:r>
      <w:r w:rsidR="0063669E">
        <w:rPr>
          <w:color w:val="000000" w:themeColor="text1"/>
          <w:sz w:val="20"/>
          <w:szCs w:val="20"/>
          <w:lang w:val="en-GB"/>
        </w:rPr>
        <w:t xml:space="preserve">, </w:t>
      </w:r>
      <w:r w:rsidR="0063669E" w:rsidRPr="0063669E">
        <w:rPr>
          <w:color w:val="000000" w:themeColor="text1"/>
          <w:sz w:val="20"/>
          <w:szCs w:val="20"/>
          <w:lang w:val="en-GB"/>
        </w:rPr>
        <w:t>Greece</w:t>
      </w:r>
      <w:r w:rsidR="0063669E">
        <w:rPr>
          <w:color w:val="000000" w:themeColor="text1"/>
          <w:sz w:val="20"/>
          <w:szCs w:val="20"/>
          <w:lang w:val="en-GB"/>
        </w:rPr>
        <w:t xml:space="preserve">, </w:t>
      </w:r>
      <w:r w:rsidR="0063669E" w:rsidRPr="0063669E">
        <w:rPr>
          <w:color w:val="000000" w:themeColor="text1"/>
          <w:sz w:val="20"/>
          <w:szCs w:val="20"/>
          <w:lang w:val="en-GB"/>
        </w:rPr>
        <w:t>Hungary</w:t>
      </w:r>
      <w:r w:rsidR="0063669E">
        <w:rPr>
          <w:color w:val="000000" w:themeColor="text1"/>
          <w:sz w:val="20"/>
          <w:szCs w:val="20"/>
          <w:lang w:val="en-GB"/>
        </w:rPr>
        <w:t xml:space="preserve">, </w:t>
      </w:r>
      <w:r w:rsidR="0063669E" w:rsidRPr="0063669E">
        <w:rPr>
          <w:color w:val="000000" w:themeColor="text1"/>
          <w:sz w:val="20"/>
          <w:szCs w:val="20"/>
          <w:lang w:val="en-GB"/>
        </w:rPr>
        <w:t>Iceland</w:t>
      </w:r>
      <w:r w:rsidR="0063669E">
        <w:rPr>
          <w:color w:val="000000" w:themeColor="text1"/>
          <w:sz w:val="20"/>
          <w:szCs w:val="20"/>
          <w:lang w:val="en-GB"/>
        </w:rPr>
        <w:t xml:space="preserve">, </w:t>
      </w:r>
      <w:r w:rsidR="0063669E" w:rsidRPr="0063669E">
        <w:rPr>
          <w:color w:val="000000" w:themeColor="text1"/>
          <w:sz w:val="20"/>
          <w:szCs w:val="20"/>
          <w:lang w:val="en-GB"/>
        </w:rPr>
        <w:t>Ireland</w:t>
      </w:r>
      <w:r w:rsidR="0063669E">
        <w:rPr>
          <w:color w:val="000000" w:themeColor="text1"/>
          <w:sz w:val="20"/>
          <w:szCs w:val="20"/>
          <w:lang w:val="en-GB"/>
        </w:rPr>
        <w:t xml:space="preserve">, </w:t>
      </w:r>
      <w:r w:rsidR="0063669E" w:rsidRPr="0063669E">
        <w:rPr>
          <w:color w:val="000000" w:themeColor="text1"/>
          <w:sz w:val="20"/>
          <w:szCs w:val="20"/>
          <w:lang w:val="en-GB"/>
        </w:rPr>
        <w:t>Italy</w:t>
      </w:r>
      <w:r w:rsidR="0063669E">
        <w:rPr>
          <w:color w:val="000000" w:themeColor="text1"/>
          <w:sz w:val="20"/>
          <w:szCs w:val="20"/>
          <w:lang w:val="en-GB"/>
        </w:rPr>
        <w:t xml:space="preserve">, </w:t>
      </w:r>
      <w:r w:rsidR="0063669E" w:rsidRPr="0063669E">
        <w:rPr>
          <w:color w:val="000000" w:themeColor="text1"/>
          <w:sz w:val="20"/>
          <w:szCs w:val="20"/>
          <w:lang w:val="en-GB"/>
        </w:rPr>
        <w:t>Latvia</w:t>
      </w:r>
      <w:r w:rsidR="0063669E">
        <w:rPr>
          <w:color w:val="000000" w:themeColor="text1"/>
          <w:sz w:val="20"/>
          <w:szCs w:val="20"/>
          <w:lang w:val="en-GB"/>
        </w:rPr>
        <w:t xml:space="preserve">, </w:t>
      </w:r>
      <w:r w:rsidR="0063669E" w:rsidRPr="0063669E">
        <w:rPr>
          <w:color w:val="000000" w:themeColor="text1"/>
          <w:sz w:val="20"/>
          <w:szCs w:val="20"/>
          <w:lang w:val="en-GB"/>
        </w:rPr>
        <w:t>Liechtenstein</w:t>
      </w:r>
      <w:r w:rsidR="0063669E">
        <w:rPr>
          <w:color w:val="000000" w:themeColor="text1"/>
          <w:sz w:val="20"/>
          <w:szCs w:val="20"/>
          <w:lang w:val="en-GB"/>
        </w:rPr>
        <w:t xml:space="preserve">, </w:t>
      </w:r>
      <w:r w:rsidR="0063669E" w:rsidRPr="0063669E">
        <w:rPr>
          <w:color w:val="000000" w:themeColor="text1"/>
          <w:sz w:val="20"/>
          <w:szCs w:val="20"/>
          <w:lang w:val="en-GB"/>
        </w:rPr>
        <w:t>Lithuania</w:t>
      </w:r>
      <w:r w:rsidR="0063669E">
        <w:rPr>
          <w:color w:val="000000" w:themeColor="text1"/>
          <w:sz w:val="20"/>
          <w:szCs w:val="20"/>
          <w:lang w:val="en-GB"/>
        </w:rPr>
        <w:t xml:space="preserve">, </w:t>
      </w:r>
      <w:r w:rsidR="0063669E" w:rsidRPr="0063669E">
        <w:rPr>
          <w:color w:val="000000" w:themeColor="text1"/>
          <w:sz w:val="20"/>
          <w:szCs w:val="20"/>
          <w:lang w:val="en-GB"/>
        </w:rPr>
        <w:t>Malta</w:t>
      </w:r>
      <w:r w:rsidR="0063669E">
        <w:rPr>
          <w:color w:val="000000" w:themeColor="text1"/>
          <w:sz w:val="20"/>
          <w:szCs w:val="20"/>
          <w:lang w:val="en-GB"/>
        </w:rPr>
        <w:t xml:space="preserve">, </w:t>
      </w:r>
      <w:r w:rsidR="0063669E" w:rsidRPr="0063669E">
        <w:rPr>
          <w:color w:val="000000" w:themeColor="text1"/>
          <w:sz w:val="20"/>
          <w:szCs w:val="20"/>
          <w:lang w:val="en-GB"/>
        </w:rPr>
        <w:t>Montenegro</w:t>
      </w:r>
      <w:r w:rsidR="0063669E">
        <w:rPr>
          <w:color w:val="000000" w:themeColor="text1"/>
          <w:sz w:val="20"/>
          <w:szCs w:val="20"/>
          <w:lang w:val="en-GB"/>
        </w:rPr>
        <w:t xml:space="preserve">, the </w:t>
      </w:r>
      <w:r w:rsidR="0063669E" w:rsidRPr="0063669E">
        <w:rPr>
          <w:color w:val="000000" w:themeColor="text1"/>
          <w:sz w:val="20"/>
          <w:szCs w:val="20"/>
          <w:lang w:val="en-GB"/>
        </w:rPr>
        <w:t>Netherlands</w:t>
      </w:r>
      <w:r w:rsidR="0063669E">
        <w:rPr>
          <w:color w:val="000000" w:themeColor="text1"/>
          <w:sz w:val="20"/>
          <w:szCs w:val="20"/>
          <w:lang w:val="en-GB"/>
        </w:rPr>
        <w:t xml:space="preserve">, </w:t>
      </w:r>
      <w:r w:rsidR="0063669E" w:rsidRPr="0063669E">
        <w:rPr>
          <w:color w:val="000000" w:themeColor="text1"/>
          <w:sz w:val="20"/>
          <w:szCs w:val="20"/>
          <w:lang w:val="en-GB"/>
        </w:rPr>
        <w:t>North Macedonia</w:t>
      </w:r>
      <w:r w:rsidR="0063669E">
        <w:rPr>
          <w:color w:val="000000" w:themeColor="text1"/>
          <w:sz w:val="20"/>
          <w:szCs w:val="20"/>
          <w:lang w:val="en-GB"/>
        </w:rPr>
        <w:t xml:space="preserve">, </w:t>
      </w:r>
      <w:r w:rsidR="0063669E" w:rsidRPr="0063669E">
        <w:rPr>
          <w:color w:val="000000" w:themeColor="text1"/>
          <w:sz w:val="20"/>
          <w:szCs w:val="20"/>
          <w:lang w:val="en-GB"/>
        </w:rPr>
        <w:t>Norway</w:t>
      </w:r>
      <w:r w:rsidR="0063669E">
        <w:rPr>
          <w:color w:val="000000" w:themeColor="text1"/>
          <w:sz w:val="20"/>
          <w:szCs w:val="20"/>
          <w:lang w:val="en-GB"/>
        </w:rPr>
        <w:t xml:space="preserve">, </w:t>
      </w:r>
      <w:r w:rsidR="0063669E" w:rsidRPr="0063669E">
        <w:rPr>
          <w:color w:val="000000" w:themeColor="text1"/>
          <w:sz w:val="20"/>
          <w:szCs w:val="20"/>
          <w:lang w:val="en-GB"/>
        </w:rPr>
        <w:t>Poland</w:t>
      </w:r>
      <w:r w:rsidR="0063669E">
        <w:rPr>
          <w:color w:val="000000" w:themeColor="text1"/>
          <w:sz w:val="20"/>
          <w:szCs w:val="20"/>
          <w:lang w:val="en-GB"/>
        </w:rPr>
        <w:t xml:space="preserve">, </w:t>
      </w:r>
      <w:r w:rsidR="0063669E" w:rsidRPr="0063669E">
        <w:rPr>
          <w:color w:val="000000" w:themeColor="text1"/>
          <w:sz w:val="20"/>
          <w:szCs w:val="20"/>
          <w:lang w:val="en-GB"/>
        </w:rPr>
        <w:t>Portugal</w:t>
      </w:r>
      <w:r w:rsidR="0063669E">
        <w:rPr>
          <w:color w:val="000000" w:themeColor="text1"/>
          <w:sz w:val="20"/>
          <w:szCs w:val="20"/>
          <w:lang w:val="en-GB"/>
        </w:rPr>
        <w:t xml:space="preserve">, </w:t>
      </w:r>
      <w:r w:rsidR="0063669E" w:rsidRPr="0063669E">
        <w:rPr>
          <w:color w:val="000000" w:themeColor="text1"/>
          <w:sz w:val="20"/>
          <w:szCs w:val="20"/>
          <w:lang w:val="en-GB"/>
        </w:rPr>
        <w:t>Romania</w:t>
      </w:r>
      <w:r w:rsidR="0063669E">
        <w:rPr>
          <w:color w:val="000000" w:themeColor="text1"/>
          <w:sz w:val="20"/>
          <w:szCs w:val="20"/>
          <w:lang w:val="en-GB"/>
        </w:rPr>
        <w:t xml:space="preserve">, </w:t>
      </w:r>
      <w:r w:rsidR="0063669E" w:rsidRPr="0063669E">
        <w:rPr>
          <w:color w:val="000000" w:themeColor="text1"/>
          <w:sz w:val="20"/>
          <w:szCs w:val="20"/>
          <w:lang w:val="en-GB"/>
        </w:rPr>
        <w:t>Slovakia</w:t>
      </w:r>
      <w:r w:rsidR="0063669E">
        <w:rPr>
          <w:color w:val="000000" w:themeColor="text1"/>
          <w:sz w:val="20"/>
          <w:szCs w:val="20"/>
          <w:lang w:val="en-GB"/>
        </w:rPr>
        <w:t xml:space="preserve">, </w:t>
      </w:r>
      <w:r w:rsidR="0063669E" w:rsidRPr="0063669E">
        <w:rPr>
          <w:color w:val="000000" w:themeColor="text1"/>
          <w:sz w:val="20"/>
          <w:szCs w:val="20"/>
          <w:lang w:val="en-GB"/>
        </w:rPr>
        <w:t>Slovenia</w:t>
      </w:r>
      <w:r w:rsidR="0063669E">
        <w:rPr>
          <w:color w:val="000000" w:themeColor="text1"/>
          <w:sz w:val="20"/>
          <w:szCs w:val="20"/>
          <w:lang w:val="en-GB"/>
        </w:rPr>
        <w:t xml:space="preserve">, </w:t>
      </w:r>
      <w:r w:rsidR="0063669E" w:rsidRPr="0063669E">
        <w:rPr>
          <w:color w:val="000000" w:themeColor="text1"/>
          <w:sz w:val="20"/>
          <w:szCs w:val="20"/>
          <w:lang w:val="en-GB"/>
        </w:rPr>
        <w:t>Spain</w:t>
      </w:r>
      <w:r w:rsidR="0063669E">
        <w:rPr>
          <w:color w:val="000000" w:themeColor="text1"/>
          <w:sz w:val="20"/>
          <w:szCs w:val="20"/>
          <w:lang w:val="en-GB"/>
        </w:rPr>
        <w:t xml:space="preserve">, </w:t>
      </w:r>
      <w:r w:rsidR="0063669E" w:rsidRPr="0063669E">
        <w:rPr>
          <w:color w:val="000000" w:themeColor="text1"/>
          <w:sz w:val="20"/>
          <w:szCs w:val="20"/>
          <w:lang w:val="en-GB"/>
        </w:rPr>
        <w:t>Sweden</w:t>
      </w:r>
      <w:r w:rsidR="0063669E">
        <w:rPr>
          <w:color w:val="000000" w:themeColor="text1"/>
          <w:sz w:val="20"/>
          <w:szCs w:val="20"/>
          <w:lang w:val="en-GB"/>
        </w:rPr>
        <w:t xml:space="preserve">, </w:t>
      </w:r>
      <w:r w:rsidR="0063669E" w:rsidRPr="0063669E">
        <w:rPr>
          <w:color w:val="000000" w:themeColor="text1"/>
          <w:sz w:val="20"/>
          <w:szCs w:val="20"/>
          <w:lang w:val="en-GB"/>
        </w:rPr>
        <w:t>Switzerland</w:t>
      </w:r>
      <w:r w:rsidR="0063669E">
        <w:rPr>
          <w:color w:val="000000" w:themeColor="text1"/>
          <w:sz w:val="20"/>
          <w:szCs w:val="20"/>
          <w:lang w:val="en-GB"/>
        </w:rPr>
        <w:t xml:space="preserve"> and </w:t>
      </w:r>
      <w:r w:rsidR="0063669E" w:rsidRPr="0063669E">
        <w:rPr>
          <w:color w:val="000000" w:themeColor="text1"/>
          <w:sz w:val="20"/>
          <w:szCs w:val="20"/>
          <w:lang w:val="en-GB"/>
        </w:rPr>
        <w:t>Ukraine</w:t>
      </w:r>
      <w:r w:rsidR="00A27489">
        <w:rPr>
          <w:color w:val="000000" w:themeColor="text1"/>
          <w:sz w:val="20"/>
          <w:szCs w:val="20"/>
          <w:lang w:val="en-GB"/>
        </w:rPr>
        <w:t>)</w:t>
      </w:r>
      <w:r w:rsidR="00E54C18" w:rsidRPr="00E54C18">
        <w:rPr>
          <w:color w:val="000000" w:themeColor="text1"/>
          <w:sz w:val="20"/>
          <w:szCs w:val="20"/>
          <w:lang w:val="en-GB"/>
        </w:rPr>
        <w:t>, Uruguay, Venezuela (Bolivarian Republic of)</w:t>
      </w:r>
      <w:r w:rsidR="000943B0">
        <w:rPr>
          <w:rStyle w:val="FootnoteReference"/>
          <w:color w:val="000000" w:themeColor="text1"/>
          <w:szCs w:val="20"/>
          <w:lang w:val="en-GB"/>
        </w:rPr>
        <w:footnoteReference w:id="85"/>
      </w:r>
      <w:r w:rsidR="00E54C18" w:rsidRPr="00E54C18">
        <w:rPr>
          <w:color w:val="000000" w:themeColor="text1"/>
          <w:sz w:val="20"/>
          <w:szCs w:val="20"/>
          <w:lang w:val="en-GB"/>
        </w:rPr>
        <w:t xml:space="preserve"> </w:t>
      </w:r>
      <w:r w:rsidR="00805ABF" w:rsidRPr="00805ABF">
        <w:rPr>
          <w:color w:val="000000" w:themeColor="text1"/>
          <w:sz w:val="20"/>
          <w:szCs w:val="20"/>
        </w:rPr>
        <w:t xml:space="preserve">(also of behalf of </w:t>
      </w:r>
      <w:r w:rsidR="00805ABF">
        <w:rPr>
          <w:color w:val="000000" w:themeColor="text1"/>
          <w:sz w:val="20"/>
          <w:szCs w:val="20"/>
        </w:rPr>
        <w:t xml:space="preserve">Cuba, </w:t>
      </w:r>
      <w:r w:rsidR="00805ABF" w:rsidRPr="00805ABF">
        <w:rPr>
          <w:color w:val="000000" w:themeColor="text1"/>
          <w:sz w:val="20"/>
          <w:szCs w:val="20"/>
        </w:rPr>
        <w:t>Bo</w:t>
      </w:r>
      <w:r w:rsidR="00805ABF">
        <w:rPr>
          <w:color w:val="000000" w:themeColor="text1"/>
          <w:sz w:val="20"/>
          <w:szCs w:val="20"/>
        </w:rPr>
        <w:t>livia (Plurinational State of) and Nicaruaga)</w:t>
      </w:r>
      <w:r w:rsidRPr="00113DE2">
        <w:rPr>
          <w:color w:val="000000" w:themeColor="text1"/>
          <w:sz w:val="20"/>
          <w:szCs w:val="20"/>
        </w:rPr>
        <w:t>;</w:t>
      </w:r>
    </w:p>
    <w:p w14:paraId="744ED8C5" w14:textId="59A5496B" w:rsidR="000E7B28" w:rsidRPr="00E911F2" w:rsidRDefault="00F11B08" w:rsidP="000E7B28">
      <w:pPr>
        <w:pStyle w:val="SingleTxtG"/>
        <w:ind w:firstLine="567"/>
        <w:rPr>
          <w:color w:val="000000" w:themeColor="text1"/>
          <w:sz w:val="20"/>
          <w:szCs w:val="20"/>
          <w:lang w:val="en-GB"/>
        </w:rPr>
      </w:pPr>
      <w:r w:rsidRPr="00113DE2">
        <w:rPr>
          <w:color w:val="000000" w:themeColor="text1"/>
          <w:sz w:val="20"/>
          <w:szCs w:val="20"/>
        </w:rPr>
        <w:t>(b)</w:t>
      </w:r>
      <w:r w:rsidRPr="00113DE2">
        <w:rPr>
          <w:color w:val="000000" w:themeColor="text1"/>
          <w:sz w:val="20"/>
          <w:szCs w:val="20"/>
        </w:rPr>
        <w:tab/>
        <w:t>Representatives</w:t>
      </w:r>
      <w:r w:rsidR="00FF41A0">
        <w:rPr>
          <w:color w:val="000000" w:themeColor="text1"/>
          <w:sz w:val="20"/>
          <w:szCs w:val="20"/>
        </w:rPr>
        <w:t xml:space="preserve"> </w:t>
      </w:r>
      <w:r w:rsidRPr="00113DE2">
        <w:rPr>
          <w:color w:val="000000" w:themeColor="text1"/>
          <w:sz w:val="20"/>
          <w:szCs w:val="20"/>
        </w:rPr>
        <w:t>of</w:t>
      </w:r>
      <w:r w:rsidR="00FF41A0">
        <w:rPr>
          <w:color w:val="000000" w:themeColor="text1"/>
          <w:sz w:val="20"/>
          <w:szCs w:val="20"/>
        </w:rPr>
        <w:t xml:space="preserve"> </w:t>
      </w:r>
      <w:r w:rsidRPr="00113DE2">
        <w:rPr>
          <w:color w:val="000000" w:themeColor="text1"/>
          <w:sz w:val="20"/>
          <w:szCs w:val="20"/>
        </w:rPr>
        <w:t>observer</w:t>
      </w:r>
      <w:r w:rsidR="00FF41A0">
        <w:rPr>
          <w:color w:val="000000" w:themeColor="text1"/>
          <w:sz w:val="20"/>
          <w:szCs w:val="20"/>
        </w:rPr>
        <w:t xml:space="preserve"> </w:t>
      </w:r>
      <w:r w:rsidRPr="00113DE2">
        <w:rPr>
          <w:color w:val="000000" w:themeColor="text1"/>
          <w:sz w:val="20"/>
          <w:szCs w:val="20"/>
        </w:rPr>
        <w:t>States:</w:t>
      </w:r>
      <w:r w:rsidR="00FF41A0">
        <w:rPr>
          <w:color w:val="000000" w:themeColor="text1"/>
          <w:sz w:val="20"/>
          <w:szCs w:val="20"/>
        </w:rPr>
        <w:t xml:space="preserve"> </w:t>
      </w:r>
      <w:r w:rsidR="00E911F2" w:rsidRPr="00E911F2">
        <w:rPr>
          <w:color w:val="000000" w:themeColor="text1"/>
          <w:sz w:val="20"/>
          <w:szCs w:val="20"/>
          <w:lang w:val="en-GB"/>
        </w:rPr>
        <w:t>Algeria, Azerbaijan, Chad</w:t>
      </w:r>
      <w:r w:rsidR="00564BDD">
        <w:rPr>
          <w:color w:val="000000" w:themeColor="text1"/>
          <w:sz w:val="20"/>
          <w:szCs w:val="20"/>
          <w:lang w:val="en-GB"/>
        </w:rPr>
        <w:t xml:space="preserve">, </w:t>
      </w:r>
      <w:r w:rsidR="00E911F2" w:rsidRPr="00E911F2">
        <w:rPr>
          <w:color w:val="000000" w:themeColor="text1"/>
          <w:sz w:val="20"/>
          <w:szCs w:val="20"/>
          <w:lang w:val="en-GB"/>
        </w:rPr>
        <w:t>Costa Rica, Estonia, Finland, France, Georgia, Germany, Greece, Indonesia, Iran (Islamic Republic of), Jordan, Latvia, Lebanon, Libya, Lithuania, Maldives, Malta, Morocco, Netherlands, Norway, Russian Federation, Sudan, Thailand, Timor-Leste, Venezuela (Bolivarian Republic of)</w:t>
      </w:r>
      <w:r w:rsidR="00597F54" w:rsidRPr="00113DE2">
        <w:rPr>
          <w:color w:val="000000" w:themeColor="text1"/>
          <w:sz w:val="20"/>
          <w:szCs w:val="20"/>
        </w:rPr>
        <w:t>;</w:t>
      </w:r>
    </w:p>
    <w:p w14:paraId="2F5C36D1" w14:textId="62B3D65A" w:rsidR="00597F54" w:rsidRPr="00113DE2" w:rsidRDefault="00597F54" w:rsidP="00597F54">
      <w:pPr>
        <w:pStyle w:val="SingleTxtG"/>
        <w:ind w:firstLine="567"/>
        <w:rPr>
          <w:color w:val="000000" w:themeColor="text1"/>
          <w:sz w:val="20"/>
          <w:szCs w:val="20"/>
          <w:lang w:eastAsia="en-GB"/>
        </w:rPr>
      </w:pPr>
      <w:r w:rsidRPr="00E911F2">
        <w:rPr>
          <w:color w:val="000000" w:themeColor="text1"/>
          <w:sz w:val="20"/>
          <w:szCs w:val="20"/>
          <w:lang w:eastAsia="en-GB"/>
        </w:rPr>
        <w:t>(c)</w:t>
      </w:r>
      <w:r w:rsidRPr="00E911F2">
        <w:rPr>
          <w:color w:val="000000" w:themeColor="text1"/>
          <w:sz w:val="20"/>
          <w:szCs w:val="20"/>
          <w:lang w:eastAsia="en-GB"/>
        </w:rPr>
        <w:tab/>
      </w:r>
      <w:r w:rsidR="006D07E0" w:rsidRPr="00E911F2">
        <w:rPr>
          <w:color w:val="000000" w:themeColor="text1"/>
          <w:sz w:val="20"/>
          <w:szCs w:val="20"/>
        </w:rPr>
        <w:t>Observer</w:t>
      </w:r>
      <w:r w:rsidR="00A73113">
        <w:rPr>
          <w:color w:val="000000" w:themeColor="text1"/>
          <w:sz w:val="20"/>
          <w:szCs w:val="20"/>
        </w:rPr>
        <w:t>s</w:t>
      </w:r>
      <w:r w:rsidR="00FF41A0" w:rsidRPr="00E911F2">
        <w:rPr>
          <w:color w:val="000000" w:themeColor="text1"/>
          <w:sz w:val="20"/>
          <w:szCs w:val="20"/>
        </w:rPr>
        <w:t xml:space="preserve"> </w:t>
      </w:r>
      <w:r w:rsidR="006D07E0" w:rsidRPr="00E911F2">
        <w:rPr>
          <w:color w:val="000000" w:themeColor="text1"/>
          <w:sz w:val="20"/>
          <w:szCs w:val="20"/>
        </w:rPr>
        <w:t>for</w:t>
      </w:r>
      <w:r w:rsidR="00FF41A0" w:rsidRPr="00E911F2">
        <w:rPr>
          <w:color w:val="000000" w:themeColor="text1"/>
          <w:sz w:val="20"/>
          <w:szCs w:val="20"/>
        </w:rPr>
        <w:t xml:space="preserve"> </w:t>
      </w:r>
      <w:r w:rsidR="006D07E0" w:rsidRPr="00E911F2">
        <w:rPr>
          <w:color w:val="000000" w:themeColor="text1"/>
          <w:sz w:val="20"/>
          <w:szCs w:val="20"/>
        </w:rPr>
        <w:t>United</w:t>
      </w:r>
      <w:r w:rsidR="00FF41A0" w:rsidRPr="00E911F2">
        <w:rPr>
          <w:color w:val="000000" w:themeColor="text1"/>
          <w:sz w:val="20"/>
          <w:szCs w:val="20"/>
        </w:rPr>
        <w:t xml:space="preserve"> </w:t>
      </w:r>
      <w:r w:rsidR="006D07E0" w:rsidRPr="00E911F2">
        <w:rPr>
          <w:color w:val="000000" w:themeColor="text1"/>
          <w:sz w:val="20"/>
          <w:szCs w:val="20"/>
        </w:rPr>
        <w:t>Nations</w:t>
      </w:r>
      <w:r w:rsidR="00FF41A0" w:rsidRPr="00E911F2">
        <w:rPr>
          <w:color w:val="000000" w:themeColor="text1"/>
          <w:sz w:val="20"/>
          <w:szCs w:val="20"/>
        </w:rPr>
        <w:t xml:space="preserve"> </w:t>
      </w:r>
      <w:r w:rsidR="006D07E0" w:rsidRPr="00E911F2">
        <w:rPr>
          <w:color w:val="000000" w:themeColor="text1"/>
          <w:sz w:val="20"/>
          <w:szCs w:val="20"/>
        </w:rPr>
        <w:t>entities,</w:t>
      </w:r>
      <w:r w:rsidR="00FF41A0" w:rsidRPr="00E911F2">
        <w:rPr>
          <w:color w:val="000000" w:themeColor="text1"/>
          <w:sz w:val="20"/>
          <w:szCs w:val="20"/>
        </w:rPr>
        <w:t xml:space="preserve"> </w:t>
      </w:r>
      <w:r w:rsidR="006D07E0" w:rsidRPr="00E911F2">
        <w:rPr>
          <w:color w:val="000000" w:themeColor="text1"/>
          <w:sz w:val="20"/>
          <w:szCs w:val="20"/>
        </w:rPr>
        <w:t>specialized</w:t>
      </w:r>
      <w:r w:rsidR="00FF41A0" w:rsidRPr="00E911F2">
        <w:rPr>
          <w:color w:val="000000" w:themeColor="text1"/>
          <w:sz w:val="20"/>
          <w:szCs w:val="20"/>
        </w:rPr>
        <w:t xml:space="preserve"> </w:t>
      </w:r>
      <w:r w:rsidR="006D07E0" w:rsidRPr="00E911F2">
        <w:rPr>
          <w:color w:val="000000" w:themeColor="text1"/>
          <w:sz w:val="20"/>
          <w:szCs w:val="20"/>
        </w:rPr>
        <w:t>agencies</w:t>
      </w:r>
      <w:r w:rsidR="00FF41A0" w:rsidRPr="00E911F2">
        <w:rPr>
          <w:color w:val="000000" w:themeColor="text1"/>
          <w:sz w:val="20"/>
          <w:szCs w:val="20"/>
        </w:rPr>
        <w:t xml:space="preserve"> </w:t>
      </w:r>
      <w:r w:rsidR="006D07E0" w:rsidRPr="00E911F2">
        <w:rPr>
          <w:color w:val="000000" w:themeColor="text1"/>
          <w:sz w:val="20"/>
          <w:szCs w:val="20"/>
        </w:rPr>
        <w:t>and</w:t>
      </w:r>
      <w:r w:rsidR="00FF41A0" w:rsidRPr="00E911F2">
        <w:rPr>
          <w:color w:val="000000" w:themeColor="text1"/>
          <w:sz w:val="20"/>
          <w:szCs w:val="20"/>
        </w:rPr>
        <w:t xml:space="preserve"> </w:t>
      </w:r>
      <w:r w:rsidR="006D07E0" w:rsidRPr="00E911F2">
        <w:rPr>
          <w:color w:val="000000" w:themeColor="text1"/>
          <w:sz w:val="20"/>
          <w:szCs w:val="20"/>
        </w:rPr>
        <w:t>related</w:t>
      </w:r>
      <w:r w:rsidR="00FF41A0" w:rsidRPr="00E911F2">
        <w:rPr>
          <w:color w:val="000000" w:themeColor="text1"/>
          <w:sz w:val="20"/>
          <w:szCs w:val="20"/>
        </w:rPr>
        <w:t xml:space="preserve"> </w:t>
      </w:r>
      <w:r w:rsidR="006D07E0" w:rsidRPr="00E911F2">
        <w:rPr>
          <w:color w:val="000000" w:themeColor="text1"/>
          <w:sz w:val="20"/>
          <w:szCs w:val="20"/>
        </w:rPr>
        <w:t>organizations</w:t>
      </w:r>
      <w:r w:rsidRPr="00E911F2">
        <w:rPr>
          <w:color w:val="000000" w:themeColor="text1"/>
          <w:sz w:val="20"/>
          <w:szCs w:val="20"/>
        </w:rPr>
        <w:t>:</w:t>
      </w:r>
      <w:r w:rsidR="00FF41A0" w:rsidRPr="00E911F2">
        <w:rPr>
          <w:color w:val="000000" w:themeColor="text1"/>
          <w:sz w:val="20"/>
          <w:szCs w:val="20"/>
        </w:rPr>
        <w:t xml:space="preserve"> </w:t>
      </w:r>
      <w:r w:rsidRPr="00E911F2">
        <w:rPr>
          <w:color w:val="000000" w:themeColor="text1"/>
          <w:sz w:val="20"/>
          <w:szCs w:val="20"/>
        </w:rPr>
        <w:t>United</w:t>
      </w:r>
      <w:r w:rsidR="00FF41A0" w:rsidRPr="00E911F2">
        <w:rPr>
          <w:color w:val="000000" w:themeColor="text1"/>
          <w:sz w:val="20"/>
          <w:szCs w:val="20"/>
        </w:rPr>
        <w:t xml:space="preserve"> </w:t>
      </w:r>
      <w:r w:rsidRPr="00E911F2">
        <w:rPr>
          <w:color w:val="000000" w:themeColor="text1"/>
          <w:sz w:val="20"/>
          <w:szCs w:val="20"/>
        </w:rPr>
        <w:t>Nations</w:t>
      </w:r>
      <w:r w:rsidR="00FF41A0" w:rsidRPr="00E911F2">
        <w:rPr>
          <w:color w:val="000000" w:themeColor="text1"/>
          <w:sz w:val="20"/>
          <w:szCs w:val="20"/>
        </w:rPr>
        <w:t xml:space="preserve"> </w:t>
      </w:r>
      <w:r w:rsidRPr="00E911F2">
        <w:rPr>
          <w:color w:val="000000" w:themeColor="text1"/>
          <w:sz w:val="20"/>
          <w:szCs w:val="20"/>
        </w:rPr>
        <w:t>Children</w:t>
      </w:r>
      <w:r w:rsidR="00D72627">
        <w:rPr>
          <w:color w:val="000000" w:themeColor="text1"/>
          <w:sz w:val="20"/>
          <w:szCs w:val="20"/>
        </w:rPr>
        <w:t>’</w:t>
      </w:r>
      <w:r w:rsidRPr="00E911F2">
        <w:rPr>
          <w:color w:val="000000" w:themeColor="text1"/>
          <w:sz w:val="20"/>
          <w:szCs w:val="20"/>
        </w:rPr>
        <w:t>s</w:t>
      </w:r>
      <w:r w:rsidR="00FF41A0" w:rsidRPr="00E911F2">
        <w:rPr>
          <w:color w:val="000000" w:themeColor="text1"/>
          <w:sz w:val="20"/>
          <w:szCs w:val="20"/>
        </w:rPr>
        <w:t xml:space="preserve"> </w:t>
      </w:r>
      <w:r w:rsidRPr="00E911F2">
        <w:rPr>
          <w:color w:val="000000" w:themeColor="text1"/>
          <w:sz w:val="20"/>
          <w:szCs w:val="20"/>
        </w:rPr>
        <w:t>Fund</w:t>
      </w:r>
      <w:r w:rsidR="00FF41A0" w:rsidRPr="00E911F2">
        <w:rPr>
          <w:color w:val="000000" w:themeColor="text1"/>
          <w:sz w:val="20"/>
          <w:szCs w:val="20"/>
        </w:rPr>
        <w:t xml:space="preserve"> </w:t>
      </w:r>
      <w:r w:rsidRPr="00E911F2">
        <w:rPr>
          <w:color w:val="000000" w:themeColor="text1"/>
          <w:sz w:val="20"/>
          <w:szCs w:val="20"/>
        </w:rPr>
        <w:t>(UNICEF)</w:t>
      </w:r>
      <w:r w:rsidR="00E911F2" w:rsidRPr="00E911F2">
        <w:rPr>
          <w:color w:val="000000" w:themeColor="text1"/>
          <w:sz w:val="20"/>
          <w:szCs w:val="20"/>
        </w:rPr>
        <w:t>, United Nations Entity for Gender Equality and the Empowerment of Women (UN Women)</w:t>
      </w:r>
      <w:r w:rsidRPr="00E911F2">
        <w:rPr>
          <w:color w:val="000000" w:themeColor="text1"/>
          <w:sz w:val="20"/>
          <w:szCs w:val="20"/>
        </w:rPr>
        <w:t>;</w:t>
      </w:r>
    </w:p>
    <w:p w14:paraId="71390FC0" w14:textId="54CC8094" w:rsidR="000E7B28" w:rsidRPr="00E911F2" w:rsidRDefault="00F11B08" w:rsidP="000E7B28">
      <w:pPr>
        <w:pStyle w:val="SingleTxtG"/>
        <w:ind w:firstLine="567"/>
        <w:rPr>
          <w:color w:val="000000" w:themeColor="text1"/>
          <w:sz w:val="20"/>
          <w:szCs w:val="20"/>
        </w:rPr>
      </w:pPr>
      <w:r w:rsidRPr="00E911F2">
        <w:rPr>
          <w:color w:val="000000" w:themeColor="text1"/>
          <w:sz w:val="20"/>
          <w:szCs w:val="20"/>
        </w:rPr>
        <w:t>(d)</w:t>
      </w:r>
      <w:r w:rsidRPr="00E911F2">
        <w:rPr>
          <w:color w:val="000000" w:themeColor="text1"/>
          <w:sz w:val="20"/>
          <w:szCs w:val="20"/>
        </w:rPr>
        <w:tab/>
      </w:r>
      <w:r w:rsidR="00E911F2" w:rsidRPr="00E911F2">
        <w:rPr>
          <w:color w:val="000000" w:themeColor="text1"/>
          <w:sz w:val="20"/>
          <w:szCs w:val="20"/>
        </w:rPr>
        <w:t xml:space="preserve">Observer for an intergovernmental organization: Cooperation Council for the Arab States of the Gulf; </w:t>
      </w:r>
    </w:p>
    <w:p w14:paraId="18612AAD" w14:textId="59C24C65" w:rsidR="00CB7DA9" w:rsidRPr="00E911F2" w:rsidRDefault="00F4790F" w:rsidP="000E7B28">
      <w:pPr>
        <w:pStyle w:val="SingleTxtG"/>
        <w:ind w:firstLine="567"/>
        <w:rPr>
          <w:color w:val="000000" w:themeColor="text1"/>
          <w:sz w:val="20"/>
          <w:szCs w:val="20"/>
          <w:lang w:val="en-GB"/>
        </w:rPr>
      </w:pPr>
      <w:r w:rsidRPr="00113DE2">
        <w:rPr>
          <w:color w:val="000000" w:themeColor="text1"/>
          <w:sz w:val="20"/>
          <w:szCs w:val="20"/>
        </w:rPr>
        <w:t>(e)</w:t>
      </w:r>
      <w:r w:rsidRPr="00113DE2">
        <w:rPr>
          <w:color w:val="000000" w:themeColor="text1"/>
          <w:sz w:val="20"/>
          <w:szCs w:val="20"/>
        </w:rPr>
        <w:tab/>
        <w:t>Observers</w:t>
      </w:r>
      <w:r w:rsidR="00FF41A0">
        <w:rPr>
          <w:color w:val="000000" w:themeColor="text1"/>
          <w:sz w:val="20"/>
          <w:szCs w:val="20"/>
        </w:rPr>
        <w:t xml:space="preserve"> </w:t>
      </w:r>
      <w:r w:rsidRPr="00113DE2">
        <w:rPr>
          <w:color w:val="000000" w:themeColor="text1"/>
          <w:sz w:val="20"/>
          <w:szCs w:val="20"/>
        </w:rPr>
        <w:t>for</w:t>
      </w:r>
      <w:r w:rsidR="00FF41A0">
        <w:rPr>
          <w:color w:val="000000" w:themeColor="text1"/>
          <w:sz w:val="20"/>
          <w:szCs w:val="20"/>
        </w:rPr>
        <w:t xml:space="preserve"> </w:t>
      </w:r>
      <w:r w:rsidRPr="00113DE2">
        <w:rPr>
          <w:color w:val="000000" w:themeColor="text1"/>
          <w:sz w:val="20"/>
          <w:szCs w:val="20"/>
        </w:rPr>
        <w:t>non-governmental</w:t>
      </w:r>
      <w:r w:rsidR="00FF41A0">
        <w:rPr>
          <w:color w:val="000000" w:themeColor="text1"/>
          <w:sz w:val="20"/>
          <w:szCs w:val="20"/>
        </w:rPr>
        <w:t xml:space="preserve"> </w:t>
      </w:r>
      <w:r w:rsidRPr="00113DE2">
        <w:rPr>
          <w:color w:val="000000" w:themeColor="text1"/>
          <w:sz w:val="20"/>
          <w:szCs w:val="20"/>
        </w:rPr>
        <w:t>organizations:</w:t>
      </w:r>
      <w:r w:rsidR="00E911F2" w:rsidRPr="00E911F2">
        <w:rPr>
          <w:rFonts w:eastAsiaTheme="minorHAnsi"/>
          <w:sz w:val="20"/>
          <w:szCs w:val="20"/>
          <w:lang w:val="en-GB"/>
        </w:rPr>
        <w:t xml:space="preserve"> </w:t>
      </w:r>
      <w:r w:rsidR="00E911F2" w:rsidRPr="00E911F2">
        <w:rPr>
          <w:color w:val="000000" w:themeColor="text1"/>
          <w:sz w:val="20"/>
          <w:szCs w:val="20"/>
          <w:lang w:val="en-GB"/>
        </w:rPr>
        <w:t xml:space="preserve">ABC Tamil Oli; Action of Human Movement (AHM); African Green Foundation International; Amnesty International; </w:t>
      </w:r>
      <w:r w:rsidR="009E6FB4" w:rsidRPr="00E911F2">
        <w:rPr>
          <w:color w:val="000000" w:themeColor="text1"/>
          <w:sz w:val="20"/>
          <w:szCs w:val="20"/>
          <w:lang w:val="en-GB"/>
        </w:rPr>
        <w:t>Association Cul</w:t>
      </w:r>
      <w:r w:rsidR="009E6FB4">
        <w:rPr>
          <w:color w:val="000000" w:themeColor="text1"/>
          <w:sz w:val="20"/>
          <w:szCs w:val="20"/>
          <w:lang w:val="en-GB"/>
        </w:rPr>
        <w:t>turelle Des Tamouls e</w:t>
      </w:r>
      <w:r w:rsidR="009E6FB4" w:rsidRPr="00E911F2">
        <w:rPr>
          <w:color w:val="000000" w:themeColor="text1"/>
          <w:sz w:val="20"/>
          <w:szCs w:val="20"/>
          <w:lang w:val="en-GB"/>
        </w:rPr>
        <w:t>n France</w:t>
      </w:r>
      <w:r w:rsidR="00E911F2" w:rsidRPr="00E911F2">
        <w:rPr>
          <w:color w:val="000000" w:themeColor="text1"/>
          <w:sz w:val="20"/>
          <w:szCs w:val="20"/>
          <w:lang w:val="en-GB"/>
        </w:rPr>
        <w:t>; Association des Jeunes pour l</w:t>
      </w:r>
      <w:r w:rsidR="00D72627">
        <w:rPr>
          <w:color w:val="000000" w:themeColor="text1"/>
          <w:sz w:val="20"/>
          <w:szCs w:val="20"/>
          <w:lang w:val="en-GB"/>
        </w:rPr>
        <w:t>’</w:t>
      </w:r>
      <w:r w:rsidR="00E911F2" w:rsidRPr="00E911F2">
        <w:rPr>
          <w:color w:val="000000" w:themeColor="text1"/>
          <w:sz w:val="20"/>
          <w:szCs w:val="20"/>
          <w:lang w:val="en-GB"/>
        </w:rPr>
        <w:t>Agriculture du Mali; Association of World Citizens; Association Solidarité Internationale pour l</w:t>
      </w:r>
      <w:r w:rsidR="00D72627">
        <w:rPr>
          <w:color w:val="000000" w:themeColor="text1"/>
          <w:sz w:val="20"/>
          <w:szCs w:val="20"/>
          <w:lang w:val="en-GB"/>
        </w:rPr>
        <w:t>’</w:t>
      </w:r>
      <w:r w:rsidR="00E911F2" w:rsidRPr="00E911F2">
        <w:rPr>
          <w:color w:val="000000" w:themeColor="text1"/>
          <w:sz w:val="20"/>
          <w:szCs w:val="20"/>
          <w:lang w:val="en-GB"/>
        </w:rPr>
        <w:t xml:space="preserve">Afrique (SIA); Association Thendral; East and Horn of Africa Human Rights Defenders; Ecumenical </w:t>
      </w:r>
      <w:r w:rsidR="00E911F2" w:rsidRPr="00E911F2">
        <w:rPr>
          <w:color w:val="000000" w:themeColor="text1"/>
          <w:sz w:val="20"/>
          <w:szCs w:val="20"/>
          <w:lang w:val="en-GB"/>
        </w:rPr>
        <w:lastRenderedPageBreak/>
        <w:t>Alliance for Human Rights and Development (EAHRD); Giving Life Nature Volunteer; Global Welfare Association; Godwin Osung International Foundation, Inc. (The African Project); Hamraah Foundation; Health and Environment Program (HEP); Human Rights Watch; Ingenieurs du Monde; Institut International pour les Droits et le Développement; International Buddhist Relief Organisation; International Human Rights Association of American Minorities (IHRAAM); Jeunesse Etudiante Tamoule; L</w:t>
      </w:r>
      <w:r w:rsidR="00D72627">
        <w:rPr>
          <w:color w:val="000000" w:themeColor="text1"/>
          <w:sz w:val="20"/>
          <w:szCs w:val="20"/>
          <w:lang w:val="en-GB"/>
        </w:rPr>
        <w:t>’</w:t>
      </w:r>
      <w:r w:rsidR="00E911F2" w:rsidRPr="00E911F2">
        <w:rPr>
          <w:color w:val="000000" w:themeColor="text1"/>
          <w:sz w:val="20"/>
          <w:szCs w:val="20"/>
          <w:lang w:val="en-GB"/>
        </w:rPr>
        <w:t>observatoire mauritanien des droits de l</w:t>
      </w:r>
      <w:r w:rsidR="00D72627">
        <w:rPr>
          <w:color w:val="000000" w:themeColor="text1"/>
          <w:sz w:val="20"/>
          <w:szCs w:val="20"/>
          <w:lang w:val="en-GB"/>
        </w:rPr>
        <w:t>’</w:t>
      </w:r>
      <w:r w:rsidR="00E911F2" w:rsidRPr="00E911F2">
        <w:rPr>
          <w:color w:val="000000" w:themeColor="text1"/>
          <w:sz w:val="20"/>
          <w:szCs w:val="20"/>
          <w:lang w:val="en-GB"/>
        </w:rPr>
        <w:t>homme et de la démocratie; Organization for Defending Victims of Violence; Refugee Council of Australia; Rencontre Africaine pour la defense des droits de l</w:t>
      </w:r>
      <w:r w:rsidR="00D72627">
        <w:rPr>
          <w:color w:val="000000" w:themeColor="text1"/>
          <w:sz w:val="20"/>
          <w:szCs w:val="20"/>
          <w:lang w:val="en-GB"/>
        </w:rPr>
        <w:t>’</w:t>
      </w:r>
      <w:r w:rsidR="00E911F2" w:rsidRPr="00E911F2">
        <w:rPr>
          <w:color w:val="000000" w:themeColor="text1"/>
          <w:sz w:val="20"/>
          <w:szCs w:val="20"/>
          <w:lang w:val="en-GB"/>
        </w:rPr>
        <w:t>homme; Réseau International des Droits Humains (RIDH); Sikh Human Rights Group; Society for Development and Community Empowerment; Tamil Uzhagam; United Nations Watch; United Towns Agency for North-South Cooperation; Women</w:t>
      </w:r>
      <w:r w:rsidR="00D72627">
        <w:rPr>
          <w:color w:val="000000" w:themeColor="text1"/>
          <w:sz w:val="20"/>
          <w:szCs w:val="20"/>
          <w:lang w:val="en-GB"/>
        </w:rPr>
        <w:t>’</w:t>
      </w:r>
      <w:r w:rsidR="00E911F2" w:rsidRPr="00E911F2">
        <w:rPr>
          <w:color w:val="000000" w:themeColor="text1"/>
          <w:sz w:val="20"/>
          <w:szCs w:val="20"/>
          <w:lang w:val="en-GB"/>
        </w:rPr>
        <w:t>s International League for Peace and Freedom</w:t>
      </w:r>
      <w:r w:rsidR="00C16037" w:rsidRPr="00113DE2">
        <w:rPr>
          <w:color w:val="000000" w:themeColor="text1"/>
          <w:sz w:val="20"/>
          <w:szCs w:val="20"/>
        </w:rPr>
        <w:t>.</w:t>
      </w:r>
    </w:p>
    <w:p w14:paraId="487C0F63" w14:textId="7BDD0FC7" w:rsidR="000E7B28" w:rsidRPr="00113DE2" w:rsidRDefault="00CF15B1" w:rsidP="000E0AEC">
      <w:pPr>
        <w:pStyle w:val="SingleTxtG"/>
        <w:rPr>
          <w:color w:val="000000" w:themeColor="text1"/>
          <w:sz w:val="20"/>
          <w:szCs w:val="20"/>
        </w:rPr>
      </w:pPr>
      <w:r>
        <w:rPr>
          <w:color w:val="000000" w:themeColor="text1"/>
          <w:sz w:val="20"/>
          <w:szCs w:val="20"/>
        </w:rPr>
        <w:t>993</w:t>
      </w:r>
      <w:r w:rsidR="000E7B28" w:rsidRPr="0030228F">
        <w:rPr>
          <w:color w:val="000000" w:themeColor="text1"/>
          <w:sz w:val="20"/>
          <w:szCs w:val="20"/>
        </w:rPr>
        <w:t>.</w:t>
      </w:r>
      <w:r w:rsidR="000E7B28" w:rsidRPr="0030228F">
        <w:rPr>
          <w:color w:val="000000" w:themeColor="text1"/>
          <w:sz w:val="20"/>
          <w:szCs w:val="20"/>
        </w:rPr>
        <w:tab/>
        <w:t>At</w:t>
      </w:r>
      <w:r w:rsidR="00FF41A0" w:rsidRPr="0030228F">
        <w:rPr>
          <w:color w:val="000000" w:themeColor="text1"/>
          <w:sz w:val="20"/>
          <w:szCs w:val="20"/>
        </w:rPr>
        <w:t xml:space="preserve"> </w:t>
      </w:r>
      <w:r w:rsidR="000E7B28" w:rsidRPr="0030228F">
        <w:rPr>
          <w:color w:val="000000" w:themeColor="text1"/>
          <w:sz w:val="20"/>
          <w:szCs w:val="20"/>
        </w:rPr>
        <w:t>the</w:t>
      </w:r>
      <w:r w:rsidR="00FF41A0" w:rsidRPr="0030228F">
        <w:rPr>
          <w:color w:val="000000" w:themeColor="text1"/>
          <w:sz w:val="20"/>
          <w:szCs w:val="20"/>
        </w:rPr>
        <w:t xml:space="preserve"> </w:t>
      </w:r>
      <w:r w:rsidR="000E7B28" w:rsidRPr="0030228F">
        <w:rPr>
          <w:color w:val="000000" w:themeColor="text1"/>
          <w:sz w:val="20"/>
          <w:szCs w:val="20"/>
        </w:rPr>
        <w:t>5</w:t>
      </w:r>
      <w:r w:rsidR="001971FC" w:rsidRPr="0030228F">
        <w:rPr>
          <w:color w:val="000000" w:themeColor="text1"/>
          <w:sz w:val="20"/>
          <w:szCs w:val="20"/>
        </w:rPr>
        <w:t>1st</w:t>
      </w:r>
      <w:r w:rsidR="00FF41A0" w:rsidRPr="0030228F">
        <w:rPr>
          <w:color w:val="000000" w:themeColor="text1"/>
          <w:sz w:val="20"/>
          <w:szCs w:val="20"/>
        </w:rPr>
        <w:t xml:space="preserve"> </w:t>
      </w:r>
      <w:r w:rsidR="000E7B28" w:rsidRPr="0030228F">
        <w:rPr>
          <w:color w:val="000000" w:themeColor="text1"/>
          <w:sz w:val="20"/>
          <w:szCs w:val="20"/>
        </w:rPr>
        <w:t>meeting,</w:t>
      </w:r>
      <w:r w:rsidR="00FF41A0" w:rsidRPr="0030228F">
        <w:rPr>
          <w:color w:val="000000" w:themeColor="text1"/>
          <w:sz w:val="20"/>
          <w:szCs w:val="20"/>
        </w:rPr>
        <w:t xml:space="preserve"> </w:t>
      </w:r>
      <w:r w:rsidR="000E7B28" w:rsidRPr="0030228F">
        <w:rPr>
          <w:color w:val="000000" w:themeColor="text1"/>
          <w:sz w:val="20"/>
          <w:szCs w:val="20"/>
        </w:rPr>
        <w:t>on</w:t>
      </w:r>
      <w:r w:rsidR="00FF41A0" w:rsidRPr="0030228F">
        <w:rPr>
          <w:color w:val="000000" w:themeColor="text1"/>
          <w:sz w:val="20"/>
          <w:szCs w:val="20"/>
        </w:rPr>
        <w:t xml:space="preserve"> </w:t>
      </w:r>
      <w:r w:rsidR="000E7B28" w:rsidRPr="0030228F">
        <w:rPr>
          <w:color w:val="000000" w:themeColor="text1"/>
          <w:sz w:val="20"/>
          <w:szCs w:val="20"/>
        </w:rPr>
        <w:t>2</w:t>
      </w:r>
      <w:r w:rsidR="0030228F" w:rsidRPr="0030228F">
        <w:rPr>
          <w:color w:val="000000" w:themeColor="text1"/>
          <w:sz w:val="20"/>
          <w:szCs w:val="20"/>
        </w:rPr>
        <w:t>1</w:t>
      </w:r>
      <w:r w:rsidR="00FF41A0" w:rsidRPr="0030228F">
        <w:rPr>
          <w:color w:val="000000" w:themeColor="text1"/>
          <w:sz w:val="20"/>
          <w:szCs w:val="20"/>
        </w:rPr>
        <w:t xml:space="preserve"> </w:t>
      </w:r>
      <w:r w:rsidR="000E7B28" w:rsidRPr="0030228F">
        <w:rPr>
          <w:color w:val="000000" w:themeColor="text1"/>
          <w:sz w:val="20"/>
          <w:szCs w:val="20"/>
        </w:rPr>
        <w:t>March</w:t>
      </w:r>
      <w:r w:rsidR="00FF41A0" w:rsidRPr="0030228F">
        <w:rPr>
          <w:color w:val="000000" w:themeColor="text1"/>
          <w:sz w:val="20"/>
          <w:szCs w:val="20"/>
        </w:rPr>
        <w:t xml:space="preserve"> </w:t>
      </w:r>
      <w:r w:rsidR="00141AFC" w:rsidRPr="0030228F">
        <w:rPr>
          <w:color w:val="000000" w:themeColor="text1"/>
          <w:sz w:val="20"/>
          <w:szCs w:val="20"/>
        </w:rPr>
        <w:t>2019</w:t>
      </w:r>
      <w:r w:rsidR="000E7B28" w:rsidRPr="0030228F">
        <w:rPr>
          <w:color w:val="000000" w:themeColor="text1"/>
          <w:sz w:val="20"/>
          <w:szCs w:val="20"/>
        </w:rPr>
        <w:t>,</w:t>
      </w:r>
      <w:r w:rsidR="00A73113">
        <w:rPr>
          <w:color w:val="000000" w:themeColor="text1"/>
          <w:sz w:val="20"/>
          <w:szCs w:val="20"/>
        </w:rPr>
        <w:t xml:space="preserve"> a</w:t>
      </w:r>
      <w:r w:rsidR="00FF41A0" w:rsidRPr="0030228F">
        <w:rPr>
          <w:color w:val="000000" w:themeColor="text1"/>
          <w:sz w:val="20"/>
          <w:szCs w:val="20"/>
        </w:rPr>
        <w:t xml:space="preserve"> </w:t>
      </w:r>
      <w:r w:rsidR="000E7B28" w:rsidRPr="0030228F">
        <w:rPr>
          <w:color w:val="000000" w:themeColor="text1"/>
          <w:sz w:val="20"/>
          <w:szCs w:val="20"/>
        </w:rPr>
        <w:t>statement</w:t>
      </w:r>
      <w:r w:rsidR="00FF41A0" w:rsidRPr="0030228F">
        <w:rPr>
          <w:color w:val="000000" w:themeColor="text1"/>
          <w:sz w:val="20"/>
          <w:szCs w:val="20"/>
        </w:rPr>
        <w:t xml:space="preserve"> </w:t>
      </w:r>
      <w:r w:rsidR="000E7B28" w:rsidRPr="0030228F">
        <w:rPr>
          <w:color w:val="000000" w:themeColor="text1"/>
          <w:sz w:val="20"/>
          <w:szCs w:val="20"/>
        </w:rPr>
        <w:t>in</w:t>
      </w:r>
      <w:r w:rsidR="00FF41A0" w:rsidRPr="0030228F">
        <w:rPr>
          <w:color w:val="000000" w:themeColor="text1"/>
          <w:sz w:val="20"/>
          <w:szCs w:val="20"/>
        </w:rPr>
        <w:t xml:space="preserve"> </w:t>
      </w:r>
      <w:r w:rsidR="000E7B28" w:rsidRPr="0030228F">
        <w:rPr>
          <w:color w:val="000000" w:themeColor="text1"/>
          <w:sz w:val="20"/>
          <w:szCs w:val="20"/>
        </w:rPr>
        <w:t>exercise</w:t>
      </w:r>
      <w:r w:rsidR="00FF41A0" w:rsidRPr="0030228F">
        <w:rPr>
          <w:color w:val="000000" w:themeColor="text1"/>
          <w:sz w:val="20"/>
          <w:szCs w:val="20"/>
        </w:rPr>
        <w:t xml:space="preserve"> </w:t>
      </w:r>
      <w:r w:rsidR="000E7B28" w:rsidRPr="0030228F">
        <w:rPr>
          <w:color w:val="000000" w:themeColor="text1"/>
          <w:sz w:val="20"/>
          <w:szCs w:val="20"/>
        </w:rPr>
        <w:t>of</w:t>
      </w:r>
      <w:r w:rsidR="00FF41A0" w:rsidRPr="0030228F">
        <w:rPr>
          <w:color w:val="000000" w:themeColor="text1"/>
          <w:sz w:val="20"/>
          <w:szCs w:val="20"/>
        </w:rPr>
        <w:t xml:space="preserve"> </w:t>
      </w:r>
      <w:r w:rsidR="000E7B28" w:rsidRPr="0030228F">
        <w:rPr>
          <w:color w:val="000000" w:themeColor="text1"/>
          <w:sz w:val="20"/>
          <w:szCs w:val="20"/>
        </w:rPr>
        <w:t>the</w:t>
      </w:r>
      <w:r w:rsidR="00FF41A0" w:rsidRPr="0030228F">
        <w:rPr>
          <w:color w:val="000000" w:themeColor="text1"/>
          <w:sz w:val="20"/>
          <w:szCs w:val="20"/>
        </w:rPr>
        <w:t xml:space="preserve"> </w:t>
      </w:r>
      <w:r w:rsidR="000E7B28" w:rsidRPr="0030228F">
        <w:rPr>
          <w:color w:val="000000" w:themeColor="text1"/>
          <w:sz w:val="20"/>
          <w:szCs w:val="20"/>
        </w:rPr>
        <w:t>right</w:t>
      </w:r>
      <w:r w:rsidR="00FF41A0" w:rsidRPr="0030228F">
        <w:rPr>
          <w:color w:val="000000" w:themeColor="text1"/>
          <w:sz w:val="20"/>
          <w:szCs w:val="20"/>
        </w:rPr>
        <w:t xml:space="preserve"> </w:t>
      </w:r>
      <w:r w:rsidR="000E7B28" w:rsidRPr="0030228F">
        <w:rPr>
          <w:color w:val="000000" w:themeColor="text1"/>
          <w:sz w:val="20"/>
          <w:szCs w:val="20"/>
        </w:rPr>
        <w:t>of</w:t>
      </w:r>
      <w:r w:rsidR="00FF41A0" w:rsidRPr="0030228F">
        <w:rPr>
          <w:color w:val="000000" w:themeColor="text1"/>
          <w:sz w:val="20"/>
          <w:szCs w:val="20"/>
        </w:rPr>
        <w:t xml:space="preserve"> </w:t>
      </w:r>
      <w:r w:rsidR="000E7B28" w:rsidRPr="0030228F">
        <w:rPr>
          <w:color w:val="000000" w:themeColor="text1"/>
          <w:sz w:val="20"/>
          <w:szCs w:val="20"/>
        </w:rPr>
        <w:t>reply</w:t>
      </w:r>
      <w:r w:rsidR="00FF41A0" w:rsidRPr="0030228F">
        <w:rPr>
          <w:color w:val="000000" w:themeColor="text1"/>
          <w:sz w:val="20"/>
          <w:szCs w:val="20"/>
        </w:rPr>
        <w:t xml:space="preserve"> </w:t>
      </w:r>
      <w:r w:rsidR="000E7B28" w:rsidRPr="0030228F">
        <w:rPr>
          <w:color w:val="000000" w:themeColor="text1"/>
          <w:sz w:val="20"/>
          <w:szCs w:val="20"/>
        </w:rPr>
        <w:t>w</w:t>
      </w:r>
      <w:r w:rsidR="0030228F" w:rsidRPr="0030228F">
        <w:rPr>
          <w:color w:val="000000" w:themeColor="text1"/>
          <w:sz w:val="20"/>
          <w:szCs w:val="20"/>
        </w:rPr>
        <w:t>as</w:t>
      </w:r>
      <w:r w:rsidR="00FF41A0" w:rsidRPr="0030228F">
        <w:rPr>
          <w:color w:val="000000" w:themeColor="text1"/>
          <w:sz w:val="20"/>
          <w:szCs w:val="20"/>
        </w:rPr>
        <w:t xml:space="preserve"> </w:t>
      </w:r>
      <w:r w:rsidR="000E7B28" w:rsidRPr="0030228F">
        <w:rPr>
          <w:color w:val="000000" w:themeColor="text1"/>
          <w:sz w:val="20"/>
          <w:szCs w:val="20"/>
        </w:rPr>
        <w:t>made</w:t>
      </w:r>
      <w:r w:rsidR="00FF41A0" w:rsidRPr="0030228F">
        <w:rPr>
          <w:color w:val="000000" w:themeColor="text1"/>
          <w:sz w:val="20"/>
          <w:szCs w:val="20"/>
        </w:rPr>
        <w:t xml:space="preserve"> </w:t>
      </w:r>
      <w:r w:rsidR="000E7B28" w:rsidRPr="0030228F">
        <w:rPr>
          <w:color w:val="000000" w:themeColor="text1"/>
          <w:sz w:val="20"/>
          <w:szCs w:val="20"/>
        </w:rPr>
        <w:t>by</w:t>
      </w:r>
      <w:r w:rsidR="00FF41A0" w:rsidRPr="0030228F">
        <w:rPr>
          <w:color w:val="000000" w:themeColor="text1"/>
          <w:sz w:val="20"/>
          <w:szCs w:val="20"/>
        </w:rPr>
        <w:t xml:space="preserve"> </w:t>
      </w:r>
      <w:r w:rsidR="000E7B28" w:rsidRPr="0030228F">
        <w:rPr>
          <w:color w:val="000000" w:themeColor="text1"/>
          <w:sz w:val="20"/>
          <w:szCs w:val="20"/>
        </w:rPr>
        <w:t>the</w:t>
      </w:r>
      <w:r w:rsidR="00FF41A0" w:rsidRPr="0030228F">
        <w:rPr>
          <w:color w:val="000000" w:themeColor="text1"/>
          <w:sz w:val="20"/>
          <w:szCs w:val="20"/>
        </w:rPr>
        <w:t xml:space="preserve"> </w:t>
      </w:r>
      <w:r w:rsidR="000E7B28" w:rsidRPr="0030228F">
        <w:rPr>
          <w:color w:val="000000" w:themeColor="text1"/>
          <w:sz w:val="20"/>
          <w:szCs w:val="20"/>
        </w:rPr>
        <w:t>representative</w:t>
      </w:r>
      <w:r w:rsidR="00FF41A0" w:rsidRPr="0030228F">
        <w:rPr>
          <w:color w:val="000000" w:themeColor="text1"/>
          <w:sz w:val="20"/>
          <w:szCs w:val="20"/>
        </w:rPr>
        <w:t xml:space="preserve"> </w:t>
      </w:r>
      <w:r w:rsidR="000E7B28" w:rsidRPr="0030228F">
        <w:rPr>
          <w:color w:val="000000" w:themeColor="text1"/>
          <w:sz w:val="20"/>
          <w:szCs w:val="20"/>
        </w:rPr>
        <w:t>of</w:t>
      </w:r>
      <w:r w:rsidR="00FF41A0" w:rsidRPr="0030228F">
        <w:rPr>
          <w:color w:val="000000" w:themeColor="text1"/>
          <w:sz w:val="20"/>
          <w:szCs w:val="20"/>
        </w:rPr>
        <w:t xml:space="preserve"> </w:t>
      </w:r>
      <w:r w:rsidR="0030228F" w:rsidRPr="0030228F">
        <w:rPr>
          <w:color w:val="000000" w:themeColor="text1"/>
          <w:sz w:val="20"/>
          <w:szCs w:val="20"/>
        </w:rPr>
        <w:t>the United Republic of Tanzania.</w:t>
      </w:r>
    </w:p>
    <w:p w14:paraId="2EA58E3F" w14:textId="5CD11FCF" w:rsidR="00F11B08" w:rsidRPr="00C16037" w:rsidRDefault="00F11B08" w:rsidP="0036325B">
      <w:pPr>
        <w:pStyle w:val="H1G"/>
        <w:rPr>
          <w:color w:val="000000" w:themeColor="text1"/>
        </w:rPr>
      </w:pPr>
      <w:r w:rsidRPr="00C16037">
        <w:rPr>
          <w:color w:val="000000" w:themeColor="text1"/>
        </w:rPr>
        <w:tab/>
      </w:r>
      <w:r w:rsidR="004B1AD2">
        <w:rPr>
          <w:color w:val="000000" w:themeColor="text1"/>
        </w:rPr>
        <w:t>F</w:t>
      </w:r>
      <w:r w:rsidRPr="00C16037">
        <w:rPr>
          <w:color w:val="000000" w:themeColor="text1"/>
        </w:rPr>
        <w:t>.</w:t>
      </w:r>
      <w:r w:rsidRPr="00C16037">
        <w:rPr>
          <w:color w:val="000000" w:themeColor="text1"/>
        </w:rPr>
        <w:tab/>
        <w:t>Consideration</w:t>
      </w:r>
      <w:r w:rsidR="00FF41A0">
        <w:rPr>
          <w:color w:val="000000" w:themeColor="text1"/>
        </w:rPr>
        <w:t xml:space="preserve"> </w:t>
      </w:r>
      <w:r w:rsidRPr="00C16037">
        <w:rPr>
          <w:color w:val="000000" w:themeColor="text1"/>
        </w:rPr>
        <w:t>of</w:t>
      </w:r>
      <w:r w:rsidR="00FF41A0">
        <w:rPr>
          <w:color w:val="000000" w:themeColor="text1"/>
        </w:rPr>
        <w:t xml:space="preserve"> </w:t>
      </w:r>
      <w:r w:rsidRPr="00C16037">
        <w:rPr>
          <w:color w:val="000000" w:themeColor="text1"/>
        </w:rPr>
        <w:t>and</w:t>
      </w:r>
      <w:r w:rsidR="00FF41A0">
        <w:rPr>
          <w:color w:val="000000" w:themeColor="text1"/>
        </w:rPr>
        <w:t xml:space="preserve"> </w:t>
      </w:r>
      <w:r w:rsidRPr="00C16037">
        <w:rPr>
          <w:color w:val="000000" w:themeColor="text1"/>
        </w:rPr>
        <w:t>action</w:t>
      </w:r>
      <w:r w:rsidR="00FF41A0">
        <w:rPr>
          <w:color w:val="000000" w:themeColor="text1"/>
        </w:rPr>
        <w:t xml:space="preserve"> </w:t>
      </w:r>
      <w:r w:rsidRPr="00C16037">
        <w:rPr>
          <w:color w:val="000000" w:themeColor="text1"/>
        </w:rPr>
        <w:t>on</w:t>
      </w:r>
      <w:r w:rsidR="00FF41A0">
        <w:rPr>
          <w:color w:val="000000" w:themeColor="text1"/>
        </w:rPr>
        <w:t xml:space="preserve"> </w:t>
      </w:r>
      <w:r w:rsidRPr="00C16037">
        <w:rPr>
          <w:color w:val="000000" w:themeColor="text1"/>
        </w:rPr>
        <w:t>draft</w:t>
      </w:r>
      <w:r w:rsidR="00FF41A0">
        <w:rPr>
          <w:color w:val="000000" w:themeColor="text1"/>
        </w:rPr>
        <w:t xml:space="preserve"> </w:t>
      </w:r>
      <w:r w:rsidRPr="00C16037">
        <w:rPr>
          <w:color w:val="000000" w:themeColor="text1"/>
        </w:rPr>
        <w:t>proposals</w:t>
      </w:r>
    </w:p>
    <w:p w14:paraId="6C6E0CDA" w14:textId="34103E8A" w:rsidR="006C2AE5" w:rsidRDefault="006C2AE5" w:rsidP="006C2AE5">
      <w:pPr>
        <w:pStyle w:val="SingleTxtG"/>
        <w:rPr>
          <w:b/>
          <w:sz w:val="20"/>
          <w:szCs w:val="20"/>
        </w:rPr>
      </w:pPr>
      <w:r w:rsidRPr="006C2AE5">
        <w:rPr>
          <w:b/>
          <w:sz w:val="20"/>
          <w:szCs w:val="20"/>
        </w:rPr>
        <w:t>Technical assistance and capacity-building for Mali in the field of human rights</w:t>
      </w:r>
    </w:p>
    <w:p w14:paraId="54EFFB68" w14:textId="27A88CEC" w:rsidR="006C2AE5" w:rsidRDefault="00CF15B1" w:rsidP="006C2AE5">
      <w:pPr>
        <w:pStyle w:val="SingleTxtG"/>
        <w:rPr>
          <w:sz w:val="20"/>
          <w:szCs w:val="20"/>
        </w:rPr>
      </w:pPr>
      <w:r>
        <w:rPr>
          <w:sz w:val="20"/>
          <w:szCs w:val="20"/>
        </w:rPr>
        <w:t>994</w:t>
      </w:r>
      <w:r w:rsidR="006C2AE5" w:rsidRPr="00326BEB">
        <w:rPr>
          <w:sz w:val="20"/>
          <w:szCs w:val="20"/>
        </w:rPr>
        <w:t>.</w:t>
      </w:r>
      <w:r w:rsidR="006C2AE5" w:rsidRPr="00326BEB">
        <w:rPr>
          <w:sz w:val="20"/>
          <w:szCs w:val="20"/>
        </w:rPr>
        <w:tab/>
        <w:t xml:space="preserve">At the </w:t>
      </w:r>
      <w:r w:rsidR="006C2AE5">
        <w:rPr>
          <w:sz w:val="20"/>
          <w:szCs w:val="20"/>
        </w:rPr>
        <w:t>55th</w:t>
      </w:r>
      <w:r w:rsidR="006C2AE5" w:rsidRPr="00326BEB">
        <w:rPr>
          <w:sz w:val="20"/>
          <w:szCs w:val="20"/>
        </w:rPr>
        <w:t xml:space="preserve"> meeting, on </w:t>
      </w:r>
      <w:r w:rsidR="006C2AE5">
        <w:rPr>
          <w:sz w:val="20"/>
          <w:szCs w:val="20"/>
        </w:rPr>
        <w:t>22 March 2019</w:t>
      </w:r>
      <w:r w:rsidR="006C2AE5" w:rsidRPr="00326BEB">
        <w:rPr>
          <w:sz w:val="20"/>
          <w:szCs w:val="20"/>
        </w:rPr>
        <w:t xml:space="preserve">, the representative of </w:t>
      </w:r>
      <w:r w:rsidR="006C2AE5" w:rsidRPr="006C2AE5">
        <w:rPr>
          <w:sz w:val="20"/>
          <w:szCs w:val="20"/>
        </w:rPr>
        <w:t>Angola (on behalf of the Group of African States)</w:t>
      </w:r>
      <w:r w:rsidR="006C2AE5">
        <w:rPr>
          <w:sz w:val="20"/>
          <w:szCs w:val="20"/>
        </w:rPr>
        <w:t xml:space="preserve"> </w:t>
      </w:r>
      <w:r w:rsidR="006C2AE5" w:rsidRPr="00326BEB">
        <w:rPr>
          <w:sz w:val="20"/>
          <w:szCs w:val="20"/>
        </w:rPr>
        <w:t>introduced draft resolution A/HRC/</w:t>
      </w:r>
      <w:r w:rsidR="006C2AE5">
        <w:rPr>
          <w:sz w:val="20"/>
          <w:szCs w:val="20"/>
        </w:rPr>
        <w:t>40</w:t>
      </w:r>
      <w:r w:rsidR="006C2AE5" w:rsidRPr="00326BEB">
        <w:rPr>
          <w:sz w:val="20"/>
          <w:szCs w:val="20"/>
        </w:rPr>
        <w:t>/L.</w:t>
      </w:r>
      <w:r w:rsidR="006C2AE5">
        <w:rPr>
          <w:sz w:val="20"/>
          <w:szCs w:val="20"/>
        </w:rPr>
        <w:t>2</w:t>
      </w:r>
      <w:r w:rsidR="006C2AE5" w:rsidRPr="00326BEB">
        <w:rPr>
          <w:sz w:val="20"/>
          <w:szCs w:val="20"/>
        </w:rPr>
        <w:t xml:space="preserve">, sponsored by </w:t>
      </w:r>
      <w:r w:rsidR="006C2AE5" w:rsidRPr="006C2AE5">
        <w:rPr>
          <w:sz w:val="20"/>
          <w:szCs w:val="20"/>
        </w:rPr>
        <w:t>Angola (on behalf of the Group of African States)</w:t>
      </w:r>
      <w:r w:rsidR="006C2AE5">
        <w:rPr>
          <w:sz w:val="20"/>
          <w:szCs w:val="20"/>
        </w:rPr>
        <w:t xml:space="preserve"> and co-sponsored by </w:t>
      </w:r>
      <w:r w:rsidR="006C2AE5" w:rsidRPr="006C2AE5">
        <w:rPr>
          <w:sz w:val="20"/>
          <w:szCs w:val="20"/>
        </w:rPr>
        <w:t>Australia, Austria, Belgium, Bulgaria, Canada, Cyprus, Croatia, Denmark, Estonia, Finland, France, Georgia, Germany, Greece, Ireland, Italy, Lithuania, Luxembourg, Malta, Monaco,</w:t>
      </w:r>
      <w:r w:rsidR="006C2AE5">
        <w:rPr>
          <w:sz w:val="20"/>
          <w:szCs w:val="20"/>
        </w:rPr>
        <w:t xml:space="preserve"> the</w:t>
      </w:r>
      <w:r w:rsidR="006C2AE5" w:rsidRPr="006C2AE5">
        <w:rPr>
          <w:sz w:val="20"/>
          <w:szCs w:val="20"/>
        </w:rPr>
        <w:t xml:space="preserve"> Netherlands, Poland, Romania, Spain, Sweden, Turkey</w:t>
      </w:r>
      <w:r w:rsidR="006C2AE5">
        <w:rPr>
          <w:sz w:val="20"/>
          <w:szCs w:val="20"/>
        </w:rPr>
        <w:t xml:space="preserve"> and the</w:t>
      </w:r>
      <w:r w:rsidR="006C2AE5" w:rsidRPr="006C2AE5">
        <w:rPr>
          <w:sz w:val="20"/>
          <w:szCs w:val="20"/>
        </w:rPr>
        <w:t xml:space="preserve"> United Kingdom of Great Britain and Northern Ireland</w:t>
      </w:r>
      <w:r w:rsidR="006C2AE5" w:rsidRPr="00326BEB">
        <w:rPr>
          <w:sz w:val="20"/>
          <w:szCs w:val="20"/>
        </w:rPr>
        <w:t xml:space="preserve">. Subsequently, </w:t>
      </w:r>
      <w:r w:rsidR="006C2AE5" w:rsidRPr="006C2AE5">
        <w:rPr>
          <w:sz w:val="20"/>
          <w:szCs w:val="20"/>
        </w:rPr>
        <w:t>Argentina</w:t>
      </w:r>
      <w:r w:rsidR="006C2AE5">
        <w:rPr>
          <w:sz w:val="20"/>
          <w:szCs w:val="20"/>
        </w:rPr>
        <w:t xml:space="preserve">, </w:t>
      </w:r>
      <w:r w:rsidR="006C2AE5" w:rsidRPr="006C2AE5">
        <w:rPr>
          <w:sz w:val="20"/>
          <w:szCs w:val="20"/>
        </w:rPr>
        <w:t>Brazil</w:t>
      </w:r>
      <w:r w:rsidR="006C2AE5">
        <w:rPr>
          <w:sz w:val="20"/>
          <w:szCs w:val="20"/>
        </w:rPr>
        <w:t xml:space="preserve">, </w:t>
      </w:r>
      <w:r w:rsidR="006C2AE5" w:rsidRPr="006C2AE5">
        <w:rPr>
          <w:sz w:val="20"/>
          <w:szCs w:val="20"/>
        </w:rPr>
        <w:t>Costa Rica</w:t>
      </w:r>
      <w:r w:rsidR="006C2AE5">
        <w:rPr>
          <w:sz w:val="20"/>
          <w:szCs w:val="20"/>
        </w:rPr>
        <w:t xml:space="preserve">, </w:t>
      </w:r>
      <w:r w:rsidR="006C2AE5" w:rsidRPr="006C2AE5">
        <w:rPr>
          <w:sz w:val="20"/>
          <w:szCs w:val="20"/>
        </w:rPr>
        <w:t>Czechia</w:t>
      </w:r>
      <w:r w:rsidR="006C2AE5">
        <w:rPr>
          <w:sz w:val="20"/>
          <w:szCs w:val="20"/>
        </w:rPr>
        <w:t xml:space="preserve">, El Salvador, </w:t>
      </w:r>
      <w:r w:rsidR="006C2AE5" w:rsidRPr="006C2AE5">
        <w:rPr>
          <w:sz w:val="20"/>
          <w:szCs w:val="20"/>
        </w:rPr>
        <w:t>Hungary</w:t>
      </w:r>
      <w:r w:rsidR="006C2AE5">
        <w:rPr>
          <w:sz w:val="20"/>
          <w:szCs w:val="20"/>
        </w:rPr>
        <w:t xml:space="preserve">, </w:t>
      </w:r>
      <w:r w:rsidR="006C2AE5" w:rsidRPr="006C2AE5">
        <w:rPr>
          <w:sz w:val="20"/>
          <w:szCs w:val="20"/>
        </w:rPr>
        <w:t>Iceland</w:t>
      </w:r>
      <w:r w:rsidR="006C2AE5">
        <w:rPr>
          <w:sz w:val="20"/>
          <w:szCs w:val="20"/>
        </w:rPr>
        <w:t xml:space="preserve">, </w:t>
      </w:r>
      <w:r w:rsidR="006C2AE5" w:rsidRPr="006C2AE5">
        <w:rPr>
          <w:sz w:val="20"/>
          <w:szCs w:val="20"/>
        </w:rPr>
        <w:t>Indonesia</w:t>
      </w:r>
      <w:r w:rsidR="006C2AE5">
        <w:rPr>
          <w:sz w:val="20"/>
          <w:szCs w:val="20"/>
        </w:rPr>
        <w:t xml:space="preserve">, </w:t>
      </w:r>
      <w:r w:rsidR="006C2AE5" w:rsidRPr="006C2AE5">
        <w:rPr>
          <w:sz w:val="20"/>
          <w:szCs w:val="20"/>
        </w:rPr>
        <w:t>Japan</w:t>
      </w:r>
      <w:r w:rsidR="006C2AE5">
        <w:rPr>
          <w:sz w:val="20"/>
          <w:szCs w:val="20"/>
        </w:rPr>
        <w:t xml:space="preserve">, </w:t>
      </w:r>
      <w:r w:rsidR="006C2AE5" w:rsidRPr="006C2AE5">
        <w:rPr>
          <w:sz w:val="20"/>
          <w:szCs w:val="20"/>
        </w:rPr>
        <w:t>Latvia</w:t>
      </w:r>
      <w:r w:rsidR="006C2AE5">
        <w:rPr>
          <w:sz w:val="20"/>
          <w:szCs w:val="20"/>
        </w:rPr>
        <w:t xml:space="preserve">, </w:t>
      </w:r>
      <w:r w:rsidR="006C2AE5" w:rsidRPr="006C2AE5">
        <w:rPr>
          <w:sz w:val="20"/>
          <w:szCs w:val="20"/>
        </w:rPr>
        <w:t>Montenegro</w:t>
      </w:r>
      <w:r w:rsidR="006C2AE5">
        <w:rPr>
          <w:sz w:val="20"/>
          <w:szCs w:val="20"/>
        </w:rPr>
        <w:t xml:space="preserve">, </w:t>
      </w:r>
      <w:r w:rsidR="006C2AE5" w:rsidRPr="006C2AE5">
        <w:rPr>
          <w:sz w:val="20"/>
          <w:szCs w:val="20"/>
        </w:rPr>
        <w:t>Norway</w:t>
      </w:r>
      <w:r w:rsidR="006C2AE5">
        <w:rPr>
          <w:sz w:val="20"/>
          <w:szCs w:val="20"/>
        </w:rPr>
        <w:t xml:space="preserve">, </w:t>
      </w:r>
      <w:r w:rsidR="006C2AE5" w:rsidRPr="006C2AE5">
        <w:rPr>
          <w:sz w:val="20"/>
          <w:szCs w:val="20"/>
        </w:rPr>
        <w:t>Portugal</w:t>
      </w:r>
      <w:r w:rsidR="006C2AE5">
        <w:rPr>
          <w:sz w:val="20"/>
          <w:szCs w:val="20"/>
        </w:rPr>
        <w:t xml:space="preserve">, the </w:t>
      </w:r>
      <w:r w:rsidR="006C2AE5" w:rsidRPr="006C2AE5">
        <w:rPr>
          <w:sz w:val="20"/>
          <w:szCs w:val="20"/>
        </w:rPr>
        <w:t>Republic of Korea</w:t>
      </w:r>
      <w:r w:rsidR="006C2AE5">
        <w:rPr>
          <w:sz w:val="20"/>
          <w:szCs w:val="20"/>
        </w:rPr>
        <w:t xml:space="preserve">, </w:t>
      </w:r>
      <w:r w:rsidR="006C2AE5" w:rsidRPr="006C2AE5">
        <w:rPr>
          <w:sz w:val="20"/>
          <w:szCs w:val="20"/>
        </w:rPr>
        <w:t>Slovenia</w:t>
      </w:r>
      <w:r w:rsidR="006C2AE5">
        <w:rPr>
          <w:sz w:val="20"/>
          <w:szCs w:val="20"/>
        </w:rPr>
        <w:t xml:space="preserve">, </w:t>
      </w:r>
      <w:r w:rsidR="006C2AE5" w:rsidRPr="006C2AE5">
        <w:rPr>
          <w:sz w:val="20"/>
          <w:szCs w:val="20"/>
        </w:rPr>
        <w:t>Switzerland</w:t>
      </w:r>
      <w:r w:rsidR="006C2AE5">
        <w:rPr>
          <w:sz w:val="20"/>
          <w:szCs w:val="20"/>
        </w:rPr>
        <w:t xml:space="preserve"> and </w:t>
      </w:r>
      <w:r w:rsidR="006C2AE5" w:rsidRPr="006C2AE5">
        <w:rPr>
          <w:sz w:val="20"/>
          <w:szCs w:val="20"/>
        </w:rPr>
        <w:t>Thailand</w:t>
      </w:r>
      <w:r w:rsidR="006C2AE5">
        <w:rPr>
          <w:sz w:val="20"/>
          <w:szCs w:val="20"/>
        </w:rPr>
        <w:t xml:space="preserve"> </w:t>
      </w:r>
      <w:r w:rsidR="006C2AE5" w:rsidRPr="00326BEB">
        <w:rPr>
          <w:sz w:val="20"/>
          <w:szCs w:val="20"/>
        </w:rPr>
        <w:t>joined the sponsors.</w:t>
      </w:r>
    </w:p>
    <w:p w14:paraId="158CBA7F" w14:textId="14BD5A28" w:rsidR="006C2AE5" w:rsidRDefault="00CF15B1" w:rsidP="006C2AE5">
      <w:pPr>
        <w:spacing w:after="120"/>
        <w:ind w:left="1134" w:right="1134"/>
        <w:jc w:val="both"/>
        <w:rPr>
          <w:sz w:val="20"/>
          <w:szCs w:val="20"/>
        </w:rPr>
      </w:pPr>
      <w:r>
        <w:rPr>
          <w:sz w:val="20"/>
          <w:szCs w:val="20"/>
        </w:rPr>
        <w:t>995</w:t>
      </w:r>
      <w:r w:rsidR="006C2AE5" w:rsidRPr="00E86201">
        <w:rPr>
          <w:sz w:val="20"/>
          <w:szCs w:val="20"/>
        </w:rPr>
        <w:t>.</w:t>
      </w:r>
      <w:r w:rsidR="006C2AE5" w:rsidRPr="00E86201">
        <w:rPr>
          <w:sz w:val="20"/>
          <w:szCs w:val="20"/>
        </w:rPr>
        <w:tab/>
        <w:t xml:space="preserve">At the same meeting, the representative of </w:t>
      </w:r>
      <w:r w:rsidR="006C2AE5" w:rsidRPr="00E51A54">
        <w:rPr>
          <w:sz w:val="20"/>
          <w:szCs w:val="20"/>
        </w:rPr>
        <w:t>Bulgaria (</w:t>
      </w:r>
      <w:r w:rsidR="006C2AE5" w:rsidRPr="00157757">
        <w:rPr>
          <w:sz w:val="20"/>
          <w:szCs w:val="20"/>
        </w:rPr>
        <w:t>on behalf of States members of the European Union that are members of the Council</w:t>
      </w:r>
      <w:r w:rsidR="006C2AE5" w:rsidRPr="00E51A54">
        <w:rPr>
          <w:sz w:val="20"/>
          <w:szCs w:val="20"/>
        </w:rPr>
        <w:t xml:space="preserve">) </w:t>
      </w:r>
      <w:r w:rsidR="006C2AE5" w:rsidRPr="00E86201">
        <w:rPr>
          <w:sz w:val="20"/>
          <w:szCs w:val="20"/>
        </w:rPr>
        <w:t>made general comments on the draft resolution.</w:t>
      </w:r>
    </w:p>
    <w:p w14:paraId="6250E07B" w14:textId="2C91DED8" w:rsidR="00EB397C" w:rsidRDefault="00CF15B1" w:rsidP="00EB397C">
      <w:pPr>
        <w:spacing w:after="120"/>
        <w:ind w:left="1134" w:right="1134"/>
        <w:jc w:val="both"/>
        <w:rPr>
          <w:sz w:val="20"/>
          <w:szCs w:val="20"/>
        </w:rPr>
      </w:pPr>
      <w:r>
        <w:rPr>
          <w:sz w:val="20"/>
          <w:szCs w:val="20"/>
        </w:rPr>
        <w:t>996</w:t>
      </w:r>
      <w:r w:rsidR="00EB397C" w:rsidRPr="00E23221">
        <w:rPr>
          <w:sz w:val="20"/>
          <w:szCs w:val="20"/>
        </w:rPr>
        <w:t>.</w:t>
      </w:r>
      <w:r w:rsidR="00EB397C" w:rsidRPr="00E23221">
        <w:rPr>
          <w:sz w:val="20"/>
          <w:szCs w:val="20"/>
        </w:rPr>
        <w:tab/>
        <w:t xml:space="preserve">Also at the same meeting, the representative of </w:t>
      </w:r>
      <w:r w:rsidR="00EB397C">
        <w:rPr>
          <w:sz w:val="20"/>
          <w:szCs w:val="20"/>
        </w:rPr>
        <w:t>Mali</w:t>
      </w:r>
      <w:r w:rsidR="00EB397C" w:rsidRPr="00F86404">
        <w:rPr>
          <w:sz w:val="20"/>
          <w:szCs w:val="20"/>
        </w:rPr>
        <w:t xml:space="preserve"> </w:t>
      </w:r>
      <w:r w:rsidR="00EB397C" w:rsidRPr="00E23221">
        <w:rPr>
          <w:sz w:val="20"/>
          <w:szCs w:val="20"/>
        </w:rPr>
        <w:t>made a statement as the State concerned.</w:t>
      </w:r>
    </w:p>
    <w:p w14:paraId="52DB5B53" w14:textId="2A37AE39" w:rsidR="006C2AE5" w:rsidRPr="00326BEB" w:rsidRDefault="00CF15B1" w:rsidP="006C2AE5">
      <w:pPr>
        <w:spacing w:after="120"/>
        <w:ind w:left="1134" w:right="1134"/>
        <w:jc w:val="both"/>
        <w:rPr>
          <w:sz w:val="20"/>
          <w:szCs w:val="20"/>
        </w:rPr>
      </w:pPr>
      <w:r>
        <w:rPr>
          <w:sz w:val="20"/>
          <w:szCs w:val="20"/>
        </w:rPr>
        <w:t>997</w:t>
      </w:r>
      <w:r w:rsidR="006C2AE5" w:rsidRPr="00326BEB">
        <w:rPr>
          <w:sz w:val="20"/>
          <w:szCs w:val="20"/>
        </w:rPr>
        <w:t>.</w:t>
      </w:r>
      <w:r w:rsidR="006C2AE5" w:rsidRPr="00326BEB">
        <w:rPr>
          <w:sz w:val="20"/>
          <w:szCs w:val="20"/>
        </w:rPr>
        <w:tab/>
        <w:t>In accordance with rule 153 of the rules of procedure of the General Assembly, the attention of the Human Rights Council was drawn to the estimated administrative and programme budget implications of the draft resolution.</w:t>
      </w:r>
    </w:p>
    <w:p w14:paraId="3C5B2800" w14:textId="0FFF5300" w:rsidR="00EB397C" w:rsidRDefault="00CF15B1" w:rsidP="006C2AE5">
      <w:pPr>
        <w:pStyle w:val="SingleTxtG"/>
        <w:rPr>
          <w:rFonts w:eastAsia="SimSun"/>
          <w:sz w:val="20"/>
          <w:szCs w:val="20"/>
          <w:lang w:eastAsia="ar-SA"/>
        </w:rPr>
      </w:pPr>
      <w:r>
        <w:rPr>
          <w:rFonts w:eastAsia="SimSun"/>
          <w:sz w:val="20"/>
          <w:szCs w:val="20"/>
          <w:lang w:eastAsia="ar-SA"/>
        </w:rPr>
        <w:t>998</w:t>
      </w:r>
      <w:r w:rsidR="006C2AE5" w:rsidRPr="00326BEB">
        <w:rPr>
          <w:rFonts w:eastAsia="SimSun"/>
          <w:sz w:val="20"/>
          <w:szCs w:val="20"/>
          <w:lang w:eastAsia="ar-SA"/>
        </w:rPr>
        <w:t>.</w:t>
      </w:r>
      <w:r w:rsidR="006C2AE5" w:rsidRPr="00326BEB">
        <w:rPr>
          <w:rFonts w:eastAsia="SimSun"/>
          <w:sz w:val="20"/>
          <w:szCs w:val="20"/>
          <w:lang w:eastAsia="ar-SA"/>
        </w:rPr>
        <w:tab/>
        <w:t>A</w:t>
      </w:r>
      <w:r w:rsidR="006C2AE5">
        <w:rPr>
          <w:rFonts w:eastAsia="SimSun"/>
          <w:sz w:val="20"/>
          <w:szCs w:val="20"/>
          <w:lang w:eastAsia="ar-SA"/>
        </w:rPr>
        <w:t>lso a</w:t>
      </w:r>
      <w:r w:rsidR="006C2AE5" w:rsidRPr="00326BEB">
        <w:rPr>
          <w:rFonts w:eastAsia="SimSun"/>
          <w:sz w:val="20"/>
          <w:szCs w:val="20"/>
          <w:lang w:eastAsia="ar-SA"/>
        </w:rPr>
        <w:t xml:space="preserve">t the same meeting, the draft resolution was adopted without a vote (resolution </w:t>
      </w:r>
      <w:r w:rsidR="006C2AE5">
        <w:rPr>
          <w:rFonts w:eastAsia="SimSun"/>
          <w:sz w:val="20"/>
          <w:szCs w:val="20"/>
          <w:lang w:eastAsia="ar-SA"/>
        </w:rPr>
        <w:t>40</w:t>
      </w:r>
      <w:r w:rsidR="006C2AE5" w:rsidRPr="00326BEB">
        <w:rPr>
          <w:rFonts w:eastAsia="SimSun"/>
          <w:sz w:val="20"/>
          <w:szCs w:val="20"/>
          <w:lang w:eastAsia="ar-SA"/>
        </w:rPr>
        <w:t>/</w:t>
      </w:r>
      <w:r w:rsidR="006C2AE5">
        <w:rPr>
          <w:rFonts w:eastAsia="SimSun"/>
          <w:sz w:val="20"/>
          <w:szCs w:val="20"/>
          <w:lang w:eastAsia="ar-SA"/>
        </w:rPr>
        <w:t>26</w:t>
      </w:r>
      <w:r w:rsidR="006C2AE5" w:rsidRPr="00326BEB">
        <w:rPr>
          <w:rFonts w:eastAsia="SimSun"/>
          <w:sz w:val="20"/>
          <w:szCs w:val="20"/>
          <w:lang w:eastAsia="ar-SA"/>
        </w:rPr>
        <w:t>).</w:t>
      </w:r>
    </w:p>
    <w:p w14:paraId="451C04BC" w14:textId="6AF1B1E8" w:rsidR="00EB397C" w:rsidRDefault="00EB397C" w:rsidP="00EB397C">
      <w:pPr>
        <w:pStyle w:val="SingleTxtG"/>
        <w:rPr>
          <w:b/>
          <w:sz w:val="20"/>
          <w:szCs w:val="20"/>
        </w:rPr>
      </w:pPr>
      <w:r w:rsidRPr="00EB397C">
        <w:rPr>
          <w:b/>
          <w:sz w:val="20"/>
          <w:szCs w:val="20"/>
        </w:rPr>
        <w:t>Technical assistance and capacity-building to improve human rights in Libya</w:t>
      </w:r>
    </w:p>
    <w:p w14:paraId="5EEE696D" w14:textId="0B601D73" w:rsidR="00EB397C" w:rsidRDefault="00CF15B1" w:rsidP="00EB397C">
      <w:pPr>
        <w:pStyle w:val="SingleTxtG"/>
        <w:rPr>
          <w:sz w:val="20"/>
          <w:szCs w:val="20"/>
        </w:rPr>
      </w:pPr>
      <w:r>
        <w:rPr>
          <w:sz w:val="20"/>
          <w:szCs w:val="20"/>
        </w:rPr>
        <w:t>999</w:t>
      </w:r>
      <w:r w:rsidR="00EB397C" w:rsidRPr="00326BEB">
        <w:rPr>
          <w:sz w:val="20"/>
          <w:szCs w:val="20"/>
        </w:rPr>
        <w:t>.</w:t>
      </w:r>
      <w:r w:rsidR="00EB397C" w:rsidRPr="00326BEB">
        <w:rPr>
          <w:sz w:val="20"/>
          <w:szCs w:val="20"/>
        </w:rPr>
        <w:tab/>
        <w:t xml:space="preserve">At the </w:t>
      </w:r>
      <w:r w:rsidR="00EB397C">
        <w:rPr>
          <w:sz w:val="20"/>
          <w:szCs w:val="20"/>
        </w:rPr>
        <w:t>55th</w:t>
      </w:r>
      <w:r w:rsidR="00EB397C" w:rsidRPr="00326BEB">
        <w:rPr>
          <w:sz w:val="20"/>
          <w:szCs w:val="20"/>
        </w:rPr>
        <w:t xml:space="preserve"> meeting, on </w:t>
      </w:r>
      <w:r w:rsidR="00EB397C">
        <w:rPr>
          <w:sz w:val="20"/>
          <w:szCs w:val="20"/>
        </w:rPr>
        <w:t>22 March 2019</w:t>
      </w:r>
      <w:r w:rsidR="00EB397C" w:rsidRPr="00326BEB">
        <w:rPr>
          <w:sz w:val="20"/>
          <w:szCs w:val="20"/>
        </w:rPr>
        <w:t xml:space="preserve">, the representative of </w:t>
      </w:r>
      <w:r w:rsidR="00EB397C" w:rsidRPr="006C2AE5">
        <w:rPr>
          <w:sz w:val="20"/>
          <w:szCs w:val="20"/>
        </w:rPr>
        <w:t>Angola (on behalf of the Group of African States)</w:t>
      </w:r>
      <w:r w:rsidR="00EB397C">
        <w:rPr>
          <w:sz w:val="20"/>
          <w:szCs w:val="20"/>
        </w:rPr>
        <w:t xml:space="preserve"> </w:t>
      </w:r>
      <w:r w:rsidR="00EB397C" w:rsidRPr="00326BEB">
        <w:rPr>
          <w:sz w:val="20"/>
          <w:szCs w:val="20"/>
        </w:rPr>
        <w:t>introduced draft resolution A/HRC/</w:t>
      </w:r>
      <w:r w:rsidR="00EB397C">
        <w:rPr>
          <w:sz w:val="20"/>
          <w:szCs w:val="20"/>
        </w:rPr>
        <w:t>40</w:t>
      </w:r>
      <w:r w:rsidR="00EB397C" w:rsidRPr="00326BEB">
        <w:rPr>
          <w:sz w:val="20"/>
          <w:szCs w:val="20"/>
        </w:rPr>
        <w:t>/L.</w:t>
      </w:r>
      <w:r w:rsidR="00EB397C">
        <w:rPr>
          <w:sz w:val="20"/>
          <w:szCs w:val="20"/>
        </w:rPr>
        <w:t>6/Rev.1</w:t>
      </w:r>
      <w:r w:rsidR="00EB397C" w:rsidRPr="00326BEB">
        <w:rPr>
          <w:sz w:val="20"/>
          <w:szCs w:val="20"/>
        </w:rPr>
        <w:t xml:space="preserve">, sponsored by </w:t>
      </w:r>
      <w:r w:rsidR="00EB397C" w:rsidRPr="006C2AE5">
        <w:rPr>
          <w:sz w:val="20"/>
          <w:szCs w:val="20"/>
        </w:rPr>
        <w:t>Angola (on behalf of the Group of African States)</w:t>
      </w:r>
      <w:r w:rsidR="00EB397C">
        <w:rPr>
          <w:sz w:val="20"/>
          <w:szCs w:val="20"/>
        </w:rPr>
        <w:t xml:space="preserve"> and co-sponsored by </w:t>
      </w:r>
      <w:r w:rsidR="00EB397C" w:rsidRPr="00EB397C">
        <w:rPr>
          <w:sz w:val="20"/>
          <w:szCs w:val="20"/>
        </w:rPr>
        <w:t>Australia, Bahrain (on behalf of the Group of</w:t>
      </w:r>
      <w:r w:rsidR="00EB397C">
        <w:rPr>
          <w:sz w:val="20"/>
          <w:szCs w:val="20"/>
        </w:rPr>
        <w:t xml:space="preserve"> Arab States), Brazil, Georgia,</w:t>
      </w:r>
      <w:r w:rsidR="00EB397C" w:rsidRPr="00EB397C">
        <w:rPr>
          <w:sz w:val="20"/>
          <w:szCs w:val="20"/>
        </w:rPr>
        <w:t xml:space="preserve"> Italy, Japan, Pakistan (on behalf of the Organization of Islamic Cooperation)</w:t>
      </w:r>
      <w:r w:rsidR="00EB397C">
        <w:rPr>
          <w:sz w:val="20"/>
          <w:szCs w:val="20"/>
        </w:rPr>
        <w:t xml:space="preserve"> and Thailand</w:t>
      </w:r>
      <w:r w:rsidR="00EB397C" w:rsidRPr="00326BEB">
        <w:rPr>
          <w:sz w:val="20"/>
          <w:szCs w:val="20"/>
        </w:rPr>
        <w:t xml:space="preserve">. Subsequently, </w:t>
      </w:r>
      <w:r w:rsidR="00EB397C" w:rsidRPr="00EB397C">
        <w:rPr>
          <w:sz w:val="20"/>
          <w:szCs w:val="20"/>
        </w:rPr>
        <w:t>Malta</w:t>
      </w:r>
      <w:r w:rsidR="00EB397C">
        <w:rPr>
          <w:sz w:val="20"/>
          <w:szCs w:val="20"/>
        </w:rPr>
        <w:t xml:space="preserve"> and the </w:t>
      </w:r>
      <w:r w:rsidR="00EB397C" w:rsidRPr="00EB397C">
        <w:rPr>
          <w:sz w:val="20"/>
          <w:szCs w:val="20"/>
        </w:rPr>
        <w:t>Republic of Korea</w:t>
      </w:r>
      <w:r w:rsidR="00EB397C">
        <w:rPr>
          <w:sz w:val="20"/>
          <w:szCs w:val="20"/>
        </w:rPr>
        <w:t xml:space="preserve"> </w:t>
      </w:r>
      <w:r w:rsidR="00EB397C" w:rsidRPr="00326BEB">
        <w:rPr>
          <w:sz w:val="20"/>
          <w:szCs w:val="20"/>
        </w:rPr>
        <w:t>joined the sponsors.</w:t>
      </w:r>
    </w:p>
    <w:p w14:paraId="7B4F5F39" w14:textId="194EFB8A" w:rsidR="00EB397C" w:rsidRDefault="00CF15B1" w:rsidP="00EB397C">
      <w:pPr>
        <w:spacing w:after="120"/>
        <w:ind w:left="1134" w:right="1134"/>
        <w:jc w:val="both"/>
        <w:rPr>
          <w:sz w:val="20"/>
          <w:szCs w:val="20"/>
        </w:rPr>
      </w:pPr>
      <w:r>
        <w:rPr>
          <w:sz w:val="20"/>
          <w:szCs w:val="20"/>
        </w:rPr>
        <w:t>1000</w:t>
      </w:r>
      <w:r w:rsidR="00EB397C" w:rsidRPr="00E86201">
        <w:rPr>
          <w:sz w:val="20"/>
          <w:szCs w:val="20"/>
        </w:rPr>
        <w:t>.</w:t>
      </w:r>
      <w:r w:rsidR="00EB397C" w:rsidRPr="00E86201">
        <w:rPr>
          <w:sz w:val="20"/>
          <w:szCs w:val="20"/>
        </w:rPr>
        <w:tab/>
        <w:t xml:space="preserve">At the same meeting, the representative of </w:t>
      </w:r>
      <w:r w:rsidR="00EB397C" w:rsidRPr="00EB397C">
        <w:rPr>
          <w:sz w:val="20"/>
          <w:szCs w:val="20"/>
        </w:rPr>
        <w:t xml:space="preserve">the United Kingdom of Great Britain and Northern Ireland </w:t>
      </w:r>
      <w:r w:rsidR="00EB397C" w:rsidRPr="00E86201">
        <w:rPr>
          <w:sz w:val="20"/>
          <w:szCs w:val="20"/>
        </w:rPr>
        <w:t>made general comments on the draft resolution.</w:t>
      </w:r>
    </w:p>
    <w:p w14:paraId="2F050BBD" w14:textId="762809D8" w:rsidR="00EB397C" w:rsidRDefault="00CF15B1" w:rsidP="00EB397C">
      <w:pPr>
        <w:spacing w:after="120"/>
        <w:ind w:left="1134" w:right="1134"/>
        <w:jc w:val="both"/>
        <w:rPr>
          <w:sz w:val="20"/>
          <w:szCs w:val="20"/>
        </w:rPr>
      </w:pPr>
      <w:r>
        <w:rPr>
          <w:sz w:val="20"/>
          <w:szCs w:val="20"/>
        </w:rPr>
        <w:t>1001</w:t>
      </w:r>
      <w:r w:rsidR="00EB397C" w:rsidRPr="00E23221">
        <w:rPr>
          <w:sz w:val="20"/>
          <w:szCs w:val="20"/>
        </w:rPr>
        <w:t>.</w:t>
      </w:r>
      <w:r w:rsidR="00EB397C" w:rsidRPr="00E23221">
        <w:rPr>
          <w:sz w:val="20"/>
          <w:szCs w:val="20"/>
        </w:rPr>
        <w:tab/>
        <w:t xml:space="preserve">Also at the same meeting, the representative of </w:t>
      </w:r>
      <w:r w:rsidR="00EB397C">
        <w:rPr>
          <w:sz w:val="20"/>
          <w:szCs w:val="20"/>
        </w:rPr>
        <w:t>Libya</w:t>
      </w:r>
      <w:r w:rsidR="00EB397C" w:rsidRPr="00F86404">
        <w:rPr>
          <w:sz w:val="20"/>
          <w:szCs w:val="20"/>
        </w:rPr>
        <w:t xml:space="preserve"> </w:t>
      </w:r>
      <w:r w:rsidR="00EB397C" w:rsidRPr="00E23221">
        <w:rPr>
          <w:sz w:val="20"/>
          <w:szCs w:val="20"/>
        </w:rPr>
        <w:t>made a statement as the State concerned.</w:t>
      </w:r>
    </w:p>
    <w:p w14:paraId="6FA01937" w14:textId="2573DEC0" w:rsidR="00EB397C" w:rsidRPr="00326BEB" w:rsidRDefault="00CF15B1" w:rsidP="00EB397C">
      <w:pPr>
        <w:spacing w:after="120"/>
        <w:ind w:left="1134" w:right="1134"/>
        <w:jc w:val="both"/>
        <w:rPr>
          <w:sz w:val="20"/>
          <w:szCs w:val="20"/>
        </w:rPr>
      </w:pPr>
      <w:r>
        <w:rPr>
          <w:sz w:val="20"/>
          <w:szCs w:val="20"/>
        </w:rPr>
        <w:lastRenderedPageBreak/>
        <w:t>1002</w:t>
      </w:r>
      <w:r w:rsidR="00EB397C" w:rsidRPr="00326BEB">
        <w:rPr>
          <w:sz w:val="20"/>
          <w:szCs w:val="20"/>
        </w:rPr>
        <w:t>.</w:t>
      </w:r>
      <w:r w:rsidR="00EB397C" w:rsidRPr="00326BEB">
        <w:rPr>
          <w:sz w:val="20"/>
          <w:szCs w:val="20"/>
        </w:rPr>
        <w:tab/>
        <w:t>In accordance with rule 153 of the rules of procedure of the General Assembly, the attention of the Human Rights Council was drawn to the estimated administrative and programme budget implications of the draft resolution.</w:t>
      </w:r>
    </w:p>
    <w:p w14:paraId="287E1366" w14:textId="503CB1A0" w:rsidR="0022700A" w:rsidRDefault="00CF15B1" w:rsidP="00EB397C">
      <w:pPr>
        <w:pStyle w:val="SingleTxtG"/>
        <w:rPr>
          <w:rFonts w:eastAsia="SimSun"/>
          <w:sz w:val="20"/>
          <w:szCs w:val="20"/>
          <w:lang w:eastAsia="ar-SA"/>
        </w:rPr>
      </w:pPr>
      <w:r>
        <w:rPr>
          <w:rFonts w:eastAsia="SimSun"/>
          <w:sz w:val="20"/>
          <w:szCs w:val="20"/>
          <w:lang w:eastAsia="ar-SA"/>
        </w:rPr>
        <w:t>1003</w:t>
      </w:r>
      <w:r w:rsidR="00EB397C" w:rsidRPr="00326BEB">
        <w:rPr>
          <w:rFonts w:eastAsia="SimSun"/>
          <w:sz w:val="20"/>
          <w:szCs w:val="20"/>
          <w:lang w:eastAsia="ar-SA"/>
        </w:rPr>
        <w:t>.</w:t>
      </w:r>
      <w:r w:rsidR="00EB397C" w:rsidRPr="00326BEB">
        <w:rPr>
          <w:rFonts w:eastAsia="SimSun"/>
          <w:sz w:val="20"/>
          <w:szCs w:val="20"/>
          <w:lang w:eastAsia="ar-SA"/>
        </w:rPr>
        <w:tab/>
        <w:t>A</w:t>
      </w:r>
      <w:r w:rsidR="00EB397C">
        <w:rPr>
          <w:rFonts w:eastAsia="SimSun"/>
          <w:sz w:val="20"/>
          <w:szCs w:val="20"/>
          <w:lang w:eastAsia="ar-SA"/>
        </w:rPr>
        <w:t>lso a</w:t>
      </w:r>
      <w:r w:rsidR="00EB397C" w:rsidRPr="00326BEB">
        <w:rPr>
          <w:rFonts w:eastAsia="SimSun"/>
          <w:sz w:val="20"/>
          <w:szCs w:val="20"/>
          <w:lang w:eastAsia="ar-SA"/>
        </w:rPr>
        <w:t xml:space="preserve">t the same meeting, the draft resolution was adopted without a vote (resolution </w:t>
      </w:r>
      <w:r w:rsidR="00EB397C">
        <w:rPr>
          <w:rFonts w:eastAsia="SimSun"/>
          <w:sz w:val="20"/>
          <w:szCs w:val="20"/>
          <w:lang w:eastAsia="ar-SA"/>
        </w:rPr>
        <w:t>40</w:t>
      </w:r>
      <w:r w:rsidR="00EB397C" w:rsidRPr="00326BEB">
        <w:rPr>
          <w:rFonts w:eastAsia="SimSun"/>
          <w:sz w:val="20"/>
          <w:szCs w:val="20"/>
          <w:lang w:eastAsia="ar-SA"/>
        </w:rPr>
        <w:t>/</w:t>
      </w:r>
      <w:r w:rsidR="00EB397C">
        <w:rPr>
          <w:rFonts w:eastAsia="SimSun"/>
          <w:sz w:val="20"/>
          <w:szCs w:val="20"/>
          <w:lang w:eastAsia="ar-SA"/>
        </w:rPr>
        <w:t>27</w:t>
      </w:r>
      <w:r w:rsidR="00EB397C" w:rsidRPr="00326BEB">
        <w:rPr>
          <w:rFonts w:eastAsia="SimSun"/>
          <w:sz w:val="20"/>
          <w:szCs w:val="20"/>
          <w:lang w:eastAsia="ar-SA"/>
        </w:rPr>
        <w:t>).</w:t>
      </w:r>
    </w:p>
    <w:p w14:paraId="59E574FF" w14:textId="7C969B00" w:rsidR="0022700A" w:rsidRDefault="0022700A" w:rsidP="0022700A">
      <w:pPr>
        <w:pStyle w:val="SingleTxtG"/>
        <w:rPr>
          <w:b/>
          <w:sz w:val="20"/>
          <w:szCs w:val="20"/>
        </w:rPr>
      </w:pPr>
      <w:r w:rsidRPr="0022700A">
        <w:rPr>
          <w:b/>
          <w:sz w:val="20"/>
          <w:szCs w:val="20"/>
        </w:rPr>
        <w:t>Cooperation with Georgia</w:t>
      </w:r>
    </w:p>
    <w:p w14:paraId="52C641AA" w14:textId="2B9F9440" w:rsidR="0022700A" w:rsidRDefault="00CF15B1" w:rsidP="0022700A">
      <w:pPr>
        <w:pStyle w:val="SingleTxtG"/>
        <w:rPr>
          <w:sz w:val="20"/>
          <w:szCs w:val="20"/>
        </w:rPr>
      </w:pPr>
      <w:r>
        <w:rPr>
          <w:sz w:val="20"/>
          <w:szCs w:val="20"/>
        </w:rPr>
        <w:t>1004</w:t>
      </w:r>
      <w:r w:rsidR="0022700A" w:rsidRPr="00326BEB">
        <w:rPr>
          <w:sz w:val="20"/>
          <w:szCs w:val="20"/>
        </w:rPr>
        <w:t>.</w:t>
      </w:r>
      <w:r w:rsidR="0022700A" w:rsidRPr="00326BEB">
        <w:rPr>
          <w:sz w:val="20"/>
          <w:szCs w:val="20"/>
        </w:rPr>
        <w:tab/>
        <w:t xml:space="preserve">At the </w:t>
      </w:r>
      <w:r w:rsidR="0022700A">
        <w:rPr>
          <w:sz w:val="20"/>
          <w:szCs w:val="20"/>
        </w:rPr>
        <w:t>55th</w:t>
      </w:r>
      <w:r w:rsidR="0022700A" w:rsidRPr="00326BEB">
        <w:rPr>
          <w:sz w:val="20"/>
          <w:szCs w:val="20"/>
        </w:rPr>
        <w:t xml:space="preserve"> meeting, on </w:t>
      </w:r>
      <w:r w:rsidR="0022700A">
        <w:rPr>
          <w:sz w:val="20"/>
          <w:szCs w:val="20"/>
        </w:rPr>
        <w:t>22 March 2019</w:t>
      </w:r>
      <w:r w:rsidR="0022700A" w:rsidRPr="00326BEB">
        <w:rPr>
          <w:sz w:val="20"/>
          <w:szCs w:val="20"/>
        </w:rPr>
        <w:t xml:space="preserve">, the representative of </w:t>
      </w:r>
      <w:r w:rsidR="0022700A">
        <w:rPr>
          <w:sz w:val="20"/>
          <w:szCs w:val="20"/>
        </w:rPr>
        <w:t xml:space="preserve">Georgia </w:t>
      </w:r>
      <w:r w:rsidR="0022700A" w:rsidRPr="00326BEB">
        <w:rPr>
          <w:sz w:val="20"/>
          <w:szCs w:val="20"/>
        </w:rPr>
        <w:t>introduced draft resolution A/HRC/</w:t>
      </w:r>
      <w:r w:rsidR="0022700A">
        <w:rPr>
          <w:sz w:val="20"/>
          <w:szCs w:val="20"/>
        </w:rPr>
        <w:t>40</w:t>
      </w:r>
      <w:r w:rsidR="0022700A" w:rsidRPr="00326BEB">
        <w:rPr>
          <w:sz w:val="20"/>
          <w:szCs w:val="20"/>
        </w:rPr>
        <w:t>/L.</w:t>
      </w:r>
      <w:r w:rsidR="0022700A">
        <w:rPr>
          <w:sz w:val="20"/>
          <w:szCs w:val="20"/>
        </w:rPr>
        <w:t>24</w:t>
      </w:r>
      <w:r w:rsidR="0022700A" w:rsidRPr="00326BEB">
        <w:rPr>
          <w:sz w:val="20"/>
          <w:szCs w:val="20"/>
        </w:rPr>
        <w:t xml:space="preserve">, sponsored by </w:t>
      </w:r>
      <w:r w:rsidR="0022700A">
        <w:rPr>
          <w:sz w:val="20"/>
          <w:szCs w:val="20"/>
        </w:rPr>
        <w:t xml:space="preserve">Georgia and co-sponsored by </w:t>
      </w:r>
      <w:r w:rsidR="0022700A" w:rsidRPr="0022700A">
        <w:rPr>
          <w:sz w:val="20"/>
          <w:szCs w:val="20"/>
        </w:rPr>
        <w:t xml:space="preserve">Albania, Australia, Austria, Belgium, Bulgaria, Canada, Croatia, Czechia, Denmark, Estonia, Finland, France, Germany, Ghana, Greece, Hungary, Iceland, Ireland, Italy, Japan, Latvia, Liechtenstein, Lithuania, Luxembourg, Malta, </w:t>
      </w:r>
      <w:r w:rsidR="0022700A">
        <w:rPr>
          <w:sz w:val="20"/>
          <w:szCs w:val="20"/>
        </w:rPr>
        <w:t xml:space="preserve">the </w:t>
      </w:r>
      <w:r w:rsidR="0022700A" w:rsidRPr="0022700A">
        <w:rPr>
          <w:sz w:val="20"/>
          <w:szCs w:val="20"/>
        </w:rPr>
        <w:t xml:space="preserve">Marshall Islands, Montenegro, </w:t>
      </w:r>
      <w:r w:rsidR="0022700A">
        <w:rPr>
          <w:sz w:val="20"/>
          <w:szCs w:val="20"/>
        </w:rPr>
        <w:t xml:space="preserve">the </w:t>
      </w:r>
      <w:r w:rsidR="0022700A" w:rsidRPr="0022700A">
        <w:rPr>
          <w:sz w:val="20"/>
          <w:szCs w:val="20"/>
        </w:rPr>
        <w:t xml:space="preserve">Netherlands, North Macedonia, Norway, Poland, Portugal, </w:t>
      </w:r>
      <w:r w:rsidR="0022700A">
        <w:rPr>
          <w:sz w:val="20"/>
          <w:szCs w:val="20"/>
        </w:rPr>
        <w:t xml:space="preserve">the </w:t>
      </w:r>
      <w:r w:rsidR="0022700A" w:rsidRPr="0022700A">
        <w:rPr>
          <w:sz w:val="20"/>
          <w:szCs w:val="20"/>
        </w:rPr>
        <w:t>Republic of Moldova, Romania, San Marino, Slovakia, Slovenia, Spain, Sweden, Turkey</w:t>
      </w:r>
      <w:r w:rsidR="0022700A">
        <w:rPr>
          <w:sz w:val="20"/>
          <w:szCs w:val="20"/>
        </w:rPr>
        <w:t xml:space="preserve"> and</w:t>
      </w:r>
      <w:r w:rsidR="0022700A" w:rsidRPr="0022700A">
        <w:rPr>
          <w:sz w:val="20"/>
          <w:szCs w:val="20"/>
        </w:rPr>
        <w:t xml:space="preserve"> Ukraine</w:t>
      </w:r>
      <w:r w:rsidR="0022700A">
        <w:rPr>
          <w:sz w:val="20"/>
          <w:szCs w:val="20"/>
        </w:rPr>
        <w:t xml:space="preserve">. </w:t>
      </w:r>
      <w:r w:rsidR="0022700A" w:rsidRPr="00E45C02">
        <w:rPr>
          <w:sz w:val="20"/>
          <w:szCs w:val="20"/>
        </w:rPr>
        <w:t xml:space="preserve">Subsequently, </w:t>
      </w:r>
      <w:r w:rsidR="0022700A" w:rsidRPr="0022700A">
        <w:rPr>
          <w:sz w:val="20"/>
          <w:szCs w:val="20"/>
        </w:rPr>
        <w:t xml:space="preserve">Czechia </w:t>
      </w:r>
      <w:r w:rsidR="0022700A" w:rsidRPr="00E45C02">
        <w:rPr>
          <w:sz w:val="20"/>
          <w:szCs w:val="20"/>
        </w:rPr>
        <w:t xml:space="preserve">withdrew </w:t>
      </w:r>
      <w:r w:rsidR="0022700A">
        <w:rPr>
          <w:sz w:val="20"/>
          <w:szCs w:val="20"/>
        </w:rPr>
        <w:t>its</w:t>
      </w:r>
      <w:r w:rsidR="0022700A" w:rsidRPr="00E45C02">
        <w:rPr>
          <w:sz w:val="20"/>
          <w:szCs w:val="20"/>
        </w:rPr>
        <w:t xml:space="preserve"> original co-sponsorship of the draft resolution.</w:t>
      </w:r>
      <w:r w:rsidR="0022700A" w:rsidRPr="00326BEB">
        <w:rPr>
          <w:sz w:val="20"/>
          <w:szCs w:val="20"/>
        </w:rPr>
        <w:t xml:space="preserve"> Subsequently, </w:t>
      </w:r>
      <w:r w:rsidR="0022700A" w:rsidRPr="0022700A">
        <w:rPr>
          <w:sz w:val="20"/>
          <w:szCs w:val="20"/>
        </w:rPr>
        <w:t>Bosnia and Herzegovina</w:t>
      </w:r>
      <w:r w:rsidR="0022700A">
        <w:rPr>
          <w:sz w:val="20"/>
          <w:szCs w:val="20"/>
        </w:rPr>
        <w:t xml:space="preserve">, </w:t>
      </w:r>
      <w:r w:rsidR="0022700A" w:rsidRPr="0022700A">
        <w:rPr>
          <w:sz w:val="20"/>
          <w:szCs w:val="20"/>
        </w:rPr>
        <w:t>Costa Rica</w:t>
      </w:r>
      <w:r w:rsidR="0022700A">
        <w:rPr>
          <w:sz w:val="20"/>
          <w:szCs w:val="20"/>
        </w:rPr>
        <w:t xml:space="preserve">, </w:t>
      </w:r>
      <w:r w:rsidR="0022700A" w:rsidRPr="0022700A">
        <w:rPr>
          <w:sz w:val="20"/>
          <w:szCs w:val="20"/>
        </w:rPr>
        <w:t>Cyprus</w:t>
      </w:r>
      <w:r w:rsidR="0022700A">
        <w:rPr>
          <w:sz w:val="20"/>
          <w:szCs w:val="20"/>
        </w:rPr>
        <w:t xml:space="preserve">, </w:t>
      </w:r>
      <w:r w:rsidR="0022700A" w:rsidRPr="0022700A">
        <w:rPr>
          <w:sz w:val="20"/>
          <w:szCs w:val="20"/>
        </w:rPr>
        <w:t>Czechia</w:t>
      </w:r>
      <w:r w:rsidR="0022700A">
        <w:rPr>
          <w:sz w:val="20"/>
          <w:szCs w:val="20"/>
        </w:rPr>
        <w:t xml:space="preserve">, the Gambia, New Zealand and the </w:t>
      </w:r>
      <w:r w:rsidR="0022700A" w:rsidRPr="0022700A">
        <w:rPr>
          <w:sz w:val="20"/>
          <w:szCs w:val="20"/>
        </w:rPr>
        <w:t>United Kingdom of Great Britain and Northern Ireland</w:t>
      </w:r>
      <w:r w:rsidR="0022700A">
        <w:rPr>
          <w:sz w:val="20"/>
          <w:szCs w:val="20"/>
        </w:rPr>
        <w:t xml:space="preserve"> </w:t>
      </w:r>
      <w:r w:rsidR="0022700A" w:rsidRPr="00326BEB">
        <w:rPr>
          <w:sz w:val="20"/>
          <w:szCs w:val="20"/>
        </w:rPr>
        <w:t>joined the sponsors.</w:t>
      </w:r>
    </w:p>
    <w:p w14:paraId="1AD1E73C" w14:textId="1F1159E7" w:rsidR="0022700A" w:rsidRDefault="00CF15B1" w:rsidP="0022700A">
      <w:pPr>
        <w:spacing w:after="120"/>
        <w:ind w:left="1134" w:right="1134"/>
        <w:jc w:val="both"/>
        <w:rPr>
          <w:sz w:val="20"/>
          <w:szCs w:val="20"/>
        </w:rPr>
      </w:pPr>
      <w:r>
        <w:rPr>
          <w:sz w:val="20"/>
          <w:szCs w:val="20"/>
        </w:rPr>
        <w:t>1005</w:t>
      </w:r>
      <w:r w:rsidR="0022700A" w:rsidRPr="00E86201">
        <w:rPr>
          <w:sz w:val="20"/>
          <w:szCs w:val="20"/>
        </w:rPr>
        <w:t>.</w:t>
      </w:r>
      <w:r w:rsidR="0022700A" w:rsidRPr="00E86201">
        <w:rPr>
          <w:sz w:val="20"/>
          <w:szCs w:val="20"/>
        </w:rPr>
        <w:tab/>
        <w:t>At the same meeting, the representative</w:t>
      </w:r>
      <w:r w:rsidR="0022700A">
        <w:rPr>
          <w:sz w:val="20"/>
          <w:szCs w:val="20"/>
        </w:rPr>
        <w:t>s</w:t>
      </w:r>
      <w:r w:rsidR="0022700A" w:rsidRPr="00E86201">
        <w:rPr>
          <w:sz w:val="20"/>
          <w:szCs w:val="20"/>
        </w:rPr>
        <w:t xml:space="preserve"> of </w:t>
      </w:r>
      <w:r w:rsidR="0022700A">
        <w:rPr>
          <w:sz w:val="20"/>
          <w:szCs w:val="20"/>
        </w:rPr>
        <w:t>Australia and Denmark</w:t>
      </w:r>
      <w:r w:rsidR="0022700A" w:rsidRPr="00EB397C">
        <w:rPr>
          <w:sz w:val="20"/>
          <w:szCs w:val="20"/>
        </w:rPr>
        <w:t xml:space="preserve"> </w:t>
      </w:r>
      <w:r w:rsidR="0022700A" w:rsidRPr="00E86201">
        <w:rPr>
          <w:sz w:val="20"/>
          <w:szCs w:val="20"/>
        </w:rPr>
        <w:t>made general comments on the draft resolution.</w:t>
      </w:r>
    </w:p>
    <w:p w14:paraId="0A10B5AC" w14:textId="13FD9EF4" w:rsidR="0022700A" w:rsidRDefault="00CF15B1" w:rsidP="0022700A">
      <w:pPr>
        <w:spacing w:after="120"/>
        <w:ind w:left="1134" w:right="1134"/>
        <w:jc w:val="both"/>
        <w:rPr>
          <w:sz w:val="20"/>
          <w:szCs w:val="20"/>
        </w:rPr>
      </w:pPr>
      <w:r>
        <w:rPr>
          <w:sz w:val="20"/>
          <w:szCs w:val="20"/>
        </w:rPr>
        <w:t>1006</w:t>
      </w:r>
      <w:r w:rsidR="0022700A" w:rsidRPr="00326BEB">
        <w:rPr>
          <w:sz w:val="20"/>
          <w:szCs w:val="20"/>
        </w:rPr>
        <w:t>.</w:t>
      </w:r>
      <w:r w:rsidR="0022700A" w:rsidRPr="00326BEB">
        <w:rPr>
          <w:sz w:val="20"/>
          <w:szCs w:val="20"/>
        </w:rPr>
        <w:tab/>
        <w:t>In accordance with rule 153 of the rules of procedure of the General Assembly, the attention of the Human Rights Council was drawn to the estimated administrative and programme budget implications of the draft resolution.</w:t>
      </w:r>
    </w:p>
    <w:p w14:paraId="6AE0CCFB" w14:textId="28F81D0F" w:rsidR="00A315CD" w:rsidRPr="0023658A" w:rsidRDefault="00CF15B1" w:rsidP="00A315CD">
      <w:pPr>
        <w:spacing w:after="120"/>
        <w:ind w:left="1134" w:right="1134"/>
        <w:jc w:val="both"/>
        <w:rPr>
          <w:sz w:val="20"/>
          <w:szCs w:val="20"/>
        </w:rPr>
      </w:pPr>
      <w:r>
        <w:rPr>
          <w:sz w:val="20"/>
          <w:szCs w:val="20"/>
        </w:rPr>
        <w:t>1007</w:t>
      </w:r>
      <w:r w:rsidR="00A315CD" w:rsidRPr="0023658A">
        <w:rPr>
          <w:sz w:val="20"/>
          <w:szCs w:val="20"/>
        </w:rPr>
        <w:t>.</w:t>
      </w:r>
      <w:r w:rsidR="00A315CD" w:rsidRPr="0023658A">
        <w:rPr>
          <w:sz w:val="20"/>
          <w:szCs w:val="20"/>
        </w:rPr>
        <w:tab/>
      </w:r>
      <w:r w:rsidR="00FB3393" w:rsidRPr="0023658A">
        <w:rPr>
          <w:sz w:val="20"/>
          <w:szCs w:val="20"/>
        </w:rPr>
        <w:t>At the same meeting</w:t>
      </w:r>
      <w:r w:rsidR="00A315CD" w:rsidRPr="0023658A">
        <w:rPr>
          <w:sz w:val="20"/>
          <w:szCs w:val="20"/>
        </w:rPr>
        <w:t>, the representative</w:t>
      </w:r>
      <w:r w:rsidR="00A315CD">
        <w:rPr>
          <w:sz w:val="20"/>
          <w:szCs w:val="20"/>
        </w:rPr>
        <w:t xml:space="preserve">s of </w:t>
      </w:r>
      <w:r w:rsidR="00A315CD" w:rsidRPr="00A315CD">
        <w:rPr>
          <w:sz w:val="20"/>
          <w:szCs w:val="20"/>
        </w:rPr>
        <w:t>Brazil,</w:t>
      </w:r>
      <w:r w:rsidR="0021637F">
        <w:rPr>
          <w:sz w:val="20"/>
          <w:szCs w:val="20"/>
        </w:rPr>
        <w:t xml:space="preserve"> </w:t>
      </w:r>
      <w:r w:rsidR="00A315CD" w:rsidRPr="00A315CD">
        <w:rPr>
          <w:sz w:val="20"/>
          <w:szCs w:val="20"/>
        </w:rPr>
        <w:t>Cameroon, China</w:t>
      </w:r>
      <w:r w:rsidR="0021637F">
        <w:rPr>
          <w:sz w:val="20"/>
          <w:szCs w:val="20"/>
        </w:rPr>
        <w:t xml:space="preserve">, </w:t>
      </w:r>
      <w:r w:rsidR="00A315CD">
        <w:rPr>
          <w:sz w:val="20"/>
          <w:szCs w:val="20"/>
        </w:rPr>
        <w:t>Czechia</w:t>
      </w:r>
      <w:r w:rsidR="0021637F">
        <w:rPr>
          <w:sz w:val="20"/>
          <w:szCs w:val="20"/>
        </w:rPr>
        <w:t xml:space="preserve"> and the </w:t>
      </w:r>
      <w:r w:rsidR="00A315CD" w:rsidRPr="00A315CD">
        <w:rPr>
          <w:sz w:val="20"/>
          <w:szCs w:val="20"/>
        </w:rPr>
        <w:t>United Kingdom of Great Britain and Northern Ireland</w:t>
      </w:r>
      <w:r w:rsidR="0021637F">
        <w:rPr>
          <w:sz w:val="20"/>
          <w:szCs w:val="20"/>
        </w:rPr>
        <w:t xml:space="preserve"> </w:t>
      </w:r>
      <w:r w:rsidR="00A315CD" w:rsidRPr="0023658A">
        <w:rPr>
          <w:sz w:val="20"/>
          <w:szCs w:val="20"/>
        </w:rPr>
        <w:t>made statement</w:t>
      </w:r>
      <w:r w:rsidR="00A315CD">
        <w:rPr>
          <w:sz w:val="20"/>
          <w:szCs w:val="20"/>
        </w:rPr>
        <w:t>s</w:t>
      </w:r>
      <w:r w:rsidR="00A315CD" w:rsidRPr="0023658A">
        <w:rPr>
          <w:sz w:val="20"/>
          <w:szCs w:val="20"/>
        </w:rPr>
        <w:t xml:space="preserve"> in explanation of vote before the vote.</w:t>
      </w:r>
    </w:p>
    <w:p w14:paraId="4D24B32B" w14:textId="0689FB6B" w:rsidR="00A315CD" w:rsidRPr="0023658A" w:rsidRDefault="00CF15B1" w:rsidP="00A315CD">
      <w:pPr>
        <w:pStyle w:val="SingleTxtG"/>
        <w:rPr>
          <w:sz w:val="20"/>
          <w:szCs w:val="20"/>
        </w:rPr>
      </w:pPr>
      <w:r>
        <w:rPr>
          <w:sz w:val="20"/>
          <w:szCs w:val="20"/>
        </w:rPr>
        <w:t>1008</w:t>
      </w:r>
      <w:r w:rsidR="00A315CD" w:rsidRPr="0023658A">
        <w:rPr>
          <w:sz w:val="20"/>
          <w:szCs w:val="20"/>
        </w:rPr>
        <w:t>.</w:t>
      </w:r>
      <w:r w:rsidR="00A315CD" w:rsidRPr="0023658A">
        <w:rPr>
          <w:sz w:val="20"/>
          <w:szCs w:val="20"/>
        </w:rPr>
        <w:tab/>
      </w:r>
      <w:r w:rsidR="00FB3393" w:rsidRPr="0023658A">
        <w:rPr>
          <w:rFonts w:eastAsia="SimSun"/>
          <w:sz w:val="20"/>
          <w:szCs w:val="20"/>
          <w:lang w:eastAsia="ar-SA"/>
        </w:rPr>
        <w:t>A</w:t>
      </w:r>
      <w:r w:rsidR="00FB3393">
        <w:rPr>
          <w:rFonts w:eastAsia="SimSun"/>
          <w:sz w:val="20"/>
          <w:szCs w:val="20"/>
          <w:lang w:eastAsia="ar-SA"/>
        </w:rPr>
        <w:t>lso a</w:t>
      </w:r>
      <w:r w:rsidR="00FB3393" w:rsidRPr="0023658A">
        <w:rPr>
          <w:rFonts w:eastAsia="SimSun"/>
          <w:sz w:val="20"/>
          <w:szCs w:val="20"/>
          <w:lang w:eastAsia="ar-SA"/>
        </w:rPr>
        <w:t>t the same meeting</w:t>
      </w:r>
      <w:r w:rsidR="00A315CD" w:rsidRPr="0023658A">
        <w:rPr>
          <w:sz w:val="20"/>
          <w:szCs w:val="20"/>
        </w:rPr>
        <w:t xml:space="preserve">, at the request of the representative of </w:t>
      </w:r>
      <w:r w:rsidR="0021637F" w:rsidRPr="00A315CD">
        <w:rPr>
          <w:sz w:val="20"/>
          <w:szCs w:val="20"/>
        </w:rPr>
        <w:t>Cameroon</w:t>
      </w:r>
      <w:r w:rsidR="00A315CD" w:rsidRPr="0023658A">
        <w:rPr>
          <w:sz w:val="20"/>
          <w:szCs w:val="20"/>
        </w:rPr>
        <w:t>, a recorded vote was taken on the draft resolution. The voting was as follows:</w:t>
      </w:r>
      <w:r w:rsidR="00A315CD" w:rsidRPr="00871B0B">
        <w:rPr>
          <w:rStyle w:val="FootnoteReference"/>
          <w:rFonts w:eastAsia="SimSun"/>
          <w:lang w:eastAsia="ar-SA"/>
        </w:rPr>
        <w:t xml:space="preserve"> </w:t>
      </w:r>
    </w:p>
    <w:p w14:paraId="14C4B5F1" w14:textId="77777777" w:rsidR="00FB3393" w:rsidRPr="00FB3393" w:rsidRDefault="00FB3393" w:rsidP="00FB3393">
      <w:pPr>
        <w:pStyle w:val="SingleTxtG"/>
        <w:ind w:left="1701"/>
        <w:rPr>
          <w:sz w:val="20"/>
          <w:szCs w:val="20"/>
        </w:rPr>
      </w:pPr>
      <w:r w:rsidRPr="00FB3393">
        <w:rPr>
          <w:i/>
          <w:iCs/>
          <w:sz w:val="20"/>
          <w:szCs w:val="20"/>
        </w:rPr>
        <w:t>In favour</w:t>
      </w:r>
      <w:r w:rsidRPr="00FB3393">
        <w:rPr>
          <w:sz w:val="20"/>
          <w:szCs w:val="20"/>
        </w:rPr>
        <w:t xml:space="preserve">: </w:t>
      </w:r>
    </w:p>
    <w:p w14:paraId="5984A32F" w14:textId="77777777" w:rsidR="00FB3393" w:rsidRPr="00FB3393" w:rsidRDefault="00FB3393" w:rsidP="00FB3393">
      <w:pPr>
        <w:pStyle w:val="SingleTxtG"/>
        <w:ind w:left="2268"/>
        <w:rPr>
          <w:sz w:val="20"/>
          <w:szCs w:val="20"/>
        </w:rPr>
      </w:pPr>
      <w:r w:rsidRPr="00FB3393">
        <w:rPr>
          <w:sz w:val="20"/>
          <w:szCs w:val="20"/>
        </w:rPr>
        <w:t>Australia, Austria, Bahamas, Bulgaria, Croatia, Czechia, Denmark, Fiji, Hungary, Iceland, Italy, Japan, Mexico, Peru, Slovakia, Spain, Togo, Ukraine, United Kingdom of Great Britain and Northern Ireland</w:t>
      </w:r>
    </w:p>
    <w:p w14:paraId="50752A99" w14:textId="77777777" w:rsidR="00FB3393" w:rsidRPr="00FB3393" w:rsidRDefault="00FB3393" w:rsidP="00FB3393">
      <w:pPr>
        <w:pStyle w:val="SingleTxtG"/>
        <w:ind w:left="1701"/>
        <w:rPr>
          <w:sz w:val="20"/>
          <w:szCs w:val="20"/>
        </w:rPr>
      </w:pPr>
      <w:r w:rsidRPr="00FB3393">
        <w:rPr>
          <w:i/>
          <w:iCs/>
          <w:sz w:val="20"/>
          <w:szCs w:val="20"/>
        </w:rPr>
        <w:t>Against</w:t>
      </w:r>
      <w:r w:rsidRPr="00FB3393">
        <w:rPr>
          <w:sz w:val="20"/>
          <w:szCs w:val="20"/>
        </w:rPr>
        <w:t xml:space="preserve">: </w:t>
      </w:r>
    </w:p>
    <w:p w14:paraId="39F01855" w14:textId="77777777" w:rsidR="00FB3393" w:rsidRPr="00FB3393" w:rsidRDefault="00FB3393" w:rsidP="00FB3393">
      <w:pPr>
        <w:pStyle w:val="SingleTxtG"/>
        <w:ind w:left="2268"/>
        <w:rPr>
          <w:sz w:val="20"/>
          <w:szCs w:val="20"/>
        </w:rPr>
      </w:pPr>
      <w:r w:rsidRPr="00FB3393">
        <w:rPr>
          <w:sz w:val="20"/>
          <w:szCs w:val="20"/>
        </w:rPr>
        <w:t>Cameroon, China, Cuba</w:t>
      </w:r>
    </w:p>
    <w:p w14:paraId="4AE24C2C" w14:textId="77777777" w:rsidR="00FB3393" w:rsidRPr="00FB3393" w:rsidRDefault="00FB3393" w:rsidP="00FB3393">
      <w:pPr>
        <w:pStyle w:val="SingleTxtG"/>
        <w:ind w:left="1701"/>
        <w:rPr>
          <w:sz w:val="20"/>
          <w:szCs w:val="20"/>
        </w:rPr>
      </w:pPr>
      <w:r w:rsidRPr="00FB3393">
        <w:rPr>
          <w:i/>
          <w:iCs/>
          <w:sz w:val="20"/>
          <w:szCs w:val="20"/>
        </w:rPr>
        <w:t>Abstaining</w:t>
      </w:r>
      <w:r w:rsidRPr="00FB3393">
        <w:rPr>
          <w:sz w:val="20"/>
          <w:szCs w:val="20"/>
        </w:rPr>
        <w:t xml:space="preserve">: </w:t>
      </w:r>
    </w:p>
    <w:p w14:paraId="76D6CC7C" w14:textId="77777777" w:rsidR="00FB3393" w:rsidRPr="00FB3393" w:rsidRDefault="00FB3393" w:rsidP="00FB3393">
      <w:pPr>
        <w:pStyle w:val="SingleTxtG"/>
        <w:ind w:left="2268"/>
        <w:rPr>
          <w:sz w:val="20"/>
          <w:szCs w:val="20"/>
        </w:rPr>
      </w:pPr>
      <w:r w:rsidRPr="00FB3393">
        <w:rPr>
          <w:sz w:val="20"/>
          <w:szCs w:val="20"/>
        </w:rPr>
        <w:t>Afghanistan, Angola, Argentina, Bahrain, Bangladesh, Brazil, Burkina Faso, Chile, Democratic Republic of the Congo, Egypt, Eritrea, India, Iraq, Nepal, Nigeria, Pakistan, Philippines, Qatar, Rwanda, Saudi Arabia, Senegal, Somalia, South Africa, Tunisia, Uruguay</w:t>
      </w:r>
    </w:p>
    <w:p w14:paraId="0F8AB8AB" w14:textId="42BE194B" w:rsidR="00685C05" w:rsidRDefault="00CF15B1" w:rsidP="00685C05">
      <w:pPr>
        <w:pStyle w:val="SingleTxtG"/>
        <w:rPr>
          <w:rFonts w:eastAsia="SimSun"/>
          <w:sz w:val="20"/>
          <w:szCs w:val="20"/>
          <w:lang w:eastAsia="ar-SA"/>
        </w:rPr>
      </w:pPr>
      <w:r>
        <w:rPr>
          <w:rFonts w:eastAsia="SimSun"/>
          <w:sz w:val="20"/>
          <w:szCs w:val="20"/>
          <w:lang w:eastAsia="ar-SA"/>
        </w:rPr>
        <w:t>1009</w:t>
      </w:r>
      <w:r w:rsidR="00A315CD" w:rsidRPr="0023658A">
        <w:rPr>
          <w:rFonts w:eastAsia="SimSun"/>
          <w:sz w:val="20"/>
          <w:szCs w:val="20"/>
          <w:lang w:eastAsia="ar-SA"/>
        </w:rPr>
        <w:t>.</w:t>
      </w:r>
      <w:r w:rsidR="00A315CD" w:rsidRPr="0023658A">
        <w:rPr>
          <w:rFonts w:eastAsia="SimSun"/>
          <w:sz w:val="20"/>
          <w:szCs w:val="20"/>
          <w:lang w:eastAsia="ar-SA"/>
        </w:rPr>
        <w:tab/>
        <w:t xml:space="preserve">The draft resolution was adopted by </w:t>
      </w:r>
      <w:r w:rsidR="00FB3393">
        <w:rPr>
          <w:rFonts w:eastAsia="SimSun"/>
          <w:sz w:val="20"/>
          <w:szCs w:val="20"/>
          <w:lang w:eastAsia="ar-SA"/>
        </w:rPr>
        <w:t>19</w:t>
      </w:r>
      <w:r w:rsidR="00A315CD" w:rsidRPr="0023658A">
        <w:rPr>
          <w:sz w:val="20"/>
          <w:szCs w:val="20"/>
          <w:lang w:eastAsia="ar-SA"/>
        </w:rPr>
        <w:t xml:space="preserve"> votes to </w:t>
      </w:r>
      <w:r w:rsidR="00FB3393">
        <w:rPr>
          <w:sz w:val="20"/>
          <w:szCs w:val="20"/>
          <w:lang w:eastAsia="ar-SA"/>
        </w:rPr>
        <w:t>3</w:t>
      </w:r>
      <w:r w:rsidR="00A315CD" w:rsidRPr="0023658A">
        <w:rPr>
          <w:sz w:val="20"/>
          <w:szCs w:val="20"/>
          <w:lang w:eastAsia="ar-SA"/>
        </w:rPr>
        <w:t xml:space="preserve">, with </w:t>
      </w:r>
      <w:r w:rsidR="00FB3393">
        <w:rPr>
          <w:sz w:val="20"/>
          <w:szCs w:val="20"/>
          <w:lang w:eastAsia="ar-SA"/>
        </w:rPr>
        <w:t>25</w:t>
      </w:r>
      <w:r w:rsidR="00A315CD" w:rsidRPr="0023658A">
        <w:rPr>
          <w:sz w:val="20"/>
          <w:szCs w:val="20"/>
          <w:lang w:eastAsia="ar-SA"/>
        </w:rPr>
        <w:t xml:space="preserve"> abstentions</w:t>
      </w:r>
      <w:r w:rsidR="00A315CD" w:rsidRPr="0023658A">
        <w:rPr>
          <w:rFonts w:eastAsia="SimSun"/>
          <w:sz w:val="20"/>
          <w:szCs w:val="20"/>
          <w:lang w:eastAsia="ar-SA"/>
        </w:rPr>
        <w:t xml:space="preserve"> (resolution </w:t>
      </w:r>
      <w:r w:rsidR="00A315CD">
        <w:rPr>
          <w:rFonts w:eastAsia="SimSun"/>
          <w:sz w:val="20"/>
          <w:szCs w:val="20"/>
          <w:lang w:eastAsia="ar-SA"/>
        </w:rPr>
        <w:t>40/2</w:t>
      </w:r>
      <w:r w:rsidR="00FB3393">
        <w:rPr>
          <w:rFonts w:eastAsia="SimSun"/>
          <w:sz w:val="20"/>
          <w:szCs w:val="20"/>
          <w:lang w:eastAsia="ar-SA"/>
        </w:rPr>
        <w:t>8</w:t>
      </w:r>
      <w:r w:rsidR="00A315CD" w:rsidRPr="0023658A">
        <w:rPr>
          <w:rFonts w:eastAsia="SimSun"/>
          <w:sz w:val="20"/>
          <w:szCs w:val="20"/>
          <w:lang w:eastAsia="ar-SA"/>
        </w:rPr>
        <w:t>).</w:t>
      </w:r>
    </w:p>
    <w:p w14:paraId="090F929B" w14:textId="58EEBFED" w:rsidR="00685C05" w:rsidRDefault="00685C05">
      <w:pPr>
        <w:spacing w:after="200" w:line="276" w:lineRule="auto"/>
        <w:rPr>
          <w:rFonts w:eastAsia="SimSun"/>
          <w:sz w:val="20"/>
          <w:szCs w:val="20"/>
          <w:lang w:eastAsia="ar-SA"/>
        </w:rPr>
      </w:pPr>
      <w:r>
        <w:rPr>
          <w:rFonts w:eastAsia="SimSun"/>
          <w:sz w:val="20"/>
          <w:szCs w:val="20"/>
          <w:lang w:eastAsia="ar-SA"/>
        </w:rPr>
        <w:br w:type="page"/>
      </w:r>
    </w:p>
    <w:p w14:paraId="5A45D6AA" w14:textId="14E5FD9B" w:rsidR="00685C05" w:rsidRDefault="00685C05" w:rsidP="00685C05">
      <w:pPr>
        <w:pStyle w:val="HChG"/>
        <w:suppressAutoHyphens/>
        <w:ind w:left="0" w:firstLine="0"/>
        <w:rPr>
          <w:szCs w:val="20"/>
          <w:lang w:val="en-GB"/>
        </w:rPr>
      </w:pPr>
      <w:r w:rsidRPr="00685C05">
        <w:rPr>
          <w:szCs w:val="20"/>
          <w:lang w:val="en-GB"/>
        </w:rPr>
        <w:lastRenderedPageBreak/>
        <w:t>Annex I</w:t>
      </w:r>
    </w:p>
    <w:p w14:paraId="4634290B" w14:textId="77777777" w:rsidR="00685C05" w:rsidRPr="00685C05" w:rsidRDefault="00685C05" w:rsidP="00685C05">
      <w:pPr>
        <w:pStyle w:val="SingleTxtG"/>
        <w:suppressAutoHyphens/>
        <w:spacing w:line="240" w:lineRule="atLeast"/>
        <w:jc w:val="right"/>
        <w:rPr>
          <w:i/>
          <w:sz w:val="20"/>
          <w:szCs w:val="20"/>
          <w:lang w:val="en-GB"/>
        </w:rPr>
      </w:pPr>
      <w:r w:rsidRPr="00685C05">
        <w:rPr>
          <w:i/>
          <w:sz w:val="20"/>
          <w:szCs w:val="20"/>
          <w:lang w:val="en-GB"/>
        </w:rPr>
        <w:t>[English only]</w:t>
      </w:r>
    </w:p>
    <w:p w14:paraId="6DB0C123" w14:textId="210EB0B5" w:rsidR="00685C05" w:rsidRPr="00C16037" w:rsidRDefault="00685C05" w:rsidP="00685C05">
      <w:pPr>
        <w:pStyle w:val="HChG"/>
        <w:suppressAutoHyphens/>
        <w:rPr>
          <w:color w:val="000000" w:themeColor="text1"/>
        </w:rPr>
      </w:pPr>
      <w:r>
        <w:rPr>
          <w:szCs w:val="20"/>
          <w:lang w:val="en-GB"/>
        </w:rPr>
        <w:tab/>
      </w:r>
      <w:r>
        <w:rPr>
          <w:szCs w:val="20"/>
          <w:lang w:val="en-GB"/>
        </w:rPr>
        <w:tab/>
      </w:r>
      <w:r w:rsidRPr="00685C05">
        <w:rPr>
          <w:szCs w:val="20"/>
          <w:lang w:val="en-GB"/>
        </w:rPr>
        <w:t>Attendance</w:t>
      </w:r>
    </w:p>
    <w:p w14:paraId="30EE3A80" w14:textId="02D936B4" w:rsidR="00685C05" w:rsidRDefault="00685C05" w:rsidP="00685C05">
      <w:pPr>
        <w:pStyle w:val="H1G"/>
      </w:pPr>
      <w:r w:rsidRPr="007F0F70">
        <w:tab/>
      </w:r>
      <w:r w:rsidRPr="007F0F70">
        <w:tab/>
        <w:t>Members</w:t>
      </w:r>
    </w:p>
    <w:p w14:paraId="7EDCC090" w14:textId="77777777" w:rsidR="002D3C8A" w:rsidRDefault="002D3C8A" w:rsidP="002D3C8A">
      <w:pPr>
        <w:spacing w:line="220" w:lineRule="atLeast"/>
        <w:ind w:right="-709"/>
        <w:jc w:val="both"/>
        <w:rPr>
          <w:sz w:val="20"/>
          <w:szCs w:val="20"/>
          <w:lang w:val="es-ES_tradnl"/>
        </w:rPr>
        <w:sectPr w:rsidR="002D3C8A" w:rsidSect="00DC45CD">
          <w:headerReference w:type="even" r:id="rId14"/>
          <w:headerReference w:type="default" r:id="rId15"/>
          <w:footerReference w:type="even" r:id="rId16"/>
          <w:footerReference w:type="default" r:id="rId17"/>
          <w:footerReference w:type="first" r:id="rId18"/>
          <w:endnotePr>
            <w:numFmt w:val="decimal"/>
          </w:endnotePr>
          <w:type w:val="continuous"/>
          <w:pgSz w:w="11907" w:h="16840" w:code="9"/>
          <w:pgMar w:top="1701" w:right="1134" w:bottom="2268" w:left="1134" w:header="1134" w:footer="1701" w:gutter="0"/>
          <w:cols w:space="720"/>
          <w:titlePg/>
          <w:docGrid w:linePitch="272"/>
        </w:sectPr>
      </w:pPr>
    </w:p>
    <w:p w14:paraId="7EE49AEA" w14:textId="365BE7EA" w:rsidR="002D3C8A" w:rsidRPr="002D3C8A" w:rsidRDefault="002D3C8A" w:rsidP="002D3C8A">
      <w:pPr>
        <w:suppressAutoHyphens/>
        <w:spacing w:line="240" w:lineRule="atLeast"/>
        <w:ind w:left="1134"/>
        <w:jc w:val="both"/>
        <w:rPr>
          <w:sz w:val="20"/>
          <w:szCs w:val="20"/>
          <w:lang w:val="en-GB"/>
        </w:rPr>
      </w:pPr>
      <w:r w:rsidRPr="002D3C8A">
        <w:rPr>
          <w:sz w:val="20"/>
          <w:szCs w:val="20"/>
          <w:lang w:val="en-GB"/>
        </w:rPr>
        <w:t>Afghanistan</w:t>
      </w:r>
    </w:p>
    <w:p w14:paraId="2317ECE2" w14:textId="77777777" w:rsidR="002D3C8A" w:rsidRPr="002D3C8A" w:rsidRDefault="002D3C8A" w:rsidP="002D3C8A">
      <w:pPr>
        <w:suppressAutoHyphens/>
        <w:spacing w:line="240" w:lineRule="atLeast"/>
        <w:ind w:left="1134"/>
        <w:jc w:val="both"/>
        <w:rPr>
          <w:sz w:val="20"/>
          <w:szCs w:val="20"/>
          <w:lang w:val="en-GB"/>
        </w:rPr>
      </w:pPr>
      <w:r w:rsidRPr="002D3C8A">
        <w:rPr>
          <w:sz w:val="20"/>
          <w:szCs w:val="20"/>
          <w:lang w:val="en-GB"/>
        </w:rPr>
        <w:t>Angola</w:t>
      </w:r>
    </w:p>
    <w:p w14:paraId="67E766E7" w14:textId="77777777" w:rsidR="002D3C8A" w:rsidRPr="002D3C8A" w:rsidRDefault="002D3C8A" w:rsidP="002D3C8A">
      <w:pPr>
        <w:suppressAutoHyphens/>
        <w:spacing w:line="240" w:lineRule="atLeast"/>
        <w:ind w:left="1134"/>
        <w:jc w:val="both"/>
        <w:rPr>
          <w:sz w:val="20"/>
          <w:szCs w:val="20"/>
          <w:lang w:val="en-GB"/>
        </w:rPr>
      </w:pPr>
      <w:r w:rsidRPr="002D3C8A">
        <w:rPr>
          <w:sz w:val="20"/>
          <w:szCs w:val="20"/>
          <w:lang w:val="en-GB"/>
        </w:rPr>
        <w:t>Argentina</w:t>
      </w:r>
    </w:p>
    <w:p w14:paraId="33638CBA" w14:textId="77777777" w:rsidR="002D3C8A" w:rsidRPr="002D3C8A" w:rsidRDefault="002D3C8A" w:rsidP="002D3C8A">
      <w:pPr>
        <w:suppressAutoHyphens/>
        <w:spacing w:line="240" w:lineRule="atLeast"/>
        <w:ind w:left="1134"/>
        <w:jc w:val="both"/>
        <w:rPr>
          <w:sz w:val="20"/>
          <w:szCs w:val="20"/>
          <w:lang w:val="en-GB"/>
        </w:rPr>
      </w:pPr>
      <w:r w:rsidRPr="002D3C8A">
        <w:rPr>
          <w:sz w:val="20"/>
          <w:szCs w:val="20"/>
          <w:lang w:val="en-GB"/>
        </w:rPr>
        <w:t xml:space="preserve">Australia </w:t>
      </w:r>
    </w:p>
    <w:p w14:paraId="0D1A8920" w14:textId="77777777" w:rsidR="002D3C8A" w:rsidRPr="002D3C8A" w:rsidRDefault="002D3C8A" w:rsidP="002D3C8A">
      <w:pPr>
        <w:suppressAutoHyphens/>
        <w:spacing w:line="240" w:lineRule="atLeast"/>
        <w:ind w:left="1134"/>
        <w:jc w:val="both"/>
        <w:rPr>
          <w:sz w:val="20"/>
          <w:szCs w:val="20"/>
          <w:lang w:val="en-GB"/>
        </w:rPr>
      </w:pPr>
      <w:r w:rsidRPr="002D3C8A">
        <w:rPr>
          <w:sz w:val="20"/>
          <w:szCs w:val="20"/>
          <w:lang w:val="en-GB"/>
        </w:rPr>
        <w:t>Austria</w:t>
      </w:r>
    </w:p>
    <w:p w14:paraId="4E0B4406" w14:textId="77777777" w:rsidR="002D3C8A" w:rsidRPr="002D3C8A" w:rsidRDefault="002D3C8A" w:rsidP="002D3C8A">
      <w:pPr>
        <w:suppressAutoHyphens/>
        <w:spacing w:line="240" w:lineRule="atLeast"/>
        <w:ind w:left="1134"/>
        <w:jc w:val="both"/>
        <w:rPr>
          <w:sz w:val="20"/>
          <w:szCs w:val="20"/>
          <w:lang w:val="en-GB"/>
        </w:rPr>
      </w:pPr>
      <w:r w:rsidRPr="002D3C8A">
        <w:rPr>
          <w:sz w:val="20"/>
          <w:szCs w:val="20"/>
          <w:lang w:val="en-GB"/>
        </w:rPr>
        <w:t>Bahamas</w:t>
      </w:r>
    </w:p>
    <w:p w14:paraId="213D8B40" w14:textId="77777777" w:rsidR="002D3C8A" w:rsidRPr="002D3C8A" w:rsidRDefault="002D3C8A" w:rsidP="002D3C8A">
      <w:pPr>
        <w:suppressAutoHyphens/>
        <w:spacing w:line="240" w:lineRule="atLeast"/>
        <w:ind w:left="1134"/>
        <w:jc w:val="both"/>
        <w:rPr>
          <w:sz w:val="20"/>
          <w:szCs w:val="20"/>
          <w:lang w:val="en-GB"/>
        </w:rPr>
      </w:pPr>
      <w:r w:rsidRPr="002D3C8A">
        <w:rPr>
          <w:sz w:val="20"/>
          <w:szCs w:val="20"/>
          <w:lang w:val="en-GB"/>
        </w:rPr>
        <w:t>Bahrain</w:t>
      </w:r>
    </w:p>
    <w:p w14:paraId="5113CD66" w14:textId="77777777" w:rsidR="002D3C8A" w:rsidRPr="002D3C8A" w:rsidRDefault="002D3C8A" w:rsidP="002D3C8A">
      <w:pPr>
        <w:suppressAutoHyphens/>
        <w:spacing w:line="240" w:lineRule="atLeast"/>
        <w:ind w:left="1134"/>
        <w:jc w:val="both"/>
        <w:rPr>
          <w:sz w:val="20"/>
          <w:szCs w:val="20"/>
          <w:lang w:val="en-GB"/>
        </w:rPr>
      </w:pPr>
      <w:r w:rsidRPr="002D3C8A">
        <w:rPr>
          <w:sz w:val="20"/>
          <w:szCs w:val="20"/>
          <w:lang w:val="en-GB"/>
        </w:rPr>
        <w:t xml:space="preserve">Bangladesh </w:t>
      </w:r>
    </w:p>
    <w:p w14:paraId="7FBB8FE7" w14:textId="77777777" w:rsidR="002D3C8A" w:rsidRPr="002D3C8A" w:rsidRDefault="002D3C8A" w:rsidP="002D3C8A">
      <w:pPr>
        <w:suppressAutoHyphens/>
        <w:spacing w:line="240" w:lineRule="atLeast"/>
        <w:ind w:left="1134"/>
        <w:jc w:val="both"/>
        <w:rPr>
          <w:sz w:val="20"/>
          <w:szCs w:val="20"/>
          <w:lang w:val="en-GB"/>
        </w:rPr>
      </w:pPr>
      <w:r w:rsidRPr="002D3C8A">
        <w:rPr>
          <w:sz w:val="20"/>
          <w:szCs w:val="20"/>
          <w:lang w:val="en-GB"/>
        </w:rPr>
        <w:t>Brazil</w:t>
      </w:r>
    </w:p>
    <w:p w14:paraId="598C868E" w14:textId="77777777" w:rsidR="002D3C8A" w:rsidRPr="002D3C8A" w:rsidRDefault="002D3C8A" w:rsidP="002D3C8A">
      <w:pPr>
        <w:suppressAutoHyphens/>
        <w:spacing w:line="240" w:lineRule="atLeast"/>
        <w:ind w:left="1134"/>
        <w:jc w:val="both"/>
        <w:rPr>
          <w:sz w:val="20"/>
          <w:szCs w:val="20"/>
          <w:lang w:val="en-GB"/>
        </w:rPr>
      </w:pPr>
      <w:r w:rsidRPr="002D3C8A">
        <w:rPr>
          <w:sz w:val="20"/>
          <w:szCs w:val="20"/>
          <w:lang w:val="en-GB"/>
        </w:rPr>
        <w:t>Bulgaria</w:t>
      </w:r>
    </w:p>
    <w:p w14:paraId="7F12D651" w14:textId="77777777" w:rsidR="002D3C8A" w:rsidRPr="002D3C8A" w:rsidRDefault="002D3C8A" w:rsidP="002D3C8A">
      <w:pPr>
        <w:suppressAutoHyphens/>
        <w:spacing w:line="240" w:lineRule="atLeast"/>
        <w:ind w:left="1134"/>
        <w:jc w:val="both"/>
        <w:rPr>
          <w:sz w:val="20"/>
          <w:szCs w:val="20"/>
          <w:lang w:val="en-GB"/>
        </w:rPr>
      </w:pPr>
      <w:r w:rsidRPr="002D3C8A">
        <w:rPr>
          <w:sz w:val="20"/>
          <w:szCs w:val="20"/>
          <w:lang w:val="en-GB"/>
        </w:rPr>
        <w:t>Burkina Faso</w:t>
      </w:r>
    </w:p>
    <w:p w14:paraId="10B4CE60" w14:textId="77777777" w:rsidR="002D3C8A" w:rsidRPr="002D3C8A" w:rsidRDefault="002D3C8A" w:rsidP="002D3C8A">
      <w:pPr>
        <w:suppressAutoHyphens/>
        <w:spacing w:line="240" w:lineRule="atLeast"/>
        <w:ind w:left="1134"/>
        <w:jc w:val="both"/>
        <w:rPr>
          <w:sz w:val="20"/>
          <w:szCs w:val="20"/>
          <w:lang w:val="en-GB"/>
        </w:rPr>
      </w:pPr>
      <w:r w:rsidRPr="002D3C8A">
        <w:rPr>
          <w:sz w:val="20"/>
          <w:szCs w:val="20"/>
          <w:lang w:val="en-GB"/>
        </w:rPr>
        <w:t>Cameroon</w:t>
      </w:r>
    </w:p>
    <w:p w14:paraId="035DF08D" w14:textId="77777777" w:rsidR="002D3C8A" w:rsidRPr="002D3C8A" w:rsidRDefault="002D3C8A" w:rsidP="002D3C8A">
      <w:pPr>
        <w:suppressAutoHyphens/>
        <w:spacing w:line="240" w:lineRule="atLeast"/>
        <w:ind w:left="1134"/>
        <w:jc w:val="both"/>
        <w:rPr>
          <w:sz w:val="20"/>
          <w:szCs w:val="20"/>
          <w:lang w:val="en-GB"/>
        </w:rPr>
      </w:pPr>
      <w:r w:rsidRPr="002D3C8A">
        <w:rPr>
          <w:sz w:val="20"/>
          <w:szCs w:val="20"/>
          <w:lang w:val="en-GB"/>
        </w:rPr>
        <w:t>Croatia</w:t>
      </w:r>
    </w:p>
    <w:p w14:paraId="45E20320" w14:textId="77777777" w:rsidR="002D3C8A" w:rsidRPr="002D3C8A" w:rsidRDefault="002D3C8A" w:rsidP="002D3C8A">
      <w:pPr>
        <w:suppressAutoHyphens/>
        <w:spacing w:line="240" w:lineRule="atLeast"/>
        <w:ind w:left="1134"/>
        <w:jc w:val="both"/>
        <w:rPr>
          <w:sz w:val="20"/>
          <w:szCs w:val="20"/>
          <w:lang w:val="en-GB"/>
        </w:rPr>
      </w:pPr>
      <w:r w:rsidRPr="002D3C8A">
        <w:rPr>
          <w:sz w:val="20"/>
          <w:szCs w:val="20"/>
          <w:lang w:val="en-GB"/>
        </w:rPr>
        <w:t>Cuba</w:t>
      </w:r>
    </w:p>
    <w:p w14:paraId="0A9EBB6B" w14:textId="77777777" w:rsidR="002D3C8A" w:rsidRPr="002D3C8A" w:rsidRDefault="002D3C8A" w:rsidP="002D3C8A">
      <w:pPr>
        <w:suppressAutoHyphens/>
        <w:spacing w:line="240" w:lineRule="atLeast"/>
        <w:ind w:left="1134"/>
        <w:jc w:val="both"/>
        <w:rPr>
          <w:sz w:val="20"/>
          <w:szCs w:val="20"/>
          <w:lang w:val="en-GB"/>
        </w:rPr>
      </w:pPr>
      <w:r w:rsidRPr="002D3C8A">
        <w:rPr>
          <w:sz w:val="20"/>
          <w:szCs w:val="20"/>
          <w:lang w:val="en-GB"/>
        </w:rPr>
        <w:t>Czechia</w:t>
      </w:r>
    </w:p>
    <w:p w14:paraId="0688B4B7" w14:textId="77777777" w:rsidR="002D3C8A" w:rsidRPr="002D3C8A" w:rsidRDefault="002D3C8A" w:rsidP="002D3C8A">
      <w:pPr>
        <w:suppressAutoHyphens/>
        <w:spacing w:line="240" w:lineRule="atLeast"/>
        <w:ind w:left="1134"/>
        <w:jc w:val="both"/>
        <w:rPr>
          <w:sz w:val="20"/>
          <w:szCs w:val="20"/>
          <w:lang w:val="en-GB"/>
        </w:rPr>
      </w:pPr>
      <w:r w:rsidRPr="002D3C8A">
        <w:rPr>
          <w:sz w:val="20"/>
          <w:szCs w:val="20"/>
          <w:lang w:val="en-GB"/>
        </w:rPr>
        <w:t>Chile</w:t>
      </w:r>
    </w:p>
    <w:p w14:paraId="458996D7" w14:textId="77777777" w:rsidR="002D3C8A" w:rsidRPr="002D3C8A" w:rsidRDefault="002D3C8A" w:rsidP="002D3C8A">
      <w:pPr>
        <w:suppressAutoHyphens/>
        <w:spacing w:line="240" w:lineRule="atLeast"/>
        <w:ind w:left="1134"/>
        <w:jc w:val="both"/>
        <w:rPr>
          <w:sz w:val="20"/>
          <w:szCs w:val="20"/>
          <w:lang w:val="en-GB"/>
        </w:rPr>
      </w:pPr>
      <w:r w:rsidRPr="002D3C8A">
        <w:rPr>
          <w:sz w:val="20"/>
          <w:szCs w:val="20"/>
          <w:lang w:val="en-GB"/>
        </w:rPr>
        <w:t>China</w:t>
      </w:r>
    </w:p>
    <w:p w14:paraId="4A6C7F16" w14:textId="77777777" w:rsidR="002D3C8A" w:rsidRPr="002D3C8A" w:rsidRDefault="002D3C8A" w:rsidP="002D3C8A">
      <w:pPr>
        <w:suppressAutoHyphens/>
        <w:spacing w:line="240" w:lineRule="atLeast"/>
        <w:ind w:right="567"/>
        <w:jc w:val="both"/>
        <w:rPr>
          <w:sz w:val="20"/>
          <w:szCs w:val="20"/>
          <w:lang w:val="en-GB"/>
        </w:rPr>
      </w:pPr>
      <w:r w:rsidRPr="002D3C8A">
        <w:rPr>
          <w:sz w:val="20"/>
          <w:szCs w:val="20"/>
          <w:lang w:val="en-GB"/>
        </w:rPr>
        <w:t xml:space="preserve">Democratic Republic of </w:t>
      </w:r>
      <w:r w:rsidRPr="002D3C8A">
        <w:rPr>
          <w:sz w:val="20"/>
          <w:szCs w:val="20"/>
          <w:lang w:val="en-GB"/>
        </w:rPr>
        <w:br/>
        <w:t xml:space="preserve"> the Congo</w:t>
      </w:r>
    </w:p>
    <w:p w14:paraId="3F5445AF" w14:textId="77777777" w:rsidR="002D3C8A" w:rsidRPr="002D3C8A" w:rsidRDefault="002D3C8A" w:rsidP="002D3C8A">
      <w:pPr>
        <w:suppressAutoHyphens/>
        <w:spacing w:line="240" w:lineRule="atLeast"/>
        <w:ind w:right="567"/>
        <w:jc w:val="both"/>
        <w:rPr>
          <w:sz w:val="20"/>
          <w:szCs w:val="20"/>
          <w:lang w:val="en-GB"/>
        </w:rPr>
      </w:pPr>
      <w:r w:rsidRPr="002D3C8A">
        <w:rPr>
          <w:sz w:val="20"/>
          <w:szCs w:val="20"/>
          <w:lang w:val="en-GB"/>
        </w:rPr>
        <w:t>Denmark</w:t>
      </w:r>
    </w:p>
    <w:p w14:paraId="1F022A7C" w14:textId="77777777" w:rsidR="002D3C8A" w:rsidRPr="002D3C8A" w:rsidRDefault="002D3C8A" w:rsidP="002D3C8A">
      <w:pPr>
        <w:suppressAutoHyphens/>
        <w:spacing w:line="240" w:lineRule="atLeast"/>
        <w:ind w:right="567"/>
        <w:jc w:val="both"/>
        <w:rPr>
          <w:sz w:val="20"/>
          <w:szCs w:val="20"/>
          <w:lang w:val="en-GB"/>
        </w:rPr>
      </w:pPr>
      <w:r w:rsidRPr="002D3C8A">
        <w:rPr>
          <w:sz w:val="20"/>
          <w:szCs w:val="20"/>
          <w:lang w:val="en-GB"/>
        </w:rPr>
        <w:t>Egypt</w:t>
      </w:r>
    </w:p>
    <w:p w14:paraId="31249DB5" w14:textId="77777777" w:rsidR="002D3C8A" w:rsidRPr="002D3C8A" w:rsidRDefault="002D3C8A" w:rsidP="002D3C8A">
      <w:pPr>
        <w:suppressAutoHyphens/>
        <w:spacing w:line="240" w:lineRule="atLeast"/>
        <w:ind w:right="567"/>
        <w:jc w:val="both"/>
        <w:rPr>
          <w:sz w:val="20"/>
          <w:szCs w:val="20"/>
          <w:lang w:val="en-GB"/>
        </w:rPr>
      </w:pPr>
      <w:r w:rsidRPr="002D3C8A">
        <w:rPr>
          <w:sz w:val="20"/>
          <w:szCs w:val="20"/>
          <w:lang w:val="en-GB"/>
        </w:rPr>
        <w:t>Eritrea</w:t>
      </w:r>
    </w:p>
    <w:p w14:paraId="64C2E73E" w14:textId="77777777" w:rsidR="002D3C8A" w:rsidRPr="002D3C8A" w:rsidRDefault="002D3C8A" w:rsidP="002D3C8A">
      <w:pPr>
        <w:suppressAutoHyphens/>
        <w:spacing w:line="240" w:lineRule="atLeast"/>
        <w:ind w:right="567"/>
        <w:jc w:val="both"/>
        <w:rPr>
          <w:sz w:val="20"/>
          <w:szCs w:val="20"/>
          <w:lang w:val="en-GB"/>
        </w:rPr>
      </w:pPr>
      <w:r w:rsidRPr="002D3C8A">
        <w:rPr>
          <w:sz w:val="20"/>
          <w:szCs w:val="20"/>
          <w:lang w:val="en-GB"/>
        </w:rPr>
        <w:t>Fiji</w:t>
      </w:r>
    </w:p>
    <w:p w14:paraId="242E2219" w14:textId="77777777" w:rsidR="002D3C8A" w:rsidRPr="002D3C8A" w:rsidRDefault="002D3C8A" w:rsidP="002D3C8A">
      <w:pPr>
        <w:suppressAutoHyphens/>
        <w:spacing w:line="240" w:lineRule="atLeast"/>
        <w:ind w:right="567"/>
        <w:jc w:val="both"/>
        <w:rPr>
          <w:sz w:val="20"/>
          <w:szCs w:val="20"/>
          <w:lang w:val="en-GB"/>
        </w:rPr>
      </w:pPr>
      <w:r w:rsidRPr="002D3C8A">
        <w:rPr>
          <w:sz w:val="20"/>
          <w:szCs w:val="20"/>
          <w:lang w:val="en-GB"/>
        </w:rPr>
        <w:t>Hungary</w:t>
      </w:r>
    </w:p>
    <w:p w14:paraId="18DED421" w14:textId="77777777" w:rsidR="002D3C8A" w:rsidRPr="002D3C8A" w:rsidRDefault="002D3C8A" w:rsidP="002D3C8A">
      <w:pPr>
        <w:suppressAutoHyphens/>
        <w:spacing w:line="240" w:lineRule="atLeast"/>
        <w:ind w:right="567"/>
        <w:jc w:val="both"/>
        <w:rPr>
          <w:sz w:val="20"/>
          <w:szCs w:val="20"/>
          <w:lang w:val="en-GB"/>
        </w:rPr>
      </w:pPr>
      <w:r w:rsidRPr="002D3C8A">
        <w:rPr>
          <w:sz w:val="20"/>
          <w:szCs w:val="20"/>
          <w:lang w:val="en-GB"/>
        </w:rPr>
        <w:t>Iceland</w:t>
      </w:r>
    </w:p>
    <w:p w14:paraId="377CAE8F" w14:textId="77777777" w:rsidR="002D3C8A" w:rsidRPr="002D3C8A" w:rsidRDefault="002D3C8A" w:rsidP="002D3C8A">
      <w:pPr>
        <w:suppressAutoHyphens/>
        <w:spacing w:line="240" w:lineRule="atLeast"/>
        <w:ind w:right="567"/>
        <w:jc w:val="both"/>
        <w:rPr>
          <w:sz w:val="20"/>
          <w:szCs w:val="20"/>
          <w:lang w:val="en-GB"/>
        </w:rPr>
      </w:pPr>
      <w:r w:rsidRPr="002D3C8A">
        <w:rPr>
          <w:sz w:val="20"/>
          <w:szCs w:val="20"/>
          <w:lang w:val="en-GB"/>
        </w:rPr>
        <w:t>India</w:t>
      </w:r>
    </w:p>
    <w:p w14:paraId="4541831C" w14:textId="77777777" w:rsidR="002D3C8A" w:rsidRPr="002D3C8A" w:rsidRDefault="002D3C8A" w:rsidP="002D3C8A">
      <w:pPr>
        <w:suppressAutoHyphens/>
        <w:spacing w:line="240" w:lineRule="atLeast"/>
        <w:ind w:right="567"/>
        <w:jc w:val="both"/>
        <w:rPr>
          <w:sz w:val="20"/>
          <w:szCs w:val="20"/>
          <w:lang w:val="en-GB"/>
        </w:rPr>
      </w:pPr>
      <w:r w:rsidRPr="002D3C8A">
        <w:rPr>
          <w:sz w:val="20"/>
          <w:szCs w:val="20"/>
          <w:lang w:val="en-GB"/>
        </w:rPr>
        <w:t>Iraq</w:t>
      </w:r>
    </w:p>
    <w:p w14:paraId="7D4F96DE" w14:textId="77777777" w:rsidR="002D3C8A" w:rsidRPr="002D3C8A" w:rsidRDefault="002D3C8A" w:rsidP="002D3C8A">
      <w:pPr>
        <w:suppressAutoHyphens/>
        <w:spacing w:line="240" w:lineRule="atLeast"/>
        <w:ind w:right="567"/>
        <w:jc w:val="both"/>
        <w:rPr>
          <w:sz w:val="20"/>
          <w:szCs w:val="20"/>
          <w:lang w:val="en-GB"/>
        </w:rPr>
      </w:pPr>
      <w:r w:rsidRPr="002D3C8A">
        <w:rPr>
          <w:sz w:val="20"/>
          <w:szCs w:val="20"/>
          <w:lang w:val="en-GB"/>
        </w:rPr>
        <w:t>Italy</w:t>
      </w:r>
    </w:p>
    <w:p w14:paraId="715BD0B6" w14:textId="77777777" w:rsidR="002D3C8A" w:rsidRPr="002D3C8A" w:rsidRDefault="002D3C8A" w:rsidP="002D3C8A">
      <w:pPr>
        <w:suppressAutoHyphens/>
        <w:spacing w:line="240" w:lineRule="atLeast"/>
        <w:ind w:right="567"/>
        <w:jc w:val="both"/>
        <w:rPr>
          <w:sz w:val="20"/>
          <w:szCs w:val="20"/>
          <w:lang w:val="en-GB"/>
        </w:rPr>
      </w:pPr>
      <w:r w:rsidRPr="002D3C8A">
        <w:rPr>
          <w:sz w:val="20"/>
          <w:szCs w:val="20"/>
          <w:lang w:val="en-GB"/>
        </w:rPr>
        <w:t>Japan</w:t>
      </w:r>
    </w:p>
    <w:p w14:paraId="6A62BEF1" w14:textId="77777777" w:rsidR="002D3C8A" w:rsidRPr="002D3C8A" w:rsidRDefault="002D3C8A" w:rsidP="002D3C8A">
      <w:pPr>
        <w:suppressAutoHyphens/>
        <w:spacing w:line="240" w:lineRule="atLeast"/>
        <w:ind w:right="567"/>
        <w:jc w:val="both"/>
        <w:rPr>
          <w:sz w:val="20"/>
          <w:szCs w:val="20"/>
          <w:lang w:val="en-GB"/>
        </w:rPr>
      </w:pPr>
      <w:r w:rsidRPr="002D3C8A">
        <w:rPr>
          <w:sz w:val="20"/>
          <w:szCs w:val="20"/>
          <w:lang w:val="en-GB"/>
        </w:rPr>
        <w:t>Mexico</w:t>
      </w:r>
    </w:p>
    <w:p w14:paraId="694401E2" w14:textId="77777777" w:rsidR="002D3C8A" w:rsidRPr="002D3C8A" w:rsidRDefault="002D3C8A" w:rsidP="002D3C8A">
      <w:pPr>
        <w:suppressAutoHyphens/>
        <w:spacing w:line="240" w:lineRule="atLeast"/>
        <w:ind w:right="567"/>
        <w:jc w:val="both"/>
        <w:rPr>
          <w:sz w:val="20"/>
          <w:szCs w:val="20"/>
          <w:lang w:val="en-GB"/>
        </w:rPr>
      </w:pPr>
      <w:r w:rsidRPr="002D3C8A">
        <w:rPr>
          <w:sz w:val="20"/>
          <w:szCs w:val="20"/>
          <w:lang w:val="en-GB"/>
        </w:rPr>
        <w:t xml:space="preserve">Nepal </w:t>
      </w:r>
    </w:p>
    <w:p w14:paraId="71092F3D" w14:textId="77777777" w:rsidR="002D3C8A" w:rsidRPr="002D3C8A" w:rsidRDefault="002D3C8A" w:rsidP="002D3C8A">
      <w:pPr>
        <w:suppressAutoHyphens/>
        <w:spacing w:line="240" w:lineRule="atLeast"/>
        <w:ind w:right="567"/>
        <w:jc w:val="both"/>
        <w:rPr>
          <w:sz w:val="20"/>
          <w:szCs w:val="20"/>
          <w:lang w:val="en-GB"/>
        </w:rPr>
      </w:pPr>
      <w:r w:rsidRPr="002D3C8A">
        <w:rPr>
          <w:sz w:val="20"/>
          <w:szCs w:val="20"/>
          <w:lang w:val="en-GB"/>
        </w:rPr>
        <w:t>Nigeria</w:t>
      </w:r>
    </w:p>
    <w:p w14:paraId="086625D5" w14:textId="77777777" w:rsidR="002D3C8A" w:rsidRPr="002D3C8A" w:rsidRDefault="002D3C8A" w:rsidP="002D3C8A">
      <w:pPr>
        <w:suppressAutoHyphens/>
        <w:spacing w:line="240" w:lineRule="atLeast"/>
        <w:ind w:right="567"/>
        <w:jc w:val="both"/>
        <w:rPr>
          <w:sz w:val="20"/>
          <w:szCs w:val="20"/>
          <w:lang w:val="en-GB"/>
        </w:rPr>
      </w:pPr>
      <w:r w:rsidRPr="002D3C8A">
        <w:rPr>
          <w:sz w:val="20"/>
          <w:szCs w:val="20"/>
          <w:lang w:val="en-GB"/>
        </w:rPr>
        <w:t>Pakistan</w:t>
      </w:r>
    </w:p>
    <w:p w14:paraId="51C61ACB" w14:textId="77777777" w:rsidR="002D3C8A" w:rsidRPr="002D3C8A" w:rsidRDefault="002D3C8A" w:rsidP="002D3C8A">
      <w:pPr>
        <w:suppressAutoHyphens/>
        <w:spacing w:line="240" w:lineRule="atLeast"/>
        <w:ind w:right="567"/>
        <w:jc w:val="both"/>
        <w:rPr>
          <w:sz w:val="20"/>
          <w:szCs w:val="20"/>
          <w:lang w:val="en-GB"/>
        </w:rPr>
      </w:pPr>
      <w:r w:rsidRPr="002D3C8A">
        <w:rPr>
          <w:sz w:val="20"/>
          <w:szCs w:val="20"/>
          <w:lang w:val="en-GB"/>
        </w:rPr>
        <w:t>Peru</w:t>
      </w:r>
    </w:p>
    <w:p w14:paraId="37FEC35A" w14:textId="77777777" w:rsidR="002D3C8A" w:rsidRPr="002D3C8A" w:rsidRDefault="002D3C8A" w:rsidP="002D3C8A">
      <w:pPr>
        <w:suppressAutoHyphens/>
        <w:spacing w:line="240" w:lineRule="atLeast"/>
        <w:jc w:val="both"/>
        <w:rPr>
          <w:sz w:val="20"/>
          <w:szCs w:val="20"/>
          <w:lang w:val="en-GB"/>
        </w:rPr>
      </w:pPr>
      <w:r w:rsidRPr="002D3C8A">
        <w:rPr>
          <w:sz w:val="20"/>
          <w:szCs w:val="20"/>
          <w:lang w:val="en-GB"/>
        </w:rPr>
        <w:t>Philippines</w:t>
      </w:r>
    </w:p>
    <w:p w14:paraId="439912DC" w14:textId="77777777" w:rsidR="002D3C8A" w:rsidRPr="002D3C8A" w:rsidRDefault="002D3C8A" w:rsidP="002D3C8A">
      <w:pPr>
        <w:suppressAutoHyphens/>
        <w:spacing w:line="240" w:lineRule="atLeast"/>
        <w:jc w:val="both"/>
        <w:rPr>
          <w:sz w:val="20"/>
          <w:szCs w:val="20"/>
          <w:lang w:val="en-GB"/>
        </w:rPr>
      </w:pPr>
      <w:r w:rsidRPr="002D3C8A">
        <w:rPr>
          <w:sz w:val="20"/>
          <w:szCs w:val="20"/>
          <w:lang w:val="en-GB"/>
        </w:rPr>
        <w:t>Qatar</w:t>
      </w:r>
    </w:p>
    <w:p w14:paraId="6275607B" w14:textId="77777777" w:rsidR="002D3C8A" w:rsidRPr="002D3C8A" w:rsidRDefault="002D3C8A" w:rsidP="002D3C8A">
      <w:pPr>
        <w:suppressAutoHyphens/>
        <w:spacing w:line="240" w:lineRule="atLeast"/>
        <w:jc w:val="both"/>
        <w:rPr>
          <w:sz w:val="20"/>
          <w:szCs w:val="20"/>
          <w:lang w:val="en-GB"/>
        </w:rPr>
      </w:pPr>
      <w:r w:rsidRPr="002D3C8A">
        <w:rPr>
          <w:sz w:val="20"/>
          <w:szCs w:val="20"/>
          <w:lang w:val="en-GB"/>
        </w:rPr>
        <w:t>Rwanda</w:t>
      </w:r>
    </w:p>
    <w:p w14:paraId="4C03315D" w14:textId="77777777" w:rsidR="002D3C8A" w:rsidRPr="002D3C8A" w:rsidRDefault="002D3C8A" w:rsidP="002D3C8A">
      <w:pPr>
        <w:suppressAutoHyphens/>
        <w:spacing w:line="240" w:lineRule="atLeast"/>
        <w:jc w:val="both"/>
        <w:rPr>
          <w:sz w:val="20"/>
          <w:szCs w:val="20"/>
          <w:lang w:val="en-GB"/>
        </w:rPr>
      </w:pPr>
      <w:r w:rsidRPr="002D3C8A">
        <w:rPr>
          <w:sz w:val="20"/>
          <w:szCs w:val="20"/>
          <w:lang w:val="en-GB"/>
        </w:rPr>
        <w:t>Saudi Arabia</w:t>
      </w:r>
    </w:p>
    <w:p w14:paraId="31899F18" w14:textId="77777777" w:rsidR="002D3C8A" w:rsidRPr="002D3C8A" w:rsidRDefault="002D3C8A" w:rsidP="002D3C8A">
      <w:pPr>
        <w:suppressAutoHyphens/>
        <w:spacing w:line="240" w:lineRule="atLeast"/>
        <w:jc w:val="both"/>
        <w:rPr>
          <w:sz w:val="20"/>
          <w:szCs w:val="20"/>
          <w:lang w:val="en-GB"/>
        </w:rPr>
      </w:pPr>
      <w:r w:rsidRPr="002D3C8A">
        <w:rPr>
          <w:sz w:val="20"/>
          <w:szCs w:val="20"/>
          <w:lang w:val="en-GB"/>
        </w:rPr>
        <w:t>Senegal</w:t>
      </w:r>
    </w:p>
    <w:p w14:paraId="07A91B30" w14:textId="77777777" w:rsidR="002D3C8A" w:rsidRPr="002D3C8A" w:rsidRDefault="002D3C8A" w:rsidP="002D3C8A">
      <w:pPr>
        <w:suppressAutoHyphens/>
        <w:spacing w:line="240" w:lineRule="atLeast"/>
        <w:jc w:val="both"/>
        <w:rPr>
          <w:sz w:val="20"/>
          <w:szCs w:val="20"/>
          <w:lang w:val="en-GB"/>
        </w:rPr>
      </w:pPr>
      <w:r w:rsidRPr="002D3C8A">
        <w:rPr>
          <w:sz w:val="20"/>
          <w:szCs w:val="20"/>
          <w:lang w:val="en-GB"/>
        </w:rPr>
        <w:t>Slovakia</w:t>
      </w:r>
    </w:p>
    <w:p w14:paraId="7D84AE24" w14:textId="77777777" w:rsidR="002D3C8A" w:rsidRPr="002D3C8A" w:rsidRDefault="002D3C8A" w:rsidP="002D3C8A">
      <w:pPr>
        <w:suppressAutoHyphens/>
        <w:spacing w:line="240" w:lineRule="atLeast"/>
        <w:jc w:val="both"/>
        <w:rPr>
          <w:sz w:val="20"/>
          <w:szCs w:val="20"/>
          <w:lang w:val="en-GB"/>
        </w:rPr>
      </w:pPr>
      <w:r w:rsidRPr="002D3C8A">
        <w:rPr>
          <w:sz w:val="20"/>
          <w:szCs w:val="20"/>
          <w:lang w:val="en-GB"/>
        </w:rPr>
        <w:t>Somalia</w:t>
      </w:r>
    </w:p>
    <w:p w14:paraId="661993A3" w14:textId="77777777" w:rsidR="002D3C8A" w:rsidRPr="002D3C8A" w:rsidRDefault="002D3C8A" w:rsidP="002D3C8A">
      <w:pPr>
        <w:suppressAutoHyphens/>
        <w:spacing w:line="240" w:lineRule="atLeast"/>
        <w:jc w:val="both"/>
        <w:rPr>
          <w:sz w:val="20"/>
          <w:szCs w:val="20"/>
          <w:lang w:val="en-GB"/>
        </w:rPr>
      </w:pPr>
      <w:r w:rsidRPr="002D3C8A">
        <w:rPr>
          <w:sz w:val="20"/>
          <w:szCs w:val="20"/>
          <w:lang w:val="en-GB"/>
        </w:rPr>
        <w:t>South Africa</w:t>
      </w:r>
    </w:p>
    <w:p w14:paraId="7E41B817" w14:textId="77777777" w:rsidR="002D3C8A" w:rsidRPr="002D3C8A" w:rsidRDefault="002D3C8A" w:rsidP="002D3C8A">
      <w:pPr>
        <w:suppressAutoHyphens/>
        <w:spacing w:line="240" w:lineRule="atLeast"/>
        <w:jc w:val="both"/>
        <w:rPr>
          <w:sz w:val="20"/>
          <w:szCs w:val="20"/>
          <w:lang w:val="en-GB"/>
        </w:rPr>
      </w:pPr>
      <w:r w:rsidRPr="002D3C8A">
        <w:rPr>
          <w:sz w:val="20"/>
          <w:szCs w:val="20"/>
          <w:lang w:val="en-GB"/>
        </w:rPr>
        <w:t>Spain</w:t>
      </w:r>
    </w:p>
    <w:p w14:paraId="3A404F6E" w14:textId="77777777" w:rsidR="002D3C8A" w:rsidRPr="002D3C8A" w:rsidRDefault="002D3C8A" w:rsidP="002D3C8A">
      <w:pPr>
        <w:suppressAutoHyphens/>
        <w:spacing w:line="240" w:lineRule="atLeast"/>
        <w:jc w:val="both"/>
        <w:rPr>
          <w:sz w:val="20"/>
          <w:szCs w:val="20"/>
          <w:lang w:val="en-GB"/>
        </w:rPr>
      </w:pPr>
      <w:r w:rsidRPr="002D3C8A">
        <w:rPr>
          <w:sz w:val="20"/>
          <w:szCs w:val="20"/>
          <w:lang w:val="en-GB"/>
        </w:rPr>
        <w:t>Togo</w:t>
      </w:r>
    </w:p>
    <w:p w14:paraId="5033F937" w14:textId="77777777" w:rsidR="002D3C8A" w:rsidRPr="002D3C8A" w:rsidRDefault="002D3C8A" w:rsidP="002D3C8A">
      <w:pPr>
        <w:suppressAutoHyphens/>
        <w:spacing w:line="240" w:lineRule="atLeast"/>
        <w:jc w:val="both"/>
        <w:rPr>
          <w:sz w:val="20"/>
          <w:szCs w:val="20"/>
          <w:lang w:val="en-GB"/>
        </w:rPr>
      </w:pPr>
      <w:r w:rsidRPr="002D3C8A">
        <w:rPr>
          <w:sz w:val="20"/>
          <w:szCs w:val="20"/>
          <w:lang w:val="en-GB"/>
        </w:rPr>
        <w:t>Tunisia</w:t>
      </w:r>
    </w:p>
    <w:p w14:paraId="74EC8D0B" w14:textId="77777777" w:rsidR="002D3C8A" w:rsidRPr="002D3C8A" w:rsidRDefault="002D3C8A" w:rsidP="002D3C8A">
      <w:pPr>
        <w:suppressAutoHyphens/>
        <w:spacing w:line="240" w:lineRule="atLeast"/>
        <w:jc w:val="both"/>
        <w:rPr>
          <w:sz w:val="20"/>
          <w:szCs w:val="20"/>
          <w:lang w:val="en-GB"/>
        </w:rPr>
      </w:pPr>
      <w:r w:rsidRPr="002D3C8A">
        <w:rPr>
          <w:sz w:val="20"/>
          <w:szCs w:val="20"/>
          <w:lang w:val="en-GB"/>
        </w:rPr>
        <w:t>Ukraine</w:t>
      </w:r>
      <w:r w:rsidRPr="002D3C8A">
        <w:rPr>
          <w:sz w:val="20"/>
          <w:szCs w:val="20"/>
          <w:lang w:val="en-GB"/>
        </w:rPr>
        <w:tab/>
      </w:r>
    </w:p>
    <w:p w14:paraId="31EBC593" w14:textId="77777777" w:rsidR="002D3C8A" w:rsidRPr="002D3C8A" w:rsidRDefault="002D3C8A" w:rsidP="002D3C8A">
      <w:pPr>
        <w:suppressAutoHyphens/>
        <w:spacing w:line="240" w:lineRule="atLeast"/>
        <w:jc w:val="both"/>
        <w:rPr>
          <w:sz w:val="20"/>
          <w:szCs w:val="20"/>
          <w:lang w:val="en-GB"/>
        </w:rPr>
      </w:pPr>
      <w:r w:rsidRPr="002D3C8A">
        <w:rPr>
          <w:sz w:val="20"/>
          <w:szCs w:val="20"/>
          <w:lang w:val="en-GB"/>
        </w:rPr>
        <w:t xml:space="preserve">United Kingdom of Great </w:t>
      </w:r>
      <w:r w:rsidRPr="002D3C8A">
        <w:rPr>
          <w:sz w:val="20"/>
          <w:szCs w:val="20"/>
          <w:lang w:val="en-GB"/>
        </w:rPr>
        <w:br/>
        <w:t xml:space="preserve"> Britain and Northern Ireland</w:t>
      </w:r>
    </w:p>
    <w:p w14:paraId="62144B77" w14:textId="3D076581" w:rsidR="00685C05" w:rsidRPr="002D3C8A" w:rsidRDefault="002D3C8A" w:rsidP="002D3C8A">
      <w:pPr>
        <w:suppressAutoHyphens/>
        <w:spacing w:line="240" w:lineRule="atLeast"/>
        <w:jc w:val="both"/>
        <w:rPr>
          <w:sz w:val="20"/>
          <w:szCs w:val="20"/>
          <w:lang w:val="en-GB"/>
        </w:rPr>
      </w:pPr>
      <w:r w:rsidRPr="002D3C8A">
        <w:rPr>
          <w:sz w:val="20"/>
          <w:szCs w:val="20"/>
          <w:lang w:val="en-GB"/>
        </w:rPr>
        <w:t>Uruguay</w:t>
      </w:r>
    </w:p>
    <w:p w14:paraId="6EE33074" w14:textId="77777777" w:rsidR="002D3C8A" w:rsidRPr="002D3C8A" w:rsidRDefault="002D3C8A" w:rsidP="002D3C8A">
      <w:pPr>
        <w:suppressAutoHyphens/>
        <w:spacing w:line="240" w:lineRule="atLeast"/>
        <w:ind w:left="1134"/>
        <w:jc w:val="both"/>
        <w:rPr>
          <w:sz w:val="20"/>
          <w:szCs w:val="20"/>
          <w:lang w:val="en-GB"/>
        </w:rPr>
        <w:sectPr w:rsidR="002D3C8A" w:rsidRPr="002D3C8A" w:rsidSect="002D3C8A">
          <w:endnotePr>
            <w:numFmt w:val="decimal"/>
          </w:endnotePr>
          <w:type w:val="continuous"/>
          <w:pgSz w:w="11907" w:h="16840" w:code="9"/>
          <w:pgMar w:top="1701" w:right="1134" w:bottom="2268" w:left="1134" w:header="1134" w:footer="1701" w:gutter="0"/>
          <w:cols w:num="3" w:space="567"/>
          <w:titlePg/>
          <w:docGrid w:linePitch="272"/>
        </w:sectPr>
      </w:pPr>
    </w:p>
    <w:p w14:paraId="1F8A7B8B" w14:textId="5096C25E" w:rsidR="002D3C8A" w:rsidRPr="007F0F70" w:rsidRDefault="002D3C8A" w:rsidP="002D3C8A">
      <w:pPr>
        <w:pStyle w:val="H1G"/>
        <w:sectPr w:rsidR="002D3C8A" w:rsidRPr="007F0F70" w:rsidSect="00DC45CD">
          <w:endnotePr>
            <w:numFmt w:val="decimal"/>
          </w:endnotePr>
          <w:type w:val="continuous"/>
          <w:pgSz w:w="11907" w:h="16840" w:code="9"/>
          <w:pgMar w:top="1701" w:right="1134" w:bottom="2268" w:left="1134" w:header="1134" w:footer="1701" w:gutter="0"/>
          <w:cols w:space="720"/>
          <w:titlePg/>
          <w:docGrid w:linePitch="272"/>
        </w:sectPr>
      </w:pPr>
      <w:r w:rsidRPr="007F0F70">
        <w:tab/>
      </w:r>
      <w:r w:rsidRPr="007F0F70">
        <w:tab/>
        <w:t xml:space="preserve">States Members of the United </w:t>
      </w:r>
      <w:r>
        <w:t>Nations represented by observers</w:t>
      </w:r>
    </w:p>
    <w:p w14:paraId="538BFB92" w14:textId="77777777" w:rsidR="00EE1679" w:rsidRPr="00EE1679" w:rsidRDefault="00EE1679" w:rsidP="00EE1679">
      <w:pPr>
        <w:suppressAutoHyphens/>
        <w:spacing w:line="220" w:lineRule="atLeast"/>
        <w:ind w:left="1134"/>
        <w:jc w:val="both"/>
        <w:rPr>
          <w:sz w:val="20"/>
          <w:szCs w:val="20"/>
          <w:lang w:val="es-ES"/>
        </w:rPr>
      </w:pPr>
      <w:r w:rsidRPr="00EE1679">
        <w:rPr>
          <w:sz w:val="20"/>
          <w:szCs w:val="20"/>
          <w:lang w:val="es-ES"/>
        </w:rPr>
        <w:t>Albania</w:t>
      </w:r>
    </w:p>
    <w:p w14:paraId="3C3EF797" w14:textId="77777777" w:rsidR="00EE1679" w:rsidRPr="00EE1679" w:rsidRDefault="00EE1679" w:rsidP="00EE1679">
      <w:pPr>
        <w:suppressAutoHyphens/>
        <w:spacing w:line="220" w:lineRule="atLeast"/>
        <w:ind w:left="1134"/>
        <w:jc w:val="both"/>
        <w:rPr>
          <w:sz w:val="20"/>
          <w:szCs w:val="20"/>
          <w:lang w:val="es-ES"/>
        </w:rPr>
      </w:pPr>
      <w:r w:rsidRPr="00EE1679">
        <w:rPr>
          <w:sz w:val="20"/>
          <w:szCs w:val="20"/>
          <w:lang w:val="es-ES"/>
        </w:rPr>
        <w:t>Algeria</w:t>
      </w:r>
    </w:p>
    <w:p w14:paraId="56AD36BE" w14:textId="77777777" w:rsidR="00EE1679" w:rsidRPr="00EE1679" w:rsidRDefault="00EE1679" w:rsidP="00EE1679">
      <w:pPr>
        <w:suppressAutoHyphens/>
        <w:spacing w:line="220" w:lineRule="atLeast"/>
        <w:ind w:left="1134"/>
        <w:jc w:val="both"/>
        <w:rPr>
          <w:sz w:val="20"/>
          <w:szCs w:val="20"/>
          <w:lang w:val="es-ES"/>
        </w:rPr>
      </w:pPr>
      <w:r w:rsidRPr="00EE1679">
        <w:rPr>
          <w:sz w:val="20"/>
          <w:szCs w:val="20"/>
          <w:lang w:val="es-ES"/>
        </w:rPr>
        <w:t>Armenia</w:t>
      </w:r>
    </w:p>
    <w:p w14:paraId="4E19FD86" w14:textId="77777777" w:rsidR="00EE1679" w:rsidRPr="00EE1679" w:rsidRDefault="00EE1679" w:rsidP="00EE1679">
      <w:pPr>
        <w:suppressAutoHyphens/>
        <w:spacing w:line="220" w:lineRule="atLeast"/>
        <w:ind w:left="1134"/>
        <w:jc w:val="both"/>
        <w:rPr>
          <w:sz w:val="20"/>
          <w:szCs w:val="20"/>
          <w:lang w:val="es-ES"/>
        </w:rPr>
      </w:pPr>
      <w:r w:rsidRPr="00EE1679">
        <w:rPr>
          <w:sz w:val="20"/>
          <w:szCs w:val="20"/>
          <w:lang w:val="es-ES"/>
        </w:rPr>
        <w:t>Azerbaijan</w:t>
      </w:r>
    </w:p>
    <w:p w14:paraId="561FEA1A" w14:textId="77777777" w:rsidR="00EE1679" w:rsidRPr="00EE1679" w:rsidRDefault="00EE1679" w:rsidP="00EE1679">
      <w:pPr>
        <w:suppressAutoHyphens/>
        <w:spacing w:line="220" w:lineRule="atLeast"/>
        <w:ind w:left="1134"/>
        <w:jc w:val="both"/>
        <w:rPr>
          <w:sz w:val="20"/>
          <w:szCs w:val="20"/>
          <w:lang w:val="es-ES"/>
        </w:rPr>
      </w:pPr>
      <w:r w:rsidRPr="00EE1679">
        <w:rPr>
          <w:sz w:val="20"/>
          <w:szCs w:val="20"/>
          <w:lang w:val="es-ES"/>
        </w:rPr>
        <w:t>Barbados</w:t>
      </w:r>
    </w:p>
    <w:p w14:paraId="2164BAEB" w14:textId="77777777" w:rsidR="00EE1679" w:rsidRPr="00EE1679" w:rsidRDefault="00EE1679" w:rsidP="00EE1679">
      <w:pPr>
        <w:suppressAutoHyphens/>
        <w:spacing w:line="220" w:lineRule="atLeast"/>
        <w:ind w:left="1134"/>
        <w:jc w:val="both"/>
        <w:rPr>
          <w:sz w:val="20"/>
          <w:szCs w:val="20"/>
          <w:lang w:val="es-ES"/>
        </w:rPr>
      </w:pPr>
      <w:r w:rsidRPr="00EE1679">
        <w:rPr>
          <w:sz w:val="20"/>
          <w:szCs w:val="20"/>
          <w:lang w:val="es-ES"/>
        </w:rPr>
        <w:t>Belarus</w:t>
      </w:r>
    </w:p>
    <w:p w14:paraId="30638A2F" w14:textId="77777777" w:rsidR="00EE1679" w:rsidRPr="00EE1679" w:rsidRDefault="00EE1679" w:rsidP="00EE1679">
      <w:pPr>
        <w:suppressAutoHyphens/>
        <w:spacing w:line="220" w:lineRule="atLeast"/>
        <w:ind w:left="1134"/>
        <w:jc w:val="both"/>
        <w:rPr>
          <w:sz w:val="20"/>
          <w:szCs w:val="20"/>
          <w:lang w:val="es-ES"/>
        </w:rPr>
      </w:pPr>
      <w:r w:rsidRPr="00EE1679">
        <w:rPr>
          <w:sz w:val="20"/>
          <w:szCs w:val="20"/>
          <w:lang w:val="es-ES"/>
        </w:rPr>
        <w:t>Belgium</w:t>
      </w:r>
    </w:p>
    <w:p w14:paraId="75B90B7B" w14:textId="77777777" w:rsidR="00EE1679" w:rsidRPr="00EE1679" w:rsidRDefault="00EE1679" w:rsidP="00EE1679">
      <w:pPr>
        <w:suppressAutoHyphens/>
        <w:spacing w:line="220" w:lineRule="atLeast"/>
        <w:ind w:left="1134"/>
        <w:jc w:val="both"/>
        <w:rPr>
          <w:sz w:val="20"/>
          <w:szCs w:val="20"/>
          <w:lang w:val="es-ES"/>
        </w:rPr>
      </w:pPr>
      <w:r w:rsidRPr="00EE1679">
        <w:rPr>
          <w:sz w:val="20"/>
          <w:szCs w:val="20"/>
          <w:lang w:val="es-ES"/>
        </w:rPr>
        <w:t>Belize</w:t>
      </w:r>
    </w:p>
    <w:p w14:paraId="56FA68CA" w14:textId="77777777" w:rsidR="00EE1679" w:rsidRPr="00EE1679" w:rsidRDefault="00EE1679" w:rsidP="00EE1679">
      <w:pPr>
        <w:suppressAutoHyphens/>
        <w:spacing w:line="220" w:lineRule="atLeast"/>
        <w:ind w:left="1134"/>
        <w:jc w:val="both"/>
        <w:rPr>
          <w:sz w:val="20"/>
          <w:szCs w:val="20"/>
          <w:lang w:val="es-ES"/>
        </w:rPr>
      </w:pPr>
      <w:r w:rsidRPr="00EE1679">
        <w:rPr>
          <w:sz w:val="20"/>
          <w:szCs w:val="20"/>
          <w:lang w:val="es-ES"/>
        </w:rPr>
        <w:t>Benin</w:t>
      </w:r>
    </w:p>
    <w:p w14:paraId="5F92F801" w14:textId="77777777" w:rsidR="00EE1679" w:rsidRPr="00EE1679" w:rsidRDefault="00EE1679" w:rsidP="00EE1679">
      <w:pPr>
        <w:suppressAutoHyphens/>
        <w:spacing w:line="220" w:lineRule="atLeast"/>
        <w:ind w:left="1134"/>
        <w:jc w:val="both"/>
        <w:rPr>
          <w:sz w:val="20"/>
          <w:szCs w:val="20"/>
          <w:lang w:val="es-ES"/>
        </w:rPr>
      </w:pPr>
      <w:r w:rsidRPr="00EE1679">
        <w:rPr>
          <w:sz w:val="20"/>
          <w:szCs w:val="20"/>
          <w:lang w:val="es-ES"/>
        </w:rPr>
        <w:t>Bhutan</w:t>
      </w:r>
    </w:p>
    <w:p w14:paraId="24412A69" w14:textId="77777777" w:rsidR="00EE1679" w:rsidRPr="00EE1679" w:rsidRDefault="00EE1679" w:rsidP="00EE1679">
      <w:pPr>
        <w:suppressAutoHyphens/>
        <w:spacing w:line="220" w:lineRule="atLeast"/>
        <w:ind w:left="1134"/>
        <w:jc w:val="both"/>
        <w:rPr>
          <w:sz w:val="20"/>
          <w:szCs w:val="20"/>
          <w:lang w:val="es-ES"/>
        </w:rPr>
      </w:pPr>
      <w:r w:rsidRPr="00EE1679">
        <w:rPr>
          <w:sz w:val="20"/>
          <w:szCs w:val="20"/>
          <w:lang w:val="es-ES"/>
        </w:rPr>
        <w:t>Bolivia (Plurinational</w:t>
      </w:r>
    </w:p>
    <w:p w14:paraId="7304D522" w14:textId="77777777" w:rsidR="00EE1679" w:rsidRPr="00EE1679" w:rsidRDefault="00EE1679" w:rsidP="00EE1679">
      <w:pPr>
        <w:suppressAutoHyphens/>
        <w:spacing w:line="220" w:lineRule="atLeast"/>
        <w:ind w:left="1134"/>
        <w:jc w:val="both"/>
        <w:rPr>
          <w:sz w:val="20"/>
          <w:szCs w:val="20"/>
          <w:lang w:val="es-ES"/>
        </w:rPr>
      </w:pPr>
      <w:r w:rsidRPr="00EE1679">
        <w:rPr>
          <w:sz w:val="20"/>
          <w:szCs w:val="20"/>
          <w:lang w:val="es-ES"/>
        </w:rPr>
        <w:t xml:space="preserve"> State of)</w:t>
      </w:r>
    </w:p>
    <w:p w14:paraId="1B717523" w14:textId="77777777" w:rsidR="00EE1679" w:rsidRPr="00EE1679" w:rsidRDefault="00EE1679" w:rsidP="00EE1679">
      <w:pPr>
        <w:suppressAutoHyphens/>
        <w:spacing w:line="220" w:lineRule="atLeast"/>
        <w:ind w:left="1134"/>
        <w:jc w:val="both"/>
        <w:rPr>
          <w:sz w:val="20"/>
          <w:szCs w:val="20"/>
          <w:lang w:val="es-ES"/>
        </w:rPr>
      </w:pPr>
      <w:r w:rsidRPr="00EE1679">
        <w:rPr>
          <w:sz w:val="20"/>
          <w:szCs w:val="20"/>
          <w:lang w:val="es-ES"/>
        </w:rPr>
        <w:t>Bosnia and Herzegovina</w:t>
      </w:r>
    </w:p>
    <w:p w14:paraId="6AA775E3" w14:textId="77777777" w:rsidR="00EE1679" w:rsidRPr="00EE1679" w:rsidRDefault="00EE1679" w:rsidP="00EE1679">
      <w:pPr>
        <w:suppressAutoHyphens/>
        <w:spacing w:line="220" w:lineRule="atLeast"/>
        <w:ind w:left="1134"/>
        <w:jc w:val="both"/>
        <w:rPr>
          <w:sz w:val="20"/>
          <w:szCs w:val="20"/>
          <w:lang w:val="es-ES"/>
        </w:rPr>
      </w:pPr>
      <w:r w:rsidRPr="00EE1679">
        <w:rPr>
          <w:sz w:val="20"/>
          <w:szCs w:val="20"/>
          <w:lang w:val="es-ES"/>
        </w:rPr>
        <w:t>Botswana</w:t>
      </w:r>
    </w:p>
    <w:p w14:paraId="35626BD1" w14:textId="77777777" w:rsidR="00EE1679" w:rsidRPr="00EE1679" w:rsidRDefault="00EE1679" w:rsidP="00EE1679">
      <w:pPr>
        <w:suppressAutoHyphens/>
        <w:spacing w:line="220" w:lineRule="atLeast"/>
        <w:ind w:left="1134"/>
        <w:jc w:val="both"/>
        <w:rPr>
          <w:sz w:val="20"/>
          <w:szCs w:val="20"/>
          <w:lang w:val="es-ES"/>
        </w:rPr>
      </w:pPr>
      <w:r w:rsidRPr="00EE1679">
        <w:rPr>
          <w:sz w:val="20"/>
          <w:szCs w:val="20"/>
          <w:lang w:val="es-ES"/>
        </w:rPr>
        <w:t>Burundi</w:t>
      </w:r>
    </w:p>
    <w:p w14:paraId="1BCF0F6A" w14:textId="77777777" w:rsidR="00EE1679" w:rsidRPr="00EE1679" w:rsidRDefault="00EE1679" w:rsidP="00EE1679">
      <w:pPr>
        <w:suppressAutoHyphens/>
        <w:spacing w:line="220" w:lineRule="atLeast"/>
        <w:ind w:left="1134"/>
        <w:jc w:val="both"/>
        <w:rPr>
          <w:sz w:val="20"/>
          <w:szCs w:val="20"/>
          <w:lang w:val="es-ES"/>
        </w:rPr>
      </w:pPr>
      <w:r w:rsidRPr="00EE1679">
        <w:rPr>
          <w:sz w:val="20"/>
          <w:szCs w:val="20"/>
          <w:lang w:val="es-ES"/>
        </w:rPr>
        <w:t>Cambodia</w:t>
      </w:r>
    </w:p>
    <w:p w14:paraId="718F0ADB" w14:textId="77777777" w:rsidR="00EE1679" w:rsidRPr="00EE1679" w:rsidRDefault="00EE1679" w:rsidP="00EE1679">
      <w:pPr>
        <w:suppressAutoHyphens/>
        <w:spacing w:line="220" w:lineRule="atLeast"/>
        <w:ind w:left="1134"/>
        <w:jc w:val="both"/>
        <w:rPr>
          <w:sz w:val="20"/>
          <w:szCs w:val="20"/>
          <w:lang w:val="es-ES"/>
        </w:rPr>
      </w:pPr>
      <w:r w:rsidRPr="00EE1679">
        <w:rPr>
          <w:sz w:val="20"/>
          <w:szCs w:val="20"/>
          <w:lang w:val="es-ES"/>
        </w:rPr>
        <w:t>Canada</w:t>
      </w:r>
    </w:p>
    <w:p w14:paraId="17A059FD" w14:textId="7DB2F8DB" w:rsidR="00EE1679" w:rsidRPr="00EE1679" w:rsidRDefault="00EE1679" w:rsidP="00EE1679">
      <w:pPr>
        <w:suppressAutoHyphens/>
        <w:spacing w:line="220" w:lineRule="atLeast"/>
        <w:ind w:left="1134"/>
        <w:rPr>
          <w:sz w:val="20"/>
          <w:szCs w:val="20"/>
          <w:lang w:val="es-ES"/>
        </w:rPr>
      </w:pPr>
      <w:r w:rsidRPr="00EE1679">
        <w:rPr>
          <w:sz w:val="20"/>
          <w:szCs w:val="20"/>
          <w:lang w:val="es-ES"/>
        </w:rPr>
        <w:t>Central African</w:t>
      </w:r>
      <w:r>
        <w:rPr>
          <w:sz w:val="20"/>
          <w:szCs w:val="20"/>
          <w:lang w:val="es-ES"/>
        </w:rPr>
        <w:br/>
      </w:r>
      <w:r w:rsidRPr="00EE1679">
        <w:rPr>
          <w:sz w:val="20"/>
          <w:szCs w:val="20"/>
          <w:lang w:val="es-ES"/>
        </w:rPr>
        <w:t xml:space="preserve"> Republic</w:t>
      </w:r>
    </w:p>
    <w:p w14:paraId="7DA8FE12" w14:textId="77777777" w:rsidR="00EE1679" w:rsidRPr="00EE1679" w:rsidRDefault="00EE1679" w:rsidP="00EE1679">
      <w:pPr>
        <w:suppressAutoHyphens/>
        <w:spacing w:line="220" w:lineRule="atLeast"/>
        <w:ind w:left="1134"/>
        <w:jc w:val="both"/>
        <w:rPr>
          <w:sz w:val="20"/>
          <w:szCs w:val="20"/>
          <w:lang w:val="es-ES"/>
        </w:rPr>
      </w:pPr>
      <w:r w:rsidRPr="00EE1679">
        <w:rPr>
          <w:sz w:val="20"/>
          <w:szCs w:val="20"/>
          <w:lang w:val="es-ES"/>
        </w:rPr>
        <w:t>Colombia</w:t>
      </w:r>
    </w:p>
    <w:p w14:paraId="5727FD76" w14:textId="77777777" w:rsidR="00EE1679" w:rsidRPr="00EE1679" w:rsidRDefault="00EE1679" w:rsidP="00EE1679">
      <w:pPr>
        <w:suppressAutoHyphens/>
        <w:spacing w:line="220" w:lineRule="atLeast"/>
        <w:ind w:left="1134"/>
        <w:jc w:val="both"/>
        <w:rPr>
          <w:sz w:val="20"/>
          <w:szCs w:val="20"/>
          <w:lang w:val="es-ES"/>
        </w:rPr>
      </w:pPr>
      <w:r w:rsidRPr="00EE1679">
        <w:rPr>
          <w:sz w:val="20"/>
          <w:szCs w:val="20"/>
          <w:lang w:val="es-ES"/>
        </w:rPr>
        <w:t>Congo</w:t>
      </w:r>
    </w:p>
    <w:p w14:paraId="34337AB3" w14:textId="77777777" w:rsidR="00EE1679" w:rsidRPr="00EE1679" w:rsidRDefault="00EE1679" w:rsidP="00EE1679">
      <w:pPr>
        <w:suppressAutoHyphens/>
        <w:spacing w:line="220" w:lineRule="atLeast"/>
        <w:ind w:left="1134"/>
        <w:jc w:val="both"/>
        <w:rPr>
          <w:sz w:val="20"/>
          <w:szCs w:val="20"/>
          <w:lang w:val="es-ES"/>
        </w:rPr>
      </w:pPr>
      <w:r w:rsidRPr="00EE1679">
        <w:rPr>
          <w:sz w:val="20"/>
          <w:szCs w:val="20"/>
          <w:lang w:val="es-ES"/>
        </w:rPr>
        <w:t>Costa Rica</w:t>
      </w:r>
    </w:p>
    <w:p w14:paraId="35F6EEE8" w14:textId="77777777" w:rsidR="00EE1679" w:rsidRPr="00EE1679" w:rsidRDefault="00EE1679" w:rsidP="00EE1679">
      <w:pPr>
        <w:suppressAutoHyphens/>
        <w:spacing w:line="220" w:lineRule="atLeast"/>
        <w:ind w:left="1134"/>
        <w:jc w:val="both"/>
        <w:rPr>
          <w:sz w:val="20"/>
          <w:szCs w:val="20"/>
          <w:lang w:val="es-ES"/>
        </w:rPr>
      </w:pPr>
      <w:r w:rsidRPr="00EE1679">
        <w:rPr>
          <w:sz w:val="20"/>
          <w:szCs w:val="20"/>
          <w:lang w:val="es-ES"/>
        </w:rPr>
        <w:t>Côte d’Ivoire</w:t>
      </w:r>
    </w:p>
    <w:p w14:paraId="5D3817DD" w14:textId="77777777" w:rsidR="00EE1679" w:rsidRPr="00EE1679" w:rsidRDefault="00EE1679" w:rsidP="00EE1679">
      <w:pPr>
        <w:suppressAutoHyphens/>
        <w:spacing w:line="220" w:lineRule="atLeast"/>
        <w:ind w:left="1134"/>
        <w:jc w:val="both"/>
        <w:rPr>
          <w:sz w:val="20"/>
          <w:szCs w:val="20"/>
          <w:lang w:val="es-ES"/>
        </w:rPr>
      </w:pPr>
      <w:r w:rsidRPr="00EE1679">
        <w:rPr>
          <w:sz w:val="20"/>
          <w:szCs w:val="20"/>
          <w:lang w:val="es-ES"/>
        </w:rPr>
        <w:t>Cyprus</w:t>
      </w:r>
    </w:p>
    <w:p w14:paraId="4BF87478" w14:textId="77777777" w:rsidR="00EE1679" w:rsidRPr="00EE1679" w:rsidRDefault="00EE1679" w:rsidP="00EE1679">
      <w:pPr>
        <w:suppressAutoHyphens/>
        <w:spacing w:line="220" w:lineRule="atLeast"/>
        <w:ind w:left="142"/>
        <w:jc w:val="both"/>
        <w:rPr>
          <w:sz w:val="20"/>
          <w:szCs w:val="20"/>
          <w:lang w:val="es-ES"/>
        </w:rPr>
      </w:pPr>
      <w:r w:rsidRPr="00EE1679">
        <w:rPr>
          <w:sz w:val="20"/>
          <w:szCs w:val="20"/>
          <w:lang w:val="es-ES"/>
        </w:rPr>
        <w:t>Chad</w:t>
      </w:r>
    </w:p>
    <w:p w14:paraId="1598EAC0" w14:textId="77777777" w:rsidR="00EE1679" w:rsidRPr="00EE1679" w:rsidRDefault="00EE1679" w:rsidP="00EE1679">
      <w:pPr>
        <w:suppressAutoHyphens/>
        <w:spacing w:line="220" w:lineRule="atLeast"/>
        <w:ind w:left="142"/>
        <w:jc w:val="both"/>
        <w:rPr>
          <w:sz w:val="20"/>
          <w:szCs w:val="20"/>
          <w:lang w:val="es-ES"/>
        </w:rPr>
      </w:pPr>
      <w:r w:rsidRPr="00EE1679">
        <w:rPr>
          <w:sz w:val="20"/>
          <w:szCs w:val="20"/>
          <w:lang w:val="es-ES"/>
        </w:rPr>
        <w:t>Democratic People’s</w:t>
      </w:r>
    </w:p>
    <w:p w14:paraId="26728259" w14:textId="77777777" w:rsidR="00EE1679" w:rsidRPr="00EE1679" w:rsidRDefault="00EE1679" w:rsidP="00EE1679">
      <w:pPr>
        <w:suppressAutoHyphens/>
        <w:spacing w:line="220" w:lineRule="atLeast"/>
        <w:ind w:left="142"/>
        <w:jc w:val="both"/>
        <w:rPr>
          <w:sz w:val="20"/>
          <w:szCs w:val="20"/>
          <w:lang w:val="es-ES"/>
        </w:rPr>
      </w:pPr>
      <w:r w:rsidRPr="00EE1679">
        <w:rPr>
          <w:sz w:val="20"/>
          <w:szCs w:val="20"/>
          <w:lang w:val="es-ES"/>
        </w:rPr>
        <w:t xml:space="preserve"> Republic of Korea</w:t>
      </w:r>
    </w:p>
    <w:p w14:paraId="11FF4576" w14:textId="77777777" w:rsidR="00EE1679" w:rsidRPr="00EE1679" w:rsidRDefault="00EE1679" w:rsidP="00EE1679">
      <w:pPr>
        <w:suppressAutoHyphens/>
        <w:spacing w:line="220" w:lineRule="atLeast"/>
        <w:ind w:left="142"/>
        <w:jc w:val="both"/>
        <w:rPr>
          <w:sz w:val="20"/>
          <w:szCs w:val="20"/>
          <w:lang w:val="es-ES"/>
        </w:rPr>
      </w:pPr>
      <w:r w:rsidRPr="00EE1679">
        <w:rPr>
          <w:sz w:val="20"/>
          <w:szCs w:val="20"/>
          <w:lang w:val="es-ES"/>
        </w:rPr>
        <w:t>Djibouti</w:t>
      </w:r>
    </w:p>
    <w:p w14:paraId="09186B08" w14:textId="77777777" w:rsidR="00EE1679" w:rsidRPr="00EE1679" w:rsidRDefault="00EE1679" w:rsidP="00EE1679">
      <w:pPr>
        <w:suppressAutoHyphens/>
        <w:spacing w:line="220" w:lineRule="atLeast"/>
        <w:ind w:left="142"/>
        <w:jc w:val="both"/>
        <w:rPr>
          <w:sz w:val="20"/>
          <w:szCs w:val="20"/>
          <w:lang w:val="es-ES"/>
        </w:rPr>
      </w:pPr>
      <w:r w:rsidRPr="00EE1679">
        <w:rPr>
          <w:sz w:val="20"/>
          <w:szCs w:val="20"/>
          <w:lang w:val="es-ES"/>
        </w:rPr>
        <w:t>Ecuador</w:t>
      </w:r>
    </w:p>
    <w:p w14:paraId="08CEB700" w14:textId="77777777" w:rsidR="00EE1679" w:rsidRPr="00EE1679" w:rsidRDefault="00EE1679" w:rsidP="00EE1679">
      <w:pPr>
        <w:suppressAutoHyphens/>
        <w:spacing w:line="220" w:lineRule="atLeast"/>
        <w:ind w:left="142"/>
        <w:jc w:val="both"/>
        <w:rPr>
          <w:sz w:val="20"/>
          <w:szCs w:val="20"/>
          <w:lang w:val="es-ES"/>
        </w:rPr>
      </w:pPr>
      <w:r w:rsidRPr="00EE1679">
        <w:rPr>
          <w:sz w:val="20"/>
          <w:szCs w:val="20"/>
          <w:lang w:val="es-ES"/>
        </w:rPr>
        <w:t>El Salvador</w:t>
      </w:r>
    </w:p>
    <w:p w14:paraId="7D4F2B1A" w14:textId="77777777" w:rsidR="00EE1679" w:rsidRPr="00EE1679" w:rsidRDefault="00EE1679" w:rsidP="00EE1679">
      <w:pPr>
        <w:suppressAutoHyphens/>
        <w:spacing w:line="220" w:lineRule="atLeast"/>
        <w:ind w:left="142"/>
        <w:jc w:val="both"/>
        <w:rPr>
          <w:sz w:val="20"/>
          <w:szCs w:val="20"/>
          <w:lang w:val="es-ES"/>
        </w:rPr>
      </w:pPr>
      <w:r w:rsidRPr="00EE1679">
        <w:rPr>
          <w:sz w:val="20"/>
          <w:szCs w:val="20"/>
          <w:lang w:val="es-ES"/>
        </w:rPr>
        <w:t>Equatorial Guinea</w:t>
      </w:r>
    </w:p>
    <w:p w14:paraId="613575CF" w14:textId="77777777" w:rsidR="00EE1679" w:rsidRPr="00EE1679" w:rsidRDefault="00EE1679" w:rsidP="00EE1679">
      <w:pPr>
        <w:suppressAutoHyphens/>
        <w:spacing w:line="220" w:lineRule="atLeast"/>
        <w:ind w:left="142"/>
        <w:jc w:val="both"/>
        <w:rPr>
          <w:sz w:val="20"/>
          <w:szCs w:val="20"/>
          <w:lang w:val="es-ES"/>
        </w:rPr>
      </w:pPr>
      <w:r w:rsidRPr="00EE1679">
        <w:rPr>
          <w:sz w:val="20"/>
          <w:szCs w:val="20"/>
          <w:lang w:val="es-ES"/>
        </w:rPr>
        <w:t>Estonia</w:t>
      </w:r>
    </w:p>
    <w:p w14:paraId="5AF57FA8" w14:textId="77777777" w:rsidR="00EE1679" w:rsidRPr="00EE1679" w:rsidRDefault="00EE1679" w:rsidP="00EE1679">
      <w:pPr>
        <w:suppressAutoHyphens/>
        <w:spacing w:line="220" w:lineRule="atLeast"/>
        <w:ind w:left="142"/>
        <w:jc w:val="both"/>
        <w:rPr>
          <w:sz w:val="20"/>
          <w:szCs w:val="20"/>
          <w:lang w:val="es-ES"/>
        </w:rPr>
      </w:pPr>
      <w:r w:rsidRPr="00EE1679">
        <w:rPr>
          <w:sz w:val="20"/>
          <w:szCs w:val="20"/>
          <w:lang w:val="es-ES"/>
        </w:rPr>
        <w:t>Ethiopia</w:t>
      </w:r>
    </w:p>
    <w:p w14:paraId="172F3ABB" w14:textId="77777777" w:rsidR="00EE1679" w:rsidRPr="00EE1679" w:rsidRDefault="00EE1679" w:rsidP="00EE1679">
      <w:pPr>
        <w:suppressAutoHyphens/>
        <w:spacing w:line="220" w:lineRule="atLeast"/>
        <w:ind w:left="142"/>
        <w:jc w:val="both"/>
        <w:rPr>
          <w:sz w:val="20"/>
          <w:szCs w:val="20"/>
          <w:lang w:val="es-ES"/>
        </w:rPr>
      </w:pPr>
      <w:r w:rsidRPr="00EE1679">
        <w:rPr>
          <w:sz w:val="20"/>
          <w:szCs w:val="20"/>
          <w:lang w:val="es-ES"/>
        </w:rPr>
        <w:t>Finland</w:t>
      </w:r>
    </w:p>
    <w:p w14:paraId="09ECE497" w14:textId="77777777" w:rsidR="00EE1679" w:rsidRPr="00EE1679" w:rsidRDefault="00EE1679" w:rsidP="00EE1679">
      <w:pPr>
        <w:suppressAutoHyphens/>
        <w:spacing w:line="220" w:lineRule="atLeast"/>
        <w:ind w:left="142"/>
        <w:jc w:val="both"/>
        <w:rPr>
          <w:sz w:val="20"/>
          <w:szCs w:val="20"/>
          <w:lang w:val="es-ES"/>
        </w:rPr>
      </w:pPr>
      <w:r w:rsidRPr="00EE1679">
        <w:rPr>
          <w:sz w:val="20"/>
          <w:szCs w:val="20"/>
          <w:lang w:val="es-ES"/>
        </w:rPr>
        <w:t>France</w:t>
      </w:r>
    </w:p>
    <w:p w14:paraId="600A215C" w14:textId="77777777" w:rsidR="00EE1679" w:rsidRPr="00EE1679" w:rsidRDefault="00EE1679" w:rsidP="00EE1679">
      <w:pPr>
        <w:suppressAutoHyphens/>
        <w:spacing w:line="220" w:lineRule="atLeast"/>
        <w:ind w:left="142"/>
        <w:jc w:val="both"/>
        <w:rPr>
          <w:sz w:val="20"/>
          <w:szCs w:val="20"/>
          <w:lang w:val="es-ES"/>
        </w:rPr>
      </w:pPr>
      <w:r w:rsidRPr="00EE1679">
        <w:rPr>
          <w:sz w:val="20"/>
          <w:szCs w:val="20"/>
          <w:lang w:val="es-ES"/>
        </w:rPr>
        <w:t>Gabon</w:t>
      </w:r>
    </w:p>
    <w:p w14:paraId="7FAEC293" w14:textId="77777777" w:rsidR="00EE1679" w:rsidRPr="00EE1679" w:rsidRDefault="00EE1679" w:rsidP="00EE1679">
      <w:pPr>
        <w:suppressAutoHyphens/>
        <w:spacing w:line="220" w:lineRule="atLeast"/>
        <w:ind w:left="142"/>
        <w:jc w:val="both"/>
        <w:rPr>
          <w:sz w:val="20"/>
          <w:szCs w:val="20"/>
          <w:lang w:val="es-ES"/>
        </w:rPr>
      </w:pPr>
      <w:r w:rsidRPr="00EE1679">
        <w:rPr>
          <w:sz w:val="20"/>
          <w:szCs w:val="20"/>
          <w:lang w:val="es-ES"/>
        </w:rPr>
        <w:t>Georgia</w:t>
      </w:r>
    </w:p>
    <w:p w14:paraId="6E6B80C7" w14:textId="77777777" w:rsidR="00EE1679" w:rsidRPr="00EE1679" w:rsidRDefault="00EE1679" w:rsidP="00EE1679">
      <w:pPr>
        <w:suppressAutoHyphens/>
        <w:spacing w:line="220" w:lineRule="atLeast"/>
        <w:ind w:left="142"/>
        <w:jc w:val="both"/>
        <w:rPr>
          <w:sz w:val="20"/>
          <w:szCs w:val="20"/>
          <w:lang w:val="es-ES"/>
        </w:rPr>
      </w:pPr>
      <w:r w:rsidRPr="00EE1679">
        <w:rPr>
          <w:sz w:val="20"/>
          <w:szCs w:val="20"/>
          <w:lang w:val="es-ES"/>
        </w:rPr>
        <w:t>Germany</w:t>
      </w:r>
    </w:p>
    <w:p w14:paraId="2D384A68" w14:textId="77777777" w:rsidR="00EE1679" w:rsidRPr="00EE1679" w:rsidRDefault="00EE1679" w:rsidP="00EE1679">
      <w:pPr>
        <w:suppressAutoHyphens/>
        <w:spacing w:line="220" w:lineRule="atLeast"/>
        <w:ind w:left="142"/>
        <w:jc w:val="both"/>
        <w:rPr>
          <w:sz w:val="20"/>
          <w:szCs w:val="20"/>
          <w:lang w:val="es-ES"/>
        </w:rPr>
      </w:pPr>
      <w:r w:rsidRPr="00EE1679">
        <w:rPr>
          <w:sz w:val="20"/>
          <w:szCs w:val="20"/>
          <w:lang w:val="es-ES"/>
        </w:rPr>
        <w:t>Greece</w:t>
      </w:r>
    </w:p>
    <w:p w14:paraId="638B31D9" w14:textId="77777777" w:rsidR="00EE1679" w:rsidRPr="00EE1679" w:rsidRDefault="00EE1679" w:rsidP="00EE1679">
      <w:pPr>
        <w:suppressAutoHyphens/>
        <w:spacing w:line="220" w:lineRule="atLeast"/>
        <w:ind w:left="142"/>
        <w:jc w:val="both"/>
        <w:rPr>
          <w:sz w:val="20"/>
          <w:szCs w:val="20"/>
          <w:lang w:val="es-ES"/>
        </w:rPr>
      </w:pPr>
      <w:r w:rsidRPr="00EE1679">
        <w:rPr>
          <w:sz w:val="20"/>
          <w:szCs w:val="20"/>
          <w:lang w:val="es-ES"/>
        </w:rPr>
        <w:t>Guatemala</w:t>
      </w:r>
    </w:p>
    <w:p w14:paraId="6E044944" w14:textId="77777777" w:rsidR="00EE1679" w:rsidRPr="00EE1679" w:rsidRDefault="00EE1679" w:rsidP="00EE1679">
      <w:pPr>
        <w:suppressAutoHyphens/>
        <w:spacing w:line="220" w:lineRule="atLeast"/>
        <w:ind w:left="142"/>
        <w:jc w:val="both"/>
        <w:rPr>
          <w:sz w:val="20"/>
          <w:szCs w:val="20"/>
          <w:lang w:val="es-ES"/>
        </w:rPr>
      </w:pPr>
      <w:r w:rsidRPr="00EE1679">
        <w:rPr>
          <w:sz w:val="20"/>
          <w:szCs w:val="20"/>
          <w:lang w:val="es-ES"/>
        </w:rPr>
        <w:t>Haiti</w:t>
      </w:r>
    </w:p>
    <w:p w14:paraId="357BA413" w14:textId="77777777" w:rsidR="00EE1679" w:rsidRPr="00EE1679" w:rsidRDefault="00EE1679" w:rsidP="00EE1679">
      <w:pPr>
        <w:suppressAutoHyphens/>
        <w:spacing w:line="220" w:lineRule="atLeast"/>
        <w:ind w:left="142"/>
        <w:jc w:val="both"/>
        <w:rPr>
          <w:sz w:val="20"/>
          <w:szCs w:val="20"/>
          <w:lang w:val="es-ES"/>
        </w:rPr>
      </w:pPr>
      <w:r w:rsidRPr="00EE1679">
        <w:rPr>
          <w:sz w:val="20"/>
          <w:szCs w:val="20"/>
          <w:lang w:val="es-ES"/>
        </w:rPr>
        <w:t>Honduras</w:t>
      </w:r>
    </w:p>
    <w:p w14:paraId="635235CE" w14:textId="77777777" w:rsidR="00EE1679" w:rsidRPr="00EE1679" w:rsidRDefault="00EE1679" w:rsidP="00EE1679">
      <w:pPr>
        <w:suppressAutoHyphens/>
        <w:spacing w:line="220" w:lineRule="atLeast"/>
        <w:ind w:left="142"/>
        <w:jc w:val="both"/>
        <w:rPr>
          <w:sz w:val="20"/>
          <w:szCs w:val="20"/>
          <w:lang w:val="es-ES"/>
        </w:rPr>
      </w:pPr>
      <w:r w:rsidRPr="00EE1679">
        <w:rPr>
          <w:sz w:val="20"/>
          <w:szCs w:val="20"/>
          <w:lang w:val="es-ES"/>
        </w:rPr>
        <w:t>Indonesia</w:t>
      </w:r>
    </w:p>
    <w:p w14:paraId="63E715EC" w14:textId="77777777" w:rsidR="00EE1679" w:rsidRPr="00EE1679" w:rsidRDefault="00EE1679" w:rsidP="00EE1679">
      <w:pPr>
        <w:suppressAutoHyphens/>
        <w:spacing w:line="220" w:lineRule="atLeast"/>
        <w:ind w:left="142"/>
        <w:jc w:val="both"/>
        <w:rPr>
          <w:sz w:val="20"/>
          <w:szCs w:val="20"/>
          <w:lang w:val="es-ES"/>
        </w:rPr>
      </w:pPr>
      <w:r w:rsidRPr="00EE1679">
        <w:rPr>
          <w:sz w:val="20"/>
          <w:szCs w:val="20"/>
          <w:lang w:val="es-ES"/>
        </w:rPr>
        <w:t>Iran (Islamic Republic of)</w:t>
      </w:r>
    </w:p>
    <w:p w14:paraId="3340E2C4" w14:textId="77777777" w:rsidR="00EE1679" w:rsidRPr="00EE1679" w:rsidRDefault="00EE1679" w:rsidP="00EE1679">
      <w:pPr>
        <w:suppressAutoHyphens/>
        <w:spacing w:line="220" w:lineRule="atLeast"/>
        <w:ind w:left="142"/>
        <w:jc w:val="both"/>
        <w:rPr>
          <w:sz w:val="20"/>
          <w:szCs w:val="20"/>
          <w:lang w:val="es-ES"/>
        </w:rPr>
      </w:pPr>
      <w:r w:rsidRPr="00EE1679">
        <w:rPr>
          <w:sz w:val="20"/>
          <w:szCs w:val="20"/>
          <w:lang w:val="es-ES"/>
        </w:rPr>
        <w:t>Ireland</w:t>
      </w:r>
    </w:p>
    <w:p w14:paraId="5B483F7C" w14:textId="77777777" w:rsidR="00EE1679" w:rsidRPr="00EE1679" w:rsidRDefault="00EE1679" w:rsidP="00EE1679">
      <w:pPr>
        <w:suppressAutoHyphens/>
        <w:spacing w:line="220" w:lineRule="atLeast"/>
        <w:ind w:left="142"/>
        <w:jc w:val="both"/>
        <w:rPr>
          <w:sz w:val="20"/>
          <w:szCs w:val="20"/>
          <w:lang w:val="es-ES"/>
        </w:rPr>
      </w:pPr>
      <w:r w:rsidRPr="00EE1679">
        <w:rPr>
          <w:sz w:val="20"/>
          <w:szCs w:val="20"/>
          <w:lang w:val="es-ES"/>
        </w:rPr>
        <w:t>Israel</w:t>
      </w:r>
    </w:p>
    <w:p w14:paraId="7DB8606B" w14:textId="77777777" w:rsidR="00EE1679" w:rsidRPr="00EE1679" w:rsidRDefault="00EE1679" w:rsidP="00EE1679">
      <w:pPr>
        <w:suppressAutoHyphens/>
        <w:spacing w:line="220" w:lineRule="atLeast"/>
        <w:ind w:left="142"/>
        <w:jc w:val="both"/>
        <w:rPr>
          <w:sz w:val="20"/>
          <w:szCs w:val="20"/>
          <w:lang w:val="es-ES"/>
        </w:rPr>
      </w:pPr>
      <w:r w:rsidRPr="00EE1679">
        <w:rPr>
          <w:sz w:val="20"/>
          <w:szCs w:val="20"/>
          <w:lang w:val="es-ES"/>
        </w:rPr>
        <w:t>Jamaica</w:t>
      </w:r>
    </w:p>
    <w:p w14:paraId="2557EA0D" w14:textId="77777777" w:rsidR="00EE1679" w:rsidRPr="00EE1679" w:rsidRDefault="00EE1679" w:rsidP="00EE1679">
      <w:pPr>
        <w:suppressAutoHyphens/>
        <w:spacing w:line="220" w:lineRule="atLeast"/>
        <w:ind w:left="142"/>
        <w:jc w:val="both"/>
        <w:rPr>
          <w:sz w:val="20"/>
          <w:szCs w:val="20"/>
          <w:lang w:val="es-ES"/>
        </w:rPr>
      </w:pPr>
      <w:r w:rsidRPr="00EE1679">
        <w:rPr>
          <w:sz w:val="20"/>
          <w:szCs w:val="20"/>
          <w:lang w:val="es-ES"/>
        </w:rPr>
        <w:t>Jordan</w:t>
      </w:r>
    </w:p>
    <w:p w14:paraId="38BAADE5" w14:textId="77777777" w:rsidR="00EE1679" w:rsidRPr="00EE1679" w:rsidRDefault="00EE1679" w:rsidP="00EE1679">
      <w:pPr>
        <w:suppressAutoHyphens/>
        <w:spacing w:line="220" w:lineRule="atLeast"/>
        <w:ind w:left="284"/>
        <w:jc w:val="both"/>
        <w:rPr>
          <w:sz w:val="20"/>
          <w:szCs w:val="20"/>
          <w:lang w:val="es-ES"/>
        </w:rPr>
      </w:pPr>
      <w:r w:rsidRPr="00EE1679">
        <w:rPr>
          <w:sz w:val="20"/>
          <w:szCs w:val="20"/>
          <w:lang w:val="es-ES"/>
        </w:rPr>
        <w:t>Kazakhstan</w:t>
      </w:r>
    </w:p>
    <w:p w14:paraId="6CADF45E" w14:textId="77777777" w:rsidR="00EE1679" w:rsidRPr="00EE1679" w:rsidRDefault="00EE1679" w:rsidP="00EE1679">
      <w:pPr>
        <w:suppressAutoHyphens/>
        <w:spacing w:line="220" w:lineRule="atLeast"/>
        <w:ind w:left="284"/>
        <w:jc w:val="both"/>
        <w:rPr>
          <w:sz w:val="20"/>
          <w:szCs w:val="20"/>
          <w:lang w:val="es-ES"/>
        </w:rPr>
      </w:pPr>
      <w:r w:rsidRPr="00EE1679">
        <w:rPr>
          <w:sz w:val="20"/>
          <w:szCs w:val="20"/>
          <w:lang w:val="es-ES"/>
        </w:rPr>
        <w:t>Kuwait</w:t>
      </w:r>
    </w:p>
    <w:p w14:paraId="6884B39B" w14:textId="77777777" w:rsidR="00EE1679" w:rsidRPr="00EE1679" w:rsidRDefault="00EE1679" w:rsidP="00EE1679">
      <w:pPr>
        <w:suppressAutoHyphens/>
        <w:spacing w:line="220" w:lineRule="atLeast"/>
        <w:ind w:left="284"/>
        <w:jc w:val="both"/>
        <w:rPr>
          <w:sz w:val="20"/>
          <w:szCs w:val="20"/>
          <w:lang w:val="es-ES"/>
        </w:rPr>
      </w:pPr>
      <w:r w:rsidRPr="00EE1679">
        <w:rPr>
          <w:sz w:val="20"/>
          <w:szCs w:val="20"/>
          <w:lang w:val="es-ES"/>
        </w:rPr>
        <w:t>Lao People’s Democratic</w:t>
      </w:r>
    </w:p>
    <w:p w14:paraId="45EB2C15" w14:textId="77777777" w:rsidR="00EE1679" w:rsidRPr="00EE1679" w:rsidRDefault="00EE1679" w:rsidP="00EE1679">
      <w:pPr>
        <w:suppressAutoHyphens/>
        <w:spacing w:line="220" w:lineRule="atLeast"/>
        <w:ind w:left="284"/>
        <w:jc w:val="both"/>
        <w:rPr>
          <w:sz w:val="20"/>
          <w:szCs w:val="20"/>
          <w:lang w:val="es-ES"/>
        </w:rPr>
      </w:pPr>
      <w:r w:rsidRPr="00EE1679">
        <w:rPr>
          <w:sz w:val="20"/>
          <w:szCs w:val="20"/>
          <w:lang w:val="es-ES"/>
        </w:rPr>
        <w:t xml:space="preserve"> Republic</w:t>
      </w:r>
    </w:p>
    <w:p w14:paraId="6A06F53F" w14:textId="77777777" w:rsidR="00EE1679" w:rsidRPr="00EE1679" w:rsidRDefault="00EE1679" w:rsidP="00EE1679">
      <w:pPr>
        <w:suppressAutoHyphens/>
        <w:spacing w:line="220" w:lineRule="atLeast"/>
        <w:ind w:left="284"/>
        <w:jc w:val="both"/>
        <w:rPr>
          <w:sz w:val="20"/>
          <w:szCs w:val="20"/>
          <w:lang w:val="es-ES"/>
        </w:rPr>
      </w:pPr>
      <w:r w:rsidRPr="00EE1679">
        <w:rPr>
          <w:sz w:val="20"/>
          <w:szCs w:val="20"/>
          <w:lang w:val="es-ES"/>
        </w:rPr>
        <w:t>Latvia</w:t>
      </w:r>
    </w:p>
    <w:p w14:paraId="27FB6700" w14:textId="77777777" w:rsidR="00EE1679" w:rsidRPr="00EE1679" w:rsidRDefault="00EE1679" w:rsidP="00EE1679">
      <w:pPr>
        <w:suppressAutoHyphens/>
        <w:spacing w:line="220" w:lineRule="atLeast"/>
        <w:ind w:left="284"/>
        <w:jc w:val="both"/>
        <w:rPr>
          <w:sz w:val="20"/>
          <w:szCs w:val="20"/>
          <w:lang w:val="es-ES"/>
        </w:rPr>
      </w:pPr>
      <w:r w:rsidRPr="00EE1679">
        <w:rPr>
          <w:sz w:val="20"/>
          <w:szCs w:val="20"/>
          <w:lang w:val="es-ES"/>
        </w:rPr>
        <w:t>Lebanon</w:t>
      </w:r>
    </w:p>
    <w:p w14:paraId="72AB412A" w14:textId="77777777" w:rsidR="00EE1679" w:rsidRPr="00EE1679" w:rsidRDefault="00EE1679" w:rsidP="00EE1679">
      <w:pPr>
        <w:suppressAutoHyphens/>
        <w:spacing w:line="220" w:lineRule="atLeast"/>
        <w:ind w:left="284"/>
        <w:jc w:val="both"/>
        <w:rPr>
          <w:sz w:val="20"/>
          <w:szCs w:val="20"/>
          <w:lang w:val="es-ES"/>
        </w:rPr>
      </w:pPr>
      <w:r w:rsidRPr="00EE1679">
        <w:rPr>
          <w:sz w:val="20"/>
          <w:szCs w:val="20"/>
          <w:lang w:val="es-ES"/>
        </w:rPr>
        <w:t>Lesotho</w:t>
      </w:r>
    </w:p>
    <w:p w14:paraId="2EEFE41E" w14:textId="77777777" w:rsidR="00EE1679" w:rsidRPr="00EE1679" w:rsidRDefault="00EE1679" w:rsidP="00EE1679">
      <w:pPr>
        <w:suppressAutoHyphens/>
        <w:spacing w:line="220" w:lineRule="atLeast"/>
        <w:ind w:left="284"/>
        <w:jc w:val="both"/>
        <w:rPr>
          <w:sz w:val="20"/>
          <w:szCs w:val="20"/>
          <w:lang w:val="es-ES"/>
        </w:rPr>
      </w:pPr>
      <w:r w:rsidRPr="00EE1679">
        <w:rPr>
          <w:sz w:val="20"/>
          <w:szCs w:val="20"/>
          <w:lang w:val="es-ES"/>
        </w:rPr>
        <w:t>Libya</w:t>
      </w:r>
    </w:p>
    <w:p w14:paraId="440F101D" w14:textId="77777777" w:rsidR="00EE1679" w:rsidRPr="00EE1679" w:rsidRDefault="00EE1679" w:rsidP="00EE1679">
      <w:pPr>
        <w:suppressAutoHyphens/>
        <w:spacing w:line="220" w:lineRule="atLeast"/>
        <w:ind w:left="284"/>
        <w:jc w:val="both"/>
        <w:rPr>
          <w:sz w:val="20"/>
          <w:szCs w:val="20"/>
          <w:lang w:val="es-ES"/>
        </w:rPr>
      </w:pPr>
      <w:r w:rsidRPr="00EE1679">
        <w:rPr>
          <w:sz w:val="20"/>
          <w:szCs w:val="20"/>
          <w:lang w:val="es-ES"/>
        </w:rPr>
        <w:t>Liechtenstein</w:t>
      </w:r>
    </w:p>
    <w:p w14:paraId="10EA11BD" w14:textId="77777777" w:rsidR="00EE1679" w:rsidRPr="00EE1679" w:rsidRDefault="00EE1679" w:rsidP="00EE1679">
      <w:pPr>
        <w:suppressAutoHyphens/>
        <w:spacing w:line="220" w:lineRule="atLeast"/>
        <w:ind w:left="284"/>
        <w:jc w:val="both"/>
        <w:rPr>
          <w:sz w:val="20"/>
          <w:szCs w:val="20"/>
          <w:lang w:val="es-ES"/>
        </w:rPr>
      </w:pPr>
      <w:r w:rsidRPr="00EE1679">
        <w:rPr>
          <w:sz w:val="20"/>
          <w:szCs w:val="20"/>
          <w:lang w:val="es-ES"/>
        </w:rPr>
        <w:t>Lithuania</w:t>
      </w:r>
    </w:p>
    <w:p w14:paraId="7EB73408" w14:textId="77777777" w:rsidR="00EE1679" w:rsidRPr="00EE1679" w:rsidRDefault="00EE1679" w:rsidP="00EE1679">
      <w:pPr>
        <w:suppressAutoHyphens/>
        <w:spacing w:line="220" w:lineRule="atLeast"/>
        <w:ind w:left="284"/>
        <w:jc w:val="both"/>
        <w:rPr>
          <w:sz w:val="20"/>
          <w:szCs w:val="20"/>
          <w:lang w:val="es-ES"/>
        </w:rPr>
      </w:pPr>
      <w:r w:rsidRPr="00EE1679">
        <w:rPr>
          <w:sz w:val="20"/>
          <w:szCs w:val="20"/>
          <w:lang w:val="es-ES"/>
        </w:rPr>
        <w:t>Luxembourg</w:t>
      </w:r>
    </w:p>
    <w:p w14:paraId="555415D5" w14:textId="77777777" w:rsidR="00EE1679" w:rsidRPr="00EE1679" w:rsidRDefault="00EE1679" w:rsidP="00EE1679">
      <w:pPr>
        <w:suppressAutoHyphens/>
        <w:spacing w:line="220" w:lineRule="atLeast"/>
        <w:ind w:left="284"/>
        <w:jc w:val="both"/>
        <w:rPr>
          <w:sz w:val="20"/>
          <w:szCs w:val="20"/>
          <w:lang w:val="es-ES"/>
        </w:rPr>
      </w:pPr>
      <w:r w:rsidRPr="00EE1679">
        <w:rPr>
          <w:sz w:val="20"/>
          <w:szCs w:val="20"/>
          <w:lang w:val="es-ES"/>
        </w:rPr>
        <w:t>Madagascar</w:t>
      </w:r>
    </w:p>
    <w:p w14:paraId="15D68132" w14:textId="77777777" w:rsidR="00EE1679" w:rsidRPr="00EE1679" w:rsidRDefault="00EE1679" w:rsidP="00EE1679">
      <w:pPr>
        <w:suppressAutoHyphens/>
        <w:spacing w:line="220" w:lineRule="atLeast"/>
        <w:ind w:left="284"/>
        <w:jc w:val="both"/>
        <w:rPr>
          <w:sz w:val="20"/>
          <w:szCs w:val="20"/>
          <w:lang w:val="es-ES"/>
        </w:rPr>
      </w:pPr>
      <w:r w:rsidRPr="00EE1679">
        <w:rPr>
          <w:sz w:val="20"/>
          <w:szCs w:val="20"/>
          <w:lang w:val="es-ES"/>
        </w:rPr>
        <w:t>Malawi</w:t>
      </w:r>
    </w:p>
    <w:p w14:paraId="61271575" w14:textId="77777777" w:rsidR="00EE1679" w:rsidRPr="00EE1679" w:rsidRDefault="00EE1679" w:rsidP="00EE1679">
      <w:pPr>
        <w:suppressAutoHyphens/>
        <w:spacing w:line="220" w:lineRule="atLeast"/>
        <w:ind w:left="284"/>
        <w:jc w:val="both"/>
        <w:rPr>
          <w:sz w:val="20"/>
          <w:szCs w:val="20"/>
          <w:lang w:val="es-ES"/>
        </w:rPr>
      </w:pPr>
      <w:r w:rsidRPr="00EE1679">
        <w:rPr>
          <w:sz w:val="20"/>
          <w:szCs w:val="20"/>
          <w:lang w:val="es-ES"/>
        </w:rPr>
        <w:t>Malaysia</w:t>
      </w:r>
    </w:p>
    <w:p w14:paraId="336F0F7B" w14:textId="77777777" w:rsidR="00EE1679" w:rsidRPr="00EE1679" w:rsidRDefault="00EE1679" w:rsidP="00EE1679">
      <w:pPr>
        <w:suppressAutoHyphens/>
        <w:spacing w:line="220" w:lineRule="atLeast"/>
        <w:ind w:left="284"/>
        <w:jc w:val="both"/>
        <w:rPr>
          <w:sz w:val="20"/>
          <w:szCs w:val="20"/>
          <w:lang w:val="es-ES"/>
        </w:rPr>
      </w:pPr>
      <w:r w:rsidRPr="00EE1679">
        <w:rPr>
          <w:sz w:val="20"/>
          <w:szCs w:val="20"/>
          <w:lang w:val="es-ES"/>
        </w:rPr>
        <w:t>Maldives</w:t>
      </w:r>
    </w:p>
    <w:p w14:paraId="46B1C3B1" w14:textId="77777777" w:rsidR="00EE1679" w:rsidRPr="00EE1679" w:rsidRDefault="00EE1679" w:rsidP="00EE1679">
      <w:pPr>
        <w:suppressAutoHyphens/>
        <w:spacing w:line="220" w:lineRule="atLeast"/>
        <w:ind w:left="284"/>
        <w:jc w:val="both"/>
        <w:rPr>
          <w:sz w:val="20"/>
          <w:szCs w:val="20"/>
          <w:lang w:val="es-ES"/>
        </w:rPr>
      </w:pPr>
      <w:r w:rsidRPr="00EE1679">
        <w:rPr>
          <w:sz w:val="20"/>
          <w:szCs w:val="20"/>
          <w:lang w:val="es-ES"/>
        </w:rPr>
        <w:t>Mali</w:t>
      </w:r>
    </w:p>
    <w:p w14:paraId="2CAD2742" w14:textId="77777777" w:rsidR="00EE1679" w:rsidRPr="00EE1679" w:rsidRDefault="00EE1679" w:rsidP="00EE1679">
      <w:pPr>
        <w:suppressAutoHyphens/>
        <w:spacing w:line="220" w:lineRule="atLeast"/>
        <w:ind w:left="284"/>
        <w:jc w:val="both"/>
        <w:rPr>
          <w:sz w:val="20"/>
          <w:szCs w:val="20"/>
          <w:lang w:val="es-ES"/>
        </w:rPr>
      </w:pPr>
      <w:r w:rsidRPr="00EE1679">
        <w:rPr>
          <w:sz w:val="20"/>
          <w:szCs w:val="20"/>
          <w:lang w:val="es-ES"/>
        </w:rPr>
        <w:t>Malta</w:t>
      </w:r>
    </w:p>
    <w:p w14:paraId="09C7CD2C" w14:textId="77777777" w:rsidR="00EE1679" w:rsidRPr="00EE1679" w:rsidRDefault="00EE1679" w:rsidP="00EE1679">
      <w:pPr>
        <w:suppressAutoHyphens/>
        <w:spacing w:line="220" w:lineRule="atLeast"/>
        <w:ind w:left="284"/>
        <w:jc w:val="both"/>
        <w:rPr>
          <w:sz w:val="20"/>
          <w:szCs w:val="20"/>
          <w:lang w:val="es-ES"/>
        </w:rPr>
      </w:pPr>
      <w:r w:rsidRPr="00EE1679">
        <w:rPr>
          <w:sz w:val="20"/>
          <w:szCs w:val="20"/>
          <w:lang w:val="es-ES"/>
        </w:rPr>
        <w:t>Marshall Islands</w:t>
      </w:r>
    </w:p>
    <w:p w14:paraId="5116BB51" w14:textId="77777777" w:rsidR="00EE1679" w:rsidRPr="00EE1679" w:rsidRDefault="00EE1679" w:rsidP="00EE1679">
      <w:pPr>
        <w:suppressAutoHyphens/>
        <w:spacing w:line="220" w:lineRule="atLeast"/>
        <w:ind w:left="284"/>
        <w:jc w:val="both"/>
        <w:rPr>
          <w:sz w:val="20"/>
          <w:szCs w:val="20"/>
          <w:lang w:val="es-ES"/>
        </w:rPr>
      </w:pPr>
      <w:r w:rsidRPr="00EE1679">
        <w:rPr>
          <w:sz w:val="20"/>
          <w:szCs w:val="20"/>
          <w:lang w:val="es-ES"/>
        </w:rPr>
        <w:t>Mauritania</w:t>
      </w:r>
    </w:p>
    <w:p w14:paraId="701D0450" w14:textId="77777777" w:rsidR="00EE1679" w:rsidRPr="00EE1679" w:rsidRDefault="00EE1679" w:rsidP="00EE1679">
      <w:pPr>
        <w:suppressAutoHyphens/>
        <w:spacing w:line="220" w:lineRule="atLeast"/>
        <w:ind w:left="284"/>
        <w:jc w:val="both"/>
        <w:rPr>
          <w:sz w:val="20"/>
          <w:szCs w:val="20"/>
          <w:lang w:val="es-ES"/>
        </w:rPr>
      </w:pPr>
      <w:r w:rsidRPr="00EE1679">
        <w:rPr>
          <w:sz w:val="20"/>
          <w:szCs w:val="20"/>
          <w:lang w:val="es-ES"/>
        </w:rPr>
        <w:t xml:space="preserve">Mauritius </w:t>
      </w:r>
    </w:p>
    <w:p w14:paraId="243B74DD" w14:textId="77777777" w:rsidR="00EE1679" w:rsidRPr="00EE1679" w:rsidRDefault="00EE1679" w:rsidP="00EE1679">
      <w:pPr>
        <w:suppressAutoHyphens/>
        <w:spacing w:line="220" w:lineRule="atLeast"/>
        <w:ind w:left="284"/>
        <w:jc w:val="both"/>
        <w:rPr>
          <w:sz w:val="20"/>
          <w:szCs w:val="20"/>
          <w:lang w:val="es-ES"/>
        </w:rPr>
      </w:pPr>
      <w:r w:rsidRPr="00EE1679">
        <w:rPr>
          <w:sz w:val="20"/>
          <w:szCs w:val="20"/>
          <w:lang w:val="es-ES"/>
        </w:rPr>
        <w:t>Monaco</w:t>
      </w:r>
    </w:p>
    <w:p w14:paraId="17FF093F" w14:textId="77777777" w:rsidR="00EE1679" w:rsidRPr="00EE1679" w:rsidRDefault="00EE1679" w:rsidP="00EE1679">
      <w:pPr>
        <w:suppressAutoHyphens/>
        <w:spacing w:line="220" w:lineRule="atLeast"/>
        <w:ind w:left="284"/>
        <w:jc w:val="both"/>
        <w:rPr>
          <w:sz w:val="20"/>
          <w:szCs w:val="20"/>
          <w:lang w:val="es-ES"/>
        </w:rPr>
      </w:pPr>
      <w:r w:rsidRPr="00EE1679">
        <w:rPr>
          <w:sz w:val="20"/>
          <w:szCs w:val="20"/>
          <w:lang w:val="es-ES"/>
        </w:rPr>
        <w:t>Mongolia</w:t>
      </w:r>
    </w:p>
    <w:p w14:paraId="2E1269E3" w14:textId="77777777" w:rsidR="00EE1679" w:rsidRPr="00EE1679" w:rsidRDefault="00EE1679" w:rsidP="00EE1679">
      <w:pPr>
        <w:suppressAutoHyphens/>
        <w:spacing w:line="220" w:lineRule="atLeast"/>
        <w:ind w:left="284"/>
        <w:jc w:val="both"/>
        <w:rPr>
          <w:sz w:val="20"/>
          <w:szCs w:val="20"/>
          <w:lang w:val="es-ES"/>
        </w:rPr>
      </w:pPr>
      <w:r w:rsidRPr="00EE1679">
        <w:rPr>
          <w:sz w:val="20"/>
          <w:szCs w:val="20"/>
          <w:lang w:val="es-ES"/>
        </w:rPr>
        <w:t xml:space="preserve">Montenegro </w:t>
      </w:r>
    </w:p>
    <w:p w14:paraId="1375058E" w14:textId="77777777" w:rsidR="00EE1679" w:rsidRPr="00EE1679" w:rsidRDefault="00EE1679" w:rsidP="00EE1679">
      <w:pPr>
        <w:suppressAutoHyphens/>
        <w:spacing w:line="220" w:lineRule="atLeast"/>
        <w:ind w:left="284"/>
        <w:jc w:val="both"/>
        <w:rPr>
          <w:sz w:val="20"/>
          <w:szCs w:val="20"/>
          <w:lang w:val="es-ES"/>
        </w:rPr>
      </w:pPr>
      <w:r w:rsidRPr="00EE1679">
        <w:rPr>
          <w:sz w:val="20"/>
          <w:szCs w:val="20"/>
          <w:lang w:val="es-ES"/>
        </w:rPr>
        <w:t>Morocco</w:t>
      </w:r>
    </w:p>
    <w:p w14:paraId="0B62D522" w14:textId="77777777" w:rsidR="00EE1679" w:rsidRPr="00EE1679" w:rsidRDefault="00EE1679" w:rsidP="00EE1679">
      <w:pPr>
        <w:suppressAutoHyphens/>
        <w:spacing w:line="220" w:lineRule="atLeast"/>
        <w:ind w:left="1134"/>
        <w:jc w:val="both"/>
        <w:rPr>
          <w:sz w:val="20"/>
          <w:szCs w:val="20"/>
          <w:lang w:val="es-ES"/>
        </w:rPr>
      </w:pPr>
      <w:r w:rsidRPr="00EE1679">
        <w:rPr>
          <w:sz w:val="20"/>
          <w:szCs w:val="20"/>
          <w:lang w:val="es-ES"/>
        </w:rPr>
        <w:lastRenderedPageBreak/>
        <w:t>Mozambique</w:t>
      </w:r>
    </w:p>
    <w:p w14:paraId="699723D5" w14:textId="77777777" w:rsidR="00EE1679" w:rsidRPr="00EE1679" w:rsidRDefault="00EE1679" w:rsidP="00EE1679">
      <w:pPr>
        <w:suppressAutoHyphens/>
        <w:spacing w:line="220" w:lineRule="atLeast"/>
        <w:ind w:left="1134"/>
        <w:jc w:val="both"/>
        <w:rPr>
          <w:sz w:val="20"/>
          <w:szCs w:val="20"/>
          <w:lang w:val="es-ES"/>
        </w:rPr>
      </w:pPr>
      <w:r w:rsidRPr="00EE1679">
        <w:rPr>
          <w:sz w:val="20"/>
          <w:szCs w:val="20"/>
          <w:lang w:val="es-ES"/>
        </w:rPr>
        <w:t>Myanmar</w:t>
      </w:r>
    </w:p>
    <w:p w14:paraId="6646A234" w14:textId="77777777" w:rsidR="00EE1679" w:rsidRPr="00EE1679" w:rsidRDefault="00EE1679" w:rsidP="00EE1679">
      <w:pPr>
        <w:suppressAutoHyphens/>
        <w:spacing w:line="220" w:lineRule="atLeast"/>
        <w:ind w:left="1134"/>
        <w:jc w:val="both"/>
        <w:rPr>
          <w:sz w:val="20"/>
          <w:szCs w:val="20"/>
          <w:lang w:val="es-ES"/>
        </w:rPr>
      </w:pPr>
      <w:r w:rsidRPr="00EE1679">
        <w:rPr>
          <w:sz w:val="20"/>
          <w:szCs w:val="20"/>
          <w:lang w:val="es-ES"/>
        </w:rPr>
        <w:t>Namibia</w:t>
      </w:r>
    </w:p>
    <w:p w14:paraId="3EC9A073" w14:textId="77777777" w:rsidR="00EE1679" w:rsidRPr="00EE1679" w:rsidRDefault="00EE1679" w:rsidP="00EE1679">
      <w:pPr>
        <w:suppressAutoHyphens/>
        <w:spacing w:line="220" w:lineRule="atLeast"/>
        <w:ind w:left="1134"/>
        <w:jc w:val="both"/>
        <w:rPr>
          <w:sz w:val="20"/>
          <w:szCs w:val="20"/>
          <w:lang w:val="es-ES"/>
        </w:rPr>
      </w:pPr>
      <w:r w:rsidRPr="00EE1679">
        <w:rPr>
          <w:sz w:val="20"/>
          <w:szCs w:val="20"/>
          <w:lang w:val="es-ES"/>
        </w:rPr>
        <w:t xml:space="preserve">Netherlands </w:t>
      </w:r>
    </w:p>
    <w:p w14:paraId="581D2368" w14:textId="77777777" w:rsidR="00EE1679" w:rsidRPr="00EE1679" w:rsidRDefault="00EE1679" w:rsidP="00EE1679">
      <w:pPr>
        <w:suppressAutoHyphens/>
        <w:spacing w:line="220" w:lineRule="atLeast"/>
        <w:ind w:left="1134"/>
        <w:jc w:val="both"/>
        <w:rPr>
          <w:sz w:val="20"/>
          <w:szCs w:val="20"/>
          <w:lang w:val="es-ES"/>
        </w:rPr>
      </w:pPr>
      <w:r w:rsidRPr="00EE1679">
        <w:rPr>
          <w:sz w:val="20"/>
          <w:szCs w:val="20"/>
          <w:lang w:val="es-ES"/>
        </w:rPr>
        <w:t>New Zealand</w:t>
      </w:r>
    </w:p>
    <w:p w14:paraId="70E43F7E" w14:textId="77777777" w:rsidR="00EE1679" w:rsidRPr="00EE1679" w:rsidRDefault="00EE1679" w:rsidP="00EE1679">
      <w:pPr>
        <w:suppressAutoHyphens/>
        <w:spacing w:line="220" w:lineRule="atLeast"/>
        <w:ind w:left="1134"/>
        <w:jc w:val="both"/>
        <w:rPr>
          <w:sz w:val="20"/>
          <w:szCs w:val="20"/>
          <w:lang w:val="es-ES"/>
        </w:rPr>
      </w:pPr>
      <w:r w:rsidRPr="00EE1679">
        <w:rPr>
          <w:sz w:val="20"/>
          <w:szCs w:val="20"/>
          <w:lang w:val="es-ES"/>
        </w:rPr>
        <w:t>Nicaragua</w:t>
      </w:r>
    </w:p>
    <w:p w14:paraId="7F64C87E" w14:textId="77777777" w:rsidR="00EE1679" w:rsidRPr="00EE1679" w:rsidRDefault="00EE1679" w:rsidP="00EE1679">
      <w:pPr>
        <w:suppressAutoHyphens/>
        <w:spacing w:line="220" w:lineRule="atLeast"/>
        <w:ind w:left="1134"/>
        <w:jc w:val="both"/>
        <w:rPr>
          <w:sz w:val="20"/>
          <w:szCs w:val="20"/>
          <w:lang w:val="es-ES"/>
        </w:rPr>
      </w:pPr>
      <w:r w:rsidRPr="00EE1679">
        <w:rPr>
          <w:sz w:val="20"/>
          <w:szCs w:val="20"/>
          <w:lang w:val="es-ES"/>
        </w:rPr>
        <w:t>North Macedonia</w:t>
      </w:r>
    </w:p>
    <w:p w14:paraId="586C9690" w14:textId="77777777" w:rsidR="00EE1679" w:rsidRPr="00EE1679" w:rsidRDefault="00EE1679" w:rsidP="00EE1679">
      <w:pPr>
        <w:suppressAutoHyphens/>
        <w:spacing w:line="220" w:lineRule="atLeast"/>
        <w:ind w:left="1134"/>
        <w:jc w:val="both"/>
        <w:rPr>
          <w:sz w:val="20"/>
          <w:szCs w:val="20"/>
          <w:lang w:val="es-ES"/>
        </w:rPr>
      </w:pPr>
      <w:r w:rsidRPr="00EE1679">
        <w:rPr>
          <w:sz w:val="20"/>
          <w:szCs w:val="20"/>
          <w:lang w:val="es-ES"/>
        </w:rPr>
        <w:t xml:space="preserve">Norway </w:t>
      </w:r>
    </w:p>
    <w:p w14:paraId="58D8F7D7" w14:textId="77777777" w:rsidR="00EE1679" w:rsidRPr="00EE1679" w:rsidRDefault="00EE1679" w:rsidP="00EE1679">
      <w:pPr>
        <w:suppressAutoHyphens/>
        <w:spacing w:line="220" w:lineRule="atLeast"/>
        <w:ind w:left="1134"/>
        <w:jc w:val="both"/>
        <w:rPr>
          <w:sz w:val="20"/>
          <w:szCs w:val="20"/>
          <w:lang w:val="es-ES"/>
        </w:rPr>
      </w:pPr>
      <w:r w:rsidRPr="00EE1679">
        <w:rPr>
          <w:sz w:val="20"/>
          <w:szCs w:val="20"/>
          <w:lang w:val="es-ES"/>
        </w:rPr>
        <w:t>Oman</w:t>
      </w:r>
    </w:p>
    <w:p w14:paraId="16A8D1AB" w14:textId="77777777" w:rsidR="00EE1679" w:rsidRPr="00EE1679" w:rsidRDefault="00EE1679" w:rsidP="00EE1679">
      <w:pPr>
        <w:suppressAutoHyphens/>
        <w:spacing w:line="220" w:lineRule="atLeast"/>
        <w:ind w:left="1134"/>
        <w:jc w:val="both"/>
        <w:rPr>
          <w:sz w:val="20"/>
          <w:szCs w:val="20"/>
          <w:lang w:val="es-ES"/>
        </w:rPr>
      </w:pPr>
      <w:r w:rsidRPr="00EE1679">
        <w:rPr>
          <w:sz w:val="20"/>
          <w:szCs w:val="20"/>
          <w:lang w:val="es-ES"/>
        </w:rPr>
        <w:t>Paraguay</w:t>
      </w:r>
    </w:p>
    <w:p w14:paraId="65804970" w14:textId="77777777" w:rsidR="00EE1679" w:rsidRPr="00EE1679" w:rsidRDefault="00EE1679" w:rsidP="00EE1679">
      <w:pPr>
        <w:suppressAutoHyphens/>
        <w:spacing w:line="220" w:lineRule="atLeast"/>
        <w:ind w:left="1134"/>
        <w:jc w:val="both"/>
        <w:rPr>
          <w:sz w:val="20"/>
          <w:szCs w:val="20"/>
          <w:lang w:val="es-ES"/>
        </w:rPr>
      </w:pPr>
      <w:r w:rsidRPr="00EE1679">
        <w:rPr>
          <w:sz w:val="20"/>
          <w:szCs w:val="20"/>
          <w:lang w:val="es-ES"/>
        </w:rPr>
        <w:t>Poland</w:t>
      </w:r>
    </w:p>
    <w:p w14:paraId="058E2FFF" w14:textId="77777777" w:rsidR="00EE1679" w:rsidRPr="00EE1679" w:rsidRDefault="00EE1679" w:rsidP="00EE1679">
      <w:pPr>
        <w:suppressAutoHyphens/>
        <w:spacing w:line="220" w:lineRule="atLeast"/>
        <w:ind w:left="1134"/>
        <w:jc w:val="both"/>
        <w:rPr>
          <w:sz w:val="20"/>
          <w:szCs w:val="20"/>
          <w:lang w:val="es-ES"/>
        </w:rPr>
      </w:pPr>
      <w:r w:rsidRPr="00EE1679">
        <w:rPr>
          <w:sz w:val="20"/>
          <w:szCs w:val="20"/>
          <w:lang w:val="es-ES"/>
        </w:rPr>
        <w:t>Portugal</w:t>
      </w:r>
    </w:p>
    <w:p w14:paraId="3AD4091A" w14:textId="77777777" w:rsidR="00EE1679" w:rsidRPr="00EE1679" w:rsidRDefault="00EE1679" w:rsidP="00EE1679">
      <w:pPr>
        <w:suppressAutoHyphens/>
        <w:spacing w:line="220" w:lineRule="atLeast"/>
        <w:ind w:left="1134"/>
        <w:jc w:val="both"/>
        <w:rPr>
          <w:sz w:val="20"/>
          <w:szCs w:val="20"/>
          <w:lang w:val="es-ES"/>
        </w:rPr>
      </w:pPr>
      <w:r w:rsidRPr="00EE1679">
        <w:rPr>
          <w:sz w:val="20"/>
          <w:szCs w:val="20"/>
          <w:lang w:val="es-ES"/>
        </w:rPr>
        <w:t>Republic of Korea</w:t>
      </w:r>
    </w:p>
    <w:p w14:paraId="736DFE83" w14:textId="77777777" w:rsidR="00EE1679" w:rsidRPr="00EE1679" w:rsidRDefault="00EE1679" w:rsidP="00EE1679">
      <w:pPr>
        <w:suppressAutoHyphens/>
        <w:spacing w:line="220" w:lineRule="atLeast"/>
        <w:ind w:left="1134"/>
        <w:jc w:val="both"/>
        <w:rPr>
          <w:sz w:val="20"/>
          <w:szCs w:val="20"/>
          <w:lang w:val="es-ES"/>
        </w:rPr>
      </w:pPr>
      <w:r w:rsidRPr="00EE1679">
        <w:rPr>
          <w:sz w:val="20"/>
          <w:szCs w:val="20"/>
          <w:lang w:val="es-ES"/>
        </w:rPr>
        <w:t>Republic of Moldova</w:t>
      </w:r>
    </w:p>
    <w:p w14:paraId="5DC9E026" w14:textId="77777777" w:rsidR="00EE1679" w:rsidRPr="00EE1679" w:rsidRDefault="00EE1679" w:rsidP="00EE1679">
      <w:pPr>
        <w:suppressAutoHyphens/>
        <w:spacing w:line="220" w:lineRule="atLeast"/>
        <w:ind w:left="1134"/>
        <w:jc w:val="both"/>
        <w:rPr>
          <w:sz w:val="20"/>
          <w:szCs w:val="20"/>
          <w:lang w:val="es-ES"/>
        </w:rPr>
      </w:pPr>
      <w:r w:rsidRPr="00EE1679">
        <w:rPr>
          <w:sz w:val="20"/>
          <w:szCs w:val="20"/>
          <w:lang w:val="es-ES"/>
        </w:rPr>
        <w:t>Romania</w:t>
      </w:r>
    </w:p>
    <w:p w14:paraId="24A8F5B0" w14:textId="77777777" w:rsidR="00EE1679" w:rsidRPr="00EE1679" w:rsidRDefault="00EE1679" w:rsidP="00EE1679">
      <w:pPr>
        <w:suppressAutoHyphens/>
        <w:spacing w:line="220" w:lineRule="atLeast"/>
        <w:ind w:left="142"/>
        <w:jc w:val="both"/>
        <w:rPr>
          <w:sz w:val="20"/>
          <w:szCs w:val="20"/>
          <w:lang w:val="es-ES"/>
        </w:rPr>
      </w:pPr>
      <w:r w:rsidRPr="00EE1679">
        <w:rPr>
          <w:sz w:val="20"/>
          <w:szCs w:val="20"/>
          <w:lang w:val="es-ES"/>
        </w:rPr>
        <w:t>Russian Federation</w:t>
      </w:r>
    </w:p>
    <w:p w14:paraId="00E6194A" w14:textId="77777777" w:rsidR="00EE1679" w:rsidRPr="00EE1679" w:rsidRDefault="00EE1679" w:rsidP="00EE1679">
      <w:pPr>
        <w:suppressAutoHyphens/>
        <w:spacing w:line="220" w:lineRule="atLeast"/>
        <w:ind w:left="142"/>
        <w:jc w:val="both"/>
        <w:rPr>
          <w:sz w:val="20"/>
          <w:szCs w:val="20"/>
          <w:lang w:val="es-ES"/>
        </w:rPr>
      </w:pPr>
      <w:r w:rsidRPr="00EE1679">
        <w:rPr>
          <w:sz w:val="20"/>
          <w:szCs w:val="20"/>
          <w:lang w:val="es-ES"/>
        </w:rPr>
        <w:t>Samoa</w:t>
      </w:r>
    </w:p>
    <w:p w14:paraId="1664CFC7" w14:textId="77777777" w:rsidR="00EE1679" w:rsidRPr="00EE1679" w:rsidRDefault="00EE1679" w:rsidP="00EE1679">
      <w:pPr>
        <w:suppressAutoHyphens/>
        <w:spacing w:line="220" w:lineRule="atLeast"/>
        <w:ind w:left="142"/>
        <w:jc w:val="both"/>
        <w:rPr>
          <w:sz w:val="20"/>
          <w:szCs w:val="20"/>
          <w:lang w:val="es-ES"/>
        </w:rPr>
      </w:pPr>
      <w:r w:rsidRPr="00EE1679">
        <w:rPr>
          <w:sz w:val="20"/>
          <w:szCs w:val="20"/>
          <w:lang w:val="es-ES"/>
        </w:rPr>
        <w:t>Seychelles</w:t>
      </w:r>
    </w:p>
    <w:p w14:paraId="3483B8FF" w14:textId="77777777" w:rsidR="00EE1679" w:rsidRPr="00EE1679" w:rsidRDefault="00EE1679" w:rsidP="00EE1679">
      <w:pPr>
        <w:suppressAutoHyphens/>
        <w:spacing w:line="220" w:lineRule="atLeast"/>
        <w:ind w:left="142"/>
        <w:jc w:val="both"/>
        <w:rPr>
          <w:sz w:val="20"/>
          <w:szCs w:val="20"/>
          <w:lang w:val="es-ES"/>
        </w:rPr>
      </w:pPr>
      <w:r w:rsidRPr="00EE1679">
        <w:rPr>
          <w:sz w:val="20"/>
          <w:szCs w:val="20"/>
          <w:lang w:val="es-ES"/>
        </w:rPr>
        <w:t>Sierra Leone</w:t>
      </w:r>
    </w:p>
    <w:p w14:paraId="3C5CDA5A" w14:textId="77777777" w:rsidR="00EE1679" w:rsidRPr="00EE1679" w:rsidRDefault="00EE1679" w:rsidP="00EE1679">
      <w:pPr>
        <w:suppressAutoHyphens/>
        <w:spacing w:line="220" w:lineRule="atLeast"/>
        <w:ind w:left="142"/>
        <w:jc w:val="both"/>
        <w:rPr>
          <w:sz w:val="20"/>
          <w:szCs w:val="20"/>
          <w:lang w:val="es-ES"/>
        </w:rPr>
      </w:pPr>
      <w:r w:rsidRPr="00EE1679">
        <w:rPr>
          <w:sz w:val="20"/>
          <w:szCs w:val="20"/>
          <w:lang w:val="es-ES"/>
        </w:rPr>
        <w:t>Singapore</w:t>
      </w:r>
    </w:p>
    <w:p w14:paraId="51318A5F" w14:textId="77777777" w:rsidR="00EE1679" w:rsidRPr="00EE1679" w:rsidRDefault="00EE1679" w:rsidP="00EE1679">
      <w:pPr>
        <w:suppressAutoHyphens/>
        <w:spacing w:line="220" w:lineRule="atLeast"/>
        <w:ind w:left="142"/>
        <w:jc w:val="both"/>
        <w:rPr>
          <w:sz w:val="20"/>
          <w:szCs w:val="20"/>
          <w:lang w:val="es-ES"/>
        </w:rPr>
      </w:pPr>
      <w:r w:rsidRPr="00EE1679">
        <w:rPr>
          <w:sz w:val="20"/>
          <w:szCs w:val="20"/>
          <w:lang w:val="es-ES"/>
        </w:rPr>
        <w:t>Slovenia</w:t>
      </w:r>
    </w:p>
    <w:p w14:paraId="74962E3C" w14:textId="77777777" w:rsidR="00EE1679" w:rsidRPr="00EE1679" w:rsidRDefault="00EE1679" w:rsidP="00EE1679">
      <w:pPr>
        <w:suppressAutoHyphens/>
        <w:spacing w:line="220" w:lineRule="atLeast"/>
        <w:ind w:left="142"/>
        <w:jc w:val="both"/>
        <w:rPr>
          <w:sz w:val="20"/>
          <w:szCs w:val="20"/>
          <w:lang w:val="es-ES"/>
        </w:rPr>
      </w:pPr>
      <w:r w:rsidRPr="00EE1679">
        <w:rPr>
          <w:sz w:val="20"/>
          <w:szCs w:val="20"/>
          <w:lang w:val="es-ES"/>
        </w:rPr>
        <w:t>South Sudan</w:t>
      </w:r>
    </w:p>
    <w:p w14:paraId="407897D4" w14:textId="77777777" w:rsidR="00EE1679" w:rsidRPr="00EE1679" w:rsidRDefault="00EE1679" w:rsidP="00EE1679">
      <w:pPr>
        <w:suppressAutoHyphens/>
        <w:spacing w:line="220" w:lineRule="atLeast"/>
        <w:ind w:left="142"/>
        <w:jc w:val="both"/>
        <w:rPr>
          <w:sz w:val="20"/>
          <w:szCs w:val="20"/>
          <w:lang w:val="es-ES"/>
        </w:rPr>
      </w:pPr>
      <w:r w:rsidRPr="00EE1679">
        <w:rPr>
          <w:sz w:val="20"/>
          <w:szCs w:val="20"/>
          <w:lang w:val="es-ES"/>
        </w:rPr>
        <w:t>Sri Lanka</w:t>
      </w:r>
    </w:p>
    <w:p w14:paraId="6D65665F" w14:textId="77777777" w:rsidR="00EE1679" w:rsidRPr="00EE1679" w:rsidRDefault="00EE1679" w:rsidP="00EE1679">
      <w:pPr>
        <w:suppressAutoHyphens/>
        <w:spacing w:line="220" w:lineRule="atLeast"/>
        <w:ind w:left="142"/>
        <w:jc w:val="both"/>
        <w:rPr>
          <w:sz w:val="20"/>
          <w:szCs w:val="20"/>
          <w:lang w:val="es-ES"/>
        </w:rPr>
      </w:pPr>
      <w:r w:rsidRPr="00EE1679">
        <w:rPr>
          <w:sz w:val="20"/>
          <w:szCs w:val="20"/>
          <w:lang w:val="es-ES"/>
        </w:rPr>
        <w:t>Sudan</w:t>
      </w:r>
    </w:p>
    <w:p w14:paraId="661539DA" w14:textId="77777777" w:rsidR="00EE1679" w:rsidRPr="00EE1679" w:rsidRDefault="00EE1679" w:rsidP="00EE1679">
      <w:pPr>
        <w:suppressAutoHyphens/>
        <w:spacing w:line="220" w:lineRule="atLeast"/>
        <w:ind w:left="142"/>
        <w:jc w:val="both"/>
        <w:rPr>
          <w:sz w:val="20"/>
          <w:szCs w:val="20"/>
          <w:lang w:val="es-ES"/>
        </w:rPr>
      </w:pPr>
      <w:r w:rsidRPr="00EE1679">
        <w:rPr>
          <w:sz w:val="20"/>
          <w:szCs w:val="20"/>
          <w:lang w:val="es-ES"/>
        </w:rPr>
        <w:t>Sweden</w:t>
      </w:r>
    </w:p>
    <w:p w14:paraId="57595D66" w14:textId="77777777" w:rsidR="00EE1679" w:rsidRPr="00EE1679" w:rsidRDefault="00EE1679" w:rsidP="00EE1679">
      <w:pPr>
        <w:suppressAutoHyphens/>
        <w:spacing w:line="220" w:lineRule="atLeast"/>
        <w:ind w:left="142"/>
        <w:jc w:val="both"/>
        <w:rPr>
          <w:sz w:val="20"/>
          <w:szCs w:val="20"/>
          <w:lang w:val="es-ES"/>
        </w:rPr>
      </w:pPr>
      <w:r w:rsidRPr="00EE1679">
        <w:rPr>
          <w:sz w:val="20"/>
          <w:szCs w:val="20"/>
          <w:lang w:val="es-ES"/>
        </w:rPr>
        <w:t>Switzerland</w:t>
      </w:r>
    </w:p>
    <w:p w14:paraId="1A60FFE7" w14:textId="77777777" w:rsidR="00EE1679" w:rsidRPr="00EE1679" w:rsidRDefault="00EE1679" w:rsidP="00EE1679">
      <w:pPr>
        <w:suppressAutoHyphens/>
        <w:spacing w:line="220" w:lineRule="atLeast"/>
        <w:ind w:left="142"/>
        <w:jc w:val="both"/>
        <w:rPr>
          <w:sz w:val="20"/>
          <w:szCs w:val="20"/>
          <w:lang w:val="es-ES"/>
        </w:rPr>
      </w:pPr>
      <w:r w:rsidRPr="00EE1679">
        <w:rPr>
          <w:sz w:val="20"/>
          <w:szCs w:val="20"/>
          <w:lang w:val="es-ES"/>
        </w:rPr>
        <w:t>Syrian Arab Republic</w:t>
      </w:r>
    </w:p>
    <w:p w14:paraId="1645FF56" w14:textId="77777777" w:rsidR="00EE1679" w:rsidRPr="00EE1679" w:rsidRDefault="00EE1679" w:rsidP="00EE1679">
      <w:pPr>
        <w:suppressAutoHyphens/>
        <w:spacing w:line="220" w:lineRule="atLeast"/>
        <w:ind w:left="142"/>
        <w:jc w:val="both"/>
        <w:rPr>
          <w:sz w:val="20"/>
          <w:szCs w:val="20"/>
          <w:lang w:val="es-ES"/>
        </w:rPr>
      </w:pPr>
      <w:r w:rsidRPr="00EE1679">
        <w:rPr>
          <w:sz w:val="20"/>
          <w:szCs w:val="20"/>
          <w:lang w:val="es-ES"/>
        </w:rPr>
        <w:t>Thailand</w:t>
      </w:r>
    </w:p>
    <w:p w14:paraId="1661457C" w14:textId="77777777" w:rsidR="00EE1679" w:rsidRPr="00EE1679" w:rsidRDefault="00EE1679" w:rsidP="00EE1679">
      <w:pPr>
        <w:suppressAutoHyphens/>
        <w:spacing w:line="220" w:lineRule="atLeast"/>
        <w:ind w:left="142"/>
        <w:jc w:val="both"/>
        <w:rPr>
          <w:sz w:val="20"/>
          <w:szCs w:val="20"/>
          <w:lang w:val="es-ES"/>
        </w:rPr>
      </w:pPr>
      <w:r w:rsidRPr="00EE1679">
        <w:rPr>
          <w:sz w:val="20"/>
          <w:szCs w:val="20"/>
          <w:lang w:val="es-ES"/>
        </w:rPr>
        <w:t>Timor-Leste</w:t>
      </w:r>
    </w:p>
    <w:p w14:paraId="2CB36537" w14:textId="77777777" w:rsidR="00EE1679" w:rsidRPr="00EE1679" w:rsidRDefault="00EE1679" w:rsidP="00EE1679">
      <w:pPr>
        <w:suppressAutoHyphens/>
        <w:spacing w:line="220" w:lineRule="atLeast"/>
        <w:ind w:left="142"/>
        <w:jc w:val="both"/>
        <w:rPr>
          <w:sz w:val="20"/>
          <w:szCs w:val="20"/>
          <w:lang w:val="es-ES"/>
        </w:rPr>
      </w:pPr>
      <w:r w:rsidRPr="00EE1679">
        <w:rPr>
          <w:sz w:val="20"/>
          <w:szCs w:val="20"/>
          <w:lang w:val="es-ES"/>
        </w:rPr>
        <w:t>Tonga</w:t>
      </w:r>
    </w:p>
    <w:p w14:paraId="793EA72C" w14:textId="77777777" w:rsidR="00EE1679" w:rsidRPr="00EE1679" w:rsidRDefault="00EE1679" w:rsidP="00EE1679">
      <w:pPr>
        <w:suppressAutoHyphens/>
        <w:spacing w:line="220" w:lineRule="atLeast"/>
        <w:ind w:left="284"/>
        <w:jc w:val="both"/>
        <w:rPr>
          <w:sz w:val="20"/>
          <w:szCs w:val="20"/>
          <w:lang w:val="es-ES"/>
        </w:rPr>
      </w:pPr>
      <w:r w:rsidRPr="00EE1679">
        <w:rPr>
          <w:sz w:val="20"/>
          <w:szCs w:val="20"/>
          <w:lang w:val="es-ES"/>
        </w:rPr>
        <w:t>Trinidad and Tobago</w:t>
      </w:r>
    </w:p>
    <w:p w14:paraId="73A04C07" w14:textId="77777777" w:rsidR="00EE1679" w:rsidRPr="00EE1679" w:rsidRDefault="00EE1679" w:rsidP="00EE1679">
      <w:pPr>
        <w:suppressAutoHyphens/>
        <w:spacing w:line="220" w:lineRule="atLeast"/>
        <w:ind w:left="284"/>
        <w:jc w:val="both"/>
        <w:rPr>
          <w:sz w:val="20"/>
          <w:szCs w:val="20"/>
          <w:lang w:val="es-ES"/>
        </w:rPr>
      </w:pPr>
      <w:r w:rsidRPr="00EE1679">
        <w:rPr>
          <w:sz w:val="20"/>
          <w:szCs w:val="20"/>
          <w:lang w:val="es-ES"/>
        </w:rPr>
        <w:t>Turkey</w:t>
      </w:r>
    </w:p>
    <w:p w14:paraId="67918AEC" w14:textId="77777777" w:rsidR="00EE1679" w:rsidRPr="00EE1679" w:rsidRDefault="00EE1679" w:rsidP="00EE1679">
      <w:pPr>
        <w:suppressAutoHyphens/>
        <w:spacing w:line="220" w:lineRule="atLeast"/>
        <w:ind w:left="284"/>
        <w:jc w:val="both"/>
        <w:rPr>
          <w:sz w:val="20"/>
          <w:szCs w:val="20"/>
          <w:lang w:val="es-ES"/>
        </w:rPr>
      </w:pPr>
      <w:r w:rsidRPr="00EE1679">
        <w:rPr>
          <w:sz w:val="20"/>
          <w:szCs w:val="20"/>
          <w:lang w:val="es-ES"/>
        </w:rPr>
        <w:t>Turkmenistan</w:t>
      </w:r>
    </w:p>
    <w:p w14:paraId="558B6C9B" w14:textId="77777777" w:rsidR="00EE1679" w:rsidRPr="00EE1679" w:rsidRDefault="00EE1679" w:rsidP="00EE1679">
      <w:pPr>
        <w:suppressAutoHyphens/>
        <w:spacing w:line="220" w:lineRule="atLeast"/>
        <w:ind w:left="284"/>
        <w:jc w:val="both"/>
        <w:rPr>
          <w:sz w:val="20"/>
          <w:szCs w:val="20"/>
          <w:lang w:val="es-ES"/>
        </w:rPr>
      </w:pPr>
      <w:r w:rsidRPr="00EE1679">
        <w:rPr>
          <w:sz w:val="20"/>
          <w:szCs w:val="20"/>
          <w:lang w:val="es-ES"/>
        </w:rPr>
        <w:t>Uganda</w:t>
      </w:r>
    </w:p>
    <w:p w14:paraId="60D24D39" w14:textId="77777777" w:rsidR="00EE1679" w:rsidRPr="00EE1679" w:rsidRDefault="00EE1679" w:rsidP="00EE1679">
      <w:pPr>
        <w:suppressAutoHyphens/>
        <w:spacing w:line="220" w:lineRule="atLeast"/>
        <w:ind w:left="284"/>
        <w:jc w:val="both"/>
        <w:rPr>
          <w:sz w:val="20"/>
          <w:szCs w:val="20"/>
          <w:lang w:val="es-ES"/>
        </w:rPr>
      </w:pPr>
      <w:r w:rsidRPr="00EE1679">
        <w:rPr>
          <w:sz w:val="20"/>
          <w:szCs w:val="20"/>
          <w:lang w:val="es-ES"/>
        </w:rPr>
        <w:t>United Arab Emirates</w:t>
      </w:r>
    </w:p>
    <w:p w14:paraId="7EE97884" w14:textId="77777777" w:rsidR="00EE1679" w:rsidRPr="00EE1679" w:rsidRDefault="00EE1679" w:rsidP="00EE1679">
      <w:pPr>
        <w:suppressAutoHyphens/>
        <w:spacing w:line="220" w:lineRule="atLeast"/>
        <w:ind w:left="284"/>
        <w:jc w:val="both"/>
        <w:rPr>
          <w:sz w:val="20"/>
          <w:szCs w:val="20"/>
          <w:lang w:val="es-ES"/>
        </w:rPr>
      </w:pPr>
      <w:r w:rsidRPr="00EE1679">
        <w:rPr>
          <w:sz w:val="20"/>
          <w:szCs w:val="20"/>
          <w:lang w:val="es-ES"/>
        </w:rPr>
        <w:t>United Republic of Tanzania</w:t>
      </w:r>
    </w:p>
    <w:p w14:paraId="5DC166F9" w14:textId="77777777" w:rsidR="00EE1679" w:rsidRPr="00EE1679" w:rsidRDefault="00EE1679" w:rsidP="00EE1679">
      <w:pPr>
        <w:suppressAutoHyphens/>
        <w:spacing w:line="220" w:lineRule="atLeast"/>
        <w:ind w:left="284"/>
        <w:jc w:val="both"/>
        <w:rPr>
          <w:sz w:val="20"/>
          <w:szCs w:val="20"/>
          <w:lang w:val="es-ES"/>
        </w:rPr>
      </w:pPr>
      <w:r w:rsidRPr="00EE1679">
        <w:rPr>
          <w:sz w:val="20"/>
          <w:szCs w:val="20"/>
          <w:lang w:val="es-ES"/>
        </w:rPr>
        <w:t>Uzbekistan</w:t>
      </w:r>
    </w:p>
    <w:p w14:paraId="5F984495" w14:textId="77777777" w:rsidR="00EE1679" w:rsidRPr="00EE1679" w:rsidRDefault="00EE1679" w:rsidP="00EE1679">
      <w:pPr>
        <w:suppressAutoHyphens/>
        <w:spacing w:line="220" w:lineRule="atLeast"/>
        <w:ind w:left="284"/>
        <w:jc w:val="both"/>
        <w:rPr>
          <w:sz w:val="20"/>
          <w:szCs w:val="20"/>
          <w:lang w:val="es-ES"/>
        </w:rPr>
      </w:pPr>
      <w:r w:rsidRPr="00EE1679">
        <w:rPr>
          <w:sz w:val="20"/>
          <w:szCs w:val="20"/>
          <w:lang w:val="es-ES"/>
        </w:rPr>
        <w:t>Venezuela (Bolivarian Republic of)</w:t>
      </w:r>
    </w:p>
    <w:p w14:paraId="6F8BF812" w14:textId="77777777" w:rsidR="00EE1679" w:rsidRPr="00EE1679" w:rsidRDefault="00EE1679" w:rsidP="00EE1679">
      <w:pPr>
        <w:suppressAutoHyphens/>
        <w:spacing w:line="220" w:lineRule="atLeast"/>
        <w:ind w:left="284"/>
        <w:jc w:val="both"/>
        <w:rPr>
          <w:sz w:val="20"/>
          <w:szCs w:val="20"/>
          <w:lang w:val="es-ES"/>
        </w:rPr>
      </w:pPr>
      <w:r w:rsidRPr="00EE1679">
        <w:rPr>
          <w:sz w:val="20"/>
          <w:szCs w:val="20"/>
          <w:lang w:val="es-ES"/>
        </w:rPr>
        <w:t>Viet Nam</w:t>
      </w:r>
    </w:p>
    <w:p w14:paraId="67B8B29D" w14:textId="77777777" w:rsidR="00EE1679" w:rsidRPr="00EE1679" w:rsidRDefault="00EE1679" w:rsidP="00EE1679">
      <w:pPr>
        <w:suppressAutoHyphens/>
        <w:spacing w:line="220" w:lineRule="atLeast"/>
        <w:ind w:left="284"/>
        <w:jc w:val="both"/>
        <w:rPr>
          <w:sz w:val="20"/>
          <w:szCs w:val="20"/>
          <w:lang w:val="es-ES"/>
        </w:rPr>
      </w:pPr>
      <w:r w:rsidRPr="00EE1679">
        <w:rPr>
          <w:sz w:val="20"/>
          <w:szCs w:val="20"/>
          <w:lang w:val="es-ES"/>
        </w:rPr>
        <w:t>Yemen</w:t>
      </w:r>
    </w:p>
    <w:p w14:paraId="33A9166A" w14:textId="77777777" w:rsidR="00EE1679" w:rsidRPr="00EE1679" w:rsidRDefault="00EE1679" w:rsidP="00EE1679">
      <w:pPr>
        <w:suppressAutoHyphens/>
        <w:spacing w:line="220" w:lineRule="atLeast"/>
        <w:ind w:left="284"/>
        <w:jc w:val="both"/>
        <w:rPr>
          <w:sz w:val="20"/>
          <w:szCs w:val="20"/>
          <w:lang w:val="es-ES"/>
        </w:rPr>
      </w:pPr>
      <w:r w:rsidRPr="00EE1679">
        <w:rPr>
          <w:sz w:val="20"/>
          <w:szCs w:val="20"/>
          <w:lang w:val="es-ES"/>
        </w:rPr>
        <w:t>Zambia</w:t>
      </w:r>
    </w:p>
    <w:p w14:paraId="1096E3B5" w14:textId="77777777" w:rsidR="00EE1679" w:rsidRDefault="00EE1679" w:rsidP="00EE1679">
      <w:pPr>
        <w:suppressAutoHyphens/>
        <w:spacing w:line="220" w:lineRule="atLeast"/>
        <w:ind w:left="284"/>
        <w:jc w:val="both"/>
        <w:rPr>
          <w:sz w:val="20"/>
          <w:szCs w:val="20"/>
          <w:lang w:val="es-ES"/>
        </w:rPr>
      </w:pPr>
      <w:r w:rsidRPr="00EE1679">
        <w:rPr>
          <w:sz w:val="20"/>
          <w:szCs w:val="20"/>
          <w:lang w:val="es-ES"/>
        </w:rPr>
        <w:t>Zimbabwe</w:t>
      </w:r>
    </w:p>
    <w:p w14:paraId="282071D1" w14:textId="77777777" w:rsidR="00EE1679" w:rsidRDefault="00EE1679" w:rsidP="00EE1679">
      <w:pPr>
        <w:suppressAutoHyphens/>
        <w:spacing w:line="220" w:lineRule="atLeast"/>
        <w:ind w:left="284"/>
        <w:jc w:val="both"/>
        <w:rPr>
          <w:sz w:val="20"/>
          <w:szCs w:val="20"/>
          <w:lang w:val="en-GB"/>
        </w:rPr>
      </w:pPr>
    </w:p>
    <w:p w14:paraId="4DA59A34" w14:textId="77777777" w:rsidR="00EE1679" w:rsidRDefault="00EE1679" w:rsidP="00EE1679">
      <w:pPr>
        <w:suppressAutoHyphens/>
        <w:spacing w:line="220" w:lineRule="atLeast"/>
        <w:ind w:left="284"/>
        <w:jc w:val="both"/>
        <w:rPr>
          <w:sz w:val="20"/>
          <w:szCs w:val="20"/>
          <w:lang w:val="en-GB"/>
        </w:rPr>
        <w:sectPr w:rsidR="00EE1679" w:rsidSect="00EE1679">
          <w:endnotePr>
            <w:numFmt w:val="decimal"/>
          </w:endnotePr>
          <w:type w:val="continuous"/>
          <w:pgSz w:w="11907" w:h="16840" w:code="9"/>
          <w:pgMar w:top="1701" w:right="1134" w:bottom="2268" w:left="1134" w:header="1134" w:footer="1701" w:gutter="0"/>
          <w:cols w:num="3" w:space="141"/>
          <w:titlePg/>
          <w:docGrid w:linePitch="272"/>
        </w:sectPr>
      </w:pPr>
    </w:p>
    <w:p w14:paraId="70FB9F19" w14:textId="01DC806A" w:rsidR="00EE1679" w:rsidRPr="00D54B54" w:rsidRDefault="00EE1679" w:rsidP="00EE1679">
      <w:pPr>
        <w:pStyle w:val="H1G"/>
        <w:rPr>
          <w:lang w:val="en-GB"/>
        </w:rPr>
      </w:pPr>
      <w:r>
        <w:rPr>
          <w:lang w:val="en-GB"/>
        </w:rPr>
        <w:tab/>
      </w:r>
      <w:r>
        <w:rPr>
          <w:lang w:val="en-GB"/>
        </w:rPr>
        <w:tab/>
      </w:r>
      <w:r w:rsidRPr="00D54B54">
        <w:rPr>
          <w:lang w:val="en-GB"/>
        </w:rPr>
        <w:t>Non-Member States represented by observers</w:t>
      </w:r>
    </w:p>
    <w:p w14:paraId="00137002" w14:textId="77777777" w:rsidR="00EE1679" w:rsidRPr="00EE1679" w:rsidRDefault="00EE1679" w:rsidP="00EE1679">
      <w:pPr>
        <w:spacing w:after="120"/>
        <w:ind w:left="1134" w:right="1134"/>
        <w:jc w:val="both"/>
        <w:rPr>
          <w:sz w:val="20"/>
          <w:szCs w:val="20"/>
        </w:rPr>
      </w:pPr>
      <w:r w:rsidRPr="00EE1679">
        <w:rPr>
          <w:sz w:val="20"/>
          <w:szCs w:val="20"/>
        </w:rPr>
        <w:t>Holy See</w:t>
      </w:r>
    </w:p>
    <w:p w14:paraId="04BC9BD3" w14:textId="77777777" w:rsidR="00EE1679" w:rsidRPr="00D54B54" w:rsidRDefault="00EE1679" w:rsidP="00EE1679">
      <w:pPr>
        <w:pStyle w:val="H1G"/>
        <w:rPr>
          <w:lang w:val="en-GB"/>
        </w:rPr>
      </w:pPr>
      <w:r w:rsidRPr="00D54B54">
        <w:rPr>
          <w:lang w:val="en-GB"/>
        </w:rPr>
        <w:tab/>
      </w:r>
      <w:r w:rsidRPr="00D54B54">
        <w:rPr>
          <w:lang w:val="en-GB"/>
        </w:rPr>
        <w:tab/>
        <w:t>Other observers</w:t>
      </w:r>
    </w:p>
    <w:p w14:paraId="52B2AFBD" w14:textId="77777777" w:rsidR="00EE1679" w:rsidRPr="00EE1679" w:rsidRDefault="00EE1679" w:rsidP="00EE1679">
      <w:pPr>
        <w:spacing w:after="120"/>
        <w:ind w:left="1134" w:right="1134"/>
        <w:jc w:val="both"/>
        <w:rPr>
          <w:sz w:val="20"/>
          <w:szCs w:val="20"/>
        </w:rPr>
      </w:pPr>
      <w:r w:rsidRPr="00EE1679">
        <w:rPr>
          <w:sz w:val="20"/>
          <w:szCs w:val="20"/>
        </w:rPr>
        <w:t>Palestine</w:t>
      </w:r>
    </w:p>
    <w:p w14:paraId="2C0CD519" w14:textId="1918FC1A" w:rsidR="00EE1679" w:rsidRDefault="00EE1679" w:rsidP="00EE1679">
      <w:pPr>
        <w:pStyle w:val="H1G"/>
        <w:rPr>
          <w:lang w:val="en-GB"/>
        </w:rPr>
      </w:pPr>
      <w:r w:rsidRPr="00D54B54">
        <w:rPr>
          <w:lang w:val="en-GB"/>
        </w:rPr>
        <w:tab/>
      </w:r>
      <w:r w:rsidRPr="00D54B54">
        <w:rPr>
          <w:lang w:val="en-GB"/>
        </w:rPr>
        <w:tab/>
        <w:t>United Nations</w:t>
      </w:r>
    </w:p>
    <w:p w14:paraId="69ED0B6D" w14:textId="77777777" w:rsidR="00EE1679" w:rsidRDefault="00EE1679" w:rsidP="00EE1679">
      <w:pPr>
        <w:rPr>
          <w:sz w:val="20"/>
          <w:szCs w:val="20"/>
          <w:lang w:val="en-GB"/>
        </w:rPr>
        <w:sectPr w:rsidR="00EE1679" w:rsidSect="00EE1679">
          <w:endnotePr>
            <w:numFmt w:val="decimal"/>
          </w:endnotePr>
          <w:type w:val="continuous"/>
          <w:pgSz w:w="11907" w:h="16840" w:code="9"/>
          <w:pgMar w:top="1701" w:right="1134" w:bottom="2268" w:left="1134" w:header="1134" w:footer="1701" w:gutter="0"/>
          <w:cols w:space="141"/>
          <w:titlePg/>
          <w:docGrid w:linePitch="272"/>
        </w:sectPr>
      </w:pPr>
    </w:p>
    <w:p w14:paraId="7DAC2471" w14:textId="763EFFED" w:rsidR="00EE1679" w:rsidRPr="0040361A" w:rsidRDefault="00EE1679" w:rsidP="00794D56">
      <w:pPr>
        <w:suppressAutoHyphens/>
        <w:spacing w:line="240" w:lineRule="atLeast"/>
        <w:ind w:left="1134"/>
        <w:rPr>
          <w:sz w:val="20"/>
          <w:szCs w:val="20"/>
          <w:lang w:val="en-GB"/>
        </w:rPr>
      </w:pPr>
      <w:r w:rsidRPr="0040361A">
        <w:rPr>
          <w:sz w:val="20"/>
          <w:szCs w:val="20"/>
          <w:lang w:val="en-GB"/>
        </w:rPr>
        <w:t>Department of Peacekeeping Operations</w:t>
      </w:r>
    </w:p>
    <w:p w14:paraId="4FFEFE4F" w14:textId="77777777" w:rsidR="00EE1679" w:rsidRPr="0040361A" w:rsidRDefault="00EE1679" w:rsidP="00794D56">
      <w:pPr>
        <w:suppressAutoHyphens/>
        <w:spacing w:line="240" w:lineRule="atLeast"/>
        <w:ind w:left="1134"/>
        <w:rPr>
          <w:sz w:val="20"/>
          <w:szCs w:val="20"/>
          <w:lang w:val="en-GB"/>
        </w:rPr>
      </w:pPr>
      <w:r w:rsidRPr="0040361A">
        <w:rPr>
          <w:sz w:val="20"/>
          <w:szCs w:val="20"/>
          <w:lang w:val="en-GB"/>
        </w:rPr>
        <w:t>Offic</w:t>
      </w:r>
      <w:r>
        <w:rPr>
          <w:sz w:val="20"/>
          <w:szCs w:val="20"/>
          <w:lang w:val="en-GB"/>
        </w:rPr>
        <w:t>e of the United Nations High</w:t>
      </w:r>
      <w:r>
        <w:rPr>
          <w:sz w:val="20"/>
          <w:szCs w:val="20"/>
          <w:lang w:val="en-GB"/>
        </w:rPr>
        <w:br/>
        <w:t xml:space="preserve"> </w:t>
      </w:r>
      <w:r w:rsidRPr="0040361A">
        <w:rPr>
          <w:sz w:val="20"/>
          <w:szCs w:val="20"/>
          <w:lang w:val="en-GB"/>
        </w:rPr>
        <w:t>Commissioner for Refugees</w:t>
      </w:r>
    </w:p>
    <w:p w14:paraId="046EEEE6" w14:textId="77777777" w:rsidR="00EE1679" w:rsidRPr="0040361A" w:rsidRDefault="00EE1679" w:rsidP="00794D56">
      <w:pPr>
        <w:suppressAutoHyphens/>
        <w:spacing w:line="240" w:lineRule="atLeast"/>
        <w:ind w:left="1134"/>
        <w:rPr>
          <w:sz w:val="20"/>
          <w:szCs w:val="20"/>
          <w:lang w:val="en-GB"/>
        </w:rPr>
      </w:pPr>
      <w:r w:rsidRPr="0040361A">
        <w:rPr>
          <w:sz w:val="20"/>
          <w:szCs w:val="20"/>
          <w:lang w:val="en-GB"/>
        </w:rPr>
        <w:t>United Nations Children</w:t>
      </w:r>
      <w:r>
        <w:rPr>
          <w:sz w:val="20"/>
          <w:szCs w:val="20"/>
          <w:lang w:val="en-GB"/>
        </w:rPr>
        <w:t>’</w:t>
      </w:r>
      <w:r w:rsidRPr="0040361A">
        <w:rPr>
          <w:sz w:val="20"/>
          <w:szCs w:val="20"/>
          <w:lang w:val="en-GB"/>
        </w:rPr>
        <w:t>s Fund</w:t>
      </w:r>
    </w:p>
    <w:p w14:paraId="2ECFAAFF" w14:textId="77777777" w:rsidR="00EE1679" w:rsidRDefault="00EE1679" w:rsidP="00794D56">
      <w:pPr>
        <w:suppressAutoHyphens/>
        <w:spacing w:line="240" w:lineRule="atLeast"/>
        <w:ind w:left="1134"/>
        <w:rPr>
          <w:sz w:val="20"/>
          <w:szCs w:val="20"/>
          <w:lang w:val="en-GB"/>
        </w:rPr>
      </w:pPr>
      <w:r w:rsidRPr="0040361A">
        <w:rPr>
          <w:sz w:val="20"/>
          <w:szCs w:val="20"/>
          <w:lang w:val="en-GB"/>
        </w:rPr>
        <w:t>United Nations Development Programme</w:t>
      </w:r>
    </w:p>
    <w:p w14:paraId="6FDFD060" w14:textId="77777777" w:rsidR="00EE1679" w:rsidRPr="0040361A" w:rsidRDefault="00EE1679" w:rsidP="00794D56">
      <w:pPr>
        <w:suppressAutoHyphens/>
        <w:spacing w:line="240" w:lineRule="atLeast"/>
        <w:ind w:left="1134"/>
        <w:rPr>
          <w:sz w:val="20"/>
          <w:szCs w:val="20"/>
          <w:lang w:val="en-GB"/>
        </w:rPr>
      </w:pPr>
      <w:r w:rsidRPr="0040361A">
        <w:rPr>
          <w:sz w:val="20"/>
          <w:szCs w:val="20"/>
          <w:lang w:val="en-GB"/>
        </w:rPr>
        <w:t>United Nations Economic Commission</w:t>
      </w:r>
      <w:r>
        <w:rPr>
          <w:sz w:val="20"/>
          <w:szCs w:val="20"/>
          <w:lang w:val="en-GB"/>
        </w:rPr>
        <w:br/>
        <w:t xml:space="preserve"> </w:t>
      </w:r>
      <w:r w:rsidRPr="0040361A">
        <w:rPr>
          <w:sz w:val="20"/>
          <w:szCs w:val="20"/>
          <w:lang w:val="en-GB"/>
        </w:rPr>
        <w:t>for Europe</w:t>
      </w:r>
    </w:p>
    <w:p w14:paraId="7849E79C" w14:textId="77777777" w:rsidR="00EE1679" w:rsidRPr="0040361A" w:rsidRDefault="00EE1679" w:rsidP="00794D56">
      <w:pPr>
        <w:suppressAutoHyphens/>
        <w:spacing w:line="240" w:lineRule="atLeast"/>
        <w:ind w:left="1134"/>
        <w:rPr>
          <w:sz w:val="20"/>
          <w:szCs w:val="20"/>
          <w:lang w:val="en-GB"/>
        </w:rPr>
      </w:pPr>
      <w:r w:rsidRPr="0040361A">
        <w:rPr>
          <w:sz w:val="20"/>
          <w:szCs w:val="20"/>
          <w:lang w:val="en-GB"/>
        </w:rPr>
        <w:t>United Nations Economic Commission for</w:t>
      </w:r>
      <w:r>
        <w:rPr>
          <w:sz w:val="20"/>
          <w:szCs w:val="20"/>
          <w:lang w:val="en-GB"/>
        </w:rPr>
        <w:br/>
        <w:t xml:space="preserve"> </w:t>
      </w:r>
      <w:r w:rsidRPr="0040361A">
        <w:rPr>
          <w:sz w:val="20"/>
          <w:szCs w:val="20"/>
          <w:lang w:val="en-GB"/>
        </w:rPr>
        <w:t>Latin America and the Caribbean</w:t>
      </w:r>
    </w:p>
    <w:p w14:paraId="46474BE0" w14:textId="77777777" w:rsidR="00EE1679" w:rsidRPr="0040361A" w:rsidRDefault="00EE1679" w:rsidP="00794D56">
      <w:pPr>
        <w:ind w:right="991"/>
        <w:rPr>
          <w:sz w:val="20"/>
          <w:szCs w:val="20"/>
          <w:lang w:val="en-GB"/>
        </w:rPr>
      </w:pPr>
      <w:r w:rsidRPr="0040361A">
        <w:rPr>
          <w:sz w:val="20"/>
          <w:szCs w:val="20"/>
          <w:lang w:val="en-GB"/>
        </w:rPr>
        <w:t>United Nations Educational, Scientific and</w:t>
      </w:r>
      <w:r>
        <w:rPr>
          <w:sz w:val="20"/>
          <w:szCs w:val="20"/>
          <w:lang w:val="en-GB"/>
        </w:rPr>
        <w:br/>
      </w:r>
      <w:r w:rsidRPr="0040361A">
        <w:rPr>
          <w:sz w:val="20"/>
          <w:szCs w:val="20"/>
          <w:lang w:val="en-GB"/>
        </w:rPr>
        <w:t xml:space="preserve"> Cultural Organization</w:t>
      </w:r>
    </w:p>
    <w:p w14:paraId="3836A21F" w14:textId="77777777" w:rsidR="00EE1679" w:rsidRDefault="00EE1679" w:rsidP="00794D56">
      <w:pPr>
        <w:ind w:right="991"/>
        <w:rPr>
          <w:sz w:val="20"/>
          <w:szCs w:val="20"/>
          <w:lang w:val="en-GB"/>
        </w:rPr>
      </w:pPr>
      <w:r w:rsidRPr="00271699">
        <w:rPr>
          <w:sz w:val="20"/>
          <w:szCs w:val="20"/>
          <w:lang w:val="en-GB"/>
        </w:rPr>
        <w:t>United Nations Entity for Gender Equality</w:t>
      </w:r>
      <w:r>
        <w:rPr>
          <w:sz w:val="20"/>
          <w:szCs w:val="20"/>
          <w:lang w:val="en-GB"/>
        </w:rPr>
        <w:br/>
      </w:r>
      <w:r w:rsidRPr="00271699">
        <w:rPr>
          <w:sz w:val="20"/>
          <w:szCs w:val="20"/>
          <w:lang w:val="en-GB"/>
        </w:rPr>
        <w:t xml:space="preserve"> and the</w:t>
      </w:r>
      <w:r>
        <w:rPr>
          <w:sz w:val="20"/>
          <w:szCs w:val="20"/>
          <w:lang w:val="en-GB"/>
        </w:rPr>
        <w:t xml:space="preserve"> Empowerment of Women</w:t>
      </w:r>
    </w:p>
    <w:p w14:paraId="22F65F9F" w14:textId="77777777" w:rsidR="00EE1679" w:rsidRPr="0040361A" w:rsidRDefault="00EE1679" w:rsidP="00794D56">
      <w:pPr>
        <w:ind w:right="991"/>
        <w:rPr>
          <w:sz w:val="20"/>
          <w:szCs w:val="20"/>
          <w:lang w:val="en-GB"/>
        </w:rPr>
      </w:pPr>
      <w:r w:rsidRPr="0040361A">
        <w:rPr>
          <w:sz w:val="20"/>
          <w:szCs w:val="20"/>
          <w:lang w:val="en-GB"/>
        </w:rPr>
        <w:t>United Nations Environment Programme</w:t>
      </w:r>
    </w:p>
    <w:p w14:paraId="60BF20DD" w14:textId="77777777" w:rsidR="00EE1679" w:rsidRPr="0040361A" w:rsidRDefault="00EE1679" w:rsidP="00794D56">
      <w:pPr>
        <w:ind w:right="991"/>
        <w:rPr>
          <w:sz w:val="20"/>
          <w:szCs w:val="20"/>
          <w:lang w:val="en-GB"/>
        </w:rPr>
      </w:pPr>
      <w:r w:rsidRPr="0040361A">
        <w:rPr>
          <w:sz w:val="20"/>
          <w:szCs w:val="20"/>
          <w:lang w:val="en-GB"/>
        </w:rPr>
        <w:t>United Nations Population Fund</w:t>
      </w:r>
    </w:p>
    <w:p w14:paraId="1F5CB0C7" w14:textId="77777777" w:rsidR="00EE1679" w:rsidRPr="0040361A" w:rsidRDefault="00EE1679" w:rsidP="00794D56">
      <w:pPr>
        <w:ind w:right="991"/>
        <w:rPr>
          <w:sz w:val="20"/>
          <w:szCs w:val="20"/>
          <w:lang w:val="en-GB"/>
        </w:rPr>
      </w:pPr>
      <w:r w:rsidRPr="0040361A">
        <w:rPr>
          <w:sz w:val="20"/>
          <w:szCs w:val="20"/>
          <w:lang w:val="en-GB"/>
        </w:rPr>
        <w:t>United Nations Research Institute for Social Development</w:t>
      </w:r>
    </w:p>
    <w:p w14:paraId="2C3041E0" w14:textId="77777777" w:rsidR="00EE1679" w:rsidRPr="00794D56" w:rsidRDefault="00EE1679" w:rsidP="00794D56">
      <w:pPr>
        <w:suppressAutoHyphens/>
        <w:spacing w:line="240" w:lineRule="atLeast"/>
        <w:ind w:left="1134"/>
        <w:rPr>
          <w:sz w:val="20"/>
          <w:szCs w:val="20"/>
          <w:lang w:val="en-GB"/>
        </w:rPr>
        <w:sectPr w:rsidR="00EE1679" w:rsidRPr="00794D56" w:rsidSect="00EE1679">
          <w:endnotePr>
            <w:numFmt w:val="decimal"/>
          </w:endnotePr>
          <w:type w:val="continuous"/>
          <w:pgSz w:w="11907" w:h="16840" w:code="9"/>
          <w:pgMar w:top="1701" w:right="1134" w:bottom="2268" w:left="1134" w:header="1134" w:footer="1701" w:gutter="0"/>
          <w:cols w:num="2" w:space="141"/>
          <w:titlePg/>
          <w:docGrid w:linePitch="272"/>
        </w:sectPr>
      </w:pPr>
    </w:p>
    <w:p w14:paraId="51168D7A" w14:textId="72565C3A" w:rsidR="00EE1679" w:rsidRPr="00EE1679" w:rsidRDefault="00794D56" w:rsidP="00794D56">
      <w:pPr>
        <w:pStyle w:val="H1G"/>
        <w:rPr>
          <w:lang w:val="en-GB"/>
        </w:rPr>
      </w:pPr>
      <w:r>
        <w:rPr>
          <w:lang w:val="en-GB"/>
        </w:rPr>
        <w:tab/>
      </w:r>
      <w:r>
        <w:rPr>
          <w:lang w:val="en-GB"/>
        </w:rPr>
        <w:tab/>
      </w:r>
      <w:r w:rsidRPr="00794D56">
        <w:rPr>
          <w:lang w:val="en-GB"/>
        </w:rPr>
        <w:t>Specialized agencies and related organizations</w:t>
      </w:r>
    </w:p>
    <w:p w14:paraId="05002D16" w14:textId="77777777" w:rsidR="00794D56" w:rsidRDefault="00794D56" w:rsidP="00794D56">
      <w:pPr>
        <w:suppressAutoHyphens/>
        <w:spacing w:line="240" w:lineRule="atLeast"/>
        <w:ind w:left="1134"/>
        <w:rPr>
          <w:sz w:val="20"/>
          <w:szCs w:val="20"/>
          <w:lang w:val="en-GB"/>
        </w:rPr>
        <w:sectPr w:rsidR="00794D56" w:rsidSect="00EE1679">
          <w:endnotePr>
            <w:numFmt w:val="decimal"/>
          </w:endnotePr>
          <w:type w:val="continuous"/>
          <w:pgSz w:w="11907" w:h="16840" w:code="9"/>
          <w:pgMar w:top="1701" w:right="1134" w:bottom="2268" w:left="1134" w:header="1134" w:footer="1701" w:gutter="0"/>
          <w:cols w:space="141"/>
          <w:titlePg/>
          <w:docGrid w:linePitch="272"/>
        </w:sectPr>
      </w:pPr>
    </w:p>
    <w:p w14:paraId="2B35714A" w14:textId="5045133F" w:rsidR="00794D56" w:rsidRPr="00E30D7B" w:rsidRDefault="00794D56" w:rsidP="00794D56">
      <w:pPr>
        <w:suppressAutoHyphens/>
        <w:spacing w:line="240" w:lineRule="atLeast"/>
        <w:ind w:left="1134"/>
        <w:rPr>
          <w:sz w:val="20"/>
          <w:szCs w:val="20"/>
          <w:lang w:val="en-GB"/>
        </w:rPr>
      </w:pPr>
      <w:r w:rsidRPr="00E30D7B">
        <w:rPr>
          <w:sz w:val="20"/>
          <w:szCs w:val="20"/>
          <w:lang w:val="en-GB"/>
        </w:rPr>
        <w:t>Food and Agriculture Organization of the</w:t>
      </w:r>
      <w:r w:rsidRPr="00E30D7B">
        <w:rPr>
          <w:sz w:val="20"/>
          <w:szCs w:val="20"/>
          <w:lang w:val="en-GB"/>
        </w:rPr>
        <w:br/>
        <w:t xml:space="preserve"> United Nations</w:t>
      </w:r>
    </w:p>
    <w:p w14:paraId="3C47F149" w14:textId="77777777" w:rsidR="00794D56" w:rsidRPr="00E30D7B" w:rsidRDefault="00794D56" w:rsidP="00794D56">
      <w:pPr>
        <w:ind w:right="991"/>
        <w:rPr>
          <w:sz w:val="20"/>
          <w:szCs w:val="20"/>
          <w:lang w:val="en-GB"/>
        </w:rPr>
      </w:pPr>
      <w:r w:rsidRPr="00E30D7B">
        <w:rPr>
          <w:sz w:val="20"/>
          <w:szCs w:val="20"/>
          <w:lang w:val="en-GB"/>
        </w:rPr>
        <w:t>International Organization for Migration</w:t>
      </w:r>
    </w:p>
    <w:p w14:paraId="2F004959" w14:textId="77777777" w:rsidR="00794D56" w:rsidRPr="00E30D7B" w:rsidRDefault="00794D56" w:rsidP="00794D56">
      <w:pPr>
        <w:ind w:right="991"/>
        <w:rPr>
          <w:sz w:val="20"/>
          <w:szCs w:val="20"/>
          <w:lang w:val="en-GB"/>
        </w:rPr>
      </w:pPr>
      <w:r w:rsidRPr="00E30D7B">
        <w:rPr>
          <w:sz w:val="20"/>
          <w:szCs w:val="20"/>
          <w:lang w:val="en-GB"/>
        </w:rPr>
        <w:t>World Food Program</w:t>
      </w:r>
    </w:p>
    <w:p w14:paraId="6E6A44B0" w14:textId="77777777" w:rsidR="00794D56" w:rsidRDefault="00794D56" w:rsidP="00EE1679">
      <w:pPr>
        <w:rPr>
          <w:lang w:val="en-GB"/>
        </w:rPr>
        <w:sectPr w:rsidR="00794D56" w:rsidSect="00794D56">
          <w:endnotePr>
            <w:numFmt w:val="decimal"/>
          </w:endnotePr>
          <w:type w:val="continuous"/>
          <w:pgSz w:w="11907" w:h="16840" w:code="9"/>
          <w:pgMar w:top="1701" w:right="1134" w:bottom="2268" w:left="1134" w:header="1134" w:footer="1701" w:gutter="0"/>
          <w:cols w:num="2" w:space="141"/>
          <w:titlePg/>
          <w:docGrid w:linePitch="272"/>
        </w:sectPr>
      </w:pPr>
    </w:p>
    <w:p w14:paraId="7C3D9F7F" w14:textId="4B2EB995" w:rsidR="00EE1679" w:rsidRPr="00794D56" w:rsidRDefault="00794D56" w:rsidP="00794D56">
      <w:pPr>
        <w:pStyle w:val="H1G"/>
        <w:rPr>
          <w:lang w:val="en-GB"/>
        </w:rPr>
      </w:pPr>
      <w:r>
        <w:rPr>
          <w:lang w:val="en-GB"/>
        </w:rPr>
        <w:tab/>
      </w:r>
      <w:r>
        <w:rPr>
          <w:lang w:val="en-GB"/>
        </w:rPr>
        <w:tab/>
      </w:r>
      <w:r w:rsidRPr="00794D56">
        <w:rPr>
          <w:lang w:val="en-GB"/>
        </w:rPr>
        <w:t>Intergovernmental organizations</w:t>
      </w:r>
    </w:p>
    <w:p w14:paraId="3BB894DE" w14:textId="77777777" w:rsidR="00794D56" w:rsidRDefault="00794D56" w:rsidP="00794D56">
      <w:pPr>
        <w:suppressAutoHyphens/>
        <w:spacing w:line="240" w:lineRule="atLeast"/>
        <w:ind w:left="1134"/>
        <w:rPr>
          <w:sz w:val="20"/>
          <w:szCs w:val="20"/>
          <w:lang w:val="en-GB"/>
        </w:rPr>
        <w:sectPr w:rsidR="00794D56" w:rsidSect="00EE1679">
          <w:endnotePr>
            <w:numFmt w:val="decimal"/>
          </w:endnotePr>
          <w:type w:val="continuous"/>
          <w:pgSz w:w="11907" w:h="16840" w:code="9"/>
          <w:pgMar w:top="1701" w:right="1134" w:bottom="2268" w:left="1134" w:header="1134" w:footer="1701" w:gutter="0"/>
          <w:cols w:space="141"/>
          <w:titlePg/>
          <w:docGrid w:linePitch="272"/>
        </w:sectPr>
      </w:pPr>
    </w:p>
    <w:p w14:paraId="4F01B976" w14:textId="0D4F7141" w:rsidR="00794D56" w:rsidRPr="00E30D7B" w:rsidRDefault="00794D56" w:rsidP="00794D56">
      <w:pPr>
        <w:suppressAutoHyphens/>
        <w:spacing w:line="240" w:lineRule="atLeast"/>
        <w:ind w:left="1134"/>
        <w:rPr>
          <w:sz w:val="20"/>
          <w:szCs w:val="20"/>
          <w:lang w:val="en-GB"/>
        </w:rPr>
      </w:pPr>
      <w:r w:rsidRPr="00E30D7B">
        <w:rPr>
          <w:sz w:val="20"/>
          <w:szCs w:val="20"/>
          <w:lang w:val="en-GB"/>
        </w:rPr>
        <w:t>African Union</w:t>
      </w:r>
    </w:p>
    <w:p w14:paraId="1034C7C0" w14:textId="77777777" w:rsidR="00794D56" w:rsidRPr="00E30D7B" w:rsidRDefault="00794D56" w:rsidP="00794D56">
      <w:pPr>
        <w:suppressAutoHyphens/>
        <w:spacing w:line="240" w:lineRule="atLeast"/>
        <w:ind w:left="1134"/>
        <w:rPr>
          <w:sz w:val="20"/>
          <w:szCs w:val="20"/>
          <w:lang w:val="en-GB"/>
        </w:rPr>
      </w:pPr>
      <w:r w:rsidRPr="00E30D7B">
        <w:rPr>
          <w:sz w:val="20"/>
          <w:szCs w:val="20"/>
          <w:lang w:val="en-GB"/>
        </w:rPr>
        <w:t xml:space="preserve">Commonwealth </w:t>
      </w:r>
    </w:p>
    <w:p w14:paraId="53DFC918" w14:textId="77777777" w:rsidR="00794D56" w:rsidRPr="00E30D7B" w:rsidRDefault="00794D56" w:rsidP="00794D56">
      <w:pPr>
        <w:suppressAutoHyphens/>
        <w:spacing w:line="240" w:lineRule="atLeast"/>
        <w:ind w:left="1134"/>
        <w:rPr>
          <w:sz w:val="20"/>
          <w:szCs w:val="20"/>
          <w:lang w:val="en-GB"/>
        </w:rPr>
      </w:pPr>
      <w:r w:rsidRPr="00E30D7B">
        <w:rPr>
          <w:sz w:val="20"/>
          <w:szCs w:val="20"/>
          <w:lang w:val="en-GB"/>
        </w:rPr>
        <w:t>Community of Portuguese</w:t>
      </w:r>
      <w:r>
        <w:rPr>
          <w:sz w:val="20"/>
          <w:szCs w:val="20"/>
          <w:lang w:val="en-GB"/>
        </w:rPr>
        <w:t>-s</w:t>
      </w:r>
      <w:r w:rsidRPr="00E30D7B">
        <w:rPr>
          <w:sz w:val="20"/>
          <w:szCs w:val="20"/>
          <w:lang w:val="en-GB"/>
        </w:rPr>
        <w:t>peaking Countries</w:t>
      </w:r>
    </w:p>
    <w:p w14:paraId="4B328E56" w14:textId="77777777" w:rsidR="00794D56" w:rsidRPr="00E30D7B" w:rsidRDefault="00794D56" w:rsidP="00794D56">
      <w:pPr>
        <w:suppressAutoHyphens/>
        <w:spacing w:line="240" w:lineRule="atLeast"/>
        <w:ind w:left="1134"/>
        <w:rPr>
          <w:sz w:val="20"/>
          <w:szCs w:val="20"/>
          <w:lang w:val="en-GB"/>
        </w:rPr>
      </w:pPr>
      <w:r w:rsidRPr="00E30D7B">
        <w:rPr>
          <w:sz w:val="20"/>
          <w:szCs w:val="20"/>
          <w:lang w:val="en-GB"/>
        </w:rPr>
        <w:t>Council of Europe</w:t>
      </w:r>
    </w:p>
    <w:p w14:paraId="6D8B534E" w14:textId="77777777" w:rsidR="00794D56" w:rsidRPr="00E30D7B" w:rsidRDefault="00794D56" w:rsidP="00794D56">
      <w:pPr>
        <w:suppressAutoHyphens/>
        <w:spacing w:line="240" w:lineRule="atLeast"/>
        <w:ind w:left="1134"/>
        <w:rPr>
          <w:sz w:val="20"/>
          <w:szCs w:val="20"/>
          <w:lang w:val="en-GB"/>
        </w:rPr>
      </w:pPr>
      <w:r w:rsidRPr="00E30D7B">
        <w:rPr>
          <w:sz w:val="20"/>
          <w:szCs w:val="20"/>
          <w:lang w:val="en-GB"/>
        </w:rPr>
        <w:t>European Parliament</w:t>
      </w:r>
    </w:p>
    <w:p w14:paraId="1507BDEA" w14:textId="77777777" w:rsidR="00794D56" w:rsidRPr="00E30D7B" w:rsidRDefault="00794D56" w:rsidP="00794D56">
      <w:pPr>
        <w:ind w:right="991"/>
        <w:rPr>
          <w:sz w:val="20"/>
          <w:szCs w:val="20"/>
          <w:lang w:val="en-GB"/>
        </w:rPr>
      </w:pPr>
      <w:r w:rsidRPr="00E30D7B">
        <w:rPr>
          <w:sz w:val="20"/>
          <w:szCs w:val="20"/>
          <w:lang w:val="en-GB"/>
        </w:rPr>
        <w:t>European Union</w:t>
      </w:r>
    </w:p>
    <w:p w14:paraId="650D871B" w14:textId="77777777" w:rsidR="00794D56" w:rsidRPr="00E30D7B" w:rsidRDefault="00794D56" w:rsidP="00794D56">
      <w:pPr>
        <w:ind w:right="991"/>
        <w:rPr>
          <w:sz w:val="20"/>
          <w:szCs w:val="20"/>
          <w:lang w:val="en-GB"/>
        </w:rPr>
      </w:pPr>
      <w:r w:rsidRPr="00E30D7B">
        <w:rPr>
          <w:sz w:val="20"/>
          <w:szCs w:val="20"/>
          <w:lang w:val="en-GB"/>
        </w:rPr>
        <w:t>Cooperation Council for Arab States of the</w:t>
      </w:r>
      <w:r>
        <w:rPr>
          <w:sz w:val="20"/>
          <w:szCs w:val="20"/>
          <w:lang w:val="en-GB"/>
        </w:rPr>
        <w:br/>
      </w:r>
      <w:r w:rsidRPr="00E30D7B">
        <w:rPr>
          <w:sz w:val="20"/>
          <w:szCs w:val="20"/>
          <w:lang w:val="en-GB"/>
        </w:rPr>
        <w:t xml:space="preserve"> Gulf</w:t>
      </w:r>
    </w:p>
    <w:p w14:paraId="5305137D" w14:textId="77777777" w:rsidR="00794D56" w:rsidRPr="00E30D7B" w:rsidRDefault="00794D56" w:rsidP="00794D56">
      <w:pPr>
        <w:ind w:right="991"/>
        <w:rPr>
          <w:sz w:val="20"/>
          <w:szCs w:val="20"/>
          <w:lang w:val="en-GB"/>
        </w:rPr>
      </w:pPr>
      <w:r w:rsidRPr="00E30D7B">
        <w:rPr>
          <w:sz w:val="20"/>
          <w:szCs w:val="20"/>
          <w:lang w:val="en-GB"/>
        </w:rPr>
        <w:t>International Development Law Organization</w:t>
      </w:r>
    </w:p>
    <w:p w14:paraId="04C985D8" w14:textId="77777777" w:rsidR="00794D56" w:rsidRPr="00E30D7B" w:rsidRDefault="00794D56" w:rsidP="00794D56">
      <w:pPr>
        <w:ind w:right="991"/>
        <w:rPr>
          <w:sz w:val="20"/>
          <w:szCs w:val="20"/>
          <w:lang w:val="en-GB"/>
        </w:rPr>
      </w:pPr>
      <w:r w:rsidRPr="00E30D7B">
        <w:rPr>
          <w:sz w:val="20"/>
          <w:szCs w:val="20"/>
          <w:lang w:val="en-GB"/>
        </w:rPr>
        <w:t>Organization of American States</w:t>
      </w:r>
    </w:p>
    <w:p w14:paraId="4220645E" w14:textId="77777777" w:rsidR="00794D56" w:rsidRPr="00E30D7B" w:rsidRDefault="00794D56" w:rsidP="00794D56">
      <w:pPr>
        <w:ind w:right="991"/>
        <w:rPr>
          <w:sz w:val="20"/>
          <w:szCs w:val="20"/>
          <w:lang w:val="en-GB"/>
        </w:rPr>
      </w:pPr>
      <w:r w:rsidRPr="00E30D7B">
        <w:rPr>
          <w:sz w:val="20"/>
          <w:szCs w:val="20"/>
          <w:lang w:val="en-GB"/>
        </w:rPr>
        <w:t>Organization of Islamic Cooperation</w:t>
      </w:r>
    </w:p>
    <w:p w14:paraId="688D46B1" w14:textId="27A7A0C5" w:rsidR="00794D56" w:rsidRDefault="00794D56" w:rsidP="00EE1679">
      <w:pPr>
        <w:suppressAutoHyphens/>
        <w:spacing w:line="220" w:lineRule="atLeast"/>
        <w:ind w:left="284"/>
        <w:jc w:val="both"/>
        <w:rPr>
          <w:sz w:val="20"/>
          <w:szCs w:val="20"/>
          <w:lang w:val="en-GB"/>
        </w:rPr>
      </w:pPr>
    </w:p>
    <w:p w14:paraId="64CF742A" w14:textId="77777777" w:rsidR="00794D56" w:rsidRDefault="00794D56" w:rsidP="00EE1679">
      <w:pPr>
        <w:suppressAutoHyphens/>
        <w:spacing w:line="220" w:lineRule="atLeast"/>
        <w:ind w:left="284"/>
        <w:jc w:val="both"/>
        <w:rPr>
          <w:sz w:val="20"/>
          <w:szCs w:val="20"/>
          <w:lang w:val="en-GB"/>
        </w:rPr>
        <w:sectPr w:rsidR="00794D56" w:rsidSect="00794D56">
          <w:endnotePr>
            <w:numFmt w:val="decimal"/>
          </w:endnotePr>
          <w:type w:val="continuous"/>
          <w:pgSz w:w="11907" w:h="16840" w:code="9"/>
          <w:pgMar w:top="1701" w:right="1134" w:bottom="2268" w:left="1134" w:header="1134" w:footer="1701" w:gutter="0"/>
          <w:cols w:num="2" w:space="141"/>
          <w:titlePg/>
          <w:docGrid w:linePitch="272"/>
        </w:sectPr>
      </w:pPr>
    </w:p>
    <w:p w14:paraId="41358141" w14:textId="75364C24" w:rsidR="00794D56" w:rsidRDefault="00794D56" w:rsidP="00EE1679">
      <w:pPr>
        <w:suppressAutoHyphens/>
        <w:spacing w:line="220" w:lineRule="atLeast"/>
        <w:ind w:left="284"/>
        <w:jc w:val="both"/>
        <w:rPr>
          <w:sz w:val="20"/>
          <w:szCs w:val="20"/>
          <w:lang w:val="en-GB"/>
        </w:rPr>
      </w:pPr>
    </w:p>
    <w:p w14:paraId="39169CD3" w14:textId="77777777" w:rsidR="00794D56" w:rsidRDefault="00794D56" w:rsidP="00794D56">
      <w:pPr>
        <w:pStyle w:val="H1G"/>
        <w:rPr>
          <w:lang w:val="en-GB"/>
        </w:rPr>
      </w:pPr>
      <w:r>
        <w:rPr>
          <w:lang w:val="en-GB"/>
        </w:rPr>
        <w:lastRenderedPageBreak/>
        <w:tab/>
      </w:r>
      <w:r>
        <w:rPr>
          <w:lang w:val="en-GB"/>
        </w:rPr>
        <w:tab/>
      </w:r>
      <w:r w:rsidRPr="00794D56">
        <w:rPr>
          <w:lang w:val="en-GB"/>
        </w:rPr>
        <w:t>Other entities</w:t>
      </w:r>
    </w:p>
    <w:p w14:paraId="60330467" w14:textId="0977196A" w:rsidR="00794D56" w:rsidRPr="00794D56" w:rsidRDefault="00794D56" w:rsidP="00794D56">
      <w:pPr>
        <w:suppressAutoHyphens/>
        <w:spacing w:line="240" w:lineRule="atLeast"/>
        <w:ind w:left="1134"/>
        <w:rPr>
          <w:sz w:val="20"/>
          <w:szCs w:val="20"/>
          <w:lang w:val="en-GB"/>
        </w:rPr>
      </w:pPr>
      <w:r w:rsidRPr="00794D56">
        <w:rPr>
          <w:sz w:val="20"/>
          <w:szCs w:val="20"/>
          <w:lang w:val="en-GB"/>
        </w:rPr>
        <w:t>International Committee of the Red Cross</w:t>
      </w:r>
    </w:p>
    <w:p w14:paraId="203CCADC" w14:textId="77777777" w:rsidR="00794D56" w:rsidRPr="00794D56" w:rsidRDefault="00794D56" w:rsidP="00794D56">
      <w:pPr>
        <w:suppressAutoHyphens/>
        <w:spacing w:line="240" w:lineRule="atLeast"/>
        <w:ind w:left="1134"/>
        <w:rPr>
          <w:sz w:val="20"/>
          <w:szCs w:val="20"/>
          <w:lang w:val="en-GB"/>
        </w:rPr>
      </w:pPr>
      <w:r w:rsidRPr="00794D56">
        <w:rPr>
          <w:sz w:val="20"/>
          <w:szCs w:val="20"/>
          <w:lang w:val="en-GB"/>
        </w:rPr>
        <w:t>International Olympic Committee</w:t>
      </w:r>
    </w:p>
    <w:p w14:paraId="1FB8ACA1" w14:textId="33ED43B6" w:rsidR="00EE1679" w:rsidRDefault="00794D56" w:rsidP="00794D56">
      <w:pPr>
        <w:suppressAutoHyphens/>
        <w:spacing w:line="240" w:lineRule="atLeast"/>
        <w:ind w:left="1134"/>
        <w:rPr>
          <w:sz w:val="20"/>
          <w:szCs w:val="20"/>
          <w:lang w:val="en-GB"/>
        </w:rPr>
        <w:sectPr w:rsidR="00EE1679" w:rsidSect="00DC45CD">
          <w:endnotePr>
            <w:numFmt w:val="decimal"/>
          </w:endnotePr>
          <w:type w:val="continuous"/>
          <w:pgSz w:w="11907" w:h="16840" w:code="9"/>
          <w:pgMar w:top="1701" w:right="1134" w:bottom="2268" w:left="1134" w:header="1134" w:footer="1701" w:gutter="0"/>
          <w:cols w:space="720"/>
          <w:titlePg/>
          <w:docGrid w:linePitch="272"/>
        </w:sectPr>
      </w:pPr>
      <w:r w:rsidRPr="00794D56">
        <w:rPr>
          <w:sz w:val="20"/>
          <w:szCs w:val="20"/>
          <w:lang w:val="en-GB"/>
        </w:rPr>
        <w:t>Sovereign Military Order of Malta</w:t>
      </w:r>
    </w:p>
    <w:p w14:paraId="525BEAFB" w14:textId="2DF893A5" w:rsidR="00794D56" w:rsidRPr="00794D56" w:rsidRDefault="00794D56" w:rsidP="00794D56">
      <w:pPr>
        <w:pStyle w:val="H1G"/>
        <w:rPr>
          <w:lang w:val="en-GB"/>
        </w:rPr>
      </w:pPr>
      <w:r>
        <w:rPr>
          <w:lang w:val="en-GB"/>
        </w:rPr>
        <w:tab/>
      </w:r>
      <w:r>
        <w:rPr>
          <w:lang w:val="en-GB"/>
        </w:rPr>
        <w:tab/>
      </w:r>
      <w:r w:rsidRPr="00794D56">
        <w:rPr>
          <w:lang w:val="en-GB"/>
        </w:rPr>
        <w:t>National human rights institutions, international coordinating committees and regional groups of national institutions</w:t>
      </w:r>
    </w:p>
    <w:p w14:paraId="6AFA2CA4" w14:textId="77777777" w:rsidR="00794D56" w:rsidRDefault="00794D56" w:rsidP="00794D56">
      <w:pPr>
        <w:suppressAutoHyphens/>
        <w:spacing w:line="240" w:lineRule="atLeast"/>
        <w:ind w:left="1134"/>
        <w:jc w:val="both"/>
        <w:rPr>
          <w:sz w:val="20"/>
          <w:szCs w:val="20"/>
        </w:rPr>
        <w:sectPr w:rsidR="00794D56">
          <w:headerReference w:type="default" r:id="rId19"/>
          <w:footerReference w:type="default" r:id="rId20"/>
          <w:endnotePr>
            <w:numFmt w:val="decimal"/>
          </w:endnotePr>
          <w:type w:val="continuous"/>
          <w:pgSz w:w="11907" w:h="16840" w:code="9"/>
          <w:pgMar w:top="1701" w:right="1134" w:bottom="2268" w:left="1134" w:header="1134" w:footer="1701" w:gutter="0"/>
          <w:cols w:space="720"/>
        </w:sectPr>
      </w:pPr>
    </w:p>
    <w:p w14:paraId="019F57FA" w14:textId="6713503D" w:rsidR="00794D56" w:rsidRPr="00794D56" w:rsidRDefault="00794D56" w:rsidP="000571B6">
      <w:pPr>
        <w:suppressAutoHyphens/>
        <w:spacing w:line="240" w:lineRule="atLeast"/>
        <w:ind w:left="1134"/>
        <w:rPr>
          <w:sz w:val="20"/>
          <w:szCs w:val="20"/>
        </w:rPr>
      </w:pPr>
      <w:r w:rsidRPr="00794D56">
        <w:rPr>
          <w:sz w:val="20"/>
          <w:szCs w:val="20"/>
        </w:rPr>
        <w:t>Australian Human Rights Commission</w:t>
      </w:r>
    </w:p>
    <w:p w14:paraId="3DAACB66" w14:textId="57DB53BE" w:rsidR="00794D56" w:rsidRPr="00794D56" w:rsidRDefault="00794D56" w:rsidP="000571B6">
      <w:pPr>
        <w:suppressAutoHyphens/>
        <w:spacing w:line="240" w:lineRule="atLeast"/>
        <w:ind w:left="1134"/>
        <w:rPr>
          <w:sz w:val="20"/>
          <w:szCs w:val="20"/>
        </w:rPr>
      </w:pPr>
      <w:r w:rsidRPr="00794D56">
        <w:rPr>
          <w:sz w:val="20"/>
          <w:szCs w:val="20"/>
        </w:rPr>
        <w:t xml:space="preserve">Commission nationale consultative des </w:t>
      </w:r>
      <w:r>
        <w:rPr>
          <w:sz w:val="20"/>
          <w:szCs w:val="20"/>
        </w:rPr>
        <w:br/>
        <w:t xml:space="preserve"> </w:t>
      </w:r>
      <w:r w:rsidRPr="00794D56">
        <w:rPr>
          <w:sz w:val="20"/>
          <w:szCs w:val="20"/>
        </w:rPr>
        <w:t>droits de l’homme – France</w:t>
      </w:r>
    </w:p>
    <w:p w14:paraId="1A18581B" w14:textId="3D4B4E98" w:rsidR="00794D56" w:rsidRPr="00794D56" w:rsidRDefault="00794D56" w:rsidP="000571B6">
      <w:pPr>
        <w:suppressAutoHyphens/>
        <w:spacing w:line="240" w:lineRule="atLeast"/>
        <w:ind w:left="1134"/>
        <w:rPr>
          <w:sz w:val="20"/>
          <w:szCs w:val="20"/>
        </w:rPr>
      </w:pPr>
      <w:r w:rsidRPr="00794D56">
        <w:rPr>
          <w:sz w:val="20"/>
          <w:szCs w:val="20"/>
        </w:rPr>
        <w:t xml:space="preserve">Commissioner on Human Rights in the </w:t>
      </w:r>
      <w:r>
        <w:rPr>
          <w:sz w:val="20"/>
          <w:szCs w:val="20"/>
        </w:rPr>
        <w:br/>
        <w:t xml:space="preserve"> </w:t>
      </w:r>
      <w:r w:rsidRPr="00794D56">
        <w:rPr>
          <w:sz w:val="20"/>
          <w:szCs w:val="20"/>
        </w:rPr>
        <w:t>Russian Federation</w:t>
      </w:r>
    </w:p>
    <w:p w14:paraId="32F8CC1E" w14:textId="501B1C34" w:rsidR="00794D56" w:rsidRPr="00794D56" w:rsidRDefault="00794D56" w:rsidP="000571B6">
      <w:pPr>
        <w:suppressAutoHyphens/>
        <w:spacing w:line="240" w:lineRule="atLeast"/>
        <w:ind w:left="1134"/>
        <w:rPr>
          <w:sz w:val="20"/>
          <w:szCs w:val="20"/>
        </w:rPr>
      </w:pPr>
      <w:r w:rsidRPr="00794D56">
        <w:rPr>
          <w:sz w:val="20"/>
          <w:szCs w:val="20"/>
        </w:rPr>
        <w:t xml:space="preserve">Conseil national des droits de l’homme </w:t>
      </w:r>
      <w:r>
        <w:rPr>
          <w:sz w:val="20"/>
          <w:szCs w:val="20"/>
        </w:rPr>
        <w:br/>
        <w:t xml:space="preserve"> </w:t>
      </w:r>
      <w:r w:rsidRPr="00794D56">
        <w:rPr>
          <w:sz w:val="20"/>
          <w:szCs w:val="20"/>
        </w:rPr>
        <w:t>Maroc</w:t>
      </w:r>
    </w:p>
    <w:p w14:paraId="0DBB593E" w14:textId="77777777" w:rsidR="00794D56" w:rsidRPr="00794D56" w:rsidRDefault="00794D56" w:rsidP="000571B6">
      <w:pPr>
        <w:suppressAutoHyphens/>
        <w:spacing w:line="240" w:lineRule="atLeast"/>
        <w:ind w:left="1134"/>
        <w:rPr>
          <w:sz w:val="20"/>
          <w:szCs w:val="20"/>
        </w:rPr>
      </w:pPr>
      <w:r w:rsidRPr="00794D56">
        <w:rPr>
          <w:sz w:val="20"/>
          <w:szCs w:val="20"/>
        </w:rPr>
        <w:t xml:space="preserve">Defensoría </w:t>
      </w:r>
      <w:proofErr w:type="gramStart"/>
      <w:r w:rsidRPr="00794D56">
        <w:rPr>
          <w:sz w:val="20"/>
          <w:szCs w:val="20"/>
        </w:rPr>
        <w:t>del</w:t>
      </w:r>
      <w:proofErr w:type="gramEnd"/>
      <w:r w:rsidRPr="00794D56">
        <w:rPr>
          <w:sz w:val="20"/>
          <w:szCs w:val="20"/>
        </w:rPr>
        <w:t xml:space="preserve"> Pueblo – Colombia</w:t>
      </w:r>
    </w:p>
    <w:p w14:paraId="3643F065" w14:textId="13541CEE" w:rsidR="00794D56" w:rsidRPr="00794D56" w:rsidRDefault="00794D56" w:rsidP="000571B6">
      <w:pPr>
        <w:suppressAutoHyphens/>
        <w:spacing w:line="240" w:lineRule="atLeast"/>
        <w:ind w:left="1134"/>
        <w:rPr>
          <w:sz w:val="20"/>
          <w:szCs w:val="20"/>
        </w:rPr>
      </w:pPr>
      <w:r w:rsidRPr="00794D56">
        <w:rPr>
          <w:sz w:val="20"/>
          <w:szCs w:val="20"/>
        </w:rPr>
        <w:t xml:space="preserve">Global Alliance of National Human </w:t>
      </w:r>
      <w:r>
        <w:rPr>
          <w:sz w:val="20"/>
          <w:szCs w:val="20"/>
        </w:rPr>
        <w:br/>
        <w:t xml:space="preserve"> </w:t>
      </w:r>
      <w:r w:rsidRPr="00794D56">
        <w:rPr>
          <w:sz w:val="20"/>
          <w:szCs w:val="20"/>
        </w:rPr>
        <w:t>Rights Institutions</w:t>
      </w:r>
    </w:p>
    <w:p w14:paraId="676A30E0" w14:textId="77777777" w:rsidR="00794D56" w:rsidRPr="00794D56" w:rsidRDefault="00794D56" w:rsidP="000571B6">
      <w:pPr>
        <w:suppressAutoHyphens/>
        <w:spacing w:line="240" w:lineRule="atLeast"/>
        <w:ind w:left="1134"/>
        <w:rPr>
          <w:sz w:val="20"/>
          <w:szCs w:val="20"/>
        </w:rPr>
      </w:pPr>
      <w:r w:rsidRPr="00794D56">
        <w:rPr>
          <w:sz w:val="20"/>
          <w:szCs w:val="20"/>
        </w:rPr>
        <w:t>Human Rights Commission of Sri Lanka</w:t>
      </w:r>
    </w:p>
    <w:p w14:paraId="6FE1E793" w14:textId="77777777" w:rsidR="00794D56" w:rsidRPr="00794D56" w:rsidRDefault="00794D56" w:rsidP="000571B6">
      <w:pPr>
        <w:suppressAutoHyphens/>
        <w:spacing w:line="240" w:lineRule="atLeast"/>
        <w:ind w:left="1134"/>
        <w:rPr>
          <w:sz w:val="20"/>
          <w:szCs w:val="20"/>
        </w:rPr>
      </w:pPr>
      <w:r w:rsidRPr="00794D56">
        <w:rPr>
          <w:sz w:val="20"/>
          <w:szCs w:val="20"/>
        </w:rPr>
        <w:t xml:space="preserve"> (</w:t>
      </w:r>
      <w:proofErr w:type="gramStart"/>
      <w:r w:rsidRPr="00794D56">
        <w:rPr>
          <w:sz w:val="20"/>
          <w:szCs w:val="20"/>
        </w:rPr>
        <w:t>video</w:t>
      </w:r>
      <w:proofErr w:type="gramEnd"/>
      <w:r w:rsidRPr="00794D56">
        <w:rPr>
          <w:sz w:val="20"/>
          <w:szCs w:val="20"/>
        </w:rPr>
        <w:t xml:space="preserve"> statement)</w:t>
      </w:r>
    </w:p>
    <w:p w14:paraId="487DE950" w14:textId="77777777" w:rsidR="00794D56" w:rsidRPr="00794D56" w:rsidRDefault="00794D56" w:rsidP="000571B6">
      <w:pPr>
        <w:suppressAutoHyphens/>
        <w:spacing w:line="240" w:lineRule="atLeast"/>
        <w:ind w:left="1134"/>
        <w:rPr>
          <w:sz w:val="20"/>
          <w:szCs w:val="20"/>
        </w:rPr>
      </w:pPr>
      <w:r w:rsidRPr="00794D56">
        <w:rPr>
          <w:sz w:val="20"/>
          <w:szCs w:val="20"/>
        </w:rPr>
        <w:t>Human Rights Commission of Malaysia</w:t>
      </w:r>
    </w:p>
    <w:p w14:paraId="216C8618" w14:textId="77777777" w:rsidR="00794D56" w:rsidRPr="00794D56" w:rsidRDefault="00794D56" w:rsidP="000571B6">
      <w:pPr>
        <w:suppressAutoHyphens/>
        <w:spacing w:line="240" w:lineRule="atLeast"/>
        <w:ind w:left="1134"/>
        <w:rPr>
          <w:sz w:val="20"/>
          <w:szCs w:val="20"/>
        </w:rPr>
      </w:pPr>
      <w:r w:rsidRPr="00794D56">
        <w:rPr>
          <w:sz w:val="20"/>
          <w:szCs w:val="20"/>
        </w:rPr>
        <w:t xml:space="preserve"> (SUHAKAM) (</w:t>
      </w:r>
      <w:proofErr w:type="gramStart"/>
      <w:r w:rsidRPr="00794D56">
        <w:rPr>
          <w:sz w:val="20"/>
          <w:szCs w:val="20"/>
        </w:rPr>
        <w:t>video</w:t>
      </w:r>
      <w:proofErr w:type="gramEnd"/>
      <w:r w:rsidRPr="00794D56">
        <w:rPr>
          <w:sz w:val="20"/>
          <w:szCs w:val="20"/>
        </w:rPr>
        <w:t xml:space="preserve"> statement)</w:t>
      </w:r>
    </w:p>
    <w:p w14:paraId="5B610D00" w14:textId="77777777" w:rsidR="00794D56" w:rsidRPr="00794D56" w:rsidRDefault="00794D56" w:rsidP="000571B6">
      <w:pPr>
        <w:suppressAutoHyphens/>
        <w:spacing w:line="240" w:lineRule="atLeast"/>
        <w:ind w:left="1134"/>
        <w:rPr>
          <w:sz w:val="20"/>
          <w:szCs w:val="20"/>
        </w:rPr>
      </w:pPr>
      <w:r w:rsidRPr="00794D56">
        <w:rPr>
          <w:sz w:val="20"/>
          <w:szCs w:val="20"/>
        </w:rPr>
        <w:t>Human Rights Commission of Zimbabwe</w:t>
      </w:r>
    </w:p>
    <w:p w14:paraId="483F8A71" w14:textId="77777777" w:rsidR="00794D56" w:rsidRDefault="00794D56" w:rsidP="000571B6">
      <w:pPr>
        <w:suppressAutoHyphens/>
        <w:spacing w:line="240" w:lineRule="atLeast"/>
        <w:ind w:left="1134"/>
        <w:rPr>
          <w:sz w:val="20"/>
          <w:szCs w:val="20"/>
        </w:rPr>
      </w:pPr>
      <w:r w:rsidRPr="00794D56">
        <w:rPr>
          <w:sz w:val="20"/>
          <w:szCs w:val="20"/>
        </w:rPr>
        <w:t xml:space="preserve">Independent Commission for Human </w:t>
      </w:r>
      <w:r>
        <w:rPr>
          <w:sz w:val="20"/>
          <w:szCs w:val="20"/>
        </w:rPr>
        <w:br/>
        <w:t xml:space="preserve"> </w:t>
      </w:r>
      <w:r w:rsidRPr="00794D56">
        <w:rPr>
          <w:sz w:val="20"/>
          <w:szCs w:val="20"/>
        </w:rPr>
        <w:t>Rights of the State of Palestine</w:t>
      </w:r>
    </w:p>
    <w:p w14:paraId="0CBC5D96" w14:textId="77777777" w:rsidR="00794D56" w:rsidRDefault="00794D56" w:rsidP="000571B6">
      <w:pPr>
        <w:suppressAutoHyphens/>
        <w:spacing w:line="240" w:lineRule="atLeast"/>
        <w:ind w:left="1134"/>
        <w:rPr>
          <w:sz w:val="20"/>
          <w:szCs w:val="20"/>
          <w:lang w:val="en-GB"/>
        </w:rPr>
      </w:pPr>
      <w:r w:rsidRPr="00794D56">
        <w:rPr>
          <w:sz w:val="20"/>
          <w:szCs w:val="20"/>
          <w:lang w:val="en-GB"/>
        </w:rPr>
        <w:t>Irish Human Rights Commission</w:t>
      </w:r>
    </w:p>
    <w:p w14:paraId="4E1DD936" w14:textId="76593A57" w:rsidR="00794D56" w:rsidRPr="00794D56" w:rsidRDefault="00794D56" w:rsidP="000571B6">
      <w:pPr>
        <w:suppressAutoHyphens/>
        <w:spacing w:line="240" w:lineRule="atLeast"/>
        <w:ind w:left="1134"/>
        <w:rPr>
          <w:sz w:val="20"/>
          <w:szCs w:val="20"/>
          <w:lang w:val="en-GB"/>
        </w:rPr>
      </w:pPr>
      <w:r w:rsidRPr="00794D56">
        <w:rPr>
          <w:sz w:val="20"/>
          <w:szCs w:val="20"/>
          <w:lang w:val="en-GB"/>
        </w:rPr>
        <w:t xml:space="preserve">Ombudswoman of the Republic of </w:t>
      </w:r>
      <w:r>
        <w:rPr>
          <w:sz w:val="20"/>
          <w:szCs w:val="20"/>
          <w:lang w:val="en-GB"/>
        </w:rPr>
        <w:br/>
        <w:t xml:space="preserve"> </w:t>
      </w:r>
      <w:r w:rsidRPr="00794D56">
        <w:rPr>
          <w:sz w:val="20"/>
          <w:szCs w:val="20"/>
          <w:lang w:val="en-GB"/>
        </w:rPr>
        <w:t>Croatia</w:t>
      </w:r>
    </w:p>
    <w:p w14:paraId="532CE7C9" w14:textId="67548319" w:rsidR="00794D56" w:rsidRPr="00794D56" w:rsidRDefault="00794D56" w:rsidP="000571B6">
      <w:pPr>
        <w:ind w:right="348"/>
        <w:rPr>
          <w:sz w:val="20"/>
          <w:szCs w:val="20"/>
          <w:lang w:val="en-GB"/>
        </w:rPr>
      </w:pPr>
      <w:r w:rsidRPr="00794D56">
        <w:rPr>
          <w:sz w:val="20"/>
          <w:szCs w:val="20"/>
          <w:lang w:val="en-GB"/>
        </w:rPr>
        <w:t xml:space="preserve">National Centre for Human Rights – Jordan (video </w:t>
      </w:r>
      <w:r>
        <w:rPr>
          <w:sz w:val="20"/>
          <w:szCs w:val="20"/>
          <w:lang w:val="en-GB"/>
        </w:rPr>
        <w:br/>
        <w:t xml:space="preserve"> </w:t>
      </w:r>
      <w:r w:rsidRPr="00794D56">
        <w:rPr>
          <w:sz w:val="20"/>
          <w:szCs w:val="20"/>
          <w:lang w:val="en-GB"/>
        </w:rPr>
        <w:t>statement)</w:t>
      </w:r>
    </w:p>
    <w:p w14:paraId="7CC4FD68" w14:textId="77777777" w:rsidR="00794D56" w:rsidRPr="00794D56" w:rsidRDefault="00794D56" w:rsidP="000571B6">
      <w:pPr>
        <w:ind w:right="348"/>
        <w:rPr>
          <w:sz w:val="20"/>
          <w:szCs w:val="20"/>
          <w:lang w:val="en-GB"/>
        </w:rPr>
      </w:pPr>
      <w:r w:rsidRPr="00794D56">
        <w:rPr>
          <w:sz w:val="20"/>
          <w:szCs w:val="20"/>
          <w:lang w:val="en-GB"/>
        </w:rPr>
        <w:t>National Commission on Human Rights –</w:t>
      </w:r>
    </w:p>
    <w:p w14:paraId="2C3A747F" w14:textId="77777777" w:rsidR="00794D56" w:rsidRPr="00794D56" w:rsidRDefault="00794D56" w:rsidP="000571B6">
      <w:pPr>
        <w:ind w:right="348"/>
        <w:rPr>
          <w:sz w:val="20"/>
          <w:szCs w:val="20"/>
          <w:lang w:val="en-GB"/>
        </w:rPr>
      </w:pPr>
      <w:r w:rsidRPr="00794D56">
        <w:rPr>
          <w:sz w:val="20"/>
          <w:szCs w:val="20"/>
          <w:lang w:val="en-GB"/>
        </w:rPr>
        <w:t xml:space="preserve"> Indonesia (Komnas HAM)</w:t>
      </w:r>
    </w:p>
    <w:p w14:paraId="5993ED66" w14:textId="77777777" w:rsidR="00794D56" w:rsidRPr="00794D56" w:rsidRDefault="00794D56" w:rsidP="000571B6">
      <w:pPr>
        <w:ind w:right="348"/>
        <w:rPr>
          <w:sz w:val="20"/>
          <w:szCs w:val="20"/>
          <w:lang w:val="en-GB"/>
        </w:rPr>
      </w:pPr>
      <w:r w:rsidRPr="00794D56">
        <w:rPr>
          <w:sz w:val="20"/>
          <w:szCs w:val="20"/>
          <w:lang w:val="en-GB"/>
        </w:rPr>
        <w:t>National Committee for Human Rights – Qatar</w:t>
      </w:r>
    </w:p>
    <w:p w14:paraId="1B0743EA" w14:textId="77777777" w:rsidR="00794D56" w:rsidRPr="00794D56" w:rsidRDefault="00794D56" w:rsidP="000571B6">
      <w:pPr>
        <w:ind w:right="348"/>
        <w:rPr>
          <w:sz w:val="20"/>
          <w:szCs w:val="20"/>
          <w:lang w:val="en-GB"/>
        </w:rPr>
      </w:pPr>
      <w:r w:rsidRPr="00794D56">
        <w:rPr>
          <w:sz w:val="20"/>
          <w:szCs w:val="20"/>
          <w:lang w:val="en-GB"/>
        </w:rPr>
        <w:t>National Council for Human Rights – Egypt</w:t>
      </w:r>
    </w:p>
    <w:p w14:paraId="00C52408" w14:textId="77777777" w:rsidR="00794D56" w:rsidRPr="00794D56" w:rsidRDefault="00794D56" w:rsidP="000571B6">
      <w:pPr>
        <w:ind w:right="348"/>
        <w:rPr>
          <w:sz w:val="20"/>
          <w:szCs w:val="20"/>
          <w:lang w:val="en-GB"/>
        </w:rPr>
      </w:pPr>
      <w:r w:rsidRPr="00794D56">
        <w:rPr>
          <w:sz w:val="20"/>
          <w:szCs w:val="20"/>
          <w:lang w:val="en-GB"/>
        </w:rPr>
        <w:t>National Human Rights Commission of</w:t>
      </w:r>
    </w:p>
    <w:p w14:paraId="2603E6FA" w14:textId="77777777" w:rsidR="00794D56" w:rsidRPr="00794D56" w:rsidRDefault="00794D56" w:rsidP="000571B6">
      <w:pPr>
        <w:ind w:right="348"/>
        <w:rPr>
          <w:sz w:val="20"/>
          <w:szCs w:val="20"/>
          <w:lang w:val="en-GB"/>
        </w:rPr>
      </w:pPr>
      <w:r w:rsidRPr="00794D56">
        <w:rPr>
          <w:sz w:val="20"/>
          <w:szCs w:val="20"/>
          <w:lang w:val="en-GB"/>
        </w:rPr>
        <w:t xml:space="preserve"> Mexico</w:t>
      </w:r>
    </w:p>
    <w:p w14:paraId="7EC0D4C4" w14:textId="77777777" w:rsidR="00794D56" w:rsidRPr="00794D56" w:rsidRDefault="00794D56" w:rsidP="000571B6">
      <w:pPr>
        <w:ind w:right="348"/>
        <w:rPr>
          <w:sz w:val="20"/>
          <w:szCs w:val="20"/>
          <w:lang w:val="en-GB"/>
        </w:rPr>
      </w:pPr>
      <w:r w:rsidRPr="00794D56">
        <w:rPr>
          <w:sz w:val="20"/>
          <w:szCs w:val="20"/>
          <w:lang w:val="en-GB"/>
        </w:rPr>
        <w:t>National Human Rights Commission of Nepal</w:t>
      </w:r>
    </w:p>
    <w:p w14:paraId="46AF67A4" w14:textId="77777777" w:rsidR="00794D56" w:rsidRPr="00794D56" w:rsidRDefault="00794D56" w:rsidP="000571B6">
      <w:pPr>
        <w:ind w:right="348"/>
        <w:rPr>
          <w:sz w:val="20"/>
          <w:szCs w:val="20"/>
          <w:lang w:val="en-GB"/>
        </w:rPr>
      </w:pPr>
      <w:r w:rsidRPr="00794D56">
        <w:rPr>
          <w:sz w:val="20"/>
          <w:szCs w:val="20"/>
          <w:lang w:val="en-GB"/>
        </w:rPr>
        <w:t>National Human Rights Commission of</w:t>
      </w:r>
    </w:p>
    <w:p w14:paraId="5227C72F" w14:textId="77777777" w:rsidR="00794D56" w:rsidRPr="00794D56" w:rsidRDefault="00794D56" w:rsidP="000571B6">
      <w:pPr>
        <w:ind w:right="348"/>
        <w:rPr>
          <w:sz w:val="20"/>
          <w:szCs w:val="20"/>
          <w:lang w:val="en-GB"/>
        </w:rPr>
      </w:pPr>
      <w:r w:rsidRPr="00794D56">
        <w:rPr>
          <w:sz w:val="20"/>
          <w:szCs w:val="20"/>
          <w:lang w:val="en-GB"/>
        </w:rPr>
        <w:t xml:space="preserve"> Nigeria</w:t>
      </w:r>
    </w:p>
    <w:p w14:paraId="5B113049" w14:textId="77777777" w:rsidR="00794D56" w:rsidRPr="00794D56" w:rsidRDefault="00794D56" w:rsidP="000571B6">
      <w:pPr>
        <w:ind w:right="348"/>
        <w:rPr>
          <w:sz w:val="20"/>
          <w:szCs w:val="20"/>
          <w:lang w:val="en-GB"/>
        </w:rPr>
      </w:pPr>
      <w:r w:rsidRPr="00794D56">
        <w:rPr>
          <w:sz w:val="20"/>
          <w:szCs w:val="20"/>
          <w:lang w:val="en-GB"/>
        </w:rPr>
        <w:t>National Human Rights Commission of the</w:t>
      </w:r>
    </w:p>
    <w:p w14:paraId="3D765509" w14:textId="77777777" w:rsidR="00794D56" w:rsidRPr="00794D56" w:rsidRDefault="00794D56" w:rsidP="000571B6">
      <w:pPr>
        <w:ind w:right="348"/>
        <w:rPr>
          <w:sz w:val="20"/>
          <w:szCs w:val="20"/>
          <w:lang w:val="en-GB"/>
        </w:rPr>
      </w:pPr>
      <w:r w:rsidRPr="00794D56">
        <w:rPr>
          <w:sz w:val="20"/>
          <w:szCs w:val="20"/>
          <w:lang w:val="en-GB"/>
        </w:rPr>
        <w:t xml:space="preserve"> Republic of Korea</w:t>
      </w:r>
    </w:p>
    <w:p w14:paraId="7FA8FF0D" w14:textId="77777777" w:rsidR="00794D56" w:rsidRPr="00794D56" w:rsidRDefault="00794D56" w:rsidP="000571B6">
      <w:pPr>
        <w:ind w:right="348"/>
        <w:rPr>
          <w:sz w:val="20"/>
          <w:szCs w:val="20"/>
          <w:lang w:val="en-GB"/>
        </w:rPr>
      </w:pPr>
      <w:r w:rsidRPr="00794D56">
        <w:rPr>
          <w:sz w:val="20"/>
          <w:szCs w:val="20"/>
          <w:lang w:val="en-GB"/>
        </w:rPr>
        <w:t>Office for the Protection of Citizens – Haiti</w:t>
      </w:r>
    </w:p>
    <w:p w14:paraId="114D8C30" w14:textId="77777777" w:rsidR="00794D56" w:rsidRPr="00794D56" w:rsidRDefault="00794D56" w:rsidP="000571B6">
      <w:pPr>
        <w:ind w:right="348"/>
        <w:rPr>
          <w:sz w:val="20"/>
          <w:szCs w:val="20"/>
          <w:lang w:val="en-GB"/>
        </w:rPr>
      </w:pPr>
      <w:r w:rsidRPr="00794D56">
        <w:rPr>
          <w:sz w:val="20"/>
          <w:szCs w:val="20"/>
          <w:lang w:val="en-GB"/>
        </w:rPr>
        <w:t>Philippines Commission on Human Rights</w:t>
      </w:r>
    </w:p>
    <w:p w14:paraId="6707C7A8" w14:textId="77777777" w:rsidR="00794D56" w:rsidRPr="00794D56" w:rsidRDefault="00794D56" w:rsidP="000571B6">
      <w:pPr>
        <w:ind w:right="348"/>
        <w:rPr>
          <w:sz w:val="20"/>
          <w:szCs w:val="20"/>
          <w:lang w:val="en-GB"/>
        </w:rPr>
      </w:pPr>
      <w:r w:rsidRPr="00794D56">
        <w:rPr>
          <w:sz w:val="20"/>
          <w:szCs w:val="20"/>
          <w:lang w:val="en-GB"/>
        </w:rPr>
        <w:t>Procuraduría de los Derechos Humanos de</w:t>
      </w:r>
    </w:p>
    <w:p w14:paraId="3083570B" w14:textId="77777777" w:rsidR="00794D56" w:rsidRPr="00794D56" w:rsidRDefault="00794D56" w:rsidP="000571B6">
      <w:pPr>
        <w:ind w:right="348"/>
        <w:rPr>
          <w:sz w:val="20"/>
          <w:szCs w:val="20"/>
          <w:lang w:val="en-GB"/>
        </w:rPr>
      </w:pPr>
      <w:r w:rsidRPr="00794D56">
        <w:rPr>
          <w:sz w:val="20"/>
          <w:szCs w:val="20"/>
          <w:lang w:val="en-GB"/>
        </w:rPr>
        <w:t xml:space="preserve"> Guatemala (video statement)</w:t>
      </w:r>
    </w:p>
    <w:p w14:paraId="39AF00C3" w14:textId="77777777" w:rsidR="00794D56" w:rsidRPr="00794D56" w:rsidRDefault="00794D56" w:rsidP="000571B6">
      <w:pPr>
        <w:ind w:right="348"/>
        <w:rPr>
          <w:sz w:val="20"/>
          <w:szCs w:val="20"/>
          <w:lang w:val="en-GB"/>
        </w:rPr>
      </w:pPr>
      <w:r w:rsidRPr="00794D56">
        <w:rPr>
          <w:sz w:val="20"/>
          <w:szCs w:val="20"/>
          <w:lang w:val="en-GB"/>
        </w:rPr>
        <w:t>Ukrainian Parliament Commissioner for</w:t>
      </w:r>
    </w:p>
    <w:p w14:paraId="326E5270" w14:textId="09BD026C" w:rsidR="001F4958" w:rsidRPr="00794D56" w:rsidRDefault="00794D56" w:rsidP="000571B6">
      <w:pPr>
        <w:ind w:right="348"/>
        <w:rPr>
          <w:sz w:val="20"/>
          <w:szCs w:val="20"/>
          <w:lang w:val="en-GB"/>
        </w:rPr>
      </w:pPr>
      <w:r w:rsidRPr="00794D56">
        <w:rPr>
          <w:sz w:val="20"/>
          <w:szCs w:val="20"/>
          <w:lang w:val="en-GB"/>
        </w:rPr>
        <w:t xml:space="preserve"> Human Rights</w:t>
      </w:r>
    </w:p>
    <w:p w14:paraId="10FEB83C" w14:textId="77777777" w:rsidR="00794D56" w:rsidRDefault="00794D56" w:rsidP="00EE1679">
      <w:pPr>
        <w:pStyle w:val="HChG"/>
        <w:ind w:left="0"/>
        <w:rPr>
          <w:color w:val="000000" w:themeColor="text1"/>
        </w:rPr>
        <w:sectPr w:rsidR="00794D56" w:rsidSect="00794D56">
          <w:endnotePr>
            <w:numFmt w:val="decimal"/>
          </w:endnotePr>
          <w:type w:val="continuous"/>
          <w:pgSz w:w="11907" w:h="16840" w:code="9"/>
          <w:pgMar w:top="1701" w:right="1134" w:bottom="2268" w:left="1134" w:header="1134" w:footer="1701" w:gutter="0"/>
          <w:cols w:num="2" w:space="720"/>
        </w:sectPr>
      </w:pPr>
    </w:p>
    <w:p w14:paraId="56CD0C84" w14:textId="60FE2F5A" w:rsidR="00AD3C21" w:rsidRPr="00794D56" w:rsidRDefault="001F4958" w:rsidP="00794D56">
      <w:pPr>
        <w:pStyle w:val="H1G"/>
        <w:rPr>
          <w:lang w:val="en-GB"/>
        </w:rPr>
      </w:pPr>
      <w:r w:rsidRPr="00794D56">
        <w:rPr>
          <w:lang w:val="en-GB"/>
        </w:rPr>
        <w:tab/>
      </w:r>
      <w:r w:rsidR="00AD3C21" w:rsidRPr="00794D56">
        <w:rPr>
          <w:lang w:val="en-GB"/>
        </w:rPr>
        <w:tab/>
      </w:r>
      <w:r w:rsidR="00794D56" w:rsidRPr="00794D56">
        <w:rPr>
          <w:lang w:val="en-GB"/>
        </w:rPr>
        <w:t>Non-governmental organizations</w:t>
      </w:r>
    </w:p>
    <w:p w14:paraId="76A9AAA4" w14:textId="77777777" w:rsidR="00686922" w:rsidRDefault="00686922" w:rsidP="00794D56">
      <w:pPr>
        <w:suppressAutoHyphens/>
        <w:spacing w:line="240" w:lineRule="atLeast"/>
        <w:ind w:left="1134"/>
        <w:jc w:val="both"/>
        <w:rPr>
          <w:sz w:val="20"/>
          <w:szCs w:val="20"/>
        </w:rPr>
        <w:sectPr w:rsidR="00686922">
          <w:endnotePr>
            <w:numFmt w:val="decimal"/>
          </w:endnotePr>
          <w:type w:val="continuous"/>
          <w:pgSz w:w="11907" w:h="16840" w:code="9"/>
          <w:pgMar w:top="1701" w:right="1134" w:bottom="2268" w:left="1134" w:header="1134" w:footer="1701" w:gutter="0"/>
          <w:cols w:space="720"/>
        </w:sectPr>
      </w:pPr>
    </w:p>
    <w:p w14:paraId="0B7BDB40" w14:textId="7D154A21" w:rsidR="00794D56" w:rsidRPr="00794D56" w:rsidRDefault="00794D56" w:rsidP="000571B6">
      <w:pPr>
        <w:suppressAutoHyphens/>
        <w:spacing w:line="240" w:lineRule="atLeast"/>
        <w:ind w:left="1134"/>
        <w:rPr>
          <w:sz w:val="20"/>
          <w:szCs w:val="20"/>
        </w:rPr>
      </w:pPr>
      <w:r w:rsidRPr="00794D56">
        <w:rPr>
          <w:sz w:val="20"/>
          <w:szCs w:val="20"/>
        </w:rPr>
        <w:t xml:space="preserve">“Coup de Pousse” Chaîne de l’Espoir </w:t>
      </w:r>
      <w:r w:rsidR="00686922">
        <w:rPr>
          <w:sz w:val="20"/>
          <w:szCs w:val="20"/>
        </w:rPr>
        <w:br/>
        <w:t xml:space="preserve"> </w:t>
      </w:r>
      <w:r w:rsidRPr="00794D56">
        <w:rPr>
          <w:sz w:val="20"/>
          <w:szCs w:val="20"/>
        </w:rPr>
        <w:t>Nord-Sud (C.D.P - C.E.N.S)</w:t>
      </w:r>
    </w:p>
    <w:p w14:paraId="2996E617" w14:textId="77777777" w:rsidR="00794D56" w:rsidRPr="00794D56" w:rsidRDefault="00794D56" w:rsidP="000571B6">
      <w:pPr>
        <w:suppressAutoHyphens/>
        <w:spacing w:line="240" w:lineRule="atLeast"/>
        <w:ind w:left="1134"/>
        <w:rPr>
          <w:sz w:val="20"/>
          <w:szCs w:val="20"/>
        </w:rPr>
      </w:pPr>
      <w:r w:rsidRPr="00794D56">
        <w:rPr>
          <w:sz w:val="20"/>
          <w:szCs w:val="20"/>
        </w:rPr>
        <w:t>28. Jun</w:t>
      </w:r>
    </w:p>
    <w:p w14:paraId="1D05D0E8" w14:textId="77777777" w:rsidR="00794D56" w:rsidRPr="00794D56" w:rsidRDefault="00794D56" w:rsidP="000571B6">
      <w:pPr>
        <w:suppressAutoHyphens/>
        <w:spacing w:line="240" w:lineRule="atLeast"/>
        <w:ind w:left="1134"/>
        <w:rPr>
          <w:sz w:val="20"/>
          <w:szCs w:val="20"/>
        </w:rPr>
      </w:pPr>
      <w:r w:rsidRPr="00794D56">
        <w:rPr>
          <w:sz w:val="20"/>
          <w:szCs w:val="20"/>
        </w:rPr>
        <w:t>ABC Tamil Oli</w:t>
      </w:r>
    </w:p>
    <w:p w14:paraId="032C11E0" w14:textId="77777777" w:rsidR="00794D56" w:rsidRPr="00794D56" w:rsidRDefault="00794D56" w:rsidP="000571B6">
      <w:pPr>
        <w:suppressAutoHyphens/>
        <w:spacing w:line="240" w:lineRule="atLeast"/>
        <w:ind w:left="1134"/>
        <w:rPr>
          <w:sz w:val="20"/>
          <w:szCs w:val="20"/>
        </w:rPr>
      </w:pPr>
      <w:r w:rsidRPr="00794D56">
        <w:rPr>
          <w:sz w:val="20"/>
          <w:szCs w:val="20"/>
        </w:rPr>
        <w:t>Action Canada for Population and</w:t>
      </w:r>
    </w:p>
    <w:p w14:paraId="4CB67DB0" w14:textId="77777777" w:rsidR="00794D56" w:rsidRPr="00794D56" w:rsidRDefault="00794D56" w:rsidP="000571B6">
      <w:pPr>
        <w:suppressAutoHyphens/>
        <w:spacing w:line="240" w:lineRule="atLeast"/>
        <w:ind w:left="1134"/>
        <w:rPr>
          <w:sz w:val="20"/>
          <w:szCs w:val="20"/>
        </w:rPr>
      </w:pPr>
      <w:r w:rsidRPr="00794D56">
        <w:rPr>
          <w:sz w:val="20"/>
          <w:szCs w:val="20"/>
        </w:rPr>
        <w:t xml:space="preserve"> Development</w:t>
      </w:r>
    </w:p>
    <w:p w14:paraId="063D54C5" w14:textId="4F150C0C" w:rsidR="00794D56" w:rsidRPr="00794D56" w:rsidRDefault="00794D56" w:rsidP="000571B6">
      <w:pPr>
        <w:suppressAutoHyphens/>
        <w:spacing w:line="240" w:lineRule="atLeast"/>
        <w:ind w:left="1134"/>
        <w:rPr>
          <w:sz w:val="20"/>
          <w:szCs w:val="20"/>
        </w:rPr>
      </w:pPr>
      <w:r w:rsidRPr="00794D56">
        <w:rPr>
          <w:sz w:val="20"/>
          <w:szCs w:val="20"/>
        </w:rPr>
        <w:t xml:space="preserve">Action for the Protection of Human </w:t>
      </w:r>
      <w:r w:rsidR="00686922">
        <w:rPr>
          <w:sz w:val="20"/>
          <w:szCs w:val="20"/>
        </w:rPr>
        <w:br/>
        <w:t xml:space="preserve"> </w:t>
      </w:r>
      <w:r w:rsidRPr="00794D56">
        <w:rPr>
          <w:sz w:val="20"/>
          <w:szCs w:val="20"/>
        </w:rPr>
        <w:t>Rights in Mauritania</w:t>
      </w:r>
    </w:p>
    <w:p w14:paraId="79E9BD30" w14:textId="77777777" w:rsidR="00794D56" w:rsidRPr="00794D56" w:rsidRDefault="00794D56" w:rsidP="000571B6">
      <w:pPr>
        <w:suppressAutoHyphens/>
        <w:spacing w:line="240" w:lineRule="atLeast"/>
        <w:ind w:left="1134"/>
        <w:rPr>
          <w:sz w:val="20"/>
          <w:szCs w:val="20"/>
        </w:rPr>
      </w:pPr>
      <w:r w:rsidRPr="00794D56">
        <w:rPr>
          <w:sz w:val="20"/>
          <w:szCs w:val="20"/>
        </w:rPr>
        <w:t xml:space="preserve">Action </w:t>
      </w:r>
      <w:proofErr w:type="gramStart"/>
      <w:r w:rsidRPr="00794D56">
        <w:rPr>
          <w:sz w:val="20"/>
          <w:szCs w:val="20"/>
        </w:rPr>
        <w:t>internationale</w:t>
      </w:r>
      <w:proofErr w:type="gramEnd"/>
      <w:r w:rsidRPr="00794D56">
        <w:rPr>
          <w:sz w:val="20"/>
          <w:szCs w:val="20"/>
        </w:rPr>
        <w:t xml:space="preserve"> pour la paix et le</w:t>
      </w:r>
    </w:p>
    <w:p w14:paraId="170BE069" w14:textId="06491596" w:rsidR="00794D56" w:rsidRPr="00794D56" w:rsidRDefault="00794D56" w:rsidP="000571B6">
      <w:pPr>
        <w:suppressAutoHyphens/>
        <w:spacing w:line="240" w:lineRule="atLeast"/>
        <w:ind w:left="1134"/>
        <w:rPr>
          <w:sz w:val="20"/>
          <w:szCs w:val="20"/>
        </w:rPr>
      </w:pPr>
      <w:r w:rsidRPr="00794D56">
        <w:rPr>
          <w:sz w:val="20"/>
          <w:szCs w:val="20"/>
        </w:rPr>
        <w:t xml:space="preserve"> </w:t>
      </w:r>
      <w:proofErr w:type="gramStart"/>
      <w:r w:rsidRPr="00794D56">
        <w:rPr>
          <w:sz w:val="20"/>
          <w:szCs w:val="20"/>
        </w:rPr>
        <w:t>développement</w:t>
      </w:r>
      <w:proofErr w:type="gramEnd"/>
      <w:r w:rsidRPr="00794D56">
        <w:rPr>
          <w:sz w:val="20"/>
          <w:szCs w:val="20"/>
        </w:rPr>
        <w:t xml:space="preserve"> dans la région des</w:t>
      </w:r>
      <w:r w:rsidR="00686922">
        <w:rPr>
          <w:sz w:val="20"/>
          <w:szCs w:val="20"/>
        </w:rPr>
        <w:br/>
      </w:r>
      <w:r w:rsidRPr="00794D56">
        <w:rPr>
          <w:sz w:val="20"/>
          <w:szCs w:val="20"/>
        </w:rPr>
        <w:t xml:space="preserve"> Grands Lacs</w:t>
      </w:r>
    </w:p>
    <w:p w14:paraId="3DACED4B" w14:textId="77777777" w:rsidR="00794D56" w:rsidRPr="00794D56" w:rsidRDefault="00794D56" w:rsidP="000571B6">
      <w:pPr>
        <w:suppressAutoHyphens/>
        <w:spacing w:line="240" w:lineRule="atLeast"/>
        <w:ind w:left="1134"/>
        <w:rPr>
          <w:sz w:val="20"/>
          <w:szCs w:val="20"/>
        </w:rPr>
      </w:pPr>
      <w:r w:rsidRPr="00794D56">
        <w:rPr>
          <w:sz w:val="20"/>
          <w:szCs w:val="20"/>
        </w:rPr>
        <w:t>Action of Human Movement (AHM)</w:t>
      </w:r>
    </w:p>
    <w:p w14:paraId="2E182539" w14:textId="094E1A2D" w:rsidR="00794D56" w:rsidRPr="00794D56" w:rsidRDefault="00794D56" w:rsidP="000571B6">
      <w:pPr>
        <w:suppressAutoHyphens/>
        <w:spacing w:line="240" w:lineRule="atLeast"/>
        <w:ind w:left="1134"/>
        <w:rPr>
          <w:sz w:val="20"/>
          <w:szCs w:val="20"/>
        </w:rPr>
      </w:pPr>
      <w:r w:rsidRPr="00794D56">
        <w:rPr>
          <w:sz w:val="20"/>
          <w:szCs w:val="20"/>
        </w:rPr>
        <w:t>ADALAH - Legal Center for Arab</w:t>
      </w:r>
      <w:r w:rsidR="00686922">
        <w:rPr>
          <w:sz w:val="20"/>
          <w:szCs w:val="20"/>
        </w:rPr>
        <w:br/>
      </w:r>
      <w:r w:rsidRPr="00794D56">
        <w:rPr>
          <w:sz w:val="20"/>
          <w:szCs w:val="20"/>
        </w:rPr>
        <w:t xml:space="preserve"> Minority</w:t>
      </w:r>
    </w:p>
    <w:p w14:paraId="6F58C06A" w14:textId="77777777" w:rsidR="00794D56" w:rsidRPr="00794D56" w:rsidRDefault="00794D56" w:rsidP="000571B6">
      <w:pPr>
        <w:suppressAutoHyphens/>
        <w:spacing w:line="240" w:lineRule="atLeast"/>
        <w:ind w:left="1134"/>
        <w:rPr>
          <w:sz w:val="20"/>
          <w:szCs w:val="20"/>
        </w:rPr>
      </w:pPr>
      <w:r w:rsidRPr="00794D56">
        <w:rPr>
          <w:sz w:val="20"/>
          <w:szCs w:val="20"/>
        </w:rPr>
        <w:t>Advocates for Human Rights</w:t>
      </w:r>
    </w:p>
    <w:p w14:paraId="3ADA9200" w14:textId="77777777" w:rsidR="00794D56" w:rsidRPr="00794D56" w:rsidRDefault="00794D56" w:rsidP="000571B6">
      <w:pPr>
        <w:suppressAutoHyphens/>
        <w:spacing w:line="240" w:lineRule="atLeast"/>
        <w:ind w:left="1134"/>
        <w:rPr>
          <w:sz w:val="20"/>
          <w:szCs w:val="20"/>
        </w:rPr>
      </w:pPr>
      <w:r w:rsidRPr="00794D56">
        <w:rPr>
          <w:sz w:val="20"/>
          <w:szCs w:val="20"/>
        </w:rPr>
        <w:t>Africa Culture Internationale</w:t>
      </w:r>
    </w:p>
    <w:p w14:paraId="6E1FEEA0" w14:textId="77777777" w:rsidR="00794D56" w:rsidRPr="00794D56" w:rsidRDefault="00794D56" w:rsidP="000571B6">
      <w:pPr>
        <w:suppressAutoHyphens/>
        <w:spacing w:line="240" w:lineRule="atLeast"/>
        <w:ind w:left="1134"/>
        <w:rPr>
          <w:sz w:val="20"/>
          <w:szCs w:val="20"/>
        </w:rPr>
      </w:pPr>
      <w:r w:rsidRPr="00794D56">
        <w:rPr>
          <w:sz w:val="20"/>
          <w:szCs w:val="20"/>
        </w:rPr>
        <w:t>Africa Speaks</w:t>
      </w:r>
    </w:p>
    <w:p w14:paraId="0590D3F4" w14:textId="77777777" w:rsidR="00686922" w:rsidRDefault="00794D56" w:rsidP="000571B6">
      <w:pPr>
        <w:suppressAutoHyphens/>
        <w:spacing w:line="240" w:lineRule="atLeast"/>
        <w:ind w:left="1134"/>
        <w:rPr>
          <w:sz w:val="20"/>
          <w:szCs w:val="20"/>
        </w:rPr>
      </w:pPr>
      <w:r w:rsidRPr="00794D56">
        <w:rPr>
          <w:sz w:val="20"/>
          <w:szCs w:val="20"/>
        </w:rPr>
        <w:t>African Agency for Integrated</w:t>
      </w:r>
      <w:r w:rsidR="00686922">
        <w:rPr>
          <w:sz w:val="20"/>
          <w:szCs w:val="20"/>
        </w:rPr>
        <w:br/>
      </w:r>
      <w:r w:rsidRPr="00794D56">
        <w:rPr>
          <w:sz w:val="20"/>
          <w:szCs w:val="20"/>
        </w:rPr>
        <w:t xml:space="preserve"> Development (AAID)</w:t>
      </w:r>
    </w:p>
    <w:p w14:paraId="1B527549" w14:textId="77777777" w:rsidR="00686922" w:rsidRDefault="00794D56" w:rsidP="000571B6">
      <w:pPr>
        <w:suppressAutoHyphens/>
        <w:spacing w:line="240" w:lineRule="atLeast"/>
        <w:ind w:left="1134"/>
        <w:rPr>
          <w:sz w:val="20"/>
          <w:szCs w:val="20"/>
          <w:lang w:val="en-GB"/>
        </w:rPr>
      </w:pPr>
      <w:r w:rsidRPr="00686922">
        <w:rPr>
          <w:sz w:val="20"/>
          <w:szCs w:val="20"/>
          <w:lang w:val="en-GB"/>
        </w:rPr>
        <w:t>African Development Association</w:t>
      </w:r>
    </w:p>
    <w:p w14:paraId="026ECB25" w14:textId="3428C676" w:rsidR="00794D56" w:rsidRPr="00686922" w:rsidRDefault="00794D56" w:rsidP="00545AAB">
      <w:pPr>
        <w:ind w:right="348"/>
        <w:rPr>
          <w:sz w:val="20"/>
          <w:szCs w:val="20"/>
          <w:lang w:val="en-GB"/>
        </w:rPr>
      </w:pPr>
      <w:r w:rsidRPr="00686922">
        <w:rPr>
          <w:sz w:val="20"/>
          <w:szCs w:val="20"/>
          <w:lang w:val="en-GB"/>
        </w:rPr>
        <w:t>African Green Foundation International</w:t>
      </w:r>
    </w:p>
    <w:p w14:paraId="51AFBD39" w14:textId="02392794" w:rsidR="00794D56" w:rsidRPr="00686922" w:rsidRDefault="00794D56" w:rsidP="000571B6">
      <w:pPr>
        <w:ind w:right="348"/>
        <w:rPr>
          <w:sz w:val="20"/>
          <w:szCs w:val="20"/>
          <w:lang w:val="en-GB"/>
        </w:rPr>
      </w:pPr>
      <w:r w:rsidRPr="00686922">
        <w:rPr>
          <w:sz w:val="20"/>
          <w:szCs w:val="20"/>
          <w:lang w:val="en-GB"/>
        </w:rPr>
        <w:t>African Regional Agricultural Credit Association</w:t>
      </w:r>
    </w:p>
    <w:p w14:paraId="04F2B223" w14:textId="2FC99DFE" w:rsidR="00794D56" w:rsidRPr="00686922" w:rsidRDefault="00794D56" w:rsidP="000571B6">
      <w:pPr>
        <w:ind w:right="348"/>
        <w:rPr>
          <w:sz w:val="20"/>
          <w:szCs w:val="20"/>
          <w:lang w:val="en-GB"/>
        </w:rPr>
      </w:pPr>
      <w:r w:rsidRPr="00686922">
        <w:rPr>
          <w:sz w:val="20"/>
          <w:szCs w:val="20"/>
          <w:lang w:val="en-GB"/>
        </w:rPr>
        <w:t>African-American Society for Humanitarian Aid</w:t>
      </w:r>
      <w:r w:rsidR="00686922">
        <w:rPr>
          <w:sz w:val="20"/>
          <w:szCs w:val="20"/>
          <w:lang w:val="en-GB"/>
        </w:rPr>
        <w:br/>
      </w:r>
      <w:r w:rsidRPr="00686922">
        <w:rPr>
          <w:sz w:val="20"/>
          <w:szCs w:val="20"/>
          <w:lang w:val="en-GB"/>
        </w:rPr>
        <w:t xml:space="preserve"> and Development</w:t>
      </w:r>
    </w:p>
    <w:p w14:paraId="6DA89765" w14:textId="77777777" w:rsidR="00794D56" w:rsidRPr="00686922" w:rsidRDefault="00794D56" w:rsidP="000571B6">
      <w:pPr>
        <w:ind w:right="348"/>
        <w:rPr>
          <w:sz w:val="20"/>
          <w:szCs w:val="20"/>
          <w:lang w:val="en-GB"/>
        </w:rPr>
      </w:pPr>
      <w:r w:rsidRPr="00686922">
        <w:rPr>
          <w:sz w:val="20"/>
          <w:szCs w:val="20"/>
          <w:lang w:val="en-GB"/>
        </w:rPr>
        <w:t>Afro-European Medical and Research Network</w:t>
      </w:r>
    </w:p>
    <w:p w14:paraId="77C4DDBF" w14:textId="77777777" w:rsidR="00794D56" w:rsidRPr="00686922" w:rsidRDefault="00794D56" w:rsidP="000571B6">
      <w:pPr>
        <w:ind w:right="348"/>
        <w:rPr>
          <w:sz w:val="20"/>
          <w:szCs w:val="20"/>
          <w:lang w:val="en-GB"/>
        </w:rPr>
      </w:pPr>
      <w:r w:rsidRPr="00686922">
        <w:rPr>
          <w:sz w:val="20"/>
          <w:szCs w:val="20"/>
          <w:lang w:val="en-GB"/>
        </w:rPr>
        <w:t>Agence pour les droits de l’homme</w:t>
      </w:r>
    </w:p>
    <w:p w14:paraId="567BE37E" w14:textId="77777777" w:rsidR="00794D56" w:rsidRPr="00686922" w:rsidRDefault="00794D56" w:rsidP="000571B6">
      <w:pPr>
        <w:ind w:right="348"/>
        <w:rPr>
          <w:sz w:val="20"/>
          <w:szCs w:val="20"/>
          <w:lang w:val="en-GB"/>
        </w:rPr>
      </w:pPr>
      <w:r w:rsidRPr="00686922">
        <w:rPr>
          <w:sz w:val="20"/>
          <w:szCs w:val="20"/>
          <w:lang w:val="en-GB"/>
        </w:rPr>
        <w:t>Al Baraem Association for Charitable Work</w:t>
      </w:r>
    </w:p>
    <w:p w14:paraId="69D34365" w14:textId="77777777" w:rsidR="00794D56" w:rsidRPr="00686922" w:rsidRDefault="00794D56" w:rsidP="000571B6">
      <w:pPr>
        <w:ind w:right="348"/>
        <w:rPr>
          <w:sz w:val="20"/>
          <w:szCs w:val="20"/>
          <w:lang w:val="en-GB"/>
        </w:rPr>
      </w:pPr>
      <w:r w:rsidRPr="00686922">
        <w:rPr>
          <w:sz w:val="20"/>
          <w:szCs w:val="20"/>
          <w:lang w:val="en-GB"/>
        </w:rPr>
        <w:t xml:space="preserve">Al Mezan Centre for Human Rights </w:t>
      </w:r>
    </w:p>
    <w:p w14:paraId="68CD65BC" w14:textId="77777777" w:rsidR="00794D56" w:rsidRPr="00686922" w:rsidRDefault="00794D56" w:rsidP="000571B6">
      <w:pPr>
        <w:ind w:right="348"/>
        <w:rPr>
          <w:sz w:val="20"/>
          <w:szCs w:val="20"/>
          <w:lang w:val="en-GB"/>
        </w:rPr>
      </w:pPr>
      <w:r w:rsidRPr="00686922">
        <w:rPr>
          <w:sz w:val="20"/>
          <w:szCs w:val="20"/>
          <w:lang w:val="en-GB"/>
        </w:rPr>
        <w:t>Al Zubair Charitable Foundation</w:t>
      </w:r>
    </w:p>
    <w:p w14:paraId="2AC4DAA7" w14:textId="77777777" w:rsidR="00794D56" w:rsidRPr="00686922" w:rsidRDefault="00794D56" w:rsidP="000571B6">
      <w:pPr>
        <w:ind w:right="348"/>
        <w:rPr>
          <w:sz w:val="20"/>
          <w:szCs w:val="20"/>
          <w:lang w:val="en-GB"/>
        </w:rPr>
      </w:pPr>
      <w:r w:rsidRPr="00686922">
        <w:rPr>
          <w:sz w:val="20"/>
          <w:szCs w:val="20"/>
          <w:lang w:val="en-GB"/>
        </w:rPr>
        <w:t>Al-Haq, Law in the Service of Man</w:t>
      </w:r>
    </w:p>
    <w:p w14:paraId="25FA3E88" w14:textId="0F6B7226" w:rsidR="00794D56" w:rsidRPr="00686922" w:rsidRDefault="00794D56" w:rsidP="000571B6">
      <w:pPr>
        <w:ind w:right="348"/>
        <w:rPr>
          <w:sz w:val="20"/>
          <w:szCs w:val="20"/>
          <w:lang w:val="en-GB"/>
        </w:rPr>
      </w:pPr>
      <w:r w:rsidRPr="00686922">
        <w:rPr>
          <w:sz w:val="20"/>
          <w:szCs w:val="20"/>
          <w:lang w:val="en-GB"/>
        </w:rPr>
        <w:t>Aliran Kesedaran Negara National Consciousness</w:t>
      </w:r>
      <w:r w:rsidR="00686922">
        <w:rPr>
          <w:sz w:val="20"/>
          <w:szCs w:val="20"/>
          <w:lang w:val="en-GB"/>
        </w:rPr>
        <w:br/>
      </w:r>
      <w:r w:rsidRPr="00686922">
        <w:rPr>
          <w:sz w:val="20"/>
          <w:szCs w:val="20"/>
          <w:lang w:val="en-GB"/>
        </w:rPr>
        <w:t xml:space="preserve"> Movement</w:t>
      </w:r>
    </w:p>
    <w:p w14:paraId="0C3DA766" w14:textId="77777777" w:rsidR="00794D56" w:rsidRPr="00686922" w:rsidRDefault="00794D56" w:rsidP="000571B6">
      <w:pPr>
        <w:ind w:right="348"/>
        <w:rPr>
          <w:sz w:val="20"/>
          <w:szCs w:val="20"/>
          <w:lang w:val="en-GB"/>
        </w:rPr>
      </w:pPr>
      <w:r w:rsidRPr="00686922">
        <w:rPr>
          <w:sz w:val="20"/>
          <w:szCs w:val="20"/>
          <w:lang w:val="en-GB"/>
        </w:rPr>
        <w:t xml:space="preserve">Al-khoei Foundation </w:t>
      </w:r>
    </w:p>
    <w:p w14:paraId="344BAC2D" w14:textId="77777777" w:rsidR="00794D56" w:rsidRPr="00686922" w:rsidRDefault="00794D56" w:rsidP="000571B6">
      <w:pPr>
        <w:ind w:right="348"/>
        <w:rPr>
          <w:sz w:val="20"/>
          <w:szCs w:val="20"/>
          <w:lang w:val="en-GB"/>
        </w:rPr>
      </w:pPr>
      <w:r w:rsidRPr="00686922">
        <w:rPr>
          <w:sz w:val="20"/>
          <w:szCs w:val="20"/>
          <w:lang w:val="en-GB"/>
        </w:rPr>
        <w:t>All China Women’s Federation</w:t>
      </w:r>
    </w:p>
    <w:p w14:paraId="5619160F" w14:textId="77777777" w:rsidR="00794D56" w:rsidRPr="00686922" w:rsidRDefault="00794D56" w:rsidP="000571B6">
      <w:pPr>
        <w:ind w:right="348"/>
        <w:rPr>
          <w:sz w:val="20"/>
          <w:szCs w:val="20"/>
          <w:lang w:val="en-GB"/>
        </w:rPr>
      </w:pPr>
      <w:r w:rsidRPr="00686922">
        <w:rPr>
          <w:sz w:val="20"/>
          <w:szCs w:val="20"/>
          <w:lang w:val="en-GB"/>
        </w:rPr>
        <w:t>All-China Environment Federation</w:t>
      </w:r>
    </w:p>
    <w:p w14:paraId="1B7023E1" w14:textId="77777777" w:rsidR="00794D56" w:rsidRPr="00686922" w:rsidRDefault="00794D56" w:rsidP="000571B6">
      <w:pPr>
        <w:ind w:right="348"/>
        <w:rPr>
          <w:sz w:val="20"/>
          <w:szCs w:val="20"/>
          <w:lang w:val="en-GB"/>
        </w:rPr>
      </w:pPr>
      <w:r w:rsidRPr="00686922">
        <w:rPr>
          <w:sz w:val="20"/>
          <w:szCs w:val="20"/>
          <w:lang w:val="en-GB"/>
        </w:rPr>
        <w:t>Alliance Creative Community Project</w:t>
      </w:r>
    </w:p>
    <w:p w14:paraId="381D2DD4" w14:textId="77777777" w:rsidR="00794D56" w:rsidRPr="00686922" w:rsidRDefault="00794D56" w:rsidP="000571B6">
      <w:pPr>
        <w:ind w:right="348"/>
        <w:rPr>
          <w:sz w:val="20"/>
          <w:szCs w:val="20"/>
          <w:lang w:val="en-GB"/>
        </w:rPr>
      </w:pPr>
      <w:r w:rsidRPr="00686922">
        <w:rPr>
          <w:sz w:val="20"/>
          <w:szCs w:val="20"/>
          <w:lang w:val="en-GB"/>
        </w:rPr>
        <w:t>Alliance Defending Freedom</w:t>
      </w:r>
    </w:p>
    <w:p w14:paraId="5273F59B" w14:textId="77777777" w:rsidR="00794D56" w:rsidRPr="00686922" w:rsidRDefault="00794D56" w:rsidP="000571B6">
      <w:pPr>
        <w:ind w:right="348"/>
        <w:rPr>
          <w:sz w:val="20"/>
          <w:szCs w:val="20"/>
          <w:lang w:val="en-GB"/>
        </w:rPr>
      </w:pPr>
      <w:r w:rsidRPr="00686922">
        <w:rPr>
          <w:sz w:val="20"/>
          <w:szCs w:val="20"/>
          <w:lang w:val="en-GB"/>
        </w:rPr>
        <w:t>Alsalam Foundation</w:t>
      </w:r>
    </w:p>
    <w:p w14:paraId="45A2221C" w14:textId="77777777" w:rsidR="00794D56" w:rsidRPr="00686922" w:rsidRDefault="00794D56" w:rsidP="000571B6">
      <w:pPr>
        <w:ind w:right="348"/>
        <w:rPr>
          <w:sz w:val="20"/>
          <w:szCs w:val="20"/>
          <w:lang w:val="en-GB"/>
        </w:rPr>
      </w:pPr>
      <w:r w:rsidRPr="00686922">
        <w:rPr>
          <w:sz w:val="20"/>
          <w:szCs w:val="20"/>
          <w:lang w:val="en-GB"/>
        </w:rPr>
        <w:t>Alulbayt Foundation</w:t>
      </w:r>
    </w:p>
    <w:p w14:paraId="78036E1A" w14:textId="77777777" w:rsidR="00794D56" w:rsidRPr="00686922" w:rsidRDefault="00794D56" w:rsidP="000571B6">
      <w:pPr>
        <w:ind w:right="348"/>
        <w:rPr>
          <w:sz w:val="20"/>
          <w:szCs w:val="20"/>
          <w:lang w:val="en-GB"/>
        </w:rPr>
      </w:pPr>
      <w:r w:rsidRPr="00686922">
        <w:rPr>
          <w:sz w:val="20"/>
          <w:szCs w:val="20"/>
          <w:lang w:val="en-GB"/>
        </w:rPr>
        <w:t>American Association of Jurists</w:t>
      </w:r>
    </w:p>
    <w:p w14:paraId="43669283" w14:textId="77777777" w:rsidR="00686922" w:rsidRPr="00545AAB" w:rsidRDefault="00794D56" w:rsidP="00545AAB">
      <w:pPr>
        <w:suppressAutoHyphens/>
        <w:spacing w:line="240" w:lineRule="atLeast"/>
        <w:ind w:left="1134"/>
        <w:rPr>
          <w:sz w:val="20"/>
          <w:szCs w:val="20"/>
        </w:rPr>
      </w:pPr>
      <w:r w:rsidRPr="00545AAB">
        <w:rPr>
          <w:sz w:val="20"/>
          <w:szCs w:val="20"/>
        </w:rPr>
        <w:lastRenderedPageBreak/>
        <w:t>American Bar Association</w:t>
      </w:r>
    </w:p>
    <w:p w14:paraId="72A1274C" w14:textId="4D231A86" w:rsidR="00794D56" w:rsidRPr="00794D56" w:rsidRDefault="00794D56" w:rsidP="00545AAB">
      <w:pPr>
        <w:suppressAutoHyphens/>
        <w:spacing w:line="240" w:lineRule="atLeast"/>
        <w:ind w:left="1134"/>
        <w:rPr>
          <w:sz w:val="20"/>
          <w:szCs w:val="20"/>
        </w:rPr>
      </w:pPr>
      <w:r w:rsidRPr="00794D56">
        <w:rPr>
          <w:sz w:val="20"/>
          <w:szCs w:val="20"/>
        </w:rPr>
        <w:t>Americans for Democracy &amp; Human</w:t>
      </w:r>
      <w:r w:rsidR="00545AAB">
        <w:rPr>
          <w:sz w:val="20"/>
          <w:szCs w:val="20"/>
        </w:rPr>
        <w:br/>
      </w:r>
      <w:r w:rsidRPr="00794D56">
        <w:rPr>
          <w:sz w:val="20"/>
          <w:szCs w:val="20"/>
        </w:rPr>
        <w:t xml:space="preserve"> Rights in Bahrain Inc</w:t>
      </w:r>
    </w:p>
    <w:p w14:paraId="2B6D7BC8" w14:textId="6C1D8FD9" w:rsidR="00794D56" w:rsidRPr="00794D56" w:rsidRDefault="00794D56" w:rsidP="000571B6">
      <w:pPr>
        <w:suppressAutoHyphens/>
        <w:spacing w:line="240" w:lineRule="atLeast"/>
        <w:ind w:left="1134"/>
        <w:rPr>
          <w:sz w:val="20"/>
          <w:szCs w:val="20"/>
        </w:rPr>
      </w:pPr>
      <w:r w:rsidRPr="00794D56">
        <w:rPr>
          <w:sz w:val="20"/>
          <w:szCs w:val="20"/>
        </w:rPr>
        <w:t>Amman Center for Human Rights</w:t>
      </w:r>
      <w:r w:rsidR="00545AAB">
        <w:rPr>
          <w:sz w:val="20"/>
          <w:szCs w:val="20"/>
        </w:rPr>
        <w:br/>
        <w:t xml:space="preserve"> </w:t>
      </w:r>
      <w:r w:rsidRPr="00794D56">
        <w:rPr>
          <w:sz w:val="20"/>
          <w:szCs w:val="20"/>
        </w:rPr>
        <w:t xml:space="preserve">Studies </w:t>
      </w:r>
    </w:p>
    <w:p w14:paraId="22327429" w14:textId="77777777" w:rsidR="00794D56" w:rsidRPr="00794D56" w:rsidRDefault="00794D56" w:rsidP="000571B6">
      <w:pPr>
        <w:suppressAutoHyphens/>
        <w:spacing w:line="240" w:lineRule="atLeast"/>
        <w:ind w:left="1134"/>
        <w:rPr>
          <w:sz w:val="20"/>
          <w:szCs w:val="20"/>
        </w:rPr>
      </w:pPr>
      <w:r w:rsidRPr="00794D56">
        <w:rPr>
          <w:sz w:val="20"/>
          <w:szCs w:val="20"/>
        </w:rPr>
        <w:t>Amnesty International</w:t>
      </w:r>
    </w:p>
    <w:p w14:paraId="049F0DD5" w14:textId="77777777" w:rsidR="00794D56" w:rsidRPr="00794D56" w:rsidRDefault="00794D56" w:rsidP="000571B6">
      <w:pPr>
        <w:suppressAutoHyphens/>
        <w:spacing w:line="240" w:lineRule="atLeast"/>
        <w:ind w:left="1134"/>
        <w:rPr>
          <w:sz w:val="20"/>
          <w:szCs w:val="20"/>
        </w:rPr>
      </w:pPr>
      <w:r w:rsidRPr="00794D56">
        <w:rPr>
          <w:sz w:val="20"/>
          <w:szCs w:val="20"/>
        </w:rPr>
        <w:t xml:space="preserve">Anglican Consultative Council </w:t>
      </w:r>
    </w:p>
    <w:p w14:paraId="64E25C0C" w14:textId="77777777" w:rsidR="00794D56" w:rsidRPr="00794D56" w:rsidRDefault="00794D56" w:rsidP="000571B6">
      <w:pPr>
        <w:suppressAutoHyphens/>
        <w:spacing w:line="240" w:lineRule="atLeast"/>
        <w:ind w:left="1134"/>
        <w:rPr>
          <w:sz w:val="20"/>
          <w:szCs w:val="20"/>
        </w:rPr>
      </w:pPr>
      <w:r w:rsidRPr="00794D56">
        <w:rPr>
          <w:sz w:val="20"/>
          <w:szCs w:val="20"/>
        </w:rPr>
        <w:t>Arab Organization for Human Rights</w:t>
      </w:r>
    </w:p>
    <w:p w14:paraId="5AF236FD" w14:textId="77777777" w:rsidR="00794D56" w:rsidRPr="00794D56" w:rsidRDefault="00794D56" w:rsidP="000571B6">
      <w:pPr>
        <w:suppressAutoHyphens/>
        <w:spacing w:line="240" w:lineRule="atLeast"/>
        <w:ind w:left="1134"/>
        <w:rPr>
          <w:sz w:val="20"/>
          <w:szCs w:val="20"/>
        </w:rPr>
      </w:pPr>
      <w:r w:rsidRPr="00794D56">
        <w:rPr>
          <w:sz w:val="20"/>
          <w:szCs w:val="20"/>
        </w:rPr>
        <w:t>Arigatou International</w:t>
      </w:r>
    </w:p>
    <w:p w14:paraId="096E963C" w14:textId="4C26ACBD" w:rsidR="00794D56" w:rsidRPr="00794D56" w:rsidRDefault="00794D56" w:rsidP="000571B6">
      <w:pPr>
        <w:suppressAutoHyphens/>
        <w:spacing w:line="240" w:lineRule="atLeast"/>
        <w:ind w:left="1134"/>
        <w:rPr>
          <w:sz w:val="20"/>
          <w:szCs w:val="20"/>
        </w:rPr>
      </w:pPr>
      <w:r w:rsidRPr="00794D56">
        <w:rPr>
          <w:sz w:val="20"/>
          <w:szCs w:val="20"/>
        </w:rPr>
        <w:t>Article 19 – The International Centre</w:t>
      </w:r>
      <w:r w:rsidR="00686922">
        <w:rPr>
          <w:sz w:val="20"/>
          <w:szCs w:val="20"/>
        </w:rPr>
        <w:br/>
      </w:r>
      <w:r w:rsidRPr="00794D56">
        <w:rPr>
          <w:sz w:val="20"/>
          <w:szCs w:val="20"/>
        </w:rPr>
        <w:t xml:space="preserve"> against Censorship</w:t>
      </w:r>
    </w:p>
    <w:p w14:paraId="23A4C183" w14:textId="3AD6A327" w:rsidR="00794D56" w:rsidRPr="00794D56" w:rsidRDefault="00794D56" w:rsidP="000571B6">
      <w:pPr>
        <w:suppressAutoHyphens/>
        <w:spacing w:line="240" w:lineRule="atLeast"/>
        <w:ind w:left="1134"/>
        <w:rPr>
          <w:sz w:val="20"/>
          <w:szCs w:val="20"/>
        </w:rPr>
      </w:pPr>
      <w:r w:rsidRPr="00794D56">
        <w:rPr>
          <w:sz w:val="20"/>
          <w:szCs w:val="20"/>
        </w:rPr>
        <w:t>Asia Pacific Forum on Women, Law and</w:t>
      </w:r>
      <w:r w:rsidR="00686922">
        <w:rPr>
          <w:sz w:val="20"/>
          <w:szCs w:val="20"/>
        </w:rPr>
        <w:br/>
      </w:r>
      <w:r w:rsidRPr="00794D56">
        <w:rPr>
          <w:sz w:val="20"/>
          <w:szCs w:val="20"/>
        </w:rPr>
        <w:t xml:space="preserve"> Development</w:t>
      </w:r>
    </w:p>
    <w:p w14:paraId="65918ACE" w14:textId="32F8A18E" w:rsidR="00794D56" w:rsidRPr="00794D56" w:rsidRDefault="00794D56" w:rsidP="000571B6">
      <w:pPr>
        <w:suppressAutoHyphens/>
        <w:spacing w:line="240" w:lineRule="atLeast"/>
        <w:ind w:left="1134"/>
        <w:rPr>
          <w:sz w:val="20"/>
          <w:szCs w:val="20"/>
        </w:rPr>
      </w:pPr>
      <w:r w:rsidRPr="00794D56">
        <w:rPr>
          <w:sz w:val="20"/>
          <w:szCs w:val="20"/>
        </w:rPr>
        <w:t>Asian Forum for Human Rights and</w:t>
      </w:r>
      <w:r w:rsidR="00686922">
        <w:rPr>
          <w:sz w:val="20"/>
          <w:szCs w:val="20"/>
        </w:rPr>
        <w:br/>
      </w:r>
      <w:r w:rsidRPr="00794D56">
        <w:rPr>
          <w:sz w:val="20"/>
          <w:szCs w:val="20"/>
        </w:rPr>
        <w:t xml:space="preserve"> Development</w:t>
      </w:r>
    </w:p>
    <w:p w14:paraId="1B86E59F" w14:textId="77777777" w:rsidR="00794D56" w:rsidRPr="00794D56" w:rsidRDefault="00794D56" w:rsidP="000571B6">
      <w:pPr>
        <w:suppressAutoHyphens/>
        <w:spacing w:line="240" w:lineRule="atLeast"/>
        <w:ind w:left="1134"/>
        <w:rPr>
          <w:sz w:val="20"/>
          <w:szCs w:val="20"/>
        </w:rPr>
      </w:pPr>
      <w:r w:rsidRPr="00794D56">
        <w:rPr>
          <w:sz w:val="20"/>
          <w:szCs w:val="20"/>
        </w:rPr>
        <w:t>Asian Legal Resource Centre</w:t>
      </w:r>
    </w:p>
    <w:p w14:paraId="2123B4A5" w14:textId="77777777" w:rsidR="00794D56" w:rsidRPr="00794D56" w:rsidRDefault="00794D56" w:rsidP="000571B6">
      <w:pPr>
        <w:suppressAutoHyphens/>
        <w:spacing w:line="240" w:lineRule="atLeast"/>
        <w:ind w:left="1134"/>
        <w:rPr>
          <w:sz w:val="20"/>
          <w:szCs w:val="20"/>
        </w:rPr>
      </w:pPr>
      <w:r w:rsidRPr="00794D56">
        <w:rPr>
          <w:sz w:val="20"/>
          <w:szCs w:val="20"/>
        </w:rPr>
        <w:t>Asian-Eurasian Human Rights Forum</w:t>
      </w:r>
    </w:p>
    <w:p w14:paraId="33346305" w14:textId="707783D3" w:rsidR="00794D56" w:rsidRPr="00794D56" w:rsidRDefault="00794D56" w:rsidP="000571B6">
      <w:pPr>
        <w:suppressAutoHyphens/>
        <w:spacing w:line="240" w:lineRule="atLeast"/>
        <w:ind w:left="1134"/>
        <w:rPr>
          <w:sz w:val="20"/>
          <w:szCs w:val="20"/>
        </w:rPr>
      </w:pPr>
      <w:r w:rsidRPr="00794D56">
        <w:rPr>
          <w:sz w:val="20"/>
          <w:szCs w:val="20"/>
        </w:rPr>
        <w:t>Asistencia Legal por los Derechos</w:t>
      </w:r>
      <w:r w:rsidR="00686922">
        <w:rPr>
          <w:sz w:val="20"/>
          <w:szCs w:val="20"/>
        </w:rPr>
        <w:br/>
      </w:r>
      <w:r w:rsidRPr="00794D56">
        <w:rPr>
          <w:sz w:val="20"/>
          <w:szCs w:val="20"/>
        </w:rPr>
        <w:t xml:space="preserve"> Humanos, Asociación Civil</w:t>
      </w:r>
    </w:p>
    <w:p w14:paraId="2D98C1A9" w14:textId="6F1DB6CB" w:rsidR="00794D56" w:rsidRPr="00794D56" w:rsidRDefault="00794D56" w:rsidP="000571B6">
      <w:pPr>
        <w:suppressAutoHyphens/>
        <w:spacing w:line="240" w:lineRule="atLeast"/>
        <w:ind w:left="1134"/>
        <w:rPr>
          <w:sz w:val="20"/>
          <w:szCs w:val="20"/>
        </w:rPr>
      </w:pPr>
      <w:r w:rsidRPr="00794D56">
        <w:rPr>
          <w:sz w:val="20"/>
          <w:szCs w:val="20"/>
        </w:rPr>
        <w:t>Asociacion Cubana de las Naciones</w:t>
      </w:r>
      <w:r w:rsidR="00686922">
        <w:rPr>
          <w:sz w:val="20"/>
          <w:szCs w:val="20"/>
        </w:rPr>
        <w:br/>
      </w:r>
      <w:r w:rsidRPr="00794D56">
        <w:rPr>
          <w:sz w:val="20"/>
          <w:szCs w:val="20"/>
        </w:rPr>
        <w:t xml:space="preserve"> Unidas (Cuban United Nations</w:t>
      </w:r>
      <w:r w:rsidR="00686922">
        <w:rPr>
          <w:sz w:val="20"/>
          <w:szCs w:val="20"/>
        </w:rPr>
        <w:br/>
      </w:r>
      <w:r w:rsidRPr="00794D56">
        <w:rPr>
          <w:sz w:val="20"/>
          <w:szCs w:val="20"/>
        </w:rPr>
        <w:t xml:space="preserve"> Association)</w:t>
      </w:r>
    </w:p>
    <w:p w14:paraId="6EE98878" w14:textId="1DD852CA" w:rsidR="00794D56" w:rsidRPr="00794D56" w:rsidRDefault="00794D56" w:rsidP="000571B6">
      <w:pPr>
        <w:suppressAutoHyphens/>
        <w:spacing w:line="240" w:lineRule="atLeast"/>
        <w:ind w:left="1134"/>
        <w:rPr>
          <w:sz w:val="20"/>
          <w:szCs w:val="20"/>
        </w:rPr>
      </w:pPr>
      <w:r w:rsidRPr="00794D56">
        <w:rPr>
          <w:sz w:val="20"/>
          <w:szCs w:val="20"/>
        </w:rPr>
        <w:t>Asociación Española para el Derecho</w:t>
      </w:r>
      <w:r w:rsidR="00686922">
        <w:rPr>
          <w:sz w:val="20"/>
          <w:szCs w:val="20"/>
        </w:rPr>
        <w:br/>
      </w:r>
      <w:r w:rsidRPr="00794D56">
        <w:rPr>
          <w:sz w:val="20"/>
          <w:szCs w:val="20"/>
        </w:rPr>
        <w:t xml:space="preserve"> Internacional de los Derechos Humanos</w:t>
      </w:r>
      <w:r w:rsidR="00686922">
        <w:rPr>
          <w:sz w:val="20"/>
          <w:szCs w:val="20"/>
        </w:rPr>
        <w:br/>
      </w:r>
      <w:r w:rsidRPr="00794D56">
        <w:rPr>
          <w:sz w:val="20"/>
          <w:szCs w:val="20"/>
        </w:rPr>
        <w:t xml:space="preserve"> AEDIDH</w:t>
      </w:r>
    </w:p>
    <w:p w14:paraId="10254767" w14:textId="77777777" w:rsidR="00794D56" w:rsidRPr="00794D56" w:rsidRDefault="00794D56" w:rsidP="000571B6">
      <w:pPr>
        <w:suppressAutoHyphens/>
        <w:spacing w:line="240" w:lineRule="atLeast"/>
        <w:ind w:left="1134"/>
        <w:rPr>
          <w:sz w:val="20"/>
          <w:szCs w:val="20"/>
        </w:rPr>
      </w:pPr>
      <w:r w:rsidRPr="00794D56">
        <w:rPr>
          <w:sz w:val="20"/>
          <w:szCs w:val="20"/>
        </w:rPr>
        <w:t>Asociacion HazteOir.org</w:t>
      </w:r>
    </w:p>
    <w:p w14:paraId="4CD2BF7C" w14:textId="1C23F432" w:rsidR="00794D56" w:rsidRPr="00794D56" w:rsidRDefault="00794D56" w:rsidP="000571B6">
      <w:pPr>
        <w:suppressAutoHyphens/>
        <w:spacing w:line="240" w:lineRule="atLeast"/>
        <w:ind w:left="1134"/>
        <w:rPr>
          <w:sz w:val="20"/>
          <w:szCs w:val="20"/>
        </w:rPr>
      </w:pPr>
      <w:r w:rsidRPr="00794D56">
        <w:rPr>
          <w:sz w:val="20"/>
          <w:szCs w:val="20"/>
        </w:rPr>
        <w:t>Asociation pour les Droits de l’Homme</w:t>
      </w:r>
      <w:r w:rsidR="00545AAB">
        <w:rPr>
          <w:sz w:val="20"/>
          <w:szCs w:val="20"/>
        </w:rPr>
        <w:br/>
      </w:r>
      <w:r w:rsidRPr="00794D56">
        <w:rPr>
          <w:sz w:val="20"/>
          <w:szCs w:val="20"/>
        </w:rPr>
        <w:t xml:space="preserve"> </w:t>
      </w:r>
      <w:proofErr w:type="gramStart"/>
      <w:r w:rsidRPr="00794D56">
        <w:rPr>
          <w:sz w:val="20"/>
          <w:szCs w:val="20"/>
        </w:rPr>
        <w:t>et</w:t>
      </w:r>
      <w:proofErr w:type="gramEnd"/>
      <w:r w:rsidRPr="00794D56">
        <w:rPr>
          <w:sz w:val="20"/>
          <w:szCs w:val="20"/>
        </w:rPr>
        <w:t xml:space="preserve"> l’Univers Carcéral</w:t>
      </w:r>
    </w:p>
    <w:p w14:paraId="09630EDD" w14:textId="2EE59780" w:rsidR="00794D56" w:rsidRPr="00794D56" w:rsidRDefault="00794D56" w:rsidP="000571B6">
      <w:pPr>
        <w:suppressAutoHyphens/>
        <w:spacing w:line="240" w:lineRule="atLeast"/>
        <w:ind w:left="1134"/>
        <w:rPr>
          <w:sz w:val="20"/>
          <w:szCs w:val="20"/>
        </w:rPr>
      </w:pPr>
      <w:r w:rsidRPr="00794D56">
        <w:rPr>
          <w:sz w:val="20"/>
          <w:szCs w:val="20"/>
        </w:rPr>
        <w:t>Association “Paix” pour la lutte contre la</w:t>
      </w:r>
      <w:r w:rsidR="00686922">
        <w:rPr>
          <w:sz w:val="20"/>
          <w:szCs w:val="20"/>
        </w:rPr>
        <w:br/>
      </w:r>
      <w:r w:rsidRPr="00794D56">
        <w:rPr>
          <w:sz w:val="20"/>
          <w:szCs w:val="20"/>
        </w:rPr>
        <w:t xml:space="preserve"> Contrainte </w:t>
      </w:r>
      <w:proofErr w:type="gramStart"/>
      <w:r w:rsidRPr="00794D56">
        <w:rPr>
          <w:sz w:val="20"/>
          <w:szCs w:val="20"/>
        </w:rPr>
        <w:t>et</w:t>
      </w:r>
      <w:proofErr w:type="gramEnd"/>
      <w:r w:rsidRPr="00794D56">
        <w:rPr>
          <w:sz w:val="20"/>
          <w:szCs w:val="20"/>
        </w:rPr>
        <w:t xml:space="preserve"> l’injustice</w:t>
      </w:r>
    </w:p>
    <w:p w14:paraId="383DE789" w14:textId="27682D21" w:rsidR="00794D56" w:rsidRPr="00794D56" w:rsidRDefault="00794D56" w:rsidP="000571B6">
      <w:pPr>
        <w:suppressAutoHyphens/>
        <w:spacing w:line="240" w:lineRule="atLeast"/>
        <w:ind w:left="1134"/>
        <w:rPr>
          <w:sz w:val="20"/>
          <w:szCs w:val="20"/>
        </w:rPr>
      </w:pPr>
      <w:r w:rsidRPr="00794D56">
        <w:rPr>
          <w:sz w:val="20"/>
          <w:szCs w:val="20"/>
        </w:rPr>
        <w:t>Association apprentissages sans</w:t>
      </w:r>
      <w:r w:rsidR="00686922">
        <w:rPr>
          <w:sz w:val="20"/>
          <w:szCs w:val="20"/>
        </w:rPr>
        <w:br/>
      </w:r>
      <w:r w:rsidRPr="00794D56">
        <w:rPr>
          <w:sz w:val="20"/>
          <w:szCs w:val="20"/>
        </w:rPr>
        <w:t xml:space="preserve"> frontieres</w:t>
      </w:r>
    </w:p>
    <w:p w14:paraId="21343E4F" w14:textId="33D70D33" w:rsidR="00794D56" w:rsidRPr="00794D56" w:rsidRDefault="00794D56" w:rsidP="000571B6">
      <w:pPr>
        <w:suppressAutoHyphens/>
        <w:spacing w:line="240" w:lineRule="atLeast"/>
        <w:ind w:left="1134"/>
        <w:rPr>
          <w:sz w:val="20"/>
          <w:szCs w:val="20"/>
        </w:rPr>
      </w:pPr>
      <w:r w:rsidRPr="00794D56">
        <w:rPr>
          <w:sz w:val="20"/>
          <w:szCs w:val="20"/>
        </w:rPr>
        <w:t>Association Bharathi Centre Culturel</w:t>
      </w:r>
      <w:r w:rsidR="00686922">
        <w:rPr>
          <w:sz w:val="20"/>
          <w:szCs w:val="20"/>
        </w:rPr>
        <w:br/>
      </w:r>
      <w:r w:rsidRPr="00794D56">
        <w:rPr>
          <w:sz w:val="20"/>
          <w:szCs w:val="20"/>
        </w:rPr>
        <w:t xml:space="preserve"> Franco- Tamoul</w:t>
      </w:r>
    </w:p>
    <w:p w14:paraId="011B73CB" w14:textId="447C3A0A" w:rsidR="00794D56" w:rsidRPr="00794D56" w:rsidRDefault="00794D56" w:rsidP="000571B6">
      <w:pPr>
        <w:suppressAutoHyphens/>
        <w:spacing w:line="240" w:lineRule="atLeast"/>
        <w:ind w:left="1134"/>
        <w:rPr>
          <w:sz w:val="20"/>
          <w:szCs w:val="20"/>
        </w:rPr>
      </w:pPr>
      <w:r w:rsidRPr="00794D56">
        <w:rPr>
          <w:sz w:val="20"/>
          <w:szCs w:val="20"/>
        </w:rPr>
        <w:t>Association Burkinabé pour la Survie de</w:t>
      </w:r>
      <w:r w:rsidR="00686922">
        <w:rPr>
          <w:sz w:val="20"/>
          <w:szCs w:val="20"/>
        </w:rPr>
        <w:br/>
      </w:r>
      <w:r w:rsidRPr="00794D56">
        <w:rPr>
          <w:sz w:val="20"/>
          <w:szCs w:val="20"/>
        </w:rPr>
        <w:t xml:space="preserve"> l’Enfance</w:t>
      </w:r>
    </w:p>
    <w:p w14:paraId="1535EFD1" w14:textId="5383366B" w:rsidR="00794D56" w:rsidRPr="00794D56" w:rsidRDefault="00794D56" w:rsidP="000571B6">
      <w:pPr>
        <w:suppressAutoHyphens/>
        <w:spacing w:line="240" w:lineRule="atLeast"/>
        <w:ind w:left="1134"/>
        <w:rPr>
          <w:sz w:val="20"/>
          <w:szCs w:val="20"/>
        </w:rPr>
      </w:pPr>
      <w:r w:rsidRPr="00794D56">
        <w:rPr>
          <w:sz w:val="20"/>
          <w:szCs w:val="20"/>
        </w:rPr>
        <w:t>Association Culturelle des Tamouls en</w:t>
      </w:r>
      <w:r w:rsidR="00686922">
        <w:rPr>
          <w:sz w:val="20"/>
          <w:szCs w:val="20"/>
        </w:rPr>
        <w:br/>
      </w:r>
      <w:r w:rsidRPr="00794D56">
        <w:rPr>
          <w:sz w:val="20"/>
          <w:szCs w:val="20"/>
        </w:rPr>
        <w:t xml:space="preserve"> France</w:t>
      </w:r>
    </w:p>
    <w:p w14:paraId="513DD9D3" w14:textId="77777777" w:rsidR="00794D56" w:rsidRPr="00794D56" w:rsidRDefault="00794D56" w:rsidP="000571B6">
      <w:pPr>
        <w:suppressAutoHyphens/>
        <w:spacing w:line="240" w:lineRule="atLeast"/>
        <w:ind w:left="1134"/>
        <w:rPr>
          <w:sz w:val="20"/>
          <w:szCs w:val="20"/>
        </w:rPr>
      </w:pPr>
      <w:r w:rsidRPr="00794D56">
        <w:rPr>
          <w:sz w:val="20"/>
          <w:szCs w:val="20"/>
        </w:rPr>
        <w:t>Association d’Entraide Médicale Guinée</w:t>
      </w:r>
    </w:p>
    <w:p w14:paraId="4CDA6222" w14:textId="1C6F963A" w:rsidR="00794D56" w:rsidRPr="00794D56" w:rsidRDefault="00794D56" w:rsidP="000571B6">
      <w:pPr>
        <w:suppressAutoHyphens/>
        <w:spacing w:line="240" w:lineRule="atLeast"/>
        <w:ind w:left="1134"/>
        <w:rPr>
          <w:sz w:val="20"/>
          <w:szCs w:val="20"/>
        </w:rPr>
      </w:pPr>
      <w:r w:rsidRPr="00794D56">
        <w:rPr>
          <w:sz w:val="20"/>
          <w:szCs w:val="20"/>
        </w:rPr>
        <w:t>Association des étudiants tamouls de</w:t>
      </w:r>
      <w:r w:rsidR="00686922">
        <w:rPr>
          <w:sz w:val="20"/>
          <w:szCs w:val="20"/>
        </w:rPr>
        <w:br/>
      </w:r>
      <w:r w:rsidRPr="00794D56">
        <w:rPr>
          <w:sz w:val="20"/>
          <w:szCs w:val="20"/>
        </w:rPr>
        <w:t xml:space="preserve"> France</w:t>
      </w:r>
    </w:p>
    <w:p w14:paraId="4C3BCF9E" w14:textId="6BC1718B" w:rsidR="00794D56" w:rsidRPr="00794D56" w:rsidRDefault="00794D56" w:rsidP="000571B6">
      <w:pPr>
        <w:suppressAutoHyphens/>
        <w:spacing w:line="240" w:lineRule="atLeast"/>
        <w:ind w:left="1134"/>
        <w:rPr>
          <w:sz w:val="20"/>
          <w:szCs w:val="20"/>
        </w:rPr>
      </w:pPr>
      <w:r w:rsidRPr="00794D56">
        <w:rPr>
          <w:sz w:val="20"/>
          <w:szCs w:val="20"/>
        </w:rPr>
        <w:t>Association des Jeunes pour</w:t>
      </w:r>
      <w:r w:rsidR="00545AAB">
        <w:rPr>
          <w:sz w:val="20"/>
          <w:szCs w:val="20"/>
        </w:rPr>
        <w:br/>
      </w:r>
      <w:r w:rsidRPr="00794D56">
        <w:rPr>
          <w:sz w:val="20"/>
          <w:szCs w:val="20"/>
        </w:rPr>
        <w:t xml:space="preserve"> l’Agriculture du Mali</w:t>
      </w:r>
    </w:p>
    <w:p w14:paraId="563C12B2" w14:textId="0CE4EE70" w:rsidR="00794D56" w:rsidRPr="00794D56" w:rsidRDefault="00794D56" w:rsidP="000571B6">
      <w:pPr>
        <w:suppressAutoHyphens/>
        <w:spacing w:line="240" w:lineRule="atLeast"/>
        <w:ind w:left="1134"/>
        <w:rPr>
          <w:sz w:val="20"/>
          <w:szCs w:val="20"/>
        </w:rPr>
      </w:pPr>
      <w:r w:rsidRPr="00794D56">
        <w:rPr>
          <w:sz w:val="20"/>
          <w:szCs w:val="20"/>
        </w:rPr>
        <w:t xml:space="preserve">Association du Développement </w:t>
      </w:r>
      <w:proofErr w:type="gramStart"/>
      <w:r w:rsidRPr="00794D56">
        <w:rPr>
          <w:sz w:val="20"/>
          <w:szCs w:val="20"/>
        </w:rPr>
        <w:t>et</w:t>
      </w:r>
      <w:proofErr w:type="gramEnd"/>
      <w:r w:rsidRPr="00794D56">
        <w:rPr>
          <w:sz w:val="20"/>
          <w:szCs w:val="20"/>
        </w:rPr>
        <w:t xml:space="preserve"> de la</w:t>
      </w:r>
      <w:r w:rsidR="00686922">
        <w:rPr>
          <w:sz w:val="20"/>
          <w:szCs w:val="20"/>
        </w:rPr>
        <w:br/>
      </w:r>
      <w:r w:rsidRPr="00794D56">
        <w:rPr>
          <w:sz w:val="20"/>
          <w:szCs w:val="20"/>
        </w:rPr>
        <w:t xml:space="preserve"> Promotion de Droits de l’Homme</w:t>
      </w:r>
    </w:p>
    <w:p w14:paraId="59A610F4" w14:textId="77777777" w:rsidR="00794D56" w:rsidRPr="00794D56" w:rsidRDefault="00794D56" w:rsidP="000571B6">
      <w:pPr>
        <w:suppressAutoHyphens/>
        <w:spacing w:line="240" w:lineRule="atLeast"/>
        <w:ind w:left="1134"/>
        <w:rPr>
          <w:sz w:val="20"/>
          <w:szCs w:val="20"/>
        </w:rPr>
      </w:pPr>
      <w:r w:rsidRPr="00794D56">
        <w:rPr>
          <w:sz w:val="20"/>
          <w:szCs w:val="20"/>
        </w:rPr>
        <w:t>Association Dunenyo</w:t>
      </w:r>
    </w:p>
    <w:p w14:paraId="3E4C3A81" w14:textId="641642FF" w:rsidR="00794D56" w:rsidRPr="00794D56" w:rsidRDefault="00794D56" w:rsidP="000571B6">
      <w:pPr>
        <w:suppressAutoHyphens/>
        <w:spacing w:line="240" w:lineRule="atLeast"/>
        <w:ind w:left="1134"/>
        <w:rPr>
          <w:sz w:val="20"/>
          <w:szCs w:val="20"/>
        </w:rPr>
      </w:pPr>
      <w:r w:rsidRPr="00794D56">
        <w:rPr>
          <w:sz w:val="20"/>
          <w:szCs w:val="20"/>
        </w:rPr>
        <w:t>Association for Defending Victims of</w:t>
      </w:r>
      <w:r w:rsidR="00686922">
        <w:rPr>
          <w:sz w:val="20"/>
          <w:szCs w:val="20"/>
        </w:rPr>
        <w:br/>
      </w:r>
      <w:r w:rsidRPr="00794D56">
        <w:rPr>
          <w:sz w:val="20"/>
          <w:szCs w:val="20"/>
        </w:rPr>
        <w:t xml:space="preserve"> Terrorism</w:t>
      </w:r>
    </w:p>
    <w:p w14:paraId="31F0BB3B" w14:textId="7C3D4A7B" w:rsidR="00794D56" w:rsidRPr="00794D56" w:rsidRDefault="00794D56" w:rsidP="000571B6">
      <w:pPr>
        <w:suppressAutoHyphens/>
        <w:spacing w:line="240" w:lineRule="atLeast"/>
        <w:ind w:left="1134"/>
        <w:rPr>
          <w:sz w:val="20"/>
          <w:szCs w:val="20"/>
        </w:rPr>
      </w:pPr>
      <w:r w:rsidRPr="00794D56">
        <w:rPr>
          <w:sz w:val="20"/>
          <w:szCs w:val="20"/>
        </w:rPr>
        <w:t>Association for Progressive</w:t>
      </w:r>
      <w:r w:rsidR="00686922">
        <w:rPr>
          <w:sz w:val="20"/>
          <w:szCs w:val="20"/>
        </w:rPr>
        <w:br/>
      </w:r>
      <w:r w:rsidRPr="00794D56">
        <w:rPr>
          <w:sz w:val="20"/>
          <w:szCs w:val="20"/>
        </w:rPr>
        <w:t xml:space="preserve"> Communications (APC)</w:t>
      </w:r>
    </w:p>
    <w:p w14:paraId="4C2882B6" w14:textId="77777777" w:rsidR="00686922" w:rsidRDefault="00794D56" w:rsidP="000571B6">
      <w:pPr>
        <w:suppressAutoHyphens/>
        <w:spacing w:line="240" w:lineRule="atLeast"/>
        <w:ind w:left="1134"/>
        <w:rPr>
          <w:sz w:val="20"/>
          <w:szCs w:val="20"/>
        </w:rPr>
      </w:pPr>
      <w:r w:rsidRPr="00794D56">
        <w:rPr>
          <w:sz w:val="20"/>
          <w:szCs w:val="20"/>
        </w:rPr>
        <w:t>Association for the Prevention of Torture</w:t>
      </w:r>
    </w:p>
    <w:p w14:paraId="28B45862" w14:textId="77777777" w:rsidR="00686922" w:rsidRDefault="00794D56" w:rsidP="000571B6">
      <w:pPr>
        <w:suppressAutoHyphens/>
        <w:spacing w:line="240" w:lineRule="atLeast"/>
        <w:ind w:left="1134"/>
        <w:rPr>
          <w:sz w:val="20"/>
          <w:szCs w:val="20"/>
          <w:lang w:val="en-GB"/>
        </w:rPr>
      </w:pPr>
      <w:r w:rsidRPr="00686922">
        <w:rPr>
          <w:sz w:val="20"/>
          <w:szCs w:val="20"/>
          <w:lang w:val="en-GB"/>
        </w:rPr>
        <w:t>Association for the Protection of Women</w:t>
      </w:r>
      <w:r w:rsidR="00686922">
        <w:rPr>
          <w:sz w:val="20"/>
          <w:szCs w:val="20"/>
          <w:lang w:val="en-GB"/>
        </w:rPr>
        <w:br/>
      </w:r>
      <w:r w:rsidRPr="00686922">
        <w:rPr>
          <w:sz w:val="20"/>
          <w:szCs w:val="20"/>
          <w:lang w:val="en-GB"/>
        </w:rPr>
        <w:t xml:space="preserve"> and Children’s Rights (APWCR)</w:t>
      </w:r>
    </w:p>
    <w:p w14:paraId="206E6B6D" w14:textId="77777777" w:rsidR="00686922" w:rsidRDefault="00794D56" w:rsidP="00545AAB">
      <w:pPr>
        <w:ind w:right="348"/>
        <w:rPr>
          <w:sz w:val="20"/>
          <w:szCs w:val="20"/>
          <w:lang w:val="en-GB"/>
        </w:rPr>
      </w:pPr>
      <w:r w:rsidRPr="00686922">
        <w:rPr>
          <w:sz w:val="20"/>
          <w:szCs w:val="20"/>
          <w:lang w:val="en-GB"/>
        </w:rPr>
        <w:t>Association for Women’s Rights in</w:t>
      </w:r>
      <w:r w:rsidR="00686922">
        <w:rPr>
          <w:sz w:val="20"/>
          <w:szCs w:val="20"/>
          <w:lang w:val="en-GB"/>
        </w:rPr>
        <w:br/>
      </w:r>
      <w:r w:rsidRPr="00686922">
        <w:rPr>
          <w:sz w:val="20"/>
          <w:szCs w:val="20"/>
          <w:lang w:val="en-GB"/>
        </w:rPr>
        <w:t xml:space="preserve"> Development (AWID)</w:t>
      </w:r>
    </w:p>
    <w:p w14:paraId="43B1380C" w14:textId="5F4340E9" w:rsidR="00794D56" w:rsidRPr="00686922" w:rsidRDefault="00794D56" w:rsidP="000571B6">
      <w:pPr>
        <w:ind w:right="348"/>
        <w:rPr>
          <w:sz w:val="20"/>
          <w:szCs w:val="20"/>
          <w:lang w:val="en-GB"/>
        </w:rPr>
      </w:pPr>
      <w:r w:rsidRPr="00686922">
        <w:rPr>
          <w:sz w:val="20"/>
          <w:szCs w:val="20"/>
          <w:lang w:val="en-GB"/>
        </w:rPr>
        <w:t>Association Internationale des Medecins</w:t>
      </w:r>
      <w:r w:rsidR="00686922">
        <w:rPr>
          <w:sz w:val="20"/>
          <w:szCs w:val="20"/>
          <w:lang w:val="en-GB"/>
        </w:rPr>
        <w:br/>
      </w:r>
      <w:r w:rsidRPr="00686922">
        <w:rPr>
          <w:sz w:val="20"/>
          <w:szCs w:val="20"/>
          <w:lang w:val="en-GB"/>
        </w:rPr>
        <w:t xml:space="preserve"> pour la Promotion de l’Education </w:t>
      </w:r>
      <w:proofErr w:type="gramStart"/>
      <w:r w:rsidRPr="00686922">
        <w:rPr>
          <w:sz w:val="20"/>
          <w:szCs w:val="20"/>
          <w:lang w:val="en-GB"/>
        </w:rPr>
        <w:t>et</w:t>
      </w:r>
      <w:proofErr w:type="gramEnd"/>
      <w:r w:rsidRPr="00686922">
        <w:rPr>
          <w:sz w:val="20"/>
          <w:szCs w:val="20"/>
          <w:lang w:val="en-GB"/>
        </w:rPr>
        <w:t xml:space="preserve"> de la</w:t>
      </w:r>
      <w:r w:rsidR="00686922">
        <w:rPr>
          <w:sz w:val="20"/>
          <w:szCs w:val="20"/>
          <w:lang w:val="en-GB"/>
        </w:rPr>
        <w:br/>
      </w:r>
      <w:r w:rsidRPr="00686922">
        <w:rPr>
          <w:sz w:val="20"/>
          <w:szCs w:val="20"/>
          <w:lang w:val="en-GB"/>
        </w:rPr>
        <w:t xml:space="preserve"> Santé en Afrique</w:t>
      </w:r>
    </w:p>
    <w:p w14:paraId="6014C15F" w14:textId="72ACC02F" w:rsidR="00794D56" w:rsidRPr="00686922" w:rsidRDefault="00794D56" w:rsidP="000571B6">
      <w:pPr>
        <w:ind w:right="348"/>
        <w:rPr>
          <w:sz w:val="20"/>
          <w:szCs w:val="20"/>
          <w:lang w:val="en-GB"/>
        </w:rPr>
      </w:pPr>
      <w:r w:rsidRPr="00686922">
        <w:rPr>
          <w:sz w:val="20"/>
          <w:szCs w:val="20"/>
          <w:lang w:val="en-GB"/>
        </w:rPr>
        <w:t>Association Internationale pour l’égalité des</w:t>
      </w:r>
      <w:r w:rsidR="00686922">
        <w:rPr>
          <w:sz w:val="20"/>
          <w:szCs w:val="20"/>
          <w:lang w:val="en-GB"/>
        </w:rPr>
        <w:br/>
      </w:r>
      <w:r w:rsidRPr="00686922">
        <w:rPr>
          <w:sz w:val="20"/>
          <w:szCs w:val="20"/>
          <w:lang w:val="en-GB"/>
        </w:rPr>
        <w:t xml:space="preserve"> femmes</w:t>
      </w:r>
    </w:p>
    <w:p w14:paraId="3CA18DF3" w14:textId="468694BC" w:rsidR="00794D56" w:rsidRPr="00686922" w:rsidRDefault="00794D56" w:rsidP="000571B6">
      <w:pPr>
        <w:ind w:right="348"/>
        <w:rPr>
          <w:sz w:val="20"/>
          <w:szCs w:val="20"/>
          <w:lang w:val="en-GB"/>
        </w:rPr>
      </w:pPr>
      <w:r w:rsidRPr="00686922">
        <w:rPr>
          <w:sz w:val="20"/>
          <w:szCs w:val="20"/>
          <w:lang w:val="en-GB"/>
        </w:rPr>
        <w:t>Association mauritanienne pour la promotion des</w:t>
      </w:r>
      <w:r w:rsidR="00686922">
        <w:rPr>
          <w:sz w:val="20"/>
          <w:szCs w:val="20"/>
          <w:lang w:val="en-GB"/>
        </w:rPr>
        <w:br/>
      </w:r>
      <w:r w:rsidRPr="00686922">
        <w:rPr>
          <w:sz w:val="20"/>
          <w:szCs w:val="20"/>
          <w:lang w:val="en-GB"/>
        </w:rPr>
        <w:t xml:space="preserve"> droits de l’homme</w:t>
      </w:r>
    </w:p>
    <w:p w14:paraId="5F8C933B" w14:textId="34DD8428" w:rsidR="00794D56" w:rsidRPr="00686922" w:rsidRDefault="00794D56" w:rsidP="000571B6">
      <w:pPr>
        <w:ind w:right="348"/>
        <w:rPr>
          <w:sz w:val="20"/>
          <w:szCs w:val="20"/>
          <w:lang w:val="en-GB"/>
        </w:rPr>
      </w:pPr>
      <w:r w:rsidRPr="00686922">
        <w:rPr>
          <w:sz w:val="20"/>
          <w:szCs w:val="20"/>
          <w:lang w:val="en-GB"/>
        </w:rPr>
        <w:t>Association Mauritanienne pour la promotion du</w:t>
      </w:r>
      <w:r w:rsidR="00686922">
        <w:rPr>
          <w:sz w:val="20"/>
          <w:szCs w:val="20"/>
          <w:lang w:val="en-GB"/>
        </w:rPr>
        <w:br/>
      </w:r>
      <w:r w:rsidRPr="00686922">
        <w:rPr>
          <w:sz w:val="20"/>
          <w:szCs w:val="20"/>
          <w:lang w:val="en-GB"/>
        </w:rPr>
        <w:t xml:space="preserve"> droit</w:t>
      </w:r>
    </w:p>
    <w:p w14:paraId="294F7720" w14:textId="02D2E8CC" w:rsidR="00794D56" w:rsidRPr="00686922" w:rsidRDefault="00794D56" w:rsidP="000571B6">
      <w:pPr>
        <w:ind w:right="348"/>
        <w:rPr>
          <w:sz w:val="20"/>
          <w:szCs w:val="20"/>
          <w:lang w:val="en-GB"/>
        </w:rPr>
      </w:pPr>
      <w:r w:rsidRPr="00686922">
        <w:rPr>
          <w:sz w:val="20"/>
          <w:szCs w:val="20"/>
          <w:lang w:val="en-GB"/>
        </w:rPr>
        <w:t xml:space="preserve">Association Mzab prévention routière </w:t>
      </w:r>
      <w:proofErr w:type="gramStart"/>
      <w:r w:rsidRPr="00686922">
        <w:rPr>
          <w:sz w:val="20"/>
          <w:szCs w:val="20"/>
          <w:lang w:val="en-GB"/>
        </w:rPr>
        <w:t>et</w:t>
      </w:r>
      <w:proofErr w:type="gramEnd"/>
      <w:r w:rsidR="00686922">
        <w:rPr>
          <w:sz w:val="20"/>
          <w:szCs w:val="20"/>
          <w:lang w:val="en-GB"/>
        </w:rPr>
        <w:br/>
      </w:r>
      <w:r w:rsidRPr="00686922">
        <w:rPr>
          <w:sz w:val="20"/>
          <w:szCs w:val="20"/>
          <w:lang w:val="en-GB"/>
        </w:rPr>
        <w:t xml:space="preserve"> développement</w:t>
      </w:r>
    </w:p>
    <w:p w14:paraId="6D4BA031" w14:textId="037F70FE" w:rsidR="00794D56" w:rsidRPr="00686922" w:rsidRDefault="00794D56" w:rsidP="000571B6">
      <w:pPr>
        <w:ind w:right="348"/>
        <w:rPr>
          <w:sz w:val="20"/>
          <w:szCs w:val="20"/>
          <w:lang w:val="en-GB"/>
        </w:rPr>
      </w:pPr>
      <w:r w:rsidRPr="00686922">
        <w:rPr>
          <w:sz w:val="20"/>
          <w:szCs w:val="20"/>
          <w:lang w:val="en-GB"/>
        </w:rPr>
        <w:t xml:space="preserve">Association nationale de promotion </w:t>
      </w:r>
      <w:proofErr w:type="gramStart"/>
      <w:r w:rsidRPr="00686922">
        <w:rPr>
          <w:sz w:val="20"/>
          <w:szCs w:val="20"/>
          <w:lang w:val="en-GB"/>
        </w:rPr>
        <w:t>et</w:t>
      </w:r>
      <w:proofErr w:type="gramEnd"/>
      <w:r w:rsidRPr="00686922">
        <w:rPr>
          <w:sz w:val="20"/>
          <w:szCs w:val="20"/>
          <w:lang w:val="en-GB"/>
        </w:rPr>
        <w:t xml:space="preserve"> de</w:t>
      </w:r>
      <w:r w:rsidR="00686922">
        <w:rPr>
          <w:sz w:val="20"/>
          <w:szCs w:val="20"/>
          <w:lang w:val="en-GB"/>
        </w:rPr>
        <w:br/>
      </w:r>
      <w:r w:rsidRPr="00686922">
        <w:rPr>
          <w:sz w:val="20"/>
          <w:szCs w:val="20"/>
          <w:lang w:val="en-GB"/>
        </w:rPr>
        <w:t xml:space="preserve"> protection des droits de l’homme</w:t>
      </w:r>
    </w:p>
    <w:p w14:paraId="7991CC3F" w14:textId="0E20F3DE" w:rsidR="00794D56" w:rsidRPr="00686922" w:rsidRDefault="00794D56" w:rsidP="000571B6">
      <w:pPr>
        <w:ind w:right="348"/>
        <w:rPr>
          <w:sz w:val="20"/>
          <w:szCs w:val="20"/>
          <w:lang w:val="en-GB"/>
        </w:rPr>
      </w:pPr>
      <w:r w:rsidRPr="00686922">
        <w:rPr>
          <w:sz w:val="20"/>
          <w:szCs w:val="20"/>
          <w:lang w:val="en-GB"/>
        </w:rPr>
        <w:t>Association Nationale des Echanges Entre Jeunes</w:t>
      </w:r>
    </w:p>
    <w:p w14:paraId="69558020" w14:textId="77777777" w:rsidR="00794D56" w:rsidRPr="00686922" w:rsidRDefault="00794D56" w:rsidP="000571B6">
      <w:pPr>
        <w:ind w:right="348"/>
        <w:rPr>
          <w:sz w:val="20"/>
          <w:szCs w:val="20"/>
          <w:lang w:val="en-GB"/>
        </w:rPr>
      </w:pPr>
      <w:r w:rsidRPr="00686922">
        <w:rPr>
          <w:sz w:val="20"/>
          <w:szCs w:val="20"/>
          <w:lang w:val="en-GB"/>
        </w:rPr>
        <w:t>Association of World Citizens</w:t>
      </w:r>
    </w:p>
    <w:p w14:paraId="1021338E" w14:textId="77777777" w:rsidR="00794D56" w:rsidRPr="00686922" w:rsidRDefault="00794D56" w:rsidP="000571B6">
      <w:pPr>
        <w:ind w:right="348"/>
        <w:rPr>
          <w:sz w:val="20"/>
          <w:szCs w:val="20"/>
          <w:lang w:val="en-GB"/>
        </w:rPr>
      </w:pPr>
      <w:r w:rsidRPr="00686922">
        <w:rPr>
          <w:sz w:val="20"/>
          <w:szCs w:val="20"/>
          <w:lang w:val="en-GB"/>
        </w:rPr>
        <w:t>Association Panafrica</w:t>
      </w:r>
    </w:p>
    <w:p w14:paraId="3B0295C1" w14:textId="42867ADE" w:rsidR="00794D56" w:rsidRPr="00686922" w:rsidRDefault="00794D56" w:rsidP="000571B6">
      <w:pPr>
        <w:ind w:right="348"/>
        <w:rPr>
          <w:sz w:val="20"/>
          <w:szCs w:val="20"/>
          <w:lang w:val="en-GB"/>
        </w:rPr>
      </w:pPr>
      <w:r w:rsidRPr="00686922">
        <w:rPr>
          <w:sz w:val="20"/>
          <w:szCs w:val="20"/>
          <w:lang w:val="en-GB"/>
        </w:rPr>
        <w:t xml:space="preserve">Association pour l’Education </w:t>
      </w:r>
      <w:proofErr w:type="gramStart"/>
      <w:r w:rsidRPr="00686922">
        <w:rPr>
          <w:sz w:val="20"/>
          <w:szCs w:val="20"/>
          <w:lang w:val="en-GB"/>
        </w:rPr>
        <w:t>et</w:t>
      </w:r>
      <w:proofErr w:type="gramEnd"/>
      <w:r w:rsidRPr="00686922">
        <w:rPr>
          <w:sz w:val="20"/>
          <w:szCs w:val="20"/>
          <w:lang w:val="en-GB"/>
        </w:rPr>
        <w:t xml:space="preserve"> la Santé de la</w:t>
      </w:r>
      <w:r w:rsidR="00686922">
        <w:rPr>
          <w:sz w:val="20"/>
          <w:szCs w:val="20"/>
          <w:lang w:val="en-GB"/>
        </w:rPr>
        <w:br/>
      </w:r>
      <w:r w:rsidRPr="00686922">
        <w:rPr>
          <w:sz w:val="20"/>
          <w:szCs w:val="20"/>
          <w:lang w:val="en-GB"/>
        </w:rPr>
        <w:t xml:space="preserve"> Femme et de l’Enfant (AESFE)</w:t>
      </w:r>
    </w:p>
    <w:p w14:paraId="6D37D50B" w14:textId="77777777" w:rsidR="00794D56" w:rsidRPr="00686922" w:rsidRDefault="00794D56" w:rsidP="000571B6">
      <w:pPr>
        <w:ind w:right="348"/>
        <w:rPr>
          <w:sz w:val="20"/>
          <w:szCs w:val="20"/>
          <w:lang w:val="en-GB"/>
        </w:rPr>
      </w:pPr>
      <w:r w:rsidRPr="00686922">
        <w:rPr>
          <w:sz w:val="20"/>
          <w:szCs w:val="20"/>
          <w:lang w:val="en-GB"/>
        </w:rPr>
        <w:t>Association pour les Victimes Du Monde</w:t>
      </w:r>
    </w:p>
    <w:p w14:paraId="7C8A2AA8" w14:textId="515F564D" w:rsidR="00794D56" w:rsidRPr="00686922" w:rsidRDefault="00794D56" w:rsidP="000571B6">
      <w:pPr>
        <w:ind w:right="348"/>
        <w:rPr>
          <w:sz w:val="20"/>
          <w:szCs w:val="20"/>
          <w:lang w:val="en-GB"/>
        </w:rPr>
      </w:pPr>
      <w:r w:rsidRPr="00686922">
        <w:rPr>
          <w:sz w:val="20"/>
          <w:szCs w:val="20"/>
          <w:lang w:val="en-GB"/>
        </w:rPr>
        <w:t xml:space="preserve">Association pour l’Intégration </w:t>
      </w:r>
      <w:proofErr w:type="gramStart"/>
      <w:r w:rsidRPr="00686922">
        <w:rPr>
          <w:sz w:val="20"/>
          <w:szCs w:val="20"/>
          <w:lang w:val="en-GB"/>
        </w:rPr>
        <w:t>et</w:t>
      </w:r>
      <w:proofErr w:type="gramEnd"/>
      <w:r w:rsidRPr="00686922">
        <w:rPr>
          <w:sz w:val="20"/>
          <w:szCs w:val="20"/>
          <w:lang w:val="en-GB"/>
        </w:rPr>
        <w:t xml:space="preserve"> le</w:t>
      </w:r>
      <w:r w:rsidR="00686922">
        <w:rPr>
          <w:sz w:val="20"/>
          <w:szCs w:val="20"/>
          <w:lang w:val="en-GB"/>
        </w:rPr>
        <w:br/>
      </w:r>
      <w:r w:rsidRPr="00686922">
        <w:rPr>
          <w:sz w:val="20"/>
          <w:szCs w:val="20"/>
          <w:lang w:val="en-GB"/>
        </w:rPr>
        <w:t xml:space="preserve"> Développement Durable au Burundi</w:t>
      </w:r>
    </w:p>
    <w:p w14:paraId="3F8160C0" w14:textId="1D782BC7" w:rsidR="00794D56" w:rsidRPr="00686922" w:rsidRDefault="00794D56" w:rsidP="000571B6">
      <w:pPr>
        <w:ind w:right="348"/>
        <w:rPr>
          <w:sz w:val="20"/>
          <w:szCs w:val="20"/>
          <w:lang w:val="en-GB"/>
        </w:rPr>
      </w:pPr>
      <w:r w:rsidRPr="00686922">
        <w:rPr>
          <w:sz w:val="20"/>
          <w:szCs w:val="20"/>
          <w:lang w:val="en-GB"/>
        </w:rPr>
        <w:t>Association Solidarité Internationale pour</w:t>
      </w:r>
      <w:r w:rsidR="00686922">
        <w:rPr>
          <w:sz w:val="20"/>
          <w:szCs w:val="20"/>
          <w:lang w:val="en-GB"/>
        </w:rPr>
        <w:br/>
      </w:r>
      <w:r w:rsidRPr="00686922">
        <w:rPr>
          <w:sz w:val="20"/>
          <w:szCs w:val="20"/>
          <w:lang w:val="en-GB"/>
        </w:rPr>
        <w:t xml:space="preserve"> l’Afrique (SIA)</w:t>
      </w:r>
    </w:p>
    <w:p w14:paraId="61698E33" w14:textId="77777777" w:rsidR="00794D56" w:rsidRPr="00686922" w:rsidRDefault="00794D56" w:rsidP="000571B6">
      <w:pPr>
        <w:ind w:right="348"/>
        <w:rPr>
          <w:sz w:val="20"/>
          <w:szCs w:val="20"/>
          <w:lang w:val="en-GB"/>
        </w:rPr>
      </w:pPr>
      <w:r w:rsidRPr="00686922">
        <w:rPr>
          <w:sz w:val="20"/>
          <w:szCs w:val="20"/>
          <w:lang w:val="en-GB"/>
        </w:rPr>
        <w:t>Association Thendral</w:t>
      </w:r>
    </w:p>
    <w:p w14:paraId="29811C4F" w14:textId="77777777" w:rsidR="00794D56" w:rsidRPr="00686922" w:rsidRDefault="00794D56" w:rsidP="000571B6">
      <w:pPr>
        <w:ind w:right="348"/>
        <w:rPr>
          <w:sz w:val="20"/>
          <w:szCs w:val="20"/>
          <w:lang w:val="en-GB"/>
        </w:rPr>
      </w:pPr>
      <w:r w:rsidRPr="00686922">
        <w:rPr>
          <w:sz w:val="20"/>
          <w:szCs w:val="20"/>
          <w:lang w:val="en-GB"/>
        </w:rPr>
        <w:t>Associazione Comunita Papa Giovanni XXIII</w:t>
      </w:r>
    </w:p>
    <w:p w14:paraId="5927DE1C" w14:textId="77777777" w:rsidR="00794D56" w:rsidRPr="00686922" w:rsidRDefault="00794D56" w:rsidP="000571B6">
      <w:pPr>
        <w:ind w:right="348"/>
        <w:rPr>
          <w:sz w:val="20"/>
          <w:szCs w:val="20"/>
          <w:lang w:val="en-GB"/>
        </w:rPr>
      </w:pPr>
      <w:r w:rsidRPr="00686922">
        <w:rPr>
          <w:sz w:val="20"/>
          <w:szCs w:val="20"/>
          <w:lang w:val="en-GB"/>
        </w:rPr>
        <w:t>Assyrian Aid Society - Iraq</w:t>
      </w:r>
    </w:p>
    <w:p w14:paraId="6980C916" w14:textId="77777777" w:rsidR="00794D56" w:rsidRPr="00686922" w:rsidRDefault="00794D56" w:rsidP="000571B6">
      <w:pPr>
        <w:ind w:right="348"/>
        <w:rPr>
          <w:sz w:val="20"/>
          <w:szCs w:val="20"/>
          <w:lang w:val="en-GB"/>
        </w:rPr>
      </w:pPr>
      <w:r w:rsidRPr="00686922">
        <w:rPr>
          <w:sz w:val="20"/>
          <w:szCs w:val="20"/>
          <w:lang w:val="en-GB"/>
        </w:rPr>
        <w:t>Atheist Alliance International</w:t>
      </w:r>
    </w:p>
    <w:p w14:paraId="3B40EE8E" w14:textId="667AB513" w:rsidR="00794D56" w:rsidRPr="00686922" w:rsidRDefault="00794D56" w:rsidP="000571B6">
      <w:pPr>
        <w:ind w:right="348"/>
        <w:rPr>
          <w:sz w:val="20"/>
          <w:szCs w:val="20"/>
          <w:lang w:val="en-GB"/>
        </w:rPr>
      </w:pPr>
      <w:r w:rsidRPr="00686922">
        <w:rPr>
          <w:sz w:val="20"/>
          <w:szCs w:val="20"/>
          <w:lang w:val="en-GB"/>
        </w:rPr>
        <w:t>Badil Resource Center for Palestinian Residency</w:t>
      </w:r>
      <w:r w:rsidR="00686922">
        <w:rPr>
          <w:sz w:val="20"/>
          <w:szCs w:val="20"/>
          <w:lang w:val="en-GB"/>
        </w:rPr>
        <w:br/>
      </w:r>
      <w:r w:rsidRPr="00686922">
        <w:rPr>
          <w:sz w:val="20"/>
          <w:szCs w:val="20"/>
          <w:lang w:val="en-GB"/>
        </w:rPr>
        <w:t xml:space="preserve"> and Resource Rights</w:t>
      </w:r>
    </w:p>
    <w:p w14:paraId="450C8C1C" w14:textId="77777777" w:rsidR="00794D56" w:rsidRPr="00686922" w:rsidRDefault="00794D56" w:rsidP="000571B6">
      <w:pPr>
        <w:ind w:right="348"/>
        <w:rPr>
          <w:sz w:val="20"/>
          <w:szCs w:val="20"/>
          <w:lang w:val="en-GB"/>
        </w:rPr>
      </w:pPr>
      <w:r w:rsidRPr="00686922">
        <w:rPr>
          <w:sz w:val="20"/>
          <w:szCs w:val="20"/>
          <w:lang w:val="en-GB"/>
        </w:rPr>
        <w:t>Baha’i International Community</w:t>
      </w:r>
    </w:p>
    <w:p w14:paraId="0D67F5CD" w14:textId="77777777" w:rsidR="00794D56" w:rsidRPr="00686922" w:rsidRDefault="00794D56" w:rsidP="000571B6">
      <w:pPr>
        <w:ind w:right="348"/>
        <w:rPr>
          <w:sz w:val="20"/>
          <w:szCs w:val="20"/>
          <w:lang w:val="en-GB"/>
        </w:rPr>
      </w:pPr>
      <w:r w:rsidRPr="00686922">
        <w:rPr>
          <w:sz w:val="20"/>
          <w:szCs w:val="20"/>
          <w:lang w:val="en-GB"/>
        </w:rPr>
        <w:t>Barzani Charity Foundation / BCF</w:t>
      </w:r>
    </w:p>
    <w:p w14:paraId="7E8D0A1C" w14:textId="60DC4C2D" w:rsidR="00794D56" w:rsidRPr="00686922" w:rsidRDefault="00794D56" w:rsidP="000571B6">
      <w:pPr>
        <w:ind w:right="348"/>
        <w:rPr>
          <w:sz w:val="20"/>
          <w:szCs w:val="20"/>
          <w:lang w:val="en-GB"/>
        </w:rPr>
      </w:pPr>
      <w:r w:rsidRPr="00686922">
        <w:rPr>
          <w:sz w:val="20"/>
          <w:szCs w:val="20"/>
          <w:lang w:val="en-GB"/>
        </w:rPr>
        <w:t>Beijing Children’s Legal Aid and Research Center</w:t>
      </w:r>
    </w:p>
    <w:p w14:paraId="6DFCBA0A" w14:textId="0F783341" w:rsidR="00794D56" w:rsidRPr="00686922" w:rsidRDefault="00794D56" w:rsidP="000571B6">
      <w:pPr>
        <w:ind w:right="348"/>
        <w:rPr>
          <w:sz w:val="20"/>
          <w:szCs w:val="20"/>
          <w:lang w:val="en-GB"/>
        </w:rPr>
      </w:pPr>
      <w:r w:rsidRPr="00686922">
        <w:rPr>
          <w:sz w:val="20"/>
          <w:szCs w:val="20"/>
          <w:lang w:val="en-GB"/>
        </w:rPr>
        <w:t>Beijing NGO Association for International</w:t>
      </w:r>
      <w:r w:rsidR="00686922">
        <w:rPr>
          <w:sz w:val="20"/>
          <w:szCs w:val="20"/>
          <w:lang w:val="en-GB"/>
        </w:rPr>
        <w:br/>
      </w:r>
      <w:r w:rsidRPr="00686922">
        <w:rPr>
          <w:sz w:val="20"/>
          <w:szCs w:val="20"/>
          <w:lang w:val="en-GB"/>
        </w:rPr>
        <w:t xml:space="preserve"> Exchanges</w:t>
      </w:r>
    </w:p>
    <w:p w14:paraId="4BF43D1C" w14:textId="0E434CA8" w:rsidR="00794D56" w:rsidRPr="00794D56" w:rsidRDefault="00794D56" w:rsidP="000571B6">
      <w:pPr>
        <w:ind w:right="348"/>
        <w:rPr>
          <w:sz w:val="20"/>
          <w:szCs w:val="20"/>
        </w:rPr>
      </w:pPr>
      <w:r w:rsidRPr="00686922">
        <w:rPr>
          <w:sz w:val="20"/>
          <w:szCs w:val="20"/>
          <w:lang w:val="en-GB"/>
        </w:rPr>
        <w:t>Beijing Zhicheng Migrant Workers’ Legal Aid</w:t>
      </w:r>
      <w:r w:rsidRPr="00794D56">
        <w:rPr>
          <w:sz w:val="20"/>
          <w:szCs w:val="20"/>
        </w:rPr>
        <w:t xml:space="preserve"> and</w:t>
      </w:r>
      <w:r w:rsidR="00686922">
        <w:rPr>
          <w:sz w:val="20"/>
          <w:szCs w:val="20"/>
        </w:rPr>
        <w:br/>
      </w:r>
      <w:r w:rsidRPr="00794D56">
        <w:rPr>
          <w:sz w:val="20"/>
          <w:szCs w:val="20"/>
        </w:rPr>
        <w:t xml:space="preserve"> Research Center</w:t>
      </w:r>
    </w:p>
    <w:p w14:paraId="73D92C3E" w14:textId="77777777" w:rsidR="00794D56" w:rsidRPr="00686922" w:rsidRDefault="00794D56" w:rsidP="000571B6">
      <w:pPr>
        <w:ind w:right="348"/>
        <w:rPr>
          <w:sz w:val="20"/>
          <w:szCs w:val="20"/>
          <w:lang w:val="en-GB"/>
        </w:rPr>
      </w:pPr>
      <w:r w:rsidRPr="00686922">
        <w:rPr>
          <w:sz w:val="20"/>
          <w:szCs w:val="20"/>
          <w:lang w:val="en-GB"/>
        </w:rPr>
        <w:t>B’nai B’rith</w:t>
      </w:r>
    </w:p>
    <w:p w14:paraId="6D8334E4" w14:textId="77777777" w:rsidR="00794D56" w:rsidRPr="00686922" w:rsidRDefault="00794D56" w:rsidP="000571B6">
      <w:pPr>
        <w:ind w:right="348"/>
        <w:rPr>
          <w:sz w:val="20"/>
          <w:szCs w:val="20"/>
          <w:lang w:val="en-GB"/>
        </w:rPr>
      </w:pPr>
      <w:r w:rsidRPr="00686922">
        <w:rPr>
          <w:sz w:val="20"/>
          <w:szCs w:val="20"/>
          <w:lang w:val="en-GB"/>
        </w:rPr>
        <w:t>British Humanist Association</w:t>
      </w:r>
    </w:p>
    <w:p w14:paraId="1E70D4E2" w14:textId="639D8CD0" w:rsidR="00794D56" w:rsidRPr="00686922" w:rsidRDefault="00794D56" w:rsidP="000571B6">
      <w:pPr>
        <w:ind w:right="348"/>
        <w:rPr>
          <w:sz w:val="20"/>
          <w:szCs w:val="20"/>
          <w:lang w:val="en-GB"/>
        </w:rPr>
      </w:pPr>
      <w:r w:rsidRPr="00686922">
        <w:rPr>
          <w:sz w:val="20"/>
          <w:szCs w:val="20"/>
          <w:lang w:val="en-GB"/>
        </w:rPr>
        <w:t>Buddies Association of Volunteers for Orphans,</w:t>
      </w:r>
      <w:r w:rsidR="00686922">
        <w:rPr>
          <w:sz w:val="20"/>
          <w:szCs w:val="20"/>
          <w:lang w:val="en-GB"/>
        </w:rPr>
        <w:br/>
      </w:r>
      <w:r w:rsidRPr="00686922">
        <w:rPr>
          <w:sz w:val="20"/>
          <w:szCs w:val="20"/>
          <w:lang w:val="en-GB"/>
        </w:rPr>
        <w:t xml:space="preserve"> Disabled and Abandoned Children</w:t>
      </w:r>
    </w:p>
    <w:p w14:paraId="69A3A6BC" w14:textId="77777777" w:rsidR="00794D56" w:rsidRPr="00686922" w:rsidRDefault="00794D56" w:rsidP="000571B6">
      <w:pPr>
        <w:ind w:right="348"/>
        <w:rPr>
          <w:sz w:val="20"/>
          <w:szCs w:val="20"/>
          <w:lang w:val="en-GB"/>
        </w:rPr>
      </w:pPr>
      <w:r w:rsidRPr="00686922">
        <w:rPr>
          <w:sz w:val="20"/>
          <w:szCs w:val="20"/>
          <w:lang w:val="en-GB"/>
        </w:rPr>
        <w:t>Cairo Institute for Human Rights Studies</w:t>
      </w:r>
    </w:p>
    <w:p w14:paraId="2F1BFB0A" w14:textId="7EA40578" w:rsidR="00794D56" w:rsidRPr="00686922" w:rsidRDefault="00794D56" w:rsidP="000571B6">
      <w:pPr>
        <w:ind w:right="348"/>
        <w:rPr>
          <w:sz w:val="20"/>
          <w:szCs w:val="20"/>
          <w:lang w:val="en-GB"/>
        </w:rPr>
      </w:pPr>
      <w:r w:rsidRPr="00686922">
        <w:rPr>
          <w:sz w:val="20"/>
          <w:szCs w:val="20"/>
          <w:lang w:val="en-GB"/>
        </w:rPr>
        <w:t>Campagne Internationale pour l’Abolition des</w:t>
      </w:r>
      <w:r w:rsidR="00686922">
        <w:rPr>
          <w:sz w:val="20"/>
          <w:szCs w:val="20"/>
          <w:lang w:val="en-GB"/>
        </w:rPr>
        <w:br/>
      </w:r>
      <w:r w:rsidRPr="00686922">
        <w:rPr>
          <w:sz w:val="20"/>
          <w:szCs w:val="20"/>
          <w:lang w:val="en-GB"/>
        </w:rPr>
        <w:t xml:space="preserve"> Armes Nucléaires</w:t>
      </w:r>
    </w:p>
    <w:p w14:paraId="7A70A006" w14:textId="749E9F2C" w:rsidR="00794D56" w:rsidRPr="00686922" w:rsidRDefault="00794D56" w:rsidP="000571B6">
      <w:pPr>
        <w:ind w:right="348"/>
        <w:rPr>
          <w:sz w:val="20"/>
          <w:szCs w:val="20"/>
          <w:lang w:val="en-GB"/>
        </w:rPr>
      </w:pPr>
      <w:r w:rsidRPr="00686922">
        <w:rPr>
          <w:sz w:val="20"/>
          <w:szCs w:val="20"/>
          <w:lang w:val="en-GB"/>
        </w:rPr>
        <w:t xml:space="preserve">Campaign for Innocent Victims in </w:t>
      </w:r>
      <w:r w:rsidR="00686922">
        <w:rPr>
          <w:sz w:val="20"/>
          <w:szCs w:val="20"/>
          <w:lang w:val="en-GB"/>
        </w:rPr>
        <w:t>conflict</w:t>
      </w:r>
      <w:r w:rsidR="00686922">
        <w:rPr>
          <w:sz w:val="20"/>
          <w:szCs w:val="20"/>
          <w:lang w:val="en-GB"/>
        </w:rPr>
        <w:br/>
      </w:r>
      <w:r w:rsidRPr="00686922">
        <w:rPr>
          <w:sz w:val="20"/>
          <w:szCs w:val="20"/>
          <w:lang w:val="en-GB"/>
        </w:rPr>
        <w:t xml:space="preserve"> (CIVIC)</w:t>
      </w:r>
    </w:p>
    <w:p w14:paraId="4DB7F898" w14:textId="77777777" w:rsidR="00794D56" w:rsidRPr="00686922" w:rsidRDefault="00794D56" w:rsidP="000571B6">
      <w:pPr>
        <w:ind w:right="348"/>
        <w:rPr>
          <w:sz w:val="20"/>
          <w:szCs w:val="20"/>
          <w:lang w:val="en-GB"/>
        </w:rPr>
      </w:pPr>
      <w:r w:rsidRPr="00686922">
        <w:rPr>
          <w:sz w:val="20"/>
          <w:szCs w:val="20"/>
          <w:lang w:val="en-GB"/>
        </w:rPr>
        <w:t>Canners International Permanent Committee</w:t>
      </w:r>
    </w:p>
    <w:p w14:paraId="228CADCF" w14:textId="66953AD2" w:rsidR="00794D56" w:rsidRPr="00686922" w:rsidRDefault="00794D56" w:rsidP="000571B6">
      <w:pPr>
        <w:ind w:right="348"/>
        <w:rPr>
          <w:sz w:val="20"/>
          <w:szCs w:val="20"/>
          <w:lang w:val="en-GB"/>
        </w:rPr>
      </w:pPr>
      <w:r w:rsidRPr="00686922">
        <w:rPr>
          <w:sz w:val="20"/>
          <w:szCs w:val="20"/>
          <w:lang w:val="en-GB"/>
        </w:rPr>
        <w:t>Caritas Internationalis (International Confederation</w:t>
      </w:r>
      <w:r w:rsidR="00686922">
        <w:rPr>
          <w:sz w:val="20"/>
          <w:szCs w:val="20"/>
          <w:lang w:val="en-GB"/>
        </w:rPr>
        <w:br/>
      </w:r>
      <w:r w:rsidRPr="00686922">
        <w:rPr>
          <w:sz w:val="20"/>
          <w:szCs w:val="20"/>
          <w:lang w:val="en-GB"/>
        </w:rPr>
        <w:t xml:space="preserve"> of Catholic Charities)</w:t>
      </w:r>
    </w:p>
    <w:p w14:paraId="09F4B019" w14:textId="77777777" w:rsidR="00794D56" w:rsidRPr="00686922" w:rsidRDefault="00794D56" w:rsidP="000571B6">
      <w:pPr>
        <w:ind w:right="348"/>
        <w:rPr>
          <w:sz w:val="20"/>
          <w:szCs w:val="20"/>
          <w:lang w:val="en-GB"/>
        </w:rPr>
      </w:pPr>
      <w:r w:rsidRPr="00686922">
        <w:rPr>
          <w:sz w:val="20"/>
          <w:szCs w:val="20"/>
          <w:lang w:val="en-GB"/>
        </w:rPr>
        <w:t>Catholic International Education Office</w:t>
      </w:r>
    </w:p>
    <w:p w14:paraId="0B147704" w14:textId="77777777" w:rsidR="00794D56" w:rsidRPr="00686922" w:rsidRDefault="00794D56" w:rsidP="000571B6">
      <w:pPr>
        <w:ind w:right="348"/>
        <w:rPr>
          <w:sz w:val="20"/>
          <w:szCs w:val="20"/>
          <w:lang w:val="en-GB"/>
        </w:rPr>
      </w:pPr>
      <w:r w:rsidRPr="00686922">
        <w:rPr>
          <w:sz w:val="20"/>
          <w:szCs w:val="20"/>
          <w:lang w:val="en-GB"/>
        </w:rPr>
        <w:t>Center for Africa Development and Progress</w:t>
      </w:r>
    </w:p>
    <w:p w14:paraId="41B6116A" w14:textId="77777777" w:rsidR="00686922" w:rsidRDefault="00794D56" w:rsidP="000571B6">
      <w:pPr>
        <w:ind w:right="348"/>
        <w:rPr>
          <w:sz w:val="20"/>
          <w:szCs w:val="20"/>
        </w:rPr>
      </w:pPr>
      <w:r w:rsidRPr="00686922">
        <w:rPr>
          <w:sz w:val="20"/>
          <w:szCs w:val="20"/>
          <w:lang w:val="en-GB"/>
        </w:rPr>
        <w:t>Center for Environmental and Management</w:t>
      </w:r>
      <w:r w:rsidR="00686922">
        <w:rPr>
          <w:sz w:val="20"/>
          <w:szCs w:val="20"/>
          <w:lang w:val="en-GB"/>
        </w:rPr>
        <w:br/>
      </w:r>
      <w:r w:rsidRPr="00794D56">
        <w:rPr>
          <w:sz w:val="20"/>
          <w:szCs w:val="20"/>
        </w:rPr>
        <w:t xml:space="preserve"> Studies</w:t>
      </w:r>
    </w:p>
    <w:p w14:paraId="1640AE4D" w14:textId="77777777" w:rsidR="00686922" w:rsidRDefault="00794D56" w:rsidP="000571B6">
      <w:pPr>
        <w:ind w:right="348"/>
        <w:rPr>
          <w:sz w:val="20"/>
          <w:szCs w:val="20"/>
        </w:rPr>
      </w:pPr>
      <w:r w:rsidRPr="00794D56">
        <w:rPr>
          <w:sz w:val="20"/>
          <w:szCs w:val="20"/>
        </w:rPr>
        <w:t>Center for Global Nonkilling</w:t>
      </w:r>
    </w:p>
    <w:p w14:paraId="562BAB75" w14:textId="77777777" w:rsidR="00686922" w:rsidRDefault="00794D56" w:rsidP="00545AAB">
      <w:pPr>
        <w:suppressAutoHyphens/>
        <w:spacing w:line="240" w:lineRule="atLeast"/>
        <w:ind w:left="1134"/>
        <w:rPr>
          <w:sz w:val="20"/>
          <w:szCs w:val="20"/>
        </w:rPr>
      </w:pPr>
      <w:r w:rsidRPr="00794D56">
        <w:rPr>
          <w:sz w:val="20"/>
          <w:szCs w:val="20"/>
        </w:rPr>
        <w:lastRenderedPageBreak/>
        <w:t>Center for Inquiry</w:t>
      </w:r>
    </w:p>
    <w:p w14:paraId="18DBA7EE" w14:textId="50E4B1F5" w:rsidR="00794D56" w:rsidRPr="00794D56" w:rsidRDefault="00794D56" w:rsidP="00545AAB">
      <w:pPr>
        <w:suppressAutoHyphens/>
        <w:spacing w:line="240" w:lineRule="atLeast"/>
        <w:ind w:left="1134"/>
        <w:rPr>
          <w:sz w:val="20"/>
          <w:szCs w:val="20"/>
        </w:rPr>
      </w:pPr>
      <w:r w:rsidRPr="00794D56">
        <w:rPr>
          <w:sz w:val="20"/>
          <w:szCs w:val="20"/>
        </w:rPr>
        <w:t>Center for Reproductive Rights, Inc.,</w:t>
      </w:r>
      <w:r w:rsidR="00545AAB">
        <w:rPr>
          <w:sz w:val="20"/>
          <w:szCs w:val="20"/>
        </w:rPr>
        <w:br/>
        <w:t xml:space="preserve"> </w:t>
      </w:r>
      <w:r w:rsidRPr="00794D56">
        <w:rPr>
          <w:sz w:val="20"/>
          <w:szCs w:val="20"/>
        </w:rPr>
        <w:t>The</w:t>
      </w:r>
    </w:p>
    <w:p w14:paraId="0EE45F83" w14:textId="54A6F423" w:rsidR="00794D56" w:rsidRPr="00794D56" w:rsidRDefault="00794D56" w:rsidP="000571B6">
      <w:pPr>
        <w:suppressAutoHyphens/>
        <w:spacing w:line="240" w:lineRule="atLeast"/>
        <w:ind w:left="1134"/>
        <w:rPr>
          <w:sz w:val="20"/>
          <w:szCs w:val="20"/>
        </w:rPr>
      </w:pPr>
      <w:r w:rsidRPr="00794D56">
        <w:rPr>
          <w:sz w:val="20"/>
          <w:szCs w:val="20"/>
        </w:rPr>
        <w:t>Centre de Documentation, de Recherche</w:t>
      </w:r>
      <w:r w:rsidR="00686922">
        <w:rPr>
          <w:sz w:val="20"/>
          <w:szCs w:val="20"/>
        </w:rPr>
        <w:br/>
      </w:r>
      <w:r w:rsidRPr="00794D56">
        <w:rPr>
          <w:sz w:val="20"/>
          <w:szCs w:val="20"/>
        </w:rPr>
        <w:t xml:space="preserve"> </w:t>
      </w:r>
      <w:proofErr w:type="gramStart"/>
      <w:r w:rsidRPr="00794D56">
        <w:rPr>
          <w:sz w:val="20"/>
          <w:szCs w:val="20"/>
        </w:rPr>
        <w:t>et</w:t>
      </w:r>
      <w:proofErr w:type="gramEnd"/>
      <w:r w:rsidRPr="00794D56">
        <w:rPr>
          <w:sz w:val="20"/>
          <w:szCs w:val="20"/>
        </w:rPr>
        <w:t xml:space="preserve"> d’Information des Peuples</w:t>
      </w:r>
      <w:r w:rsidR="00686922">
        <w:rPr>
          <w:sz w:val="20"/>
          <w:szCs w:val="20"/>
        </w:rPr>
        <w:br/>
      </w:r>
      <w:r w:rsidRPr="00794D56">
        <w:rPr>
          <w:sz w:val="20"/>
          <w:szCs w:val="20"/>
        </w:rPr>
        <w:t xml:space="preserve"> Autochtones (doCip)</w:t>
      </w:r>
    </w:p>
    <w:p w14:paraId="6EE39596" w14:textId="42638B65" w:rsidR="00794D56" w:rsidRPr="00794D56" w:rsidRDefault="00794D56" w:rsidP="000571B6">
      <w:pPr>
        <w:suppressAutoHyphens/>
        <w:spacing w:line="240" w:lineRule="atLeast"/>
        <w:ind w:left="1134"/>
        <w:rPr>
          <w:sz w:val="20"/>
          <w:szCs w:val="20"/>
        </w:rPr>
      </w:pPr>
      <w:r w:rsidRPr="00794D56">
        <w:rPr>
          <w:sz w:val="20"/>
          <w:szCs w:val="20"/>
        </w:rPr>
        <w:t>Centre Europe - Tiers Monde – Europe -</w:t>
      </w:r>
      <w:r w:rsidR="00686922">
        <w:rPr>
          <w:sz w:val="20"/>
          <w:szCs w:val="20"/>
        </w:rPr>
        <w:br/>
      </w:r>
      <w:r w:rsidRPr="00794D56">
        <w:rPr>
          <w:sz w:val="20"/>
          <w:szCs w:val="20"/>
        </w:rPr>
        <w:t xml:space="preserve"> Third World Centre</w:t>
      </w:r>
    </w:p>
    <w:p w14:paraId="7A8A5C69" w14:textId="2A5E205F" w:rsidR="00794D56" w:rsidRPr="00794D56" w:rsidRDefault="00794D56" w:rsidP="000571B6">
      <w:pPr>
        <w:suppressAutoHyphens/>
        <w:spacing w:line="240" w:lineRule="atLeast"/>
        <w:ind w:left="1134"/>
        <w:rPr>
          <w:sz w:val="20"/>
          <w:szCs w:val="20"/>
        </w:rPr>
      </w:pPr>
      <w:r w:rsidRPr="00794D56">
        <w:rPr>
          <w:sz w:val="20"/>
          <w:szCs w:val="20"/>
        </w:rPr>
        <w:t>Centre for Gender Justice and Women</w:t>
      </w:r>
      <w:r w:rsidR="00686922">
        <w:rPr>
          <w:sz w:val="20"/>
          <w:szCs w:val="20"/>
        </w:rPr>
        <w:br/>
      </w:r>
      <w:r w:rsidRPr="00794D56">
        <w:rPr>
          <w:sz w:val="20"/>
          <w:szCs w:val="20"/>
        </w:rPr>
        <w:t xml:space="preserve"> Empowerment</w:t>
      </w:r>
    </w:p>
    <w:p w14:paraId="29081A30" w14:textId="7916E7C3" w:rsidR="00794D56" w:rsidRPr="00794D56" w:rsidRDefault="00794D56" w:rsidP="000571B6">
      <w:pPr>
        <w:suppressAutoHyphens/>
        <w:spacing w:line="240" w:lineRule="atLeast"/>
        <w:ind w:left="1134"/>
        <w:rPr>
          <w:sz w:val="20"/>
          <w:szCs w:val="20"/>
        </w:rPr>
      </w:pPr>
      <w:r w:rsidRPr="00794D56">
        <w:rPr>
          <w:sz w:val="20"/>
          <w:szCs w:val="20"/>
        </w:rPr>
        <w:t>Centre for Human Rights and Peace</w:t>
      </w:r>
      <w:r w:rsidR="00686922">
        <w:rPr>
          <w:sz w:val="20"/>
          <w:szCs w:val="20"/>
        </w:rPr>
        <w:br/>
      </w:r>
      <w:r w:rsidRPr="00794D56">
        <w:rPr>
          <w:sz w:val="20"/>
          <w:szCs w:val="20"/>
        </w:rPr>
        <w:t xml:space="preserve"> Advocacy</w:t>
      </w:r>
    </w:p>
    <w:p w14:paraId="0076822A" w14:textId="5CF52819" w:rsidR="00794D56" w:rsidRPr="00794D56" w:rsidRDefault="00794D56" w:rsidP="000571B6">
      <w:pPr>
        <w:suppressAutoHyphens/>
        <w:spacing w:line="240" w:lineRule="atLeast"/>
        <w:ind w:left="1134"/>
        <w:rPr>
          <w:sz w:val="20"/>
          <w:szCs w:val="20"/>
        </w:rPr>
      </w:pPr>
      <w:r w:rsidRPr="00794D56">
        <w:rPr>
          <w:sz w:val="20"/>
          <w:szCs w:val="20"/>
        </w:rPr>
        <w:t xml:space="preserve">Centre pour les Droits Civils </w:t>
      </w:r>
      <w:proofErr w:type="gramStart"/>
      <w:r w:rsidRPr="00794D56">
        <w:rPr>
          <w:sz w:val="20"/>
          <w:szCs w:val="20"/>
        </w:rPr>
        <w:t>et</w:t>
      </w:r>
      <w:proofErr w:type="gramEnd"/>
      <w:r w:rsidR="00545AAB">
        <w:rPr>
          <w:sz w:val="20"/>
          <w:szCs w:val="20"/>
        </w:rPr>
        <w:br/>
      </w:r>
      <w:r w:rsidRPr="00794D56">
        <w:rPr>
          <w:sz w:val="20"/>
          <w:szCs w:val="20"/>
        </w:rPr>
        <w:t xml:space="preserve"> Politiques – Centre CPR</w:t>
      </w:r>
    </w:p>
    <w:p w14:paraId="19B2AE07" w14:textId="21BF7E69" w:rsidR="00794D56" w:rsidRPr="00794D56" w:rsidRDefault="00794D56" w:rsidP="000571B6">
      <w:pPr>
        <w:suppressAutoHyphens/>
        <w:spacing w:line="240" w:lineRule="atLeast"/>
        <w:ind w:left="1134"/>
        <w:rPr>
          <w:sz w:val="20"/>
          <w:szCs w:val="20"/>
        </w:rPr>
      </w:pPr>
      <w:r w:rsidRPr="00794D56">
        <w:rPr>
          <w:sz w:val="20"/>
          <w:szCs w:val="20"/>
        </w:rPr>
        <w:t>Centro de Estudios Legales y Sociales</w:t>
      </w:r>
      <w:r w:rsidR="00686922">
        <w:rPr>
          <w:sz w:val="20"/>
          <w:szCs w:val="20"/>
        </w:rPr>
        <w:br/>
      </w:r>
      <w:r w:rsidRPr="00794D56">
        <w:rPr>
          <w:sz w:val="20"/>
          <w:szCs w:val="20"/>
        </w:rPr>
        <w:t xml:space="preserve"> (CELS) Asociación Civil</w:t>
      </w:r>
    </w:p>
    <w:p w14:paraId="64D6BDC5" w14:textId="310A151F" w:rsidR="00794D56" w:rsidRPr="00794D56" w:rsidRDefault="00794D56" w:rsidP="000571B6">
      <w:pPr>
        <w:suppressAutoHyphens/>
        <w:spacing w:line="240" w:lineRule="atLeast"/>
        <w:ind w:left="1134"/>
        <w:rPr>
          <w:sz w:val="20"/>
          <w:szCs w:val="20"/>
        </w:rPr>
      </w:pPr>
      <w:r w:rsidRPr="00794D56">
        <w:rPr>
          <w:sz w:val="20"/>
          <w:szCs w:val="20"/>
        </w:rPr>
        <w:t>Charitable Institute for Protecting Social</w:t>
      </w:r>
      <w:r w:rsidR="00686922">
        <w:rPr>
          <w:sz w:val="20"/>
          <w:szCs w:val="20"/>
        </w:rPr>
        <w:br/>
      </w:r>
      <w:r w:rsidRPr="00794D56">
        <w:rPr>
          <w:sz w:val="20"/>
          <w:szCs w:val="20"/>
        </w:rPr>
        <w:t xml:space="preserve"> Victims</w:t>
      </w:r>
    </w:p>
    <w:p w14:paraId="1D3B12E6" w14:textId="77777777" w:rsidR="00794D56" w:rsidRPr="00794D56" w:rsidRDefault="00794D56" w:rsidP="000571B6">
      <w:pPr>
        <w:suppressAutoHyphens/>
        <w:spacing w:line="240" w:lineRule="atLeast"/>
        <w:ind w:left="1134"/>
        <w:rPr>
          <w:sz w:val="20"/>
          <w:szCs w:val="20"/>
        </w:rPr>
      </w:pPr>
      <w:r w:rsidRPr="00794D56">
        <w:rPr>
          <w:sz w:val="20"/>
          <w:szCs w:val="20"/>
        </w:rPr>
        <w:t>Child Development Foundation</w:t>
      </w:r>
    </w:p>
    <w:p w14:paraId="7E50BD58" w14:textId="77777777" w:rsidR="00794D56" w:rsidRPr="00794D56" w:rsidRDefault="00794D56" w:rsidP="000571B6">
      <w:pPr>
        <w:suppressAutoHyphens/>
        <w:spacing w:line="240" w:lineRule="atLeast"/>
        <w:ind w:left="1134"/>
        <w:rPr>
          <w:sz w:val="20"/>
          <w:szCs w:val="20"/>
        </w:rPr>
      </w:pPr>
      <w:r w:rsidRPr="00794D56">
        <w:rPr>
          <w:sz w:val="20"/>
          <w:szCs w:val="20"/>
        </w:rPr>
        <w:t>Child Foundation</w:t>
      </w:r>
    </w:p>
    <w:p w14:paraId="7A7CD738" w14:textId="77777777" w:rsidR="00794D56" w:rsidRPr="00794D56" w:rsidRDefault="00794D56" w:rsidP="000571B6">
      <w:pPr>
        <w:suppressAutoHyphens/>
        <w:spacing w:line="240" w:lineRule="atLeast"/>
        <w:ind w:left="1134"/>
        <w:rPr>
          <w:sz w:val="20"/>
          <w:szCs w:val="20"/>
        </w:rPr>
      </w:pPr>
      <w:r w:rsidRPr="00794D56">
        <w:rPr>
          <w:sz w:val="20"/>
          <w:szCs w:val="20"/>
        </w:rPr>
        <w:t>Child Rights Connect</w:t>
      </w:r>
    </w:p>
    <w:p w14:paraId="22598219" w14:textId="77777777" w:rsidR="00794D56" w:rsidRPr="00794D56" w:rsidRDefault="00794D56" w:rsidP="000571B6">
      <w:pPr>
        <w:suppressAutoHyphens/>
        <w:spacing w:line="240" w:lineRule="atLeast"/>
        <w:ind w:left="1134"/>
        <w:rPr>
          <w:sz w:val="20"/>
          <w:szCs w:val="20"/>
        </w:rPr>
      </w:pPr>
      <w:r w:rsidRPr="00794D56">
        <w:rPr>
          <w:sz w:val="20"/>
          <w:szCs w:val="20"/>
        </w:rPr>
        <w:t>Child Soldiers International</w:t>
      </w:r>
    </w:p>
    <w:p w14:paraId="6C14FDF2" w14:textId="78FD8F24" w:rsidR="00794D56" w:rsidRPr="00794D56" w:rsidRDefault="00794D56" w:rsidP="000571B6">
      <w:pPr>
        <w:suppressAutoHyphens/>
        <w:spacing w:line="240" w:lineRule="atLeast"/>
        <w:ind w:left="1134"/>
        <w:rPr>
          <w:sz w:val="20"/>
          <w:szCs w:val="20"/>
        </w:rPr>
      </w:pPr>
      <w:r w:rsidRPr="00794D56">
        <w:rPr>
          <w:sz w:val="20"/>
          <w:szCs w:val="20"/>
        </w:rPr>
        <w:t>China Association for Preservation and</w:t>
      </w:r>
      <w:r w:rsidR="00686922">
        <w:rPr>
          <w:sz w:val="20"/>
          <w:szCs w:val="20"/>
        </w:rPr>
        <w:br/>
      </w:r>
      <w:r w:rsidRPr="00794D56">
        <w:rPr>
          <w:sz w:val="20"/>
          <w:szCs w:val="20"/>
        </w:rPr>
        <w:t xml:space="preserve"> Development of Tibetian Culture</w:t>
      </w:r>
      <w:r w:rsidR="00686922">
        <w:rPr>
          <w:sz w:val="20"/>
          <w:szCs w:val="20"/>
        </w:rPr>
        <w:br/>
      </w:r>
      <w:r w:rsidRPr="00794D56">
        <w:rPr>
          <w:sz w:val="20"/>
          <w:szCs w:val="20"/>
        </w:rPr>
        <w:t xml:space="preserve"> (CAPDTC)</w:t>
      </w:r>
    </w:p>
    <w:p w14:paraId="7C5F2A1E" w14:textId="77777777" w:rsidR="00794D56" w:rsidRPr="00794D56" w:rsidRDefault="00794D56" w:rsidP="000571B6">
      <w:pPr>
        <w:suppressAutoHyphens/>
        <w:spacing w:line="240" w:lineRule="atLeast"/>
        <w:ind w:left="1134"/>
        <w:rPr>
          <w:sz w:val="20"/>
          <w:szCs w:val="20"/>
        </w:rPr>
      </w:pPr>
      <w:r w:rsidRPr="00794D56">
        <w:rPr>
          <w:sz w:val="20"/>
          <w:szCs w:val="20"/>
        </w:rPr>
        <w:t>China Disabled Person’s Federation</w:t>
      </w:r>
    </w:p>
    <w:p w14:paraId="69DFAED1" w14:textId="77777777" w:rsidR="00794D56" w:rsidRPr="00794D56" w:rsidRDefault="00794D56" w:rsidP="000571B6">
      <w:pPr>
        <w:suppressAutoHyphens/>
        <w:spacing w:line="240" w:lineRule="atLeast"/>
        <w:ind w:left="1134"/>
        <w:rPr>
          <w:sz w:val="20"/>
          <w:szCs w:val="20"/>
        </w:rPr>
      </w:pPr>
      <w:r w:rsidRPr="00794D56">
        <w:rPr>
          <w:sz w:val="20"/>
          <w:szCs w:val="20"/>
        </w:rPr>
        <w:t>China Family Planning Association</w:t>
      </w:r>
    </w:p>
    <w:p w14:paraId="454273BF" w14:textId="77777777" w:rsidR="00794D56" w:rsidRPr="00794D56" w:rsidRDefault="00794D56" w:rsidP="000571B6">
      <w:pPr>
        <w:suppressAutoHyphens/>
        <w:spacing w:line="240" w:lineRule="atLeast"/>
        <w:ind w:left="1134"/>
        <w:rPr>
          <w:sz w:val="20"/>
          <w:szCs w:val="20"/>
        </w:rPr>
      </w:pPr>
      <w:r w:rsidRPr="00794D56">
        <w:rPr>
          <w:sz w:val="20"/>
          <w:szCs w:val="20"/>
        </w:rPr>
        <w:t>China Foundation for Poverty Alleviation</w:t>
      </w:r>
    </w:p>
    <w:p w14:paraId="60604986" w14:textId="419028D8" w:rsidR="00794D56" w:rsidRPr="00794D56" w:rsidRDefault="00794D56" w:rsidP="000571B6">
      <w:pPr>
        <w:suppressAutoHyphens/>
        <w:spacing w:line="240" w:lineRule="atLeast"/>
        <w:ind w:left="1134"/>
        <w:rPr>
          <w:sz w:val="20"/>
          <w:szCs w:val="20"/>
        </w:rPr>
      </w:pPr>
      <w:r w:rsidRPr="00794D56">
        <w:rPr>
          <w:sz w:val="20"/>
          <w:szCs w:val="20"/>
        </w:rPr>
        <w:t>China NGO Network for International</w:t>
      </w:r>
      <w:r w:rsidR="00686922">
        <w:rPr>
          <w:sz w:val="20"/>
          <w:szCs w:val="20"/>
        </w:rPr>
        <w:br/>
      </w:r>
      <w:r w:rsidRPr="00794D56">
        <w:rPr>
          <w:sz w:val="20"/>
          <w:szCs w:val="20"/>
        </w:rPr>
        <w:t xml:space="preserve"> Exchanges (CNIE)</w:t>
      </w:r>
    </w:p>
    <w:p w14:paraId="1225E447" w14:textId="097D0EFC" w:rsidR="00794D56" w:rsidRPr="00794D56" w:rsidRDefault="00794D56" w:rsidP="000571B6">
      <w:pPr>
        <w:suppressAutoHyphens/>
        <w:spacing w:line="240" w:lineRule="atLeast"/>
        <w:ind w:left="1134"/>
        <w:rPr>
          <w:sz w:val="20"/>
          <w:szCs w:val="20"/>
        </w:rPr>
      </w:pPr>
      <w:r w:rsidRPr="00794D56">
        <w:rPr>
          <w:sz w:val="20"/>
          <w:szCs w:val="20"/>
        </w:rPr>
        <w:t>China Society for Human Rights Studies</w:t>
      </w:r>
      <w:r w:rsidR="00686922">
        <w:rPr>
          <w:sz w:val="20"/>
          <w:szCs w:val="20"/>
        </w:rPr>
        <w:br/>
      </w:r>
      <w:r w:rsidRPr="00794D56">
        <w:rPr>
          <w:sz w:val="20"/>
          <w:szCs w:val="20"/>
        </w:rPr>
        <w:t xml:space="preserve"> (CSHRS)</w:t>
      </w:r>
    </w:p>
    <w:p w14:paraId="3D05F975" w14:textId="7BCA297F" w:rsidR="00794D56" w:rsidRPr="00794D56" w:rsidRDefault="00794D56" w:rsidP="000571B6">
      <w:pPr>
        <w:suppressAutoHyphens/>
        <w:spacing w:line="240" w:lineRule="atLeast"/>
        <w:ind w:left="1134"/>
        <w:rPr>
          <w:sz w:val="20"/>
          <w:szCs w:val="20"/>
        </w:rPr>
      </w:pPr>
      <w:r w:rsidRPr="00794D56">
        <w:rPr>
          <w:sz w:val="20"/>
          <w:szCs w:val="20"/>
        </w:rPr>
        <w:t>Chinese Association for International</w:t>
      </w:r>
      <w:r w:rsidR="00686922">
        <w:rPr>
          <w:sz w:val="20"/>
          <w:szCs w:val="20"/>
        </w:rPr>
        <w:br/>
      </w:r>
      <w:r w:rsidRPr="00794D56">
        <w:rPr>
          <w:sz w:val="20"/>
          <w:szCs w:val="20"/>
        </w:rPr>
        <w:t xml:space="preserve"> Understanding</w:t>
      </w:r>
    </w:p>
    <w:p w14:paraId="0F83102C" w14:textId="2906FD3E" w:rsidR="00794D56" w:rsidRPr="00794D56" w:rsidRDefault="00794D56" w:rsidP="000571B6">
      <w:pPr>
        <w:suppressAutoHyphens/>
        <w:spacing w:line="240" w:lineRule="atLeast"/>
        <w:ind w:left="1134"/>
        <w:rPr>
          <w:sz w:val="20"/>
          <w:szCs w:val="20"/>
        </w:rPr>
      </w:pPr>
      <w:r w:rsidRPr="00794D56">
        <w:rPr>
          <w:sz w:val="20"/>
          <w:szCs w:val="20"/>
        </w:rPr>
        <w:t>Chinese People’s Association for</w:t>
      </w:r>
      <w:r w:rsidR="00686922">
        <w:rPr>
          <w:sz w:val="20"/>
          <w:szCs w:val="20"/>
        </w:rPr>
        <w:br/>
      </w:r>
      <w:r w:rsidRPr="00794D56">
        <w:rPr>
          <w:sz w:val="20"/>
          <w:szCs w:val="20"/>
        </w:rPr>
        <w:t xml:space="preserve"> Friendship with Foreign Countries</w:t>
      </w:r>
    </w:p>
    <w:p w14:paraId="302DE1B4" w14:textId="1BD89F2B" w:rsidR="00794D56" w:rsidRPr="00794D56" w:rsidRDefault="00794D56" w:rsidP="000571B6">
      <w:pPr>
        <w:suppressAutoHyphens/>
        <w:spacing w:line="240" w:lineRule="atLeast"/>
        <w:ind w:left="1134"/>
        <w:rPr>
          <w:sz w:val="20"/>
          <w:szCs w:val="20"/>
        </w:rPr>
      </w:pPr>
      <w:r w:rsidRPr="00794D56">
        <w:rPr>
          <w:sz w:val="20"/>
          <w:szCs w:val="20"/>
        </w:rPr>
        <w:t>Chinese People’s Association for Peace</w:t>
      </w:r>
      <w:r w:rsidR="00686922">
        <w:rPr>
          <w:sz w:val="20"/>
          <w:szCs w:val="20"/>
        </w:rPr>
        <w:br/>
      </w:r>
      <w:r w:rsidRPr="00794D56">
        <w:rPr>
          <w:sz w:val="20"/>
          <w:szCs w:val="20"/>
        </w:rPr>
        <w:t xml:space="preserve"> and Disarmament, The CIDSE</w:t>
      </w:r>
    </w:p>
    <w:p w14:paraId="6B387CD2" w14:textId="77777777" w:rsidR="00794D56" w:rsidRPr="00794D56" w:rsidRDefault="00794D56" w:rsidP="000571B6">
      <w:pPr>
        <w:suppressAutoHyphens/>
        <w:spacing w:line="240" w:lineRule="atLeast"/>
        <w:ind w:left="1134"/>
        <w:rPr>
          <w:sz w:val="20"/>
          <w:szCs w:val="20"/>
        </w:rPr>
      </w:pPr>
      <w:r w:rsidRPr="00794D56">
        <w:rPr>
          <w:sz w:val="20"/>
          <w:szCs w:val="20"/>
        </w:rPr>
        <w:t>Christian Solidarity Worldwide</w:t>
      </w:r>
    </w:p>
    <w:p w14:paraId="79813897" w14:textId="0456801F" w:rsidR="00794D56" w:rsidRPr="00794D56" w:rsidRDefault="00794D56" w:rsidP="000571B6">
      <w:pPr>
        <w:suppressAutoHyphens/>
        <w:spacing w:line="240" w:lineRule="atLeast"/>
        <w:ind w:left="1134"/>
        <w:rPr>
          <w:sz w:val="20"/>
          <w:szCs w:val="20"/>
        </w:rPr>
      </w:pPr>
      <w:r w:rsidRPr="00794D56">
        <w:rPr>
          <w:sz w:val="20"/>
          <w:szCs w:val="20"/>
        </w:rPr>
        <w:t>CIVICUS – World Alliance for Citizen</w:t>
      </w:r>
      <w:r w:rsidR="00686922">
        <w:rPr>
          <w:sz w:val="20"/>
          <w:szCs w:val="20"/>
        </w:rPr>
        <w:br/>
      </w:r>
      <w:r w:rsidRPr="00794D56">
        <w:rPr>
          <w:sz w:val="20"/>
          <w:szCs w:val="20"/>
        </w:rPr>
        <w:t xml:space="preserve"> Participation </w:t>
      </w:r>
    </w:p>
    <w:p w14:paraId="6D64E02E" w14:textId="77777777" w:rsidR="00794D56" w:rsidRPr="00794D56" w:rsidRDefault="00794D56" w:rsidP="000571B6">
      <w:pPr>
        <w:suppressAutoHyphens/>
        <w:spacing w:line="240" w:lineRule="atLeast"/>
        <w:ind w:left="1134"/>
        <w:rPr>
          <w:sz w:val="20"/>
          <w:szCs w:val="20"/>
        </w:rPr>
      </w:pPr>
      <w:r w:rsidRPr="00794D56">
        <w:rPr>
          <w:sz w:val="20"/>
          <w:szCs w:val="20"/>
        </w:rPr>
        <w:t>Colombian Commission of Jurists</w:t>
      </w:r>
    </w:p>
    <w:p w14:paraId="5FDEB8E5" w14:textId="1DCC1B26" w:rsidR="00794D56" w:rsidRPr="00794D56" w:rsidRDefault="00794D56" w:rsidP="000571B6">
      <w:pPr>
        <w:suppressAutoHyphens/>
        <w:spacing w:line="240" w:lineRule="atLeast"/>
        <w:ind w:left="1134"/>
        <w:rPr>
          <w:sz w:val="20"/>
          <w:szCs w:val="20"/>
        </w:rPr>
      </w:pPr>
      <w:r w:rsidRPr="00794D56">
        <w:rPr>
          <w:sz w:val="20"/>
          <w:szCs w:val="20"/>
        </w:rPr>
        <w:t>Comision Juridica para el Autodesarrollo</w:t>
      </w:r>
      <w:r w:rsidR="00686922">
        <w:rPr>
          <w:sz w:val="20"/>
          <w:szCs w:val="20"/>
        </w:rPr>
        <w:br/>
      </w:r>
      <w:r w:rsidRPr="00794D56">
        <w:rPr>
          <w:sz w:val="20"/>
          <w:szCs w:val="20"/>
        </w:rPr>
        <w:t xml:space="preserve"> de los Pueblos Originarios Andinos -</w:t>
      </w:r>
      <w:r w:rsidR="00686922">
        <w:rPr>
          <w:sz w:val="20"/>
          <w:szCs w:val="20"/>
        </w:rPr>
        <w:br/>
      </w:r>
      <w:r w:rsidRPr="00794D56">
        <w:rPr>
          <w:sz w:val="20"/>
          <w:szCs w:val="20"/>
        </w:rPr>
        <w:t xml:space="preserve"> Capaj</w:t>
      </w:r>
    </w:p>
    <w:p w14:paraId="7A541887" w14:textId="4DD63663" w:rsidR="00794D56" w:rsidRPr="00794D56" w:rsidRDefault="00794D56" w:rsidP="000571B6">
      <w:pPr>
        <w:suppressAutoHyphens/>
        <w:spacing w:line="240" w:lineRule="atLeast"/>
        <w:ind w:left="1134"/>
        <w:rPr>
          <w:sz w:val="20"/>
          <w:szCs w:val="20"/>
        </w:rPr>
      </w:pPr>
      <w:r w:rsidRPr="00794D56">
        <w:rPr>
          <w:sz w:val="20"/>
          <w:szCs w:val="20"/>
        </w:rPr>
        <w:t>Comisión Mexicana de Defensa y</w:t>
      </w:r>
      <w:r w:rsidR="00686922">
        <w:rPr>
          <w:sz w:val="20"/>
          <w:szCs w:val="20"/>
        </w:rPr>
        <w:br/>
      </w:r>
      <w:r w:rsidRPr="00794D56">
        <w:rPr>
          <w:sz w:val="20"/>
          <w:szCs w:val="20"/>
        </w:rPr>
        <w:t xml:space="preserve"> Promoción de los Derechos Humanos,</w:t>
      </w:r>
      <w:r w:rsidR="00686922">
        <w:rPr>
          <w:sz w:val="20"/>
          <w:szCs w:val="20"/>
        </w:rPr>
        <w:br/>
      </w:r>
      <w:r w:rsidRPr="00794D56">
        <w:rPr>
          <w:sz w:val="20"/>
          <w:szCs w:val="20"/>
        </w:rPr>
        <w:t xml:space="preserve"> Asociación Civil</w:t>
      </w:r>
    </w:p>
    <w:p w14:paraId="2C5642B6" w14:textId="77777777" w:rsidR="00686922" w:rsidRDefault="00794D56" w:rsidP="000571B6">
      <w:pPr>
        <w:suppressAutoHyphens/>
        <w:spacing w:line="240" w:lineRule="atLeast"/>
        <w:ind w:left="1134"/>
        <w:rPr>
          <w:sz w:val="20"/>
          <w:szCs w:val="20"/>
        </w:rPr>
      </w:pPr>
      <w:r w:rsidRPr="00794D56">
        <w:rPr>
          <w:sz w:val="20"/>
          <w:szCs w:val="20"/>
        </w:rPr>
        <w:t>Comité des observateurs des droits de</w:t>
      </w:r>
      <w:r w:rsidR="00686922">
        <w:rPr>
          <w:sz w:val="20"/>
          <w:szCs w:val="20"/>
        </w:rPr>
        <w:br/>
      </w:r>
      <w:r w:rsidRPr="00794D56">
        <w:rPr>
          <w:sz w:val="20"/>
          <w:szCs w:val="20"/>
        </w:rPr>
        <w:t xml:space="preserve"> l’homme</w:t>
      </w:r>
    </w:p>
    <w:p w14:paraId="06225613" w14:textId="77777777" w:rsidR="00545AAB" w:rsidRDefault="00545AAB" w:rsidP="00545AAB">
      <w:pPr>
        <w:suppressAutoHyphens/>
        <w:spacing w:line="240" w:lineRule="atLeast"/>
        <w:ind w:left="1134"/>
        <w:rPr>
          <w:sz w:val="20"/>
          <w:szCs w:val="20"/>
        </w:rPr>
      </w:pPr>
    </w:p>
    <w:p w14:paraId="4DE47763" w14:textId="029AC273" w:rsidR="00686922" w:rsidRDefault="00794D56" w:rsidP="00545AAB">
      <w:pPr>
        <w:ind w:right="348"/>
        <w:rPr>
          <w:sz w:val="20"/>
          <w:szCs w:val="20"/>
        </w:rPr>
      </w:pPr>
      <w:r w:rsidRPr="00794D56">
        <w:rPr>
          <w:sz w:val="20"/>
          <w:szCs w:val="20"/>
        </w:rPr>
        <w:t xml:space="preserve">Comité International pour le Respect </w:t>
      </w:r>
      <w:proofErr w:type="gramStart"/>
      <w:r w:rsidRPr="00794D56">
        <w:rPr>
          <w:sz w:val="20"/>
          <w:szCs w:val="20"/>
        </w:rPr>
        <w:t>et</w:t>
      </w:r>
      <w:proofErr w:type="gramEnd"/>
      <w:r w:rsidR="00686922">
        <w:rPr>
          <w:sz w:val="20"/>
          <w:szCs w:val="20"/>
        </w:rPr>
        <w:br/>
      </w:r>
      <w:r w:rsidRPr="00794D56">
        <w:rPr>
          <w:sz w:val="20"/>
          <w:szCs w:val="20"/>
        </w:rPr>
        <w:t xml:space="preserve"> l’Application de la Charte Africaine des</w:t>
      </w:r>
      <w:r w:rsidR="00686922">
        <w:rPr>
          <w:sz w:val="20"/>
          <w:szCs w:val="20"/>
        </w:rPr>
        <w:br/>
      </w:r>
      <w:r w:rsidRPr="00794D56">
        <w:rPr>
          <w:sz w:val="20"/>
          <w:szCs w:val="20"/>
        </w:rPr>
        <w:t xml:space="preserve"> Droits de l’Homme et des Peuples</w:t>
      </w:r>
      <w:r w:rsidR="00686922">
        <w:rPr>
          <w:sz w:val="20"/>
          <w:szCs w:val="20"/>
        </w:rPr>
        <w:br/>
      </w:r>
      <w:r w:rsidRPr="00794D56">
        <w:rPr>
          <w:sz w:val="20"/>
          <w:szCs w:val="20"/>
        </w:rPr>
        <w:t xml:space="preserve"> (CIRAC)</w:t>
      </w:r>
    </w:p>
    <w:p w14:paraId="62070DA6" w14:textId="4ACC591D" w:rsidR="00794D56" w:rsidRPr="00794D56" w:rsidRDefault="00794D56" w:rsidP="00545AAB">
      <w:pPr>
        <w:ind w:right="348"/>
        <w:rPr>
          <w:sz w:val="20"/>
          <w:szCs w:val="20"/>
        </w:rPr>
      </w:pPr>
      <w:r w:rsidRPr="00794D56">
        <w:rPr>
          <w:sz w:val="20"/>
          <w:szCs w:val="20"/>
        </w:rPr>
        <w:t>Commission africaine des promoteurs de</w:t>
      </w:r>
      <w:r w:rsidR="005B5C04">
        <w:rPr>
          <w:sz w:val="20"/>
          <w:szCs w:val="20"/>
        </w:rPr>
        <w:br/>
      </w:r>
      <w:r w:rsidRPr="00794D56">
        <w:rPr>
          <w:sz w:val="20"/>
          <w:szCs w:val="20"/>
        </w:rPr>
        <w:t xml:space="preserve"> la santé </w:t>
      </w:r>
      <w:proofErr w:type="gramStart"/>
      <w:r w:rsidRPr="00794D56">
        <w:rPr>
          <w:sz w:val="20"/>
          <w:szCs w:val="20"/>
        </w:rPr>
        <w:t>et</w:t>
      </w:r>
      <w:proofErr w:type="gramEnd"/>
      <w:r w:rsidRPr="00794D56">
        <w:rPr>
          <w:sz w:val="20"/>
          <w:szCs w:val="20"/>
        </w:rPr>
        <w:t xml:space="preserve"> des droits de l’homme</w:t>
      </w:r>
    </w:p>
    <w:p w14:paraId="706B4546" w14:textId="04C8D9EB" w:rsidR="00794D56" w:rsidRPr="00794D56" w:rsidRDefault="00794D56" w:rsidP="000571B6">
      <w:pPr>
        <w:ind w:right="348"/>
        <w:rPr>
          <w:sz w:val="20"/>
          <w:szCs w:val="20"/>
        </w:rPr>
      </w:pPr>
      <w:r w:rsidRPr="00794D56">
        <w:rPr>
          <w:sz w:val="20"/>
          <w:szCs w:val="20"/>
        </w:rPr>
        <w:t>Commission of the Churches on International</w:t>
      </w:r>
      <w:r w:rsidR="005B5C04">
        <w:rPr>
          <w:sz w:val="20"/>
          <w:szCs w:val="20"/>
        </w:rPr>
        <w:br/>
      </w:r>
      <w:r w:rsidRPr="00794D56">
        <w:rPr>
          <w:sz w:val="20"/>
          <w:szCs w:val="20"/>
        </w:rPr>
        <w:t xml:space="preserve"> Affairs of the World Council of Churches</w:t>
      </w:r>
    </w:p>
    <w:p w14:paraId="6023917F" w14:textId="7FA9AEEB" w:rsidR="00794D56" w:rsidRPr="00794D56" w:rsidRDefault="00794D56" w:rsidP="000571B6">
      <w:pPr>
        <w:ind w:right="348"/>
        <w:rPr>
          <w:sz w:val="20"/>
          <w:szCs w:val="20"/>
        </w:rPr>
      </w:pPr>
      <w:r w:rsidRPr="00794D56">
        <w:rPr>
          <w:sz w:val="20"/>
          <w:szCs w:val="20"/>
        </w:rPr>
        <w:t>Commission to Study the Organization of</w:t>
      </w:r>
      <w:r w:rsidR="005B5C04">
        <w:rPr>
          <w:sz w:val="20"/>
          <w:szCs w:val="20"/>
        </w:rPr>
        <w:br/>
      </w:r>
      <w:r w:rsidRPr="00794D56">
        <w:rPr>
          <w:sz w:val="20"/>
          <w:szCs w:val="20"/>
        </w:rPr>
        <w:t xml:space="preserve"> Peace</w:t>
      </w:r>
    </w:p>
    <w:p w14:paraId="4F91A095" w14:textId="77777777" w:rsidR="00794D56" w:rsidRPr="00794D56" w:rsidRDefault="00794D56" w:rsidP="000571B6">
      <w:pPr>
        <w:ind w:right="348"/>
        <w:rPr>
          <w:sz w:val="20"/>
          <w:szCs w:val="20"/>
        </w:rPr>
      </w:pPr>
      <w:r w:rsidRPr="00794D56">
        <w:rPr>
          <w:sz w:val="20"/>
          <w:szCs w:val="20"/>
        </w:rPr>
        <w:t>Commonwealth Human Rights Initiative</w:t>
      </w:r>
    </w:p>
    <w:p w14:paraId="20CA601A" w14:textId="77777777" w:rsidR="00794D56" w:rsidRPr="00794D56" w:rsidRDefault="00794D56" w:rsidP="000571B6">
      <w:pPr>
        <w:ind w:right="348"/>
        <w:rPr>
          <w:sz w:val="20"/>
          <w:szCs w:val="20"/>
        </w:rPr>
      </w:pPr>
      <w:r w:rsidRPr="00794D56">
        <w:rPr>
          <w:sz w:val="20"/>
          <w:szCs w:val="20"/>
        </w:rPr>
        <w:t>Conectas Direitos Humanos</w:t>
      </w:r>
    </w:p>
    <w:p w14:paraId="32D3F622" w14:textId="19F260E5" w:rsidR="00794D56" w:rsidRPr="00794D56" w:rsidRDefault="00794D56" w:rsidP="000571B6">
      <w:pPr>
        <w:ind w:right="348"/>
        <w:rPr>
          <w:sz w:val="20"/>
          <w:szCs w:val="20"/>
        </w:rPr>
      </w:pPr>
      <w:r w:rsidRPr="00794D56">
        <w:rPr>
          <w:sz w:val="20"/>
          <w:szCs w:val="20"/>
        </w:rPr>
        <w:t>Congregation of our Lady of Charity of the</w:t>
      </w:r>
      <w:r w:rsidR="005B5C04">
        <w:rPr>
          <w:sz w:val="20"/>
          <w:szCs w:val="20"/>
        </w:rPr>
        <w:br/>
      </w:r>
      <w:r w:rsidRPr="00794D56">
        <w:rPr>
          <w:sz w:val="20"/>
          <w:szCs w:val="20"/>
        </w:rPr>
        <w:t xml:space="preserve"> Good Shepherd</w:t>
      </w:r>
    </w:p>
    <w:p w14:paraId="08965284" w14:textId="77777777" w:rsidR="00794D56" w:rsidRPr="00794D56" w:rsidRDefault="00794D56" w:rsidP="000571B6">
      <w:pPr>
        <w:ind w:right="348"/>
        <w:rPr>
          <w:sz w:val="20"/>
          <w:szCs w:val="20"/>
        </w:rPr>
      </w:pPr>
      <w:r w:rsidRPr="00794D56">
        <w:rPr>
          <w:sz w:val="20"/>
          <w:szCs w:val="20"/>
        </w:rPr>
        <w:t>Conseil de jeunesse pluriculturelle (COJEP)</w:t>
      </w:r>
    </w:p>
    <w:p w14:paraId="312382F5" w14:textId="76C4F16D" w:rsidR="00794D56" w:rsidRPr="00794D56" w:rsidRDefault="00794D56" w:rsidP="000571B6">
      <w:pPr>
        <w:ind w:right="348"/>
        <w:rPr>
          <w:sz w:val="20"/>
          <w:szCs w:val="20"/>
        </w:rPr>
      </w:pPr>
      <w:r w:rsidRPr="00794D56">
        <w:rPr>
          <w:sz w:val="20"/>
          <w:szCs w:val="20"/>
        </w:rPr>
        <w:t>Conseil International pour le soutien à des</w:t>
      </w:r>
      <w:r w:rsidR="005B5C04">
        <w:rPr>
          <w:sz w:val="20"/>
          <w:szCs w:val="20"/>
        </w:rPr>
        <w:br/>
      </w:r>
      <w:r w:rsidRPr="00794D56">
        <w:rPr>
          <w:sz w:val="20"/>
          <w:szCs w:val="20"/>
        </w:rPr>
        <w:t xml:space="preserve"> procès équitables </w:t>
      </w:r>
      <w:proofErr w:type="gramStart"/>
      <w:r w:rsidRPr="00794D56">
        <w:rPr>
          <w:sz w:val="20"/>
          <w:szCs w:val="20"/>
        </w:rPr>
        <w:t>et</w:t>
      </w:r>
      <w:proofErr w:type="gramEnd"/>
      <w:r w:rsidRPr="00794D56">
        <w:rPr>
          <w:sz w:val="20"/>
          <w:szCs w:val="20"/>
        </w:rPr>
        <w:t xml:space="preserve"> aux Droits ce l’Homme</w:t>
      </w:r>
    </w:p>
    <w:p w14:paraId="3A63CAD8" w14:textId="77777777" w:rsidR="00794D56" w:rsidRPr="00794D56" w:rsidRDefault="00794D56" w:rsidP="000571B6">
      <w:pPr>
        <w:ind w:right="348"/>
        <w:rPr>
          <w:sz w:val="20"/>
          <w:szCs w:val="20"/>
        </w:rPr>
      </w:pPr>
      <w:r w:rsidRPr="00794D56">
        <w:rPr>
          <w:sz w:val="20"/>
          <w:szCs w:val="20"/>
        </w:rPr>
        <w:t>Conselho Indigenista Missionário CIMI</w:t>
      </w:r>
    </w:p>
    <w:p w14:paraId="21699225" w14:textId="77777777" w:rsidR="00794D56" w:rsidRPr="00794D56" w:rsidRDefault="00794D56" w:rsidP="000571B6">
      <w:pPr>
        <w:ind w:right="348"/>
        <w:rPr>
          <w:sz w:val="20"/>
          <w:szCs w:val="20"/>
        </w:rPr>
      </w:pPr>
      <w:r w:rsidRPr="00794D56">
        <w:rPr>
          <w:sz w:val="20"/>
          <w:szCs w:val="20"/>
        </w:rPr>
        <w:t>Coordinating Board of Jewish Organizations</w:t>
      </w:r>
    </w:p>
    <w:p w14:paraId="40A0F1D2" w14:textId="069C9CCF" w:rsidR="00794D56" w:rsidRPr="00794D56" w:rsidRDefault="00794D56" w:rsidP="000571B6">
      <w:pPr>
        <w:ind w:right="348"/>
        <w:rPr>
          <w:sz w:val="20"/>
          <w:szCs w:val="20"/>
        </w:rPr>
      </w:pPr>
      <w:r w:rsidRPr="00794D56">
        <w:rPr>
          <w:sz w:val="20"/>
          <w:szCs w:val="20"/>
        </w:rPr>
        <w:t xml:space="preserve">Coordination des Associations </w:t>
      </w:r>
      <w:proofErr w:type="gramStart"/>
      <w:r w:rsidRPr="00794D56">
        <w:rPr>
          <w:sz w:val="20"/>
          <w:szCs w:val="20"/>
        </w:rPr>
        <w:t>et</w:t>
      </w:r>
      <w:proofErr w:type="gramEnd"/>
      <w:r w:rsidRPr="00794D56">
        <w:rPr>
          <w:sz w:val="20"/>
          <w:szCs w:val="20"/>
        </w:rPr>
        <w:t xml:space="preserve"> des</w:t>
      </w:r>
      <w:r w:rsidR="005B5C04">
        <w:rPr>
          <w:sz w:val="20"/>
          <w:szCs w:val="20"/>
        </w:rPr>
        <w:br/>
      </w:r>
      <w:r w:rsidRPr="00794D56">
        <w:rPr>
          <w:sz w:val="20"/>
          <w:szCs w:val="20"/>
        </w:rPr>
        <w:t xml:space="preserve"> Particuliers pour la Liberté de Conscience</w:t>
      </w:r>
    </w:p>
    <w:p w14:paraId="6B855EF9" w14:textId="39056A5A" w:rsidR="00794D56" w:rsidRPr="00794D56" w:rsidRDefault="00794D56" w:rsidP="000571B6">
      <w:pPr>
        <w:ind w:right="348"/>
        <w:rPr>
          <w:sz w:val="20"/>
          <w:szCs w:val="20"/>
        </w:rPr>
      </w:pPr>
      <w:r w:rsidRPr="00794D56">
        <w:rPr>
          <w:sz w:val="20"/>
          <w:szCs w:val="20"/>
        </w:rPr>
        <w:t>Corporacion para la Defensa y Promocion de</w:t>
      </w:r>
      <w:r w:rsidR="005B5C04">
        <w:rPr>
          <w:sz w:val="20"/>
          <w:szCs w:val="20"/>
        </w:rPr>
        <w:br/>
      </w:r>
      <w:r w:rsidRPr="00794D56">
        <w:rPr>
          <w:sz w:val="20"/>
          <w:szCs w:val="20"/>
        </w:rPr>
        <w:t xml:space="preserve"> los Derechos Humanos Reiniciar</w:t>
      </w:r>
    </w:p>
    <w:p w14:paraId="7699577C" w14:textId="77777777" w:rsidR="00794D56" w:rsidRPr="00794D56" w:rsidRDefault="00794D56" w:rsidP="000571B6">
      <w:pPr>
        <w:ind w:right="348"/>
        <w:rPr>
          <w:sz w:val="20"/>
          <w:szCs w:val="20"/>
        </w:rPr>
      </w:pPr>
      <w:r w:rsidRPr="00794D56">
        <w:rPr>
          <w:sz w:val="20"/>
          <w:szCs w:val="20"/>
        </w:rPr>
        <w:t>Corporate Accountability International</w:t>
      </w:r>
    </w:p>
    <w:p w14:paraId="73BE38F0" w14:textId="77777777" w:rsidR="00794D56" w:rsidRPr="00794D56" w:rsidRDefault="00794D56" w:rsidP="000571B6">
      <w:pPr>
        <w:ind w:right="348"/>
        <w:rPr>
          <w:sz w:val="20"/>
          <w:szCs w:val="20"/>
        </w:rPr>
      </w:pPr>
      <w:r w:rsidRPr="00794D56">
        <w:rPr>
          <w:sz w:val="20"/>
          <w:szCs w:val="20"/>
        </w:rPr>
        <w:t>Damanhur Education</w:t>
      </w:r>
    </w:p>
    <w:p w14:paraId="57728A63" w14:textId="26795BF3" w:rsidR="00794D56" w:rsidRPr="00794D56" w:rsidRDefault="00794D56" w:rsidP="000571B6">
      <w:pPr>
        <w:ind w:right="348"/>
        <w:rPr>
          <w:sz w:val="20"/>
          <w:szCs w:val="20"/>
        </w:rPr>
      </w:pPr>
      <w:r w:rsidRPr="00794D56">
        <w:rPr>
          <w:sz w:val="20"/>
          <w:szCs w:val="20"/>
        </w:rPr>
        <w:t>David M. Kennedy Center for International</w:t>
      </w:r>
      <w:r w:rsidR="005B5C04">
        <w:rPr>
          <w:sz w:val="20"/>
          <w:szCs w:val="20"/>
        </w:rPr>
        <w:br/>
      </w:r>
      <w:r w:rsidRPr="00794D56">
        <w:rPr>
          <w:sz w:val="20"/>
          <w:szCs w:val="20"/>
        </w:rPr>
        <w:t xml:space="preserve"> Studies</w:t>
      </w:r>
    </w:p>
    <w:p w14:paraId="6033CE21" w14:textId="77777777" w:rsidR="00794D56" w:rsidRPr="00794D56" w:rsidRDefault="00794D56" w:rsidP="000571B6">
      <w:pPr>
        <w:ind w:right="348"/>
        <w:rPr>
          <w:sz w:val="20"/>
          <w:szCs w:val="20"/>
        </w:rPr>
      </w:pPr>
      <w:r w:rsidRPr="00794D56">
        <w:rPr>
          <w:sz w:val="20"/>
          <w:szCs w:val="20"/>
        </w:rPr>
        <w:t>Defence for Children International</w:t>
      </w:r>
    </w:p>
    <w:p w14:paraId="3E77C3D8" w14:textId="77777777" w:rsidR="00794D56" w:rsidRPr="00794D56" w:rsidRDefault="00794D56" w:rsidP="000571B6">
      <w:pPr>
        <w:ind w:right="348"/>
        <w:rPr>
          <w:sz w:val="20"/>
          <w:szCs w:val="20"/>
        </w:rPr>
      </w:pPr>
      <w:r w:rsidRPr="00794D56">
        <w:rPr>
          <w:sz w:val="20"/>
          <w:szCs w:val="20"/>
        </w:rPr>
        <w:t>Dignity – Danish Institute Against Torture</w:t>
      </w:r>
    </w:p>
    <w:p w14:paraId="2647EAB1" w14:textId="1333FA2B" w:rsidR="00794D56" w:rsidRPr="00794D56" w:rsidRDefault="00794D56" w:rsidP="000571B6">
      <w:pPr>
        <w:ind w:right="348"/>
        <w:rPr>
          <w:sz w:val="20"/>
          <w:szCs w:val="20"/>
        </w:rPr>
      </w:pPr>
      <w:r w:rsidRPr="00794D56">
        <w:rPr>
          <w:sz w:val="20"/>
          <w:szCs w:val="20"/>
        </w:rPr>
        <w:t>Dominicans for Justice and Peace – Order of</w:t>
      </w:r>
      <w:r w:rsidR="005B5C04">
        <w:rPr>
          <w:sz w:val="20"/>
          <w:szCs w:val="20"/>
        </w:rPr>
        <w:br/>
      </w:r>
      <w:r w:rsidRPr="00794D56">
        <w:rPr>
          <w:sz w:val="20"/>
          <w:szCs w:val="20"/>
        </w:rPr>
        <w:t xml:space="preserve"> Preachers</w:t>
      </w:r>
    </w:p>
    <w:p w14:paraId="300340CC" w14:textId="77777777" w:rsidR="00794D56" w:rsidRPr="00794D56" w:rsidRDefault="00794D56" w:rsidP="000571B6">
      <w:pPr>
        <w:ind w:right="348"/>
        <w:rPr>
          <w:sz w:val="20"/>
          <w:szCs w:val="20"/>
        </w:rPr>
      </w:pPr>
      <w:r w:rsidRPr="00794D56">
        <w:rPr>
          <w:sz w:val="20"/>
          <w:szCs w:val="20"/>
        </w:rPr>
        <w:t>DRCNet Foundation, Inc.</w:t>
      </w:r>
    </w:p>
    <w:p w14:paraId="07D9AA4E" w14:textId="77777777" w:rsidR="00794D56" w:rsidRPr="00794D56" w:rsidRDefault="00794D56" w:rsidP="000571B6">
      <w:pPr>
        <w:ind w:right="348"/>
        <w:rPr>
          <w:sz w:val="20"/>
          <w:szCs w:val="20"/>
        </w:rPr>
      </w:pPr>
      <w:r w:rsidRPr="00794D56">
        <w:rPr>
          <w:sz w:val="20"/>
          <w:szCs w:val="20"/>
        </w:rPr>
        <w:t>Earthjustice</w:t>
      </w:r>
    </w:p>
    <w:p w14:paraId="42EEDC13" w14:textId="0207BEC7" w:rsidR="00794D56" w:rsidRPr="00794D56" w:rsidRDefault="00794D56" w:rsidP="000571B6">
      <w:pPr>
        <w:ind w:right="348"/>
        <w:rPr>
          <w:sz w:val="20"/>
          <w:szCs w:val="20"/>
        </w:rPr>
      </w:pPr>
      <w:r w:rsidRPr="00794D56">
        <w:rPr>
          <w:sz w:val="20"/>
          <w:szCs w:val="20"/>
        </w:rPr>
        <w:t>East and Horn of Africa Human Rights Defenders</w:t>
      </w:r>
      <w:r w:rsidR="005B5C04">
        <w:rPr>
          <w:sz w:val="20"/>
          <w:szCs w:val="20"/>
        </w:rPr>
        <w:br/>
      </w:r>
      <w:r w:rsidRPr="00794D56">
        <w:rPr>
          <w:sz w:val="20"/>
          <w:szCs w:val="20"/>
        </w:rPr>
        <w:t xml:space="preserve"> Project</w:t>
      </w:r>
    </w:p>
    <w:p w14:paraId="4B45F2F7" w14:textId="0E36FB71" w:rsidR="00794D56" w:rsidRPr="00794D56" w:rsidRDefault="00794D56" w:rsidP="000571B6">
      <w:pPr>
        <w:ind w:right="348"/>
        <w:rPr>
          <w:sz w:val="20"/>
          <w:szCs w:val="20"/>
        </w:rPr>
      </w:pPr>
      <w:r w:rsidRPr="00794D56">
        <w:rPr>
          <w:sz w:val="20"/>
          <w:szCs w:val="20"/>
        </w:rPr>
        <w:t>Eastern Sudan Women Development Organization</w:t>
      </w:r>
    </w:p>
    <w:p w14:paraId="3140BF94" w14:textId="2896CC69" w:rsidR="00794D56" w:rsidRPr="00794D56" w:rsidRDefault="00794D56" w:rsidP="000571B6">
      <w:pPr>
        <w:ind w:right="348"/>
        <w:rPr>
          <w:sz w:val="20"/>
          <w:szCs w:val="20"/>
        </w:rPr>
      </w:pPr>
      <w:r w:rsidRPr="00794D56">
        <w:rPr>
          <w:sz w:val="20"/>
          <w:szCs w:val="20"/>
        </w:rPr>
        <w:t>Ecumenical Alliance for Human Rights and</w:t>
      </w:r>
      <w:r w:rsidR="005B5C04">
        <w:rPr>
          <w:sz w:val="20"/>
          <w:szCs w:val="20"/>
        </w:rPr>
        <w:br/>
      </w:r>
      <w:r w:rsidRPr="00794D56">
        <w:rPr>
          <w:sz w:val="20"/>
          <w:szCs w:val="20"/>
        </w:rPr>
        <w:t xml:space="preserve"> Development (EAHRD)</w:t>
      </w:r>
    </w:p>
    <w:p w14:paraId="1C026909" w14:textId="77777777" w:rsidR="00794D56" w:rsidRPr="00794D56" w:rsidRDefault="00794D56" w:rsidP="000571B6">
      <w:pPr>
        <w:ind w:right="348"/>
        <w:rPr>
          <w:sz w:val="20"/>
          <w:szCs w:val="20"/>
        </w:rPr>
      </w:pPr>
      <w:r w:rsidRPr="00794D56">
        <w:rPr>
          <w:sz w:val="20"/>
          <w:szCs w:val="20"/>
        </w:rPr>
        <w:t>Edmund Rice International Limited</w:t>
      </w:r>
    </w:p>
    <w:p w14:paraId="238430B3" w14:textId="77777777" w:rsidR="00794D56" w:rsidRPr="00794D56" w:rsidRDefault="00794D56" w:rsidP="000571B6">
      <w:pPr>
        <w:ind w:right="348"/>
        <w:rPr>
          <w:sz w:val="20"/>
          <w:szCs w:val="20"/>
        </w:rPr>
      </w:pPr>
      <w:r w:rsidRPr="00794D56">
        <w:rPr>
          <w:sz w:val="20"/>
          <w:szCs w:val="20"/>
        </w:rPr>
        <w:t>Egyptian Organization for Human Rights</w:t>
      </w:r>
    </w:p>
    <w:p w14:paraId="62CE72CD" w14:textId="624DA425" w:rsidR="005B5C04" w:rsidRDefault="00794D56" w:rsidP="000571B6">
      <w:pPr>
        <w:ind w:right="348"/>
        <w:rPr>
          <w:sz w:val="20"/>
          <w:szCs w:val="20"/>
        </w:rPr>
      </w:pPr>
      <w:r w:rsidRPr="00794D56">
        <w:rPr>
          <w:sz w:val="20"/>
          <w:szCs w:val="20"/>
        </w:rPr>
        <w:t>Elizka Relief Foundation</w:t>
      </w:r>
    </w:p>
    <w:p w14:paraId="063F6E99" w14:textId="77777777" w:rsidR="005B5C04" w:rsidRDefault="00794D56" w:rsidP="000571B6">
      <w:pPr>
        <w:ind w:right="348"/>
        <w:rPr>
          <w:sz w:val="20"/>
          <w:szCs w:val="20"/>
        </w:rPr>
      </w:pPr>
      <w:r w:rsidRPr="00794D56">
        <w:rPr>
          <w:sz w:val="20"/>
          <w:szCs w:val="20"/>
        </w:rPr>
        <w:t>Ensemble contre la Peine de Mort</w:t>
      </w:r>
    </w:p>
    <w:p w14:paraId="50DBABE7" w14:textId="77777777" w:rsidR="005B5C04" w:rsidRDefault="00794D56" w:rsidP="000571B6">
      <w:pPr>
        <w:ind w:right="348"/>
        <w:rPr>
          <w:sz w:val="20"/>
          <w:szCs w:val="20"/>
        </w:rPr>
      </w:pPr>
      <w:r w:rsidRPr="00794D56">
        <w:rPr>
          <w:sz w:val="20"/>
          <w:szCs w:val="20"/>
        </w:rPr>
        <w:t>Ertegha Keyfiat Zendegi Iranian Charitable</w:t>
      </w:r>
      <w:r w:rsidR="005B5C04">
        <w:rPr>
          <w:sz w:val="20"/>
          <w:szCs w:val="20"/>
        </w:rPr>
        <w:br/>
      </w:r>
      <w:r w:rsidRPr="00794D56">
        <w:rPr>
          <w:sz w:val="20"/>
          <w:szCs w:val="20"/>
        </w:rPr>
        <w:t xml:space="preserve"> Institute</w:t>
      </w:r>
    </w:p>
    <w:p w14:paraId="2C809E24" w14:textId="7BF71488" w:rsidR="00794D56" w:rsidRPr="00794D56" w:rsidRDefault="00794D56" w:rsidP="000571B6">
      <w:pPr>
        <w:ind w:right="348"/>
        <w:rPr>
          <w:sz w:val="20"/>
          <w:szCs w:val="20"/>
        </w:rPr>
      </w:pPr>
      <w:r w:rsidRPr="00794D56">
        <w:rPr>
          <w:sz w:val="20"/>
          <w:szCs w:val="20"/>
        </w:rPr>
        <w:t>Espace Afrique International</w:t>
      </w:r>
    </w:p>
    <w:p w14:paraId="6AC6BE26" w14:textId="21DDBE8A" w:rsidR="00794D56" w:rsidRPr="00794D56" w:rsidRDefault="00794D56" w:rsidP="000571B6">
      <w:pPr>
        <w:ind w:right="348"/>
        <w:rPr>
          <w:sz w:val="20"/>
          <w:szCs w:val="20"/>
        </w:rPr>
      </w:pPr>
      <w:r w:rsidRPr="00794D56">
        <w:rPr>
          <w:sz w:val="20"/>
          <w:szCs w:val="20"/>
        </w:rPr>
        <w:t>Ethics &amp; Religious Liberty Commission of the</w:t>
      </w:r>
      <w:r w:rsidR="005B5C04">
        <w:rPr>
          <w:sz w:val="20"/>
          <w:szCs w:val="20"/>
        </w:rPr>
        <w:br/>
      </w:r>
      <w:r w:rsidRPr="00794D56">
        <w:rPr>
          <w:sz w:val="20"/>
          <w:szCs w:val="20"/>
        </w:rPr>
        <w:t xml:space="preserve"> Southern Baptist Convention, </w:t>
      </w:r>
      <w:proofErr w:type="gramStart"/>
      <w:r w:rsidRPr="00794D56">
        <w:rPr>
          <w:sz w:val="20"/>
          <w:szCs w:val="20"/>
        </w:rPr>
        <w:t>The</w:t>
      </w:r>
      <w:proofErr w:type="gramEnd"/>
      <w:r w:rsidRPr="00794D56">
        <w:rPr>
          <w:sz w:val="20"/>
          <w:szCs w:val="20"/>
        </w:rPr>
        <w:t xml:space="preserve"> – (ERLC)</w:t>
      </w:r>
    </w:p>
    <w:p w14:paraId="6579A460" w14:textId="77777777" w:rsidR="00794D56" w:rsidRPr="00794D56" w:rsidRDefault="00794D56" w:rsidP="000571B6">
      <w:pPr>
        <w:ind w:right="348"/>
        <w:rPr>
          <w:sz w:val="20"/>
          <w:szCs w:val="20"/>
        </w:rPr>
      </w:pPr>
      <w:r w:rsidRPr="00794D56">
        <w:rPr>
          <w:sz w:val="20"/>
          <w:szCs w:val="20"/>
        </w:rPr>
        <w:t>Eurasian Harm Reduction Network</w:t>
      </w:r>
    </w:p>
    <w:p w14:paraId="06A3D85C" w14:textId="77777777" w:rsidR="00794D56" w:rsidRPr="00794D56" w:rsidRDefault="00794D56" w:rsidP="000571B6">
      <w:pPr>
        <w:ind w:right="348"/>
        <w:rPr>
          <w:sz w:val="20"/>
          <w:szCs w:val="20"/>
        </w:rPr>
      </w:pPr>
      <w:r w:rsidRPr="00794D56">
        <w:rPr>
          <w:sz w:val="20"/>
          <w:szCs w:val="20"/>
        </w:rPr>
        <w:t>Europe External Progamme for Africa</w:t>
      </w:r>
    </w:p>
    <w:p w14:paraId="5DAC3BDB" w14:textId="38017D5E" w:rsidR="00794D56" w:rsidRPr="00794D56" w:rsidRDefault="00794D56" w:rsidP="000571B6">
      <w:pPr>
        <w:ind w:right="348"/>
        <w:rPr>
          <w:sz w:val="20"/>
          <w:szCs w:val="20"/>
        </w:rPr>
      </w:pPr>
      <w:r w:rsidRPr="00794D56">
        <w:rPr>
          <w:sz w:val="20"/>
          <w:szCs w:val="20"/>
        </w:rPr>
        <w:t>European Centre for Law and Justice, The/ Centre</w:t>
      </w:r>
      <w:r w:rsidR="005B5C04">
        <w:rPr>
          <w:sz w:val="20"/>
          <w:szCs w:val="20"/>
        </w:rPr>
        <w:br/>
      </w:r>
      <w:r w:rsidRPr="00794D56">
        <w:rPr>
          <w:sz w:val="20"/>
          <w:szCs w:val="20"/>
        </w:rPr>
        <w:t xml:space="preserve"> Europeen pour le droit, les Justice </w:t>
      </w:r>
      <w:proofErr w:type="gramStart"/>
      <w:r w:rsidRPr="00794D56">
        <w:rPr>
          <w:sz w:val="20"/>
          <w:szCs w:val="20"/>
        </w:rPr>
        <w:t>et</w:t>
      </w:r>
      <w:proofErr w:type="gramEnd"/>
      <w:r w:rsidRPr="00794D56">
        <w:rPr>
          <w:sz w:val="20"/>
          <w:szCs w:val="20"/>
        </w:rPr>
        <w:t xml:space="preserve"> les droits de</w:t>
      </w:r>
      <w:r w:rsidR="005B5C04">
        <w:rPr>
          <w:sz w:val="20"/>
          <w:szCs w:val="20"/>
        </w:rPr>
        <w:br/>
      </w:r>
      <w:r w:rsidRPr="00794D56">
        <w:rPr>
          <w:sz w:val="20"/>
          <w:szCs w:val="20"/>
        </w:rPr>
        <w:t xml:space="preserve"> l’homme</w:t>
      </w:r>
    </w:p>
    <w:p w14:paraId="338124BD" w14:textId="77777777" w:rsidR="00794D56" w:rsidRPr="00794D56" w:rsidRDefault="00794D56" w:rsidP="000571B6">
      <w:pPr>
        <w:ind w:right="348"/>
        <w:rPr>
          <w:sz w:val="20"/>
          <w:szCs w:val="20"/>
        </w:rPr>
      </w:pPr>
      <w:r w:rsidRPr="00794D56">
        <w:rPr>
          <w:sz w:val="20"/>
          <w:szCs w:val="20"/>
        </w:rPr>
        <w:t>European Humanist Federation</w:t>
      </w:r>
    </w:p>
    <w:p w14:paraId="7C6B3AE0" w14:textId="77777777" w:rsidR="00794D56" w:rsidRPr="00794D56" w:rsidRDefault="00794D56" w:rsidP="000571B6">
      <w:pPr>
        <w:ind w:right="348"/>
        <w:rPr>
          <w:sz w:val="20"/>
          <w:szCs w:val="20"/>
        </w:rPr>
      </w:pPr>
      <w:r w:rsidRPr="00794D56">
        <w:rPr>
          <w:sz w:val="20"/>
          <w:szCs w:val="20"/>
        </w:rPr>
        <w:t>European Union of Public Relations</w:t>
      </w:r>
    </w:p>
    <w:p w14:paraId="38BEA9DF" w14:textId="77777777" w:rsidR="00794D56" w:rsidRPr="00794D56" w:rsidRDefault="00794D56" w:rsidP="000571B6">
      <w:pPr>
        <w:ind w:right="348"/>
        <w:rPr>
          <w:sz w:val="20"/>
          <w:szCs w:val="20"/>
        </w:rPr>
      </w:pPr>
      <w:r w:rsidRPr="00794D56">
        <w:rPr>
          <w:sz w:val="20"/>
          <w:szCs w:val="20"/>
        </w:rPr>
        <w:t>Family Health Association of Iran</w:t>
      </w:r>
    </w:p>
    <w:p w14:paraId="27FEC86A" w14:textId="690D48A9" w:rsidR="00794D56" w:rsidRPr="00794D56" w:rsidRDefault="00794D56" w:rsidP="00545AAB">
      <w:pPr>
        <w:suppressAutoHyphens/>
        <w:spacing w:line="240" w:lineRule="atLeast"/>
        <w:ind w:left="1134"/>
        <w:rPr>
          <w:sz w:val="20"/>
          <w:szCs w:val="20"/>
        </w:rPr>
      </w:pPr>
      <w:r w:rsidRPr="00794D56">
        <w:rPr>
          <w:sz w:val="20"/>
          <w:szCs w:val="20"/>
        </w:rPr>
        <w:lastRenderedPageBreak/>
        <w:t>Federatie van Nederlandse Verenigingen</w:t>
      </w:r>
      <w:r w:rsidR="00545AAB">
        <w:rPr>
          <w:sz w:val="20"/>
          <w:szCs w:val="20"/>
        </w:rPr>
        <w:br/>
      </w:r>
      <w:r w:rsidRPr="00794D56">
        <w:rPr>
          <w:sz w:val="20"/>
          <w:szCs w:val="20"/>
        </w:rPr>
        <w:t xml:space="preserve"> tot Integratie van Homoseksualiteit</w:t>
      </w:r>
      <w:r w:rsidR="00545AAB">
        <w:rPr>
          <w:sz w:val="20"/>
          <w:szCs w:val="20"/>
        </w:rPr>
        <w:br/>
      </w:r>
      <w:r w:rsidRPr="00794D56">
        <w:rPr>
          <w:sz w:val="20"/>
          <w:szCs w:val="20"/>
        </w:rPr>
        <w:t xml:space="preserve"> COC Nederland</w:t>
      </w:r>
    </w:p>
    <w:p w14:paraId="745B61B9" w14:textId="77777777" w:rsidR="00794D56" w:rsidRPr="00794D56" w:rsidRDefault="00794D56" w:rsidP="00545AAB">
      <w:pPr>
        <w:suppressAutoHyphens/>
        <w:spacing w:line="240" w:lineRule="atLeast"/>
        <w:ind w:left="1134"/>
        <w:rPr>
          <w:sz w:val="20"/>
          <w:szCs w:val="20"/>
        </w:rPr>
      </w:pPr>
      <w:r w:rsidRPr="00794D56">
        <w:rPr>
          <w:sz w:val="20"/>
          <w:szCs w:val="20"/>
        </w:rPr>
        <w:t>FIAN International e.V.</w:t>
      </w:r>
    </w:p>
    <w:p w14:paraId="505BB096" w14:textId="58DF2B5E" w:rsidR="005B5C04" w:rsidRDefault="00794D56" w:rsidP="00545AAB">
      <w:pPr>
        <w:suppressAutoHyphens/>
        <w:spacing w:line="240" w:lineRule="atLeast"/>
        <w:ind w:left="1134"/>
        <w:rPr>
          <w:sz w:val="20"/>
          <w:szCs w:val="20"/>
        </w:rPr>
      </w:pPr>
      <w:r w:rsidRPr="00794D56">
        <w:rPr>
          <w:sz w:val="20"/>
          <w:szCs w:val="20"/>
        </w:rPr>
        <w:t xml:space="preserve">First Modern Agro. Tools </w:t>
      </w:r>
      <w:r w:rsidR="00545AAB">
        <w:rPr>
          <w:sz w:val="20"/>
          <w:szCs w:val="20"/>
        </w:rPr>
        <w:t>–</w:t>
      </w:r>
      <w:r w:rsidRPr="00794D56">
        <w:rPr>
          <w:sz w:val="20"/>
          <w:szCs w:val="20"/>
        </w:rPr>
        <w:t xml:space="preserve"> Common</w:t>
      </w:r>
      <w:r w:rsidR="00545AAB">
        <w:rPr>
          <w:sz w:val="20"/>
          <w:szCs w:val="20"/>
        </w:rPr>
        <w:br/>
      </w:r>
      <w:r w:rsidRPr="00794D56">
        <w:rPr>
          <w:sz w:val="20"/>
          <w:szCs w:val="20"/>
        </w:rPr>
        <w:t xml:space="preserve"> Initiative Group (FI.MO.AT.C.I.G)</w:t>
      </w:r>
    </w:p>
    <w:p w14:paraId="704AA22F" w14:textId="61B0A2A0" w:rsidR="00794D56" w:rsidRPr="00794D56" w:rsidRDefault="00794D56" w:rsidP="00545AAB">
      <w:pPr>
        <w:suppressAutoHyphens/>
        <w:spacing w:line="240" w:lineRule="atLeast"/>
        <w:ind w:left="1134"/>
        <w:rPr>
          <w:sz w:val="20"/>
          <w:szCs w:val="20"/>
        </w:rPr>
      </w:pPr>
      <w:r w:rsidRPr="00794D56">
        <w:rPr>
          <w:sz w:val="20"/>
          <w:szCs w:val="20"/>
        </w:rPr>
        <w:t>Fondation CIOMAL de l’Ordre de Malte</w:t>
      </w:r>
    </w:p>
    <w:p w14:paraId="7A3CE234" w14:textId="77777777" w:rsidR="00794D56" w:rsidRPr="00794D56" w:rsidRDefault="00794D56" w:rsidP="000571B6">
      <w:pPr>
        <w:suppressAutoHyphens/>
        <w:spacing w:line="240" w:lineRule="atLeast"/>
        <w:ind w:left="1134"/>
        <w:rPr>
          <w:sz w:val="20"/>
          <w:szCs w:val="20"/>
        </w:rPr>
      </w:pPr>
      <w:r w:rsidRPr="00794D56">
        <w:rPr>
          <w:sz w:val="20"/>
          <w:szCs w:val="20"/>
        </w:rPr>
        <w:t>Fondation Cordoue de Genève</w:t>
      </w:r>
    </w:p>
    <w:p w14:paraId="0CBECBEC" w14:textId="77777777" w:rsidR="00794D56" w:rsidRPr="00794D56" w:rsidRDefault="00794D56" w:rsidP="000571B6">
      <w:pPr>
        <w:suppressAutoHyphens/>
        <w:spacing w:line="240" w:lineRule="atLeast"/>
        <w:ind w:left="1134"/>
        <w:rPr>
          <w:sz w:val="20"/>
          <w:szCs w:val="20"/>
        </w:rPr>
      </w:pPr>
      <w:r w:rsidRPr="00794D56">
        <w:rPr>
          <w:sz w:val="20"/>
          <w:szCs w:val="20"/>
        </w:rPr>
        <w:t>Fondation d’Auteuil</w:t>
      </w:r>
    </w:p>
    <w:p w14:paraId="0EA1C6EC" w14:textId="77777777" w:rsidR="00794D56" w:rsidRPr="00794D56" w:rsidRDefault="00794D56" w:rsidP="000571B6">
      <w:pPr>
        <w:suppressAutoHyphens/>
        <w:spacing w:line="240" w:lineRule="atLeast"/>
        <w:ind w:left="1134"/>
        <w:rPr>
          <w:sz w:val="20"/>
          <w:szCs w:val="20"/>
        </w:rPr>
      </w:pPr>
      <w:r w:rsidRPr="00794D56">
        <w:rPr>
          <w:sz w:val="20"/>
          <w:szCs w:val="20"/>
        </w:rPr>
        <w:t>Fondation pour l’étude des relations</w:t>
      </w:r>
    </w:p>
    <w:p w14:paraId="6F590953" w14:textId="77777777" w:rsidR="00794D56" w:rsidRPr="00794D56" w:rsidRDefault="00794D56" w:rsidP="000571B6">
      <w:pPr>
        <w:suppressAutoHyphens/>
        <w:spacing w:line="240" w:lineRule="atLeast"/>
        <w:ind w:left="1134"/>
        <w:rPr>
          <w:sz w:val="20"/>
          <w:szCs w:val="20"/>
        </w:rPr>
      </w:pPr>
      <w:r w:rsidRPr="00794D56">
        <w:rPr>
          <w:sz w:val="20"/>
          <w:szCs w:val="20"/>
        </w:rPr>
        <w:t xml:space="preserve"> </w:t>
      </w:r>
      <w:proofErr w:type="gramStart"/>
      <w:r w:rsidRPr="00794D56">
        <w:rPr>
          <w:sz w:val="20"/>
          <w:szCs w:val="20"/>
        </w:rPr>
        <w:t>internationales</w:t>
      </w:r>
      <w:proofErr w:type="gramEnd"/>
      <w:r w:rsidRPr="00794D56">
        <w:rPr>
          <w:sz w:val="20"/>
          <w:szCs w:val="20"/>
        </w:rPr>
        <w:t xml:space="preserve"> et du développement</w:t>
      </w:r>
    </w:p>
    <w:p w14:paraId="290F92E7" w14:textId="0CA3DABA" w:rsidR="00794D56" w:rsidRPr="00794D56" w:rsidRDefault="00794D56" w:rsidP="000571B6">
      <w:pPr>
        <w:suppressAutoHyphens/>
        <w:spacing w:line="240" w:lineRule="atLeast"/>
        <w:ind w:left="1134"/>
        <w:rPr>
          <w:sz w:val="20"/>
          <w:szCs w:val="20"/>
        </w:rPr>
      </w:pPr>
      <w:r w:rsidRPr="00794D56">
        <w:rPr>
          <w:sz w:val="20"/>
          <w:szCs w:val="20"/>
        </w:rPr>
        <w:t>Foundation ECPAT International (End</w:t>
      </w:r>
      <w:r w:rsidR="006C21EA">
        <w:rPr>
          <w:sz w:val="20"/>
          <w:szCs w:val="20"/>
        </w:rPr>
        <w:br/>
        <w:t xml:space="preserve"> </w:t>
      </w:r>
      <w:r w:rsidRPr="00794D56">
        <w:rPr>
          <w:sz w:val="20"/>
          <w:szCs w:val="20"/>
        </w:rPr>
        <w:t>Child Prostitution, Child Pornography</w:t>
      </w:r>
      <w:r w:rsidR="006C21EA">
        <w:rPr>
          <w:sz w:val="20"/>
          <w:szCs w:val="20"/>
        </w:rPr>
        <w:br/>
      </w:r>
      <w:r w:rsidRPr="00794D56">
        <w:rPr>
          <w:sz w:val="20"/>
          <w:szCs w:val="20"/>
        </w:rPr>
        <w:t xml:space="preserve"> and Trafficking in Children for Sexual</w:t>
      </w:r>
      <w:r w:rsidR="006C21EA">
        <w:rPr>
          <w:sz w:val="20"/>
          <w:szCs w:val="20"/>
        </w:rPr>
        <w:br/>
      </w:r>
      <w:r w:rsidRPr="00794D56">
        <w:rPr>
          <w:sz w:val="20"/>
          <w:szCs w:val="20"/>
        </w:rPr>
        <w:t xml:space="preserve"> Purposes)</w:t>
      </w:r>
    </w:p>
    <w:p w14:paraId="5583607D" w14:textId="77777777" w:rsidR="00794D56" w:rsidRPr="00794D56" w:rsidRDefault="00794D56" w:rsidP="000571B6">
      <w:pPr>
        <w:suppressAutoHyphens/>
        <w:spacing w:line="240" w:lineRule="atLeast"/>
        <w:ind w:left="1134"/>
        <w:rPr>
          <w:sz w:val="20"/>
          <w:szCs w:val="20"/>
        </w:rPr>
      </w:pPr>
      <w:r w:rsidRPr="00794D56">
        <w:rPr>
          <w:sz w:val="20"/>
          <w:szCs w:val="20"/>
        </w:rPr>
        <w:t>Foundation for GAIA</w:t>
      </w:r>
    </w:p>
    <w:p w14:paraId="688000BD" w14:textId="55DBA69D" w:rsidR="00794D56" w:rsidRPr="00794D56" w:rsidRDefault="00794D56" w:rsidP="000571B6">
      <w:pPr>
        <w:suppressAutoHyphens/>
        <w:spacing w:line="240" w:lineRule="atLeast"/>
        <w:ind w:left="1134"/>
        <w:rPr>
          <w:sz w:val="20"/>
          <w:szCs w:val="20"/>
        </w:rPr>
      </w:pPr>
      <w:r w:rsidRPr="00794D56">
        <w:rPr>
          <w:sz w:val="20"/>
          <w:szCs w:val="20"/>
        </w:rPr>
        <w:t>Foundation for Human Rights and</w:t>
      </w:r>
      <w:r w:rsidR="006C21EA">
        <w:rPr>
          <w:sz w:val="20"/>
          <w:szCs w:val="20"/>
        </w:rPr>
        <w:br/>
      </w:r>
      <w:r w:rsidRPr="00794D56">
        <w:rPr>
          <w:sz w:val="20"/>
          <w:szCs w:val="20"/>
        </w:rPr>
        <w:t xml:space="preserve"> Freedoms and Humanitarian Relief, The</w:t>
      </w:r>
    </w:p>
    <w:p w14:paraId="49326CF2" w14:textId="77777777" w:rsidR="006C21EA" w:rsidRDefault="00794D56" w:rsidP="000571B6">
      <w:pPr>
        <w:suppressAutoHyphens/>
        <w:spacing w:line="240" w:lineRule="atLeast"/>
        <w:ind w:left="1134"/>
        <w:rPr>
          <w:sz w:val="20"/>
          <w:szCs w:val="20"/>
        </w:rPr>
      </w:pPr>
      <w:r w:rsidRPr="00794D56">
        <w:rPr>
          <w:sz w:val="20"/>
          <w:szCs w:val="20"/>
        </w:rPr>
        <w:t>France Libertés: Fondation Danielle</w:t>
      </w:r>
      <w:r w:rsidR="006C21EA">
        <w:rPr>
          <w:sz w:val="20"/>
          <w:szCs w:val="20"/>
        </w:rPr>
        <w:br/>
      </w:r>
      <w:r w:rsidRPr="00794D56">
        <w:rPr>
          <w:sz w:val="20"/>
          <w:szCs w:val="20"/>
        </w:rPr>
        <w:t xml:space="preserve"> Mitterrand</w:t>
      </w:r>
    </w:p>
    <w:p w14:paraId="2430C440" w14:textId="4E5C6242" w:rsidR="00794D56" w:rsidRPr="00794D56" w:rsidRDefault="00794D56" w:rsidP="000571B6">
      <w:pPr>
        <w:suppressAutoHyphens/>
        <w:spacing w:line="240" w:lineRule="atLeast"/>
        <w:ind w:left="1134"/>
        <w:rPr>
          <w:sz w:val="20"/>
          <w:szCs w:val="20"/>
        </w:rPr>
      </w:pPr>
      <w:r w:rsidRPr="00794D56">
        <w:rPr>
          <w:sz w:val="20"/>
          <w:szCs w:val="20"/>
        </w:rPr>
        <w:t>Franciscans International</w:t>
      </w:r>
    </w:p>
    <w:p w14:paraId="68E50F9C" w14:textId="02A1F900" w:rsidR="00794D56" w:rsidRPr="00794D56" w:rsidRDefault="00794D56" w:rsidP="000571B6">
      <w:pPr>
        <w:suppressAutoHyphens/>
        <w:spacing w:line="240" w:lineRule="atLeast"/>
        <w:ind w:left="1134"/>
        <w:rPr>
          <w:sz w:val="20"/>
          <w:szCs w:val="20"/>
        </w:rPr>
      </w:pPr>
      <w:r w:rsidRPr="00794D56">
        <w:rPr>
          <w:sz w:val="20"/>
          <w:szCs w:val="20"/>
        </w:rPr>
        <w:t>Freemuse – The World Forum on Music</w:t>
      </w:r>
      <w:r w:rsidR="006C21EA">
        <w:rPr>
          <w:sz w:val="20"/>
          <w:szCs w:val="20"/>
        </w:rPr>
        <w:br/>
      </w:r>
      <w:r w:rsidRPr="00794D56">
        <w:rPr>
          <w:sz w:val="20"/>
          <w:szCs w:val="20"/>
        </w:rPr>
        <w:t xml:space="preserve"> and Censorship</w:t>
      </w:r>
    </w:p>
    <w:p w14:paraId="3694C68A" w14:textId="6F69216F" w:rsidR="00794D56" w:rsidRPr="00794D56" w:rsidRDefault="00794D56" w:rsidP="000571B6">
      <w:pPr>
        <w:suppressAutoHyphens/>
        <w:spacing w:line="240" w:lineRule="atLeast"/>
        <w:ind w:left="1134"/>
        <w:rPr>
          <w:sz w:val="20"/>
          <w:szCs w:val="20"/>
        </w:rPr>
      </w:pPr>
      <w:r w:rsidRPr="00794D56">
        <w:rPr>
          <w:sz w:val="20"/>
          <w:szCs w:val="20"/>
        </w:rPr>
        <w:t>Friends World Committee for</w:t>
      </w:r>
      <w:r w:rsidR="006C21EA">
        <w:rPr>
          <w:sz w:val="20"/>
          <w:szCs w:val="20"/>
        </w:rPr>
        <w:br/>
      </w:r>
      <w:r w:rsidRPr="00794D56">
        <w:rPr>
          <w:sz w:val="20"/>
          <w:szCs w:val="20"/>
        </w:rPr>
        <w:t xml:space="preserve"> Consultation</w:t>
      </w:r>
    </w:p>
    <w:p w14:paraId="5845A736" w14:textId="292A09A7" w:rsidR="00794D56" w:rsidRPr="00794D56" w:rsidRDefault="00794D56" w:rsidP="000571B6">
      <w:pPr>
        <w:suppressAutoHyphens/>
        <w:spacing w:line="240" w:lineRule="atLeast"/>
        <w:ind w:left="1134"/>
        <w:rPr>
          <w:sz w:val="20"/>
          <w:szCs w:val="20"/>
        </w:rPr>
      </w:pPr>
      <w:r w:rsidRPr="00794D56">
        <w:rPr>
          <w:sz w:val="20"/>
          <w:szCs w:val="20"/>
        </w:rPr>
        <w:t>Fundación Latinoaamericana pour los</w:t>
      </w:r>
      <w:r w:rsidR="006C21EA">
        <w:rPr>
          <w:sz w:val="20"/>
          <w:szCs w:val="20"/>
        </w:rPr>
        <w:br/>
      </w:r>
      <w:r w:rsidRPr="00794D56">
        <w:rPr>
          <w:sz w:val="20"/>
          <w:szCs w:val="20"/>
        </w:rPr>
        <w:t xml:space="preserve"> Derechos Humanos y el Desarrollo</w:t>
      </w:r>
      <w:r w:rsidR="006C21EA">
        <w:rPr>
          <w:sz w:val="20"/>
          <w:szCs w:val="20"/>
        </w:rPr>
        <w:br/>
      </w:r>
      <w:r w:rsidRPr="00794D56">
        <w:rPr>
          <w:sz w:val="20"/>
          <w:szCs w:val="20"/>
        </w:rPr>
        <w:t xml:space="preserve"> Social</w:t>
      </w:r>
    </w:p>
    <w:p w14:paraId="032C9AE3" w14:textId="75BD651E" w:rsidR="00794D56" w:rsidRPr="00794D56" w:rsidRDefault="00794D56" w:rsidP="000571B6">
      <w:pPr>
        <w:suppressAutoHyphens/>
        <w:spacing w:line="240" w:lineRule="atLeast"/>
        <w:ind w:left="1134"/>
        <w:rPr>
          <w:sz w:val="20"/>
          <w:szCs w:val="20"/>
        </w:rPr>
      </w:pPr>
      <w:r w:rsidRPr="00794D56">
        <w:rPr>
          <w:sz w:val="20"/>
          <w:szCs w:val="20"/>
        </w:rPr>
        <w:t>Fundacion Vida - Grupo Ecologico</w:t>
      </w:r>
      <w:r w:rsidR="00545AAB">
        <w:rPr>
          <w:sz w:val="20"/>
          <w:szCs w:val="20"/>
        </w:rPr>
        <w:br/>
      </w:r>
      <w:r w:rsidRPr="00794D56">
        <w:rPr>
          <w:sz w:val="20"/>
          <w:szCs w:val="20"/>
        </w:rPr>
        <w:t xml:space="preserve"> Verde</w:t>
      </w:r>
    </w:p>
    <w:p w14:paraId="613EA8E4" w14:textId="77777777" w:rsidR="00794D56" w:rsidRPr="00794D56" w:rsidRDefault="00794D56" w:rsidP="000571B6">
      <w:pPr>
        <w:suppressAutoHyphens/>
        <w:spacing w:line="240" w:lineRule="atLeast"/>
        <w:ind w:left="1134"/>
        <w:rPr>
          <w:sz w:val="20"/>
          <w:szCs w:val="20"/>
        </w:rPr>
      </w:pPr>
      <w:r w:rsidRPr="00794D56">
        <w:rPr>
          <w:sz w:val="20"/>
          <w:szCs w:val="20"/>
        </w:rPr>
        <w:t>GAHT-US Corporation</w:t>
      </w:r>
    </w:p>
    <w:p w14:paraId="6B7434A1" w14:textId="50D3FF0C" w:rsidR="00794D56" w:rsidRPr="00794D56" w:rsidRDefault="00794D56" w:rsidP="000571B6">
      <w:pPr>
        <w:suppressAutoHyphens/>
        <w:spacing w:line="240" w:lineRule="atLeast"/>
        <w:ind w:left="1134"/>
        <w:rPr>
          <w:sz w:val="20"/>
          <w:szCs w:val="20"/>
        </w:rPr>
      </w:pPr>
      <w:r w:rsidRPr="00794D56">
        <w:rPr>
          <w:sz w:val="20"/>
          <w:szCs w:val="20"/>
        </w:rPr>
        <w:t>Geneva Centre for Human Rights</w:t>
      </w:r>
      <w:r w:rsidR="006C21EA">
        <w:rPr>
          <w:sz w:val="20"/>
          <w:szCs w:val="20"/>
        </w:rPr>
        <w:br/>
      </w:r>
      <w:r w:rsidRPr="00794D56">
        <w:rPr>
          <w:sz w:val="20"/>
          <w:szCs w:val="20"/>
        </w:rPr>
        <w:t xml:space="preserve"> Advancement and Global Dialogue</w:t>
      </w:r>
    </w:p>
    <w:p w14:paraId="6413EAC3" w14:textId="4630C068" w:rsidR="00794D56" w:rsidRPr="00794D56" w:rsidRDefault="00794D56" w:rsidP="000571B6">
      <w:pPr>
        <w:suppressAutoHyphens/>
        <w:spacing w:line="240" w:lineRule="atLeast"/>
        <w:ind w:left="1134"/>
        <w:rPr>
          <w:sz w:val="20"/>
          <w:szCs w:val="20"/>
        </w:rPr>
      </w:pPr>
      <w:r w:rsidRPr="00794D56">
        <w:rPr>
          <w:sz w:val="20"/>
          <w:szCs w:val="20"/>
        </w:rPr>
        <w:t>Geneva Institute for Human Rights</w:t>
      </w:r>
      <w:r w:rsidR="006C21EA">
        <w:rPr>
          <w:sz w:val="20"/>
          <w:szCs w:val="20"/>
        </w:rPr>
        <w:br/>
      </w:r>
      <w:r w:rsidRPr="00794D56">
        <w:rPr>
          <w:sz w:val="20"/>
          <w:szCs w:val="20"/>
        </w:rPr>
        <w:t xml:space="preserve"> (GIHR)</w:t>
      </w:r>
    </w:p>
    <w:p w14:paraId="1AE9AA8D" w14:textId="18AB75B5" w:rsidR="00794D56" w:rsidRPr="00794D56" w:rsidRDefault="00794D56" w:rsidP="000571B6">
      <w:pPr>
        <w:suppressAutoHyphens/>
        <w:spacing w:line="240" w:lineRule="atLeast"/>
        <w:ind w:left="1134"/>
        <w:rPr>
          <w:sz w:val="20"/>
          <w:szCs w:val="20"/>
        </w:rPr>
      </w:pPr>
      <w:r w:rsidRPr="00794D56">
        <w:rPr>
          <w:sz w:val="20"/>
          <w:szCs w:val="20"/>
        </w:rPr>
        <w:t>Genève pour les droits de lhomme:</w:t>
      </w:r>
      <w:r w:rsidR="006C21EA">
        <w:rPr>
          <w:sz w:val="20"/>
          <w:szCs w:val="20"/>
        </w:rPr>
        <w:br/>
      </w:r>
      <w:r w:rsidRPr="00794D56">
        <w:rPr>
          <w:sz w:val="20"/>
          <w:szCs w:val="20"/>
        </w:rPr>
        <w:t xml:space="preserve"> formation </w:t>
      </w:r>
      <w:proofErr w:type="gramStart"/>
      <w:r w:rsidRPr="00794D56">
        <w:rPr>
          <w:sz w:val="20"/>
          <w:szCs w:val="20"/>
        </w:rPr>
        <w:t>internationale</w:t>
      </w:r>
      <w:proofErr w:type="gramEnd"/>
    </w:p>
    <w:p w14:paraId="11409ECB" w14:textId="77777777" w:rsidR="00794D56" w:rsidRPr="00794D56" w:rsidRDefault="00794D56" w:rsidP="000571B6">
      <w:pPr>
        <w:suppressAutoHyphens/>
        <w:spacing w:line="240" w:lineRule="atLeast"/>
        <w:ind w:left="1134"/>
        <w:rPr>
          <w:sz w:val="20"/>
          <w:szCs w:val="20"/>
        </w:rPr>
      </w:pPr>
      <w:r w:rsidRPr="00794D56">
        <w:rPr>
          <w:sz w:val="20"/>
          <w:szCs w:val="20"/>
        </w:rPr>
        <w:t>Giving Life Nature Volunteer</w:t>
      </w:r>
    </w:p>
    <w:p w14:paraId="771894BB" w14:textId="77777777" w:rsidR="00794D56" w:rsidRPr="00794D56" w:rsidRDefault="00794D56" w:rsidP="000571B6">
      <w:pPr>
        <w:suppressAutoHyphens/>
        <w:spacing w:line="240" w:lineRule="atLeast"/>
        <w:ind w:left="1134"/>
        <w:rPr>
          <w:sz w:val="20"/>
          <w:szCs w:val="20"/>
        </w:rPr>
      </w:pPr>
      <w:r w:rsidRPr="00794D56">
        <w:rPr>
          <w:sz w:val="20"/>
          <w:szCs w:val="20"/>
        </w:rPr>
        <w:t>Global Action on Aging</w:t>
      </w:r>
    </w:p>
    <w:p w14:paraId="050EB29D" w14:textId="77777777" w:rsidR="00794D56" w:rsidRPr="00794D56" w:rsidRDefault="00794D56" w:rsidP="000571B6">
      <w:pPr>
        <w:suppressAutoHyphens/>
        <w:spacing w:line="240" w:lineRule="atLeast"/>
        <w:ind w:left="1134"/>
        <w:rPr>
          <w:sz w:val="20"/>
          <w:szCs w:val="20"/>
        </w:rPr>
      </w:pPr>
      <w:r w:rsidRPr="00794D56">
        <w:rPr>
          <w:sz w:val="20"/>
          <w:szCs w:val="20"/>
        </w:rPr>
        <w:t xml:space="preserve">Global Eco-Village Network, The </w:t>
      </w:r>
    </w:p>
    <w:p w14:paraId="766F178E" w14:textId="1AB07AC1" w:rsidR="00794D56" w:rsidRPr="00794D56" w:rsidRDefault="00794D56" w:rsidP="000571B6">
      <w:pPr>
        <w:suppressAutoHyphens/>
        <w:spacing w:line="240" w:lineRule="atLeast"/>
        <w:ind w:left="1134"/>
        <w:rPr>
          <w:sz w:val="20"/>
          <w:szCs w:val="20"/>
        </w:rPr>
      </w:pPr>
      <w:r w:rsidRPr="00794D56">
        <w:rPr>
          <w:sz w:val="20"/>
          <w:szCs w:val="20"/>
        </w:rPr>
        <w:t>Global Initiative for Economic, Social</w:t>
      </w:r>
      <w:r w:rsidR="006C21EA">
        <w:rPr>
          <w:sz w:val="20"/>
          <w:szCs w:val="20"/>
        </w:rPr>
        <w:br/>
      </w:r>
      <w:r w:rsidRPr="00794D56">
        <w:rPr>
          <w:sz w:val="20"/>
          <w:szCs w:val="20"/>
        </w:rPr>
        <w:t xml:space="preserve"> and Cultural Rights</w:t>
      </w:r>
    </w:p>
    <w:p w14:paraId="349F90B0" w14:textId="7AB5C68F" w:rsidR="00794D56" w:rsidRPr="00794D56" w:rsidRDefault="00794D56" w:rsidP="000571B6">
      <w:pPr>
        <w:suppressAutoHyphens/>
        <w:spacing w:line="240" w:lineRule="atLeast"/>
        <w:ind w:left="1134"/>
        <w:rPr>
          <w:sz w:val="20"/>
          <w:szCs w:val="20"/>
        </w:rPr>
      </w:pPr>
      <w:r w:rsidRPr="00794D56">
        <w:rPr>
          <w:sz w:val="20"/>
          <w:szCs w:val="20"/>
        </w:rPr>
        <w:t>Global Institute for Water, Environment</w:t>
      </w:r>
      <w:r w:rsidR="006C21EA">
        <w:rPr>
          <w:sz w:val="20"/>
          <w:szCs w:val="20"/>
        </w:rPr>
        <w:br/>
      </w:r>
      <w:r w:rsidRPr="00794D56">
        <w:rPr>
          <w:sz w:val="20"/>
          <w:szCs w:val="20"/>
        </w:rPr>
        <w:t xml:space="preserve"> and Health</w:t>
      </w:r>
    </w:p>
    <w:p w14:paraId="55E931F6" w14:textId="26C123EC" w:rsidR="00794D56" w:rsidRPr="00794D56" w:rsidRDefault="00794D56" w:rsidP="000571B6">
      <w:pPr>
        <w:suppressAutoHyphens/>
        <w:spacing w:line="240" w:lineRule="atLeast"/>
        <w:ind w:left="1134"/>
        <w:rPr>
          <w:sz w:val="20"/>
          <w:szCs w:val="20"/>
        </w:rPr>
      </w:pPr>
      <w:r w:rsidRPr="00794D56">
        <w:rPr>
          <w:sz w:val="20"/>
          <w:szCs w:val="20"/>
        </w:rPr>
        <w:t>Global Network for Rights and</w:t>
      </w:r>
      <w:r w:rsidR="006C21EA">
        <w:rPr>
          <w:sz w:val="20"/>
          <w:szCs w:val="20"/>
        </w:rPr>
        <w:br/>
      </w:r>
      <w:r w:rsidRPr="00794D56">
        <w:rPr>
          <w:sz w:val="20"/>
          <w:szCs w:val="20"/>
        </w:rPr>
        <w:t xml:space="preserve"> Development (GNRD)</w:t>
      </w:r>
    </w:p>
    <w:p w14:paraId="6E2E85C7" w14:textId="77777777" w:rsidR="00794D56" w:rsidRPr="00794D56" w:rsidRDefault="00794D56" w:rsidP="000571B6">
      <w:pPr>
        <w:suppressAutoHyphens/>
        <w:spacing w:line="240" w:lineRule="atLeast"/>
        <w:ind w:left="1134"/>
        <w:rPr>
          <w:sz w:val="20"/>
          <w:szCs w:val="20"/>
        </w:rPr>
      </w:pPr>
      <w:r w:rsidRPr="00794D56">
        <w:rPr>
          <w:sz w:val="20"/>
          <w:szCs w:val="20"/>
        </w:rPr>
        <w:t>Global Welfare Association</w:t>
      </w:r>
    </w:p>
    <w:p w14:paraId="68472B44" w14:textId="286271FA" w:rsidR="00794D56" w:rsidRPr="00794D56" w:rsidRDefault="00794D56" w:rsidP="000571B6">
      <w:pPr>
        <w:suppressAutoHyphens/>
        <w:spacing w:line="240" w:lineRule="atLeast"/>
        <w:ind w:left="1134"/>
        <w:rPr>
          <w:sz w:val="20"/>
          <w:szCs w:val="20"/>
        </w:rPr>
      </w:pPr>
      <w:r w:rsidRPr="00794D56">
        <w:rPr>
          <w:sz w:val="20"/>
          <w:szCs w:val="20"/>
        </w:rPr>
        <w:t>Godwin Osung International Foundation,</w:t>
      </w:r>
      <w:r w:rsidR="006C21EA">
        <w:rPr>
          <w:sz w:val="20"/>
          <w:szCs w:val="20"/>
        </w:rPr>
        <w:br/>
      </w:r>
      <w:r w:rsidRPr="00794D56">
        <w:rPr>
          <w:sz w:val="20"/>
          <w:szCs w:val="20"/>
        </w:rPr>
        <w:t xml:space="preserve"> Inc. (The African Project)</w:t>
      </w:r>
    </w:p>
    <w:p w14:paraId="0D53ACC4" w14:textId="77777777" w:rsidR="00794D56" w:rsidRPr="00794D56" w:rsidRDefault="00794D56" w:rsidP="000571B6">
      <w:pPr>
        <w:suppressAutoHyphens/>
        <w:spacing w:line="240" w:lineRule="atLeast"/>
        <w:ind w:left="1134"/>
        <w:rPr>
          <w:sz w:val="20"/>
          <w:szCs w:val="20"/>
        </w:rPr>
      </w:pPr>
      <w:r w:rsidRPr="00794D56">
        <w:rPr>
          <w:sz w:val="20"/>
          <w:szCs w:val="20"/>
        </w:rPr>
        <w:t>Graduate Women International (GWI)</w:t>
      </w:r>
    </w:p>
    <w:p w14:paraId="5E17A59B" w14:textId="77777777" w:rsidR="00794D56" w:rsidRPr="00794D56" w:rsidRDefault="00794D56" w:rsidP="000571B6">
      <w:pPr>
        <w:suppressAutoHyphens/>
        <w:spacing w:line="240" w:lineRule="atLeast"/>
        <w:ind w:left="1134"/>
        <w:rPr>
          <w:sz w:val="20"/>
          <w:szCs w:val="20"/>
        </w:rPr>
      </w:pPr>
      <w:r w:rsidRPr="00794D56">
        <w:rPr>
          <w:sz w:val="20"/>
          <w:szCs w:val="20"/>
        </w:rPr>
        <w:t>Guinee Humanitaire</w:t>
      </w:r>
    </w:p>
    <w:p w14:paraId="4C39134F" w14:textId="77777777" w:rsidR="00794D56" w:rsidRPr="00794D56" w:rsidRDefault="00794D56" w:rsidP="000571B6">
      <w:pPr>
        <w:suppressAutoHyphens/>
        <w:spacing w:line="240" w:lineRule="atLeast"/>
        <w:ind w:left="1134"/>
        <w:rPr>
          <w:sz w:val="20"/>
          <w:szCs w:val="20"/>
        </w:rPr>
      </w:pPr>
      <w:r w:rsidRPr="00794D56">
        <w:rPr>
          <w:sz w:val="20"/>
          <w:szCs w:val="20"/>
        </w:rPr>
        <w:t>Hamraah Foundation</w:t>
      </w:r>
    </w:p>
    <w:p w14:paraId="2AB5BB3E" w14:textId="77777777" w:rsidR="006C21EA" w:rsidRDefault="00794D56" w:rsidP="000571B6">
      <w:pPr>
        <w:suppressAutoHyphens/>
        <w:spacing w:line="240" w:lineRule="atLeast"/>
        <w:ind w:left="1134"/>
        <w:rPr>
          <w:sz w:val="20"/>
          <w:szCs w:val="20"/>
        </w:rPr>
      </w:pPr>
      <w:r w:rsidRPr="00794D56">
        <w:rPr>
          <w:sz w:val="20"/>
          <w:szCs w:val="20"/>
        </w:rPr>
        <w:t>Health and Environment Program (HEP)</w:t>
      </w:r>
    </w:p>
    <w:p w14:paraId="46BCD30C" w14:textId="2E55C00F" w:rsidR="00794D56" w:rsidRPr="00794D56" w:rsidRDefault="00794D56" w:rsidP="00545AAB">
      <w:pPr>
        <w:ind w:right="348"/>
        <w:rPr>
          <w:sz w:val="20"/>
          <w:szCs w:val="20"/>
        </w:rPr>
      </w:pPr>
      <w:r w:rsidRPr="00794D56">
        <w:rPr>
          <w:sz w:val="20"/>
          <w:szCs w:val="20"/>
        </w:rPr>
        <w:t>Helsinki Foundation for Human Rights</w:t>
      </w:r>
    </w:p>
    <w:p w14:paraId="54F93BAA" w14:textId="546AA117" w:rsidR="00794D56" w:rsidRPr="00794D56" w:rsidRDefault="00794D56" w:rsidP="00545AAB">
      <w:pPr>
        <w:ind w:right="348"/>
        <w:rPr>
          <w:sz w:val="20"/>
          <w:szCs w:val="20"/>
        </w:rPr>
      </w:pPr>
      <w:r w:rsidRPr="00794D56">
        <w:rPr>
          <w:sz w:val="20"/>
          <w:szCs w:val="20"/>
        </w:rPr>
        <w:t>Himalayan Research and Cultural Foundation</w:t>
      </w:r>
    </w:p>
    <w:p w14:paraId="7872CD75" w14:textId="77777777" w:rsidR="00794D56" w:rsidRPr="00794D56" w:rsidRDefault="00794D56" w:rsidP="00545AAB">
      <w:pPr>
        <w:ind w:right="348"/>
        <w:rPr>
          <w:sz w:val="20"/>
          <w:szCs w:val="20"/>
        </w:rPr>
      </w:pPr>
      <w:r w:rsidRPr="00794D56">
        <w:rPr>
          <w:sz w:val="20"/>
          <w:szCs w:val="20"/>
        </w:rPr>
        <w:t>Hong Kong Federation of Women</w:t>
      </w:r>
    </w:p>
    <w:p w14:paraId="67410680" w14:textId="77777777" w:rsidR="00794D56" w:rsidRPr="00794D56" w:rsidRDefault="00794D56" w:rsidP="00545AAB">
      <w:pPr>
        <w:ind w:right="348"/>
        <w:rPr>
          <w:sz w:val="20"/>
          <w:szCs w:val="20"/>
        </w:rPr>
      </w:pPr>
      <w:r w:rsidRPr="00794D56">
        <w:rPr>
          <w:sz w:val="20"/>
          <w:szCs w:val="20"/>
        </w:rPr>
        <w:t>Human Rights Advocates, Inc.</w:t>
      </w:r>
    </w:p>
    <w:p w14:paraId="44A34639" w14:textId="77777777" w:rsidR="00794D56" w:rsidRPr="00794D56" w:rsidRDefault="00794D56" w:rsidP="00545AAB">
      <w:pPr>
        <w:ind w:right="348"/>
        <w:rPr>
          <w:sz w:val="20"/>
          <w:szCs w:val="20"/>
        </w:rPr>
      </w:pPr>
      <w:r w:rsidRPr="00794D56">
        <w:rPr>
          <w:sz w:val="20"/>
          <w:szCs w:val="20"/>
        </w:rPr>
        <w:t>Human Rights House Foundation</w:t>
      </w:r>
    </w:p>
    <w:p w14:paraId="46C9DDDC" w14:textId="77777777" w:rsidR="00794D56" w:rsidRPr="00794D56" w:rsidRDefault="00794D56" w:rsidP="00545AAB">
      <w:pPr>
        <w:ind w:right="348"/>
        <w:rPr>
          <w:sz w:val="20"/>
          <w:szCs w:val="20"/>
        </w:rPr>
      </w:pPr>
      <w:r w:rsidRPr="00794D56">
        <w:rPr>
          <w:sz w:val="20"/>
          <w:szCs w:val="20"/>
        </w:rPr>
        <w:t>Human Rights Law Centre</w:t>
      </w:r>
    </w:p>
    <w:p w14:paraId="49512301" w14:textId="77777777" w:rsidR="00794D56" w:rsidRPr="00794D56" w:rsidRDefault="00794D56" w:rsidP="00545AAB">
      <w:pPr>
        <w:ind w:right="348"/>
        <w:rPr>
          <w:sz w:val="20"/>
          <w:szCs w:val="20"/>
        </w:rPr>
      </w:pPr>
      <w:r w:rsidRPr="00794D56">
        <w:rPr>
          <w:sz w:val="20"/>
          <w:szCs w:val="20"/>
        </w:rPr>
        <w:t>Human Rights Now</w:t>
      </w:r>
    </w:p>
    <w:p w14:paraId="48B8AE49" w14:textId="77777777" w:rsidR="00794D56" w:rsidRPr="00794D56" w:rsidRDefault="00794D56" w:rsidP="000571B6">
      <w:pPr>
        <w:ind w:right="348"/>
        <w:rPr>
          <w:sz w:val="20"/>
          <w:szCs w:val="20"/>
        </w:rPr>
      </w:pPr>
      <w:r w:rsidRPr="00794D56">
        <w:rPr>
          <w:sz w:val="20"/>
          <w:szCs w:val="20"/>
        </w:rPr>
        <w:t>Human Rights Watch</w:t>
      </w:r>
    </w:p>
    <w:p w14:paraId="3F2E8FB7" w14:textId="2E96CA4B" w:rsidR="00794D56" w:rsidRPr="00794D56" w:rsidRDefault="00794D56" w:rsidP="000571B6">
      <w:pPr>
        <w:ind w:right="348"/>
        <w:rPr>
          <w:sz w:val="20"/>
          <w:szCs w:val="20"/>
        </w:rPr>
      </w:pPr>
      <w:r w:rsidRPr="00794D56">
        <w:rPr>
          <w:sz w:val="20"/>
          <w:szCs w:val="20"/>
        </w:rPr>
        <w:t>Humanist Institute for Co-operation with</w:t>
      </w:r>
      <w:r w:rsidR="00545AAB">
        <w:rPr>
          <w:sz w:val="20"/>
          <w:szCs w:val="20"/>
        </w:rPr>
        <w:br/>
      </w:r>
      <w:r w:rsidRPr="00794D56">
        <w:rPr>
          <w:sz w:val="20"/>
          <w:szCs w:val="20"/>
        </w:rPr>
        <w:t xml:space="preserve"> Developing Countries</w:t>
      </w:r>
    </w:p>
    <w:p w14:paraId="784C27A2" w14:textId="77777777" w:rsidR="00794D56" w:rsidRPr="00794D56" w:rsidRDefault="00794D56" w:rsidP="000571B6">
      <w:pPr>
        <w:ind w:right="348"/>
        <w:rPr>
          <w:sz w:val="20"/>
          <w:szCs w:val="20"/>
        </w:rPr>
      </w:pPr>
      <w:proofErr w:type="gramStart"/>
      <w:r w:rsidRPr="00794D56">
        <w:rPr>
          <w:sz w:val="20"/>
          <w:szCs w:val="20"/>
        </w:rPr>
        <w:t>Il</w:t>
      </w:r>
      <w:proofErr w:type="gramEnd"/>
      <w:r w:rsidRPr="00794D56">
        <w:rPr>
          <w:sz w:val="20"/>
          <w:szCs w:val="20"/>
        </w:rPr>
        <w:t xml:space="preserve"> Cenacolo</w:t>
      </w:r>
    </w:p>
    <w:p w14:paraId="1C996EFC" w14:textId="77777777" w:rsidR="00794D56" w:rsidRPr="00794D56" w:rsidRDefault="00794D56" w:rsidP="000571B6">
      <w:pPr>
        <w:ind w:right="348"/>
        <w:rPr>
          <w:sz w:val="20"/>
          <w:szCs w:val="20"/>
        </w:rPr>
      </w:pPr>
      <w:r w:rsidRPr="00794D56">
        <w:rPr>
          <w:sz w:val="20"/>
          <w:szCs w:val="20"/>
        </w:rPr>
        <w:t>Imam Ali’s Popular Students Relief Society</w:t>
      </w:r>
    </w:p>
    <w:p w14:paraId="45437A36" w14:textId="77777777" w:rsidR="00794D56" w:rsidRPr="00794D56" w:rsidRDefault="00794D56" w:rsidP="000571B6">
      <w:pPr>
        <w:ind w:right="348"/>
        <w:rPr>
          <w:sz w:val="20"/>
          <w:szCs w:val="20"/>
        </w:rPr>
      </w:pPr>
      <w:r w:rsidRPr="00794D56">
        <w:rPr>
          <w:sz w:val="20"/>
          <w:szCs w:val="20"/>
        </w:rPr>
        <w:t>Indian Council of Education</w:t>
      </w:r>
    </w:p>
    <w:p w14:paraId="48B43A17" w14:textId="77777777" w:rsidR="00794D56" w:rsidRPr="00794D56" w:rsidRDefault="00794D56" w:rsidP="000571B6">
      <w:pPr>
        <w:ind w:right="348"/>
        <w:rPr>
          <w:sz w:val="20"/>
          <w:szCs w:val="20"/>
        </w:rPr>
      </w:pPr>
      <w:r w:rsidRPr="00794D56">
        <w:rPr>
          <w:sz w:val="20"/>
          <w:szCs w:val="20"/>
        </w:rPr>
        <w:t>Indian Council of South America (CISA)</w:t>
      </w:r>
    </w:p>
    <w:p w14:paraId="45256157" w14:textId="77777777" w:rsidR="00794D56" w:rsidRPr="00794D56" w:rsidRDefault="00794D56" w:rsidP="000571B6">
      <w:pPr>
        <w:ind w:right="348"/>
        <w:rPr>
          <w:sz w:val="20"/>
          <w:szCs w:val="20"/>
        </w:rPr>
      </w:pPr>
      <w:r w:rsidRPr="00794D56">
        <w:rPr>
          <w:sz w:val="20"/>
          <w:szCs w:val="20"/>
        </w:rPr>
        <w:t>Indian Movement Tupaj Amaru</w:t>
      </w:r>
    </w:p>
    <w:p w14:paraId="0F91CB8B" w14:textId="6219334C" w:rsidR="00794D56" w:rsidRPr="00794D56" w:rsidRDefault="00794D56" w:rsidP="000571B6">
      <w:pPr>
        <w:ind w:right="348"/>
        <w:rPr>
          <w:sz w:val="20"/>
          <w:szCs w:val="20"/>
        </w:rPr>
      </w:pPr>
      <w:r w:rsidRPr="00794D56">
        <w:rPr>
          <w:sz w:val="20"/>
          <w:szCs w:val="20"/>
        </w:rPr>
        <w:t>Indigenous People of Africa Coordinating</w:t>
      </w:r>
      <w:r w:rsidR="006C21EA">
        <w:rPr>
          <w:sz w:val="20"/>
          <w:szCs w:val="20"/>
        </w:rPr>
        <w:br/>
      </w:r>
      <w:r w:rsidRPr="00794D56">
        <w:rPr>
          <w:sz w:val="20"/>
          <w:szCs w:val="20"/>
        </w:rPr>
        <w:t xml:space="preserve"> Committee</w:t>
      </w:r>
    </w:p>
    <w:p w14:paraId="673A4B17" w14:textId="77777777" w:rsidR="00794D56" w:rsidRPr="00794D56" w:rsidRDefault="00794D56" w:rsidP="000571B6">
      <w:pPr>
        <w:ind w:right="348"/>
        <w:rPr>
          <w:sz w:val="20"/>
          <w:szCs w:val="20"/>
        </w:rPr>
      </w:pPr>
      <w:r w:rsidRPr="00794D56">
        <w:rPr>
          <w:sz w:val="20"/>
          <w:szCs w:val="20"/>
        </w:rPr>
        <w:t>Ingénieurs du Monde</w:t>
      </w:r>
    </w:p>
    <w:p w14:paraId="6AE3DB5D" w14:textId="3CCAD7F4" w:rsidR="00794D56" w:rsidRPr="00794D56" w:rsidRDefault="00794D56" w:rsidP="000571B6">
      <w:pPr>
        <w:ind w:right="348"/>
        <w:rPr>
          <w:sz w:val="20"/>
          <w:szCs w:val="20"/>
        </w:rPr>
      </w:pPr>
      <w:r w:rsidRPr="00794D56">
        <w:rPr>
          <w:sz w:val="20"/>
          <w:szCs w:val="20"/>
        </w:rPr>
        <w:t>Initiative d’opposition contre les discours</w:t>
      </w:r>
      <w:r w:rsidR="006C21EA">
        <w:rPr>
          <w:sz w:val="20"/>
          <w:szCs w:val="20"/>
        </w:rPr>
        <w:br/>
      </w:r>
      <w:r w:rsidRPr="00794D56">
        <w:rPr>
          <w:sz w:val="20"/>
          <w:szCs w:val="20"/>
        </w:rPr>
        <w:t xml:space="preserve"> extrémistes</w:t>
      </w:r>
    </w:p>
    <w:p w14:paraId="79A4B459" w14:textId="4BBB4487" w:rsidR="00794D56" w:rsidRPr="00794D56" w:rsidRDefault="00794D56" w:rsidP="000571B6">
      <w:pPr>
        <w:ind w:right="348"/>
        <w:rPr>
          <w:sz w:val="20"/>
          <w:szCs w:val="20"/>
        </w:rPr>
      </w:pPr>
      <w:r w:rsidRPr="00794D56">
        <w:rPr>
          <w:sz w:val="20"/>
          <w:szCs w:val="20"/>
        </w:rPr>
        <w:t xml:space="preserve">Institut international pour la paix, la justice </w:t>
      </w:r>
      <w:proofErr w:type="gramStart"/>
      <w:r w:rsidRPr="00794D56">
        <w:rPr>
          <w:sz w:val="20"/>
          <w:szCs w:val="20"/>
        </w:rPr>
        <w:t>et</w:t>
      </w:r>
      <w:proofErr w:type="gramEnd"/>
      <w:r w:rsidRPr="00794D56">
        <w:rPr>
          <w:sz w:val="20"/>
          <w:szCs w:val="20"/>
        </w:rPr>
        <w:t xml:space="preserve"> les</w:t>
      </w:r>
      <w:r w:rsidR="006C21EA">
        <w:rPr>
          <w:sz w:val="20"/>
          <w:szCs w:val="20"/>
        </w:rPr>
        <w:br/>
      </w:r>
      <w:r w:rsidRPr="00794D56">
        <w:rPr>
          <w:sz w:val="20"/>
          <w:szCs w:val="20"/>
        </w:rPr>
        <w:t xml:space="preserve"> droits de l’Homme-IIPJDH</w:t>
      </w:r>
    </w:p>
    <w:p w14:paraId="4546F919" w14:textId="569E178D" w:rsidR="00794D56" w:rsidRPr="00794D56" w:rsidRDefault="00794D56" w:rsidP="000571B6">
      <w:pPr>
        <w:ind w:right="348"/>
        <w:rPr>
          <w:sz w:val="20"/>
          <w:szCs w:val="20"/>
        </w:rPr>
      </w:pPr>
      <w:r w:rsidRPr="00794D56">
        <w:rPr>
          <w:sz w:val="20"/>
          <w:szCs w:val="20"/>
        </w:rPr>
        <w:t xml:space="preserve">Institut International pour les Droits </w:t>
      </w:r>
      <w:proofErr w:type="gramStart"/>
      <w:r w:rsidRPr="00794D56">
        <w:rPr>
          <w:sz w:val="20"/>
          <w:szCs w:val="20"/>
        </w:rPr>
        <w:t>et</w:t>
      </w:r>
      <w:proofErr w:type="gramEnd"/>
      <w:r w:rsidRPr="00794D56">
        <w:rPr>
          <w:sz w:val="20"/>
          <w:szCs w:val="20"/>
        </w:rPr>
        <w:t xml:space="preserve"> le</w:t>
      </w:r>
      <w:r w:rsidR="006C21EA">
        <w:rPr>
          <w:sz w:val="20"/>
          <w:szCs w:val="20"/>
        </w:rPr>
        <w:br/>
      </w:r>
      <w:r w:rsidRPr="00794D56">
        <w:rPr>
          <w:sz w:val="20"/>
          <w:szCs w:val="20"/>
        </w:rPr>
        <w:t xml:space="preserve"> Développement</w:t>
      </w:r>
    </w:p>
    <w:p w14:paraId="4ECF0D8C" w14:textId="77777777" w:rsidR="00794D56" w:rsidRPr="00794D56" w:rsidRDefault="00794D56" w:rsidP="000571B6">
      <w:pPr>
        <w:ind w:right="348"/>
        <w:rPr>
          <w:sz w:val="20"/>
          <w:szCs w:val="20"/>
        </w:rPr>
      </w:pPr>
      <w:r w:rsidRPr="00794D56">
        <w:rPr>
          <w:sz w:val="20"/>
          <w:szCs w:val="20"/>
        </w:rPr>
        <w:t>Institute for NGO Research</w:t>
      </w:r>
    </w:p>
    <w:p w14:paraId="7847890D" w14:textId="77777777" w:rsidR="00794D56" w:rsidRPr="00794D56" w:rsidRDefault="00794D56" w:rsidP="000571B6">
      <w:pPr>
        <w:ind w:right="348"/>
        <w:rPr>
          <w:sz w:val="20"/>
          <w:szCs w:val="20"/>
        </w:rPr>
      </w:pPr>
      <w:r w:rsidRPr="00794D56">
        <w:rPr>
          <w:sz w:val="20"/>
          <w:szCs w:val="20"/>
        </w:rPr>
        <w:t>Institute for Policy Studies</w:t>
      </w:r>
    </w:p>
    <w:p w14:paraId="6B61A5B7" w14:textId="77777777" w:rsidR="00794D56" w:rsidRPr="00794D56" w:rsidRDefault="00794D56" w:rsidP="000571B6">
      <w:pPr>
        <w:ind w:right="348"/>
        <w:rPr>
          <w:sz w:val="20"/>
          <w:szCs w:val="20"/>
        </w:rPr>
      </w:pPr>
      <w:r w:rsidRPr="00794D56">
        <w:rPr>
          <w:sz w:val="20"/>
          <w:szCs w:val="20"/>
        </w:rPr>
        <w:t>Institute of Sustainable Development</w:t>
      </w:r>
    </w:p>
    <w:p w14:paraId="1C1F5033" w14:textId="77777777" w:rsidR="00794D56" w:rsidRPr="00794D56" w:rsidRDefault="00794D56" w:rsidP="000571B6">
      <w:pPr>
        <w:ind w:right="348"/>
        <w:rPr>
          <w:sz w:val="20"/>
          <w:szCs w:val="20"/>
        </w:rPr>
      </w:pPr>
      <w:r w:rsidRPr="00794D56">
        <w:rPr>
          <w:sz w:val="20"/>
          <w:szCs w:val="20"/>
        </w:rPr>
        <w:t>Instituto Igarapé</w:t>
      </w:r>
    </w:p>
    <w:p w14:paraId="59B0B9D4" w14:textId="17EE30E2" w:rsidR="00794D56" w:rsidRPr="00794D56" w:rsidRDefault="00794D56" w:rsidP="000571B6">
      <w:pPr>
        <w:ind w:right="348"/>
        <w:rPr>
          <w:sz w:val="20"/>
          <w:szCs w:val="20"/>
        </w:rPr>
      </w:pPr>
      <w:r w:rsidRPr="00794D56">
        <w:rPr>
          <w:sz w:val="20"/>
          <w:szCs w:val="20"/>
        </w:rPr>
        <w:t>International Association for Democracy in</w:t>
      </w:r>
      <w:r w:rsidR="006C21EA">
        <w:rPr>
          <w:sz w:val="20"/>
          <w:szCs w:val="20"/>
        </w:rPr>
        <w:br/>
      </w:r>
      <w:r w:rsidRPr="00794D56">
        <w:rPr>
          <w:sz w:val="20"/>
          <w:szCs w:val="20"/>
        </w:rPr>
        <w:t xml:space="preserve"> Africa</w:t>
      </w:r>
    </w:p>
    <w:p w14:paraId="6BD5CD8F" w14:textId="5C7FFA8E" w:rsidR="00794D56" w:rsidRPr="00794D56" w:rsidRDefault="00794D56" w:rsidP="000571B6">
      <w:pPr>
        <w:ind w:right="348"/>
        <w:rPr>
          <w:sz w:val="20"/>
          <w:szCs w:val="20"/>
        </w:rPr>
      </w:pPr>
      <w:r w:rsidRPr="00794D56">
        <w:rPr>
          <w:sz w:val="20"/>
          <w:szCs w:val="20"/>
        </w:rPr>
        <w:t>International Association of Democratic Lawyers</w:t>
      </w:r>
      <w:r w:rsidR="006C21EA">
        <w:rPr>
          <w:sz w:val="20"/>
          <w:szCs w:val="20"/>
        </w:rPr>
        <w:br/>
      </w:r>
      <w:r w:rsidRPr="00794D56">
        <w:rPr>
          <w:sz w:val="20"/>
          <w:szCs w:val="20"/>
        </w:rPr>
        <w:t xml:space="preserve"> (IADL)</w:t>
      </w:r>
    </w:p>
    <w:p w14:paraId="043BD519" w14:textId="77777777" w:rsidR="00794D56" w:rsidRPr="00794D56" w:rsidRDefault="00794D56" w:rsidP="000571B6">
      <w:pPr>
        <w:ind w:right="348"/>
        <w:rPr>
          <w:sz w:val="20"/>
          <w:szCs w:val="20"/>
        </w:rPr>
      </w:pPr>
      <w:r w:rsidRPr="00794D56">
        <w:rPr>
          <w:sz w:val="20"/>
          <w:szCs w:val="20"/>
        </w:rPr>
        <w:t xml:space="preserve">International </w:t>
      </w:r>
      <w:proofErr w:type="gramStart"/>
      <w:r w:rsidRPr="00794D56">
        <w:rPr>
          <w:sz w:val="20"/>
          <w:szCs w:val="20"/>
        </w:rPr>
        <w:t>Bar</w:t>
      </w:r>
      <w:proofErr w:type="gramEnd"/>
      <w:r w:rsidRPr="00794D56">
        <w:rPr>
          <w:sz w:val="20"/>
          <w:szCs w:val="20"/>
        </w:rPr>
        <w:t xml:space="preserve"> Association</w:t>
      </w:r>
    </w:p>
    <w:p w14:paraId="066AD429" w14:textId="77777777" w:rsidR="00794D56" w:rsidRPr="00794D56" w:rsidRDefault="00794D56" w:rsidP="000571B6">
      <w:pPr>
        <w:ind w:right="348"/>
        <w:rPr>
          <w:sz w:val="20"/>
          <w:szCs w:val="20"/>
        </w:rPr>
      </w:pPr>
      <w:r w:rsidRPr="00794D56">
        <w:rPr>
          <w:sz w:val="20"/>
          <w:szCs w:val="20"/>
        </w:rPr>
        <w:t>International Bridges to Justice, Inc.</w:t>
      </w:r>
    </w:p>
    <w:p w14:paraId="4B59E596" w14:textId="77777777" w:rsidR="00794D56" w:rsidRPr="00794D56" w:rsidRDefault="00794D56" w:rsidP="000571B6">
      <w:pPr>
        <w:ind w:right="348"/>
        <w:rPr>
          <w:sz w:val="20"/>
          <w:szCs w:val="20"/>
        </w:rPr>
      </w:pPr>
      <w:r w:rsidRPr="00794D56">
        <w:rPr>
          <w:sz w:val="20"/>
          <w:szCs w:val="20"/>
        </w:rPr>
        <w:t>International Buddhist Relief Organisation</w:t>
      </w:r>
    </w:p>
    <w:p w14:paraId="52C98A47" w14:textId="77777777" w:rsidR="00794D56" w:rsidRPr="00794D56" w:rsidRDefault="00794D56" w:rsidP="000571B6">
      <w:pPr>
        <w:ind w:right="348"/>
        <w:rPr>
          <w:sz w:val="20"/>
          <w:szCs w:val="20"/>
        </w:rPr>
      </w:pPr>
      <w:r w:rsidRPr="00794D56">
        <w:rPr>
          <w:sz w:val="20"/>
          <w:szCs w:val="20"/>
        </w:rPr>
        <w:t>International Campaign to Ban Landmines</w:t>
      </w:r>
    </w:p>
    <w:p w14:paraId="18CA9705" w14:textId="77777777" w:rsidR="00794D56" w:rsidRPr="00794D56" w:rsidRDefault="00794D56" w:rsidP="000571B6">
      <w:pPr>
        <w:ind w:right="348"/>
        <w:rPr>
          <w:sz w:val="20"/>
          <w:szCs w:val="20"/>
        </w:rPr>
      </w:pPr>
      <w:r w:rsidRPr="00794D56">
        <w:rPr>
          <w:sz w:val="20"/>
          <w:szCs w:val="20"/>
        </w:rPr>
        <w:t xml:space="preserve">International Career Support Association </w:t>
      </w:r>
    </w:p>
    <w:p w14:paraId="2F104A66" w14:textId="77777777" w:rsidR="00794D56" w:rsidRPr="00794D56" w:rsidRDefault="00794D56" w:rsidP="000571B6">
      <w:pPr>
        <w:ind w:right="348"/>
        <w:rPr>
          <w:sz w:val="20"/>
          <w:szCs w:val="20"/>
        </w:rPr>
      </w:pPr>
      <w:r w:rsidRPr="00794D56">
        <w:rPr>
          <w:sz w:val="20"/>
          <w:szCs w:val="20"/>
        </w:rPr>
        <w:t>International Catholic Child Bureau</w:t>
      </w:r>
    </w:p>
    <w:p w14:paraId="1F02EBA5" w14:textId="77777777" w:rsidR="00794D56" w:rsidRPr="00794D56" w:rsidRDefault="00794D56" w:rsidP="000571B6">
      <w:pPr>
        <w:ind w:right="348"/>
        <w:rPr>
          <w:sz w:val="20"/>
          <w:szCs w:val="20"/>
        </w:rPr>
      </w:pPr>
      <w:r w:rsidRPr="00794D56">
        <w:rPr>
          <w:sz w:val="20"/>
          <w:szCs w:val="20"/>
        </w:rPr>
        <w:t>International Commission of Jurists</w:t>
      </w:r>
    </w:p>
    <w:p w14:paraId="5EFA1085" w14:textId="65D5A9E4" w:rsidR="00794D56" w:rsidRPr="00794D56" w:rsidRDefault="00794D56" w:rsidP="000571B6">
      <w:pPr>
        <w:ind w:right="348"/>
        <w:rPr>
          <w:sz w:val="20"/>
          <w:szCs w:val="20"/>
        </w:rPr>
      </w:pPr>
      <w:r w:rsidRPr="00794D56">
        <w:rPr>
          <w:sz w:val="20"/>
          <w:szCs w:val="20"/>
        </w:rPr>
        <w:t>International Committee for the Indigenous</w:t>
      </w:r>
      <w:r w:rsidR="006C21EA">
        <w:rPr>
          <w:sz w:val="20"/>
          <w:szCs w:val="20"/>
        </w:rPr>
        <w:br/>
      </w:r>
      <w:r w:rsidRPr="00794D56">
        <w:rPr>
          <w:sz w:val="20"/>
          <w:szCs w:val="20"/>
        </w:rPr>
        <w:t xml:space="preserve"> Peoples of the Americas</w:t>
      </w:r>
    </w:p>
    <w:p w14:paraId="3A58A7BE" w14:textId="77777777" w:rsidR="00794D56" w:rsidRPr="00794D56" w:rsidRDefault="00794D56" w:rsidP="000571B6">
      <w:pPr>
        <w:ind w:right="348"/>
        <w:rPr>
          <w:sz w:val="20"/>
          <w:szCs w:val="20"/>
        </w:rPr>
      </w:pPr>
      <w:r w:rsidRPr="00794D56">
        <w:rPr>
          <w:sz w:val="20"/>
          <w:szCs w:val="20"/>
        </w:rPr>
        <w:t>International Council of Jewish Women</w:t>
      </w:r>
    </w:p>
    <w:p w14:paraId="74C79589" w14:textId="2B9A4897" w:rsidR="00794D56" w:rsidRPr="00794D56" w:rsidRDefault="00794D56" w:rsidP="000571B6">
      <w:pPr>
        <w:ind w:right="348"/>
        <w:rPr>
          <w:sz w:val="20"/>
          <w:szCs w:val="20"/>
        </w:rPr>
      </w:pPr>
      <w:r w:rsidRPr="00794D56">
        <w:rPr>
          <w:sz w:val="20"/>
          <w:szCs w:val="20"/>
        </w:rPr>
        <w:t>International Council of Russian Compatriots</w:t>
      </w:r>
      <w:r w:rsidR="006C21EA">
        <w:rPr>
          <w:sz w:val="20"/>
          <w:szCs w:val="20"/>
        </w:rPr>
        <w:br/>
      </w:r>
      <w:r w:rsidRPr="00794D56">
        <w:rPr>
          <w:sz w:val="20"/>
          <w:szCs w:val="20"/>
        </w:rPr>
        <w:t xml:space="preserve"> (ICRC)</w:t>
      </w:r>
    </w:p>
    <w:p w14:paraId="088AB801" w14:textId="77777777" w:rsidR="006C21EA" w:rsidRDefault="00794D56" w:rsidP="000571B6">
      <w:pPr>
        <w:ind w:right="348"/>
        <w:rPr>
          <w:sz w:val="20"/>
          <w:szCs w:val="20"/>
        </w:rPr>
      </w:pPr>
      <w:r w:rsidRPr="00794D56">
        <w:rPr>
          <w:sz w:val="20"/>
          <w:szCs w:val="20"/>
        </w:rPr>
        <w:t>International Disability Alliance</w:t>
      </w:r>
    </w:p>
    <w:p w14:paraId="1CE4E10E" w14:textId="77777777" w:rsidR="006C21EA" w:rsidRDefault="00794D56" w:rsidP="000571B6">
      <w:pPr>
        <w:ind w:right="348"/>
        <w:rPr>
          <w:sz w:val="20"/>
          <w:szCs w:val="20"/>
        </w:rPr>
      </w:pPr>
      <w:r w:rsidRPr="00794D56">
        <w:rPr>
          <w:sz w:val="20"/>
          <w:szCs w:val="20"/>
        </w:rPr>
        <w:t>International Educational Development</w:t>
      </w:r>
      <w:proofErr w:type="gramStart"/>
      <w:r w:rsidRPr="00794D56">
        <w:rPr>
          <w:sz w:val="20"/>
          <w:szCs w:val="20"/>
        </w:rPr>
        <w:t>,Inc</w:t>
      </w:r>
      <w:proofErr w:type="gramEnd"/>
      <w:r w:rsidRPr="00794D56">
        <w:rPr>
          <w:sz w:val="20"/>
          <w:szCs w:val="20"/>
        </w:rPr>
        <w:t>.</w:t>
      </w:r>
    </w:p>
    <w:p w14:paraId="39513E60" w14:textId="614F7725" w:rsidR="00794D56" w:rsidRPr="00794D56" w:rsidRDefault="00794D56" w:rsidP="000571B6">
      <w:pPr>
        <w:ind w:right="348"/>
        <w:rPr>
          <w:sz w:val="20"/>
          <w:szCs w:val="20"/>
        </w:rPr>
      </w:pPr>
      <w:r w:rsidRPr="00794D56">
        <w:rPr>
          <w:sz w:val="20"/>
          <w:szCs w:val="20"/>
        </w:rPr>
        <w:t>International Federation for Human Rights</w:t>
      </w:r>
      <w:r w:rsidR="006C21EA">
        <w:rPr>
          <w:sz w:val="20"/>
          <w:szCs w:val="20"/>
        </w:rPr>
        <w:br/>
      </w:r>
      <w:r w:rsidRPr="00794D56">
        <w:rPr>
          <w:sz w:val="20"/>
          <w:szCs w:val="20"/>
        </w:rPr>
        <w:t xml:space="preserve"> Leagues (FIDH)</w:t>
      </w:r>
    </w:p>
    <w:p w14:paraId="3B81863B" w14:textId="2E11549B" w:rsidR="00794D56" w:rsidRPr="00794D56" w:rsidRDefault="00794D56" w:rsidP="000571B6">
      <w:pPr>
        <w:ind w:right="348"/>
        <w:rPr>
          <w:sz w:val="20"/>
          <w:szCs w:val="20"/>
        </w:rPr>
      </w:pPr>
      <w:r w:rsidRPr="00794D56">
        <w:rPr>
          <w:sz w:val="20"/>
          <w:szCs w:val="20"/>
        </w:rPr>
        <w:t>International Federation for the Protection of the</w:t>
      </w:r>
      <w:r w:rsidR="006C21EA">
        <w:rPr>
          <w:sz w:val="20"/>
          <w:szCs w:val="20"/>
        </w:rPr>
        <w:br/>
      </w:r>
      <w:r w:rsidRPr="00794D56">
        <w:rPr>
          <w:sz w:val="20"/>
          <w:szCs w:val="20"/>
        </w:rPr>
        <w:t xml:space="preserve"> Rights of Ethnic, Religious, Linguistic &amp; Other</w:t>
      </w:r>
      <w:r w:rsidR="006C21EA">
        <w:rPr>
          <w:sz w:val="20"/>
          <w:szCs w:val="20"/>
        </w:rPr>
        <w:br/>
      </w:r>
      <w:r w:rsidRPr="00794D56">
        <w:rPr>
          <w:sz w:val="20"/>
          <w:szCs w:val="20"/>
        </w:rPr>
        <w:t xml:space="preserve"> Minorities </w:t>
      </w:r>
    </w:p>
    <w:p w14:paraId="799A57BB" w14:textId="5217B104" w:rsidR="00794D56" w:rsidRPr="00794D56" w:rsidRDefault="00794D56" w:rsidP="000571B6">
      <w:pPr>
        <w:ind w:right="348"/>
        <w:rPr>
          <w:sz w:val="20"/>
          <w:szCs w:val="20"/>
        </w:rPr>
      </w:pPr>
      <w:r w:rsidRPr="00794D56">
        <w:rPr>
          <w:sz w:val="20"/>
          <w:szCs w:val="20"/>
        </w:rPr>
        <w:t>International Federation of Acat (Action by</w:t>
      </w:r>
      <w:r w:rsidR="006C21EA">
        <w:rPr>
          <w:sz w:val="20"/>
          <w:szCs w:val="20"/>
        </w:rPr>
        <w:br/>
      </w:r>
      <w:r w:rsidRPr="00794D56">
        <w:rPr>
          <w:sz w:val="20"/>
          <w:szCs w:val="20"/>
        </w:rPr>
        <w:t xml:space="preserve"> Christians for the Abolition of Torture)</w:t>
      </w:r>
    </w:p>
    <w:p w14:paraId="3124AABA" w14:textId="77777777" w:rsidR="00794D56" w:rsidRPr="00794D56" w:rsidRDefault="00794D56" w:rsidP="000571B6">
      <w:pPr>
        <w:ind w:right="348"/>
        <w:rPr>
          <w:sz w:val="20"/>
          <w:szCs w:val="20"/>
        </w:rPr>
      </w:pPr>
      <w:r w:rsidRPr="00794D56">
        <w:rPr>
          <w:sz w:val="20"/>
          <w:szCs w:val="20"/>
        </w:rPr>
        <w:t>International Federation of Journalists</w:t>
      </w:r>
    </w:p>
    <w:p w14:paraId="66B67CE8" w14:textId="77777777" w:rsidR="00794D56" w:rsidRPr="00794D56" w:rsidRDefault="00794D56" w:rsidP="000571B6">
      <w:pPr>
        <w:ind w:right="348"/>
        <w:rPr>
          <w:sz w:val="20"/>
          <w:szCs w:val="20"/>
        </w:rPr>
      </w:pPr>
      <w:r w:rsidRPr="00794D56">
        <w:rPr>
          <w:sz w:val="20"/>
          <w:szCs w:val="20"/>
        </w:rPr>
        <w:t>International Fellowship of Reconciliation</w:t>
      </w:r>
    </w:p>
    <w:p w14:paraId="720F3D20" w14:textId="0CDCE8D9" w:rsidR="00794D56" w:rsidRPr="00794D56" w:rsidRDefault="00794D56" w:rsidP="00DF5926">
      <w:pPr>
        <w:suppressAutoHyphens/>
        <w:spacing w:line="240" w:lineRule="atLeast"/>
        <w:ind w:left="1134"/>
        <w:rPr>
          <w:sz w:val="20"/>
          <w:szCs w:val="20"/>
        </w:rPr>
      </w:pPr>
      <w:r w:rsidRPr="00794D56">
        <w:rPr>
          <w:sz w:val="20"/>
          <w:szCs w:val="20"/>
        </w:rPr>
        <w:lastRenderedPageBreak/>
        <w:t>International Human Rights Association</w:t>
      </w:r>
      <w:r w:rsidR="00DF5926">
        <w:rPr>
          <w:sz w:val="20"/>
          <w:szCs w:val="20"/>
        </w:rPr>
        <w:br/>
      </w:r>
      <w:r w:rsidRPr="00794D56">
        <w:rPr>
          <w:sz w:val="20"/>
          <w:szCs w:val="20"/>
        </w:rPr>
        <w:t xml:space="preserve"> of American Minorities (IHRAAM)</w:t>
      </w:r>
    </w:p>
    <w:p w14:paraId="652738E0" w14:textId="545F4B37" w:rsidR="00794D56" w:rsidRPr="00794D56" w:rsidRDefault="00794D56" w:rsidP="00DF5926">
      <w:pPr>
        <w:suppressAutoHyphens/>
        <w:spacing w:line="240" w:lineRule="atLeast"/>
        <w:ind w:left="1134"/>
        <w:rPr>
          <w:sz w:val="20"/>
          <w:szCs w:val="20"/>
        </w:rPr>
      </w:pPr>
      <w:r w:rsidRPr="00794D56">
        <w:rPr>
          <w:sz w:val="20"/>
          <w:szCs w:val="20"/>
        </w:rPr>
        <w:t>International Human Rights Internship</w:t>
      </w:r>
      <w:r w:rsidR="00DF5926">
        <w:rPr>
          <w:sz w:val="20"/>
          <w:szCs w:val="20"/>
        </w:rPr>
        <w:br/>
      </w:r>
      <w:r w:rsidRPr="00794D56">
        <w:rPr>
          <w:sz w:val="20"/>
          <w:szCs w:val="20"/>
        </w:rPr>
        <w:t xml:space="preserve"> Program</w:t>
      </w:r>
    </w:p>
    <w:p w14:paraId="2CBDE382" w14:textId="14935355" w:rsidR="00794D56" w:rsidRPr="00794D56" w:rsidRDefault="00794D56" w:rsidP="00DF5926">
      <w:pPr>
        <w:suppressAutoHyphens/>
        <w:spacing w:line="240" w:lineRule="atLeast"/>
        <w:ind w:left="1134"/>
        <w:rPr>
          <w:sz w:val="20"/>
          <w:szCs w:val="20"/>
        </w:rPr>
      </w:pPr>
      <w:r w:rsidRPr="00794D56">
        <w:rPr>
          <w:sz w:val="20"/>
          <w:szCs w:val="20"/>
        </w:rPr>
        <w:t>International Humanist and Ethical</w:t>
      </w:r>
      <w:r w:rsidR="00DF5926">
        <w:rPr>
          <w:sz w:val="20"/>
          <w:szCs w:val="20"/>
        </w:rPr>
        <w:br/>
      </w:r>
      <w:r w:rsidRPr="00794D56">
        <w:rPr>
          <w:sz w:val="20"/>
          <w:szCs w:val="20"/>
        </w:rPr>
        <w:t xml:space="preserve"> Union</w:t>
      </w:r>
    </w:p>
    <w:p w14:paraId="6229E182" w14:textId="6D28B38F" w:rsidR="006C21EA" w:rsidRDefault="00794D56" w:rsidP="00DF5926">
      <w:pPr>
        <w:suppressAutoHyphens/>
        <w:spacing w:line="240" w:lineRule="atLeast"/>
        <w:ind w:left="1134"/>
        <w:rPr>
          <w:sz w:val="20"/>
          <w:szCs w:val="20"/>
        </w:rPr>
      </w:pPr>
      <w:r w:rsidRPr="00794D56">
        <w:rPr>
          <w:sz w:val="20"/>
          <w:szCs w:val="20"/>
        </w:rPr>
        <w:t>International Institute for Non-Aligned</w:t>
      </w:r>
      <w:r w:rsidR="00DF5926">
        <w:rPr>
          <w:sz w:val="20"/>
          <w:szCs w:val="20"/>
        </w:rPr>
        <w:br/>
      </w:r>
      <w:r w:rsidRPr="00794D56">
        <w:rPr>
          <w:sz w:val="20"/>
          <w:szCs w:val="20"/>
        </w:rPr>
        <w:t xml:space="preserve"> Studies</w:t>
      </w:r>
    </w:p>
    <w:p w14:paraId="6D338E41" w14:textId="4F2A5DB1" w:rsidR="006C21EA" w:rsidRDefault="00794D56" w:rsidP="00DF5926">
      <w:pPr>
        <w:suppressAutoHyphens/>
        <w:spacing w:line="240" w:lineRule="atLeast"/>
        <w:ind w:left="1134"/>
        <w:rPr>
          <w:sz w:val="20"/>
          <w:szCs w:val="20"/>
        </w:rPr>
      </w:pPr>
      <w:r w:rsidRPr="00794D56">
        <w:rPr>
          <w:sz w:val="20"/>
          <w:szCs w:val="20"/>
        </w:rPr>
        <w:t>International Lesbian and Gay</w:t>
      </w:r>
      <w:r w:rsidR="00DF5926">
        <w:rPr>
          <w:sz w:val="20"/>
          <w:szCs w:val="20"/>
        </w:rPr>
        <w:br/>
      </w:r>
      <w:r w:rsidRPr="00794D56">
        <w:rPr>
          <w:sz w:val="20"/>
          <w:szCs w:val="20"/>
        </w:rPr>
        <w:t xml:space="preserve"> Association</w:t>
      </w:r>
    </w:p>
    <w:p w14:paraId="53F667B6" w14:textId="6E3EF141" w:rsidR="00794D56" w:rsidRPr="00794D56" w:rsidRDefault="00794D56" w:rsidP="000571B6">
      <w:pPr>
        <w:suppressAutoHyphens/>
        <w:spacing w:line="240" w:lineRule="atLeast"/>
        <w:ind w:left="1134"/>
        <w:rPr>
          <w:sz w:val="20"/>
          <w:szCs w:val="20"/>
        </w:rPr>
      </w:pPr>
      <w:r w:rsidRPr="00794D56">
        <w:rPr>
          <w:sz w:val="20"/>
          <w:szCs w:val="20"/>
        </w:rPr>
        <w:t>International Movement against all</w:t>
      </w:r>
      <w:r w:rsidR="00DF5926">
        <w:rPr>
          <w:sz w:val="20"/>
          <w:szCs w:val="20"/>
        </w:rPr>
        <w:br/>
      </w:r>
      <w:r w:rsidRPr="00794D56">
        <w:rPr>
          <w:sz w:val="20"/>
          <w:szCs w:val="20"/>
        </w:rPr>
        <w:t xml:space="preserve"> Forms</w:t>
      </w:r>
      <w:r w:rsidR="00DF5926">
        <w:rPr>
          <w:sz w:val="20"/>
          <w:szCs w:val="20"/>
        </w:rPr>
        <w:t xml:space="preserve"> </w:t>
      </w:r>
      <w:r w:rsidRPr="00794D56">
        <w:rPr>
          <w:sz w:val="20"/>
          <w:szCs w:val="20"/>
        </w:rPr>
        <w:t>of Discrimination and Racism</w:t>
      </w:r>
      <w:r w:rsidR="00DF5926">
        <w:rPr>
          <w:sz w:val="20"/>
          <w:szCs w:val="20"/>
        </w:rPr>
        <w:br/>
      </w:r>
      <w:r w:rsidRPr="00794D56">
        <w:rPr>
          <w:sz w:val="20"/>
          <w:szCs w:val="20"/>
        </w:rPr>
        <w:t xml:space="preserve"> (IMADR)</w:t>
      </w:r>
    </w:p>
    <w:p w14:paraId="2EF5978C" w14:textId="1882D89E" w:rsidR="00794D56" w:rsidRPr="00794D56" w:rsidRDefault="00794D56" w:rsidP="000571B6">
      <w:pPr>
        <w:suppressAutoHyphens/>
        <w:spacing w:line="240" w:lineRule="atLeast"/>
        <w:ind w:left="1134"/>
        <w:rPr>
          <w:sz w:val="20"/>
          <w:szCs w:val="20"/>
        </w:rPr>
      </w:pPr>
      <w:r w:rsidRPr="00794D56">
        <w:rPr>
          <w:sz w:val="20"/>
          <w:szCs w:val="20"/>
        </w:rPr>
        <w:t>International Movement ATD Fourth</w:t>
      </w:r>
      <w:r w:rsidR="006C21EA">
        <w:rPr>
          <w:sz w:val="20"/>
          <w:szCs w:val="20"/>
        </w:rPr>
        <w:br/>
        <w:t xml:space="preserve"> </w:t>
      </w:r>
      <w:r w:rsidRPr="00794D56">
        <w:rPr>
          <w:sz w:val="20"/>
          <w:szCs w:val="20"/>
        </w:rPr>
        <w:t>World</w:t>
      </w:r>
    </w:p>
    <w:p w14:paraId="503605DE" w14:textId="31FBED7A" w:rsidR="00794D56" w:rsidRPr="00794D56" w:rsidRDefault="00794D56" w:rsidP="000571B6">
      <w:pPr>
        <w:suppressAutoHyphens/>
        <w:spacing w:line="240" w:lineRule="atLeast"/>
        <w:ind w:left="1134"/>
        <w:rPr>
          <w:sz w:val="20"/>
          <w:szCs w:val="20"/>
        </w:rPr>
      </w:pPr>
      <w:r w:rsidRPr="00794D56">
        <w:rPr>
          <w:sz w:val="20"/>
          <w:szCs w:val="20"/>
        </w:rPr>
        <w:t>International Network for the Prevention</w:t>
      </w:r>
      <w:r w:rsidR="006C21EA">
        <w:rPr>
          <w:sz w:val="20"/>
          <w:szCs w:val="20"/>
        </w:rPr>
        <w:br/>
      </w:r>
      <w:r w:rsidRPr="00794D56">
        <w:rPr>
          <w:sz w:val="20"/>
          <w:szCs w:val="20"/>
        </w:rPr>
        <w:t xml:space="preserve"> of Elder Abuse</w:t>
      </w:r>
    </w:p>
    <w:p w14:paraId="6C60A9B5" w14:textId="58693803" w:rsidR="00794D56" w:rsidRPr="00794D56" w:rsidRDefault="00794D56" w:rsidP="000571B6">
      <w:pPr>
        <w:suppressAutoHyphens/>
        <w:spacing w:line="240" w:lineRule="atLeast"/>
        <w:ind w:left="1134"/>
        <w:rPr>
          <w:sz w:val="20"/>
          <w:szCs w:val="20"/>
        </w:rPr>
      </w:pPr>
      <w:r w:rsidRPr="00794D56">
        <w:rPr>
          <w:sz w:val="20"/>
          <w:szCs w:val="20"/>
        </w:rPr>
        <w:t>International Organization for the</w:t>
      </w:r>
      <w:r w:rsidR="006C21EA">
        <w:rPr>
          <w:sz w:val="20"/>
          <w:szCs w:val="20"/>
        </w:rPr>
        <w:br/>
      </w:r>
      <w:r w:rsidRPr="00794D56">
        <w:rPr>
          <w:sz w:val="20"/>
          <w:szCs w:val="20"/>
        </w:rPr>
        <w:t xml:space="preserve"> Elimination of all Forms of Racial</w:t>
      </w:r>
      <w:r w:rsidR="006C21EA">
        <w:rPr>
          <w:sz w:val="20"/>
          <w:szCs w:val="20"/>
        </w:rPr>
        <w:br/>
      </w:r>
      <w:r w:rsidRPr="00794D56">
        <w:rPr>
          <w:sz w:val="20"/>
          <w:szCs w:val="20"/>
        </w:rPr>
        <w:t xml:space="preserve"> Discrimination</w:t>
      </w:r>
    </w:p>
    <w:p w14:paraId="759BC444" w14:textId="35D94463" w:rsidR="00794D56" w:rsidRPr="00794D56" w:rsidRDefault="00794D56" w:rsidP="000571B6">
      <w:pPr>
        <w:suppressAutoHyphens/>
        <w:spacing w:line="240" w:lineRule="atLeast"/>
        <w:ind w:left="1134"/>
        <w:rPr>
          <w:sz w:val="20"/>
          <w:szCs w:val="20"/>
        </w:rPr>
      </w:pPr>
      <w:r w:rsidRPr="00794D56">
        <w:rPr>
          <w:sz w:val="20"/>
          <w:szCs w:val="20"/>
        </w:rPr>
        <w:t>International Organization for the Right</w:t>
      </w:r>
      <w:r w:rsidR="006C21EA">
        <w:rPr>
          <w:sz w:val="20"/>
          <w:szCs w:val="20"/>
        </w:rPr>
        <w:br/>
      </w:r>
      <w:r w:rsidRPr="00794D56">
        <w:rPr>
          <w:sz w:val="20"/>
          <w:szCs w:val="20"/>
        </w:rPr>
        <w:t xml:space="preserve"> to Education and Freedom of Education</w:t>
      </w:r>
      <w:r w:rsidR="006C21EA">
        <w:rPr>
          <w:sz w:val="20"/>
          <w:szCs w:val="20"/>
        </w:rPr>
        <w:br/>
      </w:r>
      <w:r w:rsidRPr="00794D56">
        <w:rPr>
          <w:sz w:val="20"/>
          <w:szCs w:val="20"/>
        </w:rPr>
        <w:t xml:space="preserve"> (OIDEL)</w:t>
      </w:r>
    </w:p>
    <w:p w14:paraId="73C56953" w14:textId="77777777" w:rsidR="00794D56" w:rsidRPr="00794D56" w:rsidRDefault="00794D56" w:rsidP="000571B6">
      <w:pPr>
        <w:suppressAutoHyphens/>
        <w:spacing w:line="240" w:lineRule="atLeast"/>
        <w:ind w:left="1134"/>
        <w:rPr>
          <w:sz w:val="20"/>
          <w:szCs w:val="20"/>
        </w:rPr>
      </w:pPr>
      <w:r w:rsidRPr="00794D56">
        <w:rPr>
          <w:sz w:val="20"/>
          <w:szCs w:val="20"/>
        </w:rPr>
        <w:t>International Pen</w:t>
      </w:r>
    </w:p>
    <w:p w14:paraId="77668278" w14:textId="134854DC" w:rsidR="00794D56" w:rsidRPr="00794D56" w:rsidRDefault="00794D56" w:rsidP="000571B6">
      <w:pPr>
        <w:suppressAutoHyphens/>
        <w:spacing w:line="240" w:lineRule="atLeast"/>
        <w:ind w:left="1134"/>
        <w:rPr>
          <w:sz w:val="20"/>
          <w:szCs w:val="20"/>
        </w:rPr>
      </w:pPr>
      <w:r w:rsidRPr="00794D56">
        <w:rPr>
          <w:sz w:val="20"/>
          <w:szCs w:val="20"/>
        </w:rPr>
        <w:t>International Planned Parenthood</w:t>
      </w:r>
      <w:r w:rsidR="006C21EA">
        <w:rPr>
          <w:sz w:val="20"/>
          <w:szCs w:val="20"/>
        </w:rPr>
        <w:br/>
      </w:r>
      <w:r w:rsidRPr="00794D56">
        <w:rPr>
          <w:sz w:val="20"/>
          <w:szCs w:val="20"/>
        </w:rPr>
        <w:t xml:space="preserve"> Federation</w:t>
      </w:r>
    </w:p>
    <w:p w14:paraId="32A83666" w14:textId="77777777" w:rsidR="00794D56" w:rsidRPr="00794D56" w:rsidRDefault="00794D56" w:rsidP="000571B6">
      <w:pPr>
        <w:suppressAutoHyphens/>
        <w:spacing w:line="240" w:lineRule="atLeast"/>
        <w:ind w:left="1134"/>
        <w:rPr>
          <w:sz w:val="20"/>
          <w:szCs w:val="20"/>
        </w:rPr>
      </w:pPr>
      <w:r w:rsidRPr="00794D56">
        <w:rPr>
          <w:sz w:val="20"/>
          <w:szCs w:val="20"/>
        </w:rPr>
        <w:t>International Relief Services</w:t>
      </w:r>
    </w:p>
    <w:p w14:paraId="7A3BA3D1" w14:textId="77777777" w:rsidR="00794D56" w:rsidRPr="00794D56" w:rsidRDefault="00794D56" w:rsidP="000571B6">
      <w:pPr>
        <w:suppressAutoHyphens/>
        <w:spacing w:line="240" w:lineRule="atLeast"/>
        <w:ind w:left="1134"/>
        <w:rPr>
          <w:sz w:val="20"/>
          <w:szCs w:val="20"/>
        </w:rPr>
      </w:pPr>
      <w:r w:rsidRPr="00794D56">
        <w:rPr>
          <w:sz w:val="20"/>
          <w:szCs w:val="20"/>
        </w:rPr>
        <w:t xml:space="preserve">International Service for Human Rights </w:t>
      </w:r>
    </w:p>
    <w:p w14:paraId="21261925" w14:textId="07314BCB" w:rsidR="00794D56" w:rsidRPr="00794D56" w:rsidRDefault="00794D56" w:rsidP="000571B6">
      <w:pPr>
        <w:suppressAutoHyphens/>
        <w:spacing w:line="240" w:lineRule="atLeast"/>
        <w:ind w:left="1134"/>
        <w:rPr>
          <w:sz w:val="20"/>
          <w:szCs w:val="20"/>
        </w:rPr>
      </w:pPr>
      <w:r w:rsidRPr="00794D56">
        <w:rPr>
          <w:sz w:val="20"/>
          <w:szCs w:val="20"/>
        </w:rPr>
        <w:t>International Volunteerism Organization</w:t>
      </w:r>
      <w:r w:rsidR="006C21EA">
        <w:rPr>
          <w:sz w:val="20"/>
          <w:szCs w:val="20"/>
        </w:rPr>
        <w:br/>
      </w:r>
      <w:r w:rsidRPr="00794D56">
        <w:rPr>
          <w:sz w:val="20"/>
          <w:szCs w:val="20"/>
        </w:rPr>
        <w:t xml:space="preserve"> for Women, Education and Development</w:t>
      </w:r>
      <w:r w:rsidR="006C21EA">
        <w:rPr>
          <w:sz w:val="20"/>
          <w:szCs w:val="20"/>
        </w:rPr>
        <w:br/>
      </w:r>
      <w:r w:rsidRPr="00794D56">
        <w:rPr>
          <w:sz w:val="20"/>
          <w:szCs w:val="20"/>
        </w:rPr>
        <w:t xml:space="preserve"> – VIDES</w:t>
      </w:r>
    </w:p>
    <w:p w14:paraId="7496EDB6" w14:textId="5975123D" w:rsidR="00794D56" w:rsidRPr="00794D56" w:rsidRDefault="00794D56" w:rsidP="000571B6">
      <w:pPr>
        <w:suppressAutoHyphens/>
        <w:spacing w:line="240" w:lineRule="atLeast"/>
        <w:ind w:left="1134"/>
        <w:rPr>
          <w:sz w:val="20"/>
          <w:szCs w:val="20"/>
        </w:rPr>
      </w:pPr>
      <w:r w:rsidRPr="00794D56">
        <w:rPr>
          <w:sz w:val="20"/>
          <w:szCs w:val="20"/>
        </w:rPr>
        <w:t>International Womens Rights Action</w:t>
      </w:r>
      <w:r w:rsidR="006C21EA">
        <w:rPr>
          <w:sz w:val="20"/>
          <w:szCs w:val="20"/>
        </w:rPr>
        <w:br/>
      </w:r>
      <w:r w:rsidRPr="00794D56">
        <w:rPr>
          <w:sz w:val="20"/>
          <w:szCs w:val="20"/>
        </w:rPr>
        <w:t xml:space="preserve"> Watch Asia Parcific</w:t>
      </w:r>
    </w:p>
    <w:p w14:paraId="3DE81AEA" w14:textId="7AB6F4A8" w:rsidR="00794D56" w:rsidRPr="00794D56" w:rsidRDefault="00794D56" w:rsidP="000571B6">
      <w:pPr>
        <w:suppressAutoHyphens/>
        <w:spacing w:line="240" w:lineRule="atLeast"/>
        <w:ind w:left="1134"/>
        <w:rPr>
          <w:sz w:val="20"/>
          <w:szCs w:val="20"/>
        </w:rPr>
      </w:pPr>
      <w:r w:rsidRPr="00794D56">
        <w:rPr>
          <w:sz w:val="20"/>
          <w:szCs w:val="20"/>
        </w:rPr>
        <w:t>International Youth and Student</w:t>
      </w:r>
      <w:r w:rsidR="006C21EA">
        <w:rPr>
          <w:sz w:val="20"/>
          <w:szCs w:val="20"/>
        </w:rPr>
        <w:br/>
      </w:r>
      <w:r w:rsidRPr="00794D56">
        <w:rPr>
          <w:sz w:val="20"/>
          <w:szCs w:val="20"/>
        </w:rPr>
        <w:t xml:space="preserve"> Movement for the United Nations</w:t>
      </w:r>
    </w:p>
    <w:p w14:paraId="0C5D6312" w14:textId="77777777" w:rsidR="00794D56" w:rsidRPr="00794D56" w:rsidRDefault="00794D56" w:rsidP="000571B6">
      <w:pPr>
        <w:suppressAutoHyphens/>
        <w:spacing w:line="240" w:lineRule="atLeast"/>
        <w:ind w:left="1134"/>
        <w:rPr>
          <w:sz w:val="20"/>
          <w:szCs w:val="20"/>
        </w:rPr>
      </w:pPr>
      <w:r w:rsidRPr="00794D56">
        <w:rPr>
          <w:sz w:val="20"/>
          <w:szCs w:val="20"/>
        </w:rPr>
        <w:t>International-Lawyers.Org</w:t>
      </w:r>
    </w:p>
    <w:p w14:paraId="75AE57C4" w14:textId="4C62DBC1" w:rsidR="00794D56" w:rsidRPr="00794D56" w:rsidRDefault="00794D56" w:rsidP="000571B6">
      <w:pPr>
        <w:suppressAutoHyphens/>
        <w:spacing w:line="240" w:lineRule="atLeast"/>
        <w:ind w:left="1134"/>
        <w:rPr>
          <w:sz w:val="20"/>
          <w:szCs w:val="20"/>
        </w:rPr>
      </w:pPr>
      <w:r w:rsidRPr="00794D56">
        <w:rPr>
          <w:sz w:val="20"/>
          <w:szCs w:val="20"/>
        </w:rPr>
        <w:t>Iran Human Rights Documentation</w:t>
      </w:r>
      <w:r w:rsidR="006C21EA">
        <w:rPr>
          <w:sz w:val="20"/>
          <w:szCs w:val="20"/>
        </w:rPr>
        <w:br/>
      </w:r>
      <w:r w:rsidRPr="00794D56">
        <w:rPr>
          <w:sz w:val="20"/>
          <w:szCs w:val="20"/>
        </w:rPr>
        <w:t xml:space="preserve"> Center</w:t>
      </w:r>
    </w:p>
    <w:p w14:paraId="3C69FD2E" w14:textId="77777777" w:rsidR="00794D56" w:rsidRPr="00794D56" w:rsidRDefault="00794D56" w:rsidP="000571B6">
      <w:pPr>
        <w:suppressAutoHyphens/>
        <w:spacing w:line="240" w:lineRule="atLeast"/>
        <w:ind w:left="1134"/>
        <w:rPr>
          <w:sz w:val="20"/>
          <w:szCs w:val="20"/>
        </w:rPr>
      </w:pPr>
      <w:r w:rsidRPr="00794D56">
        <w:rPr>
          <w:sz w:val="20"/>
          <w:szCs w:val="20"/>
        </w:rPr>
        <w:t>Iranian Elite Research Center</w:t>
      </w:r>
    </w:p>
    <w:p w14:paraId="492294AB" w14:textId="77777777" w:rsidR="00794D56" w:rsidRPr="00794D56" w:rsidRDefault="00794D56" w:rsidP="000571B6">
      <w:pPr>
        <w:suppressAutoHyphens/>
        <w:spacing w:line="240" w:lineRule="atLeast"/>
        <w:ind w:left="1134"/>
        <w:rPr>
          <w:sz w:val="20"/>
          <w:szCs w:val="20"/>
        </w:rPr>
      </w:pPr>
      <w:r w:rsidRPr="00794D56">
        <w:rPr>
          <w:sz w:val="20"/>
          <w:szCs w:val="20"/>
        </w:rPr>
        <w:t>Iraqi Development Organization</w:t>
      </w:r>
    </w:p>
    <w:p w14:paraId="4EAE3E7C" w14:textId="77777777" w:rsidR="00794D56" w:rsidRPr="00794D56" w:rsidRDefault="00794D56" w:rsidP="000571B6">
      <w:pPr>
        <w:suppressAutoHyphens/>
        <w:spacing w:line="240" w:lineRule="atLeast"/>
        <w:ind w:left="1134"/>
        <w:rPr>
          <w:sz w:val="20"/>
          <w:szCs w:val="20"/>
        </w:rPr>
      </w:pPr>
      <w:r w:rsidRPr="00794D56">
        <w:rPr>
          <w:sz w:val="20"/>
          <w:szCs w:val="20"/>
        </w:rPr>
        <w:t>Iuventum e.v.</w:t>
      </w:r>
    </w:p>
    <w:p w14:paraId="4CD8B642" w14:textId="04C12A8A" w:rsidR="00794D56" w:rsidRPr="00794D56" w:rsidRDefault="00794D56" w:rsidP="000571B6">
      <w:pPr>
        <w:suppressAutoHyphens/>
        <w:spacing w:line="240" w:lineRule="atLeast"/>
        <w:ind w:left="1134"/>
        <w:rPr>
          <w:sz w:val="20"/>
          <w:szCs w:val="20"/>
        </w:rPr>
      </w:pPr>
      <w:r w:rsidRPr="00794D56">
        <w:rPr>
          <w:sz w:val="20"/>
          <w:szCs w:val="20"/>
        </w:rPr>
        <w:t xml:space="preserve">Jameh Ehyagaran Teb Sonnati </w:t>
      </w:r>
      <w:proofErr w:type="gramStart"/>
      <w:r w:rsidRPr="00794D56">
        <w:rPr>
          <w:sz w:val="20"/>
          <w:szCs w:val="20"/>
        </w:rPr>
        <w:t>Va</w:t>
      </w:r>
      <w:proofErr w:type="gramEnd"/>
      <w:r w:rsidR="006C21EA">
        <w:rPr>
          <w:sz w:val="20"/>
          <w:szCs w:val="20"/>
        </w:rPr>
        <w:br/>
      </w:r>
      <w:r w:rsidRPr="00794D56">
        <w:rPr>
          <w:sz w:val="20"/>
          <w:szCs w:val="20"/>
        </w:rPr>
        <w:t xml:space="preserve"> Salamat Iranian</w:t>
      </w:r>
    </w:p>
    <w:p w14:paraId="6E822E9D" w14:textId="77777777" w:rsidR="000571B6" w:rsidRDefault="00794D56" w:rsidP="000571B6">
      <w:pPr>
        <w:suppressAutoHyphens/>
        <w:spacing w:line="240" w:lineRule="atLeast"/>
        <w:ind w:left="1134"/>
        <w:rPr>
          <w:sz w:val="20"/>
          <w:szCs w:val="20"/>
        </w:rPr>
      </w:pPr>
      <w:r w:rsidRPr="00794D56">
        <w:rPr>
          <w:sz w:val="20"/>
          <w:szCs w:val="20"/>
        </w:rPr>
        <w:t>Japanese Workers’ Committee for</w:t>
      </w:r>
      <w:r w:rsidR="006C21EA">
        <w:rPr>
          <w:sz w:val="20"/>
          <w:szCs w:val="20"/>
        </w:rPr>
        <w:br/>
      </w:r>
      <w:r w:rsidRPr="00794D56">
        <w:rPr>
          <w:sz w:val="20"/>
          <w:szCs w:val="20"/>
        </w:rPr>
        <w:t xml:space="preserve"> Human Rights</w:t>
      </w:r>
    </w:p>
    <w:p w14:paraId="382BCE18" w14:textId="1F1E752E" w:rsidR="00794D56" w:rsidRPr="00794D56" w:rsidRDefault="00794D56" w:rsidP="000571B6">
      <w:pPr>
        <w:suppressAutoHyphens/>
        <w:spacing w:line="240" w:lineRule="atLeast"/>
        <w:ind w:left="1134"/>
        <w:rPr>
          <w:sz w:val="20"/>
          <w:szCs w:val="20"/>
        </w:rPr>
      </w:pPr>
      <w:r w:rsidRPr="00794D56">
        <w:rPr>
          <w:sz w:val="20"/>
          <w:szCs w:val="20"/>
        </w:rPr>
        <w:t>Jeunesse Etudiante Tamoule</w:t>
      </w:r>
    </w:p>
    <w:p w14:paraId="3B7F5306" w14:textId="77777777" w:rsidR="000571B6" w:rsidRDefault="00794D56" w:rsidP="000571B6">
      <w:pPr>
        <w:suppressAutoHyphens/>
        <w:spacing w:line="240" w:lineRule="atLeast"/>
        <w:ind w:left="1134"/>
        <w:rPr>
          <w:sz w:val="20"/>
          <w:szCs w:val="20"/>
        </w:rPr>
      </w:pPr>
      <w:r w:rsidRPr="00794D56">
        <w:rPr>
          <w:sz w:val="20"/>
          <w:szCs w:val="20"/>
        </w:rPr>
        <w:t>Jossour Forum des Femmes Marocaines</w:t>
      </w:r>
    </w:p>
    <w:p w14:paraId="411A8C72" w14:textId="77777777" w:rsidR="000571B6" w:rsidRDefault="00794D56" w:rsidP="000571B6">
      <w:pPr>
        <w:suppressAutoHyphens/>
        <w:spacing w:line="240" w:lineRule="atLeast"/>
        <w:ind w:left="1134"/>
        <w:rPr>
          <w:sz w:val="20"/>
          <w:szCs w:val="20"/>
        </w:rPr>
      </w:pPr>
      <w:r w:rsidRPr="00794D56">
        <w:rPr>
          <w:sz w:val="20"/>
          <w:szCs w:val="20"/>
        </w:rPr>
        <w:t>Jssor Youth Organization</w:t>
      </w:r>
    </w:p>
    <w:p w14:paraId="01EEBDF8" w14:textId="77777777" w:rsidR="000571B6" w:rsidRDefault="00794D56" w:rsidP="000571B6">
      <w:pPr>
        <w:suppressAutoHyphens/>
        <w:spacing w:line="240" w:lineRule="atLeast"/>
        <w:ind w:left="1134"/>
        <w:rPr>
          <w:sz w:val="20"/>
          <w:szCs w:val="20"/>
        </w:rPr>
      </w:pPr>
      <w:r w:rsidRPr="00794D56">
        <w:rPr>
          <w:sz w:val="20"/>
          <w:szCs w:val="20"/>
        </w:rPr>
        <w:t>Jubilee Campaign</w:t>
      </w:r>
    </w:p>
    <w:p w14:paraId="44039426" w14:textId="47D3E0A9" w:rsidR="00794D56" w:rsidRPr="00794D56" w:rsidRDefault="00794D56" w:rsidP="000571B6">
      <w:pPr>
        <w:suppressAutoHyphens/>
        <w:spacing w:line="240" w:lineRule="atLeast"/>
        <w:ind w:left="1134"/>
        <w:rPr>
          <w:sz w:val="20"/>
          <w:szCs w:val="20"/>
        </w:rPr>
      </w:pPr>
      <w:r w:rsidRPr="00794D56">
        <w:rPr>
          <w:sz w:val="20"/>
          <w:szCs w:val="20"/>
        </w:rPr>
        <w:t>Khiam Rehabilitation Centre for Victims</w:t>
      </w:r>
      <w:r w:rsidR="000571B6">
        <w:rPr>
          <w:sz w:val="20"/>
          <w:szCs w:val="20"/>
        </w:rPr>
        <w:br/>
      </w:r>
      <w:r w:rsidRPr="00794D56">
        <w:rPr>
          <w:sz w:val="20"/>
          <w:szCs w:val="20"/>
        </w:rPr>
        <w:t xml:space="preserve"> of Torture</w:t>
      </w:r>
    </w:p>
    <w:p w14:paraId="58575E54" w14:textId="77777777" w:rsidR="00794D56" w:rsidRPr="00794D56" w:rsidRDefault="00794D56" w:rsidP="000571B6">
      <w:pPr>
        <w:suppressAutoHyphens/>
        <w:spacing w:line="240" w:lineRule="atLeast"/>
        <w:ind w:left="1134"/>
        <w:rPr>
          <w:sz w:val="20"/>
          <w:szCs w:val="20"/>
        </w:rPr>
      </w:pPr>
      <w:r w:rsidRPr="00794D56">
        <w:rPr>
          <w:sz w:val="20"/>
          <w:szCs w:val="20"/>
        </w:rPr>
        <w:t>Lawyers’ Rights Watch Canada</w:t>
      </w:r>
    </w:p>
    <w:p w14:paraId="3B32F8FF" w14:textId="765945EA" w:rsidR="00794D56" w:rsidRPr="00794D56" w:rsidRDefault="00794D56" w:rsidP="00DF5926">
      <w:pPr>
        <w:ind w:right="348"/>
        <w:rPr>
          <w:sz w:val="20"/>
          <w:szCs w:val="20"/>
        </w:rPr>
      </w:pPr>
      <w:r w:rsidRPr="00794D56">
        <w:rPr>
          <w:sz w:val="20"/>
          <w:szCs w:val="20"/>
        </w:rPr>
        <w:t>Le Conseil des Jeunes Congolais de l’Etranger</w:t>
      </w:r>
      <w:r w:rsidR="00DF5926">
        <w:rPr>
          <w:sz w:val="20"/>
          <w:szCs w:val="20"/>
        </w:rPr>
        <w:br/>
      </w:r>
      <w:r w:rsidRPr="00794D56">
        <w:rPr>
          <w:sz w:val="20"/>
          <w:szCs w:val="20"/>
        </w:rPr>
        <w:t xml:space="preserve"> (CJCE)</w:t>
      </w:r>
    </w:p>
    <w:p w14:paraId="2D871991" w14:textId="77777777" w:rsidR="00794D56" w:rsidRPr="00794D56" w:rsidRDefault="00794D56" w:rsidP="00DF5926">
      <w:pPr>
        <w:ind w:right="348"/>
        <w:rPr>
          <w:sz w:val="20"/>
          <w:szCs w:val="20"/>
        </w:rPr>
      </w:pPr>
      <w:r w:rsidRPr="00794D56">
        <w:rPr>
          <w:sz w:val="20"/>
          <w:szCs w:val="20"/>
        </w:rPr>
        <w:t>Le Pont</w:t>
      </w:r>
    </w:p>
    <w:p w14:paraId="32EC9BBB" w14:textId="77777777" w:rsidR="00794D56" w:rsidRPr="00794D56" w:rsidRDefault="00794D56" w:rsidP="00DF5926">
      <w:pPr>
        <w:ind w:right="348"/>
        <w:rPr>
          <w:sz w:val="20"/>
          <w:szCs w:val="20"/>
        </w:rPr>
      </w:pPr>
      <w:r w:rsidRPr="00794D56">
        <w:rPr>
          <w:sz w:val="20"/>
          <w:szCs w:val="20"/>
        </w:rPr>
        <w:t>Liberation</w:t>
      </w:r>
    </w:p>
    <w:p w14:paraId="55ABFDA2" w14:textId="3000900D" w:rsidR="00794D56" w:rsidRPr="00794D56" w:rsidRDefault="00794D56" w:rsidP="00DF5926">
      <w:pPr>
        <w:ind w:right="348"/>
        <w:rPr>
          <w:sz w:val="20"/>
          <w:szCs w:val="20"/>
        </w:rPr>
      </w:pPr>
      <w:r w:rsidRPr="00794D56">
        <w:rPr>
          <w:sz w:val="20"/>
          <w:szCs w:val="20"/>
        </w:rPr>
        <w:t>L’Observatoire Mauritanien des Droits de</w:t>
      </w:r>
      <w:r w:rsidR="00DF5926">
        <w:rPr>
          <w:sz w:val="20"/>
          <w:szCs w:val="20"/>
        </w:rPr>
        <w:br/>
      </w:r>
      <w:r w:rsidRPr="00794D56">
        <w:rPr>
          <w:sz w:val="20"/>
          <w:szCs w:val="20"/>
        </w:rPr>
        <w:t xml:space="preserve"> l’Homme </w:t>
      </w:r>
      <w:proofErr w:type="gramStart"/>
      <w:r w:rsidRPr="00794D56">
        <w:rPr>
          <w:sz w:val="20"/>
          <w:szCs w:val="20"/>
        </w:rPr>
        <w:t>et</w:t>
      </w:r>
      <w:proofErr w:type="gramEnd"/>
      <w:r w:rsidRPr="00794D56">
        <w:rPr>
          <w:sz w:val="20"/>
          <w:szCs w:val="20"/>
        </w:rPr>
        <w:t xml:space="preserve"> de la Démocratie</w:t>
      </w:r>
    </w:p>
    <w:p w14:paraId="422E05DF" w14:textId="77777777" w:rsidR="00794D56" w:rsidRPr="00794D56" w:rsidRDefault="00794D56" w:rsidP="00DF5926">
      <w:pPr>
        <w:ind w:right="348"/>
        <w:rPr>
          <w:sz w:val="20"/>
          <w:szCs w:val="20"/>
        </w:rPr>
      </w:pPr>
      <w:r w:rsidRPr="00794D56">
        <w:rPr>
          <w:sz w:val="20"/>
          <w:szCs w:val="20"/>
        </w:rPr>
        <w:t>Lutheran World Federation</w:t>
      </w:r>
    </w:p>
    <w:p w14:paraId="7AA40391" w14:textId="79FDEFCA" w:rsidR="00794D56" w:rsidRPr="00794D56" w:rsidRDefault="00794D56" w:rsidP="00DF5926">
      <w:pPr>
        <w:ind w:right="348"/>
        <w:rPr>
          <w:sz w:val="20"/>
          <w:szCs w:val="20"/>
        </w:rPr>
      </w:pPr>
      <w:r w:rsidRPr="00794D56">
        <w:rPr>
          <w:sz w:val="20"/>
          <w:szCs w:val="20"/>
        </w:rPr>
        <w:t>Maarij Foundation for Peace and Development</w:t>
      </w:r>
    </w:p>
    <w:p w14:paraId="3954B9DE" w14:textId="4C0ED825" w:rsidR="00794D56" w:rsidRPr="00794D56" w:rsidRDefault="00794D56" w:rsidP="00DF5926">
      <w:pPr>
        <w:ind w:right="348"/>
        <w:rPr>
          <w:sz w:val="20"/>
          <w:szCs w:val="20"/>
        </w:rPr>
      </w:pPr>
      <w:r w:rsidRPr="00794D56">
        <w:rPr>
          <w:sz w:val="20"/>
          <w:szCs w:val="20"/>
        </w:rPr>
        <w:t>Maat for Peace, Development and Human Rights</w:t>
      </w:r>
      <w:r w:rsidR="00DF5926">
        <w:rPr>
          <w:sz w:val="20"/>
          <w:szCs w:val="20"/>
        </w:rPr>
        <w:br/>
      </w:r>
      <w:r w:rsidRPr="00794D56">
        <w:rPr>
          <w:sz w:val="20"/>
          <w:szCs w:val="20"/>
        </w:rPr>
        <w:t xml:space="preserve"> Association</w:t>
      </w:r>
    </w:p>
    <w:p w14:paraId="026B4721" w14:textId="77777777" w:rsidR="00794D56" w:rsidRPr="00794D56" w:rsidRDefault="00794D56" w:rsidP="00DF5926">
      <w:pPr>
        <w:ind w:right="348"/>
        <w:rPr>
          <w:sz w:val="20"/>
          <w:szCs w:val="20"/>
        </w:rPr>
      </w:pPr>
      <w:r w:rsidRPr="00794D56">
        <w:rPr>
          <w:sz w:val="20"/>
          <w:szCs w:val="20"/>
        </w:rPr>
        <w:t>Make Mothers Matter</w:t>
      </w:r>
    </w:p>
    <w:p w14:paraId="2254EF47" w14:textId="6437F034" w:rsidR="00794D56" w:rsidRPr="00794D56" w:rsidRDefault="00794D56" w:rsidP="000571B6">
      <w:pPr>
        <w:ind w:right="348"/>
        <w:rPr>
          <w:sz w:val="20"/>
          <w:szCs w:val="20"/>
        </w:rPr>
      </w:pPr>
      <w:r w:rsidRPr="00794D56">
        <w:rPr>
          <w:sz w:val="20"/>
          <w:szCs w:val="20"/>
        </w:rPr>
        <w:t>Mbororo Social and Cultural Development</w:t>
      </w:r>
      <w:r w:rsidR="00DF5926">
        <w:rPr>
          <w:sz w:val="20"/>
          <w:szCs w:val="20"/>
        </w:rPr>
        <w:br/>
      </w:r>
      <w:r w:rsidRPr="00794D56">
        <w:rPr>
          <w:sz w:val="20"/>
          <w:szCs w:val="20"/>
        </w:rPr>
        <w:t xml:space="preserve"> Association</w:t>
      </w:r>
    </w:p>
    <w:p w14:paraId="2F6C33DC" w14:textId="77777777" w:rsidR="00794D56" w:rsidRPr="00794D56" w:rsidRDefault="00794D56" w:rsidP="000571B6">
      <w:pPr>
        <w:ind w:right="348"/>
        <w:rPr>
          <w:sz w:val="20"/>
          <w:szCs w:val="20"/>
        </w:rPr>
      </w:pPr>
      <w:r w:rsidRPr="00794D56">
        <w:rPr>
          <w:sz w:val="20"/>
          <w:szCs w:val="20"/>
        </w:rPr>
        <w:t>Medecins du Monde (international)</w:t>
      </w:r>
    </w:p>
    <w:p w14:paraId="650E5A2F" w14:textId="77777777" w:rsidR="00794D56" w:rsidRPr="00794D56" w:rsidRDefault="00794D56" w:rsidP="000571B6">
      <w:pPr>
        <w:ind w:right="348"/>
        <w:rPr>
          <w:sz w:val="20"/>
          <w:szCs w:val="20"/>
        </w:rPr>
      </w:pPr>
      <w:r w:rsidRPr="00794D56">
        <w:rPr>
          <w:sz w:val="20"/>
          <w:szCs w:val="20"/>
        </w:rPr>
        <w:t>Medical Aid for Palestinians (MAP)</w:t>
      </w:r>
    </w:p>
    <w:p w14:paraId="72A6A00D" w14:textId="77777777" w:rsidR="00794D56" w:rsidRPr="00794D56" w:rsidRDefault="00794D56" w:rsidP="000571B6">
      <w:pPr>
        <w:ind w:right="348"/>
        <w:rPr>
          <w:sz w:val="20"/>
          <w:szCs w:val="20"/>
        </w:rPr>
      </w:pPr>
      <w:r w:rsidRPr="00794D56">
        <w:rPr>
          <w:sz w:val="20"/>
          <w:szCs w:val="20"/>
        </w:rPr>
        <w:t>Meezaan Center for Human Rights</w:t>
      </w:r>
    </w:p>
    <w:p w14:paraId="7D5710E6" w14:textId="77777777" w:rsidR="00794D56" w:rsidRPr="00794D56" w:rsidRDefault="00794D56" w:rsidP="000571B6">
      <w:pPr>
        <w:ind w:right="348"/>
        <w:rPr>
          <w:sz w:val="20"/>
          <w:szCs w:val="20"/>
        </w:rPr>
      </w:pPr>
      <w:r w:rsidRPr="00794D56">
        <w:rPr>
          <w:sz w:val="20"/>
          <w:szCs w:val="20"/>
        </w:rPr>
        <w:t>Minority Rights Group</w:t>
      </w:r>
    </w:p>
    <w:p w14:paraId="269136FC" w14:textId="32C923C2" w:rsidR="00794D56" w:rsidRPr="00794D56" w:rsidRDefault="00794D56" w:rsidP="000571B6">
      <w:pPr>
        <w:ind w:right="348"/>
        <w:rPr>
          <w:sz w:val="20"/>
          <w:szCs w:val="20"/>
        </w:rPr>
      </w:pPr>
      <w:r w:rsidRPr="00794D56">
        <w:rPr>
          <w:sz w:val="20"/>
          <w:szCs w:val="20"/>
        </w:rPr>
        <w:t xml:space="preserve">Mouvement contre le racisme </w:t>
      </w:r>
      <w:proofErr w:type="gramStart"/>
      <w:r w:rsidRPr="00794D56">
        <w:rPr>
          <w:sz w:val="20"/>
          <w:szCs w:val="20"/>
        </w:rPr>
        <w:t>et</w:t>
      </w:r>
      <w:proofErr w:type="gramEnd"/>
      <w:r w:rsidRPr="00794D56">
        <w:rPr>
          <w:sz w:val="20"/>
          <w:szCs w:val="20"/>
        </w:rPr>
        <w:t xml:space="preserve"> pour l’amitié</w:t>
      </w:r>
      <w:r w:rsidR="000571B6">
        <w:rPr>
          <w:sz w:val="20"/>
          <w:szCs w:val="20"/>
        </w:rPr>
        <w:br/>
      </w:r>
      <w:r w:rsidRPr="00794D56">
        <w:rPr>
          <w:sz w:val="20"/>
          <w:szCs w:val="20"/>
        </w:rPr>
        <w:t xml:space="preserve"> entre les peuples</w:t>
      </w:r>
    </w:p>
    <w:p w14:paraId="2BF72CA0" w14:textId="77777777" w:rsidR="00794D56" w:rsidRPr="00794D56" w:rsidRDefault="00794D56" w:rsidP="000571B6">
      <w:pPr>
        <w:ind w:right="348"/>
        <w:rPr>
          <w:sz w:val="20"/>
          <w:szCs w:val="20"/>
        </w:rPr>
      </w:pPr>
      <w:r w:rsidRPr="00794D56">
        <w:rPr>
          <w:sz w:val="20"/>
          <w:szCs w:val="20"/>
        </w:rPr>
        <w:t>National Association of Cuban Economists</w:t>
      </w:r>
    </w:p>
    <w:p w14:paraId="4477D01D" w14:textId="77777777" w:rsidR="00794D56" w:rsidRPr="00794D56" w:rsidRDefault="00794D56" w:rsidP="000571B6">
      <w:pPr>
        <w:ind w:right="348"/>
        <w:rPr>
          <w:sz w:val="20"/>
          <w:szCs w:val="20"/>
        </w:rPr>
      </w:pPr>
      <w:r w:rsidRPr="00794D56">
        <w:rPr>
          <w:sz w:val="20"/>
          <w:szCs w:val="20"/>
        </w:rPr>
        <w:t xml:space="preserve">National Union of Jurists of Cuba, The </w:t>
      </w:r>
    </w:p>
    <w:p w14:paraId="65460496" w14:textId="206399C1" w:rsidR="00794D56" w:rsidRPr="00794D56" w:rsidRDefault="00794D56" w:rsidP="000571B6">
      <w:pPr>
        <w:ind w:right="348"/>
        <w:rPr>
          <w:sz w:val="20"/>
          <w:szCs w:val="20"/>
        </w:rPr>
      </w:pPr>
      <w:r w:rsidRPr="00794D56">
        <w:rPr>
          <w:sz w:val="20"/>
          <w:szCs w:val="20"/>
        </w:rPr>
        <w:t>Network of Women’s Non-governmental</w:t>
      </w:r>
      <w:r w:rsidR="000571B6">
        <w:rPr>
          <w:sz w:val="20"/>
          <w:szCs w:val="20"/>
        </w:rPr>
        <w:br/>
      </w:r>
      <w:r w:rsidRPr="00794D56">
        <w:rPr>
          <w:sz w:val="20"/>
          <w:szCs w:val="20"/>
        </w:rPr>
        <w:t xml:space="preserve"> Organizations in the Islamic Republic of Iran</w:t>
      </w:r>
    </w:p>
    <w:p w14:paraId="6A732716" w14:textId="66EB1706" w:rsidR="00794D56" w:rsidRPr="00794D56" w:rsidRDefault="00794D56" w:rsidP="000571B6">
      <w:pPr>
        <w:ind w:right="348"/>
        <w:rPr>
          <w:sz w:val="20"/>
          <w:szCs w:val="20"/>
        </w:rPr>
      </w:pPr>
      <w:r w:rsidRPr="00794D56">
        <w:rPr>
          <w:sz w:val="20"/>
          <w:szCs w:val="20"/>
        </w:rPr>
        <w:t>Nonviolent Radical Party, Transnational and</w:t>
      </w:r>
      <w:r w:rsidR="000571B6">
        <w:rPr>
          <w:sz w:val="20"/>
          <w:szCs w:val="20"/>
        </w:rPr>
        <w:br/>
      </w:r>
      <w:r w:rsidRPr="00794D56">
        <w:rPr>
          <w:sz w:val="20"/>
          <w:szCs w:val="20"/>
        </w:rPr>
        <w:t xml:space="preserve"> Transparty</w:t>
      </w:r>
    </w:p>
    <w:p w14:paraId="5EAF667C" w14:textId="77777777" w:rsidR="00794D56" w:rsidRPr="00794D56" w:rsidRDefault="00794D56" w:rsidP="000571B6">
      <w:pPr>
        <w:ind w:right="348"/>
        <w:rPr>
          <w:sz w:val="20"/>
          <w:szCs w:val="20"/>
        </w:rPr>
      </w:pPr>
      <w:r w:rsidRPr="00794D56">
        <w:rPr>
          <w:sz w:val="20"/>
          <w:szCs w:val="20"/>
        </w:rPr>
        <w:t>Norwegian Refugee Council</w:t>
      </w:r>
    </w:p>
    <w:p w14:paraId="1190CF84" w14:textId="2CAAF423" w:rsidR="00794D56" w:rsidRPr="00794D56" w:rsidRDefault="00794D56" w:rsidP="000571B6">
      <w:pPr>
        <w:ind w:right="348"/>
        <w:rPr>
          <w:sz w:val="20"/>
          <w:szCs w:val="20"/>
        </w:rPr>
      </w:pPr>
      <w:r w:rsidRPr="00794D56">
        <w:rPr>
          <w:sz w:val="20"/>
          <w:szCs w:val="20"/>
        </w:rPr>
        <w:t>Oidhaco, Bureau International des Droits Humains</w:t>
      </w:r>
      <w:r w:rsidR="000571B6">
        <w:rPr>
          <w:sz w:val="20"/>
          <w:szCs w:val="20"/>
        </w:rPr>
        <w:br/>
      </w:r>
      <w:r w:rsidRPr="00794D56">
        <w:rPr>
          <w:sz w:val="20"/>
          <w:szCs w:val="20"/>
        </w:rPr>
        <w:t xml:space="preserve"> - Action Colombie</w:t>
      </w:r>
    </w:p>
    <w:p w14:paraId="7B75C25B" w14:textId="77777777" w:rsidR="00794D56" w:rsidRPr="00794D56" w:rsidRDefault="00794D56" w:rsidP="000571B6">
      <w:pPr>
        <w:ind w:right="348"/>
        <w:rPr>
          <w:sz w:val="20"/>
          <w:szCs w:val="20"/>
        </w:rPr>
      </w:pPr>
      <w:r w:rsidRPr="00794D56">
        <w:rPr>
          <w:sz w:val="20"/>
          <w:szCs w:val="20"/>
        </w:rPr>
        <w:t>ONG Hope International</w:t>
      </w:r>
    </w:p>
    <w:p w14:paraId="6FAE213B" w14:textId="77777777" w:rsidR="00794D56" w:rsidRPr="00794D56" w:rsidRDefault="00794D56" w:rsidP="000571B6">
      <w:pPr>
        <w:ind w:right="348"/>
        <w:rPr>
          <w:sz w:val="20"/>
          <w:szCs w:val="20"/>
        </w:rPr>
      </w:pPr>
      <w:r w:rsidRPr="00794D56">
        <w:rPr>
          <w:sz w:val="20"/>
          <w:szCs w:val="20"/>
        </w:rPr>
        <w:t>Open Society Institute</w:t>
      </w:r>
    </w:p>
    <w:p w14:paraId="09B4E9C3" w14:textId="1F25888D" w:rsidR="00794D56" w:rsidRPr="00794D56" w:rsidRDefault="00794D56" w:rsidP="000571B6">
      <w:pPr>
        <w:ind w:right="348"/>
        <w:rPr>
          <w:sz w:val="20"/>
          <w:szCs w:val="20"/>
        </w:rPr>
      </w:pPr>
      <w:r w:rsidRPr="00794D56">
        <w:rPr>
          <w:sz w:val="20"/>
          <w:szCs w:val="20"/>
        </w:rPr>
        <w:t xml:space="preserve">Organisation </w:t>
      </w:r>
      <w:proofErr w:type="gramStart"/>
      <w:r w:rsidRPr="00794D56">
        <w:rPr>
          <w:sz w:val="20"/>
          <w:szCs w:val="20"/>
        </w:rPr>
        <w:t>internationale</w:t>
      </w:r>
      <w:proofErr w:type="gramEnd"/>
      <w:r w:rsidRPr="00794D56">
        <w:rPr>
          <w:sz w:val="20"/>
          <w:szCs w:val="20"/>
        </w:rPr>
        <w:t xml:space="preserve"> pour les pays les moins</w:t>
      </w:r>
      <w:r w:rsidR="000571B6">
        <w:rPr>
          <w:sz w:val="20"/>
          <w:szCs w:val="20"/>
        </w:rPr>
        <w:br/>
      </w:r>
      <w:r w:rsidRPr="00794D56">
        <w:rPr>
          <w:sz w:val="20"/>
          <w:szCs w:val="20"/>
        </w:rPr>
        <w:t xml:space="preserve"> avancés (OIPMA)</w:t>
      </w:r>
    </w:p>
    <w:p w14:paraId="2558D337" w14:textId="191792DF" w:rsidR="00794D56" w:rsidRPr="00794D56" w:rsidRDefault="00794D56" w:rsidP="000571B6">
      <w:pPr>
        <w:ind w:right="348"/>
        <w:rPr>
          <w:sz w:val="20"/>
          <w:szCs w:val="20"/>
        </w:rPr>
      </w:pPr>
      <w:r w:rsidRPr="00794D56">
        <w:rPr>
          <w:sz w:val="20"/>
          <w:szCs w:val="20"/>
        </w:rPr>
        <w:t xml:space="preserve">Organisation pour la communication en Afrique </w:t>
      </w:r>
      <w:proofErr w:type="gramStart"/>
      <w:r w:rsidRPr="00794D56">
        <w:rPr>
          <w:sz w:val="20"/>
          <w:szCs w:val="20"/>
        </w:rPr>
        <w:t>et</w:t>
      </w:r>
      <w:proofErr w:type="gramEnd"/>
      <w:r w:rsidR="000571B6">
        <w:rPr>
          <w:sz w:val="20"/>
          <w:szCs w:val="20"/>
        </w:rPr>
        <w:br/>
      </w:r>
      <w:r w:rsidRPr="00794D56">
        <w:rPr>
          <w:sz w:val="20"/>
          <w:szCs w:val="20"/>
        </w:rPr>
        <w:t xml:space="preserve"> de promotion de la cooperation economique</w:t>
      </w:r>
      <w:r w:rsidR="000571B6">
        <w:rPr>
          <w:sz w:val="20"/>
          <w:szCs w:val="20"/>
        </w:rPr>
        <w:br/>
      </w:r>
      <w:r w:rsidRPr="00794D56">
        <w:rPr>
          <w:sz w:val="20"/>
          <w:szCs w:val="20"/>
        </w:rPr>
        <w:t xml:space="preserve"> internationale OCAPROCE Internationale</w:t>
      </w:r>
    </w:p>
    <w:p w14:paraId="66235733" w14:textId="6B04F95F" w:rsidR="00794D56" w:rsidRPr="00794D56" w:rsidRDefault="00794D56" w:rsidP="000571B6">
      <w:pPr>
        <w:ind w:right="348"/>
        <w:rPr>
          <w:sz w:val="20"/>
          <w:szCs w:val="20"/>
        </w:rPr>
      </w:pPr>
      <w:r w:rsidRPr="00794D56">
        <w:rPr>
          <w:sz w:val="20"/>
          <w:szCs w:val="20"/>
        </w:rPr>
        <w:t>Organization for Defending Victims of Violence</w:t>
      </w:r>
    </w:p>
    <w:p w14:paraId="34007A59" w14:textId="78EB0E4E" w:rsidR="00794D56" w:rsidRPr="00794D56" w:rsidRDefault="00794D56" w:rsidP="000571B6">
      <w:pPr>
        <w:ind w:right="348"/>
        <w:rPr>
          <w:sz w:val="20"/>
          <w:szCs w:val="20"/>
        </w:rPr>
      </w:pPr>
      <w:r w:rsidRPr="00794D56">
        <w:rPr>
          <w:sz w:val="20"/>
          <w:szCs w:val="20"/>
        </w:rPr>
        <w:t>Palestinian Center for Development and Media</w:t>
      </w:r>
      <w:r w:rsidR="000571B6">
        <w:rPr>
          <w:sz w:val="20"/>
          <w:szCs w:val="20"/>
        </w:rPr>
        <w:br/>
      </w:r>
      <w:r w:rsidRPr="00794D56">
        <w:rPr>
          <w:sz w:val="20"/>
          <w:szCs w:val="20"/>
        </w:rPr>
        <w:t xml:space="preserve"> Freedoms “MADA”</w:t>
      </w:r>
    </w:p>
    <w:p w14:paraId="1162797C" w14:textId="77777777" w:rsidR="00794D56" w:rsidRPr="00794D56" w:rsidRDefault="00794D56" w:rsidP="000571B6">
      <w:pPr>
        <w:ind w:right="348"/>
        <w:rPr>
          <w:sz w:val="20"/>
          <w:szCs w:val="20"/>
        </w:rPr>
      </w:pPr>
      <w:r w:rsidRPr="00794D56">
        <w:rPr>
          <w:sz w:val="20"/>
          <w:szCs w:val="20"/>
        </w:rPr>
        <w:t>Pan African Union for Science and Technology</w:t>
      </w:r>
    </w:p>
    <w:p w14:paraId="09DB32A9" w14:textId="77777777" w:rsidR="00794D56" w:rsidRPr="00794D56" w:rsidRDefault="00794D56" w:rsidP="000571B6">
      <w:pPr>
        <w:ind w:right="348"/>
        <w:rPr>
          <w:sz w:val="20"/>
          <w:szCs w:val="20"/>
        </w:rPr>
      </w:pPr>
      <w:r w:rsidRPr="00794D56">
        <w:rPr>
          <w:sz w:val="20"/>
          <w:szCs w:val="20"/>
        </w:rPr>
        <w:t>Pasumai Thaayagam Foundation</w:t>
      </w:r>
    </w:p>
    <w:p w14:paraId="3933421B" w14:textId="77777777" w:rsidR="00794D56" w:rsidRPr="00794D56" w:rsidRDefault="00794D56" w:rsidP="000571B6">
      <w:pPr>
        <w:ind w:right="348"/>
        <w:rPr>
          <w:sz w:val="20"/>
          <w:szCs w:val="20"/>
        </w:rPr>
      </w:pPr>
      <w:r w:rsidRPr="00794D56">
        <w:rPr>
          <w:sz w:val="20"/>
          <w:szCs w:val="20"/>
        </w:rPr>
        <w:t>Peace Brigades International Switzerland</w:t>
      </w:r>
    </w:p>
    <w:p w14:paraId="7E7BCEEF" w14:textId="77777777" w:rsidR="00794D56" w:rsidRPr="00794D56" w:rsidRDefault="00794D56" w:rsidP="000571B6">
      <w:pPr>
        <w:ind w:right="348"/>
        <w:rPr>
          <w:sz w:val="20"/>
          <w:szCs w:val="20"/>
        </w:rPr>
      </w:pPr>
      <w:r w:rsidRPr="00794D56">
        <w:rPr>
          <w:sz w:val="20"/>
          <w:szCs w:val="20"/>
        </w:rPr>
        <w:t>People for Successful Corean Reunification</w:t>
      </w:r>
    </w:p>
    <w:p w14:paraId="6EBEB1D0" w14:textId="77777777" w:rsidR="00794D56" w:rsidRPr="00794D56" w:rsidRDefault="00794D56" w:rsidP="000571B6">
      <w:pPr>
        <w:ind w:right="348"/>
        <w:rPr>
          <w:sz w:val="20"/>
          <w:szCs w:val="20"/>
        </w:rPr>
      </w:pPr>
      <w:r w:rsidRPr="00794D56">
        <w:rPr>
          <w:sz w:val="20"/>
          <w:szCs w:val="20"/>
        </w:rPr>
        <w:t>Physicians for Human Rights</w:t>
      </w:r>
    </w:p>
    <w:p w14:paraId="24B876AB" w14:textId="77777777" w:rsidR="00794D56" w:rsidRPr="00794D56" w:rsidRDefault="00794D56" w:rsidP="000571B6">
      <w:pPr>
        <w:ind w:right="348"/>
        <w:rPr>
          <w:sz w:val="20"/>
          <w:szCs w:val="20"/>
        </w:rPr>
      </w:pPr>
      <w:r w:rsidRPr="00794D56">
        <w:rPr>
          <w:sz w:val="20"/>
          <w:szCs w:val="20"/>
        </w:rPr>
        <w:t>Plan International, Inc.</w:t>
      </w:r>
    </w:p>
    <w:p w14:paraId="53AD4C92" w14:textId="77777777" w:rsidR="00794D56" w:rsidRPr="00794D56" w:rsidRDefault="00794D56" w:rsidP="000571B6">
      <w:pPr>
        <w:ind w:right="348"/>
        <w:rPr>
          <w:sz w:val="20"/>
          <w:szCs w:val="20"/>
        </w:rPr>
      </w:pPr>
      <w:r w:rsidRPr="00794D56">
        <w:rPr>
          <w:sz w:val="20"/>
          <w:szCs w:val="20"/>
        </w:rPr>
        <w:t>Prahar</w:t>
      </w:r>
    </w:p>
    <w:p w14:paraId="3A5F5DB2" w14:textId="77777777" w:rsidR="00794D56" w:rsidRPr="00794D56" w:rsidRDefault="00794D56" w:rsidP="000571B6">
      <w:pPr>
        <w:ind w:right="348"/>
        <w:rPr>
          <w:sz w:val="20"/>
          <w:szCs w:val="20"/>
        </w:rPr>
      </w:pPr>
      <w:r w:rsidRPr="00794D56">
        <w:rPr>
          <w:sz w:val="20"/>
          <w:szCs w:val="20"/>
        </w:rPr>
        <w:t>Prajachaitanya Yuvajana Sangam</w:t>
      </w:r>
    </w:p>
    <w:p w14:paraId="779A5BA3" w14:textId="77777777" w:rsidR="00794D56" w:rsidRPr="00794D56" w:rsidRDefault="00794D56" w:rsidP="000571B6">
      <w:pPr>
        <w:ind w:right="348"/>
        <w:rPr>
          <w:sz w:val="20"/>
          <w:szCs w:val="20"/>
        </w:rPr>
      </w:pPr>
      <w:r w:rsidRPr="00794D56">
        <w:rPr>
          <w:sz w:val="20"/>
          <w:szCs w:val="20"/>
        </w:rPr>
        <w:t>Presse Emblème Campagne</w:t>
      </w:r>
    </w:p>
    <w:p w14:paraId="497D3872" w14:textId="10FEBD09" w:rsidR="00794D56" w:rsidRPr="00794D56" w:rsidRDefault="00794D56" w:rsidP="000571B6">
      <w:pPr>
        <w:ind w:right="348"/>
        <w:rPr>
          <w:sz w:val="20"/>
          <w:szCs w:val="20"/>
        </w:rPr>
      </w:pPr>
      <w:r w:rsidRPr="00794D56">
        <w:rPr>
          <w:sz w:val="20"/>
          <w:szCs w:val="20"/>
        </w:rPr>
        <w:t>Prevention Association of Social Harms (PASH)</w:t>
      </w:r>
    </w:p>
    <w:p w14:paraId="55B747A9" w14:textId="0D582245" w:rsidR="00794D56" w:rsidRPr="00794D56" w:rsidRDefault="00794D56" w:rsidP="000571B6">
      <w:pPr>
        <w:ind w:right="348"/>
        <w:rPr>
          <w:sz w:val="20"/>
          <w:szCs w:val="20"/>
        </w:rPr>
      </w:pPr>
      <w:r w:rsidRPr="00794D56">
        <w:rPr>
          <w:sz w:val="20"/>
          <w:szCs w:val="20"/>
        </w:rPr>
        <w:t xml:space="preserve">Promotion du Développement Economique </w:t>
      </w:r>
      <w:proofErr w:type="gramStart"/>
      <w:r w:rsidRPr="00794D56">
        <w:rPr>
          <w:sz w:val="20"/>
          <w:szCs w:val="20"/>
        </w:rPr>
        <w:t>et</w:t>
      </w:r>
      <w:proofErr w:type="gramEnd"/>
      <w:r w:rsidR="000571B6">
        <w:rPr>
          <w:sz w:val="20"/>
          <w:szCs w:val="20"/>
        </w:rPr>
        <w:br/>
      </w:r>
      <w:r w:rsidRPr="00794D56">
        <w:rPr>
          <w:sz w:val="20"/>
          <w:szCs w:val="20"/>
        </w:rPr>
        <w:t xml:space="preserve"> Social - PDES</w:t>
      </w:r>
    </w:p>
    <w:p w14:paraId="73450C29" w14:textId="77777777" w:rsidR="00794D56" w:rsidRPr="00794D56" w:rsidRDefault="00794D56" w:rsidP="000571B6">
      <w:pPr>
        <w:ind w:right="348"/>
        <w:rPr>
          <w:sz w:val="20"/>
          <w:szCs w:val="20"/>
        </w:rPr>
      </w:pPr>
      <w:r w:rsidRPr="00794D56">
        <w:rPr>
          <w:sz w:val="20"/>
          <w:szCs w:val="20"/>
        </w:rPr>
        <w:t>Refugee Council of Australia</w:t>
      </w:r>
    </w:p>
    <w:p w14:paraId="382DC6E7" w14:textId="6F440847" w:rsidR="00794D56" w:rsidRPr="00794D56" w:rsidRDefault="00794D56" w:rsidP="000571B6">
      <w:pPr>
        <w:ind w:right="348"/>
        <w:rPr>
          <w:sz w:val="20"/>
          <w:szCs w:val="20"/>
        </w:rPr>
      </w:pPr>
      <w:r w:rsidRPr="00794D56">
        <w:rPr>
          <w:sz w:val="20"/>
          <w:szCs w:val="20"/>
        </w:rPr>
        <w:t>Rencontre africain pour la défense des droits de</w:t>
      </w:r>
      <w:r w:rsidR="000571B6">
        <w:rPr>
          <w:sz w:val="20"/>
          <w:szCs w:val="20"/>
        </w:rPr>
        <w:br/>
      </w:r>
      <w:r w:rsidRPr="00794D56">
        <w:rPr>
          <w:sz w:val="20"/>
          <w:szCs w:val="20"/>
        </w:rPr>
        <w:t xml:space="preserve"> l’homme</w:t>
      </w:r>
    </w:p>
    <w:p w14:paraId="2422E3D6" w14:textId="4F944109" w:rsidR="00794D56" w:rsidRPr="00794D56" w:rsidRDefault="00794D56" w:rsidP="000571B6">
      <w:pPr>
        <w:ind w:right="348"/>
        <w:rPr>
          <w:sz w:val="20"/>
          <w:szCs w:val="20"/>
        </w:rPr>
      </w:pPr>
      <w:r w:rsidRPr="00794D56">
        <w:rPr>
          <w:sz w:val="20"/>
          <w:szCs w:val="20"/>
        </w:rPr>
        <w:t xml:space="preserve">Reporters </w:t>
      </w:r>
      <w:proofErr w:type="gramStart"/>
      <w:r w:rsidRPr="00794D56">
        <w:rPr>
          <w:sz w:val="20"/>
          <w:szCs w:val="20"/>
        </w:rPr>
        <w:t>Sans</w:t>
      </w:r>
      <w:proofErr w:type="gramEnd"/>
      <w:r w:rsidRPr="00794D56">
        <w:rPr>
          <w:sz w:val="20"/>
          <w:szCs w:val="20"/>
        </w:rPr>
        <w:t xml:space="preserve"> Frontiers International – Reporters</w:t>
      </w:r>
      <w:r w:rsidR="000571B6">
        <w:rPr>
          <w:sz w:val="20"/>
          <w:szCs w:val="20"/>
        </w:rPr>
        <w:br/>
      </w:r>
      <w:r w:rsidRPr="00794D56">
        <w:rPr>
          <w:sz w:val="20"/>
          <w:szCs w:val="20"/>
        </w:rPr>
        <w:t xml:space="preserve"> without Borders International</w:t>
      </w:r>
    </w:p>
    <w:p w14:paraId="698B59AA" w14:textId="77777777" w:rsidR="00794D56" w:rsidRPr="00794D56" w:rsidRDefault="00794D56" w:rsidP="00DF5926">
      <w:pPr>
        <w:suppressAutoHyphens/>
        <w:spacing w:line="240" w:lineRule="atLeast"/>
        <w:ind w:left="1134"/>
        <w:rPr>
          <w:sz w:val="20"/>
          <w:szCs w:val="20"/>
        </w:rPr>
      </w:pPr>
      <w:r w:rsidRPr="00794D56">
        <w:rPr>
          <w:sz w:val="20"/>
          <w:szCs w:val="20"/>
        </w:rPr>
        <w:lastRenderedPageBreak/>
        <w:t>Reprieve</w:t>
      </w:r>
    </w:p>
    <w:p w14:paraId="4F7CBBDF" w14:textId="173CA72C" w:rsidR="00794D56" w:rsidRPr="00794D56" w:rsidRDefault="00794D56" w:rsidP="00DF5926">
      <w:pPr>
        <w:suppressAutoHyphens/>
        <w:spacing w:line="240" w:lineRule="atLeast"/>
        <w:ind w:left="1134"/>
        <w:rPr>
          <w:sz w:val="20"/>
          <w:szCs w:val="20"/>
        </w:rPr>
      </w:pPr>
      <w:r w:rsidRPr="00794D56">
        <w:rPr>
          <w:sz w:val="20"/>
          <w:szCs w:val="20"/>
        </w:rPr>
        <w:t>Réseau International des Droits Humains</w:t>
      </w:r>
      <w:r w:rsidR="00DF5926">
        <w:rPr>
          <w:sz w:val="20"/>
          <w:szCs w:val="20"/>
        </w:rPr>
        <w:br/>
      </w:r>
      <w:r w:rsidRPr="00794D56">
        <w:rPr>
          <w:sz w:val="20"/>
          <w:szCs w:val="20"/>
        </w:rPr>
        <w:t xml:space="preserve"> (RIDH)</w:t>
      </w:r>
    </w:p>
    <w:p w14:paraId="6025A06E" w14:textId="0B408570" w:rsidR="00794D56" w:rsidRPr="00794D56" w:rsidRDefault="00794D56" w:rsidP="00DF5926">
      <w:pPr>
        <w:suppressAutoHyphens/>
        <w:spacing w:line="240" w:lineRule="atLeast"/>
        <w:ind w:left="1134"/>
        <w:rPr>
          <w:sz w:val="20"/>
          <w:szCs w:val="20"/>
        </w:rPr>
      </w:pPr>
      <w:r w:rsidRPr="00794D56">
        <w:rPr>
          <w:sz w:val="20"/>
          <w:szCs w:val="20"/>
        </w:rPr>
        <w:t>Réseau Unité pour le Développement de</w:t>
      </w:r>
      <w:r w:rsidR="000571B6">
        <w:rPr>
          <w:sz w:val="20"/>
          <w:szCs w:val="20"/>
        </w:rPr>
        <w:br/>
      </w:r>
      <w:r w:rsidRPr="00794D56">
        <w:rPr>
          <w:sz w:val="20"/>
          <w:szCs w:val="20"/>
        </w:rPr>
        <w:t xml:space="preserve"> Mauritanie</w:t>
      </w:r>
    </w:p>
    <w:p w14:paraId="774C666A" w14:textId="310AE90C" w:rsidR="00794D56" w:rsidRPr="00794D56" w:rsidRDefault="00794D56" w:rsidP="00DF5926">
      <w:pPr>
        <w:suppressAutoHyphens/>
        <w:spacing w:line="240" w:lineRule="atLeast"/>
        <w:ind w:left="1134"/>
        <w:rPr>
          <w:sz w:val="20"/>
          <w:szCs w:val="20"/>
        </w:rPr>
      </w:pPr>
      <w:r w:rsidRPr="00794D56">
        <w:rPr>
          <w:sz w:val="20"/>
          <w:szCs w:val="20"/>
        </w:rPr>
        <w:t>Reyada for Capacity Building Studies &amp;</w:t>
      </w:r>
      <w:r w:rsidR="000571B6">
        <w:rPr>
          <w:sz w:val="20"/>
          <w:szCs w:val="20"/>
        </w:rPr>
        <w:br/>
      </w:r>
      <w:r w:rsidRPr="00794D56">
        <w:rPr>
          <w:sz w:val="20"/>
          <w:szCs w:val="20"/>
        </w:rPr>
        <w:t xml:space="preserve"> Consultations</w:t>
      </w:r>
    </w:p>
    <w:p w14:paraId="4901DCC7" w14:textId="77777777" w:rsidR="00794D56" w:rsidRPr="00794D56" w:rsidRDefault="00794D56" w:rsidP="00DF5926">
      <w:pPr>
        <w:suppressAutoHyphens/>
        <w:spacing w:line="240" w:lineRule="atLeast"/>
        <w:ind w:left="1134"/>
        <w:rPr>
          <w:sz w:val="20"/>
          <w:szCs w:val="20"/>
        </w:rPr>
      </w:pPr>
      <w:r w:rsidRPr="00794D56">
        <w:rPr>
          <w:sz w:val="20"/>
          <w:szCs w:val="20"/>
        </w:rPr>
        <w:t>Right Livelihood Award Foundation</w:t>
      </w:r>
    </w:p>
    <w:p w14:paraId="677FAA43" w14:textId="77777777" w:rsidR="00794D56" w:rsidRPr="00794D56" w:rsidRDefault="00794D56" w:rsidP="00DF5926">
      <w:pPr>
        <w:suppressAutoHyphens/>
        <w:spacing w:line="240" w:lineRule="atLeast"/>
        <w:ind w:left="1134"/>
        <w:rPr>
          <w:sz w:val="20"/>
          <w:szCs w:val="20"/>
        </w:rPr>
      </w:pPr>
      <w:r w:rsidRPr="00794D56">
        <w:rPr>
          <w:sz w:val="20"/>
          <w:szCs w:val="20"/>
        </w:rPr>
        <w:t>Russian Peace Foundation</w:t>
      </w:r>
    </w:p>
    <w:p w14:paraId="07454BC8" w14:textId="77777777" w:rsidR="000571B6" w:rsidRDefault="00794D56" w:rsidP="00DF5926">
      <w:pPr>
        <w:suppressAutoHyphens/>
        <w:spacing w:line="240" w:lineRule="atLeast"/>
        <w:ind w:left="1134"/>
        <w:rPr>
          <w:sz w:val="20"/>
          <w:szCs w:val="20"/>
        </w:rPr>
      </w:pPr>
      <w:r w:rsidRPr="00794D56">
        <w:rPr>
          <w:sz w:val="20"/>
          <w:szCs w:val="20"/>
        </w:rPr>
        <w:t>Save the Children International</w:t>
      </w:r>
    </w:p>
    <w:p w14:paraId="5D040320" w14:textId="77777777" w:rsidR="000571B6" w:rsidRDefault="00794D56" w:rsidP="00DF5926">
      <w:pPr>
        <w:suppressAutoHyphens/>
        <w:spacing w:line="240" w:lineRule="atLeast"/>
        <w:ind w:left="1134"/>
        <w:rPr>
          <w:sz w:val="20"/>
          <w:szCs w:val="20"/>
        </w:rPr>
      </w:pPr>
      <w:r w:rsidRPr="00794D56">
        <w:rPr>
          <w:sz w:val="20"/>
          <w:szCs w:val="20"/>
        </w:rPr>
        <w:t>Servas International</w:t>
      </w:r>
    </w:p>
    <w:p w14:paraId="24AF9556" w14:textId="0938A44E" w:rsidR="00794D56" w:rsidRPr="00794D56" w:rsidRDefault="00794D56" w:rsidP="00DF5926">
      <w:pPr>
        <w:suppressAutoHyphens/>
        <w:spacing w:line="240" w:lineRule="atLeast"/>
        <w:ind w:left="1134"/>
        <w:rPr>
          <w:sz w:val="20"/>
          <w:szCs w:val="20"/>
        </w:rPr>
      </w:pPr>
      <w:r w:rsidRPr="00794D56">
        <w:rPr>
          <w:sz w:val="20"/>
          <w:szCs w:val="20"/>
        </w:rPr>
        <w:t>Shivi Development Society</w:t>
      </w:r>
    </w:p>
    <w:p w14:paraId="7F00C7C0" w14:textId="77777777" w:rsidR="00794D56" w:rsidRPr="00794D56" w:rsidRDefault="00794D56" w:rsidP="000571B6">
      <w:pPr>
        <w:suppressAutoHyphens/>
        <w:spacing w:line="240" w:lineRule="atLeast"/>
        <w:ind w:left="1134"/>
        <w:rPr>
          <w:sz w:val="20"/>
          <w:szCs w:val="20"/>
        </w:rPr>
      </w:pPr>
      <w:r w:rsidRPr="00794D56">
        <w:rPr>
          <w:sz w:val="20"/>
          <w:szCs w:val="20"/>
        </w:rPr>
        <w:t>Sikh Human Rights Group</w:t>
      </w:r>
    </w:p>
    <w:p w14:paraId="6E2C28F1" w14:textId="3DA62255" w:rsidR="00794D56" w:rsidRPr="00794D56" w:rsidRDefault="00794D56" w:rsidP="000571B6">
      <w:pPr>
        <w:suppressAutoHyphens/>
        <w:spacing w:line="240" w:lineRule="atLeast"/>
        <w:ind w:left="1134"/>
        <w:rPr>
          <w:sz w:val="20"/>
          <w:szCs w:val="20"/>
        </w:rPr>
      </w:pPr>
      <w:r w:rsidRPr="00794D56">
        <w:rPr>
          <w:sz w:val="20"/>
          <w:szCs w:val="20"/>
        </w:rPr>
        <w:t>Society for Development and</w:t>
      </w:r>
      <w:r w:rsidR="00DF5926">
        <w:rPr>
          <w:sz w:val="20"/>
          <w:szCs w:val="20"/>
        </w:rPr>
        <w:br/>
      </w:r>
      <w:r w:rsidRPr="00794D56">
        <w:rPr>
          <w:sz w:val="20"/>
          <w:szCs w:val="20"/>
        </w:rPr>
        <w:t xml:space="preserve"> Community Empowerment</w:t>
      </w:r>
    </w:p>
    <w:p w14:paraId="2F2B9D96" w14:textId="77777777" w:rsidR="00794D56" w:rsidRPr="00794D56" w:rsidRDefault="00794D56" w:rsidP="000571B6">
      <w:pPr>
        <w:suppressAutoHyphens/>
        <w:spacing w:line="240" w:lineRule="atLeast"/>
        <w:ind w:left="1134"/>
        <w:rPr>
          <w:sz w:val="20"/>
          <w:szCs w:val="20"/>
        </w:rPr>
      </w:pPr>
      <w:r w:rsidRPr="00794D56">
        <w:rPr>
          <w:sz w:val="20"/>
          <w:szCs w:val="20"/>
        </w:rPr>
        <w:t>Society for International Development</w:t>
      </w:r>
    </w:p>
    <w:p w14:paraId="37495D08" w14:textId="77777777" w:rsidR="00794D56" w:rsidRPr="00794D56" w:rsidRDefault="00794D56" w:rsidP="000571B6">
      <w:pPr>
        <w:suppressAutoHyphens/>
        <w:spacing w:line="240" w:lineRule="atLeast"/>
        <w:ind w:left="1134"/>
        <w:rPr>
          <w:sz w:val="20"/>
          <w:szCs w:val="20"/>
        </w:rPr>
      </w:pPr>
      <w:r w:rsidRPr="00794D56">
        <w:rPr>
          <w:sz w:val="20"/>
          <w:szCs w:val="20"/>
        </w:rPr>
        <w:t xml:space="preserve">Society for Threatened Peoples </w:t>
      </w:r>
    </w:p>
    <w:p w14:paraId="7AA7EE0C" w14:textId="0B968CD9" w:rsidR="00794D56" w:rsidRPr="00794D56" w:rsidRDefault="00794D56" w:rsidP="000571B6">
      <w:pPr>
        <w:suppressAutoHyphens/>
        <w:spacing w:line="240" w:lineRule="atLeast"/>
        <w:ind w:left="1134"/>
        <w:rPr>
          <w:sz w:val="20"/>
          <w:szCs w:val="20"/>
        </w:rPr>
      </w:pPr>
      <w:r w:rsidRPr="00794D56">
        <w:rPr>
          <w:sz w:val="20"/>
          <w:szCs w:val="20"/>
        </w:rPr>
        <w:t>Society of Iranian Women Advocating</w:t>
      </w:r>
      <w:r w:rsidR="000571B6">
        <w:rPr>
          <w:sz w:val="20"/>
          <w:szCs w:val="20"/>
        </w:rPr>
        <w:br/>
      </w:r>
      <w:r w:rsidRPr="00794D56">
        <w:rPr>
          <w:sz w:val="20"/>
          <w:szCs w:val="20"/>
        </w:rPr>
        <w:t xml:space="preserve"> Sustainable Development of</w:t>
      </w:r>
      <w:r w:rsidR="000571B6">
        <w:rPr>
          <w:sz w:val="20"/>
          <w:szCs w:val="20"/>
        </w:rPr>
        <w:br/>
      </w:r>
      <w:r w:rsidRPr="00794D56">
        <w:rPr>
          <w:sz w:val="20"/>
          <w:szCs w:val="20"/>
        </w:rPr>
        <w:t xml:space="preserve"> Environment</w:t>
      </w:r>
    </w:p>
    <w:p w14:paraId="17643574" w14:textId="77777777" w:rsidR="00794D56" w:rsidRPr="00794D56" w:rsidRDefault="00794D56" w:rsidP="000571B6">
      <w:pPr>
        <w:suppressAutoHyphens/>
        <w:spacing w:line="240" w:lineRule="atLeast"/>
        <w:ind w:left="1134"/>
        <w:rPr>
          <w:sz w:val="20"/>
          <w:szCs w:val="20"/>
        </w:rPr>
      </w:pPr>
      <w:r w:rsidRPr="00794D56">
        <w:rPr>
          <w:sz w:val="20"/>
          <w:szCs w:val="20"/>
        </w:rPr>
        <w:t>Society Studies Centre (MADA ssc)</w:t>
      </w:r>
    </w:p>
    <w:p w14:paraId="7A63569D" w14:textId="77777777" w:rsidR="00794D56" w:rsidRPr="00794D56" w:rsidRDefault="00794D56" w:rsidP="000571B6">
      <w:pPr>
        <w:suppressAutoHyphens/>
        <w:spacing w:line="240" w:lineRule="atLeast"/>
        <w:ind w:left="1134"/>
        <w:rPr>
          <w:sz w:val="20"/>
          <w:szCs w:val="20"/>
        </w:rPr>
      </w:pPr>
      <w:r w:rsidRPr="00794D56">
        <w:rPr>
          <w:sz w:val="20"/>
          <w:szCs w:val="20"/>
        </w:rPr>
        <w:t>Soka Gakkai International</w:t>
      </w:r>
    </w:p>
    <w:p w14:paraId="7AA83513" w14:textId="46564A9F" w:rsidR="00794D56" w:rsidRPr="00794D56" w:rsidRDefault="00794D56" w:rsidP="000571B6">
      <w:pPr>
        <w:suppressAutoHyphens/>
        <w:spacing w:line="240" w:lineRule="atLeast"/>
        <w:ind w:left="1134"/>
        <w:rPr>
          <w:sz w:val="20"/>
          <w:szCs w:val="20"/>
        </w:rPr>
      </w:pPr>
      <w:r w:rsidRPr="00794D56">
        <w:rPr>
          <w:sz w:val="20"/>
          <w:szCs w:val="20"/>
        </w:rPr>
        <w:t>Solidarité Agissante pour le</w:t>
      </w:r>
      <w:r w:rsidR="000571B6">
        <w:rPr>
          <w:sz w:val="20"/>
          <w:szCs w:val="20"/>
        </w:rPr>
        <w:br/>
      </w:r>
      <w:r w:rsidRPr="00794D56">
        <w:rPr>
          <w:sz w:val="20"/>
          <w:szCs w:val="20"/>
        </w:rPr>
        <w:t xml:space="preserve"> Devéloppement Familial (SADF)</w:t>
      </w:r>
    </w:p>
    <w:p w14:paraId="22091C6E" w14:textId="77777777" w:rsidR="00794D56" w:rsidRPr="00794D56" w:rsidRDefault="00794D56" w:rsidP="000571B6">
      <w:pPr>
        <w:suppressAutoHyphens/>
        <w:spacing w:line="240" w:lineRule="atLeast"/>
        <w:ind w:left="1134"/>
        <w:rPr>
          <w:sz w:val="20"/>
          <w:szCs w:val="20"/>
        </w:rPr>
      </w:pPr>
      <w:r w:rsidRPr="00794D56">
        <w:rPr>
          <w:sz w:val="20"/>
          <w:szCs w:val="20"/>
        </w:rPr>
        <w:t>Solidarité Suisse-Guinée</w:t>
      </w:r>
    </w:p>
    <w:p w14:paraId="52946B9F" w14:textId="77777777" w:rsidR="00794D56" w:rsidRPr="00794D56" w:rsidRDefault="00794D56" w:rsidP="000571B6">
      <w:pPr>
        <w:suppressAutoHyphens/>
        <w:spacing w:line="240" w:lineRule="atLeast"/>
        <w:ind w:left="1134"/>
        <w:rPr>
          <w:sz w:val="20"/>
          <w:szCs w:val="20"/>
        </w:rPr>
      </w:pPr>
      <w:r w:rsidRPr="00794D56">
        <w:rPr>
          <w:sz w:val="20"/>
          <w:szCs w:val="20"/>
        </w:rPr>
        <w:t>SOS Kinderdorf International</w:t>
      </w:r>
    </w:p>
    <w:p w14:paraId="22F18D6D" w14:textId="77777777" w:rsidR="00794D56" w:rsidRPr="00794D56" w:rsidRDefault="00794D56" w:rsidP="000571B6">
      <w:pPr>
        <w:suppressAutoHyphens/>
        <w:spacing w:line="240" w:lineRule="atLeast"/>
        <w:ind w:left="1134"/>
        <w:rPr>
          <w:sz w:val="20"/>
          <w:szCs w:val="20"/>
        </w:rPr>
      </w:pPr>
      <w:r w:rsidRPr="00794D56">
        <w:rPr>
          <w:sz w:val="20"/>
          <w:szCs w:val="20"/>
        </w:rPr>
        <w:t>Standing Voice</w:t>
      </w:r>
    </w:p>
    <w:p w14:paraId="27CB6032" w14:textId="08347C7A" w:rsidR="00794D56" w:rsidRPr="00794D56" w:rsidRDefault="00794D56" w:rsidP="000571B6">
      <w:pPr>
        <w:suppressAutoHyphens/>
        <w:spacing w:line="240" w:lineRule="atLeast"/>
        <w:ind w:left="1134"/>
        <w:rPr>
          <w:sz w:val="20"/>
          <w:szCs w:val="20"/>
        </w:rPr>
      </w:pPr>
      <w:r w:rsidRPr="00794D56">
        <w:rPr>
          <w:sz w:val="20"/>
          <w:szCs w:val="20"/>
        </w:rPr>
        <w:t>Sudanese Women Parliamentarians</w:t>
      </w:r>
      <w:r w:rsidR="000571B6">
        <w:rPr>
          <w:sz w:val="20"/>
          <w:szCs w:val="20"/>
        </w:rPr>
        <w:br/>
      </w:r>
      <w:r w:rsidRPr="00794D56">
        <w:rPr>
          <w:sz w:val="20"/>
          <w:szCs w:val="20"/>
        </w:rPr>
        <w:t xml:space="preserve"> Caucus</w:t>
      </w:r>
    </w:p>
    <w:p w14:paraId="40363096" w14:textId="77777777" w:rsidR="00794D56" w:rsidRPr="00794D56" w:rsidRDefault="00794D56" w:rsidP="000571B6">
      <w:pPr>
        <w:suppressAutoHyphens/>
        <w:spacing w:line="240" w:lineRule="atLeast"/>
        <w:ind w:left="1134"/>
        <w:rPr>
          <w:sz w:val="20"/>
          <w:szCs w:val="20"/>
        </w:rPr>
      </w:pPr>
      <w:r w:rsidRPr="00794D56">
        <w:rPr>
          <w:sz w:val="20"/>
          <w:szCs w:val="20"/>
        </w:rPr>
        <w:t>Swiss Catholic Lenten Fund</w:t>
      </w:r>
    </w:p>
    <w:p w14:paraId="79F2BCD6" w14:textId="77777777" w:rsidR="00794D56" w:rsidRPr="00794D56" w:rsidRDefault="00794D56" w:rsidP="000571B6">
      <w:pPr>
        <w:suppressAutoHyphens/>
        <w:spacing w:line="240" w:lineRule="atLeast"/>
        <w:ind w:left="1134"/>
        <w:rPr>
          <w:sz w:val="20"/>
          <w:szCs w:val="20"/>
        </w:rPr>
      </w:pPr>
      <w:r w:rsidRPr="00794D56">
        <w:rPr>
          <w:sz w:val="20"/>
          <w:szCs w:val="20"/>
        </w:rPr>
        <w:t>Tamil Uzhagam</w:t>
      </w:r>
    </w:p>
    <w:p w14:paraId="70434F7B" w14:textId="77777777" w:rsidR="00794D56" w:rsidRPr="00794D56" w:rsidRDefault="00794D56" w:rsidP="000571B6">
      <w:pPr>
        <w:suppressAutoHyphens/>
        <w:spacing w:line="240" w:lineRule="atLeast"/>
        <w:ind w:left="1134"/>
        <w:rPr>
          <w:sz w:val="20"/>
          <w:szCs w:val="20"/>
        </w:rPr>
      </w:pPr>
      <w:r w:rsidRPr="00794D56">
        <w:rPr>
          <w:sz w:val="20"/>
          <w:szCs w:val="20"/>
        </w:rPr>
        <w:t xml:space="preserve">Tchad – Agir pour l’Environnement </w:t>
      </w:r>
    </w:p>
    <w:p w14:paraId="614D17B2" w14:textId="77777777" w:rsidR="00794D56" w:rsidRPr="00794D56" w:rsidRDefault="00794D56" w:rsidP="000571B6">
      <w:pPr>
        <w:suppressAutoHyphens/>
        <w:spacing w:line="240" w:lineRule="atLeast"/>
        <w:ind w:left="1134"/>
        <w:rPr>
          <w:sz w:val="20"/>
          <w:szCs w:val="20"/>
        </w:rPr>
      </w:pPr>
      <w:r w:rsidRPr="00794D56">
        <w:rPr>
          <w:sz w:val="20"/>
          <w:szCs w:val="20"/>
        </w:rPr>
        <w:t>Terra de Direitos</w:t>
      </w:r>
    </w:p>
    <w:p w14:paraId="6592E4CC" w14:textId="7A3029FE" w:rsidR="00794D56" w:rsidRPr="00794D56" w:rsidRDefault="00794D56" w:rsidP="000571B6">
      <w:pPr>
        <w:suppressAutoHyphens/>
        <w:spacing w:line="240" w:lineRule="atLeast"/>
        <w:ind w:left="1134"/>
        <w:rPr>
          <w:sz w:val="20"/>
          <w:szCs w:val="20"/>
        </w:rPr>
      </w:pPr>
      <w:r w:rsidRPr="00794D56">
        <w:rPr>
          <w:sz w:val="20"/>
          <w:szCs w:val="20"/>
        </w:rPr>
        <w:t>Terre des Hommes Fédération</w:t>
      </w:r>
      <w:r w:rsidR="000571B6">
        <w:rPr>
          <w:sz w:val="20"/>
          <w:szCs w:val="20"/>
        </w:rPr>
        <w:br/>
      </w:r>
      <w:r w:rsidRPr="00794D56">
        <w:rPr>
          <w:sz w:val="20"/>
          <w:szCs w:val="20"/>
        </w:rPr>
        <w:t xml:space="preserve"> Internationale</w:t>
      </w:r>
    </w:p>
    <w:p w14:paraId="3EFD0B59" w14:textId="3CEDB1C4" w:rsidR="00794D56" w:rsidRPr="00794D56" w:rsidRDefault="00794D56" w:rsidP="000571B6">
      <w:pPr>
        <w:suppressAutoHyphens/>
        <w:spacing w:line="240" w:lineRule="atLeast"/>
        <w:ind w:left="1134"/>
        <w:rPr>
          <w:sz w:val="20"/>
          <w:szCs w:val="20"/>
        </w:rPr>
      </w:pPr>
      <w:r w:rsidRPr="00794D56">
        <w:rPr>
          <w:sz w:val="20"/>
          <w:szCs w:val="20"/>
        </w:rPr>
        <w:t>The Association of the Egyptian Female</w:t>
      </w:r>
      <w:r w:rsidR="000571B6">
        <w:rPr>
          <w:sz w:val="20"/>
          <w:szCs w:val="20"/>
        </w:rPr>
        <w:br/>
      </w:r>
      <w:r w:rsidRPr="00794D56">
        <w:rPr>
          <w:sz w:val="20"/>
          <w:szCs w:val="20"/>
        </w:rPr>
        <w:t xml:space="preserve"> Lawyers</w:t>
      </w:r>
    </w:p>
    <w:p w14:paraId="0CA9340B" w14:textId="77777777" w:rsidR="00794D56" w:rsidRPr="00794D56" w:rsidRDefault="00794D56" w:rsidP="000571B6">
      <w:pPr>
        <w:suppressAutoHyphens/>
        <w:spacing w:line="240" w:lineRule="atLeast"/>
        <w:ind w:left="1134"/>
        <w:rPr>
          <w:sz w:val="20"/>
          <w:szCs w:val="20"/>
        </w:rPr>
      </w:pPr>
      <w:r w:rsidRPr="00794D56">
        <w:rPr>
          <w:sz w:val="20"/>
          <w:szCs w:val="20"/>
        </w:rPr>
        <w:t>The Palestinian Return Centre Ltd</w:t>
      </w:r>
    </w:p>
    <w:p w14:paraId="523E5440" w14:textId="77777777" w:rsidR="00794D56" w:rsidRPr="00794D56" w:rsidRDefault="00794D56" w:rsidP="000571B6">
      <w:pPr>
        <w:suppressAutoHyphens/>
        <w:spacing w:line="240" w:lineRule="atLeast"/>
        <w:ind w:left="1134"/>
        <w:rPr>
          <w:sz w:val="20"/>
          <w:szCs w:val="20"/>
        </w:rPr>
      </w:pPr>
      <w:r w:rsidRPr="00794D56">
        <w:rPr>
          <w:sz w:val="20"/>
          <w:szCs w:val="20"/>
        </w:rPr>
        <w:t>Tourner la Page</w:t>
      </w:r>
    </w:p>
    <w:p w14:paraId="71207DC0" w14:textId="77777777" w:rsidR="000571B6" w:rsidRDefault="00794D56" w:rsidP="000571B6">
      <w:pPr>
        <w:suppressAutoHyphens/>
        <w:spacing w:line="240" w:lineRule="atLeast"/>
        <w:ind w:left="1134"/>
        <w:rPr>
          <w:sz w:val="20"/>
          <w:szCs w:val="20"/>
        </w:rPr>
      </w:pPr>
      <w:r w:rsidRPr="00794D56">
        <w:rPr>
          <w:sz w:val="20"/>
          <w:szCs w:val="20"/>
        </w:rPr>
        <w:t xml:space="preserve">Touro Law Center, </w:t>
      </w:r>
      <w:proofErr w:type="gramStart"/>
      <w:r w:rsidRPr="00794D56">
        <w:rPr>
          <w:sz w:val="20"/>
          <w:szCs w:val="20"/>
        </w:rPr>
        <w:t>The</w:t>
      </w:r>
      <w:proofErr w:type="gramEnd"/>
      <w:r w:rsidRPr="00794D56">
        <w:rPr>
          <w:sz w:val="20"/>
          <w:szCs w:val="20"/>
        </w:rPr>
        <w:t xml:space="preserve"> Institute on</w:t>
      </w:r>
      <w:r w:rsidR="000571B6">
        <w:rPr>
          <w:sz w:val="20"/>
          <w:szCs w:val="20"/>
        </w:rPr>
        <w:br/>
      </w:r>
      <w:r w:rsidRPr="00794D56">
        <w:rPr>
          <w:sz w:val="20"/>
          <w:szCs w:val="20"/>
        </w:rPr>
        <w:t xml:space="preserve"> Human Rights and The Holocaust</w:t>
      </w:r>
    </w:p>
    <w:p w14:paraId="52C5349B" w14:textId="1E16F0CC" w:rsidR="00794D56" w:rsidRPr="00794D56" w:rsidRDefault="00794D56" w:rsidP="00DF5926">
      <w:pPr>
        <w:ind w:right="348"/>
        <w:rPr>
          <w:sz w:val="20"/>
          <w:szCs w:val="20"/>
        </w:rPr>
      </w:pPr>
      <w:r w:rsidRPr="00794D56">
        <w:rPr>
          <w:sz w:val="20"/>
          <w:szCs w:val="20"/>
        </w:rPr>
        <w:t xml:space="preserve">TRIAL International </w:t>
      </w:r>
    </w:p>
    <w:p w14:paraId="74C1A934" w14:textId="77777777" w:rsidR="000571B6" w:rsidRDefault="00794D56" w:rsidP="00DF5926">
      <w:pPr>
        <w:ind w:right="348"/>
        <w:rPr>
          <w:sz w:val="20"/>
          <w:szCs w:val="20"/>
        </w:rPr>
      </w:pPr>
      <w:r w:rsidRPr="00794D56">
        <w:rPr>
          <w:sz w:val="20"/>
          <w:szCs w:val="20"/>
        </w:rPr>
        <w:t>UNESCO Centre of Catalonia</w:t>
      </w:r>
    </w:p>
    <w:p w14:paraId="30CD2D95" w14:textId="06E405DD" w:rsidR="00794D56" w:rsidRPr="00794D56" w:rsidRDefault="00794D56" w:rsidP="00DF5926">
      <w:pPr>
        <w:ind w:right="348"/>
        <w:rPr>
          <w:sz w:val="20"/>
          <w:szCs w:val="20"/>
        </w:rPr>
      </w:pPr>
      <w:r w:rsidRPr="00794D56">
        <w:rPr>
          <w:sz w:val="20"/>
          <w:szCs w:val="20"/>
        </w:rPr>
        <w:t>Union of Arab Jurists</w:t>
      </w:r>
    </w:p>
    <w:p w14:paraId="4A5A882B" w14:textId="77777777" w:rsidR="00794D56" w:rsidRPr="00794D56" w:rsidRDefault="00794D56" w:rsidP="00DF5926">
      <w:pPr>
        <w:ind w:right="348"/>
        <w:rPr>
          <w:sz w:val="20"/>
          <w:szCs w:val="20"/>
        </w:rPr>
      </w:pPr>
      <w:r w:rsidRPr="00794D56">
        <w:rPr>
          <w:sz w:val="20"/>
          <w:szCs w:val="20"/>
        </w:rPr>
        <w:t>United Nations Association of China</w:t>
      </w:r>
    </w:p>
    <w:p w14:paraId="0E26A7B3" w14:textId="77777777" w:rsidR="00794D56" w:rsidRPr="00794D56" w:rsidRDefault="00794D56" w:rsidP="00DF5926">
      <w:pPr>
        <w:ind w:right="348"/>
        <w:rPr>
          <w:sz w:val="20"/>
          <w:szCs w:val="20"/>
        </w:rPr>
      </w:pPr>
      <w:r w:rsidRPr="00794D56">
        <w:rPr>
          <w:sz w:val="20"/>
          <w:szCs w:val="20"/>
        </w:rPr>
        <w:t>United Nations Watch</w:t>
      </w:r>
    </w:p>
    <w:p w14:paraId="7BFC3BD7" w14:textId="77777777" w:rsidR="00794D56" w:rsidRPr="00794D56" w:rsidRDefault="00794D56" w:rsidP="00DF5926">
      <w:pPr>
        <w:ind w:right="348"/>
        <w:rPr>
          <w:sz w:val="20"/>
          <w:szCs w:val="20"/>
        </w:rPr>
      </w:pPr>
      <w:r w:rsidRPr="00794D56">
        <w:rPr>
          <w:sz w:val="20"/>
          <w:szCs w:val="20"/>
        </w:rPr>
        <w:t>United Schools International</w:t>
      </w:r>
    </w:p>
    <w:p w14:paraId="4597BD12" w14:textId="4998AEE1" w:rsidR="00794D56" w:rsidRPr="00794D56" w:rsidRDefault="00794D56" w:rsidP="000571B6">
      <w:pPr>
        <w:ind w:right="348"/>
        <w:rPr>
          <w:sz w:val="20"/>
          <w:szCs w:val="20"/>
        </w:rPr>
      </w:pPr>
      <w:r w:rsidRPr="00794D56">
        <w:rPr>
          <w:sz w:val="20"/>
          <w:szCs w:val="20"/>
        </w:rPr>
        <w:t>United Towns Agency for North-South</w:t>
      </w:r>
      <w:r w:rsidR="00DF5926">
        <w:rPr>
          <w:sz w:val="20"/>
          <w:szCs w:val="20"/>
        </w:rPr>
        <w:br/>
      </w:r>
      <w:r w:rsidRPr="00794D56">
        <w:rPr>
          <w:sz w:val="20"/>
          <w:szCs w:val="20"/>
        </w:rPr>
        <w:t xml:space="preserve"> Cooperation</w:t>
      </w:r>
    </w:p>
    <w:p w14:paraId="693D3719" w14:textId="77777777" w:rsidR="00794D56" w:rsidRPr="00794D56" w:rsidRDefault="00794D56" w:rsidP="000571B6">
      <w:pPr>
        <w:ind w:right="348"/>
        <w:rPr>
          <w:sz w:val="20"/>
          <w:szCs w:val="20"/>
        </w:rPr>
      </w:pPr>
      <w:r w:rsidRPr="00794D56">
        <w:rPr>
          <w:sz w:val="20"/>
          <w:szCs w:val="20"/>
        </w:rPr>
        <w:t>Universal Peace Federation</w:t>
      </w:r>
    </w:p>
    <w:p w14:paraId="6C77B8EF" w14:textId="77777777" w:rsidR="00794D56" w:rsidRPr="00794D56" w:rsidRDefault="00794D56" w:rsidP="000571B6">
      <w:pPr>
        <w:ind w:right="348"/>
        <w:rPr>
          <w:sz w:val="20"/>
          <w:szCs w:val="20"/>
        </w:rPr>
      </w:pPr>
      <w:r w:rsidRPr="00794D56">
        <w:rPr>
          <w:sz w:val="20"/>
          <w:szCs w:val="20"/>
        </w:rPr>
        <w:t>Universal Rights Group</w:t>
      </w:r>
    </w:p>
    <w:p w14:paraId="47FE9685" w14:textId="77777777" w:rsidR="00794D56" w:rsidRPr="00794D56" w:rsidRDefault="00794D56" w:rsidP="000571B6">
      <w:pPr>
        <w:ind w:right="348"/>
        <w:rPr>
          <w:sz w:val="20"/>
          <w:szCs w:val="20"/>
        </w:rPr>
      </w:pPr>
      <w:r w:rsidRPr="00794D56">
        <w:rPr>
          <w:sz w:val="20"/>
          <w:szCs w:val="20"/>
        </w:rPr>
        <w:t>US Human Rights Network Inc.</w:t>
      </w:r>
    </w:p>
    <w:p w14:paraId="0CE14329" w14:textId="77777777" w:rsidR="00794D56" w:rsidRPr="00794D56" w:rsidRDefault="00794D56" w:rsidP="000571B6">
      <w:pPr>
        <w:ind w:right="348"/>
        <w:rPr>
          <w:sz w:val="20"/>
          <w:szCs w:val="20"/>
        </w:rPr>
      </w:pPr>
      <w:r w:rsidRPr="00794D56">
        <w:rPr>
          <w:sz w:val="20"/>
          <w:szCs w:val="20"/>
        </w:rPr>
        <w:t>VAAGDHARA</w:t>
      </w:r>
    </w:p>
    <w:p w14:paraId="38DA4360" w14:textId="77777777" w:rsidR="00794D56" w:rsidRPr="00794D56" w:rsidRDefault="00794D56" w:rsidP="000571B6">
      <w:pPr>
        <w:ind w:right="348"/>
        <w:rPr>
          <w:sz w:val="20"/>
          <w:szCs w:val="20"/>
        </w:rPr>
      </w:pPr>
      <w:r w:rsidRPr="00794D56">
        <w:rPr>
          <w:sz w:val="20"/>
          <w:szCs w:val="20"/>
        </w:rPr>
        <w:t>Verein Sudwind Entwicklungspolitic</w:t>
      </w:r>
    </w:p>
    <w:p w14:paraId="28579EA8" w14:textId="77777777" w:rsidR="00794D56" w:rsidRPr="00794D56" w:rsidRDefault="00794D56" w:rsidP="000571B6">
      <w:pPr>
        <w:ind w:right="348"/>
        <w:rPr>
          <w:sz w:val="20"/>
          <w:szCs w:val="20"/>
        </w:rPr>
      </w:pPr>
      <w:r w:rsidRPr="00794D56">
        <w:rPr>
          <w:sz w:val="20"/>
          <w:szCs w:val="20"/>
        </w:rPr>
        <w:t>Victorious Youths Movement</w:t>
      </w:r>
    </w:p>
    <w:p w14:paraId="446E5245" w14:textId="77777777" w:rsidR="00794D56" w:rsidRPr="00794D56" w:rsidRDefault="00794D56" w:rsidP="000571B6">
      <w:pPr>
        <w:ind w:right="348"/>
        <w:rPr>
          <w:sz w:val="20"/>
          <w:szCs w:val="20"/>
        </w:rPr>
      </w:pPr>
      <w:r w:rsidRPr="00794D56">
        <w:rPr>
          <w:sz w:val="20"/>
          <w:szCs w:val="20"/>
        </w:rPr>
        <w:t xml:space="preserve">Vie </w:t>
      </w:r>
      <w:proofErr w:type="gramStart"/>
      <w:r w:rsidRPr="00794D56">
        <w:rPr>
          <w:sz w:val="20"/>
          <w:szCs w:val="20"/>
        </w:rPr>
        <w:t>et</w:t>
      </w:r>
      <w:proofErr w:type="gramEnd"/>
      <w:r w:rsidRPr="00794D56">
        <w:rPr>
          <w:sz w:val="20"/>
          <w:szCs w:val="20"/>
        </w:rPr>
        <w:t xml:space="preserve"> Santé du Centre</w:t>
      </w:r>
    </w:p>
    <w:p w14:paraId="40A4D3C7" w14:textId="615BF3B9" w:rsidR="00794D56" w:rsidRPr="00794D56" w:rsidRDefault="00794D56" w:rsidP="000571B6">
      <w:pPr>
        <w:ind w:right="348"/>
        <w:rPr>
          <w:sz w:val="20"/>
          <w:szCs w:val="20"/>
        </w:rPr>
      </w:pPr>
      <w:r w:rsidRPr="00794D56">
        <w:rPr>
          <w:sz w:val="20"/>
          <w:szCs w:val="20"/>
        </w:rPr>
        <w:t>Vietnam Family Planning Association (VINAFPA)</w:t>
      </w:r>
    </w:p>
    <w:p w14:paraId="0E5D5BFA" w14:textId="77777777" w:rsidR="00794D56" w:rsidRPr="00794D56" w:rsidRDefault="00794D56" w:rsidP="000571B6">
      <w:pPr>
        <w:ind w:right="348"/>
        <w:rPr>
          <w:sz w:val="20"/>
          <w:szCs w:val="20"/>
        </w:rPr>
      </w:pPr>
      <w:r w:rsidRPr="00794D56">
        <w:rPr>
          <w:sz w:val="20"/>
          <w:szCs w:val="20"/>
        </w:rPr>
        <w:t>Village Suisse ONG</w:t>
      </w:r>
    </w:p>
    <w:p w14:paraId="2E9E41C4" w14:textId="77777777" w:rsidR="00794D56" w:rsidRPr="00794D56" w:rsidRDefault="00794D56" w:rsidP="000571B6">
      <w:pPr>
        <w:ind w:right="348"/>
        <w:rPr>
          <w:sz w:val="20"/>
          <w:szCs w:val="20"/>
        </w:rPr>
      </w:pPr>
      <w:r w:rsidRPr="00794D56">
        <w:rPr>
          <w:sz w:val="20"/>
          <w:szCs w:val="20"/>
        </w:rPr>
        <w:t>Villages Unis (United Villages)</w:t>
      </w:r>
    </w:p>
    <w:p w14:paraId="084DBBAC" w14:textId="77777777" w:rsidR="00794D56" w:rsidRPr="00794D56" w:rsidRDefault="00794D56" w:rsidP="000571B6">
      <w:pPr>
        <w:ind w:right="348"/>
        <w:rPr>
          <w:sz w:val="20"/>
          <w:szCs w:val="20"/>
        </w:rPr>
      </w:pPr>
      <w:r w:rsidRPr="00794D56">
        <w:rPr>
          <w:sz w:val="20"/>
          <w:szCs w:val="20"/>
        </w:rPr>
        <w:t>VIVAT International</w:t>
      </w:r>
    </w:p>
    <w:p w14:paraId="1A5B2100" w14:textId="51853E8F" w:rsidR="00794D56" w:rsidRPr="00794D56" w:rsidRDefault="00794D56" w:rsidP="000571B6">
      <w:pPr>
        <w:ind w:right="348"/>
        <w:rPr>
          <w:sz w:val="20"/>
          <w:szCs w:val="20"/>
        </w:rPr>
      </w:pPr>
      <w:r w:rsidRPr="00794D56">
        <w:rPr>
          <w:sz w:val="20"/>
          <w:szCs w:val="20"/>
        </w:rPr>
        <w:t>Women and Development Association in</w:t>
      </w:r>
      <w:r w:rsidR="000571B6">
        <w:rPr>
          <w:sz w:val="20"/>
          <w:szCs w:val="20"/>
        </w:rPr>
        <w:br/>
      </w:r>
      <w:r w:rsidRPr="00794D56">
        <w:rPr>
          <w:sz w:val="20"/>
          <w:szCs w:val="20"/>
        </w:rPr>
        <w:t xml:space="preserve"> Alexandria</w:t>
      </w:r>
    </w:p>
    <w:p w14:paraId="6AB658CA" w14:textId="45A838A4" w:rsidR="00794D56" w:rsidRPr="00794D56" w:rsidRDefault="00794D56" w:rsidP="000571B6">
      <w:pPr>
        <w:ind w:right="348"/>
        <w:rPr>
          <w:sz w:val="20"/>
          <w:szCs w:val="20"/>
        </w:rPr>
      </w:pPr>
      <w:r w:rsidRPr="00794D56">
        <w:rPr>
          <w:sz w:val="20"/>
          <w:szCs w:val="20"/>
        </w:rPr>
        <w:t>Women Organization for Development and</w:t>
      </w:r>
      <w:r w:rsidR="000571B6">
        <w:rPr>
          <w:sz w:val="20"/>
          <w:szCs w:val="20"/>
        </w:rPr>
        <w:br/>
      </w:r>
      <w:r w:rsidRPr="00794D56">
        <w:rPr>
          <w:sz w:val="20"/>
          <w:szCs w:val="20"/>
        </w:rPr>
        <w:t xml:space="preserve"> Capacity Building</w:t>
      </w:r>
    </w:p>
    <w:p w14:paraId="7484A8F3" w14:textId="3D9A2963" w:rsidR="00794D56" w:rsidRPr="00794D56" w:rsidRDefault="00794D56" w:rsidP="000571B6">
      <w:pPr>
        <w:ind w:right="348"/>
        <w:rPr>
          <w:sz w:val="20"/>
          <w:szCs w:val="20"/>
        </w:rPr>
      </w:pPr>
      <w:r w:rsidRPr="00794D56">
        <w:rPr>
          <w:sz w:val="20"/>
          <w:szCs w:val="20"/>
        </w:rPr>
        <w:t>Women’s Federation for World Peace</w:t>
      </w:r>
      <w:r w:rsidR="000571B6">
        <w:rPr>
          <w:sz w:val="20"/>
          <w:szCs w:val="20"/>
        </w:rPr>
        <w:br/>
      </w:r>
      <w:r w:rsidRPr="00794D56">
        <w:rPr>
          <w:sz w:val="20"/>
          <w:szCs w:val="20"/>
        </w:rPr>
        <w:t xml:space="preserve"> International</w:t>
      </w:r>
    </w:p>
    <w:p w14:paraId="12B19075" w14:textId="43F174F5" w:rsidR="00794D56" w:rsidRPr="00794D56" w:rsidRDefault="00794D56" w:rsidP="000571B6">
      <w:pPr>
        <w:ind w:right="348"/>
        <w:rPr>
          <w:sz w:val="20"/>
          <w:szCs w:val="20"/>
        </w:rPr>
      </w:pPr>
      <w:r w:rsidRPr="00794D56">
        <w:rPr>
          <w:sz w:val="20"/>
          <w:szCs w:val="20"/>
        </w:rPr>
        <w:t>Women’s Human Rights International</w:t>
      </w:r>
      <w:r w:rsidR="000571B6">
        <w:rPr>
          <w:sz w:val="20"/>
          <w:szCs w:val="20"/>
        </w:rPr>
        <w:br/>
      </w:r>
      <w:r w:rsidRPr="00794D56">
        <w:rPr>
          <w:sz w:val="20"/>
          <w:szCs w:val="20"/>
        </w:rPr>
        <w:t xml:space="preserve"> Association</w:t>
      </w:r>
    </w:p>
    <w:p w14:paraId="40FF8277" w14:textId="77777777" w:rsidR="00794D56" w:rsidRPr="00794D56" w:rsidRDefault="00794D56" w:rsidP="000571B6">
      <w:pPr>
        <w:ind w:right="348"/>
        <w:rPr>
          <w:sz w:val="20"/>
          <w:szCs w:val="20"/>
        </w:rPr>
      </w:pPr>
      <w:r w:rsidRPr="00794D56">
        <w:rPr>
          <w:sz w:val="20"/>
          <w:szCs w:val="20"/>
        </w:rPr>
        <w:t>Women’s General Association of Macau, The.</w:t>
      </w:r>
    </w:p>
    <w:p w14:paraId="2B283BD6" w14:textId="3EC55B30" w:rsidR="00794D56" w:rsidRPr="00794D56" w:rsidRDefault="00794D56" w:rsidP="000571B6">
      <w:pPr>
        <w:ind w:right="348"/>
        <w:rPr>
          <w:sz w:val="20"/>
          <w:szCs w:val="20"/>
        </w:rPr>
      </w:pPr>
      <w:r w:rsidRPr="00794D56">
        <w:rPr>
          <w:sz w:val="20"/>
          <w:szCs w:val="20"/>
        </w:rPr>
        <w:t>Women’s International League for Peace and</w:t>
      </w:r>
      <w:r w:rsidR="000571B6">
        <w:rPr>
          <w:sz w:val="20"/>
          <w:szCs w:val="20"/>
        </w:rPr>
        <w:br/>
      </w:r>
      <w:r w:rsidRPr="00794D56">
        <w:rPr>
          <w:sz w:val="20"/>
          <w:szCs w:val="20"/>
        </w:rPr>
        <w:t xml:space="preserve"> Freedom</w:t>
      </w:r>
    </w:p>
    <w:p w14:paraId="418C45C0" w14:textId="77777777" w:rsidR="00794D56" w:rsidRPr="00794D56" w:rsidRDefault="00794D56" w:rsidP="000571B6">
      <w:pPr>
        <w:ind w:right="348"/>
        <w:rPr>
          <w:sz w:val="20"/>
          <w:szCs w:val="20"/>
        </w:rPr>
      </w:pPr>
      <w:r w:rsidRPr="00794D56">
        <w:rPr>
          <w:sz w:val="20"/>
          <w:szCs w:val="20"/>
        </w:rPr>
        <w:t>Women’s International Zionist Organization</w:t>
      </w:r>
    </w:p>
    <w:p w14:paraId="299BAF42" w14:textId="5C53771D" w:rsidR="00794D56" w:rsidRPr="00794D56" w:rsidRDefault="00794D56" w:rsidP="000571B6">
      <w:pPr>
        <w:ind w:right="348"/>
        <w:rPr>
          <w:sz w:val="20"/>
          <w:szCs w:val="20"/>
        </w:rPr>
      </w:pPr>
      <w:r w:rsidRPr="00794D56">
        <w:rPr>
          <w:sz w:val="20"/>
          <w:szCs w:val="20"/>
        </w:rPr>
        <w:t>World Association of Girl Guides and Girl Scouts</w:t>
      </w:r>
    </w:p>
    <w:p w14:paraId="549F5024" w14:textId="77777777" w:rsidR="00794D56" w:rsidRPr="00794D56" w:rsidRDefault="00794D56" w:rsidP="000571B6">
      <w:pPr>
        <w:ind w:right="348"/>
        <w:rPr>
          <w:sz w:val="20"/>
          <w:szCs w:val="20"/>
        </w:rPr>
      </w:pPr>
      <w:r w:rsidRPr="00794D56">
        <w:rPr>
          <w:sz w:val="20"/>
          <w:szCs w:val="20"/>
        </w:rPr>
        <w:t>World Barua Organization</w:t>
      </w:r>
    </w:p>
    <w:p w14:paraId="660A94F4" w14:textId="11446AA3" w:rsidR="00794D56" w:rsidRPr="00794D56" w:rsidRDefault="00794D56" w:rsidP="000571B6">
      <w:pPr>
        <w:ind w:right="348"/>
        <w:rPr>
          <w:sz w:val="20"/>
          <w:szCs w:val="20"/>
        </w:rPr>
      </w:pPr>
      <w:r w:rsidRPr="00794D56">
        <w:rPr>
          <w:sz w:val="20"/>
          <w:szCs w:val="20"/>
        </w:rPr>
        <w:t>World Environment and Resources Council</w:t>
      </w:r>
      <w:r w:rsidR="000571B6">
        <w:rPr>
          <w:sz w:val="20"/>
          <w:szCs w:val="20"/>
        </w:rPr>
        <w:br/>
      </w:r>
      <w:r w:rsidRPr="00794D56">
        <w:rPr>
          <w:sz w:val="20"/>
          <w:szCs w:val="20"/>
        </w:rPr>
        <w:t xml:space="preserve"> (WERC)</w:t>
      </w:r>
    </w:p>
    <w:p w14:paraId="3F0145DC" w14:textId="77777777" w:rsidR="00794D56" w:rsidRPr="00794D56" w:rsidRDefault="00794D56" w:rsidP="000571B6">
      <w:pPr>
        <w:ind w:right="348"/>
        <w:rPr>
          <w:sz w:val="20"/>
          <w:szCs w:val="20"/>
        </w:rPr>
      </w:pPr>
      <w:r w:rsidRPr="00794D56">
        <w:rPr>
          <w:sz w:val="20"/>
          <w:szCs w:val="20"/>
        </w:rPr>
        <w:t>World Evangelical Alliance</w:t>
      </w:r>
    </w:p>
    <w:p w14:paraId="2EE1CE02" w14:textId="77777777" w:rsidR="00794D56" w:rsidRPr="00794D56" w:rsidRDefault="00794D56" w:rsidP="000571B6">
      <w:pPr>
        <w:ind w:right="348"/>
        <w:rPr>
          <w:sz w:val="20"/>
          <w:szCs w:val="20"/>
        </w:rPr>
      </w:pPr>
      <w:r w:rsidRPr="00794D56">
        <w:rPr>
          <w:sz w:val="20"/>
          <w:szCs w:val="20"/>
        </w:rPr>
        <w:t>World Jewish Congress</w:t>
      </w:r>
    </w:p>
    <w:p w14:paraId="27A8E856" w14:textId="77777777" w:rsidR="00794D56" w:rsidRPr="00794D56" w:rsidRDefault="00794D56" w:rsidP="000571B6">
      <w:pPr>
        <w:ind w:right="348"/>
        <w:rPr>
          <w:sz w:val="20"/>
          <w:szCs w:val="20"/>
        </w:rPr>
      </w:pPr>
      <w:r w:rsidRPr="00794D56">
        <w:rPr>
          <w:sz w:val="20"/>
          <w:szCs w:val="20"/>
        </w:rPr>
        <w:t>World Muslim Congress</w:t>
      </w:r>
    </w:p>
    <w:p w14:paraId="15E5FB45" w14:textId="77777777" w:rsidR="00794D56" w:rsidRPr="00794D56" w:rsidRDefault="00794D56" w:rsidP="000571B6">
      <w:pPr>
        <w:ind w:right="348"/>
        <w:rPr>
          <w:sz w:val="20"/>
          <w:szCs w:val="20"/>
        </w:rPr>
      </w:pPr>
      <w:r w:rsidRPr="00794D56">
        <w:rPr>
          <w:sz w:val="20"/>
          <w:szCs w:val="20"/>
        </w:rPr>
        <w:t>World Organization against Torture</w:t>
      </w:r>
    </w:p>
    <w:p w14:paraId="32E5393E" w14:textId="77777777" w:rsidR="00794D56" w:rsidRPr="00794D56" w:rsidRDefault="00794D56" w:rsidP="000571B6">
      <w:pPr>
        <w:ind w:right="348"/>
        <w:rPr>
          <w:sz w:val="20"/>
          <w:szCs w:val="20"/>
        </w:rPr>
      </w:pPr>
      <w:r w:rsidRPr="00794D56">
        <w:rPr>
          <w:sz w:val="20"/>
          <w:szCs w:val="20"/>
        </w:rPr>
        <w:t>World Peace Council</w:t>
      </w:r>
    </w:p>
    <w:p w14:paraId="1ED1DBB0" w14:textId="77777777" w:rsidR="00794D56" w:rsidRPr="00794D56" w:rsidRDefault="00794D56" w:rsidP="000571B6">
      <w:pPr>
        <w:ind w:right="348"/>
        <w:rPr>
          <w:sz w:val="20"/>
          <w:szCs w:val="20"/>
        </w:rPr>
      </w:pPr>
      <w:r w:rsidRPr="00794D56">
        <w:rPr>
          <w:sz w:val="20"/>
          <w:szCs w:val="20"/>
        </w:rPr>
        <w:t>World Russian People’s Council</w:t>
      </w:r>
    </w:p>
    <w:p w14:paraId="73E5B272" w14:textId="77777777" w:rsidR="00794D56" w:rsidRPr="00794D56" w:rsidRDefault="00794D56" w:rsidP="000571B6">
      <w:pPr>
        <w:ind w:right="348"/>
        <w:rPr>
          <w:sz w:val="20"/>
          <w:szCs w:val="20"/>
        </w:rPr>
      </w:pPr>
      <w:r w:rsidRPr="00794D56">
        <w:rPr>
          <w:sz w:val="20"/>
          <w:szCs w:val="20"/>
        </w:rPr>
        <w:t>World Vision International</w:t>
      </w:r>
    </w:p>
    <w:p w14:paraId="69207AF6" w14:textId="4DFBB281" w:rsidR="00E30D7B" w:rsidRPr="00E567A1" w:rsidRDefault="00794D56" w:rsidP="000571B6">
      <w:pPr>
        <w:ind w:right="348"/>
        <w:rPr>
          <w:sz w:val="20"/>
          <w:szCs w:val="20"/>
        </w:rPr>
      </w:pPr>
      <w:r w:rsidRPr="00794D56">
        <w:rPr>
          <w:sz w:val="20"/>
          <w:szCs w:val="20"/>
        </w:rPr>
        <w:t>World Young Women’s Christian Association</w:t>
      </w:r>
    </w:p>
    <w:p w14:paraId="0E0F20D0" w14:textId="77777777" w:rsidR="00F379B0" w:rsidRDefault="00F379B0" w:rsidP="00E567A1">
      <w:pPr>
        <w:pStyle w:val="H1G"/>
        <w:sectPr w:rsidR="00F379B0" w:rsidSect="00686922">
          <w:endnotePr>
            <w:numFmt w:val="decimal"/>
          </w:endnotePr>
          <w:type w:val="continuous"/>
          <w:pgSz w:w="11907" w:h="16840" w:code="9"/>
          <w:pgMar w:top="1701" w:right="1134" w:bottom="2268" w:left="1134" w:header="1134" w:footer="1701" w:gutter="0"/>
          <w:cols w:num="2" w:space="720"/>
        </w:sectPr>
      </w:pPr>
    </w:p>
    <w:p w14:paraId="4DE03C79" w14:textId="60A45B2D" w:rsidR="00F379B0" w:rsidRDefault="00F379B0">
      <w:pPr>
        <w:spacing w:after="200" w:line="276" w:lineRule="auto"/>
        <w:rPr>
          <w:b/>
        </w:rPr>
      </w:pPr>
      <w:r>
        <w:br w:type="page"/>
      </w:r>
    </w:p>
    <w:p w14:paraId="1C4AB414" w14:textId="7DD2EEA2" w:rsidR="00686922" w:rsidRPr="00F379B0" w:rsidRDefault="00F379B0" w:rsidP="00F379B0">
      <w:pPr>
        <w:pStyle w:val="HChG"/>
        <w:suppressAutoHyphens/>
        <w:ind w:left="0" w:firstLine="0"/>
        <w:rPr>
          <w:szCs w:val="20"/>
          <w:lang w:val="en-GB"/>
        </w:rPr>
      </w:pPr>
      <w:r w:rsidRPr="00F379B0">
        <w:rPr>
          <w:szCs w:val="20"/>
          <w:lang w:val="en-GB"/>
        </w:rPr>
        <w:lastRenderedPageBreak/>
        <w:t>Annex II</w:t>
      </w:r>
    </w:p>
    <w:p w14:paraId="2019A681" w14:textId="57B31D30" w:rsidR="00F379B0" w:rsidRDefault="00F379B0" w:rsidP="00F379B0">
      <w:pPr>
        <w:pStyle w:val="HChG"/>
        <w:suppressAutoHyphens/>
        <w:rPr>
          <w:szCs w:val="20"/>
          <w:lang w:val="en-GB"/>
        </w:rPr>
      </w:pPr>
      <w:r>
        <w:rPr>
          <w:szCs w:val="20"/>
          <w:lang w:val="en-GB"/>
        </w:rPr>
        <w:tab/>
      </w:r>
      <w:r>
        <w:rPr>
          <w:szCs w:val="20"/>
          <w:lang w:val="en-GB"/>
        </w:rPr>
        <w:tab/>
      </w:r>
      <w:r w:rsidRPr="00F379B0">
        <w:rPr>
          <w:szCs w:val="20"/>
          <w:lang w:val="en-GB"/>
        </w:rPr>
        <w:t>Agenda</w:t>
      </w:r>
    </w:p>
    <w:p w14:paraId="705E8851" w14:textId="77777777" w:rsidR="00F379B0" w:rsidRPr="00F379B0" w:rsidRDefault="00F379B0" w:rsidP="00F379B0">
      <w:pPr>
        <w:pStyle w:val="SingleTxtG"/>
        <w:tabs>
          <w:tab w:val="left" w:pos="2127"/>
        </w:tabs>
        <w:rPr>
          <w:sz w:val="20"/>
          <w:szCs w:val="20"/>
          <w:lang w:val="en-GB"/>
        </w:rPr>
      </w:pPr>
      <w:r w:rsidRPr="00F379B0">
        <w:rPr>
          <w:sz w:val="20"/>
          <w:szCs w:val="20"/>
          <w:lang w:val="en-GB"/>
        </w:rPr>
        <w:t>Item 1.</w:t>
      </w:r>
      <w:r w:rsidRPr="00F379B0">
        <w:rPr>
          <w:sz w:val="20"/>
          <w:szCs w:val="20"/>
          <w:lang w:val="en-GB"/>
        </w:rPr>
        <w:tab/>
        <w:t>Organizational and procedural matters.</w:t>
      </w:r>
    </w:p>
    <w:p w14:paraId="75A073DF" w14:textId="77777777" w:rsidR="00F379B0" w:rsidRPr="00F379B0" w:rsidRDefault="00F379B0" w:rsidP="00F379B0">
      <w:pPr>
        <w:pStyle w:val="SingleTxtG"/>
        <w:tabs>
          <w:tab w:val="left" w:pos="2127"/>
        </w:tabs>
        <w:ind w:left="2124" w:hanging="990"/>
        <w:rPr>
          <w:sz w:val="20"/>
          <w:szCs w:val="20"/>
          <w:lang w:val="en-GB"/>
        </w:rPr>
      </w:pPr>
      <w:r w:rsidRPr="00F379B0">
        <w:rPr>
          <w:sz w:val="20"/>
          <w:szCs w:val="20"/>
          <w:lang w:val="en-GB"/>
        </w:rPr>
        <w:t>Item 2.</w:t>
      </w:r>
      <w:r w:rsidRPr="00F379B0">
        <w:rPr>
          <w:sz w:val="20"/>
          <w:szCs w:val="20"/>
          <w:lang w:val="en-GB"/>
        </w:rPr>
        <w:tab/>
        <w:t>Annual report of the United Nations High Commissioner for Human Rights</w:t>
      </w:r>
      <w:r w:rsidRPr="00F379B0">
        <w:rPr>
          <w:sz w:val="20"/>
          <w:szCs w:val="20"/>
          <w:lang w:val="en-GB"/>
        </w:rPr>
        <w:br/>
        <w:t>and reports of the Office of the High Commissioner and the Secretary-General.</w:t>
      </w:r>
    </w:p>
    <w:p w14:paraId="278A3A4F" w14:textId="77777777" w:rsidR="00F379B0" w:rsidRPr="00F379B0" w:rsidRDefault="00F379B0" w:rsidP="00F379B0">
      <w:pPr>
        <w:pStyle w:val="SingleTxtG"/>
        <w:tabs>
          <w:tab w:val="left" w:pos="2127"/>
        </w:tabs>
        <w:ind w:left="2124" w:hanging="990"/>
        <w:rPr>
          <w:sz w:val="20"/>
          <w:szCs w:val="20"/>
          <w:lang w:val="en-GB"/>
        </w:rPr>
      </w:pPr>
      <w:r w:rsidRPr="00F379B0">
        <w:rPr>
          <w:sz w:val="20"/>
          <w:szCs w:val="20"/>
          <w:lang w:val="en-GB"/>
        </w:rPr>
        <w:t>Item 3.</w:t>
      </w:r>
      <w:r w:rsidRPr="00F379B0">
        <w:rPr>
          <w:sz w:val="20"/>
          <w:szCs w:val="20"/>
          <w:lang w:val="en-GB"/>
        </w:rPr>
        <w:tab/>
        <w:t>Promotion and protection of all human rights, civil, political, economic, social</w:t>
      </w:r>
      <w:r w:rsidRPr="00F379B0">
        <w:rPr>
          <w:sz w:val="20"/>
          <w:szCs w:val="20"/>
          <w:lang w:val="en-GB"/>
        </w:rPr>
        <w:br/>
        <w:t>and cultural rights, including the right to development.</w:t>
      </w:r>
    </w:p>
    <w:p w14:paraId="7CEBABC2" w14:textId="77777777" w:rsidR="00F379B0" w:rsidRPr="00F379B0" w:rsidRDefault="00F379B0" w:rsidP="00F379B0">
      <w:pPr>
        <w:pStyle w:val="SingleTxtG"/>
        <w:tabs>
          <w:tab w:val="left" w:pos="2127"/>
        </w:tabs>
        <w:rPr>
          <w:sz w:val="20"/>
          <w:szCs w:val="20"/>
          <w:lang w:val="en-GB"/>
        </w:rPr>
      </w:pPr>
      <w:r w:rsidRPr="00F379B0">
        <w:rPr>
          <w:sz w:val="20"/>
          <w:szCs w:val="20"/>
          <w:lang w:val="en-GB"/>
        </w:rPr>
        <w:t>Item 4.</w:t>
      </w:r>
      <w:r w:rsidRPr="00F379B0">
        <w:rPr>
          <w:sz w:val="20"/>
          <w:szCs w:val="20"/>
          <w:lang w:val="en-GB"/>
        </w:rPr>
        <w:tab/>
        <w:t>Human rights situations that require the Council’s attention.</w:t>
      </w:r>
    </w:p>
    <w:p w14:paraId="7829211E" w14:textId="77777777" w:rsidR="00F379B0" w:rsidRPr="00F379B0" w:rsidRDefault="00F379B0" w:rsidP="00F379B0">
      <w:pPr>
        <w:pStyle w:val="SingleTxtG"/>
        <w:tabs>
          <w:tab w:val="left" w:pos="2127"/>
        </w:tabs>
        <w:rPr>
          <w:sz w:val="20"/>
          <w:szCs w:val="20"/>
          <w:lang w:val="en-GB"/>
        </w:rPr>
      </w:pPr>
      <w:r w:rsidRPr="00F379B0">
        <w:rPr>
          <w:sz w:val="20"/>
          <w:szCs w:val="20"/>
          <w:lang w:val="en-GB"/>
        </w:rPr>
        <w:t>Item 5.</w:t>
      </w:r>
      <w:r w:rsidRPr="00F379B0">
        <w:rPr>
          <w:sz w:val="20"/>
          <w:szCs w:val="20"/>
          <w:lang w:val="en-GB"/>
        </w:rPr>
        <w:tab/>
        <w:t>Human rights bodies and mechanisms.</w:t>
      </w:r>
    </w:p>
    <w:p w14:paraId="5CE86E9D" w14:textId="77777777" w:rsidR="00F379B0" w:rsidRPr="00F379B0" w:rsidRDefault="00F379B0" w:rsidP="00F379B0">
      <w:pPr>
        <w:pStyle w:val="SingleTxtG"/>
        <w:tabs>
          <w:tab w:val="left" w:pos="2127"/>
        </w:tabs>
        <w:rPr>
          <w:sz w:val="20"/>
          <w:szCs w:val="20"/>
          <w:lang w:val="en-GB"/>
        </w:rPr>
      </w:pPr>
      <w:r w:rsidRPr="00F379B0">
        <w:rPr>
          <w:sz w:val="20"/>
          <w:szCs w:val="20"/>
          <w:lang w:val="en-GB"/>
        </w:rPr>
        <w:t>Item 6.</w:t>
      </w:r>
      <w:r w:rsidRPr="00F379B0">
        <w:rPr>
          <w:sz w:val="20"/>
          <w:szCs w:val="20"/>
          <w:lang w:val="en-GB"/>
        </w:rPr>
        <w:tab/>
        <w:t>Universal periodic review.</w:t>
      </w:r>
    </w:p>
    <w:p w14:paraId="5BE85A78" w14:textId="77777777" w:rsidR="00F379B0" w:rsidRPr="00F379B0" w:rsidRDefault="00F379B0" w:rsidP="00F379B0">
      <w:pPr>
        <w:pStyle w:val="SingleTxtG"/>
        <w:tabs>
          <w:tab w:val="left" w:pos="2127"/>
        </w:tabs>
        <w:rPr>
          <w:sz w:val="20"/>
          <w:szCs w:val="20"/>
          <w:lang w:val="en-GB"/>
        </w:rPr>
      </w:pPr>
      <w:r w:rsidRPr="00F379B0">
        <w:rPr>
          <w:sz w:val="20"/>
          <w:szCs w:val="20"/>
          <w:lang w:val="en-GB"/>
        </w:rPr>
        <w:t>Item 7.</w:t>
      </w:r>
      <w:r w:rsidRPr="00F379B0">
        <w:rPr>
          <w:sz w:val="20"/>
          <w:szCs w:val="20"/>
          <w:lang w:val="en-GB"/>
        </w:rPr>
        <w:tab/>
        <w:t>Human rights situation in Palestine and other occupied Arab territories.</w:t>
      </w:r>
    </w:p>
    <w:p w14:paraId="7BE39AD6" w14:textId="77777777" w:rsidR="00F379B0" w:rsidRPr="00F379B0" w:rsidRDefault="00F379B0" w:rsidP="00F379B0">
      <w:pPr>
        <w:pStyle w:val="SingleTxtG"/>
        <w:tabs>
          <w:tab w:val="left" w:pos="2127"/>
        </w:tabs>
        <w:ind w:left="2124" w:hanging="990"/>
        <w:rPr>
          <w:sz w:val="20"/>
          <w:szCs w:val="20"/>
          <w:lang w:val="en-GB"/>
        </w:rPr>
      </w:pPr>
      <w:r w:rsidRPr="00F379B0">
        <w:rPr>
          <w:sz w:val="20"/>
          <w:szCs w:val="20"/>
          <w:lang w:val="en-GB"/>
        </w:rPr>
        <w:t>Item 8.</w:t>
      </w:r>
      <w:r w:rsidRPr="00F379B0">
        <w:rPr>
          <w:sz w:val="20"/>
          <w:szCs w:val="20"/>
          <w:lang w:val="en-GB"/>
        </w:rPr>
        <w:tab/>
        <w:t>Follow-up to and implementation of the Vienna Declaration and Programme of</w:t>
      </w:r>
      <w:r w:rsidRPr="00F379B0">
        <w:rPr>
          <w:sz w:val="20"/>
          <w:szCs w:val="20"/>
          <w:lang w:val="en-GB"/>
        </w:rPr>
        <w:br/>
        <w:t>Action.</w:t>
      </w:r>
    </w:p>
    <w:p w14:paraId="65B7FD80" w14:textId="77777777" w:rsidR="00F379B0" w:rsidRPr="00F379B0" w:rsidRDefault="00F379B0" w:rsidP="00F379B0">
      <w:pPr>
        <w:pStyle w:val="SingleTxtG"/>
        <w:tabs>
          <w:tab w:val="left" w:pos="2127"/>
        </w:tabs>
        <w:ind w:left="2124" w:hanging="990"/>
        <w:rPr>
          <w:sz w:val="20"/>
          <w:szCs w:val="20"/>
          <w:lang w:val="en-GB"/>
        </w:rPr>
      </w:pPr>
      <w:r w:rsidRPr="00F379B0">
        <w:rPr>
          <w:sz w:val="20"/>
          <w:szCs w:val="20"/>
          <w:lang w:val="en-GB"/>
        </w:rPr>
        <w:t>Item 9.</w:t>
      </w:r>
      <w:r w:rsidRPr="00F379B0">
        <w:rPr>
          <w:sz w:val="20"/>
          <w:szCs w:val="20"/>
          <w:lang w:val="en-GB"/>
        </w:rPr>
        <w:tab/>
        <w:t>Racism, racial discrimination, xenophobia and related forms of intolerance</w:t>
      </w:r>
      <w:proofErr w:type="gramStart"/>
      <w:r w:rsidRPr="00F379B0">
        <w:rPr>
          <w:sz w:val="20"/>
          <w:szCs w:val="20"/>
          <w:lang w:val="en-GB"/>
        </w:rPr>
        <w:t>,</w:t>
      </w:r>
      <w:proofErr w:type="gramEnd"/>
      <w:r w:rsidRPr="00F379B0">
        <w:rPr>
          <w:sz w:val="20"/>
          <w:szCs w:val="20"/>
          <w:lang w:val="en-GB"/>
        </w:rPr>
        <w:br/>
        <w:t>follow-up to and implementation of the Durban Declaration and Programme of</w:t>
      </w:r>
      <w:r w:rsidRPr="00F379B0">
        <w:rPr>
          <w:sz w:val="20"/>
          <w:szCs w:val="20"/>
          <w:lang w:val="en-GB"/>
        </w:rPr>
        <w:br/>
        <w:t>Action.</w:t>
      </w:r>
    </w:p>
    <w:p w14:paraId="5E84F7C8" w14:textId="77777777" w:rsidR="00F379B0" w:rsidRPr="00F379B0" w:rsidRDefault="00F379B0" w:rsidP="00F379B0">
      <w:pPr>
        <w:pStyle w:val="SingleTxtG"/>
        <w:tabs>
          <w:tab w:val="left" w:pos="2127"/>
        </w:tabs>
        <w:rPr>
          <w:sz w:val="20"/>
          <w:szCs w:val="20"/>
          <w:lang w:val="en-GB"/>
        </w:rPr>
      </w:pPr>
      <w:r w:rsidRPr="00F379B0">
        <w:rPr>
          <w:sz w:val="20"/>
          <w:szCs w:val="20"/>
          <w:lang w:val="en-GB"/>
        </w:rPr>
        <w:t>Item 10.</w:t>
      </w:r>
      <w:r w:rsidRPr="00F379B0">
        <w:rPr>
          <w:sz w:val="20"/>
          <w:szCs w:val="20"/>
          <w:lang w:val="en-GB"/>
        </w:rPr>
        <w:tab/>
        <w:t>Technical assistance and capacity-building.</w:t>
      </w:r>
    </w:p>
    <w:p w14:paraId="0D73A537" w14:textId="41915D46" w:rsidR="002139E4" w:rsidRDefault="002139E4">
      <w:pPr>
        <w:spacing w:after="200" w:line="276" w:lineRule="auto"/>
        <w:rPr>
          <w:lang w:val="en-GB"/>
        </w:rPr>
      </w:pPr>
      <w:r>
        <w:rPr>
          <w:lang w:val="en-GB"/>
        </w:rPr>
        <w:br w:type="page"/>
      </w:r>
    </w:p>
    <w:p w14:paraId="6ED07A8D" w14:textId="77777777" w:rsidR="002139E4" w:rsidRPr="00D54B54" w:rsidRDefault="002139E4" w:rsidP="002139E4">
      <w:pPr>
        <w:pStyle w:val="HChG"/>
        <w:ind w:left="0" w:firstLine="0"/>
        <w:rPr>
          <w:lang w:val="en-GB"/>
        </w:rPr>
      </w:pPr>
      <w:r w:rsidRPr="00D54B54">
        <w:rPr>
          <w:lang w:val="en-GB"/>
        </w:rPr>
        <w:lastRenderedPageBreak/>
        <w:t>Annex III</w:t>
      </w:r>
    </w:p>
    <w:p w14:paraId="4EFA6197" w14:textId="77777777" w:rsidR="002139E4" w:rsidRPr="002139E4" w:rsidRDefault="002139E4" w:rsidP="002139E4">
      <w:pPr>
        <w:pStyle w:val="SingleTxtG"/>
        <w:jc w:val="right"/>
        <w:rPr>
          <w:i/>
          <w:sz w:val="20"/>
          <w:szCs w:val="20"/>
          <w:lang w:val="en-GB"/>
        </w:rPr>
      </w:pPr>
      <w:r w:rsidRPr="002139E4">
        <w:rPr>
          <w:sz w:val="20"/>
          <w:szCs w:val="20"/>
          <w:lang w:val="en-GB"/>
        </w:rPr>
        <w:tab/>
      </w:r>
      <w:r w:rsidRPr="002139E4">
        <w:rPr>
          <w:sz w:val="20"/>
          <w:szCs w:val="20"/>
          <w:lang w:val="en-GB"/>
        </w:rPr>
        <w:tab/>
      </w:r>
      <w:r w:rsidRPr="002139E4">
        <w:rPr>
          <w:i/>
          <w:sz w:val="20"/>
          <w:szCs w:val="20"/>
          <w:lang w:val="en-GB"/>
        </w:rPr>
        <w:t>[English, French and Spanish only]</w:t>
      </w:r>
    </w:p>
    <w:p w14:paraId="767ECD1F" w14:textId="1C6A2CBD" w:rsidR="002139E4" w:rsidRPr="00D54B54" w:rsidRDefault="002139E4" w:rsidP="002139E4">
      <w:pPr>
        <w:pStyle w:val="HChG"/>
        <w:rPr>
          <w:lang w:val="en-GB"/>
        </w:rPr>
      </w:pPr>
      <w:r w:rsidRPr="00D54B54">
        <w:rPr>
          <w:lang w:val="en-GB"/>
        </w:rPr>
        <w:tab/>
      </w:r>
      <w:r w:rsidRPr="00D54B54">
        <w:rPr>
          <w:lang w:val="en-GB"/>
        </w:rPr>
        <w:tab/>
        <w:t xml:space="preserve">Documents issued for the </w:t>
      </w:r>
      <w:r>
        <w:rPr>
          <w:color w:val="000000" w:themeColor="text1"/>
        </w:rPr>
        <w:t>fortieth</w:t>
      </w:r>
      <w:r w:rsidRPr="00C16037">
        <w:rPr>
          <w:color w:val="000000" w:themeColor="text1"/>
        </w:rPr>
        <w:t xml:space="preserve"> </w:t>
      </w:r>
      <w:r w:rsidRPr="00D54B54">
        <w:rPr>
          <w:lang w:val="en-GB"/>
        </w:rPr>
        <w:t>session</w:t>
      </w:r>
    </w:p>
    <w:tbl>
      <w:tblPr>
        <w:tblW w:w="7938" w:type="dxa"/>
        <w:tblInd w:w="1134" w:type="dxa"/>
        <w:tblBorders>
          <w:top w:val="single" w:sz="4" w:space="0" w:color="auto"/>
        </w:tblBorders>
        <w:tblLayout w:type="fixed"/>
        <w:tblCellMar>
          <w:left w:w="0" w:type="dxa"/>
          <w:right w:w="113" w:type="dxa"/>
        </w:tblCellMar>
        <w:tblLook w:val="0000" w:firstRow="0" w:lastRow="0" w:firstColumn="0" w:lastColumn="0" w:noHBand="0" w:noVBand="0"/>
        <w:tblCaption w:val="Document issued in the Government series"/>
        <w:tblDescription w:val="Document issued in the Government series"/>
      </w:tblPr>
      <w:tblGrid>
        <w:gridCol w:w="2410"/>
        <w:gridCol w:w="1269"/>
        <w:gridCol w:w="7"/>
        <w:gridCol w:w="4252"/>
      </w:tblGrid>
      <w:tr w:rsidR="002139E4" w:rsidRPr="00E93295" w14:paraId="15E0DCF0" w14:textId="77777777" w:rsidTr="001A259A">
        <w:trPr>
          <w:trHeight w:val="240"/>
          <w:tblHeader/>
        </w:trPr>
        <w:tc>
          <w:tcPr>
            <w:tcW w:w="7938" w:type="dxa"/>
            <w:gridSpan w:val="4"/>
            <w:tcBorders>
              <w:top w:val="nil"/>
              <w:bottom w:val="single" w:sz="2" w:space="0" w:color="auto"/>
            </w:tcBorders>
            <w:shd w:val="clear" w:color="auto" w:fill="auto"/>
            <w:vAlign w:val="bottom"/>
          </w:tcPr>
          <w:p w14:paraId="3D9B9CF3" w14:textId="77777777" w:rsidR="002139E4" w:rsidRPr="00E93295" w:rsidRDefault="002139E4" w:rsidP="001A259A">
            <w:pPr>
              <w:spacing w:before="80" w:after="80" w:line="200" w:lineRule="exact"/>
              <w:rPr>
                <w:i/>
                <w:sz w:val="16"/>
              </w:rPr>
            </w:pPr>
            <w:r w:rsidRPr="00E93295">
              <w:rPr>
                <w:i/>
                <w:sz w:val="16"/>
              </w:rPr>
              <w:t>Documents issued in the general series</w:t>
            </w:r>
          </w:p>
        </w:tc>
      </w:tr>
      <w:tr w:rsidR="002139E4" w:rsidRPr="008F2759" w14:paraId="3F7FEA99" w14:textId="77777777" w:rsidTr="001A259A">
        <w:trPr>
          <w:trHeight w:val="240"/>
          <w:tblHeader/>
        </w:trPr>
        <w:tc>
          <w:tcPr>
            <w:tcW w:w="2410" w:type="dxa"/>
            <w:tcBorders>
              <w:top w:val="single" w:sz="2" w:space="0" w:color="auto"/>
              <w:bottom w:val="single" w:sz="12" w:space="0" w:color="auto"/>
            </w:tcBorders>
            <w:shd w:val="clear" w:color="auto" w:fill="auto"/>
          </w:tcPr>
          <w:p w14:paraId="6E88A1AD" w14:textId="77777777" w:rsidR="002139E4" w:rsidRPr="008F2759" w:rsidRDefault="002139E4" w:rsidP="001A259A">
            <w:pPr>
              <w:spacing w:before="40" w:after="120" w:line="220" w:lineRule="exact"/>
              <w:rPr>
                <w:i/>
                <w:sz w:val="16"/>
                <w:szCs w:val="16"/>
              </w:rPr>
            </w:pPr>
            <w:r w:rsidRPr="008F2759">
              <w:rPr>
                <w:i/>
                <w:sz w:val="16"/>
                <w:szCs w:val="16"/>
              </w:rPr>
              <w:t xml:space="preserve">Symbol </w:t>
            </w:r>
          </w:p>
        </w:tc>
        <w:tc>
          <w:tcPr>
            <w:tcW w:w="1276" w:type="dxa"/>
            <w:gridSpan w:val="2"/>
            <w:tcBorders>
              <w:top w:val="single" w:sz="2" w:space="0" w:color="auto"/>
              <w:bottom w:val="single" w:sz="12" w:space="0" w:color="auto"/>
            </w:tcBorders>
            <w:shd w:val="clear" w:color="auto" w:fill="auto"/>
          </w:tcPr>
          <w:p w14:paraId="0AAF566C" w14:textId="77777777" w:rsidR="002139E4" w:rsidRPr="008F2759" w:rsidRDefault="002139E4" w:rsidP="001A259A">
            <w:pPr>
              <w:spacing w:before="40" w:after="120" w:line="220" w:lineRule="exact"/>
              <w:rPr>
                <w:i/>
                <w:sz w:val="16"/>
                <w:szCs w:val="16"/>
              </w:rPr>
            </w:pPr>
            <w:r w:rsidRPr="008F2759">
              <w:rPr>
                <w:i/>
                <w:sz w:val="16"/>
                <w:szCs w:val="16"/>
              </w:rPr>
              <w:t>Agenda item</w:t>
            </w:r>
          </w:p>
        </w:tc>
        <w:tc>
          <w:tcPr>
            <w:tcW w:w="4252" w:type="dxa"/>
            <w:tcBorders>
              <w:top w:val="single" w:sz="2" w:space="0" w:color="auto"/>
              <w:bottom w:val="single" w:sz="12" w:space="0" w:color="auto"/>
            </w:tcBorders>
            <w:shd w:val="clear" w:color="auto" w:fill="auto"/>
          </w:tcPr>
          <w:p w14:paraId="0393285B" w14:textId="77777777" w:rsidR="002139E4" w:rsidRPr="008F2759" w:rsidRDefault="002139E4" w:rsidP="001A259A">
            <w:pPr>
              <w:spacing w:before="40" w:after="120" w:line="220" w:lineRule="exact"/>
              <w:rPr>
                <w:i/>
                <w:sz w:val="16"/>
                <w:szCs w:val="16"/>
              </w:rPr>
            </w:pPr>
          </w:p>
        </w:tc>
      </w:tr>
      <w:tr w:rsidR="002139E4" w:rsidRPr="00E93295" w14:paraId="03098DF5" w14:textId="77777777" w:rsidTr="001A259A">
        <w:trPr>
          <w:trHeight w:val="240"/>
        </w:trPr>
        <w:tc>
          <w:tcPr>
            <w:tcW w:w="2410" w:type="dxa"/>
            <w:tcBorders>
              <w:top w:val="single" w:sz="12" w:space="0" w:color="auto"/>
            </w:tcBorders>
            <w:shd w:val="clear" w:color="auto" w:fill="auto"/>
          </w:tcPr>
          <w:p w14:paraId="2957CA9F" w14:textId="77777777" w:rsidR="002139E4" w:rsidRPr="009D6CCB"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/1</w:t>
            </w:r>
          </w:p>
        </w:tc>
        <w:tc>
          <w:tcPr>
            <w:tcW w:w="1276" w:type="dxa"/>
            <w:gridSpan w:val="2"/>
            <w:tcBorders>
              <w:top w:val="single" w:sz="12" w:space="0" w:color="auto"/>
            </w:tcBorders>
            <w:shd w:val="clear" w:color="auto" w:fill="auto"/>
          </w:tcPr>
          <w:p w14:paraId="280503D7" w14:textId="77777777" w:rsidR="002139E4" w:rsidRPr="009D6CCB" w:rsidRDefault="002139E4" w:rsidP="001A259A">
            <w:pPr>
              <w:spacing w:before="40" w:after="120" w:line="220" w:lineRule="exact"/>
              <w:ind w:right="168"/>
              <w:jc w:val="right"/>
              <w:rPr>
                <w:sz w:val="20"/>
                <w:szCs w:val="20"/>
              </w:rPr>
            </w:pPr>
            <w:r>
              <w:rPr>
                <w:sz w:val="20"/>
                <w:szCs w:val="20"/>
              </w:rPr>
              <w:t>1</w:t>
            </w:r>
          </w:p>
        </w:tc>
        <w:tc>
          <w:tcPr>
            <w:tcW w:w="4252" w:type="dxa"/>
            <w:tcBorders>
              <w:top w:val="single" w:sz="12" w:space="0" w:color="auto"/>
            </w:tcBorders>
            <w:shd w:val="clear" w:color="auto" w:fill="auto"/>
          </w:tcPr>
          <w:p w14:paraId="63710CEB" w14:textId="77777777" w:rsidR="002139E4" w:rsidRPr="009D6CCB" w:rsidRDefault="002139E4" w:rsidP="001A259A">
            <w:pPr>
              <w:spacing w:before="40" w:after="120" w:line="220" w:lineRule="exact"/>
              <w:rPr>
                <w:sz w:val="20"/>
                <w:szCs w:val="20"/>
              </w:rPr>
            </w:pPr>
            <w:r w:rsidRPr="00500755">
              <w:rPr>
                <w:sz w:val="20"/>
                <w:szCs w:val="20"/>
              </w:rPr>
              <w:t>Agenda and annotations</w:t>
            </w:r>
          </w:p>
        </w:tc>
      </w:tr>
      <w:tr w:rsidR="002139E4" w:rsidRPr="00E93295" w14:paraId="0BB94E56" w14:textId="77777777" w:rsidTr="001A259A">
        <w:trPr>
          <w:trHeight w:val="240"/>
        </w:trPr>
        <w:tc>
          <w:tcPr>
            <w:tcW w:w="2410" w:type="dxa"/>
            <w:shd w:val="clear" w:color="auto" w:fill="auto"/>
          </w:tcPr>
          <w:p w14:paraId="2097A9C7" w14:textId="77777777" w:rsidR="002139E4" w:rsidRPr="009D6CCB"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/2</w:t>
            </w:r>
          </w:p>
        </w:tc>
        <w:tc>
          <w:tcPr>
            <w:tcW w:w="1276" w:type="dxa"/>
            <w:gridSpan w:val="2"/>
            <w:shd w:val="clear" w:color="auto" w:fill="auto"/>
          </w:tcPr>
          <w:p w14:paraId="7558EC7E" w14:textId="77777777" w:rsidR="002139E4" w:rsidRPr="009D6CCB" w:rsidRDefault="002139E4" w:rsidP="001A259A">
            <w:pPr>
              <w:spacing w:before="40" w:after="120" w:line="220" w:lineRule="exact"/>
              <w:ind w:right="168"/>
              <w:jc w:val="right"/>
              <w:rPr>
                <w:sz w:val="20"/>
                <w:szCs w:val="20"/>
              </w:rPr>
            </w:pPr>
            <w:r>
              <w:rPr>
                <w:sz w:val="20"/>
                <w:szCs w:val="20"/>
              </w:rPr>
              <w:t>1</w:t>
            </w:r>
          </w:p>
        </w:tc>
        <w:tc>
          <w:tcPr>
            <w:tcW w:w="4252" w:type="dxa"/>
            <w:shd w:val="clear" w:color="auto" w:fill="auto"/>
          </w:tcPr>
          <w:p w14:paraId="6F758D44" w14:textId="77777777" w:rsidR="002139E4" w:rsidRPr="009D6CCB" w:rsidRDefault="002139E4" w:rsidP="001A259A">
            <w:pPr>
              <w:spacing w:before="40" w:after="120" w:line="220" w:lineRule="exact"/>
              <w:rPr>
                <w:sz w:val="20"/>
                <w:szCs w:val="20"/>
              </w:rPr>
            </w:pPr>
            <w:r w:rsidRPr="00500755">
              <w:rPr>
                <w:sz w:val="20"/>
                <w:szCs w:val="20"/>
              </w:rPr>
              <w:t xml:space="preserve">Report of the Human Rights Council on its </w:t>
            </w:r>
            <w:r>
              <w:rPr>
                <w:sz w:val="20"/>
                <w:szCs w:val="20"/>
              </w:rPr>
              <w:t>fortieth</w:t>
            </w:r>
            <w:r w:rsidRPr="00500755">
              <w:rPr>
                <w:sz w:val="20"/>
                <w:szCs w:val="20"/>
              </w:rPr>
              <w:t xml:space="preserve"> session</w:t>
            </w:r>
          </w:p>
        </w:tc>
      </w:tr>
      <w:tr w:rsidR="002139E4" w:rsidRPr="00E93295" w14:paraId="3966D598" w14:textId="77777777" w:rsidTr="001A259A">
        <w:trPr>
          <w:trHeight w:val="240"/>
        </w:trPr>
        <w:tc>
          <w:tcPr>
            <w:tcW w:w="2410" w:type="dxa"/>
            <w:shd w:val="clear" w:color="auto" w:fill="auto"/>
          </w:tcPr>
          <w:p w14:paraId="5EFEEA9E" w14:textId="77777777" w:rsidR="002139E4" w:rsidRPr="009D6CCB"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/3</w:t>
            </w:r>
          </w:p>
        </w:tc>
        <w:tc>
          <w:tcPr>
            <w:tcW w:w="1276" w:type="dxa"/>
            <w:gridSpan w:val="2"/>
            <w:shd w:val="clear" w:color="auto" w:fill="auto"/>
          </w:tcPr>
          <w:p w14:paraId="747BA422" w14:textId="77777777" w:rsidR="002139E4" w:rsidRPr="009D6CCB" w:rsidRDefault="002139E4" w:rsidP="001A259A">
            <w:pPr>
              <w:spacing w:before="40" w:after="120" w:line="220" w:lineRule="exact"/>
              <w:ind w:right="168"/>
              <w:jc w:val="right"/>
              <w:rPr>
                <w:sz w:val="20"/>
                <w:szCs w:val="20"/>
              </w:rPr>
            </w:pPr>
            <w:r>
              <w:rPr>
                <w:sz w:val="20"/>
                <w:szCs w:val="20"/>
              </w:rPr>
              <w:t>2</w:t>
            </w:r>
          </w:p>
        </w:tc>
        <w:tc>
          <w:tcPr>
            <w:tcW w:w="4252" w:type="dxa"/>
            <w:shd w:val="clear" w:color="auto" w:fill="auto"/>
          </w:tcPr>
          <w:p w14:paraId="4654AC67" w14:textId="77777777" w:rsidR="002139E4" w:rsidRPr="009D6CCB" w:rsidRDefault="002139E4" w:rsidP="001A259A">
            <w:pPr>
              <w:spacing w:before="40" w:after="120" w:line="220" w:lineRule="exact"/>
              <w:rPr>
                <w:sz w:val="20"/>
                <w:szCs w:val="20"/>
              </w:rPr>
            </w:pPr>
            <w:r w:rsidRPr="00500755">
              <w:rPr>
                <w:sz w:val="20"/>
                <w:szCs w:val="20"/>
              </w:rPr>
              <w:t>Annual report of the United Nations High Commissioner for Human Rights</w:t>
            </w:r>
          </w:p>
        </w:tc>
      </w:tr>
      <w:tr w:rsidR="002139E4" w:rsidRPr="00E93295" w14:paraId="74D04E05" w14:textId="77777777" w:rsidTr="001A259A">
        <w:trPr>
          <w:trHeight w:val="240"/>
        </w:trPr>
        <w:tc>
          <w:tcPr>
            <w:tcW w:w="2410" w:type="dxa"/>
            <w:shd w:val="clear" w:color="auto" w:fill="auto"/>
          </w:tcPr>
          <w:p w14:paraId="391CEA75"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/3</w:t>
            </w:r>
            <w:r>
              <w:rPr>
                <w:sz w:val="20"/>
                <w:szCs w:val="20"/>
              </w:rPr>
              <w:t>/Add.1</w:t>
            </w:r>
          </w:p>
        </w:tc>
        <w:tc>
          <w:tcPr>
            <w:tcW w:w="1276" w:type="dxa"/>
            <w:gridSpan w:val="2"/>
            <w:shd w:val="clear" w:color="auto" w:fill="auto"/>
          </w:tcPr>
          <w:p w14:paraId="255B53DC" w14:textId="77777777" w:rsidR="002139E4" w:rsidRDefault="002139E4" w:rsidP="001A259A">
            <w:pPr>
              <w:spacing w:before="40" w:after="120" w:line="220" w:lineRule="exact"/>
              <w:ind w:right="168"/>
              <w:jc w:val="right"/>
              <w:rPr>
                <w:sz w:val="20"/>
                <w:szCs w:val="20"/>
              </w:rPr>
            </w:pPr>
            <w:r>
              <w:rPr>
                <w:sz w:val="20"/>
                <w:szCs w:val="20"/>
              </w:rPr>
              <w:t>2</w:t>
            </w:r>
          </w:p>
        </w:tc>
        <w:tc>
          <w:tcPr>
            <w:tcW w:w="4252" w:type="dxa"/>
            <w:shd w:val="clear" w:color="auto" w:fill="auto"/>
          </w:tcPr>
          <w:p w14:paraId="3BACF218" w14:textId="77777777" w:rsidR="002139E4" w:rsidRPr="00500755" w:rsidRDefault="002139E4" w:rsidP="001A259A">
            <w:pPr>
              <w:spacing w:before="40" w:after="120" w:line="220" w:lineRule="exact"/>
              <w:rPr>
                <w:sz w:val="20"/>
                <w:szCs w:val="20"/>
              </w:rPr>
            </w:pPr>
            <w:r w:rsidRPr="00AE14CB">
              <w:rPr>
                <w:sz w:val="20"/>
                <w:szCs w:val="20"/>
              </w:rPr>
              <w:t>Activities of the Office of the United Nations High Commissioner for Human Rights in Guatemala</w:t>
            </w:r>
            <w:r>
              <w:rPr>
                <w:sz w:val="20"/>
                <w:szCs w:val="20"/>
              </w:rPr>
              <w:t xml:space="preserve">: </w:t>
            </w:r>
            <w:r w:rsidRPr="00AE14CB">
              <w:rPr>
                <w:sz w:val="20"/>
                <w:szCs w:val="20"/>
              </w:rPr>
              <w:t>report of the Office of the United Nations High Commissioner for Human Rights</w:t>
            </w:r>
          </w:p>
        </w:tc>
      </w:tr>
      <w:tr w:rsidR="002139E4" w:rsidRPr="00E93295" w14:paraId="0F2D12BC" w14:textId="77777777" w:rsidTr="001A259A">
        <w:trPr>
          <w:trHeight w:val="240"/>
        </w:trPr>
        <w:tc>
          <w:tcPr>
            <w:tcW w:w="2410" w:type="dxa"/>
            <w:shd w:val="clear" w:color="auto" w:fill="auto"/>
          </w:tcPr>
          <w:p w14:paraId="764E04B5"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/3</w:t>
            </w:r>
            <w:r>
              <w:rPr>
                <w:sz w:val="20"/>
                <w:szCs w:val="20"/>
              </w:rPr>
              <w:t>/Add.2</w:t>
            </w:r>
          </w:p>
        </w:tc>
        <w:tc>
          <w:tcPr>
            <w:tcW w:w="1276" w:type="dxa"/>
            <w:gridSpan w:val="2"/>
            <w:shd w:val="clear" w:color="auto" w:fill="auto"/>
          </w:tcPr>
          <w:p w14:paraId="2A178D5D" w14:textId="77777777" w:rsidR="002139E4" w:rsidRDefault="002139E4" w:rsidP="001A259A">
            <w:pPr>
              <w:spacing w:before="40" w:after="120" w:line="220" w:lineRule="exact"/>
              <w:ind w:right="168"/>
              <w:jc w:val="right"/>
              <w:rPr>
                <w:sz w:val="20"/>
                <w:szCs w:val="20"/>
              </w:rPr>
            </w:pPr>
            <w:r>
              <w:rPr>
                <w:sz w:val="20"/>
                <w:szCs w:val="20"/>
              </w:rPr>
              <w:t>2</w:t>
            </w:r>
          </w:p>
        </w:tc>
        <w:tc>
          <w:tcPr>
            <w:tcW w:w="4252" w:type="dxa"/>
            <w:shd w:val="clear" w:color="auto" w:fill="auto"/>
          </w:tcPr>
          <w:p w14:paraId="6496FB21" w14:textId="77777777" w:rsidR="002139E4" w:rsidRPr="00500755" w:rsidRDefault="002139E4" w:rsidP="001A259A">
            <w:pPr>
              <w:spacing w:before="40" w:after="120" w:line="220" w:lineRule="exact"/>
              <w:rPr>
                <w:sz w:val="20"/>
                <w:szCs w:val="20"/>
              </w:rPr>
            </w:pPr>
            <w:r w:rsidRPr="00AE14CB">
              <w:rPr>
                <w:sz w:val="20"/>
                <w:szCs w:val="20"/>
              </w:rPr>
              <w:t>Report of the United Nations High Commissioner for Human Rights on the situation of human rights in Honduras</w:t>
            </w:r>
          </w:p>
        </w:tc>
      </w:tr>
      <w:tr w:rsidR="002139E4" w:rsidRPr="00E93295" w14:paraId="03E4C07D" w14:textId="77777777" w:rsidTr="001A259A">
        <w:trPr>
          <w:trHeight w:val="240"/>
        </w:trPr>
        <w:tc>
          <w:tcPr>
            <w:tcW w:w="2410" w:type="dxa"/>
            <w:shd w:val="clear" w:color="auto" w:fill="auto"/>
          </w:tcPr>
          <w:p w14:paraId="4F345F6F"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/3</w:t>
            </w:r>
            <w:r>
              <w:rPr>
                <w:sz w:val="20"/>
                <w:szCs w:val="20"/>
              </w:rPr>
              <w:t>/Add.3</w:t>
            </w:r>
          </w:p>
        </w:tc>
        <w:tc>
          <w:tcPr>
            <w:tcW w:w="1276" w:type="dxa"/>
            <w:gridSpan w:val="2"/>
            <w:shd w:val="clear" w:color="auto" w:fill="auto"/>
          </w:tcPr>
          <w:p w14:paraId="273DF473" w14:textId="77777777" w:rsidR="002139E4" w:rsidRDefault="002139E4" w:rsidP="001A259A">
            <w:pPr>
              <w:spacing w:before="40" w:after="120" w:line="220" w:lineRule="exact"/>
              <w:ind w:right="168"/>
              <w:jc w:val="right"/>
              <w:rPr>
                <w:sz w:val="20"/>
                <w:szCs w:val="20"/>
              </w:rPr>
            </w:pPr>
            <w:r>
              <w:rPr>
                <w:sz w:val="20"/>
                <w:szCs w:val="20"/>
              </w:rPr>
              <w:t>2</w:t>
            </w:r>
          </w:p>
        </w:tc>
        <w:tc>
          <w:tcPr>
            <w:tcW w:w="4252" w:type="dxa"/>
            <w:shd w:val="clear" w:color="auto" w:fill="auto"/>
          </w:tcPr>
          <w:p w14:paraId="0ED7B26D" w14:textId="77777777" w:rsidR="002139E4" w:rsidRPr="00500755" w:rsidRDefault="002139E4" w:rsidP="001A259A">
            <w:pPr>
              <w:spacing w:before="40" w:after="120" w:line="220" w:lineRule="exact"/>
              <w:rPr>
                <w:sz w:val="20"/>
                <w:szCs w:val="20"/>
              </w:rPr>
            </w:pPr>
            <w:r w:rsidRPr="00AE14CB">
              <w:rPr>
                <w:sz w:val="20"/>
                <w:szCs w:val="20"/>
              </w:rPr>
              <w:t>Report of the United Nations High Commissioner for</w:t>
            </w:r>
            <w:r>
              <w:rPr>
                <w:sz w:val="20"/>
                <w:szCs w:val="20"/>
              </w:rPr>
              <w:t xml:space="preserve"> </w:t>
            </w:r>
            <w:r w:rsidRPr="00AE14CB">
              <w:rPr>
                <w:sz w:val="20"/>
                <w:szCs w:val="20"/>
              </w:rPr>
              <w:t xml:space="preserve">Human Rights </w:t>
            </w:r>
            <w:r>
              <w:rPr>
                <w:sz w:val="20"/>
                <w:szCs w:val="20"/>
              </w:rPr>
              <w:t xml:space="preserve">on the </w:t>
            </w:r>
            <w:r w:rsidRPr="00AE14CB">
              <w:rPr>
                <w:sz w:val="20"/>
                <w:szCs w:val="20"/>
              </w:rPr>
              <w:t>situation of human rights in Colombia</w:t>
            </w:r>
          </w:p>
        </w:tc>
      </w:tr>
      <w:tr w:rsidR="002139E4" w:rsidRPr="00E93295" w14:paraId="286DBD43" w14:textId="77777777" w:rsidTr="001A259A">
        <w:trPr>
          <w:trHeight w:val="240"/>
        </w:trPr>
        <w:tc>
          <w:tcPr>
            <w:tcW w:w="2410" w:type="dxa"/>
            <w:shd w:val="clear" w:color="auto" w:fill="auto"/>
          </w:tcPr>
          <w:p w14:paraId="79B93A6C"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4</w:t>
            </w:r>
          </w:p>
        </w:tc>
        <w:tc>
          <w:tcPr>
            <w:tcW w:w="1276" w:type="dxa"/>
            <w:gridSpan w:val="2"/>
            <w:shd w:val="clear" w:color="auto" w:fill="auto"/>
          </w:tcPr>
          <w:p w14:paraId="52033838" w14:textId="77777777" w:rsidR="002139E4" w:rsidRDefault="002139E4" w:rsidP="001A259A">
            <w:pPr>
              <w:spacing w:before="40" w:after="120" w:line="220" w:lineRule="exact"/>
              <w:ind w:right="168"/>
              <w:jc w:val="right"/>
              <w:rPr>
                <w:sz w:val="20"/>
                <w:szCs w:val="20"/>
              </w:rPr>
            </w:pPr>
            <w:r>
              <w:rPr>
                <w:sz w:val="20"/>
                <w:szCs w:val="20"/>
              </w:rPr>
              <w:t>6</w:t>
            </w:r>
          </w:p>
        </w:tc>
        <w:tc>
          <w:tcPr>
            <w:tcW w:w="4252" w:type="dxa"/>
            <w:shd w:val="clear" w:color="auto" w:fill="auto"/>
          </w:tcPr>
          <w:p w14:paraId="6090A744" w14:textId="77777777" w:rsidR="002139E4" w:rsidRPr="00500755" w:rsidRDefault="002139E4" w:rsidP="001A259A">
            <w:pPr>
              <w:spacing w:before="40" w:after="120" w:line="220" w:lineRule="exact"/>
              <w:rPr>
                <w:sz w:val="20"/>
                <w:szCs w:val="20"/>
              </w:rPr>
            </w:pPr>
            <w:r w:rsidRPr="00725E7D">
              <w:rPr>
                <w:sz w:val="20"/>
                <w:szCs w:val="20"/>
              </w:rPr>
              <w:t>Report of the Working Group on the Universal Periodic Review</w:t>
            </w:r>
            <w:r>
              <w:rPr>
                <w:sz w:val="20"/>
                <w:szCs w:val="20"/>
              </w:rPr>
              <w:t xml:space="preserve"> on </w:t>
            </w:r>
            <w:r w:rsidRPr="004629B8">
              <w:rPr>
                <w:sz w:val="20"/>
                <w:szCs w:val="20"/>
              </w:rPr>
              <w:t>Saudi Arabia</w:t>
            </w:r>
          </w:p>
        </w:tc>
      </w:tr>
      <w:tr w:rsidR="002139E4" w:rsidRPr="00E93295" w14:paraId="6F87192F" w14:textId="77777777" w:rsidTr="001A259A">
        <w:trPr>
          <w:trHeight w:val="240"/>
        </w:trPr>
        <w:tc>
          <w:tcPr>
            <w:tcW w:w="2410" w:type="dxa"/>
            <w:shd w:val="clear" w:color="auto" w:fill="auto"/>
          </w:tcPr>
          <w:p w14:paraId="150279DA"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5</w:t>
            </w:r>
          </w:p>
        </w:tc>
        <w:tc>
          <w:tcPr>
            <w:tcW w:w="1276" w:type="dxa"/>
            <w:gridSpan w:val="2"/>
            <w:shd w:val="clear" w:color="auto" w:fill="auto"/>
          </w:tcPr>
          <w:p w14:paraId="1B0950C0" w14:textId="77777777" w:rsidR="002139E4" w:rsidRDefault="002139E4" w:rsidP="001A259A">
            <w:pPr>
              <w:spacing w:before="40" w:after="120" w:line="220" w:lineRule="exact"/>
              <w:ind w:right="168"/>
              <w:jc w:val="right"/>
              <w:rPr>
                <w:sz w:val="20"/>
                <w:szCs w:val="20"/>
              </w:rPr>
            </w:pPr>
            <w:r>
              <w:rPr>
                <w:sz w:val="20"/>
                <w:szCs w:val="20"/>
              </w:rPr>
              <w:t>6</w:t>
            </w:r>
          </w:p>
        </w:tc>
        <w:tc>
          <w:tcPr>
            <w:tcW w:w="4252" w:type="dxa"/>
            <w:shd w:val="clear" w:color="auto" w:fill="auto"/>
          </w:tcPr>
          <w:p w14:paraId="4F6BA433" w14:textId="77777777" w:rsidR="002139E4" w:rsidRPr="00725E7D" w:rsidRDefault="002139E4" w:rsidP="001A259A">
            <w:pPr>
              <w:spacing w:before="40" w:after="120" w:line="220" w:lineRule="exact"/>
              <w:rPr>
                <w:sz w:val="20"/>
                <w:szCs w:val="20"/>
              </w:rPr>
            </w:pPr>
            <w:r w:rsidRPr="00725E7D">
              <w:rPr>
                <w:sz w:val="20"/>
                <w:szCs w:val="20"/>
              </w:rPr>
              <w:t>Report of the Working Group on the Universal Periodic Review</w:t>
            </w:r>
            <w:r>
              <w:rPr>
                <w:sz w:val="20"/>
                <w:szCs w:val="20"/>
              </w:rPr>
              <w:t xml:space="preserve"> on </w:t>
            </w:r>
            <w:r w:rsidRPr="00DC45CD">
              <w:rPr>
                <w:sz w:val="20"/>
                <w:szCs w:val="20"/>
              </w:rPr>
              <w:t>Senegal</w:t>
            </w:r>
          </w:p>
        </w:tc>
      </w:tr>
      <w:tr w:rsidR="002139E4" w:rsidRPr="00E93295" w14:paraId="1A3117E9" w14:textId="77777777" w:rsidTr="001A259A">
        <w:trPr>
          <w:trHeight w:val="240"/>
        </w:trPr>
        <w:tc>
          <w:tcPr>
            <w:tcW w:w="2410" w:type="dxa"/>
            <w:shd w:val="clear" w:color="auto" w:fill="auto"/>
          </w:tcPr>
          <w:p w14:paraId="2CDE060E"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6</w:t>
            </w:r>
          </w:p>
        </w:tc>
        <w:tc>
          <w:tcPr>
            <w:tcW w:w="1276" w:type="dxa"/>
            <w:gridSpan w:val="2"/>
            <w:shd w:val="clear" w:color="auto" w:fill="auto"/>
          </w:tcPr>
          <w:p w14:paraId="5C9B02CD" w14:textId="77777777" w:rsidR="002139E4" w:rsidRDefault="002139E4" w:rsidP="001A259A">
            <w:pPr>
              <w:spacing w:before="40" w:after="120" w:line="220" w:lineRule="exact"/>
              <w:ind w:right="168"/>
              <w:jc w:val="right"/>
              <w:rPr>
                <w:sz w:val="20"/>
                <w:szCs w:val="20"/>
              </w:rPr>
            </w:pPr>
            <w:r>
              <w:rPr>
                <w:sz w:val="20"/>
                <w:szCs w:val="20"/>
              </w:rPr>
              <w:t>6</w:t>
            </w:r>
          </w:p>
        </w:tc>
        <w:tc>
          <w:tcPr>
            <w:tcW w:w="4252" w:type="dxa"/>
            <w:shd w:val="clear" w:color="auto" w:fill="auto"/>
          </w:tcPr>
          <w:p w14:paraId="41C769C2" w14:textId="77777777" w:rsidR="002139E4" w:rsidRPr="00725E7D" w:rsidRDefault="002139E4" w:rsidP="001A259A">
            <w:pPr>
              <w:spacing w:before="40" w:after="120" w:line="220" w:lineRule="exact"/>
              <w:rPr>
                <w:sz w:val="20"/>
                <w:szCs w:val="20"/>
              </w:rPr>
            </w:pPr>
            <w:r w:rsidRPr="00725E7D">
              <w:rPr>
                <w:sz w:val="20"/>
                <w:szCs w:val="20"/>
              </w:rPr>
              <w:t>Report of the Working Group on the Universal Periodic Review</w:t>
            </w:r>
            <w:r>
              <w:rPr>
                <w:sz w:val="20"/>
                <w:szCs w:val="20"/>
              </w:rPr>
              <w:t xml:space="preserve"> on China</w:t>
            </w:r>
          </w:p>
        </w:tc>
      </w:tr>
      <w:tr w:rsidR="002139E4" w:rsidRPr="00E93295" w14:paraId="7245114C" w14:textId="77777777" w:rsidTr="001A259A">
        <w:trPr>
          <w:trHeight w:val="240"/>
        </w:trPr>
        <w:tc>
          <w:tcPr>
            <w:tcW w:w="2410" w:type="dxa"/>
            <w:shd w:val="clear" w:color="auto" w:fill="auto"/>
          </w:tcPr>
          <w:p w14:paraId="686F16B7"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7</w:t>
            </w:r>
          </w:p>
        </w:tc>
        <w:tc>
          <w:tcPr>
            <w:tcW w:w="1276" w:type="dxa"/>
            <w:gridSpan w:val="2"/>
            <w:shd w:val="clear" w:color="auto" w:fill="auto"/>
          </w:tcPr>
          <w:p w14:paraId="08C758DB" w14:textId="77777777" w:rsidR="002139E4" w:rsidRDefault="002139E4" w:rsidP="001A259A">
            <w:pPr>
              <w:spacing w:before="40" w:after="120" w:line="220" w:lineRule="exact"/>
              <w:ind w:right="168"/>
              <w:jc w:val="right"/>
              <w:rPr>
                <w:sz w:val="20"/>
                <w:szCs w:val="20"/>
              </w:rPr>
            </w:pPr>
            <w:r>
              <w:rPr>
                <w:sz w:val="20"/>
                <w:szCs w:val="20"/>
              </w:rPr>
              <w:t>6</w:t>
            </w:r>
          </w:p>
        </w:tc>
        <w:tc>
          <w:tcPr>
            <w:tcW w:w="4252" w:type="dxa"/>
            <w:shd w:val="clear" w:color="auto" w:fill="auto"/>
          </w:tcPr>
          <w:p w14:paraId="62A86C06" w14:textId="77777777" w:rsidR="002139E4" w:rsidRPr="00725E7D" w:rsidRDefault="002139E4" w:rsidP="001A259A">
            <w:pPr>
              <w:spacing w:before="40" w:after="120" w:line="220" w:lineRule="exact"/>
              <w:rPr>
                <w:sz w:val="20"/>
                <w:szCs w:val="20"/>
              </w:rPr>
            </w:pPr>
            <w:r w:rsidRPr="00725E7D">
              <w:rPr>
                <w:sz w:val="20"/>
                <w:szCs w:val="20"/>
              </w:rPr>
              <w:t>Report of the Working Group on the Universal Periodic Review</w:t>
            </w:r>
            <w:r>
              <w:rPr>
                <w:sz w:val="20"/>
                <w:szCs w:val="20"/>
              </w:rPr>
              <w:t xml:space="preserve"> on </w:t>
            </w:r>
            <w:r w:rsidRPr="006D1D97">
              <w:rPr>
                <w:sz w:val="20"/>
                <w:szCs w:val="20"/>
              </w:rPr>
              <w:t>Nigeria</w:t>
            </w:r>
          </w:p>
        </w:tc>
      </w:tr>
      <w:tr w:rsidR="002139E4" w:rsidRPr="00E93295" w14:paraId="5E27D281" w14:textId="77777777" w:rsidTr="001A259A">
        <w:trPr>
          <w:trHeight w:val="240"/>
        </w:trPr>
        <w:tc>
          <w:tcPr>
            <w:tcW w:w="2410" w:type="dxa"/>
            <w:shd w:val="clear" w:color="auto" w:fill="auto"/>
          </w:tcPr>
          <w:p w14:paraId="5EB578C2"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8</w:t>
            </w:r>
          </w:p>
        </w:tc>
        <w:tc>
          <w:tcPr>
            <w:tcW w:w="1276" w:type="dxa"/>
            <w:gridSpan w:val="2"/>
            <w:shd w:val="clear" w:color="auto" w:fill="auto"/>
          </w:tcPr>
          <w:p w14:paraId="72E696E5" w14:textId="77777777" w:rsidR="002139E4" w:rsidRDefault="002139E4" w:rsidP="001A259A">
            <w:pPr>
              <w:spacing w:before="40" w:after="120" w:line="220" w:lineRule="exact"/>
              <w:ind w:right="168"/>
              <w:jc w:val="right"/>
              <w:rPr>
                <w:sz w:val="20"/>
                <w:szCs w:val="20"/>
              </w:rPr>
            </w:pPr>
            <w:r>
              <w:rPr>
                <w:sz w:val="20"/>
                <w:szCs w:val="20"/>
              </w:rPr>
              <w:t>6</w:t>
            </w:r>
          </w:p>
        </w:tc>
        <w:tc>
          <w:tcPr>
            <w:tcW w:w="4252" w:type="dxa"/>
            <w:shd w:val="clear" w:color="auto" w:fill="auto"/>
          </w:tcPr>
          <w:p w14:paraId="1337C907" w14:textId="77777777" w:rsidR="002139E4" w:rsidRPr="00725E7D" w:rsidRDefault="002139E4" w:rsidP="001A259A">
            <w:pPr>
              <w:spacing w:before="40" w:after="120" w:line="220" w:lineRule="exact"/>
              <w:rPr>
                <w:sz w:val="20"/>
                <w:szCs w:val="20"/>
              </w:rPr>
            </w:pPr>
            <w:r w:rsidRPr="00725E7D">
              <w:rPr>
                <w:sz w:val="20"/>
                <w:szCs w:val="20"/>
              </w:rPr>
              <w:t>Report of the Working Group on the Universal Periodic Review</w:t>
            </w:r>
            <w:r>
              <w:rPr>
                <w:sz w:val="20"/>
                <w:szCs w:val="20"/>
              </w:rPr>
              <w:t xml:space="preserve"> on </w:t>
            </w:r>
            <w:r w:rsidRPr="00901464">
              <w:rPr>
                <w:sz w:val="20"/>
                <w:szCs w:val="20"/>
              </w:rPr>
              <w:t>Mexico</w:t>
            </w:r>
          </w:p>
        </w:tc>
      </w:tr>
      <w:tr w:rsidR="002139E4" w:rsidRPr="00E93295" w14:paraId="43489933" w14:textId="77777777" w:rsidTr="001A259A">
        <w:trPr>
          <w:trHeight w:val="240"/>
        </w:trPr>
        <w:tc>
          <w:tcPr>
            <w:tcW w:w="2410" w:type="dxa"/>
            <w:shd w:val="clear" w:color="auto" w:fill="auto"/>
          </w:tcPr>
          <w:p w14:paraId="38C38B36"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9</w:t>
            </w:r>
          </w:p>
        </w:tc>
        <w:tc>
          <w:tcPr>
            <w:tcW w:w="1276" w:type="dxa"/>
            <w:gridSpan w:val="2"/>
            <w:shd w:val="clear" w:color="auto" w:fill="auto"/>
          </w:tcPr>
          <w:p w14:paraId="40C0631F" w14:textId="77777777" w:rsidR="002139E4" w:rsidRDefault="002139E4" w:rsidP="001A259A">
            <w:pPr>
              <w:spacing w:before="40" w:after="120" w:line="220" w:lineRule="exact"/>
              <w:ind w:right="168"/>
              <w:jc w:val="right"/>
              <w:rPr>
                <w:sz w:val="20"/>
                <w:szCs w:val="20"/>
              </w:rPr>
            </w:pPr>
            <w:r>
              <w:rPr>
                <w:sz w:val="20"/>
                <w:szCs w:val="20"/>
              </w:rPr>
              <w:t>6</w:t>
            </w:r>
          </w:p>
        </w:tc>
        <w:tc>
          <w:tcPr>
            <w:tcW w:w="4252" w:type="dxa"/>
            <w:shd w:val="clear" w:color="auto" w:fill="auto"/>
          </w:tcPr>
          <w:p w14:paraId="2FA76132" w14:textId="77777777" w:rsidR="002139E4" w:rsidRPr="00725E7D" w:rsidRDefault="002139E4" w:rsidP="001A259A">
            <w:pPr>
              <w:spacing w:before="40" w:after="120" w:line="220" w:lineRule="exact"/>
              <w:rPr>
                <w:sz w:val="20"/>
                <w:szCs w:val="20"/>
              </w:rPr>
            </w:pPr>
            <w:r w:rsidRPr="00725E7D">
              <w:rPr>
                <w:sz w:val="20"/>
                <w:szCs w:val="20"/>
              </w:rPr>
              <w:t>Report of the Working Group on the Universal Periodic Review</w:t>
            </w:r>
            <w:r>
              <w:rPr>
                <w:sz w:val="20"/>
                <w:szCs w:val="20"/>
              </w:rPr>
              <w:t xml:space="preserve"> on </w:t>
            </w:r>
            <w:r w:rsidRPr="00901464">
              <w:rPr>
                <w:sz w:val="20"/>
                <w:szCs w:val="20"/>
              </w:rPr>
              <w:t>Mauritius</w:t>
            </w:r>
          </w:p>
        </w:tc>
      </w:tr>
      <w:tr w:rsidR="002139E4" w:rsidRPr="00E93295" w14:paraId="6E58782D" w14:textId="77777777" w:rsidTr="001A259A">
        <w:trPr>
          <w:trHeight w:val="240"/>
        </w:trPr>
        <w:tc>
          <w:tcPr>
            <w:tcW w:w="2410" w:type="dxa"/>
            <w:shd w:val="clear" w:color="auto" w:fill="auto"/>
          </w:tcPr>
          <w:p w14:paraId="532A11CB" w14:textId="77777777" w:rsidR="002139E4" w:rsidRPr="009D6CCB"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10</w:t>
            </w:r>
          </w:p>
        </w:tc>
        <w:tc>
          <w:tcPr>
            <w:tcW w:w="1276" w:type="dxa"/>
            <w:gridSpan w:val="2"/>
            <w:shd w:val="clear" w:color="auto" w:fill="auto"/>
          </w:tcPr>
          <w:p w14:paraId="0FF9718A" w14:textId="77777777" w:rsidR="002139E4" w:rsidRPr="009D6CCB" w:rsidRDefault="002139E4" w:rsidP="001A259A">
            <w:pPr>
              <w:spacing w:before="40" w:after="120" w:line="220" w:lineRule="exact"/>
              <w:ind w:right="168"/>
              <w:jc w:val="right"/>
              <w:rPr>
                <w:sz w:val="20"/>
                <w:szCs w:val="20"/>
              </w:rPr>
            </w:pPr>
            <w:r>
              <w:rPr>
                <w:sz w:val="20"/>
                <w:szCs w:val="20"/>
              </w:rPr>
              <w:t>6</w:t>
            </w:r>
          </w:p>
        </w:tc>
        <w:tc>
          <w:tcPr>
            <w:tcW w:w="4252" w:type="dxa"/>
            <w:shd w:val="clear" w:color="auto" w:fill="auto"/>
          </w:tcPr>
          <w:p w14:paraId="6F8577F9" w14:textId="77777777" w:rsidR="002139E4" w:rsidRPr="009D6CCB" w:rsidRDefault="002139E4" w:rsidP="001A259A">
            <w:pPr>
              <w:spacing w:before="40" w:after="120" w:line="220" w:lineRule="exact"/>
              <w:rPr>
                <w:sz w:val="20"/>
                <w:szCs w:val="20"/>
              </w:rPr>
            </w:pPr>
            <w:r w:rsidRPr="00725E7D">
              <w:rPr>
                <w:sz w:val="20"/>
                <w:szCs w:val="20"/>
              </w:rPr>
              <w:t>Report of the Working Group on the Universal Periodic Review</w:t>
            </w:r>
            <w:r>
              <w:rPr>
                <w:sz w:val="20"/>
                <w:szCs w:val="20"/>
              </w:rPr>
              <w:t xml:space="preserve"> on </w:t>
            </w:r>
            <w:r w:rsidRPr="00725E7D">
              <w:rPr>
                <w:sz w:val="20"/>
                <w:szCs w:val="20"/>
              </w:rPr>
              <w:t>Jordan</w:t>
            </w:r>
          </w:p>
        </w:tc>
      </w:tr>
      <w:tr w:rsidR="002139E4" w:rsidRPr="00E93295" w14:paraId="2EA750D4" w14:textId="77777777" w:rsidTr="001A259A">
        <w:trPr>
          <w:trHeight w:val="240"/>
        </w:trPr>
        <w:tc>
          <w:tcPr>
            <w:tcW w:w="2410" w:type="dxa"/>
            <w:shd w:val="clear" w:color="auto" w:fill="auto"/>
          </w:tcPr>
          <w:p w14:paraId="530745C4" w14:textId="77777777" w:rsidR="002139E4" w:rsidRPr="009D6CCB"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11</w:t>
            </w:r>
          </w:p>
        </w:tc>
        <w:tc>
          <w:tcPr>
            <w:tcW w:w="1276" w:type="dxa"/>
            <w:gridSpan w:val="2"/>
            <w:shd w:val="clear" w:color="auto" w:fill="auto"/>
          </w:tcPr>
          <w:p w14:paraId="590C4DF0" w14:textId="77777777" w:rsidR="002139E4" w:rsidRPr="009D6CCB" w:rsidRDefault="002139E4" w:rsidP="001A259A">
            <w:pPr>
              <w:spacing w:before="40" w:after="120" w:line="220" w:lineRule="exact"/>
              <w:ind w:right="168"/>
              <w:jc w:val="right"/>
              <w:rPr>
                <w:sz w:val="20"/>
                <w:szCs w:val="20"/>
              </w:rPr>
            </w:pPr>
            <w:r>
              <w:rPr>
                <w:sz w:val="20"/>
                <w:szCs w:val="20"/>
              </w:rPr>
              <w:t>6</w:t>
            </w:r>
          </w:p>
        </w:tc>
        <w:tc>
          <w:tcPr>
            <w:tcW w:w="4252" w:type="dxa"/>
            <w:shd w:val="clear" w:color="auto" w:fill="auto"/>
          </w:tcPr>
          <w:p w14:paraId="4816D2F1" w14:textId="77777777" w:rsidR="002139E4" w:rsidRPr="009D6CCB" w:rsidRDefault="002139E4" w:rsidP="001A259A">
            <w:pPr>
              <w:spacing w:before="40" w:after="120" w:line="220" w:lineRule="exact"/>
              <w:rPr>
                <w:sz w:val="20"/>
                <w:szCs w:val="20"/>
              </w:rPr>
            </w:pPr>
            <w:r w:rsidRPr="00725E7D">
              <w:rPr>
                <w:sz w:val="20"/>
                <w:szCs w:val="20"/>
              </w:rPr>
              <w:t>Report of the Working Group on the Universal Periodic Review</w:t>
            </w:r>
            <w:r>
              <w:rPr>
                <w:sz w:val="20"/>
                <w:szCs w:val="20"/>
              </w:rPr>
              <w:t xml:space="preserve"> on Malaysia</w:t>
            </w:r>
          </w:p>
        </w:tc>
      </w:tr>
      <w:tr w:rsidR="002139E4" w:rsidRPr="00E93295" w14:paraId="161D3B81" w14:textId="77777777" w:rsidTr="001A259A">
        <w:trPr>
          <w:trHeight w:val="240"/>
        </w:trPr>
        <w:tc>
          <w:tcPr>
            <w:tcW w:w="2410" w:type="dxa"/>
            <w:shd w:val="clear" w:color="auto" w:fill="auto"/>
          </w:tcPr>
          <w:p w14:paraId="63D4905B" w14:textId="77777777" w:rsidR="002139E4" w:rsidRPr="009D6CCB"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12</w:t>
            </w:r>
          </w:p>
        </w:tc>
        <w:tc>
          <w:tcPr>
            <w:tcW w:w="1276" w:type="dxa"/>
            <w:gridSpan w:val="2"/>
            <w:shd w:val="clear" w:color="auto" w:fill="auto"/>
          </w:tcPr>
          <w:p w14:paraId="6CB2EDDD" w14:textId="77777777" w:rsidR="002139E4" w:rsidRPr="009D6CCB" w:rsidRDefault="002139E4" w:rsidP="001A259A">
            <w:pPr>
              <w:spacing w:before="40" w:after="120" w:line="220" w:lineRule="exact"/>
              <w:ind w:right="168"/>
              <w:jc w:val="right"/>
              <w:rPr>
                <w:sz w:val="20"/>
                <w:szCs w:val="20"/>
              </w:rPr>
            </w:pPr>
            <w:r>
              <w:rPr>
                <w:sz w:val="20"/>
                <w:szCs w:val="20"/>
              </w:rPr>
              <w:t>6</w:t>
            </w:r>
          </w:p>
        </w:tc>
        <w:tc>
          <w:tcPr>
            <w:tcW w:w="4252" w:type="dxa"/>
            <w:shd w:val="clear" w:color="auto" w:fill="auto"/>
          </w:tcPr>
          <w:p w14:paraId="275C2C53" w14:textId="77777777" w:rsidR="002139E4" w:rsidRPr="009D6CCB" w:rsidRDefault="002139E4" w:rsidP="001A259A">
            <w:pPr>
              <w:spacing w:before="40" w:after="120" w:line="220" w:lineRule="exact"/>
              <w:rPr>
                <w:sz w:val="20"/>
                <w:szCs w:val="20"/>
              </w:rPr>
            </w:pPr>
            <w:r w:rsidRPr="00725E7D">
              <w:rPr>
                <w:sz w:val="20"/>
                <w:szCs w:val="20"/>
              </w:rPr>
              <w:t>Report of the Working Group on the Universal Periodic Review</w:t>
            </w:r>
            <w:r>
              <w:rPr>
                <w:sz w:val="20"/>
                <w:szCs w:val="20"/>
              </w:rPr>
              <w:t xml:space="preserve"> on </w:t>
            </w:r>
            <w:r w:rsidRPr="00725E7D">
              <w:rPr>
                <w:sz w:val="20"/>
                <w:szCs w:val="20"/>
              </w:rPr>
              <w:t>Central African Republic</w:t>
            </w:r>
          </w:p>
        </w:tc>
      </w:tr>
      <w:tr w:rsidR="002139E4" w:rsidRPr="00E93295" w14:paraId="6430BD46" w14:textId="77777777" w:rsidTr="001A259A">
        <w:trPr>
          <w:trHeight w:val="240"/>
        </w:trPr>
        <w:tc>
          <w:tcPr>
            <w:tcW w:w="2410" w:type="dxa"/>
            <w:shd w:val="clear" w:color="auto" w:fill="auto"/>
          </w:tcPr>
          <w:p w14:paraId="7A80850C" w14:textId="77777777" w:rsidR="002139E4" w:rsidRPr="009D6CCB"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13</w:t>
            </w:r>
          </w:p>
        </w:tc>
        <w:tc>
          <w:tcPr>
            <w:tcW w:w="1276" w:type="dxa"/>
            <w:gridSpan w:val="2"/>
            <w:shd w:val="clear" w:color="auto" w:fill="auto"/>
          </w:tcPr>
          <w:p w14:paraId="2F7D1E9D" w14:textId="77777777" w:rsidR="002139E4" w:rsidRPr="009D6CCB" w:rsidRDefault="002139E4" w:rsidP="001A259A">
            <w:pPr>
              <w:spacing w:before="40" w:after="120" w:line="220" w:lineRule="exact"/>
              <w:ind w:right="168"/>
              <w:jc w:val="right"/>
              <w:rPr>
                <w:sz w:val="20"/>
                <w:szCs w:val="20"/>
              </w:rPr>
            </w:pPr>
            <w:r>
              <w:rPr>
                <w:sz w:val="20"/>
                <w:szCs w:val="20"/>
              </w:rPr>
              <w:t>6</w:t>
            </w:r>
          </w:p>
        </w:tc>
        <w:tc>
          <w:tcPr>
            <w:tcW w:w="4252" w:type="dxa"/>
            <w:shd w:val="clear" w:color="auto" w:fill="auto"/>
          </w:tcPr>
          <w:p w14:paraId="6E0C2D3F" w14:textId="77777777" w:rsidR="002139E4" w:rsidRPr="009D6CCB" w:rsidRDefault="002139E4" w:rsidP="001A259A">
            <w:pPr>
              <w:spacing w:before="40" w:after="120" w:line="220" w:lineRule="exact"/>
              <w:rPr>
                <w:sz w:val="20"/>
                <w:szCs w:val="20"/>
              </w:rPr>
            </w:pPr>
            <w:r w:rsidRPr="00725E7D">
              <w:rPr>
                <w:sz w:val="20"/>
                <w:szCs w:val="20"/>
              </w:rPr>
              <w:t>Report of the Working Group on the Universal Periodic Review</w:t>
            </w:r>
            <w:r>
              <w:rPr>
                <w:sz w:val="20"/>
                <w:szCs w:val="20"/>
              </w:rPr>
              <w:t xml:space="preserve"> on </w:t>
            </w:r>
            <w:r w:rsidRPr="00725E7D">
              <w:rPr>
                <w:sz w:val="20"/>
                <w:szCs w:val="20"/>
              </w:rPr>
              <w:t>Monaco</w:t>
            </w:r>
          </w:p>
        </w:tc>
      </w:tr>
      <w:tr w:rsidR="002139E4" w:rsidRPr="00E93295" w14:paraId="1668B061" w14:textId="77777777" w:rsidTr="001A259A">
        <w:trPr>
          <w:trHeight w:val="240"/>
        </w:trPr>
        <w:tc>
          <w:tcPr>
            <w:tcW w:w="2410" w:type="dxa"/>
            <w:shd w:val="clear" w:color="auto" w:fill="auto"/>
          </w:tcPr>
          <w:p w14:paraId="3CDA1C24" w14:textId="77777777" w:rsidR="002139E4" w:rsidRPr="00500755" w:rsidRDefault="002139E4" w:rsidP="001A259A">
            <w:pPr>
              <w:spacing w:before="40" w:after="120" w:line="220" w:lineRule="exact"/>
              <w:rPr>
                <w:sz w:val="20"/>
                <w:szCs w:val="20"/>
              </w:rPr>
            </w:pPr>
            <w:r w:rsidRPr="00500755">
              <w:rPr>
                <w:sz w:val="20"/>
                <w:szCs w:val="20"/>
              </w:rPr>
              <w:lastRenderedPageBreak/>
              <w:t>A/HRC/</w:t>
            </w:r>
            <w:r>
              <w:rPr>
                <w:sz w:val="20"/>
                <w:szCs w:val="20"/>
              </w:rPr>
              <w:t>40</w:t>
            </w:r>
            <w:r w:rsidRPr="00500755">
              <w:rPr>
                <w:sz w:val="20"/>
                <w:szCs w:val="20"/>
              </w:rPr>
              <w:t>/</w:t>
            </w:r>
            <w:r>
              <w:rPr>
                <w:sz w:val="20"/>
                <w:szCs w:val="20"/>
              </w:rPr>
              <w:t>13/Add.1</w:t>
            </w:r>
          </w:p>
        </w:tc>
        <w:tc>
          <w:tcPr>
            <w:tcW w:w="1276" w:type="dxa"/>
            <w:gridSpan w:val="2"/>
            <w:shd w:val="clear" w:color="auto" w:fill="auto"/>
          </w:tcPr>
          <w:p w14:paraId="167678A2" w14:textId="77777777" w:rsidR="002139E4" w:rsidRDefault="002139E4" w:rsidP="001A259A">
            <w:pPr>
              <w:spacing w:before="40" w:after="120" w:line="220" w:lineRule="exact"/>
              <w:ind w:right="168"/>
              <w:jc w:val="right"/>
              <w:rPr>
                <w:sz w:val="20"/>
                <w:szCs w:val="20"/>
              </w:rPr>
            </w:pPr>
            <w:r>
              <w:rPr>
                <w:sz w:val="20"/>
                <w:szCs w:val="20"/>
              </w:rPr>
              <w:t>6</w:t>
            </w:r>
          </w:p>
        </w:tc>
        <w:tc>
          <w:tcPr>
            <w:tcW w:w="4252" w:type="dxa"/>
            <w:shd w:val="clear" w:color="auto" w:fill="auto"/>
          </w:tcPr>
          <w:p w14:paraId="59FE9360" w14:textId="77777777" w:rsidR="002139E4" w:rsidRPr="00725E7D" w:rsidRDefault="002139E4" w:rsidP="001A259A">
            <w:pPr>
              <w:spacing w:before="40" w:after="120" w:line="220" w:lineRule="exact"/>
              <w:rPr>
                <w:sz w:val="20"/>
                <w:szCs w:val="20"/>
              </w:rPr>
            </w:pPr>
            <w:r w:rsidRPr="00725E7D">
              <w:rPr>
                <w:sz w:val="20"/>
                <w:szCs w:val="20"/>
              </w:rPr>
              <w:t>Views on conclusions and/or recommendations, voluntary commitments and replies presented by the State under review</w:t>
            </w:r>
          </w:p>
        </w:tc>
      </w:tr>
      <w:tr w:rsidR="002139E4" w:rsidRPr="00E93295" w14:paraId="602EC575" w14:textId="77777777" w:rsidTr="001A259A">
        <w:trPr>
          <w:trHeight w:val="240"/>
        </w:trPr>
        <w:tc>
          <w:tcPr>
            <w:tcW w:w="2410" w:type="dxa"/>
            <w:shd w:val="clear" w:color="auto" w:fill="auto"/>
          </w:tcPr>
          <w:p w14:paraId="49433F4C"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13/Corr.1</w:t>
            </w:r>
          </w:p>
        </w:tc>
        <w:tc>
          <w:tcPr>
            <w:tcW w:w="1276" w:type="dxa"/>
            <w:gridSpan w:val="2"/>
            <w:shd w:val="clear" w:color="auto" w:fill="auto"/>
          </w:tcPr>
          <w:p w14:paraId="33E01A15" w14:textId="77777777" w:rsidR="002139E4" w:rsidRDefault="002139E4" w:rsidP="001A259A">
            <w:pPr>
              <w:spacing w:before="40" w:after="120" w:line="220" w:lineRule="exact"/>
              <w:ind w:right="168"/>
              <w:jc w:val="right"/>
              <w:rPr>
                <w:sz w:val="20"/>
                <w:szCs w:val="20"/>
              </w:rPr>
            </w:pPr>
            <w:r>
              <w:rPr>
                <w:sz w:val="20"/>
                <w:szCs w:val="20"/>
              </w:rPr>
              <w:t>6</w:t>
            </w:r>
          </w:p>
        </w:tc>
        <w:tc>
          <w:tcPr>
            <w:tcW w:w="4252" w:type="dxa"/>
            <w:shd w:val="clear" w:color="auto" w:fill="auto"/>
          </w:tcPr>
          <w:p w14:paraId="37555871" w14:textId="77777777" w:rsidR="002139E4" w:rsidRPr="00725E7D" w:rsidRDefault="002139E4" w:rsidP="001A259A">
            <w:pPr>
              <w:spacing w:before="40" w:after="120" w:line="220" w:lineRule="exact"/>
              <w:rPr>
                <w:sz w:val="20"/>
                <w:szCs w:val="20"/>
              </w:rPr>
            </w:pPr>
            <w:r w:rsidRPr="00FF400E">
              <w:rPr>
                <w:sz w:val="20"/>
                <w:szCs w:val="20"/>
              </w:rPr>
              <w:t>Corrigendum</w:t>
            </w:r>
          </w:p>
        </w:tc>
      </w:tr>
      <w:tr w:rsidR="002139E4" w:rsidRPr="00E93295" w14:paraId="78F49616" w14:textId="77777777" w:rsidTr="001A259A">
        <w:trPr>
          <w:trHeight w:val="240"/>
        </w:trPr>
        <w:tc>
          <w:tcPr>
            <w:tcW w:w="2410" w:type="dxa"/>
            <w:shd w:val="clear" w:color="auto" w:fill="auto"/>
          </w:tcPr>
          <w:p w14:paraId="7D5A149C"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14</w:t>
            </w:r>
          </w:p>
        </w:tc>
        <w:tc>
          <w:tcPr>
            <w:tcW w:w="1276" w:type="dxa"/>
            <w:gridSpan w:val="2"/>
            <w:shd w:val="clear" w:color="auto" w:fill="auto"/>
          </w:tcPr>
          <w:p w14:paraId="03D58F39" w14:textId="77777777" w:rsidR="002139E4" w:rsidRDefault="002139E4" w:rsidP="001A259A">
            <w:pPr>
              <w:spacing w:before="40" w:after="120" w:line="220" w:lineRule="exact"/>
              <w:ind w:right="168"/>
              <w:jc w:val="right"/>
              <w:rPr>
                <w:sz w:val="20"/>
                <w:szCs w:val="20"/>
              </w:rPr>
            </w:pPr>
            <w:r>
              <w:rPr>
                <w:sz w:val="20"/>
                <w:szCs w:val="20"/>
              </w:rPr>
              <w:t>6</w:t>
            </w:r>
          </w:p>
        </w:tc>
        <w:tc>
          <w:tcPr>
            <w:tcW w:w="4252" w:type="dxa"/>
            <w:shd w:val="clear" w:color="auto" w:fill="auto"/>
          </w:tcPr>
          <w:p w14:paraId="32E43C93" w14:textId="77777777" w:rsidR="002139E4" w:rsidRPr="00725E7D" w:rsidRDefault="002139E4" w:rsidP="001A259A">
            <w:pPr>
              <w:spacing w:before="40" w:after="120" w:line="220" w:lineRule="exact"/>
              <w:rPr>
                <w:sz w:val="20"/>
                <w:szCs w:val="20"/>
              </w:rPr>
            </w:pPr>
            <w:r w:rsidRPr="00725E7D">
              <w:rPr>
                <w:sz w:val="20"/>
                <w:szCs w:val="20"/>
              </w:rPr>
              <w:t>Report of the Working Group on the Universal Periodic Review</w:t>
            </w:r>
            <w:r>
              <w:rPr>
                <w:sz w:val="20"/>
                <w:szCs w:val="20"/>
              </w:rPr>
              <w:t xml:space="preserve"> on Belize</w:t>
            </w:r>
          </w:p>
        </w:tc>
      </w:tr>
      <w:tr w:rsidR="002139E4" w:rsidRPr="00E93295" w14:paraId="56AC252F" w14:textId="77777777" w:rsidTr="001A259A">
        <w:trPr>
          <w:trHeight w:val="240"/>
        </w:trPr>
        <w:tc>
          <w:tcPr>
            <w:tcW w:w="2410" w:type="dxa"/>
            <w:shd w:val="clear" w:color="auto" w:fill="auto"/>
          </w:tcPr>
          <w:p w14:paraId="5A2EBD28"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15</w:t>
            </w:r>
          </w:p>
        </w:tc>
        <w:tc>
          <w:tcPr>
            <w:tcW w:w="1276" w:type="dxa"/>
            <w:gridSpan w:val="2"/>
            <w:shd w:val="clear" w:color="auto" w:fill="auto"/>
          </w:tcPr>
          <w:p w14:paraId="4E1B886A" w14:textId="77777777" w:rsidR="002139E4" w:rsidRDefault="002139E4" w:rsidP="001A259A">
            <w:pPr>
              <w:spacing w:before="40" w:after="120" w:line="220" w:lineRule="exact"/>
              <w:ind w:right="168"/>
              <w:jc w:val="right"/>
              <w:rPr>
                <w:sz w:val="20"/>
                <w:szCs w:val="20"/>
              </w:rPr>
            </w:pPr>
            <w:r>
              <w:rPr>
                <w:sz w:val="20"/>
                <w:szCs w:val="20"/>
              </w:rPr>
              <w:t>6</w:t>
            </w:r>
          </w:p>
        </w:tc>
        <w:tc>
          <w:tcPr>
            <w:tcW w:w="4252" w:type="dxa"/>
            <w:shd w:val="clear" w:color="auto" w:fill="auto"/>
          </w:tcPr>
          <w:p w14:paraId="114D1F08" w14:textId="77777777" w:rsidR="002139E4" w:rsidRPr="00725E7D" w:rsidRDefault="002139E4" w:rsidP="001A259A">
            <w:pPr>
              <w:spacing w:before="40" w:after="120" w:line="220" w:lineRule="exact"/>
              <w:rPr>
                <w:sz w:val="20"/>
                <w:szCs w:val="20"/>
              </w:rPr>
            </w:pPr>
            <w:r w:rsidRPr="00725E7D">
              <w:rPr>
                <w:sz w:val="20"/>
                <w:szCs w:val="20"/>
              </w:rPr>
              <w:t>Report of the Working Group on the Universal Periodic Review</w:t>
            </w:r>
            <w:r>
              <w:rPr>
                <w:sz w:val="20"/>
                <w:szCs w:val="20"/>
              </w:rPr>
              <w:t xml:space="preserve"> on Chad</w:t>
            </w:r>
          </w:p>
        </w:tc>
      </w:tr>
      <w:tr w:rsidR="002139E4" w:rsidRPr="00E93295" w14:paraId="4199690B" w14:textId="77777777" w:rsidTr="001A259A">
        <w:trPr>
          <w:trHeight w:val="240"/>
        </w:trPr>
        <w:tc>
          <w:tcPr>
            <w:tcW w:w="2410" w:type="dxa"/>
            <w:shd w:val="clear" w:color="auto" w:fill="auto"/>
          </w:tcPr>
          <w:p w14:paraId="251B6D85"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16</w:t>
            </w:r>
          </w:p>
        </w:tc>
        <w:tc>
          <w:tcPr>
            <w:tcW w:w="1276" w:type="dxa"/>
            <w:gridSpan w:val="2"/>
            <w:shd w:val="clear" w:color="auto" w:fill="auto"/>
          </w:tcPr>
          <w:p w14:paraId="28453AF2" w14:textId="77777777" w:rsidR="002139E4" w:rsidRDefault="002139E4" w:rsidP="001A259A">
            <w:pPr>
              <w:spacing w:before="40" w:after="120" w:line="220" w:lineRule="exact"/>
              <w:ind w:right="168"/>
              <w:jc w:val="right"/>
              <w:rPr>
                <w:sz w:val="20"/>
                <w:szCs w:val="20"/>
              </w:rPr>
            </w:pPr>
            <w:r>
              <w:rPr>
                <w:sz w:val="20"/>
                <w:szCs w:val="20"/>
              </w:rPr>
              <w:t>6</w:t>
            </w:r>
          </w:p>
        </w:tc>
        <w:tc>
          <w:tcPr>
            <w:tcW w:w="4252" w:type="dxa"/>
            <w:shd w:val="clear" w:color="auto" w:fill="auto"/>
          </w:tcPr>
          <w:p w14:paraId="02F30F2A" w14:textId="77777777" w:rsidR="002139E4" w:rsidRPr="00725E7D" w:rsidRDefault="002139E4" w:rsidP="001A259A">
            <w:pPr>
              <w:spacing w:before="40" w:after="120" w:line="220" w:lineRule="exact"/>
              <w:rPr>
                <w:sz w:val="20"/>
                <w:szCs w:val="20"/>
              </w:rPr>
            </w:pPr>
            <w:r w:rsidRPr="00725E7D">
              <w:rPr>
                <w:sz w:val="20"/>
                <w:szCs w:val="20"/>
              </w:rPr>
              <w:t>Report of the Working Group on the Universal Periodic Review</w:t>
            </w:r>
            <w:r>
              <w:rPr>
                <w:sz w:val="20"/>
                <w:szCs w:val="20"/>
              </w:rPr>
              <w:t xml:space="preserve"> on the Congo</w:t>
            </w:r>
          </w:p>
        </w:tc>
      </w:tr>
      <w:tr w:rsidR="002139E4" w:rsidRPr="00E93295" w14:paraId="5E6C32D0" w14:textId="77777777" w:rsidTr="001A259A">
        <w:trPr>
          <w:trHeight w:val="240"/>
        </w:trPr>
        <w:tc>
          <w:tcPr>
            <w:tcW w:w="2410" w:type="dxa"/>
            <w:shd w:val="clear" w:color="auto" w:fill="auto"/>
          </w:tcPr>
          <w:p w14:paraId="355F99F9"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16/Add.1</w:t>
            </w:r>
          </w:p>
        </w:tc>
        <w:tc>
          <w:tcPr>
            <w:tcW w:w="1276" w:type="dxa"/>
            <w:gridSpan w:val="2"/>
            <w:shd w:val="clear" w:color="auto" w:fill="auto"/>
          </w:tcPr>
          <w:p w14:paraId="2FA2C12C" w14:textId="77777777" w:rsidR="002139E4" w:rsidRDefault="002139E4" w:rsidP="001A259A">
            <w:pPr>
              <w:spacing w:before="40" w:after="120" w:line="220" w:lineRule="exact"/>
              <w:ind w:right="168"/>
              <w:jc w:val="right"/>
              <w:rPr>
                <w:sz w:val="20"/>
                <w:szCs w:val="20"/>
              </w:rPr>
            </w:pPr>
            <w:r>
              <w:rPr>
                <w:sz w:val="20"/>
                <w:szCs w:val="20"/>
              </w:rPr>
              <w:t>6</w:t>
            </w:r>
          </w:p>
        </w:tc>
        <w:tc>
          <w:tcPr>
            <w:tcW w:w="4252" w:type="dxa"/>
            <w:shd w:val="clear" w:color="auto" w:fill="auto"/>
          </w:tcPr>
          <w:p w14:paraId="11D9750D" w14:textId="77777777" w:rsidR="002139E4" w:rsidRPr="00725E7D" w:rsidRDefault="002139E4" w:rsidP="001A259A">
            <w:pPr>
              <w:spacing w:before="40" w:after="120" w:line="220" w:lineRule="exact"/>
              <w:rPr>
                <w:sz w:val="20"/>
                <w:szCs w:val="20"/>
              </w:rPr>
            </w:pPr>
            <w:r w:rsidRPr="00725E7D">
              <w:rPr>
                <w:sz w:val="20"/>
                <w:szCs w:val="20"/>
              </w:rPr>
              <w:t>Views on conclusions and/or recommendations, voluntary commitments and replies presented by the State under review</w:t>
            </w:r>
          </w:p>
        </w:tc>
      </w:tr>
      <w:tr w:rsidR="002139E4" w:rsidRPr="00E93295" w14:paraId="05A83A88" w14:textId="77777777" w:rsidTr="001A259A">
        <w:trPr>
          <w:trHeight w:val="240"/>
        </w:trPr>
        <w:tc>
          <w:tcPr>
            <w:tcW w:w="2410" w:type="dxa"/>
            <w:shd w:val="clear" w:color="auto" w:fill="auto"/>
          </w:tcPr>
          <w:p w14:paraId="77E62D27"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17</w:t>
            </w:r>
          </w:p>
        </w:tc>
        <w:tc>
          <w:tcPr>
            <w:tcW w:w="1276" w:type="dxa"/>
            <w:gridSpan w:val="2"/>
            <w:shd w:val="clear" w:color="auto" w:fill="auto"/>
          </w:tcPr>
          <w:p w14:paraId="545F17F8" w14:textId="77777777" w:rsidR="002139E4" w:rsidRDefault="002139E4" w:rsidP="001A259A">
            <w:pPr>
              <w:spacing w:before="40" w:after="120" w:line="220" w:lineRule="exact"/>
              <w:ind w:right="168"/>
              <w:jc w:val="right"/>
              <w:rPr>
                <w:sz w:val="20"/>
                <w:szCs w:val="20"/>
              </w:rPr>
            </w:pPr>
            <w:r>
              <w:rPr>
                <w:sz w:val="20"/>
                <w:szCs w:val="20"/>
              </w:rPr>
              <w:t>6</w:t>
            </w:r>
          </w:p>
        </w:tc>
        <w:tc>
          <w:tcPr>
            <w:tcW w:w="4252" w:type="dxa"/>
            <w:shd w:val="clear" w:color="auto" w:fill="auto"/>
          </w:tcPr>
          <w:p w14:paraId="5F276706" w14:textId="77777777" w:rsidR="002139E4" w:rsidRPr="00725E7D" w:rsidRDefault="002139E4" w:rsidP="001A259A">
            <w:pPr>
              <w:spacing w:before="40" w:after="120" w:line="220" w:lineRule="exact"/>
              <w:rPr>
                <w:sz w:val="20"/>
                <w:szCs w:val="20"/>
              </w:rPr>
            </w:pPr>
            <w:r w:rsidRPr="00725E7D">
              <w:rPr>
                <w:sz w:val="20"/>
                <w:szCs w:val="20"/>
              </w:rPr>
              <w:t>Report of the Working Group on the Universal Periodic Review</w:t>
            </w:r>
            <w:r>
              <w:rPr>
                <w:sz w:val="20"/>
                <w:szCs w:val="20"/>
              </w:rPr>
              <w:t xml:space="preserve"> on Malta</w:t>
            </w:r>
          </w:p>
        </w:tc>
      </w:tr>
      <w:tr w:rsidR="002139E4" w:rsidRPr="00E93295" w14:paraId="1F1C962A" w14:textId="77777777" w:rsidTr="001A259A">
        <w:trPr>
          <w:trHeight w:val="240"/>
        </w:trPr>
        <w:tc>
          <w:tcPr>
            <w:tcW w:w="2410" w:type="dxa"/>
            <w:shd w:val="clear" w:color="auto" w:fill="auto"/>
          </w:tcPr>
          <w:p w14:paraId="21DA35B8"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18</w:t>
            </w:r>
          </w:p>
        </w:tc>
        <w:tc>
          <w:tcPr>
            <w:tcW w:w="1276" w:type="dxa"/>
            <w:gridSpan w:val="2"/>
            <w:shd w:val="clear" w:color="auto" w:fill="auto"/>
          </w:tcPr>
          <w:p w14:paraId="4B4BA42B" w14:textId="77777777" w:rsidR="002139E4" w:rsidRDefault="002139E4" w:rsidP="001A259A">
            <w:pPr>
              <w:spacing w:before="40" w:after="120" w:line="220" w:lineRule="exact"/>
              <w:ind w:right="168"/>
              <w:jc w:val="right"/>
              <w:rPr>
                <w:sz w:val="20"/>
                <w:szCs w:val="20"/>
              </w:rPr>
            </w:pPr>
            <w:r>
              <w:rPr>
                <w:sz w:val="20"/>
                <w:szCs w:val="20"/>
              </w:rPr>
              <w:t>2</w:t>
            </w:r>
          </w:p>
        </w:tc>
        <w:tc>
          <w:tcPr>
            <w:tcW w:w="4252" w:type="dxa"/>
            <w:shd w:val="clear" w:color="auto" w:fill="auto"/>
          </w:tcPr>
          <w:p w14:paraId="2FE5D4AC" w14:textId="77777777" w:rsidR="002139E4" w:rsidRPr="00725E7D" w:rsidRDefault="002139E4" w:rsidP="001A259A">
            <w:pPr>
              <w:spacing w:before="40" w:after="120" w:line="220" w:lineRule="exact"/>
              <w:rPr>
                <w:sz w:val="20"/>
                <w:szCs w:val="20"/>
              </w:rPr>
            </w:pPr>
            <w:r w:rsidRPr="00C642B6">
              <w:rPr>
                <w:sz w:val="20"/>
                <w:szCs w:val="20"/>
              </w:rPr>
              <w:t>Conclusions and recommendations of the</w:t>
            </w:r>
            <w:r>
              <w:rPr>
                <w:sz w:val="20"/>
                <w:szCs w:val="20"/>
              </w:rPr>
              <w:t xml:space="preserve"> </w:t>
            </w:r>
            <w:r w:rsidRPr="00C642B6">
              <w:rPr>
                <w:sz w:val="20"/>
                <w:szCs w:val="20"/>
              </w:rPr>
              <w:t>special procedures: report of the Secretary-General</w:t>
            </w:r>
          </w:p>
        </w:tc>
      </w:tr>
      <w:tr w:rsidR="002139E4" w:rsidRPr="00E93295" w14:paraId="23F4DAB9" w14:textId="77777777" w:rsidTr="001A259A">
        <w:trPr>
          <w:trHeight w:val="240"/>
        </w:trPr>
        <w:tc>
          <w:tcPr>
            <w:tcW w:w="2410" w:type="dxa"/>
            <w:shd w:val="clear" w:color="auto" w:fill="auto"/>
          </w:tcPr>
          <w:p w14:paraId="26B98E45"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19</w:t>
            </w:r>
          </w:p>
        </w:tc>
        <w:tc>
          <w:tcPr>
            <w:tcW w:w="1276" w:type="dxa"/>
            <w:gridSpan w:val="2"/>
            <w:shd w:val="clear" w:color="auto" w:fill="auto"/>
          </w:tcPr>
          <w:p w14:paraId="3793ABB5" w14:textId="77777777" w:rsidR="002139E4" w:rsidRDefault="002139E4" w:rsidP="001A259A">
            <w:pPr>
              <w:spacing w:before="40" w:after="120" w:line="220" w:lineRule="exact"/>
              <w:ind w:right="168"/>
              <w:jc w:val="right"/>
              <w:rPr>
                <w:sz w:val="20"/>
                <w:szCs w:val="20"/>
              </w:rPr>
            </w:pPr>
            <w:r>
              <w:rPr>
                <w:sz w:val="20"/>
                <w:szCs w:val="20"/>
              </w:rPr>
              <w:t>2</w:t>
            </w:r>
          </w:p>
        </w:tc>
        <w:tc>
          <w:tcPr>
            <w:tcW w:w="4252" w:type="dxa"/>
            <w:shd w:val="clear" w:color="auto" w:fill="auto"/>
          </w:tcPr>
          <w:p w14:paraId="372F12E6" w14:textId="77777777" w:rsidR="002139E4" w:rsidRPr="00C642B6" w:rsidRDefault="002139E4" w:rsidP="001A259A">
            <w:pPr>
              <w:spacing w:before="40" w:after="120" w:line="220" w:lineRule="exact"/>
              <w:rPr>
                <w:sz w:val="20"/>
                <w:szCs w:val="20"/>
              </w:rPr>
            </w:pPr>
            <w:r w:rsidRPr="00C642B6">
              <w:rPr>
                <w:sz w:val="20"/>
                <w:szCs w:val="20"/>
              </w:rPr>
              <w:t>Measures taken to implement Human Rights Council resolution 9/8 and obstacles to its implementation, including recommendations for further improving the effectiveness of, harmonizing and reforming the treaty body system</w:t>
            </w:r>
            <w:r>
              <w:rPr>
                <w:sz w:val="20"/>
                <w:szCs w:val="20"/>
              </w:rPr>
              <w:t>: r</w:t>
            </w:r>
            <w:r w:rsidRPr="00C642B6">
              <w:rPr>
                <w:sz w:val="20"/>
                <w:szCs w:val="20"/>
              </w:rPr>
              <w:t>eport of the Secretary-General</w:t>
            </w:r>
          </w:p>
        </w:tc>
      </w:tr>
      <w:tr w:rsidR="002139E4" w:rsidRPr="00E93295" w14:paraId="5AF97CD5" w14:textId="77777777" w:rsidTr="001A259A">
        <w:trPr>
          <w:trHeight w:val="240"/>
        </w:trPr>
        <w:tc>
          <w:tcPr>
            <w:tcW w:w="2410" w:type="dxa"/>
            <w:shd w:val="clear" w:color="auto" w:fill="auto"/>
          </w:tcPr>
          <w:p w14:paraId="0377A488"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20</w:t>
            </w:r>
          </w:p>
        </w:tc>
        <w:tc>
          <w:tcPr>
            <w:tcW w:w="1276" w:type="dxa"/>
            <w:gridSpan w:val="2"/>
            <w:shd w:val="clear" w:color="auto" w:fill="auto"/>
          </w:tcPr>
          <w:p w14:paraId="1FEFA729" w14:textId="77777777" w:rsidR="002139E4" w:rsidRDefault="002139E4" w:rsidP="001A259A">
            <w:pPr>
              <w:spacing w:before="40" w:after="120" w:line="220" w:lineRule="exact"/>
              <w:ind w:right="168"/>
              <w:jc w:val="right"/>
              <w:rPr>
                <w:sz w:val="20"/>
                <w:szCs w:val="20"/>
              </w:rPr>
            </w:pPr>
            <w:r>
              <w:rPr>
                <w:sz w:val="20"/>
                <w:szCs w:val="20"/>
              </w:rPr>
              <w:t>2</w:t>
            </w:r>
          </w:p>
        </w:tc>
        <w:tc>
          <w:tcPr>
            <w:tcW w:w="4252" w:type="dxa"/>
            <w:shd w:val="clear" w:color="auto" w:fill="auto"/>
          </w:tcPr>
          <w:p w14:paraId="47EC9ABF" w14:textId="77777777" w:rsidR="002139E4" w:rsidRPr="00C642B6" w:rsidRDefault="002139E4" w:rsidP="001A259A">
            <w:pPr>
              <w:spacing w:before="40" w:after="120" w:line="220" w:lineRule="exact"/>
              <w:rPr>
                <w:sz w:val="20"/>
                <w:szCs w:val="20"/>
              </w:rPr>
            </w:pPr>
            <w:r w:rsidRPr="00C642B6">
              <w:rPr>
                <w:sz w:val="20"/>
                <w:szCs w:val="20"/>
              </w:rPr>
              <w:t>Special Fund established by the Optional Protocol to the Convention against Torture and Other Cruel, Inhuman or Degrading Treatment or Punishment</w:t>
            </w:r>
            <w:r>
              <w:rPr>
                <w:sz w:val="20"/>
                <w:szCs w:val="20"/>
              </w:rPr>
              <w:t>: r</w:t>
            </w:r>
            <w:r w:rsidRPr="00C642B6">
              <w:rPr>
                <w:sz w:val="20"/>
                <w:szCs w:val="20"/>
              </w:rPr>
              <w:t>eport of the Secretary-General</w:t>
            </w:r>
          </w:p>
        </w:tc>
      </w:tr>
      <w:tr w:rsidR="002139E4" w:rsidRPr="00E93295" w14:paraId="49FEE2C3" w14:textId="77777777" w:rsidTr="001A259A">
        <w:trPr>
          <w:trHeight w:val="240"/>
        </w:trPr>
        <w:tc>
          <w:tcPr>
            <w:tcW w:w="2410" w:type="dxa"/>
            <w:shd w:val="clear" w:color="auto" w:fill="auto"/>
          </w:tcPr>
          <w:p w14:paraId="3036E35A"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21</w:t>
            </w:r>
          </w:p>
        </w:tc>
        <w:tc>
          <w:tcPr>
            <w:tcW w:w="1276" w:type="dxa"/>
            <w:gridSpan w:val="2"/>
            <w:shd w:val="clear" w:color="auto" w:fill="auto"/>
          </w:tcPr>
          <w:p w14:paraId="44BCC3B8" w14:textId="77777777" w:rsidR="002139E4" w:rsidRDefault="002139E4" w:rsidP="001A259A">
            <w:pPr>
              <w:spacing w:before="40" w:after="120" w:line="220" w:lineRule="exact"/>
              <w:ind w:right="168"/>
              <w:jc w:val="right"/>
              <w:rPr>
                <w:sz w:val="20"/>
                <w:szCs w:val="20"/>
              </w:rPr>
            </w:pPr>
            <w:r>
              <w:rPr>
                <w:sz w:val="20"/>
                <w:szCs w:val="20"/>
              </w:rPr>
              <w:t>2</w:t>
            </w:r>
          </w:p>
        </w:tc>
        <w:tc>
          <w:tcPr>
            <w:tcW w:w="4252" w:type="dxa"/>
            <w:shd w:val="clear" w:color="auto" w:fill="auto"/>
          </w:tcPr>
          <w:p w14:paraId="18AD4363" w14:textId="77777777" w:rsidR="002139E4" w:rsidRPr="00C642B6" w:rsidRDefault="002139E4" w:rsidP="001A259A">
            <w:pPr>
              <w:spacing w:before="40" w:after="120" w:line="220" w:lineRule="exact"/>
              <w:rPr>
                <w:sz w:val="20"/>
                <w:szCs w:val="20"/>
              </w:rPr>
            </w:pPr>
            <w:r w:rsidRPr="00C642B6">
              <w:rPr>
                <w:sz w:val="20"/>
                <w:szCs w:val="20"/>
              </w:rPr>
              <w:t>United Nations Volunt</w:t>
            </w:r>
            <w:r>
              <w:rPr>
                <w:sz w:val="20"/>
                <w:szCs w:val="20"/>
              </w:rPr>
              <w:t xml:space="preserve">ary Fund for Victims of Torture: </w:t>
            </w:r>
            <w:r w:rsidRPr="00C642B6">
              <w:rPr>
                <w:sz w:val="20"/>
                <w:szCs w:val="20"/>
              </w:rPr>
              <w:t>report of the Secretary-General</w:t>
            </w:r>
          </w:p>
        </w:tc>
      </w:tr>
      <w:tr w:rsidR="002139E4" w:rsidRPr="00E93295" w14:paraId="41D11664" w14:textId="77777777" w:rsidTr="001A259A">
        <w:trPr>
          <w:trHeight w:val="240"/>
        </w:trPr>
        <w:tc>
          <w:tcPr>
            <w:tcW w:w="2410" w:type="dxa"/>
            <w:shd w:val="clear" w:color="auto" w:fill="auto"/>
          </w:tcPr>
          <w:p w14:paraId="524E3CB6"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22</w:t>
            </w:r>
          </w:p>
        </w:tc>
        <w:tc>
          <w:tcPr>
            <w:tcW w:w="1276" w:type="dxa"/>
            <w:gridSpan w:val="2"/>
            <w:shd w:val="clear" w:color="auto" w:fill="auto"/>
          </w:tcPr>
          <w:p w14:paraId="1E7C0536" w14:textId="77777777" w:rsidR="002139E4" w:rsidRDefault="002139E4" w:rsidP="001A259A">
            <w:pPr>
              <w:spacing w:before="40" w:after="120" w:line="220" w:lineRule="exact"/>
              <w:ind w:right="168"/>
              <w:jc w:val="right"/>
              <w:rPr>
                <w:sz w:val="20"/>
                <w:szCs w:val="20"/>
              </w:rPr>
            </w:pPr>
            <w:r>
              <w:rPr>
                <w:sz w:val="20"/>
                <w:szCs w:val="20"/>
              </w:rPr>
              <w:t>2</w:t>
            </w:r>
          </w:p>
        </w:tc>
        <w:tc>
          <w:tcPr>
            <w:tcW w:w="4252" w:type="dxa"/>
            <w:shd w:val="clear" w:color="auto" w:fill="auto"/>
          </w:tcPr>
          <w:p w14:paraId="16E09C19" w14:textId="77777777" w:rsidR="002139E4" w:rsidRPr="00C642B6" w:rsidRDefault="002139E4" w:rsidP="001A259A">
            <w:pPr>
              <w:spacing w:before="40" w:after="120" w:line="220" w:lineRule="exact"/>
              <w:rPr>
                <w:sz w:val="20"/>
                <w:szCs w:val="20"/>
              </w:rPr>
            </w:pPr>
            <w:r w:rsidRPr="00C642B6">
              <w:rPr>
                <w:sz w:val="20"/>
                <w:szCs w:val="20"/>
              </w:rPr>
              <w:t>Question of human rights in Cyprus</w:t>
            </w:r>
            <w:r>
              <w:rPr>
                <w:sz w:val="20"/>
                <w:szCs w:val="20"/>
              </w:rPr>
              <w:t xml:space="preserve">: </w:t>
            </w:r>
            <w:r w:rsidRPr="00C642B6">
              <w:rPr>
                <w:sz w:val="20"/>
                <w:szCs w:val="20"/>
              </w:rPr>
              <w:t>report of the Office of the United Nations High Commissioner for Human Rights</w:t>
            </w:r>
          </w:p>
        </w:tc>
      </w:tr>
      <w:tr w:rsidR="002139E4" w:rsidRPr="00E93295" w14:paraId="2E3E173A" w14:textId="77777777" w:rsidTr="001A259A">
        <w:trPr>
          <w:trHeight w:val="240"/>
        </w:trPr>
        <w:tc>
          <w:tcPr>
            <w:tcW w:w="2410" w:type="dxa"/>
            <w:shd w:val="clear" w:color="auto" w:fill="auto"/>
          </w:tcPr>
          <w:p w14:paraId="0D54D3B9"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23</w:t>
            </w:r>
          </w:p>
        </w:tc>
        <w:tc>
          <w:tcPr>
            <w:tcW w:w="1276" w:type="dxa"/>
            <w:gridSpan w:val="2"/>
            <w:shd w:val="clear" w:color="auto" w:fill="auto"/>
          </w:tcPr>
          <w:p w14:paraId="0A4B0813" w14:textId="77777777" w:rsidR="002139E4" w:rsidRDefault="002139E4" w:rsidP="001A259A">
            <w:pPr>
              <w:spacing w:before="40" w:after="120" w:line="220" w:lineRule="exact"/>
              <w:ind w:right="168"/>
              <w:jc w:val="right"/>
              <w:rPr>
                <w:sz w:val="20"/>
                <w:szCs w:val="20"/>
              </w:rPr>
            </w:pPr>
            <w:r>
              <w:rPr>
                <w:sz w:val="20"/>
                <w:szCs w:val="20"/>
              </w:rPr>
              <w:t>2</w:t>
            </w:r>
          </w:p>
        </w:tc>
        <w:tc>
          <w:tcPr>
            <w:tcW w:w="4252" w:type="dxa"/>
            <w:shd w:val="clear" w:color="auto" w:fill="auto"/>
          </w:tcPr>
          <w:p w14:paraId="7B81664A" w14:textId="77777777" w:rsidR="002139E4" w:rsidRPr="00C642B6" w:rsidRDefault="002139E4" w:rsidP="001A259A">
            <w:pPr>
              <w:spacing w:before="40" w:after="120" w:line="220" w:lineRule="exact"/>
              <w:rPr>
                <w:sz w:val="20"/>
                <w:szCs w:val="20"/>
              </w:rPr>
            </w:pPr>
            <w:r w:rsidRPr="00A10104">
              <w:rPr>
                <w:sz w:val="20"/>
                <w:szCs w:val="20"/>
              </w:rPr>
              <w:t>Promoting reconciliation, accountabilit</w:t>
            </w:r>
            <w:r>
              <w:rPr>
                <w:sz w:val="20"/>
                <w:szCs w:val="20"/>
              </w:rPr>
              <w:t xml:space="preserve">y and human rights in Sri Lanka: </w:t>
            </w:r>
            <w:r w:rsidRPr="00A10104">
              <w:rPr>
                <w:sz w:val="20"/>
                <w:szCs w:val="20"/>
              </w:rPr>
              <w:t>report of the Office of the United Nations High Commissioner for Human Rights</w:t>
            </w:r>
          </w:p>
        </w:tc>
      </w:tr>
      <w:tr w:rsidR="002139E4" w:rsidRPr="00E93295" w14:paraId="5C196CE0" w14:textId="77777777" w:rsidTr="001A259A">
        <w:trPr>
          <w:trHeight w:val="240"/>
        </w:trPr>
        <w:tc>
          <w:tcPr>
            <w:tcW w:w="2410" w:type="dxa"/>
            <w:shd w:val="clear" w:color="auto" w:fill="auto"/>
          </w:tcPr>
          <w:p w14:paraId="1F0DC6BE"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24</w:t>
            </w:r>
          </w:p>
        </w:tc>
        <w:tc>
          <w:tcPr>
            <w:tcW w:w="1276" w:type="dxa"/>
            <w:gridSpan w:val="2"/>
            <w:shd w:val="clear" w:color="auto" w:fill="auto"/>
          </w:tcPr>
          <w:p w14:paraId="6E8E231D" w14:textId="77777777" w:rsidR="002139E4" w:rsidRDefault="002139E4" w:rsidP="001A259A">
            <w:pPr>
              <w:spacing w:before="40" w:after="120" w:line="220" w:lineRule="exact"/>
              <w:ind w:right="168"/>
              <w:jc w:val="right"/>
              <w:rPr>
                <w:sz w:val="20"/>
                <w:szCs w:val="20"/>
              </w:rPr>
            </w:pPr>
            <w:r>
              <w:rPr>
                <w:sz w:val="20"/>
                <w:szCs w:val="20"/>
              </w:rPr>
              <w:t>2</w:t>
            </w:r>
          </w:p>
        </w:tc>
        <w:tc>
          <w:tcPr>
            <w:tcW w:w="4252" w:type="dxa"/>
            <w:shd w:val="clear" w:color="auto" w:fill="auto"/>
          </w:tcPr>
          <w:p w14:paraId="5DE6034C" w14:textId="77777777" w:rsidR="002139E4" w:rsidRPr="00A10104" w:rsidRDefault="002139E4" w:rsidP="001A259A">
            <w:pPr>
              <w:spacing w:before="40" w:after="120" w:line="220" w:lineRule="exact"/>
              <w:rPr>
                <w:sz w:val="20"/>
                <w:szCs w:val="20"/>
              </w:rPr>
            </w:pPr>
            <w:r w:rsidRPr="002A1B79">
              <w:rPr>
                <w:sz w:val="20"/>
                <w:szCs w:val="20"/>
              </w:rPr>
              <w:t>Situation of human rights in the Islamic Republic of Iran</w:t>
            </w:r>
            <w:r>
              <w:rPr>
                <w:sz w:val="20"/>
                <w:szCs w:val="20"/>
              </w:rPr>
              <w:t xml:space="preserve">: </w:t>
            </w:r>
            <w:r w:rsidRPr="002A1B79">
              <w:rPr>
                <w:sz w:val="20"/>
                <w:szCs w:val="20"/>
              </w:rPr>
              <w:t>report of the Secretary-General</w:t>
            </w:r>
          </w:p>
        </w:tc>
      </w:tr>
      <w:tr w:rsidR="002139E4" w:rsidRPr="00E93295" w14:paraId="02AEC7E2" w14:textId="77777777" w:rsidTr="001A259A">
        <w:trPr>
          <w:trHeight w:val="240"/>
        </w:trPr>
        <w:tc>
          <w:tcPr>
            <w:tcW w:w="2410" w:type="dxa"/>
            <w:shd w:val="clear" w:color="auto" w:fill="auto"/>
          </w:tcPr>
          <w:p w14:paraId="5672A74A"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25</w:t>
            </w:r>
          </w:p>
        </w:tc>
        <w:tc>
          <w:tcPr>
            <w:tcW w:w="1276" w:type="dxa"/>
            <w:gridSpan w:val="2"/>
            <w:shd w:val="clear" w:color="auto" w:fill="auto"/>
          </w:tcPr>
          <w:p w14:paraId="07889A87" w14:textId="77777777" w:rsidR="002139E4" w:rsidRDefault="002139E4" w:rsidP="001A259A">
            <w:pPr>
              <w:spacing w:before="40" w:after="120" w:line="220" w:lineRule="exact"/>
              <w:ind w:right="168"/>
              <w:jc w:val="right"/>
              <w:rPr>
                <w:sz w:val="20"/>
                <w:szCs w:val="20"/>
              </w:rPr>
            </w:pPr>
            <w:r>
              <w:rPr>
                <w:sz w:val="20"/>
                <w:szCs w:val="20"/>
              </w:rPr>
              <w:t>2, 3</w:t>
            </w:r>
          </w:p>
        </w:tc>
        <w:tc>
          <w:tcPr>
            <w:tcW w:w="4252" w:type="dxa"/>
            <w:shd w:val="clear" w:color="auto" w:fill="auto"/>
          </w:tcPr>
          <w:p w14:paraId="1E9CDBF3" w14:textId="77777777" w:rsidR="002139E4" w:rsidRPr="00A10104" w:rsidRDefault="002139E4" w:rsidP="001A259A">
            <w:pPr>
              <w:spacing w:before="40" w:after="120" w:line="220" w:lineRule="exact"/>
              <w:rPr>
                <w:sz w:val="20"/>
                <w:szCs w:val="20"/>
              </w:rPr>
            </w:pPr>
            <w:r w:rsidRPr="006431C7">
              <w:rPr>
                <w:sz w:val="20"/>
                <w:szCs w:val="20"/>
              </w:rPr>
              <w:t>Report of the Secretary-General on missing persons</w:t>
            </w:r>
            <w:r>
              <w:rPr>
                <w:sz w:val="20"/>
                <w:szCs w:val="20"/>
              </w:rPr>
              <w:t xml:space="preserve">: </w:t>
            </w:r>
            <w:r w:rsidRPr="006431C7">
              <w:rPr>
                <w:sz w:val="20"/>
                <w:szCs w:val="20"/>
              </w:rPr>
              <w:t>note by the Secretariat</w:t>
            </w:r>
          </w:p>
        </w:tc>
      </w:tr>
      <w:tr w:rsidR="002139E4" w:rsidRPr="00E93295" w14:paraId="0BF3A734" w14:textId="77777777" w:rsidTr="001A259A">
        <w:trPr>
          <w:trHeight w:val="240"/>
        </w:trPr>
        <w:tc>
          <w:tcPr>
            <w:tcW w:w="2410" w:type="dxa"/>
            <w:shd w:val="clear" w:color="auto" w:fill="auto"/>
          </w:tcPr>
          <w:p w14:paraId="0636CAF9"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26</w:t>
            </w:r>
          </w:p>
        </w:tc>
        <w:tc>
          <w:tcPr>
            <w:tcW w:w="1276" w:type="dxa"/>
            <w:gridSpan w:val="2"/>
            <w:shd w:val="clear" w:color="auto" w:fill="auto"/>
          </w:tcPr>
          <w:p w14:paraId="7F1569D4" w14:textId="77777777" w:rsidR="002139E4" w:rsidRDefault="002139E4" w:rsidP="001A259A">
            <w:pPr>
              <w:spacing w:before="40" w:after="120" w:line="220" w:lineRule="exact"/>
              <w:ind w:right="168"/>
              <w:jc w:val="right"/>
              <w:rPr>
                <w:sz w:val="20"/>
                <w:szCs w:val="20"/>
              </w:rPr>
            </w:pPr>
            <w:r>
              <w:rPr>
                <w:sz w:val="20"/>
                <w:szCs w:val="20"/>
              </w:rPr>
              <w:t>2, 3</w:t>
            </w:r>
          </w:p>
        </w:tc>
        <w:tc>
          <w:tcPr>
            <w:tcW w:w="4252" w:type="dxa"/>
            <w:shd w:val="clear" w:color="auto" w:fill="auto"/>
          </w:tcPr>
          <w:p w14:paraId="7389E3C3" w14:textId="77777777" w:rsidR="002139E4" w:rsidRPr="00A10104" w:rsidRDefault="002139E4" w:rsidP="001A259A">
            <w:pPr>
              <w:spacing w:before="40" w:after="120" w:line="220" w:lineRule="exact"/>
              <w:rPr>
                <w:sz w:val="20"/>
                <w:szCs w:val="20"/>
              </w:rPr>
            </w:pPr>
            <w:r w:rsidRPr="00110F16">
              <w:rPr>
                <w:sz w:val="20"/>
                <w:szCs w:val="20"/>
              </w:rPr>
              <w:t>Summary of the panel discussion on the human rights of internally displaced persons in commemoration of the twentieth anniversary of the Guiding Principles on Internal Displacement</w:t>
            </w:r>
            <w:r>
              <w:rPr>
                <w:sz w:val="20"/>
                <w:szCs w:val="20"/>
              </w:rPr>
              <w:t xml:space="preserve">: </w:t>
            </w:r>
            <w:r w:rsidRPr="00110F16">
              <w:rPr>
                <w:sz w:val="20"/>
                <w:szCs w:val="20"/>
              </w:rPr>
              <w:lastRenderedPageBreak/>
              <w:t>report of the Office of the United Nations High Commissioner for Human Rights</w:t>
            </w:r>
          </w:p>
        </w:tc>
      </w:tr>
      <w:tr w:rsidR="002139E4" w:rsidRPr="00E93295" w14:paraId="72247F56" w14:textId="77777777" w:rsidTr="001A259A">
        <w:trPr>
          <w:trHeight w:val="240"/>
        </w:trPr>
        <w:tc>
          <w:tcPr>
            <w:tcW w:w="2410" w:type="dxa"/>
            <w:shd w:val="clear" w:color="auto" w:fill="auto"/>
          </w:tcPr>
          <w:p w14:paraId="1D623701" w14:textId="77777777" w:rsidR="002139E4" w:rsidRPr="00500755" w:rsidRDefault="002139E4" w:rsidP="001A259A">
            <w:pPr>
              <w:spacing w:before="40" w:after="120" w:line="220" w:lineRule="exact"/>
              <w:rPr>
                <w:sz w:val="20"/>
                <w:szCs w:val="20"/>
              </w:rPr>
            </w:pPr>
            <w:r w:rsidRPr="00500755">
              <w:rPr>
                <w:sz w:val="20"/>
                <w:szCs w:val="20"/>
              </w:rPr>
              <w:lastRenderedPageBreak/>
              <w:t>A/HRC/</w:t>
            </w:r>
            <w:r>
              <w:rPr>
                <w:sz w:val="20"/>
                <w:szCs w:val="20"/>
              </w:rPr>
              <w:t>40</w:t>
            </w:r>
            <w:r w:rsidRPr="00500755">
              <w:rPr>
                <w:sz w:val="20"/>
                <w:szCs w:val="20"/>
              </w:rPr>
              <w:t>/</w:t>
            </w:r>
            <w:r>
              <w:rPr>
                <w:sz w:val="20"/>
                <w:szCs w:val="20"/>
              </w:rPr>
              <w:t>27</w:t>
            </w:r>
          </w:p>
        </w:tc>
        <w:tc>
          <w:tcPr>
            <w:tcW w:w="1276" w:type="dxa"/>
            <w:gridSpan w:val="2"/>
            <w:shd w:val="clear" w:color="auto" w:fill="auto"/>
          </w:tcPr>
          <w:p w14:paraId="5BE4F548" w14:textId="77777777" w:rsidR="002139E4" w:rsidRDefault="002139E4" w:rsidP="001A259A">
            <w:pPr>
              <w:spacing w:before="40" w:after="120" w:line="220" w:lineRule="exact"/>
              <w:ind w:right="168"/>
              <w:jc w:val="right"/>
              <w:rPr>
                <w:sz w:val="20"/>
                <w:szCs w:val="20"/>
              </w:rPr>
            </w:pPr>
            <w:r>
              <w:rPr>
                <w:sz w:val="20"/>
                <w:szCs w:val="20"/>
              </w:rPr>
              <w:t>2, 3</w:t>
            </w:r>
          </w:p>
        </w:tc>
        <w:tc>
          <w:tcPr>
            <w:tcW w:w="4252" w:type="dxa"/>
            <w:shd w:val="clear" w:color="auto" w:fill="auto"/>
          </w:tcPr>
          <w:p w14:paraId="79A2B5C7" w14:textId="77777777" w:rsidR="002139E4" w:rsidRPr="00A10104" w:rsidRDefault="002139E4" w:rsidP="001A259A">
            <w:pPr>
              <w:spacing w:before="40" w:after="120" w:line="220" w:lineRule="exact"/>
              <w:rPr>
                <w:sz w:val="20"/>
                <w:szCs w:val="20"/>
              </w:rPr>
            </w:pPr>
            <w:r w:rsidRPr="001F5241">
              <w:rPr>
                <w:sz w:val="20"/>
                <w:szCs w:val="20"/>
              </w:rPr>
              <w:t>Empowering children with disabilities for the enjoyment of their human rights, including through inclusive education</w:t>
            </w:r>
            <w:r>
              <w:rPr>
                <w:sz w:val="20"/>
                <w:szCs w:val="20"/>
              </w:rPr>
              <w:t xml:space="preserve">: </w:t>
            </w:r>
            <w:r w:rsidRPr="001F5241">
              <w:rPr>
                <w:sz w:val="20"/>
                <w:szCs w:val="20"/>
              </w:rPr>
              <w:t>report of the United Nations High Commissioner for Human Rights</w:t>
            </w:r>
          </w:p>
        </w:tc>
      </w:tr>
      <w:tr w:rsidR="002139E4" w:rsidRPr="00E93295" w14:paraId="1CC86E4A" w14:textId="77777777" w:rsidTr="001A259A">
        <w:trPr>
          <w:trHeight w:val="240"/>
        </w:trPr>
        <w:tc>
          <w:tcPr>
            <w:tcW w:w="2410" w:type="dxa"/>
            <w:shd w:val="clear" w:color="auto" w:fill="auto"/>
          </w:tcPr>
          <w:p w14:paraId="7D3603BE"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28</w:t>
            </w:r>
          </w:p>
        </w:tc>
        <w:tc>
          <w:tcPr>
            <w:tcW w:w="1276" w:type="dxa"/>
            <w:gridSpan w:val="2"/>
            <w:shd w:val="clear" w:color="auto" w:fill="auto"/>
          </w:tcPr>
          <w:p w14:paraId="1C3A99D2" w14:textId="77777777" w:rsidR="002139E4" w:rsidRDefault="002139E4" w:rsidP="001A259A">
            <w:pPr>
              <w:spacing w:before="40" w:after="120" w:line="220" w:lineRule="exact"/>
              <w:ind w:right="168"/>
              <w:jc w:val="right"/>
              <w:rPr>
                <w:sz w:val="20"/>
                <w:szCs w:val="20"/>
              </w:rPr>
            </w:pPr>
            <w:r>
              <w:rPr>
                <w:sz w:val="20"/>
                <w:szCs w:val="20"/>
              </w:rPr>
              <w:t>2, 3</w:t>
            </w:r>
          </w:p>
        </w:tc>
        <w:tc>
          <w:tcPr>
            <w:tcW w:w="4252" w:type="dxa"/>
            <w:shd w:val="clear" w:color="auto" w:fill="auto"/>
          </w:tcPr>
          <w:p w14:paraId="0F2BC244" w14:textId="77777777" w:rsidR="002139E4" w:rsidRPr="00C642B6" w:rsidRDefault="002139E4" w:rsidP="001A259A">
            <w:pPr>
              <w:spacing w:before="40" w:after="120" w:line="220" w:lineRule="exact"/>
              <w:rPr>
                <w:sz w:val="20"/>
                <w:szCs w:val="20"/>
              </w:rPr>
            </w:pPr>
            <w:r w:rsidRPr="001F5241">
              <w:rPr>
                <w:sz w:val="20"/>
                <w:szCs w:val="20"/>
              </w:rPr>
              <w:t>Protection of human rights and fundamental freedoms while countering terrorism</w:t>
            </w:r>
            <w:r>
              <w:rPr>
                <w:sz w:val="20"/>
                <w:szCs w:val="20"/>
              </w:rPr>
              <w:t xml:space="preserve">: </w:t>
            </w:r>
            <w:r w:rsidRPr="001F5241">
              <w:rPr>
                <w:sz w:val="20"/>
                <w:szCs w:val="20"/>
              </w:rPr>
              <w:t>report of the United Nations High Commissioner for Human Rights</w:t>
            </w:r>
          </w:p>
        </w:tc>
      </w:tr>
      <w:tr w:rsidR="002139E4" w:rsidRPr="00E93295" w14:paraId="7BA29495" w14:textId="77777777" w:rsidTr="001A259A">
        <w:trPr>
          <w:trHeight w:val="240"/>
        </w:trPr>
        <w:tc>
          <w:tcPr>
            <w:tcW w:w="2410" w:type="dxa"/>
            <w:shd w:val="clear" w:color="auto" w:fill="auto"/>
          </w:tcPr>
          <w:p w14:paraId="503BE094"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29</w:t>
            </w:r>
          </w:p>
        </w:tc>
        <w:tc>
          <w:tcPr>
            <w:tcW w:w="1276" w:type="dxa"/>
            <w:gridSpan w:val="2"/>
            <w:shd w:val="clear" w:color="auto" w:fill="auto"/>
          </w:tcPr>
          <w:p w14:paraId="2423637C" w14:textId="77777777" w:rsidR="002139E4" w:rsidRDefault="002139E4" w:rsidP="001A259A">
            <w:pPr>
              <w:spacing w:before="40" w:after="120" w:line="220" w:lineRule="exact"/>
              <w:ind w:right="168"/>
              <w:jc w:val="right"/>
              <w:rPr>
                <w:sz w:val="20"/>
                <w:szCs w:val="20"/>
              </w:rPr>
            </w:pPr>
            <w:r>
              <w:rPr>
                <w:sz w:val="20"/>
                <w:szCs w:val="20"/>
              </w:rPr>
              <w:t>2, 3</w:t>
            </w:r>
          </w:p>
        </w:tc>
        <w:tc>
          <w:tcPr>
            <w:tcW w:w="4252" w:type="dxa"/>
            <w:shd w:val="clear" w:color="auto" w:fill="auto"/>
          </w:tcPr>
          <w:p w14:paraId="7CAC5E17" w14:textId="77777777" w:rsidR="002139E4" w:rsidRPr="001F5241" w:rsidRDefault="002139E4" w:rsidP="001A259A">
            <w:pPr>
              <w:spacing w:before="40" w:after="120" w:line="220" w:lineRule="exact"/>
              <w:rPr>
                <w:sz w:val="20"/>
                <w:szCs w:val="20"/>
              </w:rPr>
            </w:pPr>
            <w:r w:rsidRPr="001F5241">
              <w:rPr>
                <w:sz w:val="20"/>
                <w:szCs w:val="20"/>
              </w:rPr>
              <w:t>Question of the realization of economic, social and cultural rights in all countries: the role of economic, social and cultural rights in empowering people and ensuring inclusiveness and equality</w:t>
            </w:r>
            <w:r>
              <w:rPr>
                <w:sz w:val="20"/>
                <w:szCs w:val="20"/>
              </w:rPr>
              <w:t xml:space="preserve">: </w:t>
            </w:r>
            <w:r w:rsidRPr="001F5241">
              <w:rPr>
                <w:sz w:val="20"/>
                <w:szCs w:val="20"/>
              </w:rPr>
              <w:t>report of the Secretary-General</w:t>
            </w:r>
          </w:p>
        </w:tc>
      </w:tr>
      <w:tr w:rsidR="002139E4" w:rsidRPr="00E93295" w14:paraId="5266D82F" w14:textId="77777777" w:rsidTr="001A259A">
        <w:trPr>
          <w:trHeight w:val="240"/>
        </w:trPr>
        <w:tc>
          <w:tcPr>
            <w:tcW w:w="2410" w:type="dxa"/>
            <w:shd w:val="clear" w:color="auto" w:fill="auto"/>
          </w:tcPr>
          <w:p w14:paraId="272B1EA1"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30</w:t>
            </w:r>
          </w:p>
        </w:tc>
        <w:tc>
          <w:tcPr>
            <w:tcW w:w="1276" w:type="dxa"/>
            <w:gridSpan w:val="2"/>
            <w:shd w:val="clear" w:color="auto" w:fill="auto"/>
          </w:tcPr>
          <w:p w14:paraId="3C42BBC3" w14:textId="77777777" w:rsidR="002139E4" w:rsidRDefault="002139E4" w:rsidP="001A259A">
            <w:pPr>
              <w:spacing w:before="40" w:after="120" w:line="220" w:lineRule="exact"/>
              <w:ind w:right="168"/>
              <w:jc w:val="right"/>
              <w:rPr>
                <w:sz w:val="20"/>
                <w:szCs w:val="20"/>
              </w:rPr>
            </w:pPr>
            <w:r>
              <w:rPr>
                <w:sz w:val="20"/>
                <w:szCs w:val="20"/>
              </w:rPr>
              <w:t>2, 3</w:t>
            </w:r>
          </w:p>
        </w:tc>
        <w:tc>
          <w:tcPr>
            <w:tcW w:w="4252" w:type="dxa"/>
            <w:shd w:val="clear" w:color="auto" w:fill="auto"/>
          </w:tcPr>
          <w:p w14:paraId="672A074C" w14:textId="77777777" w:rsidR="002139E4" w:rsidRPr="001F5241" w:rsidRDefault="002139E4" w:rsidP="001A259A">
            <w:pPr>
              <w:spacing w:before="40" w:after="120" w:line="220" w:lineRule="exact"/>
              <w:rPr>
                <w:sz w:val="20"/>
                <w:szCs w:val="20"/>
              </w:rPr>
            </w:pPr>
            <w:r w:rsidRPr="001F5241">
              <w:rPr>
                <w:sz w:val="20"/>
                <w:szCs w:val="20"/>
              </w:rPr>
              <w:t>Rights of persons belonging to national or ethnic, religious and linguistic minorities</w:t>
            </w:r>
            <w:r>
              <w:rPr>
                <w:sz w:val="20"/>
                <w:szCs w:val="20"/>
              </w:rPr>
              <w:t xml:space="preserve">: </w:t>
            </w:r>
            <w:r w:rsidRPr="001F5241">
              <w:rPr>
                <w:sz w:val="20"/>
                <w:szCs w:val="20"/>
              </w:rPr>
              <w:t>report of the Office of the United Nations High Commissioner for Human Rights</w:t>
            </w:r>
          </w:p>
        </w:tc>
      </w:tr>
      <w:tr w:rsidR="002139E4" w:rsidRPr="00E93295" w14:paraId="40B4E513" w14:textId="77777777" w:rsidTr="001A259A">
        <w:trPr>
          <w:trHeight w:val="240"/>
        </w:trPr>
        <w:tc>
          <w:tcPr>
            <w:tcW w:w="2410" w:type="dxa"/>
            <w:shd w:val="clear" w:color="auto" w:fill="auto"/>
          </w:tcPr>
          <w:p w14:paraId="4E805A4A"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31</w:t>
            </w:r>
          </w:p>
        </w:tc>
        <w:tc>
          <w:tcPr>
            <w:tcW w:w="1276" w:type="dxa"/>
            <w:gridSpan w:val="2"/>
            <w:shd w:val="clear" w:color="auto" w:fill="auto"/>
          </w:tcPr>
          <w:p w14:paraId="2D14B335" w14:textId="77777777" w:rsidR="002139E4" w:rsidRDefault="002139E4" w:rsidP="001A259A">
            <w:pPr>
              <w:spacing w:before="40" w:after="120" w:line="220" w:lineRule="exact"/>
              <w:ind w:right="168"/>
              <w:jc w:val="right"/>
              <w:rPr>
                <w:sz w:val="20"/>
                <w:szCs w:val="20"/>
              </w:rPr>
            </w:pPr>
            <w:r>
              <w:rPr>
                <w:sz w:val="20"/>
                <w:szCs w:val="20"/>
              </w:rPr>
              <w:t>2, 3</w:t>
            </w:r>
          </w:p>
        </w:tc>
        <w:tc>
          <w:tcPr>
            <w:tcW w:w="4252" w:type="dxa"/>
            <w:shd w:val="clear" w:color="auto" w:fill="auto"/>
          </w:tcPr>
          <w:p w14:paraId="0E2BC86E" w14:textId="77777777" w:rsidR="002139E4" w:rsidRPr="001F5241" w:rsidRDefault="002139E4" w:rsidP="001A259A">
            <w:pPr>
              <w:spacing w:before="40" w:after="120" w:line="220" w:lineRule="exact"/>
              <w:rPr>
                <w:sz w:val="20"/>
                <w:szCs w:val="20"/>
              </w:rPr>
            </w:pPr>
            <w:r w:rsidRPr="00AA19E8">
              <w:rPr>
                <w:sz w:val="20"/>
                <w:szCs w:val="20"/>
              </w:rPr>
              <w:t>Realization of the right to work</w:t>
            </w:r>
            <w:r>
              <w:rPr>
                <w:sz w:val="20"/>
                <w:szCs w:val="20"/>
              </w:rPr>
              <w:t xml:space="preserve">: </w:t>
            </w:r>
            <w:r w:rsidRPr="00AA19E8">
              <w:rPr>
                <w:sz w:val="20"/>
                <w:szCs w:val="20"/>
              </w:rPr>
              <w:t>report of the United Nations High Commissioner for Human Rights</w:t>
            </w:r>
          </w:p>
        </w:tc>
      </w:tr>
      <w:tr w:rsidR="002139E4" w:rsidRPr="00E93295" w14:paraId="13023E3E" w14:textId="77777777" w:rsidTr="001A259A">
        <w:trPr>
          <w:trHeight w:val="240"/>
        </w:trPr>
        <w:tc>
          <w:tcPr>
            <w:tcW w:w="2410" w:type="dxa"/>
            <w:shd w:val="clear" w:color="auto" w:fill="auto"/>
          </w:tcPr>
          <w:p w14:paraId="76C4DDD2"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32</w:t>
            </w:r>
          </w:p>
        </w:tc>
        <w:tc>
          <w:tcPr>
            <w:tcW w:w="1276" w:type="dxa"/>
            <w:gridSpan w:val="2"/>
            <w:shd w:val="clear" w:color="auto" w:fill="auto"/>
          </w:tcPr>
          <w:p w14:paraId="797EABE9" w14:textId="77777777" w:rsidR="002139E4" w:rsidRDefault="002139E4" w:rsidP="001A259A">
            <w:pPr>
              <w:spacing w:before="40" w:after="120" w:line="220" w:lineRule="exact"/>
              <w:ind w:right="168"/>
              <w:jc w:val="right"/>
              <w:rPr>
                <w:sz w:val="20"/>
                <w:szCs w:val="20"/>
              </w:rPr>
            </w:pPr>
            <w:r>
              <w:rPr>
                <w:sz w:val="20"/>
                <w:szCs w:val="20"/>
              </w:rPr>
              <w:t>2, 3</w:t>
            </w:r>
          </w:p>
        </w:tc>
        <w:tc>
          <w:tcPr>
            <w:tcW w:w="4252" w:type="dxa"/>
            <w:shd w:val="clear" w:color="auto" w:fill="auto"/>
          </w:tcPr>
          <w:p w14:paraId="0B95F5C5" w14:textId="77777777" w:rsidR="002139E4" w:rsidRPr="00AA19E8" w:rsidRDefault="002139E4" w:rsidP="001A259A">
            <w:pPr>
              <w:spacing w:before="40" w:after="120" w:line="220" w:lineRule="exact"/>
              <w:rPr>
                <w:sz w:val="20"/>
                <w:szCs w:val="20"/>
              </w:rPr>
            </w:pPr>
            <w:r w:rsidRPr="00AA19E8">
              <w:rPr>
                <w:sz w:val="20"/>
                <w:szCs w:val="20"/>
              </w:rPr>
              <w:t>Habilitation and rehabilitation under article 26 of the Convention on the Rights of Persons with Disabilities</w:t>
            </w:r>
            <w:r>
              <w:rPr>
                <w:sz w:val="20"/>
                <w:szCs w:val="20"/>
              </w:rPr>
              <w:t xml:space="preserve">: </w:t>
            </w:r>
            <w:r w:rsidRPr="00AA19E8">
              <w:rPr>
                <w:sz w:val="20"/>
                <w:szCs w:val="20"/>
              </w:rPr>
              <w:t>report of the Office of the United Nations High Commissioner for Human Rights</w:t>
            </w:r>
          </w:p>
        </w:tc>
      </w:tr>
      <w:tr w:rsidR="002139E4" w:rsidRPr="00E93295" w14:paraId="4C8F3B57" w14:textId="77777777" w:rsidTr="001A259A">
        <w:trPr>
          <w:trHeight w:val="240"/>
        </w:trPr>
        <w:tc>
          <w:tcPr>
            <w:tcW w:w="2410" w:type="dxa"/>
            <w:shd w:val="clear" w:color="auto" w:fill="auto"/>
          </w:tcPr>
          <w:p w14:paraId="581A826D"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33</w:t>
            </w:r>
          </w:p>
        </w:tc>
        <w:tc>
          <w:tcPr>
            <w:tcW w:w="1276" w:type="dxa"/>
            <w:gridSpan w:val="2"/>
            <w:shd w:val="clear" w:color="auto" w:fill="auto"/>
          </w:tcPr>
          <w:p w14:paraId="0C0A6864" w14:textId="77777777" w:rsidR="002139E4" w:rsidRDefault="002139E4" w:rsidP="001A259A">
            <w:pPr>
              <w:spacing w:before="40" w:after="120" w:line="220" w:lineRule="exact"/>
              <w:ind w:right="168"/>
              <w:jc w:val="right"/>
              <w:rPr>
                <w:sz w:val="20"/>
                <w:szCs w:val="20"/>
              </w:rPr>
            </w:pPr>
            <w:r>
              <w:rPr>
                <w:sz w:val="20"/>
                <w:szCs w:val="20"/>
              </w:rPr>
              <w:t>2, 3</w:t>
            </w:r>
          </w:p>
        </w:tc>
        <w:tc>
          <w:tcPr>
            <w:tcW w:w="4252" w:type="dxa"/>
            <w:shd w:val="clear" w:color="auto" w:fill="auto"/>
          </w:tcPr>
          <w:p w14:paraId="0653812C" w14:textId="77777777" w:rsidR="002139E4" w:rsidRPr="00AA19E8" w:rsidRDefault="002139E4" w:rsidP="001A259A">
            <w:pPr>
              <w:spacing w:before="40" w:after="120" w:line="220" w:lineRule="exact"/>
              <w:rPr>
                <w:sz w:val="20"/>
                <w:szCs w:val="20"/>
              </w:rPr>
            </w:pPr>
            <w:r w:rsidRPr="00AA19E8">
              <w:rPr>
                <w:sz w:val="20"/>
                <w:szCs w:val="20"/>
              </w:rPr>
              <w:t>Summary report on the high-level panel discussion to commemorate the seventieth anniversary of the Convention on the Prevention and Punishment of the Crime of Genocide</w:t>
            </w:r>
            <w:r>
              <w:rPr>
                <w:sz w:val="20"/>
                <w:szCs w:val="20"/>
              </w:rPr>
              <w:t xml:space="preserve">: </w:t>
            </w:r>
            <w:r w:rsidRPr="00AA19E8">
              <w:rPr>
                <w:sz w:val="20"/>
                <w:szCs w:val="20"/>
              </w:rPr>
              <w:t>report of the Office of the United Nations High Commissioner for Human Rights</w:t>
            </w:r>
          </w:p>
        </w:tc>
      </w:tr>
      <w:tr w:rsidR="002139E4" w:rsidRPr="00E93295" w14:paraId="1A8FD206" w14:textId="77777777" w:rsidTr="001A259A">
        <w:trPr>
          <w:trHeight w:val="240"/>
        </w:trPr>
        <w:tc>
          <w:tcPr>
            <w:tcW w:w="2410" w:type="dxa"/>
            <w:shd w:val="clear" w:color="auto" w:fill="auto"/>
          </w:tcPr>
          <w:p w14:paraId="2DE467F3"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34</w:t>
            </w:r>
          </w:p>
        </w:tc>
        <w:tc>
          <w:tcPr>
            <w:tcW w:w="1276" w:type="dxa"/>
            <w:gridSpan w:val="2"/>
            <w:shd w:val="clear" w:color="auto" w:fill="auto"/>
          </w:tcPr>
          <w:p w14:paraId="2E74ABF9"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4CF62900" w14:textId="77777777" w:rsidR="002139E4" w:rsidRPr="00AA19E8" w:rsidRDefault="002139E4" w:rsidP="001A259A">
            <w:pPr>
              <w:spacing w:before="40" w:after="120" w:line="220" w:lineRule="exact"/>
              <w:rPr>
                <w:sz w:val="20"/>
                <w:szCs w:val="20"/>
              </w:rPr>
            </w:pPr>
            <w:r w:rsidRPr="00AA19E8">
              <w:rPr>
                <w:sz w:val="20"/>
                <w:szCs w:val="20"/>
              </w:rPr>
              <w:t>Summary of the intersessional meeting for dialogue and cooperation on human rights and the 2030 Agenda for Sustainable Development</w:t>
            </w:r>
            <w:r>
              <w:rPr>
                <w:sz w:val="20"/>
                <w:szCs w:val="20"/>
              </w:rPr>
              <w:t>:</w:t>
            </w:r>
            <w:r w:rsidRPr="00AA19E8">
              <w:rPr>
                <w:sz w:val="20"/>
                <w:szCs w:val="20"/>
              </w:rPr>
              <w:t xml:space="preserve"> report of the Office of the United Nations High Commissioner for Human Rights</w:t>
            </w:r>
          </w:p>
        </w:tc>
      </w:tr>
      <w:tr w:rsidR="002139E4" w:rsidRPr="00E93295" w14:paraId="34AEFBB0" w14:textId="77777777" w:rsidTr="001A259A">
        <w:trPr>
          <w:trHeight w:val="240"/>
        </w:trPr>
        <w:tc>
          <w:tcPr>
            <w:tcW w:w="2410" w:type="dxa"/>
            <w:shd w:val="clear" w:color="auto" w:fill="auto"/>
          </w:tcPr>
          <w:p w14:paraId="1A78EEAC"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35</w:t>
            </w:r>
          </w:p>
        </w:tc>
        <w:tc>
          <w:tcPr>
            <w:tcW w:w="1276" w:type="dxa"/>
            <w:gridSpan w:val="2"/>
            <w:shd w:val="clear" w:color="auto" w:fill="auto"/>
          </w:tcPr>
          <w:p w14:paraId="2C6902B2" w14:textId="77777777" w:rsidR="002139E4" w:rsidRDefault="002139E4" w:rsidP="001A259A">
            <w:pPr>
              <w:spacing w:before="40" w:after="120" w:line="220" w:lineRule="exact"/>
              <w:ind w:right="168"/>
              <w:jc w:val="right"/>
              <w:rPr>
                <w:sz w:val="20"/>
                <w:szCs w:val="20"/>
              </w:rPr>
            </w:pPr>
            <w:r>
              <w:rPr>
                <w:sz w:val="20"/>
                <w:szCs w:val="20"/>
              </w:rPr>
              <w:t>2, 3</w:t>
            </w:r>
          </w:p>
        </w:tc>
        <w:tc>
          <w:tcPr>
            <w:tcW w:w="4252" w:type="dxa"/>
            <w:shd w:val="clear" w:color="auto" w:fill="auto"/>
          </w:tcPr>
          <w:p w14:paraId="539921B5" w14:textId="77777777" w:rsidR="002139E4" w:rsidRPr="00AA19E8" w:rsidRDefault="002139E4" w:rsidP="001A259A">
            <w:pPr>
              <w:spacing w:before="40" w:after="120" w:line="220" w:lineRule="exact"/>
              <w:rPr>
                <w:sz w:val="20"/>
                <w:szCs w:val="20"/>
              </w:rPr>
            </w:pPr>
            <w:r w:rsidRPr="00AA19E8">
              <w:rPr>
                <w:sz w:val="20"/>
                <w:szCs w:val="20"/>
              </w:rPr>
              <w:t>Annual full-day discussion on the human rights of women</w:t>
            </w:r>
            <w:r>
              <w:rPr>
                <w:sz w:val="20"/>
                <w:szCs w:val="20"/>
              </w:rPr>
              <w:t xml:space="preserve">: </w:t>
            </w:r>
            <w:r w:rsidRPr="00AA19E8">
              <w:rPr>
                <w:sz w:val="20"/>
                <w:szCs w:val="20"/>
              </w:rPr>
              <w:t>report of the Office of the United Nations High Commissioner for Human Rights</w:t>
            </w:r>
          </w:p>
        </w:tc>
      </w:tr>
      <w:tr w:rsidR="002139E4" w:rsidRPr="00E93295" w14:paraId="2A1BFDE3" w14:textId="77777777" w:rsidTr="001A259A">
        <w:trPr>
          <w:trHeight w:val="240"/>
        </w:trPr>
        <w:tc>
          <w:tcPr>
            <w:tcW w:w="2410" w:type="dxa"/>
            <w:shd w:val="clear" w:color="auto" w:fill="auto"/>
          </w:tcPr>
          <w:p w14:paraId="37FA6E19"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36</w:t>
            </w:r>
          </w:p>
        </w:tc>
        <w:tc>
          <w:tcPr>
            <w:tcW w:w="1276" w:type="dxa"/>
            <w:gridSpan w:val="2"/>
            <w:shd w:val="clear" w:color="auto" w:fill="auto"/>
          </w:tcPr>
          <w:p w14:paraId="1D5E82C9" w14:textId="77777777" w:rsidR="002139E4" w:rsidRDefault="002139E4" w:rsidP="001A259A">
            <w:pPr>
              <w:spacing w:before="40" w:after="120" w:line="220" w:lineRule="exact"/>
              <w:ind w:right="168"/>
              <w:jc w:val="right"/>
              <w:rPr>
                <w:sz w:val="20"/>
                <w:szCs w:val="20"/>
              </w:rPr>
            </w:pPr>
            <w:r>
              <w:rPr>
                <w:sz w:val="20"/>
                <w:szCs w:val="20"/>
              </w:rPr>
              <w:t>4</w:t>
            </w:r>
          </w:p>
        </w:tc>
        <w:tc>
          <w:tcPr>
            <w:tcW w:w="4252" w:type="dxa"/>
            <w:shd w:val="clear" w:color="auto" w:fill="auto"/>
          </w:tcPr>
          <w:p w14:paraId="4DCC1A5B" w14:textId="77777777" w:rsidR="002139E4" w:rsidRPr="00AA19E8" w:rsidRDefault="002139E4" w:rsidP="001A259A">
            <w:pPr>
              <w:spacing w:before="40" w:after="120" w:line="220" w:lineRule="exact"/>
              <w:rPr>
                <w:sz w:val="20"/>
                <w:szCs w:val="20"/>
              </w:rPr>
            </w:pPr>
            <w:r w:rsidRPr="005809B8">
              <w:rPr>
                <w:sz w:val="20"/>
                <w:szCs w:val="20"/>
              </w:rPr>
              <w:t>Promoting accountability in the Democratic People</w:t>
            </w:r>
            <w:r>
              <w:rPr>
                <w:sz w:val="20"/>
                <w:szCs w:val="20"/>
              </w:rPr>
              <w:t>’</w:t>
            </w:r>
            <w:r w:rsidRPr="005809B8">
              <w:rPr>
                <w:sz w:val="20"/>
                <w:szCs w:val="20"/>
              </w:rPr>
              <w:t>s Republic of Korea</w:t>
            </w:r>
            <w:r>
              <w:rPr>
                <w:sz w:val="20"/>
                <w:szCs w:val="20"/>
              </w:rPr>
              <w:t>:</w:t>
            </w:r>
            <w:r w:rsidRPr="005809B8">
              <w:rPr>
                <w:sz w:val="20"/>
                <w:szCs w:val="20"/>
              </w:rPr>
              <w:t xml:space="preserve"> report of the United Nations High Commissioner for Human Rights</w:t>
            </w:r>
          </w:p>
        </w:tc>
      </w:tr>
      <w:tr w:rsidR="002139E4" w:rsidRPr="00E93295" w14:paraId="4BA92445" w14:textId="77777777" w:rsidTr="001A259A">
        <w:trPr>
          <w:trHeight w:val="240"/>
        </w:trPr>
        <w:tc>
          <w:tcPr>
            <w:tcW w:w="2410" w:type="dxa"/>
            <w:shd w:val="clear" w:color="auto" w:fill="auto"/>
          </w:tcPr>
          <w:p w14:paraId="0EE7A55D"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37</w:t>
            </w:r>
          </w:p>
        </w:tc>
        <w:tc>
          <w:tcPr>
            <w:tcW w:w="1276" w:type="dxa"/>
            <w:gridSpan w:val="2"/>
            <w:shd w:val="clear" w:color="auto" w:fill="auto"/>
          </w:tcPr>
          <w:p w14:paraId="67BFA797" w14:textId="77777777" w:rsidR="002139E4" w:rsidRDefault="002139E4" w:rsidP="001A259A">
            <w:pPr>
              <w:spacing w:before="40" w:after="120" w:line="220" w:lineRule="exact"/>
              <w:ind w:right="168"/>
              <w:jc w:val="right"/>
              <w:rPr>
                <w:sz w:val="20"/>
                <w:szCs w:val="20"/>
              </w:rPr>
            </w:pPr>
            <w:r>
              <w:rPr>
                <w:sz w:val="20"/>
                <w:szCs w:val="20"/>
              </w:rPr>
              <w:t>2</w:t>
            </w:r>
          </w:p>
        </w:tc>
        <w:tc>
          <w:tcPr>
            <w:tcW w:w="4252" w:type="dxa"/>
            <w:shd w:val="clear" w:color="auto" w:fill="auto"/>
          </w:tcPr>
          <w:p w14:paraId="3E8D3EA5" w14:textId="77777777" w:rsidR="002139E4" w:rsidRPr="001F5241" w:rsidRDefault="002139E4" w:rsidP="001A259A">
            <w:pPr>
              <w:spacing w:before="40" w:after="120" w:line="220" w:lineRule="exact"/>
              <w:rPr>
                <w:sz w:val="20"/>
                <w:szCs w:val="20"/>
              </w:rPr>
            </w:pPr>
            <w:r w:rsidRPr="005809B8">
              <w:rPr>
                <w:sz w:val="20"/>
                <w:szCs w:val="20"/>
              </w:rPr>
              <w:t>Situation of human rights of Rohingya in Rakhine State, Myanmar</w:t>
            </w:r>
            <w:r>
              <w:rPr>
                <w:sz w:val="20"/>
                <w:szCs w:val="20"/>
              </w:rPr>
              <w:t xml:space="preserve">: </w:t>
            </w:r>
            <w:r w:rsidRPr="005809B8">
              <w:rPr>
                <w:sz w:val="20"/>
                <w:szCs w:val="20"/>
              </w:rPr>
              <w:t>report of the United Nations High Commissioner for Human Rights</w:t>
            </w:r>
          </w:p>
        </w:tc>
      </w:tr>
      <w:tr w:rsidR="002139E4" w:rsidRPr="00E93295" w14:paraId="6BB79AA3" w14:textId="77777777" w:rsidTr="001A259A">
        <w:trPr>
          <w:trHeight w:val="240"/>
        </w:trPr>
        <w:tc>
          <w:tcPr>
            <w:tcW w:w="2410" w:type="dxa"/>
            <w:shd w:val="clear" w:color="auto" w:fill="auto"/>
          </w:tcPr>
          <w:p w14:paraId="32E14D39" w14:textId="77777777" w:rsidR="002139E4" w:rsidRPr="00500755" w:rsidRDefault="002139E4" w:rsidP="001A259A">
            <w:pPr>
              <w:spacing w:before="40" w:after="120" w:line="220" w:lineRule="exact"/>
              <w:rPr>
                <w:sz w:val="20"/>
                <w:szCs w:val="20"/>
              </w:rPr>
            </w:pPr>
            <w:r w:rsidRPr="00500755">
              <w:rPr>
                <w:sz w:val="20"/>
                <w:szCs w:val="20"/>
              </w:rPr>
              <w:lastRenderedPageBreak/>
              <w:t>A/HRC/</w:t>
            </w:r>
            <w:r>
              <w:rPr>
                <w:sz w:val="20"/>
                <w:szCs w:val="20"/>
              </w:rPr>
              <w:t>40</w:t>
            </w:r>
            <w:r w:rsidRPr="00500755">
              <w:rPr>
                <w:sz w:val="20"/>
                <w:szCs w:val="20"/>
              </w:rPr>
              <w:t>/</w:t>
            </w:r>
            <w:r>
              <w:rPr>
                <w:sz w:val="20"/>
                <w:szCs w:val="20"/>
              </w:rPr>
              <w:t>38</w:t>
            </w:r>
          </w:p>
        </w:tc>
        <w:tc>
          <w:tcPr>
            <w:tcW w:w="1276" w:type="dxa"/>
            <w:gridSpan w:val="2"/>
            <w:shd w:val="clear" w:color="auto" w:fill="auto"/>
          </w:tcPr>
          <w:p w14:paraId="085C5B9A" w14:textId="77777777" w:rsidR="002139E4" w:rsidRDefault="002139E4" w:rsidP="001A259A">
            <w:pPr>
              <w:spacing w:before="40" w:after="120" w:line="220" w:lineRule="exact"/>
              <w:ind w:right="168"/>
              <w:jc w:val="right"/>
              <w:rPr>
                <w:sz w:val="20"/>
                <w:szCs w:val="20"/>
              </w:rPr>
            </w:pPr>
            <w:r>
              <w:rPr>
                <w:sz w:val="20"/>
                <w:szCs w:val="20"/>
              </w:rPr>
              <w:t>2, 5</w:t>
            </w:r>
          </w:p>
        </w:tc>
        <w:tc>
          <w:tcPr>
            <w:tcW w:w="4252" w:type="dxa"/>
            <w:shd w:val="clear" w:color="auto" w:fill="auto"/>
          </w:tcPr>
          <w:p w14:paraId="5A32D8E4" w14:textId="77777777" w:rsidR="002139E4" w:rsidRPr="005809B8" w:rsidRDefault="002139E4" w:rsidP="001A259A">
            <w:pPr>
              <w:spacing w:before="40" w:after="120" w:line="220" w:lineRule="exact"/>
              <w:rPr>
                <w:sz w:val="20"/>
                <w:szCs w:val="20"/>
              </w:rPr>
            </w:pPr>
            <w:r w:rsidRPr="00AE14CB">
              <w:rPr>
                <w:sz w:val="20"/>
                <w:szCs w:val="20"/>
              </w:rPr>
              <w:t>Report on the twenty-fifth annual meeting of special rapporteurs/representatives, independent experts and chairs of working groups of the special procedures of the Human Rights Council (Geneva, 4 to 8 June 2018), including updated information on special procedures</w:t>
            </w:r>
          </w:p>
        </w:tc>
      </w:tr>
      <w:tr w:rsidR="002139E4" w:rsidRPr="00E93295" w14:paraId="0F0A1A8F" w14:textId="77777777" w:rsidTr="001A259A">
        <w:trPr>
          <w:trHeight w:val="240"/>
        </w:trPr>
        <w:tc>
          <w:tcPr>
            <w:tcW w:w="2410" w:type="dxa"/>
            <w:shd w:val="clear" w:color="auto" w:fill="auto"/>
          </w:tcPr>
          <w:p w14:paraId="7DB44A0F"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38/Add.1</w:t>
            </w:r>
          </w:p>
        </w:tc>
        <w:tc>
          <w:tcPr>
            <w:tcW w:w="1276" w:type="dxa"/>
            <w:gridSpan w:val="2"/>
            <w:shd w:val="clear" w:color="auto" w:fill="auto"/>
          </w:tcPr>
          <w:p w14:paraId="088A228E" w14:textId="77777777" w:rsidR="002139E4" w:rsidRDefault="002139E4" w:rsidP="001A259A">
            <w:pPr>
              <w:spacing w:before="40" w:after="120" w:line="220" w:lineRule="exact"/>
              <w:ind w:right="168"/>
              <w:jc w:val="right"/>
              <w:rPr>
                <w:sz w:val="20"/>
                <w:szCs w:val="20"/>
              </w:rPr>
            </w:pPr>
            <w:r>
              <w:rPr>
                <w:sz w:val="20"/>
                <w:szCs w:val="20"/>
              </w:rPr>
              <w:t>2, 5</w:t>
            </w:r>
          </w:p>
        </w:tc>
        <w:tc>
          <w:tcPr>
            <w:tcW w:w="4252" w:type="dxa"/>
            <w:shd w:val="clear" w:color="auto" w:fill="auto"/>
          </w:tcPr>
          <w:p w14:paraId="365C53DD" w14:textId="77777777" w:rsidR="002139E4" w:rsidRPr="005809B8" w:rsidRDefault="002139E4" w:rsidP="001A259A">
            <w:pPr>
              <w:spacing w:before="40" w:after="120" w:line="220" w:lineRule="exact"/>
              <w:rPr>
                <w:sz w:val="20"/>
                <w:szCs w:val="20"/>
              </w:rPr>
            </w:pPr>
            <w:r w:rsidRPr="00AE14CB">
              <w:rPr>
                <w:sz w:val="20"/>
                <w:szCs w:val="20"/>
              </w:rPr>
              <w:t>Facts and figures with regard to the special procedures in 2018</w:t>
            </w:r>
          </w:p>
        </w:tc>
      </w:tr>
      <w:tr w:rsidR="002139E4" w:rsidRPr="00E93295" w14:paraId="59CA4650" w14:textId="77777777" w:rsidTr="001A259A">
        <w:trPr>
          <w:trHeight w:val="240"/>
        </w:trPr>
        <w:tc>
          <w:tcPr>
            <w:tcW w:w="2410" w:type="dxa"/>
            <w:shd w:val="clear" w:color="auto" w:fill="auto"/>
          </w:tcPr>
          <w:p w14:paraId="11A98830"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39</w:t>
            </w:r>
          </w:p>
        </w:tc>
        <w:tc>
          <w:tcPr>
            <w:tcW w:w="1276" w:type="dxa"/>
            <w:gridSpan w:val="2"/>
            <w:shd w:val="clear" w:color="auto" w:fill="auto"/>
          </w:tcPr>
          <w:p w14:paraId="2FDA61AB" w14:textId="77777777" w:rsidR="002139E4" w:rsidRDefault="002139E4" w:rsidP="001A259A">
            <w:pPr>
              <w:spacing w:before="40" w:after="120" w:line="220" w:lineRule="exact"/>
              <w:ind w:right="168"/>
              <w:jc w:val="right"/>
              <w:rPr>
                <w:sz w:val="20"/>
                <w:szCs w:val="20"/>
              </w:rPr>
            </w:pPr>
            <w:r>
              <w:rPr>
                <w:sz w:val="20"/>
                <w:szCs w:val="20"/>
              </w:rPr>
              <w:t>2, 7</w:t>
            </w:r>
          </w:p>
        </w:tc>
        <w:tc>
          <w:tcPr>
            <w:tcW w:w="4252" w:type="dxa"/>
            <w:shd w:val="clear" w:color="auto" w:fill="auto"/>
          </w:tcPr>
          <w:p w14:paraId="67E1BADB" w14:textId="77777777" w:rsidR="002139E4" w:rsidRPr="005809B8" w:rsidRDefault="002139E4" w:rsidP="001A259A">
            <w:pPr>
              <w:spacing w:before="40" w:after="120" w:line="220" w:lineRule="exact"/>
              <w:rPr>
                <w:sz w:val="20"/>
                <w:szCs w:val="20"/>
              </w:rPr>
            </w:pPr>
            <w:r w:rsidRPr="004629B8">
              <w:rPr>
                <w:sz w:val="20"/>
                <w:szCs w:val="20"/>
              </w:rPr>
              <w:t xml:space="preserve">Implementation of Human Rights Council </w:t>
            </w:r>
            <w:r>
              <w:rPr>
                <w:sz w:val="20"/>
                <w:szCs w:val="20"/>
              </w:rPr>
              <w:t>r</w:t>
            </w:r>
            <w:r w:rsidRPr="004629B8">
              <w:rPr>
                <w:sz w:val="20"/>
                <w:szCs w:val="20"/>
              </w:rPr>
              <w:t>esolutions S-9/1 and S-12/1</w:t>
            </w:r>
            <w:r>
              <w:rPr>
                <w:sz w:val="20"/>
                <w:szCs w:val="20"/>
              </w:rPr>
              <w:t xml:space="preserve">: </w:t>
            </w:r>
            <w:r w:rsidRPr="004629B8">
              <w:rPr>
                <w:sz w:val="20"/>
                <w:szCs w:val="20"/>
              </w:rPr>
              <w:t>report of the United Nations High Commissioner for Human Rights</w:t>
            </w:r>
          </w:p>
        </w:tc>
      </w:tr>
      <w:tr w:rsidR="002139E4" w:rsidRPr="00E93295" w14:paraId="51A895E2" w14:textId="77777777" w:rsidTr="001A259A">
        <w:trPr>
          <w:trHeight w:val="240"/>
        </w:trPr>
        <w:tc>
          <w:tcPr>
            <w:tcW w:w="2410" w:type="dxa"/>
            <w:shd w:val="clear" w:color="auto" w:fill="auto"/>
          </w:tcPr>
          <w:p w14:paraId="3FF85456"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41</w:t>
            </w:r>
          </w:p>
        </w:tc>
        <w:tc>
          <w:tcPr>
            <w:tcW w:w="1276" w:type="dxa"/>
            <w:gridSpan w:val="2"/>
            <w:shd w:val="clear" w:color="auto" w:fill="auto"/>
          </w:tcPr>
          <w:p w14:paraId="34C848F3" w14:textId="77777777" w:rsidR="002139E4" w:rsidRDefault="002139E4" w:rsidP="001A259A">
            <w:pPr>
              <w:spacing w:before="40" w:after="120" w:line="220" w:lineRule="exact"/>
              <w:ind w:right="168"/>
              <w:jc w:val="right"/>
              <w:rPr>
                <w:sz w:val="20"/>
                <w:szCs w:val="20"/>
              </w:rPr>
            </w:pPr>
            <w:r>
              <w:rPr>
                <w:sz w:val="20"/>
                <w:szCs w:val="20"/>
              </w:rPr>
              <w:t>2, 7</w:t>
            </w:r>
          </w:p>
        </w:tc>
        <w:tc>
          <w:tcPr>
            <w:tcW w:w="4252" w:type="dxa"/>
            <w:shd w:val="clear" w:color="auto" w:fill="auto"/>
          </w:tcPr>
          <w:p w14:paraId="02A366BA" w14:textId="77777777" w:rsidR="002139E4" w:rsidRPr="001F5241" w:rsidRDefault="002139E4" w:rsidP="001A259A">
            <w:pPr>
              <w:spacing w:before="40" w:after="120" w:line="220" w:lineRule="exact"/>
              <w:rPr>
                <w:sz w:val="20"/>
                <w:szCs w:val="20"/>
              </w:rPr>
            </w:pPr>
            <w:r w:rsidRPr="004629B8">
              <w:rPr>
                <w:sz w:val="20"/>
                <w:szCs w:val="20"/>
              </w:rPr>
              <w:t>Human rights in the occupied Syrian Golan</w:t>
            </w:r>
            <w:r>
              <w:rPr>
                <w:sz w:val="20"/>
                <w:szCs w:val="20"/>
              </w:rPr>
              <w:t xml:space="preserve">: </w:t>
            </w:r>
            <w:r w:rsidRPr="004629B8">
              <w:rPr>
                <w:sz w:val="20"/>
                <w:szCs w:val="20"/>
              </w:rPr>
              <w:t>report of the Secretary-General</w:t>
            </w:r>
          </w:p>
        </w:tc>
      </w:tr>
      <w:tr w:rsidR="002139E4" w:rsidRPr="00E93295" w14:paraId="4E1F3FF3" w14:textId="77777777" w:rsidTr="001A259A">
        <w:trPr>
          <w:trHeight w:val="240"/>
        </w:trPr>
        <w:tc>
          <w:tcPr>
            <w:tcW w:w="2410" w:type="dxa"/>
            <w:shd w:val="clear" w:color="auto" w:fill="auto"/>
          </w:tcPr>
          <w:p w14:paraId="4B8ACE4D"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42</w:t>
            </w:r>
          </w:p>
        </w:tc>
        <w:tc>
          <w:tcPr>
            <w:tcW w:w="1276" w:type="dxa"/>
            <w:gridSpan w:val="2"/>
            <w:shd w:val="clear" w:color="auto" w:fill="auto"/>
          </w:tcPr>
          <w:p w14:paraId="27195097" w14:textId="77777777" w:rsidR="002139E4" w:rsidRDefault="002139E4" w:rsidP="001A259A">
            <w:pPr>
              <w:spacing w:before="40" w:after="120" w:line="220" w:lineRule="exact"/>
              <w:ind w:right="168"/>
              <w:jc w:val="right"/>
              <w:rPr>
                <w:sz w:val="20"/>
                <w:szCs w:val="20"/>
              </w:rPr>
            </w:pPr>
            <w:r>
              <w:rPr>
                <w:sz w:val="20"/>
                <w:szCs w:val="20"/>
              </w:rPr>
              <w:t>2, 7</w:t>
            </w:r>
          </w:p>
        </w:tc>
        <w:tc>
          <w:tcPr>
            <w:tcW w:w="4252" w:type="dxa"/>
            <w:shd w:val="clear" w:color="auto" w:fill="auto"/>
          </w:tcPr>
          <w:p w14:paraId="11358AEC" w14:textId="77777777" w:rsidR="002139E4" w:rsidRPr="001F5241" w:rsidRDefault="002139E4" w:rsidP="001A259A">
            <w:pPr>
              <w:spacing w:before="40" w:after="120" w:line="220" w:lineRule="exact"/>
              <w:rPr>
                <w:sz w:val="20"/>
                <w:szCs w:val="20"/>
              </w:rPr>
            </w:pPr>
            <w:r w:rsidRPr="004629B8">
              <w:rPr>
                <w:sz w:val="20"/>
                <w:szCs w:val="20"/>
              </w:rPr>
              <w:t>Israeli settlements in the Occupied Palestinian Territory, including East Jerusalem, and in the occupied Syrian Golan</w:t>
            </w:r>
            <w:r>
              <w:rPr>
                <w:sz w:val="20"/>
                <w:szCs w:val="20"/>
              </w:rPr>
              <w:t xml:space="preserve">: </w:t>
            </w:r>
            <w:r w:rsidRPr="004629B8">
              <w:rPr>
                <w:sz w:val="20"/>
                <w:szCs w:val="20"/>
              </w:rPr>
              <w:t>report of the United Nations High Commissioner for Human Rights</w:t>
            </w:r>
          </w:p>
        </w:tc>
      </w:tr>
      <w:tr w:rsidR="002139E4" w:rsidRPr="00E93295" w14:paraId="6DF6DC83" w14:textId="77777777" w:rsidTr="001A259A">
        <w:trPr>
          <w:trHeight w:val="240"/>
        </w:trPr>
        <w:tc>
          <w:tcPr>
            <w:tcW w:w="2410" w:type="dxa"/>
            <w:shd w:val="clear" w:color="auto" w:fill="auto"/>
          </w:tcPr>
          <w:p w14:paraId="1FE51A4E"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43</w:t>
            </w:r>
          </w:p>
        </w:tc>
        <w:tc>
          <w:tcPr>
            <w:tcW w:w="1276" w:type="dxa"/>
            <w:gridSpan w:val="2"/>
            <w:shd w:val="clear" w:color="auto" w:fill="auto"/>
          </w:tcPr>
          <w:p w14:paraId="332EF1B0" w14:textId="77777777" w:rsidR="002139E4" w:rsidRDefault="002139E4" w:rsidP="001A259A">
            <w:pPr>
              <w:spacing w:before="40" w:after="120" w:line="220" w:lineRule="exact"/>
              <w:ind w:right="168"/>
              <w:jc w:val="right"/>
              <w:rPr>
                <w:sz w:val="20"/>
                <w:szCs w:val="20"/>
              </w:rPr>
            </w:pPr>
            <w:r>
              <w:rPr>
                <w:sz w:val="20"/>
                <w:szCs w:val="20"/>
              </w:rPr>
              <w:t>2, 7</w:t>
            </w:r>
          </w:p>
        </w:tc>
        <w:tc>
          <w:tcPr>
            <w:tcW w:w="4252" w:type="dxa"/>
            <w:shd w:val="clear" w:color="auto" w:fill="auto"/>
          </w:tcPr>
          <w:p w14:paraId="2AFAAE20" w14:textId="77777777" w:rsidR="002139E4" w:rsidRPr="001F5241" w:rsidRDefault="002139E4" w:rsidP="001A259A">
            <w:pPr>
              <w:spacing w:before="40" w:after="120" w:line="220" w:lineRule="exact"/>
              <w:rPr>
                <w:sz w:val="20"/>
                <w:szCs w:val="20"/>
              </w:rPr>
            </w:pPr>
            <w:r w:rsidRPr="004629B8">
              <w:rPr>
                <w:sz w:val="20"/>
                <w:szCs w:val="20"/>
              </w:rPr>
              <w:t>Ensuring accountability and justice for all violations of international law in the Occupied Palestinian Territory, including East Jerusalem</w:t>
            </w:r>
            <w:r>
              <w:rPr>
                <w:sz w:val="20"/>
                <w:szCs w:val="20"/>
              </w:rPr>
              <w:t xml:space="preserve">: </w:t>
            </w:r>
            <w:r w:rsidRPr="004629B8">
              <w:rPr>
                <w:sz w:val="20"/>
                <w:szCs w:val="20"/>
              </w:rPr>
              <w:t>report of the United Nations High Commissioner for Human Rights</w:t>
            </w:r>
          </w:p>
        </w:tc>
      </w:tr>
      <w:tr w:rsidR="002139E4" w:rsidRPr="00E93295" w14:paraId="68562304" w14:textId="77777777" w:rsidTr="001A259A">
        <w:trPr>
          <w:trHeight w:val="240"/>
        </w:trPr>
        <w:tc>
          <w:tcPr>
            <w:tcW w:w="2410" w:type="dxa"/>
            <w:shd w:val="clear" w:color="auto" w:fill="auto"/>
          </w:tcPr>
          <w:p w14:paraId="32767418"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44</w:t>
            </w:r>
          </w:p>
        </w:tc>
        <w:tc>
          <w:tcPr>
            <w:tcW w:w="1276" w:type="dxa"/>
            <w:gridSpan w:val="2"/>
            <w:shd w:val="clear" w:color="auto" w:fill="auto"/>
          </w:tcPr>
          <w:p w14:paraId="055082C8" w14:textId="77777777" w:rsidR="002139E4" w:rsidRDefault="002139E4" w:rsidP="001A259A">
            <w:pPr>
              <w:spacing w:before="40" w:after="120" w:line="220" w:lineRule="exact"/>
              <w:ind w:right="168"/>
              <w:jc w:val="right"/>
              <w:rPr>
                <w:sz w:val="20"/>
                <w:szCs w:val="20"/>
              </w:rPr>
            </w:pPr>
            <w:r>
              <w:rPr>
                <w:sz w:val="20"/>
                <w:szCs w:val="20"/>
              </w:rPr>
              <w:t>2, 9</w:t>
            </w:r>
          </w:p>
        </w:tc>
        <w:tc>
          <w:tcPr>
            <w:tcW w:w="4252" w:type="dxa"/>
            <w:shd w:val="clear" w:color="auto" w:fill="auto"/>
          </w:tcPr>
          <w:p w14:paraId="7CB5DFC2" w14:textId="77777777" w:rsidR="002139E4" w:rsidRPr="001F5241" w:rsidRDefault="002139E4" w:rsidP="001A259A">
            <w:pPr>
              <w:spacing w:before="40" w:after="120" w:line="220" w:lineRule="exact"/>
              <w:rPr>
                <w:sz w:val="20"/>
                <w:szCs w:val="20"/>
              </w:rPr>
            </w:pPr>
            <w:r w:rsidRPr="004629B8">
              <w:rPr>
                <w:sz w:val="20"/>
                <w:szCs w:val="20"/>
              </w:rPr>
              <w:t>Combating intolerance, negative stereotyping, stigmatization, discrimination, incitement to violence and violence against persons, based on religion or belief</w:t>
            </w:r>
            <w:r>
              <w:rPr>
                <w:sz w:val="20"/>
                <w:szCs w:val="20"/>
              </w:rPr>
              <w:t xml:space="preserve">: </w:t>
            </w:r>
            <w:r w:rsidRPr="004629B8">
              <w:rPr>
                <w:sz w:val="20"/>
                <w:szCs w:val="20"/>
              </w:rPr>
              <w:t>report of the Office of the United Nations High Commissioner for Human Rights</w:t>
            </w:r>
          </w:p>
        </w:tc>
      </w:tr>
      <w:tr w:rsidR="002139E4" w:rsidRPr="00E93295" w14:paraId="6D3713A2" w14:textId="77777777" w:rsidTr="001A259A">
        <w:trPr>
          <w:trHeight w:val="240"/>
        </w:trPr>
        <w:tc>
          <w:tcPr>
            <w:tcW w:w="2410" w:type="dxa"/>
            <w:shd w:val="clear" w:color="auto" w:fill="auto"/>
          </w:tcPr>
          <w:p w14:paraId="4B8A2EF0"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45</w:t>
            </w:r>
          </w:p>
        </w:tc>
        <w:tc>
          <w:tcPr>
            <w:tcW w:w="1276" w:type="dxa"/>
            <w:gridSpan w:val="2"/>
            <w:shd w:val="clear" w:color="auto" w:fill="auto"/>
          </w:tcPr>
          <w:p w14:paraId="0F3788E7" w14:textId="77777777" w:rsidR="002139E4" w:rsidRDefault="002139E4" w:rsidP="001A259A">
            <w:pPr>
              <w:spacing w:before="40" w:after="120" w:line="220" w:lineRule="exact"/>
              <w:ind w:right="168"/>
              <w:jc w:val="right"/>
              <w:rPr>
                <w:sz w:val="20"/>
                <w:szCs w:val="20"/>
              </w:rPr>
            </w:pPr>
            <w:r>
              <w:rPr>
                <w:sz w:val="20"/>
                <w:szCs w:val="20"/>
              </w:rPr>
              <w:t>2, 10</w:t>
            </w:r>
          </w:p>
        </w:tc>
        <w:tc>
          <w:tcPr>
            <w:tcW w:w="4252" w:type="dxa"/>
            <w:shd w:val="clear" w:color="auto" w:fill="auto"/>
          </w:tcPr>
          <w:p w14:paraId="608BC5FB" w14:textId="77777777" w:rsidR="002139E4" w:rsidRPr="001F5241" w:rsidRDefault="002139E4" w:rsidP="001A259A">
            <w:pPr>
              <w:spacing w:before="40" w:after="120" w:line="220" w:lineRule="exact"/>
              <w:rPr>
                <w:sz w:val="20"/>
                <w:szCs w:val="20"/>
              </w:rPr>
            </w:pPr>
            <w:r w:rsidRPr="004629B8">
              <w:rPr>
                <w:sz w:val="20"/>
                <w:szCs w:val="20"/>
              </w:rPr>
              <w:t>The situation of human rights in Afghanistan and technical assistance achievements in the field of human rights</w:t>
            </w:r>
            <w:r>
              <w:rPr>
                <w:sz w:val="20"/>
                <w:szCs w:val="20"/>
              </w:rPr>
              <w:t xml:space="preserve">: </w:t>
            </w:r>
            <w:r w:rsidRPr="004629B8">
              <w:rPr>
                <w:sz w:val="20"/>
                <w:szCs w:val="20"/>
              </w:rPr>
              <w:t>report of the United Nations High Commissioner for Human Rights</w:t>
            </w:r>
          </w:p>
        </w:tc>
      </w:tr>
      <w:tr w:rsidR="002139E4" w:rsidRPr="00E93295" w14:paraId="73E7F58D" w14:textId="77777777" w:rsidTr="001A259A">
        <w:trPr>
          <w:trHeight w:val="240"/>
        </w:trPr>
        <w:tc>
          <w:tcPr>
            <w:tcW w:w="2410" w:type="dxa"/>
            <w:shd w:val="clear" w:color="auto" w:fill="auto"/>
          </w:tcPr>
          <w:p w14:paraId="74F92BCE"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46</w:t>
            </w:r>
          </w:p>
        </w:tc>
        <w:tc>
          <w:tcPr>
            <w:tcW w:w="1276" w:type="dxa"/>
            <w:gridSpan w:val="2"/>
            <w:shd w:val="clear" w:color="auto" w:fill="auto"/>
          </w:tcPr>
          <w:p w14:paraId="161264B7" w14:textId="77777777" w:rsidR="002139E4" w:rsidRDefault="002139E4" w:rsidP="001A259A">
            <w:pPr>
              <w:spacing w:before="40" w:after="120" w:line="220" w:lineRule="exact"/>
              <w:ind w:right="168"/>
              <w:jc w:val="right"/>
              <w:rPr>
                <w:sz w:val="20"/>
                <w:szCs w:val="20"/>
              </w:rPr>
            </w:pPr>
            <w:r>
              <w:rPr>
                <w:sz w:val="20"/>
                <w:szCs w:val="20"/>
              </w:rPr>
              <w:t>2, 10</w:t>
            </w:r>
          </w:p>
        </w:tc>
        <w:tc>
          <w:tcPr>
            <w:tcW w:w="4252" w:type="dxa"/>
            <w:shd w:val="clear" w:color="auto" w:fill="auto"/>
          </w:tcPr>
          <w:p w14:paraId="5AAE8317" w14:textId="77777777" w:rsidR="002139E4" w:rsidRPr="004629B8" w:rsidRDefault="002139E4" w:rsidP="001A259A">
            <w:pPr>
              <w:spacing w:before="40" w:after="120" w:line="220" w:lineRule="exact"/>
              <w:rPr>
                <w:sz w:val="20"/>
                <w:szCs w:val="20"/>
              </w:rPr>
            </w:pPr>
            <w:r w:rsidRPr="004629B8">
              <w:rPr>
                <w:sz w:val="20"/>
                <w:szCs w:val="20"/>
              </w:rPr>
              <w:t>Situation of human rights in Libya, including the implementation of technical assistance and capacity-building and efforts to prevent and ensure accountability for violations and abuses of human rights</w:t>
            </w:r>
            <w:r>
              <w:rPr>
                <w:sz w:val="20"/>
                <w:szCs w:val="20"/>
              </w:rPr>
              <w:t xml:space="preserve">: </w:t>
            </w:r>
            <w:r w:rsidRPr="004629B8">
              <w:rPr>
                <w:sz w:val="20"/>
                <w:szCs w:val="20"/>
              </w:rPr>
              <w:t>report of the United Nations High Commissioner for Human Rights</w:t>
            </w:r>
          </w:p>
        </w:tc>
      </w:tr>
      <w:tr w:rsidR="002139E4" w:rsidRPr="00E93295" w14:paraId="02826FD1" w14:textId="77777777" w:rsidTr="001A259A">
        <w:trPr>
          <w:trHeight w:val="240"/>
        </w:trPr>
        <w:tc>
          <w:tcPr>
            <w:tcW w:w="2410" w:type="dxa"/>
            <w:shd w:val="clear" w:color="auto" w:fill="auto"/>
          </w:tcPr>
          <w:p w14:paraId="24C40727"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47</w:t>
            </w:r>
          </w:p>
        </w:tc>
        <w:tc>
          <w:tcPr>
            <w:tcW w:w="1276" w:type="dxa"/>
            <w:gridSpan w:val="2"/>
            <w:shd w:val="clear" w:color="auto" w:fill="auto"/>
          </w:tcPr>
          <w:p w14:paraId="0F53306C" w14:textId="77777777" w:rsidR="002139E4" w:rsidRDefault="002139E4" w:rsidP="001A259A">
            <w:pPr>
              <w:spacing w:before="40" w:after="120" w:line="220" w:lineRule="exact"/>
              <w:ind w:right="168"/>
              <w:jc w:val="right"/>
              <w:rPr>
                <w:sz w:val="20"/>
                <w:szCs w:val="20"/>
              </w:rPr>
            </w:pPr>
            <w:r>
              <w:rPr>
                <w:sz w:val="20"/>
                <w:szCs w:val="20"/>
              </w:rPr>
              <w:t>10</w:t>
            </w:r>
          </w:p>
        </w:tc>
        <w:tc>
          <w:tcPr>
            <w:tcW w:w="4252" w:type="dxa"/>
            <w:shd w:val="clear" w:color="auto" w:fill="auto"/>
          </w:tcPr>
          <w:p w14:paraId="05755D21" w14:textId="77777777" w:rsidR="002139E4" w:rsidRPr="004629B8" w:rsidRDefault="002139E4" w:rsidP="001A259A">
            <w:pPr>
              <w:spacing w:before="40" w:after="120" w:line="220" w:lineRule="exact"/>
              <w:rPr>
                <w:sz w:val="20"/>
                <w:szCs w:val="20"/>
              </w:rPr>
            </w:pPr>
            <w:r w:rsidRPr="004629B8">
              <w:rPr>
                <w:sz w:val="20"/>
                <w:szCs w:val="20"/>
              </w:rPr>
              <w:t>Report on the situation of human rights in the Democratic Republic of the Congo before, during and after the elections of December 2018</w:t>
            </w:r>
            <w:r>
              <w:rPr>
                <w:sz w:val="20"/>
                <w:szCs w:val="20"/>
              </w:rPr>
              <w:t xml:space="preserve">: </w:t>
            </w:r>
            <w:r w:rsidRPr="004629B8">
              <w:rPr>
                <w:sz w:val="20"/>
                <w:szCs w:val="20"/>
              </w:rPr>
              <w:t>report of the Office of the United Nations High Commissioner for Human Rights</w:t>
            </w:r>
          </w:p>
        </w:tc>
      </w:tr>
      <w:tr w:rsidR="002139E4" w:rsidRPr="00E93295" w14:paraId="5463FBCA" w14:textId="77777777" w:rsidTr="001A259A">
        <w:trPr>
          <w:trHeight w:val="240"/>
        </w:trPr>
        <w:tc>
          <w:tcPr>
            <w:tcW w:w="2410" w:type="dxa"/>
            <w:shd w:val="clear" w:color="auto" w:fill="auto"/>
          </w:tcPr>
          <w:p w14:paraId="61085A93"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48</w:t>
            </w:r>
          </w:p>
        </w:tc>
        <w:tc>
          <w:tcPr>
            <w:tcW w:w="1276" w:type="dxa"/>
            <w:gridSpan w:val="2"/>
            <w:shd w:val="clear" w:color="auto" w:fill="auto"/>
          </w:tcPr>
          <w:p w14:paraId="18879558"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24791694" w14:textId="77777777" w:rsidR="002139E4" w:rsidRPr="004629B8" w:rsidRDefault="002139E4" w:rsidP="001A259A">
            <w:pPr>
              <w:spacing w:before="40" w:after="120" w:line="220" w:lineRule="exact"/>
              <w:rPr>
                <w:sz w:val="20"/>
                <w:szCs w:val="20"/>
              </w:rPr>
            </w:pPr>
            <w:r w:rsidRPr="0082660C">
              <w:rPr>
                <w:sz w:val="20"/>
                <w:szCs w:val="20"/>
              </w:rPr>
              <w:t>Report on the fourth session of the open-ended intergovernmental working group on transnational corporations and other business enterprises with respect to human rights</w:t>
            </w:r>
          </w:p>
        </w:tc>
      </w:tr>
      <w:tr w:rsidR="002139E4" w:rsidRPr="00E93295" w14:paraId="68D009E6" w14:textId="77777777" w:rsidTr="001A259A">
        <w:trPr>
          <w:trHeight w:val="240"/>
        </w:trPr>
        <w:tc>
          <w:tcPr>
            <w:tcW w:w="2410" w:type="dxa"/>
            <w:shd w:val="clear" w:color="auto" w:fill="auto"/>
          </w:tcPr>
          <w:p w14:paraId="1ABF4DED" w14:textId="77777777" w:rsidR="002139E4" w:rsidRPr="00500755" w:rsidRDefault="002139E4" w:rsidP="001A259A">
            <w:pPr>
              <w:spacing w:before="40" w:after="120" w:line="220" w:lineRule="exact"/>
              <w:rPr>
                <w:sz w:val="20"/>
                <w:szCs w:val="20"/>
              </w:rPr>
            </w:pPr>
            <w:r w:rsidRPr="00500755">
              <w:rPr>
                <w:sz w:val="20"/>
                <w:szCs w:val="20"/>
              </w:rPr>
              <w:lastRenderedPageBreak/>
              <w:t>A/HRC/</w:t>
            </w:r>
            <w:r>
              <w:rPr>
                <w:sz w:val="20"/>
                <w:szCs w:val="20"/>
              </w:rPr>
              <w:t>40</w:t>
            </w:r>
            <w:r w:rsidRPr="00500755">
              <w:rPr>
                <w:sz w:val="20"/>
                <w:szCs w:val="20"/>
              </w:rPr>
              <w:t>/</w:t>
            </w:r>
            <w:r>
              <w:rPr>
                <w:sz w:val="20"/>
                <w:szCs w:val="20"/>
              </w:rPr>
              <w:t>49</w:t>
            </w:r>
          </w:p>
        </w:tc>
        <w:tc>
          <w:tcPr>
            <w:tcW w:w="1276" w:type="dxa"/>
            <w:gridSpan w:val="2"/>
            <w:shd w:val="clear" w:color="auto" w:fill="auto"/>
          </w:tcPr>
          <w:p w14:paraId="381D32E6"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53366510" w14:textId="77777777" w:rsidR="002139E4" w:rsidRPr="004629B8" w:rsidRDefault="002139E4" w:rsidP="001A259A">
            <w:pPr>
              <w:spacing w:before="40" w:after="120" w:line="220" w:lineRule="exact"/>
              <w:rPr>
                <w:sz w:val="20"/>
                <w:szCs w:val="20"/>
              </w:rPr>
            </w:pPr>
            <w:r w:rsidRPr="00DC45CD">
              <w:rPr>
                <w:sz w:val="20"/>
                <w:szCs w:val="20"/>
              </w:rPr>
              <w:t>Children and armed conflict</w:t>
            </w:r>
            <w:r>
              <w:rPr>
                <w:sz w:val="20"/>
                <w:szCs w:val="20"/>
              </w:rPr>
              <w:t xml:space="preserve">: </w:t>
            </w:r>
            <w:r w:rsidRPr="00DC45CD">
              <w:rPr>
                <w:sz w:val="20"/>
                <w:szCs w:val="20"/>
              </w:rPr>
              <w:t>report of the Special Representative of the Secretary-General for Children and Armed Conflict</w:t>
            </w:r>
          </w:p>
        </w:tc>
      </w:tr>
      <w:tr w:rsidR="002139E4" w:rsidRPr="00E93295" w14:paraId="26067B64" w14:textId="77777777" w:rsidTr="001A259A">
        <w:trPr>
          <w:trHeight w:val="240"/>
        </w:trPr>
        <w:tc>
          <w:tcPr>
            <w:tcW w:w="2410" w:type="dxa"/>
            <w:shd w:val="clear" w:color="auto" w:fill="auto"/>
          </w:tcPr>
          <w:p w14:paraId="1018BCC3"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50</w:t>
            </w:r>
          </w:p>
        </w:tc>
        <w:tc>
          <w:tcPr>
            <w:tcW w:w="1276" w:type="dxa"/>
            <w:gridSpan w:val="2"/>
            <w:shd w:val="clear" w:color="auto" w:fill="auto"/>
          </w:tcPr>
          <w:p w14:paraId="200E3027"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5B59FB31" w14:textId="77777777" w:rsidR="002139E4" w:rsidRPr="004629B8" w:rsidRDefault="002139E4" w:rsidP="001A259A">
            <w:pPr>
              <w:spacing w:before="40" w:after="120" w:line="220" w:lineRule="exact"/>
              <w:rPr>
                <w:sz w:val="20"/>
                <w:szCs w:val="20"/>
              </w:rPr>
            </w:pPr>
            <w:r w:rsidRPr="007757B0">
              <w:rPr>
                <w:sz w:val="20"/>
                <w:szCs w:val="20"/>
              </w:rPr>
              <w:t>Violence against children</w:t>
            </w:r>
            <w:r>
              <w:rPr>
                <w:sz w:val="20"/>
                <w:szCs w:val="20"/>
              </w:rPr>
              <w:t>: r</w:t>
            </w:r>
            <w:r w:rsidRPr="007757B0">
              <w:rPr>
                <w:sz w:val="20"/>
                <w:szCs w:val="20"/>
              </w:rPr>
              <w:t>eport of the Special Representative of the Secretary-General on Violence against Children</w:t>
            </w:r>
          </w:p>
        </w:tc>
      </w:tr>
      <w:tr w:rsidR="002139E4" w:rsidRPr="00E93295" w14:paraId="41378765" w14:textId="77777777" w:rsidTr="001A259A">
        <w:trPr>
          <w:trHeight w:val="240"/>
        </w:trPr>
        <w:tc>
          <w:tcPr>
            <w:tcW w:w="2410" w:type="dxa"/>
            <w:shd w:val="clear" w:color="auto" w:fill="auto"/>
          </w:tcPr>
          <w:p w14:paraId="61B87714"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51</w:t>
            </w:r>
          </w:p>
        </w:tc>
        <w:tc>
          <w:tcPr>
            <w:tcW w:w="1276" w:type="dxa"/>
            <w:gridSpan w:val="2"/>
            <w:shd w:val="clear" w:color="auto" w:fill="auto"/>
          </w:tcPr>
          <w:p w14:paraId="7CBD2C9A"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00651732" w14:textId="77777777" w:rsidR="002139E4" w:rsidRPr="004629B8" w:rsidRDefault="002139E4" w:rsidP="001A259A">
            <w:pPr>
              <w:spacing w:before="40" w:after="120" w:line="220" w:lineRule="exact"/>
              <w:rPr>
                <w:sz w:val="20"/>
                <w:szCs w:val="20"/>
              </w:rPr>
            </w:pPr>
            <w:r w:rsidRPr="007757B0">
              <w:rPr>
                <w:sz w:val="20"/>
                <w:szCs w:val="20"/>
              </w:rPr>
              <w:t xml:space="preserve">Report of the Special Rapporteur </w:t>
            </w:r>
            <w:r>
              <w:rPr>
                <w:sz w:val="20"/>
                <w:szCs w:val="20"/>
              </w:rPr>
              <w:t>on the s</w:t>
            </w:r>
            <w:r w:rsidRPr="007757B0">
              <w:rPr>
                <w:sz w:val="20"/>
                <w:szCs w:val="20"/>
              </w:rPr>
              <w:t>ale and sexual exploitation of children, including child prostitution, child pornography and other child sexual abuse material</w:t>
            </w:r>
          </w:p>
        </w:tc>
      </w:tr>
      <w:tr w:rsidR="002139E4" w:rsidRPr="00E93295" w14:paraId="6398A3C4" w14:textId="77777777" w:rsidTr="001A259A">
        <w:trPr>
          <w:trHeight w:val="240"/>
        </w:trPr>
        <w:tc>
          <w:tcPr>
            <w:tcW w:w="2410" w:type="dxa"/>
            <w:shd w:val="clear" w:color="auto" w:fill="auto"/>
          </w:tcPr>
          <w:p w14:paraId="0A520A4F"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51/Add.1</w:t>
            </w:r>
          </w:p>
        </w:tc>
        <w:tc>
          <w:tcPr>
            <w:tcW w:w="1276" w:type="dxa"/>
            <w:gridSpan w:val="2"/>
            <w:shd w:val="clear" w:color="auto" w:fill="auto"/>
          </w:tcPr>
          <w:p w14:paraId="086227AF"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389913C8" w14:textId="77777777" w:rsidR="002139E4" w:rsidRPr="004629B8" w:rsidRDefault="002139E4" w:rsidP="001A259A">
            <w:pPr>
              <w:spacing w:before="40" w:after="120" w:line="220" w:lineRule="exact"/>
              <w:rPr>
                <w:sz w:val="20"/>
                <w:szCs w:val="20"/>
              </w:rPr>
            </w:pPr>
            <w:r w:rsidRPr="007757B0">
              <w:rPr>
                <w:sz w:val="20"/>
                <w:szCs w:val="20"/>
              </w:rPr>
              <w:t xml:space="preserve">Report of the Special Rapporteur </w:t>
            </w:r>
            <w:r>
              <w:rPr>
                <w:sz w:val="20"/>
                <w:szCs w:val="20"/>
              </w:rPr>
              <w:t>on the s</w:t>
            </w:r>
            <w:r w:rsidRPr="007757B0">
              <w:rPr>
                <w:sz w:val="20"/>
                <w:szCs w:val="20"/>
              </w:rPr>
              <w:t>ale and sexual exploitation of children, including child prostitution, child pornography and other child sexual abuse material</w:t>
            </w:r>
            <w:r>
              <w:rPr>
                <w:sz w:val="20"/>
                <w:szCs w:val="20"/>
              </w:rPr>
              <w:t xml:space="preserve"> on her mission to the </w:t>
            </w:r>
            <w:r w:rsidRPr="00B96B0A">
              <w:rPr>
                <w:sz w:val="20"/>
                <w:szCs w:val="20"/>
              </w:rPr>
              <w:t>Lao People</w:t>
            </w:r>
            <w:r>
              <w:rPr>
                <w:sz w:val="20"/>
                <w:szCs w:val="20"/>
              </w:rPr>
              <w:t>’</w:t>
            </w:r>
            <w:r w:rsidRPr="00B96B0A">
              <w:rPr>
                <w:sz w:val="20"/>
                <w:szCs w:val="20"/>
              </w:rPr>
              <w:t>s Democratic Republic</w:t>
            </w:r>
          </w:p>
        </w:tc>
      </w:tr>
      <w:tr w:rsidR="002139E4" w:rsidRPr="00E93295" w14:paraId="37D4BF3F" w14:textId="77777777" w:rsidTr="001A259A">
        <w:trPr>
          <w:trHeight w:val="240"/>
        </w:trPr>
        <w:tc>
          <w:tcPr>
            <w:tcW w:w="2410" w:type="dxa"/>
            <w:shd w:val="clear" w:color="auto" w:fill="auto"/>
          </w:tcPr>
          <w:p w14:paraId="71CF744F"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51/Add.2</w:t>
            </w:r>
          </w:p>
        </w:tc>
        <w:tc>
          <w:tcPr>
            <w:tcW w:w="1276" w:type="dxa"/>
            <w:gridSpan w:val="2"/>
            <w:shd w:val="clear" w:color="auto" w:fill="auto"/>
          </w:tcPr>
          <w:p w14:paraId="3EAE004C"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344E385B" w14:textId="77777777" w:rsidR="002139E4" w:rsidRPr="007757B0" w:rsidRDefault="002139E4" w:rsidP="001A259A">
            <w:pPr>
              <w:spacing w:before="40" w:after="120" w:line="220" w:lineRule="exact"/>
              <w:rPr>
                <w:sz w:val="20"/>
                <w:szCs w:val="20"/>
              </w:rPr>
            </w:pPr>
            <w:r w:rsidRPr="007757B0">
              <w:rPr>
                <w:sz w:val="20"/>
                <w:szCs w:val="20"/>
              </w:rPr>
              <w:t xml:space="preserve">Report of the Special Rapporteur </w:t>
            </w:r>
            <w:r>
              <w:rPr>
                <w:sz w:val="20"/>
                <w:szCs w:val="20"/>
              </w:rPr>
              <w:t>on the s</w:t>
            </w:r>
            <w:r w:rsidRPr="007757B0">
              <w:rPr>
                <w:sz w:val="20"/>
                <w:szCs w:val="20"/>
              </w:rPr>
              <w:t>ale and sexual exploitation of children, including child prostitution, child pornography and other child sexual abuse material</w:t>
            </w:r>
            <w:r>
              <w:rPr>
                <w:sz w:val="20"/>
                <w:szCs w:val="20"/>
              </w:rPr>
              <w:t xml:space="preserve"> on her mission to Ireland</w:t>
            </w:r>
          </w:p>
        </w:tc>
      </w:tr>
      <w:tr w:rsidR="002139E4" w:rsidRPr="00E93295" w14:paraId="7AEB86D4" w14:textId="77777777" w:rsidTr="001A259A">
        <w:trPr>
          <w:trHeight w:val="240"/>
        </w:trPr>
        <w:tc>
          <w:tcPr>
            <w:tcW w:w="2410" w:type="dxa"/>
            <w:shd w:val="clear" w:color="auto" w:fill="auto"/>
          </w:tcPr>
          <w:p w14:paraId="77B99299"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51/Add.3</w:t>
            </w:r>
          </w:p>
        </w:tc>
        <w:tc>
          <w:tcPr>
            <w:tcW w:w="1276" w:type="dxa"/>
            <w:gridSpan w:val="2"/>
            <w:shd w:val="clear" w:color="auto" w:fill="auto"/>
          </w:tcPr>
          <w:p w14:paraId="2539F90F"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3C14897E" w14:textId="77777777" w:rsidR="002139E4" w:rsidRPr="001F5241" w:rsidRDefault="002139E4" w:rsidP="001A259A">
            <w:pPr>
              <w:spacing w:before="40" w:after="120" w:line="220" w:lineRule="exact"/>
              <w:rPr>
                <w:sz w:val="20"/>
                <w:szCs w:val="20"/>
              </w:rPr>
            </w:pPr>
            <w:r w:rsidRPr="007757B0">
              <w:rPr>
                <w:sz w:val="20"/>
                <w:szCs w:val="20"/>
              </w:rPr>
              <w:t xml:space="preserve">Report of the Special Rapporteur </w:t>
            </w:r>
            <w:r>
              <w:rPr>
                <w:sz w:val="20"/>
                <w:szCs w:val="20"/>
              </w:rPr>
              <w:t>on the s</w:t>
            </w:r>
            <w:r w:rsidRPr="007757B0">
              <w:rPr>
                <w:sz w:val="20"/>
                <w:szCs w:val="20"/>
              </w:rPr>
              <w:t>ale and sexual exploitation of children, including child prostitution, child pornography and other child sexual abuse material</w:t>
            </w:r>
            <w:r>
              <w:rPr>
                <w:sz w:val="20"/>
                <w:szCs w:val="20"/>
              </w:rPr>
              <w:t xml:space="preserve"> on her mission to </w:t>
            </w:r>
            <w:r w:rsidRPr="000A43A0">
              <w:rPr>
                <w:sz w:val="20"/>
                <w:szCs w:val="20"/>
              </w:rPr>
              <w:t>Malaysia</w:t>
            </w:r>
          </w:p>
        </w:tc>
      </w:tr>
      <w:tr w:rsidR="002139E4" w:rsidRPr="00E93295" w14:paraId="69E3B763" w14:textId="77777777" w:rsidTr="001A259A">
        <w:trPr>
          <w:trHeight w:val="240"/>
        </w:trPr>
        <w:tc>
          <w:tcPr>
            <w:tcW w:w="2410" w:type="dxa"/>
            <w:shd w:val="clear" w:color="auto" w:fill="auto"/>
          </w:tcPr>
          <w:p w14:paraId="38A06DF9"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51/Add.4</w:t>
            </w:r>
          </w:p>
        </w:tc>
        <w:tc>
          <w:tcPr>
            <w:tcW w:w="1276" w:type="dxa"/>
            <w:gridSpan w:val="2"/>
            <w:shd w:val="clear" w:color="auto" w:fill="auto"/>
          </w:tcPr>
          <w:p w14:paraId="7DA7C624"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2869475E" w14:textId="77777777" w:rsidR="002139E4" w:rsidRPr="007757B0" w:rsidRDefault="002139E4" w:rsidP="001A259A">
            <w:pPr>
              <w:spacing w:before="40" w:after="120" w:line="220" w:lineRule="exact"/>
              <w:rPr>
                <w:sz w:val="20"/>
                <w:szCs w:val="20"/>
              </w:rPr>
            </w:pPr>
            <w:r w:rsidRPr="007757B0">
              <w:rPr>
                <w:sz w:val="20"/>
                <w:szCs w:val="20"/>
              </w:rPr>
              <w:t xml:space="preserve">Report of the Special Rapporteur </w:t>
            </w:r>
            <w:r>
              <w:rPr>
                <w:sz w:val="20"/>
                <w:szCs w:val="20"/>
              </w:rPr>
              <w:t>on the s</w:t>
            </w:r>
            <w:r w:rsidRPr="007757B0">
              <w:rPr>
                <w:sz w:val="20"/>
                <w:szCs w:val="20"/>
              </w:rPr>
              <w:t>ale and sexual exploitation of children, including child prostitution, child pornography and other child sexual abuse material</w:t>
            </w:r>
            <w:r>
              <w:rPr>
                <w:sz w:val="20"/>
                <w:szCs w:val="20"/>
              </w:rPr>
              <w:t xml:space="preserve"> on her mission to the </w:t>
            </w:r>
            <w:r w:rsidRPr="00B96B0A">
              <w:rPr>
                <w:sz w:val="20"/>
                <w:szCs w:val="20"/>
              </w:rPr>
              <w:t>Lao People</w:t>
            </w:r>
            <w:r>
              <w:rPr>
                <w:sz w:val="20"/>
                <w:szCs w:val="20"/>
              </w:rPr>
              <w:t>’</w:t>
            </w:r>
            <w:r w:rsidRPr="00B96B0A">
              <w:rPr>
                <w:sz w:val="20"/>
                <w:szCs w:val="20"/>
              </w:rPr>
              <w:t>s Democratic Republic</w:t>
            </w:r>
            <w:r>
              <w:rPr>
                <w:sz w:val="20"/>
                <w:szCs w:val="20"/>
              </w:rPr>
              <w:t xml:space="preserve">: </w:t>
            </w:r>
            <w:r w:rsidRPr="000A43A0">
              <w:rPr>
                <w:sz w:val="20"/>
                <w:szCs w:val="20"/>
              </w:rPr>
              <w:t>comments by the State</w:t>
            </w:r>
          </w:p>
        </w:tc>
      </w:tr>
      <w:tr w:rsidR="002139E4" w:rsidRPr="00E93295" w14:paraId="0B73608A" w14:textId="77777777" w:rsidTr="001A259A">
        <w:trPr>
          <w:trHeight w:val="240"/>
        </w:trPr>
        <w:tc>
          <w:tcPr>
            <w:tcW w:w="2410" w:type="dxa"/>
            <w:shd w:val="clear" w:color="auto" w:fill="auto"/>
          </w:tcPr>
          <w:p w14:paraId="5FFF53CA" w14:textId="77777777" w:rsidR="002139E4" w:rsidRPr="00500755" w:rsidRDefault="002139E4" w:rsidP="001A259A">
            <w:pPr>
              <w:spacing w:before="40" w:after="120" w:line="220" w:lineRule="exact"/>
              <w:rPr>
                <w:sz w:val="20"/>
                <w:szCs w:val="20"/>
              </w:rPr>
            </w:pPr>
            <w:r w:rsidRPr="00500755">
              <w:rPr>
                <w:sz w:val="20"/>
                <w:szCs w:val="20"/>
              </w:rPr>
              <w:t>A/HRC/</w:t>
            </w:r>
            <w:r>
              <w:rPr>
                <w:sz w:val="20"/>
                <w:szCs w:val="20"/>
              </w:rPr>
              <w:t>40</w:t>
            </w:r>
            <w:r w:rsidRPr="00500755">
              <w:rPr>
                <w:sz w:val="20"/>
                <w:szCs w:val="20"/>
              </w:rPr>
              <w:t>/</w:t>
            </w:r>
            <w:r>
              <w:rPr>
                <w:sz w:val="20"/>
                <w:szCs w:val="20"/>
              </w:rPr>
              <w:t>51/Add.5</w:t>
            </w:r>
          </w:p>
        </w:tc>
        <w:tc>
          <w:tcPr>
            <w:tcW w:w="1276" w:type="dxa"/>
            <w:gridSpan w:val="2"/>
            <w:shd w:val="clear" w:color="auto" w:fill="auto"/>
          </w:tcPr>
          <w:p w14:paraId="613E4BC4"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2DED80CF" w14:textId="77777777" w:rsidR="002139E4" w:rsidRPr="007757B0" w:rsidRDefault="002139E4" w:rsidP="001A259A">
            <w:pPr>
              <w:spacing w:before="40" w:after="120" w:line="220" w:lineRule="exact"/>
              <w:rPr>
                <w:sz w:val="20"/>
                <w:szCs w:val="20"/>
              </w:rPr>
            </w:pPr>
            <w:r w:rsidRPr="007757B0">
              <w:rPr>
                <w:sz w:val="20"/>
                <w:szCs w:val="20"/>
              </w:rPr>
              <w:t xml:space="preserve">Report of the Special Rapporteur </w:t>
            </w:r>
            <w:r>
              <w:rPr>
                <w:sz w:val="20"/>
                <w:szCs w:val="20"/>
              </w:rPr>
              <w:t>on the s</w:t>
            </w:r>
            <w:r w:rsidRPr="007757B0">
              <w:rPr>
                <w:sz w:val="20"/>
                <w:szCs w:val="20"/>
              </w:rPr>
              <w:t>ale and sexual exploitation of children, including child prostitution, child pornography and other child sexual abuse material</w:t>
            </w:r>
            <w:r>
              <w:rPr>
                <w:sz w:val="20"/>
                <w:szCs w:val="20"/>
              </w:rPr>
              <w:t xml:space="preserve"> on her mission to </w:t>
            </w:r>
            <w:r w:rsidRPr="000A43A0">
              <w:rPr>
                <w:sz w:val="20"/>
                <w:szCs w:val="20"/>
              </w:rPr>
              <w:t>Malaysia</w:t>
            </w:r>
            <w:r>
              <w:rPr>
                <w:sz w:val="20"/>
                <w:szCs w:val="20"/>
              </w:rPr>
              <w:t xml:space="preserve">: </w:t>
            </w:r>
            <w:r w:rsidRPr="000A43A0">
              <w:rPr>
                <w:sz w:val="20"/>
                <w:szCs w:val="20"/>
              </w:rPr>
              <w:t>comments by the State</w:t>
            </w:r>
          </w:p>
        </w:tc>
      </w:tr>
      <w:tr w:rsidR="002139E4" w:rsidRPr="00E93295" w14:paraId="3F92BF3E" w14:textId="77777777" w:rsidTr="001A259A">
        <w:trPr>
          <w:trHeight w:val="240"/>
        </w:trPr>
        <w:tc>
          <w:tcPr>
            <w:tcW w:w="2410" w:type="dxa"/>
            <w:shd w:val="clear" w:color="auto" w:fill="auto"/>
          </w:tcPr>
          <w:p w14:paraId="644B51B7" w14:textId="77777777" w:rsidR="002139E4" w:rsidRPr="00500755" w:rsidRDefault="002139E4" w:rsidP="001A259A">
            <w:pPr>
              <w:spacing w:before="40" w:after="120" w:line="220" w:lineRule="exact"/>
              <w:rPr>
                <w:sz w:val="20"/>
                <w:szCs w:val="20"/>
              </w:rPr>
            </w:pPr>
            <w:r w:rsidRPr="000A43A0">
              <w:rPr>
                <w:sz w:val="20"/>
                <w:szCs w:val="20"/>
              </w:rPr>
              <w:t>A/HRC/40/52</w:t>
            </w:r>
          </w:p>
        </w:tc>
        <w:tc>
          <w:tcPr>
            <w:tcW w:w="1276" w:type="dxa"/>
            <w:gridSpan w:val="2"/>
            <w:shd w:val="clear" w:color="auto" w:fill="auto"/>
          </w:tcPr>
          <w:p w14:paraId="388AD38A"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40E22ADA" w14:textId="77777777" w:rsidR="002139E4" w:rsidRPr="007757B0" w:rsidRDefault="002139E4" w:rsidP="001A259A">
            <w:pPr>
              <w:spacing w:before="40" w:after="120" w:line="220" w:lineRule="exact"/>
              <w:rPr>
                <w:sz w:val="20"/>
                <w:szCs w:val="20"/>
              </w:rPr>
            </w:pPr>
            <w:r w:rsidRPr="000A43A0">
              <w:rPr>
                <w:sz w:val="20"/>
                <w:szCs w:val="20"/>
              </w:rPr>
              <w:t>Report of the Special Rapporteur on the promotion and protection of human rights and fundamental freedoms while countering terrorism</w:t>
            </w:r>
          </w:p>
        </w:tc>
      </w:tr>
      <w:tr w:rsidR="002139E4" w:rsidRPr="00E93295" w14:paraId="2188CD9E" w14:textId="77777777" w:rsidTr="001A259A">
        <w:trPr>
          <w:trHeight w:val="240"/>
        </w:trPr>
        <w:tc>
          <w:tcPr>
            <w:tcW w:w="2410" w:type="dxa"/>
            <w:shd w:val="clear" w:color="auto" w:fill="auto"/>
          </w:tcPr>
          <w:p w14:paraId="7BBF8363" w14:textId="77777777" w:rsidR="002139E4" w:rsidRPr="00500755" w:rsidRDefault="002139E4" w:rsidP="001A259A">
            <w:pPr>
              <w:spacing w:before="40" w:after="120" w:line="220" w:lineRule="exact"/>
              <w:rPr>
                <w:sz w:val="20"/>
                <w:szCs w:val="20"/>
              </w:rPr>
            </w:pPr>
            <w:r w:rsidRPr="007771C6">
              <w:rPr>
                <w:sz w:val="20"/>
                <w:szCs w:val="20"/>
              </w:rPr>
              <w:t>A/HRC/40/52/Add.1</w:t>
            </w:r>
          </w:p>
        </w:tc>
        <w:tc>
          <w:tcPr>
            <w:tcW w:w="1276" w:type="dxa"/>
            <w:gridSpan w:val="2"/>
            <w:shd w:val="clear" w:color="auto" w:fill="auto"/>
          </w:tcPr>
          <w:p w14:paraId="7D20734F"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60F491C3" w14:textId="77777777" w:rsidR="002139E4" w:rsidRPr="007757B0" w:rsidRDefault="002139E4" w:rsidP="001A259A">
            <w:pPr>
              <w:spacing w:before="40" w:after="120" w:line="220" w:lineRule="exact"/>
              <w:rPr>
                <w:sz w:val="20"/>
                <w:szCs w:val="20"/>
              </w:rPr>
            </w:pPr>
            <w:r w:rsidRPr="000A43A0">
              <w:rPr>
                <w:sz w:val="20"/>
                <w:szCs w:val="20"/>
              </w:rPr>
              <w:t>Report of the Special Rapporteur on the promotion and protection of human rights and fundamental freedoms while countering terrorism</w:t>
            </w:r>
            <w:r>
              <w:rPr>
                <w:sz w:val="20"/>
                <w:szCs w:val="20"/>
              </w:rPr>
              <w:t xml:space="preserve"> on her mission to Tunisia</w:t>
            </w:r>
          </w:p>
        </w:tc>
      </w:tr>
      <w:tr w:rsidR="002139E4" w:rsidRPr="00E93295" w14:paraId="73B44862" w14:textId="77777777" w:rsidTr="001A259A">
        <w:trPr>
          <w:trHeight w:val="240"/>
        </w:trPr>
        <w:tc>
          <w:tcPr>
            <w:tcW w:w="2410" w:type="dxa"/>
            <w:shd w:val="clear" w:color="auto" w:fill="auto"/>
          </w:tcPr>
          <w:p w14:paraId="1844EFD5" w14:textId="77777777" w:rsidR="002139E4" w:rsidRPr="00500755" w:rsidRDefault="002139E4" w:rsidP="001A259A">
            <w:pPr>
              <w:spacing w:before="40" w:after="120" w:line="220" w:lineRule="exact"/>
              <w:rPr>
                <w:sz w:val="20"/>
                <w:szCs w:val="20"/>
              </w:rPr>
            </w:pPr>
            <w:r w:rsidRPr="007771C6">
              <w:rPr>
                <w:sz w:val="20"/>
                <w:szCs w:val="20"/>
              </w:rPr>
              <w:t>A/HRC/40/52/Add.2</w:t>
            </w:r>
          </w:p>
        </w:tc>
        <w:tc>
          <w:tcPr>
            <w:tcW w:w="1276" w:type="dxa"/>
            <w:gridSpan w:val="2"/>
            <w:shd w:val="clear" w:color="auto" w:fill="auto"/>
          </w:tcPr>
          <w:p w14:paraId="27B17228"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5D752FB6" w14:textId="77777777" w:rsidR="002139E4" w:rsidRPr="007757B0" w:rsidRDefault="002139E4" w:rsidP="001A259A">
            <w:pPr>
              <w:spacing w:before="40" w:after="120" w:line="220" w:lineRule="exact"/>
              <w:rPr>
                <w:sz w:val="20"/>
                <w:szCs w:val="20"/>
              </w:rPr>
            </w:pPr>
            <w:r w:rsidRPr="000A43A0">
              <w:rPr>
                <w:sz w:val="20"/>
                <w:szCs w:val="20"/>
              </w:rPr>
              <w:t>Report of the Special Rapporteur on the promotion and protection of human rights and fundamental freedoms while countering terrorism</w:t>
            </w:r>
            <w:r>
              <w:rPr>
                <w:sz w:val="20"/>
                <w:szCs w:val="20"/>
              </w:rPr>
              <w:t xml:space="preserve"> on her mission to Saudi Arabia</w:t>
            </w:r>
          </w:p>
        </w:tc>
      </w:tr>
      <w:tr w:rsidR="002139E4" w:rsidRPr="00E93295" w14:paraId="4FC31740" w14:textId="77777777" w:rsidTr="001A259A">
        <w:trPr>
          <w:trHeight w:val="240"/>
        </w:trPr>
        <w:tc>
          <w:tcPr>
            <w:tcW w:w="2410" w:type="dxa"/>
            <w:shd w:val="clear" w:color="auto" w:fill="auto"/>
          </w:tcPr>
          <w:p w14:paraId="6649CDB0" w14:textId="77777777" w:rsidR="002139E4" w:rsidRPr="00500755" w:rsidRDefault="002139E4" w:rsidP="001A259A">
            <w:pPr>
              <w:spacing w:before="40" w:after="120" w:line="220" w:lineRule="exact"/>
              <w:rPr>
                <w:sz w:val="20"/>
                <w:szCs w:val="20"/>
              </w:rPr>
            </w:pPr>
            <w:r w:rsidRPr="007771C6">
              <w:rPr>
                <w:sz w:val="20"/>
                <w:szCs w:val="20"/>
              </w:rPr>
              <w:lastRenderedPageBreak/>
              <w:t>A/HRC/40/52/Add.</w:t>
            </w:r>
            <w:r>
              <w:rPr>
                <w:sz w:val="20"/>
                <w:szCs w:val="20"/>
              </w:rPr>
              <w:t>3</w:t>
            </w:r>
          </w:p>
        </w:tc>
        <w:tc>
          <w:tcPr>
            <w:tcW w:w="1276" w:type="dxa"/>
            <w:gridSpan w:val="2"/>
            <w:shd w:val="clear" w:color="auto" w:fill="auto"/>
          </w:tcPr>
          <w:p w14:paraId="3864BCF8"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0BB23C61" w14:textId="77777777" w:rsidR="002139E4" w:rsidRPr="007757B0" w:rsidRDefault="002139E4" w:rsidP="001A259A">
            <w:pPr>
              <w:spacing w:before="40" w:after="120" w:line="220" w:lineRule="exact"/>
              <w:rPr>
                <w:sz w:val="20"/>
                <w:szCs w:val="20"/>
              </w:rPr>
            </w:pPr>
            <w:r w:rsidRPr="000A43A0">
              <w:rPr>
                <w:sz w:val="20"/>
                <w:szCs w:val="20"/>
              </w:rPr>
              <w:t>Report of the Special Rapporteur on the promotion and protection of human rights and fundamental freedoms while countering terrorism</w:t>
            </w:r>
            <w:r>
              <w:rPr>
                <w:sz w:val="20"/>
                <w:szCs w:val="20"/>
              </w:rPr>
              <w:t xml:space="preserve"> on her mission to</w:t>
            </w:r>
            <w:r w:rsidRPr="007771C6">
              <w:rPr>
                <w:sz w:val="20"/>
                <w:szCs w:val="20"/>
              </w:rPr>
              <w:t xml:space="preserve"> Sri Lanka</w:t>
            </w:r>
          </w:p>
        </w:tc>
      </w:tr>
      <w:tr w:rsidR="002139E4" w:rsidRPr="00E93295" w14:paraId="575342AF" w14:textId="77777777" w:rsidTr="001A259A">
        <w:trPr>
          <w:trHeight w:val="240"/>
        </w:trPr>
        <w:tc>
          <w:tcPr>
            <w:tcW w:w="2410" w:type="dxa"/>
            <w:shd w:val="clear" w:color="auto" w:fill="auto"/>
          </w:tcPr>
          <w:p w14:paraId="0A5FCD11" w14:textId="77777777" w:rsidR="002139E4" w:rsidRPr="00500755" w:rsidRDefault="002139E4" w:rsidP="001A259A">
            <w:pPr>
              <w:spacing w:before="40" w:after="120" w:line="220" w:lineRule="exact"/>
              <w:rPr>
                <w:sz w:val="20"/>
                <w:szCs w:val="20"/>
              </w:rPr>
            </w:pPr>
            <w:r w:rsidRPr="007771C6">
              <w:rPr>
                <w:sz w:val="20"/>
                <w:szCs w:val="20"/>
              </w:rPr>
              <w:t>A/HRC/40/52/Add.</w:t>
            </w:r>
            <w:r>
              <w:rPr>
                <w:sz w:val="20"/>
                <w:szCs w:val="20"/>
              </w:rPr>
              <w:t>4</w:t>
            </w:r>
          </w:p>
        </w:tc>
        <w:tc>
          <w:tcPr>
            <w:tcW w:w="1276" w:type="dxa"/>
            <w:gridSpan w:val="2"/>
            <w:shd w:val="clear" w:color="auto" w:fill="auto"/>
          </w:tcPr>
          <w:p w14:paraId="184ABE59"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06752684" w14:textId="77777777" w:rsidR="002139E4" w:rsidRPr="007757B0" w:rsidRDefault="002139E4" w:rsidP="001A259A">
            <w:pPr>
              <w:spacing w:before="40" w:after="120" w:line="220" w:lineRule="exact"/>
              <w:rPr>
                <w:sz w:val="20"/>
                <w:szCs w:val="20"/>
              </w:rPr>
            </w:pPr>
            <w:r w:rsidRPr="000A43A0">
              <w:rPr>
                <w:sz w:val="20"/>
                <w:szCs w:val="20"/>
              </w:rPr>
              <w:t>Report of the Special Rapporteur on the promotion and protection of human rights and fundamental freedoms while countering terrorism</w:t>
            </w:r>
            <w:r>
              <w:rPr>
                <w:sz w:val="20"/>
                <w:szCs w:val="20"/>
              </w:rPr>
              <w:t xml:space="preserve"> on her mission to</w:t>
            </w:r>
            <w:r w:rsidRPr="007771C6">
              <w:rPr>
                <w:sz w:val="20"/>
                <w:szCs w:val="20"/>
              </w:rPr>
              <w:t xml:space="preserve"> France</w:t>
            </w:r>
          </w:p>
        </w:tc>
      </w:tr>
      <w:tr w:rsidR="002139E4" w:rsidRPr="00E93295" w14:paraId="4E12CC4B" w14:textId="77777777" w:rsidTr="001A259A">
        <w:trPr>
          <w:trHeight w:val="240"/>
        </w:trPr>
        <w:tc>
          <w:tcPr>
            <w:tcW w:w="2410" w:type="dxa"/>
            <w:shd w:val="clear" w:color="auto" w:fill="auto"/>
          </w:tcPr>
          <w:p w14:paraId="30321E46" w14:textId="77777777" w:rsidR="002139E4" w:rsidRPr="00500755" w:rsidRDefault="002139E4" w:rsidP="001A259A">
            <w:pPr>
              <w:spacing w:before="40" w:after="120" w:line="220" w:lineRule="exact"/>
              <w:rPr>
                <w:sz w:val="20"/>
                <w:szCs w:val="20"/>
              </w:rPr>
            </w:pPr>
            <w:r w:rsidRPr="007771C6">
              <w:rPr>
                <w:sz w:val="20"/>
                <w:szCs w:val="20"/>
              </w:rPr>
              <w:t>A/HRC/40/52/Add.</w:t>
            </w:r>
            <w:r>
              <w:rPr>
                <w:sz w:val="20"/>
                <w:szCs w:val="20"/>
              </w:rPr>
              <w:t>5</w:t>
            </w:r>
          </w:p>
        </w:tc>
        <w:tc>
          <w:tcPr>
            <w:tcW w:w="1276" w:type="dxa"/>
            <w:gridSpan w:val="2"/>
            <w:shd w:val="clear" w:color="auto" w:fill="auto"/>
          </w:tcPr>
          <w:p w14:paraId="0DC03016"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21016880" w14:textId="77777777" w:rsidR="002139E4" w:rsidRPr="007757B0" w:rsidRDefault="002139E4" w:rsidP="001A259A">
            <w:pPr>
              <w:spacing w:before="40" w:after="120" w:line="220" w:lineRule="exact"/>
              <w:rPr>
                <w:sz w:val="20"/>
                <w:szCs w:val="20"/>
              </w:rPr>
            </w:pPr>
            <w:r w:rsidRPr="000A43A0">
              <w:rPr>
                <w:sz w:val="20"/>
                <w:szCs w:val="20"/>
              </w:rPr>
              <w:t>Report of the Special Rapporteur on the promotion and protection of human rights and fundamental freedoms while countering terrorism</w:t>
            </w:r>
            <w:r>
              <w:rPr>
                <w:sz w:val="20"/>
                <w:szCs w:val="20"/>
              </w:rPr>
              <w:t xml:space="preserve"> on her mission to</w:t>
            </w:r>
            <w:r w:rsidRPr="007771C6">
              <w:rPr>
                <w:sz w:val="20"/>
                <w:szCs w:val="20"/>
              </w:rPr>
              <w:t xml:space="preserve"> </w:t>
            </w:r>
            <w:r>
              <w:rPr>
                <w:sz w:val="20"/>
                <w:szCs w:val="20"/>
              </w:rPr>
              <w:t>Belgium</w:t>
            </w:r>
          </w:p>
        </w:tc>
      </w:tr>
      <w:tr w:rsidR="002139E4" w:rsidRPr="00E93295" w14:paraId="67F5F8CC" w14:textId="77777777" w:rsidTr="001A259A">
        <w:trPr>
          <w:trHeight w:val="240"/>
        </w:trPr>
        <w:tc>
          <w:tcPr>
            <w:tcW w:w="2410" w:type="dxa"/>
            <w:shd w:val="clear" w:color="auto" w:fill="auto"/>
          </w:tcPr>
          <w:p w14:paraId="42343243" w14:textId="77777777" w:rsidR="002139E4" w:rsidRPr="00500755" w:rsidRDefault="002139E4" w:rsidP="001A259A">
            <w:pPr>
              <w:spacing w:before="40" w:after="120" w:line="220" w:lineRule="exact"/>
              <w:rPr>
                <w:sz w:val="20"/>
                <w:szCs w:val="20"/>
              </w:rPr>
            </w:pPr>
            <w:r>
              <w:rPr>
                <w:sz w:val="20"/>
                <w:szCs w:val="20"/>
              </w:rPr>
              <w:t>A/HRC/40/52/Add.6</w:t>
            </w:r>
          </w:p>
        </w:tc>
        <w:tc>
          <w:tcPr>
            <w:tcW w:w="1276" w:type="dxa"/>
            <w:gridSpan w:val="2"/>
            <w:shd w:val="clear" w:color="auto" w:fill="auto"/>
          </w:tcPr>
          <w:p w14:paraId="67790616"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28EB5A5A" w14:textId="77777777" w:rsidR="002139E4" w:rsidRPr="007757B0" w:rsidRDefault="002139E4" w:rsidP="001A259A">
            <w:pPr>
              <w:spacing w:before="40" w:after="120" w:line="220" w:lineRule="exact"/>
              <w:rPr>
                <w:sz w:val="20"/>
                <w:szCs w:val="20"/>
              </w:rPr>
            </w:pPr>
            <w:r w:rsidRPr="000A43A0">
              <w:rPr>
                <w:sz w:val="20"/>
                <w:szCs w:val="20"/>
              </w:rPr>
              <w:t>Report of the Special Rapporteur on the promotion and protection of human rights and fundamental freedoms while countering terrorism</w:t>
            </w:r>
            <w:r>
              <w:rPr>
                <w:sz w:val="20"/>
                <w:szCs w:val="20"/>
              </w:rPr>
              <w:t xml:space="preserve"> on her mission to Tunisia: </w:t>
            </w:r>
            <w:r w:rsidRPr="00042B86">
              <w:rPr>
                <w:sz w:val="20"/>
                <w:szCs w:val="20"/>
              </w:rPr>
              <w:t>comments by the State</w:t>
            </w:r>
          </w:p>
        </w:tc>
      </w:tr>
      <w:tr w:rsidR="002139E4" w:rsidRPr="00E93295" w14:paraId="3B4FBA0F" w14:textId="77777777" w:rsidTr="001A259A">
        <w:trPr>
          <w:trHeight w:val="240"/>
        </w:trPr>
        <w:tc>
          <w:tcPr>
            <w:tcW w:w="2410" w:type="dxa"/>
            <w:shd w:val="clear" w:color="auto" w:fill="auto"/>
          </w:tcPr>
          <w:p w14:paraId="62569C99" w14:textId="77777777" w:rsidR="002139E4" w:rsidRPr="00500755" w:rsidRDefault="002139E4" w:rsidP="001A259A">
            <w:pPr>
              <w:spacing w:before="40" w:after="120" w:line="220" w:lineRule="exact"/>
              <w:rPr>
                <w:sz w:val="20"/>
                <w:szCs w:val="20"/>
              </w:rPr>
            </w:pPr>
            <w:r>
              <w:rPr>
                <w:sz w:val="20"/>
                <w:szCs w:val="20"/>
              </w:rPr>
              <w:t>A/HRC/40/52/Add.7</w:t>
            </w:r>
          </w:p>
        </w:tc>
        <w:tc>
          <w:tcPr>
            <w:tcW w:w="1276" w:type="dxa"/>
            <w:gridSpan w:val="2"/>
            <w:shd w:val="clear" w:color="auto" w:fill="auto"/>
          </w:tcPr>
          <w:p w14:paraId="2FC28867"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54F7A3B2" w14:textId="77777777" w:rsidR="002139E4" w:rsidRPr="007757B0" w:rsidRDefault="002139E4" w:rsidP="001A259A">
            <w:pPr>
              <w:spacing w:before="40" w:after="120" w:line="220" w:lineRule="exact"/>
              <w:rPr>
                <w:sz w:val="20"/>
                <w:szCs w:val="20"/>
              </w:rPr>
            </w:pPr>
            <w:r w:rsidRPr="000A43A0">
              <w:rPr>
                <w:sz w:val="20"/>
                <w:szCs w:val="20"/>
              </w:rPr>
              <w:t>Report of the Special Rapporteur on the promotion and protection of human rights and fundamental freedoms while countering terrorism</w:t>
            </w:r>
            <w:r>
              <w:rPr>
                <w:sz w:val="20"/>
                <w:szCs w:val="20"/>
              </w:rPr>
              <w:t xml:space="preserve"> on her mission to Saudi Arabia: </w:t>
            </w:r>
            <w:r w:rsidRPr="00042B86">
              <w:rPr>
                <w:sz w:val="20"/>
                <w:szCs w:val="20"/>
              </w:rPr>
              <w:t>comments by the State</w:t>
            </w:r>
          </w:p>
        </w:tc>
      </w:tr>
      <w:tr w:rsidR="002139E4" w:rsidRPr="00E93295" w14:paraId="796918E8" w14:textId="77777777" w:rsidTr="001A259A">
        <w:trPr>
          <w:trHeight w:val="240"/>
        </w:trPr>
        <w:tc>
          <w:tcPr>
            <w:tcW w:w="2410" w:type="dxa"/>
            <w:shd w:val="clear" w:color="auto" w:fill="auto"/>
          </w:tcPr>
          <w:p w14:paraId="7CA1957B" w14:textId="77777777" w:rsidR="002139E4" w:rsidRPr="00500755" w:rsidRDefault="002139E4" w:rsidP="001A259A">
            <w:pPr>
              <w:spacing w:before="40" w:after="120" w:line="220" w:lineRule="exact"/>
              <w:rPr>
                <w:sz w:val="20"/>
                <w:szCs w:val="20"/>
              </w:rPr>
            </w:pPr>
            <w:r w:rsidRPr="007771C6">
              <w:rPr>
                <w:sz w:val="20"/>
                <w:szCs w:val="20"/>
              </w:rPr>
              <w:t>A/HRC/40/52/Add.</w:t>
            </w:r>
            <w:r>
              <w:rPr>
                <w:sz w:val="20"/>
                <w:szCs w:val="20"/>
              </w:rPr>
              <w:t>8</w:t>
            </w:r>
          </w:p>
        </w:tc>
        <w:tc>
          <w:tcPr>
            <w:tcW w:w="1276" w:type="dxa"/>
            <w:gridSpan w:val="2"/>
            <w:shd w:val="clear" w:color="auto" w:fill="auto"/>
          </w:tcPr>
          <w:p w14:paraId="5DF08D30"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70654DDD" w14:textId="77777777" w:rsidR="002139E4" w:rsidRPr="007757B0" w:rsidRDefault="002139E4" w:rsidP="001A259A">
            <w:pPr>
              <w:spacing w:before="40" w:after="120" w:line="220" w:lineRule="exact"/>
              <w:rPr>
                <w:sz w:val="20"/>
                <w:szCs w:val="20"/>
              </w:rPr>
            </w:pPr>
            <w:r w:rsidRPr="000A43A0">
              <w:rPr>
                <w:sz w:val="20"/>
                <w:szCs w:val="20"/>
              </w:rPr>
              <w:t>Report of the Special Rapporteur on the promotion and protection of human rights and fundamental freedoms while countering terrorism</w:t>
            </w:r>
            <w:r>
              <w:rPr>
                <w:sz w:val="20"/>
                <w:szCs w:val="20"/>
              </w:rPr>
              <w:t xml:space="preserve"> on her mission to</w:t>
            </w:r>
            <w:r w:rsidRPr="007771C6">
              <w:rPr>
                <w:sz w:val="20"/>
                <w:szCs w:val="20"/>
              </w:rPr>
              <w:t xml:space="preserve"> Sri Lanka</w:t>
            </w:r>
            <w:r>
              <w:rPr>
                <w:sz w:val="20"/>
                <w:szCs w:val="20"/>
              </w:rPr>
              <w:t xml:space="preserve">: </w:t>
            </w:r>
            <w:r w:rsidRPr="00042B86">
              <w:rPr>
                <w:sz w:val="20"/>
                <w:szCs w:val="20"/>
              </w:rPr>
              <w:t>comments by the State</w:t>
            </w:r>
          </w:p>
        </w:tc>
      </w:tr>
      <w:tr w:rsidR="002139E4" w:rsidRPr="00E93295" w14:paraId="6082CD0E" w14:textId="77777777" w:rsidTr="001A259A">
        <w:trPr>
          <w:trHeight w:val="240"/>
        </w:trPr>
        <w:tc>
          <w:tcPr>
            <w:tcW w:w="2410" w:type="dxa"/>
            <w:shd w:val="clear" w:color="auto" w:fill="auto"/>
          </w:tcPr>
          <w:p w14:paraId="4FED85C6" w14:textId="77777777" w:rsidR="002139E4" w:rsidRPr="00500755" w:rsidRDefault="002139E4" w:rsidP="001A259A">
            <w:pPr>
              <w:spacing w:before="40" w:after="120" w:line="220" w:lineRule="exact"/>
              <w:rPr>
                <w:sz w:val="20"/>
                <w:szCs w:val="20"/>
              </w:rPr>
            </w:pPr>
            <w:r w:rsidRPr="007771C6">
              <w:rPr>
                <w:sz w:val="20"/>
                <w:szCs w:val="20"/>
              </w:rPr>
              <w:t>A/HRC/40/52/Add.</w:t>
            </w:r>
            <w:r>
              <w:rPr>
                <w:sz w:val="20"/>
                <w:szCs w:val="20"/>
              </w:rPr>
              <w:t>9</w:t>
            </w:r>
          </w:p>
        </w:tc>
        <w:tc>
          <w:tcPr>
            <w:tcW w:w="1276" w:type="dxa"/>
            <w:gridSpan w:val="2"/>
            <w:shd w:val="clear" w:color="auto" w:fill="auto"/>
          </w:tcPr>
          <w:p w14:paraId="6631E2C1"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22D5008C" w14:textId="77777777" w:rsidR="002139E4" w:rsidRPr="007757B0" w:rsidRDefault="002139E4" w:rsidP="001A259A">
            <w:pPr>
              <w:spacing w:before="40" w:after="120" w:line="220" w:lineRule="exact"/>
              <w:rPr>
                <w:sz w:val="20"/>
                <w:szCs w:val="20"/>
              </w:rPr>
            </w:pPr>
            <w:r w:rsidRPr="000A43A0">
              <w:rPr>
                <w:sz w:val="20"/>
                <w:szCs w:val="20"/>
              </w:rPr>
              <w:t>Report of the Special Rapporteur on the promotion and protection of human rights and fundamental freedoms while countering terrorism</w:t>
            </w:r>
            <w:r>
              <w:rPr>
                <w:sz w:val="20"/>
                <w:szCs w:val="20"/>
              </w:rPr>
              <w:t xml:space="preserve"> on her mission to</w:t>
            </w:r>
            <w:r w:rsidRPr="007771C6">
              <w:rPr>
                <w:sz w:val="20"/>
                <w:szCs w:val="20"/>
              </w:rPr>
              <w:t xml:space="preserve"> France</w:t>
            </w:r>
            <w:r>
              <w:rPr>
                <w:sz w:val="20"/>
                <w:szCs w:val="20"/>
              </w:rPr>
              <w:t xml:space="preserve">: </w:t>
            </w:r>
            <w:r w:rsidRPr="00042B86">
              <w:rPr>
                <w:sz w:val="20"/>
                <w:szCs w:val="20"/>
              </w:rPr>
              <w:t>comments by the State</w:t>
            </w:r>
          </w:p>
        </w:tc>
      </w:tr>
      <w:tr w:rsidR="002139E4" w:rsidRPr="00E93295" w14:paraId="22822A59" w14:textId="77777777" w:rsidTr="001A259A">
        <w:trPr>
          <w:trHeight w:val="240"/>
        </w:trPr>
        <w:tc>
          <w:tcPr>
            <w:tcW w:w="2410" w:type="dxa"/>
            <w:shd w:val="clear" w:color="auto" w:fill="auto"/>
          </w:tcPr>
          <w:p w14:paraId="150175E5" w14:textId="77777777" w:rsidR="002139E4" w:rsidRPr="00500755" w:rsidRDefault="002139E4" w:rsidP="001A259A">
            <w:pPr>
              <w:spacing w:before="40" w:after="120" w:line="220" w:lineRule="exact"/>
              <w:rPr>
                <w:sz w:val="20"/>
                <w:szCs w:val="20"/>
              </w:rPr>
            </w:pPr>
            <w:r w:rsidRPr="007771C6">
              <w:rPr>
                <w:sz w:val="20"/>
                <w:szCs w:val="20"/>
              </w:rPr>
              <w:t>A/HRC/40/5</w:t>
            </w:r>
            <w:r>
              <w:rPr>
                <w:sz w:val="20"/>
                <w:szCs w:val="20"/>
              </w:rPr>
              <w:t>3</w:t>
            </w:r>
          </w:p>
        </w:tc>
        <w:tc>
          <w:tcPr>
            <w:tcW w:w="1276" w:type="dxa"/>
            <w:gridSpan w:val="2"/>
            <w:shd w:val="clear" w:color="auto" w:fill="auto"/>
          </w:tcPr>
          <w:p w14:paraId="74148391"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5208466A" w14:textId="77777777" w:rsidR="002139E4" w:rsidRPr="007757B0" w:rsidRDefault="002139E4" w:rsidP="001A259A">
            <w:pPr>
              <w:spacing w:before="40" w:after="120" w:line="220" w:lineRule="exact"/>
              <w:rPr>
                <w:sz w:val="20"/>
                <w:szCs w:val="20"/>
              </w:rPr>
            </w:pPr>
            <w:r w:rsidRPr="00042B86">
              <w:rPr>
                <w:sz w:val="20"/>
                <w:szCs w:val="20"/>
              </w:rPr>
              <w:t>Report of the Special Rapporteur in the field of cultural rights</w:t>
            </w:r>
          </w:p>
        </w:tc>
      </w:tr>
      <w:tr w:rsidR="002139E4" w:rsidRPr="00E93295" w14:paraId="7B45903A" w14:textId="77777777" w:rsidTr="001A259A">
        <w:trPr>
          <w:trHeight w:val="240"/>
        </w:trPr>
        <w:tc>
          <w:tcPr>
            <w:tcW w:w="2410" w:type="dxa"/>
            <w:shd w:val="clear" w:color="auto" w:fill="auto"/>
          </w:tcPr>
          <w:p w14:paraId="769F6A00" w14:textId="77777777" w:rsidR="002139E4" w:rsidRPr="00500755" w:rsidRDefault="002139E4" w:rsidP="001A259A">
            <w:pPr>
              <w:spacing w:before="40" w:after="120" w:line="220" w:lineRule="exact"/>
              <w:rPr>
                <w:sz w:val="20"/>
                <w:szCs w:val="20"/>
              </w:rPr>
            </w:pPr>
            <w:r w:rsidRPr="007771C6">
              <w:rPr>
                <w:sz w:val="20"/>
                <w:szCs w:val="20"/>
              </w:rPr>
              <w:t>A/HRC/40/5</w:t>
            </w:r>
            <w:r>
              <w:rPr>
                <w:sz w:val="20"/>
                <w:szCs w:val="20"/>
              </w:rPr>
              <w:t>3</w:t>
            </w:r>
            <w:r w:rsidRPr="007771C6">
              <w:rPr>
                <w:sz w:val="20"/>
                <w:szCs w:val="20"/>
              </w:rPr>
              <w:t>/Add.</w:t>
            </w:r>
            <w:r>
              <w:rPr>
                <w:sz w:val="20"/>
                <w:szCs w:val="20"/>
              </w:rPr>
              <w:t>1</w:t>
            </w:r>
          </w:p>
        </w:tc>
        <w:tc>
          <w:tcPr>
            <w:tcW w:w="1276" w:type="dxa"/>
            <w:gridSpan w:val="2"/>
            <w:shd w:val="clear" w:color="auto" w:fill="auto"/>
          </w:tcPr>
          <w:p w14:paraId="5CB281C0"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4728976A" w14:textId="77777777" w:rsidR="002139E4" w:rsidRPr="007757B0" w:rsidRDefault="002139E4" w:rsidP="001A259A">
            <w:pPr>
              <w:spacing w:before="40" w:after="120" w:line="220" w:lineRule="exact"/>
              <w:rPr>
                <w:sz w:val="20"/>
                <w:szCs w:val="20"/>
              </w:rPr>
            </w:pPr>
            <w:r w:rsidRPr="00042B86">
              <w:rPr>
                <w:sz w:val="20"/>
                <w:szCs w:val="20"/>
              </w:rPr>
              <w:t xml:space="preserve">Report of the Special Rapporteur in the field of cultural rights on her </w:t>
            </w:r>
            <w:r>
              <w:rPr>
                <w:sz w:val="20"/>
                <w:szCs w:val="20"/>
              </w:rPr>
              <w:t>mission</w:t>
            </w:r>
            <w:r w:rsidRPr="00042B86">
              <w:rPr>
                <w:sz w:val="20"/>
                <w:szCs w:val="20"/>
              </w:rPr>
              <w:t xml:space="preserve"> to Malaysia</w:t>
            </w:r>
          </w:p>
        </w:tc>
      </w:tr>
      <w:tr w:rsidR="002139E4" w:rsidRPr="00E93295" w14:paraId="2C402B32" w14:textId="77777777" w:rsidTr="001A259A">
        <w:trPr>
          <w:trHeight w:val="240"/>
        </w:trPr>
        <w:tc>
          <w:tcPr>
            <w:tcW w:w="2410" w:type="dxa"/>
            <w:shd w:val="clear" w:color="auto" w:fill="auto"/>
          </w:tcPr>
          <w:p w14:paraId="36BAEF4A" w14:textId="77777777" w:rsidR="002139E4" w:rsidRPr="00500755" w:rsidRDefault="002139E4" w:rsidP="001A259A">
            <w:pPr>
              <w:spacing w:before="40" w:after="120" w:line="220" w:lineRule="exact"/>
              <w:rPr>
                <w:sz w:val="20"/>
                <w:szCs w:val="20"/>
              </w:rPr>
            </w:pPr>
            <w:r w:rsidRPr="007771C6">
              <w:rPr>
                <w:sz w:val="20"/>
                <w:szCs w:val="20"/>
              </w:rPr>
              <w:t>A/HRC/40/5</w:t>
            </w:r>
            <w:r>
              <w:rPr>
                <w:sz w:val="20"/>
                <w:szCs w:val="20"/>
              </w:rPr>
              <w:t>3</w:t>
            </w:r>
            <w:r w:rsidRPr="007771C6">
              <w:rPr>
                <w:sz w:val="20"/>
                <w:szCs w:val="20"/>
              </w:rPr>
              <w:t>/Add.</w:t>
            </w:r>
            <w:r>
              <w:rPr>
                <w:sz w:val="20"/>
                <w:szCs w:val="20"/>
              </w:rPr>
              <w:t>2</w:t>
            </w:r>
          </w:p>
        </w:tc>
        <w:tc>
          <w:tcPr>
            <w:tcW w:w="1276" w:type="dxa"/>
            <w:gridSpan w:val="2"/>
            <w:shd w:val="clear" w:color="auto" w:fill="auto"/>
          </w:tcPr>
          <w:p w14:paraId="3C7ACB37"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4DD2D4F2" w14:textId="77777777" w:rsidR="002139E4" w:rsidRPr="007757B0" w:rsidRDefault="002139E4" w:rsidP="001A259A">
            <w:pPr>
              <w:spacing w:before="40" w:after="120" w:line="220" w:lineRule="exact"/>
              <w:rPr>
                <w:sz w:val="20"/>
                <w:szCs w:val="20"/>
              </w:rPr>
            </w:pPr>
            <w:r w:rsidRPr="00042B86">
              <w:rPr>
                <w:sz w:val="20"/>
                <w:szCs w:val="20"/>
              </w:rPr>
              <w:t xml:space="preserve">Report of the Special Rapporteur in the field of cultural rights on her </w:t>
            </w:r>
            <w:r>
              <w:rPr>
                <w:sz w:val="20"/>
                <w:szCs w:val="20"/>
              </w:rPr>
              <w:t>mission</w:t>
            </w:r>
            <w:r w:rsidRPr="00042B86">
              <w:rPr>
                <w:sz w:val="20"/>
                <w:szCs w:val="20"/>
              </w:rPr>
              <w:t xml:space="preserve"> to Malaysia: comments by the State</w:t>
            </w:r>
          </w:p>
        </w:tc>
      </w:tr>
      <w:tr w:rsidR="002139E4" w:rsidRPr="00E93295" w14:paraId="020E84C3" w14:textId="77777777" w:rsidTr="001A259A">
        <w:trPr>
          <w:trHeight w:val="240"/>
        </w:trPr>
        <w:tc>
          <w:tcPr>
            <w:tcW w:w="2410" w:type="dxa"/>
            <w:shd w:val="clear" w:color="auto" w:fill="auto"/>
          </w:tcPr>
          <w:p w14:paraId="34C5EA7E" w14:textId="77777777" w:rsidR="002139E4" w:rsidRPr="00500755" w:rsidRDefault="002139E4" w:rsidP="001A259A">
            <w:pPr>
              <w:spacing w:before="40" w:after="120" w:line="220" w:lineRule="exact"/>
              <w:rPr>
                <w:sz w:val="20"/>
                <w:szCs w:val="20"/>
              </w:rPr>
            </w:pPr>
            <w:r w:rsidRPr="007771C6">
              <w:rPr>
                <w:sz w:val="20"/>
                <w:szCs w:val="20"/>
              </w:rPr>
              <w:t>A/HRC/40/5</w:t>
            </w:r>
            <w:r>
              <w:rPr>
                <w:sz w:val="20"/>
                <w:szCs w:val="20"/>
              </w:rPr>
              <w:t>4</w:t>
            </w:r>
          </w:p>
        </w:tc>
        <w:tc>
          <w:tcPr>
            <w:tcW w:w="1276" w:type="dxa"/>
            <w:gridSpan w:val="2"/>
            <w:shd w:val="clear" w:color="auto" w:fill="auto"/>
          </w:tcPr>
          <w:p w14:paraId="27C1A8A2"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4B6F25EB" w14:textId="77777777" w:rsidR="002139E4" w:rsidRPr="007757B0" w:rsidRDefault="002139E4" w:rsidP="001A259A">
            <w:pPr>
              <w:spacing w:before="40" w:after="120" w:line="220" w:lineRule="exact"/>
              <w:rPr>
                <w:sz w:val="20"/>
                <w:szCs w:val="20"/>
              </w:rPr>
            </w:pPr>
            <w:r w:rsidRPr="00B36EDC">
              <w:rPr>
                <w:sz w:val="20"/>
                <w:szCs w:val="20"/>
              </w:rPr>
              <w:t>Report of the Special Rapporteur on the rights of persons with disabilities</w:t>
            </w:r>
          </w:p>
        </w:tc>
      </w:tr>
      <w:tr w:rsidR="002139E4" w:rsidRPr="00E93295" w14:paraId="7B1F3BA2" w14:textId="77777777" w:rsidTr="001A259A">
        <w:trPr>
          <w:trHeight w:val="240"/>
        </w:trPr>
        <w:tc>
          <w:tcPr>
            <w:tcW w:w="2410" w:type="dxa"/>
            <w:shd w:val="clear" w:color="auto" w:fill="auto"/>
          </w:tcPr>
          <w:p w14:paraId="0207DEE5" w14:textId="77777777" w:rsidR="002139E4" w:rsidRPr="00500755" w:rsidRDefault="002139E4" w:rsidP="001A259A">
            <w:pPr>
              <w:spacing w:before="40" w:after="120" w:line="220" w:lineRule="exact"/>
              <w:rPr>
                <w:sz w:val="20"/>
                <w:szCs w:val="20"/>
              </w:rPr>
            </w:pPr>
            <w:r w:rsidRPr="007771C6">
              <w:rPr>
                <w:sz w:val="20"/>
                <w:szCs w:val="20"/>
              </w:rPr>
              <w:t>A/HRC/40/5</w:t>
            </w:r>
            <w:r>
              <w:rPr>
                <w:sz w:val="20"/>
                <w:szCs w:val="20"/>
              </w:rPr>
              <w:t>4</w:t>
            </w:r>
            <w:r w:rsidRPr="007771C6">
              <w:rPr>
                <w:sz w:val="20"/>
                <w:szCs w:val="20"/>
              </w:rPr>
              <w:t>/Add.</w:t>
            </w:r>
            <w:r>
              <w:rPr>
                <w:sz w:val="20"/>
                <w:szCs w:val="20"/>
              </w:rPr>
              <w:t>1</w:t>
            </w:r>
          </w:p>
        </w:tc>
        <w:tc>
          <w:tcPr>
            <w:tcW w:w="1276" w:type="dxa"/>
            <w:gridSpan w:val="2"/>
            <w:shd w:val="clear" w:color="auto" w:fill="auto"/>
          </w:tcPr>
          <w:p w14:paraId="02FEB790"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00D4B48D" w14:textId="77777777" w:rsidR="002139E4" w:rsidRPr="007757B0" w:rsidRDefault="002139E4" w:rsidP="001A259A">
            <w:pPr>
              <w:spacing w:before="40" w:after="120" w:line="220" w:lineRule="exact"/>
              <w:rPr>
                <w:sz w:val="20"/>
                <w:szCs w:val="20"/>
              </w:rPr>
            </w:pPr>
            <w:r w:rsidRPr="00B36EDC">
              <w:rPr>
                <w:sz w:val="20"/>
                <w:szCs w:val="20"/>
              </w:rPr>
              <w:t>Report of the Special Rapporteur on the rights of persons with disabilities</w:t>
            </w:r>
            <w:r>
              <w:rPr>
                <w:sz w:val="20"/>
                <w:szCs w:val="20"/>
              </w:rPr>
              <w:t xml:space="preserve"> on her mission to </w:t>
            </w:r>
            <w:r w:rsidRPr="00B36EDC">
              <w:rPr>
                <w:sz w:val="20"/>
                <w:szCs w:val="20"/>
              </w:rPr>
              <w:t>France</w:t>
            </w:r>
          </w:p>
        </w:tc>
      </w:tr>
      <w:tr w:rsidR="002139E4" w:rsidRPr="00E93295" w14:paraId="208CCC92" w14:textId="77777777" w:rsidTr="001A259A">
        <w:trPr>
          <w:trHeight w:val="240"/>
        </w:trPr>
        <w:tc>
          <w:tcPr>
            <w:tcW w:w="2410" w:type="dxa"/>
            <w:shd w:val="clear" w:color="auto" w:fill="auto"/>
          </w:tcPr>
          <w:p w14:paraId="783FB8A0" w14:textId="77777777" w:rsidR="002139E4" w:rsidRPr="00500755" w:rsidRDefault="002139E4" w:rsidP="001A259A">
            <w:pPr>
              <w:spacing w:before="40" w:after="120" w:line="220" w:lineRule="exact"/>
              <w:rPr>
                <w:sz w:val="20"/>
                <w:szCs w:val="20"/>
              </w:rPr>
            </w:pPr>
            <w:r w:rsidRPr="007771C6">
              <w:rPr>
                <w:sz w:val="20"/>
                <w:szCs w:val="20"/>
              </w:rPr>
              <w:t>A/HRC/40/5</w:t>
            </w:r>
            <w:r>
              <w:rPr>
                <w:sz w:val="20"/>
                <w:szCs w:val="20"/>
              </w:rPr>
              <w:t>4</w:t>
            </w:r>
            <w:r w:rsidRPr="007771C6">
              <w:rPr>
                <w:sz w:val="20"/>
                <w:szCs w:val="20"/>
              </w:rPr>
              <w:t>/Add.</w:t>
            </w:r>
            <w:r>
              <w:rPr>
                <w:sz w:val="20"/>
                <w:szCs w:val="20"/>
              </w:rPr>
              <w:t>2</w:t>
            </w:r>
          </w:p>
        </w:tc>
        <w:tc>
          <w:tcPr>
            <w:tcW w:w="1276" w:type="dxa"/>
            <w:gridSpan w:val="2"/>
            <w:shd w:val="clear" w:color="auto" w:fill="auto"/>
          </w:tcPr>
          <w:p w14:paraId="3F9ACCEF"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30B4BB93" w14:textId="77777777" w:rsidR="002139E4" w:rsidRPr="007757B0" w:rsidRDefault="002139E4" w:rsidP="001A259A">
            <w:pPr>
              <w:spacing w:before="40" w:after="120" w:line="220" w:lineRule="exact"/>
              <w:rPr>
                <w:sz w:val="20"/>
                <w:szCs w:val="20"/>
              </w:rPr>
            </w:pPr>
            <w:r w:rsidRPr="00B36EDC">
              <w:rPr>
                <w:sz w:val="20"/>
                <w:szCs w:val="20"/>
              </w:rPr>
              <w:t>Report of the Special Rapporteur on the rights of persons with disabilities</w:t>
            </w:r>
            <w:r>
              <w:rPr>
                <w:sz w:val="20"/>
                <w:szCs w:val="20"/>
              </w:rPr>
              <w:t xml:space="preserve"> on her mission to </w:t>
            </w:r>
            <w:r w:rsidRPr="00B36EDC">
              <w:rPr>
                <w:sz w:val="20"/>
                <w:szCs w:val="20"/>
              </w:rPr>
              <w:t>France: comments by the State</w:t>
            </w:r>
          </w:p>
        </w:tc>
      </w:tr>
      <w:tr w:rsidR="002139E4" w:rsidRPr="00E93295" w14:paraId="0D0A0A3D" w14:textId="77777777" w:rsidTr="001A259A">
        <w:trPr>
          <w:trHeight w:val="240"/>
        </w:trPr>
        <w:tc>
          <w:tcPr>
            <w:tcW w:w="2410" w:type="dxa"/>
            <w:shd w:val="clear" w:color="auto" w:fill="auto"/>
          </w:tcPr>
          <w:p w14:paraId="5490D288" w14:textId="77777777" w:rsidR="002139E4" w:rsidRPr="00500755" w:rsidRDefault="002139E4" w:rsidP="001A259A">
            <w:pPr>
              <w:spacing w:before="40" w:after="120" w:line="220" w:lineRule="exact"/>
              <w:rPr>
                <w:sz w:val="20"/>
                <w:szCs w:val="20"/>
              </w:rPr>
            </w:pPr>
            <w:r w:rsidRPr="007771C6">
              <w:rPr>
                <w:sz w:val="20"/>
                <w:szCs w:val="20"/>
              </w:rPr>
              <w:t>A/HRC/40/5</w:t>
            </w:r>
            <w:r>
              <w:rPr>
                <w:sz w:val="20"/>
                <w:szCs w:val="20"/>
              </w:rPr>
              <w:t>5</w:t>
            </w:r>
          </w:p>
        </w:tc>
        <w:tc>
          <w:tcPr>
            <w:tcW w:w="1276" w:type="dxa"/>
            <w:gridSpan w:val="2"/>
            <w:shd w:val="clear" w:color="auto" w:fill="auto"/>
          </w:tcPr>
          <w:p w14:paraId="52E98EE9"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651C62E0" w14:textId="77777777" w:rsidR="002139E4" w:rsidRPr="007757B0" w:rsidRDefault="002139E4" w:rsidP="001A259A">
            <w:pPr>
              <w:spacing w:before="40" w:after="120" w:line="220" w:lineRule="exact"/>
              <w:rPr>
                <w:sz w:val="20"/>
                <w:szCs w:val="20"/>
              </w:rPr>
            </w:pPr>
            <w:r>
              <w:rPr>
                <w:sz w:val="20"/>
                <w:szCs w:val="20"/>
              </w:rPr>
              <w:t xml:space="preserve">Report of the </w:t>
            </w:r>
            <w:r w:rsidRPr="00DD55BD">
              <w:rPr>
                <w:sz w:val="20"/>
                <w:szCs w:val="20"/>
              </w:rPr>
              <w:t xml:space="preserve">Special Rapporteur on the issue of human rights obligations relating to the enjoyment </w:t>
            </w:r>
            <w:r w:rsidRPr="00DD55BD">
              <w:rPr>
                <w:sz w:val="20"/>
                <w:szCs w:val="20"/>
              </w:rPr>
              <w:lastRenderedPageBreak/>
              <w:t>of a safe, clean, healthy and sustainable environment</w:t>
            </w:r>
          </w:p>
        </w:tc>
      </w:tr>
      <w:tr w:rsidR="002139E4" w:rsidRPr="00E93295" w14:paraId="74140F52" w14:textId="77777777" w:rsidTr="001A259A">
        <w:trPr>
          <w:trHeight w:val="240"/>
        </w:trPr>
        <w:tc>
          <w:tcPr>
            <w:tcW w:w="2410" w:type="dxa"/>
            <w:shd w:val="clear" w:color="auto" w:fill="auto"/>
          </w:tcPr>
          <w:p w14:paraId="553777FD" w14:textId="77777777" w:rsidR="002139E4" w:rsidRPr="00500755" w:rsidRDefault="002139E4" w:rsidP="001A259A">
            <w:pPr>
              <w:spacing w:before="40" w:after="120" w:line="220" w:lineRule="exact"/>
              <w:rPr>
                <w:sz w:val="20"/>
                <w:szCs w:val="20"/>
              </w:rPr>
            </w:pPr>
            <w:r w:rsidRPr="007771C6">
              <w:rPr>
                <w:sz w:val="20"/>
                <w:szCs w:val="20"/>
              </w:rPr>
              <w:lastRenderedPageBreak/>
              <w:t>A/HRC/40/5</w:t>
            </w:r>
            <w:r>
              <w:rPr>
                <w:sz w:val="20"/>
                <w:szCs w:val="20"/>
              </w:rPr>
              <w:t>6</w:t>
            </w:r>
          </w:p>
        </w:tc>
        <w:tc>
          <w:tcPr>
            <w:tcW w:w="1276" w:type="dxa"/>
            <w:gridSpan w:val="2"/>
            <w:shd w:val="clear" w:color="auto" w:fill="auto"/>
          </w:tcPr>
          <w:p w14:paraId="4C02F6BB"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28C04B43" w14:textId="77777777" w:rsidR="002139E4" w:rsidRPr="007757B0" w:rsidRDefault="002139E4" w:rsidP="001A259A">
            <w:pPr>
              <w:spacing w:before="40" w:after="120" w:line="220" w:lineRule="exact"/>
              <w:rPr>
                <w:sz w:val="20"/>
                <w:szCs w:val="20"/>
              </w:rPr>
            </w:pPr>
            <w:r w:rsidRPr="00DD55BD">
              <w:rPr>
                <w:sz w:val="20"/>
                <w:szCs w:val="20"/>
              </w:rPr>
              <w:t>Report of the Special Rapporteur on the right to food</w:t>
            </w:r>
          </w:p>
        </w:tc>
      </w:tr>
      <w:tr w:rsidR="002139E4" w:rsidRPr="00E93295" w14:paraId="5D74025C" w14:textId="77777777" w:rsidTr="001A259A">
        <w:trPr>
          <w:trHeight w:val="240"/>
        </w:trPr>
        <w:tc>
          <w:tcPr>
            <w:tcW w:w="2410" w:type="dxa"/>
            <w:shd w:val="clear" w:color="auto" w:fill="auto"/>
          </w:tcPr>
          <w:p w14:paraId="409CAFA8" w14:textId="77777777" w:rsidR="002139E4" w:rsidRPr="00500755" w:rsidRDefault="002139E4" w:rsidP="001A259A">
            <w:pPr>
              <w:spacing w:before="40" w:after="120" w:line="220" w:lineRule="exact"/>
              <w:rPr>
                <w:sz w:val="20"/>
                <w:szCs w:val="20"/>
              </w:rPr>
            </w:pPr>
            <w:r w:rsidRPr="007771C6">
              <w:rPr>
                <w:sz w:val="20"/>
                <w:szCs w:val="20"/>
              </w:rPr>
              <w:t>A/HRC/40/5</w:t>
            </w:r>
            <w:r>
              <w:rPr>
                <w:sz w:val="20"/>
                <w:szCs w:val="20"/>
              </w:rPr>
              <w:t>6</w:t>
            </w:r>
            <w:r w:rsidRPr="007771C6">
              <w:rPr>
                <w:sz w:val="20"/>
                <w:szCs w:val="20"/>
              </w:rPr>
              <w:t>/Add.</w:t>
            </w:r>
            <w:r>
              <w:rPr>
                <w:sz w:val="20"/>
                <w:szCs w:val="20"/>
              </w:rPr>
              <w:t>1</w:t>
            </w:r>
          </w:p>
        </w:tc>
        <w:tc>
          <w:tcPr>
            <w:tcW w:w="1276" w:type="dxa"/>
            <w:gridSpan w:val="2"/>
            <w:shd w:val="clear" w:color="auto" w:fill="auto"/>
          </w:tcPr>
          <w:p w14:paraId="560B850A"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12FBB5A4" w14:textId="77777777" w:rsidR="002139E4" w:rsidRPr="007757B0" w:rsidRDefault="002139E4" w:rsidP="001A259A">
            <w:pPr>
              <w:spacing w:before="40" w:after="120" w:line="220" w:lineRule="exact"/>
              <w:rPr>
                <w:sz w:val="20"/>
                <w:szCs w:val="20"/>
              </w:rPr>
            </w:pPr>
            <w:r w:rsidRPr="00DD55BD">
              <w:rPr>
                <w:sz w:val="20"/>
                <w:szCs w:val="20"/>
              </w:rPr>
              <w:t>Report of the Special Rapporteur on the right to food</w:t>
            </w:r>
            <w:r>
              <w:rPr>
                <w:sz w:val="20"/>
                <w:szCs w:val="20"/>
              </w:rPr>
              <w:t xml:space="preserve"> on her mission to </w:t>
            </w:r>
            <w:r w:rsidRPr="00DD55BD">
              <w:rPr>
                <w:sz w:val="20"/>
                <w:szCs w:val="20"/>
              </w:rPr>
              <w:t>Viet Nam</w:t>
            </w:r>
          </w:p>
        </w:tc>
      </w:tr>
      <w:tr w:rsidR="002139E4" w:rsidRPr="00E93295" w14:paraId="7C4C9415" w14:textId="77777777" w:rsidTr="001A259A">
        <w:trPr>
          <w:trHeight w:val="240"/>
        </w:trPr>
        <w:tc>
          <w:tcPr>
            <w:tcW w:w="2410" w:type="dxa"/>
            <w:shd w:val="clear" w:color="auto" w:fill="auto"/>
          </w:tcPr>
          <w:p w14:paraId="468B5C96" w14:textId="77777777" w:rsidR="002139E4" w:rsidRPr="00500755" w:rsidRDefault="002139E4" w:rsidP="001A259A">
            <w:pPr>
              <w:spacing w:before="40" w:after="120" w:line="220" w:lineRule="exact"/>
              <w:rPr>
                <w:sz w:val="20"/>
                <w:szCs w:val="20"/>
              </w:rPr>
            </w:pPr>
            <w:r w:rsidRPr="007771C6">
              <w:rPr>
                <w:sz w:val="20"/>
                <w:szCs w:val="20"/>
              </w:rPr>
              <w:t>A/HRC/40/5</w:t>
            </w:r>
            <w:r>
              <w:rPr>
                <w:sz w:val="20"/>
                <w:szCs w:val="20"/>
              </w:rPr>
              <w:t>6</w:t>
            </w:r>
            <w:r w:rsidRPr="007771C6">
              <w:rPr>
                <w:sz w:val="20"/>
                <w:szCs w:val="20"/>
              </w:rPr>
              <w:t>/Add.</w:t>
            </w:r>
            <w:r>
              <w:rPr>
                <w:sz w:val="20"/>
                <w:szCs w:val="20"/>
              </w:rPr>
              <w:t>2</w:t>
            </w:r>
          </w:p>
        </w:tc>
        <w:tc>
          <w:tcPr>
            <w:tcW w:w="1276" w:type="dxa"/>
            <w:gridSpan w:val="2"/>
            <w:shd w:val="clear" w:color="auto" w:fill="auto"/>
          </w:tcPr>
          <w:p w14:paraId="6B6BC62C"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209E8477" w14:textId="77777777" w:rsidR="002139E4" w:rsidRPr="007757B0" w:rsidRDefault="002139E4" w:rsidP="001A259A">
            <w:pPr>
              <w:spacing w:before="40" w:after="120" w:line="220" w:lineRule="exact"/>
              <w:rPr>
                <w:sz w:val="20"/>
                <w:szCs w:val="20"/>
              </w:rPr>
            </w:pPr>
            <w:r w:rsidRPr="00DD55BD">
              <w:rPr>
                <w:sz w:val="20"/>
                <w:szCs w:val="20"/>
              </w:rPr>
              <w:t>Report of the Special Rapporteur on the right to food</w:t>
            </w:r>
            <w:r>
              <w:rPr>
                <w:sz w:val="20"/>
                <w:szCs w:val="20"/>
              </w:rPr>
              <w:t xml:space="preserve"> on her mission to </w:t>
            </w:r>
            <w:r w:rsidRPr="00DD55BD">
              <w:rPr>
                <w:sz w:val="20"/>
                <w:szCs w:val="20"/>
              </w:rPr>
              <w:t>Indonesia</w:t>
            </w:r>
          </w:p>
        </w:tc>
      </w:tr>
      <w:tr w:rsidR="002139E4" w:rsidRPr="00E93295" w14:paraId="3AA64060" w14:textId="77777777" w:rsidTr="001A259A">
        <w:trPr>
          <w:trHeight w:val="240"/>
        </w:trPr>
        <w:tc>
          <w:tcPr>
            <w:tcW w:w="2410" w:type="dxa"/>
            <w:shd w:val="clear" w:color="auto" w:fill="auto"/>
          </w:tcPr>
          <w:p w14:paraId="20D9D514" w14:textId="77777777" w:rsidR="002139E4" w:rsidRPr="00500755" w:rsidRDefault="002139E4" w:rsidP="001A259A">
            <w:pPr>
              <w:spacing w:before="40" w:after="120" w:line="220" w:lineRule="exact"/>
              <w:rPr>
                <w:sz w:val="20"/>
                <w:szCs w:val="20"/>
              </w:rPr>
            </w:pPr>
            <w:r w:rsidRPr="007771C6">
              <w:rPr>
                <w:sz w:val="20"/>
                <w:szCs w:val="20"/>
              </w:rPr>
              <w:t>A/HRC/40/5</w:t>
            </w:r>
            <w:r>
              <w:rPr>
                <w:sz w:val="20"/>
                <w:szCs w:val="20"/>
              </w:rPr>
              <w:t>6</w:t>
            </w:r>
            <w:r w:rsidRPr="007771C6">
              <w:rPr>
                <w:sz w:val="20"/>
                <w:szCs w:val="20"/>
              </w:rPr>
              <w:t>/Add.</w:t>
            </w:r>
            <w:r>
              <w:rPr>
                <w:sz w:val="20"/>
                <w:szCs w:val="20"/>
              </w:rPr>
              <w:t>3</w:t>
            </w:r>
          </w:p>
        </w:tc>
        <w:tc>
          <w:tcPr>
            <w:tcW w:w="1276" w:type="dxa"/>
            <w:gridSpan w:val="2"/>
            <w:shd w:val="clear" w:color="auto" w:fill="auto"/>
          </w:tcPr>
          <w:p w14:paraId="5FD02606"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4F4F9224" w14:textId="77777777" w:rsidR="002139E4" w:rsidRPr="007757B0" w:rsidRDefault="002139E4" w:rsidP="001A259A">
            <w:pPr>
              <w:spacing w:before="40" w:after="120" w:line="220" w:lineRule="exact"/>
              <w:rPr>
                <w:sz w:val="20"/>
                <w:szCs w:val="20"/>
              </w:rPr>
            </w:pPr>
            <w:r w:rsidRPr="00DD55BD">
              <w:rPr>
                <w:sz w:val="20"/>
                <w:szCs w:val="20"/>
              </w:rPr>
              <w:t>Report of the Special Rapporteur on the right to food</w:t>
            </w:r>
            <w:r>
              <w:rPr>
                <w:sz w:val="20"/>
                <w:szCs w:val="20"/>
              </w:rPr>
              <w:t xml:space="preserve"> on her mission to </w:t>
            </w:r>
            <w:r w:rsidRPr="00DD55BD">
              <w:rPr>
                <w:sz w:val="20"/>
                <w:szCs w:val="20"/>
              </w:rPr>
              <w:t>Argentina</w:t>
            </w:r>
          </w:p>
        </w:tc>
      </w:tr>
      <w:tr w:rsidR="002139E4" w:rsidRPr="00E93295" w14:paraId="10AC7B7E" w14:textId="77777777" w:rsidTr="001A259A">
        <w:trPr>
          <w:trHeight w:val="240"/>
        </w:trPr>
        <w:tc>
          <w:tcPr>
            <w:tcW w:w="2410" w:type="dxa"/>
            <w:shd w:val="clear" w:color="auto" w:fill="auto"/>
          </w:tcPr>
          <w:p w14:paraId="17007FCA" w14:textId="77777777" w:rsidR="002139E4" w:rsidRPr="00500755" w:rsidRDefault="002139E4" w:rsidP="001A259A">
            <w:pPr>
              <w:spacing w:before="40" w:after="120" w:line="220" w:lineRule="exact"/>
              <w:rPr>
                <w:sz w:val="20"/>
                <w:szCs w:val="20"/>
              </w:rPr>
            </w:pPr>
            <w:r w:rsidRPr="007771C6">
              <w:rPr>
                <w:sz w:val="20"/>
                <w:szCs w:val="20"/>
              </w:rPr>
              <w:t>A/HRC/40/5</w:t>
            </w:r>
            <w:r>
              <w:rPr>
                <w:sz w:val="20"/>
                <w:szCs w:val="20"/>
              </w:rPr>
              <w:t>6</w:t>
            </w:r>
            <w:r w:rsidRPr="007771C6">
              <w:rPr>
                <w:sz w:val="20"/>
                <w:szCs w:val="20"/>
              </w:rPr>
              <w:t>/Add.</w:t>
            </w:r>
            <w:r>
              <w:rPr>
                <w:sz w:val="20"/>
                <w:szCs w:val="20"/>
              </w:rPr>
              <w:t>4</w:t>
            </w:r>
          </w:p>
        </w:tc>
        <w:tc>
          <w:tcPr>
            <w:tcW w:w="1276" w:type="dxa"/>
            <w:gridSpan w:val="2"/>
            <w:shd w:val="clear" w:color="auto" w:fill="auto"/>
          </w:tcPr>
          <w:p w14:paraId="093324DB"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0A198914" w14:textId="77777777" w:rsidR="002139E4" w:rsidRPr="007757B0" w:rsidRDefault="002139E4" w:rsidP="001A259A">
            <w:pPr>
              <w:spacing w:before="40" w:after="120" w:line="220" w:lineRule="exact"/>
              <w:rPr>
                <w:sz w:val="20"/>
                <w:szCs w:val="20"/>
              </w:rPr>
            </w:pPr>
            <w:r w:rsidRPr="00DD55BD">
              <w:rPr>
                <w:sz w:val="20"/>
                <w:szCs w:val="20"/>
              </w:rPr>
              <w:t>Report of the Special Rapporteur on the right to food</w:t>
            </w:r>
            <w:r>
              <w:rPr>
                <w:sz w:val="20"/>
                <w:szCs w:val="20"/>
              </w:rPr>
              <w:t xml:space="preserve"> on her mission to </w:t>
            </w:r>
            <w:r w:rsidRPr="00DD55BD">
              <w:rPr>
                <w:sz w:val="20"/>
                <w:szCs w:val="20"/>
              </w:rPr>
              <w:t>Indonesia</w:t>
            </w:r>
            <w:r>
              <w:rPr>
                <w:sz w:val="20"/>
                <w:szCs w:val="20"/>
              </w:rPr>
              <w:t xml:space="preserve">: </w:t>
            </w:r>
            <w:r w:rsidRPr="00B36EDC">
              <w:rPr>
                <w:sz w:val="20"/>
                <w:szCs w:val="20"/>
              </w:rPr>
              <w:t>comments by the State</w:t>
            </w:r>
          </w:p>
        </w:tc>
      </w:tr>
      <w:tr w:rsidR="002139E4" w:rsidRPr="00E93295" w14:paraId="13799345" w14:textId="77777777" w:rsidTr="001A259A">
        <w:trPr>
          <w:trHeight w:val="240"/>
        </w:trPr>
        <w:tc>
          <w:tcPr>
            <w:tcW w:w="2410" w:type="dxa"/>
            <w:shd w:val="clear" w:color="auto" w:fill="auto"/>
          </w:tcPr>
          <w:p w14:paraId="440A3F3B" w14:textId="77777777" w:rsidR="002139E4" w:rsidRPr="00500755" w:rsidRDefault="002139E4" w:rsidP="001A259A">
            <w:pPr>
              <w:spacing w:before="40" w:after="120" w:line="220" w:lineRule="exact"/>
              <w:rPr>
                <w:sz w:val="20"/>
                <w:szCs w:val="20"/>
              </w:rPr>
            </w:pPr>
            <w:r w:rsidRPr="007771C6">
              <w:rPr>
                <w:sz w:val="20"/>
                <w:szCs w:val="20"/>
              </w:rPr>
              <w:t>A/HRC/40/5</w:t>
            </w:r>
            <w:r>
              <w:rPr>
                <w:sz w:val="20"/>
                <w:szCs w:val="20"/>
              </w:rPr>
              <w:t>6</w:t>
            </w:r>
            <w:r w:rsidRPr="007771C6">
              <w:rPr>
                <w:sz w:val="20"/>
                <w:szCs w:val="20"/>
              </w:rPr>
              <w:t>/Add.</w:t>
            </w:r>
            <w:r>
              <w:rPr>
                <w:sz w:val="20"/>
                <w:szCs w:val="20"/>
              </w:rPr>
              <w:t>5</w:t>
            </w:r>
          </w:p>
        </w:tc>
        <w:tc>
          <w:tcPr>
            <w:tcW w:w="1276" w:type="dxa"/>
            <w:gridSpan w:val="2"/>
            <w:shd w:val="clear" w:color="auto" w:fill="auto"/>
          </w:tcPr>
          <w:p w14:paraId="58288596"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2599AC74" w14:textId="77777777" w:rsidR="002139E4" w:rsidRPr="007757B0" w:rsidRDefault="002139E4" w:rsidP="001A259A">
            <w:pPr>
              <w:spacing w:before="40" w:after="120" w:line="220" w:lineRule="exact"/>
              <w:rPr>
                <w:sz w:val="20"/>
                <w:szCs w:val="20"/>
              </w:rPr>
            </w:pPr>
            <w:r w:rsidRPr="00DD55BD">
              <w:rPr>
                <w:sz w:val="20"/>
                <w:szCs w:val="20"/>
              </w:rPr>
              <w:t>Report of the Special Rapporteur on the right to food</w:t>
            </w:r>
            <w:r>
              <w:rPr>
                <w:sz w:val="20"/>
                <w:szCs w:val="20"/>
              </w:rPr>
              <w:t xml:space="preserve"> on her mission to </w:t>
            </w:r>
            <w:r w:rsidRPr="00DD55BD">
              <w:rPr>
                <w:sz w:val="20"/>
                <w:szCs w:val="20"/>
              </w:rPr>
              <w:t>Argentina</w:t>
            </w:r>
            <w:r>
              <w:rPr>
                <w:sz w:val="20"/>
                <w:szCs w:val="20"/>
              </w:rPr>
              <w:t xml:space="preserve">: </w:t>
            </w:r>
            <w:r w:rsidRPr="00B36EDC">
              <w:rPr>
                <w:sz w:val="20"/>
                <w:szCs w:val="20"/>
              </w:rPr>
              <w:t>comments by the State</w:t>
            </w:r>
          </w:p>
        </w:tc>
      </w:tr>
      <w:tr w:rsidR="002139E4" w:rsidRPr="00E93295" w14:paraId="54BD44CF" w14:textId="77777777" w:rsidTr="001A259A">
        <w:trPr>
          <w:trHeight w:val="240"/>
        </w:trPr>
        <w:tc>
          <w:tcPr>
            <w:tcW w:w="2410" w:type="dxa"/>
            <w:shd w:val="clear" w:color="auto" w:fill="auto"/>
          </w:tcPr>
          <w:p w14:paraId="3A13693A" w14:textId="77777777" w:rsidR="002139E4" w:rsidRPr="00500755" w:rsidRDefault="002139E4" w:rsidP="001A259A">
            <w:pPr>
              <w:spacing w:before="40" w:after="120" w:line="220" w:lineRule="exact"/>
              <w:rPr>
                <w:sz w:val="20"/>
                <w:szCs w:val="20"/>
              </w:rPr>
            </w:pPr>
            <w:r w:rsidRPr="007771C6">
              <w:rPr>
                <w:sz w:val="20"/>
                <w:szCs w:val="20"/>
              </w:rPr>
              <w:t>A/HRC/40/5</w:t>
            </w:r>
            <w:r>
              <w:rPr>
                <w:sz w:val="20"/>
                <w:szCs w:val="20"/>
              </w:rPr>
              <w:t>7</w:t>
            </w:r>
          </w:p>
        </w:tc>
        <w:tc>
          <w:tcPr>
            <w:tcW w:w="1276" w:type="dxa"/>
            <w:gridSpan w:val="2"/>
            <w:shd w:val="clear" w:color="auto" w:fill="auto"/>
          </w:tcPr>
          <w:p w14:paraId="15B8A187"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67196825" w14:textId="77777777" w:rsidR="002139E4" w:rsidRPr="007757B0" w:rsidRDefault="002139E4" w:rsidP="001A259A">
            <w:pPr>
              <w:spacing w:before="40" w:after="120" w:line="220" w:lineRule="exact"/>
              <w:rPr>
                <w:sz w:val="20"/>
                <w:szCs w:val="20"/>
              </w:rPr>
            </w:pPr>
            <w:r w:rsidRPr="002D056F">
              <w:rPr>
                <w:sz w:val="20"/>
                <w:szCs w:val="20"/>
              </w:rPr>
              <w:t>Guiding principles on human rights impact assessments of economic reforms</w:t>
            </w:r>
            <w:r>
              <w:rPr>
                <w:sz w:val="20"/>
                <w:szCs w:val="20"/>
              </w:rPr>
              <w:t>:</w:t>
            </w:r>
            <w:r w:rsidRPr="002D056F">
              <w:rPr>
                <w:sz w:val="20"/>
                <w:szCs w:val="20"/>
              </w:rPr>
              <w:t xml:space="preserve"> report of the Independent Expert on the effects of foreign debt and other related international financial obligations of States on the full enjoyment of human rights, particularly economic, social and cultural rights</w:t>
            </w:r>
          </w:p>
        </w:tc>
      </w:tr>
      <w:tr w:rsidR="002139E4" w:rsidRPr="00E93295" w14:paraId="1A49484B" w14:textId="77777777" w:rsidTr="001A259A">
        <w:trPr>
          <w:trHeight w:val="240"/>
        </w:trPr>
        <w:tc>
          <w:tcPr>
            <w:tcW w:w="2410" w:type="dxa"/>
            <w:shd w:val="clear" w:color="auto" w:fill="auto"/>
          </w:tcPr>
          <w:p w14:paraId="7C058C37" w14:textId="77777777" w:rsidR="002139E4" w:rsidRPr="00500755" w:rsidRDefault="002139E4" w:rsidP="001A259A">
            <w:pPr>
              <w:spacing w:before="40" w:after="120" w:line="220" w:lineRule="exact"/>
              <w:rPr>
                <w:sz w:val="20"/>
                <w:szCs w:val="20"/>
              </w:rPr>
            </w:pPr>
            <w:r w:rsidRPr="007771C6">
              <w:rPr>
                <w:sz w:val="20"/>
                <w:szCs w:val="20"/>
              </w:rPr>
              <w:t>A/HRC/40/5</w:t>
            </w:r>
            <w:r>
              <w:rPr>
                <w:sz w:val="20"/>
                <w:szCs w:val="20"/>
              </w:rPr>
              <w:t>7/Add.1</w:t>
            </w:r>
          </w:p>
        </w:tc>
        <w:tc>
          <w:tcPr>
            <w:tcW w:w="1276" w:type="dxa"/>
            <w:gridSpan w:val="2"/>
            <w:shd w:val="clear" w:color="auto" w:fill="auto"/>
          </w:tcPr>
          <w:p w14:paraId="7BE12412"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0731BDC1" w14:textId="77777777" w:rsidR="002139E4" w:rsidRPr="007757B0" w:rsidRDefault="002139E4" w:rsidP="001A259A">
            <w:pPr>
              <w:spacing w:before="40" w:after="120" w:line="220" w:lineRule="exact"/>
              <w:rPr>
                <w:sz w:val="20"/>
                <w:szCs w:val="20"/>
              </w:rPr>
            </w:pPr>
            <w:r w:rsidRPr="002D056F">
              <w:rPr>
                <w:sz w:val="20"/>
                <w:szCs w:val="20"/>
              </w:rPr>
              <w:t>Report of the Independent Expert on the effects of foreign debt and other related international financial obligations of States on the full enjoyment of human rights, particularly economic, social and cultural rights</w:t>
            </w:r>
            <w:r>
              <w:rPr>
                <w:sz w:val="20"/>
                <w:szCs w:val="20"/>
              </w:rPr>
              <w:t xml:space="preserve"> on his mission to </w:t>
            </w:r>
            <w:r w:rsidRPr="002D056F">
              <w:rPr>
                <w:sz w:val="20"/>
                <w:szCs w:val="20"/>
              </w:rPr>
              <w:t>Ukraine</w:t>
            </w:r>
          </w:p>
        </w:tc>
      </w:tr>
      <w:tr w:rsidR="002139E4" w:rsidRPr="00E93295" w14:paraId="7E39F57F" w14:textId="77777777" w:rsidTr="001A259A">
        <w:trPr>
          <w:trHeight w:val="240"/>
        </w:trPr>
        <w:tc>
          <w:tcPr>
            <w:tcW w:w="2410" w:type="dxa"/>
            <w:shd w:val="clear" w:color="auto" w:fill="auto"/>
          </w:tcPr>
          <w:p w14:paraId="08671B0C" w14:textId="77777777" w:rsidR="002139E4" w:rsidRPr="00500755" w:rsidRDefault="002139E4" w:rsidP="001A259A">
            <w:pPr>
              <w:spacing w:before="40" w:after="120" w:line="220" w:lineRule="exact"/>
              <w:rPr>
                <w:sz w:val="20"/>
                <w:szCs w:val="20"/>
              </w:rPr>
            </w:pPr>
            <w:r w:rsidRPr="007771C6">
              <w:rPr>
                <w:sz w:val="20"/>
                <w:szCs w:val="20"/>
              </w:rPr>
              <w:t>A/HRC/40/5</w:t>
            </w:r>
            <w:r>
              <w:rPr>
                <w:sz w:val="20"/>
                <w:szCs w:val="20"/>
              </w:rPr>
              <w:t>7/Add.2</w:t>
            </w:r>
          </w:p>
        </w:tc>
        <w:tc>
          <w:tcPr>
            <w:tcW w:w="1276" w:type="dxa"/>
            <w:gridSpan w:val="2"/>
            <w:shd w:val="clear" w:color="auto" w:fill="auto"/>
          </w:tcPr>
          <w:p w14:paraId="76855EDE"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75955DBC" w14:textId="77777777" w:rsidR="002139E4" w:rsidRPr="007757B0" w:rsidRDefault="002139E4" w:rsidP="001A259A">
            <w:pPr>
              <w:spacing w:before="40" w:after="120" w:line="220" w:lineRule="exact"/>
              <w:rPr>
                <w:sz w:val="20"/>
                <w:szCs w:val="20"/>
              </w:rPr>
            </w:pPr>
            <w:r w:rsidRPr="002D056F">
              <w:rPr>
                <w:sz w:val="20"/>
                <w:szCs w:val="20"/>
              </w:rPr>
              <w:t>Report of the Independent Expert on the effects of foreign debt and other related international financial obligations of States on the full enjoyment of human rights, particularly economic, social and cultural rights</w:t>
            </w:r>
            <w:r>
              <w:rPr>
                <w:sz w:val="20"/>
                <w:szCs w:val="20"/>
              </w:rPr>
              <w:t xml:space="preserve"> on his mission to </w:t>
            </w:r>
            <w:r w:rsidRPr="002D056F">
              <w:rPr>
                <w:sz w:val="20"/>
                <w:szCs w:val="20"/>
              </w:rPr>
              <w:t>Sri Lanka</w:t>
            </w:r>
          </w:p>
        </w:tc>
      </w:tr>
      <w:tr w:rsidR="002139E4" w:rsidRPr="00E93295" w14:paraId="60FEF64A" w14:textId="77777777" w:rsidTr="001A259A">
        <w:trPr>
          <w:trHeight w:val="240"/>
        </w:trPr>
        <w:tc>
          <w:tcPr>
            <w:tcW w:w="2410" w:type="dxa"/>
            <w:shd w:val="clear" w:color="auto" w:fill="auto"/>
          </w:tcPr>
          <w:p w14:paraId="108C0140" w14:textId="77777777" w:rsidR="002139E4" w:rsidRPr="00500755" w:rsidRDefault="002139E4" w:rsidP="001A259A">
            <w:pPr>
              <w:spacing w:before="40" w:after="120" w:line="220" w:lineRule="exact"/>
              <w:rPr>
                <w:sz w:val="20"/>
                <w:szCs w:val="20"/>
              </w:rPr>
            </w:pPr>
            <w:r w:rsidRPr="007771C6">
              <w:rPr>
                <w:sz w:val="20"/>
                <w:szCs w:val="20"/>
              </w:rPr>
              <w:t>A/HRC/40/5</w:t>
            </w:r>
            <w:r>
              <w:rPr>
                <w:sz w:val="20"/>
                <w:szCs w:val="20"/>
              </w:rPr>
              <w:t>7/Add.3</w:t>
            </w:r>
          </w:p>
        </w:tc>
        <w:tc>
          <w:tcPr>
            <w:tcW w:w="1276" w:type="dxa"/>
            <w:gridSpan w:val="2"/>
            <w:shd w:val="clear" w:color="auto" w:fill="auto"/>
          </w:tcPr>
          <w:p w14:paraId="6618AE51"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5BE450DC" w14:textId="77777777" w:rsidR="002139E4" w:rsidRPr="007757B0" w:rsidRDefault="002139E4" w:rsidP="001A259A">
            <w:pPr>
              <w:spacing w:before="40" w:after="120" w:line="220" w:lineRule="exact"/>
              <w:rPr>
                <w:sz w:val="20"/>
                <w:szCs w:val="20"/>
              </w:rPr>
            </w:pPr>
            <w:r w:rsidRPr="002D056F">
              <w:rPr>
                <w:sz w:val="20"/>
                <w:szCs w:val="20"/>
              </w:rPr>
              <w:t>Report of the Independent Expert on the effects of foreign debt and other related international financial obligations of States on the full enjoyment of human rights, particularly economic, social and cultural rights</w:t>
            </w:r>
            <w:r>
              <w:rPr>
                <w:sz w:val="20"/>
                <w:szCs w:val="20"/>
              </w:rPr>
              <w:t xml:space="preserve"> on his mission to </w:t>
            </w:r>
            <w:r w:rsidRPr="002D056F">
              <w:rPr>
                <w:sz w:val="20"/>
                <w:szCs w:val="20"/>
              </w:rPr>
              <w:t>Ukraine</w:t>
            </w:r>
            <w:r>
              <w:rPr>
                <w:sz w:val="20"/>
                <w:szCs w:val="20"/>
              </w:rPr>
              <w:t>: comments by the State</w:t>
            </w:r>
          </w:p>
        </w:tc>
      </w:tr>
      <w:tr w:rsidR="002139E4" w:rsidRPr="00E93295" w14:paraId="57469727" w14:textId="77777777" w:rsidTr="001A259A">
        <w:trPr>
          <w:trHeight w:val="240"/>
        </w:trPr>
        <w:tc>
          <w:tcPr>
            <w:tcW w:w="2410" w:type="dxa"/>
            <w:shd w:val="clear" w:color="auto" w:fill="auto"/>
          </w:tcPr>
          <w:p w14:paraId="303B6414" w14:textId="77777777" w:rsidR="002139E4" w:rsidRPr="00500755" w:rsidRDefault="002139E4" w:rsidP="001A259A">
            <w:pPr>
              <w:spacing w:before="40" w:after="120" w:line="220" w:lineRule="exact"/>
              <w:rPr>
                <w:sz w:val="20"/>
                <w:szCs w:val="20"/>
              </w:rPr>
            </w:pPr>
            <w:r w:rsidRPr="007771C6">
              <w:rPr>
                <w:sz w:val="20"/>
                <w:szCs w:val="20"/>
              </w:rPr>
              <w:t>A/HRC/40/5</w:t>
            </w:r>
            <w:r>
              <w:rPr>
                <w:sz w:val="20"/>
                <w:szCs w:val="20"/>
              </w:rPr>
              <w:t>7/Add.4</w:t>
            </w:r>
          </w:p>
        </w:tc>
        <w:tc>
          <w:tcPr>
            <w:tcW w:w="1276" w:type="dxa"/>
            <w:gridSpan w:val="2"/>
            <w:shd w:val="clear" w:color="auto" w:fill="auto"/>
          </w:tcPr>
          <w:p w14:paraId="717B1C05"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1AEED3F8" w14:textId="77777777" w:rsidR="002139E4" w:rsidRPr="007757B0" w:rsidRDefault="002139E4" w:rsidP="001A259A">
            <w:pPr>
              <w:spacing w:before="40" w:after="120" w:line="220" w:lineRule="exact"/>
              <w:rPr>
                <w:sz w:val="20"/>
                <w:szCs w:val="20"/>
              </w:rPr>
            </w:pPr>
            <w:r w:rsidRPr="002D056F">
              <w:rPr>
                <w:sz w:val="20"/>
                <w:szCs w:val="20"/>
              </w:rPr>
              <w:t>Report of the Independent Expert on the effects of foreign debt and other related international financial obligations of States on the full enjoyment of human rights, particularly economic, social and cultural rights</w:t>
            </w:r>
            <w:r>
              <w:rPr>
                <w:sz w:val="20"/>
                <w:szCs w:val="20"/>
              </w:rPr>
              <w:t xml:space="preserve"> on his mission to </w:t>
            </w:r>
            <w:r w:rsidRPr="002D056F">
              <w:rPr>
                <w:sz w:val="20"/>
                <w:szCs w:val="20"/>
              </w:rPr>
              <w:t>Sri Lanka</w:t>
            </w:r>
            <w:r>
              <w:rPr>
                <w:sz w:val="20"/>
                <w:szCs w:val="20"/>
              </w:rPr>
              <w:t>: comments by the State</w:t>
            </w:r>
          </w:p>
        </w:tc>
      </w:tr>
      <w:tr w:rsidR="002139E4" w:rsidRPr="00E93295" w14:paraId="374DEB68" w14:textId="77777777" w:rsidTr="001A259A">
        <w:trPr>
          <w:trHeight w:val="240"/>
        </w:trPr>
        <w:tc>
          <w:tcPr>
            <w:tcW w:w="2410" w:type="dxa"/>
            <w:shd w:val="clear" w:color="auto" w:fill="auto"/>
          </w:tcPr>
          <w:p w14:paraId="4A2186A3" w14:textId="77777777" w:rsidR="002139E4" w:rsidRPr="00500755" w:rsidRDefault="002139E4" w:rsidP="001A259A">
            <w:pPr>
              <w:spacing w:before="40" w:after="120" w:line="220" w:lineRule="exact"/>
              <w:rPr>
                <w:sz w:val="20"/>
                <w:szCs w:val="20"/>
              </w:rPr>
            </w:pPr>
            <w:r w:rsidRPr="007771C6">
              <w:rPr>
                <w:sz w:val="20"/>
                <w:szCs w:val="20"/>
              </w:rPr>
              <w:lastRenderedPageBreak/>
              <w:t>A/HRC/40/5</w:t>
            </w:r>
            <w:r>
              <w:rPr>
                <w:sz w:val="20"/>
                <w:szCs w:val="20"/>
              </w:rPr>
              <w:t>8</w:t>
            </w:r>
          </w:p>
        </w:tc>
        <w:tc>
          <w:tcPr>
            <w:tcW w:w="1276" w:type="dxa"/>
            <w:gridSpan w:val="2"/>
            <w:shd w:val="clear" w:color="auto" w:fill="auto"/>
          </w:tcPr>
          <w:p w14:paraId="03370265"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706394BC" w14:textId="77777777" w:rsidR="002139E4" w:rsidRPr="007757B0" w:rsidRDefault="002139E4" w:rsidP="001A259A">
            <w:pPr>
              <w:spacing w:before="40" w:after="120" w:line="220" w:lineRule="exact"/>
              <w:rPr>
                <w:sz w:val="20"/>
                <w:szCs w:val="20"/>
              </w:rPr>
            </w:pPr>
            <w:r w:rsidRPr="002D056F">
              <w:rPr>
                <w:sz w:val="20"/>
                <w:szCs w:val="20"/>
              </w:rPr>
              <w:t>Report of the Special Rapporteur on freedom of religion or belief</w:t>
            </w:r>
          </w:p>
        </w:tc>
      </w:tr>
      <w:tr w:rsidR="002139E4" w:rsidRPr="00E93295" w14:paraId="2484206F" w14:textId="77777777" w:rsidTr="001A259A">
        <w:trPr>
          <w:trHeight w:val="240"/>
        </w:trPr>
        <w:tc>
          <w:tcPr>
            <w:tcW w:w="2410" w:type="dxa"/>
            <w:shd w:val="clear" w:color="auto" w:fill="auto"/>
          </w:tcPr>
          <w:p w14:paraId="434CCFF8" w14:textId="77777777" w:rsidR="002139E4" w:rsidRPr="00500755" w:rsidRDefault="002139E4" w:rsidP="001A259A">
            <w:pPr>
              <w:spacing w:before="40" w:after="120" w:line="220" w:lineRule="exact"/>
              <w:rPr>
                <w:sz w:val="20"/>
                <w:szCs w:val="20"/>
              </w:rPr>
            </w:pPr>
            <w:r w:rsidRPr="007771C6">
              <w:rPr>
                <w:sz w:val="20"/>
                <w:szCs w:val="20"/>
              </w:rPr>
              <w:t>A/HRC/40/5</w:t>
            </w:r>
            <w:r>
              <w:rPr>
                <w:sz w:val="20"/>
                <w:szCs w:val="20"/>
              </w:rPr>
              <w:t>8/Add.1</w:t>
            </w:r>
          </w:p>
        </w:tc>
        <w:tc>
          <w:tcPr>
            <w:tcW w:w="1276" w:type="dxa"/>
            <w:gridSpan w:val="2"/>
            <w:shd w:val="clear" w:color="auto" w:fill="auto"/>
          </w:tcPr>
          <w:p w14:paraId="74D3391A"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66429CBE" w14:textId="77777777" w:rsidR="002139E4" w:rsidRPr="007757B0" w:rsidRDefault="002139E4" w:rsidP="001A259A">
            <w:pPr>
              <w:spacing w:before="40" w:after="120" w:line="220" w:lineRule="exact"/>
              <w:rPr>
                <w:sz w:val="20"/>
                <w:szCs w:val="20"/>
              </w:rPr>
            </w:pPr>
            <w:r w:rsidRPr="002D056F">
              <w:rPr>
                <w:sz w:val="20"/>
                <w:szCs w:val="20"/>
              </w:rPr>
              <w:t>Report of the Special Rapporteur on freedom of religion or belief</w:t>
            </w:r>
            <w:r>
              <w:rPr>
                <w:sz w:val="20"/>
                <w:szCs w:val="20"/>
              </w:rPr>
              <w:t xml:space="preserve"> on his mission to Tunisia</w:t>
            </w:r>
          </w:p>
        </w:tc>
      </w:tr>
      <w:tr w:rsidR="002139E4" w:rsidRPr="00E93295" w14:paraId="273E114E" w14:textId="77777777" w:rsidTr="001A259A">
        <w:trPr>
          <w:trHeight w:val="240"/>
        </w:trPr>
        <w:tc>
          <w:tcPr>
            <w:tcW w:w="2410" w:type="dxa"/>
            <w:shd w:val="clear" w:color="auto" w:fill="auto"/>
          </w:tcPr>
          <w:p w14:paraId="7BDCFC04" w14:textId="77777777" w:rsidR="002139E4" w:rsidRPr="00500755" w:rsidRDefault="002139E4" w:rsidP="001A259A">
            <w:pPr>
              <w:spacing w:before="40" w:after="120" w:line="220" w:lineRule="exact"/>
              <w:rPr>
                <w:sz w:val="20"/>
                <w:szCs w:val="20"/>
              </w:rPr>
            </w:pPr>
            <w:r w:rsidRPr="007771C6">
              <w:rPr>
                <w:sz w:val="20"/>
                <w:szCs w:val="20"/>
              </w:rPr>
              <w:t>A/HRC/40/5</w:t>
            </w:r>
            <w:r>
              <w:rPr>
                <w:sz w:val="20"/>
                <w:szCs w:val="20"/>
              </w:rPr>
              <w:t>8/Add.2</w:t>
            </w:r>
          </w:p>
        </w:tc>
        <w:tc>
          <w:tcPr>
            <w:tcW w:w="1276" w:type="dxa"/>
            <w:gridSpan w:val="2"/>
            <w:shd w:val="clear" w:color="auto" w:fill="auto"/>
          </w:tcPr>
          <w:p w14:paraId="67BD2069"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5D9138D4" w14:textId="77777777" w:rsidR="002139E4" w:rsidRPr="007757B0" w:rsidRDefault="002139E4" w:rsidP="001A259A">
            <w:pPr>
              <w:spacing w:before="40" w:after="120" w:line="220" w:lineRule="exact"/>
              <w:rPr>
                <w:sz w:val="20"/>
                <w:szCs w:val="20"/>
              </w:rPr>
            </w:pPr>
            <w:r w:rsidRPr="002D056F">
              <w:rPr>
                <w:sz w:val="20"/>
                <w:szCs w:val="20"/>
              </w:rPr>
              <w:t>Report of the Special Rapporteur on freedom of religion or belief</w:t>
            </w:r>
            <w:r>
              <w:rPr>
                <w:sz w:val="20"/>
                <w:szCs w:val="20"/>
              </w:rPr>
              <w:t xml:space="preserve"> on his mission to Tunisia: comments by the State</w:t>
            </w:r>
          </w:p>
        </w:tc>
      </w:tr>
      <w:tr w:rsidR="002139E4" w:rsidRPr="00E93295" w14:paraId="0CE5EDC0" w14:textId="77777777" w:rsidTr="001A259A">
        <w:trPr>
          <w:trHeight w:val="240"/>
        </w:trPr>
        <w:tc>
          <w:tcPr>
            <w:tcW w:w="2410" w:type="dxa"/>
            <w:shd w:val="clear" w:color="auto" w:fill="auto"/>
          </w:tcPr>
          <w:p w14:paraId="132AB395" w14:textId="77777777" w:rsidR="002139E4" w:rsidRPr="00500755" w:rsidRDefault="002139E4" w:rsidP="001A259A">
            <w:pPr>
              <w:spacing w:before="40" w:after="120" w:line="220" w:lineRule="exact"/>
              <w:rPr>
                <w:sz w:val="20"/>
                <w:szCs w:val="20"/>
              </w:rPr>
            </w:pPr>
            <w:r w:rsidRPr="007771C6">
              <w:rPr>
                <w:sz w:val="20"/>
                <w:szCs w:val="20"/>
              </w:rPr>
              <w:t>A/HRC/40/5</w:t>
            </w:r>
            <w:r>
              <w:rPr>
                <w:sz w:val="20"/>
                <w:szCs w:val="20"/>
              </w:rPr>
              <w:t>9</w:t>
            </w:r>
          </w:p>
        </w:tc>
        <w:tc>
          <w:tcPr>
            <w:tcW w:w="1276" w:type="dxa"/>
            <w:gridSpan w:val="2"/>
            <w:shd w:val="clear" w:color="auto" w:fill="auto"/>
          </w:tcPr>
          <w:p w14:paraId="6838113A"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49F9BD74" w14:textId="77777777" w:rsidR="002139E4" w:rsidRPr="007757B0" w:rsidRDefault="002139E4" w:rsidP="001A259A">
            <w:pPr>
              <w:spacing w:before="40" w:after="120" w:line="220" w:lineRule="exact"/>
              <w:rPr>
                <w:sz w:val="20"/>
                <w:szCs w:val="20"/>
              </w:rPr>
            </w:pPr>
            <w:r>
              <w:rPr>
                <w:sz w:val="20"/>
                <w:szCs w:val="20"/>
              </w:rPr>
              <w:t xml:space="preserve">Report of the </w:t>
            </w:r>
            <w:r w:rsidRPr="007013DA">
              <w:rPr>
                <w:sz w:val="20"/>
                <w:szCs w:val="20"/>
              </w:rPr>
              <w:t>Special Rapporteur on torture and other cruel, inhuman or degrading treatment or punishment</w:t>
            </w:r>
          </w:p>
        </w:tc>
      </w:tr>
      <w:tr w:rsidR="002139E4" w:rsidRPr="00E93295" w14:paraId="538D6A87" w14:textId="77777777" w:rsidTr="001A259A">
        <w:trPr>
          <w:trHeight w:val="240"/>
        </w:trPr>
        <w:tc>
          <w:tcPr>
            <w:tcW w:w="2410" w:type="dxa"/>
            <w:shd w:val="clear" w:color="auto" w:fill="auto"/>
          </w:tcPr>
          <w:p w14:paraId="6BDE93B9" w14:textId="77777777" w:rsidR="002139E4" w:rsidRPr="00500755" w:rsidRDefault="002139E4" w:rsidP="001A259A">
            <w:pPr>
              <w:spacing w:before="40" w:after="120" w:line="220" w:lineRule="exact"/>
              <w:rPr>
                <w:sz w:val="20"/>
                <w:szCs w:val="20"/>
              </w:rPr>
            </w:pPr>
            <w:r w:rsidRPr="007771C6">
              <w:rPr>
                <w:sz w:val="20"/>
                <w:szCs w:val="20"/>
              </w:rPr>
              <w:t>A/HRC/40/5</w:t>
            </w:r>
            <w:r>
              <w:rPr>
                <w:sz w:val="20"/>
                <w:szCs w:val="20"/>
              </w:rPr>
              <w:t>9/Add.1</w:t>
            </w:r>
          </w:p>
        </w:tc>
        <w:tc>
          <w:tcPr>
            <w:tcW w:w="1276" w:type="dxa"/>
            <w:gridSpan w:val="2"/>
            <w:shd w:val="clear" w:color="auto" w:fill="auto"/>
          </w:tcPr>
          <w:p w14:paraId="54D60A28"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32507461" w14:textId="77777777" w:rsidR="002139E4" w:rsidRPr="007757B0" w:rsidRDefault="002139E4" w:rsidP="001A259A">
            <w:pPr>
              <w:spacing w:before="40" w:after="120" w:line="220" w:lineRule="exact"/>
              <w:rPr>
                <w:sz w:val="20"/>
                <w:szCs w:val="20"/>
              </w:rPr>
            </w:pPr>
            <w:r>
              <w:rPr>
                <w:sz w:val="20"/>
                <w:szCs w:val="20"/>
              </w:rPr>
              <w:t xml:space="preserve">Report of the </w:t>
            </w:r>
            <w:r w:rsidRPr="007013DA">
              <w:rPr>
                <w:sz w:val="20"/>
                <w:szCs w:val="20"/>
              </w:rPr>
              <w:t>Special Rapporteur on torture and other cruel, inhuman or degrading treatment or punishment</w:t>
            </w:r>
            <w:r>
              <w:rPr>
                <w:sz w:val="20"/>
                <w:szCs w:val="20"/>
              </w:rPr>
              <w:t xml:space="preserve"> on his mission to </w:t>
            </w:r>
            <w:r w:rsidRPr="000A1525">
              <w:rPr>
                <w:sz w:val="20"/>
                <w:szCs w:val="20"/>
              </w:rPr>
              <w:t>Serbia and Kosovo</w:t>
            </w:r>
          </w:p>
        </w:tc>
      </w:tr>
      <w:tr w:rsidR="002139E4" w:rsidRPr="00E93295" w14:paraId="37581A84" w14:textId="77777777" w:rsidTr="001A259A">
        <w:trPr>
          <w:trHeight w:val="240"/>
        </w:trPr>
        <w:tc>
          <w:tcPr>
            <w:tcW w:w="2410" w:type="dxa"/>
            <w:shd w:val="clear" w:color="auto" w:fill="auto"/>
          </w:tcPr>
          <w:p w14:paraId="733CAD35" w14:textId="77777777" w:rsidR="002139E4" w:rsidRPr="00500755" w:rsidRDefault="002139E4" w:rsidP="001A259A">
            <w:pPr>
              <w:spacing w:before="40" w:after="120" w:line="220" w:lineRule="exact"/>
              <w:rPr>
                <w:sz w:val="20"/>
                <w:szCs w:val="20"/>
              </w:rPr>
            </w:pPr>
            <w:r w:rsidRPr="007771C6">
              <w:rPr>
                <w:sz w:val="20"/>
                <w:szCs w:val="20"/>
              </w:rPr>
              <w:t>A/HRC/40/5</w:t>
            </w:r>
            <w:r>
              <w:rPr>
                <w:sz w:val="20"/>
                <w:szCs w:val="20"/>
              </w:rPr>
              <w:t>9/Add.2</w:t>
            </w:r>
          </w:p>
        </w:tc>
        <w:tc>
          <w:tcPr>
            <w:tcW w:w="1276" w:type="dxa"/>
            <w:gridSpan w:val="2"/>
            <w:shd w:val="clear" w:color="auto" w:fill="auto"/>
          </w:tcPr>
          <w:p w14:paraId="79CDC73B"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666121BC" w14:textId="77777777" w:rsidR="002139E4" w:rsidRPr="007757B0" w:rsidRDefault="002139E4" w:rsidP="001A259A">
            <w:pPr>
              <w:spacing w:before="40" w:after="120" w:line="220" w:lineRule="exact"/>
              <w:rPr>
                <w:sz w:val="20"/>
                <w:szCs w:val="20"/>
              </w:rPr>
            </w:pPr>
            <w:r>
              <w:rPr>
                <w:sz w:val="20"/>
                <w:szCs w:val="20"/>
              </w:rPr>
              <w:t xml:space="preserve">Report of the </w:t>
            </w:r>
            <w:r w:rsidRPr="007013DA">
              <w:rPr>
                <w:sz w:val="20"/>
                <w:szCs w:val="20"/>
              </w:rPr>
              <w:t>Special Rapporteur on torture and other cruel, inhuman or degrading treatment or punishment</w:t>
            </w:r>
            <w:r>
              <w:rPr>
                <w:sz w:val="20"/>
                <w:szCs w:val="20"/>
              </w:rPr>
              <w:t xml:space="preserve"> on his mission to </w:t>
            </w:r>
            <w:r w:rsidRPr="000A1525">
              <w:rPr>
                <w:sz w:val="20"/>
                <w:szCs w:val="20"/>
              </w:rPr>
              <w:t>Argentina</w:t>
            </w:r>
          </w:p>
        </w:tc>
      </w:tr>
      <w:tr w:rsidR="002139E4" w:rsidRPr="00E93295" w14:paraId="0A586E67" w14:textId="77777777" w:rsidTr="001A259A">
        <w:trPr>
          <w:trHeight w:val="240"/>
        </w:trPr>
        <w:tc>
          <w:tcPr>
            <w:tcW w:w="2410" w:type="dxa"/>
            <w:shd w:val="clear" w:color="auto" w:fill="auto"/>
          </w:tcPr>
          <w:p w14:paraId="49FDFF09" w14:textId="77777777" w:rsidR="002139E4" w:rsidRPr="00500755" w:rsidRDefault="002139E4" w:rsidP="001A259A">
            <w:pPr>
              <w:spacing w:before="40" w:after="120" w:line="220" w:lineRule="exact"/>
              <w:rPr>
                <w:sz w:val="20"/>
                <w:szCs w:val="20"/>
              </w:rPr>
            </w:pPr>
            <w:r w:rsidRPr="007771C6">
              <w:rPr>
                <w:sz w:val="20"/>
                <w:szCs w:val="20"/>
              </w:rPr>
              <w:t>A/HRC/40/5</w:t>
            </w:r>
            <w:r>
              <w:rPr>
                <w:sz w:val="20"/>
                <w:szCs w:val="20"/>
              </w:rPr>
              <w:t>9/Add.3</w:t>
            </w:r>
          </w:p>
        </w:tc>
        <w:tc>
          <w:tcPr>
            <w:tcW w:w="1276" w:type="dxa"/>
            <w:gridSpan w:val="2"/>
            <w:shd w:val="clear" w:color="auto" w:fill="auto"/>
          </w:tcPr>
          <w:p w14:paraId="302DE83E"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6C33628B" w14:textId="77777777" w:rsidR="002139E4" w:rsidRPr="007757B0" w:rsidRDefault="002139E4" w:rsidP="001A259A">
            <w:pPr>
              <w:spacing w:before="40" w:after="120" w:line="220" w:lineRule="exact"/>
              <w:rPr>
                <w:sz w:val="20"/>
                <w:szCs w:val="20"/>
              </w:rPr>
            </w:pPr>
            <w:r>
              <w:rPr>
                <w:sz w:val="20"/>
                <w:szCs w:val="20"/>
              </w:rPr>
              <w:t xml:space="preserve">Report of the </w:t>
            </w:r>
            <w:r w:rsidRPr="007013DA">
              <w:rPr>
                <w:sz w:val="20"/>
                <w:szCs w:val="20"/>
              </w:rPr>
              <w:t>Special Rapporteur on torture and other cruel, inhuman or degrading treatment or punishment</w:t>
            </w:r>
            <w:r>
              <w:rPr>
                <w:sz w:val="20"/>
                <w:szCs w:val="20"/>
              </w:rPr>
              <w:t xml:space="preserve"> on his mission to </w:t>
            </w:r>
            <w:r w:rsidRPr="000A1525">
              <w:rPr>
                <w:sz w:val="20"/>
                <w:szCs w:val="20"/>
              </w:rPr>
              <w:t>Ukraine</w:t>
            </w:r>
          </w:p>
        </w:tc>
      </w:tr>
      <w:tr w:rsidR="002139E4" w:rsidRPr="00E93295" w14:paraId="07BF664E" w14:textId="77777777" w:rsidTr="001A259A">
        <w:trPr>
          <w:trHeight w:val="240"/>
        </w:trPr>
        <w:tc>
          <w:tcPr>
            <w:tcW w:w="2410" w:type="dxa"/>
            <w:shd w:val="clear" w:color="auto" w:fill="auto"/>
          </w:tcPr>
          <w:p w14:paraId="7D901B4A" w14:textId="77777777" w:rsidR="002139E4" w:rsidRPr="00500755" w:rsidRDefault="002139E4" w:rsidP="001A259A">
            <w:pPr>
              <w:spacing w:before="40" w:after="120" w:line="220" w:lineRule="exact"/>
              <w:rPr>
                <w:sz w:val="20"/>
                <w:szCs w:val="20"/>
              </w:rPr>
            </w:pPr>
            <w:r w:rsidRPr="007771C6">
              <w:rPr>
                <w:sz w:val="20"/>
                <w:szCs w:val="20"/>
              </w:rPr>
              <w:t>A/HRC/40/5</w:t>
            </w:r>
            <w:r>
              <w:rPr>
                <w:sz w:val="20"/>
                <w:szCs w:val="20"/>
              </w:rPr>
              <w:t>9/Add.4</w:t>
            </w:r>
          </w:p>
        </w:tc>
        <w:tc>
          <w:tcPr>
            <w:tcW w:w="1276" w:type="dxa"/>
            <w:gridSpan w:val="2"/>
            <w:shd w:val="clear" w:color="auto" w:fill="auto"/>
          </w:tcPr>
          <w:p w14:paraId="1C73D6BA"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23016654" w14:textId="77777777" w:rsidR="002139E4" w:rsidRPr="007757B0" w:rsidRDefault="002139E4" w:rsidP="001A259A">
            <w:pPr>
              <w:spacing w:before="40" w:after="120" w:line="220" w:lineRule="exact"/>
              <w:rPr>
                <w:sz w:val="20"/>
                <w:szCs w:val="20"/>
              </w:rPr>
            </w:pPr>
            <w:r>
              <w:rPr>
                <w:sz w:val="20"/>
                <w:szCs w:val="20"/>
              </w:rPr>
              <w:t xml:space="preserve">Report of the </w:t>
            </w:r>
            <w:r w:rsidRPr="007013DA">
              <w:rPr>
                <w:sz w:val="20"/>
                <w:szCs w:val="20"/>
              </w:rPr>
              <w:t>Special Rapporteur on torture and other cruel, inhuman or degrading treatment or punishment</w:t>
            </w:r>
            <w:r>
              <w:rPr>
                <w:sz w:val="20"/>
                <w:szCs w:val="20"/>
              </w:rPr>
              <w:t xml:space="preserve"> on his mission to </w:t>
            </w:r>
            <w:r w:rsidRPr="000A1525">
              <w:rPr>
                <w:sz w:val="20"/>
                <w:szCs w:val="20"/>
              </w:rPr>
              <w:t>Serbia</w:t>
            </w:r>
            <w:r>
              <w:rPr>
                <w:sz w:val="20"/>
                <w:szCs w:val="20"/>
              </w:rPr>
              <w:t>: comments by the State</w:t>
            </w:r>
          </w:p>
        </w:tc>
      </w:tr>
      <w:tr w:rsidR="002139E4" w:rsidRPr="00E93295" w14:paraId="30B3068B" w14:textId="77777777" w:rsidTr="001A259A">
        <w:trPr>
          <w:trHeight w:val="240"/>
        </w:trPr>
        <w:tc>
          <w:tcPr>
            <w:tcW w:w="2410" w:type="dxa"/>
            <w:shd w:val="clear" w:color="auto" w:fill="auto"/>
          </w:tcPr>
          <w:p w14:paraId="54C4843E" w14:textId="77777777" w:rsidR="002139E4" w:rsidRPr="00500755" w:rsidRDefault="002139E4" w:rsidP="001A259A">
            <w:pPr>
              <w:spacing w:before="40" w:after="120" w:line="220" w:lineRule="exact"/>
              <w:rPr>
                <w:sz w:val="20"/>
                <w:szCs w:val="20"/>
              </w:rPr>
            </w:pPr>
            <w:r w:rsidRPr="007771C6">
              <w:rPr>
                <w:sz w:val="20"/>
                <w:szCs w:val="20"/>
              </w:rPr>
              <w:t>A/HRC/40/5</w:t>
            </w:r>
            <w:r>
              <w:rPr>
                <w:sz w:val="20"/>
                <w:szCs w:val="20"/>
              </w:rPr>
              <w:t>9/Add.5</w:t>
            </w:r>
          </w:p>
        </w:tc>
        <w:tc>
          <w:tcPr>
            <w:tcW w:w="1276" w:type="dxa"/>
            <w:gridSpan w:val="2"/>
            <w:shd w:val="clear" w:color="auto" w:fill="auto"/>
          </w:tcPr>
          <w:p w14:paraId="12122A6C"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5DF23A4A" w14:textId="77777777" w:rsidR="002139E4" w:rsidRPr="007757B0" w:rsidRDefault="002139E4" w:rsidP="001A259A">
            <w:pPr>
              <w:spacing w:before="40" w:after="120" w:line="220" w:lineRule="exact"/>
              <w:rPr>
                <w:sz w:val="20"/>
                <w:szCs w:val="20"/>
              </w:rPr>
            </w:pPr>
            <w:r>
              <w:rPr>
                <w:sz w:val="20"/>
                <w:szCs w:val="20"/>
              </w:rPr>
              <w:t xml:space="preserve">Report of the </w:t>
            </w:r>
            <w:r w:rsidRPr="007013DA">
              <w:rPr>
                <w:sz w:val="20"/>
                <w:szCs w:val="20"/>
              </w:rPr>
              <w:t>Special Rapporteur on torture and other cruel, inhuman or degrading treatment or punishment</w:t>
            </w:r>
            <w:r>
              <w:rPr>
                <w:sz w:val="20"/>
                <w:szCs w:val="20"/>
              </w:rPr>
              <w:t xml:space="preserve"> on his mission to </w:t>
            </w:r>
            <w:r w:rsidRPr="000A1525">
              <w:rPr>
                <w:sz w:val="20"/>
                <w:szCs w:val="20"/>
              </w:rPr>
              <w:t>Argentina</w:t>
            </w:r>
            <w:r>
              <w:rPr>
                <w:sz w:val="20"/>
                <w:szCs w:val="20"/>
              </w:rPr>
              <w:t>: comments by the State</w:t>
            </w:r>
          </w:p>
        </w:tc>
      </w:tr>
      <w:tr w:rsidR="002139E4" w:rsidRPr="00E93295" w14:paraId="463CDE8D" w14:textId="77777777" w:rsidTr="001A259A">
        <w:trPr>
          <w:trHeight w:val="240"/>
        </w:trPr>
        <w:tc>
          <w:tcPr>
            <w:tcW w:w="2410" w:type="dxa"/>
            <w:shd w:val="clear" w:color="auto" w:fill="auto"/>
          </w:tcPr>
          <w:p w14:paraId="5F0EDE48" w14:textId="77777777" w:rsidR="002139E4" w:rsidRPr="00500755" w:rsidRDefault="002139E4" w:rsidP="001A259A">
            <w:pPr>
              <w:spacing w:before="40" w:after="120" w:line="220" w:lineRule="exact"/>
              <w:rPr>
                <w:sz w:val="20"/>
                <w:szCs w:val="20"/>
              </w:rPr>
            </w:pPr>
            <w:r w:rsidRPr="007771C6">
              <w:rPr>
                <w:sz w:val="20"/>
                <w:szCs w:val="20"/>
              </w:rPr>
              <w:t>A/HRC/40/5</w:t>
            </w:r>
            <w:r>
              <w:rPr>
                <w:sz w:val="20"/>
                <w:szCs w:val="20"/>
              </w:rPr>
              <w:t>9/Add.6</w:t>
            </w:r>
          </w:p>
        </w:tc>
        <w:tc>
          <w:tcPr>
            <w:tcW w:w="1276" w:type="dxa"/>
            <w:gridSpan w:val="2"/>
            <w:shd w:val="clear" w:color="auto" w:fill="auto"/>
          </w:tcPr>
          <w:p w14:paraId="58725D8D"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367BCB8E" w14:textId="77777777" w:rsidR="002139E4" w:rsidRPr="007757B0" w:rsidRDefault="002139E4" w:rsidP="001A259A">
            <w:pPr>
              <w:spacing w:before="40" w:after="120" w:line="220" w:lineRule="exact"/>
              <w:rPr>
                <w:sz w:val="20"/>
                <w:szCs w:val="20"/>
              </w:rPr>
            </w:pPr>
            <w:r>
              <w:rPr>
                <w:sz w:val="20"/>
                <w:szCs w:val="20"/>
              </w:rPr>
              <w:t xml:space="preserve">Report of the </w:t>
            </w:r>
            <w:r w:rsidRPr="007013DA">
              <w:rPr>
                <w:sz w:val="20"/>
                <w:szCs w:val="20"/>
              </w:rPr>
              <w:t>Special Rapporteur on torture and other cruel, inhuman or degrading treatment or punishment</w:t>
            </w:r>
            <w:r>
              <w:rPr>
                <w:sz w:val="20"/>
                <w:szCs w:val="20"/>
              </w:rPr>
              <w:t xml:space="preserve"> on his mission to </w:t>
            </w:r>
            <w:r w:rsidRPr="000A1525">
              <w:rPr>
                <w:sz w:val="20"/>
                <w:szCs w:val="20"/>
              </w:rPr>
              <w:t>Ukraine</w:t>
            </w:r>
            <w:r>
              <w:rPr>
                <w:sz w:val="20"/>
                <w:szCs w:val="20"/>
              </w:rPr>
              <w:t>: comments by the State</w:t>
            </w:r>
          </w:p>
        </w:tc>
      </w:tr>
      <w:tr w:rsidR="002139E4" w:rsidRPr="00E93295" w14:paraId="4CBE5A76" w14:textId="77777777" w:rsidTr="001A259A">
        <w:trPr>
          <w:trHeight w:val="240"/>
        </w:trPr>
        <w:tc>
          <w:tcPr>
            <w:tcW w:w="2410" w:type="dxa"/>
            <w:shd w:val="clear" w:color="auto" w:fill="auto"/>
          </w:tcPr>
          <w:p w14:paraId="2832AA81" w14:textId="77777777" w:rsidR="002139E4" w:rsidRPr="00500755" w:rsidRDefault="002139E4" w:rsidP="001A259A">
            <w:pPr>
              <w:spacing w:before="40" w:after="120" w:line="220" w:lineRule="exact"/>
              <w:rPr>
                <w:sz w:val="20"/>
                <w:szCs w:val="20"/>
              </w:rPr>
            </w:pPr>
            <w:r>
              <w:rPr>
                <w:sz w:val="20"/>
                <w:szCs w:val="20"/>
              </w:rPr>
              <w:t>A/HRC/40/60</w:t>
            </w:r>
          </w:p>
        </w:tc>
        <w:tc>
          <w:tcPr>
            <w:tcW w:w="1276" w:type="dxa"/>
            <w:gridSpan w:val="2"/>
            <w:shd w:val="clear" w:color="auto" w:fill="auto"/>
          </w:tcPr>
          <w:p w14:paraId="3AC3E431"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0815F0AA" w14:textId="77777777" w:rsidR="002139E4" w:rsidRPr="007757B0" w:rsidRDefault="002139E4" w:rsidP="001A259A">
            <w:pPr>
              <w:spacing w:before="40" w:after="120" w:line="220" w:lineRule="exact"/>
              <w:rPr>
                <w:sz w:val="20"/>
                <w:szCs w:val="20"/>
              </w:rPr>
            </w:pPr>
            <w:r w:rsidRPr="00B57025">
              <w:rPr>
                <w:sz w:val="20"/>
                <w:szCs w:val="20"/>
              </w:rPr>
              <w:t>Situation of women human rights defenders</w:t>
            </w:r>
            <w:r>
              <w:rPr>
                <w:sz w:val="20"/>
                <w:szCs w:val="20"/>
              </w:rPr>
              <w:t>: r</w:t>
            </w:r>
            <w:r w:rsidRPr="00B57025">
              <w:rPr>
                <w:sz w:val="20"/>
                <w:szCs w:val="20"/>
              </w:rPr>
              <w:t>eport of the Special Rapporteur on the situation of human rights defenders</w:t>
            </w:r>
          </w:p>
        </w:tc>
      </w:tr>
      <w:tr w:rsidR="002139E4" w:rsidRPr="00E93295" w14:paraId="4F82701B" w14:textId="77777777" w:rsidTr="001A259A">
        <w:trPr>
          <w:trHeight w:val="240"/>
        </w:trPr>
        <w:tc>
          <w:tcPr>
            <w:tcW w:w="2410" w:type="dxa"/>
            <w:shd w:val="clear" w:color="auto" w:fill="auto"/>
          </w:tcPr>
          <w:p w14:paraId="3DA13D41" w14:textId="77777777" w:rsidR="002139E4" w:rsidRPr="00500755" w:rsidRDefault="002139E4" w:rsidP="001A259A">
            <w:pPr>
              <w:spacing w:before="40" w:after="120" w:line="220" w:lineRule="exact"/>
              <w:rPr>
                <w:sz w:val="20"/>
                <w:szCs w:val="20"/>
              </w:rPr>
            </w:pPr>
            <w:r>
              <w:rPr>
                <w:sz w:val="20"/>
                <w:szCs w:val="20"/>
              </w:rPr>
              <w:t>A/HRC/40/60/Add.1</w:t>
            </w:r>
          </w:p>
        </w:tc>
        <w:tc>
          <w:tcPr>
            <w:tcW w:w="1276" w:type="dxa"/>
            <w:gridSpan w:val="2"/>
            <w:shd w:val="clear" w:color="auto" w:fill="auto"/>
          </w:tcPr>
          <w:p w14:paraId="6DB7BF07"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3D285645" w14:textId="77777777" w:rsidR="002139E4" w:rsidRPr="007757B0" w:rsidRDefault="002139E4" w:rsidP="001A259A">
            <w:pPr>
              <w:spacing w:before="40" w:after="120" w:line="220" w:lineRule="exact"/>
              <w:rPr>
                <w:sz w:val="20"/>
                <w:szCs w:val="20"/>
              </w:rPr>
            </w:pPr>
            <w:r w:rsidRPr="00B57025">
              <w:rPr>
                <w:sz w:val="20"/>
                <w:szCs w:val="20"/>
              </w:rPr>
              <w:t>Report of the Special Rapporteur on the situation of human rights defenders</w:t>
            </w:r>
            <w:r>
              <w:rPr>
                <w:sz w:val="20"/>
                <w:szCs w:val="20"/>
              </w:rPr>
              <w:t>: O</w:t>
            </w:r>
            <w:r w:rsidRPr="00B57025">
              <w:rPr>
                <w:sz w:val="20"/>
                <w:szCs w:val="20"/>
              </w:rPr>
              <w:t>bservations on communications transmitted to G</w:t>
            </w:r>
            <w:r>
              <w:rPr>
                <w:sz w:val="20"/>
                <w:szCs w:val="20"/>
              </w:rPr>
              <w:t>overnments and replies received</w:t>
            </w:r>
          </w:p>
        </w:tc>
      </w:tr>
      <w:tr w:rsidR="002139E4" w:rsidRPr="00E93295" w14:paraId="7F7DA801" w14:textId="77777777" w:rsidTr="001A259A">
        <w:trPr>
          <w:trHeight w:val="240"/>
        </w:trPr>
        <w:tc>
          <w:tcPr>
            <w:tcW w:w="2410" w:type="dxa"/>
            <w:shd w:val="clear" w:color="auto" w:fill="auto"/>
          </w:tcPr>
          <w:p w14:paraId="5A1389E2" w14:textId="77777777" w:rsidR="002139E4" w:rsidRPr="00500755" w:rsidRDefault="002139E4" w:rsidP="001A259A">
            <w:pPr>
              <w:spacing w:before="40" w:after="120" w:line="220" w:lineRule="exact"/>
              <w:rPr>
                <w:sz w:val="20"/>
                <w:szCs w:val="20"/>
              </w:rPr>
            </w:pPr>
            <w:r>
              <w:rPr>
                <w:sz w:val="20"/>
                <w:szCs w:val="20"/>
              </w:rPr>
              <w:t>A/HRC/40/60/Add.2</w:t>
            </w:r>
          </w:p>
        </w:tc>
        <w:tc>
          <w:tcPr>
            <w:tcW w:w="1276" w:type="dxa"/>
            <w:gridSpan w:val="2"/>
            <w:shd w:val="clear" w:color="auto" w:fill="auto"/>
          </w:tcPr>
          <w:p w14:paraId="3A9D8748"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485BA960" w14:textId="77777777" w:rsidR="002139E4" w:rsidRPr="007757B0" w:rsidRDefault="002139E4" w:rsidP="001A259A">
            <w:pPr>
              <w:spacing w:before="40" w:after="120" w:line="220" w:lineRule="exact"/>
              <w:rPr>
                <w:sz w:val="20"/>
                <w:szCs w:val="20"/>
              </w:rPr>
            </w:pPr>
            <w:r w:rsidRPr="00B57025">
              <w:rPr>
                <w:sz w:val="20"/>
                <w:szCs w:val="20"/>
              </w:rPr>
              <w:t>Report of the Special Rapporteur on the situation of human rights defenders</w:t>
            </w:r>
            <w:r>
              <w:rPr>
                <w:sz w:val="20"/>
                <w:szCs w:val="20"/>
              </w:rPr>
              <w:t xml:space="preserve"> on his mission to </w:t>
            </w:r>
            <w:r w:rsidRPr="00B57025">
              <w:rPr>
                <w:sz w:val="20"/>
                <w:szCs w:val="20"/>
              </w:rPr>
              <w:t>Honduras</w:t>
            </w:r>
          </w:p>
        </w:tc>
      </w:tr>
      <w:tr w:rsidR="002139E4" w:rsidRPr="00E93295" w14:paraId="05A974E2" w14:textId="77777777" w:rsidTr="001A259A">
        <w:trPr>
          <w:trHeight w:val="240"/>
        </w:trPr>
        <w:tc>
          <w:tcPr>
            <w:tcW w:w="2410" w:type="dxa"/>
            <w:shd w:val="clear" w:color="auto" w:fill="auto"/>
          </w:tcPr>
          <w:p w14:paraId="12A3304B" w14:textId="77777777" w:rsidR="002139E4" w:rsidRPr="00500755" w:rsidRDefault="002139E4" w:rsidP="001A259A">
            <w:pPr>
              <w:spacing w:before="40" w:after="120" w:line="220" w:lineRule="exact"/>
              <w:rPr>
                <w:sz w:val="20"/>
                <w:szCs w:val="20"/>
              </w:rPr>
            </w:pPr>
            <w:r>
              <w:rPr>
                <w:sz w:val="20"/>
                <w:szCs w:val="20"/>
              </w:rPr>
              <w:t>A/HRC/40/60/Add.3</w:t>
            </w:r>
          </w:p>
        </w:tc>
        <w:tc>
          <w:tcPr>
            <w:tcW w:w="1276" w:type="dxa"/>
            <w:gridSpan w:val="2"/>
            <w:shd w:val="clear" w:color="auto" w:fill="auto"/>
          </w:tcPr>
          <w:p w14:paraId="19805F87"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6CDD6CF2" w14:textId="77777777" w:rsidR="002139E4" w:rsidRPr="007757B0" w:rsidRDefault="002139E4" w:rsidP="001A259A">
            <w:pPr>
              <w:spacing w:before="40" w:after="120" w:line="220" w:lineRule="exact"/>
              <w:rPr>
                <w:sz w:val="20"/>
                <w:szCs w:val="20"/>
              </w:rPr>
            </w:pPr>
            <w:r w:rsidRPr="00B57025">
              <w:rPr>
                <w:sz w:val="20"/>
                <w:szCs w:val="20"/>
              </w:rPr>
              <w:t>Report of the Special Rapporteur on the situation of human rights defenders</w:t>
            </w:r>
            <w:r>
              <w:rPr>
                <w:sz w:val="20"/>
                <w:szCs w:val="20"/>
              </w:rPr>
              <w:t xml:space="preserve"> on his mission to </w:t>
            </w:r>
            <w:r w:rsidRPr="00B57025">
              <w:rPr>
                <w:sz w:val="20"/>
                <w:szCs w:val="20"/>
              </w:rPr>
              <w:t>the Republic of Moldova</w:t>
            </w:r>
          </w:p>
        </w:tc>
      </w:tr>
      <w:tr w:rsidR="002139E4" w:rsidRPr="00E93295" w14:paraId="7610181E" w14:textId="77777777" w:rsidTr="001A259A">
        <w:trPr>
          <w:trHeight w:val="240"/>
        </w:trPr>
        <w:tc>
          <w:tcPr>
            <w:tcW w:w="2410" w:type="dxa"/>
            <w:shd w:val="clear" w:color="auto" w:fill="auto"/>
          </w:tcPr>
          <w:p w14:paraId="50F5A40B" w14:textId="77777777" w:rsidR="002139E4" w:rsidRPr="00500755" w:rsidRDefault="002139E4" w:rsidP="001A259A">
            <w:pPr>
              <w:spacing w:before="40" w:after="120" w:line="220" w:lineRule="exact"/>
              <w:rPr>
                <w:sz w:val="20"/>
                <w:szCs w:val="20"/>
              </w:rPr>
            </w:pPr>
            <w:r>
              <w:rPr>
                <w:sz w:val="20"/>
                <w:szCs w:val="20"/>
              </w:rPr>
              <w:lastRenderedPageBreak/>
              <w:t>A/HRC/40/60/Add.4</w:t>
            </w:r>
          </w:p>
        </w:tc>
        <w:tc>
          <w:tcPr>
            <w:tcW w:w="1276" w:type="dxa"/>
            <w:gridSpan w:val="2"/>
            <w:shd w:val="clear" w:color="auto" w:fill="auto"/>
          </w:tcPr>
          <w:p w14:paraId="7AA31EB2"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5EDD97A9" w14:textId="77777777" w:rsidR="002139E4" w:rsidRPr="007757B0" w:rsidRDefault="002139E4" w:rsidP="001A259A">
            <w:pPr>
              <w:spacing w:before="40" w:after="120" w:line="220" w:lineRule="exact"/>
              <w:rPr>
                <w:sz w:val="20"/>
                <w:szCs w:val="20"/>
              </w:rPr>
            </w:pPr>
            <w:r w:rsidRPr="00B57025">
              <w:rPr>
                <w:sz w:val="20"/>
                <w:szCs w:val="20"/>
              </w:rPr>
              <w:t>Report of the Special Rapporteur on the situation of human rights defenders</w:t>
            </w:r>
            <w:r>
              <w:rPr>
                <w:sz w:val="20"/>
                <w:szCs w:val="20"/>
              </w:rPr>
              <w:t xml:space="preserve"> on his mission to </w:t>
            </w:r>
            <w:r w:rsidRPr="00B57025">
              <w:rPr>
                <w:sz w:val="20"/>
                <w:szCs w:val="20"/>
              </w:rPr>
              <w:t>Honduras</w:t>
            </w:r>
            <w:r>
              <w:rPr>
                <w:sz w:val="20"/>
                <w:szCs w:val="20"/>
              </w:rPr>
              <w:t>: comments by the State</w:t>
            </w:r>
          </w:p>
        </w:tc>
      </w:tr>
      <w:tr w:rsidR="002139E4" w:rsidRPr="00E93295" w14:paraId="15FA59B2" w14:textId="77777777" w:rsidTr="001A259A">
        <w:trPr>
          <w:trHeight w:val="240"/>
        </w:trPr>
        <w:tc>
          <w:tcPr>
            <w:tcW w:w="2410" w:type="dxa"/>
            <w:shd w:val="clear" w:color="auto" w:fill="auto"/>
          </w:tcPr>
          <w:p w14:paraId="627A1C0D" w14:textId="77777777" w:rsidR="002139E4" w:rsidRPr="00500755" w:rsidRDefault="002139E4" w:rsidP="001A259A">
            <w:pPr>
              <w:spacing w:before="40" w:after="120" w:line="220" w:lineRule="exact"/>
              <w:rPr>
                <w:sz w:val="20"/>
                <w:szCs w:val="20"/>
              </w:rPr>
            </w:pPr>
            <w:r>
              <w:rPr>
                <w:sz w:val="20"/>
                <w:szCs w:val="20"/>
              </w:rPr>
              <w:t>A/HRC/40/60/Add.5</w:t>
            </w:r>
          </w:p>
        </w:tc>
        <w:tc>
          <w:tcPr>
            <w:tcW w:w="1276" w:type="dxa"/>
            <w:gridSpan w:val="2"/>
            <w:shd w:val="clear" w:color="auto" w:fill="auto"/>
          </w:tcPr>
          <w:p w14:paraId="019300F5"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7F986F7F" w14:textId="77777777" w:rsidR="002139E4" w:rsidRPr="007757B0" w:rsidRDefault="002139E4" w:rsidP="001A259A">
            <w:pPr>
              <w:spacing w:before="40" w:after="120" w:line="220" w:lineRule="exact"/>
              <w:rPr>
                <w:sz w:val="20"/>
                <w:szCs w:val="20"/>
              </w:rPr>
            </w:pPr>
            <w:r w:rsidRPr="00B57025">
              <w:rPr>
                <w:sz w:val="20"/>
                <w:szCs w:val="20"/>
              </w:rPr>
              <w:t>Report of the Special Rapporteur on the situation of human rights defenders</w:t>
            </w:r>
            <w:r>
              <w:rPr>
                <w:sz w:val="20"/>
                <w:szCs w:val="20"/>
              </w:rPr>
              <w:t xml:space="preserve"> on his mission to </w:t>
            </w:r>
            <w:r w:rsidRPr="00B57025">
              <w:rPr>
                <w:sz w:val="20"/>
                <w:szCs w:val="20"/>
              </w:rPr>
              <w:t>the Republic of Moldova</w:t>
            </w:r>
            <w:r>
              <w:rPr>
                <w:sz w:val="20"/>
                <w:szCs w:val="20"/>
              </w:rPr>
              <w:t>: comments by the State</w:t>
            </w:r>
          </w:p>
        </w:tc>
      </w:tr>
      <w:tr w:rsidR="002139E4" w:rsidRPr="00E93295" w14:paraId="783AEF08" w14:textId="77777777" w:rsidTr="001A259A">
        <w:trPr>
          <w:trHeight w:val="240"/>
        </w:trPr>
        <w:tc>
          <w:tcPr>
            <w:tcW w:w="2410" w:type="dxa"/>
            <w:shd w:val="clear" w:color="auto" w:fill="auto"/>
          </w:tcPr>
          <w:p w14:paraId="404FB8BD" w14:textId="77777777" w:rsidR="002139E4" w:rsidRPr="00500755" w:rsidRDefault="002139E4" w:rsidP="001A259A">
            <w:pPr>
              <w:spacing w:before="40" w:after="120" w:line="220" w:lineRule="exact"/>
              <w:rPr>
                <w:sz w:val="20"/>
                <w:szCs w:val="20"/>
              </w:rPr>
            </w:pPr>
            <w:r>
              <w:rPr>
                <w:sz w:val="20"/>
                <w:szCs w:val="20"/>
              </w:rPr>
              <w:t>A/HRC/40/61</w:t>
            </w:r>
          </w:p>
        </w:tc>
        <w:tc>
          <w:tcPr>
            <w:tcW w:w="1276" w:type="dxa"/>
            <w:gridSpan w:val="2"/>
            <w:shd w:val="clear" w:color="auto" w:fill="auto"/>
          </w:tcPr>
          <w:p w14:paraId="4D6EF18B"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343534E4" w14:textId="77777777" w:rsidR="002139E4" w:rsidRPr="007757B0" w:rsidRDefault="002139E4" w:rsidP="001A259A">
            <w:pPr>
              <w:spacing w:before="40" w:after="120" w:line="220" w:lineRule="exact"/>
              <w:rPr>
                <w:sz w:val="20"/>
                <w:szCs w:val="20"/>
              </w:rPr>
            </w:pPr>
            <w:r w:rsidRPr="00B57025">
              <w:rPr>
                <w:sz w:val="20"/>
                <w:szCs w:val="20"/>
              </w:rPr>
              <w:t>Access to justice for the right to housing</w:t>
            </w:r>
            <w:r>
              <w:rPr>
                <w:sz w:val="20"/>
                <w:szCs w:val="20"/>
              </w:rPr>
              <w:t>: r</w:t>
            </w:r>
            <w:r w:rsidRPr="00B57025">
              <w:rPr>
                <w:sz w:val="20"/>
                <w:szCs w:val="20"/>
              </w:rPr>
              <w:t>eport of the Special Rapporteur on adequate housing as a component of the right to an adequate standard of living, and on the right to non-discrimination in this context</w:t>
            </w:r>
          </w:p>
        </w:tc>
      </w:tr>
      <w:tr w:rsidR="002139E4" w:rsidRPr="00E93295" w14:paraId="1096FB90" w14:textId="77777777" w:rsidTr="001A259A">
        <w:trPr>
          <w:trHeight w:val="240"/>
        </w:trPr>
        <w:tc>
          <w:tcPr>
            <w:tcW w:w="2410" w:type="dxa"/>
            <w:shd w:val="clear" w:color="auto" w:fill="auto"/>
          </w:tcPr>
          <w:p w14:paraId="07F10ECE" w14:textId="77777777" w:rsidR="002139E4" w:rsidRPr="00500755" w:rsidRDefault="002139E4" w:rsidP="001A259A">
            <w:pPr>
              <w:spacing w:before="40" w:after="120" w:line="220" w:lineRule="exact"/>
              <w:rPr>
                <w:sz w:val="20"/>
                <w:szCs w:val="20"/>
              </w:rPr>
            </w:pPr>
            <w:r>
              <w:rPr>
                <w:sz w:val="20"/>
                <w:szCs w:val="20"/>
              </w:rPr>
              <w:t>A/HRC/40/61/Add.1</w:t>
            </w:r>
          </w:p>
        </w:tc>
        <w:tc>
          <w:tcPr>
            <w:tcW w:w="1276" w:type="dxa"/>
            <w:gridSpan w:val="2"/>
            <w:shd w:val="clear" w:color="auto" w:fill="auto"/>
          </w:tcPr>
          <w:p w14:paraId="45D1A2EB"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1663E00C" w14:textId="77777777" w:rsidR="002139E4" w:rsidRPr="007757B0" w:rsidRDefault="002139E4" w:rsidP="001A259A">
            <w:pPr>
              <w:spacing w:before="40" w:after="120" w:line="220" w:lineRule="exact"/>
              <w:rPr>
                <w:sz w:val="20"/>
                <w:szCs w:val="20"/>
              </w:rPr>
            </w:pPr>
            <w:r>
              <w:rPr>
                <w:sz w:val="20"/>
                <w:szCs w:val="20"/>
              </w:rPr>
              <w:t>R</w:t>
            </w:r>
            <w:r w:rsidRPr="00B57025">
              <w:rPr>
                <w:sz w:val="20"/>
                <w:szCs w:val="20"/>
              </w:rPr>
              <w:t>eport of the Special Rapporteur on adequate housing as a component of the right to an adequate standard of living, and on the right to non-discrimination in this context</w:t>
            </w:r>
            <w:r>
              <w:rPr>
                <w:sz w:val="20"/>
                <w:szCs w:val="20"/>
              </w:rPr>
              <w:t xml:space="preserve"> on her mission to </w:t>
            </w:r>
            <w:r w:rsidRPr="00B57025">
              <w:rPr>
                <w:sz w:val="20"/>
                <w:szCs w:val="20"/>
              </w:rPr>
              <w:t>the Republic of Korea</w:t>
            </w:r>
          </w:p>
        </w:tc>
      </w:tr>
      <w:tr w:rsidR="002139E4" w:rsidRPr="00E93295" w14:paraId="69C76CEF" w14:textId="77777777" w:rsidTr="001A259A">
        <w:trPr>
          <w:trHeight w:val="240"/>
        </w:trPr>
        <w:tc>
          <w:tcPr>
            <w:tcW w:w="2410" w:type="dxa"/>
            <w:shd w:val="clear" w:color="auto" w:fill="auto"/>
          </w:tcPr>
          <w:p w14:paraId="0B3D7691" w14:textId="77777777" w:rsidR="002139E4" w:rsidRPr="00500755" w:rsidRDefault="002139E4" w:rsidP="001A259A">
            <w:pPr>
              <w:spacing w:before="40" w:after="120" w:line="220" w:lineRule="exact"/>
              <w:rPr>
                <w:sz w:val="20"/>
                <w:szCs w:val="20"/>
              </w:rPr>
            </w:pPr>
            <w:r>
              <w:rPr>
                <w:sz w:val="20"/>
                <w:szCs w:val="20"/>
              </w:rPr>
              <w:t>A/HRC/40/61/Add.2</w:t>
            </w:r>
          </w:p>
        </w:tc>
        <w:tc>
          <w:tcPr>
            <w:tcW w:w="1276" w:type="dxa"/>
            <w:gridSpan w:val="2"/>
            <w:shd w:val="clear" w:color="auto" w:fill="auto"/>
          </w:tcPr>
          <w:p w14:paraId="4FFA5571"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51ACB5CD" w14:textId="77777777" w:rsidR="002139E4" w:rsidRPr="007757B0" w:rsidRDefault="002139E4" w:rsidP="001A259A">
            <w:pPr>
              <w:spacing w:before="40" w:after="120" w:line="220" w:lineRule="exact"/>
              <w:rPr>
                <w:sz w:val="20"/>
                <w:szCs w:val="20"/>
              </w:rPr>
            </w:pPr>
            <w:r>
              <w:rPr>
                <w:sz w:val="20"/>
                <w:szCs w:val="20"/>
              </w:rPr>
              <w:t>R</w:t>
            </w:r>
            <w:r w:rsidRPr="00B57025">
              <w:rPr>
                <w:sz w:val="20"/>
                <w:szCs w:val="20"/>
              </w:rPr>
              <w:t>eport of the Special Rapporteur on adequate housing as a component of the right to an adequate standard of living, and on the right to non-discrimination in this context</w:t>
            </w:r>
            <w:r>
              <w:rPr>
                <w:sz w:val="20"/>
                <w:szCs w:val="20"/>
              </w:rPr>
              <w:t xml:space="preserve"> on her mission to </w:t>
            </w:r>
            <w:r w:rsidRPr="00B57025">
              <w:rPr>
                <w:sz w:val="20"/>
                <w:szCs w:val="20"/>
              </w:rPr>
              <w:t>Egypt</w:t>
            </w:r>
          </w:p>
        </w:tc>
      </w:tr>
      <w:tr w:rsidR="002139E4" w:rsidRPr="00E93295" w14:paraId="1B743B36" w14:textId="77777777" w:rsidTr="001A259A">
        <w:trPr>
          <w:trHeight w:val="240"/>
        </w:trPr>
        <w:tc>
          <w:tcPr>
            <w:tcW w:w="2410" w:type="dxa"/>
            <w:shd w:val="clear" w:color="auto" w:fill="auto"/>
          </w:tcPr>
          <w:p w14:paraId="22AB0982" w14:textId="77777777" w:rsidR="002139E4" w:rsidRPr="00500755" w:rsidRDefault="002139E4" w:rsidP="001A259A">
            <w:pPr>
              <w:spacing w:before="40" w:after="120" w:line="220" w:lineRule="exact"/>
              <w:rPr>
                <w:sz w:val="20"/>
                <w:szCs w:val="20"/>
              </w:rPr>
            </w:pPr>
            <w:r>
              <w:rPr>
                <w:sz w:val="20"/>
                <w:szCs w:val="20"/>
              </w:rPr>
              <w:t>A/HRC/40/61/Add.3</w:t>
            </w:r>
          </w:p>
        </w:tc>
        <w:tc>
          <w:tcPr>
            <w:tcW w:w="1276" w:type="dxa"/>
            <w:gridSpan w:val="2"/>
            <w:shd w:val="clear" w:color="auto" w:fill="auto"/>
          </w:tcPr>
          <w:p w14:paraId="16987D4C"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730B8182" w14:textId="77777777" w:rsidR="002139E4" w:rsidRPr="007757B0" w:rsidRDefault="002139E4" w:rsidP="001A259A">
            <w:pPr>
              <w:spacing w:before="40" w:after="120" w:line="220" w:lineRule="exact"/>
              <w:rPr>
                <w:sz w:val="20"/>
                <w:szCs w:val="20"/>
              </w:rPr>
            </w:pPr>
            <w:r>
              <w:rPr>
                <w:sz w:val="20"/>
                <w:szCs w:val="20"/>
              </w:rPr>
              <w:t>R</w:t>
            </w:r>
            <w:r w:rsidRPr="00B57025">
              <w:rPr>
                <w:sz w:val="20"/>
                <w:szCs w:val="20"/>
              </w:rPr>
              <w:t>eport of the Special Rapporteur on adequate housing as a component of the right to an adequate standard of living, and on the right to non-discrimination in this context</w:t>
            </w:r>
            <w:r>
              <w:rPr>
                <w:sz w:val="20"/>
                <w:szCs w:val="20"/>
              </w:rPr>
              <w:t xml:space="preserve"> on her mission to </w:t>
            </w:r>
            <w:r w:rsidRPr="00B57025">
              <w:rPr>
                <w:sz w:val="20"/>
                <w:szCs w:val="20"/>
              </w:rPr>
              <w:t>the Republic of Korea</w:t>
            </w:r>
            <w:r>
              <w:rPr>
                <w:sz w:val="20"/>
                <w:szCs w:val="20"/>
              </w:rPr>
              <w:t>: comments by the State</w:t>
            </w:r>
          </w:p>
        </w:tc>
      </w:tr>
      <w:tr w:rsidR="002139E4" w:rsidRPr="00E93295" w14:paraId="58E8F8CC" w14:textId="77777777" w:rsidTr="001A259A">
        <w:trPr>
          <w:trHeight w:val="240"/>
        </w:trPr>
        <w:tc>
          <w:tcPr>
            <w:tcW w:w="2410" w:type="dxa"/>
            <w:shd w:val="clear" w:color="auto" w:fill="auto"/>
          </w:tcPr>
          <w:p w14:paraId="55103825" w14:textId="77777777" w:rsidR="002139E4" w:rsidRDefault="002139E4" w:rsidP="001A259A">
            <w:pPr>
              <w:spacing w:before="40" w:after="120" w:line="220" w:lineRule="exact"/>
              <w:rPr>
                <w:sz w:val="20"/>
                <w:szCs w:val="20"/>
              </w:rPr>
            </w:pPr>
            <w:r>
              <w:rPr>
                <w:sz w:val="20"/>
                <w:szCs w:val="20"/>
              </w:rPr>
              <w:t>A/HRC/40/61/Add.4</w:t>
            </w:r>
          </w:p>
        </w:tc>
        <w:tc>
          <w:tcPr>
            <w:tcW w:w="1276" w:type="dxa"/>
            <w:gridSpan w:val="2"/>
            <w:shd w:val="clear" w:color="auto" w:fill="auto"/>
          </w:tcPr>
          <w:p w14:paraId="6A46BFC0"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37372090" w14:textId="77777777" w:rsidR="002139E4" w:rsidRDefault="002139E4" w:rsidP="001A259A">
            <w:pPr>
              <w:spacing w:before="40" w:after="120" w:line="220" w:lineRule="exact"/>
              <w:rPr>
                <w:sz w:val="20"/>
                <w:szCs w:val="20"/>
              </w:rPr>
            </w:pPr>
            <w:r>
              <w:rPr>
                <w:sz w:val="20"/>
                <w:szCs w:val="20"/>
              </w:rPr>
              <w:t>R</w:t>
            </w:r>
            <w:r w:rsidRPr="00B57025">
              <w:rPr>
                <w:sz w:val="20"/>
                <w:szCs w:val="20"/>
              </w:rPr>
              <w:t>eport of the Special Rapporteur on adequate housing as a component of the right to an adequate standard of living, and on the right to non-discrimination in this context</w:t>
            </w:r>
            <w:r>
              <w:rPr>
                <w:sz w:val="20"/>
                <w:szCs w:val="20"/>
              </w:rPr>
              <w:t xml:space="preserve"> on her mission to </w:t>
            </w:r>
            <w:r w:rsidRPr="00B57025">
              <w:rPr>
                <w:sz w:val="20"/>
                <w:szCs w:val="20"/>
              </w:rPr>
              <w:t>Egypt</w:t>
            </w:r>
            <w:r>
              <w:rPr>
                <w:sz w:val="20"/>
                <w:szCs w:val="20"/>
              </w:rPr>
              <w:t>: comments by the State</w:t>
            </w:r>
          </w:p>
        </w:tc>
      </w:tr>
      <w:tr w:rsidR="002139E4" w:rsidRPr="00E93295" w14:paraId="1A9AC960" w14:textId="77777777" w:rsidTr="001A259A">
        <w:trPr>
          <w:trHeight w:val="240"/>
        </w:trPr>
        <w:tc>
          <w:tcPr>
            <w:tcW w:w="2410" w:type="dxa"/>
            <w:shd w:val="clear" w:color="auto" w:fill="auto"/>
          </w:tcPr>
          <w:p w14:paraId="7C9D84B2" w14:textId="77777777" w:rsidR="002139E4" w:rsidRPr="00500755" w:rsidRDefault="002139E4" w:rsidP="001A259A">
            <w:pPr>
              <w:spacing w:before="40" w:after="120" w:line="220" w:lineRule="exact"/>
              <w:rPr>
                <w:sz w:val="20"/>
                <w:szCs w:val="20"/>
              </w:rPr>
            </w:pPr>
            <w:r>
              <w:rPr>
                <w:sz w:val="20"/>
                <w:szCs w:val="20"/>
              </w:rPr>
              <w:t>A/HRC/40/61/Add.4/Rev.1</w:t>
            </w:r>
          </w:p>
        </w:tc>
        <w:tc>
          <w:tcPr>
            <w:tcW w:w="1276" w:type="dxa"/>
            <w:gridSpan w:val="2"/>
            <w:shd w:val="clear" w:color="auto" w:fill="auto"/>
          </w:tcPr>
          <w:p w14:paraId="41F891A8"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77F8B092" w14:textId="77777777" w:rsidR="002139E4" w:rsidRPr="007757B0" w:rsidRDefault="002139E4" w:rsidP="001A259A">
            <w:pPr>
              <w:spacing w:before="40" w:after="120" w:line="220" w:lineRule="exact"/>
              <w:rPr>
                <w:sz w:val="20"/>
                <w:szCs w:val="20"/>
              </w:rPr>
            </w:pPr>
            <w:r>
              <w:rPr>
                <w:sz w:val="20"/>
                <w:szCs w:val="20"/>
              </w:rPr>
              <w:t>R</w:t>
            </w:r>
            <w:r w:rsidRPr="00B57025">
              <w:rPr>
                <w:sz w:val="20"/>
                <w:szCs w:val="20"/>
              </w:rPr>
              <w:t>eport of the Special Rapporteur on adequate housing as a component of the right to an adequate standard of living, and on the right to non-discrimination in this context</w:t>
            </w:r>
            <w:r>
              <w:rPr>
                <w:sz w:val="20"/>
                <w:szCs w:val="20"/>
              </w:rPr>
              <w:t xml:space="preserve"> on her mission to </w:t>
            </w:r>
            <w:r w:rsidRPr="00B57025">
              <w:rPr>
                <w:sz w:val="20"/>
                <w:szCs w:val="20"/>
              </w:rPr>
              <w:t>Egypt</w:t>
            </w:r>
            <w:r>
              <w:rPr>
                <w:sz w:val="20"/>
                <w:szCs w:val="20"/>
              </w:rPr>
              <w:t>: revised comments by the State</w:t>
            </w:r>
          </w:p>
        </w:tc>
      </w:tr>
      <w:tr w:rsidR="002139E4" w:rsidRPr="00E93295" w14:paraId="08495EFB" w14:textId="77777777" w:rsidTr="001A259A">
        <w:trPr>
          <w:trHeight w:val="240"/>
        </w:trPr>
        <w:tc>
          <w:tcPr>
            <w:tcW w:w="2410" w:type="dxa"/>
            <w:shd w:val="clear" w:color="auto" w:fill="auto"/>
          </w:tcPr>
          <w:p w14:paraId="3F2C36ED" w14:textId="77777777" w:rsidR="002139E4" w:rsidRPr="00500755" w:rsidRDefault="002139E4" w:rsidP="001A259A">
            <w:pPr>
              <w:spacing w:before="40" w:after="120" w:line="220" w:lineRule="exact"/>
              <w:rPr>
                <w:sz w:val="20"/>
                <w:szCs w:val="20"/>
              </w:rPr>
            </w:pPr>
            <w:r>
              <w:rPr>
                <w:sz w:val="20"/>
                <w:szCs w:val="20"/>
              </w:rPr>
              <w:t>A/HRC/40/62</w:t>
            </w:r>
          </w:p>
        </w:tc>
        <w:tc>
          <w:tcPr>
            <w:tcW w:w="1276" w:type="dxa"/>
            <w:gridSpan w:val="2"/>
            <w:shd w:val="clear" w:color="auto" w:fill="auto"/>
          </w:tcPr>
          <w:p w14:paraId="1E43EDC7"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2F05B04E" w14:textId="77777777" w:rsidR="002139E4" w:rsidRPr="007757B0" w:rsidRDefault="002139E4" w:rsidP="001A259A">
            <w:pPr>
              <w:spacing w:before="40" w:after="120" w:line="220" w:lineRule="exact"/>
              <w:rPr>
                <w:sz w:val="20"/>
                <w:szCs w:val="20"/>
              </w:rPr>
            </w:pPr>
            <w:r w:rsidRPr="00480C78">
              <w:rPr>
                <w:sz w:val="20"/>
                <w:szCs w:val="20"/>
              </w:rPr>
              <w:t>Right to access to justice for persons with albinism</w:t>
            </w:r>
            <w:r>
              <w:rPr>
                <w:sz w:val="20"/>
                <w:szCs w:val="20"/>
              </w:rPr>
              <w:t xml:space="preserve">: </w:t>
            </w:r>
            <w:r w:rsidRPr="00480C78">
              <w:rPr>
                <w:sz w:val="20"/>
                <w:szCs w:val="20"/>
              </w:rPr>
              <w:t>report of the Independent Expert on the enjoyment of human rights by persons with albinism</w:t>
            </w:r>
          </w:p>
        </w:tc>
      </w:tr>
      <w:tr w:rsidR="002139E4" w:rsidRPr="00E93295" w14:paraId="2287DC7F" w14:textId="77777777" w:rsidTr="001A259A">
        <w:trPr>
          <w:trHeight w:val="240"/>
        </w:trPr>
        <w:tc>
          <w:tcPr>
            <w:tcW w:w="2410" w:type="dxa"/>
            <w:shd w:val="clear" w:color="auto" w:fill="auto"/>
          </w:tcPr>
          <w:p w14:paraId="01CD70F8" w14:textId="77777777" w:rsidR="002139E4" w:rsidRDefault="002139E4" w:rsidP="001A259A">
            <w:pPr>
              <w:spacing w:before="40" w:after="120" w:line="220" w:lineRule="exact"/>
              <w:rPr>
                <w:sz w:val="20"/>
                <w:szCs w:val="20"/>
              </w:rPr>
            </w:pPr>
            <w:r>
              <w:rPr>
                <w:sz w:val="20"/>
                <w:szCs w:val="20"/>
              </w:rPr>
              <w:t>A/HRC/40/62/Add.1</w:t>
            </w:r>
          </w:p>
        </w:tc>
        <w:tc>
          <w:tcPr>
            <w:tcW w:w="1276" w:type="dxa"/>
            <w:gridSpan w:val="2"/>
            <w:shd w:val="clear" w:color="auto" w:fill="auto"/>
          </w:tcPr>
          <w:p w14:paraId="41738CE5"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08F10CE2" w14:textId="77777777" w:rsidR="002139E4" w:rsidRPr="00480C78" w:rsidRDefault="002139E4" w:rsidP="001A259A">
            <w:pPr>
              <w:spacing w:before="40" w:after="120" w:line="220" w:lineRule="exact"/>
              <w:rPr>
                <w:sz w:val="20"/>
                <w:szCs w:val="20"/>
              </w:rPr>
            </w:pPr>
            <w:r w:rsidRPr="00480C78">
              <w:rPr>
                <w:sz w:val="20"/>
                <w:szCs w:val="20"/>
              </w:rPr>
              <w:t>Report of the Independent Expert on the enjoyment of human rights by persons with albinism</w:t>
            </w:r>
            <w:r>
              <w:rPr>
                <w:sz w:val="20"/>
                <w:szCs w:val="20"/>
              </w:rPr>
              <w:t xml:space="preserve"> on her mission to Fiji</w:t>
            </w:r>
          </w:p>
        </w:tc>
      </w:tr>
      <w:tr w:rsidR="002139E4" w:rsidRPr="00E93295" w14:paraId="77240064" w14:textId="77777777" w:rsidTr="001A259A">
        <w:trPr>
          <w:trHeight w:val="240"/>
        </w:trPr>
        <w:tc>
          <w:tcPr>
            <w:tcW w:w="2410" w:type="dxa"/>
            <w:shd w:val="clear" w:color="auto" w:fill="auto"/>
          </w:tcPr>
          <w:p w14:paraId="5122B5EC" w14:textId="77777777" w:rsidR="002139E4" w:rsidRDefault="002139E4" w:rsidP="001A259A">
            <w:pPr>
              <w:spacing w:before="40" w:after="120" w:line="220" w:lineRule="exact"/>
              <w:rPr>
                <w:sz w:val="20"/>
                <w:szCs w:val="20"/>
              </w:rPr>
            </w:pPr>
            <w:r>
              <w:rPr>
                <w:sz w:val="20"/>
                <w:szCs w:val="20"/>
              </w:rPr>
              <w:t>A/HRC/40/62/Add.2</w:t>
            </w:r>
          </w:p>
        </w:tc>
        <w:tc>
          <w:tcPr>
            <w:tcW w:w="1276" w:type="dxa"/>
            <w:gridSpan w:val="2"/>
            <w:shd w:val="clear" w:color="auto" w:fill="auto"/>
          </w:tcPr>
          <w:p w14:paraId="3BAA0B02"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05751144" w14:textId="77777777" w:rsidR="002139E4" w:rsidRPr="00480C78" w:rsidRDefault="002139E4" w:rsidP="001A259A">
            <w:pPr>
              <w:spacing w:before="40" w:after="120" w:line="220" w:lineRule="exact"/>
              <w:rPr>
                <w:sz w:val="20"/>
                <w:szCs w:val="20"/>
              </w:rPr>
            </w:pPr>
            <w:r w:rsidRPr="00480C78">
              <w:rPr>
                <w:sz w:val="20"/>
                <w:szCs w:val="20"/>
              </w:rPr>
              <w:t>Round table on human rights and albinism: seeking consensus and priorities on advocacy and research</w:t>
            </w:r>
            <w:r>
              <w:rPr>
                <w:sz w:val="20"/>
                <w:szCs w:val="20"/>
              </w:rPr>
              <w:t>: r</w:t>
            </w:r>
            <w:r w:rsidRPr="00480C78">
              <w:rPr>
                <w:sz w:val="20"/>
                <w:szCs w:val="20"/>
              </w:rPr>
              <w:t>eport of the Independent Expert on the enjoyment of human rights by persons with albinism</w:t>
            </w:r>
          </w:p>
        </w:tc>
      </w:tr>
      <w:tr w:rsidR="002139E4" w:rsidRPr="00E93295" w14:paraId="04403862" w14:textId="77777777" w:rsidTr="001A259A">
        <w:trPr>
          <w:trHeight w:val="240"/>
        </w:trPr>
        <w:tc>
          <w:tcPr>
            <w:tcW w:w="2410" w:type="dxa"/>
            <w:shd w:val="clear" w:color="auto" w:fill="auto"/>
          </w:tcPr>
          <w:p w14:paraId="3B30005A" w14:textId="77777777" w:rsidR="002139E4" w:rsidRDefault="002139E4" w:rsidP="001A259A">
            <w:pPr>
              <w:spacing w:before="40" w:after="120" w:line="220" w:lineRule="exact"/>
              <w:rPr>
                <w:sz w:val="20"/>
                <w:szCs w:val="20"/>
              </w:rPr>
            </w:pPr>
            <w:r>
              <w:rPr>
                <w:sz w:val="20"/>
                <w:szCs w:val="20"/>
              </w:rPr>
              <w:lastRenderedPageBreak/>
              <w:t>A/HRC/40/62/Add.3</w:t>
            </w:r>
          </w:p>
        </w:tc>
        <w:tc>
          <w:tcPr>
            <w:tcW w:w="1276" w:type="dxa"/>
            <w:gridSpan w:val="2"/>
            <w:shd w:val="clear" w:color="auto" w:fill="auto"/>
          </w:tcPr>
          <w:p w14:paraId="3B8A58A2"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457713D2" w14:textId="77777777" w:rsidR="002139E4" w:rsidRPr="00480C78" w:rsidRDefault="002139E4" w:rsidP="001A259A">
            <w:pPr>
              <w:spacing w:before="40" w:after="120" w:line="220" w:lineRule="exact"/>
              <w:rPr>
                <w:sz w:val="20"/>
                <w:szCs w:val="20"/>
              </w:rPr>
            </w:pPr>
            <w:r w:rsidRPr="00480C78">
              <w:rPr>
                <w:sz w:val="20"/>
                <w:szCs w:val="20"/>
              </w:rPr>
              <w:t>Report of the Independent Expert on the enjoyment of human rights by persons with albinism</w:t>
            </w:r>
            <w:r>
              <w:rPr>
                <w:sz w:val="20"/>
                <w:szCs w:val="20"/>
              </w:rPr>
              <w:t xml:space="preserve"> on her mission to Kenya</w:t>
            </w:r>
          </w:p>
        </w:tc>
      </w:tr>
      <w:tr w:rsidR="002139E4" w:rsidRPr="00E93295" w14:paraId="7A16CFF2" w14:textId="77777777" w:rsidTr="001A259A">
        <w:trPr>
          <w:trHeight w:val="240"/>
        </w:trPr>
        <w:tc>
          <w:tcPr>
            <w:tcW w:w="2410" w:type="dxa"/>
            <w:shd w:val="clear" w:color="auto" w:fill="auto"/>
          </w:tcPr>
          <w:p w14:paraId="2EBFB9F4" w14:textId="77777777" w:rsidR="002139E4" w:rsidRDefault="002139E4" w:rsidP="001A259A">
            <w:pPr>
              <w:spacing w:before="40" w:after="120" w:line="220" w:lineRule="exact"/>
              <w:rPr>
                <w:sz w:val="20"/>
                <w:szCs w:val="20"/>
              </w:rPr>
            </w:pPr>
            <w:r>
              <w:rPr>
                <w:sz w:val="20"/>
                <w:szCs w:val="20"/>
              </w:rPr>
              <w:t>A/HRC/40/63</w:t>
            </w:r>
          </w:p>
        </w:tc>
        <w:tc>
          <w:tcPr>
            <w:tcW w:w="1276" w:type="dxa"/>
            <w:gridSpan w:val="2"/>
            <w:shd w:val="clear" w:color="auto" w:fill="auto"/>
          </w:tcPr>
          <w:p w14:paraId="0C4DA1E1"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1947FF38" w14:textId="77777777" w:rsidR="002139E4" w:rsidRPr="00480C78" w:rsidRDefault="002139E4" w:rsidP="001A259A">
            <w:pPr>
              <w:spacing w:before="40" w:after="120" w:line="220" w:lineRule="exact"/>
              <w:rPr>
                <w:sz w:val="20"/>
                <w:szCs w:val="20"/>
              </w:rPr>
            </w:pPr>
            <w:r w:rsidRPr="00480C78">
              <w:rPr>
                <w:sz w:val="20"/>
                <w:szCs w:val="20"/>
              </w:rPr>
              <w:t>Report of the Special Rapporteur on the right to privacy</w:t>
            </w:r>
          </w:p>
        </w:tc>
      </w:tr>
      <w:tr w:rsidR="002139E4" w:rsidRPr="00E93295" w14:paraId="327A905A" w14:textId="77777777" w:rsidTr="001A259A">
        <w:trPr>
          <w:trHeight w:val="240"/>
        </w:trPr>
        <w:tc>
          <w:tcPr>
            <w:tcW w:w="2410" w:type="dxa"/>
            <w:shd w:val="clear" w:color="auto" w:fill="auto"/>
          </w:tcPr>
          <w:p w14:paraId="5834777D" w14:textId="77777777" w:rsidR="002139E4" w:rsidRDefault="002139E4" w:rsidP="001A259A">
            <w:pPr>
              <w:spacing w:before="40" w:after="120" w:line="220" w:lineRule="exact"/>
              <w:rPr>
                <w:sz w:val="20"/>
                <w:szCs w:val="20"/>
              </w:rPr>
            </w:pPr>
            <w:r>
              <w:rPr>
                <w:sz w:val="20"/>
                <w:szCs w:val="20"/>
              </w:rPr>
              <w:t>A/HRC/40/64</w:t>
            </w:r>
          </w:p>
        </w:tc>
        <w:tc>
          <w:tcPr>
            <w:tcW w:w="1276" w:type="dxa"/>
            <w:gridSpan w:val="2"/>
            <w:shd w:val="clear" w:color="auto" w:fill="auto"/>
          </w:tcPr>
          <w:p w14:paraId="6FD8EAEC"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6FB94AE1" w14:textId="77777777" w:rsidR="002139E4" w:rsidRPr="00480C78" w:rsidRDefault="002139E4" w:rsidP="001A259A">
            <w:pPr>
              <w:spacing w:before="40" w:after="120" w:line="220" w:lineRule="exact"/>
              <w:rPr>
                <w:sz w:val="20"/>
                <w:szCs w:val="20"/>
              </w:rPr>
            </w:pPr>
            <w:r w:rsidRPr="00480C78">
              <w:rPr>
                <w:sz w:val="20"/>
                <w:szCs w:val="20"/>
              </w:rPr>
              <w:t>Report of the Special Rapporteur on minority issues</w:t>
            </w:r>
          </w:p>
        </w:tc>
      </w:tr>
      <w:tr w:rsidR="002139E4" w:rsidRPr="00E93295" w14:paraId="2BDC946D" w14:textId="77777777" w:rsidTr="001A259A">
        <w:trPr>
          <w:trHeight w:val="240"/>
        </w:trPr>
        <w:tc>
          <w:tcPr>
            <w:tcW w:w="2410" w:type="dxa"/>
            <w:shd w:val="clear" w:color="auto" w:fill="auto"/>
          </w:tcPr>
          <w:p w14:paraId="230094DA" w14:textId="77777777" w:rsidR="002139E4" w:rsidRDefault="002139E4" w:rsidP="001A259A">
            <w:pPr>
              <w:spacing w:before="40" w:after="120" w:line="220" w:lineRule="exact"/>
              <w:rPr>
                <w:sz w:val="20"/>
                <w:szCs w:val="20"/>
              </w:rPr>
            </w:pPr>
            <w:r>
              <w:rPr>
                <w:sz w:val="20"/>
                <w:szCs w:val="20"/>
              </w:rPr>
              <w:t>A/HRC/40/64/Add.1</w:t>
            </w:r>
          </w:p>
        </w:tc>
        <w:tc>
          <w:tcPr>
            <w:tcW w:w="1276" w:type="dxa"/>
            <w:gridSpan w:val="2"/>
            <w:shd w:val="clear" w:color="auto" w:fill="auto"/>
          </w:tcPr>
          <w:p w14:paraId="685B45F6"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1097D53F" w14:textId="77777777" w:rsidR="002139E4" w:rsidRPr="00480C78" w:rsidRDefault="002139E4" w:rsidP="001A259A">
            <w:pPr>
              <w:spacing w:before="40" w:after="120" w:line="220" w:lineRule="exact"/>
              <w:rPr>
                <w:sz w:val="20"/>
                <w:szCs w:val="20"/>
              </w:rPr>
            </w:pPr>
            <w:r w:rsidRPr="00480C78">
              <w:rPr>
                <w:sz w:val="20"/>
                <w:szCs w:val="20"/>
              </w:rPr>
              <w:t>Report of the Special Rapporteur on minority issues</w:t>
            </w:r>
            <w:r>
              <w:rPr>
                <w:sz w:val="20"/>
                <w:szCs w:val="20"/>
              </w:rPr>
              <w:t xml:space="preserve"> on his mission to </w:t>
            </w:r>
            <w:r w:rsidRPr="00480C78">
              <w:rPr>
                <w:sz w:val="20"/>
                <w:szCs w:val="20"/>
              </w:rPr>
              <w:t>Slovenia</w:t>
            </w:r>
          </w:p>
        </w:tc>
      </w:tr>
      <w:tr w:rsidR="002139E4" w:rsidRPr="00E93295" w14:paraId="6F6EB3DD" w14:textId="77777777" w:rsidTr="001A259A">
        <w:trPr>
          <w:trHeight w:val="240"/>
        </w:trPr>
        <w:tc>
          <w:tcPr>
            <w:tcW w:w="2410" w:type="dxa"/>
            <w:shd w:val="clear" w:color="auto" w:fill="auto"/>
          </w:tcPr>
          <w:p w14:paraId="4836D876" w14:textId="77777777" w:rsidR="002139E4" w:rsidRDefault="002139E4" w:rsidP="001A259A">
            <w:pPr>
              <w:spacing w:before="40" w:after="120" w:line="220" w:lineRule="exact"/>
              <w:rPr>
                <w:sz w:val="20"/>
                <w:szCs w:val="20"/>
              </w:rPr>
            </w:pPr>
            <w:r>
              <w:rPr>
                <w:sz w:val="20"/>
                <w:szCs w:val="20"/>
              </w:rPr>
              <w:t>A/HRC/40/64/Add.2</w:t>
            </w:r>
          </w:p>
        </w:tc>
        <w:tc>
          <w:tcPr>
            <w:tcW w:w="1276" w:type="dxa"/>
            <w:gridSpan w:val="2"/>
            <w:shd w:val="clear" w:color="auto" w:fill="auto"/>
          </w:tcPr>
          <w:p w14:paraId="7B1B0FEA"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583E772C" w14:textId="77777777" w:rsidR="002139E4" w:rsidRPr="00480C78" w:rsidRDefault="002139E4" w:rsidP="001A259A">
            <w:pPr>
              <w:spacing w:before="40" w:after="120" w:line="220" w:lineRule="exact"/>
              <w:rPr>
                <w:sz w:val="20"/>
                <w:szCs w:val="20"/>
              </w:rPr>
            </w:pPr>
            <w:r w:rsidRPr="00480C78">
              <w:rPr>
                <w:sz w:val="20"/>
                <w:szCs w:val="20"/>
              </w:rPr>
              <w:t>Report of the Special Rapporteur on minority issues</w:t>
            </w:r>
            <w:r>
              <w:rPr>
                <w:sz w:val="20"/>
                <w:szCs w:val="20"/>
              </w:rPr>
              <w:t xml:space="preserve"> on his mission to </w:t>
            </w:r>
            <w:r w:rsidRPr="00480C78">
              <w:rPr>
                <w:sz w:val="20"/>
                <w:szCs w:val="20"/>
              </w:rPr>
              <w:t>Botswana</w:t>
            </w:r>
          </w:p>
        </w:tc>
      </w:tr>
      <w:tr w:rsidR="002139E4" w:rsidRPr="00E93295" w14:paraId="5C2760A5" w14:textId="77777777" w:rsidTr="001A259A">
        <w:trPr>
          <w:trHeight w:val="240"/>
        </w:trPr>
        <w:tc>
          <w:tcPr>
            <w:tcW w:w="2410" w:type="dxa"/>
            <w:shd w:val="clear" w:color="auto" w:fill="auto"/>
          </w:tcPr>
          <w:p w14:paraId="04F7202C" w14:textId="77777777" w:rsidR="002139E4" w:rsidRDefault="002139E4" w:rsidP="001A259A">
            <w:pPr>
              <w:spacing w:before="40" w:after="120" w:line="220" w:lineRule="exact"/>
              <w:rPr>
                <w:sz w:val="20"/>
                <w:szCs w:val="20"/>
              </w:rPr>
            </w:pPr>
            <w:r>
              <w:rPr>
                <w:sz w:val="20"/>
                <w:szCs w:val="20"/>
              </w:rPr>
              <w:t>A/HRC/40/64/Add.3</w:t>
            </w:r>
          </w:p>
        </w:tc>
        <w:tc>
          <w:tcPr>
            <w:tcW w:w="1276" w:type="dxa"/>
            <w:gridSpan w:val="2"/>
            <w:shd w:val="clear" w:color="auto" w:fill="auto"/>
          </w:tcPr>
          <w:p w14:paraId="1799E744" w14:textId="77777777" w:rsidR="002139E4" w:rsidRDefault="002139E4" w:rsidP="001A259A">
            <w:pPr>
              <w:spacing w:before="40" w:after="120" w:line="220" w:lineRule="exact"/>
              <w:ind w:right="168"/>
              <w:jc w:val="right"/>
              <w:rPr>
                <w:sz w:val="20"/>
                <w:szCs w:val="20"/>
              </w:rPr>
            </w:pPr>
            <w:r>
              <w:rPr>
                <w:sz w:val="20"/>
                <w:szCs w:val="20"/>
              </w:rPr>
              <w:t>3</w:t>
            </w:r>
          </w:p>
        </w:tc>
        <w:tc>
          <w:tcPr>
            <w:tcW w:w="4252" w:type="dxa"/>
            <w:shd w:val="clear" w:color="auto" w:fill="auto"/>
          </w:tcPr>
          <w:p w14:paraId="0649E6C9" w14:textId="77777777" w:rsidR="002139E4" w:rsidRPr="00480C78" w:rsidRDefault="002139E4" w:rsidP="001A259A">
            <w:pPr>
              <w:spacing w:before="40" w:after="120" w:line="220" w:lineRule="exact"/>
              <w:rPr>
                <w:sz w:val="20"/>
                <w:szCs w:val="20"/>
              </w:rPr>
            </w:pPr>
            <w:r w:rsidRPr="00480C78">
              <w:rPr>
                <w:sz w:val="20"/>
                <w:szCs w:val="20"/>
              </w:rPr>
              <w:t>Report of the Special Rapporteur on minority issues</w:t>
            </w:r>
            <w:r>
              <w:rPr>
                <w:sz w:val="20"/>
                <w:szCs w:val="20"/>
              </w:rPr>
              <w:t xml:space="preserve"> on his mission to </w:t>
            </w:r>
            <w:r w:rsidRPr="00480C78">
              <w:rPr>
                <w:sz w:val="20"/>
                <w:szCs w:val="20"/>
              </w:rPr>
              <w:t>Slovenia</w:t>
            </w:r>
            <w:r>
              <w:rPr>
                <w:sz w:val="20"/>
                <w:szCs w:val="20"/>
              </w:rPr>
              <w:t>: comments by the State</w:t>
            </w:r>
          </w:p>
        </w:tc>
      </w:tr>
      <w:tr w:rsidR="002139E4" w:rsidRPr="00E93295" w14:paraId="78F1BDFD" w14:textId="77777777" w:rsidTr="001A259A">
        <w:trPr>
          <w:trHeight w:val="240"/>
        </w:trPr>
        <w:tc>
          <w:tcPr>
            <w:tcW w:w="2410" w:type="dxa"/>
            <w:shd w:val="clear" w:color="auto" w:fill="auto"/>
          </w:tcPr>
          <w:p w14:paraId="6DB3798C" w14:textId="77777777" w:rsidR="002139E4" w:rsidRDefault="002139E4" w:rsidP="001A259A">
            <w:pPr>
              <w:spacing w:before="40" w:after="120" w:line="220" w:lineRule="exact"/>
              <w:rPr>
                <w:sz w:val="20"/>
                <w:szCs w:val="20"/>
              </w:rPr>
            </w:pPr>
            <w:r>
              <w:rPr>
                <w:sz w:val="20"/>
                <w:szCs w:val="20"/>
              </w:rPr>
              <w:t>A/HRC/40/65</w:t>
            </w:r>
          </w:p>
        </w:tc>
        <w:tc>
          <w:tcPr>
            <w:tcW w:w="1276" w:type="dxa"/>
            <w:gridSpan w:val="2"/>
            <w:shd w:val="clear" w:color="auto" w:fill="auto"/>
          </w:tcPr>
          <w:p w14:paraId="194AE75F" w14:textId="77777777" w:rsidR="002139E4" w:rsidRDefault="002139E4" w:rsidP="001A259A">
            <w:pPr>
              <w:spacing w:before="40" w:after="120" w:line="220" w:lineRule="exact"/>
              <w:ind w:right="168"/>
              <w:jc w:val="right"/>
              <w:rPr>
                <w:sz w:val="20"/>
                <w:szCs w:val="20"/>
              </w:rPr>
            </w:pPr>
            <w:r>
              <w:rPr>
                <w:sz w:val="20"/>
                <w:szCs w:val="20"/>
              </w:rPr>
              <w:t>3, 5</w:t>
            </w:r>
          </w:p>
        </w:tc>
        <w:tc>
          <w:tcPr>
            <w:tcW w:w="4252" w:type="dxa"/>
            <w:shd w:val="clear" w:color="auto" w:fill="auto"/>
          </w:tcPr>
          <w:p w14:paraId="699AF68F" w14:textId="77777777" w:rsidR="002139E4" w:rsidRPr="00480C78" w:rsidRDefault="002139E4" w:rsidP="001A259A">
            <w:pPr>
              <w:spacing w:before="40" w:after="120" w:line="220" w:lineRule="exact"/>
              <w:rPr>
                <w:sz w:val="20"/>
                <w:szCs w:val="20"/>
              </w:rPr>
            </w:pPr>
            <w:r w:rsidRPr="00480C78">
              <w:rPr>
                <w:sz w:val="20"/>
                <w:szCs w:val="20"/>
              </w:rPr>
              <w:t>Second session of the Forum on Human Rights</w:t>
            </w:r>
            <w:r>
              <w:rPr>
                <w:sz w:val="20"/>
                <w:szCs w:val="20"/>
              </w:rPr>
              <w:t xml:space="preserve">, Democracy and the Rule of Law: </w:t>
            </w:r>
            <w:r w:rsidRPr="00480C78">
              <w:rPr>
                <w:sz w:val="20"/>
                <w:szCs w:val="20"/>
              </w:rPr>
              <w:t>report of the Chair</w:t>
            </w:r>
          </w:p>
        </w:tc>
      </w:tr>
      <w:tr w:rsidR="002139E4" w:rsidRPr="00E93295" w14:paraId="70C9F4A2" w14:textId="77777777" w:rsidTr="001A259A">
        <w:trPr>
          <w:trHeight w:val="240"/>
        </w:trPr>
        <w:tc>
          <w:tcPr>
            <w:tcW w:w="2410" w:type="dxa"/>
            <w:shd w:val="clear" w:color="auto" w:fill="auto"/>
          </w:tcPr>
          <w:p w14:paraId="6D127E48" w14:textId="77777777" w:rsidR="002139E4" w:rsidRDefault="002139E4" w:rsidP="001A259A">
            <w:pPr>
              <w:spacing w:before="40" w:after="120" w:line="220" w:lineRule="exact"/>
              <w:rPr>
                <w:sz w:val="20"/>
                <w:szCs w:val="20"/>
              </w:rPr>
            </w:pPr>
            <w:r>
              <w:rPr>
                <w:sz w:val="20"/>
                <w:szCs w:val="20"/>
              </w:rPr>
              <w:t>A/HRC/40/66</w:t>
            </w:r>
          </w:p>
        </w:tc>
        <w:tc>
          <w:tcPr>
            <w:tcW w:w="1276" w:type="dxa"/>
            <w:gridSpan w:val="2"/>
            <w:shd w:val="clear" w:color="auto" w:fill="auto"/>
          </w:tcPr>
          <w:p w14:paraId="7983753B" w14:textId="77777777" w:rsidR="002139E4" w:rsidRDefault="002139E4" w:rsidP="001A259A">
            <w:pPr>
              <w:spacing w:before="40" w:after="120" w:line="220" w:lineRule="exact"/>
              <w:ind w:right="168"/>
              <w:jc w:val="right"/>
              <w:rPr>
                <w:sz w:val="20"/>
                <w:szCs w:val="20"/>
              </w:rPr>
            </w:pPr>
            <w:r>
              <w:rPr>
                <w:sz w:val="20"/>
                <w:szCs w:val="20"/>
              </w:rPr>
              <w:t>4</w:t>
            </w:r>
          </w:p>
        </w:tc>
        <w:tc>
          <w:tcPr>
            <w:tcW w:w="4252" w:type="dxa"/>
            <w:shd w:val="clear" w:color="auto" w:fill="auto"/>
          </w:tcPr>
          <w:p w14:paraId="433559FC" w14:textId="77777777" w:rsidR="002139E4" w:rsidRPr="00480C78" w:rsidRDefault="002139E4" w:rsidP="001A259A">
            <w:pPr>
              <w:spacing w:before="40" w:after="120" w:line="220" w:lineRule="exact"/>
              <w:rPr>
                <w:sz w:val="20"/>
                <w:szCs w:val="20"/>
              </w:rPr>
            </w:pPr>
            <w:r w:rsidRPr="00480C78">
              <w:rPr>
                <w:sz w:val="20"/>
                <w:szCs w:val="20"/>
              </w:rPr>
              <w:t>Report of the Special Rapporteur on the situation of human rights in the Democratic People</w:t>
            </w:r>
            <w:r>
              <w:rPr>
                <w:sz w:val="20"/>
                <w:szCs w:val="20"/>
              </w:rPr>
              <w:t>’</w:t>
            </w:r>
            <w:r w:rsidRPr="00480C78">
              <w:rPr>
                <w:sz w:val="20"/>
                <w:szCs w:val="20"/>
              </w:rPr>
              <w:t>s Republic of Korea</w:t>
            </w:r>
          </w:p>
        </w:tc>
      </w:tr>
      <w:tr w:rsidR="002139E4" w:rsidRPr="00E93295" w14:paraId="02724399" w14:textId="77777777" w:rsidTr="001A259A">
        <w:trPr>
          <w:trHeight w:val="240"/>
        </w:trPr>
        <w:tc>
          <w:tcPr>
            <w:tcW w:w="2410" w:type="dxa"/>
            <w:shd w:val="clear" w:color="auto" w:fill="auto"/>
          </w:tcPr>
          <w:p w14:paraId="0EBACDC3" w14:textId="77777777" w:rsidR="002139E4" w:rsidRDefault="002139E4" w:rsidP="001A259A">
            <w:pPr>
              <w:spacing w:before="40" w:after="120" w:line="220" w:lineRule="exact"/>
              <w:rPr>
                <w:sz w:val="20"/>
                <w:szCs w:val="20"/>
              </w:rPr>
            </w:pPr>
            <w:r>
              <w:rPr>
                <w:sz w:val="20"/>
                <w:szCs w:val="20"/>
              </w:rPr>
              <w:t>A/HRC/40/67</w:t>
            </w:r>
          </w:p>
        </w:tc>
        <w:tc>
          <w:tcPr>
            <w:tcW w:w="1276" w:type="dxa"/>
            <w:gridSpan w:val="2"/>
            <w:shd w:val="clear" w:color="auto" w:fill="auto"/>
          </w:tcPr>
          <w:p w14:paraId="2F745C53" w14:textId="77777777" w:rsidR="002139E4" w:rsidRDefault="002139E4" w:rsidP="001A259A">
            <w:pPr>
              <w:spacing w:before="40" w:after="120" w:line="220" w:lineRule="exact"/>
              <w:ind w:right="168"/>
              <w:jc w:val="right"/>
              <w:rPr>
                <w:sz w:val="20"/>
                <w:szCs w:val="20"/>
              </w:rPr>
            </w:pPr>
            <w:r>
              <w:rPr>
                <w:sz w:val="20"/>
                <w:szCs w:val="20"/>
              </w:rPr>
              <w:t>4</w:t>
            </w:r>
          </w:p>
        </w:tc>
        <w:tc>
          <w:tcPr>
            <w:tcW w:w="4252" w:type="dxa"/>
            <w:shd w:val="clear" w:color="auto" w:fill="auto"/>
          </w:tcPr>
          <w:p w14:paraId="1E06B59E" w14:textId="77777777" w:rsidR="002139E4" w:rsidRPr="00480C78" w:rsidRDefault="002139E4" w:rsidP="001A259A">
            <w:pPr>
              <w:spacing w:before="40" w:after="120" w:line="220" w:lineRule="exact"/>
              <w:rPr>
                <w:sz w:val="20"/>
                <w:szCs w:val="20"/>
              </w:rPr>
            </w:pPr>
            <w:r w:rsidRPr="00480C78">
              <w:rPr>
                <w:sz w:val="20"/>
                <w:szCs w:val="20"/>
              </w:rPr>
              <w:t>Report of the Special Rapporteur on the situation of human rights in the Islamic Republic of Iran</w:t>
            </w:r>
          </w:p>
        </w:tc>
      </w:tr>
      <w:tr w:rsidR="002139E4" w:rsidRPr="00E93295" w14:paraId="615022EB" w14:textId="77777777" w:rsidTr="001A259A">
        <w:trPr>
          <w:trHeight w:val="240"/>
        </w:trPr>
        <w:tc>
          <w:tcPr>
            <w:tcW w:w="2410" w:type="dxa"/>
            <w:shd w:val="clear" w:color="auto" w:fill="auto"/>
          </w:tcPr>
          <w:p w14:paraId="7497E5D9" w14:textId="77777777" w:rsidR="002139E4" w:rsidRDefault="002139E4" w:rsidP="001A259A">
            <w:pPr>
              <w:spacing w:before="40" w:after="120" w:line="220" w:lineRule="exact"/>
              <w:rPr>
                <w:sz w:val="20"/>
                <w:szCs w:val="20"/>
              </w:rPr>
            </w:pPr>
            <w:r>
              <w:rPr>
                <w:sz w:val="20"/>
                <w:szCs w:val="20"/>
              </w:rPr>
              <w:t>A/HRC/40/68</w:t>
            </w:r>
          </w:p>
        </w:tc>
        <w:tc>
          <w:tcPr>
            <w:tcW w:w="1276" w:type="dxa"/>
            <w:gridSpan w:val="2"/>
            <w:shd w:val="clear" w:color="auto" w:fill="auto"/>
          </w:tcPr>
          <w:p w14:paraId="0259A88E" w14:textId="77777777" w:rsidR="002139E4" w:rsidRDefault="002139E4" w:rsidP="001A259A">
            <w:pPr>
              <w:spacing w:before="40" w:after="120" w:line="220" w:lineRule="exact"/>
              <w:ind w:right="168"/>
              <w:jc w:val="right"/>
              <w:rPr>
                <w:sz w:val="20"/>
                <w:szCs w:val="20"/>
              </w:rPr>
            </w:pPr>
            <w:r>
              <w:rPr>
                <w:sz w:val="20"/>
                <w:szCs w:val="20"/>
              </w:rPr>
              <w:t>4</w:t>
            </w:r>
          </w:p>
        </w:tc>
        <w:tc>
          <w:tcPr>
            <w:tcW w:w="4252" w:type="dxa"/>
            <w:shd w:val="clear" w:color="auto" w:fill="auto"/>
          </w:tcPr>
          <w:p w14:paraId="44A3F739" w14:textId="77777777" w:rsidR="002139E4" w:rsidRPr="00480C78" w:rsidRDefault="002139E4" w:rsidP="001A259A">
            <w:pPr>
              <w:spacing w:before="40" w:after="120" w:line="220" w:lineRule="exact"/>
              <w:rPr>
                <w:sz w:val="20"/>
                <w:szCs w:val="20"/>
              </w:rPr>
            </w:pPr>
            <w:r w:rsidRPr="00480C78">
              <w:rPr>
                <w:sz w:val="20"/>
                <w:szCs w:val="20"/>
              </w:rPr>
              <w:t>Report of the Special Rapporteur on the situation of human rights in Myanmar</w:t>
            </w:r>
          </w:p>
        </w:tc>
      </w:tr>
      <w:tr w:rsidR="002139E4" w:rsidRPr="00E93295" w14:paraId="45B96DD9" w14:textId="77777777" w:rsidTr="001A259A">
        <w:trPr>
          <w:trHeight w:val="240"/>
        </w:trPr>
        <w:tc>
          <w:tcPr>
            <w:tcW w:w="2410" w:type="dxa"/>
            <w:shd w:val="clear" w:color="auto" w:fill="auto"/>
          </w:tcPr>
          <w:p w14:paraId="5A5880B7" w14:textId="77777777" w:rsidR="002139E4" w:rsidRDefault="002139E4" w:rsidP="001A259A">
            <w:pPr>
              <w:spacing w:before="40" w:after="120" w:line="220" w:lineRule="exact"/>
              <w:rPr>
                <w:sz w:val="20"/>
                <w:szCs w:val="20"/>
              </w:rPr>
            </w:pPr>
            <w:r>
              <w:rPr>
                <w:sz w:val="20"/>
                <w:szCs w:val="20"/>
              </w:rPr>
              <w:t>A/HRC/40/69</w:t>
            </w:r>
          </w:p>
        </w:tc>
        <w:tc>
          <w:tcPr>
            <w:tcW w:w="1276" w:type="dxa"/>
            <w:gridSpan w:val="2"/>
            <w:shd w:val="clear" w:color="auto" w:fill="auto"/>
          </w:tcPr>
          <w:p w14:paraId="104EC32D" w14:textId="77777777" w:rsidR="002139E4" w:rsidRDefault="002139E4" w:rsidP="001A259A">
            <w:pPr>
              <w:spacing w:before="40" w:after="120" w:line="220" w:lineRule="exact"/>
              <w:ind w:right="168"/>
              <w:jc w:val="right"/>
              <w:rPr>
                <w:sz w:val="20"/>
                <w:szCs w:val="20"/>
              </w:rPr>
            </w:pPr>
            <w:r>
              <w:rPr>
                <w:sz w:val="20"/>
                <w:szCs w:val="20"/>
              </w:rPr>
              <w:t>4</w:t>
            </w:r>
          </w:p>
        </w:tc>
        <w:tc>
          <w:tcPr>
            <w:tcW w:w="4252" w:type="dxa"/>
            <w:shd w:val="clear" w:color="auto" w:fill="auto"/>
          </w:tcPr>
          <w:p w14:paraId="38A24EE5" w14:textId="77777777" w:rsidR="002139E4" w:rsidRPr="00480C78" w:rsidRDefault="002139E4" w:rsidP="001A259A">
            <w:pPr>
              <w:spacing w:before="40" w:after="120" w:line="220" w:lineRule="exact"/>
              <w:rPr>
                <w:sz w:val="20"/>
                <w:szCs w:val="20"/>
              </w:rPr>
            </w:pPr>
            <w:r w:rsidRPr="00480C78">
              <w:rPr>
                <w:sz w:val="20"/>
                <w:szCs w:val="20"/>
              </w:rPr>
              <w:t>Report of the Commission on Human Rights in South Sudan</w:t>
            </w:r>
          </w:p>
        </w:tc>
      </w:tr>
      <w:tr w:rsidR="002139E4" w:rsidRPr="00E93295" w14:paraId="73DC5FA2" w14:textId="77777777" w:rsidTr="001A259A">
        <w:trPr>
          <w:trHeight w:val="240"/>
        </w:trPr>
        <w:tc>
          <w:tcPr>
            <w:tcW w:w="2410" w:type="dxa"/>
            <w:shd w:val="clear" w:color="auto" w:fill="auto"/>
          </w:tcPr>
          <w:p w14:paraId="75B802AF" w14:textId="77777777" w:rsidR="002139E4" w:rsidRDefault="002139E4" w:rsidP="001A259A">
            <w:pPr>
              <w:spacing w:before="40" w:after="120" w:line="220" w:lineRule="exact"/>
              <w:rPr>
                <w:sz w:val="20"/>
                <w:szCs w:val="20"/>
              </w:rPr>
            </w:pPr>
            <w:r>
              <w:rPr>
                <w:sz w:val="20"/>
                <w:szCs w:val="20"/>
              </w:rPr>
              <w:t>A/HRC/40/70</w:t>
            </w:r>
          </w:p>
        </w:tc>
        <w:tc>
          <w:tcPr>
            <w:tcW w:w="1276" w:type="dxa"/>
            <w:gridSpan w:val="2"/>
            <w:shd w:val="clear" w:color="auto" w:fill="auto"/>
          </w:tcPr>
          <w:p w14:paraId="2F4BE026" w14:textId="77777777" w:rsidR="002139E4" w:rsidRDefault="002139E4" w:rsidP="001A259A">
            <w:pPr>
              <w:spacing w:before="40" w:after="120" w:line="220" w:lineRule="exact"/>
              <w:ind w:right="168"/>
              <w:jc w:val="right"/>
              <w:rPr>
                <w:sz w:val="20"/>
                <w:szCs w:val="20"/>
              </w:rPr>
            </w:pPr>
            <w:r>
              <w:rPr>
                <w:sz w:val="20"/>
                <w:szCs w:val="20"/>
              </w:rPr>
              <w:t>4</w:t>
            </w:r>
          </w:p>
        </w:tc>
        <w:tc>
          <w:tcPr>
            <w:tcW w:w="4252" w:type="dxa"/>
            <w:shd w:val="clear" w:color="auto" w:fill="auto"/>
          </w:tcPr>
          <w:p w14:paraId="0CE2CCED" w14:textId="77777777" w:rsidR="002139E4" w:rsidRPr="00480C78" w:rsidRDefault="002139E4" w:rsidP="001A259A">
            <w:pPr>
              <w:spacing w:before="40" w:after="120" w:line="220" w:lineRule="exact"/>
              <w:rPr>
                <w:sz w:val="20"/>
                <w:szCs w:val="20"/>
              </w:rPr>
            </w:pPr>
            <w:r w:rsidRPr="006D1D97">
              <w:rPr>
                <w:sz w:val="20"/>
                <w:szCs w:val="20"/>
              </w:rPr>
              <w:t>Report of the Independent International Commission of Inquiry on the Syrian Arab Republic</w:t>
            </w:r>
          </w:p>
        </w:tc>
      </w:tr>
      <w:tr w:rsidR="002139E4" w:rsidRPr="00E93295" w14:paraId="7A228B01" w14:textId="77777777" w:rsidTr="001A259A">
        <w:trPr>
          <w:trHeight w:val="240"/>
        </w:trPr>
        <w:tc>
          <w:tcPr>
            <w:tcW w:w="2410" w:type="dxa"/>
            <w:shd w:val="clear" w:color="auto" w:fill="auto"/>
          </w:tcPr>
          <w:p w14:paraId="684DCB40" w14:textId="77777777" w:rsidR="002139E4" w:rsidRDefault="002139E4" w:rsidP="001A259A">
            <w:pPr>
              <w:spacing w:before="40" w:after="120" w:line="220" w:lineRule="exact"/>
              <w:rPr>
                <w:sz w:val="20"/>
                <w:szCs w:val="20"/>
              </w:rPr>
            </w:pPr>
            <w:r>
              <w:rPr>
                <w:sz w:val="20"/>
                <w:szCs w:val="20"/>
              </w:rPr>
              <w:t>A/HRC/40/71</w:t>
            </w:r>
          </w:p>
        </w:tc>
        <w:tc>
          <w:tcPr>
            <w:tcW w:w="1276" w:type="dxa"/>
            <w:gridSpan w:val="2"/>
            <w:shd w:val="clear" w:color="auto" w:fill="auto"/>
          </w:tcPr>
          <w:p w14:paraId="0B7B4AC4" w14:textId="77777777" w:rsidR="002139E4" w:rsidRDefault="002139E4" w:rsidP="001A259A">
            <w:pPr>
              <w:spacing w:before="40" w:after="120" w:line="220" w:lineRule="exact"/>
              <w:ind w:right="168"/>
              <w:jc w:val="right"/>
              <w:rPr>
                <w:sz w:val="20"/>
                <w:szCs w:val="20"/>
              </w:rPr>
            </w:pPr>
            <w:r>
              <w:rPr>
                <w:sz w:val="20"/>
                <w:szCs w:val="20"/>
              </w:rPr>
              <w:t>5</w:t>
            </w:r>
          </w:p>
        </w:tc>
        <w:tc>
          <w:tcPr>
            <w:tcW w:w="4252" w:type="dxa"/>
            <w:shd w:val="clear" w:color="auto" w:fill="auto"/>
          </w:tcPr>
          <w:p w14:paraId="13F005FE" w14:textId="77777777" w:rsidR="002139E4" w:rsidRPr="00480C78" w:rsidRDefault="002139E4" w:rsidP="001A259A">
            <w:pPr>
              <w:spacing w:before="40" w:after="120" w:line="220" w:lineRule="exact"/>
              <w:rPr>
                <w:sz w:val="20"/>
                <w:szCs w:val="20"/>
              </w:rPr>
            </w:pPr>
            <w:r w:rsidRPr="006D1D97">
              <w:rPr>
                <w:sz w:val="20"/>
                <w:szCs w:val="20"/>
              </w:rPr>
              <w:t>Recommendations of the Forum on Minority Issues at its eleventh session on the theme “Statelessness: a minority issue”</w:t>
            </w:r>
            <w:r>
              <w:rPr>
                <w:sz w:val="20"/>
                <w:szCs w:val="20"/>
              </w:rPr>
              <w:t>: r</w:t>
            </w:r>
            <w:r w:rsidRPr="006D1D97">
              <w:rPr>
                <w:sz w:val="20"/>
                <w:szCs w:val="20"/>
              </w:rPr>
              <w:t>eport of the Special Rapporteur on minority issues</w:t>
            </w:r>
          </w:p>
        </w:tc>
      </w:tr>
      <w:tr w:rsidR="002139E4" w:rsidRPr="00E93295" w14:paraId="5ABBA1A0" w14:textId="77777777" w:rsidTr="001A259A">
        <w:trPr>
          <w:trHeight w:val="240"/>
        </w:trPr>
        <w:tc>
          <w:tcPr>
            <w:tcW w:w="2410" w:type="dxa"/>
            <w:shd w:val="clear" w:color="auto" w:fill="auto"/>
          </w:tcPr>
          <w:p w14:paraId="1A3BAC3D" w14:textId="77777777" w:rsidR="002139E4" w:rsidRDefault="002139E4" w:rsidP="001A259A">
            <w:pPr>
              <w:spacing w:before="40" w:after="120" w:line="220" w:lineRule="exact"/>
              <w:rPr>
                <w:sz w:val="20"/>
                <w:szCs w:val="20"/>
              </w:rPr>
            </w:pPr>
            <w:r>
              <w:rPr>
                <w:sz w:val="20"/>
                <w:szCs w:val="20"/>
              </w:rPr>
              <w:t>A/HRC/40/72</w:t>
            </w:r>
          </w:p>
        </w:tc>
        <w:tc>
          <w:tcPr>
            <w:tcW w:w="1276" w:type="dxa"/>
            <w:gridSpan w:val="2"/>
            <w:shd w:val="clear" w:color="auto" w:fill="auto"/>
          </w:tcPr>
          <w:p w14:paraId="7E4B51D6" w14:textId="77777777" w:rsidR="002139E4" w:rsidRDefault="002139E4" w:rsidP="001A259A">
            <w:pPr>
              <w:spacing w:before="40" w:after="120" w:line="220" w:lineRule="exact"/>
              <w:ind w:right="168"/>
              <w:jc w:val="right"/>
              <w:rPr>
                <w:sz w:val="20"/>
                <w:szCs w:val="20"/>
              </w:rPr>
            </w:pPr>
            <w:r>
              <w:rPr>
                <w:sz w:val="20"/>
                <w:szCs w:val="20"/>
              </w:rPr>
              <w:t>5</w:t>
            </w:r>
          </w:p>
        </w:tc>
        <w:tc>
          <w:tcPr>
            <w:tcW w:w="4252" w:type="dxa"/>
            <w:shd w:val="clear" w:color="auto" w:fill="auto"/>
          </w:tcPr>
          <w:p w14:paraId="2A8F68FE" w14:textId="77777777" w:rsidR="002139E4" w:rsidRPr="00480C78" w:rsidRDefault="002139E4" w:rsidP="001A259A">
            <w:pPr>
              <w:spacing w:before="40" w:after="120" w:line="220" w:lineRule="exact"/>
              <w:rPr>
                <w:sz w:val="20"/>
                <w:szCs w:val="20"/>
              </w:rPr>
            </w:pPr>
            <w:r w:rsidRPr="006D1D97">
              <w:rPr>
                <w:sz w:val="20"/>
                <w:szCs w:val="20"/>
              </w:rPr>
              <w:t>Report of the 2018 Social Forum</w:t>
            </w:r>
          </w:p>
        </w:tc>
      </w:tr>
      <w:tr w:rsidR="002139E4" w:rsidRPr="00E93295" w14:paraId="10242E12" w14:textId="77777777" w:rsidTr="001A259A">
        <w:trPr>
          <w:trHeight w:val="240"/>
        </w:trPr>
        <w:tc>
          <w:tcPr>
            <w:tcW w:w="2410" w:type="dxa"/>
            <w:shd w:val="clear" w:color="auto" w:fill="auto"/>
          </w:tcPr>
          <w:p w14:paraId="6B3470A8" w14:textId="77777777" w:rsidR="002139E4" w:rsidRDefault="002139E4" w:rsidP="001A259A">
            <w:pPr>
              <w:spacing w:before="40" w:after="120" w:line="220" w:lineRule="exact"/>
              <w:rPr>
                <w:sz w:val="20"/>
                <w:szCs w:val="20"/>
              </w:rPr>
            </w:pPr>
            <w:r>
              <w:rPr>
                <w:sz w:val="20"/>
                <w:szCs w:val="20"/>
              </w:rPr>
              <w:t>A/HRC/40/73</w:t>
            </w:r>
          </w:p>
        </w:tc>
        <w:tc>
          <w:tcPr>
            <w:tcW w:w="1276" w:type="dxa"/>
            <w:gridSpan w:val="2"/>
            <w:shd w:val="clear" w:color="auto" w:fill="auto"/>
          </w:tcPr>
          <w:p w14:paraId="55D2CEB2" w14:textId="77777777" w:rsidR="002139E4" w:rsidRDefault="002139E4" w:rsidP="001A259A">
            <w:pPr>
              <w:spacing w:before="40" w:after="120" w:line="220" w:lineRule="exact"/>
              <w:ind w:right="168"/>
              <w:jc w:val="right"/>
              <w:rPr>
                <w:sz w:val="20"/>
                <w:szCs w:val="20"/>
              </w:rPr>
            </w:pPr>
            <w:r>
              <w:rPr>
                <w:sz w:val="20"/>
                <w:szCs w:val="20"/>
              </w:rPr>
              <w:t>7</w:t>
            </w:r>
          </w:p>
        </w:tc>
        <w:tc>
          <w:tcPr>
            <w:tcW w:w="4252" w:type="dxa"/>
            <w:shd w:val="clear" w:color="auto" w:fill="auto"/>
          </w:tcPr>
          <w:p w14:paraId="135071A3" w14:textId="77777777" w:rsidR="002139E4" w:rsidRPr="00480C78" w:rsidRDefault="002139E4" w:rsidP="001A259A">
            <w:pPr>
              <w:spacing w:before="40" w:after="120" w:line="220" w:lineRule="exact"/>
              <w:rPr>
                <w:sz w:val="20"/>
                <w:szCs w:val="20"/>
              </w:rPr>
            </w:pPr>
            <w:r w:rsidRPr="006D1D97">
              <w:rPr>
                <w:sz w:val="20"/>
                <w:szCs w:val="20"/>
              </w:rPr>
              <w:t>Report of the Special Rapporteur on the situation of human rights in the Palestinian territories occupied since 1967</w:t>
            </w:r>
          </w:p>
        </w:tc>
      </w:tr>
      <w:tr w:rsidR="002139E4" w:rsidRPr="00E93295" w14:paraId="24040820" w14:textId="77777777" w:rsidTr="001A259A">
        <w:trPr>
          <w:trHeight w:val="240"/>
        </w:trPr>
        <w:tc>
          <w:tcPr>
            <w:tcW w:w="2410" w:type="dxa"/>
            <w:shd w:val="clear" w:color="auto" w:fill="auto"/>
          </w:tcPr>
          <w:p w14:paraId="57081053" w14:textId="77777777" w:rsidR="002139E4" w:rsidRDefault="002139E4" w:rsidP="001A259A">
            <w:pPr>
              <w:spacing w:before="40" w:after="120" w:line="220" w:lineRule="exact"/>
              <w:rPr>
                <w:sz w:val="20"/>
                <w:szCs w:val="20"/>
              </w:rPr>
            </w:pPr>
            <w:r>
              <w:rPr>
                <w:sz w:val="20"/>
                <w:szCs w:val="20"/>
              </w:rPr>
              <w:t>A/HRC/40/74</w:t>
            </w:r>
          </w:p>
        </w:tc>
        <w:tc>
          <w:tcPr>
            <w:tcW w:w="1276" w:type="dxa"/>
            <w:gridSpan w:val="2"/>
            <w:shd w:val="clear" w:color="auto" w:fill="auto"/>
          </w:tcPr>
          <w:p w14:paraId="6B672B4C" w14:textId="77777777" w:rsidR="002139E4" w:rsidRDefault="002139E4" w:rsidP="001A259A">
            <w:pPr>
              <w:spacing w:before="40" w:after="120" w:line="220" w:lineRule="exact"/>
              <w:ind w:right="168"/>
              <w:jc w:val="right"/>
              <w:rPr>
                <w:sz w:val="20"/>
                <w:szCs w:val="20"/>
              </w:rPr>
            </w:pPr>
            <w:r>
              <w:rPr>
                <w:sz w:val="20"/>
                <w:szCs w:val="20"/>
              </w:rPr>
              <w:t>7</w:t>
            </w:r>
          </w:p>
        </w:tc>
        <w:tc>
          <w:tcPr>
            <w:tcW w:w="4252" w:type="dxa"/>
            <w:shd w:val="clear" w:color="auto" w:fill="auto"/>
          </w:tcPr>
          <w:p w14:paraId="6FF4F912" w14:textId="77777777" w:rsidR="002139E4" w:rsidRPr="00480C78" w:rsidRDefault="002139E4" w:rsidP="001A259A">
            <w:pPr>
              <w:spacing w:before="40" w:after="120" w:line="220" w:lineRule="exact"/>
              <w:rPr>
                <w:sz w:val="20"/>
                <w:szCs w:val="20"/>
              </w:rPr>
            </w:pPr>
            <w:r w:rsidRPr="006D1D97">
              <w:rPr>
                <w:sz w:val="20"/>
                <w:szCs w:val="20"/>
              </w:rPr>
              <w:t>Report of the independent international commission of inquiry on the protests in the Occupied Palestinian Territory</w:t>
            </w:r>
          </w:p>
        </w:tc>
      </w:tr>
      <w:tr w:rsidR="002139E4" w:rsidRPr="00E93295" w14:paraId="709F7D4D" w14:textId="77777777" w:rsidTr="001A259A">
        <w:trPr>
          <w:trHeight w:val="240"/>
        </w:trPr>
        <w:tc>
          <w:tcPr>
            <w:tcW w:w="2410" w:type="dxa"/>
            <w:shd w:val="clear" w:color="auto" w:fill="auto"/>
          </w:tcPr>
          <w:p w14:paraId="49B86C58" w14:textId="77777777" w:rsidR="002139E4" w:rsidRDefault="002139E4" w:rsidP="001A259A">
            <w:pPr>
              <w:spacing w:before="40" w:after="120" w:line="220" w:lineRule="exact"/>
              <w:rPr>
                <w:sz w:val="20"/>
                <w:szCs w:val="20"/>
              </w:rPr>
            </w:pPr>
            <w:r>
              <w:rPr>
                <w:sz w:val="20"/>
                <w:szCs w:val="20"/>
              </w:rPr>
              <w:t>A/HRC/40/75</w:t>
            </w:r>
          </w:p>
        </w:tc>
        <w:tc>
          <w:tcPr>
            <w:tcW w:w="1276" w:type="dxa"/>
            <w:gridSpan w:val="2"/>
            <w:shd w:val="clear" w:color="auto" w:fill="auto"/>
          </w:tcPr>
          <w:p w14:paraId="43215911" w14:textId="77777777" w:rsidR="002139E4" w:rsidRDefault="002139E4" w:rsidP="001A259A">
            <w:pPr>
              <w:spacing w:before="40" w:after="120" w:line="220" w:lineRule="exact"/>
              <w:ind w:right="168"/>
              <w:jc w:val="right"/>
              <w:rPr>
                <w:sz w:val="20"/>
                <w:szCs w:val="20"/>
              </w:rPr>
            </w:pPr>
            <w:r>
              <w:rPr>
                <w:sz w:val="20"/>
                <w:szCs w:val="20"/>
              </w:rPr>
              <w:t>9</w:t>
            </w:r>
          </w:p>
        </w:tc>
        <w:tc>
          <w:tcPr>
            <w:tcW w:w="4252" w:type="dxa"/>
            <w:shd w:val="clear" w:color="auto" w:fill="auto"/>
          </w:tcPr>
          <w:p w14:paraId="7162A6A2" w14:textId="77777777" w:rsidR="002139E4" w:rsidRPr="00480C78" w:rsidRDefault="002139E4" w:rsidP="001A259A">
            <w:pPr>
              <w:spacing w:before="40" w:after="120" w:line="220" w:lineRule="exact"/>
              <w:rPr>
                <w:sz w:val="20"/>
                <w:szCs w:val="20"/>
              </w:rPr>
            </w:pPr>
            <w:r w:rsidRPr="006D1D97">
              <w:rPr>
                <w:sz w:val="20"/>
                <w:szCs w:val="20"/>
              </w:rPr>
              <w:t xml:space="preserve">Report of the Intergovernmental Working Group on the Effective Implementation of the Durban </w:t>
            </w:r>
            <w:r w:rsidRPr="006D1D97">
              <w:rPr>
                <w:sz w:val="20"/>
                <w:szCs w:val="20"/>
              </w:rPr>
              <w:lastRenderedPageBreak/>
              <w:t>Declaration and Programme of Action on its sixteenth session</w:t>
            </w:r>
          </w:p>
        </w:tc>
      </w:tr>
      <w:tr w:rsidR="002139E4" w:rsidRPr="00E93295" w14:paraId="0009FB75" w14:textId="77777777" w:rsidTr="001A259A">
        <w:trPr>
          <w:trHeight w:val="240"/>
        </w:trPr>
        <w:tc>
          <w:tcPr>
            <w:tcW w:w="2410" w:type="dxa"/>
            <w:shd w:val="clear" w:color="auto" w:fill="auto"/>
          </w:tcPr>
          <w:p w14:paraId="3196D4E8" w14:textId="77777777" w:rsidR="002139E4" w:rsidRDefault="002139E4" w:rsidP="001A259A">
            <w:pPr>
              <w:spacing w:before="40" w:after="120" w:line="220" w:lineRule="exact"/>
              <w:rPr>
                <w:sz w:val="20"/>
                <w:szCs w:val="20"/>
              </w:rPr>
            </w:pPr>
            <w:r>
              <w:rPr>
                <w:sz w:val="20"/>
                <w:szCs w:val="20"/>
              </w:rPr>
              <w:lastRenderedPageBreak/>
              <w:t>A/HRC/40/76</w:t>
            </w:r>
          </w:p>
        </w:tc>
        <w:tc>
          <w:tcPr>
            <w:tcW w:w="1276" w:type="dxa"/>
            <w:gridSpan w:val="2"/>
            <w:shd w:val="clear" w:color="auto" w:fill="auto"/>
          </w:tcPr>
          <w:p w14:paraId="02728B59" w14:textId="77777777" w:rsidR="002139E4" w:rsidRDefault="002139E4" w:rsidP="001A259A">
            <w:pPr>
              <w:spacing w:before="40" w:after="120" w:line="220" w:lineRule="exact"/>
              <w:ind w:right="168"/>
              <w:jc w:val="right"/>
              <w:rPr>
                <w:sz w:val="20"/>
                <w:szCs w:val="20"/>
              </w:rPr>
            </w:pPr>
            <w:r>
              <w:rPr>
                <w:sz w:val="20"/>
                <w:szCs w:val="20"/>
              </w:rPr>
              <w:t>9</w:t>
            </w:r>
          </w:p>
        </w:tc>
        <w:tc>
          <w:tcPr>
            <w:tcW w:w="4252" w:type="dxa"/>
            <w:shd w:val="clear" w:color="auto" w:fill="auto"/>
          </w:tcPr>
          <w:p w14:paraId="7F58783F" w14:textId="77777777" w:rsidR="002139E4" w:rsidRPr="00480C78" w:rsidRDefault="002139E4" w:rsidP="001A259A">
            <w:pPr>
              <w:spacing w:before="40" w:after="120" w:line="220" w:lineRule="exact"/>
              <w:rPr>
                <w:sz w:val="20"/>
                <w:szCs w:val="20"/>
              </w:rPr>
            </w:pPr>
            <w:r w:rsidRPr="006D1D97">
              <w:rPr>
                <w:sz w:val="20"/>
                <w:szCs w:val="20"/>
              </w:rPr>
              <w:t>Report of the Ad Hoc Committee on the Elaboration of Complementary Standards on its tenth session</w:t>
            </w:r>
          </w:p>
        </w:tc>
      </w:tr>
      <w:tr w:rsidR="002139E4" w:rsidRPr="00E93295" w14:paraId="48C4ECFB" w14:textId="77777777" w:rsidTr="001A259A">
        <w:trPr>
          <w:trHeight w:val="240"/>
        </w:trPr>
        <w:tc>
          <w:tcPr>
            <w:tcW w:w="2410" w:type="dxa"/>
            <w:shd w:val="clear" w:color="auto" w:fill="auto"/>
          </w:tcPr>
          <w:p w14:paraId="1A007792" w14:textId="77777777" w:rsidR="002139E4" w:rsidRDefault="002139E4" w:rsidP="001A259A">
            <w:pPr>
              <w:spacing w:before="40" w:after="120" w:line="220" w:lineRule="exact"/>
              <w:rPr>
                <w:sz w:val="20"/>
                <w:szCs w:val="20"/>
              </w:rPr>
            </w:pPr>
            <w:r>
              <w:rPr>
                <w:sz w:val="20"/>
                <w:szCs w:val="20"/>
              </w:rPr>
              <w:t>A/HRC/40/77</w:t>
            </w:r>
          </w:p>
        </w:tc>
        <w:tc>
          <w:tcPr>
            <w:tcW w:w="1276" w:type="dxa"/>
            <w:gridSpan w:val="2"/>
            <w:shd w:val="clear" w:color="auto" w:fill="auto"/>
          </w:tcPr>
          <w:p w14:paraId="1EF7DB22" w14:textId="77777777" w:rsidR="002139E4" w:rsidRDefault="002139E4" w:rsidP="001A259A">
            <w:pPr>
              <w:spacing w:before="40" w:after="120" w:line="220" w:lineRule="exact"/>
              <w:ind w:right="168"/>
              <w:jc w:val="right"/>
              <w:rPr>
                <w:sz w:val="20"/>
                <w:szCs w:val="20"/>
              </w:rPr>
            </w:pPr>
            <w:r>
              <w:rPr>
                <w:sz w:val="20"/>
                <w:szCs w:val="20"/>
              </w:rPr>
              <w:t>10</w:t>
            </w:r>
          </w:p>
        </w:tc>
        <w:tc>
          <w:tcPr>
            <w:tcW w:w="4252" w:type="dxa"/>
            <w:shd w:val="clear" w:color="auto" w:fill="auto"/>
          </w:tcPr>
          <w:p w14:paraId="259E663D" w14:textId="77777777" w:rsidR="002139E4" w:rsidRPr="00480C78" w:rsidRDefault="002139E4" w:rsidP="001A259A">
            <w:pPr>
              <w:spacing w:before="40" w:after="120" w:line="220" w:lineRule="exact"/>
              <w:rPr>
                <w:sz w:val="20"/>
                <w:szCs w:val="20"/>
              </w:rPr>
            </w:pPr>
            <w:r w:rsidRPr="006D1D97">
              <w:rPr>
                <w:sz w:val="20"/>
                <w:szCs w:val="20"/>
              </w:rPr>
              <w:t>Report of the Independent Expert on the situation of human rights in Mali</w:t>
            </w:r>
          </w:p>
        </w:tc>
      </w:tr>
      <w:tr w:rsidR="002139E4" w:rsidRPr="00E93295" w14:paraId="18EACFF0" w14:textId="77777777" w:rsidTr="001A259A">
        <w:trPr>
          <w:trHeight w:val="240"/>
        </w:trPr>
        <w:tc>
          <w:tcPr>
            <w:tcW w:w="2410" w:type="dxa"/>
            <w:shd w:val="clear" w:color="auto" w:fill="auto"/>
          </w:tcPr>
          <w:p w14:paraId="45C42336" w14:textId="77777777" w:rsidR="002139E4" w:rsidRDefault="002139E4" w:rsidP="001A259A">
            <w:pPr>
              <w:spacing w:before="40" w:after="120" w:line="220" w:lineRule="exact"/>
              <w:rPr>
                <w:sz w:val="20"/>
                <w:szCs w:val="20"/>
              </w:rPr>
            </w:pPr>
            <w:r>
              <w:rPr>
                <w:sz w:val="20"/>
                <w:szCs w:val="20"/>
              </w:rPr>
              <w:t>A/HRC/40/78</w:t>
            </w:r>
          </w:p>
        </w:tc>
        <w:tc>
          <w:tcPr>
            <w:tcW w:w="1276" w:type="dxa"/>
            <w:gridSpan w:val="2"/>
            <w:shd w:val="clear" w:color="auto" w:fill="auto"/>
          </w:tcPr>
          <w:p w14:paraId="1087BA24" w14:textId="77777777" w:rsidR="002139E4" w:rsidRDefault="002139E4" w:rsidP="001A259A">
            <w:pPr>
              <w:spacing w:before="40" w:after="120" w:line="220" w:lineRule="exact"/>
              <w:ind w:right="168"/>
              <w:jc w:val="right"/>
              <w:rPr>
                <w:sz w:val="20"/>
                <w:szCs w:val="20"/>
              </w:rPr>
            </w:pPr>
            <w:r>
              <w:rPr>
                <w:sz w:val="20"/>
                <w:szCs w:val="20"/>
              </w:rPr>
              <w:t>10</w:t>
            </w:r>
          </w:p>
        </w:tc>
        <w:tc>
          <w:tcPr>
            <w:tcW w:w="4252" w:type="dxa"/>
            <w:shd w:val="clear" w:color="auto" w:fill="auto"/>
          </w:tcPr>
          <w:p w14:paraId="41FCC3A8" w14:textId="77777777" w:rsidR="002139E4" w:rsidRPr="00480C78" w:rsidRDefault="002139E4" w:rsidP="001A259A">
            <w:pPr>
              <w:spacing w:before="40" w:after="120" w:line="220" w:lineRule="exact"/>
              <w:rPr>
                <w:sz w:val="20"/>
                <w:szCs w:val="20"/>
              </w:rPr>
            </w:pPr>
            <w:r w:rsidRPr="007E6543">
              <w:rPr>
                <w:sz w:val="20"/>
                <w:szCs w:val="20"/>
              </w:rPr>
              <w:t>Report of the Chair of the Board of Trustees of the United Nations Voluntary Fund for Technical Cooperation in the Field of Human Rights</w:t>
            </w:r>
          </w:p>
        </w:tc>
      </w:tr>
      <w:tr w:rsidR="002139E4" w:rsidRPr="00771F13" w14:paraId="39DBC720" w14:textId="77777777" w:rsidTr="001A259A">
        <w:trPr>
          <w:trHeight w:val="240"/>
        </w:trPr>
        <w:tc>
          <w:tcPr>
            <w:tcW w:w="2410" w:type="dxa"/>
            <w:tcBorders>
              <w:bottom w:val="single" w:sz="12" w:space="0" w:color="auto"/>
            </w:tcBorders>
            <w:shd w:val="clear" w:color="auto" w:fill="auto"/>
          </w:tcPr>
          <w:p w14:paraId="0337DDBE" w14:textId="77777777" w:rsidR="002139E4" w:rsidRPr="00CE032F" w:rsidRDefault="002139E4" w:rsidP="001A259A">
            <w:pPr>
              <w:spacing w:before="40" w:after="120" w:line="220" w:lineRule="exact"/>
              <w:rPr>
                <w:sz w:val="20"/>
                <w:szCs w:val="20"/>
              </w:rPr>
            </w:pPr>
            <w:r>
              <w:rPr>
                <w:sz w:val="20"/>
                <w:szCs w:val="20"/>
              </w:rPr>
              <w:t>A/HRC/40/79</w:t>
            </w:r>
          </w:p>
        </w:tc>
        <w:tc>
          <w:tcPr>
            <w:tcW w:w="1269" w:type="dxa"/>
            <w:tcBorders>
              <w:bottom w:val="single" w:sz="12" w:space="0" w:color="auto"/>
            </w:tcBorders>
            <w:shd w:val="clear" w:color="auto" w:fill="auto"/>
          </w:tcPr>
          <w:p w14:paraId="1142744E" w14:textId="77777777" w:rsidR="002139E4" w:rsidRPr="00CE032F" w:rsidRDefault="002139E4" w:rsidP="001A259A">
            <w:pPr>
              <w:spacing w:before="40" w:after="120" w:line="220" w:lineRule="exact"/>
              <w:ind w:right="168"/>
              <w:jc w:val="right"/>
              <w:rPr>
                <w:sz w:val="20"/>
                <w:szCs w:val="20"/>
              </w:rPr>
            </w:pPr>
            <w:r w:rsidRPr="007E6543">
              <w:rPr>
                <w:sz w:val="20"/>
                <w:szCs w:val="20"/>
              </w:rPr>
              <w:t>3, 4, 7, 9</w:t>
            </w:r>
            <w:r>
              <w:rPr>
                <w:sz w:val="20"/>
                <w:szCs w:val="20"/>
              </w:rPr>
              <w:t>,</w:t>
            </w:r>
            <w:r w:rsidRPr="007E6543">
              <w:rPr>
                <w:sz w:val="20"/>
                <w:szCs w:val="20"/>
              </w:rPr>
              <w:t xml:space="preserve"> 10</w:t>
            </w:r>
          </w:p>
        </w:tc>
        <w:tc>
          <w:tcPr>
            <w:tcW w:w="4259" w:type="dxa"/>
            <w:gridSpan w:val="2"/>
            <w:tcBorders>
              <w:bottom w:val="single" w:sz="12" w:space="0" w:color="auto"/>
            </w:tcBorders>
            <w:shd w:val="clear" w:color="auto" w:fill="auto"/>
          </w:tcPr>
          <w:p w14:paraId="3D74833E" w14:textId="77777777" w:rsidR="002139E4" w:rsidRPr="00CE032F" w:rsidRDefault="002139E4" w:rsidP="001A259A">
            <w:pPr>
              <w:spacing w:before="40" w:after="120" w:line="220" w:lineRule="exact"/>
              <w:ind w:right="168"/>
              <w:rPr>
                <w:sz w:val="20"/>
                <w:szCs w:val="20"/>
              </w:rPr>
            </w:pPr>
            <w:r w:rsidRPr="007E6543">
              <w:rPr>
                <w:sz w:val="20"/>
                <w:szCs w:val="20"/>
              </w:rPr>
              <w:t>Communications report of Special Procedures</w:t>
            </w:r>
          </w:p>
        </w:tc>
      </w:tr>
    </w:tbl>
    <w:p w14:paraId="3F72FC27" w14:textId="77777777" w:rsidR="002139E4" w:rsidRDefault="002139E4" w:rsidP="002139E4"/>
    <w:tbl>
      <w:tblPr>
        <w:tblW w:w="7938"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Caption w:val="Document issued in the Government series"/>
        <w:tblDescription w:val="Document issued in the Government series"/>
      </w:tblPr>
      <w:tblGrid>
        <w:gridCol w:w="2410"/>
        <w:gridCol w:w="1269"/>
        <w:gridCol w:w="7"/>
        <w:gridCol w:w="4252"/>
      </w:tblGrid>
      <w:tr w:rsidR="002139E4" w:rsidRPr="00CE032F" w14:paraId="714CBC40" w14:textId="77777777" w:rsidTr="001A259A">
        <w:trPr>
          <w:trHeight w:val="255"/>
          <w:tblHeader/>
        </w:trPr>
        <w:tc>
          <w:tcPr>
            <w:tcW w:w="7938" w:type="dxa"/>
            <w:gridSpan w:val="4"/>
            <w:tcBorders>
              <w:top w:val="nil"/>
              <w:bottom w:val="single" w:sz="4" w:space="0" w:color="auto"/>
            </w:tcBorders>
            <w:shd w:val="clear" w:color="auto" w:fill="auto"/>
            <w:vAlign w:val="bottom"/>
          </w:tcPr>
          <w:p w14:paraId="394042BA" w14:textId="77777777" w:rsidR="002139E4" w:rsidRPr="00CE032F" w:rsidRDefault="002139E4" w:rsidP="001A259A">
            <w:pPr>
              <w:spacing w:before="80" w:after="80" w:line="200" w:lineRule="exact"/>
              <w:ind w:right="113"/>
              <w:rPr>
                <w:i/>
                <w:sz w:val="16"/>
                <w:szCs w:val="16"/>
              </w:rPr>
            </w:pPr>
            <w:r w:rsidRPr="00CE032F">
              <w:rPr>
                <w:i/>
                <w:sz w:val="16"/>
                <w:szCs w:val="16"/>
              </w:rPr>
              <w:t>Documents issued in the conference room papers series</w:t>
            </w:r>
          </w:p>
        </w:tc>
      </w:tr>
      <w:tr w:rsidR="002139E4" w:rsidRPr="00CE032F" w14:paraId="03E54BF7" w14:textId="77777777" w:rsidTr="001A259A">
        <w:trPr>
          <w:trHeight w:val="255"/>
          <w:tblHeader/>
        </w:trPr>
        <w:tc>
          <w:tcPr>
            <w:tcW w:w="2410" w:type="dxa"/>
            <w:tcBorders>
              <w:top w:val="single" w:sz="4" w:space="0" w:color="auto"/>
              <w:bottom w:val="single" w:sz="12" w:space="0" w:color="auto"/>
            </w:tcBorders>
            <w:shd w:val="clear" w:color="auto" w:fill="auto"/>
            <w:vAlign w:val="bottom"/>
          </w:tcPr>
          <w:p w14:paraId="27DEC58F" w14:textId="77777777" w:rsidR="002139E4" w:rsidRPr="00CE032F" w:rsidRDefault="002139E4" w:rsidP="001A259A">
            <w:pPr>
              <w:spacing w:before="80" w:after="80" w:line="200" w:lineRule="exact"/>
              <w:ind w:right="113"/>
              <w:rPr>
                <w:i/>
                <w:sz w:val="16"/>
                <w:szCs w:val="16"/>
              </w:rPr>
            </w:pPr>
            <w:r w:rsidRPr="00CE032F">
              <w:rPr>
                <w:i/>
                <w:sz w:val="16"/>
                <w:szCs w:val="16"/>
              </w:rPr>
              <w:t xml:space="preserve">Symbol </w:t>
            </w:r>
          </w:p>
        </w:tc>
        <w:tc>
          <w:tcPr>
            <w:tcW w:w="1276" w:type="dxa"/>
            <w:gridSpan w:val="2"/>
            <w:tcBorders>
              <w:top w:val="single" w:sz="4" w:space="0" w:color="auto"/>
              <w:bottom w:val="single" w:sz="12" w:space="0" w:color="auto"/>
            </w:tcBorders>
            <w:shd w:val="clear" w:color="auto" w:fill="auto"/>
            <w:vAlign w:val="bottom"/>
          </w:tcPr>
          <w:p w14:paraId="284DBE6A" w14:textId="77777777" w:rsidR="002139E4" w:rsidRPr="00CE032F" w:rsidRDefault="002139E4" w:rsidP="001A259A">
            <w:pPr>
              <w:spacing w:before="80" w:after="80" w:line="200" w:lineRule="exact"/>
              <w:ind w:right="284"/>
              <w:jc w:val="right"/>
              <w:rPr>
                <w:i/>
                <w:sz w:val="16"/>
                <w:szCs w:val="16"/>
              </w:rPr>
            </w:pPr>
            <w:r w:rsidRPr="00CE032F">
              <w:rPr>
                <w:i/>
                <w:sz w:val="16"/>
                <w:szCs w:val="16"/>
              </w:rPr>
              <w:t>Agenda item</w:t>
            </w:r>
          </w:p>
        </w:tc>
        <w:tc>
          <w:tcPr>
            <w:tcW w:w="4252" w:type="dxa"/>
            <w:tcBorders>
              <w:top w:val="single" w:sz="4" w:space="0" w:color="auto"/>
              <w:bottom w:val="single" w:sz="12" w:space="0" w:color="auto"/>
            </w:tcBorders>
            <w:shd w:val="clear" w:color="auto" w:fill="auto"/>
            <w:vAlign w:val="bottom"/>
          </w:tcPr>
          <w:p w14:paraId="498EBC94" w14:textId="77777777" w:rsidR="002139E4" w:rsidRPr="00CE032F" w:rsidRDefault="002139E4" w:rsidP="001A259A">
            <w:pPr>
              <w:spacing w:before="80" w:after="80" w:line="200" w:lineRule="exact"/>
              <w:ind w:right="113"/>
              <w:rPr>
                <w:i/>
                <w:sz w:val="16"/>
                <w:szCs w:val="16"/>
              </w:rPr>
            </w:pPr>
          </w:p>
        </w:tc>
      </w:tr>
      <w:tr w:rsidR="002139E4" w:rsidRPr="00CE032F" w14:paraId="37FB1D9B" w14:textId="77777777" w:rsidTr="001A259A">
        <w:trPr>
          <w:trHeight w:val="150"/>
        </w:trPr>
        <w:tc>
          <w:tcPr>
            <w:tcW w:w="2410" w:type="dxa"/>
            <w:tcBorders>
              <w:top w:val="single" w:sz="12" w:space="0" w:color="auto"/>
              <w:bottom w:val="nil"/>
            </w:tcBorders>
            <w:shd w:val="clear" w:color="auto" w:fill="auto"/>
          </w:tcPr>
          <w:p w14:paraId="0EA0002D" w14:textId="77777777" w:rsidR="002139E4" w:rsidRPr="00CE032F" w:rsidRDefault="002139E4" w:rsidP="001A259A">
            <w:pPr>
              <w:spacing w:before="40" w:after="120"/>
              <w:ind w:right="113"/>
              <w:jc w:val="both"/>
              <w:rPr>
                <w:sz w:val="20"/>
                <w:szCs w:val="20"/>
              </w:rPr>
            </w:pPr>
            <w:r w:rsidRPr="000F33DA">
              <w:rPr>
                <w:sz w:val="20"/>
                <w:szCs w:val="20"/>
              </w:rPr>
              <w:t>A/HRC/</w:t>
            </w:r>
            <w:r>
              <w:rPr>
                <w:sz w:val="20"/>
                <w:szCs w:val="20"/>
              </w:rPr>
              <w:t>40</w:t>
            </w:r>
            <w:r w:rsidRPr="000F33DA">
              <w:rPr>
                <w:sz w:val="20"/>
                <w:szCs w:val="20"/>
              </w:rPr>
              <w:t>/CRP.1</w:t>
            </w:r>
          </w:p>
        </w:tc>
        <w:tc>
          <w:tcPr>
            <w:tcW w:w="1276" w:type="dxa"/>
            <w:gridSpan w:val="2"/>
            <w:tcBorders>
              <w:top w:val="single" w:sz="12" w:space="0" w:color="auto"/>
              <w:bottom w:val="nil"/>
            </w:tcBorders>
            <w:shd w:val="clear" w:color="auto" w:fill="auto"/>
          </w:tcPr>
          <w:p w14:paraId="2B336FBA" w14:textId="77777777" w:rsidR="002139E4" w:rsidRPr="00ED5097" w:rsidRDefault="002139E4" w:rsidP="001A259A">
            <w:pPr>
              <w:spacing w:before="40" w:after="120"/>
              <w:ind w:right="280"/>
              <w:jc w:val="right"/>
              <w:rPr>
                <w:sz w:val="20"/>
                <w:szCs w:val="20"/>
              </w:rPr>
            </w:pPr>
            <w:r>
              <w:rPr>
                <w:sz w:val="20"/>
                <w:szCs w:val="20"/>
              </w:rPr>
              <w:t>4</w:t>
            </w:r>
          </w:p>
        </w:tc>
        <w:tc>
          <w:tcPr>
            <w:tcW w:w="4252" w:type="dxa"/>
            <w:tcBorders>
              <w:top w:val="single" w:sz="12" w:space="0" w:color="auto"/>
              <w:bottom w:val="nil"/>
            </w:tcBorders>
            <w:shd w:val="clear" w:color="auto" w:fill="auto"/>
            <w:vAlign w:val="center"/>
          </w:tcPr>
          <w:p w14:paraId="6F5200F1" w14:textId="77777777" w:rsidR="002139E4" w:rsidRPr="00CE032F" w:rsidRDefault="002139E4" w:rsidP="001A259A">
            <w:pPr>
              <w:spacing w:before="40" w:after="120"/>
              <w:ind w:right="113"/>
              <w:jc w:val="both"/>
              <w:rPr>
                <w:sz w:val="20"/>
                <w:szCs w:val="20"/>
              </w:rPr>
            </w:pPr>
            <w:r w:rsidRPr="00901464">
              <w:rPr>
                <w:sz w:val="20"/>
                <w:szCs w:val="20"/>
              </w:rPr>
              <w:t xml:space="preserve">Report of the Commission on Human Rights in South </w:t>
            </w:r>
            <w:r w:rsidRPr="00901464">
              <w:rPr>
                <w:sz w:val="20"/>
                <w:szCs w:val="20"/>
              </w:rPr>
              <w:tab/>
              <w:t>Sudan</w:t>
            </w:r>
          </w:p>
        </w:tc>
      </w:tr>
      <w:tr w:rsidR="002139E4" w:rsidRPr="00CE032F" w14:paraId="03FAE1BC" w14:textId="77777777" w:rsidTr="001A259A">
        <w:trPr>
          <w:trHeight w:val="150"/>
        </w:trPr>
        <w:tc>
          <w:tcPr>
            <w:tcW w:w="2410" w:type="dxa"/>
            <w:tcBorders>
              <w:top w:val="nil"/>
              <w:bottom w:val="nil"/>
            </w:tcBorders>
            <w:shd w:val="clear" w:color="auto" w:fill="auto"/>
          </w:tcPr>
          <w:p w14:paraId="37AB871F" w14:textId="77777777" w:rsidR="002139E4" w:rsidRPr="00CE032F" w:rsidRDefault="002139E4" w:rsidP="001A259A">
            <w:pPr>
              <w:spacing w:before="40" w:after="120"/>
              <w:ind w:right="113"/>
              <w:jc w:val="both"/>
              <w:rPr>
                <w:sz w:val="20"/>
                <w:szCs w:val="20"/>
              </w:rPr>
            </w:pPr>
            <w:r w:rsidRPr="000F33DA">
              <w:rPr>
                <w:sz w:val="20"/>
                <w:szCs w:val="20"/>
              </w:rPr>
              <w:t>A/HRC/</w:t>
            </w:r>
            <w:r>
              <w:rPr>
                <w:sz w:val="20"/>
                <w:szCs w:val="20"/>
              </w:rPr>
              <w:t>40/CRP.2</w:t>
            </w:r>
          </w:p>
        </w:tc>
        <w:tc>
          <w:tcPr>
            <w:tcW w:w="1276" w:type="dxa"/>
            <w:gridSpan w:val="2"/>
            <w:tcBorders>
              <w:top w:val="nil"/>
              <w:bottom w:val="nil"/>
            </w:tcBorders>
            <w:shd w:val="clear" w:color="auto" w:fill="auto"/>
          </w:tcPr>
          <w:p w14:paraId="4A6B727F" w14:textId="77777777" w:rsidR="002139E4" w:rsidRPr="00ED5097" w:rsidRDefault="002139E4" w:rsidP="001A259A">
            <w:pPr>
              <w:spacing w:before="40" w:after="120"/>
              <w:ind w:right="280"/>
              <w:jc w:val="right"/>
              <w:rPr>
                <w:sz w:val="20"/>
                <w:szCs w:val="20"/>
              </w:rPr>
            </w:pPr>
            <w:r>
              <w:rPr>
                <w:sz w:val="20"/>
                <w:szCs w:val="20"/>
              </w:rPr>
              <w:t>7</w:t>
            </w:r>
          </w:p>
        </w:tc>
        <w:tc>
          <w:tcPr>
            <w:tcW w:w="4252" w:type="dxa"/>
            <w:tcBorders>
              <w:top w:val="nil"/>
              <w:bottom w:val="nil"/>
            </w:tcBorders>
            <w:shd w:val="clear" w:color="auto" w:fill="auto"/>
            <w:vAlign w:val="center"/>
          </w:tcPr>
          <w:p w14:paraId="171461DC" w14:textId="77777777" w:rsidR="002139E4" w:rsidRPr="00CE032F" w:rsidRDefault="002139E4" w:rsidP="001A259A">
            <w:pPr>
              <w:spacing w:before="40" w:after="120"/>
              <w:ind w:right="113"/>
              <w:jc w:val="both"/>
              <w:rPr>
                <w:sz w:val="20"/>
                <w:szCs w:val="20"/>
              </w:rPr>
            </w:pPr>
            <w:r w:rsidRPr="00901464">
              <w:rPr>
                <w:sz w:val="20"/>
                <w:szCs w:val="20"/>
              </w:rPr>
              <w:t>Report of the detailed findings of the independent international Commission of inquiry on the protests in the Occupied Palestinian Territory</w:t>
            </w:r>
          </w:p>
        </w:tc>
      </w:tr>
      <w:tr w:rsidR="002139E4" w:rsidRPr="00CE032F" w14:paraId="55823421" w14:textId="77777777" w:rsidTr="001A259A">
        <w:trPr>
          <w:trHeight w:val="150"/>
        </w:trPr>
        <w:tc>
          <w:tcPr>
            <w:tcW w:w="2410" w:type="dxa"/>
            <w:tcBorders>
              <w:top w:val="nil"/>
              <w:bottom w:val="nil"/>
            </w:tcBorders>
            <w:shd w:val="clear" w:color="auto" w:fill="auto"/>
          </w:tcPr>
          <w:p w14:paraId="4AB28E3C" w14:textId="77777777" w:rsidR="002139E4" w:rsidRPr="000F33DA" w:rsidRDefault="002139E4" w:rsidP="001A259A">
            <w:pPr>
              <w:spacing w:before="40" w:after="120"/>
              <w:ind w:right="113"/>
              <w:jc w:val="both"/>
              <w:rPr>
                <w:sz w:val="20"/>
                <w:szCs w:val="20"/>
              </w:rPr>
            </w:pPr>
            <w:r w:rsidRPr="000F33DA">
              <w:rPr>
                <w:sz w:val="20"/>
                <w:szCs w:val="20"/>
              </w:rPr>
              <w:t>A/HRC/</w:t>
            </w:r>
            <w:r>
              <w:rPr>
                <w:sz w:val="20"/>
                <w:szCs w:val="20"/>
              </w:rPr>
              <w:t>40/CRP.3</w:t>
            </w:r>
          </w:p>
        </w:tc>
        <w:tc>
          <w:tcPr>
            <w:tcW w:w="1276" w:type="dxa"/>
            <w:gridSpan w:val="2"/>
            <w:tcBorders>
              <w:top w:val="nil"/>
              <w:bottom w:val="nil"/>
            </w:tcBorders>
            <w:shd w:val="clear" w:color="auto" w:fill="auto"/>
          </w:tcPr>
          <w:p w14:paraId="3F0782B1" w14:textId="77777777" w:rsidR="002139E4" w:rsidRPr="00ED5097" w:rsidRDefault="002139E4" w:rsidP="001A259A">
            <w:pPr>
              <w:spacing w:before="40" w:after="120"/>
              <w:ind w:right="280"/>
              <w:jc w:val="right"/>
              <w:rPr>
                <w:sz w:val="20"/>
                <w:szCs w:val="20"/>
              </w:rPr>
            </w:pPr>
            <w:r>
              <w:rPr>
                <w:sz w:val="20"/>
                <w:szCs w:val="20"/>
              </w:rPr>
              <w:t>10</w:t>
            </w:r>
          </w:p>
        </w:tc>
        <w:tc>
          <w:tcPr>
            <w:tcW w:w="4252" w:type="dxa"/>
            <w:tcBorders>
              <w:top w:val="nil"/>
              <w:bottom w:val="nil"/>
            </w:tcBorders>
            <w:shd w:val="clear" w:color="auto" w:fill="auto"/>
            <w:vAlign w:val="center"/>
          </w:tcPr>
          <w:p w14:paraId="1E2D938C" w14:textId="77777777" w:rsidR="002139E4" w:rsidRPr="000F33DA" w:rsidRDefault="002139E4" w:rsidP="001A259A">
            <w:pPr>
              <w:spacing w:before="40" w:after="120"/>
              <w:ind w:right="113"/>
              <w:jc w:val="both"/>
              <w:rPr>
                <w:sz w:val="20"/>
                <w:szCs w:val="20"/>
              </w:rPr>
            </w:pPr>
            <w:r w:rsidRPr="00901464">
              <w:rPr>
                <w:sz w:val="20"/>
                <w:szCs w:val="20"/>
              </w:rPr>
              <w:t>Report on the human rights situation in Ukraine 16 November 2018 to 15 February 2019</w:t>
            </w:r>
          </w:p>
        </w:tc>
      </w:tr>
      <w:tr w:rsidR="002139E4" w:rsidRPr="00771F13" w14:paraId="50171891" w14:textId="77777777" w:rsidTr="001A259A">
        <w:tblPrEx>
          <w:tblBorders>
            <w:bottom w:val="none" w:sz="0" w:space="0" w:color="auto"/>
          </w:tblBorders>
          <w:tblCellMar>
            <w:right w:w="113" w:type="dxa"/>
          </w:tblCellMar>
        </w:tblPrEx>
        <w:trPr>
          <w:trHeight w:val="240"/>
        </w:trPr>
        <w:tc>
          <w:tcPr>
            <w:tcW w:w="2410" w:type="dxa"/>
            <w:tcBorders>
              <w:bottom w:val="single" w:sz="12" w:space="0" w:color="auto"/>
            </w:tcBorders>
            <w:shd w:val="clear" w:color="auto" w:fill="auto"/>
          </w:tcPr>
          <w:p w14:paraId="7F16C0C2" w14:textId="77777777" w:rsidR="002139E4" w:rsidRPr="00CE032F" w:rsidRDefault="002139E4" w:rsidP="001A259A">
            <w:pPr>
              <w:spacing w:before="40" w:after="120" w:line="220" w:lineRule="exact"/>
              <w:rPr>
                <w:sz w:val="20"/>
                <w:szCs w:val="20"/>
              </w:rPr>
            </w:pPr>
            <w:r w:rsidRPr="000F33DA">
              <w:rPr>
                <w:sz w:val="20"/>
                <w:szCs w:val="20"/>
              </w:rPr>
              <w:t>A/HRC/</w:t>
            </w:r>
            <w:r>
              <w:rPr>
                <w:sz w:val="20"/>
                <w:szCs w:val="20"/>
              </w:rPr>
              <w:t>40/CRP.4</w:t>
            </w:r>
          </w:p>
        </w:tc>
        <w:tc>
          <w:tcPr>
            <w:tcW w:w="1269" w:type="dxa"/>
            <w:tcBorders>
              <w:bottom w:val="single" w:sz="12" w:space="0" w:color="auto"/>
            </w:tcBorders>
            <w:shd w:val="clear" w:color="auto" w:fill="auto"/>
          </w:tcPr>
          <w:p w14:paraId="26EDCC76" w14:textId="77777777" w:rsidR="002139E4" w:rsidRPr="00ED5097" w:rsidRDefault="002139E4" w:rsidP="001A259A">
            <w:pPr>
              <w:spacing w:before="40" w:after="120"/>
              <w:ind w:right="168"/>
              <w:jc w:val="right"/>
              <w:rPr>
                <w:sz w:val="20"/>
                <w:szCs w:val="20"/>
              </w:rPr>
            </w:pPr>
            <w:r>
              <w:rPr>
                <w:sz w:val="20"/>
                <w:szCs w:val="20"/>
              </w:rPr>
              <w:t>10</w:t>
            </w:r>
          </w:p>
        </w:tc>
        <w:tc>
          <w:tcPr>
            <w:tcW w:w="4259" w:type="dxa"/>
            <w:gridSpan w:val="2"/>
            <w:tcBorders>
              <w:bottom w:val="single" w:sz="12" w:space="0" w:color="auto"/>
            </w:tcBorders>
            <w:shd w:val="clear" w:color="auto" w:fill="auto"/>
            <w:vAlign w:val="center"/>
          </w:tcPr>
          <w:p w14:paraId="0BC9999F" w14:textId="77777777" w:rsidR="002139E4" w:rsidRPr="00CE032F" w:rsidRDefault="002139E4" w:rsidP="001A259A">
            <w:pPr>
              <w:tabs>
                <w:tab w:val="left" w:pos="709"/>
                <w:tab w:val="left" w:pos="992"/>
              </w:tabs>
              <w:spacing w:before="40" w:after="120" w:line="220" w:lineRule="exact"/>
              <w:ind w:right="168"/>
              <w:rPr>
                <w:sz w:val="20"/>
                <w:szCs w:val="20"/>
              </w:rPr>
            </w:pPr>
            <w:r w:rsidRPr="008618FD">
              <w:rPr>
                <w:sz w:val="20"/>
                <w:szCs w:val="20"/>
              </w:rPr>
              <w:t>Civic space and fundamental freedoms ahead of the presidential, parliamentary and local elections in Ukraine in 2019-2020</w:t>
            </w:r>
          </w:p>
        </w:tc>
      </w:tr>
    </w:tbl>
    <w:p w14:paraId="2116482C" w14:textId="77777777" w:rsidR="002139E4" w:rsidRDefault="002139E4" w:rsidP="002139E4"/>
    <w:tbl>
      <w:tblPr>
        <w:tblW w:w="7938"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Caption w:val="Document issued in the Government series"/>
        <w:tblDescription w:val="Document issued in the Government series"/>
      </w:tblPr>
      <w:tblGrid>
        <w:gridCol w:w="2410"/>
        <w:gridCol w:w="1269"/>
        <w:gridCol w:w="7"/>
        <w:gridCol w:w="4252"/>
      </w:tblGrid>
      <w:tr w:rsidR="002139E4" w:rsidRPr="00CE032F" w14:paraId="755C16DA" w14:textId="77777777" w:rsidTr="001A259A">
        <w:trPr>
          <w:trHeight w:val="255"/>
          <w:tblHeader/>
        </w:trPr>
        <w:tc>
          <w:tcPr>
            <w:tcW w:w="7938" w:type="dxa"/>
            <w:gridSpan w:val="4"/>
            <w:tcBorders>
              <w:top w:val="nil"/>
              <w:bottom w:val="single" w:sz="4" w:space="0" w:color="auto"/>
            </w:tcBorders>
            <w:shd w:val="clear" w:color="auto" w:fill="auto"/>
            <w:vAlign w:val="bottom"/>
          </w:tcPr>
          <w:p w14:paraId="6EDB7D20" w14:textId="77777777" w:rsidR="002139E4" w:rsidRPr="00CE032F" w:rsidRDefault="002139E4" w:rsidP="001A259A">
            <w:pPr>
              <w:spacing w:before="80" w:after="80" w:line="200" w:lineRule="exact"/>
              <w:ind w:right="113"/>
              <w:rPr>
                <w:i/>
                <w:sz w:val="16"/>
                <w:szCs w:val="16"/>
              </w:rPr>
            </w:pPr>
            <w:r w:rsidRPr="00CE032F">
              <w:rPr>
                <w:i/>
                <w:sz w:val="16"/>
                <w:szCs w:val="16"/>
              </w:rPr>
              <w:t xml:space="preserve">Documents issued in the </w:t>
            </w:r>
            <w:r>
              <w:rPr>
                <w:i/>
                <w:sz w:val="16"/>
                <w:szCs w:val="16"/>
              </w:rPr>
              <w:t>limited</w:t>
            </w:r>
            <w:r w:rsidRPr="00CE032F">
              <w:rPr>
                <w:i/>
                <w:sz w:val="16"/>
                <w:szCs w:val="16"/>
              </w:rPr>
              <w:t xml:space="preserve"> series</w:t>
            </w:r>
          </w:p>
        </w:tc>
      </w:tr>
      <w:tr w:rsidR="002139E4" w:rsidRPr="00CE032F" w14:paraId="049EF246" w14:textId="77777777" w:rsidTr="001A259A">
        <w:trPr>
          <w:trHeight w:val="255"/>
          <w:tblHeader/>
        </w:trPr>
        <w:tc>
          <w:tcPr>
            <w:tcW w:w="2410" w:type="dxa"/>
            <w:tcBorders>
              <w:top w:val="single" w:sz="4" w:space="0" w:color="auto"/>
              <w:bottom w:val="single" w:sz="12" w:space="0" w:color="auto"/>
            </w:tcBorders>
            <w:shd w:val="clear" w:color="auto" w:fill="auto"/>
            <w:vAlign w:val="bottom"/>
          </w:tcPr>
          <w:p w14:paraId="68E5AE7E" w14:textId="77777777" w:rsidR="002139E4" w:rsidRPr="00CE032F" w:rsidRDefault="002139E4" w:rsidP="001A259A">
            <w:pPr>
              <w:spacing w:before="80" w:after="80" w:line="200" w:lineRule="exact"/>
              <w:ind w:right="113"/>
              <w:rPr>
                <w:i/>
                <w:sz w:val="16"/>
                <w:szCs w:val="16"/>
              </w:rPr>
            </w:pPr>
            <w:r w:rsidRPr="00CE032F">
              <w:rPr>
                <w:i/>
                <w:sz w:val="16"/>
                <w:szCs w:val="16"/>
              </w:rPr>
              <w:t xml:space="preserve">Symbol </w:t>
            </w:r>
          </w:p>
        </w:tc>
        <w:tc>
          <w:tcPr>
            <w:tcW w:w="1276" w:type="dxa"/>
            <w:gridSpan w:val="2"/>
            <w:tcBorders>
              <w:top w:val="single" w:sz="4" w:space="0" w:color="auto"/>
              <w:bottom w:val="single" w:sz="12" w:space="0" w:color="auto"/>
            </w:tcBorders>
            <w:shd w:val="clear" w:color="auto" w:fill="auto"/>
            <w:vAlign w:val="bottom"/>
          </w:tcPr>
          <w:p w14:paraId="4E63F702" w14:textId="77777777" w:rsidR="002139E4" w:rsidRPr="00CE032F" w:rsidRDefault="002139E4" w:rsidP="001A259A">
            <w:pPr>
              <w:spacing w:before="80" w:after="80" w:line="200" w:lineRule="exact"/>
              <w:ind w:right="284"/>
              <w:jc w:val="right"/>
              <w:rPr>
                <w:i/>
                <w:sz w:val="16"/>
                <w:szCs w:val="16"/>
              </w:rPr>
            </w:pPr>
            <w:r w:rsidRPr="00CE032F">
              <w:rPr>
                <w:i/>
                <w:sz w:val="16"/>
                <w:szCs w:val="16"/>
              </w:rPr>
              <w:t>Agenda item</w:t>
            </w:r>
          </w:p>
        </w:tc>
        <w:tc>
          <w:tcPr>
            <w:tcW w:w="4252" w:type="dxa"/>
            <w:tcBorders>
              <w:top w:val="single" w:sz="4" w:space="0" w:color="auto"/>
              <w:bottom w:val="single" w:sz="12" w:space="0" w:color="auto"/>
            </w:tcBorders>
            <w:shd w:val="clear" w:color="auto" w:fill="auto"/>
            <w:vAlign w:val="bottom"/>
          </w:tcPr>
          <w:p w14:paraId="6C07DC65" w14:textId="77777777" w:rsidR="002139E4" w:rsidRPr="00CE032F" w:rsidRDefault="002139E4" w:rsidP="001A259A">
            <w:pPr>
              <w:spacing w:before="80" w:after="80" w:line="200" w:lineRule="exact"/>
              <w:ind w:right="113"/>
              <w:rPr>
                <w:i/>
                <w:sz w:val="16"/>
                <w:szCs w:val="16"/>
              </w:rPr>
            </w:pPr>
          </w:p>
        </w:tc>
      </w:tr>
      <w:tr w:rsidR="002139E4" w:rsidRPr="00CE032F" w14:paraId="4B988BFA" w14:textId="77777777" w:rsidTr="001A259A">
        <w:trPr>
          <w:trHeight w:val="150"/>
        </w:trPr>
        <w:tc>
          <w:tcPr>
            <w:tcW w:w="2410" w:type="dxa"/>
            <w:tcBorders>
              <w:top w:val="single" w:sz="12" w:space="0" w:color="auto"/>
              <w:bottom w:val="nil"/>
            </w:tcBorders>
            <w:shd w:val="clear" w:color="auto" w:fill="auto"/>
          </w:tcPr>
          <w:p w14:paraId="60C12A57" w14:textId="77777777" w:rsidR="002139E4" w:rsidRPr="00CE032F" w:rsidRDefault="002139E4" w:rsidP="001A259A">
            <w:pPr>
              <w:spacing w:before="40" w:after="120"/>
              <w:ind w:right="113"/>
              <w:jc w:val="both"/>
              <w:rPr>
                <w:sz w:val="20"/>
                <w:szCs w:val="20"/>
              </w:rPr>
            </w:pPr>
            <w:r w:rsidRPr="000C6269">
              <w:rPr>
                <w:sz w:val="20"/>
                <w:szCs w:val="20"/>
              </w:rPr>
              <w:t>A/HRC/40/L.1</w:t>
            </w:r>
          </w:p>
        </w:tc>
        <w:tc>
          <w:tcPr>
            <w:tcW w:w="1276" w:type="dxa"/>
            <w:gridSpan w:val="2"/>
            <w:tcBorders>
              <w:top w:val="single" w:sz="12" w:space="0" w:color="auto"/>
              <w:bottom w:val="nil"/>
            </w:tcBorders>
            <w:shd w:val="clear" w:color="auto" w:fill="auto"/>
          </w:tcPr>
          <w:p w14:paraId="6D822D4F" w14:textId="77777777" w:rsidR="002139E4" w:rsidRPr="00CE032F" w:rsidRDefault="002139E4" w:rsidP="001A259A">
            <w:pPr>
              <w:spacing w:before="40" w:after="120"/>
              <w:ind w:right="280"/>
              <w:jc w:val="right"/>
              <w:rPr>
                <w:sz w:val="20"/>
                <w:szCs w:val="20"/>
              </w:rPr>
            </w:pPr>
            <w:r>
              <w:rPr>
                <w:sz w:val="20"/>
                <w:szCs w:val="20"/>
              </w:rPr>
              <w:t>2</w:t>
            </w:r>
          </w:p>
        </w:tc>
        <w:tc>
          <w:tcPr>
            <w:tcW w:w="4252" w:type="dxa"/>
            <w:tcBorders>
              <w:top w:val="single" w:sz="12" w:space="0" w:color="auto"/>
              <w:bottom w:val="nil"/>
            </w:tcBorders>
            <w:shd w:val="clear" w:color="auto" w:fill="auto"/>
            <w:vAlign w:val="center"/>
          </w:tcPr>
          <w:p w14:paraId="36112A82" w14:textId="77777777" w:rsidR="002139E4" w:rsidRPr="00CE032F" w:rsidRDefault="002139E4" w:rsidP="001A259A">
            <w:pPr>
              <w:spacing w:before="40" w:after="120"/>
              <w:ind w:right="113"/>
              <w:jc w:val="both"/>
              <w:rPr>
                <w:sz w:val="20"/>
                <w:szCs w:val="20"/>
              </w:rPr>
            </w:pPr>
            <w:r w:rsidRPr="000C6269">
              <w:rPr>
                <w:sz w:val="20"/>
                <w:szCs w:val="20"/>
              </w:rPr>
              <w:t>Promoting reconciliation, accountability and human rights in Sri Lanka</w:t>
            </w:r>
          </w:p>
        </w:tc>
      </w:tr>
      <w:tr w:rsidR="002139E4" w:rsidRPr="00CE032F" w14:paraId="6A52F7F7" w14:textId="77777777" w:rsidTr="001A259A">
        <w:trPr>
          <w:trHeight w:val="150"/>
        </w:trPr>
        <w:tc>
          <w:tcPr>
            <w:tcW w:w="2410" w:type="dxa"/>
            <w:tcBorders>
              <w:top w:val="nil"/>
              <w:bottom w:val="nil"/>
            </w:tcBorders>
            <w:shd w:val="clear" w:color="auto" w:fill="auto"/>
          </w:tcPr>
          <w:p w14:paraId="363ECBFD" w14:textId="77777777" w:rsidR="002139E4" w:rsidRPr="00CE032F" w:rsidRDefault="002139E4" w:rsidP="001A259A">
            <w:pPr>
              <w:spacing w:before="40" w:after="120"/>
              <w:ind w:right="113"/>
              <w:jc w:val="both"/>
              <w:rPr>
                <w:sz w:val="20"/>
                <w:szCs w:val="20"/>
              </w:rPr>
            </w:pPr>
            <w:r w:rsidRPr="002341CE">
              <w:rPr>
                <w:sz w:val="20"/>
                <w:szCs w:val="20"/>
              </w:rPr>
              <w:t>A/HRC/40/L.2</w:t>
            </w:r>
          </w:p>
        </w:tc>
        <w:tc>
          <w:tcPr>
            <w:tcW w:w="1276" w:type="dxa"/>
            <w:gridSpan w:val="2"/>
            <w:tcBorders>
              <w:top w:val="nil"/>
              <w:bottom w:val="nil"/>
            </w:tcBorders>
            <w:shd w:val="clear" w:color="auto" w:fill="auto"/>
          </w:tcPr>
          <w:p w14:paraId="22247E68" w14:textId="77777777" w:rsidR="002139E4" w:rsidRPr="00CE032F" w:rsidRDefault="002139E4" w:rsidP="001A259A">
            <w:pPr>
              <w:spacing w:before="40" w:after="120"/>
              <w:ind w:right="280"/>
              <w:jc w:val="right"/>
              <w:rPr>
                <w:sz w:val="20"/>
                <w:szCs w:val="20"/>
              </w:rPr>
            </w:pPr>
            <w:r>
              <w:rPr>
                <w:sz w:val="20"/>
                <w:szCs w:val="20"/>
              </w:rPr>
              <w:t>10</w:t>
            </w:r>
          </w:p>
        </w:tc>
        <w:tc>
          <w:tcPr>
            <w:tcW w:w="4252" w:type="dxa"/>
            <w:tcBorders>
              <w:top w:val="nil"/>
              <w:bottom w:val="nil"/>
            </w:tcBorders>
            <w:shd w:val="clear" w:color="auto" w:fill="auto"/>
          </w:tcPr>
          <w:p w14:paraId="6D1218EC" w14:textId="77777777" w:rsidR="002139E4" w:rsidRPr="00CE032F" w:rsidRDefault="002139E4" w:rsidP="001A259A">
            <w:pPr>
              <w:spacing w:before="40" w:after="120"/>
              <w:ind w:right="113"/>
              <w:jc w:val="both"/>
              <w:rPr>
                <w:sz w:val="20"/>
                <w:szCs w:val="20"/>
              </w:rPr>
            </w:pPr>
            <w:r w:rsidRPr="002341CE">
              <w:rPr>
                <w:sz w:val="20"/>
                <w:szCs w:val="20"/>
              </w:rPr>
              <w:t>Technical assistance and capacity-building for Mali in the field of human rights</w:t>
            </w:r>
          </w:p>
        </w:tc>
      </w:tr>
      <w:tr w:rsidR="002139E4" w:rsidRPr="00CE032F" w14:paraId="39F8943E" w14:textId="77777777" w:rsidTr="001A259A">
        <w:trPr>
          <w:trHeight w:val="150"/>
        </w:trPr>
        <w:tc>
          <w:tcPr>
            <w:tcW w:w="2410" w:type="dxa"/>
            <w:tcBorders>
              <w:top w:val="nil"/>
              <w:bottom w:val="nil"/>
            </w:tcBorders>
            <w:shd w:val="clear" w:color="auto" w:fill="auto"/>
          </w:tcPr>
          <w:p w14:paraId="0BFF9DAB" w14:textId="77777777" w:rsidR="002139E4" w:rsidRPr="00CE032F" w:rsidRDefault="002139E4" w:rsidP="001A259A">
            <w:pPr>
              <w:spacing w:before="40" w:after="120"/>
              <w:ind w:right="113"/>
              <w:jc w:val="both"/>
              <w:rPr>
                <w:sz w:val="20"/>
                <w:szCs w:val="20"/>
              </w:rPr>
            </w:pPr>
            <w:r w:rsidRPr="00DA7CFA">
              <w:rPr>
                <w:sz w:val="20"/>
                <w:szCs w:val="20"/>
              </w:rPr>
              <w:t>A/HRC/40/L.3</w:t>
            </w:r>
          </w:p>
        </w:tc>
        <w:tc>
          <w:tcPr>
            <w:tcW w:w="1276" w:type="dxa"/>
            <w:gridSpan w:val="2"/>
            <w:tcBorders>
              <w:top w:val="nil"/>
              <w:bottom w:val="nil"/>
            </w:tcBorders>
            <w:shd w:val="clear" w:color="auto" w:fill="auto"/>
          </w:tcPr>
          <w:p w14:paraId="685061EA" w14:textId="77777777" w:rsidR="002139E4" w:rsidRPr="00CE032F" w:rsidRDefault="002139E4" w:rsidP="001A259A">
            <w:pPr>
              <w:spacing w:before="40" w:after="120"/>
              <w:ind w:right="280"/>
              <w:jc w:val="right"/>
              <w:rPr>
                <w:sz w:val="20"/>
                <w:szCs w:val="20"/>
              </w:rPr>
            </w:pPr>
            <w:r>
              <w:rPr>
                <w:sz w:val="20"/>
                <w:szCs w:val="20"/>
              </w:rPr>
              <w:t>9</w:t>
            </w:r>
          </w:p>
        </w:tc>
        <w:tc>
          <w:tcPr>
            <w:tcW w:w="4252" w:type="dxa"/>
            <w:tcBorders>
              <w:top w:val="nil"/>
              <w:bottom w:val="nil"/>
            </w:tcBorders>
            <w:shd w:val="clear" w:color="auto" w:fill="auto"/>
          </w:tcPr>
          <w:p w14:paraId="6EC94212" w14:textId="77777777" w:rsidR="002139E4" w:rsidRPr="00CE032F" w:rsidRDefault="002139E4" w:rsidP="001A259A">
            <w:pPr>
              <w:spacing w:before="40" w:after="120"/>
              <w:ind w:right="113"/>
              <w:jc w:val="both"/>
              <w:rPr>
                <w:sz w:val="20"/>
                <w:szCs w:val="20"/>
              </w:rPr>
            </w:pPr>
            <w:r w:rsidRPr="00DA7CFA">
              <w:rPr>
                <w:sz w:val="20"/>
                <w:szCs w:val="20"/>
              </w:rPr>
              <w:t>Combating intolerance, negative stereotyping and stigmatization of, and discrimination, incitement to violence and violence against, persons based on religion or belief</w:t>
            </w:r>
          </w:p>
        </w:tc>
      </w:tr>
      <w:tr w:rsidR="002139E4" w:rsidRPr="00CE032F" w14:paraId="5126AE27" w14:textId="77777777" w:rsidTr="001A259A">
        <w:trPr>
          <w:trHeight w:val="150"/>
        </w:trPr>
        <w:tc>
          <w:tcPr>
            <w:tcW w:w="2410" w:type="dxa"/>
            <w:tcBorders>
              <w:top w:val="nil"/>
              <w:bottom w:val="nil"/>
            </w:tcBorders>
            <w:shd w:val="clear" w:color="auto" w:fill="auto"/>
          </w:tcPr>
          <w:p w14:paraId="105BD0FD" w14:textId="77777777" w:rsidR="002139E4" w:rsidRPr="00CE032F" w:rsidRDefault="002139E4" w:rsidP="001A259A">
            <w:pPr>
              <w:spacing w:before="40" w:after="120"/>
              <w:ind w:right="113"/>
              <w:jc w:val="both"/>
              <w:rPr>
                <w:sz w:val="20"/>
                <w:szCs w:val="20"/>
              </w:rPr>
            </w:pPr>
            <w:r w:rsidRPr="0067294D">
              <w:rPr>
                <w:sz w:val="20"/>
                <w:szCs w:val="20"/>
              </w:rPr>
              <w:t>A/HRC/40/L.4</w:t>
            </w:r>
          </w:p>
        </w:tc>
        <w:tc>
          <w:tcPr>
            <w:tcW w:w="1276" w:type="dxa"/>
            <w:gridSpan w:val="2"/>
            <w:tcBorders>
              <w:top w:val="nil"/>
              <w:bottom w:val="nil"/>
            </w:tcBorders>
            <w:shd w:val="clear" w:color="auto" w:fill="auto"/>
          </w:tcPr>
          <w:p w14:paraId="2D6D31CF" w14:textId="77777777" w:rsidR="002139E4" w:rsidRPr="00CE032F" w:rsidRDefault="002139E4" w:rsidP="001A259A">
            <w:pPr>
              <w:spacing w:before="40" w:after="120"/>
              <w:ind w:right="280"/>
              <w:jc w:val="right"/>
              <w:rPr>
                <w:sz w:val="20"/>
                <w:szCs w:val="20"/>
              </w:rPr>
            </w:pPr>
            <w:r>
              <w:rPr>
                <w:sz w:val="20"/>
                <w:szCs w:val="20"/>
              </w:rPr>
              <w:t>7</w:t>
            </w:r>
          </w:p>
        </w:tc>
        <w:tc>
          <w:tcPr>
            <w:tcW w:w="4252" w:type="dxa"/>
            <w:tcBorders>
              <w:top w:val="nil"/>
              <w:bottom w:val="nil"/>
            </w:tcBorders>
            <w:shd w:val="clear" w:color="auto" w:fill="auto"/>
          </w:tcPr>
          <w:p w14:paraId="511C9901" w14:textId="77777777" w:rsidR="002139E4" w:rsidRPr="00CE032F" w:rsidRDefault="002139E4" w:rsidP="001A259A">
            <w:pPr>
              <w:spacing w:before="40" w:after="120"/>
              <w:ind w:right="113"/>
              <w:jc w:val="both"/>
              <w:rPr>
                <w:sz w:val="20"/>
                <w:szCs w:val="20"/>
              </w:rPr>
            </w:pPr>
            <w:r w:rsidRPr="0067294D">
              <w:rPr>
                <w:sz w:val="20"/>
                <w:szCs w:val="20"/>
              </w:rPr>
              <w:t>Human rights in the occupied Syrian Golan</w:t>
            </w:r>
          </w:p>
        </w:tc>
      </w:tr>
      <w:tr w:rsidR="002139E4" w:rsidRPr="00CE032F" w14:paraId="26943007" w14:textId="77777777" w:rsidTr="001A259A">
        <w:trPr>
          <w:trHeight w:val="150"/>
        </w:trPr>
        <w:tc>
          <w:tcPr>
            <w:tcW w:w="2410" w:type="dxa"/>
            <w:tcBorders>
              <w:top w:val="nil"/>
              <w:bottom w:val="nil"/>
            </w:tcBorders>
            <w:shd w:val="clear" w:color="auto" w:fill="auto"/>
          </w:tcPr>
          <w:p w14:paraId="53F3F27F" w14:textId="77777777" w:rsidR="002139E4" w:rsidRPr="00CE032F" w:rsidRDefault="002139E4" w:rsidP="001A259A">
            <w:pPr>
              <w:spacing w:before="40" w:after="120"/>
              <w:ind w:right="113"/>
              <w:jc w:val="both"/>
              <w:rPr>
                <w:sz w:val="20"/>
                <w:szCs w:val="20"/>
              </w:rPr>
            </w:pPr>
            <w:r w:rsidRPr="0067294D">
              <w:rPr>
                <w:sz w:val="20"/>
                <w:szCs w:val="20"/>
              </w:rPr>
              <w:t>A/HRC/40/L.5</w:t>
            </w:r>
          </w:p>
        </w:tc>
        <w:tc>
          <w:tcPr>
            <w:tcW w:w="1276" w:type="dxa"/>
            <w:gridSpan w:val="2"/>
            <w:tcBorders>
              <w:top w:val="nil"/>
              <w:bottom w:val="nil"/>
            </w:tcBorders>
            <w:shd w:val="clear" w:color="auto" w:fill="auto"/>
          </w:tcPr>
          <w:p w14:paraId="50AAD44B" w14:textId="77777777" w:rsidR="002139E4" w:rsidRPr="00CE032F" w:rsidRDefault="002139E4" w:rsidP="001A259A">
            <w:pPr>
              <w:spacing w:before="40" w:after="120"/>
              <w:ind w:right="280"/>
              <w:jc w:val="right"/>
              <w:rPr>
                <w:sz w:val="20"/>
                <w:szCs w:val="20"/>
              </w:rPr>
            </w:pPr>
            <w:r>
              <w:rPr>
                <w:sz w:val="20"/>
                <w:szCs w:val="20"/>
              </w:rPr>
              <w:t>3</w:t>
            </w:r>
          </w:p>
        </w:tc>
        <w:tc>
          <w:tcPr>
            <w:tcW w:w="4252" w:type="dxa"/>
            <w:tcBorders>
              <w:top w:val="nil"/>
              <w:bottom w:val="nil"/>
            </w:tcBorders>
            <w:shd w:val="clear" w:color="auto" w:fill="auto"/>
          </w:tcPr>
          <w:p w14:paraId="449F1923" w14:textId="77777777" w:rsidR="002139E4" w:rsidRPr="00CE032F" w:rsidRDefault="002139E4" w:rsidP="001A259A">
            <w:pPr>
              <w:spacing w:before="40" w:after="120"/>
              <w:ind w:right="113"/>
              <w:jc w:val="both"/>
              <w:rPr>
                <w:sz w:val="20"/>
                <w:szCs w:val="20"/>
              </w:rPr>
            </w:pPr>
            <w:r w:rsidRPr="0067294D">
              <w:rPr>
                <w:sz w:val="20"/>
                <w:szCs w:val="20"/>
              </w:rPr>
              <w:t>The negative impact of unilateral coercive measures on the enjoyment of human rights</w:t>
            </w:r>
          </w:p>
        </w:tc>
      </w:tr>
      <w:tr w:rsidR="002139E4" w:rsidRPr="00CE032F" w14:paraId="611D64E1" w14:textId="77777777" w:rsidTr="001A259A">
        <w:trPr>
          <w:trHeight w:val="150"/>
        </w:trPr>
        <w:tc>
          <w:tcPr>
            <w:tcW w:w="2410" w:type="dxa"/>
            <w:tcBorders>
              <w:top w:val="nil"/>
              <w:bottom w:val="nil"/>
            </w:tcBorders>
            <w:shd w:val="clear" w:color="auto" w:fill="auto"/>
          </w:tcPr>
          <w:p w14:paraId="1E034DFE" w14:textId="77777777" w:rsidR="002139E4" w:rsidRPr="00CE032F" w:rsidRDefault="002139E4" w:rsidP="001A259A">
            <w:pPr>
              <w:spacing w:before="40" w:after="120"/>
              <w:ind w:right="113"/>
              <w:jc w:val="both"/>
              <w:rPr>
                <w:sz w:val="20"/>
                <w:szCs w:val="20"/>
              </w:rPr>
            </w:pPr>
            <w:r w:rsidRPr="0067294D">
              <w:rPr>
                <w:sz w:val="20"/>
                <w:szCs w:val="20"/>
              </w:rPr>
              <w:lastRenderedPageBreak/>
              <w:t>A/HRC/40/L.6</w:t>
            </w:r>
            <w:r>
              <w:rPr>
                <w:sz w:val="20"/>
                <w:szCs w:val="20"/>
              </w:rPr>
              <w:t xml:space="preserve"> and Rev.1</w:t>
            </w:r>
          </w:p>
        </w:tc>
        <w:tc>
          <w:tcPr>
            <w:tcW w:w="1276" w:type="dxa"/>
            <w:gridSpan w:val="2"/>
            <w:tcBorders>
              <w:top w:val="nil"/>
              <w:bottom w:val="nil"/>
            </w:tcBorders>
            <w:shd w:val="clear" w:color="auto" w:fill="auto"/>
          </w:tcPr>
          <w:p w14:paraId="7FD3CDC1" w14:textId="77777777" w:rsidR="002139E4" w:rsidRPr="00CE032F" w:rsidRDefault="002139E4" w:rsidP="001A259A">
            <w:pPr>
              <w:spacing w:before="40" w:after="120"/>
              <w:ind w:right="280"/>
              <w:jc w:val="right"/>
              <w:rPr>
                <w:sz w:val="20"/>
                <w:szCs w:val="20"/>
              </w:rPr>
            </w:pPr>
            <w:r>
              <w:rPr>
                <w:sz w:val="20"/>
                <w:szCs w:val="20"/>
              </w:rPr>
              <w:t>10</w:t>
            </w:r>
          </w:p>
        </w:tc>
        <w:tc>
          <w:tcPr>
            <w:tcW w:w="4252" w:type="dxa"/>
            <w:tcBorders>
              <w:top w:val="nil"/>
              <w:bottom w:val="nil"/>
            </w:tcBorders>
            <w:shd w:val="clear" w:color="auto" w:fill="auto"/>
          </w:tcPr>
          <w:p w14:paraId="7B896610" w14:textId="77777777" w:rsidR="002139E4" w:rsidRPr="00CE032F" w:rsidRDefault="002139E4" w:rsidP="001A259A">
            <w:pPr>
              <w:spacing w:before="40" w:after="120"/>
              <w:ind w:right="113"/>
              <w:jc w:val="both"/>
              <w:rPr>
                <w:sz w:val="20"/>
                <w:szCs w:val="20"/>
              </w:rPr>
            </w:pPr>
            <w:r w:rsidRPr="0067294D">
              <w:rPr>
                <w:sz w:val="20"/>
                <w:szCs w:val="20"/>
              </w:rPr>
              <w:t>Technical assistance and capacity-building to improve human rights in Libya</w:t>
            </w:r>
          </w:p>
        </w:tc>
      </w:tr>
      <w:tr w:rsidR="002139E4" w:rsidRPr="00CE032F" w14:paraId="6DF001B4" w14:textId="77777777" w:rsidTr="001A259A">
        <w:trPr>
          <w:trHeight w:val="150"/>
        </w:trPr>
        <w:tc>
          <w:tcPr>
            <w:tcW w:w="2410" w:type="dxa"/>
            <w:tcBorders>
              <w:top w:val="nil"/>
              <w:bottom w:val="nil"/>
            </w:tcBorders>
            <w:shd w:val="clear" w:color="auto" w:fill="auto"/>
          </w:tcPr>
          <w:p w14:paraId="3FB3E953" w14:textId="77777777" w:rsidR="002139E4" w:rsidRPr="0067294D" w:rsidRDefault="002139E4" w:rsidP="001A259A">
            <w:pPr>
              <w:spacing w:before="40" w:after="120"/>
              <w:ind w:right="113"/>
              <w:jc w:val="both"/>
              <w:rPr>
                <w:sz w:val="20"/>
                <w:szCs w:val="20"/>
              </w:rPr>
            </w:pPr>
            <w:r w:rsidRPr="0067294D">
              <w:rPr>
                <w:sz w:val="20"/>
                <w:szCs w:val="20"/>
              </w:rPr>
              <w:t>A/HRC/40/L.7</w:t>
            </w:r>
          </w:p>
        </w:tc>
        <w:tc>
          <w:tcPr>
            <w:tcW w:w="1276" w:type="dxa"/>
            <w:gridSpan w:val="2"/>
            <w:tcBorders>
              <w:top w:val="nil"/>
              <w:bottom w:val="nil"/>
            </w:tcBorders>
            <w:shd w:val="clear" w:color="auto" w:fill="auto"/>
          </w:tcPr>
          <w:p w14:paraId="740AE9F8" w14:textId="77777777" w:rsidR="002139E4" w:rsidRDefault="002139E4" w:rsidP="001A259A">
            <w:pPr>
              <w:spacing w:before="40" w:after="120"/>
              <w:ind w:right="280"/>
              <w:jc w:val="right"/>
              <w:rPr>
                <w:sz w:val="20"/>
                <w:szCs w:val="20"/>
              </w:rPr>
            </w:pPr>
            <w:r>
              <w:rPr>
                <w:sz w:val="20"/>
                <w:szCs w:val="20"/>
              </w:rPr>
              <w:t>4</w:t>
            </w:r>
          </w:p>
        </w:tc>
        <w:tc>
          <w:tcPr>
            <w:tcW w:w="4252" w:type="dxa"/>
            <w:tcBorders>
              <w:top w:val="nil"/>
              <w:bottom w:val="nil"/>
            </w:tcBorders>
            <w:shd w:val="clear" w:color="auto" w:fill="auto"/>
          </w:tcPr>
          <w:p w14:paraId="61BEC09C" w14:textId="77777777" w:rsidR="002139E4" w:rsidRPr="0067294D" w:rsidRDefault="002139E4" w:rsidP="001A259A">
            <w:pPr>
              <w:spacing w:before="40" w:after="120"/>
              <w:ind w:right="113"/>
              <w:jc w:val="both"/>
              <w:rPr>
                <w:sz w:val="20"/>
                <w:szCs w:val="20"/>
              </w:rPr>
            </w:pPr>
            <w:r w:rsidRPr="0067294D">
              <w:rPr>
                <w:sz w:val="20"/>
                <w:szCs w:val="20"/>
              </w:rPr>
              <w:t>The human rights situation in the Syrian Arab Republic</w:t>
            </w:r>
          </w:p>
        </w:tc>
      </w:tr>
      <w:tr w:rsidR="002139E4" w:rsidRPr="00CE032F" w14:paraId="21C81FDB" w14:textId="77777777" w:rsidTr="001A259A">
        <w:trPr>
          <w:trHeight w:val="150"/>
        </w:trPr>
        <w:tc>
          <w:tcPr>
            <w:tcW w:w="2410" w:type="dxa"/>
            <w:tcBorders>
              <w:top w:val="nil"/>
              <w:bottom w:val="nil"/>
            </w:tcBorders>
            <w:shd w:val="clear" w:color="auto" w:fill="auto"/>
          </w:tcPr>
          <w:p w14:paraId="2B7E38D9" w14:textId="77777777" w:rsidR="002139E4" w:rsidRPr="0067294D" w:rsidRDefault="002139E4" w:rsidP="001A259A">
            <w:pPr>
              <w:spacing w:before="40" w:after="120"/>
              <w:ind w:right="113"/>
              <w:jc w:val="both"/>
              <w:rPr>
                <w:sz w:val="20"/>
                <w:szCs w:val="20"/>
              </w:rPr>
            </w:pPr>
            <w:r w:rsidRPr="0067294D">
              <w:rPr>
                <w:sz w:val="20"/>
                <w:szCs w:val="20"/>
              </w:rPr>
              <w:t>A/HRC/40/L.8</w:t>
            </w:r>
          </w:p>
        </w:tc>
        <w:tc>
          <w:tcPr>
            <w:tcW w:w="1276" w:type="dxa"/>
            <w:gridSpan w:val="2"/>
            <w:tcBorders>
              <w:top w:val="nil"/>
              <w:bottom w:val="nil"/>
            </w:tcBorders>
            <w:shd w:val="clear" w:color="auto" w:fill="auto"/>
          </w:tcPr>
          <w:p w14:paraId="2457AA63" w14:textId="77777777" w:rsidR="002139E4" w:rsidRDefault="002139E4" w:rsidP="001A259A">
            <w:pPr>
              <w:spacing w:before="40" w:after="120"/>
              <w:ind w:right="280"/>
              <w:jc w:val="right"/>
              <w:rPr>
                <w:sz w:val="20"/>
                <w:szCs w:val="20"/>
              </w:rPr>
            </w:pPr>
            <w:r>
              <w:rPr>
                <w:sz w:val="20"/>
                <w:szCs w:val="20"/>
              </w:rPr>
              <w:t>2</w:t>
            </w:r>
          </w:p>
        </w:tc>
        <w:tc>
          <w:tcPr>
            <w:tcW w:w="4252" w:type="dxa"/>
            <w:tcBorders>
              <w:top w:val="nil"/>
              <w:bottom w:val="nil"/>
            </w:tcBorders>
            <w:shd w:val="clear" w:color="auto" w:fill="auto"/>
          </w:tcPr>
          <w:p w14:paraId="52304B5D" w14:textId="77777777" w:rsidR="002139E4" w:rsidRPr="0067294D" w:rsidRDefault="002139E4" w:rsidP="001A259A">
            <w:pPr>
              <w:spacing w:before="40" w:after="120"/>
              <w:ind w:right="113"/>
              <w:jc w:val="both"/>
              <w:rPr>
                <w:sz w:val="20"/>
                <w:szCs w:val="20"/>
              </w:rPr>
            </w:pPr>
            <w:r w:rsidRPr="0067294D">
              <w:rPr>
                <w:sz w:val="20"/>
                <w:szCs w:val="20"/>
              </w:rPr>
              <w:t>Promotion and protection of human rights in Nicaragua</w:t>
            </w:r>
          </w:p>
        </w:tc>
      </w:tr>
      <w:tr w:rsidR="002139E4" w:rsidRPr="00CE032F" w14:paraId="1AE085B7" w14:textId="77777777" w:rsidTr="001A259A">
        <w:trPr>
          <w:trHeight w:val="150"/>
        </w:trPr>
        <w:tc>
          <w:tcPr>
            <w:tcW w:w="2410" w:type="dxa"/>
            <w:tcBorders>
              <w:top w:val="nil"/>
              <w:bottom w:val="nil"/>
            </w:tcBorders>
            <w:shd w:val="clear" w:color="auto" w:fill="auto"/>
          </w:tcPr>
          <w:p w14:paraId="157ACBB5" w14:textId="77777777" w:rsidR="002139E4" w:rsidRPr="0067294D" w:rsidRDefault="002139E4" w:rsidP="001A259A">
            <w:pPr>
              <w:spacing w:before="40" w:after="120"/>
              <w:ind w:right="113"/>
              <w:jc w:val="both"/>
              <w:rPr>
                <w:sz w:val="20"/>
                <w:szCs w:val="20"/>
              </w:rPr>
            </w:pPr>
            <w:r w:rsidRPr="0067294D">
              <w:rPr>
                <w:sz w:val="20"/>
                <w:szCs w:val="20"/>
              </w:rPr>
              <w:t>A/HRC/40/L.9</w:t>
            </w:r>
          </w:p>
        </w:tc>
        <w:tc>
          <w:tcPr>
            <w:tcW w:w="1276" w:type="dxa"/>
            <w:gridSpan w:val="2"/>
            <w:tcBorders>
              <w:top w:val="nil"/>
              <w:bottom w:val="nil"/>
            </w:tcBorders>
            <w:shd w:val="clear" w:color="auto" w:fill="auto"/>
          </w:tcPr>
          <w:p w14:paraId="22E5AC9B" w14:textId="77777777" w:rsidR="002139E4" w:rsidRDefault="002139E4" w:rsidP="001A259A">
            <w:pPr>
              <w:spacing w:before="40" w:after="120"/>
              <w:ind w:right="280"/>
              <w:jc w:val="right"/>
              <w:rPr>
                <w:sz w:val="20"/>
                <w:szCs w:val="20"/>
              </w:rPr>
            </w:pPr>
            <w:r>
              <w:rPr>
                <w:sz w:val="20"/>
                <w:szCs w:val="20"/>
              </w:rPr>
              <w:t>3</w:t>
            </w:r>
          </w:p>
        </w:tc>
        <w:tc>
          <w:tcPr>
            <w:tcW w:w="4252" w:type="dxa"/>
            <w:tcBorders>
              <w:top w:val="nil"/>
              <w:bottom w:val="nil"/>
            </w:tcBorders>
            <w:shd w:val="clear" w:color="auto" w:fill="auto"/>
          </w:tcPr>
          <w:p w14:paraId="601B8595" w14:textId="77777777" w:rsidR="002139E4" w:rsidRPr="0067294D" w:rsidRDefault="002139E4" w:rsidP="001A259A">
            <w:pPr>
              <w:spacing w:before="40" w:after="120"/>
              <w:ind w:right="113"/>
              <w:jc w:val="both"/>
              <w:rPr>
                <w:sz w:val="20"/>
                <w:szCs w:val="20"/>
              </w:rPr>
            </w:pPr>
            <w:r w:rsidRPr="0067294D">
              <w:rPr>
                <w:sz w:val="20"/>
                <w:szCs w:val="20"/>
              </w:rPr>
              <w:t>The negative impact of the non-repatriation of funds of illicit origin to the countries of origin on the enjoyment of human rights, and the importance of improving international cooperation</w:t>
            </w:r>
          </w:p>
        </w:tc>
      </w:tr>
      <w:tr w:rsidR="002139E4" w:rsidRPr="00CE032F" w14:paraId="543D7660" w14:textId="77777777" w:rsidTr="001A259A">
        <w:trPr>
          <w:trHeight w:val="150"/>
        </w:trPr>
        <w:tc>
          <w:tcPr>
            <w:tcW w:w="2410" w:type="dxa"/>
            <w:tcBorders>
              <w:top w:val="nil"/>
              <w:bottom w:val="nil"/>
            </w:tcBorders>
            <w:shd w:val="clear" w:color="auto" w:fill="auto"/>
          </w:tcPr>
          <w:p w14:paraId="32767621" w14:textId="77777777" w:rsidR="002139E4" w:rsidRPr="00B953F8" w:rsidRDefault="002139E4" w:rsidP="001A259A">
            <w:pPr>
              <w:spacing w:before="40" w:after="120"/>
              <w:ind w:right="113"/>
              <w:jc w:val="both"/>
              <w:rPr>
                <w:sz w:val="20"/>
                <w:szCs w:val="20"/>
              </w:rPr>
            </w:pPr>
            <w:r w:rsidRPr="000C6269">
              <w:rPr>
                <w:sz w:val="20"/>
                <w:szCs w:val="20"/>
              </w:rPr>
              <w:t xml:space="preserve">A/HRC/40/L.10 </w:t>
            </w:r>
            <w:r>
              <w:rPr>
                <w:sz w:val="20"/>
                <w:szCs w:val="20"/>
              </w:rPr>
              <w:t xml:space="preserve">and </w:t>
            </w:r>
            <w:r w:rsidRPr="000C6269">
              <w:rPr>
                <w:sz w:val="20"/>
                <w:szCs w:val="20"/>
              </w:rPr>
              <w:t>Rev.1</w:t>
            </w:r>
          </w:p>
        </w:tc>
        <w:tc>
          <w:tcPr>
            <w:tcW w:w="1276" w:type="dxa"/>
            <w:gridSpan w:val="2"/>
            <w:tcBorders>
              <w:top w:val="nil"/>
              <w:bottom w:val="nil"/>
            </w:tcBorders>
            <w:shd w:val="clear" w:color="auto" w:fill="auto"/>
          </w:tcPr>
          <w:p w14:paraId="059E8FC2" w14:textId="77777777" w:rsidR="002139E4" w:rsidRPr="00B953F8" w:rsidRDefault="002139E4" w:rsidP="001A259A">
            <w:pPr>
              <w:spacing w:before="40" w:after="120"/>
              <w:ind w:right="280"/>
              <w:jc w:val="right"/>
              <w:rPr>
                <w:sz w:val="20"/>
                <w:szCs w:val="20"/>
              </w:rPr>
            </w:pPr>
            <w:r>
              <w:rPr>
                <w:sz w:val="20"/>
                <w:szCs w:val="20"/>
              </w:rPr>
              <w:t>3</w:t>
            </w:r>
          </w:p>
        </w:tc>
        <w:tc>
          <w:tcPr>
            <w:tcW w:w="4252" w:type="dxa"/>
            <w:tcBorders>
              <w:top w:val="nil"/>
              <w:bottom w:val="nil"/>
            </w:tcBorders>
            <w:shd w:val="clear" w:color="auto" w:fill="auto"/>
          </w:tcPr>
          <w:p w14:paraId="2EFDA8B2" w14:textId="77777777" w:rsidR="002139E4" w:rsidRPr="00B953F8" w:rsidRDefault="002139E4" w:rsidP="001A259A">
            <w:pPr>
              <w:spacing w:before="40" w:after="120"/>
              <w:ind w:right="113"/>
              <w:jc w:val="both"/>
              <w:rPr>
                <w:sz w:val="20"/>
                <w:szCs w:val="20"/>
              </w:rPr>
            </w:pPr>
            <w:r w:rsidRPr="000C6269">
              <w:rPr>
                <w:sz w:val="20"/>
                <w:szCs w:val="20"/>
              </w:rPr>
              <w:t>Elimination of discrimination against women and girls in sport</w:t>
            </w:r>
          </w:p>
        </w:tc>
      </w:tr>
      <w:tr w:rsidR="002139E4" w:rsidRPr="00CE032F" w14:paraId="7D3CA832" w14:textId="77777777" w:rsidTr="001A259A">
        <w:trPr>
          <w:trHeight w:val="150"/>
        </w:trPr>
        <w:tc>
          <w:tcPr>
            <w:tcW w:w="2410" w:type="dxa"/>
            <w:tcBorders>
              <w:top w:val="nil"/>
              <w:bottom w:val="nil"/>
            </w:tcBorders>
            <w:shd w:val="clear" w:color="auto" w:fill="auto"/>
          </w:tcPr>
          <w:p w14:paraId="54F3262D" w14:textId="77777777" w:rsidR="002139E4" w:rsidRPr="00B953F8" w:rsidRDefault="002139E4" w:rsidP="001A259A">
            <w:pPr>
              <w:spacing w:before="40" w:after="120"/>
              <w:ind w:right="113"/>
              <w:jc w:val="both"/>
              <w:rPr>
                <w:sz w:val="20"/>
                <w:szCs w:val="20"/>
              </w:rPr>
            </w:pPr>
            <w:r w:rsidRPr="000C6269">
              <w:rPr>
                <w:sz w:val="20"/>
                <w:szCs w:val="20"/>
              </w:rPr>
              <w:t>A/HRC/40/L.11</w:t>
            </w:r>
          </w:p>
        </w:tc>
        <w:tc>
          <w:tcPr>
            <w:tcW w:w="1276" w:type="dxa"/>
            <w:gridSpan w:val="2"/>
            <w:tcBorders>
              <w:top w:val="nil"/>
              <w:bottom w:val="nil"/>
            </w:tcBorders>
            <w:shd w:val="clear" w:color="auto" w:fill="auto"/>
          </w:tcPr>
          <w:p w14:paraId="0F0C7C5E" w14:textId="77777777" w:rsidR="002139E4" w:rsidRPr="00B953F8" w:rsidRDefault="002139E4" w:rsidP="001A259A">
            <w:pPr>
              <w:spacing w:before="40" w:after="120"/>
              <w:ind w:right="280"/>
              <w:jc w:val="right"/>
              <w:rPr>
                <w:sz w:val="20"/>
                <w:szCs w:val="20"/>
              </w:rPr>
            </w:pPr>
            <w:r>
              <w:rPr>
                <w:sz w:val="20"/>
                <w:szCs w:val="20"/>
              </w:rPr>
              <w:t>3</w:t>
            </w:r>
          </w:p>
        </w:tc>
        <w:tc>
          <w:tcPr>
            <w:tcW w:w="4252" w:type="dxa"/>
            <w:tcBorders>
              <w:top w:val="nil"/>
              <w:bottom w:val="nil"/>
            </w:tcBorders>
            <w:shd w:val="clear" w:color="auto" w:fill="auto"/>
          </w:tcPr>
          <w:p w14:paraId="6D0BEAD4" w14:textId="77777777" w:rsidR="002139E4" w:rsidRPr="00B953F8" w:rsidRDefault="002139E4" w:rsidP="001A259A">
            <w:pPr>
              <w:spacing w:before="40" w:after="120"/>
              <w:ind w:right="113"/>
              <w:jc w:val="both"/>
              <w:rPr>
                <w:sz w:val="20"/>
                <w:szCs w:val="20"/>
              </w:rPr>
            </w:pPr>
            <w:r w:rsidRPr="000C6269">
              <w:rPr>
                <w:sz w:val="20"/>
                <w:szCs w:val="20"/>
              </w:rPr>
              <w:t>Promotion of the enjoyment of the cultural rights of everyone and respect for cultural diversity</w:t>
            </w:r>
          </w:p>
        </w:tc>
      </w:tr>
      <w:tr w:rsidR="002139E4" w:rsidRPr="00CE032F" w14:paraId="4F90EABF" w14:textId="77777777" w:rsidTr="001A259A">
        <w:trPr>
          <w:trHeight w:val="150"/>
        </w:trPr>
        <w:tc>
          <w:tcPr>
            <w:tcW w:w="2410" w:type="dxa"/>
            <w:tcBorders>
              <w:top w:val="nil"/>
              <w:bottom w:val="nil"/>
            </w:tcBorders>
            <w:shd w:val="clear" w:color="auto" w:fill="auto"/>
          </w:tcPr>
          <w:p w14:paraId="1B0D76A2" w14:textId="77777777" w:rsidR="002139E4" w:rsidRPr="00B953F8" w:rsidRDefault="002139E4" w:rsidP="001A259A">
            <w:pPr>
              <w:spacing w:before="40" w:after="120"/>
              <w:ind w:right="113"/>
              <w:jc w:val="both"/>
              <w:rPr>
                <w:sz w:val="20"/>
                <w:szCs w:val="20"/>
              </w:rPr>
            </w:pPr>
            <w:r w:rsidRPr="000C6269">
              <w:rPr>
                <w:sz w:val="20"/>
                <w:szCs w:val="20"/>
              </w:rPr>
              <w:t>A/HRC/40/L.12</w:t>
            </w:r>
          </w:p>
        </w:tc>
        <w:tc>
          <w:tcPr>
            <w:tcW w:w="1276" w:type="dxa"/>
            <w:gridSpan w:val="2"/>
            <w:tcBorders>
              <w:top w:val="nil"/>
              <w:bottom w:val="nil"/>
            </w:tcBorders>
            <w:shd w:val="clear" w:color="auto" w:fill="auto"/>
          </w:tcPr>
          <w:p w14:paraId="6E8CF10D" w14:textId="77777777" w:rsidR="002139E4" w:rsidRPr="00B953F8" w:rsidRDefault="002139E4" w:rsidP="001A259A">
            <w:pPr>
              <w:spacing w:before="40" w:after="120"/>
              <w:ind w:right="280"/>
              <w:jc w:val="right"/>
              <w:rPr>
                <w:sz w:val="20"/>
                <w:szCs w:val="20"/>
              </w:rPr>
            </w:pPr>
            <w:r>
              <w:rPr>
                <w:sz w:val="20"/>
                <w:szCs w:val="20"/>
              </w:rPr>
              <w:t>3</w:t>
            </w:r>
          </w:p>
        </w:tc>
        <w:tc>
          <w:tcPr>
            <w:tcW w:w="4252" w:type="dxa"/>
            <w:tcBorders>
              <w:top w:val="nil"/>
              <w:bottom w:val="nil"/>
            </w:tcBorders>
            <w:shd w:val="clear" w:color="auto" w:fill="auto"/>
          </w:tcPr>
          <w:p w14:paraId="30087583" w14:textId="77777777" w:rsidR="002139E4" w:rsidRPr="00B953F8" w:rsidRDefault="002139E4" w:rsidP="001A259A">
            <w:pPr>
              <w:spacing w:before="40" w:after="120"/>
              <w:ind w:right="113"/>
              <w:jc w:val="both"/>
              <w:rPr>
                <w:sz w:val="20"/>
                <w:szCs w:val="20"/>
              </w:rPr>
            </w:pPr>
            <w:r w:rsidRPr="000C6269">
              <w:rPr>
                <w:sz w:val="20"/>
                <w:szCs w:val="20"/>
              </w:rPr>
              <w:t>The right to food</w:t>
            </w:r>
          </w:p>
        </w:tc>
      </w:tr>
      <w:tr w:rsidR="002139E4" w:rsidRPr="00CE032F" w14:paraId="63BC1B6B" w14:textId="77777777" w:rsidTr="001A259A">
        <w:trPr>
          <w:trHeight w:val="150"/>
        </w:trPr>
        <w:tc>
          <w:tcPr>
            <w:tcW w:w="2410" w:type="dxa"/>
            <w:tcBorders>
              <w:top w:val="nil"/>
              <w:bottom w:val="nil"/>
            </w:tcBorders>
            <w:shd w:val="clear" w:color="auto" w:fill="auto"/>
          </w:tcPr>
          <w:p w14:paraId="058A7828" w14:textId="77777777" w:rsidR="002139E4" w:rsidRPr="000C6269" w:rsidRDefault="002139E4" w:rsidP="001A259A">
            <w:pPr>
              <w:spacing w:before="40" w:after="120"/>
              <w:ind w:right="113"/>
              <w:jc w:val="both"/>
              <w:rPr>
                <w:sz w:val="20"/>
                <w:szCs w:val="20"/>
              </w:rPr>
            </w:pPr>
            <w:r w:rsidRPr="000C6269">
              <w:rPr>
                <w:sz w:val="20"/>
                <w:szCs w:val="20"/>
              </w:rPr>
              <w:t>A/HRC/40/L.13</w:t>
            </w:r>
          </w:p>
        </w:tc>
        <w:tc>
          <w:tcPr>
            <w:tcW w:w="1276" w:type="dxa"/>
            <w:gridSpan w:val="2"/>
            <w:tcBorders>
              <w:top w:val="nil"/>
              <w:bottom w:val="nil"/>
            </w:tcBorders>
            <w:shd w:val="clear" w:color="auto" w:fill="auto"/>
          </w:tcPr>
          <w:p w14:paraId="2C30570C" w14:textId="77777777" w:rsidR="002139E4" w:rsidRDefault="002139E4" w:rsidP="001A259A">
            <w:pPr>
              <w:spacing w:before="40" w:after="120"/>
              <w:ind w:right="280"/>
              <w:jc w:val="right"/>
              <w:rPr>
                <w:sz w:val="20"/>
                <w:szCs w:val="20"/>
              </w:rPr>
            </w:pPr>
            <w:r>
              <w:rPr>
                <w:sz w:val="20"/>
                <w:szCs w:val="20"/>
              </w:rPr>
              <w:t>3</w:t>
            </w:r>
          </w:p>
        </w:tc>
        <w:tc>
          <w:tcPr>
            <w:tcW w:w="4252" w:type="dxa"/>
            <w:tcBorders>
              <w:top w:val="nil"/>
              <w:bottom w:val="nil"/>
            </w:tcBorders>
            <w:shd w:val="clear" w:color="auto" w:fill="auto"/>
          </w:tcPr>
          <w:p w14:paraId="558829E5" w14:textId="77777777" w:rsidR="002139E4" w:rsidRPr="000C6269" w:rsidRDefault="002139E4" w:rsidP="001A259A">
            <w:pPr>
              <w:spacing w:before="40" w:after="120"/>
              <w:ind w:right="113"/>
              <w:jc w:val="both"/>
              <w:rPr>
                <w:sz w:val="20"/>
                <w:szCs w:val="20"/>
              </w:rPr>
            </w:pPr>
            <w:r w:rsidRPr="000C6269">
              <w:rPr>
                <w:sz w:val="20"/>
                <w:szCs w:val="20"/>
              </w:rPr>
              <w:t>The effects of foreign debt and other related international financial obligations of States on the full enjoyment of all human rights, particularly economic, social and cultural rights</w:t>
            </w:r>
          </w:p>
        </w:tc>
      </w:tr>
      <w:tr w:rsidR="002139E4" w:rsidRPr="00CE032F" w14:paraId="6BD07D50" w14:textId="77777777" w:rsidTr="001A259A">
        <w:trPr>
          <w:trHeight w:val="150"/>
        </w:trPr>
        <w:tc>
          <w:tcPr>
            <w:tcW w:w="2410" w:type="dxa"/>
            <w:tcBorders>
              <w:top w:val="nil"/>
              <w:bottom w:val="nil"/>
            </w:tcBorders>
            <w:shd w:val="clear" w:color="auto" w:fill="auto"/>
          </w:tcPr>
          <w:p w14:paraId="4274C0EC" w14:textId="77777777" w:rsidR="002139E4" w:rsidRPr="000C6269" w:rsidRDefault="002139E4" w:rsidP="001A259A">
            <w:pPr>
              <w:spacing w:before="40" w:after="120"/>
              <w:ind w:right="113"/>
              <w:jc w:val="both"/>
              <w:rPr>
                <w:sz w:val="20"/>
                <w:szCs w:val="20"/>
              </w:rPr>
            </w:pPr>
            <w:r w:rsidRPr="000C6269">
              <w:rPr>
                <w:sz w:val="20"/>
                <w:szCs w:val="20"/>
              </w:rPr>
              <w:t>A/HRC/40/L.14</w:t>
            </w:r>
          </w:p>
        </w:tc>
        <w:tc>
          <w:tcPr>
            <w:tcW w:w="1276" w:type="dxa"/>
            <w:gridSpan w:val="2"/>
            <w:tcBorders>
              <w:top w:val="nil"/>
              <w:bottom w:val="nil"/>
            </w:tcBorders>
            <w:shd w:val="clear" w:color="auto" w:fill="auto"/>
          </w:tcPr>
          <w:p w14:paraId="1419EA8A" w14:textId="77777777" w:rsidR="002139E4" w:rsidRDefault="002139E4" w:rsidP="001A259A">
            <w:pPr>
              <w:spacing w:before="40" w:after="120"/>
              <w:ind w:right="280"/>
              <w:jc w:val="right"/>
              <w:rPr>
                <w:sz w:val="20"/>
                <w:szCs w:val="20"/>
              </w:rPr>
            </w:pPr>
            <w:r>
              <w:rPr>
                <w:sz w:val="20"/>
                <w:szCs w:val="20"/>
              </w:rPr>
              <w:t>3</w:t>
            </w:r>
          </w:p>
        </w:tc>
        <w:tc>
          <w:tcPr>
            <w:tcW w:w="4252" w:type="dxa"/>
            <w:tcBorders>
              <w:top w:val="nil"/>
              <w:bottom w:val="nil"/>
            </w:tcBorders>
            <w:shd w:val="clear" w:color="auto" w:fill="auto"/>
          </w:tcPr>
          <w:p w14:paraId="41476A94" w14:textId="77777777" w:rsidR="002139E4" w:rsidRPr="000C6269" w:rsidRDefault="002139E4" w:rsidP="001A259A">
            <w:pPr>
              <w:spacing w:before="40" w:after="120"/>
              <w:ind w:right="113"/>
              <w:jc w:val="both"/>
              <w:rPr>
                <w:sz w:val="20"/>
                <w:szCs w:val="20"/>
              </w:rPr>
            </w:pPr>
            <w:r w:rsidRPr="000C6269">
              <w:rPr>
                <w:sz w:val="20"/>
                <w:szCs w:val="20"/>
              </w:rPr>
              <w:t>Human rights, democracy and the rule of law</w:t>
            </w:r>
          </w:p>
        </w:tc>
      </w:tr>
      <w:tr w:rsidR="002139E4" w:rsidRPr="00CE032F" w14:paraId="3354DEA8" w14:textId="77777777" w:rsidTr="001A259A">
        <w:trPr>
          <w:trHeight w:val="150"/>
        </w:trPr>
        <w:tc>
          <w:tcPr>
            <w:tcW w:w="2410" w:type="dxa"/>
            <w:tcBorders>
              <w:top w:val="nil"/>
              <w:bottom w:val="nil"/>
            </w:tcBorders>
            <w:shd w:val="clear" w:color="auto" w:fill="auto"/>
          </w:tcPr>
          <w:p w14:paraId="38646631" w14:textId="77777777" w:rsidR="002139E4" w:rsidRPr="000C6269" w:rsidRDefault="002139E4" w:rsidP="001A259A">
            <w:pPr>
              <w:spacing w:before="40" w:after="120"/>
              <w:ind w:right="113"/>
              <w:jc w:val="both"/>
              <w:rPr>
                <w:sz w:val="20"/>
                <w:szCs w:val="20"/>
              </w:rPr>
            </w:pPr>
            <w:r w:rsidRPr="00A74312">
              <w:rPr>
                <w:sz w:val="20"/>
                <w:szCs w:val="20"/>
              </w:rPr>
              <w:t>A/HRC/40/L.15</w:t>
            </w:r>
          </w:p>
        </w:tc>
        <w:tc>
          <w:tcPr>
            <w:tcW w:w="1276" w:type="dxa"/>
            <w:gridSpan w:val="2"/>
            <w:tcBorders>
              <w:top w:val="nil"/>
              <w:bottom w:val="nil"/>
            </w:tcBorders>
            <w:shd w:val="clear" w:color="auto" w:fill="auto"/>
          </w:tcPr>
          <w:p w14:paraId="7EB130A7" w14:textId="77777777" w:rsidR="002139E4" w:rsidRDefault="002139E4" w:rsidP="001A259A">
            <w:pPr>
              <w:spacing w:before="40" w:after="120"/>
              <w:ind w:right="280"/>
              <w:jc w:val="right"/>
              <w:rPr>
                <w:sz w:val="20"/>
                <w:szCs w:val="20"/>
              </w:rPr>
            </w:pPr>
            <w:r>
              <w:rPr>
                <w:sz w:val="20"/>
                <w:szCs w:val="20"/>
              </w:rPr>
              <w:t>4</w:t>
            </w:r>
          </w:p>
        </w:tc>
        <w:tc>
          <w:tcPr>
            <w:tcW w:w="4252" w:type="dxa"/>
            <w:tcBorders>
              <w:top w:val="nil"/>
              <w:bottom w:val="nil"/>
            </w:tcBorders>
            <w:shd w:val="clear" w:color="auto" w:fill="auto"/>
          </w:tcPr>
          <w:p w14:paraId="6EA4621D" w14:textId="77777777" w:rsidR="002139E4" w:rsidRPr="000C6269" w:rsidRDefault="002139E4" w:rsidP="001A259A">
            <w:pPr>
              <w:spacing w:before="40" w:after="120"/>
              <w:ind w:right="113"/>
              <w:jc w:val="both"/>
              <w:rPr>
                <w:sz w:val="20"/>
                <w:szCs w:val="20"/>
              </w:rPr>
            </w:pPr>
            <w:r w:rsidRPr="00A74312">
              <w:rPr>
                <w:sz w:val="20"/>
                <w:szCs w:val="20"/>
              </w:rPr>
              <w:t>Situation of human rights in the Islamic Republic of Iran</w:t>
            </w:r>
          </w:p>
        </w:tc>
      </w:tr>
      <w:tr w:rsidR="002139E4" w:rsidRPr="00CE032F" w14:paraId="37635F50" w14:textId="77777777" w:rsidTr="001A259A">
        <w:trPr>
          <w:trHeight w:val="150"/>
        </w:trPr>
        <w:tc>
          <w:tcPr>
            <w:tcW w:w="2410" w:type="dxa"/>
            <w:tcBorders>
              <w:top w:val="nil"/>
              <w:bottom w:val="nil"/>
            </w:tcBorders>
            <w:shd w:val="clear" w:color="auto" w:fill="auto"/>
          </w:tcPr>
          <w:p w14:paraId="59EEB111" w14:textId="77777777" w:rsidR="002139E4" w:rsidRPr="000C6269" w:rsidRDefault="002139E4" w:rsidP="001A259A">
            <w:pPr>
              <w:spacing w:before="40" w:after="120"/>
              <w:ind w:right="113"/>
              <w:jc w:val="both"/>
              <w:rPr>
                <w:sz w:val="20"/>
                <w:szCs w:val="20"/>
              </w:rPr>
            </w:pPr>
            <w:r w:rsidRPr="007829D2">
              <w:rPr>
                <w:sz w:val="20"/>
                <w:szCs w:val="20"/>
              </w:rPr>
              <w:t>A/HRC/40/L.16</w:t>
            </w:r>
            <w:r>
              <w:rPr>
                <w:sz w:val="20"/>
                <w:szCs w:val="20"/>
              </w:rPr>
              <w:t xml:space="preserve"> and Rev.1</w:t>
            </w:r>
          </w:p>
        </w:tc>
        <w:tc>
          <w:tcPr>
            <w:tcW w:w="1276" w:type="dxa"/>
            <w:gridSpan w:val="2"/>
            <w:tcBorders>
              <w:top w:val="nil"/>
              <w:bottom w:val="nil"/>
            </w:tcBorders>
            <w:shd w:val="clear" w:color="auto" w:fill="auto"/>
          </w:tcPr>
          <w:p w14:paraId="350BB171" w14:textId="77777777" w:rsidR="002139E4" w:rsidRDefault="002139E4" w:rsidP="001A259A">
            <w:pPr>
              <w:spacing w:before="40" w:after="120"/>
              <w:ind w:right="280"/>
              <w:jc w:val="right"/>
              <w:rPr>
                <w:sz w:val="20"/>
                <w:szCs w:val="20"/>
              </w:rPr>
            </w:pPr>
            <w:r>
              <w:rPr>
                <w:sz w:val="20"/>
                <w:szCs w:val="20"/>
              </w:rPr>
              <w:t>4</w:t>
            </w:r>
          </w:p>
        </w:tc>
        <w:tc>
          <w:tcPr>
            <w:tcW w:w="4252" w:type="dxa"/>
            <w:tcBorders>
              <w:top w:val="nil"/>
              <w:bottom w:val="nil"/>
            </w:tcBorders>
            <w:shd w:val="clear" w:color="auto" w:fill="auto"/>
          </w:tcPr>
          <w:p w14:paraId="1CA314D8" w14:textId="77777777" w:rsidR="002139E4" w:rsidRPr="000C6269" w:rsidRDefault="002139E4" w:rsidP="001A259A">
            <w:pPr>
              <w:spacing w:before="40" w:after="120"/>
              <w:ind w:right="113"/>
              <w:jc w:val="both"/>
              <w:rPr>
                <w:sz w:val="20"/>
                <w:szCs w:val="20"/>
              </w:rPr>
            </w:pPr>
            <w:r w:rsidRPr="007829D2">
              <w:rPr>
                <w:sz w:val="20"/>
                <w:szCs w:val="20"/>
              </w:rPr>
              <w:t>Situation of human rights in South Sudan</w:t>
            </w:r>
          </w:p>
        </w:tc>
      </w:tr>
      <w:tr w:rsidR="002139E4" w:rsidRPr="00CE032F" w14:paraId="73D0C022" w14:textId="77777777" w:rsidTr="001A259A">
        <w:trPr>
          <w:trHeight w:val="150"/>
        </w:trPr>
        <w:tc>
          <w:tcPr>
            <w:tcW w:w="2410" w:type="dxa"/>
            <w:tcBorders>
              <w:top w:val="nil"/>
              <w:bottom w:val="nil"/>
            </w:tcBorders>
            <w:shd w:val="clear" w:color="auto" w:fill="auto"/>
          </w:tcPr>
          <w:p w14:paraId="7A4C466B" w14:textId="77777777" w:rsidR="002139E4" w:rsidRPr="000C6269" w:rsidRDefault="002139E4" w:rsidP="001A259A">
            <w:pPr>
              <w:spacing w:before="40" w:after="120"/>
              <w:ind w:right="113"/>
              <w:jc w:val="both"/>
              <w:rPr>
                <w:sz w:val="20"/>
                <w:szCs w:val="20"/>
              </w:rPr>
            </w:pPr>
            <w:r w:rsidRPr="002341CE">
              <w:rPr>
                <w:sz w:val="20"/>
                <w:szCs w:val="20"/>
              </w:rPr>
              <w:t>A/HRC/40/L.17</w:t>
            </w:r>
          </w:p>
        </w:tc>
        <w:tc>
          <w:tcPr>
            <w:tcW w:w="1276" w:type="dxa"/>
            <w:gridSpan w:val="2"/>
            <w:tcBorders>
              <w:top w:val="nil"/>
              <w:bottom w:val="nil"/>
            </w:tcBorders>
            <w:shd w:val="clear" w:color="auto" w:fill="auto"/>
          </w:tcPr>
          <w:p w14:paraId="5B366637" w14:textId="77777777" w:rsidR="002139E4" w:rsidRDefault="002139E4" w:rsidP="001A259A">
            <w:pPr>
              <w:spacing w:before="40" w:after="120"/>
              <w:ind w:right="280"/>
              <w:jc w:val="right"/>
              <w:rPr>
                <w:sz w:val="20"/>
                <w:szCs w:val="20"/>
              </w:rPr>
            </w:pPr>
            <w:r>
              <w:rPr>
                <w:sz w:val="20"/>
                <w:szCs w:val="20"/>
              </w:rPr>
              <w:t>3</w:t>
            </w:r>
          </w:p>
        </w:tc>
        <w:tc>
          <w:tcPr>
            <w:tcW w:w="4252" w:type="dxa"/>
            <w:tcBorders>
              <w:top w:val="nil"/>
              <w:bottom w:val="nil"/>
            </w:tcBorders>
            <w:shd w:val="clear" w:color="auto" w:fill="auto"/>
          </w:tcPr>
          <w:p w14:paraId="50FC22D2" w14:textId="77777777" w:rsidR="002139E4" w:rsidRPr="000C6269" w:rsidRDefault="002139E4" w:rsidP="001A259A">
            <w:pPr>
              <w:spacing w:before="40" w:after="120"/>
              <w:ind w:right="113"/>
              <w:jc w:val="both"/>
              <w:rPr>
                <w:sz w:val="20"/>
                <w:szCs w:val="20"/>
              </w:rPr>
            </w:pPr>
            <w:r w:rsidRPr="002341CE">
              <w:rPr>
                <w:sz w:val="20"/>
                <w:szCs w:val="20"/>
              </w:rPr>
              <w:t>Freedom of religion or belief</w:t>
            </w:r>
          </w:p>
        </w:tc>
      </w:tr>
      <w:tr w:rsidR="002139E4" w:rsidRPr="00CE032F" w14:paraId="2799260E" w14:textId="77777777" w:rsidTr="001A259A">
        <w:trPr>
          <w:trHeight w:val="150"/>
        </w:trPr>
        <w:tc>
          <w:tcPr>
            <w:tcW w:w="2410" w:type="dxa"/>
            <w:tcBorders>
              <w:top w:val="nil"/>
              <w:bottom w:val="nil"/>
            </w:tcBorders>
            <w:shd w:val="clear" w:color="auto" w:fill="auto"/>
          </w:tcPr>
          <w:p w14:paraId="2A67BD22" w14:textId="77777777" w:rsidR="002139E4" w:rsidRPr="000C6269" w:rsidRDefault="002139E4" w:rsidP="001A259A">
            <w:pPr>
              <w:spacing w:before="40" w:after="120"/>
              <w:ind w:right="113"/>
              <w:jc w:val="both"/>
              <w:rPr>
                <w:sz w:val="20"/>
                <w:szCs w:val="20"/>
              </w:rPr>
            </w:pPr>
            <w:r w:rsidRPr="002341CE">
              <w:rPr>
                <w:sz w:val="20"/>
                <w:szCs w:val="20"/>
              </w:rPr>
              <w:t>A/HRC/40/L.18</w:t>
            </w:r>
          </w:p>
        </w:tc>
        <w:tc>
          <w:tcPr>
            <w:tcW w:w="1276" w:type="dxa"/>
            <w:gridSpan w:val="2"/>
            <w:tcBorders>
              <w:top w:val="nil"/>
              <w:bottom w:val="nil"/>
            </w:tcBorders>
            <w:shd w:val="clear" w:color="auto" w:fill="auto"/>
          </w:tcPr>
          <w:p w14:paraId="68CF80AA" w14:textId="77777777" w:rsidR="002139E4" w:rsidRDefault="002139E4" w:rsidP="001A259A">
            <w:pPr>
              <w:spacing w:before="40" w:after="120"/>
              <w:ind w:right="280"/>
              <w:jc w:val="right"/>
              <w:rPr>
                <w:sz w:val="20"/>
                <w:szCs w:val="20"/>
              </w:rPr>
            </w:pPr>
            <w:r>
              <w:rPr>
                <w:sz w:val="20"/>
                <w:szCs w:val="20"/>
              </w:rPr>
              <w:t>4</w:t>
            </w:r>
          </w:p>
        </w:tc>
        <w:tc>
          <w:tcPr>
            <w:tcW w:w="4252" w:type="dxa"/>
            <w:tcBorders>
              <w:top w:val="nil"/>
              <w:bottom w:val="nil"/>
            </w:tcBorders>
            <w:shd w:val="clear" w:color="auto" w:fill="auto"/>
          </w:tcPr>
          <w:p w14:paraId="7B87E640" w14:textId="77777777" w:rsidR="002139E4" w:rsidRPr="000C6269" w:rsidRDefault="002139E4" w:rsidP="001A259A">
            <w:pPr>
              <w:spacing w:before="40" w:after="120"/>
              <w:ind w:right="113"/>
              <w:jc w:val="both"/>
              <w:rPr>
                <w:sz w:val="20"/>
                <w:szCs w:val="20"/>
              </w:rPr>
            </w:pPr>
            <w:r w:rsidRPr="002341CE">
              <w:rPr>
                <w:sz w:val="20"/>
                <w:szCs w:val="20"/>
              </w:rPr>
              <w:t>Situation of human rights in the Democratic People</w:t>
            </w:r>
            <w:r>
              <w:rPr>
                <w:sz w:val="20"/>
                <w:szCs w:val="20"/>
              </w:rPr>
              <w:t>’</w:t>
            </w:r>
            <w:r w:rsidRPr="002341CE">
              <w:rPr>
                <w:sz w:val="20"/>
                <w:szCs w:val="20"/>
              </w:rPr>
              <w:t>s Republic of Korea</w:t>
            </w:r>
          </w:p>
        </w:tc>
      </w:tr>
      <w:tr w:rsidR="002139E4" w:rsidRPr="00CE032F" w14:paraId="1340998F" w14:textId="77777777" w:rsidTr="001A259A">
        <w:trPr>
          <w:trHeight w:val="150"/>
        </w:trPr>
        <w:tc>
          <w:tcPr>
            <w:tcW w:w="2410" w:type="dxa"/>
            <w:tcBorders>
              <w:top w:val="nil"/>
              <w:bottom w:val="nil"/>
            </w:tcBorders>
            <w:shd w:val="clear" w:color="auto" w:fill="auto"/>
          </w:tcPr>
          <w:p w14:paraId="3955A3DB" w14:textId="77777777" w:rsidR="002139E4" w:rsidRPr="000C6269" w:rsidRDefault="002139E4" w:rsidP="001A259A">
            <w:pPr>
              <w:spacing w:before="40" w:after="120"/>
              <w:ind w:right="113"/>
              <w:jc w:val="both"/>
              <w:rPr>
                <w:sz w:val="20"/>
                <w:szCs w:val="20"/>
              </w:rPr>
            </w:pPr>
            <w:r w:rsidRPr="002341CE">
              <w:rPr>
                <w:sz w:val="20"/>
                <w:szCs w:val="20"/>
              </w:rPr>
              <w:t>A/HRC/40/L.19</w:t>
            </w:r>
          </w:p>
        </w:tc>
        <w:tc>
          <w:tcPr>
            <w:tcW w:w="1276" w:type="dxa"/>
            <w:gridSpan w:val="2"/>
            <w:tcBorders>
              <w:top w:val="nil"/>
              <w:bottom w:val="nil"/>
            </w:tcBorders>
            <w:shd w:val="clear" w:color="auto" w:fill="auto"/>
          </w:tcPr>
          <w:p w14:paraId="257BC7F3" w14:textId="77777777" w:rsidR="002139E4" w:rsidRDefault="002139E4" w:rsidP="001A259A">
            <w:pPr>
              <w:spacing w:before="40" w:after="120"/>
              <w:ind w:right="280"/>
              <w:jc w:val="right"/>
              <w:rPr>
                <w:sz w:val="20"/>
                <w:szCs w:val="20"/>
              </w:rPr>
            </w:pPr>
            <w:r>
              <w:rPr>
                <w:sz w:val="20"/>
                <w:szCs w:val="20"/>
              </w:rPr>
              <w:t>4</w:t>
            </w:r>
          </w:p>
        </w:tc>
        <w:tc>
          <w:tcPr>
            <w:tcW w:w="4252" w:type="dxa"/>
            <w:tcBorders>
              <w:top w:val="nil"/>
              <w:bottom w:val="nil"/>
            </w:tcBorders>
            <w:shd w:val="clear" w:color="auto" w:fill="auto"/>
          </w:tcPr>
          <w:p w14:paraId="18B28262" w14:textId="77777777" w:rsidR="002139E4" w:rsidRPr="000C6269" w:rsidRDefault="002139E4" w:rsidP="001A259A">
            <w:pPr>
              <w:spacing w:before="40" w:after="120"/>
              <w:ind w:right="113"/>
              <w:jc w:val="both"/>
              <w:rPr>
                <w:sz w:val="20"/>
                <w:szCs w:val="20"/>
              </w:rPr>
            </w:pPr>
            <w:r w:rsidRPr="002341CE">
              <w:rPr>
                <w:sz w:val="20"/>
                <w:szCs w:val="20"/>
              </w:rPr>
              <w:t>Situation of human rights in Myanmar</w:t>
            </w:r>
          </w:p>
        </w:tc>
      </w:tr>
      <w:tr w:rsidR="002139E4" w:rsidRPr="00CE032F" w14:paraId="2C400DC2" w14:textId="77777777" w:rsidTr="001A259A">
        <w:trPr>
          <w:trHeight w:val="150"/>
        </w:trPr>
        <w:tc>
          <w:tcPr>
            <w:tcW w:w="2410" w:type="dxa"/>
            <w:tcBorders>
              <w:top w:val="nil"/>
              <w:bottom w:val="nil"/>
            </w:tcBorders>
            <w:shd w:val="clear" w:color="auto" w:fill="auto"/>
          </w:tcPr>
          <w:p w14:paraId="304FC004" w14:textId="77777777" w:rsidR="002139E4" w:rsidRPr="000C6269" w:rsidRDefault="002139E4" w:rsidP="001A259A">
            <w:pPr>
              <w:spacing w:before="40" w:after="120"/>
              <w:ind w:right="113"/>
              <w:jc w:val="both"/>
              <w:rPr>
                <w:sz w:val="20"/>
                <w:szCs w:val="20"/>
              </w:rPr>
            </w:pPr>
            <w:r w:rsidRPr="002341CE">
              <w:rPr>
                <w:sz w:val="20"/>
                <w:szCs w:val="20"/>
              </w:rPr>
              <w:t>A/HRC/40/L.20</w:t>
            </w:r>
            <w:r>
              <w:rPr>
                <w:sz w:val="20"/>
                <w:szCs w:val="20"/>
              </w:rPr>
              <w:t xml:space="preserve"> and Rev.1</w:t>
            </w:r>
          </w:p>
        </w:tc>
        <w:tc>
          <w:tcPr>
            <w:tcW w:w="1276" w:type="dxa"/>
            <w:gridSpan w:val="2"/>
            <w:tcBorders>
              <w:top w:val="nil"/>
              <w:bottom w:val="nil"/>
            </w:tcBorders>
            <w:shd w:val="clear" w:color="auto" w:fill="auto"/>
          </w:tcPr>
          <w:p w14:paraId="7E8634B6" w14:textId="77777777" w:rsidR="002139E4" w:rsidRDefault="002139E4" w:rsidP="001A259A">
            <w:pPr>
              <w:spacing w:before="40" w:after="120"/>
              <w:ind w:right="280"/>
              <w:jc w:val="right"/>
              <w:rPr>
                <w:sz w:val="20"/>
                <w:szCs w:val="20"/>
              </w:rPr>
            </w:pPr>
            <w:r>
              <w:rPr>
                <w:sz w:val="20"/>
                <w:szCs w:val="20"/>
              </w:rPr>
              <w:t>3</w:t>
            </w:r>
          </w:p>
        </w:tc>
        <w:tc>
          <w:tcPr>
            <w:tcW w:w="4252" w:type="dxa"/>
            <w:tcBorders>
              <w:top w:val="nil"/>
              <w:bottom w:val="nil"/>
            </w:tcBorders>
            <w:shd w:val="clear" w:color="auto" w:fill="auto"/>
          </w:tcPr>
          <w:p w14:paraId="7DA13375" w14:textId="77777777" w:rsidR="002139E4" w:rsidRPr="000C6269" w:rsidRDefault="002139E4" w:rsidP="001A259A">
            <w:pPr>
              <w:spacing w:before="40" w:after="120"/>
              <w:ind w:right="113"/>
              <w:jc w:val="both"/>
              <w:rPr>
                <w:sz w:val="20"/>
                <w:szCs w:val="20"/>
              </w:rPr>
            </w:pPr>
            <w:r w:rsidRPr="002341CE">
              <w:rPr>
                <w:sz w:val="20"/>
                <w:szCs w:val="20"/>
              </w:rPr>
              <w:t>Rights of the child: empowering children with disabilities for the enjoyment of their human rights, including through inclusive education</w:t>
            </w:r>
          </w:p>
        </w:tc>
      </w:tr>
      <w:tr w:rsidR="002139E4" w:rsidRPr="00CE032F" w14:paraId="27096527" w14:textId="77777777" w:rsidTr="001A259A">
        <w:trPr>
          <w:trHeight w:val="150"/>
        </w:trPr>
        <w:tc>
          <w:tcPr>
            <w:tcW w:w="2410" w:type="dxa"/>
            <w:tcBorders>
              <w:top w:val="nil"/>
              <w:bottom w:val="nil"/>
            </w:tcBorders>
            <w:shd w:val="clear" w:color="auto" w:fill="auto"/>
          </w:tcPr>
          <w:p w14:paraId="305CA7DD" w14:textId="77777777" w:rsidR="002139E4" w:rsidRPr="000C6269" w:rsidRDefault="002139E4" w:rsidP="001A259A">
            <w:pPr>
              <w:spacing w:before="40" w:after="120"/>
              <w:ind w:right="113"/>
              <w:jc w:val="both"/>
              <w:rPr>
                <w:sz w:val="20"/>
                <w:szCs w:val="20"/>
              </w:rPr>
            </w:pPr>
            <w:r w:rsidRPr="002341CE">
              <w:rPr>
                <w:sz w:val="20"/>
                <w:szCs w:val="20"/>
              </w:rPr>
              <w:t>A/HRC/40/L.21</w:t>
            </w:r>
          </w:p>
        </w:tc>
        <w:tc>
          <w:tcPr>
            <w:tcW w:w="1276" w:type="dxa"/>
            <w:gridSpan w:val="2"/>
            <w:tcBorders>
              <w:top w:val="nil"/>
              <w:bottom w:val="nil"/>
            </w:tcBorders>
            <w:shd w:val="clear" w:color="auto" w:fill="auto"/>
          </w:tcPr>
          <w:p w14:paraId="6DA0A1B3" w14:textId="77777777" w:rsidR="002139E4" w:rsidRDefault="002139E4" w:rsidP="001A259A">
            <w:pPr>
              <w:spacing w:before="40" w:after="120"/>
              <w:ind w:right="280"/>
              <w:jc w:val="right"/>
              <w:rPr>
                <w:sz w:val="20"/>
                <w:szCs w:val="20"/>
              </w:rPr>
            </w:pPr>
            <w:r>
              <w:rPr>
                <w:sz w:val="20"/>
                <w:szCs w:val="20"/>
              </w:rPr>
              <w:t>3</w:t>
            </w:r>
          </w:p>
        </w:tc>
        <w:tc>
          <w:tcPr>
            <w:tcW w:w="4252" w:type="dxa"/>
            <w:tcBorders>
              <w:top w:val="nil"/>
              <w:bottom w:val="nil"/>
            </w:tcBorders>
            <w:shd w:val="clear" w:color="auto" w:fill="auto"/>
          </w:tcPr>
          <w:p w14:paraId="466836C1" w14:textId="77777777" w:rsidR="002139E4" w:rsidRPr="000C6269" w:rsidRDefault="002139E4" w:rsidP="001A259A">
            <w:pPr>
              <w:spacing w:before="40" w:after="120"/>
              <w:ind w:right="113"/>
              <w:jc w:val="both"/>
              <w:rPr>
                <w:sz w:val="20"/>
                <w:szCs w:val="20"/>
              </w:rPr>
            </w:pPr>
            <w:r w:rsidRPr="002341CE">
              <w:rPr>
                <w:sz w:val="20"/>
                <w:szCs w:val="20"/>
              </w:rPr>
              <w:t>Thirtieth anniversary of the Convention on the Rights of the Child</w:t>
            </w:r>
          </w:p>
        </w:tc>
      </w:tr>
      <w:tr w:rsidR="002139E4" w:rsidRPr="00CE032F" w14:paraId="08C38ACF" w14:textId="77777777" w:rsidTr="001A259A">
        <w:trPr>
          <w:trHeight w:val="150"/>
        </w:trPr>
        <w:tc>
          <w:tcPr>
            <w:tcW w:w="2410" w:type="dxa"/>
            <w:tcBorders>
              <w:top w:val="nil"/>
              <w:bottom w:val="nil"/>
            </w:tcBorders>
            <w:shd w:val="clear" w:color="auto" w:fill="auto"/>
          </w:tcPr>
          <w:p w14:paraId="2E7A573F" w14:textId="77777777" w:rsidR="002139E4" w:rsidRPr="000C6269" w:rsidRDefault="002139E4" w:rsidP="001A259A">
            <w:pPr>
              <w:spacing w:before="40" w:after="120"/>
              <w:ind w:right="113"/>
              <w:jc w:val="both"/>
              <w:rPr>
                <w:sz w:val="20"/>
                <w:szCs w:val="20"/>
              </w:rPr>
            </w:pPr>
            <w:r w:rsidRPr="002341CE">
              <w:rPr>
                <w:sz w:val="20"/>
                <w:szCs w:val="20"/>
              </w:rPr>
              <w:t>A/HRC/40/L.22</w:t>
            </w:r>
            <w:r>
              <w:rPr>
                <w:sz w:val="20"/>
                <w:szCs w:val="20"/>
              </w:rPr>
              <w:t xml:space="preserve"> and Rev.1</w:t>
            </w:r>
          </w:p>
        </w:tc>
        <w:tc>
          <w:tcPr>
            <w:tcW w:w="1276" w:type="dxa"/>
            <w:gridSpan w:val="2"/>
            <w:tcBorders>
              <w:top w:val="nil"/>
              <w:bottom w:val="nil"/>
            </w:tcBorders>
            <w:shd w:val="clear" w:color="auto" w:fill="auto"/>
          </w:tcPr>
          <w:p w14:paraId="2671C9B4" w14:textId="77777777" w:rsidR="002139E4" w:rsidRDefault="002139E4" w:rsidP="001A259A">
            <w:pPr>
              <w:spacing w:before="40" w:after="120"/>
              <w:ind w:right="280"/>
              <w:jc w:val="right"/>
              <w:rPr>
                <w:sz w:val="20"/>
                <w:szCs w:val="20"/>
              </w:rPr>
            </w:pPr>
            <w:r>
              <w:rPr>
                <w:sz w:val="20"/>
                <w:szCs w:val="20"/>
              </w:rPr>
              <w:t>3</w:t>
            </w:r>
          </w:p>
        </w:tc>
        <w:tc>
          <w:tcPr>
            <w:tcW w:w="4252" w:type="dxa"/>
            <w:tcBorders>
              <w:top w:val="nil"/>
              <w:bottom w:val="nil"/>
            </w:tcBorders>
            <w:shd w:val="clear" w:color="auto" w:fill="auto"/>
          </w:tcPr>
          <w:p w14:paraId="7653D29B" w14:textId="77777777" w:rsidR="002139E4" w:rsidRPr="000C6269" w:rsidRDefault="002139E4" w:rsidP="001A259A">
            <w:pPr>
              <w:spacing w:before="40" w:after="120"/>
              <w:ind w:right="113"/>
              <w:jc w:val="both"/>
              <w:rPr>
                <w:sz w:val="20"/>
                <w:szCs w:val="20"/>
              </w:rPr>
            </w:pPr>
            <w:r w:rsidRPr="002341CE">
              <w:rPr>
                <w:sz w:val="20"/>
                <w:szCs w:val="20"/>
              </w:rPr>
              <w:t>Recognizing the contribution of environmental human rights defenders to the enjoyment of human rights, environmental protection and sustainable development</w:t>
            </w:r>
          </w:p>
        </w:tc>
      </w:tr>
      <w:tr w:rsidR="002139E4" w:rsidRPr="00CE032F" w14:paraId="3C372DD9" w14:textId="77777777" w:rsidTr="001A259A">
        <w:trPr>
          <w:trHeight w:val="150"/>
        </w:trPr>
        <w:tc>
          <w:tcPr>
            <w:tcW w:w="2410" w:type="dxa"/>
            <w:tcBorders>
              <w:top w:val="nil"/>
              <w:bottom w:val="nil"/>
            </w:tcBorders>
            <w:shd w:val="clear" w:color="auto" w:fill="auto"/>
          </w:tcPr>
          <w:p w14:paraId="50B0DC79" w14:textId="77777777" w:rsidR="002139E4" w:rsidRPr="000C6269" w:rsidRDefault="002139E4" w:rsidP="001A259A">
            <w:pPr>
              <w:spacing w:before="40" w:after="120"/>
              <w:ind w:right="113"/>
              <w:jc w:val="both"/>
              <w:rPr>
                <w:sz w:val="20"/>
                <w:szCs w:val="20"/>
              </w:rPr>
            </w:pPr>
            <w:r w:rsidRPr="002341CE">
              <w:rPr>
                <w:sz w:val="20"/>
                <w:szCs w:val="20"/>
              </w:rPr>
              <w:t>A/HRC/40/L.23</w:t>
            </w:r>
          </w:p>
        </w:tc>
        <w:tc>
          <w:tcPr>
            <w:tcW w:w="1276" w:type="dxa"/>
            <w:gridSpan w:val="2"/>
            <w:tcBorders>
              <w:top w:val="nil"/>
              <w:bottom w:val="nil"/>
            </w:tcBorders>
            <w:shd w:val="clear" w:color="auto" w:fill="auto"/>
          </w:tcPr>
          <w:p w14:paraId="2C06ED6B" w14:textId="77777777" w:rsidR="002139E4" w:rsidRDefault="002139E4" w:rsidP="001A259A">
            <w:pPr>
              <w:spacing w:before="40" w:after="120"/>
              <w:ind w:right="280"/>
              <w:jc w:val="right"/>
              <w:rPr>
                <w:sz w:val="20"/>
                <w:szCs w:val="20"/>
              </w:rPr>
            </w:pPr>
            <w:r>
              <w:rPr>
                <w:sz w:val="20"/>
                <w:szCs w:val="20"/>
              </w:rPr>
              <w:t>3</w:t>
            </w:r>
          </w:p>
        </w:tc>
        <w:tc>
          <w:tcPr>
            <w:tcW w:w="4252" w:type="dxa"/>
            <w:tcBorders>
              <w:top w:val="nil"/>
              <w:bottom w:val="nil"/>
            </w:tcBorders>
            <w:shd w:val="clear" w:color="auto" w:fill="auto"/>
          </w:tcPr>
          <w:p w14:paraId="20CEE516" w14:textId="77777777" w:rsidR="002139E4" w:rsidRPr="000C6269" w:rsidRDefault="002139E4" w:rsidP="001A259A">
            <w:pPr>
              <w:spacing w:before="40" w:after="120"/>
              <w:ind w:right="113"/>
              <w:jc w:val="both"/>
              <w:rPr>
                <w:sz w:val="20"/>
                <w:szCs w:val="20"/>
              </w:rPr>
            </w:pPr>
            <w:r w:rsidRPr="002341CE">
              <w:rPr>
                <w:sz w:val="20"/>
                <w:szCs w:val="20"/>
              </w:rPr>
              <w:t>Question of the realization in all countries of economic, social and cultural rights</w:t>
            </w:r>
          </w:p>
        </w:tc>
      </w:tr>
      <w:tr w:rsidR="002139E4" w:rsidRPr="00CE032F" w14:paraId="20E5B6C1" w14:textId="77777777" w:rsidTr="001A259A">
        <w:trPr>
          <w:trHeight w:val="150"/>
        </w:trPr>
        <w:tc>
          <w:tcPr>
            <w:tcW w:w="2410" w:type="dxa"/>
            <w:tcBorders>
              <w:top w:val="nil"/>
              <w:bottom w:val="nil"/>
            </w:tcBorders>
            <w:shd w:val="clear" w:color="auto" w:fill="auto"/>
          </w:tcPr>
          <w:p w14:paraId="2BE6A1CB" w14:textId="77777777" w:rsidR="002139E4" w:rsidRPr="000C6269" w:rsidRDefault="002139E4" w:rsidP="001A259A">
            <w:pPr>
              <w:spacing w:before="40" w:after="120"/>
              <w:ind w:right="113"/>
              <w:jc w:val="both"/>
              <w:rPr>
                <w:sz w:val="20"/>
                <w:szCs w:val="20"/>
              </w:rPr>
            </w:pPr>
            <w:r w:rsidRPr="002341CE">
              <w:rPr>
                <w:sz w:val="20"/>
                <w:szCs w:val="20"/>
              </w:rPr>
              <w:t>A/HRC/40/L.24</w:t>
            </w:r>
          </w:p>
        </w:tc>
        <w:tc>
          <w:tcPr>
            <w:tcW w:w="1276" w:type="dxa"/>
            <w:gridSpan w:val="2"/>
            <w:tcBorders>
              <w:top w:val="nil"/>
              <w:bottom w:val="nil"/>
            </w:tcBorders>
            <w:shd w:val="clear" w:color="auto" w:fill="auto"/>
          </w:tcPr>
          <w:p w14:paraId="49D9B8EB" w14:textId="77777777" w:rsidR="002139E4" w:rsidRDefault="002139E4" w:rsidP="001A259A">
            <w:pPr>
              <w:spacing w:before="40" w:after="120"/>
              <w:ind w:right="280"/>
              <w:jc w:val="right"/>
              <w:rPr>
                <w:sz w:val="20"/>
                <w:szCs w:val="20"/>
              </w:rPr>
            </w:pPr>
            <w:r>
              <w:rPr>
                <w:sz w:val="20"/>
                <w:szCs w:val="20"/>
              </w:rPr>
              <w:t>10</w:t>
            </w:r>
          </w:p>
        </w:tc>
        <w:tc>
          <w:tcPr>
            <w:tcW w:w="4252" w:type="dxa"/>
            <w:tcBorders>
              <w:top w:val="nil"/>
              <w:bottom w:val="nil"/>
            </w:tcBorders>
            <w:shd w:val="clear" w:color="auto" w:fill="auto"/>
          </w:tcPr>
          <w:p w14:paraId="4097F6D9" w14:textId="77777777" w:rsidR="002139E4" w:rsidRPr="000C6269" w:rsidRDefault="002139E4" w:rsidP="001A259A">
            <w:pPr>
              <w:spacing w:before="40" w:after="120"/>
              <w:ind w:right="113"/>
              <w:jc w:val="both"/>
              <w:rPr>
                <w:sz w:val="20"/>
                <w:szCs w:val="20"/>
              </w:rPr>
            </w:pPr>
            <w:r w:rsidRPr="002341CE">
              <w:rPr>
                <w:sz w:val="20"/>
                <w:szCs w:val="20"/>
              </w:rPr>
              <w:t>Cooperation with Georgia</w:t>
            </w:r>
          </w:p>
        </w:tc>
      </w:tr>
      <w:tr w:rsidR="002139E4" w:rsidRPr="00CE032F" w14:paraId="6AAA14F7" w14:textId="77777777" w:rsidTr="001A259A">
        <w:trPr>
          <w:trHeight w:val="150"/>
        </w:trPr>
        <w:tc>
          <w:tcPr>
            <w:tcW w:w="2410" w:type="dxa"/>
            <w:tcBorders>
              <w:top w:val="nil"/>
              <w:bottom w:val="nil"/>
            </w:tcBorders>
            <w:shd w:val="clear" w:color="auto" w:fill="auto"/>
          </w:tcPr>
          <w:p w14:paraId="27A0CE60" w14:textId="77777777" w:rsidR="002139E4" w:rsidRPr="002341CE" w:rsidRDefault="002139E4" w:rsidP="001A259A">
            <w:pPr>
              <w:spacing w:before="40" w:after="120"/>
              <w:ind w:right="113"/>
              <w:jc w:val="both"/>
              <w:rPr>
                <w:sz w:val="20"/>
                <w:szCs w:val="20"/>
              </w:rPr>
            </w:pPr>
            <w:r w:rsidRPr="002341CE">
              <w:rPr>
                <w:sz w:val="20"/>
                <w:szCs w:val="20"/>
              </w:rPr>
              <w:lastRenderedPageBreak/>
              <w:t>A/HRC/40/L.25</w:t>
            </w:r>
          </w:p>
        </w:tc>
        <w:tc>
          <w:tcPr>
            <w:tcW w:w="1276" w:type="dxa"/>
            <w:gridSpan w:val="2"/>
            <w:tcBorders>
              <w:top w:val="nil"/>
              <w:bottom w:val="nil"/>
            </w:tcBorders>
            <w:shd w:val="clear" w:color="auto" w:fill="auto"/>
          </w:tcPr>
          <w:p w14:paraId="5F19FE8F" w14:textId="77777777" w:rsidR="002139E4" w:rsidRDefault="002139E4" w:rsidP="001A259A">
            <w:pPr>
              <w:spacing w:before="40" w:after="120"/>
              <w:ind w:right="280"/>
              <w:jc w:val="right"/>
              <w:rPr>
                <w:sz w:val="20"/>
                <w:szCs w:val="20"/>
              </w:rPr>
            </w:pPr>
            <w:r>
              <w:rPr>
                <w:sz w:val="20"/>
                <w:szCs w:val="20"/>
              </w:rPr>
              <w:t>2</w:t>
            </w:r>
          </w:p>
        </w:tc>
        <w:tc>
          <w:tcPr>
            <w:tcW w:w="4252" w:type="dxa"/>
            <w:tcBorders>
              <w:top w:val="nil"/>
              <w:bottom w:val="nil"/>
            </w:tcBorders>
            <w:shd w:val="clear" w:color="auto" w:fill="auto"/>
          </w:tcPr>
          <w:p w14:paraId="03478AF2" w14:textId="77777777" w:rsidR="002139E4" w:rsidRPr="000C6269" w:rsidRDefault="002139E4" w:rsidP="001A259A">
            <w:pPr>
              <w:spacing w:before="40" w:after="120"/>
              <w:ind w:right="113"/>
              <w:jc w:val="both"/>
              <w:rPr>
                <w:sz w:val="20"/>
                <w:szCs w:val="20"/>
              </w:rPr>
            </w:pPr>
            <w:r w:rsidRPr="002341CE">
              <w:rPr>
                <w:sz w:val="20"/>
                <w:szCs w:val="20"/>
              </w:rPr>
              <w:t>Ensuring accountability and justice for all violations of international law in the Occupied Palestinian Territory, including East Jerusalem</w:t>
            </w:r>
          </w:p>
        </w:tc>
      </w:tr>
      <w:tr w:rsidR="002139E4" w:rsidRPr="00CE032F" w14:paraId="1B499F01" w14:textId="77777777" w:rsidTr="001A259A">
        <w:trPr>
          <w:trHeight w:val="150"/>
        </w:trPr>
        <w:tc>
          <w:tcPr>
            <w:tcW w:w="2410" w:type="dxa"/>
            <w:tcBorders>
              <w:top w:val="nil"/>
              <w:bottom w:val="nil"/>
            </w:tcBorders>
            <w:shd w:val="clear" w:color="auto" w:fill="auto"/>
          </w:tcPr>
          <w:p w14:paraId="19F34AA3" w14:textId="77777777" w:rsidR="002139E4" w:rsidRPr="002341CE" w:rsidRDefault="002139E4" w:rsidP="001A259A">
            <w:pPr>
              <w:spacing w:before="40" w:after="120"/>
              <w:ind w:right="113"/>
              <w:jc w:val="both"/>
              <w:rPr>
                <w:sz w:val="20"/>
                <w:szCs w:val="20"/>
              </w:rPr>
            </w:pPr>
            <w:r w:rsidRPr="002341CE">
              <w:rPr>
                <w:sz w:val="20"/>
                <w:szCs w:val="20"/>
              </w:rPr>
              <w:t>A/HRC/40/L.26</w:t>
            </w:r>
          </w:p>
        </w:tc>
        <w:tc>
          <w:tcPr>
            <w:tcW w:w="1276" w:type="dxa"/>
            <w:gridSpan w:val="2"/>
            <w:tcBorders>
              <w:top w:val="nil"/>
              <w:bottom w:val="nil"/>
            </w:tcBorders>
            <w:shd w:val="clear" w:color="auto" w:fill="auto"/>
          </w:tcPr>
          <w:p w14:paraId="2582FFD8" w14:textId="77777777" w:rsidR="002139E4" w:rsidRDefault="002139E4" w:rsidP="001A259A">
            <w:pPr>
              <w:spacing w:before="40" w:after="120"/>
              <w:ind w:right="280"/>
              <w:jc w:val="right"/>
              <w:rPr>
                <w:sz w:val="20"/>
                <w:szCs w:val="20"/>
              </w:rPr>
            </w:pPr>
            <w:r>
              <w:rPr>
                <w:sz w:val="20"/>
                <w:szCs w:val="20"/>
              </w:rPr>
              <w:t>7</w:t>
            </w:r>
          </w:p>
        </w:tc>
        <w:tc>
          <w:tcPr>
            <w:tcW w:w="4252" w:type="dxa"/>
            <w:tcBorders>
              <w:top w:val="nil"/>
              <w:bottom w:val="nil"/>
            </w:tcBorders>
            <w:shd w:val="clear" w:color="auto" w:fill="auto"/>
          </w:tcPr>
          <w:p w14:paraId="2D9DD6E3" w14:textId="77777777" w:rsidR="002139E4" w:rsidRPr="000C6269" w:rsidRDefault="002139E4" w:rsidP="001A259A">
            <w:pPr>
              <w:spacing w:before="40" w:after="120"/>
              <w:ind w:right="113"/>
              <w:jc w:val="both"/>
              <w:rPr>
                <w:sz w:val="20"/>
                <w:szCs w:val="20"/>
              </w:rPr>
            </w:pPr>
            <w:r w:rsidRPr="00DA7CFA">
              <w:rPr>
                <w:sz w:val="20"/>
                <w:szCs w:val="20"/>
              </w:rPr>
              <w:t>Right of the Palestinian people to self-determination</w:t>
            </w:r>
          </w:p>
        </w:tc>
      </w:tr>
      <w:tr w:rsidR="002139E4" w:rsidRPr="00CE032F" w14:paraId="74B17587" w14:textId="77777777" w:rsidTr="001A259A">
        <w:trPr>
          <w:trHeight w:val="150"/>
        </w:trPr>
        <w:tc>
          <w:tcPr>
            <w:tcW w:w="2410" w:type="dxa"/>
            <w:tcBorders>
              <w:top w:val="nil"/>
              <w:bottom w:val="nil"/>
            </w:tcBorders>
            <w:shd w:val="clear" w:color="auto" w:fill="auto"/>
          </w:tcPr>
          <w:p w14:paraId="7265A959" w14:textId="77777777" w:rsidR="002139E4" w:rsidRPr="002341CE" w:rsidRDefault="002139E4" w:rsidP="001A259A">
            <w:pPr>
              <w:spacing w:before="40" w:after="120"/>
              <w:ind w:right="113"/>
              <w:jc w:val="both"/>
              <w:rPr>
                <w:sz w:val="20"/>
                <w:szCs w:val="20"/>
              </w:rPr>
            </w:pPr>
            <w:r w:rsidRPr="00DA7CFA">
              <w:rPr>
                <w:sz w:val="20"/>
                <w:szCs w:val="20"/>
              </w:rPr>
              <w:t>A/HRC/40/L.27</w:t>
            </w:r>
          </w:p>
        </w:tc>
        <w:tc>
          <w:tcPr>
            <w:tcW w:w="1276" w:type="dxa"/>
            <w:gridSpan w:val="2"/>
            <w:tcBorders>
              <w:top w:val="nil"/>
              <w:bottom w:val="nil"/>
            </w:tcBorders>
            <w:shd w:val="clear" w:color="auto" w:fill="auto"/>
          </w:tcPr>
          <w:p w14:paraId="411EC02E" w14:textId="77777777" w:rsidR="002139E4" w:rsidRDefault="002139E4" w:rsidP="001A259A">
            <w:pPr>
              <w:spacing w:before="40" w:after="120"/>
              <w:ind w:right="280"/>
              <w:jc w:val="right"/>
              <w:rPr>
                <w:sz w:val="20"/>
                <w:szCs w:val="20"/>
              </w:rPr>
            </w:pPr>
            <w:r>
              <w:rPr>
                <w:sz w:val="20"/>
                <w:szCs w:val="20"/>
              </w:rPr>
              <w:t>7</w:t>
            </w:r>
          </w:p>
        </w:tc>
        <w:tc>
          <w:tcPr>
            <w:tcW w:w="4252" w:type="dxa"/>
            <w:tcBorders>
              <w:top w:val="nil"/>
              <w:bottom w:val="nil"/>
            </w:tcBorders>
            <w:shd w:val="clear" w:color="auto" w:fill="auto"/>
          </w:tcPr>
          <w:p w14:paraId="53BF807F" w14:textId="77777777" w:rsidR="002139E4" w:rsidRPr="000C6269" w:rsidRDefault="002139E4" w:rsidP="001A259A">
            <w:pPr>
              <w:spacing w:before="40" w:after="120"/>
              <w:ind w:right="113"/>
              <w:jc w:val="both"/>
              <w:rPr>
                <w:sz w:val="20"/>
                <w:szCs w:val="20"/>
              </w:rPr>
            </w:pPr>
            <w:r w:rsidRPr="00DA7CFA">
              <w:rPr>
                <w:sz w:val="20"/>
                <w:szCs w:val="20"/>
              </w:rPr>
              <w:t>Human rights situation in the Occupied Palestinian Territory, including East Jerusalem</w:t>
            </w:r>
          </w:p>
        </w:tc>
      </w:tr>
      <w:tr w:rsidR="002139E4" w:rsidRPr="00CE032F" w14:paraId="2012DF00" w14:textId="77777777" w:rsidTr="001A259A">
        <w:trPr>
          <w:trHeight w:val="150"/>
        </w:trPr>
        <w:tc>
          <w:tcPr>
            <w:tcW w:w="2410" w:type="dxa"/>
            <w:tcBorders>
              <w:top w:val="nil"/>
              <w:bottom w:val="nil"/>
            </w:tcBorders>
            <w:shd w:val="clear" w:color="auto" w:fill="auto"/>
          </w:tcPr>
          <w:p w14:paraId="56F6C3BD" w14:textId="77777777" w:rsidR="002139E4" w:rsidRPr="002341CE" w:rsidRDefault="002139E4" w:rsidP="001A259A">
            <w:pPr>
              <w:spacing w:before="40" w:after="120"/>
              <w:ind w:right="113"/>
              <w:jc w:val="both"/>
              <w:rPr>
                <w:sz w:val="20"/>
                <w:szCs w:val="20"/>
              </w:rPr>
            </w:pPr>
            <w:r w:rsidRPr="00DA7CFA">
              <w:rPr>
                <w:sz w:val="20"/>
                <w:szCs w:val="20"/>
              </w:rPr>
              <w:t>A/HRC/40/L.28</w:t>
            </w:r>
          </w:p>
        </w:tc>
        <w:tc>
          <w:tcPr>
            <w:tcW w:w="1276" w:type="dxa"/>
            <w:gridSpan w:val="2"/>
            <w:tcBorders>
              <w:top w:val="nil"/>
              <w:bottom w:val="nil"/>
            </w:tcBorders>
            <w:shd w:val="clear" w:color="auto" w:fill="auto"/>
          </w:tcPr>
          <w:p w14:paraId="53C001B3" w14:textId="77777777" w:rsidR="002139E4" w:rsidRDefault="002139E4" w:rsidP="001A259A">
            <w:pPr>
              <w:spacing w:before="40" w:after="120"/>
              <w:ind w:right="280"/>
              <w:jc w:val="right"/>
              <w:rPr>
                <w:sz w:val="20"/>
                <w:szCs w:val="20"/>
              </w:rPr>
            </w:pPr>
            <w:r>
              <w:rPr>
                <w:sz w:val="20"/>
                <w:szCs w:val="20"/>
              </w:rPr>
              <w:t>7</w:t>
            </w:r>
          </w:p>
        </w:tc>
        <w:tc>
          <w:tcPr>
            <w:tcW w:w="4252" w:type="dxa"/>
            <w:tcBorders>
              <w:top w:val="nil"/>
              <w:bottom w:val="nil"/>
            </w:tcBorders>
            <w:shd w:val="clear" w:color="auto" w:fill="auto"/>
          </w:tcPr>
          <w:p w14:paraId="080E1A48" w14:textId="77777777" w:rsidR="002139E4" w:rsidRPr="000C6269" w:rsidRDefault="002139E4" w:rsidP="001A259A">
            <w:pPr>
              <w:spacing w:before="40" w:after="120"/>
              <w:ind w:right="113"/>
              <w:jc w:val="both"/>
              <w:rPr>
                <w:sz w:val="20"/>
                <w:szCs w:val="20"/>
              </w:rPr>
            </w:pPr>
            <w:r w:rsidRPr="00DA7CFA">
              <w:rPr>
                <w:sz w:val="20"/>
                <w:szCs w:val="20"/>
              </w:rPr>
              <w:t>Israeli settlements in the Occupied Palestinian Territory, including East Jerusalem, and in the occupied Syrian Golan</w:t>
            </w:r>
          </w:p>
        </w:tc>
      </w:tr>
      <w:tr w:rsidR="002139E4" w:rsidRPr="00CE032F" w14:paraId="23F95C0A" w14:textId="77777777" w:rsidTr="001A259A">
        <w:trPr>
          <w:trHeight w:val="150"/>
        </w:trPr>
        <w:tc>
          <w:tcPr>
            <w:tcW w:w="2410" w:type="dxa"/>
            <w:tcBorders>
              <w:top w:val="nil"/>
              <w:bottom w:val="nil"/>
            </w:tcBorders>
            <w:shd w:val="clear" w:color="auto" w:fill="auto"/>
          </w:tcPr>
          <w:p w14:paraId="0F01C83D" w14:textId="77777777" w:rsidR="002139E4" w:rsidRPr="00DA7CFA" w:rsidRDefault="002139E4" w:rsidP="001A259A">
            <w:pPr>
              <w:spacing w:before="40" w:after="120"/>
              <w:ind w:right="113"/>
              <w:jc w:val="both"/>
              <w:rPr>
                <w:sz w:val="20"/>
                <w:szCs w:val="20"/>
              </w:rPr>
            </w:pPr>
            <w:r w:rsidRPr="00DA7CFA">
              <w:rPr>
                <w:sz w:val="20"/>
                <w:szCs w:val="20"/>
              </w:rPr>
              <w:t>A/HRC/40/L.29</w:t>
            </w:r>
          </w:p>
        </w:tc>
        <w:tc>
          <w:tcPr>
            <w:tcW w:w="1276" w:type="dxa"/>
            <w:gridSpan w:val="2"/>
            <w:tcBorders>
              <w:top w:val="nil"/>
              <w:bottom w:val="nil"/>
            </w:tcBorders>
            <w:shd w:val="clear" w:color="auto" w:fill="auto"/>
          </w:tcPr>
          <w:p w14:paraId="526B7957" w14:textId="77777777" w:rsidR="002139E4" w:rsidRDefault="002139E4" w:rsidP="001A259A">
            <w:pPr>
              <w:spacing w:before="40" w:after="120"/>
              <w:ind w:right="280"/>
              <w:jc w:val="right"/>
              <w:rPr>
                <w:sz w:val="20"/>
                <w:szCs w:val="20"/>
              </w:rPr>
            </w:pPr>
            <w:r>
              <w:rPr>
                <w:sz w:val="20"/>
                <w:szCs w:val="20"/>
              </w:rPr>
              <w:t>3</w:t>
            </w:r>
          </w:p>
        </w:tc>
        <w:tc>
          <w:tcPr>
            <w:tcW w:w="4252" w:type="dxa"/>
            <w:tcBorders>
              <w:top w:val="nil"/>
              <w:bottom w:val="nil"/>
            </w:tcBorders>
            <w:shd w:val="clear" w:color="auto" w:fill="auto"/>
          </w:tcPr>
          <w:p w14:paraId="001AECC1" w14:textId="77777777" w:rsidR="002139E4" w:rsidRPr="00DA7CFA" w:rsidRDefault="002139E4" w:rsidP="001A259A">
            <w:pPr>
              <w:spacing w:before="40" w:after="120"/>
              <w:ind w:right="113"/>
              <w:jc w:val="both"/>
              <w:rPr>
                <w:sz w:val="20"/>
                <w:szCs w:val="20"/>
              </w:rPr>
            </w:pPr>
            <w:r w:rsidRPr="00DA7CFA">
              <w:rPr>
                <w:sz w:val="20"/>
                <w:szCs w:val="20"/>
              </w:rPr>
              <w:t>Mandate of the Special Rapporteur on the promotion and protection of human rights and fundamental freedoms while countering terrorism</w:t>
            </w:r>
          </w:p>
        </w:tc>
      </w:tr>
      <w:tr w:rsidR="002139E4" w:rsidRPr="00771F13" w14:paraId="15B64D33" w14:textId="77777777" w:rsidTr="001A259A">
        <w:tblPrEx>
          <w:tblBorders>
            <w:bottom w:val="none" w:sz="0" w:space="0" w:color="auto"/>
          </w:tblBorders>
          <w:tblCellMar>
            <w:right w:w="113" w:type="dxa"/>
          </w:tblCellMar>
        </w:tblPrEx>
        <w:trPr>
          <w:trHeight w:val="240"/>
        </w:trPr>
        <w:tc>
          <w:tcPr>
            <w:tcW w:w="2410" w:type="dxa"/>
            <w:tcBorders>
              <w:bottom w:val="single" w:sz="12" w:space="0" w:color="auto"/>
            </w:tcBorders>
            <w:shd w:val="clear" w:color="auto" w:fill="auto"/>
          </w:tcPr>
          <w:p w14:paraId="304CC0C1" w14:textId="77777777" w:rsidR="002139E4" w:rsidRPr="00CE032F" w:rsidRDefault="002139E4" w:rsidP="001A259A">
            <w:pPr>
              <w:spacing w:before="40" w:after="120" w:line="220" w:lineRule="exact"/>
              <w:rPr>
                <w:sz w:val="20"/>
                <w:szCs w:val="20"/>
              </w:rPr>
            </w:pPr>
            <w:r w:rsidRPr="00DA7CFA">
              <w:rPr>
                <w:sz w:val="20"/>
                <w:szCs w:val="20"/>
              </w:rPr>
              <w:t>A/HRC/40/L.30</w:t>
            </w:r>
          </w:p>
        </w:tc>
        <w:tc>
          <w:tcPr>
            <w:tcW w:w="1269" w:type="dxa"/>
            <w:tcBorders>
              <w:bottom w:val="single" w:sz="12" w:space="0" w:color="auto"/>
            </w:tcBorders>
            <w:shd w:val="clear" w:color="auto" w:fill="auto"/>
          </w:tcPr>
          <w:p w14:paraId="0B8B7B2B" w14:textId="77777777" w:rsidR="002139E4" w:rsidRPr="00CE032F" w:rsidRDefault="002139E4" w:rsidP="001A259A">
            <w:pPr>
              <w:spacing w:before="40" w:after="120"/>
              <w:ind w:right="168"/>
              <w:jc w:val="right"/>
              <w:rPr>
                <w:sz w:val="20"/>
                <w:szCs w:val="20"/>
              </w:rPr>
            </w:pPr>
            <w:r>
              <w:rPr>
                <w:sz w:val="20"/>
                <w:szCs w:val="20"/>
              </w:rPr>
              <w:t>3</w:t>
            </w:r>
          </w:p>
        </w:tc>
        <w:tc>
          <w:tcPr>
            <w:tcW w:w="4259" w:type="dxa"/>
            <w:gridSpan w:val="2"/>
            <w:tcBorders>
              <w:bottom w:val="single" w:sz="12" w:space="0" w:color="auto"/>
            </w:tcBorders>
            <w:shd w:val="clear" w:color="auto" w:fill="auto"/>
          </w:tcPr>
          <w:p w14:paraId="0100C5F1" w14:textId="77777777" w:rsidR="002139E4" w:rsidRPr="00CE032F" w:rsidRDefault="002139E4" w:rsidP="001A259A">
            <w:pPr>
              <w:spacing w:before="40" w:after="120" w:line="220" w:lineRule="exact"/>
              <w:ind w:right="280"/>
              <w:rPr>
                <w:sz w:val="20"/>
                <w:szCs w:val="20"/>
              </w:rPr>
            </w:pPr>
            <w:r w:rsidRPr="000D53D2">
              <w:rPr>
                <w:sz w:val="20"/>
                <w:szCs w:val="20"/>
              </w:rPr>
              <w:t>WITHDRAWN -</w:t>
            </w:r>
            <w:r>
              <w:t xml:space="preserve"> </w:t>
            </w:r>
            <w:r w:rsidRPr="00DA7CFA">
              <w:rPr>
                <w:sz w:val="20"/>
                <w:szCs w:val="20"/>
              </w:rPr>
              <w:t xml:space="preserve">Amendment to draft resolution </w:t>
            </w:r>
            <w:r>
              <w:rPr>
                <w:sz w:val="20"/>
                <w:szCs w:val="20"/>
              </w:rPr>
              <w:t>A/HRC/40</w:t>
            </w:r>
            <w:r w:rsidRPr="00D6046C">
              <w:rPr>
                <w:sz w:val="20"/>
                <w:szCs w:val="20"/>
              </w:rPr>
              <w:t>/</w:t>
            </w:r>
            <w:r w:rsidRPr="00DA7CFA">
              <w:rPr>
                <w:sz w:val="20"/>
                <w:szCs w:val="20"/>
              </w:rPr>
              <w:t>L.22/Rev.1</w:t>
            </w:r>
          </w:p>
        </w:tc>
      </w:tr>
    </w:tbl>
    <w:p w14:paraId="0DBC5C2C" w14:textId="77777777" w:rsidR="002139E4" w:rsidRDefault="002139E4" w:rsidP="002139E4"/>
    <w:tbl>
      <w:tblPr>
        <w:tblW w:w="7938"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Caption w:val="Document issued in the Government series"/>
        <w:tblDescription w:val="Document issued in the Government series"/>
      </w:tblPr>
      <w:tblGrid>
        <w:gridCol w:w="2410"/>
        <w:gridCol w:w="1269"/>
        <w:gridCol w:w="7"/>
        <w:gridCol w:w="4252"/>
      </w:tblGrid>
      <w:tr w:rsidR="002139E4" w:rsidRPr="00CE032F" w14:paraId="4BF1C184" w14:textId="77777777" w:rsidTr="001A259A">
        <w:trPr>
          <w:trHeight w:val="255"/>
          <w:tblHeader/>
        </w:trPr>
        <w:tc>
          <w:tcPr>
            <w:tcW w:w="7938" w:type="dxa"/>
            <w:gridSpan w:val="4"/>
            <w:tcBorders>
              <w:top w:val="nil"/>
              <w:bottom w:val="single" w:sz="4" w:space="0" w:color="auto"/>
            </w:tcBorders>
            <w:shd w:val="clear" w:color="auto" w:fill="auto"/>
            <w:vAlign w:val="bottom"/>
          </w:tcPr>
          <w:p w14:paraId="0E28BD45" w14:textId="77777777" w:rsidR="002139E4" w:rsidRPr="00CE032F" w:rsidRDefault="002139E4" w:rsidP="001A259A">
            <w:pPr>
              <w:spacing w:before="80" w:after="80" w:line="200" w:lineRule="exact"/>
              <w:ind w:right="113"/>
              <w:rPr>
                <w:i/>
                <w:sz w:val="16"/>
                <w:szCs w:val="16"/>
              </w:rPr>
            </w:pPr>
            <w:r>
              <w:br w:type="page"/>
            </w:r>
            <w:r w:rsidRPr="00CE032F">
              <w:rPr>
                <w:i/>
                <w:sz w:val="16"/>
                <w:szCs w:val="16"/>
              </w:rPr>
              <w:t>Documents issued in the Government series</w:t>
            </w:r>
          </w:p>
        </w:tc>
      </w:tr>
      <w:tr w:rsidR="002139E4" w:rsidRPr="00CE032F" w14:paraId="2A14EB71" w14:textId="77777777" w:rsidTr="001A259A">
        <w:trPr>
          <w:trHeight w:val="255"/>
          <w:tblHeader/>
        </w:trPr>
        <w:tc>
          <w:tcPr>
            <w:tcW w:w="2410" w:type="dxa"/>
            <w:tcBorders>
              <w:top w:val="single" w:sz="4" w:space="0" w:color="auto"/>
              <w:bottom w:val="single" w:sz="12" w:space="0" w:color="auto"/>
            </w:tcBorders>
            <w:shd w:val="clear" w:color="auto" w:fill="auto"/>
            <w:vAlign w:val="bottom"/>
          </w:tcPr>
          <w:p w14:paraId="1499C50D" w14:textId="77777777" w:rsidR="002139E4" w:rsidRPr="00CE032F" w:rsidRDefault="002139E4" w:rsidP="001A259A">
            <w:pPr>
              <w:spacing w:before="80" w:after="80" w:line="200" w:lineRule="exact"/>
              <w:ind w:right="113"/>
              <w:rPr>
                <w:i/>
                <w:sz w:val="16"/>
                <w:szCs w:val="16"/>
              </w:rPr>
            </w:pPr>
            <w:r w:rsidRPr="00CE032F">
              <w:rPr>
                <w:i/>
                <w:sz w:val="16"/>
                <w:szCs w:val="16"/>
              </w:rPr>
              <w:t xml:space="preserve">Symbol </w:t>
            </w:r>
          </w:p>
        </w:tc>
        <w:tc>
          <w:tcPr>
            <w:tcW w:w="1276" w:type="dxa"/>
            <w:gridSpan w:val="2"/>
            <w:tcBorders>
              <w:top w:val="single" w:sz="4" w:space="0" w:color="auto"/>
              <w:bottom w:val="single" w:sz="12" w:space="0" w:color="auto"/>
            </w:tcBorders>
            <w:shd w:val="clear" w:color="auto" w:fill="auto"/>
            <w:vAlign w:val="bottom"/>
          </w:tcPr>
          <w:p w14:paraId="6A2948A8" w14:textId="77777777" w:rsidR="002139E4" w:rsidRPr="00CE032F" w:rsidRDefault="002139E4" w:rsidP="001A259A">
            <w:pPr>
              <w:spacing w:before="80" w:after="80" w:line="200" w:lineRule="exact"/>
              <w:ind w:right="284"/>
              <w:rPr>
                <w:i/>
                <w:sz w:val="16"/>
                <w:szCs w:val="16"/>
              </w:rPr>
            </w:pPr>
            <w:r w:rsidRPr="00CE032F">
              <w:rPr>
                <w:i/>
                <w:sz w:val="16"/>
                <w:szCs w:val="16"/>
              </w:rPr>
              <w:t>Agenda item</w:t>
            </w:r>
          </w:p>
        </w:tc>
        <w:tc>
          <w:tcPr>
            <w:tcW w:w="4252" w:type="dxa"/>
            <w:tcBorders>
              <w:top w:val="single" w:sz="4" w:space="0" w:color="auto"/>
              <w:bottom w:val="single" w:sz="12" w:space="0" w:color="auto"/>
            </w:tcBorders>
            <w:shd w:val="clear" w:color="auto" w:fill="auto"/>
            <w:vAlign w:val="bottom"/>
          </w:tcPr>
          <w:p w14:paraId="4CD53311" w14:textId="77777777" w:rsidR="002139E4" w:rsidRPr="00CE032F" w:rsidRDefault="002139E4" w:rsidP="001A259A">
            <w:pPr>
              <w:spacing w:before="80" w:after="80" w:line="200" w:lineRule="exact"/>
              <w:ind w:right="113"/>
              <w:rPr>
                <w:i/>
                <w:sz w:val="16"/>
                <w:szCs w:val="16"/>
              </w:rPr>
            </w:pPr>
          </w:p>
        </w:tc>
      </w:tr>
      <w:tr w:rsidR="002139E4" w:rsidRPr="00CE032F" w14:paraId="5E14C037" w14:textId="77777777" w:rsidTr="001A259A">
        <w:trPr>
          <w:trHeight w:hRule="exact" w:val="113"/>
          <w:tblHeader/>
        </w:trPr>
        <w:tc>
          <w:tcPr>
            <w:tcW w:w="2410" w:type="dxa"/>
            <w:tcBorders>
              <w:top w:val="single" w:sz="4" w:space="0" w:color="auto"/>
              <w:bottom w:val="nil"/>
            </w:tcBorders>
            <w:shd w:val="clear" w:color="auto" w:fill="auto"/>
            <w:vAlign w:val="bottom"/>
          </w:tcPr>
          <w:p w14:paraId="7F9926D6" w14:textId="77777777" w:rsidR="002139E4" w:rsidRPr="00CE032F" w:rsidRDefault="002139E4" w:rsidP="001A259A">
            <w:pPr>
              <w:spacing w:before="80" w:after="80" w:line="200" w:lineRule="exact"/>
              <w:ind w:right="113"/>
              <w:rPr>
                <w:i/>
                <w:sz w:val="20"/>
                <w:szCs w:val="20"/>
              </w:rPr>
            </w:pPr>
          </w:p>
        </w:tc>
        <w:tc>
          <w:tcPr>
            <w:tcW w:w="1276" w:type="dxa"/>
            <w:gridSpan w:val="2"/>
            <w:tcBorders>
              <w:top w:val="single" w:sz="4" w:space="0" w:color="auto"/>
              <w:bottom w:val="nil"/>
            </w:tcBorders>
            <w:shd w:val="clear" w:color="auto" w:fill="auto"/>
            <w:vAlign w:val="bottom"/>
          </w:tcPr>
          <w:p w14:paraId="3173E950" w14:textId="77777777" w:rsidR="002139E4" w:rsidRPr="00CE032F" w:rsidRDefault="002139E4" w:rsidP="001A259A">
            <w:pPr>
              <w:spacing w:before="80" w:after="80" w:line="200" w:lineRule="exact"/>
              <w:ind w:right="284"/>
              <w:jc w:val="right"/>
              <w:rPr>
                <w:i/>
                <w:sz w:val="20"/>
                <w:szCs w:val="20"/>
              </w:rPr>
            </w:pPr>
          </w:p>
        </w:tc>
        <w:tc>
          <w:tcPr>
            <w:tcW w:w="4252" w:type="dxa"/>
            <w:tcBorders>
              <w:top w:val="single" w:sz="4" w:space="0" w:color="auto"/>
              <w:bottom w:val="nil"/>
            </w:tcBorders>
            <w:shd w:val="clear" w:color="auto" w:fill="auto"/>
            <w:vAlign w:val="bottom"/>
          </w:tcPr>
          <w:p w14:paraId="46CA686C" w14:textId="77777777" w:rsidR="002139E4" w:rsidRPr="00CE032F" w:rsidRDefault="002139E4" w:rsidP="001A259A">
            <w:pPr>
              <w:spacing w:before="80" w:after="80" w:line="200" w:lineRule="exact"/>
              <w:ind w:right="113"/>
              <w:rPr>
                <w:i/>
                <w:sz w:val="20"/>
                <w:szCs w:val="20"/>
              </w:rPr>
            </w:pPr>
          </w:p>
        </w:tc>
      </w:tr>
      <w:tr w:rsidR="002139E4" w:rsidRPr="00CE032F" w14:paraId="6FF45A2F" w14:textId="77777777" w:rsidTr="001A259A">
        <w:tc>
          <w:tcPr>
            <w:tcW w:w="2410" w:type="dxa"/>
            <w:tcBorders>
              <w:top w:val="nil"/>
              <w:bottom w:val="nil"/>
            </w:tcBorders>
            <w:shd w:val="clear" w:color="auto" w:fill="auto"/>
          </w:tcPr>
          <w:p w14:paraId="5D1ED4AC" w14:textId="77777777" w:rsidR="002139E4" w:rsidRDefault="002139E4" w:rsidP="001A259A">
            <w:pPr>
              <w:spacing w:before="40" w:after="120"/>
              <w:ind w:right="113"/>
              <w:rPr>
                <w:sz w:val="20"/>
                <w:szCs w:val="20"/>
              </w:rPr>
            </w:pPr>
            <w:r w:rsidRPr="0067294D">
              <w:rPr>
                <w:sz w:val="20"/>
                <w:szCs w:val="20"/>
              </w:rPr>
              <w:t>A/HRC/40/G/1</w:t>
            </w:r>
          </w:p>
        </w:tc>
        <w:tc>
          <w:tcPr>
            <w:tcW w:w="1276" w:type="dxa"/>
            <w:gridSpan w:val="2"/>
            <w:tcBorders>
              <w:top w:val="nil"/>
              <w:bottom w:val="nil"/>
            </w:tcBorders>
            <w:shd w:val="clear" w:color="auto" w:fill="auto"/>
          </w:tcPr>
          <w:p w14:paraId="02D1AA66" w14:textId="77777777" w:rsidR="002139E4" w:rsidRPr="00CE032F" w:rsidRDefault="002139E4" w:rsidP="001A259A">
            <w:pPr>
              <w:spacing w:before="40" w:after="120"/>
              <w:ind w:right="280"/>
              <w:jc w:val="right"/>
              <w:rPr>
                <w:sz w:val="20"/>
                <w:szCs w:val="20"/>
              </w:rPr>
            </w:pPr>
            <w:r>
              <w:rPr>
                <w:sz w:val="20"/>
                <w:szCs w:val="20"/>
              </w:rPr>
              <w:t>4</w:t>
            </w:r>
          </w:p>
        </w:tc>
        <w:tc>
          <w:tcPr>
            <w:tcW w:w="4252" w:type="dxa"/>
            <w:tcBorders>
              <w:top w:val="nil"/>
              <w:bottom w:val="nil"/>
            </w:tcBorders>
            <w:shd w:val="clear" w:color="auto" w:fill="auto"/>
          </w:tcPr>
          <w:p w14:paraId="4082AB59" w14:textId="77777777" w:rsidR="002139E4" w:rsidRPr="00CE032F" w:rsidRDefault="002139E4" w:rsidP="001A259A">
            <w:pPr>
              <w:spacing w:before="40" w:after="120"/>
              <w:ind w:right="113"/>
              <w:jc w:val="both"/>
              <w:rPr>
                <w:sz w:val="20"/>
                <w:szCs w:val="20"/>
              </w:rPr>
            </w:pPr>
            <w:r w:rsidRPr="0067294D">
              <w:rPr>
                <w:sz w:val="20"/>
                <w:szCs w:val="20"/>
              </w:rPr>
              <w:t>Note verbale dated 8 January 2019 from the Permanent Mission of Armenia to the United Nations Office at Geneva addressed to the Office of the United Nations High Commissioner for Human Rights</w:t>
            </w:r>
          </w:p>
        </w:tc>
      </w:tr>
      <w:tr w:rsidR="002139E4" w:rsidRPr="00CE032F" w14:paraId="31037F1D" w14:textId="77777777" w:rsidTr="001A259A">
        <w:tc>
          <w:tcPr>
            <w:tcW w:w="2410" w:type="dxa"/>
            <w:tcBorders>
              <w:top w:val="nil"/>
              <w:bottom w:val="nil"/>
            </w:tcBorders>
            <w:shd w:val="clear" w:color="auto" w:fill="auto"/>
          </w:tcPr>
          <w:p w14:paraId="0C34C0A7" w14:textId="77777777" w:rsidR="002139E4" w:rsidRPr="00CE032F" w:rsidRDefault="002139E4" w:rsidP="001A259A">
            <w:pPr>
              <w:spacing w:before="40" w:after="120"/>
              <w:ind w:right="113"/>
              <w:rPr>
                <w:sz w:val="20"/>
                <w:szCs w:val="20"/>
              </w:rPr>
            </w:pPr>
            <w:r w:rsidRPr="0067294D">
              <w:rPr>
                <w:sz w:val="20"/>
                <w:szCs w:val="20"/>
              </w:rPr>
              <w:t>A/HRC/40/G/2</w:t>
            </w:r>
          </w:p>
        </w:tc>
        <w:tc>
          <w:tcPr>
            <w:tcW w:w="1276" w:type="dxa"/>
            <w:gridSpan w:val="2"/>
            <w:tcBorders>
              <w:top w:val="nil"/>
              <w:bottom w:val="nil"/>
            </w:tcBorders>
            <w:shd w:val="clear" w:color="auto" w:fill="auto"/>
          </w:tcPr>
          <w:p w14:paraId="5ECF78A5" w14:textId="77777777" w:rsidR="002139E4" w:rsidRPr="00CE032F" w:rsidRDefault="002139E4" w:rsidP="001A259A">
            <w:pPr>
              <w:spacing w:before="40" w:after="120"/>
              <w:ind w:right="280"/>
              <w:jc w:val="right"/>
              <w:rPr>
                <w:sz w:val="20"/>
                <w:szCs w:val="20"/>
              </w:rPr>
            </w:pPr>
            <w:r>
              <w:rPr>
                <w:sz w:val="20"/>
                <w:szCs w:val="20"/>
              </w:rPr>
              <w:t>4</w:t>
            </w:r>
          </w:p>
        </w:tc>
        <w:tc>
          <w:tcPr>
            <w:tcW w:w="4252" w:type="dxa"/>
            <w:tcBorders>
              <w:top w:val="nil"/>
              <w:bottom w:val="nil"/>
            </w:tcBorders>
            <w:shd w:val="clear" w:color="auto" w:fill="auto"/>
          </w:tcPr>
          <w:p w14:paraId="585431B3" w14:textId="77777777" w:rsidR="002139E4" w:rsidRPr="00CE032F" w:rsidRDefault="002139E4" w:rsidP="001A259A">
            <w:pPr>
              <w:spacing w:before="40" w:after="120"/>
              <w:ind w:right="113"/>
              <w:jc w:val="both"/>
              <w:rPr>
                <w:sz w:val="20"/>
                <w:szCs w:val="20"/>
              </w:rPr>
            </w:pPr>
            <w:r w:rsidRPr="0067294D">
              <w:rPr>
                <w:sz w:val="20"/>
                <w:szCs w:val="20"/>
                <w:lang w:val="en-GB"/>
              </w:rPr>
              <w:t>Note verbale dated 8 January 2019 from the Permanent Mission of Armenia to the United Nations Office at Geneva addressed to the Office of the United Nations High Commissioner for Human Rights</w:t>
            </w:r>
          </w:p>
        </w:tc>
      </w:tr>
      <w:tr w:rsidR="002139E4" w:rsidRPr="00CE032F" w14:paraId="54F0E2A4" w14:textId="77777777" w:rsidTr="001A259A">
        <w:tc>
          <w:tcPr>
            <w:tcW w:w="2410" w:type="dxa"/>
            <w:tcBorders>
              <w:top w:val="nil"/>
              <w:bottom w:val="nil"/>
            </w:tcBorders>
            <w:shd w:val="clear" w:color="auto" w:fill="auto"/>
          </w:tcPr>
          <w:p w14:paraId="6E304244" w14:textId="77777777" w:rsidR="002139E4" w:rsidRDefault="002139E4" w:rsidP="001A259A">
            <w:pPr>
              <w:spacing w:before="40" w:after="120"/>
              <w:ind w:right="113"/>
              <w:rPr>
                <w:sz w:val="20"/>
                <w:szCs w:val="20"/>
              </w:rPr>
            </w:pPr>
            <w:r w:rsidRPr="0067294D">
              <w:rPr>
                <w:sz w:val="20"/>
                <w:szCs w:val="20"/>
              </w:rPr>
              <w:t>A/HRC/40/G/3</w:t>
            </w:r>
          </w:p>
        </w:tc>
        <w:tc>
          <w:tcPr>
            <w:tcW w:w="1276" w:type="dxa"/>
            <w:gridSpan w:val="2"/>
            <w:tcBorders>
              <w:top w:val="nil"/>
              <w:bottom w:val="nil"/>
            </w:tcBorders>
            <w:shd w:val="clear" w:color="auto" w:fill="auto"/>
          </w:tcPr>
          <w:p w14:paraId="4C6B1686" w14:textId="77777777" w:rsidR="002139E4" w:rsidRPr="00CE032F" w:rsidRDefault="002139E4" w:rsidP="001A259A">
            <w:pPr>
              <w:spacing w:before="40" w:after="120"/>
              <w:ind w:right="280"/>
              <w:jc w:val="right"/>
              <w:rPr>
                <w:sz w:val="20"/>
                <w:szCs w:val="20"/>
              </w:rPr>
            </w:pPr>
            <w:r>
              <w:rPr>
                <w:sz w:val="20"/>
                <w:szCs w:val="20"/>
              </w:rPr>
              <w:t>3</w:t>
            </w:r>
          </w:p>
        </w:tc>
        <w:tc>
          <w:tcPr>
            <w:tcW w:w="4252" w:type="dxa"/>
            <w:tcBorders>
              <w:top w:val="nil"/>
              <w:bottom w:val="nil"/>
            </w:tcBorders>
            <w:shd w:val="clear" w:color="auto" w:fill="auto"/>
          </w:tcPr>
          <w:p w14:paraId="434BFB34" w14:textId="77777777" w:rsidR="002139E4" w:rsidRPr="00CE032F" w:rsidRDefault="002139E4" w:rsidP="001A259A">
            <w:pPr>
              <w:spacing w:before="40" w:after="120"/>
              <w:ind w:right="113"/>
              <w:jc w:val="both"/>
              <w:rPr>
                <w:sz w:val="20"/>
                <w:szCs w:val="20"/>
              </w:rPr>
            </w:pPr>
            <w:r w:rsidRPr="0067294D">
              <w:rPr>
                <w:sz w:val="20"/>
                <w:szCs w:val="20"/>
              </w:rPr>
              <w:t>Note verbale dated 14 February 2019 from the Permanent Mission of Armenia to the United Nations Office at Geneva addressed to the Office of the United Nations High Commissioner for Human Rights</w:t>
            </w:r>
          </w:p>
        </w:tc>
      </w:tr>
      <w:tr w:rsidR="002139E4" w:rsidRPr="00CE032F" w14:paraId="6208D1CB" w14:textId="77777777" w:rsidTr="001A259A">
        <w:tc>
          <w:tcPr>
            <w:tcW w:w="2410" w:type="dxa"/>
            <w:tcBorders>
              <w:top w:val="nil"/>
              <w:bottom w:val="nil"/>
            </w:tcBorders>
            <w:shd w:val="clear" w:color="auto" w:fill="auto"/>
          </w:tcPr>
          <w:p w14:paraId="383384DF" w14:textId="77777777" w:rsidR="002139E4" w:rsidRPr="00CE032F" w:rsidRDefault="002139E4" w:rsidP="001A259A">
            <w:pPr>
              <w:spacing w:before="40" w:after="120"/>
              <w:ind w:right="113"/>
              <w:rPr>
                <w:sz w:val="20"/>
                <w:szCs w:val="20"/>
              </w:rPr>
            </w:pPr>
            <w:r w:rsidRPr="0067294D">
              <w:rPr>
                <w:sz w:val="20"/>
                <w:szCs w:val="20"/>
              </w:rPr>
              <w:t>A/HRC/40/G/4</w:t>
            </w:r>
          </w:p>
        </w:tc>
        <w:tc>
          <w:tcPr>
            <w:tcW w:w="1276" w:type="dxa"/>
            <w:gridSpan w:val="2"/>
            <w:tcBorders>
              <w:top w:val="nil"/>
              <w:bottom w:val="nil"/>
            </w:tcBorders>
            <w:shd w:val="clear" w:color="auto" w:fill="auto"/>
          </w:tcPr>
          <w:p w14:paraId="2B7D29F1" w14:textId="77777777" w:rsidR="002139E4" w:rsidRDefault="002139E4" w:rsidP="001A259A">
            <w:pPr>
              <w:spacing w:before="40" w:after="120"/>
              <w:ind w:right="280"/>
              <w:jc w:val="right"/>
              <w:rPr>
                <w:sz w:val="20"/>
                <w:szCs w:val="20"/>
              </w:rPr>
            </w:pPr>
            <w:r>
              <w:rPr>
                <w:sz w:val="20"/>
                <w:szCs w:val="20"/>
              </w:rPr>
              <w:t>4</w:t>
            </w:r>
          </w:p>
        </w:tc>
        <w:tc>
          <w:tcPr>
            <w:tcW w:w="4252" w:type="dxa"/>
            <w:tcBorders>
              <w:top w:val="nil"/>
              <w:bottom w:val="nil"/>
            </w:tcBorders>
            <w:shd w:val="clear" w:color="auto" w:fill="auto"/>
          </w:tcPr>
          <w:p w14:paraId="7BBECE9A" w14:textId="77777777" w:rsidR="002139E4" w:rsidRPr="00CE032F" w:rsidRDefault="002139E4" w:rsidP="001A259A">
            <w:pPr>
              <w:spacing w:before="40" w:after="120"/>
              <w:ind w:right="113"/>
              <w:jc w:val="both"/>
              <w:rPr>
                <w:sz w:val="20"/>
                <w:szCs w:val="20"/>
              </w:rPr>
            </w:pPr>
            <w:r w:rsidRPr="0067294D">
              <w:rPr>
                <w:sz w:val="20"/>
                <w:szCs w:val="20"/>
              </w:rPr>
              <w:t>Note verbale dated 5 March 2019 from the Permanent Mission of the Syrian Arab Republic to the United Nations Office at Geneva addressed to the secretariat of the Human Rights Council</w:t>
            </w:r>
          </w:p>
        </w:tc>
      </w:tr>
      <w:tr w:rsidR="002139E4" w:rsidRPr="00CE032F" w14:paraId="43F7F734" w14:textId="77777777" w:rsidTr="001A259A">
        <w:tc>
          <w:tcPr>
            <w:tcW w:w="2410" w:type="dxa"/>
            <w:tcBorders>
              <w:top w:val="nil"/>
              <w:bottom w:val="nil"/>
            </w:tcBorders>
            <w:shd w:val="clear" w:color="auto" w:fill="auto"/>
          </w:tcPr>
          <w:p w14:paraId="07654FA9" w14:textId="77777777" w:rsidR="002139E4" w:rsidRPr="00D220DD" w:rsidRDefault="002139E4" w:rsidP="001A259A">
            <w:pPr>
              <w:spacing w:before="40" w:after="120"/>
              <w:ind w:right="113"/>
              <w:rPr>
                <w:sz w:val="20"/>
                <w:szCs w:val="20"/>
              </w:rPr>
            </w:pPr>
            <w:r w:rsidRPr="0067294D">
              <w:rPr>
                <w:sz w:val="20"/>
                <w:szCs w:val="20"/>
              </w:rPr>
              <w:t>A/HRC/40/G/5</w:t>
            </w:r>
          </w:p>
        </w:tc>
        <w:tc>
          <w:tcPr>
            <w:tcW w:w="1276" w:type="dxa"/>
            <w:gridSpan w:val="2"/>
            <w:tcBorders>
              <w:top w:val="nil"/>
              <w:bottom w:val="nil"/>
            </w:tcBorders>
            <w:shd w:val="clear" w:color="auto" w:fill="auto"/>
          </w:tcPr>
          <w:p w14:paraId="54ADC3FC" w14:textId="77777777" w:rsidR="002139E4" w:rsidRDefault="002139E4" w:rsidP="001A259A">
            <w:pPr>
              <w:spacing w:before="40" w:after="120"/>
              <w:ind w:right="280"/>
              <w:jc w:val="right"/>
              <w:rPr>
                <w:sz w:val="20"/>
                <w:szCs w:val="20"/>
              </w:rPr>
            </w:pPr>
            <w:r>
              <w:rPr>
                <w:sz w:val="20"/>
                <w:szCs w:val="20"/>
              </w:rPr>
              <w:t>4</w:t>
            </w:r>
          </w:p>
        </w:tc>
        <w:tc>
          <w:tcPr>
            <w:tcW w:w="4252" w:type="dxa"/>
            <w:tcBorders>
              <w:top w:val="nil"/>
              <w:bottom w:val="nil"/>
            </w:tcBorders>
            <w:shd w:val="clear" w:color="auto" w:fill="auto"/>
          </w:tcPr>
          <w:p w14:paraId="2944803A" w14:textId="77777777" w:rsidR="002139E4" w:rsidRPr="00D220DD" w:rsidRDefault="002139E4" w:rsidP="001A259A">
            <w:pPr>
              <w:spacing w:before="40" w:after="120"/>
              <w:ind w:right="113"/>
              <w:jc w:val="both"/>
              <w:rPr>
                <w:sz w:val="20"/>
                <w:szCs w:val="20"/>
              </w:rPr>
            </w:pPr>
            <w:r w:rsidRPr="0067294D">
              <w:rPr>
                <w:sz w:val="20"/>
                <w:szCs w:val="20"/>
              </w:rPr>
              <w:t>Note verbale dated 7 March 2019 from the Permanent Mission of South Africa to the United Nations Office at Geneva addressed to the President of the Human Rights Council</w:t>
            </w:r>
          </w:p>
        </w:tc>
      </w:tr>
      <w:tr w:rsidR="002139E4" w:rsidRPr="00CE032F" w14:paraId="449BB3E0" w14:textId="77777777" w:rsidTr="001A259A">
        <w:tc>
          <w:tcPr>
            <w:tcW w:w="2410" w:type="dxa"/>
            <w:tcBorders>
              <w:top w:val="nil"/>
              <w:bottom w:val="nil"/>
            </w:tcBorders>
            <w:shd w:val="clear" w:color="auto" w:fill="auto"/>
          </w:tcPr>
          <w:p w14:paraId="1AD36055" w14:textId="77777777" w:rsidR="002139E4" w:rsidRPr="0067294D" w:rsidRDefault="002139E4" w:rsidP="001A259A">
            <w:pPr>
              <w:spacing w:before="40" w:after="120"/>
              <w:ind w:right="113"/>
              <w:rPr>
                <w:sz w:val="20"/>
                <w:szCs w:val="20"/>
              </w:rPr>
            </w:pPr>
            <w:r>
              <w:rPr>
                <w:sz w:val="20"/>
                <w:szCs w:val="20"/>
              </w:rPr>
              <w:t>A/HRC/40/G/6</w:t>
            </w:r>
          </w:p>
        </w:tc>
        <w:tc>
          <w:tcPr>
            <w:tcW w:w="1276" w:type="dxa"/>
            <w:gridSpan w:val="2"/>
            <w:tcBorders>
              <w:top w:val="nil"/>
              <w:bottom w:val="nil"/>
            </w:tcBorders>
            <w:shd w:val="clear" w:color="auto" w:fill="auto"/>
          </w:tcPr>
          <w:p w14:paraId="3A235992" w14:textId="77777777" w:rsidR="002139E4" w:rsidRDefault="002139E4" w:rsidP="001A259A">
            <w:pPr>
              <w:spacing w:before="40" w:after="120"/>
              <w:ind w:right="280"/>
              <w:jc w:val="right"/>
              <w:rPr>
                <w:sz w:val="20"/>
                <w:szCs w:val="20"/>
              </w:rPr>
            </w:pPr>
            <w:r>
              <w:rPr>
                <w:sz w:val="20"/>
                <w:szCs w:val="20"/>
              </w:rPr>
              <w:t>2</w:t>
            </w:r>
          </w:p>
        </w:tc>
        <w:tc>
          <w:tcPr>
            <w:tcW w:w="4252" w:type="dxa"/>
            <w:tcBorders>
              <w:top w:val="nil"/>
              <w:bottom w:val="nil"/>
            </w:tcBorders>
            <w:shd w:val="clear" w:color="auto" w:fill="auto"/>
          </w:tcPr>
          <w:p w14:paraId="793014D2" w14:textId="77777777" w:rsidR="002139E4" w:rsidRPr="0067294D" w:rsidRDefault="002139E4" w:rsidP="001A259A">
            <w:pPr>
              <w:spacing w:before="40" w:after="120"/>
              <w:ind w:right="113"/>
              <w:jc w:val="both"/>
              <w:rPr>
                <w:sz w:val="20"/>
                <w:szCs w:val="20"/>
              </w:rPr>
            </w:pPr>
            <w:r w:rsidRPr="008E1E99">
              <w:rPr>
                <w:sz w:val="20"/>
                <w:szCs w:val="20"/>
              </w:rPr>
              <w:t xml:space="preserve">Note verbale dated 19 March 2019 from the Permanent Mission of Turkey to the United Nations Office at Geneva and other international </w:t>
            </w:r>
            <w:r w:rsidRPr="008E1E99">
              <w:rPr>
                <w:sz w:val="20"/>
                <w:szCs w:val="20"/>
              </w:rPr>
              <w:lastRenderedPageBreak/>
              <w:t>organizations in Switzerland addressed to the Office of the High Commissioner for Human Rights</w:t>
            </w:r>
          </w:p>
        </w:tc>
      </w:tr>
      <w:tr w:rsidR="002139E4" w:rsidRPr="00CE032F" w14:paraId="70CF2421" w14:textId="77777777" w:rsidTr="001A259A">
        <w:tc>
          <w:tcPr>
            <w:tcW w:w="2410" w:type="dxa"/>
            <w:tcBorders>
              <w:top w:val="nil"/>
              <w:bottom w:val="nil"/>
            </w:tcBorders>
            <w:shd w:val="clear" w:color="auto" w:fill="auto"/>
          </w:tcPr>
          <w:p w14:paraId="24506E52" w14:textId="77777777" w:rsidR="002139E4" w:rsidRPr="00C65390" w:rsidRDefault="002139E4" w:rsidP="001A259A">
            <w:pPr>
              <w:spacing w:before="40" w:after="120"/>
              <w:ind w:right="113"/>
              <w:rPr>
                <w:sz w:val="20"/>
                <w:szCs w:val="20"/>
              </w:rPr>
            </w:pPr>
            <w:r w:rsidRPr="0067294D">
              <w:rPr>
                <w:sz w:val="20"/>
                <w:szCs w:val="20"/>
              </w:rPr>
              <w:lastRenderedPageBreak/>
              <w:t>A/HRC/40/G/7</w:t>
            </w:r>
          </w:p>
        </w:tc>
        <w:tc>
          <w:tcPr>
            <w:tcW w:w="1276" w:type="dxa"/>
            <w:gridSpan w:val="2"/>
            <w:tcBorders>
              <w:top w:val="nil"/>
              <w:bottom w:val="nil"/>
            </w:tcBorders>
            <w:shd w:val="clear" w:color="auto" w:fill="auto"/>
          </w:tcPr>
          <w:p w14:paraId="3CA50061" w14:textId="77777777" w:rsidR="002139E4" w:rsidRDefault="002139E4" w:rsidP="001A259A">
            <w:pPr>
              <w:spacing w:before="40" w:after="120"/>
              <w:ind w:right="280"/>
              <w:jc w:val="right"/>
              <w:rPr>
                <w:sz w:val="20"/>
                <w:szCs w:val="20"/>
              </w:rPr>
            </w:pPr>
            <w:r>
              <w:rPr>
                <w:sz w:val="20"/>
                <w:szCs w:val="20"/>
              </w:rPr>
              <w:t>5</w:t>
            </w:r>
          </w:p>
        </w:tc>
        <w:tc>
          <w:tcPr>
            <w:tcW w:w="4252" w:type="dxa"/>
            <w:tcBorders>
              <w:top w:val="nil"/>
              <w:bottom w:val="nil"/>
            </w:tcBorders>
            <w:shd w:val="clear" w:color="auto" w:fill="auto"/>
          </w:tcPr>
          <w:p w14:paraId="210C52BF" w14:textId="77777777" w:rsidR="002139E4" w:rsidRPr="00C65390" w:rsidRDefault="002139E4" w:rsidP="001A259A">
            <w:pPr>
              <w:spacing w:before="40" w:after="120"/>
              <w:ind w:right="113"/>
              <w:jc w:val="both"/>
              <w:rPr>
                <w:sz w:val="20"/>
                <w:szCs w:val="20"/>
              </w:rPr>
            </w:pPr>
            <w:r w:rsidRPr="0067294D">
              <w:rPr>
                <w:sz w:val="20"/>
                <w:szCs w:val="20"/>
              </w:rPr>
              <w:t>Note verbale dated 21 March 2019 from the Permanent Delegation of the European Union to the United Nations Office at Geneva addressed to the President of the Human Rights Council</w:t>
            </w:r>
          </w:p>
        </w:tc>
      </w:tr>
      <w:tr w:rsidR="002139E4" w:rsidRPr="00CE032F" w14:paraId="415FCEF5" w14:textId="77777777" w:rsidTr="001A259A">
        <w:tc>
          <w:tcPr>
            <w:tcW w:w="2410" w:type="dxa"/>
            <w:tcBorders>
              <w:top w:val="nil"/>
              <w:bottom w:val="nil"/>
            </w:tcBorders>
            <w:shd w:val="clear" w:color="auto" w:fill="auto"/>
          </w:tcPr>
          <w:p w14:paraId="55A9EF69" w14:textId="77777777" w:rsidR="002139E4" w:rsidRPr="0067294D" w:rsidRDefault="002139E4" w:rsidP="001A259A">
            <w:pPr>
              <w:spacing w:before="40" w:after="120"/>
              <w:ind w:right="113"/>
              <w:rPr>
                <w:sz w:val="20"/>
                <w:szCs w:val="20"/>
              </w:rPr>
            </w:pPr>
            <w:r>
              <w:rPr>
                <w:sz w:val="20"/>
                <w:szCs w:val="20"/>
              </w:rPr>
              <w:t>A/HRC/40/G/8</w:t>
            </w:r>
          </w:p>
        </w:tc>
        <w:tc>
          <w:tcPr>
            <w:tcW w:w="1276" w:type="dxa"/>
            <w:gridSpan w:val="2"/>
            <w:tcBorders>
              <w:top w:val="nil"/>
              <w:bottom w:val="nil"/>
            </w:tcBorders>
            <w:shd w:val="clear" w:color="auto" w:fill="auto"/>
          </w:tcPr>
          <w:p w14:paraId="73527EDC" w14:textId="77777777" w:rsidR="002139E4" w:rsidRDefault="002139E4" w:rsidP="001A259A">
            <w:pPr>
              <w:spacing w:before="40" w:after="120"/>
              <w:ind w:right="280"/>
              <w:jc w:val="right"/>
              <w:rPr>
                <w:sz w:val="20"/>
                <w:szCs w:val="20"/>
              </w:rPr>
            </w:pPr>
            <w:r>
              <w:rPr>
                <w:sz w:val="20"/>
                <w:szCs w:val="20"/>
              </w:rPr>
              <w:t>3</w:t>
            </w:r>
          </w:p>
        </w:tc>
        <w:tc>
          <w:tcPr>
            <w:tcW w:w="4252" w:type="dxa"/>
            <w:tcBorders>
              <w:top w:val="nil"/>
              <w:bottom w:val="nil"/>
            </w:tcBorders>
            <w:shd w:val="clear" w:color="auto" w:fill="auto"/>
          </w:tcPr>
          <w:p w14:paraId="3ED9B775" w14:textId="77777777" w:rsidR="002139E4" w:rsidRPr="0067294D" w:rsidRDefault="002139E4" w:rsidP="001A259A">
            <w:pPr>
              <w:spacing w:before="40" w:after="120"/>
              <w:ind w:right="113"/>
              <w:jc w:val="both"/>
              <w:rPr>
                <w:sz w:val="20"/>
                <w:szCs w:val="20"/>
              </w:rPr>
            </w:pPr>
            <w:r w:rsidRPr="000B1B1F">
              <w:rPr>
                <w:sz w:val="20"/>
                <w:szCs w:val="20"/>
              </w:rPr>
              <w:t>Note verbale dated 28 March 2019 from the Permanent Mission of Greece to the United Nations Office at Geneva addressed to the Office of the United Nations High Commissioner for Human Rights</w:t>
            </w:r>
          </w:p>
        </w:tc>
      </w:tr>
      <w:tr w:rsidR="002139E4" w:rsidRPr="00CE032F" w14:paraId="3004E4B2" w14:textId="77777777" w:rsidTr="001A259A">
        <w:tc>
          <w:tcPr>
            <w:tcW w:w="2410" w:type="dxa"/>
            <w:tcBorders>
              <w:top w:val="nil"/>
              <w:bottom w:val="nil"/>
            </w:tcBorders>
            <w:shd w:val="clear" w:color="auto" w:fill="auto"/>
          </w:tcPr>
          <w:p w14:paraId="13936379" w14:textId="77777777" w:rsidR="002139E4" w:rsidRDefault="002139E4" w:rsidP="001A259A">
            <w:pPr>
              <w:spacing w:before="40" w:after="120"/>
              <w:ind w:right="113"/>
              <w:rPr>
                <w:sz w:val="20"/>
                <w:szCs w:val="20"/>
              </w:rPr>
            </w:pPr>
            <w:r>
              <w:rPr>
                <w:sz w:val="20"/>
                <w:szCs w:val="20"/>
              </w:rPr>
              <w:t>A/HRC/40/G/9</w:t>
            </w:r>
          </w:p>
        </w:tc>
        <w:tc>
          <w:tcPr>
            <w:tcW w:w="1276" w:type="dxa"/>
            <w:gridSpan w:val="2"/>
            <w:tcBorders>
              <w:top w:val="nil"/>
              <w:bottom w:val="nil"/>
            </w:tcBorders>
            <w:shd w:val="clear" w:color="auto" w:fill="auto"/>
          </w:tcPr>
          <w:p w14:paraId="185BE3F7" w14:textId="77777777" w:rsidR="002139E4" w:rsidRDefault="002139E4" w:rsidP="001A259A">
            <w:pPr>
              <w:spacing w:before="40" w:after="120"/>
              <w:ind w:right="280"/>
              <w:jc w:val="right"/>
              <w:rPr>
                <w:sz w:val="20"/>
                <w:szCs w:val="20"/>
              </w:rPr>
            </w:pPr>
            <w:r>
              <w:rPr>
                <w:sz w:val="20"/>
                <w:szCs w:val="20"/>
              </w:rPr>
              <w:t>2</w:t>
            </w:r>
          </w:p>
        </w:tc>
        <w:tc>
          <w:tcPr>
            <w:tcW w:w="4252" w:type="dxa"/>
            <w:tcBorders>
              <w:top w:val="nil"/>
              <w:bottom w:val="nil"/>
            </w:tcBorders>
            <w:shd w:val="clear" w:color="auto" w:fill="auto"/>
          </w:tcPr>
          <w:p w14:paraId="18452764" w14:textId="77777777" w:rsidR="002139E4" w:rsidRPr="000B1B1F" w:rsidRDefault="002139E4" w:rsidP="001A259A">
            <w:pPr>
              <w:spacing w:before="40" w:after="120"/>
              <w:ind w:right="113"/>
              <w:jc w:val="both"/>
              <w:rPr>
                <w:sz w:val="20"/>
                <w:szCs w:val="20"/>
              </w:rPr>
            </w:pPr>
            <w:r w:rsidRPr="000B1B1F">
              <w:rPr>
                <w:sz w:val="20"/>
                <w:szCs w:val="20"/>
              </w:rPr>
              <w:t>Note verbale dated 28 March 2019 from the Permanent Mission of the United Arab Emirates to the United Nations Office and other international organizations in Geneva addressed to the Office of the High Commissioner for Human Rights</w:t>
            </w:r>
          </w:p>
        </w:tc>
      </w:tr>
      <w:tr w:rsidR="002139E4" w:rsidRPr="00CE032F" w14:paraId="4402DF96" w14:textId="77777777" w:rsidTr="001A259A">
        <w:tc>
          <w:tcPr>
            <w:tcW w:w="2410" w:type="dxa"/>
            <w:tcBorders>
              <w:top w:val="nil"/>
              <w:bottom w:val="nil"/>
            </w:tcBorders>
            <w:shd w:val="clear" w:color="auto" w:fill="auto"/>
          </w:tcPr>
          <w:p w14:paraId="46C65170" w14:textId="77777777" w:rsidR="002139E4" w:rsidRDefault="002139E4" w:rsidP="001A259A">
            <w:pPr>
              <w:spacing w:before="40" w:after="120"/>
              <w:ind w:right="113"/>
              <w:rPr>
                <w:sz w:val="20"/>
                <w:szCs w:val="20"/>
              </w:rPr>
            </w:pPr>
            <w:r w:rsidRPr="00A700ED">
              <w:rPr>
                <w:sz w:val="20"/>
                <w:szCs w:val="20"/>
              </w:rPr>
              <w:t>A/HRC/40/G/10</w:t>
            </w:r>
          </w:p>
        </w:tc>
        <w:tc>
          <w:tcPr>
            <w:tcW w:w="1276" w:type="dxa"/>
            <w:gridSpan w:val="2"/>
            <w:tcBorders>
              <w:top w:val="nil"/>
              <w:bottom w:val="nil"/>
            </w:tcBorders>
            <w:shd w:val="clear" w:color="auto" w:fill="auto"/>
          </w:tcPr>
          <w:p w14:paraId="412F082F" w14:textId="77777777" w:rsidR="002139E4" w:rsidRDefault="002139E4" w:rsidP="001A259A">
            <w:pPr>
              <w:spacing w:before="40" w:after="120"/>
              <w:ind w:right="280"/>
              <w:jc w:val="right"/>
              <w:rPr>
                <w:sz w:val="20"/>
                <w:szCs w:val="20"/>
              </w:rPr>
            </w:pPr>
            <w:r>
              <w:rPr>
                <w:sz w:val="20"/>
                <w:szCs w:val="20"/>
              </w:rPr>
              <w:t>3</w:t>
            </w:r>
          </w:p>
        </w:tc>
        <w:tc>
          <w:tcPr>
            <w:tcW w:w="4252" w:type="dxa"/>
            <w:tcBorders>
              <w:top w:val="nil"/>
              <w:bottom w:val="nil"/>
            </w:tcBorders>
            <w:shd w:val="clear" w:color="auto" w:fill="auto"/>
          </w:tcPr>
          <w:p w14:paraId="4459CC64" w14:textId="77777777" w:rsidR="002139E4" w:rsidRPr="000B1B1F" w:rsidRDefault="002139E4" w:rsidP="001A259A">
            <w:pPr>
              <w:spacing w:before="40" w:after="120"/>
              <w:ind w:right="113"/>
              <w:jc w:val="both"/>
              <w:rPr>
                <w:sz w:val="20"/>
                <w:szCs w:val="20"/>
              </w:rPr>
            </w:pPr>
            <w:r w:rsidRPr="00A700ED">
              <w:rPr>
                <w:sz w:val="20"/>
                <w:szCs w:val="20"/>
              </w:rPr>
              <w:t>Note verbale dated 26 April 2019 from the Permanent Mission of the Republic of Azerbaijan to the United Nations Office at Geneva addressed to the Office of the United Nations High Commissioner for Human Rights</w:t>
            </w:r>
          </w:p>
        </w:tc>
      </w:tr>
      <w:tr w:rsidR="002139E4" w:rsidRPr="00DE5ACC" w14:paraId="4D3AAD4B" w14:textId="77777777" w:rsidTr="001A259A">
        <w:tblPrEx>
          <w:tblBorders>
            <w:bottom w:val="none" w:sz="0" w:space="0" w:color="auto"/>
          </w:tblBorders>
          <w:tblCellMar>
            <w:right w:w="113" w:type="dxa"/>
          </w:tblCellMar>
        </w:tblPrEx>
        <w:trPr>
          <w:trHeight w:val="240"/>
        </w:trPr>
        <w:tc>
          <w:tcPr>
            <w:tcW w:w="2410" w:type="dxa"/>
            <w:tcBorders>
              <w:bottom w:val="single" w:sz="12" w:space="0" w:color="auto"/>
            </w:tcBorders>
            <w:shd w:val="clear" w:color="auto" w:fill="auto"/>
          </w:tcPr>
          <w:p w14:paraId="3D484D5E" w14:textId="77777777" w:rsidR="002139E4" w:rsidRPr="00CE032F" w:rsidRDefault="002139E4" w:rsidP="001A259A">
            <w:pPr>
              <w:spacing w:before="40" w:after="120" w:line="220" w:lineRule="exact"/>
              <w:rPr>
                <w:sz w:val="20"/>
                <w:szCs w:val="20"/>
              </w:rPr>
            </w:pPr>
            <w:r w:rsidRPr="00A700ED">
              <w:rPr>
                <w:sz w:val="20"/>
                <w:szCs w:val="20"/>
              </w:rPr>
              <w:t>A/HRC/40/G/11</w:t>
            </w:r>
          </w:p>
        </w:tc>
        <w:tc>
          <w:tcPr>
            <w:tcW w:w="1269" w:type="dxa"/>
            <w:tcBorders>
              <w:bottom w:val="single" w:sz="12" w:space="0" w:color="auto"/>
            </w:tcBorders>
            <w:shd w:val="clear" w:color="auto" w:fill="auto"/>
          </w:tcPr>
          <w:p w14:paraId="19CCDAC1" w14:textId="77777777" w:rsidR="002139E4" w:rsidRPr="00CE032F" w:rsidRDefault="002139E4" w:rsidP="001A259A">
            <w:pPr>
              <w:spacing w:before="40" w:after="120"/>
              <w:ind w:right="168"/>
              <w:jc w:val="right"/>
              <w:rPr>
                <w:sz w:val="20"/>
                <w:szCs w:val="20"/>
              </w:rPr>
            </w:pPr>
            <w:r>
              <w:rPr>
                <w:sz w:val="20"/>
                <w:szCs w:val="20"/>
              </w:rPr>
              <w:t>4</w:t>
            </w:r>
          </w:p>
        </w:tc>
        <w:tc>
          <w:tcPr>
            <w:tcW w:w="4259" w:type="dxa"/>
            <w:gridSpan w:val="2"/>
            <w:tcBorders>
              <w:bottom w:val="single" w:sz="12" w:space="0" w:color="auto"/>
            </w:tcBorders>
            <w:shd w:val="clear" w:color="auto" w:fill="auto"/>
          </w:tcPr>
          <w:p w14:paraId="62F0DC27" w14:textId="77777777" w:rsidR="002139E4" w:rsidRPr="009F2FC1" w:rsidRDefault="002139E4" w:rsidP="001A259A">
            <w:pPr>
              <w:spacing w:before="40" w:after="120" w:line="220" w:lineRule="exact"/>
              <w:ind w:right="280"/>
              <w:jc w:val="both"/>
              <w:rPr>
                <w:sz w:val="20"/>
                <w:szCs w:val="20"/>
                <w:lang w:val="en-GB"/>
              </w:rPr>
            </w:pPr>
            <w:r w:rsidRPr="00A700ED">
              <w:rPr>
                <w:sz w:val="20"/>
                <w:szCs w:val="20"/>
                <w:lang w:val="en-GB"/>
              </w:rPr>
              <w:t>Letter dated 11 March 2019 from the Chargé d’Affaires a.i. of Azerbaijan to the United Nations Office at Geneva addressed to the President of the Human Rights Council</w:t>
            </w:r>
          </w:p>
        </w:tc>
      </w:tr>
    </w:tbl>
    <w:p w14:paraId="5F16EA04" w14:textId="77777777" w:rsidR="002139E4" w:rsidRPr="009F2FC1" w:rsidRDefault="002139E4" w:rsidP="002139E4">
      <w:pPr>
        <w:rPr>
          <w:lang w:val="en-GB"/>
        </w:rPr>
      </w:pPr>
    </w:p>
    <w:tbl>
      <w:tblPr>
        <w:tblW w:w="7938"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Caption w:val="Document issued in the Government series"/>
        <w:tblDescription w:val="Document issued in the Government series"/>
      </w:tblPr>
      <w:tblGrid>
        <w:gridCol w:w="2410"/>
        <w:gridCol w:w="1276"/>
        <w:gridCol w:w="4252"/>
      </w:tblGrid>
      <w:tr w:rsidR="002139E4" w:rsidRPr="00CE032F" w14:paraId="1839CB02" w14:textId="77777777" w:rsidTr="001A259A">
        <w:trPr>
          <w:trHeight w:val="255"/>
          <w:tblHeader/>
        </w:trPr>
        <w:tc>
          <w:tcPr>
            <w:tcW w:w="7938" w:type="dxa"/>
            <w:gridSpan w:val="3"/>
            <w:tcBorders>
              <w:top w:val="nil"/>
              <w:bottom w:val="single" w:sz="12" w:space="0" w:color="auto"/>
            </w:tcBorders>
            <w:shd w:val="clear" w:color="auto" w:fill="auto"/>
            <w:vAlign w:val="bottom"/>
          </w:tcPr>
          <w:p w14:paraId="0D1C7825" w14:textId="77777777" w:rsidR="002139E4" w:rsidRPr="008A2444" w:rsidRDefault="002139E4" w:rsidP="001A259A">
            <w:pPr>
              <w:spacing w:before="80" w:after="80" w:line="200" w:lineRule="exact"/>
              <w:ind w:right="113"/>
              <w:rPr>
                <w:i/>
                <w:sz w:val="16"/>
                <w:szCs w:val="16"/>
                <w:highlight w:val="yellow"/>
              </w:rPr>
            </w:pPr>
            <w:r w:rsidRPr="008F2759">
              <w:rPr>
                <w:i/>
                <w:sz w:val="16"/>
                <w:szCs w:val="16"/>
              </w:rPr>
              <w:t>Documents issued in the national institutions series</w:t>
            </w:r>
          </w:p>
        </w:tc>
      </w:tr>
      <w:tr w:rsidR="002139E4" w:rsidRPr="00CE032F" w14:paraId="6A054DA0" w14:textId="77777777" w:rsidTr="001A259A">
        <w:trPr>
          <w:trHeight w:val="255"/>
          <w:tblHeader/>
        </w:trPr>
        <w:tc>
          <w:tcPr>
            <w:tcW w:w="2410" w:type="dxa"/>
            <w:tcBorders>
              <w:top w:val="single" w:sz="4" w:space="0" w:color="auto"/>
              <w:bottom w:val="single" w:sz="12" w:space="0" w:color="auto"/>
            </w:tcBorders>
            <w:shd w:val="clear" w:color="auto" w:fill="auto"/>
            <w:vAlign w:val="bottom"/>
          </w:tcPr>
          <w:p w14:paraId="7C2DBB9A" w14:textId="77777777" w:rsidR="002139E4" w:rsidRPr="00CE032F" w:rsidRDefault="002139E4" w:rsidP="001A259A">
            <w:pPr>
              <w:spacing w:before="80" w:after="80" w:line="200" w:lineRule="exact"/>
              <w:ind w:right="113"/>
              <w:rPr>
                <w:i/>
                <w:sz w:val="16"/>
                <w:szCs w:val="16"/>
              </w:rPr>
            </w:pPr>
            <w:r w:rsidRPr="00CE032F">
              <w:rPr>
                <w:i/>
                <w:sz w:val="16"/>
                <w:szCs w:val="16"/>
              </w:rPr>
              <w:t xml:space="preserve">Symbol </w:t>
            </w:r>
          </w:p>
        </w:tc>
        <w:tc>
          <w:tcPr>
            <w:tcW w:w="1276" w:type="dxa"/>
            <w:tcBorders>
              <w:top w:val="single" w:sz="4" w:space="0" w:color="auto"/>
              <w:bottom w:val="single" w:sz="12" w:space="0" w:color="auto"/>
            </w:tcBorders>
            <w:shd w:val="clear" w:color="auto" w:fill="auto"/>
            <w:vAlign w:val="bottom"/>
          </w:tcPr>
          <w:p w14:paraId="018305C6" w14:textId="77777777" w:rsidR="002139E4" w:rsidRPr="00CE032F" w:rsidRDefault="002139E4" w:rsidP="001A259A">
            <w:pPr>
              <w:spacing w:before="80" w:after="80" w:line="200" w:lineRule="exact"/>
              <w:ind w:right="113"/>
              <w:rPr>
                <w:i/>
                <w:sz w:val="16"/>
                <w:szCs w:val="16"/>
              </w:rPr>
            </w:pPr>
            <w:r w:rsidRPr="00CE032F">
              <w:rPr>
                <w:i/>
                <w:sz w:val="16"/>
                <w:szCs w:val="16"/>
              </w:rPr>
              <w:t>Agenda item</w:t>
            </w:r>
          </w:p>
        </w:tc>
        <w:tc>
          <w:tcPr>
            <w:tcW w:w="4252" w:type="dxa"/>
            <w:tcBorders>
              <w:top w:val="single" w:sz="4" w:space="0" w:color="auto"/>
              <w:bottom w:val="single" w:sz="12" w:space="0" w:color="auto"/>
            </w:tcBorders>
            <w:shd w:val="clear" w:color="auto" w:fill="auto"/>
            <w:vAlign w:val="bottom"/>
          </w:tcPr>
          <w:p w14:paraId="1A81361A" w14:textId="77777777" w:rsidR="002139E4" w:rsidRPr="00CE032F" w:rsidRDefault="002139E4" w:rsidP="001A259A">
            <w:pPr>
              <w:spacing w:before="80" w:after="80" w:line="200" w:lineRule="exact"/>
              <w:ind w:right="113"/>
              <w:rPr>
                <w:i/>
                <w:sz w:val="20"/>
                <w:szCs w:val="20"/>
              </w:rPr>
            </w:pPr>
          </w:p>
        </w:tc>
      </w:tr>
      <w:tr w:rsidR="002139E4" w:rsidRPr="00CE032F" w14:paraId="04F34E40" w14:textId="77777777" w:rsidTr="001A259A">
        <w:trPr>
          <w:trHeight w:hRule="exact" w:val="113"/>
          <w:tblHeader/>
        </w:trPr>
        <w:tc>
          <w:tcPr>
            <w:tcW w:w="2410" w:type="dxa"/>
            <w:tcBorders>
              <w:top w:val="single" w:sz="12" w:space="0" w:color="auto"/>
              <w:bottom w:val="nil"/>
            </w:tcBorders>
            <w:shd w:val="clear" w:color="auto" w:fill="auto"/>
          </w:tcPr>
          <w:p w14:paraId="687FD1B8" w14:textId="77777777" w:rsidR="002139E4" w:rsidRPr="00CE032F" w:rsidRDefault="002139E4" w:rsidP="001A259A">
            <w:pPr>
              <w:spacing w:before="40" w:after="120"/>
              <w:ind w:right="113"/>
              <w:rPr>
                <w:sz w:val="20"/>
                <w:szCs w:val="20"/>
              </w:rPr>
            </w:pPr>
          </w:p>
        </w:tc>
        <w:tc>
          <w:tcPr>
            <w:tcW w:w="1276" w:type="dxa"/>
            <w:tcBorders>
              <w:top w:val="single" w:sz="12" w:space="0" w:color="auto"/>
              <w:bottom w:val="nil"/>
            </w:tcBorders>
            <w:shd w:val="clear" w:color="auto" w:fill="auto"/>
          </w:tcPr>
          <w:p w14:paraId="0A9D793B" w14:textId="77777777" w:rsidR="002139E4" w:rsidRPr="00CE032F" w:rsidRDefault="002139E4" w:rsidP="001A259A">
            <w:pPr>
              <w:spacing w:before="40" w:after="120"/>
              <w:ind w:right="284"/>
              <w:jc w:val="right"/>
              <w:rPr>
                <w:sz w:val="20"/>
                <w:szCs w:val="20"/>
              </w:rPr>
            </w:pPr>
          </w:p>
        </w:tc>
        <w:tc>
          <w:tcPr>
            <w:tcW w:w="4252" w:type="dxa"/>
            <w:tcBorders>
              <w:top w:val="single" w:sz="12" w:space="0" w:color="auto"/>
              <w:bottom w:val="nil"/>
            </w:tcBorders>
            <w:shd w:val="clear" w:color="auto" w:fill="auto"/>
          </w:tcPr>
          <w:p w14:paraId="564089CD" w14:textId="77777777" w:rsidR="002139E4" w:rsidRPr="00CE032F" w:rsidRDefault="002139E4" w:rsidP="001A259A">
            <w:pPr>
              <w:spacing w:before="40" w:after="120"/>
              <w:ind w:right="113"/>
              <w:rPr>
                <w:sz w:val="20"/>
                <w:szCs w:val="20"/>
              </w:rPr>
            </w:pPr>
          </w:p>
        </w:tc>
      </w:tr>
      <w:tr w:rsidR="002139E4" w:rsidRPr="00CE032F" w14:paraId="0319FB71" w14:textId="77777777" w:rsidTr="001A259A">
        <w:trPr>
          <w:trHeight w:val="255"/>
        </w:trPr>
        <w:tc>
          <w:tcPr>
            <w:tcW w:w="2410" w:type="dxa"/>
            <w:tcBorders>
              <w:top w:val="nil"/>
              <w:bottom w:val="nil"/>
            </w:tcBorders>
            <w:shd w:val="clear" w:color="auto" w:fill="auto"/>
          </w:tcPr>
          <w:p w14:paraId="050D9963" w14:textId="77777777" w:rsidR="002139E4" w:rsidRPr="00CE032F" w:rsidRDefault="002139E4" w:rsidP="001A259A">
            <w:pPr>
              <w:spacing w:before="40" w:after="120"/>
              <w:ind w:right="113"/>
              <w:rPr>
                <w:sz w:val="20"/>
                <w:szCs w:val="20"/>
              </w:rPr>
            </w:pPr>
            <w:r w:rsidRPr="003B116E">
              <w:rPr>
                <w:sz w:val="20"/>
                <w:szCs w:val="20"/>
              </w:rPr>
              <w:t xml:space="preserve">A/HRC/37/NI/1 </w:t>
            </w:r>
          </w:p>
        </w:tc>
        <w:tc>
          <w:tcPr>
            <w:tcW w:w="1276" w:type="dxa"/>
            <w:tcBorders>
              <w:top w:val="nil"/>
              <w:bottom w:val="nil"/>
            </w:tcBorders>
            <w:shd w:val="clear" w:color="auto" w:fill="auto"/>
          </w:tcPr>
          <w:p w14:paraId="75C21DEA" w14:textId="77777777" w:rsidR="002139E4" w:rsidRPr="00CE032F" w:rsidRDefault="002139E4" w:rsidP="001A259A">
            <w:pPr>
              <w:spacing w:before="40" w:after="120"/>
              <w:ind w:right="284"/>
              <w:jc w:val="right"/>
              <w:rPr>
                <w:sz w:val="20"/>
                <w:szCs w:val="20"/>
              </w:rPr>
            </w:pPr>
            <w:r>
              <w:rPr>
                <w:sz w:val="20"/>
                <w:szCs w:val="20"/>
              </w:rPr>
              <w:t>3</w:t>
            </w:r>
          </w:p>
        </w:tc>
        <w:tc>
          <w:tcPr>
            <w:tcW w:w="4252" w:type="dxa"/>
            <w:tcBorders>
              <w:top w:val="nil"/>
              <w:bottom w:val="nil"/>
            </w:tcBorders>
            <w:shd w:val="clear" w:color="auto" w:fill="auto"/>
          </w:tcPr>
          <w:p w14:paraId="330287A1" w14:textId="77777777" w:rsidR="002139E4" w:rsidRPr="00CE032F" w:rsidRDefault="002139E4" w:rsidP="001A259A">
            <w:pPr>
              <w:spacing w:before="40" w:after="120"/>
              <w:ind w:right="113"/>
              <w:jc w:val="both"/>
              <w:rPr>
                <w:sz w:val="20"/>
                <w:szCs w:val="20"/>
              </w:rPr>
            </w:pPr>
            <w:r w:rsidRPr="00D533B0">
              <w:rPr>
                <w:sz w:val="20"/>
                <w:szCs w:val="20"/>
              </w:rPr>
              <w:t>Written submission by the National Commission on Human Rights of Indonesia</w:t>
            </w:r>
          </w:p>
        </w:tc>
      </w:tr>
      <w:tr w:rsidR="002139E4" w:rsidRPr="00CE032F" w14:paraId="6DBADFDD" w14:textId="77777777" w:rsidTr="001A259A">
        <w:trPr>
          <w:trHeight w:val="255"/>
        </w:trPr>
        <w:tc>
          <w:tcPr>
            <w:tcW w:w="2410" w:type="dxa"/>
            <w:tcBorders>
              <w:top w:val="nil"/>
              <w:bottom w:val="nil"/>
            </w:tcBorders>
            <w:shd w:val="clear" w:color="auto" w:fill="auto"/>
          </w:tcPr>
          <w:p w14:paraId="16CFCA43" w14:textId="77777777" w:rsidR="002139E4" w:rsidRPr="00CE032F" w:rsidRDefault="002139E4" w:rsidP="001A259A">
            <w:pPr>
              <w:spacing w:before="40" w:after="120"/>
              <w:ind w:right="113"/>
              <w:rPr>
                <w:sz w:val="20"/>
                <w:szCs w:val="20"/>
              </w:rPr>
            </w:pPr>
            <w:r>
              <w:rPr>
                <w:sz w:val="20"/>
                <w:szCs w:val="20"/>
              </w:rPr>
              <w:t>A/HRC/37/NI/2</w:t>
            </w:r>
          </w:p>
        </w:tc>
        <w:tc>
          <w:tcPr>
            <w:tcW w:w="1276" w:type="dxa"/>
            <w:tcBorders>
              <w:top w:val="nil"/>
              <w:bottom w:val="nil"/>
            </w:tcBorders>
            <w:shd w:val="clear" w:color="auto" w:fill="auto"/>
          </w:tcPr>
          <w:p w14:paraId="3C8F2643" w14:textId="77777777" w:rsidR="002139E4" w:rsidRPr="00CE032F" w:rsidRDefault="002139E4" w:rsidP="001A259A">
            <w:pPr>
              <w:spacing w:before="40" w:after="120"/>
              <w:ind w:right="284"/>
              <w:jc w:val="right"/>
              <w:rPr>
                <w:sz w:val="20"/>
                <w:szCs w:val="20"/>
              </w:rPr>
            </w:pPr>
            <w:r>
              <w:rPr>
                <w:sz w:val="20"/>
                <w:szCs w:val="20"/>
              </w:rPr>
              <w:t>3</w:t>
            </w:r>
          </w:p>
        </w:tc>
        <w:tc>
          <w:tcPr>
            <w:tcW w:w="4252" w:type="dxa"/>
            <w:tcBorders>
              <w:top w:val="nil"/>
              <w:bottom w:val="nil"/>
            </w:tcBorders>
            <w:shd w:val="clear" w:color="auto" w:fill="auto"/>
          </w:tcPr>
          <w:p w14:paraId="5ABBB27A" w14:textId="77777777" w:rsidR="002139E4" w:rsidRPr="00CE032F" w:rsidRDefault="002139E4" w:rsidP="001A259A">
            <w:pPr>
              <w:spacing w:before="40" w:after="120"/>
              <w:ind w:right="113"/>
              <w:jc w:val="both"/>
              <w:rPr>
                <w:sz w:val="20"/>
                <w:szCs w:val="20"/>
              </w:rPr>
            </w:pPr>
            <w:r w:rsidRPr="00E30843">
              <w:rPr>
                <w:sz w:val="20"/>
                <w:szCs w:val="20"/>
              </w:rPr>
              <w:t>Written submission by the National Human Rights Council of Morocco</w:t>
            </w:r>
          </w:p>
        </w:tc>
      </w:tr>
      <w:tr w:rsidR="002139E4" w:rsidRPr="00CE032F" w14:paraId="0D1D271C" w14:textId="77777777" w:rsidTr="001A259A">
        <w:trPr>
          <w:trHeight w:val="255"/>
        </w:trPr>
        <w:tc>
          <w:tcPr>
            <w:tcW w:w="2410" w:type="dxa"/>
            <w:tcBorders>
              <w:top w:val="nil"/>
              <w:bottom w:val="nil"/>
            </w:tcBorders>
            <w:shd w:val="clear" w:color="auto" w:fill="auto"/>
          </w:tcPr>
          <w:p w14:paraId="352B108E" w14:textId="77777777" w:rsidR="002139E4" w:rsidRPr="00CE032F" w:rsidRDefault="002139E4" w:rsidP="001A259A">
            <w:pPr>
              <w:spacing w:before="40" w:after="120"/>
              <w:ind w:right="113"/>
              <w:rPr>
                <w:sz w:val="20"/>
                <w:szCs w:val="20"/>
              </w:rPr>
            </w:pPr>
            <w:r>
              <w:rPr>
                <w:sz w:val="20"/>
                <w:szCs w:val="20"/>
              </w:rPr>
              <w:t>A/HRC/37/NI/3</w:t>
            </w:r>
            <w:r w:rsidRPr="00BE6890">
              <w:rPr>
                <w:sz w:val="20"/>
                <w:szCs w:val="20"/>
              </w:rPr>
              <w:t xml:space="preserve"> </w:t>
            </w:r>
          </w:p>
        </w:tc>
        <w:tc>
          <w:tcPr>
            <w:tcW w:w="1276" w:type="dxa"/>
            <w:tcBorders>
              <w:top w:val="nil"/>
              <w:bottom w:val="nil"/>
            </w:tcBorders>
            <w:shd w:val="clear" w:color="auto" w:fill="auto"/>
          </w:tcPr>
          <w:p w14:paraId="5026E762" w14:textId="77777777" w:rsidR="002139E4" w:rsidRPr="00CE032F" w:rsidRDefault="002139E4" w:rsidP="001A259A">
            <w:pPr>
              <w:spacing w:before="40" w:after="120"/>
              <w:ind w:right="284"/>
              <w:jc w:val="right"/>
              <w:rPr>
                <w:sz w:val="20"/>
                <w:szCs w:val="20"/>
              </w:rPr>
            </w:pPr>
            <w:r>
              <w:rPr>
                <w:sz w:val="20"/>
                <w:szCs w:val="20"/>
              </w:rPr>
              <w:t>3</w:t>
            </w:r>
          </w:p>
        </w:tc>
        <w:tc>
          <w:tcPr>
            <w:tcW w:w="4252" w:type="dxa"/>
            <w:tcBorders>
              <w:top w:val="nil"/>
              <w:bottom w:val="nil"/>
            </w:tcBorders>
            <w:shd w:val="clear" w:color="auto" w:fill="auto"/>
          </w:tcPr>
          <w:p w14:paraId="7F878598" w14:textId="77777777" w:rsidR="002139E4" w:rsidRPr="00CE032F" w:rsidRDefault="002139E4" w:rsidP="001A259A">
            <w:pPr>
              <w:spacing w:before="40" w:after="120"/>
              <w:ind w:right="113"/>
              <w:jc w:val="both"/>
              <w:rPr>
                <w:sz w:val="20"/>
                <w:szCs w:val="20"/>
              </w:rPr>
            </w:pPr>
            <w:r w:rsidRPr="00D533B0">
              <w:rPr>
                <w:sz w:val="20"/>
                <w:szCs w:val="20"/>
              </w:rPr>
              <w:t>Written submission by the Office of the People</w:t>
            </w:r>
            <w:r>
              <w:rPr>
                <w:sz w:val="20"/>
                <w:szCs w:val="20"/>
              </w:rPr>
              <w:t>’</w:t>
            </w:r>
            <w:r w:rsidRPr="00D533B0">
              <w:rPr>
                <w:sz w:val="20"/>
                <w:szCs w:val="20"/>
              </w:rPr>
              <w:t>s Advocate of Moldova</w:t>
            </w:r>
          </w:p>
        </w:tc>
      </w:tr>
      <w:tr w:rsidR="002139E4" w:rsidRPr="00CE032F" w14:paraId="03D9E766" w14:textId="77777777" w:rsidTr="001A259A">
        <w:trPr>
          <w:trHeight w:val="255"/>
        </w:trPr>
        <w:tc>
          <w:tcPr>
            <w:tcW w:w="2410" w:type="dxa"/>
            <w:tcBorders>
              <w:top w:val="nil"/>
              <w:bottom w:val="nil"/>
            </w:tcBorders>
            <w:shd w:val="clear" w:color="auto" w:fill="auto"/>
          </w:tcPr>
          <w:p w14:paraId="32721FA2" w14:textId="77777777" w:rsidR="002139E4" w:rsidRPr="00CE032F" w:rsidRDefault="002139E4" w:rsidP="001A259A">
            <w:pPr>
              <w:spacing w:before="40" w:after="120"/>
              <w:ind w:right="113"/>
              <w:rPr>
                <w:sz w:val="20"/>
                <w:szCs w:val="20"/>
              </w:rPr>
            </w:pPr>
            <w:r>
              <w:rPr>
                <w:sz w:val="20"/>
                <w:szCs w:val="20"/>
              </w:rPr>
              <w:t>A/HRC/37/NI/4</w:t>
            </w:r>
            <w:r w:rsidRPr="00BE6890">
              <w:rPr>
                <w:sz w:val="20"/>
                <w:szCs w:val="20"/>
              </w:rPr>
              <w:t xml:space="preserve"> </w:t>
            </w:r>
          </w:p>
        </w:tc>
        <w:tc>
          <w:tcPr>
            <w:tcW w:w="1276" w:type="dxa"/>
            <w:tcBorders>
              <w:top w:val="nil"/>
              <w:bottom w:val="nil"/>
            </w:tcBorders>
            <w:shd w:val="clear" w:color="auto" w:fill="auto"/>
          </w:tcPr>
          <w:p w14:paraId="5F34681C" w14:textId="77777777" w:rsidR="002139E4" w:rsidRPr="00CE032F" w:rsidRDefault="002139E4" w:rsidP="001A259A">
            <w:pPr>
              <w:spacing w:before="40" w:after="120"/>
              <w:ind w:right="284"/>
              <w:jc w:val="right"/>
              <w:rPr>
                <w:sz w:val="20"/>
                <w:szCs w:val="20"/>
              </w:rPr>
            </w:pPr>
            <w:r>
              <w:rPr>
                <w:sz w:val="20"/>
                <w:szCs w:val="20"/>
              </w:rPr>
              <w:t>3</w:t>
            </w:r>
          </w:p>
        </w:tc>
        <w:tc>
          <w:tcPr>
            <w:tcW w:w="4252" w:type="dxa"/>
            <w:tcBorders>
              <w:top w:val="nil"/>
              <w:bottom w:val="nil"/>
            </w:tcBorders>
            <w:shd w:val="clear" w:color="auto" w:fill="auto"/>
          </w:tcPr>
          <w:p w14:paraId="788AE757" w14:textId="77777777" w:rsidR="002139E4" w:rsidRPr="00CE032F" w:rsidRDefault="002139E4" w:rsidP="001A259A">
            <w:pPr>
              <w:spacing w:before="40" w:after="120"/>
              <w:ind w:right="113"/>
              <w:jc w:val="both"/>
              <w:rPr>
                <w:sz w:val="20"/>
                <w:szCs w:val="20"/>
              </w:rPr>
            </w:pPr>
            <w:r w:rsidRPr="00E30843">
              <w:rPr>
                <w:sz w:val="20"/>
                <w:szCs w:val="20"/>
              </w:rPr>
              <w:t>Written submission by the Commission for Human Rights and Good Governance of Tanzania</w:t>
            </w:r>
          </w:p>
        </w:tc>
      </w:tr>
      <w:tr w:rsidR="002139E4" w:rsidRPr="00CE032F" w14:paraId="3DADDDA5" w14:textId="77777777" w:rsidTr="001A259A">
        <w:trPr>
          <w:trHeight w:val="255"/>
        </w:trPr>
        <w:tc>
          <w:tcPr>
            <w:tcW w:w="2410" w:type="dxa"/>
            <w:tcBorders>
              <w:top w:val="nil"/>
              <w:bottom w:val="nil"/>
            </w:tcBorders>
            <w:shd w:val="clear" w:color="auto" w:fill="auto"/>
          </w:tcPr>
          <w:p w14:paraId="598EF205" w14:textId="77777777" w:rsidR="002139E4" w:rsidRPr="00CE032F" w:rsidRDefault="002139E4" w:rsidP="001A259A">
            <w:pPr>
              <w:spacing w:before="40" w:after="120"/>
              <w:ind w:right="113"/>
              <w:rPr>
                <w:sz w:val="20"/>
                <w:szCs w:val="20"/>
              </w:rPr>
            </w:pPr>
            <w:r>
              <w:rPr>
                <w:sz w:val="20"/>
                <w:szCs w:val="20"/>
              </w:rPr>
              <w:t>A/HRC/37/NI/5</w:t>
            </w:r>
            <w:r w:rsidRPr="00BE6890">
              <w:rPr>
                <w:sz w:val="20"/>
                <w:szCs w:val="20"/>
              </w:rPr>
              <w:t xml:space="preserve"> </w:t>
            </w:r>
          </w:p>
        </w:tc>
        <w:tc>
          <w:tcPr>
            <w:tcW w:w="1276" w:type="dxa"/>
            <w:tcBorders>
              <w:top w:val="nil"/>
              <w:bottom w:val="nil"/>
            </w:tcBorders>
            <w:shd w:val="clear" w:color="auto" w:fill="auto"/>
          </w:tcPr>
          <w:p w14:paraId="5BE78BF9" w14:textId="77777777" w:rsidR="002139E4" w:rsidRPr="00CE032F" w:rsidRDefault="002139E4" w:rsidP="001A259A">
            <w:pPr>
              <w:spacing w:before="40" w:after="120"/>
              <w:ind w:right="284"/>
              <w:jc w:val="right"/>
              <w:rPr>
                <w:sz w:val="20"/>
                <w:szCs w:val="20"/>
              </w:rPr>
            </w:pPr>
            <w:r>
              <w:rPr>
                <w:sz w:val="20"/>
                <w:szCs w:val="20"/>
              </w:rPr>
              <w:t>7</w:t>
            </w:r>
          </w:p>
        </w:tc>
        <w:tc>
          <w:tcPr>
            <w:tcW w:w="4252" w:type="dxa"/>
            <w:tcBorders>
              <w:top w:val="nil"/>
              <w:bottom w:val="nil"/>
            </w:tcBorders>
            <w:shd w:val="clear" w:color="auto" w:fill="auto"/>
          </w:tcPr>
          <w:p w14:paraId="5CF1A759" w14:textId="77777777" w:rsidR="002139E4" w:rsidRPr="00CE032F" w:rsidRDefault="002139E4" w:rsidP="001A259A">
            <w:pPr>
              <w:spacing w:before="40" w:after="120"/>
              <w:ind w:right="113"/>
              <w:jc w:val="both"/>
              <w:rPr>
                <w:sz w:val="20"/>
                <w:szCs w:val="20"/>
              </w:rPr>
            </w:pPr>
            <w:r w:rsidRPr="00D533B0">
              <w:rPr>
                <w:sz w:val="20"/>
                <w:szCs w:val="20"/>
              </w:rPr>
              <w:t>Written submission by the Independent Commission for Human Rights of the State of Palestine</w:t>
            </w:r>
          </w:p>
        </w:tc>
      </w:tr>
      <w:tr w:rsidR="002139E4" w:rsidRPr="00CE032F" w14:paraId="64AEB4CB" w14:textId="77777777" w:rsidTr="001A259A">
        <w:trPr>
          <w:trHeight w:val="255"/>
        </w:trPr>
        <w:tc>
          <w:tcPr>
            <w:tcW w:w="2410" w:type="dxa"/>
            <w:shd w:val="clear" w:color="auto" w:fill="auto"/>
          </w:tcPr>
          <w:p w14:paraId="521CD463" w14:textId="77777777" w:rsidR="002139E4" w:rsidRPr="00CE032F" w:rsidRDefault="002139E4" w:rsidP="001A259A">
            <w:pPr>
              <w:spacing w:before="40" w:after="120"/>
              <w:ind w:right="113"/>
              <w:rPr>
                <w:sz w:val="20"/>
                <w:szCs w:val="20"/>
              </w:rPr>
            </w:pPr>
            <w:r>
              <w:rPr>
                <w:sz w:val="20"/>
                <w:szCs w:val="20"/>
              </w:rPr>
              <w:t>A/HRC/37/NI/6</w:t>
            </w:r>
            <w:r w:rsidRPr="00BE6890">
              <w:rPr>
                <w:sz w:val="20"/>
                <w:szCs w:val="20"/>
              </w:rPr>
              <w:t xml:space="preserve"> </w:t>
            </w:r>
          </w:p>
        </w:tc>
        <w:tc>
          <w:tcPr>
            <w:tcW w:w="1276" w:type="dxa"/>
            <w:shd w:val="clear" w:color="auto" w:fill="auto"/>
          </w:tcPr>
          <w:p w14:paraId="370CC4D0" w14:textId="77777777" w:rsidR="002139E4" w:rsidRPr="00CE032F" w:rsidRDefault="002139E4" w:rsidP="001A259A">
            <w:pPr>
              <w:spacing w:before="40" w:after="120"/>
              <w:ind w:right="284"/>
              <w:jc w:val="right"/>
              <w:rPr>
                <w:sz w:val="20"/>
                <w:szCs w:val="20"/>
              </w:rPr>
            </w:pPr>
            <w:r>
              <w:rPr>
                <w:sz w:val="20"/>
                <w:szCs w:val="20"/>
              </w:rPr>
              <w:t>3</w:t>
            </w:r>
          </w:p>
        </w:tc>
        <w:tc>
          <w:tcPr>
            <w:tcW w:w="4252" w:type="dxa"/>
            <w:shd w:val="clear" w:color="auto" w:fill="auto"/>
          </w:tcPr>
          <w:p w14:paraId="7FE73A26" w14:textId="77777777" w:rsidR="002139E4" w:rsidRPr="00CE032F" w:rsidRDefault="002139E4" w:rsidP="001A259A">
            <w:pPr>
              <w:spacing w:before="40" w:after="120"/>
              <w:ind w:right="113"/>
              <w:rPr>
                <w:sz w:val="20"/>
                <w:szCs w:val="20"/>
              </w:rPr>
            </w:pPr>
            <w:r w:rsidRPr="00D533B0">
              <w:rPr>
                <w:sz w:val="20"/>
                <w:szCs w:val="20"/>
              </w:rPr>
              <w:t>Written submission by the National Commission on Human Rights of Kenya</w:t>
            </w:r>
          </w:p>
        </w:tc>
      </w:tr>
    </w:tbl>
    <w:p w14:paraId="1D5ACCA7" w14:textId="77777777" w:rsidR="002139E4" w:rsidRDefault="002139E4" w:rsidP="002139E4">
      <w:pPr>
        <w:spacing w:after="200" w:line="276" w:lineRule="auto"/>
        <w:rPr>
          <w:color w:val="000000" w:themeColor="text1"/>
          <w:sz w:val="6"/>
          <w:szCs w:val="6"/>
        </w:rPr>
      </w:pPr>
    </w:p>
    <w:tbl>
      <w:tblPr>
        <w:tblW w:w="7938"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Caption w:val="Document issued in the Government series"/>
        <w:tblDescription w:val="Document issued in the Government series"/>
      </w:tblPr>
      <w:tblGrid>
        <w:gridCol w:w="2410"/>
        <w:gridCol w:w="1276"/>
        <w:gridCol w:w="4252"/>
      </w:tblGrid>
      <w:tr w:rsidR="002139E4" w:rsidRPr="00CE032F" w14:paraId="5EDB067A" w14:textId="77777777" w:rsidTr="001A259A">
        <w:trPr>
          <w:trHeight w:val="255"/>
          <w:tblHeader/>
        </w:trPr>
        <w:tc>
          <w:tcPr>
            <w:tcW w:w="7938" w:type="dxa"/>
            <w:gridSpan w:val="3"/>
            <w:tcBorders>
              <w:top w:val="nil"/>
              <w:bottom w:val="single" w:sz="12" w:space="0" w:color="auto"/>
            </w:tcBorders>
            <w:shd w:val="clear" w:color="auto" w:fill="auto"/>
            <w:vAlign w:val="bottom"/>
          </w:tcPr>
          <w:p w14:paraId="3F69F4A4" w14:textId="77777777" w:rsidR="002139E4" w:rsidRPr="008A2444" w:rsidRDefault="002139E4" w:rsidP="001A259A">
            <w:pPr>
              <w:spacing w:before="80" w:after="80" w:line="200" w:lineRule="exact"/>
              <w:ind w:right="113"/>
              <w:rPr>
                <w:i/>
                <w:sz w:val="16"/>
                <w:szCs w:val="16"/>
                <w:highlight w:val="yellow"/>
              </w:rPr>
            </w:pPr>
            <w:r w:rsidRPr="008F2759">
              <w:rPr>
                <w:i/>
                <w:sz w:val="16"/>
                <w:szCs w:val="16"/>
              </w:rPr>
              <w:lastRenderedPageBreak/>
              <w:t xml:space="preserve">Documents issued in the </w:t>
            </w:r>
            <w:r w:rsidRPr="007E4FEF">
              <w:rPr>
                <w:i/>
                <w:sz w:val="16"/>
                <w:szCs w:val="16"/>
              </w:rPr>
              <w:t xml:space="preserve">non-governmental organization </w:t>
            </w:r>
            <w:r w:rsidRPr="008F2759">
              <w:rPr>
                <w:i/>
                <w:sz w:val="16"/>
                <w:szCs w:val="16"/>
              </w:rPr>
              <w:t>series</w:t>
            </w:r>
          </w:p>
        </w:tc>
      </w:tr>
      <w:tr w:rsidR="002139E4" w:rsidRPr="00CE032F" w14:paraId="5854C02E" w14:textId="77777777" w:rsidTr="001A259A">
        <w:trPr>
          <w:trHeight w:val="255"/>
          <w:tblHeader/>
        </w:trPr>
        <w:tc>
          <w:tcPr>
            <w:tcW w:w="2410" w:type="dxa"/>
            <w:tcBorders>
              <w:top w:val="single" w:sz="4" w:space="0" w:color="auto"/>
              <w:bottom w:val="single" w:sz="12" w:space="0" w:color="auto"/>
            </w:tcBorders>
            <w:shd w:val="clear" w:color="auto" w:fill="auto"/>
            <w:vAlign w:val="bottom"/>
          </w:tcPr>
          <w:p w14:paraId="13945A6D" w14:textId="77777777" w:rsidR="002139E4" w:rsidRPr="00CE032F" w:rsidRDefault="002139E4" w:rsidP="001A259A">
            <w:pPr>
              <w:spacing w:before="80" w:after="80" w:line="200" w:lineRule="exact"/>
              <w:ind w:right="113"/>
              <w:rPr>
                <w:i/>
                <w:sz w:val="16"/>
                <w:szCs w:val="16"/>
              </w:rPr>
            </w:pPr>
            <w:r w:rsidRPr="00CE032F">
              <w:rPr>
                <w:i/>
                <w:sz w:val="16"/>
                <w:szCs w:val="16"/>
              </w:rPr>
              <w:t xml:space="preserve">Symbol </w:t>
            </w:r>
          </w:p>
        </w:tc>
        <w:tc>
          <w:tcPr>
            <w:tcW w:w="1276" w:type="dxa"/>
            <w:tcBorders>
              <w:top w:val="single" w:sz="4" w:space="0" w:color="auto"/>
              <w:bottom w:val="single" w:sz="12" w:space="0" w:color="auto"/>
            </w:tcBorders>
            <w:shd w:val="clear" w:color="auto" w:fill="auto"/>
            <w:vAlign w:val="bottom"/>
          </w:tcPr>
          <w:p w14:paraId="3D5DD4D9" w14:textId="77777777" w:rsidR="002139E4" w:rsidRPr="00CE032F" w:rsidRDefault="002139E4" w:rsidP="001A259A">
            <w:pPr>
              <w:spacing w:before="80" w:after="80" w:line="200" w:lineRule="exact"/>
              <w:ind w:right="113"/>
              <w:rPr>
                <w:i/>
                <w:sz w:val="16"/>
                <w:szCs w:val="16"/>
              </w:rPr>
            </w:pPr>
            <w:r w:rsidRPr="00CE032F">
              <w:rPr>
                <w:i/>
                <w:sz w:val="16"/>
                <w:szCs w:val="16"/>
              </w:rPr>
              <w:t>Agenda item</w:t>
            </w:r>
          </w:p>
        </w:tc>
        <w:tc>
          <w:tcPr>
            <w:tcW w:w="4252" w:type="dxa"/>
            <w:tcBorders>
              <w:top w:val="single" w:sz="4" w:space="0" w:color="auto"/>
              <w:bottom w:val="single" w:sz="12" w:space="0" w:color="auto"/>
            </w:tcBorders>
            <w:shd w:val="clear" w:color="auto" w:fill="auto"/>
            <w:vAlign w:val="bottom"/>
          </w:tcPr>
          <w:p w14:paraId="53BB6D16" w14:textId="77777777" w:rsidR="002139E4" w:rsidRPr="00CE032F" w:rsidRDefault="002139E4" w:rsidP="001A259A">
            <w:pPr>
              <w:spacing w:before="80" w:after="80" w:line="200" w:lineRule="exact"/>
              <w:ind w:right="113"/>
              <w:rPr>
                <w:i/>
                <w:sz w:val="20"/>
                <w:szCs w:val="20"/>
              </w:rPr>
            </w:pPr>
          </w:p>
        </w:tc>
      </w:tr>
      <w:tr w:rsidR="002139E4" w:rsidRPr="00CE032F" w14:paraId="0ABAF23D" w14:textId="77777777" w:rsidTr="001A259A">
        <w:trPr>
          <w:trHeight w:hRule="exact" w:val="113"/>
          <w:tblHeader/>
        </w:trPr>
        <w:tc>
          <w:tcPr>
            <w:tcW w:w="2410" w:type="dxa"/>
            <w:tcBorders>
              <w:top w:val="single" w:sz="12" w:space="0" w:color="auto"/>
              <w:bottom w:val="nil"/>
            </w:tcBorders>
            <w:shd w:val="clear" w:color="auto" w:fill="auto"/>
          </w:tcPr>
          <w:p w14:paraId="465D80B9" w14:textId="77777777" w:rsidR="002139E4" w:rsidRPr="00CE032F" w:rsidRDefault="002139E4" w:rsidP="001A259A">
            <w:pPr>
              <w:spacing w:before="40" w:after="120"/>
              <w:ind w:right="113"/>
              <w:rPr>
                <w:sz w:val="20"/>
                <w:szCs w:val="20"/>
              </w:rPr>
            </w:pPr>
          </w:p>
        </w:tc>
        <w:tc>
          <w:tcPr>
            <w:tcW w:w="1276" w:type="dxa"/>
            <w:tcBorders>
              <w:top w:val="single" w:sz="12" w:space="0" w:color="auto"/>
              <w:bottom w:val="nil"/>
            </w:tcBorders>
            <w:shd w:val="clear" w:color="auto" w:fill="auto"/>
          </w:tcPr>
          <w:p w14:paraId="0C201526" w14:textId="77777777" w:rsidR="002139E4" w:rsidRPr="00CE032F" w:rsidRDefault="002139E4" w:rsidP="001A259A">
            <w:pPr>
              <w:spacing w:before="40" w:after="120"/>
              <w:ind w:right="284"/>
              <w:jc w:val="right"/>
              <w:rPr>
                <w:sz w:val="20"/>
                <w:szCs w:val="20"/>
              </w:rPr>
            </w:pPr>
          </w:p>
        </w:tc>
        <w:tc>
          <w:tcPr>
            <w:tcW w:w="4252" w:type="dxa"/>
            <w:tcBorders>
              <w:top w:val="single" w:sz="12" w:space="0" w:color="auto"/>
              <w:bottom w:val="nil"/>
            </w:tcBorders>
            <w:shd w:val="clear" w:color="auto" w:fill="auto"/>
          </w:tcPr>
          <w:p w14:paraId="45D80169" w14:textId="77777777" w:rsidR="002139E4" w:rsidRPr="00CE032F" w:rsidRDefault="002139E4" w:rsidP="001A259A">
            <w:pPr>
              <w:spacing w:before="40" w:after="120"/>
              <w:ind w:right="113"/>
              <w:rPr>
                <w:sz w:val="20"/>
                <w:szCs w:val="20"/>
              </w:rPr>
            </w:pPr>
          </w:p>
        </w:tc>
      </w:tr>
      <w:tr w:rsidR="002139E4" w:rsidRPr="00CE032F" w14:paraId="55EFA8BE" w14:textId="77777777" w:rsidTr="001A259A">
        <w:trPr>
          <w:trHeight w:val="255"/>
        </w:trPr>
        <w:tc>
          <w:tcPr>
            <w:tcW w:w="2410" w:type="dxa"/>
            <w:tcBorders>
              <w:top w:val="nil"/>
              <w:bottom w:val="nil"/>
            </w:tcBorders>
            <w:shd w:val="clear" w:color="auto" w:fill="auto"/>
          </w:tcPr>
          <w:p w14:paraId="40EBC083" w14:textId="77777777" w:rsidR="002139E4" w:rsidRPr="00CE032F" w:rsidRDefault="002139E4" w:rsidP="001A259A">
            <w:pPr>
              <w:spacing w:before="40" w:after="120"/>
              <w:ind w:right="113"/>
              <w:rPr>
                <w:sz w:val="20"/>
                <w:szCs w:val="20"/>
              </w:rPr>
            </w:pPr>
            <w:r w:rsidRPr="00DF35F2">
              <w:rPr>
                <w:sz w:val="20"/>
                <w:szCs w:val="20"/>
              </w:rPr>
              <w:t>A/HRC/40/NGO/1</w:t>
            </w:r>
          </w:p>
        </w:tc>
        <w:tc>
          <w:tcPr>
            <w:tcW w:w="1276" w:type="dxa"/>
            <w:tcBorders>
              <w:top w:val="nil"/>
              <w:bottom w:val="nil"/>
            </w:tcBorders>
            <w:shd w:val="clear" w:color="auto" w:fill="auto"/>
          </w:tcPr>
          <w:p w14:paraId="2F453DD4" w14:textId="77777777" w:rsidR="002139E4" w:rsidRPr="00CE032F" w:rsidRDefault="002139E4" w:rsidP="001A259A">
            <w:pPr>
              <w:spacing w:before="40" w:after="120"/>
              <w:ind w:right="284"/>
              <w:jc w:val="right"/>
              <w:rPr>
                <w:sz w:val="20"/>
                <w:szCs w:val="20"/>
              </w:rPr>
            </w:pPr>
            <w:r>
              <w:rPr>
                <w:sz w:val="20"/>
                <w:szCs w:val="20"/>
              </w:rPr>
              <w:t>3</w:t>
            </w:r>
          </w:p>
        </w:tc>
        <w:tc>
          <w:tcPr>
            <w:tcW w:w="4252" w:type="dxa"/>
            <w:tcBorders>
              <w:top w:val="nil"/>
              <w:bottom w:val="nil"/>
            </w:tcBorders>
            <w:shd w:val="clear" w:color="auto" w:fill="auto"/>
            <w:vAlign w:val="center"/>
          </w:tcPr>
          <w:p w14:paraId="0E61B87F" w14:textId="77777777" w:rsidR="002139E4" w:rsidRPr="00CE032F" w:rsidRDefault="002139E4" w:rsidP="001A259A">
            <w:pPr>
              <w:spacing w:before="40" w:after="120"/>
              <w:ind w:right="113"/>
              <w:rPr>
                <w:sz w:val="20"/>
                <w:szCs w:val="20"/>
              </w:rPr>
            </w:pPr>
            <w:r w:rsidRPr="00DF35F2">
              <w:rPr>
                <w:sz w:val="20"/>
                <w:szCs w:val="20"/>
              </w:rPr>
              <w:t>Written statement submitted by Khiam Rehabilitation Center for Victims of Torture, a non-governmental organization in special consultative status</w:t>
            </w:r>
          </w:p>
        </w:tc>
      </w:tr>
      <w:tr w:rsidR="002139E4" w:rsidRPr="00CE032F" w14:paraId="749D3AED" w14:textId="77777777" w:rsidTr="001A259A">
        <w:trPr>
          <w:trHeight w:val="255"/>
        </w:trPr>
        <w:tc>
          <w:tcPr>
            <w:tcW w:w="2410" w:type="dxa"/>
            <w:tcBorders>
              <w:top w:val="nil"/>
              <w:bottom w:val="nil"/>
            </w:tcBorders>
            <w:shd w:val="clear" w:color="auto" w:fill="auto"/>
          </w:tcPr>
          <w:p w14:paraId="66295B3C" w14:textId="77777777" w:rsidR="002139E4" w:rsidRPr="00DF35F2" w:rsidRDefault="002139E4" w:rsidP="001A259A">
            <w:pPr>
              <w:spacing w:before="40" w:after="120"/>
              <w:ind w:right="113"/>
              <w:rPr>
                <w:sz w:val="20"/>
                <w:szCs w:val="20"/>
              </w:rPr>
            </w:pPr>
            <w:r w:rsidRPr="00296342">
              <w:rPr>
                <w:sz w:val="20"/>
                <w:szCs w:val="20"/>
              </w:rPr>
              <w:t>A/HRC/40/NGO</w:t>
            </w:r>
            <w:r>
              <w:rPr>
                <w:sz w:val="20"/>
                <w:szCs w:val="20"/>
              </w:rPr>
              <w:t>/2</w:t>
            </w:r>
          </w:p>
        </w:tc>
        <w:tc>
          <w:tcPr>
            <w:tcW w:w="1276" w:type="dxa"/>
            <w:tcBorders>
              <w:top w:val="nil"/>
              <w:bottom w:val="nil"/>
            </w:tcBorders>
            <w:shd w:val="clear" w:color="auto" w:fill="auto"/>
          </w:tcPr>
          <w:p w14:paraId="5B9E014F" w14:textId="77777777" w:rsidR="002139E4" w:rsidRDefault="002139E4" w:rsidP="001A259A">
            <w:pPr>
              <w:spacing w:before="40" w:after="120"/>
              <w:ind w:right="284"/>
              <w:jc w:val="right"/>
              <w:rPr>
                <w:sz w:val="20"/>
                <w:szCs w:val="20"/>
              </w:rPr>
            </w:pPr>
            <w:r>
              <w:rPr>
                <w:sz w:val="20"/>
                <w:szCs w:val="20"/>
              </w:rPr>
              <w:t>4</w:t>
            </w:r>
          </w:p>
        </w:tc>
        <w:tc>
          <w:tcPr>
            <w:tcW w:w="4252" w:type="dxa"/>
            <w:tcBorders>
              <w:top w:val="nil"/>
              <w:bottom w:val="nil"/>
            </w:tcBorders>
            <w:shd w:val="clear" w:color="auto" w:fill="auto"/>
            <w:vAlign w:val="center"/>
          </w:tcPr>
          <w:p w14:paraId="57A51ED8" w14:textId="77777777" w:rsidR="002139E4" w:rsidRPr="00DF35F2" w:rsidRDefault="002139E4" w:rsidP="001A259A">
            <w:pPr>
              <w:spacing w:before="40" w:after="120"/>
              <w:ind w:right="113"/>
              <w:rPr>
                <w:sz w:val="20"/>
                <w:szCs w:val="20"/>
              </w:rPr>
            </w:pPr>
            <w:r w:rsidRPr="0094451F">
              <w:rPr>
                <w:sz w:val="20"/>
                <w:szCs w:val="20"/>
              </w:rPr>
              <w:t>Written statement submitted by Khiam Rehabilitation Center for Victims of Torture, a non-governmental organization in special consultative status</w:t>
            </w:r>
          </w:p>
        </w:tc>
      </w:tr>
      <w:tr w:rsidR="002139E4" w:rsidRPr="00CE032F" w14:paraId="492D3526" w14:textId="77777777" w:rsidTr="001A259A">
        <w:trPr>
          <w:trHeight w:val="255"/>
        </w:trPr>
        <w:tc>
          <w:tcPr>
            <w:tcW w:w="2410" w:type="dxa"/>
            <w:tcBorders>
              <w:top w:val="nil"/>
              <w:bottom w:val="nil"/>
            </w:tcBorders>
            <w:shd w:val="clear" w:color="auto" w:fill="auto"/>
          </w:tcPr>
          <w:p w14:paraId="4EEA9CF8"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/3</w:t>
            </w:r>
          </w:p>
        </w:tc>
        <w:tc>
          <w:tcPr>
            <w:tcW w:w="1276" w:type="dxa"/>
            <w:tcBorders>
              <w:top w:val="nil"/>
              <w:bottom w:val="nil"/>
            </w:tcBorders>
            <w:shd w:val="clear" w:color="auto" w:fill="auto"/>
          </w:tcPr>
          <w:p w14:paraId="1994AE23" w14:textId="77777777" w:rsidR="002139E4" w:rsidRDefault="002139E4" w:rsidP="001A259A">
            <w:pPr>
              <w:spacing w:before="40" w:after="120"/>
              <w:ind w:right="284"/>
              <w:jc w:val="right"/>
              <w:rPr>
                <w:sz w:val="20"/>
                <w:szCs w:val="20"/>
              </w:rPr>
            </w:pPr>
            <w:r>
              <w:rPr>
                <w:sz w:val="20"/>
                <w:szCs w:val="20"/>
              </w:rPr>
              <w:t>6</w:t>
            </w:r>
          </w:p>
        </w:tc>
        <w:tc>
          <w:tcPr>
            <w:tcW w:w="4252" w:type="dxa"/>
            <w:tcBorders>
              <w:top w:val="nil"/>
              <w:bottom w:val="nil"/>
            </w:tcBorders>
            <w:shd w:val="clear" w:color="auto" w:fill="auto"/>
            <w:vAlign w:val="center"/>
          </w:tcPr>
          <w:p w14:paraId="77E93899" w14:textId="77777777" w:rsidR="002139E4" w:rsidRPr="0094451F" w:rsidRDefault="002139E4" w:rsidP="001A259A">
            <w:pPr>
              <w:spacing w:before="40" w:after="120"/>
              <w:ind w:right="113"/>
              <w:rPr>
                <w:sz w:val="20"/>
                <w:szCs w:val="20"/>
              </w:rPr>
            </w:pPr>
            <w:r w:rsidRPr="007012A7">
              <w:rPr>
                <w:sz w:val="20"/>
                <w:szCs w:val="20"/>
              </w:rPr>
              <w:t>Written statement submitted by Khiam Rehabilitation Center for Victims of Torture, a non-governmental organization in special consultative status</w:t>
            </w:r>
          </w:p>
        </w:tc>
      </w:tr>
      <w:tr w:rsidR="002139E4" w:rsidRPr="00CE032F" w14:paraId="4ECFB315" w14:textId="77777777" w:rsidTr="001A259A">
        <w:trPr>
          <w:trHeight w:val="255"/>
        </w:trPr>
        <w:tc>
          <w:tcPr>
            <w:tcW w:w="2410" w:type="dxa"/>
            <w:tcBorders>
              <w:top w:val="nil"/>
              <w:bottom w:val="nil"/>
            </w:tcBorders>
            <w:shd w:val="clear" w:color="auto" w:fill="auto"/>
          </w:tcPr>
          <w:p w14:paraId="665CDE7A"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/4</w:t>
            </w:r>
          </w:p>
        </w:tc>
        <w:tc>
          <w:tcPr>
            <w:tcW w:w="1276" w:type="dxa"/>
            <w:tcBorders>
              <w:top w:val="nil"/>
              <w:bottom w:val="nil"/>
            </w:tcBorders>
            <w:shd w:val="clear" w:color="auto" w:fill="auto"/>
          </w:tcPr>
          <w:p w14:paraId="13CFC8D6" w14:textId="77777777" w:rsidR="002139E4" w:rsidRDefault="002139E4" w:rsidP="001A259A">
            <w:pPr>
              <w:spacing w:before="40" w:after="120"/>
              <w:ind w:right="284"/>
              <w:jc w:val="right"/>
              <w:rPr>
                <w:sz w:val="20"/>
                <w:szCs w:val="20"/>
              </w:rPr>
            </w:pPr>
            <w:r>
              <w:rPr>
                <w:sz w:val="20"/>
                <w:szCs w:val="20"/>
              </w:rPr>
              <w:t>3</w:t>
            </w:r>
          </w:p>
        </w:tc>
        <w:tc>
          <w:tcPr>
            <w:tcW w:w="4252" w:type="dxa"/>
            <w:tcBorders>
              <w:top w:val="nil"/>
              <w:bottom w:val="nil"/>
            </w:tcBorders>
            <w:shd w:val="clear" w:color="auto" w:fill="auto"/>
            <w:vAlign w:val="center"/>
          </w:tcPr>
          <w:p w14:paraId="25587D68" w14:textId="77777777" w:rsidR="002139E4" w:rsidRPr="007012A7" w:rsidRDefault="002139E4" w:rsidP="001A259A">
            <w:pPr>
              <w:spacing w:before="40" w:after="120"/>
              <w:ind w:right="113"/>
              <w:rPr>
                <w:sz w:val="20"/>
                <w:szCs w:val="20"/>
              </w:rPr>
            </w:pPr>
            <w:r>
              <w:rPr>
                <w:sz w:val="20"/>
                <w:szCs w:val="20"/>
              </w:rPr>
              <w:t>Written statement</w:t>
            </w:r>
            <w:r w:rsidRPr="007012A7">
              <w:rPr>
                <w:sz w:val="20"/>
                <w:szCs w:val="20"/>
              </w:rPr>
              <w:t xml:space="preserve"> submitted by Khiam Rehabilitation Center for Victims of Torture, a non-governmental organization in special consultative status</w:t>
            </w:r>
          </w:p>
        </w:tc>
      </w:tr>
      <w:tr w:rsidR="002139E4" w:rsidRPr="00CE032F" w14:paraId="6AC6A5A3" w14:textId="77777777" w:rsidTr="001A259A">
        <w:trPr>
          <w:trHeight w:val="255"/>
        </w:trPr>
        <w:tc>
          <w:tcPr>
            <w:tcW w:w="2410" w:type="dxa"/>
            <w:tcBorders>
              <w:top w:val="nil"/>
              <w:bottom w:val="nil"/>
            </w:tcBorders>
            <w:shd w:val="clear" w:color="auto" w:fill="auto"/>
          </w:tcPr>
          <w:p w14:paraId="1115FE3B"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/5</w:t>
            </w:r>
          </w:p>
        </w:tc>
        <w:tc>
          <w:tcPr>
            <w:tcW w:w="1276" w:type="dxa"/>
            <w:tcBorders>
              <w:top w:val="nil"/>
              <w:bottom w:val="nil"/>
            </w:tcBorders>
            <w:shd w:val="clear" w:color="auto" w:fill="auto"/>
          </w:tcPr>
          <w:p w14:paraId="13C6C97F" w14:textId="77777777" w:rsidR="002139E4" w:rsidRDefault="002139E4" w:rsidP="001A259A">
            <w:pPr>
              <w:spacing w:before="40" w:after="120"/>
              <w:ind w:right="284"/>
              <w:jc w:val="right"/>
              <w:rPr>
                <w:sz w:val="20"/>
                <w:szCs w:val="20"/>
              </w:rPr>
            </w:pPr>
            <w:r>
              <w:rPr>
                <w:sz w:val="20"/>
                <w:szCs w:val="20"/>
              </w:rPr>
              <w:t>3</w:t>
            </w:r>
          </w:p>
        </w:tc>
        <w:tc>
          <w:tcPr>
            <w:tcW w:w="4252" w:type="dxa"/>
            <w:tcBorders>
              <w:top w:val="nil"/>
              <w:bottom w:val="nil"/>
            </w:tcBorders>
            <w:shd w:val="clear" w:color="auto" w:fill="auto"/>
            <w:vAlign w:val="center"/>
          </w:tcPr>
          <w:p w14:paraId="4C2CB91F" w14:textId="77777777" w:rsidR="002139E4" w:rsidRDefault="002139E4" w:rsidP="001A259A">
            <w:pPr>
              <w:spacing w:before="40" w:after="120"/>
              <w:ind w:right="113"/>
              <w:rPr>
                <w:sz w:val="20"/>
                <w:szCs w:val="20"/>
              </w:rPr>
            </w:pPr>
            <w:r w:rsidRPr="007012A7">
              <w:rPr>
                <w:sz w:val="20"/>
                <w:szCs w:val="20"/>
              </w:rPr>
              <w:t>Written statement submitted by First Modern Agro. Tools - Common Initiative Group (FI.MO.AT.C.I.G), a non-governmental organization in special consultative status</w:t>
            </w:r>
          </w:p>
        </w:tc>
      </w:tr>
      <w:tr w:rsidR="002139E4" w:rsidRPr="00CE032F" w14:paraId="2E47D99A" w14:textId="77777777" w:rsidTr="001A259A">
        <w:trPr>
          <w:trHeight w:val="255"/>
        </w:trPr>
        <w:tc>
          <w:tcPr>
            <w:tcW w:w="2410" w:type="dxa"/>
            <w:tcBorders>
              <w:top w:val="nil"/>
              <w:bottom w:val="nil"/>
            </w:tcBorders>
            <w:shd w:val="clear" w:color="auto" w:fill="auto"/>
          </w:tcPr>
          <w:p w14:paraId="61CD5413"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/6</w:t>
            </w:r>
          </w:p>
        </w:tc>
        <w:tc>
          <w:tcPr>
            <w:tcW w:w="1276" w:type="dxa"/>
            <w:tcBorders>
              <w:top w:val="nil"/>
              <w:bottom w:val="nil"/>
            </w:tcBorders>
            <w:shd w:val="clear" w:color="auto" w:fill="auto"/>
          </w:tcPr>
          <w:p w14:paraId="1D1F5278" w14:textId="77777777" w:rsidR="002139E4" w:rsidRDefault="002139E4" w:rsidP="001A259A">
            <w:pPr>
              <w:spacing w:before="40" w:after="120"/>
              <w:ind w:right="284"/>
              <w:jc w:val="right"/>
              <w:rPr>
                <w:sz w:val="20"/>
                <w:szCs w:val="20"/>
              </w:rPr>
            </w:pPr>
            <w:r>
              <w:rPr>
                <w:sz w:val="20"/>
                <w:szCs w:val="20"/>
              </w:rPr>
              <w:t>3</w:t>
            </w:r>
          </w:p>
        </w:tc>
        <w:tc>
          <w:tcPr>
            <w:tcW w:w="4252" w:type="dxa"/>
            <w:tcBorders>
              <w:top w:val="nil"/>
              <w:bottom w:val="nil"/>
            </w:tcBorders>
            <w:shd w:val="clear" w:color="auto" w:fill="auto"/>
            <w:vAlign w:val="center"/>
          </w:tcPr>
          <w:p w14:paraId="55AB78D8" w14:textId="77777777" w:rsidR="002139E4" w:rsidRPr="007012A7" w:rsidRDefault="002139E4" w:rsidP="001A259A">
            <w:pPr>
              <w:spacing w:before="40" w:after="120"/>
              <w:ind w:right="113"/>
              <w:rPr>
                <w:sz w:val="20"/>
                <w:szCs w:val="20"/>
              </w:rPr>
            </w:pPr>
            <w:r w:rsidRPr="00797212">
              <w:rPr>
                <w:sz w:val="20"/>
                <w:szCs w:val="20"/>
              </w:rPr>
              <w:t>Written statement submitted by Himalayan Research and Cultural Foundation, a non-governmental organization in special consultative status</w:t>
            </w:r>
          </w:p>
        </w:tc>
      </w:tr>
      <w:tr w:rsidR="002139E4" w:rsidRPr="00CE032F" w14:paraId="1D0D79F4" w14:textId="77777777" w:rsidTr="001A259A">
        <w:trPr>
          <w:trHeight w:val="255"/>
        </w:trPr>
        <w:tc>
          <w:tcPr>
            <w:tcW w:w="2410" w:type="dxa"/>
            <w:tcBorders>
              <w:top w:val="nil"/>
              <w:bottom w:val="nil"/>
            </w:tcBorders>
            <w:shd w:val="clear" w:color="auto" w:fill="auto"/>
          </w:tcPr>
          <w:p w14:paraId="1573A856"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/7</w:t>
            </w:r>
          </w:p>
        </w:tc>
        <w:tc>
          <w:tcPr>
            <w:tcW w:w="1276" w:type="dxa"/>
            <w:tcBorders>
              <w:top w:val="nil"/>
              <w:bottom w:val="nil"/>
            </w:tcBorders>
            <w:shd w:val="clear" w:color="auto" w:fill="auto"/>
          </w:tcPr>
          <w:p w14:paraId="110DB859" w14:textId="77777777" w:rsidR="002139E4" w:rsidRDefault="002139E4" w:rsidP="001A259A">
            <w:pPr>
              <w:spacing w:before="40" w:after="120"/>
              <w:ind w:right="284"/>
              <w:jc w:val="right"/>
              <w:rPr>
                <w:sz w:val="20"/>
                <w:szCs w:val="20"/>
              </w:rPr>
            </w:pPr>
            <w:r>
              <w:rPr>
                <w:sz w:val="20"/>
                <w:szCs w:val="20"/>
              </w:rPr>
              <w:t>10</w:t>
            </w:r>
          </w:p>
        </w:tc>
        <w:tc>
          <w:tcPr>
            <w:tcW w:w="4252" w:type="dxa"/>
            <w:tcBorders>
              <w:top w:val="nil"/>
              <w:bottom w:val="nil"/>
            </w:tcBorders>
            <w:shd w:val="clear" w:color="auto" w:fill="auto"/>
            <w:vAlign w:val="center"/>
          </w:tcPr>
          <w:p w14:paraId="5665DE49" w14:textId="77777777" w:rsidR="002139E4" w:rsidRPr="00797212" w:rsidRDefault="002139E4" w:rsidP="001A259A">
            <w:pPr>
              <w:spacing w:before="40" w:after="120"/>
              <w:ind w:right="113"/>
              <w:rPr>
                <w:sz w:val="20"/>
                <w:szCs w:val="20"/>
              </w:rPr>
            </w:pPr>
            <w:r w:rsidRPr="002D4F9A">
              <w:rPr>
                <w:sz w:val="20"/>
                <w:szCs w:val="20"/>
              </w:rPr>
              <w:t>Written statement submitted by Imam Ali</w:t>
            </w:r>
            <w:r>
              <w:rPr>
                <w:sz w:val="20"/>
                <w:szCs w:val="20"/>
              </w:rPr>
              <w:t>’</w:t>
            </w:r>
            <w:r w:rsidRPr="002D4F9A">
              <w:rPr>
                <w:sz w:val="20"/>
                <w:szCs w:val="20"/>
              </w:rPr>
              <w:t>s Popular Students Relief Society, a non-governmental organization in general consultative status</w:t>
            </w:r>
          </w:p>
        </w:tc>
      </w:tr>
      <w:tr w:rsidR="002139E4" w:rsidRPr="00CE032F" w14:paraId="6A6DBD09" w14:textId="77777777" w:rsidTr="001A259A">
        <w:trPr>
          <w:trHeight w:val="255"/>
        </w:trPr>
        <w:tc>
          <w:tcPr>
            <w:tcW w:w="2410" w:type="dxa"/>
            <w:tcBorders>
              <w:top w:val="nil"/>
              <w:bottom w:val="nil"/>
            </w:tcBorders>
            <w:shd w:val="clear" w:color="auto" w:fill="auto"/>
          </w:tcPr>
          <w:p w14:paraId="290C3A8B"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/8</w:t>
            </w:r>
          </w:p>
        </w:tc>
        <w:tc>
          <w:tcPr>
            <w:tcW w:w="1276" w:type="dxa"/>
            <w:tcBorders>
              <w:top w:val="nil"/>
              <w:bottom w:val="nil"/>
            </w:tcBorders>
            <w:shd w:val="clear" w:color="auto" w:fill="auto"/>
          </w:tcPr>
          <w:p w14:paraId="552EA31D" w14:textId="77777777" w:rsidR="002139E4" w:rsidRDefault="002139E4" w:rsidP="001A259A">
            <w:pPr>
              <w:spacing w:before="40" w:after="120"/>
              <w:ind w:right="284"/>
              <w:jc w:val="right"/>
              <w:rPr>
                <w:sz w:val="20"/>
                <w:szCs w:val="20"/>
              </w:rPr>
            </w:pPr>
            <w:r>
              <w:rPr>
                <w:sz w:val="20"/>
                <w:szCs w:val="20"/>
              </w:rPr>
              <w:t>3</w:t>
            </w:r>
          </w:p>
        </w:tc>
        <w:tc>
          <w:tcPr>
            <w:tcW w:w="4252" w:type="dxa"/>
            <w:tcBorders>
              <w:top w:val="nil"/>
              <w:bottom w:val="nil"/>
            </w:tcBorders>
            <w:shd w:val="clear" w:color="auto" w:fill="auto"/>
            <w:vAlign w:val="center"/>
          </w:tcPr>
          <w:p w14:paraId="79346759" w14:textId="77777777" w:rsidR="002139E4" w:rsidRPr="002D4F9A" w:rsidRDefault="002139E4" w:rsidP="001A259A">
            <w:pPr>
              <w:spacing w:before="40" w:after="120"/>
              <w:ind w:right="113"/>
              <w:rPr>
                <w:sz w:val="20"/>
                <w:szCs w:val="20"/>
              </w:rPr>
            </w:pPr>
            <w:r w:rsidRPr="002D4F9A">
              <w:rPr>
                <w:sz w:val="20"/>
                <w:szCs w:val="20"/>
              </w:rPr>
              <w:t>Written statement submitted by Organization for Defending Victims of Violence, a non-governmental organization in special consultative status</w:t>
            </w:r>
          </w:p>
        </w:tc>
      </w:tr>
      <w:tr w:rsidR="002139E4" w:rsidRPr="00CE032F" w14:paraId="7007449B" w14:textId="77777777" w:rsidTr="001A259A">
        <w:trPr>
          <w:trHeight w:val="255"/>
        </w:trPr>
        <w:tc>
          <w:tcPr>
            <w:tcW w:w="2410" w:type="dxa"/>
            <w:tcBorders>
              <w:top w:val="nil"/>
              <w:bottom w:val="nil"/>
            </w:tcBorders>
            <w:shd w:val="clear" w:color="auto" w:fill="auto"/>
          </w:tcPr>
          <w:p w14:paraId="0EF9FE47"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/9</w:t>
            </w:r>
          </w:p>
        </w:tc>
        <w:tc>
          <w:tcPr>
            <w:tcW w:w="1276" w:type="dxa"/>
            <w:tcBorders>
              <w:top w:val="nil"/>
              <w:bottom w:val="nil"/>
            </w:tcBorders>
            <w:shd w:val="clear" w:color="auto" w:fill="auto"/>
          </w:tcPr>
          <w:p w14:paraId="279CB4DF" w14:textId="77777777" w:rsidR="002139E4" w:rsidRDefault="002139E4" w:rsidP="001A259A">
            <w:pPr>
              <w:spacing w:before="40" w:after="120"/>
              <w:ind w:right="284"/>
              <w:jc w:val="right"/>
              <w:rPr>
                <w:sz w:val="20"/>
                <w:szCs w:val="20"/>
              </w:rPr>
            </w:pPr>
            <w:r>
              <w:rPr>
                <w:sz w:val="20"/>
                <w:szCs w:val="20"/>
              </w:rPr>
              <w:t>4</w:t>
            </w:r>
          </w:p>
        </w:tc>
        <w:tc>
          <w:tcPr>
            <w:tcW w:w="4252" w:type="dxa"/>
            <w:tcBorders>
              <w:top w:val="nil"/>
              <w:bottom w:val="nil"/>
            </w:tcBorders>
            <w:shd w:val="clear" w:color="auto" w:fill="auto"/>
            <w:vAlign w:val="center"/>
          </w:tcPr>
          <w:p w14:paraId="41D3A900" w14:textId="77777777" w:rsidR="002139E4" w:rsidRPr="002D4F9A" w:rsidRDefault="002139E4" w:rsidP="001A259A">
            <w:pPr>
              <w:spacing w:before="40" w:after="120"/>
              <w:ind w:right="113"/>
              <w:rPr>
                <w:sz w:val="20"/>
                <w:szCs w:val="20"/>
              </w:rPr>
            </w:pPr>
            <w:r w:rsidRPr="00FD039B">
              <w:rPr>
                <w:sz w:val="20"/>
                <w:szCs w:val="20"/>
              </w:rPr>
              <w:t>Written statement submitted by Organization for Defending Victims of Violence, a non-governmental organization in special consultative status</w:t>
            </w:r>
          </w:p>
        </w:tc>
      </w:tr>
      <w:tr w:rsidR="002139E4" w14:paraId="5B8E4E87"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61DFE5D1" w14:textId="77777777" w:rsidR="002139E4" w:rsidRPr="00983714" w:rsidRDefault="002139E4" w:rsidP="001A259A">
            <w:pPr>
              <w:spacing w:before="40" w:after="120" w:line="276" w:lineRule="auto"/>
              <w:ind w:right="113"/>
              <w:rPr>
                <w:sz w:val="20"/>
                <w:szCs w:val="20"/>
              </w:rPr>
            </w:pPr>
            <w:r w:rsidRPr="00DF35F2">
              <w:rPr>
                <w:sz w:val="20"/>
                <w:szCs w:val="20"/>
              </w:rPr>
              <w:t>A/HRC/40/NGO/10</w:t>
            </w:r>
          </w:p>
        </w:tc>
        <w:tc>
          <w:tcPr>
            <w:tcW w:w="1276" w:type="dxa"/>
            <w:tcBorders>
              <w:top w:val="nil"/>
              <w:left w:val="nil"/>
              <w:bottom w:val="nil"/>
              <w:right w:val="nil"/>
            </w:tcBorders>
          </w:tcPr>
          <w:p w14:paraId="65807856" w14:textId="77777777" w:rsidR="002139E4" w:rsidRDefault="002139E4" w:rsidP="001A259A">
            <w:pPr>
              <w:spacing w:before="40" w:after="120" w:line="276" w:lineRule="auto"/>
              <w:ind w:right="284"/>
              <w:jc w:val="right"/>
              <w:rPr>
                <w:sz w:val="20"/>
                <w:szCs w:val="20"/>
              </w:rPr>
            </w:pPr>
            <w:r>
              <w:rPr>
                <w:sz w:val="20"/>
                <w:szCs w:val="20"/>
              </w:rPr>
              <w:t>6</w:t>
            </w:r>
          </w:p>
        </w:tc>
        <w:tc>
          <w:tcPr>
            <w:tcW w:w="4252" w:type="dxa"/>
            <w:tcBorders>
              <w:top w:val="nil"/>
              <w:left w:val="nil"/>
              <w:bottom w:val="nil"/>
              <w:right w:val="nil"/>
            </w:tcBorders>
            <w:vAlign w:val="center"/>
          </w:tcPr>
          <w:p w14:paraId="0C956D49" w14:textId="77777777" w:rsidR="002139E4" w:rsidRDefault="002139E4" w:rsidP="001A259A">
            <w:pPr>
              <w:spacing w:before="40" w:after="120" w:line="276" w:lineRule="auto"/>
              <w:ind w:right="113"/>
              <w:rPr>
                <w:sz w:val="20"/>
                <w:szCs w:val="20"/>
              </w:rPr>
            </w:pPr>
            <w:r w:rsidRPr="00DF35F2">
              <w:rPr>
                <w:sz w:val="20"/>
                <w:szCs w:val="20"/>
              </w:rPr>
              <w:t>Written statement submitted by Organization for Defending Victims of Violence, a non-governmental organization in special consultative status</w:t>
            </w:r>
          </w:p>
        </w:tc>
      </w:tr>
      <w:tr w:rsidR="002139E4" w14:paraId="30667019"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7D67760B" w14:textId="77777777" w:rsidR="002139E4" w:rsidRPr="00A90FC9" w:rsidRDefault="002139E4" w:rsidP="001A259A">
            <w:pPr>
              <w:spacing w:before="40" w:after="120" w:line="276" w:lineRule="auto"/>
              <w:ind w:right="113"/>
              <w:rPr>
                <w:sz w:val="20"/>
                <w:szCs w:val="20"/>
              </w:rPr>
            </w:pPr>
            <w:r w:rsidRPr="00D71694">
              <w:rPr>
                <w:sz w:val="20"/>
                <w:szCs w:val="20"/>
              </w:rPr>
              <w:t>A/HRC/40/NGO/11</w:t>
            </w:r>
          </w:p>
        </w:tc>
        <w:tc>
          <w:tcPr>
            <w:tcW w:w="1276" w:type="dxa"/>
            <w:tcBorders>
              <w:top w:val="nil"/>
              <w:left w:val="nil"/>
              <w:bottom w:val="nil"/>
              <w:right w:val="nil"/>
            </w:tcBorders>
          </w:tcPr>
          <w:p w14:paraId="05287E82" w14:textId="77777777" w:rsidR="002139E4" w:rsidRDefault="002139E4" w:rsidP="001A259A">
            <w:pPr>
              <w:spacing w:before="40" w:after="120" w:line="276" w:lineRule="auto"/>
              <w:ind w:right="284"/>
              <w:jc w:val="right"/>
              <w:rPr>
                <w:sz w:val="20"/>
                <w:szCs w:val="20"/>
              </w:rPr>
            </w:pPr>
            <w:r>
              <w:rPr>
                <w:sz w:val="20"/>
                <w:szCs w:val="20"/>
              </w:rPr>
              <w:t>7</w:t>
            </w:r>
          </w:p>
        </w:tc>
        <w:tc>
          <w:tcPr>
            <w:tcW w:w="4252" w:type="dxa"/>
            <w:tcBorders>
              <w:top w:val="nil"/>
              <w:left w:val="nil"/>
              <w:bottom w:val="nil"/>
              <w:right w:val="nil"/>
            </w:tcBorders>
            <w:vAlign w:val="center"/>
          </w:tcPr>
          <w:p w14:paraId="7D89F419" w14:textId="77777777" w:rsidR="002139E4" w:rsidRDefault="002139E4" w:rsidP="001A259A">
            <w:pPr>
              <w:spacing w:before="40" w:after="120" w:line="276" w:lineRule="auto"/>
              <w:ind w:right="113"/>
              <w:rPr>
                <w:sz w:val="20"/>
                <w:szCs w:val="20"/>
              </w:rPr>
            </w:pPr>
            <w:r w:rsidRPr="00D71694">
              <w:rPr>
                <w:sz w:val="20"/>
                <w:szCs w:val="20"/>
              </w:rPr>
              <w:t>Written statement submitted by Organization for Defending Victims of Violence, a non-</w:t>
            </w:r>
            <w:r w:rsidRPr="00D71694">
              <w:rPr>
                <w:sz w:val="20"/>
                <w:szCs w:val="20"/>
              </w:rPr>
              <w:lastRenderedPageBreak/>
              <w:t>governmental organization in special consultative status</w:t>
            </w:r>
          </w:p>
        </w:tc>
      </w:tr>
      <w:tr w:rsidR="002139E4" w14:paraId="2F8638CD"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64E74339" w14:textId="77777777" w:rsidR="002139E4" w:rsidRPr="00D71694" w:rsidRDefault="002139E4" w:rsidP="001A259A">
            <w:pPr>
              <w:spacing w:before="40" w:after="120" w:line="276" w:lineRule="auto"/>
              <w:ind w:right="113"/>
              <w:rPr>
                <w:sz w:val="20"/>
                <w:szCs w:val="20"/>
              </w:rPr>
            </w:pPr>
            <w:r w:rsidRPr="00296342">
              <w:rPr>
                <w:sz w:val="20"/>
                <w:szCs w:val="20"/>
              </w:rPr>
              <w:lastRenderedPageBreak/>
              <w:t>A/HRC/40/NGO/12</w:t>
            </w:r>
          </w:p>
        </w:tc>
        <w:tc>
          <w:tcPr>
            <w:tcW w:w="1276" w:type="dxa"/>
            <w:tcBorders>
              <w:top w:val="nil"/>
              <w:left w:val="nil"/>
              <w:bottom w:val="nil"/>
              <w:right w:val="nil"/>
            </w:tcBorders>
          </w:tcPr>
          <w:p w14:paraId="170AE13D" w14:textId="77777777" w:rsidR="002139E4" w:rsidRDefault="002139E4" w:rsidP="001A259A">
            <w:pPr>
              <w:spacing w:before="40" w:after="120" w:line="276" w:lineRule="auto"/>
              <w:ind w:right="284"/>
              <w:jc w:val="right"/>
              <w:rPr>
                <w:sz w:val="20"/>
                <w:szCs w:val="20"/>
              </w:rPr>
            </w:pPr>
            <w:r>
              <w:rPr>
                <w:sz w:val="20"/>
                <w:szCs w:val="20"/>
              </w:rPr>
              <w:t>9</w:t>
            </w:r>
          </w:p>
        </w:tc>
        <w:tc>
          <w:tcPr>
            <w:tcW w:w="4252" w:type="dxa"/>
            <w:tcBorders>
              <w:top w:val="nil"/>
              <w:left w:val="nil"/>
              <w:bottom w:val="nil"/>
              <w:right w:val="nil"/>
            </w:tcBorders>
            <w:vAlign w:val="center"/>
          </w:tcPr>
          <w:p w14:paraId="176F9A7C" w14:textId="77777777" w:rsidR="002139E4" w:rsidRPr="00D71694" w:rsidRDefault="002139E4" w:rsidP="001A259A">
            <w:pPr>
              <w:spacing w:before="40" w:after="120" w:line="276" w:lineRule="auto"/>
              <w:ind w:right="113"/>
              <w:rPr>
                <w:sz w:val="20"/>
                <w:szCs w:val="20"/>
              </w:rPr>
            </w:pPr>
            <w:r w:rsidRPr="00296342">
              <w:rPr>
                <w:sz w:val="20"/>
                <w:szCs w:val="20"/>
              </w:rPr>
              <w:t>Written statement submitted by Organization for Defending Victims of Violence, a non-governmental organization in special consultative status</w:t>
            </w:r>
          </w:p>
        </w:tc>
      </w:tr>
      <w:tr w:rsidR="002139E4" w14:paraId="79C2A69B"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4B3DDB53" w14:textId="77777777" w:rsidR="002139E4" w:rsidRPr="00296342" w:rsidRDefault="002139E4" w:rsidP="001A259A">
            <w:pPr>
              <w:spacing w:before="40" w:after="120" w:line="276" w:lineRule="auto"/>
              <w:ind w:right="113"/>
              <w:rPr>
                <w:sz w:val="20"/>
                <w:szCs w:val="20"/>
              </w:rPr>
            </w:pPr>
            <w:r w:rsidRPr="00521171">
              <w:rPr>
                <w:sz w:val="20"/>
                <w:szCs w:val="20"/>
              </w:rPr>
              <w:t>A/HRC/40/NGO/13</w:t>
            </w:r>
          </w:p>
        </w:tc>
        <w:tc>
          <w:tcPr>
            <w:tcW w:w="1276" w:type="dxa"/>
            <w:tcBorders>
              <w:top w:val="nil"/>
              <w:left w:val="nil"/>
              <w:bottom w:val="nil"/>
              <w:right w:val="nil"/>
            </w:tcBorders>
          </w:tcPr>
          <w:p w14:paraId="1F13EA9A" w14:textId="77777777" w:rsidR="002139E4" w:rsidRDefault="002139E4" w:rsidP="001A259A">
            <w:pPr>
              <w:spacing w:before="40" w:after="120" w:line="276" w:lineRule="auto"/>
              <w:ind w:right="284"/>
              <w:jc w:val="right"/>
              <w:rPr>
                <w:sz w:val="20"/>
                <w:szCs w:val="20"/>
              </w:rPr>
            </w:pPr>
            <w:r>
              <w:rPr>
                <w:sz w:val="20"/>
                <w:szCs w:val="20"/>
              </w:rPr>
              <w:t>10</w:t>
            </w:r>
          </w:p>
        </w:tc>
        <w:tc>
          <w:tcPr>
            <w:tcW w:w="4252" w:type="dxa"/>
            <w:tcBorders>
              <w:top w:val="nil"/>
              <w:left w:val="nil"/>
              <w:bottom w:val="nil"/>
              <w:right w:val="nil"/>
            </w:tcBorders>
            <w:vAlign w:val="center"/>
          </w:tcPr>
          <w:p w14:paraId="5A1BDB8D" w14:textId="77777777" w:rsidR="002139E4" w:rsidRPr="00296342" w:rsidRDefault="002139E4" w:rsidP="001A259A">
            <w:pPr>
              <w:spacing w:before="40" w:after="120" w:line="276" w:lineRule="auto"/>
              <w:ind w:right="113"/>
              <w:rPr>
                <w:sz w:val="20"/>
                <w:szCs w:val="20"/>
              </w:rPr>
            </w:pPr>
            <w:r w:rsidRPr="00521171">
              <w:rPr>
                <w:sz w:val="20"/>
                <w:szCs w:val="20"/>
              </w:rPr>
              <w:t>Written statement submitted by Organization for Defending Victims of Violence, a non-governmental organization in special consultative status</w:t>
            </w:r>
          </w:p>
        </w:tc>
      </w:tr>
      <w:tr w:rsidR="002139E4" w14:paraId="635A673D"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3B7E8836" w14:textId="77777777" w:rsidR="002139E4" w:rsidRPr="00296342" w:rsidRDefault="002139E4" w:rsidP="001A259A">
            <w:pPr>
              <w:spacing w:before="40" w:after="120" w:line="276" w:lineRule="auto"/>
              <w:ind w:right="113"/>
              <w:rPr>
                <w:sz w:val="20"/>
                <w:szCs w:val="20"/>
              </w:rPr>
            </w:pPr>
            <w:r w:rsidRPr="00521171">
              <w:rPr>
                <w:sz w:val="20"/>
                <w:szCs w:val="20"/>
              </w:rPr>
              <w:t>A/HRC/40/NGO/</w:t>
            </w:r>
            <w:r>
              <w:rPr>
                <w:sz w:val="20"/>
                <w:szCs w:val="20"/>
              </w:rPr>
              <w:t>14</w:t>
            </w:r>
          </w:p>
        </w:tc>
        <w:tc>
          <w:tcPr>
            <w:tcW w:w="1276" w:type="dxa"/>
            <w:tcBorders>
              <w:top w:val="nil"/>
              <w:left w:val="nil"/>
              <w:bottom w:val="nil"/>
              <w:right w:val="nil"/>
            </w:tcBorders>
          </w:tcPr>
          <w:p w14:paraId="003C5BDC" w14:textId="77777777" w:rsidR="002139E4" w:rsidRDefault="002139E4" w:rsidP="001A259A">
            <w:pPr>
              <w:spacing w:before="40" w:after="120" w:line="276" w:lineRule="auto"/>
              <w:ind w:right="284"/>
              <w:jc w:val="right"/>
              <w:rPr>
                <w:sz w:val="20"/>
                <w:szCs w:val="20"/>
              </w:rPr>
            </w:pPr>
            <w:r>
              <w:rPr>
                <w:sz w:val="20"/>
                <w:szCs w:val="20"/>
              </w:rPr>
              <w:t>4</w:t>
            </w:r>
          </w:p>
        </w:tc>
        <w:tc>
          <w:tcPr>
            <w:tcW w:w="4252" w:type="dxa"/>
            <w:tcBorders>
              <w:top w:val="nil"/>
              <w:left w:val="nil"/>
              <w:bottom w:val="nil"/>
              <w:right w:val="nil"/>
            </w:tcBorders>
            <w:vAlign w:val="center"/>
          </w:tcPr>
          <w:p w14:paraId="269CAB0A" w14:textId="77777777" w:rsidR="002139E4" w:rsidRPr="00296342" w:rsidRDefault="002139E4" w:rsidP="001A259A">
            <w:pPr>
              <w:spacing w:before="40" w:after="120" w:line="276" w:lineRule="auto"/>
              <w:ind w:right="113"/>
              <w:rPr>
                <w:sz w:val="20"/>
                <w:szCs w:val="20"/>
              </w:rPr>
            </w:pPr>
            <w:r w:rsidRPr="00BF2C6B">
              <w:rPr>
                <w:sz w:val="20"/>
                <w:szCs w:val="20"/>
              </w:rPr>
              <w:t>Written statement submitted by Khiam Rehabilitation Center for Victims of Torture, a non-governmental organization in special consultative status</w:t>
            </w:r>
          </w:p>
        </w:tc>
      </w:tr>
      <w:tr w:rsidR="002139E4" w14:paraId="4C04008B"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1E3777C3" w14:textId="77777777" w:rsidR="002139E4" w:rsidRPr="00521171" w:rsidRDefault="002139E4" w:rsidP="001A259A">
            <w:pPr>
              <w:spacing w:before="40" w:after="120" w:line="276" w:lineRule="auto"/>
              <w:ind w:right="113"/>
              <w:rPr>
                <w:sz w:val="20"/>
                <w:szCs w:val="20"/>
              </w:rPr>
            </w:pPr>
            <w:r w:rsidRPr="00521171">
              <w:rPr>
                <w:sz w:val="20"/>
                <w:szCs w:val="20"/>
              </w:rPr>
              <w:t>A/HRC/40/NGO/</w:t>
            </w:r>
            <w:r>
              <w:rPr>
                <w:sz w:val="20"/>
                <w:szCs w:val="20"/>
              </w:rPr>
              <w:t>15</w:t>
            </w:r>
          </w:p>
        </w:tc>
        <w:tc>
          <w:tcPr>
            <w:tcW w:w="1276" w:type="dxa"/>
            <w:tcBorders>
              <w:top w:val="nil"/>
              <w:left w:val="nil"/>
              <w:bottom w:val="nil"/>
              <w:right w:val="nil"/>
            </w:tcBorders>
          </w:tcPr>
          <w:p w14:paraId="50FA3D32" w14:textId="77777777" w:rsidR="002139E4" w:rsidRDefault="002139E4" w:rsidP="001A259A">
            <w:pPr>
              <w:spacing w:before="40" w:after="120" w:line="276" w:lineRule="auto"/>
              <w:ind w:right="284"/>
              <w:jc w:val="right"/>
              <w:rPr>
                <w:sz w:val="20"/>
                <w:szCs w:val="20"/>
              </w:rPr>
            </w:pPr>
            <w:r>
              <w:rPr>
                <w:sz w:val="20"/>
                <w:szCs w:val="20"/>
              </w:rPr>
              <w:t>7</w:t>
            </w:r>
          </w:p>
        </w:tc>
        <w:tc>
          <w:tcPr>
            <w:tcW w:w="4252" w:type="dxa"/>
            <w:tcBorders>
              <w:top w:val="nil"/>
              <w:left w:val="nil"/>
              <w:bottom w:val="nil"/>
              <w:right w:val="nil"/>
            </w:tcBorders>
            <w:vAlign w:val="center"/>
          </w:tcPr>
          <w:p w14:paraId="2B0A7A56" w14:textId="77777777" w:rsidR="002139E4" w:rsidRPr="00BF2C6B" w:rsidRDefault="002139E4" w:rsidP="001A259A">
            <w:pPr>
              <w:spacing w:before="40" w:after="120" w:line="276" w:lineRule="auto"/>
              <w:ind w:right="113"/>
              <w:rPr>
                <w:sz w:val="20"/>
                <w:szCs w:val="20"/>
              </w:rPr>
            </w:pPr>
            <w:r w:rsidRPr="00BF2C6B">
              <w:rPr>
                <w:sz w:val="20"/>
                <w:szCs w:val="20"/>
              </w:rPr>
              <w:t>Written statement submitted by Khiam Rehabilitation Center for Victims of Torture, a non-governmental organization in special consultative status</w:t>
            </w:r>
          </w:p>
        </w:tc>
      </w:tr>
      <w:tr w:rsidR="002139E4" w14:paraId="30F2DC42"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5095C364" w14:textId="77777777" w:rsidR="002139E4" w:rsidRPr="00521171" w:rsidRDefault="002139E4" w:rsidP="001A259A">
            <w:pPr>
              <w:spacing w:before="40" w:after="120" w:line="276" w:lineRule="auto"/>
              <w:ind w:right="113"/>
              <w:rPr>
                <w:sz w:val="20"/>
                <w:szCs w:val="20"/>
              </w:rPr>
            </w:pPr>
            <w:r w:rsidRPr="00521171">
              <w:rPr>
                <w:sz w:val="20"/>
                <w:szCs w:val="20"/>
              </w:rPr>
              <w:t>A/HRC/40/NGO/</w:t>
            </w:r>
            <w:r>
              <w:rPr>
                <w:sz w:val="20"/>
                <w:szCs w:val="20"/>
              </w:rPr>
              <w:t>16</w:t>
            </w:r>
          </w:p>
        </w:tc>
        <w:tc>
          <w:tcPr>
            <w:tcW w:w="1276" w:type="dxa"/>
            <w:tcBorders>
              <w:top w:val="nil"/>
              <w:left w:val="nil"/>
              <w:bottom w:val="nil"/>
              <w:right w:val="nil"/>
            </w:tcBorders>
          </w:tcPr>
          <w:p w14:paraId="1C75A693" w14:textId="77777777" w:rsidR="002139E4" w:rsidRDefault="002139E4" w:rsidP="001A259A">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688427AC" w14:textId="77777777" w:rsidR="002139E4" w:rsidRPr="00BF2C6B" w:rsidRDefault="002139E4" w:rsidP="001A259A">
            <w:pPr>
              <w:spacing w:before="40" w:after="120" w:line="276" w:lineRule="auto"/>
              <w:ind w:right="113"/>
              <w:rPr>
                <w:sz w:val="20"/>
                <w:szCs w:val="20"/>
              </w:rPr>
            </w:pPr>
            <w:r w:rsidRPr="00BB17FC">
              <w:rPr>
                <w:sz w:val="20"/>
                <w:szCs w:val="20"/>
              </w:rPr>
              <w:t>Written statement submitted by Society for Protection of Street &amp; Working Children, a non-governmental organization in special consultative status</w:t>
            </w:r>
          </w:p>
        </w:tc>
      </w:tr>
      <w:tr w:rsidR="002139E4" w14:paraId="7C3BB3B8"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6FF8A398" w14:textId="77777777" w:rsidR="002139E4" w:rsidRPr="00521171" w:rsidRDefault="002139E4" w:rsidP="001A259A">
            <w:pPr>
              <w:spacing w:before="40" w:after="120" w:line="276" w:lineRule="auto"/>
              <w:ind w:right="113"/>
              <w:rPr>
                <w:sz w:val="20"/>
                <w:szCs w:val="20"/>
              </w:rPr>
            </w:pPr>
            <w:r w:rsidRPr="00DF35F2">
              <w:rPr>
                <w:sz w:val="20"/>
                <w:szCs w:val="20"/>
              </w:rPr>
              <w:t>A/HRC/40/NGO</w:t>
            </w:r>
            <w:r>
              <w:rPr>
                <w:sz w:val="20"/>
                <w:szCs w:val="20"/>
              </w:rPr>
              <w:t>/17</w:t>
            </w:r>
          </w:p>
        </w:tc>
        <w:tc>
          <w:tcPr>
            <w:tcW w:w="1276" w:type="dxa"/>
            <w:tcBorders>
              <w:top w:val="nil"/>
              <w:left w:val="nil"/>
              <w:bottom w:val="nil"/>
              <w:right w:val="nil"/>
            </w:tcBorders>
          </w:tcPr>
          <w:p w14:paraId="30A8F355" w14:textId="77777777" w:rsidR="002139E4" w:rsidRDefault="002139E4" w:rsidP="001A259A">
            <w:pPr>
              <w:spacing w:before="40" w:after="120" w:line="276" w:lineRule="auto"/>
              <w:ind w:right="284"/>
              <w:jc w:val="right"/>
              <w:rPr>
                <w:sz w:val="20"/>
                <w:szCs w:val="20"/>
              </w:rPr>
            </w:pPr>
            <w:r>
              <w:rPr>
                <w:sz w:val="20"/>
                <w:szCs w:val="20"/>
              </w:rPr>
              <w:t>4</w:t>
            </w:r>
          </w:p>
        </w:tc>
        <w:tc>
          <w:tcPr>
            <w:tcW w:w="4252" w:type="dxa"/>
            <w:tcBorders>
              <w:top w:val="nil"/>
              <w:left w:val="nil"/>
              <w:bottom w:val="nil"/>
              <w:right w:val="nil"/>
            </w:tcBorders>
            <w:vAlign w:val="center"/>
          </w:tcPr>
          <w:p w14:paraId="5C8BDA1F" w14:textId="77777777" w:rsidR="002139E4" w:rsidRPr="00BF2C6B" w:rsidRDefault="002139E4" w:rsidP="001A259A">
            <w:pPr>
              <w:spacing w:before="40" w:after="120" w:line="276" w:lineRule="auto"/>
              <w:ind w:right="113"/>
              <w:rPr>
                <w:sz w:val="20"/>
                <w:szCs w:val="20"/>
              </w:rPr>
            </w:pPr>
            <w:r w:rsidRPr="00352ECB">
              <w:rPr>
                <w:sz w:val="20"/>
                <w:szCs w:val="20"/>
              </w:rPr>
              <w:t>Written statement submitted by Romanian Independent Society of Human Rights, a non-governmental organization in special consultative status</w:t>
            </w:r>
          </w:p>
        </w:tc>
      </w:tr>
      <w:tr w:rsidR="002139E4" w14:paraId="07D536BC"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196A9F98" w14:textId="77777777" w:rsidR="002139E4" w:rsidRPr="00DF35F2" w:rsidRDefault="002139E4" w:rsidP="001A259A">
            <w:pPr>
              <w:spacing w:before="40" w:after="120" w:line="276" w:lineRule="auto"/>
              <w:ind w:right="113"/>
              <w:rPr>
                <w:sz w:val="20"/>
                <w:szCs w:val="20"/>
              </w:rPr>
            </w:pPr>
            <w:r w:rsidRPr="00296342">
              <w:rPr>
                <w:sz w:val="20"/>
                <w:szCs w:val="20"/>
              </w:rPr>
              <w:t>A/HRC/40/NGO</w:t>
            </w:r>
            <w:r>
              <w:rPr>
                <w:sz w:val="20"/>
                <w:szCs w:val="20"/>
              </w:rPr>
              <w:t>/18</w:t>
            </w:r>
          </w:p>
        </w:tc>
        <w:tc>
          <w:tcPr>
            <w:tcW w:w="1276" w:type="dxa"/>
            <w:tcBorders>
              <w:top w:val="nil"/>
              <w:left w:val="nil"/>
              <w:bottom w:val="nil"/>
              <w:right w:val="nil"/>
            </w:tcBorders>
          </w:tcPr>
          <w:p w14:paraId="2A79468A" w14:textId="77777777" w:rsidR="002139E4" w:rsidRDefault="002139E4" w:rsidP="001A259A">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0993D814" w14:textId="77777777" w:rsidR="002139E4" w:rsidRPr="00352ECB" w:rsidRDefault="002139E4" w:rsidP="001A259A">
            <w:pPr>
              <w:spacing w:before="40" w:after="120" w:line="276" w:lineRule="auto"/>
              <w:ind w:right="113"/>
              <w:rPr>
                <w:sz w:val="20"/>
                <w:szCs w:val="20"/>
              </w:rPr>
            </w:pPr>
            <w:r>
              <w:rPr>
                <w:sz w:val="20"/>
                <w:szCs w:val="20"/>
              </w:rPr>
              <w:t>Exposé écrit</w:t>
            </w:r>
            <w:r w:rsidRPr="00FE4230">
              <w:rPr>
                <w:sz w:val="20"/>
                <w:szCs w:val="20"/>
              </w:rPr>
              <w:t xml:space="preserve"> présenté par L</w:t>
            </w:r>
            <w:r>
              <w:rPr>
                <w:sz w:val="20"/>
                <w:szCs w:val="20"/>
              </w:rPr>
              <w:t>’</w:t>
            </w:r>
            <w:r w:rsidRPr="00FE4230">
              <w:rPr>
                <w:sz w:val="20"/>
                <w:szCs w:val="20"/>
              </w:rPr>
              <w:t xml:space="preserve">Association </w:t>
            </w:r>
            <w:r>
              <w:rPr>
                <w:sz w:val="20"/>
                <w:szCs w:val="20"/>
              </w:rPr>
              <w:t>“</w:t>
            </w:r>
            <w:r w:rsidRPr="00FE4230">
              <w:rPr>
                <w:sz w:val="20"/>
                <w:szCs w:val="20"/>
              </w:rPr>
              <w:t>Paix</w:t>
            </w:r>
            <w:r>
              <w:rPr>
                <w:sz w:val="20"/>
                <w:szCs w:val="20"/>
              </w:rPr>
              <w:t>”</w:t>
            </w:r>
            <w:r w:rsidRPr="00FE4230">
              <w:rPr>
                <w:sz w:val="20"/>
                <w:szCs w:val="20"/>
              </w:rPr>
              <w:t xml:space="preserve"> pour la lutte contre la Contrainte et l</w:t>
            </w:r>
            <w:r>
              <w:rPr>
                <w:sz w:val="20"/>
                <w:szCs w:val="20"/>
              </w:rPr>
              <w:t>’</w:t>
            </w:r>
            <w:r w:rsidRPr="00FE4230">
              <w:rPr>
                <w:sz w:val="20"/>
                <w:szCs w:val="20"/>
              </w:rPr>
              <w:t>injustice dotée du statut consultatif spécial</w:t>
            </w:r>
          </w:p>
        </w:tc>
      </w:tr>
      <w:tr w:rsidR="002139E4" w14:paraId="74D540DA"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19A17801"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/19</w:t>
            </w:r>
          </w:p>
        </w:tc>
        <w:tc>
          <w:tcPr>
            <w:tcW w:w="1276" w:type="dxa"/>
            <w:tcBorders>
              <w:top w:val="nil"/>
              <w:left w:val="nil"/>
              <w:bottom w:val="nil"/>
              <w:right w:val="nil"/>
            </w:tcBorders>
          </w:tcPr>
          <w:p w14:paraId="6285908F" w14:textId="77777777" w:rsidR="002139E4" w:rsidRDefault="002139E4" w:rsidP="001A259A">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3907A1C1" w14:textId="77777777" w:rsidR="002139E4" w:rsidRDefault="002139E4" w:rsidP="001A259A">
            <w:pPr>
              <w:spacing w:before="40" w:after="120" w:line="276" w:lineRule="auto"/>
              <w:ind w:right="113"/>
              <w:rPr>
                <w:sz w:val="20"/>
                <w:szCs w:val="20"/>
              </w:rPr>
            </w:pPr>
            <w:r w:rsidRPr="00FE4230">
              <w:rPr>
                <w:sz w:val="20"/>
                <w:szCs w:val="20"/>
              </w:rPr>
              <w:t>Written statement submitted by Society Studies Centre (MADA ssc), a non-governmental organization in special consultative status</w:t>
            </w:r>
          </w:p>
        </w:tc>
      </w:tr>
      <w:tr w:rsidR="002139E4" w14:paraId="2BD5695A"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3425DFEF"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/20</w:t>
            </w:r>
          </w:p>
        </w:tc>
        <w:tc>
          <w:tcPr>
            <w:tcW w:w="1276" w:type="dxa"/>
            <w:tcBorders>
              <w:top w:val="nil"/>
              <w:left w:val="nil"/>
              <w:bottom w:val="nil"/>
              <w:right w:val="nil"/>
            </w:tcBorders>
          </w:tcPr>
          <w:p w14:paraId="2C0CADAA" w14:textId="77777777" w:rsidR="002139E4" w:rsidRDefault="002139E4" w:rsidP="001A259A">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7D6F246D" w14:textId="77777777" w:rsidR="002139E4" w:rsidRPr="00FE4230" w:rsidRDefault="002139E4" w:rsidP="001A259A">
            <w:pPr>
              <w:spacing w:before="40" w:after="120" w:line="276" w:lineRule="auto"/>
              <w:ind w:right="113"/>
              <w:rPr>
                <w:sz w:val="20"/>
                <w:szCs w:val="20"/>
              </w:rPr>
            </w:pPr>
            <w:r w:rsidRPr="0094451F">
              <w:rPr>
                <w:sz w:val="20"/>
                <w:szCs w:val="20"/>
              </w:rPr>
              <w:t>Exposé écrit présenté par l</w:t>
            </w:r>
            <w:r>
              <w:rPr>
                <w:sz w:val="20"/>
                <w:szCs w:val="20"/>
              </w:rPr>
              <w:t>’</w:t>
            </w:r>
            <w:r w:rsidRPr="0094451F">
              <w:rPr>
                <w:sz w:val="20"/>
                <w:szCs w:val="20"/>
              </w:rPr>
              <w:t>Association du développement et de la promotion de droits de l</w:t>
            </w:r>
            <w:r>
              <w:rPr>
                <w:sz w:val="20"/>
                <w:szCs w:val="20"/>
              </w:rPr>
              <w:t>’</w:t>
            </w:r>
            <w:r w:rsidRPr="0094451F">
              <w:rPr>
                <w:sz w:val="20"/>
                <w:szCs w:val="20"/>
              </w:rPr>
              <w:t>homme, organisation non gouvernementale dotée du statut consultatif spécial</w:t>
            </w:r>
          </w:p>
        </w:tc>
      </w:tr>
      <w:tr w:rsidR="002139E4" w14:paraId="7AC86E0C"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35376FFF" w14:textId="77777777" w:rsidR="002139E4" w:rsidRPr="00296342" w:rsidRDefault="002139E4" w:rsidP="001A259A">
            <w:pPr>
              <w:spacing w:before="40" w:after="120" w:line="276" w:lineRule="auto"/>
              <w:ind w:right="113"/>
              <w:rPr>
                <w:sz w:val="20"/>
                <w:szCs w:val="20"/>
              </w:rPr>
            </w:pPr>
            <w:r w:rsidRPr="00296342">
              <w:rPr>
                <w:sz w:val="20"/>
                <w:szCs w:val="20"/>
              </w:rPr>
              <w:lastRenderedPageBreak/>
              <w:t>A/HRC/40/NGO</w:t>
            </w:r>
            <w:r>
              <w:rPr>
                <w:sz w:val="20"/>
                <w:szCs w:val="20"/>
              </w:rPr>
              <w:t>/21</w:t>
            </w:r>
          </w:p>
        </w:tc>
        <w:tc>
          <w:tcPr>
            <w:tcW w:w="1276" w:type="dxa"/>
            <w:tcBorders>
              <w:top w:val="nil"/>
              <w:left w:val="nil"/>
              <w:bottom w:val="nil"/>
              <w:right w:val="nil"/>
            </w:tcBorders>
          </w:tcPr>
          <w:p w14:paraId="2AD05C5C" w14:textId="77777777" w:rsidR="002139E4" w:rsidRDefault="002139E4" w:rsidP="001A259A">
            <w:pPr>
              <w:spacing w:before="40" w:after="120" w:line="276" w:lineRule="auto"/>
              <w:ind w:right="284"/>
              <w:jc w:val="right"/>
              <w:rPr>
                <w:sz w:val="20"/>
                <w:szCs w:val="20"/>
              </w:rPr>
            </w:pPr>
            <w:r>
              <w:rPr>
                <w:sz w:val="20"/>
                <w:szCs w:val="20"/>
              </w:rPr>
              <w:t>4</w:t>
            </w:r>
          </w:p>
        </w:tc>
        <w:tc>
          <w:tcPr>
            <w:tcW w:w="4252" w:type="dxa"/>
            <w:tcBorders>
              <w:top w:val="nil"/>
              <w:left w:val="nil"/>
              <w:bottom w:val="nil"/>
              <w:right w:val="nil"/>
            </w:tcBorders>
            <w:vAlign w:val="center"/>
          </w:tcPr>
          <w:p w14:paraId="1673FD48" w14:textId="77777777" w:rsidR="002139E4" w:rsidRPr="0094451F" w:rsidRDefault="002139E4" w:rsidP="001A259A">
            <w:pPr>
              <w:spacing w:before="40" w:after="120" w:line="276" w:lineRule="auto"/>
              <w:ind w:right="113"/>
              <w:rPr>
                <w:sz w:val="20"/>
                <w:szCs w:val="20"/>
              </w:rPr>
            </w:pPr>
            <w:r w:rsidRPr="0094451F">
              <w:rPr>
                <w:sz w:val="20"/>
                <w:szCs w:val="20"/>
              </w:rPr>
              <w:t>Written statement submitted by World Muslim Congress, a non-governmental organization in general consultative status</w:t>
            </w:r>
          </w:p>
        </w:tc>
      </w:tr>
      <w:tr w:rsidR="002139E4" w14:paraId="52F7DA3F"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7632B9B8"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/22</w:t>
            </w:r>
          </w:p>
        </w:tc>
        <w:tc>
          <w:tcPr>
            <w:tcW w:w="1276" w:type="dxa"/>
            <w:tcBorders>
              <w:top w:val="nil"/>
              <w:left w:val="nil"/>
              <w:bottom w:val="nil"/>
              <w:right w:val="nil"/>
            </w:tcBorders>
          </w:tcPr>
          <w:p w14:paraId="130BAF53" w14:textId="77777777" w:rsidR="002139E4" w:rsidRDefault="002139E4" w:rsidP="001A259A">
            <w:pPr>
              <w:spacing w:before="40" w:after="120" w:line="276" w:lineRule="auto"/>
              <w:ind w:right="284"/>
              <w:jc w:val="right"/>
              <w:rPr>
                <w:sz w:val="20"/>
                <w:szCs w:val="20"/>
              </w:rPr>
            </w:pPr>
            <w:r>
              <w:rPr>
                <w:sz w:val="20"/>
                <w:szCs w:val="20"/>
              </w:rPr>
              <w:t>6</w:t>
            </w:r>
          </w:p>
        </w:tc>
        <w:tc>
          <w:tcPr>
            <w:tcW w:w="4252" w:type="dxa"/>
            <w:tcBorders>
              <w:top w:val="nil"/>
              <w:left w:val="nil"/>
              <w:bottom w:val="nil"/>
              <w:right w:val="nil"/>
            </w:tcBorders>
            <w:vAlign w:val="center"/>
          </w:tcPr>
          <w:p w14:paraId="4251B0C9" w14:textId="77777777" w:rsidR="002139E4" w:rsidRPr="0094451F" w:rsidRDefault="002139E4" w:rsidP="001A259A">
            <w:pPr>
              <w:spacing w:before="40" w:after="120" w:line="276" w:lineRule="auto"/>
              <w:ind w:right="113"/>
              <w:rPr>
                <w:sz w:val="20"/>
                <w:szCs w:val="20"/>
              </w:rPr>
            </w:pPr>
            <w:r w:rsidRPr="00641BD7">
              <w:rPr>
                <w:sz w:val="20"/>
                <w:szCs w:val="20"/>
              </w:rPr>
              <w:t>Written statement submitted by B</w:t>
            </w:r>
            <w:r>
              <w:rPr>
                <w:sz w:val="20"/>
                <w:szCs w:val="20"/>
              </w:rPr>
              <w:t>eijing Zhicheng Migrant Workers’</w:t>
            </w:r>
            <w:r w:rsidRPr="00641BD7">
              <w:rPr>
                <w:sz w:val="20"/>
                <w:szCs w:val="20"/>
              </w:rPr>
              <w:t xml:space="preserve"> Legal Aid and Research Center, a non-governmental organization in special consultative status</w:t>
            </w:r>
          </w:p>
        </w:tc>
      </w:tr>
      <w:tr w:rsidR="002139E4" w14:paraId="3865E15B"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097C8AD1"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/23</w:t>
            </w:r>
          </w:p>
        </w:tc>
        <w:tc>
          <w:tcPr>
            <w:tcW w:w="1276" w:type="dxa"/>
            <w:tcBorders>
              <w:top w:val="nil"/>
              <w:left w:val="nil"/>
              <w:bottom w:val="nil"/>
              <w:right w:val="nil"/>
            </w:tcBorders>
          </w:tcPr>
          <w:p w14:paraId="09E624EF" w14:textId="77777777" w:rsidR="002139E4" w:rsidRDefault="002139E4" w:rsidP="001A259A">
            <w:pPr>
              <w:spacing w:before="40" w:after="120" w:line="276" w:lineRule="auto"/>
              <w:ind w:right="284"/>
              <w:jc w:val="right"/>
              <w:rPr>
                <w:sz w:val="20"/>
                <w:szCs w:val="20"/>
              </w:rPr>
            </w:pPr>
            <w:r>
              <w:rPr>
                <w:sz w:val="20"/>
                <w:szCs w:val="20"/>
              </w:rPr>
              <w:t>6</w:t>
            </w:r>
          </w:p>
        </w:tc>
        <w:tc>
          <w:tcPr>
            <w:tcW w:w="4252" w:type="dxa"/>
            <w:tcBorders>
              <w:top w:val="nil"/>
              <w:left w:val="nil"/>
              <w:bottom w:val="nil"/>
              <w:right w:val="nil"/>
            </w:tcBorders>
            <w:vAlign w:val="center"/>
          </w:tcPr>
          <w:p w14:paraId="5D23905B" w14:textId="77777777" w:rsidR="002139E4" w:rsidRPr="00641BD7" w:rsidRDefault="002139E4" w:rsidP="001A259A">
            <w:pPr>
              <w:spacing w:before="40" w:after="120" w:line="276" w:lineRule="auto"/>
              <w:ind w:right="113"/>
              <w:rPr>
                <w:sz w:val="20"/>
                <w:szCs w:val="20"/>
              </w:rPr>
            </w:pPr>
            <w:r w:rsidRPr="00641BD7">
              <w:rPr>
                <w:sz w:val="20"/>
                <w:szCs w:val="20"/>
              </w:rPr>
              <w:t>Written statement submitted by Beijing Children</w:t>
            </w:r>
            <w:r>
              <w:rPr>
                <w:sz w:val="20"/>
                <w:szCs w:val="20"/>
              </w:rPr>
              <w:t>’</w:t>
            </w:r>
            <w:r w:rsidRPr="00641BD7">
              <w:rPr>
                <w:sz w:val="20"/>
                <w:szCs w:val="20"/>
              </w:rPr>
              <w:t>s Legal Aid and Research Center, a non-governmental organization in special consultative status</w:t>
            </w:r>
          </w:p>
        </w:tc>
      </w:tr>
      <w:tr w:rsidR="002139E4" w14:paraId="5226CC35"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378321EC"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/24</w:t>
            </w:r>
          </w:p>
        </w:tc>
        <w:tc>
          <w:tcPr>
            <w:tcW w:w="1276" w:type="dxa"/>
            <w:tcBorders>
              <w:top w:val="nil"/>
              <w:left w:val="nil"/>
              <w:bottom w:val="nil"/>
              <w:right w:val="nil"/>
            </w:tcBorders>
          </w:tcPr>
          <w:p w14:paraId="3CB9279D" w14:textId="77777777" w:rsidR="002139E4" w:rsidRDefault="002139E4" w:rsidP="001A259A">
            <w:pPr>
              <w:spacing w:before="40" w:after="120" w:line="276" w:lineRule="auto"/>
              <w:ind w:right="284"/>
              <w:jc w:val="right"/>
              <w:rPr>
                <w:sz w:val="20"/>
                <w:szCs w:val="20"/>
              </w:rPr>
            </w:pPr>
            <w:r>
              <w:rPr>
                <w:sz w:val="20"/>
                <w:szCs w:val="20"/>
              </w:rPr>
              <w:t>6</w:t>
            </w:r>
          </w:p>
        </w:tc>
        <w:tc>
          <w:tcPr>
            <w:tcW w:w="4252" w:type="dxa"/>
            <w:tcBorders>
              <w:top w:val="nil"/>
              <w:left w:val="nil"/>
              <w:bottom w:val="nil"/>
              <w:right w:val="nil"/>
            </w:tcBorders>
            <w:vAlign w:val="center"/>
          </w:tcPr>
          <w:p w14:paraId="26317373" w14:textId="77777777" w:rsidR="002139E4" w:rsidRPr="00641BD7" w:rsidRDefault="002139E4" w:rsidP="001A259A">
            <w:pPr>
              <w:spacing w:before="40" w:after="120" w:line="276" w:lineRule="auto"/>
              <w:ind w:right="113"/>
              <w:rPr>
                <w:sz w:val="20"/>
                <w:szCs w:val="20"/>
              </w:rPr>
            </w:pPr>
            <w:r w:rsidRPr="00641BD7">
              <w:rPr>
                <w:sz w:val="20"/>
                <w:szCs w:val="20"/>
              </w:rPr>
              <w:t>Written statement submitted by The Vietnam Peace and Development Foundation, a non-governmental organization in special consultative status</w:t>
            </w:r>
          </w:p>
        </w:tc>
      </w:tr>
      <w:tr w:rsidR="002139E4" w14:paraId="5BF9BFE1"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3574E765"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/25</w:t>
            </w:r>
          </w:p>
        </w:tc>
        <w:tc>
          <w:tcPr>
            <w:tcW w:w="1276" w:type="dxa"/>
            <w:tcBorders>
              <w:top w:val="nil"/>
              <w:left w:val="nil"/>
              <w:bottom w:val="nil"/>
              <w:right w:val="nil"/>
            </w:tcBorders>
          </w:tcPr>
          <w:p w14:paraId="60DDD4DF" w14:textId="77777777" w:rsidR="002139E4" w:rsidRDefault="002139E4" w:rsidP="001A259A">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393C5E48" w14:textId="77777777" w:rsidR="002139E4" w:rsidRPr="00641BD7" w:rsidRDefault="002139E4" w:rsidP="001A259A">
            <w:pPr>
              <w:spacing w:before="40" w:after="120" w:line="276" w:lineRule="auto"/>
              <w:ind w:right="113"/>
              <w:rPr>
                <w:sz w:val="20"/>
                <w:szCs w:val="20"/>
              </w:rPr>
            </w:pPr>
            <w:r w:rsidRPr="00641BD7">
              <w:rPr>
                <w:sz w:val="20"/>
                <w:szCs w:val="20"/>
              </w:rPr>
              <w:t>Exposé écrit présenté par l</w:t>
            </w:r>
            <w:r>
              <w:rPr>
                <w:sz w:val="20"/>
                <w:szCs w:val="20"/>
              </w:rPr>
              <w:t>’</w:t>
            </w:r>
            <w:r w:rsidRPr="00641BD7">
              <w:rPr>
                <w:sz w:val="20"/>
                <w:szCs w:val="20"/>
              </w:rPr>
              <w:t>Action pour la protection des droits de l</w:t>
            </w:r>
            <w:r>
              <w:rPr>
                <w:sz w:val="20"/>
                <w:szCs w:val="20"/>
              </w:rPr>
              <w:t>’</w:t>
            </w:r>
            <w:r w:rsidRPr="00641BD7">
              <w:rPr>
                <w:sz w:val="20"/>
                <w:szCs w:val="20"/>
              </w:rPr>
              <w:t>homme en Mauritanie (APDHM) dotée du statut consultatif spécial</w:t>
            </w:r>
          </w:p>
        </w:tc>
      </w:tr>
      <w:tr w:rsidR="002139E4" w14:paraId="60163E11"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1742FEC5"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/26</w:t>
            </w:r>
          </w:p>
        </w:tc>
        <w:tc>
          <w:tcPr>
            <w:tcW w:w="1276" w:type="dxa"/>
            <w:tcBorders>
              <w:top w:val="nil"/>
              <w:left w:val="nil"/>
              <w:bottom w:val="nil"/>
              <w:right w:val="nil"/>
            </w:tcBorders>
          </w:tcPr>
          <w:p w14:paraId="003491DA" w14:textId="77777777" w:rsidR="002139E4" w:rsidRDefault="002139E4" w:rsidP="001A259A">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7BCC1A34" w14:textId="77777777" w:rsidR="002139E4" w:rsidRPr="00641BD7" w:rsidRDefault="002139E4" w:rsidP="001A259A">
            <w:pPr>
              <w:spacing w:before="40" w:after="120" w:line="276" w:lineRule="auto"/>
              <w:ind w:right="113"/>
              <w:rPr>
                <w:sz w:val="20"/>
                <w:szCs w:val="20"/>
              </w:rPr>
            </w:pPr>
            <w:r w:rsidRPr="000E45DE">
              <w:rPr>
                <w:sz w:val="20"/>
                <w:szCs w:val="20"/>
              </w:rPr>
              <w:t>Exposé écrit présenté par l</w:t>
            </w:r>
            <w:r>
              <w:rPr>
                <w:sz w:val="20"/>
                <w:szCs w:val="20"/>
              </w:rPr>
              <w:t>’</w:t>
            </w:r>
            <w:r w:rsidRPr="000E45DE">
              <w:rPr>
                <w:sz w:val="20"/>
                <w:szCs w:val="20"/>
              </w:rPr>
              <w:t>Initiative d</w:t>
            </w:r>
            <w:r>
              <w:rPr>
                <w:sz w:val="20"/>
                <w:szCs w:val="20"/>
              </w:rPr>
              <w:t>’</w:t>
            </w:r>
            <w:r w:rsidRPr="000E45DE">
              <w:rPr>
                <w:sz w:val="20"/>
                <w:szCs w:val="20"/>
              </w:rPr>
              <w:t>opposition contre le discours Extrémiste et l</w:t>
            </w:r>
            <w:r>
              <w:rPr>
                <w:sz w:val="20"/>
                <w:szCs w:val="20"/>
              </w:rPr>
              <w:t>’</w:t>
            </w:r>
            <w:r w:rsidRPr="000E45DE">
              <w:rPr>
                <w:sz w:val="20"/>
                <w:szCs w:val="20"/>
              </w:rPr>
              <w:t>esclavage dotée du statut consultatif spécial</w:t>
            </w:r>
          </w:p>
        </w:tc>
      </w:tr>
      <w:tr w:rsidR="002139E4" w14:paraId="4377EE05"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50580018"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/27</w:t>
            </w:r>
          </w:p>
        </w:tc>
        <w:tc>
          <w:tcPr>
            <w:tcW w:w="1276" w:type="dxa"/>
            <w:tcBorders>
              <w:top w:val="nil"/>
              <w:left w:val="nil"/>
              <w:bottom w:val="nil"/>
              <w:right w:val="nil"/>
            </w:tcBorders>
          </w:tcPr>
          <w:p w14:paraId="5B088477" w14:textId="77777777" w:rsidR="002139E4" w:rsidRDefault="002139E4" w:rsidP="001A259A">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70CEAAB6" w14:textId="77777777" w:rsidR="002139E4" w:rsidRPr="000E45DE" w:rsidRDefault="002139E4" w:rsidP="001A259A">
            <w:pPr>
              <w:spacing w:before="40" w:after="120" w:line="276" w:lineRule="auto"/>
              <w:ind w:right="113"/>
              <w:rPr>
                <w:sz w:val="20"/>
                <w:szCs w:val="20"/>
              </w:rPr>
            </w:pPr>
            <w:r w:rsidRPr="000E45DE">
              <w:rPr>
                <w:sz w:val="20"/>
                <w:szCs w:val="20"/>
              </w:rPr>
              <w:t>Written statement submitted by ODHIKAR - Coalition for Human Rights, a non-governmental organization in special consultative status</w:t>
            </w:r>
          </w:p>
        </w:tc>
      </w:tr>
      <w:tr w:rsidR="002139E4" w14:paraId="4D6A8CDE"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6AF310DA"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/28</w:t>
            </w:r>
          </w:p>
        </w:tc>
        <w:tc>
          <w:tcPr>
            <w:tcW w:w="1276" w:type="dxa"/>
            <w:tcBorders>
              <w:top w:val="nil"/>
              <w:left w:val="nil"/>
              <w:bottom w:val="nil"/>
              <w:right w:val="nil"/>
            </w:tcBorders>
          </w:tcPr>
          <w:p w14:paraId="09DA6FA3" w14:textId="77777777" w:rsidR="002139E4" w:rsidRDefault="002139E4" w:rsidP="001A259A">
            <w:pPr>
              <w:spacing w:before="40" w:after="120" w:line="276" w:lineRule="auto"/>
              <w:ind w:right="284"/>
              <w:jc w:val="right"/>
              <w:rPr>
                <w:sz w:val="20"/>
                <w:szCs w:val="20"/>
              </w:rPr>
            </w:pPr>
            <w:r>
              <w:rPr>
                <w:sz w:val="20"/>
                <w:szCs w:val="20"/>
              </w:rPr>
              <w:t>4</w:t>
            </w:r>
          </w:p>
        </w:tc>
        <w:tc>
          <w:tcPr>
            <w:tcW w:w="4252" w:type="dxa"/>
            <w:tcBorders>
              <w:top w:val="nil"/>
              <w:left w:val="nil"/>
              <w:bottom w:val="nil"/>
              <w:right w:val="nil"/>
            </w:tcBorders>
            <w:vAlign w:val="center"/>
          </w:tcPr>
          <w:p w14:paraId="1BF97E2F" w14:textId="77777777" w:rsidR="002139E4" w:rsidRPr="000E45DE" w:rsidRDefault="002139E4" w:rsidP="001A259A">
            <w:pPr>
              <w:spacing w:before="40" w:after="120" w:line="276" w:lineRule="auto"/>
              <w:ind w:right="113"/>
              <w:rPr>
                <w:sz w:val="20"/>
                <w:szCs w:val="20"/>
              </w:rPr>
            </w:pPr>
            <w:r>
              <w:rPr>
                <w:sz w:val="20"/>
                <w:szCs w:val="20"/>
              </w:rPr>
              <w:t>Written statement</w:t>
            </w:r>
            <w:r w:rsidRPr="007012A7">
              <w:rPr>
                <w:sz w:val="20"/>
                <w:szCs w:val="20"/>
              </w:rPr>
              <w:t xml:space="preserve"> submitted by ODHIKAR - Coalition for Human Rights, a non-governmental organization in special consultative status</w:t>
            </w:r>
          </w:p>
        </w:tc>
      </w:tr>
      <w:tr w:rsidR="002139E4" w14:paraId="1F7CA2C6"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0BAAF88B"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/29</w:t>
            </w:r>
          </w:p>
        </w:tc>
        <w:tc>
          <w:tcPr>
            <w:tcW w:w="1276" w:type="dxa"/>
            <w:tcBorders>
              <w:top w:val="nil"/>
              <w:left w:val="nil"/>
              <w:bottom w:val="nil"/>
              <w:right w:val="nil"/>
            </w:tcBorders>
          </w:tcPr>
          <w:p w14:paraId="390DA272" w14:textId="77777777" w:rsidR="002139E4" w:rsidRDefault="002139E4" w:rsidP="001A259A">
            <w:pPr>
              <w:spacing w:before="40" w:after="120" w:line="276" w:lineRule="auto"/>
              <w:ind w:right="284"/>
              <w:jc w:val="right"/>
              <w:rPr>
                <w:sz w:val="20"/>
                <w:szCs w:val="20"/>
              </w:rPr>
            </w:pPr>
            <w:r>
              <w:rPr>
                <w:sz w:val="20"/>
                <w:szCs w:val="20"/>
              </w:rPr>
              <w:t>6</w:t>
            </w:r>
          </w:p>
        </w:tc>
        <w:tc>
          <w:tcPr>
            <w:tcW w:w="4252" w:type="dxa"/>
            <w:tcBorders>
              <w:top w:val="nil"/>
              <w:left w:val="nil"/>
              <w:bottom w:val="nil"/>
              <w:right w:val="nil"/>
            </w:tcBorders>
            <w:vAlign w:val="center"/>
          </w:tcPr>
          <w:p w14:paraId="5B1DC0DC" w14:textId="77777777" w:rsidR="002139E4" w:rsidRDefault="002139E4" w:rsidP="001A259A">
            <w:pPr>
              <w:spacing w:before="40" w:after="120" w:line="276" w:lineRule="auto"/>
              <w:ind w:right="113"/>
              <w:rPr>
                <w:sz w:val="20"/>
                <w:szCs w:val="20"/>
              </w:rPr>
            </w:pPr>
            <w:r w:rsidRPr="007012A7">
              <w:rPr>
                <w:sz w:val="20"/>
                <w:szCs w:val="20"/>
              </w:rPr>
              <w:t>Written statement submitted by Imam Ali</w:t>
            </w:r>
            <w:r>
              <w:rPr>
                <w:sz w:val="20"/>
                <w:szCs w:val="20"/>
              </w:rPr>
              <w:t>’</w:t>
            </w:r>
            <w:r w:rsidRPr="007012A7">
              <w:rPr>
                <w:sz w:val="20"/>
                <w:szCs w:val="20"/>
              </w:rPr>
              <w:t>s Popular Students Relief Society, a non-governmental organization in general consultative status</w:t>
            </w:r>
          </w:p>
        </w:tc>
      </w:tr>
      <w:tr w:rsidR="002139E4" w14:paraId="362BBCA9"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0B7D3A29"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/30</w:t>
            </w:r>
          </w:p>
        </w:tc>
        <w:tc>
          <w:tcPr>
            <w:tcW w:w="1276" w:type="dxa"/>
            <w:tcBorders>
              <w:top w:val="nil"/>
              <w:left w:val="nil"/>
              <w:bottom w:val="nil"/>
              <w:right w:val="nil"/>
            </w:tcBorders>
          </w:tcPr>
          <w:p w14:paraId="5E2CDB29" w14:textId="77777777" w:rsidR="002139E4" w:rsidRDefault="002139E4" w:rsidP="001A259A">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79E08A6F" w14:textId="77777777" w:rsidR="002139E4" w:rsidRPr="007012A7" w:rsidRDefault="002139E4" w:rsidP="001A259A">
            <w:pPr>
              <w:spacing w:before="40" w:after="120" w:line="276" w:lineRule="auto"/>
              <w:ind w:right="113"/>
              <w:rPr>
                <w:sz w:val="20"/>
                <w:szCs w:val="20"/>
              </w:rPr>
            </w:pPr>
            <w:r>
              <w:rPr>
                <w:sz w:val="20"/>
                <w:szCs w:val="20"/>
              </w:rPr>
              <w:t>Written statement</w:t>
            </w:r>
            <w:r w:rsidRPr="007012A7">
              <w:rPr>
                <w:sz w:val="20"/>
                <w:szCs w:val="20"/>
              </w:rPr>
              <w:t xml:space="preserve"> submitted by Imam Ali</w:t>
            </w:r>
            <w:r>
              <w:rPr>
                <w:sz w:val="20"/>
                <w:szCs w:val="20"/>
              </w:rPr>
              <w:t>’</w:t>
            </w:r>
            <w:r w:rsidRPr="007012A7">
              <w:rPr>
                <w:sz w:val="20"/>
                <w:szCs w:val="20"/>
              </w:rPr>
              <w:t>s Popular Students Relief Society, a non-governmental organization in general consultative status</w:t>
            </w:r>
          </w:p>
        </w:tc>
      </w:tr>
      <w:tr w:rsidR="002139E4" w14:paraId="41225C93"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46F16E72"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/31</w:t>
            </w:r>
          </w:p>
        </w:tc>
        <w:tc>
          <w:tcPr>
            <w:tcW w:w="1276" w:type="dxa"/>
            <w:tcBorders>
              <w:top w:val="nil"/>
              <w:left w:val="nil"/>
              <w:bottom w:val="nil"/>
              <w:right w:val="nil"/>
            </w:tcBorders>
          </w:tcPr>
          <w:p w14:paraId="3726D718" w14:textId="77777777" w:rsidR="002139E4" w:rsidRDefault="002139E4" w:rsidP="001A259A">
            <w:pPr>
              <w:spacing w:before="40" w:after="120" w:line="276" w:lineRule="auto"/>
              <w:ind w:right="284"/>
              <w:jc w:val="right"/>
              <w:rPr>
                <w:sz w:val="20"/>
                <w:szCs w:val="20"/>
              </w:rPr>
            </w:pPr>
            <w:r>
              <w:rPr>
                <w:sz w:val="20"/>
                <w:szCs w:val="20"/>
              </w:rPr>
              <w:t>2</w:t>
            </w:r>
          </w:p>
        </w:tc>
        <w:tc>
          <w:tcPr>
            <w:tcW w:w="4252" w:type="dxa"/>
            <w:tcBorders>
              <w:top w:val="nil"/>
              <w:left w:val="nil"/>
              <w:bottom w:val="nil"/>
              <w:right w:val="nil"/>
            </w:tcBorders>
            <w:vAlign w:val="center"/>
          </w:tcPr>
          <w:p w14:paraId="681678BA" w14:textId="77777777" w:rsidR="002139E4" w:rsidRDefault="002139E4" w:rsidP="001A259A">
            <w:pPr>
              <w:spacing w:before="40" w:after="120" w:line="276" w:lineRule="auto"/>
              <w:ind w:right="113"/>
              <w:rPr>
                <w:sz w:val="20"/>
                <w:szCs w:val="20"/>
              </w:rPr>
            </w:pPr>
            <w:r>
              <w:rPr>
                <w:sz w:val="20"/>
                <w:szCs w:val="20"/>
              </w:rPr>
              <w:t>Written statement</w:t>
            </w:r>
            <w:r w:rsidRPr="007012A7">
              <w:rPr>
                <w:sz w:val="20"/>
                <w:szCs w:val="20"/>
              </w:rPr>
              <w:t xml:space="preserve"> submitted by Imam Ali</w:t>
            </w:r>
            <w:r>
              <w:rPr>
                <w:sz w:val="20"/>
                <w:szCs w:val="20"/>
              </w:rPr>
              <w:t>’</w:t>
            </w:r>
            <w:r w:rsidRPr="007012A7">
              <w:rPr>
                <w:sz w:val="20"/>
                <w:szCs w:val="20"/>
              </w:rPr>
              <w:t>s Popular Students Relief Society, a non-governmental organization in general consultative status</w:t>
            </w:r>
          </w:p>
        </w:tc>
      </w:tr>
      <w:tr w:rsidR="002139E4" w14:paraId="31575E67"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5E46478C" w14:textId="77777777" w:rsidR="002139E4" w:rsidRPr="00296342" w:rsidRDefault="002139E4" w:rsidP="001A259A">
            <w:pPr>
              <w:spacing w:before="40" w:after="120" w:line="276" w:lineRule="auto"/>
              <w:ind w:right="113"/>
              <w:rPr>
                <w:sz w:val="20"/>
                <w:szCs w:val="20"/>
              </w:rPr>
            </w:pPr>
            <w:r w:rsidRPr="00296342">
              <w:rPr>
                <w:sz w:val="20"/>
                <w:szCs w:val="20"/>
              </w:rPr>
              <w:lastRenderedPageBreak/>
              <w:t>A/HRC/40/NGO</w:t>
            </w:r>
            <w:r>
              <w:rPr>
                <w:sz w:val="20"/>
                <w:szCs w:val="20"/>
              </w:rPr>
              <w:t>/32</w:t>
            </w:r>
          </w:p>
        </w:tc>
        <w:tc>
          <w:tcPr>
            <w:tcW w:w="1276" w:type="dxa"/>
            <w:tcBorders>
              <w:top w:val="nil"/>
              <w:left w:val="nil"/>
              <w:bottom w:val="nil"/>
              <w:right w:val="nil"/>
            </w:tcBorders>
          </w:tcPr>
          <w:p w14:paraId="49339F06" w14:textId="77777777" w:rsidR="002139E4" w:rsidRDefault="002139E4" w:rsidP="001A259A">
            <w:pPr>
              <w:spacing w:before="40" w:after="120" w:line="276" w:lineRule="auto"/>
              <w:ind w:right="284"/>
              <w:jc w:val="right"/>
              <w:rPr>
                <w:sz w:val="20"/>
                <w:szCs w:val="20"/>
              </w:rPr>
            </w:pPr>
            <w:r>
              <w:rPr>
                <w:sz w:val="20"/>
                <w:szCs w:val="20"/>
              </w:rPr>
              <w:t>9</w:t>
            </w:r>
          </w:p>
        </w:tc>
        <w:tc>
          <w:tcPr>
            <w:tcW w:w="4252" w:type="dxa"/>
            <w:tcBorders>
              <w:top w:val="nil"/>
              <w:left w:val="nil"/>
              <w:bottom w:val="nil"/>
              <w:right w:val="nil"/>
            </w:tcBorders>
            <w:vAlign w:val="center"/>
          </w:tcPr>
          <w:p w14:paraId="5C6888DD" w14:textId="77777777" w:rsidR="002139E4" w:rsidRDefault="002139E4" w:rsidP="001A259A">
            <w:pPr>
              <w:spacing w:before="40" w:after="120" w:line="276" w:lineRule="auto"/>
              <w:ind w:right="113"/>
              <w:rPr>
                <w:sz w:val="20"/>
                <w:szCs w:val="20"/>
              </w:rPr>
            </w:pPr>
            <w:r w:rsidRPr="007012A7">
              <w:rPr>
                <w:sz w:val="20"/>
                <w:szCs w:val="20"/>
              </w:rPr>
              <w:t>Written statement submitted by Imam Ali</w:t>
            </w:r>
            <w:r>
              <w:rPr>
                <w:sz w:val="20"/>
                <w:szCs w:val="20"/>
              </w:rPr>
              <w:t>’</w:t>
            </w:r>
            <w:r w:rsidRPr="007012A7">
              <w:rPr>
                <w:sz w:val="20"/>
                <w:szCs w:val="20"/>
              </w:rPr>
              <w:t>s Popular Students Relief Society, a non-governmental organization in general consultative status</w:t>
            </w:r>
          </w:p>
        </w:tc>
      </w:tr>
      <w:tr w:rsidR="002139E4" w14:paraId="0BE90F15"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7FCD6045"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/33</w:t>
            </w:r>
          </w:p>
        </w:tc>
        <w:tc>
          <w:tcPr>
            <w:tcW w:w="1276" w:type="dxa"/>
            <w:tcBorders>
              <w:top w:val="nil"/>
              <w:left w:val="nil"/>
              <w:bottom w:val="nil"/>
              <w:right w:val="nil"/>
            </w:tcBorders>
          </w:tcPr>
          <w:p w14:paraId="04F32284" w14:textId="77777777" w:rsidR="002139E4" w:rsidRDefault="002139E4" w:rsidP="001A259A">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7E7FE7B5" w14:textId="77777777" w:rsidR="002139E4" w:rsidRPr="007012A7" w:rsidRDefault="002139E4" w:rsidP="001A259A">
            <w:pPr>
              <w:spacing w:before="40" w:after="120" w:line="276" w:lineRule="auto"/>
              <w:ind w:right="113"/>
              <w:rPr>
                <w:sz w:val="20"/>
                <w:szCs w:val="20"/>
              </w:rPr>
            </w:pPr>
            <w:r>
              <w:rPr>
                <w:sz w:val="20"/>
                <w:szCs w:val="20"/>
              </w:rPr>
              <w:t>Exposé écrit</w:t>
            </w:r>
            <w:r w:rsidRPr="007012A7">
              <w:rPr>
                <w:sz w:val="20"/>
                <w:szCs w:val="20"/>
              </w:rPr>
              <w:t xml:space="preserve"> présenté par L</w:t>
            </w:r>
            <w:r>
              <w:rPr>
                <w:sz w:val="20"/>
                <w:szCs w:val="20"/>
              </w:rPr>
              <w:t>’</w:t>
            </w:r>
            <w:r w:rsidRPr="007012A7">
              <w:rPr>
                <w:sz w:val="20"/>
                <w:szCs w:val="20"/>
              </w:rPr>
              <w:t>Association Mauritanienne pour la promotion des droits de l</w:t>
            </w:r>
            <w:r>
              <w:rPr>
                <w:sz w:val="20"/>
                <w:szCs w:val="20"/>
              </w:rPr>
              <w:t>’</w:t>
            </w:r>
            <w:r w:rsidRPr="007012A7">
              <w:rPr>
                <w:sz w:val="20"/>
                <w:szCs w:val="20"/>
              </w:rPr>
              <w:t>homme dotée du statut consultatif spécial</w:t>
            </w:r>
          </w:p>
        </w:tc>
      </w:tr>
      <w:tr w:rsidR="002139E4" w14:paraId="6145B96A"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06F443B7"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/34</w:t>
            </w:r>
          </w:p>
        </w:tc>
        <w:tc>
          <w:tcPr>
            <w:tcW w:w="1276" w:type="dxa"/>
            <w:tcBorders>
              <w:top w:val="nil"/>
              <w:left w:val="nil"/>
              <w:bottom w:val="nil"/>
              <w:right w:val="nil"/>
            </w:tcBorders>
          </w:tcPr>
          <w:p w14:paraId="63D687F7" w14:textId="77777777" w:rsidR="002139E4" w:rsidRDefault="002139E4" w:rsidP="001A259A">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382AE952" w14:textId="77777777" w:rsidR="002139E4" w:rsidRDefault="002139E4" w:rsidP="001A259A">
            <w:pPr>
              <w:spacing w:before="40" w:after="120" w:line="276" w:lineRule="auto"/>
              <w:ind w:right="113"/>
              <w:rPr>
                <w:sz w:val="20"/>
                <w:szCs w:val="20"/>
              </w:rPr>
            </w:pPr>
            <w:r w:rsidRPr="007012A7">
              <w:rPr>
                <w:sz w:val="20"/>
                <w:szCs w:val="20"/>
              </w:rPr>
              <w:t>Exposé écrit présenté par le Réseau Unité pour le Développement de Mauritanie dotée du statut consultatif spécial</w:t>
            </w:r>
          </w:p>
        </w:tc>
      </w:tr>
      <w:tr w:rsidR="002139E4" w14:paraId="591B193B"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4AE7146A"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/35</w:t>
            </w:r>
          </w:p>
        </w:tc>
        <w:tc>
          <w:tcPr>
            <w:tcW w:w="1276" w:type="dxa"/>
            <w:tcBorders>
              <w:top w:val="nil"/>
              <w:left w:val="nil"/>
              <w:bottom w:val="nil"/>
              <w:right w:val="nil"/>
            </w:tcBorders>
          </w:tcPr>
          <w:p w14:paraId="1E06F87B" w14:textId="77777777" w:rsidR="002139E4" w:rsidRDefault="002139E4" w:rsidP="001A259A">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0C775596" w14:textId="77777777" w:rsidR="002139E4" w:rsidRPr="007012A7" w:rsidRDefault="002139E4" w:rsidP="001A259A">
            <w:pPr>
              <w:spacing w:before="40" w:after="120" w:line="276" w:lineRule="auto"/>
              <w:ind w:right="113"/>
              <w:rPr>
                <w:sz w:val="20"/>
                <w:szCs w:val="20"/>
              </w:rPr>
            </w:pPr>
            <w:r>
              <w:rPr>
                <w:sz w:val="20"/>
                <w:szCs w:val="20"/>
              </w:rPr>
              <w:t>Exposé écrit</w:t>
            </w:r>
            <w:r w:rsidRPr="007012A7">
              <w:rPr>
                <w:sz w:val="20"/>
                <w:szCs w:val="20"/>
              </w:rPr>
              <w:t xml:space="preserve"> présenté par L</w:t>
            </w:r>
            <w:r>
              <w:rPr>
                <w:sz w:val="20"/>
                <w:szCs w:val="20"/>
              </w:rPr>
              <w:t>’</w:t>
            </w:r>
            <w:r w:rsidRPr="007012A7">
              <w:rPr>
                <w:sz w:val="20"/>
                <w:szCs w:val="20"/>
              </w:rPr>
              <w:t>Association pour l</w:t>
            </w:r>
            <w:r>
              <w:rPr>
                <w:sz w:val="20"/>
                <w:szCs w:val="20"/>
              </w:rPr>
              <w:t>’</w:t>
            </w:r>
            <w:r w:rsidRPr="007012A7">
              <w:rPr>
                <w:sz w:val="20"/>
                <w:szCs w:val="20"/>
              </w:rPr>
              <w:t>Education de la santé de la Femme et de l</w:t>
            </w:r>
            <w:r>
              <w:rPr>
                <w:sz w:val="20"/>
                <w:szCs w:val="20"/>
              </w:rPr>
              <w:t>’</w:t>
            </w:r>
            <w:r w:rsidRPr="007012A7">
              <w:rPr>
                <w:sz w:val="20"/>
                <w:szCs w:val="20"/>
              </w:rPr>
              <w:t>Enfant dotée du statut consultatif spécial</w:t>
            </w:r>
          </w:p>
        </w:tc>
      </w:tr>
      <w:tr w:rsidR="002139E4" w14:paraId="698A5075"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7FA3E00B"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/36</w:t>
            </w:r>
          </w:p>
        </w:tc>
        <w:tc>
          <w:tcPr>
            <w:tcW w:w="1276" w:type="dxa"/>
            <w:tcBorders>
              <w:top w:val="nil"/>
              <w:left w:val="nil"/>
              <w:bottom w:val="nil"/>
              <w:right w:val="nil"/>
            </w:tcBorders>
          </w:tcPr>
          <w:p w14:paraId="4CD7109D" w14:textId="77777777" w:rsidR="002139E4" w:rsidRDefault="002139E4" w:rsidP="001A259A">
            <w:pPr>
              <w:spacing w:before="40" w:after="120" w:line="276" w:lineRule="auto"/>
              <w:ind w:right="284"/>
              <w:jc w:val="right"/>
              <w:rPr>
                <w:sz w:val="20"/>
                <w:szCs w:val="20"/>
              </w:rPr>
            </w:pPr>
            <w:r>
              <w:rPr>
                <w:sz w:val="20"/>
                <w:szCs w:val="20"/>
              </w:rPr>
              <w:t>5</w:t>
            </w:r>
          </w:p>
        </w:tc>
        <w:tc>
          <w:tcPr>
            <w:tcW w:w="4252" w:type="dxa"/>
            <w:tcBorders>
              <w:top w:val="nil"/>
              <w:left w:val="nil"/>
              <w:bottom w:val="nil"/>
              <w:right w:val="nil"/>
            </w:tcBorders>
            <w:vAlign w:val="center"/>
          </w:tcPr>
          <w:p w14:paraId="71A5325F" w14:textId="77777777" w:rsidR="002139E4" w:rsidRDefault="002139E4" w:rsidP="001A259A">
            <w:pPr>
              <w:spacing w:before="40" w:after="120" w:line="276" w:lineRule="auto"/>
              <w:ind w:right="113"/>
              <w:rPr>
                <w:sz w:val="20"/>
                <w:szCs w:val="20"/>
              </w:rPr>
            </w:pPr>
            <w:r>
              <w:rPr>
                <w:sz w:val="20"/>
                <w:szCs w:val="20"/>
              </w:rPr>
              <w:t>Written statement</w:t>
            </w:r>
            <w:r w:rsidRPr="007012A7">
              <w:rPr>
                <w:sz w:val="20"/>
                <w:szCs w:val="20"/>
              </w:rPr>
              <w:t xml:space="preserve"> submitted by Imam Ali</w:t>
            </w:r>
            <w:r>
              <w:rPr>
                <w:sz w:val="20"/>
                <w:szCs w:val="20"/>
              </w:rPr>
              <w:t>’</w:t>
            </w:r>
            <w:r w:rsidRPr="007012A7">
              <w:rPr>
                <w:sz w:val="20"/>
                <w:szCs w:val="20"/>
              </w:rPr>
              <w:t>s Popular Students Relief Society, a non-governmental organization in general consultative status</w:t>
            </w:r>
          </w:p>
        </w:tc>
      </w:tr>
      <w:tr w:rsidR="002139E4" w14:paraId="2A0A4EA8"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7A3D92B5"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/37</w:t>
            </w:r>
          </w:p>
        </w:tc>
        <w:tc>
          <w:tcPr>
            <w:tcW w:w="1276" w:type="dxa"/>
            <w:tcBorders>
              <w:top w:val="nil"/>
              <w:left w:val="nil"/>
              <w:bottom w:val="nil"/>
              <w:right w:val="nil"/>
            </w:tcBorders>
          </w:tcPr>
          <w:p w14:paraId="273233C6" w14:textId="77777777" w:rsidR="002139E4" w:rsidRDefault="002139E4" w:rsidP="001A259A">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4BF8FCE2" w14:textId="77777777" w:rsidR="002139E4" w:rsidRDefault="002139E4" w:rsidP="001A259A">
            <w:pPr>
              <w:spacing w:before="40" w:after="120" w:line="276" w:lineRule="auto"/>
              <w:ind w:right="113"/>
              <w:rPr>
                <w:sz w:val="20"/>
                <w:szCs w:val="20"/>
              </w:rPr>
            </w:pPr>
            <w:r w:rsidRPr="007012A7">
              <w:rPr>
                <w:sz w:val="20"/>
                <w:szCs w:val="20"/>
              </w:rPr>
              <w:t>Written statement submitted by Modern Advocacy, Humanitarian, Social and Rehabilitation Association, a non-governmental organization in special consultative status</w:t>
            </w:r>
          </w:p>
        </w:tc>
      </w:tr>
      <w:tr w:rsidR="002139E4" w14:paraId="56840B4B"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687853BA"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/38</w:t>
            </w:r>
          </w:p>
        </w:tc>
        <w:tc>
          <w:tcPr>
            <w:tcW w:w="1276" w:type="dxa"/>
            <w:tcBorders>
              <w:top w:val="nil"/>
              <w:left w:val="nil"/>
              <w:bottom w:val="nil"/>
              <w:right w:val="nil"/>
            </w:tcBorders>
          </w:tcPr>
          <w:p w14:paraId="6B30F876" w14:textId="77777777" w:rsidR="002139E4" w:rsidRDefault="002139E4" w:rsidP="001A259A">
            <w:pPr>
              <w:spacing w:before="40" w:after="120" w:line="276" w:lineRule="auto"/>
              <w:ind w:right="284"/>
              <w:jc w:val="right"/>
              <w:rPr>
                <w:sz w:val="20"/>
                <w:szCs w:val="20"/>
              </w:rPr>
            </w:pPr>
            <w:r>
              <w:rPr>
                <w:sz w:val="20"/>
                <w:szCs w:val="20"/>
              </w:rPr>
              <w:t>2</w:t>
            </w:r>
          </w:p>
        </w:tc>
        <w:tc>
          <w:tcPr>
            <w:tcW w:w="4252" w:type="dxa"/>
            <w:tcBorders>
              <w:top w:val="nil"/>
              <w:left w:val="nil"/>
              <w:bottom w:val="nil"/>
              <w:right w:val="nil"/>
            </w:tcBorders>
            <w:vAlign w:val="center"/>
          </w:tcPr>
          <w:p w14:paraId="50B8A44D" w14:textId="77777777" w:rsidR="002139E4" w:rsidRPr="007012A7" w:rsidRDefault="002139E4" w:rsidP="001A259A">
            <w:pPr>
              <w:spacing w:before="40" w:after="120" w:line="276" w:lineRule="auto"/>
              <w:ind w:right="113"/>
              <w:rPr>
                <w:sz w:val="20"/>
                <w:szCs w:val="20"/>
              </w:rPr>
            </w:pPr>
            <w:r>
              <w:rPr>
                <w:sz w:val="20"/>
                <w:szCs w:val="20"/>
              </w:rPr>
              <w:t>Written statement</w:t>
            </w:r>
            <w:r w:rsidRPr="007012A7">
              <w:rPr>
                <w:sz w:val="20"/>
                <w:szCs w:val="20"/>
              </w:rPr>
              <w:t xml:space="preserve"> submitted by Organization for Defending Victims of Violence, a non-governmental organization in special consultative status</w:t>
            </w:r>
          </w:p>
        </w:tc>
      </w:tr>
      <w:tr w:rsidR="002139E4" w14:paraId="78210B72"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22B2169D"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/39</w:t>
            </w:r>
          </w:p>
        </w:tc>
        <w:tc>
          <w:tcPr>
            <w:tcW w:w="1276" w:type="dxa"/>
            <w:tcBorders>
              <w:top w:val="nil"/>
              <w:left w:val="nil"/>
              <w:bottom w:val="nil"/>
              <w:right w:val="nil"/>
            </w:tcBorders>
          </w:tcPr>
          <w:p w14:paraId="251A3AC3" w14:textId="77777777" w:rsidR="002139E4" w:rsidRDefault="002139E4" w:rsidP="001A259A">
            <w:pPr>
              <w:spacing w:before="40" w:after="120" w:line="276" w:lineRule="auto"/>
              <w:ind w:right="284"/>
              <w:jc w:val="right"/>
              <w:rPr>
                <w:sz w:val="20"/>
                <w:szCs w:val="20"/>
              </w:rPr>
            </w:pPr>
            <w:r>
              <w:rPr>
                <w:sz w:val="20"/>
                <w:szCs w:val="20"/>
              </w:rPr>
              <w:t>4</w:t>
            </w:r>
          </w:p>
        </w:tc>
        <w:tc>
          <w:tcPr>
            <w:tcW w:w="4252" w:type="dxa"/>
            <w:tcBorders>
              <w:top w:val="nil"/>
              <w:left w:val="nil"/>
              <w:bottom w:val="nil"/>
              <w:right w:val="nil"/>
            </w:tcBorders>
            <w:vAlign w:val="center"/>
          </w:tcPr>
          <w:p w14:paraId="7A4D0761" w14:textId="77777777" w:rsidR="002139E4" w:rsidRDefault="002139E4" w:rsidP="001A259A">
            <w:pPr>
              <w:spacing w:before="40" w:after="120" w:line="276" w:lineRule="auto"/>
              <w:ind w:right="113"/>
              <w:rPr>
                <w:sz w:val="20"/>
                <w:szCs w:val="20"/>
              </w:rPr>
            </w:pPr>
            <w:r w:rsidRPr="007012A7">
              <w:rPr>
                <w:sz w:val="20"/>
                <w:szCs w:val="20"/>
              </w:rPr>
              <w:t>Written statement submitted by Maat for Peace, Development and Human Rights Association, a non-governmental organization in special consultative status</w:t>
            </w:r>
          </w:p>
        </w:tc>
      </w:tr>
      <w:tr w:rsidR="002139E4" w14:paraId="375D3BC4"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26C11452"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/40</w:t>
            </w:r>
          </w:p>
        </w:tc>
        <w:tc>
          <w:tcPr>
            <w:tcW w:w="1276" w:type="dxa"/>
            <w:tcBorders>
              <w:top w:val="nil"/>
              <w:left w:val="nil"/>
              <w:bottom w:val="nil"/>
              <w:right w:val="nil"/>
            </w:tcBorders>
          </w:tcPr>
          <w:p w14:paraId="583543A9" w14:textId="77777777" w:rsidR="002139E4" w:rsidRDefault="002139E4" w:rsidP="001A259A">
            <w:pPr>
              <w:spacing w:before="40" w:after="120" w:line="276" w:lineRule="auto"/>
              <w:ind w:right="284"/>
              <w:jc w:val="right"/>
              <w:rPr>
                <w:sz w:val="20"/>
                <w:szCs w:val="20"/>
              </w:rPr>
            </w:pPr>
            <w:r>
              <w:rPr>
                <w:sz w:val="20"/>
                <w:szCs w:val="20"/>
              </w:rPr>
              <w:t>5</w:t>
            </w:r>
          </w:p>
        </w:tc>
        <w:tc>
          <w:tcPr>
            <w:tcW w:w="4252" w:type="dxa"/>
            <w:tcBorders>
              <w:top w:val="nil"/>
              <w:left w:val="nil"/>
              <w:bottom w:val="nil"/>
              <w:right w:val="nil"/>
            </w:tcBorders>
            <w:vAlign w:val="center"/>
          </w:tcPr>
          <w:p w14:paraId="0E719B3D" w14:textId="77777777" w:rsidR="002139E4" w:rsidRPr="007012A7" w:rsidRDefault="002139E4" w:rsidP="001A259A">
            <w:pPr>
              <w:spacing w:before="40" w:after="120" w:line="276" w:lineRule="auto"/>
              <w:ind w:right="113"/>
              <w:rPr>
                <w:sz w:val="20"/>
                <w:szCs w:val="20"/>
              </w:rPr>
            </w:pPr>
            <w:r>
              <w:rPr>
                <w:sz w:val="20"/>
                <w:szCs w:val="20"/>
              </w:rPr>
              <w:t>Written statement</w:t>
            </w:r>
            <w:r w:rsidRPr="007012A7">
              <w:rPr>
                <w:sz w:val="20"/>
                <w:szCs w:val="20"/>
              </w:rPr>
              <w:t xml:space="preserve"> submitted by Imam Ali</w:t>
            </w:r>
            <w:r>
              <w:rPr>
                <w:sz w:val="20"/>
                <w:szCs w:val="20"/>
              </w:rPr>
              <w:t>’</w:t>
            </w:r>
            <w:r w:rsidRPr="007012A7">
              <w:rPr>
                <w:sz w:val="20"/>
                <w:szCs w:val="20"/>
              </w:rPr>
              <w:t>s Popular Students Relief Society, a non-governmental organization in general consultative status</w:t>
            </w:r>
          </w:p>
        </w:tc>
      </w:tr>
      <w:tr w:rsidR="002139E4" w14:paraId="08F9ACD5"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0ECAA86C"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/41</w:t>
            </w:r>
          </w:p>
        </w:tc>
        <w:tc>
          <w:tcPr>
            <w:tcW w:w="1276" w:type="dxa"/>
            <w:tcBorders>
              <w:top w:val="nil"/>
              <w:left w:val="nil"/>
              <w:bottom w:val="nil"/>
              <w:right w:val="nil"/>
            </w:tcBorders>
          </w:tcPr>
          <w:p w14:paraId="0FABDF06" w14:textId="77777777" w:rsidR="002139E4" w:rsidRDefault="002139E4" w:rsidP="001A259A">
            <w:pPr>
              <w:spacing w:before="40" w:after="120" w:line="276" w:lineRule="auto"/>
              <w:ind w:right="284"/>
              <w:jc w:val="right"/>
              <w:rPr>
                <w:sz w:val="20"/>
                <w:szCs w:val="20"/>
              </w:rPr>
            </w:pPr>
            <w:r>
              <w:rPr>
                <w:sz w:val="20"/>
                <w:szCs w:val="20"/>
              </w:rPr>
              <w:t>2</w:t>
            </w:r>
          </w:p>
        </w:tc>
        <w:tc>
          <w:tcPr>
            <w:tcW w:w="4252" w:type="dxa"/>
            <w:tcBorders>
              <w:top w:val="nil"/>
              <w:left w:val="nil"/>
              <w:bottom w:val="nil"/>
              <w:right w:val="nil"/>
            </w:tcBorders>
            <w:vAlign w:val="center"/>
          </w:tcPr>
          <w:p w14:paraId="4F97ADF7" w14:textId="77777777" w:rsidR="002139E4" w:rsidRDefault="002139E4" w:rsidP="001A259A">
            <w:pPr>
              <w:spacing w:before="40" w:after="120" w:line="276" w:lineRule="auto"/>
              <w:ind w:right="113"/>
              <w:rPr>
                <w:sz w:val="20"/>
                <w:szCs w:val="20"/>
              </w:rPr>
            </w:pPr>
            <w:r w:rsidRPr="007012A7">
              <w:rPr>
                <w:sz w:val="20"/>
                <w:szCs w:val="20"/>
              </w:rPr>
              <w:t>Written statement submitted by World Muslim Congress, a non-governmental organization in general consultative status</w:t>
            </w:r>
          </w:p>
        </w:tc>
      </w:tr>
      <w:tr w:rsidR="002139E4" w14:paraId="5A3C9BCB"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6D682185"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/42</w:t>
            </w:r>
          </w:p>
        </w:tc>
        <w:tc>
          <w:tcPr>
            <w:tcW w:w="1276" w:type="dxa"/>
            <w:tcBorders>
              <w:top w:val="nil"/>
              <w:left w:val="nil"/>
              <w:bottom w:val="nil"/>
              <w:right w:val="nil"/>
            </w:tcBorders>
          </w:tcPr>
          <w:p w14:paraId="4EDAE9B8" w14:textId="77777777" w:rsidR="002139E4" w:rsidRDefault="002139E4" w:rsidP="001A259A">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3F45222B" w14:textId="77777777" w:rsidR="002139E4" w:rsidRPr="007012A7" w:rsidRDefault="002139E4" w:rsidP="001A259A">
            <w:pPr>
              <w:spacing w:before="40" w:after="120" w:line="276" w:lineRule="auto"/>
              <w:ind w:right="113"/>
              <w:rPr>
                <w:sz w:val="20"/>
                <w:szCs w:val="20"/>
              </w:rPr>
            </w:pPr>
            <w:r w:rsidRPr="007012A7">
              <w:rPr>
                <w:sz w:val="20"/>
                <w:szCs w:val="20"/>
              </w:rPr>
              <w:t xml:space="preserve">Written statement submitted by Maat for Peace, Development and Human Rights Association, a </w:t>
            </w:r>
            <w:r w:rsidRPr="007012A7">
              <w:rPr>
                <w:sz w:val="20"/>
                <w:szCs w:val="20"/>
              </w:rPr>
              <w:lastRenderedPageBreak/>
              <w:t>non-governmental organization in special consultative status</w:t>
            </w:r>
          </w:p>
        </w:tc>
      </w:tr>
      <w:tr w:rsidR="002139E4" w14:paraId="551D576F"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6231A238" w14:textId="77777777" w:rsidR="002139E4" w:rsidRPr="00296342" w:rsidRDefault="002139E4" w:rsidP="001A259A">
            <w:pPr>
              <w:spacing w:before="40" w:after="120" w:line="276" w:lineRule="auto"/>
              <w:ind w:right="113"/>
              <w:rPr>
                <w:sz w:val="20"/>
                <w:szCs w:val="20"/>
              </w:rPr>
            </w:pPr>
            <w:r w:rsidRPr="00296342">
              <w:rPr>
                <w:sz w:val="20"/>
                <w:szCs w:val="20"/>
              </w:rPr>
              <w:lastRenderedPageBreak/>
              <w:t>A/HRC/40/NGO</w:t>
            </w:r>
            <w:r>
              <w:rPr>
                <w:sz w:val="20"/>
                <w:szCs w:val="20"/>
              </w:rPr>
              <w:t>/43</w:t>
            </w:r>
          </w:p>
        </w:tc>
        <w:tc>
          <w:tcPr>
            <w:tcW w:w="1276" w:type="dxa"/>
            <w:tcBorders>
              <w:top w:val="nil"/>
              <w:left w:val="nil"/>
              <w:bottom w:val="nil"/>
              <w:right w:val="nil"/>
            </w:tcBorders>
          </w:tcPr>
          <w:p w14:paraId="252938A1" w14:textId="77777777" w:rsidR="002139E4" w:rsidRDefault="002139E4" w:rsidP="001A259A">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396E3CC0" w14:textId="77777777" w:rsidR="002139E4" w:rsidRPr="007012A7" w:rsidRDefault="002139E4" w:rsidP="001A259A">
            <w:pPr>
              <w:spacing w:before="40" w:after="120" w:line="276" w:lineRule="auto"/>
              <w:ind w:right="113"/>
              <w:rPr>
                <w:sz w:val="20"/>
                <w:szCs w:val="20"/>
              </w:rPr>
            </w:pPr>
            <w:r>
              <w:rPr>
                <w:sz w:val="20"/>
                <w:szCs w:val="20"/>
              </w:rPr>
              <w:t>Written statement</w:t>
            </w:r>
            <w:r w:rsidRPr="007012A7">
              <w:rPr>
                <w:sz w:val="20"/>
                <w:szCs w:val="20"/>
              </w:rPr>
              <w:t xml:space="preserve"> submitted by Maat for Peace, Development and Human Rights Association, a non-governmental organization in special consultative status</w:t>
            </w:r>
          </w:p>
        </w:tc>
      </w:tr>
      <w:tr w:rsidR="002139E4" w14:paraId="630097B7"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61B01450"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/44</w:t>
            </w:r>
          </w:p>
        </w:tc>
        <w:tc>
          <w:tcPr>
            <w:tcW w:w="1276" w:type="dxa"/>
            <w:tcBorders>
              <w:top w:val="nil"/>
              <w:left w:val="nil"/>
              <w:bottom w:val="nil"/>
              <w:right w:val="nil"/>
            </w:tcBorders>
          </w:tcPr>
          <w:p w14:paraId="3B083CD8" w14:textId="77777777" w:rsidR="002139E4" w:rsidRDefault="002139E4" w:rsidP="001A259A">
            <w:pPr>
              <w:spacing w:before="40" w:after="120" w:line="276" w:lineRule="auto"/>
              <w:ind w:right="284"/>
              <w:jc w:val="right"/>
              <w:rPr>
                <w:sz w:val="20"/>
                <w:szCs w:val="20"/>
              </w:rPr>
            </w:pPr>
            <w:r>
              <w:rPr>
                <w:sz w:val="20"/>
                <w:szCs w:val="20"/>
              </w:rPr>
              <w:t>8</w:t>
            </w:r>
          </w:p>
        </w:tc>
        <w:tc>
          <w:tcPr>
            <w:tcW w:w="4252" w:type="dxa"/>
            <w:tcBorders>
              <w:top w:val="nil"/>
              <w:left w:val="nil"/>
              <w:bottom w:val="nil"/>
              <w:right w:val="nil"/>
            </w:tcBorders>
            <w:vAlign w:val="center"/>
          </w:tcPr>
          <w:p w14:paraId="46130701" w14:textId="77777777" w:rsidR="002139E4" w:rsidRDefault="002139E4" w:rsidP="001A259A">
            <w:pPr>
              <w:spacing w:before="40" w:after="120" w:line="276" w:lineRule="auto"/>
              <w:ind w:right="113"/>
              <w:rPr>
                <w:sz w:val="20"/>
                <w:szCs w:val="20"/>
              </w:rPr>
            </w:pPr>
            <w:r w:rsidRPr="007012A7">
              <w:rPr>
                <w:sz w:val="20"/>
                <w:szCs w:val="20"/>
              </w:rPr>
              <w:t>Written statement submitted by Imam Ali</w:t>
            </w:r>
            <w:r>
              <w:rPr>
                <w:sz w:val="20"/>
                <w:szCs w:val="20"/>
              </w:rPr>
              <w:t>’</w:t>
            </w:r>
            <w:r w:rsidRPr="007012A7">
              <w:rPr>
                <w:sz w:val="20"/>
                <w:szCs w:val="20"/>
              </w:rPr>
              <w:t>s Popular Students Relief Society, a non-governmental organization in general consultative status</w:t>
            </w:r>
          </w:p>
        </w:tc>
      </w:tr>
      <w:tr w:rsidR="002139E4" w14:paraId="5F345EC6"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28C925F7"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/45</w:t>
            </w:r>
          </w:p>
        </w:tc>
        <w:tc>
          <w:tcPr>
            <w:tcW w:w="1276" w:type="dxa"/>
            <w:tcBorders>
              <w:top w:val="nil"/>
              <w:left w:val="nil"/>
              <w:bottom w:val="nil"/>
              <w:right w:val="nil"/>
            </w:tcBorders>
          </w:tcPr>
          <w:p w14:paraId="47C25071" w14:textId="77777777" w:rsidR="002139E4" w:rsidRDefault="002139E4" w:rsidP="001A259A">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0494E57B" w14:textId="77777777" w:rsidR="002139E4" w:rsidRPr="007012A7" w:rsidRDefault="002139E4" w:rsidP="001A259A">
            <w:pPr>
              <w:spacing w:before="40" w:after="120" w:line="276" w:lineRule="auto"/>
              <w:ind w:right="113"/>
              <w:rPr>
                <w:sz w:val="20"/>
                <w:szCs w:val="20"/>
              </w:rPr>
            </w:pPr>
            <w:r>
              <w:rPr>
                <w:sz w:val="20"/>
                <w:szCs w:val="20"/>
              </w:rPr>
              <w:t>Written statement</w:t>
            </w:r>
            <w:r w:rsidRPr="007012A7">
              <w:rPr>
                <w:sz w:val="20"/>
                <w:szCs w:val="20"/>
              </w:rPr>
              <w:t xml:space="preserve"> submitted by Maat for Peace, Development and Human Rights Association, a non-governmental organization in special consultative status</w:t>
            </w:r>
          </w:p>
        </w:tc>
      </w:tr>
      <w:tr w:rsidR="002139E4" w14:paraId="3C84185E"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7724A985"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/46</w:t>
            </w:r>
          </w:p>
        </w:tc>
        <w:tc>
          <w:tcPr>
            <w:tcW w:w="1276" w:type="dxa"/>
            <w:tcBorders>
              <w:top w:val="nil"/>
              <w:left w:val="nil"/>
              <w:bottom w:val="nil"/>
              <w:right w:val="nil"/>
            </w:tcBorders>
          </w:tcPr>
          <w:p w14:paraId="54883A1E" w14:textId="77777777" w:rsidR="002139E4" w:rsidRDefault="002139E4" w:rsidP="001A259A">
            <w:pPr>
              <w:spacing w:before="40" w:after="120" w:line="276" w:lineRule="auto"/>
              <w:ind w:right="284"/>
              <w:jc w:val="right"/>
              <w:rPr>
                <w:sz w:val="20"/>
                <w:szCs w:val="20"/>
              </w:rPr>
            </w:pPr>
            <w:r>
              <w:rPr>
                <w:sz w:val="20"/>
                <w:szCs w:val="20"/>
              </w:rPr>
              <w:t>4</w:t>
            </w:r>
          </w:p>
        </w:tc>
        <w:tc>
          <w:tcPr>
            <w:tcW w:w="4252" w:type="dxa"/>
            <w:tcBorders>
              <w:top w:val="nil"/>
              <w:left w:val="nil"/>
              <w:bottom w:val="nil"/>
              <w:right w:val="nil"/>
            </w:tcBorders>
            <w:vAlign w:val="center"/>
          </w:tcPr>
          <w:p w14:paraId="092A72D5" w14:textId="77777777" w:rsidR="002139E4" w:rsidRDefault="002139E4" w:rsidP="001A259A">
            <w:pPr>
              <w:spacing w:before="40" w:after="120" w:line="276" w:lineRule="auto"/>
              <w:ind w:right="113"/>
              <w:rPr>
                <w:sz w:val="20"/>
                <w:szCs w:val="20"/>
              </w:rPr>
            </w:pPr>
            <w:r w:rsidRPr="007012A7">
              <w:rPr>
                <w:sz w:val="20"/>
                <w:szCs w:val="20"/>
              </w:rPr>
              <w:t>Written statement submitted by Family Health Association of Iran, a non-governmental organization in special consultative status</w:t>
            </w:r>
          </w:p>
        </w:tc>
      </w:tr>
      <w:tr w:rsidR="002139E4" w14:paraId="149DCBE0"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32A79076"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/47</w:t>
            </w:r>
          </w:p>
        </w:tc>
        <w:tc>
          <w:tcPr>
            <w:tcW w:w="1276" w:type="dxa"/>
            <w:tcBorders>
              <w:top w:val="nil"/>
              <w:left w:val="nil"/>
              <w:bottom w:val="nil"/>
              <w:right w:val="nil"/>
            </w:tcBorders>
          </w:tcPr>
          <w:p w14:paraId="615DCF30" w14:textId="77777777" w:rsidR="002139E4" w:rsidRDefault="002139E4" w:rsidP="001A259A">
            <w:pPr>
              <w:spacing w:before="40" w:after="120" w:line="276" w:lineRule="auto"/>
              <w:ind w:right="284"/>
              <w:jc w:val="right"/>
              <w:rPr>
                <w:sz w:val="20"/>
                <w:szCs w:val="20"/>
              </w:rPr>
            </w:pPr>
            <w:r>
              <w:rPr>
                <w:sz w:val="20"/>
                <w:szCs w:val="20"/>
              </w:rPr>
              <w:t>4</w:t>
            </w:r>
          </w:p>
        </w:tc>
        <w:tc>
          <w:tcPr>
            <w:tcW w:w="4252" w:type="dxa"/>
            <w:tcBorders>
              <w:top w:val="nil"/>
              <w:left w:val="nil"/>
              <w:bottom w:val="nil"/>
              <w:right w:val="nil"/>
            </w:tcBorders>
            <w:vAlign w:val="center"/>
          </w:tcPr>
          <w:p w14:paraId="66E259D9" w14:textId="77777777" w:rsidR="002139E4" w:rsidRPr="007012A7" w:rsidRDefault="002139E4" w:rsidP="001A259A">
            <w:pPr>
              <w:spacing w:before="40" w:after="120" w:line="276" w:lineRule="auto"/>
              <w:ind w:right="113"/>
              <w:rPr>
                <w:sz w:val="20"/>
                <w:szCs w:val="20"/>
              </w:rPr>
            </w:pPr>
            <w:r>
              <w:rPr>
                <w:sz w:val="20"/>
                <w:szCs w:val="20"/>
              </w:rPr>
              <w:t>Written statement</w:t>
            </w:r>
            <w:r w:rsidRPr="007012A7">
              <w:rPr>
                <w:sz w:val="20"/>
                <w:szCs w:val="20"/>
              </w:rPr>
              <w:t xml:space="preserve"> submitted by Family Health Association of Iran, a non-governmental organization in special consultative status</w:t>
            </w:r>
          </w:p>
        </w:tc>
      </w:tr>
      <w:tr w:rsidR="002139E4" w14:paraId="30CDEE62"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04A31563"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/48</w:t>
            </w:r>
          </w:p>
        </w:tc>
        <w:tc>
          <w:tcPr>
            <w:tcW w:w="1276" w:type="dxa"/>
            <w:tcBorders>
              <w:top w:val="nil"/>
              <w:left w:val="nil"/>
              <w:bottom w:val="nil"/>
              <w:right w:val="nil"/>
            </w:tcBorders>
          </w:tcPr>
          <w:p w14:paraId="7F78359A" w14:textId="77777777" w:rsidR="002139E4" w:rsidRDefault="002139E4" w:rsidP="001A259A">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41AD4F74" w14:textId="77777777" w:rsidR="002139E4" w:rsidRDefault="002139E4" w:rsidP="001A259A">
            <w:pPr>
              <w:spacing w:before="40" w:after="120" w:line="276" w:lineRule="auto"/>
              <w:ind w:right="113"/>
              <w:rPr>
                <w:sz w:val="20"/>
                <w:szCs w:val="20"/>
              </w:rPr>
            </w:pPr>
            <w:r>
              <w:rPr>
                <w:sz w:val="20"/>
                <w:szCs w:val="20"/>
              </w:rPr>
              <w:t>Written statement</w:t>
            </w:r>
            <w:r w:rsidRPr="007012A7">
              <w:rPr>
                <w:sz w:val="20"/>
                <w:szCs w:val="20"/>
              </w:rPr>
              <w:t xml:space="preserve"> submitted by Family Health Association of Iran, a non-governmental organization in special consultative status</w:t>
            </w:r>
          </w:p>
        </w:tc>
      </w:tr>
      <w:tr w:rsidR="002139E4" w14:paraId="0374ABAB"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673EE5E3"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/49</w:t>
            </w:r>
          </w:p>
        </w:tc>
        <w:tc>
          <w:tcPr>
            <w:tcW w:w="1276" w:type="dxa"/>
            <w:tcBorders>
              <w:top w:val="nil"/>
              <w:left w:val="nil"/>
              <w:bottom w:val="nil"/>
              <w:right w:val="nil"/>
            </w:tcBorders>
          </w:tcPr>
          <w:p w14:paraId="73062FD2" w14:textId="77777777" w:rsidR="002139E4" w:rsidRDefault="002139E4" w:rsidP="001A259A">
            <w:pPr>
              <w:spacing w:before="40" w:after="120" w:line="276" w:lineRule="auto"/>
              <w:ind w:right="284"/>
              <w:jc w:val="right"/>
              <w:rPr>
                <w:sz w:val="20"/>
                <w:szCs w:val="20"/>
              </w:rPr>
            </w:pPr>
            <w:r>
              <w:rPr>
                <w:sz w:val="20"/>
                <w:szCs w:val="20"/>
              </w:rPr>
              <w:t>4</w:t>
            </w:r>
          </w:p>
        </w:tc>
        <w:tc>
          <w:tcPr>
            <w:tcW w:w="4252" w:type="dxa"/>
            <w:tcBorders>
              <w:top w:val="nil"/>
              <w:left w:val="nil"/>
              <w:bottom w:val="nil"/>
              <w:right w:val="nil"/>
            </w:tcBorders>
            <w:vAlign w:val="center"/>
          </w:tcPr>
          <w:p w14:paraId="4F657CE1" w14:textId="77777777" w:rsidR="002139E4" w:rsidRDefault="002139E4" w:rsidP="001A259A">
            <w:pPr>
              <w:spacing w:before="40" w:after="120" w:line="276" w:lineRule="auto"/>
              <w:ind w:right="113"/>
              <w:rPr>
                <w:sz w:val="20"/>
                <w:szCs w:val="20"/>
              </w:rPr>
            </w:pPr>
            <w:r w:rsidRPr="007012A7">
              <w:rPr>
                <w:sz w:val="20"/>
                <w:szCs w:val="20"/>
              </w:rPr>
              <w:t>Written statement submitted by GAHT-US Corporation, a non-governmental organization in special consultative status</w:t>
            </w:r>
          </w:p>
        </w:tc>
      </w:tr>
      <w:tr w:rsidR="002139E4" w14:paraId="188DA9E6"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2DEA7020"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/50</w:t>
            </w:r>
          </w:p>
        </w:tc>
        <w:tc>
          <w:tcPr>
            <w:tcW w:w="1276" w:type="dxa"/>
            <w:tcBorders>
              <w:top w:val="nil"/>
              <w:left w:val="nil"/>
              <w:bottom w:val="nil"/>
              <w:right w:val="nil"/>
            </w:tcBorders>
          </w:tcPr>
          <w:p w14:paraId="15DC4D86" w14:textId="77777777" w:rsidR="002139E4" w:rsidRDefault="002139E4" w:rsidP="001A259A">
            <w:pPr>
              <w:spacing w:before="40" w:after="120" w:line="276" w:lineRule="auto"/>
              <w:ind w:right="284"/>
              <w:jc w:val="right"/>
              <w:rPr>
                <w:sz w:val="20"/>
                <w:szCs w:val="20"/>
              </w:rPr>
            </w:pPr>
            <w:r>
              <w:rPr>
                <w:sz w:val="20"/>
                <w:szCs w:val="20"/>
              </w:rPr>
              <w:t>2</w:t>
            </w:r>
          </w:p>
        </w:tc>
        <w:tc>
          <w:tcPr>
            <w:tcW w:w="4252" w:type="dxa"/>
            <w:tcBorders>
              <w:top w:val="nil"/>
              <w:left w:val="nil"/>
              <w:bottom w:val="nil"/>
              <w:right w:val="nil"/>
            </w:tcBorders>
            <w:vAlign w:val="center"/>
          </w:tcPr>
          <w:p w14:paraId="3F96D59C" w14:textId="77777777" w:rsidR="002139E4" w:rsidRPr="007012A7" w:rsidRDefault="002139E4" w:rsidP="001A259A">
            <w:pPr>
              <w:spacing w:before="40" w:after="120" w:line="276" w:lineRule="auto"/>
              <w:ind w:right="113"/>
              <w:rPr>
                <w:sz w:val="20"/>
                <w:szCs w:val="20"/>
              </w:rPr>
            </w:pPr>
            <w:r w:rsidRPr="007012A7">
              <w:rPr>
                <w:sz w:val="20"/>
                <w:szCs w:val="20"/>
              </w:rPr>
              <w:t>Written statement submitted by International Commission of Jurists, a non-governmental organization in special consultative status</w:t>
            </w:r>
          </w:p>
        </w:tc>
      </w:tr>
      <w:tr w:rsidR="002139E4" w14:paraId="1803807F"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0DBBA96F"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/51</w:t>
            </w:r>
          </w:p>
        </w:tc>
        <w:tc>
          <w:tcPr>
            <w:tcW w:w="1276" w:type="dxa"/>
            <w:tcBorders>
              <w:top w:val="nil"/>
              <w:left w:val="nil"/>
              <w:bottom w:val="nil"/>
              <w:right w:val="nil"/>
            </w:tcBorders>
          </w:tcPr>
          <w:p w14:paraId="735FC8BC" w14:textId="77777777" w:rsidR="002139E4" w:rsidRDefault="002139E4" w:rsidP="001A259A">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3CA4C417" w14:textId="77777777" w:rsidR="002139E4" w:rsidRPr="007012A7" w:rsidRDefault="002139E4" w:rsidP="001A259A">
            <w:pPr>
              <w:spacing w:before="40" w:after="120" w:line="276" w:lineRule="auto"/>
              <w:ind w:right="113"/>
              <w:rPr>
                <w:sz w:val="20"/>
                <w:szCs w:val="20"/>
              </w:rPr>
            </w:pPr>
            <w:r>
              <w:rPr>
                <w:sz w:val="20"/>
                <w:szCs w:val="20"/>
              </w:rPr>
              <w:t>Written statement</w:t>
            </w:r>
            <w:r w:rsidRPr="007012A7">
              <w:rPr>
                <w:sz w:val="20"/>
                <w:szCs w:val="20"/>
              </w:rPr>
              <w:t xml:space="preserve"> submitted by Maat for Peace, Development and Human Rights Association, a non-governmental organization in special consultative status</w:t>
            </w:r>
          </w:p>
        </w:tc>
      </w:tr>
      <w:tr w:rsidR="002139E4" w14:paraId="0D8772FF"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59654F51"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/52</w:t>
            </w:r>
          </w:p>
        </w:tc>
        <w:tc>
          <w:tcPr>
            <w:tcW w:w="1276" w:type="dxa"/>
            <w:tcBorders>
              <w:top w:val="nil"/>
              <w:left w:val="nil"/>
              <w:bottom w:val="nil"/>
              <w:right w:val="nil"/>
            </w:tcBorders>
          </w:tcPr>
          <w:p w14:paraId="1EA0C5B2" w14:textId="77777777" w:rsidR="002139E4" w:rsidRDefault="002139E4" w:rsidP="001A259A">
            <w:pPr>
              <w:spacing w:before="40" w:after="120" w:line="276" w:lineRule="auto"/>
              <w:ind w:right="284"/>
              <w:jc w:val="right"/>
              <w:rPr>
                <w:sz w:val="20"/>
                <w:szCs w:val="20"/>
              </w:rPr>
            </w:pPr>
            <w:r>
              <w:rPr>
                <w:sz w:val="20"/>
                <w:szCs w:val="20"/>
              </w:rPr>
              <w:t>7</w:t>
            </w:r>
          </w:p>
        </w:tc>
        <w:tc>
          <w:tcPr>
            <w:tcW w:w="4252" w:type="dxa"/>
            <w:tcBorders>
              <w:top w:val="nil"/>
              <w:left w:val="nil"/>
              <w:bottom w:val="nil"/>
              <w:right w:val="nil"/>
            </w:tcBorders>
            <w:vAlign w:val="center"/>
          </w:tcPr>
          <w:p w14:paraId="18CD0D64" w14:textId="77777777" w:rsidR="002139E4" w:rsidRDefault="002139E4" w:rsidP="001A259A">
            <w:pPr>
              <w:spacing w:before="40" w:after="120" w:line="276" w:lineRule="auto"/>
              <w:ind w:right="113"/>
              <w:rPr>
                <w:sz w:val="20"/>
                <w:szCs w:val="20"/>
              </w:rPr>
            </w:pPr>
            <w:r w:rsidRPr="007012A7">
              <w:rPr>
                <w:sz w:val="20"/>
                <w:szCs w:val="20"/>
              </w:rPr>
              <w:t>Written statement submitted by The Palestinian Return Centre Ltd, a non-governmental organization in special consultative status</w:t>
            </w:r>
          </w:p>
        </w:tc>
      </w:tr>
      <w:tr w:rsidR="002139E4" w14:paraId="7D3E2B0F"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205366EC"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/53</w:t>
            </w:r>
          </w:p>
        </w:tc>
        <w:tc>
          <w:tcPr>
            <w:tcW w:w="1276" w:type="dxa"/>
            <w:tcBorders>
              <w:top w:val="nil"/>
              <w:left w:val="nil"/>
              <w:bottom w:val="nil"/>
              <w:right w:val="nil"/>
            </w:tcBorders>
          </w:tcPr>
          <w:p w14:paraId="3AA02DBF" w14:textId="77777777" w:rsidR="002139E4" w:rsidRDefault="002139E4" w:rsidP="001A259A">
            <w:pPr>
              <w:spacing w:before="40" w:after="120" w:line="276" w:lineRule="auto"/>
              <w:ind w:right="284"/>
              <w:jc w:val="right"/>
              <w:rPr>
                <w:sz w:val="20"/>
                <w:szCs w:val="20"/>
              </w:rPr>
            </w:pPr>
            <w:r>
              <w:rPr>
                <w:sz w:val="20"/>
                <w:szCs w:val="20"/>
              </w:rPr>
              <w:t>4</w:t>
            </w:r>
          </w:p>
        </w:tc>
        <w:tc>
          <w:tcPr>
            <w:tcW w:w="4252" w:type="dxa"/>
            <w:tcBorders>
              <w:top w:val="nil"/>
              <w:left w:val="nil"/>
              <w:bottom w:val="nil"/>
              <w:right w:val="nil"/>
            </w:tcBorders>
            <w:vAlign w:val="center"/>
          </w:tcPr>
          <w:p w14:paraId="2E07D334" w14:textId="77777777" w:rsidR="002139E4" w:rsidRPr="007012A7" w:rsidRDefault="002139E4" w:rsidP="001A259A">
            <w:pPr>
              <w:spacing w:before="40" w:after="120" w:line="276" w:lineRule="auto"/>
              <w:ind w:right="113"/>
              <w:rPr>
                <w:sz w:val="20"/>
                <w:szCs w:val="20"/>
              </w:rPr>
            </w:pPr>
            <w:r w:rsidRPr="007012A7">
              <w:rPr>
                <w:sz w:val="20"/>
                <w:szCs w:val="20"/>
              </w:rPr>
              <w:t xml:space="preserve">Written statement submitted by Conseil International pour le soutien à des procès </w:t>
            </w:r>
            <w:r w:rsidRPr="007012A7">
              <w:rPr>
                <w:sz w:val="20"/>
                <w:szCs w:val="20"/>
              </w:rPr>
              <w:lastRenderedPageBreak/>
              <w:t>équitables et aux Droits de l</w:t>
            </w:r>
            <w:r>
              <w:rPr>
                <w:sz w:val="20"/>
                <w:szCs w:val="20"/>
              </w:rPr>
              <w:t>’</w:t>
            </w:r>
            <w:r w:rsidRPr="007012A7">
              <w:rPr>
                <w:sz w:val="20"/>
                <w:szCs w:val="20"/>
              </w:rPr>
              <w:t>Homme, a non-governmental organization in special consultative status</w:t>
            </w:r>
          </w:p>
        </w:tc>
      </w:tr>
      <w:tr w:rsidR="002139E4" w14:paraId="60266644"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5506CEFE" w14:textId="77777777" w:rsidR="002139E4" w:rsidRPr="00296342" w:rsidRDefault="002139E4" w:rsidP="001A259A">
            <w:pPr>
              <w:spacing w:before="40" w:after="120" w:line="276" w:lineRule="auto"/>
              <w:ind w:right="113"/>
              <w:rPr>
                <w:sz w:val="20"/>
                <w:szCs w:val="20"/>
              </w:rPr>
            </w:pPr>
            <w:r w:rsidRPr="00296342">
              <w:rPr>
                <w:sz w:val="20"/>
                <w:szCs w:val="20"/>
              </w:rPr>
              <w:lastRenderedPageBreak/>
              <w:t>A/HRC/40/NGO</w:t>
            </w:r>
            <w:r>
              <w:rPr>
                <w:sz w:val="20"/>
                <w:szCs w:val="20"/>
              </w:rPr>
              <w:t>/54</w:t>
            </w:r>
          </w:p>
        </w:tc>
        <w:tc>
          <w:tcPr>
            <w:tcW w:w="1276" w:type="dxa"/>
            <w:tcBorders>
              <w:top w:val="nil"/>
              <w:left w:val="nil"/>
              <w:bottom w:val="nil"/>
              <w:right w:val="nil"/>
            </w:tcBorders>
          </w:tcPr>
          <w:p w14:paraId="013FB986" w14:textId="77777777" w:rsidR="002139E4" w:rsidRDefault="002139E4" w:rsidP="001A259A">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04BCF597" w14:textId="77777777" w:rsidR="002139E4" w:rsidRPr="007012A7" w:rsidRDefault="002139E4" w:rsidP="001A259A">
            <w:pPr>
              <w:spacing w:before="40" w:after="120" w:line="276" w:lineRule="auto"/>
              <w:ind w:right="113"/>
              <w:rPr>
                <w:sz w:val="20"/>
                <w:szCs w:val="20"/>
              </w:rPr>
            </w:pPr>
            <w:r w:rsidRPr="007012A7">
              <w:rPr>
                <w:sz w:val="20"/>
                <w:szCs w:val="20"/>
              </w:rPr>
              <w:t>Written statement submitted by Maat for Peace, Development and Human Rights Association, a non-governmental organization in special consultative status</w:t>
            </w:r>
          </w:p>
        </w:tc>
      </w:tr>
      <w:tr w:rsidR="002139E4" w14:paraId="2796A0B1"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3C2E1DD2"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/55</w:t>
            </w:r>
          </w:p>
        </w:tc>
        <w:tc>
          <w:tcPr>
            <w:tcW w:w="1276" w:type="dxa"/>
            <w:tcBorders>
              <w:top w:val="nil"/>
              <w:left w:val="nil"/>
              <w:bottom w:val="nil"/>
              <w:right w:val="nil"/>
            </w:tcBorders>
          </w:tcPr>
          <w:p w14:paraId="503AD715" w14:textId="77777777" w:rsidR="002139E4" w:rsidRDefault="002139E4" w:rsidP="001A259A">
            <w:pPr>
              <w:spacing w:before="40" w:after="120" w:line="276" w:lineRule="auto"/>
              <w:ind w:right="284"/>
              <w:jc w:val="right"/>
              <w:rPr>
                <w:sz w:val="20"/>
                <w:szCs w:val="20"/>
              </w:rPr>
            </w:pPr>
            <w:r>
              <w:rPr>
                <w:sz w:val="20"/>
                <w:szCs w:val="20"/>
              </w:rPr>
              <w:t>4</w:t>
            </w:r>
          </w:p>
        </w:tc>
        <w:tc>
          <w:tcPr>
            <w:tcW w:w="4252" w:type="dxa"/>
            <w:tcBorders>
              <w:top w:val="nil"/>
              <w:left w:val="nil"/>
              <w:bottom w:val="nil"/>
              <w:right w:val="nil"/>
            </w:tcBorders>
            <w:vAlign w:val="center"/>
          </w:tcPr>
          <w:p w14:paraId="7C5A19A4" w14:textId="77777777" w:rsidR="002139E4" w:rsidRPr="007012A7" w:rsidRDefault="002139E4" w:rsidP="001A259A">
            <w:pPr>
              <w:spacing w:before="40" w:after="120" w:line="276" w:lineRule="auto"/>
              <w:ind w:right="113"/>
              <w:rPr>
                <w:sz w:val="20"/>
                <w:szCs w:val="20"/>
              </w:rPr>
            </w:pPr>
            <w:r w:rsidRPr="007012A7">
              <w:rPr>
                <w:sz w:val="20"/>
                <w:szCs w:val="20"/>
              </w:rPr>
              <w:t>Written statement submitted by People for Successful Corean Reunification, a non-governmental organization in special consultative status</w:t>
            </w:r>
          </w:p>
        </w:tc>
      </w:tr>
      <w:tr w:rsidR="002139E4" w14:paraId="04AE0669"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589F605E"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/56</w:t>
            </w:r>
          </w:p>
        </w:tc>
        <w:tc>
          <w:tcPr>
            <w:tcW w:w="1276" w:type="dxa"/>
            <w:tcBorders>
              <w:top w:val="nil"/>
              <w:left w:val="nil"/>
              <w:bottom w:val="nil"/>
              <w:right w:val="nil"/>
            </w:tcBorders>
          </w:tcPr>
          <w:p w14:paraId="7540ED95" w14:textId="77777777" w:rsidR="002139E4" w:rsidRDefault="002139E4" w:rsidP="001A259A">
            <w:pPr>
              <w:spacing w:before="40" w:after="120" w:line="276" w:lineRule="auto"/>
              <w:ind w:right="284"/>
              <w:jc w:val="right"/>
              <w:rPr>
                <w:sz w:val="20"/>
                <w:szCs w:val="20"/>
              </w:rPr>
            </w:pPr>
            <w:r>
              <w:rPr>
                <w:sz w:val="20"/>
                <w:szCs w:val="20"/>
              </w:rPr>
              <w:t>4</w:t>
            </w:r>
          </w:p>
        </w:tc>
        <w:tc>
          <w:tcPr>
            <w:tcW w:w="4252" w:type="dxa"/>
            <w:tcBorders>
              <w:top w:val="nil"/>
              <w:left w:val="nil"/>
              <w:bottom w:val="nil"/>
              <w:right w:val="nil"/>
            </w:tcBorders>
            <w:vAlign w:val="center"/>
          </w:tcPr>
          <w:p w14:paraId="56E75B7F" w14:textId="77777777" w:rsidR="002139E4" w:rsidRPr="007012A7" w:rsidRDefault="002139E4" w:rsidP="001A259A">
            <w:pPr>
              <w:spacing w:before="40" w:after="120" w:line="276" w:lineRule="auto"/>
              <w:ind w:right="113"/>
              <w:rPr>
                <w:sz w:val="20"/>
                <w:szCs w:val="20"/>
              </w:rPr>
            </w:pPr>
            <w:r w:rsidRPr="007012A7">
              <w:rPr>
                <w:sz w:val="20"/>
                <w:szCs w:val="20"/>
              </w:rPr>
              <w:t>Written statement submitted by the Europe – Third World Centre, a non-governmental organization in general consultative status</w:t>
            </w:r>
          </w:p>
        </w:tc>
      </w:tr>
      <w:tr w:rsidR="002139E4" w14:paraId="623B3C55"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23389382"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/57</w:t>
            </w:r>
          </w:p>
        </w:tc>
        <w:tc>
          <w:tcPr>
            <w:tcW w:w="1276" w:type="dxa"/>
            <w:tcBorders>
              <w:top w:val="nil"/>
              <w:left w:val="nil"/>
              <w:bottom w:val="nil"/>
              <w:right w:val="nil"/>
            </w:tcBorders>
          </w:tcPr>
          <w:p w14:paraId="4C7F9FE4" w14:textId="77777777" w:rsidR="002139E4" w:rsidRDefault="002139E4" w:rsidP="001A259A">
            <w:pPr>
              <w:spacing w:before="40" w:after="120" w:line="276" w:lineRule="auto"/>
              <w:ind w:right="284"/>
              <w:jc w:val="right"/>
              <w:rPr>
                <w:sz w:val="20"/>
                <w:szCs w:val="20"/>
              </w:rPr>
            </w:pPr>
            <w:r>
              <w:rPr>
                <w:sz w:val="20"/>
                <w:szCs w:val="20"/>
              </w:rPr>
              <w:t>7</w:t>
            </w:r>
          </w:p>
        </w:tc>
        <w:tc>
          <w:tcPr>
            <w:tcW w:w="4252" w:type="dxa"/>
            <w:tcBorders>
              <w:top w:val="nil"/>
              <w:left w:val="nil"/>
              <w:bottom w:val="nil"/>
              <w:right w:val="nil"/>
            </w:tcBorders>
            <w:vAlign w:val="center"/>
          </w:tcPr>
          <w:p w14:paraId="5725DA79" w14:textId="77777777" w:rsidR="002139E4" w:rsidRPr="007012A7" w:rsidRDefault="002139E4" w:rsidP="001A259A">
            <w:pPr>
              <w:spacing w:before="40" w:after="120" w:line="276" w:lineRule="auto"/>
              <w:ind w:right="113"/>
              <w:rPr>
                <w:sz w:val="20"/>
                <w:szCs w:val="20"/>
              </w:rPr>
            </w:pPr>
            <w:r w:rsidRPr="007012A7">
              <w:rPr>
                <w:sz w:val="20"/>
                <w:szCs w:val="20"/>
              </w:rPr>
              <w:t>Written statement submitted by The Palestinian Return Centre Ltd, a non-governmental organization in special consultative status</w:t>
            </w:r>
          </w:p>
        </w:tc>
      </w:tr>
      <w:tr w:rsidR="002139E4" w14:paraId="6774FBD4"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158663B2"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/58</w:t>
            </w:r>
          </w:p>
        </w:tc>
        <w:tc>
          <w:tcPr>
            <w:tcW w:w="1276" w:type="dxa"/>
            <w:tcBorders>
              <w:top w:val="nil"/>
              <w:left w:val="nil"/>
              <w:bottom w:val="nil"/>
              <w:right w:val="nil"/>
            </w:tcBorders>
          </w:tcPr>
          <w:p w14:paraId="5FAB5CD5" w14:textId="77777777" w:rsidR="002139E4" w:rsidRDefault="002139E4" w:rsidP="001A259A">
            <w:pPr>
              <w:spacing w:before="40" w:after="120" w:line="276" w:lineRule="auto"/>
              <w:ind w:right="284"/>
              <w:jc w:val="right"/>
              <w:rPr>
                <w:sz w:val="20"/>
                <w:szCs w:val="20"/>
              </w:rPr>
            </w:pPr>
            <w:r>
              <w:rPr>
                <w:sz w:val="20"/>
                <w:szCs w:val="20"/>
              </w:rPr>
              <w:t>4</w:t>
            </w:r>
          </w:p>
        </w:tc>
        <w:tc>
          <w:tcPr>
            <w:tcW w:w="4252" w:type="dxa"/>
            <w:tcBorders>
              <w:top w:val="nil"/>
              <w:left w:val="nil"/>
              <w:bottom w:val="nil"/>
              <w:right w:val="nil"/>
            </w:tcBorders>
            <w:vAlign w:val="center"/>
          </w:tcPr>
          <w:p w14:paraId="4C1547EC" w14:textId="77777777" w:rsidR="002139E4" w:rsidRPr="007012A7" w:rsidRDefault="002139E4" w:rsidP="001A259A">
            <w:pPr>
              <w:spacing w:before="40" w:after="120" w:line="276" w:lineRule="auto"/>
              <w:ind w:right="113"/>
              <w:rPr>
                <w:sz w:val="20"/>
                <w:szCs w:val="20"/>
              </w:rPr>
            </w:pPr>
            <w:r>
              <w:rPr>
                <w:sz w:val="20"/>
                <w:szCs w:val="20"/>
              </w:rPr>
              <w:t>Written statement</w:t>
            </w:r>
            <w:r w:rsidRPr="007012A7">
              <w:rPr>
                <w:sz w:val="20"/>
                <w:szCs w:val="20"/>
              </w:rPr>
              <w:t xml:space="preserve"> submitted by The Palestinian Return Centre Ltd, a non-governmental organization in special consultative status</w:t>
            </w:r>
          </w:p>
        </w:tc>
      </w:tr>
      <w:tr w:rsidR="002139E4" w14:paraId="3A38D6A7"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0DEDDEB8"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/59</w:t>
            </w:r>
          </w:p>
        </w:tc>
        <w:tc>
          <w:tcPr>
            <w:tcW w:w="1276" w:type="dxa"/>
            <w:tcBorders>
              <w:top w:val="nil"/>
              <w:left w:val="nil"/>
              <w:bottom w:val="nil"/>
              <w:right w:val="nil"/>
            </w:tcBorders>
          </w:tcPr>
          <w:p w14:paraId="7985DF21" w14:textId="77777777" w:rsidR="002139E4" w:rsidRDefault="002139E4" w:rsidP="001A259A">
            <w:pPr>
              <w:spacing w:before="40" w:after="120" w:line="276" w:lineRule="auto"/>
              <w:ind w:right="284"/>
              <w:jc w:val="right"/>
              <w:rPr>
                <w:sz w:val="20"/>
                <w:szCs w:val="20"/>
              </w:rPr>
            </w:pPr>
            <w:r>
              <w:rPr>
                <w:sz w:val="20"/>
                <w:szCs w:val="20"/>
              </w:rPr>
              <w:t>7</w:t>
            </w:r>
          </w:p>
        </w:tc>
        <w:tc>
          <w:tcPr>
            <w:tcW w:w="4252" w:type="dxa"/>
            <w:tcBorders>
              <w:top w:val="nil"/>
              <w:left w:val="nil"/>
              <w:bottom w:val="nil"/>
              <w:right w:val="nil"/>
            </w:tcBorders>
            <w:vAlign w:val="center"/>
          </w:tcPr>
          <w:p w14:paraId="1FCDEE39" w14:textId="77777777" w:rsidR="002139E4" w:rsidRDefault="002139E4" w:rsidP="001A259A">
            <w:pPr>
              <w:spacing w:before="40" w:after="120" w:line="276" w:lineRule="auto"/>
              <w:ind w:right="113"/>
              <w:rPr>
                <w:sz w:val="20"/>
                <w:szCs w:val="20"/>
              </w:rPr>
            </w:pPr>
            <w:r w:rsidRPr="00797212">
              <w:rPr>
                <w:sz w:val="20"/>
                <w:szCs w:val="20"/>
              </w:rPr>
              <w:t>Written statement submitted by The Palestinian Return Centre Ltd, a non-governmental organization in special consultative status</w:t>
            </w:r>
          </w:p>
        </w:tc>
      </w:tr>
      <w:tr w:rsidR="002139E4" w14:paraId="67814FCE"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318F8542"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/60</w:t>
            </w:r>
          </w:p>
        </w:tc>
        <w:tc>
          <w:tcPr>
            <w:tcW w:w="1276" w:type="dxa"/>
            <w:tcBorders>
              <w:top w:val="nil"/>
              <w:left w:val="nil"/>
              <w:bottom w:val="nil"/>
              <w:right w:val="nil"/>
            </w:tcBorders>
          </w:tcPr>
          <w:p w14:paraId="69F7FE7B" w14:textId="77777777" w:rsidR="002139E4" w:rsidRDefault="002139E4" w:rsidP="001A259A">
            <w:pPr>
              <w:spacing w:before="40" w:after="120" w:line="276" w:lineRule="auto"/>
              <w:ind w:right="284"/>
              <w:jc w:val="right"/>
              <w:rPr>
                <w:sz w:val="20"/>
                <w:szCs w:val="20"/>
              </w:rPr>
            </w:pPr>
            <w:r>
              <w:rPr>
                <w:sz w:val="20"/>
                <w:szCs w:val="20"/>
              </w:rPr>
              <w:t>2</w:t>
            </w:r>
          </w:p>
        </w:tc>
        <w:tc>
          <w:tcPr>
            <w:tcW w:w="4252" w:type="dxa"/>
            <w:tcBorders>
              <w:top w:val="nil"/>
              <w:left w:val="nil"/>
              <w:bottom w:val="nil"/>
              <w:right w:val="nil"/>
            </w:tcBorders>
            <w:vAlign w:val="center"/>
          </w:tcPr>
          <w:p w14:paraId="69EA95CA" w14:textId="77777777" w:rsidR="002139E4" w:rsidRPr="00797212" w:rsidRDefault="002139E4" w:rsidP="001A259A">
            <w:pPr>
              <w:spacing w:before="40" w:after="120" w:line="276" w:lineRule="auto"/>
              <w:ind w:right="113"/>
              <w:rPr>
                <w:sz w:val="20"/>
                <w:szCs w:val="20"/>
              </w:rPr>
            </w:pPr>
            <w:r w:rsidRPr="00797212">
              <w:rPr>
                <w:sz w:val="20"/>
                <w:szCs w:val="20"/>
              </w:rPr>
              <w:t>Written statement submitted by the Organisation internationale pour les pays les moins avancés (OIPMA), a non-governmental organization in special consultative status</w:t>
            </w:r>
          </w:p>
        </w:tc>
      </w:tr>
      <w:tr w:rsidR="002139E4" w14:paraId="7FFFA8FB"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66DF817A"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/61</w:t>
            </w:r>
          </w:p>
        </w:tc>
        <w:tc>
          <w:tcPr>
            <w:tcW w:w="1276" w:type="dxa"/>
            <w:tcBorders>
              <w:top w:val="nil"/>
              <w:left w:val="nil"/>
              <w:bottom w:val="nil"/>
              <w:right w:val="nil"/>
            </w:tcBorders>
          </w:tcPr>
          <w:p w14:paraId="277717E3" w14:textId="77777777" w:rsidR="002139E4" w:rsidRDefault="002139E4" w:rsidP="001A259A">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1EDC2EE4" w14:textId="77777777" w:rsidR="002139E4" w:rsidRPr="00797212" w:rsidRDefault="002139E4" w:rsidP="001A259A">
            <w:pPr>
              <w:spacing w:before="40" w:after="120" w:line="276" w:lineRule="auto"/>
              <w:ind w:right="113"/>
              <w:rPr>
                <w:sz w:val="20"/>
                <w:szCs w:val="20"/>
              </w:rPr>
            </w:pPr>
            <w:r>
              <w:rPr>
                <w:sz w:val="20"/>
                <w:szCs w:val="20"/>
              </w:rPr>
              <w:t>Written statement</w:t>
            </w:r>
            <w:r w:rsidRPr="002D4F9A">
              <w:rPr>
                <w:sz w:val="20"/>
                <w:szCs w:val="20"/>
              </w:rPr>
              <w:t xml:space="preserve"> submitted by the Organisation internationale pour les pays les moins avancés (OIPMA), a non-governmental organization in special consultative status</w:t>
            </w:r>
          </w:p>
        </w:tc>
      </w:tr>
      <w:tr w:rsidR="002139E4" w14:paraId="775CCA00"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0E02A251"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/62</w:t>
            </w:r>
          </w:p>
        </w:tc>
        <w:tc>
          <w:tcPr>
            <w:tcW w:w="1276" w:type="dxa"/>
            <w:tcBorders>
              <w:top w:val="nil"/>
              <w:left w:val="nil"/>
              <w:bottom w:val="nil"/>
              <w:right w:val="nil"/>
            </w:tcBorders>
          </w:tcPr>
          <w:p w14:paraId="1619BE17" w14:textId="77777777" w:rsidR="002139E4" w:rsidRDefault="002139E4" w:rsidP="001A259A">
            <w:pPr>
              <w:spacing w:before="40" w:after="120" w:line="276" w:lineRule="auto"/>
              <w:ind w:right="284"/>
              <w:jc w:val="right"/>
              <w:rPr>
                <w:sz w:val="20"/>
                <w:szCs w:val="20"/>
              </w:rPr>
            </w:pPr>
            <w:r>
              <w:rPr>
                <w:sz w:val="20"/>
                <w:szCs w:val="20"/>
              </w:rPr>
              <w:t>8</w:t>
            </w:r>
          </w:p>
        </w:tc>
        <w:tc>
          <w:tcPr>
            <w:tcW w:w="4252" w:type="dxa"/>
            <w:tcBorders>
              <w:top w:val="nil"/>
              <w:left w:val="nil"/>
              <w:bottom w:val="nil"/>
              <w:right w:val="nil"/>
            </w:tcBorders>
            <w:vAlign w:val="center"/>
          </w:tcPr>
          <w:p w14:paraId="749E48D3" w14:textId="77777777" w:rsidR="002139E4" w:rsidRDefault="002139E4" w:rsidP="001A259A">
            <w:pPr>
              <w:spacing w:before="40" w:after="120" w:line="276" w:lineRule="auto"/>
              <w:ind w:right="113"/>
              <w:rPr>
                <w:sz w:val="20"/>
                <w:szCs w:val="20"/>
              </w:rPr>
            </w:pPr>
            <w:r w:rsidRPr="00E30843">
              <w:rPr>
                <w:sz w:val="20"/>
                <w:szCs w:val="20"/>
              </w:rPr>
              <w:t>Written statement submitted by the Organisation internationale pour les pays les moins avancés (OIPMA), a non-governmental organization in special consultative status</w:t>
            </w:r>
          </w:p>
        </w:tc>
      </w:tr>
      <w:tr w:rsidR="002139E4" w14:paraId="3FEAD415"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3DBE4BE0"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/63</w:t>
            </w:r>
          </w:p>
        </w:tc>
        <w:tc>
          <w:tcPr>
            <w:tcW w:w="1276" w:type="dxa"/>
            <w:tcBorders>
              <w:top w:val="nil"/>
              <w:left w:val="nil"/>
              <w:bottom w:val="nil"/>
              <w:right w:val="nil"/>
            </w:tcBorders>
          </w:tcPr>
          <w:p w14:paraId="48719D2D" w14:textId="77777777" w:rsidR="002139E4" w:rsidRDefault="002139E4" w:rsidP="001A259A">
            <w:pPr>
              <w:spacing w:before="40" w:after="120" w:line="276" w:lineRule="auto"/>
              <w:ind w:right="284"/>
              <w:jc w:val="right"/>
              <w:rPr>
                <w:sz w:val="20"/>
                <w:szCs w:val="20"/>
              </w:rPr>
            </w:pPr>
            <w:r>
              <w:rPr>
                <w:sz w:val="20"/>
                <w:szCs w:val="20"/>
              </w:rPr>
              <w:t>9</w:t>
            </w:r>
          </w:p>
        </w:tc>
        <w:tc>
          <w:tcPr>
            <w:tcW w:w="4252" w:type="dxa"/>
            <w:tcBorders>
              <w:top w:val="nil"/>
              <w:left w:val="nil"/>
              <w:bottom w:val="nil"/>
              <w:right w:val="nil"/>
            </w:tcBorders>
            <w:vAlign w:val="center"/>
          </w:tcPr>
          <w:p w14:paraId="49A7A828" w14:textId="77777777" w:rsidR="002139E4" w:rsidRDefault="002139E4" w:rsidP="001A259A">
            <w:pPr>
              <w:spacing w:before="40" w:after="120" w:line="276" w:lineRule="auto"/>
              <w:ind w:right="113"/>
              <w:rPr>
                <w:sz w:val="20"/>
                <w:szCs w:val="20"/>
              </w:rPr>
            </w:pPr>
            <w:r w:rsidRPr="002D4F9A">
              <w:rPr>
                <w:sz w:val="20"/>
                <w:szCs w:val="20"/>
              </w:rPr>
              <w:t xml:space="preserve">Written statement submitted by the Organisation internationale pour les pays les moins avancés </w:t>
            </w:r>
            <w:r w:rsidRPr="002D4F9A">
              <w:rPr>
                <w:sz w:val="20"/>
                <w:szCs w:val="20"/>
              </w:rPr>
              <w:lastRenderedPageBreak/>
              <w:t>(OIPMA), a non-governmental organization in special consultative status</w:t>
            </w:r>
          </w:p>
        </w:tc>
      </w:tr>
      <w:tr w:rsidR="002139E4" w14:paraId="33B1BCBE"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2ED70365" w14:textId="77777777" w:rsidR="002139E4" w:rsidRPr="00296342" w:rsidRDefault="002139E4" w:rsidP="001A259A">
            <w:pPr>
              <w:spacing w:before="40" w:after="120" w:line="276" w:lineRule="auto"/>
              <w:ind w:right="113"/>
              <w:rPr>
                <w:sz w:val="20"/>
                <w:szCs w:val="20"/>
              </w:rPr>
            </w:pPr>
            <w:r w:rsidRPr="00296342">
              <w:rPr>
                <w:sz w:val="20"/>
                <w:szCs w:val="20"/>
              </w:rPr>
              <w:lastRenderedPageBreak/>
              <w:t>A/HRC/40/NGO</w:t>
            </w:r>
            <w:r>
              <w:rPr>
                <w:sz w:val="20"/>
                <w:szCs w:val="20"/>
              </w:rPr>
              <w:t>/64</w:t>
            </w:r>
          </w:p>
        </w:tc>
        <w:tc>
          <w:tcPr>
            <w:tcW w:w="1276" w:type="dxa"/>
            <w:tcBorders>
              <w:top w:val="nil"/>
              <w:left w:val="nil"/>
              <w:bottom w:val="nil"/>
              <w:right w:val="nil"/>
            </w:tcBorders>
          </w:tcPr>
          <w:p w14:paraId="09AA0466" w14:textId="77777777" w:rsidR="002139E4" w:rsidRDefault="002139E4" w:rsidP="001A259A">
            <w:pPr>
              <w:spacing w:before="40" w:after="120" w:line="276" w:lineRule="auto"/>
              <w:ind w:right="284"/>
              <w:jc w:val="right"/>
              <w:rPr>
                <w:sz w:val="20"/>
                <w:szCs w:val="20"/>
              </w:rPr>
            </w:pPr>
            <w:r>
              <w:rPr>
                <w:sz w:val="20"/>
                <w:szCs w:val="20"/>
              </w:rPr>
              <w:t>10</w:t>
            </w:r>
          </w:p>
        </w:tc>
        <w:tc>
          <w:tcPr>
            <w:tcW w:w="4252" w:type="dxa"/>
            <w:tcBorders>
              <w:top w:val="nil"/>
              <w:left w:val="nil"/>
              <w:bottom w:val="nil"/>
              <w:right w:val="nil"/>
            </w:tcBorders>
            <w:vAlign w:val="center"/>
          </w:tcPr>
          <w:p w14:paraId="5A777433" w14:textId="77777777" w:rsidR="002139E4" w:rsidRPr="002D4F9A" w:rsidRDefault="002139E4" w:rsidP="001A259A">
            <w:pPr>
              <w:spacing w:before="40" w:after="120" w:line="276" w:lineRule="auto"/>
              <w:ind w:right="113"/>
              <w:rPr>
                <w:sz w:val="20"/>
                <w:szCs w:val="20"/>
              </w:rPr>
            </w:pPr>
            <w:r w:rsidRPr="002D4F9A">
              <w:rPr>
                <w:sz w:val="20"/>
                <w:szCs w:val="20"/>
              </w:rPr>
              <w:t>Written statement submitted by the Organisation internationale pour les pays les moins avancés (OIPMA), a non-governmental organization in special consultative status</w:t>
            </w:r>
          </w:p>
        </w:tc>
      </w:tr>
      <w:tr w:rsidR="002139E4" w14:paraId="3495D154"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44A2944C"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/65</w:t>
            </w:r>
          </w:p>
        </w:tc>
        <w:tc>
          <w:tcPr>
            <w:tcW w:w="1276" w:type="dxa"/>
            <w:tcBorders>
              <w:top w:val="nil"/>
              <w:left w:val="nil"/>
              <w:bottom w:val="nil"/>
              <w:right w:val="nil"/>
            </w:tcBorders>
          </w:tcPr>
          <w:p w14:paraId="2C200832" w14:textId="77777777" w:rsidR="002139E4" w:rsidRDefault="002139E4" w:rsidP="001A259A">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63E71ECF" w14:textId="77777777" w:rsidR="002139E4" w:rsidRPr="002D4F9A" w:rsidRDefault="002139E4" w:rsidP="001A259A">
            <w:pPr>
              <w:spacing w:before="40" w:after="120" w:line="276" w:lineRule="auto"/>
              <w:ind w:right="113"/>
              <w:rPr>
                <w:sz w:val="20"/>
                <w:szCs w:val="20"/>
              </w:rPr>
            </w:pPr>
            <w:r w:rsidRPr="002D4F9A">
              <w:rPr>
                <w:sz w:val="20"/>
                <w:szCs w:val="20"/>
              </w:rPr>
              <w:t>Written statement submitted by the International Organization for the Right to Education and Freedom of Education (OIDEL), a non-governmental organization in special consultative status</w:t>
            </w:r>
          </w:p>
        </w:tc>
      </w:tr>
      <w:tr w:rsidR="002139E4" w14:paraId="262E0A40"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728C4D18"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/66</w:t>
            </w:r>
          </w:p>
        </w:tc>
        <w:tc>
          <w:tcPr>
            <w:tcW w:w="1276" w:type="dxa"/>
            <w:tcBorders>
              <w:top w:val="nil"/>
              <w:left w:val="nil"/>
              <w:bottom w:val="nil"/>
              <w:right w:val="nil"/>
            </w:tcBorders>
          </w:tcPr>
          <w:p w14:paraId="0B7679CC" w14:textId="77777777" w:rsidR="002139E4" w:rsidRDefault="002139E4" w:rsidP="001A259A">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5B2B461F" w14:textId="77777777" w:rsidR="002139E4" w:rsidRPr="002D4F9A" w:rsidRDefault="002139E4" w:rsidP="001A259A">
            <w:pPr>
              <w:spacing w:before="40" w:after="120" w:line="276" w:lineRule="auto"/>
              <w:ind w:right="113"/>
              <w:rPr>
                <w:sz w:val="20"/>
                <w:szCs w:val="20"/>
              </w:rPr>
            </w:pPr>
            <w:r w:rsidRPr="002D4F9A">
              <w:rPr>
                <w:sz w:val="20"/>
                <w:szCs w:val="20"/>
              </w:rPr>
              <w:t>Written statement submitted by Federation of Western Thrace Turks in Europe, a non-governmental organization in special consultative status</w:t>
            </w:r>
          </w:p>
        </w:tc>
      </w:tr>
      <w:tr w:rsidR="002139E4" w14:paraId="78DF9976"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4F4BFDCF"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/67</w:t>
            </w:r>
          </w:p>
        </w:tc>
        <w:tc>
          <w:tcPr>
            <w:tcW w:w="1276" w:type="dxa"/>
            <w:tcBorders>
              <w:top w:val="nil"/>
              <w:left w:val="nil"/>
              <w:bottom w:val="nil"/>
              <w:right w:val="nil"/>
            </w:tcBorders>
          </w:tcPr>
          <w:p w14:paraId="3154CFC2" w14:textId="77777777" w:rsidR="002139E4" w:rsidRDefault="002139E4" w:rsidP="001A259A">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1DB30BFD" w14:textId="77777777" w:rsidR="002139E4" w:rsidRPr="002D4F9A" w:rsidRDefault="002139E4" w:rsidP="001A259A">
            <w:pPr>
              <w:spacing w:before="40" w:after="120" w:line="276" w:lineRule="auto"/>
              <w:ind w:right="113"/>
              <w:rPr>
                <w:sz w:val="20"/>
                <w:szCs w:val="20"/>
              </w:rPr>
            </w:pPr>
            <w:r w:rsidRPr="002D4F9A">
              <w:rPr>
                <w:sz w:val="20"/>
                <w:szCs w:val="20"/>
              </w:rPr>
              <w:t>Written statement submitted by Liberal International, a non-governmental organization in general consultative status</w:t>
            </w:r>
          </w:p>
        </w:tc>
      </w:tr>
      <w:tr w:rsidR="002139E4" w14:paraId="38746B06"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350F38AE"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/68</w:t>
            </w:r>
          </w:p>
        </w:tc>
        <w:tc>
          <w:tcPr>
            <w:tcW w:w="1276" w:type="dxa"/>
            <w:tcBorders>
              <w:top w:val="nil"/>
              <w:left w:val="nil"/>
              <w:bottom w:val="nil"/>
              <w:right w:val="nil"/>
            </w:tcBorders>
          </w:tcPr>
          <w:p w14:paraId="23FE4BF2" w14:textId="77777777" w:rsidR="002139E4" w:rsidRDefault="002139E4" w:rsidP="001A259A">
            <w:pPr>
              <w:spacing w:before="40" w:after="120" w:line="276" w:lineRule="auto"/>
              <w:ind w:right="284"/>
              <w:jc w:val="right"/>
              <w:rPr>
                <w:sz w:val="20"/>
                <w:szCs w:val="20"/>
              </w:rPr>
            </w:pPr>
            <w:r>
              <w:rPr>
                <w:sz w:val="20"/>
                <w:szCs w:val="20"/>
              </w:rPr>
              <w:t>4</w:t>
            </w:r>
          </w:p>
        </w:tc>
        <w:tc>
          <w:tcPr>
            <w:tcW w:w="4252" w:type="dxa"/>
            <w:tcBorders>
              <w:top w:val="nil"/>
              <w:left w:val="nil"/>
              <w:bottom w:val="nil"/>
              <w:right w:val="nil"/>
            </w:tcBorders>
            <w:vAlign w:val="center"/>
          </w:tcPr>
          <w:p w14:paraId="6DB4497E" w14:textId="77777777" w:rsidR="002139E4" w:rsidRPr="002D4F9A" w:rsidRDefault="002139E4" w:rsidP="001A259A">
            <w:pPr>
              <w:spacing w:before="40" w:after="120" w:line="276" w:lineRule="auto"/>
              <w:ind w:right="113"/>
              <w:rPr>
                <w:sz w:val="20"/>
                <w:szCs w:val="20"/>
              </w:rPr>
            </w:pPr>
            <w:r w:rsidRPr="002D4F9A">
              <w:rPr>
                <w:sz w:val="20"/>
                <w:szCs w:val="20"/>
              </w:rPr>
              <w:t xml:space="preserve">Written statement submitted by Public Organization </w:t>
            </w:r>
            <w:r>
              <w:rPr>
                <w:sz w:val="20"/>
                <w:szCs w:val="20"/>
              </w:rPr>
              <w:t>“</w:t>
            </w:r>
            <w:r w:rsidRPr="002D4F9A">
              <w:rPr>
                <w:sz w:val="20"/>
                <w:szCs w:val="20"/>
              </w:rPr>
              <w:t>Public Advocacy</w:t>
            </w:r>
            <w:r>
              <w:rPr>
                <w:sz w:val="20"/>
                <w:szCs w:val="20"/>
              </w:rPr>
              <w:t>”</w:t>
            </w:r>
            <w:r w:rsidRPr="002D4F9A">
              <w:rPr>
                <w:sz w:val="20"/>
                <w:szCs w:val="20"/>
              </w:rPr>
              <w:t>, a non-governmental organization in special consultative status</w:t>
            </w:r>
          </w:p>
        </w:tc>
      </w:tr>
      <w:tr w:rsidR="002139E4" w14:paraId="4244B4EE"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653A8F95"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/69</w:t>
            </w:r>
          </w:p>
        </w:tc>
        <w:tc>
          <w:tcPr>
            <w:tcW w:w="1276" w:type="dxa"/>
            <w:tcBorders>
              <w:top w:val="nil"/>
              <w:left w:val="nil"/>
              <w:bottom w:val="nil"/>
              <w:right w:val="nil"/>
            </w:tcBorders>
          </w:tcPr>
          <w:p w14:paraId="12A32F22" w14:textId="77777777" w:rsidR="002139E4" w:rsidRDefault="002139E4" w:rsidP="001A259A">
            <w:pPr>
              <w:spacing w:before="40" w:after="120" w:line="276" w:lineRule="auto"/>
              <w:ind w:right="284"/>
              <w:jc w:val="right"/>
              <w:rPr>
                <w:sz w:val="20"/>
                <w:szCs w:val="20"/>
              </w:rPr>
            </w:pPr>
            <w:r>
              <w:rPr>
                <w:sz w:val="20"/>
                <w:szCs w:val="20"/>
              </w:rPr>
              <w:t>4</w:t>
            </w:r>
          </w:p>
        </w:tc>
        <w:tc>
          <w:tcPr>
            <w:tcW w:w="4252" w:type="dxa"/>
            <w:tcBorders>
              <w:top w:val="nil"/>
              <w:left w:val="nil"/>
              <w:bottom w:val="nil"/>
              <w:right w:val="nil"/>
            </w:tcBorders>
            <w:vAlign w:val="center"/>
          </w:tcPr>
          <w:p w14:paraId="1953E353" w14:textId="77777777" w:rsidR="002139E4" w:rsidRPr="002D4F9A" w:rsidRDefault="002139E4" w:rsidP="001A259A">
            <w:pPr>
              <w:spacing w:before="40" w:after="120" w:line="276" w:lineRule="auto"/>
              <w:ind w:right="113"/>
              <w:rPr>
                <w:sz w:val="20"/>
                <w:szCs w:val="20"/>
              </w:rPr>
            </w:pPr>
            <w:r w:rsidRPr="002D4F9A">
              <w:rPr>
                <w:sz w:val="20"/>
                <w:szCs w:val="20"/>
              </w:rPr>
              <w:t xml:space="preserve">Written statement submitted by Public Organization </w:t>
            </w:r>
            <w:r>
              <w:rPr>
                <w:sz w:val="20"/>
                <w:szCs w:val="20"/>
              </w:rPr>
              <w:t>“</w:t>
            </w:r>
            <w:r w:rsidRPr="002D4F9A">
              <w:rPr>
                <w:sz w:val="20"/>
                <w:szCs w:val="20"/>
              </w:rPr>
              <w:t>Public Advocacy</w:t>
            </w:r>
            <w:r>
              <w:rPr>
                <w:sz w:val="20"/>
                <w:szCs w:val="20"/>
              </w:rPr>
              <w:t>”</w:t>
            </w:r>
            <w:r w:rsidRPr="002D4F9A">
              <w:rPr>
                <w:sz w:val="20"/>
                <w:szCs w:val="20"/>
              </w:rPr>
              <w:t>, a non-governmental organization in special consultative status</w:t>
            </w:r>
          </w:p>
        </w:tc>
      </w:tr>
      <w:tr w:rsidR="002139E4" w14:paraId="27B49DA9"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60DDD6C4"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/70</w:t>
            </w:r>
          </w:p>
        </w:tc>
        <w:tc>
          <w:tcPr>
            <w:tcW w:w="1276" w:type="dxa"/>
            <w:tcBorders>
              <w:top w:val="nil"/>
              <w:left w:val="nil"/>
              <w:bottom w:val="nil"/>
              <w:right w:val="nil"/>
            </w:tcBorders>
          </w:tcPr>
          <w:p w14:paraId="398501E8" w14:textId="77777777" w:rsidR="002139E4" w:rsidRDefault="002139E4" w:rsidP="001A259A">
            <w:pPr>
              <w:spacing w:before="40" w:after="120" w:line="276" w:lineRule="auto"/>
              <w:ind w:right="284"/>
              <w:jc w:val="right"/>
              <w:rPr>
                <w:sz w:val="20"/>
                <w:szCs w:val="20"/>
              </w:rPr>
            </w:pPr>
            <w:r>
              <w:rPr>
                <w:sz w:val="20"/>
                <w:szCs w:val="20"/>
              </w:rPr>
              <w:t>4</w:t>
            </w:r>
          </w:p>
        </w:tc>
        <w:tc>
          <w:tcPr>
            <w:tcW w:w="4252" w:type="dxa"/>
            <w:tcBorders>
              <w:top w:val="nil"/>
              <w:left w:val="nil"/>
              <w:bottom w:val="nil"/>
              <w:right w:val="nil"/>
            </w:tcBorders>
            <w:vAlign w:val="center"/>
          </w:tcPr>
          <w:p w14:paraId="3EA6FFEB" w14:textId="77777777" w:rsidR="002139E4" w:rsidRPr="002D4F9A" w:rsidRDefault="002139E4" w:rsidP="001A259A">
            <w:pPr>
              <w:spacing w:before="40" w:after="120" w:line="276" w:lineRule="auto"/>
              <w:ind w:right="113"/>
              <w:rPr>
                <w:sz w:val="20"/>
                <w:szCs w:val="20"/>
              </w:rPr>
            </w:pPr>
            <w:r w:rsidRPr="002D4F9A">
              <w:rPr>
                <w:sz w:val="20"/>
                <w:szCs w:val="20"/>
              </w:rPr>
              <w:t xml:space="preserve">Written statement submitted by Public Organization </w:t>
            </w:r>
            <w:r>
              <w:rPr>
                <w:sz w:val="20"/>
                <w:szCs w:val="20"/>
              </w:rPr>
              <w:t>“</w:t>
            </w:r>
            <w:r w:rsidRPr="002D4F9A">
              <w:rPr>
                <w:sz w:val="20"/>
                <w:szCs w:val="20"/>
              </w:rPr>
              <w:t>Public Advocacy</w:t>
            </w:r>
            <w:r>
              <w:rPr>
                <w:sz w:val="20"/>
                <w:szCs w:val="20"/>
              </w:rPr>
              <w:t>”</w:t>
            </w:r>
            <w:r w:rsidRPr="002D4F9A">
              <w:rPr>
                <w:sz w:val="20"/>
                <w:szCs w:val="20"/>
              </w:rPr>
              <w:t>, a non-governmental organization in special consultative status</w:t>
            </w:r>
          </w:p>
        </w:tc>
      </w:tr>
      <w:tr w:rsidR="002139E4" w14:paraId="25FFEEB8"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57111437"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/71</w:t>
            </w:r>
          </w:p>
        </w:tc>
        <w:tc>
          <w:tcPr>
            <w:tcW w:w="1276" w:type="dxa"/>
            <w:tcBorders>
              <w:top w:val="nil"/>
              <w:left w:val="nil"/>
              <w:bottom w:val="nil"/>
              <w:right w:val="nil"/>
            </w:tcBorders>
          </w:tcPr>
          <w:p w14:paraId="4541682F" w14:textId="77777777" w:rsidR="002139E4" w:rsidRDefault="002139E4" w:rsidP="001A259A">
            <w:pPr>
              <w:spacing w:before="40" w:after="120" w:line="276" w:lineRule="auto"/>
              <w:ind w:right="284"/>
              <w:jc w:val="right"/>
              <w:rPr>
                <w:sz w:val="20"/>
                <w:szCs w:val="20"/>
              </w:rPr>
            </w:pPr>
            <w:r>
              <w:rPr>
                <w:sz w:val="20"/>
                <w:szCs w:val="20"/>
              </w:rPr>
              <w:t>4</w:t>
            </w:r>
          </w:p>
        </w:tc>
        <w:tc>
          <w:tcPr>
            <w:tcW w:w="4252" w:type="dxa"/>
            <w:tcBorders>
              <w:top w:val="nil"/>
              <w:left w:val="nil"/>
              <w:bottom w:val="nil"/>
              <w:right w:val="nil"/>
            </w:tcBorders>
            <w:vAlign w:val="center"/>
          </w:tcPr>
          <w:p w14:paraId="7946A39E" w14:textId="77777777" w:rsidR="002139E4" w:rsidRPr="002D4F9A" w:rsidRDefault="002139E4" w:rsidP="001A259A">
            <w:pPr>
              <w:spacing w:before="40" w:after="120" w:line="276" w:lineRule="auto"/>
              <w:ind w:right="113"/>
              <w:rPr>
                <w:sz w:val="20"/>
                <w:szCs w:val="20"/>
              </w:rPr>
            </w:pPr>
            <w:r w:rsidRPr="002D4F9A">
              <w:rPr>
                <w:sz w:val="20"/>
                <w:szCs w:val="20"/>
              </w:rPr>
              <w:t xml:space="preserve">Written statement submitted by Public Organization </w:t>
            </w:r>
            <w:r>
              <w:rPr>
                <w:sz w:val="20"/>
                <w:szCs w:val="20"/>
              </w:rPr>
              <w:t>“</w:t>
            </w:r>
            <w:r w:rsidRPr="002D4F9A">
              <w:rPr>
                <w:sz w:val="20"/>
                <w:szCs w:val="20"/>
              </w:rPr>
              <w:t>Public Advocacy</w:t>
            </w:r>
            <w:r>
              <w:rPr>
                <w:sz w:val="20"/>
                <w:szCs w:val="20"/>
              </w:rPr>
              <w:t>”</w:t>
            </w:r>
            <w:r w:rsidRPr="002D4F9A">
              <w:rPr>
                <w:sz w:val="20"/>
                <w:szCs w:val="20"/>
              </w:rPr>
              <w:t>, a non-governmental organization in special consultative status</w:t>
            </w:r>
          </w:p>
        </w:tc>
      </w:tr>
      <w:tr w:rsidR="002139E4" w14:paraId="70E219A4"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6675C84E"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/72</w:t>
            </w:r>
          </w:p>
        </w:tc>
        <w:tc>
          <w:tcPr>
            <w:tcW w:w="1276" w:type="dxa"/>
            <w:tcBorders>
              <w:top w:val="nil"/>
              <w:left w:val="nil"/>
              <w:bottom w:val="nil"/>
              <w:right w:val="nil"/>
            </w:tcBorders>
          </w:tcPr>
          <w:p w14:paraId="4F9252C5" w14:textId="77777777" w:rsidR="002139E4" w:rsidRDefault="002139E4" w:rsidP="001A259A">
            <w:pPr>
              <w:spacing w:before="40" w:after="120" w:line="276" w:lineRule="auto"/>
              <w:ind w:right="284"/>
              <w:jc w:val="right"/>
              <w:rPr>
                <w:sz w:val="20"/>
                <w:szCs w:val="20"/>
              </w:rPr>
            </w:pPr>
            <w:r>
              <w:rPr>
                <w:sz w:val="20"/>
                <w:szCs w:val="20"/>
              </w:rPr>
              <w:t>4</w:t>
            </w:r>
          </w:p>
        </w:tc>
        <w:tc>
          <w:tcPr>
            <w:tcW w:w="4252" w:type="dxa"/>
            <w:tcBorders>
              <w:top w:val="nil"/>
              <w:left w:val="nil"/>
              <w:bottom w:val="nil"/>
              <w:right w:val="nil"/>
            </w:tcBorders>
            <w:vAlign w:val="center"/>
          </w:tcPr>
          <w:p w14:paraId="3B7E21C3" w14:textId="77777777" w:rsidR="002139E4" w:rsidRPr="002D4F9A" w:rsidRDefault="002139E4" w:rsidP="001A259A">
            <w:pPr>
              <w:spacing w:before="40" w:after="120" w:line="276" w:lineRule="auto"/>
              <w:ind w:right="113"/>
              <w:rPr>
                <w:sz w:val="20"/>
                <w:szCs w:val="20"/>
              </w:rPr>
            </w:pPr>
            <w:r w:rsidRPr="002D4F9A">
              <w:rPr>
                <w:sz w:val="20"/>
                <w:szCs w:val="20"/>
              </w:rPr>
              <w:t xml:space="preserve">Written statement submitted by Public Organization </w:t>
            </w:r>
            <w:r>
              <w:rPr>
                <w:sz w:val="20"/>
                <w:szCs w:val="20"/>
              </w:rPr>
              <w:t>“</w:t>
            </w:r>
            <w:r w:rsidRPr="002D4F9A">
              <w:rPr>
                <w:sz w:val="20"/>
                <w:szCs w:val="20"/>
              </w:rPr>
              <w:t>Public Advocacy</w:t>
            </w:r>
            <w:r>
              <w:rPr>
                <w:sz w:val="20"/>
                <w:szCs w:val="20"/>
              </w:rPr>
              <w:t>”</w:t>
            </w:r>
            <w:r w:rsidRPr="002D4F9A">
              <w:rPr>
                <w:sz w:val="20"/>
                <w:szCs w:val="20"/>
              </w:rPr>
              <w:t>, a non-governmental organization in special consultative status</w:t>
            </w:r>
          </w:p>
        </w:tc>
      </w:tr>
      <w:tr w:rsidR="002139E4" w14:paraId="39C86BB8"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2CFEA6AF" w14:textId="77777777" w:rsidR="002139E4" w:rsidRPr="00296342" w:rsidRDefault="002139E4" w:rsidP="001A259A">
            <w:pPr>
              <w:spacing w:before="40" w:after="120" w:line="276" w:lineRule="auto"/>
              <w:ind w:right="113"/>
              <w:rPr>
                <w:sz w:val="20"/>
                <w:szCs w:val="20"/>
              </w:rPr>
            </w:pPr>
            <w:r w:rsidRPr="00296342">
              <w:rPr>
                <w:sz w:val="20"/>
                <w:szCs w:val="20"/>
              </w:rPr>
              <w:lastRenderedPageBreak/>
              <w:t>A/HRC/40/NGO</w:t>
            </w:r>
            <w:r>
              <w:rPr>
                <w:sz w:val="20"/>
                <w:szCs w:val="20"/>
              </w:rPr>
              <w:t>/73</w:t>
            </w:r>
          </w:p>
        </w:tc>
        <w:tc>
          <w:tcPr>
            <w:tcW w:w="1276" w:type="dxa"/>
            <w:tcBorders>
              <w:top w:val="nil"/>
              <w:left w:val="nil"/>
              <w:bottom w:val="nil"/>
              <w:right w:val="nil"/>
            </w:tcBorders>
          </w:tcPr>
          <w:p w14:paraId="404D5606" w14:textId="77777777" w:rsidR="002139E4" w:rsidRDefault="002139E4" w:rsidP="001A259A">
            <w:pPr>
              <w:spacing w:before="40" w:after="120" w:line="276" w:lineRule="auto"/>
              <w:ind w:right="284"/>
              <w:jc w:val="right"/>
              <w:rPr>
                <w:sz w:val="20"/>
                <w:szCs w:val="20"/>
              </w:rPr>
            </w:pPr>
            <w:r>
              <w:rPr>
                <w:sz w:val="20"/>
                <w:szCs w:val="20"/>
              </w:rPr>
              <w:t>4</w:t>
            </w:r>
          </w:p>
        </w:tc>
        <w:tc>
          <w:tcPr>
            <w:tcW w:w="4252" w:type="dxa"/>
            <w:tcBorders>
              <w:top w:val="nil"/>
              <w:left w:val="nil"/>
              <w:bottom w:val="nil"/>
              <w:right w:val="nil"/>
            </w:tcBorders>
            <w:vAlign w:val="center"/>
          </w:tcPr>
          <w:p w14:paraId="71EA04D6" w14:textId="77777777" w:rsidR="002139E4" w:rsidRPr="002D4F9A" w:rsidRDefault="002139E4" w:rsidP="001A259A">
            <w:pPr>
              <w:spacing w:before="40" w:after="120" w:line="276" w:lineRule="auto"/>
              <w:ind w:right="113"/>
              <w:rPr>
                <w:sz w:val="20"/>
                <w:szCs w:val="20"/>
              </w:rPr>
            </w:pPr>
            <w:r w:rsidRPr="002D4F9A">
              <w:rPr>
                <w:sz w:val="20"/>
                <w:szCs w:val="20"/>
              </w:rPr>
              <w:t xml:space="preserve">Written statement submitted by Public Organization </w:t>
            </w:r>
            <w:r>
              <w:rPr>
                <w:sz w:val="20"/>
                <w:szCs w:val="20"/>
              </w:rPr>
              <w:t>“</w:t>
            </w:r>
            <w:r w:rsidRPr="002D4F9A">
              <w:rPr>
                <w:sz w:val="20"/>
                <w:szCs w:val="20"/>
              </w:rPr>
              <w:t>Public Advocacy</w:t>
            </w:r>
            <w:r>
              <w:rPr>
                <w:sz w:val="20"/>
                <w:szCs w:val="20"/>
              </w:rPr>
              <w:t>”</w:t>
            </w:r>
            <w:r w:rsidRPr="002D4F9A">
              <w:rPr>
                <w:sz w:val="20"/>
                <w:szCs w:val="20"/>
              </w:rPr>
              <w:t>, a non-governmental organization in special consultative status</w:t>
            </w:r>
          </w:p>
        </w:tc>
      </w:tr>
      <w:tr w:rsidR="002139E4" w14:paraId="5593E452"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58D953EC"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/74</w:t>
            </w:r>
          </w:p>
        </w:tc>
        <w:tc>
          <w:tcPr>
            <w:tcW w:w="1276" w:type="dxa"/>
            <w:tcBorders>
              <w:top w:val="nil"/>
              <w:left w:val="nil"/>
              <w:bottom w:val="nil"/>
              <w:right w:val="nil"/>
            </w:tcBorders>
          </w:tcPr>
          <w:p w14:paraId="24757C06" w14:textId="77777777" w:rsidR="002139E4" w:rsidRDefault="002139E4" w:rsidP="001A259A">
            <w:pPr>
              <w:spacing w:before="40" w:after="120" w:line="276" w:lineRule="auto"/>
              <w:ind w:right="284"/>
              <w:jc w:val="right"/>
              <w:rPr>
                <w:sz w:val="20"/>
                <w:szCs w:val="20"/>
              </w:rPr>
            </w:pPr>
            <w:r>
              <w:rPr>
                <w:sz w:val="20"/>
                <w:szCs w:val="20"/>
              </w:rPr>
              <w:t>4</w:t>
            </w:r>
          </w:p>
        </w:tc>
        <w:tc>
          <w:tcPr>
            <w:tcW w:w="4252" w:type="dxa"/>
            <w:tcBorders>
              <w:top w:val="nil"/>
              <w:left w:val="nil"/>
              <w:bottom w:val="nil"/>
              <w:right w:val="nil"/>
            </w:tcBorders>
            <w:vAlign w:val="center"/>
          </w:tcPr>
          <w:p w14:paraId="4A23AC40" w14:textId="77777777" w:rsidR="002139E4" w:rsidRPr="002D4F9A" w:rsidRDefault="002139E4" w:rsidP="001A259A">
            <w:pPr>
              <w:spacing w:before="40" w:after="120" w:line="276" w:lineRule="auto"/>
              <w:ind w:right="113"/>
              <w:rPr>
                <w:sz w:val="20"/>
                <w:szCs w:val="20"/>
              </w:rPr>
            </w:pPr>
            <w:r w:rsidRPr="002D4F9A">
              <w:rPr>
                <w:sz w:val="20"/>
                <w:szCs w:val="20"/>
              </w:rPr>
              <w:t>Written statement submitted by The Palestinian Return Centre Ltd, a non-governmental organization in special consultative status</w:t>
            </w:r>
          </w:p>
        </w:tc>
      </w:tr>
      <w:tr w:rsidR="002139E4" w14:paraId="515AB14D"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25AB0C29"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/75</w:t>
            </w:r>
          </w:p>
        </w:tc>
        <w:tc>
          <w:tcPr>
            <w:tcW w:w="1276" w:type="dxa"/>
            <w:tcBorders>
              <w:top w:val="nil"/>
              <w:left w:val="nil"/>
              <w:bottom w:val="nil"/>
              <w:right w:val="nil"/>
            </w:tcBorders>
          </w:tcPr>
          <w:p w14:paraId="2DFE49BA" w14:textId="77777777" w:rsidR="002139E4" w:rsidRDefault="002139E4" w:rsidP="001A259A">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0F5F2D54" w14:textId="77777777" w:rsidR="002139E4" w:rsidRPr="002D4F9A" w:rsidRDefault="002139E4" w:rsidP="001A259A">
            <w:pPr>
              <w:spacing w:before="40" w:after="120" w:line="276" w:lineRule="auto"/>
              <w:ind w:right="113"/>
              <w:rPr>
                <w:sz w:val="20"/>
                <w:szCs w:val="20"/>
              </w:rPr>
            </w:pPr>
            <w:r w:rsidRPr="002D4F9A">
              <w:rPr>
                <w:sz w:val="20"/>
                <w:szCs w:val="20"/>
              </w:rPr>
              <w:t>Written statement submitted by Maat for Peace, Development and Human Rights Association, a non-governmental organization in special consultative status</w:t>
            </w:r>
          </w:p>
        </w:tc>
      </w:tr>
      <w:tr w:rsidR="002139E4" w14:paraId="23A8419F"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1F50C33F"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/76</w:t>
            </w:r>
          </w:p>
        </w:tc>
        <w:tc>
          <w:tcPr>
            <w:tcW w:w="1276" w:type="dxa"/>
            <w:tcBorders>
              <w:top w:val="nil"/>
              <w:left w:val="nil"/>
              <w:bottom w:val="nil"/>
              <w:right w:val="nil"/>
            </w:tcBorders>
          </w:tcPr>
          <w:p w14:paraId="785F0D6B" w14:textId="77777777" w:rsidR="002139E4" w:rsidRDefault="002139E4" w:rsidP="001A259A">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7192B149" w14:textId="77777777" w:rsidR="002139E4" w:rsidRPr="002D4F9A" w:rsidRDefault="002139E4" w:rsidP="001A259A">
            <w:pPr>
              <w:spacing w:before="40" w:after="120" w:line="276" w:lineRule="auto"/>
              <w:ind w:right="113"/>
              <w:rPr>
                <w:sz w:val="20"/>
                <w:szCs w:val="20"/>
              </w:rPr>
            </w:pPr>
            <w:r w:rsidRPr="002D4F9A">
              <w:rPr>
                <w:sz w:val="20"/>
                <w:szCs w:val="20"/>
              </w:rPr>
              <w:t>Written statement submitted by International Career Support Association, a non-governmental organization in special consultative status</w:t>
            </w:r>
          </w:p>
        </w:tc>
      </w:tr>
      <w:tr w:rsidR="002139E4" w14:paraId="351C3120"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08EA2D3C"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/77</w:t>
            </w:r>
          </w:p>
        </w:tc>
        <w:tc>
          <w:tcPr>
            <w:tcW w:w="1276" w:type="dxa"/>
            <w:tcBorders>
              <w:top w:val="nil"/>
              <w:left w:val="nil"/>
              <w:bottom w:val="nil"/>
              <w:right w:val="nil"/>
            </w:tcBorders>
          </w:tcPr>
          <w:p w14:paraId="1AD5FA51" w14:textId="77777777" w:rsidR="002139E4" w:rsidRDefault="002139E4" w:rsidP="001A259A">
            <w:pPr>
              <w:spacing w:before="40" w:after="120" w:line="276" w:lineRule="auto"/>
              <w:ind w:right="284"/>
              <w:jc w:val="right"/>
              <w:rPr>
                <w:sz w:val="20"/>
                <w:szCs w:val="20"/>
              </w:rPr>
            </w:pPr>
            <w:r>
              <w:rPr>
                <w:sz w:val="20"/>
                <w:szCs w:val="20"/>
              </w:rPr>
              <w:t>9</w:t>
            </w:r>
          </w:p>
        </w:tc>
        <w:tc>
          <w:tcPr>
            <w:tcW w:w="4252" w:type="dxa"/>
            <w:tcBorders>
              <w:top w:val="nil"/>
              <w:left w:val="nil"/>
              <w:bottom w:val="nil"/>
              <w:right w:val="nil"/>
            </w:tcBorders>
            <w:vAlign w:val="center"/>
          </w:tcPr>
          <w:p w14:paraId="1DF0ACA6" w14:textId="77777777" w:rsidR="002139E4" w:rsidRPr="002D4F9A" w:rsidRDefault="002139E4" w:rsidP="001A259A">
            <w:pPr>
              <w:spacing w:before="40" w:after="120" w:line="276" w:lineRule="auto"/>
              <w:ind w:right="113"/>
              <w:rPr>
                <w:sz w:val="20"/>
                <w:szCs w:val="20"/>
              </w:rPr>
            </w:pPr>
            <w:r w:rsidRPr="002D4F9A">
              <w:rPr>
                <w:sz w:val="20"/>
                <w:szCs w:val="20"/>
              </w:rPr>
              <w:t>Written statement submitted by African Green Foundation International, a non-governmental organization in special consultative status</w:t>
            </w:r>
          </w:p>
        </w:tc>
      </w:tr>
      <w:tr w:rsidR="002139E4" w14:paraId="692D082E"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159563C8"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/78</w:t>
            </w:r>
          </w:p>
        </w:tc>
        <w:tc>
          <w:tcPr>
            <w:tcW w:w="1276" w:type="dxa"/>
            <w:tcBorders>
              <w:top w:val="nil"/>
              <w:left w:val="nil"/>
              <w:bottom w:val="nil"/>
              <w:right w:val="nil"/>
            </w:tcBorders>
          </w:tcPr>
          <w:p w14:paraId="1F21AA41" w14:textId="77777777" w:rsidR="002139E4" w:rsidRDefault="002139E4" w:rsidP="001A259A">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698D34BC" w14:textId="77777777" w:rsidR="002139E4" w:rsidRPr="002D4F9A" w:rsidRDefault="002139E4" w:rsidP="001A259A">
            <w:pPr>
              <w:spacing w:before="40" w:after="120" w:line="276" w:lineRule="auto"/>
              <w:ind w:right="113"/>
              <w:rPr>
                <w:sz w:val="20"/>
                <w:szCs w:val="20"/>
              </w:rPr>
            </w:pPr>
            <w:r w:rsidRPr="002D4F9A">
              <w:rPr>
                <w:sz w:val="20"/>
                <w:szCs w:val="20"/>
              </w:rPr>
              <w:t>Exposición escrita presentada por el Auspice Stella, organización no gubernamental reconocida como entidad consultiva especial</w:t>
            </w:r>
          </w:p>
        </w:tc>
      </w:tr>
      <w:tr w:rsidR="002139E4" w14:paraId="100AA4FC"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7F9FBE86"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/79</w:t>
            </w:r>
          </w:p>
        </w:tc>
        <w:tc>
          <w:tcPr>
            <w:tcW w:w="1276" w:type="dxa"/>
            <w:tcBorders>
              <w:top w:val="nil"/>
              <w:left w:val="nil"/>
              <w:bottom w:val="nil"/>
              <w:right w:val="nil"/>
            </w:tcBorders>
          </w:tcPr>
          <w:p w14:paraId="2E5D1783" w14:textId="77777777" w:rsidR="002139E4" w:rsidRDefault="002139E4" w:rsidP="001A259A">
            <w:pPr>
              <w:spacing w:before="40" w:after="120" w:line="276" w:lineRule="auto"/>
              <w:ind w:right="284"/>
              <w:jc w:val="right"/>
              <w:rPr>
                <w:sz w:val="20"/>
                <w:szCs w:val="20"/>
              </w:rPr>
            </w:pPr>
            <w:r>
              <w:rPr>
                <w:sz w:val="20"/>
                <w:szCs w:val="20"/>
              </w:rPr>
              <w:t>2</w:t>
            </w:r>
          </w:p>
        </w:tc>
        <w:tc>
          <w:tcPr>
            <w:tcW w:w="4252" w:type="dxa"/>
            <w:tcBorders>
              <w:top w:val="nil"/>
              <w:left w:val="nil"/>
              <w:bottom w:val="nil"/>
              <w:right w:val="nil"/>
            </w:tcBorders>
            <w:vAlign w:val="center"/>
          </w:tcPr>
          <w:p w14:paraId="445BC7BE" w14:textId="77777777" w:rsidR="002139E4" w:rsidRPr="002D4F9A" w:rsidRDefault="002139E4" w:rsidP="001A259A">
            <w:pPr>
              <w:spacing w:before="40" w:after="120" w:line="276" w:lineRule="auto"/>
              <w:ind w:right="113"/>
              <w:rPr>
                <w:sz w:val="20"/>
                <w:szCs w:val="20"/>
              </w:rPr>
            </w:pPr>
            <w:r w:rsidRPr="002D4F9A">
              <w:rPr>
                <w:sz w:val="20"/>
                <w:szCs w:val="20"/>
              </w:rPr>
              <w:t>Written statement submitted by African Green Foundation International, a non-governmental organization in general consultative status</w:t>
            </w:r>
          </w:p>
        </w:tc>
      </w:tr>
      <w:tr w:rsidR="002139E4" w14:paraId="5653072D"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03680CAD"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/80</w:t>
            </w:r>
          </w:p>
        </w:tc>
        <w:tc>
          <w:tcPr>
            <w:tcW w:w="1276" w:type="dxa"/>
            <w:tcBorders>
              <w:top w:val="nil"/>
              <w:left w:val="nil"/>
              <w:bottom w:val="nil"/>
              <w:right w:val="nil"/>
            </w:tcBorders>
          </w:tcPr>
          <w:p w14:paraId="49BAF402" w14:textId="77777777" w:rsidR="002139E4" w:rsidRDefault="002139E4" w:rsidP="001A259A">
            <w:pPr>
              <w:spacing w:before="40" w:after="120" w:line="276" w:lineRule="auto"/>
              <w:ind w:right="284"/>
              <w:jc w:val="right"/>
              <w:rPr>
                <w:sz w:val="20"/>
                <w:szCs w:val="20"/>
              </w:rPr>
            </w:pPr>
            <w:r>
              <w:rPr>
                <w:sz w:val="20"/>
                <w:szCs w:val="20"/>
              </w:rPr>
              <w:t>2</w:t>
            </w:r>
          </w:p>
        </w:tc>
        <w:tc>
          <w:tcPr>
            <w:tcW w:w="4252" w:type="dxa"/>
            <w:tcBorders>
              <w:top w:val="nil"/>
              <w:left w:val="nil"/>
              <w:bottom w:val="nil"/>
              <w:right w:val="nil"/>
            </w:tcBorders>
            <w:vAlign w:val="center"/>
          </w:tcPr>
          <w:p w14:paraId="242FBC2E" w14:textId="77777777" w:rsidR="002139E4" w:rsidRPr="002D4F9A" w:rsidRDefault="002139E4" w:rsidP="001A259A">
            <w:pPr>
              <w:spacing w:before="40" w:after="120" w:line="276" w:lineRule="auto"/>
              <w:ind w:right="113"/>
              <w:rPr>
                <w:sz w:val="20"/>
                <w:szCs w:val="20"/>
              </w:rPr>
            </w:pPr>
            <w:r w:rsidRPr="002D4F9A">
              <w:rPr>
                <w:sz w:val="20"/>
                <w:szCs w:val="20"/>
              </w:rPr>
              <w:t>Written statement submitted by African Green Foundation International, a non-governmental organization in special consultative status</w:t>
            </w:r>
          </w:p>
        </w:tc>
      </w:tr>
      <w:tr w:rsidR="002139E4" w14:paraId="2938CB35"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4A473AB7"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/81</w:t>
            </w:r>
          </w:p>
        </w:tc>
        <w:tc>
          <w:tcPr>
            <w:tcW w:w="1276" w:type="dxa"/>
            <w:tcBorders>
              <w:top w:val="nil"/>
              <w:left w:val="nil"/>
              <w:bottom w:val="nil"/>
              <w:right w:val="nil"/>
            </w:tcBorders>
          </w:tcPr>
          <w:p w14:paraId="29A45181" w14:textId="77777777" w:rsidR="002139E4" w:rsidRDefault="002139E4" w:rsidP="001A259A">
            <w:pPr>
              <w:spacing w:before="40" w:after="120" w:line="276" w:lineRule="auto"/>
              <w:ind w:right="284"/>
              <w:jc w:val="right"/>
              <w:rPr>
                <w:sz w:val="20"/>
                <w:szCs w:val="20"/>
              </w:rPr>
            </w:pPr>
            <w:r>
              <w:rPr>
                <w:sz w:val="20"/>
                <w:szCs w:val="20"/>
              </w:rPr>
              <w:t>2</w:t>
            </w:r>
          </w:p>
        </w:tc>
        <w:tc>
          <w:tcPr>
            <w:tcW w:w="4252" w:type="dxa"/>
            <w:tcBorders>
              <w:top w:val="nil"/>
              <w:left w:val="nil"/>
              <w:bottom w:val="nil"/>
              <w:right w:val="nil"/>
            </w:tcBorders>
            <w:vAlign w:val="center"/>
          </w:tcPr>
          <w:p w14:paraId="1FD77F3B" w14:textId="77777777" w:rsidR="002139E4" w:rsidRPr="002D4F9A" w:rsidRDefault="002139E4" w:rsidP="001A259A">
            <w:pPr>
              <w:spacing w:before="40" w:after="120" w:line="276" w:lineRule="auto"/>
              <w:ind w:right="113"/>
              <w:rPr>
                <w:sz w:val="20"/>
                <w:szCs w:val="20"/>
              </w:rPr>
            </w:pPr>
            <w:r w:rsidRPr="002D4F9A">
              <w:rPr>
                <w:sz w:val="20"/>
                <w:szCs w:val="20"/>
              </w:rPr>
              <w:t>Written statement submitted by African Green Foundation International, a non-governmental organization in special consultative status</w:t>
            </w:r>
          </w:p>
        </w:tc>
      </w:tr>
      <w:tr w:rsidR="002139E4" w14:paraId="3EDC1133"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02D882C1"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/82</w:t>
            </w:r>
          </w:p>
        </w:tc>
        <w:tc>
          <w:tcPr>
            <w:tcW w:w="1276" w:type="dxa"/>
            <w:tcBorders>
              <w:top w:val="nil"/>
              <w:left w:val="nil"/>
              <w:bottom w:val="nil"/>
              <w:right w:val="nil"/>
            </w:tcBorders>
          </w:tcPr>
          <w:p w14:paraId="471CD910" w14:textId="77777777" w:rsidR="002139E4" w:rsidRDefault="002139E4" w:rsidP="001A259A">
            <w:pPr>
              <w:spacing w:before="40" w:after="120" w:line="276" w:lineRule="auto"/>
              <w:ind w:right="284"/>
              <w:jc w:val="right"/>
              <w:rPr>
                <w:sz w:val="20"/>
                <w:szCs w:val="20"/>
              </w:rPr>
            </w:pPr>
            <w:r>
              <w:rPr>
                <w:sz w:val="20"/>
                <w:szCs w:val="20"/>
              </w:rPr>
              <w:t>4</w:t>
            </w:r>
          </w:p>
        </w:tc>
        <w:tc>
          <w:tcPr>
            <w:tcW w:w="4252" w:type="dxa"/>
            <w:tcBorders>
              <w:top w:val="nil"/>
              <w:left w:val="nil"/>
              <w:bottom w:val="nil"/>
              <w:right w:val="nil"/>
            </w:tcBorders>
            <w:vAlign w:val="center"/>
          </w:tcPr>
          <w:p w14:paraId="38C02870" w14:textId="77777777" w:rsidR="002139E4" w:rsidRPr="002D4F9A" w:rsidRDefault="002139E4" w:rsidP="001A259A">
            <w:pPr>
              <w:spacing w:before="40" w:after="120" w:line="276" w:lineRule="auto"/>
              <w:ind w:right="113"/>
              <w:rPr>
                <w:sz w:val="20"/>
                <w:szCs w:val="20"/>
              </w:rPr>
            </w:pPr>
            <w:r w:rsidRPr="002D4F9A">
              <w:rPr>
                <w:sz w:val="20"/>
                <w:szCs w:val="20"/>
              </w:rPr>
              <w:t>Written statement submitted by Maat for Peace, Development and Human Rights Association, a non-governmental organization in special consultative status</w:t>
            </w:r>
          </w:p>
        </w:tc>
      </w:tr>
      <w:tr w:rsidR="002139E4" w14:paraId="0332FD33"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1B8CBA6E"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/83</w:t>
            </w:r>
          </w:p>
        </w:tc>
        <w:tc>
          <w:tcPr>
            <w:tcW w:w="1276" w:type="dxa"/>
            <w:tcBorders>
              <w:top w:val="nil"/>
              <w:left w:val="nil"/>
              <w:bottom w:val="nil"/>
              <w:right w:val="nil"/>
            </w:tcBorders>
          </w:tcPr>
          <w:p w14:paraId="00D8CCD4" w14:textId="77777777" w:rsidR="002139E4" w:rsidRDefault="002139E4" w:rsidP="001A259A">
            <w:pPr>
              <w:spacing w:before="40" w:after="120" w:line="276" w:lineRule="auto"/>
              <w:ind w:right="284"/>
              <w:jc w:val="right"/>
              <w:rPr>
                <w:sz w:val="20"/>
                <w:szCs w:val="20"/>
              </w:rPr>
            </w:pPr>
            <w:r>
              <w:rPr>
                <w:sz w:val="20"/>
                <w:szCs w:val="20"/>
              </w:rPr>
              <w:t>7</w:t>
            </w:r>
          </w:p>
        </w:tc>
        <w:tc>
          <w:tcPr>
            <w:tcW w:w="4252" w:type="dxa"/>
            <w:tcBorders>
              <w:top w:val="nil"/>
              <w:left w:val="nil"/>
              <w:bottom w:val="nil"/>
              <w:right w:val="nil"/>
            </w:tcBorders>
            <w:vAlign w:val="center"/>
          </w:tcPr>
          <w:p w14:paraId="1836A3B4" w14:textId="77777777" w:rsidR="002139E4" w:rsidRPr="002D4F9A" w:rsidRDefault="002139E4" w:rsidP="001A259A">
            <w:pPr>
              <w:spacing w:before="40" w:after="120" w:line="276" w:lineRule="auto"/>
              <w:ind w:right="113"/>
              <w:rPr>
                <w:sz w:val="20"/>
                <w:szCs w:val="20"/>
              </w:rPr>
            </w:pPr>
            <w:r w:rsidRPr="002D4F9A">
              <w:rPr>
                <w:sz w:val="20"/>
                <w:szCs w:val="20"/>
              </w:rPr>
              <w:t>Written statement submitted by Maat for Peace, Development and Human Rights Association, a non-governmental organization in special consultative status</w:t>
            </w:r>
          </w:p>
        </w:tc>
      </w:tr>
      <w:tr w:rsidR="002139E4" w14:paraId="6F5E2325"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56282D1C" w14:textId="77777777" w:rsidR="002139E4" w:rsidRPr="00296342" w:rsidRDefault="002139E4" w:rsidP="001A259A">
            <w:pPr>
              <w:spacing w:before="40" w:after="120" w:line="276" w:lineRule="auto"/>
              <w:ind w:right="113"/>
              <w:rPr>
                <w:sz w:val="20"/>
                <w:szCs w:val="20"/>
              </w:rPr>
            </w:pPr>
            <w:r w:rsidRPr="00296342">
              <w:rPr>
                <w:sz w:val="20"/>
                <w:szCs w:val="20"/>
              </w:rPr>
              <w:lastRenderedPageBreak/>
              <w:t>A/HRC/40/NGO</w:t>
            </w:r>
            <w:r>
              <w:rPr>
                <w:sz w:val="20"/>
                <w:szCs w:val="20"/>
              </w:rPr>
              <w:t>/84</w:t>
            </w:r>
          </w:p>
        </w:tc>
        <w:tc>
          <w:tcPr>
            <w:tcW w:w="1276" w:type="dxa"/>
            <w:tcBorders>
              <w:top w:val="nil"/>
              <w:left w:val="nil"/>
              <w:bottom w:val="nil"/>
              <w:right w:val="nil"/>
            </w:tcBorders>
          </w:tcPr>
          <w:p w14:paraId="5E57675F" w14:textId="77777777" w:rsidR="002139E4" w:rsidRDefault="002139E4" w:rsidP="001A259A">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5A2598A7" w14:textId="77777777" w:rsidR="002139E4" w:rsidRPr="002D4F9A" w:rsidRDefault="002139E4" w:rsidP="001A259A">
            <w:pPr>
              <w:spacing w:before="40" w:after="120" w:line="276" w:lineRule="auto"/>
              <w:ind w:right="113"/>
              <w:rPr>
                <w:sz w:val="20"/>
                <w:szCs w:val="20"/>
              </w:rPr>
            </w:pPr>
            <w:r w:rsidRPr="002D4F9A">
              <w:rPr>
                <w:sz w:val="20"/>
                <w:szCs w:val="20"/>
              </w:rPr>
              <w:t>Written statement submitted by Maat for Peace, Development and Human Rights Association, a non-governmental organization in special consultative status</w:t>
            </w:r>
          </w:p>
        </w:tc>
      </w:tr>
      <w:tr w:rsidR="002139E4" w14:paraId="167A153B"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0977328A"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/85</w:t>
            </w:r>
          </w:p>
        </w:tc>
        <w:tc>
          <w:tcPr>
            <w:tcW w:w="1276" w:type="dxa"/>
            <w:tcBorders>
              <w:top w:val="nil"/>
              <w:left w:val="nil"/>
              <w:bottom w:val="nil"/>
              <w:right w:val="nil"/>
            </w:tcBorders>
          </w:tcPr>
          <w:p w14:paraId="3CDA816B" w14:textId="77777777" w:rsidR="002139E4" w:rsidRDefault="002139E4" w:rsidP="001A259A">
            <w:pPr>
              <w:spacing w:before="40" w:after="120" w:line="276" w:lineRule="auto"/>
              <w:ind w:right="284"/>
              <w:jc w:val="right"/>
              <w:rPr>
                <w:sz w:val="20"/>
                <w:szCs w:val="20"/>
              </w:rPr>
            </w:pPr>
            <w:r>
              <w:rPr>
                <w:sz w:val="20"/>
                <w:szCs w:val="20"/>
              </w:rPr>
              <w:t>4</w:t>
            </w:r>
          </w:p>
        </w:tc>
        <w:tc>
          <w:tcPr>
            <w:tcW w:w="4252" w:type="dxa"/>
            <w:tcBorders>
              <w:top w:val="nil"/>
              <w:left w:val="nil"/>
              <w:bottom w:val="nil"/>
              <w:right w:val="nil"/>
            </w:tcBorders>
            <w:vAlign w:val="center"/>
          </w:tcPr>
          <w:p w14:paraId="25A3C2EF" w14:textId="77777777" w:rsidR="002139E4" w:rsidRPr="002D4F9A" w:rsidRDefault="002139E4" w:rsidP="001A259A">
            <w:pPr>
              <w:spacing w:before="40" w:after="120" w:line="276" w:lineRule="auto"/>
              <w:ind w:right="113"/>
              <w:rPr>
                <w:sz w:val="20"/>
                <w:szCs w:val="20"/>
              </w:rPr>
            </w:pPr>
            <w:r w:rsidRPr="002D4F9A">
              <w:rPr>
                <w:sz w:val="20"/>
                <w:szCs w:val="20"/>
              </w:rPr>
              <w:t>Written statement submitted by Association for Defending Victims of Terrorism, a non-governmental organization in special consultative status</w:t>
            </w:r>
          </w:p>
        </w:tc>
      </w:tr>
      <w:tr w:rsidR="002139E4" w14:paraId="239F557A"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648D3A12"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/86</w:t>
            </w:r>
          </w:p>
        </w:tc>
        <w:tc>
          <w:tcPr>
            <w:tcW w:w="1276" w:type="dxa"/>
            <w:tcBorders>
              <w:top w:val="nil"/>
              <w:left w:val="nil"/>
              <w:bottom w:val="nil"/>
              <w:right w:val="nil"/>
            </w:tcBorders>
          </w:tcPr>
          <w:p w14:paraId="18F9A2E0" w14:textId="77777777" w:rsidR="002139E4" w:rsidRDefault="002139E4" w:rsidP="001A259A">
            <w:pPr>
              <w:spacing w:before="40" w:after="120" w:line="276" w:lineRule="auto"/>
              <w:ind w:right="284"/>
              <w:jc w:val="right"/>
              <w:rPr>
                <w:sz w:val="20"/>
                <w:szCs w:val="20"/>
              </w:rPr>
            </w:pPr>
            <w:r>
              <w:rPr>
                <w:sz w:val="20"/>
                <w:szCs w:val="20"/>
              </w:rPr>
              <w:t>2</w:t>
            </w:r>
          </w:p>
        </w:tc>
        <w:tc>
          <w:tcPr>
            <w:tcW w:w="4252" w:type="dxa"/>
            <w:tcBorders>
              <w:top w:val="nil"/>
              <w:left w:val="nil"/>
              <w:bottom w:val="nil"/>
              <w:right w:val="nil"/>
            </w:tcBorders>
            <w:vAlign w:val="center"/>
          </w:tcPr>
          <w:p w14:paraId="3BEA3927" w14:textId="77777777" w:rsidR="002139E4" w:rsidRPr="002D4F9A" w:rsidRDefault="002139E4" w:rsidP="001A259A">
            <w:pPr>
              <w:spacing w:before="40" w:after="120" w:line="276" w:lineRule="auto"/>
              <w:ind w:right="113"/>
              <w:rPr>
                <w:sz w:val="20"/>
                <w:szCs w:val="20"/>
              </w:rPr>
            </w:pPr>
            <w:r w:rsidRPr="002D4F9A">
              <w:rPr>
                <w:sz w:val="20"/>
                <w:szCs w:val="20"/>
              </w:rPr>
              <w:t>Written statement submitted by Pasumai Thaayagam Foundation, a non-governmental organization in special consultative status</w:t>
            </w:r>
          </w:p>
        </w:tc>
      </w:tr>
      <w:tr w:rsidR="002139E4" w14:paraId="5A2458FC"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329EE7A9"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/87</w:t>
            </w:r>
          </w:p>
        </w:tc>
        <w:tc>
          <w:tcPr>
            <w:tcW w:w="1276" w:type="dxa"/>
            <w:tcBorders>
              <w:top w:val="nil"/>
              <w:left w:val="nil"/>
              <w:bottom w:val="nil"/>
              <w:right w:val="nil"/>
            </w:tcBorders>
          </w:tcPr>
          <w:p w14:paraId="152A1D08" w14:textId="77777777" w:rsidR="002139E4" w:rsidRDefault="002139E4" w:rsidP="001A259A">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0BA87F32" w14:textId="77777777" w:rsidR="002139E4" w:rsidRPr="002D4F9A" w:rsidRDefault="002139E4" w:rsidP="001A259A">
            <w:pPr>
              <w:spacing w:before="40" w:after="120" w:line="276" w:lineRule="auto"/>
              <w:ind w:right="113"/>
              <w:rPr>
                <w:sz w:val="20"/>
                <w:szCs w:val="20"/>
              </w:rPr>
            </w:pPr>
            <w:r w:rsidRPr="00FD039B">
              <w:rPr>
                <w:sz w:val="20"/>
                <w:szCs w:val="20"/>
              </w:rPr>
              <w:t>Written statement submitted by Association for Defending Victims of Terrorism, a non-governmental organization in special consultative status</w:t>
            </w:r>
          </w:p>
        </w:tc>
      </w:tr>
      <w:tr w:rsidR="002139E4" w14:paraId="1CFC2FFE"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3F76A1C0"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/88</w:t>
            </w:r>
          </w:p>
        </w:tc>
        <w:tc>
          <w:tcPr>
            <w:tcW w:w="1276" w:type="dxa"/>
            <w:tcBorders>
              <w:top w:val="nil"/>
              <w:left w:val="nil"/>
              <w:bottom w:val="nil"/>
              <w:right w:val="nil"/>
            </w:tcBorders>
          </w:tcPr>
          <w:p w14:paraId="4528134C" w14:textId="77777777" w:rsidR="002139E4" w:rsidRDefault="002139E4" w:rsidP="001A259A">
            <w:pPr>
              <w:spacing w:before="40" w:after="120" w:line="276" w:lineRule="auto"/>
              <w:ind w:right="284"/>
              <w:jc w:val="right"/>
              <w:rPr>
                <w:sz w:val="20"/>
                <w:szCs w:val="20"/>
              </w:rPr>
            </w:pPr>
            <w:r>
              <w:rPr>
                <w:sz w:val="20"/>
                <w:szCs w:val="20"/>
              </w:rPr>
              <w:t>5</w:t>
            </w:r>
          </w:p>
        </w:tc>
        <w:tc>
          <w:tcPr>
            <w:tcW w:w="4252" w:type="dxa"/>
            <w:tcBorders>
              <w:top w:val="nil"/>
              <w:left w:val="nil"/>
              <w:bottom w:val="nil"/>
              <w:right w:val="nil"/>
            </w:tcBorders>
            <w:vAlign w:val="center"/>
          </w:tcPr>
          <w:p w14:paraId="2D792E91" w14:textId="77777777" w:rsidR="002139E4" w:rsidRPr="00FD039B" w:rsidRDefault="002139E4" w:rsidP="001A259A">
            <w:pPr>
              <w:spacing w:before="40" w:after="120" w:line="276" w:lineRule="auto"/>
              <w:ind w:right="113"/>
              <w:rPr>
                <w:sz w:val="20"/>
                <w:szCs w:val="20"/>
              </w:rPr>
            </w:pPr>
            <w:r w:rsidRPr="00FD039B">
              <w:rPr>
                <w:sz w:val="20"/>
                <w:szCs w:val="20"/>
              </w:rPr>
              <w:t>Written statement submitted by Maat for Peace, Development and Human Rights Association, a non-governmental organization in special consultative status</w:t>
            </w:r>
          </w:p>
        </w:tc>
      </w:tr>
      <w:tr w:rsidR="002139E4" w14:paraId="145E6FD8"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11C9E969"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/89</w:t>
            </w:r>
          </w:p>
        </w:tc>
        <w:tc>
          <w:tcPr>
            <w:tcW w:w="1276" w:type="dxa"/>
            <w:tcBorders>
              <w:top w:val="nil"/>
              <w:left w:val="nil"/>
              <w:bottom w:val="nil"/>
              <w:right w:val="nil"/>
            </w:tcBorders>
          </w:tcPr>
          <w:p w14:paraId="0A0C1539" w14:textId="77777777" w:rsidR="002139E4" w:rsidRDefault="002139E4" w:rsidP="001A259A">
            <w:pPr>
              <w:spacing w:before="40" w:after="120" w:line="276" w:lineRule="auto"/>
              <w:ind w:right="284"/>
              <w:jc w:val="right"/>
              <w:rPr>
                <w:sz w:val="20"/>
                <w:szCs w:val="20"/>
              </w:rPr>
            </w:pPr>
            <w:r>
              <w:rPr>
                <w:sz w:val="20"/>
                <w:szCs w:val="20"/>
              </w:rPr>
              <w:t>4</w:t>
            </w:r>
          </w:p>
        </w:tc>
        <w:tc>
          <w:tcPr>
            <w:tcW w:w="4252" w:type="dxa"/>
            <w:tcBorders>
              <w:top w:val="nil"/>
              <w:left w:val="nil"/>
              <w:bottom w:val="nil"/>
              <w:right w:val="nil"/>
            </w:tcBorders>
            <w:vAlign w:val="center"/>
          </w:tcPr>
          <w:p w14:paraId="0C96E867" w14:textId="77777777" w:rsidR="002139E4" w:rsidRPr="00FD039B" w:rsidRDefault="002139E4" w:rsidP="001A259A">
            <w:pPr>
              <w:spacing w:before="40" w:after="120" w:line="276" w:lineRule="auto"/>
              <w:ind w:right="113"/>
              <w:rPr>
                <w:sz w:val="20"/>
                <w:szCs w:val="20"/>
              </w:rPr>
            </w:pPr>
            <w:r w:rsidRPr="00FD039B">
              <w:rPr>
                <w:sz w:val="20"/>
                <w:szCs w:val="20"/>
              </w:rPr>
              <w:t>Written statement submitted by Maat for Peace, Development and Human Rights Association, a non-governmental organization in special consultative status</w:t>
            </w:r>
          </w:p>
        </w:tc>
      </w:tr>
      <w:tr w:rsidR="002139E4" w14:paraId="3B033D02"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05F55C55"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/90</w:t>
            </w:r>
          </w:p>
        </w:tc>
        <w:tc>
          <w:tcPr>
            <w:tcW w:w="1276" w:type="dxa"/>
            <w:tcBorders>
              <w:top w:val="nil"/>
              <w:left w:val="nil"/>
              <w:bottom w:val="nil"/>
              <w:right w:val="nil"/>
            </w:tcBorders>
          </w:tcPr>
          <w:p w14:paraId="30E3D876" w14:textId="77777777" w:rsidR="002139E4" w:rsidRDefault="002139E4" w:rsidP="001A259A">
            <w:pPr>
              <w:spacing w:before="40" w:after="120" w:line="276" w:lineRule="auto"/>
              <w:ind w:right="284"/>
              <w:jc w:val="right"/>
              <w:rPr>
                <w:sz w:val="20"/>
                <w:szCs w:val="20"/>
              </w:rPr>
            </w:pPr>
            <w:r>
              <w:rPr>
                <w:sz w:val="20"/>
                <w:szCs w:val="20"/>
              </w:rPr>
              <w:t>7</w:t>
            </w:r>
          </w:p>
        </w:tc>
        <w:tc>
          <w:tcPr>
            <w:tcW w:w="4252" w:type="dxa"/>
            <w:tcBorders>
              <w:top w:val="nil"/>
              <w:left w:val="nil"/>
              <w:bottom w:val="nil"/>
              <w:right w:val="nil"/>
            </w:tcBorders>
            <w:vAlign w:val="center"/>
          </w:tcPr>
          <w:p w14:paraId="2FF3E775" w14:textId="77777777" w:rsidR="002139E4" w:rsidRPr="00FD039B" w:rsidRDefault="002139E4" w:rsidP="001A259A">
            <w:pPr>
              <w:spacing w:before="40" w:after="120" w:line="276" w:lineRule="auto"/>
              <w:ind w:right="113"/>
              <w:rPr>
                <w:sz w:val="20"/>
                <w:szCs w:val="20"/>
              </w:rPr>
            </w:pPr>
            <w:r w:rsidRPr="00FD039B">
              <w:rPr>
                <w:sz w:val="20"/>
                <w:szCs w:val="20"/>
              </w:rPr>
              <w:t>Written statement submitted by Norwegian Refugee Council, a non-governmental organization in special consultative status</w:t>
            </w:r>
          </w:p>
        </w:tc>
      </w:tr>
      <w:tr w:rsidR="002139E4" w14:paraId="142D751A"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064856D6"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/91</w:t>
            </w:r>
          </w:p>
        </w:tc>
        <w:tc>
          <w:tcPr>
            <w:tcW w:w="1276" w:type="dxa"/>
            <w:tcBorders>
              <w:top w:val="nil"/>
              <w:left w:val="nil"/>
              <w:bottom w:val="nil"/>
              <w:right w:val="nil"/>
            </w:tcBorders>
          </w:tcPr>
          <w:p w14:paraId="203812CE" w14:textId="77777777" w:rsidR="002139E4" w:rsidRDefault="002139E4" w:rsidP="001A259A">
            <w:pPr>
              <w:spacing w:before="40" w:after="120" w:line="276" w:lineRule="auto"/>
              <w:ind w:right="284"/>
              <w:jc w:val="right"/>
              <w:rPr>
                <w:sz w:val="20"/>
                <w:szCs w:val="20"/>
              </w:rPr>
            </w:pPr>
            <w:r>
              <w:rPr>
                <w:sz w:val="20"/>
                <w:szCs w:val="20"/>
              </w:rPr>
              <w:t>7</w:t>
            </w:r>
          </w:p>
        </w:tc>
        <w:tc>
          <w:tcPr>
            <w:tcW w:w="4252" w:type="dxa"/>
            <w:tcBorders>
              <w:top w:val="nil"/>
              <w:left w:val="nil"/>
              <w:bottom w:val="nil"/>
              <w:right w:val="nil"/>
            </w:tcBorders>
            <w:vAlign w:val="center"/>
          </w:tcPr>
          <w:p w14:paraId="2236321E" w14:textId="77777777" w:rsidR="002139E4" w:rsidRPr="00FD039B" w:rsidRDefault="002139E4" w:rsidP="001A259A">
            <w:pPr>
              <w:spacing w:before="40" w:after="120" w:line="276" w:lineRule="auto"/>
              <w:ind w:right="113"/>
              <w:rPr>
                <w:sz w:val="20"/>
                <w:szCs w:val="20"/>
              </w:rPr>
            </w:pPr>
            <w:r w:rsidRPr="00FD039B">
              <w:rPr>
                <w:sz w:val="20"/>
                <w:szCs w:val="20"/>
              </w:rPr>
              <w:t>Written statement submitted by Norwegian Refugee Council, a non-governmental organization in special consultative status</w:t>
            </w:r>
          </w:p>
        </w:tc>
      </w:tr>
      <w:tr w:rsidR="002139E4" w14:paraId="20DCF8D8"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2EF235DF"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/92</w:t>
            </w:r>
          </w:p>
        </w:tc>
        <w:tc>
          <w:tcPr>
            <w:tcW w:w="1276" w:type="dxa"/>
            <w:tcBorders>
              <w:top w:val="nil"/>
              <w:left w:val="nil"/>
              <w:bottom w:val="nil"/>
              <w:right w:val="nil"/>
            </w:tcBorders>
          </w:tcPr>
          <w:p w14:paraId="1D09742C" w14:textId="77777777" w:rsidR="002139E4" w:rsidRDefault="002139E4" w:rsidP="001A259A">
            <w:pPr>
              <w:spacing w:before="40" w:after="120" w:line="276" w:lineRule="auto"/>
              <w:ind w:right="284"/>
              <w:jc w:val="right"/>
              <w:rPr>
                <w:sz w:val="20"/>
                <w:szCs w:val="20"/>
              </w:rPr>
            </w:pPr>
            <w:r>
              <w:rPr>
                <w:sz w:val="20"/>
                <w:szCs w:val="20"/>
              </w:rPr>
              <w:t>4</w:t>
            </w:r>
          </w:p>
        </w:tc>
        <w:tc>
          <w:tcPr>
            <w:tcW w:w="4252" w:type="dxa"/>
            <w:tcBorders>
              <w:top w:val="nil"/>
              <w:left w:val="nil"/>
              <w:bottom w:val="nil"/>
              <w:right w:val="nil"/>
            </w:tcBorders>
            <w:vAlign w:val="center"/>
          </w:tcPr>
          <w:p w14:paraId="0EBA6C64" w14:textId="77777777" w:rsidR="002139E4" w:rsidRPr="00FD039B" w:rsidRDefault="002139E4" w:rsidP="001A259A">
            <w:pPr>
              <w:spacing w:before="40" w:after="120" w:line="276" w:lineRule="auto"/>
              <w:ind w:right="113"/>
              <w:rPr>
                <w:sz w:val="20"/>
                <w:szCs w:val="20"/>
              </w:rPr>
            </w:pPr>
            <w:r w:rsidRPr="00FD039B">
              <w:rPr>
                <w:sz w:val="20"/>
                <w:szCs w:val="20"/>
              </w:rPr>
              <w:t>Written statement submitted by Jameh Ehyagaran Teb Sonnati Va Salamat Iranian, a non-governmental organization in special consultative status</w:t>
            </w:r>
          </w:p>
        </w:tc>
      </w:tr>
      <w:tr w:rsidR="002139E4" w14:paraId="09A31616"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58433901"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/93</w:t>
            </w:r>
          </w:p>
        </w:tc>
        <w:tc>
          <w:tcPr>
            <w:tcW w:w="1276" w:type="dxa"/>
            <w:tcBorders>
              <w:top w:val="nil"/>
              <w:left w:val="nil"/>
              <w:bottom w:val="nil"/>
              <w:right w:val="nil"/>
            </w:tcBorders>
          </w:tcPr>
          <w:p w14:paraId="25EEC098" w14:textId="77777777" w:rsidR="002139E4" w:rsidRDefault="002139E4" w:rsidP="001A259A">
            <w:pPr>
              <w:spacing w:before="40" w:after="120" w:line="276" w:lineRule="auto"/>
              <w:ind w:right="284"/>
              <w:jc w:val="right"/>
              <w:rPr>
                <w:sz w:val="20"/>
                <w:szCs w:val="20"/>
              </w:rPr>
            </w:pPr>
            <w:r>
              <w:rPr>
                <w:sz w:val="20"/>
                <w:szCs w:val="20"/>
              </w:rPr>
              <w:t>4</w:t>
            </w:r>
          </w:p>
        </w:tc>
        <w:tc>
          <w:tcPr>
            <w:tcW w:w="4252" w:type="dxa"/>
            <w:tcBorders>
              <w:top w:val="nil"/>
              <w:left w:val="nil"/>
              <w:bottom w:val="nil"/>
              <w:right w:val="nil"/>
            </w:tcBorders>
            <w:vAlign w:val="center"/>
          </w:tcPr>
          <w:p w14:paraId="535F49E7" w14:textId="77777777" w:rsidR="002139E4" w:rsidRPr="00FD039B" w:rsidRDefault="002139E4" w:rsidP="001A259A">
            <w:pPr>
              <w:spacing w:before="40" w:after="120" w:line="276" w:lineRule="auto"/>
              <w:ind w:right="113"/>
              <w:rPr>
                <w:sz w:val="20"/>
                <w:szCs w:val="20"/>
              </w:rPr>
            </w:pPr>
            <w:r w:rsidRPr="00FD039B">
              <w:rPr>
                <w:sz w:val="20"/>
                <w:szCs w:val="20"/>
              </w:rPr>
              <w:t xml:space="preserve">Joint written statement submitted by American Association of Jurists, Asociación Española para el Derecho Internacional de los Derechos Humanos AEDIDH, Association Mauritanienne pour la promotion du droit, Association mauritanienne pour la transparence et le développement, </w:t>
            </w:r>
            <w:r w:rsidRPr="00FD039B">
              <w:rPr>
                <w:sz w:val="20"/>
                <w:szCs w:val="20"/>
              </w:rPr>
              <w:lastRenderedPageBreak/>
              <w:t>Association Nationale des Echanges Entre Jeunes, International Fellowship of Reconciliation, Paz y Cooperación, Réseau Unité pour le Développement de Mauritanie, World Barua Organization (WBO), non-governmental organizations in special consultative status, International Educational Development, Inc., Liberation, Mouvement contre le racisme et pour l</w:t>
            </w:r>
            <w:r>
              <w:rPr>
                <w:sz w:val="20"/>
                <w:szCs w:val="20"/>
              </w:rPr>
              <w:t>’</w:t>
            </w:r>
            <w:r w:rsidRPr="00FD039B">
              <w:rPr>
                <w:sz w:val="20"/>
                <w:szCs w:val="20"/>
              </w:rPr>
              <w:t>amitié entre les peuples, World Peace Council, non-governmental organizations on the roster</w:t>
            </w:r>
          </w:p>
        </w:tc>
      </w:tr>
      <w:tr w:rsidR="002139E4" w14:paraId="7BB311CC"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50930470" w14:textId="77777777" w:rsidR="002139E4" w:rsidRPr="00296342" w:rsidRDefault="002139E4" w:rsidP="001A259A">
            <w:pPr>
              <w:spacing w:before="40" w:after="120" w:line="276" w:lineRule="auto"/>
              <w:ind w:right="113"/>
              <w:rPr>
                <w:sz w:val="20"/>
                <w:szCs w:val="20"/>
              </w:rPr>
            </w:pPr>
            <w:r w:rsidRPr="00296342">
              <w:rPr>
                <w:sz w:val="20"/>
                <w:szCs w:val="20"/>
              </w:rPr>
              <w:lastRenderedPageBreak/>
              <w:t>A/HRC/40/NGO</w:t>
            </w:r>
            <w:r>
              <w:rPr>
                <w:sz w:val="20"/>
                <w:szCs w:val="20"/>
              </w:rPr>
              <w:t>/94</w:t>
            </w:r>
          </w:p>
        </w:tc>
        <w:tc>
          <w:tcPr>
            <w:tcW w:w="1276" w:type="dxa"/>
            <w:tcBorders>
              <w:top w:val="nil"/>
              <w:left w:val="nil"/>
              <w:bottom w:val="nil"/>
              <w:right w:val="nil"/>
            </w:tcBorders>
          </w:tcPr>
          <w:p w14:paraId="331E0A3D" w14:textId="77777777" w:rsidR="002139E4" w:rsidRDefault="002139E4" w:rsidP="001A259A">
            <w:pPr>
              <w:spacing w:before="40" w:after="120" w:line="276" w:lineRule="auto"/>
              <w:ind w:right="284"/>
              <w:jc w:val="right"/>
              <w:rPr>
                <w:sz w:val="20"/>
                <w:szCs w:val="20"/>
              </w:rPr>
            </w:pPr>
            <w:r>
              <w:rPr>
                <w:sz w:val="20"/>
                <w:szCs w:val="20"/>
              </w:rPr>
              <w:t>4</w:t>
            </w:r>
          </w:p>
        </w:tc>
        <w:tc>
          <w:tcPr>
            <w:tcW w:w="4252" w:type="dxa"/>
            <w:tcBorders>
              <w:top w:val="nil"/>
              <w:left w:val="nil"/>
              <w:bottom w:val="nil"/>
              <w:right w:val="nil"/>
            </w:tcBorders>
            <w:vAlign w:val="center"/>
          </w:tcPr>
          <w:p w14:paraId="227B9FED" w14:textId="77777777" w:rsidR="002139E4" w:rsidRPr="00FD039B" w:rsidRDefault="002139E4" w:rsidP="001A259A">
            <w:pPr>
              <w:spacing w:before="40" w:after="120" w:line="276" w:lineRule="auto"/>
              <w:ind w:right="113"/>
              <w:rPr>
                <w:sz w:val="20"/>
                <w:szCs w:val="20"/>
              </w:rPr>
            </w:pPr>
            <w:r w:rsidRPr="00FD039B">
              <w:rPr>
                <w:sz w:val="20"/>
                <w:szCs w:val="20"/>
              </w:rPr>
              <w:t>Written statement submitted by Child Foundation, a non-governmental organization in special consultative status</w:t>
            </w:r>
          </w:p>
        </w:tc>
      </w:tr>
      <w:tr w:rsidR="002139E4" w14:paraId="0AE8D240"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1FBEC2FC"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/95</w:t>
            </w:r>
          </w:p>
        </w:tc>
        <w:tc>
          <w:tcPr>
            <w:tcW w:w="1276" w:type="dxa"/>
            <w:tcBorders>
              <w:top w:val="nil"/>
              <w:left w:val="nil"/>
              <w:bottom w:val="nil"/>
              <w:right w:val="nil"/>
            </w:tcBorders>
          </w:tcPr>
          <w:p w14:paraId="744B0B65" w14:textId="77777777" w:rsidR="002139E4" w:rsidRDefault="002139E4" w:rsidP="001A259A">
            <w:pPr>
              <w:spacing w:before="40" w:after="120" w:line="276" w:lineRule="auto"/>
              <w:ind w:right="284"/>
              <w:jc w:val="right"/>
              <w:rPr>
                <w:sz w:val="20"/>
                <w:szCs w:val="20"/>
              </w:rPr>
            </w:pPr>
            <w:r>
              <w:rPr>
                <w:sz w:val="20"/>
                <w:szCs w:val="20"/>
              </w:rPr>
              <w:t>7</w:t>
            </w:r>
          </w:p>
        </w:tc>
        <w:tc>
          <w:tcPr>
            <w:tcW w:w="4252" w:type="dxa"/>
            <w:tcBorders>
              <w:top w:val="nil"/>
              <w:left w:val="nil"/>
              <w:bottom w:val="nil"/>
              <w:right w:val="nil"/>
            </w:tcBorders>
            <w:vAlign w:val="center"/>
          </w:tcPr>
          <w:p w14:paraId="7E011753" w14:textId="77777777" w:rsidR="002139E4" w:rsidRPr="00FD039B" w:rsidRDefault="002139E4" w:rsidP="001A259A">
            <w:pPr>
              <w:spacing w:before="40" w:after="120" w:line="276" w:lineRule="auto"/>
              <w:ind w:right="113"/>
              <w:rPr>
                <w:sz w:val="20"/>
                <w:szCs w:val="20"/>
              </w:rPr>
            </w:pPr>
            <w:r w:rsidRPr="00FD039B">
              <w:rPr>
                <w:sz w:val="20"/>
                <w:szCs w:val="20"/>
              </w:rPr>
              <w:t>Written statement submitted by BADIL Resource Center for Palestinian Residency and Refugee Rights, a non-governmental organization in special consultative status</w:t>
            </w:r>
          </w:p>
        </w:tc>
      </w:tr>
      <w:tr w:rsidR="002139E4" w14:paraId="382DA724"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20D6A7E9"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/96</w:t>
            </w:r>
          </w:p>
        </w:tc>
        <w:tc>
          <w:tcPr>
            <w:tcW w:w="1276" w:type="dxa"/>
            <w:tcBorders>
              <w:top w:val="nil"/>
              <w:left w:val="nil"/>
              <w:bottom w:val="nil"/>
              <w:right w:val="nil"/>
            </w:tcBorders>
          </w:tcPr>
          <w:p w14:paraId="65F45422" w14:textId="77777777" w:rsidR="002139E4" w:rsidRDefault="002139E4" w:rsidP="001A259A">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694C88EC" w14:textId="77777777" w:rsidR="002139E4" w:rsidRPr="00FD039B" w:rsidRDefault="002139E4" w:rsidP="001A259A">
            <w:pPr>
              <w:spacing w:before="40" w:after="120" w:line="276" w:lineRule="auto"/>
              <w:ind w:right="113"/>
              <w:rPr>
                <w:sz w:val="20"/>
                <w:szCs w:val="20"/>
              </w:rPr>
            </w:pPr>
            <w:r w:rsidRPr="00FD039B">
              <w:rPr>
                <w:sz w:val="20"/>
                <w:szCs w:val="20"/>
              </w:rPr>
              <w:t>Written statement submitted by Child Foundation, a non-governmental organization in special consultative status</w:t>
            </w:r>
          </w:p>
        </w:tc>
      </w:tr>
      <w:tr w:rsidR="002139E4" w14:paraId="7A1CB2FA"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4A71EF03"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/97</w:t>
            </w:r>
          </w:p>
        </w:tc>
        <w:tc>
          <w:tcPr>
            <w:tcW w:w="1276" w:type="dxa"/>
            <w:tcBorders>
              <w:top w:val="nil"/>
              <w:left w:val="nil"/>
              <w:bottom w:val="nil"/>
              <w:right w:val="nil"/>
            </w:tcBorders>
          </w:tcPr>
          <w:p w14:paraId="0FEB2541" w14:textId="77777777" w:rsidR="002139E4" w:rsidRDefault="002139E4" w:rsidP="001A259A">
            <w:pPr>
              <w:spacing w:before="40" w:after="120" w:line="276" w:lineRule="auto"/>
              <w:ind w:right="284"/>
              <w:jc w:val="right"/>
              <w:rPr>
                <w:sz w:val="20"/>
                <w:szCs w:val="20"/>
              </w:rPr>
            </w:pPr>
            <w:r>
              <w:rPr>
                <w:sz w:val="20"/>
                <w:szCs w:val="20"/>
              </w:rPr>
              <w:t>9</w:t>
            </w:r>
          </w:p>
        </w:tc>
        <w:tc>
          <w:tcPr>
            <w:tcW w:w="4252" w:type="dxa"/>
            <w:tcBorders>
              <w:top w:val="nil"/>
              <w:left w:val="nil"/>
              <w:bottom w:val="nil"/>
              <w:right w:val="nil"/>
            </w:tcBorders>
            <w:vAlign w:val="center"/>
          </w:tcPr>
          <w:p w14:paraId="4B00D5F3" w14:textId="77777777" w:rsidR="002139E4" w:rsidRPr="00FD039B" w:rsidRDefault="002139E4" w:rsidP="001A259A">
            <w:pPr>
              <w:spacing w:before="40" w:after="120" w:line="276" w:lineRule="auto"/>
              <w:ind w:right="113"/>
              <w:rPr>
                <w:sz w:val="20"/>
                <w:szCs w:val="20"/>
              </w:rPr>
            </w:pPr>
            <w:r w:rsidRPr="00FD039B">
              <w:rPr>
                <w:sz w:val="20"/>
                <w:szCs w:val="20"/>
              </w:rPr>
              <w:t>Written statement submitted by Meezaan Center for Human Rights, a non-governmental organization in special consultative status</w:t>
            </w:r>
          </w:p>
        </w:tc>
      </w:tr>
      <w:tr w:rsidR="002139E4" w14:paraId="13683B59"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3A0B09A5"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/98</w:t>
            </w:r>
          </w:p>
        </w:tc>
        <w:tc>
          <w:tcPr>
            <w:tcW w:w="1276" w:type="dxa"/>
            <w:tcBorders>
              <w:top w:val="nil"/>
              <w:left w:val="nil"/>
              <w:bottom w:val="nil"/>
              <w:right w:val="nil"/>
            </w:tcBorders>
          </w:tcPr>
          <w:p w14:paraId="547DDD46" w14:textId="77777777" w:rsidR="002139E4" w:rsidRDefault="002139E4" w:rsidP="001A259A">
            <w:pPr>
              <w:spacing w:before="40" w:after="120" w:line="276" w:lineRule="auto"/>
              <w:ind w:right="284"/>
              <w:jc w:val="right"/>
              <w:rPr>
                <w:sz w:val="20"/>
                <w:szCs w:val="20"/>
              </w:rPr>
            </w:pPr>
            <w:r>
              <w:rPr>
                <w:sz w:val="20"/>
                <w:szCs w:val="20"/>
              </w:rPr>
              <w:t>7</w:t>
            </w:r>
          </w:p>
        </w:tc>
        <w:tc>
          <w:tcPr>
            <w:tcW w:w="4252" w:type="dxa"/>
            <w:tcBorders>
              <w:top w:val="nil"/>
              <w:left w:val="nil"/>
              <w:bottom w:val="nil"/>
              <w:right w:val="nil"/>
            </w:tcBorders>
            <w:vAlign w:val="center"/>
          </w:tcPr>
          <w:p w14:paraId="7B9EBA91" w14:textId="77777777" w:rsidR="002139E4" w:rsidRPr="00FD039B" w:rsidRDefault="002139E4" w:rsidP="001A259A">
            <w:pPr>
              <w:spacing w:before="40" w:after="120" w:line="276" w:lineRule="auto"/>
              <w:ind w:right="113"/>
              <w:rPr>
                <w:sz w:val="20"/>
                <w:szCs w:val="20"/>
              </w:rPr>
            </w:pPr>
            <w:r w:rsidRPr="00FD039B">
              <w:rPr>
                <w:sz w:val="20"/>
                <w:szCs w:val="20"/>
              </w:rPr>
              <w:t xml:space="preserve">Joint written statement submitted by the International Organization for the Elimination of All Forms of Racial Discrimination (EAFORD), Indian Movement </w:t>
            </w:r>
            <w:r>
              <w:rPr>
                <w:sz w:val="20"/>
                <w:szCs w:val="20"/>
              </w:rPr>
              <w:t>“</w:t>
            </w:r>
            <w:r w:rsidRPr="00FD039B">
              <w:rPr>
                <w:sz w:val="20"/>
                <w:szCs w:val="20"/>
              </w:rPr>
              <w:t>Tupaj Amaru</w:t>
            </w:r>
            <w:r>
              <w:rPr>
                <w:sz w:val="20"/>
                <w:szCs w:val="20"/>
              </w:rPr>
              <w:t>”</w:t>
            </w:r>
            <w:r w:rsidRPr="00FD039B">
              <w:rPr>
                <w:sz w:val="20"/>
                <w:szCs w:val="20"/>
              </w:rPr>
              <w:t>, International-Lawyers.Org, Union of Arab Jurists, United Towns Agency for North-South Cooperation, non-governmental organizations in special consultative status, International Educational Development, Inc., World Peace Council, non-governmental organizations on the roster</w:t>
            </w:r>
          </w:p>
        </w:tc>
      </w:tr>
      <w:tr w:rsidR="002139E4" w14:paraId="08510D40" w14:textId="77777777" w:rsidTr="001A259A">
        <w:tblPrEx>
          <w:tblLook w:val="04A0" w:firstRow="1" w:lastRow="0" w:firstColumn="1" w:lastColumn="0" w:noHBand="0" w:noVBand="1"/>
        </w:tblPrEx>
        <w:trPr>
          <w:trHeight w:val="255"/>
        </w:trPr>
        <w:tc>
          <w:tcPr>
            <w:tcW w:w="2410" w:type="dxa"/>
            <w:tcBorders>
              <w:top w:val="nil"/>
              <w:left w:val="nil"/>
              <w:bottom w:val="nil"/>
              <w:right w:val="nil"/>
            </w:tcBorders>
          </w:tcPr>
          <w:p w14:paraId="20B983C0" w14:textId="77777777" w:rsidR="002139E4" w:rsidRPr="00296342" w:rsidRDefault="002139E4" w:rsidP="001A259A">
            <w:pPr>
              <w:spacing w:before="40" w:after="120" w:line="276" w:lineRule="auto"/>
              <w:ind w:right="113"/>
              <w:rPr>
                <w:sz w:val="20"/>
                <w:szCs w:val="20"/>
              </w:rPr>
            </w:pPr>
            <w:r w:rsidRPr="00296342">
              <w:rPr>
                <w:sz w:val="20"/>
                <w:szCs w:val="20"/>
              </w:rPr>
              <w:t>A/HRC/40/NGO</w:t>
            </w:r>
            <w:r>
              <w:rPr>
                <w:sz w:val="20"/>
                <w:szCs w:val="20"/>
              </w:rPr>
              <w:t>/99</w:t>
            </w:r>
          </w:p>
        </w:tc>
        <w:tc>
          <w:tcPr>
            <w:tcW w:w="1276" w:type="dxa"/>
            <w:tcBorders>
              <w:top w:val="nil"/>
              <w:left w:val="nil"/>
              <w:bottom w:val="nil"/>
              <w:right w:val="nil"/>
            </w:tcBorders>
          </w:tcPr>
          <w:p w14:paraId="08001BFE" w14:textId="77777777" w:rsidR="002139E4" w:rsidRDefault="002139E4" w:rsidP="001A259A">
            <w:pPr>
              <w:spacing w:before="40" w:after="120" w:line="276" w:lineRule="auto"/>
              <w:ind w:right="284"/>
              <w:jc w:val="right"/>
              <w:rPr>
                <w:sz w:val="20"/>
                <w:szCs w:val="20"/>
              </w:rPr>
            </w:pPr>
            <w:r>
              <w:rPr>
                <w:sz w:val="20"/>
                <w:szCs w:val="20"/>
              </w:rPr>
              <w:t>4</w:t>
            </w:r>
          </w:p>
        </w:tc>
        <w:tc>
          <w:tcPr>
            <w:tcW w:w="4252" w:type="dxa"/>
            <w:tcBorders>
              <w:top w:val="nil"/>
              <w:left w:val="nil"/>
              <w:bottom w:val="nil"/>
              <w:right w:val="nil"/>
            </w:tcBorders>
            <w:vAlign w:val="center"/>
          </w:tcPr>
          <w:p w14:paraId="073E9E71" w14:textId="77777777" w:rsidR="002139E4" w:rsidRPr="00FD039B" w:rsidRDefault="002139E4" w:rsidP="001A259A">
            <w:pPr>
              <w:spacing w:before="40" w:after="120" w:line="276" w:lineRule="auto"/>
              <w:ind w:right="113"/>
              <w:rPr>
                <w:sz w:val="20"/>
                <w:szCs w:val="20"/>
              </w:rPr>
            </w:pPr>
            <w:r w:rsidRPr="00FD039B">
              <w:rPr>
                <w:sz w:val="20"/>
                <w:szCs w:val="20"/>
              </w:rPr>
              <w:t>Written statement submitted by Nazra for Feminist Studies, a non-governmental organization in special consultative status</w:t>
            </w:r>
          </w:p>
        </w:tc>
      </w:tr>
      <w:tr w:rsidR="002139E4" w:rsidRPr="00CE032F" w14:paraId="22DF9629" w14:textId="77777777" w:rsidTr="001A259A">
        <w:trPr>
          <w:trHeight w:val="255"/>
        </w:trPr>
        <w:tc>
          <w:tcPr>
            <w:tcW w:w="2410" w:type="dxa"/>
            <w:shd w:val="clear" w:color="auto" w:fill="auto"/>
          </w:tcPr>
          <w:p w14:paraId="28760C92" w14:textId="77777777" w:rsidR="002139E4" w:rsidRPr="00A06A3E" w:rsidRDefault="002139E4" w:rsidP="001A259A">
            <w:pPr>
              <w:spacing w:before="40" w:after="120"/>
              <w:ind w:right="113"/>
              <w:rPr>
                <w:sz w:val="20"/>
                <w:szCs w:val="20"/>
              </w:rPr>
            </w:pPr>
            <w:r w:rsidRPr="00DF35F2">
              <w:rPr>
                <w:sz w:val="20"/>
                <w:szCs w:val="20"/>
              </w:rPr>
              <w:t>A/HRC/40/NGO/100</w:t>
            </w:r>
          </w:p>
        </w:tc>
        <w:tc>
          <w:tcPr>
            <w:tcW w:w="1276" w:type="dxa"/>
            <w:shd w:val="clear" w:color="auto" w:fill="auto"/>
          </w:tcPr>
          <w:p w14:paraId="53CCF8FB"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79789B02" w14:textId="77777777" w:rsidR="002139E4" w:rsidRDefault="002139E4" w:rsidP="001A259A">
            <w:pPr>
              <w:spacing w:before="40" w:after="120"/>
              <w:ind w:right="113"/>
              <w:rPr>
                <w:sz w:val="20"/>
                <w:szCs w:val="20"/>
              </w:rPr>
            </w:pPr>
            <w:r w:rsidRPr="00DF35F2">
              <w:rPr>
                <w:sz w:val="20"/>
                <w:szCs w:val="20"/>
              </w:rPr>
              <w:t>Written statement submitted by the Auspice Stella, a non-governmental organization in special consultative status</w:t>
            </w:r>
          </w:p>
        </w:tc>
      </w:tr>
      <w:tr w:rsidR="002139E4" w:rsidRPr="00CE032F" w14:paraId="5D9CF6BC" w14:textId="77777777" w:rsidTr="001A259A">
        <w:trPr>
          <w:trHeight w:val="255"/>
        </w:trPr>
        <w:tc>
          <w:tcPr>
            <w:tcW w:w="2410" w:type="dxa"/>
            <w:shd w:val="clear" w:color="auto" w:fill="auto"/>
          </w:tcPr>
          <w:p w14:paraId="7690753D" w14:textId="77777777" w:rsidR="002139E4" w:rsidRPr="00A06A3E" w:rsidRDefault="002139E4" w:rsidP="001A259A">
            <w:pPr>
              <w:spacing w:before="40" w:after="120"/>
              <w:ind w:right="113"/>
              <w:rPr>
                <w:sz w:val="20"/>
                <w:szCs w:val="20"/>
              </w:rPr>
            </w:pPr>
            <w:r w:rsidRPr="00DF35F2">
              <w:rPr>
                <w:sz w:val="20"/>
                <w:szCs w:val="20"/>
              </w:rPr>
              <w:t>A/HRC/40/NGO/101</w:t>
            </w:r>
          </w:p>
        </w:tc>
        <w:tc>
          <w:tcPr>
            <w:tcW w:w="1276" w:type="dxa"/>
            <w:shd w:val="clear" w:color="auto" w:fill="auto"/>
          </w:tcPr>
          <w:p w14:paraId="1EEE96E7" w14:textId="77777777" w:rsidR="002139E4" w:rsidRDefault="002139E4" w:rsidP="001A259A">
            <w:pPr>
              <w:spacing w:before="40" w:after="120"/>
              <w:ind w:right="284"/>
              <w:jc w:val="right"/>
              <w:rPr>
                <w:sz w:val="20"/>
                <w:szCs w:val="20"/>
              </w:rPr>
            </w:pPr>
            <w:r>
              <w:rPr>
                <w:sz w:val="20"/>
                <w:szCs w:val="20"/>
              </w:rPr>
              <w:t>7</w:t>
            </w:r>
          </w:p>
        </w:tc>
        <w:tc>
          <w:tcPr>
            <w:tcW w:w="4252" w:type="dxa"/>
            <w:shd w:val="clear" w:color="auto" w:fill="auto"/>
            <w:vAlign w:val="center"/>
          </w:tcPr>
          <w:p w14:paraId="421FEB91" w14:textId="77777777" w:rsidR="002139E4" w:rsidRPr="00A06A3E" w:rsidRDefault="002139E4" w:rsidP="001A259A">
            <w:pPr>
              <w:spacing w:before="40" w:after="120"/>
              <w:ind w:right="113"/>
              <w:rPr>
                <w:sz w:val="20"/>
                <w:szCs w:val="20"/>
              </w:rPr>
            </w:pPr>
            <w:r w:rsidRPr="00DF35F2">
              <w:rPr>
                <w:sz w:val="20"/>
                <w:szCs w:val="20"/>
              </w:rPr>
              <w:t xml:space="preserve">Joint written statement submitted by the International Organization for the Elimination of </w:t>
            </w:r>
            <w:r w:rsidRPr="00DF35F2">
              <w:rPr>
                <w:sz w:val="20"/>
                <w:szCs w:val="20"/>
              </w:rPr>
              <w:lastRenderedPageBreak/>
              <w:t xml:space="preserve">All Forms of Racial Discrimination (EAFORD), Indian Movement </w:t>
            </w:r>
            <w:r>
              <w:rPr>
                <w:sz w:val="20"/>
                <w:szCs w:val="20"/>
              </w:rPr>
              <w:t>“</w:t>
            </w:r>
            <w:r w:rsidRPr="00DF35F2">
              <w:rPr>
                <w:sz w:val="20"/>
                <w:szCs w:val="20"/>
              </w:rPr>
              <w:t>Tupaj Amaru</w:t>
            </w:r>
            <w:r>
              <w:rPr>
                <w:sz w:val="20"/>
                <w:szCs w:val="20"/>
              </w:rPr>
              <w:t>”</w:t>
            </w:r>
            <w:r w:rsidRPr="00DF35F2">
              <w:rPr>
                <w:sz w:val="20"/>
                <w:szCs w:val="20"/>
              </w:rPr>
              <w:t>, International-Lawyers.Org, Union of Arab Jurists, United Towns Agency for North-South Cooperation, non-governmental organizations in special consultative status, International Educational Development, Inc., World Peace Council, non-governmental organizations on the roster</w:t>
            </w:r>
          </w:p>
        </w:tc>
      </w:tr>
      <w:tr w:rsidR="002139E4" w:rsidRPr="00CE032F" w14:paraId="62F56667" w14:textId="77777777" w:rsidTr="001A259A">
        <w:trPr>
          <w:trHeight w:val="255"/>
        </w:trPr>
        <w:tc>
          <w:tcPr>
            <w:tcW w:w="2410" w:type="dxa"/>
            <w:shd w:val="clear" w:color="auto" w:fill="auto"/>
          </w:tcPr>
          <w:p w14:paraId="69B27B10" w14:textId="77777777" w:rsidR="002139E4" w:rsidRPr="00DF35F2" w:rsidRDefault="002139E4" w:rsidP="001A259A">
            <w:pPr>
              <w:spacing w:before="40" w:after="120"/>
              <w:ind w:right="113"/>
              <w:rPr>
                <w:sz w:val="20"/>
                <w:szCs w:val="20"/>
              </w:rPr>
            </w:pPr>
            <w:r w:rsidRPr="00DF35F2">
              <w:rPr>
                <w:sz w:val="20"/>
                <w:szCs w:val="20"/>
              </w:rPr>
              <w:lastRenderedPageBreak/>
              <w:t>A/HRC/40/NGO/102</w:t>
            </w:r>
          </w:p>
        </w:tc>
        <w:tc>
          <w:tcPr>
            <w:tcW w:w="1276" w:type="dxa"/>
            <w:shd w:val="clear" w:color="auto" w:fill="auto"/>
          </w:tcPr>
          <w:p w14:paraId="7F27FCCF"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3C1A95E6" w14:textId="77777777" w:rsidR="002139E4" w:rsidRPr="00DF35F2" w:rsidRDefault="002139E4" w:rsidP="001A259A">
            <w:pPr>
              <w:spacing w:before="40" w:after="120"/>
              <w:ind w:right="113"/>
              <w:rPr>
                <w:sz w:val="20"/>
                <w:szCs w:val="20"/>
              </w:rPr>
            </w:pPr>
            <w:r w:rsidRPr="00DF35F2">
              <w:rPr>
                <w:sz w:val="20"/>
                <w:szCs w:val="20"/>
              </w:rPr>
              <w:t>Exposé écrit présenté par la Coordination nationale des associations des consommateurs, organisation non gouvernementale dotée du statut consultatif spécial</w:t>
            </w:r>
          </w:p>
        </w:tc>
      </w:tr>
      <w:tr w:rsidR="002139E4" w:rsidRPr="00CE032F" w14:paraId="7E599AFC" w14:textId="77777777" w:rsidTr="001A259A">
        <w:trPr>
          <w:trHeight w:val="255"/>
        </w:trPr>
        <w:tc>
          <w:tcPr>
            <w:tcW w:w="2410" w:type="dxa"/>
            <w:shd w:val="clear" w:color="auto" w:fill="auto"/>
          </w:tcPr>
          <w:p w14:paraId="7B66730D" w14:textId="77777777" w:rsidR="002139E4" w:rsidRPr="00DF35F2" w:rsidRDefault="002139E4" w:rsidP="001A259A">
            <w:pPr>
              <w:spacing w:before="40" w:after="120"/>
              <w:ind w:right="113"/>
              <w:rPr>
                <w:sz w:val="20"/>
                <w:szCs w:val="20"/>
              </w:rPr>
            </w:pPr>
            <w:r w:rsidRPr="00DF35F2">
              <w:rPr>
                <w:sz w:val="20"/>
                <w:szCs w:val="20"/>
              </w:rPr>
              <w:t>A/HRC/40/NGO/103</w:t>
            </w:r>
          </w:p>
        </w:tc>
        <w:tc>
          <w:tcPr>
            <w:tcW w:w="1276" w:type="dxa"/>
            <w:shd w:val="clear" w:color="auto" w:fill="auto"/>
          </w:tcPr>
          <w:p w14:paraId="2458C0AC"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7BE43F34" w14:textId="77777777" w:rsidR="002139E4" w:rsidRPr="00DF35F2" w:rsidRDefault="002139E4" w:rsidP="001A259A">
            <w:pPr>
              <w:spacing w:before="40" w:after="120"/>
              <w:ind w:right="113"/>
              <w:rPr>
                <w:sz w:val="20"/>
                <w:szCs w:val="20"/>
              </w:rPr>
            </w:pPr>
            <w:r w:rsidRPr="00DF35F2">
              <w:rPr>
                <w:sz w:val="20"/>
                <w:szCs w:val="20"/>
              </w:rPr>
              <w:t>Written statement submitted by Cercle de Recherche sur les Droits et les Devoirs de la Personne Humaine, a non-governmental organization in special consultative status</w:t>
            </w:r>
          </w:p>
        </w:tc>
      </w:tr>
      <w:tr w:rsidR="002139E4" w:rsidRPr="00CE032F" w14:paraId="3FA6FB17" w14:textId="77777777" w:rsidTr="001A259A">
        <w:trPr>
          <w:trHeight w:val="255"/>
        </w:trPr>
        <w:tc>
          <w:tcPr>
            <w:tcW w:w="2410" w:type="dxa"/>
            <w:shd w:val="clear" w:color="auto" w:fill="auto"/>
          </w:tcPr>
          <w:p w14:paraId="4E9BA15E" w14:textId="77777777" w:rsidR="002139E4" w:rsidRPr="00DF35F2" w:rsidRDefault="002139E4" w:rsidP="001A259A">
            <w:pPr>
              <w:spacing w:before="40" w:after="120"/>
              <w:ind w:right="113"/>
              <w:rPr>
                <w:sz w:val="20"/>
                <w:szCs w:val="20"/>
              </w:rPr>
            </w:pPr>
            <w:r w:rsidRPr="00DF35F2">
              <w:rPr>
                <w:sz w:val="20"/>
                <w:szCs w:val="20"/>
              </w:rPr>
              <w:t>A/HRC/40/NGO/104</w:t>
            </w:r>
          </w:p>
        </w:tc>
        <w:tc>
          <w:tcPr>
            <w:tcW w:w="1276" w:type="dxa"/>
            <w:shd w:val="clear" w:color="auto" w:fill="auto"/>
          </w:tcPr>
          <w:p w14:paraId="438A7BAC"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32B75E3C" w14:textId="77777777" w:rsidR="002139E4" w:rsidRPr="00DF35F2" w:rsidRDefault="002139E4" w:rsidP="001A259A">
            <w:pPr>
              <w:spacing w:before="40" w:after="120"/>
              <w:ind w:right="113"/>
              <w:rPr>
                <w:sz w:val="20"/>
                <w:szCs w:val="20"/>
              </w:rPr>
            </w:pPr>
            <w:r>
              <w:rPr>
                <w:sz w:val="20"/>
                <w:szCs w:val="20"/>
              </w:rPr>
              <w:t>Written statement</w:t>
            </w:r>
            <w:r w:rsidRPr="00DF35F2">
              <w:rPr>
                <w:sz w:val="20"/>
                <w:szCs w:val="20"/>
              </w:rPr>
              <w:t xml:space="preserve"> submitted by the Cercle de Recherche sur les Droits et les Devoirs de la Personne Humaine, a non-governmental organization in special consultative status</w:t>
            </w:r>
          </w:p>
        </w:tc>
      </w:tr>
      <w:tr w:rsidR="002139E4" w:rsidRPr="00CE032F" w14:paraId="34395B3A" w14:textId="77777777" w:rsidTr="001A259A">
        <w:trPr>
          <w:trHeight w:val="255"/>
        </w:trPr>
        <w:tc>
          <w:tcPr>
            <w:tcW w:w="2410" w:type="dxa"/>
            <w:shd w:val="clear" w:color="auto" w:fill="auto"/>
          </w:tcPr>
          <w:p w14:paraId="03FB6C4A" w14:textId="77777777" w:rsidR="002139E4" w:rsidRPr="00DF35F2" w:rsidRDefault="002139E4" w:rsidP="001A259A">
            <w:pPr>
              <w:spacing w:before="40" w:after="120"/>
              <w:ind w:right="113"/>
              <w:rPr>
                <w:sz w:val="20"/>
                <w:szCs w:val="20"/>
              </w:rPr>
            </w:pPr>
            <w:r w:rsidRPr="00DF35F2">
              <w:rPr>
                <w:sz w:val="20"/>
                <w:szCs w:val="20"/>
              </w:rPr>
              <w:t>A/HRC/40/NGO/105</w:t>
            </w:r>
          </w:p>
        </w:tc>
        <w:tc>
          <w:tcPr>
            <w:tcW w:w="1276" w:type="dxa"/>
            <w:shd w:val="clear" w:color="auto" w:fill="auto"/>
          </w:tcPr>
          <w:p w14:paraId="5F75F892"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4BCDE0E4" w14:textId="77777777" w:rsidR="002139E4" w:rsidRPr="00DF35F2" w:rsidRDefault="002139E4" w:rsidP="001A259A">
            <w:pPr>
              <w:spacing w:before="40" w:after="120"/>
              <w:ind w:right="113"/>
              <w:rPr>
                <w:sz w:val="20"/>
                <w:szCs w:val="20"/>
              </w:rPr>
            </w:pPr>
            <w:r w:rsidRPr="00DF35F2">
              <w:rPr>
                <w:sz w:val="20"/>
                <w:szCs w:val="20"/>
              </w:rPr>
              <w:t>Joint written statement submitted by the International Organization for the Elimination of All Forms of Racial Discrimination (EAFORD), International-Lawyers.Org, United Towns Agency for North-South Cooperation, non-governmental organizations in special consultative status, International Educational Development, Inc., World Peace Council, non-governmental organizations on the roster</w:t>
            </w:r>
          </w:p>
        </w:tc>
      </w:tr>
      <w:tr w:rsidR="002139E4" w:rsidRPr="00CE032F" w14:paraId="0A664AD0" w14:textId="77777777" w:rsidTr="001A259A">
        <w:trPr>
          <w:trHeight w:val="255"/>
        </w:trPr>
        <w:tc>
          <w:tcPr>
            <w:tcW w:w="2410" w:type="dxa"/>
            <w:shd w:val="clear" w:color="auto" w:fill="auto"/>
          </w:tcPr>
          <w:p w14:paraId="176D9617" w14:textId="77777777" w:rsidR="002139E4" w:rsidRPr="00DF35F2" w:rsidRDefault="002139E4" w:rsidP="001A259A">
            <w:pPr>
              <w:spacing w:before="40" w:after="120"/>
              <w:ind w:right="113"/>
              <w:rPr>
                <w:sz w:val="20"/>
                <w:szCs w:val="20"/>
              </w:rPr>
            </w:pPr>
            <w:r w:rsidRPr="00D71694">
              <w:rPr>
                <w:sz w:val="20"/>
                <w:szCs w:val="20"/>
              </w:rPr>
              <w:t>A/HRC/40/NGO/106</w:t>
            </w:r>
          </w:p>
        </w:tc>
        <w:tc>
          <w:tcPr>
            <w:tcW w:w="1276" w:type="dxa"/>
            <w:shd w:val="clear" w:color="auto" w:fill="auto"/>
          </w:tcPr>
          <w:p w14:paraId="6223B7E9"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0F535165" w14:textId="77777777" w:rsidR="002139E4" w:rsidRPr="00DF35F2" w:rsidRDefault="002139E4" w:rsidP="001A259A">
            <w:pPr>
              <w:spacing w:before="40" w:after="120"/>
              <w:ind w:right="113"/>
              <w:rPr>
                <w:sz w:val="20"/>
                <w:szCs w:val="20"/>
              </w:rPr>
            </w:pPr>
            <w:r w:rsidRPr="00D71694">
              <w:rPr>
                <w:sz w:val="20"/>
                <w:szCs w:val="20"/>
              </w:rPr>
              <w:t>Joint written statement submitted by the International Organization for the Elimination of All Forms of Racial Discrimination (EAFORD), International-Lawyers.Org, United Towns Agency for North-South Cooperation, non-governmental organizations in special consultative status, International Educational Development, Inc., World Peace Council, non-governmental organizations on the roster</w:t>
            </w:r>
          </w:p>
        </w:tc>
      </w:tr>
      <w:tr w:rsidR="002139E4" w:rsidRPr="00CE032F" w14:paraId="69CD4170" w14:textId="77777777" w:rsidTr="001A259A">
        <w:trPr>
          <w:trHeight w:val="255"/>
        </w:trPr>
        <w:tc>
          <w:tcPr>
            <w:tcW w:w="2410" w:type="dxa"/>
            <w:shd w:val="clear" w:color="auto" w:fill="auto"/>
          </w:tcPr>
          <w:p w14:paraId="1150CD1B" w14:textId="77777777" w:rsidR="002139E4" w:rsidRPr="00DF35F2" w:rsidRDefault="002139E4" w:rsidP="001A259A">
            <w:pPr>
              <w:spacing w:before="40" w:after="120"/>
              <w:ind w:right="113"/>
              <w:rPr>
                <w:sz w:val="20"/>
                <w:szCs w:val="20"/>
              </w:rPr>
            </w:pPr>
            <w:r w:rsidRPr="00D71694">
              <w:rPr>
                <w:sz w:val="20"/>
                <w:szCs w:val="20"/>
              </w:rPr>
              <w:t>A/HRC/40/NGO/107</w:t>
            </w:r>
          </w:p>
        </w:tc>
        <w:tc>
          <w:tcPr>
            <w:tcW w:w="1276" w:type="dxa"/>
            <w:shd w:val="clear" w:color="auto" w:fill="auto"/>
          </w:tcPr>
          <w:p w14:paraId="63D9397B"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1F7F1820" w14:textId="77777777" w:rsidR="002139E4" w:rsidRPr="00DF35F2" w:rsidRDefault="002139E4" w:rsidP="001A259A">
            <w:pPr>
              <w:spacing w:before="40" w:after="120"/>
              <w:ind w:right="113"/>
              <w:rPr>
                <w:sz w:val="20"/>
                <w:szCs w:val="20"/>
              </w:rPr>
            </w:pPr>
            <w:r w:rsidRPr="00D71694">
              <w:rPr>
                <w:sz w:val="20"/>
                <w:szCs w:val="20"/>
              </w:rPr>
              <w:t>Written statement submitted by the Cercle de Recherche sur les Droits et les Devoirs de la Personne Humaine, a non-governmental organization in special consultative status</w:t>
            </w:r>
          </w:p>
        </w:tc>
      </w:tr>
      <w:tr w:rsidR="002139E4" w:rsidRPr="00CE032F" w14:paraId="04FDF0ED" w14:textId="77777777" w:rsidTr="001A259A">
        <w:trPr>
          <w:trHeight w:val="255"/>
        </w:trPr>
        <w:tc>
          <w:tcPr>
            <w:tcW w:w="2410" w:type="dxa"/>
            <w:shd w:val="clear" w:color="auto" w:fill="auto"/>
          </w:tcPr>
          <w:p w14:paraId="02546046" w14:textId="77777777" w:rsidR="002139E4" w:rsidRPr="00DF35F2" w:rsidRDefault="002139E4" w:rsidP="001A259A">
            <w:pPr>
              <w:spacing w:before="40" w:after="120"/>
              <w:ind w:right="113"/>
              <w:rPr>
                <w:sz w:val="20"/>
                <w:szCs w:val="20"/>
              </w:rPr>
            </w:pPr>
            <w:r w:rsidRPr="00D71694">
              <w:rPr>
                <w:sz w:val="20"/>
                <w:szCs w:val="20"/>
              </w:rPr>
              <w:t>A/HRC/40/NGO/108</w:t>
            </w:r>
          </w:p>
        </w:tc>
        <w:tc>
          <w:tcPr>
            <w:tcW w:w="1276" w:type="dxa"/>
            <w:shd w:val="clear" w:color="auto" w:fill="auto"/>
          </w:tcPr>
          <w:p w14:paraId="79FE1732" w14:textId="77777777" w:rsidR="002139E4" w:rsidRDefault="002139E4" w:rsidP="001A259A">
            <w:pPr>
              <w:spacing w:before="40" w:after="120"/>
              <w:ind w:right="284"/>
              <w:jc w:val="right"/>
              <w:rPr>
                <w:sz w:val="20"/>
                <w:szCs w:val="20"/>
              </w:rPr>
            </w:pPr>
            <w:r>
              <w:rPr>
                <w:sz w:val="20"/>
                <w:szCs w:val="20"/>
              </w:rPr>
              <w:t>10</w:t>
            </w:r>
          </w:p>
        </w:tc>
        <w:tc>
          <w:tcPr>
            <w:tcW w:w="4252" w:type="dxa"/>
            <w:shd w:val="clear" w:color="auto" w:fill="auto"/>
            <w:vAlign w:val="center"/>
          </w:tcPr>
          <w:p w14:paraId="23CCDB18" w14:textId="77777777" w:rsidR="002139E4" w:rsidRPr="00DF35F2" w:rsidRDefault="002139E4" w:rsidP="001A259A">
            <w:pPr>
              <w:spacing w:before="40" w:after="120"/>
              <w:ind w:right="113"/>
              <w:rPr>
                <w:sz w:val="20"/>
                <w:szCs w:val="20"/>
              </w:rPr>
            </w:pPr>
            <w:r w:rsidRPr="00D71694">
              <w:rPr>
                <w:sz w:val="20"/>
                <w:szCs w:val="20"/>
              </w:rPr>
              <w:t xml:space="preserve">Joint written statement submitted by the International Organization for the Elimination of All Forms of Racial Discrimination (EAFORD), United Towns Agency for North-South Cooperation, non-governmental organizations in </w:t>
            </w:r>
            <w:r w:rsidRPr="00D71694">
              <w:rPr>
                <w:sz w:val="20"/>
                <w:szCs w:val="20"/>
              </w:rPr>
              <w:lastRenderedPageBreak/>
              <w:t>special consultative status, International Educational Development, Inc., World Peace Council, non-governmental organizations on the roster</w:t>
            </w:r>
          </w:p>
        </w:tc>
      </w:tr>
      <w:tr w:rsidR="002139E4" w:rsidRPr="00CE032F" w14:paraId="08395988" w14:textId="77777777" w:rsidTr="001A259A">
        <w:trPr>
          <w:trHeight w:val="255"/>
        </w:trPr>
        <w:tc>
          <w:tcPr>
            <w:tcW w:w="2410" w:type="dxa"/>
            <w:shd w:val="clear" w:color="auto" w:fill="auto"/>
          </w:tcPr>
          <w:p w14:paraId="1D107955" w14:textId="77777777" w:rsidR="002139E4" w:rsidRPr="00DF35F2" w:rsidRDefault="002139E4" w:rsidP="001A259A">
            <w:pPr>
              <w:spacing w:before="40" w:after="120"/>
              <w:ind w:right="113"/>
              <w:rPr>
                <w:sz w:val="20"/>
                <w:szCs w:val="20"/>
              </w:rPr>
            </w:pPr>
            <w:r w:rsidRPr="00D71694">
              <w:rPr>
                <w:sz w:val="20"/>
                <w:szCs w:val="20"/>
              </w:rPr>
              <w:lastRenderedPageBreak/>
              <w:t>A/HRC/40/NGO/109</w:t>
            </w:r>
          </w:p>
        </w:tc>
        <w:tc>
          <w:tcPr>
            <w:tcW w:w="1276" w:type="dxa"/>
            <w:shd w:val="clear" w:color="auto" w:fill="auto"/>
          </w:tcPr>
          <w:p w14:paraId="1C0B856D" w14:textId="77777777" w:rsidR="002139E4" w:rsidRDefault="002139E4" w:rsidP="001A259A">
            <w:pPr>
              <w:spacing w:before="40" w:after="120"/>
              <w:ind w:right="284"/>
              <w:jc w:val="right"/>
              <w:rPr>
                <w:sz w:val="20"/>
                <w:szCs w:val="20"/>
              </w:rPr>
            </w:pPr>
            <w:r>
              <w:rPr>
                <w:sz w:val="20"/>
                <w:szCs w:val="20"/>
              </w:rPr>
              <w:t>2</w:t>
            </w:r>
          </w:p>
        </w:tc>
        <w:tc>
          <w:tcPr>
            <w:tcW w:w="4252" w:type="dxa"/>
            <w:shd w:val="clear" w:color="auto" w:fill="auto"/>
            <w:vAlign w:val="center"/>
          </w:tcPr>
          <w:p w14:paraId="010A6E62" w14:textId="77777777" w:rsidR="002139E4" w:rsidRPr="00DF35F2" w:rsidRDefault="002139E4" w:rsidP="001A259A">
            <w:pPr>
              <w:spacing w:before="40" w:after="120"/>
              <w:ind w:right="113"/>
              <w:rPr>
                <w:sz w:val="20"/>
                <w:szCs w:val="20"/>
              </w:rPr>
            </w:pPr>
            <w:r w:rsidRPr="00D71694">
              <w:rPr>
                <w:sz w:val="20"/>
                <w:szCs w:val="20"/>
              </w:rPr>
              <w:t>Written statement submitted by African Green Foundation International, non-governmental organization in special consultative status</w:t>
            </w:r>
          </w:p>
        </w:tc>
      </w:tr>
      <w:tr w:rsidR="002139E4" w:rsidRPr="00CE032F" w14:paraId="3D7A9E75" w14:textId="77777777" w:rsidTr="001A259A">
        <w:trPr>
          <w:trHeight w:val="255"/>
        </w:trPr>
        <w:tc>
          <w:tcPr>
            <w:tcW w:w="2410" w:type="dxa"/>
            <w:shd w:val="clear" w:color="auto" w:fill="auto"/>
          </w:tcPr>
          <w:p w14:paraId="1B2C652A" w14:textId="77777777" w:rsidR="002139E4" w:rsidRPr="00D71694" w:rsidRDefault="002139E4" w:rsidP="001A259A">
            <w:pPr>
              <w:spacing w:before="40" w:after="120"/>
              <w:ind w:right="113"/>
              <w:rPr>
                <w:sz w:val="20"/>
                <w:szCs w:val="20"/>
              </w:rPr>
            </w:pPr>
            <w:r w:rsidRPr="00D71694">
              <w:rPr>
                <w:sz w:val="20"/>
                <w:szCs w:val="20"/>
              </w:rPr>
              <w:t>A/HRC/40/NGO/110</w:t>
            </w:r>
          </w:p>
        </w:tc>
        <w:tc>
          <w:tcPr>
            <w:tcW w:w="1276" w:type="dxa"/>
            <w:shd w:val="clear" w:color="auto" w:fill="auto"/>
          </w:tcPr>
          <w:p w14:paraId="1131C86D" w14:textId="77777777" w:rsidR="002139E4" w:rsidRDefault="002139E4" w:rsidP="001A259A">
            <w:pPr>
              <w:spacing w:before="40" w:after="120"/>
              <w:ind w:right="284"/>
              <w:jc w:val="right"/>
              <w:rPr>
                <w:sz w:val="20"/>
                <w:szCs w:val="20"/>
              </w:rPr>
            </w:pPr>
            <w:r>
              <w:rPr>
                <w:sz w:val="20"/>
                <w:szCs w:val="20"/>
              </w:rPr>
              <w:t>2</w:t>
            </w:r>
          </w:p>
        </w:tc>
        <w:tc>
          <w:tcPr>
            <w:tcW w:w="4252" w:type="dxa"/>
            <w:shd w:val="clear" w:color="auto" w:fill="auto"/>
            <w:vAlign w:val="center"/>
          </w:tcPr>
          <w:p w14:paraId="3DE2B65B" w14:textId="77777777" w:rsidR="002139E4" w:rsidRPr="00DF35F2" w:rsidRDefault="002139E4" w:rsidP="001A259A">
            <w:pPr>
              <w:spacing w:before="40" w:after="120"/>
              <w:ind w:right="113"/>
              <w:rPr>
                <w:sz w:val="20"/>
                <w:szCs w:val="20"/>
              </w:rPr>
            </w:pPr>
            <w:r w:rsidRPr="00D71694">
              <w:rPr>
                <w:sz w:val="20"/>
                <w:szCs w:val="20"/>
              </w:rPr>
              <w:t>Written statement submitted by African Green Foundation International, non-governmental organization in special consultative status</w:t>
            </w:r>
          </w:p>
        </w:tc>
      </w:tr>
      <w:tr w:rsidR="002139E4" w:rsidRPr="00CE032F" w14:paraId="01FD6C9B" w14:textId="77777777" w:rsidTr="001A259A">
        <w:trPr>
          <w:trHeight w:val="255"/>
        </w:trPr>
        <w:tc>
          <w:tcPr>
            <w:tcW w:w="2410" w:type="dxa"/>
            <w:shd w:val="clear" w:color="auto" w:fill="auto"/>
          </w:tcPr>
          <w:p w14:paraId="241DC51F" w14:textId="77777777" w:rsidR="002139E4" w:rsidRPr="00D71694" w:rsidRDefault="002139E4" w:rsidP="001A259A">
            <w:pPr>
              <w:spacing w:before="40" w:after="120"/>
              <w:ind w:right="113"/>
              <w:rPr>
                <w:sz w:val="20"/>
                <w:szCs w:val="20"/>
              </w:rPr>
            </w:pPr>
            <w:r w:rsidRPr="00D71694">
              <w:rPr>
                <w:sz w:val="20"/>
                <w:szCs w:val="20"/>
              </w:rPr>
              <w:t>A/HRC/40/NGO/111</w:t>
            </w:r>
          </w:p>
        </w:tc>
        <w:tc>
          <w:tcPr>
            <w:tcW w:w="1276" w:type="dxa"/>
            <w:shd w:val="clear" w:color="auto" w:fill="auto"/>
          </w:tcPr>
          <w:p w14:paraId="25200F34" w14:textId="77777777" w:rsidR="002139E4" w:rsidRDefault="002139E4" w:rsidP="001A259A">
            <w:pPr>
              <w:spacing w:before="40" w:after="120"/>
              <w:ind w:right="284"/>
              <w:jc w:val="right"/>
              <w:rPr>
                <w:sz w:val="20"/>
                <w:szCs w:val="20"/>
              </w:rPr>
            </w:pPr>
            <w:r>
              <w:rPr>
                <w:sz w:val="20"/>
                <w:szCs w:val="20"/>
              </w:rPr>
              <w:t>2</w:t>
            </w:r>
          </w:p>
        </w:tc>
        <w:tc>
          <w:tcPr>
            <w:tcW w:w="4252" w:type="dxa"/>
            <w:shd w:val="clear" w:color="auto" w:fill="auto"/>
            <w:vAlign w:val="center"/>
          </w:tcPr>
          <w:p w14:paraId="59F408AB" w14:textId="77777777" w:rsidR="002139E4" w:rsidRPr="00DF35F2" w:rsidRDefault="002139E4" w:rsidP="001A259A">
            <w:pPr>
              <w:spacing w:before="40" w:after="120"/>
              <w:ind w:right="113"/>
              <w:rPr>
                <w:sz w:val="20"/>
                <w:szCs w:val="20"/>
              </w:rPr>
            </w:pPr>
            <w:r w:rsidRPr="00D71694">
              <w:rPr>
                <w:sz w:val="20"/>
                <w:szCs w:val="20"/>
              </w:rPr>
              <w:t>Written statement submitted by African Green Foundation International, non-governmental organization in special consultative status</w:t>
            </w:r>
          </w:p>
        </w:tc>
      </w:tr>
      <w:tr w:rsidR="002139E4" w:rsidRPr="00CE032F" w14:paraId="2D05313B" w14:textId="77777777" w:rsidTr="001A259A">
        <w:trPr>
          <w:trHeight w:val="255"/>
        </w:trPr>
        <w:tc>
          <w:tcPr>
            <w:tcW w:w="2410" w:type="dxa"/>
            <w:shd w:val="clear" w:color="auto" w:fill="auto"/>
          </w:tcPr>
          <w:p w14:paraId="723C19AC" w14:textId="77777777" w:rsidR="002139E4" w:rsidRPr="00D71694" w:rsidRDefault="002139E4" w:rsidP="001A259A">
            <w:pPr>
              <w:spacing w:before="40" w:after="120"/>
              <w:ind w:right="113"/>
              <w:rPr>
                <w:sz w:val="20"/>
                <w:szCs w:val="20"/>
              </w:rPr>
            </w:pPr>
            <w:r w:rsidRPr="00D71694">
              <w:rPr>
                <w:sz w:val="20"/>
                <w:szCs w:val="20"/>
              </w:rPr>
              <w:t>A/HRC/40/NGO/112</w:t>
            </w:r>
          </w:p>
        </w:tc>
        <w:tc>
          <w:tcPr>
            <w:tcW w:w="1276" w:type="dxa"/>
            <w:shd w:val="clear" w:color="auto" w:fill="auto"/>
          </w:tcPr>
          <w:p w14:paraId="06B1D181" w14:textId="77777777" w:rsidR="002139E4" w:rsidRDefault="002139E4" w:rsidP="001A259A">
            <w:pPr>
              <w:spacing w:before="40" w:after="120"/>
              <w:ind w:right="284"/>
              <w:jc w:val="right"/>
              <w:rPr>
                <w:sz w:val="20"/>
                <w:szCs w:val="20"/>
              </w:rPr>
            </w:pPr>
            <w:r>
              <w:rPr>
                <w:sz w:val="20"/>
                <w:szCs w:val="20"/>
              </w:rPr>
              <w:t>2</w:t>
            </w:r>
          </w:p>
        </w:tc>
        <w:tc>
          <w:tcPr>
            <w:tcW w:w="4252" w:type="dxa"/>
            <w:shd w:val="clear" w:color="auto" w:fill="auto"/>
            <w:vAlign w:val="center"/>
          </w:tcPr>
          <w:p w14:paraId="6EBEE933" w14:textId="77777777" w:rsidR="002139E4" w:rsidRPr="00DF35F2" w:rsidRDefault="002139E4" w:rsidP="001A259A">
            <w:pPr>
              <w:spacing w:before="40" w:after="120"/>
              <w:ind w:right="113"/>
              <w:rPr>
                <w:sz w:val="20"/>
                <w:szCs w:val="20"/>
              </w:rPr>
            </w:pPr>
            <w:r w:rsidRPr="00D71694">
              <w:rPr>
                <w:sz w:val="20"/>
                <w:szCs w:val="20"/>
              </w:rPr>
              <w:t>Written statement submitted by African Green Foundation International, non-governmental organization in special consultative status</w:t>
            </w:r>
          </w:p>
        </w:tc>
      </w:tr>
      <w:tr w:rsidR="002139E4" w:rsidRPr="00CE032F" w14:paraId="27BCA3B5" w14:textId="77777777" w:rsidTr="001A259A">
        <w:trPr>
          <w:trHeight w:val="255"/>
        </w:trPr>
        <w:tc>
          <w:tcPr>
            <w:tcW w:w="2410" w:type="dxa"/>
            <w:shd w:val="clear" w:color="auto" w:fill="auto"/>
          </w:tcPr>
          <w:p w14:paraId="3B3E66E5" w14:textId="77777777" w:rsidR="002139E4" w:rsidRPr="00D71694" w:rsidRDefault="002139E4" w:rsidP="001A259A">
            <w:pPr>
              <w:spacing w:before="40" w:after="120"/>
              <w:ind w:right="113"/>
              <w:rPr>
                <w:sz w:val="20"/>
                <w:szCs w:val="20"/>
              </w:rPr>
            </w:pPr>
            <w:r w:rsidRPr="00D71694">
              <w:rPr>
                <w:sz w:val="20"/>
                <w:szCs w:val="20"/>
              </w:rPr>
              <w:t>A/HRC/40/NGO/113</w:t>
            </w:r>
          </w:p>
        </w:tc>
        <w:tc>
          <w:tcPr>
            <w:tcW w:w="1276" w:type="dxa"/>
            <w:shd w:val="clear" w:color="auto" w:fill="auto"/>
          </w:tcPr>
          <w:p w14:paraId="63FE3D73"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2B8851F3" w14:textId="77777777" w:rsidR="002139E4" w:rsidRPr="00DF35F2" w:rsidRDefault="002139E4" w:rsidP="001A259A">
            <w:pPr>
              <w:spacing w:before="40" w:after="120"/>
              <w:ind w:right="113"/>
              <w:rPr>
                <w:sz w:val="20"/>
                <w:szCs w:val="20"/>
              </w:rPr>
            </w:pPr>
            <w:r w:rsidRPr="00D71694">
              <w:rPr>
                <w:sz w:val="20"/>
                <w:szCs w:val="20"/>
              </w:rPr>
              <w:t>Exposición escrita presentada por el Auspice Stella, organización no gubernamental reconocida como entidad consultiva especial</w:t>
            </w:r>
          </w:p>
        </w:tc>
      </w:tr>
      <w:tr w:rsidR="002139E4" w:rsidRPr="00CE032F" w14:paraId="5CED6337" w14:textId="77777777" w:rsidTr="001A259A">
        <w:trPr>
          <w:trHeight w:val="255"/>
        </w:trPr>
        <w:tc>
          <w:tcPr>
            <w:tcW w:w="2410" w:type="dxa"/>
            <w:shd w:val="clear" w:color="auto" w:fill="auto"/>
          </w:tcPr>
          <w:p w14:paraId="0AE114B9" w14:textId="77777777" w:rsidR="002139E4" w:rsidRPr="00D71694" w:rsidRDefault="002139E4" w:rsidP="001A259A">
            <w:pPr>
              <w:spacing w:before="40" w:after="120"/>
              <w:ind w:right="113"/>
              <w:rPr>
                <w:sz w:val="20"/>
                <w:szCs w:val="20"/>
              </w:rPr>
            </w:pPr>
            <w:r w:rsidRPr="00D71694">
              <w:rPr>
                <w:sz w:val="20"/>
                <w:szCs w:val="20"/>
              </w:rPr>
              <w:t>A/HRC/40/NGO/114</w:t>
            </w:r>
          </w:p>
        </w:tc>
        <w:tc>
          <w:tcPr>
            <w:tcW w:w="1276" w:type="dxa"/>
            <w:shd w:val="clear" w:color="auto" w:fill="auto"/>
          </w:tcPr>
          <w:p w14:paraId="77E4B8FF"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1C9A0CE5" w14:textId="77777777" w:rsidR="002139E4" w:rsidRPr="00D71694" w:rsidRDefault="002139E4" w:rsidP="001A259A">
            <w:pPr>
              <w:spacing w:before="40" w:after="120"/>
              <w:ind w:right="113"/>
              <w:rPr>
                <w:sz w:val="20"/>
                <w:szCs w:val="20"/>
              </w:rPr>
            </w:pPr>
            <w:r w:rsidRPr="00D71694">
              <w:rPr>
                <w:sz w:val="20"/>
                <w:szCs w:val="20"/>
              </w:rPr>
              <w:t>Exposición escrita presentada por el Auspice Stella, organización no gubernamental reconocida como entidad consultiva especial</w:t>
            </w:r>
          </w:p>
        </w:tc>
      </w:tr>
      <w:tr w:rsidR="002139E4" w:rsidRPr="00CE032F" w14:paraId="5441A1D9" w14:textId="77777777" w:rsidTr="001A259A">
        <w:trPr>
          <w:trHeight w:val="255"/>
        </w:trPr>
        <w:tc>
          <w:tcPr>
            <w:tcW w:w="2410" w:type="dxa"/>
            <w:shd w:val="clear" w:color="auto" w:fill="auto"/>
          </w:tcPr>
          <w:p w14:paraId="1A040D66" w14:textId="77777777" w:rsidR="002139E4" w:rsidRPr="00D71694" w:rsidRDefault="002139E4" w:rsidP="001A259A">
            <w:pPr>
              <w:spacing w:before="40" w:after="120"/>
              <w:ind w:right="113"/>
              <w:rPr>
                <w:sz w:val="20"/>
                <w:szCs w:val="20"/>
              </w:rPr>
            </w:pPr>
            <w:r w:rsidRPr="001E1901">
              <w:rPr>
                <w:sz w:val="20"/>
                <w:szCs w:val="20"/>
              </w:rPr>
              <w:t>A/HRC/40/NGO/115</w:t>
            </w:r>
          </w:p>
        </w:tc>
        <w:tc>
          <w:tcPr>
            <w:tcW w:w="1276" w:type="dxa"/>
            <w:shd w:val="clear" w:color="auto" w:fill="auto"/>
          </w:tcPr>
          <w:p w14:paraId="2882C26B"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3B695DD6" w14:textId="77777777" w:rsidR="002139E4" w:rsidRPr="00D71694" w:rsidRDefault="002139E4" w:rsidP="001A259A">
            <w:pPr>
              <w:spacing w:before="40" w:after="120"/>
              <w:ind w:right="113"/>
              <w:rPr>
                <w:sz w:val="20"/>
                <w:szCs w:val="20"/>
              </w:rPr>
            </w:pPr>
            <w:r w:rsidRPr="001E1901">
              <w:rPr>
                <w:sz w:val="20"/>
                <w:szCs w:val="20"/>
              </w:rPr>
              <w:t>Joint written statement submitted by Graduate Women International (GWI), Canadian Federation of University Women, Women Graduates - USA, Inc., non-governmental organizations in special consultative status</w:t>
            </w:r>
          </w:p>
        </w:tc>
      </w:tr>
      <w:tr w:rsidR="002139E4" w:rsidRPr="00CE032F" w14:paraId="35B13D0A" w14:textId="77777777" w:rsidTr="001A259A">
        <w:trPr>
          <w:trHeight w:val="255"/>
        </w:trPr>
        <w:tc>
          <w:tcPr>
            <w:tcW w:w="2410" w:type="dxa"/>
            <w:shd w:val="clear" w:color="auto" w:fill="auto"/>
          </w:tcPr>
          <w:p w14:paraId="74EAEA21" w14:textId="77777777" w:rsidR="002139E4" w:rsidRPr="00D71694" w:rsidRDefault="002139E4" w:rsidP="001A259A">
            <w:pPr>
              <w:spacing w:before="40" w:after="120"/>
              <w:ind w:right="113"/>
              <w:rPr>
                <w:sz w:val="20"/>
                <w:szCs w:val="20"/>
              </w:rPr>
            </w:pPr>
            <w:r w:rsidRPr="001E1901">
              <w:rPr>
                <w:sz w:val="20"/>
                <w:szCs w:val="20"/>
              </w:rPr>
              <w:t>A/HRC/40/NGO/116</w:t>
            </w:r>
          </w:p>
        </w:tc>
        <w:tc>
          <w:tcPr>
            <w:tcW w:w="1276" w:type="dxa"/>
            <w:shd w:val="clear" w:color="auto" w:fill="auto"/>
          </w:tcPr>
          <w:p w14:paraId="7324EE32"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6AD2D7E4" w14:textId="77777777" w:rsidR="002139E4" w:rsidRPr="00D71694" w:rsidRDefault="002139E4" w:rsidP="001A259A">
            <w:pPr>
              <w:spacing w:before="40" w:after="120"/>
              <w:ind w:right="113"/>
              <w:rPr>
                <w:sz w:val="20"/>
                <w:szCs w:val="20"/>
              </w:rPr>
            </w:pPr>
            <w:r w:rsidRPr="001E1901">
              <w:rPr>
                <w:sz w:val="20"/>
                <w:szCs w:val="20"/>
              </w:rPr>
              <w:t>Written statement submitted by Maat for Peace, Development and Human Rights Association, a non-governmental organization in special consultative status</w:t>
            </w:r>
          </w:p>
        </w:tc>
      </w:tr>
      <w:tr w:rsidR="002139E4" w:rsidRPr="00CE032F" w14:paraId="3628CEE5" w14:textId="77777777" w:rsidTr="001A259A">
        <w:trPr>
          <w:trHeight w:val="255"/>
        </w:trPr>
        <w:tc>
          <w:tcPr>
            <w:tcW w:w="2410" w:type="dxa"/>
            <w:shd w:val="clear" w:color="auto" w:fill="auto"/>
          </w:tcPr>
          <w:p w14:paraId="6B7F822B" w14:textId="77777777" w:rsidR="002139E4" w:rsidRPr="00296342" w:rsidRDefault="002139E4" w:rsidP="001A259A">
            <w:pPr>
              <w:spacing w:before="40" w:after="120"/>
              <w:ind w:right="113"/>
              <w:rPr>
                <w:sz w:val="20"/>
                <w:szCs w:val="20"/>
                <w:lang w:val="en-GB"/>
              </w:rPr>
            </w:pPr>
            <w:r w:rsidRPr="00296342">
              <w:rPr>
                <w:sz w:val="20"/>
                <w:szCs w:val="20"/>
                <w:lang w:val="en-GB"/>
              </w:rPr>
              <w:t>A/HRC/40/NGO/117</w:t>
            </w:r>
          </w:p>
        </w:tc>
        <w:tc>
          <w:tcPr>
            <w:tcW w:w="1276" w:type="dxa"/>
            <w:shd w:val="clear" w:color="auto" w:fill="auto"/>
          </w:tcPr>
          <w:p w14:paraId="15B1AE26"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5C72AB77" w14:textId="77777777" w:rsidR="002139E4" w:rsidRPr="00D71694" w:rsidRDefault="002139E4" w:rsidP="001A259A">
            <w:pPr>
              <w:spacing w:before="40" w:after="120"/>
              <w:ind w:right="113"/>
              <w:rPr>
                <w:sz w:val="20"/>
                <w:szCs w:val="20"/>
              </w:rPr>
            </w:pPr>
            <w:r w:rsidRPr="00296342">
              <w:rPr>
                <w:sz w:val="20"/>
                <w:szCs w:val="20"/>
              </w:rPr>
              <w:t>Written statement submitted by Associazione Comunita Papa Giovanni XXIII, a non-governmental organization in special consultative status</w:t>
            </w:r>
          </w:p>
        </w:tc>
      </w:tr>
      <w:tr w:rsidR="002139E4" w:rsidRPr="00CE032F" w14:paraId="06B70A75" w14:textId="77777777" w:rsidTr="001A259A">
        <w:trPr>
          <w:trHeight w:val="255"/>
        </w:trPr>
        <w:tc>
          <w:tcPr>
            <w:tcW w:w="2410" w:type="dxa"/>
            <w:shd w:val="clear" w:color="auto" w:fill="auto"/>
          </w:tcPr>
          <w:p w14:paraId="5695F8CA" w14:textId="77777777" w:rsidR="002139E4" w:rsidRPr="00D71694" w:rsidRDefault="002139E4" w:rsidP="001A259A">
            <w:pPr>
              <w:spacing w:before="40" w:after="120"/>
              <w:ind w:right="113"/>
              <w:rPr>
                <w:sz w:val="20"/>
                <w:szCs w:val="20"/>
              </w:rPr>
            </w:pPr>
            <w:r w:rsidRPr="00296342">
              <w:rPr>
                <w:sz w:val="20"/>
                <w:szCs w:val="20"/>
              </w:rPr>
              <w:t>A/HRC/40/NGO/118</w:t>
            </w:r>
          </w:p>
        </w:tc>
        <w:tc>
          <w:tcPr>
            <w:tcW w:w="1276" w:type="dxa"/>
            <w:shd w:val="clear" w:color="auto" w:fill="auto"/>
          </w:tcPr>
          <w:p w14:paraId="52762FCE"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1B14C42F" w14:textId="77777777" w:rsidR="002139E4" w:rsidRPr="00D71694" w:rsidRDefault="002139E4" w:rsidP="001A259A">
            <w:pPr>
              <w:spacing w:before="40" w:after="120"/>
              <w:ind w:right="113"/>
              <w:rPr>
                <w:sz w:val="20"/>
                <w:szCs w:val="20"/>
              </w:rPr>
            </w:pPr>
            <w:r w:rsidRPr="00296342">
              <w:rPr>
                <w:sz w:val="20"/>
                <w:szCs w:val="20"/>
              </w:rPr>
              <w:t>Written statement submitted by Associazione Comunita Papa Giovanni XXIII, a non-governmental organization in special consultative status</w:t>
            </w:r>
          </w:p>
        </w:tc>
      </w:tr>
      <w:tr w:rsidR="002139E4" w:rsidRPr="00CE032F" w14:paraId="49D36D85" w14:textId="77777777" w:rsidTr="001A259A">
        <w:trPr>
          <w:trHeight w:val="255"/>
        </w:trPr>
        <w:tc>
          <w:tcPr>
            <w:tcW w:w="2410" w:type="dxa"/>
            <w:shd w:val="clear" w:color="auto" w:fill="auto"/>
          </w:tcPr>
          <w:p w14:paraId="3718D3A4" w14:textId="77777777" w:rsidR="002139E4" w:rsidRPr="00D71694" w:rsidRDefault="002139E4" w:rsidP="001A259A">
            <w:pPr>
              <w:spacing w:before="40" w:after="120"/>
              <w:ind w:right="113"/>
              <w:rPr>
                <w:sz w:val="20"/>
                <w:szCs w:val="20"/>
              </w:rPr>
            </w:pPr>
            <w:r w:rsidRPr="00296342">
              <w:rPr>
                <w:sz w:val="20"/>
                <w:szCs w:val="20"/>
              </w:rPr>
              <w:t>A/HRC/40/NGO/119</w:t>
            </w:r>
          </w:p>
        </w:tc>
        <w:tc>
          <w:tcPr>
            <w:tcW w:w="1276" w:type="dxa"/>
            <w:shd w:val="clear" w:color="auto" w:fill="auto"/>
          </w:tcPr>
          <w:p w14:paraId="4E7C09B4" w14:textId="77777777" w:rsidR="002139E4" w:rsidRDefault="002139E4" w:rsidP="001A259A">
            <w:pPr>
              <w:spacing w:before="40" w:after="120"/>
              <w:ind w:right="284"/>
              <w:jc w:val="right"/>
              <w:rPr>
                <w:sz w:val="20"/>
                <w:szCs w:val="20"/>
              </w:rPr>
            </w:pPr>
            <w:r>
              <w:rPr>
                <w:sz w:val="20"/>
                <w:szCs w:val="20"/>
              </w:rPr>
              <w:t>5</w:t>
            </w:r>
          </w:p>
        </w:tc>
        <w:tc>
          <w:tcPr>
            <w:tcW w:w="4252" w:type="dxa"/>
            <w:shd w:val="clear" w:color="auto" w:fill="auto"/>
            <w:vAlign w:val="center"/>
          </w:tcPr>
          <w:p w14:paraId="078D110A" w14:textId="77777777" w:rsidR="002139E4" w:rsidRPr="00D71694" w:rsidRDefault="002139E4" w:rsidP="001A259A">
            <w:pPr>
              <w:spacing w:before="40" w:after="120"/>
              <w:ind w:right="113"/>
              <w:rPr>
                <w:sz w:val="20"/>
                <w:szCs w:val="20"/>
              </w:rPr>
            </w:pPr>
            <w:r w:rsidRPr="00296342">
              <w:rPr>
                <w:sz w:val="20"/>
                <w:szCs w:val="20"/>
              </w:rPr>
              <w:t>Written statement submitted by Associazione Comunita Papa Giovanni XXIII, a non-governmental organization in special consultative status</w:t>
            </w:r>
          </w:p>
        </w:tc>
      </w:tr>
      <w:tr w:rsidR="002139E4" w:rsidRPr="00CE032F" w14:paraId="4587A09B" w14:textId="77777777" w:rsidTr="001A259A">
        <w:trPr>
          <w:trHeight w:val="255"/>
        </w:trPr>
        <w:tc>
          <w:tcPr>
            <w:tcW w:w="2410" w:type="dxa"/>
            <w:shd w:val="clear" w:color="auto" w:fill="auto"/>
          </w:tcPr>
          <w:p w14:paraId="4F1D6CB2" w14:textId="77777777" w:rsidR="002139E4" w:rsidRPr="00D71694" w:rsidRDefault="002139E4" w:rsidP="001A259A">
            <w:pPr>
              <w:spacing w:before="40" w:after="120"/>
              <w:ind w:right="113"/>
              <w:rPr>
                <w:sz w:val="20"/>
                <w:szCs w:val="20"/>
              </w:rPr>
            </w:pPr>
            <w:r w:rsidRPr="00296342">
              <w:rPr>
                <w:sz w:val="20"/>
                <w:szCs w:val="20"/>
              </w:rPr>
              <w:lastRenderedPageBreak/>
              <w:t>A/HRC/40/NGO/120</w:t>
            </w:r>
          </w:p>
        </w:tc>
        <w:tc>
          <w:tcPr>
            <w:tcW w:w="1276" w:type="dxa"/>
            <w:shd w:val="clear" w:color="auto" w:fill="auto"/>
          </w:tcPr>
          <w:p w14:paraId="36DFB94A" w14:textId="77777777" w:rsidR="002139E4" w:rsidRDefault="002139E4" w:rsidP="001A259A">
            <w:pPr>
              <w:spacing w:before="40" w:after="120"/>
              <w:ind w:right="284"/>
              <w:jc w:val="right"/>
              <w:rPr>
                <w:sz w:val="20"/>
                <w:szCs w:val="20"/>
              </w:rPr>
            </w:pPr>
            <w:r>
              <w:rPr>
                <w:sz w:val="20"/>
                <w:szCs w:val="20"/>
              </w:rPr>
              <w:t>2</w:t>
            </w:r>
          </w:p>
        </w:tc>
        <w:tc>
          <w:tcPr>
            <w:tcW w:w="4252" w:type="dxa"/>
            <w:shd w:val="clear" w:color="auto" w:fill="auto"/>
            <w:vAlign w:val="center"/>
          </w:tcPr>
          <w:p w14:paraId="3FD41071" w14:textId="77777777" w:rsidR="002139E4" w:rsidRPr="00D71694" w:rsidRDefault="002139E4" w:rsidP="001A259A">
            <w:pPr>
              <w:spacing w:before="40" w:after="120"/>
              <w:ind w:right="113"/>
              <w:rPr>
                <w:sz w:val="20"/>
                <w:szCs w:val="20"/>
              </w:rPr>
            </w:pPr>
            <w:r w:rsidRPr="00296342">
              <w:rPr>
                <w:sz w:val="20"/>
                <w:szCs w:val="20"/>
              </w:rPr>
              <w:t>Written statement submitted by Associazione Comunita Papa Giovanni XXIII, a non-governmental organization in special consultative status</w:t>
            </w:r>
          </w:p>
        </w:tc>
      </w:tr>
      <w:tr w:rsidR="002139E4" w:rsidRPr="00CE032F" w14:paraId="0BC283EC" w14:textId="77777777" w:rsidTr="001A259A">
        <w:trPr>
          <w:trHeight w:val="255"/>
        </w:trPr>
        <w:tc>
          <w:tcPr>
            <w:tcW w:w="2410" w:type="dxa"/>
            <w:shd w:val="clear" w:color="auto" w:fill="auto"/>
          </w:tcPr>
          <w:p w14:paraId="7F29472D" w14:textId="77777777" w:rsidR="002139E4" w:rsidRPr="00D71694" w:rsidRDefault="002139E4" w:rsidP="001A259A">
            <w:pPr>
              <w:spacing w:before="40" w:after="120"/>
              <w:ind w:right="113"/>
              <w:rPr>
                <w:sz w:val="20"/>
                <w:szCs w:val="20"/>
              </w:rPr>
            </w:pPr>
            <w:r w:rsidRPr="00296342">
              <w:rPr>
                <w:sz w:val="20"/>
                <w:szCs w:val="20"/>
              </w:rPr>
              <w:t>A/HRC/40/NGO/121</w:t>
            </w:r>
          </w:p>
        </w:tc>
        <w:tc>
          <w:tcPr>
            <w:tcW w:w="1276" w:type="dxa"/>
            <w:shd w:val="clear" w:color="auto" w:fill="auto"/>
          </w:tcPr>
          <w:p w14:paraId="6D9C86A0"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28E59CF1" w14:textId="77777777" w:rsidR="002139E4" w:rsidRPr="00D71694" w:rsidRDefault="002139E4" w:rsidP="001A259A">
            <w:pPr>
              <w:spacing w:before="40" w:after="120"/>
              <w:ind w:right="113"/>
              <w:rPr>
                <w:sz w:val="20"/>
                <w:szCs w:val="20"/>
              </w:rPr>
            </w:pPr>
            <w:r w:rsidRPr="00296342">
              <w:rPr>
                <w:sz w:val="20"/>
                <w:szCs w:val="20"/>
              </w:rPr>
              <w:t>Written statement submitted by Society for Threatened Peoples, a non-governmental organization in special consultative status</w:t>
            </w:r>
          </w:p>
        </w:tc>
      </w:tr>
      <w:tr w:rsidR="002139E4" w:rsidRPr="00CE032F" w14:paraId="2897985D" w14:textId="77777777" w:rsidTr="001A259A">
        <w:trPr>
          <w:trHeight w:val="255"/>
        </w:trPr>
        <w:tc>
          <w:tcPr>
            <w:tcW w:w="2410" w:type="dxa"/>
            <w:shd w:val="clear" w:color="auto" w:fill="auto"/>
          </w:tcPr>
          <w:p w14:paraId="404BBB51" w14:textId="77777777" w:rsidR="002139E4" w:rsidRPr="00D71694" w:rsidRDefault="002139E4" w:rsidP="001A259A">
            <w:pPr>
              <w:spacing w:before="40" w:after="120"/>
              <w:ind w:right="113"/>
              <w:rPr>
                <w:sz w:val="20"/>
                <w:szCs w:val="20"/>
              </w:rPr>
            </w:pPr>
            <w:r w:rsidRPr="00296342">
              <w:rPr>
                <w:sz w:val="20"/>
                <w:szCs w:val="20"/>
              </w:rPr>
              <w:t>A/HRC/40/NGO/122</w:t>
            </w:r>
          </w:p>
        </w:tc>
        <w:tc>
          <w:tcPr>
            <w:tcW w:w="1276" w:type="dxa"/>
            <w:shd w:val="clear" w:color="auto" w:fill="auto"/>
          </w:tcPr>
          <w:p w14:paraId="345DF050" w14:textId="77777777" w:rsidR="002139E4" w:rsidRDefault="002139E4" w:rsidP="001A259A">
            <w:pPr>
              <w:spacing w:before="40" w:after="120"/>
              <w:ind w:right="284"/>
              <w:jc w:val="right"/>
              <w:rPr>
                <w:sz w:val="20"/>
                <w:szCs w:val="20"/>
              </w:rPr>
            </w:pPr>
            <w:r>
              <w:rPr>
                <w:sz w:val="20"/>
                <w:szCs w:val="20"/>
              </w:rPr>
              <w:t>1</w:t>
            </w:r>
          </w:p>
        </w:tc>
        <w:tc>
          <w:tcPr>
            <w:tcW w:w="4252" w:type="dxa"/>
            <w:shd w:val="clear" w:color="auto" w:fill="auto"/>
            <w:vAlign w:val="center"/>
          </w:tcPr>
          <w:p w14:paraId="12D8F765" w14:textId="77777777" w:rsidR="002139E4" w:rsidRPr="00D71694" w:rsidRDefault="002139E4" w:rsidP="001A259A">
            <w:pPr>
              <w:spacing w:before="40" w:after="120"/>
              <w:ind w:right="113"/>
              <w:rPr>
                <w:sz w:val="20"/>
                <w:szCs w:val="20"/>
              </w:rPr>
            </w:pPr>
            <w:r w:rsidRPr="00296342">
              <w:rPr>
                <w:sz w:val="20"/>
                <w:szCs w:val="20"/>
              </w:rPr>
              <w:t>Written statement submitted by Associazione Comunita Papa Giovanni XXIII, a non-governmental organization in special consultative status</w:t>
            </w:r>
          </w:p>
        </w:tc>
      </w:tr>
      <w:tr w:rsidR="002139E4" w:rsidRPr="00CE032F" w14:paraId="7EAAE339" w14:textId="77777777" w:rsidTr="001A259A">
        <w:trPr>
          <w:trHeight w:val="255"/>
        </w:trPr>
        <w:tc>
          <w:tcPr>
            <w:tcW w:w="2410" w:type="dxa"/>
            <w:shd w:val="clear" w:color="auto" w:fill="auto"/>
          </w:tcPr>
          <w:p w14:paraId="5ABCE3E0" w14:textId="77777777" w:rsidR="002139E4" w:rsidRPr="00D71694" w:rsidRDefault="002139E4" w:rsidP="001A259A">
            <w:pPr>
              <w:spacing w:before="40" w:after="120"/>
              <w:ind w:right="113"/>
              <w:rPr>
                <w:sz w:val="20"/>
                <w:szCs w:val="20"/>
              </w:rPr>
            </w:pPr>
            <w:r w:rsidRPr="00296342">
              <w:rPr>
                <w:sz w:val="20"/>
                <w:szCs w:val="20"/>
              </w:rPr>
              <w:t>A/HRC/40/NGO/123</w:t>
            </w:r>
          </w:p>
        </w:tc>
        <w:tc>
          <w:tcPr>
            <w:tcW w:w="1276" w:type="dxa"/>
            <w:shd w:val="clear" w:color="auto" w:fill="auto"/>
          </w:tcPr>
          <w:p w14:paraId="1B7EFC24"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719BBCE7" w14:textId="77777777" w:rsidR="002139E4" w:rsidRPr="00DF35F2" w:rsidRDefault="002139E4" w:rsidP="001A259A">
            <w:pPr>
              <w:spacing w:before="40" w:after="120"/>
              <w:ind w:right="113"/>
              <w:rPr>
                <w:sz w:val="20"/>
                <w:szCs w:val="20"/>
              </w:rPr>
            </w:pPr>
            <w:r w:rsidRPr="00296342">
              <w:rPr>
                <w:sz w:val="20"/>
                <w:szCs w:val="20"/>
              </w:rPr>
              <w:t>Written statement submitted by Society for Threatened Peoples, a non-governmental organization in special consultative status</w:t>
            </w:r>
          </w:p>
        </w:tc>
      </w:tr>
      <w:tr w:rsidR="002139E4" w:rsidRPr="00CE032F" w14:paraId="19381F07" w14:textId="77777777" w:rsidTr="001A259A">
        <w:trPr>
          <w:trHeight w:val="255"/>
        </w:trPr>
        <w:tc>
          <w:tcPr>
            <w:tcW w:w="2410" w:type="dxa"/>
            <w:shd w:val="clear" w:color="auto" w:fill="auto"/>
          </w:tcPr>
          <w:p w14:paraId="7CDC04E7" w14:textId="77777777" w:rsidR="002139E4" w:rsidRPr="00296342" w:rsidRDefault="002139E4" w:rsidP="001A259A">
            <w:pPr>
              <w:spacing w:before="40" w:after="120"/>
              <w:ind w:right="113"/>
              <w:rPr>
                <w:sz w:val="20"/>
                <w:szCs w:val="20"/>
              </w:rPr>
            </w:pPr>
            <w:r w:rsidRPr="00296342">
              <w:rPr>
                <w:sz w:val="20"/>
                <w:szCs w:val="20"/>
              </w:rPr>
              <w:t>A/HRC/40/NGO/124</w:t>
            </w:r>
          </w:p>
        </w:tc>
        <w:tc>
          <w:tcPr>
            <w:tcW w:w="1276" w:type="dxa"/>
            <w:shd w:val="clear" w:color="auto" w:fill="auto"/>
          </w:tcPr>
          <w:p w14:paraId="1FB51438" w14:textId="77777777" w:rsidR="002139E4" w:rsidRDefault="002139E4" w:rsidP="001A259A">
            <w:pPr>
              <w:spacing w:before="40" w:after="120"/>
              <w:ind w:right="284"/>
              <w:jc w:val="right"/>
              <w:rPr>
                <w:sz w:val="20"/>
                <w:szCs w:val="20"/>
              </w:rPr>
            </w:pPr>
            <w:r>
              <w:rPr>
                <w:sz w:val="20"/>
                <w:szCs w:val="20"/>
              </w:rPr>
              <w:t>2</w:t>
            </w:r>
          </w:p>
        </w:tc>
        <w:tc>
          <w:tcPr>
            <w:tcW w:w="4252" w:type="dxa"/>
            <w:shd w:val="clear" w:color="auto" w:fill="auto"/>
            <w:vAlign w:val="center"/>
          </w:tcPr>
          <w:p w14:paraId="00D57D64" w14:textId="77777777" w:rsidR="002139E4" w:rsidRPr="00296342" w:rsidRDefault="002139E4" w:rsidP="001A259A">
            <w:pPr>
              <w:spacing w:before="40" w:after="120"/>
              <w:ind w:right="113"/>
              <w:rPr>
                <w:sz w:val="20"/>
                <w:szCs w:val="20"/>
              </w:rPr>
            </w:pPr>
            <w:r w:rsidRPr="00296342">
              <w:rPr>
                <w:sz w:val="20"/>
                <w:szCs w:val="20"/>
              </w:rPr>
              <w:t>Written statement submitted by Maat for Peace, Development and Human Rights Association, a non-governmental organization in special consultative status</w:t>
            </w:r>
          </w:p>
        </w:tc>
      </w:tr>
      <w:tr w:rsidR="002139E4" w:rsidRPr="00CE032F" w14:paraId="5F39C2C2" w14:textId="77777777" w:rsidTr="001A259A">
        <w:trPr>
          <w:trHeight w:val="255"/>
        </w:trPr>
        <w:tc>
          <w:tcPr>
            <w:tcW w:w="2410" w:type="dxa"/>
            <w:shd w:val="clear" w:color="auto" w:fill="auto"/>
          </w:tcPr>
          <w:p w14:paraId="190AFDC7"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125</w:t>
            </w:r>
          </w:p>
        </w:tc>
        <w:tc>
          <w:tcPr>
            <w:tcW w:w="1276" w:type="dxa"/>
            <w:shd w:val="clear" w:color="auto" w:fill="auto"/>
          </w:tcPr>
          <w:p w14:paraId="55B67D0B"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54E7E49A" w14:textId="77777777" w:rsidR="002139E4" w:rsidRPr="00296342" w:rsidRDefault="002139E4" w:rsidP="001A259A">
            <w:pPr>
              <w:spacing w:before="40" w:after="120"/>
              <w:ind w:right="113"/>
              <w:rPr>
                <w:sz w:val="20"/>
                <w:szCs w:val="20"/>
              </w:rPr>
            </w:pPr>
            <w:r>
              <w:rPr>
                <w:sz w:val="20"/>
                <w:szCs w:val="20"/>
              </w:rPr>
              <w:t>Written statement</w:t>
            </w:r>
            <w:r w:rsidRPr="00CE6FC9">
              <w:rPr>
                <w:sz w:val="20"/>
                <w:szCs w:val="20"/>
              </w:rPr>
              <w:t xml:space="preserve"> submitted by Child Rights Connect, a non-governmental organization in special consultative status</w:t>
            </w:r>
          </w:p>
        </w:tc>
      </w:tr>
      <w:tr w:rsidR="002139E4" w:rsidRPr="00CE032F" w14:paraId="673E5297" w14:textId="77777777" w:rsidTr="001A259A">
        <w:trPr>
          <w:trHeight w:val="255"/>
        </w:trPr>
        <w:tc>
          <w:tcPr>
            <w:tcW w:w="2410" w:type="dxa"/>
            <w:shd w:val="clear" w:color="auto" w:fill="auto"/>
          </w:tcPr>
          <w:p w14:paraId="45F16C03"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126</w:t>
            </w:r>
          </w:p>
        </w:tc>
        <w:tc>
          <w:tcPr>
            <w:tcW w:w="1276" w:type="dxa"/>
            <w:shd w:val="clear" w:color="auto" w:fill="auto"/>
          </w:tcPr>
          <w:p w14:paraId="59C97945"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213E1F2A" w14:textId="77777777" w:rsidR="002139E4" w:rsidRPr="00296342" w:rsidRDefault="002139E4" w:rsidP="001A259A">
            <w:pPr>
              <w:spacing w:before="40" w:after="120"/>
              <w:ind w:right="113"/>
              <w:rPr>
                <w:sz w:val="20"/>
                <w:szCs w:val="20"/>
              </w:rPr>
            </w:pPr>
            <w:r w:rsidRPr="000115F1">
              <w:rPr>
                <w:sz w:val="20"/>
                <w:szCs w:val="20"/>
              </w:rPr>
              <w:t>Written statement submitted by Maarij Foundation for Peace and Development, a non-governmental organization in special consultative status</w:t>
            </w:r>
          </w:p>
        </w:tc>
      </w:tr>
      <w:tr w:rsidR="002139E4" w:rsidRPr="00CE032F" w14:paraId="7F77E747" w14:textId="77777777" w:rsidTr="001A259A">
        <w:trPr>
          <w:trHeight w:val="255"/>
        </w:trPr>
        <w:tc>
          <w:tcPr>
            <w:tcW w:w="2410" w:type="dxa"/>
            <w:shd w:val="clear" w:color="auto" w:fill="auto"/>
          </w:tcPr>
          <w:p w14:paraId="5CF35DDE"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127</w:t>
            </w:r>
          </w:p>
        </w:tc>
        <w:tc>
          <w:tcPr>
            <w:tcW w:w="1276" w:type="dxa"/>
            <w:shd w:val="clear" w:color="auto" w:fill="auto"/>
          </w:tcPr>
          <w:p w14:paraId="7F6506E1"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61C5E1E5" w14:textId="77777777" w:rsidR="002139E4" w:rsidRPr="00296342" w:rsidRDefault="002139E4" w:rsidP="001A259A">
            <w:pPr>
              <w:spacing w:before="40" w:after="120"/>
              <w:ind w:right="113"/>
              <w:rPr>
                <w:sz w:val="20"/>
                <w:szCs w:val="20"/>
              </w:rPr>
            </w:pPr>
            <w:r w:rsidRPr="00521171">
              <w:rPr>
                <w:sz w:val="20"/>
                <w:szCs w:val="20"/>
              </w:rPr>
              <w:t>Written statement submitted by Maat for Peace, Development and Human Rights Association, a non-governmental organization in special consultative status</w:t>
            </w:r>
          </w:p>
        </w:tc>
      </w:tr>
      <w:tr w:rsidR="002139E4" w:rsidRPr="00CE032F" w14:paraId="724B8B89" w14:textId="77777777" w:rsidTr="001A259A">
        <w:trPr>
          <w:trHeight w:val="255"/>
        </w:trPr>
        <w:tc>
          <w:tcPr>
            <w:tcW w:w="2410" w:type="dxa"/>
            <w:shd w:val="clear" w:color="auto" w:fill="auto"/>
          </w:tcPr>
          <w:p w14:paraId="35F08DDF"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128</w:t>
            </w:r>
          </w:p>
        </w:tc>
        <w:tc>
          <w:tcPr>
            <w:tcW w:w="1276" w:type="dxa"/>
            <w:shd w:val="clear" w:color="auto" w:fill="auto"/>
          </w:tcPr>
          <w:p w14:paraId="687F803F"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7E67E1BA" w14:textId="77777777" w:rsidR="002139E4" w:rsidRPr="00296342" w:rsidRDefault="002139E4" w:rsidP="001A259A">
            <w:pPr>
              <w:spacing w:before="40" w:after="120"/>
              <w:ind w:right="113"/>
              <w:rPr>
                <w:sz w:val="20"/>
                <w:szCs w:val="20"/>
              </w:rPr>
            </w:pPr>
            <w:r w:rsidRPr="00521171">
              <w:rPr>
                <w:sz w:val="20"/>
                <w:szCs w:val="20"/>
              </w:rPr>
              <w:t>Written statement submitted by Conseil International pour le soutien à des procès équitables et aux Droits de l</w:t>
            </w:r>
            <w:r>
              <w:rPr>
                <w:sz w:val="20"/>
                <w:szCs w:val="20"/>
              </w:rPr>
              <w:t>’</w:t>
            </w:r>
            <w:r w:rsidRPr="00521171">
              <w:rPr>
                <w:sz w:val="20"/>
                <w:szCs w:val="20"/>
              </w:rPr>
              <w:t>Homme, a non-governmental organization in special consultative status</w:t>
            </w:r>
          </w:p>
        </w:tc>
      </w:tr>
      <w:tr w:rsidR="002139E4" w:rsidRPr="00CE032F" w14:paraId="64F43192" w14:textId="77777777" w:rsidTr="001A259A">
        <w:trPr>
          <w:trHeight w:val="255"/>
        </w:trPr>
        <w:tc>
          <w:tcPr>
            <w:tcW w:w="2410" w:type="dxa"/>
            <w:shd w:val="clear" w:color="auto" w:fill="auto"/>
          </w:tcPr>
          <w:p w14:paraId="5735076C"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129</w:t>
            </w:r>
          </w:p>
        </w:tc>
        <w:tc>
          <w:tcPr>
            <w:tcW w:w="1276" w:type="dxa"/>
            <w:shd w:val="clear" w:color="auto" w:fill="auto"/>
          </w:tcPr>
          <w:p w14:paraId="286A8F6E"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1B0D3698" w14:textId="77777777" w:rsidR="002139E4" w:rsidRPr="00296342" w:rsidRDefault="002139E4" w:rsidP="001A259A">
            <w:pPr>
              <w:spacing w:before="40" w:after="120"/>
              <w:ind w:right="113"/>
              <w:rPr>
                <w:sz w:val="20"/>
                <w:szCs w:val="20"/>
              </w:rPr>
            </w:pPr>
            <w:r w:rsidRPr="00521171">
              <w:rPr>
                <w:sz w:val="20"/>
                <w:szCs w:val="20"/>
              </w:rPr>
              <w:t>Written statement submitted by Christian Solidarity Worldwide, a non-governmental organization in special consultative status</w:t>
            </w:r>
          </w:p>
        </w:tc>
      </w:tr>
      <w:tr w:rsidR="002139E4" w:rsidRPr="00CE032F" w14:paraId="79636486" w14:textId="77777777" w:rsidTr="001A259A">
        <w:trPr>
          <w:trHeight w:val="255"/>
        </w:trPr>
        <w:tc>
          <w:tcPr>
            <w:tcW w:w="2410" w:type="dxa"/>
            <w:shd w:val="clear" w:color="auto" w:fill="auto"/>
          </w:tcPr>
          <w:p w14:paraId="071E8B67"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130</w:t>
            </w:r>
          </w:p>
        </w:tc>
        <w:tc>
          <w:tcPr>
            <w:tcW w:w="1276" w:type="dxa"/>
            <w:shd w:val="clear" w:color="auto" w:fill="auto"/>
          </w:tcPr>
          <w:p w14:paraId="39D6AE55" w14:textId="77777777" w:rsidR="002139E4" w:rsidRDefault="002139E4" w:rsidP="001A259A">
            <w:pPr>
              <w:spacing w:before="40" w:after="120"/>
              <w:ind w:right="284"/>
              <w:jc w:val="right"/>
              <w:rPr>
                <w:sz w:val="20"/>
                <w:szCs w:val="20"/>
              </w:rPr>
            </w:pPr>
            <w:r>
              <w:rPr>
                <w:sz w:val="20"/>
                <w:szCs w:val="20"/>
              </w:rPr>
              <w:t>2</w:t>
            </w:r>
          </w:p>
        </w:tc>
        <w:tc>
          <w:tcPr>
            <w:tcW w:w="4252" w:type="dxa"/>
            <w:shd w:val="clear" w:color="auto" w:fill="auto"/>
            <w:vAlign w:val="center"/>
          </w:tcPr>
          <w:p w14:paraId="7BEACA64" w14:textId="77777777" w:rsidR="002139E4" w:rsidRPr="00296342" w:rsidRDefault="002139E4" w:rsidP="001A259A">
            <w:pPr>
              <w:spacing w:before="40" w:after="120"/>
              <w:ind w:right="113"/>
              <w:rPr>
                <w:sz w:val="20"/>
                <w:szCs w:val="20"/>
              </w:rPr>
            </w:pPr>
            <w:r w:rsidRPr="00521171">
              <w:rPr>
                <w:sz w:val="20"/>
                <w:szCs w:val="20"/>
              </w:rPr>
              <w:t>Written statement submitted by the Society for Threatened Peoples, a non-governmental organization in special consultative status</w:t>
            </w:r>
          </w:p>
        </w:tc>
      </w:tr>
      <w:tr w:rsidR="002139E4" w:rsidRPr="00CE032F" w14:paraId="0E561B37" w14:textId="77777777" w:rsidTr="001A259A">
        <w:trPr>
          <w:trHeight w:val="255"/>
        </w:trPr>
        <w:tc>
          <w:tcPr>
            <w:tcW w:w="2410" w:type="dxa"/>
            <w:shd w:val="clear" w:color="auto" w:fill="auto"/>
          </w:tcPr>
          <w:p w14:paraId="75144ECE"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131</w:t>
            </w:r>
          </w:p>
        </w:tc>
        <w:tc>
          <w:tcPr>
            <w:tcW w:w="1276" w:type="dxa"/>
            <w:shd w:val="clear" w:color="auto" w:fill="auto"/>
          </w:tcPr>
          <w:p w14:paraId="272024DB"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1732AE51" w14:textId="77777777" w:rsidR="002139E4" w:rsidRPr="00296342" w:rsidRDefault="002139E4" w:rsidP="001A259A">
            <w:pPr>
              <w:spacing w:before="40" w:after="120"/>
              <w:ind w:right="113"/>
              <w:rPr>
                <w:sz w:val="20"/>
                <w:szCs w:val="20"/>
              </w:rPr>
            </w:pPr>
            <w:r w:rsidRPr="00521171">
              <w:rPr>
                <w:sz w:val="20"/>
                <w:szCs w:val="20"/>
              </w:rPr>
              <w:t>Written statement submitted by Conseil International pour le soutien à des procès équitables et aux Droits de l</w:t>
            </w:r>
            <w:r>
              <w:rPr>
                <w:sz w:val="20"/>
                <w:szCs w:val="20"/>
              </w:rPr>
              <w:t>’</w:t>
            </w:r>
            <w:r w:rsidRPr="00521171">
              <w:rPr>
                <w:sz w:val="20"/>
                <w:szCs w:val="20"/>
              </w:rPr>
              <w:t>Homme, a non-</w:t>
            </w:r>
            <w:r w:rsidRPr="00521171">
              <w:rPr>
                <w:sz w:val="20"/>
                <w:szCs w:val="20"/>
              </w:rPr>
              <w:lastRenderedPageBreak/>
              <w:t>governmental organization in special consultative status</w:t>
            </w:r>
          </w:p>
        </w:tc>
      </w:tr>
      <w:tr w:rsidR="002139E4" w:rsidRPr="00CE032F" w14:paraId="1E2677C5" w14:textId="77777777" w:rsidTr="001A259A">
        <w:trPr>
          <w:trHeight w:val="255"/>
        </w:trPr>
        <w:tc>
          <w:tcPr>
            <w:tcW w:w="2410" w:type="dxa"/>
            <w:shd w:val="clear" w:color="auto" w:fill="auto"/>
          </w:tcPr>
          <w:p w14:paraId="185ED2E4" w14:textId="77777777" w:rsidR="002139E4" w:rsidRPr="00296342" w:rsidRDefault="002139E4" w:rsidP="001A259A">
            <w:pPr>
              <w:spacing w:before="40" w:after="120"/>
              <w:ind w:right="113"/>
              <w:rPr>
                <w:sz w:val="20"/>
                <w:szCs w:val="20"/>
              </w:rPr>
            </w:pPr>
            <w:r w:rsidRPr="00296342">
              <w:rPr>
                <w:sz w:val="20"/>
                <w:szCs w:val="20"/>
              </w:rPr>
              <w:lastRenderedPageBreak/>
              <w:t>A/HRC/40/NGO/</w:t>
            </w:r>
            <w:r>
              <w:rPr>
                <w:sz w:val="20"/>
                <w:szCs w:val="20"/>
              </w:rPr>
              <w:t>132</w:t>
            </w:r>
          </w:p>
        </w:tc>
        <w:tc>
          <w:tcPr>
            <w:tcW w:w="1276" w:type="dxa"/>
            <w:shd w:val="clear" w:color="auto" w:fill="auto"/>
          </w:tcPr>
          <w:p w14:paraId="08CD3A5E"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4444CAD7" w14:textId="77777777" w:rsidR="002139E4" w:rsidRPr="00296342" w:rsidRDefault="002139E4" w:rsidP="001A259A">
            <w:pPr>
              <w:spacing w:before="40" w:after="120"/>
              <w:ind w:right="113"/>
              <w:rPr>
                <w:sz w:val="20"/>
                <w:szCs w:val="20"/>
              </w:rPr>
            </w:pPr>
            <w:r w:rsidRPr="00521171">
              <w:rPr>
                <w:sz w:val="20"/>
                <w:szCs w:val="20"/>
              </w:rPr>
              <w:t>Written statement</w:t>
            </w:r>
            <w:r>
              <w:rPr>
                <w:sz w:val="20"/>
                <w:szCs w:val="20"/>
              </w:rPr>
              <w:t xml:space="preserve"> </w:t>
            </w:r>
            <w:r w:rsidRPr="00521171">
              <w:rPr>
                <w:sz w:val="20"/>
                <w:szCs w:val="20"/>
              </w:rPr>
              <w:t>submitted by Conseil International pour le soutien à des procès équitables et aux Droits de l</w:t>
            </w:r>
            <w:r>
              <w:rPr>
                <w:sz w:val="20"/>
                <w:szCs w:val="20"/>
              </w:rPr>
              <w:t>’</w:t>
            </w:r>
            <w:r w:rsidRPr="00521171">
              <w:rPr>
                <w:sz w:val="20"/>
                <w:szCs w:val="20"/>
              </w:rPr>
              <w:t>Homme, a non-governmental organization in special consultative status</w:t>
            </w:r>
          </w:p>
        </w:tc>
      </w:tr>
      <w:tr w:rsidR="002139E4" w:rsidRPr="00CE032F" w14:paraId="2FAA3D17" w14:textId="77777777" w:rsidTr="001A259A">
        <w:trPr>
          <w:trHeight w:val="255"/>
        </w:trPr>
        <w:tc>
          <w:tcPr>
            <w:tcW w:w="2410" w:type="dxa"/>
            <w:shd w:val="clear" w:color="auto" w:fill="auto"/>
          </w:tcPr>
          <w:p w14:paraId="44CD75FE"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133</w:t>
            </w:r>
          </w:p>
        </w:tc>
        <w:tc>
          <w:tcPr>
            <w:tcW w:w="1276" w:type="dxa"/>
            <w:shd w:val="clear" w:color="auto" w:fill="auto"/>
          </w:tcPr>
          <w:p w14:paraId="1934584F"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082C89AC" w14:textId="77777777" w:rsidR="002139E4" w:rsidRPr="00296342" w:rsidRDefault="002139E4" w:rsidP="001A259A">
            <w:pPr>
              <w:spacing w:before="40" w:after="120"/>
              <w:ind w:right="113"/>
              <w:rPr>
                <w:sz w:val="20"/>
                <w:szCs w:val="20"/>
              </w:rPr>
            </w:pPr>
            <w:r w:rsidRPr="00521171">
              <w:rPr>
                <w:sz w:val="20"/>
                <w:szCs w:val="20"/>
              </w:rPr>
              <w:t>Written statement submitted by Conseil International pour le soutien à des procès équitables et aux Droits de l</w:t>
            </w:r>
            <w:r>
              <w:rPr>
                <w:sz w:val="20"/>
                <w:szCs w:val="20"/>
              </w:rPr>
              <w:t>’</w:t>
            </w:r>
            <w:r w:rsidRPr="00521171">
              <w:rPr>
                <w:sz w:val="20"/>
                <w:szCs w:val="20"/>
              </w:rPr>
              <w:t>Homme, a non-governmental organization in special consultative status</w:t>
            </w:r>
          </w:p>
        </w:tc>
      </w:tr>
      <w:tr w:rsidR="002139E4" w:rsidRPr="00CE032F" w14:paraId="4DB1A762" w14:textId="77777777" w:rsidTr="001A259A">
        <w:trPr>
          <w:trHeight w:val="255"/>
        </w:trPr>
        <w:tc>
          <w:tcPr>
            <w:tcW w:w="2410" w:type="dxa"/>
            <w:shd w:val="clear" w:color="auto" w:fill="auto"/>
          </w:tcPr>
          <w:p w14:paraId="30F65846"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134</w:t>
            </w:r>
          </w:p>
        </w:tc>
        <w:tc>
          <w:tcPr>
            <w:tcW w:w="1276" w:type="dxa"/>
            <w:shd w:val="clear" w:color="auto" w:fill="auto"/>
          </w:tcPr>
          <w:p w14:paraId="75A542C1"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5FFED156" w14:textId="77777777" w:rsidR="002139E4" w:rsidRPr="00296342" w:rsidRDefault="002139E4" w:rsidP="001A259A">
            <w:pPr>
              <w:spacing w:before="40" w:after="120"/>
              <w:ind w:right="113"/>
              <w:rPr>
                <w:sz w:val="20"/>
                <w:szCs w:val="20"/>
              </w:rPr>
            </w:pPr>
            <w:r w:rsidRPr="00521171">
              <w:rPr>
                <w:sz w:val="20"/>
                <w:szCs w:val="20"/>
              </w:rPr>
              <w:t>Written statement submitted by Conseil International pour le soutien à des procès équitables et aux Droits de l</w:t>
            </w:r>
            <w:r>
              <w:rPr>
                <w:sz w:val="20"/>
                <w:szCs w:val="20"/>
              </w:rPr>
              <w:t>’</w:t>
            </w:r>
            <w:r w:rsidRPr="00521171">
              <w:rPr>
                <w:sz w:val="20"/>
                <w:szCs w:val="20"/>
              </w:rPr>
              <w:t>Homme, a non-governmental organization in special consultative status</w:t>
            </w:r>
          </w:p>
        </w:tc>
      </w:tr>
      <w:tr w:rsidR="002139E4" w:rsidRPr="00CE032F" w14:paraId="6050538F" w14:textId="77777777" w:rsidTr="001A259A">
        <w:trPr>
          <w:trHeight w:val="255"/>
        </w:trPr>
        <w:tc>
          <w:tcPr>
            <w:tcW w:w="2410" w:type="dxa"/>
            <w:shd w:val="clear" w:color="auto" w:fill="auto"/>
          </w:tcPr>
          <w:p w14:paraId="336F3DF5"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135</w:t>
            </w:r>
          </w:p>
        </w:tc>
        <w:tc>
          <w:tcPr>
            <w:tcW w:w="1276" w:type="dxa"/>
            <w:shd w:val="clear" w:color="auto" w:fill="auto"/>
          </w:tcPr>
          <w:p w14:paraId="4DA8B44C"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5C19AEB6" w14:textId="77777777" w:rsidR="002139E4" w:rsidRPr="00296342" w:rsidRDefault="002139E4" w:rsidP="001A259A">
            <w:pPr>
              <w:spacing w:before="40" w:after="120"/>
              <w:ind w:right="113"/>
              <w:rPr>
                <w:sz w:val="20"/>
                <w:szCs w:val="20"/>
              </w:rPr>
            </w:pPr>
            <w:r w:rsidRPr="00521171">
              <w:rPr>
                <w:sz w:val="20"/>
                <w:szCs w:val="20"/>
              </w:rPr>
              <w:t>Written statement submitted by Conseil International pour le soutien à des procès équitables et aux Droits de l</w:t>
            </w:r>
            <w:r>
              <w:rPr>
                <w:sz w:val="20"/>
                <w:szCs w:val="20"/>
              </w:rPr>
              <w:t>’</w:t>
            </w:r>
            <w:r w:rsidRPr="00521171">
              <w:rPr>
                <w:sz w:val="20"/>
                <w:szCs w:val="20"/>
              </w:rPr>
              <w:t>Homme, a non-governmental organization in special consultative status</w:t>
            </w:r>
          </w:p>
        </w:tc>
      </w:tr>
      <w:tr w:rsidR="002139E4" w:rsidRPr="00CE032F" w14:paraId="718522E8" w14:textId="77777777" w:rsidTr="001A259A">
        <w:trPr>
          <w:trHeight w:val="255"/>
        </w:trPr>
        <w:tc>
          <w:tcPr>
            <w:tcW w:w="2410" w:type="dxa"/>
            <w:shd w:val="clear" w:color="auto" w:fill="auto"/>
          </w:tcPr>
          <w:p w14:paraId="04A26DD1"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136</w:t>
            </w:r>
          </w:p>
        </w:tc>
        <w:tc>
          <w:tcPr>
            <w:tcW w:w="1276" w:type="dxa"/>
            <w:shd w:val="clear" w:color="auto" w:fill="auto"/>
          </w:tcPr>
          <w:p w14:paraId="665BAEBC"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664B4AE5" w14:textId="77777777" w:rsidR="002139E4" w:rsidRPr="00296342" w:rsidRDefault="002139E4" w:rsidP="001A259A">
            <w:pPr>
              <w:spacing w:before="40" w:after="120"/>
              <w:ind w:right="113"/>
              <w:rPr>
                <w:sz w:val="20"/>
                <w:szCs w:val="20"/>
              </w:rPr>
            </w:pPr>
            <w:r w:rsidRPr="00521171">
              <w:rPr>
                <w:sz w:val="20"/>
                <w:szCs w:val="20"/>
              </w:rPr>
              <w:t>Written statement submitted by Maat for Peace, Development and Human Rights Association, a non-governmental organization in special consultative status</w:t>
            </w:r>
          </w:p>
        </w:tc>
      </w:tr>
      <w:tr w:rsidR="002139E4" w:rsidRPr="00CE032F" w14:paraId="2734A5C2" w14:textId="77777777" w:rsidTr="001A259A">
        <w:trPr>
          <w:trHeight w:val="255"/>
        </w:trPr>
        <w:tc>
          <w:tcPr>
            <w:tcW w:w="2410" w:type="dxa"/>
            <w:shd w:val="clear" w:color="auto" w:fill="auto"/>
          </w:tcPr>
          <w:p w14:paraId="1B9917D1"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137</w:t>
            </w:r>
          </w:p>
        </w:tc>
        <w:tc>
          <w:tcPr>
            <w:tcW w:w="1276" w:type="dxa"/>
            <w:shd w:val="clear" w:color="auto" w:fill="auto"/>
          </w:tcPr>
          <w:p w14:paraId="5B337861"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609DF7B4" w14:textId="77777777" w:rsidR="002139E4" w:rsidRPr="00296342" w:rsidRDefault="002139E4" w:rsidP="001A259A">
            <w:pPr>
              <w:spacing w:before="40" w:after="120"/>
              <w:ind w:right="113"/>
              <w:rPr>
                <w:sz w:val="20"/>
                <w:szCs w:val="20"/>
              </w:rPr>
            </w:pPr>
            <w:r>
              <w:rPr>
                <w:sz w:val="20"/>
                <w:szCs w:val="20"/>
              </w:rPr>
              <w:t>Written statement</w:t>
            </w:r>
            <w:r w:rsidRPr="00521171">
              <w:rPr>
                <w:sz w:val="20"/>
                <w:szCs w:val="20"/>
              </w:rPr>
              <w:t xml:space="preserve"> submitted by Conseil International pour le soutien à des procès équitables et aux Droits de l</w:t>
            </w:r>
            <w:r>
              <w:rPr>
                <w:sz w:val="20"/>
                <w:szCs w:val="20"/>
              </w:rPr>
              <w:t>’</w:t>
            </w:r>
            <w:r w:rsidRPr="00521171">
              <w:rPr>
                <w:sz w:val="20"/>
                <w:szCs w:val="20"/>
              </w:rPr>
              <w:t>Homme, a non-governmental organization in special consultative status</w:t>
            </w:r>
          </w:p>
        </w:tc>
      </w:tr>
      <w:tr w:rsidR="002139E4" w:rsidRPr="00CE032F" w14:paraId="559E53E1" w14:textId="77777777" w:rsidTr="001A259A">
        <w:trPr>
          <w:trHeight w:val="255"/>
        </w:trPr>
        <w:tc>
          <w:tcPr>
            <w:tcW w:w="2410" w:type="dxa"/>
            <w:shd w:val="clear" w:color="auto" w:fill="auto"/>
          </w:tcPr>
          <w:p w14:paraId="29C7D680"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138</w:t>
            </w:r>
          </w:p>
        </w:tc>
        <w:tc>
          <w:tcPr>
            <w:tcW w:w="1276" w:type="dxa"/>
            <w:shd w:val="clear" w:color="auto" w:fill="auto"/>
          </w:tcPr>
          <w:p w14:paraId="727CA9DD" w14:textId="77777777" w:rsidR="002139E4" w:rsidRDefault="002139E4" w:rsidP="001A259A">
            <w:pPr>
              <w:spacing w:before="40" w:after="120"/>
              <w:ind w:right="284"/>
              <w:jc w:val="right"/>
              <w:rPr>
                <w:sz w:val="20"/>
                <w:szCs w:val="20"/>
              </w:rPr>
            </w:pPr>
            <w:r>
              <w:rPr>
                <w:sz w:val="20"/>
                <w:szCs w:val="20"/>
              </w:rPr>
              <w:t>2</w:t>
            </w:r>
          </w:p>
        </w:tc>
        <w:tc>
          <w:tcPr>
            <w:tcW w:w="4252" w:type="dxa"/>
            <w:shd w:val="clear" w:color="auto" w:fill="auto"/>
            <w:vAlign w:val="center"/>
          </w:tcPr>
          <w:p w14:paraId="338D7A6C" w14:textId="77777777" w:rsidR="002139E4" w:rsidRPr="00296342" w:rsidRDefault="002139E4" w:rsidP="001A259A">
            <w:pPr>
              <w:spacing w:before="40" w:after="120"/>
              <w:ind w:right="113"/>
              <w:rPr>
                <w:sz w:val="20"/>
                <w:szCs w:val="20"/>
              </w:rPr>
            </w:pPr>
            <w:r w:rsidRPr="00BF2C6B">
              <w:rPr>
                <w:sz w:val="20"/>
                <w:szCs w:val="20"/>
              </w:rPr>
              <w:t>Written statement submitted by the Amman Center for Human Rights Studies, a non-governmental organization in special consultative status</w:t>
            </w:r>
          </w:p>
        </w:tc>
      </w:tr>
      <w:tr w:rsidR="002139E4" w:rsidRPr="00CE032F" w14:paraId="74D08AC8" w14:textId="77777777" w:rsidTr="001A259A">
        <w:trPr>
          <w:trHeight w:val="255"/>
        </w:trPr>
        <w:tc>
          <w:tcPr>
            <w:tcW w:w="2410" w:type="dxa"/>
            <w:shd w:val="clear" w:color="auto" w:fill="auto"/>
          </w:tcPr>
          <w:p w14:paraId="3604C5FE"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139</w:t>
            </w:r>
          </w:p>
        </w:tc>
        <w:tc>
          <w:tcPr>
            <w:tcW w:w="1276" w:type="dxa"/>
            <w:shd w:val="clear" w:color="auto" w:fill="auto"/>
          </w:tcPr>
          <w:p w14:paraId="702C6049"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7176C781" w14:textId="77777777" w:rsidR="002139E4" w:rsidRPr="00296342" w:rsidRDefault="002139E4" w:rsidP="001A259A">
            <w:pPr>
              <w:spacing w:before="40" w:after="120"/>
              <w:ind w:right="113"/>
              <w:rPr>
                <w:sz w:val="20"/>
                <w:szCs w:val="20"/>
              </w:rPr>
            </w:pPr>
            <w:r w:rsidRPr="00BF2C6B">
              <w:rPr>
                <w:sz w:val="20"/>
                <w:szCs w:val="20"/>
              </w:rPr>
              <w:t>Written statement submitted by Christian Solidarity Worldwide, a non-governmental organization in special consultative status</w:t>
            </w:r>
          </w:p>
        </w:tc>
      </w:tr>
      <w:tr w:rsidR="002139E4" w:rsidRPr="00CE032F" w14:paraId="28D480D3" w14:textId="77777777" w:rsidTr="001A259A">
        <w:trPr>
          <w:trHeight w:val="255"/>
        </w:trPr>
        <w:tc>
          <w:tcPr>
            <w:tcW w:w="2410" w:type="dxa"/>
            <w:shd w:val="clear" w:color="auto" w:fill="auto"/>
          </w:tcPr>
          <w:p w14:paraId="7F6922A6"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140</w:t>
            </w:r>
          </w:p>
        </w:tc>
        <w:tc>
          <w:tcPr>
            <w:tcW w:w="1276" w:type="dxa"/>
            <w:shd w:val="clear" w:color="auto" w:fill="auto"/>
          </w:tcPr>
          <w:p w14:paraId="7F632E37"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1AF0F42F" w14:textId="77777777" w:rsidR="002139E4" w:rsidRPr="00296342" w:rsidRDefault="002139E4" w:rsidP="001A259A">
            <w:pPr>
              <w:spacing w:before="40" w:after="120"/>
              <w:ind w:right="113"/>
              <w:rPr>
                <w:sz w:val="20"/>
                <w:szCs w:val="20"/>
              </w:rPr>
            </w:pPr>
            <w:r w:rsidRPr="00BF2C6B">
              <w:rPr>
                <w:sz w:val="20"/>
                <w:szCs w:val="20"/>
              </w:rPr>
              <w:t>Written statement submitted by China Society for Human Rights Studies (CSHRS), a non-governmental organization in special consultative status</w:t>
            </w:r>
          </w:p>
        </w:tc>
      </w:tr>
      <w:tr w:rsidR="002139E4" w:rsidRPr="00CE032F" w14:paraId="2F563FC2" w14:textId="77777777" w:rsidTr="001A259A">
        <w:trPr>
          <w:trHeight w:val="255"/>
        </w:trPr>
        <w:tc>
          <w:tcPr>
            <w:tcW w:w="2410" w:type="dxa"/>
            <w:shd w:val="clear" w:color="auto" w:fill="auto"/>
          </w:tcPr>
          <w:p w14:paraId="7B5ED8A5"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141</w:t>
            </w:r>
          </w:p>
        </w:tc>
        <w:tc>
          <w:tcPr>
            <w:tcW w:w="1276" w:type="dxa"/>
            <w:shd w:val="clear" w:color="auto" w:fill="auto"/>
          </w:tcPr>
          <w:p w14:paraId="00AA226A"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19F6E259" w14:textId="77777777" w:rsidR="002139E4" w:rsidRPr="00296342" w:rsidRDefault="002139E4" w:rsidP="001A259A">
            <w:pPr>
              <w:spacing w:before="40" w:after="120"/>
              <w:ind w:right="113"/>
              <w:rPr>
                <w:sz w:val="20"/>
                <w:szCs w:val="20"/>
              </w:rPr>
            </w:pPr>
            <w:r w:rsidRPr="00BF2C6B">
              <w:rPr>
                <w:sz w:val="20"/>
                <w:szCs w:val="20"/>
              </w:rPr>
              <w:t>Written statement submitted by Women and Development Association in Alexandria, a non-</w:t>
            </w:r>
            <w:r w:rsidRPr="00BF2C6B">
              <w:rPr>
                <w:sz w:val="20"/>
                <w:szCs w:val="20"/>
              </w:rPr>
              <w:lastRenderedPageBreak/>
              <w:t>governmental organization in special consultative status</w:t>
            </w:r>
          </w:p>
        </w:tc>
      </w:tr>
      <w:tr w:rsidR="002139E4" w:rsidRPr="00CE032F" w14:paraId="1A0BB775" w14:textId="77777777" w:rsidTr="001A259A">
        <w:trPr>
          <w:trHeight w:val="255"/>
        </w:trPr>
        <w:tc>
          <w:tcPr>
            <w:tcW w:w="2410" w:type="dxa"/>
            <w:shd w:val="clear" w:color="auto" w:fill="auto"/>
          </w:tcPr>
          <w:p w14:paraId="1AD8C923" w14:textId="77777777" w:rsidR="002139E4" w:rsidRPr="00296342" w:rsidRDefault="002139E4" w:rsidP="001A259A">
            <w:pPr>
              <w:spacing w:before="40" w:after="120"/>
              <w:ind w:right="113"/>
              <w:rPr>
                <w:sz w:val="20"/>
                <w:szCs w:val="20"/>
              </w:rPr>
            </w:pPr>
            <w:r w:rsidRPr="00296342">
              <w:rPr>
                <w:sz w:val="20"/>
                <w:szCs w:val="20"/>
              </w:rPr>
              <w:lastRenderedPageBreak/>
              <w:t>A/HRC/40/NGO/</w:t>
            </w:r>
            <w:r>
              <w:rPr>
                <w:sz w:val="20"/>
                <w:szCs w:val="20"/>
              </w:rPr>
              <w:t>142</w:t>
            </w:r>
          </w:p>
        </w:tc>
        <w:tc>
          <w:tcPr>
            <w:tcW w:w="1276" w:type="dxa"/>
            <w:shd w:val="clear" w:color="auto" w:fill="auto"/>
          </w:tcPr>
          <w:p w14:paraId="09A902C5"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33DC007E" w14:textId="77777777" w:rsidR="002139E4" w:rsidRPr="00296342" w:rsidRDefault="002139E4" w:rsidP="001A259A">
            <w:pPr>
              <w:spacing w:before="40" w:after="120"/>
              <w:ind w:right="113"/>
              <w:rPr>
                <w:sz w:val="20"/>
                <w:szCs w:val="20"/>
              </w:rPr>
            </w:pPr>
            <w:r w:rsidRPr="00BF2C6B">
              <w:rPr>
                <w:sz w:val="20"/>
                <w:szCs w:val="20"/>
              </w:rPr>
              <w:t>Written statement submitted by ADALAH - Legal Center for Arab Minority Rights in Israel, a non-governmental organization in special consultative status</w:t>
            </w:r>
          </w:p>
        </w:tc>
      </w:tr>
      <w:tr w:rsidR="002139E4" w:rsidRPr="00CE032F" w14:paraId="26A483F6" w14:textId="77777777" w:rsidTr="001A259A">
        <w:trPr>
          <w:trHeight w:val="255"/>
        </w:trPr>
        <w:tc>
          <w:tcPr>
            <w:tcW w:w="2410" w:type="dxa"/>
            <w:shd w:val="clear" w:color="auto" w:fill="auto"/>
          </w:tcPr>
          <w:p w14:paraId="4E89BEE2"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143</w:t>
            </w:r>
          </w:p>
        </w:tc>
        <w:tc>
          <w:tcPr>
            <w:tcW w:w="1276" w:type="dxa"/>
            <w:shd w:val="clear" w:color="auto" w:fill="auto"/>
          </w:tcPr>
          <w:p w14:paraId="156CCF37"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0A562A61" w14:textId="77777777" w:rsidR="002139E4" w:rsidRPr="00296342" w:rsidRDefault="002139E4" w:rsidP="001A259A">
            <w:pPr>
              <w:spacing w:before="40" w:after="120"/>
              <w:ind w:right="113"/>
              <w:rPr>
                <w:sz w:val="20"/>
                <w:szCs w:val="20"/>
              </w:rPr>
            </w:pPr>
            <w:r w:rsidRPr="00BF2C6B">
              <w:rPr>
                <w:sz w:val="20"/>
                <w:szCs w:val="20"/>
              </w:rPr>
              <w:t>Written statement submitted by Women and Development Association in Alexandria, a non-governmental organization in special consultative status</w:t>
            </w:r>
          </w:p>
        </w:tc>
      </w:tr>
      <w:tr w:rsidR="002139E4" w:rsidRPr="00CE032F" w14:paraId="05F646EF" w14:textId="77777777" w:rsidTr="001A259A">
        <w:trPr>
          <w:trHeight w:val="255"/>
        </w:trPr>
        <w:tc>
          <w:tcPr>
            <w:tcW w:w="2410" w:type="dxa"/>
            <w:shd w:val="clear" w:color="auto" w:fill="auto"/>
          </w:tcPr>
          <w:p w14:paraId="10673B1A"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144</w:t>
            </w:r>
          </w:p>
        </w:tc>
        <w:tc>
          <w:tcPr>
            <w:tcW w:w="1276" w:type="dxa"/>
            <w:shd w:val="clear" w:color="auto" w:fill="auto"/>
          </w:tcPr>
          <w:p w14:paraId="635319E7" w14:textId="77777777" w:rsidR="002139E4" w:rsidRDefault="002139E4" w:rsidP="001A259A">
            <w:pPr>
              <w:spacing w:before="40" w:after="120"/>
              <w:ind w:right="284"/>
              <w:jc w:val="right"/>
              <w:rPr>
                <w:sz w:val="20"/>
                <w:szCs w:val="20"/>
              </w:rPr>
            </w:pPr>
            <w:r>
              <w:rPr>
                <w:sz w:val="20"/>
                <w:szCs w:val="20"/>
              </w:rPr>
              <w:t>7</w:t>
            </w:r>
          </w:p>
        </w:tc>
        <w:tc>
          <w:tcPr>
            <w:tcW w:w="4252" w:type="dxa"/>
            <w:shd w:val="clear" w:color="auto" w:fill="auto"/>
            <w:vAlign w:val="center"/>
          </w:tcPr>
          <w:p w14:paraId="06159B5F" w14:textId="77777777" w:rsidR="002139E4" w:rsidRPr="00296342" w:rsidRDefault="002139E4" w:rsidP="001A259A">
            <w:pPr>
              <w:spacing w:before="40" w:after="120"/>
              <w:ind w:right="113"/>
              <w:rPr>
                <w:sz w:val="20"/>
                <w:szCs w:val="20"/>
              </w:rPr>
            </w:pPr>
            <w:r w:rsidRPr="00BF2C6B">
              <w:rPr>
                <w:sz w:val="20"/>
                <w:szCs w:val="20"/>
              </w:rPr>
              <w:t>Joint written statement submitted by Al Mezan Centre for Human Rights, ADALAH - Legal Center for Arab Minority Rights in Israel, non-governmental organizations in special consultative status</w:t>
            </w:r>
          </w:p>
        </w:tc>
      </w:tr>
      <w:tr w:rsidR="002139E4" w:rsidRPr="00CE032F" w14:paraId="666EB35C" w14:textId="77777777" w:rsidTr="001A259A">
        <w:trPr>
          <w:trHeight w:val="255"/>
        </w:trPr>
        <w:tc>
          <w:tcPr>
            <w:tcW w:w="2410" w:type="dxa"/>
            <w:shd w:val="clear" w:color="auto" w:fill="auto"/>
          </w:tcPr>
          <w:p w14:paraId="540BF3DF"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145</w:t>
            </w:r>
          </w:p>
        </w:tc>
        <w:tc>
          <w:tcPr>
            <w:tcW w:w="1276" w:type="dxa"/>
            <w:shd w:val="clear" w:color="auto" w:fill="auto"/>
          </w:tcPr>
          <w:p w14:paraId="6997A2ED"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79525408" w14:textId="77777777" w:rsidR="002139E4" w:rsidRPr="00296342" w:rsidRDefault="002139E4" w:rsidP="001A259A">
            <w:pPr>
              <w:spacing w:before="40" w:after="120"/>
              <w:ind w:right="113"/>
              <w:rPr>
                <w:sz w:val="20"/>
                <w:szCs w:val="20"/>
              </w:rPr>
            </w:pPr>
            <w:r w:rsidRPr="00BF2C6B">
              <w:rPr>
                <w:sz w:val="20"/>
                <w:szCs w:val="20"/>
              </w:rPr>
              <w:t>Written statement submitted by Human Rights Now, a non-governmental organization in special consultative status</w:t>
            </w:r>
          </w:p>
        </w:tc>
      </w:tr>
      <w:tr w:rsidR="002139E4" w:rsidRPr="00CE032F" w14:paraId="15C65050" w14:textId="77777777" w:rsidTr="001A259A">
        <w:trPr>
          <w:trHeight w:val="255"/>
        </w:trPr>
        <w:tc>
          <w:tcPr>
            <w:tcW w:w="2410" w:type="dxa"/>
            <w:shd w:val="clear" w:color="auto" w:fill="auto"/>
          </w:tcPr>
          <w:p w14:paraId="3FE3C563"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146</w:t>
            </w:r>
          </w:p>
        </w:tc>
        <w:tc>
          <w:tcPr>
            <w:tcW w:w="1276" w:type="dxa"/>
            <w:shd w:val="clear" w:color="auto" w:fill="auto"/>
          </w:tcPr>
          <w:p w14:paraId="20182F33"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5AD76EE6" w14:textId="77777777" w:rsidR="002139E4" w:rsidRPr="00296342" w:rsidRDefault="002139E4" w:rsidP="001A259A">
            <w:pPr>
              <w:spacing w:before="40" w:after="120"/>
              <w:ind w:right="113"/>
              <w:rPr>
                <w:sz w:val="20"/>
                <w:szCs w:val="20"/>
              </w:rPr>
            </w:pPr>
            <w:r w:rsidRPr="00BF2C6B">
              <w:rPr>
                <w:sz w:val="20"/>
                <w:szCs w:val="20"/>
              </w:rPr>
              <w:t>Written statement submitted by Human Rights Now, a non-governmental organization in special consultative status</w:t>
            </w:r>
          </w:p>
        </w:tc>
      </w:tr>
      <w:tr w:rsidR="002139E4" w:rsidRPr="00CE032F" w14:paraId="59D25810" w14:textId="77777777" w:rsidTr="001A259A">
        <w:trPr>
          <w:trHeight w:val="255"/>
        </w:trPr>
        <w:tc>
          <w:tcPr>
            <w:tcW w:w="2410" w:type="dxa"/>
            <w:shd w:val="clear" w:color="auto" w:fill="auto"/>
          </w:tcPr>
          <w:p w14:paraId="7403CFF8"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147</w:t>
            </w:r>
          </w:p>
        </w:tc>
        <w:tc>
          <w:tcPr>
            <w:tcW w:w="1276" w:type="dxa"/>
            <w:shd w:val="clear" w:color="auto" w:fill="auto"/>
          </w:tcPr>
          <w:p w14:paraId="514E652A"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478BD0B4" w14:textId="77777777" w:rsidR="002139E4" w:rsidRPr="00296342" w:rsidRDefault="002139E4" w:rsidP="001A259A">
            <w:pPr>
              <w:spacing w:before="40" w:after="120"/>
              <w:ind w:right="113"/>
              <w:rPr>
                <w:sz w:val="20"/>
                <w:szCs w:val="20"/>
              </w:rPr>
            </w:pPr>
            <w:r w:rsidRPr="00BF2C6B">
              <w:rPr>
                <w:sz w:val="20"/>
                <w:szCs w:val="20"/>
              </w:rPr>
              <w:t>Written statement submitted by Human Rights Now, a non-governmental organization in special consultative status</w:t>
            </w:r>
          </w:p>
        </w:tc>
      </w:tr>
      <w:tr w:rsidR="002139E4" w:rsidRPr="00CE032F" w14:paraId="4C46B4E3" w14:textId="77777777" w:rsidTr="001A259A">
        <w:trPr>
          <w:trHeight w:val="255"/>
        </w:trPr>
        <w:tc>
          <w:tcPr>
            <w:tcW w:w="2410" w:type="dxa"/>
            <w:shd w:val="clear" w:color="auto" w:fill="auto"/>
          </w:tcPr>
          <w:p w14:paraId="7589535F"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148</w:t>
            </w:r>
          </w:p>
        </w:tc>
        <w:tc>
          <w:tcPr>
            <w:tcW w:w="1276" w:type="dxa"/>
            <w:shd w:val="clear" w:color="auto" w:fill="auto"/>
          </w:tcPr>
          <w:p w14:paraId="3050637E"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1705958B" w14:textId="77777777" w:rsidR="002139E4" w:rsidRPr="00296342" w:rsidRDefault="002139E4" w:rsidP="001A259A">
            <w:pPr>
              <w:spacing w:before="40" w:after="120"/>
              <w:ind w:right="113"/>
              <w:rPr>
                <w:sz w:val="20"/>
                <w:szCs w:val="20"/>
              </w:rPr>
            </w:pPr>
            <w:r w:rsidRPr="00BF2C6B">
              <w:rPr>
                <w:sz w:val="20"/>
                <w:szCs w:val="20"/>
              </w:rPr>
              <w:t>Written statement submitted by Europe – Third World Centre (CETIM), a non-governmental organization in general consultative status</w:t>
            </w:r>
          </w:p>
        </w:tc>
      </w:tr>
      <w:tr w:rsidR="002139E4" w:rsidRPr="00CE032F" w14:paraId="658634A7" w14:textId="77777777" w:rsidTr="001A259A">
        <w:trPr>
          <w:trHeight w:val="255"/>
        </w:trPr>
        <w:tc>
          <w:tcPr>
            <w:tcW w:w="2410" w:type="dxa"/>
            <w:shd w:val="clear" w:color="auto" w:fill="auto"/>
          </w:tcPr>
          <w:p w14:paraId="4F963591"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149</w:t>
            </w:r>
          </w:p>
        </w:tc>
        <w:tc>
          <w:tcPr>
            <w:tcW w:w="1276" w:type="dxa"/>
            <w:shd w:val="clear" w:color="auto" w:fill="auto"/>
          </w:tcPr>
          <w:p w14:paraId="5091D1FE"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0531E0B5" w14:textId="77777777" w:rsidR="002139E4" w:rsidRPr="00296342" w:rsidRDefault="002139E4" w:rsidP="001A259A">
            <w:pPr>
              <w:spacing w:before="40" w:after="120"/>
              <w:ind w:right="113"/>
              <w:rPr>
                <w:sz w:val="20"/>
                <w:szCs w:val="20"/>
              </w:rPr>
            </w:pPr>
            <w:r w:rsidRPr="00BF2C6B">
              <w:rPr>
                <w:sz w:val="20"/>
                <w:szCs w:val="20"/>
              </w:rPr>
              <w:t>Written statement submitted by Society for Threatened Peoples, a non-governmental organization in special consultative status</w:t>
            </w:r>
          </w:p>
        </w:tc>
      </w:tr>
      <w:tr w:rsidR="002139E4" w:rsidRPr="00CE032F" w14:paraId="0C50DAE1" w14:textId="77777777" w:rsidTr="001A259A">
        <w:trPr>
          <w:trHeight w:val="255"/>
        </w:trPr>
        <w:tc>
          <w:tcPr>
            <w:tcW w:w="2410" w:type="dxa"/>
            <w:shd w:val="clear" w:color="auto" w:fill="auto"/>
          </w:tcPr>
          <w:p w14:paraId="689ECDA5"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150</w:t>
            </w:r>
          </w:p>
        </w:tc>
        <w:tc>
          <w:tcPr>
            <w:tcW w:w="1276" w:type="dxa"/>
            <w:shd w:val="clear" w:color="auto" w:fill="auto"/>
          </w:tcPr>
          <w:p w14:paraId="2F44311F"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661D479A" w14:textId="77777777" w:rsidR="002139E4" w:rsidRPr="00296342" w:rsidRDefault="002139E4" w:rsidP="001A259A">
            <w:pPr>
              <w:spacing w:before="40" w:after="120"/>
              <w:ind w:right="113"/>
              <w:rPr>
                <w:sz w:val="20"/>
                <w:szCs w:val="20"/>
              </w:rPr>
            </w:pPr>
            <w:r w:rsidRPr="00BF2C6B">
              <w:rPr>
                <w:sz w:val="20"/>
                <w:szCs w:val="20"/>
              </w:rPr>
              <w:t>Written statement submitted by Amnesty International, a non-governmental organization in special consultative status</w:t>
            </w:r>
          </w:p>
        </w:tc>
      </w:tr>
      <w:tr w:rsidR="002139E4" w:rsidRPr="00CE032F" w14:paraId="4612D2B0" w14:textId="77777777" w:rsidTr="001A259A">
        <w:trPr>
          <w:trHeight w:val="255"/>
        </w:trPr>
        <w:tc>
          <w:tcPr>
            <w:tcW w:w="2410" w:type="dxa"/>
            <w:shd w:val="clear" w:color="auto" w:fill="auto"/>
          </w:tcPr>
          <w:p w14:paraId="14E9ADDA"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151</w:t>
            </w:r>
          </w:p>
        </w:tc>
        <w:tc>
          <w:tcPr>
            <w:tcW w:w="1276" w:type="dxa"/>
            <w:shd w:val="clear" w:color="auto" w:fill="auto"/>
          </w:tcPr>
          <w:p w14:paraId="63BF3BF1"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3A6B6BC9" w14:textId="77777777" w:rsidR="002139E4" w:rsidRPr="00296342" w:rsidRDefault="002139E4" w:rsidP="001A259A">
            <w:pPr>
              <w:spacing w:before="40" w:after="120"/>
              <w:ind w:right="113"/>
              <w:rPr>
                <w:sz w:val="20"/>
                <w:szCs w:val="20"/>
              </w:rPr>
            </w:pPr>
            <w:r w:rsidRPr="00BF2C6B">
              <w:rPr>
                <w:sz w:val="20"/>
                <w:szCs w:val="20"/>
              </w:rPr>
              <w:t>Written statement submitted by Conseil International pour le soutien à des procès équitables et aux Droits de l</w:t>
            </w:r>
            <w:r>
              <w:rPr>
                <w:sz w:val="20"/>
                <w:szCs w:val="20"/>
              </w:rPr>
              <w:t>’</w:t>
            </w:r>
            <w:r w:rsidRPr="00BF2C6B">
              <w:rPr>
                <w:sz w:val="20"/>
                <w:szCs w:val="20"/>
              </w:rPr>
              <w:t>Homme, a non-governmental organization in special consultative status</w:t>
            </w:r>
          </w:p>
        </w:tc>
      </w:tr>
      <w:tr w:rsidR="002139E4" w:rsidRPr="00CE032F" w14:paraId="2AB600D9" w14:textId="77777777" w:rsidTr="001A259A">
        <w:trPr>
          <w:trHeight w:val="255"/>
        </w:trPr>
        <w:tc>
          <w:tcPr>
            <w:tcW w:w="2410" w:type="dxa"/>
            <w:shd w:val="clear" w:color="auto" w:fill="auto"/>
          </w:tcPr>
          <w:p w14:paraId="5B298D84"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152</w:t>
            </w:r>
          </w:p>
        </w:tc>
        <w:tc>
          <w:tcPr>
            <w:tcW w:w="1276" w:type="dxa"/>
            <w:shd w:val="clear" w:color="auto" w:fill="auto"/>
          </w:tcPr>
          <w:p w14:paraId="6426EA27"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43F1B4E8" w14:textId="77777777" w:rsidR="002139E4" w:rsidRPr="00296342" w:rsidRDefault="002139E4" w:rsidP="001A259A">
            <w:pPr>
              <w:spacing w:before="40" w:after="120"/>
              <w:ind w:right="113"/>
              <w:rPr>
                <w:sz w:val="20"/>
                <w:szCs w:val="20"/>
              </w:rPr>
            </w:pPr>
            <w:r w:rsidRPr="00BF2C6B">
              <w:rPr>
                <w:sz w:val="20"/>
                <w:szCs w:val="20"/>
              </w:rPr>
              <w:t>Written statement submitted by Society for Threatened Peoples, a non-governmental organization in special consultative status</w:t>
            </w:r>
          </w:p>
        </w:tc>
      </w:tr>
      <w:tr w:rsidR="002139E4" w:rsidRPr="00CE032F" w14:paraId="047835BD" w14:textId="77777777" w:rsidTr="001A259A">
        <w:trPr>
          <w:trHeight w:val="255"/>
        </w:trPr>
        <w:tc>
          <w:tcPr>
            <w:tcW w:w="2410" w:type="dxa"/>
            <w:shd w:val="clear" w:color="auto" w:fill="auto"/>
          </w:tcPr>
          <w:p w14:paraId="234B5322" w14:textId="77777777" w:rsidR="002139E4" w:rsidRPr="00296342" w:rsidRDefault="002139E4" w:rsidP="001A259A">
            <w:pPr>
              <w:spacing w:before="40" w:after="120"/>
              <w:ind w:right="113"/>
              <w:rPr>
                <w:sz w:val="20"/>
                <w:szCs w:val="20"/>
              </w:rPr>
            </w:pPr>
            <w:r w:rsidRPr="00296342">
              <w:rPr>
                <w:sz w:val="20"/>
                <w:szCs w:val="20"/>
              </w:rPr>
              <w:lastRenderedPageBreak/>
              <w:t>A/HRC/40/NGO/</w:t>
            </w:r>
            <w:r>
              <w:rPr>
                <w:sz w:val="20"/>
                <w:szCs w:val="20"/>
              </w:rPr>
              <w:t>153</w:t>
            </w:r>
          </w:p>
        </w:tc>
        <w:tc>
          <w:tcPr>
            <w:tcW w:w="1276" w:type="dxa"/>
            <w:shd w:val="clear" w:color="auto" w:fill="auto"/>
          </w:tcPr>
          <w:p w14:paraId="1BC11213"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58DF2AC2" w14:textId="77777777" w:rsidR="002139E4" w:rsidRPr="00296342" w:rsidRDefault="002139E4" w:rsidP="001A259A">
            <w:pPr>
              <w:spacing w:before="40" w:after="120"/>
              <w:ind w:right="113"/>
              <w:rPr>
                <w:sz w:val="20"/>
                <w:szCs w:val="20"/>
              </w:rPr>
            </w:pPr>
            <w:r w:rsidRPr="00BF2C6B">
              <w:rPr>
                <w:sz w:val="20"/>
                <w:szCs w:val="20"/>
              </w:rPr>
              <w:t>Written statement submitted by Physicians for Human Rights, a non-governmental organization in special consultative status</w:t>
            </w:r>
          </w:p>
        </w:tc>
      </w:tr>
      <w:tr w:rsidR="002139E4" w:rsidRPr="00CE032F" w14:paraId="3BE7FF5C" w14:textId="77777777" w:rsidTr="001A259A">
        <w:trPr>
          <w:trHeight w:val="255"/>
        </w:trPr>
        <w:tc>
          <w:tcPr>
            <w:tcW w:w="2410" w:type="dxa"/>
            <w:shd w:val="clear" w:color="auto" w:fill="auto"/>
          </w:tcPr>
          <w:p w14:paraId="12B23E4C"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154</w:t>
            </w:r>
          </w:p>
        </w:tc>
        <w:tc>
          <w:tcPr>
            <w:tcW w:w="1276" w:type="dxa"/>
            <w:shd w:val="clear" w:color="auto" w:fill="auto"/>
          </w:tcPr>
          <w:p w14:paraId="5B0CAAA5" w14:textId="77777777" w:rsidR="002139E4" w:rsidRDefault="002139E4" w:rsidP="001A259A">
            <w:pPr>
              <w:spacing w:before="40" w:after="120"/>
              <w:ind w:right="284"/>
              <w:jc w:val="right"/>
              <w:rPr>
                <w:sz w:val="20"/>
                <w:szCs w:val="20"/>
              </w:rPr>
            </w:pPr>
            <w:r>
              <w:rPr>
                <w:sz w:val="20"/>
                <w:szCs w:val="20"/>
              </w:rPr>
              <w:t>6</w:t>
            </w:r>
          </w:p>
        </w:tc>
        <w:tc>
          <w:tcPr>
            <w:tcW w:w="4252" w:type="dxa"/>
            <w:shd w:val="clear" w:color="auto" w:fill="auto"/>
            <w:vAlign w:val="center"/>
          </w:tcPr>
          <w:p w14:paraId="0FFB6F42" w14:textId="77777777" w:rsidR="002139E4" w:rsidRPr="00296342" w:rsidRDefault="002139E4" w:rsidP="001A259A">
            <w:pPr>
              <w:spacing w:before="40" w:after="120"/>
              <w:ind w:right="113"/>
              <w:rPr>
                <w:sz w:val="20"/>
                <w:szCs w:val="20"/>
              </w:rPr>
            </w:pPr>
            <w:r w:rsidRPr="007A4929">
              <w:rPr>
                <w:sz w:val="20"/>
                <w:szCs w:val="20"/>
              </w:rPr>
              <w:t>Written statement submitted by European Centre for Law and Justice, The / Centre Europeen pour le droit, les Justice et les droits de l</w:t>
            </w:r>
            <w:r>
              <w:rPr>
                <w:sz w:val="20"/>
                <w:szCs w:val="20"/>
              </w:rPr>
              <w:t>’</w:t>
            </w:r>
            <w:r w:rsidRPr="007A4929">
              <w:rPr>
                <w:sz w:val="20"/>
                <w:szCs w:val="20"/>
              </w:rPr>
              <w:t>homme, a non-governmental organization in special consultative status</w:t>
            </w:r>
          </w:p>
        </w:tc>
      </w:tr>
      <w:tr w:rsidR="002139E4" w:rsidRPr="00CE032F" w14:paraId="79CA1B6C" w14:textId="77777777" w:rsidTr="001A259A">
        <w:trPr>
          <w:trHeight w:val="255"/>
        </w:trPr>
        <w:tc>
          <w:tcPr>
            <w:tcW w:w="2410" w:type="dxa"/>
            <w:shd w:val="clear" w:color="auto" w:fill="auto"/>
          </w:tcPr>
          <w:p w14:paraId="4E3C31BB"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155</w:t>
            </w:r>
          </w:p>
        </w:tc>
        <w:tc>
          <w:tcPr>
            <w:tcW w:w="1276" w:type="dxa"/>
            <w:shd w:val="clear" w:color="auto" w:fill="auto"/>
          </w:tcPr>
          <w:p w14:paraId="764CAD72"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76A6D86F" w14:textId="77777777" w:rsidR="002139E4" w:rsidRPr="00296342" w:rsidRDefault="002139E4" w:rsidP="001A259A">
            <w:pPr>
              <w:spacing w:before="40" w:after="120"/>
              <w:ind w:right="113"/>
              <w:rPr>
                <w:sz w:val="20"/>
                <w:szCs w:val="20"/>
              </w:rPr>
            </w:pPr>
            <w:r w:rsidRPr="007A4929">
              <w:rPr>
                <w:sz w:val="20"/>
                <w:szCs w:val="20"/>
              </w:rPr>
              <w:t>Written statement submitted by Coordination des Associations et des Particuliers pour la Liberté de Conscience, a non-governmental organization in special consultative status</w:t>
            </w:r>
          </w:p>
        </w:tc>
      </w:tr>
      <w:tr w:rsidR="002139E4" w:rsidRPr="00CE032F" w14:paraId="5C7D1A6F" w14:textId="77777777" w:rsidTr="001A259A">
        <w:trPr>
          <w:trHeight w:val="255"/>
        </w:trPr>
        <w:tc>
          <w:tcPr>
            <w:tcW w:w="2410" w:type="dxa"/>
            <w:shd w:val="clear" w:color="auto" w:fill="auto"/>
          </w:tcPr>
          <w:p w14:paraId="598AFD3D"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156</w:t>
            </w:r>
          </w:p>
        </w:tc>
        <w:tc>
          <w:tcPr>
            <w:tcW w:w="1276" w:type="dxa"/>
            <w:shd w:val="clear" w:color="auto" w:fill="auto"/>
          </w:tcPr>
          <w:p w14:paraId="4421E281"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62FB446E" w14:textId="77777777" w:rsidR="002139E4" w:rsidRPr="00296342" w:rsidRDefault="002139E4" w:rsidP="001A259A">
            <w:pPr>
              <w:spacing w:before="40" w:after="120"/>
              <w:ind w:right="113"/>
              <w:rPr>
                <w:sz w:val="20"/>
                <w:szCs w:val="20"/>
              </w:rPr>
            </w:pPr>
            <w:r w:rsidRPr="007A4929">
              <w:rPr>
                <w:sz w:val="20"/>
                <w:szCs w:val="20"/>
              </w:rPr>
              <w:t>Written statement submitted by European Centre for Law and Justice, The / Centre Europeen pour le droit, les Justice et les droits de l</w:t>
            </w:r>
            <w:r>
              <w:rPr>
                <w:sz w:val="20"/>
                <w:szCs w:val="20"/>
              </w:rPr>
              <w:t>’</w:t>
            </w:r>
            <w:r w:rsidRPr="007A4929">
              <w:rPr>
                <w:sz w:val="20"/>
                <w:szCs w:val="20"/>
              </w:rPr>
              <w:t>homme, a non-governmental organization in special consultative status</w:t>
            </w:r>
          </w:p>
        </w:tc>
      </w:tr>
      <w:tr w:rsidR="002139E4" w:rsidRPr="00CE032F" w14:paraId="08F58DFB" w14:textId="77777777" w:rsidTr="001A259A">
        <w:trPr>
          <w:trHeight w:val="255"/>
        </w:trPr>
        <w:tc>
          <w:tcPr>
            <w:tcW w:w="2410" w:type="dxa"/>
            <w:shd w:val="clear" w:color="auto" w:fill="auto"/>
          </w:tcPr>
          <w:p w14:paraId="466BF26F"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157</w:t>
            </w:r>
          </w:p>
        </w:tc>
        <w:tc>
          <w:tcPr>
            <w:tcW w:w="1276" w:type="dxa"/>
            <w:shd w:val="clear" w:color="auto" w:fill="auto"/>
          </w:tcPr>
          <w:p w14:paraId="36406B8F" w14:textId="77777777" w:rsidR="002139E4" w:rsidRDefault="002139E4" w:rsidP="001A259A">
            <w:pPr>
              <w:spacing w:before="40" w:after="120"/>
              <w:ind w:right="284"/>
              <w:jc w:val="right"/>
              <w:rPr>
                <w:sz w:val="20"/>
                <w:szCs w:val="20"/>
              </w:rPr>
            </w:pPr>
            <w:r>
              <w:rPr>
                <w:sz w:val="20"/>
                <w:szCs w:val="20"/>
              </w:rPr>
              <w:t>6</w:t>
            </w:r>
          </w:p>
        </w:tc>
        <w:tc>
          <w:tcPr>
            <w:tcW w:w="4252" w:type="dxa"/>
            <w:shd w:val="clear" w:color="auto" w:fill="auto"/>
            <w:vAlign w:val="center"/>
          </w:tcPr>
          <w:p w14:paraId="606B219E" w14:textId="77777777" w:rsidR="002139E4" w:rsidRPr="00296342" w:rsidRDefault="002139E4" w:rsidP="001A259A">
            <w:pPr>
              <w:spacing w:before="40" w:after="120"/>
              <w:ind w:right="113"/>
              <w:rPr>
                <w:sz w:val="20"/>
                <w:szCs w:val="20"/>
              </w:rPr>
            </w:pPr>
            <w:r w:rsidRPr="00672FBC">
              <w:rPr>
                <w:sz w:val="20"/>
                <w:szCs w:val="20"/>
              </w:rPr>
              <w:t>Written statement submitted by Coordination des Associations et des Particuliers pour la Liberté de Conscience, a non-governmental organization in special consultative status</w:t>
            </w:r>
          </w:p>
        </w:tc>
      </w:tr>
      <w:tr w:rsidR="002139E4" w:rsidRPr="00CE032F" w14:paraId="74C72D9D" w14:textId="77777777" w:rsidTr="001A259A">
        <w:trPr>
          <w:trHeight w:val="255"/>
        </w:trPr>
        <w:tc>
          <w:tcPr>
            <w:tcW w:w="2410" w:type="dxa"/>
            <w:shd w:val="clear" w:color="auto" w:fill="auto"/>
          </w:tcPr>
          <w:p w14:paraId="4F549905"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158</w:t>
            </w:r>
          </w:p>
        </w:tc>
        <w:tc>
          <w:tcPr>
            <w:tcW w:w="1276" w:type="dxa"/>
            <w:shd w:val="clear" w:color="auto" w:fill="auto"/>
          </w:tcPr>
          <w:p w14:paraId="7B7F2F8D"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59503326" w14:textId="77777777" w:rsidR="002139E4" w:rsidRPr="00296342" w:rsidRDefault="002139E4" w:rsidP="001A259A">
            <w:pPr>
              <w:spacing w:before="40" w:after="120"/>
              <w:ind w:right="113"/>
              <w:rPr>
                <w:sz w:val="20"/>
                <w:szCs w:val="20"/>
              </w:rPr>
            </w:pPr>
            <w:r w:rsidRPr="00672FBC">
              <w:rPr>
                <w:sz w:val="20"/>
                <w:szCs w:val="20"/>
              </w:rPr>
              <w:t>Written statement submitted by European Centre for Law and Justice, The / Centre Europeen pour le droit, les Justice et les droits de l</w:t>
            </w:r>
            <w:r>
              <w:rPr>
                <w:sz w:val="20"/>
                <w:szCs w:val="20"/>
              </w:rPr>
              <w:t>’</w:t>
            </w:r>
            <w:r w:rsidRPr="00672FBC">
              <w:rPr>
                <w:sz w:val="20"/>
                <w:szCs w:val="20"/>
              </w:rPr>
              <w:t>homme, a non-governmental organization in special consultative status</w:t>
            </w:r>
          </w:p>
        </w:tc>
      </w:tr>
      <w:tr w:rsidR="002139E4" w:rsidRPr="00CE032F" w14:paraId="5D369B06" w14:textId="77777777" w:rsidTr="001A259A">
        <w:trPr>
          <w:trHeight w:val="255"/>
        </w:trPr>
        <w:tc>
          <w:tcPr>
            <w:tcW w:w="2410" w:type="dxa"/>
            <w:shd w:val="clear" w:color="auto" w:fill="auto"/>
          </w:tcPr>
          <w:p w14:paraId="182DE70F"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159</w:t>
            </w:r>
          </w:p>
        </w:tc>
        <w:tc>
          <w:tcPr>
            <w:tcW w:w="1276" w:type="dxa"/>
            <w:shd w:val="clear" w:color="auto" w:fill="auto"/>
          </w:tcPr>
          <w:p w14:paraId="3405EA37"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61F7098F" w14:textId="77777777" w:rsidR="002139E4" w:rsidRPr="00296342" w:rsidRDefault="002139E4" w:rsidP="001A259A">
            <w:pPr>
              <w:spacing w:before="40" w:after="120"/>
              <w:ind w:right="113"/>
              <w:rPr>
                <w:sz w:val="20"/>
                <w:szCs w:val="20"/>
              </w:rPr>
            </w:pPr>
            <w:r w:rsidRPr="00672FBC">
              <w:rPr>
                <w:sz w:val="20"/>
                <w:szCs w:val="20"/>
              </w:rPr>
              <w:t>Written statement submitted by European Centre for Law and Justice, The / Centre Europeen pour le droit, les Justice et les droits de l</w:t>
            </w:r>
            <w:r>
              <w:rPr>
                <w:sz w:val="20"/>
                <w:szCs w:val="20"/>
              </w:rPr>
              <w:t>’</w:t>
            </w:r>
            <w:r w:rsidRPr="00672FBC">
              <w:rPr>
                <w:sz w:val="20"/>
                <w:szCs w:val="20"/>
              </w:rPr>
              <w:t>homme, a non-governmental organization in special consultative status</w:t>
            </w:r>
          </w:p>
        </w:tc>
      </w:tr>
      <w:tr w:rsidR="002139E4" w:rsidRPr="00CE032F" w14:paraId="06225DBA" w14:textId="77777777" w:rsidTr="001A259A">
        <w:trPr>
          <w:trHeight w:val="255"/>
        </w:trPr>
        <w:tc>
          <w:tcPr>
            <w:tcW w:w="2410" w:type="dxa"/>
            <w:shd w:val="clear" w:color="auto" w:fill="auto"/>
          </w:tcPr>
          <w:p w14:paraId="12E61A7C"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160</w:t>
            </w:r>
          </w:p>
        </w:tc>
        <w:tc>
          <w:tcPr>
            <w:tcW w:w="1276" w:type="dxa"/>
            <w:shd w:val="clear" w:color="auto" w:fill="auto"/>
          </w:tcPr>
          <w:p w14:paraId="2092D0B4"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3B5D5212" w14:textId="77777777" w:rsidR="002139E4" w:rsidRPr="00296342" w:rsidRDefault="002139E4" w:rsidP="001A259A">
            <w:pPr>
              <w:spacing w:before="40" w:after="120"/>
              <w:ind w:right="113"/>
              <w:rPr>
                <w:sz w:val="20"/>
                <w:szCs w:val="20"/>
              </w:rPr>
            </w:pPr>
            <w:r w:rsidRPr="00352ECB">
              <w:rPr>
                <w:sz w:val="20"/>
                <w:szCs w:val="20"/>
              </w:rPr>
              <w:t>Written statement submitted by Americans for Democracy &amp; Human Rights in Bahrain Inc, a non-governmental organization in special consultative status</w:t>
            </w:r>
          </w:p>
        </w:tc>
      </w:tr>
      <w:tr w:rsidR="002139E4" w:rsidRPr="00CE032F" w14:paraId="11532CED" w14:textId="77777777" w:rsidTr="001A259A">
        <w:trPr>
          <w:trHeight w:val="255"/>
        </w:trPr>
        <w:tc>
          <w:tcPr>
            <w:tcW w:w="2410" w:type="dxa"/>
            <w:shd w:val="clear" w:color="auto" w:fill="auto"/>
          </w:tcPr>
          <w:p w14:paraId="6F724C3C"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161</w:t>
            </w:r>
          </w:p>
        </w:tc>
        <w:tc>
          <w:tcPr>
            <w:tcW w:w="1276" w:type="dxa"/>
            <w:shd w:val="clear" w:color="auto" w:fill="auto"/>
          </w:tcPr>
          <w:p w14:paraId="0EE38553"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497E6771" w14:textId="77777777" w:rsidR="002139E4" w:rsidRPr="00296342" w:rsidRDefault="002139E4" w:rsidP="001A259A">
            <w:pPr>
              <w:spacing w:before="40" w:after="120"/>
              <w:ind w:right="113"/>
              <w:rPr>
                <w:sz w:val="20"/>
                <w:szCs w:val="20"/>
              </w:rPr>
            </w:pPr>
            <w:r w:rsidRPr="00352ECB">
              <w:rPr>
                <w:sz w:val="20"/>
                <w:szCs w:val="20"/>
              </w:rPr>
              <w:t>Written statement submitted by European Centre for Law and Justice, The / Centre Europeen pour le droit, les Justice et les droits de l</w:t>
            </w:r>
            <w:r>
              <w:rPr>
                <w:sz w:val="20"/>
                <w:szCs w:val="20"/>
              </w:rPr>
              <w:t>’</w:t>
            </w:r>
            <w:r w:rsidRPr="00352ECB">
              <w:rPr>
                <w:sz w:val="20"/>
                <w:szCs w:val="20"/>
              </w:rPr>
              <w:t>homme, a non-governmental organization in special consultative status</w:t>
            </w:r>
          </w:p>
        </w:tc>
      </w:tr>
      <w:tr w:rsidR="002139E4" w:rsidRPr="00CE032F" w14:paraId="25342A99" w14:textId="77777777" w:rsidTr="001A259A">
        <w:trPr>
          <w:trHeight w:val="255"/>
        </w:trPr>
        <w:tc>
          <w:tcPr>
            <w:tcW w:w="2410" w:type="dxa"/>
            <w:shd w:val="clear" w:color="auto" w:fill="auto"/>
          </w:tcPr>
          <w:p w14:paraId="3EEF2F87"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162</w:t>
            </w:r>
          </w:p>
        </w:tc>
        <w:tc>
          <w:tcPr>
            <w:tcW w:w="1276" w:type="dxa"/>
            <w:shd w:val="clear" w:color="auto" w:fill="auto"/>
          </w:tcPr>
          <w:p w14:paraId="78FF270E"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6F8A3C32" w14:textId="77777777" w:rsidR="002139E4" w:rsidRPr="00296342" w:rsidRDefault="002139E4" w:rsidP="001A259A">
            <w:pPr>
              <w:spacing w:before="40" w:after="120"/>
              <w:ind w:right="113"/>
              <w:rPr>
                <w:sz w:val="20"/>
                <w:szCs w:val="20"/>
              </w:rPr>
            </w:pPr>
            <w:r w:rsidRPr="00352ECB">
              <w:rPr>
                <w:sz w:val="20"/>
                <w:szCs w:val="20"/>
              </w:rPr>
              <w:t>Written statement submitted by Jubilee Campaign, a non-governmental organization in special consultative status</w:t>
            </w:r>
          </w:p>
        </w:tc>
      </w:tr>
      <w:tr w:rsidR="002139E4" w:rsidRPr="00CE032F" w14:paraId="5D987330" w14:textId="77777777" w:rsidTr="001A259A">
        <w:trPr>
          <w:trHeight w:val="255"/>
        </w:trPr>
        <w:tc>
          <w:tcPr>
            <w:tcW w:w="2410" w:type="dxa"/>
            <w:shd w:val="clear" w:color="auto" w:fill="auto"/>
          </w:tcPr>
          <w:p w14:paraId="5D5300BA" w14:textId="77777777" w:rsidR="002139E4" w:rsidRPr="00296342" w:rsidRDefault="002139E4" w:rsidP="001A259A">
            <w:pPr>
              <w:spacing w:before="40" w:after="120"/>
              <w:ind w:right="113"/>
              <w:rPr>
                <w:sz w:val="20"/>
                <w:szCs w:val="20"/>
              </w:rPr>
            </w:pPr>
            <w:r w:rsidRPr="00296342">
              <w:rPr>
                <w:sz w:val="20"/>
                <w:szCs w:val="20"/>
              </w:rPr>
              <w:lastRenderedPageBreak/>
              <w:t>A/HRC/40/NGO/</w:t>
            </w:r>
            <w:r>
              <w:rPr>
                <w:sz w:val="20"/>
                <w:szCs w:val="20"/>
              </w:rPr>
              <w:t>163</w:t>
            </w:r>
          </w:p>
        </w:tc>
        <w:tc>
          <w:tcPr>
            <w:tcW w:w="1276" w:type="dxa"/>
            <w:shd w:val="clear" w:color="auto" w:fill="auto"/>
          </w:tcPr>
          <w:p w14:paraId="544FD4E8" w14:textId="77777777" w:rsidR="002139E4" w:rsidRDefault="002139E4" w:rsidP="001A259A">
            <w:pPr>
              <w:spacing w:before="40" w:after="120"/>
              <w:ind w:right="284"/>
              <w:jc w:val="right"/>
              <w:rPr>
                <w:sz w:val="20"/>
                <w:szCs w:val="20"/>
              </w:rPr>
            </w:pPr>
            <w:r>
              <w:rPr>
                <w:sz w:val="20"/>
                <w:szCs w:val="20"/>
              </w:rPr>
              <w:t>7</w:t>
            </w:r>
          </w:p>
        </w:tc>
        <w:tc>
          <w:tcPr>
            <w:tcW w:w="4252" w:type="dxa"/>
            <w:shd w:val="clear" w:color="auto" w:fill="auto"/>
            <w:vAlign w:val="center"/>
          </w:tcPr>
          <w:p w14:paraId="15A7B35B" w14:textId="77777777" w:rsidR="002139E4" w:rsidRPr="00296342" w:rsidRDefault="002139E4" w:rsidP="001A259A">
            <w:pPr>
              <w:spacing w:before="40" w:after="120"/>
              <w:ind w:right="113"/>
              <w:rPr>
                <w:sz w:val="20"/>
                <w:szCs w:val="20"/>
              </w:rPr>
            </w:pPr>
            <w:r w:rsidRPr="00352ECB">
              <w:rPr>
                <w:sz w:val="20"/>
                <w:szCs w:val="20"/>
              </w:rPr>
              <w:t>Written statement submitted by Association for Progressive Communications, non-governmental organization in general consultative status</w:t>
            </w:r>
          </w:p>
        </w:tc>
      </w:tr>
      <w:tr w:rsidR="002139E4" w:rsidRPr="00CE032F" w14:paraId="208DEC30" w14:textId="77777777" w:rsidTr="001A259A">
        <w:trPr>
          <w:trHeight w:val="255"/>
        </w:trPr>
        <w:tc>
          <w:tcPr>
            <w:tcW w:w="2410" w:type="dxa"/>
            <w:shd w:val="clear" w:color="auto" w:fill="auto"/>
          </w:tcPr>
          <w:p w14:paraId="3C87DD11"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164</w:t>
            </w:r>
          </w:p>
        </w:tc>
        <w:tc>
          <w:tcPr>
            <w:tcW w:w="1276" w:type="dxa"/>
            <w:shd w:val="clear" w:color="auto" w:fill="auto"/>
          </w:tcPr>
          <w:p w14:paraId="4338ACD8"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704BA1DF" w14:textId="77777777" w:rsidR="002139E4" w:rsidRPr="00296342" w:rsidRDefault="002139E4" w:rsidP="001A259A">
            <w:pPr>
              <w:spacing w:before="40" w:after="120"/>
              <w:ind w:right="113"/>
              <w:rPr>
                <w:sz w:val="20"/>
                <w:szCs w:val="20"/>
              </w:rPr>
            </w:pPr>
            <w:r w:rsidRPr="00352ECB">
              <w:rPr>
                <w:sz w:val="20"/>
                <w:szCs w:val="20"/>
              </w:rPr>
              <w:t>Written statement submitted by European Centre for Law and Justice, The / Centre Europeen pour le droit, les Justice et les droits de l</w:t>
            </w:r>
            <w:r>
              <w:rPr>
                <w:sz w:val="20"/>
                <w:szCs w:val="20"/>
              </w:rPr>
              <w:t>’</w:t>
            </w:r>
            <w:r w:rsidRPr="00352ECB">
              <w:rPr>
                <w:sz w:val="20"/>
                <w:szCs w:val="20"/>
              </w:rPr>
              <w:t>homme, a non-governmental organization in special consultative status</w:t>
            </w:r>
          </w:p>
        </w:tc>
      </w:tr>
      <w:tr w:rsidR="002139E4" w:rsidRPr="00CE032F" w14:paraId="764F5AE5" w14:textId="77777777" w:rsidTr="001A259A">
        <w:trPr>
          <w:trHeight w:val="255"/>
        </w:trPr>
        <w:tc>
          <w:tcPr>
            <w:tcW w:w="2410" w:type="dxa"/>
            <w:shd w:val="clear" w:color="auto" w:fill="auto"/>
          </w:tcPr>
          <w:p w14:paraId="7FAAB0CB"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165</w:t>
            </w:r>
          </w:p>
        </w:tc>
        <w:tc>
          <w:tcPr>
            <w:tcW w:w="1276" w:type="dxa"/>
            <w:shd w:val="clear" w:color="auto" w:fill="auto"/>
          </w:tcPr>
          <w:p w14:paraId="524D6743"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7E7F5791" w14:textId="77777777" w:rsidR="002139E4" w:rsidRPr="00296342" w:rsidRDefault="002139E4" w:rsidP="001A259A">
            <w:pPr>
              <w:spacing w:before="40" w:after="120"/>
              <w:ind w:right="113"/>
              <w:rPr>
                <w:sz w:val="20"/>
                <w:szCs w:val="20"/>
              </w:rPr>
            </w:pPr>
            <w:r w:rsidRPr="00352ECB">
              <w:rPr>
                <w:sz w:val="20"/>
                <w:szCs w:val="20"/>
              </w:rPr>
              <w:t>Written statement submitted by Americans for Democracy &amp; Human Rights in Bahrain Inc, a non-governmental organization in special consultative status</w:t>
            </w:r>
          </w:p>
        </w:tc>
      </w:tr>
      <w:tr w:rsidR="002139E4" w:rsidRPr="00CE032F" w14:paraId="183E5A69" w14:textId="77777777" w:rsidTr="001A259A">
        <w:trPr>
          <w:trHeight w:val="255"/>
        </w:trPr>
        <w:tc>
          <w:tcPr>
            <w:tcW w:w="2410" w:type="dxa"/>
            <w:shd w:val="clear" w:color="auto" w:fill="auto"/>
          </w:tcPr>
          <w:p w14:paraId="5D5F01E5"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166</w:t>
            </w:r>
          </w:p>
        </w:tc>
        <w:tc>
          <w:tcPr>
            <w:tcW w:w="1276" w:type="dxa"/>
            <w:shd w:val="clear" w:color="auto" w:fill="auto"/>
          </w:tcPr>
          <w:p w14:paraId="20D88E07"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2ECD623C" w14:textId="77777777" w:rsidR="002139E4" w:rsidRPr="00296342" w:rsidRDefault="002139E4" w:rsidP="001A259A">
            <w:pPr>
              <w:spacing w:before="40" w:after="120"/>
              <w:ind w:right="113"/>
              <w:rPr>
                <w:sz w:val="20"/>
                <w:szCs w:val="20"/>
              </w:rPr>
            </w:pPr>
            <w:r w:rsidRPr="00352ECB">
              <w:rPr>
                <w:sz w:val="20"/>
                <w:szCs w:val="20"/>
              </w:rPr>
              <w:t>Written statement submitted by Jubilee Campaign, a non-governmental organization in special consultative status</w:t>
            </w:r>
          </w:p>
        </w:tc>
      </w:tr>
      <w:tr w:rsidR="002139E4" w:rsidRPr="00CE032F" w14:paraId="5222DD62" w14:textId="77777777" w:rsidTr="001A259A">
        <w:trPr>
          <w:trHeight w:val="255"/>
        </w:trPr>
        <w:tc>
          <w:tcPr>
            <w:tcW w:w="2410" w:type="dxa"/>
            <w:shd w:val="clear" w:color="auto" w:fill="auto"/>
          </w:tcPr>
          <w:p w14:paraId="2B1F33FB"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167</w:t>
            </w:r>
          </w:p>
        </w:tc>
        <w:tc>
          <w:tcPr>
            <w:tcW w:w="1276" w:type="dxa"/>
            <w:shd w:val="clear" w:color="auto" w:fill="auto"/>
          </w:tcPr>
          <w:p w14:paraId="6719E2BF"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671CACED" w14:textId="77777777" w:rsidR="002139E4" w:rsidRPr="00296342" w:rsidRDefault="002139E4" w:rsidP="001A259A">
            <w:pPr>
              <w:spacing w:before="40" w:after="120"/>
              <w:ind w:right="113"/>
              <w:rPr>
                <w:sz w:val="20"/>
                <w:szCs w:val="20"/>
              </w:rPr>
            </w:pPr>
            <w:r w:rsidRPr="00352ECB">
              <w:rPr>
                <w:sz w:val="20"/>
                <w:szCs w:val="20"/>
              </w:rPr>
              <w:t>Written statement submitted by Americans for Democracy &amp; Human Rights in Bahrain Inc, a non-governmental organization in special consultative status</w:t>
            </w:r>
          </w:p>
        </w:tc>
      </w:tr>
      <w:tr w:rsidR="002139E4" w:rsidRPr="00CE032F" w14:paraId="1B5E7E9D" w14:textId="77777777" w:rsidTr="001A259A">
        <w:trPr>
          <w:trHeight w:val="255"/>
        </w:trPr>
        <w:tc>
          <w:tcPr>
            <w:tcW w:w="2410" w:type="dxa"/>
            <w:shd w:val="clear" w:color="auto" w:fill="auto"/>
          </w:tcPr>
          <w:p w14:paraId="1E93D7EA"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168</w:t>
            </w:r>
          </w:p>
        </w:tc>
        <w:tc>
          <w:tcPr>
            <w:tcW w:w="1276" w:type="dxa"/>
            <w:shd w:val="clear" w:color="auto" w:fill="auto"/>
          </w:tcPr>
          <w:p w14:paraId="28CEE149"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23A5669E" w14:textId="77777777" w:rsidR="002139E4" w:rsidRPr="00296342" w:rsidRDefault="002139E4" w:rsidP="001A259A">
            <w:pPr>
              <w:spacing w:before="40" w:after="120"/>
              <w:ind w:right="113"/>
              <w:rPr>
                <w:sz w:val="20"/>
                <w:szCs w:val="20"/>
              </w:rPr>
            </w:pPr>
            <w:r w:rsidRPr="00352ECB">
              <w:rPr>
                <w:sz w:val="20"/>
                <w:szCs w:val="20"/>
              </w:rPr>
              <w:t>Written statement submitted by Americans for Democracy &amp; Human Rights in Bahrain Inc, a non-governmental organization in special consultative status</w:t>
            </w:r>
          </w:p>
        </w:tc>
      </w:tr>
      <w:tr w:rsidR="002139E4" w:rsidRPr="00CE032F" w14:paraId="32F99F10" w14:textId="77777777" w:rsidTr="001A259A">
        <w:trPr>
          <w:trHeight w:val="255"/>
        </w:trPr>
        <w:tc>
          <w:tcPr>
            <w:tcW w:w="2410" w:type="dxa"/>
            <w:shd w:val="clear" w:color="auto" w:fill="auto"/>
          </w:tcPr>
          <w:p w14:paraId="132BFDE4"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169</w:t>
            </w:r>
          </w:p>
        </w:tc>
        <w:tc>
          <w:tcPr>
            <w:tcW w:w="1276" w:type="dxa"/>
            <w:shd w:val="clear" w:color="auto" w:fill="auto"/>
          </w:tcPr>
          <w:p w14:paraId="19B7D7CA"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3CDE308E" w14:textId="77777777" w:rsidR="002139E4" w:rsidRPr="00296342" w:rsidRDefault="002139E4" w:rsidP="001A259A">
            <w:pPr>
              <w:spacing w:before="40" w:after="120"/>
              <w:ind w:right="113"/>
              <w:rPr>
                <w:sz w:val="20"/>
                <w:szCs w:val="20"/>
              </w:rPr>
            </w:pPr>
            <w:r w:rsidRPr="00352ECB">
              <w:rPr>
                <w:sz w:val="20"/>
                <w:szCs w:val="20"/>
              </w:rPr>
              <w:t>Written statement submitted by Americans for Democracy &amp; Human Rights in Bahrain Inc, a non-governmental organization in special consultative status</w:t>
            </w:r>
          </w:p>
        </w:tc>
      </w:tr>
      <w:tr w:rsidR="002139E4" w:rsidRPr="00CE032F" w14:paraId="7A1000D7" w14:textId="77777777" w:rsidTr="001A259A">
        <w:trPr>
          <w:trHeight w:val="255"/>
        </w:trPr>
        <w:tc>
          <w:tcPr>
            <w:tcW w:w="2410" w:type="dxa"/>
            <w:shd w:val="clear" w:color="auto" w:fill="auto"/>
          </w:tcPr>
          <w:p w14:paraId="2D57FCBC"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170</w:t>
            </w:r>
          </w:p>
        </w:tc>
        <w:tc>
          <w:tcPr>
            <w:tcW w:w="1276" w:type="dxa"/>
            <w:shd w:val="clear" w:color="auto" w:fill="auto"/>
          </w:tcPr>
          <w:p w14:paraId="23877C8F"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1FC23FA3" w14:textId="77777777" w:rsidR="002139E4" w:rsidRPr="00296342" w:rsidRDefault="002139E4" w:rsidP="001A259A">
            <w:pPr>
              <w:spacing w:before="40" w:after="120"/>
              <w:ind w:right="113"/>
              <w:rPr>
                <w:sz w:val="20"/>
                <w:szCs w:val="20"/>
              </w:rPr>
            </w:pPr>
            <w:r w:rsidRPr="00352ECB">
              <w:rPr>
                <w:sz w:val="20"/>
                <w:szCs w:val="20"/>
              </w:rPr>
              <w:t>Written statement submitted by International Catholic Child Bureau, a non-governmental organization in special consultative status</w:t>
            </w:r>
          </w:p>
        </w:tc>
      </w:tr>
      <w:tr w:rsidR="002139E4" w:rsidRPr="00CE032F" w14:paraId="23A3912F" w14:textId="77777777" w:rsidTr="001A259A">
        <w:trPr>
          <w:trHeight w:val="255"/>
        </w:trPr>
        <w:tc>
          <w:tcPr>
            <w:tcW w:w="2410" w:type="dxa"/>
            <w:shd w:val="clear" w:color="auto" w:fill="auto"/>
          </w:tcPr>
          <w:p w14:paraId="52FD33E3"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171</w:t>
            </w:r>
          </w:p>
        </w:tc>
        <w:tc>
          <w:tcPr>
            <w:tcW w:w="1276" w:type="dxa"/>
            <w:shd w:val="clear" w:color="auto" w:fill="auto"/>
          </w:tcPr>
          <w:p w14:paraId="56BC6800"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14EEAE5B" w14:textId="77777777" w:rsidR="002139E4" w:rsidRPr="00296342" w:rsidRDefault="002139E4" w:rsidP="001A259A">
            <w:pPr>
              <w:spacing w:before="40" w:after="120"/>
              <w:ind w:right="113"/>
              <w:rPr>
                <w:sz w:val="20"/>
                <w:szCs w:val="20"/>
              </w:rPr>
            </w:pPr>
            <w:r w:rsidRPr="00FE4230">
              <w:rPr>
                <w:sz w:val="20"/>
                <w:szCs w:val="20"/>
              </w:rPr>
              <w:t>Written statement submitted by International Career Support Association, a non-governmental organization in special consultative status</w:t>
            </w:r>
          </w:p>
        </w:tc>
      </w:tr>
      <w:tr w:rsidR="002139E4" w:rsidRPr="00CE032F" w14:paraId="4EF9526C" w14:textId="77777777" w:rsidTr="001A259A">
        <w:trPr>
          <w:trHeight w:val="255"/>
        </w:trPr>
        <w:tc>
          <w:tcPr>
            <w:tcW w:w="2410" w:type="dxa"/>
            <w:shd w:val="clear" w:color="auto" w:fill="auto"/>
          </w:tcPr>
          <w:p w14:paraId="55056D6C"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172</w:t>
            </w:r>
          </w:p>
        </w:tc>
        <w:tc>
          <w:tcPr>
            <w:tcW w:w="1276" w:type="dxa"/>
            <w:shd w:val="clear" w:color="auto" w:fill="auto"/>
          </w:tcPr>
          <w:p w14:paraId="4C43AEA9" w14:textId="77777777" w:rsidR="002139E4" w:rsidRDefault="002139E4" w:rsidP="001A259A">
            <w:pPr>
              <w:spacing w:before="40" w:after="120"/>
              <w:ind w:right="284"/>
              <w:jc w:val="right"/>
              <w:rPr>
                <w:sz w:val="20"/>
                <w:szCs w:val="20"/>
              </w:rPr>
            </w:pPr>
            <w:r>
              <w:rPr>
                <w:sz w:val="20"/>
                <w:szCs w:val="20"/>
              </w:rPr>
              <w:t>9</w:t>
            </w:r>
          </w:p>
        </w:tc>
        <w:tc>
          <w:tcPr>
            <w:tcW w:w="4252" w:type="dxa"/>
            <w:shd w:val="clear" w:color="auto" w:fill="auto"/>
            <w:vAlign w:val="center"/>
          </w:tcPr>
          <w:p w14:paraId="5B906ED9" w14:textId="77777777" w:rsidR="002139E4" w:rsidRPr="00296342" w:rsidRDefault="002139E4" w:rsidP="001A259A">
            <w:pPr>
              <w:spacing w:before="40" w:after="120"/>
              <w:ind w:right="113"/>
              <w:rPr>
                <w:sz w:val="20"/>
                <w:szCs w:val="20"/>
              </w:rPr>
            </w:pPr>
            <w:r w:rsidRPr="00FE4230">
              <w:rPr>
                <w:sz w:val="20"/>
                <w:szCs w:val="20"/>
              </w:rPr>
              <w:t>Written statement submitted by Jammu and Kashmir Council for Human Rights (JKCHR), a non-governmental organization in special consultative status</w:t>
            </w:r>
          </w:p>
        </w:tc>
      </w:tr>
      <w:tr w:rsidR="002139E4" w:rsidRPr="00CE032F" w14:paraId="2F9A660D" w14:textId="77777777" w:rsidTr="001A259A">
        <w:trPr>
          <w:trHeight w:val="255"/>
        </w:trPr>
        <w:tc>
          <w:tcPr>
            <w:tcW w:w="2410" w:type="dxa"/>
            <w:shd w:val="clear" w:color="auto" w:fill="auto"/>
          </w:tcPr>
          <w:p w14:paraId="4DDBE009"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173</w:t>
            </w:r>
          </w:p>
        </w:tc>
        <w:tc>
          <w:tcPr>
            <w:tcW w:w="1276" w:type="dxa"/>
            <w:shd w:val="clear" w:color="auto" w:fill="auto"/>
          </w:tcPr>
          <w:p w14:paraId="072E9B34"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2204DCE1" w14:textId="77777777" w:rsidR="002139E4" w:rsidRPr="00296342" w:rsidRDefault="002139E4" w:rsidP="001A259A">
            <w:pPr>
              <w:spacing w:before="40" w:after="120"/>
              <w:ind w:right="113"/>
              <w:rPr>
                <w:sz w:val="20"/>
                <w:szCs w:val="20"/>
              </w:rPr>
            </w:pPr>
            <w:r w:rsidRPr="00FE4230">
              <w:rPr>
                <w:sz w:val="20"/>
                <w:szCs w:val="20"/>
              </w:rPr>
              <w:t>Written statement submitted by Al-khoei Foundation, a non-governmental organization in general consultative status</w:t>
            </w:r>
          </w:p>
        </w:tc>
      </w:tr>
      <w:tr w:rsidR="002139E4" w:rsidRPr="00CE032F" w14:paraId="613336A9" w14:textId="77777777" w:rsidTr="001A259A">
        <w:trPr>
          <w:trHeight w:val="255"/>
        </w:trPr>
        <w:tc>
          <w:tcPr>
            <w:tcW w:w="2410" w:type="dxa"/>
            <w:shd w:val="clear" w:color="auto" w:fill="auto"/>
          </w:tcPr>
          <w:p w14:paraId="5149D10C"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174</w:t>
            </w:r>
          </w:p>
        </w:tc>
        <w:tc>
          <w:tcPr>
            <w:tcW w:w="1276" w:type="dxa"/>
            <w:shd w:val="clear" w:color="auto" w:fill="auto"/>
          </w:tcPr>
          <w:p w14:paraId="17E58869"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5BAEEFD2" w14:textId="77777777" w:rsidR="002139E4" w:rsidRPr="00296342" w:rsidRDefault="002139E4" w:rsidP="001A259A">
            <w:pPr>
              <w:spacing w:before="40" w:after="120"/>
              <w:ind w:right="113"/>
              <w:rPr>
                <w:sz w:val="20"/>
                <w:szCs w:val="20"/>
              </w:rPr>
            </w:pPr>
            <w:r>
              <w:rPr>
                <w:sz w:val="20"/>
                <w:szCs w:val="20"/>
              </w:rPr>
              <w:t>Exposé écrit</w:t>
            </w:r>
            <w:r w:rsidRPr="00FE4230">
              <w:rPr>
                <w:sz w:val="20"/>
                <w:szCs w:val="20"/>
              </w:rPr>
              <w:t xml:space="preserve"> présenté conjointement par Commission of the Churches on International Affairs of the World Council of Churches, organisation non gouvernementale dotées du statut </w:t>
            </w:r>
            <w:r w:rsidRPr="00FE4230">
              <w:rPr>
                <w:sz w:val="20"/>
                <w:szCs w:val="20"/>
              </w:rPr>
              <w:lastRenderedPageBreak/>
              <w:t>consultatif général, World Evangelical Alliance, organisation non gouvernementales dotées du statut consultatif spécial</w:t>
            </w:r>
          </w:p>
        </w:tc>
      </w:tr>
      <w:tr w:rsidR="002139E4" w:rsidRPr="00CE032F" w14:paraId="6AAAC1FB" w14:textId="77777777" w:rsidTr="001A259A">
        <w:trPr>
          <w:trHeight w:val="255"/>
        </w:trPr>
        <w:tc>
          <w:tcPr>
            <w:tcW w:w="2410" w:type="dxa"/>
            <w:shd w:val="clear" w:color="auto" w:fill="auto"/>
          </w:tcPr>
          <w:p w14:paraId="04C4D667" w14:textId="77777777" w:rsidR="002139E4" w:rsidRPr="00296342" w:rsidRDefault="002139E4" w:rsidP="001A259A">
            <w:pPr>
              <w:spacing w:before="40" w:after="120"/>
              <w:ind w:right="113"/>
              <w:rPr>
                <w:sz w:val="20"/>
                <w:szCs w:val="20"/>
              </w:rPr>
            </w:pPr>
            <w:r w:rsidRPr="00296342">
              <w:rPr>
                <w:sz w:val="20"/>
                <w:szCs w:val="20"/>
              </w:rPr>
              <w:lastRenderedPageBreak/>
              <w:t>A/HRC/40/NGO/</w:t>
            </w:r>
            <w:r>
              <w:rPr>
                <w:sz w:val="20"/>
                <w:szCs w:val="20"/>
              </w:rPr>
              <w:t>175</w:t>
            </w:r>
          </w:p>
        </w:tc>
        <w:tc>
          <w:tcPr>
            <w:tcW w:w="1276" w:type="dxa"/>
            <w:shd w:val="clear" w:color="auto" w:fill="auto"/>
          </w:tcPr>
          <w:p w14:paraId="0E61DB34"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5B230CB1" w14:textId="77777777" w:rsidR="002139E4" w:rsidRPr="00296342" w:rsidRDefault="002139E4" w:rsidP="001A259A">
            <w:pPr>
              <w:spacing w:before="40" w:after="120"/>
              <w:ind w:right="113"/>
              <w:rPr>
                <w:sz w:val="20"/>
                <w:szCs w:val="20"/>
              </w:rPr>
            </w:pPr>
            <w:r w:rsidRPr="00FE4230">
              <w:rPr>
                <w:sz w:val="20"/>
                <w:szCs w:val="20"/>
              </w:rPr>
              <w:t>Written statement submitted by World Evangelical Alliance, non-governmental organization in special consultative status</w:t>
            </w:r>
          </w:p>
        </w:tc>
      </w:tr>
      <w:tr w:rsidR="002139E4" w:rsidRPr="00CE032F" w14:paraId="62EC02DE" w14:textId="77777777" w:rsidTr="001A259A">
        <w:trPr>
          <w:trHeight w:val="255"/>
        </w:trPr>
        <w:tc>
          <w:tcPr>
            <w:tcW w:w="2410" w:type="dxa"/>
            <w:shd w:val="clear" w:color="auto" w:fill="auto"/>
          </w:tcPr>
          <w:p w14:paraId="33E0B8AA"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176</w:t>
            </w:r>
          </w:p>
        </w:tc>
        <w:tc>
          <w:tcPr>
            <w:tcW w:w="1276" w:type="dxa"/>
            <w:shd w:val="clear" w:color="auto" w:fill="auto"/>
          </w:tcPr>
          <w:p w14:paraId="4F191C9C"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116B781F" w14:textId="77777777" w:rsidR="002139E4" w:rsidRPr="00296342" w:rsidRDefault="002139E4" w:rsidP="001A259A">
            <w:pPr>
              <w:spacing w:before="40" w:after="120"/>
              <w:ind w:right="113"/>
              <w:rPr>
                <w:sz w:val="20"/>
                <w:szCs w:val="20"/>
              </w:rPr>
            </w:pPr>
            <w:r w:rsidRPr="00FE4230">
              <w:rPr>
                <w:sz w:val="20"/>
                <w:szCs w:val="20"/>
              </w:rPr>
              <w:t>Exposé écrit présenté par Association Internationale pour l</w:t>
            </w:r>
            <w:r>
              <w:rPr>
                <w:sz w:val="20"/>
                <w:szCs w:val="20"/>
              </w:rPr>
              <w:t>’</w:t>
            </w:r>
            <w:r w:rsidRPr="00FE4230">
              <w:rPr>
                <w:sz w:val="20"/>
                <w:szCs w:val="20"/>
              </w:rPr>
              <w:t>égalité des femmes, organisation non gouvernementale dotée du statut consultatif spécial</w:t>
            </w:r>
          </w:p>
        </w:tc>
      </w:tr>
      <w:tr w:rsidR="002139E4" w:rsidRPr="00CE032F" w14:paraId="42FB7B4C" w14:textId="77777777" w:rsidTr="001A259A">
        <w:trPr>
          <w:trHeight w:val="255"/>
        </w:trPr>
        <w:tc>
          <w:tcPr>
            <w:tcW w:w="2410" w:type="dxa"/>
            <w:shd w:val="clear" w:color="auto" w:fill="auto"/>
          </w:tcPr>
          <w:p w14:paraId="1336F50A"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177</w:t>
            </w:r>
          </w:p>
        </w:tc>
        <w:tc>
          <w:tcPr>
            <w:tcW w:w="1276" w:type="dxa"/>
            <w:shd w:val="clear" w:color="auto" w:fill="auto"/>
          </w:tcPr>
          <w:p w14:paraId="3E6333CF"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7EC7685C" w14:textId="77777777" w:rsidR="002139E4" w:rsidRPr="00296342" w:rsidRDefault="002139E4" w:rsidP="001A259A">
            <w:pPr>
              <w:spacing w:before="40" w:after="120"/>
              <w:ind w:right="113"/>
              <w:rPr>
                <w:sz w:val="20"/>
                <w:szCs w:val="20"/>
              </w:rPr>
            </w:pPr>
            <w:r w:rsidRPr="00FE4230">
              <w:rPr>
                <w:sz w:val="20"/>
                <w:szCs w:val="20"/>
              </w:rPr>
              <w:t>Written statement submitted by Society for Threatened Peoples, a non-governmental organization in special consultative status</w:t>
            </w:r>
          </w:p>
        </w:tc>
      </w:tr>
      <w:tr w:rsidR="002139E4" w:rsidRPr="00CE032F" w14:paraId="575F2E90" w14:textId="77777777" w:rsidTr="001A259A">
        <w:trPr>
          <w:trHeight w:val="255"/>
        </w:trPr>
        <w:tc>
          <w:tcPr>
            <w:tcW w:w="2410" w:type="dxa"/>
            <w:shd w:val="clear" w:color="auto" w:fill="auto"/>
          </w:tcPr>
          <w:p w14:paraId="44B5DF69"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178</w:t>
            </w:r>
          </w:p>
        </w:tc>
        <w:tc>
          <w:tcPr>
            <w:tcW w:w="1276" w:type="dxa"/>
            <w:shd w:val="clear" w:color="auto" w:fill="auto"/>
          </w:tcPr>
          <w:p w14:paraId="10489FF5" w14:textId="77777777" w:rsidR="002139E4" w:rsidRDefault="002139E4" w:rsidP="001A259A">
            <w:pPr>
              <w:spacing w:before="40" w:after="120"/>
              <w:ind w:right="284"/>
              <w:jc w:val="right"/>
              <w:rPr>
                <w:sz w:val="20"/>
                <w:szCs w:val="20"/>
              </w:rPr>
            </w:pPr>
            <w:r>
              <w:rPr>
                <w:sz w:val="20"/>
                <w:szCs w:val="20"/>
              </w:rPr>
              <w:t>6</w:t>
            </w:r>
          </w:p>
        </w:tc>
        <w:tc>
          <w:tcPr>
            <w:tcW w:w="4252" w:type="dxa"/>
            <w:shd w:val="clear" w:color="auto" w:fill="auto"/>
            <w:vAlign w:val="center"/>
          </w:tcPr>
          <w:p w14:paraId="4D2D2131" w14:textId="77777777" w:rsidR="002139E4" w:rsidRPr="00296342" w:rsidRDefault="002139E4" w:rsidP="001A259A">
            <w:pPr>
              <w:spacing w:before="40" w:after="120"/>
              <w:ind w:right="113"/>
              <w:rPr>
                <w:sz w:val="20"/>
                <w:szCs w:val="20"/>
              </w:rPr>
            </w:pPr>
            <w:r w:rsidRPr="00FE4230">
              <w:rPr>
                <w:sz w:val="20"/>
                <w:szCs w:val="20"/>
              </w:rPr>
              <w:t>Exposición escrita presentada por la Unión Nacional de Juristas de Cuba, organización no gubernamental reconocida como entidad consultiva especial</w:t>
            </w:r>
          </w:p>
        </w:tc>
      </w:tr>
      <w:tr w:rsidR="002139E4" w:rsidRPr="00CE032F" w14:paraId="40AC8738" w14:textId="77777777" w:rsidTr="001A259A">
        <w:trPr>
          <w:trHeight w:val="255"/>
        </w:trPr>
        <w:tc>
          <w:tcPr>
            <w:tcW w:w="2410" w:type="dxa"/>
            <w:shd w:val="clear" w:color="auto" w:fill="auto"/>
          </w:tcPr>
          <w:p w14:paraId="798A3B60"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179</w:t>
            </w:r>
          </w:p>
        </w:tc>
        <w:tc>
          <w:tcPr>
            <w:tcW w:w="1276" w:type="dxa"/>
            <w:shd w:val="clear" w:color="auto" w:fill="auto"/>
          </w:tcPr>
          <w:p w14:paraId="4714D5C0"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0558F49B" w14:textId="77777777" w:rsidR="002139E4" w:rsidRPr="00296342" w:rsidRDefault="002139E4" w:rsidP="001A259A">
            <w:pPr>
              <w:spacing w:before="40" w:after="120"/>
              <w:ind w:right="113"/>
              <w:rPr>
                <w:sz w:val="20"/>
                <w:szCs w:val="20"/>
              </w:rPr>
            </w:pPr>
            <w:r w:rsidRPr="00FE4230">
              <w:rPr>
                <w:sz w:val="20"/>
                <w:szCs w:val="20"/>
              </w:rPr>
              <w:t>Written statement submitted by the Network of Women</w:t>
            </w:r>
            <w:r>
              <w:rPr>
                <w:sz w:val="20"/>
                <w:szCs w:val="20"/>
              </w:rPr>
              <w:t>’</w:t>
            </w:r>
            <w:r w:rsidRPr="00FE4230">
              <w:rPr>
                <w:sz w:val="20"/>
                <w:szCs w:val="20"/>
              </w:rPr>
              <w:t>s Non-governmental Organizations in the Islamic Republic of Iran, non-governmental organization in special consultative status</w:t>
            </w:r>
          </w:p>
        </w:tc>
      </w:tr>
      <w:tr w:rsidR="002139E4" w:rsidRPr="00CE032F" w14:paraId="2AE893D8" w14:textId="77777777" w:rsidTr="001A259A">
        <w:trPr>
          <w:trHeight w:val="255"/>
        </w:trPr>
        <w:tc>
          <w:tcPr>
            <w:tcW w:w="2410" w:type="dxa"/>
            <w:shd w:val="clear" w:color="auto" w:fill="auto"/>
          </w:tcPr>
          <w:p w14:paraId="35CC4FED"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180</w:t>
            </w:r>
          </w:p>
        </w:tc>
        <w:tc>
          <w:tcPr>
            <w:tcW w:w="1276" w:type="dxa"/>
            <w:shd w:val="clear" w:color="auto" w:fill="auto"/>
          </w:tcPr>
          <w:p w14:paraId="7A23161A"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2F13EFF0" w14:textId="77777777" w:rsidR="002139E4" w:rsidRPr="00296342" w:rsidRDefault="002139E4" w:rsidP="001A259A">
            <w:pPr>
              <w:spacing w:before="40" w:after="120"/>
              <w:ind w:right="113"/>
              <w:rPr>
                <w:sz w:val="20"/>
                <w:szCs w:val="20"/>
              </w:rPr>
            </w:pPr>
            <w:r w:rsidRPr="00FE4230">
              <w:rPr>
                <w:sz w:val="20"/>
                <w:szCs w:val="20"/>
              </w:rPr>
              <w:t>Written statement submitted by the Society of Iranian Women Advocating Sustainable Development of Environment, a non-governmental organization on the roster</w:t>
            </w:r>
          </w:p>
        </w:tc>
      </w:tr>
      <w:tr w:rsidR="002139E4" w:rsidRPr="00CE032F" w14:paraId="56EB51B5" w14:textId="77777777" w:rsidTr="001A259A">
        <w:trPr>
          <w:trHeight w:val="255"/>
        </w:trPr>
        <w:tc>
          <w:tcPr>
            <w:tcW w:w="2410" w:type="dxa"/>
            <w:shd w:val="clear" w:color="auto" w:fill="auto"/>
          </w:tcPr>
          <w:p w14:paraId="377C8E26"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181</w:t>
            </w:r>
          </w:p>
        </w:tc>
        <w:tc>
          <w:tcPr>
            <w:tcW w:w="1276" w:type="dxa"/>
            <w:shd w:val="clear" w:color="auto" w:fill="auto"/>
          </w:tcPr>
          <w:p w14:paraId="406628FD"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2A3F3BF1" w14:textId="77777777" w:rsidR="002139E4" w:rsidRPr="00296342" w:rsidRDefault="002139E4" w:rsidP="001A259A">
            <w:pPr>
              <w:spacing w:before="40" w:after="120"/>
              <w:ind w:right="113"/>
              <w:rPr>
                <w:sz w:val="20"/>
                <w:szCs w:val="20"/>
              </w:rPr>
            </w:pPr>
            <w:r>
              <w:rPr>
                <w:sz w:val="20"/>
                <w:szCs w:val="20"/>
              </w:rPr>
              <w:t>Written statement</w:t>
            </w:r>
            <w:r w:rsidRPr="00FE4230">
              <w:rPr>
                <w:sz w:val="20"/>
                <w:szCs w:val="20"/>
              </w:rPr>
              <w:t xml:space="preserve"> submitted by Standing Voice, a non-governmental organization in special consultative status</w:t>
            </w:r>
          </w:p>
        </w:tc>
      </w:tr>
      <w:tr w:rsidR="002139E4" w:rsidRPr="00CE032F" w14:paraId="05CCF080" w14:textId="77777777" w:rsidTr="001A259A">
        <w:trPr>
          <w:trHeight w:val="255"/>
        </w:trPr>
        <w:tc>
          <w:tcPr>
            <w:tcW w:w="2410" w:type="dxa"/>
            <w:shd w:val="clear" w:color="auto" w:fill="auto"/>
          </w:tcPr>
          <w:p w14:paraId="1CAA7FB2"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182</w:t>
            </w:r>
          </w:p>
        </w:tc>
        <w:tc>
          <w:tcPr>
            <w:tcW w:w="1276" w:type="dxa"/>
            <w:shd w:val="clear" w:color="auto" w:fill="auto"/>
          </w:tcPr>
          <w:p w14:paraId="53F19B91" w14:textId="77777777" w:rsidR="002139E4" w:rsidRDefault="002139E4" w:rsidP="001A259A">
            <w:pPr>
              <w:spacing w:before="40" w:after="120"/>
              <w:ind w:right="284"/>
              <w:jc w:val="right"/>
              <w:rPr>
                <w:sz w:val="20"/>
                <w:szCs w:val="20"/>
              </w:rPr>
            </w:pPr>
            <w:r>
              <w:rPr>
                <w:sz w:val="20"/>
                <w:szCs w:val="20"/>
              </w:rPr>
              <w:t>5</w:t>
            </w:r>
          </w:p>
        </w:tc>
        <w:tc>
          <w:tcPr>
            <w:tcW w:w="4252" w:type="dxa"/>
            <w:shd w:val="clear" w:color="auto" w:fill="auto"/>
            <w:vAlign w:val="center"/>
          </w:tcPr>
          <w:p w14:paraId="76E9E396" w14:textId="77777777" w:rsidR="002139E4" w:rsidRPr="00296342" w:rsidRDefault="002139E4" w:rsidP="001A259A">
            <w:pPr>
              <w:spacing w:before="40" w:after="120"/>
              <w:ind w:right="113"/>
              <w:rPr>
                <w:sz w:val="20"/>
                <w:szCs w:val="20"/>
              </w:rPr>
            </w:pPr>
            <w:r w:rsidRPr="00FE4230">
              <w:rPr>
                <w:sz w:val="20"/>
                <w:szCs w:val="20"/>
              </w:rPr>
              <w:t>Written statement submitted by International Career Support Association, a non-governmental organization in special consultative status</w:t>
            </w:r>
          </w:p>
        </w:tc>
      </w:tr>
      <w:tr w:rsidR="002139E4" w:rsidRPr="00CE032F" w14:paraId="2A631952" w14:textId="77777777" w:rsidTr="001A259A">
        <w:trPr>
          <w:trHeight w:val="255"/>
        </w:trPr>
        <w:tc>
          <w:tcPr>
            <w:tcW w:w="2410" w:type="dxa"/>
            <w:shd w:val="clear" w:color="auto" w:fill="auto"/>
          </w:tcPr>
          <w:p w14:paraId="22330D7B"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183</w:t>
            </w:r>
          </w:p>
        </w:tc>
        <w:tc>
          <w:tcPr>
            <w:tcW w:w="1276" w:type="dxa"/>
            <w:shd w:val="clear" w:color="auto" w:fill="auto"/>
          </w:tcPr>
          <w:p w14:paraId="1B98FD41" w14:textId="77777777" w:rsidR="002139E4" w:rsidRDefault="002139E4" w:rsidP="001A259A">
            <w:pPr>
              <w:spacing w:before="40" w:after="120"/>
              <w:ind w:right="284"/>
              <w:jc w:val="right"/>
              <w:rPr>
                <w:sz w:val="20"/>
                <w:szCs w:val="20"/>
              </w:rPr>
            </w:pPr>
            <w:r>
              <w:rPr>
                <w:sz w:val="20"/>
                <w:szCs w:val="20"/>
              </w:rPr>
              <w:t>7</w:t>
            </w:r>
          </w:p>
        </w:tc>
        <w:tc>
          <w:tcPr>
            <w:tcW w:w="4252" w:type="dxa"/>
            <w:shd w:val="clear" w:color="auto" w:fill="auto"/>
            <w:vAlign w:val="center"/>
          </w:tcPr>
          <w:p w14:paraId="57386AB9" w14:textId="77777777" w:rsidR="002139E4" w:rsidRPr="00296342" w:rsidRDefault="002139E4" w:rsidP="001A259A">
            <w:pPr>
              <w:spacing w:before="40" w:after="120"/>
              <w:ind w:right="113"/>
              <w:rPr>
                <w:sz w:val="20"/>
                <w:szCs w:val="20"/>
              </w:rPr>
            </w:pPr>
            <w:r w:rsidRPr="00FE4230">
              <w:rPr>
                <w:sz w:val="20"/>
                <w:szCs w:val="20"/>
              </w:rPr>
              <w:t>Written statement submitted by Medical Aid for Palestinians (MAP), a non-governmental organization in special consultative status</w:t>
            </w:r>
          </w:p>
        </w:tc>
      </w:tr>
      <w:tr w:rsidR="002139E4" w:rsidRPr="00CE032F" w14:paraId="5A004587" w14:textId="77777777" w:rsidTr="001A259A">
        <w:trPr>
          <w:trHeight w:val="255"/>
        </w:trPr>
        <w:tc>
          <w:tcPr>
            <w:tcW w:w="2410" w:type="dxa"/>
            <w:shd w:val="clear" w:color="auto" w:fill="auto"/>
          </w:tcPr>
          <w:p w14:paraId="36CF17A9"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184</w:t>
            </w:r>
          </w:p>
        </w:tc>
        <w:tc>
          <w:tcPr>
            <w:tcW w:w="1276" w:type="dxa"/>
            <w:shd w:val="clear" w:color="auto" w:fill="auto"/>
          </w:tcPr>
          <w:p w14:paraId="41CB8310"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376FE065" w14:textId="77777777" w:rsidR="002139E4" w:rsidRPr="00296342" w:rsidRDefault="002139E4" w:rsidP="001A259A">
            <w:pPr>
              <w:spacing w:before="40" w:after="120"/>
              <w:ind w:right="113"/>
              <w:rPr>
                <w:sz w:val="20"/>
                <w:szCs w:val="20"/>
              </w:rPr>
            </w:pPr>
            <w:r w:rsidRPr="00FE4230">
              <w:rPr>
                <w:sz w:val="20"/>
                <w:szCs w:val="20"/>
              </w:rPr>
              <w:t>Written statement submitted by Iranian Elite Research Center, a non-governmental organization in special consultative status</w:t>
            </w:r>
          </w:p>
        </w:tc>
      </w:tr>
      <w:tr w:rsidR="002139E4" w:rsidRPr="00CE032F" w14:paraId="61F84B72" w14:textId="77777777" w:rsidTr="001A259A">
        <w:trPr>
          <w:trHeight w:val="255"/>
        </w:trPr>
        <w:tc>
          <w:tcPr>
            <w:tcW w:w="2410" w:type="dxa"/>
            <w:shd w:val="clear" w:color="auto" w:fill="auto"/>
          </w:tcPr>
          <w:p w14:paraId="577826C8"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185</w:t>
            </w:r>
          </w:p>
        </w:tc>
        <w:tc>
          <w:tcPr>
            <w:tcW w:w="1276" w:type="dxa"/>
            <w:shd w:val="clear" w:color="auto" w:fill="auto"/>
          </w:tcPr>
          <w:p w14:paraId="37749F39"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100D1C03" w14:textId="77777777" w:rsidR="002139E4" w:rsidRPr="00296342" w:rsidRDefault="002139E4" w:rsidP="001A259A">
            <w:pPr>
              <w:spacing w:before="40" w:after="120"/>
              <w:ind w:right="113"/>
              <w:rPr>
                <w:sz w:val="20"/>
                <w:szCs w:val="20"/>
              </w:rPr>
            </w:pPr>
            <w:r w:rsidRPr="00FE4230">
              <w:rPr>
                <w:sz w:val="20"/>
                <w:szCs w:val="20"/>
              </w:rPr>
              <w:t>Written statement submitted by Women</w:t>
            </w:r>
            <w:r>
              <w:rPr>
                <w:sz w:val="20"/>
                <w:szCs w:val="20"/>
              </w:rPr>
              <w:t>’</w:t>
            </w:r>
            <w:r w:rsidRPr="00FE4230">
              <w:rPr>
                <w:sz w:val="20"/>
                <w:szCs w:val="20"/>
              </w:rPr>
              <w:t>s Human Rights International Association, a non-governmental organization in special consultative status</w:t>
            </w:r>
          </w:p>
        </w:tc>
      </w:tr>
      <w:tr w:rsidR="002139E4" w:rsidRPr="00CE032F" w14:paraId="42382206" w14:textId="77777777" w:rsidTr="001A259A">
        <w:trPr>
          <w:trHeight w:val="255"/>
        </w:trPr>
        <w:tc>
          <w:tcPr>
            <w:tcW w:w="2410" w:type="dxa"/>
            <w:shd w:val="clear" w:color="auto" w:fill="auto"/>
          </w:tcPr>
          <w:p w14:paraId="0D7342A3"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186</w:t>
            </w:r>
          </w:p>
        </w:tc>
        <w:tc>
          <w:tcPr>
            <w:tcW w:w="1276" w:type="dxa"/>
            <w:shd w:val="clear" w:color="auto" w:fill="auto"/>
          </w:tcPr>
          <w:p w14:paraId="19D0221C"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60B95D2B" w14:textId="77777777" w:rsidR="002139E4" w:rsidRPr="00296342" w:rsidRDefault="002139E4" w:rsidP="001A259A">
            <w:pPr>
              <w:spacing w:before="40" w:after="120"/>
              <w:ind w:right="113"/>
              <w:rPr>
                <w:sz w:val="20"/>
                <w:szCs w:val="20"/>
              </w:rPr>
            </w:pPr>
            <w:r w:rsidRPr="00FE4230">
              <w:rPr>
                <w:sz w:val="20"/>
                <w:szCs w:val="20"/>
              </w:rPr>
              <w:t>Written statement submitted by Americans for Democracy &amp; Human Rights in Bahrain Inc, a non-</w:t>
            </w:r>
            <w:r w:rsidRPr="00FE4230">
              <w:rPr>
                <w:sz w:val="20"/>
                <w:szCs w:val="20"/>
              </w:rPr>
              <w:lastRenderedPageBreak/>
              <w:t>governmental organization in special consultative status</w:t>
            </w:r>
          </w:p>
        </w:tc>
      </w:tr>
      <w:tr w:rsidR="002139E4" w:rsidRPr="00CE032F" w14:paraId="49D68290" w14:textId="77777777" w:rsidTr="001A259A">
        <w:trPr>
          <w:trHeight w:val="255"/>
        </w:trPr>
        <w:tc>
          <w:tcPr>
            <w:tcW w:w="2410" w:type="dxa"/>
            <w:shd w:val="clear" w:color="auto" w:fill="auto"/>
          </w:tcPr>
          <w:p w14:paraId="7E7E0D21" w14:textId="77777777" w:rsidR="002139E4" w:rsidRPr="00296342" w:rsidRDefault="002139E4" w:rsidP="001A259A">
            <w:pPr>
              <w:spacing w:before="40" w:after="120"/>
              <w:ind w:right="113"/>
              <w:rPr>
                <w:sz w:val="20"/>
                <w:szCs w:val="20"/>
              </w:rPr>
            </w:pPr>
            <w:r w:rsidRPr="00296342">
              <w:rPr>
                <w:sz w:val="20"/>
                <w:szCs w:val="20"/>
              </w:rPr>
              <w:lastRenderedPageBreak/>
              <w:t>A/HRC/40/NGO/</w:t>
            </w:r>
            <w:r>
              <w:rPr>
                <w:sz w:val="20"/>
                <w:szCs w:val="20"/>
              </w:rPr>
              <w:t>187</w:t>
            </w:r>
          </w:p>
        </w:tc>
        <w:tc>
          <w:tcPr>
            <w:tcW w:w="1276" w:type="dxa"/>
            <w:shd w:val="clear" w:color="auto" w:fill="auto"/>
          </w:tcPr>
          <w:p w14:paraId="44CA99BB"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2B7886C2" w14:textId="77777777" w:rsidR="002139E4" w:rsidRPr="00296342" w:rsidRDefault="002139E4" w:rsidP="001A259A">
            <w:pPr>
              <w:spacing w:before="40" w:after="120"/>
              <w:ind w:right="113"/>
              <w:rPr>
                <w:sz w:val="20"/>
                <w:szCs w:val="20"/>
              </w:rPr>
            </w:pPr>
            <w:r w:rsidRPr="00FE4230">
              <w:rPr>
                <w:sz w:val="20"/>
                <w:szCs w:val="20"/>
              </w:rPr>
              <w:t>Joint written statement submitted by Greenpeace International, non-governmental organizations in general consultative status, International Association of Democratic Lawyers (IADL), non-governmental organizations in special consultative status</w:t>
            </w:r>
          </w:p>
        </w:tc>
      </w:tr>
      <w:tr w:rsidR="002139E4" w:rsidRPr="00CE032F" w14:paraId="161431DC" w14:textId="77777777" w:rsidTr="001A259A">
        <w:trPr>
          <w:trHeight w:val="255"/>
        </w:trPr>
        <w:tc>
          <w:tcPr>
            <w:tcW w:w="2410" w:type="dxa"/>
            <w:shd w:val="clear" w:color="auto" w:fill="auto"/>
          </w:tcPr>
          <w:p w14:paraId="455BB018"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188</w:t>
            </w:r>
          </w:p>
        </w:tc>
        <w:tc>
          <w:tcPr>
            <w:tcW w:w="1276" w:type="dxa"/>
            <w:shd w:val="clear" w:color="auto" w:fill="auto"/>
          </w:tcPr>
          <w:p w14:paraId="697F6421"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573136E7" w14:textId="77777777" w:rsidR="002139E4" w:rsidRPr="00296342" w:rsidRDefault="002139E4" w:rsidP="001A259A">
            <w:pPr>
              <w:spacing w:before="40" w:after="120"/>
              <w:ind w:right="113"/>
              <w:rPr>
                <w:sz w:val="20"/>
                <w:szCs w:val="20"/>
              </w:rPr>
            </w:pPr>
            <w:r w:rsidRPr="00FE4230">
              <w:rPr>
                <w:sz w:val="20"/>
                <w:szCs w:val="20"/>
              </w:rPr>
              <w:t>Written statement submitted by International Human Rights Association of American Minorities (IHRAAM), a non-governmental organization on the roster</w:t>
            </w:r>
          </w:p>
        </w:tc>
      </w:tr>
      <w:tr w:rsidR="002139E4" w:rsidRPr="00CE032F" w14:paraId="3A569B74" w14:textId="77777777" w:rsidTr="001A259A">
        <w:trPr>
          <w:trHeight w:val="255"/>
        </w:trPr>
        <w:tc>
          <w:tcPr>
            <w:tcW w:w="2410" w:type="dxa"/>
            <w:shd w:val="clear" w:color="auto" w:fill="auto"/>
          </w:tcPr>
          <w:p w14:paraId="1FC974A7"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189</w:t>
            </w:r>
          </w:p>
        </w:tc>
        <w:tc>
          <w:tcPr>
            <w:tcW w:w="1276" w:type="dxa"/>
            <w:shd w:val="clear" w:color="auto" w:fill="auto"/>
          </w:tcPr>
          <w:p w14:paraId="0E8CF932" w14:textId="77777777" w:rsidR="002139E4" w:rsidRDefault="002139E4" w:rsidP="001A259A">
            <w:pPr>
              <w:spacing w:before="40" w:after="120"/>
              <w:ind w:right="284"/>
              <w:jc w:val="right"/>
              <w:rPr>
                <w:sz w:val="20"/>
                <w:szCs w:val="20"/>
              </w:rPr>
            </w:pPr>
            <w:r>
              <w:rPr>
                <w:sz w:val="20"/>
                <w:szCs w:val="20"/>
              </w:rPr>
              <w:t>5</w:t>
            </w:r>
          </w:p>
        </w:tc>
        <w:tc>
          <w:tcPr>
            <w:tcW w:w="4252" w:type="dxa"/>
            <w:shd w:val="clear" w:color="auto" w:fill="auto"/>
            <w:vAlign w:val="center"/>
          </w:tcPr>
          <w:p w14:paraId="5140B46D" w14:textId="77777777" w:rsidR="002139E4" w:rsidRPr="00296342" w:rsidRDefault="002139E4" w:rsidP="001A259A">
            <w:pPr>
              <w:spacing w:before="40" w:after="120"/>
              <w:ind w:right="113"/>
              <w:rPr>
                <w:sz w:val="20"/>
                <w:szCs w:val="20"/>
              </w:rPr>
            </w:pPr>
            <w:r>
              <w:rPr>
                <w:sz w:val="20"/>
                <w:szCs w:val="20"/>
              </w:rPr>
              <w:t>Written statement</w:t>
            </w:r>
            <w:r w:rsidRPr="00FE4230">
              <w:rPr>
                <w:sz w:val="20"/>
                <w:szCs w:val="20"/>
              </w:rPr>
              <w:t xml:space="preserve"> submitted by International Human Rights Association of American Minorities (IHRAAM), a non-governmental organization on the roster</w:t>
            </w:r>
          </w:p>
        </w:tc>
      </w:tr>
      <w:tr w:rsidR="002139E4" w:rsidRPr="00CE032F" w14:paraId="018EC19F" w14:textId="77777777" w:rsidTr="001A259A">
        <w:trPr>
          <w:trHeight w:val="255"/>
        </w:trPr>
        <w:tc>
          <w:tcPr>
            <w:tcW w:w="2410" w:type="dxa"/>
            <w:shd w:val="clear" w:color="auto" w:fill="auto"/>
          </w:tcPr>
          <w:p w14:paraId="27969386"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190</w:t>
            </w:r>
          </w:p>
        </w:tc>
        <w:tc>
          <w:tcPr>
            <w:tcW w:w="1276" w:type="dxa"/>
            <w:shd w:val="clear" w:color="auto" w:fill="auto"/>
          </w:tcPr>
          <w:p w14:paraId="56A6421C"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4343227C" w14:textId="77777777" w:rsidR="002139E4" w:rsidRPr="00296342" w:rsidRDefault="002139E4" w:rsidP="001A259A">
            <w:pPr>
              <w:spacing w:before="40" w:after="120"/>
              <w:ind w:right="113"/>
              <w:rPr>
                <w:sz w:val="20"/>
                <w:szCs w:val="20"/>
              </w:rPr>
            </w:pPr>
            <w:r w:rsidRPr="00FE4230">
              <w:rPr>
                <w:sz w:val="20"/>
                <w:szCs w:val="20"/>
              </w:rPr>
              <w:t>Written statement submitted by Association for Defending Victims of Terrorism, a non-governmental organization in special consultative status</w:t>
            </w:r>
          </w:p>
        </w:tc>
      </w:tr>
      <w:tr w:rsidR="002139E4" w:rsidRPr="00CE032F" w14:paraId="2D5FD672" w14:textId="77777777" w:rsidTr="001A259A">
        <w:trPr>
          <w:trHeight w:val="255"/>
        </w:trPr>
        <w:tc>
          <w:tcPr>
            <w:tcW w:w="2410" w:type="dxa"/>
            <w:shd w:val="clear" w:color="auto" w:fill="auto"/>
          </w:tcPr>
          <w:p w14:paraId="5CA6AAAE"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191</w:t>
            </w:r>
          </w:p>
        </w:tc>
        <w:tc>
          <w:tcPr>
            <w:tcW w:w="1276" w:type="dxa"/>
            <w:shd w:val="clear" w:color="auto" w:fill="auto"/>
          </w:tcPr>
          <w:p w14:paraId="00EEBEB7"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621727D4" w14:textId="77777777" w:rsidR="002139E4" w:rsidRPr="00296342" w:rsidRDefault="002139E4" w:rsidP="001A259A">
            <w:pPr>
              <w:spacing w:before="40" w:after="120"/>
              <w:ind w:right="113"/>
              <w:rPr>
                <w:sz w:val="20"/>
                <w:szCs w:val="20"/>
              </w:rPr>
            </w:pPr>
            <w:r w:rsidRPr="00FE4230">
              <w:rPr>
                <w:sz w:val="20"/>
                <w:szCs w:val="20"/>
              </w:rPr>
              <w:t>Written statement submitted by International Association of Democratic Lawyers (IADL), a non-governmental organization in special consultative status</w:t>
            </w:r>
          </w:p>
        </w:tc>
      </w:tr>
      <w:tr w:rsidR="002139E4" w:rsidRPr="00CE032F" w14:paraId="38C87C95" w14:textId="77777777" w:rsidTr="001A259A">
        <w:trPr>
          <w:trHeight w:val="255"/>
        </w:trPr>
        <w:tc>
          <w:tcPr>
            <w:tcW w:w="2410" w:type="dxa"/>
            <w:shd w:val="clear" w:color="auto" w:fill="auto"/>
          </w:tcPr>
          <w:p w14:paraId="50B29DF8"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192</w:t>
            </w:r>
          </w:p>
        </w:tc>
        <w:tc>
          <w:tcPr>
            <w:tcW w:w="1276" w:type="dxa"/>
            <w:shd w:val="clear" w:color="auto" w:fill="auto"/>
          </w:tcPr>
          <w:p w14:paraId="6F6302AA" w14:textId="77777777" w:rsidR="002139E4" w:rsidRDefault="002139E4" w:rsidP="001A259A">
            <w:pPr>
              <w:spacing w:before="40" w:after="120"/>
              <w:ind w:right="284"/>
              <w:jc w:val="right"/>
              <w:rPr>
                <w:sz w:val="20"/>
                <w:szCs w:val="20"/>
              </w:rPr>
            </w:pPr>
            <w:r>
              <w:rPr>
                <w:sz w:val="20"/>
                <w:szCs w:val="20"/>
              </w:rPr>
              <w:t>6</w:t>
            </w:r>
          </w:p>
        </w:tc>
        <w:tc>
          <w:tcPr>
            <w:tcW w:w="4252" w:type="dxa"/>
            <w:shd w:val="clear" w:color="auto" w:fill="auto"/>
            <w:vAlign w:val="center"/>
          </w:tcPr>
          <w:p w14:paraId="446A3037" w14:textId="77777777" w:rsidR="002139E4" w:rsidRPr="00296342" w:rsidRDefault="002139E4" w:rsidP="001A259A">
            <w:pPr>
              <w:spacing w:before="40" w:after="120"/>
              <w:ind w:right="113"/>
              <w:rPr>
                <w:sz w:val="20"/>
                <w:szCs w:val="20"/>
              </w:rPr>
            </w:pPr>
            <w:r w:rsidRPr="00FE4230">
              <w:rPr>
                <w:sz w:val="20"/>
                <w:szCs w:val="20"/>
              </w:rPr>
              <w:t>Exposición escrita presentada por la Asociación Cubana de las Naciones Unidas (Cuban United Nations Association), organización no gubernamental reconocida como entidad consultiva especial</w:t>
            </w:r>
          </w:p>
        </w:tc>
      </w:tr>
      <w:tr w:rsidR="002139E4" w:rsidRPr="00CE032F" w14:paraId="5BB55DAA" w14:textId="77777777" w:rsidTr="001A259A">
        <w:trPr>
          <w:trHeight w:val="255"/>
        </w:trPr>
        <w:tc>
          <w:tcPr>
            <w:tcW w:w="2410" w:type="dxa"/>
            <w:shd w:val="clear" w:color="auto" w:fill="auto"/>
          </w:tcPr>
          <w:p w14:paraId="7E60285B"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193</w:t>
            </w:r>
          </w:p>
        </w:tc>
        <w:tc>
          <w:tcPr>
            <w:tcW w:w="1276" w:type="dxa"/>
            <w:shd w:val="clear" w:color="auto" w:fill="auto"/>
          </w:tcPr>
          <w:p w14:paraId="49F92F28"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7792F45C" w14:textId="77777777" w:rsidR="002139E4" w:rsidRPr="00296342" w:rsidRDefault="002139E4" w:rsidP="001A259A">
            <w:pPr>
              <w:spacing w:before="40" w:after="120"/>
              <w:ind w:right="113"/>
              <w:rPr>
                <w:sz w:val="20"/>
                <w:szCs w:val="20"/>
              </w:rPr>
            </w:pPr>
            <w:r w:rsidRPr="00FE4230">
              <w:rPr>
                <w:sz w:val="20"/>
                <w:szCs w:val="20"/>
              </w:rPr>
              <w:t>Joint written statement submitted by the International Organization for the Elimination of All Forms of Racial Discrimination (EAFORD), International-Lawyers.Org, United Towns Agency for North-South Cooperation, non-governmental organizations in special consultative status, International Educational Development, Inc., World Peace Council, non-governmental organizations on the roster</w:t>
            </w:r>
          </w:p>
        </w:tc>
      </w:tr>
      <w:tr w:rsidR="002139E4" w:rsidRPr="00CE032F" w14:paraId="05539D36" w14:textId="77777777" w:rsidTr="001A259A">
        <w:trPr>
          <w:trHeight w:val="255"/>
        </w:trPr>
        <w:tc>
          <w:tcPr>
            <w:tcW w:w="2410" w:type="dxa"/>
            <w:shd w:val="clear" w:color="auto" w:fill="auto"/>
          </w:tcPr>
          <w:p w14:paraId="57D7207E"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194</w:t>
            </w:r>
          </w:p>
        </w:tc>
        <w:tc>
          <w:tcPr>
            <w:tcW w:w="1276" w:type="dxa"/>
            <w:shd w:val="clear" w:color="auto" w:fill="auto"/>
          </w:tcPr>
          <w:p w14:paraId="73066487"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574B7851" w14:textId="77777777" w:rsidR="002139E4" w:rsidRPr="00296342" w:rsidRDefault="002139E4" w:rsidP="001A259A">
            <w:pPr>
              <w:spacing w:before="40" w:after="120"/>
              <w:ind w:right="113"/>
              <w:rPr>
                <w:sz w:val="20"/>
                <w:szCs w:val="20"/>
              </w:rPr>
            </w:pPr>
            <w:r>
              <w:rPr>
                <w:sz w:val="20"/>
                <w:szCs w:val="20"/>
              </w:rPr>
              <w:t>Joint written statement</w:t>
            </w:r>
            <w:r w:rsidRPr="00FE4230">
              <w:rPr>
                <w:sz w:val="20"/>
                <w:szCs w:val="20"/>
              </w:rPr>
              <w:t xml:space="preserve"> submitted by the International Organization for the Elimination of All Forms of Racial Discrimination (EAFORD), International-Lawyers.Org, United Towns Agency for North-South Cooperation, non-governmental organizations in special consultative status, International Educational Development, Inc., </w:t>
            </w:r>
            <w:r w:rsidRPr="00FE4230">
              <w:rPr>
                <w:sz w:val="20"/>
                <w:szCs w:val="20"/>
              </w:rPr>
              <w:lastRenderedPageBreak/>
              <w:t>World Peace Council, non-governmental organizations on the roster</w:t>
            </w:r>
          </w:p>
        </w:tc>
      </w:tr>
      <w:tr w:rsidR="002139E4" w:rsidRPr="00CE032F" w14:paraId="03BB9434" w14:textId="77777777" w:rsidTr="001A259A">
        <w:trPr>
          <w:trHeight w:val="255"/>
        </w:trPr>
        <w:tc>
          <w:tcPr>
            <w:tcW w:w="2410" w:type="dxa"/>
            <w:shd w:val="clear" w:color="auto" w:fill="auto"/>
          </w:tcPr>
          <w:p w14:paraId="73C2D5AA" w14:textId="77777777" w:rsidR="002139E4" w:rsidRPr="00296342" w:rsidRDefault="002139E4" w:rsidP="001A259A">
            <w:pPr>
              <w:spacing w:before="40" w:after="120"/>
              <w:ind w:right="113"/>
              <w:rPr>
                <w:sz w:val="20"/>
                <w:szCs w:val="20"/>
              </w:rPr>
            </w:pPr>
            <w:r w:rsidRPr="00296342">
              <w:rPr>
                <w:sz w:val="20"/>
                <w:szCs w:val="20"/>
              </w:rPr>
              <w:lastRenderedPageBreak/>
              <w:t>A/HRC/40/NGO/</w:t>
            </w:r>
            <w:r>
              <w:rPr>
                <w:sz w:val="20"/>
                <w:szCs w:val="20"/>
              </w:rPr>
              <w:t>195</w:t>
            </w:r>
          </w:p>
        </w:tc>
        <w:tc>
          <w:tcPr>
            <w:tcW w:w="1276" w:type="dxa"/>
            <w:shd w:val="clear" w:color="auto" w:fill="auto"/>
          </w:tcPr>
          <w:p w14:paraId="148BCBAD"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52117B7F" w14:textId="77777777" w:rsidR="002139E4" w:rsidRPr="00296342" w:rsidRDefault="002139E4" w:rsidP="001A259A">
            <w:pPr>
              <w:spacing w:before="40" w:after="120"/>
              <w:ind w:right="113"/>
              <w:rPr>
                <w:sz w:val="20"/>
                <w:szCs w:val="20"/>
              </w:rPr>
            </w:pPr>
            <w:r w:rsidRPr="00FE4230">
              <w:rPr>
                <w:sz w:val="20"/>
                <w:szCs w:val="20"/>
              </w:rPr>
              <w:t>Joint written statement submitted by Nonviolent Radical Party, Transnational and Transparty, non-governmental organizations in general consultative status, Women</w:t>
            </w:r>
            <w:r>
              <w:rPr>
                <w:sz w:val="20"/>
                <w:szCs w:val="20"/>
              </w:rPr>
              <w:t>’</w:t>
            </w:r>
            <w:r w:rsidRPr="00FE4230">
              <w:rPr>
                <w:sz w:val="20"/>
                <w:szCs w:val="20"/>
              </w:rPr>
              <w:t>s Human Rights International Association, France Libertes : Fondation Danielle Mitterrand, non-governmental organizations in special consultative status, International Educational Development, Inc., Mouvement contre le racisme et pour l</w:t>
            </w:r>
            <w:r>
              <w:rPr>
                <w:sz w:val="20"/>
                <w:szCs w:val="20"/>
              </w:rPr>
              <w:t>’</w:t>
            </w:r>
            <w:r w:rsidRPr="00FE4230">
              <w:rPr>
                <w:sz w:val="20"/>
                <w:szCs w:val="20"/>
              </w:rPr>
              <w:t>amitié entre les peuples, non-governmental organizations on the roster</w:t>
            </w:r>
          </w:p>
        </w:tc>
      </w:tr>
      <w:tr w:rsidR="002139E4" w:rsidRPr="00CE032F" w14:paraId="4D0E6DAA" w14:textId="77777777" w:rsidTr="001A259A">
        <w:trPr>
          <w:trHeight w:val="255"/>
        </w:trPr>
        <w:tc>
          <w:tcPr>
            <w:tcW w:w="2410" w:type="dxa"/>
            <w:shd w:val="clear" w:color="auto" w:fill="auto"/>
          </w:tcPr>
          <w:p w14:paraId="4E3132EE"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196</w:t>
            </w:r>
          </w:p>
        </w:tc>
        <w:tc>
          <w:tcPr>
            <w:tcW w:w="1276" w:type="dxa"/>
            <w:shd w:val="clear" w:color="auto" w:fill="auto"/>
          </w:tcPr>
          <w:p w14:paraId="507BBC76" w14:textId="77777777" w:rsidR="002139E4" w:rsidRDefault="002139E4" w:rsidP="001A259A">
            <w:pPr>
              <w:spacing w:before="40" w:after="120"/>
              <w:ind w:right="284"/>
              <w:jc w:val="right"/>
              <w:rPr>
                <w:sz w:val="20"/>
                <w:szCs w:val="20"/>
              </w:rPr>
            </w:pPr>
            <w:r>
              <w:rPr>
                <w:sz w:val="20"/>
                <w:szCs w:val="20"/>
              </w:rPr>
              <w:t>7</w:t>
            </w:r>
          </w:p>
        </w:tc>
        <w:tc>
          <w:tcPr>
            <w:tcW w:w="4252" w:type="dxa"/>
            <w:shd w:val="clear" w:color="auto" w:fill="auto"/>
            <w:vAlign w:val="center"/>
          </w:tcPr>
          <w:p w14:paraId="35F9D934" w14:textId="77777777" w:rsidR="002139E4" w:rsidRPr="00296342" w:rsidRDefault="002139E4" w:rsidP="001A259A">
            <w:pPr>
              <w:spacing w:before="40" w:after="120"/>
              <w:ind w:right="113"/>
              <w:rPr>
                <w:sz w:val="20"/>
                <w:szCs w:val="20"/>
              </w:rPr>
            </w:pPr>
            <w:r w:rsidRPr="00FE4230">
              <w:rPr>
                <w:sz w:val="20"/>
                <w:szCs w:val="20"/>
              </w:rPr>
              <w:t>Written statement submitted by United Nations Watch, a non-governmental organization in special consultative status</w:t>
            </w:r>
          </w:p>
        </w:tc>
      </w:tr>
      <w:tr w:rsidR="002139E4" w:rsidRPr="00CE032F" w14:paraId="4DD87AF5" w14:textId="77777777" w:rsidTr="001A259A">
        <w:trPr>
          <w:trHeight w:val="255"/>
        </w:trPr>
        <w:tc>
          <w:tcPr>
            <w:tcW w:w="2410" w:type="dxa"/>
            <w:shd w:val="clear" w:color="auto" w:fill="auto"/>
          </w:tcPr>
          <w:p w14:paraId="3D92016D"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197</w:t>
            </w:r>
          </w:p>
        </w:tc>
        <w:tc>
          <w:tcPr>
            <w:tcW w:w="1276" w:type="dxa"/>
            <w:shd w:val="clear" w:color="auto" w:fill="auto"/>
          </w:tcPr>
          <w:p w14:paraId="254D974E"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2CB2439C" w14:textId="77777777" w:rsidR="002139E4" w:rsidRPr="00296342" w:rsidRDefault="002139E4" w:rsidP="001A259A">
            <w:pPr>
              <w:spacing w:before="40" w:after="120"/>
              <w:ind w:right="113"/>
              <w:rPr>
                <w:sz w:val="20"/>
                <w:szCs w:val="20"/>
              </w:rPr>
            </w:pPr>
            <w:r w:rsidRPr="0094451F">
              <w:rPr>
                <w:sz w:val="20"/>
                <w:szCs w:val="20"/>
              </w:rPr>
              <w:t>Written statement submitted by First Modern Agro. Tools - Common Initiative Group (FI.MO.AT.C.I.G), non-governmental organization in special consultative status</w:t>
            </w:r>
          </w:p>
        </w:tc>
      </w:tr>
      <w:tr w:rsidR="002139E4" w:rsidRPr="00CE032F" w14:paraId="3F719594" w14:textId="77777777" w:rsidTr="001A259A">
        <w:trPr>
          <w:trHeight w:val="255"/>
        </w:trPr>
        <w:tc>
          <w:tcPr>
            <w:tcW w:w="2410" w:type="dxa"/>
            <w:shd w:val="clear" w:color="auto" w:fill="auto"/>
          </w:tcPr>
          <w:p w14:paraId="04F1E731"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198</w:t>
            </w:r>
          </w:p>
        </w:tc>
        <w:tc>
          <w:tcPr>
            <w:tcW w:w="1276" w:type="dxa"/>
            <w:shd w:val="clear" w:color="auto" w:fill="auto"/>
          </w:tcPr>
          <w:p w14:paraId="4F3F02A4"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3F551E20" w14:textId="77777777" w:rsidR="002139E4" w:rsidRPr="00296342" w:rsidRDefault="002139E4" w:rsidP="001A259A">
            <w:pPr>
              <w:spacing w:before="40" w:after="120"/>
              <w:ind w:right="113"/>
              <w:rPr>
                <w:sz w:val="20"/>
                <w:szCs w:val="20"/>
              </w:rPr>
            </w:pPr>
            <w:r>
              <w:rPr>
                <w:sz w:val="20"/>
                <w:szCs w:val="20"/>
              </w:rPr>
              <w:t>Written statement</w:t>
            </w:r>
            <w:r w:rsidRPr="0094451F">
              <w:rPr>
                <w:sz w:val="20"/>
                <w:szCs w:val="20"/>
              </w:rPr>
              <w:t xml:space="preserve"> submitted by First Modern Agro. Tools - Common Initiative Group (FI.MO.AT.C.I.G), non-governmental organization in special consultative status</w:t>
            </w:r>
          </w:p>
        </w:tc>
      </w:tr>
      <w:tr w:rsidR="002139E4" w:rsidRPr="00CE032F" w14:paraId="6C559EAA" w14:textId="77777777" w:rsidTr="001A259A">
        <w:trPr>
          <w:trHeight w:val="255"/>
        </w:trPr>
        <w:tc>
          <w:tcPr>
            <w:tcW w:w="2410" w:type="dxa"/>
            <w:shd w:val="clear" w:color="auto" w:fill="auto"/>
          </w:tcPr>
          <w:p w14:paraId="03843473"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199</w:t>
            </w:r>
          </w:p>
        </w:tc>
        <w:tc>
          <w:tcPr>
            <w:tcW w:w="1276" w:type="dxa"/>
            <w:shd w:val="clear" w:color="auto" w:fill="auto"/>
          </w:tcPr>
          <w:p w14:paraId="01DCBF8D"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0CAD384D" w14:textId="77777777" w:rsidR="002139E4" w:rsidRPr="00296342" w:rsidRDefault="002139E4" w:rsidP="001A259A">
            <w:pPr>
              <w:spacing w:before="40" w:after="120"/>
              <w:ind w:right="113"/>
              <w:rPr>
                <w:sz w:val="20"/>
                <w:szCs w:val="20"/>
              </w:rPr>
            </w:pPr>
            <w:r w:rsidRPr="0094451F">
              <w:rPr>
                <w:sz w:val="20"/>
                <w:szCs w:val="20"/>
              </w:rPr>
              <w:t>Written statement submitted by First Modern Agro. Tools - Common Initiative Group (FI.MO.AT.C.I.G), non-governmental organization in special consultative status</w:t>
            </w:r>
          </w:p>
        </w:tc>
      </w:tr>
      <w:tr w:rsidR="002139E4" w:rsidRPr="00CE032F" w14:paraId="37C92145" w14:textId="77777777" w:rsidTr="001A259A">
        <w:trPr>
          <w:trHeight w:val="255"/>
        </w:trPr>
        <w:tc>
          <w:tcPr>
            <w:tcW w:w="2410" w:type="dxa"/>
            <w:shd w:val="clear" w:color="auto" w:fill="auto"/>
          </w:tcPr>
          <w:p w14:paraId="2BB4D58A"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200</w:t>
            </w:r>
          </w:p>
        </w:tc>
        <w:tc>
          <w:tcPr>
            <w:tcW w:w="1276" w:type="dxa"/>
            <w:shd w:val="clear" w:color="auto" w:fill="auto"/>
          </w:tcPr>
          <w:p w14:paraId="5370C827"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28BB62C6" w14:textId="77777777" w:rsidR="002139E4" w:rsidRPr="00296342" w:rsidRDefault="002139E4" w:rsidP="001A259A">
            <w:pPr>
              <w:spacing w:before="40" w:after="120"/>
              <w:ind w:right="113"/>
              <w:rPr>
                <w:sz w:val="20"/>
                <w:szCs w:val="20"/>
              </w:rPr>
            </w:pPr>
            <w:r w:rsidRPr="0094451F">
              <w:rPr>
                <w:sz w:val="20"/>
                <w:szCs w:val="20"/>
              </w:rPr>
              <w:t>Written statement submitted by First Modern Agro. Tools - Common Initiative Group (FI.MO.AT.C.I.G), non-governmental organization in special consultative status</w:t>
            </w:r>
          </w:p>
        </w:tc>
      </w:tr>
      <w:tr w:rsidR="002139E4" w:rsidRPr="00CE032F" w14:paraId="6F0054E8" w14:textId="77777777" w:rsidTr="001A259A">
        <w:trPr>
          <w:trHeight w:val="255"/>
        </w:trPr>
        <w:tc>
          <w:tcPr>
            <w:tcW w:w="2410" w:type="dxa"/>
            <w:shd w:val="clear" w:color="auto" w:fill="auto"/>
          </w:tcPr>
          <w:p w14:paraId="3A0E17A7"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201</w:t>
            </w:r>
          </w:p>
        </w:tc>
        <w:tc>
          <w:tcPr>
            <w:tcW w:w="1276" w:type="dxa"/>
            <w:shd w:val="clear" w:color="auto" w:fill="auto"/>
          </w:tcPr>
          <w:p w14:paraId="49AE355D"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3B420681" w14:textId="77777777" w:rsidR="002139E4" w:rsidRPr="00296342" w:rsidRDefault="002139E4" w:rsidP="001A259A">
            <w:pPr>
              <w:spacing w:before="40" w:after="120"/>
              <w:ind w:right="113"/>
              <w:rPr>
                <w:sz w:val="20"/>
                <w:szCs w:val="20"/>
              </w:rPr>
            </w:pPr>
            <w:r w:rsidRPr="0094451F">
              <w:rPr>
                <w:sz w:val="20"/>
                <w:szCs w:val="20"/>
              </w:rPr>
              <w:t>Written statement submitted by First Modern Agro. Tools - Common Initiative Group (FI.MO.AT.C.I.G), non-governmental organization in special consultative status</w:t>
            </w:r>
          </w:p>
        </w:tc>
      </w:tr>
      <w:tr w:rsidR="002139E4" w:rsidRPr="00CE032F" w14:paraId="60A49EED" w14:textId="77777777" w:rsidTr="001A259A">
        <w:trPr>
          <w:trHeight w:val="255"/>
        </w:trPr>
        <w:tc>
          <w:tcPr>
            <w:tcW w:w="2410" w:type="dxa"/>
            <w:shd w:val="clear" w:color="auto" w:fill="auto"/>
          </w:tcPr>
          <w:p w14:paraId="7AC64482"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202</w:t>
            </w:r>
          </w:p>
        </w:tc>
        <w:tc>
          <w:tcPr>
            <w:tcW w:w="1276" w:type="dxa"/>
            <w:shd w:val="clear" w:color="auto" w:fill="auto"/>
          </w:tcPr>
          <w:p w14:paraId="233F35BA"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4AFCD5D8" w14:textId="77777777" w:rsidR="002139E4" w:rsidRPr="00296342" w:rsidRDefault="002139E4" w:rsidP="001A259A">
            <w:pPr>
              <w:spacing w:before="40" w:after="120"/>
              <w:ind w:right="113"/>
              <w:rPr>
                <w:sz w:val="20"/>
                <w:szCs w:val="20"/>
              </w:rPr>
            </w:pPr>
            <w:r>
              <w:rPr>
                <w:sz w:val="20"/>
                <w:szCs w:val="20"/>
              </w:rPr>
              <w:t>Written statement</w:t>
            </w:r>
            <w:r w:rsidRPr="0094451F">
              <w:rPr>
                <w:sz w:val="20"/>
                <w:szCs w:val="20"/>
              </w:rPr>
              <w:t xml:space="preserve"> submitted by Iraqi Development Organization, a non-governmental organization in special consultative status</w:t>
            </w:r>
          </w:p>
        </w:tc>
      </w:tr>
      <w:tr w:rsidR="002139E4" w:rsidRPr="00CE032F" w14:paraId="6AE359F1" w14:textId="77777777" w:rsidTr="001A259A">
        <w:trPr>
          <w:trHeight w:val="255"/>
        </w:trPr>
        <w:tc>
          <w:tcPr>
            <w:tcW w:w="2410" w:type="dxa"/>
            <w:shd w:val="clear" w:color="auto" w:fill="auto"/>
          </w:tcPr>
          <w:p w14:paraId="2671D3AC"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203</w:t>
            </w:r>
          </w:p>
        </w:tc>
        <w:tc>
          <w:tcPr>
            <w:tcW w:w="1276" w:type="dxa"/>
            <w:shd w:val="clear" w:color="auto" w:fill="auto"/>
          </w:tcPr>
          <w:p w14:paraId="77D244B3"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58A27159" w14:textId="77777777" w:rsidR="002139E4" w:rsidRPr="00296342" w:rsidRDefault="002139E4" w:rsidP="001A259A">
            <w:pPr>
              <w:spacing w:before="40" w:after="120"/>
              <w:ind w:right="113"/>
              <w:rPr>
                <w:sz w:val="20"/>
                <w:szCs w:val="20"/>
              </w:rPr>
            </w:pPr>
            <w:r w:rsidRPr="0094451F">
              <w:rPr>
                <w:sz w:val="20"/>
                <w:szCs w:val="20"/>
              </w:rPr>
              <w:t>Written statement submitted by Fundación Luz María, a non-governmental organization in special consultative status</w:t>
            </w:r>
          </w:p>
        </w:tc>
      </w:tr>
      <w:tr w:rsidR="002139E4" w:rsidRPr="00CE032F" w14:paraId="7AC5D53E" w14:textId="77777777" w:rsidTr="001A259A">
        <w:trPr>
          <w:trHeight w:val="255"/>
        </w:trPr>
        <w:tc>
          <w:tcPr>
            <w:tcW w:w="2410" w:type="dxa"/>
            <w:shd w:val="clear" w:color="auto" w:fill="auto"/>
          </w:tcPr>
          <w:p w14:paraId="2EFE60FF"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204</w:t>
            </w:r>
          </w:p>
        </w:tc>
        <w:tc>
          <w:tcPr>
            <w:tcW w:w="1276" w:type="dxa"/>
            <w:shd w:val="clear" w:color="auto" w:fill="auto"/>
          </w:tcPr>
          <w:p w14:paraId="6FDBE695" w14:textId="77777777" w:rsidR="002139E4" w:rsidRDefault="002139E4" w:rsidP="001A259A">
            <w:pPr>
              <w:spacing w:before="40" w:after="120"/>
              <w:ind w:right="284"/>
              <w:jc w:val="right"/>
              <w:rPr>
                <w:sz w:val="20"/>
                <w:szCs w:val="20"/>
              </w:rPr>
            </w:pPr>
            <w:r>
              <w:rPr>
                <w:sz w:val="20"/>
                <w:szCs w:val="20"/>
              </w:rPr>
              <w:t>7</w:t>
            </w:r>
          </w:p>
        </w:tc>
        <w:tc>
          <w:tcPr>
            <w:tcW w:w="4252" w:type="dxa"/>
            <w:shd w:val="clear" w:color="auto" w:fill="auto"/>
            <w:vAlign w:val="center"/>
          </w:tcPr>
          <w:p w14:paraId="6229DB10" w14:textId="77777777" w:rsidR="002139E4" w:rsidRPr="00296342" w:rsidRDefault="002139E4" w:rsidP="001A259A">
            <w:pPr>
              <w:spacing w:before="40" w:after="120"/>
              <w:ind w:right="113"/>
              <w:rPr>
                <w:sz w:val="20"/>
                <w:szCs w:val="20"/>
              </w:rPr>
            </w:pPr>
            <w:r>
              <w:rPr>
                <w:sz w:val="20"/>
                <w:szCs w:val="20"/>
              </w:rPr>
              <w:t>Written statement</w:t>
            </w:r>
            <w:r w:rsidRPr="0094451F">
              <w:rPr>
                <w:sz w:val="20"/>
                <w:szCs w:val="20"/>
              </w:rPr>
              <w:t xml:space="preserve"> submitted by United Nations Watch, a non-governmental organization in special consultative status</w:t>
            </w:r>
          </w:p>
        </w:tc>
      </w:tr>
      <w:tr w:rsidR="002139E4" w:rsidRPr="00CE032F" w14:paraId="662E124A" w14:textId="77777777" w:rsidTr="001A259A">
        <w:trPr>
          <w:trHeight w:val="255"/>
        </w:trPr>
        <w:tc>
          <w:tcPr>
            <w:tcW w:w="2410" w:type="dxa"/>
            <w:shd w:val="clear" w:color="auto" w:fill="auto"/>
          </w:tcPr>
          <w:p w14:paraId="1292A2F6" w14:textId="77777777" w:rsidR="002139E4" w:rsidRPr="00296342" w:rsidRDefault="002139E4" w:rsidP="001A259A">
            <w:pPr>
              <w:spacing w:before="40" w:after="120"/>
              <w:ind w:right="113"/>
              <w:rPr>
                <w:sz w:val="20"/>
                <w:szCs w:val="20"/>
              </w:rPr>
            </w:pPr>
            <w:r w:rsidRPr="00296342">
              <w:rPr>
                <w:sz w:val="20"/>
                <w:szCs w:val="20"/>
              </w:rPr>
              <w:lastRenderedPageBreak/>
              <w:t>A/HRC/40/NGO/</w:t>
            </w:r>
            <w:r>
              <w:rPr>
                <w:sz w:val="20"/>
                <w:szCs w:val="20"/>
              </w:rPr>
              <w:t>205</w:t>
            </w:r>
          </w:p>
        </w:tc>
        <w:tc>
          <w:tcPr>
            <w:tcW w:w="1276" w:type="dxa"/>
            <w:shd w:val="clear" w:color="auto" w:fill="auto"/>
          </w:tcPr>
          <w:p w14:paraId="1E827F87"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0F630E73" w14:textId="77777777" w:rsidR="002139E4" w:rsidRPr="00296342" w:rsidRDefault="002139E4" w:rsidP="001A259A">
            <w:pPr>
              <w:spacing w:before="40" w:after="120"/>
              <w:ind w:right="113"/>
              <w:rPr>
                <w:sz w:val="20"/>
                <w:szCs w:val="20"/>
              </w:rPr>
            </w:pPr>
            <w:r w:rsidRPr="0094451F">
              <w:rPr>
                <w:sz w:val="20"/>
                <w:szCs w:val="20"/>
              </w:rPr>
              <w:t>Written statement submitted by Coordination des Associations et des Particuliers pour la Liberté de Conscience, a non-governmental organization in special consultative status</w:t>
            </w:r>
          </w:p>
        </w:tc>
      </w:tr>
      <w:tr w:rsidR="002139E4" w:rsidRPr="00CE032F" w14:paraId="71F621F7" w14:textId="77777777" w:rsidTr="001A259A">
        <w:trPr>
          <w:trHeight w:val="255"/>
        </w:trPr>
        <w:tc>
          <w:tcPr>
            <w:tcW w:w="2410" w:type="dxa"/>
            <w:shd w:val="clear" w:color="auto" w:fill="auto"/>
          </w:tcPr>
          <w:p w14:paraId="108089C9"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206</w:t>
            </w:r>
          </w:p>
        </w:tc>
        <w:tc>
          <w:tcPr>
            <w:tcW w:w="1276" w:type="dxa"/>
            <w:shd w:val="clear" w:color="auto" w:fill="auto"/>
          </w:tcPr>
          <w:p w14:paraId="2E32A2E3" w14:textId="77777777" w:rsidR="002139E4" w:rsidRDefault="002139E4" w:rsidP="001A259A">
            <w:pPr>
              <w:spacing w:before="40" w:after="120"/>
              <w:ind w:right="284"/>
              <w:jc w:val="right"/>
              <w:rPr>
                <w:sz w:val="20"/>
                <w:szCs w:val="20"/>
              </w:rPr>
            </w:pPr>
            <w:r>
              <w:rPr>
                <w:sz w:val="20"/>
                <w:szCs w:val="20"/>
              </w:rPr>
              <w:t>7</w:t>
            </w:r>
          </w:p>
        </w:tc>
        <w:tc>
          <w:tcPr>
            <w:tcW w:w="4252" w:type="dxa"/>
            <w:shd w:val="clear" w:color="auto" w:fill="auto"/>
            <w:vAlign w:val="center"/>
          </w:tcPr>
          <w:p w14:paraId="679FA126" w14:textId="77777777" w:rsidR="002139E4" w:rsidRPr="00296342" w:rsidRDefault="002139E4" w:rsidP="001A259A">
            <w:pPr>
              <w:spacing w:before="40" w:after="120"/>
              <w:ind w:right="113"/>
              <w:rPr>
                <w:sz w:val="20"/>
                <w:szCs w:val="20"/>
              </w:rPr>
            </w:pPr>
            <w:r w:rsidRPr="0094451F">
              <w:rPr>
                <w:sz w:val="20"/>
                <w:szCs w:val="20"/>
              </w:rPr>
              <w:t>Written statement submitted by Medical Aid for Palestinians (MAP), a non-governmental organization in special consultative status</w:t>
            </w:r>
          </w:p>
        </w:tc>
      </w:tr>
      <w:tr w:rsidR="002139E4" w:rsidRPr="00CE032F" w14:paraId="47281B20" w14:textId="77777777" w:rsidTr="001A259A">
        <w:trPr>
          <w:trHeight w:val="255"/>
        </w:trPr>
        <w:tc>
          <w:tcPr>
            <w:tcW w:w="2410" w:type="dxa"/>
            <w:shd w:val="clear" w:color="auto" w:fill="auto"/>
          </w:tcPr>
          <w:p w14:paraId="0A8207E8"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207</w:t>
            </w:r>
          </w:p>
        </w:tc>
        <w:tc>
          <w:tcPr>
            <w:tcW w:w="1276" w:type="dxa"/>
            <w:shd w:val="clear" w:color="auto" w:fill="auto"/>
          </w:tcPr>
          <w:p w14:paraId="3975F678"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7D7D335B" w14:textId="77777777" w:rsidR="002139E4" w:rsidRPr="00296342" w:rsidRDefault="002139E4" w:rsidP="001A259A">
            <w:pPr>
              <w:spacing w:before="40" w:after="120"/>
              <w:ind w:right="113"/>
              <w:rPr>
                <w:sz w:val="20"/>
                <w:szCs w:val="20"/>
              </w:rPr>
            </w:pPr>
            <w:r>
              <w:rPr>
                <w:sz w:val="20"/>
                <w:szCs w:val="20"/>
              </w:rPr>
              <w:t>Written statement</w:t>
            </w:r>
            <w:r w:rsidRPr="0094451F">
              <w:rPr>
                <w:sz w:val="20"/>
                <w:szCs w:val="20"/>
              </w:rPr>
              <w:t xml:space="preserve"> submitted by Friends World Committee for Consultation, a non-governmental organization in general consultative status</w:t>
            </w:r>
          </w:p>
        </w:tc>
      </w:tr>
      <w:tr w:rsidR="002139E4" w:rsidRPr="00CE032F" w14:paraId="5B622410" w14:textId="77777777" w:rsidTr="001A259A">
        <w:trPr>
          <w:trHeight w:val="255"/>
        </w:trPr>
        <w:tc>
          <w:tcPr>
            <w:tcW w:w="2410" w:type="dxa"/>
            <w:shd w:val="clear" w:color="auto" w:fill="auto"/>
          </w:tcPr>
          <w:p w14:paraId="68A57835"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208</w:t>
            </w:r>
          </w:p>
        </w:tc>
        <w:tc>
          <w:tcPr>
            <w:tcW w:w="1276" w:type="dxa"/>
            <w:shd w:val="clear" w:color="auto" w:fill="auto"/>
          </w:tcPr>
          <w:p w14:paraId="2F018470" w14:textId="77777777" w:rsidR="002139E4" w:rsidRDefault="002139E4" w:rsidP="001A259A">
            <w:pPr>
              <w:spacing w:before="40" w:after="120"/>
              <w:ind w:right="284"/>
              <w:jc w:val="right"/>
              <w:rPr>
                <w:sz w:val="20"/>
                <w:szCs w:val="20"/>
              </w:rPr>
            </w:pPr>
            <w:r>
              <w:rPr>
                <w:sz w:val="20"/>
                <w:szCs w:val="20"/>
              </w:rPr>
              <w:t>7</w:t>
            </w:r>
          </w:p>
        </w:tc>
        <w:tc>
          <w:tcPr>
            <w:tcW w:w="4252" w:type="dxa"/>
            <w:shd w:val="clear" w:color="auto" w:fill="auto"/>
            <w:vAlign w:val="center"/>
          </w:tcPr>
          <w:p w14:paraId="684287D7" w14:textId="77777777" w:rsidR="002139E4" w:rsidRPr="00296342" w:rsidRDefault="002139E4" w:rsidP="001A259A">
            <w:pPr>
              <w:spacing w:before="40" w:after="120"/>
              <w:ind w:right="113"/>
              <w:rPr>
                <w:sz w:val="20"/>
                <w:szCs w:val="20"/>
              </w:rPr>
            </w:pPr>
            <w:r w:rsidRPr="0094451F">
              <w:rPr>
                <w:sz w:val="20"/>
                <w:szCs w:val="20"/>
              </w:rPr>
              <w:t>Joint written statement submitted by Al-Haq, Law in the Service of Man, and Al Mezan Centre for Human Rights, non-governmental organizations in special consultative status</w:t>
            </w:r>
          </w:p>
        </w:tc>
      </w:tr>
      <w:tr w:rsidR="002139E4" w:rsidRPr="00CE032F" w14:paraId="72033A52" w14:textId="77777777" w:rsidTr="001A259A">
        <w:trPr>
          <w:trHeight w:val="255"/>
        </w:trPr>
        <w:tc>
          <w:tcPr>
            <w:tcW w:w="2410" w:type="dxa"/>
            <w:shd w:val="clear" w:color="auto" w:fill="auto"/>
          </w:tcPr>
          <w:p w14:paraId="5F0E554C"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209</w:t>
            </w:r>
          </w:p>
        </w:tc>
        <w:tc>
          <w:tcPr>
            <w:tcW w:w="1276" w:type="dxa"/>
            <w:shd w:val="clear" w:color="auto" w:fill="auto"/>
          </w:tcPr>
          <w:p w14:paraId="43EB3C7F"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327C9F97" w14:textId="77777777" w:rsidR="002139E4" w:rsidRPr="00296342" w:rsidRDefault="002139E4" w:rsidP="001A259A">
            <w:pPr>
              <w:spacing w:before="40" w:after="120"/>
              <w:ind w:right="113"/>
              <w:rPr>
                <w:sz w:val="20"/>
                <w:szCs w:val="20"/>
              </w:rPr>
            </w:pPr>
            <w:r>
              <w:rPr>
                <w:sz w:val="20"/>
                <w:szCs w:val="20"/>
              </w:rPr>
              <w:t>Written statement</w:t>
            </w:r>
            <w:r w:rsidRPr="0094451F">
              <w:rPr>
                <w:sz w:val="20"/>
                <w:szCs w:val="20"/>
              </w:rPr>
              <w:t xml:space="preserve"> submitted by Coordination des Associations et des Particuliers pour la Liberté de Conscience, a non-governmental organization in special consultative status</w:t>
            </w:r>
          </w:p>
        </w:tc>
      </w:tr>
      <w:tr w:rsidR="002139E4" w:rsidRPr="00CE032F" w14:paraId="060CE4C6" w14:textId="77777777" w:rsidTr="001A259A">
        <w:trPr>
          <w:trHeight w:val="255"/>
        </w:trPr>
        <w:tc>
          <w:tcPr>
            <w:tcW w:w="2410" w:type="dxa"/>
            <w:shd w:val="clear" w:color="auto" w:fill="auto"/>
          </w:tcPr>
          <w:p w14:paraId="00E14D29"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210</w:t>
            </w:r>
          </w:p>
        </w:tc>
        <w:tc>
          <w:tcPr>
            <w:tcW w:w="1276" w:type="dxa"/>
            <w:shd w:val="clear" w:color="auto" w:fill="auto"/>
          </w:tcPr>
          <w:p w14:paraId="5E59CAA0"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35BF46D3" w14:textId="77777777" w:rsidR="002139E4" w:rsidRPr="00296342" w:rsidRDefault="002139E4" w:rsidP="001A259A">
            <w:pPr>
              <w:spacing w:before="40" w:after="120"/>
              <w:ind w:right="113"/>
              <w:rPr>
                <w:sz w:val="20"/>
                <w:szCs w:val="20"/>
              </w:rPr>
            </w:pPr>
            <w:r w:rsidRPr="00842020">
              <w:rPr>
                <w:sz w:val="20"/>
                <w:szCs w:val="20"/>
              </w:rPr>
              <w:t>Exposé écrit présenté par L</w:t>
            </w:r>
            <w:r>
              <w:rPr>
                <w:sz w:val="20"/>
                <w:szCs w:val="20"/>
              </w:rPr>
              <w:t>’</w:t>
            </w:r>
            <w:r w:rsidRPr="00842020">
              <w:rPr>
                <w:sz w:val="20"/>
                <w:szCs w:val="20"/>
              </w:rPr>
              <w:t>observatoire mauritanien des droits de l</w:t>
            </w:r>
            <w:r>
              <w:rPr>
                <w:sz w:val="20"/>
                <w:szCs w:val="20"/>
              </w:rPr>
              <w:t>’</w:t>
            </w:r>
            <w:r w:rsidRPr="00842020">
              <w:rPr>
                <w:sz w:val="20"/>
                <w:szCs w:val="20"/>
              </w:rPr>
              <w:t>homme et de la démocratie dotée du statut consultatif spécial</w:t>
            </w:r>
          </w:p>
        </w:tc>
      </w:tr>
      <w:tr w:rsidR="002139E4" w:rsidRPr="00CE032F" w14:paraId="07E5D415" w14:textId="77777777" w:rsidTr="001A259A">
        <w:trPr>
          <w:trHeight w:val="255"/>
        </w:trPr>
        <w:tc>
          <w:tcPr>
            <w:tcW w:w="2410" w:type="dxa"/>
            <w:shd w:val="clear" w:color="auto" w:fill="auto"/>
          </w:tcPr>
          <w:p w14:paraId="37B1246C"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211</w:t>
            </w:r>
          </w:p>
        </w:tc>
        <w:tc>
          <w:tcPr>
            <w:tcW w:w="1276" w:type="dxa"/>
            <w:shd w:val="clear" w:color="auto" w:fill="auto"/>
          </w:tcPr>
          <w:p w14:paraId="21CF0852" w14:textId="77777777" w:rsidR="002139E4" w:rsidRDefault="002139E4" w:rsidP="001A259A">
            <w:pPr>
              <w:spacing w:before="40" w:after="120"/>
              <w:ind w:right="284"/>
              <w:jc w:val="right"/>
              <w:rPr>
                <w:sz w:val="20"/>
                <w:szCs w:val="20"/>
              </w:rPr>
            </w:pPr>
            <w:r>
              <w:rPr>
                <w:sz w:val="20"/>
                <w:szCs w:val="20"/>
              </w:rPr>
              <w:t>6</w:t>
            </w:r>
          </w:p>
        </w:tc>
        <w:tc>
          <w:tcPr>
            <w:tcW w:w="4252" w:type="dxa"/>
            <w:shd w:val="clear" w:color="auto" w:fill="auto"/>
            <w:vAlign w:val="center"/>
          </w:tcPr>
          <w:p w14:paraId="1E7EF766" w14:textId="77777777" w:rsidR="002139E4" w:rsidRPr="00296342" w:rsidRDefault="002139E4" w:rsidP="001A259A">
            <w:pPr>
              <w:spacing w:before="40" w:after="120"/>
              <w:ind w:right="113"/>
              <w:rPr>
                <w:sz w:val="20"/>
                <w:szCs w:val="20"/>
              </w:rPr>
            </w:pPr>
            <w:r>
              <w:rPr>
                <w:sz w:val="20"/>
                <w:szCs w:val="20"/>
              </w:rPr>
              <w:t>Written statement</w:t>
            </w:r>
            <w:r w:rsidRPr="00EC6E36">
              <w:rPr>
                <w:sz w:val="20"/>
                <w:szCs w:val="20"/>
              </w:rPr>
              <w:t xml:space="preserve"> submitted by Coordination des Associations et des Particuliers pour la Liberté de Conscience, a non-governmental organization in special consultative status</w:t>
            </w:r>
          </w:p>
        </w:tc>
      </w:tr>
      <w:tr w:rsidR="002139E4" w:rsidRPr="00CE032F" w14:paraId="52176451" w14:textId="77777777" w:rsidTr="001A259A">
        <w:trPr>
          <w:trHeight w:val="255"/>
        </w:trPr>
        <w:tc>
          <w:tcPr>
            <w:tcW w:w="2410" w:type="dxa"/>
            <w:shd w:val="clear" w:color="auto" w:fill="auto"/>
          </w:tcPr>
          <w:p w14:paraId="1705DCCF"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212</w:t>
            </w:r>
          </w:p>
        </w:tc>
        <w:tc>
          <w:tcPr>
            <w:tcW w:w="1276" w:type="dxa"/>
            <w:shd w:val="clear" w:color="auto" w:fill="auto"/>
          </w:tcPr>
          <w:p w14:paraId="56F4A6FF" w14:textId="77777777" w:rsidR="002139E4" w:rsidRDefault="002139E4" w:rsidP="001A259A">
            <w:pPr>
              <w:spacing w:before="40" w:after="120"/>
              <w:ind w:right="284"/>
              <w:jc w:val="right"/>
              <w:rPr>
                <w:sz w:val="20"/>
                <w:szCs w:val="20"/>
              </w:rPr>
            </w:pPr>
            <w:r>
              <w:rPr>
                <w:sz w:val="20"/>
                <w:szCs w:val="20"/>
              </w:rPr>
              <w:t>5</w:t>
            </w:r>
          </w:p>
        </w:tc>
        <w:tc>
          <w:tcPr>
            <w:tcW w:w="4252" w:type="dxa"/>
            <w:shd w:val="clear" w:color="auto" w:fill="auto"/>
            <w:vAlign w:val="center"/>
          </w:tcPr>
          <w:p w14:paraId="02B76E84" w14:textId="77777777" w:rsidR="002139E4" w:rsidRPr="00296342" w:rsidRDefault="002139E4" w:rsidP="001A259A">
            <w:pPr>
              <w:spacing w:before="40" w:after="120"/>
              <w:ind w:right="113"/>
              <w:rPr>
                <w:sz w:val="20"/>
                <w:szCs w:val="20"/>
              </w:rPr>
            </w:pPr>
            <w:r w:rsidRPr="00EC6E36">
              <w:rPr>
                <w:sz w:val="20"/>
                <w:szCs w:val="20"/>
              </w:rPr>
              <w:t>Written statement submitted by United Nations Watch, a non-governmental organization in special consultative status</w:t>
            </w:r>
          </w:p>
        </w:tc>
      </w:tr>
      <w:tr w:rsidR="002139E4" w:rsidRPr="00CE032F" w14:paraId="7F58EE5C" w14:textId="77777777" w:rsidTr="001A259A">
        <w:trPr>
          <w:trHeight w:val="255"/>
        </w:trPr>
        <w:tc>
          <w:tcPr>
            <w:tcW w:w="2410" w:type="dxa"/>
            <w:shd w:val="clear" w:color="auto" w:fill="auto"/>
          </w:tcPr>
          <w:p w14:paraId="66705144"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213</w:t>
            </w:r>
          </w:p>
        </w:tc>
        <w:tc>
          <w:tcPr>
            <w:tcW w:w="1276" w:type="dxa"/>
            <w:shd w:val="clear" w:color="auto" w:fill="auto"/>
          </w:tcPr>
          <w:p w14:paraId="7DEA8660"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29320790" w14:textId="77777777" w:rsidR="002139E4" w:rsidRPr="00296342" w:rsidRDefault="002139E4" w:rsidP="001A259A">
            <w:pPr>
              <w:spacing w:before="40" w:after="120"/>
              <w:ind w:right="113"/>
              <w:rPr>
                <w:sz w:val="20"/>
                <w:szCs w:val="20"/>
              </w:rPr>
            </w:pPr>
            <w:r w:rsidRPr="00EC6E36">
              <w:rPr>
                <w:sz w:val="20"/>
                <w:szCs w:val="20"/>
              </w:rPr>
              <w:t>Written statement submitted by Asian Legal Resource Centre, a non-governmental organization in general consultative status</w:t>
            </w:r>
          </w:p>
        </w:tc>
      </w:tr>
      <w:tr w:rsidR="002139E4" w:rsidRPr="00CE032F" w14:paraId="66AA172E" w14:textId="77777777" w:rsidTr="001A259A">
        <w:trPr>
          <w:trHeight w:val="255"/>
        </w:trPr>
        <w:tc>
          <w:tcPr>
            <w:tcW w:w="2410" w:type="dxa"/>
            <w:shd w:val="clear" w:color="auto" w:fill="auto"/>
          </w:tcPr>
          <w:p w14:paraId="11BD3177"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214</w:t>
            </w:r>
          </w:p>
        </w:tc>
        <w:tc>
          <w:tcPr>
            <w:tcW w:w="1276" w:type="dxa"/>
            <w:shd w:val="clear" w:color="auto" w:fill="auto"/>
          </w:tcPr>
          <w:p w14:paraId="221F6764" w14:textId="77777777" w:rsidR="002139E4" w:rsidRDefault="002139E4" w:rsidP="001A259A">
            <w:pPr>
              <w:spacing w:before="40" w:after="120"/>
              <w:ind w:right="284"/>
              <w:jc w:val="right"/>
              <w:rPr>
                <w:sz w:val="20"/>
                <w:szCs w:val="20"/>
              </w:rPr>
            </w:pPr>
            <w:r>
              <w:rPr>
                <w:sz w:val="20"/>
                <w:szCs w:val="20"/>
              </w:rPr>
              <w:t>7</w:t>
            </w:r>
          </w:p>
        </w:tc>
        <w:tc>
          <w:tcPr>
            <w:tcW w:w="4252" w:type="dxa"/>
            <w:shd w:val="clear" w:color="auto" w:fill="auto"/>
            <w:vAlign w:val="center"/>
          </w:tcPr>
          <w:p w14:paraId="29CE33E8" w14:textId="77777777" w:rsidR="002139E4" w:rsidRPr="00296342" w:rsidRDefault="002139E4" w:rsidP="001A259A">
            <w:pPr>
              <w:spacing w:before="40" w:after="120"/>
              <w:ind w:right="113"/>
              <w:rPr>
                <w:sz w:val="20"/>
                <w:szCs w:val="20"/>
              </w:rPr>
            </w:pPr>
            <w:r w:rsidRPr="00EC6E36">
              <w:rPr>
                <w:sz w:val="20"/>
                <w:szCs w:val="20"/>
              </w:rPr>
              <w:t>Written statement submitted by United Nations Watch, a non-governmental organization in special consultative status</w:t>
            </w:r>
          </w:p>
        </w:tc>
      </w:tr>
      <w:tr w:rsidR="002139E4" w:rsidRPr="00CE032F" w14:paraId="30AF9B60" w14:textId="77777777" w:rsidTr="001A259A">
        <w:trPr>
          <w:trHeight w:val="255"/>
        </w:trPr>
        <w:tc>
          <w:tcPr>
            <w:tcW w:w="2410" w:type="dxa"/>
            <w:shd w:val="clear" w:color="auto" w:fill="auto"/>
          </w:tcPr>
          <w:p w14:paraId="26483FFD"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215</w:t>
            </w:r>
          </w:p>
        </w:tc>
        <w:tc>
          <w:tcPr>
            <w:tcW w:w="1276" w:type="dxa"/>
            <w:shd w:val="clear" w:color="auto" w:fill="auto"/>
          </w:tcPr>
          <w:p w14:paraId="3CCBA58D"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6B9AE77D" w14:textId="77777777" w:rsidR="002139E4" w:rsidRPr="00296342" w:rsidRDefault="002139E4" w:rsidP="001A259A">
            <w:pPr>
              <w:spacing w:before="40" w:after="120"/>
              <w:ind w:right="113"/>
              <w:rPr>
                <w:sz w:val="20"/>
                <w:szCs w:val="20"/>
              </w:rPr>
            </w:pPr>
            <w:r w:rsidRPr="00EC6E36">
              <w:rPr>
                <w:sz w:val="20"/>
                <w:szCs w:val="20"/>
              </w:rPr>
              <w:t>W</w:t>
            </w:r>
            <w:r>
              <w:rPr>
                <w:sz w:val="20"/>
                <w:szCs w:val="20"/>
              </w:rPr>
              <w:t>ritten statement</w:t>
            </w:r>
            <w:r w:rsidRPr="00EC6E36">
              <w:rPr>
                <w:sz w:val="20"/>
                <w:szCs w:val="20"/>
              </w:rPr>
              <w:t xml:space="preserve"> submitted by Asian Legal Resource Centre, a non-governmental organization in general consultative status</w:t>
            </w:r>
          </w:p>
        </w:tc>
      </w:tr>
      <w:tr w:rsidR="002139E4" w:rsidRPr="00CE032F" w14:paraId="06F29EBB" w14:textId="77777777" w:rsidTr="001A259A">
        <w:trPr>
          <w:trHeight w:val="255"/>
        </w:trPr>
        <w:tc>
          <w:tcPr>
            <w:tcW w:w="2410" w:type="dxa"/>
            <w:shd w:val="clear" w:color="auto" w:fill="auto"/>
          </w:tcPr>
          <w:p w14:paraId="5BE87A2E"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216</w:t>
            </w:r>
          </w:p>
        </w:tc>
        <w:tc>
          <w:tcPr>
            <w:tcW w:w="1276" w:type="dxa"/>
            <w:shd w:val="clear" w:color="auto" w:fill="auto"/>
          </w:tcPr>
          <w:p w14:paraId="00A41B6B"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32BC9025" w14:textId="77777777" w:rsidR="002139E4" w:rsidRPr="00296342" w:rsidRDefault="002139E4" w:rsidP="001A259A">
            <w:pPr>
              <w:spacing w:before="40" w:after="120"/>
              <w:ind w:right="113"/>
              <w:rPr>
                <w:sz w:val="20"/>
                <w:szCs w:val="20"/>
              </w:rPr>
            </w:pPr>
            <w:r w:rsidRPr="00020C2F">
              <w:rPr>
                <w:sz w:val="20"/>
                <w:szCs w:val="20"/>
              </w:rPr>
              <w:t>Written statement submitted by Asian Legal Resource Centre, a non-governmental organization in general consultative status</w:t>
            </w:r>
          </w:p>
        </w:tc>
      </w:tr>
      <w:tr w:rsidR="002139E4" w:rsidRPr="00CE032F" w14:paraId="6F8F23A5" w14:textId="77777777" w:rsidTr="001A259A">
        <w:trPr>
          <w:trHeight w:val="255"/>
        </w:trPr>
        <w:tc>
          <w:tcPr>
            <w:tcW w:w="2410" w:type="dxa"/>
            <w:shd w:val="clear" w:color="auto" w:fill="auto"/>
          </w:tcPr>
          <w:p w14:paraId="24C02F42"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217</w:t>
            </w:r>
          </w:p>
        </w:tc>
        <w:tc>
          <w:tcPr>
            <w:tcW w:w="1276" w:type="dxa"/>
            <w:shd w:val="clear" w:color="auto" w:fill="auto"/>
          </w:tcPr>
          <w:p w14:paraId="7BE1C576"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1F613731" w14:textId="77777777" w:rsidR="002139E4" w:rsidRPr="00296342" w:rsidRDefault="002139E4" w:rsidP="001A259A">
            <w:pPr>
              <w:spacing w:before="40" w:after="120"/>
              <w:ind w:right="113"/>
              <w:rPr>
                <w:sz w:val="20"/>
                <w:szCs w:val="20"/>
              </w:rPr>
            </w:pPr>
            <w:r>
              <w:rPr>
                <w:sz w:val="20"/>
                <w:szCs w:val="20"/>
              </w:rPr>
              <w:t>Written statement</w:t>
            </w:r>
            <w:r w:rsidRPr="00020C2F">
              <w:rPr>
                <w:sz w:val="20"/>
                <w:szCs w:val="20"/>
              </w:rPr>
              <w:t xml:space="preserve"> submitted by Planetary Association for Clean Energy, Inc., The, a non-</w:t>
            </w:r>
            <w:r w:rsidRPr="00020C2F">
              <w:rPr>
                <w:sz w:val="20"/>
                <w:szCs w:val="20"/>
              </w:rPr>
              <w:lastRenderedPageBreak/>
              <w:t>governmental organization in special consultative status</w:t>
            </w:r>
          </w:p>
        </w:tc>
      </w:tr>
      <w:tr w:rsidR="002139E4" w:rsidRPr="00CE032F" w14:paraId="56D59C3D" w14:textId="77777777" w:rsidTr="001A259A">
        <w:trPr>
          <w:trHeight w:val="255"/>
        </w:trPr>
        <w:tc>
          <w:tcPr>
            <w:tcW w:w="2410" w:type="dxa"/>
            <w:shd w:val="clear" w:color="auto" w:fill="auto"/>
          </w:tcPr>
          <w:p w14:paraId="615770C4" w14:textId="77777777" w:rsidR="002139E4" w:rsidRPr="00296342" w:rsidRDefault="002139E4" w:rsidP="001A259A">
            <w:pPr>
              <w:spacing w:before="40" w:after="120"/>
              <w:ind w:right="113"/>
              <w:rPr>
                <w:sz w:val="20"/>
                <w:szCs w:val="20"/>
              </w:rPr>
            </w:pPr>
            <w:r w:rsidRPr="00296342">
              <w:rPr>
                <w:sz w:val="20"/>
                <w:szCs w:val="20"/>
              </w:rPr>
              <w:lastRenderedPageBreak/>
              <w:t>A/HRC/40/NGO/</w:t>
            </w:r>
            <w:r>
              <w:rPr>
                <w:sz w:val="20"/>
                <w:szCs w:val="20"/>
              </w:rPr>
              <w:t>218</w:t>
            </w:r>
          </w:p>
        </w:tc>
        <w:tc>
          <w:tcPr>
            <w:tcW w:w="1276" w:type="dxa"/>
            <w:shd w:val="clear" w:color="auto" w:fill="auto"/>
          </w:tcPr>
          <w:p w14:paraId="728E0AE8" w14:textId="77777777" w:rsidR="002139E4" w:rsidRDefault="002139E4" w:rsidP="001A259A">
            <w:pPr>
              <w:spacing w:before="40" w:after="120"/>
              <w:ind w:right="284"/>
              <w:jc w:val="right"/>
              <w:rPr>
                <w:sz w:val="20"/>
                <w:szCs w:val="20"/>
              </w:rPr>
            </w:pPr>
            <w:r>
              <w:rPr>
                <w:sz w:val="20"/>
                <w:szCs w:val="20"/>
              </w:rPr>
              <w:t>2</w:t>
            </w:r>
          </w:p>
        </w:tc>
        <w:tc>
          <w:tcPr>
            <w:tcW w:w="4252" w:type="dxa"/>
            <w:shd w:val="clear" w:color="auto" w:fill="auto"/>
            <w:vAlign w:val="center"/>
          </w:tcPr>
          <w:p w14:paraId="4E456236" w14:textId="77777777" w:rsidR="002139E4" w:rsidRPr="00296342" w:rsidRDefault="002139E4" w:rsidP="001A259A">
            <w:pPr>
              <w:spacing w:before="40" w:after="120"/>
              <w:ind w:right="113"/>
              <w:rPr>
                <w:sz w:val="20"/>
                <w:szCs w:val="20"/>
              </w:rPr>
            </w:pPr>
            <w:r w:rsidRPr="00020C2F">
              <w:rPr>
                <w:sz w:val="20"/>
                <w:szCs w:val="20"/>
              </w:rPr>
              <w:t xml:space="preserve">Joint written statement submitted by Association Bharathi </w:t>
            </w:r>
            <w:r>
              <w:rPr>
                <w:sz w:val="20"/>
                <w:szCs w:val="20"/>
              </w:rPr>
              <w:t>Centre Culturel Franco-Tamoul, “</w:t>
            </w:r>
            <w:r w:rsidRPr="00020C2F">
              <w:rPr>
                <w:sz w:val="20"/>
                <w:szCs w:val="20"/>
              </w:rPr>
              <w:t>ECO-FAWN</w:t>
            </w:r>
            <w:r>
              <w:rPr>
                <w:sz w:val="20"/>
                <w:szCs w:val="20"/>
              </w:rPr>
              <w:t>”</w:t>
            </w:r>
            <w:r w:rsidRPr="00020C2F">
              <w:rPr>
                <w:sz w:val="20"/>
                <w:szCs w:val="20"/>
              </w:rPr>
              <w:t xml:space="preserve"> (Environment Conservation Organization - Foundation for Afforesta</w:t>
            </w:r>
            <w:r>
              <w:rPr>
                <w:sz w:val="20"/>
                <w:szCs w:val="20"/>
              </w:rPr>
              <w:t>tion Wild Animals and Nature), “</w:t>
            </w:r>
            <w:r w:rsidRPr="00020C2F">
              <w:rPr>
                <w:sz w:val="20"/>
                <w:szCs w:val="20"/>
              </w:rPr>
              <w:t>Women and Modern World</w:t>
            </w:r>
            <w:r>
              <w:rPr>
                <w:sz w:val="20"/>
                <w:szCs w:val="20"/>
              </w:rPr>
              <w:t>”</w:t>
            </w:r>
            <w:r w:rsidRPr="00020C2F">
              <w:rPr>
                <w:sz w:val="20"/>
                <w:szCs w:val="20"/>
              </w:rPr>
              <w:t xml:space="preserve"> Social Charitable Centre, ABC Tamil Oli, Abibimman Foundation, Action of Human Movement (AHM), Action pour la protection des droits de l</w:t>
            </w:r>
            <w:r>
              <w:rPr>
                <w:sz w:val="20"/>
                <w:szCs w:val="20"/>
              </w:rPr>
              <w:t>’</w:t>
            </w:r>
            <w:r w:rsidRPr="00020C2F">
              <w:rPr>
                <w:sz w:val="20"/>
                <w:szCs w:val="20"/>
              </w:rPr>
              <w:t>homme en Mauritanie, Africa Unite, African Agency for Integrated Development (AAID), African Centre for Advocacy and Human Development, African Citizens Development Foundation, African Network of Young Leaders for Peace and Sustainable Development, Agence pour les droits de l</w:t>
            </w:r>
            <w:r>
              <w:rPr>
                <w:sz w:val="20"/>
                <w:szCs w:val="20"/>
              </w:rPr>
              <w:t>’</w:t>
            </w:r>
            <w:r w:rsidRPr="00020C2F">
              <w:rPr>
                <w:sz w:val="20"/>
                <w:szCs w:val="20"/>
              </w:rPr>
              <w:t>homme, AIMPO, Alliance Creative Community Project, Alliance for Development and Population Services (ADEPS), Alliance internationale pour la défense des droits et des libertés, Aman against Discrimination, Amis d</w:t>
            </w:r>
            <w:r>
              <w:rPr>
                <w:sz w:val="20"/>
                <w:szCs w:val="20"/>
              </w:rPr>
              <w:t>’</w:t>
            </w:r>
            <w:r w:rsidRPr="00020C2F">
              <w:rPr>
                <w:sz w:val="20"/>
                <w:szCs w:val="20"/>
              </w:rPr>
              <w:t>Afrique Francophone-Bénin (AMAF-Benin), Amman Center for Human Rights Studies, Arab Society for Academic Freedoms, Asabe Shehu Yar Adua Foundation, Asociación Española para el Derecho Internacional de los Derechos Humanos AEDIDH, Asociation pour les Droits de l</w:t>
            </w:r>
            <w:r>
              <w:rPr>
                <w:sz w:val="20"/>
                <w:szCs w:val="20"/>
              </w:rPr>
              <w:t>’</w:t>
            </w:r>
            <w:r w:rsidRPr="00020C2F">
              <w:rPr>
                <w:sz w:val="20"/>
                <w:szCs w:val="20"/>
              </w:rPr>
              <w:t>Homme et l</w:t>
            </w:r>
            <w:r>
              <w:rPr>
                <w:sz w:val="20"/>
                <w:szCs w:val="20"/>
              </w:rPr>
              <w:t>’</w:t>
            </w:r>
            <w:r w:rsidRPr="00020C2F">
              <w:rPr>
                <w:sz w:val="20"/>
                <w:szCs w:val="20"/>
              </w:rPr>
              <w:t>Univers Carcéral, Association Aide aux femmes et enfants, Association Burkinabé pour la Survie de l</w:t>
            </w:r>
            <w:r>
              <w:rPr>
                <w:sz w:val="20"/>
                <w:szCs w:val="20"/>
              </w:rPr>
              <w:t>’</w:t>
            </w:r>
            <w:r w:rsidRPr="00020C2F">
              <w:rPr>
                <w:sz w:val="20"/>
                <w:szCs w:val="20"/>
              </w:rPr>
              <w:t>Enfance, Association Congolaise pour le Développement Agricole, ASSOCIATION CULTURELLE DES TAMOULS EN FRANCE, Association des étudiants tamouls de France, Association des Jeunes Engagés pour l</w:t>
            </w:r>
            <w:r>
              <w:rPr>
                <w:sz w:val="20"/>
                <w:szCs w:val="20"/>
              </w:rPr>
              <w:t>’</w:t>
            </w:r>
            <w:r w:rsidRPr="00020C2F">
              <w:rPr>
                <w:sz w:val="20"/>
                <w:szCs w:val="20"/>
              </w:rPr>
              <w:t>Action Humanitaire (A.J.E.A.H.), Association des jeunes pour le developpement humain et la protection de l</w:t>
            </w:r>
            <w:r>
              <w:rPr>
                <w:sz w:val="20"/>
                <w:szCs w:val="20"/>
              </w:rPr>
              <w:t>’</w:t>
            </w:r>
            <w:r w:rsidRPr="00020C2F">
              <w:rPr>
                <w:sz w:val="20"/>
                <w:szCs w:val="20"/>
              </w:rPr>
              <w:t>environnement, Association des jeunes volontaires au service du monde environnemental, Association Elmostakbell pour le Développement, Association femmes solidaires au Togo, Association Malienne de Savoir Construire (A.M.S.C.), Association mauritanienne pour la promotion des droits de l</w:t>
            </w:r>
            <w:r>
              <w:rPr>
                <w:sz w:val="20"/>
                <w:szCs w:val="20"/>
              </w:rPr>
              <w:t>’</w:t>
            </w:r>
            <w:r w:rsidRPr="00020C2F">
              <w:rPr>
                <w:sz w:val="20"/>
                <w:szCs w:val="20"/>
              </w:rPr>
              <w:t>homme, Association nationale des partenaires migrants, Association pour la Défense des Droits de Développement Durable et du Bien-être Familial (ADBEF), Association pour les Victimes Du Monde, Association Solidarité Internationale pour l</w:t>
            </w:r>
            <w:r>
              <w:rPr>
                <w:sz w:val="20"/>
                <w:szCs w:val="20"/>
              </w:rPr>
              <w:t>’</w:t>
            </w:r>
            <w:r w:rsidRPr="00020C2F">
              <w:rPr>
                <w:sz w:val="20"/>
                <w:szCs w:val="20"/>
              </w:rPr>
              <w:t xml:space="preserve">Afrique (SIA), Association Thendral, Autre Vie, Blessed Aid, Center for Africa Development and Progress, Centre for Gender Justice and Women </w:t>
            </w:r>
            <w:r w:rsidRPr="00020C2F">
              <w:rPr>
                <w:sz w:val="20"/>
                <w:szCs w:val="20"/>
              </w:rPr>
              <w:lastRenderedPageBreak/>
              <w:t>Empowerment, Centre for Human Rights and Peace Advocacy, Centro Regional de Derechos Humanos y Justicia de Genero, Change Human</w:t>
            </w:r>
            <w:r>
              <w:rPr>
                <w:sz w:val="20"/>
                <w:szCs w:val="20"/>
              </w:rPr>
              <w:t>’</w:t>
            </w:r>
            <w:r w:rsidRPr="00020C2F">
              <w:rPr>
                <w:sz w:val="20"/>
                <w:szCs w:val="20"/>
              </w:rPr>
              <w:t>s Life, CIRID (Centre Independent de Recherches et d</w:t>
            </w:r>
            <w:r>
              <w:rPr>
                <w:sz w:val="20"/>
                <w:szCs w:val="20"/>
              </w:rPr>
              <w:t>’</w:t>
            </w:r>
            <w:r w:rsidRPr="00020C2F">
              <w:rPr>
                <w:sz w:val="20"/>
                <w:szCs w:val="20"/>
              </w:rPr>
              <w:t>Iniatives pour le Dialogue), City2000 Youth Action International, Comité des observateurs des droits de l</w:t>
            </w:r>
            <w:r>
              <w:rPr>
                <w:sz w:val="20"/>
                <w:szCs w:val="20"/>
              </w:rPr>
              <w:t>’</w:t>
            </w:r>
            <w:r w:rsidRPr="00020C2F">
              <w:rPr>
                <w:sz w:val="20"/>
                <w:szCs w:val="20"/>
              </w:rPr>
              <w:t>homme, Comité Permanente por la Defensa de los Derechos Humanos, Community Restoration Initiative Project, Conseil International pour le soutien à des procès équitables et aux Droits de l</w:t>
            </w:r>
            <w:r>
              <w:rPr>
                <w:sz w:val="20"/>
                <w:szCs w:val="20"/>
              </w:rPr>
              <w:t>’</w:t>
            </w:r>
            <w:r w:rsidRPr="00020C2F">
              <w:rPr>
                <w:sz w:val="20"/>
                <w:szCs w:val="20"/>
              </w:rPr>
              <w:t>Homme, Coordination des Associations et des Particuliers pour la Liberté de Conscience, Corporación Red Nacional de Mujeres Comunales, Comunitarias, Indígenas y Campesinas de la República de Colombia, Coup de Pouce, Dayemi Complex Bangladesh, Edfu Foundation Inc., EG Justice, Elizka Relief Foundation, Excellent World Foundation LTD/GTE, Families of the Missing, First Modern Agro. Tools - Common Initiative Group (FI.MO.AT.C.I.G), Foreningen for Human Narkotikapolitikk, Freann Financial Services Limited, Fundação de Apoio a Pesquisa Científica, Educacional e Tecnológica de Rondônia, Fundación Latinoamericana por los Derechos Humanos y el Desarrollo Social, Fundación Lonxanet para la Pesca Sostenible, Giving Life Nature Volunteer, Global Vision India Foundation, Goodness and Mercy Missions Common Initiative Group, Haitelmex Foundation A.C., Hamraah Foundation, Hape Development &amp; Welfare Association, Idheas, Litigio Estratégico en Derechos Humanos, Asociación Civil, Inter-Action Globale (I.A.G.), International Career Support Association, International Centre for Environmental Education and Community Development, International Federation of Medical Students</w:t>
            </w:r>
            <w:r>
              <w:rPr>
                <w:sz w:val="20"/>
                <w:szCs w:val="20"/>
              </w:rPr>
              <w:t>’</w:t>
            </w:r>
            <w:r w:rsidRPr="00020C2F">
              <w:rPr>
                <w:sz w:val="20"/>
                <w:szCs w:val="20"/>
              </w:rPr>
              <w:t xml:space="preserve"> Associations, International Movement for Advancement of Education Culture Social and Economic Development, Jeunesse Etudiante Tamoule, Lazarus Union, Le Pont, Lebanese American Renaissance Partnership, Inc., L</w:t>
            </w:r>
            <w:r>
              <w:rPr>
                <w:sz w:val="20"/>
                <w:szCs w:val="20"/>
              </w:rPr>
              <w:t>’</w:t>
            </w:r>
            <w:r w:rsidRPr="00020C2F">
              <w:rPr>
                <w:sz w:val="20"/>
                <w:szCs w:val="20"/>
              </w:rPr>
              <w:t>observatoire mauritanien des droits de l</w:t>
            </w:r>
            <w:r>
              <w:rPr>
                <w:sz w:val="20"/>
                <w:szCs w:val="20"/>
              </w:rPr>
              <w:t>’</w:t>
            </w:r>
            <w:r w:rsidRPr="00020C2F">
              <w:rPr>
                <w:sz w:val="20"/>
                <w:szCs w:val="20"/>
              </w:rPr>
              <w:t>homme et de la démocratie, L</w:t>
            </w:r>
            <w:r>
              <w:rPr>
                <w:sz w:val="20"/>
                <w:szCs w:val="20"/>
              </w:rPr>
              <w:t>’</w:t>
            </w:r>
            <w:r w:rsidRPr="00020C2F">
              <w:rPr>
                <w:sz w:val="20"/>
                <w:szCs w:val="20"/>
              </w:rPr>
              <w:t xml:space="preserve">Organisation Non Gouvernementale des Cercles Nationaux de Réflexion sur la Jeunesse - ONG CNRJ, Mandala Transformation Foundation Inc., Mijoro Mandroso (Mi.Ma.), Murna Foundation, Nobel Laurate Mother Teresa Charitable Trust, Northern CCB, Ocean Lifeline Inc., Otro Tiempo México, Asociación Civil, Paz y Cooperación, Pirate Parties International Headquarters, Planetary Association for Clean Energy, Inc., The, PLURIELS, Centre de </w:t>
            </w:r>
            <w:r w:rsidRPr="00020C2F">
              <w:rPr>
                <w:sz w:val="20"/>
                <w:szCs w:val="20"/>
              </w:rPr>
              <w:lastRenderedPageBreak/>
              <w:t>Consultations et d</w:t>
            </w:r>
            <w:r>
              <w:rPr>
                <w:sz w:val="20"/>
                <w:szCs w:val="20"/>
              </w:rPr>
              <w:t>’</w:t>
            </w:r>
            <w:r w:rsidRPr="00020C2F">
              <w:rPr>
                <w:sz w:val="20"/>
                <w:szCs w:val="20"/>
              </w:rPr>
              <w:t>Etudes Ethnopsychologiques pour Migrants, Project 1948 Foundation, Rassemblement des frères unis pour le développement socio-culturel (RAFUDESC - BENIN), Reachout and Smile Initiative for Social Empowerment, Safe Campaign LLC, Shirley Ann Sullivan Educational Foundation, Society for Development and Community Empowerment, Solidarité Agissante pour le Devéloppement Familial (SADF), Stichting Global Human Rights Defence, Stichting Spanda, Tamil Uzhagam, Tourner La Page, Trilok Youth Club and Charitable Trust, Vadodara, United Zo Organization (USA) Inc., Vision GRAM-International, Vision Welfare Group, Women Watch Afrika, Inc., Yayasan Pendidikan Indonesia, non-governmental organizations in special consultative status</w:t>
            </w:r>
          </w:p>
        </w:tc>
      </w:tr>
      <w:tr w:rsidR="002139E4" w:rsidRPr="00CE032F" w14:paraId="5DA3AEDF" w14:textId="77777777" w:rsidTr="001A259A">
        <w:trPr>
          <w:trHeight w:val="255"/>
        </w:trPr>
        <w:tc>
          <w:tcPr>
            <w:tcW w:w="2410" w:type="dxa"/>
            <w:shd w:val="clear" w:color="auto" w:fill="auto"/>
          </w:tcPr>
          <w:p w14:paraId="5BD7BC35" w14:textId="77777777" w:rsidR="002139E4" w:rsidRPr="00296342" w:rsidRDefault="002139E4" w:rsidP="001A259A">
            <w:pPr>
              <w:spacing w:before="40" w:after="120"/>
              <w:ind w:right="113"/>
              <w:rPr>
                <w:sz w:val="20"/>
                <w:szCs w:val="20"/>
              </w:rPr>
            </w:pPr>
            <w:r w:rsidRPr="00296342">
              <w:rPr>
                <w:sz w:val="20"/>
                <w:szCs w:val="20"/>
              </w:rPr>
              <w:lastRenderedPageBreak/>
              <w:t>A/HRC/40/NGO/</w:t>
            </w:r>
            <w:r>
              <w:rPr>
                <w:sz w:val="20"/>
                <w:szCs w:val="20"/>
              </w:rPr>
              <w:t>219</w:t>
            </w:r>
          </w:p>
        </w:tc>
        <w:tc>
          <w:tcPr>
            <w:tcW w:w="1276" w:type="dxa"/>
            <w:shd w:val="clear" w:color="auto" w:fill="auto"/>
          </w:tcPr>
          <w:p w14:paraId="7E5C143E"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2D818A4E" w14:textId="77777777" w:rsidR="002139E4" w:rsidRPr="00296342" w:rsidRDefault="002139E4" w:rsidP="001A259A">
            <w:pPr>
              <w:spacing w:before="40" w:after="120"/>
              <w:ind w:right="113"/>
              <w:rPr>
                <w:sz w:val="20"/>
                <w:szCs w:val="20"/>
              </w:rPr>
            </w:pPr>
            <w:r>
              <w:rPr>
                <w:sz w:val="20"/>
                <w:szCs w:val="20"/>
              </w:rPr>
              <w:t>Written statement</w:t>
            </w:r>
            <w:r w:rsidRPr="00641BD7">
              <w:rPr>
                <w:sz w:val="20"/>
                <w:szCs w:val="20"/>
              </w:rPr>
              <w:t xml:space="preserve"> submitted by United Nations Watch, a non-governmental organization in special consultative status</w:t>
            </w:r>
          </w:p>
        </w:tc>
      </w:tr>
      <w:tr w:rsidR="002139E4" w:rsidRPr="00CE032F" w14:paraId="2FFB2398" w14:textId="77777777" w:rsidTr="001A259A">
        <w:trPr>
          <w:trHeight w:val="255"/>
        </w:trPr>
        <w:tc>
          <w:tcPr>
            <w:tcW w:w="2410" w:type="dxa"/>
            <w:shd w:val="clear" w:color="auto" w:fill="auto"/>
          </w:tcPr>
          <w:p w14:paraId="6B78875D"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220</w:t>
            </w:r>
          </w:p>
        </w:tc>
        <w:tc>
          <w:tcPr>
            <w:tcW w:w="1276" w:type="dxa"/>
            <w:shd w:val="clear" w:color="auto" w:fill="auto"/>
          </w:tcPr>
          <w:p w14:paraId="09EDD946"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04B507DC" w14:textId="77777777" w:rsidR="002139E4" w:rsidRPr="00296342" w:rsidRDefault="002139E4" w:rsidP="001A259A">
            <w:pPr>
              <w:spacing w:before="40" w:after="120"/>
              <w:ind w:right="113"/>
              <w:rPr>
                <w:sz w:val="20"/>
                <w:szCs w:val="20"/>
              </w:rPr>
            </w:pPr>
            <w:r>
              <w:rPr>
                <w:sz w:val="20"/>
                <w:szCs w:val="20"/>
              </w:rPr>
              <w:t>Written statement</w:t>
            </w:r>
            <w:r w:rsidRPr="00641BD7">
              <w:rPr>
                <w:sz w:val="20"/>
                <w:szCs w:val="20"/>
              </w:rPr>
              <w:t xml:space="preserve"> submitted by United Nations Watch, a non-governmental organization in special consultative status</w:t>
            </w:r>
          </w:p>
        </w:tc>
      </w:tr>
      <w:tr w:rsidR="002139E4" w:rsidRPr="00CE032F" w14:paraId="6F5B986D" w14:textId="77777777" w:rsidTr="001A259A">
        <w:trPr>
          <w:trHeight w:val="255"/>
        </w:trPr>
        <w:tc>
          <w:tcPr>
            <w:tcW w:w="2410" w:type="dxa"/>
            <w:shd w:val="clear" w:color="auto" w:fill="auto"/>
          </w:tcPr>
          <w:p w14:paraId="50913930"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221</w:t>
            </w:r>
          </w:p>
        </w:tc>
        <w:tc>
          <w:tcPr>
            <w:tcW w:w="1276" w:type="dxa"/>
            <w:shd w:val="clear" w:color="auto" w:fill="auto"/>
          </w:tcPr>
          <w:p w14:paraId="6E4BBE67"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6AD458B2" w14:textId="77777777" w:rsidR="002139E4" w:rsidRPr="00296342" w:rsidRDefault="002139E4" w:rsidP="001A259A">
            <w:pPr>
              <w:spacing w:before="40" w:after="120"/>
              <w:ind w:right="113"/>
              <w:rPr>
                <w:sz w:val="20"/>
                <w:szCs w:val="20"/>
              </w:rPr>
            </w:pPr>
            <w:r w:rsidRPr="00641BD7">
              <w:rPr>
                <w:sz w:val="20"/>
                <w:szCs w:val="20"/>
              </w:rPr>
              <w:t>Written statement submitted by United Nations Watch, a non-governmental organization in special consultative status</w:t>
            </w:r>
          </w:p>
        </w:tc>
      </w:tr>
      <w:tr w:rsidR="002139E4" w:rsidRPr="00CE032F" w14:paraId="69824CC7" w14:textId="77777777" w:rsidTr="001A259A">
        <w:trPr>
          <w:trHeight w:val="255"/>
        </w:trPr>
        <w:tc>
          <w:tcPr>
            <w:tcW w:w="2410" w:type="dxa"/>
            <w:shd w:val="clear" w:color="auto" w:fill="auto"/>
          </w:tcPr>
          <w:p w14:paraId="27F37FDD"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222</w:t>
            </w:r>
          </w:p>
        </w:tc>
        <w:tc>
          <w:tcPr>
            <w:tcW w:w="1276" w:type="dxa"/>
            <w:shd w:val="clear" w:color="auto" w:fill="auto"/>
          </w:tcPr>
          <w:p w14:paraId="437D1B46"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318C2C0A" w14:textId="77777777" w:rsidR="002139E4" w:rsidRPr="00296342" w:rsidRDefault="002139E4" w:rsidP="001A259A">
            <w:pPr>
              <w:spacing w:before="40" w:after="120"/>
              <w:ind w:right="113"/>
              <w:rPr>
                <w:sz w:val="20"/>
                <w:szCs w:val="20"/>
              </w:rPr>
            </w:pPr>
            <w:r w:rsidRPr="00641BD7">
              <w:rPr>
                <w:sz w:val="20"/>
                <w:szCs w:val="20"/>
              </w:rPr>
              <w:t>Written statement submitted by International Human Rights Association of American Minorities (IHRAAM), a non-governmental organization on the roster</w:t>
            </w:r>
          </w:p>
        </w:tc>
      </w:tr>
      <w:tr w:rsidR="002139E4" w:rsidRPr="00CE032F" w14:paraId="76DE2EAD" w14:textId="77777777" w:rsidTr="001A259A">
        <w:trPr>
          <w:trHeight w:val="255"/>
        </w:trPr>
        <w:tc>
          <w:tcPr>
            <w:tcW w:w="2410" w:type="dxa"/>
            <w:shd w:val="clear" w:color="auto" w:fill="auto"/>
          </w:tcPr>
          <w:p w14:paraId="46C863A1"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223</w:t>
            </w:r>
          </w:p>
        </w:tc>
        <w:tc>
          <w:tcPr>
            <w:tcW w:w="1276" w:type="dxa"/>
            <w:shd w:val="clear" w:color="auto" w:fill="auto"/>
          </w:tcPr>
          <w:p w14:paraId="10A30290" w14:textId="77777777" w:rsidR="002139E4" w:rsidRDefault="002139E4" w:rsidP="001A259A">
            <w:pPr>
              <w:spacing w:before="40" w:after="120"/>
              <w:ind w:right="284"/>
              <w:jc w:val="right"/>
              <w:rPr>
                <w:sz w:val="20"/>
                <w:szCs w:val="20"/>
              </w:rPr>
            </w:pPr>
            <w:r>
              <w:rPr>
                <w:sz w:val="20"/>
                <w:szCs w:val="20"/>
              </w:rPr>
              <w:t>9</w:t>
            </w:r>
          </w:p>
        </w:tc>
        <w:tc>
          <w:tcPr>
            <w:tcW w:w="4252" w:type="dxa"/>
            <w:shd w:val="clear" w:color="auto" w:fill="auto"/>
            <w:vAlign w:val="center"/>
          </w:tcPr>
          <w:p w14:paraId="58A61771" w14:textId="77777777" w:rsidR="002139E4" w:rsidRPr="00296342" w:rsidRDefault="002139E4" w:rsidP="001A259A">
            <w:pPr>
              <w:spacing w:before="40" w:after="120"/>
              <w:ind w:right="113"/>
              <w:rPr>
                <w:sz w:val="20"/>
                <w:szCs w:val="20"/>
              </w:rPr>
            </w:pPr>
            <w:r w:rsidRPr="00641BD7">
              <w:rPr>
                <w:sz w:val="20"/>
                <w:szCs w:val="20"/>
              </w:rPr>
              <w:t>Written statement submitted by International Youth and Student Movement for the United Nations, a non-governmental organization in general consultative status</w:t>
            </w:r>
          </w:p>
        </w:tc>
      </w:tr>
      <w:tr w:rsidR="002139E4" w:rsidRPr="00CE032F" w14:paraId="71A650E7" w14:textId="77777777" w:rsidTr="001A259A">
        <w:trPr>
          <w:trHeight w:val="255"/>
        </w:trPr>
        <w:tc>
          <w:tcPr>
            <w:tcW w:w="2410" w:type="dxa"/>
            <w:shd w:val="clear" w:color="auto" w:fill="auto"/>
          </w:tcPr>
          <w:p w14:paraId="44B1A0E1"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224</w:t>
            </w:r>
          </w:p>
        </w:tc>
        <w:tc>
          <w:tcPr>
            <w:tcW w:w="1276" w:type="dxa"/>
            <w:shd w:val="clear" w:color="auto" w:fill="auto"/>
          </w:tcPr>
          <w:p w14:paraId="6D759F4B" w14:textId="77777777" w:rsidR="002139E4" w:rsidRDefault="002139E4" w:rsidP="001A259A">
            <w:pPr>
              <w:spacing w:before="40" w:after="120"/>
              <w:ind w:right="284"/>
              <w:jc w:val="right"/>
              <w:rPr>
                <w:sz w:val="20"/>
                <w:szCs w:val="20"/>
              </w:rPr>
            </w:pPr>
            <w:r>
              <w:rPr>
                <w:sz w:val="20"/>
                <w:szCs w:val="20"/>
              </w:rPr>
              <w:t>9</w:t>
            </w:r>
          </w:p>
        </w:tc>
        <w:tc>
          <w:tcPr>
            <w:tcW w:w="4252" w:type="dxa"/>
            <w:shd w:val="clear" w:color="auto" w:fill="auto"/>
            <w:vAlign w:val="center"/>
          </w:tcPr>
          <w:p w14:paraId="546CEBFE" w14:textId="77777777" w:rsidR="002139E4" w:rsidRPr="00296342" w:rsidRDefault="002139E4" w:rsidP="001A259A">
            <w:pPr>
              <w:spacing w:before="40" w:after="120"/>
              <w:ind w:right="113"/>
              <w:rPr>
                <w:sz w:val="20"/>
                <w:szCs w:val="20"/>
              </w:rPr>
            </w:pPr>
            <w:r>
              <w:rPr>
                <w:sz w:val="20"/>
                <w:szCs w:val="20"/>
              </w:rPr>
              <w:t>Written statement</w:t>
            </w:r>
            <w:r w:rsidRPr="00641BD7">
              <w:rPr>
                <w:sz w:val="20"/>
                <w:szCs w:val="20"/>
              </w:rPr>
              <w:t xml:space="preserve"> submitted by Sikh Human Rights Group, a non-governmental organization in special consultative status</w:t>
            </w:r>
          </w:p>
        </w:tc>
      </w:tr>
      <w:tr w:rsidR="002139E4" w:rsidRPr="00CE032F" w14:paraId="4884FC88" w14:textId="77777777" w:rsidTr="001A259A">
        <w:trPr>
          <w:trHeight w:val="255"/>
        </w:trPr>
        <w:tc>
          <w:tcPr>
            <w:tcW w:w="2410" w:type="dxa"/>
            <w:shd w:val="clear" w:color="auto" w:fill="auto"/>
          </w:tcPr>
          <w:p w14:paraId="147AA1C3"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225</w:t>
            </w:r>
          </w:p>
        </w:tc>
        <w:tc>
          <w:tcPr>
            <w:tcW w:w="1276" w:type="dxa"/>
            <w:shd w:val="clear" w:color="auto" w:fill="auto"/>
          </w:tcPr>
          <w:p w14:paraId="3F9C626C" w14:textId="77777777" w:rsidR="002139E4" w:rsidRDefault="002139E4" w:rsidP="001A259A">
            <w:pPr>
              <w:spacing w:before="40" w:after="120"/>
              <w:ind w:right="284"/>
              <w:jc w:val="right"/>
              <w:rPr>
                <w:sz w:val="20"/>
                <w:szCs w:val="20"/>
              </w:rPr>
            </w:pPr>
            <w:r>
              <w:rPr>
                <w:sz w:val="20"/>
                <w:szCs w:val="20"/>
              </w:rPr>
              <w:t>7</w:t>
            </w:r>
          </w:p>
        </w:tc>
        <w:tc>
          <w:tcPr>
            <w:tcW w:w="4252" w:type="dxa"/>
            <w:shd w:val="clear" w:color="auto" w:fill="auto"/>
            <w:vAlign w:val="center"/>
          </w:tcPr>
          <w:p w14:paraId="6D78A5FE" w14:textId="77777777" w:rsidR="002139E4" w:rsidRPr="00296342" w:rsidRDefault="002139E4" w:rsidP="001A259A">
            <w:pPr>
              <w:spacing w:before="40" w:after="120"/>
              <w:ind w:right="113"/>
              <w:rPr>
                <w:sz w:val="20"/>
                <w:szCs w:val="20"/>
              </w:rPr>
            </w:pPr>
            <w:r w:rsidRPr="00641BD7">
              <w:rPr>
                <w:sz w:val="20"/>
                <w:szCs w:val="20"/>
              </w:rPr>
              <w:t>Written statement submitted by Al-Haq, Law in the Service of Man, non-governmental organization in special consultative status</w:t>
            </w:r>
          </w:p>
        </w:tc>
      </w:tr>
      <w:tr w:rsidR="002139E4" w:rsidRPr="00CE032F" w14:paraId="02976327" w14:textId="77777777" w:rsidTr="001A259A">
        <w:trPr>
          <w:trHeight w:val="255"/>
        </w:trPr>
        <w:tc>
          <w:tcPr>
            <w:tcW w:w="2410" w:type="dxa"/>
            <w:shd w:val="clear" w:color="auto" w:fill="auto"/>
          </w:tcPr>
          <w:p w14:paraId="30D8BF9B"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226</w:t>
            </w:r>
          </w:p>
        </w:tc>
        <w:tc>
          <w:tcPr>
            <w:tcW w:w="1276" w:type="dxa"/>
            <w:shd w:val="clear" w:color="auto" w:fill="auto"/>
          </w:tcPr>
          <w:p w14:paraId="063B5AC1"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2E154F7E" w14:textId="77777777" w:rsidR="002139E4" w:rsidRPr="00296342" w:rsidRDefault="002139E4" w:rsidP="001A259A">
            <w:pPr>
              <w:spacing w:before="40" w:after="120"/>
              <w:ind w:right="113"/>
              <w:rPr>
                <w:sz w:val="20"/>
                <w:szCs w:val="20"/>
              </w:rPr>
            </w:pPr>
            <w:r w:rsidRPr="00641BD7">
              <w:rPr>
                <w:sz w:val="20"/>
                <w:szCs w:val="20"/>
              </w:rPr>
              <w:t>Written statement submitted by Sikh Human Rights Group, a non-governmental organization in special consultative status</w:t>
            </w:r>
          </w:p>
        </w:tc>
      </w:tr>
      <w:tr w:rsidR="002139E4" w:rsidRPr="00CE032F" w14:paraId="12E82CB5" w14:textId="77777777" w:rsidTr="001A259A">
        <w:trPr>
          <w:trHeight w:val="255"/>
        </w:trPr>
        <w:tc>
          <w:tcPr>
            <w:tcW w:w="2410" w:type="dxa"/>
            <w:shd w:val="clear" w:color="auto" w:fill="auto"/>
          </w:tcPr>
          <w:p w14:paraId="04C3827F" w14:textId="77777777" w:rsidR="002139E4" w:rsidRPr="00296342" w:rsidRDefault="002139E4" w:rsidP="001A259A">
            <w:pPr>
              <w:spacing w:before="40" w:after="120"/>
              <w:ind w:right="113"/>
              <w:rPr>
                <w:sz w:val="20"/>
                <w:szCs w:val="20"/>
              </w:rPr>
            </w:pPr>
            <w:r w:rsidRPr="00296342">
              <w:rPr>
                <w:sz w:val="20"/>
                <w:szCs w:val="20"/>
              </w:rPr>
              <w:lastRenderedPageBreak/>
              <w:t>A/HRC/40/NGO/</w:t>
            </w:r>
            <w:r>
              <w:rPr>
                <w:sz w:val="20"/>
                <w:szCs w:val="20"/>
              </w:rPr>
              <w:t>227</w:t>
            </w:r>
          </w:p>
        </w:tc>
        <w:tc>
          <w:tcPr>
            <w:tcW w:w="1276" w:type="dxa"/>
            <w:shd w:val="clear" w:color="auto" w:fill="auto"/>
          </w:tcPr>
          <w:p w14:paraId="5B7205DF" w14:textId="77777777" w:rsidR="002139E4" w:rsidRDefault="002139E4" w:rsidP="001A259A">
            <w:pPr>
              <w:spacing w:before="40" w:after="120"/>
              <w:ind w:right="284"/>
              <w:jc w:val="right"/>
              <w:rPr>
                <w:sz w:val="20"/>
                <w:szCs w:val="20"/>
              </w:rPr>
            </w:pPr>
            <w:r>
              <w:rPr>
                <w:sz w:val="20"/>
                <w:szCs w:val="20"/>
              </w:rPr>
              <w:t>2</w:t>
            </w:r>
          </w:p>
        </w:tc>
        <w:tc>
          <w:tcPr>
            <w:tcW w:w="4252" w:type="dxa"/>
            <w:shd w:val="clear" w:color="auto" w:fill="auto"/>
            <w:vAlign w:val="center"/>
          </w:tcPr>
          <w:p w14:paraId="405834A3" w14:textId="77777777" w:rsidR="002139E4" w:rsidRPr="00296342" w:rsidRDefault="002139E4" w:rsidP="001A259A">
            <w:pPr>
              <w:spacing w:before="40" w:after="120"/>
              <w:ind w:right="113"/>
              <w:rPr>
                <w:sz w:val="20"/>
                <w:szCs w:val="20"/>
              </w:rPr>
            </w:pPr>
            <w:r>
              <w:rPr>
                <w:sz w:val="20"/>
                <w:szCs w:val="20"/>
              </w:rPr>
              <w:t>Written statement</w:t>
            </w:r>
            <w:r w:rsidRPr="00641BD7">
              <w:rPr>
                <w:sz w:val="20"/>
                <w:szCs w:val="20"/>
              </w:rPr>
              <w:t xml:space="preserve"> submitted by African Green Foundation International, non-governmental organization in special consultative status</w:t>
            </w:r>
          </w:p>
        </w:tc>
      </w:tr>
      <w:tr w:rsidR="002139E4" w:rsidRPr="00CE032F" w14:paraId="43C77931" w14:textId="77777777" w:rsidTr="001A259A">
        <w:trPr>
          <w:trHeight w:val="255"/>
        </w:trPr>
        <w:tc>
          <w:tcPr>
            <w:tcW w:w="2410" w:type="dxa"/>
            <w:shd w:val="clear" w:color="auto" w:fill="auto"/>
          </w:tcPr>
          <w:p w14:paraId="7007C6E9"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228</w:t>
            </w:r>
          </w:p>
        </w:tc>
        <w:tc>
          <w:tcPr>
            <w:tcW w:w="1276" w:type="dxa"/>
            <w:shd w:val="clear" w:color="auto" w:fill="auto"/>
          </w:tcPr>
          <w:p w14:paraId="7566CA75" w14:textId="77777777" w:rsidR="002139E4" w:rsidRDefault="002139E4" w:rsidP="001A259A">
            <w:pPr>
              <w:spacing w:before="40" w:after="120"/>
              <w:ind w:right="284"/>
              <w:jc w:val="right"/>
              <w:rPr>
                <w:sz w:val="20"/>
                <w:szCs w:val="20"/>
              </w:rPr>
            </w:pPr>
            <w:r>
              <w:rPr>
                <w:sz w:val="20"/>
                <w:szCs w:val="20"/>
              </w:rPr>
              <w:t>2</w:t>
            </w:r>
          </w:p>
        </w:tc>
        <w:tc>
          <w:tcPr>
            <w:tcW w:w="4252" w:type="dxa"/>
            <w:shd w:val="clear" w:color="auto" w:fill="auto"/>
            <w:vAlign w:val="center"/>
          </w:tcPr>
          <w:p w14:paraId="0371E76A" w14:textId="77777777" w:rsidR="002139E4" w:rsidRPr="00296342" w:rsidRDefault="002139E4" w:rsidP="001A259A">
            <w:pPr>
              <w:spacing w:before="40" w:after="120"/>
              <w:ind w:right="113"/>
              <w:rPr>
                <w:sz w:val="20"/>
                <w:szCs w:val="20"/>
              </w:rPr>
            </w:pPr>
            <w:r w:rsidRPr="00641BD7">
              <w:rPr>
                <w:sz w:val="20"/>
                <w:szCs w:val="20"/>
              </w:rPr>
              <w:t>Written statement submitted by African Green Foundation International, non-governmental organization in special consultative status</w:t>
            </w:r>
          </w:p>
        </w:tc>
      </w:tr>
      <w:tr w:rsidR="002139E4" w:rsidRPr="00CE032F" w14:paraId="4742820E" w14:textId="77777777" w:rsidTr="001A259A">
        <w:trPr>
          <w:trHeight w:val="255"/>
        </w:trPr>
        <w:tc>
          <w:tcPr>
            <w:tcW w:w="2410" w:type="dxa"/>
            <w:shd w:val="clear" w:color="auto" w:fill="auto"/>
          </w:tcPr>
          <w:p w14:paraId="568122AB"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229</w:t>
            </w:r>
          </w:p>
        </w:tc>
        <w:tc>
          <w:tcPr>
            <w:tcW w:w="1276" w:type="dxa"/>
            <w:shd w:val="clear" w:color="auto" w:fill="auto"/>
          </w:tcPr>
          <w:p w14:paraId="331BDA1B"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4E8B0B6F" w14:textId="77777777" w:rsidR="002139E4" w:rsidRPr="00296342" w:rsidRDefault="002139E4" w:rsidP="001A259A">
            <w:pPr>
              <w:spacing w:before="40" w:after="120"/>
              <w:ind w:right="113"/>
              <w:rPr>
                <w:sz w:val="20"/>
                <w:szCs w:val="20"/>
              </w:rPr>
            </w:pPr>
            <w:r>
              <w:rPr>
                <w:sz w:val="20"/>
                <w:szCs w:val="20"/>
              </w:rPr>
              <w:t>Written statement</w:t>
            </w:r>
            <w:r w:rsidRPr="00641BD7">
              <w:rPr>
                <w:sz w:val="20"/>
                <w:szCs w:val="20"/>
              </w:rPr>
              <w:t xml:space="preserve"> submitted by Sikh Human Rights Group, a non-governmental organization in special consultative status</w:t>
            </w:r>
          </w:p>
        </w:tc>
      </w:tr>
      <w:tr w:rsidR="002139E4" w:rsidRPr="00CE032F" w14:paraId="593627EF" w14:textId="77777777" w:rsidTr="001A259A">
        <w:trPr>
          <w:trHeight w:val="255"/>
        </w:trPr>
        <w:tc>
          <w:tcPr>
            <w:tcW w:w="2410" w:type="dxa"/>
            <w:shd w:val="clear" w:color="auto" w:fill="auto"/>
          </w:tcPr>
          <w:p w14:paraId="5D844008"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230</w:t>
            </w:r>
          </w:p>
        </w:tc>
        <w:tc>
          <w:tcPr>
            <w:tcW w:w="1276" w:type="dxa"/>
            <w:shd w:val="clear" w:color="auto" w:fill="auto"/>
          </w:tcPr>
          <w:p w14:paraId="359950CB"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55BD4613" w14:textId="77777777" w:rsidR="002139E4" w:rsidRPr="00296342" w:rsidRDefault="002139E4" w:rsidP="001A259A">
            <w:pPr>
              <w:spacing w:before="40" w:after="120"/>
              <w:ind w:right="113"/>
              <w:rPr>
                <w:sz w:val="20"/>
                <w:szCs w:val="20"/>
              </w:rPr>
            </w:pPr>
            <w:r w:rsidRPr="00641BD7">
              <w:rPr>
                <w:sz w:val="20"/>
                <w:szCs w:val="20"/>
              </w:rPr>
              <w:t>Written statement submitted by African Green Foundation International, non-governmental organization in special consultative status</w:t>
            </w:r>
          </w:p>
        </w:tc>
      </w:tr>
      <w:tr w:rsidR="002139E4" w:rsidRPr="00CE032F" w14:paraId="7FC23F3C" w14:textId="77777777" w:rsidTr="001A259A">
        <w:trPr>
          <w:trHeight w:val="255"/>
        </w:trPr>
        <w:tc>
          <w:tcPr>
            <w:tcW w:w="2410" w:type="dxa"/>
            <w:shd w:val="clear" w:color="auto" w:fill="auto"/>
          </w:tcPr>
          <w:p w14:paraId="0DA6DE49"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231</w:t>
            </w:r>
          </w:p>
        </w:tc>
        <w:tc>
          <w:tcPr>
            <w:tcW w:w="1276" w:type="dxa"/>
            <w:shd w:val="clear" w:color="auto" w:fill="auto"/>
          </w:tcPr>
          <w:p w14:paraId="55AA3D8E"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7F0862C6" w14:textId="77777777" w:rsidR="002139E4" w:rsidRPr="00296342" w:rsidRDefault="002139E4" w:rsidP="001A259A">
            <w:pPr>
              <w:spacing w:before="40" w:after="120"/>
              <w:ind w:right="113"/>
              <w:rPr>
                <w:sz w:val="20"/>
                <w:szCs w:val="20"/>
              </w:rPr>
            </w:pPr>
            <w:r w:rsidRPr="00641BD7">
              <w:rPr>
                <w:sz w:val="20"/>
                <w:szCs w:val="20"/>
              </w:rPr>
              <w:t>Written statement submitted by Jubilee Campaign, a non-governmental organization in special consultative status</w:t>
            </w:r>
          </w:p>
        </w:tc>
      </w:tr>
      <w:tr w:rsidR="002139E4" w:rsidRPr="00CE032F" w14:paraId="2D2C92C1" w14:textId="77777777" w:rsidTr="001A259A">
        <w:trPr>
          <w:trHeight w:val="255"/>
        </w:trPr>
        <w:tc>
          <w:tcPr>
            <w:tcW w:w="2410" w:type="dxa"/>
            <w:shd w:val="clear" w:color="auto" w:fill="auto"/>
          </w:tcPr>
          <w:p w14:paraId="5A00E3FF"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232</w:t>
            </w:r>
          </w:p>
        </w:tc>
        <w:tc>
          <w:tcPr>
            <w:tcW w:w="1276" w:type="dxa"/>
            <w:shd w:val="clear" w:color="auto" w:fill="auto"/>
          </w:tcPr>
          <w:p w14:paraId="6F378992"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40A5A15F" w14:textId="77777777" w:rsidR="002139E4" w:rsidRPr="00296342" w:rsidRDefault="002139E4" w:rsidP="001A259A">
            <w:pPr>
              <w:spacing w:before="40" w:after="120"/>
              <w:ind w:right="113"/>
              <w:rPr>
                <w:sz w:val="20"/>
                <w:szCs w:val="20"/>
              </w:rPr>
            </w:pPr>
            <w:r w:rsidRPr="00641BD7">
              <w:rPr>
                <w:sz w:val="20"/>
                <w:szCs w:val="20"/>
              </w:rPr>
              <w:t>Written statement submitted by Human Rights Advocates Inc., a non-governmental organization in special consultative status</w:t>
            </w:r>
          </w:p>
        </w:tc>
      </w:tr>
      <w:tr w:rsidR="002139E4" w:rsidRPr="00CE032F" w14:paraId="443B1639" w14:textId="77777777" w:rsidTr="001A259A">
        <w:trPr>
          <w:trHeight w:val="255"/>
        </w:trPr>
        <w:tc>
          <w:tcPr>
            <w:tcW w:w="2410" w:type="dxa"/>
            <w:shd w:val="clear" w:color="auto" w:fill="auto"/>
          </w:tcPr>
          <w:p w14:paraId="2206B667"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233</w:t>
            </w:r>
          </w:p>
        </w:tc>
        <w:tc>
          <w:tcPr>
            <w:tcW w:w="1276" w:type="dxa"/>
            <w:shd w:val="clear" w:color="auto" w:fill="auto"/>
          </w:tcPr>
          <w:p w14:paraId="76906169"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1BF5EABD" w14:textId="77777777" w:rsidR="002139E4" w:rsidRPr="00296342" w:rsidRDefault="002139E4" w:rsidP="001A259A">
            <w:pPr>
              <w:spacing w:before="40" w:after="120"/>
              <w:ind w:right="113"/>
              <w:rPr>
                <w:sz w:val="20"/>
                <w:szCs w:val="20"/>
              </w:rPr>
            </w:pPr>
            <w:r w:rsidRPr="00641BD7">
              <w:rPr>
                <w:sz w:val="20"/>
                <w:szCs w:val="20"/>
              </w:rPr>
              <w:t>Written statement submitted by International Association of Democratic Lawyers (IADL), a non-governmental organization in special consultative status</w:t>
            </w:r>
          </w:p>
        </w:tc>
      </w:tr>
      <w:tr w:rsidR="002139E4" w:rsidRPr="00CE032F" w14:paraId="50CA31A4" w14:textId="77777777" w:rsidTr="001A259A">
        <w:trPr>
          <w:trHeight w:val="255"/>
        </w:trPr>
        <w:tc>
          <w:tcPr>
            <w:tcW w:w="2410" w:type="dxa"/>
            <w:shd w:val="clear" w:color="auto" w:fill="auto"/>
          </w:tcPr>
          <w:p w14:paraId="29D06013"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234</w:t>
            </w:r>
          </w:p>
        </w:tc>
        <w:tc>
          <w:tcPr>
            <w:tcW w:w="1276" w:type="dxa"/>
            <w:shd w:val="clear" w:color="auto" w:fill="auto"/>
          </w:tcPr>
          <w:p w14:paraId="3A028ACD"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0E93A268" w14:textId="77777777" w:rsidR="002139E4" w:rsidRPr="00296342" w:rsidRDefault="002139E4" w:rsidP="001A259A">
            <w:pPr>
              <w:spacing w:before="40" w:after="120"/>
              <w:ind w:right="113"/>
              <w:rPr>
                <w:sz w:val="20"/>
                <w:szCs w:val="20"/>
              </w:rPr>
            </w:pPr>
            <w:r w:rsidRPr="00641BD7">
              <w:rPr>
                <w:sz w:val="20"/>
                <w:szCs w:val="20"/>
              </w:rPr>
              <w:t>Written statement submitted by Human Rights Advocates Inc., a non-governmental organization in special consultative status</w:t>
            </w:r>
          </w:p>
        </w:tc>
      </w:tr>
      <w:tr w:rsidR="002139E4" w:rsidRPr="00CE032F" w14:paraId="1B6F0C4D" w14:textId="77777777" w:rsidTr="001A259A">
        <w:trPr>
          <w:trHeight w:val="255"/>
        </w:trPr>
        <w:tc>
          <w:tcPr>
            <w:tcW w:w="2410" w:type="dxa"/>
            <w:shd w:val="clear" w:color="auto" w:fill="auto"/>
          </w:tcPr>
          <w:p w14:paraId="77DF53D1"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235</w:t>
            </w:r>
          </w:p>
        </w:tc>
        <w:tc>
          <w:tcPr>
            <w:tcW w:w="1276" w:type="dxa"/>
            <w:shd w:val="clear" w:color="auto" w:fill="auto"/>
          </w:tcPr>
          <w:p w14:paraId="4D9F60B3"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764DA2E4" w14:textId="77777777" w:rsidR="002139E4" w:rsidRPr="00296342" w:rsidRDefault="002139E4" w:rsidP="001A259A">
            <w:pPr>
              <w:spacing w:before="40" w:after="120"/>
              <w:ind w:right="113"/>
              <w:rPr>
                <w:sz w:val="20"/>
                <w:szCs w:val="20"/>
              </w:rPr>
            </w:pPr>
            <w:r>
              <w:rPr>
                <w:sz w:val="20"/>
                <w:szCs w:val="20"/>
              </w:rPr>
              <w:t>Written statement</w:t>
            </w:r>
            <w:r w:rsidRPr="00641BD7">
              <w:rPr>
                <w:sz w:val="20"/>
                <w:szCs w:val="20"/>
              </w:rPr>
              <w:t xml:space="preserve"> submitted by Human Rights Advocates Inc., a non-governmental organization in special consultative status</w:t>
            </w:r>
          </w:p>
        </w:tc>
      </w:tr>
      <w:tr w:rsidR="002139E4" w:rsidRPr="00CE032F" w14:paraId="18EF3D06" w14:textId="77777777" w:rsidTr="001A259A">
        <w:trPr>
          <w:trHeight w:val="255"/>
        </w:trPr>
        <w:tc>
          <w:tcPr>
            <w:tcW w:w="2410" w:type="dxa"/>
            <w:shd w:val="clear" w:color="auto" w:fill="auto"/>
          </w:tcPr>
          <w:p w14:paraId="0E37A909"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236</w:t>
            </w:r>
          </w:p>
        </w:tc>
        <w:tc>
          <w:tcPr>
            <w:tcW w:w="1276" w:type="dxa"/>
            <w:shd w:val="clear" w:color="auto" w:fill="auto"/>
          </w:tcPr>
          <w:p w14:paraId="085C878E"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60C8F86C" w14:textId="77777777" w:rsidR="002139E4" w:rsidRPr="00296342" w:rsidRDefault="002139E4" w:rsidP="001A259A">
            <w:pPr>
              <w:spacing w:before="40" w:after="120"/>
              <w:ind w:right="113"/>
              <w:rPr>
                <w:sz w:val="20"/>
                <w:szCs w:val="20"/>
              </w:rPr>
            </w:pPr>
            <w:r w:rsidRPr="00641BD7">
              <w:rPr>
                <w:sz w:val="20"/>
                <w:szCs w:val="20"/>
              </w:rPr>
              <w:t>Written statement submitted by Human Rights Advocates Inc., a non-governmental organization in special consultative status</w:t>
            </w:r>
          </w:p>
        </w:tc>
      </w:tr>
      <w:tr w:rsidR="002139E4" w:rsidRPr="00CE032F" w14:paraId="4E16C0D8" w14:textId="77777777" w:rsidTr="001A259A">
        <w:trPr>
          <w:trHeight w:val="255"/>
        </w:trPr>
        <w:tc>
          <w:tcPr>
            <w:tcW w:w="2410" w:type="dxa"/>
            <w:shd w:val="clear" w:color="auto" w:fill="auto"/>
          </w:tcPr>
          <w:p w14:paraId="2D04D756"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237</w:t>
            </w:r>
          </w:p>
        </w:tc>
        <w:tc>
          <w:tcPr>
            <w:tcW w:w="1276" w:type="dxa"/>
            <w:shd w:val="clear" w:color="auto" w:fill="auto"/>
          </w:tcPr>
          <w:p w14:paraId="2DC5D503"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1989949B" w14:textId="77777777" w:rsidR="002139E4" w:rsidRPr="00296342" w:rsidRDefault="002139E4" w:rsidP="001A259A">
            <w:pPr>
              <w:spacing w:before="40" w:after="120"/>
              <w:ind w:right="113"/>
              <w:rPr>
                <w:sz w:val="20"/>
                <w:szCs w:val="20"/>
              </w:rPr>
            </w:pPr>
            <w:r>
              <w:rPr>
                <w:sz w:val="20"/>
                <w:szCs w:val="20"/>
              </w:rPr>
              <w:t>Written statement</w:t>
            </w:r>
            <w:r w:rsidRPr="00641BD7">
              <w:rPr>
                <w:sz w:val="20"/>
                <w:szCs w:val="20"/>
              </w:rPr>
              <w:t xml:space="preserve"> submitted by Human Rights Advocates Inc., a non-governmental organization in special consultative status</w:t>
            </w:r>
          </w:p>
        </w:tc>
      </w:tr>
      <w:tr w:rsidR="002139E4" w:rsidRPr="00CE032F" w14:paraId="2C4C6BF7" w14:textId="77777777" w:rsidTr="001A259A">
        <w:trPr>
          <w:trHeight w:val="255"/>
        </w:trPr>
        <w:tc>
          <w:tcPr>
            <w:tcW w:w="2410" w:type="dxa"/>
            <w:shd w:val="clear" w:color="auto" w:fill="auto"/>
          </w:tcPr>
          <w:p w14:paraId="59F103B2"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238</w:t>
            </w:r>
          </w:p>
        </w:tc>
        <w:tc>
          <w:tcPr>
            <w:tcW w:w="1276" w:type="dxa"/>
            <w:shd w:val="clear" w:color="auto" w:fill="auto"/>
          </w:tcPr>
          <w:p w14:paraId="0E27ACB8"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2319B549" w14:textId="77777777" w:rsidR="002139E4" w:rsidRPr="00296342" w:rsidRDefault="002139E4" w:rsidP="001A259A">
            <w:pPr>
              <w:spacing w:before="40" w:after="120"/>
              <w:ind w:right="113"/>
              <w:rPr>
                <w:sz w:val="20"/>
                <w:szCs w:val="20"/>
              </w:rPr>
            </w:pPr>
            <w:r w:rsidRPr="00641BD7">
              <w:rPr>
                <w:sz w:val="20"/>
                <w:szCs w:val="20"/>
              </w:rPr>
              <w:t>Joint written statement submitted by the International Organization for the Elimination of All Forms of Racial Discrimination (EAFORD), International-Lawyers.Org, United Towns Agency for North-South Cooperation, non-governmental organizations in special consultative status, International Educational Development, Inc., World Peace Council, non-governmental organizations on the roster</w:t>
            </w:r>
          </w:p>
        </w:tc>
      </w:tr>
      <w:tr w:rsidR="002139E4" w:rsidRPr="00CE032F" w14:paraId="77239932" w14:textId="77777777" w:rsidTr="001A259A">
        <w:trPr>
          <w:trHeight w:val="255"/>
        </w:trPr>
        <w:tc>
          <w:tcPr>
            <w:tcW w:w="2410" w:type="dxa"/>
            <w:shd w:val="clear" w:color="auto" w:fill="auto"/>
          </w:tcPr>
          <w:p w14:paraId="0AD6B049" w14:textId="77777777" w:rsidR="002139E4" w:rsidRPr="00296342" w:rsidRDefault="002139E4" w:rsidP="001A259A">
            <w:pPr>
              <w:spacing w:before="40" w:after="120"/>
              <w:ind w:right="113"/>
              <w:rPr>
                <w:sz w:val="20"/>
                <w:szCs w:val="20"/>
              </w:rPr>
            </w:pPr>
            <w:r w:rsidRPr="00296342">
              <w:rPr>
                <w:sz w:val="20"/>
                <w:szCs w:val="20"/>
              </w:rPr>
              <w:lastRenderedPageBreak/>
              <w:t>A/HRC/40/NGO/</w:t>
            </w:r>
            <w:r>
              <w:rPr>
                <w:sz w:val="20"/>
                <w:szCs w:val="20"/>
              </w:rPr>
              <w:t>239</w:t>
            </w:r>
          </w:p>
        </w:tc>
        <w:tc>
          <w:tcPr>
            <w:tcW w:w="1276" w:type="dxa"/>
            <w:shd w:val="clear" w:color="auto" w:fill="auto"/>
          </w:tcPr>
          <w:p w14:paraId="693593EB" w14:textId="77777777" w:rsidR="002139E4" w:rsidRDefault="002139E4" w:rsidP="001A259A">
            <w:pPr>
              <w:spacing w:before="40" w:after="120"/>
              <w:ind w:right="284"/>
              <w:jc w:val="right"/>
              <w:rPr>
                <w:sz w:val="20"/>
                <w:szCs w:val="20"/>
              </w:rPr>
            </w:pPr>
            <w:r>
              <w:rPr>
                <w:sz w:val="20"/>
                <w:szCs w:val="20"/>
              </w:rPr>
              <w:t>10</w:t>
            </w:r>
          </w:p>
        </w:tc>
        <w:tc>
          <w:tcPr>
            <w:tcW w:w="4252" w:type="dxa"/>
            <w:shd w:val="clear" w:color="auto" w:fill="auto"/>
            <w:vAlign w:val="center"/>
          </w:tcPr>
          <w:p w14:paraId="47788F70" w14:textId="77777777" w:rsidR="002139E4" w:rsidRPr="00296342" w:rsidRDefault="002139E4" w:rsidP="001A259A">
            <w:pPr>
              <w:spacing w:before="40" w:after="120"/>
              <w:ind w:right="113"/>
              <w:rPr>
                <w:sz w:val="20"/>
                <w:szCs w:val="20"/>
              </w:rPr>
            </w:pPr>
            <w:r w:rsidRPr="00641BD7">
              <w:rPr>
                <w:sz w:val="20"/>
                <w:szCs w:val="20"/>
              </w:rPr>
              <w:t>Joint written statement submitted by the International Organization for the Elimination of All Forms of Racial Discrimination (EAFORD), International-Lawyers.Org, United Towns Agency for North-South Cooperation, non-governmental organizations in special consultative status, International Educational Development, Inc., World Peace Council, non-governmental organizations on the roster</w:t>
            </w:r>
          </w:p>
        </w:tc>
      </w:tr>
      <w:tr w:rsidR="002139E4" w:rsidRPr="00CE032F" w14:paraId="04FA560A" w14:textId="77777777" w:rsidTr="001A259A">
        <w:trPr>
          <w:trHeight w:val="255"/>
        </w:trPr>
        <w:tc>
          <w:tcPr>
            <w:tcW w:w="2410" w:type="dxa"/>
            <w:shd w:val="clear" w:color="auto" w:fill="auto"/>
          </w:tcPr>
          <w:p w14:paraId="2BB90761"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240</w:t>
            </w:r>
          </w:p>
        </w:tc>
        <w:tc>
          <w:tcPr>
            <w:tcW w:w="1276" w:type="dxa"/>
            <w:shd w:val="clear" w:color="auto" w:fill="auto"/>
          </w:tcPr>
          <w:p w14:paraId="745CE396" w14:textId="77777777" w:rsidR="002139E4" w:rsidRDefault="002139E4" w:rsidP="001A259A">
            <w:pPr>
              <w:spacing w:before="40" w:after="120"/>
              <w:ind w:right="284"/>
              <w:jc w:val="right"/>
              <w:rPr>
                <w:sz w:val="20"/>
                <w:szCs w:val="20"/>
              </w:rPr>
            </w:pPr>
            <w:r>
              <w:rPr>
                <w:sz w:val="20"/>
                <w:szCs w:val="20"/>
              </w:rPr>
              <w:t>7</w:t>
            </w:r>
          </w:p>
        </w:tc>
        <w:tc>
          <w:tcPr>
            <w:tcW w:w="4252" w:type="dxa"/>
            <w:shd w:val="clear" w:color="auto" w:fill="auto"/>
            <w:vAlign w:val="center"/>
          </w:tcPr>
          <w:p w14:paraId="2A93D90B" w14:textId="77777777" w:rsidR="002139E4" w:rsidRPr="00296342" w:rsidRDefault="002139E4" w:rsidP="001A259A">
            <w:pPr>
              <w:spacing w:before="40" w:after="120"/>
              <w:ind w:right="113"/>
              <w:rPr>
                <w:sz w:val="20"/>
                <w:szCs w:val="20"/>
              </w:rPr>
            </w:pPr>
            <w:r w:rsidRPr="00641BD7">
              <w:rPr>
                <w:sz w:val="20"/>
                <w:szCs w:val="20"/>
              </w:rPr>
              <w:t xml:space="preserve">Joint written statement submitted by the International Organization for the Elimination of All Forms of Racial Discrimination (EAFORD), Indian Movement </w:t>
            </w:r>
            <w:r>
              <w:rPr>
                <w:sz w:val="20"/>
                <w:szCs w:val="20"/>
              </w:rPr>
              <w:t>“Tupaj Amaru”</w:t>
            </w:r>
            <w:r w:rsidRPr="00641BD7">
              <w:rPr>
                <w:sz w:val="20"/>
                <w:szCs w:val="20"/>
              </w:rPr>
              <w:t>, International-Lawyers.Org, Union of Arab Jurists, United Towns Agency for North-South Cooperation, non-governmental organizations in special consultative status, International Educational Development, Inc., World Peace Council, non-governmental organizations on the roster</w:t>
            </w:r>
          </w:p>
        </w:tc>
      </w:tr>
      <w:tr w:rsidR="002139E4" w:rsidRPr="00CE032F" w14:paraId="68A3214F" w14:textId="77777777" w:rsidTr="001A259A">
        <w:trPr>
          <w:trHeight w:val="255"/>
        </w:trPr>
        <w:tc>
          <w:tcPr>
            <w:tcW w:w="2410" w:type="dxa"/>
            <w:shd w:val="clear" w:color="auto" w:fill="auto"/>
          </w:tcPr>
          <w:p w14:paraId="12C36559"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241</w:t>
            </w:r>
          </w:p>
        </w:tc>
        <w:tc>
          <w:tcPr>
            <w:tcW w:w="1276" w:type="dxa"/>
            <w:shd w:val="clear" w:color="auto" w:fill="auto"/>
          </w:tcPr>
          <w:p w14:paraId="6D13C525" w14:textId="77777777" w:rsidR="002139E4" w:rsidRDefault="002139E4" w:rsidP="001A259A">
            <w:pPr>
              <w:spacing w:before="40" w:after="120"/>
              <w:ind w:right="284"/>
              <w:jc w:val="right"/>
              <w:rPr>
                <w:sz w:val="20"/>
                <w:szCs w:val="20"/>
              </w:rPr>
            </w:pPr>
            <w:r>
              <w:rPr>
                <w:sz w:val="20"/>
                <w:szCs w:val="20"/>
              </w:rPr>
              <w:t>7</w:t>
            </w:r>
          </w:p>
        </w:tc>
        <w:tc>
          <w:tcPr>
            <w:tcW w:w="4252" w:type="dxa"/>
            <w:shd w:val="clear" w:color="auto" w:fill="auto"/>
            <w:vAlign w:val="center"/>
          </w:tcPr>
          <w:p w14:paraId="2A7F1707" w14:textId="77777777" w:rsidR="002139E4" w:rsidRPr="00296342" w:rsidRDefault="002139E4" w:rsidP="001A259A">
            <w:pPr>
              <w:spacing w:before="40" w:after="120"/>
              <w:ind w:right="113"/>
              <w:rPr>
                <w:sz w:val="20"/>
                <w:szCs w:val="20"/>
              </w:rPr>
            </w:pPr>
            <w:r w:rsidRPr="00641BD7">
              <w:rPr>
                <w:sz w:val="20"/>
                <w:szCs w:val="20"/>
              </w:rPr>
              <w:t xml:space="preserve">Joint written statement submitted by the International Organization for the Elimination of All Forms of Racial Discrimination (EAFORD), Indian Movement </w:t>
            </w:r>
            <w:r>
              <w:rPr>
                <w:sz w:val="20"/>
                <w:szCs w:val="20"/>
              </w:rPr>
              <w:t>“</w:t>
            </w:r>
            <w:r w:rsidRPr="00641BD7">
              <w:rPr>
                <w:sz w:val="20"/>
                <w:szCs w:val="20"/>
              </w:rPr>
              <w:t>Tupaj Amaru</w:t>
            </w:r>
            <w:r>
              <w:rPr>
                <w:sz w:val="20"/>
                <w:szCs w:val="20"/>
              </w:rPr>
              <w:t>”</w:t>
            </w:r>
            <w:r w:rsidRPr="00641BD7">
              <w:rPr>
                <w:sz w:val="20"/>
                <w:szCs w:val="20"/>
              </w:rPr>
              <w:t>, International-Lawyers.Org, Union of Arab Jurists, United Towns Agency for North-South Cooperation, non-governmental organizations in special consultative status, International Educational Development, Inc., World Peace Council, non-governmental organizations on the roster</w:t>
            </w:r>
          </w:p>
        </w:tc>
      </w:tr>
      <w:tr w:rsidR="002139E4" w:rsidRPr="00CE032F" w14:paraId="35430BC7" w14:textId="77777777" w:rsidTr="001A259A">
        <w:trPr>
          <w:trHeight w:val="255"/>
        </w:trPr>
        <w:tc>
          <w:tcPr>
            <w:tcW w:w="2410" w:type="dxa"/>
            <w:shd w:val="clear" w:color="auto" w:fill="auto"/>
          </w:tcPr>
          <w:p w14:paraId="5541D5A0"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242</w:t>
            </w:r>
          </w:p>
        </w:tc>
        <w:tc>
          <w:tcPr>
            <w:tcW w:w="1276" w:type="dxa"/>
            <w:shd w:val="clear" w:color="auto" w:fill="auto"/>
          </w:tcPr>
          <w:p w14:paraId="59AD339D" w14:textId="77777777" w:rsidR="002139E4" w:rsidRDefault="002139E4" w:rsidP="001A259A">
            <w:pPr>
              <w:spacing w:before="40" w:after="120"/>
              <w:ind w:right="284"/>
              <w:jc w:val="right"/>
              <w:rPr>
                <w:sz w:val="20"/>
                <w:szCs w:val="20"/>
              </w:rPr>
            </w:pPr>
            <w:r>
              <w:rPr>
                <w:sz w:val="20"/>
                <w:szCs w:val="20"/>
              </w:rPr>
              <w:t>6</w:t>
            </w:r>
          </w:p>
        </w:tc>
        <w:tc>
          <w:tcPr>
            <w:tcW w:w="4252" w:type="dxa"/>
            <w:shd w:val="clear" w:color="auto" w:fill="auto"/>
            <w:vAlign w:val="center"/>
          </w:tcPr>
          <w:p w14:paraId="64A1FBBA" w14:textId="77777777" w:rsidR="002139E4" w:rsidRPr="00296342" w:rsidRDefault="002139E4" w:rsidP="001A259A">
            <w:pPr>
              <w:spacing w:before="40" w:after="120"/>
              <w:ind w:right="113"/>
              <w:rPr>
                <w:sz w:val="20"/>
                <w:szCs w:val="20"/>
              </w:rPr>
            </w:pPr>
            <w:r w:rsidRPr="00641BD7">
              <w:rPr>
                <w:sz w:val="20"/>
                <w:szCs w:val="20"/>
              </w:rPr>
              <w:t>Exposición escrita presentada por la Asociación Nacional de Economistas y Contadores de Cuba, organización no gubernamental reconocida como entidad consultiva especial</w:t>
            </w:r>
          </w:p>
        </w:tc>
      </w:tr>
      <w:tr w:rsidR="002139E4" w:rsidRPr="00CE032F" w14:paraId="59A36196" w14:textId="77777777" w:rsidTr="001A259A">
        <w:trPr>
          <w:trHeight w:val="255"/>
        </w:trPr>
        <w:tc>
          <w:tcPr>
            <w:tcW w:w="2410" w:type="dxa"/>
            <w:shd w:val="clear" w:color="auto" w:fill="auto"/>
          </w:tcPr>
          <w:p w14:paraId="682798C6"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243</w:t>
            </w:r>
          </w:p>
        </w:tc>
        <w:tc>
          <w:tcPr>
            <w:tcW w:w="1276" w:type="dxa"/>
            <w:shd w:val="clear" w:color="auto" w:fill="auto"/>
          </w:tcPr>
          <w:p w14:paraId="521CC8B5"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354CAD5C" w14:textId="77777777" w:rsidR="002139E4" w:rsidRPr="00296342" w:rsidRDefault="002139E4" w:rsidP="001A259A">
            <w:pPr>
              <w:spacing w:before="40" w:after="120"/>
              <w:ind w:right="113"/>
              <w:rPr>
                <w:sz w:val="20"/>
                <w:szCs w:val="20"/>
              </w:rPr>
            </w:pPr>
            <w:r>
              <w:rPr>
                <w:sz w:val="20"/>
                <w:szCs w:val="20"/>
              </w:rPr>
              <w:t>Written statement</w:t>
            </w:r>
            <w:r w:rsidRPr="00641BD7">
              <w:rPr>
                <w:sz w:val="20"/>
                <w:szCs w:val="20"/>
              </w:rPr>
              <w:t xml:space="preserve"> submitted by ABC Tamil Oli, non-governmental organization in special consultative status</w:t>
            </w:r>
          </w:p>
        </w:tc>
      </w:tr>
      <w:tr w:rsidR="002139E4" w:rsidRPr="00CE032F" w14:paraId="500316E8" w14:textId="77777777" w:rsidTr="001A259A">
        <w:trPr>
          <w:trHeight w:val="255"/>
        </w:trPr>
        <w:tc>
          <w:tcPr>
            <w:tcW w:w="2410" w:type="dxa"/>
            <w:shd w:val="clear" w:color="auto" w:fill="auto"/>
          </w:tcPr>
          <w:p w14:paraId="6BE3960D"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244</w:t>
            </w:r>
          </w:p>
        </w:tc>
        <w:tc>
          <w:tcPr>
            <w:tcW w:w="1276" w:type="dxa"/>
            <w:shd w:val="clear" w:color="auto" w:fill="auto"/>
          </w:tcPr>
          <w:p w14:paraId="15005368" w14:textId="77777777" w:rsidR="002139E4" w:rsidRDefault="002139E4" w:rsidP="001A259A">
            <w:pPr>
              <w:spacing w:before="40" w:after="120"/>
              <w:ind w:right="284"/>
              <w:jc w:val="right"/>
              <w:rPr>
                <w:sz w:val="20"/>
                <w:szCs w:val="20"/>
              </w:rPr>
            </w:pPr>
            <w:r>
              <w:rPr>
                <w:sz w:val="20"/>
                <w:szCs w:val="20"/>
              </w:rPr>
              <w:t>2</w:t>
            </w:r>
          </w:p>
        </w:tc>
        <w:tc>
          <w:tcPr>
            <w:tcW w:w="4252" w:type="dxa"/>
            <w:shd w:val="clear" w:color="auto" w:fill="auto"/>
            <w:vAlign w:val="center"/>
          </w:tcPr>
          <w:p w14:paraId="488C78CC" w14:textId="77777777" w:rsidR="002139E4" w:rsidRPr="00296342" w:rsidRDefault="002139E4" w:rsidP="001A259A">
            <w:pPr>
              <w:spacing w:before="40" w:after="120"/>
              <w:ind w:right="113"/>
              <w:rPr>
                <w:sz w:val="20"/>
                <w:szCs w:val="20"/>
              </w:rPr>
            </w:pPr>
            <w:r w:rsidRPr="00641BD7">
              <w:rPr>
                <w:sz w:val="20"/>
                <w:szCs w:val="20"/>
              </w:rPr>
              <w:t>Written statement submitted by ABC Tamil Oli, a non-governmental organization in special consultative status</w:t>
            </w:r>
          </w:p>
        </w:tc>
      </w:tr>
      <w:tr w:rsidR="002139E4" w:rsidRPr="00CE032F" w14:paraId="76362570" w14:textId="77777777" w:rsidTr="001A259A">
        <w:trPr>
          <w:trHeight w:val="255"/>
        </w:trPr>
        <w:tc>
          <w:tcPr>
            <w:tcW w:w="2410" w:type="dxa"/>
            <w:shd w:val="clear" w:color="auto" w:fill="auto"/>
          </w:tcPr>
          <w:p w14:paraId="2192923B"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245</w:t>
            </w:r>
          </w:p>
        </w:tc>
        <w:tc>
          <w:tcPr>
            <w:tcW w:w="1276" w:type="dxa"/>
            <w:shd w:val="clear" w:color="auto" w:fill="auto"/>
          </w:tcPr>
          <w:p w14:paraId="0F00B402"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29066AA6" w14:textId="77777777" w:rsidR="002139E4" w:rsidRPr="00296342" w:rsidRDefault="002139E4" w:rsidP="001A259A">
            <w:pPr>
              <w:spacing w:before="40" w:after="120"/>
              <w:ind w:right="113"/>
              <w:rPr>
                <w:sz w:val="20"/>
                <w:szCs w:val="20"/>
              </w:rPr>
            </w:pPr>
            <w:r w:rsidRPr="00641BD7">
              <w:rPr>
                <w:sz w:val="20"/>
                <w:szCs w:val="20"/>
              </w:rPr>
              <w:t>Written statement submitted by Tourner La Page, a non-governmental organization in special consultative status</w:t>
            </w:r>
          </w:p>
        </w:tc>
      </w:tr>
      <w:tr w:rsidR="002139E4" w:rsidRPr="00CE032F" w14:paraId="19D5CCFE" w14:textId="77777777" w:rsidTr="001A259A">
        <w:trPr>
          <w:trHeight w:val="255"/>
        </w:trPr>
        <w:tc>
          <w:tcPr>
            <w:tcW w:w="2410" w:type="dxa"/>
            <w:shd w:val="clear" w:color="auto" w:fill="auto"/>
          </w:tcPr>
          <w:p w14:paraId="1647304D"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246</w:t>
            </w:r>
          </w:p>
        </w:tc>
        <w:tc>
          <w:tcPr>
            <w:tcW w:w="1276" w:type="dxa"/>
            <w:shd w:val="clear" w:color="auto" w:fill="auto"/>
          </w:tcPr>
          <w:p w14:paraId="4414C221"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6B6842C1" w14:textId="77777777" w:rsidR="002139E4" w:rsidRPr="00296342" w:rsidRDefault="002139E4" w:rsidP="001A259A">
            <w:pPr>
              <w:spacing w:before="40" w:after="120"/>
              <w:ind w:right="113"/>
              <w:rPr>
                <w:sz w:val="20"/>
                <w:szCs w:val="20"/>
              </w:rPr>
            </w:pPr>
            <w:r>
              <w:rPr>
                <w:sz w:val="20"/>
                <w:szCs w:val="20"/>
              </w:rPr>
              <w:t>Written statement</w:t>
            </w:r>
            <w:r w:rsidRPr="00641BD7">
              <w:rPr>
                <w:sz w:val="20"/>
                <w:szCs w:val="20"/>
              </w:rPr>
              <w:t xml:space="preserve"> submitted by Tourner La Page, non-governmental organization in special consultative status</w:t>
            </w:r>
          </w:p>
        </w:tc>
      </w:tr>
      <w:tr w:rsidR="002139E4" w:rsidRPr="00CE032F" w14:paraId="152FE350" w14:textId="77777777" w:rsidTr="001A259A">
        <w:trPr>
          <w:trHeight w:val="255"/>
        </w:trPr>
        <w:tc>
          <w:tcPr>
            <w:tcW w:w="2410" w:type="dxa"/>
            <w:shd w:val="clear" w:color="auto" w:fill="auto"/>
          </w:tcPr>
          <w:p w14:paraId="3A25EEE3" w14:textId="77777777" w:rsidR="002139E4" w:rsidRPr="00296342" w:rsidRDefault="002139E4" w:rsidP="001A259A">
            <w:pPr>
              <w:spacing w:before="40" w:after="120"/>
              <w:ind w:right="113"/>
              <w:rPr>
                <w:sz w:val="20"/>
                <w:szCs w:val="20"/>
              </w:rPr>
            </w:pPr>
            <w:r w:rsidRPr="00296342">
              <w:rPr>
                <w:sz w:val="20"/>
                <w:szCs w:val="20"/>
              </w:rPr>
              <w:lastRenderedPageBreak/>
              <w:t>A/HRC/40/NGO/</w:t>
            </w:r>
            <w:r>
              <w:rPr>
                <w:sz w:val="20"/>
                <w:szCs w:val="20"/>
              </w:rPr>
              <w:t>247</w:t>
            </w:r>
          </w:p>
        </w:tc>
        <w:tc>
          <w:tcPr>
            <w:tcW w:w="1276" w:type="dxa"/>
            <w:shd w:val="clear" w:color="auto" w:fill="auto"/>
          </w:tcPr>
          <w:p w14:paraId="5C4A404C"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2791888A" w14:textId="77777777" w:rsidR="002139E4" w:rsidRPr="00296342" w:rsidRDefault="002139E4" w:rsidP="001A259A">
            <w:pPr>
              <w:spacing w:before="40" w:after="120"/>
              <w:ind w:right="113"/>
              <w:rPr>
                <w:sz w:val="20"/>
                <w:szCs w:val="20"/>
              </w:rPr>
            </w:pPr>
            <w:r w:rsidRPr="00641BD7">
              <w:rPr>
                <w:sz w:val="20"/>
                <w:szCs w:val="20"/>
              </w:rPr>
              <w:t>Written statement submitted by Tourner La Page, a non-governmental organization in special consultative status</w:t>
            </w:r>
          </w:p>
        </w:tc>
      </w:tr>
      <w:tr w:rsidR="002139E4" w:rsidRPr="00CE032F" w14:paraId="29763AB3" w14:textId="77777777" w:rsidTr="001A259A">
        <w:trPr>
          <w:trHeight w:val="255"/>
        </w:trPr>
        <w:tc>
          <w:tcPr>
            <w:tcW w:w="2410" w:type="dxa"/>
            <w:shd w:val="clear" w:color="auto" w:fill="auto"/>
          </w:tcPr>
          <w:p w14:paraId="69302AFC"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248</w:t>
            </w:r>
          </w:p>
        </w:tc>
        <w:tc>
          <w:tcPr>
            <w:tcW w:w="1276" w:type="dxa"/>
            <w:shd w:val="clear" w:color="auto" w:fill="auto"/>
          </w:tcPr>
          <w:p w14:paraId="77EDE4DA" w14:textId="77777777" w:rsidR="002139E4" w:rsidRDefault="002139E4" w:rsidP="001A259A">
            <w:pPr>
              <w:spacing w:before="40" w:after="120"/>
              <w:ind w:right="284"/>
              <w:jc w:val="right"/>
              <w:rPr>
                <w:sz w:val="20"/>
                <w:szCs w:val="20"/>
              </w:rPr>
            </w:pPr>
            <w:r>
              <w:rPr>
                <w:sz w:val="20"/>
                <w:szCs w:val="20"/>
              </w:rPr>
              <w:t>2</w:t>
            </w:r>
          </w:p>
        </w:tc>
        <w:tc>
          <w:tcPr>
            <w:tcW w:w="4252" w:type="dxa"/>
            <w:shd w:val="clear" w:color="auto" w:fill="auto"/>
            <w:vAlign w:val="center"/>
          </w:tcPr>
          <w:p w14:paraId="7C718131" w14:textId="77777777" w:rsidR="002139E4" w:rsidRPr="00296342" w:rsidRDefault="002139E4" w:rsidP="001A259A">
            <w:pPr>
              <w:spacing w:before="40" w:after="120"/>
              <w:ind w:right="113"/>
              <w:rPr>
                <w:sz w:val="20"/>
                <w:szCs w:val="20"/>
              </w:rPr>
            </w:pPr>
            <w:r w:rsidRPr="00641BD7">
              <w:rPr>
                <w:sz w:val="20"/>
                <w:szCs w:val="20"/>
              </w:rPr>
              <w:t xml:space="preserve">Joint written statement submitted by Association Bharathi Centre Culturel Franco-Tamoul, </w:t>
            </w:r>
            <w:r>
              <w:rPr>
                <w:sz w:val="20"/>
                <w:szCs w:val="20"/>
              </w:rPr>
              <w:t>“</w:t>
            </w:r>
            <w:r w:rsidRPr="00641BD7">
              <w:rPr>
                <w:sz w:val="20"/>
                <w:szCs w:val="20"/>
              </w:rPr>
              <w:t>ECO-FAWN</w:t>
            </w:r>
            <w:r>
              <w:rPr>
                <w:sz w:val="20"/>
                <w:szCs w:val="20"/>
              </w:rPr>
              <w:t>”</w:t>
            </w:r>
            <w:r w:rsidRPr="00641BD7">
              <w:rPr>
                <w:sz w:val="20"/>
                <w:szCs w:val="20"/>
              </w:rPr>
              <w:t xml:space="preserve"> (Environment Conservation Organization - Foundation for Afforestation Wild Animals and Nature), </w:t>
            </w:r>
            <w:r>
              <w:rPr>
                <w:sz w:val="20"/>
                <w:szCs w:val="20"/>
              </w:rPr>
              <w:t>“</w:t>
            </w:r>
            <w:r w:rsidRPr="00641BD7">
              <w:rPr>
                <w:sz w:val="20"/>
                <w:szCs w:val="20"/>
              </w:rPr>
              <w:t>Women and Modern World</w:t>
            </w:r>
            <w:r>
              <w:rPr>
                <w:sz w:val="20"/>
                <w:szCs w:val="20"/>
              </w:rPr>
              <w:t>”</w:t>
            </w:r>
            <w:r w:rsidRPr="00641BD7">
              <w:rPr>
                <w:sz w:val="20"/>
                <w:szCs w:val="20"/>
              </w:rPr>
              <w:t xml:space="preserve"> Social Charitable Centre, ABC Tamil Oli, Abibimman Foundation, Action of Human Movement (AHM), Action pour la protection des droits de l</w:t>
            </w:r>
            <w:r>
              <w:rPr>
                <w:sz w:val="20"/>
                <w:szCs w:val="20"/>
              </w:rPr>
              <w:t>’</w:t>
            </w:r>
            <w:r w:rsidRPr="00641BD7">
              <w:rPr>
                <w:sz w:val="20"/>
                <w:szCs w:val="20"/>
              </w:rPr>
              <w:t>homme en Mauritanie, Africa Unite, African Agency for Integrated Development (AAID), African Centre for Advocacy and Human Development, African Citizens Development Foundation, African Network of Young Leaders for Peace and Sustainable Development, Ageing Nepal, AIMPO, Alliance Creative Community Project, Alliance for Development and Population Services (ADEPS), Alliance internationale pour la défense des droits et des libertés, Aman against Discrimination, Amis d</w:t>
            </w:r>
            <w:r>
              <w:rPr>
                <w:sz w:val="20"/>
                <w:szCs w:val="20"/>
              </w:rPr>
              <w:t>’</w:t>
            </w:r>
            <w:r w:rsidRPr="00641BD7">
              <w:rPr>
                <w:sz w:val="20"/>
                <w:szCs w:val="20"/>
              </w:rPr>
              <w:t>Afrique Francophone-Bénin (AMAF-Benin), Amman Center for Human Rights Studies, Arab Society for Academic Freedoms, Asabe Shehu Yar Adua Foundation, Asociación Española para el Derecho Internacional de los Derechos Humanos AEDIDH, Asociation pour les Droits de l</w:t>
            </w:r>
            <w:r>
              <w:rPr>
                <w:sz w:val="20"/>
                <w:szCs w:val="20"/>
              </w:rPr>
              <w:t>’</w:t>
            </w:r>
            <w:r w:rsidRPr="00641BD7">
              <w:rPr>
                <w:sz w:val="20"/>
                <w:szCs w:val="20"/>
              </w:rPr>
              <w:t>Homme et l</w:t>
            </w:r>
            <w:r>
              <w:rPr>
                <w:sz w:val="20"/>
                <w:szCs w:val="20"/>
              </w:rPr>
              <w:t>’</w:t>
            </w:r>
            <w:r w:rsidRPr="00641BD7">
              <w:rPr>
                <w:sz w:val="20"/>
                <w:szCs w:val="20"/>
              </w:rPr>
              <w:t>Univers Carcéral, Association Aide aux femmes et enfants, Association Burkinabé pour la Survie de l</w:t>
            </w:r>
            <w:r>
              <w:rPr>
                <w:sz w:val="20"/>
                <w:szCs w:val="20"/>
              </w:rPr>
              <w:t>’</w:t>
            </w:r>
            <w:r w:rsidRPr="00641BD7">
              <w:rPr>
                <w:sz w:val="20"/>
                <w:szCs w:val="20"/>
              </w:rPr>
              <w:t>Enfance, Association Congolaise pour le Développement Agricole, Association culturelle des Tamouls en France, Association des étudiants tamouls de France, Association des Jeunes Engagés pour l</w:t>
            </w:r>
            <w:r>
              <w:rPr>
                <w:sz w:val="20"/>
                <w:szCs w:val="20"/>
              </w:rPr>
              <w:t>’</w:t>
            </w:r>
            <w:r w:rsidRPr="00641BD7">
              <w:rPr>
                <w:sz w:val="20"/>
                <w:szCs w:val="20"/>
              </w:rPr>
              <w:t>Action Humanitaire (A.J.E.A.H.), Association des jeunes pour le developpement humain et la protection de l</w:t>
            </w:r>
            <w:r>
              <w:rPr>
                <w:sz w:val="20"/>
                <w:szCs w:val="20"/>
              </w:rPr>
              <w:t>’</w:t>
            </w:r>
            <w:r w:rsidRPr="00641BD7">
              <w:rPr>
                <w:sz w:val="20"/>
                <w:szCs w:val="20"/>
              </w:rPr>
              <w:t>environnement, Association des jeunes volontaires au service du monde environnemental, Association Elmostakbell pour le Développement, Association femmes solidaires au Togo, Association Malienne de Savoir Construire (A.M.S.C.), Association mauritanienne pour la promotion des droits de l</w:t>
            </w:r>
            <w:r>
              <w:rPr>
                <w:sz w:val="20"/>
                <w:szCs w:val="20"/>
              </w:rPr>
              <w:t>’</w:t>
            </w:r>
            <w:r w:rsidRPr="00641BD7">
              <w:rPr>
                <w:sz w:val="20"/>
                <w:szCs w:val="20"/>
              </w:rPr>
              <w:t>homme, Association Mauritanienne pour la promotion du droit, Association nationale des partenaires migrants, Association pour la Défense des Droits de Développement Durable et du Bien-être Familial (ADBEF), Association pour les Victimes Du Monde, Association Solidarité Internationale pour l</w:t>
            </w:r>
            <w:r>
              <w:rPr>
                <w:sz w:val="20"/>
                <w:szCs w:val="20"/>
              </w:rPr>
              <w:t>’</w:t>
            </w:r>
            <w:r w:rsidRPr="00641BD7">
              <w:rPr>
                <w:sz w:val="20"/>
                <w:szCs w:val="20"/>
              </w:rPr>
              <w:t xml:space="preserve">Afrique (SIA), Association Thendral, Autre Vie, Blessed Aid, Center for Africa Development and Progress, Centre for Gender Justice and </w:t>
            </w:r>
            <w:r w:rsidRPr="00641BD7">
              <w:rPr>
                <w:sz w:val="20"/>
                <w:szCs w:val="20"/>
              </w:rPr>
              <w:lastRenderedPageBreak/>
              <w:t>Women Empowerment, Centre for Human Rights and Peace Advocacy, Centro Regional de Derechos Humanos y Justicia de Genero, Change Human</w:t>
            </w:r>
            <w:r>
              <w:rPr>
                <w:sz w:val="20"/>
                <w:szCs w:val="20"/>
              </w:rPr>
              <w:t>’</w:t>
            </w:r>
            <w:r w:rsidRPr="00641BD7">
              <w:rPr>
                <w:sz w:val="20"/>
                <w:szCs w:val="20"/>
              </w:rPr>
              <w:t>s Life, CIRID (Centre Independent de Recherches et d</w:t>
            </w:r>
            <w:r>
              <w:rPr>
                <w:sz w:val="20"/>
                <w:szCs w:val="20"/>
              </w:rPr>
              <w:t>’</w:t>
            </w:r>
            <w:r w:rsidRPr="00641BD7">
              <w:rPr>
                <w:sz w:val="20"/>
                <w:szCs w:val="20"/>
              </w:rPr>
              <w:t>Iniatives pour le Dialogue), City2000 Youth Action International, Comité des observateurs des droits de l</w:t>
            </w:r>
            <w:r>
              <w:rPr>
                <w:sz w:val="20"/>
                <w:szCs w:val="20"/>
              </w:rPr>
              <w:t>’</w:t>
            </w:r>
            <w:r w:rsidRPr="00641BD7">
              <w:rPr>
                <w:sz w:val="20"/>
                <w:szCs w:val="20"/>
              </w:rPr>
              <w:t>homme, Comité Permanente por la Defensa de los Derechos Humanos, Community Restoration Initiative Project, Conseil International pour le soutien à des procès équitables et aux Droits de l</w:t>
            </w:r>
            <w:r>
              <w:rPr>
                <w:sz w:val="20"/>
                <w:szCs w:val="20"/>
              </w:rPr>
              <w:t>’</w:t>
            </w:r>
            <w:r w:rsidRPr="00641BD7">
              <w:rPr>
                <w:sz w:val="20"/>
                <w:szCs w:val="20"/>
              </w:rPr>
              <w:t>Homme, Coordination des Associations et des Particuliers pour la Liberté de Conscience, Corporación Red Nacional de Mujeres Comunales, Comunitarias, Indígenas y Campesinas de la República de Colombia, Coup de Pouce, Dayemi Complex Bangladesh, Edfu Foundation Inc., EG Justice, Elizka Relief Foundation, Excellent World Foundation LTD/GTE, Families of the Missing, First Modern Agro. Tools - Common Initiative Group (FI.MO.AT.C.I.G), Foreningen for Human Narkotikapolitikk, Freann Financial Services Limited, Fundação de Apoio a Pesquisa Científica, Educacional e Tecnológica de Rondônia, Fundación Latinoamericana por los Derechos Humanos y el Desarrollo Social, Fundación Lonxanet para la Pesca Sostenible, Giving Life Nature Volunteer, Goodness and Mercy Missions Common Initiative Group, Haitelmex Foundation A.C., Hamraah Foundation, Hape Development &amp; Welfare Association, Idheas, Litigio Estratégico en Derechos Humanos, Asociación Civil, Inter-Action Globale (I.A.G.), International Career Support Association, International Centre for Environmental Education and Community Development, International Federation of Medical Students</w:t>
            </w:r>
            <w:r>
              <w:rPr>
                <w:sz w:val="20"/>
                <w:szCs w:val="20"/>
              </w:rPr>
              <w:t>’</w:t>
            </w:r>
            <w:r w:rsidRPr="00641BD7">
              <w:rPr>
                <w:sz w:val="20"/>
                <w:szCs w:val="20"/>
              </w:rPr>
              <w:t xml:space="preserve"> Associations, International Movement for Advancement of Education Culture Social and Economic Development, Jeunesse Etudiante Tamoule, Lazarus Union, Le Pont, Lebanese American Renaissance Partnership, Inc., L</w:t>
            </w:r>
            <w:r>
              <w:rPr>
                <w:sz w:val="20"/>
                <w:szCs w:val="20"/>
              </w:rPr>
              <w:t>’</w:t>
            </w:r>
            <w:r w:rsidRPr="00641BD7">
              <w:rPr>
                <w:sz w:val="20"/>
                <w:szCs w:val="20"/>
              </w:rPr>
              <w:t>observatoire mauritanien des droits de l</w:t>
            </w:r>
            <w:r>
              <w:rPr>
                <w:sz w:val="20"/>
                <w:szCs w:val="20"/>
              </w:rPr>
              <w:t>’</w:t>
            </w:r>
            <w:r w:rsidRPr="00641BD7">
              <w:rPr>
                <w:sz w:val="20"/>
                <w:szCs w:val="20"/>
              </w:rPr>
              <w:t>homme et de la démocratie, Mandala Transformation Foundation Inc., Mijoro Mandroso (Mi.Ma.), Murna Foundation, Nobel Laurate Mother Teresa Charitable Trust, Northern CCB, Ocean Lifeline Inc., Otro Tiempo México, Asociación Civil, Paz y Cooperación, Pirate Parties International Headquarters, Planetary Association for Clean Energy, Inc., The, PLURIELS, Centre de Consultations et d</w:t>
            </w:r>
            <w:r>
              <w:rPr>
                <w:sz w:val="20"/>
                <w:szCs w:val="20"/>
              </w:rPr>
              <w:t>’</w:t>
            </w:r>
            <w:r w:rsidRPr="00641BD7">
              <w:rPr>
                <w:sz w:val="20"/>
                <w:szCs w:val="20"/>
              </w:rPr>
              <w:t xml:space="preserve">Etudes Ethnopsychologiques pour Migrants, Project 1948 Foundation, Rassemblement des frères unis pour le </w:t>
            </w:r>
            <w:r w:rsidRPr="00641BD7">
              <w:rPr>
                <w:sz w:val="20"/>
                <w:szCs w:val="20"/>
              </w:rPr>
              <w:lastRenderedPageBreak/>
              <w:t>développement socio-culturel (RAFUDESC - BENIN), Reachout and Smile Initiative for Social Empowerment, Réseau Unité pour le Développement de Mauritanie, Safe Campaign LLC, Shirley Ann Sullivan Educational Foundation, Society for Development and Community Empowerment, Solidarité Agissante pour le Devéloppement Familial (SADF), Stichting Global Human Rights Defence, Stichting Spanda, Tourner La Page, Trilok Youth Club and Charitable Trust, Vadodara, United Zo Organization (USA) Inc., Vision GRAM-International, Vision Welfare Group, Women Watch Afrika, Inc., Yayasan Pendidikan Indonesia non-governmental organizations in special consultative status</w:t>
            </w:r>
          </w:p>
        </w:tc>
      </w:tr>
      <w:tr w:rsidR="002139E4" w:rsidRPr="00CE032F" w14:paraId="3CD53BD6" w14:textId="77777777" w:rsidTr="001A259A">
        <w:trPr>
          <w:trHeight w:val="255"/>
        </w:trPr>
        <w:tc>
          <w:tcPr>
            <w:tcW w:w="2410" w:type="dxa"/>
            <w:shd w:val="clear" w:color="auto" w:fill="auto"/>
          </w:tcPr>
          <w:p w14:paraId="37B6AF48" w14:textId="77777777" w:rsidR="002139E4" w:rsidRPr="00296342" w:rsidRDefault="002139E4" w:rsidP="001A259A">
            <w:pPr>
              <w:spacing w:before="40" w:after="120"/>
              <w:ind w:right="113"/>
              <w:rPr>
                <w:sz w:val="20"/>
                <w:szCs w:val="20"/>
              </w:rPr>
            </w:pPr>
            <w:r w:rsidRPr="00296342">
              <w:rPr>
                <w:sz w:val="20"/>
                <w:szCs w:val="20"/>
              </w:rPr>
              <w:lastRenderedPageBreak/>
              <w:t>A/HRC/40/NGO/</w:t>
            </w:r>
            <w:r>
              <w:rPr>
                <w:sz w:val="20"/>
                <w:szCs w:val="20"/>
              </w:rPr>
              <w:t>249</w:t>
            </w:r>
          </w:p>
        </w:tc>
        <w:tc>
          <w:tcPr>
            <w:tcW w:w="1276" w:type="dxa"/>
            <w:shd w:val="clear" w:color="auto" w:fill="auto"/>
          </w:tcPr>
          <w:p w14:paraId="766F3738" w14:textId="77777777" w:rsidR="002139E4" w:rsidRDefault="002139E4" w:rsidP="001A259A">
            <w:pPr>
              <w:spacing w:before="40" w:after="120"/>
              <w:ind w:right="284"/>
              <w:jc w:val="right"/>
              <w:rPr>
                <w:sz w:val="20"/>
                <w:szCs w:val="20"/>
              </w:rPr>
            </w:pPr>
            <w:r>
              <w:rPr>
                <w:sz w:val="20"/>
                <w:szCs w:val="20"/>
              </w:rPr>
              <w:t>2</w:t>
            </w:r>
          </w:p>
        </w:tc>
        <w:tc>
          <w:tcPr>
            <w:tcW w:w="4252" w:type="dxa"/>
            <w:shd w:val="clear" w:color="auto" w:fill="auto"/>
            <w:vAlign w:val="center"/>
          </w:tcPr>
          <w:p w14:paraId="23A645EC" w14:textId="77777777" w:rsidR="002139E4" w:rsidRPr="00296342" w:rsidRDefault="002139E4" w:rsidP="001A259A">
            <w:pPr>
              <w:spacing w:before="40" w:after="120"/>
              <w:ind w:right="113"/>
              <w:rPr>
                <w:sz w:val="20"/>
                <w:szCs w:val="20"/>
              </w:rPr>
            </w:pPr>
            <w:r w:rsidRPr="00641BD7">
              <w:rPr>
                <w:sz w:val="20"/>
                <w:szCs w:val="20"/>
              </w:rPr>
              <w:t>Written statement submitted by Le Pont, a non-governmental organization in special consultative status</w:t>
            </w:r>
          </w:p>
        </w:tc>
      </w:tr>
      <w:tr w:rsidR="002139E4" w:rsidRPr="00CE032F" w14:paraId="57B8AEFB" w14:textId="77777777" w:rsidTr="001A259A">
        <w:trPr>
          <w:trHeight w:val="255"/>
        </w:trPr>
        <w:tc>
          <w:tcPr>
            <w:tcW w:w="2410" w:type="dxa"/>
            <w:shd w:val="clear" w:color="auto" w:fill="auto"/>
          </w:tcPr>
          <w:p w14:paraId="5B65570F"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250</w:t>
            </w:r>
          </w:p>
        </w:tc>
        <w:tc>
          <w:tcPr>
            <w:tcW w:w="1276" w:type="dxa"/>
            <w:shd w:val="clear" w:color="auto" w:fill="auto"/>
          </w:tcPr>
          <w:p w14:paraId="59C9BDE1" w14:textId="77777777" w:rsidR="002139E4" w:rsidRDefault="002139E4" w:rsidP="001A259A">
            <w:pPr>
              <w:spacing w:before="40" w:after="120"/>
              <w:ind w:right="284"/>
              <w:jc w:val="right"/>
              <w:rPr>
                <w:sz w:val="20"/>
                <w:szCs w:val="20"/>
              </w:rPr>
            </w:pPr>
            <w:r>
              <w:rPr>
                <w:sz w:val="20"/>
                <w:szCs w:val="20"/>
              </w:rPr>
              <w:t>2</w:t>
            </w:r>
          </w:p>
        </w:tc>
        <w:tc>
          <w:tcPr>
            <w:tcW w:w="4252" w:type="dxa"/>
            <w:shd w:val="clear" w:color="auto" w:fill="auto"/>
            <w:vAlign w:val="center"/>
          </w:tcPr>
          <w:p w14:paraId="2B863C01" w14:textId="77777777" w:rsidR="002139E4" w:rsidRPr="00296342" w:rsidRDefault="002139E4" w:rsidP="001A259A">
            <w:pPr>
              <w:spacing w:before="40" w:after="120"/>
              <w:ind w:right="113"/>
              <w:rPr>
                <w:sz w:val="20"/>
                <w:szCs w:val="20"/>
              </w:rPr>
            </w:pPr>
            <w:r w:rsidRPr="000E45DE">
              <w:rPr>
                <w:sz w:val="20"/>
                <w:szCs w:val="20"/>
              </w:rPr>
              <w:t>Written statement submitted by Tamil Uzhagam, a non-governmental organization in special consultative status</w:t>
            </w:r>
          </w:p>
        </w:tc>
      </w:tr>
      <w:tr w:rsidR="002139E4" w:rsidRPr="00CE032F" w14:paraId="7FD3D73D" w14:textId="77777777" w:rsidTr="001A259A">
        <w:trPr>
          <w:trHeight w:val="255"/>
        </w:trPr>
        <w:tc>
          <w:tcPr>
            <w:tcW w:w="2410" w:type="dxa"/>
            <w:shd w:val="clear" w:color="auto" w:fill="auto"/>
          </w:tcPr>
          <w:p w14:paraId="631DAAFF"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251</w:t>
            </w:r>
          </w:p>
        </w:tc>
        <w:tc>
          <w:tcPr>
            <w:tcW w:w="1276" w:type="dxa"/>
            <w:shd w:val="clear" w:color="auto" w:fill="auto"/>
          </w:tcPr>
          <w:p w14:paraId="0435F459"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24EBA98A" w14:textId="77777777" w:rsidR="002139E4" w:rsidRPr="00296342" w:rsidRDefault="002139E4" w:rsidP="001A259A">
            <w:pPr>
              <w:spacing w:before="40" w:after="120"/>
              <w:ind w:right="113"/>
              <w:rPr>
                <w:sz w:val="20"/>
                <w:szCs w:val="20"/>
              </w:rPr>
            </w:pPr>
            <w:r>
              <w:rPr>
                <w:sz w:val="20"/>
                <w:szCs w:val="20"/>
              </w:rPr>
              <w:t>Written statement</w:t>
            </w:r>
            <w:r w:rsidRPr="000E45DE">
              <w:rPr>
                <w:sz w:val="20"/>
                <w:szCs w:val="20"/>
              </w:rPr>
              <w:t xml:space="preserve"> submitted by Jubilee Campaign, a non-governmental organization in special consultative status</w:t>
            </w:r>
          </w:p>
        </w:tc>
      </w:tr>
      <w:tr w:rsidR="002139E4" w:rsidRPr="00CE032F" w14:paraId="321FDBD9" w14:textId="77777777" w:rsidTr="001A259A">
        <w:trPr>
          <w:trHeight w:val="255"/>
        </w:trPr>
        <w:tc>
          <w:tcPr>
            <w:tcW w:w="2410" w:type="dxa"/>
            <w:shd w:val="clear" w:color="auto" w:fill="auto"/>
          </w:tcPr>
          <w:p w14:paraId="7CF543A1"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252</w:t>
            </w:r>
          </w:p>
        </w:tc>
        <w:tc>
          <w:tcPr>
            <w:tcW w:w="1276" w:type="dxa"/>
            <w:shd w:val="clear" w:color="auto" w:fill="auto"/>
          </w:tcPr>
          <w:p w14:paraId="68307D15"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273B89BD" w14:textId="77777777" w:rsidR="002139E4" w:rsidRPr="00296342" w:rsidRDefault="002139E4" w:rsidP="001A259A">
            <w:pPr>
              <w:spacing w:before="40" w:after="120"/>
              <w:ind w:right="113"/>
              <w:rPr>
                <w:sz w:val="20"/>
                <w:szCs w:val="20"/>
              </w:rPr>
            </w:pPr>
            <w:r w:rsidRPr="000E45DE">
              <w:rPr>
                <w:sz w:val="20"/>
                <w:szCs w:val="20"/>
              </w:rPr>
              <w:t>Written statement submitted by World Evangelical Alliance, a non-governmental organization in special consultative status</w:t>
            </w:r>
          </w:p>
        </w:tc>
      </w:tr>
      <w:tr w:rsidR="002139E4" w:rsidRPr="00CE032F" w14:paraId="5AFFD6A2" w14:textId="77777777" w:rsidTr="001A259A">
        <w:trPr>
          <w:trHeight w:val="255"/>
        </w:trPr>
        <w:tc>
          <w:tcPr>
            <w:tcW w:w="2410" w:type="dxa"/>
            <w:shd w:val="clear" w:color="auto" w:fill="auto"/>
          </w:tcPr>
          <w:p w14:paraId="0B41D28D"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253</w:t>
            </w:r>
          </w:p>
        </w:tc>
        <w:tc>
          <w:tcPr>
            <w:tcW w:w="1276" w:type="dxa"/>
            <w:shd w:val="clear" w:color="auto" w:fill="auto"/>
          </w:tcPr>
          <w:p w14:paraId="77371FF8"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18D26881" w14:textId="77777777" w:rsidR="002139E4" w:rsidRPr="00296342" w:rsidRDefault="002139E4" w:rsidP="001A259A">
            <w:pPr>
              <w:spacing w:before="40" w:after="120"/>
              <w:ind w:right="113"/>
              <w:rPr>
                <w:sz w:val="20"/>
                <w:szCs w:val="20"/>
              </w:rPr>
            </w:pPr>
            <w:r w:rsidRPr="000E45DE">
              <w:rPr>
                <w:sz w:val="20"/>
                <w:szCs w:val="20"/>
              </w:rPr>
              <w:t>Written statement submitted by Tamil Uzhagam, a non-governmental organization in special consultative status</w:t>
            </w:r>
          </w:p>
        </w:tc>
      </w:tr>
      <w:tr w:rsidR="002139E4" w:rsidRPr="00CE032F" w14:paraId="632711B8" w14:textId="77777777" w:rsidTr="001A259A">
        <w:trPr>
          <w:trHeight w:val="255"/>
        </w:trPr>
        <w:tc>
          <w:tcPr>
            <w:tcW w:w="2410" w:type="dxa"/>
            <w:shd w:val="clear" w:color="auto" w:fill="auto"/>
          </w:tcPr>
          <w:p w14:paraId="23D9E06A"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254</w:t>
            </w:r>
          </w:p>
        </w:tc>
        <w:tc>
          <w:tcPr>
            <w:tcW w:w="1276" w:type="dxa"/>
            <w:shd w:val="clear" w:color="auto" w:fill="auto"/>
          </w:tcPr>
          <w:p w14:paraId="78831AFF"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58AF9655" w14:textId="77777777" w:rsidR="002139E4" w:rsidRPr="00296342" w:rsidRDefault="002139E4" w:rsidP="001A259A">
            <w:pPr>
              <w:spacing w:before="40" w:after="120"/>
              <w:ind w:right="113"/>
              <w:rPr>
                <w:sz w:val="20"/>
                <w:szCs w:val="20"/>
              </w:rPr>
            </w:pPr>
            <w:r w:rsidRPr="000E45DE">
              <w:rPr>
                <w:sz w:val="20"/>
                <w:szCs w:val="20"/>
              </w:rPr>
              <w:t>Written statement submitted by International Educational Development, Inc., non-governmental organization on the roster</w:t>
            </w:r>
          </w:p>
        </w:tc>
      </w:tr>
      <w:tr w:rsidR="002139E4" w:rsidRPr="00CE032F" w14:paraId="76737A06" w14:textId="77777777" w:rsidTr="001A259A">
        <w:trPr>
          <w:trHeight w:val="255"/>
        </w:trPr>
        <w:tc>
          <w:tcPr>
            <w:tcW w:w="2410" w:type="dxa"/>
            <w:shd w:val="clear" w:color="auto" w:fill="auto"/>
          </w:tcPr>
          <w:p w14:paraId="6CDFADB0"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255</w:t>
            </w:r>
          </w:p>
        </w:tc>
        <w:tc>
          <w:tcPr>
            <w:tcW w:w="1276" w:type="dxa"/>
            <w:shd w:val="clear" w:color="auto" w:fill="auto"/>
          </w:tcPr>
          <w:p w14:paraId="5C171DB7"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7DDBDB28" w14:textId="77777777" w:rsidR="002139E4" w:rsidRPr="00296342" w:rsidRDefault="002139E4" w:rsidP="001A259A">
            <w:pPr>
              <w:spacing w:before="40" w:after="120"/>
              <w:ind w:right="113"/>
              <w:rPr>
                <w:sz w:val="20"/>
                <w:szCs w:val="20"/>
              </w:rPr>
            </w:pPr>
            <w:r w:rsidRPr="000E45DE">
              <w:rPr>
                <w:sz w:val="20"/>
                <w:szCs w:val="20"/>
              </w:rPr>
              <w:t>Written statement submitted by Réseau Européen pour l</w:t>
            </w:r>
            <w:r>
              <w:rPr>
                <w:sz w:val="20"/>
                <w:szCs w:val="20"/>
              </w:rPr>
              <w:t>’</w:t>
            </w:r>
            <w:r w:rsidRPr="000E45DE">
              <w:rPr>
                <w:sz w:val="20"/>
                <w:szCs w:val="20"/>
              </w:rPr>
              <w:t>Égalité des Langues, a non-governmental organization in special consultative status</w:t>
            </w:r>
          </w:p>
        </w:tc>
      </w:tr>
      <w:tr w:rsidR="002139E4" w:rsidRPr="00CE032F" w14:paraId="273AD107" w14:textId="77777777" w:rsidTr="001A259A">
        <w:trPr>
          <w:trHeight w:val="255"/>
        </w:trPr>
        <w:tc>
          <w:tcPr>
            <w:tcW w:w="2410" w:type="dxa"/>
            <w:shd w:val="clear" w:color="auto" w:fill="auto"/>
          </w:tcPr>
          <w:p w14:paraId="471D38FB"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256</w:t>
            </w:r>
          </w:p>
        </w:tc>
        <w:tc>
          <w:tcPr>
            <w:tcW w:w="1276" w:type="dxa"/>
            <w:shd w:val="clear" w:color="auto" w:fill="auto"/>
          </w:tcPr>
          <w:p w14:paraId="471FD850"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2BBA5AD1" w14:textId="77777777" w:rsidR="002139E4" w:rsidRPr="00296342" w:rsidRDefault="002139E4" w:rsidP="001A259A">
            <w:pPr>
              <w:spacing w:before="40" w:after="120"/>
              <w:ind w:right="113"/>
              <w:rPr>
                <w:sz w:val="20"/>
                <w:szCs w:val="20"/>
              </w:rPr>
            </w:pPr>
            <w:r w:rsidRPr="000E45DE">
              <w:rPr>
                <w:sz w:val="20"/>
                <w:szCs w:val="20"/>
              </w:rPr>
              <w:t xml:space="preserve">Joint written statement submitted by the International Organization for the Elimination of All Forms of Racial Discrimination (EAFORD), International-Lawyers.Org, Union of Arab Jurists, United Towns Agency for North-South Cooperation, non-governmental organizations in special consultative status, International Educational Development, Inc., World Peace </w:t>
            </w:r>
            <w:r w:rsidRPr="000E45DE">
              <w:rPr>
                <w:sz w:val="20"/>
                <w:szCs w:val="20"/>
              </w:rPr>
              <w:lastRenderedPageBreak/>
              <w:t>Council, non-governmental organizations on the roster</w:t>
            </w:r>
          </w:p>
        </w:tc>
      </w:tr>
      <w:tr w:rsidR="002139E4" w:rsidRPr="00CE032F" w14:paraId="6A4E32FB" w14:textId="77777777" w:rsidTr="001A259A">
        <w:trPr>
          <w:trHeight w:val="255"/>
        </w:trPr>
        <w:tc>
          <w:tcPr>
            <w:tcW w:w="2410" w:type="dxa"/>
            <w:shd w:val="clear" w:color="auto" w:fill="auto"/>
          </w:tcPr>
          <w:p w14:paraId="1671CFDD" w14:textId="77777777" w:rsidR="002139E4" w:rsidRPr="00296342" w:rsidRDefault="002139E4" w:rsidP="001A259A">
            <w:pPr>
              <w:spacing w:before="40" w:after="120"/>
              <w:ind w:right="113"/>
              <w:rPr>
                <w:sz w:val="20"/>
                <w:szCs w:val="20"/>
              </w:rPr>
            </w:pPr>
            <w:r w:rsidRPr="00296342">
              <w:rPr>
                <w:sz w:val="20"/>
                <w:szCs w:val="20"/>
              </w:rPr>
              <w:lastRenderedPageBreak/>
              <w:t>A/HRC/40/NGO/</w:t>
            </w:r>
            <w:r>
              <w:rPr>
                <w:sz w:val="20"/>
                <w:szCs w:val="20"/>
              </w:rPr>
              <w:t>257</w:t>
            </w:r>
          </w:p>
        </w:tc>
        <w:tc>
          <w:tcPr>
            <w:tcW w:w="1276" w:type="dxa"/>
            <w:shd w:val="clear" w:color="auto" w:fill="auto"/>
          </w:tcPr>
          <w:p w14:paraId="27400E5B"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5F736DF5" w14:textId="77777777" w:rsidR="002139E4" w:rsidRPr="00296342" w:rsidRDefault="002139E4" w:rsidP="001A259A">
            <w:pPr>
              <w:spacing w:before="40" w:after="120"/>
              <w:ind w:right="113"/>
              <w:rPr>
                <w:sz w:val="20"/>
                <w:szCs w:val="20"/>
              </w:rPr>
            </w:pPr>
            <w:r w:rsidRPr="000E45DE">
              <w:rPr>
                <w:sz w:val="20"/>
                <w:szCs w:val="20"/>
              </w:rPr>
              <w:t>Written statement submitted by Institute for NGO Research, a non-governmental organization in special consultative status</w:t>
            </w:r>
          </w:p>
        </w:tc>
      </w:tr>
      <w:tr w:rsidR="002139E4" w:rsidRPr="00CE032F" w14:paraId="6CA10335" w14:textId="77777777" w:rsidTr="001A259A">
        <w:trPr>
          <w:trHeight w:val="255"/>
        </w:trPr>
        <w:tc>
          <w:tcPr>
            <w:tcW w:w="2410" w:type="dxa"/>
            <w:shd w:val="clear" w:color="auto" w:fill="auto"/>
          </w:tcPr>
          <w:p w14:paraId="5506C55D"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258</w:t>
            </w:r>
          </w:p>
        </w:tc>
        <w:tc>
          <w:tcPr>
            <w:tcW w:w="1276" w:type="dxa"/>
            <w:shd w:val="clear" w:color="auto" w:fill="auto"/>
          </w:tcPr>
          <w:p w14:paraId="7FCE5620"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29CB058F" w14:textId="77777777" w:rsidR="002139E4" w:rsidRPr="00296342" w:rsidRDefault="002139E4" w:rsidP="001A259A">
            <w:pPr>
              <w:spacing w:before="40" w:after="120"/>
              <w:ind w:right="113"/>
              <w:rPr>
                <w:sz w:val="20"/>
                <w:szCs w:val="20"/>
              </w:rPr>
            </w:pPr>
            <w:r w:rsidRPr="000E45DE">
              <w:rPr>
                <w:sz w:val="20"/>
                <w:szCs w:val="20"/>
              </w:rPr>
              <w:t>Written statement submitted by Institute for NGO Research, a non-governmental organization in special consultative status</w:t>
            </w:r>
          </w:p>
        </w:tc>
      </w:tr>
      <w:tr w:rsidR="002139E4" w:rsidRPr="00CE032F" w14:paraId="76B03B11" w14:textId="77777777" w:rsidTr="001A259A">
        <w:trPr>
          <w:trHeight w:val="255"/>
        </w:trPr>
        <w:tc>
          <w:tcPr>
            <w:tcW w:w="2410" w:type="dxa"/>
            <w:shd w:val="clear" w:color="auto" w:fill="auto"/>
          </w:tcPr>
          <w:p w14:paraId="7804F44C"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259</w:t>
            </w:r>
          </w:p>
        </w:tc>
        <w:tc>
          <w:tcPr>
            <w:tcW w:w="1276" w:type="dxa"/>
            <w:shd w:val="clear" w:color="auto" w:fill="auto"/>
          </w:tcPr>
          <w:p w14:paraId="711D051D" w14:textId="77777777" w:rsidR="002139E4" w:rsidRDefault="002139E4" w:rsidP="001A259A">
            <w:pPr>
              <w:spacing w:before="40" w:after="120"/>
              <w:ind w:right="284"/>
              <w:jc w:val="right"/>
              <w:rPr>
                <w:sz w:val="20"/>
                <w:szCs w:val="20"/>
              </w:rPr>
            </w:pPr>
            <w:r>
              <w:rPr>
                <w:sz w:val="20"/>
                <w:szCs w:val="20"/>
              </w:rPr>
              <w:t>7</w:t>
            </w:r>
          </w:p>
        </w:tc>
        <w:tc>
          <w:tcPr>
            <w:tcW w:w="4252" w:type="dxa"/>
            <w:shd w:val="clear" w:color="auto" w:fill="auto"/>
            <w:vAlign w:val="center"/>
          </w:tcPr>
          <w:p w14:paraId="015A0CF8" w14:textId="77777777" w:rsidR="002139E4" w:rsidRPr="00296342" w:rsidRDefault="002139E4" w:rsidP="001A259A">
            <w:pPr>
              <w:spacing w:before="40" w:after="120"/>
              <w:ind w:right="113"/>
              <w:rPr>
                <w:sz w:val="20"/>
                <w:szCs w:val="20"/>
              </w:rPr>
            </w:pPr>
            <w:r w:rsidRPr="000E45DE">
              <w:rPr>
                <w:sz w:val="20"/>
                <w:szCs w:val="20"/>
              </w:rPr>
              <w:t>Written statement submitted by Institute for NGO Research, a non-governmental organization in special consultative status</w:t>
            </w:r>
          </w:p>
        </w:tc>
      </w:tr>
      <w:tr w:rsidR="002139E4" w:rsidRPr="00CE032F" w14:paraId="7389936F" w14:textId="77777777" w:rsidTr="001A259A">
        <w:trPr>
          <w:trHeight w:val="255"/>
        </w:trPr>
        <w:tc>
          <w:tcPr>
            <w:tcW w:w="2410" w:type="dxa"/>
            <w:shd w:val="clear" w:color="auto" w:fill="auto"/>
          </w:tcPr>
          <w:p w14:paraId="61D6E520"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260</w:t>
            </w:r>
          </w:p>
        </w:tc>
        <w:tc>
          <w:tcPr>
            <w:tcW w:w="1276" w:type="dxa"/>
            <w:shd w:val="clear" w:color="auto" w:fill="auto"/>
          </w:tcPr>
          <w:p w14:paraId="0C20DBDD"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639F5B97" w14:textId="77777777" w:rsidR="002139E4" w:rsidRPr="00296342" w:rsidRDefault="002139E4" w:rsidP="001A259A">
            <w:pPr>
              <w:spacing w:before="40" w:after="120"/>
              <w:ind w:right="113"/>
              <w:rPr>
                <w:sz w:val="20"/>
                <w:szCs w:val="20"/>
              </w:rPr>
            </w:pPr>
            <w:r w:rsidRPr="000E45DE">
              <w:rPr>
                <w:sz w:val="20"/>
                <w:szCs w:val="20"/>
              </w:rPr>
              <w:t>Written statement submitted by Institute for NGO Research, a non-governmental organization in special consultative status</w:t>
            </w:r>
          </w:p>
        </w:tc>
      </w:tr>
      <w:tr w:rsidR="002139E4" w:rsidRPr="00CE032F" w14:paraId="66F494DB" w14:textId="77777777" w:rsidTr="001A259A">
        <w:trPr>
          <w:trHeight w:val="255"/>
        </w:trPr>
        <w:tc>
          <w:tcPr>
            <w:tcW w:w="2410" w:type="dxa"/>
            <w:shd w:val="clear" w:color="auto" w:fill="auto"/>
          </w:tcPr>
          <w:p w14:paraId="7FE9F285"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261</w:t>
            </w:r>
          </w:p>
        </w:tc>
        <w:tc>
          <w:tcPr>
            <w:tcW w:w="1276" w:type="dxa"/>
            <w:shd w:val="clear" w:color="auto" w:fill="auto"/>
          </w:tcPr>
          <w:p w14:paraId="4D09D96B" w14:textId="77777777" w:rsidR="002139E4" w:rsidRDefault="002139E4" w:rsidP="001A259A">
            <w:pPr>
              <w:spacing w:before="40" w:after="120"/>
              <w:ind w:right="284"/>
              <w:jc w:val="right"/>
              <w:rPr>
                <w:sz w:val="20"/>
                <w:szCs w:val="20"/>
              </w:rPr>
            </w:pPr>
            <w:r>
              <w:rPr>
                <w:sz w:val="20"/>
                <w:szCs w:val="20"/>
              </w:rPr>
              <w:t>7</w:t>
            </w:r>
          </w:p>
        </w:tc>
        <w:tc>
          <w:tcPr>
            <w:tcW w:w="4252" w:type="dxa"/>
            <w:shd w:val="clear" w:color="auto" w:fill="auto"/>
            <w:vAlign w:val="center"/>
          </w:tcPr>
          <w:p w14:paraId="0DE6B684" w14:textId="77777777" w:rsidR="002139E4" w:rsidRPr="00296342" w:rsidRDefault="002139E4" w:rsidP="001A259A">
            <w:pPr>
              <w:spacing w:before="40" w:after="120"/>
              <w:ind w:right="113"/>
              <w:rPr>
                <w:sz w:val="20"/>
                <w:szCs w:val="20"/>
              </w:rPr>
            </w:pPr>
            <w:r>
              <w:rPr>
                <w:sz w:val="20"/>
                <w:szCs w:val="20"/>
              </w:rPr>
              <w:t>Written statement</w:t>
            </w:r>
            <w:r w:rsidRPr="000E45DE">
              <w:rPr>
                <w:sz w:val="20"/>
                <w:szCs w:val="20"/>
              </w:rPr>
              <w:t xml:space="preserve"> submitted by Institute for NGO Research, a non-governmental organization in special consultative status</w:t>
            </w:r>
          </w:p>
        </w:tc>
      </w:tr>
      <w:tr w:rsidR="002139E4" w:rsidRPr="00CE032F" w14:paraId="382D81FF" w14:textId="77777777" w:rsidTr="001A259A">
        <w:trPr>
          <w:trHeight w:val="255"/>
        </w:trPr>
        <w:tc>
          <w:tcPr>
            <w:tcW w:w="2410" w:type="dxa"/>
            <w:shd w:val="clear" w:color="auto" w:fill="auto"/>
          </w:tcPr>
          <w:p w14:paraId="4FFF8A85"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262</w:t>
            </w:r>
          </w:p>
        </w:tc>
        <w:tc>
          <w:tcPr>
            <w:tcW w:w="1276" w:type="dxa"/>
            <w:shd w:val="clear" w:color="auto" w:fill="auto"/>
          </w:tcPr>
          <w:p w14:paraId="1971FEEA"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454D0E61" w14:textId="77777777" w:rsidR="002139E4" w:rsidRPr="00296342" w:rsidRDefault="002139E4" w:rsidP="001A259A">
            <w:pPr>
              <w:spacing w:before="40" w:after="120"/>
              <w:ind w:right="113"/>
              <w:rPr>
                <w:sz w:val="20"/>
                <w:szCs w:val="20"/>
              </w:rPr>
            </w:pPr>
            <w:r w:rsidRPr="000E45DE">
              <w:rPr>
                <w:sz w:val="20"/>
                <w:szCs w:val="20"/>
              </w:rPr>
              <w:t>Written statement submitted by Amnesty International, a non-governmental organization in special consultative status</w:t>
            </w:r>
          </w:p>
        </w:tc>
      </w:tr>
      <w:tr w:rsidR="002139E4" w:rsidRPr="00CE032F" w14:paraId="6A6F50EF" w14:textId="77777777" w:rsidTr="001A259A">
        <w:trPr>
          <w:trHeight w:val="255"/>
        </w:trPr>
        <w:tc>
          <w:tcPr>
            <w:tcW w:w="2410" w:type="dxa"/>
            <w:shd w:val="clear" w:color="auto" w:fill="auto"/>
          </w:tcPr>
          <w:p w14:paraId="44E0D68C"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263</w:t>
            </w:r>
          </w:p>
        </w:tc>
        <w:tc>
          <w:tcPr>
            <w:tcW w:w="1276" w:type="dxa"/>
            <w:shd w:val="clear" w:color="auto" w:fill="auto"/>
          </w:tcPr>
          <w:p w14:paraId="00939A92"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399D811F" w14:textId="77777777" w:rsidR="002139E4" w:rsidRPr="00296342" w:rsidRDefault="002139E4" w:rsidP="001A259A">
            <w:pPr>
              <w:spacing w:before="40" w:after="120"/>
              <w:ind w:right="113"/>
              <w:rPr>
                <w:sz w:val="20"/>
                <w:szCs w:val="20"/>
              </w:rPr>
            </w:pPr>
            <w:r>
              <w:rPr>
                <w:sz w:val="20"/>
                <w:szCs w:val="20"/>
              </w:rPr>
              <w:t>Written statement</w:t>
            </w:r>
            <w:r w:rsidRPr="000E45DE">
              <w:rPr>
                <w:sz w:val="20"/>
                <w:szCs w:val="20"/>
              </w:rPr>
              <w:t xml:space="preserve"> submitted by Amnesty International, a non-governmental organization in special consultative status</w:t>
            </w:r>
          </w:p>
        </w:tc>
      </w:tr>
      <w:tr w:rsidR="002139E4" w:rsidRPr="00CE032F" w14:paraId="708B8AF7" w14:textId="77777777" w:rsidTr="001A259A">
        <w:trPr>
          <w:trHeight w:val="255"/>
        </w:trPr>
        <w:tc>
          <w:tcPr>
            <w:tcW w:w="2410" w:type="dxa"/>
            <w:shd w:val="clear" w:color="auto" w:fill="auto"/>
          </w:tcPr>
          <w:p w14:paraId="4B80E1DA"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264</w:t>
            </w:r>
          </w:p>
        </w:tc>
        <w:tc>
          <w:tcPr>
            <w:tcW w:w="1276" w:type="dxa"/>
            <w:shd w:val="clear" w:color="auto" w:fill="auto"/>
          </w:tcPr>
          <w:p w14:paraId="2A6539CB"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0866F32C" w14:textId="77777777" w:rsidR="002139E4" w:rsidRPr="00296342" w:rsidRDefault="002139E4" w:rsidP="001A259A">
            <w:pPr>
              <w:spacing w:before="40" w:after="120"/>
              <w:ind w:right="113"/>
              <w:rPr>
                <w:sz w:val="20"/>
                <w:szCs w:val="20"/>
              </w:rPr>
            </w:pPr>
            <w:r w:rsidRPr="000E45DE">
              <w:rPr>
                <w:sz w:val="20"/>
                <w:szCs w:val="20"/>
              </w:rPr>
              <w:t>Written statement submitted by Barzani Charity Foundation / BCF, a non-governmental organization in special consultative status</w:t>
            </w:r>
          </w:p>
        </w:tc>
      </w:tr>
      <w:tr w:rsidR="002139E4" w:rsidRPr="00CE032F" w14:paraId="09AD0DEB" w14:textId="77777777" w:rsidTr="001A259A">
        <w:trPr>
          <w:trHeight w:val="255"/>
        </w:trPr>
        <w:tc>
          <w:tcPr>
            <w:tcW w:w="2410" w:type="dxa"/>
            <w:shd w:val="clear" w:color="auto" w:fill="auto"/>
          </w:tcPr>
          <w:p w14:paraId="345F1779"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265</w:t>
            </w:r>
          </w:p>
        </w:tc>
        <w:tc>
          <w:tcPr>
            <w:tcW w:w="1276" w:type="dxa"/>
            <w:shd w:val="clear" w:color="auto" w:fill="auto"/>
          </w:tcPr>
          <w:p w14:paraId="3F144C9B"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08CBB360" w14:textId="77777777" w:rsidR="002139E4" w:rsidRPr="00296342" w:rsidRDefault="002139E4" w:rsidP="001A259A">
            <w:pPr>
              <w:spacing w:before="40" w:after="120"/>
              <w:ind w:right="113"/>
              <w:rPr>
                <w:sz w:val="20"/>
                <w:szCs w:val="20"/>
              </w:rPr>
            </w:pPr>
            <w:r w:rsidRPr="000E45DE">
              <w:rPr>
                <w:sz w:val="20"/>
                <w:szCs w:val="20"/>
              </w:rPr>
              <w:t>Written statement submitted by Barzani Charity Foundation / BCF, a non-governmental organization in special consultative status</w:t>
            </w:r>
          </w:p>
        </w:tc>
      </w:tr>
      <w:tr w:rsidR="002139E4" w:rsidRPr="00CE032F" w14:paraId="204B2D2A" w14:textId="77777777" w:rsidTr="001A259A">
        <w:trPr>
          <w:trHeight w:val="255"/>
        </w:trPr>
        <w:tc>
          <w:tcPr>
            <w:tcW w:w="2410" w:type="dxa"/>
            <w:shd w:val="clear" w:color="auto" w:fill="auto"/>
          </w:tcPr>
          <w:p w14:paraId="4EFBB202"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266</w:t>
            </w:r>
          </w:p>
        </w:tc>
        <w:tc>
          <w:tcPr>
            <w:tcW w:w="1276" w:type="dxa"/>
            <w:shd w:val="clear" w:color="auto" w:fill="auto"/>
          </w:tcPr>
          <w:p w14:paraId="28E8D510"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07429498" w14:textId="77777777" w:rsidR="002139E4" w:rsidRPr="00296342" w:rsidRDefault="002139E4" w:rsidP="001A259A">
            <w:pPr>
              <w:spacing w:before="40" w:after="120"/>
              <w:ind w:right="113"/>
              <w:rPr>
                <w:sz w:val="20"/>
                <w:szCs w:val="20"/>
              </w:rPr>
            </w:pPr>
            <w:r w:rsidRPr="000E45DE">
              <w:rPr>
                <w:sz w:val="20"/>
                <w:szCs w:val="20"/>
              </w:rPr>
              <w:t>Written statement submitted by Institute for NGO Research, a non-governmental organization in special consultative status</w:t>
            </w:r>
          </w:p>
        </w:tc>
      </w:tr>
      <w:tr w:rsidR="002139E4" w:rsidRPr="00CE032F" w14:paraId="143A1F8C" w14:textId="77777777" w:rsidTr="001A259A">
        <w:trPr>
          <w:trHeight w:val="255"/>
        </w:trPr>
        <w:tc>
          <w:tcPr>
            <w:tcW w:w="2410" w:type="dxa"/>
            <w:shd w:val="clear" w:color="auto" w:fill="auto"/>
          </w:tcPr>
          <w:p w14:paraId="7F106298"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271</w:t>
            </w:r>
          </w:p>
        </w:tc>
        <w:tc>
          <w:tcPr>
            <w:tcW w:w="1276" w:type="dxa"/>
            <w:shd w:val="clear" w:color="auto" w:fill="auto"/>
          </w:tcPr>
          <w:p w14:paraId="32A36638"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419535B4" w14:textId="77777777" w:rsidR="002139E4" w:rsidRPr="00296342" w:rsidRDefault="002139E4" w:rsidP="001A259A">
            <w:pPr>
              <w:spacing w:before="40" w:after="120"/>
              <w:ind w:right="113"/>
              <w:rPr>
                <w:sz w:val="20"/>
                <w:szCs w:val="20"/>
              </w:rPr>
            </w:pPr>
            <w:r>
              <w:rPr>
                <w:sz w:val="20"/>
                <w:szCs w:val="20"/>
              </w:rPr>
              <w:t>Written statement</w:t>
            </w:r>
            <w:r w:rsidRPr="000E45DE">
              <w:rPr>
                <w:sz w:val="20"/>
                <w:szCs w:val="20"/>
              </w:rPr>
              <w:t xml:space="preserve"> submitted by Afro-European Medical and Research Network, a non-governmental organization in special consultative status</w:t>
            </w:r>
          </w:p>
        </w:tc>
      </w:tr>
      <w:tr w:rsidR="002139E4" w:rsidRPr="00CE032F" w14:paraId="17A19896" w14:textId="77777777" w:rsidTr="001A259A">
        <w:trPr>
          <w:trHeight w:val="255"/>
        </w:trPr>
        <w:tc>
          <w:tcPr>
            <w:tcW w:w="2410" w:type="dxa"/>
            <w:shd w:val="clear" w:color="auto" w:fill="auto"/>
          </w:tcPr>
          <w:p w14:paraId="14D8F995" w14:textId="77777777" w:rsidR="002139E4" w:rsidRPr="00355B35" w:rsidRDefault="002139E4" w:rsidP="001A259A">
            <w:pPr>
              <w:spacing w:before="40" w:after="120"/>
              <w:ind w:right="113"/>
              <w:rPr>
                <w:sz w:val="20"/>
                <w:szCs w:val="20"/>
              </w:rPr>
            </w:pPr>
            <w:r w:rsidRPr="00296342">
              <w:rPr>
                <w:sz w:val="20"/>
                <w:szCs w:val="20"/>
              </w:rPr>
              <w:t>A/HRC/40/NGO/</w:t>
            </w:r>
            <w:r>
              <w:rPr>
                <w:sz w:val="20"/>
                <w:szCs w:val="20"/>
              </w:rPr>
              <w:t>272</w:t>
            </w:r>
          </w:p>
        </w:tc>
        <w:tc>
          <w:tcPr>
            <w:tcW w:w="1276" w:type="dxa"/>
            <w:shd w:val="clear" w:color="auto" w:fill="auto"/>
          </w:tcPr>
          <w:p w14:paraId="62EB73B0" w14:textId="77777777" w:rsidR="002139E4" w:rsidRDefault="002139E4" w:rsidP="001A259A">
            <w:pPr>
              <w:spacing w:before="40" w:after="120"/>
              <w:ind w:right="284"/>
              <w:jc w:val="right"/>
              <w:rPr>
                <w:sz w:val="20"/>
                <w:szCs w:val="20"/>
              </w:rPr>
            </w:pPr>
            <w:r>
              <w:rPr>
                <w:sz w:val="20"/>
                <w:szCs w:val="20"/>
              </w:rPr>
              <w:t>7</w:t>
            </w:r>
          </w:p>
        </w:tc>
        <w:tc>
          <w:tcPr>
            <w:tcW w:w="4252" w:type="dxa"/>
            <w:shd w:val="clear" w:color="auto" w:fill="auto"/>
            <w:vAlign w:val="center"/>
          </w:tcPr>
          <w:p w14:paraId="7DC2075E" w14:textId="77777777" w:rsidR="002139E4" w:rsidRPr="00355B35" w:rsidRDefault="002139E4" w:rsidP="001A259A">
            <w:pPr>
              <w:spacing w:before="40" w:after="120"/>
              <w:ind w:right="113"/>
              <w:rPr>
                <w:sz w:val="20"/>
                <w:szCs w:val="20"/>
              </w:rPr>
            </w:pPr>
            <w:r w:rsidRPr="000E45DE">
              <w:rPr>
                <w:sz w:val="20"/>
                <w:szCs w:val="20"/>
              </w:rPr>
              <w:t>Written statement submitted by Amnesty International, a non-governmental organization in special consultative status</w:t>
            </w:r>
          </w:p>
        </w:tc>
      </w:tr>
      <w:tr w:rsidR="002139E4" w:rsidRPr="00CE032F" w14:paraId="3A8A717C" w14:textId="77777777" w:rsidTr="001A259A">
        <w:trPr>
          <w:trHeight w:val="255"/>
        </w:trPr>
        <w:tc>
          <w:tcPr>
            <w:tcW w:w="2410" w:type="dxa"/>
            <w:shd w:val="clear" w:color="auto" w:fill="auto"/>
          </w:tcPr>
          <w:p w14:paraId="2D677AA6"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273</w:t>
            </w:r>
          </w:p>
        </w:tc>
        <w:tc>
          <w:tcPr>
            <w:tcW w:w="1276" w:type="dxa"/>
            <w:shd w:val="clear" w:color="auto" w:fill="auto"/>
          </w:tcPr>
          <w:p w14:paraId="75D90912"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223DDE6B" w14:textId="77777777" w:rsidR="002139E4" w:rsidRPr="000E45DE" w:rsidRDefault="002139E4" w:rsidP="001A259A">
            <w:pPr>
              <w:spacing w:before="40" w:after="120"/>
              <w:ind w:right="113"/>
              <w:rPr>
                <w:sz w:val="20"/>
                <w:szCs w:val="20"/>
              </w:rPr>
            </w:pPr>
            <w:r w:rsidRPr="007012A7">
              <w:rPr>
                <w:sz w:val="20"/>
                <w:szCs w:val="20"/>
              </w:rPr>
              <w:t>Written statement submitted by Afro-European Medical and Research Network, a non-</w:t>
            </w:r>
            <w:r w:rsidRPr="007012A7">
              <w:rPr>
                <w:sz w:val="20"/>
                <w:szCs w:val="20"/>
              </w:rPr>
              <w:lastRenderedPageBreak/>
              <w:t>governmental organization in special consultative status</w:t>
            </w:r>
          </w:p>
        </w:tc>
      </w:tr>
      <w:tr w:rsidR="002139E4" w:rsidRPr="00CE032F" w14:paraId="236D38C5" w14:textId="77777777" w:rsidTr="001A259A">
        <w:trPr>
          <w:trHeight w:val="255"/>
        </w:trPr>
        <w:tc>
          <w:tcPr>
            <w:tcW w:w="2410" w:type="dxa"/>
            <w:shd w:val="clear" w:color="auto" w:fill="auto"/>
          </w:tcPr>
          <w:p w14:paraId="6C3067E1" w14:textId="77777777" w:rsidR="002139E4" w:rsidRPr="00296342" w:rsidRDefault="002139E4" w:rsidP="001A259A">
            <w:pPr>
              <w:spacing w:before="40" w:after="120"/>
              <w:ind w:right="113"/>
              <w:rPr>
                <w:sz w:val="20"/>
                <w:szCs w:val="20"/>
              </w:rPr>
            </w:pPr>
            <w:r w:rsidRPr="00296342">
              <w:rPr>
                <w:sz w:val="20"/>
                <w:szCs w:val="20"/>
              </w:rPr>
              <w:lastRenderedPageBreak/>
              <w:t>A/HRC/40/NGO/</w:t>
            </w:r>
            <w:r>
              <w:rPr>
                <w:sz w:val="20"/>
                <w:szCs w:val="20"/>
              </w:rPr>
              <w:t>274</w:t>
            </w:r>
          </w:p>
        </w:tc>
        <w:tc>
          <w:tcPr>
            <w:tcW w:w="1276" w:type="dxa"/>
            <w:shd w:val="clear" w:color="auto" w:fill="auto"/>
          </w:tcPr>
          <w:p w14:paraId="180E07AB" w14:textId="77777777" w:rsidR="002139E4" w:rsidRDefault="002139E4" w:rsidP="001A259A">
            <w:pPr>
              <w:spacing w:before="40" w:after="120"/>
              <w:ind w:right="284"/>
              <w:jc w:val="right"/>
              <w:rPr>
                <w:sz w:val="20"/>
                <w:szCs w:val="20"/>
              </w:rPr>
            </w:pPr>
            <w:r>
              <w:rPr>
                <w:sz w:val="20"/>
                <w:szCs w:val="20"/>
              </w:rPr>
              <w:t>10</w:t>
            </w:r>
          </w:p>
        </w:tc>
        <w:tc>
          <w:tcPr>
            <w:tcW w:w="4252" w:type="dxa"/>
            <w:shd w:val="clear" w:color="auto" w:fill="auto"/>
            <w:vAlign w:val="center"/>
          </w:tcPr>
          <w:p w14:paraId="6D48F85F" w14:textId="77777777" w:rsidR="002139E4" w:rsidRPr="007012A7" w:rsidRDefault="002139E4" w:rsidP="001A259A">
            <w:pPr>
              <w:spacing w:before="40" w:after="120"/>
              <w:ind w:right="113"/>
              <w:rPr>
                <w:sz w:val="20"/>
                <w:szCs w:val="20"/>
              </w:rPr>
            </w:pPr>
            <w:r>
              <w:rPr>
                <w:sz w:val="20"/>
                <w:szCs w:val="20"/>
              </w:rPr>
              <w:t>Written statement</w:t>
            </w:r>
            <w:r w:rsidRPr="007012A7">
              <w:rPr>
                <w:sz w:val="20"/>
                <w:szCs w:val="20"/>
              </w:rPr>
              <w:t xml:space="preserve"> submitted by Iranian Elite Research Center, a non-governmental organization in special consultative status</w:t>
            </w:r>
          </w:p>
        </w:tc>
      </w:tr>
      <w:tr w:rsidR="002139E4" w:rsidRPr="00CE032F" w14:paraId="024AECF3" w14:textId="77777777" w:rsidTr="001A259A">
        <w:trPr>
          <w:trHeight w:val="255"/>
        </w:trPr>
        <w:tc>
          <w:tcPr>
            <w:tcW w:w="2410" w:type="dxa"/>
            <w:shd w:val="clear" w:color="auto" w:fill="auto"/>
          </w:tcPr>
          <w:p w14:paraId="3027928B"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275</w:t>
            </w:r>
          </w:p>
        </w:tc>
        <w:tc>
          <w:tcPr>
            <w:tcW w:w="1276" w:type="dxa"/>
            <w:shd w:val="clear" w:color="auto" w:fill="auto"/>
          </w:tcPr>
          <w:p w14:paraId="792DA214"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66AFD352" w14:textId="77777777" w:rsidR="002139E4" w:rsidRDefault="002139E4" w:rsidP="001A259A">
            <w:pPr>
              <w:spacing w:before="40" w:after="120"/>
              <w:ind w:right="113"/>
              <w:rPr>
                <w:sz w:val="20"/>
                <w:szCs w:val="20"/>
              </w:rPr>
            </w:pPr>
            <w:r>
              <w:rPr>
                <w:sz w:val="20"/>
                <w:szCs w:val="20"/>
              </w:rPr>
              <w:t>Written statement</w:t>
            </w:r>
            <w:r w:rsidRPr="007012A7">
              <w:rPr>
                <w:sz w:val="20"/>
                <w:szCs w:val="20"/>
              </w:rPr>
              <w:t xml:space="preserve"> submitted by Iranian Elite Research Center, a non-governmental organization in special consultative status</w:t>
            </w:r>
          </w:p>
        </w:tc>
      </w:tr>
      <w:tr w:rsidR="002139E4" w:rsidRPr="00CE032F" w14:paraId="32BE4A83" w14:textId="77777777" w:rsidTr="001A259A">
        <w:trPr>
          <w:trHeight w:val="255"/>
        </w:trPr>
        <w:tc>
          <w:tcPr>
            <w:tcW w:w="2410" w:type="dxa"/>
            <w:shd w:val="clear" w:color="auto" w:fill="auto"/>
          </w:tcPr>
          <w:p w14:paraId="0F70D8EF"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276</w:t>
            </w:r>
          </w:p>
        </w:tc>
        <w:tc>
          <w:tcPr>
            <w:tcW w:w="1276" w:type="dxa"/>
            <w:shd w:val="clear" w:color="auto" w:fill="auto"/>
          </w:tcPr>
          <w:p w14:paraId="773EF435" w14:textId="77777777" w:rsidR="002139E4" w:rsidRDefault="002139E4" w:rsidP="001A259A">
            <w:pPr>
              <w:spacing w:before="40" w:after="120"/>
              <w:ind w:right="284"/>
              <w:jc w:val="right"/>
              <w:rPr>
                <w:sz w:val="20"/>
                <w:szCs w:val="20"/>
              </w:rPr>
            </w:pPr>
            <w:r>
              <w:rPr>
                <w:sz w:val="20"/>
                <w:szCs w:val="20"/>
              </w:rPr>
              <w:t>5</w:t>
            </w:r>
          </w:p>
        </w:tc>
        <w:tc>
          <w:tcPr>
            <w:tcW w:w="4252" w:type="dxa"/>
            <w:shd w:val="clear" w:color="auto" w:fill="auto"/>
            <w:vAlign w:val="center"/>
          </w:tcPr>
          <w:p w14:paraId="452B8C9D" w14:textId="77777777" w:rsidR="002139E4" w:rsidRDefault="002139E4" w:rsidP="001A259A">
            <w:pPr>
              <w:spacing w:before="40" w:after="120"/>
              <w:ind w:right="113"/>
              <w:rPr>
                <w:sz w:val="20"/>
                <w:szCs w:val="20"/>
              </w:rPr>
            </w:pPr>
            <w:r w:rsidRPr="007012A7">
              <w:rPr>
                <w:sz w:val="20"/>
                <w:szCs w:val="20"/>
              </w:rPr>
              <w:t>Written statement submitted by American Civil Liberties Union, a non-governmental organization in special consultative status</w:t>
            </w:r>
          </w:p>
        </w:tc>
      </w:tr>
      <w:tr w:rsidR="002139E4" w:rsidRPr="00CE032F" w14:paraId="5A7B3EBB" w14:textId="77777777" w:rsidTr="001A259A">
        <w:trPr>
          <w:trHeight w:val="255"/>
        </w:trPr>
        <w:tc>
          <w:tcPr>
            <w:tcW w:w="2410" w:type="dxa"/>
            <w:shd w:val="clear" w:color="auto" w:fill="auto"/>
          </w:tcPr>
          <w:p w14:paraId="493D5782"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277</w:t>
            </w:r>
          </w:p>
        </w:tc>
        <w:tc>
          <w:tcPr>
            <w:tcW w:w="1276" w:type="dxa"/>
            <w:shd w:val="clear" w:color="auto" w:fill="auto"/>
          </w:tcPr>
          <w:p w14:paraId="515300D9"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785470E0" w14:textId="77777777" w:rsidR="002139E4" w:rsidRPr="007012A7" w:rsidRDefault="002139E4" w:rsidP="001A259A">
            <w:pPr>
              <w:spacing w:before="40" w:after="120"/>
              <w:ind w:right="113"/>
              <w:rPr>
                <w:sz w:val="20"/>
                <w:szCs w:val="20"/>
              </w:rPr>
            </w:pPr>
            <w:r w:rsidRPr="007012A7">
              <w:rPr>
                <w:sz w:val="20"/>
                <w:szCs w:val="20"/>
              </w:rPr>
              <w:t>Written statement submitted by Freedom Now, a non-governmental organization in special consultative status</w:t>
            </w:r>
          </w:p>
        </w:tc>
      </w:tr>
      <w:tr w:rsidR="002139E4" w:rsidRPr="00CE032F" w14:paraId="7A43BCB4" w14:textId="77777777" w:rsidTr="001A259A">
        <w:trPr>
          <w:trHeight w:val="255"/>
        </w:trPr>
        <w:tc>
          <w:tcPr>
            <w:tcW w:w="2410" w:type="dxa"/>
            <w:shd w:val="clear" w:color="auto" w:fill="auto"/>
          </w:tcPr>
          <w:p w14:paraId="4522616D"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278</w:t>
            </w:r>
          </w:p>
        </w:tc>
        <w:tc>
          <w:tcPr>
            <w:tcW w:w="1276" w:type="dxa"/>
            <w:shd w:val="clear" w:color="auto" w:fill="auto"/>
          </w:tcPr>
          <w:p w14:paraId="5300761A" w14:textId="77777777" w:rsidR="002139E4" w:rsidRDefault="002139E4" w:rsidP="001A259A">
            <w:pPr>
              <w:spacing w:before="40" w:after="120"/>
              <w:ind w:right="284"/>
              <w:jc w:val="right"/>
              <w:rPr>
                <w:sz w:val="20"/>
                <w:szCs w:val="20"/>
              </w:rPr>
            </w:pPr>
            <w:r>
              <w:rPr>
                <w:sz w:val="20"/>
                <w:szCs w:val="20"/>
              </w:rPr>
              <w:t>3</w:t>
            </w:r>
          </w:p>
        </w:tc>
        <w:tc>
          <w:tcPr>
            <w:tcW w:w="4252" w:type="dxa"/>
            <w:shd w:val="clear" w:color="auto" w:fill="auto"/>
            <w:vAlign w:val="center"/>
          </w:tcPr>
          <w:p w14:paraId="53BFA5AD" w14:textId="77777777" w:rsidR="002139E4" w:rsidRPr="007012A7" w:rsidRDefault="002139E4" w:rsidP="001A259A">
            <w:pPr>
              <w:spacing w:before="40" w:after="120"/>
              <w:ind w:right="113"/>
              <w:rPr>
                <w:sz w:val="20"/>
                <w:szCs w:val="20"/>
              </w:rPr>
            </w:pPr>
            <w:r w:rsidRPr="007012A7">
              <w:rPr>
                <w:sz w:val="20"/>
                <w:szCs w:val="20"/>
              </w:rPr>
              <w:t>Written statement submitted by Institute for NGO Research, a non-governmental organization in special consultative status</w:t>
            </w:r>
          </w:p>
        </w:tc>
      </w:tr>
      <w:tr w:rsidR="002139E4" w:rsidRPr="00CE032F" w14:paraId="28E3DD00" w14:textId="77777777" w:rsidTr="001A259A">
        <w:trPr>
          <w:trHeight w:val="255"/>
        </w:trPr>
        <w:tc>
          <w:tcPr>
            <w:tcW w:w="2410" w:type="dxa"/>
            <w:shd w:val="clear" w:color="auto" w:fill="auto"/>
          </w:tcPr>
          <w:p w14:paraId="13AB43F3"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279</w:t>
            </w:r>
          </w:p>
        </w:tc>
        <w:tc>
          <w:tcPr>
            <w:tcW w:w="1276" w:type="dxa"/>
            <w:shd w:val="clear" w:color="auto" w:fill="auto"/>
          </w:tcPr>
          <w:p w14:paraId="2C5A6CD0" w14:textId="77777777" w:rsidR="002139E4" w:rsidRDefault="002139E4" w:rsidP="001A259A">
            <w:pPr>
              <w:spacing w:before="40" w:after="120"/>
              <w:ind w:right="284"/>
              <w:jc w:val="right"/>
              <w:rPr>
                <w:sz w:val="20"/>
                <w:szCs w:val="20"/>
              </w:rPr>
            </w:pPr>
            <w:r>
              <w:rPr>
                <w:sz w:val="20"/>
                <w:szCs w:val="20"/>
              </w:rPr>
              <w:t>4</w:t>
            </w:r>
          </w:p>
        </w:tc>
        <w:tc>
          <w:tcPr>
            <w:tcW w:w="4252" w:type="dxa"/>
            <w:shd w:val="clear" w:color="auto" w:fill="auto"/>
            <w:vAlign w:val="center"/>
          </w:tcPr>
          <w:p w14:paraId="240D2F7F" w14:textId="77777777" w:rsidR="002139E4" w:rsidRPr="007012A7" w:rsidRDefault="002139E4" w:rsidP="001A259A">
            <w:pPr>
              <w:spacing w:before="40" w:after="120"/>
              <w:ind w:right="113"/>
              <w:rPr>
                <w:sz w:val="20"/>
                <w:szCs w:val="20"/>
              </w:rPr>
            </w:pPr>
            <w:r w:rsidRPr="007012A7">
              <w:rPr>
                <w:sz w:val="20"/>
                <w:szCs w:val="20"/>
              </w:rPr>
              <w:t>Written statement submitted by Women</w:t>
            </w:r>
            <w:r>
              <w:rPr>
                <w:sz w:val="20"/>
                <w:szCs w:val="20"/>
              </w:rPr>
              <w:t>’</w:t>
            </w:r>
            <w:r w:rsidRPr="007012A7">
              <w:rPr>
                <w:sz w:val="20"/>
                <w:szCs w:val="20"/>
              </w:rPr>
              <w:t>s International League for Peace and Freedom, a non-governmental organization in special consultative status</w:t>
            </w:r>
          </w:p>
        </w:tc>
      </w:tr>
      <w:tr w:rsidR="002139E4" w:rsidRPr="00CE032F" w14:paraId="7D32AEB8" w14:textId="77777777" w:rsidTr="001A259A">
        <w:trPr>
          <w:trHeight w:val="255"/>
        </w:trPr>
        <w:tc>
          <w:tcPr>
            <w:tcW w:w="2410" w:type="dxa"/>
            <w:shd w:val="clear" w:color="auto" w:fill="auto"/>
          </w:tcPr>
          <w:p w14:paraId="48A215E0" w14:textId="77777777" w:rsidR="002139E4" w:rsidRPr="00296342" w:rsidRDefault="002139E4" w:rsidP="001A259A">
            <w:pPr>
              <w:spacing w:before="40" w:after="120"/>
              <w:ind w:right="113"/>
              <w:rPr>
                <w:sz w:val="20"/>
                <w:szCs w:val="20"/>
              </w:rPr>
            </w:pPr>
            <w:r w:rsidRPr="00296342">
              <w:rPr>
                <w:sz w:val="20"/>
                <w:szCs w:val="20"/>
              </w:rPr>
              <w:t>A/HRC/40/NGO/</w:t>
            </w:r>
            <w:r>
              <w:rPr>
                <w:sz w:val="20"/>
                <w:szCs w:val="20"/>
              </w:rPr>
              <w:t>280</w:t>
            </w:r>
          </w:p>
        </w:tc>
        <w:tc>
          <w:tcPr>
            <w:tcW w:w="1276" w:type="dxa"/>
            <w:shd w:val="clear" w:color="auto" w:fill="auto"/>
          </w:tcPr>
          <w:p w14:paraId="0D2E1A27" w14:textId="77777777" w:rsidR="002139E4" w:rsidRDefault="002139E4" w:rsidP="001A259A">
            <w:pPr>
              <w:spacing w:before="40" w:after="120"/>
              <w:ind w:right="284"/>
              <w:jc w:val="right"/>
              <w:rPr>
                <w:sz w:val="20"/>
                <w:szCs w:val="20"/>
              </w:rPr>
            </w:pPr>
            <w:r>
              <w:rPr>
                <w:sz w:val="20"/>
                <w:szCs w:val="20"/>
              </w:rPr>
              <w:t>8</w:t>
            </w:r>
          </w:p>
        </w:tc>
        <w:tc>
          <w:tcPr>
            <w:tcW w:w="4252" w:type="dxa"/>
            <w:shd w:val="clear" w:color="auto" w:fill="auto"/>
            <w:vAlign w:val="center"/>
          </w:tcPr>
          <w:p w14:paraId="3CAE1399" w14:textId="77777777" w:rsidR="002139E4" w:rsidRPr="007012A7" w:rsidRDefault="002139E4" w:rsidP="001A259A">
            <w:pPr>
              <w:spacing w:before="40" w:after="120"/>
              <w:ind w:right="113"/>
              <w:rPr>
                <w:sz w:val="20"/>
                <w:szCs w:val="20"/>
              </w:rPr>
            </w:pPr>
            <w:r w:rsidRPr="007012A7">
              <w:rPr>
                <w:sz w:val="20"/>
                <w:szCs w:val="20"/>
              </w:rPr>
              <w:t>Written statement submitted by Beijing NGO Association for International Exchanges, a non-governmental organization in special consultative status</w:t>
            </w:r>
          </w:p>
        </w:tc>
      </w:tr>
    </w:tbl>
    <w:p w14:paraId="00B41196" w14:textId="160B7668" w:rsidR="002139E4" w:rsidRDefault="002139E4" w:rsidP="00F379B0"/>
    <w:p w14:paraId="50CA375E" w14:textId="77777777" w:rsidR="002139E4" w:rsidRDefault="002139E4">
      <w:pPr>
        <w:spacing w:after="200" w:line="276" w:lineRule="auto"/>
      </w:pPr>
      <w:r>
        <w:br w:type="page"/>
      </w:r>
    </w:p>
    <w:p w14:paraId="29242BE5" w14:textId="77777777" w:rsidR="002139E4" w:rsidRPr="00C16037" w:rsidRDefault="002139E4" w:rsidP="002139E4">
      <w:pPr>
        <w:pStyle w:val="HChG"/>
        <w:rPr>
          <w:color w:val="000000" w:themeColor="text1"/>
        </w:rPr>
      </w:pPr>
      <w:r w:rsidRPr="00C16037">
        <w:rPr>
          <w:color w:val="000000" w:themeColor="text1"/>
        </w:rPr>
        <w:lastRenderedPageBreak/>
        <w:t>Annex</w:t>
      </w:r>
      <w:r>
        <w:rPr>
          <w:color w:val="000000" w:themeColor="text1"/>
        </w:rPr>
        <w:t xml:space="preserve"> </w:t>
      </w:r>
      <w:r w:rsidRPr="00C16037">
        <w:rPr>
          <w:color w:val="000000" w:themeColor="text1"/>
        </w:rPr>
        <w:t>IV</w:t>
      </w:r>
    </w:p>
    <w:p w14:paraId="6BB4C888" w14:textId="77777777" w:rsidR="002139E4" w:rsidRPr="00C16037" w:rsidRDefault="002139E4" w:rsidP="002139E4">
      <w:pPr>
        <w:pStyle w:val="HChG"/>
        <w:rPr>
          <w:color w:val="000000" w:themeColor="text1"/>
        </w:rPr>
      </w:pPr>
      <w:r w:rsidRPr="00C16037">
        <w:rPr>
          <w:color w:val="000000" w:themeColor="text1"/>
        </w:rPr>
        <w:tab/>
      </w:r>
      <w:r w:rsidRPr="00C16037">
        <w:rPr>
          <w:color w:val="000000" w:themeColor="text1"/>
        </w:rPr>
        <w:tab/>
        <w:t>Special</w:t>
      </w:r>
      <w:r>
        <w:rPr>
          <w:color w:val="000000" w:themeColor="text1"/>
        </w:rPr>
        <w:t xml:space="preserve"> </w:t>
      </w:r>
      <w:r w:rsidRPr="00C16037">
        <w:rPr>
          <w:color w:val="000000" w:themeColor="text1"/>
        </w:rPr>
        <w:t>procedures</w:t>
      </w:r>
      <w:r>
        <w:rPr>
          <w:color w:val="000000" w:themeColor="text1"/>
        </w:rPr>
        <w:t xml:space="preserve"> </w:t>
      </w:r>
      <w:r w:rsidRPr="00C16037">
        <w:rPr>
          <w:color w:val="000000" w:themeColor="text1"/>
        </w:rPr>
        <w:t>mandate</w:t>
      </w:r>
      <w:r>
        <w:rPr>
          <w:color w:val="000000" w:themeColor="text1"/>
        </w:rPr>
        <w:t xml:space="preserve"> </w:t>
      </w:r>
      <w:r w:rsidRPr="00C16037">
        <w:rPr>
          <w:color w:val="000000" w:themeColor="text1"/>
        </w:rPr>
        <w:t>holders</w:t>
      </w:r>
      <w:r>
        <w:rPr>
          <w:color w:val="000000" w:themeColor="text1"/>
        </w:rPr>
        <w:t xml:space="preserve"> </w:t>
      </w:r>
      <w:r w:rsidRPr="00C16037">
        <w:rPr>
          <w:color w:val="000000" w:themeColor="text1"/>
        </w:rPr>
        <w:t>appointed</w:t>
      </w:r>
      <w:r>
        <w:rPr>
          <w:color w:val="000000" w:themeColor="text1"/>
        </w:rPr>
        <w:t xml:space="preserve"> </w:t>
      </w:r>
      <w:r w:rsidRPr="00C16037">
        <w:rPr>
          <w:color w:val="000000" w:themeColor="text1"/>
        </w:rPr>
        <w:t>by</w:t>
      </w:r>
      <w:r>
        <w:rPr>
          <w:color w:val="000000" w:themeColor="text1"/>
        </w:rPr>
        <w:t xml:space="preserve"> </w:t>
      </w:r>
      <w:r w:rsidRPr="00C16037">
        <w:rPr>
          <w:color w:val="000000" w:themeColor="text1"/>
        </w:rPr>
        <w:t>the</w:t>
      </w:r>
      <w:r>
        <w:rPr>
          <w:color w:val="000000" w:themeColor="text1"/>
        </w:rPr>
        <w:t xml:space="preserve"> </w:t>
      </w:r>
      <w:r w:rsidRPr="00C16037">
        <w:rPr>
          <w:color w:val="000000" w:themeColor="text1"/>
        </w:rPr>
        <w:t>Human</w:t>
      </w:r>
      <w:r>
        <w:rPr>
          <w:color w:val="000000" w:themeColor="text1"/>
        </w:rPr>
        <w:t xml:space="preserve"> </w:t>
      </w:r>
      <w:r w:rsidRPr="00C16037">
        <w:rPr>
          <w:color w:val="000000" w:themeColor="text1"/>
        </w:rPr>
        <w:t>Rights</w:t>
      </w:r>
      <w:r>
        <w:rPr>
          <w:color w:val="000000" w:themeColor="text1"/>
        </w:rPr>
        <w:t xml:space="preserve"> </w:t>
      </w:r>
      <w:r w:rsidRPr="00C16037">
        <w:rPr>
          <w:color w:val="000000" w:themeColor="text1"/>
        </w:rPr>
        <w:t>Council</w:t>
      </w:r>
      <w:r>
        <w:rPr>
          <w:color w:val="000000" w:themeColor="text1"/>
        </w:rPr>
        <w:t xml:space="preserve"> </w:t>
      </w:r>
      <w:r w:rsidRPr="00C16037">
        <w:rPr>
          <w:color w:val="000000" w:themeColor="text1"/>
        </w:rPr>
        <w:t>at</w:t>
      </w:r>
      <w:r>
        <w:rPr>
          <w:color w:val="000000" w:themeColor="text1"/>
        </w:rPr>
        <w:t xml:space="preserve"> </w:t>
      </w:r>
      <w:r w:rsidRPr="00C16037">
        <w:rPr>
          <w:color w:val="000000" w:themeColor="text1"/>
        </w:rPr>
        <w:t>its</w:t>
      </w:r>
      <w:r>
        <w:rPr>
          <w:color w:val="000000" w:themeColor="text1"/>
        </w:rPr>
        <w:t xml:space="preserve"> fortieth </w:t>
      </w:r>
      <w:r w:rsidRPr="00C16037">
        <w:rPr>
          <w:color w:val="000000" w:themeColor="text1"/>
        </w:rPr>
        <w:t>session</w:t>
      </w:r>
    </w:p>
    <w:p w14:paraId="117DF6CE" w14:textId="77777777" w:rsidR="002139E4" w:rsidRPr="00AD3C21" w:rsidRDefault="002139E4" w:rsidP="002139E4">
      <w:pPr>
        <w:pStyle w:val="SingleTxtG"/>
        <w:rPr>
          <w:b/>
          <w:sz w:val="20"/>
          <w:szCs w:val="20"/>
          <w:lang w:val="es-ES"/>
        </w:rPr>
      </w:pPr>
      <w:r w:rsidRPr="00AD3C21">
        <w:rPr>
          <w:b/>
          <w:sz w:val="20"/>
          <w:szCs w:val="20"/>
          <w:lang w:val="es-ES"/>
        </w:rPr>
        <w:tab/>
        <w:t>Expert Mechanism on the Rights of Indigenous Peoples (EMRIP) (member from African States)</w:t>
      </w:r>
    </w:p>
    <w:p w14:paraId="2871F7CE" w14:textId="77777777" w:rsidR="002139E4" w:rsidRPr="00AD3C21" w:rsidRDefault="002139E4" w:rsidP="002139E4">
      <w:pPr>
        <w:pStyle w:val="SingleTxtG"/>
        <w:rPr>
          <w:sz w:val="20"/>
          <w:szCs w:val="20"/>
          <w:lang w:val="es-ES"/>
        </w:rPr>
      </w:pPr>
      <w:r w:rsidRPr="00AD3C21">
        <w:rPr>
          <w:sz w:val="20"/>
          <w:szCs w:val="20"/>
          <w:lang w:val="es-ES"/>
        </w:rPr>
        <w:t xml:space="preserve">Belkacem Lounes </w:t>
      </w:r>
      <w:r>
        <w:rPr>
          <w:sz w:val="20"/>
          <w:szCs w:val="20"/>
          <w:lang w:val="es-ES"/>
        </w:rPr>
        <w:t>(Algeria)</w:t>
      </w:r>
    </w:p>
    <w:p w14:paraId="373C71CD" w14:textId="77777777" w:rsidR="002139E4" w:rsidRPr="00AD3C21" w:rsidRDefault="002139E4" w:rsidP="002139E4">
      <w:pPr>
        <w:pStyle w:val="SingleTxtG"/>
        <w:rPr>
          <w:b/>
          <w:sz w:val="20"/>
          <w:szCs w:val="20"/>
          <w:lang w:val="es-ES"/>
        </w:rPr>
      </w:pPr>
      <w:r w:rsidRPr="00AD3C21">
        <w:rPr>
          <w:b/>
          <w:sz w:val="20"/>
          <w:szCs w:val="20"/>
          <w:lang w:val="es-ES"/>
        </w:rPr>
        <w:t>Expert Mechanism on the Rights of Indigenous Peoples (EMRIP) (member from Central and Eastern Europe, the Russian Federation, Central Asia and Transcaucasia)</w:t>
      </w:r>
    </w:p>
    <w:p w14:paraId="24E6A8C1" w14:textId="77777777" w:rsidR="002139E4" w:rsidRPr="00AD3C21" w:rsidRDefault="002139E4" w:rsidP="002139E4">
      <w:pPr>
        <w:pStyle w:val="SingleTxtG"/>
        <w:rPr>
          <w:sz w:val="20"/>
          <w:szCs w:val="20"/>
          <w:lang w:val="es-ES"/>
        </w:rPr>
      </w:pPr>
      <w:r w:rsidRPr="00AD3C21">
        <w:rPr>
          <w:sz w:val="20"/>
          <w:szCs w:val="20"/>
          <w:lang w:val="es-ES"/>
        </w:rPr>
        <w:t xml:space="preserve">Rodion Sulyandziga </w:t>
      </w:r>
      <w:r>
        <w:rPr>
          <w:sz w:val="20"/>
          <w:szCs w:val="20"/>
          <w:lang w:val="es-ES"/>
        </w:rPr>
        <w:t>(the Russian Federation)</w:t>
      </w:r>
    </w:p>
    <w:p w14:paraId="3FE4C171" w14:textId="77777777" w:rsidR="002139E4" w:rsidRPr="00AD3C21" w:rsidRDefault="002139E4" w:rsidP="002139E4">
      <w:pPr>
        <w:pStyle w:val="SingleTxtG"/>
        <w:rPr>
          <w:b/>
          <w:sz w:val="20"/>
          <w:szCs w:val="20"/>
          <w:lang w:val="es-ES"/>
        </w:rPr>
      </w:pPr>
      <w:r w:rsidRPr="00AD3C21">
        <w:rPr>
          <w:b/>
          <w:sz w:val="20"/>
          <w:szCs w:val="20"/>
          <w:lang w:val="es-ES"/>
        </w:rPr>
        <w:t>Expert Mechanism on the Rights of Indigenous Peoples (EMRIP) (member from Central and South America, and the Caribbean)</w:t>
      </w:r>
    </w:p>
    <w:p w14:paraId="45DDD0E9" w14:textId="77777777" w:rsidR="002139E4" w:rsidRPr="00AD3C21" w:rsidRDefault="002139E4" w:rsidP="002139E4">
      <w:pPr>
        <w:pStyle w:val="SingleTxtG"/>
        <w:rPr>
          <w:sz w:val="20"/>
          <w:szCs w:val="20"/>
          <w:lang w:val="es-ES"/>
        </w:rPr>
      </w:pPr>
      <w:r w:rsidRPr="00AD3C21">
        <w:rPr>
          <w:sz w:val="20"/>
          <w:szCs w:val="20"/>
          <w:lang w:val="es-ES"/>
        </w:rPr>
        <w:t xml:space="preserve">Erika Yamada </w:t>
      </w:r>
      <w:r>
        <w:rPr>
          <w:sz w:val="20"/>
          <w:szCs w:val="20"/>
          <w:lang w:val="es-ES"/>
        </w:rPr>
        <w:t>(Brazil)</w:t>
      </w:r>
    </w:p>
    <w:p w14:paraId="69A451B6" w14:textId="77777777" w:rsidR="002139E4" w:rsidRPr="00AD3C21" w:rsidRDefault="002139E4" w:rsidP="002139E4">
      <w:pPr>
        <w:pStyle w:val="SingleTxtG"/>
        <w:rPr>
          <w:b/>
          <w:sz w:val="20"/>
          <w:szCs w:val="20"/>
          <w:lang w:val="es-ES"/>
        </w:rPr>
      </w:pPr>
      <w:r w:rsidRPr="00AD3C21">
        <w:rPr>
          <w:b/>
          <w:sz w:val="20"/>
          <w:szCs w:val="20"/>
          <w:lang w:val="es-ES"/>
        </w:rPr>
        <w:t>Expert Mechanism on the Rights of Indigenous Peoples (EMRIP) (member from the Pacific States)</w:t>
      </w:r>
    </w:p>
    <w:p w14:paraId="5FDF8F81" w14:textId="77777777" w:rsidR="002139E4" w:rsidRPr="00AD3C21" w:rsidRDefault="002139E4" w:rsidP="002139E4">
      <w:pPr>
        <w:pStyle w:val="SingleTxtG"/>
        <w:rPr>
          <w:sz w:val="20"/>
          <w:szCs w:val="20"/>
          <w:lang w:val="es-ES"/>
        </w:rPr>
      </w:pPr>
      <w:r w:rsidRPr="00AD3C21">
        <w:rPr>
          <w:sz w:val="20"/>
          <w:szCs w:val="20"/>
          <w:lang w:val="es-ES"/>
        </w:rPr>
        <w:t xml:space="preserve">Megan Davis </w:t>
      </w:r>
      <w:r>
        <w:rPr>
          <w:sz w:val="20"/>
          <w:szCs w:val="20"/>
          <w:lang w:val="es-ES"/>
        </w:rPr>
        <w:t>(Australia)</w:t>
      </w:r>
    </w:p>
    <w:p w14:paraId="1E912048" w14:textId="77777777" w:rsidR="002139E4" w:rsidRPr="00F25617" w:rsidRDefault="002139E4" w:rsidP="002139E4">
      <w:pPr>
        <w:spacing w:before="240" w:line="240" w:lineRule="exact"/>
        <w:jc w:val="center"/>
        <w:rPr>
          <w:color w:val="000000" w:themeColor="text1"/>
          <w:u w:val="single"/>
        </w:rPr>
      </w:pPr>
      <w:r w:rsidRPr="00F25617">
        <w:rPr>
          <w:color w:val="000000" w:themeColor="text1"/>
          <w:u w:val="single"/>
        </w:rPr>
        <w:tab/>
      </w:r>
      <w:r w:rsidRPr="00F25617">
        <w:rPr>
          <w:color w:val="000000" w:themeColor="text1"/>
          <w:u w:val="single"/>
        </w:rPr>
        <w:tab/>
      </w:r>
      <w:r w:rsidRPr="00F25617">
        <w:rPr>
          <w:color w:val="000000" w:themeColor="text1"/>
          <w:u w:val="single"/>
        </w:rPr>
        <w:tab/>
      </w:r>
    </w:p>
    <w:p w14:paraId="4E791445" w14:textId="77777777" w:rsidR="00F379B0" w:rsidRPr="002139E4" w:rsidRDefault="00F379B0" w:rsidP="00F379B0"/>
    <w:p w14:paraId="2BC24F0E" w14:textId="210AABD1" w:rsidR="00F379B0" w:rsidRDefault="00F379B0" w:rsidP="00F379B0"/>
    <w:p w14:paraId="316E3B68" w14:textId="77777777" w:rsidR="00F379B0" w:rsidRPr="00F379B0" w:rsidRDefault="00F379B0" w:rsidP="00F379B0">
      <w:pPr>
        <w:sectPr w:rsidR="00F379B0" w:rsidRPr="00F379B0" w:rsidSect="00F379B0">
          <w:endnotePr>
            <w:numFmt w:val="decimal"/>
          </w:endnotePr>
          <w:type w:val="continuous"/>
          <w:pgSz w:w="11907" w:h="16840" w:code="9"/>
          <w:pgMar w:top="1701" w:right="1134" w:bottom="2268" w:left="1134" w:header="1134" w:footer="1701" w:gutter="0"/>
          <w:cols w:space="720"/>
        </w:sectPr>
      </w:pPr>
    </w:p>
    <w:p w14:paraId="5C19D5FD" w14:textId="5275BE29" w:rsidR="00F379B0" w:rsidRDefault="00E567A1" w:rsidP="007969F7">
      <w:pPr>
        <w:pStyle w:val="H1G"/>
        <w:rPr>
          <w:b w:val="0"/>
        </w:rPr>
      </w:pPr>
      <w:r>
        <w:tab/>
      </w:r>
      <w:r>
        <w:tab/>
      </w:r>
    </w:p>
    <w:sectPr w:rsidR="00F379B0" w:rsidSect="007969F7">
      <w:endnotePr>
        <w:numFmt w:val="decimal"/>
      </w:endnotePr>
      <w:type w:val="continuous"/>
      <w:pgSz w:w="11907" w:h="16840" w:code="9"/>
      <w:pgMar w:top="1701" w:right="1134" w:bottom="2268" w:left="2268" w:header="1134" w:footer="1701" w:gutter="0"/>
      <w:cols w:num="2" w: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E5742" w14:textId="77777777" w:rsidR="001A259A" w:rsidRDefault="001A259A">
      <w:r>
        <w:separator/>
      </w:r>
    </w:p>
  </w:endnote>
  <w:endnote w:type="continuationSeparator" w:id="0">
    <w:p w14:paraId="197AF967" w14:textId="77777777" w:rsidR="001A259A" w:rsidRDefault="001A259A">
      <w:r>
        <w:continuationSeparator/>
      </w:r>
    </w:p>
  </w:endnote>
  <w:endnote w:type="continuationNotice" w:id="1">
    <w:p w14:paraId="1DA6BC33" w14:textId="77777777" w:rsidR="001A259A" w:rsidRDefault="001A2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9A0CE" w14:textId="707B9A80" w:rsidR="001A259A" w:rsidRPr="00655138" w:rsidRDefault="001A259A" w:rsidP="00DC45CD">
    <w:pPr>
      <w:pStyle w:val="Footer"/>
      <w:tabs>
        <w:tab w:val="right" w:pos="9598"/>
      </w:tabs>
    </w:pPr>
    <w:r>
      <w:rPr>
        <w:rStyle w:val="PageNumber"/>
      </w:rPr>
      <w:fldChar w:fldCharType="begin"/>
    </w:r>
    <w:r>
      <w:rPr>
        <w:rStyle w:val="PageNumber"/>
      </w:rPr>
      <w:instrText xml:space="preserve"> PAGE </w:instrText>
    </w:r>
    <w:r>
      <w:rPr>
        <w:rStyle w:val="PageNumber"/>
      </w:rPr>
      <w:fldChar w:fldCharType="separate"/>
    </w:r>
    <w:r w:rsidR="00CF15B1">
      <w:rPr>
        <w:rStyle w:val="PageNumber"/>
        <w:noProof/>
      </w:rPr>
      <w:t>42</w:t>
    </w:r>
    <w:r>
      <w:rPr>
        <w:rStyle w:val="PageNumber"/>
      </w:rPr>
      <w:fldChar w:fldCharType="end"/>
    </w:r>
    <w:r>
      <w:tab/>
    </w:r>
  </w:p>
  <w:p w14:paraId="1DDF362B" w14:textId="77777777" w:rsidR="001A259A" w:rsidRDefault="001A259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EF415" w14:textId="4D7CCEFD" w:rsidR="001A259A" w:rsidRPr="0072458E" w:rsidRDefault="001A259A" w:rsidP="00DC45CD">
    <w:pPr>
      <w:pStyle w:val="Footer"/>
      <w:tabs>
        <w:tab w:val="right" w:pos="9598"/>
      </w:tabs>
      <w:rPr>
        <w:b/>
        <w:sz w:val="18"/>
      </w:rPr>
    </w:pPr>
    <w:r>
      <w:tab/>
    </w:r>
    <w:r w:rsidRPr="0072458E">
      <w:rPr>
        <w:b/>
        <w:sz w:val="18"/>
      </w:rPr>
      <w:fldChar w:fldCharType="begin"/>
    </w:r>
    <w:r w:rsidRPr="0072458E">
      <w:rPr>
        <w:b/>
        <w:sz w:val="18"/>
      </w:rPr>
      <w:instrText xml:space="preserve"> PAGE  \* MERGEFORMAT </w:instrText>
    </w:r>
    <w:r w:rsidRPr="0072458E">
      <w:rPr>
        <w:b/>
        <w:sz w:val="18"/>
      </w:rPr>
      <w:fldChar w:fldCharType="separate"/>
    </w:r>
    <w:r w:rsidR="00CF15B1">
      <w:rPr>
        <w:b/>
        <w:noProof/>
        <w:sz w:val="18"/>
      </w:rPr>
      <w:t>43</w:t>
    </w:r>
    <w:r w:rsidRPr="0072458E">
      <w:rPr>
        <w:b/>
        <w:sz w:val="18"/>
      </w:rPr>
      <w:fldChar w:fldCharType="end"/>
    </w:r>
  </w:p>
  <w:p w14:paraId="41BFEAC4" w14:textId="77777777" w:rsidR="001A259A" w:rsidRDefault="001A259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CF178" w14:textId="65597501" w:rsidR="001A259A" w:rsidRPr="00357245" w:rsidRDefault="001A259A">
    <w:pPr>
      <w:pStyle w:val="Footer"/>
      <w:jc w:val="right"/>
      <w:rPr>
        <w:rStyle w:val="PageNumber"/>
        <w:noProof/>
      </w:rPr>
    </w:pPr>
  </w:p>
  <w:p w14:paraId="76BB0CB8" w14:textId="77777777" w:rsidR="001A259A" w:rsidRDefault="001A25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7A972" w14:textId="57EB2249" w:rsidR="001A259A" w:rsidRPr="0072458E" w:rsidRDefault="001A259A" w:rsidP="00DC45CD">
    <w:pPr>
      <w:pStyle w:val="Footer"/>
      <w:tabs>
        <w:tab w:val="right" w:pos="9598"/>
      </w:tabs>
      <w:rPr>
        <w:b/>
        <w:sz w:val="18"/>
      </w:rPr>
    </w:pPr>
    <w:r>
      <w:tab/>
    </w:r>
    <w:r w:rsidRPr="0072458E">
      <w:rPr>
        <w:b/>
        <w:sz w:val="18"/>
      </w:rPr>
      <w:fldChar w:fldCharType="begin"/>
    </w:r>
    <w:r w:rsidRPr="0072458E">
      <w:rPr>
        <w:b/>
        <w:sz w:val="18"/>
      </w:rPr>
      <w:instrText xml:space="preserve"> PAGE  \* MERGEFORMAT </w:instrText>
    </w:r>
    <w:r w:rsidRPr="0072458E">
      <w:rPr>
        <w:b/>
        <w:sz w:val="18"/>
      </w:rPr>
      <w:fldChar w:fldCharType="separate"/>
    </w:r>
    <w:r w:rsidR="00CF15B1">
      <w:rPr>
        <w:b/>
        <w:noProof/>
        <w:sz w:val="18"/>
      </w:rPr>
      <w:t>199</w:t>
    </w:r>
    <w:r w:rsidRPr="0072458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43167" w14:textId="77777777" w:rsidR="001A259A" w:rsidRDefault="001A259A">
      <w:r>
        <w:separator/>
      </w:r>
    </w:p>
  </w:footnote>
  <w:footnote w:type="continuationSeparator" w:id="0">
    <w:p w14:paraId="360A0BC3" w14:textId="77777777" w:rsidR="001A259A" w:rsidRDefault="001A259A">
      <w:r>
        <w:continuationSeparator/>
      </w:r>
    </w:p>
  </w:footnote>
  <w:footnote w:type="continuationNotice" w:id="1">
    <w:p w14:paraId="332DF086" w14:textId="77777777" w:rsidR="001A259A" w:rsidRDefault="001A259A"/>
  </w:footnote>
  <w:footnote w:id="2">
    <w:p w14:paraId="5C72078C" w14:textId="68F80380" w:rsidR="001A259A" w:rsidRDefault="001A259A" w:rsidP="00AB550D">
      <w:pPr>
        <w:pStyle w:val="FootnoteText"/>
        <w:widowControl w:val="0"/>
        <w:tabs>
          <w:tab w:val="clear" w:pos="1021"/>
          <w:tab w:val="right" w:pos="1020"/>
        </w:tabs>
        <w:suppressAutoHyphens/>
      </w:pPr>
      <w:r>
        <w:tab/>
      </w:r>
      <w:r>
        <w:rPr>
          <w:rStyle w:val="FootnoteReference"/>
        </w:rPr>
        <w:footnoteRef/>
      </w:r>
      <w:r>
        <w:tab/>
        <w:t xml:space="preserve"> </w:t>
      </w:r>
      <w:r w:rsidRPr="00AB550D">
        <w:t>Observer of the Human Rights Council speaking on behalf of Member and observer States.</w:t>
      </w:r>
    </w:p>
  </w:footnote>
  <w:footnote w:id="3">
    <w:p w14:paraId="30E97DAA" w14:textId="002747CD" w:rsidR="001A259A" w:rsidRDefault="001A259A" w:rsidP="00AB550D">
      <w:pPr>
        <w:pStyle w:val="FootnoteText"/>
        <w:widowControl w:val="0"/>
        <w:tabs>
          <w:tab w:val="clear" w:pos="1021"/>
          <w:tab w:val="right" w:pos="1020"/>
        </w:tabs>
        <w:suppressAutoHyphens/>
      </w:pPr>
      <w:r>
        <w:tab/>
      </w:r>
      <w:r>
        <w:rPr>
          <w:rStyle w:val="FootnoteReference"/>
        </w:rPr>
        <w:footnoteRef/>
      </w:r>
      <w:r>
        <w:tab/>
        <w:t xml:space="preserve"> </w:t>
      </w:r>
      <w:r w:rsidRPr="00AB550D">
        <w:t>Observer of the Human Rights Council speaking on behalf of Member and observer States.</w:t>
      </w:r>
    </w:p>
  </w:footnote>
  <w:footnote w:id="4">
    <w:p w14:paraId="4A079E4D" w14:textId="30372F09" w:rsidR="001A259A" w:rsidRDefault="001A259A" w:rsidP="00AB550D">
      <w:pPr>
        <w:pStyle w:val="FootnoteText"/>
        <w:widowControl w:val="0"/>
        <w:tabs>
          <w:tab w:val="clear" w:pos="1021"/>
          <w:tab w:val="right" w:pos="1020"/>
        </w:tabs>
        <w:suppressAutoHyphens/>
      </w:pPr>
      <w:r>
        <w:tab/>
      </w:r>
      <w:r>
        <w:rPr>
          <w:rStyle w:val="FootnoteReference"/>
        </w:rPr>
        <w:footnoteRef/>
      </w:r>
      <w:r>
        <w:tab/>
        <w:t xml:space="preserve"> </w:t>
      </w:r>
      <w:r w:rsidRPr="00AB550D">
        <w:t>Observer of the Human Rights Council speaking on behalf of Member and observer States.</w:t>
      </w:r>
    </w:p>
  </w:footnote>
  <w:footnote w:id="5">
    <w:p w14:paraId="3F7B6806" w14:textId="173EEA5E" w:rsidR="001A259A" w:rsidRDefault="001A259A" w:rsidP="00AB550D">
      <w:pPr>
        <w:pStyle w:val="FootnoteText"/>
        <w:widowControl w:val="0"/>
        <w:tabs>
          <w:tab w:val="clear" w:pos="1021"/>
          <w:tab w:val="right" w:pos="1020"/>
        </w:tabs>
        <w:suppressAutoHyphens/>
      </w:pPr>
      <w:r>
        <w:tab/>
      </w:r>
      <w:r>
        <w:rPr>
          <w:rStyle w:val="FootnoteReference"/>
        </w:rPr>
        <w:footnoteRef/>
      </w:r>
      <w:r>
        <w:tab/>
      </w:r>
      <w:r w:rsidRPr="00AB550D">
        <w:t>The proceedings of the fortieth session of the Human Rights Council can be followed through the United Nations archived Webcasts of the Council sessions (http://webtv.un.org).</w:t>
      </w:r>
    </w:p>
  </w:footnote>
  <w:footnote w:id="6">
    <w:p w14:paraId="274F6DC8" w14:textId="314D20B9" w:rsidR="001A259A" w:rsidRDefault="001A259A" w:rsidP="00AB550D">
      <w:pPr>
        <w:pStyle w:val="FootnoteText"/>
        <w:widowControl w:val="0"/>
        <w:tabs>
          <w:tab w:val="clear" w:pos="1021"/>
          <w:tab w:val="right" w:pos="1020"/>
        </w:tabs>
        <w:suppressAutoHyphens/>
      </w:pPr>
      <w:r>
        <w:tab/>
      </w:r>
      <w:r>
        <w:rPr>
          <w:rStyle w:val="FootnoteReference"/>
        </w:rPr>
        <w:footnoteRef/>
      </w:r>
      <w:r>
        <w:tab/>
      </w:r>
      <w:r w:rsidRPr="00AB550D">
        <w:t>Observer of the Human Rights Council speaking on behalf of Member and observer States.</w:t>
      </w:r>
    </w:p>
  </w:footnote>
  <w:footnote w:id="7">
    <w:p w14:paraId="1AEA2377" w14:textId="3DA04001" w:rsidR="001A259A" w:rsidRDefault="001A259A" w:rsidP="00AB550D">
      <w:pPr>
        <w:pStyle w:val="FootnoteText"/>
        <w:widowControl w:val="0"/>
        <w:tabs>
          <w:tab w:val="clear" w:pos="1021"/>
          <w:tab w:val="right" w:pos="1020"/>
        </w:tabs>
        <w:suppressAutoHyphens/>
      </w:pPr>
      <w:r>
        <w:tab/>
      </w:r>
      <w:r>
        <w:rPr>
          <w:rStyle w:val="FootnoteReference"/>
        </w:rPr>
        <w:footnoteRef/>
      </w:r>
      <w:r>
        <w:tab/>
      </w:r>
      <w:r w:rsidRPr="00AB550D">
        <w:t>Observer of the Human Rights Council speaking on behalf of Member and observer States.</w:t>
      </w:r>
      <w:r>
        <w:t xml:space="preserve"> </w:t>
      </w:r>
    </w:p>
  </w:footnote>
  <w:footnote w:id="8">
    <w:p w14:paraId="2005B5C1" w14:textId="66A334CA" w:rsidR="001A259A" w:rsidRDefault="001A259A" w:rsidP="00AB550D">
      <w:pPr>
        <w:pStyle w:val="FootnoteText"/>
        <w:widowControl w:val="0"/>
        <w:tabs>
          <w:tab w:val="clear" w:pos="1021"/>
          <w:tab w:val="right" w:pos="1020"/>
        </w:tabs>
        <w:suppressAutoHyphens/>
      </w:pPr>
      <w:r>
        <w:tab/>
      </w:r>
      <w:r>
        <w:rPr>
          <w:rStyle w:val="FootnoteReference"/>
        </w:rPr>
        <w:footnoteRef/>
      </w:r>
      <w:r>
        <w:tab/>
      </w:r>
      <w:r w:rsidRPr="00AB550D">
        <w:t>Observer of the Human Rights Council speaking on behalf of Member and observer States.</w:t>
      </w:r>
    </w:p>
  </w:footnote>
  <w:footnote w:id="9">
    <w:p w14:paraId="49935851" w14:textId="68C21D58" w:rsidR="001A259A" w:rsidRDefault="001A259A" w:rsidP="00AB550D">
      <w:pPr>
        <w:pStyle w:val="FootnoteText"/>
        <w:widowControl w:val="0"/>
        <w:tabs>
          <w:tab w:val="clear" w:pos="1021"/>
          <w:tab w:val="right" w:pos="1020"/>
        </w:tabs>
        <w:suppressAutoHyphens/>
      </w:pPr>
      <w:r>
        <w:tab/>
      </w:r>
      <w:r>
        <w:rPr>
          <w:rStyle w:val="FootnoteReference"/>
        </w:rPr>
        <w:footnoteRef/>
      </w:r>
      <w:r>
        <w:tab/>
      </w:r>
      <w:r w:rsidRPr="00AB550D">
        <w:t>Observer of the Human Rights Council speaking on behalf of Member and observer States.</w:t>
      </w:r>
    </w:p>
  </w:footnote>
  <w:footnote w:id="10">
    <w:p w14:paraId="5B7C267E" w14:textId="150FE71E" w:rsidR="001A259A" w:rsidRDefault="001A259A" w:rsidP="00AB550D">
      <w:pPr>
        <w:pStyle w:val="FootnoteText"/>
        <w:widowControl w:val="0"/>
        <w:tabs>
          <w:tab w:val="clear" w:pos="1021"/>
          <w:tab w:val="right" w:pos="1020"/>
        </w:tabs>
        <w:suppressAutoHyphens/>
      </w:pPr>
      <w:r>
        <w:tab/>
      </w:r>
      <w:r>
        <w:rPr>
          <w:rStyle w:val="FootnoteReference"/>
        </w:rPr>
        <w:footnoteRef/>
      </w:r>
      <w:r>
        <w:tab/>
      </w:r>
      <w:r w:rsidRPr="00AB550D">
        <w:t>Observer of the Human Rights Council speaking on behalf of Member and observer States.</w:t>
      </w:r>
    </w:p>
  </w:footnote>
  <w:footnote w:id="11">
    <w:p w14:paraId="4373C412" w14:textId="289F87D8" w:rsidR="001A259A" w:rsidRDefault="001A259A" w:rsidP="00AB550D">
      <w:pPr>
        <w:pStyle w:val="FootnoteText"/>
        <w:widowControl w:val="0"/>
        <w:tabs>
          <w:tab w:val="clear" w:pos="1021"/>
          <w:tab w:val="right" w:pos="1020"/>
        </w:tabs>
        <w:suppressAutoHyphens/>
      </w:pPr>
      <w:r>
        <w:tab/>
      </w:r>
      <w:r>
        <w:rPr>
          <w:rStyle w:val="FootnoteReference"/>
        </w:rPr>
        <w:footnoteRef/>
      </w:r>
      <w:r>
        <w:tab/>
      </w:r>
      <w:r w:rsidRPr="00AB550D">
        <w:t>Observer of the Human Rights Council speaking on behalf of Member and observer States.</w:t>
      </w:r>
    </w:p>
  </w:footnote>
  <w:footnote w:id="12">
    <w:p w14:paraId="3AC99646" w14:textId="0188092E" w:rsidR="001A259A" w:rsidRDefault="001A259A" w:rsidP="007E79C8">
      <w:pPr>
        <w:pStyle w:val="FootnoteText"/>
        <w:widowControl w:val="0"/>
        <w:tabs>
          <w:tab w:val="clear" w:pos="1021"/>
          <w:tab w:val="right" w:pos="1020"/>
        </w:tabs>
        <w:suppressAutoHyphens/>
      </w:pPr>
      <w:r>
        <w:tab/>
      </w:r>
      <w:r>
        <w:rPr>
          <w:rStyle w:val="FootnoteReference"/>
        </w:rPr>
        <w:footnoteRef/>
      </w:r>
      <w:r>
        <w:tab/>
      </w:r>
      <w:r w:rsidRPr="007E79C8">
        <w:t>The representative of Togo subsequently stated that there had been an error in the delegation</w:t>
      </w:r>
      <w:r>
        <w:t>’</w:t>
      </w:r>
      <w:r w:rsidRPr="007E79C8">
        <w:t>s vote and that it had intended to vote against.</w:t>
      </w:r>
    </w:p>
  </w:footnote>
  <w:footnote w:id="13">
    <w:p w14:paraId="134A22C6" w14:textId="114CA2D2" w:rsidR="001A259A" w:rsidRDefault="001A259A" w:rsidP="007E79C8">
      <w:pPr>
        <w:pStyle w:val="FootnoteText"/>
        <w:widowControl w:val="0"/>
        <w:tabs>
          <w:tab w:val="clear" w:pos="1021"/>
          <w:tab w:val="right" w:pos="1020"/>
        </w:tabs>
        <w:suppressAutoHyphens/>
      </w:pPr>
      <w:r>
        <w:tab/>
      </w:r>
      <w:r>
        <w:rPr>
          <w:rStyle w:val="FootnoteReference"/>
        </w:rPr>
        <w:footnoteRef/>
      </w:r>
      <w:r>
        <w:tab/>
      </w:r>
      <w:r w:rsidRPr="007E79C8">
        <w:t>The delegation of Cameroon did not cast a vote.</w:t>
      </w:r>
    </w:p>
  </w:footnote>
  <w:footnote w:id="14">
    <w:p w14:paraId="4392CE18" w14:textId="3BE11CFA" w:rsidR="001A259A" w:rsidRDefault="001A259A" w:rsidP="007E79C8">
      <w:pPr>
        <w:pStyle w:val="FootnoteText"/>
        <w:widowControl w:val="0"/>
        <w:tabs>
          <w:tab w:val="clear" w:pos="1021"/>
          <w:tab w:val="right" w:pos="1020"/>
        </w:tabs>
        <w:suppressAutoHyphens/>
      </w:pPr>
      <w:r>
        <w:tab/>
      </w:r>
      <w:r>
        <w:rPr>
          <w:rStyle w:val="FootnoteReference"/>
        </w:rPr>
        <w:footnoteRef/>
      </w:r>
      <w:r>
        <w:tab/>
      </w:r>
      <w:r w:rsidRPr="007E79C8">
        <w:t>Observer of the Human Rights Council speaking on behalf of Member and observer States.</w:t>
      </w:r>
    </w:p>
  </w:footnote>
  <w:footnote w:id="15">
    <w:p w14:paraId="786421DE" w14:textId="0F2218B8" w:rsidR="001A259A" w:rsidRDefault="001A259A" w:rsidP="007E79C8">
      <w:pPr>
        <w:pStyle w:val="FootnoteText"/>
        <w:widowControl w:val="0"/>
        <w:tabs>
          <w:tab w:val="clear" w:pos="1021"/>
          <w:tab w:val="right" w:pos="1020"/>
        </w:tabs>
        <w:suppressAutoHyphens/>
      </w:pPr>
      <w:r>
        <w:tab/>
      </w:r>
      <w:r>
        <w:rPr>
          <w:rStyle w:val="FootnoteReference"/>
        </w:rPr>
        <w:footnoteRef/>
      </w:r>
      <w:r>
        <w:tab/>
      </w:r>
      <w:r w:rsidRPr="007E79C8">
        <w:t>Observer of the Human Rights Council speaking on behalf of Member and observer States.</w:t>
      </w:r>
    </w:p>
  </w:footnote>
  <w:footnote w:id="16">
    <w:p w14:paraId="71FAE17A" w14:textId="73E73D04" w:rsidR="001A259A" w:rsidRDefault="001A259A" w:rsidP="007E79C8">
      <w:pPr>
        <w:pStyle w:val="FootnoteText"/>
        <w:widowControl w:val="0"/>
        <w:tabs>
          <w:tab w:val="clear" w:pos="1021"/>
          <w:tab w:val="right" w:pos="1020"/>
        </w:tabs>
        <w:suppressAutoHyphens/>
      </w:pPr>
      <w:r>
        <w:tab/>
      </w:r>
      <w:r>
        <w:rPr>
          <w:rStyle w:val="FootnoteReference"/>
        </w:rPr>
        <w:footnoteRef/>
      </w:r>
      <w:r>
        <w:tab/>
      </w:r>
      <w:r w:rsidRPr="007E79C8">
        <w:t>Observer of the Human Rights Council speaking on behalf of Member and observer States.</w:t>
      </w:r>
    </w:p>
  </w:footnote>
  <w:footnote w:id="17">
    <w:p w14:paraId="37BEA4EE" w14:textId="5FB7747E" w:rsidR="001A259A" w:rsidRDefault="001A259A" w:rsidP="007E79C8">
      <w:pPr>
        <w:pStyle w:val="FootnoteText"/>
        <w:widowControl w:val="0"/>
        <w:tabs>
          <w:tab w:val="clear" w:pos="1021"/>
          <w:tab w:val="right" w:pos="1020"/>
        </w:tabs>
        <w:suppressAutoHyphens/>
      </w:pPr>
      <w:r>
        <w:tab/>
      </w:r>
      <w:r>
        <w:rPr>
          <w:rStyle w:val="FootnoteReference"/>
        </w:rPr>
        <w:footnoteRef/>
      </w:r>
      <w:r>
        <w:tab/>
      </w:r>
      <w:r w:rsidRPr="007E79C8">
        <w:t>Observer of the Human Rights Council speaking on behalf of Member and observer States.</w:t>
      </w:r>
      <w:r>
        <w:t xml:space="preserve"> </w:t>
      </w:r>
    </w:p>
  </w:footnote>
  <w:footnote w:id="18">
    <w:p w14:paraId="0A2019BF" w14:textId="05F2479A" w:rsidR="001A259A" w:rsidRDefault="001A259A" w:rsidP="007E79C8">
      <w:pPr>
        <w:pStyle w:val="FootnoteText"/>
        <w:widowControl w:val="0"/>
        <w:tabs>
          <w:tab w:val="clear" w:pos="1021"/>
          <w:tab w:val="right" w:pos="1020"/>
        </w:tabs>
        <w:suppressAutoHyphens/>
      </w:pPr>
      <w:r>
        <w:tab/>
      </w:r>
      <w:r>
        <w:rPr>
          <w:rStyle w:val="FootnoteReference"/>
        </w:rPr>
        <w:footnoteRef/>
      </w:r>
      <w:r>
        <w:tab/>
      </w:r>
      <w:r w:rsidRPr="007E79C8">
        <w:t>Observer of the Human Rights Council speaking on behalf of Member and observer States.</w:t>
      </w:r>
      <w:r>
        <w:t xml:space="preserve"> </w:t>
      </w:r>
    </w:p>
  </w:footnote>
  <w:footnote w:id="19">
    <w:p w14:paraId="4A6C6409" w14:textId="0CEFE02E" w:rsidR="001A259A" w:rsidRDefault="001A259A" w:rsidP="007E79C8">
      <w:pPr>
        <w:pStyle w:val="FootnoteText"/>
        <w:widowControl w:val="0"/>
        <w:tabs>
          <w:tab w:val="clear" w:pos="1021"/>
          <w:tab w:val="right" w:pos="1020"/>
        </w:tabs>
        <w:suppressAutoHyphens/>
      </w:pPr>
      <w:r>
        <w:tab/>
      </w:r>
      <w:r>
        <w:rPr>
          <w:rStyle w:val="FootnoteReference"/>
        </w:rPr>
        <w:footnoteRef/>
      </w:r>
      <w:r>
        <w:tab/>
      </w:r>
      <w:r w:rsidRPr="007E79C8">
        <w:t>Observer of the Human Rights Council speaking on behalf of Member and observer States.</w:t>
      </w:r>
      <w:r>
        <w:t xml:space="preserve"> </w:t>
      </w:r>
    </w:p>
  </w:footnote>
  <w:footnote w:id="20">
    <w:p w14:paraId="380EBA36" w14:textId="5BAEF506" w:rsidR="001A259A" w:rsidRDefault="001A259A" w:rsidP="007E79C8">
      <w:pPr>
        <w:pStyle w:val="FootnoteText"/>
        <w:widowControl w:val="0"/>
        <w:tabs>
          <w:tab w:val="clear" w:pos="1021"/>
          <w:tab w:val="right" w:pos="1020"/>
        </w:tabs>
        <w:suppressAutoHyphens/>
      </w:pPr>
      <w:r>
        <w:tab/>
      </w:r>
      <w:r>
        <w:rPr>
          <w:rStyle w:val="FootnoteReference"/>
        </w:rPr>
        <w:footnoteRef/>
      </w:r>
      <w:r>
        <w:tab/>
      </w:r>
      <w:r w:rsidRPr="007E79C8">
        <w:t>Observer of the Human Rights Council speaking on behalf of Member and observer States.</w:t>
      </w:r>
    </w:p>
  </w:footnote>
  <w:footnote w:id="21">
    <w:p w14:paraId="184988DA" w14:textId="03F2E51E" w:rsidR="001A259A" w:rsidRDefault="001A259A" w:rsidP="007E79C8">
      <w:pPr>
        <w:pStyle w:val="FootnoteText"/>
        <w:widowControl w:val="0"/>
        <w:tabs>
          <w:tab w:val="clear" w:pos="1021"/>
          <w:tab w:val="right" w:pos="1020"/>
        </w:tabs>
        <w:suppressAutoHyphens/>
      </w:pPr>
      <w:r>
        <w:tab/>
      </w:r>
      <w:r>
        <w:rPr>
          <w:rStyle w:val="FootnoteReference"/>
        </w:rPr>
        <w:footnoteRef/>
      </w:r>
      <w:r>
        <w:tab/>
      </w:r>
      <w:r w:rsidRPr="007E79C8">
        <w:t>Observer of the Human Rights Council speaking on behalf of Member and observer States.</w:t>
      </w:r>
      <w:r>
        <w:t xml:space="preserve"> </w:t>
      </w:r>
    </w:p>
  </w:footnote>
  <w:footnote w:id="22">
    <w:p w14:paraId="5530A608" w14:textId="06E0CD19" w:rsidR="001A259A" w:rsidRDefault="001A259A" w:rsidP="007E79C8">
      <w:pPr>
        <w:pStyle w:val="FootnoteText"/>
        <w:widowControl w:val="0"/>
        <w:tabs>
          <w:tab w:val="clear" w:pos="1021"/>
          <w:tab w:val="right" w:pos="1020"/>
        </w:tabs>
        <w:suppressAutoHyphens/>
      </w:pPr>
      <w:r>
        <w:tab/>
      </w:r>
      <w:r>
        <w:rPr>
          <w:rStyle w:val="FootnoteReference"/>
        </w:rPr>
        <w:footnoteRef/>
      </w:r>
      <w:r>
        <w:tab/>
      </w:r>
      <w:r w:rsidRPr="007E79C8">
        <w:t>Observer of the Human Rights Council speaking on behalf of Member and observer States.</w:t>
      </w:r>
    </w:p>
  </w:footnote>
  <w:footnote w:id="23">
    <w:p w14:paraId="7AD5152F" w14:textId="74556D78" w:rsidR="001A259A" w:rsidRDefault="001A259A" w:rsidP="007E79C8">
      <w:pPr>
        <w:pStyle w:val="FootnoteText"/>
        <w:widowControl w:val="0"/>
        <w:tabs>
          <w:tab w:val="clear" w:pos="1021"/>
          <w:tab w:val="right" w:pos="1020"/>
        </w:tabs>
        <w:suppressAutoHyphens/>
      </w:pPr>
      <w:r>
        <w:tab/>
      </w:r>
      <w:r>
        <w:rPr>
          <w:rStyle w:val="FootnoteReference"/>
        </w:rPr>
        <w:footnoteRef/>
      </w:r>
      <w:r>
        <w:tab/>
      </w:r>
      <w:r w:rsidRPr="007E79C8">
        <w:t>Observer of the Human Rights Council speaking on behalf of Member and observer States.</w:t>
      </w:r>
      <w:r>
        <w:t xml:space="preserve"> </w:t>
      </w:r>
    </w:p>
  </w:footnote>
  <w:footnote w:id="24">
    <w:p w14:paraId="09C41C50" w14:textId="24206F77" w:rsidR="001A259A" w:rsidRDefault="001A259A" w:rsidP="007E79C8">
      <w:pPr>
        <w:pStyle w:val="FootnoteText"/>
        <w:widowControl w:val="0"/>
        <w:tabs>
          <w:tab w:val="clear" w:pos="1021"/>
          <w:tab w:val="right" w:pos="1020"/>
        </w:tabs>
        <w:suppressAutoHyphens/>
      </w:pPr>
      <w:r>
        <w:tab/>
      </w:r>
      <w:r>
        <w:rPr>
          <w:rStyle w:val="FootnoteReference"/>
        </w:rPr>
        <w:footnoteRef/>
      </w:r>
      <w:r>
        <w:tab/>
      </w:r>
      <w:r w:rsidRPr="007E79C8">
        <w:t>Observer of the Human Rights Council speaking on behalf of Member and observer States.</w:t>
      </w:r>
      <w:r>
        <w:t xml:space="preserve"> </w:t>
      </w:r>
    </w:p>
  </w:footnote>
  <w:footnote w:id="25">
    <w:p w14:paraId="72631D82" w14:textId="7A257365" w:rsidR="001A259A" w:rsidRDefault="001A259A" w:rsidP="007E79C8">
      <w:pPr>
        <w:pStyle w:val="FootnoteText"/>
        <w:widowControl w:val="0"/>
        <w:tabs>
          <w:tab w:val="clear" w:pos="1021"/>
          <w:tab w:val="right" w:pos="1020"/>
        </w:tabs>
        <w:suppressAutoHyphens/>
      </w:pPr>
      <w:r>
        <w:tab/>
      </w:r>
      <w:r>
        <w:rPr>
          <w:rStyle w:val="FootnoteReference"/>
        </w:rPr>
        <w:footnoteRef/>
      </w:r>
      <w:r>
        <w:tab/>
      </w:r>
      <w:r w:rsidRPr="007E79C8">
        <w:t>Observer of the Human Rights Council speaking on behalf of Member and observer States.</w:t>
      </w:r>
    </w:p>
  </w:footnote>
  <w:footnote w:id="26">
    <w:p w14:paraId="65049299" w14:textId="6DFA44D8" w:rsidR="001A259A" w:rsidRDefault="001A259A" w:rsidP="007E79C8">
      <w:pPr>
        <w:pStyle w:val="FootnoteText"/>
        <w:widowControl w:val="0"/>
        <w:tabs>
          <w:tab w:val="clear" w:pos="1021"/>
          <w:tab w:val="right" w:pos="1020"/>
        </w:tabs>
        <w:suppressAutoHyphens/>
      </w:pPr>
      <w:r>
        <w:tab/>
      </w:r>
      <w:r>
        <w:rPr>
          <w:rStyle w:val="FootnoteReference"/>
        </w:rPr>
        <w:footnoteRef/>
      </w:r>
      <w:r>
        <w:tab/>
      </w:r>
      <w:r w:rsidRPr="007E79C8">
        <w:t>Observer of the Human Rights Council speaking on behalf of Member and observer States.</w:t>
      </w:r>
      <w:r>
        <w:t xml:space="preserve"> </w:t>
      </w:r>
    </w:p>
  </w:footnote>
  <w:footnote w:id="27">
    <w:p w14:paraId="520E0993" w14:textId="082AD847" w:rsidR="001A259A" w:rsidRDefault="001A259A" w:rsidP="007E79C8">
      <w:pPr>
        <w:pStyle w:val="FootnoteText"/>
        <w:widowControl w:val="0"/>
        <w:tabs>
          <w:tab w:val="clear" w:pos="1021"/>
          <w:tab w:val="right" w:pos="1020"/>
        </w:tabs>
        <w:suppressAutoHyphens/>
      </w:pPr>
      <w:r>
        <w:tab/>
      </w:r>
      <w:r>
        <w:rPr>
          <w:rStyle w:val="FootnoteReference"/>
        </w:rPr>
        <w:footnoteRef/>
      </w:r>
      <w:r>
        <w:tab/>
      </w:r>
      <w:r w:rsidRPr="007E79C8">
        <w:t>Observer of the Human Rights Council speaking on behalf of Member and observer States.</w:t>
      </w:r>
      <w:r>
        <w:t xml:space="preserve"> </w:t>
      </w:r>
    </w:p>
  </w:footnote>
  <w:footnote w:id="28">
    <w:p w14:paraId="7EB18A38" w14:textId="6F726427" w:rsidR="001A259A" w:rsidRDefault="001A259A" w:rsidP="007E79C8">
      <w:pPr>
        <w:pStyle w:val="FootnoteText"/>
        <w:widowControl w:val="0"/>
        <w:tabs>
          <w:tab w:val="clear" w:pos="1021"/>
          <w:tab w:val="right" w:pos="1020"/>
        </w:tabs>
        <w:suppressAutoHyphens/>
      </w:pPr>
      <w:r>
        <w:tab/>
      </w:r>
      <w:r>
        <w:rPr>
          <w:rStyle w:val="FootnoteReference"/>
        </w:rPr>
        <w:footnoteRef/>
      </w:r>
      <w:r>
        <w:tab/>
      </w:r>
      <w:r w:rsidRPr="007E79C8">
        <w:t>Observer of the Human Rights Council speaking on behalf of Member and observer States.</w:t>
      </w:r>
      <w:r>
        <w:t xml:space="preserve"> </w:t>
      </w:r>
    </w:p>
  </w:footnote>
  <w:footnote w:id="29">
    <w:p w14:paraId="38CDA9BF" w14:textId="7627B368" w:rsidR="001A259A" w:rsidRDefault="001A259A" w:rsidP="007E79C8">
      <w:pPr>
        <w:pStyle w:val="FootnoteText"/>
        <w:widowControl w:val="0"/>
        <w:tabs>
          <w:tab w:val="clear" w:pos="1021"/>
          <w:tab w:val="right" w:pos="1020"/>
        </w:tabs>
        <w:suppressAutoHyphens/>
      </w:pPr>
      <w:r>
        <w:tab/>
      </w:r>
      <w:r>
        <w:rPr>
          <w:rStyle w:val="FootnoteReference"/>
        </w:rPr>
        <w:footnoteRef/>
      </w:r>
      <w:r>
        <w:tab/>
      </w:r>
      <w:r w:rsidRPr="007E79C8">
        <w:t>Observer of the Human Rights Council speaking on behalf of Member and observer States.</w:t>
      </w:r>
      <w:r>
        <w:t xml:space="preserve"> </w:t>
      </w:r>
    </w:p>
  </w:footnote>
  <w:footnote w:id="30">
    <w:p w14:paraId="7FF9A5C3" w14:textId="6EE53056" w:rsidR="001A259A" w:rsidRDefault="001A259A" w:rsidP="007E79C8">
      <w:pPr>
        <w:pStyle w:val="FootnoteText"/>
        <w:widowControl w:val="0"/>
        <w:tabs>
          <w:tab w:val="clear" w:pos="1021"/>
          <w:tab w:val="right" w:pos="1020"/>
        </w:tabs>
        <w:suppressAutoHyphens/>
      </w:pPr>
      <w:r>
        <w:tab/>
      </w:r>
      <w:r>
        <w:rPr>
          <w:rStyle w:val="FootnoteReference"/>
        </w:rPr>
        <w:footnoteRef/>
      </w:r>
      <w:r>
        <w:tab/>
      </w:r>
      <w:r w:rsidRPr="007E79C8">
        <w:t>Observer of the Human Rights Council speaking on behalf of Member and observer States.</w:t>
      </w:r>
      <w:r>
        <w:t xml:space="preserve"> </w:t>
      </w:r>
    </w:p>
  </w:footnote>
  <w:footnote w:id="31">
    <w:p w14:paraId="6B62DBC2" w14:textId="2858C93B" w:rsidR="001A259A" w:rsidRDefault="001A259A" w:rsidP="007E79C8">
      <w:pPr>
        <w:pStyle w:val="FootnoteText"/>
        <w:widowControl w:val="0"/>
        <w:tabs>
          <w:tab w:val="clear" w:pos="1021"/>
          <w:tab w:val="right" w:pos="1020"/>
        </w:tabs>
        <w:suppressAutoHyphens/>
      </w:pPr>
      <w:r>
        <w:tab/>
      </w:r>
      <w:r>
        <w:rPr>
          <w:rStyle w:val="FootnoteReference"/>
        </w:rPr>
        <w:footnoteRef/>
      </w:r>
      <w:r>
        <w:tab/>
      </w:r>
      <w:r w:rsidRPr="007E79C8">
        <w:t>Observer of the Human Rights Council speaking on behalf of Member and observer States.</w:t>
      </w:r>
      <w:r>
        <w:t xml:space="preserve"> </w:t>
      </w:r>
    </w:p>
  </w:footnote>
  <w:footnote w:id="32">
    <w:p w14:paraId="312E15F8" w14:textId="6B2E8F5F" w:rsidR="001A259A" w:rsidRDefault="001A259A" w:rsidP="007E79C8">
      <w:pPr>
        <w:pStyle w:val="FootnoteText"/>
        <w:widowControl w:val="0"/>
        <w:tabs>
          <w:tab w:val="clear" w:pos="1021"/>
          <w:tab w:val="right" w:pos="1020"/>
        </w:tabs>
        <w:suppressAutoHyphens/>
      </w:pPr>
      <w:r>
        <w:tab/>
      </w:r>
      <w:r>
        <w:rPr>
          <w:rStyle w:val="FootnoteReference"/>
        </w:rPr>
        <w:footnoteRef/>
      </w:r>
      <w:r>
        <w:tab/>
      </w:r>
      <w:r w:rsidRPr="007E79C8">
        <w:t>Observer of the Human Rights Council speaking on behalf of Member and observer States.</w:t>
      </w:r>
      <w:r>
        <w:t xml:space="preserve"> </w:t>
      </w:r>
    </w:p>
  </w:footnote>
  <w:footnote w:id="33">
    <w:p w14:paraId="55D6249C" w14:textId="417346D6" w:rsidR="001A259A" w:rsidRDefault="001A259A" w:rsidP="007E79C8">
      <w:pPr>
        <w:pStyle w:val="FootnoteText"/>
        <w:widowControl w:val="0"/>
        <w:tabs>
          <w:tab w:val="clear" w:pos="1021"/>
          <w:tab w:val="right" w:pos="1020"/>
        </w:tabs>
        <w:suppressAutoHyphens/>
      </w:pPr>
      <w:r>
        <w:tab/>
      </w:r>
      <w:r>
        <w:rPr>
          <w:rStyle w:val="FootnoteReference"/>
        </w:rPr>
        <w:footnoteRef/>
      </w:r>
      <w:r>
        <w:tab/>
      </w:r>
      <w:r w:rsidRPr="007E79C8">
        <w:t>Observer of the Human Rights Council speaking on behalf of Member and observer States.</w:t>
      </w:r>
      <w:r>
        <w:t xml:space="preserve"> </w:t>
      </w:r>
    </w:p>
  </w:footnote>
  <w:footnote w:id="34">
    <w:p w14:paraId="222A0400" w14:textId="64B870D8" w:rsidR="001A259A" w:rsidRDefault="001A259A" w:rsidP="007E79C8">
      <w:pPr>
        <w:pStyle w:val="FootnoteText"/>
        <w:widowControl w:val="0"/>
        <w:tabs>
          <w:tab w:val="clear" w:pos="1021"/>
          <w:tab w:val="right" w:pos="1020"/>
        </w:tabs>
        <w:suppressAutoHyphens/>
      </w:pPr>
      <w:r>
        <w:tab/>
      </w:r>
      <w:r>
        <w:rPr>
          <w:rStyle w:val="FootnoteReference"/>
        </w:rPr>
        <w:footnoteRef/>
      </w:r>
      <w:r>
        <w:tab/>
      </w:r>
      <w:r w:rsidRPr="007E79C8">
        <w:t>Observer of the Human Rights Council speaking on behalf of Member and observer States.</w:t>
      </w:r>
      <w:r>
        <w:t xml:space="preserve"> </w:t>
      </w:r>
    </w:p>
  </w:footnote>
  <w:footnote w:id="35">
    <w:p w14:paraId="24C59799" w14:textId="01743A2B" w:rsidR="001A259A" w:rsidRDefault="001A259A" w:rsidP="007E79C8">
      <w:pPr>
        <w:pStyle w:val="FootnoteText"/>
        <w:widowControl w:val="0"/>
        <w:tabs>
          <w:tab w:val="clear" w:pos="1021"/>
          <w:tab w:val="right" w:pos="1020"/>
        </w:tabs>
        <w:suppressAutoHyphens/>
      </w:pPr>
      <w:r>
        <w:tab/>
      </w:r>
      <w:r>
        <w:rPr>
          <w:rStyle w:val="FootnoteReference"/>
        </w:rPr>
        <w:footnoteRef/>
      </w:r>
      <w:r>
        <w:tab/>
      </w:r>
      <w:r w:rsidRPr="007E79C8">
        <w:t>Observer of the Human Rights Council speaking on behalf of Member and observer States.</w:t>
      </w:r>
      <w:r>
        <w:t xml:space="preserve"> </w:t>
      </w:r>
    </w:p>
  </w:footnote>
  <w:footnote w:id="36">
    <w:p w14:paraId="2A956AB9" w14:textId="661AE0C1" w:rsidR="001A259A" w:rsidRDefault="001A259A" w:rsidP="007E79C8">
      <w:pPr>
        <w:pStyle w:val="FootnoteText"/>
        <w:widowControl w:val="0"/>
        <w:tabs>
          <w:tab w:val="clear" w:pos="1021"/>
          <w:tab w:val="right" w:pos="1020"/>
        </w:tabs>
        <w:suppressAutoHyphens/>
      </w:pPr>
      <w:r>
        <w:tab/>
      </w:r>
      <w:r>
        <w:rPr>
          <w:rStyle w:val="FootnoteReference"/>
        </w:rPr>
        <w:footnoteRef/>
      </w:r>
      <w:r>
        <w:tab/>
      </w:r>
      <w:r w:rsidRPr="007E79C8">
        <w:t>Observer of the Human Rights Council speaking on behalf of Member and observer States.</w:t>
      </w:r>
      <w:r>
        <w:t xml:space="preserve"> </w:t>
      </w:r>
    </w:p>
  </w:footnote>
  <w:footnote w:id="37">
    <w:p w14:paraId="260FA5EB" w14:textId="0FEC1D7C" w:rsidR="001A259A" w:rsidRDefault="001A259A" w:rsidP="00D62E23">
      <w:pPr>
        <w:pStyle w:val="FootnoteText"/>
        <w:widowControl w:val="0"/>
        <w:tabs>
          <w:tab w:val="clear" w:pos="1021"/>
          <w:tab w:val="right" w:pos="1020"/>
        </w:tabs>
        <w:suppressAutoHyphens/>
      </w:pPr>
      <w:r>
        <w:tab/>
      </w:r>
      <w:r>
        <w:rPr>
          <w:rStyle w:val="FootnoteReference"/>
        </w:rPr>
        <w:footnoteRef/>
      </w:r>
      <w:r>
        <w:tab/>
      </w:r>
      <w:r w:rsidRPr="007E79C8">
        <w:t>Observer of the Human Rights Council speaking on behalf of Member and observer States.</w:t>
      </w:r>
      <w:r>
        <w:t xml:space="preserve"> </w:t>
      </w:r>
    </w:p>
  </w:footnote>
  <w:footnote w:id="38">
    <w:p w14:paraId="503DC7B4" w14:textId="03334882" w:rsidR="001A259A" w:rsidRDefault="001A259A" w:rsidP="00CC5A8D">
      <w:pPr>
        <w:pStyle w:val="FootnoteText"/>
        <w:widowControl w:val="0"/>
        <w:tabs>
          <w:tab w:val="clear" w:pos="1021"/>
          <w:tab w:val="right" w:pos="1020"/>
        </w:tabs>
        <w:suppressAutoHyphens/>
      </w:pPr>
      <w:r>
        <w:tab/>
      </w:r>
      <w:r>
        <w:rPr>
          <w:rStyle w:val="FootnoteReference"/>
        </w:rPr>
        <w:footnoteRef/>
      </w:r>
      <w:r>
        <w:tab/>
      </w:r>
      <w:r w:rsidRPr="007E79C8">
        <w:t>Observer of the Human Rights Council speaking on behalf of Member and observer States.</w:t>
      </w:r>
      <w:r>
        <w:t xml:space="preserve"> </w:t>
      </w:r>
    </w:p>
  </w:footnote>
  <w:footnote w:id="39">
    <w:p w14:paraId="42C3F92F" w14:textId="1F2361FC" w:rsidR="001A259A" w:rsidRDefault="001A259A" w:rsidP="00CC5A8D">
      <w:pPr>
        <w:pStyle w:val="FootnoteText"/>
        <w:widowControl w:val="0"/>
        <w:tabs>
          <w:tab w:val="clear" w:pos="1021"/>
          <w:tab w:val="right" w:pos="1020"/>
        </w:tabs>
        <w:suppressAutoHyphens/>
      </w:pPr>
      <w:r>
        <w:tab/>
      </w:r>
      <w:r>
        <w:rPr>
          <w:rStyle w:val="FootnoteReference"/>
        </w:rPr>
        <w:footnoteRef/>
      </w:r>
      <w:r>
        <w:tab/>
      </w:r>
      <w:r w:rsidRPr="007E79C8">
        <w:t>Observer of the Human Rights Council speaking on behalf of Member and observer States.</w:t>
      </w:r>
      <w:r>
        <w:t xml:space="preserve"> </w:t>
      </w:r>
    </w:p>
  </w:footnote>
  <w:footnote w:id="40">
    <w:p w14:paraId="46B1DB6E" w14:textId="4971CB0C" w:rsidR="001A259A" w:rsidRDefault="001A259A" w:rsidP="00CC5A8D">
      <w:pPr>
        <w:pStyle w:val="FootnoteText"/>
        <w:widowControl w:val="0"/>
        <w:tabs>
          <w:tab w:val="clear" w:pos="1021"/>
          <w:tab w:val="right" w:pos="1020"/>
        </w:tabs>
        <w:suppressAutoHyphens/>
      </w:pPr>
      <w:r>
        <w:tab/>
      </w:r>
      <w:r>
        <w:rPr>
          <w:rStyle w:val="FootnoteReference"/>
        </w:rPr>
        <w:footnoteRef/>
      </w:r>
      <w:r>
        <w:tab/>
      </w:r>
      <w:r w:rsidRPr="007E79C8">
        <w:t>Observer of the Human Rights Council speaking on behalf of Member and observer States.</w:t>
      </w:r>
      <w:r>
        <w:t xml:space="preserve"> </w:t>
      </w:r>
    </w:p>
  </w:footnote>
  <w:footnote w:id="41">
    <w:p w14:paraId="3FD491B0" w14:textId="34220182" w:rsidR="001A259A" w:rsidRPr="00CC5A8D" w:rsidRDefault="001A259A" w:rsidP="00CC5A8D">
      <w:pPr>
        <w:pStyle w:val="FootnoteText"/>
        <w:widowControl w:val="0"/>
        <w:tabs>
          <w:tab w:val="clear" w:pos="1021"/>
          <w:tab w:val="right" w:pos="1020"/>
        </w:tabs>
        <w:suppressAutoHyphens/>
      </w:pPr>
      <w:r>
        <w:tab/>
      </w:r>
      <w:r>
        <w:rPr>
          <w:rStyle w:val="FootnoteReference"/>
        </w:rPr>
        <w:footnoteRef/>
      </w:r>
      <w:r>
        <w:tab/>
      </w:r>
      <w:r w:rsidRPr="00CC5A8D">
        <w:t>The representative of Bahrain subsequently stated that there had been an error in the delegation</w:t>
      </w:r>
      <w:r>
        <w:t>’</w:t>
      </w:r>
      <w:r w:rsidRPr="00CC5A8D">
        <w:t>s vote and that it had intended to abstain from voting.</w:t>
      </w:r>
    </w:p>
  </w:footnote>
  <w:footnote w:id="42">
    <w:p w14:paraId="25D29A74" w14:textId="45B51AA8" w:rsidR="001A259A" w:rsidRDefault="001A259A" w:rsidP="00CC5A8D">
      <w:pPr>
        <w:pStyle w:val="FootnoteText"/>
        <w:widowControl w:val="0"/>
        <w:tabs>
          <w:tab w:val="clear" w:pos="1021"/>
          <w:tab w:val="right" w:pos="1020"/>
        </w:tabs>
        <w:suppressAutoHyphens/>
      </w:pPr>
      <w:r>
        <w:tab/>
      </w:r>
      <w:r>
        <w:rPr>
          <w:rStyle w:val="FootnoteReference"/>
        </w:rPr>
        <w:footnoteRef/>
      </w:r>
      <w:r>
        <w:tab/>
        <w:t xml:space="preserve"> </w:t>
      </w:r>
      <w:r w:rsidRPr="00CC5A8D">
        <w:t>Observer of the Human Rights Council speaking on behalf of Member and observer States.</w:t>
      </w:r>
    </w:p>
  </w:footnote>
  <w:footnote w:id="43">
    <w:p w14:paraId="5D445114" w14:textId="65BB9E05" w:rsidR="001A259A" w:rsidRDefault="001A259A" w:rsidP="00CC5A8D">
      <w:pPr>
        <w:pStyle w:val="FootnoteText"/>
        <w:widowControl w:val="0"/>
        <w:tabs>
          <w:tab w:val="clear" w:pos="1021"/>
          <w:tab w:val="right" w:pos="1020"/>
        </w:tabs>
        <w:suppressAutoHyphens/>
      </w:pPr>
      <w:r>
        <w:tab/>
      </w:r>
      <w:r>
        <w:rPr>
          <w:rStyle w:val="FootnoteReference"/>
        </w:rPr>
        <w:footnoteRef/>
      </w:r>
      <w:r>
        <w:tab/>
      </w:r>
      <w:r w:rsidRPr="00CC5A8D">
        <w:t>Observer of the Human Rights Council speaking on behalf of Member and observer States.</w:t>
      </w:r>
      <w:r>
        <w:t xml:space="preserve"> </w:t>
      </w:r>
    </w:p>
  </w:footnote>
  <w:footnote w:id="44">
    <w:p w14:paraId="04CC0298" w14:textId="73F344BE" w:rsidR="001A259A" w:rsidRPr="00CC5A8D" w:rsidRDefault="001A259A">
      <w:pPr>
        <w:pStyle w:val="FootnoteText"/>
      </w:pPr>
      <w:r>
        <w:rPr>
          <w:rStyle w:val="FootnoteReference"/>
        </w:rPr>
        <w:tab/>
      </w:r>
      <w:r w:rsidRPr="00CC5A8D">
        <w:rPr>
          <w:rStyle w:val="FootnoteReference"/>
          <w:sz w:val="20"/>
          <w:vertAlign w:val="baseline"/>
        </w:rPr>
        <w:t>**</w:t>
      </w:r>
      <w:r>
        <w:rPr>
          <w:rStyle w:val="FootnoteReference"/>
          <w:sz w:val="20"/>
          <w:vertAlign w:val="baseline"/>
        </w:rPr>
        <w:tab/>
      </w:r>
      <w:r w:rsidRPr="00CC5A8D">
        <w:t>The statements of the delegations that were unable to deliver them owing to time constraints which were made available are posted on the extranet of the Human Rights Council, at https://extranet.ohchr.org/sites/hrc/HRCSessions/RegularSessions/40thSession/Pages/default.aspx.</w:t>
      </w:r>
    </w:p>
  </w:footnote>
  <w:footnote w:id="45">
    <w:p w14:paraId="09EDAEDA" w14:textId="67F93C23" w:rsidR="001A259A" w:rsidRPr="00CC5A8D" w:rsidRDefault="001A259A">
      <w:pPr>
        <w:pStyle w:val="FootnoteText"/>
      </w:pPr>
      <w:r>
        <w:rPr>
          <w:rStyle w:val="FootnoteReference"/>
        </w:rPr>
        <w:tab/>
      </w:r>
      <w:r w:rsidRPr="00CC5A8D">
        <w:rPr>
          <w:rStyle w:val="FootnoteReference"/>
          <w:sz w:val="20"/>
          <w:vertAlign w:val="baseline"/>
        </w:rPr>
        <w:t>**</w:t>
      </w:r>
      <w:r>
        <w:rPr>
          <w:rStyle w:val="FootnoteReference"/>
          <w:sz w:val="20"/>
          <w:vertAlign w:val="baseline"/>
        </w:rPr>
        <w:tab/>
      </w:r>
      <w:r w:rsidRPr="00CC5A8D">
        <w:t>The statements of the delegations that were unable to deliver them owing to time constraints which were made available are posted on the extranet of the Human Rights Council, at https://extranet.ohchr.org/sites/hrc/HRCSessions/RegularSessions/40thSession/Pages/default.aspx.</w:t>
      </w:r>
    </w:p>
  </w:footnote>
  <w:footnote w:id="46">
    <w:p w14:paraId="5CA44F1E" w14:textId="34254E43" w:rsidR="001A259A" w:rsidRPr="00CC5A8D" w:rsidRDefault="001A259A">
      <w:pPr>
        <w:pStyle w:val="FootnoteText"/>
      </w:pPr>
      <w:r>
        <w:rPr>
          <w:rStyle w:val="FootnoteReference"/>
        </w:rPr>
        <w:tab/>
      </w:r>
      <w:r w:rsidRPr="00CC5A8D">
        <w:rPr>
          <w:rStyle w:val="FootnoteReference"/>
          <w:sz w:val="20"/>
          <w:vertAlign w:val="baseline"/>
        </w:rPr>
        <w:t>**</w:t>
      </w:r>
      <w:r>
        <w:rPr>
          <w:rStyle w:val="FootnoteReference"/>
          <w:sz w:val="20"/>
          <w:vertAlign w:val="baseline"/>
        </w:rPr>
        <w:tab/>
      </w:r>
      <w:r w:rsidRPr="00CC5A8D">
        <w:t>The statements of the delegations that were unable to deliver them owing to time constraints which were made available are posted on the extranet of the Human Rights Council, at https://extranet.ohchr.org/sites/hrc/HRCSessions/RegularSessions/40thSession/Pages/default.aspx.</w:t>
      </w:r>
    </w:p>
  </w:footnote>
  <w:footnote w:id="47">
    <w:p w14:paraId="7FFEA023" w14:textId="7AB19618" w:rsidR="001A259A" w:rsidRPr="00CC5A8D" w:rsidRDefault="001A259A">
      <w:pPr>
        <w:pStyle w:val="FootnoteText"/>
      </w:pPr>
      <w:r>
        <w:rPr>
          <w:rStyle w:val="FootnoteReference"/>
        </w:rPr>
        <w:tab/>
      </w:r>
      <w:r w:rsidRPr="00CC5A8D">
        <w:rPr>
          <w:rStyle w:val="FootnoteReference"/>
          <w:sz w:val="20"/>
          <w:vertAlign w:val="baseline"/>
        </w:rPr>
        <w:t>**</w:t>
      </w:r>
      <w:r>
        <w:rPr>
          <w:rStyle w:val="FootnoteReference"/>
          <w:sz w:val="20"/>
          <w:vertAlign w:val="baseline"/>
        </w:rPr>
        <w:tab/>
      </w:r>
      <w:r w:rsidRPr="00CC5A8D">
        <w:t>The statements of the delegations that were unable to deliver them owing to time constraints which were made available are posted on the extranet of the Human Rights Council, at https://extranet.ohchr.org/sites/hrc/HRCSessions/RegularSessions/40thSession/Pages/default.aspx.</w:t>
      </w:r>
    </w:p>
  </w:footnote>
  <w:footnote w:id="48">
    <w:p w14:paraId="1F8FF4EA" w14:textId="12B04204" w:rsidR="001A259A" w:rsidRPr="00CC5A8D" w:rsidRDefault="001A259A">
      <w:pPr>
        <w:pStyle w:val="FootnoteText"/>
      </w:pPr>
      <w:r>
        <w:rPr>
          <w:rStyle w:val="FootnoteReference"/>
        </w:rPr>
        <w:tab/>
      </w:r>
      <w:r w:rsidRPr="00CC5A8D">
        <w:rPr>
          <w:rStyle w:val="FootnoteReference"/>
          <w:sz w:val="20"/>
          <w:vertAlign w:val="baseline"/>
        </w:rPr>
        <w:t>**</w:t>
      </w:r>
      <w:r>
        <w:rPr>
          <w:rStyle w:val="FootnoteReference"/>
          <w:sz w:val="20"/>
          <w:vertAlign w:val="baseline"/>
        </w:rPr>
        <w:tab/>
      </w:r>
      <w:r w:rsidRPr="00CC5A8D">
        <w:t>The statements of the delegations that were unable to deliver them owing to time constraints which were made available are posted on the extranet of the Human Rights Council, at https://extranet.ohchr.org/sites/hrc/HRCSessions/RegularSessions/40thSession/Pages/default.aspx.</w:t>
      </w:r>
    </w:p>
  </w:footnote>
  <w:footnote w:id="49">
    <w:p w14:paraId="253F70F7" w14:textId="5E80FD18" w:rsidR="001A259A" w:rsidRPr="00CC5A8D" w:rsidRDefault="001A259A">
      <w:pPr>
        <w:pStyle w:val="FootnoteText"/>
      </w:pPr>
      <w:r>
        <w:rPr>
          <w:rStyle w:val="FootnoteReference"/>
        </w:rPr>
        <w:tab/>
      </w:r>
      <w:r w:rsidRPr="00CC5A8D">
        <w:rPr>
          <w:rStyle w:val="FootnoteReference"/>
          <w:sz w:val="20"/>
          <w:vertAlign w:val="baseline"/>
        </w:rPr>
        <w:t>**</w:t>
      </w:r>
      <w:r>
        <w:rPr>
          <w:rStyle w:val="FootnoteReference"/>
          <w:sz w:val="20"/>
          <w:vertAlign w:val="baseline"/>
        </w:rPr>
        <w:tab/>
      </w:r>
      <w:r w:rsidRPr="00CC5A8D">
        <w:t>The statements of the delegations that were unable to deliver them owing to time constraints which were made available are posted on the extranet of the Human Rights Council, at https://extranet.ohchr.org/sites/hrc/HRCSessions/RegularSessions/40thSession/Pages/default.aspx.</w:t>
      </w:r>
    </w:p>
  </w:footnote>
  <w:footnote w:id="50">
    <w:p w14:paraId="08A9C525" w14:textId="11F738D0" w:rsidR="001A259A" w:rsidRPr="00CC5A8D" w:rsidRDefault="001A259A">
      <w:pPr>
        <w:pStyle w:val="FootnoteText"/>
      </w:pPr>
      <w:r>
        <w:rPr>
          <w:rStyle w:val="FootnoteReference"/>
        </w:rPr>
        <w:tab/>
      </w:r>
      <w:r w:rsidRPr="00CC5A8D">
        <w:rPr>
          <w:rStyle w:val="FootnoteReference"/>
          <w:sz w:val="20"/>
          <w:vertAlign w:val="baseline"/>
        </w:rPr>
        <w:t>**</w:t>
      </w:r>
      <w:r>
        <w:rPr>
          <w:rStyle w:val="FootnoteReference"/>
          <w:sz w:val="20"/>
          <w:vertAlign w:val="baseline"/>
        </w:rPr>
        <w:tab/>
      </w:r>
      <w:r w:rsidRPr="00CC5A8D">
        <w:t>The statements of the delegations that were unable to deliver them owing to time constraints which were made available are posted on the extranet of the Human Rights Council, at https://extranet.ohchr.org/sites/hrc/HRCSessions/RegularSessions/40thSession/Pages/default.aspx.</w:t>
      </w:r>
    </w:p>
  </w:footnote>
  <w:footnote w:id="51">
    <w:p w14:paraId="3F5944D7" w14:textId="44AA36B8" w:rsidR="001A259A" w:rsidRPr="00CC5A8D" w:rsidRDefault="001A259A">
      <w:pPr>
        <w:pStyle w:val="FootnoteText"/>
      </w:pPr>
      <w:r>
        <w:rPr>
          <w:rStyle w:val="FootnoteReference"/>
        </w:rPr>
        <w:tab/>
      </w:r>
      <w:r w:rsidRPr="00CC5A8D">
        <w:rPr>
          <w:rStyle w:val="FootnoteReference"/>
          <w:sz w:val="20"/>
          <w:vertAlign w:val="baseline"/>
        </w:rPr>
        <w:t>**</w:t>
      </w:r>
      <w:r>
        <w:rPr>
          <w:rStyle w:val="FootnoteReference"/>
          <w:sz w:val="20"/>
          <w:vertAlign w:val="baseline"/>
        </w:rPr>
        <w:tab/>
      </w:r>
      <w:r w:rsidRPr="00CC5A8D">
        <w:t>The statements of the delegations that were unable to deliver them owing to time constraints which were made available are posted on the extranet of the Human Rights Council, at https://extranet.ohchr.org/sites/hrc/HRCSessions/RegularSessions/40thSession/Pages/default.aspx.</w:t>
      </w:r>
    </w:p>
  </w:footnote>
  <w:footnote w:id="52">
    <w:p w14:paraId="1111F9B5" w14:textId="5CE84B24" w:rsidR="001A259A" w:rsidRPr="00CC5A8D" w:rsidRDefault="001A259A">
      <w:pPr>
        <w:pStyle w:val="FootnoteText"/>
      </w:pPr>
      <w:r>
        <w:rPr>
          <w:rStyle w:val="FootnoteReference"/>
        </w:rPr>
        <w:tab/>
      </w:r>
      <w:r w:rsidRPr="00CC5A8D">
        <w:rPr>
          <w:rStyle w:val="FootnoteReference"/>
          <w:sz w:val="20"/>
          <w:vertAlign w:val="baseline"/>
        </w:rPr>
        <w:t>**</w:t>
      </w:r>
      <w:r>
        <w:rPr>
          <w:rStyle w:val="FootnoteReference"/>
          <w:sz w:val="20"/>
          <w:vertAlign w:val="baseline"/>
        </w:rPr>
        <w:tab/>
      </w:r>
      <w:r w:rsidRPr="00CC5A8D">
        <w:t>The statements of the delegations that were unable to deliver them owing to time constraints which were made available are posted on the extranet of the Human Rights Council, at https://extranet.ohchr.org/sites/hrc/HRCSessions/RegularSessions/40thSession/Pages/default.aspx.</w:t>
      </w:r>
    </w:p>
  </w:footnote>
  <w:footnote w:id="53">
    <w:p w14:paraId="6B7F96FD" w14:textId="6A3E23D3" w:rsidR="001A259A" w:rsidRPr="00CC5A8D" w:rsidRDefault="001A259A">
      <w:pPr>
        <w:pStyle w:val="FootnoteText"/>
      </w:pPr>
      <w:r>
        <w:rPr>
          <w:rStyle w:val="FootnoteReference"/>
        </w:rPr>
        <w:tab/>
      </w:r>
      <w:r w:rsidRPr="00CC5A8D">
        <w:rPr>
          <w:rStyle w:val="FootnoteReference"/>
          <w:sz w:val="20"/>
          <w:vertAlign w:val="baseline"/>
        </w:rPr>
        <w:t>**</w:t>
      </w:r>
      <w:r>
        <w:rPr>
          <w:rStyle w:val="FootnoteReference"/>
          <w:sz w:val="20"/>
          <w:vertAlign w:val="baseline"/>
        </w:rPr>
        <w:tab/>
      </w:r>
      <w:r w:rsidRPr="00CC5A8D">
        <w:t>The statements of the delegations that were unable to deliver them owing to time constraints which were made available are posted on the extranet of the Human Rights Council, at https://extranet.ohchr.org/sites/hrc/HRCSessions/RegularSessions/40thSession/Pages/default.aspx.</w:t>
      </w:r>
    </w:p>
  </w:footnote>
  <w:footnote w:id="54">
    <w:p w14:paraId="3C8649FA" w14:textId="46FE302B" w:rsidR="001A259A" w:rsidRPr="00CC5A8D" w:rsidRDefault="001A259A">
      <w:pPr>
        <w:pStyle w:val="FootnoteText"/>
      </w:pPr>
      <w:r>
        <w:rPr>
          <w:rStyle w:val="FootnoteReference"/>
        </w:rPr>
        <w:tab/>
      </w:r>
      <w:r w:rsidRPr="00CC5A8D">
        <w:rPr>
          <w:rStyle w:val="FootnoteReference"/>
          <w:sz w:val="20"/>
          <w:vertAlign w:val="baseline"/>
        </w:rPr>
        <w:t>**</w:t>
      </w:r>
      <w:r>
        <w:rPr>
          <w:rStyle w:val="FootnoteReference"/>
          <w:sz w:val="20"/>
          <w:vertAlign w:val="baseline"/>
        </w:rPr>
        <w:tab/>
      </w:r>
      <w:r w:rsidRPr="00CC5A8D">
        <w:t>The statements of the delegations that were unable to deliver them owing to time constraints which were made available are posted on the extranet of the Human Rights Council, at https://extranet.ohchr.org/sites/hrc/HRCSessions/RegularSessions/40thSession/Pages/default.aspx.</w:t>
      </w:r>
    </w:p>
  </w:footnote>
  <w:footnote w:id="55">
    <w:p w14:paraId="12BA1B47" w14:textId="1229B585" w:rsidR="001A259A" w:rsidRPr="00CC5A8D" w:rsidRDefault="001A259A">
      <w:pPr>
        <w:pStyle w:val="FootnoteText"/>
      </w:pPr>
      <w:r>
        <w:rPr>
          <w:rStyle w:val="FootnoteReference"/>
        </w:rPr>
        <w:tab/>
      </w:r>
      <w:r w:rsidRPr="00CC5A8D">
        <w:rPr>
          <w:rStyle w:val="FootnoteReference"/>
          <w:sz w:val="20"/>
          <w:vertAlign w:val="baseline"/>
        </w:rPr>
        <w:t>**</w:t>
      </w:r>
      <w:r>
        <w:rPr>
          <w:rStyle w:val="FootnoteReference"/>
          <w:sz w:val="20"/>
          <w:vertAlign w:val="baseline"/>
        </w:rPr>
        <w:tab/>
      </w:r>
      <w:r w:rsidRPr="00CC5A8D">
        <w:t>The statements of the delegations that were unable to deliver them owing to time constraints which were made available are posted on the extranet of the Human Rights Council, at https://extranet.ohchr.org/sites/hrc/HRCSessions/RegularSessions/40thSession/Pages/default.aspx.</w:t>
      </w:r>
    </w:p>
  </w:footnote>
  <w:footnote w:id="56">
    <w:p w14:paraId="3570D43A" w14:textId="3841694D" w:rsidR="001A259A" w:rsidRPr="00CC5A8D" w:rsidRDefault="001A259A">
      <w:pPr>
        <w:pStyle w:val="FootnoteText"/>
      </w:pPr>
      <w:r>
        <w:rPr>
          <w:rStyle w:val="FootnoteReference"/>
        </w:rPr>
        <w:tab/>
      </w:r>
      <w:r w:rsidRPr="00CC5A8D">
        <w:rPr>
          <w:rStyle w:val="FootnoteReference"/>
          <w:sz w:val="20"/>
          <w:vertAlign w:val="baseline"/>
        </w:rPr>
        <w:t>**</w:t>
      </w:r>
      <w:r>
        <w:rPr>
          <w:rStyle w:val="FootnoteReference"/>
          <w:sz w:val="20"/>
          <w:vertAlign w:val="baseline"/>
        </w:rPr>
        <w:tab/>
      </w:r>
      <w:r w:rsidRPr="00CC5A8D">
        <w:t>The statements of the delegations that were unable to deliver them owing to time constraints which were made available are posted on the extranet of the Human Rights Council, at https://extranet.ohchr.org/sites/hrc/HRCSessions/RegularSessions/40thSession/Pages/default.aspx.</w:t>
      </w:r>
    </w:p>
  </w:footnote>
  <w:footnote w:id="57">
    <w:p w14:paraId="4C372DD4" w14:textId="5ABB3565" w:rsidR="001A259A" w:rsidRPr="00CC5A8D" w:rsidRDefault="001A259A">
      <w:pPr>
        <w:pStyle w:val="FootnoteText"/>
      </w:pPr>
      <w:r>
        <w:rPr>
          <w:rStyle w:val="FootnoteReference"/>
        </w:rPr>
        <w:tab/>
      </w:r>
      <w:r w:rsidRPr="00CC5A8D">
        <w:rPr>
          <w:rStyle w:val="FootnoteReference"/>
          <w:sz w:val="20"/>
          <w:vertAlign w:val="baseline"/>
        </w:rPr>
        <w:t>**</w:t>
      </w:r>
      <w:r>
        <w:rPr>
          <w:rStyle w:val="FootnoteReference"/>
          <w:sz w:val="20"/>
          <w:vertAlign w:val="baseline"/>
        </w:rPr>
        <w:tab/>
      </w:r>
      <w:r w:rsidRPr="00CC5A8D">
        <w:t>The statements of the delegations that were unable to deliver them owing to time constraints which were made available are posted on the extranet of the Human Rights Council, at https://extranet.ohchr.org/sites/hrc/HRCSessions/RegularSessions/40thSession/Pages/default.aspx.</w:t>
      </w:r>
    </w:p>
  </w:footnote>
  <w:footnote w:id="58">
    <w:p w14:paraId="11BB8929" w14:textId="77777777" w:rsidR="001A259A" w:rsidRPr="005D645F" w:rsidRDefault="001A259A" w:rsidP="000A2EBB">
      <w:pPr>
        <w:pStyle w:val="FootnoteText"/>
      </w:pPr>
      <w:r>
        <w:rPr>
          <w:rStyle w:val="FootnoteReference"/>
        </w:rPr>
        <w:tab/>
      </w:r>
      <w:r w:rsidRPr="005D645F">
        <w:rPr>
          <w:rStyle w:val="FootnoteReference"/>
          <w:sz w:val="20"/>
        </w:rPr>
        <w:t>**</w:t>
      </w:r>
      <w:r>
        <w:rPr>
          <w:rStyle w:val="FootnoteReference"/>
          <w:sz w:val="20"/>
        </w:rPr>
        <w:tab/>
      </w:r>
      <w:r w:rsidRPr="005D645F">
        <w:t>The statements of the delegations that were unable to deliver them owing to time constraints which were made available are posted on the extranet of the Human Rights Council, at https://extranet.ohchr.org/sites/hrc/HRCSessions/RegularSessions/40thSession/Pages/default.aspx.</w:t>
      </w:r>
    </w:p>
  </w:footnote>
  <w:footnote w:id="59">
    <w:p w14:paraId="2BCC6BC3" w14:textId="143768E3" w:rsidR="001A259A" w:rsidRPr="000943B0" w:rsidRDefault="001A259A">
      <w:pPr>
        <w:pStyle w:val="FootnoteText"/>
      </w:pPr>
      <w:r>
        <w:rPr>
          <w:rStyle w:val="FootnoteReference"/>
        </w:rPr>
        <w:tab/>
      </w:r>
      <w:r w:rsidRPr="000943B0">
        <w:rPr>
          <w:rStyle w:val="FootnoteReference"/>
          <w:sz w:val="20"/>
          <w:vertAlign w:val="baseline"/>
        </w:rPr>
        <w:t>**</w:t>
      </w:r>
      <w:r>
        <w:rPr>
          <w:rStyle w:val="FootnoteReference"/>
          <w:sz w:val="20"/>
          <w:vertAlign w:val="baseline"/>
        </w:rPr>
        <w:tab/>
      </w:r>
      <w:r w:rsidRPr="005D645F">
        <w:t>The statements of the delegations that were unable to deliver them owing to time constraints which were made available are posted on the extranet of the Human Rights Council, at https://extranet.ohchr.org/sites/hrc/HRCSessions/RegularSessions/40thSession/Pages/default.aspx.</w:t>
      </w:r>
    </w:p>
  </w:footnote>
  <w:footnote w:id="60">
    <w:p w14:paraId="17873CAA" w14:textId="38B3E55E" w:rsidR="001A259A" w:rsidRPr="000943B0" w:rsidRDefault="001A259A">
      <w:pPr>
        <w:pStyle w:val="FootnoteText"/>
      </w:pPr>
      <w:r>
        <w:rPr>
          <w:rStyle w:val="FootnoteReference"/>
        </w:rPr>
        <w:tab/>
      </w:r>
      <w:r w:rsidRPr="000943B0">
        <w:rPr>
          <w:rStyle w:val="FootnoteReference"/>
          <w:sz w:val="20"/>
          <w:vertAlign w:val="baseline"/>
        </w:rPr>
        <w:t>**</w:t>
      </w:r>
      <w:r>
        <w:rPr>
          <w:rStyle w:val="FootnoteReference"/>
          <w:sz w:val="20"/>
          <w:vertAlign w:val="baseline"/>
        </w:rPr>
        <w:tab/>
      </w:r>
      <w:r w:rsidRPr="005D645F">
        <w:t>The statements of the delegations that were unable to deliver them owing to time constraints which were made available are posted on the extranet of the Human Rights Council, at https://extranet.ohchr.org/sites/hrc/HRCSessions/RegularSessions/40thSession/Pages/default.aspx.</w:t>
      </w:r>
    </w:p>
  </w:footnote>
  <w:footnote w:id="61">
    <w:p w14:paraId="01FF2CEA" w14:textId="771433FC" w:rsidR="001A259A" w:rsidRPr="000943B0" w:rsidRDefault="001A259A">
      <w:pPr>
        <w:pStyle w:val="FootnoteText"/>
      </w:pPr>
      <w:r>
        <w:rPr>
          <w:rStyle w:val="FootnoteReference"/>
        </w:rPr>
        <w:tab/>
      </w:r>
      <w:r w:rsidRPr="000943B0">
        <w:rPr>
          <w:rStyle w:val="FootnoteReference"/>
          <w:sz w:val="20"/>
          <w:vertAlign w:val="baseline"/>
        </w:rPr>
        <w:t>**</w:t>
      </w:r>
      <w:r>
        <w:rPr>
          <w:rStyle w:val="FootnoteReference"/>
          <w:sz w:val="20"/>
          <w:vertAlign w:val="baseline"/>
        </w:rPr>
        <w:tab/>
      </w:r>
      <w:r w:rsidRPr="005D645F">
        <w:t>The statements of the delegations that were unable to deliver them owing to time constraints which were made available are posted on the extranet of the Human Rights Council, at https://extranet.ohchr.org/sites/hrc/HRCSessions/RegularSessions/40thSession/Pages/default.aspx.</w:t>
      </w:r>
    </w:p>
  </w:footnote>
  <w:footnote w:id="62">
    <w:p w14:paraId="1B661AA8" w14:textId="6E658DE9" w:rsidR="001A259A" w:rsidRDefault="001A259A" w:rsidP="000943B0">
      <w:pPr>
        <w:pStyle w:val="FootnoteText"/>
        <w:widowControl w:val="0"/>
        <w:tabs>
          <w:tab w:val="clear" w:pos="1021"/>
          <w:tab w:val="right" w:pos="1020"/>
        </w:tabs>
        <w:suppressAutoHyphens/>
      </w:pPr>
      <w:r>
        <w:tab/>
      </w:r>
      <w:r>
        <w:rPr>
          <w:rStyle w:val="FootnoteReference"/>
        </w:rPr>
        <w:footnoteRef/>
      </w:r>
      <w:r>
        <w:tab/>
      </w:r>
      <w:r w:rsidRPr="00116D26">
        <w:rPr>
          <w:szCs w:val="18"/>
        </w:rPr>
        <w:t>Observer of the Human Rights Council speaking on behalf of Member and observer States.</w:t>
      </w:r>
      <w:r>
        <w:t xml:space="preserve"> </w:t>
      </w:r>
    </w:p>
  </w:footnote>
  <w:footnote w:id="63">
    <w:p w14:paraId="7BFE38B5" w14:textId="6AF2DF27" w:rsidR="001A259A" w:rsidRDefault="001A259A" w:rsidP="000943B0">
      <w:pPr>
        <w:pStyle w:val="FootnoteText"/>
        <w:widowControl w:val="0"/>
        <w:tabs>
          <w:tab w:val="clear" w:pos="1021"/>
          <w:tab w:val="right" w:pos="1020"/>
        </w:tabs>
        <w:suppressAutoHyphens/>
      </w:pPr>
      <w:r>
        <w:tab/>
      </w:r>
      <w:r>
        <w:rPr>
          <w:rStyle w:val="FootnoteReference"/>
        </w:rPr>
        <w:footnoteRef/>
      </w:r>
      <w:r>
        <w:tab/>
      </w:r>
      <w:r w:rsidRPr="00116D26">
        <w:rPr>
          <w:szCs w:val="18"/>
        </w:rPr>
        <w:t>Observer of the Human Rights Council speaking on behalf of Member and observer States.</w:t>
      </w:r>
      <w:r>
        <w:t xml:space="preserve"> </w:t>
      </w:r>
    </w:p>
  </w:footnote>
  <w:footnote w:id="64">
    <w:p w14:paraId="0B306A01" w14:textId="77F052FB" w:rsidR="001A259A" w:rsidRDefault="001A259A" w:rsidP="000943B0">
      <w:pPr>
        <w:pStyle w:val="FootnoteText"/>
        <w:widowControl w:val="0"/>
        <w:tabs>
          <w:tab w:val="clear" w:pos="1021"/>
          <w:tab w:val="right" w:pos="1020"/>
        </w:tabs>
        <w:suppressAutoHyphens/>
      </w:pPr>
      <w:r>
        <w:tab/>
      </w:r>
      <w:r>
        <w:rPr>
          <w:rStyle w:val="FootnoteReference"/>
        </w:rPr>
        <w:footnoteRef/>
      </w:r>
      <w:r>
        <w:tab/>
      </w:r>
      <w:r w:rsidRPr="00116D26">
        <w:rPr>
          <w:szCs w:val="18"/>
        </w:rPr>
        <w:t>Observer of the Human Rights Council speaking on behalf of Member and observer States.</w:t>
      </w:r>
      <w:r>
        <w:t xml:space="preserve"> </w:t>
      </w:r>
    </w:p>
  </w:footnote>
  <w:footnote w:id="65">
    <w:p w14:paraId="54CFA657" w14:textId="4F859335" w:rsidR="001A259A" w:rsidRDefault="001A259A" w:rsidP="000943B0">
      <w:pPr>
        <w:pStyle w:val="FootnoteText"/>
        <w:widowControl w:val="0"/>
        <w:tabs>
          <w:tab w:val="clear" w:pos="1021"/>
          <w:tab w:val="right" w:pos="1020"/>
        </w:tabs>
        <w:suppressAutoHyphens/>
      </w:pPr>
      <w:r>
        <w:tab/>
      </w:r>
      <w:r>
        <w:rPr>
          <w:rStyle w:val="FootnoteReference"/>
        </w:rPr>
        <w:footnoteRef/>
      </w:r>
      <w:r>
        <w:tab/>
      </w:r>
      <w:r w:rsidRPr="00116D26">
        <w:rPr>
          <w:szCs w:val="18"/>
        </w:rPr>
        <w:t>Observer of the Human Rights Council speaking on behalf of Member and observer States.</w:t>
      </w:r>
      <w:r>
        <w:t xml:space="preserve"> </w:t>
      </w:r>
    </w:p>
  </w:footnote>
  <w:footnote w:id="66">
    <w:p w14:paraId="7D8DE291" w14:textId="795D6032" w:rsidR="001A259A" w:rsidRDefault="001A259A" w:rsidP="000943B0">
      <w:pPr>
        <w:pStyle w:val="FootnoteText"/>
        <w:widowControl w:val="0"/>
        <w:tabs>
          <w:tab w:val="clear" w:pos="1021"/>
          <w:tab w:val="right" w:pos="1020"/>
        </w:tabs>
        <w:suppressAutoHyphens/>
      </w:pPr>
      <w:r>
        <w:tab/>
      </w:r>
      <w:r>
        <w:rPr>
          <w:rStyle w:val="FootnoteReference"/>
        </w:rPr>
        <w:footnoteRef/>
      </w:r>
      <w:r>
        <w:tab/>
      </w:r>
      <w:r w:rsidRPr="00116D26">
        <w:rPr>
          <w:szCs w:val="18"/>
        </w:rPr>
        <w:t>Observer of the Human Rights Council speaking on behalf of Member and observer States.</w:t>
      </w:r>
      <w:r>
        <w:t xml:space="preserve"> </w:t>
      </w:r>
    </w:p>
  </w:footnote>
  <w:footnote w:id="67">
    <w:p w14:paraId="6A2AAF5D" w14:textId="07DC8A62" w:rsidR="001A259A" w:rsidRDefault="001A259A" w:rsidP="000943B0">
      <w:pPr>
        <w:pStyle w:val="FootnoteText"/>
        <w:widowControl w:val="0"/>
        <w:tabs>
          <w:tab w:val="clear" w:pos="1021"/>
          <w:tab w:val="right" w:pos="1020"/>
        </w:tabs>
        <w:suppressAutoHyphens/>
      </w:pPr>
      <w:r>
        <w:tab/>
      </w:r>
      <w:r>
        <w:rPr>
          <w:rStyle w:val="FootnoteReference"/>
        </w:rPr>
        <w:footnoteRef/>
      </w:r>
      <w:r>
        <w:tab/>
      </w:r>
      <w:r w:rsidRPr="0025788C">
        <w:t xml:space="preserve">The representative of </w:t>
      </w:r>
      <w:r>
        <w:t>Somalia</w:t>
      </w:r>
      <w:r w:rsidRPr="0025788C">
        <w:t xml:space="preserve"> subsequently stated that there had been an error in the delegation</w:t>
      </w:r>
      <w:r>
        <w:t>’</w:t>
      </w:r>
      <w:r w:rsidRPr="0025788C">
        <w:t xml:space="preserve">s vote and that it had intended to </w:t>
      </w:r>
      <w:r>
        <w:t>vote in favour of the draft resolution</w:t>
      </w:r>
      <w:r w:rsidRPr="0025788C">
        <w:t>.</w:t>
      </w:r>
      <w:r>
        <w:t xml:space="preserve"> </w:t>
      </w:r>
    </w:p>
  </w:footnote>
  <w:footnote w:id="68">
    <w:p w14:paraId="6A7E05BE" w14:textId="78E57635" w:rsidR="001A259A" w:rsidRDefault="001A259A" w:rsidP="000943B0">
      <w:pPr>
        <w:pStyle w:val="FootnoteText"/>
        <w:widowControl w:val="0"/>
        <w:tabs>
          <w:tab w:val="clear" w:pos="1021"/>
          <w:tab w:val="right" w:pos="1020"/>
        </w:tabs>
        <w:suppressAutoHyphens/>
      </w:pPr>
      <w:r>
        <w:tab/>
      </w:r>
      <w:r>
        <w:rPr>
          <w:rStyle w:val="FootnoteReference"/>
        </w:rPr>
        <w:footnoteRef/>
      </w:r>
      <w:r>
        <w:tab/>
      </w:r>
      <w:r w:rsidRPr="00B661DF">
        <w:t xml:space="preserve">The delegation of </w:t>
      </w:r>
      <w:r>
        <w:t xml:space="preserve">Saudi Arabia </w:t>
      </w:r>
      <w:r w:rsidRPr="0025788C">
        <w:t xml:space="preserve">subsequently stated that it had </w:t>
      </w:r>
      <w:r>
        <w:t xml:space="preserve">not cast a vote and had </w:t>
      </w:r>
      <w:r w:rsidRPr="0025788C">
        <w:t xml:space="preserve">intended to </w:t>
      </w:r>
      <w:r>
        <w:t>vote in favour of the draft resolution</w:t>
      </w:r>
      <w:r w:rsidRPr="00B661DF">
        <w:t>.</w:t>
      </w:r>
      <w:r>
        <w:t xml:space="preserve"> </w:t>
      </w:r>
    </w:p>
  </w:footnote>
  <w:footnote w:id="69">
    <w:p w14:paraId="1A26230B" w14:textId="6D1B4DF8" w:rsidR="001A259A" w:rsidRDefault="001A259A" w:rsidP="000943B0">
      <w:pPr>
        <w:pStyle w:val="FootnoteText"/>
        <w:widowControl w:val="0"/>
        <w:tabs>
          <w:tab w:val="clear" w:pos="1021"/>
          <w:tab w:val="right" w:pos="1020"/>
        </w:tabs>
        <w:suppressAutoHyphens/>
      </w:pPr>
      <w:r>
        <w:tab/>
      </w:r>
      <w:r>
        <w:rPr>
          <w:rStyle w:val="FootnoteReference"/>
        </w:rPr>
        <w:footnoteRef/>
      </w:r>
      <w:r>
        <w:tab/>
      </w:r>
      <w:r w:rsidRPr="00116D26">
        <w:rPr>
          <w:szCs w:val="18"/>
        </w:rPr>
        <w:t>Observer of the Human Rights Council speaking on behalf of Member and observer States.</w:t>
      </w:r>
      <w:r>
        <w:t xml:space="preserve"> </w:t>
      </w:r>
    </w:p>
  </w:footnote>
  <w:footnote w:id="70">
    <w:p w14:paraId="2A1CA7FB" w14:textId="6F3225F8" w:rsidR="001A259A" w:rsidRDefault="001A259A" w:rsidP="000943B0">
      <w:pPr>
        <w:pStyle w:val="FootnoteText"/>
        <w:widowControl w:val="0"/>
        <w:tabs>
          <w:tab w:val="clear" w:pos="1021"/>
          <w:tab w:val="right" w:pos="1020"/>
        </w:tabs>
        <w:suppressAutoHyphens/>
      </w:pPr>
      <w:r>
        <w:tab/>
      </w:r>
      <w:r>
        <w:rPr>
          <w:rStyle w:val="FootnoteReference"/>
        </w:rPr>
        <w:footnoteRef/>
      </w:r>
      <w:r>
        <w:tab/>
      </w:r>
      <w:r w:rsidRPr="00116D26">
        <w:rPr>
          <w:szCs w:val="18"/>
        </w:rPr>
        <w:t>Observer of the Human Rights Council speaking on behalf of Member and observer States.</w:t>
      </w:r>
      <w:r>
        <w:t xml:space="preserve"> </w:t>
      </w:r>
    </w:p>
  </w:footnote>
  <w:footnote w:id="71">
    <w:p w14:paraId="69E8F1F8" w14:textId="0DBDE6DE" w:rsidR="001A259A" w:rsidRDefault="001A259A" w:rsidP="000943B0">
      <w:pPr>
        <w:pStyle w:val="FootnoteText"/>
        <w:widowControl w:val="0"/>
        <w:tabs>
          <w:tab w:val="clear" w:pos="1021"/>
          <w:tab w:val="right" w:pos="1020"/>
        </w:tabs>
        <w:suppressAutoHyphens/>
      </w:pPr>
      <w:r>
        <w:tab/>
      </w:r>
      <w:r>
        <w:rPr>
          <w:rStyle w:val="FootnoteReference"/>
        </w:rPr>
        <w:footnoteRef/>
      </w:r>
      <w:r>
        <w:tab/>
      </w:r>
      <w:r w:rsidRPr="00116D26">
        <w:rPr>
          <w:szCs w:val="18"/>
        </w:rPr>
        <w:t>Observer of the Human Rights Council speaking on behalf of Member and observer States.</w:t>
      </w:r>
      <w:r>
        <w:t xml:space="preserve"> </w:t>
      </w:r>
    </w:p>
  </w:footnote>
  <w:footnote w:id="72">
    <w:p w14:paraId="4F70F730" w14:textId="44B10B13" w:rsidR="001A259A" w:rsidRDefault="001A259A" w:rsidP="000943B0">
      <w:pPr>
        <w:pStyle w:val="FootnoteText"/>
        <w:widowControl w:val="0"/>
        <w:tabs>
          <w:tab w:val="clear" w:pos="1021"/>
          <w:tab w:val="right" w:pos="1020"/>
        </w:tabs>
        <w:suppressAutoHyphens/>
      </w:pPr>
      <w:r>
        <w:tab/>
      </w:r>
      <w:r>
        <w:rPr>
          <w:rStyle w:val="FootnoteReference"/>
        </w:rPr>
        <w:footnoteRef/>
      </w:r>
      <w:r>
        <w:tab/>
      </w:r>
      <w:r w:rsidRPr="00116D26">
        <w:rPr>
          <w:szCs w:val="18"/>
        </w:rPr>
        <w:t>Observer of the Human Rights Council speaking on behalf of Member and observer States.</w:t>
      </w:r>
      <w:r>
        <w:t xml:space="preserve"> </w:t>
      </w:r>
    </w:p>
  </w:footnote>
  <w:footnote w:id="73">
    <w:p w14:paraId="01875037" w14:textId="0DC95F7C" w:rsidR="001A259A" w:rsidRDefault="001A259A" w:rsidP="000943B0">
      <w:pPr>
        <w:pStyle w:val="FootnoteText"/>
        <w:widowControl w:val="0"/>
        <w:tabs>
          <w:tab w:val="clear" w:pos="1021"/>
          <w:tab w:val="right" w:pos="1020"/>
        </w:tabs>
        <w:suppressAutoHyphens/>
      </w:pPr>
      <w:r>
        <w:tab/>
      </w:r>
      <w:r>
        <w:rPr>
          <w:rStyle w:val="FootnoteReference"/>
        </w:rPr>
        <w:footnoteRef/>
      </w:r>
      <w:r>
        <w:tab/>
      </w:r>
      <w:r w:rsidRPr="00116D26">
        <w:rPr>
          <w:szCs w:val="18"/>
        </w:rPr>
        <w:t>Observer of the Human Rights Council speaking on behalf of Member and observer States.</w:t>
      </w:r>
      <w:r>
        <w:t xml:space="preserve"> </w:t>
      </w:r>
    </w:p>
  </w:footnote>
  <w:footnote w:id="74">
    <w:p w14:paraId="1EC9E9F3" w14:textId="0054E084" w:rsidR="001A259A" w:rsidRDefault="001A259A" w:rsidP="000943B0">
      <w:pPr>
        <w:pStyle w:val="FootnoteText"/>
        <w:widowControl w:val="0"/>
        <w:tabs>
          <w:tab w:val="clear" w:pos="1021"/>
          <w:tab w:val="right" w:pos="1020"/>
        </w:tabs>
        <w:suppressAutoHyphens/>
      </w:pPr>
      <w:r>
        <w:tab/>
      </w:r>
      <w:r>
        <w:rPr>
          <w:rStyle w:val="FootnoteReference"/>
        </w:rPr>
        <w:footnoteRef/>
      </w:r>
      <w:r>
        <w:tab/>
      </w:r>
      <w:r w:rsidRPr="00116D26">
        <w:rPr>
          <w:szCs w:val="18"/>
        </w:rPr>
        <w:t>Observer of the Human Rights Council speaking on behalf of Member and observer States.</w:t>
      </w:r>
      <w:r>
        <w:t xml:space="preserve"> </w:t>
      </w:r>
    </w:p>
  </w:footnote>
  <w:footnote w:id="75">
    <w:p w14:paraId="7E674A64" w14:textId="77361777" w:rsidR="001A259A" w:rsidRDefault="001A259A" w:rsidP="000943B0">
      <w:pPr>
        <w:pStyle w:val="FootnoteText"/>
        <w:widowControl w:val="0"/>
        <w:tabs>
          <w:tab w:val="clear" w:pos="1021"/>
          <w:tab w:val="right" w:pos="1020"/>
        </w:tabs>
        <w:suppressAutoHyphens/>
      </w:pPr>
      <w:r>
        <w:tab/>
      </w:r>
      <w:r>
        <w:rPr>
          <w:rStyle w:val="FootnoteReference"/>
        </w:rPr>
        <w:footnoteRef/>
      </w:r>
      <w:r>
        <w:tab/>
      </w:r>
      <w:r w:rsidRPr="00116D26">
        <w:rPr>
          <w:szCs w:val="18"/>
        </w:rPr>
        <w:t>Observer of the Human Rights Council speaking on behalf of Member and observer States.</w:t>
      </w:r>
      <w:r>
        <w:t xml:space="preserve"> </w:t>
      </w:r>
    </w:p>
  </w:footnote>
  <w:footnote w:id="76">
    <w:p w14:paraId="77582F95" w14:textId="200C3715" w:rsidR="001A259A" w:rsidRDefault="001A259A" w:rsidP="000943B0">
      <w:pPr>
        <w:pStyle w:val="FootnoteText"/>
        <w:widowControl w:val="0"/>
        <w:tabs>
          <w:tab w:val="clear" w:pos="1021"/>
          <w:tab w:val="right" w:pos="1020"/>
        </w:tabs>
        <w:suppressAutoHyphens/>
      </w:pPr>
      <w:r>
        <w:tab/>
      </w:r>
      <w:r>
        <w:rPr>
          <w:rStyle w:val="FootnoteReference"/>
        </w:rPr>
        <w:footnoteRef/>
      </w:r>
      <w:r>
        <w:tab/>
      </w:r>
      <w:r w:rsidRPr="00116D26">
        <w:rPr>
          <w:szCs w:val="18"/>
        </w:rPr>
        <w:t>Observer of the Human Rights Council speaking on behalf of Member and observer States.</w:t>
      </w:r>
      <w:r>
        <w:t xml:space="preserve"> </w:t>
      </w:r>
    </w:p>
  </w:footnote>
  <w:footnote w:id="77">
    <w:p w14:paraId="0F453215" w14:textId="52609030" w:rsidR="001A259A" w:rsidRDefault="001A259A" w:rsidP="000943B0">
      <w:pPr>
        <w:pStyle w:val="FootnoteText"/>
        <w:widowControl w:val="0"/>
        <w:tabs>
          <w:tab w:val="clear" w:pos="1021"/>
          <w:tab w:val="right" w:pos="1020"/>
        </w:tabs>
        <w:suppressAutoHyphens/>
      </w:pPr>
      <w:r>
        <w:tab/>
      </w:r>
      <w:r>
        <w:rPr>
          <w:rStyle w:val="FootnoteReference"/>
        </w:rPr>
        <w:footnoteRef/>
      </w:r>
      <w:r>
        <w:tab/>
      </w:r>
      <w:r w:rsidRPr="00116D26">
        <w:rPr>
          <w:szCs w:val="18"/>
        </w:rPr>
        <w:t>Observer of the Human Rights Council speaking on behalf of Member and observer States.</w:t>
      </w:r>
      <w:r>
        <w:t xml:space="preserve"> </w:t>
      </w:r>
    </w:p>
  </w:footnote>
  <w:footnote w:id="78">
    <w:p w14:paraId="4A10E01D" w14:textId="654AA8DC" w:rsidR="001A259A" w:rsidRDefault="001A259A" w:rsidP="000943B0">
      <w:pPr>
        <w:pStyle w:val="FootnoteText"/>
        <w:widowControl w:val="0"/>
        <w:tabs>
          <w:tab w:val="clear" w:pos="1021"/>
          <w:tab w:val="right" w:pos="1020"/>
        </w:tabs>
        <w:suppressAutoHyphens/>
      </w:pPr>
      <w:r>
        <w:tab/>
      </w:r>
      <w:r>
        <w:rPr>
          <w:rStyle w:val="FootnoteReference"/>
        </w:rPr>
        <w:footnoteRef/>
      </w:r>
      <w:r>
        <w:tab/>
      </w:r>
      <w:r w:rsidRPr="00116D26">
        <w:rPr>
          <w:szCs w:val="18"/>
        </w:rPr>
        <w:t>Observer of the Human Rights Council speaking on behalf of Member and observer States.</w:t>
      </w:r>
      <w:r>
        <w:t xml:space="preserve"> </w:t>
      </w:r>
    </w:p>
  </w:footnote>
  <w:footnote w:id="79">
    <w:p w14:paraId="602B6E8A" w14:textId="4F5527E0" w:rsidR="001A259A" w:rsidRDefault="001A259A" w:rsidP="000943B0">
      <w:pPr>
        <w:pStyle w:val="FootnoteText"/>
        <w:widowControl w:val="0"/>
        <w:tabs>
          <w:tab w:val="clear" w:pos="1021"/>
          <w:tab w:val="right" w:pos="1020"/>
        </w:tabs>
        <w:suppressAutoHyphens/>
      </w:pPr>
      <w:r>
        <w:tab/>
      </w:r>
      <w:r>
        <w:rPr>
          <w:rStyle w:val="FootnoteReference"/>
        </w:rPr>
        <w:footnoteRef/>
      </w:r>
      <w:r>
        <w:tab/>
      </w:r>
      <w:r w:rsidRPr="00116D26">
        <w:rPr>
          <w:szCs w:val="18"/>
        </w:rPr>
        <w:t>Observer of the Human Rights Council speaking on behalf of Member and observer States.</w:t>
      </w:r>
      <w:r>
        <w:t xml:space="preserve"> </w:t>
      </w:r>
    </w:p>
  </w:footnote>
  <w:footnote w:id="80">
    <w:p w14:paraId="09ABEA20" w14:textId="64CAB2AE" w:rsidR="001A259A" w:rsidRDefault="001A259A" w:rsidP="000943B0">
      <w:pPr>
        <w:pStyle w:val="FootnoteText"/>
        <w:widowControl w:val="0"/>
        <w:tabs>
          <w:tab w:val="clear" w:pos="1021"/>
          <w:tab w:val="right" w:pos="1020"/>
        </w:tabs>
        <w:suppressAutoHyphens/>
      </w:pPr>
      <w:r>
        <w:tab/>
      </w:r>
      <w:r>
        <w:rPr>
          <w:rStyle w:val="FootnoteReference"/>
        </w:rPr>
        <w:footnoteRef/>
      </w:r>
      <w:r>
        <w:tab/>
      </w:r>
      <w:r w:rsidRPr="00116D26">
        <w:rPr>
          <w:szCs w:val="18"/>
        </w:rPr>
        <w:t>Observer of the Human Rights Council speaking on behalf of Member and observer States.</w:t>
      </w:r>
      <w:r>
        <w:t xml:space="preserve"> </w:t>
      </w:r>
    </w:p>
  </w:footnote>
  <w:footnote w:id="81">
    <w:p w14:paraId="010FFE66" w14:textId="3EE6D09D" w:rsidR="001A259A" w:rsidRDefault="001A259A" w:rsidP="000943B0">
      <w:pPr>
        <w:pStyle w:val="FootnoteText"/>
        <w:widowControl w:val="0"/>
        <w:tabs>
          <w:tab w:val="clear" w:pos="1021"/>
          <w:tab w:val="right" w:pos="1020"/>
        </w:tabs>
        <w:suppressAutoHyphens/>
      </w:pPr>
      <w:r>
        <w:tab/>
      </w:r>
      <w:r>
        <w:rPr>
          <w:rStyle w:val="FootnoteReference"/>
        </w:rPr>
        <w:footnoteRef/>
      </w:r>
      <w:r>
        <w:tab/>
      </w:r>
      <w:r w:rsidRPr="00116D26">
        <w:rPr>
          <w:szCs w:val="18"/>
        </w:rPr>
        <w:t>Observer of the Human Rights Council speaking on behalf of Member and observer States.</w:t>
      </w:r>
      <w:r>
        <w:t xml:space="preserve"> </w:t>
      </w:r>
    </w:p>
  </w:footnote>
  <w:footnote w:id="82">
    <w:p w14:paraId="2A91E3EE" w14:textId="3887A565" w:rsidR="001A259A" w:rsidRDefault="001A259A" w:rsidP="000943B0">
      <w:pPr>
        <w:pStyle w:val="FootnoteText"/>
        <w:widowControl w:val="0"/>
        <w:tabs>
          <w:tab w:val="clear" w:pos="1021"/>
          <w:tab w:val="right" w:pos="1020"/>
        </w:tabs>
        <w:suppressAutoHyphens/>
      </w:pPr>
      <w:r>
        <w:tab/>
      </w:r>
      <w:r>
        <w:rPr>
          <w:rStyle w:val="FootnoteReference"/>
        </w:rPr>
        <w:footnoteRef/>
      </w:r>
      <w:r>
        <w:tab/>
      </w:r>
      <w:r w:rsidRPr="00116D26">
        <w:rPr>
          <w:szCs w:val="18"/>
        </w:rPr>
        <w:t>Observer of the Human Rights Council speaking on behalf of Member and observer States.</w:t>
      </w:r>
      <w:r>
        <w:t xml:space="preserve"> </w:t>
      </w:r>
    </w:p>
  </w:footnote>
  <w:footnote w:id="83">
    <w:p w14:paraId="4A01A416" w14:textId="4494B2BE" w:rsidR="001A259A" w:rsidRDefault="001A259A" w:rsidP="000943B0">
      <w:pPr>
        <w:pStyle w:val="FootnoteText"/>
        <w:widowControl w:val="0"/>
        <w:tabs>
          <w:tab w:val="clear" w:pos="1021"/>
          <w:tab w:val="right" w:pos="1020"/>
        </w:tabs>
        <w:suppressAutoHyphens/>
      </w:pPr>
      <w:r>
        <w:tab/>
      </w:r>
      <w:r>
        <w:rPr>
          <w:rStyle w:val="FootnoteReference"/>
        </w:rPr>
        <w:footnoteRef/>
      </w:r>
      <w:r>
        <w:tab/>
      </w:r>
      <w:r w:rsidRPr="00116D26">
        <w:rPr>
          <w:szCs w:val="18"/>
        </w:rPr>
        <w:t>Observer of the Human Rights Council speaking on behalf of Member and observer States.</w:t>
      </w:r>
      <w:r>
        <w:t xml:space="preserve"> </w:t>
      </w:r>
    </w:p>
  </w:footnote>
  <w:footnote w:id="84">
    <w:p w14:paraId="64341149" w14:textId="6C93832D" w:rsidR="001A259A" w:rsidRDefault="001A259A" w:rsidP="000943B0">
      <w:pPr>
        <w:pStyle w:val="FootnoteText"/>
        <w:widowControl w:val="0"/>
        <w:tabs>
          <w:tab w:val="clear" w:pos="1021"/>
          <w:tab w:val="right" w:pos="1020"/>
        </w:tabs>
        <w:suppressAutoHyphens/>
      </w:pPr>
      <w:r>
        <w:tab/>
      </w:r>
      <w:r>
        <w:rPr>
          <w:rStyle w:val="FootnoteReference"/>
        </w:rPr>
        <w:footnoteRef/>
      </w:r>
      <w:r>
        <w:tab/>
      </w:r>
      <w:r w:rsidRPr="00116D26">
        <w:rPr>
          <w:szCs w:val="18"/>
        </w:rPr>
        <w:t>Observer of the Human Rights Council speaking on behalf of Member and observer States.</w:t>
      </w:r>
      <w:r>
        <w:t xml:space="preserve"> </w:t>
      </w:r>
    </w:p>
  </w:footnote>
  <w:footnote w:id="85">
    <w:p w14:paraId="752C28C4" w14:textId="205A30FA" w:rsidR="001A259A" w:rsidRDefault="001A259A" w:rsidP="000943B0">
      <w:pPr>
        <w:pStyle w:val="FootnoteText"/>
        <w:widowControl w:val="0"/>
        <w:tabs>
          <w:tab w:val="clear" w:pos="1021"/>
          <w:tab w:val="right" w:pos="1020"/>
        </w:tabs>
        <w:suppressAutoHyphens/>
      </w:pPr>
      <w:r>
        <w:tab/>
      </w:r>
      <w:r>
        <w:rPr>
          <w:rStyle w:val="FootnoteReference"/>
        </w:rPr>
        <w:footnoteRef/>
      </w:r>
      <w:r>
        <w:tab/>
      </w:r>
      <w:r w:rsidRPr="00116D26">
        <w:rPr>
          <w:szCs w:val="18"/>
        </w:rPr>
        <w:t>Observer of the Human Rights Council speaking on behalf of Member and observer States.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0B6DD" w14:textId="5C71D938" w:rsidR="001A259A" w:rsidRPr="001B3F75" w:rsidRDefault="001A259A" w:rsidP="001B3F75">
    <w:pPr>
      <w:pStyle w:val="Header"/>
    </w:pPr>
    <w:r w:rsidRPr="0072458E">
      <w:t>A/HRC/</w:t>
    </w:r>
    <w:r>
      <w:t>40</w:t>
    </w:r>
    <w:r w:rsidRPr="0072458E">
      <w:t>/2</w:t>
    </w:r>
  </w:p>
  <w:p w14:paraId="196B4E4E" w14:textId="77777777" w:rsidR="001A259A" w:rsidRDefault="001A259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9310E" w14:textId="7F41411E" w:rsidR="001A259A" w:rsidRDefault="001A259A" w:rsidP="001B3F75">
    <w:pPr>
      <w:pStyle w:val="Header"/>
      <w:jc w:val="right"/>
    </w:pPr>
    <w:r w:rsidRPr="0072458E">
      <w:t>A/HRC/</w:t>
    </w:r>
    <w:r>
      <w:t>40</w:t>
    </w:r>
    <w:r w:rsidRPr="0072458E">
      <w:t>/2</w:t>
    </w:r>
  </w:p>
  <w:p w14:paraId="483123A0" w14:textId="77777777" w:rsidR="001A259A" w:rsidRDefault="001A259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59273" w14:textId="5CEB1321" w:rsidR="001A259A" w:rsidRPr="00BD104F" w:rsidRDefault="001A259A" w:rsidP="001B3F75">
    <w:pPr>
      <w:pStyle w:val="Header"/>
      <w:jc w:val="right"/>
    </w:pPr>
    <w:r w:rsidRPr="0072458E">
      <w:t>A/HRC/</w:t>
    </w:r>
    <w:r>
      <w:t>40</w:t>
    </w:r>
    <w:r w:rsidRPr="0072458E">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980EE60A"/>
    <w:styleLink w:val="11111121"/>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B7AE49A"/>
    <w:styleLink w:val="1ai21"/>
    <w:lvl w:ilvl="0">
      <w:start w:val="1"/>
      <w:numFmt w:val="decimal"/>
      <w:lvlText w:val="%1."/>
      <w:lvlJc w:val="left"/>
      <w:pPr>
        <w:tabs>
          <w:tab w:val="num" w:pos="643"/>
        </w:tabs>
        <w:ind w:left="643" w:hanging="360"/>
      </w:pPr>
    </w:lvl>
  </w:abstractNum>
  <w:abstractNum w:abstractNumId="2" w15:restartNumberingAfterBreak="0">
    <w:nsid w:val="037D0476"/>
    <w:multiLevelType w:val="hybridMultilevel"/>
    <w:tmpl w:val="82162A50"/>
    <w:lvl w:ilvl="0" w:tplc="402AD5A2">
      <w:start w:val="1"/>
      <w:numFmt w:val="decimal"/>
      <w:lvlText w:val="%1."/>
      <w:lvlJc w:val="left"/>
      <w:pPr>
        <w:ind w:left="2823" w:hanging="555"/>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5DD6575"/>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9B02970"/>
    <w:multiLevelType w:val="hybridMultilevel"/>
    <w:tmpl w:val="68505E2C"/>
    <w:lvl w:ilvl="0" w:tplc="402AD5A2">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1BAC3BCF"/>
    <w:multiLevelType w:val="multilevel"/>
    <w:tmpl w:val="0409001F"/>
    <w:styleLink w:val="1ai11"/>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224"/>
        </w:tabs>
        <w:ind w:left="1224" w:hanging="504"/>
      </w:pPr>
    </w:lvl>
    <w:lvl w:ilvl="3">
      <w:start w:val="1"/>
      <w:numFmt w:val="decimal"/>
      <w:pStyle w:val="Heading4"/>
      <w:lvlText w:val="%1.%2.%3.%4."/>
      <w:lvlJc w:val="left"/>
      <w:pPr>
        <w:tabs>
          <w:tab w:val="num" w:pos="1728"/>
        </w:tabs>
        <w:ind w:left="1728" w:hanging="648"/>
      </w:pPr>
    </w:lvl>
    <w:lvl w:ilvl="4">
      <w:start w:val="1"/>
      <w:numFmt w:val="decimal"/>
      <w:pStyle w:val="Heading5"/>
      <w:lvlText w:val="%1.%2.%3.%4.%5."/>
      <w:lvlJc w:val="left"/>
      <w:pPr>
        <w:tabs>
          <w:tab w:val="num" w:pos="2232"/>
        </w:tabs>
        <w:ind w:left="2232" w:hanging="792"/>
      </w:pPr>
    </w:lvl>
    <w:lvl w:ilvl="5">
      <w:start w:val="1"/>
      <w:numFmt w:val="decimal"/>
      <w:pStyle w:val="Heading6"/>
      <w:lvlText w:val="%1.%2.%3.%4.%5.%6."/>
      <w:lvlJc w:val="left"/>
      <w:pPr>
        <w:tabs>
          <w:tab w:val="num" w:pos="2736"/>
        </w:tabs>
        <w:ind w:left="2736" w:hanging="936"/>
      </w:pPr>
    </w:lvl>
    <w:lvl w:ilvl="6">
      <w:start w:val="1"/>
      <w:numFmt w:val="decimal"/>
      <w:pStyle w:val="Heading7"/>
      <w:lvlText w:val="%1.%2.%3.%4.%5.%6.%7."/>
      <w:lvlJc w:val="left"/>
      <w:pPr>
        <w:tabs>
          <w:tab w:val="num" w:pos="3240"/>
        </w:tabs>
        <w:ind w:left="3240" w:hanging="1080"/>
      </w:pPr>
    </w:lvl>
    <w:lvl w:ilvl="7">
      <w:start w:val="1"/>
      <w:numFmt w:val="decimal"/>
      <w:pStyle w:val="Heading8"/>
      <w:lvlText w:val="%1.%2.%3.%4.%5.%6.%7.%8."/>
      <w:lvlJc w:val="left"/>
      <w:pPr>
        <w:tabs>
          <w:tab w:val="num" w:pos="3744"/>
        </w:tabs>
        <w:ind w:left="3744" w:hanging="1224"/>
      </w:pPr>
    </w:lvl>
    <w:lvl w:ilvl="8">
      <w:start w:val="1"/>
      <w:numFmt w:val="decimal"/>
      <w:pStyle w:val="Heading9"/>
      <w:lvlText w:val="%1.%2.%3.%4.%5.%6.%7.%8.%9."/>
      <w:lvlJc w:val="left"/>
      <w:pPr>
        <w:tabs>
          <w:tab w:val="num" w:pos="4320"/>
        </w:tabs>
        <w:ind w:left="4320" w:hanging="1440"/>
      </w:pPr>
    </w:lvl>
  </w:abstractNum>
  <w:abstractNum w:abstractNumId="8" w15:restartNumberingAfterBreak="0">
    <w:nsid w:val="1E085453"/>
    <w:multiLevelType w:val="hybridMultilevel"/>
    <w:tmpl w:val="D2605E52"/>
    <w:lvl w:ilvl="0" w:tplc="402AD5A2">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1F84401D"/>
    <w:multiLevelType w:val="hybridMultilevel"/>
    <w:tmpl w:val="09E4B488"/>
    <w:lvl w:ilvl="0" w:tplc="402AD5A2">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2193446B"/>
    <w:multiLevelType w:val="hybridMultilevel"/>
    <w:tmpl w:val="EFCE4466"/>
    <w:lvl w:ilvl="0" w:tplc="402AD5A2">
      <w:start w:val="1"/>
      <w:numFmt w:val="decimal"/>
      <w:lvlText w:val="%1."/>
      <w:lvlJc w:val="left"/>
      <w:pPr>
        <w:ind w:left="2823" w:hanging="555"/>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2269490F"/>
    <w:multiLevelType w:val="hybridMultilevel"/>
    <w:tmpl w:val="08EED962"/>
    <w:lvl w:ilvl="0" w:tplc="402AD5A2">
      <w:start w:val="1"/>
      <w:numFmt w:val="decimal"/>
      <w:lvlText w:val="%1."/>
      <w:lvlJc w:val="left"/>
      <w:pPr>
        <w:ind w:left="2823" w:hanging="555"/>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251B2C2C"/>
    <w:multiLevelType w:val="hybridMultilevel"/>
    <w:tmpl w:val="7E26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E068E7"/>
    <w:multiLevelType w:val="hybridMultilevel"/>
    <w:tmpl w:val="FA7856CA"/>
    <w:lvl w:ilvl="0" w:tplc="402AD5A2">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2DD17098"/>
    <w:multiLevelType w:val="hybridMultilevel"/>
    <w:tmpl w:val="F68C178E"/>
    <w:lvl w:ilvl="0" w:tplc="402AD5A2">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2ED304F0"/>
    <w:multiLevelType w:val="hybridMultilevel"/>
    <w:tmpl w:val="BCBE6F60"/>
    <w:lvl w:ilvl="0" w:tplc="402AD5A2">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303A6D95"/>
    <w:multiLevelType w:val="hybridMultilevel"/>
    <w:tmpl w:val="C0E0FA98"/>
    <w:lvl w:ilvl="0" w:tplc="402AD5A2">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32D14141"/>
    <w:multiLevelType w:val="hybridMultilevel"/>
    <w:tmpl w:val="43986900"/>
    <w:lvl w:ilvl="0" w:tplc="402AD5A2">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37F852B9"/>
    <w:multiLevelType w:val="hybridMultilevel"/>
    <w:tmpl w:val="A1D854AC"/>
    <w:lvl w:ilvl="0" w:tplc="402AD5A2">
      <w:start w:val="1"/>
      <w:numFmt w:val="decimal"/>
      <w:lvlText w:val="%1."/>
      <w:lvlJc w:val="left"/>
      <w:pPr>
        <w:ind w:left="2823" w:hanging="555"/>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3B5B561B"/>
    <w:multiLevelType w:val="hybridMultilevel"/>
    <w:tmpl w:val="1958C7D6"/>
    <w:lvl w:ilvl="0" w:tplc="402AD5A2">
      <w:start w:val="1"/>
      <w:numFmt w:val="decimal"/>
      <w:lvlText w:val="%1."/>
      <w:lvlJc w:val="left"/>
      <w:pPr>
        <w:ind w:left="2823" w:hanging="555"/>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15:restartNumberingAfterBreak="0">
    <w:nsid w:val="3DC86C8B"/>
    <w:multiLevelType w:val="hybridMultilevel"/>
    <w:tmpl w:val="96FCD898"/>
    <w:lvl w:ilvl="0" w:tplc="402AD5A2">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44A07467"/>
    <w:multiLevelType w:val="hybridMultilevel"/>
    <w:tmpl w:val="B9FEF0C4"/>
    <w:lvl w:ilvl="0" w:tplc="402AD5A2">
      <w:start w:val="1"/>
      <w:numFmt w:val="decimal"/>
      <w:lvlText w:val="%1."/>
      <w:lvlJc w:val="left"/>
      <w:pPr>
        <w:ind w:left="2823" w:hanging="555"/>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2" w15:restartNumberingAfterBreak="0">
    <w:nsid w:val="46573423"/>
    <w:multiLevelType w:val="hybridMultilevel"/>
    <w:tmpl w:val="CA001B12"/>
    <w:lvl w:ilvl="0" w:tplc="402AD5A2">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15:restartNumberingAfterBreak="0">
    <w:nsid w:val="46F15D2E"/>
    <w:multiLevelType w:val="hybridMultilevel"/>
    <w:tmpl w:val="02DABE58"/>
    <w:lvl w:ilvl="0" w:tplc="402AD5A2">
      <w:start w:val="1"/>
      <w:numFmt w:val="decimal"/>
      <w:lvlText w:val="%1."/>
      <w:lvlJc w:val="left"/>
      <w:pPr>
        <w:ind w:left="2823" w:hanging="555"/>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4" w15:restartNumberingAfterBreak="0">
    <w:nsid w:val="48AC2305"/>
    <w:multiLevelType w:val="hybridMultilevel"/>
    <w:tmpl w:val="AE0EBCCC"/>
    <w:lvl w:ilvl="0" w:tplc="402AD5A2">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56BC236F"/>
    <w:multiLevelType w:val="hybridMultilevel"/>
    <w:tmpl w:val="0C2446DE"/>
    <w:lvl w:ilvl="0" w:tplc="402AD5A2">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57BB5EB8"/>
    <w:multiLevelType w:val="hybridMultilevel"/>
    <w:tmpl w:val="80768EAC"/>
    <w:lvl w:ilvl="0" w:tplc="402AD5A2">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57D54F94"/>
    <w:multiLevelType w:val="multilevel"/>
    <w:tmpl w:val="0409001D"/>
    <w:lvl w:ilvl="0">
      <w:start w:val="1"/>
      <w:numFmt w:val="decimal"/>
      <w:pStyle w:val="SDInumratio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B470735"/>
    <w:multiLevelType w:val="multilevel"/>
    <w:tmpl w:val="04090023"/>
    <w:styleLink w:val="1111111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606677AE"/>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15:restartNumberingAfterBreak="0">
    <w:nsid w:val="67061873"/>
    <w:multiLevelType w:val="hybridMultilevel"/>
    <w:tmpl w:val="2D824D8C"/>
    <w:lvl w:ilvl="0" w:tplc="402AD5A2">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6B5B58"/>
    <w:multiLevelType w:val="hybridMultilevel"/>
    <w:tmpl w:val="127EF09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3" w15:restartNumberingAfterBreak="0">
    <w:nsid w:val="6A6C7B95"/>
    <w:multiLevelType w:val="hybridMultilevel"/>
    <w:tmpl w:val="010EC38C"/>
    <w:lvl w:ilvl="0" w:tplc="402AD5A2">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4" w15:restartNumberingAfterBreak="0">
    <w:nsid w:val="78651664"/>
    <w:multiLevelType w:val="hybridMultilevel"/>
    <w:tmpl w:val="6DF01E1C"/>
    <w:lvl w:ilvl="0" w:tplc="402AD5A2">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3"/>
  </w:num>
  <w:num w:numId="2">
    <w:abstractNumId w:val="31"/>
  </w:num>
  <w:num w:numId="3">
    <w:abstractNumId w:val="0"/>
  </w:num>
  <w:num w:numId="4">
    <w:abstractNumId w:val="1"/>
  </w:num>
  <w:num w:numId="5">
    <w:abstractNumId w:val="7"/>
  </w:num>
  <w:num w:numId="6">
    <w:abstractNumId w:val="29"/>
  </w:num>
  <w:num w:numId="7">
    <w:abstractNumId w:val="5"/>
  </w:num>
  <w:num w:numId="8">
    <w:abstractNumId w:val="27"/>
  </w:num>
  <w:num w:numId="9">
    <w:abstractNumId w:val="28"/>
  </w:num>
  <w:num w:numId="10">
    <w:abstractNumId w:val="4"/>
  </w:num>
  <w:num w:numId="11">
    <w:abstractNumId w:val="12"/>
  </w:num>
  <w:num w:numId="12">
    <w:abstractNumId w:val="32"/>
  </w:num>
  <w:num w:numId="13">
    <w:abstractNumId w:val="9"/>
  </w:num>
  <w:num w:numId="14">
    <w:abstractNumId w:val="24"/>
  </w:num>
  <w:num w:numId="15">
    <w:abstractNumId w:val="21"/>
  </w:num>
  <w:num w:numId="16">
    <w:abstractNumId w:val="20"/>
  </w:num>
  <w:num w:numId="17">
    <w:abstractNumId w:val="22"/>
  </w:num>
  <w:num w:numId="18">
    <w:abstractNumId w:val="11"/>
  </w:num>
  <w:num w:numId="19">
    <w:abstractNumId w:val="26"/>
  </w:num>
  <w:num w:numId="20">
    <w:abstractNumId w:val="16"/>
  </w:num>
  <w:num w:numId="21">
    <w:abstractNumId w:val="10"/>
  </w:num>
  <w:num w:numId="22">
    <w:abstractNumId w:val="6"/>
  </w:num>
  <w:num w:numId="23">
    <w:abstractNumId w:val="34"/>
  </w:num>
  <w:num w:numId="24">
    <w:abstractNumId w:val="18"/>
  </w:num>
  <w:num w:numId="25">
    <w:abstractNumId w:val="14"/>
  </w:num>
  <w:num w:numId="26">
    <w:abstractNumId w:val="15"/>
  </w:num>
  <w:num w:numId="27">
    <w:abstractNumId w:val="19"/>
  </w:num>
  <w:num w:numId="28">
    <w:abstractNumId w:val="33"/>
  </w:num>
  <w:num w:numId="29">
    <w:abstractNumId w:val="13"/>
  </w:num>
  <w:num w:numId="30">
    <w:abstractNumId w:val="23"/>
  </w:num>
  <w:num w:numId="31">
    <w:abstractNumId w:val="8"/>
  </w:num>
  <w:num w:numId="32">
    <w:abstractNumId w:val="17"/>
  </w:num>
  <w:num w:numId="33">
    <w:abstractNumId w:val="2"/>
  </w:num>
  <w:num w:numId="34">
    <w:abstractNumId w:val="25"/>
  </w:num>
  <w:num w:numId="35">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en-ZW" w:vendorID="64" w:dllVersion="131078" w:nlCheck="1" w:checkStyle="1"/>
  <w:activeWritingStyle w:appName="MSWord" w:lang="en-CA" w:vendorID="64" w:dllVersion="131078" w:nlCheck="1" w:checkStyle="1"/>
  <w:activeWritingStyle w:appName="MSWord" w:lang="es-ES_tradnl" w:vendorID="64" w:dllVersion="131078" w:nlCheck="1" w:checkStyle="0"/>
  <w:activeWritingStyle w:appName="MSWord" w:lang="fr-FR" w:vendorID="64" w:dllVersion="131078" w:nlCheck="1" w:checkStyle="0"/>
  <w:activeWritingStyle w:appName="MSWord" w:lang="en-AU" w:vendorID="64" w:dllVersion="131078" w:nlCheck="1" w:checkStyle="1"/>
  <w:activeWritingStyle w:appName="MSWord" w:lang="es-MX" w:vendorID="64" w:dllVersion="131078" w:nlCheck="1" w:checkStyle="0"/>
  <w:proofState w:grammar="clean"/>
  <w:defaultTabStop w:val="567"/>
  <w:evenAndOddHeaders/>
  <w:characterSpacingControl w:val="doNotCompress"/>
  <w:hdrShapeDefaults>
    <o:shapedefaults v:ext="edit" spidmax="13516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5D"/>
    <w:rsid w:val="00001606"/>
    <w:rsid w:val="0000194B"/>
    <w:rsid w:val="0000615F"/>
    <w:rsid w:val="00007F04"/>
    <w:rsid w:val="00010BB3"/>
    <w:rsid w:val="000110A1"/>
    <w:rsid w:val="000115F1"/>
    <w:rsid w:val="0001263C"/>
    <w:rsid w:val="00012E29"/>
    <w:rsid w:val="00016785"/>
    <w:rsid w:val="000167FD"/>
    <w:rsid w:val="00016F07"/>
    <w:rsid w:val="000176F6"/>
    <w:rsid w:val="0001783B"/>
    <w:rsid w:val="00022A69"/>
    <w:rsid w:val="00022BB9"/>
    <w:rsid w:val="00025955"/>
    <w:rsid w:val="00025966"/>
    <w:rsid w:val="00025AE4"/>
    <w:rsid w:val="00026144"/>
    <w:rsid w:val="00027FDA"/>
    <w:rsid w:val="0003085D"/>
    <w:rsid w:val="00031F5C"/>
    <w:rsid w:val="00031F8B"/>
    <w:rsid w:val="00032D91"/>
    <w:rsid w:val="00034CA2"/>
    <w:rsid w:val="00035CE8"/>
    <w:rsid w:val="000411C5"/>
    <w:rsid w:val="0004192C"/>
    <w:rsid w:val="00041A36"/>
    <w:rsid w:val="00041FE8"/>
    <w:rsid w:val="00042B86"/>
    <w:rsid w:val="00042F4E"/>
    <w:rsid w:val="00043347"/>
    <w:rsid w:val="00043929"/>
    <w:rsid w:val="000444F9"/>
    <w:rsid w:val="00044510"/>
    <w:rsid w:val="00044613"/>
    <w:rsid w:val="000456D5"/>
    <w:rsid w:val="00047BBB"/>
    <w:rsid w:val="00050166"/>
    <w:rsid w:val="00050288"/>
    <w:rsid w:val="00054318"/>
    <w:rsid w:val="00054B8C"/>
    <w:rsid w:val="00054D68"/>
    <w:rsid w:val="000552E1"/>
    <w:rsid w:val="000554F1"/>
    <w:rsid w:val="00056B46"/>
    <w:rsid w:val="000571B6"/>
    <w:rsid w:val="000575CB"/>
    <w:rsid w:val="000605ED"/>
    <w:rsid w:val="00060DD4"/>
    <w:rsid w:val="000610F0"/>
    <w:rsid w:val="00061A18"/>
    <w:rsid w:val="000649E7"/>
    <w:rsid w:val="00064A0E"/>
    <w:rsid w:val="000715BE"/>
    <w:rsid w:val="0007301D"/>
    <w:rsid w:val="0007376E"/>
    <w:rsid w:val="000751F7"/>
    <w:rsid w:val="00075A30"/>
    <w:rsid w:val="00076D88"/>
    <w:rsid w:val="000804D2"/>
    <w:rsid w:val="00082330"/>
    <w:rsid w:val="00083CBD"/>
    <w:rsid w:val="0008411D"/>
    <w:rsid w:val="000903E6"/>
    <w:rsid w:val="00091A1B"/>
    <w:rsid w:val="000943B0"/>
    <w:rsid w:val="00094926"/>
    <w:rsid w:val="0009554A"/>
    <w:rsid w:val="000960AD"/>
    <w:rsid w:val="000969CD"/>
    <w:rsid w:val="000A0232"/>
    <w:rsid w:val="000A1525"/>
    <w:rsid w:val="000A2A0B"/>
    <w:rsid w:val="000A2EBB"/>
    <w:rsid w:val="000A34A4"/>
    <w:rsid w:val="000A43A0"/>
    <w:rsid w:val="000A69DE"/>
    <w:rsid w:val="000A79E9"/>
    <w:rsid w:val="000B0657"/>
    <w:rsid w:val="000B0DF6"/>
    <w:rsid w:val="000B11E7"/>
    <w:rsid w:val="000B1B1F"/>
    <w:rsid w:val="000B34DF"/>
    <w:rsid w:val="000B367E"/>
    <w:rsid w:val="000B3925"/>
    <w:rsid w:val="000B5138"/>
    <w:rsid w:val="000B5C00"/>
    <w:rsid w:val="000B65FE"/>
    <w:rsid w:val="000B67D8"/>
    <w:rsid w:val="000B76D8"/>
    <w:rsid w:val="000C0FE9"/>
    <w:rsid w:val="000C359D"/>
    <w:rsid w:val="000C3D9B"/>
    <w:rsid w:val="000C40EB"/>
    <w:rsid w:val="000C6269"/>
    <w:rsid w:val="000D1158"/>
    <w:rsid w:val="000D1B26"/>
    <w:rsid w:val="000D2350"/>
    <w:rsid w:val="000D24A3"/>
    <w:rsid w:val="000D375D"/>
    <w:rsid w:val="000D4A71"/>
    <w:rsid w:val="000D4B00"/>
    <w:rsid w:val="000D53D2"/>
    <w:rsid w:val="000D7692"/>
    <w:rsid w:val="000E05A0"/>
    <w:rsid w:val="000E0AEC"/>
    <w:rsid w:val="000E1B18"/>
    <w:rsid w:val="000E5741"/>
    <w:rsid w:val="000E5D43"/>
    <w:rsid w:val="000E7B28"/>
    <w:rsid w:val="000F06AD"/>
    <w:rsid w:val="000F0B93"/>
    <w:rsid w:val="000F1EBC"/>
    <w:rsid w:val="000F2992"/>
    <w:rsid w:val="000F56AD"/>
    <w:rsid w:val="000F6A28"/>
    <w:rsid w:val="000F74CD"/>
    <w:rsid w:val="001014A0"/>
    <w:rsid w:val="00104051"/>
    <w:rsid w:val="00106E2C"/>
    <w:rsid w:val="00107244"/>
    <w:rsid w:val="00110F16"/>
    <w:rsid w:val="001111B8"/>
    <w:rsid w:val="001120DB"/>
    <w:rsid w:val="0011217F"/>
    <w:rsid w:val="00112ED7"/>
    <w:rsid w:val="001130FB"/>
    <w:rsid w:val="00113865"/>
    <w:rsid w:val="00113A33"/>
    <w:rsid w:val="00113DE2"/>
    <w:rsid w:val="00114124"/>
    <w:rsid w:val="001152E5"/>
    <w:rsid w:val="00115702"/>
    <w:rsid w:val="00115D94"/>
    <w:rsid w:val="00116B87"/>
    <w:rsid w:val="00116D26"/>
    <w:rsid w:val="00116E71"/>
    <w:rsid w:val="00117EE3"/>
    <w:rsid w:val="00120FEE"/>
    <w:rsid w:val="001215B6"/>
    <w:rsid w:val="0012237F"/>
    <w:rsid w:val="00122D68"/>
    <w:rsid w:val="00123383"/>
    <w:rsid w:val="0012346B"/>
    <w:rsid w:val="00125EBB"/>
    <w:rsid w:val="001265B7"/>
    <w:rsid w:val="001270BF"/>
    <w:rsid w:val="001271EE"/>
    <w:rsid w:val="00127298"/>
    <w:rsid w:val="0013065A"/>
    <w:rsid w:val="00131407"/>
    <w:rsid w:val="00131673"/>
    <w:rsid w:val="0013187F"/>
    <w:rsid w:val="00132480"/>
    <w:rsid w:val="001325A3"/>
    <w:rsid w:val="0013453E"/>
    <w:rsid w:val="001353C6"/>
    <w:rsid w:val="00136BF7"/>
    <w:rsid w:val="001410D8"/>
    <w:rsid w:val="00141AFC"/>
    <w:rsid w:val="00143189"/>
    <w:rsid w:val="0014391D"/>
    <w:rsid w:val="00144118"/>
    <w:rsid w:val="00144306"/>
    <w:rsid w:val="00147C0B"/>
    <w:rsid w:val="001513A2"/>
    <w:rsid w:val="00151568"/>
    <w:rsid w:val="001515A1"/>
    <w:rsid w:val="00151D7E"/>
    <w:rsid w:val="0015259E"/>
    <w:rsid w:val="001550D7"/>
    <w:rsid w:val="0015694E"/>
    <w:rsid w:val="00157404"/>
    <w:rsid w:val="00157723"/>
    <w:rsid w:val="00157757"/>
    <w:rsid w:val="00157AB9"/>
    <w:rsid w:val="00157F6B"/>
    <w:rsid w:val="00157F8A"/>
    <w:rsid w:val="00160D0F"/>
    <w:rsid w:val="00160DEA"/>
    <w:rsid w:val="00162F52"/>
    <w:rsid w:val="001638A2"/>
    <w:rsid w:val="0016496D"/>
    <w:rsid w:val="00164DC2"/>
    <w:rsid w:val="00167568"/>
    <w:rsid w:val="00170C28"/>
    <w:rsid w:val="00172A87"/>
    <w:rsid w:val="00174339"/>
    <w:rsid w:val="00174A95"/>
    <w:rsid w:val="00175430"/>
    <w:rsid w:val="001758BE"/>
    <w:rsid w:val="00175982"/>
    <w:rsid w:val="00175CAA"/>
    <w:rsid w:val="001763E0"/>
    <w:rsid w:val="001813D2"/>
    <w:rsid w:val="00181577"/>
    <w:rsid w:val="001822A9"/>
    <w:rsid w:val="00183A25"/>
    <w:rsid w:val="0018478D"/>
    <w:rsid w:val="00184FA1"/>
    <w:rsid w:val="001866EC"/>
    <w:rsid w:val="001918ED"/>
    <w:rsid w:val="00192538"/>
    <w:rsid w:val="00192772"/>
    <w:rsid w:val="00192936"/>
    <w:rsid w:val="00194177"/>
    <w:rsid w:val="001971FC"/>
    <w:rsid w:val="001A259A"/>
    <w:rsid w:val="001A3171"/>
    <w:rsid w:val="001A3386"/>
    <w:rsid w:val="001A3442"/>
    <w:rsid w:val="001A380F"/>
    <w:rsid w:val="001A5732"/>
    <w:rsid w:val="001A6CDD"/>
    <w:rsid w:val="001A6F97"/>
    <w:rsid w:val="001A7243"/>
    <w:rsid w:val="001A7753"/>
    <w:rsid w:val="001A7D5A"/>
    <w:rsid w:val="001B0569"/>
    <w:rsid w:val="001B119B"/>
    <w:rsid w:val="001B1F32"/>
    <w:rsid w:val="001B3356"/>
    <w:rsid w:val="001B3F75"/>
    <w:rsid w:val="001B4249"/>
    <w:rsid w:val="001B4B81"/>
    <w:rsid w:val="001B7147"/>
    <w:rsid w:val="001C15AC"/>
    <w:rsid w:val="001C34F1"/>
    <w:rsid w:val="001C530B"/>
    <w:rsid w:val="001C58CD"/>
    <w:rsid w:val="001C757E"/>
    <w:rsid w:val="001D04D2"/>
    <w:rsid w:val="001D0F35"/>
    <w:rsid w:val="001D1B52"/>
    <w:rsid w:val="001D2FB4"/>
    <w:rsid w:val="001D35B5"/>
    <w:rsid w:val="001D5510"/>
    <w:rsid w:val="001D5974"/>
    <w:rsid w:val="001D5DB2"/>
    <w:rsid w:val="001D69A6"/>
    <w:rsid w:val="001D6DA7"/>
    <w:rsid w:val="001E0940"/>
    <w:rsid w:val="001E1901"/>
    <w:rsid w:val="001E6533"/>
    <w:rsid w:val="001F129F"/>
    <w:rsid w:val="001F1C89"/>
    <w:rsid w:val="001F267D"/>
    <w:rsid w:val="001F292D"/>
    <w:rsid w:val="001F3103"/>
    <w:rsid w:val="001F3EB3"/>
    <w:rsid w:val="001F4958"/>
    <w:rsid w:val="001F5241"/>
    <w:rsid w:val="001F7E35"/>
    <w:rsid w:val="00200C13"/>
    <w:rsid w:val="002023F5"/>
    <w:rsid w:val="00202A55"/>
    <w:rsid w:val="00202E9F"/>
    <w:rsid w:val="00202FBF"/>
    <w:rsid w:val="00203EF5"/>
    <w:rsid w:val="00205737"/>
    <w:rsid w:val="002072D7"/>
    <w:rsid w:val="00207CDC"/>
    <w:rsid w:val="002101F7"/>
    <w:rsid w:val="00210D09"/>
    <w:rsid w:val="002113D3"/>
    <w:rsid w:val="002115DE"/>
    <w:rsid w:val="002118F9"/>
    <w:rsid w:val="002124EE"/>
    <w:rsid w:val="00212F9D"/>
    <w:rsid w:val="0021361D"/>
    <w:rsid w:val="002139E4"/>
    <w:rsid w:val="00213E36"/>
    <w:rsid w:val="00215798"/>
    <w:rsid w:val="0021637F"/>
    <w:rsid w:val="0021672A"/>
    <w:rsid w:val="00216F3E"/>
    <w:rsid w:val="002269B0"/>
    <w:rsid w:val="0022700A"/>
    <w:rsid w:val="00230B44"/>
    <w:rsid w:val="00232033"/>
    <w:rsid w:val="00232300"/>
    <w:rsid w:val="002328A2"/>
    <w:rsid w:val="0023404B"/>
    <w:rsid w:val="002341CE"/>
    <w:rsid w:val="002344E6"/>
    <w:rsid w:val="00234E64"/>
    <w:rsid w:val="002353E3"/>
    <w:rsid w:val="00235420"/>
    <w:rsid w:val="002355F1"/>
    <w:rsid w:val="00236585"/>
    <w:rsid w:val="0023658A"/>
    <w:rsid w:val="002372DC"/>
    <w:rsid w:val="00237DB0"/>
    <w:rsid w:val="00240B68"/>
    <w:rsid w:val="002468CD"/>
    <w:rsid w:val="00246FF0"/>
    <w:rsid w:val="00250AFB"/>
    <w:rsid w:val="00251318"/>
    <w:rsid w:val="002513AA"/>
    <w:rsid w:val="0025196A"/>
    <w:rsid w:val="0025323B"/>
    <w:rsid w:val="00253558"/>
    <w:rsid w:val="002543C6"/>
    <w:rsid w:val="00254C82"/>
    <w:rsid w:val="00255F99"/>
    <w:rsid w:val="0025715E"/>
    <w:rsid w:val="0025788C"/>
    <w:rsid w:val="00260DA8"/>
    <w:rsid w:val="00261D42"/>
    <w:rsid w:val="0026227A"/>
    <w:rsid w:val="00262ADE"/>
    <w:rsid w:val="0026406B"/>
    <w:rsid w:val="0026437F"/>
    <w:rsid w:val="00265671"/>
    <w:rsid w:val="0026611B"/>
    <w:rsid w:val="0027032B"/>
    <w:rsid w:val="00270941"/>
    <w:rsid w:val="00270EB6"/>
    <w:rsid w:val="00271699"/>
    <w:rsid w:val="00272490"/>
    <w:rsid w:val="002724F8"/>
    <w:rsid w:val="00272D75"/>
    <w:rsid w:val="00272E5D"/>
    <w:rsid w:val="00275CB0"/>
    <w:rsid w:val="00275FF4"/>
    <w:rsid w:val="0028097F"/>
    <w:rsid w:val="00281FDC"/>
    <w:rsid w:val="00283937"/>
    <w:rsid w:val="00283948"/>
    <w:rsid w:val="002853ED"/>
    <w:rsid w:val="00287163"/>
    <w:rsid w:val="00287C4C"/>
    <w:rsid w:val="00291091"/>
    <w:rsid w:val="00292834"/>
    <w:rsid w:val="00292929"/>
    <w:rsid w:val="0029406E"/>
    <w:rsid w:val="0029452F"/>
    <w:rsid w:val="00296342"/>
    <w:rsid w:val="002A1030"/>
    <w:rsid w:val="002A1B79"/>
    <w:rsid w:val="002A2149"/>
    <w:rsid w:val="002A2AD3"/>
    <w:rsid w:val="002A37AB"/>
    <w:rsid w:val="002A5E4D"/>
    <w:rsid w:val="002A728F"/>
    <w:rsid w:val="002B0A0D"/>
    <w:rsid w:val="002B0ACB"/>
    <w:rsid w:val="002B2797"/>
    <w:rsid w:val="002B317C"/>
    <w:rsid w:val="002B42D8"/>
    <w:rsid w:val="002B4AE4"/>
    <w:rsid w:val="002B5E29"/>
    <w:rsid w:val="002B76F1"/>
    <w:rsid w:val="002B7D04"/>
    <w:rsid w:val="002C1D77"/>
    <w:rsid w:val="002C3CCD"/>
    <w:rsid w:val="002C4468"/>
    <w:rsid w:val="002C447D"/>
    <w:rsid w:val="002C540A"/>
    <w:rsid w:val="002C5ECC"/>
    <w:rsid w:val="002C67E4"/>
    <w:rsid w:val="002D056F"/>
    <w:rsid w:val="002D0FBA"/>
    <w:rsid w:val="002D1E07"/>
    <w:rsid w:val="002D20B3"/>
    <w:rsid w:val="002D2AE3"/>
    <w:rsid w:val="002D3592"/>
    <w:rsid w:val="002D3C8A"/>
    <w:rsid w:val="002D4DB2"/>
    <w:rsid w:val="002D5D91"/>
    <w:rsid w:val="002D7888"/>
    <w:rsid w:val="002E153B"/>
    <w:rsid w:val="002E17EA"/>
    <w:rsid w:val="002E41F1"/>
    <w:rsid w:val="002E4B83"/>
    <w:rsid w:val="002E672F"/>
    <w:rsid w:val="002F034A"/>
    <w:rsid w:val="002F05AE"/>
    <w:rsid w:val="002F070E"/>
    <w:rsid w:val="002F0774"/>
    <w:rsid w:val="002F0FC2"/>
    <w:rsid w:val="002F1FBD"/>
    <w:rsid w:val="002F3D95"/>
    <w:rsid w:val="002F60B0"/>
    <w:rsid w:val="002F6435"/>
    <w:rsid w:val="0030228F"/>
    <w:rsid w:val="00303095"/>
    <w:rsid w:val="0030359F"/>
    <w:rsid w:val="003049B0"/>
    <w:rsid w:val="00306418"/>
    <w:rsid w:val="00307177"/>
    <w:rsid w:val="00307BA8"/>
    <w:rsid w:val="00313EEA"/>
    <w:rsid w:val="00314856"/>
    <w:rsid w:val="00314DD5"/>
    <w:rsid w:val="0031560F"/>
    <w:rsid w:val="00316A2C"/>
    <w:rsid w:val="00316EE9"/>
    <w:rsid w:val="0031701B"/>
    <w:rsid w:val="00317729"/>
    <w:rsid w:val="003215DB"/>
    <w:rsid w:val="00321B3B"/>
    <w:rsid w:val="00323457"/>
    <w:rsid w:val="00325217"/>
    <w:rsid w:val="0032631B"/>
    <w:rsid w:val="00326BEB"/>
    <w:rsid w:val="00327486"/>
    <w:rsid w:val="0033063E"/>
    <w:rsid w:val="0033239F"/>
    <w:rsid w:val="00333E37"/>
    <w:rsid w:val="00334079"/>
    <w:rsid w:val="00335AC3"/>
    <w:rsid w:val="0033667E"/>
    <w:rsid w:val="003417C9"/>
    <w:rsid w:val="003423C0"/>
    <w:rsid w:val="003430CC"/>
    <w:rsid w:val="0034360C"/>
    <w:rsid w:val="003437CD"/>
    <w:rsid w:val="00343D72"/>
    <w:rsid w:val="00345E62"/>
    <w:rsid w:val="00346463"/>
    <w:rsid w:val="003466A6"/>
    <w:rsid w:val="0034732E"/>
    <w:rsid w:val="00350DC4"/>
    <w:rsid w:val="0035138F"/>
    <w:rsid w:val="003514FC"/>
    <w:rsid w:val="00352ECB"/>
    <w:rsid w:val="0035554B"/>
    <w:rsid w:val="00355686"/>
    <w:rsid w:val="00355929"/>
    <w:rsid w:val="00355B35"/>
    <w:rsid w:val="00356BFE"/>
    <w:rsid w:val="00356CA3"/>
    <w:rsid w:val="0035721D"/>
    <w:rsid w:val="00357245"/>
    <w:rsid w:val="00360E31"/>
    <w:rsid w:val="00361B2C"/>
    <w:rsid w:val="00361E7B"/>
    <w:rsid w:val="00362855"/>
    <w:rsid w:val="00362FC5"/>
    <w:rsid w:val="0036325B"/>
    <w:rsid w:val="003635CC"/>
    <w:rsid w:val="003640E0"/>
    <w:rsid w:val="00366BCA"/>
    <w:rsid w:val="003678B9"/>
    <w:rsid w:val="00371435"/>
    <w:rsid w:val="00371C4B"/>
    <w:rsid w:val="00372CCE"/>
    <w:rsid w:val="00373711"/>
    <w:rsid w:val="003737F6"/>
    <w:rsid w:val="0037406D"/>
    <w:rsid w:val="0037499D"/>
    <w:rsid w:val="0037538E"/>
    <w:rsid w:val="00375C4D"/>
    <w:rsid w:val="00376069"/>
    <w:rsid w:val="003762C5"/>
    <w:rsid w:val="003822D1"/>
    <w:rsid w:val="00382A96"/>
    <w:rsid w:val="00382E1E"/>
    <w:rsid w:val="00383211"/>
    <w:rsid w:val="00383EE4"/>
    <w:rsid w:val="00384B26"/>
    <w:rsid w:val="0038554B"/>
    <w:rsid w:val="00385679"/>
    <w:rsid w:val="00391180"/>
    <w:rsid w:val="003928B8"/>
    <w:rsid w:val="00393390"/>
    <w:rsid w:val="003936F7"/>
    <w:rsid w:val="00395861"/>
    <w:rsid w:val="003A047E"/>
    <w:rsid w:val="003A2079"/>
    <w:rsid w:val="003A39DC"/>
    <w:rsid w:val="003A530B"/>
    <w:rsid w:val="003B08A8"/>
    <w:rsid w:val="003B3692"/>
    <w:rsid w:val="003B53BA"/>
    <w:rsid w:val="003B568F"/>
    <w:rsid w:val="003B5F7D"/>
    <w:rsid w:val="003B6631"/>
    <w:rsid w:val="003C183A"/>
    <w:rsid w:val="003C20AF"/>
    <w:rsid w:val="003C317E"/>
    <w:rsid w:val="003C48B3"/>
    <w:rsid w:val="003C50B6"/>
    <w:rsid w:val="003C5E16"/>
    <w:rsid w:val="003C7A02"/>
    <w:rsid w:val="003D163F"/>
    <w:rsid w:val="003D4322"/>
    <w:rsid w:val="003D542C"/>
    <w:rsid w:val="003D5A4B"/>
    <w:rsid w:val="003D78E6"/>
    <w:rsid w:val="003E07B3"/>
    <w:rsid w:val="003E0CA6"/>
    <w:rsid w:val="003E0DB2"/>
    <w:rsid w:val="003E128B"/>
    <w:rsid w:val="003E161A"/>
    <w:rsid w:val="003E19D7"/>
    <w:rsid w:val="003E344C"/>
    <w:rsid w:val="003E5087"/>
    <w:rsid w:val="003E50C6"/>
    <w:rsid w:val="003E5372"/>
    <w:rsid w:val="003E6D1A"/>
    <w:rsid w:val="003F0144"/>
    <w:rsid w:val="003F07AE"/>
    <w:rsid w:val="003F1329"/>
    <w:rsid w:val="003F4875"/>
    <w:rsid w:val="003F49ED"/>
    <w:rsid w:val="003F63A6"/>
    <w:rsid w:val="0040040E"/>
    <w:rsid w:val="00400DD7"/>
    <w:rsid w:val="00401B5F"/>
    <w:rsid w:val="00401D47"/>
    <w:rsid w:val="0040361A"/>
    <w:rsid w:val="00407CF6"/>
    <w:rsid w:val="004123EE"/>
    <w:rsid w:val="0041247A"/>
    <w:rsid w:val="004126AB"/>
    <w:rsid w:val="00413B56"/>
    <w:rsid w:val="00413C7D"/>
    <w:rsid w:val="00414AC5"/>
    <w:rsid w:val="00414E76"/>
    <w:rsid w:val="004152C7"/>
    <w:rsid w:val="00415787"/>
    <w:rsid w:val="00416ECE"/>
    <w:rsid w:val="0042443E"/>
    <w:rsid w:val="00424A3D"/>
    <w:rsid w:val="0042610D"/>
    <w:rsid w:val="004264C3"/>
    <w:rsid w:val="0042753B"/>
    <w:rsid w:val="00427867"/>
    <w:rsid w:val="00427D66"/>
    <w:rsid w:val="00430617"/>
    <w:rsid w:val="00430E53"/>
    <w:rsid w:val="004312AB"/>
    <w:rsid w:val="0043313C"/>
    <w:rsid w:val="00433BD7"/>
    <w:rsid w:val="00433D0F"/>
    <w:rsid w:val="00434782"/>
    <w:rsid w:val="0043516C"/>
    <w:rsid w:val="004369C9"/>
    <w:rsid w:val="004369F9"/>
    <w:rsid w:val="00440F44"/>
    <w:rsid w:val="00441F5A"/>
    <w:rsid w:val="00441F88"/>
    <w:rsid w:val="00442F49"/>
    <w:rsid w:val="00443A1D"/>
    <w:rsid w:val="00443B94"/>
    <w:rsid w:val="004443C8"/>
    <w:rsid w:val="00445346"/>
    <w:rsid w:val="00445356"/>
    <w:rsid w:val="0044574C"/>
    <w:rsid w:val="00445E1B"/>
    <w:rsid w:val="00446498"/>
    <w:rsid w:val="0044773A"/>
    <w:rsid w:val="00451E89"/>
    <w:rsid w:val="00452565"/>
    <w:rsid w:val="00453656"/>
    <w:rsid w:val="00454314"/>
    <w:rsid w:val="004547E9"/>
    <w:rsid w:val="00454BC4"/>
    <w:rsid w:val="0045605D"/>
    <w:rsid w:val="00456A1D"/>
    <w:rsid w:val="00456F4D"/>
    <w:rsid w:val="004603DB"/>
    <w:rsid w:val="00460B3A"/>
    <w:rsid w:val="004629B8"/>
    <w:rsid w:val="00462CCA"/>
    <w:rsid w:val="00463086"/>
    <w:rsid w:val="004630B4"/>
    <w:rsid w:val="00463AE3"/>
    <w:rsid w:val="00463F4C"/>
    <w:rsid w:val="0046436A"/>
    <w:rsid w:val="00465830"/>
    <w:rsid w:val="0047223F"/>
    <w:rsid w:val="00473E28"/>
    <w:rsid w:val="004770A3"/>
    <w:rsid w:val="00477EEF"/>
    <w:rsid w:val="00480096"/>
    <w:rsid w:val="004809DA"/>
    <w:rsid w:val="00480B76"/>
    <w:rsid w:val="00480C78"/>
    <w:rsid w:val="00481775"/>
    <w:rsid w:val="0048367B"/>
    <w:rsid w:val="00486770"/>
    <w:rsid w:val="004910EC"/>
    <w:rsid w:val="004927BF"/>
    <w:rsid w:val="004933CA"/>
    <w:rsid w:val="004951EE"/>
    <w:rsid w:val="004965D5"/>
    <w:rsid w:val="004969A5"/>
    <w:rsid w:val="004A1B43"/>
    <w:rsid w:val="004A2B35"/>
    <w:rsid w:val="004A3664"/>
    <w:rsid w:val="004A4308"/>
    <w:rsid w:val="004A5293"/>
    <w:rsid w:val="004A57EA"/>
    <w:rsid w:val="004A5BFE"/>
    <w:rsid w:val="004A790A"/>
    <w:rsid w:val="004A7964"/>
    <w:rsid w:val="004A79E0"/>
    <w:rsid w:val="004A7D74"/>
    <w:rsid w:val="004B1A4D"/>
    <w:rsid w:val="004B1AD2"/>
    <w:rsid w:val="004B20F3"/>
    <w:rsid w:val="004B4683"/>
    <w:rsid w:val="004B468F"/>
    <w:rsid w:val="004B493B"/>
    <w:rsid w:val="004B6793"/>
    <w:rsid w:val="004B79B3"/>
    <w:rsid w:val="004B7C70"/>
    <w:rsid w:val="004C0509"/>
    <w:rsid w:val="004C0616"/>
    <w:rsid w:val="004C15B5"/>
    <w:rsid w:val="004C4898"/>
    <w:rsid w:val="004C503F"/>
    <w:rsid w:val="004C57CE"/>
    <w:rsid w:val="004C689C"/>
    <w:rsid w:val="004C702F"/>
    <w:rsid w:val="004D07DF"/>
    <w:rsid w:val="004D135F"/>
    <w:rsid w:val="004D264F"/>
    <w:rsid w:val="004D34CA"/>
    <w:rsid w:val="004D49B9"/>
    <w:rsid w:val="004D4C28"/>
    <w:rsid w:val="004D640B"/>
    <w:rsid w:val="004E1542"/>
    <w:rsid w:val="004E1FCF"/>
    <w:rsid w:val="004E27FB"/>
    <w:rsid w:val="004E4B39"/>
    <w:rsid w:val="004E7295"/>
    <w:rsid w:val="004F08D4"/>
    <w:rsid w:val="004F0C5E"/>
    <w:rsid w:val="004F0D55"/>
    <w:rsid w:val="004F2268"/>
    <w:rsid w:val="004F5223"/>
    <w:rsid w:val="004F72BF"/>
    <w:rsid w:val="004F7C53"/>
    <w:rsid w:val="00500204"/>
    <w:rsid w:val="005009A3"/>
    <w:rsid w:val="00500D23"/>
    <w:rsid w:val="005017BC"/>
    <w:rsid w:val="00502A3B"/>
    <w:rsid w:val="00504A65"/>
    <w:rsid w:val="00505959"/>
    <w:rsid w:val="0050698F"/>
    <w:rsid w:val="005103AA"/>
    <w:rsid w:val="00513B46"/>
    <w:rsid w:val="005140FD"/>
    <w:rsid w:val="005167C9"/>
    <w:rsid w:val="0051687A"/>
    <w:rsid w:val="00521171"/>
    <w:rsid w:val="005224CA"/>
    <w:rsid w:val="005229E8"/>
    <w:rsid w:val="00523A33"/>
    <w:rsid w:val="00523DB3"/>
    <w:rsid w:val="00525C30"/>
    <w:rsid w:val="00526C79"/>
    <w:rsid w:val="00531FE0"/>
    <w:rsid w:val="00534320"/>
    <w:rsid w:val="005347C4"/>
    <w:rsid w:val="00535564"/>
    <w:rsid w:val="005368EB"/>
    <w:rsid w:val="0054080E"/>
    <w:rsid w:val="00542484"/>
    <w:rsid w:val="005431E3"/>
    <w:rsid w:val="00543946"/>
    <w:rsid w:val="00544A55"/>
    <w:rsid w:val="00545AAB"/>
    <w:rsid w:val="0054611F"/>
    <w:rsid w:val="00546FAA"/>
    <w:rsid w:val="00547DA9"/>
    <w:rsid w:val="00550215"/>
    <w:rsid w:val="005519D5"/>
    <w:rsid w:val="0055312C"/>
    <w:rsid w:val="00554119"/>
    <w:rsid w:val="005556B9"/>
    <w:rsid w:val="00557D9F"/>
    <w:rsid w:val="00560881"/>
    <w:rsid w:val="00560E2F"/>
    <w:rsid w:val="005645BE"/>
    <w:rsid w:val="00564BDD"/>
    <w:rsid w:val="005664F6"/>
    <w:rsid w:val="005676EA"/>
    <w:rsid w:val="00571F92"/>
    <w:rsid w:val="005739CF"/>
    <w:rsid w:val="005742F8"/>
    <w:rsid w:val="00575251"/>
    <w:rsid w:val="00576EDF"/>
    <w:rsid w:val="005770BD"/>
    <w:rsid w:val="005809B8"/>
    <w:rsid w:val="00582785"/>
    <w:rsid w:val="00582926"/>
    <w:rsid w:val="00583EAF"/>
    <w:rsid w:val="0058419B"/>
    <w:rsid w:val="0058463C"/>
    <w:rsid w:val="005850B7"/>
    <w:rsid w:val="00586521"/>
    <w:rsid w:val="00587A2D"/>
    <w:rsid w:val="00591ECF"/>
    <w:rsid w:val="00593922"/>
    <w:rsid w:val="00593B86"/>
    <w:rsid w:val="00594DDB"/>
    <w:rsid w:val="0059700D"/>
    <w:rsid w:val="005976F1"/>
    <w:rsid w:val="005979D9"/>
    <w:rsid w:val="00597F54"/>
    <w:rsid w:val="005A2AC4"/>
    <w:rsid w:val="005A3575"/>
    <w:rsid w:val="005B0D1B"/>
    <w:rsid w:val="005B140C"/>
    <w:rsid w:val="005B1BDC"/>
    <w:rsid w:val="005B23E0"/>
    <w:rsid w:val="005B2555"/>
    <w:rsid w:val="005B3387"/>
    <w:rsid w:val="005B3430"/>
    <w:rsid w:val="005B467B"/>
    <w:rsid w:val="005B4862"/>
    <w:rsid w:val="005B5C04"/>
    <w:rsid w:val="005B670E"/>
    <w:rsid w:val="005B6C93"/>
    <w:rsid w:val="005B722A"/>
    <w:rsid w:val="005B74D0"/>
    <w:rsid w:val="005B76AE"/>
    <w:rsid w:val="005C07E6"/>
    <w:rsid w:val="005C329F"/>
    <w:rsid w:val="005C32E5"/>
    <w:rsid w:val="005C5194"/>
    <w:rsid w:val="005C7072"/>
    <w:rsid w:val="005C7DCC"/>
    <w:rsid w:val="005D0594"/>
    <w:rsid w:val="005D0DDC"/>
    <w:rsid w:val="005D292B"/>
    <w:rsid w:val="005D29BD"/>
    <w:rsid w:val="005D376F"/>
    <w:rsid w:val="005D3E5F"/>
    <w:rsid w:val="005E0166"/>
    <w:rsid w:val="005E01D1"/>
    <w:rsid w:val="005E0374"/>
    <w:rsid w:val="005E0B4E"/>
    <w:rsid w:val="005E1188"/>
    <w:rsid w:val="005E1983"/>
    <w:rsid w:val="005E2741"/>
    <w:rsid w:val="005E4AB0"/>
    <w:rsid w:val="005E4C78"/>
    <w:rsid w:val="005E5737"/>
    <w:rsid w:val="005E695B"/>
    <w:rsid w:val="005E6E22"/>
    <w:rsid w:val="005E7101"/>
    <w:rsid w:val="005F0211"/>
    <w:rsid w:val="005F051C"/>
    <w:rsid w:val="005F09C5"/>
    <w:rsid w:val="005F18F0"/>
    <w:rsid w:val="005F1A72"/>
    <w:rsid w:val="005F1FC2"/>
    <w:rsid w:val="005F2BF2"/>
    <w:rsid w:val="005F4C5D"/>
    <w:rsid w:val="005F566F"/>
    <w:rsid w:val="005F6804"/>
    <w:rsid w:val="005F6D6A"/>
    <w:rsid w:val="005F7425"/>
    <w:rsid w:val="006027E6"/>
    <w:rsid w:val="00602823"/>
    <w:rsid w:val="00603288"/>
    <w:rsid w:val="006034DA"/>
    <w:rsid w:val="00603529"/>
    <w:rsid w:val="00605A60"/>
    <w:rsid w:val="006105AC"/>
    <w:rsid w:val="006122AD"/>
    <w:rsid w:val="0061352D"/>
    <w:rsid w:val="006136AC"/>
    <w:rsid w:val="00613ED0"/>
    <w:rsid w:val="00615F38"/>
    <w:rsid w:val="00616999"/>
    <w:rsid w:val="006170B2"/>
    <w:rsid w:val="00617312"/>
    <w:rsid w:val="00617E8A"/>
    <w:rsid w:val="00623C32"/>
    <w:rsid w:val="0062581D"/>
    <w:rsid w:val="00625C42"/>
    <w:rsid w:val="00631107"/>
    <w:rsid w:val="00631AA0"/>
    <w:rsid w:val="00632581"/>
    <w:rsid w:val="0063297E"/>
    <w:rsid w:val="00632E3A"/>
    <w:rsid w:val="006335FE"/>
    <w:rsid w:val="00633971"/>
    <w:rsid w:val="006339E6"/>
    <w:rsid w:val="00634E5A"/>
    <w:rsid w:val="00635986"/>
    <w:rsid w:val="00635C12"/>
    <w:rsid w:val="006361D3"/>
    <w:rsid w:val="0063669E"/>
    <w:rsid w:val="006371AB"/>
    <w:rsid w:val="00637AF2"/>
    <w:rsid w:val="006403EF"/>
    <w:rsid w:val="006428AA"/>
    <w:rsid w:val="006431C7"/>
    <w:rsid w:val="0064367B"/>
    <w:rsid w:val="00644A7F"/>
    <w:rsid w:val="00646B57"/>
    <w:rsid w:val="00647531"/>
    <w:rsid w:val="00647866"/>
    <w:rsid w:val="00647F53"/>
    <w:rsid w:val="00653202"/>
    <w:rsid w:val="00653BF9"/>
    <w:rsid w:val="00653E1D"/>
    <w:rsid w:val="00656DF0"/>
    <w:rsid w:val="006571EF"/>
    <w:rsid w:val="0065788E"/>
    <w:rsid w:val="0066004D"/>
    <w:rsid w:val="006602FF"/>
    <w:rsid w:val="006607E1"/>
    <w:rsid w:val="00660CAF"/>
    <w:rsid w:val="0066178C"/>
    <w:rsid w:val="00670696"/>
    <w:rsid w:val="00670FAD"/>
    <w:rsid w:val="00671D50"/>
    <w:rsid w:val="0067294D"/>
    <w:rsid w:val="00672FBC"/>
    <w:rsid w:val="006735AB"/>
    <w:rsid w:val="0067399B"/>
    <w:rsid w:val="00673A36"/>
    <w:rsid w:val="00675567"/>
    <w:rsid w:val="0067618B"/>
    <w:rsid w:val="00677E85"/>
    <w:rsid w:val="00680375"/>
    <w:rsid w:val="00680B95"/>
    <w:rsid w:val="0068152E"/>
    <w:rsid w:val="00681BEB"/>
    <w:rsid w:val="00681E67"/>
    <w:rsid w:val="00685C05"/>
    <w:rsid w:val="00686922"/>
    <w:rsid w:val="0068734E"/>
    <w:rsid w:val="0069030E"/>
    <w:rsid w:val="0069044B"/>
    <w:rsid w:val="006917EC"/>
    <w:rsid w:val="00691E7C"/>
    <w:rsid w:val="00694487"/>
    <w:rsid w:val="00694C87"/>
    <w:rsid w:val="00696334"/>
    <w:rsid w:val="00697003"/>
    <w:rsid w:val="00697181"/>
    <w:rsid w:val="006A1E9B"/>
    <w:rsid w:val="006A2857"/>
    <w:rsid w:val="006A29F0"/>
    <w:rsid w:val="006A2F47"/>
    <w:rsid w:val="006A3133"/>
    <w:rsid w:val="006A32CD"/>
    <w:rsid w:val="006A5C93"/>
    <w:rsid w:val="006A768D"/>
    <w:rsid w:val="006B01F5"/>
    <w:rsid w:val="006B06B0"/>
    <w:rsid w:val="006B1D4F"/>
    <w:rsid w:val="006B218E"/>
    <w:rsid w:val="006B25E1"/>
    <w:rsid w:val="006B35A1"/>
    <w:rsid w:val="006B36AA"/>
    <w:rsid w:val="006B4EE1"/>
    <w:rsid w:val="006B5989"/>
    <w:rsid w:val="006B5C25"/>
    <w:rsid w:val="006B5C79"/>
    <w:rsid w:val="006B664D"/>
    <w:rsid w:val="006B7870"/>
    <w:rsid w:val="006C1088"/>
    <w:rsid w:val="006C1B80"/>
    <w:rsid w:val="006C1C7D"/>
    <w:rsid w:val="006C1D3E"/>
    <w:rsid w:val="006C21EA"/>
    <w:rsid w:val="006C2AE5"/>
    <w:rsid w:val="006C3846"/>
    <w:rsid w:val="006C4332"/>
    <w:rsid w:val="006C4A64"/>
    <w:rsid w:val="006C605B"/>
    <w:rsid w:val="006C7289"/>
    <w:rsid w:val="006D0206"/>
    <w:rsid w:val="006D07E0"/>
    <w:rsid w:val="006D0875"/>
    <w:rsid w:val="006D0E56"/>
    <w:rsid w:val="006D191C"/>
    <w:rsid w:val="006D1D97"/>
    <w:rsid w:val="006D2C4B"/>
    <w:rsid w:val="006D3518"/>
    <w:rsid w:val="006D3AFB"/>
    <w:rsid w:val="006D567A"/>
    <w:rsid w:val="006D6131"/>
    <w:rsid w:val="006E030F"/>
    <w:rsid w:val="006E124E"/>
    <w:rsid w:val="006E1ABE"/>
    <w:rsid w:val="006E1B26"/>
    <w:rsid w:val="006E1DB1"/>
    <w:rsid w:val="006E1E7F"/>
    <w:rsid w:val="006E1F57"/>
    <w:rsid w:val="006E46FF"/>
    <w:rsid w:val="006E502E"/>
    <w:rsid w:val="006E69BF"/>
    <w:rsid w:val="006F14C1"/>
    <w:rsid w:val="006F178E"/>
    <w:rsid w:val="006F1A0E"/>
    <w:rsid w:val="006F2EDB"/>
    <w:rsid w:val="006F2FD3"/>
    <w:rsid w:val="006F33E4"/>
    <w:rsid w:val="006F5644"/>
    <w:rsid w:val="006F61E3"/>
    <w:rsid w:val="006F63BB"/>
    <w:rsid w:val="006F68BB"/>
    <w:rsid w:val="006F74BD"/>
    <w:rsid w:val="007013DA"/>
    <w:rsid w:val="007014D7"/>
    <w:rsid w:val="00702C5A"/>
    <w:rsid w:val="00702C8E"/>
    <w:rsid w:val="0070336C"/>
    <w:rsid w:val="007039A3"/>
    <w:rsid w:val="007041F0"/>
    <w:rsid w:val="00705F3A"/>
    <w:rsid w:val="00706632"/>
    <w:rsid w:val="00707334"/>
    <w:rsid w:val="00707EE5"/>
    <w:rsid w:val="0071106F"/>
    <w:rsid w:val="00711189"/>
    <w:rsid w:val="0071217D"/>
    <w:rsid w:val="0071313E"/>
    <w:rsid w:val="00713C02"/>
    <w:rsid w:val="00714218"/>
    <w:rsid w:val="00716AEE"/>
    <w:rsid w:val="007206FE"/>
    <w:rsid w:val="00720762"/>
    <w:rsid w:val="00720A4A"/>
    <w:rsid w:val="007235A9"/>
    <w:rsid w:val="007241B0"/>
    <w:rsid w:val="007247BA"/>
    <w:rsid w:val="00725687"/>
    <w:rsid w:val="00725E7D"/>
    <w:rsid w:val="0072677F"/>
    <w:rsid w:val="00727179"/>
    <w:rsid w:val="0072788B"/>
    <w:rsid w:val="00732456"/>
    <w:rsid w:val="00732FEF"/>
    <w:rsid w:val="007349F2"/>
    <w:rsid w:val="00734D23"/>
    <w:rsid w:val="00735EA3"/>
    <w:rsid w:val="007376A5"/>
    <w:rsid w:val="00743927"/>
    <w:rsid w:val="00743DC1"/>
    <w:rsid w:val="00750F0D"/>
    <w:rsid w:val="00752A29"/>
    <w:rsid w:val="0075366D"/>
    <w:rsid w:val="00753B68"/>
    <w:rsid w:val="00755116"/>
    <w:rsid w:val="00755220"/>
    <w:rsid w:val="0075561C"/>
    <w:rsid w:val="007558F4"/>
    <w:rsid w:val="00755FAA"/>
    <w:rsid w:val="00756041"/>
    <w:rsid w:val="007570EF"/>
    <w:rsid w:val="007612DC"/>
    <w:rsid w:val="007637E1"/>
    <w:rsid w:val="007654EF"/>
    <w:rsid w:val="00765C40"/>
    <w:rsid w:val="007671C5"/>
    <w:rsid w:val="0076770C"/>
    <w:rsid w:val="0077007C"/>
    <w:rsid w:val="00771F13"/>
    <w:rsid w:val="0077273C"/>
    <w:rsid w:val="007757B0"/>
    <w:rsid w:val="00776385"/>
    <w:rsid w:val="007768AA"/>
    <w:rsid w:val="007771C6"/>
    <w:rsid w:val="00777ACD"/>
    <w:rsid w:val="007829D2"/>
    <w:rsid w:val="007833A3"/>
    <w:rsid w:val="00783714"/>
    <w:rsid w:val="0078404C"/>
    <w:rsid w:val="00785C89"/>
    <w:rsid w:val="00786AEF"/>
    <w:rsid w:val="00790013"/>
    <w:rsid w:val="0079022D"/>
    <w:rsid w:val="00790283"/>
    <w:rsid w:val="007909BC"/>
    <w:rsid w:val="0079113D"/>
    <w:rsid w:val="0079215A"/>
    <w:rsid w:val="0079370D"/>
    <w:rsid w:val="00794D56"/>
    <w:rsid w:val="00795E2A"/>
    <w:rsid w:val="007969F7"/>
    <w:rsid w:val="00797346"/>
    <w:rsid w:val="007A14FE"/>
    <w:rsid w:val="007A1B00"/>
    <w:rsid w:val="007A1E3B"/>
    <w:rsid w:val="007A461B"/>
    <w:rsid w:val="007A4929"/>
    <w:rsid w:val="007A6680"/>
    <w:rsid w:val="007A6A87"/>
    <w:rsid w:val="007A7B2F"/>
    <w:rsid w:val="007B0A66"/>
    <w:rsid w:val="007B0F1D"/>
    <w:rsid w:val="007B1949"/>
    <w:rsid w:val="007B2AE3"/>
    <w:rsid w:val="007B2B6D"/>
    <w:rsid w:val="007B2C0A"/>
    <w:rsid w:val="007B457D"/>
    <w:rsid w:val="007B4693"/>
    <w:rsid w:val="007B4A7C"/>
    <w:rsid w:val="007B5324"/>
    <w:rsid w:val="007B6020"/>
    <w:rsid w:val="007B6036"/>
    <w:rsid w:val="007B6884"/>
    <w:rsid w:val="007B723F"/>
    <w:rsid w:val="007B7C8F"/>
    <w:rsid w:val="007C1390"/>
    <w:rsid w:val="007C176F"/>
    <w:rsid w:val="007C436B"/>
    <w:rsid w:val="007C6517"/>
    <w:rsid w:val="007C7678"/>
    <w:rsid w:val="007D02B4"/>
    <w:rsid w:val="007D1EA6"/>
    <w:rsid w:val="007D20FB"/>
    <w:rsid w:val="007D41A4"/>
    <w:rsid w:val="007D4822"/>
    <w:rsid w:val="007D51C8"/>
    <w:rsid w:val="007D5A84"/>
    <w:rsid w:val="007D66BD"/>
    <w:rsid w:val="007D69B7"/>
    <w:rsid w:val="007D7294"/>
    <w:rsid w:val="007D7BCD"/>
    <w:rsid w:val="007E02F6"/>
    <w:rsid w:val="007E0969"/>
    <w:rsid w:val="007E0DA7"/>
    <w:rsid w:val="007E0F7A"/>
    <w:rsid w:val="007E13DD"/>
    <w:rsid w:val="007E1AC5"/>
    <w:rsid w:val="007E1EE4"/>
    <w:rsid w:val="007E2944"/>
    <w:rsid w:val="007E2BF0"/>
    <w:rsid w:val="007E4640"/>
    <w:rsid w:val="007E4FEF"/>
    <w:rsid w:val="007E532F"/>
    <w:rsid w:val="007E63EF"/>
    <w:rsid w:val="007E6543"/>
    <w:rsid w:val="007E79C8"/>
    <w:rsid w:val="007E7B0D"/>
    <w:rsid w:val="007F1125"/>
    <w:rsid w:val="007F28E2"/>
    <w:rsid w:val="007F4D11"/>
    <w:rsid w:val="007F5073"/>
    <w:rsid w:val="007F50A3"/>
    <w:rsid w:val="007F5787"/>
    <w:rsid w:val="007F5BB0"/>
    <w:rsid w:val="00800245"/>
    <w:rsid w:val="00801C50"/>
    <w:rsid w:val="0080262B"/>
    <w:rsid w:val="0080345B"/>
    <w:rsid w:val="0080360D"/>
    <w:rsid w:val="00803914"/>
    <w:rsid w:val="00803DE3"/>
    <w:rsid w:val="00805366"/>
    <w:rsid w:val="00805748"/>
    <w:rsid w:val="00805ABF"/>
    <w:rsid w:val="00805AE4"/>
    <w:rsid w:val="00805DE0"/>
    <w:rsid w:val="0080649D"/>
    <w:rsid w:val="00806E50"/>
    <w:rsid w:val="00807117"/>
    <w:rsid w:val="008107AE"/>
    <w:rsid w:val="00815A88"/>
    <w:rsid w:val="008161B2"/>
    <w:rsid w:val="00816FD8"/>
    <w:rsid w:val="0081765D"/>
    <w:rsid w:val="00817732"/>
    <w:rsid w:val="008203FF"/>
    <w:rsid w:val="008226BB"/>
    <w:rsid w:val="0082638D"/>
    <w:rsid w:val="0082660C"/>
    <w:rsid w:val="0083259D"/>
    <w:rsid w:val="00832D53"/>
    <w:rsid w:val="008348A9"/>
    <w:rsid w:val="00834B67"/>
    <w:rsid w:val="008359E7"/>
    <w:rsid w:val="00836D37"/>
    <w:rsid w:val="008400D7"/>
    <w:rsid w:val="0084045B"/>
    <w:rsid w:val="00841F54"/>
    <w:rsid w:val="008436D1"/>
    <w:rsid w:val="0084424D"/>
    <w:rsid w:val="00844D29"/>
    <w:rsid w:val="00845258"/>
    <w:rsid w:val="00845BB8"/>
    <w:rsid w:val="008479D1"/>
    <w:rsid w:val="00847D17"/>
    <w:rsid w:val="00847E10"/>
    <w:rsid w:val="0085217C"/>
    <w:rsid w:val="00852249"/>
    <w:rsid w:val="00852FD7"/>
    <w:rsid w:val="0085419A"/>
    <w:rsid w:val="008551E4"/>
    <w:rsid w:val="008570D8"/>
    <w:rsid w:val="00857212"/>
    <w:rsid w:val="00857F4C"/>
    <w:rsid w:val="008618FD"/>
    <w:rsid w:val="00861B84"/>
    <w:rsid w:val="00862C90"/>
    <w:rsid w:val="00862FFC"/>
    <w:rsid w:val="0086715E"/>
    <w:rsid w:val="00870BA7"/>
    <w:rsid w:val="00870C82"/>
    <w:rsid w:val="00870F77"/>
    <w:rsid w:val="00871B0B"/>
    <w:rsid w:val="0087300E"/>
    <w:rsid w:val="00873831"/>
    <w:rsid w:val="00874302"/>
    <w:rsid w:val="008755F6"/>
    <w:rsid w:val="008756E3"/>
    <w:rsid w:val="00877A7D"/>
    <w:rsid w:val="00877F67"/>
    <w:rsid w:val="00880A7F"/>
    <w:rsid w:val="0088142A"/>
    <w:rsid w:val="00885DA0"/>
    <w:rsid w:val="00885F9B"/>
    <w:rsid w:val="00887F8E"/>
    <w:rsid w:val="008919FB"/>
    <w:rsid w:val="008920AF"/>
    <w:rsid w:val="0089382C"/>
    <w:rsid w:val="00894AB1"/>
    <w:rsid w:val="00894C2B"/>
    <w:rsid w:val="0089552D"/>
    <w:rsid w:val="00895EC0"/>
    <w:rsid w:val="0089667E"/>
    <w:rsid w:val="008967D0"/>
    <w:rsid w:val="008A1EE5"/>
    <w:rsid w:val="008A2444"/>
    <w:rsid w:val="008A3612"/>
    <w:rsid w:val="008A3622"/>
    <w:rsid w:val="008A47AE"/>
    <w:rsid w:val="008A64CB"/>
    <w:rsid w:val="008B0AA7"/>
    <w:rsid w:val="008B177E"/>
    <w:rsid w:val="008B19A6"/>
    <w:rsid w:val="008B2832"/>
    <w:rsid w:val="008B2E2C"/>
    <w:rsid w:val="008B3C43"/>
    <w:rsid w:val="008B467F"/>
    <w:rsid w:val="008B6B0A"/>
    <w:rsid w:val="008B7704"/>
    <w:rsid w:val="008B776A"/>
    <w:rsid w:val="008C255C"/>
    <w:rsid w:val="008C3649"/>
    <w:rsid w:val="008C4201"/>
    <w:rsid w:val="008C4B3B"/>
    <w:rsid w:val="008C4F95"/>
    <w:rsid w:val="008C557A"/>
    <w:rsid w:val="008C5E75"/>
    <w:rsid w:val="008C5F53"/>
    <w:rsid w:val="008D09DF"/>
    <w:rsid w:val="008D0DC3"/>
    <w:rsid w:val="008D2D34"/>
    <w:rsid w:val="008D5A38"/>
    <w:rsid w:val="008D6BF9"/>
    <w:rsid w:val="008E1E99"/>
    <w:rsid w:val="008E3CAD"/>
    <w:rsid w:val="008E3D07"/>
    <w:rsid w:val="008E4411"/>
    <w:rsid w:val="008E6966"/>
    <w:rsid w:val="008E6ECB"/>
    <w:rsid w:val="008E6FBB"/>
    <w:rsid w:val="008F2566"/>
    <w:rsid w:val="008F2759"/>
    <w:rsid w:val="008F2E17"/>
    <w:rsid w:val="008F4064"/>
    <w:rsid w:val="008F5306"/>
    <w:rsid w:val="008F53E5"/>
    <w:rsid w:val="00900210"/>
    <w:rsid w:val="009006C1"/>
    <w:rsid w:val="00901464"/>
    <w:rsid w:val="009014FC"/>
    <w:rsid w:val="00901E97"/>
    <w:rsid w:val="0090257B"/>
    <w:rsid w:val="00902925"/>
    <w:rsid w:val="00902AC5"/>
    <w:rsid w:val="009034CB"/>
    <w:rsid w:val="00903F0B"/>
    <w:rsid w:val="009041BA"/>
    <w:rsid w:val="00910211"/>
    <w:rsid w:val="009109FE"/>
    <w:rsid w:val="009126A6"/>
    <w:rsid w:val="00912D20"/>
    <w:rsid w:val="00912EE5"/>
    <w:rsid w:val="00913328"/>
    <w:rsid w:val="0091395A"/>
    <w:rsid w:val="00914E93"/>
    <w:rsid w:val="0091581C"/>
    <w:rsid w:val="009161FF"/>
    <w:rsid w:val="00916474"/>
    <w:rsid w:val="00917959"/>
    <w:rsid w:val="009203F2"/>
    <w:rsid w:val="0092083E"/>
    <w:rsid w:val="00920D10"/>
    <w:rsid w:val="00924B44"/>
    <w:rsid w:val="00925564"/>
    <w:rsid w:val="00927579"/>
    <w:rsid w:val="00927B18"/>
    <w:rsid w:val="00930999"/>
    <w:rsid w:val="00933ED5"/>
    <w:rsid w:val="009351E1"/>
    <w:rsid w:val="00940620"/>
    <w:rsid w:val="00940954"/>
    <w:rsid w:val="00940CC7"/>
    <w:rsid w:val="0094279C"/>
    <w:rsid w:val="0094296B"/>
    <w:rsid w:val="00943432"/>
    <w:rsid w:val="009434E0"/>
    <w:rsid w:val="0094643C"/>
    <w:rsid w:val="00947036"/>
    <w:rsid w:val="00947206"/>
    <w:rsid w:val="00950661"/>
    <w:rsid w:val="00952788"/>
    <w:rsid w:val="009539C3"/>
    <w:rsid w:val="00953AA7"/>
    <w:rsid w:val="009543C6"/>
    <w:rsid w:val="00954C07"/>
    <w:rsid w:val="009553E2"/>
    <w:rsid w:val="00956386"/>
    <w:rsid w:val="00957915"/>
    <w:rsid w:val="00960973"/>
    <w:rsid w:val="009609C0"/>
    <w:rsid w:val="00966B03"/>
    <w:rsid w:val="009708B1"/>
    <w:rsid w:val="00970C44"/>
    <w:rsid w:val="00971ACA"/>
    <w:rsid w:val="00972F1E"/>
    <w:rsid w:val="00974261"/>
    <w:rsid w:val="00974409"/>
    <w:rsid w:val="00974E49"/>
    <w:rsid w:val="00976574"/>
    <w:rsid w:val="009769EB"/>
    <w:rsid w:val="0097718C"/>
    <w:rsid w:val="009810FC"/>
    <w:rsid w:val="00981FA3"/>
    <w:rsid w:val="0098308A"/>
    <w:rsid w:val="00983B76"/>
    <w:rsid w:val="009842CD"/>
    <w:rsid w:val="00985537"/>
    <w:rsid w:val="00986F2E"/>
    <w:rsid w:val="009907E7"/>
    <w:rsid w:val="009908D3"/>
    <w:rsid w:val="00992C9B"/>
    <w:rsid w:val="00993753"/>
    <w:rsid w:val="00994235"/>
    <w:rsid w:val="00994569"/>
    <w:rsid w:val="00995C4C"/>
    <w:rsid w:val="00995D4A"/>
    <w:rsid w:val="00997D1B"/>
    <w:rsid w:val="009A04F7"/>
    <w:rsid w:val="009A36A7"/>
    <w:rsid w:val="009A3ED6"/>
    <w:rsid w:val="009A49D5"/>
    <w:rsid w:val="009A4B7E"/>
    <w:rsid w:val="009A5BAF"/>
    <w:rsid w:val="009A695B"/>
    <w:rsid w:val="009A6A5B"/>
    <w:rsid w:val="009A73C3"/>
    <w:rsid w:val="009B0E7C"/>
    <w:rsid w:val="009B2DFF"/>
    <w:rsid w:val="009B441F"/>
    <w:rsid w:val="009B5920"/>
    <w:rsid w:val="009B6FCB"/>
    <w:rsid w:val="009C00D9"/>
    <w:rsid w:val="009C1760"/>
    <w:rsid w:val="009C1AF8"/>
    <w:rsid w:val="009C1E75"/>
    <w:rsid w:val="009C3500"/>
    <w:rsid w:val="009C4448"/>
    <w:rsid w:val="009C4DB7"/>
    <w:rsid w:val="009C639F"/>
    <w:rsid w:val="009C698A"/>
    <w:rsid w:val="009C71EB"/>
    <w:rsid w:val="009C7AD5"/>
    <w:rsid w:val="009C7FC2"/>
    <w:rsid w:val="009D3CF6"/>
    <w:rsid w:val="009D4F04"/>
    <w:rsid w:val="009D6CCB"/>
    <w:rsid w:val="009E0381"/>
    <w:rsid w:val="009E0CF3"/>
    <w:rsid w:val="009E11D0"/>
    <w:rsid w:val="009E2E5C"/>
    <w:rsid w:val="009E3F3A"/>
    <w:rsid w:val="009E5671"/>
    <w:rsid w:val="009E6775"/>
    <w:rsid w:val="009E6B9F"/>
    <w:rsid w:val="009E6FB4"/>
    <w:rsid w:val="009F0CA2"/>
    <w:rsid w:val="009F12B3"/>
    <w:rsid w:val="009F18EB"/>
    <w:rsid w:val="009F2FC1"/>
    <w:rsid w:val="009F49C6"/>
    <w:rsid w:val="009F5702"/>
    <w:rsid w:val="009F5CF8"/>
    <w:rsid w:val="009F694E"/>
    <w:rsid w:val="00A017B4"/>
    <w:rsid w:val="00A0184A"/>
    <w:rsid w:val="00A01F86"/>
    <w:rsid w:val="00A02396"/>
    <w:rsid w:val="00A04217"/>
    <w:rsid w:val="00A05AE5"/>
    <w:rsid w:val="00A06A3E"/>
    <w:rsid w:val="00A078AC"/>
    <w:rsid w:val="00A10104"/>
    <w:rsid w:val="00A12ABF"/>
    <w:rsid w:val="00A16057"/>
    <w:rsid w:val="00A17771"/>
    <w:rsid w:val="00A22DCE"/>
    <w:rsid w:val="00A23B4B"/>
    <w:rsid w:val="00A23FDD"/>
    <w:rsid w:val="00A242A9"/>
    <w:rsid w:val="00A25CB0"/>
    <w:rsid w:val="00A25DD0"/>
    <w:rsid w:val="00A27489"/>
    <w:rsid w:val="00A304F3"/>
    <w:rsid w:val="00A30F60"/>
    <w:rsid w:val="00A310E7"/>
    <w:rsid w:val="00A315CD"/>
    <w:rsid w:val="00A32D98"/>
    <w:rsid w:val="00A34ED8"/>
    <w:rsid w:val="00A35018"/>
    <w:rsid w:val="00A35943"/>
    <w:rsid w:val="00A413BE"/>
    <w:rsid w:val="00A440B4"/>
    <w:rsid w:val="00A44FDB"/>
    <w:rsid w:val="00A465E2"/>
    <w:rsid w:val="00A46D5B"/>
    <w:rsid w:val="00A46DA8"/>
    <w:rsid w:val="00A46F6E"/>
    <w:rsid w:val="00A5000E"/>
    <w:rsid w:val="00A50D75"/>
    <w:rsid w:val="00A5298A"/>
    <w:rsid w:val="00A53B42"/>
    <w:rsid w:val="00A5462A"/>
    <w:rsid w:val="00A55019"/>
    <w:rsid w:val="00A5542C"/>
    <w:rsid w:val="00A60AC5"/>
    <w:rsid w:val="00A619F9"/>
    <w:rsid w:val="00A6202C"/>
    <w:rsid w:val="00A6215F"/>
    <w:rsid w:val="00A630C2"/>
    <w:rsid w:val="00A631FA"/>
    <w:rsid w:val="00A6517A"/>
    <w:rsid w:val="00A6587D"/>
    <w:rsid w:val="00A66793"/>
    <w:rsid w:val="00A67438"/>
    <w:rsid w:val="00A674A6"/>
    <w:rsid w:val="00A700ED"/>
    <w:rsid w:val="00A70E38"/>
    <w:rsid w:val="00A71E66"/>
    <w:rsid w:val="00A73113"/>
    <w:rsid w:val="00A73775"/>
    <w:rsid w:val="00A73960"/>
    <w:rsid w:val="00A73A22"/>
    <w:rsid w:val="00A74312"/>
    <w:rsid w:val="00A74C9E"/>
    <w:rsid w:val="00A76536"/>
    <w:rsid w:val="00A765B5"/>
    <w:rsid w:val="00A769DB"/>
    <w:rsid w:val="00A80475"/>
    <w:rsid w:val="00A81E01"/>
    <w:rsid w:val="00A8218B"/>
    <w:rsid w:val="00A83386"/>
    <w:rsid w:val="00A83C1B"/>
    <w:rsid w:val="00A83D52"/>
    <w:rsid w:val="00A84ACE"/>
    <w:rsid w:val="00A850C4"/>
    <w:rsid w:val="00A8596E"/>
    <w:rsid w:val="00A925A7"/>
    <w:rsid w:val="00A93886"/>
    <w:rsid w:val="00A94BA8"/>
    <w:rsid w:val="00A95E5A"/>
    <w:rsid w:val="00A9605E"/>
    <w:rsid w:val="00A962FF"/>
    <w:rsid w:val="00A97F9C"/>
    <w:rsid w:val="00AA14AF"/>
    <w:rsid w:val="00AA19E8"/>
    <w:rsid w:val="00AA23A0"/>
    <w:rsid w:val="00AA3048"/>
    <w:rsid w:val="00AA4827"/>
    <w:rsid w:val="00AA48BF"/>
    <w:rsid w:val="00AA521A"/>
    <w:rsid w:val="00AA5993"/>
    <w:rsid w:val="00AA6063"/>
    <w:rsid w:val="00AA7CBA"/>
    <w:rsid w:val="00AB2089"/>
    <w:rsid w:val="00AB371E"/>
    <w:rsid w:val="00AB3AAA"/>
    <w:rsid w:val="00AB413C"/>
    <w:rsid w:val="00AB550D"/>
    <w:rsid w:val="00AB7AD0"/>
    <w:rsid w:val="00AB7EBD"/>
    <w:rsid w:val="00AC0571"/>
    <w:rsid w:val="00AC0B74"/>
    <w:rsid w:val="00AC2021"/>
    <w:rsid w:val="00AC2758"/>
    <w:rsid w:val="00AC2EBC"/>
    <w:rsid w:val="00AC4879"/>
    <w:rsid w:val="00AC4A1C"/>
    <w:rsid w:val="00AC4C28"/>
    <w:rsid w:val="00AC7782"/>
    <w:rsid w:val="00AC7B34"/>
    <w:rsid w:val="00AD0246"/>
    <w:rsid w:val="00AD03A1"/>
    <w:rsid w:val="00AD169A"/>
    <w:rsid w:val="00AD16A7"/>
    <w:rsid w:val="00AD1724"/>
    <w:rsid w:val="00AD3C21"/>
    <w:rsid w:val="00AD3E56"/>
    <w:rsid w:val="00AD6EC4"/>
    <w:rsid w:val="00AE1083"/>
    <w:rsid w:val="00AE1086"/>
    <w:rsid w:val="00AE14CB"/>
    <w:rsid w:val="00AE3976"/>
    <w:rsid w:val="00AE3C2C"/>
    <w:rsid w:val="00AE3F60"/>
    <w:rsid w:val="00AE595B"/>
    <w:rsid w:val="00AE5BD9"/>
    <w:rsid w:val="00AE64CE"/>
    <w:rsid w:val="00AE66A8"/>
    <w:rsid w:val="00AF0C1A"/>
    <w:rsid w:val="00AF0FC0"/>
    <w:rsid w:val="00AF282C"/>
    <w:rsid w:val="00AF2901"/>
    <w:rsid w:val="00AF4668"/>
    <w:rsid w:val="00AF4882"/>
    <w:rsid w:val="00AF5ACE"/>
    <w:rsid w:val="00AF6BFF"/>
    <w:rsid w:val="00AF7906"/>
    <w:rsid w:val="00B0073E"/>
    <w:rsid w:val="00B007BE"/>
    <w:rsid w:val="00B01063"/>
    <w:rsid w:val="00B02528"/>
    <w:rsid w:val="00B0346C"/>
    <w:rsid w:val="00B038D8"/>
    <w:rsid w:val="00B058D6"/>
    <w:rsid w:val="00B06470"/>
    <w:rsid w:val="00B071DD"/>
    <w:rsid w:val="00B10384"/>
    <w:rsid w:val="00B15F5C"/>
    <w:rsid w:val="00B1610F"/>
    <w:rsid w:val="00B168DF"/>
    <w:rsid w:val="00B16B25"/>
    <w:rsid w:val="00B17F1B"/>
    <w:rsid w:val="00B2024A"/>
    <w:rsid w:val="00B210B4"/>
    <w:rsid w:val="00B21791"/>
    <w:rsid w:val="00B221A8"/>
    <w:rsid w:val="00B229A8"/>
    <w:rsid w:val="00B23C2E"/>
    <w:rsid w:val="00B250C6"/>
    <w:rsid w:val="00B255E6"/>
    <w:rsid w:val="00B256BB"/>
    <w:rsid w:val="00B25B02"/>
    <w:rsid w:val="00B25D89"/>
    <w:rsid w:val="00B2600F"/>
    <w:rsid w:val="00B27254"/>
    <w:rsid w:val="00B30013"/>
    <w:rsid w:val="00B321C8"/>
    <w:rsid w:val="00B335E3"/>
    <w:rsid w:val="00B33F03"/>
    <w:rsid w:val="00B3545B"/>
    <w:rsid w:val="00B361BB"/>
    <w:rsid w:val="00B36CC4"/>
    <w:rsid w:val="00B36EDC"/>
    <w:rsid w:val="00B3728D"/>
    <w:rsid w:val="00B4160D"/>
    <w:rsid w:val="00B43D49"/>
    <w:rsid w:val="00B45188"/>
    <w:rsid w:val="00B45319"/>
    <w:rsid w:val="00B4599D"/>
    <w:rsid w:val="00B461A8"/>
    <w:rsid w:val="00B4697A"/>
    <w:rsid w:val="00B509C2"/>
    <w:rsid w:val="00B51697"/>
    <w:rsid w:val="00B5436A"/>
    <w:rsid w:val="00B549BC"/>
    <w:rsid w:val="00B54BF2"/>
    <w:rsid w:val="00B54C3F"/>
    <w:rsid w:val="00B559CE"/>
    <w:rsid w:val="00B5629E"/>
    <w:rsid w:val="00B57025"/>
    <w:rsid w:val="00B62835"/>
    <w:rsid w:val="00B6292D"/>
    <w:rsid w:val="00B62B69"/>
    <w:rsid w:val="00B62BA0"/>
    <w:rsid w:val="00B6368C"/>
    <w:rsid w:val="00B6380F"/>
    <w:rsid w:val="00B63D72"/>
    <w:rsid w:val="00B65E4C"/>
    <w:rsid w:val="00B66D2B"/>
    <w:rsid w:val="00B66F17"/>
    <w:rsid w:val="00B6788D"/>
    <w:rsid w:val="00B67B9F"/>
    <w:rsid w:val="00B71054"/>
    <w:rsid w:val="00B714E7"/>
    <w:rsid w:val="00B753CF"/>
    <w:rsid w:val="00B756AB"/>
    <w:rsid w:val="00B762C3"/>
    <w:rsid w:val="00B77837"/>
    <w:rsid w:val="00B8075D"/>
    <w:rsid w:val="00B812D8"/>
    <w:rsid w:val="00B821BC"/>
    <w:rsid w:val="00B82B81"/>
    <w:rsid w:val="00B82E18"/>
    <w:rsid w:val="00B84B3A"/>
    <w:rsid w:val="00B850DF"/>
    <w:rsid w:val="00B869AE"/>
    <w:rsid w:val="00B87B7D"/>
    <w:rsid w:val="00B92140"/>
    <w:rsid w:val="00B921A6"/>
    <w:rsid w:val="00B94A8C"/>
    <w:rsid w:val="00B96337"/>
    <w:rsid w:val="00B9661B"/>
    <w:rsid w:val="00B96B0A"/>
    <w:rsid w:val="00B974F4"/>
    <w:rsid w:val="00B9756B"/>
    <w:rsid w:val="00BA0CDD"/>
    <w:rsid w:val="00BA0EA4"/>
    <w:rsid w:val="00BA0EF8"/>
    <w:rsid w:val="00BA55A5"/>
    <w:rsid w:val="00BA696B"/>
    <w:rsid w:val="00BB17FC"/>
    <w:rsid w:val="00BB1CE1"/>
    <w:rsid w:val="00BB2042"/>
    <w:rsid w:val="00BB302D"/>
    <w:rsid w:val="00BB5099"/>
    <w:rsid w:val="00BB5D12"/>
    <w:rsid w:val="00BB6684"/>
    <w:rsid w:val="00BC02D5"/>
    <w:rsid w:val="00BC1E9B"/>
    <w:rsid w:val="00BC2E29"/>
    <w:rsid w:val="00BC5E2B"/>
    <w:rsid w:val="00BC5F31"/>
    <w:rsid w:val="00BC72E3"/>
    <w:rsid w:val="00BD1C42"/>
    <w:rsid w:val="00BD274B"/>
    <w:rsid w:val="00BD2B0A"/>
    <w:rsid w:val="00BD37A7"/>
    <w:rsid w:val="00BD4D91"/>
    <w:rsid w:val="00BD5212"/>
    <w:rsid w:val="00BD7145"/>
    <w:rsid w:val="00BD7339"/>
    <w:rsid w:val="00BD73AB"/>
    <w:rsid w:val="00BD7F18"/>
    <w:rsid w:val="00BE0CD3"/>
    <w:rsid w:val="00BE0E32"/>
    <w:rsid w:val="00BE0EC8"/>
    <w:rsid w:val="00BE14F6"/>
    <w:rsid w:val="00BE174B"/>
    <w:rsid w:val="00BE178C"/>
    <w:rsid w:val="00BE2CD2"/>
    <w:rsid w:val="00BE38F8"/>
    <w:rsid w:val="00BE3BC7"/>
    <w:rsid w:val="00BE3F3A"/>
    <w:rsid w:val="00BE5625"/>
    <w:rsid w:val="00BE5677"/>
    <w:rsid w:val="00BE5C95"/>
    <w:rsid w:val="00BE6185"/>
    <w:rsid w:val="00BE63D9"/>
    <w:rsid w:val="00BE77A5"/>
    <w:rsid w:val="00BF10A4"/>
    <w:rsid w:val="00BF17A9"/>
    <w:rsid w:val="00BF1933"/>
    <w:rsid w:val="00BF2C6B"/>
    <w:rsid w:val="00BF31F1"/>
    <w:rsid w:val="00BF3449"/>
    <w:rsid w:val="00BF5C36"/>
    <w:rsid w:val="00BF619A"/>
    <w:rsid w:val="00C01573"/>
    <w:rsid w:val="00C02C05"/>
    <w:rsid w:val="00C039F4"/>
    <w:rsid w:val="00C04877"/>
    <w:rsid w:val="00C049E7"/>
    <w:rsid w:val="00C07C59"/>
    <w:rsid w:val="00C07DAC"/>
    <w:rsid w:val="00C11A68"/>
    <w:rsid w:val="00C122FF"/>
    <w:rsid w:val="00C123ED"/>
    <w:rsid w:val="00C15AF1"/>
    <w:rsid w:val="00C16037"/>
    <w:rsid w:val="00C172A4"/>
    <w:rsid w:val="00C1769D"/>
    <w:rsid w:val="00C20992"/>
    <w:rsid w:val="00C20AF8"/>
    <w:rsid w:val="00C2202F"/>
    <w:rsid w:val="00C22103"/>
    <w:rsid w:val="00C225D8"/>
    <w:rsid w:val="00C22D92"/>
    <w:rsid w:val="00C23FB1"/>
    <w:rsid w:val="00C24810"/>
    <w:rsid w:val="00C24DB8"/>
    <w:rsid w:val="00C25E6F"/>
    <w:rsid w:val="00C311DD"/>
    <w:rsid w:val="00C31AB1"/>
    <w:rsid w:val="00C32152"/>
    <w:rsid w:val="00C32DDC"/>
    <w:rsid w:val="00C33FCB"/>
    <w:rsid w:val="00C34509"/>
    <w:rsid w:val="00C36085"/>
    <w:rsid w:val="00C3706A"/>
    <w:rsid w:val="00C37190"/>
    <w:rsid w:val="00C372F2"/>
    <w:rsid w:val="00C375CB"/>
    <w:rsid w:val="00C40390"/>
    <w:rsid w:val="00C412FE"/>
    <w:rsid w:val="00C42BC8"/>
    <w:rsid w:val="00C433B1"/>
    <w:rsid w:val="00C43406"/>
    <w:rsid w:val="00C43AA9"/>
    <w:rsid w:val="00C443EE"/>
    <w:rsid w:val="00C449CB"/>
    <w:rsid w:val="00C45720"/>
    <w:rsid w:val="00C46870"/>
    <w:rsid w:val="00C4708F"/>
    <w:rsid w:val="00C50719"/>
    <w:rsid w:val="00C53BAD"/>
    <w:rsid w:val="00C53D00"/>
    <w:rsid w:val="00C56EB4"/>
    <w:rsid w:val="00C571EB"/>
    <w:rsid w:val="00C5733B"/>
    <w:rsid w:val="00C57D14"/>
    <w:rsid w:val="00C57D4D"/>
    <w:rsid w:val="00C607F1"/>
    <w:rsid w:val="00C60EC3"/>
    <w:rsid w:val="00C60F91"/>
    <w:rsid w:val="00C61EBF"/>
    <w:rsid w:val="00C62C76"/>
    <w:rsid w:val="00C62FD3"/>
    <w:rsid w:val="00C6340D"/>
    <w:rsid w:val="00C63D7F"/>
    <w:rsid w:val="00C642B6"/>
    <w:rsid w:val="00C65390"/>
    <w:rsid w:val="00C6544C"/>
    <w:rsid w:val="00C6680C"/>
    <w:rsid w:val="00C67319"/>
    <w:rsid w:val="00C70493"/>
    <w:rsid w:val="00C707C3"/>
    <w:rsid w:val="00C70ECC"/>
    <w:rsid w:val="00C711E0"/>
    <w:rsid w:val="00C71A74"/>
    <w:rsid w:val="00C71D8A"/>
    <w:rsid w:val="00C71E12"/>
    <w:rsid w:val="00C72AA0"/>
    <w:rsid w:val="00C735E2"/>
    <w:rsid w:val="00C746FC"/>
    <w:rsid w:val="00C80499"/>
    <w:rsid w:val="00C828D8"/>
    <w:rsid w:val="00C829A9"/>
    <w:rsid w:val="00C83CE7"/>
    <w:rsid w:val="00C84927"/>
    <w:rsid w:val="00C8569C"/>
    <w:rsid w:val="00C8700F"/>
    <w:rsid w:val="00C90B52"/>
    <w:rsid w:val="00C91E7E"/>
    <w:rsid w:val="00C9226C"/>
    <w:rsid w:val="00C925A7"/>
    <w:rsid w:val="00C961C6"/>
    <w:rsid w:val="00C96609"/>
    <w:rsid w:val="00C969F8"/>
    <w:rsid w:val="00C973B6"/>
    <w:rsid w:val="00C97449"/>
    <w:rsid w:val="00CA037F"/>
    <w:rsid w:val="00CA1271"/>
    <w:rsid w:val="00CA18FC"/>
    <w:rsid w:val="00CA3E43"/>
    <w:rsid w:val="00CA52A5"/>
    <w:rsid w:val="00CA5552"/>
    <w:rsid w:val="00CA6462"/>
    <w:rsid w:val="00CA68C0"/>
    <w:rsid w:val="00CA72D0"/>
    <w:rsid w:val="00CA7ED3"/>
    <w:rsid w:val="00CB0158"/>
    <w:rsid w:val="00CB22C0"/>
    <w:rsid w:val="00CB26D0"/>
    <w:rsid w:val="00CB306C"/>
    <w:rsid w:val="00CB3134"/>
    <w:rsid w:val="00CB54C1"/>
    <w:rsid w:val="00CB56A1"/>
    <w:rsid w:val="00CB5FA5"/>
    <w:rsid w:val="00CB6130"/>
    <w:rsid w:val="00CB75D5"/>
    <w:rsid w:val="00CB7DA9"/>
    <w:rsid w:val="00CC0513"/>
    <w:rsid w:val="00CC096B"/>
    <w:rsid w:val="00CC0E7F"/>
    <w:rsid w:val="00CC0EFD"/>
    <w:rsid w:val="00CC1F36"/>
    <w:rsid w:val="00CC22D0"/>
    <w:rsid w:val="00CC353B"/>
    <w:rsid w:val="00CC4664"/>
    <w:rsid w:val="00CC5A8D"/>
    <w:rsid w:val="00CC60C2"/>
    <w:rsid w:val="00CD0E87"/>
    <w:rsid w:val="00CD1802"/>
    <w:rsid w:val="00CD1D14"/>
    <w:rsid w:val="00CD1E60"/>
    <w:rsid w:val="00CD2F8D"/>
    <w:rsid w:val="00CD3E97"/>
    <w:rsid w:val="00CD59F1"/>
    <w:rsid w:val="00CD6277"/>
    <w:rsid w:val="00CD653A"/>
    <w:rsid w:val="00CD7171"/>
    <w:rsid w:val="00CD73C6"/>
    <w:rsid w:val="00CE032F"/>
    <w:rsid w:val="00CE0CFA"/>
    <w:rsid w:val="00CE0D4D"/>
    <w:rsid w:val="00CE1BF1"/>
    <w:rsid w:val="00CE2922"/>
    <w:rsid w:val="00CE4E64"/>
    <w:rsid w:val="00CE5AF7"/>
    <w:rsid w:val="00CE5BFE"/>
    <w:rsid w:val="00CE6FC9"/>
    <w:rsid w:val="00CE7A14"/>
    <w:rsid w:val="00CF0271"/>
    <w:rsid w:val="00CF15B1"/>
    <w:rsid w:val="00CF339D"/>
    <w:rsid w:val="00CF35CE"/>
    <w:rsid w:val="00D01E2F"/>
    <w:rsid w:val="00D02006"/>
    <w:rsid w:val="00D0236D"/>
    <w:rsid w:val="00D027D9"/>
    <w:rsid w:val="00D065DD"/>
    <w:rsid w:val="00D1034B"/>
    <w:rsid w:val="00D11216"/>
    <w:rsid w:val="00D11A1A"/>
    <w:rsid w:val="00D125E3"/>
    <w:rsid w:val="00D13835"/>
    <w:rsid w:val="00D13896"/>
    <w:rsid w:val="00D14A41"/>
    <w:rsid w:val="00D15C0E"/>
    <w:rsid w:val="00D175BA"/>
    <w:rsid w:val="00D1786E"/>
    <w:rsid w:val="00D17D4D"/>
    <w:rsid w:val="00D214BC"/>
    <w:rsid w:val="00D220DD"/>
    <w:rsid w:val="00D226AB"/>
    <w:rsid w:val="00D22D97"/>
    <w:rsid w:val="00D23A67"/>
    <w:rsid w:val="00D23B5C"/>
    <w:rsid w:val="00D23BF8"/>
    <w:rsid w:val="00D23BF9"/>
    <w:rsid w:val="00D24133"/>
    <w:rsid w:val="00D24340"/>
    <w:rsid w:val="00D25225"/>
    <w:rsid w:val="00D26715"/>
    <w:rsid w:val="00D2680E"/>
    <w:rsid w:val="00D268D4"/>
    <w:rsid w:val="00D26DF3"/>
    <w:rsid w:val="00D27F2F"/>
    <w:rsid w:val="00D305BA"/>
    <w:rsid w:val="00D31DC1"/>
    <w:rsid w:val="00D33062"/>
    <w:rsid w:val="00D33C79"/>
    <w:rsid w:val="00D33CF1"/>
    <w:rsid w:val="00D34651"/>
    <w:rsid w:val="00D403AE"/>
    <w:rsid w:val="00D413E7"/>
    <w:rsid w:val="00D41A5F"/>
    <w:rsid w:val="00D44188"/>
    <w:rsid w:val="00D44863"/>
    <w:rsid w:val="00D44A2D"/>
    <w:rsid w:val="00D45223"/>
    <w:rsid w:val="00D45668"/>
    <w:rsid w:val="00D45A20"/>
    <w:rsid w:val="00D508F9"/>
    <w:rsid w:val="00D5095C"/>
    <w:rsid w:val="00D529F9"/>
    <w:rsid w:val="00D533B0"/>
    <w:rsid w:val="00D54040"/>
    <w:rsid w:val="00D55565"/>
    <w:rsid w:val="00D556AE"/>
    <w:rsid w:val="00D55EB6"/>
    <w:rsid w:val="00D5693E"/>
    <w:rsid w:val="00D56F36"/>
    <w:rsid w:val="00D570B9"/>
    <w:rsid w:val="00D6046C"/>
    <w:rsid w:val="00D61444"/>
    <w:rsid w:val="00D62E23"/>
    <w:rsid w:val="00D6472A"/>
    <w:rsid w:val="00D6586B"/>
    <w:rsid w:val="00D65B7B"/>
    <w:rsid w:val="00D663CD"/>
    <w:rsid w:val="00D665D2"/>
    <w:rsid w:val="00D6670F"/>
    <w:rsid w:val="00D66805"/>
    <w:rsid w:val="00D66B45"/>
    <w:rsid w:val="00D700B5"/>
    <w:rsid w:val="00D70A38"/>
    <w:rsid w:val="00D70E0E"/>
    <w:rsid w:val="00D71694"/>
    <w:rsid w:val="00D71DA3"/>
    <w:rsid w:val="00D72627"/>
    <w:rsid w:val="00D72DF9"/>
    <w:rsid w:val="00D73F21"/>
    <w:rsid w:val="00D7475F"/>
    <w:rsid w:val="00D74ACF"/>
    <w:rsid w:val="00D7588D"/>
    <w:rsid w:val="00D75A14"/>
    <w:rsid w:val="00D76270"/>
    <w:rsid w:val="00D804D7"/>
    <w:rsid w:val="00D818F0"/>
    <w:rsid w:val="00D845D6"/>
    <w:rsid w:val="00D848D9"/>
    <w:rsid w:val="00D8570C"/>
    <w:rsid w:val="00D90A43"/>
    <w:rsid w:val="00D91E01"/>
    <w:rsid w:val="00D92174"/>
    <w:rsid w:val="00D9243F"/>
    <w:rsid w:val="00D9369D"/>
    <w:rsid w:val="00D94B61"/>
    <w:rsid w:val="00D9724C"/>
    <w:rsid w:val="00DA04A6"/>
    <w:rsid w:val="00DA1CA6"/>
    <w:rsid w:val="00DA2AF4"/>
    <w:rsid w:val="00DA4AA6"/>
    <w:rsid w:val="00DA700C"/>
    <w:rsid w:val="00DA7C2D"/>
    <w:rsid w:val="00DA7CFA"/>
    <w:rsid w:val="00DB25BB"/>
    <w:rsid w:val="00DB2AEB"/>
    <w:rsid w:val="00DB359F"/>
    <w:rsid w:val="00DB39AB"/>
    <w:rsid w:val="00DB482B"/>
    <w:rsid w:val="00DB5770"/>
    <w:rsid w:val="00DB638D"/>
    <w:rsid w:val="00DB66C3"/>
    <w:rsid w:val="00DC1770"/>
    <w:rsid w:val="00DC188A"/>
    <w:rsid w:val="00DC1BB5"/>
    <w:rsid w:val="00DC37AD"/>
    <w:rsid w:val="00DC39BE"/>
    <w:rsid w:val="00DC45CD"/>
    <w:rsid w:val="00DC658B"/>
    <w:rsid w:val="00DC7043"/>
    <w:rsid w:val="00DC7749"/>
    <w:rsid w:val="00DC7C29"/>
    <w:rsid w:val="00DD057C"/>
    <w:rsid w:val="00DD2907"/>
    <w:rsid w:val="00DD3118"/>
    <w:rsid w:val="00DD3F4B"/>
    <w:rsid w:val="00DD4190"/>
    <w:rsid w:val="00DD55BD"/>
    <w:rsid w:val="00DD7354"/>
    <w:rsid w:val="00DD7BFC"/>
    <w:rsid w:val="00DE052D"/>
    <w:rsid w:val="00DE0FD5"/>
    <w:rsid w:val="00DE1591"/>
    <w:rsid w:val="00DE1C91"/>
    <w:rsid w:val="00DE3087"/>
    <w:rsid w:val="00DE39F5"/>
    <w:rsid w:val="00DE5ACC"/>
    <w:rsid w:val="00DE6102"/>
    <w:rsid w:val="00DE6151"/>
    <w:rsid w:val="00DE7349"/>
    <w:rsid w:val="00DF07C4"/>
    <w:rsid w:val="00DF35F2"/>
    <w:rsid w:val="00DF5926"/>
    <w:rsid w:val="00DF6610"/>
    <w:rsid w:val="00DF6D4C"/>
    <w:rsid w:val="00DF70C4"/>
    <w:rsid w:val="00DF7D3D"/>
    <w:rsid w:val="00E01262"/>
    <w:rsid w:val="00E017B2"/>
    <w:rsid w:val="00E01A1D"/>
    <w:rsid w:val="00E02520"/>
    <w:rsid w:val="00E02CD1"/>
    <w:rsid w:val="00E02F0D"/>
    <w:rsid w:val="00E03C34"/>
    <w:rsid w:val="00E07187"/>
    <w:rsid w:val="00E11EAC"/>
    <w:rsid w:val="00E13088"/>
    <w:rsid w:val="00E13262"/>
    <w:rsid w:val="00E1433B"/>
    <w:rsid w:val="00E14539"/>
    <w:rsid w:val="00E14858"/>
    <w:rsid w:val="00E14EEE"/>
    <w:rsid w:val="00E23221"/>
    <w:rsid w:val="00E23B23"/>
    <w:rsid w:val="00E23CFE"/>
    <w:rsid w:val="00E24067"/>
    <w:rsid w:val="00E24190"/>
    <w:rsid w:val="00E24FC4"/>
    <w:rsid w:val="00E25807"/>
    <w:rsid w:val="00E25D4C"/>
    <w:rsid w:val="00E275AF"/>
    <w:rsid w:val="00E30843"/>
    <w:rsid w:val="00E30D7B"/>
    <w:rsid w:val="00E342D9"/>
    <w:rsid w:val="00E34821"/>
    <w:rsid w:val="00E350C4"/>
    <w:rsid w:val="00E36215"/>
    <w:rsid w:val="00E40631"/>
    <w:rsid w:val="00E408C2"/>
    <w:rsid w:val="00E41ED9"/>
    <w:rsid w:val="00E432CC"/>
    <w:rsid w:val="00E43D4E"/>
    <w:rsid w:val="00E44BFA"/>
    <w:rsid w:val="00E4573B"/>
    <w:rsid w:val="00E45C02"/>
    <w:rsid w:val="00E4630C"/>
    <w:rsid w:val="00E464C1"/>
    <w:rsid w:val="00E46864"/>
    <w:rsid w:val="00E46C4E"/>
    <w:rsid w:val="00E47A62"/>
    <w:rsid w:val="00E47E67"/>
    <w:rsid w:val="00E51A54"/>
    <w:rsid w:val="00E52F00"/>
    <w:rsid w:val="00E53B4E"/>
    <w:rsid w:val="00E53C36"/>
    <w:rsid w:val="00E54C18"/>
    <w:rsid w:val="00E553BF"/>
    <w:rsid w:val="00E55F94"/>
    <w:rsid w:val="00E5624B"/>
    <w:rsid w:val="00E56298"/>
    <w:rsid w:val="00E563B9"/>
    <w:rsid w:val="00E566A0"/>
    <w:rsid w:val="00E567A1"/>
    <w:rsid w:val="00E56A31"/>
    <w:rsid w:val="00E5727D"/>
    <w:rsid w:val="00E57390"/>
    <w:rsid w:val="00E57797"/>
    <w:rsid w:val="00E61A37"/>
    <w:rsid w:val="00E64CFD"/>
    <w:rsid w:val="00E64D9D"/>
    <w:rsid w:val="00E6509F"/>
    <w:rsid w:val="00E6512B"/>
    <w:rsid w:val="00E65827"/>
    <w:rsid w:val="00E65CC3"/>
    <w:rsid w:val="00E67676"/>
    <w:rsid w:val="00E70A78"/>
    <w:rsid w:val="00E70BC8"/>
    <w:rsid w:val="00E711A9"/>
    <w:rsid w:val="00E717E1"/>
    <w:rsid w:val="00E7232B"/>
    <w:rsid w:val="00E73A92"/>
    <w:rsid w:val="00E7463C"/>
    <w:rsid w:val="00E7514A"/>
    <w:rsid w:val="00E818C2"/>
    <w:rsid w:val="00E81D69"/>
    <w:rsid w:val="00E822BD"/>
    <w:rsid w:val="00E823CF"/>
    <w:rsid w:val="00E82583"/>
    <w:rsid w:val="00E83ABA"/>
    <w:rsid w:val="00E86201"/>
    <w:rsid w:val="00E8623F"/>
    <w:rsid w:val="00E869B2"/>
    <w:rsid w:val="00E87C10"/>
    <w:rsid w:val="00E9005C"/>
    <w:rsid w:val="00E911F2"/>
    <w:rsid w:val="00E914AC"/>
    <w:rsid w:val="00E92018"/>
    <w:rsid w:val="00E93239"/>
    <w:rsid w:val="00E93295"/>
    <w:rsid w:val="00E94D60"/>
    <w:rsid w:val="00E95524"/>
    <w:rsid w:val="00EA120A"/>
    <w:rsid w:val="00EA1DAC"/>
    <w:rsid w:val="00EA3ED9"/>
    <w:rsid w:val="00EA4382"/>
    <w:rsid w:val="00EA4B00"/>
    <w:rsid w:val="00EA5162"/>
    <w:rsid w:val="00EB13FD"/>
    <w:rsid w:val="00EB1B43"/>
    <w:rsid w:val="00EB2D31"/>
    <w:rsid w:val="00EB397C"/>
    <w:rsid w:val="00EB51B5"/>
    <w:rsid w:val="00EB5F0F"/>
    <w:rsid w:val="00EB6E5E"/>
    <w:rsid w:val="00EC0076"/>
    <w:rsid w:val="00EC1F8D"/>
    <w:rsid w:val="00EC46E3"/>
    <w:rsid w:val="00EC4AC8"/>
    <w:rsid w:val="00EC56AA"/>
    <w:rsid w:val="00ED0379"/>
    <w:rsid w:val="00ED0F06"/>
    <w:rsid w:val="00ED1EFF"/>
    <w:rsid w:val="00ED2F5D"/>
    <w:rsid w:val="00ED5097"/>
    <w:rsid w:val="00ED58B4"/>
    <w:rsid w:val="00EE15C9"/>
    <w:rsid w:val="00EE1679"/>
    <w:rsid w:val="00EE217A"/>
    <w:rsid w:val="00EE30AC"/>
    <w:rsid w:val="00EE58C8"/>
    <w:rsid w:val="00EE5CEC"/>
    <w:rsid w:val="00EE5CFF"/>
    <w:rsid w:val="00EE79F0"/>
    <w:rsid w:val="00EF1FC2"/>
    <w:rsid w:val="00EF290A"/>
    <w:rsid w:val="00EF3A1D"/>
    <w:rsid w:val="00EF3DF5"/>
    <w:rsid w:val="00EF420D"/>
    <w:rsid w:val="00EF5587"/>
    <w:rsid w:val="00EF57BD"/>
    <w:rsid w:val="00EF613D"/>
    <w:rsid w:val="00EF6D48"/>
    <w:rsid w:val="00EF7B6D"/>
    <w:rsid w:val="00F0225C"/>
    <w:rsid w:val="00F0230E"/>
    <w:rsid w:val="00F042EE"/>
    <w:rsid w:val="00F0533A"/>
    <w:rsid w:val="00F05CF5"/>
    <w:rsid w:val="00F11AA1"/>
    <w:rsid w:val="00F11B08"/>
    <w:rsid w:val="00F1376C"/>
    <w:rsid w:val="00F15327"/>
    <w:rsid w:val="00F15DE0"/>
    <w:rsid w:val="00F16EE8"/>
    <w:rsid w:val="00F21454"/>
    <w:rsid w:val="00F2244D"/>
    <w:rsid w:val="00F22D76"/>
    <w:rsid w:val="00F23497"/>
    <w:rsid w:val="00F24E2A"/>
    <w:rsid w:val="00F25431"/>
    <w:rsid w:val="00F25617"/>
    <w:rsid w:val="00F26B03"/>
    <w:rsid w:val="00F2772A"/>
    <w:rsid w:val="00F303C0"/>
    <w:rsid w:val="00F3072D"/>
    <w:rsid w:val="00F30950"/>
    <w:rsid w:val="00F309E1"/>
    <w:rsid w:val="00F3299C"/>
    <w:rsid w:val="00F34C99"/>
    <w:rsid w:val="00F3511E"/>
    <w:rsid w:val="00F362AD"/>
    <w:rsid w:val="00F379B0"/>
    <w:rsid w:val="00F37B19"/>
    <w:rsid w:val="00F40922"/>
    <w:rsid w:val="00F40B82"/>
    <w:rsid w:val="00F40C0A"/>
    <w:rsid w:val="00F4597A"/>
    <w:rsid w:val="00F45DB6"/>
    <w:rsid w:val="00F46384"/>
    <w:rsid w:val="00F46E73"/>
    <w:rsid w:val="00F4790F"/>
    <w:rsid w:val="00F50A37"/>
    <w:rsid w:val="00F518D8"/>
    <w:rsid w:val="00F51B1C"/>
    <w:rsid w:val="00F53100"/>
    <w:rsid w:val="00F54BE9"/>
    <w:rsid w:val="00F569DB"/>
    <w:rsid w:val="00F607DD"/>
    <w:rsid w:val="00F61EBD"/>
    <w:rsid w:val="00F623D8"/>
    <w:rsid w:val="00F62A16"/>
    <w:rsid w:val="00F62C3C"/>
    <w:rsid w:val="00F63343"/>
    <w:rsid w:val="00F6337E"/>
    <w:rsid w:val="00F64AF0"/>
    <w:rsid w:val="00F658F5"/>
    <w:rsid w:val="00F65D33"/>
    <w:rsid w:val="00F71C53"/>
    <w:rsid w:val="00F721D7"/>
    <w:rsid w:val="00F725B0"/>
    <w:rsid w:val="00F7333A"/>
    <w:rsid w:val="00F737D4"/>
    <w:rsid w:val="00F74C1A"/>
    <w:rsid w:val="00F759BC"/>
    <w:rsid w:val="00F7711A"/>
    <w:rsid w:val="00F7720D"/>
    <w:rsid w:val="00F77D58"/>
    <w:rsid w:val="00F80445"/>
    <w:rsid w:val="00F81B85"/>
    <w:rsid w:val="00F8342D"/>
    <w:rsid w:val="00F84883"/>
    <w:rsid w:val="00F8554B"/>
    <w:rsid w:val="00F86404"/>
    <w:rsid w:val="00F90775"/>
    <w:rsid w:val="00F910B6"/>
    <w:rsid w:val="00F93EA0"/>
    <w:rsid w:val="00F9511B"/>
    <w:rsid w:val="00F96C9E"/>
    <w:rsid w:val="00F96FE0"/>
    <w:rsid w:val="00FA20D7"/>
    <w:rsid w:val="00FA2738"/>
    <w:rsid w:val="00FA40B8"/>
    <w:rsid w:val="00FA40F2"/>
    <w:rsid w:val="00FA4681"/>
    <w:rsid w:val="00FA5039"/>
    <w:rsid w:val="00FA696B"/>
    <w:rsid w:val="00FB0E7B"/>
    <w:rsid w:val="00FB2726"/>
    <w:rsid w:val="00FB2E93"/>
    <w:rsid w:val="00FB3393"/>
    <w:rsid w:val="00FB4A56"/>
    <w:rsid w:val="00FB57B6"/>
    <w:rsid w:val="00FB77E1"/>
    <w:rsid w:val="00FB7DC4"/>
    <w:rsid w:val="00FC4C7F"/>
    <w:rsid w:val="00FC4CF0"/>
    <w:rsid w:val="00FC5BFB"/>
    <w:rsid w:val="00FC5F9C"/>
    <w:rsid w:val="00FC6109"/>
    <w:rsid w:val="00FC6384"/>
    <w:rsid w:val="00FC64F3"/>
    <w:rsid w:val="00FC6AB7"/>
    <w:rsid w:val="00FC7234"/>
    <w:rsid w:val="00FC7CF9"/>
    <w:rsid w:val="00FD5395"/>
    <w:rsid w:val="00FD5842"/>
    <w:rsid w:val="00FD63D7"/>
    <w:rsid w:val="00FD67B2"/>
    <w:rsid w:val="00FD7A44"/>
    <w:rsid w:val="00FD7B06"/>
    <w:rsid w:val="00FE0214"/>
    <w:rsid w:val="00FE095C"/>
    <w:rsid w:val="00FE0EAC"/>
    <w:rsid w:val="00FE3201"/>
    <w:rsid w:val="00FE3C4D"/>
    <w:rsid w:val="00FE6B87"/>
    <w:rsid w:val="00FE7F7F"/>
    <w:rsid w:val="00FF01A8"/>
    <w:rsid w:val="00FF0DD3"/>
    <w:rsid w:val="00FF3F1A"/>
    <w:rsid w:val="00FF400E"/>
    <w:rsid w:val="00FF41A0"/>
    <w:rsid w:val="00FF5CFC"/>
    <w:rsid w:val="00FF61E1"/>
    <w:rsid w:val="00FF65E0"/>
    <w:rsid w:val="00FF6781"/>
    <w:rsid w:val="00FF6BA7"/>
    <w:rsid w:val="00FF7B4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5169"/>
    <o:shapelayout v:ext="edit">
      <o:idmap v:ext="edit" data="1"/>
    </o:shapelayout>
  </w:shapeDefaults>
  <w:decimalSymbol w:val="."/>
  <w:listSeparator w:val=","/>
  <w14:docId w14:val="2EA5862C"/>
  <w15:docId w15:val="{5386EAFE-7B90-4171-93D3-23D1338B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9C2"/>
    <w:pPr>
      <w:spacing w:after="0" w:line="240" w:lineRule="auto"/>
    </w:pPr>
    <w:rPr>
      <w:rFonts w:ascii="Times New Roman" w:eastAsia="Times New Roman" w:hAnsi="Times New Roman" w:cs="Times New Roman"/>
      <w:sz w:val="24"/>
      <w:szCs w:val="24"/>
      <w:lang w:val="en-US" w:eastAsia="en-US"/>
    </w:rPr>
  </w:style>
  <w:style w:type="paragraph" w:styleId="Heading1">
    <w:name w:val="heading 1"/>
    <w:aliases w:val="Table_G"/>
    <w:basedOn w:val="SingleTxtG"/>
    <w:next w:val="SingleTxtG"/>
    <w:link w:val="Heading1Char"/>
    <w:qFormat/>
    <w:rsid w:val="00ED2F5D"/>
    <w:pPr>
      <w:numPr>
        <w:numId w:val="5"/>
      </w:numPr>
      <w:spacing w:after="0"/>
      <w:ind w:right="0"/>
      <w:jc w:val="left"/>
      <w:outlineLvl w:val="0"/>
    </w:pPr>
  </w:style>
  <w:style w:type="paragraph" w:styleId="Heading2">
    <w:name w:val="heading 2"/>
    <w:basedOn w:val="Normal"/>
    <w:next w:val="Normal"/>
    <w:link w:val="Heading2Char"/>
    <w:qFormat/>
    <w:rsid w:val="00ED2F5D"/>
    <w:pPr>
      <w:numPr>
        <w:ilvl w:val="1"/>
        <w:numId w:val="5"/>
      </w:numPr>
      <w:outlineLvl w:val="1"/>
    </w:pPr>
  </w:style>
  <w:style w:type="paragraph" w:styleId="Heading3">
    <w:name w:val="heading 3"/>
    <w:basedOn w:val="Normal"/>
    <w:next w:val="Normal"/>
    <w:link w:val="Heading3Char"/>
    <w:qFormat/>
    <w:rsid w:val="00ED2F5D"/>
    <w:pPr>
      <w:numPr>
        <w:ilvl w:val="2"/>
        <w:numId w:val="5"/>
      </w:numPr>
      <w:outlineLvl w:val="2"/>
    </w:pPr>
  </w:style>
  <w:style w:type="paragraph" w:styleId="Heading4">
    <w:name w:val="heading 4"/>
    <w:basedOn w:val="Normal"/>
    <w:next w:val="Normal"/>
    <w:link w:val="Heading4Char"/>
    <w:qFormat/>
    <w:rsid w:val="00ED2F5D"/>
    <w:pPr>
      <w:numPr>
        <w:ilvl w:val="3"/>
        <w:numId w:val="5"/>
      </w:numPr>
      <w:outlineLvl w:val="3"/>
    </w:pPr>
  </w:style>
  <w:style w:type="paragraph" w:styleId="Heading5">
    <w:name w:val="heading 5"/>
    <w:basedOn w:val="Normal"/>
    <w:next w:val="Normal"/>
    <w:link w:val="Heading5Char"/>
    <w:qFormat/>
    <w:rsid w:val="00ED2F5D"/>
    <w:pPr>
      <w:numPr>
        <w:ilvl w:val="4"/>
        <w:numId w:val="5"/>
      </w:numPr>
      <w:outlineLvl w:val="4"/>
    </w:pPr>
  </w:style>
  <w:style w:type="paragraph" w:styleId="Heading6">
    <w:name w:val="heading 6"/>
    <w:basedOn w:val="Normal"/>
    <w:next w:val="Normal"/>
    <w:link w:val="Heading6Char"/>
    <w:qFormat/>
    <w:rsid w:val="00ED2F5D"/>
    <w:pPr>
      <w:numPr>
        <w:ilvl w:val="5"/>
        <w:numId w:val="5"/>
      </w:numPr>
      <w:outlineLvl w:val="5"/>
    </w:pPr>
  </w:style>
  <w:style w:type="paragraph" w:styleId="Heading7">
    <w:name w:val="heading 7"/>
    <w:basedOn w:val="Normal"/>
    <w:next w:val="Normal"/>
    <w:link w:val="Heading7Char"/>
    <w:qFormat/>
    <w:rsid w:val="00ED2F5D"/>
    <w:pPr>
      <w:numPr>
        <w:ilvl w:val="6"/>
        <w:numId w:val="5"/>
      </w:numPr>
      <w:outlineLvl w:val="6"/>
    </w:pPr>
  </w:style>
  <w:style w:type="paragraph" w:styleId="Heading8">
    <w:name w:val="heading 8"/>
    <w:basedOn w:val="Normal"/>
    <w:next w:val="Normal"/>
    <w:link w:val="Heading8Char"/>
    <w:qFormat/>
    <w:rsid w:val="00ED2F5D"/>
    <w:pPr>
      <w:numPr>
        <w:ilvl w:val="7"/>
        <w:numId w:val="5"/>
      </w:numPr>
      <w:outlineLvl w:val="7"/>
    </w:pPr>
  </w:style>
  <w:style w:type="paragraph" w:styleId="Heading9">
    <w:name w:val="heading 9"/>
    <w:basedOn w:val="Normal"/>
    <w:next w:val="Normal"/>
    <w:link w:val="Heading9Char"/>
    <w:qFormat/>
    <w:rsid w:val="00ED2F5D"/>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rsid w:val="00ED2F5D"/>
    <w:rPr>
      <w:rFonts w:ascii="Times New Roman" w:eastAsia="Times New Roman" w:hAnsi="Times New Roman" w:cs="Times New Roman"/>
      <w:sz w:val="24"/>
      <w:szCs w:val="24"/>
      <w:lang w:val="en-US" w:eastAsia="en-US"/>
    </w:rPr>
  </w:style>
  <w:style w:type="character" w:customStyle="1" w:styleId="Heading2Char">
    <w:name w:val="Heading 2 Char"/>
    <w:basedOn w:val="DefaultParagraphFont"/>
    <w:link w:val="Heading2"/>
    <w:rsid w:val="00ED2F5D"/>
    <w:rPr>
      <w:rFonts w:ascii="Times New Roman" w:eastAsia="Times New Roman" w:hAnsi="Times New Roman" w:cs="Times New Roman"/>
      <w:sz w:val="24"/>
      <w:szCs w:val="24"/>
      <w:lang w:val="en-US" w:eastAsia="en-US"/>
    </w:rPr>
  </w:style>
  <w:style w:type="character" w:customStyle="1" w:styleId="Heading3Char">
    <w:name w:val="Heading 3 Char"/>
    <w:basedOn w:val="DefaultParagraphFont"/>
    <w:link w:val="Heading3"/>
    <w:rsid w:val="00ED2F5D"/>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rsid w:val="00ED2F5D"/>
    <w:rPr>
      <w:rFonts w:ascii="Times New Roman" w:eastAsia="Times New Roman" w:hAnsi="Times New Roman" w:cs="Times New Roman"/>
      <w:sz w:val="24"/>
      <w:szCs w:val="24"/>
      <w:lang w:val="en-US" w:eastAsia="en-US"/>
    </w:rPr>
  </w:style>
  <w:style w:type="character" w:customStyle="1" w:styleId="Heading5Char">
    <w:name w:val="Heading 5 Char"/>
    <w:basedOn w:val="DefaultParagraphFont"/>
    <w:link w:val="Heading5"/>
    <w:rsid w:val="00ED2F5D"/>
    <w:rPr>
      <w:rFonts w:ascii="Times New Roman" w:eastAsia="Times New Roman" w:hAnsi="Times New Roman" w:cs="Times New Roman"/>
      <w:sz w:val="24"/>
      <w:szCs w:val="24"/>
      <w:lang w:val="en-US" w:eastAsia="en-US"/>
    </w:rPr>
  </w:style>
  <w:style w:type="character" w:customStyle="1" w:styleId="Heading6Char">
    <w:name w:val="Heading 6 Char"/>
    <w:basedOn w:val="DefaultParagraphFont"/>
    <w:link w:val="Heading6"/>
    <w:rsid w:val="00ED2F5D"/>
    <w:rPr>
      <w:rFonts w:ascii="Times New Roman" w:eastAsia="Times New Roman" w:hAnsi="Times New Roman" w:cs="Times New Roman"/>
      <w:sz w:val="24"/>
      <w:szCs w:val="24"/>
      <w:lang w:val="en-US" w:eastAsia="en-US"/>
    </w:rPr>
  </w:style>
  <w:style w:type="character" w:customStyle="1" w:styleId="Heading7Char">
    <w:name w:val="Heading 7 Char"/>
    <w:basedOn w:val="DefaultParagraphFont"/>
    <w:link w:val="Heading7"/>
    <w:rsid w:val="00ED2F5D"/>
    <w:rPr>
      <w:rFonts w:ascii="Times New Roman" w:eastAsia="Times New Roman" w:hAnsi="Times New Roman" w:cs="Times New Roman"/>
      <w:sz w:val="24"/>
      <w:szCs w:val="24"/>
      <w:lang w:val="en-US" w:eastAsia="en-US"/>
    </w:rPr>
  </w:style>
  <w:style w:type="character" w:customStyle="1" w:styleId="Heading8Char">
    <w:name w:val="Heading 8 Char"/>
    <w:basedOn w:val="DefaultParagraphFont"/>
    <w:link w:val="Heading8"/>
    <w:rsid w:val="00ED2F5D"/>
    <w:rPr>
      <w:rFonts w:ascii="Times New Roman" w:eastAsia="Times New Roman" w:hAnsi="Times New Roman" w:cs="Times New Roman"/>
      <w:sz w:val="24"/>
      <w:szCs w:val="24"/>
      <w:lang w:val="en-US" w:eastAsia="en-US"/>
    </w:rPr>
  </w:style>
  <w:style w:type="character" w:customStyle="1" w:styleId="Heading9Char">
    <w:name w:val="Heading 9 Char"/>
    <w:basedOn w:val="DefaultParagraphFont"/>
    <w:link w:val="Heading9"/>
    <w:rsid w:val="00ED2F5D"/>
    <w:rPr>
      <w:rFonts w:ascii="Times New Roman" w:eastAsia="Times New Roman" w:hAnsi="Times New Roman" w:cs="Times New Roman"/>
      <w:sz w:val="24"/>
      <w:szCs w:val="24"/>
      <w:lang w:val="en-US" w:eastAsia="en-US"/>
    </w:rPr>
  </w:style>
  <w:style w:type="paragraph" w:customStyle="1" w:styleId="SingleTxtG">
    <w:name w:val="_ Single Txt_G"/>
    <w:basedOn w:val="Normal"/>
    <w:link w:val="SingleTxtGChar"/>
    <w:qFormat/>
    <w:rsid w:val="00ED2F5D"/>
    <w:pPr>
      <w:spacing w:after="120"/>
      <w:ind w:left="1134" w:right="1134"/>
      <w:jc w:val="both"/>
    </w:pPr>
  </w:style>
  <w:style w:type="paragraph" w:customStyle="1" w:styleId="HMG">
    <w:name w:val="_ H __M_G"/>
    <w:basedOn w:val="Normal"/>
    <w:next w:val="Normal"/>
    <w:rsid w:val="00ED2F5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D2F5D"/>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16 Point,Superscript 6 Point,ftref,a Footnote Reference,FZ,Appel note de bas de page,Appel note de bas de p.,Footnote Refernece,Footnote number,Texto de nota al pie,referencia nota al pie,BVI fnr,f"/>
    <w:link w:val="CharChar1CharCharCharChar1CharCharCharCharCharCharCharCharCharCharCharCharCharCharCharChar"/>
    <w:uiPriority w:val="99"/>
    <w:qFormat/>
    <w:rsid w:val="00ED2F5D"/>
    <w:rPr>
      <w:rFonts w:ascii="Times New Roman" w:hAnsi="Times New Roman"/>
      <w:sz w:val="18"/>
      <w:vertAlign w:val="superscript"/>
    </w:rPr>
  </w:style>
  <w:style w:type="character" w:styleId="EndnoteReference">
    <w:name w:val="endnote reference"/>
    <w:aliases w:val="1_G"/>
    <w:rsid w:val="00ED2F5D"/>
    <w:rPr>
      <w:rFonts w:ascii="Times New Roman" w:hAnsi="Times New Roman"/>
      <w:sz w:val="18"/>
      <w:vertAlign w:val="superscript"/>
    </w:rPr>
  </w:style>
  <w:style w:type="paragraph" w:styleId="Header">
    <w:name w:val="header"/>
    <w:aliases w:val="6_G"/>
    <w:basedOn w:val="Normal"/>
    <w:link w:val="HeaderChar"/>
    <w:rsid w:val="00ED2F5D"/>
    <w:pPr>
      <w:pBdr>
        <w:bottom w:val="single" w:sz="4" w:space="4" w:color="auto"/>
      </w:pBdr>
    </w:pPr>
    <w:rPr>
      <w:b/>
      <w:sz w:val="18"/>
    </w:rPr>
  </w:style>
  <w:style w:type="character" w:customStyle="1" w:styleId="HeaderChar">
    <w:name w:val="Header Char"/>
    <w:aliases w:val="6_G Char"/>
    <w:basedOn w:val="DefaultParagraphFont"/>
    <w:link w:val="Header"/>
    <w:rsid w:val="00ED2F5D"/>
    <w:rPr>
      <w:rFonts w:ascii="Times New Roman" w:eastAsia="Times New Roman" w:hAnsi="Times New Roman" w:cs="Times New Roman"/>
      <w:b/>
      <w:sz w:val="18"/>
      <w:szCs w:val="20"/>
      <w:lang w:eastAsia="en-US"/>
    </w:rPr>
  </w:style>
  <w:style w:type="table" w:styleId="TableGrid">
    <w:name w:val="Table Grid"/>
    <w:basedOn w:val="TableNormal"/>
    <w:rsid w:val="00ED2F5D"/>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ED2F5D"/>
    <w:rPr>
      <w:color w:val="auto"/>
      <w:u w:val="none"/>
    </w:rPr>
  </w:style>
  <w:style w:type="character" w:styleId="FollowedHyperlink">
    <w:name w:val="FollowedHyperlink"/>
    <w:rsid w:val="00ED2F5D"/>
    <w:rPr>
      <w:color w:val="auto"/>
      <w:u w:val="none"/>
    </w:rPr>
  </w:style>
  <w:style w:type="paragraph" w:customStyle="1" w:styleId="SMG">
    <w:name w:val="__S_M_G"/>
    <w:basedOn w:val="Normal"/>
    <w:next w:val="Normal"/>
    <w:rsid w:val="00ED2F5D"/>
    <w:pPr>
      <w:keepNext/>
      <w:keepLines/>
      <w:spacing w:before="240" w:after="240" w:line="420" w:lineRule="exact"/>
      <w:ind w:left="1134" w:right="1134"/>
    </w:pPr>
    <w:rPr>
      <w:b/>
      <w:sz w:val="40"/>
    </w:rPr>
  </w:style>
  <w:style w:type="paragraph" w:customStyle="1" w:styleId="SLG">
    <w:name w:val="__S_L_G"/>
    <w:basedOn w:val="Normal"/>
    <w:next w:val="Normal"/>
    <w:rsid w:val="00ED2F5D"/>
    <w:pPr>
      <w:keepNext/>
      <w:keepLines/>
      <w:spacing w:before="240" w:after="240" w:line="580" w:lineRule="exact"/>
      <w:ind w:left="1134" w:right="1134"/>
    </w:pPr>
    <w:rPr>
      <w:b/>
      <w:sz w:val="56"/>
    </w:rPr>
  </w:style>
  <w:style w:type="paragraph" w:customStyle="1" w:styleId="SSG">
    <w:name w:val="__S_S_G"/>
    <w:basedOn w:val="Normal"/>
    <w:next w:val="Normal"/>
    <w:rsid w:val="00ED2F5D"/>
    <w:pPr>
      <w:keepNext/>
      <w:keepLines/>
      <w:spacing w:before="240" w:after="240" w:line="300" w:lineRule="exact"/>
      <w:ind w:left="1134" w:right="1134"/>
    </w:pPr>
    <w:rPr>
      <w:b/>
      <w:sz w:val="28"/>
    </w:rPr>
  </w:style>
  <w:style w:type="paragraph" w:styleId="FootnoteText">
    <w:name w:val="footnote text"/>
    <w:aliases w:val="5_G,FA Fu,Footnote Text Char Char Char Char Char,Footnote Text Char Char Char Char,Footnote reference,Footnote Text Char Char Char,Footnote Text Cha,FA Fußnotentext,FA Fuﬂnotentext,Footnote Text Char Char,FA Fu?notentext,ft,Footnotes,Char"/>
    <w:basedOn w:val="Normal"/>
    <w:link w:val="FootnoteTextChar"/>
    <w:qFormat/>
    <w:rsid w:val="00ED2F5D"/>
    <w:pPr>
      <w:tabs>
        <w:tab w:val="right" w:pos="1021"/>
      </w:tabs>
      <w:spacing w:line="220" w:lineRule="exact"/>
      <w:ind w:left="1134" w:right="1134" w:hanging="1134"/>
    </w:pPr>
    <w:rPr>
      <w:sz w:val="18"/>
    </w:rPr>
  </w:style>
  <w:style w:type="character" w:customStyle="1" w:styleId="FootnoteTextChar">
    <w:name w:val="Footnote Text Char"/>
    <w:aliases w:val="5_G Char,FA Fu Char,Footnote Text Char Char Char Char Char Char,Footnote Text Char Char Char Char Char1,Footnote reference Char,Footnote Text Char Char Char Char1,Footnote Text Cha Char,FA Fußnotentext Char,FA Fuﬂnotentext Char"/>
    <w:basedOn w:val="DefaultParagraphFont"/>
    <w:link w:val="FootnoteText"/>
    <w:rsid w:val="00ED2F5D"/>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rsid w:val="00ED2F5D"/>
  </w:style>
  <w:style w:type="character" w:customStyle="1" w:styleId="EndnoteTextChar">
    <w:name w:val="Endnote Text Char"/>
    <w:aliases w:val="2_G Char"/>
    <w:basedOn w:val="DefaultParagraphFont"/>
    <w:link w:val="EndnoteText"/>
    <w:rsid w:val="00ED2F5D"/>
    <w:rPr>
      <w:rFonts w:ascii="Times New Roman" w:eastAsia="Times New Roman" w:hAnsi="Times New Roman" w:cs="Times New Roman"/>
      <w:sz w:val="18"/>
      <w:szCs w:val="20"/>
      <w:lang w:eastAsia="en-US"/>
    </w:rPr>
  </w:style>
  <w:style w:type="character" w:styleId="PageNumber">
    <w:name w:val="page number"/>
    <w:aliases w:val="7_G"/>
    <w:rsid w:val="00ED2F5D"/>
    <w:rPr>
      <w:rFonts w:ascii="Times New Roman" w:hAnsi="Times New Roman"/>
      <w:b/>
      <w:sz w:val="18"/>
    </w:rPr>
  </w:style>
  <w:style w:type="paragraph" w:customStyle="1" w:styleId="XLargeG">
    <w:name w:val="__XLarge_G"/>
    <w:basedOn w:val="Normal"/>
    <w:next w:val="Normal"/>
    <w:rsid w:val="00ED2F5D"/>
    <w:pPr>
      <w:keepNext/>
      <w:keepLines/>
      <w:spacing w:before="240" w:after="240" w:line="420" w:lineRule="exact"/>
      <w:ind w:left="1134" w:right="1134"/>
    </w:pPr>
    <w:rPr>
      <w:b/>
      <w:sz w:val="40"/>
    </w:rPr>
  </w:style>
  <w:style w:type="paragraph" w:customStyle="1" w:styleId="Bullet1G">
    <w:name w:val="_Bullet 1_G"/>
    <w:basedOn w:val="Normal"/>
    <w:rsid w:val="00ED2F5D"/>
    <w:pPr>
      <w:numPr>
        <w:numId w:val="1"/>
      </w:numPr>
      <w:spacing w:after="120"/>
      <w:ind w:right="1134"/>
      <w:jc w:val="both"/>
    </w:pPr>
  </w:style>
  <w:style w:type="paragraph" w:styleId="Footer">
    <w:name w:val="footer"/>
    <w:aliases w:val="3_G"/>
    <w:basedOn w:val="Normal"/>
    <w:link w:val="FooterChar"/>
    <w:uiPriority w:val="99"/>
    <w:rsid w:val="00ED2F5D"/>
    <w:rPr>
      <w:sz w:val="16"/>
    </w:rPr>
  </w:style>
  <w:style w:type="character" w:customStyle="1" w:styleId="FooterChar">
    <w:name w:val="Footer Char"/>
    <w:aliases w:val="3_G Char"/>
    <w:basedOn w:val="DefaultParagraphFont"/>
    <w:link w:val="Footer"/>
    <w:uiPriority w:val="99"/>
    <w:rsid w:val="00ED2F5D"/>
    <w:rPr>
      <w:rFonts w:ascii="Times New Roman" w:eastAsia="Times New Roman" w:hAnsi="Times New Roman" w:cs="Times New Roman"/>
      <w:sz w:val="16"/>
      <w:szCs w:val="20"/>
      <w:lang w:eastAsia="en-US"/>
    </w:rPr>
  </w:style>
  <w:style w:type="paragraph" w:customStyle="1" w:styleId="Bullet2G">
    <w:name w:val="_Bullet 2_G"/>
    <w:basedOn w:val="Normal"/>
    <w:rsid w:val="00ED2F5D"/>
    <w:pPr>
      <w:numPr>
        <w:numId w:val="2"/>
      </w:numPr>
      <w:spacing w:after="120"/>
      <w:ind w:right="1134"/>
      <w:jc w:val="both"/>
    </w:pPr>
  </w:style>
  <w:style w:type="paragraph" w:customStyle="1" w:styleId="H1G">
    <w:name w:val="_ H_1_G"/>
    <w:basedOn w:val="Normal"/>
    <w:next w:val="Normal"/>
    <w:link w:val="H1GChar"/>
    <w:qFormat/>
    <w:rsid w:val="00ED2F5D"/>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link w:val="H23GChar"/>
    <w:qFormat/>
    <w:rsid w:val="00ED2F5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ED2F5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D2F5D"/>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ED2F5D"/>
    <w:rPr>
      <w:rFonts w:ascii="Times New Roman" w:eastAsia="Times New Roman" w:hAnsi="Times New Roman" w:cs="Times New Roman"/>
      <w:sz w:val="20"/>
      <w:szCs w:val="20"/>
      <w:lang w:eastAsia="en-US"/>
    </w:rPr>
  </w:style>
  <w:style w:type="character" w:customStyle="1" w:styleId="HChGChar">
    <w:name w:val="_ H _Ch_G Char"/>
    <w:link w:val="HChG"/>
    <w:rsid w:val="00ED2F5D"/>
    <w:rPr>
      <w:rFonts w:ascii="Times New Roman" w:eastAsia="Times New Roman" w:hAnsi="Times New Roman" w:cs="Times New Roman"/>
      <w:b/>
      <w:sz w:val="28"/>
      <w:szCs w:val="20"/>
      <w:lang w:eastAsia="en-US"/>
    </w:rPr>
  </w:style>
  <w:style w:type="paragraph" w:customStyle="1" w:styleId="HCh">
    <w:name w:val="_ H _Ch"/>
    <w:basedOn w:val="Normal"/>
    <w:next w:val="Normal"/>
    <w:rsid w:val="00ED2F5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300" w:lineRule="exact"/>
      <w:outlineLvl w:val="0"/>
    </w:pPr>
    <w:rPr>
      <w:rFonts w:eastAsia="Calibri"/>
      <w:b/>
      <w:spacing w:val="-2"/>
      <w:w w:val="103"/>
      <w:kern w:val="14"/>
      <w:sz w:val="28"/>
    </w:rPr>
  </w:style>
  <w:style w:type="character" w:customStyle="1" w:styleId="H23GChar">
    <w:name w:val="_ H_2/3_G Char"/>
    <w:link w:val="H23G"/>
    <w:locked/>
    <w:rsid w:val="00ED2F5D"/>
    <w:rPr>
      <w:rFonts w:ascii="Times New Roman" w:eastAsia="Times New Roman" w:hAnsi="Times New Roman" w:cs="Times New Roman"/>
      <w:b/>
      <w:sz w:val="20"/>
      <w:szCs w:val="20"/>
      <w:lang w:eastAsia="en-US"/>
    </w:rPr>
  </w:style>
  <w:style w:type="character" w:customStyle="1" w:styleId="H1GChar">
    <w:name w:val="_ H_1_G Char"/>
    <w:link w:val="H1G"/>
    <w:rsid w:val="00ED2F5D"/>
    <w:rPr>
      <w:rFonts w:ascii="Times New Roman" w:eastAsia="Times New Roman" w:hAnsi="Times New Roman" w:cs="Times New Roman"/>
      <w:b/>
      <w:sz w:val="24"/>
      <w:szCs w:val="20"/>
      <w:lang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rsid w:val="00ED2F5D"/>
    <w:pPr>
      <w:spacing w:after="160" w:line="240" w:lineRule="exact"/>
    </w:pPr>
    <w:rPr>
      <w:rFonts w:eastAsiaTheme="minorEastAsia" w:cstheme="minorBidi"/>
      <w:sz w:val="18"/>
      <w:szCs w:val="22"/>
      <w:vertAlign w:val="superscript"/>
      <w:lang w:eastAsia="ko-KR"/>
    </w:rPr>
  </w:style>
  <w:style w:type="character" w:styleId="CommentReference">
    <w:name w:val="annotation reference"/>
    <w:uiPriority w:val="99"/>
    <w:rsid w:val="00ED2F5D"/>
    <w:rPr>
      <w:sz w:val="16"/>
      <w:szCs w:val="16"/>
    </w:rPr>
  </w:style>
  <w:style w:type="paragraph" w:customStyle="1" w:styleId="ParaNoG">
    <w:name w:val="_ParaNo._G"/>
    <w:basedOn w:val="Normal"/>
    <w:uiPriority w:val="99"/>
    <w:rsid w:val="00ED2F5D"/>
    <w:pPr>
      <w:tabs>
        <w:tab w:val="num" w:pos="0"/>
      </w:tabs>
      <w:ind w:left="1134"/>
    </w:pPr>
  </w:style>
  <w:style w:type="paragraph" w:styleId="BalloonText">
    <w:name w:val="Balloon Text"/>
    <w:basedOn w:val="Normal"/>
    <w:link w:val="BalloonTextChar"/>
    <w:rsid w:val="00ED2F5D"/>
    <w:rPr>
      <w:rFonts w:ascii="Tahoma" w:hAnsi="Tahoma" w:cs="Tahoma"/>
      <w:sz w:val="16"/>
      <w:szCs w:val="16"/>
    </w:rPr>
  </w:style>
  <w:style w:type="character" w:customStyle="1" w:styleId="BalloonTextChar">
    <w:name w:val="Balloon Text Char"/>
    <w:basedOn w:val="DefaultParagraphFont"/>
    <w:link w:val="BalloonText"/>
    <w:rsid w:val="00ED2F5D"/>
    <w:rPr>
      <w:rFonts w:ascii="Tahoma" w:eastAsia="Times New Roman" w:hAnsi="Tahoma" w:cs="Tahoma"/>
      <w:sz w:val="16"/>
      <w:szCs w:val="16"/>
      <w:lang w:eastAsia="en-US"/>
    </w:rPr>
  </w:style>
  <w:style w:type="numbering" w:styleId="111111">
    <w:name w:val="Outline List 2"/>
    <w:basedOn w:val="NoList"/>
    <w:rsid w:val="00ED2F5D"/>
  </w:style>
  <w:style w:type="numbering" w:styleId="1ai">
    <w:name w:val="Outline List 1"/>
    <w:basedOn w:val="NoList"/>
    <w:rsid w:val="00ED2F5D"/>
  </w:style>
  <w:style w:type="character" w:customStyle="1" w:styleId="st1">
    <w:name w:val="st1"/>
    <w:rsid w:val="00ED2F5D"/>
  </w:style>
  <w:style w:type="character" w:styleId="Emphasis">
    <w:name w:val="Emphasis"/>
    <w:qFormat/>
    <w:rsid w:val="00ED2F5D"/>
    <w:rPr>
      <w:i/>
      <w:iCs/>
    </w:rPr>
  </w:style>
  <w:style w:type="paragraph" w:styleId="EnvelopeReturn">
    <w:name w:val="envelope return"/>
    <w:basedOn w:val="Normal"/>
    <w:uiPriority w:val="99"/>
    <w:rsid w:val="00ED2F5D"/>
    <w:rPr>
      <w:rFonts w:ascii="Arial" w:hAnsi="Arial" w:cs="Arial"/>
    </w:rPr>
  </w:style>
  <w:style w:type="character" w:styleId="HTMLAcronym">
    <w:name w:val="HTML Acronym"/>
    <w:rsid w:val="00ED2F5D"/>
  </w:style>
  <w:style w:type="character" w:customStyle="1" w:styleId="FootnoteCharacters">
    <w:name w:val="Footnote Characters"/>
    <w:rsid w:val="00ED2F5D"/>
    <w:rPr>
      <w:vertAlign w:val="superscript"/>
    </w:rPr>
  </w:style>
  <w:style w:type="paragraph" w:styleId="CommentText">
    <w:name w:val="annotation text"/>
    <w:basedOn w:val="Normal"/>
    <w:link w:val="CommentTextChar"/>
    <w:uiPriority w:val="99"/>
    <w:rsid w:val="00ED2F5D"/>
  </w:style>
  <w:style w:type="character" w:customStyle="1" w:styleId="CommentTextChar">
    <w:name w:val="Comment Text Char"/>
    <w:basedOn w:val="DefaultParagraphFont"/>
    <w:link w:val="CommentText"/>
    <w:uiPriority w:val="99"/>
    <w:rsid w:val="00ED2F5D"/>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rsid w:val="00ED2F5D"/>
    <w:rPr>
      <w:b/>
      <w:bCs/>
    </w:rPr>
  </w:style>
  <w:style w:type="character" w:customStyle="1" w:styleId="CommentSubjectChar">
    <w:name w:val="Comment Subject Char"/>
    <w:basedOn w:val="CommentTextChar"/>
    <w:link w:val="CommentSubject"/>
    <w:rsid w:val="00ED2F5D"/>
    <w:rPr>
      <w:rFonts w:ascii="Times New Roman" w:eastAsia="Times New Roman" w:hAnsi="Times New Roman" w:cs="Times New Roman"/>
      <w:b/>
      <w:bCs/>
      <w:sz w:val="20"/>
      <w:szCs w:val="20"/>
      <w:lang w:eastAsia="en-US"/>
    </w:rPr>
  </w:style>
  <w:style w:type="character" w:customStyle="1" w:styleId="hps">
    <w:name w:val="hps"/>
    <w:rsid w:val="00ED2F5D"/>
  </w:style>
  <w:style w:type="character" w:customStyle="1" w:styleId="st">
    <w:name w:val="st"/>
    <w:rsid w:val="00ED2F5D"/>
  </w:style>
  <w:style w:type="character" w:customStyle="1" w:styleId="atn">
    <w:name w:val="atn"/>
    <w:rsid w:val="00ED2F5D"/>
  </w:style>
  <w:style w:type="paragraph" w:styleId="ListParagraph">
    <w:name w:val="List Paragraph"/>
    <w:aliases w:val="Scriptoria bullet points"/>
    <w:basedOn w:val="Normal"/>
    <w:link w:val="ListParagraphChar"/>
    <w:uiPriority w:val="34"/>
    <w:qFormat/>
    <w:rsid w:val="00ED2F5D"/>
    <w:pPr>
      <w:ind w:left="708"/>
    </w:pPr>
    <w:rPr>
      <w:rFonts w:ascii="Book Antiqua" w:eastAsia="MS Mincho" w:hAnsi="Book Antiqua"/>
      <w:lang w:val="fr-FR" w:eastAsia="fr-FR"/>
    </w:rPr>
  </w:style>
  <w:style w:type="paragraph" w:customStyle="1" w:styleId="SDInumration">
    <w:name w:val="SDI énumération"/>
    <w:basedOn w:val="Normal"/>
    <w:rsid w:val="00ED2F5D"/>
    <w:pPr>
      <w:numPr>
        <w:numId w:val="8"/>
      </w:numPr>
      <w:jc w:val="both"/>
    </w:pPr>
    <w:rPr>
      <w:rFonts w:ascii="Bookman Old Style" w:hAnsi="Bookman Old Style"/>
      <w:lang w:val="fr-FR" w:eastAsia="fr-FR"/>
    </w:rPr>
  </w:style>
  <w:style w:type="character" w:customStyle="1" w:styleId="Heading1Char1">
    <w:name w:val="Heading 1 Char1"/>
    <w:aliases w:val="Table_G Char1"/>
    <w:rsid w:val="00ED2F5D"/>
    <w:rPr>
      <w:rFonts w:ascii="Calibri Light" w:eastAsia="Times New Roman" w:hAnsi="Calibri Light" w:cs="Times New Roman"/>
      <w:b/>
      <w:bCs/>
      <w:color w:val="2E74B5"/>
      <w:sz w:val="28"/>
      <w:szCs w:val="28"/>
      <w:lang w:val="en-GB" w:eastAsia="en-US"/>
    </w:rPr>
  </w:style>
  <w:style w:type="character" w:customStyle="1" w:styleId="FootnoteTextChar1">
    <w:name w:val="Footnote Text Char1"/>
    <w:aliases w:val="5_G Char1,FA Fu Char1,Footnote Text Char Char Char Char Char Char1,Footnote Text Char Char Char Char Char2,Footnote reference Char1,Footnote Text Char Char Char Char2,Footnote Text Cha Char1,FA Fußnotentext Char1,FA Fu?notentext Char"/>
    <w:semiHidden/>
    <w:rsid w:val="00ED2F5D"/>
    <w:rPr>
      <w:lang w:eastAsia="en-US"/>
    </w:rPr>
  </w:style>
  <w:style w:type="character" w:customStyle="1" w:styleId="HeaderChar1">
    <w:name w:val="Header Char1"/>
    <w:aliases w:val="6_G Char1"/>
    <w:semiHidden/>
    <w:rsid w:val="00ED2F5D"/>
    <w:rPr>
      <w:lang w:eastAsia="en-US"/>
    </w:rPr>
  </w:style>
  <w:style w:type="character" w:customStyle="1" w:styleId="FooterChar1">
    <w:name w:val="Footer Char1"/>
    <w:aliases w:val="3_G Char1"/>
    <w:semiHidden/>
    <w:rsid w:val="00ED2F5D"/>
    <w:rPr>
      <w:lang w:eastAsia="en-US"/>
    </w:rPr>
  </w:style>
  <w:style w:type="character" w:customStyle="1" w:styleId="EndnoteTextChar1">
    <w:name w:val="Endnote Text Char1"/>
    <w:aliases w:val="2_G Char1"/>
    <w:semiHidden/>
    <w:rsid w:val="00ED2F5D"/>
    <w:rPr>
      <w:lang w:eastAsia="en-US"/>
    </w:rPr>
  </w:style>
  <w:style w:type="paragraph" w:customStyle="1" w:styleId="ColorfulList-Accent11">
    <w:name w:val="Colorful List - Accent 11"/>
    <w:basedOn w:val="Normal"/>
    <w:qFormat/>
    <w:rsid w:val="00ED2F5D"/>
    <w:pPr>
      <w:ind w:left="708"/>
    </w:pPr>
    <w:rPr>
      <w:rFonts w:ascii="Book Antiqua" w:eastAsia="MS Mincho" w:hAnsi="Book Antiqua"/>
      <w:lang w:val="fr-FR" w:eastAsia="fr-FR"/>
    </w:rPr>
  </w:style>
  <w:style w:type="paragraph" w:customStyle="1" w:styleId="Default">
    <w:name w:val="Default"/>
    <w:rsid w:val="00ED2F5D"/>
    <w:pPr>
      <w:autoSpaceDE w:val="0"/>
      <w:autoSpaceDN w:val="0"/>
      <w:adjustRightInd w:val="0"/>
      <w:spacing w:after="0" w:line="240" w:lineRule="auto"/>
    </w:pPr>
    <w:rPr>
      <w:rFonts w:ascii="Times New Roman" w:eastAsia="Times New Roman" w:hAnsi="Times New Roman" w:cs="Times New Roman"/>
      <w:color w:val="000000"/>
      <w:sz w:val="24"/>
      <w:szCs w:val="24"/>
      <w:lang w:eastAsia="zh-CN"/>
    </w:rPr>
  </w:style>
  <w:style w:type="paragraph" w:styleId="Date">
    <w:name w:val="Date"/>
    <w:basedOn w:val="Normal"/>
    <w:next w:val="Normal"/>
    <w:link w:val="DateChar"/>
    <w:uiPriority w:val="99"/>
    <w:rsid w:val="00ED2F5D"/>
  </w:style>
  <w:style w:type="character" w:customStyle="1" w:styleId="DateChar">
    <w:name w:val="Date Char"/>
    <w:basedOn w:val="DefaultParagraphFont"/>
    <w:link w:val="Date"/>
    <w:uiPriority w:val="99"/>
    <w:rsid w:val="00ED2F5D"/>
    <w:rPr>
      <w:rFonts w:ascii="Times New Roman" w:eastAsia="Times New Roman" w:hAnsi="Times New Roman" w:cs="Times New Roman"/>
      <w:sz w:val="20"/>
      <w:szCs w:val="20"/>
      <w:lang w:eastAsia="en-US"/>
    </w:rPr>
  </w:style>
  <w:style w:type="numbering" w:customStyle="1" w:styleId="NoList1">
    <w:name w:val="No List1"/>
    <w:next w:val="NoList"/>
    <w:uiPriority w:val="99"/>
    <w:semiHidden/>
    <w:unhideWhenUsed/>
    <w:rsid w:val="00ED2F5D"/>
  </w:style>
  <w:style w:type="numbering" w:customStyle="1" w:styleId="NoList11">
    <w:name w:val="No List11"/>
    <w:next w:val="NoList"/>
    <w:semiHidden/>
    <w:rsid w:val="00ED2F5D"/>
  </w:style>
  <w:style w:type="table" w:customStyle="1" w:styleId="TableGrid1">
    <w:name w:val="Table Grid1"/>
    <w:basedOn w:val="TableNormal"/>
    <w:next w:val="TableGrid"/>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1111111">
    <w:name w:val="1 / 1.1 / 1.1.11"/>
    <w:basedOn w:val="NoList"/>
    <w:next w:val="111111"/>
    <w:semiHidden/>
    <w:rsid w:val="00ED2F5D"/>
    <w:pPr>
      <w:numPr>
        <w:numId w:val="6"/>
      </w:numPr>
    </w:pPr>
  </w:style>
  <w:style w:type="numbering" w:customStyle="1" w:styleId="1ai1">
    <w:name w:val="1 / a / i1"/>
    <w:basedOn w:val="NoList"/>
    <w:next w:val="1ai"/>
    <w:semiHidden/>
    <w:rsid w:val="00ED2F5D"/>
    <w:pPr>
      <w:numPr>
        <w:numId w:val="7"/>
      </w:numPr>
    </w:pPr>
  </w:style>
  <w:style w:type="character" w:styleId="Strong">
    <w:name w:val="Strong"/>
    <w:qFormat/>
    <w:rsid w:val="00ED2F5D"/>
    <w:rPr>
      <w:b/>
      <w:bCs/>
    </w:rPr>
  </w:style>
  <w:style w:type="numbering" w:customStyle="1" w:styleId="NoList2">
    <w:name w:val="No List2"/>
    <w:next w:val="NoList"/>
    <w:uiPriority w:val="99"/>
    <w:semiHidden/>
    <w:unhideWhenUsed/>
    <w:rsid w:val="00ED2F5D"/>
  </w:style>
  <w:style w:type="paragraph" w:styleId="TOC1">
    <w:name w:val="toc 1"/>
    <w:basedOn w:val="Normal"/>
    <w:next w:val="Normal"/>
    <w:autoRedefine/>
    <w:uiPriority w:val="39"/>
    <w:rsid w:val="00ED2F5D"/>
  </w:style>
  <w:style w:type="paragraph" w:styleId="TOC2">
    <w:name w:val="toc 2"/>
    <w:basedOn w:val="Normal"/>
    <w:next w:val="Normal"/>
    <w:autoRedefine/>
    <w:uiPriority w:val="99"/>
    <w:rsid w:val="00ED2F5D"/>
    <w:pPr>
      <w:ind w:left="200"/>
    </w:pPr>
  </w:style>
  <w:style w:type="numbering" w:customStyle="1" w:styleId="1111112">
    <w:name w:val="1 / 1.1 / 1.1.12"/>
    <w:basedOn w:val="NoList"/>
    <w:next w:val="111111"/>
    <w:semiHidden/>
    <w:rsid w:val="00ED2F5D"/>
  </w:style>
  <w:style w:type="numbering" w:customStyle="1" w:styleId="1ai2">
    <w:name w:val="1 / a / i2"/>
    <w:basedOn w:val="NoList"/>
    <w:next w:val="1ai"/>
    <w:semiHidden/>
    <w:rsid w:val="00ED2F5D"/>
  </w:style>
  <w:style w:type="character" w:customStyle="1" w:styleId="Heading2Char1">
    <w:name w:val="Heading 2 Char1"/>
    <w:rsid w:val="00ED2F5D"/>
    <w:rPr>
      <w:sz w:val="28"/>
      <w:lang w:val="en-US"/>
    </w:rPr>
  </w:style>
  <w:style w:type="paragraph" w:customStyle="1" w:styleId="NormalTimes">
    <w:name w:val="Normal + Times"/>
    <w:basedOn w:val="Normal"/>
    <w:link w:val="NormalTimesChar"/>
    <w:uiPriority w:val="99"/>
    <w:rsid w:val="00ED2F5D"/>
    <w:pPr>
      <w:autoSpaceDE w:val="0"/>
      <w:autoSpaceDN w:val="0"/>
      <w:adjustRightInd w:val="0"/>
      <w:spacing w:after="240"/>
    </w:pPr>
    <w:rPr>
      <w:rFonts w:eastAsia="SimSun"/>
      <w:color w:val="000000"/>
      <w:lang w:eastAsia="zh-CN"/>
    </w:rPr>
  </w:style>
  <w:style w:type="character" w:customStyle="1" w:styleId="NormalTimesChar">
    <w:name w:val="Normal + Times Char"/>
    <w:link w:val="NormalTimes"/>
    <w:uiPriority w:val="99"/>
    <w:rsid w:val="00ED2F5D"/>
    <w:rPr>
      <w:rFonts w:ascii="Times New Roman" w:eastAsia="SimSun" w:hAnsi="Times New Roman" w:cs="Times New Roman"/>
      <w:color w:val="000000"/>
      <w:sz w:val="24"/>
      <w:szCs w:val="24"/>
      <w:lang w:val="en-US" w:eastAsia="zh-CN"/>
    </w:rPr>
  </w:style>
  <w:style w:type="paragraph" w:styleId="NormalWeb">
    <w:name w:val="Normal (Web)"/>
    <w:basedOn w:val="Normal"/>
    <w:uiPriority w:val="99"/>
    <w:unhideWhenUsed/>
    <w:rsid w:val="00ED2F5D"/>
    <w:pPr>
      <w:spacing w:before="100" w:beforeAutospacing="1" w:after="100" w:afterAutospacing="1"/>
    </w:pPr>
  </w:style>
  <w:style w:type="numbering" w:customStyle="1" w:styleId="NoList12">
    <w:name w:val="No List12"/>
    <w:next w:val="NoList"/>
    <w:uiPriority w:val="99"/>
    <w:semiHidden/>
    <w:unhideWhenUsed/>
    <w:rsid w:val="00ED2F5D"/>
  </w:style>
  <w:style w:type="paragraph" w:styleId="PlainText">
    <w:name w:val="Plain Text"/>
    <w:basedOn w:val="Normal"/>
    <w:link w:val="PlainTextChar"/>
    <w:uiPriority w:val="99"/>
    <w:rsid w:val="00ED2F5D"/>
    <w:rPr>
      <w:rFonts w:cs="Courier New"/>
    </w:rPr>
  </w:style>
  <w:style w:type="character" w:customStyle="1" w:styleId="PlainTextChar">
    <w:name w:val="Plain Text Char"/>
    <w:basedOn w:val="DefaultParagraphFont"/>
    <w:link w:val="PlainText"/>
    <w:uiPriority w:val="99"/>
    <w:rsid w:val="00ED2F5D"/>
    <w:rPr>
      <w:rFonts w:ascii="Times New Roman" w:eastAsia="Times New Roman" w:hAnsi="Times New Roman" w:cs="Courier New"/>
      <w:sz w:val="20"/>
      <w:szCs w:val="20"/>
      <w:lang w:eastAsia="en-US"/>
    </w:rPr>
  </w:style>
  <w:style w:type="paragraph" w:styleId="BodyText">
    <w:name w:val="Body Text"/>
    <w:basedOn w:val="Normal"/>
    <w:next w:val="Normal"/>
    <w:link w:val="BodyTextChar"/>
    <w:uiPriority w:val="99"/>
    <w:rsid w:val="00ED2F5D"/>
  </w:style>
  <w:style w:type="character" w:customStyle="1" w:styleId="BodyTextChar">
    <w:name w:val="Body Text Char"/>
    <w:basedOn w:val="DefaultParagraphFont"/>
    <w:link w:val="BodyText"/>
    <w:uiPriority w:val="99"/>
    <w:rsid w:val="00ED2F5D"/>
    <w:rPr>
      <w:rFonts w:ascii="Times New Roman" w:eastAsia="Times New Roman" w:hAnsi="Times New Roman" w:cs="Times New Roman"/>
      <w:sz w:val="20"/>
      <w:szCs w:val="20"/>
      <w:lang w:eastAsia="en-US"/>
    </w:rPr>
  </w:style>
  <w:style w:type="paragraph" w:styleId="BodyTextIndent">
    <w:name w:val="Body Text Indent"/>
    <w:basedOn w:val="Normal"/>
    <w:link w:val="BodyTextIndentChar"/>
    <w:uiPriority w:val="99"/>
    <w:rsid w:val="00ED2F5D"/>
    <w:pPr>
      <w:spacing w:after="120"/>
      <w:ind w:left="283"/>
    </w:pPr>
  </w:style>
  <w:style w:type="character" w:customStyle="1" w:styleId="BodyTextIndentChar">
    <w:name w:val="Body Text Indent Char"/>
    <w:basedOn w:val="DefaultParagraphFont"/>
    <w:link w:val="BodyTextIndent"/>
    <w:uiPriority w:val="99"/>
    <w:rsid w:val="00ED2F5D"/>
    <w:rPr>
      <w:rFonts w:ascii="Times New Roman" w:eastAsia="Times New Roman" w:hAnsi="Times New Roman" w:cs="Times New Roman"/>
      <w:sz w:val="20"/>
      <w:szCs w:val="20"/>
      <w:lang w:eastAsia="en-US"/>
    </w:rPr>
  </w:style>
  <w:style w:type="paragraph" w:styleId="BlockText">
    <w:name w:val="Block Text"/>
    <w:basedOn w:val="Normal"/>
    <w:uiPriority w:val="99"/>
    <w:rsid w:val="00ED2F5D"/>
    <w:pPr>
      <w:ind w:left="1440" w:right="1440"/>
    </w:pPr>
  </w:style>
  <w:style w:type="character" w:styleId="LineNumber">
    <w:name w:val="line number"/>
    <w:rsid w:val="00ED2F5D"/>
    <w:rPr>
      <w:sz w:val="14"/>
    </w:rPr>
  </w:style>
  <w:style w:type="numbering" w:styleId="ArticleSection">
    <w:name w:val="Outline List 3"/>
    <w:basedOn w:val="NoList"/>
    <w:rsid w:val="00ED2F5D"/>
    <w:pPr>
      <w:numPr>
        <w:numId w:val="10"/>
      </w:numPr>
    </w:pPr>
  </w:style>
  <w:style w:type="paragraph" w:styleId="BodyText2">
    <w:name w:val="Body Text 2"/>
    <w:basedOn w:val="Normal"/>
    <w:link w:val="BodyText2Char"/>
    <w:uiPriority w:val="99"/>
    <w:rsid w:val="00ED2F5D"/>
    <w:pPr>
      <w:spacing w:after="120" w:line="480" w:lineRule="auto"/>
    </w:pPr>
  </w:style>
  <w:style w:type="character" w:customStyle="1" w:styleId="BodyText2Char">
    <w:name w:val="Body Text 2 Char"/>
    <w:basedOn w:val="DefaultParagraphFont"/>
    <w:link w:val="BodyText2"/>
    <w:uiPriority w:val="99"/>
    <w:rsid w:val="00ED2F5D"/>
    <w:rPr>
      <w:rFonts w:ascii="Times New Roman" w:eastAsia="Times New Roman" w:hAnsi="Times New Roman" w:cs="Times New Roman"/>
      <w:sz w:val="20"/>
      <w:szCs w:val="20"/>
      <w:lang w:eastAsia="en-US"/>
    </w:rPr>
  </w:style>
  <w:style w:type="paragraph" w:styleId="BodyText3">
    <w:name w:val="Body Text 3"/>
    <w:basedOn w:val="Normal"/>
    <w:link w:val="BodyText3Char"/>
    <w:uiPriority w:val="99"/>
    <w:rsid w:val="00ED2F5D"/>
    <w:pPr>
      <w:spacing w:after="120"/>
    </w:pPr>
    <w:rPr>
      <w:sz w:val="16"/>
      <w:szCs w:val="16"/>
    </w:rPr>
  </w:style>
  <w:style w:type="character" w:customStyle="1" w:styleId="BodyText3Char">
    <w:name w:val="Body Text 3 Char"/>
    <w:basedOn w:val="DefaultParagraphFont"/>
    <w:link w:val="BodyText3"/>
    <w:uiPriority w:val="99"/>
    <w:rsid w:val="00ED2F5D"/>
    <w:rPr>
      <w:rFonts w:ascii="Times New Roman" w:eastAsia="Times New Roman" w:hAnsi="Times New Roman" w:cs="Times New Roman"/>
      <w:sz w:val="16"/>
      <w:szCs w:val="16"/>
      <w:lang w:eastAsia="en-US"/>
    </w:rPr>
  </w:style>
  <w:style w:type="paragraph" w:styleId="BodyTextFirstIndent">
    <w:name w:val="Body Text First Indent"/>
    <w:basedOn w:val="BodyText"/>
    <w:link w:val="BodyTextFirstIndentChar"/>
    <w:uiPriority w:val="99"/>
    <w:rsid w:val="00ED2F5D"/>
    <w:pPr>
      <w:spacing w:after="120"/>
      <w:ind w:firstLine="210"/>
    </w:pPr>
  </w:style>
  <w:style w:type="character" w:customStyle="1" w:styleId="BodyTextFirstIndentChar">
    <w:name w:val="Body Text First Indent Char"/>
    <w:basedOn w:val="BodyTextChar"/>
    <w:link w:val="BodyTextFirstIndent"/>
    <w:uiPriority w:val="99"/>
    <w:rsid w:val="00ED2F5D"/>
    <w:rPr>
      <w:rFonts w:ascii="Times New Roman" w:eastAsia="Times New Roman" w:hAnsi="Times New Roman" w:cs="Times New Roman"/>
      <w:sz w:val="20"/>
      <w:szCs w:val="20"/>
      <w:lang w:eastAsia="en-US"/>
    </w:rPr>
  </w:style>
  <w:style w:type="paragraph" w:styleId="BodyTextFirstIndent2">
    <w:name w:val="Body Text First Indent 2"/>
    <w:basedOn w:val="BodyTextIndent"/>
    <w:link w:val="BodyTextFirstIndent2Char"/>
    <w:uiPriority w:val="99"/>
    <w:rsid w:val="00ED2F5D"/>
    <w:pPr>
      <w:ind w:firstLine="210"/>
    </w:pPr>
  </w:style>
  <w:style w:type="character" w:customStyle="1" w:styleId="BodyTextFirstIndent2Char">
    <w:name w:val="Body Text First Indent 2 Char"/>
    <w:basedOn w:val="BodyTextIndentChar"/>
    <w:link w:val="BodyTextFirstIndent2"/>
    <w:uiPriority w:val="99"/>
    <w:rsid w:val="00ED2F5D"/>
    <w:rPr>
      <w:rFonts w:ascii="Times New Roman" w:eastAsia="Times New Roman" w:hAnsi="Times New Roman" w:cs="Times New Roman"/>
      <w:sz w:val="20"/>
      <w:szCs w:val="20"/>
      <w:lang w:eastAsia="en-US"/>
    </w:rPr>
  </w:style>
  <w:style w:type="paragraph" w:styleId="BodyTextIndent2">
    <w:name w:val="Body Text Indent 2"/>
    <w:basedOn w:val="Normal"/>
    <w:link w:val="BodyTextIndent2Char"/>
    <w:uiPriority w:val="99"/>
    <w:rsid w:val="00ED2F5D"/>
    <w:pPr>
      <w:spacing w:after="120" w:line="480" w:lineRule="auto"/>
      <w:ind w:left="283"/>
    </w:pPr>
  </w:style>
  <w:style w:type="character" w:customStyle="1" w:styleId="BodyTextIndent2Char">
    <w:name w:val="Body Text Indent 2 Char"/>
    <w:basedOn w:val="DefaultParagraphFont"/>
    <w:link w:val="BodyTextIndent2"/>
    <w:uiPriority w:val="99"/>
    <w:rsid w:val="00ED2F5D"/>
    <w:rPr>
      <w:rFonts w:ascii="Times New Roman" w:eastAsia="Times New Roman" w:hAnsi="Times New Roman" w:cs="Times New Roman"/>
      <w:sz w:val="20"/>
      <w:szCs w:val="20"/>
      <w:lang w:eastAsia="en-US"/>
    </w:rPr>
  </w:style>
  <w:style w:type="paragraph" w:styleId="BodyTextIndent3">
    <w:name w:val="Body Text Indent 3"/>
    <w:basedOn w:val="Normal"/>
    <w:link w:val="BodyTextIndent3Char"/>
    <w:uiPriority w:val="99"/>
    <w:rsid w:val="00ED2F5D"/>
    <w:pPr>
      <w:spacing w:after="120"/>
      <w:ind w:left="283"/>
    </w:pPr>
    <w:rPr>
      <w:sz w:val="16"/>
      <w:szCs w:val="16"/>
    </w:rPr>
  </w:style>
  <w:style w:type="character" w:customStyle="1" w:styleId="BodyTextIndent3Char">
    <w:name w:val="Body Text Indent 3 Char"/>
    <w:basedOn w:val="DefaultParagraphFont"/>
    <w:link w:val="BodyTextIndent3"/>
    <w:uiPriority w:val="99"/>
    <w:rsid w:val="00ED2F5D"/>
    <w:rPr>
      <w:rFonts w:ascii="Times New Roman" w:eastAsia="Times New Roman" w:hAnsi="Times New Roman" w:cs="Times New Roman"/>
      <w:sz w:val="16"/>
      <w:szCs w:val="16"/>
      <w:lang w:eastAsia="en-US"/>
    </w:rPr>
  </w:style>
  <w:style w:type="paragraph" w:styleId="Closing">
    <w:name w:val="Closing"/>
    <w:basedOn w:val="Normal"/>
    <w:link w:val="ClosingChar"/>
    <w:uiPriority w:val="99"/>
    <w:rsid w:val="00ED2F5D"/>
    <w:pPr>
      <w:ind w:left="4252"/>
    </w:pPr>
  </w:style>
  <w:style w:type="character" w:customStyle="1" w:styleId="ClosingChar">
    <w:name w:val="Closing Char"/>
    <w:basedOn w:val="DefaultParagraphFont"/>
    <w:link w:val="Closing"/>
    <w:uiPriority w:val="99"/>
    <w:rsid w:val="00ED2F5D"/>
    <w:rPr>
      <w:rFonts w:ascii="Times New Roman" w:eastAsia="Times New Roman" w:hAnsi="Times New Roman" w:cs="Times New Roman"/>
      <w:sz w:val="20"/>
      <w:szCs w:val="20"/>
      <w:lang w:eastAsia="en-US"/>
    </w:rPr>
  </w:style>
  <w:style w:type="paragraph" w:styleId="E-mailSignature">
    <w:name w:val="E-mail Signature"/>
    <w:basedOn w:val="Normal"/>
    <w:link w:val="E-mailSignatureChar"/>
    <w:uiPriority w:val="99"/>
    <w:rsid w:val="00ED2F5D"/>
  </w:style>
  <w:style w:type="character" w:customStyle="1" w:styleId="E-mailSignatureChar">
    <w:name w:val="E-mail Signature Char"/>
    <w:basedOn w:val="DefaultParagraphFont"/>
    <w:link w:val="E-mailSignature"/>
    <w:uiPriority w:val="99"/>
    <w:rsid w:val="00ED2F5D"/>
    <w:rPr>
      <w:rFonts w:ascii="Times New Roman" w:eastAsia="Times New Roman" w:hAnsi="Times New Roman" w:cs="Times New Roman"/>
      <w:sz w:val="20"/>
      <w:szCs w:val="20"/>
      <w:lang w:eastAsia="en-US"/>
    </w:rPr>
  </w:style>
  <w:style w:type="paragraph" w:styleId="HTMLAddress">
    <w:name w:val="HTML Address"/>
    <w:basedOn w:val="Normal"/>
    <w:link w:val="HTMLAddressChar"/>
    <w:rsid w:val="00ED2F5D"/>
    <w:rPr>
      <w:i/>
      <w:iCs/>
    </w:rPr>
  </w:style>
  <w:style w:type="character" w:customStyle="1" w:styleId="HTMLAddressChar">
    <w:name w:val="HTML Address Char"/>
    <w:basedOn w:val="DefaultParagraphFont"/>
    <w:link w:val="HTMLAddress"/>
    <w:rsid w:val="00ED2F5D"/>
    <w:rPr>
      <w:rFonts w:ascii="Times New Roman" w:eastAsia="Times New Roman" w:hAnsi="Times New Roman" w:cs="Times New Roman"/>
      <w:i/>
      <w:iCs/>
      <w:sz w:val="20"/>
      <w:szCs w:val="20"/>
      <w:lang w:eastAsia="en-US"/>
    </w:rPr>
  </w:style>
  <w:style w:type="character" w:styleId="HTMLCite">
    <w:name w:val="HTML Cite"/>
    <w:rsid w:val="00ED2F5D"/>
    <w:rPr>
      <w:i/>
      <w:iCs/>
    </w:rPr>
  </w:style>
  <w:style w:type="character" w:styleId="HTMLCode">
    <w:name w:val="HTML Code"/>
    <w:rsid w:val="00ED2F5D"/>
    <w:rPr>
      <w:rFonts w:ascii="Courier New" w:hAnsi="Courier New" w:cs="Courier New"/>
      <w:sz w:val="20"/>
      <w:szCs w:val="20"/>
    </w:rPr>
  </w:style>
  <w:style w:type="character" w:styleId="HTMLDefinition">
    <w:name w:val="HTML Definition"/>
    <w:rsid w:val="00ED2F5D"/>
    <w:rPr>
      <w:i/>
      <w:iCs/>
    </w:rPr>
  </w:style>
  <w:style w:type="character" w:styleId="HTMLKeyboard">
    <w:name w:val="HTML Keyboard"/>
    <w:rsid w:val="00ED2F5D"/>
    <w:rPr>
      <w:rFonts w:ascii="Courier New" w:hAnsi="Courier New" w:cs="Courier New"/>
      <w:sz w:val="20"/>
      <w:szCs w:val="20"/>
    </w:rPr>
  </w:style>
  <w:style w:type="paragraph" w:styleId="HTMLPreformatted">
    <w:name w:val="HTML Preformatted"/>
    <w:basedOn w:val="Normal"/>
    <w:link w:val="HTMLPreformattedChar"/>
    <w:rsid w:val="00ED2F5D"/>
    <w:rPr>
      <w:rFonts w:ascii="Courier New" w:hAnsi="Courier New" w:cs="Courier New"/>
    </w:rPr>
  </w:style>
  <w:style w:type="character" w:customStyle="1" w:styleId="HTMLPreformattedChar">
    <w:name w:val="HTML Preformatted Char"/>
    <w:basedOn w:val="DefaultParagraphFont"/>
    <w:link w:val="HTMLPreformatted"/>
    <w:rsid w:val="00ED2F5D"/>
    <w:rPr>
      <w:rFonts w:ascii="Courier New" w:eastAsia="Times New Roman" w:hAnsi="Courier New" w:cs="Courier New"/>
      <w:sz w:val="20"/>
      <w:szCs w:val="20"/>
      <w:lang w:eastAsia="en-US"/>
    </w:rPr>
  </w:style>
  <w:style w:type="character" w:styleId="HTMLSample">
    <w:name w:val="HTML Sample"/>
    <w:rsid w:val="00ED2F5D"/>
    <w:rPr>
      <w:rFonts w:ascii="Courier New" w:hAnsi="Courier New" w:cs="Courier New"/>
    </w:rPr>
  </w:style>
  <w:style w:type="character" w:styleId="HTMLTypewriter">
    <w:name w:val="HTML Typewriter"/>
    <w:rsid w:val="00ED2F5D"/>
    <w:rPr>
      <w:rFonts w:ascii="Courier New" w:hAnsi="Courier New" w:cs="Courier New"/>
      <w:sz w:val="20"/>
      <w:szCs w:val="20"/>
    </w:rPr>
  </w:style>
  <w:style w:type="character" w:styleId="HTMLVariable">
    <w:name w:val="HTML Variable"/>
    <w:rsid w:val="00ED2F5D"/>
    <w:rPr>
      <w:i/>
      <w:iCs/>
    </w:rPr>
  </w:style>
  <w:style w:type="paragraph" w:styleId="List">
    <w:name w:val="List"/>
    <w:basedOn w:val="Normal"/>
    <w:uiPriority w:val="99"/>
    <w:rsid w:val="00ED2F5D"/>
    <w:pPr>
      <w:ind w:left="283" w:hanging="283"/>
    </w:pPr>
  </w:style>
  <w:style w:type="paragraph" w:styleId="List2">
    <w:name w:val="List 2"/>
    <w:basedOn w:val="Normal"/>
    <w:uiPriority w:val="99"/>
    <w:rsid w:val="00ED2F5D"/>
    <w:pPr>
      <w:ind w:left="566" w:hanging="283"/>
    </w:pPr>
  </w:style>
  <w:style w:type="paragraph" w:styleId="List3">
    <w:name w:val="List 3"/>
    <w:basedOn w:val="Normal"/>
    <w:uiPriority w:val="99"/>
    <w:rsid w:val="00ED2F5D"/>
    <w:pPr>
      <w:ind w:left="849" w:hanging="283"/>
    </w:pPr>
  </w:style>
  <w:style w:type="paragraph" w:styleId="List4">
    <w:name w:val="List 4"/>
    <w:basedOn w:val="Normal"/>
    <w:uiPriority w:val="99"/>
    <w:rsid w:val="00ED2F5D"/>
    <w:pPr>
      <w:ind w:left="1132" w:hanging="283"/>
    </w:pPr>
  </w:style>
  <w:style w:type="paragraph" w:styleId="EnvelopeAddress">
    <w:name w:val="envelope address"/>
    <w:basedOn w:val="Normal"/>
    <w:uiPriority w:val="99"/>
    <w:rsid w:val="00ED2F5D"/>
    <w:pPr>
      <w:framePr w:w="7920" w:h="1980" w:hRule="exact" w:hSpace="180" w:wrap="auto" w:hAnchor="page" w:xAlign="center" w:yAlign="bottom"/>
      <w:ind w:left="2880"/>
    </w:pPr>
    <w:rPr>
      <w:rFonts w:ascii="Arial" w:hAnsi="Arial" w:cs="Arial"/>
    </w:rPr>
  </w:style>
  <w:style w:type="paragraph" w:styleId="List5">
    <w:name w:val="List 5"/>
    <w:basedOn w:val="Normal"/>
    <w:uiPriority w:val="99"/>
    <w:rsid w:val="00ED2F5D"/>
    <w:pPr>
      <w:ind w:left="1415" w:hanging="283"/>
    </w:pPr>
  </w:style>
  <w:style w:type="paragraph" w:styleId="ListBullet">
    <w:name w:val="List Bullet"/>
    <w:basedOn w:val="Normal"/>
    <w:uiPriority w:val="99"/>
    <w:rsid w:val="00ED2F5D"/>
    <w:pPr>
      <w:tabs>
        <w:tab w:val="num" w:pos="360"/>
      </w:tabs>
      <w:ind w:left="360" w:hanging="360"/>
    </w:pPr>
  </w:style>
  <w:style w:type="paragraph" w:styleId="ListBullet2">
    <w:name w:val="List Bullet 2"/>
    <w:basedOn w:val="Normal"/>
    <w:uiPriority w:val="99"/>
    <w:rsid w:val="00ED2F5D"/>
    <w:pPr>
      <w:tabs>
        <w:tab w:val="num" w:pos="643"/>
      </w:tabs>
      <w:ind w:left="643" w:hanging="360"/>
    </w:pPr>
  </w:style>
  <w:style w:type="paragraph" w:styleId="ListBullet3">
    <w:name w:val="List Bullet 3"/>
    <w:basedOn w:val="Normal"/>
    <w:uiPriority w:val="99"/>
    <w:rsid w:val="00ED2F5D"/>
    <w:pPr>
      <w:tabs>
        <w:tab w:val="num" w:pos="926"/>
      </w:tabs>
      <w:ind w:left="926" w:hanging="360"/>
    </w:pPr>
  </w:style>
  <w:style w:type="paragraph" w:styleId="ListBullet4">
    <w:name w:val="List Bullet 4"/>
    <w:basedOn w:val="Normal"/>
    <w:uiPriority w:val="99"/>
    <w:rsid w:val="00ED2F5D"/>
    <w:pPr>
      <w:tabs>
        <w:tab w:val="num" w:pos="1209"/>
      </w:tabs>
      <w:ind w:left="1209" w:hanging="360"/>
    </w:pPr>
  </w:style>
  <w:style w:type="paragraph" w:styleId="ListBullet5">
    <w:name w:val="List Bullet 5"/>
    <w:basedOn w:val="Normal"/>
    <w:uiPriority w:val="99"/>
    <w:rsid w:val="00ED2F5D"/>
    <w:pPr>
      <w:tabs>
        <w:tab w:val="num" w:pos="1492"/>
      </w:tabs>
      <w:ind w:left="1492" w:hanging="360"/>
    </w:pPr>
  </w:style>
  <w:style w:type="paragraph" w:styleId="ListContinue">
    <w:name w:val="List Continue"/>
    <w:basedOn w:val="Normal"/>
    <w:uiPriority w:val="99"/>
    <w:rsid w:val="00ED2F5D"/>
    <w:pPr>
      <w:spacing w:after="120"/>
      <w:ind w:left="283"/>
    </w:pPr>
  </w:style>
  <w:style w:type="paragraph" w:styleId="ListContinue2">
    <w:name w:val="List Continue 2"/>
    <w:basedOn w:val="Normal"/>
    <w:uiPriority w:val="99"/>
    <w:rsid w:val="00ED2F5D"/>
    <w:pPr>
      <w:spacing w:after="120"/>
      <w:ind w:left="566"/>
    </w:pPr>
  </w:style>
  <w:style w:type="paragraph" w:styleId="ListContinue3">
    <w:name w:val="List Continue 3"/>
    <w:basedOn w:val="Normal"/>
    <w:uiPriority w:val="99"/>
    <w:rsid w:val="00ED2F5D"/>
    <w:pPr>
      <w:spacing w:after="120"/>
      <w:ind w:left="849"/>
    </w:pPr>
  </w:style>
  <w:style w:type="paragraph" w:styleId="ListContinue4">
    <w:name w:val="List Continue 4"/>
    <w:basedOn w:val="Normal"/>
    <w:uiPriority w:val="99"/>
    <w:rsid w:val="00ED2F5D"/>
    <w:pPr>
      <w:spacing w:after="120"/>
      <w:ind w:left="1132"/>
    </w:pPr>
  </w:style>
  <w:style w:type="paragraph" w:styleId="ListContinue5">
    <w:name w:val="List Continue 5"/>
    <w:basedOn w:val="Normal"/>
    <w:uiPriority w:val="99"/>
    <w:rsid w:val="00ED2F5D"/>
    <w:pPr>
      <w:spacing w:after="120"/>
      <w:ind w:left="1415"/>
    </w:pPr>
  </w:style>
  <w:style w:type="paragraph" w:styleId="ListNumber">
    <w:name w:val="List Number"/>
    <w:basedOn w:val="Normal"/>
    <w:uiPriority w:val="99"/>
    <w:rsid w:val="00ED2F5D"/>
    <w:pPr>
      <w:tabs>
        <w:tab w:val="num" w:pos="360"/>
      </w:tabs>
      <w:ind w:left="360" w:hanging="360"/>
    </w:pPr>
  </w:style>
  <w:style w:type="paragraph" w:styleId="ListNumber2">
    <w:name w:val="List Number 2"/>
    <w:basedOn w:val="Normal"/>
    <w:uiPriority w:val="99"/>
    <w:rsid w:val="00ED2F5D"/>
    <w:pPr>
      <w:tabs>
        <w:tab w:val="num" w:pos="643"/>
      </w:tabs>
      <w:ind w:left="643" w:hanging="360"/>
    </w:pPr>
  </w:style>
  <w:style w:type="paragraph" w:styleId="ListNumber3">
    <w:name w:val="List Number 3"/>
    <w:basedOn w:val="Normal"/>
    <w:uiPriority w:val="99"/>
    <w:rsid w:val="00ED2F5D"/>
    <w:pPr>
      <w:tabs>
        <w:tab w:val="num" w:pos="926"/>
      </w:tabs>
      <w:ind w:left="926" w:hanging="360"/>
    </w:pPr>
  </w:style>
  <w:style w:type="paragraph" w:styleId="ListNumber4">
    <w:name w:val="List Number 4"/>
    <w:basedOn w:val="Normal"/>
    <w:uiPriority w:val="99"/>
    <w:rsid w:val="00ED2F5D"/>
    <w:pPr>
      <w:tabs>
        <w:tab w:val="num" w:pos="1209"/>
      </w:tabs>
      <w:ind w:left="1209" w:hanging="360"/>
    </w:pPr>
  </w:style>
  <w:style w:type="paragraph" w:styleId="ListNumber5">
    <w:name w:val="List Number 5"/>
    <w:basedOn w:val="Normal"/>
    <w:uiPriority w:val="99"/>
    <w:rsid w:val="00ED2F5D"/>
    <w:pPr>
      <w:tabs>
        <w:tab w:val="num" w:pos="1492"/>
      </w:tabs>
      <w:ind w:left="1492" w:hanging="360"/>
    </w:pPr>
  </w:style>
  <w:style w:type="paragraph" w:styleId="MessageHeader">
    <w:name w:val="Message Header"/>
    <w:basedOn w:val="Normal"/>
    <w:link w:val="MessageHeaderChar"/>
    <w:uiPriority w:val="99"/>
    <w:rsid w:val="00ED2F5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rsid w:val="00ED2F5D"/>
    <w:rPr>
      <w:rFonts w:ascii="Arial" w:eastAsia="Times New Roman" w:hAnsi="Arial" w:cs="Arial"/>
      <w:sz w:val="24"/>
      <w:szCs w:val="24"/>
      <w:shd w:val="pct20" w:color="auto" w:fill="auto"/>
      <w:lang w:eastAsia="en-US"/>
    </w:rPr>
  </w:style>
  <w:style w:type="paragraph" w:styleId="NormalIndent">
    <w:name w:val="Normal Indent"/>
    <w:basedOn w:val="Normal"/>
    <w:uiPriority w:val="99"/>
    <w:rsid w:val="00ED2F5D"/>
    <w:pPr>
      <w:ind w:left="567"/>
    </w:pPr>
  </w:style>
  <w:style w:type="paragraph" w:styleId="NoteHeading">
    <w:name w:val="Note Heading"/>
    <w:basedOn w:val="Normal"/>
    <w:next w:val="Normal"/>
    <w:link w:val="NoteHeadingChar"/>
    <w:uiPriority w:val="99"/>
    <w:rsid w:val="00ED2F5D"/>
  </w:style>
  <w:style w:type="character" w:customStyle="1" w:styleId="NoteHeadingChar">
    <w:name w:val="Note Heading Char"/>
    <w:basedOn w:val="DefaultParagraphFont"/>
    <w:link w:val="NoteHeading"/>
    <w:uiPriority w:val="99"/>
    <w:rsid w:val="00ED2F5D"/>
    <w:rPr>
      <w:rFonts w:ascii="Times New Roman" w:eastAsia="Times New Roman" w:hAnsi="Times New Roman" w:cs="Times New Roman"/>
      <w:sz w:val="20"/>
      <w:szCs w:val="20"/>
      <w:lang w:eastAsia="en-US"/>
    </w:rPr>
  </w:style>
  <w:style w:type="paragraph" w:styleId="Salutation">
    <w:name w:val="Salutation"/>
    <w:basedOn w:val="Normal"/>
    <w:next w:val="Normal"/>
    <w:link w:val="SalutationChar"/>
    <w:uiPriority w:val="99"/>
    <w:rsid w:val="00ED2F5D"/>
  </w:style>
  <w:style w:type="character" w:customStyle="1" w:styleId="SalutationChar">
    <w:name w:val="Salutation Char"/>
    <w:basedOn w:val="DefaultParagraphFont"/>
    <w:link w:val="Salutation"/>
    <w:uiPriority w:val="99"/>
    <w:rsid w:val="00ED2F5D"/>
    <w:rPr>
      <w:rFonts w:ascii="Times New Roman" w:eastAsia="Times New Roman" w:hAnsi="Times New Roman" w:cs="Times New Roman"/>
      <w:sz w:val="20"/>
      <w:szCs w:val="20"/>
      <w:lang w:eastAsia="en-US"/>
    </w:rPr>
  </w:style>
  <w:style w:type="paragraph" w:styleId="Signature">
    <w:name w:val="Signature"/>
    <w:basedOn w:val="Normal"/>
    <w:link w:val="SignatureChar"/>
    <w:uiPriority w:val="99"/>
    <w:rsid w:val="00ED2F5D"/>
    <w:pPr>
      <w:ind w:left="4252"/>
    </w:pPr>
  </w:style>
  <w:style w:type="character" w:customStyle="1" w:styleId="SignatureChar">
    <w:name w:val="Signature Char"/>
    <w:basedOn w:val="DefaultParagraphFont"/>
    <w:link w:val="Signature"/>
    <w:uiPriority w:val="99"/>
    <w:rsid w:val="00ED2F5D"/>
    <w:rPr>
      <w:rFonts w:ascii="Times New Roman" w:eastAsia="Times New Roman" w:hAnsi="Times New Roman" w:cs="Times New Roman"/>
      <w:sz w:val="20"/>
      <w:szCs w:val="20"/>
      <w:lang w:eastAsia="en-US"/>
    </w:rPr>
  </w:style>
  <w:style w:type="paragraph" w:styleId="Subtitle">
    <w:name w:val="Subtitle"/>
    <w:basedOn w:val="Normal"/>
    <w:link w:val="SubtitleChar"/>
    <w:uiPriority w:val="99"/>
    <w:qFormat/>
    <w:rsid w:val="00ED2F5D"/>
    <w:pPr>
      <w:spacing w:after="60"/>
      <w:jc w:val="center"/>
      <w:outlineLvl w:val="1"/>
    </w:pPr>
    <w:rPr>
      <w:rFonts w:ascii="Arial" w:hAnsi="Arial" w:cs="Arial"/>
    </w:rPr>
  </w:style>
  <w:style w:type="character" w:customStyle="1" w:styleId="SubtitleChar">
    <w:name w:val="Subtitle Char"/>
    <w:basedOn w:val="DefaultParagraphFont"/>
    <w:link w:val="Subtitle"/>
    <w:uiPriority w:val="99"/>
    <w:rsid w:val="00ED2F5D"/>
    <w:rPr>
      <w:rFonts w:ascii="Arial" w:eastAsia="Times New Roman" w:hAnsi="Arial" w:cs="Arial"/>
      <w:sz w:val="24"/>
      <w:szCs w:val="24"/>
      <w:lang w:eastAsia="en-US"/>
    </w:rPr>
  </w:style>
  <w:style w:type="table" w:styleId="Table3Deffects1">
    <w:name w:val="Table 3D effects 1"/>
    <w:basedOn w:val="TableNormal"/>
    <w:rsid w:val="00ED2F5D"/>
    <w:pPr>
      <w:suppressAutoHyphens/>
      <w:spacing w:after="0" w:line="240" w:lineRule="atLeast"/>
    </w:pPr>
    <w:rPr>
      <w:rFonts w:ascii="Times New Roman" w:eastAsia="Times New Roman" w:hAnsi="Times New Roman" w:cs="Times New Roman"/>
      <w:sz w:val="20"/>
      <w:szCs w:val="20"/>
      <w:lang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2F5D"/>
    <w:pPr>
      <w:suppressAutoHyphens/>
      <w:spacing w:after="0" w:line="240" w:lineRule="atLeast"/>
    </w:pPr>
    <w:rPr>
      <w:rFonts w:ascii="Times New Roman" w:eastAsia="Times New Roman" w:hAnsi="Times New Roman" w:cs="Times New Roman"/>
      <w:color w:val="000080"/>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D2F5D"/>
    <w:pPr>
      <w:suppressAutoHyphens/>
      <w:spacing w:after="0" w:line="240" w:lineRule="atLeast"/>
    </w:pPr>
    <w:rPr>
      <w:rFonts w:ascii="Times New Roman" w:eastAsia="Times New Roman" w:hAnsi="Times New Roman" w:cs="Times New Roman"/>
      <w:color w:val="FFFFFF"/>
      <w:sz w:val="20"/>
      <w:szCs w:val="20"/>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2F5D"/>
    <w:pPr>
      <w:suppressAutoHyphens/>
      <w:spacing w:after="0" w:line="240" w:lineRule="atLeast"/>
    </w:pPr>
    <w:rPr>
      <w:rFonts w:ascii="Times New Roman" w:eastAsia="Times New Roman" w:hAnsi="Times New Roman" w:cs="Times New Roman"/>
      <w:b/>
      <w:bCs/>
      <w:sz w:val="20"/>
      <w:szCs w:val="20"/>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2F5D"/>
    <w:pPr>
      <w:suppressAutoHyphens/>
      <w:spacing w:after="0" w:line="240" w:lineRule="atLeast"/>
    </w:pPr>
    <w:rPr>
      <w:rFonts w:ascii="Times New Roman" w:eastAsia="Times New Roman" w:hAnsi="Times New Roman" w:cs="Times New Roman"/>
      <w:b/>
      <w:bCs/>
      <w:sz w:val="20"/>
      <w:szCs w:val="20"/>
      <w:lang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2F5D"/>
    <w:pPr>
      <w:suppressAutoHyphens/>
      <w:spacing w:after="0" w:line="240" w:lineRule="atLeast"/>
    </w:pPr>
    <w:rPr>
      <w:rFonts w:ascii="Times New Roman" w:eastAsia="Times New Roman" w:hAnsi="Times New Roman" w:cs="Times New Roman"/>
      <w:b/>
      <w:bCs/>
      <w:sz w:val="20"/>
      <w:szCs w:val="20"/>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D2F5D"/>
    <w:pPr>
      <w:suppressAutoHyphens/>
      <w:spacing w:after="0" w:line="240" w:lineRule="atLeast"/>
    </w:pPr>
    <w:rPr>
      <w:rFonts w:ascii="Times New Roman" w:eastAsia="Times New Roman" w:hAnsi="Times New Roman" w:cs="Times New Roman"/>
      <w:b/>
      <w:bCs/>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ED2F5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ED2F5D"/>
    <w:rPr>
      <w:rFonts w:ascii="Arial" w:eastAsia="Times New Roman" w:hAnsi="Arial" w:cs="Arial"/>
      <w:b/>
      <w:bCs/>
      <w:kern w:val="28"/>
      <w:sz w:val="32"/>
      <w:szCs w:val="32"/>
      <w:lang w:eastAsia="en-US"/>
    </w:rPr>
  </w:style>
  <w:style w:type="paragraph" w:styleId="TOC3">
    <w:name w:val="toc 3"/>
    <w:basedOn w:val="Normal"/>
    <w:next w:val="Normal"/>
    <w:autoRedefine/>
    <w:uiPriority w:val="99"/>
    <w:rsid w:val="00ED2F5D"/>
    <w:pPr>
      <w:ind w:left="400"/>
    </w:pPr>
  </w:style>
  <w:style w:type="paragraph" w:styleId="TOC4">
    <w:name w:val="toc 4"/>
    <w:basedOn w:val="Normal"/>
    <w:next w:val="Normal"/>
    <w:autoRedefine/>
    <w:uiPriority w:val="99"/>
    <w:rsid w:val="00ED2F5D"/>
    <w:pPr>
      <w:ind w:left="720"/>
    </w:pPr>
  </w:style>
  <w:style w:type="paragraph" w:styleId="TOC5">
    <w:name w:val="toc 5"/>
    <w:basedOn w:val="Normal"/>
    <w:next w:val="Normal"/>
    <w:autoRedefine/>
    <w:uiPriority w:val="99"/>
    <w:rsid w:val="00ED2F5D"/>
    <w:pPr>
      <w:ind w:left="960"/>
    </w:pPr>
  </w:style>
  <w:style w:type="paragraph" w:styleId="TOC6">
    <w:name w:val="toc 6"/>
    <w:basedOn w:val="Normal"/>
    <w:next w:val="Normal"/>
    <w:autoRedefine/>
    <w:uiPriority w:val="99"/>
    <w:rsid w:val="00ED2F5D"/>
    <w:pPr>
      <w:ind w:left="1200"/>
    </w:pPr>
  </w:style>
  <w:style w:type="paragraph" w:styleId="TOC7">
    <w:name w:val="toc 7"/>
    <w:basedOn w:val="Normal"/>
    <w:next w:val="Normal"/>
    <w:autoRedefine/>
    <w:uiPriority w:val="99"/>
    <w:rsid w:val="00ED2F5D"/>
    <w:pPr>
      <w:ind w:left="1440"/>
    </w:pPr>
  </w:style>
  <w:style w:type="paragraph" w:styleId="TOC8">
    <w:name w:val="toc 8"/>
    <w:basedOn w:val="Normal"/>
    <w:next w:val="Normal"/>
    <w:autoRedefine/>
    <w:uiPriority w:val="99"/>
    <w:rsid w:val="00ED2F5D"/>
    <w:pPr>
      <w:ind w:left="1680"/>
    </w:pPr>
  </w:style>
  <w:style w:type="paragraph" w:styleId="TOC9">
    <w:name w:val="toc 9"/>
    <w:basedOn w:val="Normal"/>
    <w:next w:val="Normal"/>
    <w:autoRedefine/>
    <w:uiPriority w:val="99"/>
    <w:rsid w:val="00ED2F5D"/>
    <w:pPr>
      <w:ind w:left="1920"/>
    </w:pPr>
  </w:style>
  <w:style w:type="table" w:customStyle="1" w:styleId="TableSimple11">
    <w:name w:val="Table Simple 11"/>
    <w:basedOn w:val="TableNormal"/>
    <w:next w:val="TableSimple1"/>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11">
    <w:name w:val="Table Classic 11"/>
    <w:basedOn w:val="TableNormal"/>
    <w:next w:val="TableClassic1"/>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unhideWhenUsed/>
    <w:rsid w:val="00ED2F5D"/>
    <w:pPr>
      <w:suppressAutoHyphens/>
      <w:spacing w:after="0" w:line="240" w:lineRule="atLeast"/>
    </w:pPr>
    <w:rPr>
      <w:rFonts w:ascii="Times New Roman" w:eastAsia="Times New Roman" w:hAnsi="Times New Roman" w:cs="Times New Roman"/>
      <w:color w:val="000080"/>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unhideWhenUsed/>
    <w:rsid w:val="00ED2F5D"/>
    <w:pPr>
      <w:suppressAutoHyphens/>
      <w:spacing w:after="0" w:line="240" w:lineRule="atLeast"/>
    </w:pPr>
    <w:rPr>
      <w:rFonts w:ascii="Times New Roman" w:eastAsia="Times New Roman" w:hAnsi="Times New Roman" w:cs="Times New Roman"/>
      <w:b/>
      <w:bCs/>
      <w:sz w:val="20"/>
      <w:szCs w:val="20"/>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unhideWhenUsed/>
    <w:rsid w:val="00ED2F5D"/>
    <w:pPr>
      <w:suppressAutoHyphens/>
      <w:spacing w:after="0" w:line="240" w:lineRule="atLeast"/>
    </w:pPr>
    <w:rPr>
      <w:rFonts w:ascii="Times New Roman" w:eastAsia="Times New Roman" w:hAnsi="Times New Roman" w:cs="Times New Roman"/>
      <w:b/>
      <w:bCs/>
      <w:sz w:val="20"/>
      <w:szCs w:val="20"/>
      <w:lang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unhideWhenUsed/>
    <w:rsid w:val="00ED2F5D"/>
    <w:pPr>
      <w:suppressAutoHyphens/>
      <w:spacing w:after="0" w:line="240" w:lineRule="atLeast"/>
    </w:pPr>
    <w:rPr>
      <w:rFonts w:ascii="Times New Roman" w:eastAsia="Times New Roman" w:hAnsi="Times New Roman" w:cs="Times New Roman"/>
      <w:b/>
      <w:bCs/>
      <w:sz w:val="20"/>
      <w:szCs w:val="20"/>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Grid11">
    <w:name w:val="Table Grid 11"/>
    <w:basedOn w:val="TableNormal"/>
    <w:next w:val="TableGrid10"/>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unhideWhenUsed/>
    <w:rsid w:val="00ED2F5D"/>
    <w:pPr>
      <w:suppressAutoHyphens/>
      <w:spacing w:after="0" w:line="240" w:lineRule="atLeast"/>
    </w:pPr>
    <w:rPr>
      <w:rFonts w:ascii="Times New Roman" w:eastAsia="Times New Roman" w:hAnsi="Times New Roman" w:cs="Times New Roman"/>
      <w:b/>
      <w:bCs/>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71">
    <w:name w:val="Table List 71"/>
    <w:basedOn w:val="TableNormal"/>
    <w:next w:val="TableList7"/>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1">
    <w:name w:val="Table 3D effects 11"/>
    <w:basedOn w:val="TableNormal"/>
    <w:next w:val="Table3Deffects1"/>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31">
    <w:name w:val="Table 3D effects 31"/>
    <w:basedOn w:val="TableNormal"/>
    <w:next w:val="Table3Deffects3"/>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1">
    <w:name w:val="Table Contemporary1"/>
    <w:basedOn w:val="TableNormal"/>
    <w:next w:val="TableContemporary"/>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1">
    <w:name w:val="Table Web 11"/>
    <w:basedOn w:val="TableNormal"/>
    <w:next w:val="TableWeb1"/>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1">
    <w:name w:val="Article / Section1"/>
    <w:basedOn w:val="NoList"/>
    <w:next w:val="ArticleSection"/>
    <w:semiHidden/>
    <w:unhideWhenUsed/>
    <w:rsid w:val="00ED2F5D"/>
  </w:style>
  <w:style w:type="numbering" w:customStyle="1" w:styleId="1ai11">
    <w:name w:val="1 / a / i11"/>
    <w:basedOn w:val="NoList"/>
    <w:next w:val="1ai"/>
    <w:semiHidden/>
    <w:unhideWhenUsed/>
    <w:rsid w:val="00ED2F5D"/>
    <w:pPr>
      <w:numPr>
        <w:numId w:val="5"/>
      </w:numPr>
    </w:pPr>
  </w:style>
  <w:style w:type="numbering" w:customStyle="1" w:styleId="11111111">
    <w:name w:val="1 / 1.1 / 1.1.111"/>
    <w:basedOn w:val="NoList"/>
    <w:next w:val="111111"/>
    <w:semiHidden/>
    <w:unhideWhenUsed/>
    <w:rsid w:val="00ED2F5D"/>
    <w:pPr>
      <w:numPr>
        <w:numId w:val="9"/>
      </w:numPr>
    </w:pPr>
  </w:style>
  <w:style w:type="paragraph" w:customStyle="1" w:styleId="SingleTxt">
    <w:name w:val="__Single Txt"/>
    <w:basedOn w:val="Normal"/>
    <w:rsid w:val="00ED2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Calibri"/>
      <w:spacing w:val="4"/>
      <w:w w:val="103"/>
      <w:kern w:val="14"/>
    </w:rPr>
  </w:style>
  <w:style w:type="paragraph" w:styleId="Revision">
    <w:name w:val="Revision"/>
    <w:hidden/>
    <w:uiPriority w:val="99"/>
    <w:semiHidden/>
    <w:rsid w:val="00ED2F5D"/>
    <w:pPr>
      <w:spacing w:after="0" w:line="240" w:lineRule="auto"/>
    </w:pPr>
    <w:rPr>
      <w:rFonts w:ascii="Calibri" w:eastAsia="Calibri" w:hAnsi="Calibri" w:cs="Times New Roman"/>
      <w:lang w:eastAsia="en-US"/>
    </w:rPr>
  </w:style>
  <w:style w:type="numbering" w:customStyle="1" w:styleId="1111113">
    <w:name w:val="1 / 1.1 / 1.1.13"/>
    <w:basedOn w:val="NoList"/>
    <w:next w:val="111111"/>
    <w:semiHidden/>
    <w:rsid w:val="00ED2F5D"/>
  </w:style>
  <w:style w:type="numbering" w:customStyle="1" w:styleId="1ai3">
    <w:name w:val="1 / a / i3"/>
    <w:basedOn w:val="NoList"/>
    <w:next w:val="1ai"/>
    <w:semiHidden/>
    <w:rsid w:val="00ED2F5D"/>
  </w:style>
  <w:style w:type="numbering" w:customStyle="1" w:styleId="11111121">
    <w:name w:val="1 / 1.1 / 1.1.121"/>
    <w:basedOn w:val="NoList"/>
    <w:next w:val="111111"/>
    <w:semiHidden/>
    <w:rsid w:val="00ED2F5D"/>
    <w:pPr>
      <w:numPr>
        <w:numId w:val="3"/>
      </w:numPr>
    </w:pPr>
  </w:style>
  <w:style w:type="numbering" w:customStyle="1" w:styleId="1ai21">
    <w:name w:val="1 / a / i21"/>
    <w:basedOn w:val="NoList"/>
    <w:next w:val="1ai"/>
    <w:semiHidden/>
    <w:rsid w:val="00ED2F5D"/>
    <w:pPr>
      <w:numPr>
        <w:numId w:val="4"/>
      </w:numPr>
    </w:pPr>
  </w:style>
  <w:style w:type="table" w:customStyle="1" w:styleId="Table3Deffects12">
    <w:name w:val="Table 3D effects 12"/>
    <w:basedOn w:val="TableNormal"/>
    <w:next w:val="Table3Deffects1"/>
    <w:rsid w:val="00ED2F5D"/>
    <w:pPr>
      <w:suppressAutoHyphens/>
      <w:spacing w:after="0" w:line="240" w:lineRule="atLeast"/>
    </w:pPr>
    <w:rPr>
      <w:rFonts w:ascii="Times New Roman" w:eastAsia="Times New Roman" w:hAnsi="Times New Roman" w:cs="Times New Roman"/>
      <w:sz w:val="20"/>
      <w:szCs w:val="20"/>
      <w:lang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32">
    <w:name w:val="Table 3D effects 32"/>
    <w:basedOn w:val="TableNormal"/>
    <w:next w:val="Table3Deffects3"/>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ED2F5D"/>
    <w:pPr>
      <w:suppressAutoHyphens/>
      <w:spacing w:after="0" w:line="240" w:lineRule="atLeast"/>
    </w:pPr>
    <w:rPr>
      <w:rFonts w:ascii="Times New Roman" w:eastAsia="Times New Roman" w:hAnsi="Times New Roman" w:cs="Times New Roman"/>
      <w:color w:val="000080"/>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ED2F5D"/>
    <w:pPr>
      <w:suppressAutoHyphens/>
      <w:spacing w:after="0" w:line="240" w:lineRule="atLeast"/>
    </w:pPr>
    <w:rPr>
      <w:rFonts w:ascii="Times New Roman" w:eastAsia="Times New Roman" w:hAnsi="Times New Roman" w:cs="Times New Roman"/>
      <w:sz w:val="20"/>
      <w:szCs w:val="20"/>
      <w:lang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ED2F5D"/>
    <w:pPr>
      <w:suppressAutoHyphens/>
      <w:spacing w:after="0" w:line="240" w:lineRule="atLeast"/>
    </w:pPr>
    <w:rPr>
      <w:rFonts w:ascii="Times New Roman" w:eastAsia="Times New Roman" w:hAnsi="Times New Roman" w:cs="Times New Roman"/>
      <w:b/>
      <w:bCs/>
      <w:sz w:val="20"/>
      <w:szCs w:val="20"/>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ED2F5D"/>
    <w:pPr>
      <w:suppressAutoHyphens/>
      <w:spacing w:after="0" w:line="240" w:lineRule="atLeast"/>
    </w:pPr>
    <w:rPr>
      <w:rFonts w:ascii="Times New Roman" w:eastAsia="Times New Roman" w:hAnsi="Times New Roman" w:cs="Times New Roman"/>
      <w:b/>
      <w:bCs/>
      <w:sz w:val="20"/>
      <w:szCs w:val="20"/>
      <w:lang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ED2F5D"/>
    <w:pPr>
      <w:suppressAutoHyphens/>
      <w:spacing w:after="0" w:line="240" w:lineRule="atLeast"/>
    </w:pPr>
    <w:rPr>
      <w:rFonts w:ascii="Times New Roman" w:eastAsia="Times New Roman" w:hAnsi="Times New Roman" w:cs="Times New Roman"/>
      <w:b/>
      <w:bCs/>
      <w:sz w:val="20"/>
      <w:szCs w:val="20"/>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ED2F5D"/>
    <w:pPr>
      <w:suppressAutoHyphens/>
      <w:spacing w:after="0" w:line="240" w:lineRule="atLeast"/>
    </w:pPr>
    <w:rPr>
      <w:rFonts w:ascii="Times New Roman" w:eastAsia="Times New Roman" w:hAnsi="Times New Roman" w:cs="Times New Roman"/>
      <w:sz w:val="20"/>
      <w:szCs w:val="20"/>
      <w:lang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ED2F5D"/>
    <w:pPr>
      <w:suppressAutoHyphens/>
      <w:spacing w:after="0" w:line="240" w:lineRule="atLeast"/>
    </w:pPr>
    <w:rPr>
      <w:rFonts w:ascii="Times New Roman" w:eastAsia="Times New Roman" w:hAnsi="Times New Roman" w:cs="Times New Roman"/>
      <w:sz w:val="20"/>
      <w:szCs w:val="20"/>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ED2F5D"/>
    <w:pPr>
      <w:suppressAutoHyphens/>
      <w:spacing w:after="0" w:line="240" w:lineRule="atLeast"/>
    </w:pPr>
    <w:rPr>
      <w:rFonts w:ascii="Times New Roman" w:eastAsia="Times New Roman" w:hAnsi="Times New Roman" w:cs="Times New Roman"/>
      <w:sz w:val="20"/>
      <w:szCs w:val="20"/>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42">
    <w:name w:val="Table Grid 42"/>
    <w:basedOn w:val="TableNormal"/>
    <w:next w:val="TableGrid4"/>
    <w:rsid w:val="00ED2F5D"/>
    <w:pPr>
      <w:suppressAutoHyphens/>
      <w:spacing w:after="0" w:line="240" w:lineRule="atLeast"/>
    </w:pPr>
    <w:rPr>
      <w:rFonts w:ascii="Times New Roman" w:eastAsia="Times New Roman" w:hAnsi="Times New Roman" w:cs="Times New Roman"/>
      <w:sz w:val="20"/>
      <w:szCs w:val="20"/>
      <w:lang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62">
    <w:name w:val="Table Grid 62"/>
    <w:basedOn w:val="TableNormal"/>
    <w:next w:val="TableGrid6"/>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ED2F5D"/>
    <w:pPr>
      <w:suppressAutoHyphens/>
      <w:spacing w:after="0" w:line="240" w:lineRule="atLeast"/>
    </w:pPr>
    <w:rPr>
      <w:rFonts w:ascii="Times New Roman" w:eastAsia="Times New Roman" w:hAnsi="Times New Roman" w:cs="Times New Roman"/>
      <w:sz w:val="20"/>
      <w:szCs w:val="20"/>
      <w:lang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72">
    <w:name w:val="Table List 72"/>
    <w:basedOn w:val="TableNormal"/>
    <w:next w:val="TableList7"/>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22">
    <w:name w:val="Table Simple 22"/>
    <w:basedOn w:val="TableNormal"/>
    <w:next w:val="TableSimple2"/>
    <w:rsid w:val="00ED2F5D"/>
    <w:pPr>
      <w:suppressAutoHyphens/>
      <w:spacing w:after="0" w:line="240" w:lineRule="atLeast"/>
    </w:pPr>
    <w:rPr>
      <w:rFonts w:ascii="Times New Roman" w:eastAsia="Times New Roman" w:hAnsi="Times New Roman" w:cs="Times New Roman"/>
      <w:sz w:val="20"/>
      <w:szCs w:val="20"/>
      <w:lang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Web12">
    <w:name w:val="Table Web 12"/>
    <w:basedOn w:val="TableNormal"/>
    <w:next w:val="TableWeb1"/>
    <w:rsid w:val="00ED2F5D"/>
    <w:pPr>
      <w:suppressAutoHyphens/>
      <w:spacing w:after="0" w:line="240" w:lineRule="atLeast"/>
    </w:pPr>
    <w:rPr>
      <w:rFonts w:ascii="Times New Roman" w:eastAsia="Times New Roman" w:hAnsi="Times New Roman" w:cs="Times New Roman"/>
      <w:sz w:val="20"/>
      <w:szCs w:val="20"/>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ED2F5D"/>
    <w:pPr>
      <w:suppressAutoHyphens/>
      <w:spacing w:after="0" w:line="240" w:lineRule="atLeast"/>
    </w:pPr>
    <w:rPr>
      <w:rFonts w:ascii="Times New Roman" w:eastAsia="Times New Roman" w:hAnsi="Times New Roman" w:cs="Times New Roman"/>
      <w:sz w:val="20"/>
      <w:szCs w:val="20"/>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ED2F5D"/>
    <w:pPr>
      <w:suppressAutoHyphens/>
      <w:spacing w:after="0" w:line="240" w:lineRule="atLeast"/>
    </w:pPr>
    <w:rPr>
      <w:rFonts w:ascii="Times New Roman" w:eastAsia="Times New Roman" w:hAnsi="Times New Roman" w:cs="Times New Roman"/>
      <w:sz w:val="20"/>
      <w:szCs w:val="20"/>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Simple211">
    <w:name w:val="Table Simple 211"/>
    <w:basedOn w:val="TableNormal"/>
    <w:next w:val="TableSimple2"/>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111">
    <w:name w:val="Table Classic 111"/>
    <w:basedOn w:val="TableNormal"/>
    <w:next w:val="TableClassic1"/>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semiHidden/>
    <w:unhideWhenUsed/>
    <w:rsid w:val="00ED2F5D"/>
    <w:pPr>
      <w:suppressAutoHyphens/>
      <w:spacing w:after="0" w:line="240" w:lineRule="atLeast"/>
    </w:pPr>
    <w:rPr>
      <w:rFonts w:ascii="Times New Roman" w:eastAsia="Times New Roman" w:hAnsi="Times New Roman" w:cs="Times New Roman"/>
      <w:color w:val="000080"/>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semiHidden/>
    <w:unhideWhenUsed/>
    <w:rsid w:val="00ED2F5D"/>
    <w:pPr>
      <w:suppressAutoHyphens/>
      <w:spacing w:after="0" w:line="240" w:lineRule="atLeast"/>
    </w:pPr>
    <w:rPr>
      <w:rFonts w:ascii="Times New Roman" w:eastAsia="Times New Roman" w:hAnsi="Times New Roman" w:cs="Times New Roman"/>
      <w:b/>
      <w:bCs/>
      <w:sz w:val="20"/>
      <w:szCs w:val="20"/>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semiHidden/>
    <w:unhideWhenUsed/>
    <w:rsid w:val="00ED2F5D"/>
    <w:pPr>
      <w:suppressAutoHyphens/>
      <w:spacing w:after="0" w:line="240" w:lineRule="atLeast"/>
    </w:pPr>
    <w:rPr>
      <w:rFonts w:ascii="Times New Roman" w:eastAsia="Times New Roman" w:hAnsi="Times New Roman" w:cs="Times New Roman"/>
      <w:b/>
      <w:bCs/>
      <w:sz w:val="20"/>
      <w:szCs w:val="20"/>
      <w:lang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semiHidden/>
    <w:unhideWhenUsed/>
    <w:rsid w:val="00ED2F5D"/>
    <w:pPr>
      <w:suppressAutoHyphens/>
      <w:spacing w:after="0" w:line="240" w:lineRule="atLeast"/>
    </w:pPr>
    <w:rPr>
      <w:rFonts w:ascii="Times New Roman" w:eastAsia="Times New Roman" w:hAnsi="Times New Roman" w:cs="Times New Roman"/>
      <w:b/>
      <w:bCs/>
      <w:sz w:val="20"/>
      <w:szCs w:val="20"/>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Grid411">
    <w:name w:val="Table Grid 411"/>
    <w:basedOn w:val="TableNormal"/>
    <w:next w:val="TableGrid4"/>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611">
    <w:name w:val="Table Grid 611"/>
    <w:basedOn w:val="TableNormal"/>
    <w:next w:val="TableGrid6"/>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711">
    <w:name w:val="Table List 711"/>
    <w:basedOn w:val="TableNormal"/>
    <w:next w:val="TableList7"/>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11">
    <w:name w:val="Table 3D effects 111"/>
    <w:basedOn w:val="TableNormal"/>
    <w:next w:val="Table3Deffects1"/>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311">
    <w:name w:val="Table 3D effects 311"/>
    <w:basedOn w:val="TableNormal"/>
    <w:next w:val="Table3Deffects3"/>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11">
    <w:name w:val="Table Contemporary11"/>
    <w:basedOn w:val="TableNormal"/>
    <w:next w:val="TableContemporary"/>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11">
    <w:name w:val="Table Web 111"/>
    <w:basedOn w:val="TableNormal"/>
    <w:next w:val="TableWeb1"/>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NoSpacing">
    <w:name w:val="No Spacing"/>
    <w:uiPriority w:val="1"/>
    <w:qFormat/>
    <w:rsid w:val="00ED2F5D"/>
    <w:pPr>
      <w:spacing w:after="0" w:line="240" w:lineRule="auto"/>
    </w:pPr>
    <w:rPr>
      <w:rFonts w:ascii="Calibri" w:eastAsia="Calibri" w:hAnsi="Calibri" w:cs="Times New Roman"/>
      <w:lang w:eastAsia="en-US"/>
    </w:rPr>
  </w:style>
  <w:style w:type="character" w:customStyle="1" w:styleId="H4GChar">
    <w:name w:val="_ H_4_G Char"/>
    <w:link w:val="H4G"/>
    <w:locked/>
    <w:rsid w:val="00ED2F5D"/>
    <w:rPr>
      <w:rFonts w:ascii="Times New Roman" w:eastAsia="Times New Roman" w:hAnsi="Times New Roman" w:cs="Times New Roman"/>
      <w:i/>
      <w:sz w:val="20"/>
      <w:szCs w:val="20"/>
      <w:lang w:eastAsia="en-US"/>
    </w:rPr>
  </w:style>
  <w:style w:type="paragraph" w:styleId="TOCHeading">
    <w:name w:val="TOC Heading"/>
    <w:basedOn w:val="Heading1"/>
    <w:next w:val="Normal"/>
    <w:uiPriority w:val="39"/>
    <w:semiHidden/>
    <w:unhideWhenUsed/>
    <w:qFormat/>
    <w:rsid w:val="00ED2F5D"/>
    <w:pPr>
      <w:keepNext/>
      <w:keepLines/>
      <w:numPr>
        <w:numId w:val="0"/>
      </w:numPr>
      <w:spacing w:before="480" w:line="276" w:lineRule="auto"/>
      <w:outlineLvl w:val="9"/>
    </w:pPr>
    <w:rPr>
      <w:rFonts w:ascii="Cambria" w:eastAsia="MS Gothic" w:hAnsi="Cambria"/>
      <w:b/>
      <w:bCs/>
      <w:color w:val="365F91"/>
      <w:sz w:val="28"/>
      <w:szCs w:val="28"/>
      <w:lang w:eastAsia="ja-JP"/>
    </w:rPr>
  </w:style>
  <w:style w:type="character" w:customStyle="1" w:styleId="apple-converted-space">
    <w:name w:val="apple-converted-space"/>
    <w:rsid w:val="00F11B08"/>
  </w:style>
  <w:style w:type="paragraph" w:customStyle="1" w:styleId="Body">
    <w:name w:val="Body"/>
    <w:rsid w:val="00F11B0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de-DE" w:eastAsia="en-GB"/>
    </w:rPr>
  </w:style>
  <w:style w:type="character" w:customStyle="1" w:styleId="ListParagraphChar">
    <w:name w:val="List Paragraph Char"/>
    <w:aliases w:val="Scriptoria bullet points Char"/>
    <w:link w:val="ListParagraph"/>
    <w:uiPriority w:val="34"/>
    <w:locked/>
    <w:rsid w:val="00F11B08"/>
    <w:rPr>
      <w:rFonts w:ascii="Book Antiqua" w:eastAsia="MS Mincho" w:hAnsi="Book Antiqua" w:cs="Times New Roman"/>
      <w:sz w:val="24"/>
      <w:szCs w:val="24"/>
      <w:lang w:val="fr-FR" w:eastAsia="fr-FR"/>
    </w:rPr>
  </w:style>
  <w:style w:type="character" w:customStyle="1" w:styleId="apple-style-span">
    <w:name w:val="apple-style-span"/>
    <w:rsid w:val="00F11B08"/>
  </w:style>
  <w:style w:type="character" w:customStyle="1" w:styleId="Bodytext20">
    <w:name w:val="Body text (20)_"/>
    <w:link w:val="Bodytext200"/>
    <w:uiPriority w:val="99"/>
    <w:rsid w:val="00F11B08"/>
    <w:rPr>
      <w:rFonts w:ascii="Arial" w:hAnsi="Arial" w:cs="Arial"/>
      <w:sz w:val="34"/>
      <w:szCs w:val="34"/>
      <w:shd w:val="clear" w:color="auto" w:fill="FFFFFF"/>
    </w:rPr>
  </w:style>
  <w:style w:type="paragraph" w:customStyle="1" w:styleId="Bodytext200">
    <w:name w:val="Body text (20)"/>
    <w:basedOn w:val="Normal"/>
    <w:link w:val="Bodytext20"/>
    <w:uiPriority w:val="99"/>
    <w:rsid w:val="00F11B08"/>
    <w:pPr>
      <w:widowControl w:val="0"/>
      <w:shd w:val="clear" w:color="auto" w:fill="FFFFFF"/>
      <w:spacing w:before="300" w:after="480"/>
      <w:jc w:val="both"/>
    </w:pPr>
    <w:rPr>
      <w:rFonts w:ascii="Arial" w:eastAsiaTheme="minorEastAsia" w:hAnsi="Arial" w:cs="Arial"/>
      <w:sz w:val="34"/>
      <w:szCs w:val="34"/>
      <w:lang w:eastAsia="ko-KR"/>
    </w:rPr>
  </w:style>
  <w:style w:type="character" w:customStyle="1" w:styleId="Bodytext14">
    <w:name w:val="Body text (14)_"/>
    <w:link w:val="Bodytext140"/>
    <w:uiPriority w:val="99"/>
    <w:rsid w:val="00F11B08"/>
    <w:rPr>
      <w:sz w:val="30"/>
      <w:szCs w:val="30"/>
      <w:shd w:val="clear" w:color="auto" w:fill="FFFFFF"/>
    </w:rPr>
  </w:style>
  <w:style w:type="paragraph" w:customStyle="1" w:styleId="Bodytext140">
    <w:name w:val="Body text (14)"/>
    <w:basedOn w:val="Normal"/>
    <w:link w:val="Bodytext14"/>
    <w:uiPriority w:val="99"/>
    <w:rsid w:val="00F11B08"/>
    <w:pPr>
      <w:widowControl w:val="0"/>
      <w:shd w:val="clear" w:color="auto" w:fill="FFFFFF"/>
      <w:spacing w:before="540" w:after="420" w:line="493" w:lineRule="exact"/>
      <w:jc w:val="both"/>
    </w:pPr>
    <w:rPr>
      <w:rFonts w:asciiTheme="minorHAnsi" w:eastAsiaTheme="minorEastAsia" w:hAnsiTheme="minorHAnsi" w:cstheme="minorBidi"/>
      <w:sz w:val="30"/>
      <w:szCs w:val="30"/>
      <w:lang w:eastAsia="ko-KR"/>
    </w:rPr>
  </w:style>
  <w:style w:type="character" w:customStyle="1" w:styleId="Bodytext15">
    <w:name w:val="Body text (15)_"/>
    <w:link w:val="Bodytext150"/>
    <w:uiPriority w:val="99"/>
    <w:rsid w:val="00F11B08"/>
    <w:rPr>
      <w:sz w:val="30"/>
      <w:szCs w:val="30"/>
      <w:shd w:val="clear" w:color="auto" w:fill="FFFFFF"/>
    </w:rPr>
  </w:style>
  <w:style w:type="paragraph" w:customStyle="1" w:styleId="Bodytext150">
    <w:name w:val="Body text (15)"/>
    <w:basedOn w:val="Normal"/>
    <w:link w:val="Bodytext15"/>
    <w:uiPriority w:val="99"/>
    <w:rsid w:val="00F11B08"/>
    <w:pPr>
      <w:widowControl w:val="0"/>
      <w:shd w:val="clear" w:color="auto" w:fill="FFFFFF"/>
      <w:spacing w:before="780" w:after="780"/>
      <w:jc w:val="both"/>
    </w:pPr>
    <w:rPr>
      <w:rFonts w:asciiTheme="minorHAnsi" w:eastAsiaTheme="minorEastAsia" w:hAnsiTheme="minorHAnsi" w:cstheme="minorBidi"/>
      <w:sz w:val="30"/>
      <w:szCs w:val="30"/>
      <w:lang w:eastAsia="ko-KR"/>
    </w:rPr>
  </w:style>
  <w:style w:type="character" w:customStyle="1" w:styleId="Bodytext18">
    <w:name w:val="Body text (18)_"/>
    <w:link w:val="Bodytext180"/>
    <w:uiPriority w:val="99"/>
    <w:rsid w:val="00F11B08"/>
    <w:rPr>
      <w:rFonts w:ascii="Arial" w:hAnsi="Arial" w:cs="Arial"/>
      <w:shd w:val="clear" w:color="auto" w:fill="FFFFFF"/>
    </w:rPr>
  </w:style>
  <w:style w:type="paragraph" w:customStyle="1" w:styleId="Bodytext180">
    <w:name w:val="Body text (18)"/>
    <w:basedOn w:val="Normal"/>
    <w:link w:val="Bodytext18"/>
    <w:uiPriority w:val="99"/>
    <w:rsid w:val="00F11B08"/>
    <w:pPr>
      <w:widowControl w:val="0"/>
      <w:shd w:val="clear" w:color="auto" w:fill="FFFFFF"/>
      <w:spacing w:before="360" w:line="299" w:lineRule="exact"/>
      <w:jc w:val="both"/>
    </w:pPr>
    <w:rPr>
      <w:rFonts w:ascii="Arial" w:eastAsiaTheme="minorEastAsia" w:hAnsi="Arial" w:cs="Arial"/>
      <w:sz w:val="22"/>
      <w:szCs w:val="22"/>
      <w:lang w:eastAsia="ko-KR"/>
    </w:rPr>
  </w:style>
  <w:style w:type="character" w:customStyle="1" w:styleId="Bodytext28">
    <w:name w:val="Body text (28)_"/>
    <w:link w:val="Bodytext280"/>
    <w:uiPriority w:val="99"/>
    <w:rsid w:val="00F11B08"/>
    <w:rPr>
      <w:rFonts w:ascii="Arial" w:hAnsi="Arial" w:cs="Arial"/>
      <w:shd w:val="clear" w:color="auto" w:fill="FFFFFF"/>
    </w:rPr>
  </w:style>
  <w:style w:type="paragraph" w:customStyle="1" w:styleId="Bodytext280">
    <w:name w:val="Body text (28)"/>
    <w:basedOn w:val="Normal"/>
    <w:link w:val="Bodytext28"/>
    <w:uiPriority w:val="99"/>
    <w:rsid w:val="00F11B08"/>
    <w:pPr>
      <w:widowControl w:val="0"/>
      <w:shd w:val="clear" w:color="auto" w:fill="FFFFFF"/>
      <w:spacing w:before="420" w:after="420"/>
      <w:jc w:val="both"/>
    </w:pPr>
    <w:rPr>
      <w:rFonts w:ascii="Arial" w:eastAsiaTheme="minorEastAsia" w:hAnsi="Arial" w:cs="Arial"/>
      <w:sz w:val="22"/>
      <w:szCs w:val="22"/>
      <w:lang w:eastAsia="ko-KR"/>
    </w:rPr>
  </w:style>
  <w:style w:type="character" w:customStyle="1" w:styleId="Bodytext5">
    <w:name w:val="Body text (5)_"/>
    <w:link w:val="Bodytext50"/>
    <w:uiPriority w:val="99"/>
    <w:rsid w:val="00F11B08"/>
    <w:rPr>
      <w:sz w:val="26"/>
      <w:szCs w:val="26"/>
      <w:shd w:val="clear" w:color="auto" w:fill="FFFFFF"/>
    </w:rPr>
  </w:style>
  <w:style w:type="character" w:customStyle="1" w:styleId="Bodytext5Georgia">
    <w:name w:val="Body text (5) + Georgia"/>
    <w:aliases w:val="12 pt3"/>
    <w:uiPriority w:val="99"/>
    <w:rsid w:val="00F11B08"/>
    <w:rPr>
      <w:rFonts w:ascii="Georgia" w:hAnsi="Georgia" w:cs="Georgia"/>
      <w:sz w:val="24"/>
      <w:szCs w:val="24"/>
      <w:shd w:val="clear" w:color="auto" w:fill="FFFFFF"/>
    </w:rPr>
  </w:style>
  <w:style w:type="paragraph" w:customStyle="1" w:styleId="Bodytext50">
    <w:name w:val="Body text (5)"/>
    <w:basedOn w:val="Normal"/>
    <w:link w:val="Bodytext5"/>
    <w:uiPriority w:val="99"/>
    <w:rsid w:val="00F11B08"/>
    <w:pPr>
      <w:widowControl w:val="0"/>
      <w:shd w:val="clear" w:color="auto" w:fill="FFFFFF"/>
    </w:pPr>
    <w:rPr>
      <w:rFonts w:asciiTheme="minorHAnsi" w:eastAsiaTheme="minorEastAsia" w:hAnsiTheme="minorHAnsi" w:cstheme="minorBidi"/>
      <w:sz w:val="26"/>
      <w:szCs w:val="26"/>
      <w:lang w:eastAsia="ko-KR"/>
    </w:rPr>
  </w:style>
  <w:style w:type="character" w:customStyle="1" w:styleId="Bodytext22">
    <w:name w:val="Body text (22)_"/>
    <w:link w:val="Bodytext221"/>
    <w:uiPriority w:val="99"/>
    <w:rsid w:val="00F11B08"/>
    <w:rPr>
      <w:sz w:val="28"/>
      <w:szCs w:val="28"/>
      <w:shd w:val="clear" w:color="auto" w:fill="FFFFFF"/>
    </w:rPr>
  </w:style>
  <w:style w:type="paragraph" w:customStyle="1" w:styleId="Bodytext221">
    <w:name w:val="Body text (22)1"/>
    <w:basedOn w:val="Normal"/>
    <w:link w:val="Bodytext22"/>
    <w:uiPriority w:val="99"/>
    <w:rsid w:val="00F11B08"/>
    <w:pPr>
      <w:widowControl w:val="0"/>
      <w:shd w:val="clear" w:color="auto" w:fill="FFFFFF"/>
      <w:spacing w:after="60"/>
      <w:ind w:hanging="360"/>
    </w:pPr>
    <w:rPr>
      <w:rFonts w:asciiTheme="minorHAnsi" w:eastAsiaTheme="minorEastAsia" w:hAnsiTheme="minorHAnsi" w:cstheme="minorBidi"/>
      <w:sz w:val="28"/>
      <w:szCs w:val="28"/>
      <w:lang w:eastAsia="ko-KR"/>
    </w:rPr>
  </w:style>
  <w:style w:type="character" w:customStyle="1" w:styleId="Bodytext5BookmanOldStyle">
    <w:name w:val="Body text (5) + Bookman Old Style"/>
    <w:aliases w:val="12 pt,Italic"/>
    <w:rsid w:val="00F11B08"/>
    <w:rPr>
      <w:rFonts w:ascii="Bookman Old Style" w:eastAsia="Bookman Old Style" w:hAnsi="Bookman Old Style" w:cs="Bookman Old Style"/>
      <w:b w:val="0"/>
      <w:bCs w:val="0"/>
      <w:i/>
      <w:iCs/>
      <w:smallCaps w:val="0"/>
      <w:strike w:val="0"/>
      <w:color w:val="000000"/>
      <w:spacing w:val="0"/>
      <w:w w:val="100"/>
      <w:position w:val="0"/>
      <w:sz w:val="24"/>
      <w:szCs w:val="24"/>
      <w:u w:val="none"/>
      <w:lang w:val="en-GB" w:eastAsia="en-GB" w:bidi="en-GB"/>
    </w:rPr>
  </w:style>
  <w:style w:type="numbering" w:customStyle="1" w:styleId="Style2import">
    <w:name w:val="Style 2 importé"/>
    <w:rsid w:val="001C58CD"/>
  </w:style>
  <w:style w:type="character" w:customStyle="1" w:styleId="tlid-translation">
    <w:name w:val="tlid-translation"/>
    <w:rsid w:val="00323457"/>
  </w:style>
  <w:style w:type="character" w:customStyle="1" w:styleId="alt-edited2">
    <w:name w:val="alt-edited2"/>
    <w:rsid w:val="00323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0223">
      <w:bodyDiv w:val="1"/>
      <w:marLeft w:val="0"/>
      <w:marRight w:val="0"/>
      <w:marTop w:val="0"/>
      <w:marBottom w:val="0"/>
      <w:divBdr>
        <w:top w:val="none" w:sz="0" w:space="0" w:color="auto"/>
        <w:left w:val="none" w:sz="0" w:space="0" w:color="auto"/>
        <w:bottom w:val="none" w:sz="0" w:space="0" w:color="auto"/>
        <w:right w:val="none" w:sz="0" w:space="0" w:color="auto"/>
      </w:divBdr>
    </w:div>
    <w:div w:id="39479865">
      <w:bodyDiv w:val="1"/>
      <w:marLeft w:val="0"/>
      <w:marRight w:val="0"/>
      <w:marTop w:val="0"/>
      <w:marBottom w:val="0"/>
      <w:divBdr>
        <w:top w:val="none" w:sz="0" w:space="0" w:color="auto"/>
        <w:left w:val="none" w:sz="0" w:space="0" w:color="auto"/>
        <w:bottom w:val="none" w:sz="0" w:space="0" w:color="auto"/>
        <w:right w:val="none" w:sz="0" w:space="0" w:color="auto"/>
      </w:divBdr>
    </w:div>
    <w:div w:id="45303700">
      <w:bodyDiv w:val="1"/>
      <w:marLeft w:val="0"/>
      <w:marRight w:val="0"/>
      <w:marTop w:val="0"/>
      <w:marBottom w:val="0"/>
      <w:divBdr>
        <w:top w:val="none" w:sz="0" w:space="0" w:color="auto"/>
        <w:left w:val="none" w:sz="0" w:space="0" w:color="auto"/>
        <w:bottom w:val="none" w:sz="0" w:space="0" w:color="auto"/>
        <w:right w:val="none" w:sz="0" w:space="0" w:color="auto"/>
      </w:divBdr>
    </w:div>
    <w:div w:id="155844695">
      <w:bodyDiv w:val="1"/>
      <w:marLeft w:val="0"/>
      <w:marRight w:val="0"/>
      <w:marTop w:val="0"/>
      <w:marBottom w:val="0"/>
      <w:divBdr>
        <w:top w:val="none" w:sz="0" w:space="0" w:color="auto"/>
        <w:left w:val="none" w:sz="0" w:space="0" w:color="auto"/>
        <w:bottom w:val="none" w:sz="0" w:space="0" w:color="auto"/>
        <w:right w:val="none" w:sz="0" w:space="0" w:color="auto"/>
      </w:divBdr>
    </w:div>
    <w:div w:id="161045907">
      <w:bodyDiv w:val="1"/>
      <w:marLeft w:val="0"/>
      <w:marRight w:val="0"/>
      <w:marTop w:val="0"/>
      <w:marBottom w:val="0"/>
      <w:divBdr>
        <w:top w:val="none" w:sz="0" w:space="0" w:color="auto"/>
        <w:left w:val="none" w:sz="0" w:space="0" w:color="auto"/>
        <w:bottom w:val="none" w:sz="0" w:space="0" w:color="auto"/>
        <w:right w:val="none" w:sz="0" w:space="0" w:color="auto"/>
      </w:divBdr>
    </w:div>
    <w:div w:id="227961900">
      <w:bodyDiv w:val="1"/>
      <w:marLeft w:val="0"/>
      <w:marRight w:val="0"/>
      <w:marTop w:val="0"/>
      <w:marBottom w:val="0"/>
      <w:divBdr>
        <w:top w:val="none" w:sz="0" w:space="0" w:color="auto"/>
        <w:left w:val="none" w:sz="0" w:space="0" w:color="auto"/>
        <w:bottom w:val="none" w:sz="0" w:space="0" w:color="auto"/>
        <w:right w:val="none" w:sz="0" w:space="0" w:color="auto"/>
      </w:divBdr>
    </w:div>
    <w:div w:id="247203827">
      <w:bodyDiv w:val="1"/>
      <w:marLeft w:val="0"/>
      <w:marRight w:val="0"/>
      <w:marTop w:val="0"/>
      <w:marBottom w:val="0"/>
      <w:divBdr>
        <w:top w:val="none" w:sz="0" w:space="0" w:color="auto"/>
        <w:left w:val="none" w:sz="0" w:space="0" w:color="auto"/>
        <w:bottom w:val="none" w:sz="0" w:space="0" w:color="auto"/>
        <w:right w:val="none" w:sz="0" w:space="0" w:color="auto"/>
      </w:divBdr>
    </w:div>
    <w:div w:id="279265469">
      <w:bodyDiv w:val="1"/>
      <w:marLeft w:val="0"/>
      <w:marRight w:val="0"/>
      <w:marTop w:val="0"/>
      <w:marBottom w:val="0"/>
      <w:divBdr>
        <w:top w:val="none" w:sz="0" w:space="0" w:color="auto"/>
        <w:left w:val="none" w:sz="0" w:space="0" w:color="auto"/>
        <w:bottom w:val="none" w:sz="0" w:space="0" w:color="auto"/>
        <w:right w:val="none" w:sz="0" w:space="0" w:color="auto"/>
      </w:divBdr>
    </w:div>
    <w:div w:id="369458393">
      <w:bodyDiv w:val="1"/>
      <w:marLeft w:val="0"/>
      <w:marRight w:val="0"/>
      <w:marTop w:val="0"/>
      <w:marBottom w:val="0"/>
      <w:divBdr>
        <w:top w:val="none" w:sz="0" w:space="0" w:color="auto"/>
        <w:left w:val="none" w:sz="0" w:space="0" w:color="auto"/>
        <w:bottom w:val="none" w:sz="0" w:space="0" w:color="auto"/>
        <w:right w:val="none" w:sz="0" w:space="0" w:color="auto"/>
      </w:divBdr>
    </w:div>
    <w:div w:id="537207318">
      <w:bodyDiv w:val="1"/>
      <w:marLeft w:val="0"/>
      <w:marRight w:val="0"/>
      <w:marTop w:val="0"/>
      <w:marBottom w:val="0"/>
      <w:divBdr>
        <w:top w:val="none" w:sz="0" w:space="0" w:color="auto"/>
        <w:left w:val="none" w:sz="0" w:space="0" w:color="auto"/>
        <w:bottom w:val="none" w:sz="0" w:space="0" w:color="auto"/>
        <w:right w:val="none" w:sz="0" w:space="0" w:color="auto"/>
      </w:divBdr>
    </w:div>
    <w:div w:id="601231433">
      <w:bodyDiv w:val="1"/>
      <w:marLeft w:val="0"/>
      <w:marRight w:val="0"/>
      <w:marTop w:val="0"/>
      <w:marBottom w:val="0"/>
      <w:divBdr>
        <w:top w:val="none" w:sz="0" w:space="0" w:color="auto"/>
        <w:left w:val="none" w:sz="0" w:space="0" w:color="auto"/>
        <w:bottom w:val="none" w:sz="0" w:space="0" w:color="auto"/>
        <w:right w:val="none" w:sz="0" w:space="0" w:color="auto"/>
      </w:divBdr>
    </w:div>
    <w:div w:id="602616375">
      <w:bodyDiv w:val="1"/>
      <w:marLeft w:val="0"/>
      <w:marRight w:val="0"/>
      <w:marTop w:val="0"/>
      <w:marBottom w:val="0"/>
      <w:divBdr>
        <w:top w:val="none" w:sz="0" w:space="0" w:color="auto"/>
        <w:left w:val="none" w:sz="0" w:space="0" w:color="auto"/>
        <w:bottom w:val="none" w:sz="0" w:space="0" w:color="auto"/>
        <w:right w:val="none" w:sz="0" w:space="0" w:color="auto"/>
      </w:divBdr>
    </w:div>
    <w:div w:id="645015662">
      <w:bodyDiv w:val="1"/>
      <w:marLeft w:val="0"/>
      <w:marRight w:val="0"/>
      <w:marTop w:val="0"/>
      <w:marBottom w:val="0"/>
      <w:divBdr>
        <w:top w:val="none" w:sz="0" w:space="0" w:color="auto"/>
        <w:left w:val="none" w:sz="0" w:space="0" w:color="auto"/>
        <w:bottom w:val="none" w:sz="0" w:space="0" w:color="auto"/>
        <w:right w:val="none" w:sz="0" w:space="0" w:color="auto"/>
      </w:divBdr>
    </w:div>
    <w:div w:id="731779785">
      <w:bodyDiv w:val="1"/>
      <w:marLeft w:val="0"/>
      <w:marRight w:val="0"/>
      <w:marTop w:val="0"/>
      <w:marBottom w:val="0"/>
      <w:divBdr>
        <w:top w:val="none" w:sz="0" w:space="0" w:color="auto"/>
        <w:left w:val="none" w:sz="0" w:space="0" w:color="auto"/>
        <w:bottom w:val="none" w:sz="0" w:space="0" w:color="auto"/>
        <w:right w:val="none" w:sz="0" w:space="0" w:color="auto"/>
      </w:divBdr>
    </w:div>
    <w:div w:id="800461528">
      <w:bodyDiv w:val="1"/>
      <w:marLeft w:val="0"/>
      <w:marRight w:val="0"/>
      <w:marTop w:val="0"/>
      <w:marBottom w:val="0"/>
      <w:divBdr>
        <w:top w:val="none" w:sz="0" w:space="0" w:color="auto"/>
        <w:left w:val="none" w:sz="0" w:space="0" w:color="auto"/>
        <w:bottom w:val="none" w:sz="0" w:space="0" w:color="auto"/>
        <w:right w:val="none" w:sz="0" w:space="0" w:color="auto"/>
      </w:divBdr>
    </w:div>
    <w:div w:id="806553568">
      <w:bodyDiv w:val="1"/>
      <w:marLeft w:val="0"/>
      <w:marRight w:val="0"/>
      <w:marTop w:val="0"/>
      <w:marBottom w:val="0"/>
      <w:divBdr>
        <w:top w:val="none" w:sz="0" w:space="0" w:color="auto"/>
        <w:left w:val="none" w:sz="0" w:space="0" w:color="auto"/>
        <w:bottom w:val="none" w:sz="0" w:space="0" w:color="auto"/>
        <w:right w:val="none" w:sz="0" w:space="0" w:color="auto"/>
      </w:divBdr>
    </w:div>
    <w:div w:id="949094835">
      <w:bodyDiv w:val="1"/>
      <w:marLeft w:val="0"/>
      <w:marRight w:val="0"/>
      <w:marTop w:val="0"/>
      <w:marBottom w:val="0"/>
      <w:divBdr>
        <w:top w:val="none" w:sz="0" w:space="0" w:color="auto"/>
        <w:left w:val="none" w:sz="0" w:space="0" w:color="auto"/>
        <w:bottom w:val="none" w:sz="0" w:space="0" w:color="auto"/>
        <w:right w:val="none" w:sz="0" w:space="0" w:color="auto"/>
      </w:divBdr>
    </w:div>
    <w:div w:id="956184442">
      <w:bodyDiv w:val="1"/>
      <w:marLeft w:val="0"/>
      <w:marRight w:val="0"/>
      <w:marTop w:val="0"/>
      <w:marBottom w:val="0"/>
      <w:divBdr>
        <w:top w:val="none" w:sz="0" w:space="0" w:color="auto"/>
        <w:left w:val="none" w:sz="0" w:space="0" w:color="auto"/>
        <w:bottom w:val="none" w:sz="0" w:space="0" w:color="auto"/>
        <w:right w:val="none" w:sz="0" w:space="0" w:color="auto"/>
      </w:divBdr>
    </w:div>
    <w:div w:id="1227257678">
      <w:bodyDiv w:val="1"/>
      <w:marLeft w:val="0"/>
      <w:marRight w:val="0"/>
      <w:marTop w:val="0"/>
      <w:marBottom w:val="0"/>
      <w:divBdr>
        <w:top w:val="none" w:sz="0" w:space="0" w:color="auto"/>
        <w:left w:val="none" w:sz="0" w:space="0" w:color="auto"/>
        <w:bottom w:val="none" w:sz="0" w:space="0" w:color="auto"/>
        <w:right w:val="none" w:sz="0" w:space="0" w:color="auto"/>
      </w:divBdr>
    </w:div>
    <w:div w:id="1248155140">
      <w:bodyDiv w:val="1"/>
      <w:marLeft w:val="0"/>
      <w:marRight w:val="0"/>
      <w:marTop w:val="0"/>
      <w:marBottom w:val="0"/>
      <w:divBdr>
        <w:top w:val="none" w:sz="0" w:space="0" w:color="auto"/>
        <w:left w:val="none" w:sz="0" w:space="0" w:color="auto"/>
        <w:bottom w:val="none" w:sz="0" w:space="0" w:color="auto"/>
        <w:right w:val="none" w:sz="0" w:space="0" w:color="auto"/>
      </w:divBdr>
    </w:div>
    <w:div w:id="1327781174">
      <w:bodyDiv w:val="1"/>
      <w:marLeft w:val="0"/>
      <w:marRight w:val="0"/>
      <w:marTop w:val="0"/>
      <w:marBottom w:val="0"/>
      <w:divBdr>
        <w:top w:val="none" w:sz="0" w:space="0" w:color="auto"/>
        <w:left w:val="none" w:sz="0" w:space="0" w:color="auto"/>
        <w:bottom w:val="none" w:sz="0" w:space="0" w:color="auto"/>
        <w:right w:val="none" w:sz="0" w:space="0" w:color="auto"/>
      </w:divBdr>
    </w:div>
    <w:div w:id="1371684690">
      <w:bodyDiv w:val="1"/>
      <w:marLeft w:val="0"/>
      <w:marRight w:val="0"/>
      <w:marTop w:val="0"/>
      <w:marBottom w:val="0"/>
      <w:divBdr>
        <w:top w:val="none" w:sz="0" w:space="0" w:color="auto"/>
        <w:left w:val="none" w:sz="0" w:space="0" w:color="auto"/>
        <w:bottom w:val="none" w:sz="0" w:space="0" w:color="auto"/>
        <w:right w:val="none" w:sz="0" w:space="0" w:color="auto"/>
      </w:divBdr>
    </w:div>
    <w:div w:id="1435125891">
      <w:bodyDiv w:val="1"/>
      <w:marLeft w:val="0"/>
      <w:marRight w:val="0"/>
      <w:marTop w:val="0"/>
      <w:marBottom w:val="0"/>
      <w:divBdr>
        <w:top w:val="none" w:sz="0" w:space="0" w:color="auto"/>
        <w:left w:val="none" w:sz="0" w:space="0" w:color="auto"/>
        <w:bottom w:val="none" w:sz="0" w:space="0" w:color="auto"/>
        <w:right w:val="none" w:sz="0" w:space="0" w:color="auto"/>
      </w:divBdr>
    </w:div>
    <w:div w:id="1525556786">
      <w:bodyDiv w:val="1"/>
      <w:marLeft w:val="0"/>
      <w:marRight w:val="0"/>
      <w:marTop w:val="0"/>
      <w:marBottom w:val="0"/>
      <w:divBdr>
        <w:top w:val="none" w:sz="0" w:space="0" w:color="auto"/>
        <w:left w:val="none" w:sz="0" w:space="0" w:color="auto"/>
        <w:bottom w:val="none" w:sz="0" w:space="0" w:color="auto"/>
        <w:right w:val="none" w:sz="0" w:space="0" w:color="auto"/>
      </w:divBdr>
    </w:div>
    <w:div w:id="1637833332">
      <w:bodyDiv w:val="1"/>
      <w:marLeft w:val="0"/>
      <w:marRight w:val="0"/>
      <w:marTop w:val="0"/>
      <w:marBottom w:val="0"/>
      <w:divBdr>
        <w:top w:val="none" w:sz="0" w:space="0" w:color="auto"/>
        <w:left w:val="none" w:sz="0" w:space="0" w:color="auto"/>
        <w:bottom w:val="none" w:sz="0" w:space="0" w:color="auto"/>
        <w:right w:val="none" w:sz="0" w:space="0" w:color="auto"/>
      </w:divBdr>
    </w:div>
    <w:div w:id="1687291666">
      <w:bodyDiv w:val="1"/>
      <w:marLeft w:val="0"/>
      <w:marRight w:val="0"/>
      <w:marTop w:val="0"/>
      <w:marBottom w:val="0"/>
      <w:divBdr>
        <w:top w:val="none" w:sz="0" w:space="0" w:color="auto"/>
        <w:left w:val="none" w:sz="0" w:space="0" w:color="auto"/>
        <w:bottom w:val="none" w:sz="0" w:space="0" w:color="auto"/>
        <w:right w:val="none" w:sz="0" w:space="0" w:color="auto"/>
      </w:divBdr>
    </w:div>
    <w:div w:id="1743914829">
      <w:bodyDiv w:val="1"/>
      <w:marLeft w:val="0"/>
      <w:marRight w:val="0"/>
      <w:marTop w:val="0"/>
      <w:marBottom w:val="0"/>
      <w:divBdr>
        <w:top w:val="none" w:sz="0" w:space="0" w:color="auto"/>
        <w:left w:val="none" w:sz="0" w:space="0" w:color="auto"/>
        <w:bottom w:val="none" w:sz="0" w:space="0" w:color="auto"/>
        <w:right w:val="none" w:sz="0" w:space="0" w:color="auto"/>
      </w:divBdr>
    </w:div>
    <w:div w:id="1749375795">
      <w:bodyDiv w:val="1"/>
      <w:marLeft w:val="0"/>
      <w:marRight w:val="0"/>
      <w:marTop w:val="0"/>
      <w:marBottom w:val="0"/>
      <w:divBdr>
        <w:top w:val="none" w:sz="0" w:space="0" w:color="auto"/>
        <w:left w:val="none" w:sz="0" w:space="0" w:color="auto"/>
        <w:bottom w:val="none" w:sz="0" w:space="0" w:color="auto"/>
        <w:right w:val="none" w:sz="0" w:space="0" w:color="auto"/>
      </w:divBdr>
    </w:div>
    <w:div w:id="1955164511">
      <w:bodyDiv w:val="1"/>
      <w:marLeft w:val="0"/>
      <w:marRight w:val="0"/>
      <w:marTop w:val="0"/>
      <w:marBottom w:val="0"/>
      <w:divBdr>
        <w:top w:val="none" w:sz="0" w:space="0" w:color="auto"/>
        <w:left w:val="none" w:sz="0" w:space="0" w:color="auto"/>
        <w:bottom w:val="none" w:sz="0" w:space="0" w:color="auto"/>
        <w:right w:val="none" w:sz="0" w:space="0" w:color="auto"/>
      </w:divBdr>
    </w:div>
    <w:div w:id="1969554376">
      <w:bodyDiv w:val="1"/>
      <w:marLeft w:val="0"/>
      <w:marRight w:val="0"/>
      <w:marTop w:val="0"/>
      <w:marBottom w:val="0"/>
      <w:divBdr>
        <w:top w:val="none" w:sz="0" w:space="0" w:color="auto"/>
        <w:left w:val="none" w:sz="0" w:space="0" w:color="auto"/>
        <w:bottom w:val="none" w:sz="0" w:space="0" w:color="auto"/>
        <w:right w:val="none" w:sz="0" w:space="0" w:color="auto"/>
      </w:divBdr>
    </w:div>
    <w:div w:id="2001151589">
      <w:bodyDiv w:val="1"/>
      <w:marLeft w:val="0"/>
      <w:marRight w:val="0"/>
      <w:marTop w:val="0"/>
      <w:marBottom w:val="0"/>
      <w:divBdr>
        <w:top w:val="none" w:sz="0" w:space="0" w:color="auto"/>
        <w:left w:val="none" w:sz="0" w:space="0" w:color="auto"/>
        <w:bottom w:val="none" w:sz="0" w:space="0" w:color="auto"/>
        <w:right w:val="none" w:sz="0" w:space="0" w:color="auto"/>
      </w:divBdr>
    </w:div>
    <w:div w:id="206794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CC3DED05144A41BCA062FEBEE4872C" ma:contentTypeVersion="1" ma:contentTypeDescription="Create a new document." ma:contentTypeScope="" ma:versionID="1ef2ec10228ebaa950d253d6ee3287e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022C6-7FF3-419A-BD56-EDE9E6174B6B}"/>
</file>

<file path=customXml/itemProps2.xml><?xml version="1.0" encoding="utf-8"?>
<ds:datastoreItem xmlns:ds="http://schemas.openxmlformats.org/officeDocument/2006/customXml" ds:itemID="{DAB5884D-DFE4-4CBC-ACCD-F5AD29116BFF}">
  <ds:schemaRefs>
    <ds:schemaRef ds:uri="http://schemas.microsoft.com/sharepoint/v3/contenttype/forms"/>
  </ds:schemaRefs>
</ds:datastoreItem>
</file>

<file path=customXml/itemProps3.xml><?xml version="1.0" encoding="utf-8"?>
<ds:datastoreItem xmlns:ds="http://schemas.openxmlformats.org/officeDocument/2006/customXml" ds:itemID="{F6E5287D-AB6B-4ACE-A7E9-168097E3788C}">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8ACA1296-DC8D-4C2A-8A8B-480A80E44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6139</TotalTime>
  <Pages>210</Pages>
  <Words>94539</Words>
  <Characters>538878</Characters>
  <Application>Microsoft Office Word</Application>
  <DocSecurity>0</DocSecurity>
  <Lines>4490</Lines>
  <Paragraphs>1264</Paragraphs>
  <ScaleCrop>false</ScaleCrop>
  <HeadingPairs>
    <vt:vector size="2" baseType="variant">
      <vt:variant>
        <vt:lpstr>Title</vt:lpstr>
      </vt:variant>
      <vt:variant>
        <vt:i4>1</vt:i4>
      </vt:variant>
    </vt:vector>
  </HeadingPairs>
  <TitlesOfParts>
    <vt:vector size="1" baseType="lpstr">
      <vt:lpstr>Report of the Human Rights Council on its 40th session</vt:lpstr>
    </vt:vector>
  </TitlesOfParts>
  <Company>OHCHR</Company>
  <LinksUpToDate>false</LinksUpToDate>
  <CharactersWithSpaces>632153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Human Rights Council on its 40th session</dc:title>
  <dc:subject/>
  <dc:creator>Jung Youn Han</dc:creator>
  <cp:keywords/>
  <dc:description/>
  <cp:lastModifiedBy>SMIRNOVA Maria</cp:lastModifiedBy>
  <cp:revision>350</cp:revision>
  <cp:lastPrinted>2019-06-03T10:26:00Z</cp:lastPrinted>
  <dcterms:created xsi:type="dcterms:W3CDTF">2019-03-14T09:09:00Z</dcterms:created>
  <dcterms:modified xsi:type="dcterms:W3CDTF">2019-06-03T13:45:00Z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0x01010026CC3DED05144A41BCA062FEBEE4872C</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